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1.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3.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4.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5.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6.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7.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C6BE95" w14:textId="77777777" w:rsidR="001606D8" w:rsidRDefault="001606D8" w:rsidP="005132C3">
      <w:pPr>
        <w:pStyle w:val="NormalWeb"/>
        <w:spacing w:after="4000" w:afterAutospacing="0"/>
        <w:jc w:val="center"/>
        <w:rPr>
          <w:rFonts w:eastAsia="Arial Unicode MS"/>
          <w:b/>
          <w:color w:val="2F5496" w:themeColor="accent1" w:themeShade="BF"/>
          <w:sz w:val="44"/>
          <w:szCs w:val="44"/>
        </w:rPr>
      </w:pPr>
      <w:bookmarkStart w:id="0" w:name="OLE_LINK1"/>
      <w:bookmarkStart w:id="1" w:name="OLE_LINK2"/>
      <w:r>
        <w:rPr>
          <w:noProof/>
          <w:lang w:eastAsia="en-AU"/>
        </w:rPr>
        <w:drawing>
          <wp:inline distT="0" distB="0" distL="0" distR="0" wp14:anchorId="0E259B9D" wp14:editId="57D7C082">
            <wp:extent cx="1016000" cy="1028700"/>
            <wp:effectExtent l="0" t="0" r="0" b="12700"/>
            <wp:docPr id="2" name="Picture 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Text&#10;&#10;Description automatically generated with medium confidence"/>
                    <pic:cNvPicPr/>
                  </pic:nvPicPr>
                  <pic:blipFill>
                    <a:blip r:embed="rId8">
                      <a:extLst>
                        <a:ext uri="{28A0092B-C50C-407E-A947-70E740481C1C}">
                          <a14:useLocalDpi xmlns:a14="http://schemas.microsoft.com/office/drawing/2010/main" val="0"/>
                        </a:ext>
                      </a:extLst>
                    </a:blip>
                    <a:stretch>
                      <a:fillRect/>
                    </a:stretch>
                  </pic:blipFill>
                  <pic:spPr>
                    <a:xfrm>
                      <a:off x="0" y="0"/>
                      <a:ext cx="1016000" cy="1028700"/>
                    </a:xfrm>
                    <a:prstGeom prst="rect">
                      <a:avLst/>
                    </a:prstGeom>
                  </pic:spPr>
                </pic:pic>
              </a:graphicData>
            </a:graphic>
          </wp:inline>
        </w:drawing>
      </w:r>
    </w:p>
    <w:p w14:paraId="48D05C09" w14:textId="5B3DFFC7" w:rsidR="001606D8" w:rsidRDefault="006542B3" w:rsidP="005132C3">
      <w:pPr>
        <w:pStyle w:val="NormalWeb"/>
        <w:spacing w:before="2000" w:beforeAutospacing="0" w:after="1000" w:afterAutospacing="0"/>
        <w:jc w:val="center"/>
        <w:rPr>
          <w:b/>
          <w:bCs/>
          <w:color w:val="2F5496" w:themeColor="accent1" w:themeShade="BF"/>
          <w:sz w:val="44"/>
          <w:szCs w:val="44"/>
        </w:rPr>
      </w:pPr>
      <w:bookmarkStart w:id="2" w:name="_Hlk81318079"/>
      <w:r w:rsidRPr="000D7A85">
        <w:rPr>
          <w:b/>
          <w:color w:val="2F5496" w:themeColor="accent1" w:themeShade="BF"/>
          <w:sz w:val="44"/>
          <w:szCs w:val="44"/>
        </w:rPr>
        <w:t>Independent evaluation</w:t>
      </w:r>
      <w:r w:rsidR="001606D8" w:rsidRPr="000D7A85">
        <w:rPr>
          <w:b/>
          <w:color w:val="2F5496" w:themeColor="accent1" w:themeShade="BF"/>
          <w:sz w:val="44"/>
          <w:szCs w:val="44"/>
        </w:rPr>
        <w:t xml:space="preserve"> of</w:t>
      </w:r>
      <w:r w:rsidR="005A3381">
        <w:rPr>
          <w:b/>
          <w:bCs/>
          <w:color w:val="2F5496" w:themeColor="accent1" w:themeShade="BF"/>
          <w:sz w:val="44"/>
          <w:szCs w:val="44"/>
        </w:rPr>
        <w:t xml:space="preserve"> </w:t>
      </w:r>
      <w:r w:rsidR="00885266" w:rsidRPr="000D7A85">
        <w:rPr>
          <w:b/>
          <w:color w:val="2F5496" w:themeColor="accent1" w:themeShade="BF"/>
          <w:sz w:val="44"/>
          <w:szCs w:val="44"/>
        </w:rPr>
        <w:t>s</w:t>
      </w:r>
      <w:r w:rsidRPr="000D7A85">
        <w:rPr>
          <w:b/>
          <w:bCs/>
          <w:color w:val="2F5496" w:themeColor="accent1" w:themeShade="BF"/>
          <w:sz w:val="44"/>
          <w:szCs w:val="44"/>
        </w:rPr>
        <w:t>upported</w:t>
      </w:r>
      <w:r w:rsidR="00885266" w:rsidRPr="000D7A85">
        <w:rPr>
          <w:b/>
          <w:bCs/>
          <w:color w:val="2F5496" w:themeColor="accent1" w:themeShade="BF"/>
          <w:sz w:val="44"/>
          <w:szCs w:val="44"/>
        </w:rPr>
        <w:t xml:space="preserve"> </w:t>
      </w:r>
      <w:r w:rsidR="001606D8" w:rsidRPr="000D7A85">
        <w:rPr>
          <w:b/>
          <w:bCs/>
          <w:color w:val="2F5496" w:themeColor="accent1" w:themeShade="BF"/>
          <w:sz w:val="44"/>
          <w:szCs w:val="44"/>
        </w:rPr>
        <w:t xml:space="preserve">digital mental health </w:t>
      </w:r>
      <w:r w:rsidR="00A635A4" w:rsidRPr="000D7A85">
        <w:rPr>
          <w:b/>
          <w:bCs/>
          <w:color w:val="2F5496" w:themeColor="accent1" w:themeShade="BF"/>
          <w:sz w:val="44"/>
          <w:szCs w:val="44"/>
        </w:rPr>
        <w:t>services</w:t>
      </w:r>
      <w:bookmarkEnd w:id="2"/>
      <w:r w:rsidR="005132C3">
        <w:rPr>
          <w:b/>
          <w:bCs/>
          <w:color w:val="2F5496" w:themeColor="accent1" w:themeShade="BF"/>
          <w:sz w:val="44"/>
          <w:szCs w:val="44"/>
        </w:rPr>
        <w:t xml:space="preserve">: </w:t>
      </w:r>
      <w:r w:rsidR="0049567F" w:rsidRPr="000D7A85">
        <w:rPr>
          <w:b/>
          <w:bCs/>
          <w:color w:val="2F5496" w:themeColor="accent1" w:themeShade="BF"/>
          <w:sz w:val="44"/>
          <w:szCs w:val="44"/>
        </w:rPr>
        <w:t xml:space="preserve">Phase 2 </w:t>
      </w:r>
      <w:r w:rsidR="009567E5">
        <w:rPr>
          <w:b/>
          <w:bCs/>
          <w:color w:val="2F5496" w:themeColor="accent1" w:themeShade="BF"/>
          <w:sz w:val="44"/>
          <w:szCs w:val="44"/>
        </w:rPr>
        <w:t xml:space="preserve">final </w:t>
      </w:r>
      <w:r w:rsidRPr="000D7A85">
        <w:rPr>
          <w:b/>
          <w:bCs/>
          <w:color w:val="2F5496" w:themeColor="accent1" w:themeShade="BF"/>
          <w:sz w:val="44"/>
          <w:szCs w:val="44"/>
        </w:rPr>
        <w:t>report</w:t>
      </w:r>
    </w:p>
    <w:p w14:paraId="1ADFF185" w14:textId="7E40B0FE" w:rsidR="00016952" w:rsidRDefault="001606D8" w:rsidP="009567E5">
      <w:pPr>
        <w:pStyle w:val="ANorm"/>
        <w:jc w:val="center"/>
        <w:rPr>
          <w:b/>
          <w:bCs/>
          <w:color w:val="2F5496" w:themeColor="accent1" w:themeShade="BF"/>
          <w:sz w:val="28"/>
          <w:szCs w:val="28"/>
        </w:rPr>
      </w:pPr>
      <w:r w:rsidRPr="00016952">
        <w:rPr>
          <w:b/>
          <w:bCs/>
          <w:color w:val="2F5496" w:themeColor="accent1" w:themeShade="BF"/>
          <w:sz w:val="28"/>
          <w:szCs w:val="28"/>
        </w:rPr>
        <w:t xml:space="preserve">Bridget </w:t>
      </w:r>
      <w:proofErr w:type="spellStart"/>
      <w:r w:rsidRPr="00016952">
        <w:rPr>
          <w:b/>
          <w:bCs/>
          <w:color w:val="2F5496" w:themeColor="accent1" w:themeShade="BF"/>
          <w:sz w:val="28"/>
          <w:szCs w:val="28"/>
        </w:rPr>
        <w:t>Bassilios</w:t>
      </w:r>
      <w:proofErr w:type="spellEnd"/>
      <w:r w:rsidRPr="00016952">
        <w:rPr>
          <w:b/>
          <w:bCs/>
          <w:color w:val="2F5496" w:themeColor="accent1" w:themeShade="BF"/>
          <w:sz w:val="28"/>
          <w:szCs w:val="28"/>
        </w:rPr>
        <w:t xml:space="preserve">, </w:t>
      </w:r>
      <w:r w:rsidR="002057ED" w:rsidRPr="00016952">
        <w:rPr>
          <w:b/>
          <w:bCs/>
          <w:color w:val="2F5496" w:themeColor="accent1" w:themeShade="BF"/>
          <w:sz w:val="28"/>
          <w:szCs w:val="28"/>
        </w:rPr>
        <w:t xml:space="preserve">Maria </w:t>
      </w:r>
      <w:proofErr w:type="spellStart"/>
      <w:r w:rsidR="002057ED" w:rsidRPr="00016952">
        <w:rPr>
          <w:b/>
          <w:bCs/>
          <w:color w:val="2F5496" w:themeColor="accent1" w:themeShade="BF"/>
          <w:sz w:val="28"/>
          <w:szCs w:val="28"/>
        </w:rPr>
        <w:t>Ftanou</w:t>
      </w:r>
      <w:proofErr w:type="spellEnd"/>
      <w:r w:rsidR="002057ED" w:rsidRPr="00016952">
        <w:rPr>
          <w:b/>
          <w:bCs/>
          <w:color w:val="2F5496" w:themeColor="accent1" w:themeShade="BF"/>
          <w:sz w:val="28"/>
          <w:szCs w:val="28"/>
        </w:rPr>
        <w:t xml:space="preserve">, </w:t>
      </w:r>
      <w:r w:rsidR="008F5B99" w:rsidRPr="00016952">
        <w:rPr>
          <w:b/>
          <w:bCs/>
          <w:color w:val="2F5496" w:themeColor="accent1" w:themeShade="BF"/>
          <w:sz w:val="28"/>
          <w:szCs w:val="28"/>
        </w:rPr>
        <w:t xml:space="preserve">Anna </w:t>
      </w:r>
      <w:proofErr w:type="spellStart"/>
      <w:r w:rsidR="008F5B99" w:rsidRPr="00016952">
        <w:rPr>
          <w:b/>
          <w:bCs/>
          <w:color w:val="2F5496" w:themeColor="accent1" w:themeShade="BF"/>
          <w:sz w:val="28"/>
          <w:szCs w:val="28"/>
        </w:rPr>
        <w:t>Machlin</w:t>
      </w:r>
      <w:proofErr w:type="spellEnd"/>
      <w:r w:rsidR="00EE5D8A" w:rsidRPr="00016952">
        <w:rPr>
          <w:b/>
          <w:bCs/>
          <w:color w:val="2F5496" w:themeColor="accent1" w:themeShade="BF"/>
          <w:sz w:val="28"/>
          <w:szCs w:val="28"/>
        </w:rPr>
        <w:t>,</w:t>
      </w:r>
      <w:r w:rsidR="008F5B99" w:rsidRPr="00016952">
        <w:rPr>
          <w:b/>
          <w:bCs/>
          <w:color w:val="2F5496" w:themeColor="accent1" w:themeShade="BF"/>
          <w:sz w:val="28"/>
          <w:szCs w:val="28"/>
        </w:rPr>
        <w:t xml:space="preserve"> </w:t>
      </w:r>
      <w:proofErr w:type="spellStart"/>
      <w:r w:rsidR="008F5B99" w:rsidRPr="00016952">
        <w:rPr>
          <w:b/>
          <w:bCs/>
          <w:color w:val="2F5496" w:themeColor="accent1" w:themeShade="BF"/>
          <w:sz w:val="28"/>
          <w:szCs w:val="28"/>
        </w:rPr>
        <w:t>Shaminka</w:t>
      </w:r>
      <w:proofErr w:type="spellEnd"/>
      <w:r w:rsidR="008F5B99" w:rsidRPr="00016952">
        <w:rPr>
          <w:b/>
          <w:bCs/>
          <w:color w:val="2F5496" w:themeColor="accent1" w:themeShade="BF"/>
          <w:sz w:val="28"/>
          <w:szCs w:val="28"/>
        </w:rPr>
        <w:t xml:space="preserve"> Mangelsdorf, </w:t>
      </w:r>
      <w:r w:rsidR="002057ED" w:rsidRPr="00016952">
        <w:rPr>
          <w:b/>
          <w:bCs/>
          <w:color w:val="2F5496" w:themeColor="accent1" w:themeShade="BF"/>
          <w:sz w:val="28"/>
          <w:szCs w:val="28"/>
        </w:rPr>
        <w:t xml:space="preserve">Andrew Tan, </w:t>
      </w:r>
      <w:r w:rsidR="00016952" w:rsidRPr="00016952">
        <w:rPr>
          <w:b/>
          <w:bCs/>
          <w:color w:val="2F5496" w:themeColor="accent1" w:themeShade="BF"/>
          <w:sz w:val="28"/>
          <w:szCs w:val="28"/>
        </w:rPr>
        <w:t xml:space="preserve">Katrina </w:t>
      </w:r>
      <w:proofErr w:type="spellStart"/>
      <w:r w:rsidR="00016952">
        <w:rPr>
          <w:b/>
          <w:bCs/>
          <w:color w:val="2F5496" w:themeColor="accent1" w:themeShade="BF"/>
          <w:sz w:val="28"/>
          <w:szCs w:val="28"/>
        </w:rPr>
        <w:t>Scurrah</w:t>
      </w:r>
      <w:proofErr w:type="spellEnd"/>
      <w:r w:rsidR="00016952">
        <w:rPr>
          <w:b/>
          <w:bCs/>
          <w:color w:val="2F5496" w:themeColor="accent1" w:themeShade="BF"/>
          <w:sz w:val="28"/>
          <w:szCs w:val="28"/>
        </w:rPr>
        <w:t xml:space="preserve">, </w:t>
      </w:r>
      <w:r w:rsidR="00F3642E" w:rsidRPr="00016952">
        <w:rPr>
          <w:b/>
          <w:bCs/>
          <w:color w:val="2F5496" w:themeColor="accent1" w:themeShade="BF"/>
          <w:sz w:val="28"/>
          <w:szCs w:val="28"/>
        </w:rPr>
        <w:t xml:space="preserve">Amy Morgan, </w:t>
      </w:r>
      <w:r w:rsidR="00636E57" w:rsidRPr="00016952">
        <w:rPr>
          <w:b/>
          <w:bCs/>
          <w:color w:val="2F5496" w:themeColor="accent1" w:themeShade="BF"/>
          <w:sz w:val="28"/>
          <w:szCs w:val="28"/>
        </w:rPr>
        <w:t xml:space="preserve">Leo Roberts, </w:t>
      </w:r>
      <w:r w:rsidRPr="00016952">
        <w:rPr>
          <w:b/>
          <w:bCs/>
          <w:color w:val="2F5496" w:themeColor="accent1" w:themeShade="BF"/>
          <w:sz w:val="28"/>
          <w:szCs w:val="28"/>
        </w:rPr>
        <w:t>Long Le,</w:t>
      </w:r>
    </w:p>
    <w:p w14:paraId="5F26A91E" w14:textId="1AAA85E9" w:rsidR="001606D8" w:rsidRPr="00016952" w:rsidRDefault="001606D8" w:rsidP="009A33DC">
      <w:pPr>
        <w:pStyle w:val="ANorm"/>
        <w:spacing w:after="400"/>
        <w:jc w:val="center"/>
        <w:rPr>
          <w:b/>
          <w:bCs/>
          <w:color w:val="2F5496" w:themeColor="accent1" w:themeShade="BF"/>
          <w:sz w:val="28"/>
          <w:szCs w:val="28"/>
        </w:rPr>
      </w:pPr>
      <w:r w:rsidRPr="00016952">
        <w:rPr>
          <w:b/>
          <w:bCs/>
          <w:color w:val="2F5496" w:themeColor="accent1" w:themeShade="BF"/>
          <w:sz w:val="28"/>
          <w:szCs w:val="28"/>
        </w:rPr>
        <w:t>Michelle Banfield,</w:t>
      </w:r>
      <w:r w:rsidR="00016952" w:rsidRPr="00016952">
        <w:rPr>
          <w:b/>
          <w:bCs/>
          <w:color w:val="2F5496" w:themeColor="accent1" w:themeShade="BF"/>
          <w:sz w:val="28"/>
          <w:szCs w:val="28"/>
        </w:rPr>
        <w:t xml:space="preserve"> </w:t>
      </w:r>
      <w:r w:rsidRPr="00016952">
        <w:rPr>
          <w:b/>
          <w:bCs/>
          <w:color w:val="2F5496" w:themeColor="accent1" w:themeShade="BF"/>
          <w:sz w:val="28"/>
          <w:szCs w:val="28"/>
        </w:rPr>
        <w:t xml:space="preserve">Matthew </w:t>
      </w:r>
      <w:proofErr w:type="spellStart"/>
      <w:r w:rsidRPr="00016952">
        <w:rPr>
          <w:b/>
          <w:bCs/>
          <w:color w:val="2F5496" w:themeColor="accent1" w:themeShade="BF"/>
          <w:sz w:val="28"/>
          <w:szCs w:val="28"/>
        </w:rPr>
        <w:t>Spittal</w:t>
      </w:r>
      <w:proofErr w:type="spellEnd"/>
      <w:r w:rsidRPr="00016952">
        <w:rPr>
          <w:b/>
          <w:bCs/>
          <w:color w:val="2F5496" w:themeColor="accent1" w:themeShade="BF"/>
          <w:sz w:val="28"/>
          <w:szCs w:val="28"/>
        </w:rPr>
        <w:t xml:space="preserve">, Cathy </w:t>
      </w:r>
      <w:proofErr w:type="spellStart"/>
      <w:r w:rsidRPr="00016952">
        <w:rPr>
          <w:b/>
          <w:bCs/>
          <w:color w:val="2F5496" w:themeColor="accent1" w:themeShade="BF"/>
          <w:sz w:val="28"/>
          <w:szCs w:val="28"/>
        </w:rPr>
        <w:t>Mihalopoulos</w:t>
      </w:r>
      <w:proofErr w:type="spellEnd"/>
      <w:r w:rsidRPr="00016952">
        <w:rPr>
          <w:b/>
          <w:bCs/>
          <w:color w:val="2F5496" w:themeColor="accent1" w:themeShade="BF"/>
          <w:sz w:val="28"/>
          <w:szCs w:val="28"/>
        </w:rPr>
        <w:t xml:space="preserve">, Jane </w:t>
      </w:r>
      <w:proofErr w:type="spellStart"/>
      <w:r w:rsidRPr="00016952">
        <w:rPr>
          <w:b/>
          <w:bCs/>
          <w:color w:val="2F5496" w:themeColor="accent1" w:themeShade="BF"/>
          <w:sz w:val="28"/>
          <w:szCs w:val="28"/>
        </w:rPr>
        <w:t>Pirkis</w:t>
      </w:r>
      <w:proofErr w:type="spellEnd"/>
    </w:p>
    <w:p w14:paraId="291462F8" w14:textId="216E7F2D" w:rsidR="001606D8" w:rsidRPr="00F50B93" w:rsidRDefault="00443B60" w:rsidP="009A33DC">
      <w:pPr>
        <w:pStyle w:val="ANorm"/>
        <w:spacing w:after="400"/>
        <w:jc w:val="center"/>
        <w:rPr>
          <w:b/>
          <w:bCs/>
          <w:color w:val="2F5496" w:themeColor="accent1" w:themeShade="BF"/>
          <w:sz w:val="28"/>
          <w:szCs w:val="28"/>
        </w:rPr>
      </w:pPr>
      <w:r>
        <w:rPr>
          <w:b/>
          <w:bCs/>
          <w:color w:val="2F5496" w:themeColor="accent1" w:themeShade="BF"/>
          <w:sz w:val="28"/>
          <w:szCs w:val="28"/>
        </w:rPr>
        <w:t>July</w:t>
      </w:r>
      <w:r w:rsidR="006542B3" w:rsidRPr="00F50B93">
        <w:rPr>
          <w:b/>
          <w:bCs/>
          <w:color w:val="2F5496" w:themeColor="accent1" w:themeShade="BF"/>
          <w:sz w:val="28"/>
          <w:szCs w:val="28"/>
        </w:rPr>
        <w:t xml:space="preserve"> 2022</w:t>
      </w:r>
    </w:p>
    <w:p w14:paraId="6B712531" w14:textId="77777777" w:rsidR="00E81FB6" w:rsidRPr="00AA6B28" w:rsidRDefault="00E81FB6" w:rsidP="007949A9">
      <w:pPr>
        <w:rPr>
          <w:highlight w:val="yellow"/>
        </w:rPr>
      </w:pPr>
      <w:r w:rsidRPr="00AA6B28">
        <w:rPr>
          <w:highlight w:val="yellow"/>
        </w:rPr>
        <w:br w:type="page"/>
      </w:r>
    </w:p>
    <w:p w14:paraId="6C720D5B" w14:textId="77777777" w:rsidR="002F3689" w:rsidRDefault="002F3689">
      <w:pPr>
        <w:spacing w:after="200"/>
        <w:rPr>
          <w:rFonts w:asciiTheme="minorHAnsi" w:eastAsiaTheme="majorEastAsia" w:hAnsiTheme="minorHAnsi" w:cstheme="minorBidi"/>
          <w:b/>
          <w:color w:val="2F5496" w:themeColor="accent1" w:themeShade="BF"/>
          <w:sz w:val="40"/>
          <w:szCs w:val="40"/>
        </w:rPr>
      </w:pPr>
      <w:r>
        <w:lastRenderedPageBreak/>
        <w:br w:type="page"/>
      </w:r>
    </w:p>
    <w:p w14:paraId="596C9273" w14:textId="6646D008" w:rsidR="002F3689" w:rsidRDefault="005729B8" w:rsidP="002F3689">
      <w:pPr>
        <w:pStyle w:val="Heading1"/>
      </w:pPr>
      <w:bookmarkStart w:id="3" w:name="_Toc108784806"/>
      <w:r>
        <w:lastRenderedPageBreak/>
        <w:t>Glossary</w:t>
      </w:r>
      <w:bookmarkEnd w:id="3"/>
    </w:p>
    <w:p w14:paraId="774EA140" w14:textId="3C9B847D" w:rsidR="00155460" w:rsidRPr="00155460" w:rsidRDefault="00155460" w:rsidP="00155460">
      <w:pPr>
        <w:pStyle w:val="ANorm"/>
      </w:pPr>
      <w:r>
        <w:t xml:space="preserve">Terminology, </w:t>
      </w:r>
      <w:proofErr w:type="gramStart"/>
      <w:r>
        <w:t>abbreviations</w:t>
      </w:r>
      <w:proofErr w:type="gramEnd"/>
      <w:r>
        <w:t xml:space="preserve"> and definitions used in this report.</w:t>
      </w:r>
    </w:p>
    <w:p w14:paraId="425E98DD" w14:textId="77777777" w:rsidR="00155460" w:rsidRPr="00155460" w:rsidRDefault="00155460" w:rsidP="00155460">
      <w:pPr>
        <w:rPr>
          <w:rFonts w:ascii="Calibri" w:eastAsia="Calibri" w:hAnsi="Calibri" w:cs="Arial"/>
          <w:b/>
          <w:bCs/>
          <w:lang w:eastAsia="en-US"/>
        </w:rPr>
      </w:pPr>
    </w:p>
    <w:tbl>
      <w:tblPr>
        <w:tblStyle w:val="TableGrid6"/>
        <w:tblW w:w="5000" w:type="pct"/>
        <w:tblLook w:val="04A0" w:firstRow="1" w:lastRow="0" w:firstColumn="1" w:lastColumn="0" w:noHBand="0" w:noVBand="1"/>
      </w:tblPr>
      <w:tblGrid>
        <w:gridCol w:w="1498"/>
        <w:gridCol w:w="7518"/>
      </w:tblGrid>
      <w:tr w:rsidR="00155460" w:rsidRPr="00155460" w14:paraId="592CA15C" w14:textId="77777777" w:rsidTr="00155460">
        <w:tc>
          <w:tcPr>
            <w:tcW w:w="831" w:type="pct"/>
            <w:shd w:val="clear" w:color="auto" w:fill="000000"/>
          </w:tcPr>
          <w:p w14:paraId="421B3EFF" w14:textId="77777777" w:rsidR="00155460" w:rsidRPr="00155460" w:rsidRDefault="00155460" w:rsidP="00155460">
            <w:pPr>
              <w:rPr>
                <w:rFonts w:ascii="Calibri" w:eastAsia="Calibri" w:hAnsi="Calibri" w:cs="Calibri"/>
                <w:b/>
                <w:bCs/>
                <w:color w:val="FFFFFF"/>
                <w:sz w:val="18"/>
                <w:szCs w:val="18"/>
                <w:lang w:eastAsia="en-US"/>
              </w:rPr>
            </w:pPr>
            <w:r w:rsidRPr="00155460">
              <w:rPr>
                <w:rFonts w:ascii="Calibri" w:eastAsia="Calibri" w:hAnsi="Calibri" w:cs="Calibri"/>
                <w:b/>
                <w:bCs/>
                <w:color w:val="FFFFFF"/>
                <w:sz w:val="18"/>
                <w:szCs w:val="18"/>
                <w:lang w:eastAsia="en-US"/>
              </w:rPr>
              <w:t>Abbreviation</w:t>
            </w:r>
          </w:p>
        </w:tc>
        <w:tc>
          <w:tcPr>
            <w:tcW w:w="4169" w:type="pct"/>
            <w:shd w:val="clear" w:color="auto" w:fill="000000"/>
          </w:tcPr>
          <w:p w14:paraId="2A4CA397" w14:textId="77777777" w:rsidR="00155460" w:rsidRPr="00155460" w:rsidRDefault="00155460" w:rsidP="00155460">
            <w:pPr>
              <w:rPr>
                <w:rFonts w:ascii="Calibri" w:eastAsia="Calibri" w:hAnsi="Calibri" w:cs="Calibri"/>
                <w:b/>
                <w:bCs/>
                <w:color w:val="FFFFFF"/>
                <w:sz w:val="18"/>
                <w:szCs w:val="18"/>
                <w:lang w:eastAsia="en-US"/>
              </w:rPr>
            </w:pPr>
            <w:r w:rsidRPr="00155460">
              <w:rPr>
                <w:rFonts w:ascii="Calibri" w:eastAsia="Calibri" w:hAnsi="Calibri" w:cs="Calibri"/>
                <w:b/>
                <w:bCs/>
                <w:color w:val="FFFFFF"/>
                <w:sz w:val="18"/>
                <w:szCs w:val="18"/>
                <w:lang w:eastAsia="en-US"/>
              </w:rPr>
              <w:t>Term</w:t>
            </w:r>
          </w:p>
        </w:tc>
      </w:tr>
      <w:tr w:rsidR="00155460" w:rsidRPr="00155460" w14:paraId="7D9977DF" w14:textId="77777777" w:rsidTr="00B87BC2">
        <w:tc>
          <w:tcPr>
            <w:tcW w:w="831" w:type="pct"/>
          </w:tcPr>
          <w:p w14:paraId="20372788"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AAPI</w:t>
            </w:r>
          </w:p>
        </w:tc>
        <w:tc>
          <w:tcPr>
            <w:tcW w:w="4169" w:type="pct"/>
          </w:tcPr>
          <w:p w14:paraId="7EF44F77"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Calibri"/>
                <w:sz w:val="18"/>
                <w:szCs w:val="18"/>
                <w:lang w:eastAsia="en-US"/>
              </w:rPr>
              <w:t>Australian Association of Psychologists inc.</w:t>
            </w:r>
          </w:p>
        </w:tc>
      </w:tr>
      <w:tr w:rsidR="00155460" w:rsidRPr="00155460" w14:paraId="67EF149B" w14:textId="77777777" w:rsidTr="00B87BC2">
        <w:tc>
          <w:tcPr>
            <w:tcW w:w="831" w:type="pct"/>
          </w:tcPr>
          <w:p w14:paraId="039898BB"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AASW</w:t>
            </w:r>
          </w:p>
        </w:tc>
        <w:tc>
          <w:tcPr>
            <w:tcW w:w="4169" w:type="pct"/>
          </w:tcPr>
          <w:p w14:paraId="1027F502"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Calibri"/>
                <w:sz w:val="18"/>
                <w:szCs w:val="18"/>
                <w:lang w:eastAsia="en-US"/>
              </w:rPr>
              <w:t>Australian Association of Social Workers</w:t>
            </w:r>
          </w:p>
        </w:tc>
      </w:tr>
      <w:tr w:rsidR="00155460" w:rsidRPr="00155460" w14:paraId="5ADA0622" w14:textId="77777777" w:rsidTr="00B87BC2">
        <w:tc>
          <w:tcPr>
            <w:tcW w:w="831" w:type="pct"/>
          </w:tcPr>
          <w:p w14:paraId="59F67811"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ACACIA</w:t>
            </w:r>
          </w:p>
        </w:tc>
        <w:tc>
          <w:tcPr>
            <w:tcW w:w="4169" w:type="pct"/>
          </w:tcPr>
          <w:p w14:paraId="5F690462"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 xml:space="preserve">The ACT Mental Health Consumer and </w:t>
            </w:r>
            <w:proofErr w:type="spellStart"/>
            <w:r w:rsidRPr="00155460">
              <w:rPr>
                <w:rFonts w:ascii="Calibri" w:eastAsia="Calibri" w:hAnsi="Calibri" w:cs="Calibri"/>
                <w:sz w:val="18"/>
                <w:szCs w:val="18"/>
                <w:lang w:val="en-US" w:eastAsia="en-US" w:bidi="th-TH"/>
              </w:rPr>
              <w:t>Carer</w:t>
            </w:r>
            <w:proofErr w:type="spellEnd"/>
            <w:r w:rsidRPr="00155460">
              <w:rPr>
                <w:rFonts w:ascii="Calibri" w:eastAsia="Calibri" w:hAnsi="Calibri" w:cs="Calibri"/>
                <w:sz w:val="18"/>
                <w:szCs w:val="18"/>
                <w:lang w:val="en-US" w:eastAsia="en-US" w:bidi="th-TH"/>
              </w:rPr>
              <w:t xml:space="preserve"> Research Unit</w:t>
            </w:r>
          </w:p>
        </w:tc>
      </w:tr>
      <w:tr w:rsidR="00155460" w:rsidRPr="00155460" w14:paraId="1926CE68" w14:textId="77777777" w:rsidTr="00B87BC2">
        <w:tc>
          <w:tcPr>
            <w:tcW w:w="831" w:type="pct"/>
          </w:tcPr>
          <w:p w14:paraId="792A1AB8"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ACMHN</w:t>
            </w:r>
          </w:p>
        </w:tc>
        <w:tc>
          <w:tcPr>
            <w:tcW w:w="4169" w:type="pct"/>
          </w:tcPr>
          <w:p w14:paraId="5F4FF2E9"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The Australian College of Mental Health Nurses</w:t>
            </w:r>
          </w:p>
        </w:tc>
      </w:tr>
      <w:tr w:rsidR="00155460" w:rsidRPr="00155460" w14:paraId="2970FA67" w14:textId="77777777" w:rsidTr="00B87BC2">
        <w:tc>
          <w:tcPr>
            <w:tcW w:w="831" w:type="pct"/>
          </w:tcPr>
          <w:p w14:paraId="00C925A1"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ACPA</w:t>
            </w:r>
          </w:p>
        </w:tc>
        <w:tc>
          <w:tcPr>
            <w:tcW w:w="4169" w:type="pct"/>
          </w:tcPr>
          <w:p w14:paraId="3FB54DA8"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The Australian Clinical Psychology Association</w:t>
            </w:r>
          </w:p>
        </w:tc>
      </w:tr>
      <w:tr w:rsidR="00155460" w:rsidRPr="00155460" w14:paraId="3D67DD80" w14:textId="77777777" w:rsidTr="00B87BC2">
        <w:tc>
          <w:tcPr>
            <w:tcW w:w="831" w:type="pct"/>
          </w:tcPr>
          <w:p w14:paraId="6E431496"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ACRRM</w:t>
            </w:r>
          </w:p>
        </w:tc>
        <w:tc>
          <w:tcPr>
            <w:tcW w:w="4169" w:type="pct"/>
          </w:tcPr>
          <w:p w14:paraId="1E79B029"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The Australian College of Rural and Remote Medicine</w:t>
            </w:r>
          </w:p>
        </w:tc>
      </w:tr>
      <w:tr w:rsidR="00155460" w:rsidRPr="00155460" w14:paraId="5A1BB6A2" w14:textId="77777777" w:rsidTr="00B87BC2">
        <w:tc>
          <w:tcPr>
            <w:tcW w:w="831" w:type="pct"/>
          </w:tcPr>
          <w:p w14:paraId="54A951B6"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ADSL</w:t>
            </w:r>
          </w:p>
        </w:tc>
        <w:tc>
          <w:tcPr>
            <w:tcW w:w="4169" w:type="pct"/>
          </w:tcPr>
          <w:p w14:paraId="7EB0A7A1"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Asymmetric Digital Subscriber Line</w:t>
            </w:r>
          </w:p>
        </w:tc>
      </w:tr>
      <w:tr w:rsidR="00155460" w:rsidRPr="00155460" w14:paraId="3C864903" w14:textId="77777777" w:rsidTr="00B87BC2">
        <w:tc>
          <w:tcPr>
            <w:tcW w:w="831" w:type="pct"/>
          </w:tcPr>
          <w:p w14:paraId="743A5B76"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AIPA </w:t>
            </w:r>
          </w:p>
        </w:tc>
        <w:tc>
          <w:tcPr>
            <w:tcW w:w="4169" w:type="pct"/>
          </w:tcPr>
          <w:p w14:paraId="7DD3AC4F"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 xml:space="preserve">Australian Indigenous Psychologists’ Association </w:t>
            </w:r>
          </w:p>
        </w:tc>
      </w:tr>
      <w:tr w:rsidR="00155460" w:rsidRPr="00155460" w14:paraId="58E3613C" w14:textId="77777777" w:rsidTr="00B87BC2">
        <w:tc>
          <w:tcPr>
            <w:tcW w:w="831" w:type="pct"/>
          </w:tcPr>
          <w:p w14:paraId="06ABCABD"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AMHOCN</w:t>
            </w:r>
          </w:p>
        </w:tc>
        <w:tc>
          <w:tcPr>
            <w:tcW w:w="4169" w:type="pct"/>
          </w:tcPr>
          <w:p w14:paraId="078D758D"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Australian Mental Health Outcomes and Classification Network</w:t>
            </w:r>
          </w:p>
        </w:tc>
      </w:tr>
      <w:tr w:rsidR="00155460" w:rsidRPr="00155460" w14:paraId="3002FF53" w14:textId="77777777" w:rsidTr="00B87BC2">
        <w:tc>
          <w:tcPr>
            <w:tcW w:w="831" w:type="pct"/>
          </w:tcPr>
          <w:p w14:paraId="261631C9"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ATAPS</w:t>
            </w:r>
          </w:p>
        </w:tc>
        <w:tc>
          <w:tcPr>
            <w:tcW w:w="4169" w:type="pct"/>
          </w:tcPr>
          <w:p w14:paraId="3C80B094"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Access to Allied Psychological Services</w:t>
            </w:r>
          </w:p>
        </w:tc>
      </w:tr>
      <w:tr w:rsidR="00155460" w:rsidRPr="00155460" w14:paraId="44226E83" w14:textId="77777777" w:rsidTr="00B87BC2">
        <w:tc>
          <w:tcPr>
            <w:tcW w:w="831" w:type="pct"/>
          </w:tcPr>
          <w:p w14:paraId="7E09D9A8"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AUD</w:t>
            </w:r>
          </w:p>
        </w:tc>
        <w:tc>
          <w:tcPr>
            <w:tcW w:w="4169" w:type="pct"/>
          </w:tcPr>
          <w:p w14:paraId="5AEFFF4F"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Australian Dollar</w:t>
            </w:r>
          </w:p>
        </w:tc>
      </w:tr>
      <w:tr w:rsidR="00155460" w:rsidRPr="00155460" w14:paraId="722B765D" w14:textId="77777777" w:rsidTr="00B87BC2">
        <w:tc>
          <w:tcPr>
            <w:tcW w:w="831" w:type="pct"/>
          </w:tcPr>
          <w:p w14:paraId="77F6783F" w14:textId="77777777" w:rsidR="00155460" w:rsidRPr="00155460" w:rsidRDefault="00155460" w:rsidP="00155460">
            <w:pPr>
              <w:rPr>
                <w:rFonts w:ascii="Calibri" w:eastAsia="Calibri" w:hAnsi="Calibri" w:cs="Calibri"/>
                <w:sz w:val="18"/>
                <w:szCs w:val="18"/>
                <w:lang w:eastAsia="en-US"/>
              </w:rPr>
            </w:pPr>
            <w:proofErr w:type="spellStart"/>
            <w:r w:rsidRPr="00155460">
              <w:rPr>
                <w:rFonts w:ascii="Calibri" w:eastAsia="Calibri" w:hAnsi="Calibri" w:cs="Calibri"/>
                <w:sz w:val="18"/>
                <w:szCs w:val="18"/>
                <w:lang w:eastAsia="en-US"/>
              </w:rPr>
              <w:t>Aus</w:t>
            </w:r>
            <w:proofErr w:type="spellEnd"/>
          </w:p>
        </w:tc>
        <w:tc>
          <w:tcPr>
            <w:tcW w:w="4169" w:type="pct"/>
          </w:tcPr>
          <w:p w14:paraId="456FEEDD"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Australian born consumers</w:t>
            </w:r>
          </w:p>
        </w:tc>
      </w:tr>
      <w:tr w:rsidR="00155460" w:rsidRPr="00155460" w14:paraId="2E39D888" w14:textId="77777777" w:rsidTr="00B87BC2">
        <w:tc>
          <w:tcPr>
            <w:tcW w:w="831" w:type="pct"/>
          </w:tcPr>
          <w:p w14:paraId="0868C513"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AV</w:t>
            </w:r>
          </w:p>
        </w:tc>
        <w:tc>
          <w:tcPr>
            <w:tcW w:w="4169" w:type="pct"/>
          </w:tcPr>
          <w:p w14:paraId="365D23F9"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Audio Visual</w:t>
            </w:r>
          </w:p>
        </w:tc>
      </w:tr>
      <w:tr w:rsidR="00155460" w:rsidRPr="00155460" w14:paraId="35155A5D" w14:textId="77777777" w:rsidTr="00B87BC2">
        <w:tc>
          <w:tcPr>
            <w:tcW w:w="831" w:type="pct"/>
          </w:tcPr>
          <w:p w14:paraId="7C34A169"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CALD</w:t>
            </w:r>
          </w:p>
        </w:tc>
        <w:tc>
          <w:tcPr>
            <w:tcW w:w="4169" w:type="pct"/>
          </w:tcPr>
          <w:p w14:paraId="0A212857"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Culturally and Linguistically Diverse</w:t>
            </w:r>
          </w:p>
        </w:tc>
      </w:tr>
      <w:tr w:rsidR="00155460" w:rsidRPr="00155460" w14:paraId="1287F699" w14:textId="77777777" w:rsidTr="00B87BC2">
        <w:tc>
          <w:tcPr>
            <w:tcW w:w="831" w:type="pct"/>
          </w:tcPr>
          <w:p w14:paraId="0F386393"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CBT</w:t>
            </w:r>
          </w:p>
        </w:tc>
        <w:tc>
          <w:tcPr>
            <w:tcW w:w="4169" w:type="pct"/>
          </w:tcPr>
          <w:p w14:paraId="0150C451"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 xml:space="preserve">Cognitive </w:t>
            </w:r>
            <w:proofErr w:type="spellStart"/>
            <w:r w:rsidRPr="00155460">
              <w:rPr>
                <w:rFonts w:ascii="Calibri" w:eastAsia="Calibri" w:hAnsi="Calibri" w:cs="Calibri"/>
                <w:sz w:val="18"/>
                <w:szCs w:val="18"/>
                <w:lang w:val="en-US" w:eastAsia="en-US" w:bidi="th-TH"/>
              </w:rPr>
              <w:t>Behavioural</w:t>
            </w:r>
            <w:proofErr w:type="spellEnd"/>
            <w:r w:rsidRPr="00155460">
              <w:rPr>
                <w:rFonts w:ascii="Calibri" w:eastAsia="Calibri" w:hAnsi="Calibri" w:cs="Calibri"/>
                <w:sz w:val="18"/>
                <w:szCs w:val="18"/>
                <w:lang w:val="en-US" w:eastAsia="en-US" w:bidi="th-TH"/>
              </w:rPr>
              <w:t xml:space="preserve"> Therapy</w:t>
            </w:r>
          </w:p>
        </w:tc>
      </w:tr>
      <w:tr w:rsidR="00155460" w:rsidRPr="00155460" w14:paraId="4FAF3F4F" w14:textId="77777777" w:rsidTr="00B87BC2">
        <w:tc>
          <w:tcPr>
            <w:tcW w:w="831" w:type="pct"/>
          </w:tcPr>
          <w:p w14:paraId="050C14A4"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CI</w:t>
            </w:r>
          </w:p>
        </w:tc>
        <w:tc>
          <w:tcPr>
            <w:tcW w:w="4169" w:type="pct"/>
          </w:tcPr>
          <w:p w14:paraId="3B809A61"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Confidence Interval</w:t>
            </w:r>
          </w:p>
        </w:tc>
      </w:tr>
      <w:tr w:rsidR="00155460" w:rsidRPr="00155460" w14:paraId="2797B709" w14:textId="77777777" w:rsidTr="00B87BC2">
        <w:tc>
          <w:tcPr>
            <w:tcW w:w="831" w:type="pct"/>
          </w:tcPr>
          <w:p w14:paraId="111CA78C"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Chi</w:t>
            </w:r>
          </w:p>
        </w:tc>
        <w:tc>
          <w:tcPr>
            <w:tcW w:w="4169" w:type="pct"/>
          </w:tcPr>
          <w:p w14:paraId="13546447"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 xml:space="preserve">Chi squared value </w:t>
            </w:r>
          </w:p>
        </w:tc>
      </w:tr>
      <w:tr w:rsidR="00155460" w:rsidRPr="00155460" w14:paraId="059DABCA" w14:textId="77777777" w:rsidTr="00B87BC2">
        <w:tc>
          <w:tcPr>
            <w:tcW w:w="831" w:type="pct"/>
          </w:tcPr>
          <w:p w14:paraId="02559370"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df</w:t>
            </w:r>
          </w:p>
        </w:tc>
        <w:tc>
          <w:tcPr>
            <w:tcW w:w="4169" w:type="pct"/>
          </w:tcPr>
          <w:p w14:paraId="2805E7E3"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degrees of freedom</w:t>
            </w:r>
          </w:p>
        </w:tc>
      </w:tr>
      <w:tr w:rsidR="00155460" w:rsidRPr="00155460" w14:paraId="75CEA6AA" w14:textId="77777777" w:rsidTr="00B87BC2">
        <w:tc>
          <w:tcPr>
            <w:tcW w:w="831" w:type="pct"/>
          </w:tcPr>
          <w:p w14:paraId="0CD410F8"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DMHS</w:t>
            </w:r>
          </w:p>
        </w:tc>
        <w:tc>
          <w:tcPr>
            <w:tcW w:w="4169" w:type="pct"/>
          </w:tcPr>
          <w:p w14:paraId="3E9BB07E"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Digital Mental Health Service</w:t>
            </w:r>
          </w:p>
        </w:tc>
      </w:tr>
      <w:tr w:rsidR="00155460" w:rsidRPr="00155460" w14:paraId="0E03904A" w14:textId="77777777" w:rsidTr="00B87BC2">
        <w:tc>
          <w:tcPr>
            <w:tcW w:w="831" w:type="pct"/>
          </w:tcPr>
          <w:p w14:paraId="13DCC03F"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Calibri"/>
                <w:sz w:val="18"/>
                <w:szCs w:val="18"/>
                <w:lang w:val="en-US" w:eastAsia="en-US" w:bidi="th-TH"/>
              </w:rPr>
              <w:t>DMHI</w:t>
            </w:r>
          </w:p>
        </w:tc>
        <w:tc>
          <w:tcPr>
            <w:tcW w:w="4169" w:type="pct"/>
          </w:tcPr>
          <w:p w14:paraId="16C7E75D"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Calibri"/>
                <w:sz w:val="18"/>
                <w:szCs w:val="18"/>
                <w:lang w:val="en-US" w:eastAsia="en-US" w:bidi="th-TH"/>
              </w:rPr>
              <w:t>Digital Mental Health Intervention</w:t>
            </w:r>
          </w:p>
        </w:tc>
      </w:tr>
      <w:tr w:rsidR="00155460" w:rsidRPr="00155460" w14:paraId="21A8D063" w14:textId="77777777" w:rsidTr="00B87BC2">
        <w:tc>
          <w:tcPr>
            <w:tcW w:w="831" w:type="pct"/>
          </w:tcPr>
          <w:p w14:paraId="39C30E85" w14:textId="77777777" w:rsidR="00155460" w:rsidRPr="00155460" w:rsidRDefault="00155460" w:rsidP="00155460">
            <w:pPr>
              <w:rPr>
                <w:rFonts w:ascii="Calibri" w:eastAsia="Calibri" w:hAnsi="Calibri" w:cs="Calibri"/>
                <w:sz w:val="18"/>
                <w:szCs w:val="18"/>
                <w:lang w:val="en-US" w:eastAsia="en-US" w:bidi="th-TH"/>
              </w:rPr>
            </w:pPr>
            <w:proofErr w:type="spellStart"/>
            <w:r w:rsidRPr="00155460">
              <w:rPr>
                <w:rFonts w:ascii="Calibri" w:eastAsia="Calibri" w:hAnsi="Calibri" w:cs="Calibri"/>
                <w:sz w:val="18"/>
                <w:szCs w:val="18"/>
                <w:lang w:val="en-US" w:eastAsia="en-US" w:bidi="th-TH"/>
              </w:rPr>
              <w:t>ePASS</w:t>
            </w:r>
            <w:proofErr w:type="spellEnd"/>
          </w:p>
        </w:tc>
        <w:tc>
          <w:tcPr>
            <w:tcW w:w="4169" w:type="pct"/>
          </w:tcPr>
          <w:p w14:paraId="0B10E188"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Calibri"/>
                <w:sz w:val="18"/>
                <w:szCs w:val="18"/>
                <w:lang w:val="en-US" w:eastAsia="en-US" w:bidi="th-TH"/>
              </w:rPr>
              <w:t>Online Psychological Assessment (for Mental Health Online)</w:t>
            </w:r>
          </w:p>
        </w:tc>
      </w:tr>
      <w:tr w:rsidR="00155460" w:rsidRPr="00155460" w14:paraId="35C1A0F6" w14:textId="77777777" w:rsidTr="00B87BC2">
        <w:tc>
          <w:tcPr>
            <w:tcW w:w="831" w:type="pct"/>
          </w:tcPr>
          <w:p w14:paraId="644F1F5C" w14:textId="77777777" w:rsidR="00155460" w:rsidRPr="00155460" w:rsidRDefault="00155460" w:rsidP="00155460">
            <w:pPr>
              <w:rPr>
                <w:rFonts w:ascii="Calibri" w:eastAsia="Calibri" w:hAnsi="Calibri" w:cs="Calibri"/>
                <w:sz w:val="18"/>
                <w:szCs w:val="18"/>
                <w:lang w:val="en-US" w:eastAsia="en-US" w:bidi="th-TH"/>
              </w:rPr>
            </w:pPr>
            <w:proofErr w:type="spellStart"/>
            <w:r w:rsidRPr="00155460">
              <w:rPr>
                <w:rFonts w:ascii="Calibri" w:eastAsia="Calibri" w:hAnsi="Calibri" w:cs="Calibri"/>
                <w:color w:val="000000"/>
                <w:sz w:val="18"/>
                <w:szCs w:val="18"/>
                <w:lang w:eastAsia="en-US"/>
              </w:rPr>
              <w:t>eMHPrac</w:t>
            </w:r>
            <w:proofErr w:type="spellEnd"/>
          </w:p>
        </w:tc>
        <w:tc>
          <w:tcPr>
            <w:tcW w:w="4169" w:type="pct"/>
          </w:tcPr>
          <w:p w14:paraId="4A72EB81" w14:textId="77777777" w:rsidR="00155460" w:rsidRPr="00155460" w:rsidRDefault="00155460" w:rsidP="00155460">
            <w:pPr>
              <w:rPr>
                <w:rFonts w:ascii="Calibri" w:eastAsia="Calibri" w:hAnsi="Calibri" w:cs="Calibri"/>
                <w:sz w:val="18"/>
                <w:szCs w:val="18"/>
                <w:lang w:val="en-US" w:eastAsia="en-US" w:bidi="th-TH"/>
              </w:rPr>
            </w:pPr>
            <w:proofErr w:type="spellStart"/>
            <w:r w:rsidRPr="00155460">
              <w:rPr>
                <w:rFonts w:ascii="Calibri" w:eastAsia="Calibri" w:hAnsi="Calibri" w:cs="Calibri"/>
                <w:color w:val="000000"/>
                <w:sz w:val="18"/>
                <w:szCs w:val="18"/>
                <w:lang w:eastAsia="en-US"/>
              </w:rPr>
              <w:t>eMental</w:t>
            </w:r>
            <w:proofErr w:type="spellEnd"/>
            <w:r w:rsidRPr="00155460">
              <w:rPr>
                <w:rFonts w:ascii="Calibri" w:eastAsia="Calibri" w:hAnsi="Calibri" w:cs="Calibri"/>
                <w:color w:val="000000"/>
                <w:sz w:val="18"/>
                <w:szCs w:val="18"/>
                <w:lang w:eastAsia="en-US"/>
              </w:rPr>
              <w:t xml:space="preserve"> Health in Practice</w:t>
            </w:r>
          </w:p>
        </w:tc>
      </w:tr>
      <w:tr w:rsidR="00155460" w:rsidRPr="00155460" w14:paraId="24A2243B" w14:textId="77777777" w:rsidTr="00B87BC2">
        <w:tc>
          <w:tcPr>
            <w:tcW w:w="831" w:type="pct"/>
          </w:tcPr>
          <w:p w14:paraId="6048C2D3"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Calibri"/>
                <w:sz w:val="18"/>
                <w:szCs w:val="18"/>
                <w:lang w:val="en-US" w:eastAsia="en-US" w:bidi="th-TH"/>
              </w:rPr>
              <w:t>ERR</w:t>
            </w:r>
          </w:p>
        </w:tc>
        <w:tc>
          <w:tcPr>
            <w:tcW w:w="4169" w:type="pct"/>
          </w:tcPr>
          <w:p w14:paraId="6267011A"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Calibri"/>
                <w:sz w:val="18"/>
                <w:szCs w:val="18"/>
                <w:lang w:val="en-US" w:eastAsia="en-US" w:bidi="th-TH"/>
              </w:rPr>
              <w:t>Excess Rate Ratio</w:t>
            </w:r>
          </w:p>
        </w:tc>
      </w:tr>
      <w:tr w:rsidR="00155460" w:rsidRPr="00155460" w14:paraId="4D350698" w14:textId="77777777" w:rsidTr="00B87BC2">
        <w:tc>
          <w:tcPr>
            <w:tcW w:w="831" w:type="pct"/>
          </w:tcPr>
          <w:p w14:paraId="7B54A07B"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Calibri"/>
                <w:sz w:val="18"/>
                <w:szCs w:val="18"/>
                <w:lang w:val="en-US" w:eastAsia="en-US" w:bidi="th-TH"/>
              </w:rPr>
              <w:t>ESB</w:t>
            </w:r>
          </w:p>
        </w:tc>
        <w:tc>
          <w:tcPr>
            <w:tcW w:w="4169" w:type="pct"/>
          </w:tcPr>
          <w:p w14:paraId="789D7F99"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Calibri"/>
                <w:sz w:val="18"/>
                <w:szCs w:val="18"/>
                <w:lang w:val="en-US" w:eastAsia="en-US" w:bidi="th-TH"/>
              </w:rPr>
              <w:t>Migrant of an English-Speaking Background</w:t>
            </w:r>
          </w:p>
        </w:tc>
      </w:tr>
      <w:tr w:rsidR="00155460" w:rsidRPr="00155460" w14:paraId="3CBA65D7" w14:textId="77777777" w:rsidTr="00B87BC2">
        <w:tc>
          <w:tcPr>
            <w:tcW w:w="831" w:type="pct"/>
          </w:tcPr>
          <w:p w14:paraId="064AD25C"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Calibri"/>
                <w:sz w:val="18"/>
                <w:szCs w:val="18"/>
                <w:lang w:val="en-US" w:eastAsia="en-US" w:bidi="th-TH"/>
              </w:rPr>
              <w:t>FTE</w:t>
            </w:r>
          </w:p>
        </w:tc>
        <w:tc>
          <w:tcPr>
            <w:tcW w:w="4169" w:type="pct"/>
          </w:tcPr>
          <w:p w14:paraId="7F74BE6D"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Calibri"/>
                <w:sz w:val="18"/>
                <w:szCs w:val="18"/>
                <w:lang w:val="en-US" w:eastAsia="en-US" w:bidi="th-TH"/>
              </w:rPr>
              <w:t>Full Time Equivalent</w:t>
            </w:r>
          </w:p>
        </w:tc>
      </w:tr>
      <w:tr w:rsidR="00155460" w:rsidRPr="00155460" w14:paraId="0BB893AB" w14:textId="77777777" w:rsidTr="00B87BC2">
        <w:tc>
          <w:tcPr>
            <w:tcW w:w="831" w:type="pct"/>
          </w:tcPr>
          <w:p w14:paraId="55E1C7E4"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Calibri"/>
                <w:sz w:val="18"/>
                <w:szCs w:val="18"/>
                <w:lang w:val="en-US" w:eastAsia="en-US" w:bidi="th-TH"/>
              </w:rPr>
              <w:t>FY</w:t>
            </w:r>
          </w:p>
        </w:tc>
        <w:tc>
          <w:tcPr>
            <w:tcW w:w="4169" w:type="pct"/>
          </w:tcPr>
          <w:p w14:paraId="51BE470D"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Calibri"/>
                <w:sz w:val="18"/>
                <w:szCs w:val="18"/>
                <w:lang w:val="en-US" w:eastAsia="en-US" w:bidi="th-TH"/>
              </w:rPr>
              <w:t>Financial Year</w:t>
            </w:r>
          </w:p>
        </w:tc>
      </w:tr>
      <w:tr w:rsidR="00155460" w:rsidRPr="00155460" w14:paraId="476066DE" w14:textId="77777777" w:rsidTr="00B87BC2">
        <w:tc>
          <w:tcPr>
            <w:tcW w:w="831" w:type="pct"/>
          </w:tcPr>
          <w:p w14:paraId="4305C7B6"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Calibri"/>
                <w:sz w:val="18"/>
                <w:szCs w:val="18"/>
                <w:lang w:val="en-US" w:eastAsia="en-US" w:bidi="th-TH"/>
              </w:rPr>
              <w:t>GAD</w:t>
            </w:r>
          </w:p>
        </w:tc>
        <w:tc>
          <w:tcPr>
            <w:tcW w:w="4169" w:type="pct"/>
          </w:tcPr>
          <w:p w14:paraId="4FCB5A9F" w14:textId="77777777" w:rsidR="00155460" w:rsidRPr="00155460" w:rsidRDefault="00155460" w:rsidP="00155460">
            <w:pPr>
              <w:rPr>
                <w:rFonts w:ascii="Calibri" w:eastAsia="Calibri" w:hAnsi="Calibri" w:cs="Calibri"/>
                <w:sz w:val="18"/>
                <w:szCs w:val="18"/>
                <w:lang w:val="en-US" w:eastAsia="en-US" w:bidi="th-TH"/>
              </w:rPr>
            </w:pPr>
            <w:proofErr w:type="spellStart"/>
            <w:r w:rsidRPr="00155460">
              <w:rPr>
                <w:rFonts w:ascii="Calibri" w:eastAsia="Calibri" w:hAnsi="Calibri" w:cs="Calibri"/>
                <w:sz w:val="18"/>
                <w:szCs w:val="18"/>
                <w:lang w:val="en-US" w:eastAsia="en-US" w:bidi="th-TH"/>
              </w:rPr>
              <w:t>Generalised</w:t>
            </w:r>
            <w:proofErr w:type="spellEnd"/>
            <w:r w:rsidRPr="00155460">
              <w:rPr>
                <w:rFonts w:ascii="Calibri" w:eastAsia="Calibri" w:hAnsi="Calibri" w:cs="Calibri"/>
                <w:sz w:val="18"/>
                <w:szCs w:val="18"/>
                <w:lang w:val="en-US" w:eastAsia="en-US" w:bidi="th-TH"/>
              </w:rPr>
              <w:t xml:space="preserve"> Anxiety Disorder</w:t>
            </w:r>
          </w:p>
        </w:tc>
      </w:tr>
      <w:tr w:rsidR="00155460" w:rsidRPr="00155460" w14:paraId="4997CD47" w14:textId="77777777" w:rsidTr="00B87BC2">
        <w:tc>
          <w:tcPr>
            <w:tcW w:w="831" w:type="pct"/>
          </w:tcPr>
          <w:p w14:paraId="58573C12"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Calibri"/>
                <w:sz w:val="18"/>
                <w:szCs w:val="18"/>
                <w:lang w:val="en-US" w:eastAsia="en-US" w:bidi="th-TH"/>
              </w:rPr>
              <w:t>GAD-7</w:t>
            </w:r>
          </w:p>
        </w:tc>
        <w:tc>
          <w:tcPr>
            <w:tcW w:w="4169" w:type="pct"/>
          </w:tcPr>
          <w:p w14:paraId="25A86E2F" w14:textId="77777777" w:rsidR="00155460" w:rsidRPr="00155460" w:rsidRDefault="00155460" w:rsidP="00155460">
            <w:pPr>
              <w:rPr>
                <w:rFonts w:ascii="Calibri" w:eastAsia="Calibri" w:hAnsi="Calibri" w:cs="Calibri"/>
                <w:sz w:val="18"/>
                <w:szCs w:val="18"/>
                <w:lang w:eastAsia="en-US"/>
              </w:rPr>
            </w:pPr>
            <w:proofErr w:type="spellStart"/>
            <w:r w:rsidRPr="00155460">
              <w:rPr>
                <w:rFonts w:ascii="Calibri" w:eastAsia="Calibri" w:hAnsi="Calibri" w:cs="Calibri"/>
                <w:sz w:val="18"/>
                <w:szCs w:val="18"/>
                <w:lang w:val="en-US" w:eastAsia="en-US" w:bidi="th-TH"/>
              </w:rPr>
              <w:t>Generalised</w:t>
            </w:r>
            <w:proofErr w:type="spellEnd"/>
            <w:r w:rsidRPr="00155460">
              <w:rPr>
                <w:rFonts w:ascii="Calibri" w:eastAsia="Calibri" w:hAnsi="Calibri" w:cs="Calibri"/>
                <w:sz w:val="18"/>
                <w:szCs w:val="18"/>
                <w:lang w:val="en-US" w:eastAsia="en-US" w:bidi="th-TH"/>
              </w:rPr>
              <w:t xml:space="preserve"> Anxiety Disorder 7-Item Scale</w:t>
            </w:r>
          </w:p>
        </w:tc>
      </w:tr>
      <w:tr w:rsidR="00155460" w:rsidRPr="00155460" w14:paraId="77C84D44" w14:textId="77777777" w:rsidTr="00B87BC2">
        <w:tc>
          <w:tcPr>
            <w:tcW w:w="831" w:type="pct"/>
          </w:tcPr>
          <w:p w14:paraId="5FAAEC37"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GP</w:t>
            </w:r>
          </w:p>
        </w:tc>
        <w:tc>
          <w:tcPr>
            <w:tcW w:w="4169" w:type="pct"/>
          </w:tcPr>
          <w:p w14:paraId="3B34E880"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General Practitioner</w:t>
            </w:r>
          </w:p>
        </w:tc>
      </w:tr>
      <w:tr w:rsidR="00155460" w:rsidRPr="00155460" w14:paraId="7059CCDB" w14:textId="77777777" w:rsidTr="00B87BC2">
        <w:tc>
          <w:tcPr>
            <w:tcW w:w="831" w:type="pct"/>
          </w:tcPr>
          <w:p w14:paraId="5A491094"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MH</w:t>
            </w:r>
          </w:p>
        </w:tc>
        <w:tc>
          <w:tcPr>
            <w:tcW w:w="4169" w:type="pct"/>
          </w:tcPr>
          <w:p w14:paraId="400DE6BE"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Calibri"/>
                <w:sz w:val="18"/>
                <w:szCs w:val="18"/>
                <w:lang w:val="en-US" w:eastAsia="en-US" w:bidi="th-TH"/>
              </w:rPr>
              <w:t>Mental Health</w:t>
            </w:r>
          </w:p>
        </w:tc>
      </w:tr>
      <w:tr w:rsidR="00155460" w:rsidRPr="00155460" w14:paraId="012D81A7" w14:textId="77777777" w:rsidTr="00B87BC2">
        <w:tc>
          <w:tcPr>
            <w:tcW w:w="831" w:type="pct"/>
          </w:tcPr>
          <w:p w14:paraId="4014D27D"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Calibri"/>
                <w:sz w:val="18"/>
                <w:szCs w:val="18"/>
                <w:lang w:val="en-US" w:eastAsia="en-US" w:bidi="th-TH"/>
              </w:rPr>
              <w:t xml:space="preserve">IAPT </w:t>
            </w:r>
          </w:p>
        </w:tc>
        <w:tc>
          <w:tcPr>
            <w:tcW w:w="4169" w:type="pct"/>
          </w:tcPr>
          <w:p w14:paraId="79DBD2A8"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Calibri"/>
                <w:sz w:val="18"/>
                <w:szCs w:val="18"/>
                <w:lang w:val="en-US" w:eastAsia="en-US" w:bidi="th-TH"/>
              </w:rPr>
              <w:t>Improving Access to Psychological Therapies (UK)</w:t>
            </w:r>
          </w:p>
        </w:tc>
      </w:tr>
      <w:tr w:rsidR="00155460" w:rsidRPr="00155460" w14:paraId="1EA7DB34" w14:textId="77777777" w:rsidTr="00B87BC2">
        <w:tc>
          <w:tcPr>
            <w:tcW w:w="831" w:type="pct"/>
          </w:tcPr>
          <w:p w14:paraId="49D398A4" w14:textId="77777777" w:rsidR="00155460" w:rsidRPr="00155460" w:rsidRDefault="00155460" w:rsidP="00155460">
            <w:pPr>
              <w:rPr>
                <w:rFonts w:ascii="Calibri" w:eastAsia="Calibri" w:hAnsi="Calibri" w:cs="Calibri"/>
                <w:sz w:val="18"/>
                <w:szCs w:val="18"/>
                <w:lang w:eastAsia="en-US"/>
              </w:rPr>
            </w:pPr>
            <w:proofErr w:type="spellStart"/>
            <w:r w:rsidRPr="00155460">
              <w:rPr>
                <w:rFonts w:ascii="Calibri" w:eastAsia="Calibri" w:hAnsi="Calibri" w:cs="Calibri"/>
                <w:sz w:val="18"/>
                <w:szCs w:val="18"/>
                <w:lang w:val="en-US" w:eastAsia="en-US" w:bidi="th-TH"/>
              </w:rPr>
              <w:t>iCBT</w:t>
            </w:r>
            <w:proofErr w:type="spellEnd"/>
          </w:p>
        </w:tc>
        <w:tc>
          <w:tcPr>
            <w:tcW w:w="4169" w:type="pct"/>
          </w:tcPr>
          <w:p w14:paraId="5593B587"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 xml:space="preserve">internet Cognitive </w:t>
            </w:r>
            <w:proofErr w:type="spellStart"/>
            <w:r w:rsidRPr="00155460">
              <w:rPr>
                <w:rFonts w:ascii="Calibri" w:eastAsia="Calibri" w:hAnsi="Calibri" w:cs="Calibri"/>
                <w:sz w:val="18"/>
                <w:szCs w:val="18"/>
                <w:lang w:val="en-US" w:eastAsia="en-US" w:bidi="th-TH"/>
              </w:rPr>
              <w:t>Behavioural</w:t>
            </w:r>
            <w:proofErr w:type="spellEnd"/>
            <w:r w:rsidRPr="00155460">
              <w:rPr>
                <w:rFonts w:ascii="Calibri" w:eastAsia="Calibri" w:hAnsi="Calibri" w:cs="Calibri"/>
                <w:sz w:val="18"/>
                <w:szCs w:val="18"/>
                <w:lang w:val="en-US" w:eastAsia="en-US" w:bidi="th-TH"/>
              </w:rPr>
              <w:t xml:space="preserve"> Therapy</w:t>
            </w:r>
          </w:p>
        </w:tc>
      </w:tr>
      <w:tr w:rsidR="00155460" w:rsidRPr="00155460" w14:paraId="59FD3769" w14:textId="77777777" w:rsidTr="00B87BC2">
        <w:tc>
          <w:tcPr>
            <w:tcW w:w="831" w:type="pct"/>
          </w:tcPr>
          <w:p w14:paraId="28912798"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ICER</w:t>
            </w:r>
          </w:p>
        </w:tc>
        <w:tc>
          <w:tcPr>
            <w:tcW w:w="4169" w:type="pct"/>
          </w:tcPr>
          <w:p w14:paraId="63A8B38E"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Incremental cost-effectiveness ratio</w:t>
            </w:r>
          </w:p>
        </w:tc>
      </w:tr>
      <w:tr w:rsidR="00155460" w:rsidRPr="00155460" w14:paraId="6129D648" w14:textId="77777777" w:rsidTr="00B87BC2">
        <w:tc>
          <w:tcPr>
            <w:tcW w:w="831" w:type="pct"/>
          </w:tcPr>
          <w:p w14:paraId="62439567"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ICP</w:t>
            </w:r>
          </w:p>
        </w:tc>
        <w:tc>
          <w:tcPr>
            <w:tcW w:w="4169" w:type="pct"/>
          </w:tcPr>
          <w:p w14:paraId="55C77D96"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Institute Clinical Psychologists</w:t>
            </w:r>
          </w:p>
        </w:tc>
      </w:tr>
      <w:tr w:rsidR="00155460" w:rsidRPr="00155460" w14:paraId="2B3BA9C8" w14:textId="77777777" w:rsidTr="00B87BC2">
        <w:tc>
          <w:tcPr>
            <w:tcW w:w="831" w:type="pct"/>
          </w:tcPr>
          <w:p w14:paraId="1D0E6C7D"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IRR</w:t>
            </w:r>
          </w:p>
        </w:tc>
        <w:tc>
          <w:tcPr>
            <w:tcW w:w="4169" w:type="pct"/>
          </w:tcPr>
          <w:p w14:paraId="4D64B334"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Incidence Rate Ratio</w:t>
            </w:r>
          </w:p>
        </w:tc>
      </w:tr>
      <w:tr w:rsidR="00155460" w:rsidRPr="00155460" w14:paraId="45E288FB" w14:textId="77777777" w:rsidTr="00B87BC2">
        <w:tc>
          <w:tcPr>
            <w:tcW w:w="831" w:type="pct"/>
          </w:tcPr>
          <w:p w14:paraId="2AED39F8"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ISI</w:t>
            </w:r>
          </w:p>
        </w:tc>
        <w:tc>
          <w:tcPr>
            <w:tcW w:w="4169" w:type="pct"/>
          </w:tcPr>
          <w:p w14:paraId="69D5B08A"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Insomnia Severity Index</w:t>
            </w:r>
          </w:p>
        </w:tc>
      </w:tr>
      <w:tr w:rsidR="00155460" w:rsidRPr="00155460" w14:paraId="1C3A397E" w14:textId="77777777" w:rsidTr="00B87BC2">
        <w:tc>
          <w:tcPr>
            <w:tcW w:w="831" w:type="pct"/>
          </w:tcPr>
          <w:p w14:paraId="1EADDFC6"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IT</w:t>
            </w:r>
          </w:p>
        </w:tc>
        <w:tc>
          <w:tcPr>
            <w:tcW w:w="4169" w:type="pct"/>
          </w:tcPr>
          <w:p w14:paraId="0F6E7990"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Information Technology</w:t>
            </w:r>
          </w:p>
        </w:tc>
      </w:tr>
      <w:tr w:rsidR="00155460" w:rsidRPr="00155460" w14:paraId="642E729F" w14:textId="77777777" w:rsidTr="00B87BC2">
        <w:tc>
          <w:tcPr>
            <w:tcW w:w="831" w:type="pct"/>
          </w:tcPr>
          <w:p w14:paraId="00BC68C0"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K6</w:t>
            </w:r>
          </w:p>
        </w:tc>
        <w:tc>
          <w:tcPr>
            <w:tcW w:w="4169" w:type="pct"/>
          </w:tcPr>
          <w:p w14:paraId="570B3649"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Kessler Psychological Distress 6-Item Scale</w:t>
            </w:r>
          </w:p>
        </w:tc>
      </w:tr>
      <w:tr w:rsidR="00155460" w:rsidRPr="00155460" w14:paraId="0C5D5A73" w14:textId="77777777" w:rsidTr="00B87BC2">
        <w:tc>
          <w:tcPr>
            <w:tcW w:w="831" w:type="pct"/>
          </w:tcPr>
          <w:p w14:paraId="64F03CD7"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K10</w:t>
            </w:r>
          </w:p>
        </w:tc>
        <w:tc>
          <w:tcPr>
            <w:tcW w:w="4169" w:type="pct"/>
          </w:tcPr>
          <w:p w14:paraId="6F5AE057"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Calibri"/>
                <w:sz w:val="18"/>
                <w:szCs w:val="18"/>
                <w:lang w:val="en-US" w:eastAsia="en-US" w:bidi="th-TH"/>
              </w:rPr>
              <w:t>Kessler Psychological Distress 10-Item Scale</w:t>
            </w:r>
          </w:p>
        </w:tc>
      </w:tr>
      <w:tr w:rsidR="00155460" w:rsidRPr="00155460" w14:paraId="30B79F02" w14:textId="77777777" w:rsidTr="00B87BC2">
        <w:tc>
          <w:tcPr>
            <w:tcW w:w="831" w:type="pct"/>
          </w:tcPr>
          <w:p w14:paraId="7463B688"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Calibri"/>
                <w:sz w:val="18"/>
                <w:szCs w:val="18"/>
                <w:lang w:val="en-US" w:eastAsia="en-US" w:bidi="th-TH"/>
              </w:rPr>
              <w:t>K10+</w:t>
            </w:r>
          </w:p>
        </w:tc>
        <w:tc>
          <w:tcPr>
            <w:tcW w:w="4169" w:type="pct"/>
          </w:tcPr>
          <w:p w14:paraId="305E678F"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Calibri"/>
                <w:sz w:val="18"/>
                <w:szCs w:val="18"/>
                <w:lang w:val="en-US" w:eastAsia="en-US" w:bidi="th-TH"/>
              </w:rPr>
              <w:t>Kessler Psychological Distress 10 item scale, plus four additional questions to assess disability</w:t>
            </w:r>
          </w:p>
        </w:tc>
      </w:tr>
      <w:tr w:rsidR="00155460" w:rsidRPr="00155460" w14:paraId="3B3CD404" w14:textId="77777777" w:rsidTr="00B87BC2">
        <w:tc>
          <w:tcPr>
            <w:tcW w:w="831" w:type="pct"/>
          </w:tcPr>
          <w:p w14:paraId="0F5BE333"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KEQs</w:t>
            </w:r>
          </w:p>
        </w:tc>
        <w:tc>
          <w:tcPr>
            <w:tcW w:w="4169" w:type="pct"/>
          </w:tcPr>
          <w:p w14:paraId="5327DC57"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Key Evaluation Questions</w:t>
            </w:r>
          </w:p>
        </w:tc>
      </w:tr>
      <w:tr w:rsidR="00155460" w:rsidRPr="00155460" w14:paraId="1C937533" w14:textId="77777777" w:rsidTr="00B87BC2">
        <w:tc>
          <w:tcPr>
            <w:tcW w:w="831" w:type="pct"/>
          </w:tcPr>
          <w:p w14:paraId="279E7233"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LGBTQIA+</w:t>
            </w:r>
          </w:p>
        </w:tc>
        <w:tc>
          <w:tcPr>
            <w:tcW w:w="4169" w:type="pct"/>
          </w:tcPr>
          <w:p w14:paraId="048FD2B7"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Calibri"/>
                <w:sz w:val="18"/>
                <w:szCs w:val="18"/>
                <w:lang w:val="en-US" w:eastAsia="en-US" w:bidi="th-TH"/>
              </w:rPr>
              <w:t>Lesbian, Gay, Bisexual, Transgender, Queer, Intersex, and Asexual</w:t>
            </w:r>
          </w:p>
        </w:tc>
      </w:tr>
      <w:tr w:rsidR="00155460" w:rsidRPr="00155460" w14:paraId="4F7BB3CD" w14:textId="77777777" w:rsidTr="00B87BC2">
        <w:tc>
          <w:tcPr>
            <w:tcW w:w="831" w:type="pct"/>
          </w:tcPr>
          <w:p w14:paraId="6003DA46"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Max</w:t>
            </w:r>
          </w:p>
        </w:tc>
        <w:tc>
          <w:tcPr>
            <w:tcW w:w="4169" w:type="pct"/>
          </w:tcPr>
          <w:p w14:paraId="0ED9AAD7"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Maximum</w:t>
            </w:r>
          </w:p>
        </w:tc>
      </w:tr>
      <w:tr w:rsidR="00155460" w:rsidRPr="00155460" w14:paraId="22C10858" w14:textId="77777777" w:rsidTr="00B87BC2">
        <w:tc>
          <w:tcPr>
            <w:tcW w:w="831" w:type="pct"/>
          </w:tcPr>
          <w:p w14:paraId="57AD9411"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MBS</w:t>
            </w:r>
          </w:p>
        </w:tc>
        <w:tc>
          <w:tcPr>
            <w:tcW w:w="4169" w:type="pct"/>
          </w:tcPr>
          <w:p w14:paraId="39162CCA"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Medicare Benefit Scheme</w:t>
            </w:r>
          </w:p>
        </w:tc>
      </w:tr>
      <w:tr w:rsidR="00155460" w:rsidRPr="00155460" w14:paraId="3E13589E" w14:textId="77777777" w:rsidTr="00B87BC2">
        <w:tc>
          <w:tcPr>
            <w:tcW w:w="831" w:type="pct"/>
          </w:tcPr>
          <w:p w14:paraId="6269CBF8"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Calibri"/>
                <w:sz w:val="18"/>
                <w:szCs w:val="18"/>
                <w:lang w:val="en-US" w:eastAsia="en-US" w:bidi="th-TH"/>
              </w:rPr>
              <w:t>MCID</w:t>
            </w:r>
          </w:p>
        </w:tc>
        <w:tc>
          <w:tcPr>
            <w:tcW w:w="4169" w:type="pct"/>
          </w:tcPr>
          <w:p w14:paraId="0FC2C52F"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Arial"/>
                <w:sz w:val="18"/>
                <w:szCs w:val="18"/>
                <w:lang w:eastAsia="en-US"/>
              </w:rPr>
              <w:t>Minimum Clinically Important Difference</w:t>
            </w:r>
          </w:p>
        </w:tc>
      </w:tr>
      <w:tr w:rsidR="00155460" w:rsidRPr="00155460" w14:paraId="5EFCD9E3" w14:textId="77777777" w:rsidTr="00B87BC2">
        <w:tc>
          <w:tcPr>
            <w:tcW w:w="831" w:type="pct"/>
          </w:tcPr>
          <w:p w14:paraId="073B7640"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MHO</w:t>
            </w:r>
          </w:p>
        </w:tc>
        <w:tc>
          <w:tcPr>
            <w:tcW w:w="4169" w:type="pct"/>
          </w:tcPr>
          <w:p w14:paraId="0F34285B"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Mental Health Online</w:t>
            </w:r>
          </w:p>
        </w:tc>
      </w:tr>
      <w:tr w:rsidR="00155460" w:rsidRPr="00155460" w14:paraId="49682FB4" w14:textId="77777777" w:rsidTr="00B87BC2">
        <w:tc>
          <w:tcPr>
            <w:tcW w:w="831" w:type="pct"/>
          </w:tcPr>
          <w:p w14:paraId="253FC776" w14:textId="77777777" w:rsidR="00155460" w:rsidRPr="00155460" w:rsidRDefault="00155460" w:rsidP="00155460">
            <w:pPr>
              <w:rPr>
                <w:rFonts w:ascii="Calibri" w:eastAsia="Calibri" w:hAnsi="Calibri" w:cs="Calibri"/>
                <w:sz w:val="18"/>
                <w:szCs w:val="18"/>
                <w:lang w:val="en-US" w:eastAsia="en-US" w:bidi="th-TH"/>
              </w:rPr>
            </w:pPr>
            <w:proofErr w:type="spellStart"/>
            <w:r w:rsidRPr="00155460">
              <w:rPr>
                <w:rFonts w:ascii="Calibri" w:eastAsia="Calibri" w:hAnsi="Calibri" w:cs="Calibri"/>
                <w:sz w:val="18"/>
                <w:szCs w:val="18"/>
                <w:lang w:val="en-US" w:eastAsia="en-US" w:bidi="th-TH"/>
              </w:rPr>
              <w:t>Mig</w:t>
            </w:r>
            <w:proofErr w:type="spellEnd"/>
            <w:r w:rsidRPr="00155460">
              <w:rPr>
                <w:rFonts w:ascii="Calibri" w:eastAsia="Calibri" w:hAnsi="Calibri" w:cs="Calibri"/>
                <w:sz w:val="18"/>
                <w:szCs w:val="18"/>
                <w:lang w:val="en-US" w:eastAsia="en-US" w:bidi="th-TH"/>
              </w:rPr>
              <w:t>.</w:t>
            </w:r>
          </w:p>
        </w:tc>
        <w:tc>
          <w:tcPr>
            <w:tcW w:w="4169" w:type="pct"/>
          </w:tcPr>
          <w:p w14:paraId="1AD3C639" w14:textId="77777777" w:rsidR="00155460" w:rsidRPr="00155460" w:rsidRDefault="00155460" w:rsidP="00155460">
            <w:pPr>
              <w:rPr>
                <w:rFonts w:ascii="Calibri" w:eastAsia="Calibri" w:hAnsi="Calibri" w:cs="Calibri"/>
                <w:sz w:val="18"/>
                <w:szCs w:val="18"/>
                <w:lang w:val="en-US" w:eastAsia="en-US" w:bidi="th-TH"/>
              </w:rPr>
            </w:pPr>
            <w:r w:rsidRPr="00155460">
              <w:rPr>
                <w:rFonts w:ascii="Calibri" w:eastAsia="Calibri" w:hAnsi="Calibri" w:cs="Calibri"/>
                <w:sz w:val="18"/>
                <w:szCs w:val="18"/>
                <w:lang w:val="en-US" w:eastAsia="en-US" w:bidi="th-TH"/>
              </w:rPr>
              <w:t>Migrant (overseas) born consumer</w:t>
            </w:r>
          </w:p>
        </w:tc>
      </w:tr>
      <w:tr w:rsidR="00155460" w:rsidRPr="00155460" w14:paraId="617A8A0C" w14:textId="77777777" w:rsidTr="00B87BC2">
        <w:tc>
          <w:tcPr>
            <w:tcW w:w="831" w:type="pct"/>
          </w:tcPr>
          <w:p w14:paraId="3CFAF2AB"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Min</w:t>
            </w:r>
          </w:p>
        </w:tc>
        <w:tc>
          <w:tcPr>
            <w:tcW w:w="4169" w:type="pct"/>
          </w:tcPr>
          <w:p w14:paraId="023C61A4"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Minimum</w:t>
            </w:r>
          </w:p>
        </w:tc>
      </w:tr>
      <w:tr w:rsidR="00155460" w:rsidRPr="00155460" w14:paraId="7F924863" w14:textId="77777777" w:rsidTr="00B87BC2">
        <w:tc>
          <w:tcPr>
            <w:tcW w:w="831" w:type="pct"/>
          </w:tcPr>
          <w:p w14:paraId="350ED46A"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Mini-SPIN</w:t>
            </w:r>
          </w:p>
        </w:tc>
        <w:tc>
          <w:tcPr>
            <w:tcW w:w="4169" w:type="pct"/>
          </w:tcPr>
          <w:p w14:paraId="14F7C020"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Mini-Social Phobia Inventory</w:t>
            </w:r>
          </w:p>
        </w:tc>
      </w:tr>
      <w:tr w:rsidR="00155460" w:rsidRPr="00155460" w14:paraId="68BF5FFD" w14:textId="77777777" w:rsidTr="00B87BC2">
        <w:tc>
          <w:tcPr>
            <w:tcW w:w="831" w:type="pct"/>
          </w:tcPr>
          <w:p w14:paraId="29F00A15"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MS</w:t>
            </w:r>
          </w:p>
        </w:tc>
        <w:tc>
          <w:tcPr>
            <w:tcW w:w="4169" w:type="pct"/>
          </w:tcPr>
          <w:p w14:paraId="78BF94E0" w14:textId="77777777" w:rsidR="00155460" w:rsidRPr="00155460" w:rsidRDefault="00155460" w:rsidP="00155460">
            <w:pPr>
              <w:rPr>
                <w:rFonts w:ascii="Calibri" w:eastAsia="Calibri" w:hAnsi="Calibri" w:cs="Calibri"/>
                <w:sz w:val="18"/>
                <w:szCs w:val="18"/>
                <w:lang w:eastAsia="en-US"/>
              </w:rPr>
            </w:pPr>
            <w:proofErr w:type="spellStart"/>
            <w:r w:rsidRPr="00155460">
              <w:rPr>
                <w:rFonts w:ascii="Calibri" w:eastAsia="Calibri" w:hAnsi="Calibri" w:cs="Calibri"/>
                <w:sz w:val="18"/>
                <w:szCs w:val="18"/>
                <w:lang w:val="en-US" w:eastAsia="en-US" w:bidi="th-TH"/>
              </w:rPr>
              <w:t>MindSpot</w:t>
            </w:r>
            <w:proofErr w:type="spellEnd"/>
          </w:p>
        </w:tc>
      </w:tr>
      <w:tr w:rsidR="00155460" w:rsidRPr="00155460" w14:paraId="7CBDE774" w14:textId="77777777" w:rsidTr="00B87BC2">
        <w:tc>
          <w:tcPr>
            <w:tcW w:w="831" w:type="pct"/>
          </w:tcPr>
          <w:p w14:paraId="10D26E9D"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n</w:t>
            </w:r>
          </w:p>
        </w:tc>
        <w:tc>
          <w:tcPr>
            <w:tcW w:w="4169" w:type="pct"/>
          </w:tcPr>
          <w:p w14:paraId="73EA409E"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Counts</w:t>
            </w:r>
          </w:p>
        </w:tc>
      </w:tr>
      <w:tr w:rsidR="00155460" w:rsidRPr="00155460" w14:paraId="1548C8BF" w14:textId="77777777" w:rsidTr="00B87BC2">
        <w:tc>
          <w:tcPr>
            <w:tcW w:w="831" w:type="pct"/>
          </w:tcPr>
          <w:p w14:paraId="1C65494D"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NBN</w:t>
            </w:r>
          </w:p>
        </w:tc>
        <w:tc>
          <w:tcPr>
            <w:tcW w:w="4169" w:type="pct"/>
          </w:tcPr>
          <w:p w14:paraId="74B9C1B2"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National Broadband Network</w:t>
            </w:r>
          </w:p>
        </w:tc>
      </w:tr>
      <w:tr w:rsidR="00155460" w:rsidRPr="00155460" w14:paraId="36CFE9E5" w14:textId="77777777" w:rsidTr="00B87BC2">
        <w:tc>
          <w:tcPr>
            <w:tcW w:w="831" w:type="pct"/>
          </w:tcPr>
          <w:p w14:paraId="2449FD43"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NESB</w:t>
            </w:r>
          </w:p>
        </w:tc>
        <w:tc>
          <w:tcPr>
            <w:tcW w:w="4169" w:type="pct"/>
          </w:tcPr>
          <w:p w14:paraId="4585BDD2"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Migrant of a Non-English-Speaking Background</w:t>
            </w:r>
          </w:p>
        </w:tc>
      </w:tr>
      <w:tr w:rsidR="00155460" w:rsidRPr="00155460" w14:paraId="7611DC9B" w14:textId="77777777" w:rsidTr="00B87BC2">
        <w:tc>
          <w:tcPr>
            <w:tcW w:w="831" w:type="pct"/>
          </w:tcPr>
          <w:p w14:paraId="614CD067"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NHS</w:t>
            </w:r>
          </w:p>
        </w:tc>
        <w:tc>
          <w:tcPr>
            <w:tcW w:w="4169" w:type="pct"/>
          </w:tcPr>
          <w:p w14:paraId="5AE3F3EE"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National Health Service (UK)</w:t>
            </w:r>
          </w:p>
        </w:tc>
      </w:tr>
      <w:tr w:rsidR="00155460" w:rsidRPr="00155460" w14:paraId="31B09AD1" w14:textId="77777777" w:rsidTr="00B87BC2">
        <w:tc>
          <w:tcPr>
            <w:tcW w:w="831" w:type="pct"/>
          </w:tcPr>
          <w:p w14:paraId="26491CC6"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lastRenderedPageBreak/>
              <w:t>OCD</w:t>
            </w:r>
          </w:p>
        </w:tc>
        <w:tc>
          <w:tcPr>
            <w:tcW w:w="4169" w:type="pct"/>
          </w:tcPr>
          <w:p w14:paraId="5DE19226"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Obsessive Compulsive Disorder</w:t>
            </w:r>
          </w:p>
        </w:tc>
      </w:tr>
      <w:tr w:rsidR="00155460" w:rsidRPr="00155460" w14:paraId="3A19ADD0" w14:textId="77777777" w:rsidTr="00B87BC2">
        <w:tc>
          <w:tcPr>
            <w:tcW w:w="831" w:type="pct"/>
          </w:tcPr>
          <w:p w14:paraId="5F3003B0"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OTA</w:t>
            </w:r>
          </w:p>
        </w:tc>
        <w:tc>
          <w:tcPr>
            <w:tcW w:w="4169" w:type="pct"/>
          </w:tcPr>
          <w:p w14:paraId="500A66E1"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Occupational Therapy Australia</w:t>
            </w:r>
          </w:p>
        </w:tc>
      </w:tr>
      <w:tr w:rsidR="00155460" w:rsidRPr="00155460" w14:paraId="66F88004" w14:textId="77777777" w:rsidTr="00B87BC2">
        <w:tc>
          <w:tcPr>
            <w:tcW w:w="831" w:type="pct"/>
          </w:tcPr>
          <w:p w14:paraId="062DE9DF"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p</w:t>
            </w:r>
          </w:p>
        </w:tc>
        <w:tc>
          <w:tcPr>
            <w:tcW w:w="4169" w:type="pct"/>
          </w:tcPr>
          <w:p w14:paraId="2A71B34E"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 xml:space="preserve">p value </w:t>
            </w:r>
          </w:p>
        </w:tc>
      </w:tr>
      <w:tr w:rsidR="00155460" w:rsidRPr="00155460" w14:paraId="5B467B0B" w14:textId="77777777" w:rsidTr="00B87BC2">
        <w:tc>
          <w:tcPr>
            <w:tcW w:w="831" w:type="pct"/>
          </w:tcPr>
          <w:p w14:paraId="6653FAA2"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PCL-C</w:t>
            </w:r>
          </w:p>
        </w:tc>
        <w:tc>
          <w:tcPr>
            <w:tcW w:w="4169" w:type="pct"/>
          </w:tcPr>
          <w:p w14:paraId="3EC3093F"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Posttraumatic Stress Disorder Checklist—Civilian Version</w:t>
            </w:r>
          </w:p>
        </w:tc>
      </w:tr>
      <w:tr w:rsidR="00155460" w:rsidRPr="00155460" w14:paraId="5EDEE245" w14:textId="77777777" w:rsidTr="00B87BC2">
        <w:tc>
          <w:tcPr>
            <w:tcW w:w="831" w:type="pct"/>
          </w:tcPr>
          <w:p w14:paraId="39EB47F0"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PDSS</w:t>
            </w:r>
          </w:p>
        </w:tc>
        <w:tc>
          <w:tcPr>
            <w:tcW w:w="4169" w:type="pct"/>
          </w:tcPr>
          <w:p w14:paraId="12338E18"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Panic Disorder Severity Scale</w:t>
            </w:r>
          </w:p>
        </w:tc>
      </w:tr>
      <w:tr w:rsidR="00155460" w:rsidRPr="00155460" w14:paraId="1BC106C8" w14:textId="77777777" w:rsidTr="00B87BC2">
        <w:tc>
          <w:tcPr>
            <w:tcW w:w="831" w:type="pct"/>
          </w:tcPr>
          <w:p w14:paraId="279B49B5"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PHN</w:t>
            </w:r>
          </w:p>
        </w:tc>
        <w:tc>
          <w:tcPr>
            <w:tcW w:w="4169" w:type="pct"/>
          </w:tcPr>
          <w:p w14:paraId="0B677A07"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Primary Health Network</w:t>
            </w:r>
          </w:p>
        </w:tc>
      </w:tr>
      <w:tr w:rsidR="00155460" w:rsidRPr="00155460" w14:paraId="5E6E7F48" w14:textId="77777777" w:rsidTr="00B87BC2">
        <w:tc>
          <w:tcPr>
            <w:tcW w:w="831" w:type="pct"/>
          </w:tcPr>
          <w:p w14:paraId="572DEEE3"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PHQ-9</w:t>
            </w:r>
          </w:p>
        </w:tc>
        <w:tc>
          <w:tcPr>
            <w:tcW w:w="4169" w:type="pct"/>
          </w:tcPr>
          <w:p w14:paraId="18325834"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Patient Health Questionnaire 9-Item Scale</w:t>
            </w:r>
          </w:p>
        </w:tc>
      </w:tr>
      <w:tr w:rsidR="00155460" w:rsidRPr="00155460" w14:paraId="7AC24390" w14:textId="77777777" w:rsidTr="00B87BC2">
        <w:tc>
          <w:tcPr>
            <w:tcW w:w="831" w:type="pct"/>
          </w:tcPr>
          <w:p w14:paraId="5015D66E" w14:textId="77777777" w:rsidR="00155460" w:rsidRPr="00155460" w:rsidRDefault="00155460" w:rsidP="00155460">
            <w:pPr>
              <w:rPr>
                <w:rFonts w:ascii="Calibri" w:eastAsia="Calibri" w:hAnsi="Calibri" w:cs="Calibri"/>
                <w:sz w:val="18"/>
                <w:szCs w:val="18"/>
                <w:lang w:eastAsia="en-US"/>
              </w:rPr>
            </w:pPr>
            <w:proofErr w:type="spellStart"/>
            <w:r w:rsidRPr="00155460">
              <w:rPr>
                <w:rFonts w:ascii="Calibri" w:eastAsia="Calibri" w:hAnsi="Calibri" w:cs="Calibri"/>
                <w:sz w:val="18"/>
                <w:szCs w:val="18"/>
                <w:lang w:eastAsia="en-US"/>
              </w:rPr>
              <w:t>Psychs</w:t>
            </w:r>
            <w:proofErr w:type="spellEnd"/>
          </w:p>
        </w:tc>
        <w:tc>
          <w:tcPr>
            <w:tcW w:w="4169" w:type="pct"/>
          </w:tcPr>
          <w:p w14:paraId="70D01BAA"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Psychologists</w:t>
            </w:r>
          </w:p>
        </w:tc>
      </w:tr>
      <w:tr w:rsidR="00155460" w:rsidRPr="00155460" w14:paraId="308D9391" w14:textId="77777777" w:rsidTr="00B87BC2">
        <w:tc>
          <w:tcPr>
            <w:tcW w:w="831" w:type="pct"/>
          </w:tcPr>
          <w:p w14:paraId="09A6E06E"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PTSD</w:t>
            </w:r>
          </w:p>
        </w:tc>
        <w:tc>
          <w:tcPr>
            <w:tcW w:w="4169" w:type="pct"/>
          </w:tcPr>
          <w:p w14:paraId="61FC8BD7" w14:textId="77777777" w:rsidR="00155460" w:rsidRPr="00155460" w:rsidRDefault="00155460" w:rsidP="00155460">
            <w:pPr>
              <w:rPr>
                <w:rFonts w:ascii="Calibri" w:eastAsia="Calibri" w:hAnsi="Calibri" w:cs="Calibri"/>
                <w:sz w:val="18"/>
                <w:szCs w:val="18"/>
                <w:lang w:eastAsia="en-US"/>
              </w:rPr>
            </w:pPr>
            <w:proofErr w:type="spellStart"/>
            <w:r w:rsidRPr="00155460">
              <w:rPr>
                <w:rFonts w:ascii="Calibri" w:eastAsia="Calibri" w:hAnsi="Calibri" w:cs="Calibri"/>
                <w:sz w:val="18"/>
                <w:szCs w:val="18"/>
                <w:lang w:eastAsia="en-US"/>
              </w:rPr>
              <w:t>Post Traumatic</w:t>
            </w:r>
            <w:proofErr w:type="spellEnd"/>
            <w:r w:rsidRPr="00155460">
              <w:rPr>
                <w:rFonts w:ascii="Calibri" w:eastAsia="Calibri" w:hAnsi="Calibri" w:cs="Calibri"/>
                <w:sz w:val="18"/>
                <w:szCs w:val="18"/>
                <w:lang w:eastAsia="en-US"/>
              </w:rPr>
              <w:t xml:space="preserve"> Stress Disorder</w:t>
            </w:r>
          </w:p>
        </w:tc>
      </w:tr>
      <w:tr w:rsidR="00155460" w:rsidRPr="00155460" w14:paraId="2513176D" w14:textId="77777777" w:rsidTr="00B87BC2">
        <w:tc>
          <w:tcPr>
            <w:tcW w:w="831" w:type="pct"/>
          </w:tcPr>
          <w:p w14:paraId="4263010F"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QALY</w:t>
            </w:r>
          </w:p>
        </w:tc>
        <w:tc>
          <w:tcPr>
            <w:tcW w:w="4169" w:type="pct"/>
          </w:tcPr>
          <w:p w14:paraId="6B2C7F0D"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Quality Adjusted Life Years</w:t>
            </w:r>
          </w:p>
        </w:tc>
      </w:tr>
      <w:tr w:rsidR="00155460" w:rsidRPr="00155460" w14:paraId="57417F2D" w14:textId="77777777" w:rsidTr="00B87BC2">
        <w:tc>
          <w:tcPr>
            <w:tcW w:w="831" w:type="pct"/>
          </w:tcPr>
          <w:p w14:paraId="68767441"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QA</w:t>
            </w:r>
          </w:p>
        </w:tc>
        <w:tc>
          <w:tcPr>
            <w:tcW w:w="4169" w:type="pct"/>
          </w:tcPr>
          <w:p w14:paraId="2356E2A4"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Quality Assurance</w:t>
            </w:r>
          </w:p>
        </w:tc>
      </w:tr>
      <w:tr w:rsidR="00155460" w:rsidRPr="00155460" w14:paraId="72A70262" w14:textId="77777777" w:rsidTr="00B87BC2">
        <w:tc>
          <w:tcPr>
            <w:tcW w:w="831" w:type="pct"/>
          </w:tcPr>
          <w:p w14:paraId="06B8B3C6"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RANCP</w:t>
            </w:r>
          </w:p>
        </w:tc>
        <w:tc>
          <w:tcPr>
            <w:tcW w:w="4169" w:type="pct"/>
          </w:tcPr>
          <w:p w14:paraId="76D55EE9"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Royal Australian and New Zealand College of Psychiatrists</w:t>
            </w:r>
          </w:p>
        </w:tc>
      </w:tr>
      <w:tr w:rsidR="00155460" w:rsidRPr="00155460" w14:paraId="077C545C" w14:textId="77777777" w:rsidTr="00B87BC2">
        <w:tc>
          <w:tcPr>
            <w:tcW w:w="831" w:type="pct"/>
          </w:tcPr>
          <w:p w14:paraId="0C135F9E"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RACGP</w:t>
            </w:r>
          </w:p>
        </w:tc>
        <w:tc>
          <w:tcPr>
            <w:tcW w:w="4169" w:type="pct"/>
          </w:tcPr>
          <w:p w14:paraId="5E47E72B"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Royal Australian College of General Practitioners</w:t>
            </w:r>
          </w:p>
        </w:tc>
      </w:tr>
      <w:tr w:rsidR="00155460" w:rsidRPr="00155460" w14:paraId="15597CD0" w14:textId="77777777" w:rsidTr="00B87BC2">
        <w:tc>
          <w:tcPr>
            <w:tcW w:w="831" w:type="pct"/>
          </w:tcPr>
          <w:p w14:paraId="47BD0AF0"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RCI</w:t>
            </w:r>
          </w:p>
        </w:tc>
        <w:tc>
          <w:tcPr>
            <w:tcW w:w="4169" w:type="pct"/>
          </w:tcPr>
          <w:p w14:paraId="3A5977E6"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Reliable Change Index</w:t>
            </w:r>
          </w:p>
        </w:tc>
      </w:tr>
      <w:tr w:rsidR="00155460" w:rsidRPr="00155460" w14:paraId="7BD9B765" w14:textId="77777777" w:rsidTr="00B87BC2">
        <w:tc>
          <w:tcPr>
            <w:tcW w:w="831" w:type="pct"/>
          </w:tcPr>
          <w:p w14:paraId="2515EB44"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SAD</w:t>
            </w:r>
          </w:p>
        </w:tc>
        <w:tc>
          <w:tcPr>
            <w:tcW w:w="4169" w:type="pct"/>
          </w:tcPr>
          <w:p w14:paraId="54EF4FEA"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Social Anxiety Disorder</w:t>
            </w:r>
          </w:p>
        </w:tc>
      </w:tr>
      <w:tr w:rsidR="00155460" w:rsidRPr="00155460" w14:paraId="6F438DDA" w14:textId="77777777" w:rsidTr="00B87BC2">
        <w:tc>
          <w:tcPr>
            <w:tcW w:w="831" w:type="pct"/>
          </w:tcPr>
          <w:p w14:paraId="6A5D9367"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SD</w:t>
            </w:r>
          </w:p>
        </w:tc>
        <w:tc>
          <w:tcPr>
            <w:tcW w:w="4169" w:type="pct"/>
          </w:tcPr>
          <w:p w14:paraId="22ECBE0C"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Standard Deviation</w:t>
            </w:r>
          </w:p>
        </w:tc>
      </w:tr>
      <w:tr w:rsidR="00155460" w:rsidRPr="00155460" w14:paraId="7B586E58" w14:textId="77777777" w:rsidTr="00B87BC2">
        <w:tc>
          <w:tcPr>
            <w:tcW w:w="831" w:type="pct"/>
          </w:tcPr>
          <w:p w14:paraId="0DA5C694"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SE</w:t>
            </w:r>
          </w:p>
        </w:tc>
        <w:tc>
          <w:tcPr>
            <w:tcW w:w="4169" w:type="pct"/>
          </w:tcPr>
          <w:p w14:paraId="2BBFE246"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Standard Error</w:t>
            </w:r>
          </w:p>
        </w:tc>
      </w:tr>
      <w:tr w:rsidR="00155460" w:rsidRPr="00155460" w14:paraId="6EA701E8" w14:textId="77777777" w:rsidTr="00B87BC2">
        <w:tc>
          <w:tcPr>
            <w:tcW w:w="831" w:type="pct"/>
          </w:tcPr>
          <w:p w14:paraId="0A8E1AC9"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SMI</w:t>
            </w:r>
          </w:p>
        </w:tc>
        <w:tc>
          <w:tcPr>
            <w:tcW w:w="4169" w:type="pct"/>
          </w:tcPr>
          <w:p w14:paraId="08A64B64"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Serious Mental Illness</w:t>
            </w:r>
          </w:p>
        </w:tc>
      </w:tr>
      <w:tr w:rsidR="00155460" w:rsidRPr="00155460" w14:paraId="2ED19933" w14:textId="77777777" w:rsidTr="00B87BC2">
        <w:tc>
          <w:tcPr>
            <w:tcW w:w="831" w:type="pct"/>
          </w:tcPr>
          <w:p w14:paraId="18012588"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SMS</w:t>
            </w:r>
          </w:p>
        </w:tc>
        <w:tc>
          <w:tcPr>
            <w:tcW w:w="4169" w:type="pct"/>
          </w:tcPr>
          <w:p w14:paraId="7F099CCE"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Short Message Service</w:t>
            </w:r>
          </w:p>
        </w:tc>
      </w:tr>
      <w:tr w:rsidR="00155460" w:rsidRPr="00155460" w14:paraId="7579F91E" w14:textId="77777777" w:rsidTr="00B87BC2">
        <w:tc>
          <w:tcPr>
            <w:tcW w:w="831" w:type="pct"/>
          </w:tcPr>
          <w:p w14:paraId="39EF17DD"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SPSS</w:t>
            </w:r>
          </w:p>
        </w:tc>
        <w:tc>
          <w:tcPr>
            <w:tcW w:w="4169" w:type="pct"/>
          </w:tcPr>
          <w:p w14:paraId="24734710"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Statistical Package for Social Sciences</w:t>
            </w:r>
          </w:p>
        </w:tc>
      </w:tr>
      <w:tr w:rsidR="00155460" w:rsidRPr="00155460" w14:paraId="11C5996B" w14:textId="77777777" w:rsidTr="00B87BC2">
        <w:tc>
          <w:tcPr>
            <w:tcW w:w="831" w:type="pct"/>
          </w:tcPr>
          <w:p w14:paraId="6356D89A"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t</w:t>
            </w:r>
          </w:p>
        </w:tc>
        <w:tc>
          <w:tcPr>
            <w:tcW w:w="4169" w:type="pct"/>
          </w:tcPr>
          <w:p w14:paraId="15C06A95"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T test</w:t>
            </w:r>
          </w:p>
        </w:tc>
      </w:tr>
      <w:tr w:rsidR="00155460" w:rsidRPr="00155460" w14:paraId="69311E69" w14:textId="77777777" w:rsidTr="00B87BC2">
        <w:tc>
          <w:tcPr>
            <w:tcW w:w="831" w:type="pct"/>
          </w:tcPr>
          <w:p w14:paraId="649B55B1"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TA</w:t>
            </w:r>
          </w:p>
        </w:tc>
        <w:tc>
          <w:tcPr>
            <w:tcW w:w="4169" w:type="pct"/>
          </w:tcPr>
          <w:p w14:paraId="36334D81"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Therapist Assist</w:t>
            </w:r>
          </w:p>
        </w:tc>
      </w:tr>
      <w:tr w:rsidR="00155460" w:rsidRPr="00155460" w14:paraId="5B8CC8F9" w14:textId="77777777" w:rsidTr="00B87BC2">
        <w:tc>
          <w:tcPr>
            <w:tcW w:w="831" w:type="pct"/>
          </w:tcPr>
          <w:p w14:paraId="1C68861A"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TP</w:t>
            </w:r>
          </w:p>
        </w:tc>
        <w:tc>
          <w:tcPr>
            <w:tcW w:w="4169" w:type="pct"/>
          </w:tcPr>
          <w:p w14:paraId="70ED52C2"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Transition probability</w:t>
            </w:r>
          </w:p>
        </w:tc>
      </w:tr>
      <w:tr w:rsidR="00155460" w:rsidRPr="00155460" w14:paraId="545915AC" w14:textId="77777777" w:rsidTr="00B87BC2">
        <w:tc>
          <w:tcPr>
            <w:tcW w:w="831" w:type="pct"/>
          </w:tcPr>
          <w:p w14:paraId="4306D2E5"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TWU</w:t>
            </w:r>
          </w:p>
        </w:tc>
        <w:tc>
          <w:tcPr>
            <w:tcW w:w="4169" w:type="pct"/>
          </w:tcPr>
          <w:p w14:paraId="77D57E3E"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THIS WAY UP</w:t>
            </w:r>
          </w:p>
        </w:tc>
      </w:tr>
      <w:tr w:rsidR="00155460" w:rsidRPr="00155460" w14:paraId="5A3CF681" w14:textId="77777777" w:rsidTr="00B87BC2">
        <w:tc>
          <w:tcPr>
            <w:tcW w:w="831" w:type="pct"/>
          </w:tcPr>
          <w:p w14:paraId="78A138C7"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VR</w:t>
            </w:r>
          </w:p>
        </w:tc>
        <w:tc>
          <w:tcPr>
            <w:tcW w:w="4169" w:type="pct"/>
          </w:tcPr>
          <w:p w14:paraId="5C0C2D91"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Virtual Reality</w:t>
            </w:r>
          </w:p>
        </w:tc>
      </w:tr>
      <w:tr w:rsidR="00155460" w:rsidRPr="00155460" w14:paraId="327E9796" w14:textId="77777777" w:rsidTr="00B87BC2">
        <w:tc>
          <w:tcPr>
            <w:tcW w:w="831" w:type="pct"/>
          </w:tcPr>
          <w:p w14:paraId="6FC9A31A"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vs</w:t>
            </w:r>
          </w:p>
        </w:tc>
        <w:tc>
          <w:tcPr>
            <w:tcW w:w="4169" w:type="pct"/>
          </w:tcPr>
          <w:p w14:paraId="25832065"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Versus</w:t>
            </w:r>
          </w:p>
        </w:tc>
      </w:tr>
      <w:tr w:rsidR="00155460" w:rsidRPr="00155460" w14:paraId="475BDCE0" w14:textId="77777777" w:rsidTr="00B87BC2">
        <w:tc>
          <w:tcPr>
            <w:tcW w:w="831" w:type="pct"/>
          </w:tcPr>
          <w:p w14:paraId="3D8A279D"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WHODAS 2</w:t>
            </w:r>
          </w:p>
        </w:tc>
        <w:tc>
          <w:tcPr>
            <w:tcW w:w="4169" w:type="pct"/>
          </w:tcPr>
          <w:p w14:paraId="781E8EDE"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World Health Organization Disability Assessment Schedule-II</w:t>
            </w:r>
          </w:p>
        </w:tc>
      </w:tr>
      <w:tr w:rsidR="00155460" w:rsidRPr="00155460" w14:paraId="4D3A1B1D" w14:textId="77777777" w:rsidTr="00B87BC2">
        <w:tc>
          <w:tcPr>
            <w:tcW w:w="831" w:type="pct"/>
          </w:tcPr>
          <w:p w14:paraId="2A354B87"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WHO-QOL-BREF</w:t>
            </w:r>
          </w:p>
        </w:tc>
        <w:tc>
          <w:tcPr>
            <w:tcW w:w="4169" w:type="pct"/>
          </w:tcPr>
          <w:p w14:paraId="599F3ED3"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World Health Organization Quality of life questionnaire-BREF</w:t>
            </w:r>
          </w:p>
        </w:tc>
      </w:tr>
      <w:tr w:rsidR="00155460" w:rsidRPr="00155460" w14:paraId="3CDB5185" w14:textId="77777777" w:rsidTr="00B87BC2">
        <w:tc>
          <w:tcPr>
            <w:tcW w:w="831" w:type="pct"/>
          </w:tcPr>
          <w:p w14:paraId="492F080B"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YBOCS</w:t>
            </w:r>
          </w:p>
        </w:tc>
        <w:tc>
          <w:tcPr>
            <w:tcW w:w="4169" w:type="pct"/>
          </w:tcPr>
          <w:p w14:paraId="2C54660A"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Yale-Brown Obsessive-Compulsive Scale</w:t>
            </w:r>
          </w:p>
        </w:tc>
      </w:tr>
    </w:tbl>
    <w:p w14:paraId="44D32485" w14:textId="77777777" w:rsidR="00155460" w:rsidRPr="00155460" w:rsidRDefault="00155460" w:rsidP="00155460">
      <w:pPr>
        <w:rPr>
          <w:rFonts w:ascii="Calibri" w:eastAsia="Calibri" w:hAnsi="Calibri" w:cs="Arial"/>
          <w:lang w:val="en-GB" w:eastAsia="en-US"/>
        </w:rPr>
      </w:pPr>
    </w:p>
    <w:p w14:paraId="732CEDE9" w14:textId="77777777" w:rsidR="00155460" w:rsidRPr="00155460" w:rsidRDefault="00155460" w:rsidP="00155460">
      <w:pPr>
        <w:rPr>
          <w:rFonts w:ascii="Calibri" w:eastAsia="Calibri" w:hAnsi="Calibri" w:cs="Arial"/>
          <w:lang w:val="en-GB" w:eastAsia="en-US"/>
        </w:rPr>
      </w:pPr>
    </w:p>
    <w:tbl>
      <w:tblPr>
        <w:tblStyle w:val="TableGrid6"/>
        <w:tblW w:w="0" w:type="auto"/>
        <w:tblLook w:val="04A0" w:firstRow="1" w:lastRow="0" w:firstColumn="1" w:lastColumn="0" w:noHBand="0" w:noVBand="1"/>
      </w:tblPr>
      <w:tblGrid>
        <w:gridCol w:w="1161"/>
        <w:gridCol w:w="7855"/>
      </w:tblGrid>
      <w:tr w:rsidR="00155460" w:rsidRPr="00155460" w14:paraId="04ADE850" w14:textId="77777777" w:rsidTr="002117FF">
        <w:trPr>
          <w:tblHeader/>
        </w:trPr>
        <w:tc>
          <w:tcPr>
            <w:tcW w:w="0" w:type="auto"/>
            <w:shd w:val="clear" w:color="auto" w:fill="000000"/>
          </w:tcPr>
          <w:p w14:paraId="1DAFFD8E" w14:textId="77777777" w:rsidR="00155460" w:rsidRPr="00155460" w:rsidRDefault="00155460" w:rsidP="00155460">
            <w:pPr>
              <w:rPr>
                <w:rFonts w:ascii="Calibri" w:eastAsia="Calibri" w:hAnsi="Calibri" w:cs="Calibri"/>
                <w:b/>
                <w:bCs/>
                <w:color w:val="FFFFFF"/>
                <w:sz w:val="18"/>
                <w:szCs w:val="18"/>
                <w:lang w:eastAsia="en-US"/>
              </w:rPr>
            </w:pPr>
            <w:r w:rsidRPr="00155460">
              <w:rPr>
                <w:rFonts w:ascii="Calibri" w:eastAsia="Calibri" w:hAnsi="Calibri" w:cs="Calibri"/>
                <w:b/>
                <w:bCs/>
                <w:color w:val="FFFFFF"/>
                <w:sz w:val="18"/>
                <w:szCs w:val="18"/>
                <w:lang w:eastAsia="en-US"/>
              </w:rPr>
              <w:t>Term</w:t>
            </w:r>
          </w:p>
        </w:tc>
        <w:tc>
          <w:tcPr>
            <w:tcW w:w="0" w:type="auto"/>
            <w:shd w:val="clear" w:color="auto" w:fill="000000"/>
          </w:tcPr>
          <w:p w14:paraId="039EF872" w14:textId="77777777" w:rsidR="00155460" w:rsidRPr="00155460" w:rsidRDefault="00155460" w:rsidP="00155460">
            <w:pPr>
              <w:rPr>
                <w:rFonts w:ascii="Calibri" w:eastAsia="Calibri" w:hAnsi="Calibri" w:cs="Calibri"/>
                <w:b/>
                <w:bCs/>
                <w:color w:val="FFFFFF"/>
                <w:sz w:val="18"/>
                <w:szCs w:val="18"/>
                <w:lang w:eastAsia="en-US"/>
              </w:rPr>
            </w:pPr>
            <w:r w:rsidRPr="00155460">
              <w:rPr>
                <w:rFonts w:ascii="Calibri" w:eastAsia="Calibri" w:hAnsi="Calibri" w:cs="Calibri"/>
                <w:b/>
                <w:bCs/>
                <w:color w:val="FFFFFF"/>
                <w:sz w:val="18"/>
                <w:szCs w:val="18"/>
                <w:lang w:eastAsia="en-US"/>
              </w:rPr>
              <w:t>Definition</w:t>
            </w:r>
          </w:p>
        </w:tc>
      </w:tr>
      <w:tr w:rsidR="00155460" w:rsidRPr="00155460" w14:paraId="17B3C421" w14:textId="77777777" w:rsidTr="00B87BC2">
        <w:tc>
          <w:tcPr>
            <w:tcW w:w="0" w:type="auto"/>
          </w:tcPr>
          <w:p w14:paraId="1EB5EFB3" w14:textId="77777777" w:rsidR="00155460" w:rsidRPr="00155460" w:rsidRDefault="00155460" w:rsidP="00155460">
            <w:pPr>
              <w:rPr>
                <w:rFonts w:ascii="Calibri" w:eastAsia="Arial" w:hAnsi="Calibri" w:cs="Calibri"/>
                <w:sz w:val="18"/>
                <w:szCs w:val="18"/>
                <w:lang w:eastAsia="en-US"/>
              </w:rPr>
            </w:pPr>
            <w:r w:rsidRPr="00155460">
              <w:rPr>
                <w:rFonts w:ascii="Calibri" w:eastAsia="Arial" w:hAnsi="Calibri" w:cs="Calibri"/>
                <w:sz w:val="18"/>
                <w:szCs w:val="18"/>
                <w:lang w:eastAsia="en-US"/>
              </w:rPr>
              <w:t>CI</w:t>
            </w:r>
          </w:p>
        </w:tc>
        <w:tc>
          <w:tcPr>
            <w:tcW w:w="0" w:type="auto"/>
          </w:tcPr>
          <w:p w14:paraId="44B96711" w14:textId="788942D7" w:rsidR="00155460" w:rsidRPr="00155460" w:rsidRDefault="00155460" w:rsidP="00155460">
            <w:pPr>
              <w:rPr>
                <w:rFonts w:ascii="Calibri" w:eastAsia="Arial" w:hAnsi="Calibri" w:cs="Calibri"/>
                <w:color w:val="000000"/>
                <w:sz w:val="18"/>
                <w:szCs w:val="18"/>
                <w:lang w:eastAsia="en-US"/>
              </w:rPr>
            </w:pPr>
            <w:r w:rsidRPr="00155460">
              <w:rPr>
                <w:rFonts w:ascii="Calibri" w:eastAsia="Arial" w:hAnsi="Calibri" w:cs="Calibri"/>
                <w:color w:val="000000"/>
                <w:sz w:val="18"/>
                <w:szCs w:val="18"/>
                <w:lang w:eastAsia="en-US"/>
              </w:rPr>
              <w:t>Confidence interval. The interval in which the population parameter will fall 95% of the time</w:t>
            </w:r>
            <w:r w:rsidR="005132C3">
              <w:rPr>
                <w:rFonts w:ascii="Calibri" w:eastAsia="Arial" w:hAnsi="Calibri" w:cs="Calibri"/>
                <w:color w:val="000000"/>
                <w:sz w:val="18"/>
                <w:szCs w:val="18"/>
                <w:lang w:eastAsia="en-US"/>
              </w:rPr>
              <w:t>.</w:t>
            </w:r>
          </w:p>
        </w:tc>
      </w:tr>
      <w:tr w:rsidR="00155460" w:rsidRPr="00155460" w14:paraId="07018DCE" w14:textId="77777777" w:rsidTr="00B87BC2">
        <w:tc>
          <w:tcPr>
            <w:tcW w:w="0" w:type="auto"/>
          </w:tcPr>
          <w:p w14:paraId="6677EE5E" w14:textId="77777777" w:rsidR="00155460" w:rsidRPr="00155460" w:rsidRDefault="00155460" w:rsidP="00155460">
            <w:pPr>
              <w:rPr>
                <w:rFonts w:ascii="Calibri" w:eastAsia="Calibri" w:hAnsi="Calibri" w:cs="Calibri"/>
                <w:sz w:val="18"/>
                <w:szCs w:val="18"/>
                <w:lang w:eastAsia="en-US"/>
              </w:rPr>
            </w:pPr>
            <w:proofErr w:type="spellStart"/>
            <w:r w:rsidRPr="00155460">
              <w:rPr>
                <w:rFonts w:ascii="Calibri" w:eastAsia="Calibri" w:hAnsi="Calibri" w:cs="Calibri"/>
                <w:sz w:val="18"/>
                <w:szCs w:val="18"/>
                <w:lang w:eastAsia="en-US"/>
              </w:rPr>
              <w:t>CRUfAD</w:t>
            </w:r>
            <w:proofErr w:type="spellEnd"/>
          </w:p>
        </w:tc>
        <w:tc>
          <w:tcPr>
            <w:tcW w:w="0" w:type="auto"/>
          </w:tcPr>
          <w:p w14:paraId="220077D3" w14:textId="44D62B90"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THIS WAY UP’s former name</w:t>
            </w:r>
            <w:r w:rsidR="005132C3">
              <w:rPr>
                <w:rFonts w:ascii="Calibri" w:eastAsia="Calibri" w:hAnsi="Calibri" w:cs="Calibri"/>
                <w:sz w:val="18"/>
                <w:szCs w:val="18"/>
                <w:lang w:eastAsia="en-US"/>
              </w:rPr>
              <w:t>.</w:t>
            </w:r>
          </w:p>
        </w:tc>
      </w:tr>
      <w:tr w:rsidR="00155460" w:rsidRPr="00155460" w14:paraId="2B589712" w14:textId="77777777" w:rsidTr="00B87BC2">
        <w:tc>
          <w:tcPr>
            <w:tcW w:w="0" w:type="auto"/>
          </w:tcPr>
          <w:p w14:paraId="61A9DB7F" w14:textId="77777777" w:rsidR="00155460" w:rsidRPr="00155460" w:rsidRDefault="00155460" w:rsidP="00155460">
            <w:pPr>
              <w:rPr>
                <w:rFonts w:ascii="Calibri" w:eastAsia="Calibri" w:hAnsi="Calibri" w:cs="Calibri"/>
                <w:sz w:val="18"/>
                <w:szCs w:val="18"/>
                <w:lang w:eastAsia="en-US"/>
              </w:rPr>
            </w:pPr>
            <w:proofErr w:type="spellStart"/>
            <w:r w:rsidRPr="00155460">
              <w:rPr>
                <w:rFonts w:ascii="Calibri" w:eastAsia="Calibri" w:hAnsi="Calibri" w:cs="Calibri"/>
                <w:sz w:val="18"/>
                <w:szCs w:val="18"/>
                <w:lang w:eastAsia="en-US"/>
              </w:rPr>
              <w:t>ePASS</w:t>
            </w:r>
            <w:proofErr w:type="spellEnd"/>
          </w:p>
        </w:tc>
        <w:tc>
          <w:tcPr>
            <w:tcW w:w="0" w:type="auto"/>
          </w:tcPr>
          <w:p w14:paraId="4C5671CD"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 xml:space="preserve">Mental Health </w:t>
            </w:r>
            <w:proofErr w:type="spellStart"/>
            <w:r w:rsidRPr="00155460">
              <w:rPr>
                <w:rFonts w:ascii="Calibri" w:eastAsia="Calibri" w:hAnsi="Calibri" w:cs="Calibri"/>
                <w:sz w:val="18"/>
                <w:szCs w:val="18"/>
                <w:lang w:eastAsia="en-US"/>
              </w:rPr>
              <w:t>Online’s</w:t>
            </w:r>
            <w:proofErr w:type="spellEnd"/>
            <w:r w:rsidRPr="00155460">
              <w:rPr>
                <w:rFonts w:ascii="Calibri" w:eastAsia="Calibri" w:hAnsi="Calibri" w:cs="Calibri"/>
                <w:sz w:val="18"/>
                <w:szCs w:val="18"/>
                <w:lang w:eastAsia="en-US"/>
              </w:rPr>
              <w:t xml:space="preserve"> web-based optional psychological assessment, which screens for a range of psychological conditions and provides a summary of the </w:t>
            </w:r>
            <w:proofErr w:type="gramStart"/>
            <w:r w:rsidRPr="00155460">
              <w:rPr>
                <w:rFonts w:ascii="Calibri" w:eastAsia="Calibri" w:hAnsi="Calibri" w:cs="Calibri"/>
                <w:sz w:val="18"/>
                <w:szCs w:val="18"/>
                <w:lang w:eastAsia="en-US"/>
              </w:rPr>
              <w:t>symptoms</w:t>
            </w:r>
            <w:proofErr w:type="gramEnd"/>
            <w:r w:rsidRPr="00155460">
              <w:rPr>
                <w:rFonts w:ascii="Calibri" w:eastAsia="Calibri" w:hAnsi="Calibri" w:cs="Calibri"/>
                <w:sz w:val="18"/>
                <w:szCs w:val="18"/>
                <w:lang w:eastAsia="en-US"/>
              </w:rPr>
              <w:t xml:space="preserve"> users may be experiencing and suggestions for which Mental Health Online courses may be helpful.</w:t>
            </w:r>
          </w:p>
        </w:tc>
      </w:tr>
      <w:tr w:rsidR="00155460" w:rsidRPr="00155460" w14:paraId="0F8461DD" w14:textId="77777777" w:rsidTr="00B87BC2">
        <w:tc>
          <w:tcPr>
            <w:tcW w:w="0" w:type="auto"/>
          </w:tcPr>
          <w:p w14:paraId="00A85FF7"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Cohen’s d</w:t>
            </w:r>
          </w:p>
        </w:tc>
        <w:tc>
          <w:tcPr>
            <w:tcW w:w="0" w:type="auto"/>
          </w:tcPr>
          <w:p w14:paraId="567632B6"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 xml:space="preserve">See effect size </w:t>
            </w:r>
          </w:p>
        </w:tc>
      </w:tr>
      <w:tr w:rsidR="00155460" w:rsidRPr="00155460" w14:paraId="72A64F56" w14:textId="77777777" w:rsidTr="00B87BC2">
        <w:tc>
          <w:tcPr>
            <w:tcW w:w="0" w:type="auto"/>
          </w:tcPr>
          <w:p w14:paraId="64AB0FE2" w14:textId="77777777" w:rsidR="00155460" w:rsidRPr="00155460" w:rsidRDefault="00155460" w:rsidP="00155460">
            <w:pPr>
              <w:rPr>
                <w:rFonts w:ascii="Calibri" w:eastAsia="Calibri" w:hAnsi="Calibri" w:cs="Calibri"/>
                <w:sz w:val="18"/>
                <w:szCs w:val="18"/>
                <w:lang w:eastAsia="en-US"/>
              </w:rPr>
            </w:pPr>
            <w:r w:rsidRPr="00155460">
              <w:rPr>
                <w:rFonts w:ascii="Calibri" w:eastAsia="Arial" w:hAnsi="Calibri" w:cs="Calibri"/>
                <w:sz w:val="18"/>
                <w:szCs w:val="18"/>
                <w:shd w:val="clear" w:color="auto" w:fill="FFFFFF"/>
                <w:lang w:eastAsia="en-US"/>
              </w:rPr>
              <w:t>Effect size</w:t>
            </w:r>
          </w:p>
        </w:tc>
        <w:tc>
          <w:tcPr>
            <w:tcW w:w="0" w:type="auto"/>
          </w:tcPr>
          <w:p w14:paraId="118D3E93" w14:textId="77777777" w:rsidR="00155460" w:rsidRPr="00155460" w:rsidRDefault="00155460" w:rsidP="00155460">
            <w:pPr>
              <w:rPr>
                <w:rFonts w:ascii="Calibri" w:eastAsia="Arial" w:hAnsi="Calibri" w:cs="Calibri"/>
                <w:color w:val="000000"/>
                <w:sz w:val="18"/>
                <w:szCs w:val="18"/>
                <w:lang w:eastAsia="en-US"/>
              </w:rPr>
            </w:pPr>
            <w:r w:rsidRPr="00155460">
              <w:rPr>
                <w:rFonts w:ascii="Calibri" w:eastAsia="Arial" w:hAnsi="Calibri" w:cs="Calibri"/>
                <w:color w:val="000000"/>
                <w:sz w:val="18"/>
                <w:szCs w:val="18"/>
                <w:shd w:val="clear" w:color="auto" w:fill="FFFFFF"/>
                <w:lang w:eastAsia="en-US"/>
              </w:rPr>
              <w:t>Measures the strength of relationship between treatment and outcome. An effect size (measured using Cohen’s d or Hedge’s g) of around 0.2 is considered a small effect size, 0.5 considered medium and 0.8 considered large</w:t>
            </w:r>
            <w:r w:rsidRPr="00155460">
              <w:rPr>
                <w:rFonts w:ascii="Calibri" w:eastAsia="Calibri" w:hAnsi="Calibri" w:cs="Calibri"/>
                <w:sz w:val="18"/>
                <w:szCs w:val="18"/>
                <w:lang w:eastAsia="en-US"/>
              </w:rPr>
              <w:t>.</w:t>
            </w:r>
          </w:p>
        </w:tc>
      </w:tr>
      <w:tr w:rsidR="00155460" w:rsidRPr="00155460" w14:paraId="781A9F12" w14:textId="77777777" w:rsidTr="00B87BC2">
        <w:tc>
          <w:tcPr>
            <w:tcW w:w="0" w:type="auto"/>
          </w:tcPr>
          <w:p w14:paraId="713E9073"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GAD-7</w:t>
            </w:r>
          </w:p>
        </w:tc>
        <w:tc>
          <w:tcPr>
            <w:tcW w:w="0" w:type="auto"/>
          </w:tcPr>
          <w:p w14:paraId="08386F83" w14:textId="77777777" w:rsidR="00155460" w:rsidRPr="00155460" w:rsidRDefault="00155460" w:rsidP="00155460">
            <w:pPr>
              <w:rPr>
                <w:rFonts w:ascii="Calibri" w:eastAsia="Calibri" w:hAnsi="Calibri" w:cs="Calibri"/>
                <w:sz w:val="18"/>
                <w:szCs w:val="18"/>
                <w:lang w:eastAsia="en-US"/>
              </w:rPr>
            </w:pPr>
            <w:proofErr w:type="spellStart"/>
            <w:r w:rsidRPr="00155460">
              <w:rPr>
                <w:rFonts w:ascii="Calibri" w:eastAsia="Calibri" w:hAnsi="Calibri" w:cs="Calibri"/>
                <w:sz w:val="18"/>
                <w:szCs w:val="18"/>
                <w:lang w:val="en-US" w:eastAsia="en-US" w:bidi="th-TH"/>
              </w:rPr>
              <w:t>Generalised</w:t>
            </w:r>
            <w:proofErr w:type="spellEnd"/>
            <w:r w:rsidRPr="00155460">
              <w:rPr>
                <w:rFonts w:ascii="Calibri" w:eastAsia="Calibri" w:hAnsi="Calibri" w:cs="Calibri"/>
                <w:sz w:val="18"/>
                <w:szCs w:val="18"/>
                <w:lang w:val="en-US" w:eastAsia="en-US" w:bidi="th-TH"/>
              </w:rPr>
              <w:t xml:space="preserve"> Anxiety Disorder 7-Item Scale.</w:t>
            </w:r>
            <w:r w:rsidRPr="00155460">
              <w:rPr>
                <w:rFonts w:ascii="Calibri" w:eastAsia="Calibri" w:hAnsi="Calibri" w:cs="Calibri"/>
                <w:sz w:val="18"/>
                <w:szCs w:val="18"/>
                <w:lang w:eastAsia="en-US"/>
              </w:rPr>
              <w:t xml:space="preserve"> A measure of level of worry and anxiety symptoms.</w:t>
            </w:r>
          </w:p>
        </w:tc>
      </w:tr>
      <w:tr w:rsidR="00155460" w:rsidRPr="00155460" w14:paraId="4842F357" w14:textId="77777777" w:rsidTr="00B87BC2">
        <w:tc>
          <w:tcPr>
            <w:tcW w:w="0" w:type="auto"/>
          </w:tcPr>
          <w:p w14:paraId="3055755E" w14:textId="77777777" w:rsidR="00155460" w:rsidRPr="00155460" w:rsidRDefault="00155460" w:rsidP="00155460">
            <w:pPr>
              <w:rPr>
                <w:rFonts w:ascii="Calibri" w:eastAsia="Calibri" w:hAnsi="Calibri" w:cs="Calibri"/>
                <w:sz w:val="18"/>
                <w:szCs w:val="18"/>
                <w:lang w:eastAsia="en-US"/>
              </w:rPr>
            </w:pPr>
            <w:proofErr w:type="spellStart"/>
            <w:r w:rsidRPr="00155460">
              <w:rPr>
                <w:rFonts w:ascii="Calibri" w:eastAsia="Calibri" w:hAnsi="Calibri" w:cs="Calibri"/>
                <w:color w:val="000000"/>
                <w:sz w:val="18"/>
                <w:szCs w:val="18"/>
                <w:lang w:eastAsia="en-US"/>
              </w:rPr>
              <w:t>Gayaa</w:t>
            </w:r>
            <w:proofErr w:type="spellEnd"/>
            <w:r w:rsidRPr="00155460">
              <w:rPr>
                <w:rFonts w:ascii="Calibri" w:eastAsia="Calibri" w:hAnsi="Calibri" w:cs="Calibri"/>
                <w:color w:val="000000"/>
                <w:sz w:val="18"/>
                <w:szCs w:val="18"/>
                <w:lang w:eastAsia="en-US"/>
              </w:rPr>
              <w:t xml:space="preserve"> </w:t>
            </w:r>
            <w:proofErr w:type="spellStart"/>
            <w:r w:rsidRPr="00155460">
              <w:rPr>
                <w:rFonts w:ascii="Calibri" w:eastAsia="Calibri" w:hAnsi="Calibri" w:cs="Calibri"/>
                <w:color w:val="000000"/>
                <w:sz w:val="18"/>
                <w:szCs w:val="18"/>
                <w:lang w:eastAsia="en-US"/>
              </w:rPr>
              <w:t>Dhuwi</w:t>
            </w:r>
            <w:proofErr w:type="spellEnd"/>
          </w:p>
        </w:tc>
        <w:tc>
          <w:tcPr>
            <w:tcW w:w="0" w:type="auto"/>
          </w:tcPr>
          <w:p w14:paraId="59846C7E" w14:textId="4C5D5241"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color w:val="000000"/>
                <w:sz w:val="18"/>
                <w:szCs w:val="18"/>
                <w:lang w:eastAsia="en-US"/>
              </w:rPr>
              <w:t>Proud Spirit Australia: Aboriginal and Torres Strait Islander Leadership in Social and Emotional Wellbeing, Mental Health and Suicide Prevention</w:t>
            </w:r>
            <w:r w:rsidR="00F4112A">
              <w:rPr>
                <w:rFonts w:ascii="Calibri" w:eastAsia="Calibri" w:hAnsi="Calibri" w:cs="Calibri"/>
                <w:color w:val="000000"/>
                <w:sz w:val="18"/>
                <w:szCs w:val="18"/>
                <w:lang w:eastAsia="en-US"/>
              </w:rPr>
              <w:t>.</w:t>
            </w:r>
          </w:p>
        </w:tc>
      </w:tr>
      <w:tr w:rsidR="00155460" w:rsidRPr="00155460" w14:paraId="4757DE1C" w14:textId="77777777" w:rsidTr="00B87BC2">
        <w:tc>
          <w:tcPr>
            <w:tcW w:w="0" w:type="auto"/>
          </w:tcPr>
          <w:p w14:paraId="4B7E3B14"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Hoarding Online Plus!</w:t>
            </w:r>
          </w:p>
        </w:tc>
        <w:tc>
          <w:tcPr>
            <w:tcW w:w="0" w:type="auto"/>
          </w:tcPr>
          <w:p w14:paraId="44AD4C60"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Mental Health Online course</w:t>
            </w:r>
          </w:p>
        </w:tc>
      </w:tr>
      <w:tr w:rsidR="00155460" w:rsidRPr="00155460" w14:paraId="7C7EFDC5" w14:textId="77777777" w:rsidTr="00B87BC2">
        <w:tc>
          <w:tcPr>
            <w:tcW w:w="0" w:type="auto"/>
          </w:tcPr>
          <w:p w14:paraId="10F0ACD8"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ISI</w:t>
            </w:r>
          </w:p>
        </w:tc>
        <w:tc>
          <w:tcPr>
            <w:tcW w:w="0" w:type="auto"/>
          </w:tcPr>
          <w:p w14:paraId="7C2397AF"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Insomnia Severity Index. A of measure of type of insomnia experienced and its severity and impact.</w:t>
            </w:r>
          </w:p>
        </w:tc>
      </w:tr>
      <w:tr w:rsidR="00155460" w:rsidRPr="00155460" w14:paraId="0C67CD1D" w14:textId="77777777" w:rsidTr="00B87BC2">
        <w:tc>
          <w:tcPr>
            <w:tcW w:w="0" w:type="auto"/>
          </w:tcPr>
          <w:p w14:paraId="2EDA6FAB"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ICER</w:t>
            </w:r>
          </w:p>
        </w:tc>
        <w:tc>
          <w:tcPr>
            <w:tcW w:w="0" w:type="auto"/>
          </w:tcPr>
          <w:p w14:paraId="0CFACBC4" w14:textId="5B5397ED" w:rsidR="00155460" w:rsidRPr="00155460" w:rsidRDefault="00F4112A"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Incremental cost-effectiveness ratio</w:t>
            </w:r>
            <w:r>
              <w:rPr>
                <w:rFonts w:ascii="Calibri" w:eastAsia="Calibri" w:hAnsi="Calibri" w:cs="Calibri"/>
                <w:sz w:val="18"/>
                <w:szCs w:val="18"/>
                <w:lang w:val="en-US" w:eastAsia="en-US" w:bidi="th-TH"/>
              </w:rPr>
              <w:t>.</w:t>
            </w:r>
            <w:r w:rsidRPr="00155460">
              <w:rPr>
                <w:rFonts w:ascii="Calibri" w:eastAsia="Calibri" w:hAnsi="Calibri" w:cs="Arial"/>
                <w:iCs/>
                <w:color w:val="000000"/>
                <w:sz w:val="18"/>
                <w:szCs w:val="18"/>
                <w:lang w:eastAsia="zh-CN"/>
              </w:rPr>
              <w:t xml:space="preserve"> </w:t>
            </w:r>
            <w:r w:rsidR="00155460" w:rsidRPr="00155460">
              <w:rPr>
                <w:rFonts w:ascii="Calibri" w:eastAsia="Calibri" w:hAnsi="Calibri" w:cs="Arial"/>
                <w:iCs/>
                <w:color w:val="000000"/>
                <w:sz w:val="18"/>
                <w:szCs w:val="18"/>
                <w:lang w:eastAsia="zh-CN"/>
              </w:rPr>
              <w:t>Summary measure representing the economic value of an intervention, compared with an alternative (comparator)</w:t>
            </w:r>
            <w:r>
              <w:rPr>
                <w:rFonts w:ascii="Calibri" w:eastAsia="Calibri" w:hAnsi="Calibri" w:cs="Arial"/>
                <w:iCs/>
                <w:color w:val="000000"/>
                <w:sz w:val="18"/>
                <w:szCs w:val="18"/>
                <w:lang w:eastAsia="zh-CN"/>
              </w:rPr>
              <w:t>.</w:t>
            </w:r>
          </w:p>
        </w:tc>
      </w:tr>
      <w:tr w:rsidR="00155460" w:rsidRPr="00155460" w14:paraId="613F27A1" w14:textId="77777777" w:rsidTr="00B87BC2">
        <w:tc>
          <w:tcPr>
            <w:tcW w:w="0" w:type="auto"/>
          </w:tcPr>
          <w:p w14:paraId="053479C7"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K10</w:t>
            </w:r>
          </w:p>
        </w:tc>
        <w:tc>
          <w:tcPr>
            <w:tcW w:w="0" w:type="auto"/>
          </w:tcPr>
          <w:p w14:paraId="49306929"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val="en-US" w:eastAsia="en-US" w:bidi="th-TH"/>
              </w:rPr>
              <w:t>Kessler Psychological Distress 10-Item Scale.</w:t>
            </w:r>
            <w:r w:rsidRPr="00155460">
              <w:rPr>
                <w:rFonts w:ascii="Calibri" w:eastAsia="Calibri" w:hAnsi="Calibri" w:cs="Calibri"/>
                <w:sz w:val="18"/>
                <w:szCs w:val="18"/>
                <w:lang w:eastAsia="en-US"/>
              </w:rPr>
              <w:t xml:space="preserve"> A measure of psychological distress.</w:t>
            </w:r>
          </w:p>
        </w:tc>
      </w:tr>
      <w:tr w:rsidR="00155460" w:rsidRPr="00155460" w14:paraId="7FC818D0" w14:textId="77777777" w:rsidTr="00B87BC2">
        <w:tc>
          <w:tcPr>
            <w:tcW w:w="0" w:type="auto"/>
          </w:tcPr>
          <w:p w14:paraId="4EE02E3E"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 xml:space="preserve">Made-4-me: </w:t>
            </w:r>
          </w:p>
        </w:tc>
        <w:tc>
          <w:tcPr>
            <w:tcW w:w="0" w:type="auto"/>
          </w:tcPr>
          <w:p w14:paraId="095AE9CD"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 xml:space="preserve">Mental Health Online program designed to help manage one or more mental health issues or a range of symptoms at one time.  The course is based on CBT and can be used to address up to three of the following: depression, GAD, panic disorder, PTSD, social </w:t>
            </w:r>
            <w:proofErr w:type="gramStart"/>
            <w:r w:rsidRPr="00155460">
              <w:rPr>
                <w:rFonts w:ascii="Calibri" w:eastAsia="Calibri" w:hAnsi="Calibri" w:cs="Calibri"/>
                <w:sz w:val="18"/>
                <w:szCs w:val="18"/>
                <w:lang w:eastAsia="en-US"/>
              </w:rPr>
              <w:t>anxiety</w:t>
            </w:r>
            <w:proofErr w:type="gramEnd"/>
            <w:r w:rsidRPr="00155460">
              <w:rPr>
                <w:rFonts w:ascii="Calibri" w:eastAsia="Calibri" w:hAnsi="Calibri" w:cs="Calibri"/>
                <w:sz w:val="18"/>
                <w:szCs w:val="18"/>
                <w:lang w:eastAsia="en-US"/>
              </w:rPr>
              <w:t xml:space="preserve"> and OCD.</w:t>
            </w:r>
          </w:p>
        </w:tc>
      </w:tr>
      <w:tr w:rsidR="00155460" w:rsidRPr="00155460" w14:paraId="58EC2D82" w14:textId="77777777" w:rsidTr="00B87BC2">
        <w:tc>
          <w:tcPr>
            <w:tcW w:w="0" w:type="auto"/>
          </w:tcPr>
          <w:p w14:paraId="3A6CDE5F"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Mini OCI-R</w:t>
            </w:r>
          </w:p>
        </w:tc>
        <w:tc>
          <w:tcPr>
            <w:tcW w:w="0" w:type="auto"/>
          </w:tcPr>
          <w:p w14:paraId="7D9BB142"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Obsessive Compulsive Inventory – Short Version. A measure of compulsive behaviours.</w:t>
            </w:r>
          </w:p>
        </w:tc>
      </w:tr>
      <w:tr w:rsidR="00155460" w:rsidRPr="00155460" w14:paraId="05119B80" w14:textId="77777777" w:rsidTr="00B87BC2">
        <w:tc>
          <w:tcPr>
            <w:tcW w:w="0" w:type="auto"/>
          </w:tcPr>
          <w:p w14:paraId="779AA9DE"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Mini-SPIN</w:t>
            </w:r>
          </w:p>
        </w:tc>
        <w:tc>
          <w:tcPr>
            <w:tcW w:w="0" w:type="auto"/>
          </w:tcPr>
          <w:p w14:paraId="03739B18"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Mini-Social Phobia Inventory. A measure of the level of social anxiety symptoms.</w:t>
            </w:r>
          </w:p>
        </w:tc>
      </w:tr>
      <w:tr w:rsidR="00155460" w:rsidRPr="00155460" w14:paraId="002B9464" w14:textId="77777777" w:rsidTr="00B87BC2">
        <w:tc>
          <w:tcPr>
            <w:tcW w:w="0" w:type="auto"/>
          </w:tcPr>
          <w:p w14:paraId="0F871E52"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Mood Mechanic</w:t>
            </w:r>
          </w:p>
        </w:tc>
        <w:tc>
          <w:tcPr>
            <w:tcW w:w="0" w:type="auto"/>
          </w:tcPr>
          <w:p w14:paraId="4DA2F8B2"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 xml:space="preserve">A transdiagnostic course for young adults (18-24 years) with anxiety and depression provided by </w:t>
            </w:r>
            <w:proofErr w:type="spellStart"/>
            <w:r w:rsidRPr="00155460">
              <w:rPr>
                <w:rFonts w:ascii="Calibri" w:eastAsia="Calibri" w:hAnsi="Calibri" w:cs="Calibri"/>
                <w:sz w:val="18"/>
                <w:szCs w:val="18"/>
                <w:lang w:eastAsia="en-US"/>
              </w:rPr>
              <w:t>MindSpot</w:t>
            </w:r>
            <w:proofErr w:type="spellEnd"/>
            <w:r w:rsidRPr="00155460">
              <w:rPr>
                <w:rFonts w:ascii="Calibri" w:eastAsia="Calibri" w:hAnsi="Calibri" w:cs="Calibri"/>
                <w:sz w:val="18"/>
                <w:szCs w:val="18"/>
                <w:lang w:eastAsia="en-US"/>
              </w:rPr>
              <w:t xml:space="preserve"> </w:t>
            </w:r>
          </w:p>
        </w:tc>
      </w:tr>
      <w:tr w:rsidR="00155460" w:rsidRPr="00155460" w14:paraId="5DF0DF22" w14:textId="77777777" w:rsidTr="00B87BC2">
        <w:tc>
          <w:tcPr>
            <w:tcW w:w="0" w:type="auto"/>
          </w:tcPr>
          <w:p w14:paraId="22E87DFF" w14:textId="77777777" w:rsidR="00155460" w:rsidRPr="00155460" w:rsidRDefault="00155460" w:rsidP="00155460">
            <w:pPr>
              <w:rPr>
                <w:rFonts w:ascii="Calibri" w:eastAsia="Arial" w:hAnsi="Calibri" w:cs="Calibri"/>
                <w:sz w:val="18"/>
                <w:szCs w:val="18"/>
                <w:shd w:val="clear" w:color="auto" w:fill="FFFFFF"/>
                <w:lang w:eastAsia="en-US"/>
              </w:rPr>
            </w:pPr>
            <w:proofErr w:type="spellStart"/>
            <w:r w:rsidRPr="00155460">
              <w:rPr>
                <w:rFonts w:ascii="Calibri" w:eastAsia="Calibri" w:hAnsi="Calibri" w:cs="Calibri"/>
                <w:sz w:val="18"/>
                <w:szCs w:val="18"/>
                <w:lang w:eastAsia="en-US" w:bidi="th-TH"/>
              </w:rPr>
              <w:t>n.s</w:t>
            </w:r>
            <w:proofErr w:type="spellEnd"/>
            <w:r w:rsidRPr="00155460">
              <w:rPr>
                <w:rFonts w:ascii="Calibri" w:eastAsia="Calibri" w:hAnsi="Calibri" w:cs="Calibri"/>
                <w:sz w:val="18"/>
                <w:szCs w:val="18"/>
                <w:lang w:eastAsia="en-US" w:bidi="th-TH"/>
              </w:rPr>
              <w:t>.</w:t>
            </w:r>
          </w:p>
        </w:tc>
        <w:tc>
          <w:tcPr>
            <w:tcW w:w="0" w:type="auto"/>
          </w:tcPr>
          <w:p w14:paraId="4C3665EC" w14:textId="77777777" w:rsidR="00155460" w:rsidRPr="00155460" w:rsidRDefault="00155460" w:rsidP="00155460">
            <w:pPr>
              <w:rPr>
                <w:rFonts w:ascii="Calibri" w:eastAsia="Arial" w:hAnsi="Calibri" w:cs="Calibri"/>
                <w:color w:val="000000"/>
                <w:sz w:val="18"/>
                <w:szCs w:val="18"/>
                <w:shd w:val="clear" w:color="auto" w:fill="FFFFFF"/>
                <w:lang w:eastAsia="en-US"/>
              </w:rPr>
            </w:pPr>
            <w:r w:rsidRPr="00155460">
              <w:rPr>
                <w:rFonts w:ascii="Calibri" w:eastAsia="Arial" w:hAnsi="Calibri" w:cs="Calibri"/>
                <w:color w:val="000000"/>
                <w:sz w:val="18"/>
                <w:szCs w:val="18"/>
                <w:shd w:val="clear" w:color="auto" w:fill="FFFFFF"/>
                <w:lang w:eastAsia="en-US"/>
              </w:rPr>
              <w:t>Not significant. Statistical result indicating insufficient evidence to reject the null hypothesis that there is no difference between the groups.</w:t>
            </w:r>
          </w:p>
        </w:tc>
      </w:tr>
      <w:tr w:rsidR="00155460" w:rsidRPr="00155460" w14:paraId="572E24FF" w14:textId="77777777" w:rsidTr="00B87BC2">
        <w:tc>
          <w:tcPr>
            <w:tcW w:w="0" w:type="auto"/>
          </w:tcPr>
          <w:p w14:paraId="7CACF15E"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OCD Stop!</w:t>
            </w:r>
          </w:p>
        </w:tc>
        <w:tc>
          <w:tcPr>
            <w:tcW w:w="0" w:type="auto"/>
          </w:tcPr>
          <w:p w14:paraId="11B49112"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Mental Health Online course</w:t>
            </w:r>
          </w:p>
        </w:tc>
      </w:tr>
      <w:tr w:rsidR="00155460" w:rsidRPr="00155460" w14:paraId="7CC5EB57" w14:textId="77777777" w:rsidTr="00B87BC2">
        <w:tc>
          <w:tcPr>
            <w:tcW w:w="0" w:type="auto"/>
          </w:tcPr>
          <w:p w14:paraId="204E3317" w14:textId="77777777" w:rsidR="00155460" w:rsidRPr="00155460" w:rsidRDefault="00155460" w:rsidP="00155460">
            <w:pPr>
              <w:rPr>
                <w:rFonts w:ascii="Calibri" w:eastAsia="Arial" w:hAnsi="Calibri" w:cs="Calibri"/>
                <w:sz w:val="18"/>
                <w:szCs w:val="18"/>
                <w:lang w:eastAsia="en-US"/>
              </w:rPr>
            </w:pPr>
            <w:r w:rsidRPr="00155460">
              <w:rPr>
                <w:rFonts w:ascii="Calibri" w:eastAsia="Calibri" w:hAnsi="Calibri" w:cs="Calibri"/>
                <w:sz w:val="18"/>
                <w:szCs w:val="18"/>
                <w:lang w:eastAsia="en-US"/>
              </w:rPr>
              <w:lastRenderedPageBreak/>
              <w:t>p</w:t>
            </w:r>
          </w:p>
        </w:tc>
        <w:tc>
          <w:tcPr>
            <w:tcW w:w="0" w:type="auto"/>
          </w:tcPr>
          <w:p w14:paraId="730AB4C5" w14:textId="77777777" w:rsidR="00155460" w:rsidRPr="00155460" w:rsidRDefault="00155460" w:rsidP="00155460">
            <w:pPr>
              <w:rPr>
                <w:rFonts w:ascii="Calibri" w:eastAsia="Arial" w:hAnsi="Calibri" w:cs="Calibri"/>
                <w:color w:val="000000"/>
                <w:sz w:val="18"/>
                <w:szCs w:val="18"/>
                <w:lang w:eastAsia="en-US"/>
              </w:rPr>
            </w:pPr>
            <w:r w:rsidRPr="00155460">
              <w:rPr>
                <w:rFonts w:ascii="Calibri" w:eastAsia="Arial" w:hAnsi="Calibri" w:cs="Calibri"/>
                <w:color w:val="000000"/>
                <w:sz w:val="18"/>
                <w:szCs w:val="18"/>
                <w:lang w:eastAsia="en-US"/>
              </w:rPr>
              <w:t>P value. Measure of the strength of the evidence against the null hypothesis. Values around 0.05 indicate weak evidence against the null; values around 0.01 indicate moderate evidence against the null and values around 0.001 indicate strong evidence against the null.</w:t>
            </w:r>
          </w:p>
        </w:tc>
      </w:tr>
      <w:tr w:rsidR="00155460" w:rsidRPr="00155460" w14:paraId="13512894" w14:textId="77777777" w:rsidTr="00B87BC2">
        <w:tc>
          <w:tcPr>
            <w:tcW w:w="0" w:type="auto"/>
          </w:tcPr>
          <w:p w14:paraId="4FE25986"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Panic Stop!</w:t>
            </w:r>
          </w:p>
        </w:tc>
        <w:tc>
          <w:tcPr>
            <w:tcW w:w="0" w:type="auto"/>
          </w:tcPr>
          <w:p w14:paraId="39913954"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Mental Health Online course</w:t>
            </w:r>
          </w:p>
        </w:tc>
      </w:tr>
      <w:tr w:rsidR="00155460" w:rsidRPr="00155460" w14:paraId="37C48719" w14:textId="77777777" w:rsidTr="00B87BC2">
        <w:tc>
          <w:tcPr>
            <w:tcW w:w="0" w:type="auto"/>
          </w:tcPr>
          <w:p w14:paraId="2B8E802C"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PCL-C</w:t>
            </w:r>
          </w:p>
        </w:tc>
        <w:tc>
          <w:tcPr>
            <w:tcW w:w="0" w:type="auto"/>
          </w:tcPr>
          <w:p w14:paraId="14D7D9A0"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Posttraumatic Stress Disorder Checklist. A measure of stress symptoms associated with a traumatic event experienced.</w:t>
            </w:r>
          </w:p>
        </w:tc>
      </w:tr>
      <w:tr w:rsidR="00155460" w:rsidRPr="00155460" w14:paraId="15DCE4C7" w14:textId="77777777" w:rsidTr="00B87BC2">
        <w:tc>
          <w:tcPr>
            <w:tcW w:w="0" w:type="auto"/>
          </w:tcPr>
          <w:p w14:paraId="097F97DC"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PDSS</w:t>
            </w:r>
          </w:p>
        </w:tc>
        <w:tc>
          <w:tcPr>
            <w:tcW w:w="0" w:type="auto"/>
          </w:tcPr>
          <w:p w14:paraId="7EF19B39"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Panic Disorder Severity Scale. A measure of level of panic symptoms.</w:t>
            </w:r>
          </w:p>
        </w:tc>
      </w:tr>
      <w:tr w:rsidR="00155460" w:rsidRPr="00155460" w14:paraId="32FFF28E" w14:textId="77777777" w:rsidTr="00B87BC2">
        <w:tc>
          <w:tcPr>
            <w:tcW w:w="0" w:type="auto"/>
          </w:tcPr>
          <w:p w14:paraId="56415E90"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 xml:space="preserve">PHQ-9 </w:t>
            </w:r>
          </w:p>
        </w:tc>
        <w:tc>
          <w:tcPr>
            <w:tcW w:w="0" w:type="auto"/>
          </w:tcPr>
          <w:p w14:paraId="24D5A3F7"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Patient Health Questionnaire 9-Item Scale. A measure of the level of depression symptoms.</w:t>
            </w:r>
          </w:p>
        </w:tc>
      </w:tr>
      <w:tr w:rsidR="00155460" w:rsidRPr="00155460" w14:paraId="583F7665" w14:textId="77777777" w:rsidTr="00B87BC2">
        <w:tc>
          <w:tcPr>
            <w:tcW w:w="0" w:type="auto"/>
          </w:tcPr>
          <w:p w14:paraId="2008F16D"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Qualtrics</w:t>
            </w:r>
          </w:p>
        </w:tc>
        <w:tc>
          <w:tcPr>
            <w:tcW w:w="0" w:type="auto"/>
          </w:tcPr>
          <w:p w14:paraId="1222B326"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An online survey tool that allows users to easily create surveys</w:t>
            </w:r>
          </w:p>
        </w:tc>
      </w:tr>
      <w:tr w:rsidR="00155460" w:rsidRPr="00155460" w14:paraId="7898E460" w14:textId="77777777" w:rsidTr="00B87BC2">
        <w:tc>
          <w:tcPr>
            <w:tcW w:w="0" w:type="auto"/>
          </w:tcPr>
          <w:p w14:paraId="15ADE65F"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QALY</w:t>
            </w:r>
          </w:p>
        </w:tc>
        <w:tc>
          <w:tcPr>
            <w:tcW w:w="0" w:type="auto"/>
          </w:tcPr>
          <w:p w14:paraId="4B6B90A5" w14:textId="77777777" w:rsidR="00155460" w:rsidRPr="00155460" w:rsidRDefault="00155460" w:rsidP="00155460">
            <w:pPr>
              <w:rPr>
                <w:rFonts w:ascii="Calibri" w:eastAsia="Calibri" w:hAnsi="Calibri" w:cs="Calibri"/>
                <w:sz w:val="18"/>
                <w:szCs w:val="18"/>
                <w:lang w:eastAsia="en-US"/>
              </w:rPr>
            </w:pPr>
            <w:r w:rsidRPr="00155460">
              <w:rPr>
                <w:rFonts w:ascii="Calibri" w:hAnsi="Calibri" w:cs="Calibri"/>
                <w:color w:val="000000"/>
                <w:sz w:val="18"/>
                <w:szCs w:val="18"/>
                <w:lang w:eastAsia="zh-CN"/>
              </w:rPr>
              <w:t>Quality Adjusted Life Years.</w:t>
            </w:r>
            <w:r w:rsidRPr="00155460">
              <w:rPr>
                <w:rFonts w:ascii="Calibri" w:eastAsia="Calibri" w:hAnsi="Calibri" w:cs="Calibri"/>
                <w:sz w:val="18"/>
                <w:szCs w:val="18"/>
                <w:lang w:eastAsia="en-US"/>
              </w:rPr>
              <w:t xml:space="preserve"> A QALY is a widely used health index that combines both health-related quality of life and length of life – one QALY is equal to one year of life in full health. Briefly, QALYs are determined by weighting the length of life (or length of time spent in a particular health state) by a weight denoting the quality of that health state.</w:t>
            </w:r>
          </w:p>
        </w:tc>
      </w:tr>
      <w:tr w:rsidR="00155460" w:rsidRPr="00155460" w14:paraId="5B5E2FDE" w14:textId="77777777" w:rsidTr="00B87BC2">
        <w:tc>
          <w:tcPr>
            <w:tcW w:w="0" w:type="auto"/>
          </w:tcPr>
          <w:p w14:paraId="1C7E404C"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RCT</w:t>
            </w:r>
          </w:p>
        </w:tc>
        <w:tc>
          <w:tcPr>
            <w:tcW w:w="0" w:type="auto"/>
          </w:tcPr>
          <w:p w14:paraId="32755C2E"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Randomised control trial. A gold standard research method to measure efficacy of an intervention, whereby one group is exposed to the intervention and another group acts as a control and is not exposed to the intervention. Assignment to each group is based on randomisation and is therefore not influenced by participant characteristics.</w:t>
            </w:r>
          </w:p>
        </w:tc>
      </w:tr>
      <w:tr w:rsidR="00155460" w:rsidRPr="00155460" w14:paraId="48A376C0" w14:textId="77777777" w:rsidTr="00B87BC2">
        <w:tc>
          <w:tcPr>
            <w:tcW w:w="0" w:type="auto"/>
          </w:tcPr>
          <w:p w14:paraId="475F4BB6"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Reliable change</w:t>
            </w:r>
          </w:p>
        </w:tc>
        <w:tc>
          <w:tcPr>
            <w:tcW w:w="0" w:type="auto"/>
          </w:tcPr>
          <w:p w14:paraId="2DE86CD2" w14:textId="4F0C504B" w:rsidR="00155460" w:rsidRPr="00155460" w:rsidRDefault="00ED068D" w:rsidP="00155460">
            <w:pPr>
              <w:rPr>
                <w:rFonts w:ascii="Calibri" w:eastAsia="Calibri" w:hAnsi="Calibri" w:cs="Calibri"/>
                <w:sz w:val="18"/>
                <w:szCs w:val="18"/>
                <w:lang w:eastAsia="en-US"/>
              </w:rPr>
            </w:pPr>
            <w:r>
              <w:rPr>
                <w:rFonts w:asciiTheme="minorHAnsi" w:eastAsia="Arial" w:hAnsiTheme="minorHAnsi" w:cstheme="minorHAnsi"/>
                <w:color w:val="000000" w:themeColor="text1"/>
                <w:sz w:val="18"/>
                <w:szCs w:val="18"/>
              </w:rPr>
              <w:t>M</w:t>
            </w:r>
            <w:r w:rsidRPr="00A8228C">
              <w:rPr>
                <w:rFonts w:asciiTheme="minorHAnsi" w:eastAsia="Arial" w:hAnsiTheme="minorHAnsi" w:cstheme="minorHAnsi"/>
                <w:color w:val="000000" w:themeColor="text1"/>
                <w:sz w:val="18"/>
                <w:szCs w:val="18"/>
              </w:rPr>
              <w:t xml:space="preserve">easures </w:t>
            </w:r>
            <w:r>
              <w:rPr>
                <w:rFonts w:asciiTheme="minorHAnsi" w:eastAsia="Arial" w:hAnsiTheme="minorHAnsi" w:cstheme="minorHAnsi"/>
                <w:color w:val="000000" w:themeColor="text1"/>
                <w:sz w:val="18"/>
                <w:szCs w:val="18"/>
              </w:rPr>
              <w:t xml:space="preserve">whether </w:t>
            </w:r>
            <w:r w:rsidRPr="00A8228C">
              <w:rPr>
                <w:rFonts w:asciiTheme="minorHAnsi" w:eastAsia="Arial" w:hAnsiTheme="minorHAnsi" w:cstheme="minorHAnsi"/>
                <w:color w:val="000000" w:themeColor="text1"/>
                <w:sz w:val="18"/>
                <w:szCs w:val="18"/>
              </w:rPr>
              <w:t xml:space="preserve">change unlikely to be due to </w:t>
            </w:r>
            <w:r>
              <w:rPr>
                <w:rFonts w:asciiTheme="minorHAnsi" w:eastAsia="Arial" w:hAnsiTheme="minorHAnsi" w:cstheme="minorHAnsi"/>
                <w:color w:val="000000" w:themeColor="text1"/>
                <w:sz w:val="18"/>
                <w:szCs w:val="18"/>
              </w:rPr>
              <w:t xml:space="preserve">measurement </w:t>
            </w:r>
            <w:proofErr w:type="gramStart"/>
            <w:r>
              <w:rPr>
                <w:rFonts w:asciiTheme="minorHAnsi" w:eastAsia="Arial" w:hAnsiTheme="minorHAnsi" w:cstheme="minorHAnsi"/>
                <w:color w:val="000000" w:themeColor="text1"/>
                <w:sz w:val="18"/>
                <w:szCs w:val="18"/>
              </w:rPr>
              <w:t>error</w:t>
            </w:r>
            <w:r w:rsidRPr="00A8228C">
              <w:rPr>
                <w:rFonts w:asciiTheme="minorHAnsi" w:eastAsia="Arial" w:hAnsiTheme="minorHAnsi" w:cstheme="minorHAnsi"/>
                <w:color w:val="000000" w:themeColor="text1"/>
                <w:sz w:val="18"/>
                <w:szCs w:val="18"/>
              </w:rPr>
              <w:t>, and</w:t>
            </w:r>
            <w:proofErr w:type="gramEnd"/>
            <w:r w:rsidRPr="00A8228C">
              <w:rPr>
                <w:rFonts w:asciiTheme="minorHAnsi" w:eastAsia="Arial" w:hAnsiTheme="minorHAnsi" w:cstheme="minorHAnsi"/>
                <w:color w:val="000000" w:themeColor="text1"/>
                <w:sz w:val="18"/>
                <w:szCs w:val="18"/>
              </w:rPr>
              <w:t xml:space="preserve"> is an absolute measure of change</w:t>
            </w:r>
            <w:r>
              <w:rPr>
                <w:rFonts w:asciiTheme="minorHAnsi" w:eastAsia="Arial" w:hAnsiTheme="minorHAnsi" w:cstheme="minorHAnsi"/>
                <w:color w:val="000000" w:themeColor="text1"/>
                <w:sz w:val="18"/>
                <w:szCs w:val="18"/>
              </w:rPr>
              <w:t xml:space="preserve">. </w:t>
            </w:r>
            <w:r w:rsidR="00155460" w:rsidRPr="00155460">
              <w:rPr>
                <w:rFonts w:ascii="Calibri" w:eastAsia="Calibri" w:hAnsi="Calibri" w:cs="Calibri"/>
                <w:sz w:val="18"/>
                <w:szCs w:val="18"/>
                <w:lang w:eastAsia="en-US"/>
              </w:rPr>
              <w:t xml:space="preserve">A reliable change index is used to interpret the clinical significance of change (e.g., reliable improvement, </w:t>
            </w:r>
            <w:proofErr w:type="gramStart"/>
            <w:r w:rsidR="00155460" w:rsidRPr="00155460">
              <w:rPr>
                <w:rFonts w:ascii="Calibri" w:eastAsia="Calibri" w:hAnsi="Calibri" w:cs="Calibri"/>
                <w:sz w:val="18"/>
                <w:szCs w:val="18"/>
                <w:lang w:eastAsia="en-US"/>
              </w:rPr>
              <w:t>deterioration</w:t>
            </w:r>
            <w:proofErr w:type="gramEnd"/>
            <w:r w:rsidR="00155460" w:rsidRPr="00155460">
              <w:rPr>
                <w:rFonts w:ascii="Calibri" w:eastAsia="Calibri" w:hAnsi="Calibri" w:cs="Calibri"/>
                <w:sz w:val="18"/>
                <w:szCs w:val="18"/>
                <w:lang w:eastAsia="en-US"/>
              </w:rPr>
              <w:t xml:space="preserve"> or no change). The numeric value for reliable change is calculated using the initial standard deviation of the measure and its reliability within a given sample.</w:t>
            </w:r>
          </w:p>
        </w:tc>
      </w:tr>
      <w:tr w:rsidR="00155460" w:rsidRPr="00155460" w14:paraId="349A0AFC" w14:textId="77777777" w:rsidTr="00B87BC2">
        <w:tc>
          <w:tcPr>
            <w:tcW w:w="0" w:type="auto"/>
          </w:tcPr>
          <w:p w14:paraId="420F8203"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Recovery</w:t>
            </w:r>
          </w:p>
        </w:tc>
        <w:tc>
          <w:tcPr>
            <w:tcW w:w="0" w:type="auto"/>
          </w:tcPr>
          <w:p w14:paraId="67FB73E5" w14:textId="1892AA60"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 xml:space="preserve">Improvement in symptoms by a </w:t>
            </w:r>
            <w:r w:rsidR="00AA009E">
              <w:rPr>
                <w:rFonts w:ascii="Calibri" w:eastAsia="Calibri" w:hAnsi="Calibri" w:cs="Calibri"/>
                <w:sz w:val="18"/>
                <w:szCs w:val="18"/>
                <w:lang w:eastAsia="en-US"/>
              </w:rPr>
              <w:t>set</w:t>
            </w:r>
            <w:r w:rsidRPr="00155460">
              <w:rPr>
                <w:rFonts w:ascii="Calibri" w:eastAsia="Calibri" w:hAnsi="Calibri" w:cs="Calibri"/>
                <w:sz w:val="18"/>
                <w:szCs w:val="18"/>
                <w:lang w:eastAsia="en-US"/>
              </w:rPr>
              <w:t xml:space="preserve"> (variably defined) proportion (e.g., 50% symptom improvement)</w:t>
            </w:r>
            <w:r w:rsidR="00AA009E">
              <w:rPr>
                <w:rFonts w:ascii="Calibri" w:eastAsia="Calibri" w:hAnsi="Calibri" w:cs="Calibri"/>
                <w:sz w:val="18"/>
                <w:szCs w:val="18"/>
                <w:lang w:eastAsia="en-US"/>
              </w:rPr>
              <w:t>.</w:t>
            </w:r>
          </w:p>
        </w:tc>
      </w:tr>
      <w:tr w:rsidR="00155460" w:rsidRPr="00155460" w14:paraId="49218947" w14:textId="77777777" w:rsidTr="00B87BC2">
        <w:tc>
          <w:tcPr>
            <w:tcW w:w="0" w:type="auto"/>
          </w:tcPr>
          <w:p w14:paraId="14A42384"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Reliable recovery</w:t>
            </w:r>
          </w:p>
        </w:tc>
        <w:tc>
          <w:tcPr>
            <w:tcW w:w="0" w:type="auto"/>
          </w:tcPr>
          <w:p w14:paraId="77F33ABE" w14:textId="5846A3E6" w:rsidR="00155460" w:rsidRPr="00155460" w:rsidRDefault="0022391B" w:rsidP="00155460">
            <w:pPr>
              <w:rPr>
                <w:rFonts w:ascii="Calibri" w:eastAsia="Calibri" w:hAnsi="Calibri" w:cs="Calibri"/>
                <w:sz w:val="18"/>
                <w:szCs w:val="18"/>
                <w:lang w:eastAsia="en-US"/>
              </w:rPr>
            </w:pPr>
            <w:r>
              <w:rPr>
                <w:rFonts w:ascii="Calibri" w:eastAsia="Calibri" w:hAnsi="Calibri" w:cs="Calibri"/>
                <w:sz w:val="18"/>
                <w:szCs w:val="18"/>
                <w:lang w:eastAsia="en-US"/>
              </w:rPr>
              <w:t>Change in</w:t>
            </w:r>
            <w:r w:rsidR="00155460" w:rsidRPr="00155460">
              <w:rPr>
                <w:rFonts w:ascii="Calibri" w:eastAsia="Calibri" w:hAnsi="Calibri" w:cs="Calibri"/>
                <w:sz w:val="18"/>
                <w:szCs w:val="18"/>
                <w:lang w:eastAsia="en-US"/>
              </w:rPr>
              <w:t xml:space="preserve"> score </w:t>
            </w:r>
            <w:r>
              <w:rPr>
                <w:rFonts w:ascii="Calibri" w:eastAsia="Calibri" w:hAnsi="Calibri" w:cs="Calibri"/>
                <w:sz w:val="18"/>
                <w:szCs w:val="18"/>
                <w:lang w:eastAsia="en-US"/>
              </w:rPr>
              <w:t xml:space="preserve">from </w:t>
            </w:r>
            <w:r w:rsidR="00155460" w:rsidRPr="00155460">
              <w:rPr>
                <w:rFonts w:ascii="Calibri" w:eastAsia="Calibri" w:hAnsi="Calibri" w:cs="Calibri"/>
                <w:sz w:val="18"/>
                <w:szCs w:val="18"/>
                <w:lang w:eastAsia="en-US"/>
              </w:rPr>
              <w:t>above a clinical cut-off on an assessment instrument at baseline</w:t>
            </w:r>
            <w:r w:rsidR="00625FAA" w:rsidRPr="00155460">
              <w:rPr>
                <w:rFonts w:ascii="Calibri" w:eastAsia="Calibri" w:hAnsi="Calibri" w:cs="Calibri"/>
                <w:sz w:val="18"/>
                <w:szCs w:val="18"/>
                <w:lang w:eastAsia="en-US"/>
              </w:rPr>
              <w:t xml:space="preserve"> </w:t>
            </w:r>
            <w:r w:rsidR="00123461">
              <w:rPr>
                <w:rFonts w:ascii="Calibri" w:eastAsia="Calibri" w:hAnsi="Calibri" w:cs="Calibri"/>
                <w:sz w:val="18"/>
                <w:szCs w:val="18"/>
                <w:lang w:eastAsia="en-US"/>
              </w:rPr>
              <w:t xml:space="preserve">to </w:t>
            </w:r>
            <w:r w:rsidR="00625FAA" w:rsidRPr="00155460">
              <w:rPr>
                <w:rFonts w:ascii="Calibri" w:eastAsia="Calibri" w:hAnsi="Calibri" w:cs="Calibri"/>
                <w:sz w:val="18"/>
                <w:szCs w:val="18"/>
                <w:lang w:eastAsia="en-US"/>
              </w:rPr>
              <w:t>score below the clinical cut-off at the end of treatment</w:t>
            </w:r>
            <w:r w:rsidR="00155460" w:rsidRPr="00155460">
              <w:rPr>
                <w:rFonts w:ascii="Calibri" w:eastAsia="Calibri" w:hAnsi="Calibri" w:cs="Calibri"/>
                <w:sz w:val="18"/>
                <w:szCs w:val="18"/>
                <w:lang w:eastAsia="en-US"/>
              </w:rPr>
              <w:t xml:space="preserve">, </w:t>
            </w:r>
            <w:r w:rsidR="00123461">
              <w:rPr>
                <w:rFonts w:ascii="Calibri" w:eastAsia="Calibri" w:hAnsi="Calibri" w:cs="Calibri"/>
                <w:sz w:val="18"/>
                <w:szCs w:val="18"/>
                <w:lang w:eastAsia="en-US"/>
              </w:rPr>
              <w:t xml:space="preserve">plus </w:t>
            </w:r>
            <w:r w:rsidR="00155460" w:rsidRPr="00155460">
              <w:rPr>
                <w:rFonts w:ascii="Calibri" w:eastAsia="Calibri" w:hAnsi="Calibri" w:cs="Calibri"/>
                <w:sz w:val="18"/>
                <w:szCs w:val="18"/>
                <w:lang w:eastAsia="en-US"/>
              </w:rPr>
              <w:t xml:space="preserve">reliable </w:t>
            </w:r>
            <w:r w:rsidR="00196874">
              <w:rPr>
                <w:rFonts w:ascii="Calibri" w:eastAsia="Calibri" w:hAnsi="Calibri" w:cs="Calibri"/>
                <w:sz w:val="18"/>
                <w:szCs w:val="18"/>
                <w:lang w:eastAsia="en-US"/>
              </w:rPr>
              <w:t>change (</w:t>
            </w:r>
            <w:r w:rsidR="00155460" w:rsidRPr="00155460">
              <w:rPr>
                <w:rFonts w:ascii="Calibri" w:eastAsia="Calibri" w:hAnsi="Calibri" w:cs="Calibri"/>
                <w:sz w:val="18"/>
                <w:szCs w:val="18"/>
                <w:lang w:eastAsia="en-US"/>
              </w:rPr>
              <w:t>improveme</w:t>
            </w:r>
            <w:r w:rsidR="00196874">
              <w:rPr>
                <w:rFonts w:ascii="Calibri" w:eastAsia="Calibri" w:hAnsi="Calibri" w:cs="Calibri"/>
                <w:sz w:val="18"/>
                <w:szCs w:val="18"/>
                <w:lang w:eastAsia="en-US"/>
              </w:rPr>
              <w:t>nt)</w:t>
            </w:r>
            <w:r w:rsidR="00155460" w:rsidRPr="00155460">
              <w:rPr>
                <w:rFonts w:ascii="Calibri" w:eastAsia="Calibri" w:hAnsi="Calibri" w:cs="Calibri"/>
                <w:sz w:val="18"/>
                <w:szCs w:val="18"/>
                <w:lang w:eastAsia="en-US"/>
              </w:rPr>
              <w:t>.</w:t>
            </w:r>
          </w:p>
        </w:tc>
      </w:tr>
      <w:tr w:rsidR="00155460" w:rsidRPr="00155460" w14:paraId="09EE885B" w14:textId="77777777" w:rsidTr="00B87BC2">
        <w:tc>
          <w:tcPr>
            <w:tcW w:w="0" w:type="auto"/>
          </w:tcPr>
          <w:p w14:paraId="269C452E"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Remission</w:t>
            </w:r>
          </w:p>
        </w:tc>
        <w:tc>
          <w:tcPr>
            <w:tcW w:w="0" w:type="auto"/>
          </w:tcPr>
          <w:p w14:paraId="5416CE20"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Improvement in mental health state from clinically significant symptom level (or “</w:t>
            </w:r>
            <w:proofErr w:type="spellStart"/>
            <w:r w:rsidRPr="00155460">
              <w:rPr>
                <w:rFonts w:ascii="Calibri" w:eastAsia="Calibri" w:hAnsi="Calibri" w:cs="Calibri"/>
                <w:sz w:val="18"/>
                <w:szCs w:val="18"/>
                <w:lang w:eastAsia="en-US"/>
              </w:rPr>
              <w:t>caseness</w:t>
            </w:r>
            <w:proofErr w:type="spellEnd"/>
            <w:r w:rsidRPr="00155460">
              <w:rPr>
                <w:rFonts w:ascii="Calibri" w:eastAsia="Calibri" w:hAnsi="Calibri" w:cs="Calibri"/>
                <w:sz w:val="18"/>
                <w:szCs w:val="18"/>
                <w:lang w:eastAsia="en-US"/>
              </w:rPr>
              <w:t>” as indicated by scoring above a stated cut-off score on a validated symptom measurement scale) to non-clinically significant symptom level (scoring below a state cut-off on the scale).</w:t>
            </w:r>
          </w:p>
        </w:tc>
      </w:tr>
      <w:tr w:rsidR="00155460" w:rsidRPr="00155460" w14:paraId="66A57FCC" w14:textId="77777777" w:rsidTr="00B87BC2">
        <w:tc>
          <w:tcPr>
            <w:tcW w:w="0" w:type="auto"/>
          </w:tcPr>
          <w:p w14:paraId="1EF1BFA9" w14:textId="77777777" w:rsidR="00155460" w:rsidRPr="00155460" w:rsidRDefault="00155460" w:rsidP="00155460">
            <w:pPr>
              <w:rPr>
                <w:rFonts w:ascii="Calibri" w:eastAsia="Arial" w:hAnsi="Calibri" w:cs="Calibri"/>
                <w:sz w:val="18"/>
                <w:szCs w:val="18"/>
                <w:lang w:eastAsia="en-US"/>
              </w:rPr>
            </w:pPr>
            <w:r w:rsidRPr="00155460">
              <w:rPr>
                <w:rFonts w:ascii="Calibri" w:eastAsia="Arial" w:hAnsi="Calibri" w:cs="Calibri"/>
                <w:sz w:val="18"/>
                <w:szCs w:val="18"/>
                <w:lang w:eastAsia="en-US"/>
              </w:rPr>
              <w:t>SD</w:t>
            </w:r>
          </w:p>
        </w:tc>
        <w:tc>
          <w:tcPr>
            <w:tcW w:w="0" w:type="auto"/>
          </w:tcPr>
          <w:p w14:paraId="3B527D81" w14:textId="482490E3" w:rsidR="00155460" w:rsidRPr="00155460" w:rsidRDefault="00155460" w:rsidP="00155460">
            <w:pPr>
              <w:rPr>
                <w:rFonts w:ascii="Calibri" w:eastAsia="Arial" w:hAnsi="Calibri" w:cs="Calibri"/>
                <w:color w:val="000000"/>
                <w:sz w:val="18"/>
                <w:szCs w:val="18"/>
                <w:lang w:eastAsia="en-US"/>
              </w:rPr>
            </w:pPr>
            <w:r w:rsidRPr="00155460">
              <w:rPr>
                <w:rFonts w:ascii="Calibri" w:eastAsia="Arial" w:hAnsi="Calibri" w:cs="Calibri"/>
                <w:color w:val="000000"/>
                <w:sz w:val="18"/>
                <w:szCs w:val="18"/>
                <w:lang w:eastAsia="en-US"/>
              </w:rPr>
              <w:t>Standard deviation. A measure of the amount of variation in values within a sample</w:t>
            </w:r>
            <w:r w:rsidR="002734B9">
              <w:rPr>
                <w:rFonts w:ascii="Calibri" w:eastAsia="Arial" w:hAnsi="Calibri" w:cs="Calibri"/>
                <w:color w:val="000000"/>
                <w:sz w:val="18"/>
                <w:szCs w:val="18"/>
                <w:lang w:eastAsia="en-US"/>
              </w:rPr>
              <w:t>.</w:t>
            </w:r>
          </w:p>
        </w:tc>
      </w:tr>
      <w:tr w:rsidR="00155460" w:rsidRPr="00155460" w14:paraId="1331E196" w14:textId="77777777" w:rsidTr="00B87BC2">
        <w:tc>
          <w:tcPr>
            <w:tcW w:w="0" w:type="auto"/>
          </w:tcPr>
          <w:p w14:paraId="7624AF50" w14:textId="77777777" w:rsidR="00155460" w:rsidRPr="00155460" w:rsidRDefault="00155460" w:rsidP="00155460">
            <w:pPr>
              <w:rPr>
                <w:rFonts w:ascii="Calibri" w:eastAsia="Arial" w:hAnsi="Calibri" w:cs="Calibri"/>
                <w:sz w:val="18"/>
                <w:szCs w:val="18"/>
                <w:lang w:eastAsia="en-US"/>
              </w:rPr>
            </w:pPr>
            <w:r w:rsidRPr="00155460">
              <w:rPr>
                <w:rFonts w:ascii="Calibri" w:eastAsia="Arial" w:hAnsi="Calibri" w:cs="Calibri"/>
                <w:sz w:val="18"/>
                <w:szCs w:val="18"/>
                <w:lang w:eastAsia="en-US"/>
              </w:rPr>
              <w:t>SE</w:t>
            </w:r>
          </w:p>
        </w:tc>
        <w:tc>
          <w:tcPr>
            <w:tcW w:w="0" w:type="auto"/>
          </w:tcPr>
          <w:p w14:paraId="78669A14" w14:textId="77777777" w:rsidR="00155460" w:rsidRPr="00155460" w:rsidRDefault="00155460" w:rsidP="00155460">
            <w:pPr>
              <w:rPr>
                <w:rFonts w:ascii="Calibri" w:eastAsia="Arial" w:hAnsi="Calibri" w:cs="Calibri"/>
                <w:color w:val="000000"/>
                <w:sz w:val="18"/>
                <w:szCs w:val="18"/>
                <w:lang w:eastAsia="en-US"/>
              </w:rPr>
            </w:pPr>
            <w:r w:rsidRPr="00155460">
              <w:rPr>
                <w:rFonts w:ascii="Calibri" w:eastAsia="Arial" w:hAnsi="Calibri" w:cs="Calibri"/>
                <w:color w:val="000000"/>
                <w:sz w:val="18"/>
                <w:szCs w:val="18"/>
                <w:lang w:eastAsia="en-US"/>
              </w:rPr>
              <w:t>Standard error. A measure of the amount of variation in the mean within a sample of a population.</w:t>
            </w:r>
          </w:p>
        </w:tc>
      </w:tr>
      <w:tr w:rsidR="00155460" w:rsidRPr="00155460" w14:paraId="13C8B200" w14:textId="77777777" w:rsidTr="00B87BC2">
        <w:tc>
          <w:tcPr>
            <w:tcW w:w="0" w:type="auto"/>
          </w:tcPr>
          <w:p w14:paraId="7BA7F5C1" w14:textId="77777777" w:rsidR="00155460" w:rsidRPr="00155460" w:rsidRDefault="00155460" w:rsidP="00155460">
            <w:pPr>
              <w:rPr>
                <w:rFonts w:ascii="Calibri" w:eastAsia="Calibri" w:hAnsi="Calibri" w:cs="Calibri"/>
                <w:sz w:val="18"/>
                <w:szCs w:val="18"/>
                <w:lang w:eastAsia="en-US"/>
              </w:rPr>
            </w:pPr>
            <w:proofErr w:type="spellStart"/>
            <w:r w:rsidRPr="00155460">
              <w:rPr>
                <w:rFonts w:ascii="Calibri" w:eastAsia="Calibri" w:hAnsi="Calibri" w:cs="Calibri"/>
                <w:sz w:val="18"/>
                <w:szCs w:val="18"/>
                <w:lang w:eastAsia="en-US"/>
              </w:rPr>
              <w:t>Slido</w:t>
            </w:r>
            <w:proofErr w:type="spellEnd"/>
          </w:p>
        </w:tc>
        <w:tc>
          <w:tcPr>
            <w:tcW w:w="0" w:type="auto"/>
          </w:tcPr>
          <w:p w14:paraId="758BEB24" w14:textId="05543E4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A web-based, interactive Q&amp;A and polling app that encourages participation in virtual events (https://www.sli.do/)</w:t>
            </w:r>
            <w:r w:rsidR="002734B9">
              <w:rPr>
                <w:rFonts w:ascii="Calibri" w:eastAsia="Calibri" w:hAnsi="Calibri" w:cs="Calibri"/>
                <w:sz w:val="18"/>
                <w:szCs w:val="18"/>
                <w:lang w:eastAsia="en-US"/>
              </w:rPr>
              <w:t>.</w:t>
            </w:r>
          </w:p>
        </w:tc>
      </w:tr>
      <w:tr w:rsidR="00155460" w:rsidRPr="00155460" w14:paraId="0353496D" w14:textId="77777777" w:rsidTr="00B87BC2">
        <w:tc>
          <w:tcPr>
            <w:tcW w:w="0" w:type="auto"/>
          </w:tcPr>
          <w:p w14:paraId="15616F76"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Sleep-e!</w:t>
            </w:r>
          </w:p>
        </w:tc>
        <w:tc>
          <w:tcPr>
            <w:tcW w:w="0" w:type="auto"/>
          </w:tcPr>
          <w:p w14:paraId="55FDC3F4"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Mental Health Online course</w:t>
            </w:r>
          </w:p>
        </w:tc>
      </w:tr>
      <w:tr w:rsidR="00155460" w:rsidRPr="00155460" w14:paraId="0BEFE781" w14:textId="77777777" w:rsidTr="00B87BC2">
        <w:tc>
          <w:tcPr>
            <w:tcW w:w="0" w:type="auto"/>
          </w:tcPr>
          <w:p w14:paraId="2D348FA6"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Take a test</w:t>
            </w:r>
          </w:p>
        </w:tc>
        <w:tc>
          <w:tcPr>
            <w:tcW w:w="0" w:type="auto"/>
          </w:tcPr>
          <w:p w14:paraId="54779DDC"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THIS WAY UP’s web-based assessment tool comprising validated mental health questionnaires to measure the frequency and intensity of symptoms of mental health conditions. It provides users with a summary of their results and treatment and support recommendations, including THIS WAY UP programs.</w:t>
            </w:r>
          </w:p>
        </w:tc>
      </w:tr>
      <w:tr w:rsidR="00155460" w:rsidRPr="00155460" w14:paraId="182B1BE2" w14:textId="77777777" w:rsidTr="00B87BC2">
        <w:tc>
          <w:tcPr>
            <w:tcW w:w="0" w:type="auto"/>
          </w:tcPr>
          <w:p w14:paraId="0D90E688"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TP</w:t>
            </w:r>
          </w:p>
        </w:tc>
        <w:tc>
          <w:tcPr>
            <w:tcW w:w="0" w:type="auto"/>
          </w:tcPr>
          <w:p w14:paraId="0AE89865"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Transition probability. The probability of moving from one health state to another.</w:t>
            </w:r>
          </w:p>
        </w:tc>
      </w:tr>
      <w:tr w:rsidR="00155460" w:rsidRPr="00155460" w14:paraId="7F146F8B" w14:textId="77777777" w:rsidTr="00B87BC2">
        <w:tc>
          <w:tcPr>
            <w:tcW w:w="0" w:type="auto"/>
          </w:tcPr>
          <w:p w14:paraId="48D961A0"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Wellbeing Plus Course</w:t>
            </w:r>
          </w:p>
        </w:tc>
        <w:tc>
          <w:tcPr>
            <w:tcW w:w="0" w:type="auto"/>
          </w:tcPr>
          <w:p w14:paraId="56831DA0" w14:textId="77777777" w:rsidR="00155460" w:rsidRPr="00155460" w:rsidRDefault="00155460" w:rsidP="00155460">
            <w:pPr>
              <w:rPr>
                <w:rFonts w:ascii="Calibri" w:eastAsia="Calibri" w:hAnsi="Calibri" w:cs="Calibri"/>
                <w:sz w:val="18"/>
                <w:szCs w:val="18"/>
                <w:lang w:eastAsia="en-US"/>
              </w:rPr>
            </w:pPr>
            <w:proofErr w:type="spellStart"/>
            <w:r w:rsidRPr="00155460">
              <w:rPr>
                <w:rFonts w:ascii="Calibri" w:eastAsia="Calibri" w:hAnsi="Calibri" w:cs="Calibri"/>
                <w:sz w:val="18"/>
                <w:szCs w:val="18"/>
                <w:lang w:eastAsia="en-US"/>
              </w:rPr>
              <w:t>MindSpot</w:t>
            </w:r>
            <w:proofErr w:type="spellEnd"/>
            <w:r w:rsidRPr="00155460">
              <w:rPr>
                <w:rFonts w:ascii="Calibri" w:eastAsia="Calibri" w:hAnsi="Calibri" w:cs="Calibri"/>
                <w:sz w:val="18"/>
                <w:szCs w:val="18"/>
                <w:lang w:eastAsia="en-US"/>
              </w:rPr>
              <w:t xml:space="preserve"> transdiagnostic course for adults aged 60+ years</w:t>
            </w:r>
          </w:p>
        </w:tc>
      </w:tr>
      <w:tr w:rsidR="00155460" w:rsidRPr="00155460" w14:paraId="1FBC7674" w14:textId="77777777" w:rsidTr="00B87BC2">
        <w:tc>
          <w:tcPr>
            <w:tcW w:w="0" w:type="auto"/>
          </w:tcPr>
          <w:p w14:paraId="4E082154"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Whiteley-7</w:t>
            </w:r>
          </w:p>
        </w:tc>
        <w:tc>
          <w:tcPr>
            <w:tcW w:w="0" w:type="auto"/>
          </w:tcPr>
          <w:p w14:paraId="28F37AD8" w14:textId="1869E8CF" w:rsidR="00155460" w:rsidRPr="00155460" w:rsidRDefault="002734B9" w:rsidP="00155460">
            <w:pPr>
              <w:rPr>
                <w:rFonts w:ascii="Calibri" w:eastAsia="Calibri" w:hAnsi="Calibri" w:cs="Calibri"/>
                <w:sz w:val="18"/>
                <w:szCs w:val="18"/>
                <w:lang w:eastAsia="en-US"/>
              </w:rPr>
            </w:pPr>
            <w:r>
              <w:rPr>
                <w:rFonts w:ascii="Calibri" w:eastAsia="Calibri" w:hAnsi="Calibri" w:cs="Calibri"/>
                <w:sz w:val="18"/>
                <w:szCs w:val="18"/>
                <w:lang w:eastAsia="en-US"/>
              </w:rPr>
              <w:t>A</w:t>
            </w:r>
            <w:r w:rsidR="00155460" w:rsidRPr="00155460">
              <w:rPr>
                <w:rFonts w:ascii="Calibri" w:eastAsia="Calibri" w:hAnsi="Calibri" w:cs="Calibri"/>
                <w:sz w:val="18"/>
                <w:szCs w:val="18"/>
                <w:lang w:eastAsia="en-US"/>
              </w:rPr>
              <w:t xml:space="preserve"> measure of health anxiety</w:t>
            </w:r>
            <w:r>
              <w:rPr>
                <w:rFonts w:ascii="Calibri" w:eastAsia="Calibri" w:hAnsi="Calibri" w:cs="Calibri"/>
                <w:sz w:val="18"/>
                <w:szCs w:val="18"/>
                <w:lang w:eastAsia="en-US"/>
              </w:rPr>
              <w:t>,</w:t>
            </w:r>
          </w:p>
        </w:tc>
      </w:tr>
      <w:tr w:rsidR="00155460" w:rsidRPr="00155460" w14:paraId="0A07A16A" w14:textId="77777777" w:rsidTr="00B87BC2">
        <w:tc>
          <w:tcPr>
            <w:tcW w:w="0" w:type="auto"/>
          </w:tcPr>
          <w:p w14:paraId="1C190CA5"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sz w:val="18"/>
                <w:szCs w:val="18"/>
                <w:lang w:eastAsia="en-US"/>
              </w:rPr>
              <w:t>WTP</w:t>
            </w:r>
          </w:p>
        </w:tc>
        <w:tc>
          <w:tcPr>
            <w:tcW w:w="0" w:type="auto"/>
          </w:tcPr>
          <w:p w14:paraId="0806DAE1" w14:textId="77777777" w:rsidR="00155460" w:rsidRPr="00155460" w:rsidRDefault="00155460" w:rsidP="00155460">
            <w:pPr>
              <w:rPr>
                <w:rFonts w:ascii="Calibri" w:eastAsia="Calibri" w:hAnsi="Calibri" w:cs="Calibri"/>
                <w:sz w:val="18"/>
                <w:szCs w:val="18"/>
                <w:lang w:eastAsia="en-US"/>
              </w:rPr>
            </w:pPr>
            <w:r w:rsidRPr="00155460">
              <w:rPr>
                <w:rFonts w:ascii="Calibri" w:eastAsia="Calibri" w:hAnsi="Calibri" w:cs="Calibri"/>
                <w:color w:val="000000"/>
                <w:sz w:val="18"/>
                <w:szCs w:val="18"/>
                <w:lang w:eastAsia="en-US"/>
              </w:rPr>
              <w:t>Willingness to pay. An evaluation method used to determine the maximum amount of money an individual is willing to pay for a particular outcome or benefit (e.g., to receive a health care service).</w:t>
            </w:r>
          </w:p>
        </w:tc>
      </w:tr>
    </w:tbl>
    <w:p w14:paraId="61C81169" w14:textId="77777777" w:rsidR="00155460" w:rsidRPr="00155460" w:rsidRDefault="00155460" w:rsidP="00155460">
      <w:pPr>
        <w:rPr>
          <w:rFonts w:ascii="Calibri" w:eastAsia="Calibri" w:hAnsi="Calibri" w:cs="Arial"/>
          <w:lang w:val="en-GB" w:eastAsia="en-US"/>
        </w:rPr>
      </w:pPr>
    </w:p>
    <w:p w14:paraId="7488832B" w14:textId="77777777" w:rsidR="002F3689" w:rsidRDefault="002F3689">
      <w:pPr>
        <w:spacing w:after="200"/>
        <w:rPr>
          <w:rFonts w:asciiTheme="minorHAnsi" w:eastAsiaTheme="majorEastAsia" w:hAnsiTheme="minorHAnsi" w:cstheme="minorBidi"/>
          <w:b/>
          <w:color w:val="2F5496" w:themeColor="accent1" w:themeShade="BF"/>
          <w:sz w:val="40"/>
          <w:szCs w:val="40"/>
        </w:rPr>
      </w:pPr>
      <w:r>
        <w:br w:type="page"/>
      </w:r>
    </w:p>
    <w:p w14:paraId="0A5D509A" w14:textId="6E775F1B" w:rsidR="00906A14" w:rsidRDefault="00E81FB6" w:rsidP="00044C8C">
      <w:pPr>
        <w:pStyle w:val="Heading1"/>
      </w:pPr>
      <w:bookmarkStart w:id="4" w:name="_Toc108784807"/>
      <w:r w:rsidRPr="00AA6B28">
        <w:lastRenderedPageBreak/>
        <w:t>Acknowledgements</w:t>
      </w:r>
      <w:bookmarkEnd w:id="4"/>
    </w:p>
    <w:p w14:paraId="5B4CBAD7" w14:textId="72295613" w:rsidR="000F1270" w:rsidRDefault="00432178" w:rsidP="00F21C95">
      <w:pPr>
        <w:pStyle w:val="ANorm"/>
        <w:spacing w:after="240"/>
      </w:pPr>
      <w:r w:rsidRPr="00432178">
        <w:t>This report would not have been possible without the support of many who generously gave their time and made valuable contributions.</w:t>
      </w:r>
    </w:p>
    <w:p w14:paraId="2BA68760" w14:textId="36D80293" w:rsidR="000F1270" w:rsidRDefault="00432178" w:rsidP="00F21C95">
      <w:pPr>
        <w:pStyle w:val="ANorm"/>
        <w:spacing w:after="240"/>
      </w:pPr>
      <w:r w:rsidRPr="00432178">
        <w:t xml:space="preserve">In particular, the evaluators would like to thank the </w:t>
      </w:r>
      <w:r>
        <w:t xml:space="preserve">three digital mental health services – Mental Health Online, </w:t>
      </w:r>
      <w:proofErr w:type="spellStart"/>
      <w:r>
        <w:t>MindSpot</w:t>
      </w:r>
      <w:proofErr w:type="spellEnd"/>
      <w:r>
        <w:t xml:space="preserve"> and THIS WAY UP – who </w:t>
      </w:r>
      <w:r w:rsidRPr="00432178">
        <w:t xml:space="preserve">have shown a high level of commitment to data </w:t>
      </w:r>
      <w:r>
        <w:t>provision</w:t>
      </w:r>
      <w:r w:rsidRPr="00432178">
        <w:t>, provided input on our stakeholder consultation questions and facilitated our access to data and various stakeholder groups</w:t>
      </w:r>
      <w:r w:rsidR="000F1270">
        <w:t>.</w:t>
      </w:r>
    </w:p>
    <w:p w14:paraId="742717E4" w14:textId="17E79BFE" w:rsidR="00432178" w:rsidRDefault="000F1270" w:rsidP="00F21C95">
      <w:pPr>
        <w:pStyle w:val="ANorm"/>
        <w:spacing w:after="240"/>
      </w:pPr>
      <w:r>
        <w:t>We also extend thanks to</w:t>
      </w:r>
      <w:r w:rsidR="00432178" w:rsidRPr="00432178">
        <w:t xml:space="preserve"> all the stakeholder groups – consumers</w:t>
      </w:r>
      <w:r w:rsidR="00432178">
        <w:t xml:space="preserve"> and providers of digital mental health services</w:t>
      </w:r>
      <w:r w:rsidR="00432178" w:rsidRPr="00432178">
        <w:t xml:space="preserve">, </w:t>
      </w:r>
      <w:r w:rsidR="00432178">
        <w:t>others with lived experience of mental health problems</w:t>
      </w:r>
      <w:r w:rsidR="00432178" w:rsidRPr="00432178">
        <w:t xml:space="preserve">, </w:t>
      </w:r>
      <w:r w:rsidR="00432178">
        <w:t xml:space="preserve">additional health providers, and </w:t>
      </w:r>
      <w:r w:rsidR="00432178" w:rsidRPr="00432178">
        <w:t xml:space="preserve">other </w:t>
      </w:r>
      <w:r w:rsidR="00432178">
        <w:t>key mental health s</w:t>
      </w:r>
      <w:r>
        <w:t>ector representatives</w:t>
      </w:r>
      <w:r w:rsidR="00432178" w:rsidRPr="00432178">
        <w:t xml:space="preserve"> – who provided their views on, and experiences of, </w:t>
      </w:r>
      <w:r>
        <w:t>digital</w:t>
      </w:r>
      <w:r w:rsidR="00432178" w:rsidRPr="00432178">
        <w:t xml:space="preserve"> mental health </w:t>
      </w:r>
      <w:r>
        <w:t>services</w:t>
      </w:r>
      <w:r w:rsidR="00432178" w:rsidRPr="00432178">
        <w:t>; and Robert Lukins for general project support.</w:t>
      </w:r>
    </w:p>
    <w:p w14:paraId="145F5E38" w14:textId="62C59EC4" w:rsidR="00432178" w:rsidRDefault="00432178" w:rsidP="00F21C95">
      <w:pPr>
        <w:pStyle w:val="ANorm"/>
        <w:spacing w:after="240"/>
      </w:pPr>
      <w:r w:rsidRPr="00432178">
        <w:t xml:space="preserve">The evaluation of the </w:t>
      </w:r>
      <w:r w:rsidR="000F1270">
        <w:t>supported digital mental health services was</w:t>
      </w:r>
      <w:r w:rsidRPr="00432178">
        <w:t xml:space="preserve"> funded by the Australian Government Department of Health.</w:t>
      </w:r>
    </w:p>
    <w:p w14:paraId="7A0B52FB" w14:textId="0766F8B1" w:rsidR="001606D8" w:rsidRPr="00AA6B28" w:rsidRDefault="001606D8" w:rsidP="00432178">
      <w:pPr>
        <w:rPr>
          <w:highlight w:val="yellow"/>
        </w:rPr>
      </w:pPr>
      <w:r w:rsidRPr="00AA6B28">
        <w:rPr>
          <w:highlight w:val="yellow"/>
        </w:rPr>
        <w:br w:type="page"/>
      </w:r>
    </w:p>
    <w:bookmarkStart w:id="5" w:name="_Toc108784808" w:displacedByCustomXml="next"/>
    <w:bookmarkStart w:id="6" w:name="_Toc82372092" w:displacedByCustomXml="next"/>
    <w:bookmarkStart w:id="7" w:name="_Toc82351536" w:displacedByCustomXml="next"/>
    <w:bookmarkStart w:id="8" w:name="_Toc82351496" w:displacedByCustomXml="next"/>
    <w:sdt>
      <w:sdtPr>
        <w:rPr>
          <w:rFonts w:ascii="Times New Roman" w:eastAsia="Times New Roman" w:hAnsi="Times New Roman" w:cs="Times New Roman"/>
          <w:b w:val="0"/>
          <w:color w:val="auto"/>
          <w:sz w:val="24"/>
          <w:szCs w:val="24"/>
          <w:lang w:eastAsia="zh-CN"/>
        </w:rPr>
        <w:id w:val="-2035109990"/>
        <w:docPartObj>
          <w:docPartGallery w:val="Table of Contents"/>
          <w:docPartUnique/>
        </w:docPartObj>
      </w:sdtPr>
      <w:sdtEndPr>
        <w:rPr>
          <w:lang w:eastAsia="en-GB"/>
        </w:rPr>
      </w:sdtEndPr>
      <w:sdtContent>
        <w:p w14:paraId="2330A351" w14:textId="31E259E8" w:rsidR="00BD4E89" w:rsidRPr="00017C7B" w:rsidRDefault="00707955" w:rsidP="00017C7B">
          <w:pPr>
            <w:pStyle w:val="Heading1"/>
            <w:rPr>
              <w:bCs/>
              <w:noProof/>
            </w:rPr>
          </w:pPr>
          <w:r w:rsidRPr="003C0D78">
            <w:t>Table of Contents</w:t>
          </w:r>
          <w:bookmarkEnd w:id="5"/>
          <w:r w:rsidR="00123716" w:rsidRPr="00E96C95">
            <w:rPr>
              <w:bCs/>
            </w:rPr>
            <w:fldChar w:fldCharType="begin"/>
          </w:r>
          <w:r w:rsidR="00123716" w:rsidRPr="00E96C95">
            <w:instrText xml:space="preserve"> TOC \o "1-2" \h \z \u </w:instrText>
          </w:r>
          <w:r w:rsidR="00123716" w:rsidRPr="00E96C95">
            <w:rPr>
              <w:bCs/>
            </w:rPr>
            <w:fldChar w:fldCharType="separate"/>
          </w:r>
        </w:p>
        <w:p w14:paraId="1BF614CC" w14:textId="1B7B4088" w:rsidR="00BD4E89" w:rsidRDefault="009B3225">
          <w:pPr>
            <w:pStyle w:val="TOC1"/>
            <w:tabs>
              <w:tab w:val="right" w:leader="dot" w:pos="9016"/>
            </w:tabs>
            <w:rPr>
              <w:rFonts w:eastAsiaTheme="minorEastAsia" w:cstheme="minorBidi"/>
              <w:b w:val="0"/>
              <w:bCs w:val="0"/>
              <w:caps w:val="0"/>
              <w:noProof/>
              <w:sz w:val="22"/>
              <w:szCs w:val="22"/>
              <w:lang w:val="en-US" w:eastAsia="en-US"/>
            </w:rPr>
          </w:pPr>
          <w:hyperlink w:anchor="_Toc108784809" w:history="1">
            <w:r w:rsidR="00BD4E89" w:rsidRPr="00957E81">
              <w:rPr>
                <w:rStyle w:val="Hyperlink"/>
                <w:noProof/>
              </w:rPr>
              <w:t>Executive summary</w:t>
            </w:r>
            <w:r w:rsidR="00BD4E89">
              <w:rPr>
                <w:noProof/>
                <w:webHidden/>
              </w:rPr>
              <w:tab/>
            </w:r>
            <w:r w:rsidR="00BD4E89">
              <w:rPr>
                <w:noProof/>
                <w:webHidden/>
              </w:rPr>
              <w:fldChar w:fldCharType="begin"/>
            </w:r>
            <w:r w:rsidR="00BD4E89">
              <w:rPr>
                <w:noProof/>
                <w:webHidden/>
              </w:rPr>
              <w:instrText xml:space="preserve"> PAGEREF _Toc108784809 \h </w:instrText>
            </w:r>
            <w:r w:rsidR="00BD4E89">
              <w:rPr>
                <w:noProof/>
                <w:webHidden/>
              </w:rPr>
            </w:r>
            <w:r w:rsidR="00BD4E89">
              <w:rPr>
                <w:noProof/>
                <w:webHidden/>
              </w:rPr>
              <w:fldChar w:fldCharType="separate"/>
            </w:r>
            <w:r w:rsidR="00896BE0">
              <w:rPr>
                <w:noProof/>
                <w:webHidden/>
              </w:rPr>
              <w:t>1</w:t>
            </w:r>
            <w:r w:rsidR="00BD4E89">
              <w:rPr>
                <w:noProof/>
                <w:webHidden/>
              </w:rPr>
              <w:fldChar w:fldCharType="end"/>
            </w:r>
          </w:hyperlink>
        </w:p>
        <w:p w14:paraId="4A889CB1" w14:textId="30FC761A" w:rsidR="00BD4E89" w:rsidRDefault="009B3225">
          <w:pPr>
            <w:pStyle w:val="TOC2"/>
            <w:tabs>
              <w:tab w:val="right" w:leader="dot" w:pos="9016"/>
            </w:tabs>
            <w:rPr>
              <w:rFonts w:eastAsiaTheme="minorEastAsia" w:cstheme="minorBidi"/>
              <w:smallCaps w:val="0"/>
              <w:noProof/>
              <w:sz w:val="22"/>
              <w:szCs w:val="22"/>
              <w:lang w:val="en-US" w:eastAsia="en-US"/>
            </w:rPr>
          </w:pPr>
          <w:hyperlink w:anchor="_Toc108784810" w:history="1">
            <w:r w:rsidR="00BD4E89" w:rsidRPr="00957E81">
              <w:rPr>
                <w:rStyle w:val="Hyperlink"/>
                <w:noProof/>
              </w:rPr>
              <w:t>Background</w:t>
            </w:r>
            <w:r w:rsidR="00BD4E89">
              <w:rPr>
                <w:noProof/>
                <w:webHidden/>
              </w:rPr>
              <w:tab/>
            </w:r>
            <w:r w:rsidR="00BD4E89">
              <w:rPr>
                <w:noProof/>
                <w:webHidden/>
              </w:rPr>
              <w:fldChar w:fldCharType="begin"/>
            </w:r>
            <w:r w:rsidR="00BD4E89">
              <w:rPr>
                <w:noProof/>
                <w:webHidden/>
              </w:rPr>
              <w:instrText xml:space="preserve"> PAGEREF _Toc108784810 \h </w:instrText>
            </w:r>
            <w:r w:rsidR="00BD4E89">
              <w:rPr>
                <w:noProof/>
                <w:webHidden/>
              </w:rPr>
            </w:r>
            <w:r w:rsidR="00BD4E89">
              <w:rPr>
                <w:noProof/>
                <w:webHidden/>
              </w:rPr>
              <w:fldChar w:fldCharType="separate"/>
            </w:r>
            <w:r w:rsidR="00896BE0">
              <w:rPr>
                <w:noProof/>
                <w:webHidden/>
              </w:rPr>
              <w:t>1</w:t>
            </w:r>
            <w:r w:rsidR="00BD4E89">
              <w:rPr>
                <w:noProof/>
                <w:webHidden/>
              </w:rPr>
              <w:fldChar w:fldCharType="end"/>
            </w:r>
          </w:hyperlink>
        </w:p>
        <w:p w14:paraId="75F0102F" w14:textId="4F6AD05D" w:rsidR="00BD4E89" w:rsidRDefault="009B3225">
          <w:pPr>
            <w:pStyle w:val="TOC2"/>
            <w:tabs>
              <w:tab w:val="right" w:leader="dot" w:pos="9016"/>
            </w:tabs>
            <w:rPr>
              <w:rFonts w:eastAsiaTheme="minorEastAsia" w:cstheme="minorBidi"/>
              <w:smallCaps w:val="0"/>
              <w:noProof/>
              <w:sz w:val="22"/>
              <w:szCs w:val="22"/>
              <w:lang w:val="en-US" w:eastAsia="en-US"/>
            </w:rPr>
          </w:pPr>
          <w:hyperlink w:anchor="_Toc108784811" w:history="1">
            <w:r w:rsidR="00BD4E89" w:rsidRPr="00957E81">
              <w:rPr>
                <w:rStyle w:val="Hyperlink"/>
                <w:noProof/>
              </w:rPr>
              <w:t>Evaluation aims</w:t>
            </w:r>
            <w:r w:rsidR="00BD4E89">
              <w:rPr>
                <w:noProof/>
                <w:webHidden/>
              </w:rPr>
              <w:tab/>
            </w:r>
            <w:r w:rsidR="00BD4E89">
              <w:rPr>
                <w:noProof/>
                <w:webHidden/>
              </w:rPr>
              <w:fldChar w:fldCharType="begin"/>
            </w:r>
            <w:r w:rsidR="00BD4E89">
              <w:rPr>
                <w:noProof/>
                <w:webHidden/>
              </w:rPr>
              <w:instrText xml:space="preserve"> PAGEREF _Toc108784811 \h </w:instrText>
            </w:r>
            <w:r w:rsidR="00BD4E89">
              <w:rPr>
                <w:noProof/>
                <w:webHidden/>
              </w:rPr>
            </w:r>
            <w:r w:rsidR="00BD4E89">
              <w:rPr>
                <w:noProof/>
                <w:webHidden/>
              </w:rPr>
              <w:fldChar w:fldCharType="separate"/>
            </w:r>
            <w:r w:rsidR="00896BE0">
              <w:rPr>
                <w:noProof/>
                <w:webHidden/>
              </w:rPr>
              <w:t>1</w:t>
            </w:r>
            <w:r w:rsidR="00BD4E89">
              <w:rPr>
                <w:noProof/>
                <w:webHidden/>
              </w:rPr>
              <w:fldChar w:fldCharType="end"/>
            </w:r>
          </w:hyperlink>
        </w:p>
        <w:p w14:paraId="15A9CBC5" w14:textId="55C6CDEA" w:rsidR="00BD4E89" w:rsidRDefault="009B3225">
          <w:pPr>
            <w:pStyle w:val="TOC2"/>
            <w:tabs>
              <w:tab w:val="right" w:leader="dot" w:pos="9016"/>
            </w:tabs>
            <w:rPr>
              <w:rFonts w:eastAsiaTheme="minorEastAsia" w:cstheme="minorBidi"/>
              <w:smallCaps w:val="0"/>
              <w:noProof/>
              <w:sz w:val="22"/>
              <w:szCs w:val="22"/>
              <w:lang w:val="en-US" w:eastAsia="en-US"/>
            </w:rPr>
          </w:pPr>
          <w:hyperlink w:anchor="_Toc108784812" w:history="1">
            <w:r w:rsidR="00BD4E89" w:rsidRPr="00957E81">
              <w:rPr>
                <w:rStyle w:val="Hyperlink"/>
                <w:noProof/>
              </w:rPr>
              <w:t>Data sources</w:t>
            </w:r>
            <w:r w:rsidR="00BD4E89">
              <w:rPr>
                <w:noProof/>
                <w:webHidden/>
              </w:rPr>
              <w:tab/>
            </w:r>
            <w:r w:rsidR="00BD4E89">
              <w:rPr>
                <w:noProof/>
                <w:webHidden/>
              </w:rPr>
              <w:fldChar w:fldCharType="begin"/>
            </w:r>
            <w:r w:rsidR="00BD4E89">
              <w:rPr>
                <w:noProof/>
                <w:webHidden/>
              </w:rPr>
              <w:instrText xml:space="preserve"> PAGEREF _Toc108784812 \h </w:instrText>
            </w:r>
            <w:r w:rsidR="00BD4E89">
              <w:rPr>
                <w:noProof/>
                <w:webHidden/>
              </w:rPr>
            </w:r>
            <w:r w:rsidR="00BD4E89">
              <w:rPr>
                <w:noProof/>
                <w:webHidden/>
              </w:rPr>
              <w:fldChar w:fldCharType="separate"/>
            </w:r>
            <w:r w:rsidR="00896BE0">
              <w:rPr>
                <w:noProof/>
                <w:webHidden/>
              </w:rPr>
              <w:t>2</w:t>
            </w:r>
            <w:r w:rsidR="00BD4E89">
              <w:rPr>
                <w:noProof/>
                <w:webHidden/>
              </w:rPr>
              <w:fldChar w:fldCharType="end"/>
            </w:r>
          </w:hyperlink>
        </w:p>
        <w:p w14:paraId="2DFAFF3D" w14:textId="2B81B955" w:rsidR="00BD4E89" w:rsidRDefault="009B3225">
          <w:pPr>
            <w:pStyle w:val="TOC2"/>
            <w:tabs>
              <w:tab w:val="right" w:leader="dot" w:pos="9016"/>
            </w:tabs>
            <w:rPr>
              <w:rFonts w:eastAsiaTheme="minorEastAsia" w:cstheme="minorBidi"/>
              <w:smallCaps w:val="0"/>
              <w:noProof/>
              <w:sz w:val="22"/>
              <w:szCs w:val="22"/>
              <w:lang w:val="en-US" w:eastAsia="en-US"/>
            </w:rPr>
          </w:pPr>
          <w:hyperlink w:anchor="_Toc108784813" w:history="1">
            <w:r w:rsidR="00BD4E89" w:rsidRPr="00957E81">
              <w:rPr>
                <w:rStyle w:val="Hyperlink"/>
                <w:noProof/>
              </w:rPr>
              <w:t>Findings</w:t>
            </w:r>
            <w:r w:rsidR="00BD4E89">
              <w:rPr>
                <w:noProof/>
                <w:webHidden/>
              </w:rPr>
              <w:tab/>
            </w:r>
            <w:r w:rsidR="00BD4E89">
              <w:rPr>
                <w:noProof/>
                <w:webHidden/>
              </w:rPr>
              <w:fldChar w:fldCharType="begin"/>
            </w:r>
            <w:r w:rsidR="00BD4E89">
              <w:rPr>
                <w:noProof/>
                <w:webHidden/>
              </w:rPr>
              <w:instrText xml:space="preserve"> PAGEREF _Toc108784813 \h </w:instrText>
            </w:r>
            <w:r w:rsidR="00BD4E89">
              <w:rPr>
                <w:noProof/>
                <w:webHidden/>
              </w:rPr>
            </w:r>
            <w:r w:rsidR="00BD4E89">
              <w:rPr>
                <w:noProof/>
                <w:webHidden/>
              </w:rPr>
              <w:fldChar w:fldCharType="separate"/>
            </w:r>
            <w:r w:rsidR="00896BE0">
              <w:rPr>
                <w:noProof/>
                <w:webHidden/>
              </w:rPr>
              <w:t>2</w:t>
            </w:r>
            <w:r w:rsidR="00BD4E89">
              <w:rPr>
                <w:noProof/>
                <w:webHidden/>
              </w:rPr>
              <w:fldChar w:fldCharType="end"/>
            </w:r>
          </w:hyperlink>
        </w:p>
        <w:p w14:paraId="5C602004" w14:textId="30BA9679" w:rsidR="00BD4E89" w:rsidRDefault="009B3225">
          <w:pPr>
            <w:pStyle w:val="TOC2"/>
            <w:tabs>
              <w:tab w:val="right" w:leader="dot" w:pos="9016"/>
            </w:tabs>
            <w:rPr>
              <w:rFonts w:eastAsiaTheme="minorEastAsia" w:cstheme="minorBidi"/>
              <w:smallCaps w:val="0"/>
              <w:noProof/>
              <w:sz w:val="22"/>
              <w:szCs w:val="22"/>
              <w:lang w:val="en-US" w:eastAsia="en-US"/>
            </w:rPr>
          </w:pPr>
          <w:hyperlink w:anchor="_Toc108784819" w:history="1">
            <w:r w:rsidR="00BD4E89" w:rsidRPr="00957E81">
              <w:rPr>
                <w:rStyle w:val="Hyperlink"/>
                <w:noProof/>
              </w:rPr>
              <w:t>Conclusions</w:t>
            </w:r>
            <w:r w:rsidR="00BD4E89">
              <w:rPr>
                <w:noProof/>
                <w:webHidden/>
              </w:rPr>
              <w:tab/>
            </w:r>
            <w:r w:rsidR="00BD4E89">
              <w:rPr>
                <w:noProof/>
                <w:webHidden/>
              </w:rPr>
              <w:fldChar w:fldCharType="begin"/>
            </w:r>
            <w:r w:rsidR="00BD4E89">
              <w:rPr>
                <w:noProof/>
                <w:webHidden/>
              </w:rPr>
              <w:instrText xml:space="preserve"> PAGEREF _Toc108784819 \h </w:instrText>
            </w:r>
            <w:r w:rsidR="00BD4E89">
              <w:rPr>
                <w:noProof/>
                <w:webHidden/>
              </w:rPr>
            </w:r>
            <w:r w:rsidR="00BD4E89">
              <w:rPr>
                <w:noProof/>
                <w:webHidden/>
              </w:rPr>
              <w:fldChar w:fldCharType="separate"/>
            </w:r>
            <w:r w:rsidR="00896BE0">
              <w:rPr>
                <w:noProof/>
                <w:webHidden/>
              </w:rPr>
              <w:t>13</w:t>
            </w:r>
            <w:r w:rsidR="00BD4E89">
              <w:rPr>
                <w:noProof/>
                <w:webHidden/>
              </w:rPr>
              <w:fldChar w:fldCharType="end"/>
            </w:r>
          </w:hyperlink>
        </w:p>
        <w:p w14:paraId="6EB92DD0" w14:textId="77F8864D" w:rsidR="00BD4E89" w:rsidRDefault="009B3225">
          <w:pPr>
            <w:pStyle w:val="TOC1"/>
            <w:tabs>
              <w:tab w:val="left" w:pos="480"/>
              <w:tab w:val="right" w:leader="dot" w:pos="9016"/>
            </w:tabs>
            <w:rPr>
              <w:rFonts w:eastAsiaTheme="minorEastAsia" w:cstheme="minorBidi"/>
              <w:b w:val="0"/>
              <w:bCs w:val="0"/>
              <w:caps w:val="0"/>
              <w:noProof/>
              <w:sz w:val="22"/>
              <w:szCs w:val="22"/>
              <w:lang w:val="en-US" w:eastAsia="en-US"/>
            </w:rPr>
          </w:pPr>
          <w:hyperlink w:anchor="_Toc108784820" w:history="1">
            <w:r w:rsidR="00BD4E89" w:rsidRPr="00957E81">
              <w:rPr>
                <w:rStyle w:val="Hyperlink"/>
                <w:noProof/>
              </w:rPr>
              <w:t>1.</w:t>
            </w:r>
            <w:r w:rsidR="00BD4E89">
              <w:rPr>
                <w:rFonts w:eastAsiaTheme="minorEastAsia" w:cstheme="minorBidi"/>
                <w:b w:val="0"/>
                <w:bCs w:val="0"/>
                <w:caps w:val="0"/>
                <w:noProof/>
                <w:sz w:val="22"/>
                <w:szCs w:val="22"/>
                <w:lang w:val="en-US" w:eastAsia="en-US"/>
              </w:rPr>
              <w:tab/>
            </w:r>
            <w:r w:rsidR="00BD4E89" w:rsidRPr="00957E81">
              <w:rPr>
                <w:rStyle w:val="Hyperlink"/>
                <w:noProof/>
              </w:rPr>
              <w:t>Policy background to the evaluation</w:t>
            </w:r>
            <w:r w:rsidR="00BD4E89">
              <w:rPr>
                <w:noProof/>
                <w:webHidden/>
              </w:rPr>
              <w:tab/>
            </w:r>
            <w:r w:rsidR="00BD4E89">
              <w:rPr>
                <w:noProof/>
                <w:webHidden/>
              </w:rPr>
              <w:fldChar w:fldCharType="begin"/>
            </w:r>
            <w:r w:rsidR="00BD4E89">
              <w:rPr>
                <w:noProof/>
                <w:webHidden/>
              </w:rPr>
              <w:instrText xml:space="preserve"> PAGEREF _Toc108784820 \h </w:instrText>
            </w:r>
            <w:r w:rsidR="00BD4E89">
              <w:rPr>
                <w:noProof/>
                <w:webHidden/>
              </w:rPr>
            </w:r>
            <w:r w:rsidR="00BD4E89">
              <w:rPr>
                <w:noProof/>
                <w:webHidden/>
              </w:rPr>
              <w:fldChar w:fldCharType="separate"/>
            </w:r>
            <w:r w:rsidR="00896BE0">
              <w:rPr>
                <w:noProof/>
                <w:webHidden/>
              </w:rPr>
              <w:t>14</w:t>
            </w:r>
            <w:r w:rsidR="00BD4E89">
              <w:rPr>
                <w:noProof/>
                <w:webHidden/>
              </w:rPr>
              <w:fldChar w:fldCharType="end"/>
            </w:r>
          </w:hyperlink>
        </w:p>
        <w:p w14:paraId="511F8823" w14:textId="3D63C0D3"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21" w:history="1">
            <w:r w:rsidR="00BD4E89" w:rsidRPr="00957E81">
              <w:rPr>
                <w:rStyle w:val="Hyperlink"/>
                <w:noProof/>
                <w:lang w:val="en-US" w:bidi="th-TH"/>
              </w:rPr>
              <w:t>1.1.</w:t>
            </w:r>
            <w:r w:rsidR="00BD4E89">
              <w:rPr>
                <w:rFonts w:eastAsiaTheme="minorEastAsia" w:cstheme="minorBidi"/>
                <w:smallCaps w:val="0"/>
                <w:noProof/>
                <w:sz w:val="22"/>
                <w:szCs w:val="22"/>
                <w:lang w:val="en-US" w:eastAsia="en-US"/>
              </w:rPr>
              <w:tab/>
            </w:r>
            <w:r w:rsidR="00BD4E89" w:rsidRPr="00957E81">
              <w:rPr>
                <w:rStyle w:val="Hyperlink"/>
                <w:noProof/>
                <w:lang w:val="en-US" w:bidi="th-TH"/>
              </w:rPr>
              <w:t>Digital mental health services</w:t>
            </w:r>
            <w:r w:rsidR="00BD4E89">
              <w:rPr>
                <w:noProof/>
                <w:webHidden/>
              </w:rPr>
              <w:tab/>
            </w:r>
            <w:r w:rsidR="00BD4E89">
              <w:rPr>
                <w:noProof/>
                <w:webHidden/>
              </w:rPr>
              <w:fldChar w:fldCharType="begin"/>
            </w:r>
            <w:r w:rsidR="00BD4E89">
              <w:rPr>
                <w:noProof/>
                <w:webHidden/>
              </w:rPr>
              <w:instrText xml:space="preserve"> PAGEREF _Toc108784821 \h </w:instrText>
            </w:r>
            <w:r w:rsidR="00BD4E89">
              <w:rPr>
                <w:noProof/>
                <w:webHidden/>
              </w:rPr>
            </w:r>
            <w:r w:rsidR="00BD4E89">
              <w:rPr>
                <w:noProof/>
                <w:webHidden/>
              </w:rPr>
              <w:fldChar w:fldCharType="separate"/>
            </w:r>
            <w:r w:rsidR="00896BE0">
              <w:rPr>
                <w:noProof/>
                <w:webHidden/>
              </w:rPr>
              <w:t>14</w:t>
            </w:r>
            <w:r w:rsidR="00BD4E89">
              <w:rPr>
                <w:noProof/>
                <w:webHidden/>
              </w:rPr>
              <w:fldChar w:fldCharType="end"/>
            </w:r>
          </w:hyperlink>
        </w:p>
        <w:p w14:paraId="41B67F0E" w14:textId="2CBBA4DA"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22" w:history="1">
            <w:r w:rsidR="00BD4E89" w:rsidRPr="00957E81">
              <w:rPr>
                <w:rStyle w:val="Hyperlink"/>
                <w:noProof/>
              </w:rPr>
              <w:t>1.2.</w:t>
            </w:r>
            <w:r w:rsidR="00BD4E89">
              <w:rPr>
                <w:rFonts w:eastAsiaTheme="minorEastAsia" w:cstheme="minorBidi"/>
                <w:smallCaps w:val="0"/>
                <w:noProof/>
                <w:sz w:val="22"/>
                <w:szCs w:val="22"/>
                <w:lang w:val="en-US" w:eastAsia="en-US"/>
              </w:rPr>
              <w:tab/>
            </w:r>
            <w:r w:rsidR="00BD4E89" w:rsidRPr="00957E81">
              <w:rPr>
                <w:rStyle w:val="Hyperlink"/>
                <w:noProof/>
              </w:rPr>
              <w:t>Purpose of the evaluation</w:t>
            </w:r>
            <w:r w:rsidR="00BD4E89">
              <w:rPr>
                <w:noProof/>
                <w:webHidden/>
              </w:rPr>
              <w:tab/>
            </w:r>
            <w:r w:rsidR="00BD4E89">
              <w:rPr>
                <w:noProof/>
                <w:webHidden/>
              </w:rPr>
              <w:fldChar w:fldCharType="begin"/>
            </w:r>
            <w:r w:rsidR="00BD4E89">
              <w:rPr>
                <w:noProof/>
                <w:webHidden/>
              </w:rPr>
              <w:instrText xml:space="preserve"> PAGEREF _Toc108784822 \h </w:instrText>
            </w:r>
            <w:r w:rsidR="00BD4E89">
              <w:rPr>
                <w:noProof/>
                <w:webHidden/>
              </w:rPr>
            </w:r>
            <w:r w:rsidR="00BD4E89">
              <w:rPr>
                <w:noProof/>
                <w:webHidden/>
              </w:rPr>
              <w:fldChar w:fldCharType="separate"/>
            </w:r>
            <w:r w:rsidR="00896BE0">
              <w:rPr>
                <w:noProof/>
                <w:webHidden/>
              </w:rPr>
              <w:t>14</w:t>
            </w:r>
            <w:r w:rsidR="00BD4E89">
              <w:rPr>
                <w:noProof/>
                <w:webHidden/>
              </w:rPr>
              <w:fldChar w:fldCharType="end"/>
            </w:r>
          </w:hyperlink>
        </w:p>
        <w:p w14:paraId="11351BD9" w14:textId="3CEBC067"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23" w:history="1">
            <w:r w:rsidR="00BD4E89" w:rsidRPr="00957E81">
              <w:rPr>
                <w:rStyle w:val="Hyperlink"/>
                <w:noProof/>
              </w:rPr>
              <w:t>1.3.</w:t>
            </w:r>
            <w:r w:rsidR="00BD4E89">
              <w:rPr>
                <w:rFonts w:eastAsiaTheme="minorEastAsia" w:cstheme="minorBidi"/>
                <w:smallCaps w:val="0"/>
                <w:noProof/>
                <w:sz w:val="22"/>
                <w:szCs w:val="22"/>
                <w:lang w:val="en-US" w:eastAsia="en-US"/>
              </w:rPr>
              <w:tab/>
            </w:r>
            <w:r w:rsidR="00BD4E89" w:rsidRPr="00957E81">
              <w:rPr>
                <w:rStyle w:val="Hyperlink"/>
                <w:noProof/>
              </w:rPr>
              <w:t>Our approach</w:t>
            </w:r>
            <w:r w:rsidR="00BD4E89">
              <w:rPr>
                <w:noProof/>
                <w:webHidden/>
              </w:rPr>
              <w:tab/>
            </w:r>
            <w:r w:rsidR="00BD4E89">
              <w:rPr>
                <w:noProof/>
                <w:webHidden/>
              </w:rPr>
              <w:fldChar w:fldCharType="begin"/>
            </w:r>
            <w:r w:rsidR="00BD4E89">
              <w:rPr>
                <w:noProof/>
                <w:webHidden/>
              </w:rPr>
              <w:instrText xml:space="preserve"> PAGEREF _Toc108784823 \h </w:instrText>
            </w:r>
            <w:r w:rsidR="00BD4E89">
              <w:rPr>
                <w:noProof/>
                <w:webHidden/>
              </w:rPr>
            </w:r>
            <w:r w:rsidR="00BD4E89">
              <w:rPr>
                <w:noProof/>
                <w:webHidden/>
              </w:rPr>
              <w:fldChar w:fldCharType="separate"/>
            </w:r>
            <w:r w:rsidR="00896BE0">
              <w:rPr>
                <w:noProof/>
                <w:webHidden/>
              </w:rPr>
              <w:t>15</w:t>
            </w:r>
            <w:r w:rsidR="00BD4E89">
              <w:rPr>
                <w:noProof/>
                <w:webHidden/>
              </w:rPr>
              <w:fldChar w:fldCharType="end"/>
            </w:r>
          </w:hyperlink>
        </w:p>
        <w:p w14:paraId="3D7A0C8E" w14:textId="48C51DE2"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24" w:history="1">
            <w:r w:rsidR="00BD4E89" w:rsidRPr="00957E81">
              <w:rPr>
                <w:rStyle w:val="Hyperlink"/>
                <w:noProof/>
                <w:lang w:val="en-US" w:bidi="th-TH"/>
              </w:rPr>
              <w:t>1.4.</w:t>
            </w:r>
            <w:r w:rsidR="00BD4E89">
              <w:rPr>
                <w:rFonts w:eastAsiaTheme="minorEastAsia" w:cstheme="minorBidi"/>
                <w:smallCaps w:val="0"/>
                <w:noProof/>
                <w:sz w:val="22"/>
                <w:szCs w:val="22"/>
                <w:lang w:val="en-US" w:eastAsia="en-US"/>
              </w:rPr>
              <w:tab/>
            </w:r>
            <w:r w:rsidR="00BD4E89" w:rsidRPr="00957E81">
              <w:rPr>
                <w:rStyle w:val="Hyperlink"/>
                <w:noProof/>
                <w:lang w:val="en-US" w:bidi="th-TH"/>
              </w:rPr>
              <w:t>This report</w:t>
            </w:r>
            <w:r w:rsidR="00BD4E89">
              <w:rPr>
                <w:noProof/>
                <w:webHidden/>
              </w:rPr>
              <w:tab/>
            </w:r>
            <w:r w:rsidR="00BD4E89">
              <w:rPr>
                <w:noProof/>
                <w:webHidden/>
              </w:rPr>
              <w:fldChar w:fldCharType="begin"/>
            </w:r>
            <w:r w:rsidR="00BD4E89">
              <w:rPr>
                <w:noProof/>
                <w:webHidden/>
              </w:rPr>
              <w:instrText xml:space="preserve"> PAGEREF _Toc108784824 \h </w:instrText>
            </w:r>
            <w:r w:rsidR="00BD4E89">
              <w:rPr>
                <w:noProof/>
                <w:webHidden/>
              </w:rPr>
            </w:r>
            <w:r w:rsidR="00BD4E89">
              <w:rPr>
                <w:noProof/>
                <w:webHidden/>
              </w:rPr>
              <w:fldChar w:fldCharType="separate"/>
            </w:r>
            <w:r w:rsidR="00896BE0">
              <w:rPr>
                <w:noProof/>
                <w:webHidden/>
              </w:rPr>
              <w:t>17</w:t>
            </w:r>
            <w:r w:rsidR="00BD4E89">
              <w:rPr>
                <w:noProof/>
                <w:webHidden/>
              </w:rPr>
              <w:fldChar w:fldCharType="end"/>
            </w:r>
          </w:hyperlink>
        </w:p>
        <w:p w14:paraId="0E406A52" w14:textId="34A024D2" w:rsidR="00BD4E89" w:rsidRDefault="009B3225">
          <w:pPr>
            <w:pStyle w:val="TOC1"/>
            <w:tabs>
              <w:tab w:val="left" w:pos="480"/>
              <w:tab w:val="right" w:leader="dot" w:pos="9016"/>
            </w:tabs>
            <w:rPr>
              <w:rFonts w:eastAsiaTheme="minorEastAsia" w:cstheme="minorBidi"/>
              <w:b w:val="0"/>
              <w:bCs w:val="0"/>
              <w:caps w:val="0"/>
              <w:noProof/>
              <w:sz w:val="22"/>
              <w:szCs w:val="22"/>
              <w:lang w:val="en-US" w:eastAsia="en-US"/>
            </w:rPr>
          </w:pPr>
          <w:hyperlink w:anchor="_Toc108784825" w:history="1">
            <w:r w:rsidR="00BD4E89" w:rsidRPr="00957E81">
              <w:rPr>
                <w:rStyle w:val="Hyperlink"/>
                <w:noProof/>
              </w:rPr>
              <w:t>2.</w:t>
            </w:r>
            <w:r w:rsidR="00BD4E89">
              <w:rPr>
                <w:rFonts w:eastAsiaTheme="minorEastAsia" w:cstheme="minorBidi"/>
                <w:b w:val="0"/>
                <w:bCs w:val="0"/>
                <w:caps w:val="0"/>
                <w:noProof/>
                <w:sz w:val="22"/>
                <w:szCs w:val="22"/>
                <w:lang w:val="en-US" w:eastAsia="en-US"/>
              </w:rPr>
              <w:tab/>
            </w:r>
            <w:r w:rsidR="00BD4E89" w:rsidRPr="00957E81">
              <w:rPr>
                <w:rStyle w:val="Hyperlink"/>
                <w:noProof/>
              </w:rPr>
              <w:t>Service delivery models of supported DMHS</w:t>
            </w:r>
            <w:r w:rsidR="006C2952">
              <w:rPr>
                <w:rStyle w:val="Hyperlink"/>
                <w:caps w:val="0"/>
                <w:noProof/>
              </w:rPr>
              <w:t>s</w:t>
            </w:r>
            <w:r w:rsidR="00BD4E89">
              <w:rPr>
                <w:noProof/>
                <w:webHidden/>
              </w:rPr>
              <w:tab/>
            </w:r>
            <w:r w:rsidR="00BD4E89">
              <w:rPr>
                <w:noProof/>
                <w:webHidden/>
              </w:rPr>
              <w:fldChar w:fldCharType="begin"/>
            </w:r>
            <w:r w:rsidR="00BD4E89">
              <w:rPr>
                <w:noProof/>
                <w:webHidden/>
              </w:rPr>
              <w:instrText xml:space="preserve"> PAGEREF _Toc108784825 \h </w:instrText>
            </w:r>
            <w:r w:rsidR="00BD4E89">
              <w:rPr>
                <w:noProof/>
                <w:webHidden/>
              </w:rPr>
            </w:r>
            <w:r w:rsidR="00BD4E89">
              <w:rPr>
                <w:noProof/>
                <w:webHidden/>
              </w:rPr>
              <w:fldChar w:fldCharType="separate"/>
            </w:r>
            <w:r w:rsidR="00896BE0">
              <w:rPr>
                <w:noProof/>
                <w:webHidden/>
              </w:rPr>
              <w:t>18</w:t>
            </w:r>
            <w:r w:rsidR="00BD4E89">
              <w:rPr>
                <w:noProof/>
                <w:webHidden/>
              </w:rPr>
              <w:fldChar w:fldCharType="end"/>
            </w:r>
          </w:hyperlink>
        </w:p>
        <w:p w14:paraId="583B913F" w14:textId="763D7671"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26" w:history="1">
            <w:r w:rsidR="00BD4E89" w:rsidRPr="00957E81">
              <w:rPr>
                <w:rStyle w:val="Hyperlink"/>
                <w:noProof/>
                <w:lang w:val="en-US" w:bidi="th-TH"/>
              </w:rPr>
              <w:t>2.1.</w:t>
            </w:r>
            <w:r w:rsidR="00BD4E89">
              <w:rPr>
                <w:rFonts w:eastAsiaTheme="minorEastAsia" w:cstheme="minorBidi"/>
                <w:smallCaps w:val="0"/>
                <w:noProof/>
                <w:sz w:val="22"/>
                <w:szCs w:val="22"/>
                <w:lang w:val="en-US" w:eastAsia="en-US"/>
              </w:rPr>
              <w:tab/>
            </w:r>
            <w:r w:rsidR="00BD4E89" w:rsidRPr="00957E81">
              <w:rPr>
                <w:rStyle w:val="Hyperlink"/>
                <w:noProof/>
                <w:lang w:val="en-US" w:bidi="th-TH"/>
              </w:rPr>
              <w:t>Similarities in service delivery models</w:t>
            </w:r>
            <w:r w:rsidR="00BD4E89">
              <w:rPr>
                <w:noProof/>
                <w:webHidden/>
              </w:rPr>
              <w:tab/>
            </w:r>
            <w:r w:rsidR="00BD4E89">
              <w:rPr>
                <w:noProof/>
                <w:webHidden/>
              </w:rPr>
              <w:fldChar w:fldCharType="begin"/>
            </w:r>
            <w:r w:rsidR="00BD4E89">
              <w:rPr>
                <w:noProof/>
                <w:webHidden/>
              </w:rPr>
              <w:instrText xml:space="preserve"> PAGEREF _Toc108784826 \h </w:instrText>
            </w:r>
            <w:r w:rsidR="00BD4E89">
              <w:rPr>
                <w:noProof/>
                <w:webHidden/>
              </w:rPr>
            </w:r>
            <w:r w:rsidR="00BD4E89">
              <w:rPr>
                <w:noProof/>
                <w:webHidden/>
              </w:rPr>
              <w:fldChar w:fldCharType="separate"/>
            </w:r>
            <w:r w:rsidR="00896BE0">
              <w:rPr>
                <w:noProof/>
                <w:webHidden/>
              </w:rPr>
              <w:t>18</w:t>
            </w:r>
            <w:r w:rsidR="00BD4E89">
              <w:rPr>
                <w:noProof/>
                <w:webHidden/>
              </w:rPr>
              <w:fldChar w:fldCharType="end"/>
            </w:r>
          </w:hyperlink>
        </w:p>
        <w:p w14:paraId="00400657" w14:textId="269C4AB1"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27" w:history="1">
            <w:r w:rsidR="00BD4E89" w:rsidRPr="00957E81">
              <w:rPr>
                <w:rStyle w:val="Hyperlink"/>
                <w:noProof/>
                <w:lang w:val="en-US" w:bidi="th-TH"/>
              </w:rPr>
              <w:t>2.2.</w:t>
            </w:r>
            <w:r w:rsidR="00BD4E89">
              <w:rPr>
                <w:rFonts w:eastAsiaTheme="minorEastAsia" w:cstheme="minorBidi"/>
                <w:smallCaps w:val="0"/>
                <w:noProof/>
                <w:sz w:val="22"/>
                <w:szCs w:val="22"/>
                <w:lang w:val="en-US" w:eastAsia="en-US"/>
              </w:rPr>
              <w:tab/>
            </w:r>
            <w:r w:rsidR="00BD4E89" w:rsidRPr="00957E81">
              <w:rPr>
                <w:rStyle w:val="Hyperlink"/>
                <w:noProof/>
                <w:lang w:val="en-US" w:bidi="th-TH"/>
              </w:rPr>
              <w:t>Differences in therapist support</w:t>
            </w:r>
            <w:r w:rsidR="00BD4E89">
              <w:rPr>
                <w:noProof/>
                <w:webHidden/>
              </w:rPr>
              <w:tab/>
            </w:r>
            <w:r w:rsidR="00BD4E89">
              <w:rPr>
                <w:noProof/>
                <w:webHidden/>
              </w:rPr>
              <w:fldChar w:fldCharType="begin"/>
            </w:r>
            <w:r w:rsidR="00BD4E89">
              <w:rPr>
                <w:noProof/>
                <w:webHidden/>
              </w:rPr>
              <w:instrText xml:space="preserve"> PAGEREF _Toc108784827 \h </w:instrText>
            </w:r>
            <w:r w:rsidR="00BD4E89">
              <w:rPr>
                <w:noProof/>
                <w:webHidden/>
              </w:rPr>
            </w:r>
            <w:r w:rsidR="00BD4E89">
              <w:rPr>
                <w:noProof/>
                <w:webHidden/>
              </w:rPr>
              <w:fldChar w:fldCharType="separate"/>
            </w:r>
            <w:r w:rsidR="00896BE0">
              <w:rPr>
                <w:noProof/>
                <w:webHidden/>
              </w:rPr>
              <w:t>18</w:t>
            </w:r>
            <w:r w:rsidR="00BD4E89">
              <w:rPr>
                <w:noProof/>
                <w:webHidden/>
              </w:rPr>
              <w:fldChar w:fldCharType="end"/>
            </w:r>
          </w:hyperlink>
        </w:p>
        <w:p w14:paraId="333FF306" w14:textId="34D0CC1D"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28" w:history="1">
            <w:r w:rsidR="00BD4E89" w:rsidRPr="00957E81">
              <w:rPr>
                <w:rStyle w:val="Hyperlink"/>
                <w:noProof/>
                <w:lang w:val="en-US" w:bidi="th-TH"/>
              </w:rPr>
              <w:t>2.3.</w:t>
            </w:r>
            <w:r w:rsidR="00BD4E89">
              <w:rPr>
                <w:rFonts w:eastAsiaTheme="minorEastAsia" w:cstheme="minorBidi"/>
                <w:smallCaps w:val="0"/>
                <w:noProof/>
                <w:sz w:val="22"/>
                <w:szCs w:val="22"/>
                <w:lang w:val="en-US" w:eastAsia="en-US"/>
              </w:rPr>
              <w:tab/>
            </w:r>
            <w:r w:rsidR="00BD4E89" w:rsidRPr="00957E81">
              <w:rPr>
                <w:rStyle w:val="Hyperlink"/>
                <w:noProof/>
                <w:lang w:val="en-US" w:bidi="th-TH"/>
              </w:rPr>
              <w:t>Service offerings beyond therapist-supported treatment</w:t>
            </w:r>
            <w:r w:rsidR="00BD4E89">
              <w:rPr>
                <w:noProof/>
                <w:webHidden/>
              </w:rPr>
              <w:tab/>
            </w:r>
            <w:r w:rsidR="00BD4E89">
              <w:rPr>
                <w:noProof/>
                <w:webHidden/>
              </w:rPr>
              <w:fldChar w:fldCharType="begin"/>
            </w:r>
            <w:r w:rsidR="00BD4E89">
              <w:rPr>
                <w:noProof/>
                <w:webHidden/>
              </w:rPr>
              <w:instrText xml:space="preserve"> PAGEREF _Toc108784828 \h </w:instrText>
            </w:r>
            <w:r w:rsidR="00BD4E89">
              <w:rPr>
                <w:noProof/>
                <w:webHidden/>
              </w:rPr>
            </w:r>
            <w:r w:rsidR="00BD4E89">
              <w:rPr>
                <w:noProof/>
                <w:webHidden/>
              </w:rPr>
              <w:fldChar w:fldCharType="separate"/>
            </w:r>
            <w:r w:rsidR="00896BE0">
              <w:rPr>
                <w:noProof/>
                <w:webHidden/>
              </w:rPr>
              <w:t>18</w:t>
            </w:r>
            <w:r w:rsidR="00BD4E89">
              <w:rPr>
                <w:noProof/>
                <w:webHidden/>
              </w:rPr>
              <w:fldChar w:fldCharType="end"/>
            </w:r>
          </w:hyperlink>
        </w:p>
        <w:p w14:paraId="375B0898" w14:textId="4C44D93C"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29" w:history="1">
            <w:r w:rsidR="00BD4E89" w:rsidRPr="00957E81">
              <w:rPr>
                <w:rStyle w:val="Hyperlink"/>
                <w:noProof/>
                <w:lang w:val="en-US" w:bidi="th-TH"/>
              </w:rPr>
              <w:t>2.4.</w:t>
            </w:r>
            <w:r w:rsidR="00BD4E89">
              <w:rPr>
                <w:rFonts w:eastAsiaTheme="minorEastAsia" w:cstheme="minorBidi"/>
                <w:smallCaps w:val="0"/>
                <w:noProof/>
                <w:sz w:val="22"/>
                <w:szCs w:val="22"/>
                <w:lang w:val="en-US" w:eastAsia="en-US"/>
              </w:rPr>
              <w:tab/>
            </w:r>
            <w:r w:rsidR="00BD4E89" w:rsidRPr="00957E81">
              <w:rPr>
                <w:rStyle w:val="Hyperlink"/>
                <w:noProof/>
                <w:lang w:val="en-US" w:bidi="th-TH"/>
              </w:rPr>
              <w:t>Risk management</w:t>
            </w:r>
            <w:r w:rsidR="00BD4E89">
              <w:rPr>
                <w:noProof/>
                <w:webHidden/>
              </w:rPr>
              <w:tab/>
            </w:r>
            <w:r w:rsidR="00BD4E89">
              <w:rPr>
                <w:noProof/>
                <w:webHidden/>
              </w:rPr>
              <w:fldChar w:fldCharType="begin"/>
            </w:r>
            <w:r w:rsidR="00BD4E89">
              <w:rPr>
                <w:noProof/>
                <w:webHidden/>
              </w:rPr>
              <w:instrText xml:space="preserve"> PAGEREF _Toc108784829 \h </w:instrText>
            </w:r>
            <w:r w:rsidR="00BD4E89">
              <w:rPr>
                <w:noProof/>
                <w:webHidden/>
              </w:rPr>
            </w:r>
            <w:r w:rsidR="00BD4E89">
              <w:rPr>
                <w:noProof/>
                <w:webHidden/>
              </w:rPr>
              <w:fldChar w:fldCharType="separate"/>
            </w:r>
            <w:r w:rsidR="00896BE0">
              <w:rPr>
                <w:noProof/>
                <w:webHidden/>
              </w:rPr>
              <w:t>19</w:t>
            </w:r>
            <w:r w:rsidR="00BD4E89">
              <w:rPr>
                <w:noProof/>
                <w:webHidden/>
              </w:rPr>
              <w:fldChar w:fldCharType="end"/>
            </w:r>
          </w:hyperlink>
        </w:p>
        <w:p w14:paraId="3A658829" w14:textId="4BEBAA47"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30" w:history="1">
            <w:r w:rsidR="00BD4E89" w:rsidRPr="00957E81">
              <w:rPr>
                <w:rStyle w:val="Hyperlink"/>
                <w:noProof/>
                <w:lang w:val="en-US" w:bidi="th-TH"/>
              </w:rPr>
              <w:t>2.5.</w:t>
            </w:r>
            <w:r w:rsidR="00BD4E89">
              <w:rPr>
                <w:rFonts w:eastAsiaTheme="minorEastAsia" w:cstheme="minorBidi"/>
                <w:smallCaps w:val="0"/>
                <w:noProof/>
                <w:sz w:val="22"/>
                <w:szCs w:val="22"/>
                <w:lang w:val="en-US" w:eastAsia="en-US"/>
              </w:rPr>
              <w:tab/>
            </w:r>
            <w:r w:rsidR="00BD4E89" w:rsidRPr="00957E81">
              <w:rPr>
                <w:rStyle w:val="Hyperlink"/>
                <w:noProof/>
                <w:lang w:val="en-US" w:bidi="th-TH"/>
              </w:rPr>
              <w:t>Summary</w:t>
            </w:r>
            <w:r w:rsidR="00BD4E89">
              <w:rPr>
                <w:noProof/>
                <w:webHidden/>
              </w:rPr>
              <w:tab/>
            </w:r>
            <w:r w:rsidR="00BD4E89">
              <w:rPr>
                <w:noProof/>
                <w:webHidden/>
              </w:rPr>
              <w:fldChar w:fldCharType="begin"/>
            </w:r>
            <w:r w:rsidR="00BD4E89">
              <w:rPr>
                <w:noProof/>
                <w:webHidden/>
              </w:rPr>
              <w:instrText xml:space="preserve"> PAGEREF _Toc108784830 \h </w:instrText>
            </w:r>
            <w:r w:rsidR="00BD4E89">
              <w:rPr>
                <w:noProof/>
                <w:webHidden/>
              </w:rPr>
            </w:r>
            <w:r w:rsidR="00BD4E89">
              <w:rPr>
                <w:noProof/>
                <w:webHidden/>
              </w:rPr>
              <w:fldChar w:fldCharType="separate"/>
            </w:r>
            <w:r w:rsidR="00896BE0">
              <w:rPr>
                <w:noProof/>
                <w:webHidden/>
              </w:rPr>
              <w:t>19</w:t>
            </w:r>
            <w:r w:rsidR="00BD4E89">
              <w:rPr>
                <w:noProof/>
                <w:webHidden/>
              </w:rPr>
              <w:fldChar w:fldCharType="end"/>
            </w:r>
          </w:hyperlink>
        </w:p>
        <w:p w14:paraId="642557AC" w14:textId="5C75AAA7" w:rsidR="00BD4E89" w:rsidRDefault="009B3225">
          <w:pPr>
            <w:pStyle w:val="TOC1"/>
            <w:tabs>
              <w:tab w:val="left" w:pos="480"/>
              <w:tab w:val="right" w:leader="dot" w:pos="9016"/>
            </w:tabs>
            <w:rPr>
              <w:rFonts w:eastAsiaTheme="minorEastAsia" w:cstheme="minorBidi"/>
              <w:b w:val="0"/>
              <w:bCs w:val="0"/>
              <w:caps w:val="0"/>
              <w:noProof/>
              <w:sz w:val="22"/>
              <w:szCs w:val="22"/>
              <w:lang w:val="en-US" w:eastAsia="en-US"/>
            </w:rPr>
          </w:pPr>
          <w:hyperlink w:anchor="_Toc108784831" w:history="1">
            <w:r w:rsidR="00BD4E89" w:rsidRPr="00957E81">
              <w:rPr>
                <w:rStyle w:val="Hyperlink"/>
                <w:noProof/>
              </w:rPr>
              <w:t>3.</w:t>
            </w:r>
            <w:r w:rsidR="00BD4E89">
              <w:rPr>
                <w:rFonts w:eastAsiaTheme="minorEastAsia" w:cstheme="minorBidi"/>
                <w:b w:val="0"/>
                <w:bCs w:val="0"/>
                <w:caps w:val="0"/>
                <w:noProof/>
                <w:sz w:val="22"/>
                <w:szCs w:val="22"/>
                <w:lang w:val="en-US" w:eastAsia="en-US"/>
              </w:rPr>
              <w:tab/>
            </w:r>
            <w:r w:rsidR="00BD4E89" w:rsidRPr="00957E81">
              <w:rPr>
                <w:rStyle w:val="Hyperlink"/>
                <w:noProof/>
              </w:rPr>
              <w:t>Service uptake and consumer characteristics</w:t>
            </w:r>
            <w:r w:rsidR="00BD4E89">
              <w:rPr>
                <w:noProof/>
                <w:webHidden/>
              </w:rPr>
              <w:tab/>
            </w:r>
            <w:r w:rsidR="00BD4E89">
              <w:rPr>
                <w:noProof/>
                <w:webHidden/>
              </w:rPr>
              <w:fldChar w:fldCharType="begin"/>
            </w:r>
            <w:r w:rsidR="00BD4E89">
              <w:rPr>
                <w:noProof/>
                <w:webHidden/>
              </w:rPr>
              <w:instrText xml:space="preserve"> PAGEREF _Toc108784831 \h </w:instrText>
            </w:r>
            <w:r w:rsidR="00BD4E89">
              <w:rPr>
                <w:noProof/>
                <w:webHidden/>
              </w:rPr>
            </w:r>
            <w:r w:rsidR="00BD4E89">
              <w:rPr>
                <w:noProof/>
                <w:webHidden/>
              </w:rPr>
              <w:fldChar w:fldCharType="separate"/>
            </w:r>
            <w:r w:rsidR="00896BE0">
              <w:rPr>
                <w:noProof/>
                <w:webHidden/>
              </w:rPr>
              <w:t>23</w:t>
            </w:r>
            <w:r w:rsidR="00BD4E89">
              <w:rPr>
                <w:noProof/>
                <w:webHidden/>
              </w:rPr>
              <w:fldChar w:fldCharType="end"/>
            </w:r>
          </w:hyperlink>
        </w:p>
        <w:p w14:paraId="07A145F8" w14:textId="673A620A"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32" w:history="1">
            <w:r w:rsidR="00BD4E89" w:rsidRPr="00957E81">
              <w:rPr>
                <w:rStyle w:val="Hyperlink"/>
                <w:noProof/>
              </w:rPr>
              <w:t>3.1.</w:t>
            </w:r>
            <w:r w:rsidR="00BD4E89">
              <w:rPr>
                <w:rFonts w:eastAsiaTheme="minorEastAsia" w:cstheme="minorBidi"/>
                <w:smallCaps w:val="0"/>
                <w:noProof/>
                <w:sz w:val="22"/>
                <w:szCs w:val="22"/>
                <w:lang w:val="en-US" w:eastAsia="en-US"/>
              </w:rPr>
              <w:tab/>
            </w:r>
            <w:r w:rsidR="00BD4E89" w:rsidRPr="00957E81">
              <w:rPr>
                <w:rStyle w:val="Hyperlink"/>
                <w:noProof/>
              </w:rPr>
              <w:t>Our approach</w:t>
            </w:r>
            <w:r w:rsidR="00BD4E89">
              <w:rPr>
                <w:noProof/>
                <w:webHidden/>
              </w:rPr>
              <w:tab/>
            </w:r>
            <w:r w:rsidR="00BD4E89">
              <w:rPr>
                <w:noProof/>
                <w:webHidden/>
              </w:rPr>
              <w:fldChar w:fldCharType="begin"/>
            </w:r>
            <w:r w:rsidR="00BD4E89">
              <w:rPr>
                <w:noProof/>
                <w:webHidden/>
              </w:rPr>
              <w:instrText xml:space="preserve"> PAGEREF _Toc108784832 \h </w:instrText>
            </w:r>
            <w:r w:rsidR="00BD4E89">
              <w:rPr>
                <w:noProof/>
                <w:webHidden/>
              </w:rPr>
            </w:r>
            <w:r w:rsidR="00BD4E89">
              <w:rPr>
                <w:noProof/>
                <w:webHidden/>
              </w:rPr>
              <w:fldChar w:fldCharType="separate"/>
            </w:r>
            <w:r w:rsidR="00896BE0">
              <w:rPr>
                <w:noProof/>
                <w:webHidden/>
              </w:rPr>
              <w:t>23</w:t>
            </w:r>
            <w:r w:rsidR="00BD4E89">
              <w:rPr>
                <w:noProof/>
                <w:webHidden/>
              </w:rPr>
              <w:fldChar w:fldCharType="end"/>
            </w:r>
          </w:hyperlink>
        </w:p>
        <w:p w14:paraId="5105DE76" w14:textId="57E141ED"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33" w:history="1">
            <w:r w:rsidR="00BD4E89" w:rsidRPr="00957E81">
              <w:rPr>
                <w:rStyle w:val="Hyperlink"/>
                <w:noProof/>
              </w:rPr>
              <w:t>3.2.</w:t>
            </w:r>
            <w:r w:rsidR="00BD4E89">
              <w:rPr>
                <w:rFonts w:eastAsiaTheme="minorEastAsia" w:cstheme="minorBidi"/>
                <w:smallCaps w:val="0"/>
                <w:noProof/>
                <w:sz w:val="22"/>
                <w:szCs w:val="22"/>
                <w:lang w:val="en-US" w:eastAsia="en-US"/>
              </w:rPr>
              <w:tab/>
            </w:r>
            <w:r w:rsidR="00BD4E89" w:rsidRPr="00957E81">
              <w:rPr>
                <w:rStyle w:val="Hyperlink"/>
                <w:noProof/>
              </w:rPr>
              <w:t>Uptake of Mental Health Online, January 2015 – December 2021</w:t>
            </w:r>
            <w:r w:rsidR="00BD4E89">
              <w:rPr>
                <w:noProof/>
                <w:webHidden/>
              </w:rPr>
              <w:tab/>
            </w:r>
            <w:r w:rsidR="00BD4E89">
              <w:rPr>
                <w:noProof/>
                <w:webHidden/>
              </w:rPr>
              <w:fldChar w:fldCharType="begin"/>
            </w:r>
            <w:r w:rsidR="00BD4E89">
              <w:rPr>
                <w:noProof/>
                <w:webHidden/>
              </w:rPr>
              <w:instrText xml:space="preserve"> PAGEREF _Toc108784833 \h </w:instrText>
            </w:r>
            <w:r w:rsidR="00BD4E89">
              <w:rPr>
                <w:noProof/>
                <w:webHidden/>
              </w:rPr>
            </w:r>
            <w:r w:rsidR="00BD4E89">
              <w:rPr>
                <w:noProof/>
                <w:webHidden/>
              </w:rPr>
              <w:fldChar w:fldCharType="separate"/>
            </w:r>
            <w:r w:rsidR="00896BE0">
              <w:rPr>
                <w:noProof/>
                <w:webHidden/>
              </w:rPr>
              <w:t>23</w:t>
            </w:r>
            <w:r w:rsidR="00BD4E89">
              <w:rPr>
                <w:noProof/>
                <w:webHidden/>
              </w:rPr>
              <w:fldChar w:fldCharType="end"/>
            </w:r>
          </w:hyperlink>
        </w:p>
        <w:p w14:paraId="69342484" w14:textId="781E5BB0"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34" w:history="1">
            <w:r w:rsidR="00BD4E89" w:rsidRPr="00957E81">
              <w:rPr>
                <w:rStyle w:val="Hyperlink"/>
                <w:noProof/>
              </w:rPr>
              <w:t>3.3.</w:t>
            </w:r>
            <w:r w:rsidR="00BD4E89">
              <w:rPr>
                <w:rFonts w:eastAsiaTheme="minorEastAsia" w:cstheme="minorBidi"/>
                <w:smallCaps w:val="0"/>
                <w:noProof/>
                <w:sz w:val="22"/>
                <w:szCs w:val="22"/>
                <w:lang w:val="en-US" w:eastAsia="en-US"/>
              </w:rPr>
              <w:tab/>
            </w:r>
            <w:r w:rsidR="00BD4E89" w:rsidRPr="00957E81">
              <w:rPr>
                <w:rStyle w:val="Hyperlink"/>
                <w:noProof/>
              </w:rPr>
              <w:t>Uptake of MindSpot, January 2013 – December 2021</w:t>
            </w:r>
            <w:r w:rsidR="00BD4E89">
              <w:rPr>
                <w:noProof/>
                <w:webHidden/>
              </w:rPr>
              <w:tab/>
            </w:r>
            <w:r w:rsidR="00BD4E89">
              <w:rPr>
                <w:noProof/>
                <w:webHidden/>
              </w:rPr>
              <w:fldChar w:fldCharType="begin"/>
            </w:r>
            <w:r w:rsidR="00BD4E89">
              <w:rPr>
                <w:noProof/>
                <w:webHidden/>
              </w:rPr>
              <w:instrText xml:space="preserve"> PAGEREF _Toc108784834 \h </w:instrText>
            </w:r>
            <w:r w:rsidR="00BD4E89">
              <w:rPr>
                <w:noProof/>
                <w:webHidden/>
              </w:rPr>
            </w:r>
            <w:r w:rsidR="00BD4E89">
              <w:rPr>
                <w:noProof/>
                <w:webHidden/>
              </w:rPr>
              <w:fldChar w:fldCharType="separate"/>
            </w:r>
            <w:r w:rsidR="00896BE0">
              <w:rPr>
                <w:noProof/>
                <w:webHidden/>
              </w:rPr>
              <w:t>26</w:t>
            </w:r>
            <w:r w:rsidR="00BD4E89">
              <w:rPr>
                <w:noProof/>
                <w:webHidden/>
              </w:rPr>
              <w:fldChar w:fldCharType="end"/>
            </w:r>
          </w:hyperlink>
        </w:p>
        <w:p w14:paraId="1069B904" w14:textId="6F3A0319"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35" w:history="1">
            <w:r w:rsidR="00BD4E89" w:rsidRPr="00957E81">
              <w:rPr>
                <w:rStyle w:val="Hyperlink"/>
                <w:noProof/>
              </w:rPr>
              <w:t>3.4.</w:t>
            </w:r>
            <w:r w:rsidR="00BD4E89">
              <w:rPr>
                <w:rFonts w:eastAsiaTheme="minorEastAsia" w:cstheme="minorBidi"/>
                <w:smallCaps w:val="0"/>
                <w:noProof/>
                <w:sz w:val="22"/>
                <w:szCs w:val="22"/>
                <w:lang w:val="en-US" w:eastAsia="en-US"/>
              </w:rPr>
              <w:tab/>
            </w:r>
            <w:r w:rsidR="00BD4E89" w:rsidRPr="00957E81">
              <w:rPr>
                <w:rStyle w:val="Hyperlink"/>
                <w:noProof/>
              </w:rPr>
              <w:t>Uptake of THIS WAY UP, July 2015 – December 2021</w:t>
            </w:r>
            <w:r w:rsidR="00BD4E89">
              <w:rPr>
                <w:noProof/>
                <w:webHidden/>
              </w:rPr>
              <w:tab/>
            </w:r>
            <w:r w:rsidR="00BD4E89">
              <w:rPr>
                <w:noProof/>
                <w:webHidden/>
              </w:rPr>
              <w:fldChar w:fldCharType="begin"/>
            </w:r>
            <w:r w:rsidR="00BD4E89">
              <w:rPr>
                <w:noProof/>
                <w:webHidden/>
              </w:rPr>
              <w:instrText xml:space="preserve"> PAGEREF _Toc108784835 \h </w:instrText>
            </w:r>
            <w:r w:rsidR="00BD4E89">
              <w:rPr>
                <w:noProof/>
                <w:webHidden/>
              </w:rPr>
            </w:r>
            <w:r w:rsidR="00BD4E89">
              <w:rPr>
                <w:noProof/>
                <w:webHidden/>
              </w:rPr>
              <w:fldChar w:fldCharType="separate"/>
            </w:r>
            <w:r w:rsidR="00896BE0">
              <w:rPr>
                <w:noProof/>
                <w:webHidden/>
              </w:rPr>
              <w:t>28</w:t>
            </w:r>
            <w:r w:rsidR="00BD4E89">
              <w:rPr>
                <w:noProof/>
                <w:webHidden/>
              </w:rPr>
              <w:fldChar w:fldCharType="end"/>
            </w:r>
          </w:hyperlink>
        </w:p>
        <w:p w14:paraId="42EB98DB" w14:textId="4FE63BE3"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36" w:history="1">
            <w:r w:rsidR="00BD4E89" w:rsidRPr="00957E81">
              <w:rPr>
                <w:rStyle w:val="Hyperlink"/>
                <w:noProof/>
              </w:rPr>
              <w:t>3.5.</w:t>
            </w:r>
            <w:r w:rsidR="00BD4E89">
              <w:rPr>
                <w:rFonts w:eastAsiaTheme="minorEastAsia" w:cstheme="minorBidi"/>
                <w:smallCaps w:val="0"/>
                <w:noProof/>
                <w:sz w:val="22"/>
                <w:szCs w:val="22"/>
                <w:lang w:val="en-US" w:eastAsia="en-US"/>
              </w:rPr>
              <w:tab/>
            </w:r>
            <w:r w:rsidR="00BD4E89" w:rsidRPr="00957E81">
              <w:rPr>
                <w:rStyle w:val="Hyperlink"/>
                <w:noProof/>
              </w:rPr>
              <w:t>Consumer characteristics</w:t>
            </w:r>
            <w:r w:rsidR="00BD4E89">
              <w:rPr>
                <w:noProof/>
                <w:webHidden/>
              </w:rPr>
              <w:tab/>
            </w:r>
            <w:r w:rsidR="00BD4E89">
              <w:rPr>
                <w:noProof/>
                <w:webHidden/>
              </w:rPr>
              <w:fldChar w:fldCharType="begin"/>
            </w:r>
            <w:r w:rsidR="00BD4E89">
              <w:rPr>
                <w:noProof/>
                <w:webHidden/>
              </w:rPr>
              <w:instrText xml:space="preserve"> PAGEREF _Toc108784836 \h </w:instrText>
            </w:r>
            <w:r w:rsidR="00BD4E89">
              <w:rPr>
                <w:noProof/>
                <w:webHidden/>
              </w:rPr>
            </w:r>
            <w:r w:rsidR="00BD4E89">
              <w:rPr>
                <w:noProof/>
                <w:webHidden/>
              </w:rPr>
              <w:fldChar w:fldCharType="separate"/>
            </w:r>
            <w:r w:rsidR="00896BE0">
              <w:rPr>
                <w:noProof/>
                <w:webHidden/>
              </w:rPr>
              <w:t>31</w:t>
            </w:r>
            <w:r w:rsidR="00BD4E89">
              <w:rPr>
                <w:noProof/>
                <w:webHidden/>
              </w:rPr>
              <w:fldChar w:fldCharType="end"/>
            </w:r>
          </w:hyperlink>
        </w:p>
        <w:p w14:paraId="6353F18F" w14:textId="2BBC8B9F"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37" w:history="1">
            <w:r w:rsidR="00BD4E89" w:rsidRPr="00957E81">
              <w:rPr>
                <w:rStyle w:val="Hyperlink"/>
                <w:noProof/>
              </w:rPr>
              <w:t>3.6.</w:t>
            </w:r>
            <w:r w:rsidR="00BD4E89">
              <w:rPr>
                <w:rFonts w:eastAsiaTheme="minorEastAsia" w:cstheme="minorBidi"/>
                <w:smallCaps w:val="0"/>
                <w:noProof/>
                <w:sz w:val="22"/>
                <w:szCs w:val="22"/>
                <w:lang w:val="en-US" w:eastAsia="en-US"/>
              </w:rPr>
              <w:tab/>
            </w:r>
            <w:r w:rsidR="00BD4E89" w:rsidRPr="00957E81">
              <w:rPr>
                <w:rStyle w:val="Hyperlink"/>
                <w:noProof/>
              </w:rPr>
              <w:t>Summary</w:t>
            </w:r>
            <w:r w:rsidR="00BD4E89">
              <w:rPr>
                <w:noProof/>
                <w:webHidden/>
              </w:rPr>
              <w:tab/>
            </w:r>
            <w:r w:rsidR="00BD4E89">
              <w:rPr>
                <w:noProof/>
                <w:webHidden/>
              </w:rPr>
              <w:fldChar w:fldCharType="begin"/>
            </w:r>
            <w:r w:rsidR="00BD4E89">
              <w:rPr>
                <w:noProof/>
                <w:webHidden/>
              </w:rPr>
              <w:instrText xml:space="preserve"> PAGEREF _Toc108784837 \h </w:instrText>
            </w:r>
            <w:r w:rsidR="00BD4E89">
              <w:rPr>
                <w:noProof/>
                <w:webHidden/>
              </w:rPr>
            </w:r>
            <w:r w:rsidR="00BD4E89">
              <w:rPr>
                <w:noProof/>
                <w:webHidden/>
              </w:rPr>
              <w:fldChar w:fldCharType="separate"/>
            </w:r>
            <w:r w:rsidR="00896BE0">
              <w:rPr>
                <w:noProof/>
                <w:webHidden/>
              </w:rPr>
              <w:t>36</w:t>
            </w:r>
            <w:r w:rsidR="00BD4E89">
              <w:rPr>
                <w:noProof/>
                <w:webHidden/>
              </w:rPr>
              <w:fldChar w:fldCharType="end"/>
            </w:r>
          </w:hyperlink>
        </w:p>
        <w:p w14:paraId="2666D949" w14:textId="233AF641" w:rsidR="00BD4E89" w:rsidRDefault="009B3225">
          <w:pPr>
            <w:pStyle w:val="TOC1"/>
            <w:tabs>
              <w:tab w:val="left" w:pos="480"/>
              <w:tab w:val="right" w:leader="dot" w:pos="9016"/>
            </w:tabs>
            <w:rPr>
              <w:rFonts w:eastAsiaTheme="minorEastAsia" w:cstheme="minorBidi"/>
              <w:b w:val="0"/>
              <w:bCs w:val="0"/>
              <w:caps w:val="0"/>
              <w:noProof/>
              <w:sz w:val="22"/>
              <w:szCs w:val="22"/>
              <w:lang w:val="en-US" w:eastAsia="en-US"/>
            </w:rPr>
          </w:pPr>
          <w:hyperlink w:anchor="_Toc108784838" w:history="1">
            <w:r w:rsidR="00BD4E89" w:rsidRPr="00957E81">
              <w:rPr>
                <w:rStyle w:val="Hyperlink"/>
                <w:noProof/>
              </w:rPr>
              <w:t>4.</w:t>
            </w:r>
            <w:r w:rsidR="00BD4E89">
              <w:rPr>
                <w:rFonts w:eastAsiaTheme="minorEastAsia" w:cstheme="minorBidi"/>
                <w:b w:val="0"/>
                <w:bCs w:val="0"/>
                <w:caps w:val="0"/>
                <w:noProof/>
                <w:sz w:val="22"/>
                <w:szCs w:val="22"/>
                <w:lang w:val="en-US" w:eastAsia="en-US"/>
              </w:rPr>
              <w:tab/>
            </w:r>
            <w:r w:rsidR="00BD4E89" w:rsidRPr="00957E81">
              <w:rPr>
                <w:rStyle w:val="Hyperlink"/>
                <w:noProof/>
              </w:rPr>
              <w:t>Outcomes of DMHS use</w:t>
            </w:r>
            <w:r w:rsidR="00BD4E89">
              <w:rPr>
                <w:noProof/>
                <w:webHidden/>
              </w:rPr>
              <w:tab/>
            </w:r>
            <w:r w:rsidR="00BD4E89">
              <w:rPr>
                <w:noProof/>
                <w:webHidden/>
              </w:rPr>
              <w:fldChar w:fldCharType="begin"/>
            </w:r>
            <w:r w:rsidR="00BD4E89">
              <w:rPr>
                <w:noProof/>
                <w:webHidden/>
              </w:rPr>
              <w:instrText xml:space="preserve"> PAGEREF _Toc108784838 \h </w:instrText>
            </w:r>
            <w:r w:rsidR="00BD4E89">
              <w:rPr>
                <w:noProof/>
                <w:webHidden/>
              </w:rPr>
            </w:r>
            <w:r w:rsidR="00BD4E89">
              <w:rPr>
                <w:noProof/>
                <w:webHidden/>
              </w:rPr>
              <w:fldChar w:fldCharType="separate"/>
            </w:r>
            <w:r w:rsidR="00896BE0">
              <w:rPr>
                <w:noProof/>
                <w:webHidden/>
              </w:rPr>
              <w:t>37</w:t>
            </w:r>
            <w:r w:rsidR="00BD4E89">
              <w:rPr>
                <w:noProof/>
                <w:webHidden/>
              </w:rPr>
              <w:fldChar w:fldCharType="end"/>
            </w:r>
          </w:hyperlink>
        </w:p>
        <w:p w14:paraId="52AA934B" w14:textId="05FCC7F5"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39" w:history="1">
            <w:r w:rsidR="00BD4E89" w:rsidRPr="00957E81">
              <w:rPr>
                <w:rStyle w:val="Hyperlink"/>
                <w:noProof/>
              </w:rPr>
              <w:t>4.1.</w:t>
            </w:r>
            <w:r w:rsidR="00BD4E89">
              <w:rPr>
                <w:rFonts w:eastAsiaTheme="minorEastAsia" w:cstheme="minorBidi"/>
                <w:smallCaps w:val="0"/>
                <w:noProof/>
                <w:sz w:val="22"/>
                <w:szCs w:val="22"/>
                <w:lang w:val="en-US" w:eastAsia="en-US"/>
              </w:rPr>
              <w:tab/>
            </w:r>
            <w:r w:rsidR="00BD4E89" w:rsidRPr="00957E81">
              <w:rPr>
                <w:rStyle w:val="Hyperlink"/>
                <w:noProof/>
              </w:rPr>
              <w:t>Our approach</w:t>
            </w:r>
            <w:r w:rsidR="00BD4E89">
              <w:rPr>
                <w:noProof/>
                <w:webHidden/>
              </w:rPr>
              <w:tab/>
            </w:r>
            <w:r w:rsidR="00BD4E89">
              <w:rPr>
                <w:noProof/>
                <w:webHidden/>
              </w:rPr>
              <w:fldChar w:fldCharType="begin"/>
            </w:r>
            <w:r w:rsidR="00BD4E89">
              <w:rPr>
                <w:noProof/>
                <w:webHidden/>
              </w:rPr>
              <w:instrText xml:space="preserve"> PAGEREF _Toc108784839 \h </w:instrText>
            </w:r>
            <w:r w:rsidR="00BD4E89">
              <w:rPr>
                <w:noProof/>
                <w:webHidden/>
              </w:rPr>
            </w:r>
            <w:r w:rsidR="00BD4E89">
              <w:rPr>
                <w:noProof/>
                <w:webHidden/>
              </w:rPr>
              <w:fldChar w:fldCharType="separate"/>
            </w:r>
            <w:r w:rsidR="00896BE0">
              <w:rPr>
                <w:noProof/>
                <w:webHidden/>
              </w:rPr>
              <w:t>37</w:t>
            </w:r>
            <w:r w:rsidR="00BD4E89">
              <w:rPr>
                <w:noProof/>
                <w:webHidden/>
              </w:rPr>
              <w:fldChar w:fldCharType="end"/>
            </w:r>
          </w:hyperlink>
        </w:p>
        <w:p w14:paraId="74E192EA" w14:textId="1C8B48DC"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40" w:history="1">
            <w:r w:rsidR="00BD4E89" w:rsidRPr="00957E81">
              <w:rPr>
                <w:rStyle w:val="Hyperlink"/>
                <w:noProof/>
              </w:rPr>
              <w:t>4.2.</w:t>
            </w:r>
            <w:r w:rsidR="00BD4E89">
              <w:rPr>
                <w:rFonts w:eastAsiaTheme="minorEastAsia" w:cstheme="minorBidi"/>
                <w:smallCaps w:val="0"/>
                <w:noProof/>
                <w:sz w:val="22"/>
                <w:szCs w:val="22"/>
                <w:lang w:val="en-US" w:eastAsia="en-US"/>
              </w:rPr>
              <w:tab/>
            </w:r>
            <w:r w:rsidR="00BD4E89" w:rsidRPr="00957E81">
              <w:rPr>
                <w:rStyle w:val="Hyperlink"/>
                <w:noProof/>
              </w:rPr>
              <w:t>Measuring change in mental health outcomes</w:t>
            </w:r>
            <w:r w:rsidR="00BD4E89">
              <w:rPr>
                <w:noProof/>
                <w:webHidden/>
              </w:rPr>
              <w:tab/>
            </w:r>
            <w:r w:rsidR="00BD4E89">
              <w:rPr>
                <w:noProof/>
                <w:webHidden/>
              </w:rPr>
              <w:fldChar w:fldCharType="begin"/>
            </w:r>
            <w:r w:rsidR="00BD4E89">
              <w:rPr>
                <w:noProof/>
                <w:webHidden/>
              </w:rPr>
              <w:instrText xml:space="preserve"> PAGEREF _Toc108784840 \h </w:instrText>
            </w:r>
            <w:r w:rsidR="00BD4E89">
              <w:rPr>
                <w:noProof/>
                <w:webHidden/>
              </w:rPr>
            </w:r>
            <w:r w:rsidR="00BD4E89">
              <w:rPr>
                <w:noProof/>
                <w:webHidden/>
              </w:rPr>
              <w:fldChar w:fldCharType="separate"/>
            </w:r>
            <w:r w:rsidR="00896BE0">
              <w:rPr>
                <w:noProof/>
                <w:webHidden/>
              </w:rPr>
              <w:t>37</w:t>
            </w:r>
            <w:r w:rsidR="00BD4E89">
              <w:rPr>
                <w:noProof/>
                <w:webHidden/>
              </w:rPr>
              <w:fldChar w:fldCharType="end"/>
            </w:r>
          </w:hyperlink>
        </w:p>
        <w:p w14:paraId="0CCDFFB7" w14:textId="38DAB33E"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41" w:history="1">
            <w:r w:rsidR="00BD4E89" w:rsidRPr="00957E81">
              <w:rPr>
                <w:rStyle w:val="Hyperlink"/>
                <w:noProof/>
              </w:rPr>
              <w:t>4.3.</w:t>
            </w:r>
            <w:r w:rsidR="00BD4E89">
              <w:rPr>
                <w:rFonts w:eastAsiaTheme="minorEastAsia" w:cstheme="minorBidi"/>
                <w:smallCaps w:val="0"/>
                <w:noProof/>
                <w:sz w:val="22"/>
                <w:szCs w:val="22"/>
                <w:lang w:val="en-US" w:eastAsia="en-US"/>
              </w:rPr>
              <w:tab/>
            </w:r>
            <w:r w:rsidR="00BD4E89" w:rsidRPr="00957E81">
              <w:rPr>
                <w:rStyle w:val="Hyperlink"/>
                <w:noProof/>
              </w:rPr>
              <w:t>Mental Health Online outcomes</w:t>
            </w:r>
            <w:r w:rsidR="00BD4E89">
              <w:rPr>
                <w:noProof/>
                <w:webHidden/>
              </w:rPr>
              <w:tab/>
            </w:r>
            <w:r w:rsidR="00BD4E89">
              <w:rPr>
                <w:noProof/>
                <w:webHidden/>
              </w:rPr>
              <w:fldChar w:fldCharType="begin"/>
            </w:r>
            <w:r w:rsidR="00BD4E89">
              <w:rPr>
                <w:noProof/>
                <w:webHidden/>
              </w:rPr>
              <w:instrText xml:space="preserve"> PAGEREF _Toc108784841 \h </w:instrText>
            </w:r>
            <w:r w:rsidR="00BD4E89">
              <w:rPr>
                <w:noProof/>
                <w:webHidden/>
              </w:rPr>
            </w:r>
            <w:r w:rsidR="00BD4E89">
              <w:rPr>
                <w:noProof/>
                <w:webHidden/>
              </w:rPr>
              <w:fldChar w:fldCharType="separate"/>
            </w:r>
            <w:r w:rsidR="00896BE0">
              <w:rPr>
                <w:noProof/>
                <w:webHidden/>
              </w:rPr>
              <w:t>39</w:t>
            </w:r>
            <w:r w:rsidR="00BD4E89">
              <w:rPr>
                <w:noProof/>
                <w:webHidden/>
              </w:rPr>
              <w:fldChar w:fldCharType="end"/>
            </w:r>
          </w:hyperlink>
        </w:p>
        <w:p w14:paraId="55D7C7C0" w14:textId="621C234D"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42" w:history="1">
            <w:r w:rsidR="00BD4E89" w:rsidRPr="00957E81">
              <w:rPr>
                <w:rStyle w:val="Hyperlink"/>
                <w:noProof/>
              </w:rPr>
              <w:t>4.4.</w:t>
            </w:r>
            <w:r w:rsidR="00BD4E89">
              <w:rPr>
                <w:rFonts w:eastAsiaTheme="minorEastAsia" w:cstheme="minorBidi"/>
                <w:smallCaps w:val="0"/>
                <w:noProof/>
                <w:sz w:val="22"/>
                <w:szCs w:val="22"/>
                <w:lang w:val="en-US" w:eastAsia="en-US"/>
              </w:rPr>
              <w:tab/>
            </w:r>
            <w:r w:rsidR="00BD4E89" w:rsidRPr="00957E81">
              <w:rPr>
                <w:rStyle w:val="Hyperlink"/>
                <w:noProof/>
              </w:rPr>
              <w:t>MindSpot outcomes</w:t>
            </w:r>
            <w:r w:rsidR="00BD4E89">
              <w:rPr>
                <w:noProof/>
                <w:webHidden/>
              </w:rPr>
              <w:tab/>
            </w:r>
            <w:r w:rsidR="00BD4E89">
              <w:rPr>
                <w:noProof/>
                <w:webHidden/>
              </w:rPr>
              <w:fldChar w:fldCharType="begin"/>
            </w:r>
            <w:r w:rsidR="00BD4E89">
              <w:rPr>
                <w:noProof/>
                <w:webHidden/>
              </w:rPr>
              <w:instrText xml:space="preserve"> PAGEREF _Toc108784842 \h </w:instrText>
            </w:r>
            <w:r w:rsidR="00BD4E89">
              <w:rPr>
                <w:noProof/>
                <w:webHidden/>
              </w:rPr>
            </w:r>
            <w:r w:rsidR="00BD4E89">
              <w:rPr>
                <w:noProof/>
                <w:webHidden/>
              </w:rPr>
              <w:fldChar w:fldCharType="separate"/>
            </w:r>
            <w:r w:rsidR="00896BE0">
              <w:rPr>
                <w:noProof/>
                <w:webHidden/>
              </w:rPr>
              <w:t>45</w:t>
            </w:r>
            <w:r w:rsidR="00BD4E89">
              <w:rPr>
                <w:noProof/>
                <w:webHidden/>
              </w:rPr>
              <w:fldChar w:fldCharType="end"/>
            </w:r>
          </w:hyperlink>
        </w:p>
        <w:p w14:paraId="5216FA66" w14:textId="7EADD7F4"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43" w:history="1">
            <w:r w:rsidR="00BD4E89" w:rsidRPr="00957E81">
              <w:rPr>
                <w:rStyle w:val="Hyperlink"/>
                <w:noProof/>
              </w:rPr>
              <w:t>4.5.</w:t>
            </w:r>
            <w:r w:rsidR="00BD4E89">
              <w:rPr>
                <w:rFonts w:eastAsiaTheme="minorEastAsia" w:cstheme="minorBidi"/>
                <w:smallCaps w:val="0"/>
                <w:noProof/>
                <w:sz w:val="22"/>
                <w:szCs w:val="22"/>
                <w:lang w:val="en-US" w:eastAsia="en-US"/>
              </w:rPr>
              <w:tab/>
            </w:r>
            <w:r w:rsidR="00BD4E89" w:rsidRPr="00957E81">
              <w:rPr>
                <w:rStyle w:val="Hyperlink"/>
                <w:noProof/>
              </w:rPr>
              <w:t>THIS WAY UP outcomes</w:t>
            </w:r>
            <w:r w:rsidR="00BD4E89">
              <w:rPr>
                <w:noProof/>
                <w:webHidden/>
              </w:rPr>
              <w:tab/>
            </w:r>
            <w:r w:rsidR="00BD4E89">
              <w:rPr>
                <w:noProof/>
                <w:webHidden/>
              </w:rPr>
              <w:fldChar w:fldCharType="begin"/>
            </w:r>
            <w:r w:rsidR="00BD4E89">
              <w:rPr>
                <w:noProof/>
                <w:webHidden/>
              </w:rPr>
              <w:instrText xml:space="preserve"> PAGEREF _Toc108784843 \h </w:instrText>
            </w:r>
            <w:r w:rsidR="00BD4E89">
              <w:rPr>
                <w:noProof/>
                <w:webHidden/>
              </w:rPr>
            </w:r>
            <w:r w:rsidR="00BD4E89">
              <w:rPr>
                <w:noProof/>
                <w:webHidden/>
              </w:rPr>
              <w:fldChar w:fldCharType="separate"/>
            </w:r>
            <w:r w:rsidR="00896BE0">
              <w:rPr>
                <w:noProof/>
                <w:webHidden/>
              </w:rPr>
              <w:t>61</w:t>
            </w:r>
            <w:r w:rsidR="00BD4E89">
              <w:rPr>
                <w:noProof/>
                <w:webHidden/>
              </w:rPr>
              <w:fldChar w:fldCharType="end"/>
            </w:r>
          </w:hyperlink>
        </w:p>
        <w:p w14:paraId="5690F93D" w14:textId="0CCD65FB"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51" w:history="1">
            <w:r w:rsidR="00BD4E89" w:rsidRPr="00957E81">
              <w:rPr>
                <w:rStyle w:val="Hyperlink"/>
                <w:noProof/>
              </w:rPr>
              <w:t>4.6.</w:t>
            </w:r>
            <w:r w:rsidR="00BD4E89">
              <w:rPr>
                <w:rFonts w:eastAsiaTheme="minorEastAsia" w:cstheme="minorBidi"/>
                <w:smallCaps w:val="0"/>
                <w:noProof/>
                <w:sz w:val="22"/>
                <w:szCs w:val="22"/>
                <w:lang w:val="en-US" w:eastAsia="en-US"/>
              </w:rPr>
              <w:tab/>
            </w:r>
            <w:r w:rsidR="00BD4E89" w:rsidRPr="00957E81">
              <w:rPr>
                <w:rStyle w:val="Hyperlink"/>
                <w:noProof/>
              </w:rPr>
              <w:t>Mental health outcomes compared with usual care</w:t>
            </w:r>
            <w:r w:rsidR="00BD4E89">
              <w:rPr>
                <w:noProof/>
                <w:webHidden/>
              </w:rPr>
              <w:tab/>
            </w:r>
            <w:r w:rsidR="00BD4E89">
              <w:rPr>
                <w:noProof/>
                <w:webHidden/>
              </w:rPr>
              <w:fldChar w:fldCharType="begin"/>
            </w:r>
            <w:r w:rsidR="00BD4E89">
              <w:rPr>
                <w:noProof/>
                <w:webHidden/>
              </w:rPr>
              <w:instrText xml:space="preserve"> PAGEREF _Toc108784851 \h </w:instrText>
            </w:r>
            <w:r w:rsidR="00BD4E89">
              <w:rPr>
                <w:noProof/>
                <w:webHidden/>
              </w:rPr>
            </w:r>
            <w:r w:rsidR="00BD4E89">
              <w:rPr>
                <w:noProof/>
                <w:webHidden/>
              </w:rPr>
              <w:fldChar w:fldCharType="separate"/>
            </w:r>
            <w:r w:rsidR="00896BE0">
              <w:rPr>
                <w:noProof/>
                <w:webHidden/>
              </w:rPr>
              <w:t>76</w:t>
            </w:r>
            <w:r w:rsidR="00BD4E89">
              <w:rPr>
                <w:noProof/>
                <w:webHidden/>
              </w:rPr>
              <w:fldChar w:fldCharType="end"/>
            </w:r>
          </w:hyperlink>
        </w:p>
        <w:p w14:paraId="12B67F5E" w14:textId="00957CE6"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52" w:history="1">
            <w:r w:rsidR="00BD4E89" w:rsidRPr="00957E81">
              <w:rPr>
                <w:rStyle w:val="Hyperlink"/>
                <w:noProof/>
              </w:rPr>
              <w:t>4.7.</w:t>
            </w:r>
            <w:r w:rsidR="00BD4E89">
              <w:rPr>
                <w:rFonts w:eastAsiaTheme="minorEastAsia" w:cstheme="minorBidi"/>
                <w:smallCaps w:val="0"/>
                <w:noProof/>
                <w:sz w:val="22"/>
                <w:szCs w:val="22"/>
                <w:lang w:val="en-US" w:eastAsia="en-US"/>
              </w:rPr>
              <w:tab/>
            </w:r>
            <w:r w:rsidR="00BD4E89" w:rsidRPr="00957E81">
              <w:rPr>
                <w:rStyle w:val="Hyperlink"/>
                <w:noProof/>
              </w:rPr>
              <w:t>Summary</w:t>
            </w:r>
            <w:r w:rsidR="00BD4E89">
              <w:rPr>
                <w:noProof/>
                <w:webHidden/>
              </w:rPr>
              <w:tab/>
            </w:r>
            <w:r w:rsidR="00BD4E89">
              <w:rPr>
                <w:noProof/>
                <w:webHidden/>
              </w:rPr>
              <w:fldChar w:fldCharType="begin"/>
            </w:r>
            <w:r w:rsidR="00BD4E89">
              <w:rPr>
                <w:noProof/>
                <w:webHidden/>
              </w:rPr>
              <w:instrText xml:space="preserve"> PAGEREF _Toc108784852 \h </w:instrText>
            </w:r>
            <w:r w:rsidR="00BD4E89">
              <w:rPr>
                <w:noProof/>
                <w:webHidden/>
              </w:rPr>
            </w:r>
            <w:r w:rsidR="00BD4E89">
              <w:rPr>
                <w:noProof/>
                <w:webHidden/>
              </w:rPr>
              <w:fldChar w:fldCharType="separate"/>
            </w:r>
            <w:r w:rsidR="00896BE0">
              <w:rPr>
                <w:noProof/>
                <w:webHidden/>
              </w:rPr>
              <w:t>79</w:t>
            </w:r>
            <w:r w:rsidR="00BD4E89">
              <w:rPr>
                <w:noProof/>
                <w:webHidden/>
              </w:rPr>
              <w:fldChar w:fldCharType="end"/>
            </w:r>
          </w:hyperlink>
        </w:p>
        <w:p w14:paraId="7E40E354" w14:textId="4FB6D403" w:rsidR="00BD4E89" w:rsidRDefault="009B3225">
          <w:pPr>
            <w:pStyle w:val="TOC1"/>
            <w:tabs>
              <w:tab w:val="left" w:pos="480"/>
              <w:tab w:val="right" w:leader="dot" w:pos="9016"/>
            </w:tabs>
            <w:rPr>
              <w:rFonts w:eastAsiaTheme="minorEastAsia" w:cstheme="minorBidi"/>
              <w:b w:val="0"/>
              <w:bCs w:val="0"/>
              <w:caps w:val="0"/>
              <w:noProof/>
              <w:sz w:val="22"/>
              <w:szCs w:val="22"/>
              <w:lang w:val="en-US" w:eastAsia="en-US"/>
            </w:rPr>
          </w:pPr>
          <w:hyperlink w:anchor="_Toc108784853" w:history="1">
            <w:r w:rsidR="00BD4E89" w:rsidRPr="00957E81">
              <w:rPr>
                <w:rStyle w:val="Hyperlink"/>
                <w:noProof/>
                <w:lang w:eastAsia="en-AU"/>
              </w:rPr>
              <w:t>5.</w:t>
            </w:r>
            <w:r w:rsidR="00BD4E89">
              <w:rPr>
                <w:rFonts w:eastAsiaTheme="minorEastAsia" w:cstheme="minorBidi"/>
                <w:b w:val="0"/>
                <w:bCs w:val="0"/>
                <w:caps w:val="0"/>
                <w:noProof/>
                <w:sz w:val="22"/>
                <w:szCs w:val="22"/>
                <w:lang w:val="en-US" w:eastAsia="en-US"/>
              </w:rPr>
              <w:tab/>
            </w:r>
            <w:r w:rsidR="00BD4E89" w:rsidRPr="00957E81">
              <w:rPr>
                <w:rStyle w:val="Hyperlink"/>
                <w:noProof/>
              </w:rPr>
              <w:t>Stakeholder experiences: Consumers of DMHS</w:t>
            </w:r>
            <w:r w:rsidR="006C2952" w:rsidRPr="00957E81">
              <w:rPr>
                <w:rStyle w:val="Hyperlink"/>
                <w:caps w:val="0"/>
                <w:noProof/>
              </w:rPr>
              <w:t>s</w:t>
            </w:r>
            <w:r w:rsidR="00BD4E89">
              <w:rPr>
                <w:noProof/>
                <w:webHidden/>
              </w:rPr>
              <w:tab/>
            </w:r>
            <w:r w:rsidR="00BD4E89">
              <w:rPr>
                <w:noProof/>
                <w:webHidden/>
              </w:rPr>
              <w:fldChar w:fldCharType="begin"/>
            </w:r>
            <w:r w:rsidR="00BD4E89">
              <w:rPr>
                <w:noProof/>
                <w:webHidden/>
              </w:rPr>
              <w:instrText xml:space="preserve"> PAGEREF _Toc108784853 \h </w:instrText>
            </w:r>
            <w:r w:rsidR="00BD4E89">
              <w:rPr>
                <w:noProof/>
                <w:webHidden/>
              </w:rPr>
            </w:r>
            <w:r w:rsidR="00BD4E89">
              <w:rPr>
                <w:noProof/>
                <w:webHidden/>
              </w:rPr>
              <w:fldChar w:fldCharType="separate"/>
            </w:r>
            <w:r w:rsidR="00896BE0">
              <w:rPr>
                <w:noProof/>
                <w:webHidden/>
              </w:rPr>
              <w:t>80</w:t>
            </w:r>
            <w:r w:rsidR="00BD4E89">
              <w:rPr>
                <w:noProof/>
                <w:webHidden/>
              </w:rPr>
              <w:fldChar w:fldCharType="end"/>
            </w:r>
          </w:hyperlink>
        </w:p>
        <w:p w14:paraId="1A5E17D6" w14:textId="26DD33E7"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54" w:history="1">
            <w:r w:rsidR="00BD4E89" w:rsidRPr="00957E81">
              <w:rPr>
                <w:rStyle w:val="Hyperlink"/>
                <w:noProof/>
                <w:lang w:eastAsia="en-AU"/>
              </w:rPr>
              <w:t>5.1.</w:t>
            </w:r>
            <w:r w:rsidR="00BD4E89">
              <w:rPr>
                <w:rFonts w:eastAsiaTheme="minorEastAsia" w:cstheme="minorBidi"/>
                <w:smallCaps w:val="0"/>
                <w:noProof/>
                <w:sz w:val="22"/>
                <w:szCs w:val="22"/>
                <w:lang w:val="en-US" w:eastAsia="en-US"/>
              </w:rPr>
              <w:tab/>
            </w:r>
            <w:r w:rsidR="00BD4E89" w:rsidRPr="00957E81">
              <w:rPr>
                <w:rStyle w:val="Hyperlink"/>
                <w:noProof/>
              </w:rPr>
              <w:t>Our</w:t>
            </w:r>
            <w:r w:rsidR="00BD4E89" w:rsidRPr="00957E81">
              <w:rPr>
                <w:rStyle w:val="Hyperlink"/>
                <w:noProof/>
                <w:lang w:eastAsia="en-AU"/>
              </w:rPr>
              <w:t xml:space="preserve"> </w:t>
            </w:r>
            <w:r w:rsidR="00BD4E89" w:rsidRPr="00957E81">
              <w:rPr>
                <w:rStyle w:val="Hyperlink"/>
                <w:noProof/>
              </w:rPr>
              <w:t>approach</w:t>
            </w:r>
            <w:r w:rsidR="00BD4E89">
              <w:rPr>
                <w:noProof/>
                <w:webHidden/>
              </w:rPr>
              <w:tab/>
            </w:r>
            <w:r w:rsidR="00BD4E89">
              <w:rPr>
                <w:noProof/>
                <w:webHidden/>
              </w:rPr>
              <w:fldChar w:fldCharType="begin"/>
            </w:r>
            <w:r w:rsidR="00BD4E89">
              <w:rPr>
                <w:noProof/>
                <w:webHidden/>
              </w:rPr>
              <w:instrText xml:space="preserve"> PAGEREF _Toc108784854 \h </w:instrText>
            </w:r>
            <w:r w:rsidR="00BD4E89">
              <w:rPr>
                <w:noProof/>
                <w:webHidden/>
              </w:rPr>
            </w:r>
            <w:r w:rsidR="00BD4E89">
              <w:rPr>
                <w:noProof/>
                <w:webHidden/>
              </w:rPr>
              <w:fldChar w:fldCharType="separate"/>
            </w:r>
            <w:r w:rsidR="00896BE0">
              <w:rPr>
                <w:noProof/>
                <w:webHidden/>
              </w:rPr>
              <w:t>80</w:t>
            </w:r>
            <w:r w:rsidR="00BD4E89">
              <w:rPr>
                <w:noProof/>
                <w:webHidden/>
              </w:rPr>
              <w:fldChar w:fldCharType="end"/>
            </w:r>
          </w:hyperlink>
        </w:p>
        <w:p w14:paraId="26C52C35" w14:textId="6640CBD4"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55" w:history="1">
            <w:r w:rsidR="00BD4E89" w:rsidRPr="00957E81">
              <w:rPr>
                <w:rStyle w:val="Hyperlink"/>
                <w:noProof/>
                <w:lang w:eastAsia="en-AU"/>
              </w:rPr>
              <w:t>5.2.</w:t>
            </w:r>
            <w:r w:rsidR="00BD4E89">
              <w:rPr>
                <w:rFonts w:eastAsiaTheme="minorEastAsia" w:cstheme="minorBidi"/>
                <w:smallCaps w:val="0"/>
                <w:noProof/>
                <w:sz w:val="22"/>
                <w:szCs w:val="22"/>
                <w:lang w:val="en-US" w:eastAsia="en-US"/>
              </w:rPr>
              <w:tab/>
            </w:r>
            <w:r w:rsidR="00BD4E89" w:rsidRPr="00957E81">
              <w:rPr>
                <w:rStyle w:val="Hyperlink"/>
                <w:noProof/>
              </w:rPr>
              <w:t>Characteristics</w:t>
            </w:r>
            <w:r w:rsidR="00BD4E89" w:rsidRPr="00957E81">
              <w:rPr>
                <w:rStyle w:val="Hyperlink"/>
                <w:noProof/>
                <w:lang w:eastAsia="en-AU"/>
              </w:rPr>
              <w:t xml:space="preserve"> of DMHS consumer survey and interview participants</w:t>
            </w:r>
            <w:r w:rsidR="00BD4E89">
              <w:rPr>
                <w:noProof/>
                <w:webHidden/>
              </w:rPr>
              <w:tab/>
            </w:r>
            <w:r w:rsidR="00BD4E89">
              <w:rPr>
                <w:noProof/>
                <w:webHidden/>
              </w:rPr>
              <w:fldChar w:fldCharType="begin"/>
            </w:r>
            <w:r w:rsidR="00BD4E89">
              <w:rPr>
                <w:noProof/>
                <w:webHidden/>
              </w:rPr>
              <w:instrText xml:space="preserve"> PAGEREF _Toc108784855 \h </w:instrText>
            </w:r>
            <w:r w:rsidR="00BD4E89">
              <w:rPr>
                <w:noProof/>
                <w:webHidden/>
              </w:rPr>
            </w:r>
            <w:r w:rsidR="00BD4E89">
              <w:rPr>
                <w:noProof/>
                <w:webHidden/>
              </w:rPr>
              <w:fldChar w:fldCharType="separate"/>
            </w:r>
            <w:r w:rsidR="00896BE0">
              <w:rPr>
                <w:noProof/>
                <w:webHidden/>
              </w:rPr>
              <w:t>80</w:t>
            </w:r>
            <w:r w:rsidR="00BD4E89">
              <w:rPr>
                <w:noProof/>
                <w:webHidden/>
              </w:rPr>
              <w:fldChar w:fldCharType="end"/>
            </w:r>
          </w:hyperlink>
        </w:p>
        <w:p w14:paraId="753DC152" w14:textId="2FCBB2C1"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56" w:history="1">
            <w:r w:rsidR="00BD4E89" w:rsidRPr="00957E81">
              <w:rPr>
                <w:rStyle w:val="Hyperlink"/>
                <w:rFonts w:cs="Calibri"/>
                <w:noProof/>
                <w:lang w:eastAsia="en-AU"/>
              </w:rPr>
              <w:t>5.3.</w:t>
            </w:r>
            <w:r w:rsidR="00BD4E89">
              <w:rPr>
                <w:rFonts w:eastAsiaTheme="minorEastAsia" w:cstheme="minorBidi"/>
                <w:smallCaps w:val="0"/>
                <w:noProof/>
                <w:sz w:val="22"/>
                <w:szCs w:val="22"/>
                <w:lang w:val="en-US" w:eastAsia="en-US"/>
              </w:rPr>
              <w:tab/>
            </w:r>
            <w:r w:rsidR="00BD4E89" w:rsidRPr="00957E81">
              <w:rPr>
                <w:rStyle w:val="Hyperlink"/>
                <w:rFonts w:cstheme="minorHAnsi"/>
                <w:noProof/>
                <w:lang w:eastAsia="en-AU"/>
              </w:rPr>
              <w:t>Consumer</w:t>
            </w:r>
            <w:r w:rsidR="00BD4E89" w:rsidRPr="00957E81">
              <w:rPr>
                <w:rStyle w:val="Hyperlink"/>
                <w:rFonts w:cs="Calibri"/>
                <w:noProof/>
                <w:lang w:val="en-GB" w:eastAsia="en-AU"/>
              </w:rPr>
              <w:t xml:space="preserve"> experiences of DMHS</w:t>
            </w:r>
            <w:r w:rsidR="006C2952" w:rsidRPr="00957E81">
              <w:rPr>
                <w:rStyle w:val="Hyperlink"/>
                <w:rFonts w:cs="Calibri"/>
                <w:noProof/>
                <w:lang w:val="en-GB" w:eastAsia="en-AU"/>
              </w:rPr>
              <w:t>s</w:t>
            </w:r>
            <w:r w:rsidR="00BD4E89">
              <w:rPr>
                <w:noProof/>
                <w:webHidden/>
              </w:rPr>
              <w:tab/>
            </w:r>
            <w:r w:rsidR="00BD4E89">
              <w:rPr>
                <w:noProof/>
                <w:webHidden/>
              </w:rPr>
              <w:fldChar w:fldCharType="begin"/>
            </w:r>
            <w:r w:rsidR="00BD4E89">
              <w:rPr>
                <w:noProof/>
                <w:webHidden/>
              </w:rPr>
              <w:instrText xml:space="preserve"> PAGEREF _Toc108784856 \h </w:instrText>
            </w:r>
            <w:r w:rsidR="00BD4E89">
              <w:rPr>
                <w:noProof/>
                <w:webHidden/>
              </w:rPr>
            </w:r>
            <w:r w:rsidR="00BD4E89">
              <w:rPr>
                <w:noProof/>
                <w:webHidden/>
              </w:rPr>
              <w:fldChar w:fldCharType="separate"/>
            </w:r>
            <w:r w:rsidR="00896BE0">
              <w:rPr>
                <w:noProof/>
                <w:webHidden/>
              </w:rPr>
              <w:t>82</w:t>
            </w:r>
            <w:r w:rsidR="00BD4E89">
              <w:rPr>
                <w:noProof/>
                <w:webHidden/>
              </w:rPr>
              <w:fldChar w:fldCharType="end"/>
            </w:r>
          </w:hyperlink>
        </w:p>
        <w:p w14:paraId="5D2E5F59" w14:textId="62F4E0D2"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57" w:history="1">
            <w:r w:rsidR="00BD4E89" w:rsidRPr="00957E81">
              <w:rPr>
                <w:rStyle w:val="Hyperlink"/>
                <w:rFonts w:ascii="Segoe UI" w:hAnsi="Segoe UI" w:cs="Segoe UI"/>
                <w:noProof/>
                <w:lang w:eastAsia="en-AU"/>
              </w:rPr>
              <w:t>5.4.</w:t>
            </w:r>
            <w:r w:rsidR="00BD4E89">
              <w:rPr>
                <w:rFonts w:eastAsiaTheme="minorEastAsia" w:cstheme="minorBidi"/>
                <w:smallCaps w:val="0"/>
                <w:noProof/>
                <w:sz w:val="22"/>
                <w:szCs w:val="22"/>
                <w:lang w:val="en-US" w:eastAsia="en-US"/>
              </w:rPr>
              <w:tab/>
            </w:r>
            <w:r w:rsidR="00BD4E89" w:rsidRPr="00957E81">
              <w:rPr>
                <w:rStyle w:val="Hyperlink"/>
                <w:noProof/>
                <w:lang w:val="en-GB" w:eastAsia="en-AU"/>
              </w:rPr>
              <w:t>Consumer experiences of specific aspects of DMHS</w:t>
            </w:r>
            <w:r w:rsidR="006C2952" w:rsidRPr="00957E81">
              <w:rPr>
                <w:rStyle w:val="Hyperlink"/>
                <w:noProof/>
                <w:lang w:val="en-GB" w:eastAsia="en-AU"/>
              </w:rPr>
              <w:t>s</w:t>
            </w:r>
            <w:r w:rsidR="00BD4E89">
              <w:rPr>
                <w:noProof/>
                <w:webHidden/>
              </w:rPr>
              <w:tab/>
            </w:r>
            <w:r w:rsidR="00BD4E89">
              <w:rPr>
                <w:noProof/>
                <w:webHidden/>
              </w:rPr>
              <w:fldChar w:fldCharType="begin"/>
            </w:r>
            <w:r w:rsidR="00BD4E89">
              <w:rPr>
                <w:noProof/>
                <w:webHidden/>
              </w:rPr>
              <w:instrText xml:space="preserve"> PAGEREF _Toc108784857 \h </w:instrText>
            </w:r>
            <w:r w:rsidR="00BD4E89">
              <w:rPr>
                <w:noProof/>
                <w:webHidden/>
              </w:rPr>
            </w:r>
            <w:r w:rsidR="00BD4E89">
              <w:rPr>
                <w:noProof/>
                <w:webHidden/>
              </w:rPr>
              <w:fldChar w:fldCharType="separate"/>
            </w:r>
            <w:r w:rsidR="00896BE0">
              <w:rPr>
                <w:noProof/>
                <w:webHidden/>
              </w:rPr>
              <w:t>84</w:t>
            </w:r>
            <w:r w:rsidR="00BD4E89">
              <w:rPr>
                <w:noProof/>
                <w:webHidden/>
              </w:rPr>
              <w:fldChar w:fldCharType="end"/>
            </w:r>
          </w:hyperlink>
        </w:p>
        <w:p w14:paraId="570CBD36" w14:textId="2D232952"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58" w:history="1">
            <w:r w:rsidR="00BD4E89" w:rsidRPr="00957E81">
              <w:rPr>
                <w:rStyle w:val="Hyperlink"/>
                <w:rFonts w:cs="Calibri"/>
                <w:noProof/>
                <w:lang w:val="en-GB" w:eastAsia="en-AU"/>
              </w:rPr>
              <w:t>5.5.</w:t>
            </w:r>
            <w:r w:rsidR="00BD4E89">
              <w:rPr>
                <w:rFonts w:eastAsiaTheme="minorEastAsia" w:cstheme="minorBidi"/>
                <w:smallCaps w:val="0"/>
                <w:noProof/>
                <w:sz w:val="22"/>
                <w:szCs w:val="22"/>
                <w:lang w:val="en-US" w:eastAsia="en-US"/>
              </w:rPr>
              <w:tab/>
            </w:r>
            <w:r w:rsidR="00BD4E89" w:rsidRPr="00957E81">
              <w:rPr>
                <w:rStyle w:val="Hyperlink"/>
                <w:rFonts w:cs="Calibri"/>
                <w:noProof/>
                <w:lang w:val="en-GB" w:eastAsia="en-AU"/>
              </w:rPr>
              <w:t>Consumer wellbeing and satisfaction</w:t>
            </w:r>
            <w:r w:rsidR="00BD4E89">
              <w:rPr>
                <w:noProof/>
                <w:webHidden/>
              </w:rPr>
              <w:tab/>
            </w:r>
            <w:r w:rsidR="00BD4E89">
              <w:rPr>
                <w:noProof/>
                <w:webHidden/>
              </w:rPr>
              <w:fldChar w:fldCharType="begin"/>
            </w:r>
            <w:r w:rsidR="00BD4E89">
              <w:rPr>
                <w:noProof/>
                <w:webHidden/>
              </w:rPr>
              <w:instrText xml:space="preserve"> PAGEREF _Toc108784858 \h </w:instrText>
            </w:r>
            <w:r w:rsidR="00BD4E89">
              <w:rPr>
                <w:noProof/>
                <w:webHidden/>
              </w:rPr>
            </w:r>
            <w:r w:rsidR="00BD4E89">
              <w:rPr>
                <w:noProof/>
                <w:webHidden/>
              </w:rPr>
              <w:fldChar w:fldCharType="separate"/>
            </w:r>
            <w:r w:rsidR="00896BE0">
              <w:rPr>
                <w:noProof/>
                <w:webHidden/>
              </w:rPr>
              <w:t>91</w:t>
            </w:r>
            <w:r w:rsidR="00BD4E89">
              <w:rPr>
                <w:noProof/>
                <w:webHidden/>
              </w:rPr>
              <w:fldChar w:fldCharType="end"/>
            </w:r>
          </w:hyperlink>
        </w:p>
        <w:p w14:paraId="1EC39F54" w14:textId="2A368739"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59" w:history="1">
            <w:r w:rsidR="00BD4E89" w:rsidRPr="00957E81">
              <w:rPr>
                <w:rStyle w:val="Hyperlink"/>
                <w:rFonts w:eastAsiaTheme="minorHAnsi"/>
                <w:noProof/>
                <w:lang w:eastAsia="en-US"/>
              </w:rPr>
              <w:t>5.6.</w:t>
            </w:r>
            <w:r w:rsidR="00BD4E89">
              <w:rPr>
                <w:rFonts w:eastAsiaTheme="minorEastAsia" w:cstheme="minorBidi"/>
                <w:smallCaps w:val="0"/>
                <w:noProof/>
                <w:sz w:val="22"/>
                <w:szCs w:val="22"/>
                <w:lang w:val="en-US" w:eastAsia="en-US"/>
              </w:rPr>
              <w:tab/>
            </w:r>
            <w:r w:rsidR="00BD4E89" w:rsidRPr="00957E81">
              <w:rPr>
                <w:rStyle w:val="Hyperlink"/>
                <w:noProof/>
              </w:rPr>
              <w:t>Summary</w:t>
            </w:r>
            <w:r w:rsidR="00BD4E89">
              <w:rPr>
                <w:noProof/>
                <w:webHidden/>
              </w:rPr>
              <w:tab/>
            </w:r>
            <w:r w:rsidR="00BD4E89">
              <w:rPr>
                <w:noProof/>
                <w:webHidden/>
              </w:rPr>
              <w:fldChar w:fldCharType="begin"/>
            </w:r>
            <w:r w:rsidR="00BD4E89">
              <w:rPr>
                <w:noProof/>
                <w:webHidden/>
              </w:rPr>
              <w:instrText xml:space="preserve"> PAGEREF _Toc108784859 \h </w:instrText>
            </w:r>
            <w:r w:rsidR="00BD4E89">
              <w:rPr>
                <w:noProof/>
                <w:webHidden/>
              </w:rPr>
            </w:r>
            <w:r w:rsidR="00BD4E89">
              <w:rPr>
                <w:noProof/>
                <w:webHidden/>
              </w:rPr>
              <w:fldChar w:fldCharType="separate"/>
            </w:r>
            <w:r w:rsidR="00896BE0">
              <w:rPr>
                <w:noProof/>
                <w:webHidden/>
              </w:rPr>
              <w:t>93</w:t>
            </w:r>
            <w:r w:rsidR="00BD4E89">
              <w:rPr>
                <w:noProof/>
                <w:webHidden/>
              </w:rPr>
              <w:fldChar w:fldCharType="end"/>
            </w:r>
          </w:hyperlink>
        </w:p>
        <w:p w14:paraId="51C423C5" w14:textId="3D4B8A44" w:rsidR="00BD4E89" w:rsidRDefault="009B3225">
          <w:pPr>
            <w:pStyle w:val="TOC1"/>
            <w:tabs>
              <w:tab w:val="left" w:pos="480"/>
              <w:tab w:val="right" w:leader="dot" w:pos="9016"/>
            </w:tabs>
            <w:rPr>
              <w:rFonts w:eastAsiaTheme="minorEastAsia" w:cstheme="minorBidi"/>
              <w:b w:val="0"/>
              <w:bCs w:val="0"/>
              <w:caps w:val="0"/>
              <w:noProof/>
              <w:sz w:val="22"/>
              <w:szCs w:val="22"/>
              <w:lang w:val="en-US" w:eastAsia="en-US"/>
            </w:rPr>
          </w:pPr>
          <w:hyperlink w:anchor="_Toc108784860" w:history="1">
            <w:r w:rsidR="00BD4E89" w:rsidRPr="00957E81">
              <w:rPr>
                <w:rStyle w:val="Hyperlink"/>
                <w:rFonts w:ascii="Calibri" w:hAnsi="Calibri" w:cs="Arial"/>
                <w:iCs/>
                <w:noProof/>
              </w:rPr>
              <w:t>6.</w:t>
            </w:r>
            <w:r w:rsidR="00BD4E89">
              <w:rPr>
                <w:rFonts w:eastAsiaTheme="minorEastAsia" w:cstheme="minorBidi"/>
                <w:b w:val="0"/>
                <w:bCs w:val="0"/>
                <w:caps w:val="0"/>
                <w:noProof/>
                <w:sz w:val="22"/>
                <w:szCs w:val="22"/>
                <w:lang w:val="en-US" w:eastAsia="en-US"/>
              </w:rPr>
              <w:tab/>
            </w:r>
            <w:r w:rsidR="00BD4E89" w:rsidRPr="00957E81">
              <w:rPr>
                <w:rStyle w:val="Hyperlink"/>
                <w:noProof/>
              </w:rPr>
              <w:t>Stakeholder experiences: Providers of DMHS</w:t>
            </w:r>
            <w:r w:rsidR="006C2952" w:rsidRPr="00957E81">
              <w:rPr>
                <w:rStyle w:val="Hyperlink"/>
                <w:caps w:val="0"/>
                <w:noProof/>
              </w:rPr>
              <w:t>s</w:t>
            </w:r>
            <w:r w:rsidR="00BD4E89">
              <w:rPr>
                <w:noProof/>
                <w:webHidden/>
              </w:rPr>
              <w:tab/>
            </w:r>
            <w:r w:rsidR="00BD4E89">
              <w:rPr>
                <w:noProof/>
                <w:webHidden/>
              </w:rPr>
              <w:fldChar w:fldCharType="begin"/>
            </w:r>
            <w:r w:rsidR="00BD4E89">
              <w:rPr>
                <w:noProof/>
                <w:webHidden/>
              </w:rPr>
              <w:instrText xml:space="preserve"> PAGEREF _Toc108784860 \h </w:instrText>
            </w:r>
            <w:r w:rsidR="00BD4E89">
              <w:rPr>
                <w:noProof/>
                <w:webHidden/>
              </w:rPr>
            </w:r>
            <w:r w:rsidR="00BD4E89">
              <w:rPr>
                <w:noProof/>
                <w:webHidden/>
              </w:rPr>
              <w:fldChar w:fldCharType="separate"/>
            </w:r>
            <w:r w:rsidR="00896BE0">
              <w:rPr>
                <w:noProof/>
                <w:webHidden/>
              </w:rPr>
              <w:t>94</w:t>
            </w:r>
            <w:r w:rsidR="00BD4E89">
              <w:rPr>
                <w:noProof/>
                <w:webHidden/>
              </w:rPr>
              <w:fldChar w:fldCharType="end"/>
            </w:r>
          </w:hyperlink>
        </w:p>
        <w:p w14:paraId="617A0510" w14:textId="38A0C881"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62" w:history="1">
            <w:r w:rsidR="00BD4E89" w:rsidRPr="00957E81">
              <w:rPr>
                <w:rStyle w:val="Hyperlink"/>
                <w:noProof/>
              </w:rPr>
              <w:t>6.1.</w:t>
            </w:r>
            <w:r w:rsidR="00BD4E89">
              <w:rPr>
                <w:rFonts w:eastAsiaTheme="minorEastAsia" w:cstheme="minorBidi"/>
                <w:smallCaps w:val="0"/>
                <w:noProof/>
                <w:sz w:val="22"/>
                <w:szCs w:val="22"/>
                <w:lang w:val="en-US" w:eastAsia="en-US"/>
              </w:rPr>
              <w:tab/>
            </w:r>
            <w:r w:rsidR="00BD4E89" w:rsidRPr="00957E81">
              <w:rPr>
                <w:rStyle w:val="Hyperlink"/>
                <w:noProof/>
              </w:rPr>
              <w:t>Our approach</w:t>
            </w:r>
            <w:r w:rsidR="00BD4E89">
              <w:rPr>
                <w:noProof/>
                <w:webHidden/>
              </w:rPr>
              <w:tab/>
            </w:r>
            <w:r w:rsidR="00BD4E89">
              <w:rPr>
                <w:noProof/>
                <w:webHidden/>
              </w:rPr>
              <w:fldChar w:fldCharType="begin"/>
            </w:r>
            <w:r w:rsidR="00BD4E89">
              <w:rPr>
                <w:noProof/>
                <w:webHidden/>
              </w:rPr>
              <w:instrText xml:space="preserve"> PAGEREF _Toc108784862 \h </w:instrText>
            </w:r>
            <w:r w:rsidR="00BD4E89">
              <w:rPr>
                <w:noProof/>
                <w:webHidden/>
              </w:rPr>
            </w:r>
            <w:r w:rsidR="00BD4E89">
              <w:rPr>
                <w:noProof/>
                <w:webHidden/>
              </w:rPr>
              <w:fldChar w:fldCharType="separate"/>
            </w:r>
            <w:r w:rsidR="00896BE0">
              <w:rPr>
                <w:noProof/>
                <w:webHidden/>
              </w:rPr>
              <w:t>94</w:t>
            </w:r>
            <w:r w:rsidR="00BD4E89">
              <w:rPr>
                <w:noProof/>
                <w:webHidden/>
              </w:rPr>
              <w:fldChar w:fldCharType="end"/>
            </w:r>
          </w:hyperlink>
        </w:p>
        <w:p w14:paraId="21212A47" w14:textId="20045862"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63" w:history="1">
            <w:r w:rsidR="00BD4E89" w:rsidRPr="00957E81">
              <w:rPr>
                <w:rStyle w:val="Hyperlink"/>
                <w:noProof/>
                <w:lang w:eastAsia="en-AU"/>
              </w:rPr>
              <w:t>6.2.</w:t>
            </w:r>
            <w:r w:rsidR="00BD4E89">
              <w:rPr>
                <w:rFonts w:eastAsiaTheme="minorEastAsia" w:cstheme="minorBidi"/>
                <w:smallCaps w:val="0"/>
                <w:noProof/>
                <w:sz w:val="22"/>
                <w:szCs w:val="22"/>
                <w:lang w:val="en-US" w:eastAsia="en-US"/>
              </w:rPr>
              <w:tab/>
            </w:r>
            <w:r w:rsidR="00BD4E89" w:rsidRPr="00957E81">
              <w:rPr>
                <w:rStyle w:val="Hyperlink"/>
                <w:noProof/>
              </w:rPr>
              <w:t>Characteristics</w:t>
            </w:r>
            <w:r w:rsidR="00BD4E89" w:rsidRPr="00957E81">
              <w:rPr>
                <w:rStyle w:val="Hyperlink"/>
                <w:noProof/>
                <w:lang w:val="en-GB" w:eastAsia="en-AU"/>
              </w:rPr>
              <w:t xml:space="preserve"> of DMHS provider survey respondents</w:t>
            </w:r>
            <w:r w:rsidR="00BD4E89">
              <w:rPr>
                <w:noProof/>
                <w:webHidden/>
              </w:rPr>
              <w:tab/>
            </w:r>
            <w:r w:rsidR="00BD4E89">
              <w:rPr>
                <w:noProof/>
                <w:webHidden/>
              </w:rPr>
              <w:fldChar w:fldCharType="begin"/>
            </w:r>
            <w:r w:rsidR="00BD4E89">
              <w:rPr>
                <w:noProof/>
                <w:webHidden/>
              </w:rPr>
              <w:instrText xml:space="preserve"> PAGEREF _Toc108784863 \h </w:instrText>
            </w:r>
            <w:r w:rsidR="00BD4E89">
              <w:rPr>
                <w:noProof/>
                <w:webHidden/>
              </w:rPr>
            </w:r>
            <w:r w:rsidR="00BD4E89">
              <w:rPr>
                <w:noProof/>
                <w:webHidden/>
              </w:rPr>
              <w:fldChar w:fldCharType="separate"/>
            </w:r>
            <w:r w:rsidR="00896BE0">
              <w:rPr>
                <w:noProof/>
                <w:webHidden/>
              </w:rPr>
              <w:t>94</w:t>
            </w:r>
            <w:r w:rsidR="00BD4E89">
              <w:rPr>
                <w:noProof/>
                <w:webHidden/>
              </w:rPr>
              <w:fldChar w:fldCharType="end"/>
            </w:r>
          </w:hyperlink>
        </w:p>
        <w:p w14:paraId="105FBC1D" w14:textId="05D67747"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64" w:history="1">
            <w:r w:rsidR="00BD4E89" w:rsidRPr="00957E81">
              <w:rPr>
                <w:rStyle w:val="Hyperlink"/>
                <w:noProof/>
                <w:lang w:eastAsia="en-AU"/>
              </w:rPr>
              <w:t>6.3.</w:t>
            </w:r>
            <w:r w:rsidR="00BD4E89">
              <w:rPr>
                <w:rFonts w:eastAsiaTheme="minorEastAsia" w:cstheme="minorBidi"/>
                <w:smallCaps w:val="0"/>
                <w:noProof/>
                <w:sz w:val="22"/>
                <w:szCs w:val="22"/>
                <w:lang w:val="en-US" w:eastAsia="en-US"/>
              </w:rPr>
              <w:tab/>
            </w:r>
            <w:r w:rsidR="00BD4E89" w:rsidRPr="00957E81">
              <w:rPr>
                <w:rStyle w:val="Hyperlink"/>
                <w:noProof/>
                <w:lang w:val="en-GB" w:eastAsia="en-AU"/>
              </w:rPr>
              <w:t>Characteristics of DMHS provider interview respondents</w:t>
            </w:r>
            <w:r w:rsidR="00BD4E89">
              <w:rPr>
                <w:noProof/>
                <w:webHidden/>
              </w:rPr>
              <w:tab/>
            </w:r>
            <w:r w:rsidR="00BD4E89">
              <w:rPr>
                <w:noProof/>
                <w:webHidden/>
              </w:rPr>
              <w:fldChar w:fldCharType="begin"/>
            </w:r>
            <w:r w:rsidR="00BD4E89">
              <w:rPr>
                <w:noProof/>
                <w:webHidden/>
              </w:rPr>
              <w:instrText xml:space="preserve"> PAGEREF _Toc108784864 \h </w:instrText>
            </w:r>
            <w:r w:rsidR="00BD4E89">
              <w:rPr>
                <w:noProof/>
                <w:webHidden/>
              </w:rPr>
            </w:r>
            <w:r w:rsidR="00BD4E89">
              <w:rPr>
                <w:noProof/>
                <w:webHidden/>
              </w:rPr>
              <w:fldChar w:fldCharType="separate"/>
            </w:r>
            <w:r w:rsidR="00896BE0">
              <w:rPr>
                <w:noProof/>
                <w:webHidden/>
              </w:rPr>
              <w:t>95</w:t>
            </w:r>
            <w:r w:rsidR="00BD4E89">
              <w:rPr>
                <w:noProof/>
                <w:webHidden/>
              </w:rPr>
              <w:fldChar w:fldCharType="end"/>
            </w:r>
          </w:hyperlink>
        </w:p>
        <w:p w14:paraId="43C0619A" w14:textId="1C86A094"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65" w:history="1">
            <w:r w:rsidR="00BD4E89" w:rsidRPr="00957E81">
              <w:rPr>
                <w:rStyle w:val="Hyperlink"/>
                <w:noProof/>
                <w:lang w:eastAsia="en-AU"/>
              </w:rPr>
              <w:t>6.4.</w:t>
            </w:r>
            <w:r w:rsidR="00BD4E89">
              <w:rPr>
                <w:rFonts w:eastAsiaTheme="minorEastAsia" w:cstheme="minorBidi"/>
                <w:smallCaps w:val="0"/>
                <w:noProof/>
                <w:sz w:val="22"/>
                <w:szCs w:val="22"/>
                <w:lang w:val="en-US" w:eastAsia="en-US"/>
              </w:rPr>
              <w:tab/>
            </w:r>
            <w:r w:rsidR="00BD4E89" w:rsidRPr="00957E81">
              <w:rPr>
                <w:rStyle w:val="Hyperlink"/>
                <w:noProof/>
                <w:lang w:eastAsia="en-AU"/>
              </w:rPr>
              <w:t>Provider views about suitability of DMHSs</w:t>
            </w:r>
            <w:r w:rsidR="00BD4E89">
              <w:rPr>
                <w:noProof/>
                <w:webHidden/>
              </w:rPr>
              <w:tab/>
            </w:r>
            <w:r w:rsidR="00BD4E89">
              <w:rPr>
                <w:noProof/>
                <w:webHidden/>
              </w:rPr>
              <w:fldChar w:fldCharType="begin"/>
            </w:r>
            <w:r w:rsidR="00BD4E89">
              <w:rPr>
                <w:noProof/>
                <w:webHidden/>
              </w:rPr>
              <w:instrText xml:space="preserve"> PAGEREF _Toc108784865 \h </w:instrText>
            </w:r>
            <w:r w:rsidR="00BD4E89">
              <w:rPr>
                <w:noProof/>
                <w:webHidden/>
              </w:rPr>
            </w:r>
            <w:r w:rsidR="00BD4E89">
              <w:rPr>
                <w:noProof/>
                <w:webHidden/>
              </w:rPr>
              <w:fldChar w:fldCharType="separate"/>
            </w:r>
            <w:r w:rsidR="00896BE0">
              <w:rPr>
                <w:noProof/>
                <w:webHidden/>
              </w:rPr>
              <w:t>96</w:t>
            </w:r>
            <w:r w:rsidR="00BD4E89">
              <w:rPr>
                <w:noProof/>
                <w:webHidden/>
              </w:rPr>
              <w:fldChar w:fldCharType="end"/>
            </w:r>
          </w:hyperlink>
        </w:p>
        <w:p w14:paraId="466D2C35" w14:textId="50C17940"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66" w:history="1">
            <w:r w:rsidR="00BD4E89" w:rsidRPr="00957E81">
              <w:rPr>
                <w:rStyle w:val="Hyperlink"/>
                <w:noProof/>
                <w:lang w:eastAsia="en-AU"/>
              </w:rPr>
              <w:t>6.5.</w:t>
            </w:r>
            <w:r w:rsidR="00BD4E89">
              <w:rPr>
                <w:rFonts w:eastAsiaTheme="minorEastAsia" w:cstheme="minorBidi"/>
                <w:smallCaps w:val="0"/>
                <w:noProof/>
                <w:sz w:val="22"/>
                <w:szCs w:val="22"/>
                <w:lang w:val="en-US" w:eastAsia="en-US"/>
              </w:rPr>
              <w:tab/>
            </w:r>
            <w:r w:rsidR="00BD4E89" w:rsidRPr="00957E81">
              <w:rPr>
                <w:rStyle w:val="Hyperlink"/>
                <w:noProof/>
                <w:lang w:val="en-US" w:eastAsia="en-AU"/>
              </w:rPr>
              <w:t>Provider experiences of using DMHSs</w:t>
            </w:r>
            <w:r w:rsidR="00BD4E89">
              <w:rPr>
                <w:noProof/>
                <w:webHidden/>
              </w:rPr>
              <w:tab/>
            </w:r>
            <w:r w:rsidR="00BD4E89">
              <w:rPr>
                <w:noProof/>
                <w:webHidden/>
              </w:rPr>
              <w:fldChar w:fldCharType="begin"/>
            </w:r>
            <w:r w:rsidR="00BD4E89">
              <w:rPr>
                <w:noProof/>
                <w:webHidden/>
              </w:rPr>
              <w:instrText xml:space="preserve"> PAGEREF _Toc108784866 \h </w:instrText>
            </w:r>
            <w:r w:rsidR="00BD4E89">
              <w:rPr>
                <w:noProof/>
                <w:webHidden/>
              </w:rPr>
            </w:r>
            <w:r w:rsidR="00BD4E89">
              <w:rPr>
                <w:noProof/>
                <w:webHidden/>
              </w:rPr>
              <w:fldChar w:fldCharType="separate"/>
            </w:r>
            <w:r w:rsidR="00896BE0">
              <w:rPr>
                <w:noProof/>
                <w:webHidden/>
              </w:rPr>
              <w:t>97</w:t>
            </w:r>
            <w:r w:rsidR="00BD4E89">
              <w:rPr>
                <w:noProof/>
                <w:webHidden/>
              </w:rPr>
              <w:fldChar w:fldCharType="end"/>
            </w:r>
          </w:hyperlink>
        </w:p>
        <w:p w14:paraId="6545D03B" w14:textId="4EDAF3C4"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67" w:history="1">
            <w:r w:rsidR="00BD4E89" w:rsidRPr="00957E81">
              <w:rPr>
                <w:rStyle w:val="Hyperlink"/>
                <w:noProof/>
                <w:lang w:eastAsia="en-AU"/>
              </w:rPr>
              <w:t>6.6.</w:t>
            </w:r>
            <w:r w:rsidR="00BD4E89">
              <w:rPr>
                <w:rFonts w:eastAsiaTheme="minorEastAsia" w:cstheme="minorBidi"/>
                <w:smallCaps w:val="0"/>
                <w:noProof/>
                <w:sz w:val="22"/>
                <w:szCs w:val="22"/>
                <w:lang w:val="en-US" w:eastAsia="en-US"/>
              </w:rPr>
              <w:tab/>
            </w:r>
            <w:r w:rsidR="00BD4E89" w:rsidRPr="00957E81">
              <w:rPr>
                <w:rStyle w:val="Hyperlink"/>
                <w:noProof/>
                <w:lang w:eastAsia="en-AU"/>
              </w:rPr>
              <w:t>Provider perceptions about impact of DMHSs on consumers</w:t>
            </w:r>
            <w:r w:rsidR="00BD4E89">
              <w:rPr>
                <w:noProof/>
                <w:webHidden/>
              </w:rPr>
              <w:tab/>
            </w:r>
            <w:r w:rsidR="00BD4E89">
              <w:rPr>
                <w:noProof/>
                <w:webHidden/>
              </w:rPr>
              <w:fldChar w:fldCharType="begin"/>
            </w:r>
            <w:r w:rsidR="00BD4E89">
              <w:rPr>
                <w:noProof/>
                <w:webHidden/>
              </w:rPr>
              <w:instrText xml:space="preserve"> PAGEREF _Toc108784867 \h </w:instrText>
            </w:r>
            <w:r w:rsidR="00BD4E89">
              <w:rPr>
                <w:noProof/>
                <w:webHidden/>
              </w:rPr>
            </w:r>
            <w:r w:rsidR="00BD4E89">
              <w:rPr>
                <w:noProof/>
                <w:webHidden/>
              </w:rPr>
              <w:fldChar w:fldCharType="separate"/>
            </w:r>
            <w:r w:rsidR="00896BE0">
              <w:rPr>
                <w:noProof/>
                <w:webHidden/>
              </w:rPr>
              <w:t>98</w:t>
            </w:r>
            <w:r w:rsidR="00BD4E89">
              <w:rPr>
                <w:noProof/>
                <w:webHidden/>
              </w:rPr>
              <w:fldChar w:fldCharType="end"/>
            </w:r>
          </w:hyperlink>
        </w:p>
        <w:p w14:paraId="4252659D" w14:textId="19508180"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68" w:history="1">
            <w:r w:rsidR="00BD4E89" w:rsidRPr="00957E81">
              <w:rPr>
                <w:rStyle w:val="Hyperlink"/>
                <w:noProof/>
                <w:lang w:eastAsia="en-AU"/>
              </w:rPr>
              <w:t>6.7.</w:t>
            </w:r>
            <w:r w:rsidR="00BD4E89">
              <w:rPr>
                <w:rFonts w:eastAsiaTheme="minorEastAsia" w:cstheme="minorBidi"/>
                <w:smallCaps w:val="0"/>
                <w:noProof/>
                <w:sz w:val="22"/>
                <w:szCs w:val="22"/>
                <w:lang w:val="en-US" w:eastAsia="en-US"/>
              </w:rPr>
              <w:tab/>
            </w:r>
            <w:r w:rsidR="00BD4E89" w:rsidRPr="00957E81">
              <w:rPr>
                <w:rStyle w:val="Hyperlink"/>
                <w:noProof/>
                <w:lang w:eastAsia="en-AU"/>
              </w:rPr>
              <w:t>Provider satisfaction with DMHSs</w:t>
            </w:r>
            <w:r w:rsidR="00BD4E89">
              <w:rPr>
                <w:noProof/>
                <w:webHidden/>
              </w:rPr>
              <w:tab/>
            </w:r>
            <w:r w:rsidR="00BD4E89">
              <w:rPr>
                <w:noProof/>
                <w:webHidden/>
              </w:rPr>
              <w:fldChar w:fldCharType="begin"/>
            </w:r>
            <w:r w:rsidR="00BD4E89">
              <w:rPr>
                <w:noProof/>
                <w:webHidden/>
              </w:rPr>
              <w:instrText xml:space="preserve"> PAGEREF _Toc108784868 \h </w:instrText>
            </w:r>
            <w:r w:rsidR="00BD4E89">
              <w:rPr>
                <w:noProof/>
                <w:webHidden/>
              </w:rPr>
            </w:r>
            <w:r w:rsidR="00BD4E89">
              <w:rPr>
                <w:noProof/>
                <w:webHidden/>
              </w:rPr>
              <w:fldChar w:fldCharType="separate"/>
            </w:r>
            <w:r w:rsidR="00896BE0">
              <w:rPr>
                <w:noProof/>
                <w:webHidden/>
              </w:rPr>
              <w:t>100</w:t>
            </w:r>
            <w:r w:rsidR="00BD4E89">
              <w:rPr>
                <w:noProof/>
                <w:webHidden/>
              </w:rPr>
              <w:fldChar w:fldCharType="end"/>
            </w:r>
          </w:hyperlink>
        </w:p>
        <w:p w14:paraId="6E110D60" w14:textId="407F8468"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69" w:history="1">
            <w:r w:rsidR="00BD4E89" w:rsidRPr="00957E81">
              <w:rPr>
                <w:rStyle w:val="Hyperlink"/>
                <w:noProof/>
              </w:rPr>
              <w:t>6.8.</w:t>
            </w:r>
            <w:r w:rsidR="00BD4E89">
              <w:rPr>
                <w:rFonts w:eastAsiaTheme="minorEastAsia" w:cstheme="minorBidi"/>
                <w:smallCaps w:val="0"/>
                <w:noProof/>
                <w:sz w:val="22"/>
                <w:szCs w:val="22"/>
                <w:lang w:val="en-US" w:eastAsia="en-US"/>
              </w:rPr>
              <w:tab/>
            </w:r>
            <w:r w:rsidR="00BD4E89" w:rsidRPr="00957E81">
              <w:rPr>
                <w:rStyle w:val="Hyperlink"/>
                <w:noProof/>
              </w:rPr>
              <w:t>Summary</w:t>
            </w:r>
            <w:r w:rsidR="00BD4E89">
              <w:rPr>
                <w:noProof/>
                <w:webHidden/>
              </w:rPr>
              <w:tab/>
            </w:r>
            <w:r w:rsidR="00BD4E89">
              <w:rPr>
                <w:noProof/>
                <w:webHidden/>
              </w:rPr>
              <w:fldChar w:fldCharType="begin"/>
            </w:r>
            <w:r w:rsidR="00BD4E89">
              <w:rPr>
                <w:noProof/>
                <w:webHidden/>
              </w:rPr>
              <w:instrText xml:space="preserve"> PAGEREF _Toc108784869 \h </w:instrText>
            </w:r>
            <w:r w:rsidR="00BD4E89">
              <w:rPr>
                <w:noProof/>
                <w:webHidden/>
              </w:rPr>
            </w:r>
            <w:r w:rsidR="00BD4E89">
              <w:rPr>
                <w:noProof/>
                <w:webHidden/>
              </w:rPr>
              <w:fldChar w:fldCharType="separate"/>
            </w:r>
            <w:r w:rsidR="00896BE0">
              <w:rPr>
                <w:noProof/>
                <w:webHidden/>
              </w:rPr>
              <w:t>102</w:t>
            </w:r>
            <w:r w:rsidR="00BD4E89">
              <w:rPr>
                <w:noProof/>
                <w:webHidden/>
              </w:rPr>
              <w:fldChar w:fldCharType="end"/>
            </w:r>
          </w:hyperlink>
        </w:p>
        <w:p w14:paraId="1F3B17CF" w14:textId="6F46B64C" w:rsidR="00BD4E89" w:rsidRDefault="009B3225">
          <w:pPr>
            <w:pStyle w:val="TOC1"/>
            <w:tabs>
              <w:tab w:val="left" w:pos="480"/>
              <w:tab w:val="right" w:leader="dot" w:pos="9016"/>
            </w:tabs>
            <w:rPr>
              <w:rFonts w:eastAsiaTheme="minorEastAsia" w:cstheme="minorBidi"/>
              <w:b w:val="0"/>
              <w:bCs w:val="0"/>
              <w:caps w:val="0"/>
              <w:noProof/>
              <w:sz w:val="22"/>
              <w:szCs w:val="22"/>
              <w:lang w:val="en-US" w:eastAsia="en-US"/>
            </w:rPr>
          </w:pPr>
          <w:hyperlink w:anchor="_Toc108784870" w:history="1">
            <w:r w:rsidR="00BD4E89" w:rsidRPr="00957E81">
              <w:rPr>
                <w:rStyle w:val="Hyperlink"/>
                <w:noProof/>
              </w:rPr>
              <w:t>7.</w:t>
            </w:r>
            <w:r w:rsidR="00BD4E89">
              <w:rPr>
                <w:rFonts w:eastAsiaTheme="minorEastAsia" w:cstheme="minorBidi"/>
                <w:b w:val="0"/>
                <w:bCs w:val="0"/>
                <w:caps w:val="0"/>
                <w:noProof/>
                <w:sz w:val="22"/>
                <w:szCs w:val="22"/>
                <w:lang w:val="en-US" w:eastAsia="en-US"/>
              </w:rPr>
              <w:tab/>
            </w:r>
            <w:r w:rsidR="00BD4E89" w:rsidRPr="00957E81">
              <w:rPr>
                <w:rStyle w:val="Hyperlink"/>
                <w:noProof/>
              </w:rPr>
              <w:t>Stakeholder experiences: People with lived experience of mental health problems</w:t>
            </w:r>
            <w:r w:rsidR="00BD4E89">
              <w:rPr>
                <w:noProof/>
                <w:webHidden/>
              </w:rPr>
              <w:tab/>
            </w:r>
            <w:r w:rsidR="00BD4E89">
              <w:rPr>
                <w:noProof/>
                <w:webHidden/>
              </w:rPr>
              <w:fldChar w:fldCharType="begin"/>
            </w:r>
            <w:r w:rsidR="00BD4E89">
              <w:rPr>
                <w:noProof/>
                <w:webHidden/>
              </w:rPr>
              <w:instrText xml:space="preserve"> PAGEREF _Toc108784870 \h </w:instrText>
            </w:r>
            <w:r w:rsidR="00BD4E89">
              <w:rPr>
                <w:noProof/>
                <w:webHidden/>
              </w:rPr>
            </w:r>
            <w:r w:rsidR="00BD4E89">
              <w:rPr>
                <w:noProof/>
                <w:webHidden/>
              </w:rPr>
              <w:fldChar w:fldCharType="separate"/>
            </w:r>
            <w:r w:rsidR="00896BE0">
              <w:rPr>
                <w:noProof/>
                <w:webHidden/>
              </w:rPr>
              <w:t>103</w:t>
            </w:r>
            <w:r w:rsidR="00BD4E89">
              <w:rPr>
                <w:noProof/>
                <w:webHidden/>
              </w:rPr>
              <w:fldChar w:fldCharType="end"/>
            </w:r>
          </w:hyperlink>
        </w:p>
        <w:p w14:paraId="390D2476" w14:textId="6B9A7CF7"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71" w:history="1">
            <w:r w:rsidR="00BD4E89" w:rsidRPr="00957E81">
              <w:rPr>
                <w:rStyle w:val="Hyperlink"/>
                <w:noProof/>
              </w:rPr>
              <w:t>7.1.</w:t>
            </w:r>
            <w:r w:rsidR="00BD4E89">
              <w:rPr>
                <w:rFonts w:eastAsiaTheme="minorEastAsia" w:cstheme="minorBidi"/>
                <w:smallCaps w:val="0"/>
                <w:noProof/>
                <w:sz w:val="22"/>
                <w:szCs w:val="22"/>
                <w:lang w:val="en-US" w:eastAsia="en-US"/>
              </w:rPr>
              <w:tab/>
            </w:r>
            <w:r w:rsidR="00BD4E89" w:rsidRPr="00957E81">
              <w:rPr>
                <w:rStyle w:val="Hyperlink"/>
                <w:noProof/>
              </w:rPr>
              <w:t>Our approach</w:t>
            </w:r>
            <w:r w:rsidR="00BD4E89">
              <w:rPr>
                <w:noProof/>
                <w:webHidden/>
              </w:rPr>
              <w:tab/>
            </w:r>
            <w:r w:rsidR="00BD4E89">
              <w:rPr>
                <w:noProof/>
                <w:webHidden/>
              </w:rPr>
              <w:fldChar w:fldCharType="begin"/>
            </w:r>
            <w:r w:rsidR="00BD4E89">
              <w:rPr>
                <w:noProof/>
                <w:webHidden/>
              </w:rPr>
              <w:instrText xml:space="preserve"> PAGEREF _Toc108784871 \h </w:instrText>
            </w:r>
            <w:r w:rsidR="00BD4E89">
              <w:rPr>
                <w:noProof/>
                <w:webHidden/>
              </w:rPr>
            </w:r>
            <w:r w:rsidR="00BD4E89">
              <w:rPr>
                <w:noProof/>
                <w:webHidden/>
              </w:rPr>
              <w:fldChar w:fldCharType="separate"/>
            </w:r>
            <w:r w:rsidR="00896BE0">
              <w:rPr>
                <w:noProof/>
                <w:webHidden/>
              </w:rPr>
              <w:t>103</w:t>
            </w:r>
            <w:r w:rsidR="00BD4E89">
              <w:rPr>
                <w:noProof/>
                <w:webHidden/>
              </w:rPr>
              <w:fldChar w:fldCharType="end"/>
            </w:r>
          </w:hyperlink>
        </w:p>
        <w:p w14:paraId="483C888D" w14:textId="7668B85C"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74" w:history="1">
            <w:r w:rsidR="00BD4E89" w:rsidRPr="00957E81">
              <w:rPr>
                <w:rStyle w:val="Hyperlink"/>
                <w:noProof/>
              </w:rPr>
              <w:t>7.2.</w:t>
            </w:r>
            <w:r w:rsidR="00BD4E89">
              <w:rPr>
                <w:rFonts w:eastAsiaTheme="minorEastAsia" w:cstheme="minorBidi"/>
                <w:smallCaps w:val="0"/>
                <w:noProof/>
                <w:sz w:val="22"/>
                <w:szCs w:val="22"/>
                <w:lang w:val="en-US" w:eastAsia="en-US"/>
              </w:rPr>
              <w:tab/>
            </w:r>
            <w:r w:rsidR="00BD4E89" w:rsidRPr="00957E81">
              <w:rPr>
                <w:rStyle w:val="Hyperlink"/>
                <w:noProof/>
              </w:rPr>
              <w:t>Participant characteristics</w:t>
            </w:r>
            <w:r w:rsidR="00BD4E89">
              <w:rPr>
                <w:noProof/>
                <w:webHidden/>
              </w:rPr>
              <w:tab/>
            </w:r>
            <w:r w:rsidR="00BD4E89">
              <w:rPr>
                <w:noProof/>
                <w:webHidden/>
              </w:rPr>
              <w:fldChar w:fldCharType="begin"/>
            </w:r>
            <w:r w:rsidR="00BD4E89">
              <w:rPr>
                <w:noProof/>
                <w:webHidden/>
              </w:rPr>
              <w:instrText xml:space="preserve"> PAGEREF _Toc108784874 \h </w:instrText>
            </w:r>
            <w:r w:rsidR="00BD4E89">
              <w:rPr>
                <w:noProof/>
                <w:webHidden/>
              </w:rPr>
            </w:r>
            <w:r w:rsidR="00BD4E89">
              <w:rPr>
                <w:noProof/>
                <w:webHidden/>
              </w:rPr>
              <w:fldChar w:fldCharType="separate"/>
            </w:r>
            <w:r w:rsidR="00896BE0">
              <w:rPr>
                <w:noProof/>
                <w:webHidden/>
              </w:rPr>
              <w:t>103</w:t>
            </w:r>
            <w:r w:rsidR="00BD4E89">
              <w:rPr>
                <w:noProof/>
                <w:webHidden/>
              </w:rPr>
              <w:fldChar w:fldCharType="end"/>
            </w:r>
          </w:hyperlink>
        </w:p>
        <w:p w14:paraId="554F6037" w14:textId="7B8482F0"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75" w:history="1">
            <w:r w:rsidR="00BD4E89" w:rsidRPr="00957E81">
              <w:rPr>
                <w:rStyle w:val="Hyperlink"/>
                <w:noProof/>
              </w:rPr>
              <w:t>7.3.</w:t>
            </w:r>
            <w:r w:rsidR="00BD4E89">
              <w:rPr>
                <w:rFonts w:eastAsiaTheme="minorEastAsia" w:cstheme="minorBidi"/>
                <w:smallCaps w:val="0"/>
                <w:noProof/>
                <w:sz w:val="22"/>
                <w:szCs w:val="22"/>
                <w:lang w:val="en-US" w:eastAsia="en-US"/>
              </w:rPr>
              <w:tab/>
            </w:r>
            <w:r w:rsidR="00BD4E89" w:rsidRPr="00957E81">
              <w:rPr>
                <w:rStyle w:val="Hyperlink"/>
                <w:noProof/>
              </w:rPr>
              <w:t>Strengths of supported DMHSs</w:t>
            </w:r>
            <w:r w:rsidR="00BD4E89">
              <w:rPr>
                <w:noProof/>
                <w:webHidden/>
              </w:rPr>
              <w:tab/>
            </w:r>
            <w:r w:rsidR="00BD4E89">
              <w:rPr>
                <w:noProof/>
                <w:webHidden/>
              </w:rPr>
              <w:fldChar w:fldCharType="begin"/>
            </w:r>
            <w:r w:rsidR="00BD4E89">
              <w:rPr>
                <w:noProof/>
                <w:webHidden/>
              </w:rPr>
              <w:instrText xml:space="preserve"> PAGEREF _Toc108784875 \h </w:instrText>
            </w:r>
            <w:r w:rsidR="00BD4E89">
              <w:rPr>
                <w:noProof/>
                <w:webHidden/>
              </w:rPr>
            </w:r>
            <w:r w:rsidR="00BD4E89">
              <w:rPr>
                <w:noProof/>
                <w:webHidden/>
              </w:rPr>
              <w:fldChar w:fldCharType="separate"/>
            </w:r>
            <w:r w:rsidR="00896BE0">
              <w:rPr>
                <w:noProof/>
                <w:webHidden/>
              </w:rPr>
              <w:t>104</w:t>
            </w:r>
            <w:r w:rsidR="00BD4E89">
              <w:rPr>
                <w:noProof/>
                <w:webHidden/>
              </w:rPr>
              <w:fldChar w:fldCharType="end"/>
            </w:r>
          </w:hyperlink>
        </w:p>
        <w:p w14:paraId="612AF366" w14:textId="0D403EE7"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76" w:history="1">
            <w:r w:rsidR="00BD4E89" w:rsidRPr="00957E81">
              <w:rPr>
                <w:rStyle w:val="Hyperlink"/>
                <w:noProof/>
              </w:rPr>
              <w:t>7.4.</w:t>
            </w:r>
            <w:r w:rsidR="00BD4E89">
              <w:rPr>
                <w:rFonts w:eastAsiaTheme="minorEastAsia" w:cstheme="minorBidi"/>
                <w:smallCaps w:val="0"/>
                <w:noProof/>
                <w:sz w:val="22"/>
                <w:szCs w:val="22"/>
                <w:lang w:val="en-US" w:eastAsia="en-US"/>
              </w:rPr>
              <w:tab/>
            </w:r>
            <w:r w:rsidR="00BD4E89" w:rsidRPr="00957E81">
              <w:rPr>
                <w:rStyle w:val="Hyperlink"/>
                <w:noProof/>
              </w:rPr>
              <w:t>Barriers to supported DMHSs</w:t>
            </w:r>
            <w:r w:rsidR="00BD4E89">
              <w:rPr>
                <w:noProof/>
                <w:webHidden/>
              </w:rPr>
              <w:tab/>
            </w:r>
            <w:r w:rsidR="00BD4E89">
              <w:rPr>
                <w:noProof/>
                <w:webHidden/>
              </w:rPr>
              <w:fldChar w:fldCharType="begin"/>
            </w:r>
            <w:r w:rsidR="00BD4E89">
              <w:rPr>
                <w:noProof/>
                <w:webHidden/>
              </w:rPr>
              <w:instrText xml:space="preserve"> PAGEREF _Toc108784876 \h </w:instrText>
            </w:r>
            <w:r w:rsidR="00BD4E89">
              <w:rPr>
                <w:noProof/>
                <w:webHidden/>
              </w:rPr>
            </w:r>
            <w:r w:rsidR="00BD4E89">
              <w:rPr>
                <w:noProof/>
                <w:webHidden/>
              </w:rPr>
              <w:fldChar w:fldCharType="separate"/>
            </w:r>
            <w:r w:rsidR="00896BE0">
              <w:rPr>
                <w:noProof/>
                <w:webHidden/>
              </w:rPr>
              <w:t>104</w:t>
            </w:r>
            <w:r w:rsidR="00BD4E89">
              <w:rPr>
                <w:noProof/>
                <w:webHidden/>
              </w:rPr>
              <w:fldChar w:fldCharType="end"/>
            </w:r>
          </w:hyperlink>
        </w:p>
        <w:p w14:paraId="47C86C97" w14:textId="1B381075"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77" w:history="1">
            <w:r w:rsidR="00BD4E89" w:rsidRPr="00957E81">
              <w:rPr>
                <w:rStyle w:val="Hyperlink"/>
                <w:noProof/>
              </w:rPr>
              <w:t>7.5.</w:t>
            </w:r>
            <w:r w:rsidR="00BD4E89">
              <w:rPr>
                <w:rFonts w:eastAsiaTheme="minorEastAsia" w:cstheme="minorBidi"/>
                <w:smallCaps w:val="0"/>
                <w:noProof/>
                <w:sz w:val="22"/>
                <w:szCs w:val="22"/>
                <w:lang w:val="en-US" w:eastAsia="en-US"/>
              </w:rPr>
              <w:tab/>
            </w:r>
            <w:r w:rsidR="00BD4E89" w:rsidRPr="00957E81">
              <w:rPr>
                <w:rStyle w:val="Hyperlink"/>
                <w:noProof/>
              </w:rPr>
              <w:t>Effectiveness of supported DMHSs</w:t>
            </w:r>
            <w:r w:rsidR="00BD4E89">
              <w:rPr>
                <w:noProof/>
                <w:webHidden/>
              </w:rPr>
              <w:tab/>
            </w:r>
            <w:r w:rsidR="00BD4E89">
              <w:rPr>
                <w:noProof/>
                <w:webHidden/>
              </w:rPr>
              <w:fldChar w:fldCharType="begin"/>
            </w:r>
            <w:r w:rsidR="00BD4E89">
              <w:rPr>
                <w:noProof/>
                <w:webHidden/>
              </w:rPr>
              <w:instrText xml:space="preserve"> PAGEREF _Toc108784877 \h </w:instrText>
            </w:r>
            <w:r w:rsidR="00BD4E89">
              <w:rPr>
                <w:noProof/>
                <w:webHidden/>
              </w:rPr>
            </w:r>
            <w:r w:rsidR="00BD4E89">
              <w:rPr>
                <w:noProof/>
                <w:webHidden/>
              </w:rPr>
              <w:fldChar w:fldCharType="separate"/>
            </w:r>
            <w:r w:rsidR="00896BE0">
              <w:rPr>
                <w:noProof/>
                <w:webHidden/>
              </w:rPr>
              <w:t>105</w:t>
            </w:r>
            <w:r w:rsidR="00BD4E89">
              <w:rPr>
                <w:noProof/>
                <w:webHidden/>
              </w:rPr>
              <w:fldChar w:fldCharType="end"/>
            </w:r>
          </w:hyperlink>
        </w:p>
        <w:p w14:paraId="6EFAC334" w14:textId="269618E8"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78" w:history="1">
            <w:r w:rsidR="00BD4E89" w:rsidRPr="00957E81">
              <w:rPr>
                <w:rStyle w:val="Hyperlink"/>
                <w:noProof/>
              </w:rPr>
              <w:t>7.6.</w:t>
            </w:r>
            <w:r w:rsidR="00BD4E89">
              <w:rPr>
                <w:rFonts w:eastAsiaTheme="minorEastAsia" w:cstheme="minorBidi"/>
                <w:smallCaps w:val="0"/>
                <w:noProof/>
                <w:sz w:val="22"/>
                <w:szCs w:val="22"/>
                <w:lang w:val="en-US" w:eastAsia="en-US"/>
              </w:rPr>
              <w:tab/>
            </w:r>
            <w:r w:rsidR="00BD4E89" w:rsidRPr="00957E81">
              <w:rPr>
                <w:rStyle w:val="Hyperlink"/>
                <w:noProof/>
              </w:rPr>
              <w:t>What would an optimal supported DMHS look like?</w:t>
            </w:r>
            <w:r w:rsidR="00BD4E89">
              <w:rPr>
                <w:noProof/>
                <w:webHidden/>
              </w:rPr>
              <w:tab/>
            </w:r>
            <w:r w:rsidR="00BD4E89">
              <w:rPr>
                <w:noProof/>
                <w:webHidden/>
              </w:rPr>
              <w:fldChar w:fldCharType="begin"/>
            </w:r>
            <w:r w:rsidR="00BD4E89">
              <w:rPr>
                <w:noProof/>
                <w:webHidden/>
              </w:rPr>
              <w:instrText xml:space="preserve"> PAGEREF _Toc108784878 \h </w:instrText>
            </w:r>
            <w:r w:rsidR="00BD4E89">
              <w:rPr>
                <w:noProof/>
                <w:webHidden/>
              </w:rPr>
            </w:r>
            <w:r w:rsidR="00BD4E89">
              <w:rPr>
                <w:noProof/>
                <w:webHidden/>
              </w:rPr>
              <w:fldChar w:fldCharType="separate"/>
            </w:r>
            <w:r w:rsidR="00896BE0">
              <w:rPr>
                <w:noProof/>
                <w:webHidden/>
              </w:rPr>
              <w:t>105</w:t>
            </w:r>
            <w:r w:rsidR="00BD4E89">
              <w:rPr>
                <w:noProof/>
                <w:webHidden/>
              </w:rPr>
              <w:fldChar w:fldCharType="end"/>
            </w:r>
          </w:hyperlink>
        </w:p>
        <w:p w14:paraId="251FA6BE" w14:textId="0E01505B"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79" w:history="1">
            <w:r w:rsidR="00BD4E89" w:rsidRPr="00957E81">
              <w:rPr>
                <w:rStyle w:val="Hyperlink"/>
                <w:noProof/>
              </w:rPr>
              <w:t>7.7.</w:t>
            </w:r>
            <w:r w:rsidR="00BD4E89">
              <w:rPr>
                <w:rFonts w:eastAsiaTheme="minorEastAsia" w:cstheme="minorBidi"/>
                <w:smallCaps w:val="0"/>
                <w:noProof/>
                <w:sz w:val="22"/>
                <w:szCs w:val="22"/>
                <w:lang w:val="en-US" w:eastAsia="en-US"/>
              </w:rPr>
              <w:tab/>
            </w:r>
            <w:r w:rsidR="00BD4E89" w:rsidRPr="00957E81">
              <w:rPr>
                <w:rStyle w:val="Hyperlink"/>
                <w:noProof/>
              </w:rPr>
              <w:t>Summary</w:t>
            </w:r>
            <w:r w:rsidR="00BD4E89">
              <w:rPr>
                <w:noProof/>
                <w:webHidden/>
              </w:rPr>
              <w:tab/>
            </w:r>
            <w:r w:rsidR="00BD4E89">
              <w:rPr>
                <w:noProof/>
                <w:webHidden/>
              </w:rPr>
              <w:fldChar w:fldCharType="begin"/>
            </w:r>
            <w:r w:rsidR="00BD4E89">
              <w:rPr>
                <w:noProof/>
                <w:webHidden/>
              </w:rPr>
              <w:instrText xml:space="preserve"> PAGEREF _Toc108784879 \h </w:instrText>
            </w:r>
            <w:r w:rsidR="00BD4E89">
              <w:rPr>
                <w:noProof/>
                <w:webHidden/>
              </w:rPr>
            </w:r>
            <w:r w:rsidR="00BD4E89">
              <w:rPr>
                <w:noProof/>
                <w:webHidden/>
              </w:rPr>
              <w:fldChar w:fldCharType="separate"/>
            </w:r>
            <w:r w:rsidR="00896BE0">
              <w:rPr>
                <w:noProof/>
                <w:webHidden/>
              </w:rPr>
              <w:t>105</w:t>
            </w:r>
            <w:r w:rsidR="00BD4E89">
              <w:rPr>
                <w:noProof/>
                <w:webHidden/>
              </w:rPr>
              <w:fldChar w:fldCharType="end"/>
            </w:r>
          </w:hyperlink>
        </w:p>
        <w:p w14:paraId="4A4C7C72" w14:textId="022FB739" w:rsidR="00BD4E89" w:rsidRDefault="009B3225">
          <w:pPr>
            <w:pStyle w:val="TOC1"/>
            <w:tabs>
              <w:tab w:val="left" w:pos="480"/>
              <w:tab w:val="right" w:leader="dot" w:pos="9016"/>
            </w:tabs>
            <w:rPr>
              <w:rFonts w:eastAsiaTheme="minorEastAsia" w:cstheme="minorBidi"/>
              <w:b w:val="0"/>
              <w:bCs w:val="0"/>
              <w:caps w:val="0"/>
              <w:noProof/>
              <w:sz w:val="22"/>
              <w:szCs w:val="22"/>
              <w:lang w:val="en-US" w:eastAsia="en-US"/>
            </w:rPr>
          </w:pPr>
          <w:hyperlink w:anchor="_Toc108784880" w:history="1">
            <w:r w:rsidR="00BD4E89" w:rsidRPr="00957E81">
              <w:rPr>
                <w:rStyle w:val="Hyperlink"/>
                <w:noProof/>
              </w:rPr>
              <w:t>8.</w:t>
            </w:r>
            <w:r w:rsidR="00BD4E89">
              <w:rPr>
                <w:rFonts w:eastAsiaTheme="minorEastAsia" w:cstheme="minorBidi"/>
                <w:b w:val="0"/>
                <w:bCs w:val="0"/>
                <w:caps w:val="0"/>
                <w:noProof/>
                <w:sz w:val="22"/>
                <w:szCs w:val="22"/>
                <w:lang w:val="en-US" w:eastAsia="en-US"/>
              </w:rPr>
              <w:tab/>
            </w:r>
            <w:r w:rsidR="00BD4E89" w:rsidRPr="00957E81">
              <w:rPr>
                <w:rStyle w:val="Hyperlink"/>
                <w:noProof/>
              </w:rPr>
              <w:t>Stakeholder experiences: Additional health professionals</w:t>
            </w:r>
            <w:r w:rsidR="00BD4E89">
              <w:rPr>
                <w:noProof/>
                <w:webHidden/>
              </w:rPr>
              <w:tab/>
            </w:r>
            <w:r w:rsidR="00BD4E89">
              <w:rPr>
                <w:noProof/>
                <w:webHidden/>
              </w:rPr>
              <w:fldChar w:fldCharType="begin"/>
            </w:r>
            <w:r w:rsidR="00BD4E89">
              <w:rPr>
                <w:noProof/>
                <w:webHidden/>
              </w:rPr>
              <w:instrText xml:space="preserve"> PAGEREF _Toc108784880 \h </w:instrText>
            </w:r>
            <w:r w:rsidR="00BD4E89">
              <w:rPr>
                <w:noProof/>
                <w:webHidden/>
              </w:rPr>
            </w:r>
            <w:r w:rsidR="00BD4E89">
              <w:rPr>
                <w:noProof/>
                <w:webHidden/>
              </w:rPr>
              <w:fldChar w:fldCharType="separate"/>
            </w:r>
            <w:r w:rsidR="00896BE0">
              <w:rPr>
                <w:noProof/>
                <w:webHidden/>
              </w:rPr>
              <w:t>106</w:t>
            </w:r>
            <w:r w:rsidR="00BD4E89">
              <w:rPr>
                <w:noProof/>
                <w:webHidden/>
              </w:rPr>
              <w:fldChar w:fldCharType="end"/>
            </w:r>
          </w:hyperlink>
        </w:p>
        <w:p w14:paraId="734F0ECE" w14:textId="141B0B8B"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81" w:history="1">
            <w:r w:rsidR="00BD4E89" w:rsidRPr="00957E81">
              <w:rPr>
                <w:rStyle w:val="Hyperlink"/>
                <w:noProof/>
              </w:rPr>
              <w:t>8.1.</w:t>
            </w:r>
            <w:r w:rsidR="00BD4E89">
              <w:rPr>
                <w:rFonts w:eastAsiaTheme="minorEastAsia" w:cstheme="minorBidi"/>
                <w:smallCaps w:val="0"/>
                <w:noProof/>
                <w:sz w:val="22"/>
                <w:szCs w:val="22"/>
                <w:lang w:val="en-US" w:eastAsia="en-US"/>
              </w:rPr>
              <w:tab/>
            </w:r>
            <w:r w:rsidR="00BD4E89" w:rsidRPr="00957E81">
              <w:rPr>
                <w:rStyle w:val="Hyperlink"/>
                <w:noProof/>
              </w:rPr>
              <w:t>Our approach</w:t>
            </w:r>
            <w:r w:rsidR="00BD4E89">
              <w:rPr>
                <w:noProof/>
                <w:webHidden/>
              </w:rPr>
              <w:tab/>
            </w:r>
            <w:r w:rsidR="00BD4E89">
              <w:rPr>
                <w:noProof/>
                <w:webHidden/>
              </w:rPr>
              <w:fldChar w:fldCharType="begin"/>
            </w:r>
            <w:r w:rsidR="00BD4E89">
              <w:rPr>
                <w:noProof/>
                <w:webHidden/>
              </w:rPr>
              <w:instrText xml:space="preserve"> PAGEREF _Toc108784881 \h </w:instrText>
            </w:r>
            <w:r w:rsidR="00BD4E89">
              <w:rPr>
                <w:noProof/>
                <w:webHidden/>
              </w:rPr>
            </w:r>
            <w:r w:rsidR="00BD4E89">
              <w:rPr>
                <w:noProof/>
                <w:webHidden/>
              </w:rPr>
              <w:fldChar w:fldCharType="separate"/>
            </w:r>
            <w:r w:rsidR="00896BE0">
              <w:rPr>
                <w:noProof/>
                <w:webHidden/>
              </w:rPr>
              <w:t>106</w:t>
            </w:r>
            <w:r w:rsidR="00BD4E89">
              <w:rPr>
                <w:noProof/>
                <w:webHidden/>
              </w:rPr>
              <w:fldChar w:fldCharType="end"/>
            </w:r>
          </w:hyperlink>
        </w:p>
        <w:p w14:paraId="3AF7FC88" w14:textId="6842F36B"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84" w:history="1">
            <w:r w:rsidR="00BD4E89" w:rsidRPr="00957E81">
              <w:rPr>
                <w:rStyle w:val="Hyperlink"/>
                <w:noProof/>
              </w:rPr>
              <w:t>8.2.</w:t>
            </w:r>
            <w:r w:rsidR="00BD4E89">
              <w:rPr>
                <w:rFonts w:eastAsiaTheme="minorEastAsia" w:cstheme="minorBidi"/>
                <w:smallCaps w:val="0"/>
                <w:noProof/>
                <w:sz w:val="22"/>
                <w:szCs w:val="22"/>
                <w:lang w:val="en-US" w:eastAsia="en-US"/>
              </w:rPr>
              <w:tab/>
            </w:r>
            <w:r w:rsidR="00BD4E89" w:rsidRPr="00957E81">
              <w:rPr>
                <w:rStyle w:val="Hyperlink"/>
                <w:noProof/>
              </w:rPr>
              <w:t>Socio-demographic and professional characteristics, and internet access, of survey respondents</w:t>
            </w:r>
            <w:r w:rsidR="00BD4E89">
              <w:rPr>
                <w:noProof/>
                <w:webHidden/>
              </w:rPr>
              <w:tab/>
            </w:r>
            <w:r w:rsidR="00BD4E89">
              <w:rPr>
                <w:noProof/>
                <w:webHidden/>
              </w:rPr>
              <w:fldChar w:fldCharType="begin"/>
            </w:r>
            <w:r w:rsidR="00BD4E89">
              <w:rPr>
                <w:noProof/>
                <w:webHidden/>
              </w:rPr>
              <w:instrText xml:space="preserve"> PAGEREF _Toc108784884 \h </w:instrText>
            </w:r>
            <w:r w:rsidR="00BD4E89">
              <w:rPr>
                <w:noProof/>
                <w:webHidden/>
              </w:rPr>
            </w:r>
            <w:r w:rsidR="00BD4E89">
              <w:rPr>
                <w:noProof/>
                <w:webHidden/>
              </w:rPr>
              <w:fldChar w:fldCharType="separate"/>
            </w:r>
            <w:r w:rsidR="00896BE0">
              <w:rPr>
                <w:noProof/>
                <w:webHidden/>
              </w:rPr>
              <w:t>106</w:t>
            </w:r>
            <w:r w:rsidR="00BD4E89">
              <w:rPr>
                <w:noProof/>
                <w:webHidden/>
              </w:rPr>
              <w:fldChar w:fldCharType="end"/>
            </w:r>
          </w:hyperlink>
        </w:p>
        <w:p w14:paraId="569FC572" w14:textId="55F8F37A"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85" w:history="1">
            <w:r w:rsidR="00BD4E89" w:rsidRPr="00957E81">
              <w:rPr>
                <w:rStyle w:val="Hyperlink"/>
                <w:noProof/>
              </w:rPr>
              <w:t>8.3.</w:t>
            </w:r>
            <w:r w:rsidR="00BD4E89">
              <w:rPr>
                <w:rFonts w:eastAsiaTheme="minorEastAsia" w:cstheme="minorBidi"/>
                <w:smallCaps w:val="0"/>
                <w:noProof/>
                <w:sz w:val="22"/>
                <w:szCs w:val="22"/>
                <w:lang w:val="en-US" w:eastAsia="en-US"/>
              </w:rPr>
              <w:tab/>
            </w:r>
            <w:r w:rsidR="00BD4E89" w:rsidRPr="00957E81">
              <w:rPr>
                <w:rStyle w:val="Hyperlink"/>
                <w:noProof/>
              </w:rPr>
              <w:t>Views on DMHSs for different consumer groups and improving use of DMHSs</w:t>
            </w:r>
            <w:r w:rsidR="00BD4E89">
              <w:rPr>
                <w:noProof/>
                <w:webHidden/>
              </w:rPr>
              <w:tab/>
            </w:r>
            <w:r w:rsidR="00BD4E89">
              <w:rPr>
                <w:noProof/>
                <w:webHidden/>
              </w:rPr>
              <w:fldChar w:fldCharType="begin"/>
            </w:r>
            <w:r w:rsidR="00BD4E89">
              <w:rPr>
                <w:noProof/>
                <w:webHidden/>
              </w:rPr>
              <w:instrText xml:space="preserve"> PAGEREF _Toc108784885 \h </w:instrText>
            </w:r>
            <w:r w:rsidR="00BD4E89">
              <w:rPr>
                <w:noProof/>
                <w:webHidden/>
              </w:rPr>
            </w:r>
            <w:r w:rsidR="00BD4E89">
              <w:rPr>
                <w:noProof/>
                <w:webHidden/>
              </w:rPr>
              <w:fldChar w:fldCharType="separate"/>
            </w:r>
            <w:r w:rsidR="00896BE0">
              <w:rPr>
                <w:noProof/>
                <w:webHidden/>
              </w:rPr>
              <w:t>108</w:t>
            </w:r>
            <w:r w:rsidR="00BD4E89">
              <w:rPr>
                <w:noProof/>
                <w:webHidden/>
              </w:rPr>
              <w:fldChar w:fldCharType="end"/>
            </w:r>
          </w:hyperlink>
        </w:p>
        <w:p w14:paraId="4A6690A9" w14:textId="2EC78A7F"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86" w:history="1">
            <w:r w:rsidR="00BD4E89" w:rsidRPr="00957E81">
              <w:rPr>
                <w:rStyle w:val="Hyperlink"/>
                <w:noProof/>
              </w:rPr>
              <w:t>8.4.</w:t>
            </w:r>
            <w:r w:rsidR="00BD4E89">
              <w:rPr>
                <w:rFonts w:eastAsiaTheme="minorEastAsia" w:cstheme="minorBidi"/>
                <w:smallCaps w:val="0"/>
                <w:noProof/>
                <w:sz w:val="22"/>
                <w:szCs w:val="22"/>
                <w:lang w:val="en-US" w:eastAsia="en-US"/>
              </w:rPr>
              <w:tab/>
            </w:r>
            <w:r w:rsidR="00BD4E89" w:rsidRPr="00957E81">
              <w:rPr>
                <w:rStyle w:val="Hyperlink"/>
                <w:noProof/>
              </w:rPr>
              <w:t>Experiences and views of professionals delivering DMHSs (n=55)</w:t>
            </w:r>
            <w:r w:rsidR="00BD4E89">
              <w:rPr>
                <w:noProof/>
                <w:webHidden/>
              </w:rPr>
              <w:tab/>
            </w:r>
            <w:r w:rsidR="00BD4E89">
              <w:rPr>
                <w:noProof/>
                <w:webHidden/>
              </w:rPr>
              <w:fldChar w:fldCharType="begin"/>
            </w:r>
            <w:r w:rsidR="00BD4E89">
              <w:rPr>
                <w:noProof/>
                <w:webHidden/>
              </w:rPr>
              <w:instrText xml:space="preserve"> PAGEREF _Toc108784886 \h </w:instrText>
            </w:r>
            <w:r w:rsidR="00BD4E89">
              <w:rPr>
                <w:noProof/>
                <w:webHidden/>
              </w:rPr>
            </w:r>
            <w:r w:rsidR="00BD4E89">
              <w:rPr>
                <w:noProof/>
                <w:webHidden/>
              </w:rPr>
              <w:fldChar w:fldCharType="separate"/>
            </w:r>
            <w:r w:rsidR="00896BE0">
              <w:rPr>
                <w:noProof/>
                <w:webHidden/>
              </w:rPr>
              <w:t>110</w:t>
            </w:r>
            <w:r w:rsidR="00BD4E89">
              <w:rPr>
                <w:noProof/>
                <w:webHidden/>
              </w:rPr>
              <w:fldChar w:fldCharType="end"/>
            </w:r>
          </w:hyperlink>
        </w:p>
        <w:p w14:paraId="5BC892F6" w14:textId="31A0AC2B"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87" w:history="1">
            <w:r w:rsidR="00BD4E89" w:rsidRPr="00957E81">
              <w:rPr>
                <w:rStyle w:val="Hyperlink"/>
                <w:noProof/>
              </w:rPr>
              <w:t>8.5.</w:t>
            </w:r>
            <w:r w:rsidR="00BD4E89">
              <w:rPr>
                <w:rFonts w:eastAsiaTheme="minorEastAsia" w:cstheme="minorBidi"/>
                <w:smallCaps w:val="0"/>
                <w:noProof/>
                <w:sz w:val="22"/>
                <w:szCs w:val="22"/>
                <w:lang w:val="en-US" w:eastAsia="en-US"/>
              </w:rPr>
              <w:tab/>
            </w:r>
            <w:r w:rsidR="00BD4E89" w:rsidRPr="00957E81">
              <w:rPr>
                <w:rStyle w:val="Hyperlink"/>
                <w:noProof/>
              </w:rPr>
              <w:t>Experiences and views of professionals who do not deliver DMHSs (n=38)</w:t>
            </w:r>
            <w:r w:rsidR="00BD4E89">
              <w:rPr>
                <w:noProof/>
                <w:webHidden/>
              </w:rPr>
              <w:tab/>
            </w:r>
            <w:r w:rsidR="00BD4E89">
              <w:rPr>
                <w:noProof/>
                <w:webHidden/>
              </w:rPr>
              <w:fldChar w:fldCharType="begin"/>
            </w:r>
            <w:r w:rsidR="00BD4E89">
              <w:rPr>
                <w:noProof/>
                <w:webHidden/>
              </w:rPr>
              <w:instrText xml:space="preserve"> PAGEREF _Toc108784887 \h </w:instrText>
            </w:r>
            <w:r w:rsidR="00BD4E89">
              <w:rPr>
                <w:noProof/>
                <w:webHidden/>
              </w:rPr>
            </w:r>
            <w:r w:rsidR="00BD4E89">
              <w:rPr>
                <w:noProof/>
                <w:webHidden/>
              </w:rPr>
              <w:fldChar w:fldCharType="separate"/>
            </w:r>
            <w:r w:rsidR="00896BE0">
              <w:rPr>
                <w:noProof/>
                <w:webHidden/>
              </w:rPr>
              <w:t>113</w:t>
            </w:r>
            <w:r w:rsidR="00BD4E89">
              <w:rPr>
                <w:noProof/>
                <w:webHidden/>
              </w:rPr>
              <w:fldChar w:fldCharType="end"/>
            </w:r>
          </w:hyperlink>
        </w:p>
        <w:p w14:paraId="38BAD2F7" w14:textId="359CEB9D"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88" w:history="1">
            <w:r w:rsidR="00BD4E89" w:rsidRPr="00957E81">
              <w:rPr>
                <w:rStyle w:val="Hyperlink"/>
                <w:noProof/>
              </w:rPr>
              <w:t>8.6.</w:t>
            </w:r>
            <w:r w:rsidR="00BD4E89">
              <w:rPr>
                <w:rFonts w:eastAsiaTheme="minorEastAsia" w:cstheme="minorBidi"/>
                <w:smallCaps w:val="0"/>
                <w:noProof/>
                <w:sz w:val="22"/>
                <w:szCs w:val="22"/>
                <w:lang w:val="en-US" w:eastAsia="en-US"/>
              </w:rPr>
              <w:tab/>
            </w:r>
            <w:r w:rsidR="00BD4E89" w:rsidRPr="00957E81">
              <w:rPr>
                <w:rStyle w:val="Hyperlink"/>
                <w:noProof/>
              </w:rPr>
              <w:t>Summary</w:t>
            </w:r>
            <w:r w:rsidR="00BD4E89">
              <w:rPr>
                <w:noProof/>
                <w:webHidden/>
              </w:rPr>
              <w:tab/>
            </w:r>
            <w:r w:rsidR="00BD4E89">
              <w:rPr>
                <w:noProof/>
                <w:webHidden/>
              </w:rPr>
              <w:fldChar w:fldCharType="begin"/>
            </w:r>
            <w:r w:rsidR="00BD4E89">
              <w:rPr>
                <w:noProof/>
                <w:webHidden/>
              </w:rPr>
              <w:instrText xml:space="preserve"> PAGEREF _Toc108784888 \h </w:instrText>
            </w:r>
            <w:r w:rsidR="00BD4E89">
              <w:rPr>
                <w:noProof/>
                <w:webHidden/>
              </w:rPr>
            </w:r>
            <w:r w:rsidR="00BD4E89">
              <w:rPr>
                <w:noProof/>
                <w:webHidden/>
              </w:rPr>
              <w:fldChar w:fldCharType="separate"/>
            </w:r>
            <w:r w:rsidR="00896BE0">
              <w:rPr>
                <w:noProof/>
                <w:webHidden/>
              </w:rPr>
              <w:t>113</w:t>
            </w:r>
            <w:r w:rsidR="00BD4E89">
              <w:rPr>
                <w:noProof/>
                <w:webHidden/>
              </w:rPr>
              <w:fldChar w:fldCharType="end"/>
            </w:r>
          </w:hyperlink>
        </w:p>
        <w:p w14:paraId="723C2146" w14:textId="223C5E5D" w:rsidR="00BD4E89" w:rsidRDefault="009B3225">
          <w:pPr>
            <w:pStyle w:val="TOC1"/>
            <w:tabs>
              <w:tab w:val="left" w:pos="480"/>
              <w:tab w:val="right" w:leader="dot" w:pos="9016"/>
            </w:tabs>
            <w:rPr>
              <w:rFonts w:eastAsiaTheme="minorEastAsia" w:cstheme="minorBidi"/>
              <w:b w:val="0"/>
              <w:bCs w:val="0"/>
              <w:caps w:val="0"/>
              <w:noProof/>
              <w:sz w:val="22"/>
              <w:szCs w:val="22"/>
              <w:lang w:val="en-US" w:eastAsia="en-US"/>
            </w:rPr>
          </w:pPr>
          <w:hyperlink w:anchor="_Toc108784889" w:history="1">
            <w:r w:rsidR="00BD4E89" w:rsidRPr="00957E81">
              <w:rPr>
                <w:rStyle w:val="Hyperlink"/>
                <w:noProof/>
              </w:rPr>
              <w:t>9.</w:t>
            </w:r>
            <w:r w:rsidR="00BD4E89">
              <w:rPr>
                <w:rFonts w:eastAsiaTheme="minorEastAsia" w:cstheme="minorBidi"/>
                <w:b w:val="0"/>
                <w:bCs w:val="0"/>
                <w:caps w:val="0"/>
                <w:noProof/>
                <w:sz w:val="22"/>
                <w:szCs w:val="22"/>
                <w:lang w:val="en-US" w:eastAsia="en-US"/>
              </w:rPr>
              <w:tab/>
            </w:r>
            <w:r w:rsidR="00BD4E89" w:rsidRPr="00957E81">
              <w:rPr>
                <w:rStyle w:val="Hyperlink"/>
                <w:noProof/>
              </w:rPr>
              <w:t>Stakeholder experiences: Other key stakeholders</w:t>
            </w:r>
            <w:r w:rsidR="00BD4E89">
              <w:rPr>
                <w:noProof/>
                <w:webHidden/>
              </w:rPr>
              <w:tab/>
            </w:r>
            <w:r w:rsidR="00BD4E89">
              <w:rPr>
                <w:noProof/>
                <w:webHidden/>
              </w:rPr>
              <w:fldChar w:fldCharType="begin"/>
            </w:r>
            <w:r w:rsidR="00BD4E89">
              <w:rPr>
                <w:noProof/>
                <w:webHidden/>
              </w:rPr>
              <w:instrText xml:space="preserve"> PAGEREF _Toc108784889 \h </w:instrText>
            </w:r>
            <w:r w:rsidR="00BD4E89">
              <w:rPr>
                <w:noProof/>
                <w:webHidden/>
              </w:rPr>
            </w:r>
            <w:r w:rsidR="00BD4E89">
              <w:rPr>
                <w:noProof/>
                <w:webHidden/>
              </w:rPr>
              <w:fldChar w:fldCharType="separate"/>
            </w:r>
            <w:r w:rsidR="00896BE0">
              <w:rPr>
                <w:noProof/>
                <w:webHidden/>
              </w:rPr>
              <w:t>114</w:t>
            </w:r>
            <w:r w:rsidR="00BD4E89">
              <w:rPr>
                <w:noProof/>
                <w:webHidden/>
              </w:rPr>
              <w:fldChar w:fldCharType="end"/>
            </w:r>
          </w:hyperlink>
        </w:p>
        <w:p w14:paraId="07D56894" w14:textId="7DD014DA"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90" w:history="1">
            <w:r w:rsidR="00BD4E89" w:rsidRPr="00957E81">
              <w:rPr>
                <w:rStyle w:val="Hyperlink"/>
                <w:rFonts w:eastAsiaTheme="minorHAnsi"/>
                <w:noProof/>
              </w:rPr>
              <w:t>9.1.</w:t>
            </w:r>
            <w:r w:rsidR="00BD4E89">
              <w:rPr>
                <w:rFonts w:eastAsiaTheme="minorEastAsia" w:cstheme="minorBidi"/>
                <w:smallCaps w:val="0"/>
                <w:noProof/>
                <w:sz w:val="22"/>
                <w:szCs w:val="22"/>
                <w:lang w:val="en-US" w:eastAsia="en-US"/>
              </w:rPr>
              <w:tab/>
            </w:r>
            <w:r w:rsidR="00BD4E89" w:rsidRPr="00957E81">
              <w:rPr>
                <w:rStyle w:val="Hyperlink"/>
                <w:rFonts w:eastAsiaTheme="minorHAnsi"/>
                <w:noProof/>
              </w:rPr>
              <w:t>Our approach</w:t>
            </w:r>
            <w:r w:rsidR="00BD4E89">
              <w:rPr>
                <w:noProof/>
                <w:webHidden/>
              </w:rPr>
              <w:tab/>
            </w:r>
            <w:r w:rsidR="00BD4E89">
              <w:rPr>
                <w:noProof/>
                <w:webHidden/>
              </w:rPr>
              <w:fldChar w:fldCharType="begin"/>
            </w:r>
            <w:r w:rsidR="00BD4E89">
              <w:rPr>
                <w:noProof/>
                <w:webHidden/>
              </w:rPr>
              <w:instrText xml:space="preserve"> PAGEREF _Toc108784890 \h </w:instrText>
            </w:r>
            <w:r w:rsidR="00BD4E89">
              <w:rPr>
                <w:noProof/>
                <w:webHidden/>
              </w:rPr>
            </w:r>
            <w:r w:rsidR="00BD4E89">
              <w:rPr>
                <w:noProof/>
                <w:webHidden/>
              </w:rPr>
              <w:fldChar w:fldCharType="separate"/>
            </w:r>
            <w:r w:rsidR="00896BE0">
              <w:rPr>
                <w:noProof/>
                <w:webHidden/>
              </w:rPr>
              <w:t>114</w:t>
            </w:r>
            <w:r w:rsidR="00BD4E89">
              <w:rPr>
                <w:noProof/>
                <w:webHidden/>
              </w:rPr>
              <w:fldChar w:fldCharType="end"/>
            </w:r>
          </w:hyperlink>
        </w:p>
        <w:p w14:paraId="2119A9D8" w14:textId="14980096"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91" w:history="1">
            <w:r w:rsidR="00BD4E89" w:rsidRPr="00957E81">
              <w:rPr>
                <w:rStyle w:val="Hyperlink"/>
                <w:rFonts w:eastAsiaTheme="minorHAnsi"/>
                <w:noProof/>
              </w:rPr>
              <w:t>9.2.</w:t>
            </w:r>
            <w:r w:rsidR="00BD4E89">
              <w:rPr>
                <w:rFonts w:eastAsiaTheme="minorEastAsia" w:cstheme="minorBidi"/>
                <w:smallCaps w:val="0"/>
                <w:noProof/>
                <w:sz w:val="22"/>
                <w:szCs w:val="22"/>
                <w:lang w:val="en-US" w:eastAsia="en-US"/>
              </w:rPr>
              <w:tab/>
            </w:r>
            <w:r w:rsidR="00BD4E89" w:rsidRPr="00957E81">
              <w:rPr>
                <w:rStyle w:val="Hyperlink"/>
                <w:rFonts w:eastAsiaTheme="minorHAnsi"/>
                <w:noProof/>
              </w:rPr>
              <w:t>Characteristics of key stakeholders</w:t>
            </w:r>
            <w:r w:rsidR="00BD4E89">
              <w:rPr>
                <w:noProof/>
                <w:webHidden/>
              </w:rPr>
              <w:tab/>
            </w:r>
            <w:r w:rsidR="00BD4E89">
              <w:rPr>
                <w:noProof/>
                <w:webHidden/>
              </w:rPr>
              <w:fldChar w:fldCharType="begin"/>
            </w:r>
            <w:r w:rsidR="00BD4E89">
              <w:rPr>
                <w:noProof/>
                <w:webHidden/>
              </w:rPr>
              <w:instrText xml:space="preserve"> PAGEREF _Toc108784891 \h </w:instrText>
            </w:r>
            <w:r w:rsidR="00BD4E89">
              <w:rPr>
                <w:noProof/>
                <w:webHidden/>
              </w:rPr>
            </w:r>
            <w:r w:rsidR="00BD4E89">
              <w:rPr>
                <w:noProof/>
                <w:webHidden/>
              </w:rPr>
              <w:fldChar w:fldCharType="separate"/>
            </w:r>
            <w:r w:rsidR="00896BE0">
              <w:rPr>
                <w:noProof/>
                <w:webHidden/>
              </w:rPr>
              <w:t>114</w:t>
            </w:r>
            <w:r w:rsidR="00BD4E89">
              <w:rPr>
                <w:noProof/>
                <w:webHidden/>
              </w:rPr>
              <w:fldChar w:fldCharType="end"/>
            </w:r>
          </w:hyperlink>
        </w:p>
        <w:p w14:paraId="70958028" w14:textId="13E82A4B"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92" w:history="1">
            <w:r w:rsidR="00BD4E89" w:rsidRPr="00957E81">
              <w:rPr>
                <w:rStyle w:val="Hyperlink"/>
                <w:rFonts w:eastAsiaTheme="minorHAnsi"/>
                <w:noProof/>
              </w:rPr>
              <w:t>9.3.</w:t>
            </w:r>
            <w:r w:rsidR="00BD4E89">
              <w:rPr>
                <w:rFonts w:eastAsiaTheme="minorEastAsia" w:cstheme="minorBidi"/>
                <w:smallCaps w:val="0"/>
                <w:noProof/>
                <w:sz w:val="22"/>
                <w:szCs w:val="22"/>
                <w:lang w:val="en-US" w:eastAsia="en-US"/>
              </w:rPr>
              <w:tab/>
            </w:r>
            <w:r w:rsidR="00BD4E89" w:rsidRPr="00957E81">
              <w:rPr>
                <w:rStyle w:val="Hyperlink"/>
                <w:rFonts w:eastAsiaTheme="minorHAnsi"/>
                <w:noProof/>
              </w:rPr>
              <w:t>Perceived suitability of DMHS</w:t>
            </w:r>
            <w:r w:rsidR="006D165C">
              <w:rPr>
                <w:rStyle w:val="Hyperlink"/>
                <w:rFonts w:eastAsiaTheme="minorHAnsi"/>
                <w:noProof/>
              </w:rPr>
              <w:t>s</w:t>
            </w:r>
            <w:r w:rsidR="00BD4E89" w:rsidRPr="00957E81">
              <w:rPr>
                <w:rStyle w:val="Hyperlink"/>
                <w:rFonts w:eastAsiaTheme="minorHAnsi"/>
                <w:noProof/>
              </w:rPr>
              <w:t xml:space="preserve"> for mental health problems</w:t>
            </w:r>
            <w:r w:rsidR="00BD4E89">
              <w:rPr>
                <w:noProof/>
                <w:webHidden/>
              </w:rPr>
              <w:tab/>
            </w:r>
            <w:r w:rsidR="00BD4E89">
              <w:rPr>
                <w:noProof/>
                <w:webHidden/>
              </w:rPr>
              <w:fldChar w:fldCharType="begin"/>
            </w:r>
            <w:r w:rsidR="00BD4E89">
              <w:rPr>
                <w:noProof/>
                <w:webHidden/>
              </w:rPr>
              <w:instrText xml:space="preserve"> PAGEREF _Toc108784892 \h </w:instrText>
            </w:r>
            <w:r w:rsidR="00BD4E89">
              <w:rPr>
                <w:noProof/>
                <w:webHidden/>
              </w:rPr>
            </w:r>
            <w:r w:rsidR="00BD4E89">
              <w:rPr>
                <w:noProof/>
                <w:webHidden/>
              </w:rPr>
              <w:fldChar w:fldCharType="separate"/>
            </w:r>
            <w:r w:rsidR="00896BE0">
              <w:rPr>
                <w:noProof/>
                <w:webHidden/>
              </w:rPr>
              <w:t>116</w:t>
            </w:r>
            <w:r w:rsidR="00BD4E89">
              <w:rPr>
                <w:noProof/>
                <w:webHidden/>
              </w:rPr>
              <w:fldChar w:fldCharType="end"/>
            </w:r>
          </w:hyperlink>
        </w:p>
        <w:p w14:paraId="326283AE" w14:textId="606C41DE"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93" w:history="1">
            <w:r w:rsidR="00BD4E89" w:rsidRPr="00957E81">
              <w:rPr>
                <w:rStyle w:val="Hyperlink"/>
                <w:rFonts w:eastAsiaTheme="minorHAnsi"/>
                <w:noProof/>
              </w:rPr>
              <w:t>9.4.</w:t>
            </w:r>
            <w:r w:rsidR="00BD4E89">
              <w:rPr>
                <w:rFonts w:eastAsiaTheme="minorEastAsia" w:cstheme="minorBidi"/>
                <w:smallCaps w:val="0"/>
                <w:noProof/>
                <w:sz w:val="22"/>
                <w:szCs w:val="22"/>
                <w:lang w:val="en-US" w:eastAsia="en-US"/>
              </w:rPr>
              <w:tab/>
            </w:r>
            <w:r w:rsidR="00BD4E89" w:rsidRPr="00957E81">
              <w:rPr>
                <w:rStyle w:val="Hyperlink"/>
                <w:rFonts w:eastAsiaTheme="minorHAnsi"/>
                <w:noProof/>
              </w:rPr>
              <w:t>Effects of DMHS</w:t>
            </w:r>
            <w:r w:rsidR="006D165C">
              <w:rPr>
                <w:rStyle w:val="Hyperlink"/>
                <w:rFonts w:eastAsiaTheme="minorHAnsi"/>
                <w:noProof/>
              </w:rPr>
              <w:t>s</w:t>
            </w:r>
            <w:r w:rsidR="00BD4E89" w:rsidRPr="00957E81">
              <w:rPr>
                <w:rStyle w:val="Hyperlink"/>
                <w:rFonts w:eastAsiaTheme="minorHAnsi"/>
                <w:noProof/>
              </w:rPr>
              <w:t xml:space="preserve"> on consumers and carers</w:t>
            </w:r>
            <w:r w:rsidR="00BD4E89">
              <w:rPr>
                <w:noProof/>
                <w:webHidden/>
              </w:rPr>
              <w:tab/>
            </w:r>
            <w:r w:rsidR="00BD4E89">
              <w:rPr>
                <w:noProof/>
                <w:webHidden/>
              </w:rPr>
              <w:fldChar w:fldCharType="begin"/>
            </w:r>
            <w:r w:rsidR="00BD4E89">
              <w:rPr>
                <w:noProof/>
                <w:webHidden/>
              </w:rPr>
              <w:instrText xml:space="preserve"> PAGEREF _Toc108784893 \h </w:instrText>
            </w:r>
            <w:r w:rsidR="00BD4E89">
              <w:rPr>
                <w:noProof/>
                <w:webHidden/>
              </w:rPr>
            </w:r>
            <w:r w:rsidR="00BD4E89">
              <w:rPr>
                <w:noProof/>
                <w:webHidden/>
              </w:rPr>
              <w:fldChar w:fldCharType="separate"/>
            </w:r>
            <w:r w:rsidR="00896BE0">
              <w:rPr>
                <w:noProof/>
                <w:webHidden/>
              </w:rPr>
              <w:t>118</w:t>
            </w:r>
            <w:r w:rsidR="00BD4E89">
              <w:rPr>
                <w:noProof/>
                <w:webHidden/>
              </w:rPr>
              <w:fldChar w:fldCharType="end"/>
            </w:r>
          </w:hyperlink>
        </w:p>
        <w:p w14:paraId="08627B83" w14:textId="7472CF04"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94" w:history="1">
            <w:r w:rsidR="00BD4E89" w:rsidRPr="00957E81">
              <w:rPr>
                <w:rStyle w:val="Hyperlink"/>
                <w:rFonts w:eastAsiaTheme="minorHAnsi"/>
                <w:noProof/>
              </w:rPr>
              <w:t>9.5.</w:t>
            </w:r>
            <w:r w:rsidR="00BD4E89">
              <w:rPr>
                <w:rFonts w:eastAsiaTheme="minorEastAsia" w:cstheme="minorBidi"/>
                <w:smallCaps w:val="0"/>
                <w:noProof/>
                <w:sz w:val="22"/>
                <w:szCs w:val="22"/>
                <w:lang w:val="en-US" w:eastAsia="en-US"/>
              </w:rPr>
              <w:tab/>
            </w:r>
            <w:r w:rsidR="00BD4E89" w:rsidRPr="00957E81">
              <w:rPr>
                <w:rStyle w:val="Hyperlink"/>
                <w:rFonts w:eastAsiaTheme="minorHAnsi"/>
                <w:noProof/>
              </w:rPr>
              <w:t>Integration of DMHSs</w:t>
            </w:r>
            <w:r w:rsidR="00BD4E89">
              <w:rPr>
                <w:noProof/>
                <w:webHidden/>
              </w:rPr>
              <w:tab/>
            </w:r>
            <w:r w:rsidR="00BD4E89">
              <w:rPr>
                <w:noProof/>
                <w:webHidden/>
              </w:rPr>
              <w:fldChar w:fldCharType="begin"/>
            </w:r>
            <w:r w:rsidR="00BD4E89">
              <w:rPr>
                <w:noProof/>
                <w:webHidden/>
              </w:rPr>
              <w:instrText xml:space="preserve"> PAGEREF _Toc108784894 \h </w:instrText>
            </w:r>
            <w:r w:rsidR="00BD4E89">
              <w:rPr>
                <w:noProof/>
                <w:webHidden/>
              </w:rPr>
            </w:r>
            <w:r w:rsidR="00BD4E89">
              <w:rPr>
                <w:noProof/>
                <w:webHidden/>
              </w:rPr>
              <w:fldChar w:fldCharType="separate"/>
            </w:r>
            <w:r w:rsidR="00896BE0">
              <w:rPr>
                <w:noProof/>
                <w:webHidden/>
              </w:rPr>
              <w:t>119</w:t>
            </w:r>
            <w:r w:rsidR="00BD4E89">
              <w:rPr>
                <w:noProof/>
                <w:webHidden/>
              </w:rPr>
              <w:fldChar w:fldCharType="end"/>
            </w:r>
          </w:hyperlink>
        </w:p>
        <w:p w14:paraId="45290723" w14:textId="169031AC"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95" w:history="1">
            <w:r w:rsidR="00BD4E89" w:rsidRPr="00957E81">
              <w:rPr>
                <w:rStyle w:val="Hyperlink"/>
                <w:rFonts w:eastAsiaTheme="minorHAnsi"/>
                <w:noProof/>
              </w:rPr>
              <w:t>9.6.</w:t>
            </w:r>
            <w:r w:rsidR="00BD4E89">
              <w:rPr>
                <w:rFonts w:eastAsiaTheme="minorEastAsia" w:cstheme="minorBidi"/>
                <w:smallCaps w:val="0"/>
                <w:noProof/>
                <w:sz w:val="22"/>
                <w:szCs w:val="22"/>
                <w:lang w:val="en-US" w:eastAsia="en-US"/>
              </w:rPr>
              <w:tab/>
            </w:r>
            <w:r w:rsidR="00BD4E89" w:rsidRPr="00957E81">
              <w:rPr>
                <w:rStyle w:val="Hyperlink"/>
                <w:rFonts w:eastAsiaTheme="minorHAnsi"/>
                <w:noProof/>
              </w:rPr>
              <w:t>Barriers to use of DMHS</w:t>
            </w:r>
            <w:r w:rsidR="006D165C">
              <w:rPr>
                <w:rStyle w:val="Hyperlink"/>
                <w:rFonts w:eastAsiaTheme="minorHAnsi"/>
                <w:noProof/>
              </w:rPr>
              <w:t>s</w:t>
            </w:r>
            <w:r w:rsidR="00BD4E89">
              <w:rPr>
                <w:noProof/>
                <w:webHidden/>
              </w:rPr>
              <w:tab/>
            </w:r>
            <w:r w:rsidR="00BD4E89">
              <w:rPr>
                <w:noProof/>
                <w:webHidden/>
              </w:rPr>
              <w:fldChar w:fldCharType="begin"/>
            </w:r>
            <w:r w:rsidR="00BD4E89">
              <w:rPr>
                <w:noProof/>
                <w:webHidden/>
              </w:rPr>
              <w:instrText xml:space="preserve"> PAGEREF _Toc108784895 \h </w:instrText>
            </w:r>
            <w:r w:rsidR="00BD4E89">
              <w:rPr>
                <w:noProof/>
                <w:webHidden/>
              </w:rPr>
            </w:r>
            <w:r w:rsidR="00BD4E89">
              <w:rPr>
                <w:noProof/>
                <w:webHidden/>
              </w:rPr>
              <w:fldChar w:fldCharType="separate"/>
            </w:r>
            <w:r w:rsidR="00896BE0">
              <w:rPr>
                <w:noProof/>
                <w:webHidden/>
              </w:rPr>
              <w:t>122</w:t>
            </w:r>
            <w:r w:rsidR="00BD4E89">
              <w:rPr>
                <w:noProof/>
                <w:webHidden/>
              </w:rPr>
              <w:fldChar w:fldCharType="end"/>
            </w:r>
          </w:hyperlink>
        </w:p>
        <w:p w14:paraId="5203AC8B" w14:textId="6CB26CED"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96" w:history="1">
            <w:r w:rsidR="00BD4E89" w:rsidRPr="00957E81">
              <w:rPr>
                <w:rStyle w:val="Hyperlink"/>
                <w:rFonts w:eastAsiaTheme="minorHAnsi"/>
                <w:noProof/>
              </w:rPr>
              <w:t>9.7.</w:t>
            </w:r>
            <w:r w:rsidR="00BD4E89">
              <w:rPr>
                <w:rFonts w:eastAsiaTheme="minorEastAsia" w:cstheme="minorBidi"/>
                <w:smallCaps w:val="0"/>
                <w:noProof/>
                <w:sz w:val="22"/>
                <w:szCs w:val="22"/>
                <w:lang w:val="en-US" w:eastAsia="en-US"/>
              </w:rPr>
              <w:tab/>
            </w:r>
            <w:r w:rsidR="00BD4E89" w:rsidRPr="00957E81">
              <w:rPr>
                <w:rStyle w:val="Hyperlink"/>
                <w:rFonts w:eastAsiaTheme="minorHAnsi"/>
                <w:noProof/>
              </w:rPr>
              <w:t>Suggested improvements to DMHSs</w:t>
            </w:r>
            <w:r w:rsidR="00BD4E89">
              <w:rPr>
                <w:noProof/>
                <w:webHidden/>
              </w:rPr>
              <w:tab/>
            </w:r>
            <w:r w:rsidR="00BD4E89">
              <w:rPr>
                <w:noProof/>
                <w:webHidden/>
              </w:rPr>
              <w:fldChar w:fldCharType="begin"/>
            </w:r>
            <w:r w:rsidR="00BD4E89">
              <w:rPr>
                <w:noProof/>
                <w:webHidden/>
              </w:rPr>
              <w:instrText xml:space="preserve"> PAGEREF _Toc108784896 \h </w:instrText>
            </w:r>
            <w:r w:rsidR="00BD4E89">
              <w:rPr>
                <w:noProof/>
                <w:webHidden/>
              </w:rPr>
            </w:r>
            <w:r w:rsidR="00BD4E89">
              <w:rPr>
                <w:noProof/>
                <w:webHidden/>
              </w:rPr>
              <w:fldChar w:fldCharType="separate"/>
            </w:r>
            <w:r w:rsidR="00896BE0">
              <w:rPr>
                <w:noProof/>
                <w:webHidden/>
              </w:rPr>
              <w:t>123</w:t>
            </w:r>
            <w:r w:rsidR="00BD4E89">
              <w:rPr>
                <w:noProof/>
                <w:webHidden/>
              </w:rPr>
              <w:fldChar w:fldCharType="end"/>
            </w:r>
          </w:hyperlink>
        </w:p>
        <w:p w14:paraId="71FF40BC" w14:textId="554B59E8"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97" w:history="1">
            <w:r w:rsidR="00BD4E89" w:rsidRPr="00957E81">
              <w:rPr>
                <w:rStyle w:val="Hyperlink"/>
                <w:rFonts w:eastAsiaTheme="minorHAnsi"/>
                <w:noProof/>
              </w:rPr>
              <w:t>9.8.</w:t>
            </w:r>
            <w:r w:rsidR="00BD4E89">
              <w:rPr>
                <w:rFonts w:eastAsiaTheme="minorEastAsia" w:cstheme="minorBidi"/>
                <w:smallCaps w:val="0"/>
                <w:noProof/>
                <w:sz w:val="22"/>
                <w:szCs w:val="22"/>
                <w:lang w:val="en-US" w:eastAsia="en-US"/>
              </w:rPr>
              <w:tab/>
            </w:r>
            <w:r w:rsidR="00BD4E89" w:rsidRPr="00957E81">
              <w:rPr>
                <w:rStyle w:val="Hyperlink"/>
                <w:rFonts w:eastAsiaTheme="minorHAnsi"/>
                <w:noProof/>
              </w:rPr>
              <w:t>Changes needed to improve use of DMHS</w:t>
            </w:r>
            <w:r w:rsidR="006D165C">
              <w:rPr>
                <w:rStyle w:val="Hyperlink"/>
                <w:rFonts w:eastAsiaTheme="minorHAnsi"/>
                <w:noProof/>
              </w:rPr>
              <w:t>s</w:t>
            </w:r>
            <w:r w:rsidR="00BD4E89">
              <w:rPr>
                <w:noProof/>
                <w:webHidden/>
              </w:rPr>
              <w:tab/>
            </w:r>
            <w:r w:rsidR="00BD4E89">
              <w:rPr>
                <w:noProof/>
                <w:webHidden/>
              </w:rPr>
              <w:fldChar w:fldCharType="begin"/>
            </w:r>
            <w:r w:rsidR="00BD4E89">
              <w:rPr>
                <w:noProof/>
                <w:webHidden/>
              </w:rPr>
              <w:instrText xml:space="preserve"> PAGEREF _Toc108784897 \h </w:instrText>
            </w:r>
            <w:r w:rsidR="00BD4E89">
              <w:rPr>
                <w:noProof/>
                <w:webHidden/>
              </w:rPr>
            </w:r>
            <w:r w:rsidR="00BD4E89">
              <w:rPr>
                <w:noProof/>
                <w:webHidden/>
              </w:rPr>
              <w:fldChar w:fldCharType="separate"/>
            </w:r>
            <w:r w:rsidR="00896BE0">
              <w:rPr>
                <w:noProof/>
                <w:webHidden/>
              </w:rPr>
              <w:t>125</w:t>
            </w:r>
            <w:r w:rsidR="00BD4E89">
              <w:rPr>
                <w:noProof/>
                <w:webHidden/>
              </w:rPr>
              <w:fldChar w:fldCharType="end"/>
            </w:r>
          </w:hyperlink>
        </w:p>
        <w:p w14:paraId="6863703E" w14:textId="1083F1D6"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98" w:history="1">
            <w:r w:rsidR="00BD4E89" w:rsidRPr="00957E81">
              <w:rPr>
                <w:rStyle w:val="Hyperlink"/>
                <w:rFonts w:eastAsiaTheme="minorHAnsi"/>
                <w:noProof/>
              </w:rPr>
              <w:t>9.9.</w:t>
            </w:r>
            <w:r w:rsidR="00BD4E89">
              <w:rPr>
                <w:rFonts w:eastAsiaTheme="minorEastAsia" w:cstheme="minorBidi"/>
                <w:smallCaps w:val="0"/>
                <w:noProof/>
                <w:sz w:val="22"/>
                <w:szCs w:val="22"/>
                <w:lang w:val="en-US" w:eastAsia="en-US"/>
              </w:rPr>
              <w:tab/>
            </w:r>
            <w:r w:rsidR="00BD4E89" w:rsidRPr="00957E81">
              <w:rPr>
                <w:rStyle w:val="Hyperlink"/>
                <w:rFonts w:eastAsiaTheme="minorHAnsi"/>
                <w:noProof/>
              </w:rPr>
              <w:t>Tailoring for specific consumer groups</w:t>
            </w:r>
            <w:r w:rsidR="00BD4E89">
              <w:rPr>
                <w:noProof/>
                <w:webHidden/>
              </w:rPr>
              <w:tab/>
            </w:r>
            <w:r w:rsidR="00BD4E89">
              <w:rPr>
                <w:noProof/>
                <w:webHidden/>
              </w:rPr>
              <w:fldChar w:fldCharType="begin"/>
            </w:r>
            <w:r w:rsidR="00BD4E89">
              <w:rPr>
                <w:noProof/>
                <w:webHidden/>
              </w:rPr>
              <w:instrText xml:space="preserve"> PAGEREF _Toc108784898 \h </w:instrText>
            </w:r>
            <w:r w:rsidR="00BD4E89">
              <w:rPr>
                <w:noProof/>
                <w:webHidden/>
              </w:rPr>
            </w:r>
            <w:r w:rsidR="00BD4E89">
              <w:rPr>
                <w:noProof/>
                <w:webHidden/>
              </w:rPr>
              <w:fldChar w:fldCharType="separate"/>
            </w:r>
            <w:r w:rsidR="00896BE0">
              <w:rPr>
                <w:noProof/>
                <w:webHidden/>
              </w:rPr>
              <w:t>126</w:t>
            </w:r>
            <w:r w:rsidR="00BD4E89">
              <w:rPr>
                <w:noProof/>
                <w:webHidden/>
              </w:rPr>
              <w:fldChar w:fldCharType="end"/>
            </w:r>
          </w:hyperlink>
        </w:p>
        <w:p w14:paraId="49D5F5C8" w14:textId="512A0859"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899" w:history="1">
            <w:r w:rsidR="00BD4E89" w:rsidRPr="00957E81">
              <w:rPr>
                <w:rStyle w:val="Hyperlink"/>
                <w:rFonts w:eastAsiaTheme="minorHAnsi"/>
                <w:noProof/>
              </w:rPr>
              <w:t>9.10.</w:t>
            </w:r>
            <w:r w:rsidR="00BD4E89">
              <w:rPr>
                <w:rFonts w:eastAsiaTheme="minorEastAsia" w:cstheme="minorBidi"/>
                <w:smallCaps w:val="0"/>
                <w:noProof/>
                <w:sz w:val="22"/>
                <w:szCs w:val="22"/>
                <w:lang w:val="en-US" w:eastAsia="en-US"/>
              </w:rPr>
              <w:tab/>
            </w:r>
            <w:r w:rsidR="00BD4E89" w:rsidRPr="00957E81">
              <w:rPr>
                <w:rStyle w:val="Hyperlink"/>
                <w:rFonts w:eastAsiaTheme="minorHAnsi"/>
                <w:noProof/>
              </w:rPr>
              <w:t>Summary</w:t>
            </w:r>
            <w:r w:rsidR="00BD4E89">
              <w:rPr>
                <w:noProof/>
                <w:webHidden/>
              </w:rPr>
              <w:tab/>
            </w:r>
            <w:r w:rsidR="00BD4E89">
              <w:rPr>
                <w:noProof/>
                <w:webHidden/>
              </w:rPr>
              <w:fldChar w:fldCharType="begin"/>
            </w:r>
            <w:r w:rsidR="00BD4E89">
              <w:rPr>
                <w:noProof/>
                <w:webHidden/>
              </w:rPr>
              <w:instrText xml:space="preserve"> PAGEREF _Toc108784899 \h </w:instrText>
            </w:r>
            <w:r w:rsidR="00BD4E89">
              <w:rPr>
                <w:noProof/>
                <w:webHidden/>
              </w:rPr>
            </w:r>
            <w:r w:rsidR="00BD4E89">
              <w:rPr>
                <w:noProof/>
                <w:webHidden/>
              </w:rPr>
              <w:fldChar w:fldCharType="separate"/>
            </w:r>
            <w:r w:rsidR="00896BE0">
              <w:rPr>
                <w:noProof/>
                <w:webHidden/>
              </w:rPr>
              <w:t>127</w:t>
            </w:r>
            <w:r w:rsidR="00BD4E89">
              <w:rPr>
                <w:noProof/>
                <w:webHidden/>
              </w:rPr>
              <w:fldChar w:fldCharType="end"/>
            </w:r>
          </w:hyperlink>
        </w:p>
        <w:p w14:paraId="3042CBC7" w14:textId="1284EBCE" w:rsidR="00BD4E89" w:rsidRDefault="009B3225">
          <w:pPr>
            <w:pStyle w:val="TOC1"/>
            <w:tabs>
              <w:tab w:val="left" w:pos="480"/>
              <w:tab w:val="right" w:leader="dot" w:pos="9016"/>
            </w:tabs>
            <w:rPr>
              <w:rFonts w:eastAsiaTheme="minorEastAsia" w:cstheme="minorBidi"/>
              <w:b w:val="0"/>
              <w:bCs w:val="0"/>
              <w:caps w:val="0"/>
              <w:noProof/>
              <w:sz w:val="22"/>
              <w:szCs w:val="22"/>
              <w:lang w:val="en-US" w:eastAsia="en-US"/>
            </w:rPr>
          </w:pPr>
          <w:hyperlink w:anchor="_Toc108784900" w:history="1">
            <w:r w:rsidR="00BD4E89" w:rsidRPr="00957E81">
              <w:rPr>
                <w:rStyle w:val="Hyperlink"/>
                <w:noProof/>
              </w:rPr>
              <w:t>10.</w:t>
            </w:r>
            <w:r w:rsidR="00BD4E89">
              <w:rPr>
                <w:rFonts w:eastAsiaTheme="minorEastAsia" w:cstheme="minorBidi"/>
                <w:b w:val="0"/>
                <w:bCs w:val="0"/>
                <w:caps w:val="0"/>
                <w:noProof/>
                <w:sz w:val="22"/>
                <w:szCs w:val="22"/>
                <w:lang w:val="en-US" w:eastAsia="en-US"/>
              </w:rPr>
              <w:tab/>
            </w:r>
            <w:r w:rsidR="00BD4E89" w:rsidRPr="00957E81">
              <w:rPr>
                <w:rStyle w:val="Hyperlink"/>
                <w:noProof/>
              </w:rPr>
              <w:t>The cost-effectiveness of DMHS</w:t>
            </w:r>
            <w:r w:rsidR="004B0F01" w:rsidRPr="00957E81">
              <w:rPr>
                <w:rStyle w:val="Hyperlink"/>
                <w:caps w:val="0"/>
                <w:noProof/>
              </w:rPr>
              <w:t>s</w:t>
            </w:r>
            <w:r w:rsidR="00BD4E89">
              <w:rPr>
                <w:noProof/>
                <w:webHidden/>
              </w:rPr>
              <w:tab/>
            </w:r>
            <w:r w:rsidR="00BD4E89">
              <w:rPr>
                <w:noProof/>
                <w:webHidden/>
              </w:rPr>
              <w:fldChar w:fldCharType="begin"/>
            </w:r>
            <w:r w:rsidR="00BD4E89">
              <w:rPr>
                <w:noProof/>
                <w:webHidden/>
              </w:rPr>
              <w:instrText xml:space="preserve"> PAGEREF _Toc108784900 \h </w:instrText>
            </w:r>
            <w:r w:rsidR="00BD4E89">
              <w:rPr>
                <w:noProof/>
                <w:webHidden/>
              </w:rPr>
            </w:r>
            <w:r w:rsidR="00BD4E89">
              <w:rPr>
                <w:noProof/>
                <w:webHidden/>
              </w:rPr>
              <w:fldChar w:fldCharType="separate"/>
            </w:r>
            <w:r w:rsidR="00896BE0">
              <w:rPr>
                <w:noProof/>
                <w:webHidden/>
              </w:rPr>
              <w:t>128</w:t>
            </w:r>
            <w:r w:rsidR="00BD4E89">
              <w:rPr>
                <w:noProof/>
                <w:webHidden/>
              </w:rPr>
              <w:fldChar w:fldCharType="end"/>
            </w:r>
          </w:hyperlink>
        </w:p>
        <w:p w14:paraId="0D906E22" w14:textId="718006B9"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901" w:history="1">
            <w:r w:rsidR="00BD4E89" w:rsidRPr="00957E81">
              <w:rPr>
                <w:rStyle w:val="Hyperlink"/>
                <w:noProof/>
              </w:rPr>
              <w:t>10.1.</w:t>
            </w:r>
            <w:r w:rsidR="00BD4E89">
              <w:rPr>
                <w:rFonts w:eastAsiaTheme="minorEastAsia" w:cstheme="minorBidi"/>
                <w:smallCaps w:val="0"/>
                <w:noProof/>
                <w:sz w:val="22"/>
                <w:szCs w:val="22"/>
                <w:lang w:val="en-US" w:eastAsia="en-US"/>
              </w:rPr>
              <w:tab/>
            </w:r>
            <w:r w:rsidR="00BD4E89" w:rsidRPr="00957E81">
              <w:rPr>
                <w:rStyle w:val="Hyperlink"/>
                <w:noProof/>
              </w:rPr>
              <w:t>Our approach</w:t>
            </w:r>
            <w:r w:rsidR="00BD4E89">
              <w:rPr>
                <w:noProof/>
                <w:webHidden/>
              </w:rPr>
              <w:tab/>
            </w:r>
            <w:r w:rsidR="00BD4E89">
              <w:rPr>
                <w:noProof/>
                <w:webHidden/>
              </w:rPr>
              <w:fldChar w:fldCharType="begin"/>
            </w:r>
            <w:r w:rsidR="00BD4E89">
              <w:rPr>
                <w:noProof/>
                <w:webHidden/>
              </w:rPr>
              <w:instrText xml:space="preserve"> PAGEREF _Toc108784901 \h </w:instrText>
            </w:r>
            <w:r w:rsidR="00BD4E89">
              <w:rPr>
                <w:noProof/>
                <w:webHidden/>
              </w:rPr>
            </w:r>
            <w:r w:rsidR="00BD4E89">
              <w:rPr>
                <w:noProof/>
                <w:webHidden/>
              </w:rPr>
              <w:fldChar w:fldCharType="separate"/>
            </w:r>
            <w:r w:rsidR="00896BE0">
              <w:rPr>
                <w:noProof/>
                <w:webHidden/>
              </w:rPr>
              <w:t>128</w:t>
            </w:r>
            <w:r w:rsidR="00BD4E89">
              <w:rPr>
                <w:noProof/>
                <w:webHidden/>
              </w:rPr>
              <w:fldChar w:fldCharType="end"/>
            </w:r>
          </w:hyperlink>
        </w:p>
        <w:p w14:paraId="78DDC3D9" w14:textId="20FFD0EE"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902" w:history="1">
            <w:r w:rsidR="00BD4E89" w:rsidRPr="00957E81">
              <w:rPr>
                <w:rStyle w:val="Hyperlink"/>
                <w:noProof/>
              </w:rPr>
              <w:t>10.2.</w:t>
            </w:r>
            <w:r w:rsidR="00BD4E89">
              <w:rPr>
                <w:rFonts w:eastAsiaTheme="minorEastAsia" w:cstheme="minorBidi"/>
                <w:smallCaps w:val="0"/>
                <w:noProof/>
                <w:sz w:val="22"/>
                <w:szCs w:val="22"/>
                <w:lang w:val="en-US" w:eastAsia="en-US"/>
              </w:rPr>
              <w:tab/>
            </w:r>
            <w:r w:rsidR="00BD4E89" w:rsidRPr="00957E81">
              <w:rPr>
                <w:rStyle w:val="Hyperlink"/>
                <w:noProof/>
              </w:rPr>
              <w:t>Costs of DMHSs</w:t>
            </w:r>
            <w:r w:rsidR="00BD4E89">
              <w:rPr>
                <w:noProof/>
                <w:webHidden/>
              </w:rPr>
              <w:tab/>
            </w:r>
            <w:r w:rsidR="00BD4E89">
              <w:rPr>
                <w:noProof/>
                <w:webHidden/>
              </w:rPr>
              <w:fldChar w:fldCharType="begin"/>
            </w:r>
            <w:r w:rsidR="00BD4E89">
              <w:rPr>
                <w:noProof/>
                <w:webHidden/>
              </w:rPr>
              <w:instrText xml:space="preserve"> PAGEREF _Toc108784902 \h </w:instrText>
            </w:r>
            <w:r w:rsidR="00BD4E89">
              <w:rPr>
                <w:noProof/>
                <w:webHidden/>
              </w:rPr>
            </w:r>
            <w:r w:rsidR="00BD4E89">
              <w:rPr>
                <w:noProof/>
                <w:webHidden/>
              </w:rPr>
              <w:fldChar w:fldCharType="separate"/>
            </w:r>
            <w:r w:rsidR="00896BE0">
              <w:rPr>
                <w:noProof/>
                <w:webHidden/>
              </w:rPr>
              <w:t>128</w:t>
            </w:r>
            <w:r w:rsidR="00BD4E89">
              <w:rPr>
                <w:noProof/>
                <w:webHidden/>
              </w:rPr>
              <w:fldChar w:fldCharType="end"/>
            </w:r>
          </w:hyperlink>
        </w:p>
        <w:p w14:paraId="6EAF5031" w14:textId="217BE506"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903" w:history="1">
            <w:r w:rsidR="00BD4E89" w:rsidRPr="00957E81">
              <w:rPr>
                <w:rStyle w:val="Hyperlink"/>
                <w:noProof/>
              </w:rPr>
              <w:t>10.3.</w:t>
            </w:r>
            <w:r w:rsidR="00BD4E89">
              <w:rPr>
                <w:rFonts w:eastAsiaTheme="minorEastAsia" w:cstheme="minorBidi"/>
                <w:smallCaps w:val="0"/>
                <w:noProof/>
                <w:sz w:val="22"/>
                <w:szCs w:val="22"/>
                <w:lang w:val="en-US" w:eastAsia="en-US"/>
              </w:rPr>
              <w:tab/>
            </w:r>
            <w:r w:rsidR="00BD4E89" w:rsidRPr="00957E81">
              <w:rPr>
                <w:rStyle w:val="Hyperlink"/>
                <w:noProof/>
              </w:rPr>
              <w:t>Health care cost savings and productivity impacts</w:t>
            </w:r>
            <w:r w:rsidR="00BD4E89">
              <w:rPr>
                <w:noProof/>
                <w:webHidden/>
              </w:rPr>
              <w:tab/>
            </w:r>
            <w:r w:rsidR="00BD4E89">
              <w:rPr>
                <w:noProof/>
                <w:webHidden/>
              </w:rPr>
              <w:fldChar w:fldCharType="begin"/>
            </w:r>
            <w:r w:rsidR="00BD4E89">
              <w:rPr>
                <w:noProof/>
                <w:webHidden/>
              </w:rPr>
              <w:instrText xml:space="preserve"> PAGEREF _Toc108784903 \h </w:instrText>
            </w:r>
            <w:r w:rsidR="00BD4E89">
              <w:rPr>
                <w:noProof/>
                <w:webHidden/>
              </w:rPr>
            </w:r>
            <w:r w:rsidR="00BD4E89">
              <w:rPr>
                <w:noProof/>
                <w:webHidden/>
              </w:rPr>
              <w:fldChar w:fldCharType="separate"/>
            </w:r>
            <w:r w:rsidR="00896BE0">
              <w:rPr>
                <w:noProof/>
                <w:webHidden/>
              </w:rPr>
              <w:t>131</w:t>
            </w:r>
            <w:r w:rsidR="00BD4E89">
              <w:rPr>
                <w:noProof/>
                <w:webHidden/>
              </w:rPr>
              <w:fldChar w:fldCharType="end"/>
            </w:r>
          </w:hyperlink>
        </w:p>
        <w:p w14:paraId="56A46B73" w14:textId="11553E82"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904" w:history="1">
            <w:r w:rsidR="00BD4E89" w:rsidRPr="00957E81">
              <w:rPr>
                <w:rStyle w:val="Hyperlink"/>
                <w:noProof/>
              </w:rPr>
              <w:t>10.4.</w:t>
            </w:r>
            <w:r w:rsidR="00BD4E89">
              <w:rPr>
                <w:rFonts w:eastAsiaTheme="minorEastAsia" w:cstheme="minorBidi"/>
                <w:smallCaps w:val="0"/>
                <w:noProof/>
                <w:sz w:val="22"/>
                <w:szCs w:val="22"/>
                <w:lang w:val="en-US" w:eastAsia="en-US"/>
              </w:rPr>
              <w:tab/>
            </w:r>
            <w:r w:rsidR="00BD4E89" w:rsidRPr="00957E81">
              <w:rPr>
                <w:rStyle w:val="Hyperlink"/>
                <w:noProof/>
              </w:rPr>
              <w:t>Cost-effectiveness modelling</w:t>
            </w:r>
            <w:r w:rsidR="00BD4E89">
              <w:rPr>
                <w:noProof/>
                <w:webHidden/>
              </w:rPr>
              <w:tab/>
            </w:r>
            <w:r w:rsidR="00BD4E89">
              <w:rPr>
                <w:noProof/>
                <w:webHidden/>
              </w:rPr>
              <w:fldChar w:fldCharType="begin"/>
            </w:r>
            <w:r w:rsidR="00BD4E89">
              <w:rPr>
                <w:noProof/>
                <w:webHidden/>
              </w:rPr>
              <w:instrText xml:space="preserve"> PAGEREF _Toc108784904 \h </w:instrText>
            </w:r>
            <w:r w:rsidR="00BD4E89">
              <w:rPr>
                <w:noProof/>
                <w:webHidden/>
              </w:rPr>
            </w:r>
            <w:r w:rsidR="00BD4E89">
              <w:rPr>
                <w:noProof/>
                <w:webHidden/>
              </w:rPr>
              <w:fldChar w:fldCharType="separate"/>
            </w:r>
            <w:r w:rsidR="00896BE0">
              <w:rPr>
                <w:noProof/>
                <w:webHidden/>
              </w:rPr>
              <w:t>134</w:t>
            </w:r>
            <w:r w:rsidR="00BD4E89">
              <w:rPr>
                <w:noProof/>
                <w:webHidden/>
              </w:rPr>
              <w:fldChar w:fldCharType="end"/>
            </w:r>
          </w:hyperlink>
        </w:p>
        <w:p w14:paraId="7CBAFA28" w14:textId="0A4EC455"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905" w:history="1">
            <w:r w:rsidR="00BD4E89" w:rsidRPr="00957E81">
              <w:rPr>
                <w:rStyle w:val="Hyperlink"/>
                <w:noProof/>
                <w:lang w:eastAsia="zh-CN"/>
              </w:rPr>
              <w:t>10.5.</w:t>
            </w:r>
            <w:r w:rsidR="00BD4E89">
              <w:rPr>
                <w:rFonts w:eastAsiaTheme="minorEastAsia" w:cstheme="minorBidi"/>
                <w:smallCaps w:val="0"/>
                <w:noProof/>
                <w:sz w:val="22"/>
                <w:szCs w:val="22"/>
                <w:lang w:val="en-US" w:eastAsia="en-US"/>
              </w:rPr>
              <w:tab/>
            </w:r>
            <w:r w:rsidR="00BD4E89" w:rsidRPr="00957E81">
              <w:rPr>
                <w:rStyle w:val="Hyperlink"/>
                <w:noProof/>
                <w:lang w:eastAsia="zh-CN"/>
              </w:rPr>
              <w:t>Summary</w:t>
            </w:r>
            <w:r w:rsidR="00BD4E89">
              <w:rPr>
                <w:noProof/>
                <w:webHidden/>
              </w:rPr>
              <w:tab/>
            </w:r>
            <w:r w:rsidR="00BD4E89">
              <w:rPr>
                <w:noProof/>
                <w:webHidden/>
              </w:rPr>
              <w:fldChar w:fldCharType="begin"/>
            </w:r>
            <w:r w:rsidR="00BD4E89">
              <w:rPr>
                <w:noProof/>
                <w:webHidden/>
              </w:rPr>
              <w:instrText xml:space="preserve"> PAGEREF _Toc108784905 \h </w:instrText>
            </w:r>
            <w:r w:rsidR="00BD4E89">
              <w:rPr>
                <w:noProof/>
                <w:webHidden/>
              </w:rPr>
            </w:r>
            <w:r w:rsidR="00BD4E89">
              <w:rPr>
                <w:noProof/>
                <w:webHidden/>
              </w:rPr>
              <w:fldChar w:fldCharType="separate"/>
            </w:r>
            <w:r w:rsidR="00896BE0">
              <w:rPr>
                <w:noProof/>
                <w:webHidden/>
              </w:rPr>
              <w:t>143</w:t>
            </w:r>
            <w:r w:rsidR="00BD4E89">
              <w:rPr>
                <w:noProof/>
                <w:webHidden/>
              </w:rPr>
              <w:fldChar w:fldCharType="end"/>
            </w:r>
          </w:hyperlink>
        </w:p>
        <w:p w14:paraId="2C1BD980" w14:textId="34EE63F2" w:rsidR="00BD4E89" w:rsidRDefault="009B3225">
          <w:pPr>
            <w:pStyle w:val="TOC1"/>
            <w:tabs>
              <w:tab w:val="left" w:pos="480"/>
              <w:tab w:val="right" w:leader="dot" w:pos="9016"/>
            </w:tabs>
            <w:rPr>
              <w:rFonts w:eastAsiaTheme="minorEastAsia" w:cstheme="minorBidi"/>
              <w:b w:val="0"/>
              <w:bCs w:val="0"/>
              <w:caps w:val="0"/>
              <w:noProof/>
              <w:sz w:val="22"/>
              <w:szCs w:val="22"/>
              <w:lang w:val="en-US" w:eastAsia="en-US"/>
            </w:rPr>
          </w:pPr>
          <w:hyperlink w:anchor="_Toc108784906" w:history="1">
            <w:r w:rsidR="00BD4E89" w:rsidRPr="00957E81">
              <w:rPr>
                <w:rStyle w:val="Hyperlink"/>
                <w:noProof/>
              </w:rPr>
              <w:t>11.</w:t>
            </w:r>
            <w:r w:rsidR="00BD4E89">
              <w:rPr>
                <w:rFonts w:eastAsiaTheme="minorEastAsia" w:cstheme="minorBidi"/>
                <w:b w:val="0"/>
                <w:bCs w:val="0"/>
                <w:caps w:val="0"/>
                <w:noProof/>
                <w:sz w:val="22"/>
                <w:szCs w:val="22"/>
                <w:lang w:val="en-US" w:eastAsia="en-US"/>
              </w:rPr>
              <w:tab/>
            </w:r>
            <w:r w:rsidR="00BD4E89" w:rsidRPr="00957E81">
              <w:rPr>
                <w:rStyle w:val="Hyperlink"/>
                <w:noProof/>
              </w:rPr>
              <w:t>Discussion</w:t>
            </w:r>
            <w:r w:rsidR="00BD4E89">
              <w:rPr>
                <w:noProof/>
                <w:webHidden/>
              </w:rPr>
              <w:tab/>
            </w:r>
            <w:r w:rsidR="00BD4E89">
              <w:rPr>
                <w:noProof/>
                <w:webHidden/>
              </w:rPr>
              <w:fldChar w:fldCharType="begin"/>
            </w:r>
            <w:r w:rsidR="00BD4E89">
              <w:rPr>
                <w:noProof/>
                <w:webHidden/>
              </w:rPr>
              <w:instrText xml:space="preserve"> PAGEREF _Toc108784906 \h </w:instrText>
            </w:r>
            <w:r w:rsidR="00BD4E89">
              <w:rPr>
                <w:noProof/>
                <w:webHidden/>
              </w:rPr>
            </w:r>
            <w:r w:rsidR="00BD4E89">
              <w:rPr>
                <w:noProof/>
                <w:webHidden/>
              </w:rPr>
              <w:fldChar w:fldCharType="separate"/>
            </w:r>
            <w:r w:rsidR="00896BE0">
              <w:rPr>
                <w:noProof/>
                <w:webHidden/>
              </w:rPr>
              <w:t>144</w:t>
            </w:r>
            <w:r w:rsidR="00BD4E89">
              <w:rPr>
                <w:noProof/>
                <w:webHidden/>
              </w:rPr>
              <w:fldChar w:fldCharType="end"/>
            </w:r>
          </w:hyperlink>
        </w:p>
        <w:p w14:paraId="4373DED6" w14:textId="31A620E2" w:rsidR="00BD4E89" w:rsidRDefault="009B3225" w:rsidP="00EE5A2F">
          <w:pPr>
            <w:pStyle w:val="TOC2"/>
            <w:tabs>
              <w:tab w:val="left" w:pos="960"/>
              <w:tab w:val="right" w:leader="dot" w:pos="9016"/>
            </w:tabs>
            <w:ind w:left="993" w:hanging="753"/>
            <w:rPr>
              <w:rFonts w:eastAsiaTheme="minorEastAsia" w:cstheme="minorBidi"/>
              <w:smallCaps w:val="0"/>
              <w:noProof/>
              <w:sz w:val="22"/>
              <w:szCs w:val="22"/>
              <w:lang w:val="en-US" w:eastAsia="en-US"/>
            </w:rPr>
          </w:pPr>
          <w:hyperlink w:anchor="_Toc108784907" w:history="1">
            <w:r w:rsidR="00BD4E89" w:rsidRPr="00957E81">
              <w:rPr>
                <w:rStyle w:val="Hyperlink"/>
                <w:noProof/>
              </w:rPr>
              <w:t>11.1.</w:t>
            </w:r>
            <w:r w:rsidR="00BD4E89">
              <w:rPr>
                <w:rFonts w:eastAsiaTheme="minorEastAsia" w:cstheme="minorBidi"/>
                <w:smallCaps w:val="0"/>
                <w:noProof/>
                <w:sz w:val="22"/>
                <w:szCs w:val="22"/>
                <w:lang w:val="en-US" w:eastAsia="en-US"/>
              </w:rPr>
              <w:tab/>
            </w:r>
            <w:r w:rsidR="00BD4E89" w:rsidRPr="00957E81">
              <w:rPr>
                <w:rStyle w:val="Hyperlink"/>
                <w:rFonts w:cstheme="minorHAnsi"/>
                <w:noProof/>
              </w:rPr>
              <w:t>KEQ 1: How effective has the implementation of online mental health treatment services been to date, and what can we learn from it?</w:t>
            </w:r>
            <w:r w:rsidR="00BD4E89">
              <w:rPr>
                <w:noProof/>
                <w:webHidden/>
              </w:rPr>
              <w:tab/>
            </w:r>
            <w:r w:rsidR="00BD4E89">
              <w:rPr>
                <w:noProof/>
                <w:webHidden/>
              </w:rPr>
              <w:fldChar w:fldCharType="begin"/>
            </w:r>
            <w:r w:rsidR="00BD4E89">
              <w:rPr>
                <w:noProof/>
                <w:webHidden/>
              </w:rPr>
              <w:instrText xml:space="preserve"> PAGEREF _Toc108784907 \h </w:instrText>
            </w:r>
            <w:r w:rsidR="00BD4E89">
              <w:rPr>
                <w:noProof/>
                <w:webHidden/>
              </w:rPr>
            </w:r>
            <w:r w:rsidR="00BD4E89">
              <w:rPr>
                <w:noProof/>
                <w:webHidden/>
              </w:rPr>
              <w:fldChar w:fldCharType="separate"/>
            </w:r>
            <w:r w:rsidR="00896BE0">
              <w:rPr>
                <w:noProof/>
                <w:webHidden/>
              </w:rPr>
              <w:t>144</w:t>
            </w:r>
            <w:r w:rsidR="00BD4E89">
              <w:rPr>
                <w:noProof/>
                <w:webHidden/>
              </w:rPr>
              <w:fldChar w:fldCharType="end"/>
            </w:r>
          </w:hyperlink>
        </w:p>
        <w:p w14:paraId="4F38A1B1" w14:textId="66FE9CC9" w:rsidR="00BD4E89" w:rsidRDefault="009B3225" w:rsidP="00EE5A2F">
          <w:pPr>
            <w:pStyle w:val="TOC2"/>
            <w:tabs>
              <w:tab w:val="left" w:pos="960"/>
              <w:tab w:val="right" w:leader="dot" w:pos="9016"/>
            </w:tabs>
            <w:ind w:left="993" w:hanging="753"/>
            <w:rPr>
              <w:rFonts w:eastAsiaTheme="minorEastAsia" w:cstheme="minorBidi"/>
              <w:smallCaps w:val="0"/>
              <w:noProof/>
              <w:sz w:val="22"/>
              <w:szCs w:val="22"/>
              <w:lang w:val="en-US" w:eastAsia="en-US"/>
            </w:rPr>
          </w:pPr>
          <w:hyperlink w:anchor="_Toc108784908" w:history="1">
            <w:r w:rsidR="00BD4E89" w:rsidRPr="00957E81">
              <w:rPr>
                <w:rStyle w:val="Hyperlink"/>
                <w:rFonts w:cstheme="minorHAnsi"/>
                <w:noProof/>
              </w:rPr>
              <w:t>11.2.</w:t>
            </w:r>
            <w:r w:rsidR="00BD4E89">
              <w:rPr>
                <w:rFonts w:eastAsiaTheme="minorEastAsia" w:cstheme="minorBidi"/>
                <w:smallCaps w:val="0"/>
                <w:noProof/>
                <w:sz w:val="22"/>
                <w:szCs w:val="22"/>
                <w:lang w:val="en-US" w:eastAsia="en-US"/>
              </w:rPr>
              <w:tab/>
            </w:r>
            <w:r w:rsidR="00BD4E89" w:rsidRPr="00957E81">
              <w:rPr>
                <w:rStyle w:val="Hyperlink"/>
                <w:rFonts w:cstheme="minorHAnsi"/>
                <w:noProof/>
              </w:rPr>
              <w:t>KEQ 2: What difference are existing supported online mental health treatment services making compared with usual care (e.g., face-to-face or other treatment service types)?</w:t>
            </w:r>
            <w:r w:rsidR="00BD4E89">
              <w:rPr>
                <w:noProof/>
                <w:webHidden/>
              </w:rPr>
              <w:tab/>
            </w:r>
            <w:r w:rsidR="00BD4E89">
              <w:rPr>
                <w:noProof/>
                <w:webHidden/>
              </w:rPr>
              <w:fldChar w:fldCharType="begin"/>
            </w:r>
            <w:r w:rsidR="00BD4E89">
              <w:rPr>
                <w:noProof/>
                <w:webHidden/>
              </w:rPr>
              <w:instrText xml:space="preserve"> PAGEREF _Toc108784908 \h </w:instrText>
            </w:r>
            <w:r w:rsidR="00BD4E89">
              <w:rPr>
                <w:noProof/>
                <w:webHidden/>
              </w:rPr>
            </w:r>
            <w:r w:rsidR="00BD4E89">
              <w:rPr>
                <w:noProof/>
                <w:webHidden/>
              </w:rPr>
              <w:fldChar w:fldCharType="separate"/>
            </w:r>
            <w:r w:rsidR="00896BE0">
              <w:rPr>
                <w:noProof/>
                <w:webHidden/>
              </w:rPr>
              <w:t>146</w:t>
            </w:r>
            <w:r w:rsidR="00BD4E89">
              <w:rPr>
                <w:noProof/>
                <w:webHidden/>
              </w:rPr>
              <w:fldChar w:fldCharType="end"/>
            </w:r>
          </w:hyperlink>
        </w:p>
        <w:p w14:paraId="4A9FD6FF" w14:textId="1B5FBC07" w:rsidR="00BD4E89" w:rsidRDefault="009B3225" w:rsidP="00EE5A2F">
          <w:pPr>
            <w:pStyle w:val="TOC2"/>
            <w:tabs>
              <w:tab w:val="left" w:pos="960"/>
              <w:tab w:val="right" w:leader="dot" w:pos="9016"/>
            </w:tabs>
            <w:ind w:left="993" w:hanging="753"/>
            <w:rPr>
              <w:rFonts w:eastAsiaTheme="minorEastAsia" w:cstheme="minorBidi"/>
              <w:smallCaps w:val="0"/>
              <w:noProof/>
              <w:sz w:val="22"/>
              <w:szCs w:val="22"/>
              <w:lang w:val="en-US" w:eastAsia="en-US"/>
            </w:rPr>
          </w:pPr>
          <w:hyperlink w:anchor="_Toc108784909" w:history="1">
            <w:r w:rsidR="00BD4E89" w:rsidRPr="00957E81">
              <w:rPr>
                <w:rStyle w:val="Hyperlink"/>
                <w:rFonts w:cstheme="minorHAnsi"/>
                <w:noProof/>
              </w:rPr>
              <w:t>11.3.</w:t>
            </w:r>
            <w:r w:rsidR="00BD4E89">
              <w:rPr>
                <w:rFonts w:eastAsiaTheme="minorEastAsia" w:cstheme="minorBidi"/>
                <w:smallCaps w:val="0"/>
                <w:noProof/>
                <w:sz w:val="22"/>
                <w:szCs w:val="22"/>
                <w:lang w:val="en-US" w:eastAsia="en-US"/>
              </w:rPr>
              <w:tab/>
            </w:r>
            <w:r w:rsidR="00BD4E89" w:rsidRPr="00957E81">
              <w:rPr>
                <w:rStyle w:val="Hyperlink"/>
                <w:rFonts w:cstheme="minorHAnsi"/>
                <w:noProof/>
              </w:rPr>
              <w:t>KEQ 3: How cost effective are Australian Government funded supported online mental health treatment services compared with usual care?</w:t>
            </w:r>
            <w:r w:rsidR="00BD4E89">
              <w:rPr>
                <w:noProof/>
                <w:webHidden/>
              </w:rPr>
              <w:tab/>
            </w:r>
            <w:r w:rsidR="00BD4E89">
              <w:rPr>
                <w:noProof/>
                <w:webHidden/>
              </w:rPr>
              <w:fldChar w:fldCharType="begin"/>
            </w:r>
            <w:r w:rsidR="00BD4E89">
              <w:rPr>
                <w:noProof/>
                <w:webHidden/>
              </w:rPr>
              <w:instrText xml:space="preserve"> PAGEREF _Toc108784909 \h </w:instrText>
            </w:r>
            <w:r w:rsidR="00BD4E89">
              <w:rPr>
                <w:noProof/>
                <w:webHidden/>
              </w:rPr>
            </w:r>
            <w:r w:rsidR="00BD4E89">
              <w:rPr>
                <w:noProof/>
                <w:webHidden/>
              </w:rPr>
              <w:fldChar w:fldCharType="separate"/>
            </w:r>
            <w:r w:rsidR="00896BE0">
              <w:rPr>
                <w:noProof/>
                <w:webHidden/>
              </w:rPr>
              <w:t>148</w:t>
            </w:r>
            <w:r w:rsidR="00BD4E89">
              <w:rPr>
                <w:noProof/>
                <w:webHidden/>
              </w:rPr>
              <w:fldChar w:fldCharType="end"/>
            </w:r>
          </w:hyperlink>
        </w:p>
        <w:p w14:paraId="7107CA5A" w14:textId="6C882AB2" w:rsidR="00BD4E89" w:rsidRDefault="009B3225" w:rsidP="00EE5A2F">
          <w:pPr>
            <w:pStyle w:val="TOC2"/>
            <w:tabs>
              <w:tab w:val="left" w:pos="960"/>
              <w:tab w:val="right" w:leader="dot" w:pos="9016"/>
            </w:tabs>
            <w:ind w:left="993" w:hanging="753"/>
            <w:rPr>
              <w:rFonts w:eastAsiaTheme="minorEastAsia" w:cstheme="minorBidi"/>
              <w:smallCaps w:val="0"/>
              <w:noProof/>
              <w:sz w:val="22"/>
              <w:szCs w:val="22"/>
              <w:lang w:val="en-US" w:eastAsia="en-US"/>
            </w:rPr>
          </w:pPr>
          <w:hyperlink w:anchor="_Toc108784910" w:history="1">
            <w:r w:rsidR="00BD4E89" w:rsidRPr="00957E81">
              <w:rPr>
                <w:rStyle w:val="Hyperlink"/>
                <w:rFonts w:cstheme="minorHAnsi"/>
                <w:noProof/>
              </w:rPr>
              <w:t>11.4.</w:t>
            </w:r>
            <w:r w:rsidR="00BD4E89">
              <w:rPr>
                <w:rFonts w:eastAsiaTheme="minorEastAsia" w:cstheme="minorBidi"/>
                <w:smallCaps w:val="0"/>
                <w:noProof/>
                <w:sz w:val="22"/>
                <w:szCs w:val="22"/>
                <w:lang w:val="en-US" w:eastAsia="en-US"/>
              </w:rPr>
              <w:tab/>
            </w:r>
            <w:r w:rsidR="00BD4E89" w:rsidRPr="00957E81">
              <w:rPr>
                <w:rStyle w:val="Hyperlink"/>
                <w:rFonts w:cstheme="minorHAnsi"/>
                <w:noProof/>
              </w:rPr>
              <w:t>KEQ 4: How effective are supported online mental health treatment services for consumers and health providers?</w:t>
            </w:r>
            <w:r w:rsidR="00BD4E89">
              <w:rPr>
                <w:noProof/>
                <w:webHidden/>
              </w:rPr>
              <w:tab/>
            </w:r>
            <w:r w:rsidR="00BD4E89">
              <w:rPr>
                <w:noProof/>
                <w:webHidden/>
              </w:rPr>
              <w:fldChar w:fldCharType="begin"/>
            </w:r>
            <w:r w:rsidR="00BD4E89">
              <w:rPr>
                <w:noProof/>
                <w:webHidden/>
              </w:rPr>
              <w:instrText xml:space="preserve"> PAGEREF _Toc108784910 \h </w:instrText>
            </w:r>
            <w:r w:rsidR="00BD4E89">
              <w:rPr>
                <w:noProof/>
                <w:webHidden/>
              </w:rPr>
            </w:r>
            <w:r w:rsidR="00BD4E89">
              <w:rPr>
                <w:noProof/>
                <w:webHidden/>
              </w:rPr>
              <w:fldChar w:fldCharType="separate"/>
            </w:r>
            <w:r w:rsidR="00896BE0">
              <w:rPr>
                <w:noProof/>
                <w:webHidden/>
              </w:rPr>
              <w:t>149</w:t>
            </w:r>
            <w:r w:rsidR="00BD4E89">
              <w:rPr>
                <w:noProof/>
                <w:webHidden/>
              </w:rPr>
              <w:fldChar w:fldCharType="end"/>
            </w:r>
          </w:hyperlink>
        </w:p>
        <w:p w14:paraId="52EAD71B" w14:textId="7091A664" w:rsidR="00BD4E89" w:rsidRDefault="009B3225" w:rsidP="00EE5A2F">
          <w:pPr>
            <w:pStyle w:val="TOC2"/>
            <w:tabs>
              <w:tab w:val="left" w:pos="960"/>
              <w:tab w:val="right" w:leader="dot" w:pos="9016"/>
            </w:tabs>
            <w:ind w:left="993" w:hanging="753"/>
            <w:rPr>
              <w:rFonts w:eastAsiaTheme="minorEastAsia" w:cstheme="minorBidi"/>
              <w:smallCaps w:val="0"/>
              <w:noProof/>
              <w:sz w:val="22"/>
              <w:szCs w:val="22"/>
              <w:lang w:val="en-US" w:eastAsia="en-US"/>
            </w:rPr>
          </w:pPr>
          <w:hyperlink w:anchor="_Toc108784911" w:history="1">
            <w:r w:rsidR="00BD4E89" w:rsidRPr="00957E81">
              <w:rPr>
                <w:rStyle w:val="Hyperlink"/>
                <w:rFonts w:cstheme="minorHAnsi"/>
                <w:noProof/>
              </w:rPr>
              <w:t>11.5.</w:t>
            </w:r>
            <w:r w:rsidR="00BD4E89">
              <w:rPr>
                <w:rFonts w:eastAsiaTheme="minorEastAsia" w:cstheme="minorBidi"/>
                <w:smallCaps w:val="0"/>
                <w:noProof/>
                <w:sz w:val="22"/>
                <w:szCs w:val="22"/>
                <w:lang w:val="en-US" w:eastAsia="en-US"/>
              </w:rPr>
              <w:tab/>
            </w:r>
            <w:r w:rsidR="00BD4E89" w:rsidRPr="00957E81">
              <w:rPr>
                <w:rStyle w:val="Hyperlink"/>
                <w:rFonts w:cstheme="minorHAnsi"/>
                <w:noProof/>
              </w:rPr>
              <w:t>KEQ 5: How can the commissioning and implementation of online mental health treatment services be best supported going forward?</w:t>
            </w:r>
            <w:r w:rsidR="00BD4E89">
              <w:rPr>
                <w:noProof/>
                <w:webHidden/>
              </w:rPr>
              <w:tab/>
            </w:r>
            <w:r w:rsidR="00BD4E89">
              <w:rPr>
                <w:noProof/>
                <w:webHidden/>
              </w:rPr>
              <w:fldChar w:fldCharType="begin"/>
            </w:r>
            <w:r w:rsidR="00BD4E89">
              <w:rPr>
                <w:noProof/>
                <w:webHidden/>
              </w:rPr>
              <w:instrText xml:space="preserve"> PAGEREF _Toc108784911 \h </w:instrText>
            </w:r>
            <w:r w:rsidR="00BD4E89">
              <w:rPr>
                <w:noProof/>
                <w:webHidden/>
              </w:rPr>
            </w:r>
            <w:r w:rsidR="00BD4E89">
              <w:rPr>
                <w:noProof/>
                <w:webHidden/>
              </w:rPr>
              <w:fldChar w:fldCharType="separate"/>
            </w:r>
            <w:r w:rsidR="00896BE0">
              <w:rPr>
                <w:noProof/>
                <w:webHidden/>
              </w:rPr>
              <w:t>151</w:t>
            </w:r>
            <w:r w:rsidR="00BD4E89">
              <w:rPr>
                <w:noProof/>
                <w:webHidden/>
              </w:rPr>
              <w:fldChar w:fldCharType="end"/>
            </w:r>
          </w:hyperlink>
        </w:p>
        <w:p w14:paraId="164AFCC1" w14:textId="5B9AE365"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912" w:history="1">
            <w:r w:rsidR="00BD4E89" w:rsidRPr="00957E81">
              <w:rPr>
                <w:rStyle w:val="Hyperlink"/>
                <w:rFonts w:cstheme="minorHAnsi"/>
                <w:noProof/>
              </w:rPr>
              <w:t>11.6.</w:t>
            </w:r>
            <w:r w:rsidR="00BD4E89">
              <w:rPr>
                <w:rFonts w:eastAsiaTheme="minorEastAsia" w:cstheme="minorBidi"/>
                <w:smallCaps w:val="0"/>
                <w:noProof/>
                <w:sz w:val="22"/>
                <w:szCs w:val="22"/>
                <w:lang w:val="en-US" w:eastAsia="en-US"/>
              </w:rPr>
              <w:tab/>
            </w:r>
            <w:r w:rsidR="00BD4E89" w:rsidRPr="00957E81">
              <w:rPr>
                <w:rStyle w:val="Hyperlink"/>
                <w:rFonts w:cstheme="minorHAnsi"/>
                <w:noProof/>
              </w:rPr>
              <w:t>Limitations</w:t>
            </w:r>
            <w:r w:rsidR="00BD4E89">
              <w:rPr>
                <w:noProof/>
                <w:webHidden/>
              </w:rPr>
              <w:tab/>
            </w:r>
            <w:r w:rsidR="00BD4E89">
              <w:rPr>
                <w:noProof/>
                <w:webHidden/>
              </w:rPr>
              <w:fldChar w:fldCharType="begin"/>
            </w:r>
            <w:r w:rsidR="00BD4E89">
              <w:rPr>
                <w:noProof/>
                <w:webHidden/>
              </w:rPr>
              <w:instrText xml:space="preserve"> PAGEREF _Toc108784912 \h </w:instrText>
            </w:r>
            <w:r w:rsidR="00BD4E89">
              <w:rPr>
                <w:noProof/>
                <w:webHidden/>
              </w:rPr>
            </w:r>
            <w:r w:rsidR="00BD4E89">
              <w:rPr>
                <w:noProof/>
                <w:webHidden/>
              </w:rPr>
              <w:fldChar w:fldCharType="separate"/>
            </w:r>
            <w:r w:rsidR="00896BE0">
              <w:rPr>
                <w:noProof/>
                <w:webHidden/>
              </w:rPr>
              <w:t>154</w:t>
            </w:r>
            <w:r w:rsidR="00BD4E89">
              <w:rPr>
                <w:noProof/>
                <w:webHidden/>
              </w:rPr>
              <w:fldChar w:fldCharType="end"/>
            </w:r>
          </w:hyperlink>
        </w:p>
        <w:p w14:paraId="55CF38B3" w14:textId="42EEEBA6"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913" w:history="1">
            <w:r w:rsidR="00BD4E89" w:rsidRPr="00957E81">
              <w:rPr>
                <w:rStyle w:val="Hyperlink"/>
                <w:rFonts w:cstheme="minorHAnsi"/>
                <w:noProof/>
              </w:rPr>
              <w:t>11.7.</w:t>
            </w:r>
            <w:r w:rsidR="00BD4E89">
              <w:rPr>
                <w:rFonts w:eastAsiaTheme="minorEastAsia" w:cstheme="minorBidi"/>
                <w:smallCaps w:val="0"/>
                <w:noProof/>
                <w:sz w:val="22"/>
                <w:szCs w:val="22"/>
                <w:lang w:val="en-US" w:eastAsia="en-US"/>
              </w:rPr>
              <w:tab/>
            </w:r>
            <w:r w:rsidR="00BD4E89" w:rsidRPr="00957E81">
              <w:rPr>
                <w:rStyle w:val="Hyperlink"/>
                <w:rFonts w:cstheme="minorHAnsi"/>
                <w:noProof/>
              </w:rPr>
              <w:t>Strengths</w:t>
            </w:r>
            <w:r w:rsidR="00BD4E89">
              <w:rPr>
                <w:noProof/>
                <w:webHidden/>
              </w:rPr>
              <w:tab/>
            </w:r>
            <w:r w:rsidR="00BD4E89">
              <w:rPr>
                <w:noProof/>
                <w:webHidden/>
              </w:rPr>
              <w:fldChar w:fldCharType="begin"/>
            </w:r>
            <w:r w:rsidR="00BD4E89">
              <w:rPr>
                <w:noProof/>
                <w:webHidden/>
              </w:rPr>
              <w:instrText xml:space="preserve"> PAGEREF _Toc108784913 \h </w:instrText>
            </w:r>
            <w:r w:rsidR="00BD4E89">
              <w:rPr>
                <w:noProof/>
                <w:webHidden/>
              </w:rPr>
            </w:r>
            <w:r w:rsidR="00BD4E89">
              <w:rPr>
                <w:noProof/>
                <w:webHidden/>
              </w:rPr>
              <w:fldChar w:fldCharType="separate"/>
            </w:r>
            <w:r w:rsidR="00896BE0">
              <w:rPr>
                <w:noProof/>
                <w:webHidden/>
              </w:rPr>
              <w:t>154</w:t>
            </w:r>
            <w:r w:rsidR="00BD4E89">
              <w:rPr>
                <w:noProof/>
                <w:webHidden/>
              </w:rPr>
              <w:fldChar w:fldCharType="end"/>
            </w:r>
          </w:hyperlink>
        </w:p>
        <w:p w14:paraId="09BF1AE6" w14:textId="59E8360C" w:rsidR="00BD4E89" w:rsidRDefault="009B3225">
          <w:pPr>
            <w:pStyle w:val="TOC2"/>
            <w:tabs>
              <w:tab w:val="left" w:pos="960"/>
              <w:tab w:val="right" w:leader="dot" w:pos="9016"/>
            </w:tabs>
            <w:rPr>
              <w:rFonts w:eastAsiaTheme="minorEastAsia" w:cstheme="minorBidi"/>
              <w:smallCaps w:val="0"/>
              <w:noProof/>
              <w:sz w:val="22"/>
              <w:szCs w:val="22"/>
              <w:lang w:val="en-US" w:eastAsia="en-US"/>
            </w:rPr>
          </w:pPr>
          <w:hyperlink w:anchor="_Toc108784914" w:history="1">
            <w:r w:rsidR="00BD4E89" w:rsidRPr="00957E81">
              <w:rPr>
                <w:rStyle w:val="Hyperlink"/>
                <w:rFonts w:cstheme="minorHAnsi"/>
                <w:noProof/>
              </w:rPr>
              <w:t>11.8.</w:t>
            </w:r>
            <w:r w:rsidR="00BD4E89">
              <w:rPr>
                <w:rFonts w:eastAsiaTheme="minorEastAsia" w:cstheme="minorBidi"/>
                <w:smallCaps w:val="0"/>
                <w:noProof/>
                <w:sz w:val="22"/>
                <w:szCs w:val="22"/>
                <w:lang w:val="en-US" w:eastAsia="en-US"/>
              </w:rPr>
              <w:tab/>
            </w:r>
            <w:r w:rsidR="00BD4E89" w:rsidRPr="00957E81">
              <w:rPr>
                <w:rStyle w:val="Hyperlink"/>
                <w:rFonts w:cstheme="minorHAnsi"/>
                <w:noProof/>
              </w:rPr>
              <w:t>Conclusions</w:t>
            </w:r>
            <w:r w:rsidR="00BD4E89">
              <w:rPr>
                <w:noProof/>
                <w:webHidden/>
              </w:rPr>
              <w:tab/>
            </w:r>
            <w:r w:rsidR="00BD4E89">
              <w:rPr>
                <w:noProof/>
                <w:webHidden/>
              </w:rPr>
              <w:fldChar w:fldCharType="begin"/>
            </w:r>
            <w:r w:rsidR="00BD4E89">
              <w:rPr>
                <w:noProof/>
                <w:webHidden/>
              </w:rPr>
              <w:instrText xml:space="preserve"> PAGEREF _Toc108784914 \h </w:instrText>
            </w:r>
            <w:r w:rsidR="00BD4E89">
              <w:rPr>
                <w:noProof/>
                <w:webHidden/>
              </w:rPr>
            </w:r>
            <w:r w:rsidR="00BD4E89">
              <w:rPr>
                <w:noProof/>
                <w:webHidden/>
              </w:rPr>
              <w:fldChar w:fldCharType="separate"/>
            </w:r>
            <w:r w:rsidR="00896BE0">
              <w:rPr>
                <w:noProof/>
                <w:webHidden/>
              </w:rPr>
              <w:t>155</w:t>
            </w:r>
            <w:r w:rsidR="00BD4E89">
              <w:rPr>
                <w:noProof/>
                <w:webHidden/>
              </w:rPr>
              <w:fldChar w:fldCharType="end"/>
            </w:r>
          </w:hyperlink>
        </w:p>
        <w:p w14:paraId="0377A44D" w14:textId="71209D52" w:rsidR="00BD4E89" w:rsidRDefault="009B3225">
          <w:pPr>
            <w:pStyle w:val="TOC1"/>
            <w:tabs>
              <w:tab w:val="right" w:leader="dot" w:pos="9016"/>
            </w:tabs>
            <w:rPr>
              <w:rFonts w:eastAsiaTheme="minorEastAsia" w:cstheme="minorBidi"/>
              <w:b w:val="0"/>
              <w:bCs w:val="0"/>
              <w:caps w:val="0"/>
              <w:noProof/>
              <w:sz w:val="22"/>
              <w:szCs w:val="22"/>
              <w:lang w:val="en-US" w:eastAsia="en-US"/>
            </w:rPr>
          </w:pPr>
          <w:hyperlink w:anchor="_Toc108784915" w:history="1">
            <w:r w:rsidR="00BD4E89" w:rsidRPr="00957E81">
              <w:rPr>
                <w:rStyle w:val="Hyperlink"/>
                <w:noProof/>
              </w:rPr>
              <w:t>References</w:t>
            </w:r>
            <w:r w:rsidR="00BD4E89">
              <w:rPr>
                <w:noProof/>
                <w:webHidden/>
              </w:rPr>
              <w:tab/>
            </w:r>
            <w:r w:rsidR="00BD4E89">
              <w:rPr>
                <w:noProof/>
                <w:webHidden/>
              </w:rPr>
              <w:fldChar w:fldCharType="begin"/>
            </w:r>
            <w:r w:rsidR="00BD4E89">
              <w:rPr>
                <w:noProof/>
                <w:webHidden/>
              </w:rPr>
              <w:instrText xml:space="preserve"> PAGEREF _Toc108784915 \h </w:instrText>
            </w:r>
            <w:r w:rsidR="00BD4E89">
              <w:rPr>
                <w:noProof/>
                <w:webHidden/>
              </w:rPr>
            </w:r>
            <w:r w:rsidR="00BD4E89">
              <w:rPr>
                <w:noProof/>
                <w:webHidden/>
              </w:rPr>
              <w:fldChar w:fldCharType="separate"/>
            </w:r>
            <w:r w:rsidR="00896BE0">
              <w:rPr>
                <w:noProof/>
                <w:webHidden/>
              </w:rPr>
              <w:t>156</w:t>
            </w:r>
            <w:r w:rsidR="00BD4E89">
              <w:rPr>
                <w:noProof/>
                <w:webHidden/>
              </w:rPr>
              <w:fldChar w:fldCharType="end"/>
            </w:r>
          </w:hyperlink>
        </w:p>
        <w:p w14:paraId="1FE6E109" w14:textId="3C161EF5" w:rsidR="00BD4E89" w:rsidRDefault="009B3225">
          <w:pPr>
            <w:pStyle w:val="TOC1"/>
            <w:tabs>
              <w:tab w:val="right" w:leader="dot" w:pos="9016"/>
            </w:tabs>
            <w:rPr>
              <w:rFonts w:eastAsiaTheme="minorEastAsia" w:cstheme="minorBidi"/>
              <w:b w:val="0"/>
              <w:bCs w:val="0"/>
              <w:caps w:val="0"/>
              <w:noProof/>
              <w:sz w:val="22"/>
              <w:szCs w:val="22"/>
              <w:lang w:val="en-US" w:eastAsia="en-US"/>
            </w:rPr>
          </w:pPr>
          <w:hyperlink w:anchor="_Toc108784916" w:history="1">
            <w:r w:rsidR="00BD4E89" w:rsidRPr="00957E81">
              <w:rPr>
                <w:rStyle w:val="Hyperlink"/>
                <w:noProof/>
              </w:rPr>
              <w:t>Appendix A: Evaluation questions</w:t>
            </w:r>
            <w:r w:rsidR="00BD4E89">
              <w:rPr>
                <w:noProof/>
                <w:webHidden/>
              </w:rPr>
              <w:tab/>
            </w:r>
            <w:r w:rsidR="00BD4E89">
              <w:rPr>
                <w:noProof/>
                <w:webHidden/>
              </w:rPr>
              <w:fldChar w:fldCharType="begin"/>
            </w:r>
            <w:r w:rsidR="00BD4E89">
              <w:rPr>
                <w:noProof/>
                <w:webHidden/>
              </w:rPr>
              <w:instrText xml:space="preserve"> PAGEREF _Toc108784916 \h </w:instrText>
            </w:r>
            <w:r w:rsidR="00BD4E89">
              <w:rPr>
                <w:noProof/>
                <w:webHidden/>
              </w:rPr>
            </w:r>
            <w:r w:rsidR="00BD4E89">
              <w:rPr>
                <w:noProof/>
                <w:webHidden/>
              </w:rPr>
              <w:fldChar w:fldCharType="separate"/>
            </w:r>
            <w:r w:rsidR="00896BE0">
              <w:rPr>
                <w:noProof/>
                <w:webHidden/>
              </w:rPr>
              <w:t>161</w:t>
            </w:r>
            <w:r w:rsidR="00BD4E89">
              <w:rPr>
                <w:noProof/>
                <w:webHidden/>
              </w:rPr>
              <w:fldChar w:fldCharType="end"/>
            </w:r>
          </w:hyperlink>
        </w:p>
        <w:p w14:paraId="09F90AE5" w14:textId="77777777" w:rsidR="00CF60E6" w:rsidRDefault="00CF60E6">
          <w:pPr>
            <w:pStyle w:val="TOC1"/>
            <w:tabs>
              <w:tab w:val="right" w:leader="dot" w:pos="9016"/>
            </w:tabs>
            <w:rPr>
              <w:noProof/>
            </w:rPr>
          </w:pPr>
          <w:r>
            <w:rPr>
              <w:noProof/>
            </w:rPr>
            <w:br w:type="page"/>
          </w:r>
        </w:p>
        <w:p w14:paraId="7753DF8C" w14:textId="39CD3CC1" w:rsidR="00BD4E89" w:rsidRDefault="009B3225">
          <w:pPr>
            <w:pStyle w:val="TOC1"/>
            <w:tabs>
              <w:tab w:val="right" w:leader="dot" w:pos="9016"/>
            </w:tabs>
            <w:rPr>
              <w:rFonts w:eastAsiaTheme="minorEastAsia" w:cstheme="minorBidi"/>
              <w:b w:val="0"/>
              <w:bCs w:val="0"/>
              <w:caps w:val="0"/>
              <w:noProof/>
              <w:sz w:val="22"/>
              <w:szCs w:val="22"/>
              <w:lang w:val="en-US" w:eastAsia="en-US"/>
            </w:rPr>
          </w:pPr>
          <w:hyperlink w:anchor="_Toc108784917" w:history="1">
            <w:r w:rsidR="00BD4E89" w:rsidRPr="00957E81">
              <w:rPr>
                <w:rStyle w:val="Hyperlink"/>
                <w:noProof/>
              </w:rPr>
              <w:t>Appendix B: Phase 2 evaluation method</w:t>
            </w:r>
            <w:r w:rsidR="00BD4E89">
              <w:rPr>
                <w:noProof/>
                <w:webHidden/>
              </w:rPr>
              <w:tab/>
            </w:r>
            <w:r w:rsidR="00BD4E89">
              <w:rPr>
                <w:noProof/>
                <w:webHidden/>
              </w:rPr>
              <w:fldChar w:fldCharType="begin"/>
            </w:r>
            <w:r w:rsidR="00BD4E89">
              <w:rPr>
                <w:noProof/>
                <w:webHidden/>
              </w:rPr>
              <w:instrText xml:space="preserve"> PAGEREF _Toc108784917 \h </w:instrText>
            </w:r>
            <w:r w:rsidR="00BD4E89">
              <w:rPr>
                <w:noProof/>
                <w:webHidden/>
              </w:rPr>
            </w:r>
            <w:r w:rsidR="00BD4E89">
              <w:rPr>
                <w:noProof/>
                <w:webHidden/>
              </w:rPr>
              <w:fldChar w:fldCharType="separate"/>
            </w:r>
            <w:r w:rsidR="00896BE0">
              <w:rPr>
                <w:noProof/>
                <w:webHidden/>
              </w:rPr>
              <w:t>162</w:t>
            </w:r>
            <w:r w:rsidR="00BD4E89">
              <w:rPr>
                <w:noProof/>
                <w:webHidden/>
              </w:rPr>
              <w:fldChar w:fldCharType="end"/>
            </w:r>
          </w:hyperlink>
        </w:p>
        <w:p w14:paraId="67B3F06C" w14:textId="58C6E6E8" w:rsidR="00BD4E89" w:rsidRDefault="009B3225">
          <w:pPr>
            <w:pStyle w:val="TOC2"/>
            <w:tabs>
              <w:tab w:val="right" w:leader="dot" w:pos="9016"/>
            </w:tabs>
            <w:rPr>
              <w:rFonts w:eastAsiaTheme="minorEastAsia" w:cstheme="minorBidi"/>
              <w:smallCaps w:val="0"/>
              <w:noProof/>
              <w:sz w:val="22"/>
              <w:szCs w:val="22"/>
              <w:lang w:val="en-US" w:eastAsia="en-US"/>
            </w:rPr>
          </w:pPr>
          <w:hyperlink w:anchor="_Toc108784918" w:history="1">
            <w:r w:rsidR="00BD4E89" w:rsidRPr="00957E81">
              <w:rPr>
                <w:rStyle w:val="Hyperlink"/>
                <w:noProof/>
              </w:rPr>
              <w:t>Existing data</w:t>
            </w:r>
            <w:r w:rsidR="00BD4E89">
              <w:rPr>
                <w:noProof/>
                <w:webHidden/>
              </w:rPr>
              <w:tab/>
            </w:r>
            <w:r w:rsidR="00BD4E89">
              <w:rPr>
                <w:noProof/>
                <w:webHidden/>
              </w:rPr>
              <w:fldChar w:fldCharType="begin"/>
            </w:r>
            <w:r w:rsidR="00BD4E89">
              <w:rPr>
                <w:noProof/>
                <w:webHidden/>
              </w:rPr>
              <w:instrText xml:space="preserve"> PAGEREF _Toc108784918 \h </w:instrText>
            </w:r>
            <w:r w:rsidR="00BD4E89">
              <w:rPr>
                <w:noProof/>
                <w:webHidden/>
              </w:rPr>
            </w:r>
            <w:r w:rsidR="00BD4E89">
              <w:rPr>
                <w:noProof/>
                <w:webHidden/>
              </w:rPr>
              <w:fldChar w:fldCharType="separate"/>
            </w:r>
            <w:r w:rsidR="00896BE0">
              <w:rPr>
                <w:noProof/>
                <w:webHidden/>
              </w:rPr>
              <w:t>162</w:t>
            </w:r>
            <w:r w:rsidR="00BD4E89">
              <w:rPr>
                <w:noProof/>
                <w:webHidden/>
              </w:rPr>
              <w:fldChar w:fldCharType="end"/>
            </w:r>
          </w:hyperlink>
        </w:p>
        <w:p w14:paraId="7D1B5518" w14:textId="32D3128C" w:rsidR="00BD4E89" w:rsidRDefault="009B3225">
          <w:pPr>
            <w:pStyle w:val="TOC2"/>
            <w:tabs>
              <w:tab w:val="right" w:leader="dot" w:pos="9016"/>
            </w:tabs>
            <w:rPr>
              <w:rFonts w:eastAsiaTheme="minorEastAsia" w:cstheme="minorBidi"/>
              <w:smallCaps w:val="0"/>
              <w:noProof/>
              <w:sz w:val="22"/>
              <w:szCs w:val="22"/>
              <w:lang w:val="en-US" w:eastAsia="en-US"/>
            </w:rPr>
          </w:pPr>
          <w:hyperlink w:anchor="_Toc108784919" w:history="1">
            <w:r w:rsidR="00BD4E89" w:rsidRPr="00957E81">
              <w:rPr>
                <w:rStyle w:val="Hyperlink"/>
                <w:noProof/>
              </w:rPr>
              <w:t>Consultations with key stakeholders</w:t>
            </w:r>
            <w:r w:rsidR="00BD4E89">
              <w:rPr>
                <w:noProof/>
                <w:webHidden/>
              </w:rPr>
              <w:tab/>
            </w:r>
            <w:r w:rsidR="00BD4E89">
              <w:rPr>
                <w:noProof/>
                <w:webHidden/>
              </w:rPr>
              <w:fldChar w:fldCharType="begin"/>
            </w:r>
            <w:r w:rsidR="00BD4E89">
              <w:rPr>
                <w:noProof/>
                <w:webHidden/>
              </w:rPr>
              <w:instrText xml:space="preserve"> PAGEREF _Toc108784919 \h </w:instrText>
            </w:r>
            <w:r w:rsidR="00BD4E89">
              <w:rPr>
                <w:noProof/>
                <w:webHidden/>
              </w:rPr>
            </w:r>
            <w:r w:rsidR="00BD4E89">
              <w:rPr>
                <w:noProof/>
                <w:webHidden/>
              </w:rPr>
              <w:fldChar w:fldCharType="separate"/>
            </w:r>
            <w:r w:rsidR="00896BE0">
              <w:rPr>
                <w:noProof/>
                <w:webHidden/>
              </w:rPr>
              <w:t>163</w:t>
            </w:r>
            <w:r w:rsidR="00BD4E89">
              <w:rPr>
                <w:noProof/>
                <w:webHidden/>
              </w:rPr>
              <w:fldChar w:fldCharType="end"/>
            </w:r>
          </w:hyperlink>
        </w:p>
        <w:p w14:paraId="1C9C6F35" w14:textId="240140D1" w:rsidR="00BD4E89" w:rsidRDefault="009B3225">
          <w:pPr>
            <w:pStyle w:val="TOC2"/>
            <w:tabs>
              <w:tab w:val="right" w:leader="dot" w:pos="9016"/>
            </w:tabs>
            <w:rPr>
              <w:rFonts w:eastAsiaTheme="minorEastAsia" w:cstheme="minorBidi"/>
              <w:smallCaps w:val="0"/>
              <w:noProof/>
              <w:sz w:val="22"/>
              <w:szCs w:val="22"/>
              <w:lang w:val="en-US" w:eastAsia="en-US"/>
            </w:rPr>
          </w:pPr>
          <w:hyperlink w:anchor="_Toc108784920" w:history="1">
            <w:r w:rsidR="00BD4E89" w:rsidRPr="00957E81">
              <w:rPr>
                <w:rStyle w:val="Hyperlink"/>
                <w:noProof/>
              </w:rPr>
              <w:t>Data analysis</w:t>
            </w:r>
            <w:r w:rsidR="00BD4E89">
              <w:rPr>
                <w:noProof/>
                <w:webHidden/>
              </w:rPr>
              <w:tab/>
            </w:r>
            <w:r w:rsidR="00BD4E89">
              <w:rPr>
                <w:noProof/>
                <w:webHidden/>
              </w:rPr>
              <w:fldChar w:fldCharType="begin"/>
            </w:r>
            <w:r w:rsidR="00BD4E89">
              <w:rPr>
                <w:noProof/>
                <w:webHidden/>
              </w:rPr>
              <w:instrText xml:space="preserve"> PAGEREF _Toc108784920 \h </w:instrText>
            </w:r>
            <w:r w:rsidR="00BD4E89">
              <w:rPr>
                <w:noProof/>
                <w:webHidden/>
              </w:rPr>
            </w:r>
            <w:r w:rsidR="00BD4E89">
              <w:rPr>
                <w:noProof/>
                <w:webHidden/>
              </w:rPr>
              <w:fldChar w:fldCharType="separate"/>
            </w:r>
            <w:r w:rsidR="00896BE0">
              <w:rPr>
                <w:noProof/>
                <w:webHidden/>
              </w:rPr>
              <w:t>169</w:t>
            </w:r>
            <w:r w:rsidR="00BD4E89">
              <w:rPr>
                <w:noProof/>
                <w:webHidden/>
              </w:rPr>
              <w:fldChar w:fldCharType="end"/>
            </w:r>
          </w:hyperlink>
        </w:p>
        <w:p w14:paraId="386316E7" w14:textId="76215A6C" w:rsidR="00BD4E89" w:rsidRDefault="009B3225">
          <w:pPr>
            <w:pStyle w:val="TOC1"/>
            <w:tabs>
              <w:tab w:val="right" w:leader="dot" w:pos="9016"/>
            </w:tabs>
            <w:rPr>
              <w:rFonts w:eastAsiaTheme="minorEastAsia" w:cstheme="minorBidi"/>
              <w:b w:val="0"/>
              <w:bCs w:val="0"/>
              <w:caps w:val="0"/>
              <w:noProof/>
              <w:sz w:val="22"/>
              <w:szCs w:val="22"/>
              <w:lang w:val="en-US" w:eastAsia="en-US"/>
            </w:rPr>
          </w:pPr>
          <w:hyperlink w:anchor="_Toc108784921" w:history="1">
            <w:r w:rsidR="00BD4E89" w:rsidRPr="00957E81">
              <w:rPr>
                <w:rStyle w:val="Hyperlink"/>
                <w:noProof/>
              </w:rPr>
              <w:t>Appendix C: Mental Health Online outcome evaluation of Therapist Assist</w:t>
            </w:r>
            <w:r w:rsidR="00BD4E89">
              <w:rPr>
                <w:noProof/>
                <w:webHidden/>
              </w:rPr>
              <w:tab/>
            </w:r>
            <w:r w:rsidR="00BD4E89">
              <w:rPr>
                <w:noProof/>
                <w:webHidden/>
              </w:rPr>
              <w:fldChar w:fldCharType="begin"/>
            </w:r>
            <w:r w:rsidR="00BD4E89">
              <w:rPr>
                <w:noProof/>
                <w:webHidden/>
              </w:rPr>
              <w:instrText xml:space="preserve"> PAGEREF _Toc108784921 \h </w:instrText>
            </w:r>
            <w:r w:rsidR="00BD4E89">
              <w:rPr>
                <w:noProof/>
                <w:webHidden/>
              </w:rPr>
            </w:r>
            <w:r w:rsidR="00BD4E89">
              <w:rPr>
                <w:noProof/>
                <w:webHidden/>
              </w:rPr>
              <w:fldChar w:fldCharType="separate"/>
            </w:r>
            <w:r w:rsidR="00896BE0">
              <w:rPr>
                <w:noProof/>
                <w:webHidden/>
              </w:rPr>
              <w:t>171</w:t>
            </w:r>
            <w:r w:rsidR="00BD4E89">
              <w:rPr>
                <w:noProof/>
                <w:webHidden/>
              </w:rPr>
              <w:fldChar w:fldCharType="end"/>
            </w:r>
          </w:hyperlink>
        </w:p>
        <w:p w14:paraId="4C725CCE" w14:textId="4B7963B8" w:rsidR="00BD4E89" w:rsidRDefault="009B3225">
          <w:pPr>
            <w:pStyle w:val="TOC2"/>
            <w:tabs>
              <w:tab w:val="right" w:leader="dot" w:pos="9016"/>
            </w:tabs>
            <w:rPr>
              <w:rFonts w:eastAsiaTheme="minorEastAsia" w:cstheme="minorBidi"/>
              <w:smallCaps w:val="0"/>
              <w:noProof/>
              <w:sz w:val="22"/>
              <w:szCs w:val="22"/>
              <w:lang w:val="en-US" w:eastAsia="en-US"/>
            </w:rPr>
          </w:pPr>
          <w:hyperlink w:anchor="_Toc108784922" w:history="1">
            <w:r w:rsidR="00BD4E89" w:rsidRPr="00957E81">
              <w:rPr>
                <w:rStyle w:val="Hyperlink"/>
                <w:noProof/>
              </w:rPr>
              <w:t>K6 data collection</w:t>
            </w:r>
            <w:r w:rsidR="00BD4E89">
              <w:rPr>
                <w:noProof/>
                <w:webHidden/>
              </w:rPr>
              <w:tab/>
            </w:r>
            <w:r w:rsidR="00BD4E89">
              <w:rPr>
                <w:noProof/>
                <w:webHidden/>
              </w:rPr>
              <w:fldChar w:fldCharType="begin"/>
            </w:r>
            <w:r w:rsidR="00BD4E89">
              <w:rPr>
                <w:noProof/>
                <w:webHidden/>
              </w:rPr>
              <w:instrText xml:space="preserve"> PAGEREF _Toc108784922 \h </w:instrText>
            </w:r>
            <w:r w:rsidR="00BD4E89">
              <w:rPr>
                <w:noProof/>
                <w:webHidden/>
              </w:rPr>
            </w:r>
            <w:r w:rsidR="00BD4E89">
              <w:rPr>
                <w:noProof/>
                <w:webHidden/>
              </w:rPr>
              <w:fldChar w:fldCharType="separate"/>
            </w:r>
            <w:r w:rsidR="00896BE0">
              <w:rPr>
                <w:noProof/>
                <w:webHidden/>
              </w:rPr>
              <w:t>171</w:t>
            </w:r>
            <w:r w:rsidR="00BD4E89">
              <w:rPr>
                <w:noProof/>
                <w:webHidden/>
              </w:rPr>
              <w:fldChar w:fldCharType="end"/>
            </w:r>
          </w:hyperlink>
        </w:p>
        <w:p w14:paraId="5A5F3036" w14:textId="35528D1C" w:rsidR="00BD4E89" w:rsidRDefault="009B3225">
          <w:pPr>
            <w:pStyle w:val="TOC2"/>
            <w:tabs>
              <w:tab w:val="right" w:leader="dot" w:pos="9016"/>
            </w:tabs>
            <w:rPr>
              <w:rFonts w:eastAsiaTheme="minorEastAsia" w:cstheme="minorBidi"/>
              <w:smallCaps w:val="0"/>
              <w:noProof/>
              <w:sz w:val="22"/>
              <w:szCs w:val="22"/>
              <w:lang w:val="en-US" w:eastAsia="en-US"/>
            </w:rPr>
          </w:pPr>
          <w:hyperlink w:anchor="_Toc108784923" w:history="1">
            <w:r w:rsidR="00BD4E89" w:rsidRPr="00957E81">
              <w:rPr>
                <w:rStyle w:val="Hyperlink"/>
                <w:noProof/>
              </w:rPr>
              <w:t>Sample representativeness</w:t>
            </w:r>
            <w:r w:rsidR="00BD4E89">
              <w:rPr>
                <w:noProof/>
                <w:webHidden/>
              </w:rPr>
              <w:tab/>
            </w:r>
            <w:r w:rsidR="00BD4E89">
              <w:rPr>
                <w:noProof/>
                <w:webHidden/>
              </w:rPr>
              <w:fldChar w:fldCharType="begin"/>
            </w:r>
            <w:r w:rsidR="00BD4E89">
              <w:rPr>
                <w:noProof/>
                <w:webHidden/>
              </w:rPr>
              <w:instrText xml:space="preserve"> PAGEREF _Toc108784923 \h </w:instrText>
            </w:r>
            <w:r w:rsidR="00BD4E89">
              <w:rPr>
                <w:noProof/>
                <w:webHidden/>
              </w:rPr>
            </w:r>
            <w:r w:rsidR="00BD4E89">
              <w:rPr>
                <w:noProof/>
                <w:webHidden/>
              </w:rPr>
              <w:fldChar w:fldCharType="separate"/>
            </w:r>
            <w:r w:rsidR="00896BE0">
              <w:rPr>
                <w:noProof/>
                <w:webHidden/>
              </w:rPr>
              <w:t>171</w:t>
            </w:r>
            <w:r w:rsidR="00BD4E89">
              <w:rPr>
                <w:noProof/>
                <w:webHidden/>
              </w:rPr>
              <w:fldChar w:fldCharType="end"/>
            </w:r>
          </w:hyperlink>
        </w:p>
        <w:p w14:paraId="10C97E9B" w14:textId="7B0194FC" w:rsidR="00BD4E89" w:rsidRDefault="009B3225">
          <w:pPr>
            <w:pStyle w:val="TOC1"/>
            <w:tabs>
              <w:tab w:val="right" w:leader="dot" w:pos="9016"/>
            </w:tabs>
            <w:rPr>
              <w:rFonts w:eastAsiaTheme="minorEastAsia" w:cstheme="minorBidi"/>
              <w:b w:val="0"/>
              <w:bCs w:val="0"/>
              <w:caps w:val="0"/>
              <w:noProof/>
              <w:sz w:val="22"/>
              <w:szCs w:val="22"/>
              <w:lang w:val="en-US" w:eastAsia="en-US"/>
            </w:rPr>
          </w:pPr>
          <w:hyperlink w:anchor="_Toc108784924" w:history="1">
            <w:r w:rsidR="00BD4E89" w:rsidRPr="00957E81">
              <w:rPr>
                <w:rStyle w:val="Hyperlink"/>
                <w:noProof/>
              </w:rPr>
              <w:t>Appendix D: Consumer survey and interview questions</w:t>
            </w:r>
            <w:r w:rsidR="00BD4E89">
              <w:rPr>
                <w:noProof/>
                <w:webHidden/>
              </w:rPr>
              <w:tab/>
            </w:r>
            <w:r w:rsidR="00BD4E89">
              <w:rPr>
                <w:noProof/>
                <w:webHidden/>
              </w:rPr>
              <w:fldChar w:fldCharType="begin"/>
            </w:r>
            <w:r w:rsidR="00BD4E89">
              <w:rPr>
                <w:noProof/>
                <w:webHidden/>
              </w:rPr>
              <w:instrText xml:space="preserve"> PAGEREF _Toc108784924 \h </w:instrText>
            </w:r>
            <w:r w:rsidR="00BD4E89">
              <w:rPr>
                <w:noProof/>
                <w:webHidden/>
              </w:rPr>
            </w:r>
            <w:r w:rsidR="00BD4E89">
              <w:rPr>
                <w:noProof/>
                <w:webHidden/>
              </w:rPr>
              <w:fldChar w:fldCharType="separate"/>
            </w:r>
            <w:r w:rsidR="00896BE0">
              <w:rPr>
                <w:noProof/>
                <w:webHidden/>
              </w:rPr>
              <w:t>172</w:t>
            </w:r>
            <w:r w:rsidR="00BD4E89">
              <w:rPr>
                <w:noProof/>
                <w:webHidden/>
              </w:rPr>
              <w:fldChar w:fldCharType="end"/>
            </w:r>
          </w:hyperlink>
        </w:p>
        <w:p w14:paraId="1D0AC4DF" w14:textId="2C47CDF4" w:rsidR="00BD4E89" w:rsidRDefault="009B3225">
          <w:pPr>
            <w:pStyle w:val="TOC2"/>
            <w:tabs>
              <w:tab w:val="right" w:leader="dot" w:pos="9016"/>
            </w:tabs>
            <w:rPr>
              <w:rFonts w:eastAsiaTheme="minorEastAsia" w:cstheme="minorBidi"/>
              <w:smallCaps w:val="0"/>
              <w:noProof/>
              <w:sz w:val="22"/>
              <w:szCs w:val="22"/>
              <w:lang w:val="en-US" w:eastAsia="en-US"/>
            </w:rPr>
          </w:pPr>
          <w:hyperlink w:anchor="_Toc108784925" w:history="1">
            <w:r w:rsidR="00BD4E89" w:rsidRPr="00957E81">
              <w:rPr>
                <w:rStyle w:val="Hyperlink"/>
                <w:noProof/>
              </w:rPr>
              <w:t>Survey questions</w:t>
            </w:r>
            <w:r w:rsidR="00BD4E89">
              <w:rPr>
                <w:noProof/>
                <w:webHidden/>
              </w:rPr>
              <w:tab/>
            </w:r>
            <w:r w:rsidR="00BD4E89">
              <w:rPr>
                <w:noProof/>
                <w:webHidden/>
              </w:rPr>
              <w:fldChar w:fldCharType="begin"/>
            </w:r>
            <w:r w:rsidR="00BD4E89">
              <w:rPr>
                <w:noProof/>
                <w:webHidden/>
              </w:rPr>
              <w:instrText xml:space="preserve"> PAGEREF _Toc108784925 \h </w:instrText>
            </w:r>
            <w:r w:rsidR="00BD4E89">
              <w:rPr>
                <w:noProof/>
                <w:webHidden/>
              </w:rPr>
            </w:r>
            <w:r w:rsidR="00BD4E89">
              <w:rPr>
                <w:noProof/>
                <w:webHidden/>
              </w:rPr>
              <w:fldChar w:fldCharType="separate"/>
            </w:r>
            <w:r w:rsidR="00896BE0">
              <w:rPr>
                <w:noProof/>
                <w:webHidden/>
              </w:rPr>
              <w:t>172</w:t>
            </w:r>
            <w:r w:rsidR="00BD4E89">
              <w:rPr>
                <w:noProof/>
                <w:webHidden/>
              </w:rPr>
              <w:fldChar w:fldCharType="end"/>
            </w:r>
          </w:hyperlink>
        </w:p>
        <w:p w14:paraId="412F5A35" w14:textId="074C081D" w:rsidR="00BD4E89" w:rsidRDefault="009B3225">
          <w:pPr>
            <w:pStyle w:val="TOC2"/>
            <w:tabs>
              <w:tab w:val="right" w:leader="dot" w:pos="9016"/>
            </w:tabs>
            <w:rPr>
              <w:rFonts w:eastAsiaTheme="minorEastAsia" w:cstheme="minorBidi"/>
              <w:smallCaps w:val="0"/>
              <w:noProof/>
              <w:sz w:val="22"/>
              <w:szCs w:val="22"/>
              <w:lang w:val="en-US" w:eastAsia="en-US"/>
            </w:rPr>
          </w:pPr>
          <w:hyperlink w:anchor="_Toc108784926" w:history="1">
            <w:r w:rsidR="00BD4E89" w:rsidRPr="00957E81">
              <w:rPr>
                <w:rStyle w:val="Hyperlink"/>
                <w:noProof/>
              </w:rPr>
              <w:t>Interview questions</w:t>
            </w:r>
            <w:r w:rsidR="00BD4E89">
              <w:rPr>
                <w:noProof/>
                <w:webHidden/>
              </w:rPr>
              <w:tab/>
            </w:r>
            <w:r w:rsidR="00BD4E89">
              <w:rPr>
                <w:noProof/>
                <w:webHidden/>
              </w:rPr>
              <w:fldChar w:fldCharType="begin"/>
            </w:r>
            <w:r w:rsidR="00BD4E89">
              <w:rPr>
                <w:noProof/>
                <w:webHidden/>
              </w:rPr>
              <w:instrText xml:space="preserve"> PAGEREF _Toc108784926 \h </w:instrText>
            </w:r>
            <w:r w:rsidR="00BD4E89">
              <w:rPr>
                <w:noProof/>
                <w:webHidden/>
              </w:rPr>
            </w:r>
            <w:r w:rsidR="00BD4E89">
              <w:rPr>
                <w:noProof/>
                <w:webHidden/>
              </w:rPr>
              <w:fldChar w:fldCharType="separate"/>
            </w:r>
            <w:r w:rsidR="00896BE0">
              <w:rPr>
                <w:noProof/>
                <w:webHidden/>
              </w:rPr>
              <w:t>181</w:t>
            </w:r>
            <w:r w:rsidR="00BD4E89">
              <w:rPr>
                <w:noProof/>
                <w:webHidden/>
              </w:rPr>
              <w:fldChar w:fldCharType="end"/>
            </w:r>
          </w:hyperlink>
        </w:p>
        <w:p w14:paraId="50A469C3" w14:textId="4F6CA88F" w:rsidR="00BD4E89" w:rsidRDefault="009B3225">
          <w:pPr>
            <w:pStyle w:val="TOC1"/>
            <w:tabs>
              <w:tab w:val="right" w:leader="dot" w:pos="9016"/>
            </w:tabs>
            <w:rPr>
              <w:rFonts w:eastAsiaTheme="minorEastAsia" w:cstheme="minorBidi"/>
              <w:b w:val="0"/>
              <w:bCs w:val="0"/>
              <w:caps w:val="0"/>
              <w:noProof/>
              <w:sz w:val="22"/>
              <w:szCs w:val="22"/>
              <w:lang w:val="en-US" w:eastAsia="en-US"/>
            </w:rPr>
          </w:pPr>
          <w:hyperlink w:anchor="_Toc108784927" w:history="1">
            <w:r w:rsidR="00BD4E89" w:rsidRPr="00957E81">
              <w:rPr>
                <w:rStyle w:val="Hyperlink"/>
                <w:noProof/>
              </w:rPr>
              <w:t>Appendix E: DMHS provider survey and interview questions</w:t>
            </w:r>
            <w:r w:rsidR="00BD4E89">
              <w:rPr>
                <w:noProof/>
                <w:webHidden/>
              </w:rPr>
              <w:tab/>
            </w:r>
            <w:r w:rsidR="00BD4E89">
              <w:rPr>
                <w:noProof/>
                <w:webHidden/>
              </w:rPr>
              <w:fldChar w:fldCharType="begin"/>
            </w:r>
            <w:r w:rsidR="00BD4E89">
              <w:rPr>
                <w:noProof/>
                <w:webHidden/>
              </w:rPr>
              <w:instrText xml:space="preserve"> PAGEREF _Toc108784927 \h </w:instrText>
            </w:r>
            <w:r w:rsidR="00BD4E89">
              <w:rPr>
                <w:noProof/>
                <w:webHidden/>
              </w:rPr>
            </w:r>
            <w:r w:rsidR="00BD4E89">
              <w:rPr>
                <w:noProof/>
                <w:webHidden/>
              </w:rPr>
              <w:fldChar w:fldCharType="separate"/>
            </w:r>
            <w:r w:rsidR="00896BE0">
              <w:rPr>
                <w:noProof/>
                <w:webHidden/>
              </w:rPr>
              <w:t>182</w:t>
            </w:r>
            <w:r w:rsidR="00BD4E89">
              <w:rPr>
                <w:noProof/>
                <w:webHidden/>
              </w:rPr>
              <w:fldChar w:fldCharType="end"/>
            </w:r>
          </w:hyperlink>
        </w:p>
        <w:p w14:paraId="4E7A34C2" w14:textId="7AE25A25" w:rsidR="00BD4E89" w:rsidRDefault="009B3225">
          <w:pPr>
            <w:pStyle w:val="TOC2"/>
            <w:tabs>
              <w:tab w:val="right" w:leader="dot" w:pos="9016"/>
            </w:tabs>
            <w:rPr>
              <w:rFonts w:eastAsiaTheme="minorEastAsia" w:cstheme="minorBidi"/>
              <w:smallCaps w:val="0"/>
              <w:noProof/>
              <w:sz w:val="22"/>
              <w:szCs w:val="22"/>
              <w:lang w:val="en-US" w:eastAsia="en-US"/>
            </w:rPr>
          </w:pPr>
          <w:hyperlink w:anchor="_Toc108784928" w:history="1">
            <w:r w:rsidR="00BD4E89" w:rsidRPr="00957E81">
              <w:rPr>
                <w:rStyle w:val="Hyperlink"/>
                <w:noProof/>
              </w:rPr>
              <w:t>Survey questions</w:t>
            </w:r>
            <w:r w:rsidR="00BD4E89">
              <w:rPr>
                <w:noProof/>
                <w:webHidden/>
              </w:rPr>
              <w:tab/>
            </w:r>
            <w:r w:rsidR="00BD4E89">
              <w:rPr>
                <w:noProof/>
                <w:webHidden/>
              </w:rPr>
              <w:fldChar w:fldCharType="begin"/>
            </w:r>
            <w:r w:rsidR="00BD4E89">
              <w:rPr>
                <w:noProof/>
                <w:webHidden/>
              </w:rPr>
              <w:instrText xml:space="preserve"> PAGEREF _Toc108784928 \h </w:instrText>
            </w:r>
            <w:r w:rsidR="00BD4E89">
              <w:rPr>
                <w:noProof/>
                <w:webHidden/>
              </w:rPr>
            </w:r>
            <w:r w:rsidR="00BD4E89">
              <w:rPr>
                <w:noProof/>
                <w:webHidden/>
              </w:rPr>
              <w:fldChar w:fldCharType="separate"/>
            </w:r>
            <w:r w:rsidR="00896BE0">
              <w:rPr>
                <w:noProof/>
                <w:webHidden/>
              </w:rPr>
              <w:t>182</w:t>
            </w:r>
            <w:r w:rsidR="00BD4E89">
              <w:rPr>
                <w:noProof/>
                <w:webHidden/>
              </w:rPr>
              <w:fldChar w:fldCharType="end"/>
            </w:r>
          </w:hyperlink>
        </w:p>
        <w:p w14:paraId="4146C4ED" w14:textId="6E64237C" w:rsidR="00BD4E89" w:rsidRDefault="009B3225">
          <w:pPr>
            <w:pStyle w:val="TOC2"/>
            <w:tabs>
              <w:tab w:val="right" w:leader="dot" w:pos="9016"/>
            </w:tabs>
            <w:rPr>
              <w:rFonts w:eastAsiaTheme="minorEastAsia" w:cstheme="minorBidi"/>
              <w:smallCaps w:val="0"/>
              <w:noProof/>
              <w:sz w:val="22"/>
              <w:szCs w:val="22"/>
              <w:lang w:val="en-US" w:eastAsia="en-US"/>
            </w:rPr>
          </w:pPr>
          <w:hyperlink w:anchor="_Toc108784929" w:history="1">
            <w:r w:rsidR="00BD4E89" w:rsidRPr="00957E81">
              <w:rPr>
                <w:rStyle w:val="Hyperlink"/>
                <w:noProof/>
              </w:rPr>
              <w:t>Interview questions</w:t>
            </w:r>
            <w:r w:rsidR="00BD4E89">
              <w:rPr>
                <w:noProof/>
                <w:webHidden/>
              </w:rPr>
              <w:tab/>
            </w:r>
            <w:r w:rsidR="00BD4E89">
              <w:rPr>
                <w:noProof/>
                <w:webHidden/>
              </w:rPr>
              <w:fldChar w:fldCharType="begin"/>
            </w:r>
            <w:r w:rsidR="00BD4E89">
              <w:rPr>
                <w:noProof/>
                <w:webHidden/>
              </w:rPr>
              <w:instrText xml:space="preserve"> PAGEREF _Toc108784929 \h </w:instrText>
            </w:r>
            <w:r w:rsidR="00BD4E89">
              <w:rPr>
                <w:noProof/>
                <w:webHidden/>
              </w:rPr>
            </w:r>
            <w:r w:rsidR="00BD4E89">
              <w:rPr>
                <w:noProof/>
                <w:webHidden/>
              </w:rPr>
              <w:fldChar w:fldCharType="separate"/>
            </w:r>
            <w:r w:rsidR="00896BE0">
              <w:rPr>
                <w:noProof/>
                <w:webHidden/>
              </w:rPr>
              <w:t>186</w:t>
            </w:r>
            <w:r w:rsidR="00BD4E89">
              <w:rPr>
                <w:noProof/>
                <w:webHidden/>
              </w:rPr>
              <w:fldChar w:fldCharType="end"/>
            </w:r>
          </w:hyperlink>
        </w:p>
        <w:p w14:paraId="52FD98C1" w14:textId="595B50A7" w:rsidR="00BD4E89" w:rsidRDefault="009B3225">
          <w:pPr>
            <w:pStyle w:val="TOC1"/>
            <w:tabs>
              <w:tab w:val="right" w:leader="dot" w:pos="9016"/>
            </w:tabs>
            <w:rPr>
              <w:rFonts w:eastAsiaTheme="minorEastAsia" w:cstheme="minorBidi"/>
              <w:b w:val="0"/>
              <w:bCs w:val="0"/>
              <w:caps w:val="0"/>
              <w:noProof/>
              <w:sz w:val="22"/>
              <w:szCs w:val="22"/>
              <w:lang w:val="en-US" w:eastAsia="en-US"/>
            </w:rPr>
          </w:pPr>
          <w:hyperlink w:anchor="_Toc108784930" w:history="1">
            <w:r w:rsidR="00BD4E89" w:rsidRPr="00957E81">
              <w:rPr>
                <w:rStyle w:val="Hyperlink"/>
                <w:noProof/>
              </w:rPr>
              <w:t>Appendix F: Strengths of supported DMHSs word clouds</w:t>
            </w:r>
            <w:r w:rsidR="00BD4E89">
              <w:rPr>
                <w:noProof/>
                <w:webHidden/>
              </w:rPr>
              <w:tab/>
            </w:r>
            <w:r w:rsidR="00BD4E89">
              <w:rPr>
                <w:noProof/>
                <w:webHidden/>
              </w:rPr>
              <w:fldChar w:fldCharType="begin"/>
            </w:r>
            <w:r w:rsidR="00BD4E89">
              <w:rPr>
                <w:noProof/>
                <w:webHidden/>
              </w:rPr>
              <w:instrText xml:space="preserve"> PAGEREF _Toc108784930 \h </w:instrText>
            </w:r>
            <w:r w:rsidR="00BD4E89">
              <w:rPr>
                <w:noProof/>
                <w:webHidden/>
              </w:rPr>
            </w:r>
            <w:r w:rsidR="00BD4E89">
              <w:rPr>
                <w:noProof/>
                <w:webHidden/>
              </w:rPr>
              <w:fldChar w:fldCharType="separate"/>
            </w:r>
            <w:r w:rsidR="00896BE0">
              <w:rPr>
                <w:noProof/>
                <w:webHidden/>
              </w:rPr>
              <w:t>187</w:t>
            </w:r>
            <w:r w:rsidR="00BD4E89">
              <w:rPr>
                <w:noProof/>
                <w:webHidden/>
              </w:rPr>
              <w:fldChar w:fldCharType="end"/>
            </w:r>
          </w:hyperlink>
        </w:p>
        <w:p w14:paraId="65DA0A17" w14:textId="5D11F84C" w:rsidR="00BD4E89" w:rsidRDefault="009B3225">
          <w:pPr>
            <w:pStyle w:val="TOC1"/>
            <w:tabs>
              <w:tab w:val="right" w:leader="dot" w:pos="9016"/>
            </w:tabs>
            <w:rPr>
              <w:rFonts w:eastAsiaTheme="minorEastAsia" w:cstheme="minorBidi"/>
              <w:b w:val="0"/>
              <w:bCs w:val="0"/>
              <w:caps w:val="0"/>
              <w:noProof/>
              <w:sz w:val="22"/>
              <w:szCs w:val="22"/>
              <w:lang w:val="en-US" w:eastAsia="en-US"/>
            </w:rPr>
          </w:pPr>
          <w:hyperlink w:anchor="_Toc108784931" w:history="1">
            <w:r w:rsidR="00BD4E89" w:rsidRPr="00957E81">
              <w:rPr>
                <w:rStyle w:val="Hyperlink"/>
                <w:noProof/>
              </w:rPr>
              <w:t>Appendix G: Barriers to use of supported DMHSs word clouds</w:t>
            </w:r>
            <w:r w:rsidR="00BD4E89">
              <w:rPr>
                <w:noProof/>
                <w:webHidden/>
              </w:rPr>
              <w:tab/>
            </w:r>
            <w:r w:rsidR="00BD4E89">
              <w:rPr>
                <w:noProof/>
                <w:webHidden/>
              </w:rPr>
              <w:fldChar w:fldCharType="begin"/>
            </w:r>
            <w:r w:rsidR="00BD4E89">
              <w:rPr>
                <w:noProof/>
                <w:webHidden/>
              </w:rPr>
              <w:instrText xml:space="preserve"> PAGEREF _Toc108784931 \h </w:instrText>
            </w:r>
            <w:r w:rsidR="00BD4E89">
              <w:rPr>
                <w:noProof/>
                <w:webHidden/>
              </w:rPr>
            </w:r>
            <w:r w:rsidR="00BD4E89">
              <w:rPr>
                <w:noProof/>
                <w:webHidden/>
              </w:rPr>
              <w:fldChar w:fldCharType="separate"/>
            </w:r>
            <w:r w:rsidR="00896BE0">
              <w:rPr>
                <w:noProof/>
                <w:webHidden/>
              </w:rPr>
              <w:t>188</w:t>
            </w:r>
            <w:r w:rsidR="00BD4E89">
              <w:rPr>
                <w:noProof/>
                <w:webHidden/>
              </w:rPr>
              <w:fldChar w:fldCharType="end"/>
            </w:r>
          </w:hyperlink>
        </w:p>
        <w:p w14:paraId="78C1F65C" w14:textId="6E8F2785" w:rsidR="00BD4E89" w:rsidRDefault="009B3225">
          <w:pPr>
            <w:pStyle w:val="TOC1"/>
            <w:tabs>
              <w:tab w:val="right" w:leader="dot" w:pos="9016"/>
            </w:tabs>
            <w:rPr>
              <w:rFonts w:eastAsiaTheme="minorEastAsia" w:cstheme="minorBidi"/>
              <w:b w:val="0"/>
              <w:bCs w:val="0"/>
              <w:caps w:val="0"/>
              <w:noProof/>
              <w:sz w:val="22"/>
              <w:szCs w:val="22"/>
              <w:lang w:val="en-US" w:eastAsia="en-US"/>
            </w:rPr>
          </w:pPr>
          <w:hyperlink w:anchor="_Toc108784932" w:history="1">
            <w:r w:rsidR="00BD4E89" w:rsidRPr="00957E81">
              <w:rPr>
                <w:rStyle w:val="Hyperlink"/>
                <w:noProof/>
              </w:rPr>
              <w:t>Appendix H: Effectiveness of supported DMHSs word clouds</w:t>
            </w:r>
            <w:r w:rsidR="00BD4E89">
              <w:rPr>
                <w:noProof/>
                <w:webHidden/>
              </w:rPr>
              <w:tab/>
            </w:r>
            <w:r w:rsidR="00BD4E89">
              <w:rPr>
                <w:noProof/>
                <w:webHidden/>
              </w:rPr>
              <w:fldChar w:fldCharType="begin"/>
            </w:r>
            <w:r w:rsidR="00BD4E89">
              <w:rPr>
                <w:noProof/>
                <w:webHidden/>
              </w:rPr>
              <w:instrText xml:space="preserve"> PAGEREF _Toc108784932 \h </w:instrText>
            </w:r>
            <w:r w:rsidR="00BD4E89">
              <w:rPr>
                <w:noProof/>
                <w:webHidden/>
              </w:rPr>
            </w:r>
            <w:r w:rsidR="00BD4E89">
              <w:rPr>
                <w:noProof/>
                <w:webHidden/>
              </w:rPr>
              <w:fldChar w:fldCharType="separate"/>
            </w:r>
            <w:r w:rsidR="00896BE0">
              <w:rPr>
                <w:noProof/>
                <w:webHidden/>
              </w:rPr>
              <w:t>189</w:t>
            </w:r>
            <w:r w:rsidR="00BD4E89">
              <w:rPr>
                <w:noProof/>
                <w:webHidden/>
              </w:rPr>
              <w:fldChar w:fldCharType="end"/>
            </w:r>
          </w:hyperlink>
        </w:p>
        <w:p w14:paraId="441517BD" w14:textId="6E9F0C07" w:rsidR="00BD4E89" w:rsidRDefault="009B3225">
          <w:pPr>
            <w:pStyle w:val="TOC1"/>
            <w:tabs>
              <w:tab w:val="right" w:leader="dot" w:pos="9016"/>
            </w:tabs>
            <w:rPr>
              <w:rFonts w:eastAsiaTheme="minorEastAsia" w:cstheme="minorBidi"/>
              <w:b w:val="0"/>
              <w:bCs w:val="0"/>
              <w:caps w:val="0"/>
              <w:noProof/>
              <w:sz w:val="22"/>
              <w:szCs w:val="22"/>
              <w:lang w:val="en-US" w:eastAsia="en-US"/>
            </w:rPr>
          </w:pPr>
          <w:hyperlink w:anchor="_Toc108784933" w:history="1">
            <w:r w:rsidR="00BD4E89" w:rsidRPr="00957E81">
              <w:rPr>
                <w:rStyle w:val="Hyperlink"/>
                <w:noProof/>
              </w:rPr>
              <w:t>Appendix I: Most and least important features of supported DMHSs</w:t>
            </w:r>
            <w:r w:rsidR="00BD4E89">
              <w:rPr>
                <w:noProof/>
                <w:webHidden/>
              </w:rPr>
              <w:tab/>
            </w:r>
            <w:r w:rsidR="00BD4E89">
              <w:rPr>
                <w:noProof/>
                <w:webHidden/>
              </w:rPr>
              <w:fldChar w:fldCharType="begin"/>
            </w:r>
            <w:r w:rsidR="00BD4E89">
              <w:rPr>
                <w:noProof/>
                <w:webHidden/>
              </w:rPr>
              <w:instrText xml:space="preserve"> PAGEREF _Toc108784933 \h </w:instrText>
            </w:r>
            <w:r w:rsidR="00BD4E89">
              <w:rPr>
                <w:noProof/>
                <w:webHidden/>
              </w:rPr>
            </w:r>
            <w:r w:rsidR="00BD4E89">
              <w:rPr>
                <w:noProof/>
                <w:webHidden/>
              </w:rPr>
              <w:fldChar w:fldCharType="separate"/>
            </w:r>
            <w:r w:rsidR="00896BE0">
              <w:rPr>
                <w:noProof/>
                <w:webHidden/>
              </w:rPr>
              <w:t>190</w:t>
            </w:r>
            <w:r w:rsidR="00BD4E89">
              <w:rPr>
                <w:noProof/>
                <w:webHidden/>
              </w:rPr>
              <w:fldChar w:fldCharType="end"/>
            </w:r>
          </w:hyperlink>
        </w:p>
        <w:p w14:paraId="783C9249" w14:textId="3C22033D" w:rsidR="00BD4E89" w:rsidRDefault="009B3225">
          <w:pPr>
            <w:pStyle w:val="TOC1"/>
            <w:tabs>
              <w:tab w:val="right" w:leader="dot" w:pos="9016"/>
            </w:tabs>
            <w:rPr>
              <w:rFonts w:eastAsiaTheme="minorEastAsia" w:cstheme="minorBidi"/>
              <w:b w:val="0"/>
              <w:bCs w:val="0"/>
              <w:caps w:val="0"/>
              <w:noProof/>
              <w:sz w:val="22"/>
              <w:szCs w:val="22"/>
              <w:lang w:val="en-US" w:eastAsia="en-US"/>
            </w:rPr>
          </w:pPr>
          <w:hyperlink w:anchor="_Toc108784934" w:history="1">
            <w:r w:rsidR="00BD4E89" w:rsidRPr="00957E81">
              <w:rPr>
                <w:rStyle w:val="Hyperlink"/>
                <w:noProof/>
              </w:rPr>
              <w:t>Appendix J: Survey questions for additional health professionals delivering (or referring consumers to) mental health services</w:t>
            </w:r>
            <w:r w:rsidR="00BD4E89">
              <w:rPr>
                <w:noProof/>
                <w:webHidden/>
              </w:rPr>
              <w:tab/>
            </w:r>
            <w:r w:rsidR="00BD4E89">
              <w:rPr>
                <w:noProof/>
                <w:webHidden/>
              </w:rPr>
              <w:fldChar w:fldCharType="begin"/>
            </w:r>
            <w:r w:rsidR="00BD4E89">
              <w:rPr>
                <w:noProof/>
                <w:webHidden/>
              </w:rPr>
              <w:instrText xml:space="preserve"> PAGEREF _Toc108784934 \h </w:instrText>
            </w:r>
            <w:r w:rsidR="00BD4E89">
              <w:rPr>
                <w:noProof/>
                <w:webHidden/>
              </w:rPr>
            </w:r>
            <w:r w:rsidR="00BD4E89">
              <w:rPr>
                <w:noProof/>
                <w:webHidden/>
              </w:rPr>
              <w:fldChar w:fldCharType="separate"/>
            </w:r>
            <w:r w:rsidR="00896BE0">
              <w:rPr>
                <w:noProof/>
                <w:webHidden/>
              </w:rPr>
              <w:t>191</w:t>
            </w:r>
            <w:r w:rsidR="00BD4E89">
              <w:rPr>
                <w:noProof/>
                <w:webHidden/>
              </w:rPr>
              <w:fldChar w:fldCharType="end"/>
            </w:r>
          </w:hyperlink>
        </w:p>
        <w:p w14:paraId="46C4F88D" w14:textId="472D8136" w:rsidR="00BD4E89" w:rsidRDefault="009B3225">
          <w:pPr>
            <w:pStyle w:val="TOC1"/>
            <w:tabs>
              <w:tab w:val="right" w:leader="dot" w:pos="9016"/>
            </w:tabs>
            <w:rPr>
              <w:rFonts w:eastAsiaTheme="minorEastAsia" w:cstheme="minorBidi"/>
              <w:b w:val="0"/>
              <w:bCs w:val="0"/>
              <w:caps w:val="0"/>
              <w:noProof/>
              <w:sz w:val="22"/>
              <w:szCs w:val="22"/>
              <w:lang w:val="en-US" w:eastAsia="en-US"/>
            </w:rPr>
          </w:pPr>
          <w:hyperlink w:anchor="_Toc108784935" w:history="1">
            <w:r w:rsidR="00BD4E89" w:rsidRPr="00957E81">
              <w:rPr>
                <w:rStyle w:val="Hyperlink"/>
                <w:noProof/>
              </w:rPr>
              <w:t>Appendix K: Other key stakeholder interview/survey questions</w:t>
            </w:r>
            <w:r w:rsidR="00BD4E89">
              <w:rPr>
                <w:noProof/>
                <w:webHidden/>
              </w:rPr>
              <w:tab/>
            </w:r>
            <w:r w:rsidR="00BD4E89">
              <w:rPr>
                <w:noProof/>
                <w:webHidden/>
              </w:rPr>
              <w:fldChar w:fldCharType="begin"/>
            </w:r>
            <w:r w:rsidR="00BD4E89">
              <w:rPr>
                <w:noProof/>
                <w:webHidden/>
              </w:rPr>
              <w:instrText xml:space="preserve"> PAGEREF _Toc108784935 \h </w:instrText>
            </w:r>
            <w:r w:rsidR="00BD4E89">
              <w:rPr>
                <w:noProof/>
                <w:webHidden/>
              </w:rPr>
            </w:r>
            <w:r w:rsidR="00BD4E89">
              <w:rPr>
                <w:noProof/>
                <w:webHidden/>
              </w:rPr>
              <w:fldChar w:fldCharType="separate"/>
            </w:r>
            <w:r w:rsidR="00896BE0">
              <w:rPr>
                <w:noProof/>
                <w:webHidden/>
              </w:rPr>
              <w:t>197</w:t>
            </w:r>
            <w:r w:rsidR="00BD4E89">
              <w:rPr>
                <w:noProof/>
                <w:webHidden/>
              </w:rPr>
              <w:fldChar w:fldCharType="end"/>
            </w:r>
          </w:hyperlink>
        </w:p>
        <w:p w14:paraId="0D8000C8" w14:textId="4A45CFD8" w:rsidR="00BD4E89" w:rsidRDefault="009B3225">
          <w:pPr>
            <w:pStyle w:val="TOC1"/>
            <w:tabs>
              <w:tab w:val="right" w:leader="dot" w:pos="9016"/>
            </w:tabs>
            <w:rPr>
              <w:rFonts w:eastAsiaTheme="minorEastAsia" w:cstheme="minorBidi"/>
              <w:b w:val="0"/>
              <w:bCs w:val="0"/>
              <w:caps w:val="0"/>
              <w:noProof/>
              <w:sz w:val="22"/>
              <w:szCs w:val="22"/>
              <w:lang w:val="en-US" w:eastAsia="en-US"/>
            </w:rPr>
          </w:pPr>
          <w:hyperlink w:anchor="_Toc108784936" w:history="1">
            <w:r w:rsidR="00BD4E89" w:rsidRPr="00957E81">
              <w:rPr>
                <w:rStyle w:val="Hyperlink"/>
                <w:noProof/>
              </w:rPr>
              <w:t>Appendix L: Cost effectiveness modelling</w:t>
            </w:r>
            <w:r w:rsidR="00BD4E89">
              <w:rPr>
                <w:noProof/>
                <w:webHidden/>
              </w:rPr>
              <w:tab/>
            </w:r>
            <w:r w:rsidR="00BD4E89">
              <w:rPr>
                <w:noProof/>
                <w:webHidden/>
              </w:rPr>
              <w:fldChar w:fldCharType="begin"/>
            </w:r>
            <w:r w:rsidR="00BD4E89">
              <w:rPr>
                <w:noProof/>
                <w:webHidden/>
              </w:rPr>
              <w:instrText xml:space="preserve"> PAGEREF _Toc108784936 \h </w:instrText>
            </w:r>
            <w:r w:rsidR="00BD4E89">
              <w:rPr>
                <w:noProof/>
                <w:webHidden/>
              </w:rPr>
            </w:r>
            <w:r w:rsidR="00BD4E89">
              <w:rPr>
                <w:noProof/>
                <w:webHidden/>
              </w:rPr>
              <w:fldChar w:fldCharType="separate"/>
            </w:r>
            <w:r w:rsidR="00896BE0">
              <w:rPr>
                <w:noProof/>
                <w:webHidden/>
              </w:rPr>
              <w:t>199</w:t>
            </w:r>
            <w:r w:rsidR="00BD4E89">
              <w:rPr>
                <w:noProof/>
                <w:webHidden/>
              </w:rPr>
              <w:fldChar w:fldCharType="end"/>
            </w:r>
          </w:hyperlink>
        </w:p>
        <w:p w14:paraId="3F50A2DD" w14:textId="02AABE0B" w:rsidR="00707955" w:rsidRDefault="00123716" w:rsidP="009567E5">
          <w:pPr>
            <w:outlineLvl w:val="0"/>
          </w:pPr>
          <w:r w:rsidRPr="00E96C95">
            <w:rPr>
              <w:rFonts w:asciiTheme="minorHAnsi" w:hAnsiTheme="minorHAnsi" w:cstheme="minorHAnsi"/>
              <w:caps/>
              <w:sz w:val="20"/>
              <w:szCs w:val="20"/>
            </w:rPr>
            <w:fldChar w:fldCharType="end"/>
          </w:r>
        </w:p>
      </w:sdtContent>
    </w:sdt>
    <w:p w14:paraId="22CB2AA4" w14:textId="77777777" w:rsidR="007A2CB6" w:rsidRPr="00AA6B28" w:rsidRDefault="007A2CB6" w:rsidP="00140C5B">
      <w:pPr>
        <w:pStyle w:val="Heading1"/>
        <w:numPr>
          <w:ilvl w:val="0"/>
          <w:numId w:val="132"/>
        </w:numPr>
        <w:sectPr w:rsidR="007A2CB6" w:rsidRPr="00AA6B28" w:rsidSect="00704240">
          <w:footerReference w:type="even" r:id="rId9"/>
          <w:footerReference w:type="default" r:id="rId10"/>
          <w:pgSz w:w="11906" w:h="16838"/>
          <w:pgMar w:top="1440" w:right="1440" w:bottom="1440" w:left="1440" w:header="708" w:footer="708" w:gutter="0"/>
          <w:cols w:space="708"/>
          <w:docGrid w:linePitch="360"/>
        </w:sectPr>
      </w:pPr>
    </w:p>
    <w:p w14:paraId="51B39558" w14:textId="38224A7A" w:rsidR="007D3B49" w:rsidRPr="007D3B49" w:rsidRDefault="00146FDC" w:rsidP="009567E5">
      <w:pPr>
        <w:pStyle w:val="Heading1"/>
      </w:pPr>
      <w:bookmarkStart w:id="9" w:name="_Toc87968421"/>
      <w:bookmarkStart w:id="10" w:name="_Toc87972070"/>
      <w:bookmarkStart w:id="11" w:name="_Toc108784809"/>
      <w:r w:rsidRPr="00AA6B28">
        <w:lastRenderedPageBreak/>
        <w:t>Executive summary</w:t>
      </w:r>
      <w:bookmarkEnd w:id="9"/>
      <w:bookmarkEnd w:id="10"/>
      <w:bookmarkEnd w:id="11"/>
    </w:p>
    <w:p w14:paraId="695F05A6" w14:textId="674B6308" w:rsidR="004D589A" w:rsidRDefault="004D589A" w:rsidP="006F6DCB">
      <w:pPr>
        <w:pStyle w:val="Heading2"/>
        <w:numPr>
          <w:ilvl w:val="0"/>
          <w:numId w:val="0"/>
        </w:numPr>
      </w:pPr>
      <w:bookmarkStart w:id="12" w:name="_Toc108784810"/>
      <w:r>
        <w:t>Background</w:t>
      </w:r>
      <w:bookmarkEnd w:id="12"/>
    </w:p>
    <w:p w14:paraId="3A2FD8F0" w14:textId="518882C3" w:rsidR="00CA64E6" w:rsidRDefault="00F23487" w:rsidP="005E3218">
      <w:pPr>
        <w:pStyle w:val="ANorm"/>
        <w:spacing w:after="240"/>
        <w:rPr>
          <w:lang w:val="en-US" w:bidi="th-TH"/>
        </w:rPr>
      </w:pPr>
      <w:r w:rsidRPr="00AA6B28">
        <w:rPr>
          <w:lang w:val="en-US" w:bidi="th-TH"/>
        </w:rPr>
        <w:t xml:space="preserve">The Australian Government funds numerous digital mental health services (DMHSs), </w:t>
      </w:r>
      <w:r w:rsidR="00E65412">
        <w:rPr>
          <w:lang w:val="en-US" w:bidi="th-TH"/>
        </w:rPr>
        <w:t xml:space="preserve">listed on the </w:t>
      </w:r>
      <w:r w:rsidRPr="00AA6B28">
        <w:rPr>
          <w:lang w:val="en-US" w:bidi="th-TH"/>
        </w:rPr>
        <w:t>Australian Department of Health digital mental health gateway, Head to Health (</w:t>
      </w:r>
      <w:hyperlink r:id="rId11">
        <w:r w:rsidRPr="00AA6B28">
          <w:rPr>
            <w:lang w:val="en-US" w:bidi="th-TH"/>
          </w:rPr>
          <w:t>www.headtohealth.gov.au</w:t>
        </w:r>
      </w:hyperlink>
      <w:r w:rsidRPr="00AA6B28">
        <w:rPr>
          <w:lang w:val="en-US" w:bidi="th-TH"/>
        </w:rPr>
        <w:t>).</w:t>
      </w:r>
      <w:r w:rsidR="00B81CB1">
        <w:rPr>
          <w:lang w:val="en-US" w:bidi="th-TH"/>
        </w:rPr>
        <w:fldChar w:fldCharType="begin"/>
      </w:r>
      <w:r w:rsidR="00EF0F80">
        <w:rPr>
          <w:lang w:val="en-US" w:bidi="th-TH"/>
        </w:rPr>
        <w:instrText xml:space="preserve"> ADDIN EN.CITE &lt;EndNote&gt;&lt;Cite&gt;&lt;Author&gt;Department of Health&lt;/Author&gt;&lt;Year&gt;n.d.&lt;/Year&gt;&lt;RecNum&gt;1&lt;/RecNum&gt;&lt;DisplayText&gt;&lt;style face="superscript"&gt;1&lt;/style&gt;&lt;/DisplayText&gt;&lt;record&gt;&lt;rec-number&gt;1&lt;/rec-number&gt;&lt;foreign-keys&gt;&lt;key app="EN" db-id="dawtr0zrkrzfa5edzzlpe2we0xa00t90vvr2" timestamp="1622893172"&gt;1&lt;/key&gt;&lt;/foreign-keys&gt;&lt;ref-type name="Web Page"&gt;12&lt;/ref-type&gt;&lt;contributors&gt;&lt;authors&gt;&lt;author&gt;Department of Health,&lt;/author&gt;&lt;/authors&gt;&lt;/contributors&gt;&lt;titles&gt;&lt;title&gt;Head to Health&lt;/title&gt;&lt;/titles&gt;&lt;volume&gt;2021&lt;/volume&gt;&lt;number&gt;5 June&lt;/number&gt;&lt;dates&gt;&lt;year&gt;n.d.&lt;/year&gt;&lt;/dates&gt;&lt;pub-location&gt;Canberra&lt;/pub-location&gt;&lt;publisher&gt;Australian Government&lt;/publisher&gt;&lt;urls&gt;&lt;related-urls&gt;&lt;url&gt;&lt;style face="underline" font="default" size="100%"&gt;https://headtohealth.gov.au/&lt;/style&gt;&lt;/url&gt;&lt;/related-urls&gt;&lt;/urls&gt;&lt;/record&gt;&lt;/Cite&gt;&lt;/EndNote&gt;</w:instrText>
      </w:r>
      <w:r w:rsidR="00B81CB1">
        <w:rPr>
          <w:lang w:val="en-US" w:bidi="th-TH"/>
        </w:rPr>
        <w:fldChar w:fldCharType="separate"/>
      </w:r>
      <w:r w:rsidR="00443B60" w:rsidRPr="00443B60">
        <w:rPr>
          <w:noProof/>
          <w:vertAlign w:val="superscript"/>
          <w:lang w:val="en-US" w:bidi="th-TH"/>
        </w:rPr>
        <w:t>1</w:t>
      </w:r>
      <w:r w:rsidR="00B81CB1">
        <w:rPr>
          <w:lang w:val="en-US" w:bidi="th-TH"/>
        </w:rPr>
        <w:fldChar w:fldCharType="end"/>
      </w:r>
    </w:p>
    <w:p w14:paraId="5B5121BC" w14:textId="2A70136F" w:rsidR="00F23487" w:rsidRPr="00F019DF" w:rsidRDefault="00F23487" w:rsidP="005E3218">
      <w:pPr>
        <w:pStyle w:val="ANorm"/>
        <w:spacing w:after="240"/>
        <w:rPr>
          <w:lang w:val="en-US" w:bidi="th-TH"/>
        </w:rPr>
      </w:pPr>
      <w:r w:rsidRPr="00F019DF">
        <w:rPr>
          <w:lang w:val="en-US" w:bidi="th-TH"/>
        </w:rPr>
        <w:t xml:space="preserve">DMHSs </w:t>
      </w:r>
      <w:r w:rsidR="00F725F5" w:rsidRPr="00F019DF">
        <w:rPr>
          <w:lang w:val="en-US" w:bidi="th-TH"/>
        </w:rPr>
        <w:t>r</w:t>
      </w:r>
      <w:r w:rsidRPr="00F019DF">
        <w:rPr>
          <w:lang w:val="en-US" w:bidi="th-TH"/>
        </w:rPr>
        <w:t xml:space="preserve">efer to mental health </w:t>
      </w:r>
      <w:proofErr w:type="spellStart"/>
      <w:r w:rsidRPr="00F019DF">
        <w:rPr>
          <w:lang w:val="en-US" w:bidi="th-TH"/>
        </w:rPr>
        <w:t>organisations</w:t>
      </w:r>
      <w:proofErr w:type="spellEnd"/>
      <w:r w:rsidRPr="00F019DF">
        <w:rPr>
          <w:lang w:val="en-US" w:bidi="th-TH"/>
        </w:rPr>
        <w:t xml:space="preserve"> or programs that remotely deliver a range </w:t>
      </w:r>
      <w:r w:rsidR="005C5B53">
        <w:rPr>
          <w:lang w:val="en-US" w:bidi="th-TH"/>
        </w:rPr>
        <w:t xml:space="preserve">of </w:t>
      </w:r>
      <w:r w:rsidRPr="00F019DF">
        <w:rPr>
          <w:lang w:val="en-US" w:bidi="th-TH"/>
        </w:rPr>
        <w:t>psychological strategies and interventions via online (desktops, mobile devices and apps) and/or mobile platforms.</w:t>
      </w:r>
      <w:r w:rsidR="00B81CB1">
        <w:rPr>
          <w:lang w:val="en-US" w:bidi="th-TH"/>
        </w:rPr>
        <w:fldChar w:fldCharType="begin"/>
      </w:r>
      <w:r w:rsidR="00443B60">
        <w:rPr>
          <w:lang w:val="en-US" w:bidi="th-TH"/>
        </w:rPr>
        <w:instrText xml:space="preserve"> ADDIN EN.CITE &lt;EndNote&gt;&lt;Cite&gt;&lt;Author&gt;Lattie&lt;/Author&gt;&lt;Year&gt;2022&lt;/Year&gt;&lt;RecNum&gt;116&lt;/RecNum&gt;&lt;DisplayText&gt;&lt;style face="superscript"&gt;2, 3&lt;/style&gt;&lt;/DisplayText&gt;&lt;record&gt;&lt;rec-number&gt;116&lt;/rec-number&gt;&lt;foreign-keys&gt;&lt;key app="EN" db-id="dawtr0zrkrzfa5edzzlpe2we0xa00t90vvr2" timestamp="1648438718"&gt;116&lt;/key&gt;&lt;/foreign-keys&gt;&lt;ref-type name="Journal Article"&gt;17&lt;/ref-type&gt;&lt;contributors&gt;&lt;authors&gt;&lt;author&gt;Lattie, Emily G.&lt;/author&gt;&lt;author&gt;Stiles-Shields, Colleen&lt;/author&gt;&lt;author&gt;Graham, Andrea K.&lt;/author&gt;&lt;/authors&gt;&lt;/contributors&gt;&lt;titles&gt;&lt;title&gt;An overview of and recommendations for more accessible digital mental health services&lt;/title&gt;&lt;secondary-title&gt;Nature Reviews Psychology&lt;/secondary-title&gt;&lt;/titles&gt;&lt;periodical&gt;&lt;full-title&gt;Nature Reviews Psychology&lt;/full-title&gt;&lt;/periodical&gt;&lt;pages&gt;87-100&lt;/pages&gt;&lt;volume&gt;1&lt;/volume&gt;&lt;number&gt;2&lt;/number&gt;&lt;dates&gt;&lt;year&gt;2022&lt;/year&gt;&lt;pub-dates&gt;&lt;date&gt;2022/02/01&lt;/date&gt;&lt;/pub-dates&gt;&lt;/dates&gt;&lt;isbn&gt;2731-0574&lt;/isbn&gt;&lt;urls&gt;&lt;related-urls&gt;&lt;url&gt;https://doi.org/10.1038/s44159-021-00003-1&lt;/url&gt;&lt;/related-urls&gt;&lt;/urls&gt;&lt;electronic-resource-num&gt;10.1038/s44159-021-00003-1&lt;/electronic-resource-num&gt;&lt;/record&gt;&lt;/Cite&gt;&lt;Cite&gt;&lt;Author&gt;Department of Health&lt;/Author&gt;&lt;Year&gt;2021&lt;/Year&gt;&lt;RecNum&gt;118&lt;/RecNum&gt;&lt;record&gt;&lt;rec-number&gt;118&lt;/rec-number&gt;&lt;foreign-keys&gt;&lt;key app="EN" db-id="dawtr0zrkrzfa5edzzlpe2we0xa00t90vvr2" timestamp="1648439268"&gt;118&lt;/key&gt;&lt;/foreign-keys&gt;&lt;ref-type name="Report"&gt;27&lt;/ref-type&gt;&lt;contributors&gt;&lt;authors&gt;&lt;author&gt;Department of Health,&lt;/author&gt;&lt;/authors&gt;&lt;/contributors&gt;&lt;titles&gt;&lt;title&gt;Form of Request for Quotation: Procurement of an organisation to undertake the independent evaluation of supported online mental health treatment services&lt;/title&gt;&lt;/titles&gt;&lt;dates&gt;&lt;year&gt;2021&lt;/year&gt;&lt;/dates&gt;&lt;pub-location&gt;Canberra&lt;/pub-location&gt;&lt;publisher&gt;Australian Government&lt;/publisher&gt;&lt;urls&gt;&lt;/urls&gt;&lt;/record&gt;&lt;/Cite&gt;&lt;/EndNote&gt;</w:instrText>
      </w:r>
      <w:r w:rsidR="00B81CB1">
        <w:rPr>
          <w:lang w:val="en-US" w:bidi="th-TH"/>
        </w:rPr>
        <w:fldChar w:fldCharType="separate"/>
      </w:r>
      <w:r w:rsidR="00443B60" w:rsidRPr="00443B60">
        <w:rPr>
          <w:noProof/>
          <w:vertAlign w:val="superscript"/>
          <w:lang w:val="en-US" w:bidi="th-TH"/>
        </w:rPr>
        <w:t>2, 3</w:t>
      </w:r>
      <w:r w:rsidR="00B81CB1">
        <w:rPr>
          <w:lang w:val="en-US" w:bidi="th-TH"/>
        </w:rPr>
        <w:fldChar w:fldCharType="end"/>
      </w:r>
      <w:r w:rsidRPr="00F019DF">
        <w:rPr>
          <w:lang w:val="en-US" w:bidi="th-TH"/>
        </w:rPr>
        <w:t xml:space="preserve"> DMHSs include services delivered by phone (e.g., crisis and counselling services) or videoconference-based connections (e.g., telehealth).</w:t>
      </w:r>
      <w:r w:rsidR="00B81CB1">
        <w:rPr>
          <w:lang w:val="en-US" w:bidi="th-TH"/>
        </w:rPr>
        <w:fldChar w:fldCharType="begin"/>
      </w:r>
      <w:r w:rsidR="00443B60">
        <w:rPr>
          <w:lang w:val="en-US" w:bidi="th-TH"/>
        </w:rPr>
        <w:instrText xml:space="preserve"> ADDIN EN.CITE &lt;EndNote&gt;&lt;Cite&gt;&lt;Author&gt;Department of Health&lt;/Author&gt;&lt;Year&gt;2021&lt;/Year&gt;&lt;RecNum&gt;118&lt;/RecNum&gt;&lt;DisplayText&gt;&lt;style face="superscript"&gt;3&lt;/style&gt;&lt;/DisplayText&gt;&lt;record&gt;&lt;rec-number&gt;118&lt;/rec-number&gt;&lt;foreign-keys&gt;&lt;key app="EN" db-id="dawtr0zrkrzfa5edzzlpe2we0xa00t90vvr2" timestamp="1648439268"&gt;118&lt;/key&gt;&lt;/foreign-keys&gt;&lt;ref-type name="Report"&gt;27&lt;/ref-type&gt;&lt;contributors&gt;&lt;authors&gt;&lt;author&gt;Department of Health,&lt;/author&gt;&lt;/authors&gt;&lt;/contributors&gt;&lt;titles&gt;&lt;title&gt;Form of Request for Quotation: Procurement of an organisation to undertake the independent evaluation of supported online mental health treatment services&lt;/title&gt;&lt;/titles&gt;&lt;dates&gt;&lt;year&gt;2021&lt;/year&gt;&lt;/dates&gt;&lt;pub-location&gt;Canberra&lt;/pub-location&gt;&lt;publisher&gt;Australian Government&lt;/publisher&gt;&lt;urls&gt;&lt;/urls&gt;&lt;/record&gt;&lt;/Cite&gt;&lt;/EndNote&gt;</w:instrText>
      </w:r>
      <w:r w:rsidR="00B81CB1">
        <w:rPr>
          <w:lang w:val="en-US" w:bidi="th-TH"/>
        </w:rPr>
        <w:fldChar w:fldCharType="separate"/>
      </w:r>
      <w:r w:rsidR="00443B60" w:rsidRPr="00443B60">
        <w:rPr>
          <w:noProof/>
          <w:vertAlign w:val="superscript"/>
          <w:lang w:val="en-US" w:bidi="th-TH"/>
        </w:rPr>
        <w:t>3</w:t>
      </w:r>
      <w:r w:rsidR="00B81CB1">
        <w:rPr>
          <w:lang w:val="en-US" w:bidi="th-TH"/>
        </w:rPr>
        <w:fldChar w:fldCharType="end"/>
      </w:r>
      <w:r w:rsidRPr="00F019DF">
        <w:rPr>
          <w:lang w:val="en-US" w:bidi="th-TH"/>
        </w:rPr>
        <w:t xml:space="preserve"> </w:t>
      </w:r>
      <w:r w:rsidR="00F725F5" w:rsidRPr="00F019DF">
        <w:rPr>
          <w:lang w:val="en-US" w:bidi="th-TH"/>
        </w:rPr>
        <w:t>D</w:t>
      </w:r>
      <w:r w:rsidRPr="00F019DF">
        <w:rPr>
          <w:lang w:val="en-US" w:bidi="th-TH"/>
        </w:rPr>
        <w:t>igital mental health interventions (DMHIs) refer specifically to digital mental health treatment, which is one of several components of what DMHSs offer.</w:t>
      </w:r>
    </w:p>
    <w:p w14:paraId="49CD0647" w14:textId="28A6609E" w:rsidR="00F23487" w:rsidRPr="009567E5" w:rsidRDefault="00F725F5" w:rsidP="005E3218">
      <w:pPr>
        <w:pStyle w:val="ANorm"/>
        <w:spacing w:after="240"/>
        <w:rPr>
          <w:color w:val="000000"/>
        </w:rPr>
      </w:pPr>
      <w:r w:rsidRPr="00F019DF">
        <w:rPr>
          <w:lang w:val="en-US" w:bidi="th-TH"/>
        </w:rPr>
        <w:t xml:space="preserve">Online </w:t>
      </w:r>
      <w:r w:rsidR="00F23487" w:rsidRPr="00F019DF">
        <w:rPr>
          <w:lang w:val="en-US" w:bidi="th-TH"/>
        </w:rPr>
        <w:t>DMHSs</w:t>
      </w:r>
      <w:r w:rsidRPr="00F019DF">
        <w:rPr>
          <w:lang w:val="en-US" w:bidi="th-TH"/>
        </w:rPr>
        <w:t>, which are the focus of this evaluation,</w:t>
      </w:r>
      <w:r w:rsidR="00F23487" w:rsidRPr="00F019DF">
        <w:rPr>
          <w:lang w:val="en-US" w:bidi="th-TH"/>
        </w:rPr>
        <w:t xml:space="preserve"> differ in the type and level of </w:t>
      </w:r>
      <w:r w:rsidRPr="00F019DF">
        <w:rPr>
          <w:lang w:val="en-US" w:bidi="th-TH"/>
        </w:rPr>
        <w:t>therapist</w:t>
      </w:r>
      <w:r w:rsidR="00F23487" w:rsidRPr="00F019DF">
        <w:rPr>
          <w:lang w:val="en-US" w:bidi="th-TH"/>
        </w:rPr>
        <w:t xml:space="preserve"> support provided. Some </w:t>
      </w:r>
      <w:r w:rsidRPr="00F019DF">
        <w:rPr>
          <w:lang w:val="en-US" w:bidi="th-TH"/>
        </w:rPr>
        <w:t xml:space="preserve">online </w:t>
      </w:r>
      <w:r w:rsidR="00F23487" w:rsidRPr="00F019DF">
        <w:rPr>
          <w:lang w:val="en-US" w:bidi="th-TH"/>
        </w:rPr>
        <w:t xml:space="preserve">DMHSs do not offer any </w:t>
      </w:r>
      <w:r w:rsidRPr="00F019DF">
        <w:rPr>
          <w:lang w:val="en-US" w:bidi="th-TH"/>
        </w:rPr>
        <w:t>therapist</w:t>
      </w:r>
      <w:r w:rsidR="00F23487" w:rsidRPr="00F019DF">
        <w:rPr>
          <w:lang w:val="en-US" w:bidi="th-TH"/>
        </w:rPr>
        <w:t xml:space="preserve"> support and are considered to be fully automated self-directed (or unguided) programs, and others involve support (or guidance) from clinicians, volunteer crisis supporters, teachers, administrators or peers.</w:t>
      </w:r>
      <w:r w:rsidR="00B81CB1">
        <w:rPr>
          <w:lang w:val="en-US" w:bidi="th-TH"/>
        </w:rPr>
        <w:fldChar w:fldCharType="begin"/>
      </w:r>
      <w:r w:rsidR="00443B60">
        <w:rPr>
          <w:lang w:val="en-US" w:bidi="th-TH"/>
        </w:rPr>
        <w:instrText xml:space="preserve"> ADDIN EN.CITE &lt;EndNote&gt;&lt;Cite&gt;&lt;Author&gt;Department of Health&lt;/Author&gt;&lt;Year&gt;2021&lt;/Year&gt;&lt;RecNum&gt;118&lt;/RecNum&gt;&lt;DisplayText&gt;&lt;style face="superscript"&gt;3&lt;/style&gt;&lt;/DisplayText&gt;&lt;record&gt;&lt;rec-number&gt;118&lt;/rec-number&gt;&lt;foreign-keys&gt;&lt;key app="EN" db-id="dawtr0zrkrzfa5edzzlpe2we0xa00t90vvr2" timestamp="1648439268"&gt;118&lt;/key&gt;&lt;/foreign-keys&gt;&lt;ref-type name="Report"&gt;27&lt;/ref-type&gt;&lt;contributors&gt;&lt;authors&gt;&lt;author&gt;Department of Health,&lt;/author&gt;&lt;/authors&gt;&lt;/contributors&gt;&lt;titles&gt;&lt;title&gt;Form of Request for Quotation: Procurement of an organisation to undertake the independent evaluation of supported online mental health treatment services&lt;/title&gt;&lt;/titles&gt;&lt;dates&gt;&lt;year&gt;2021&lt;/year&gt;&lt;/dates&gt;&lt;pub-location&gt;Canberra&lt;/pub-location&gt;&lt;publisher&gt;Australian Government&lt;/publisher&gt;&lt;urls&gt;&lt;/urls&gt;&lt;/record&gt;&lt;/Cite&gt;&lt;/EndNote&gt;</w:instrText>
      </w:r>
      <w:r w:rsidR="00B81CB1">
        <w:rPr>
          <w:lang w:val="en-US" w:bidi="th-TH"/>
        </w:rPr>
        <w:fldChar w:fldCharType="separate"/>
      </w:r>
      <w:r w:rsidR="00443B60" w:rsidRPr="00443B60">
        <w:rPr>
          <w:noProof/>
          <w:vertAlign w:val="superscript"/>
          <w:lang w:val="en-US" w:bidi="th-TH"/>
        </w:rPr>
        <w:t>3</w:t>
      </w:r>
      <w:r w:rsidR="00B81CB1">
        <w:rPr>
          <w:lang w:val="en-US" w:bidi="th-TH"/>
        </w:rPr>
        <w:fldChar w:fldCharType="end"/>
      </w:r>
    </w:p>
    <w:p w14:paraId="52232889" w14:textId="11D55854" w:rsidR="00F23487" w:rsidRPr="00F23487" w:rsidRDefault="00F23487" w:rsidP="005E3218">
      <w:pPr>
        <w:pStyle w:val="ANorm"/>
        <w:spacing w:after="240"/>
      </w:pPr>
      <w:r w:rsidRPr="00F019DF">
        <w:rPr>
          <w:lang w:bidi="th-TH"/>
        </w:rPr>
        <w:t xml:space="preserve">The Productivity Commission Mental Health Inquiry Report noted the potential benefits of </w:t>
      </w:r>
      <w:r w:rsidR="00F019DF" w:rsidRPr="00F019DF">
        <w:rPr>
          <w:lang w:bidi="th-TH"/>
        </w:rPr>
        <w:t>therapist-</w:t>
      </w:r>
      <w:r w:rsidRPr="00F019DF">
        <w:rPr>
          <w:lang w:bidi="th-TH"/>
        </w:rPr>
        <w:t xml:space="preserve">supported </w:t>
      </w:r>
      <w:r w:rsidR="00F019DF" w:rsidRPr="00F019DF">
        <w:rPr>
          <w:lang w:bidi="th-TH"/>
        </w:rPr>
        <w:t>(</w:t>
      </w:r>
      <w:r w:rsidRPr="00F019DF">
        <w:rPr>
          <w:lang w:bidi="th-TH"/>
        </w:rPr>
        <w:t>guided</w:t>
      </w:r>
      <w:r w:rsidR="00F019DF" w:rsidRPr="00F019DF">
        <w:rPr>
          <w:lang w:bidi="th-TH"/>
        </w:rPr>
        <w:t>)</w:t>
      </w:r>
      <w:r w:rsidRPr="00F019DF">
        <w:rPr>
          <w:lang w:bidi="th-TH"/>
        </w:rPr>
        <w:t xml:space="preserve"> DMHSs.</w:t>
      </w:r>
      <w:r w:rsidR="00B81CB1">
        <w:rPr>
          <w:lang w:bidi="th-TH"/>
        </w:rPr>
        <w:fldChar w:fldCharType="begin"/>
      </w:r>
      <w:r w:rsidR="00443B60">
        <w:rPr>
          <w:lang w:bidi="th-TH"/>
        </w:rPr>
        <w:instrText xml:space="preserve"> ADDIN EN.CITE &lt;EndNote&gt;&lt;Cite&gt;&lt;Author&gt;Productivity Commission&lt;/Author&gt;&lt;Year&gt;2020&lt;/Year&gt;&lt;RecNum&gt;3&lt;/RecNum&gt;&lt;DisplayText&gt;&lt;style face="superscript"&gt;4&lt;/style&gt;&lt;/DisplayText&gt;&lt;record&gt;&lt;rec-number&gt;3&lt;/rec-number&gt;&lt;foreign-keys&gt;&lt;key app="EN" db-id="dawtr0zrkrzfa5edzzlpe2we0xa00t90vvr2" timestamp="1622894031"&gt;3&lt;/key&gt;&lt;/foreign-keys&gt;&lt;ref-type name="Government Document"&gt;46&lt;/ref-type&gt;&lt;contributors&gt;&lt;authors&gt;&lt;author&gt;Productivity Commission, &lt;/author&gt;&lt;/authors&gt;&lt;/contributors&gt;&lt;titles&gt;&lt;title&gt;Mental Health, Report no. 95 &lt;/title&gt;&lt;/titles&gt;&lt;dates&gt;&lt;year&gt;2020&lt;/year&gt;&lt;/dates&gt;&lt;pub-location&gt;Canberra&lt;/pub-location&gt;&lt;urls&gt;&lt;/urls&gt;&lt;/record&gt;&lt;/Cite&gt;&lt;/EndNote&gt;</w:instrText>
      </w:r>
      <w:r w:rsidR="00B81CB1">
        <w:rPr>
          <w:lang w:bidi="th-TH"/>
        </w:rPr>
        <w:fldChar w:fldCharType="separate"/>
      </w:r>
      <w:r w:rsidR="00443B60" w:rsidRPr="00443B60">
        <w:rPr>
          <w:noProof/>
          <w:vertAlign w:val="superscript"/>
          <w:lang w:bidi="th-TH"/>
        </w:rPr>
        <w:t>4</w:t>
      </w:r>
      <w:r w:rsidR="00B81CB1">
        <w:rPr>
          <w:lang w:bidi="th-TH"/>
        </w:rPr>
        <w:fldChar w:fldCharType="end"/>
      </w:r>
      <w:r w:rsidRPr="00F019DF">
        <w:rPr>
          <w:lang w:bidi="th-TH"/>
        </w:rPr>
        <w:t xml:space="preserve"> It recommended that the Australian Government fosters supported DMHSs as a treatment option by: increasing funding to expand their availability; commissioning an evaluation of their performance; and developing information campaigns for people with lived experience of mental illness and health professionals to increase the awareness of </w:t>
      </w:r>
      <w:r w:rsidR="00CA64E6">
        <w:rPr>
          <w:lang w:bidi="th-TH"/>
        </w:rPr>
        <w:t>supported DMHSs</w:t>
      </w:r>
      <w:r w:rsidRPr="00F019DF">
        <w:rPr>
          <w:lang w:bidi="th-TH"/>
        </w:rPr>
        <w:t>.</w:t>
      </w:r>
      <w:r w:rsidR="00B81CB1">
        <w:rPr>
          <w:lang w:bidi="th-TH"/>
        </w:rPr>
        <w:fldChar w:fldCharType="begin"/>
      </w:r>
      <w:r w:rsidR="00443B60">
        <w:rPr>
          <w:lang w:bidi="th-TH"/>
        </w:rPr>
        <w:instrText xml:space="preserve"> ADDIN EN.CITE &lt;EndNote&gt;&lt;Cite&gt;&lt;Author&gt;Productivity Commission&lt;/Author&gt;&lt;Year&gt;2020&lt;/Year&gt;&lt;RecNum&gt;3&lt;/RecNum&gt;&lt;DisplayText&gt;&lt;style face="superscript"&gt;4&lt;/style&gt;&lt;/DisplayText&gt;&lt;record&gt;&lt;rec-number&gt;3&lt;/rec-number&gt;&lt;foreign-keys&gt;&lt;key app="EN" db-id="dawtr0zrkrzfa5edzzlpe2we0xa00t90vvr2" timestamp="1622894031"&gt;3&lt;/key&gt;&lt;/foreign-keys&gt;&lt;ref-type name="Government Document"&gt;46&lt;/ref-type&gt;&lt;contributors&gt;&lt;authors&gt;&lt;author&gt;Productivity Commission, &lt;/author&gt;&lt;/authors&gt;&lt;/contributors&gt;&lt;titles&gt;&lt;title&gt;Mental Health, Report no. 95 &lt;/title&gt;&lt;/titles&gt;&lt;dates&gt;&lt;year&gt;2020&lt;/year&gt;&lt;/dates&gt;&lt;pub-location&gt;Canberra&lt;/pub-location&gt;&lt;urls&gt;&lt;/urls&gt;&lt;/record&gt;&lt;/Cite&gt;&lt;/EndNote&gt;</w:instrText>
      </w:r>
      <w:r w:rsidR="00B81CB1">
        <w:rPr>
          <w:lang w:bidi="th-TH"/>
        </w:rPr>
        <w:fldChar w:fldCharType="separate"/>
      </w:r>
      <w:r w:rsidR="00443B60" w:rsidRPr="00443B60">
        <w:rPr>
          <w:noProof/>
          <w:vertAlign w:val="superscript"/>
          <w:lang w:bidi="th-TH"/>
        </w:rPr>
        <w:t>4</w:t>
      </w:r>
      <w:r w:rsidR="00B81CB1">
        <w:rPr>
          <w:lang w:bidi="th-TH"/>
        </w:rPr>
        <w:fldChar w:fldCharType="end"/>
      </w:r>
    </w:p>
    <w:p w14:paraId="3D5E8099" w14:textId="00CB1269" w:rsidR="004D589A" w:rsidRDefault="00342AF0" w:rsidP="005E3218">
      <w:pPr>
        <w:pStyle w:val="Heading2"/>
        <w:numPr>
          <w:ilvl w:val="0"/>
          <w:numId w:val="0"/>
        </w:numPr>
        <w:spacing w:after="240"/>
      </w:pPr>
      <w:bookmarkStart w:id="13" w:name="_Toc108784811"/>
      <w:r>
        <w:t>Evaluation aims</w:t>
      </w:r>
      <w:bookmarkEnd w:id="13"/>
    </w:p>
    <w:p w14:paraId="318F61D2" w14:textId="77777777" w:rsidR="00F23487" w:rsidRPr="00AA6B28" w:rsidRDefault="00F23487" w:rsidP="00AB68C1">
      <w:pPr>
        <w:pStyle w:val="ANorm"/>
        <w:spacing w:after="240"/>
      </w:pPr>
      <w:r w:rsidRPr="00AA6B28">
        <w:rPr>
          <w:lang w:val="en-US" w:bidi="th-TH"/>
        </w:rPr>
        <w:t xml:space="preserve">The Centre for Mental Health at the University of Melbourne was commissioned by the Department of Health to undertake the independent evaluation of three key Australian government funded supported DMHSs, </w:t>
      </w:r>
      <w:r w:rsidRPr="00AA6B28">
        <w:rPr>
          <w:lang w:bidi="th-TH"/>
        </w:rPr>
        <w:t>including:</w:t>
      </w:r>
    </w:p>
    <w:p w14:paraId="64A87115" w14:textId="77777777" w:rsidR="00F23487" w:rsidRPr="00AA6B28" w:rsidRDefault="00F23487" w:rsidP="00AB68C1">
      <w:pPr>
        <w:pStyle w:val="ANorm"/>
        <w:numPr>
          <w:ilvl w:val="0"/>
          <w:numId w:val="40"/>
        </w:numPr>
        <w:spacing w:after="240"/>
      </w:pPr>
      <w:r w:rsidRPr="00AA6B28">
        <w:t xml:space="preserve">Mental Health Online, Swinburne </w:t>
      </w:r>
      <w:proofErr w:type="gramStart"/>
      <w:r w:rsidRPr="00AA6B28">
        <w:t>University;</w:t>
      </w:r>
      <w:proofErr w:type="gramEnd"/>
    </w:p>
    <w:p w14:paraId="2D072186" w14:textId="77777777" w:rsidR="00F23487" w:rsidRPr="00AA6B28" w:rsidRDefault="00F23487" w:rsidP="00AB68C1">
      <w:pPr>
        <w:pStyle w:val="ANorm"/>
        <w:numPr>
          <w:ilvl w:val="0"/>
          <w:numId w:val="40"/>
        </w:numPr>
        <w:spacing w:after="240"/>
      </w:pPr>
      <w:proofErr w:type="spellStart"/>
      <w:r w:rsidRPr="00AA6B28">
        <w:t>MindSpot</w:t>
      </w:r>
      <w:proofErr w:type="spellEnd"/>
      <w:r w:rsidRPr="00AA6B28">
        <w:t>, Macquarie University; and</w:t>
      </w:r>
    </w:p>
    <w:p w14:paraId="15642A5F" w14:textId="5F1B4E77" w:rsidR="00F23487" w:rsidRPr="009567E5" w:rsidRDefault="00F23487" w:rsidP="00AB68C1">
      <w:pPr>
        <w:pStyle w:val="ANorm"/>
        <w:numPr>
          <w:ilvl w:val="0"/>
          <w:numId w:val="40"/>
        </w:numPr>
        <w:spacing w:after="240"/>
      </w:pPr>
      <w:r w:rsidRPr="00AA6B28">
        <w:t>This Way Up, St Vincent’s Hospital and the University of New South Wales</w:t>
      </w:r>
      <w:r w:rsidRPr="00AA6B28">
        <w:rPr>
          <w:lang w:val="en-US" w:bidi="th-TH"/>
        </w:rPr>
        <w:t>.</w:t>
      </w:r>
    </w:p>
    <w:p w14:paraId="6F02C1AA" w14:textId="359E0CDD" w:rsidR="000B46EF" w:rsidRDefault="00F23487" w:rsidP="00AB68C1">
      <w:pPr>
        <w:pStyle w:val="ANorm"/>
        <w:spacing w:after="240"/>
        <w:rPr>
          <w:lang w:val="en-US" w:bidi="th-TH"/>
        </w:rPr>
      </w:pPr>
      <w:r w:rsidRPr="00AA6B28">
        <w:rPr>
          <w:lang w:val="en-US" w:bidi="th-TH"/>
        </w:rPr>
        <w:t xml:space="preserve">The </w:t>
      </w:r>
      <w:r w:rsidR="000A6823">
        <w:rPr>
          <w:lang w:val="en-US" w:bidi="th-TH"/>
        </w:rPr>
        <w:t>overall evaluation aims</w:t>
      </w:r>
      <w:r w:rsidRPr="00AA6B28">
        <w:rPr>
          <w:lang w:val="en-US" w:bidi="th-TH"/>
        </w:rPr>
        <w:t xml:space="preserve"> to inform Australian Government decisions related to future funding for supported DMHSs and activities to increase awareness and </w:t>
      </w:r>
      <w:proofErr w:type="spellStart"/>
      <w:r w:rsidRPr="00AA6B28">
        <w:rPr>
          <w:lang w:val="en-US" w:bidi="th-TH"/>
        </w:rPr>
        <w:t>utilisation</w:t>
      </w:r>
      <w:proofErr w:type="spellEnd"/>
      <w:r w:rsidRPr="00AA6B28">
        <w:rPr>
          <w:lang w:val="en-US" w:bidi="th-TH"/>
        </w:rPr>
        <w:t xml:space="preserve"> of these services by people with lived experience of mental illness and health professionals.</w:t>
      </w:r>
    </w:p>
    <w:p w14:paraId="6A1AB343" w14:textId="0B6047C4" w:rsidR="00F23487" w:rsidRPr="009567E5" w:rsidRDefault="00F23487" w:rsidP="00AB68C1">
      <w:pPr>
        <w:pStyle w:val="ANorm"/>
        <w:spacing w:after="240"/>
        <w:rPr>
          <w:lang w:val="en-US" w:bidi="th-TH"/>
        </w:rPr>
      </w:pPr>
      <w:r w:rsidRPr="00F0105C">
        <w:t xml:space="preserve">The evaluation </w:t>
      </w:r>
      <w:r>
        <w:t>is</w:t>
      </w:r>
      <w:r w:rsidRPr="00F0105C">
        <w:t xml:space="preserve"> guided by the </w:t>
      </w:r>
      <w:r>
        <w:t>five</w:t>
      </w:r>
      <w:r w:rsidRPr="00F0105C">
        <w:t xml:space="preserve"> key evaluation questions (KEQs)</w:t>
      </w:r>
      <w:r>
        <w:t xml:space="preserve"> outlined by the Department of Health</w:t>
      </w:r>
      <w:r w:rsidR="00914D4B">
        <w:t>,</w:t>
      </w:r>
      <w:r w:rsidRPr="00F0105C">
        <w:t xml:space="preserve"> including:</w:t>
      </w:r>
    </w:p>
    <w:p w14:paraId="6EE7582A" w14:textId="77777777" w:rsidR="00737BF6" w:rsidRDefault="00F23487" w:rsidP="00AB68C1">
      <w:pPr>
        <w:pStyle w:val="ANorm"/>
        <w:numPr>
          <w:ilvl w:val="0"/>
          <w:numId w:val="7"/>
        </w:numPr>
        <w:spacing w:after="240"/>
      </w:pPr>
      <w:r w:rsidRPr="00737BF6">
        <w:rPr>
          <w:b/>
          <w:bCs/>
        </w:rPr>
        <w:t xml:space="preserve">KEQ 1: </w:t>
      </w:r>
      <w:r w:rsidRPr="00AA6B28">
        <w:t>How effective has the implementation of online mental health treatment services been to date</w:t>
      </w:r>
      <w:r w:rsidR="00596560">
        <w:t>,</w:t>
      </w:r>
      <w:r w:rsidRPr="00AA6B28">
        <w:t xml:space="preserve"> and what can we learn from it?</w:t>
      </w:r>
    </w:p>
    <w:p w14:paraId="73CC5E2D" w14:textId="3F605D48" w:rsidR="00F23487" w:rsidRPr="00AA6B28" w:rsidRDefault="00F23487" w:rsidP="00AB68C1">
      <w:pPr>
        <w:pStyle w:val="ANorm"/>
        <w:numPr>
          <w:ilvl w:val="0"/>
          <w:numId w:val="7"/>
        </w:numPr>
        <w:spacing w:after="240"/>
      </w:pPr>
      <w:r w:rsidRPr="00737BF6">
        <w:rPr>
          <w:b/>
          <w:bCs/>
        </w:rPr>
        <w:t xml:space="preserve">KEQ 2: </w:t>
      </w:r>
      <w:r w:rsidRPr="00AA6B28">
        <w:t>What difference are existing supported online mental health treatment services making compared with usual care (e.g.  face-to-face or other treatment service types)?</w:t>
      </w:r>
    </w:p>
    <w:p w14:paraId="4D91C727" w14:textId="254D28AA" w:rsidR="00F23487" w:rsidRPr="00AA6B28" w:rsidRDefault="00F23487" w:rsidP="00AB68C1">
      <w:pPr>
        <w:pStyle w:val="ANorm"/>
        <w:numPr>
          <w:ilvl w:val="0"/>
          <w:numId w:val="7"/>
        </w:numPr>
        <w:spacing w:after="240"/>
      </w:pPr>
      <w:r w:rsidRPr="00AA6B28">
        <w:rPr>
          <w:b/>
          <w:bCs/>
        </w:rPr>
        <w:t xml:space="preserve">KEQ 3: </w:t>
      </w:r>
      <w:r w:rsidRPr="00AA6B28">
        <w:t xml:space="preserve">How cost effective </w:t>
      </w:r>
      <w:proofErr w:type="gramStart"/>
      <w:r w:rsidRPr="00AA6B28">
        <w:t>are</w:t>
      </w:r>
      <w:proofErr w:type="gramEnd"/>
      <w:r w:rsidRPr="00AA6B28">
        <w:t xml:space="preserve"> Australian Government funded supported online mental health treatment services compared with usual care)?</w:t>
      </w:r>
    </w:p>
    <w:p w14:paraId="3ADD1949" w14:textId="087A4FB2" w:rsidR="00F23487" w:rsidRPr="00AA6B28" w:rsidRDefault="00F23487" w:rsidP="00AB68C1">
      <w:pPr>
        <w:pStyle w:val="ANorm"/>
        <w:numPr>
          <w:ilvl w:val="0"/>
          <w:numId w:val="7"/>
        </w:numPr>
        <w:spacing w:after="240"/>
      </w:pPr>
      <w:r w:rsidRPr="00AA6B28">
        <w:rPr>
          <w:b/>
          <w:bCs/>
        </w:rPr>
        <w:lastRenderedPageBreak/>
        <w:t xml:space="preserve">KEQ 4: </w:t>
      </w:r>
      <w:r w:rsidRPr="00AA6B28">
        <w:t>How effective are supported online mental health treatment services for consumers and health providers?</w:t>
      </w:r>
    </w:p>
    <w:p w14:paraId="420D7AF5" w14:textId="5187434F" w:rsidR="00F23487" w:rsidRDefault="00F23487" w:rsidP="00AB68C1">
      <w:pPr>
        <w:pStyle w:val="ANorm"/>
        <w:numPr>
          <w:ilvl w:val="0"/>
          <w:numId w:val="7"/>
        </w:numPr>
        <w:spacing w:after="240"/>
      </w:pPr>
      <w:r w:rsidRPr="00AA6B28">
        <w:rPr>
          <w:b/>
          <w:bCs/>
        </w:rPr>
        <w:t xml:space="preserve">KEQ 5: </w:t>
      </w:r>
      <w:r w:rsidRPr="00AA6B28">
        <w:t>How can the commissioning and implementation of online mental health treatment services be best supported going forward?</w:t>
      </w:r>
    </w:p>
    <w:p w14:paraId="1CEF61BE" w14:textId="015B0557" w:rsidR="00342AF0" w:rsidRDefault="00342AF0" w:rsidP="005E3218">
      <w:pPr>
        <w:pStyle w:val="Heading2"/>
        <w:numPr>
          <w:ilvl w:val="0"/>
          <w:numId w:val="0"/>
        </w:numPr>
        <w:spacing w:after="240"/>
      </w:pPr>
      <w:bookmarkStart w:id="14" w:name="_Toc108784812"/>
      <w:r>
        <w:t>Data sources</w:t>
      </w:r>
      <w:bookmarkEnd w:id="14"/>
    </w:p>
    <w:p w14:paraId="5C5C3235" w14:textId="33B08560" w:rsidR="000B46EF" w:rsidRPr="00412ED5" w:rsidRDefault="000B46EF" w:rsidP="005E3218">
      <w:pPr>
        <w:pStyle w:val="ANorm"/>
        <w:spacing w:after="240"/>
        <w:rPr>
          <w:lang w:val="en-US" w:bidi="th-TH"/>
        </w:rPr>
      </w:pPr>
      <w:r w:rsidRPr="005D2CE7">
        <w:rPr>
          <w:lang w:val="en-US" w:bidi="th-TH"/>
        </w:rPr>
        <w:t>The evaluation was co</w:t>
      </w:r>
      <w:r w:rsidR="00412ED5">
        <w:rPr>
          <w:lang w:val="en-US" w:bidi="th-TH"/>
        </w:rPr>
        <w:t>mpleted</w:t>
      </w:r>
      <w:r w:rsidRPr="005D2CE7">
        <w:rPr>
          <w:lang w:val="en-US" w:bidi="th-TH"/>
        </w:rPr>
        <w:t xml:space="preserve"> in two phases.</w:t>
      </w:r>
    </w:p>
    <w:p w14:paraId="36D6C945" w14:textId="68C1FC37" w:rsidR="000B46EF" w:rsidRPr="000A33D4" w:rsidRDefault="000B46EF" w:rsidP="004C6E77">
      <w:pPr>
        <w:pStyle w:val="ANorm"/>
        <w:spacing w:after="240"/>
        <w:rPr>
          <w:lang w:val="en-US" w:bidi="th-TH"/>
        </w:rPr>
      </w:pPr>
      <w:r w:rsidRPr="000A33D4">
        <w:rPr>
          <w:lang w:val="en-US" w:bidi="th-TH"/>
        </w:rPr>
        <w:t>Phase 1 involved conducting a systematic review of reviews</w:t>
      </w:r>
      <w:r w:rsidR="00B81CB1" w:rsidRPr="000A33D4">
        <w:rPr>
          <w:lang w:val="en-US" w:bidi="th-TH"/>
        </w:rPr>
        <w:fldChar w:fldCharType="begin"/>
      </w:r>
      <w:r w:rsidR="00D97888">
        <w:rPr>
          <w:lang w:val="en-US" w:bidi="th-TH"/>
        </w:rPr>
        <w:instrText xml:space="preserve"> ADDIN EN.CITE &lt;EndNote&gt;&lt;Cite&gt;&lt;Author&gt;Bassilios&lt;/Author&gt;&lt;Year&gt;2022&lt;/Year&gt;&lt;RecNum&gt;117&lt;/RecNum&gt;&lt;DisplayText&gt;&lt;style face="superscript"&gt;5&lt;/style&gt;&lt;/DisplayText&gt;&lt;record&gt;&lt;rec-number&gt;117&lt;/rec-number&gt;&lt;foreign-keys&gt;&lt;key app="EN" db-id="dawtr0zrkrzfa5edzzlpe2we0xa00t90vvr2" timestamp="1648438870"&gt;117&lt;/key&gt;&lt;/foreign-keys&gt;&lt;ref-type name="Report"&gt;27&lt;/ref-type&gt;&lt;contributors&gt;&lt;authors&gt;&lt;author&gt;Bassilios, B.&lt;/author&gt;&lt;author&gt;Morgan, A.&lt;/author&gt;&lt;author&gt;Tan, A.&lt;/author&gt;&lt;author&gt;Ftanou, M.&lt;/author&gt;&lt;author&gt;Krysinska, K.&lt;/author&gt;&lt;author&gt;Le, L.&lt;/author&gt;&lt;author&gt;Scurrah, K.&lt;/author&gt;&lt;author&gt;Banfield, M.&lt;/author&gt;&lt;author&gt;Spittal, M.&lt;/author&gt;&lt;author&gt;Mihalopoulos, C.&lt;/author&gt;&lt;author&gt;Pirkis, J.&lt;/author&gt;&lt;/authors&gt;&lt;/contributors&gt;&lt;titles&gt;&lt;title&gt;Literature review of effectiveness of supported digital mental health interventions (DMHIs)&lt;/title&gt;&lt;/titles&gt;&lt;dates&gt;&lt;year&gt;2022&lt;/year&gt;&lt;/dates&gt;&lt;pub-location&gt;Melbourne&lt;/pub-location&gt;&lt;publisher&gt;Centre for Mental Health, University of Melbourne&lt;/publisher&gt;&lt;urls&gt;&lt;/urls&gt;&lt;/record&gt;&lt;/Cite&gt;&lt;/EndNote&gt;</w:instrText>
      </w:r>
      <w:r w:rsidR="00B81CB1" w:rsidRPr="000A33D4">
        <w:rPr>
          <w:lang w:val="en-US" w:bidi="th-TH"/>
        </w:rPr>
        <w:fldChar w:fldCharType="separate"/>
      </w:r>
      <w:r w:rsidR="00443B60" w:rsidRPr="000A33D4">
        <w:rPr>
          <w:noProof/>
          <w:vertAlign w:val="superscript"/>
          <w:lang w:val="en-US" w:bidi="th-TH"/>
        </w:rPr>
        <w:t>5</w:t>
      </w:r>
      <w:r w:rsidR="00B81CB1" w:rsidRPr="000A33D4">
        <w:rPr>
          <w:lang w:val="en-US" w:bidi="th-TH"/>
        </w:rPr>
        <w:fldChar w:fldCharType="end"/>
      </w:r>
      <w:r w:rsidRPr="000A33D4">
        <w:rPr>
          <w:lang w:val="en-US" w:bidi="th-TH"/>
        </w:rPr>
        <w:t xml:space="preserve"> and </w:t>
      </w:r>
      <w:r w:rsidR="00412ED5" w:rsidRPr="000A33D4">
        <w:rPr>
          <w:lang w:val="en-US" w:bidi="th-TH"/>
        </w:rPr>
        <w:t xml:space="preserve">an </w:t>
      </w:r>
      <w:r w:rsidRPr="000A33D4">
        <w:rPr>
          <w:lang w:val="en-US" w:bidi="th-TH"/>
        </w:rPr>
        <w:t>environmental scan</w:t>
      </w:r>
      <w:r w:rsidR="003D7773" w:rsidRPr="000A33D4">
        <w:rPr>
          <w:lang w:val="en-US" w:bidi="th-TH"/>
        </w:rPr>
        <w:t>,</w:t>
      </w:r>
      <w:r w:rsidR="00B81CB1" w:rsidRPr="000A33D4">
        <w:rPr>
          <w:lang w:val="en-US" w:bidi="th-TH"/>
        </w:rPr>
        <w:fldChar w:fldCharType="begin"/>
      </w:r>
      <w:r w:rsidR="00D97888">
        <w:rPr>
          <w:lang w:val="en-US" w:bidi="th-TH"/>
        </w:rPr>
        <w:instrText xml:space="preserve"> ADDIN EN.CITE &lt;EndNote&gt;&lt;Cite&gt;&lt;Author&gt;Bassilios&lt;/Author&gt;&lt;Year&gt;2022&lt;/Year&gt;&lt;RecNum&gt;121&lt;/RecNum&gt;&lt;DisplayText&gt;&lt;style face="superscript"&gt;6&lt;/style&gt;&lt;/DisplayText&gt;&lt;record&gt;&lt;rec-number&gt;121&lt;/rec-number&gt;&lt;foreign-keys&gt;&lt;key app="EN" db-id="dawtr0zrkrzfa5edzzlpe2we0xa00t90vvr2" timestamp="1648439642"&gt;121&lt;/key&gt;&lt;/foreign-keys&gt;&lt;ref-type name="Report"&gt;27&lt;/ref-type&gt;&lt;contributors&gt;&lt;authors&gt;&lt;author&gt;Bassilios, B.&lt;/author&gt;&lt;author&gt;Ftanou, M.&lt;/author&gt;&lt;author&gt;Tan, A.&lt;/author&gt;&lt;author&gt;Morgan, A.&lt;/author&gt;&lt;author&gt;Machlin, A.&lt;/author&gt;&lt;author&gt;Mangelsdorf, S.&lt;/author&gt;&lt;author&gt;Le, L.&lt;/author&gt;&lt;author&gt;Banfield, M.&lt;/author&gt;&lt;author&gt;Spittal, M.&lt;/author&gt;&lt;author&gt;Mihalopoulos, C.&lt;/author&gt;&lt;author&gt;Pirkis, J.&lt;/author&gt;&lt;/authors&gt;&lt;/contributors&gt;&lt;titles&gt;&lt;title&gt;Environmental scan of digital mental health services&lt;/title&gt;&lt;/titles&gt;&lt;dates&gt;&lt;year&gt;2022&lt;/year&gt;&lt;/dates&gt;&lt;pub-location&gt;Melbourne&lt;/pub-location&gt;&lt;publisher&gt;Centre for Mental Health, University of Melbourne&lt;/publisher&gt;&lt;urls&gt;&lt;/urls&gt;&lt;/record&gt;&lt;/Cite&gt;&lt;/EndNote&gt;</w:instrText>
      </w:r>
      <w:r w:rsidR="00B81CB1" w:rsidRPr="000A33D4">
        <w:rPr>
          <w:lang w:val="en-US" w:bidi="th-TH"/>
        </w:rPr>
        <w:fldChar w:fldCharType="separate"/>
      </w:r>
      <w:r w:rsidR="00443B60" w:rsidRPr="000A33D4">
        <w:rPr>
          <w:noProof/>
          <w:vertAlign w:val="superscript"/>
          <w:lang w:val="en-US" w:bidi="th-TH"/>
        </w:rPr>
        <w:t>6</w:t>
      </w:r>
      <w:r w:rsidR="00B81CB1" w:rsidRPr="000A33D4">
        <w:rPr>
          <w:lang w:val="en-US" w:bidi="th-TH"/>
        </w:rPr>
        <w:fldChar w:fldCharType="end"/>
      </w:r>
      <w:r w:rsidR="003D7773" w:rsidRPr="000A33D4">
        <w:rPr>
          <w:lang w:val="en-US" w:bidi="th-TH"/>
        </w:rPr>
        <w:t xml:space="preserve"> the findings from each of which ha</w:t>
      </w:r>
      <w:r w:rsidR="00412ED5" w:rsidRPr="000A33D4">
        <w:rPr>
          <w:lang w:val="en-US" w:bidi="th-TH"/>
        </w:rPr>
        <w:t>ve</w:t>
      </w:r>
      <w:r w:rsidR="003D7773" w:rsidRPr="000A33D4">
        <w:rPr>
          <w:lang w:val="en-US" w:bidi="th-TH"/>
        </w:rPr>
        <w:t xml:space="preserve"> been separately reported and </w:t>
      </w:r>
      <w:r w:rsidR="00412ED5" w:rsidRPr="000A33D4">
        <w:rPr>
          <w:lang w:val="en-US" w:bidi="th-TH"/>
        </w:rPr>
        <w:t xml:space="preserve">are </w:t>
      </w:r>
      <w:r w:rsidR="005D2CE7" w:rsidRPr="000A33D4">
        <w:rPr>
          <w:lang w:val="en-US" w:bidi="th-TH"/>
        </w:rPr>
        <w:t>cross referenced in this (final) report’s recommendations and conclusions.</w:t>
      </w:r>
    </w:p>
    <w:p w14:paraId="5D10FAC2" w14:textId="21D5761F" w:rsidR="00342AF0" w:rsidRPr="000A33D4" w:rsidRDefault="005D2CE7" w:rsidP="004C6E77">
      <w:pPr>
        <w:spacing w:after="240"/>
        <w:rPr>
          <w:rFonts w:ascii="Calibri" w:hAnsi="Calibri" w:cs="Calibri"/>
          <w:color w:val="000000"/>
          <w:sz w:val="21"/>
          <w:szCs w:val="21"/>
        </w:rPr>
      </w:pPr>
      <w:r w:rsidRPr="000A33D4">
        <w:rPr>
          <w:rFonts w:ascii="Calibri" w:hAnsi="Calibri" w:cs="Calibri"/>
          <w:color w:val="000000"/>
          <w:sz w:val="21"/>
          <w:szCs w:val="21"/>
        </w:rPr>
        <w:t xml:space="preserve">In Phase 2, </w:t>
      </w:r>
      <w:r w:rsidR="007F2BE4" w:rsidRPr="000A33D4">
        <w:rPr>
          <w:rFonts w:ascii="Calibri" w:hAnsi="Calibri" w:cs="Calibri"/>
          <w:color w:val="000000"/>
          <w:sz w:val="21"/>
          <w:szCs w:val="21"/>
        </w:rPr>
        <w:t xml:space="preserve">which is the focus of this report, </w:t>
      </w:r>
      <w:r w:rsidRPr="000A33D4">
        <w:rPr>
          <w:rFonts w:ascii="Calibri" w:hAnsi="Calibri" w:cs="Calibri"/>
          <w:color w:val="000000"/>
          <w:sz w:val="21"/>
          <w:szCs w:val="21"/>
        </w:rPr>
        <w:t>we utilised a</w:t>
      </w:r>
      <w:r w:rsidR="00342AF0" w:rsidRPr="000A33D4">
        <w:rPr>
          <w:rFonts w:ascii="Calibri" w:hAnsi="Calibri" w:cs="Calibri"/>
          <w:color w:val="000000"/>
          <w:sz w:val="21"/>
          <w:szCs w:val="21"/>
        </w:rPr>
        <w:t xml:space="preserve"> mixed-methods evaluation approach, involving collecting and analysing data from a range of primary and secondary quantitative and qualitative data sources, which are briefly described below.</w:t>
      </w:r>
    </w:p>
    <w:p w14:paraId="04C011D0" w14:textId="77777777" w:rsidR="00342AF0" w:rsidRPr="000A33D4" w:rsidRDefault="00342AF0" w:rsidP="003D20AA">
      <w:pPr>
        <w:pStyle w:val="Heading3"/>
        <w:numPr>
          <w:ilvl w:val="0"/>
          <w:numId w:val="0"/>
        </w:numPr>
        <w:ind w:left="142" w:hanging="142"/>
      </w:pPr>
      <w:r w:rsidRPr="000A33D4">
        <w:t>Existing data</w:t>
      </w:r>
    </w:p>
    <w:p w14:paraId="577809B7" w14:textId="363A7702" w:rsidR="00342AF0" w:rsidRPr="000A33D4" w:rsidRDefault="00342AF0" w:rsidP="004C6E77">
      <w:pPr>
        <w:spacing w:after="240"/>
        <w:rPr>
          <w:rFonts w:asciiTheme="minorHAnsi" w:hAnsiTheme="minorHAnsi" w:cstheme="minorHAnsi"/>
          <w:color w:val="000000" w:themeColor="text1"/>
          <w:sz w:val="21"/>
          <w:szCs w:val="21"/>
        </w:rPr>
      </w:pPr>
      <w:r w:rsidRPr="000A33D4">
        <w:rPr>
          <w:rFonts w:asciiTheme="minorHAnsi" w:hAnsiTheme="minorHAnsi" w:cstheme="minorHAnsi"/>
          <w:color w:val="000000" w:themeColor="text1"/>
          <w:sz w:val="21"/>
          <w:szCs w:val="21"/>
        </w:rPr>
        <w:t>We utilised existing (secondary) data</w:t>
      </w:r>
      <w:r w:rsidR="00914D4B" w:rsidRPr="000A33D4">
        <w:rPr>
          <w:rFonts w:asciiTheme="minorHAnsi" w:hAnsiTheme="minorHAnsi" w:cstheme="minorHAnsi"/>
          <w:color w:val="000000" w:themeColor="text1"/>
          <w:sz w:val="21"/>
          <w:szCs w:val="21"/>
        </w:rPr>
        <w:t>,</w:t>
      </w:r>
      <w:r w:rsidRPr="000A33D4">
        <w:rPr>
          <w:rFonts w:asciiTheme="minorHAnsi" w:hAnsiTheme="minorHAnsi" w:cstheme="minorHAnsi"/>
          <w:color w:val="000000" w:themeColor="text1"/>
          <w:sz w:val="21"/>
          <w:szCs w:val="21"/>
        </w:rPr>
        <w:t xml:space="preserve"> </w:t>
      </w:r>
      <w:r w:rsidR="008004F4" w:rsidRPr="000A33D4">
        <w:rPr>
          <w:rFonts w:asciiTheme="minorHAnsi" w:hAnsiTheme="minorHAnsi" w:cstheme="minorHAnsi"/>
          <w:color w:val="000000" w:themeColor="text1"/>
          <w:sz w:val="21"/>
          <w:szCs w:val="21"/>
        </w:rPr>
        <w:t>including</w:t>
      </w:r>
      <w:r w:rsidRPr="000A33D4">
        <w:rPr>
          <w:rFonts w:asciiTheme="minorHAnsi" w:hAnsiTheme="minorHAnsi" w:cstheme="minorHAnsi"/>
          <w:color w:val="000000" w:themeColor="text1"/>
          <w:sz w:val="21"/>
          <w:szCs w:val="21"/>
        </w:rPr>
        <w:t>:</w:t>
      </w:r>
    </w:p>
    <w:p w14:paraId="3A557685" w14:textId="4448A78C" w:rsidR="008004F4" w:rsidRPr="000A33D4" w:rsidRDefault="008004F4" w:rsidP="004C6E77">
      <w:pPr>
        <w:pStyle w:val="ListParagraph"/>
        <w:numPr>
          <w:ilvl w:val="0"/>
          <w:numId w:val="141"/>
        </w:numPr>
        <w:spacing w:after="240"/>
        <w:rPr>
          <w:color w:val="000000" w:themeColor="text1"/>
        </w:rPr>
      </w:pPr>
      <w:r w:rsidRPr="000A33D4">
        <w:rPr>
          <w:color w:val="000000" w:themeColor="text1"/>
        </w:rPr>
        <w:t xml:space="preserve">Aggregate </w:t>
      </w:r>
      <w:r w:rsidR="00342AF0" w:rsidRPr="000A33D4">
        <w:rPr>
          <w:color w:val="000000" w:themeColor="text1"/>
        </w:rPr>
        <w:t>routinely collected</w:t>
      </w:r>
      <w:r w:rsidRPr="000A33D4">
        <w:rPr>
          <w:color w:val="000000" w:themeColor="text1"/>
        </w:rPr>
        <w:t xml:space="preserve"> service use uptake, outcome and financial </w:t>
      </w:r>
      <w:proofErr w:type="gramStart"/>
      <w:r w:rsidRPr="000A33D4">
        <w:rPr>
          <w:color w:val="000000" w:themeColor="text1"/>
        </w:rPr>
        <w:t>data</w:t>
      </w:r>
      <w:r w:rsidR="005D2CE7" w:rsidRPr="000A33D4">
        <w:rPr>
          <w:color w:val="000000" w:themeColor="text1"/>
        </w:rPr>
        <w:t>;</w:t>
      </w:r>
      <w:proofErr w:type="gramEnd"/>
    </w:p>
    <w:p w14:paraId="6F1606D0" w14:textId="1570EE76" w:rsidR="008004F4" w:rsidRPr="000A33D4" w:rsidRDefault="00412ED5" w:rsidP="004C6E77">
      <w:pPr>
        <w:pStyle w:val="ListParagraph"/>
        <w:numPr>
          <w:ilvl w:val="0"/>
          <w:numId w:val="141"/>
        </w:numPr>
        <w:spacing w:after="240"/>
        <w:rPr>
          <w:color w:val="000000" w:themeColor="text1"/>
        </w:rPr>
      </w:pPr>
      <w:r w:rsidRPr="000A33D4">
        <w:rPr>
          <w:color w:val="000000" w:themeColor="text1"/>
        </w:rPr>
        <w:t>P</w:t>
      </w:r>
      <w:r w:rsidR="008004F4" w:rsidRPr="000A33D4">
        <w:rPr>
          <w:color w:val="000000" w:themeColor="text1"/>
        </w:rPr>
        <w:t xml:space="preserve">rogress reports prepared by the three DMHSs </w:t>
      </w:r>
      <w:r w:rsidRPr="000A33D4">
        <w:rPr>
          <w:color w:val="000000" w:themeColor="text1"/>
        </w:rPr>
        <w:t>for</w:t>
      </w:r>
      <w:r w:rsidR="008004F4" w:rsidRPr="000A33D4">
        <w:rPr>
          <w:color w:val="000000" w:themeColor="text1"/>
        </w:rPr>
        <w:t xml:space="preserve"> the Department of </w:t>
      </w:r>
      <w:proofErr w:type="gramStart"/>
      <w:r w:rsidR="008004F4" w:rsidRPr="000A33D4">
        <w:rPr>
          <w:color w:val="000000" w:themeColor="text1"/>
        </w:rPr>
        <w:t>Health</w:t>
      </w:r>
      <w:r w:rsidR="007F2BE4" w:rsidRPr="000A33D4">
        <w:rPr>
          <w:color w:val="000000" w:themeColor="text1"/>
        </w:rPr>
        <w:t>;</w:t>
      </w:r>
      <w:proofErr w:type="gramEnd"/>
    </w:p>
    <w:p w14:paraId="7376529F" w14:textId="2FBEF694" w:rsidR="008004F4" w:rsidRPr="000A33D4" w:rsidRDefault="008004F4" w:rsidP="004C6E77">
      <w:pPr>
        <w:pStyle w:val="ListParagraph"/>
        <w:numPr>
          <w:ilvl w:val="0"/>
          <w:numId w:val="141"/>
        </w:numPr>
        <w:spacing w:after="240"/>
        <w:rPr>
          <w:color w:val="000000" w:themeColor="text1"/>
        </w:rPr>
      </w:pPr>
      <w:r w:rsidRPr="000A33D4">
        <w:rPr>
          <w:color w:val="000000" w:themeColor="text1"/>
        </w:rPr>
        <w:t>Peer-reviewed and grey literature published by the three DMHSs; and</w:t>
      </w:r>
    </w:p>
    <w:p w14:paraId="56D411F9" w14:textId="33C9CB7D" w:rsidR="00342AF0" w:rsidRPr="000A33D4" w:rsidRDefault="008004F4" w:rsidP="004C6E77">
      <w:pPr>
        <w:pStyle w:val="ListParagraph"/>
        <w:numPr>
          <w:ilvl w:val="0"/>
          <w:numId w:val="141"/>
        </w:numPr>
        <w:spacing w:after="240"/>
        <w:rPr>
          <w:color w:val="000000" w:themeColor="text1"/>
        </w:rPr>
      </w:pPr>
      <w:r w:rsidRPr="000A33D4">
        <w:rPr>
          <w:color w:val="000000" w:themeColor="text1"/>
        </w:rPr>
        <w:t xml:space="preserve">Peer-reviewed </w:t>
      </w:r>
      <w:r w:rsidR="00D376B6" w:rsidRPr="000A33D4">
        <w:rPr>
          <w:color w:val="000000" w:themeColor="text1"/>
        </w:rPr>
        <w:t xml:space="preserve">and grey </w:t>
      </w:r>
      <w:r w:rsidRPr="000A33D4">
        <w:rPr>
          <w:color w:val="000000" w:themeColor="text1"/>
        </w:rPr>
        <w:t xml:space="preserve">literature on mental health outcomes </w:t>
      </w:r>
      <w:r w:rsidR="005D2CE7" w:rsidRPr="000A33D4">
        <w:rPr>
          <w:color w:val="000000" w:themeColor="text1"/>
        </w:rPr>
        <w:t xml:space="preserve">of </w:t>
      </w:r>
      <w:r w:rsidR="000A33D4" w:rsidRPr="000A33D4">
        <w:rPr>
          <w:color w:val="000000" w:themeColor="text1"/>
        </w:rPr>
        <w:t xml:space="preserve">other forms of mental health </w:t>
      </w:r>
      <w:r w:rsidR="005D2CE7" w:rsidRPr="000A33D4">
        <w:rPr>
          <w:color w:val="000000" w:themeColor="text1"/>
        </w:rPr>
        <w:t>treatment</w:t>
      </w:r>
      <w:r w:rsidR="00F23487" w:rsidRPr="000A33D4">
        <w:rPr>
          <w:color w:val="000000" w:themeColor="text1"/>
        </w:rPr>
        <w:t>.</w:t>
      </w:r>
    </w:p>
    <w:p w14:paraId="7EF4147F" w14:textId="77777777" w:rsidR="00342AF0" w:rsidRPr="00FA5622" w:rsidRDefault="00342AF0" w:rsidP="003D20AA">
      <w:pPr>
        <w:pStyle w:val="Heading3"/>
        <w:numPr>
          <w:ilvl w:val="0"/>
          <w:numId w:val="0"/>
        </w:numPr>
        <w:ind w:left="142" w:hanging="142"/>
      </w:pPr>
      <w:r w:rsidRPr="00FA5622">
        <w:t>Consultations with key stakeholders</w:t>
      </w:r>
    </w:p>
    <w:p w14:paraId="74C33808" w14:textId="6464FE26" w:rsidR="00342AF0" w:rsidRPr="007F2BE4" w:rsidRDefault="00342AF0" w:rsidP="004C6E77">
      <w:pPr>
        <w:spacing w:after="240"/>
        <w:rPr>
          <w:rFonts w:ascii="Calibri" w:hAnsi="Calibri" w:cs="Arial"/>
          <w:color w:val="000000" w:themeColor="text1"/>
          <w:sz w:val="21"/>
          <w:szCs w:val="21"/>
        </w:rPr>
      </w:pPr>
      <w:r w:rsidRPr="007F2BE4">
        <w:rPr>
          <w:rFonts w:ascii="Calibri" w:hAnsi="Calibri" w:cs="Arial"/>
          <w:color w:val="000000" w:themeColor="text1"/>
          <w:sz w:val="21"/>
          <w:szCs w:val="21"/>
        </w:rPr>
        <w:t>We conducted consultations with a broad range of stakeholders, including:</w:t>
      </w:r>
    </w:p>
    <w:p w14:paraId="00497A54" w14:textId="08832EE1" w:rsidR="00342AF0" w:rsidRPr="007F2BE4" w:rsidRDefault="00E34E8C" w:rsidP="004C6E77">
      <w:pPr>
        <w:pStyle w:val="ListParagraph"/>
        <w:numPr>
          <w:ilvl w:val="0"/>
          <w:numId w:val="140"/>
        </w:numPr>
        <w:spacing w:after="240"/>
        <w:rPr>
          <w:rFonts w:ascii="Calibri" w:hAnsi="Calibri" w:cs="Arial"/>
          <w:color w:val="000000" w:themeColor="text1"/>
          <w:lang w:val="en-US"/>
        </w:rPr>
      </w:pPr>
      <w:r>
        <w:rPr>
          <w:rFonts w:ascii="Calibri" w:hAnsi="Calibri" w:cs="Arial"/>
          <w:color w:val="000000" w:themeColor="text1"/>
          <w:lang w:val="en-US"/>
        </w:rPr>
        <w:t>351 c</w:t>
      </w:r>
      <w:r w:rsidR="007F2BE4" w:rsidRPr="007F2BE4">
        <w:rPr>
          <w:rFonts w:ascii="Calibri" w:hAnsi="Calibri" w:cs="Arial"/>
          <w:color w:val="000000" w:themeColor="text1"/>
          <w:lang w:val="en-US"/>
        </w:rPr>
        <w:t>onsumers</w:t>
      </w:r>
      <w:r w:rsidR="00342AF0" w:rsidRPr="007F2BE4">
        <w:rPr>
          <w:rFonts w:ascii="Calibri" w:hAnsi="Calibri" w:cs="Arial"/>
          <w:color w:val="000000" w:themeColor="text1"/>
          <w:lang w:val="en-US"/>
        </w:rPr>
        <w:t xml:space="preserve"> of the </w:t>
      </w:r>
      <w:r w:rsidR="007F2BE4" w:rsidRPr="007F2BE4">
        <w:rPr>
          <w:rFonts w:ascii="Calibri" w:hAnsi="Calibri" w:cs="Arial"/>
          <w:color w:val="000000" w:themeColor="text1"/>
          <w:lang w:val="en-US"/>
        </w:rPr>
        <w:t>three DMHSs</w:t>
      </w:r>
      <w:r w:rsidR="00342AF0" w:rsidRPr="007F2BE4">
        <w:rPr>
          <w:rFonts w:ascii="Calibri" w:hAnsi="Calibri" w:cs="Arial"/>
          <w:color w:val="000000" w:themeColor="text1"/>
          <w:lang w:val="en-US"/>
        </w:rPr>
        <w:t xml:space="preserve"> via survey (and optional interview</w:t>
      </w:r>
      <w:proofErr w:type="gramStart"/>
      <w:r w:rsidR="00342AF0" w:rsidRPr="007F2BE4">
        <w:rPr>
          <w:rFonts w:ascii="Calibri" w:hAnsi="Calibri" w:cs="Arial"/>
          <w:color w:val="000000" w:themeColor="text1"/>
          <w:lang w:val="en-US"/>
        </w:rPr>
        <w:t>);</w:t>
      </w:r>
      <w:proofErr w:type="gramEnd"/>
    </w:p>
    <w:p w14:paraId="728F02D4" w14:textId="09BAA001" w:rsidR="007F2BE4" w:rsidRPr="0028684F" w:rsidRDefault="00307CD2" w:rsidP="004C6E77">
      <w:pPr>
        <w:pStyle w:val="ListParagraph"/>
        <w:numPr>
          <w:ilvl w:val="0"/>
          <w:numId w:val="140"/>
        </w:numPr>
        <w:spacing w:after="240"/>
        <w:rPr>
          <w:rFonts w:ascii="Calibri" w:hAnsi="Calibri" w:cs="Arial"/>
          <w:color w:val="000000" w:themeColor="text1"/>
          <w:lang w:val="en-US"/>
        </w:rPr>
      </w:pPr>
      <w:r>
        <w:rPr>
          <w:rFonts w:ascii="Calibri" w:hAnsi="Calibri" w:cs="Arial"/>
          <w:color w:val="000000" w:themeColor="text1"/>
          <w:lang w:val="en-US"/>
        </w:rPr>
        <w:t>30</w:t>
      </w:r>
      <w:r w:rsidR="00E34E8C">
        <w:rPr>
          <w:rFonts w:ascii="Calibri" w:hAnsi="Calibri" w:cs="Arial"/>
          <w:color w:val="000000" w:themeColor="text1"/>
          <w:lang w:val="en-US"/>
        </w:rPr>
        <w:t xml:space="preserve"> p</w:t>
      </w:r>
      <w:r w:rsidR="007F2BE4" w:rsidRPr="0028684F">
        <w:rPr>
          <w:rFonts w:ascii="Calibri" w:hAnsi="Calibri" w:cs="Arial"/>
          <w:color w:val="000000" w:themeColor="text1"/>
          <w:lang w:val="en-US"/>
        </w:rPr>
        <w:t>roviders of the three DMHSs via survey (and optional interview</w:t>
      </w:r>
      <w:proofErr w:type="gramStart"/>
      <w:r w:rsidR="007F2BE4" w:rsidRPr="0028684F">
        <w:rPr>
          <w:rFonts w:ascii="Calibri" w:hAnsi="Calibri" w:cs="Arial"/>
          <w:color w:val="000000" w:themeColor="text1"/>
          <w:lang w:val="en-US"/>
        </w:rPr>
        <w:t>);</w:t>
      </w:r>
      <w:proofErr w:type="gramEnd"/>
    </w:p>
    <w:p w14:paraId="1DE69FE4" w14:textId="59A2CECA" w:rsidR="00342AF0" w:rsidRPr="0028684F" w:rsidRDefault="00E34E8C" w:rsidP="004C6E77">
      <w:pPr>
        <w:pStyle w:val="ListParagraph"/>
        <w:numPr>
          <w:ilvl w:val="0"/>
          <w:numId w:val="140"/>
        </w:numPr>
        <w:spacing w:after="240"/>
        <w:rPr>
          <w:rFonts w:ascii="Calibri" w:hAnsi="Calibri" w:cs="Arial"/>
          <w:color w:val="000000" w:themeColor="text1"/>
          <w:lang w:val="en-US"/>
        </w:rPr>
      </w:pPr>
      <w:r w:rsidRPr="00307CD2">
        <w:rPr>
          <w:rFonts w:ascii="Calibri" w:hAnsi="Calibri" w:cs="Arial"/>
          <w:color w:val="000000" w:themeColor="text1"/>
          <w:lang w:val="en-US"/>
        </w:rPr>
        <w:t>16</w:t>
      </w:r>
      <w:r>
        <w:rPr>
          <w:rFonts w:ascii="Calibri" w:hAnsi="Calibri" w:cs="Arial"/>
          <w:color w:val="000000" w:themeColor="text1"/>
          <w:lang w:val="en-US"/>
        </w:rPr>
        <w:t xml:space="preserve"> p</w:t>
      </w:r>
      <w:r w:rsidR="002F7DFE" w:rsidRPr="0028684F">
        <w:rPr>
          <w:rFonts w:ascii="Calibri" w:hAnsi="Calibri" w:cs="Arial"/>
          <w:color w:val="000000" w:themeColor="text1"/>
          <w:lang w:val="en-US"/>
        </w:rPr>
        <w:t>eople with lived experience of mental health problems (</w:t>
      </w:r>
      <w:r w:rsidR="002F7DFE" w:rsidRPr="0028684F">
        <w:rPr>
          <w:rFonts w:ascii="Calibri" w:hAnsi="Calibri" w:cs="Arial"/>
          <w:color w:val="000000" w:themeColor="text1"/>
        </w:rPr>
        <w:t>with or without experience using DMHSs)</w:t>
      </w:r>
      <w:r w:rsidR="0028684F" w:rsidRPr="0028684F">
        <w:rPr>
          <w:rFonts w:ascii="Calibri" w:hAnsi="Calibri" w:cs="Arial"/>
          <w:color w:val="000000" w:themeColor="text1"/>
        </w:rPr>
        <w:t xml:space="preserve"> via community </w:t>
      </w:r>
      <w:proofErr w:type="gramStart"/>
      <w:r w:rsidR="0028684F" w:rsidRPr="0028684F">
        <w:rPr>
          <w:rFonts w:ascii="Calibri" w:hAnsi="Calibri" w:cs="Arial"/>
          <w:color w:val="000000" w:themeColor="text1"/>
        </w:rPr>
        <w:t>conversations</w:t>
      </w:r>
      <w:r w:rsidR="00342AF0" w:rsidRPr="0028684F">
        <w:rPr>
          <w:rFonts w:ascii="Calibri" w:hAnsi="Calibri" w:cs="Arial"/>
          <w:color w:val="000000" w:themeColor="text1"/>
          <w:lang w:val="en-US"/>
        </w:rPr>
        <w:t>;</w:t>
      </w:r>
      <w:proofErr w:type="gramEnd"/>
    </w:p>
    <w:p w14:paraId="3390AA39" w14:textId="2B8AF819" w:rsidR="00342AF0" w:rsidRPr="0028684F" w:rsidRDefault="00307CD2" w:rsidP="004C6E77">
      <w:pPr>
        <w:pStyle w:val="ListParagraph"/>
        <w:numPr>
          <w:ilvl w:val="0"/>
          <w:numId w:val="140"/>
        </w:numPr>
        <w:spacing w:after="240"/>
      </w:pPr>
      <w:r>
        <w:rPr>
          <w:rFonts w:ascii="Calibri" w:hAnsi="Calibri" w:cs="Arial"/>
          <w:color w:val="000000" w:themeColor="text1"/>
        </w:rPr>
        <w:t>94</w:t>
      </w:r>
      <w:r w:rsidR="00E34E8C">
        <w:rPr>
          <w:rFonts w:ascii="Calibri" w:hAnsi="Calibri" w:cs="Arial"/>
          <w:color w:val="000000" w:themeColor="text1"/>
        </w:rPr>
        <w:t xml:space="preserve"> a</w:t>
      </w:r>
      <w:r w:rsidR="00342AF0" w:rsidRPr="0028684F">
        <w:rPr>
          <w:rFonts w:ascii="Calibri" w:hAnsi="Calibri" w:cs="Arial"/>
          <w:color w:val="000000" w:themeColor="text1"/>
        </w:rPr>
        <w:t>dditional health professionals (</w:t>
      </w:r>
      <w:r w:rsidR="002F7DFE" w:rsidRPr="0028684F">
        <w:rPr>
          <w:rFonts w:ascii="Calibri" w:hAnsi="Calibri" w:cs="Arial"/>
          <w:color w:val="000000" w:themeColor="text1"/>
        </w:rPr>
        <w:t xml:space="preserve">with or without experience using DMHSs) </w:t>
      </w:r>
      <w:r w:rsidR="00342AF0" w:rsidRPr="0028684F">
        <w:rPr>
          <w:rFonts w:ascii="Calibri" w:hAnsi="Calibri" w:cs="Arial"/>
          <w:color w:val="000000" w:themeColor="text1"/>
        </w:rPr>
        <w:t>such as GPs and mental health professionals (e.g., psychologists, mental health nurses, psychiatrists, social workers, occupational therapists) via survey through professional associations; and</w:t>
      </w:r>
    </w:p>
    <w:p w14:paraId="2129A427" w14:textId="556E1387" w:rsidR="0028684F" w:rsidRPr="0028684F" w:rsidRDefault="00307CD2" w:rsidP="004C6E77">
      <w:pPr>
        <w:pStyle w:val="ListParagraph"/>
        <w:numPr>
          <w:ilvl w:val="0"/>
          <w:numId w:val="140"/>
        </w:numPr>
        <w:spacing w:after="240"/>
      </w:pPr>
      <w:r>
        <w:rPr>
          <w:rFonts w:ascii="Calibri" w:hAnsi="Calibri" w:cs="Arial"/>
          <w:color w:val="000000" w:themeColor="text1"/>
          <w:lang w:val="en-US"/>
        </w:rPr>
        <w:t xml:space="preserve">68 </w:t>
      </w:r>
      <w:r w:rsidR="00E34E8C">
        <w:rPr>
          <w:rFonts w:ascii="Calibri" w:hAnsi="Calibri" w:cs="Arial"/>
          <w:color w:val="000000" w:themeColor="text1"/>
          <w:lang w:val="en-US"/>
        </w:rPr>
        <w:t>o</w:t>
      </w:r>
      <w:r w:rsidR="00342AF0" w:rsidRPr="0028684F">
        <w:rPr>
          <w:rFonts w:ascii="Calibri" w:hAnsi="Calibri" w:cs="Arial"/>
          <w:color w:val="000000" w:themeColor="text1"/>
          <w:lang w:val="en-US"/>
        </w:rPr>
        <w:t xml:space="preserve">ther key </w:t>
      </w:r>
      <w:r w:rsidR="00D376B6">
        <w:rPr>
          <w:rFonts w:ascii="Calibri" w:hAnsi="Calibri" w:cs="Arial"/>
          <w:color w:val="000000" w:themeColor="text1"/>
          <w:lang w:val="en-US"/>
        </w:rPr>
        <w:t>mental health sector</w:t>
      </w:r>
      <w:r w:rsidR="00342AF0" w:rsidRPr="0028684F">
        <w:rPr>
          <w:rFonts w:ascii="Calibri" w:hAnsi="Calibri" w:cs="Arial"/>
          <w:color w:val="000000" w:themeColor="text1"/>
          <w:lang w:val="en-US"/>
        </w:rPr>
        <w:t xml:space="preserve"> stakeholders</w:t>
      </w:r>
      <w:r>
        <w:rPr>
          <w:rFonts w:ascii="Calibri" w:hAnsi="Calibri" w:cs="Arial"/>
          <w:color w:val="000000" w:themeColor="text1"/>
          <w:lang w:val="en-US"/>
        </w:rPr>
        <w:t xml:space="preserve"> representing 44 </w:t>
      </w:r>
      <w:proofErr w:type="spellStart"/>
      <w:r>
        <w:rPr>
          <w:rFonts w:ascii="Calibri" w:hAnsi="Calibri" w:cs="Arial"/>
          <w:color w:val="000000" w:themeColor="text1"/>
          <w:lang w:val="en-US"/>
        </w:rPr>
        <w:t>organisations</w:t>
      </w:r>
      <w:proofErr w:type="spellEnd"/>
      <w:r w:rsidR="00342AF0" w:rsidRPr="0028684F">
        <w:rPr>
          <w:rFonts w:ascii="Calibri" w:hAnsi="Calibri" w:cs="Arial"/>
          <w:color w:val="000000" w:themeColor="text1"/>
          <w:lang w:val="en-US"/>
        </w:rPr>
        <w:t xml:space="preserve"> via survey (or interview), e.g., </w:t>
      </w:r>
      <w:r w:rsidR="0028684F" w:rsidRPr="0028684F">
        <w:rPr>
          <w:rFonts w:eastAsiaTheme="minorHAnsi"/>
          <w:lang w:eastAsia="en-US"/>
        </w:rPr>
        <w:t>management staff from the DMHSs, funders, partners, Head to Health (and the new national mental health platform) website developers, and others in the mental health sector (e.g., representatives from relevant health professions and peak bodies for people with lived experience).</w:t>
      </w:r>
    </w:p>
    <w:p w14:paraId="583D443D" w14:textId="02FCA175" w:rsidR="004D589A" w:rsidRDefault="004D589A" w:rsidP="00E7260E">
      <w:pPr>
        <w:pStyle w:val="Heading2"/>
        <w:numPr>
          <w:ilvl w:val="0"/>
          <w:numId w:val="0"/>
        </w:numPr>
      </w:pPr>
      <w:bookmarkStart w:id="15" w:name="_Toc108784813"/>
      <w:r>
        <w:t>Findings</w:t>
      </w:r>
      <w:bookmarkEnd w:id="15"/>
    </w:p>
    <w:p w14:paraId="1F122FAE" w14:textId="77777777" w:rsidR="00EE6CD2" w:rsidRDefault="00EE6CD2" w:rsidP="00EE6CD2">
      <w:pPr>
        <w:pStyle w:val="ANorm"/>
        <w:spacing w:after="240"/>
        <w:rPr>
          <w:rStyle w:val="normaltextrun"/>
          <w:rFonts w:asciiTheme="minorHAnsi" w:hAnsiTheme="minorHAnsi" w:cstheme="minorHAnsi"/>
          <w:color w:val="000000"/>
          <w:shd w:val="clear" w:color="auto" w:fill="FFFFFF"/>
        </w:rPr>
      </w:pPr>
      <w:r w:rsidRPr="003F0E83">
        <w:rPr>
          <w:rStyle w:val="normaltextrun"/>
          <w:rFonts w:asciiTheme="minorHAnsi" w:hAnsiTheme="minorHAnsi" w:cstheme="minorHAnsi"/>
          <w:color w:val="000000"/>
          <w:shd w:val="clear" w:color="auto" w:fill="FFFFFF"/>
        </w:rPr>
        <w:t xml:space="preserve">This section summarises findings from all the data sources used in this report according to the five overarching KEQs. Note that KEQs are addressed by different combinations of, and not necessarily all, data sources. </w:t>
      </w:r>
    </w:p>
    <w:p w14:paraId="17BBE0CF" w14:textId="763ACEB1" w:rsidR="00EE6CD2" w:rsidRDefault="00EE6CD2" w:rsidP="00EE6CD2">
      <w:pPr>
        <w:pStyle w:val="ANorm"/>
        <w:spacing w:after="240"/>
      </w:pPr>
      <w:r w:rsidRPr="00EE6CD2">
        <w:t xml:space="preserve">Findings should be interpreted in the context of several important caveats. First, the evaluation focused largely on therapist-supported and self-directed treatments offered by the three DMHSs, but </w:t>
      </w:r>
      <w:r w:rsidR="00D95300">
        <w:t>treatment</w:t>
      </w:r>
      <w:r w:rsidRPr="00EE6CD2">
        <w:t xml:space="preserve"> is only one component of their service offerings. All three services also provide web-based information and assessment. Second, key differences exist in the service delivery models of the three DMHSs and they </w:t>
      </w:r>
      <w:r w:rsidRPr="00EE6CD2">
        <w:lastRenderedPageBreak/>
        <w:t xml:space="preserve">receive different amounts of </w:t>
      </w:r>
      <w:r w:rsidR="00E64BC7" w:rsidRPr="00EE6CD2">
        <w:t>government</w:t>
      </w:r>
      <w:r w:rsidRPr="00EE6CD2">
        <w:t xml:space="preserve"> funding. The providers of therapist support differ across the DMHS; these include provisional (trainee) psychologists at Mental Health Online, internal clinicians at </w:t>
      </w:r>
      <w:proofErr w:type="spellStart"/>
      <w:r w:rsidRPr="00EE6CD2">
        <w:t>MindSpot</w:t>
      </w:r>
      <w:proofErr w:type="spellEnd"/>
      <w:r w:rsidRPr="00EE6CD2">
        <w:t>, and external clinicians at THIS WAY UP. Third, although therapist support is available, consumers can choose not to take up this support, instead electing to complete online treatment on their own (self-directed treatment). Finally, the time frames are different for the routinely collected data we analysed.</w:t>
      </w:r>
    </w:p>
    <w:p w14:paraId="1DAC1A53" w14:textId="039BEDE0" w:rsidR="00EE6CD2" w:rsidRPr="00EE6CD2" w:rsidRDefault="00EE6CD2" w:rsidP="00EE6CD2">
      <w:pPr>
        <w:pStyle w:val="ANorm"/>
        <w:spacing w:after="240"/>
        <w:rPr>
          <w:rFonts w:asciiTheme="minorHAnsi" w:hAnsiTheme="minorHAnsi" w:cstheme="minorHAnsi"/>
          <w:color w:val="000000"/>
          <w:shd w:val="clear" w:color="auto" w:fill="FFFFFF"/>
        </w:rPr>
      </w:pPr>
      <w:r w:rsidRPr="003F0E83">
        <w:rPr>
          <w:rStyle w:val="normaltextrun"/>
          <w:rFonts w:asciiTheme="minorHAnsi" w:hAnsiTheme="minorHAnsi" w:cstheme="minorHAnsi"/>
          <w:color w:val="000000"/>
          <w:shd w:val="clear" w:color="auto" w:fill="FFFFFF"/>
        </w:rPr>
        <w:t xml:space="preserve">Furthermore, the evaluation was not designed to compare the three services. Some of the differences observed could be accounted for by methodological variation. For example, the services are likely to have used different methods to apportion costs for the assessment, and self-directed and </w:t>
      </w:r>
      <w:r w:rsidR="00831B28">
        <w:rPr>
          <w:rStyle w:val="normaltextrun"/>
          <w:rFonts w:asciiTheme="minorHAnsi" w:hAnsiTheme="minorHAnsi" w:cstheme="minorHAnsi"/>
          <w:color w:val="000000"/>
          <w:shd w:val="clear" w:color="auto" w:fill="FFFFFF"/>
        </w:rPr>
        <w:t>therapist</w:t>
      </w:r>
      <w:r w:rsidR="00D95300">
        <w:rPr>
          <w:rStyle w:val="normaltextrun"/>
          <w:rFonts w:asciiTheme="minorHAnsi" w:hAnsiTheme="minorHAnsi" w:cstheme="minorHAnsi"/>
          <w:color w:val="000000"/>
          <w:shd w:val="clear" w:color="auto" w:fill="FFFFFF"/>
        </w:rPr>
        <w:t xml:space="preserve">-supported </w:t>
      </w:r>
      <w:r w:rsidRPr="003F0E83">
        <w:rPr>
          <w:rStyle w:val="normaltextrun"/>
          <w:rFonts w:asciiTheme="minorHAnsi" w:hAnsiTheme="minorHAnsi" w:cstheme="minorHAnsi"/>
          <w:color w:val="000000"/>
          <w:shd w:val="clear" w:color="auto" w:fill="FFFFFF"/>
        </w:rPr>
        <w:t>treatment service elements.</w:t>
      </w:r>
    </w:p>
    <w:p w14:paraId="6E7AB3AC" w14:textId="77777777" w:rsidR="00EE6CD2" w:rsidRPr="00A26620" w:rsidRDefault="00EE6CD2" w:rsidP="006838F4">
      <w:pPr>
        <w:pStyle w:val="Heading2"/>
        <w:numPr>
          <w:ilvl w:val="0"/>
          <w:numId w:val="0"/>
        </w:numPr>
        <w:ind w:left="720" w:hanging="720"/>
        <w:rPr>
          <w:sz w:val="24"/>
          <w:szCs w:val="24"/>
        </w:rPr>
      </w:pPr>
      <w:bookmarkStart w:id="16" w:name="_Toc108782904"/>
      <w:bookmarkStart w:id="17" w:name="_Toc108784814"/>
      <w:r w:rsidRPr="00A26620">
        <w:rPr>
          <w:rFonts w:asciiTheme="minorHAnsi" w:hAnsiTheme="minorHAnsi" w:cstheme="minorHAnsi"/>
          <w:sz w:val="24"/>
          <w:szCs w:val="24"/>
        </w:rPr>
        <w:t>KEQ 1: How effective has the implementation of online mental health treatment services been to date, and what can we learn from it?</w:t>
      </w:r>
      <w:bookmarkEnd w:id="16"/>
      <w:bookmarkEnd w:id="17"/>
    </w:p>
    <w:p w14:paraId="744BBF4C" w14:textId="77777777" w:rsidR="00EE6CD2" w:rsidRPr="00207779" w:rsidRDefault="00EE6CD2" w:rsidP="00EE6CD2">
      <w:pPr>
        <w:pStyle w:val="ANorm"/>
        <w:spacing w:after="240"/>
        <w:rPr>
          <w:rStyle w:val="normaltextrun"/>
          <w:rFonts w:asciiTheme="minorHAnsi" w:hAnsiTheme="minorHAnsi" w:cstheme="minorHAnsi"/>
          <w:color w:val="000000"/>
          <w:shd w:val="clear" w:color="auto" w:fill="FFFFFF"/>
        </w:rPr>
      </w:pPr>
      <w:r w:rsidRPr="00207779">
        <w:rPr>
          <w:rStyle w:val="normaltextrun"/>
          <w:rFonts w:asciiTheme="minorHAnsi" w:hAnsiTheme="minorHAnsi" w:cstheme="minorHAnsi"/>
          <w:color w:val="000000"/>
          <w:shd w:val="clear" w:color="auto" w:fill="FFFFFF"/>
        </w:rPr>
        <w:t>Routinely collected service use data, peer-reviewed and grey literature, and consultations with DMHS consumers and providers, additional mental health professionals and referrers, and key mental health sector representatives contribute to addressing KEQ 1.</w:t>
      </w:r>
    </w:p>
    <w:p w14:paraId="18F6C384" w14:textId="77777777" w:rsidR="00EE6CD2" w:rsidRPr="00A26620" w:rsidRDefault="00EE6CD2" w:rsidP="004D507F">
      <w:pPr>
        <w:pStyle w:val="Heading3"/>
        <w:numPr>
          <w:ilvl w:val="0"/>
          <w:numId w:val="0"/>
        </w:numPr>
        <w:ind w:left="142" w:hanging="142"/>
        <w:rPr>
          <w:sz w:val="22"/>
          <w:szCs w:val="22"/>
          <w:shd w:val="clear" w:color="auto" w:fill="FFFFFF"/>
        </w:rPr>
      </w:pPr>
      <w:r w:rsidRPr="00A26620">
        <w:rPr>
          <w:rStyle w:val="normaltextrun"/>
          <w:sz w:val="22"/>
          <w:szCs w:val="22"/>
          <w:shd w:val="clear" w:color="auto" w:fill="FFFFFF"/>
        </w:rPr>
        <w:t>Overall uptake of DMHSs</w:t>
      </w:r>
    </w:p>
    <w:p w14:paraId="4DB77100" w14:textId="77777777" w:rsidR="00EE6CD2" w:rsidRPr="00207779" w:rsidRDefault="00EE6CD2" w:rsidP="00EE6CD2">
      <w:pPr>
        <w:spacing w:after="240"/>
        <w:rPr>
          <w:rFonts w:asciiTheme="minorHAnsi" w:hAnsiTheme="minorHAnsi" w:cstheme="minorHAnsi"/>
          <w:sz w:val="21"/>
          <w:szCs w:val="21"/>
        </w:rPr>
      </w:pPr>
      <w:r w:rsidRPr="00207779">
        <w:rPr>
          <w:rFonts w:asciiTheme="minorHAnsi" w:hAnsiTheme="minorHAnsi" w:cstheme="minorHAnsi"/>
          <w:sz w:val="21"/>
          <w:szCs w:val="21"/>
          <w:lang w:val="en-US" w:bidi="th-TH"/>
        </w:rPr>
        <w:t xml:space="preserve">Overall, the routinely collected service use data (Section 3) suggest that the three </w:t>
      </w:r>
      <w:r w:rsidRPr="00207779">
        <w:rPr>
          <w:rFonts w:asciiTheme="minorHAnsi" w:hAnsiTheme="minorHAnsi" w:cstheme="minorHAnsi"/>
          <w:sz w:val="21"/>
          <w:szCs w:val="21"/>
        </w:rPr>
        <w:t>DMHSs we evaluated are an important part of the Australian mental health service system, with the number of consumers accessing, and providers delivering, care through them steadily increasing.</w:t>
      </w:r>
    </w:p>
    <w:p w14:paraId="1176E2DF" w14:textId="77777777" w:rsidR="00EE6CD2" w:rsidRPr="00207779" w:rsidRDefault="00EE6CD2" w:rsidP="00EE6CD2">
      <w:pPr>
        <w:spacing w:after="240"/>
        <w:rPr>
          <w:rFonts w:asciiTheme="minorHAnsi" w:hAnsiTheme="minorHAnsi" w:cstheme="minorHAnsi"/>
          <w:sz w:val="21"/>
          <w:szCs w:val="21"/>
        </w:rPr>
      </w:pPr>
      <w:r w:rsidRPr="00207779">
        <w:rPr>
          <w:rFonts w:asciiTheme="minorHAnsi" w:hAnsiTheme="minorHAnsi" w:cstheme="minorHAnsi"/>
          <w:sz w:val="21"/>
          <w:szCs w:val="21"/>
        </w:rPr>
        <w:t>Over seven years from January 2015 to December 2021, 64,825 consumers and 2,066 health care professionals registered with the Mental Health Online website. Nearly 25,000 consumers completed an assessment, more than half of whom did not register for treatment. About 18,000 users registered for a treatment program; of these, 11,500 (64%) had also completed an assessment and 2,300 (11%) registered to receive therapist support.</w:t>
      </w:r>
    </w:p>
    <w:p w14:paraId="18EA3EA2" w14:textId="7AEE9C75" w:rsidR="00EE6CD2" w:rsidRPr="00207779" w:rsidRDefault="00EE6CD2" w:rsidP="00EE6CD2">
      <w:pPr>
        <w:spacing w:after="240"/>
        <w:rPr>
          <w:rFonts w:asciiTheme="minorHAnsi" w:hAnsiTheme="minorHAnsi" w:cstheme="minorHAnsi"/>
          <w:sz w:val="21"/>
          <w:szCs w:val="21"/>
        </w:rPr>
      </w:pPr>
      <w:r w:rsidRPr="00207779">
        <w:rPr>
          <w:rFonts w:asciiTheme="minorHAnsi" w:hAnsiTheme="minorHAnsi" w:cstheme="minorHAnsi"/>
          <w:sz w:val="21"/>
          <w:szCs w:val="21"/>
        </w:rPr>
        <w:t xml:space="preserve">For </w:t>
      </w:r>
      <w:proofErr w:type="spellStart"/>
      <w:r w:rsidRPr="00207779">
        <w:rPr>
          <w:rFonts w:asciiTheme="minorHAnsi" w:hAnsiTheme="minorHAnsi" w:cstheme="minorHAnsi"/>
          <w:sz w:val="21"/>
          <w:szCs w:val="21"/>
        </w:rPr>
        <w:t>MindSpot</w:t>
      </w:r>
      <w:proofErr w:type="spellEnd"/>
      <w:r w:rsidRPr="00207779">
        <w:rPr>
          <w:rFonts w:asciiTheme="minorHAnsi" w:hAnsiTheme="minorHAnsi" w:cstheme="minorHAnsi"/>
          <w:sz w:val="21"/>
          <w:szCs w:val="21"/>
        </w:rPr>
        <w:t xml:space="preserve"> over nine years from January 2013 to December 2021, 133,447 assessments were completed and 27% (35,942) of consumers who completed an assessment enrolled in either therapist-supported or self-directed treatment programs. This should be interpreted in the context that around 67% of </w:t>
      </w:r>
      <w:proofErr w:type="spellStart"/>
      <w:r w:rsidRPr="00207779">
        <w:rPr>
          <w:rFonts w:asciiTheme="minorHAnsi" w:hAnsiTheme="minorHAnsi" w:cstheme="minorHAnsi"/>
          <w:sz w:val="21"/>
          <w:szCs w:val="21"/>
        </w:rPr>
        <w:t>MindSpot</w:t>
      </w:r>
      <w:proofErr w:type="spellEnd"/>
      <w:r w:rsidRPr="00207779">
        <w:rPr>
          <w:rFonts w:asciiTheme="minorHAnsi" w:hAnsiTheme="minorHAnsi" w:cstheme="minorHAnsi"/>
          <w:sz w:val="21"/>
          <w:szCs w:val="21"/>
        </w:rPr>
        <w:t xml:space="preserve"> consumers report that an assessment is their primary need.</w:t>
      </w:r>
      <w:r w:rsidRPr="00207779">
        <w:rPr>
          <w:rFonts w:asciiTheme="minorHAnsi" w:hAnsiTheme="minorHAnsi" w:cstheme="minorHAnsi"/>
          <w:sz w:val="21"/>
          <w:szCs w:val="21"/>
        </w:rPr>
        <w:fldChar w:fldCharType="begin"/>
      </w:r>
      <w:r w:rsidR="004469A2">
        <w:rPr>
          <w:rFonts w:asciiTheme="minorHAnsi" w:hAnsiTheme="minorHAnsi" w:cstheme="minorHAnsi"/>
          <w:sz w:val="21"/>
          <w:szCs w:val="21"/>
        </w:rPr>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Pr="00207779">
        <w:rPr>
          <w:rFonts w:asciiTheme="minorHAnsi" w:hAnsiTheme="minorHAnsi" w:cstheme="minorHAnsi"/>
          <w:sz w:val="21"/>
          <w:szCs w:val="21"/>
        </w:rPr>
        <w:fldChar w:fldCharType="separate"/>
      </w:r>
      <w:r w:rsidR="004469A2" w:rsidRPr="004469A2">
        <w:rPr>
          <w:rFonts w:asciiTheme="minorHAnsi" w:hAnsiTheme="minorHAnsi" w:cstheme="minorHAnsi"/>
          <w:noProof/>
          <w:sz w:val="21"/>
          <w:szCs w:val="21"/>
          <w:vertAlign w:val="superscript"/>
        </w:rPr>
        <w:t>7</w:t>
      </w:r>
      <w:r w:rsidRPr="00207779">
        <w:rPr>
          <w:rFonts w:asciiTheme="minorHAnsi" w:hAnsiTheme="minorHAnsi" w:cstheme="minorHAnsi"/>
          <w:sz w:val="21"/>
          <w:szCs w:val="21"/>
        </w:rPr>
        <w:fldChar w:fldCharType="end"/>
      </w:r>
      <w:r w:rsidRPr="00207779">
        <w:rPr>
          <w:rFonts w:asciiTheme="minorHAnsi" w:hAnsiTheme="minorHAnsi" w:cstheme="minorHAnsi"/>
          <w:sz w:val="21"/>
          <w:szCs w:val="21"/>
        </w:rPr>
        <w:t xml:space="preserve"> Most consumers enrolled for therapist-supported treatment (96%, n=34,390). This is not surprising as self-directed treatment was only introduced in July 2019. Two-thirds of those who started therapist-supported treatment completed treatment (i.e., at least 4 of 5 lessons), which is comparable to UK published CBT completion rates (based on reason for discharge) in IAPT.</w:t>
      </w:r>
      <w:r w:rsidRPr="00207779">
        <w:rPr>
          <w:rFonts w:asciiTheme="minorHAnsi" w:hAnsiTheme="minorHAnsi" w:cstheme="minorHAnsi"/>
          <w:sz w:val="21"/>
          <w:szCs w:val="21"/>
        </w:rPr>
        <w:fldChar w:fldCharType="begin"/>
      </w:r>
      <w:r w:rsidR="004469A2">
        <w:rPr>
          <w:rFonts w:asciiTheme="minorHAnsi" w:hAnsiTheme="minorHAnsi" w:cstheme="minorHAnsi"/>
          <w:sz w:val="21"/>
          <w:szCs w:val="21"/>
        </w:rPr>
        <w:instrText xml:space="preserve"> ADDIN EN.CITE &lt;EndNote&gt;&lt;Cite&gt;&lt;Author&gt;Leonidaki&lt;/Author&gt;&lt;Year&gt;2022&lt;/Year&gt;&lt;RecNum&gt;201&lt;/RecNum&gt;&lt;DisplayText&gt;&lt;style face="superscript"&gt;8&lt;/style&gt;&lt;/DisplayText&gt;&lt;record&gt;&lt;rec-number&gt;201&lt;/rec-number&gt;&lt;foreign-keys&gt;&lt;key app="EN" db-id="dawtr0zrkrzfa5edzzlpe2we0xa00t90vvr2" timestamp="1657161868"&gt;201&lt;/key&gt;&lt;/foreign-keys&gt;&lt;ref-type name="Journal Article"&gt;17&lt;/ref-type&gt;&lt;contributors&gt;&lt;authors&gt;&lt;author&gt;Leonidaki, V.&lt;/author&gt;&lt;author&gt;Constantinou, M. P.&lt;/author&gt;&lt;/authors&gt;&lt;/contributors&gt;&lt;auth-address&gt;National Problem Gambling Clinic, Central and North West London NHS Foundation Trust, London, UK.&amp;#xD;Department of Clinical, Educational and Health Psychology, University College London, London, UK.&lt;/auth-address&gt;&lt;titles&gt;&lt;title&gt;A comparison of completion and recovery rates between first-line protocol-based cognitive behavioural therapy and non-manualized relational therapies within a UK psychological service&lt;/title&gt;&lt;secondary-title&gt;Clin Psychol Psychother&lt;/secondary-title&gt;&lt;/titles&gt;&lt;periodical&gt;&lt;full-title&gt;Clin Psychol Psychother&lt;/full-title&gt;&lt;/periodical&gt;&lt;pages&gt;754-766&lt;/pages&gt;&lt;volume&gt;29&lt;/volume&gt;&lt;number&gt;2&lt;/number&gt;&lt;edition&gt;2021/09/10&lt;/edition&gt;&lt;keywords&gt;&lt;keyword&gt;Anxiety Disorders/psychology/therapy&lt;/keyword&gt;&lt;keyword&gt;*Cognitive Behavioral Therapy&lt;/keyword&gt;&lt;keyword&gt;Health Services Accessibility&lt;/keyword&gt;&lt;keyword&gt;Humans&lt;/keyword&gt;&lt;keyword&gt;Treatment Outcome&lt;/keyword&gt;&lt;keyword&gt;United Kingdom&lt;/keyword&gt;&lt;keyword&gt;Improving Access to Psychological Therapies (IAPT)&lt;/keyword&gt;&lt;keyword&gt;cognitive behavioural therapy (CBT)&lt;/keyword&gt;&lt;keyword&gt;integrative&lt;/keyword&gt;&lt;keyword&gt;outcome research&lt;/keyword&gt;&lt;keyword&gt;psychoanalytic/psychodynamic&lt;/keyword&gt;&lt;keyword&gt;relational&lt;/keyword&gt;&lt;/keywords&gt;&lt;dates&gt;&lt;year&gt;2022&lt;/year&gt;&lt;pub-dates&gt;&lt;date&gt;Mar&lt;/date&gt;&lt;/pub-dates&gt;&lt;/dates&gt;&lt;isbn&gt;1063-3995&lt;/isbn&gt;&lt;accession-num&gt;34498349&lt;/accession-num&gt;&lt;urls&gt;&lt;/urls&gt;&lt;electronic-resource-num&gt;10.1002/cpp.2669&lt;/electronic-resource-num&gt;&lt;remote-database-provider&gt;NLM&lt;/remote-database-provider&gt;&lt;language&gt;eng&lt;/language&gt;&lt;/record&gt;&lt;/Cite&gt;&lt;/EndNote&gt;</w:instrText>
      </w:r>
      <w:r w:rsidRPr="00207779">
        <w:rPr>
          <w:rFonts w:asciiTheme="minorHAnsi" w:hAnsiTheme="minorHAnsi" w:cstheme="minorHAnsi"/>
          <w:sz w:val="21"/>
          <w:szCs w:val="21"/>
        </w:rPr>
        <w:fldChar w:fldCharType="separate"/>
      </w:r>
      <w:r w:rsidR="004469A2" w:rsidRPr="004469A2">
        <w:rPr>
          <w:rFonts w:asciiTheme="minorHAnsi" w:hAnsiTheme="minorHAnsi" w:cstheme="minorHAnsi"/>
          <w:noProof/>
          <w:sz w:val="21"/>
          <w:szCs w:val="21"/>
          <w:vertAlign w:val="superscript"/>
        </w:rPr>
        <w:t>8</w:t>
      </w:r>
      <w:r w:rsidRPr="00207779">
        <w:rPr>
          <w:rFonts w:asciiTheme="minorHAnsi" w:hAnsiTheme="minorHAnsi" w:cstheme="minorHAnsi"/>
          <w:sz w:val="21"/>
          <w:szCs w:val="21"/>
        </w:rPr>
        <w:fldChar w:fldCharType="end"/>
      </w:r>
      <w:r w:rsidRPr="00207779">
        <w:rPr>
          <w:rFonts w:asciiTheme="minorHAnsi" w:hAnsiTheme="minorHAnsi" w:cstheme="minorHAnsi"/>
          <w:sz w:val="21"/>
          <w:szCs w:val="21"/>
        </w:rPr>
        <w:t xml:space="preserve"> However, the flip side is that around one-third of consumers drop out of therapist-supported treatment, which is higher than the 26% dropout rate reported in a recent meta-analysis.</w:t>
      </w:r>
      <w:r w:rsidRPr="00207779">
        <w:rPr>
          <w:rFonts w:asciiTheme="minorHAnsi" w:hAnsiTheme="minorHAnsi" w:cstheme="minorHAnsi"/>
          <w:sz w:val="21"/>
          <w:szCs w:val="21"/>
        </w:rPr>
        <w:fldChar w:fldCharType="begin"/>
      </w:r>
      <w:r w:rsidR="004469A2">
        <w:rPr>
          <w:rFonts w:asciiTheme="minorHAnsi" w:hAnsiTheme="minorHAnsi" w:cstheme="minorHAnsi"/>
          <w:sz w:val="21"/>
          <w:szCs w:val="21"/>
        </w:rPr>
        <w:instrText xml:space="preserve"> ADDIN EN.CITE &lt;EndNote&gt;&lt;Cite&gt;&lt;Author&gt;Fernandez&lt;/Author&gt;&lt;Year&gt;2015&lt;/Year&gt;&lt;RecNum&gt;203&lt;/RecNum&gt;&lt;DisplayText&gt;&lt;style face="superscript"&gt;9&lt;/style&gt;&lt;/DisplayText&gt;&lt;record&gt;&lt;rec-number&gt;203&lt;/rec-number&gt;&lt;foreign-keys&gt;&lt;key app="EN" db-id="dawtr0zrkrzfa5edzzlpe2we0xa00t90vvr2" timestamp="1657350933"&gt;203&lt;/key&gt;&lt;/foreign-keys&gt;&lt;ref-type name="Journal Article"&gt;17&lt;/ref-type&gt;&lt;contributors&gt;&lt;authors&gt;&lt;author&gt;Fernandez, E.&lt;/author&gt;&lt;author&gt;Salem, D.&lt;/author&gt;&lt;author&gt;Swift, J. K.&lt;/author&gt;&lt;author&gt;Ramtahal, N.&lt;/author&gt;&lt;/authors&gt;&lt;/contributors&gt;&lt;auth-address&gt;Department of Psychology, University of Texas at San Antonio.&amp;#xD;Department of Psychology, Long Island University Brooklyn.&amp;#xD;Department of Psychology, University of Alaska Anchorage.&lt;/auth-address&gt;&lt;titles&gt;&lt;title&gt;Meta-analysis of dropout from cognitive behavioral therapy: Magnitude, timing, and moderators&lt;/title&gt;&lt;secondary-title&gt;J Consult Clin Psychol&lt;/secondary-title&gt;&lt;/titles&gt;&lt;periodical&gt;&lt;full-title&gt;J Consult Clin Psychol&lt;/full-title&gt;&lt;/periodical&gt;&lt;pages&gt;1108-22&lt;/pages&gt;&lt;volume&gt;83&lt;/volume&gt;&lt;number&gt;6&lt;/number&gt;&lt;edition&gt;2015/08/25&lt;/edition&gt;&lt;keywords&gt;&lt;keyword&gt;Adolescent&lt;/keyword&gt;&lt;keyword&gt;Adult&lt;/keyword&gt;&lt;keyword&gt;Child&lt;/keyword&gt;&lt;keyword&gt;Cognitive Behavioral Therapy/*statistics &amp;amp; numerical data&lt;/keyword&gt;&lt;keyword&gt;Humans&lt;/keyword&gt;&lt;keyword&gt;Patient Dropouts/*statistics &amp;amp; numerical data&lt;/keyword&gt;&lt;/keywords&gt;&lt;dates&gt;&lt;year&gt;2015&lt;/year&gt;&lt;pub-dates&gt;&lt;date&gt;Dec&lt;/date&gt;&lt;/pub-dates&gt;&lt;/dates&gt;&lt;isbn&gt;0022-006x&lt;/isbn&gt;&lt;accession-num&gt;26302248&lt;/accession-num&gt;&lt;urls&gt;&lt;/urls&gt;&lt;electronic-resource-num&gt;10.1037/ccp0000044&lt;/electronic-resource-num&gt;&lt;remote-database-provider&gt;NLM&lt;/remote-database-provider&gt;&lt;language&gt;eng&lt;/language&gt;&lt;/record&gt;&lt;/Cite&gt;&lt;/EndNote&gt;</w:instrText>
      </w:r>
      <w:r w:rsidRPr="00207779">
        <w:rPr>
          <w:rFonts w:asciiTheme="minorHAnsi" w:hAnsiTheme="minorHAnsi" w:cstheme="minorHAnsi"/>
          <w:sz w:val="21"/>
          <w:szCs w:val="21"/>
        </w:rPr>
        <w:fldChar w:fldCharType="separate"/>
      </w:r>
      <w:r w:rsidR="004469A2" w:rsidRPr="004469A2">
        <w:rPr>
          <w:rFonts w:asciiTheme="minorHAnsi" w:hAnsiTheme="minorHAnsi" w:cstheme="minorHAnsi"/>
          <w:noProof/>
          <w:sz w:val="21"/>
          <w:szCs w:val="21"/>
          <w:vertAlign w:val="superscript"/>
        </w:rPr>
        <w:t>9</w:t>
      </w:r>
      <w:r w:rsidRPr="00207779">
        <w:rPr>
          <w:rFonts w:asciiTheme="minorHAnsi" w:hAnsiTheme="minorHAnsi" w:cstheme="minorHAnsi"/>
          <w:sz w:val="21"/>
          <w:szCs w:val="21"/>
        </w:rPr>
        <w:fldChar w:fldCharType="end"/>
      </w:r>
    </w:p>
    <w:p w14:paraId="6D719A7A" w14:textId="159C5356" w:rsidR="00EE6CD2" w:rsidRPr="00207779" w:rsidRDefault="00EE6CD2" w:rsidP="00EE6CD2">
      <w:pPr>
        <w:pStyle w:val="ANorm"/>
        <w:spacing w:after="240"/>
        <w:rPr>
          <w:rFonts w:asciiTheme="minorHAnsi" w:hAnsiTheme="minorHAnsi" w:cstheme="minorHAnsi"/>
          <w:highlight w:val="green"/>
        </w:rPr>
      </w:pPr>
      <w:r w:rsidRPr="00207779">
        <w:rPr>
          <w:rFonts w:asciiTheme="minorHAnsi" w:hAnsiTheme="minorHAnsi" w:cstheme="minorHAnsi"/>
        </w:rPr>
        <w:t>Data from THIS WAY UP show that over 6.5 years from July 2015 to December 2021, 124,270 Stage 1 and 71,069 Stage 2 assessment were completed. Approximately 72,000 consumers enrolled in any treatment and 47% (n=34,048) in clinician-supported treatment. Three-quarters of all enrolments (n=54,510) started treatment. Of consumers who started, 46% (n=24,989) completed treatment (i.e., at least two-thirds of lessons), which is lower than published IAPT treatment completion rates. This means around 54% of consumers drop out, double the CBT treatment dropout rate reported in the above-mentioned meta-analysis.</w:t>
      </w:r>
      <w:r w:rsidRPr="00207779">
        <w:rPr>
          <w:rFonts w:asciiTheme="minorHAnsi" w:hAnsiTheme="minorHAnsi" w:cstheme="minorHAnsi"/>
        </w:rPr>
        <w:fldChar w:fldCharType="begin"/>
      </w:r>
      <w:r w:rsidR="004469A2">
        <w:rPr>
          <w:rFonts w:asciiTheme="minorHAnsi" w:hAnsiTheme="minorHAnsi" w:cstheme="minorHAnsi"/>
        </w:rPr>
        <w:instrText xml:space="preserve"> ADDIN EN.CITE &lt;EndNote&gt;&lt;Cite&gt;&lt;Author&gt;Fernandez&lt;/Author&gt;&lt;Year&gt;2015&lt;/Year&gt;&lt;RecNum&gt;203&lt;/RecNum&gt;&lt;DisplayText&gt;&lt;style face="superscript"&gt;9&lt;/style&gt;&lt;/DisplayText&gt;&lt;record&gt;&lt;rec-number&gt;203&lt;/rec-number&gt;&lt;foreign-keys&gt;&lt;key app="EN" db-id="dawtr0zrkrzfa5edzzlpe2we0xa00t90vvr2" timestamp="1657350933"&gt;203&lt;/key&gt;&lt;/foreign-keys&gt;&lt;ref-type name="Journal Article"&gt;17&lt;/ref-type&gt;&lt;contributors&gt;&lt;authors&gt;&lt;author&gt;Fernandez, E.&lt;/author&gt;&lt;author&gt;Salem, D.&lt;/author&gt;&lt;author&gt;Swift, J. K.&lt;/author&gt;&lt;author&gt;Ramtahal, N.&lt;/author&gt;&lt;/authors&gt;&lt;/contributors&gt;&lt;auth-address&gt;Department of Psychology, University of Texas at San Antonio.&amp;#xD;Department of Psychology, Long Island University Brooklyn.&amp;#xD;Department of Psychology, University of Alaska Anchorage.&lt;/auth-address&gt;&lt;titles&gt;&lt;title&gt;Meta-analysis of dropout from cognitive behavioral therapy: Magnitude, timing, and moderators&lt;/title&gt;&lt;secondary-title&gt;J Consult Clin Psychol&lt;/secondary-title&gt;&lt;/titles&gt;&lt;periodical&gt;&lt;full-title&gt;J Consult Clin Psychol&lt;/full-title&gt;&lt;/periodical&gt;&lt;pages&gt;1108-22&lt;/pages&gt;&lt;volume&gt;83&lt;/volume&gt;&lt;number&gt;6&lt;/number&gt;&lt;edition&gt;2015/08/25&lt;/edition&gt;&lt;keywords&gt;&lt;keyword&gt;Adolescent&lt;/keyword&gt;&lt;keyword&gt;Adult&lt;/keyword&gt;&lt;keyword&gt;Child&lt;/keyword&gt;&lt;keyword&gt;Cognitive Behavioral Therapy/*statistics &amp;amp; numerical data&lt;/keyword&gt;&lt;keyword&gt;Humans&lt;/keyword&gt;&lt;keyword&gt;Patient Dropouts/*statistics &amp;amp; numerical data&lt;/keyword&gt;&lt;/keywords&gt;&lt;dates&gt;&lt;year&gt;2015&lt;/year&gt;&lt;pub-dates&gt;&lt;date&gt;Dec&lt;/date&gt;&lt;/pub-dates&gt;&lt;/dates&gt;&lt;isbn&gt;0022-006x&lt;/isbn&gt;&lt;accession-num&gt;26302248&lt;/accession-num&gt;&lt;urls&gt;&lt;/urls&gt;&lt;electronic-resource-num&gt;10.1037/ccp0000044&lt;/electronic-resource-num&gt;&lt;remote-database-provider&gt;NLM&lt;/remote-database-provider&gt;&lt;language&gt;eng&lt;/language&gt;&lt;/record&gt;&lt;/Cite&gt;&lt;/EndNote&gt;</w:instrText>
      </w:r>
      <w:r w:rsidRPr="00207779">
        <w:rPr>
          <w:rFonts w:asciiTheme="minorHAnsi" w:hAnsiTheme="minorHAnsi" w:cstheme="minorHAnsi"/>
        </w:rPr>
        <w:fldChar w:fldCharType="separate"/>
      </w:r>
      <w:r w:rsidR="004469A2" w:rsidRPr="004469A2">
        <w:rPr>
          <w:rFonts w:asciiTheme="minorHAnsi" w:hAnsiTheme="minorHAnsi" w:cstheme="minorHAnsi"/>
          <w:noProof/>
          <w:vertAlign w:val="superscript"/>
        </w:rPr>
        <w:t>9</w:t>
      </w:r>
      <w:r w:rsidRPr="00207779">
        <w:rPr>
          <w:rFonts w:asciiTheme="minorHAnsi" w:hAnsiTheme="minorHAnsi" w:cstheme="minorHAnsi"/>
        </w:rPr>
        <w:fldChar w:fldCharType="end"/>
      </w:r>
      <w:r w:rsidRPr="00207779">
        <w:rPr>
          <w:rFonts w:asciiTheme="minorHAnsi" w:hAnsiTheme="minorHAnsi" w:cstheme="minorHAnsi"/>
        </w:rPr>
        <w:t xml:space="preserve"> </w:t>
      </w:r>
    </w:p>
    <w:p w14:paraId="3A401B0E" w14:textId="4439146D" w:rsidR="00EE6CD2" w:rsidRPr="00207779" w:rsidRDefault="00EE6CD2" w:rsidP="00EE6CD2">
      <w:pPr>
        <w:pStyle w:val="ANorm"/>
        <w:spacing w:after="240"/>
        <w:rPr>
          <w:rFonts w:asciiTheme="minorHAnsi" w:hAnsiTheme="minorHAnsi" w:cstheme="minorHAnsi"/>
        </w:rPr>
      </w:pPr>
      <w:r w:rsidRPr="00207779">
        <w:rPr>
          <w:rFonts w:asciiTheme="minorHAnsi" w:hAnsiTheme="minorHAnsi" w:cstheme="minorHAnsi"/>
        </w:rPr>
        <w:t xml:space="preserve">Dropout rates could not be examined in the routinely collected data provided by Mental Health Online. Dropout rates for </w:t>
      </w:r>
      <w:proofErr w:type="spellStart"/>
      <w:r w:rsidRPr="00207779">
        <w:rPr>
          <w:rFonts w:asciiTheme="minorHAnsi" w:hAnsiTheme="minorHAnsi" w:cstheme="minorHAnsi"/>
        </w:rPr>
        <w:t>MindSpot</w:t>
      </w:r>
      <w:proofErr w:type="spellEnd"/>
      <w:r w:rsidRPr="00207779">
        <w:rPr>
          <w:rFonts w:asciiTheme="minorHAnsi" w:hAnsiTheme="minorHAnsi" w:cstheme="minorHAnsi"/>
        </w:rPr>
        <w:t xml:space="preserve"> and THIS WAY UP should be interpreted in the context of several considerations including the current pandemic, face-to-face mental health services disruptions, and removal of THIS WAY UP consumer program fees. Furthermore, pre-COVID program completion rates were somewhat higher for both services. At least one study has shown that consumers who drop out of </w:t>
      </w:r>
      <w:r w:rsidRPr="00207779">
        <w:rPr>
          <w:rFonts w:asciiTheme="minorHAnsi" w:hAnsiTheme="minorHAnsi" w:cstheme="minorHAnsi"/>
        </w:rPr>
        <w:lastRenderedPageBreak/>
        <w:t>online courses benefit from each successive lesson completed to a similar degree as those who complete the entire course,</w:t>
      </w:r>
      <w:r w:rsidRPr="00207779">
        <w:rPr>
          <w:rFonts w:asciiTheme="minorHAnsi" w:hAnsiTheme="minorHAnsi" w:cstheme="minorHAnsi"/>
        </w:rPr>
        <w:fldChar w:fldCharType="begin"/>
      </w:r>
      <w:r w:rsidR="004469A2">
        <w:rPr>
          <w:rFonts w:asciiTheme="minorHAnsi" w:hAnsiTheme="minorHAnsi" w:cstheme="minorHAnsi"/>
        </w:rPr>
        <w:instrText xml:space="preserve"> ADDIN EN.CITE &lt;EndNote&gt;&lt;Cite&gt;&lt;Author&gt;Hilvert-Bruce&lt;/Author&gt;&lt;Year&gt;2012&lt;/Year&gt;&lt;RecNum&gt;196&lt;/RecNum&gt;&lt;DisplayText&gt;&lt;style face="superscript"&gt;10&lt;/style&gt;&lt;/DisplayText&gt;&lt;record&gt;&lt;rec-number&gt;196&lt;/rec-number&gt;&lt;foreign-keys&gt;&lt;key app="EN" db-id="dawtr0zrkrzfa5edzzlpe2we0xa00t90vvr2" timestamp="1655706634"&gt;196&lt;/key&gt;&lt;/foreign-keys&gt;&lt;ref-type name="Journal Article"&gt;17&lt;/ref-type&gt;&lt;contributors&gt;&lt;authors&gt;&lt;author&gt;Hilvert-Bruce, Zita&lt;/author&gt;&lt;author&gt;Rossouw, Pieter J&lt;/author&gt;&lt;author&gt;Wong, Nora&lt;/author&gt;&lt;author&gt;Sunderland, Matthew&lt;/author&gt;&lt;author&gt;Andrews, Gavin&lt;/author&gt;&lt;/authors&gt;&lt;/contributors&gt;&lt;titles&gt;&lt;title&gt;Adherence as a determinant of effectiveness of internet cognitive behavioural therapy for anxiety and depressive disorders&lt;/title&gt;&lt;secondary-title&gt;Behaviour research and therapy&lt;/secondary-title&gt;&lt;/titles&gt;&lt;periodical&gt;&lt;full-title&gt;Behaviour research and therapy&lt;/full-title&gt;&lt;/periodical&gt;&lt;pages&gt;463-468&lt;/pages&gt;&lt;volume&gt;50&lt;/volume&gt;&lt;number&gt;7-8&lt;/number&gt;&lt;dates&gt;&lt;year&gt;2012&lt;/year&gt;&lt;/dates&gt;&lt;isbn&gt;0005-7967&lt;/isbn&gt;&lt;urls&gt;&lt;/urls&gt;&lt;/record&gt;&lt;/Cite&gt;&lt;/EndNote&gt;</w:instrText>
      </w:r>
      <w:r w:rsidRPr="00207779">
        <w:rPr>
          <w:rFonts w:asciiTheme="minorHAnsi" w:hAnsiTheme="minorHAnsi" w:cstheme="minorHAnsi"/>
        </w:rPr>
        <w:fldChar w:fldCharType="separate"/>
      </w:r>
      <w:r w:rsidR="004469A2" w:rsidRPr="004469A2">
        <w:rPr>
          <w:rFonts w:asciiTheme="minorHAnsi" w:hAnsiTheme="minorHAnsi" w:cstheme="minorHAnsi"/>
          <w:noProof/>
          <w:vertAlign w:val="superscript"/>
        </w:rPr>
        <w:t>10</w:t>
      </w:r>
      <w:r w:rsidRPr="00207779">
        <w:rPr>
          <w:rFonts w:asciiTheme="minorHAnsi" w:hAnsiTheme="minorHAnsi" w:cstheme="minorHAnsi"/>
        </w:rPr>
        <w:fldChar w:fldCharType="end"/>
      </w:r>
      <w:r w:rsidRPr="00207779">
        <w:rPr>
          <w:rFonts w:asciiTheme="minorHAnsi" w:hAnsiTheme="minorHAnsi" w:cstheme="minorHAnsi"/>
        </w:rPr>
        <w:t xml:space="preserve"> and the overall number of treated consumers has increased over time (despite lower treatment completion rates). Finally, treatment completion rates for THIS WAY UP self-directed and clinician-supported programs are similar, which is promising given that adherence to self-directed digital mental health programs is typically poorer.</w:t>
      </w:r>
      <w:r w:rsidRPr="00207779">
        <w:rPr>
          <w:rFonts w:asciiTheme="minorHAnsi" w:hAnsiTheme="minorHAnsi" w:cstheme="minorHAnsi"/>
        </w:rPr>
        <w:fldChar w:fldCharType="begin"/>
      </w:r>
      <w:r w:rsidR="004469A2">
        <w:rPr>
          <w:rFonts w:asciiTheme="minorHAnsi" w:hAnsiTheme="minorHAnsi" w:cstheme="minorHAnsi"/>
        </w:rPr>
        <w:instrText xml:space="preserve"> ADDIN EN.CITE &lt;EndNote&gt;&lt;Cite&gt;&lt;Author&gt;Van Ballegooijen&lt;/Author&gt;&lt;Year&gt;2014&lt;/Year&gt;&lt;RecNum&gt;204&lt;/RecNum&gt;&lt;DisplayText&gt;&lt;style face="superscript"&gt;11&lt;/style&gt;&lt;/DisplayText&gt;&lt;record&gt;&lt;rec-number&gt;204&lt;/rec-number&gt;&lt;foreign-keys&gt;&lt;key app="EN" db-id="dawtr0zrkrzfa5edzzlpe2we0xa00t90vvr2" timestamp="1657356306"&gt;204&lt;/key&gt;&lt;/foreign-keys&gt;&lt;ref-type name="Journal Article"&gt;17&lt;/ref-type&gt;&lt;contributors&gt;&lt;authors&gt;&lt;author&gt;Van Ballegooijen, Wouter&lt;/author&gt;&lt;author&gt;Cuijpers, Pim&lt;/author&gt;&lt;author&gt;Van Straten, Annemieke&lt;/author&gt;&lt;author&gt;Karyotaki, Eirini&lt;/author&gt;&lt;author&gt;Andersson, Gerhard&lt;/author&gt;&lt;author&gt;Smit, Jan H&lt;/author&gt;&lt;author&gt;Riper, Heleen&lt;/author&gt;&lt;/authors&gt;&lt;/contributors&gt;&lt;titles&gt;&lt;title&gt;Adherence to Internet-based and face-to-face cognitive behavioural therapy for depression: a meta-analysis&lt;/title&gt;&lt;secondary-title&gt;PloS one&lt;/secondary-title&gt;&lt;/titles&gt;&lt;periodical&gt;&lt;full-title&gt;PloS one&lt;/full-title&gt;&lt;/periodical&gt;&lt;pages&gt;e100674&lt;/pages&gt;&lt;volume&gt;9&lt;/volume&gt;&lt;number&gt;7&lt;/number&gt;&lt;dates&gt;&lt;year&gt;2014&lt;/year&gt;&lt;/dates&gt;&lt;isbn&gt;1932-6203&lt;/isbn&gt;&lt;urls&gt;&lt;/urls&gt;&lt;/record&gt;&lt;/Cite&gt;&lt;/EndNote&gt;</w:instrText>
      </w:r>
      <w:r w:rsidRPr="00207779">
        <w:rPr>
          <w:rFonts w:asciiTheme="minorHAnsi" w:hAnsiTheme="minorHAnsi" w:cstheme="minorHAnsi"/>
        </w:rPr>
        <w:fldChar w:fldCharType="separate"/>
      </w:r>
      <w:r w:rsidR="004469A2" w:rsidRPr="004469A2">
        <w:rPr>
          <w:rFonts w:asciiTheme="minorHAnsi" w:hAnsiTheme="minorHAnsi" w:cstheme="minorHAnsi"/>
          <w:noProof/>
          <w:vertAlign w:val="superscript"/>
        </w:rPr>
        <w:t>11</w:t>
      </w:r>
      <w:r w:rsidRPr="00207779">
        <w:rPr>
          <w:rFonts w:asciiTheme="minorHAnsi" w:hAnsiTheme="minorHAnsi" w:cstheme="minorHAnsi"/>
        </w:rPr>
        <w:fldChar w:fldCharType="end"/>
      </w:r>
    </w:p>
    <w:p w14:paraId="485AAEBE" w14:textId="77777777" w:rsidR="00EE6CD2" w:rsidRPr="00207779" w:rsidRDefault="00EE6CD2" w:rsidP="00EE6CD2">
      <w:pPr>
        <w:pStyle w:val="ANorm"/>
        <w:spacing w:after="240"/>
        <w:rPr>
          <w:rFonts w:asciiTheme="minorHAnsi" w:hAnsiTheme="minorHAnsi" w:cstheme="minorHAnsi"/>
        </w:rPr>
      </w:pPr>
      <w:r w:rsidRPr="00207779">
        <w:rPr>
          <w:rFonts w:asciiTheme="minorHAnsi" w:hAnsiTheme="minorHAnsi" w:cstheme="minorHAnsi"/>
        </w:rPr>
        <w:t xml:space="preserve">Over 80% of consumers who enrol in </w:t>
      </w:r>
      <w:proofErr w:type="spellStart"/>
      <w:r w:rsidRPr="00207779">
        <w:rPr>
          <w:rFonts w:asciiTheme="minorHAnsi" w:hAnsiTheme="minorHAnsi" w:cstheme="minorHAnsi"/>
        </w:rPr>
        <w:t>MindSpot</w:t>
      </w:r>
      <w:proofErr w:type="spellEnd"/>
      <w:r w:rsidRPr="00207779">
        <w:rPr>
          <w:rFonts w:asciiTheme="minorHAnsi" w:hAnsiTheme="minorHAnsi" w:cstheme="minorHAnsi"/>
        </w:rPr>
        <w:t xml:space="preserve"> and THIS WAY UP treatments commence treatment (comparable data were not available from Mental Health Online). This suggests an efficient transition into treatment, with a minority of consumers disengaging from, or referred elsewhere for, treatment.</w:t>
      </w:r>
    </w:p>
    <w:p w14:paraId="59EE93E0" w14:textId="77777777" w:rsidR="00EE6CD2" w:rsidRPr="00207779" w:rsidRDefault="00EE6CD2" w:rsidP="00EE6CD2">
      <w:pPr>
        <w:spacing w:after="240"/>
        <w:rPr>
          <w:rFonts w:asciiTheme="minorHAnsi" w:hAnsiTheme="minorHAnsi" w:cstheme="minorHAnsi"/>
          <w:sz w:val="21"/>
          <w:szCs w:val="21"/>
        </w:rPr>
      </w:pPr>
      <w:proofErr w:type="gramStart"/>
      <w:r w:rsidRPr="00207779">
        <w:rPr>
          <w:rFonts w:asciiTheme="minorHAnsi" w:hAnsiTheme="minorHAnsi" w:cstheme="minorHAnsi"/>
          <w:sz w:val="21"/>
          <w:szCs w:val="21"/>
        </w:rPr>
        <w:t>Coinciding with the COVID-19 pandemic, there</w:t>
      </w:r>
      <w:proofErr w:type="gramEnd"/>
      <w:r w:rsidRPr="00207779">
        <w:rPr>
          <w:rFonts w:asciiTheme="minorHAnsi" w:hAnsiTheme="minorHAnsi" w:cstheme="minorHAnsi"/>
          <w:sz w:val="21"/>
          <w:szCs w:val="21"/>
        </w:rPr>
        <w:t xml:space="preserve"> was a pronounced increase in registrations and enrolments for all three DMHSs examined, demonstrating their high potential for scalability. However, the corresponding increase in treatment completions was less pronounced.</w:t>
      </w:r>
    </w:p>
    <w:p w14:paraId="30ABE4F3" w14:textId="77777777" w:rsidR="00EE6CD2" w:rsidRPr="00207779" w:rsidRDefault="00EE6CD2" w:rsidP="00EE6CD2">
      <w:pPr>
        <w:spacing w:after="240"/>
        <w:rPr>
          <w:rFonts w:asciiTheme="minorHAnsi" w:hAnsiTheme="minorHAnsi" w:cstheme="minorHAnsi"/>
          <w:sz w:val="21"/>
          <w:szCs w:val="21"/>
        </w:rPr>
      </w:pPr>
      <w:r w:rsidRPr="00207779">
        <w:rPr>
          <w:rFonts w:asciiTheme="minorHAnsi" w:hAnsiTheme="minorHAnsi" w:cstheme="minorHAnsi"/>
          <w:sz w:val="21"/>
          <w:szCs w:val="21"/>
        </w:rPr>
        <w:t>Together, the three DMHSs are providing psychological treatment to thousands of consumers per year, and this represents only one component of their service offerings. Importantly, they are also conducting tens of thousands of assessments per year, which helps to support consumers with navigating other services in the mental health system and identify consumers at increased risk of suicide.</w:t>
      </w:r>
    </w:p>
    <w:p w14:paraId="4D7AF952" w14:textId="77777777" w:rsidR="00EE6CD2" w:rsidRPr="008F3F7A" w:rsidRDefault="00EE6CD2" w:rsidP="004D507F">
      <w:pPr>
        <w:pStyle w:val="Heading3"/>
        <w:numPr>
          <w:ilvl w:val="0"/>
          <w:numId w:val="0"/>
        </w:numPr>
        <w:ind w:left="142" w:hanging="142"/>
        <w:rPr>
          <w:rStyle w:val="normaltextrun"/>
        </w:rPr>
      </w:pPr>
      <w:r w:rsidRPr="008F3F7A">
        <w:rPr>
          <w:rStyle w:val="normaltextrun"/>
        </w:rPr>
        <w:t>Consumer characteristics</w:t>
      </w:r>
    </w:p>
    <w:p w14:paraId="01BB9DBA" w14:textId="0F52E1C5" w:rsidR="00EE6CD2" w:rsidRPr="00207779" w:rsidRDefault="00EE6CD2" w:rsidP="00EE6CD2">
      <w:pPr>
        <w:pStyle w:val="ANorm"/>
        <w:spacing w:after="240"/>
        <w:rPr>
          <w:rFonts w:asciiTheme="minorHAnsi" w:hAnsiTheme="minorHAnsi" w:cstheme="minorHAnsi"/>
        </w:rPr>
      </w:pPr>
      <w:r w:rsidRPr="00207779">
        <w:rPr>
          <w:rFonts w:asciiTheme="minorHAnsi" w:hAnsiTheme="minorHAnsi" w:cstheme="minorHAnsi"/>
        </w:rPr>
        <w:t>Routinely collected service use data, peer-reviewed publications and DMHS consumer survey findings (Sections 3 and 5) highlight that people who use DMHSs tend to be females under the age of 54 years living in urban areas experiencing severe symptoms and are not accessing any other mental health services. This consumer profile is appropriate given that preliminary insights from Australia’s National Study of Mental Health and Wellbeing (2020-21) indicate that females and younger people are more likely to experience high or very high psychological distress than males and older people, respectively.</w:t>
      </w:r>
      <w:r w:rsidRPr="00207779">
        <w:rPr>
          <w:rFonts w:asciiTheme="minorHAnsi" w:hAnsiTheme="minorHAnsi" w:cstheme="minorHAnsi"/>
        </w:rPr>
        <w:fldChar w:fldCharType="begin"/>
      </w:r>
      <w:r w:rsidR="004469A2">
        <w:rPr>
          <w:rFonts w:asciiTheme="minorHAnsi" w:hAnsiTheme="minorHAnsi" w:cstheme="minorHAnsi"/>
        </w:rPr>
        <w:instrText xml:space="preserve"> ADDIN EN.CITE &lt;EndNote&gt;&lt;Cite&gt;&lt;Author&gt;Australian Bureau of Statistics&lt;/Author&gt;&lt;Year&gt;2022&lt;/Year&gt;&lt;RecNum&gt;202&lt;/RecNum&gt;&lt;DisplayText&gt;&lt;style face="superscript"&gt;12&lt;/style&gt;&lt;/DisplayText&gt;&lt;record&gt;&lt;rec-number&gt;202&lt;/rec-number&gt;&lt;foreign-keys&gt;&lt;key app="EN" db-id="dawtr0zrkrzfa5edzzlpe2we0xa00t90vvr2" timestamp="1657254408"&gt;202&lt;/key&gt;&lt;/foreign-keys&gt;&lt;ref-type name="Web Page"&gt;12&lt;/ref-type&gt;&lt;contributors&gt;&lt;authors&gt;&lt;author&gt;Australian Bureau of Statistics,&lt;/author&gt;&lt;/authors&gt;&lt;/contributors&gt;&lt;titles&gt;&lt;title&gt;First insights from the National Study of Mental Health and Wellbeing, 2020-21&lt;/title&gt;&lt;/titles&gt;&lt;number&gt;8 July 2022&lt;/number&gt;&lt;dates&gt;&lt;year&gt;2022&lt;/year&gt;&lt;/dates&gt;&lt;pub-location&gt;Canberra&lt;/pub-location&gt;&lt;publisher&gt;ABS&lt;/publisher&gt;&lt;urls&gt;&lt;related-urls&gt;&lt;url&gt;https://www.abs.gov.au/articles/first-insights-national-study-mental-health-and-wellbeing-2020-21&lt;/url&gt;&lt;/related-urls&gt;&lt;/urls&gt;&lt;/record&gt;&lt;/Cite&gt;&lt;/EndNote&gt;</w:instrText>
      </w:r>
      <w:r w:rsidRPr="00207779">
        <w:rPr>
          <w:rFonts w:asciiTheme="minorHAnsi" w:hAnsiTheme="minorHAnsi" w:cstheme="minorHAnsi"/>
        </w:rPr>
        <w:fldChar w:fldCharType="separate"/>
      </w:r>
      <w:r w:rsidR="004469A2" w:rsidRPr="004469A2">
        <w:rPr>
          <w:rFonts w:asciiTheme="minorHAnsi" w:hAnsiTheme="minorHAnsi" w:cstheme="minorHAnsi"/>
          <w:noProof/>
          <w:vertAlign w:val="superscript"/>
        </w:rPr>
        <w:t>12</w:t>
      </w:r>
      <w:r w:rsidRPr="00207779">
        <w:rPr>
          <w:rFonts w:asciiTheme="minorHAnsi" w:hAnsiTheme="minorHAnsi" w:cstheme="minorHAnsi"/>
        </w:rPr>
        <w:fldChar w:fldCharType="end"/>
      </w:r>
      <w:r w:rsidRPr="00207779">
        <w:rPr>
          <w:rFonts w:asciiTheme="minorHAnsi" w:hAnsiTheme="minorHAnsi" w:cstheme="minorHAnsi"/>
        </w:rPr>
        <w:t xml:space="preserve"> Having said that, the DMHSs are reaching relatively significant proportions of typically hard-to-reach groups and/or groups who are less likely to seek help (e.g., 7-19% from rural and remote locations, 4-8% Indigenous peoples, 9-29% males, 5-12% aged 55+, and 22% of </w:t>
      </w:r>
      <w:proofErr w:type="spellStart"/>
      <w:r w:rsidRPr="00207779">
        <w:rPr>
          <w:rFonts w:asciiTheme="minorHAnsi" w:hAnsiTheme="minorHAnsi" w:cstheme="minorHAnsi"/>
        </w:rPr>
        <w:t>MindSpot</w:t>
      </w:r>
      <w:proofErr w:type="spellEnd"/>
      <w:r w:rsidRPr="00207779">
        <w:rPr>
          <w:rFonts w:asciiTheme="minorHAnsi" w:hAnsiTheme="minorHAnsi" w:cstheme="minorHAnsi"/>
        </w:rPr>
        <w:t xml:space="preserve"> consumers are born overseas).</w:t>
      </w:r>
    </w:p>
    <w:p w14:paraId="159EA15E" w14:textId="77777777" w:rsidR="00EE6CD2" w:rsidRPr="00207779" w:rsidRDefault="00EE6CD2" w:rsidP="00EE6CD2">
      <w:pPr>
        <w:pStyle w:val="ANorm"/>
        <w:spacing w:after="240"/>
        <w:rPr>
          <w:rFonts w:asciiTheme="minorHAnsi" w:hAnsiTheme="minorHAnsi" w:cstheme="minorHAnsi"/>
        </w:rPr>
      </w:pPr>
      <w:r w:rsidRPr="00207779">
        <w:rPr>
          <w:rFonts w:asciiTheme="minorHAnsi" w:hAnsiTheme="minorHAnsi" w:cstheme="minorHAnsi"/>
        </w:rPr>
        <w:t xml:space="preserve">All three DMHSs aim to provide an online mental health service largely directed at people with depression and anxiety disorders. On average consumers of </w:t>
      </w:r>
      <w:proofErr w:type="spellStart"/>
      <w:r w:rsidRPr="00207779">
        <w:rPr>
          <w:rFonts w:asciiTheme="minorHAnsi" w:hAnsiTheme="minorHAnsi" w:cstheme="minorHAnsi"/>
        </w:rPr>
        <w:t>MindSpot</w:t>
      </w:r>
      <w:proofErr w:type="spellEnd"/>
      <w:r w:rsidRPr="00207779">
        <w:rPr>
          <w:rFonts w:asciiTheme="minorHAnsi" w:hAnsiTheme="minorHAnsi" w:cstheme="minorHAnsi"/>
        </w:rPr>
        <w:t xml:space="preserve"> and THIS WAY UP treatment are experiencing moderate to moderately severe depression (PHQ-9: 14.9 and 14.1) and likely generalised anxiety disorder (GAD-7: 12.5 and 11.8), and close to two-thirds of Mental Health Online consumers are experiencing probable serious mental illness (K6: 19-30). These data suggest the DMHSs are reaching their target populations. The online interventions provided by all three DMHSs are CBT-based, which is appropriate given that the systematic review of digital mental health interventions we conducted as part of this evaluation showed that online CBT is effective.</w:t>
      </w:r>
      <w:r w:rsidRPr="00207779">
        <w:rPr>
          <w:rFonts w:asciiTheme="minorHAnsi" w:hAnsiTheme="minorHAnsi" w:cstheme="minorHAnsi"/>
        </w:rPr>
        <w:fldChar w:fldCharType="begin"/>
      </w:r>
      <w:r w:rsidRPr="00207779">
        <w:rPr>
          <w:rFonts w:asciiTheme="minorHAnsi" w:hAnsiTheme="minorHAnsi" w:cstheme="minorHAnsi"/>
        </w:rPr>
        <w:instrText xml:space="preserve"> ADDIN EN.CITE &lt;EndNote&gt;&lt;Cite&gt;&lt;Author&gt;Bassilios&lt;/Author&gt;&lt;Year&gt;2022&lt;/Year&gt;&lt;RecNum&gt;117&lt;/RecNum&gt;&lt;DisplayText&gt;&lt;style face="superscript"&gt;5&lt;/style&gt;&lt;/DisplayText&gt;&lt;record&gt;&lt;rec-number&gt;117&lt;/rec-number&gt;&lt;foreign-keys&gt;&lt;key app="EN" db-id="dawtr0zrkrzfa5edzzlpe2we0xa00t90vvr2" timestamp="1648438870"&gt;117&lt;/key&gt;&lt;/foreign-keys&gt;&lt;ref-type name="Report"&gt;27&lt;/ref-type&gt;&lt;contributors&gt;&lt;authors&gt;&lt;author&gt;Bassilios, B.&lt;/author&gt;&lt;author&gt;Morgan, A.&lt;/author&gt;&lt;author&gt;Tan, A.&lt;/author&gt;&lt;author&gt;Ftanou, M.&lt;/author&gt;&lt;author&gt;Krysinska, K.&lt;/author&gt;&lt;author&gt;Le, L.&lt;/author&gt;&lt;author&gt;Scurrah, K.&lt;/author&gt;&lt;author&gt;Banfield, M.&lt;/author&gt;&lt;author&gt;Spittal, M.&lt;/author&gt;&lt;author&gt;Mihalopoulos, C.&lt;/author&gt;&lt;author&gt;Pirkis, J.&lt;/author&gt;&lt;/authors&gt;&lt;/contributors&gt;&lt;titles&gt;&lt;title&gt;Literature review of effectiveness of supported digital mental health interventions (DMHIs)&lt;/title&gt;&lt;/titles&gt;&lt;dates&gt;&lt;year&gt;2022&lt;/year&gt;&lt;/dates&gt;&lt;pub-location&gt;Melbourne&lt;/pub-location&gt;&lt;publisher&gt;Centre for Mental Health, University of Melbourne&lt;/publisher&gt;&lt;urls&gt;&lt;/urls&gt;&lt;/record&gt;&lt;/Cite&gt;&lt;/EndNote&gt;</w:instrText>
      </w:r>
      <w:r w:rsidRPr="00207779">
        <w:rPr>
          <w:rFonts w:asciiTheme="minorHAnsi" w:hAnsiTheme="minorHAnsi" w:cstheme="minorHAnsi"/>
        </w:rPr>
        <w:fldChar w:fldCharType="separate"/>
      </w:r>
      <w:r w:rsidRPr="00207779">
        <w:rPr>
          <w:rFonts w:asciiTheme="minorHAnsi" w:hAnsiTheme="minorHAnsi" w:cstheme="minorHAnsi"/>
          <w:noProof/>
          <w:vertAlign w:val="superscript"/>
        </w:rPr>
        <w:t>5</w:t>
      </w:r>
      <w:r w:rsidRPr="00207779">
        <w:rPr>
          <w:rFonts w:asciiTheme="minorHAnsi" w:hAnsiTheme="minorHAnsi" w:cstheme="minorHAnsi"/>
        </w:rPr>
        <w:fldChar w:fldCharType="end"/>
      </w:r>
    </w:p>
    <w:p w14:paraId="01A160DB" w14:textId="77777777" w:rsidR="00EE6CD2" w:rsidRPr="00207779" w:rsidRDefault="00EE6CD2" w:rsidP="00EE6CD2">
      <w:pPr>
        <w:pStyle w:val="ANorm"/>
        <w:spacing w:after="240"/>
        <w:rPr>
          <w:rFonts w:asciiTheme="minorHAnsi" w:hAnsiTheme="minorHAnsi" w:cstheme="minorHAnsi"/>
        </w:rPr>
      </w:pPr>
      <w:r w:rsidRPr="00207779">
        <w:rPr>
          <w:rFonts w:asciiTheme="minorHAnsi" w:hAnsiTheme="minorHAnsi" w:cstheme="minorHAnsi"/>
        </w:rPr>
        <w:t xml:space="preserve">Although there is overlap between the services in that they target consumers with depression and anxiety disorders, there are differences in the socio-demographic and clinical characteristics of consumers using each service. For example, Mental Health Online is reaching proportionally more younger adults aged 18-34 and married or cohabitating consumers than </w:t>
      </w:r>
      <w:proofErr w:type="spellStart"/>
      <w:r w:rsidRPr="00207779">
        <w:rPr>
          <w:rFonts w:asciiTheme="minorHAnsi" w:hAnsiTheme="minorHAnsi" w:cstheme="minorHAnsi"/>
        </w:rPr>
        <w:t>MindSpot</w:t>
      </w:r>
      <w:proofErr w:type="spellEnd"/>
      <w:r w:rsidRPr="00207779">
        <w:rPr>
          <w:rFonts w:asciiTheme="minorHAnsi" w:hAnsiTheme="minorHAnsi" w:cstheme="minorHAnsi"/>
        </w:rPr>
        <w:t xml:space="preserve"> (70% vs 55% and 54% vs 38%, respectively). Baseline symptom severity is slightly worse for </w:t>
      </w:r>
      <w:proofErr w:type="spellStart"/>
      <w:r w:rsidRPr="00207779">
        <w:rPr>
          <w:rFonts w:asciiTheme="minorHAnsi" w:hAnsiTheme="minorHAnsi" w:cstheme="minorHAnsi"/>
        </w:rPr>
        <w:t>MindSpot</w:t>
      </w:r>
      <w:proofErr w:type="spellEnd"/>
      <w:r w:rsidRPr="00207779">
        <w:rPr>
          <w:rFonts w:asciiTheme="minorHAnsi" w:hAnsiTheme="minorHAnsi" w:cstheme="minorHAnsi"/>
        </w:rPr>
        <w:t xml:space="preserve"> than THIS WAY UP consumers. </w:t>
      </w:r>
      <w:proofErr w:type="spellStart"/>
      <w:r w:rsidRPr="00207779">
        <w:rPr>
          <w:rFonts w:asciiTheme="minorHAnsi" w:hAnsiTheme="minorHAnsi" w:cstheme="minorHAnsi"/>
        </w:rPr>
        <w:t>MindSpot</w:t>
      </w:r>
      <w:proofErr w:type="spellEnd"/>
      <w:r w:rsidRPr="00207779">
        <w:rPr>
          <w:rFonts w:asciiTheme="minorHAnsi" w:hAnsiTheme="minorHAnsi" w:cstheme="minorHAnsi"/>
        </w:rPr>
        <w:t xml:space="preserve"> consumers with higher symptom severity (K10, PHQ-9 and GAD-7) appear to receive therapist-supported treatment. There is also a trend for THIS WAY UP consumers with higher depression symptom severity to receive therapist-supported treatment. Importantly, the DMHSs operate differently and offer consumers choice.</w:t>
      </w:r>
    </w:p>
    <w:p w14:paraId="270D638A" w14:textId="77777777" w:rsidR="00EE6CD2" w:rsidRPr="00A26620" w:rsidRDefault="00EE6CD2" w:rsidP="004D507F">
      <w:pPr>
        <w:pStyle w:val="Heading3"/>
        <w:numPr>
          <w:ilvl w:val="0"/>
          <w:numId w:val="0"/>
        </w:numPr>
        <w:ind w:left="142" w:hanging="142"/>
        <w:rPr>
          <w:sz w:val="22"/>
          <w:szCs w:val="22"/>
        </w:rPr>
      </w:pPr>
      <w:r w:rsidRPr="00A26620">
        <w:rPr>
          <w:sz w:val="22"/>
          <w:szCs w:val="22"/>
        </w:rPr>
        <w:t>Consumer satisfaction</w:t>
      </w:r>
    </w:p>
    <w:p w14:paraId="47B05E87" w14:textId="77777777" w:rsidR="00EE6CD2" w:rsidRPr="00207779" w:rsidRDefault="00EE6CD2" w:rsidP="00EE6CD2">
      <w:pPr>
        <w:spacing w:after="240"/>
        <w:rPr>
          <w:rFonts w:asciiTheme="minorHAnsi" w:hAnsiTheme="minorHAnsi" w:cstheme="minorHAnsi"/>
          <w:sz w:val="21"/>
          <w:szCs w:val="21"/>
        </w:rPr>
      </w:pPr>
      <w:r w:rsidRPr="00207779">
        <w:rPr>
          <w:rFonts w:asciiTheme="minorHAnsi" w:hAnsiTheme="minorHAnsi" w:cstheme="minorHAnsi"/>
          <w:sz w:val="21"/>
          <w:szCs w:val="21"/>
        </w:rPr>
        <w:t xml:space="preserve">Data collected routinely by </w:t>
      </w:r>
      <w:proofErr w:type="spellStart"/>
      <w:r w:rsidRPr="00207779">
        <w:rPr>
          <w:rFonts w:asciiTheme="minorHAnsi" w:hAnsiTheme="minorHAnsi" w:cstheme="minorHAnsi"/>
          <w:sz w:val="21"/>
          <w:szCs w:val="21"/>
        </w:rPr>
        <w:t>MindSpot</w:t>
      </w:r>
      <w:proofErr w:type="spellEnd"/>
      <w:r w:rsidRPr="00207779">
        <w:rPr>
          <w:rFonts w:asciiTheme="minorHAnsi" w:hAnsiTheme="minorHAnsi" w:cstheme="minorHAnsi"/>
          <w:sz w:val="21"/>
          <w:szCs w:val="21"/>
        </w:rPr>
        <w:t xml:space="preserve"> and THIS WAY UP, and episodically by Mental Health Online, indicate that consumers are highly satisfied with the care they receive from these DMHSs (presented in Sections 4.3.1, 4.4.6 and 4.5.5). For example, 27of 27 Mental Health Online consumers surveyed in 2020-</w:t>
      </w:r>
      <w:r w:rsidRPr="00207779">
        <w:rPr>
          <w:rFonts w:asciiTheme="minorHAnsi" w:hAnsiTheme="minorHAnsi" w:cstheme="minorHAnsi"/>
          <w:sz w:val="21"/>
          <w:szCs w:val="21"/>
        </w:rPr>
        <w:lastRenderedPageBreak/>
        <w:t xml:space="preserve">21 reported they were satisfied with the Therapist Assist program and would recommend it to someone else. Between 95% and 98% of consumers report that </w:t>
      </w:r>
      <w:proofErr w:type="spellStart"/>
      <w:r w:rsidRPr="00207779">
        <w:rPr>
          <w:rFonts w:asciiTheme="minorHAnsi" w:hAnsiTheme="minorHAnsi" w:cstheme="minorHAnsi"/>
          <w:sz w:val="21"/>
          <w:szCs w:val="21"/>
        </w:rPr>
        <w:t>MindSpot</w:t>
      </w:r>
      <w:proofErr w:type="spellEnd"/>
      <w:r w:rsidRPr="00207779">
        <w:rPr>
          <w:rFonts w:asciiTheme="minorHAnsi" w:hAnsiTheme="minorHAnsi" w:cstheme="minorHAnsi"/>
          <w:sz w:val="21"/>
          <w:szCs w:val="21"/>
        </w:rPr>
        <w:t xml:space="preserve"> therapist-supported treatment is worthwhile, and they would recommend it. Between 81% and 84% of consumers are likely to recommend THIS WAY UP. </w:t>
      </w:r>
    </w:p>
    <w:p w14:paraId="54274BA1" w14:textId="77777777" w:rsidR="00EE6CD2" w:rsidRPr="00207779" w:rsidRDefault="00EE6CD2" w:rsidP="00EE6CD2">
      <w:pPr>
        <w:spacing w:after="240"/>
        <w:textAlignment w:val="baseline"/>
        <w:rPr>
          <w:rFonts w:asciiTheme="minorHAnsi" w:hAnsiTheme="minorHAnsi" w:cstheme="minorHAnsi"/>
          <w:sz w:val="21"/>
          <w:szCs w:val="21"/>
        </w:rPr>
      </w:pPr>
      <w:r w:rsidRPr="00207779">
        <w:rPr>
          <w:rFonts w:asciiTheme="minorHAnsi" w:hAnsiTheme="minorHAnsi" w:cstheme="minorHAnsi"/>
          <w:sz w:val="21"/>
          <w:szCs w:val="21"/>
        </w:rPr>
        <w:t>The survey we conducted with 351 consumers, 23 of whom we also interviewed, confirmed these findings with 85% being satisfied with the care (Section 5). Consumers reported that the DMHSs are having a positive impact on their wellbeing. Over 80%</w:t>
      </w:r>
      <w:r w:rsidRPr="00207779">
        <w:rPr>
          <w:rFonts w:asciiTheme="minorHAnsi" w:hAnsiTheme="minorHAnsi" w:cstheme="minorHAnsi"/>
          <w:color w:val="000000"/>
          <w:sz w:val="21"/>
          <w:szCs w:val="21"/>
          <w:lang w:eastAsia="en-AU"/>
        </w:rPr>
        <w:t xml:space="preserve"> of consumers indicated that they had experienced improvements in health and wellbeing, and approximately 80% of consumers attributed these changes to the support they received through the DMHS. Consumers described that DMHSs had helped them </w:t>
      </w:r>
      <w:r w:rsidRPr="00207779">
        <w:rPr>
          <w:rFonts w:asciiTheme="minorHAnsi" w:hAnsiTheme="minorHAnsi" w:cstheme="minorHAnsi"/>
          <w:sz w:val="21"/>
          <w:szCs w:val="21"/>
        </w:rPr>
        <w:t>with developing insight and understanding of their situation; and improved their sleep, mood, physical health, and coping through learning new skills.</w:t>
      </w:r>
    </w:p>
    <w:p w14:paraId="028D34E9" w14:textId="77777777" w:rsidR="00EE6CD2" w:rsidRPr="00A26620" w:rsidRDefault="00EE6CD2" w:rsidP="004D507F">
      <w:pPr>
        <w:pStyle w:val="Heading3"/>
        <w:numPr>
          <w:ilvl w:val="0"/>
          <w:numId w:val="0"/>
        </w:numPr>
        <w:ind w:left="142" w:hanging="142"/>
        <w:rPr>
          <w:sz w:val="22"/>
          <w:szCs w:val="22"/>
        </w:rPr>
      </w:pPr>
      <w:r w:rsidRPr="00A26620">
        <w:rPr>
          <w:sz w:val="22"/>
          <w:szCs w:val="22"/>
        </w:rPr>
        <w:t>Provider and health professional satisfaction</w:t>
      </w:r>
    </w:p>
    <w:p w14:paraId="7E3384D0" w14:textId="77777777" w:rsidR="00EE6CD2" w:rsidRPr="00207779" w:rsidRDefault="00EE6CD2" w:rsidP="00EE6CD2">
      <w:pPr>
        <w:spacing w:after="240"/>
        <w:rPr>
          <w:rFonts w:asciiTheme="minorHAnsi" w:hAnsiTheme="minorHAnsi" w:cstheme="minorHAnsi"/>
          <w:sz w:val="21"/>
          <w:szCs w:val="21"/>
        </w:rPr>
      </w:pPr>
      <w:r w:rsidRPr="00207779">
        <w:rPr>
          <w:rFonts w:asciiTheme="minorHAnsi" w:hAnsiTheme="minorHAnsi" w:cstheme="minorHAnsi"/>
          <w:sz w:val="21"/>
          <w:szCs w:val="21"/>
        </w:rPr>
        <w:t>Similarly, surveys (N=30) and interviews (n=6) highlight that the majority of DMHS providers (86%) are satisfied with the delivering services (Section 6). These providers reported that the DMHS benefited their clinical and teaching practices. They also reported that DMHSs complemented clinical and face-to-face interventions, helped reinforce therapeutic interventions and strategies, assisted with training junior clinicians, reduced waitlists, helped prioritise consumers, and assisted with reaching consumers in rural and regional areas.</w:t>
      </w:r>
    </w:p>
    <w:p w14:paraId="197B2C48" w14:textId="77777777" w:rsidR="00EE6CD2" w:rsidRPr="00207779" w:rsidRDefault="00EE6CD2" w:rsidP="00EE6CD2">
      <w:pPr>
        <w:pStyle w:val="ANorm"/>
        <w:spacing w:after="240"/>
        <w:rPr>
          <w:rFonts w:asciiTheme="minorHAnsi" w:hAnsiTheme="minorHAnsi" w:cstheme="minorHAnsi"/>
        </w:rPr>
      </w:pPr>
      <w:r w:rsidRPr="00207779">
        <w:rPr>
          <w:rFonts w:asciiTheme="minorHAnsi" w:hAnsiTheme="minorHAnsi" w:cstheme="minorHAnsi"/>
        </w:rPr>
        <w:t>However, 57% of DMHS providers reported experiencing some difficulties with delivering digital mental health care. Commonly experienced difficulties include internet connection, technical problems and the online program not being suitable for the consumers’ needs. Although most providers reported that delivering services digitally did not negatively impact on building rapport, 17% mentioned experiencing difficulties in building rapport.</w:t>
      </w:r>
    </w:p>
    <w:p w14:paraId="255E955B" w14:textId="77777777" w:rsidR="00EE6CD2" w:rsidRPr="00207779" w:rsidRDefault="00EE6CD2" w:rsidP="00EE6CD2">
      <w:pPr>
        <w:spacing w:after="240"/>
        <w:textAlignment w:val="baseline"/>
        <w:rPr>
          <w:rFonts w:asciiTheme="minorHAnsi" w:hAnsiTheme="minorHAnsi" w:cstheme="minorHAnsi"/>
          <w:sz w:val="21"/>
          <w:szCs w:val="21"/>
          <w:lang w:eastAsia="en-AU"/>
        </w:rPr>
      </w:pPr>
      <w:r w:rsidRPr="00207779">
        <w:rPr>
          <w:rFonts w:asciiTheme="minorHAnsi" w:hAnsiTheme="minorHAnsi" w:cstheme="minorHAnsi"/>
          <w:sz w:val="21"/>
          <w:szCs w:val="21"/>
        </w:rPr>
        <w:t>Providers also highlighted that DMHSs were benefiting consumers.</w:t>
      </w:r>
      <w:r w:rsidRPr="00207779">
        <w:rPr>
          <w:rFonts w:asciiTheme="minorHAnsi" w:hAnsiTheme="minorHAnsi" w:cstheme="minorHAnsi"/>
          <w:sz w:val="21"/>
          <w:szCs w:val="21"/>
          <w:lang w:eastAsia="en-AU"/>
        </w:rPr>
        <w:t xml:space="preserve"> Nearly 80% of providers reported that DMHSs were mostly meeting the needs of consumers and 97% believed that they were benefiting consumers. These benefits included improved: mood and wellbeing, relationship functioning, skills, coping, self-efficacy and confidence.</w:t>
      </w:r>
    </w:p>
    <w:p w14:paraId="38949DAC" w14:textId="77777777" w:rsidR="00EE6CD2" w:rsidRPr="00207779" w:rsidRDefault="00EE6CD2" w:rsidP="00EE6CD2">
      <w:pPr>
        <w:spacing w:after="240"/>
        <w:textAlignment w:val="baseline"/>
        <w:rPr>
          <w:rFonts w:asciiTheme="minorHAnsi" w:hAnsiTheme="minorHAnsi" w:cstheme="minorHAnsi"/>
          <w:sz w:val="21"/>
          <w:szCs w:val="21"/>
          <w:lang w:eastAsia="en-AU"/>
        </w:rPr>
      </w:pPr>
      <w:r w:rsidRPr="00207779">
        <w:rPr>
          <w:rFonts w:asciiTheme="minorHAnsi" w:hAnsiTheme="minorHAnsi" w:cstheme="minorHAnsi"/>
          <w:sz w:val="21"/>
          <w:szCs w:val="21"/>
          <w:lang w:eastAsia="en-AU"/>
        </w:rPr>
        <w:t xml:space="preserve">Most mental health professionals, </w:t>
      </w:r>
      <w:proofErr w:type="gramStart"/>
      <w:r w:rsidRPr="00207779">
        <w:rPr>
          <w:rFonts w:asciiTheme="minorHAnsi" w:hAnsiTheme="minorHAnsi" w:cstheme="minorHAnsi"/>
          <w:sz w:val="21"/>
          <w:szCs w:val="21"/>
          <w:lang w:eastAsia="en-AU"/>
        </w:rPr>
        <w:t>referrers</w:t>
      </w:r>
      <w:proofErr w:type="gramEnd"/>
      <w:r w:rsidRPr="00207779">
        <w:rPr>
          <w:rFonts w:asciiTheme="minorHAnsi" w:hAnsiTheme="minorHAnsi" w:cstheme="minorHAnsi"/>
          <w:sz w:val="21"/>
          <w:szCs w:val="21"/>
          <w:lang w:eastAsia="en-AU"/>
        </w:rPr>
        <w:t xml:space="preserve"> and key mental health sector representatives we consulted also acknowledged the positive effects of DMHSs on consumers and carers (Sections 8 and 9). Of the 55 additional mental health professionals who provide digital mental health care surveyed, around 58% reported being satisfied with providing mental health care in this way. Others echoed the same difficulties experienced by the three DMHS providers.</w:t>
      </w:r>
    </w:p>
    <w:p w14:paraId="3871B29E" w14:textId="77777777" w:rsidR="00EE6CD2" w:rsidRPr="00A26620" w:rsidRDefault="00EE6CD2" w:rsidP="004D507F">
      <w:pPr>
        <w:pStyle w:val="Heading2"/>
        <w:numPr>
          <w:ilvl w:val="0"/>
          <w:numId w:val="0"/>
        </w:numPr>
        <w:rPr>
          <w:rFonts w:asciiTheme="minorHAnsi" w:hAnsiTheme="minorHAnsi" w:cstheme="minorHAnsi"/>
          <w:sz w:val="24"/>
          <w:szCs w:val="24"/>
        </w:rPr>
      </w:pPr>
      <w:bookmarkStart w:id="18" w:name="_Toc108782905"/>
      <w:bookmarkStart w:id="19" w:name="_Toc108784815"/>
      <w:r w:rsidRPr="00A26620">
        <w:rPr>
          <w:rFonts w:asciiTheme="minorHAnsi" w:hAnsiTheme="minorHAnsi" w:cstheme="minorHAnsi"/>
          <w:sz w:val="24"/>
          <w:szCs w:val="24"/>
        </w:rPr>
        <w:t xml:space="preserve">KEQ 2: What difference are existing supported online mental health treatment services making compared with usual care (e.g., </w:t>
      </w:r>
      <w:proofErr w:type="gramStart"/>
      <w:r w:rsidRPr="00A26620">
        <w:rPr>
          <w:rFonts w:asciiTheme="minorHAnsi" w:hAnsiTheme="minorHAnsi" w:cstheme="minorHAnsi"/>
          <w:sz w:val="24"/>
          <w:szCs w:val="24"/>
        </w:rPr>
        <w:t>face-to-face</w:t>
      </w:r>
      <w:proofErr w:type="gramEnd"/>
      <w:r w:rsidRPr="00A26620">
        <w:rPr>
          <w:rFonts w:asciiTheme="minorHAnsi" w:hAnsiTheme="minorHAnsi" w:cstheme="minorHAnsi"/>
          <w:sz w:val="24"/>
          <w:szCs w:val="24"/>
        </w:rPr>
        <w:t xml:space="preserve"> or other treatment service types)?</w:t>
      </w:r>
      <w:bookmarkEnd w:id="18"/>
      <w:bookmarkEnd w:id="19"/>
    </w:p>
    <w:p w14:paraId="7CDE16C9" w14:textId="77777777" w:rsidR="00EE6CD2" w:rsidRPr="00457191" w:rsidRDefault="00EE6CD2" w:rsidP="00EE6CD2">
      <w:pPr>
        <w:pStyle w:val="ANorm"/>
        <w:spacing w:after="240"/>
        <w:rPr>
          <w:rFonts w:asciiTheme="minorHAnsi" w:hAnsiTheme="minorHAnsi" w:cstheme="minorHAnsi"/>
        </w:rPr>
      </w:pPr>
      <w:r w:rsidRPr="00DE4795">
        <w:rPr>
          <w:rFonts w:asciiTheme="minorHAnsi" w:hAnsiTheme="minorHAnsi" w:cstheme="minorHAnsi"/>
        </w:rPr>
        <w:t>Data from peer-</w:t>
      </w:r>
      <w:r w:rsidRPr="00457191">
        <w:rPr>
          <w:rFonts w:asciiTheme="minorHAnsi" w:hAnsiTheme="minorHAnsi" w:cstheme="minorHAnsi"/>
        </w:rPr>
        <w:t>reviewed publications on DMHS and comparator mental health outcomes and routinely collected DMHS data contribute to addressing KEQ 2.</w:t>
      </w:r>
    </w:p>
    <w:p w14:paraId="6F1D107B" w14:textId="77777777" w:rsidR="00EE6CD2" w:rsidRPr="00D45798" w:rsidRDefault="00EE6CD2" w:rsidP="004D507F">
      <w:pPr>
        <w:pStyle w:val="Heading3"/>
        <w:numPr>
          <w:ilvl w:val="0"/>
          <w:numId w:val="0"/>
        </w:numPr>
        <w:ind w:left="142" w:hanging="142"/>
        <w:rPr>
          <w:sz w:val="22"/>
          <w:szCs w:val="22"/>
        </w:rPr>
      </w:pPr>
      <w:r w:rsidRPr="00D45798">
        <w:rPr>
          <w:sz w:val="22"/>
          <w:szCs w:val="22"/>
        </w:rPr>
        <w:t>Improving access to care</w:t>
      </w:r>
    </w:p>
    <w:p w14:paraId="490E3B70" w14:textId="77777777" w:rsidR="00EE6CD2" w:rsidRPr="00457191" w:rsidRDefault="00EE6CD2" w:rsidP="00EE6CD2">
      <w:pPr>
        <w:pStyle w:val="ANorm"/>
        <w:spacing w:after="240"/>
        <w:rPr>
          <w:rStyle w:val="eop"/>
          <w:rFonts w:asciiTheme="minorHAnsi" w:hAnsiTheme="minorHAnsi" w:cstheme="minorHAnsi"/>
          <w:color w:val="000000"/>
          <w:shd w:val="clear" w:color="auto" w:fill="FFFFFF"/>
        </w:rPr>
      </w:pPr>
      <w:r w:rsidRPr="00457191">
        <w:rPr>
          <w:rStyle w:val="eop"/>
          <w:rFonts w:asciiTheme="minorHAnsi" w:hAnsiTheme="minorHAnsi" w:cstheme="minorHAnsi"/>
          <w:color w:val="000000"/>
          <w:shd w:val="clear" w:color="auto" w:fill="FFFFFF"/>
        </w:rPr>
        <w:t>As demonstrated in response to KEQ 1, the three DMHSs are providing treatment (among other service offerings) to significant numbers of consumers and are therefore contributing to improving overall access to mental health care in Australia. Furthermore, by offering their services free of charge they are likely to be reaching segments of the population who might not otherwise access mental health treatment and/or are disadvantaged to varying extents.</w:t>
      </w:r>
    </w:p>
    <w:p w14:paraId="420B2229" w14:textId="77777777" w:rsidR="00EE6CD2" w:rsidRPr="00457191" w:rsidRDefault="00EE6CD2" w:rsidP="00EE6CD2">
      <w:pPr>
        <w:pStyle w:val="ANorm"/>
        <w:spacing w:after="240"/>
        <w:rPr>
          <w:rFonts w:asciiTheme="minorHAnsi" w:hAnsiTheme="minorHAnsi" w:cstheme="minorHAnsi"/>
          <w:color w:val="000000"/>
          <w:shd w:val="clear" w:color="auto" w:fill="FFFFFF"/>
        </w:rPr>
      </w:pPr>
      <w:r w:rsidRPr="00457191">
        <w:rPr>
          <w:rStyle w:val="eop"/>
          <w:rFonts w:asciiTheme="minorHAnsi" w:hAnsiTheme="minorHAnsi" w:cstheme="minorHAnsi"/>
          <w:color w:val="000000"/>
          <w:shd w:val="clear" w:color="auto" w:fill="FFFFFF"/>
        </w:rPr>
        <w:t xml:space="preserve">As discussed in Section 3, DMHSs are providing services to a high number of people who are not accessing any other support. At least half of Mental Health Online and </w:t>
      </w:r>
      <w:proofErr w:type="spellStart"/>
      <w:r w:rsidRPr="00457191">
        <w:rPr>
          <w:rStyle w:val="eop"/>
          <w:rFonts w:asciiTheme="minorHAnsi" w:hAnsiTheme="minorHAnsi" w:cstheme="minorHAnsi"/>
          <w:color w:val="000000"/>
          <w:shd w:val="clear" w:color="auto" w:fill="FFFFFF"/>
        </w:rPr>
        <w:t>MindSpot</w:t>
      </w:r>
      <w:proofErr w:type="spellEnd"/>
      <w:r w:rsidRPr="00457191">
        <w:rPr>
          <w:rStyle w:val="eop"/>
          <w:rFonts w:asciiTheme="minorHAnsi" w:hAnsiTheme="minorHAnsi" w:cstheme="minorHAnsi"/>
          <w:color w:val="000000"/>
          <w:shd w:val="clear" w:color="auto" w:fill="FFFFFF"/>
        </w:rPr>
        <w:t xml:space="preserve"> consumers are not accessing other mental health services, which suggests DMHSs are reducing the burden of care on other </w:t>
      </w:r>
      <w:r w:rsidRPr="00457191">
        <w:rPr>
          <w:rStyle w:val="eop"/>
          <w:rFonts w:asciiTheme="minorHAnsi" w:hAnsiTheme="minorHAnsi" w:cstheme="minorHAnsi"/>
          <w:color w:val="000000"/>
          <w:shd w:val="clear" w:color="auto" w:fill="FFFFFF"/>
        </w:rPr>
        <w:lastRenderedPageBreak/>
        <w:t>mental health services. The consumer surveys indicated that prior to accessing DMHSs, over 50% of consumers experienced several barriers to care. The most common barriers were affordability of care (47%) and personal beliefs about the need for help (e.g., believing things would improve [49%], symptoms not severe enough [43%], preferring to rely on self [41%]). Similarly, the provider interviews also highlighted that DMHS are enabling providers to deliver care to more consumers and reduce waitlists. The consumer interviews indicated the anonymity of care, free access and 24-hour availability of care allows people to access affordable care at a time and place that is convenient for them.</w:t>
      </w:r>
    </w:p>
    <w:p w14:paraId="402A5D01" w14:textId="77777777" w:rsidR="00EE6CD2" w:rsidRPr="00D45798" w:rsidRDefault="00EE6CD2" w:rsidP="004D507F">
      <w:pPr>
        <w:pStyle w:val="Heading3"/>
        <w:numPr>
          <w:ilvl w:val="0"/>
          <w:numId w:val="0"/>
        </w:numPr>
        <w:ind w:left="142" w:hanging="142"/>
        <w:rPr>
          <w:sz w:val="22"/>
          <w:szCs w:val="22"/>
        </w:rPr>
      </w:pPr>
      <w:r w:rsidRPr="00D45798">
        <w:rPr>
          <w:sz w:val="22"/>
          <w:szCs w:val="22"/>
        </w:rPr>
        <w:t>Mental health and other outcomes</w:t>
      </w:r>
    </w:p>
    <w:p w14:paraId="343ECE99"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lang w:val="en-US" w:bidi="th-TH"/>
        </w:rPr>
        <w:t>As illustrated in Section 4, the three DMHSs are using a variety of outcome measures to assess mental health and wellbeing outcomes for consumers, most commonly the K10, PHQ-9 and GAD-7 (</w:t>
      </w:r>
      <w:proofErr w:type="spellStart"/>
      <w:r w:rsidRPr="00457191">
        <w:rPr>
          <w:rFonts w:asciiTheme="minorHAnsi" w:hAnsiTheme="minorHAnsi" w:cstheme="minorHAnsi"/>
          <w:lang w:val="en-US" w:bidi="th-TH"/>
        </w:rPr>
        <w:t>MindSpot</w:t>
      </w:r>
      <w:proofErr w:type="spellEnd"/>
      <w:r w:rsidRPr="00457191">
        <w:rPr>
          <w:rFonts w:asciiTheme="minorHAnsi" w:hAnsiTheme="minorHAnsi" w:cstheme="minorHAnsi"/>
          <w:lang w:val="en-US" w:bidi="th-TH"/>
        </w:rPr>
        <w:t xml:space="preserve"> and THIS WAY UP) and the K6 at baseline only (Mental Health Online). Pooling data mostly from peer-reviewed publications by the three DMHSs, we found that therapist-supported online treatment significantly improves the mental health of consumers who use these services (d=0.95, Mental Health Online; d=1.42, </w:t>
      </w:r>
      <w:proofErr w:type="spellStart"/>
      <w:r w:rsidRPr="00457191">
        <w:rPr>
          <w:rFonts w:asciiTheme="minorHAnsi" w:hAnsiTheme="minorHAnsi" w:cstheme="minorHAnsi"/>
          <w:lang w:val="en-US" w:bidi="th-TH"/>
        </w:rPr>
        <w:t>MindSpot</w:t>
      </w:r>
      <w:proofErr w:type="spellEnd"/>
      <w:r w:rsidRPr="00457191">
        <w:rPr>
          <w:rFonts w:asciiTheme="minorHAnsi" w:hAnsiTheme="minorHAnsi" w:cstheme="minorHAnsi"/>
          <w:lang w:val="en-US" w:bidi="th-TH"/>
        </w:rPr>
        <w:t>; and d=1.04 THIS WAY UP). Specifically, consistent with findings from our literature review,</w:t>
      </w:r>
      <w:r w:rsidRPr="00457191">
        <w:rPr>
          <w:rFonts w:asciiTheme="minorHAnsi" w:hAnsiTheme="minorHAnsi" w:cstheme="minorHAnsi"/>
          <w:lang w:val="en-US" w:bidi="th-TH"/>
        </w:rPr>
        <w:fldChar w:fldCharType="begin"/>
      </w:r>
      <w:r w:rsidRPr="00457191">
        <w:rPr>
          <w:rFonts w:asciiTheme="minorHAnsi" w:hAnsiTheme="minorHAnsi" w:cstheme="minorHAnsi"/>
          <w:lang w:val="en-US" w:bidi="th-TH"/>
        </w:rPr>
        <w:instrText xml:space="preserve"> ADDIN EN.CITE &lt;EndNote&gt;&lt;Cite&gt;&lt;Author&gt;Bassilios&lt;/Author&gt;&lt;Year&gt;2022&lt;/Year&gt;&lt;RecNum&gt;117&lt;/RecNum&gt;&lt;DisplayText&gt;&lt;style face="superscript"&gt;5&lt;/style&gt;&lt;/DisplayText&gt;&lt;record&gt;&lt;rec-number&gt;117&lt;/rec-number&gt;&lt;foreign-keys&gt;&lt;key app="EN" db-id="dawtr0zrkrzfa5edzzlpe2we0xa00t90vvr2" timestamp="1648438870"&gt;117&lt;/key&gt;&lt;/foreign-keys&gt;&lt;ref-type name="Report"&gt;27&lt;/ref-type&gt;&lt;contributors&gt;&lt;authors&gt;&lt;author&gt;Bassilios, B.&lt;/author&gt;&lt;author&gt;Morgan, A.&lt;/author&gt;&lt;author&gt;Tan, A.&lt;/author&gt;&lt;author&gt;Ftanou, M.&lt;/author&gt;&lt;author&gt;Krysinska, K.&lt;/author&gt;&lt;author&gt;Le, L.&lt;/author&gt;&lt;author&gt;Scurrah, K.&lt;/author&gt;&lt;author&gt;Banfield, M.&lt;/author&gt;&lt;author&gt;Spittal, M.&lt;/author&gt;&lt;author&gt;Mihalopoulos, C.&lt;/author&gt;&lt;author&gt;Pirkis, J.&lt;/author&gt;&lt;/authors&gt;&lt;/contributors&gt;&lt;titles&gt;&lt;title&gt;Literature review of effectiveness of supported digital mental health interventions (DMHIs)&lt;/title&gt;&lt;/titles&gt;&lt;dates&gt;&lt;year&gt;2022&lt;/year&gt;&lt;/dates&gt;&lt;pub-location&gt;Melbourne&lt;/pub-location&gt;&lt;publisher&gt;Centre for Mental Health, University of Melbourne&lt;/publisher&gt;&lt;urls&gt;&lt;/urls&gt;&lt;/record&gt;&lt;/Cite&gt;&lt;/EndNote&gt;</w:instrText>
      </w:r>
      <w:r w:rsidRPr="00457191">
        <w:rPr>
          <w:rFonts w:asciiTheme="minorHAnsi" w:hAnsiTheme="minorHAnsi" w:cstheme="minorHAnsi"/>
          <w:lang w:val="en-US" w:bidi="th-TH"/>
        </w:rPr>
        <w:fldChar w:fldCharType="separate"/>
      </w:r>
      <w:r w:rsidRPr="00457191">
        <w:rPr>
          <w:rFonts w:asciiTheme="minorHAnsi" w:hAnsiTheme="minorHAnsi" w:cstheme="minorHAnsi"/>
          <w:noProof/>
          <w:vertAlign w:val="superscript"/>
          <w:lang w:val="en-US" w:bidi="th-TH"/>
        </w:rPr>
        <w:t>5</w:t>
      </w:r>
      <w:r w:rsidRPr="00457191">
        <w:rPr>
          <w:rFonts w:asciiTheme="minorHAnsi" w:hAnsiTheme="minorHAnsi" w:cstheme="minorHAnsi"/>
          <w:lang w:val="en-US" w:bidi="th-TH"/>
        </w:rPr>
        <w:fldChar w:fldCharType="end"/>
      </w:r>
      <w:r w:rsidRPr="00457191">
        <w:rPr>
          <w:rFonts w:asciiTheme="minorHAnsi" w:hAnsiTheme="minorHAnsi" w:cstheme="minorHAnsi"/>
          <w:lang w:val="en-US" w:bidi="th-TH"/>
        </w:rPr>
        <w:t xml:space="preserve"> therapist-supported treatment produced reductions in psychological distress and other symptoms including, OCD, PTSD, panic disorder, GAD, social anxiety disorder and depression. T</w:t>
      </w:r>
      <w:proofErr w:type="spellStart"/>
      <w:r w:rsidRPr="00457191">
        <w:rPr>
          <w:rFonts w:asciiTheme="minorHAnsi" w:hAnsiTheme="minorHAnsi" w:cstheme="minorHAnsi"/>
        </w:rPr>
        <w:t>hese</w:t>
      </w:r>
      <w:proofErr w:type="spellEnd"/>
      <w:r w:rsidRPr="00457191">
        <w:rPr>
          <w:rFonts w:asciiTheme="minorHAnsi" w:hAnsiTheme="minorHAnsi" w:cstheme="minorHAnsi"/>
        </w:rPr>
        <w:t xml:space="preserve"> positive findings are consistent across different demographic characteristics, including young and older adults, people born overseas, and Indigenous peoples. To some extent, </w:t>
      </w:r>
      <w:r w:rsidRPr="00457191">
        <w:rPr>
          <w:rFonts w:asciiTheme="minorHAnsi" w:hAnsiTheme="minorHAnsi" w:cstheme="minorHAnsi"/>
          <w:lang w:bidi="th-TH"/>
        </w:rPr>
        <w:t>these</w:t>
      </w:r>
      <w:r w:rsidRPr="00457191">
        <w:rPr>
          <w:rFonts w:asciiTheme="minorHAnsi" w:hAnsiTheme="minorHAnsi" w:cstheme="minorHAnsi"/>
          <w:lang w:val="en-US" w:bidi="th-TH"/>
        </w:rPr>
        <w:t xml:space="preserve"> findings fill gaps in knowledge identified in our literature review about the effectiveness of digital mental health interventions for traditionally underserviced groups and across age groups.</w:t>
      </w:r>
      <w:r w:rsidRPr="00457191">
        <w:rPr>
          <w:rFonts w:asciiTheme="minorHAnsi" w:hAnsiTheme="minorHAnsi" w:cstheme="minorHAnsi"/>
          <w:lang w:val="en-US" w:bidi="th-TH"/>
        </w:rPr>
        <w:fldChar w:fldCharType="begin"/>
      </w:r>
      <w:r w:rsidRPr="00457191">
        <w:rPr>
          <w:rFonts w:asciiTheme="minorHAnsi" w:hAnsiTheme="minorHAnsi" w:cstheme="minorHAnsi"/>
          <w:lang w:val="en-US" w:bidi="th-TH"/>
        </w:rPr>
        <w:instrText xml:space="preserve"> ADDIN EN.CITE &lt;EndNote&gt;&lt;Cite&gt;&lt;Author&gt;Bassilios&lt;/Author&gt;&lt;Year&gt;2022&lt;/Year&gt;&lt;RecNum&gt;117&lt;/RecNum&gt;&lt;DisplayText&gt;&lt;style face="superscript"&gt;5&lt;/style&gt;&lt;/DisplayText&gt;&lt;record&gt;&lt;rec-number&gt;117&lt;/rec-number&gt;&lt;foreign-keys&gt;&lt;key app="EN" db-id="dawtr0zrkrzfa5edzzlpe2we0xa00t90vvr2" timestamp="1648438870"&gt;117&lt;/key&gt;&lt;/foreign-keys&gt;&lt;ref-type name="Report"&gt;27&lt;/ref-type&gt;&lt;contributors&gt;&lt;authors&gt;&lt;author&gt;Bassilios, B.&lt;/author&gt;&lt;author&gt;Morgan, A.&lt;/author&gt;&lt;author&gt;Tan, A.&lt;/author&gt;&lt;author&gt;Ftanou, M.&lt;/author&gt;&lt;author&gt;Krysinska, K.&lt;/author&gt;&lt;author&gt;Le, L.&lt;/author&gt;&lt;author&gt;Scurrah, K.&lt;/author&gt;&lt;author&gt;Banfield, M.&lt;/author&gt;&lt;author&gt;Spittal, M.&lt;/author&gt;&lt;author&gt;Mihalopoulos, C.&lt;/author&gt;&lt;author&gt;Pirkis, J.&lt;/author&gt;&lt;/authors&gt;&lt;/contributors&gt;&lt;titles&gt;&lt;title&gt;Literature review of effectiveness of supported digital mental health interventions (DMHIs)&lt;/title&gt;&lt;/titles&gt;&lt;dates&gt;&lt;year&gt;2022&lt;/year&gt;&lt;/dates&gt;&lt;pub-location&gt;Melbourne&lt;/pub-location&gt;&lt;publisher&gt;Centre for Mental Health, University of Melbourne&lt;/publisher&gt;&lt;urls&gt;&lt;/urls&gt;&lt;/record&gt;&lt;/Cite&gt;&lt;/EndNote&gt;</w:instrText>
      </w:r>
      <w:r w:rsidRPr="00457191">
        <w:rPr>
          <w:rFonts w:asciiTheme="minorHAnsi" w:hAnsiTheme="minorHAnsi" w:cstheme="minorHAnsi"/>
          <w:lang w:val="en-US" w:bidi="th-TH"/>
        </w:rPr>
        <w:fldChar w:fldCharType="separate"/>
      </w:r>
      <w:r w:rsidRPr="00457191">
        <w:rPr>
          <w:rFonts w:asciiTheme="minorHAnsi" w:hAnsiTheme="minorHAnsi" w:cstheme="minorHAnsi"/>
          <w:noProof/>
          <w:vertAlign w:val="superscript"/>
          <w:lang w:val="en-US" w:bidi="th-TH"/>
        </w:rPr>
        <w:t>5</w:t>
      </w:r>
      <w:r w:rsidRPr="00457191">
        <w:rPr>
          <w:rFonts w:asciiTheme="minorHAnsi" w:hAnsiTheme="minorHAnsi" w:cstheme="minorHAnsi"/>
          <w:lang w:val="en-US" w:bidi="th-TH"/>
        </w:rPr>
        <w:fldChar w:fldCharType="end"/>
      </w:r>
    </w:p>
    <w:p w14:paraId="68889840" w14:textId="77777777" w:rsidR="00EE6CD2" w:rsidRPr="00457191" w:rsidRDefault="00EE6CD2" w:rsidP="00EE6CD2">
      <w:pPr>
        <w:pStyle w:val="ANorm"/>
        <w:spacing w:after="240"/>
        <w:rPr>
          <w:rFonts w:asciiTheme="minorHAnsi" w:hAnsiTheme="minorHAnsi" w:cstheme="minorHAnsi"/>
          <w:lang w:val="en-US" w:bidi="th-TH"/>
        </w:rPr>
      </w:pPr>
      <w:r w:rsidRPr="00457191">
        <w:rPr>
          <w:rFonts w:asciiTheme="minorHAnsi" w:hAnsiTheme="minorHAnsi" w:cstheme="minorHAnsi"/>
          <w:lang w:val="en-US" w:bidi="th-TH"/>
        </w:rPr>
        <w:t>Therapist-supported treatment by DMHSs also produced positive outcomes on quality of life, functioning (as assessed by days out role) and disability, but the effects on these domains was smaller (e.g., d=0.12, 0.35 and 0.48, respectively).</w:t>
      </w:r>
    </w:p>
    <w:p w14:paraId="5B45B2D4"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lang w:val="en-US" w:bidi="th-TH"/>
        </w:rPr>
        <w:t>Additionally, peer reviewed publications showed that self-directed treatment by Mental Health Online produces moderate reduction (d=0.59) in</w:t>
      </w:r>
      <w:r w:rsidRPr="00457191">
        <w:rPr>
          <w:rFonts w:asciiTheme="minorHAnsi" w:hAnsiTheme="minorHAnsi" w:cstheme="minorHAnsi"/>
        </w:rPr>
        <w:t xml:space="preserve"> clinical disorder severity ratings for GAD, panic disorder, OCD, PTSD and SAD. Trends in routinely collected data on self-directed treatment by </w:t>
      </w:r>
      <w:proofErr w:type="spellStart"/>
      <w:r w:rsidRPr="00457191">
        <w:rPr>
          <w:rFonts w:asciiTheme="minorHAnsi" w:hAnsiTheme="minorHAnsi" w:cstheme="minorHAnsi"/>
        </w:rPr>
        <w:t>MindSpot</w:t>
      </w:r>
      <w:proofErr w:type="spellEnd"/>
      <w:r w:rsidRPr="00457191">
        <w:rPr>
          <w:rFonts w:asciiTheme="minorHAnsi" w:hAnsiTheme="minorHAnsi" w:cstheme="minorHAnsi"/>
        </w:rPr>
        <w:t xml:space="preserve"> and THIS WAY UP support these positive findings, but we were unable to calculate effect sizes because we did not have baseline data for the cohort of consumers who completed post-treatment assessments.</w:t>
      </w:r>
    </w:p>
    <w:p w14:paraId="1BEA5838"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There was also a trend for consumers with more severe symptoms to be more likely to show improvement.</w:t>
      </w:r>
    </w:p>
    <w:p w14:paraId="084710B9" w14:textId="4E1075C1" w:rsidR="00EE6CD2" w:rsidRPr="00457191" w:rsidRDefault="00EE6CD2" w:rsidP="00EE6CD2">
      <w:pPr>
        <w:pStyle w:val="ANorm"/>
        <w:spacing w:after="240"/>
        <w:rPr>
          <w:rFonts w:asciiTheme="minorHAnsi" w:hAnsiTheme="minorHAnsi" w:cstheme="minorHAnsi"/>
          <w:lang w:val="en-US" w:bidi="th-TH"/>
        </w:rPr>
      </w:pPr>
      <w:r w:rsidRPr="00457191">
        <w:rPr>
          <w:rFonts w:asciiTheme="minorHAnsi" w:hAnsiTheme="minorHAnsi" w:cstheme="minorHAnsi"/>
          <w:lang w:val="en-US" w:bidi="th-TH"/>
        </w:rPr>
        <w:t>Overall, therapist-supported treatments by all three DMHSs produce improvements in mental health symptoms that are close, or equivalent, to most comparator treatments (Australian primary, public and low intensity mental health care; UK stepped psychological care) we examined. Both therapist-supported and self-directed treatments produce superior outcomes to treatment as usual (discussing mental health concerns with the GP). They also produce superior outcomes to pharmacological treatment in primary care, which have been reported to produce small to moderate effects.</w:t>
      </w:r>
      <w:r w:rsidRPr="00457191">
        <w:rPr>
          <w:rFonts w:asciiTheme="minorHAnsi" w:hAnsiTheme="minorHAnsi" w:cstheme="minorHAnsi"/>
          <w:lang w:val="en-US" w:bidi="th-TH"/>
        </w:rPr>
        <w:fldChar w:fldCharType="begin"/>
      </w:r>
      <w:r w:rsidR="004469A2">
        <w:rPr>
          <w:rFonts w:asciiTheme="minorHAnsi" w:hAnsiTheme="minorHAnsi" w:cstheme="minorHAnsi"/>
          <w:lang w:val="en-US" w:bidi="th-TH"/>
        </w:rPr>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Pr="00457191">
        <w:rPr>
          <w:rFonts w:asciiTheme="minorHAnsi" w:hAnsiTheme="minorHAnsi" w:cstheme="minorHAnsi"/>
          <w:lang w:val="en-US" w:bidi="th-TH"/>
        </w:rPr>
        <w:fldChar w:fldCharType="separate"/>
      </w:r>
      <w:r w:rsidR="004469A2" w:rsidRPr="004469A2">
        <w:rPr>
          <w:rFonts w:asciiTheme="minorHAnsi" w:hAnsiTheme="minorHAnsi" w:cstheme="minorHAnsi"/>
          <w:noProof/>
          <w:vertAlign w:val="superscript"/>
          <w:lang w:val="en-US" w:bidi="th-TH"/>
        </w:rPr>
        <w:t>7</w:t>
      </w:r>
      <w:r w:rsidRPr="00457191">
        <w:rPr>
          <w:rFonts w:asciiTheme="minorHAnsi" w:hAnsiTheme="minorHAnsi" w:cstheme="minorHAnsi"/>
          <w:lang w:val="en-US" w:bidi="th-TH"/>
        </w:rPr>
        <w:fldChar w:fldCharType="end"/>
      </w:r>
    </w:p>
    <w:p w14:paraId="29593B69" w14:textId="77777777" w:rsidR="00EE6CD2" w:rsidRPr="00457191" w:rsidRDefault="00EE6CD2" w:rsidP="00EE6CD2">
      <w:pPr>
        <w:pStyle w:val="ANorm"/>
        <w:spacing w:after="240"/>
        <w:rPr>
          <w:rFonts w:asciiTheme="minorHAnsi" w:hAnsiTheme="minorHAnsi" w:cstheme="minorHAnsi"/>
          <w:lang w:val="en-US" w:bidi="th-TH"/>
        </w:rPr>
      </w:pPr>
      <w:r w:rsidRPr="00457191">
        <w:rPr>
          <w:rFonts w:asciiTheme="minorHAnsi" w:hAnsiTheme="minorHAnsi" w:cstheme="minorHAnsi"/>
          <w:lang w:val="en-US" w:bidi="th-TH"/>
        </w:rPr>
        <w:t xml:space="preserve">Around one-third of </w:t>
      </w:r>
      <w:proofErr w:type="spellStart"/>
      <w:r w:rsidRPr="00457191">
        <w:rPr>
          <w:rFonts w:asciiTheme="minorHAnsi" w:hAnsiTheme="minorHAnsi" w:cstheme="minorHAnsi"/>
          <w:lang w:val="en-US" w:bidi="th-TH"/>
        </w:rPr>
        <w:t>MindSpot</w:t>
      </w:r>
      <w:proofErr w:type="spellEnd"/>
      <w:r w:rsidRPr="00457191">
        <w:rPr>
          <w:rFonts w:asciiTheme="minorHAnsi" w:hAnsiTheme="minorHAnsi" w:cstheme="minorHAnsi"/>
          <w:lang w:val="en-US" w:bidi="th-TH"/>
        </w:rPr>
        <w:t xml:space="preserve"> consumers who in enroll in therapist-supported treatment choose not to take up the therapist support component, and around one third of consumers who enroll in self-directed treatment end up receiving therapist support. Additionally, although in our pooled estimates of THIS WAY UP treatment effects, we labelled all treatments as “therapist-supported”, the extent of therapist support is unknown given that this service element is provided externally by the consumer’s own mental health professional. Therefore, differences in findings between therapist-supported and self-directed treatments should be interpreted with caution.</w:t>
      </w:r>
    </w:p>
    <w:p w14:paraId="5F48F971" w14:textId="795AE28F" w:rsidR="00EE6CD2" w:rsidRPr="00457191" w:rsidRDefault="00EE6CD2" w:rsidP="00EE6CD2">
      <w:pPr>
        <w:pStyle w:val="ANorm"/>
        <w:spacing w:after="240"/>
        <w:rPr>
          <w:rFonts w:asciiTheme="minorHAnsi" w:hAnsiTheme="minorHAnsi" w:cstheme="minorHAnsi"/>
          <w:color w:val="auto"/>
          <w:lang w:eastAsia="en-US"/>
        </w:rPr>
      </w:pPr>
      <w:r w:rsidRPr="00457191">
        <w:rPr>
          <w:rFonts w:asciiTheme="minorHAnsi" w:hAnsiTheme="minorHAnsi" w:cstheme="minorHAnsi"/>
          <w:color w:val="auto"/>
          <w:lang w:eastAsia="en-US"/>
        </w:rPr>
        <w:t xml:space="preserve">A key strength of the way in which outcome data are collected by </w:t>
      </w:r>
      <w:proofErr w:type="spellStart"/>
      <w:r w:rsidRPr="00457191">
        <w:rPr>
          <w:rFonts w:asciiTheme="minorHAnsi" w:hAnsiTheme="minorHAnsi" w:cstheme="minorHAnsi"/>
          <w:color w:val="auto"/>
          <w:lang w:eastAsia="en-US"/>
        </w:rPr>
        <w:t>MindSpot</w:t>
      </w:r>
      <w:proofErr w:type="spellEnd"/>
      <w:r w:rsidRPr="00457191">
        <w:rPr>
          <w:rFonts w:asciiTheme="minorHAnsi" w:hAnsiTheme="minorHAnsi" w:cstheme="minorHAnsi"/>
          <w:color w:val="auto"/>
          <w:lang w:eastAsia="en-US"/>
        </w:rPr>
        <w:t xml:space="preserve"> and THIS WAY UP is that consumers are assessed using standardised outcome measures at each session. This means that analysis of their outcome data provides the opportunity to examine the effects of treatment for consumers who drop out of treatment. Other mental health programs that only assess consumer outcomes at the </w:t>
      </w:r>
      <w:r w:rsidRPr="00457191">
        <w:rPr>
          <w:rFonts w:asciiTheme="minorHAnsi" w:hAnsiTheme="minorHAnsi" w:cstheme="minorHAnsi"/>
          <w:color w:val="auto"/>
          <w:lang w:eastAsia="en-US"/>
        </w:rPr>
        <w:lastRenderedPageBreak/>
        <w:t xml:space="preserve">commencement and the completion of treatment risk introducing a systematic bias in which people who drop out of treatment (potentially with poorer outcomes) are excluded from effectiveness analyses. Furthermore, </w:t>
      </w:r>
      <w:proofErr w:type="spellStart"/>
      <w:r w:rsidRPr="00457191">
        <w:rPr>
          <w:rFonts w:asciiTheme="minorHAnsi" w:hAnsiTheme="minorHAnsi" w:cstheme="minorHAnsi"/>
          <w:color w:val="auto"/>
          <w:lang w:eastAsia="en-US"/>
        </w:rPr>
        <w:t>MindSpot</w:t>
      </w:r>
      <w:proofErr w:type="spellEnd"/>
      <w:r w:rsidRPr="00457191">
        <w:rPr>
          <w:rFonts w:asciiTheme="minorHAnsi" w:hAnsiTheme="minorHAnsi" w:cstheme="minorHAnsi"/>
          <w:color w:val="auto"/>
          <w:lang w:eastAsia="en-US"/>
        </w:rPr>
        <w:t xml:space="preserve"> endeavours to assess consumer outcomes at three-months post-treatment and have shown that benefits are maintained at follow up.</w:t>
      </w:r>
      <w:r w:rsidRPr="00457191">
        <w:rPr>
          <w:rFonts w:asciiTheme="minorHAnsi" w:hAnsiTheme="minorHAnsi" w:cstheme="minorHAnsi"/>
          <w:color w:val="auto"/>
          <w:lang w:eastAsia="en-US"/>
        </w:rPr>
        <w:fldChar w:fldCharType="begin"/>
      </w:r>
      <w:r w:rsidR="004469A2">
        <w:rPr>
          <w:rFonts w:asciiTheme="minorHAnsi" w:hAnsiTheme="minorHAnsi" w:cstheme="minorHAnsi"/>
          <w:color w:val="auto"/>
          <w:lang w:eastAsia="en-US"/>
        </w:rPr>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Pr="00457191">
        <w:rPr>
          <w:rFonts w:asciiTheme="minorHAnsi" w:hAnsiTheme="minorHAnsi" w:cstheme="minorHAnsi"/>
          <w:color w:val="auto"/>
          <w:lang w:eastAsia="en-US"/>
        </w:rPr>
        <w:fldChar w:fldCharType="separate"/>
      </w:r>
      <w:r w:rsidR="004469A2" w:rsidRPr="004469A2">
        <w:rPr>
          <w:rFonts w:asciiTheme="minorHAnsi" w:hAnsiTheme="minorHAnsi" w:cstheme="minorHAnsi"/>
          <w:noProof/>
          <w:color w:val="auto"/>
          <w:vertAlign w:val="superscript"/>
          <w:lang w:eastAsia="en-US"/>
        </w:rPr>
        <w:t>7</w:t>
      </w:r>
      <w:r w:rsidRPr="00457191">
        <w:rPr>
          <w:rFonts w:asciiTheme="minorHAnsi" w:hAnsiTheme="minorHAnsi" w:cstheme="minorHAnsi"/>
          <w:color w:val="auto"/>
          <w:lang w:eastAsia="en-US"/>
        </w:rPr>
        <w:fldChar w:fldCharType="end"/>
      </w:r>
    </w:p>
    <w:p w14:paraId="0D965D23" w14:textId="77777777" w:rsidR="00EE6CD2" w:rsidRPr="00D45798" w:rsidRDefault="00EE6CD2" w:rsidP="004D507F">
      <w:pPr>
        <w:pStyle w:val="Heading2"/>
        <w:numPr>
          <w:ilvl w:val="0"/>
          <w:numId w:val="0"/>
        </w:numPr>
        <w:spacing w:after="240"/>
        <w:rPr>
          <w:rFonts w:asciiTheme="minorHAnsi" w:hAnsiTheme="minorHAnsi" w:cstheme="minorHAnsi"/>
          <w:sz w:val="24"/>
          <w:szCs w:val="24"/>
        </w:rPr>
      </w:pPr>
      <w:bookmarkStart w:id="20" w:name="_Toc108782906"/>
      <w:bookmarkStart w:id="21" w:name="_Toc108784816"/>
      <w:r w:rsidRPr="00D45798">
        <w:rPr>
          <w:rFonts w:asciiTheme="minorHAnsi" w:hAnsiTheme="minorHAnsi" w:cstheme="minorHAnsi"/>
          <w:sz w:val="24"/>
          <w:szCs w:val="24"/>
        </w:rPr>
        <w:t xml:space="preserve">KEQ 3: How cost effective </w:t>
      </w:r>
      <w:proofErr w:type="gramStart"/>
      <w:r w:rsidRPr="00D45798">
        <w:rPr>
          <w:rFonts w:asciiTheme="minorHAnsi" w:hAnsiTheme="minorHAnsi" w:cstheme="minorHAnsi"/>
          <w:sz w:val="24"/>
          <w:szCs w:val="24"/>
        </w:rPr>
        <w:t>are</w:t>
      </w:r>
      <w:proofErr w:type="gramEnd"/>
      <w:r w:rsidRPr="00D45798">
        <w:rPr>
          <w:rFonts w:asciiTheme="minorHAnsi" w:hAnsiTheme="minorHAnsi" w:cstheme="minorHAnsi"/>
          <w:sz w:val="24"/>
          <w:szCs w:val="24"/>
        </w:rPr>
        <w:t xml:space="preserve"> Australian Government funded supported online mental health treatment services compared with usual care?</w:t>
      </w:r>
      <w:bookmarkEnd w:id="20"/>
      <w:bookmarkEnd w:id="21"/>
    </w:p>
    <w:p w14:paraId="5C7FCF92"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DMHS routinely recorded or collected financial, service use and effectiveness data; resource use and costs data from our consumer surveys; and peer-reviewed literature on indirect usual care comparators contribute to addressing KEQ 3.</w:t>
      </w:r>
    </w:p>
    <w:p w14:paraId="2E4AF54C" w14:textId="1F79E57B" w:rsidR="00EE6CD2" w:rsidRPr="00457191" w:rsidRDefault="00EE6CD2" w:rsidP="00EE6CD2">
      <w:pPr>
        <w:spacing w:after="240"/>
        <w:rPr>
          <w:rFonts w:asciiTheme="minorHAnsi" w:hAnsiTheme="minorHAnsi" w:cstheme="minorHAnsi"/>
          <w:iCs/>
          <w:sz w:val="21"/>
          <w:szCs w:val="21"/>
        </w:rPr>
      </w:pPr>
      <w:r w:rsidRPr="00457191">
        <w:rPr>
          <w:rFonts w:asciiTheme="minorHAnsi" w:hAnsiTheme="minorHAnsi" w:cstheme="minorHAnsi"/>
          <w:iCs/>
          <w:sz w:val="21"/>
          <w:szCs w:val="21"/>
        </w:rPr>
        <w:t xml:space="preserve">We summarised costs and cost-effectiveness of Mental Health Online, </w:t>
      </w:r>
      <w:proofErr w:type="spellStart"/>
      <w:r w:rsidRPr="00457191">
        <w:rPr>
          <w:rFonts w:asciiTheme="minorHAnsi" w:hAnsiTheme="minorHAnsi" w:cstheme="minorHAnsi"/>
          <w:iCs/>
          <w:sz w:val="21"/>
          <w:szCs w:val="21"/>
        </w:rPr>
        <w:t>MindSpot</w:t>
      </w:r>
      <w:proofErr w:type="spellEnd"/>
      <w:r w:rsidRPr="00457191">
        <w:rPr>
          <w:rFonts w:asciiTheme="minorHAnsi" w:hAnsiTheme="minorHAnsi" w:cstheme="minorHAnsi"/>
          <w:iCs/>
          <w:sz w:val="21"/>
          <w:szCs w:val="21"/>
        </w:rPr>
        <w:t xml:space="preserve"> and THIS WAY UP. The delivery costs of these services ranged from $52 to $99 per consumer for self-directed treatment and $21 to $362 per consumer for therapist-supported treatment. It is estimated that an additional 1,181 QALYs (that is an additional 1,181 years of life lived in full health) across one year was achieved through the treatments delivered by these services. Excluding productivity losses, the incremental cost-effectiveness ratios for self-guided treatment ranged from $887 to $32,354 per QALY, and for therapist-supported treatment from $96 to $35,062 per QALY. These ratios were lower than the standard willingness-to-pay threshold of $50,000 per QALY, which is commonly used to evaluate the cost-effectiveness of public health programs in Australia.</w:t>
      </w:r>
      <w:r w:rsidRPr="00457191">
        <w:rPr>
          <w:rFonts w:asciiTheme="minorHAnsi" w:hAnsiTheme="minorHAnsi" w:cstheme="minorHAnsi"/>
          <w:iCs/>
          <w:sz w:val="21"/>
          <w:szCs w:val="21"/>
        </w:rPr>
        <w:fldChar w:fldCharType="begin">
          <w:fldData xml:space="preserve">PEVuZE5vdGU+PENpdGU+PEF1dGhvcj5DYXJ0ZXI8L0F1dGhvcj48WWVhcj4yMDA4PC9ZZWFyPjxS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</w:fldData>
        </w:fldChar>
      </w:r>
      <w:r w:rsidR="004469A2">
        <w:rPr>
          <w:rFonts w:asciiTheme="minorHAnsi" w:hAnsiTheme="minorHAnsi" w:cstheme="minorHAnsi"/>
          <w:iCs/>
          <w:sz w:val="21"/>
          <w:szCs w:val="21"/>
        </w:rPr>
        <w:instrText xml:space="preserve"> ADDIN EN.CITE </w:instrText>
      </w:r>
      <w:r w:rsidR="004469A2">
        <w:rPr>
          <w:rFonts w:asciiTheme="minorHAnsi" w:hAnsiTheme="minorHAnsi" w:cstheme="minorHAnsi"/>
          <w:iCs/>
          <w:sz w:val="21"/>
          <w:szCs w:val="21"/>
        </w:rPr>
        <w:fldChar w:fldCharType="begin">
          <w:fldData xml:space="preserve">PEVuZE5vdGU+PENpdGU+PEF1dGhvcj5DYXJ0ZXI8L0F1dGhvcj48WWVhcj4yMDA4PC9ZZWFyPjxS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</w:fldData>
        </w:fldChar>
      </w:r>
      <w:r w:rsidR="004469A2">
        <w:rPr>
          <w:rFonts w:asciiTheme="minorHAnsi" w:hAnsiTheme="minorHAnsi" w:cstheme="minorHAnsi"/>
          <w:iCs/>
          <w:sz w:val="21"/>
          <w:szCs w:val="21"/>
        </w:rPr>
        <w:instrText xml:space="preserve"> ADDIN EN.CITE.DATA </w:instrText>
      </w:r>
      <w:r w:rsidR="004469A2">
        <w:rPr>
          <w:rFonts w:asciiTheme="minorHAnsi" w:hAnsiTheme="minorHAnsi" w:cstheme="minorHAnsi"/>
          <w:iCs/>
          <w:sz w:val="21"/>
          <w:szCs w:val="21"/>
        </w:rPr>
      </w:r>
      <w:r w:rsidR="004469A2">
        <w:rPr>
          <w:rFonts w:asciiTheme="minorHAnsi" w:hAnsiTheme="minorHAnsi" w:cstheme="minorHAnsi"/>
          <w:iCs/>
          <w:sz w:val="21"/>
          <w:szCs w:val="21"/>
        </w:rPr>
        <w:fldChar w:fldCharType="end"/>
      </w:r>
      <w:r w:rsidRPr="00457191">
        <w:rPr>
          <w:rFonts w:asciiTheme="minorHAnsi" w:hAnsiTheme="minorHAnsi" w:cstheme="minorHAnsi"/>
          <w:iCs/>
          <w:sz w:val="21"/>
          <w:szCs w:val="21"/>
        </w:rPr>
      </w:r>
      <w:r w:rsidRPr="00457191">
        <w:rPr>
          <w:rFonts w:asciiTheme="minorHAnsi" w:hAnsiTheme="minorHAnsi" w:cstheme="minorHAnsi"/>
          <w:iCs/>
          <w:sz w:val="21"/>
          <w:szCs w:val="21"/>
        </w:rPr>
        <w:fldChar w:fldCharType="separate"/>
      </w:r>
      <w:r w:rsidR="004469A2" w:rsidRPr="004469A2">
        <w:rPr>
          <w:rFonts w:asciiTheme="minorHAnsi" w:hAnsiTheme="minorHAnsi" w:cstheme="minorHAnsi"/>
          <w:iCs/>
          <w:noProof/>
          <w:sz w:val="21"/>
          <w:szCs w:val="21"/>
          <w:vertAlign w:val="superscript"/>
        </w:rPr>
        <w:t>13-15</w:t>
      </w:r>
      <w:r w:rsidRPr="00457191">
        <w:rPr>
          <w:rFonts w:asciiTheme="minorHAnsi" w:hAnsiTheme="minorHAnsi" w:cstheme="minorHAnsi"/>
          <w:iCs/>
          <w:sz w:val="21"/>
          <w:szCs w:val="21"/>
        </w:rPr>
        <w:fldChar w:fldCharType="end"/>
      </w:r>
    </w:p>
    <w:p w14:paraId="0CB1359C" w14:textId="77777777" w:rsidR="00EE6CD2" w:rsidRPr="00457191" w:rsidRDefault="00EE6CD2" w:rsidP="00EE6CD2">
      <w:pPr>
        <w:spacing w:after="240"/>
        <w:rPr>
          <w:rFonts w:asciiTheme="minorHAnsi" w:hAnsiTheme="minorHAnsi" w:cstheme="minorHAnsi"/>
          <w:iCs/>
          <w:sz w:val="21"/>
          <w:szCs w:val="21"/>
        </w:rPr>
      </w:pPr>
      <w:r w:rsidRPr="00457191">
        <w:rPr>
          <w:rFonts w:asciiTheme="minorHAnsi" w:hAnsiTheme="minorHAnsi" w:cstheme="minorHAnsi"/>
          <w:iCs/>
          <w:sz w:val="21"/>
          <w:szCs w:val="21"/>
        </w:rPr>
        <w:t>The results of our analyses show that DMHSs are cost effective compared to usual care (e.g., face-to-face treatment) for individuals with depression or anxiety symptoms who access treatment. When productivity impacts were taken into consideration, the DMHSs costed less and produced greater benefits than the indirect comparator groups (representing usual care). Our findings are in line with the recently released Productivity Commission Inquiry Report into Mental Health,</w:t>
      </w:r>
      <w:r w:rsidRPr="00457191">
        <w:rPr>
          <w:rFonts w:asciiTheme="minorHAnsi" w:hAnsiTheme="minorHAnsi" w:cstheme="minorHAnsi"/>
          <w:iCs/>
          <w:sz w:val="21"/>
          <w:szCs w:val="21"/>
        </w:rPr>
        <w:fldChar w:fldCharType="begin"/>
      </w:r>
      <w:r w:rsidRPr="00457191">
        <w:rPr>
          <w:rFonts w:asciiTheme="minorHAnsi" w:hAnsiTheme="minorHAnsi" w:cstheme="minorHAnsi"/>
          <w:iCs/>
          <w:sz w:val="21"/>
          <w:szCs w:val="21"/>
        </w:rPr>
        <w:instrText xml:space="preserve"> ADDIN EN.CITE &lt;EndNote&gt;&lt;Cite&gt;&lt;Author&gt;Productivity Commission&lt;/Author&gt;&lt;Year&gt;2020&lt;/Year&gt;&lt;RecNum&gt;3&lt;/RecNum&gt;&lt;DisplayText&gt;&lt;style face="superscript"&gt;4&lt;/style&gt;&lt;/DisplayText&gt;&lt;record&gt;&lt;rec-number&gt;3&lt;/rec-number&gt;&lt;foreign-keys&gt;&lt;key app="EN" db-id="dawtr0zrkrzfa5edzzlpe2we0xa00t90vvr2" timestamp="1622894031"&gt;3&lt;/key&gt;&lt;/foreign-keys&gt;&lt;ref-type name="Government Document"&gt;46&lt;/ref-type&gt;&lt;contributors&gt;&lt;authors&gt;&lt;author&gt;Productivity Commission, &lt;/author&gt;&lt;/authors&gt;&lt;/contributors&gt;&lt;titles&gt;&lt;title&gt;Mental Health, Report no. 95 &lt;/title&gt;&lt;/titles&gt;&lt;dates&gt;&lt;year&gt;2020&lt;/year&gt;&lt;/dates&gt;&lt;pub-location&gt;Canberra&lt;/pub-location&gt;&lt;urls&gt;&lt;/urls&gt;&lt;/record&gt;&lt;/Cite&gt;&lt;/EndNote&gt;</w:instrText>
      </w:r>
      <w:r w:rsidRPr="00457191">
        <w:rPr>
          <w:rFonts w:asciiTheme="minorHAnsi" w:hAnsiTheme="minorHAnsi" w:cstheme="minorHAnsi"/>
          <w:iCs/>
          <w:sz w:val="21"/>
          <w:szCs w:val="21"/>
        </w:rPr>
        <w:fldChar w:fldCharType="separate"/>
      </w:r>
      <w:r w:rsidRPr="00457191">
        <w:rPr>
          <w:rFonts w:asciiTheme="minorHAnsi" w:hAnsiTheme="minorHAnsi" w:cstheme="minorHAnsi"/>
          <w:iCs/>
          <w:noProof/>
          <w:sz w:val="21"/>
          <w:szCs w:val="21"/>
          <w:vertAlign w:val="superscript"/>
        </w:rPr>
        <w:t>4</w:t>
      </w:r>
      <w:r w:rsidRPr="00457191">
        <w:rPr>
          <w:rFonts w:asciiTheme="minorHAnsi" w:hAnsiTheme="minorHAnsi" w:cstheme="minorHAnsi"/>
          <w:iCs/>
          <w:sz w:val="21"/>
          <w:szCs w:val="21"/>
        </w:rPr>
        <w:fldChar w:fldCharType="end"/>
      </w:r>
      <w:r w:rsidRPr="00457191">
        <w:rPr>
          <w:rFonts w:asciiTheme="minorHAnsi" w:hAnsiTheme="minorHAnsi" w:cstheme="minorHAnsi"/>
          <w:iCs/>
          <w:sz w:val="21"/>
          <w:szCs w:val="21"/>
        </w:rPr>
        <w:t xml:space="preserve"> which presented evidence that online-based treatments such as the DMHSs can be cost-saving. In particular, the report highlighted that “</w:t>
      </w:r>
      <w:proofErr w:type="spellStart"/>
      <w:r w:rsidRPr="00457191">
        <w:rPr>
          <w:rFonts w:asciiTheme="minorHAnsi" w:hAnsiTheme="minorHAnsi" w:cstheme="minorHAnsi"/>
          <w:iCs/>
          <w:sz w:val="21"/>
          <w:szCs w:val="21"/>
        </w:rPr>
        <w:t>MindSpot</w:t>
      </w:r>
      <w:proofErr w:type="spellEnd"/>
      <w:r w:rsidRPr="00457191">
        <w:rPr>
          <w:rFonts w:asciiTheme="minorHAnsi" w:hAnsiTheme="minorHAnsi" w:cstheme="minorHAnsi"/>
          <w:iCs/>
          <w:sz w:val="21"/>
          <w:szCs w:val="21"/>
        </w:rPr>
        <w:t xml:space="preserve"> treatment for people with mild to moderate symptoms of depression and anxiety costed less than the comparison group (minimum adequate treatment in usual routine care) with an increase in quality-adjusted life years.”</w:t>
      </w:r>
    </w:p>
    <w:p w14:paraId="056262B7" w14:textId="57FA77EE" w:rsidR="00EE6CD2" w:rsidRPr="00457191" w:rsidRDefault="00EE6CD2" w:rsidP="00EE6CD2">
      <w:pPr>
        <w:spacing w:after="240"/>
        <w:rPr>
          <w:rFonts w:asciiTheme="minorHAnsi" w:hAnsiTheme="minorHAnsi" w:cstheme="minorHAnsi"/>
          <w:iCs/>
          <w:sz w:val="21"/>
          <w:szCs w:val="21"/>
        </w:rPr>
      </w:pPr>
      <w:r w:rsidRPr="00457191">
        <w:rPr>
          <w:rFonts w:asciiTheme="minorHAnsi" w:hAnsiTheme="minorHAnsi" w:cstheme="minorHAnsi"/>
          <w:iCs/>
          <w:sz w:val="21"/>
          <w:szCs w:val="21"/>
        </w:rPr>
        <w:t>Our results support findings from the meta-review we conducted as part of the evaluation and are also consistent with previously published international evidence, including systematic reviews and meta-analyses.</w:t>
      </w:r>
      <w:r w:rsidRPr="00457191">
        <w:rPr>
          <w:rFonts w:asciiTheme="minorHAnsi" w:hAnsiTheme="minorHAnsi" w:cstheme="minorHAnsi"/>
          <w:iCs/>
          <w:sz w:val="21"/>
          <w:szCs w:val="21"/>
        </w:rPr>
        <w:fldChar w:fldCharType="begin">
          <w:fldData xml:space="preserve">PEVuZE5vdGU+PENpdGU+PEF1dGhvcj5IZWRtYW48L0F1dGhvcj48WWVhcj4yMDEyPC9ZZWFyPjxS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==
</w:fldData>
        </w:fldChar>
      </w:r>
      <w:r w:rsidR="004469A2">
        <w:rPr>
          <w:rFonts w:asciiTheme="minorHAnsi" w:hAnsiTheme="minorHAnsi" w:cstheme="minorHAnsi"/>
          <w:iCs/>
          <w:sz w:val="21"/>
          <w:szCs w:val="21"/>
        </w:rPr>
        <w:instrText xml:space="preserve"> ADDIN EN.CITE </w:instrText>
      </w:r>
      <w:r w:rsidR="004469A2">
        <w:rPr>
          <w:rFonts w:asciiTheme="minorHAnsi" w:hAnsiTheme="minorHAnsi" w:cstheme="minorHAnsi"/>
          <w:iCs/>
          <w:sz w:val="21"/>
          <w:szCs w:val="21"/>
        </w:rPr>
        <w:fldChar w:fldCharType="begin">
          <w:fldData xml:space="preserve">PEVuZE5vdGU+PENpdGU+PEF1dGhvcj5IZWRtYW48L0F1dGhvcj48WWVhcj4yMDEyPC9ZZWFyPjxS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==
</w:fldData>
        </w:fldChar>
      </w:r>
      <w:r w:rsidR="004469A2">
        <w:rPr>
          <w:rFonts w:asciiTheme="minorHAnsi" w:hAnsiTheme="minorHAnsi" w:cstheme="minorHAnsi"/>
          <w:iCs/>
          <w:sz w:val="21"/>
          <w:szCs w:val="21"/>
        </w:rPr>
        <w:instrText xml:space="preserve"> ADDIN EN.CITE.DATA </w:instrText>
      </w:r>
      <w:r w:rsidR="004469A2">
        <w:rPr>
          <w:rFonts w:asciiTheme="minorHAnsi" w:hAnsiTheme="minorHAnsi" w:cstheme="minorHAnsi"/>
          <w:iCs/>
          <w:sz w:val="21"/>
          <w:szCs w:val="21"/>
        </w:rPr>
      </w:r>
      <w:r w:rsidR="004469A2">
        <w:rPr>
          <w:rFonts w:asciiTheme="minorHAnsi" w:hAnsiTheme="minorHAnsi" w:cstheme="minorHAnsi"/>
          <w:iCs/>
          <w:sz w:val="21"/>
          <w:szCs w:val="21"/>
        </w:rPr>
        <w:fldChar w:fldCharType="end"/>
      </w:r>
      <w:r w:rsidRPr="00457191">
        <w:rPr>
          <w:rFonts w:asciiTheme="minorHAnsi" w:hAnsiTheme="minorHAnsi" w:cstheme="minorHAnsi"/>
          <w:iCs/>
          <w:sz w:val="21"/>
          <w:szCs w:val="21"/>
        </w:rPr>
      </w:r>
      <w:r w:rsidRPr="00457191">
        <w:rPr>
          <w:rFonts w:asciiTheme="minorHAnsi" w:hAnsiTheme="minorHAnsi" w:cstheme="minorHAnsi"/>
          <w:iCs/>
          <w:sz w:val="21"/>
          <w:szCs w:val="21"/>
        </w:rPr>
        <w:fldChar w:fldCharType="separate"/>
      </w:r>
      <w:r w:rsidR="004469A2" w:rsidRPr="004469A2">
        <w:rPr>
          <w:rFonts w:asciiTheme="minorHAnsi" w:hAnsiTheme="minorHAnsi" w:cstheme="minorHAnsi"/>
          <w:iCs/>
          <w:noProof/>
          <w:sz w:val="21"/>
          <w:szCs w:val="21"/>
          <w:vertAlign w:val="superscript"/>
        </w:rPr>
        <w:t>16-19</w:t>
      </w:r>
      <w:r w:rsidRPr="00457191">
        <w:rPr>
          <w:rFonts w:asciiTheme="minorHAnsi" w:hAnsiTheme="minorHAnsi" w:cstheme="minorHAnsi"/>
          <w:iCs/>
          <w:sz w:val="21"/>
          <w:szCs w:val="21"/>
        </w:rPr>
        <w:fldChar w:fldCharType="end"/>
      </w:r>
      <w:r w:rsidRPr="00457191">
        <w:rPr>
          <w:rFonts w:asciiTheme="minorHAnsi" w:hAnsiTheme="minorHAnsi" w:cstheme="minorHAnsi"/>
          <w:iCs/>
          <w:sz w:val="21"/>
          <w:szCs w:val="21"/>
        </w:rPr>
        <w:t xml:space="preserve"> For example, </w:t>
      </w:r>
      <w:r w:rsidRPr="00457191">
        <w:rPr>
          <w:rFonts w:asciiTheme="minorHAnsi" w:hAnsiTheme="minorHAnsi" w:cstheme="minorHAnsi"/>
          <w:sz w:val="21"/>
          <w:szCs w:val="21"/>
        </w:rPr>
        <w:t>the most recent systematic review on the economic evaluations of digital mental health interventions for anxiety and depressive disorders found 81% of the included studies concluded that the interventions evaluated were cost-effective compared to their respective control condition (e.g., treatment as usual, waitlist, another online intervention).</w:t>
      </w:r>
      <w:r w:rsidRPr="00457191">
        <w:rPr>
          <w:rFonts w:asciiTheme="minorHAnsi" w:hAnsiTheme="minorHAnsi" w:cstheme="minorHAnsi"/>
          <w:sz w:val="21"/>
          <w:szCs w:val="21"/>
        </w:rPr>
        <w:fldChar w:fldCharType="begin"/>
      </w:r>
      <w:r w:rsidR="004469A2">
        <w:rPr>
          <w:rFonts w:asciiTheme="minorHAnsi" w:hAnsiTheme="minorHAnsi" w:cstheme="minorHAnsi"/>
          <w:sz w:val="21"/>
          <w:szCs w:val="21"/>
        </w:rPr>
        <w:instrText xml:space="preserve"> ADDIN EN.CITE &lt;EndNote&gt;&lt;Cite&gt;&lt;Author&gt;Mitchell&lt;/Author&gt;&lt;Year&gt;2021&lt;/Year&gt;&lt;RecNum&gt;63&lt;/RecNum&gt;&lt;DisplayText&gt;&lt;style face="superscript"&gt;20&lt;/style&gt;&lt;/DisplayText&gt;&lt;record&gt;&lt;rec-number&gt;63&lt;/rec-number&gt;&lt;foreign-keys&gt;&lt;key app="EN" db-id="dawtr0zrkrzfa5edzzlpe2we0xa00t90vvr2" timestamp="1630903631"&gt;63&lt;/key&gt;&lt;/foreign-keys&gt;&lt;ref-type name="Journal Article"&gt;17&lt;/ref-type&gt;&lt;contributors&gt;&lt;authors&gt;&lt;author&gt;Mitchell, Lauren M.&lt;/author&gt;&lt;author&gt;Joshi, Udita&lt;/author&gt;&lt;author&gt;Patel, Vikram&lt;/author&gt;&lt;author&gt;Lu, Chunling&lt;/author&gt;&lt;author&gt;Naslund, John A.&lt;/author&gt;&lt;/authors&gt;&lt;/contributors&gt;&lt;titles&gt;&lt;title&gt;Economic Evaluations of Internet-Based Psychological Interventions for Anxiety Disorders and Depression: A Systematic Review&lt;/title&gt;&lt;secondary-title&gt;Journal of Affective Disorders&lt;/secondary-title&gt;&lt;/titles&gt;&lt;periodical&gt;&lt;full-title&gt;Journal of Affective Disorders&lt;/full-title&gt;&lt;/periodical&gt;&lt;pages&gt;157-182&lt;/pages&gt;&lt;volume&gt;284&lt;/volume&gt;&lt;dates&gt;&lt;year&gt;2021&lt;/year&gt;&lt;pub-dates&gt;&lt;date&gt;2021/04/01/&lt;/date&gt;&lt;/pub-dates&gt;&lt;/dates&gt;&lt;isbn&gt;0165-0327&lt;/isbn&gt;&lt;urls&gt;&lt;related-urls&gt;&lt;url&gt;https://www.sciencedirect.com/science/article/pii/S0165032721001336&lt;/url&gt;&lt;/related-urls&gt;&lt;/urls&gt;&lt;electronic-resource-num&gt;https://doi.org/10.1016/j.jad.2021.01.092&lt;/electronic-resource-num&gt;&lt;/record&gt;&lt;/Cite&gt;&lt;/EndNote&gt;</w:instrText>
      </w:r>
      <w:r w:rsidRPr="00457191">
        <w:rPr>
          <w:rFonts w:asciiTheme="minorHAnsi" w:hAnsiTheme="minorHAnsi" w:cstheme="minorHAnsi"/>
          <w:sz w:val="21"/>
          <w:szCs w:val="21"/>
        </w:rPr>
        <w:fldChar w:fldCharType="separate"/>
      </w:r>
      <w:r w:rsidR="004469A2" w:rsidRPr="004469A2">
        <w:rPr>
          <w:rFonts w:asciiTheme="minorHAnsi" w:hAnsiTheme="minorHAnsi" w:cstheme="minorHAnsi"/>
          <w:noProof/>
          <w:sz w:val="21"/>
          <w:szCs w:val="21"/>
          <w:vertAlign w:val="superscript"/>
        </w:rPr>
        <w:t>20</w:t>
      </w:r>
      <w:r w:rsidRPr="00457191">
        <w:rPr>
          <w:rFonts w:asciiTheme="minorHAnsi" w:hAnsiTheme="minorHAnsi" w:cstheme="minorHAnsi"/>
          <w:sz w:val="21"/>
          <w:szCs w:val="21"/>
        </w:rPr>
        <w:fldChar w:fldCharType="end"/>
      </w:r>
      <w:r w:rsidRPr="00457191">
        <w:rPr>
          <w:rFonts w:asciiTheme="minorHAnsi" w:hAnsiTheme="minorHAnsi" w:cstheme="minorHAnsi"/>
          <w:sz w:val="21"/>
          <w:szCs w:val="21"/>
        </w:rPr>
        <w:t xml:space="preserve"> In addition, there were several studies based in Australia that have reported the cost-effectiveness of digital-based mental health treatments for older </w:t>
      </w:r>
      <w:proofErr w:type="spellStart"/>
      <w:r w:rsidRPr="00457191">
        <w:rPr>
          <w:rFonts w:asciiTheme="minorHAnsi" w:hAnsiTheme="minorHAnsi" w:cstheme="minorHAnsi"/>
          <w:sz w:val="21"/>
          <w:szCs w:val="21"/>
        </w:rPr>
        <w:t>older</w:t>
      </w:r>
      <w:proofErr w:type="spellEnd"/>
      <w:r w:rsidRPr="00457191">
        <w:rPr>
          <w:rFonts w:asciiTheme="minorHAnsi" w:hAnsiTheme="minorHAnsi" w:cstheme="minorHAnsi"/>
          <w:sz w:val="21"/>
          <w:szCs w:val="21"/>
        </w:rPr>
        <w:t xml:space="preserve"> adults with depression and anxiety symptoms when compared to a delayed-treatment waitlist control group.</w:t>
      </w:r>
      <w:r w:rsidRPr="00457191">
        <w:rPr>
          <w:rFonts w:asciiTheme="minorHAnsi" w:hAnsiTheme="minorHAnsi" w:cstheme="minorHAnsi"/>
          <w:sz w:val="21"/>
          <w:szCs w:val="21"/>
        </w:rPr>
        <w:fldChar w:fldCharType="begin">
          <w:fldData xml:space="preserve">PEVuZE5vdGU+PENpdGU+PEF1dGhvcj5EZWFyPC9BdXRob3I+PFllYXI+MjAxNTwvWWVhcj48UmVj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</w:fldData>
        </w:fldChar>
      </w:r>
      <w:r w:rsidR="004469A2">
        <w:rPr>
          <w:rFonts w:asciiTheme="minorHAnsi" w:hAnsiTheme="minorHAnsi" w:cstheme="minorHAnsi"/>
          <w:sz w:val="21"/>
          <w:szCs w:val="21"/>
        </w:rPr>
        <w:instrText xml:space="preserve"> ADDIN EN.CITE </w:instrText>
      </w:r>
      <w:r w:rsidR="004469A2">
        <w:rPr>
          <w:rFonts w:asciiTheme="minorHAnsi" w:hAnsiTheme="minorHAnsi" w:cstheme="minorHAnsi"/>
          <w:sz w:val="21"/>
          <w:szCs w:val="21"/>
        </w:rPr>
        <w:fldChar w:fldCharType="begin">
          <w:fldData xml:space="preserve">PEVuZE5vdGU+PENpdGU+PEF1dGhvcj5EZWFyPC9BdXRob3I+PFllYXI+MjAxNTwvWWVhcj48UmVj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</w:fldData>
        </w:fldChar>
      </w:r>
      <w:r w:rsidR="004469A2">
        <w:rPr>
          <w:rFonts w:asciiTheme="minorHAnsi" w:hAnsiTheme="minorHAnsi" w:cstheme="minorHAnsi"/>
          <w:sz w:val="21"/>
          <w:szCs w:val="21"/>
        </w:rPr>
        <w:instrText xml:space="preserve"> ADDIN EN.CITE.DATA </w:instrText>
      </w:r>
      <w:r w:rsidR="004469A2">
        <w:rPr>
          <w:rFonts w:asciiTheme="minorHAnsi" w:hAnsiTheme="minorHAnsi" w:cstheme="minorHAnsi"/>
          <w:sz w:val="21"/>
          <w:szCs w:val="21"/>
        </w:rPr>
      </w:r>
      <w:r w:rsidR="004469A2">
        <w:rPr>
          <w:rFonts w:asciiTheme="minorHAnsi" w:hAnsiTheme="minorHAnsi" w:cstheme="minorHAnsi"/>
          <w:sz w:val="21"/>
          <w:szCs w:val="21"/>
        </w:rPr>
        <w:fldChar w:fldCharType="end"/>
      </w:r>
      <w:r w:rsidRPr="00457191">
        <w:rPr>
          <w:rFonts w:asciiTheme="minorHAnsi" w:hAnsiTheme="minorHAnsi" w:cstheme="minorHAnsi"/>
          <w:sz w:val="21"/>
          <w:szCs w:val="21"/>
        </w:rPr>
      </w:r>
      <w:r w:rsidRPr="00457191">
        <w:rPr>
          <w:rFonts w:asciiTheme="minorHAnsi" w:hAnsiTheme="minorHAnsi" w:cstheme="minorHAnsi"/>
          <w:sz w:val="21"/>
          <w:szCs w:val="21"/>
        </w:rPr>
        <w:fldChar w:fldCharType="separate"/>
      </w:r>
      <w:r w:rsidR="004469A2" w:rsidRPr="004469A2">
        <w:rPr>
          <w:rFonts w:asciiTheme="minorHAnsi" w:hAnsiTheme="minorHAnsi" w:cstheme="minorHAnsi"/>
          <w:noProof/>
          <w:sz w:val="21"/>
          <w:szCs w:val="21"/>
          <w:vertAlign w:val="superscript"/>
        </w:rPr>
        <w:t>21, 22</w:t>
      </w:r>
      <w:r w:rsidRPr="00457191">
        <w:rPr>
          <w:rFonts w:asciiTheme="minorHAnsi" w:hAnsiTheme="minorHAnsi" w:cstheme="minorHAnsi"/>
          <w:sz w:val="21"/>
          <w:szCs w:val="21"/>
        </w:rPr>
        <w:fldChar w:fldCharType="end"/>
      </w:r>
    </w:p>
    <w:p w14:paraId="2A71AD12" w14:textId="54BFDD15" w:rsidR="00EE6CD2" w:rsidRPr="00457191" w:rsidRDefault="00EE6CD2" w:rsidP="00EE6CD2">
      <w:pPr>
        <w:spacing w:after="240"/>
        <w:rPr>
          <w:rFonts w:asciiTheme="minorHAnsi" w:hAnsiTheme="minorHAnsi" w:cstheme="minorHAnsi"/>
          <w:iCs/>
          <w:sz w:val="21"/>
          <w:szCs w:val="21"/>
        </w:rPr>
      </w:pPr>
      <w:r w:rsidRPr="00457191">
        <w:rPr>
          <w:rFonts w:asciiTheme="minorHAnsi" w:hAnsiTheme="minorHAnsi" w:cstheme="minorHAnsi"/>
          <w:iCs/>
          <w:sz w:val="21"/>
          <w:szCs w:val="21"/>
        </w:rPr>
        <w:t>Our economic evaluation of DMHSs involved constructing a simple decision tree model with four health states (fully recovered, partially recovered, no improvement, deteriorated) for people with either depression and/or anxiety symptoms. In addition to QALY gains, the provision of DMHSs also led to considerable improvement in health states for individuals. Using just one of the DMHSs as an example, our modelling results suggest that an additional 3,580 fully recovered and 1,582 partially recovered cases were achieved from therapist-supported treatment by THIS WAY UP compared to usual care. There are also likely to be economies of scale in the service provision by the DMHSs as evidenced by their generally lower cost of assessment per individual (ranging from $1.10 to $113.30) compared to a standard face-to-face assessment with a psychologist ($154 per visit based on the Australian Psychological Society National Schedule of Recommended Fees or $110 per visit based on Medicare Benefit Schedule fee).</w:t>
      </w:r>
      <w:r w:rsidRPr="00457191">
        <w:rPr>
          <w:rFonts w:asciiTheme="minorHAnsi" w:hAnsiTheme="minorHAnsi" w:cstheme="minorHAnsi"/>
          <w:iCs/>
          <w:sz w:val="21"/>
          <w:szCs w:val="21"/>
        </w:rPr>
        <w:fldChar w:fldCharType="begin"/>
      </w:r>
      <w:r w:rsidR="004469A2">
        <w:rPr>
          <w:rFonts w:asciiTheme="minorHAnsi" w:hAnsiTheme="minorHAnsi" w:cstheme="minorHAnsi"/>
          <w:iCs/>
          <w:sz w:val="21"/>
          <w:szCs w:val="21"/>
        </w:rPr>
        <w:instrText xml:space="preserve"> ADDIN EN.CITE &lt;EndNote&gt;&lt;Cite&gt;&lt;Author&gt;Australian Government&lt;/Author&gt;&lt;Year&gt;2021&lt;/Year&gt;&lt;RecNum&gt;161&lt;/RecNum&gt;&lt;DisplayText&gt;&lt;style face="superscript"&gt;23&lt;/style&gt;&lt;/DisplayText&gt;&lt;record&gt;&lt;rec-number&gt;161&lt;/rec-number&gt;&lt;foreign-keys&gt;&lt;key app="EN" db-id="dawtr0zrkrzfa5edzzlpe2we0xa00t90vvr2" timestamp="1654857346"&gt;161&lt;/key&gt;&lt;/foreign-keys&gt;&lt;ref-type name="Web Page"&gt;12&lt;/ref-type&gt;&lt;contributors&gt;&lt;authors&gt;&lt;author&gt;Australian Government,&lt;/author&gt;&lt;/authors&gt;&lt;/contributors&gt;&lt;titles&gt;&lt;title&gt;Medicare Australia Statistics, Medicare Item Reports 2021&lt;/title&gt;&lt;/titles&gt;&lt;volume&gt;2022&lt;/volume&gt;&lt;number&gt;17 May 2022&lt;/number&gt;&lt;dates&gt;&lt;year&gt;2021&lt;/year&gt;&lt;/dates&gt;&lt;publisher&gt;Australian Government&lt;/publisher&gt;&lt;urls&gt;&lt;related-urls&gt;&lt;url&gt;http://medicarestatistics.humanservices.gov.au/statistics/mbs_item.jsp.&lt;/url&gt;&lt;/related-urls&gt;&lt;/urls&gt;&lt;/record&gt;&lt;/Cite&gt;&lt;/EndNote&gt;</w:instrText>
      </w:r>
      <w:r w:rsidRPr="00457191">
        <w:rPr>
          <w:rFonts w:asciiTheme="minorHAnsi" w:hAnsiTheme="minorHAnsi" w:cstheme="minorHAnsi"/>
          <w:iCs/>
          <w:sz w:val="21"/>
          <w:szCs w:val="21"/>
        </w:rPr>
        <w:fldChar w:fldCharType="separate"/>
      </w:r>
      <w:r w:rsidR="004469A2" w:rsidRPr="004469A2">
        <w:rPr>
          <w:rFonts w:asciiTheme="minorHAnsi" w:hAnsiTheme="minorHAnsi" w:cstheme="minorHAnsi"/>
          <w:iCs/>
          <w:noProof/>
          <w:sz w:val="21"/>
          <w:szCs w:val="21"/>
          <w:vertAlign w:val="superscript"/>
        </w:rPr>
        <w:t>23</w:t>
      </w:r>
      <w:r w:rsidRPr="00457191">
        <w:rPr>
          <w:rFonts w:asciiTheme="minorHAnsi" w:hAnsiTheme="minorHAnsi" w:cstheme="minorHAnsi"/>
          <w:iCs/>
          <w:sz w:val="21"/>
          <w:szCs w:val="21"/>
        </w:rPr>
        <w:fldChar w:fldCharType="end"/>
      </w:r>
    </w:p>
    <w:p w14:paraId="660953EB" w14:textId="77777777" w:rsidR="00EE6CD2" w:rsidRPr="00457191" w:rsidRDefault="00EE6CD2" w:rsidP="00EE6CD2">
      <w:pPr>
        <w:spacing w:after="240"/>
        <w:rPr>
          <w:rFonts w:asciiTheme="minorHAnsi" w:hAnsiTheme="minorHAnsi" w:cstheme="minorHAnsi"/>
          <w:iCs/>
          <w:sz w:val="21"/>
          <w:szCs w:val="21"/>
        </w:rPr>
      </w:pPr>
      <w:r w:rsidRPr="00457191">
        <w:rPr>
          <w:rFonts w:asciiTheme="minorHAnsi" w:hAnsiTheme="minorHAnsi" w:cstheme="minorHAnsi"/>
          <w:iCs/>
          <w:sz w:val="21"/>
          <w:szCs w:val="21"/>
        </w:rPr>
        <w:lastRenderedPageBreak/>
        <w:t>The relatively low cost of implementing the DMHSs is indicative of the efficiency of funding and resource use by these services. Consumers also incurred little to no cost when accessing the services offered by the DMHSs, thus, improving the affordability of mental health treatment. Low-cost therapist-supported online treatment provides an alternative to consumers who may not be able to afford the out-of-pocket costs associated with regular face-to-face consultations.</w:t>
      </w:r>
    </w:p>
    <w:p w14:paraId="0EE54A0C" w14:textId="77777777" w:rsidR="00EE6CD2" w:rsidRPr="00457191" w:rsidRDefault="00EE6CD2" w:rsidP="00EE6CD2">
      <w:pPr>
        <w:spacing w:after="240"/>
        <w:rPr>
          <w:rStyle w:val="eop"/>
          <w:rFonts w:asciiTheme="minorHAnsi" w:hAnsiTheme="minorHAnsi" w:cstheme="minorHAnsi"/>
          <w:sz w:val="21"/>
          <w:szCs w:val="21"/>
        </w:rPr>
      </w:pPr>
      <w:r w:rsidRPr="00457191">
        <w:rPr>
          <w:rFonts w:asciiTheme="minorHAnsi" w:hAnsiTheme="minorHAnsi" w:cstheme="minorHAnsi"/>
          <w:sz w:val="21"/>
          <w:szCs w:val="21"/>
        </w:rPr>
        <w:t xml:space="preserve">Overall, our modelled economic evaluation analysis has shown that the provision of diverse online mental health treatment services (i.e., Mental Health Online, </w:t>
      </w:r>
      <w:proofErr w:type="spellStart"/>
      <w:r w:rsidRPr="00457191">
        <w:rPr>
          <w:rFonts w:asciiTheme="minorHAnsi" w:hAnsiTheme="minorHAnsi" w:cstheme="minorHAnsi"/>
          <w:sz w:val="21"/>
          <w:szCs w:val="21"/>
        </w:rPr>
        <w:t>MindSpot</w:t>
      </w:r>
      <w:proofErr w:type="spellEnd"/>
      <w:r w:rsidRPr="00457191">
        <w:rPr>
          <w:rFonts w:asciiTheme="minorHAnsi" w:hAnsiTheme="minorHAnsi" w:cstheme="minorHAnsi"/>
          <w:sz w:val="21"/>
          <w:szCs w:val="21"/>
        </w:rPr>
        <w:t>, THIS WAY UP) is generally low-cost and likely cost effective. When considered together with the findings from our previous two-stage pragmatic review of local and international evidence, there is good evidence to suggest that treatment delivered by these online-based services is likely to be cost-effective compared with usual care across different settings, population groups and policy contexts. Therefore, in addition to improving clinical outcomes, DMHSs have the potential to be good value for money.</w:t>
      </w:r>
    </w:p>
    <w:p w14:paraId="0D566283" w14:textId="77777777" w:rsidR="00EE6CD2" w:rsidRPr="00D45798" w:rsidRDefault="00EE6CD2" w:rsidP="004D507F">
      <w:pPr>
        <w:pStyle w:val="Heading2"/>
        <w:numPr>
          <w:ilvl w:val="0"/>
          <w:numId w:val="0"/>
        </w:numPr>
        <w:spacing w:after="240"/>
        <w:rPr>
          <w:rFonts w:asciiTheme="minorHAnsi" w:hAnsiTheme="minorHAnsi" w:cstheme="minorHAnsi"/>
          <w:sz w:val="24"/>
          <w:szCs w:val="24"/>
        </w:rPr>
      </w:pPr>
      <w:bookmarkStart w:id="22" w:name="_Toc108782907"/>
      <w:bookmarkStart w:id="23" w:name="_Toc108784817"/>
      <w:r w:rsidRPr="00D45798">
        <w:rPr>
          <w:rFonts w:asciiTheme="minorHAnsi" w:hAnsiTheme="minorHAnsi" w:cstheme="minorHAnsi"/>
          <w:sz w:val="24"/>
          <w:szCs w:val="24"/>
        </w:rPr>
        <w:t>KEQ 4: How effective are supported online mental health treatment services for consumers and health providers?</w:t>
      </w:r>
      <w:bookmarkEnd w:id="22"/>
      <w:bookmarkEnd w:id="23"/>
    </w:p>
    <w:p w14:paraId="460DFF40"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Data from our stakeholder consultations contribute to addressing KEQ 4. Specifically, stakeholders consulted included DMHS consumers and providers; people with lived experience of mental health problems and additional health professionals (with or without experience of DMHSs) and other key mental health sector representatives.</w:t>
      </w:r>
    </w:p>
    <w:p w14:paraId="220614EA" w14:textId="77777777" w:rsidR="00EE6CD2" w:rsidRPr="00D45798" w:rsidRDefault="00EE6CD2" w:rsidP="004D507F">
      <w:pPr>
        <w:pStyle w:val="Heading3"/>
        <w:numPr>
          <w:ilvl w:val="0"/>
          <w:numId w:val="0"/>
        </w:numPr>
        <w:ind w:left="142" w:hanging="142"/>
        <w:rPr>
          <w:sz w:val="22"/>
          <w:szCs w:val="22"/>
        </w:rPr>
      </w:pPr>
      <w:r w:rsidRPr="00D45798">
        <w:rPr>
          <w:sz w:val="22"/>
          <w:szCs w:val="22"/>
        </w:rPr>
        <w:t>Consumer access enablers and barriers</w:t>
      </w:r>
    </w:p>
    <w:p w14:paraId="5E5D269A"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Enablers to consumer access mentioned by people with lived experience of mental health problems related to the digital nature of service delivery and benefits conferred by the therapist support component (Section 7).</w:t>
      </w:r>
    </w:p>
    <w:p w14:paraId="369EDABB"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 xml:space="preserve">The modality of service delivery was thought to provide more timely access, reduce waitlists for face-to-face services, and be particularly useful for groups who may struggle to access other services, such as people with disabilities or people in rural areas with </w:t>
      </w:r>
      <w:proofErr w:type="gramStart"/>
      <w:r w:rsidRPr="00457191">
        <w:rPr>
          <w:rFonts w:asciiTheme="minorHAnsi" w:hAnsiTheme="minorHAnsi" w:cstheme="minorHAnsi"/>
        </w:rPr>
        <w:t>limited service</w:t>
      </w:r>
      <w:proofErr w:type="gramEnd"/>
      <w:r w:rsidRPr="00457191">
        <w:rPr>
          <w:rFonts w:asciiTheme="minorHAnsi" w:hAnsiTheme="minorHAnsi" w:cstheme="minorHAnsi"/>
        </w:rPr>
        <w:t xml:space="preserve"> availability. Not needing to travel to appointments, and the additional layer of safety during the COVID-19 pandemic were also mentioned as key to the accessibility DMHSs offered. Similarly, DMHS consumer and provider stakeholders indicated that DMHS services reduce barriers to care by improving access, making care affordable and convenient, and reducing waitlist and the stigma associated with mental health care (Sections 5 and 6).</w:t>
      </w:r>
    </w:p>
    <w:p w14:paraId="073A0A49"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The therapist support component was described as good for motivation and adherence to the program. Participants felt that compared with self-directed programs, having a therapist helped with comprehension of material, personalisation of content to their own needs, validation of their progress and increase accountability. Some people also commented that compared with face-to-face services, they had experienced the support offered through DMHSs to be less judgemental, which increased their comfort with seeking help. They suggested that supported DMHSs may therefore be more appealing to people who would not normally seek help from face-to-face services.</w:t>
      </w:r>
    </w:p>
    <w:p w14:paraId="58A93788"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 xml:space="preserve">The most common barriers to people using supported DMHSs were related to the modality of service delivery: lack of technology and/or internet access and challenges in digital or internet literacy. Some people also thought that, compared with face-to-face services, supported DMHSs were impersonal and made it difficult to establish rapport. This was particularly thought to be an issue for marginalised communities for whom strong relationships may be core to success, and the lack of peer-led services was noted here. </w:t>
      </w:r>
    </w:p>
    <w:p w14:paraId="6EC45244"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 xml:space="preserve">The other major barrier discussed was the complexity of the sites. Participants expressed concern about the amount of text on the sites, and challenges with navigation, particularly for people with low literacy or English as a second language. Although the support to access the sites and understand material was one of the main strengths, concern was expressed about service users with literacy or language </w:t>
      </w:r>
      <w:r w:rsidRPr="00457191">
        <w:rPr>
          <w:rFonts w:asciiTheme="minorHAnsi" w:hAnsiTheme="minorHAnsi" w:cstheme="minorHAnsi"/>
        </w:rPr>
        <w:lastRenderedPageBreak/>
        <w:t>challenges being the most likely to experience the technology and relationship barriers, and therefore less likely to benefit from the supported aspect of the sites.</w:t>
      </w:r>
    </w:p>
    <w:p w14:paraId="7C94F030"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 xml:space="preserve">The final key barrier related to lived experience and other stakeholder perceptions about the suitability and effectiveness of DMHSs for certain groups (Sections 5-9), including a lack of trust in DMHSs and privacy concerns. For example, lived experience stakeholders thought that supported DMHSs were more likely to be suitable for young people, and were possibly an effective solution for groups facing access issues such as where there may be a shortage of other specialist help, or for those with stigma for help-seeking. Finally, in response to our questions about the suitability of DMHSs for certain groups and mental health symptom severity, all stakeholder groups that DMHSs are not suitable for people with severe symptoms or complex needs, nor were these services suitable for crisis support. They also expressed that DMHSs did not adequately cater to the needs of several minority or disadvantaged groups such as Indigenous peoples, people from CALD backgrounds and </w:t>
      </w:r>
      <w:r w:rsidRPr="00457191">
        <w:rPr>
          <w:rFonts w:asciiTheme="minorHAnsi" w:hAnsiTheme="minorHAnsi" w:cstheme="minorHAnsi"/>
          <w:lang w:eastAsia="en-AU"/>
        </w:rPr>
        <w:t>LGBTQIA+</w:t>
      </w:r>
      <w:r w:rsidRPr="00457191">
        <w:rPr>
          <w:rFonts w:asciiTheme="minorHAnsi" w:hAnsiTheme="minorHAnsi" w:cstheme="minorHAnsi"/>
        </w:rPr>
        <w:t xml:space="preserve"> people. Another view articulated by a several key mental health sector representatives was that self-directed DMHSs may be too simplistic, not provide enough accountability or simply have unknown or minimal effects.</w:t>
      </w:r>
    </w:p>
    <w:p w14:paraId="78CF5A72"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The other stakeholder groups echoed these sentiments about enablers and barriers to varying extents (Sections 5, 6, 8 and 9).</w:t>
      </w:r>
    </w:p>
    <w:p w14:paraId="45CDAEBD" w14:textId="77777777" w:rsidR="00EE6CD2" w:rsidRPr="00D45798" w:rsidRDefault="00EE6CD2" w:rsidP="004D507F">
      <w:pPr>
        <w:pStyle w:val="Heading3"/>
        <w:numPr>
          <w:ilvl w:val="0"/>
          <w:numId w:val="0"/>
        </w:numPr>
        <w:ind w:left="142" w:hanging="142"/>
        <w:rPr>
          <w:sz w:val="22"/>
          <w:szCs w:val="22"/>
        </w:rPr>
      </w:pPr>
      <w:r w:rsidRPr="00D45798">
        <w:rPr>
          <w:sz w:val="22"/>
          <w:szCs w:val="22"/>
        </w:rPr>
        <w:t>Improving consumer access and use</w:t>
      </w:r>
    </w:p>
    <w:p w14:paraId="7EB57514" w14:textId="77777777" w:rsidR="00EE6CD2" w:rsidRPr="00457191" w:rsidRDefault="00EE6CD2" w:rsidP="00EE6CD2">
      <w:pPr>
        <w:spacing w:after="240"/>
        <w:rPr>
          <w:rFonts w:asciiTheme="minorHAnsi" w:hAnsiTheme="minorHAnsi" w:cstheme="minorHAnsi"/>
          <w:color w:val="000000" w:themeColor="text1"/>
          <w:sz w:val="21"/>
          <w:szCs w:val="21"/>
        </w:rPr>
      </w:pPr>
      <w:r w:rsidRPr="00457191">
        <w:rPr>
          <w:rFonts w:asciiTheme="minorHAnsi" w:hAnsiTheme="minorHAnsi" w:cstheme="minorHAnsi"/>
          <w:color w:val="000000" w:themeColor="text1"/>
          <w:sz w:val="21"/>
          <w:szCs w:val="21"/>
        </w:rPr>
        <w:t xml:space="preserve">DMHS providers and key mental health sector representatives made several recommendations for improving consumer access and use of DMHSs (Sections 6 and 9). At a policy level, stakeholders called for policy to promote and raise community and mental health sector awareness, </w:t>
      </w:r>
      <w:r w:rsidRPr="00457191">
        <w:rPr>
          <w:rFonts w:asciiTheme="minorHAnsi" w:hAnsiTheme="minorHAnsi" w:cstheme="minorHAnsi"/>
          <w:sz w:val="21"/>
          <w:szCs w:val="21"/>
        </w:rPr>
        <w:t>communicate intended outcomes for sector, train the workforce and unite efforts</w:t>
      </w:r>
      <w:r w:rsidRPr="00457191">
        <w:rPr>
          <w:rFonts w:asciiTheme="minorHAnsi" w:hAnsiTheme="minorHAnsi" w:cstheme="minorHAnsi"/>
          <w:color w:val="000000" w:themeColor="text1"/>
          <w:sz w:val="21"/>
          <w:szCs w:val="21"/>
        </w:rPr>
        <w:t xml:space="preserve">. Related to this, they articulated that Government funding is critical </w:t>
      </w:r>
      <w:r w:rsidRPr="00457191">
        <w:rPr>
          <w:rFonts w:asciiTheme="minorHAnsi" w:hAnsiTheme="minorHAnsi" w:cstheme="minorHAnsi"/>
          <w:sz w:val="21"/>
          <w:szCs w:val="21"/>
        </w:rPr>
        <w:t xml:space="preserve">for ongoing service development and evaluation and ensuring that programs remain available at no or little cost to consumers (Section 9). Other suggestions involved </w:t>
      </w:r>
      <w:r w:rsidRPr="00457191">
        <w:rPr>
          <w:rFonts w:asciiTheme="minorHAnsi" w:hAnsiTheme="minorHAnsi" w:cstheme="minorHAnsi"/>
          <w:color w:val="000000" w:themeColor="text1"/>
          <w:sz w:val="21"/>
          <w:szCs w:val="21"/>
        </w:rPr>
        <w:t>centralising programs and providing consumers with access to relevant technology to ensure equity of care (Section 6).</w:t>
      </w:r>
    </w:p>
    <w:p w14:paraId="12597A1A" w14:textId="77777777" w:rsidR="00EE6CD2" w:rsidRPr="00457191" w:rsidRDefault="00EE6CD2" w:rsidP="00EE6CD2">
      <w:pPr>
        <w:spacing w:after="240"/>
        <w:rPr>
          <w:rFonts w:asciiTheme="minorHAnsi" w:hAnsiTheme="minorHAnsi" w:cstheme="minorHAnsi"/>
          <w:sz w:val="21"/>
          <w:szCs w:val="21"/>
          <w:lang w:eastAsia="en-AU"/>
        </w:rPr>
      </w:pPr>
      <w:r w:rsidRPr="00457191">
        <w:rPr>
          <w:rFonts w:asciiTheme="minorHAnsi" w:hAnsiTheme="minorHAnsi" w:cstheme="minorHAnsi"/>
          <w:sz w:val="21"/>
          <w:szCs w:val="21"/>
        </w:rPr>
        <w:t xml:space="preserve">At a service level, all stakeholders highlighted the opportunity for DMHSs to be further developed to meet the needs of a variety of populations including Indigenous peoples, people from CALD backgrounds and </w:t>
      </w:r>
      <w:r w:rsidRPr="00457191">
        <w:rPr>
          <w:rFonts w:asciiTheme="minorHAnsi" w:hAnsiTheme="minorHAnsi" w:cstheme="minorHAnsi"/>
          <w:sz w:val="21"/>
          <w:szCs w:val="21"/>
          <w:lang w:eastAsia="en-AU"/>
        </w:rPr>
        <w:t>LGBTQIA+</w:t>
      </w:r>
      <w:r w:rsidRPr="00457191">
        <w:rPr>
          <w:rFonts w:asciiTheme="minorHAnsi" w:hAnsiTheme="minorHAnsi" w:cstheme="minorHAnsi"/>
          <w:sz w:val="21"/>
          <w:szCs w:val="21"/>
        </w:rPr>
        <w:t xml:space="preserve"> people (Sections 5-9). They also mentioned rural and remote communities, but it seems likely that the focus here would be on improving access rather than necessarily adapting program content.</w:t>
      </w:r>
      <w:r w:rsidRPr="00457191">
        <w:rPr>
          <w:rFonts w:asciiTheme="minorHAnsi" w:hAnsiTheme="minorHAnsi" w:cstheme="minorHAnsi"/>
          <w:sz w:val="21"/>
          <w:szCs w:val="21"/>
          <w:lang w:eastAsia="en-AU"/>
        </w:rPr>
        <w:t xml:space="preserve"> </w:t>
      </w:r>
      <w:r w:rsidRPr="00457191">
        <w:rPr>
          <w:rFonts w:asciiTheme="minorHAnsi" w:hAnsiTheme="minorHAnsi" w:cstheme="minorHAnsi"/>
          <w:color w:val="000000" w:themeColor="text1"/>
          <w:sz w:val="21"/>
          <w:szCs w:val="21"/>
        </w:rPr>
        <w:t>DMHS providers and key mental health sector representatives</w:t>
      </w:r>
      <w:r w:rsidRPr="00457191">
        <w:rPr>
          <w:rFonts w:asciiTheme="minorHAnsi" w:hAnsiTheme="minorHAnsi" w:cstheme="minorHAnsi"/>
          <w:sz w:val="21"/>
          <w:szCs w:val="21"/>
        </w:rPr>
        <w:t xml:space="preserve"> reported that DMHSs need to continuously improve quality and care </w:t>
      </w:r>
      <w:r w:rsidRPr="00457191">
        <w:rPr>
          <w:rFonts w:asciiTheme="minorHAnsi" w:hAnsiTheme="minorHAnsi" w:cstheme="minorHAnsi"/>
          <w:sz w:val="21"/>
          <w:szCs w:val="21"/>
          <w:lang w:val="en-GB"/>
        </w:rPr>
        <w:t>by improving instep with technology advances and new innovations like artificial intelligence, expanding the evidence base, maintaining standards equivalent to face-to-face services and being responsive to consumer feedback.</w:t>
      </w:r>
      <w:r w:rsidRPr="00457191">
        <w:rPr>
          <w:rFonts w:asciiTheme="minorHAnsi" w:hAnsiTheme="minorHAnsi" w:cstheme="minorHAnsi"/>
          <w:sz w:val="21"/>
          <w:szCs w:val="21"/>
          <w:lang w:eastAsia="en-AU"/>
        </w:rPr>
        <w:t xml:space="preserve"> For example, DMHSs can </w:t>
      </w:r>
      <w:r w:rsidRPr="00457191">
        <w:rPr>
          <w:rFonts w:asciiTheme="minorHAnsi" w:hAnsiTheme="minorHAnsi" w:cstheme="minorHAnsi"/>
          <w:sz w:val="21"/>
          <w:szCs w:val="21"/>
        </w:rPr>
        <w:t>continuously improve existing platforms to suit user preferences and enable connectivity between different online systems.</w:t>
      </w:r>
    </w:p>
    <w:p w14:paraId="0DADF869"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Lived experience stakeholders provided further insights about potential service developments that fell into three main areas: accessibility, navigation and the nature of support offered (Section 7).</w:t>
      </w:r>
    </w:p>
    <w:p w14:paraId="661F9A20"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Participants emphasised the importance of these sites being visually accessible and attractive, written in clear language that is easy to understand, with a variety of content including videos and other visuals to accompany text. As one participant described it, sites need to be “comprehensive without being too overwhelming.” They wanted to see branding, medical jargon and confusing language reduced to improve clarity.</w:t>
      </w:r>
    </w:p>
    <w:p w14:paraId="6568B07D"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This extended to navigation options: participants wanted the ability to narrow content to what was most relevant to them, track their own progress and perhaps have peer support to find and use content.</w:t>
      </w:r>
    </w:p>
    <w:p w14:paraId="7C4796B4"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 xml:space="preserve">They thought that co-production/co-design with people with lived experience could improve design and language, reduce the deficit </w:t>
      </w:r>
      <w:proofErr w:type="gramStart"/>
      <w:r w:rsidRPr="00457191">
        <w:rPr>
          <w:rFonts w:asciiTheme="minorHAnsi" w:hAnsiTheme="minorHAnsi" w:cstheme="minorHAnsi"/>
        </w:rPr>
        <w:t>focus</w:t>
      </w:r>
      <w:proofErr w:type="gramEnd"/>
      <w:r w:rsidRPr="00457191">
        <w:rPr>
          <w:rFonts w:asciiTheme="minorHAnsi" w:hAnsiTheme="minorHAnsi" w:cstheme="minorHAnsi"/>
        </w:rPr>
        <w:t xml:space="preserve"> and offer hope, and assist with creating links to online and in-person </w:t>
      </w:r>
      <w:r w:rsidRPr="00457191">
        <w:rPr>
          <w:rFonts w:asciiTheme="minorHAnsi" w:hAnsiTheme="minorHAnsi" w:cstheme="minorHAnsi"/>
        </w:rPr>
        <w:lastRenderedPageBreak/>
        <w:t>communities to improve the support the sites offer. The human element was noted as important for making the sites more relevant and engaging, but participants cautioned against referring service users back to face-to-face professionals instead of providing adequate support within the DMHS.</w:t>
      </w:r>
    </w:p>
    <w:p w14:paraId="616D7BCA" w14:textId="77777777" w:rsidR="00EE6CD2" w:rsidRPr="00457191" w:rsidRDefault="00EE6CD2" w:rsidP="00EE6CD2">
      <w:pPr>
        <w:spacing w:after="240"/>
        <w:rPr>
          <w:rFonts w:asciiTheme="minorHAnsi" w:hAnsiTheme="minorHAnsi" w:cstheme="minorHAnsi"/>
          <w:sz w:val="21"/>
          <w:szCs w:val="21"/>
        </w:rPr>
      </w:pPr>
      <w:r w:rsidRPr="00457191">
        <w:rPr>
          <w:rFonts w:asciiTheme="minorHAnsi" w:hAnsiTheme="minorHAnsi" w:cstheme="minorHAnsi"/>
          <w:color w:val="000000" w:themeColor="text1"/>
          <w:sz w:val="21"/>
          <w:szCs w:val="21"/>
        </w:rPr>
        <w:t xml:space="preserve">Stakeholders voiced that more needs to be done to integrate DMHSs with the mental health system including improving awareness about the services, embedding and in-cooperating DMHSs with routine care. They stated that the health workforce needs to understand what services are available, their effectiveness and for whom they are best suited. All three DMHSs currently provide some form of workforce training – Mental Health Online provides training for provisional psychologists, </w:t>
      </w:r>
      <w:proofErr w:type="spellStart"/>
      <w:r w:rsidRPr="00457191">
        <w:rPr>
          <w:rFonts w:asciiTheme="minorHAnsi" w:hAnsiTheme="minorHAnsi" w:cstheme="minorHAnsi"/>
          <w:color w:val="000000" w:themeColor="text1"/>
          <w:sz w:val="21"/>
          <w:szCs w:val="21"/>
        </w:rPr>
        <w:t>MindSpot</w:t>
      </w:r>
      <w:proofErr w:type="spellEnd"/>
      <w:r w:rsidRPr="00457191">
        <w:rPr>
          <w:rFonts w:asciiTheme="minorHAnsi" w:hAnsiTheme="minorHAnsi" w:cstheme="minorHAnsi"/>
          <w:color w:val="000000" w:themeColor="text1"/>
          <w:sz w:val="21"/>
          <w:szCs w:val="21"/>
        </w:rPr>
        <w:t xml:space="preserve"> delivers training via the </w:t>
      </w:r>
      <w:proofErr w:type="spellStart"/>
      <w:r w:rsidRPr="00457191">
        <w:rPr>
          <w:rFonts w:asciiTheme="minorHAnsi" w:hAnsiTheme="minorHAnsi" w:cstheme="minorHAnsi"/>
          <w:color w:val="000000" w:themeColor="text1"/>
          <w:sz w:val="21"/>
          <w:szCs w:val="21"/>
        </w:rPr>
        <w:t>MindSpot</w:t>
      </w:r>
      <w:proofErr w:type="spellEnd"/>
      <w:r w:rsidRPr="00457191">
        <w:rPr>
          <w:rFonts w:asciiTheme="minorHAnsi" w:hAnsiTheme="minorHAnsi" w:cstheme="minorHAnsi"/>
          <w:color w:val="000000" w:themeColor="text1"/>
          <w:sz w:val="21"/>
          <w:szCs w:val="21"/>
        </w:rPr>
        <w:t xml:space="preserve"> Academy to interns or recent graduates to learn how to use DMHSs, THIS WAY UP offers an accredited continuing professional development (CPD) program for clinicians on integrating </w:t>
      </w:r>
      <w:proofErr w:type="spellStart"/>
      <w:r w:rsidRPr="00457191">
        <w:rPr>
          <w:rFonts w:asciiTheme="minorHAnsi" w:hAnsiTheme="minorHAnsi" w:cstheme="minorHAnsi"/>
          <w:color w:val="000000" w:themeColor="text1"/>
          <w:sz w:val="21"/>
          <w:szCs w:val="21"/>
        </w:rPr>
        <w:t>iCBT</w:t>
      </w:r>
      <w:proofErr w:type="spellEnd"/>
      <w:r w:rsidRPr="00457191">
        <w:rPr>
          <w:rFonts w:asciiTheme="minorHAnsi" w:hAnsiTheme="minorHAnsi" w:cstheme="minorHAnsi"/>
          <w:color w:val="000000" w:themeColor="text1"/>
          <w:sz w:val="21"/>
          <w:szCs w:val="21"/>
        </w:rPr>
        <w:t xml:space="preserve"> in clinical practice. Stakeholders expressed that </w:t>
      </w:r>
      <w:r w:rsidRPr="00457191">
        <w:rPr>
          <w:rFonts w:asciiTheme="minorHAnsi" w:hAnsiTheme="minorHAnsi" w:cstheme="minorHAnsi"/>
          <w:sz w:val="21"/>
          <w:szCs w:val="21"/>
        </w:rPr>
        <w:t xml:space="preserve">integration of DMHSs with face-to-face services needs a comprehensive change management approach to ensure that clinicians understand referral processes and have sufficient time to learn about, navigate and incorporate new methods in a blended care model. Finally, stakeholders suggested </w:t>
      </w:r>
      <w:r w:rsidRPr="00457191">
        <w:rPr>
          <w:rFonts w:asciiTheme="minorHAnsi" w:hAnsiTheme="minorHAnsi" w:cstheme="minorHAnsi"/>
          <w:color w:val="000000" w:themeColor="text1"/>
          <w:sz w:val="21"/>
          <w:szCs w:val="21"/>
        </w:rPr>
        <w:t>implementing a funding structure, such as Medicare rebates, to incentivise health professionals to provide or refer for care via DMHSs.</w:t>
      </w:r>
    </w:p>
    <w:p w14:paraId="4032CCB9" w14:textId="77777777" w:rsidR="00EE6CD2" w:rsidRPr="00D45798" w:rsidRDefault="00EE6CD2" w:rsidP="004D507F">
      <w:pPr>
        <w:pStyle w:val="Heading3"/>
        <w:numPr>
          <w:ilvl w:val="0"/>
          <w:numId w:val="0"/>
        </w:numPr>
        <w:ind w:left="142" w:hanging="142"/>
        <w:rPr>
          <w:sz w:val="22"/>
          <w:szCs w:val="22"/>
        </w:rPr>
      </w:pPr>
      <w:r w:rsidRPr="00D45798">
        <w:rPr>
          <w:sz w:val="22"/>
          <w:szCs w:val="22"/>
        </w:rPr>
        <w:t>Barriers and enablers for DMHS providers, mental health professionals and referrers</w:t>
      </w:r>
    </w:p>
    <w:p w14:paraId="77E4B4F6" w14:textId="77777777" w:rsidR="00EE6CD2" w:rsidRPr="00457191" w:rsidRDefault="00EE6CD2" w:rsidP="00EE6CD2">
      <w:pPr>
        <w:pStyle w:val="ANorm"/>
        <w:spacing w:after="240"/>
        <w:rPr>
          <w:rFonts w:asciiTheme="minorHAnsi" w:hAnsiTheme="minorHAnsi" w:cstheme="minorHAnsi"/>
          <w:lang w:eastAsia="en-AU"/>
        </w:rPr>
      </w:pPr>
      <w:r w:rsidRPr="00457191">
        <w:rPr>
          <w:rFonts w:asciiTheme="minorHAnsi" w:hAnsiTheme="minorHAnsi" w:cstheme="minorHAnsi"/>
          <w:lang w:eastAsia="en-AU"/>
        </w:rPr>
        <w:t xml:space="preserve">Barriers for mental health professionals and referrers were largely related to their limited exposure to DMHSs and the impact of this on their beliefs, </w:t>
      </w:r>
      <w:proofErr w:type="gramStart"/>
      <w:r w:rsidRPr="00457191">
        <w:rPr>
          <w:rFonts w:asciiTheme="minorHAnsi" w:hAnsiTheme="minorHAnsi" w:cstheme="minorHAnsi"/>
          <w:lang w:eastAsia="en-AU"/>
        </w:rPr>
        <w:t>knowledge</w:t>
      </w:r>
      <w:proofErr w:type="gramEnd"/>
      <w:r w:rsidRPr="00457191">
        <w:rPr>
          <w:rFonts w:asciiTheme="minorHAnsi" w:hAnsiTheme="minorHAnsi" w:cstheme="minorHAnsi"/>
          <w:lang w:eastAsia="en-AU"/>
        </w:rPr>
        <w:t xml:space="preserve"> and trust in DMHSs.</w:t>
      </w:r>
    </w:p>
    <w:p w14:paraId="1BFF46D1" w14:textId="77777777" w:rsidR="00EE6CD2" w:rsidRPr="00457191" w:rsidRDefault="00EE6CD2" w:rsidP="00EE6CD2">
      <w:pPr>
        <w:spacing w:after="240"/>
        <w:rPr>
          <w:rFonts w:asciiTheme="minorHAnsi" w:eastAsiaTheme="majorEastAsia" w:hAnsiTheme="minorHAnsi" w:cstheme="minorHAnsi"/>
          <w:color w:val="000000" w:themeColor="text1"/>
          <w:sz w:val="21"/>
          <w:szCs w:val="21"/>
        </w:rPr>
      </w:pPr>
      <w:r w:rsidRPr="00457191">
        <w:rPr>
          <w:rFonts w:asciiTheme="minorHAnsi" w:eastAsiaTheme="majorEastAsia" w:hAnsiTheme="minorHAnsi" w:cstheme="minorHAnsi"/>
          <w:color w:val="000000" w:themeColor="text1"/>
          <w:sz w:val="21"/>
          <w:szCs w:val="21"/>
        </w:rPr>
        <w:t>The professional characteristics of the 94 health professionals surveyed showed that only 12% worked in a digital or online mental health service whilst 39% worked in a face-to-face mental health service (Section 8). This suggests that quite a limited proportion of those surveyed had firsthand insight into the workings of a digital mental health service. Like other stakeholder groups, most of health professionals viewed DMHSs as suitable for mild or moderate (but not severe mental problems) and for managing depression and anxiety (but not psychotic disorders or suicidal ideation). Health professionals and DMHS providers commonly identified access to technology as a barrier to using DMHSs. Technology and connectivity issues were also identified as the major source of difficulties of using DMHS. Additionally, 71% of health professionals did not provide an onsite space for clients or patients to access DMHSs.</w:t>
      </w:r>
    </w:p>
    <w:p w14:paraId="2B4C86BC"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Other barriers mentioned by stakeholders included: problems with rapport building and a preference for face-to-face service delivery (client or provider), access, cost of services, demographic characteristics impeding use (e.g., age and language) and concerns about privacy and safety. Some of the same barriers were also identified by the key mental health sector representative stakeholders who also mentioned that some clinicians are threatened by the potential impact on their face-to-face roles and the negative impact of ‘being overwhelmed with choice’ (Section 9).</w:t>
      </w:r>
    </w:p>
    <w:p w14:paraId="31D9A6BA" w14:textId="77777777" w:rsidR="00EE6CD2" w:rsidRPr="00457191" w:rsidRDefault="00EE6CD2" w:rsidP="00EE6CD2">
      <w:pPr>
        <w:spacing w:after="240"/>
        <w:rPr>
          <w:rFonts w:asciiTheme="minorHAnsi" w:eastAsiaTheme="majorEastAsia" w:hAnsiTheme="minorHAnsi" w:cstheme="minorHAnsi"/>
          <w:color w:val="000000" w:themeColor="text1"/>
          <w:sz w:val="21"/>
          <w:szCs w:val="21"/>
        </w:rPr>
      </w:pPr>
      <w:r w:rsidRPr="00457191">
        <w:rPr>
          <w:rFonts w:asciiTheme="minorHAnsi" w:eastAsiaTheme="majorEastAsia" w:hAnsiTheme="minorHAnsi" w:cstheme="minorHAnsi"/>
          <w:color w:val="000000" w:themeColor="text1"/>
          <w:sz w:val="21"/>
          <w:szCs w:val="21"/>
        </w:rPr>
        <w:t xml:space="preserve">When asked how DMHSs could be better integrated into the mental health system, stakeholders proposed education about DMHS would be beneficial. This was also noted by some respondents as an area requiring change to improve use of DMHSs. Given a strong preference for </w:t>
      </w:r>
      <w:proofErr w:type="gramStart"/>
      <w:r w:rsidRPr="00457191">
        <w:rPr>
          <w:rFonts w:asciiTheme="minorHAnsi" w:eastAsiaTheme="majorEastAsia" w:hAnsiTheme="minorHAnsi" w:cstheme="minorHAnsi"/>
          <w:color w:val="000000" w:themeColor="text1"/>
          <w:sz w:val="21"/>
          <w:szCs w:val="21"/>
        </w:rPr>
        <w:t>face to face</w:t>
      </w:r>
      <w:proofErr w:type="gramEnd"/>
      <w:r w:rsidRPr="00457191">
        <w:rPr>
          <w:rFonts w:asciiTheme="minorHAnsi" w:eastAsiaTheme="majorEastAsia" w:hAnsiTheme="minorHAnsi" w:cstheme="minorHAnsi"/>
          <w:color w:val="000000" w:themeColor="text1"/>
          <w:sz w:val="21"/>
          <w:szCs w:val="21"/>
        </w:rPr>
        <w:t xml:space="preserve"> service delivery, further education about the benefits and use of DMHSs may help to improve uptake of DMHSs and shift preferences amongst mental health professionals. This is further exemplified by one third of those who refer consumers to DMHSs being unaware of whether the service involved a therapist.</w:t>
      </w:r>
    </w:p>
    <w:p w14:paraId="05DDEB8A" w14:textId="77777777" w:rsidR="00EE6CD2" w:rsidRPr="00D45798" w:rsidRDefault="00EE6CD2" w:rsidP="004D507F">
      <w:pPr>
        <w:pStyle w:val="Heading2"/>
        <w:numPr>
          <w:ilvl w:val="0"/>
          <w:numId w:val="0"/>
        </w:numPr>
        <w:spacing w:after="240"/>
        <w:rPr>
          <w:rFonts w:asciiTheme="minorHAnsi" w:hAnsiTheme="minorHAnsi" w:cstheme="minorHAnsi"/>
          <w:sz w:val="24"/>
          <w:szCs w:val="24"/>
        </w:rPr>
      </w:pPr>
      <w:bookmarkStart w:id="24" w:name="_Toc108782908"/>
      <w:bookmarkStart w:id="25" w:name="_Toc108784818"/>
      <w:r w:rsidRPr="00D45798">
        <w:rPr>
          <w:rFonts w:asciiTheme="minorHAnsi" w:hAnsiTheme="minorHAnsi" w:cstheme="minorHAnsi"/>
          <w:sz w:val="24"/>
          <w:szCs w:val="24"/>
        </w:rPr>
        <w:t>KEQ 5: How can the commissioning and implementation of online mental health treatment services be best supported going forward?</w:t>
      </w:r>
      <w:bookmarkEnd w:id="24"/>
      <w:bookmarkEnd w:id="25"/>
    </w:p>
    <w:p w14:paraId="2DA1C8ED"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All our data sources, including our literature review</w:t>
      </w:r>
      <w:r w:rsidRPr="00457191">
        <w:rPr>
          <w:rFonts w:asciiTheme="minorHAnsi" w:hAnsiTheme="minorHAnsi" w:cstheme="minorHAnsi"/>
        </w:rPr>
        <w:fldChar w:fldCharType="begin"/>
      </w:r>
      <w:r w:rsidRPr="00457191">
        <w:rPr>
          <w:rFonts w:asciiTheme="minorHAnsi" w:hAnsiTheme="minorHAnsi" w:cstheme="minorHAnsi"/>
        </w:rPr>
        <w:instrText xml:space="preserve"> ADDIN EN.CITE &lt;EndNote&gt;&lt;Cite&gt;&lt;Author&gt;Bassilios&lt;/Author&gt;&lt;Year&gt;2022&lt;/Year&gt;&lt;RecNum&gt;117&lt;/RecNum&gt;&lt;DisplayText&gt;&lt;style face="superscript"&gt;5&lt;/style&gt;&lt;/DisplayText&gt;&lt;record&gt;&lt;rec-number&gt;117&lt;/rec-number&gt;&lt;foreign-keys&gt;&lt;key app="EN" db-id="dawtr0zrkrzfa5edzzlpe2we0xa00t90vvr2" timestamp="1648438870"&gt;117&lt;/key&gt;&lt;/foreign-keys&gt;&lt;ref-type name="Report"&gt;27&lt;/ref-type&gt;&lt;contributors&gt;&lt;authors&gt;&lt;author&gt;Bassilios, B.&lt;/author&gt;&lt;author&gt;Morgan, A.&lt;/author&gt;&lt;author&gt;Tan, A.&lt;/author&gt;&lt;author&gt;Ftanou, M.&lt;/author&gt;&lt;author&gt;Krysinska, K.&lt;/author&gt;&lt;author&gt;Le, L.&lt;/author&gt;&lt;author&gt;Scurrah, K.&lt;/author&gt;&lt;author&gt;Banfield, M.&lt;/author&gt;&lt;author&gt;Spittal, M.&lt;/author&gt;&lt;author&gt;Mihalopoulos, C.&lt;/author&gt;&lt;author&gt;Pirkis, J.&lt;/author&gt;&lt;/authors&gt;&lt;/contributors&gt;&lt;titles&gt;&lt;title&gt;Literature review of effectiveness of supported digital mental health interventions (DMHIs)&lt;/title&gt;&lt;/titles&gt;&lt;dates&gt;&lt;year&gt;2022&lt;/year&gt;&lt;/dates&gt;&lt;pub-location&gt;Melbourne&lt;/pub-location&gt;&lt;publisher&gt;Centre for Mental Health, University of Melbourne&lt;/publisher&gt;&lt;urls&gt;&lt;/urls&gt;&lt;/record&gt;&lt;/Cite&gt;&lt;/EndNote&gt;</w:instrText>
      </w:r>
      <w:r w:rsidRPr="00457191">
        <w:rPr>
          <w:rFonts w:asciiTheme="minorHAnsi" w:hAnsiTheme="minorHAnsi" w:cstheme="minorHAnsi"/>
        </w:rPr>
        <w:fldChar w:fldCharType="separate"/>
      </w:r>
      <w:r w:rsidRPr="00457191">
        <w:rPr>
          <w:rFonts w:asciiTheme="minorHAnsi" w:hAnsiTheme="minorHAnsi" w:cstheme="minorHAnsi"/>
          <w:noProof/>
          <w:vertAlign w:val="superscript"/>
        </w:rPr>
        <w:t>5</w:t>
      </w:r>
      <w:r w:rsidRPr="00457191">
        <w:rPr>
          <w:rFonts w:asciiTheme="minorHAnsi" w:hAnsiTheme="minorHAnsi" w:cstheme="minorHAnsi"/>
        </w:rPr>
        <w:fldChar w:fldCharType="end"/>
      </w:r>
      <w:r w:rsidRPr="00457191">
        <w:rPr>
          <w:rFonts w:asciiTheme="minorHAnsi" w:hAnsiTheme="minorHAnsi" w:cstheme="minorHAnsi"/>
        </w:rPr>
        <w:t xml:space="preserve"> and environmental scan,</w:t>
      </w:r>
      <w:r w:rsidRPr="00457191">
        <w:rPr>
          <w:rFonts w:asciiTheme="minorHAnsi" w:hAnsiTheme="minorHAnsi" w:cstheme="minorHAnsi"/>
        </w:rPr>
        <w:fldChar w:fldCharType="begin"/>
      </w:r>
      <w:r w:rsidRPr="00457191">
        <w:rPr>
          <w:rFonts w:asciiTheme="minorHAnsi" w:hAnsiTheme="minorHAnsi" w:cstheme="minorHAnsi"/>
        </w:rPr>
        <w:instrText xml:space="preserve"> ADDIN EN.CITE &lt;EndNote&gt;&lt;Cite&gt;&lt;Author&gt;Bassilios&lt;/Author&gt;&lt;Year&gt;2022&lt;/Year&gt;&lt;RecNum&gt;121&lt;/RecNum&gt;&lt;DisplayText&gt;&lt;style face="superscript"&gt;6&lt;/style&gt;&lt;/DisplayText&gt;&lt;record&gt;&lt;rec-number&gt;121&lt;/rec-number&gt;&lt;foreign-keys&gt;&lt;key app="EN" db-id="dawtr0zrkrzfa5edzzlpe2we0xa00t90vvr2" timestamp="1648439642"&gt;121&lt;/key&gt;&lt;/foreign-keys&gt;&lt;ref-type name="Report"&gt;27&lt;/ref-type&gt;&lt;contributors&gt;&lt;authors&gt;&lt;author&gt;Bassilios, B.&lt;/author&gt;&lt;author&gt;Ftanou, M.&lt;/author&gt;&lt;author&gt;Tan, A.&lt;/author&gt;&lt;author&gt;Morgan, A.&lt;/author&gt;&lt;author&gt;Machlin, A.&lt;/author&gt;&lt;author&gt;Mangelsdorf, S.&lt;/author&gt;&lt;author&gt;Le, L.&lt;/author&gt;&lt;author&gt;Banfield, M.&lt;/author&gt;&lt;author&gt;Spittal, M.&lt;/author&gt;&lt;author&gt;Mihalopoulos, C.&lt;/author&gt;&lt;author&gt;Pirkis, J.&lt;/author&gt;&lt;/authors&gt;&lt;/contributors&gt;&lt;titles&gt;&lt;title&gt;Environmental scan of digital mental health services&lt;/title&gt;&lt;/titles&gt;&lt;dates&gt;&lt;year&gt;2022&lt;/year&gt;&lt;/dates&gt;&lt;pub-location&gt;Melbourne&lt;/pub-location&gt;&lt;publisher&gt;Centre for Mental Health, University of Melbourne&lt;/publisher&gt;&lt;urls&gt;&lt;/urls&gt;&lt;/record&gt;&lt;/Cite&gt;&lt;/EndNote&gt;</w:instrText>
      </w:r>
      <w:r w:rsidRPr="00457191">
        <w:rPr>
          <w:rFonts w:asciiTheme="minorHAnsi" w:hAnsiTheme="minorHAnsi" w:cstheme="minorHAnsi"/>
        </w:rPr>
        <w:fldChar w:fldCharType="separate"/>
      </w:r>
      <w:r w:rsidRPr="00457191">
        <w:rPr>
          <w:rFonts w:asciiTheme="minorHAnsi" w:hAnsiTheme="minorHAnsi" w:cstheme="minorHAnsi"/>
          <w:noProof/>
          <w:vertAlign w:val="superscript"/>
        </w:rPr>
        <w:t>6</w:t>
      </w:r>
      <w:r w:rsidRPr="00457191">
        <w:rPr>
          <w:rFonts w:asciiTheme="minorHAnsi" w:hAnsiTheme="minorHAnsi" w:cstheme="minorHAnsi"/>
        </w:rPr>
        <w:fldChar w:fldCharType="end"/>
      </w:r>
      <w:r w:rsidRPr="00457191">
        <w:rPr>
          <w:rFonts w:asciiTheme="minorHAnsi" w:hAnsiTheme="minorHAnsi" w:cstheme="minorHAnsi"/>
        </w:rPr>
        <w:t xml:space="preserve"> contribute to addressing KEQ 5.</w:t>
      </w:r>
    </w:p>
    <w:p w14:paraId="32A603FD"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The evaluation of three supported DMHSs has yielded a wealth of information on the impacts of delivering DMHSs. Recommendations for consideration in future policy making are provided below.</w:t>
      </w:r>
    </w:p>
    <w:p w14:paraId="25F3DD39" w14:textId="77777777" w:rsidR="00EE6CD2" w:rsidRPr="00457191" w:rsidRDefault="00EE6CD2" w:rsidP="00EE6CD2">
      <w:pPr>
        <w:pStyle w:val="ANorm"/>
        <w:numPr>
          <w:ilvl w:val="0"/>
          <w:numId w:val="181"/>
        </w:numPr>
        <w:spacing w:after="240"/>
        <w:rPr>
          <w:rFonts w:asciiTheme="minorHAnsi" w:hAnsiTheme="minorHAnsi" w:cstheme="minorHAnsi"/>
          <w:b/>
          <w:bCs/>
        </w:rPr>
      </w:pPr>
      <w:r w:rsidRPr="00457191">
        <w:rPr>
          <w:rFonts w:asciiTheme="minorHAnsi" w:hAnsiTheme="minorHAnsi" w:cstheme="minorHAnsi"/>
          <w:b/>
          <w:bCs/>
        </w:rPr>
        <w:lastRenderedPageBreak/>
        <w:t>DEVELOP A LONG-TERM STRATEGY</w:t>
      </w:r>
    </w:p>
    <w:p w14:paraId="177AA528" w14:textId="77777777" w:rsidR="00EE6CD2" w:rsidRPr="00457191" w:rsidRDefault="00EE6CD2" w:rsidP="00EE6CD2">
      <w:pPr>
        <w:pStyle w:val="ANorm"/>
        <w:spacing w:after="240"/>
        <w:rPr>
          <w:rFonts w:asciiTheme="minorHAnsi" w:hAnsiTheme="minorHAnsi" w:cstheme="minorHAnsi"/>
          <w:b/>
          <w:bCs/>
        </w:rPr>
      </w:pPr>
      <w:r w:rsidRPr="00457191">
        <w:rPr>
          <w:rFonts w:asciiTheme="minorHAnsi" w:hAnsiTheme="minorHAnsi" w:cstheme="minorHAnsi"/>
          <w:b/>
          <w:bCs/>
        </w:rPr>
        <w:t>Recommendation 1:  A long-term strategy and approach to resourcing are required to build confidence across the sector, support a responsive continuous improvement approach to service development and implementation, and enable and embed system-wide changes.</w:t>
      </w:r>
    </w:p>
    <w:p w14:paraId="571EB404"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A longer-term strategy and resourcing model are necessary to provide confidence across the sector to engage with DMHSs, establish and consolidate integration and coordination, and retain and develop an appropriately skilled workforce.</w:t>
      </w:r>
    </w:p>
    <w:p w14:paraId="4FECD80A"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A time-limited approach does not accommodate the developmental and foundational work which is required to develop and sustain DMHS activities. Future policy should support a continuous improvement model where planning is an ongoing iterative process informed by evaluation in a virtuous cycle.</w:t>
      </w:r>
    </w:p>
    <w:p w14:paraId="4C28E8A0"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To understand the longer-term impacts and outcomes of DMHSs, monitoring and analysis of outcome data should be ongoing.</w:t>
      </w:r>
    </w:p>
    <w:p w14:paraId="587118AA" w14:textId="77777777" w:rsidR="00EE6CD2" w:rsidRPr="00457191" w:rsidRDefault="00EE6CD2" w:rsidP="00EE6CD2">
      <w:pPr>
        <w:pStyle w:val="ANorm"/>
        <w:numPr>
          <w:ilvl w:val="0"/>
          <w:numId w:val="181"/>
        </w:numPr>
        <w:spacing w:after="240"/>
        <w:rPr>
          <w:rFonts w:asciiTheme="minorHAnsi" w:hAnsiTheme="minorHAnsi" w:cstheme="minorHAnsi"/>
          <w:b/>
          <w:bCs/>
        </w:rPr>
      </w:pPr>
      <w:r w:rsidRPr="00457191">
        <w:rPr>
          <w:rFonts w:asciiTheme="minorHAnsi" w:hAnsiTheme="minorHAnsi" w:cstheme="minorHAnsi"/>
          <w:b/>
          <w:bCs/>
        </w:rPr>
        <w:t>BUILD CAPACITY ACROSS THE SYSTEM</w:t>
      </w:r>
    </w:p>
    <w:p w14:paraId="05CC2A19" w14:textId="77777777" w:rsidR="00EE6CD2" w:rsidRPr="00457191" w:rsidRDefault="00EE6CD2" w:rsidP="00EE6CD2">
      <w:pPr>
        <w:pStyle w:val="ANorm"/>
        <w:spacing w:after="240"/>
        <w:rPr>
          <w:rFonts w:asciiTheme="minorHAnsi" w:hAnsiTheme="minorHAnsi" w:cstheme="minorHAnsi"/>
          <w:b/>
          <w:bCs/>
        </w:rPr>
      </w:pPr>
      <w:r w:rsidRPr="00457191">
        <w:rPr>
          <w:rFonts w:asciiTheme="minorHAnsi" w:hAnsiTheme="minorHAnsi" w:cstheme="minorHAnsi"/>
          <w:b/>
          <w:bCs/>
        </w:rPr>
        <w:t>Recommendation 2:  Resources and mechanisms are required to build capacity across the system. National or service-based resources may be an appropriate mechanism.</w:t>
      </w:r>
    </w:p>
    <w:p w14:paraId="0477A99F" w14:textId="77777777" w:rsidR="00EE6CD2" w:rsidRPr="00457191" w:rsidRDefault="00EE6CD2" w:rsidP="00EE6CD2">
      <w:pPr>
        <w:pStyle w:val="paragraph"/>
        <w:spacing w:before="0" w:beforeAutospacing="0" w:after="240" w:afterAutospacing="0"/>
        <w:textAlignment w:val="baseline"/>
        <w:rPr>
          <w:highlight w:val="green"/>
        </w:rPr>
      </w:pPr>
      <w:r w:rsidRPr="00457191">
        <w:rPr>
          <w:rStyle w:val="normaltextrun"/>
        </w:rPr>
        <w:t xml:space="preserve">Infrastructure, </w:t>
      </w:r>
      <w:proofErr w:type="gramStart"/>
      <w:r w:rsidRPr="00457191">
        <w:rPr>
          <w:rStyle w:val="normaltextrun"/>
        </w:rPr>
        <w:t>resources</w:t>
      </w:r>
      <w:proofErr w:type="gramEnd"/>
      <w:r w:rsidRPr="00457191">
        <w:rPr>
          <w:rStyle w:val="normaltextrun"/>
        </w:rPr>
        <w:t xml:space="preserve"> and mechanisms are needed to ensure that users have access to the right equipment and tools (e.g., technology, reliable internet) and access to education to improve technical skills and digital literacy.</w:t>
      </w:r>
    </w:p>
    <w:p w14:paraId="7DB2F680" w14:textId="77777777" w:rsidR="00EE6CD2" w:rsidRPr="00457191" w:rsidRDefault="00EE6CD2" w:rsidP="00EE6CD2">
      <w:pPr>
        <w:spacing w:after="240"/>
        <w:rPr>
          <w:rFonts w:asciiTheme="minorHAnsi" w:hAnsiTheme="minorHAnsi" w:cstheme="minorHAnsi"/>
          <w:sz w:val="21"/>
          <w:szCs w:val="21"/>
        </w:rPr>
      </w:pPr>
      <w:r w:rsidRPr="00457191">
        <w:rPr>
          <w:rFonts w:asciiTheme="minorHAnsi" w:hAnsiTheme="minorHAnsi" w:cstheme="minorHAnsi"/>
          <w:sz w:val="21"/>
          <w:szCs w:val="21"/>
        </w:rPr>
        <w:t>Increasing knowledge and awareness of community stakeholders and service providers is the cornerstone of system-wide integration. There needs to be unity in the definitions and purpose of, and efforts to dispel myths about, DMHSs while respecting preferences for face-to-face services.</w:t>
      </w:r>
    </w:p>
    <w:p w14:paraId="55A7801D" w14:textId="77777777" w:rsidR="00EE6CD2" w:rsidRPr="00457191" w:rsidRDefault="00EE6CD2" w:rsidP="00EE6CD2">
      <w:pPr>
        <w:spacing w:after="240"/>
        <w:rPr>
          <w:rFonts w:asciiTheme="minorHAnsi" w:hAnsiTheme="minorHAnsi" w:cstheme="minorHAnsi"/>
          <w:sz w:val="21"/>
          <w:szCs w:val="21"/>
        </w:rPr>
      </w:pPr>
      <w:r w:rsidRPr="00457191">
        <w:rPr>
          <w:rFonts w:asciiTheme="minorHAnsi" w:hAnsiTheme="minorHAnsi" w:cstheme="minorHAnsi"/>
          <w:sz w:val="21"/>
          <w:szCs w:val="21"/>
        </w:rPr>
        <w:t>Community stakeholders and providers require assistance in navigating the wealth of service options and finding appropriate and quality services. The new National Mental Health Platform has the potential to support with navigation.</w:t>
      </w:r>
    </w:p>
    <w:p w14:paraId="15EABCDE"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 xml:space="preserve">DMHS provider, mental health professional (including peer worker and Indigenous mental health provider) and referrer workforce capacity needs to be built through education and training, including ongoing clinical supervision. Mental Health Online and </w:t>
      </w:r>
      <w:proofErr w:type="spellStart"/>
      <w:r w:rsidRPr="00457191">
        <w:rPr>
          <w:rFonts w:asciiTheme="minorHAnsi" w:hAnsiTheme="minorHAnsi" w:cstheme="minorHAnsi"/>
        </w:rPr>
        <w:t>MindSpot</w:t>
      </w:r>
      <w:proofErr w:type="spellEnd"/>
      <w:r w:rsidRPr="00457191">
        <w:rPr>
          <w:rFonts w:asciiTheme="minorHAnsi" w:hAnsiTheme="minorHAnsi" w:cstheme="minorHAnsi"/>
        </w:rPr>
        <w:t xml:space="preserve"> already provide training to provisional psychologists and other mental health interns and THIS WAY UP provides continuing professional development. Collectively, their work may provide an opportunity to scale training at national level. Building workforce capacity will contribute to quality assurance and clinical governance. Continuity of funding is crucial for building and retaining that workforce.</w:t>
      </w:r>
    </w:p>
    <w:p w14:paraId="695C4C70"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 xml:space="preserve">Building community and service provider knowledge and confidence to engage with </w:t>
      </w:r>
      <w:proofErr w:type="gramStart"/>
      <w:r w:rsidRPr="00457191">
        <w:rPr>
          <w:rFonts w:asciiTheme="minorHAnsi" w:hAnsiTheme="minorHAnsi" w:cstheme="minorHAnsi"/>
        </w:rPr>
        <w:t>evidence-based</w:t>
      </w:r>
      <w:proofErr w:type="gramEnd"/>
      <w:r w:rsidRPr="00457191">
        <w:rPr>
          <w:rFonts w:asciiTheme="minorHAnsi" w:hAnsiTheme="minorHAnsi" w:cstheme="minorHAnsi"/>
        </w:rPr>
        <w:t xml:space="preserve"> DMHSs are required.</w:t>
      </w:r>
    </w:p>
    <w:p w14:paraId="14ED62F2"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 xml:space="preserve">Building workforce capacity will be a key driver of adoption, </w:t>
      </w:r>
      <w:proofErr w:type="gramStart"/>
      <w:r w:rsidRPr="00457191">
        <w:rPr>
          <w:rFonts w:asciiTheme="minorHAnsi" w:hAnsiTheme="minorHAnsi" w:cstheme="minorHAnsi"/>
        </w:rPr>
        <w:t>implementation</w:t>
      </w:r>
      <w:proofErr w:type="gramEnd"/>
      <w:r w:rsidRPr="00457191">
        <w:rPr>
          <w:rFonts w:asciiTheme="minorHAnsi" w:hAnsiTheme="minorHAnsi" w:cstheme="minorHAnsi"/>
        </w:rPr>
        <w:t xml:space="preserve"> and sustainability of DMHSs.</w:t>
      </w:r>
    </w:p>
    <w:p w14:paraId="71F993DC" w14:textId="77777777" w:rsidR="00EE6CD2" w:rsidRPr="00457191" w:rsidRDefault="00EE6CD2" w:rsidP="00EE6CD2">
      <w:pPr>
        <w:pStyle w:val="ANorm"/>
        <w:spacing w:after="240"/>
        <w:rPr>
          <w:rFonts w:asciiTheme="minorHAnsi" w:hAnsiTheme="minorHAnsi" w:cstheme="minorHAnsi"/>
          <w:b/>
          <w:bCs/>
        </w:rPr>
      </w:pPr>
      <w:r w:rsidRPr="00457191">
        <w:rPr>
          <w:rFonts w:asciiTheme="minorHAnsi" w:hAnsiTheme="minorHAnsi" w:cstheme="minorHAnsi"/>
          <w:b/>
          <w:bCs/>
        </w:rPr>
        <w:t>Recommendation 3:  Innovative approaches are required to achieve to system integration.</w:t>
      </w:r>
    </w:p>
    <w:p w14:paraId="0EAA56BC"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Multi-pronged, innovative approaches will contribute to embedding DMHSs in the mental health system.</w:t>
      </w:r>
    </w:p>
    <w:p w14:paraId="37CE2EDB" w14:textId="77777777" w:rsidR="00EE6CD2" w:rsidRPr="00457191" w:rsidRDefault="00EE6CD2" w:rsidP="00EE6CD2">
      <w:pPr>
        <w:pStyle w:val="ANorm"/>
        <w:spacing w:after="240"/>
        <w:rPr>
          <w:rFonts w:asciiTheme="minorHAnsi" w:hAnsiTheme="minorHAnsi" w:cstheme="minorHAnsi"/>
          <w:lang w:val="en-US"/>
        </w:rPr>
      </w:pPr>
      <w:r w:rsidRPr="00457191">
        <w:rPr>
          <w:rFonts w:asciiTheme="minorHAnsi" w:hAnsiTheme="minorHAnsi" w:cstheme="minorHAnsi"/>
        </w:rPr>
        <w:t>C</w:t>
      </w:r>
      <w:proofErr w:type="spellStart"/>
      <w:r w:rsidRPr="00457191">
        <w:rPr>
          <w:rFonts w:asciiTheme="minorHAnsi" w:hAnsiTheme="minorHAnsi" w:cstheme="minorHAnsi"/>
          <w:lang w:val="en-US"/>
        </w:rPr>
        <w:t>ollaborating</w:t>
      </w:r>
      <w:proofErr w:type="spellEnd"/>
      <w:r w:rsidRPr="00457191">
        <w:rPr>
          <w:rFonts w:asciiTheme="minorHAnsi" w:hAnsiTheme="minorHAnsi" w:cstheme="minorHAnsi"/>
          <w:lang w:val="en-US"/>
        </w:rPr>
        <w:t xml:space="preserve"> and partnering with other parts of mental health sector and tertiary education will foster integration and simultaneously contribute to capacity building.</w:t>
      </w:r>
    </w:p>
    <w:p w14:paraId="7BE8691D" w14:textId="77777777" w:rsidR="00EE6CD2" w:rsidRPr="00457191" w:rsidRDefault="00EE6CD2" w:rsidP="00EE6CD2">
      <w:pPr>
        <w:pStyle w:val="ANorm"/>
        <w:spacing w:after="240"/>
        <w:rPr>
          <w:rFonts w:asciiTheme="minorHAnsi" w:hAnsiTheme="minorHAnsi" w:cstheme="minorHAnsi"/>
          <w:lang w:val="en-US"/>
        </w:rPr>
      </w:pPr>
      <w:r w:rsidRPr="00457191">
        <w:rPr>
          <w:rFonts w:asciiTheme="minorHAnsi" w:hAnsiTheme="minorHAnsi" w:cstheme="minorHAnsi"/>
          <w:lang w:val="en-US"/>
        </w:rPr>
        <w:lastRenderedPageBreak/>
        <w:t xml:space="preserve">The introduction of onsite spaces for consumers to access DMHSs (e.g., health clinics and other face-to-face health and community services) may improve access to DMHSs </w:t>
      </w:r>
      <w:r w:rsidRPr="00457191">
        <w:rPr>
          <w:rFonts w:asciiTheme="minorHAnsi" w:hAnsiTheme="minorHAnsi" w:cstheme="minorHAnsi"/>
        </w:rPr>
        <w:t>in low socio-economic and rural and remote areas where internet connections are not reliable or are unaffordable.</w:t>
      </w:r>
    </w:p>
    <w:p w14:paraId="1E156A69" w14:textId="77777777" w:rsidR="00EE6CD2" w:rsidRPr="00457191" w:rsidRDefault="00EE6CD2" w:rsidP="00EE6CD2">
      <w:pPr>
        <w:pStyle w:val="ANorm"/>
        <w:spacing w:after="240"/>
        <w:rPr>
          <w:rFonts w:asciiTheme="minorHAnsi" w:hAnsiTheme="minorHAnsi" w:cstheme="minorHAnsi"/>
          <w:b/>
          <w:bCs/>
        </w:rPr>
      </w:pPr>
      <w:r w:rsidRPr="00457191">
        <w:rPr>
          <w:rFonts w:asciiTheme="minorHAnsi" w:hAnsiTheme="minorHAnsi" w:cstheme="minorHAnsi"/>
          <w:b/>
          <w:bCs/>
        </w:rPr>
        <w:t>Recommendation 4: Increase capacity to collect and provide timely accessible data and explore opportunities to optimise currently collected data.</w:t>
      </w:r>
    </w:p>
    <w:p w14:paraId="369FEEC6"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Access to timely and appropriate data is crucial to support ongoing planning and evaluation, to ensure resources are directed according to need and so that outcomes of DMHS treatment can be evaluated.</w:t>
      </w:r>
    </w:p>
    <w:p w14:paraId="3097F759"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Standardised data collection and outcome measurement will improve the robustness of statistical analysis and maximise comparisons between DMHSs and other areas of the mental health system.</w:t>
      </w:r>
    </w:p>
    <w:p w14:paraId="50F8EDDE" w14:textId="77777777" w:rsidR="00EE6CD2" w:rsidRPr="00457191" w:rsidRDefault="00EE6CD2" w:rsidP="00EE6CD2">
      <w:pPr>
        <w:pStyle w:val="ANorm"/>
        <w:numPr>
          <w:ilvl w:val="0"/>
          <w:numId w:val="181"/>
        </w:numPr>
        <w:spacing w:after="240"/>
        <w:rPr>
          <w:rFonts w:asciiTheme="minorHAnsi" w:hAnsiTheme="minorHAnsi" w:cstheme="minorHAnsi"/>
          <w:b/>
          <w:bCs/>
        </w:rPr>
      </w:pPr>
      <w:r w:rsidRPr="00457191">
        <w:rPr>
          <w:rFonts w:asciiTheme="minorHAnsi" w:hAnsiTheme="minorHAnsi" w:cstheme="minorHAnsi"/>
          <w:b/>
          <w:bCs/>
        </w:rPr>
        <w:t>BUILD THE EVIDENCE BASE</w:t>
      </w:r>
    </w:p>
    <w:p w14:paraId="78CA43FF" w14:textId="77777777" w:rsidR="00EE6CD2" w:rsidRPr="00457191" w:rsidRDefault="00EE6CD2" w:rsidP="00EE6CD2">
      <w:pPr>
        <w:spacing w:after="240"/>
        <w:rPr>
          <w:rFonts w:asciiTheme="minorHAnsi" w:eastAsia="Calibri" w:hAnsiTheme="minorHAnsi" w:cstheme="minorHAnsi"/>
          <w:b/>
          <w:bCs/>
          <w:sz w:val="21"/>
          <w:szCs w:val="21"/>
        </w:rPr>
      </w:pPr>
      <w:r w:rsidRPr="00457191">
        <w:rPr>
          <w:rFonts w:asciiTheme="minorHAnsi" w:hAnsiTheme="minorHAnsi" w:cstheme="minorHAnsi"/>
          <w:b/>
          <w:bCs/>
          <w:sz w:val="21"/>
          <w:szCs w:val="21"/>
        </w:rPr>
        <w:t xml:space="preserve">Recommendation 5:  </w:t>
      </w:r>
      <w:r w:rsidRPr="00457191">
        <w:rPr>
          <w:rFonts w:asciiTheme="minorHAnsi" w:eastAsia="Calibri" w:hAnsiTheme="minorHAnsi" w:cstheme="minorHAnsi"/>
          <w:b/>
          <w:bCs/>
          <w:sz w:val="21"/>
          <w:szCs w:val="21"/>
        </w:rPr>
        <w:t>Continuing investment to develop the evidence base for DMHSs is crucial.</w:t>
      </w:r>
    </w:p>
    <w:p w14:paraId="029F927D" w14:textId="4B698397" w:rsidR="00EE6CD2" w:rsidRPr="00457191" w:rsidRDefault="00EE6CD2" w:rsidP="00EE6CD2">
      <w:pPr>
        <w:pStyle w:val="paragraph"/>
        <w:spacing w:before="0" w:beforeAutospacing="0" w:after="240" w:afterAutospacing="0"/>
        <w:textAlignment w:val="baseline"/>
      </w:pPr>
      <w:r w:rsidRPr="00457191">
        <w:t xml:space="preserve">Continued investment is required to develop the evidence base through directly sponsoring research to establish effectiveness of interventions. </w:t>
      </w:r>
      <w:r w:rsidRPr="00457191">
        <w:rPr>
          <w:rStyle w:val="normaltextrun"/>
        </w:rPr>
        <w:t xml:space="preserve">Although robust evidence exists for the efficacy and effectiveness of using digital mental health interventions to treat depression and anxiety, further research is needed to explore the efficacy of these interventions </w:t>
      </w:r>
      <w:r w:rsidRPr="00457191">
        <w:t>for traditionally underserviced (e.g., Indigenous peoples, people from culturally and linguistically diverse backgrounds and people who are LGBTQIA+); and other mental disorders (e.g., psychotic disorders, personality disorders, substance dependence) and co-morbid conditions. For example, exploring whether consumers experiencing psychotic disorders, suicidal ideation and/or more complex presentations benefit from therapist-supported DMHS treatment as a component of a suite of care (e.g., medical follow-up, specialist mental health care), which for many, does not include evidence-based psychological treatment.</w:t>
      </w:r>
      <w:r w:rsidRPr="00457191">
        <w:fldChar w:fldCharType="begin">
          <w:fldData xml:space="preserve">PEVuZE5vdGU+PENpdGU+PEF1dGhvcj5IYXJ2ZXk8L0F1dGhvcj48WWVhcj4yMDE5PC9ZZWFyPjxS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</w:fldData>
        </w:fldChar>
      </w:r>
      <w:r w:rsidR="004469A2">
        <w:instrText xml:space="preserve"> ADDIN EN.CITE </w:instrText>
      </w:r>
      <w:r w:rsidR="004469A2">
        <w:fldChar w:fldCharType="begin">
          <w:fldData xml:space="preserve">PEVuZE5vdGU+PENpdGU+PEF1dGhvcj5IYXJ2ZXk8L0F1dGhvcj48WWVhcj4yMDE5PC9ZZWFyPjxS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</w:fldData>
        </w:fldChar>
      </w:r>
      <w:r w:rsidR="004469A2">
        <w:instrText xml:space="preserve"> ADDIN EN.CITE.DATA </w:instrText>
      </w:r>
      <w:r w:rsidR="004469A2">
        <w:fldChar w:fldCharType="end"/>
      </w:r>
      <w:r w:rsidRPr="00457191">
        <w:fldChar w:fldCharType="separate"/>
      </w:r>
      <w:r w:rsidR="004469A2" w:rsidRPr="004469A2">
        <w:rPr>
          <w:noProof/>
          <w:vertAlign w:val="superscript"/>
        </w:rPr>
        <w:t>24</w:t>
      </w:r>
      <w:r w:rsidRPr="00457191">
        <w:fldChar w:fldCharType="end"/>
      </w:r>
    </w:p>
    <w:p w14:paraId="3EC37AD6" w14:textId="77777777" w:rsidR="00EE6CD2" w:rsidRPr="00457191" w:rsidRDefault="00EE6CD2" w:rsidP="00EE6CD2">
      <w:pPr>
        <w:pStyle w:val="paragraph"/>
        <w:spacing w:before="0" w:beforeAutospacing="0" w:after="240" w:afterAutospacing="0"/>
        <w:textAlignment w:val="baseline"/>
        <w:rPr>
          <w:rStyle w:val="normaltextrun"/>
        </w:rPr>
      </w:pPr>
      <w:r w:rsidRPr="00457191">
        <w:t xml:space="preserve">Future research is also needed to increase understanding of who engages with, adheres to and benefits from DMHSs and why. </w:t>
      </w:r>
      <w:r w:rsidRPr="00457191">
        <w:rPr>
          <w:rStyle w:val="normaltextrun"/>
        </w:rPr>
        <w:t>This work could contribute to comprehensive assessment and screening of consumers to identify consumers suited to and most likely to benefit from DMHSs. It may also help identify the information gaps on people who don’t engage with DMHSs and how can this be addressed.</w:t>
      </w:r>
    </w:p>
    <w:p w14:paraId="6C4C2AC6" w14:textId="77777777" w:rsidR="00EE6CD2" w:rsidRPr="00457191" w:rsidRDefault="00EE6CD2" w:rsidP="00EE6CD2">
      <w:pPr>
        <w:spacing w:after="240"/>
        <w:rPr>
          <w:rFonts w:asciiTheme="minorHAnsi" w:hAnsiTheme="minorHAnsi" w:cstheme="minorHAnsi"/>
          <w:sz w:val="21"/>
          <w:szCs w:val="21"/>
          <w:lang w:val="en-US"/>
        </w:rPr>
      </w:pPr>
      <w:r w:rsidRPr="00457191">
        <w:rPr>
          <w:rFonts w:asciiTheme="minorHAnsi" w:hAnsiTheme="minorHAnsi" w:cstheme="minorHAnsi"/>
          <w:color w:val="000000" w:themeColor="text1"/>
          <w:sz w:val="21"/>
          <w:szCs w:val="21"/>
        </w:rPr>
        <w:t xml:space="preserve">Resourcing to develop evaluation capacity and embed evaluation as part of a continuous improvement approach within DMHSs will also contribute to building the evidence base. </w:t>
      </w:r>
      <w:r w:rsidRPr="00457191">
        <w:rPr>
          <w:rFonts w:asciiTheme="minorHAnsi" w:hAnsiTheme="minorHAnsi" w:cstheme="minorHAnsi"/>
          <w:sz w:val="21"/>
          <w:szCs w:val="21"/>
          <w:lang w:val="en-US"/>
        </w:rPr>
        <w:t>Evaluation of DMHSs should be ongoing, and findings shared to allow scaling up of service models, or components of service models which are effective.</w:t>
      </w:r>
    </w:p>
    <w:p w14:paraId="4111E644" w14:textId="77777777" w:rsidR="00EE6CD2" w:rsidRPr="00457191" w:rsidRDefault="00EE6CD2" w:rsidP="00EE6CD2">
      <w:pPr>
        <w:pStyle w:val="ANorm"/>
        <w:numPr>
          <w:ilvl w:val="0"/>
          <w:numId w:val="181"/>
        </w:numPr>
        <w:spacing w:after="240"/>
        <w:rPr>
          <w:rFonts w:asciiTheme="minorHAnsi" w:hAnsiTheme="minorHAnsi" w:cstheme="minorHAnsi"/>
          <w:b/>
          <w:bCs/>
        </w:rPr>
      </w:pPr>
      <w:r w:rsidRPr="00457191">
        <w:rPr>
          <w:rFonts w:asciiTheme="minorHAnsi" w:hAnsiTheme="minorHAnsi" w:cstheme="minorHAnsi"/>
          <w:b/>
          <w:bCs/>
        </w:rPr>
        <w:t>INVEST IN SERVICE DEVELOPMENT</w:t>
      </w:r>
    </w:p>
    <w:p w14:paraId="66BB8DC0" w14:textId="77777777" w:rsidR="00EE6CD2" w:rsidRPr="00457191" w:rsidRDefault="00EE6CD2" w:rsidP="00EE6CD2">
      <w:pPr>
        <w:pStyle w:val="ANorm"/>
        <w:spacing w:after="240"/>
        <w:rPr>
          <w:rFonts w:asciiTheme="minorHAnsi" w:hAnsiTheme="minorHAnsi" w:cstheme="minorHAnsi"/>
          <w:b/>
          <w:bCs/>
        </w:rPr>
      </w:pPr>
      <w:r w:rsidRPr="00457191">
        <w:rPr>
          <w:rFonts w:asciiTheme="minorHAnsi" w:hAnsiTheme="minorHAnsi" w:cstheme="minorHAnsi"/>
          <w:b/>
          <w:bCs/>
        </w:rPr>
        <w:t>Recommendation 6:  Service development initiatives involving people with lived experience are needed to address the diversity within focus populations and scale services.</w:t>
      </w:r>
    </w:p>
    <w:p w14:paraId="4439F0CA" w14:textId="77777777" w:rsidR="00EE6CD2" w:rsidRPr="00457191" w:rsidRDefault="00EE6CD2" w:rsidP="00EE6CD2">
      <w:pPr>
        <w:pStyle w:val="ANorm"/>
        <w:spacing w:after="240"/>
        <w:rPr>
          <w:rStyle w:val="normaltextrun"/>
          <w:rFonts w:asciiTheme="minorHAnsi" w:hAnsiTheme="minorHAnsi" w:cstheme="minorHAnsi"/>
          <w:lang w:val="en-US"/>
        </w:rPr>
      </w:pPr>
      <w:r w:rsidRPr="00457191">
        <w:rPr>
          <w:rStyle w:val="normaltextrun"/>
          <w:rFonts w:asciiTheme="minorHAnsi" w:hAnsiTheme="minorHAnsi" w:cstheme="minorHAnsi"/>
          <w:color w:val="000000"/>
        </w:rPr>
        <w:t>Future development needs to focus on</w:t>
      </w:r>
      <w:r w:rsidRPr="00457191">
        <w:rPr>
          <w:rStyle w:val="normaltextrun"/>
          <w:rFonts w:asciiTheme="minorHAnsi" w:hAnsiTheme="minorHAnsi" w:cstheme="minorHAnsi"/>
        </w:rPr>
        <w:t xml:space="preserve"> the broader inclusion of disadvantaged sub-populations.</w:t>
      </w:r>
      <w:r w:rsidRPr="00457191">
        <w:rPr>
          <w:rFonts w:asciiTheme="minorHAnsi" w:hAnsiTheme="minorHAnsi" w:cstheme="minorHAnsi"/>
          <w:lang w:val="en-US"/>
        </w:rPr>
        <w:t xml:space="preserve"> Tailored approaches may be needed to target minority and disadvantaged groups. Time and resources to develop and evaluate these are necessary.</w:t>
      </w:r>
    </w:p>
    <w:p w14:paraId="7DD760C0" w14:textId="77777777" w:rsidR="00EE6CD2" w:rsidRPr="00457191" w:rsidRDefault="00EE6CD2" w:rsidP="00EE6CD2">
      <w:pPr>
        <w:pStyle w:val="ANorm"/>
        <w:spacing w:after="240"/>
        <w:rPr>
          <w:rFonts w:asciiTheme="minorHAnsi" w:hAnsiTheme="minorHAnsi" w:cstheme="minorHAnsi"/>
          <w:lang w:val="en-US"/>
        </w:rPr>
      </w:pPr>
      <w:r w:rsidRPr="00457191">
        <w:rPr>
          <w:rFonts w:asciiTheme="minorHAnsi" w:hAnsiTheme="minorHAnsi" w:cstheme="minorHAnsi"/>
          <w:lang w:val="en-US"/>
        </w:rPr>
        <w:t>Harness knowledge and expertise of people with lived experience and mental health professionals in meaningful co-design.</w:t>
      </w:r>
    </w:p>
    <w:p w14:paraId="4AA7B11E"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Co-design is an effective model for developing appropriate services, achieving engagement of focus population groups and integration with mainstream services. People with lived experience of mental health problems have an invaluable contribution to make in the development and delivery of DMHSs and their knowledge and expertise needs to be harnessed.</w:t>
      </w:r>
    </w:p>
    <w:p w14:paraId="1E42A00C" w14:textId="490F65F0"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lastRenderedPageBreak/>
        <w:t xml:space="preserve">There is a role for whole-of-population initiatives in reaching people from focus population groups who do not necessarily identify with those groups. For example, </w:t>
      </w:r>
      <w:proofErr w:type="spellStart"/>
      <w:r w:rsidRPr="00457191">
        <w:rPr>
          <w:rFonts w:asciiTheme="minorHAnsi" w:hAnsiTheme="minorHAnsi" w:cstheme="minorHAnsi"/>
        </w:rPr>
        <w:t>MindSpot</w:t>
      </w:r>
      <w:proofErr w:type="spellEnd"/>
      <w:r w:rsidRPr="00457191">
        <w:rPr>
          <w:rFonts w:asciiTheme="minorHAnsi" w:hAnsiTheme="minorHAnsi" w:cstheme="minorHAnsi"/>
        </w:rPr>
        <w:t xml:space="preserve"> has shown that Indigenous peoples benefit equally from mainstream and tailored online therapist-supported treatment.</w:t>
      </w:r>
      <w:r w:rsidRPr="00457191">
        <w:rPr>
          <w:rFonts w:asciiTheme="minorHAnsi" w:hAnsiTheme="minorHAnsi" w:cstheme="minorHAnsi"/>
        </w:rPr>
        <w:fldChar w:fldCharType="begin"/>
      </w:r>
      <w:r w:rsidR="004469A2">
        <w:rPr>
          <w:rFonts w:asciiTheme="minorHAnsi" w:hAnsiTheme="minorHAnsi" w:cstheme="minorHAnsi"/>
        </w:rPr>
        <w:instrText xml:space="preserve"> ADDIN EN.CITE &lt;EndNote&gt;&lt;Cite&gt;&lt;Author&gt;Titov&lt;/Author&gt;&lt;Year&gt;2019&lt;/Year&gt;&lt;RecNum&gt;138&lt;/RecNum&gt;&lt;DisplayText&gt;&lt;style face="superscript"&gt;25&lt;/style&gt;&lt;/DisplayText&gt;&lt;record&gt;&lt;rec-number&gt;138&lt;/rec-number&gt;&lt;foreign-keys&gt;&lt;key app="EN" db-id="dawtr0zrkrzfa5edzzlpe2we0xa00t90vvr2" timestamp="1650430455"&gt;138&lt;/key&gt;&lt;/foreign-keys&gt;&lt;ref-type name="Journal Article"&gt;17&lt;/ref-type&gt;&lt;contributors&gt;&lt;authors&gt;&lt;author&gt;Titov, Nickolai&lt;/author&gt;&lt;author&gt;Schofield, Carlie&lt;/author&gt;&lt;author&gt;Staples, Lauren&lt;/author&gt;&lt;author&gt;Dear, Blake F&lt;/author&gt;&lt;author&gt;Nielssen, Olav&lt;/author&gt;&lt;/authors&gt;&lt;/contributors&gt;&lt;titles&gt;&lt;title&gt;A comparison of Indigenous and non-Indigenous users of MindSpot: An Australian digital mental health service&lt;/title&gt;&lt;secondary-title&gt;Australasian Psychiatry&lt;/secondary-title&gt;&lt;/titles&gt;&lt;periodical&gt;&lt;full-title&gt;Australasian Psychiatry&lt;/full-title&gt;&lt;/periodical&gt;&lt;pages&gt;352-357&lt;/pages&gt;&lt;volume&gt;27&lt;/volume&gt;&lt;number&gt;4&lt;/number&gt;&lt;dates&gt;&lt;year&gt;2019&lt;/year&gt;&lt;/dates&gt;&lt;isbn&gt;1039-8562&lt;/isbn&gt;&lt;urls&gt;&lt;/urls&gt;&lt;/record&gt;&lt;/Cite&gt;&lt;/EndNote&gt;</w:instrText>
      </w:r>
      <w:r w:rsidRPr="00457191">
        <w:rPr>
          <w:rFonts w:asciiTheme="minorHAnsi" w:hAnsiTheme="minorHAnsi" w:cstheme="minorHAnsi"/>
        </w:rPr>
        <w:fldChar w:fldCharType="separate"/>
      </w:r>
      <w:r w:rsidR="004469A2" w:rsidRPr="004469A2">
        <w:rPr>
          <w:rFonts w:asciiTheme="minorHAnsi" w:hAnsiTheme="minorHAnsi" w:cstheme="minorHAnsi"/>
          <w:noProof/>
          <w:vertAlign w:val="superscript"/>
        </w:rPr>
        <w:t>25</w:t>
      </w:r>
      <w:r w:rsidRPr="00457191">
        <w:rPr>
          <w:rFonts w:asciiTheme="minorHAnsi" w:hAnsiTheme="minorHAnsi" w:cstheme="minorHAnsi"/>
        </w:rPr>
        <w:fldChar w:fldCharType="end"/>
      </w:r>
    </w:p>
    <w:p w14:paraId="7D029F28" w14:textId="77777777" w:rsidR="00EE6CD2" w:rsidRPr="00457191" w:rsidRDefault="00EE6CD2" w:rsidP="00EE6CD2">
      <w:pPr>
        <w:pStyle w:val="paragraph"/>
        <w:spacing w:before="0" w:beforeAutospacing="0" w:after="240" w:afterAutospacing="0"/>
        <w:textAlignment w:val="baseline"/>
        <w:rPr>
          <w:rStyle w:val="normaltextrun"/>
          <w:b/>
          <w:bCs/>
        </w:rPr>
      </w:pPr>
      <w:r w:rsidRPr="00E96271">
        <w:rPr>
          <w:rStyle w:val="normaltextrun"/>
          <w:b/>
        </w:rPr>
        <w:t xml:space="preserve">Recommendation </w:t>
      </w:r>
      <w:r w:rsidRPr="00457191">
        <w:rPr>
          <w:rStyle w:val="normaltextrun"/>
          <w:b/>
          <w:bCs/>
        </w:rPr>
        <w:t>7</w:t>
      </w:r>
      <w:r w:rsidRPr="00E96271">
        <w:rPr>
          <w:rStyle w:val="normaltextrun"/>
          <w:b/>
        </w:rPr>
        <w:t>:  Service development needs to keep pace with technological advances.</w:t>
      </w:r>
    </w:p>
    <w:p w14:paraId="68A0C793" w14:textId="77777777" w:rsidR="00EE6CD2" w:rsidRPr="00457191" w:rsidRDefault="00EE6CD2" w:rsidP="00EE6CD2">
      <w:pPr>
        <w:pStyle w:val="paragraph"/>
        <w:spacing w:before="0" w:beforeAutospacing="0" w:after="240" w:afterAutospacing="0"/>
        <w:textAlignment w:val="baseline"/>
        <w:rPr>
          <w:rStyle w:val="normaltextrun"/>
        </w:rPr>
      </w:pPr>
      <w:r w:rsidRPr="00457191">
        <w:rPr>
          <w:rStyle w:val="normaltextrun"/>
          <w:color w:val="000000"/>
        </w:rPr>
        <w:t xml:space="preserve">Enhancing digital self-help treatments to include therapist support has been identified as an important implementation strategy. However, the role of technological advances, such as artificial intelligence, in </w:t>
      </w:r>
      <w:r w:rsidRPr="00457191">
        <w:rPr>
          <w:rStyle w:val="normaltextrun"/>
        </w:rPr>
        <w:t>personalising or tailoring of DMHS delivery warrants consideration as means to address differences in consumer needs, promote adherence and positive outcomes, and potentially increase efficiency.</w:t>
      </w:r>
    </w:p>
    <w:p w14:paraId="7B1550F4" w14:textId="77777777" w:rsidR="00EE6CD2" w:rsidRPr="00457191" w:rsidRDefault="00EE6CD2" w:rsidP="00EE6CD2">
      <w:pPr>
        <w:pStyle w:val="paragraph"/>
        <w:spacing w:before="0" w:after="240" w:afterAutospacing="0"/>
        <w:textAlignment w:val="baseline"/>
        <w:rPr>
          <w:rStyle w:val="normaltextrun"/>
        </w:rPr>
      </w:pPr>
      <w:r w:rsidRPr="00457191">
        <w:rPr>
          <w:rStyle w:val="normaltextrun"/>
        </w:rPr>
        <w:t>Technological advances also have the potential to be used to scale up service delivery, which can improve the cost-effectiveness of services by reducing the per consumer service delivery cost to lower the incremental cost-effectiveness ratio.</w:t>
      </w:r>
    </w:p>
    <w:p w14:paraId="7BCF98D3" w14:textId="77777777" w:rsidR="00EE6CD2" w:rsidRPr="00457191" w:rsidRDefault="00EE6CD2" w:rsidP="00EE6CD2">
      <w:pPr>
        <w:pStyle w:val="ANorm"/>
        <w:spacing w:after="240"/>
        <w:rPr>
          <w:rFonts w:asciiTheme="minorHAnsi" w:hAnsiTheme="minorHAnsi" w:cstheme="minorHAnsi"/>
          <w:b/>
          <w:bCs/>
        </w:rPr>
      </w:pPr>
      <w:r w:rsidRPr="00457191">
        <w:rPr>
          <w:rFonts w:asciiTheme="minorHAnsi" w:hAnsiTheme="minorHAnsi" w:cstheme="minorHAnsi"/>
          <w:b/>
          <w:bCs/>
        </w:rPr>
        <w:t>Recommendation 8:  Commission evidence-based services.</w:t>
      </w:r>
    </w:p>
    <w:p w14:paraId="6626BDFA"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 xml:space="preserve">Only DMHSs delivering evidence-based treatments </w:t>
      </w:r>
      <w:r w:rsidRPr="00457191">
        <w:rPr>
          <w:rFonts w:asciiTheme="minorHAnsi" w:hAnsiTheme="minorHAnsi" w:cstheme="minorHAnsi"/>
          <w:lang w:val="en-US"/>
        </w:rPr>
        <w:t>(e.g., CBT) that complement rather than duplicate existing services</w:t>
      </w:r>
      <w:r w:rsidRPr="00457191">
        <w:rPr>
          <w:rFonts w:asciiTheme="minorHAnsi" w:hAnsiTheme="minorHAnsi" w:cstheme="minorHAnsi"/>
        </w:rPr>
        <w:t xml:space="preserve"> should be commissioned.</w:t>
      </w:r>
    </w:p>
    <w:p w14:paraId="77530C3D" w14:textId="77777777" w:rsidR="00EE6CD2" w:rsidRPr="00457191" w:rsidRDefault="00EE6CD2" w:rsidP="00EE6CD2">
      <w:pPr>
        <w:pStyle w:val="ANorm"/>
        <w:spacing w:after="240"/>
        <w:rPr>
          <w:rFonts w:asciiTheme="minorHAnsi" w:hAnsiTheme="minorHAnsi" w:cstheme="minorHAnsi"/>
          <w:b/>
          <w:bCs/>
        </w:rPr>
      </w:pPr>
      <w:r w:rsidRPr="00457191">
        <w:rPr>
          <w:rFonts w:asciiTheme="minorHAnsi" w:hAnsiTheme="minorHAnsi" w:cstheme="minorHAnsi"/>
        </w:rPr>
        <w:t>DMHSs should adhere to quality standards</w:t>
      </w:r>
      <w:r w:rsidRPr="00457191">
        <w:rPr>
          <w:rFonts w:asciiTheme="minorHAnsi" w:hAnsiTheme="minorHAnsi" w:cstheme="minorHAnsi"/>
          <w:lang w:val="en-US"/>
        </w:rPr>
        <w:t xml:space="preserve"> and complete a National Safety and Quality Digital Mental Health Standards accreditation assessment.</w:t>
      </w:r>
    </w:p>
    <w:p w14:paraId="518AAD4D" w14:textId="77777777" w:rsidR="00EE6CD2" w:rsidRPr="00457191" w:rsidRDefault="00EE6CD2" w:rsidP="00A94266">
      <w:pPr>
        <w:pStyle w:val="Heading2"/>
        <w:numPr>
          <w:ilvl w:val="0"/>
          <w:numId w:val="0"/>
        </w:numPr>
      </w:pPr>
      <w:bookmarkStart w:id="26" w:name="_Toc108784819"/>
      <w:r w:rsidRPr="00457191">
        <w:t>Conclusions</w:t>
      </w:r>
      <w:bookmarkEnd w:id="26"/>
    </w:p>
    <w:p w14:paraId="50273A0A" w14:textId="77777777" w:rsidR="00EE6CD2" w:rsidRPr="00457191" w:rsidRDefault="00EE6CD2" w:rsidP="00EE6CD2">
      <w:pPr>
        <w:pStyle w:val="ANorm"/>
        <w:spacing w:after="240"/>
        <w:rPr>
          <w:rFonts w:asciiTheme="minorHAnsi" w:hAnsiTheme="minorHAnsi" w:cstheme="minorHAnsi"/>
        </w:rPr>
      </w:pPr>
      <w:r w:rsidRPr="00457191">
        <w:rPr>
          <w:rFonts w:asciiTheme="minorHAnsi" w:hAnsiTheme="minorHAnsi" w:cstheme="minorHAnsi"/>
        </w:rPr>
        <w:t xml:space="preserve">Our evaluation has shown that Mental Health Online, </w:t>
      </w:r>
      <w:proofErr w:type="spellStart"/>
      <w:r w:rsidRPr="00457191">
        <w:rPr>
          <w:rFonts w:asciiTheme="minorHAnsi" w:hAnsiTheme="minorHAnsi" w:cstheme="minorHAnsi"/>
        </w:rPr>
        <w:t>MindSpot</w:t>
      </w:r>
      <w:proofErr w:type="spellEnd"/>
      <w:r w:rsidRPr="00457191">
        <w:rPr>
          <w:rFonts w:asciiTheme="minorHAnsi" w:hAnsiTheme="minorHAnsi" w:cstheme="minorHAnsi"/>
        </w:rPr>
        <w:t xml:space="preserve"> and THIS WAY UP are using different service delivery models to provide consumers with a range of digital mental health service offerings including assessment and treatment. They have provided these services free of charge to a substantial number of consumers and have become an integral part of Australia’s mental health care system. They are reaching mainly consumers across the adult lifespan with varying levels of depression and anxiety symptom severity including substantial numbers with severe symptoms. Online treatment programs are delivered in 3-12 sessions with or without therapist support in accordance with consumer preference – irrespective of whether consumers enrol in therapist-supported or self-directed programs. The outcome data, where available, show that treatments delivered by DMHSs are producing significant clinical improvement for consumers. The magnitude of improvement produced, especially by therapist-supported treatment, is comparable with more resource intensive face-to-face treatment options. Services have the potential to be scalable and good value for money.</w:t>
      </w:r>
    </w:p>
    <w:p w14:paraId="1B28115D" w14:textId="46B6D54F" w:rsidR="00146FDC" w:rsidRPr="00AA6B28" w:rsidRDefault="00EE6CD2" w:rsidP="00A94266">
      <w:pPr>
        <w:pStyle w:val="ANorm"/>
        <w:spacing w:after="240"/>
        <w:rPr>
          <w:rFonts w:eastAsiaTheme="majorEastAsia"/>
          <w:color w:val="2F5496" w:themeColor="accent1" w:themeShade="BF"/>
          <w:sz w:val="32"/>
          <w:szCs w:val="32"/>
        </w:rPr>
      </w:pPr>
      <w:r w:rsidRPr="00457191">
        <w:rPr>
          <w:rFonts w:asciiTheme="minorHAnsi" w:hAnsiTheme="minorHAnsi" w:cstheme="minorHAnsi"/>
        </w:rPr>
        <w:t>The services offered by these DMHSs are largely intended to target consumers with depression and anxiety disorders who choose to use digital mental health treatment or who, for a range of reasons, may have limited, or no, access to alternative treatment options. DMHSs are not intended to serve Australia’s entire help-seeking population, which may be better served through other components of the mental health system (e.g., the larger-scale Better Access program, state-funded public mental health services and the not-for-profit sector). DMHSs are relatively new innovative elements of the Australian mental health care landscape and will become further embedded with time. DMHSs are contributing to ensuring that consumers get the right care at the right time, and importantly, in accordance with consumer needs and preferences.</w:t>
      </w:r>
      <w:r w:rsidR="00146FDC" w:rsidRPr="00AA6B28">
        <w:br w:type="page"/>
      </w:r>
    </w:p>
    <w:p w14:paraId="2157F7AB" w14:textId="65114173" w:rsidR="000F6303" w:rsidRPr="00AA6B28" w:rsidRDefault="624800B7" w:rsidP="00140C5B">
      <w:pPr>
        <w:pStyle w:val="Heading1"/>
        <w:numPr>
          <w:ilvl w:val="0"/>
          <w:numId w:val="133"/>
        </w:numPr>
      </w:pPr>
      <w:bookmarkStart w:id="27" w:name="_Toc87968436"/>
      <w:bookmarkStart w:id="28" w:name="_Toc87972082"/>
      <w:bookmarkStart w:id="29" w:name="_Toc108784820"/>
      <w:r>
        <w:lastRenderedPageBreak/>
        <w:t>Policy b</w:t>
      </w:r>
      <w:r w:rsidR="30070F4E">
        <w:t>ackground</w:t>
      </w:r>
      <w:bookmarkEnd w:id="27"/>
      <w:bookmarkEnd w:id="28"/>
      <w:bookmarkEnd w:id="8"/>
      <w:bookmarkEnd w:id="7"/>
      <w:bookmarkEnd w:id="6"/>
      <w:r w:rsidR="29F7F658">
        <w:t xml:space="preserve"> to the evaluation</w:t>
      </w:r>
      <w:bookmarkEnd w:id="29"/>
    </w:p>
    <w:p w14:paraId="5D445549" w14:textId="032F6230" w:rsidR="00A67FD7" w:rsidRPr="00A115F0" w:rsidRDefault="00A67FD7" w:rsidP="00140C5B">
      <w:pPr>
        <w:pStyle w:val="Heading2"/>
        <w:numPr>
          <w:ilvl w:val="1"/>
          <w:numId w:val="134"/>
        </w:numPr>
        <w:rPr>
          <w:lang w:val="en-US" w:bidi="th-TH"/>
        </w:rPr>
      </w:pPr>
      <w:bookmarkStart w:id="30" w:name="_Toc108784821"/>
      <w:r w:rsidRPr="00A115F0">
        <w:rPr>
          <w:lang w:val="en-US" w:bidi="th-TH"/>
        </w:rPr>
        <w:t>Digital mental health services</w:t>
      </w:r>
      <w:bookmarkEnd w:id="30"/>
    </w:p>
    <w:p w14:paraId="34CBD837" w14:textId="13B7A142" w:rsidR="00B7558A" w:rsidRPr="00AA6B28" w:rsidRDefault="000F6303" w:rsidP="002029DC">
      <w:pPr>
        <w:pStyle w:val="ANorm"/>
        <w:spacing w:after="200"/>
        <w:rPr>
          <w:lang w:val="en-US" w:bidi="th-TH"/>
        </w:rPr>
      </w:pPr>
      <w:r w:rsidRPr="00AA6B28">
        <w:rPr>
          <w:lang w:val="en-US" w:bidi="th-TH"/>
        </w:rPr>
        <w:t>The Australian Government funds numerous digital mental health</w:t>
      </w:r>
      <w:r w:rsidR="00B90641" w:rsidRPr="00AA6B28">
        <w:rPr>
          <w:lang w:val="en-US" w:bidi="th-TH"/>
        </w:rPr>
        <w:t xml:space="preserve"> </w:t>
      </w:r>
      <w:r w:rsidR="007838D6" w:rsidRPr="00AA6B28">
        <w:rPr>
          <w:lang w:val="en-US" w:bidi="th-TH"/>
        </w:rPr>
        <w:t>services</w:t>
      </w:r>
      <w:r w:rsidRPr="00AA6B28">
        <w:rPr>
          <w:lang w:val="en-US" w:bidi="th-TH"/>
        </w:rPr>
        <w:t xml:space="preserve"> </w:t>
      </w:r>
      <w:r w:rsidR="002F58EE" w:rsidRPr="00AA6B28">
        <w:rPr>
          <w:lang w:val="en-US" w:bidi="th-TH"/>
        </w:rPr>
        <w:t>(DMHS</w:t>
      </w:r>
      <w:r w:rsidR="00797D03" w:rsidRPr="00AA6B28">
        <w:rPr>
          <w:lang w:val="en-US" w:bidi="th-TH"/>
        </w:rPr>
        <w:t>s</w:t>
      </w:r>
      <w:r w:rsidR="002F58EE" w:rsidRPr="00AA6B28">
        <w:rPr>
          <w:lang w:val="en-US" w:bidi="th-TH"/>
        </w:rPr>
        <w:t>)</w:t>
      </w:r>
      <w:r w:rsidR="00935BB0" w:rsidRPr="00AA6B28">
        <w:rPr>
          <w:lang w:val="en-US" w:bidi="th-TH"/>
        </w:rPr>
        <w:t>,</w:t>
      </w:r>
      <w:r w:rsidR="002F58EE" w:rsidRPr="00AA6B28">
        <w:rPr>
          <w:lang w:val="en-US" w:bidi="th-TH"/>
        </w:rPr>
        <w:t xml:space="preserve"> </w:t>
      </w:r>
      <w:r w:rsidR="005E05D6" w:rsidRPr="00AA6B28">
        <w:rPr>
          <w:lang w:val="en-US" w:bidi="th-TH"/>
        </w:rPr>
        <w:t xml:space="preserve">which </w:t>
      </w:r>
      <w:r w:rsidR="00BB67C3" w:rsidRPr="00AA6B28">
        <w:rPr>
          <w:lang w:val="en-US" w:bidi="th-TH"/>
        </w:rPr>
        <w:t xml:space="preserve">provide a </w:t>
      </w:r>
      <w:r w:rsidRPr="00AA6B28">
        <w:rPr>
          <w:lang w:val="en-US" w:bidi="th-TH"/>
        </w:rPr>
        <w:t>rang</w:t>
      </w:r>
      <w:r w:rsidR="00BB67C3" w:rsidRPr="00AA6B28">
        <w:rPr>
          <w:lang w:val="en-US" w:bidi="th-TH"/>
        </w:rPr>
        <w:t xml:space="preserve">e of </w:t>
      </w:r>
      <w:r w:rsidR="00794BFE" w:rsidRPr="00AA6B28">
        <w:rPr>
          <w:lang w:val="en-US" w:bidi="th-TH"/>
        </w:rPr>
        <w:t>interventions</w:t>
      </w:r>
      <w:r w:rsidR="004D30E3">
        <w:rPr>
          <w:lang w:val="en-US" w:bidi="th-TH"/>
        </w:rPr>
        <w:t>,</w:t>
      </w:r>
      <w:r w:rsidR="00054146" w:rsidRPr="00AA6B28">
        <w:rPr>
          <w:lang w:val="en-US" w:bidi="th-TH"/>
        </w:rPr>
        <w:t xml:space="preserve"> </w:t>
      </w:r>
      <w:r w:rsidR="0063188F">
        <w:rPr>
          <w:lang w:val="en-US" w:bidi="th-TH"/>
        </w:rPr>
        <w:t>including</w:t>
      </w:r>
      <w:r w:rsidR="00054146" w:rsidRPr="00AA6B28">
        <w:rPr>
          <w:lang w:val="en-US" w:bidi="th-TH"/>
        </w:rPr>
        <w:t xml:space="preserve"> </w:t>
      </w:r>
      <w:r w:rsidRPr="00AA6B28">
        <w:rPr>
          <w:lang w:val="en-US" w:bidi="th-TH"/>
        </w:rPr>
        <w:t>promotion and prevention</w:t>
      </w:r>
      <w:r w:rsidR="00054146" w:rsidRPr="00AA6B28">
        <w:rPr>
          <w:lang w:val="en-US" w:bidi="th-TH"/>
        </w:rPr>
        <w:t xml:space="preserve">, </w:t>
      </w:r>
      <w:r w:rsidR="005A44CF" w:rsidRPr="00AA6B28">
        <w:rPr>
          <w:lang w:val="en-US" w:bidi="th-TH"/>
        </w:rPr>
        <w:t xml:space="preserve">assessment, referral, </w:t>
      </w:r>
      <w:proofErr w:type="gramStart"/>
      <w:r w:rsidRPr="00AA6B28">
        <w:rPr>
          <w:lang w:val="en-US" w:bidi="th-TH"/>
        </w:rPr>
        <w:t>treatment</w:t>
      </w:r>
      <w:proofErr w:type="gramEnd"/>
      <w:r w:rsidRPr="00AA6B28">
        <w:rPr>
          <w:lang w:val="en-US" w:bidi="th-TH"/>
        </w:rPr>
        <w:t xml:space="preserve"> and recovery.</w:t>
      </w:r>
      <w:r w:rsidR="00B7558A" w:rsidRPr="00AA6B28">
        <w:rPr>
          <w:lang w:val="en-US" w:bidi="th-TH"/>
        </w:rPr>
        <w:t xml:space="preserve"> </w:t>
      </w:r>
      <w:r w:rsidRPr="00AA6B28">
        <w:rPr>
          <w:lang w:val="en-US" w:bidi="th-TH"/>
        </w:rPr>
        <w:t xml:space="preserve">The </w:t>
      </w:r>
      <w:r w:rsidR="00FC1DCC" w:rsidRPr="00AA6B28">
        <w:rPr>
          <w:lang w:val="en-US" w:bidi="th-TH"/>
        </w:rPr>
        <w:t>Australian Department of Health</w:t>
      </w:r>
      <w:r w:rsidRPr="00AA6B28">
        <w:rPr>
          <w:lang w:val="en-US" w:bidi="th-TH"/>
        </w:rPr>
        <w:t xml:space="preserve"> digital mental health gateway, Head to Health (</w:t>
      </w:r>
      <w:hyperlink r:id="rId12">
        <w:r w:rsidRPr="00AA6B28">
          <w:rPr>
            <w:lang w:val="en-US" w:bidi="th-TH"/>
          </w:rPr>
          <w:t>www.headtohealth.gov.au</w:t>
        </w:r>
      </w:hyperlink>
      <w:r w:rsidRPr="00AA6B28">
        <w:rPr>
          <w:lang w:val="en-US" w:bidi="th-TH"/>
        </w:rPr>
        <w:t>), list</w:t>
      </w:r>
      <w:r w:rsidR="00FC1DCC" w:rsidRPr="00AA6B28">
        <w:rPr>
          <w:lang w:val="en-US" w:bidi="th-TH"/>
        </w:rPr>
        <w:t>s government funded</w:t>
      </w:r>
      <w:r w:rsidRPr="00AA6B28">
        <w:rPr>
          <w:lang w:val="en-US" w:bidi="th-TH"/>
        </w:rPr>
        <w:t xml:space="preserve"> </w:t>
      </w:r>
      <w:r w:rsidR="00FC1DCC" w:rsidRPr="00AA6B28">
        <w:rPr>
          <w:lang w:val="en-US" w:bidi="th-TH"/>
        </w:rPr>
        <w:t>DMHSs</w:t>
      </w:r>
      <w:r w:rsidRPr="00AA6B28">
        <w:rPr>
          <w:lang w:val="en-US" w:bidi="th-TH"/>
        </w:rPr>
        <w:t>.</w:t>
      </w:r>
      <w:r w:rsidR="00B81CB1">
        <w:rPr>
          <w:lang w:val="en-US" w:bidi="th-TH"/>
        </w:rPr>
        <w:fldChar w:fldCharType="begin"/>
      </w:r>
      <w:r w:rsidR="00EF0F80">
        <w:rPr>
          <w:lang w:val="en-US" w:bidi="th-TH"/>
        </w:rPr>
        <w:instrText xml:space="preserve"> ADDIN EN.CITE &lt;EndNote&gt;&lt;Cite&gt;&lt;Author&gt;Department of Health&lt;/Author&gt;&lt;Year&gt;n.d.&lt;/Year&gt;&lt;RecNum&gt;1&lt;/RecNum&gt;&lt;DisplayText&gt;&lt;style face="superscript"&gt;1&lt;/style&gt;&lt;/DisplayText&gt;&lt;record&gt;&lt;rec-number&gt;1&lt;/rec-number&gt;&lt;foreign-keys&gt;&lt;key app="EN" db-id="dawtr0zrkrzfa5edzzlpe2we0xa00t90vvr2" timestamp="1622893172"&gt;1&lt;/key&gt;&lt;/foreign-keys&gt;&lt;ref-type name="Web Page"&gt;12&lt;/ref-type&gt;&lt;contributors&gt;&lt;authors&gt;&lt;author&gt;Department of Health,&lt;/author&gt;&lt;/authors&gt;&lt;/contributors&gt;&lt;titles&gt;&lt;title&gt;Head to Health&lt;/title&gt;&lt;/titles&gt;&lt;volume&gt;2021&lt;/volume&gt;&lt;number&gt;5 June&lt;/number&gt;&lt;dates&gt;&lt;year&gt;n.d.&lt;/year&gt;&lt;/dates&gt;&lt;pub-location&gt;Canberra&lt;/pub-location&gt;&lt;publisher&gt;Australian Government&lt;/publisher&gt;&lt;urls&gt;&lt;related-urls&gt;&lt;url&gt;&lt;style face="underline" font="default" size="100%"&gt;https://headtohealth.gov.au/&lt;/style&gt;&lt;/url&gt;&lt;/related-urls&gt;&lt;/urls&gt;&lt;/record&gt;&lt;/Cite&gt;&lt;/EndNote&gt;</w:instrText>
      </w:r>
      <w:r w:rsidR="00B81CB1">
        <w:rPr>
          <w:lang w:val="en-US" w:bidi="th-TH"/>
        </w:rPr>
        <w:fldChar w:fldCharType="separate"/>
      </w:r>
      <w:r w:rsidR="00443B60" w:rsidRPr="00443B60">
        <w:rPr>
          <w:noProof/>
          <w:vertAlign w:val="superscript"/>
          <w:lang w:val="en-US" w:bidi="th-TH"/>
        </w:rPr>
        <w:t>1</w:t>
      </w:r>
      <w:r w:rsidR="00B81CB1">
        <w:rPr>
          <w:lang w:val="en-US" w:bidi="th-TH"/>
        </w:rPr>
        <w:fldChar w:fldCharType="end"/>
      </w:r>
    </w:p>
    <w:p w14:paraId="673E350A" w14:textId="4B585BBE" w:rsidR="00D65AFF" w:rsidRPr="00AA6B28" w:rsidRDefault="004A1FF3" w:rsidP="002029DC">
      <w:pPr>
        <w:pStyle w:val="ANorm"/>
        <w:spacing w:after="200"/>
        <w:rPr>
          <w:lang w:val="en-US" w:bidi="th-TH"/>
        </w:rPr>
      </w:pPr>
      <w:r w:rsidRPr="00AA6B28">
        <w:rPr>
          <w:lang w:val="en-US" w:bidi="th-TH"/>
        </w:rPr>
        <w:t>W</w:t>
      </w:r>
      <w:r w:rsidR="003810AF" w:rsidRPr="00AA6B28">
        <w:rPr>
          <w:lang w:val="en-US" w:bidi="th-TH"/>
        </w:rPr>
        <w:t>e use t</w:t>
      </w:r>
      <w:r w:rsidR="001113C9" w:rsidRPr="00AA6B28">
        <w:rPr>
          <w:lang w:val="en-US" w:bidi="th-TH"/>
        </w:rPr>
        <w:t xml:space="preserve">he term </w:t>
      </w:r>
      <w:r w:rsidR="000F6303" w:rsidRPr="00AA6B28">
        <w:rPr>
          <w:lang w:val="en-US" w:bidi="th-TH"/>
        </w:rPr>
        <w:t>DMH</w:t>
      </w:r>
      <w:r w:rsidR="002F58EE" w:rsidRPr="00AA6B28">
        <w:rPr>
          <w:lang w:val="en-US" w:bidi="th-TH"/>
        </w:rPr>
        <w:t>S</w:t>
      </w:r>
      <w:r w:rsidR="000F6303" w:rsidRPr="00AA6B28">
        <w:rPr>
          <w:lang w:val="en-US" w:bidi="th-TH"/>
        </w:rPr>
        <w:t xml:space="preserve">s </w:t>
      </w:r>
      <w:r w:rsidR="00D13A5D" w:rsidRPr="00AA6B28">
        <w:rPr>
          <w:lang w:val="en-US" w:bidi="th-TH"/>
        </w:rPr>
        <w:t xml:space="preserve">to </w:t>
      </w:r>
      <w:r w:rsidR="00743641" w:rsidRPr="00AA6B28">
        <w:rPr>
          <w:lang w:val="en-US" w:bidi="th-TH"/>
        </w:rPr>
        <w:t xml:space="preserve">refer to mental health </w:t>
      </w:r>
      <w:proofErr w:type="spellStart"/>
      <w:r w:rsidR="00454282" w:rsidRPr="00AA6B28">
        <w:rPr>
          <w:lang w:val="en-US" w:bidi="th-TH"/>
        </w:rPr>
        <w:t>organisations</w:t>
      </w:r>
      <w:proofErr w:type="spellEnd"/>
      <w:r w:rsidR="00454282" w:rsidRPr="00AA6B28">
        <w:rPr>
          <w:lang w:val="en-US" w:bidi="th-TH"/>
        </w:rPr>
        <w:t xml:space="preserve"> or programs that </w:t>
      </w:r>
      <w:r w:rsidRPr="00AA6B28">
        <w:rPr>
          <w:lang w:val="en-US" w:bidi="th-TH"/>
        </w:rPr>
        <w:t>r</w:t>
      </w:r>
      <w:r w:rsidR="008A0471" w:rsidRPr="00AA6B28">
        <w:rPr>
          <w:lang w:val="en-US" w:bidi="th-TH"/>
        </w:rPr>
        <w:t xml:space="preserve">emotely </w:t>
      </w:r>
      <w:r w:rsidR="00D13A5D" w:rsidRPr="00AA6B28">
        <w:rPr>
          <w:lang w:val="en-US" w:bidi="th-TH"/>
        </w:rPr>
        <w:t xml:space="preserve">deliver </w:t>
      </w:r>
      <w:r w:rsidR="00454282" w:rsidRPr="00AA6B28">
        <w:rPr>
          <w:lang w:val="en-US" w:bidi="th-TH"/>
        </w:rPr>
        <w:t xml:space="preserve">a range </w:t>
      </w:r>
      <w:r w:rsidR="000D1895">
        <w:rPr>
          <w:lang w:val="en-US" w:bidi="th-TH"/>
        </w:rPr>
        <w:t xml:space="preserve">of </w:t>
      </w:r>
      <w:r w:rsidR="005F67C6" w:rsidRPr="00AA6B28">
        <w:rPr>
          <w:lang w:val="en-US" w:bidi="th-TH"/>
        </w:rPr>
        <w:t xml:space="preserve">psychological strategies and interventions </w:t>
      </w:r>
      <w:r w:rsidR="0058476D" w:rsidRPr="00AA6B28">
        <w:rPr>
          <w:lang w:val="en-US" w:bidi="th-TH"/>
        </w:rPr>
        <w:t xml:space="preserve">via </w:t>
      </w:r>
      <w:r w:rsidR="00C42931" w:rsidRPr="00AA6B28">
        <w:rPr>
          <w:lang w:val="en-US" w:bidi="th-TH"/>
        </w:rPr>
        <w:t xml:space="preserve">online </w:t>
      </w:r>
      <w:r w:rsidR="00033894" w:rsidRPr="00AA6B28">
        <w:rPr>
          <w:lang w:val="en-US" w:bidi="th-TH"/>
        </w:rPr>
        <w:t xml:space="preserve">(desktops, mobile devices and apps) </w:t>
      </w:r>
      <w:r w:rsidR="0058476D" w:rsidRPr="00AA6B28">
        <w:rPr>
          <w:lang w:val="en-US" w:bidi="th-TH"/>
        </w:rPr>
        <w:t>and/or mobile platforms</w:t>
      </w:r>
      <w:r w:rsidR="006B5992" w:rsidRPr="00AA6B28">
        <w:rPr>
          <w:lang w:val="en-US" w:bidi="th-TH"/>
        </w:rPr>
        <w:t>.</w:t>
      </w:r>
      <w:r w:rsidR="00B81CB1">
        <w:rPr>
          <w:lang w:val="en-US" w:bidi="th-TH"/>
        </w:rPr>
        <w:fldChar w:fldCharType="begin"/>
      </w:r>
      <w:r w:rsidR="00443B60">
        <w:rPr>
          <w:lang w:val="en-US" w:bidi="th-TH"/>
        </w:rPr>
        <w:instrText xml:space="preserve"> ADDIN EN.CITE &lt;EndNote&gt;&lt;Cite&gt;&lt;Author&gt;Lattie&lt;/Author&gt;&lt;Year&gt;2022&lt;/Year&gt;&lt;RecNum&gt;116&lt;/RecNum&gt;&lt;DisplayText&gt;&lt;style face="superscript"&gt;2, 3&lt;/style&gt;&lt;/DisplayText&gt;&lt;record&gt;&lt;rec-number&gt;116&lt;/rec-number&gt;&lt;foreign-keys&gt;&lt;key app="EN" db-id="dawtr0zrkrzfa5edzzlpe2we0xa00t90vvr2" timestamp="1648438718"&gt;116&lt;/key&gt;&lt;/foreign-keys&gt;&lt;ref-type name="Journal Article"&gt;17&lt;/ref-type&gt;&lt;contributors&gt;&lt;authors&gt;&lt;author&gt;Lattie, Emily G.&lt;/author&gt;&lt;author&gt;Stiles-Shields, Colleen&lt;/author&gt;&lt;author&gt;Graham, Andrea K.&lt;/author&gt;&lt;/authors&gt;&lt;/contributors&gt;&lt;titles&gt;&lt;title&gt;An overview of and recommendations for more accessible digital mental health services&lt;/title&gt;&lt;secondary-title&gt;Nature Reviews Psychology&lt;/secondary-title&gt;&lt;/titles&gt;&lt;periodical&gt;&lt;full-title&gt;Nature Reviews Psychology&lt;/full-title&gt;&lt;/periodical&gt;&lt;pages&gt;87-100&lt;/pages&gt;&lt;volume&gt;1&lt;/volume&gt;&lt;number&gt;2&lt;/number&gt;&lt;dates&gt;&lt;year&gt;2022&lt;/year&gt;&lt;pub-dates&gt;&lt;date&gt;2022/02/01&lt;/date&gt;&lt;/pub-dates&gt;&lt;/dates&gt;&lt;isbn&gt;2731-0574&lt;/isbn&gt;&lt;urls&gt;&lt;related-urls&gt;&lt;url&gt;https://doi.org/10.1038/s44159-021-00003-1&lt;/url&gt;&lt;/related-urls&gt;&lt;/urls&gt;&lt;electronic-resource-num&gt;10.1038/s44159-021-00003-1&lt;/electronic-resource-num&gt;&lt;/record&gt;&lt;/Cite&gt;&lt;Cite&gt;&lt;Author&gt;Department of Health&lt;/Author&gt;&lt;Year&gt;2021&lt;/Year&gt;&lt;RecNum&gt;118&lt;/RecNum&gt;&lt;record&gt;&lt;rec-number&gt;118&lt;/rec-number&gt;&lt;foreign-keys&gt;&lt;key app="EN" db-id="dawtr0zrkrzfa5edzzlpe2we0xa00t90vvr2" timestamp="1648439268"&gt;118&lt;/key&gt;&lt;/foreign-keys&gt;&lt;ref-type name="Report"&gt;27&lt;/ref-type&gt;&lt;contributors&gt;&lt;authors&gt;&lt;author&gt;Department of Health,&lt;/author&gt;&lt;/authors&gt;&lt;/contributors&gt;&lt;titles&gt;&lt;title&gt;Form of Request for Quotation: Procurement of an organisation to undertake the independent evaluation of supported online mental health treatment services&lt;/title&gt;&lt;/titles&gt;&lt;dates&gt;&lt;year&gt;2021&lt;/year&gt;&lt;/dates&gt;&lt;pub-location&gt;Canberra&lt;/pub-location&gt;&lt;publisher&gt;Australian Government&lt;/publisher&gt;&lt;urls&gt;&lt;/urls&gt;&lt;/record&gt;&lt;/Cite&gt;&lt;/EndNote&gt;</w:instrText>
      </w:r>
      <w:r w:rsidR="00B81CB1">
        <w:rPr>
          <w:lang w:val="en-US" w:bidi="th-TH"/>
        </w:rPr>
        <w:fldChar w:fldCharType="separate"/>
      </w:r>
      <w:r w:rsidR="00443B60" w:rsidRPr="00443B60">
        <w:rPr>
          <w:noProof/>
          <w:vertAlign w:val="superscript"/>
          <w:lang w:val="en-US" w:bidi="th-TH"/>
        </w:rPr>
        <w:t>2, 3</w:t>
      </w:r>
      <w:r w:rsidR="00B81CB1">
        <w:rPr>
          <w:lang w:val="en-US" w:bidi="th-TH"/>
        </w:rPr>
        <w:fldChar w:fldCharType="end"/>
      </w:r>
      <w:r w:rsidR="006B5992" w:rsidRPr="00AA6B28">
        <w:rPr>
          <w:lang w:val="en-US" w:bidi="th-TH"/>
        </w:rPr>
        <w:t xml:space="preserve"> </w:t>
      </w:r>
      <w:r w:rsidR="00D64822" w:rsidRPr="00AA6B28">
        <w:rPr>
          <w:lang w:val="en-US" w:bidi="th-TH"/>
        </w:rPr>
        <w:t xml:space="preserve">DMHSs </w:t>
      </w:r>
      <w:r w:rsidR="00C22DC0" w:rsidRPr="00AA6B28">
        <w:rPr>
          <w:lang w:val="en-US" w:bidi="th-TH"/>
        </w:rPr>
        <w:t>include</w:t>
      </w:r>
      <w:r w:rsidR="008D4928" w:rsidRPr="00AA6B28">
        <w:rPr>
          <w:lang w:val="en-US" w:bidi="th-TH"/>
        </w:rPr>
        <w:t xml:space="preserve"> </w:t>
      </w:r>
      <w:r w:rsidR="00A41485" w:rsidRPr="00AA6B28">
        <w:rPr>
          <w:lang w:val="en-US" w:bidi="th-TH"/>
        </w:rPr>
        <w:t>services delivered</w:t>
      </w:r>
      <w:r w:rsidR="006B5992" w:rsidRPr="00AA6B28">
        <w:rPr>
          <w:lang w:val="en-US" w:bidi="th-TH"/>
        </w:rPr>
        <w:t xml:space="preserve"> by </w:t>
      </w:r>
      <w:r w:rsidR="006645FD" w:rsidRPr="00AA6B28">
        <w:rPr>
          <w:lang w:val="en-US" w:bidi="th-TH"/>
        </w:rPr>
        <w:t xml:space="preserve">phone </w:t>
      </w:r>
      <w:r w:rsidR="009E056C" w:rsidRPr="00AA6B28">
        <w:rPr>
          <w:lang w:val="en-US" w:bidi="th-TH"/>
        </w:rPr>
        <w:t xml:space="preserve">(e.g., crisis and counselling services) </w:t>
      </w:r>
      <w:r w:rsidR="006645FD" w:rsidRPr="00AA6B28">
        <w:rPr>
          <w:lang w:val="en-US" w:bidi="th-TH"/>
        </w:rPr>
        <w:t xml:space="preserve">or </w:t>
      </w:r>
      <w:r w:rsidR="004B0254" w:rsidRPr="00AA6B28">
        <w:rPr>
          <w:lang w:val="en-US" w:bidi="th-TH"/>
        </w:rPr>
        <w:t>videoconference-based connection</w:t>
      </w:r>
      <w:r w:rsidR="0015673A" w:rsidRPr="00AA6B28">
        <w:rPr>
          <w:lang w:val="en-US" w:bidi="th-TH"/>
        </w:rPr>
        <w:t>s (e.g., telehealth)</w:t>
      </w:r>
      <w:r w:rsidR="00905299" w:rsidRPr="00AA6B28">
        <w:rPr>
          <w:lang w:val="en-US" w:bidi="th-TH"/>
        </w:rPr>
        <w:t>.</w:t>
      </w:r>
      <w:r w:rsidR="00B81CB1">
        <w:rPr>
          <w:lang w:val="en-US" w:bidi="th-TH"/>
        </w:rPr>
        <w:fldChar w:fldCharType="begin"/>
      </w:r>
      <w:r w:rsidR="00443B60">
        <w:rPr>
          <w:lang w:val="en-US" w:bidi="th-TH"/>
        </w:rPr>
        <w:instrText xml:space="preserve"> ADDIN EN.CITE &lt;EndNote&gt;&lt;Cite&gt;&lt;Author&gt;Department of Health&lt;/Author&gt;&lt;Year&gt;2021&lt;/Year&gt;&lt;RecNum&gt;118&lt;/RecNum&gt;&lt;DisplayText&gt;&lt;style face="superscript"&gt;3&lt;/style&gt;&lt;/DisplayText&gt;&lt;record&gt;&lt;rec-number&gt;118&lt;/rec-number&gt;&lt;foreign-keys&gt;&lt;key app="EN" db-id="dawtr0zrkrzfa5edzzlpe2we0xa00t90vvr2" timestamp="1648439268"&gt;118&lt;/key&gt;&lt;/foreign-keys&gt;&lt;ref-type name="Report"&gt;27&lt;/ref-type&gt;&lt;contributors&gt;&lt;authors&gt;&lt;author&gt;Department of Health,&lt;/author&gt;&lt;/authors&gt;&lt;/contributors&gt;&lt;titles&gt;&lt;title&gt;Form of Request for Quotation: Procurement of an organisation to undertake the independent evaluation of supported online mental health treatment services&lt;/title&gt;&lt;/titles&gt;&lt;dates&gt;&lt;year&gt;2021&lt;/year&gt;&lt;/dates&gt;&lt;pub-location&gt;Canberra&lt;/pub-location&gt;&lt;publisher&gt;Australian Government&lt;/publisher&gt;&lt;urls&gt;&lt;/urls&gt;&lt;/record&gt;&lt;/Cite&gt;&lt;/EndNote&gt;</w:instrText>
      </w:r>
      <w:r w:rsidR="00B81CB1">
        <w:rPr>
          <w:lang w:val="en-US" w:bidi="th-TH"/>
        </w:rPr>
        <w:fldChar w:fldCharType="separate"/>
      </w:r>
      <w:r w:rsidR="00443B60" w:rsidRPr="00443B60">
        <w:rPr>
          <w:noProof/>
          <w:vertAlign w:val="superscript"/>
          <w:lang w:val="en-US" w:bidi="th-TH"/>
        </w:rPr>
        <w:t>3</w:t>
      </w:r>
      <w:r w:rsidR="00B81CB1">
        <w:rPr>
          <w:lang w:val="en-US" w:bidi="th-TH"/>
        </w:rPr>
        <w:fldChar w:fldCharType="end"/>
      </w:r>
      <w:r w:rsidR="006B661B" w:rsidRPr="00AA6B28">
        <w:rPr>
          <w:lang w:val="en-US" w:bidi="th-TH"/>
        </w:rPr>
        <w:t xml:space="preserve"> </w:t>
      </w:r>
      <w:r w:rsidR="00ED7643" w:rsidRPr="00AA6B28">
        <w:rPr>
          <w:lang w:val="en-US" w:bidi="th-TH"/>
        </w:rPr>
        <w:t xml:space="preserve">We </w:t>
      </w:r>
      <w:r w:rsidR="000531C7" w:rsidRPr="00AA6B28">
        <w:rPr>
          <w:lang w:val="en-US" w:bidi="th-TH"/>
        </w:rPr>
        <w:t>use the term</w:t>
      </w:r>
      <w:r w:rsidR="006B661B" w:rsidRPr="00AA6B28">
        <w:rPr>
          <w:lang w:val="en-US" w:bidi="th-TH"/>
        </w:rPr>
        <w:t xml:space="preserve"> </w:t>
      </w:r>
      <w:r w:rsidR="00640B33" w:rsidRPr="00AA6B28">
        <w:rPr>
          <w:lang w:val="en-US" w:bidi="th-TH"/>
        </w:rPr>
        <w:t xml:space="preserve">digital mental health interventions </w:t>
      </w:r>
      <w:r w:rsidR="000531C7" w:rsidRPr="00AA6B28">
        <w:rPr>
          <w:lang w:val="en-US" w:bidi="th-TH"/>
        </w:rPr>
        <w:t>(</w:t>
      </w:r>
      <w:r w:rsidR="006B661B" w:rsidRPr="00AA6B28">
        <w:rPr>
          <w:lang w:val="en-US" w:bidi="th-TH"/>
        </w:rPr>
        <w:t>DMHIs</w:t>
      </w:r>
      <w:r w:rsidR="000531C7" w:rsidRPr="00AA6B28">
        <w:rPr>
          <w:lang w:val="en-US" w:bidi="th-TH"/>
        </w:rPr>
        <w:t>)</w:t>
      </w:r>
      <w:r w:rsidR="006A477E" w:rsidRPr="00AA6B28">
        <w:rPr>
          <w:lang w:val="en-US" w:bidi="th-TH"/>
        </w:rPr>
        <w:t xml:space="preserve"> refer </w:t>
      </w:r>
      <w:r w:rsidR="00D0513E" w:rsidRPr="00AA6B28">
        <w:rPr>
          <w:lang w:val="en-US" w:bidi="th-TH"/>
        </w:rPr>
        <w:t xml:space="preserve">specifically </w:t>
      </w:r>
      <w:r w:rsidR="006A477E" w:rsidRPr="00AA6B28">
        <w:rPr>
          <w:lang w:val="en-US" w:bidi="th-TH"/>
        </w:rPr>
        <w:t xml:space="preserve">to </w:t>
      </w:r>
      <w:r w:rsidR="00D0513E" w:rsidRPr="00AA6B28">
        <w:rPr>
          <w:lang w:val="en-US" w:bidi="th-TH"/>
        </w:rPr>
        <w:t>digital mental health treatment</w:t>
      </w:r>
      <w:r w:rsidR="00644821" w:rsidRPr="00AA6B28">
        <w:rPr>
          <w:lang w:val="en-US" w:bidi="th-TH"/>
        </w:rPr>
        <w:t>,</w:t>
      </w:r>
      <w:r w:rsidR="00602F61" w:rsidRPr="00AA6B28">
        <w:rPr>
          <w:lang w:val="en-US" w:bidi="th-TH"/>
        </w:rPr>
        <w:t xml:space="preserve"> which is</w:t>
      </w:r>
      <w:r w:rsidR="00644821" w:rsidRPr="00AA6B28">
        <w:rPr>
          <w:lang w:val="en-US" w:bidi="th-TH"/>
        </w:rPr>
        <w:t xml:space="preserve"> typically one of several components of what DMHS</w:t>
      </w:r>
      <w:r w:rsidR="00D0513E" w:rsidRPr="00AA6B28">
        <w:rPr>
          <w:lang w:val="en-US" w:bidi="th-TH"/>
        </w:rPr>
        <w:t>s</w:t>
      </w:r>
      <w:r w:rsidR="00644821" w:rsidRPr="00AA6B28">
        <w:rPr>
          <w:lang w:val="en-US" w:bidi="th-TH"/>
        </w:rPr>
        <w:t xml:space="preserve"> offer</w:t>
      </w:r>
      <w:r w:rsidR="00D0513E" w:rsidRPr="00AA6B28">
        <w:rPr>
          <w:lang w:val="en-US" w:bidi="th-TH"/>
        </w:rPr>
        <w:t>.</w:t>
      </w:r>
    </w:p>
    <w:p w14:paraId="6CE63594" w14:textId="11A0CCD1" w:rsidR="00A54633" w:rsidRPr="00AA6B28" w:rsidRDefault="00033894" w:rsidP="002029DC">
      <w:pPr>
        <w:pStyle w:val="ANorm"/>
        <w:spacing w:after="200"/>
        <w:rPr>
          <w:lang w:val="en-US" w:bidi="th-TH"/>
        </w:rPr>
      </w:pPr>
      <w:r w:rsidRPr="00AA6B28">
        <w:rPr>
          <w:lang w:val="en-US" w:bidi="th-TH"/>
        </w:rPr>
        <w:t>DMHSs</w:t>
      </w:r>
      <w:r w:rsidR="000F6303" w:rsidRPr="00AA6B28">
        <w:rPr>
          <w:lang w:val="en-US" w:bidi="th-TH"/>
        </w:rPr>
        <w:t xml:space="preserve"> can help improve access to mental health care or complement traditional face-to-face care</w:t>
      </w:r>
      <w:r w:rsidR="006C681A">
        <w:rPr>
          <w:lang w:val="en-US" w:bidi="th-TH"/>
        </w:rPr>
        <w:t xml:space="preserve"> </w:t>
      </w:r>
      <w:r w:rsidR="000F6303" w:rsidRPr="00AA6B28">
        <w:rPr>
          <w:lang w:val="en-US" w:bidi="th-TH"/>
        </w:rPr>
        <w:t xml:space="preserve">given their scalability and the ubiquity of desktop, mobile and telephone devices. </w:t>
      </w:r>
      <w:r w:rsidR="00657A70" w:rsidRPr="00AA6B28">
        <w:rPr>
          <w:lang w:val="en-US" w:bidi="th-TH"/>
        </w:rPr>
        <w:t>DMH</w:t>
      </w:r>
      <w:r w:rsidR="002F58EE" w:rsidRPr="00AA6B28">
        <w:rPr>
          <w:lang w:val="en-US" w:bidi="th-TH"/>
        </w:rPr>
        <w:t>S</w:t>
      </w:r>
      <w:r w:rsidR="00657A70" w:rsidRPr="00AA6B28">
        <w:rPr>
          <w:lang w:val="en-US" w:bidi="th-TH"/>
        </w:rPr>
        <w:t>s</w:t>
      </w:r>
      <w:r w:rsidR="000F6303" w:rsidRPr="00AA6B28">
        <w:rPr>
          <w:lang w:val="en-US" w:bidi="th-TH"/>
        </w:rPr>
        <w:t xml:space="preserve"> are low-cost for end-users and have the potential to reach people who do not or cannot access </w:t>
      </w:r>
      <w:r w:rsidR="006A5476">
        <w:rPr>
          <w:lang w:val="en-US" w:bidi="th-TH"/>
        </w:rPr>
        <w:t xml:space="preserve">traditional </w:t>
      </w:r>
      <w:r w:rsidR="000F6303" w:rsidRPr="00AA6B28">
        <w:rPr>
          <w:lang w:val="en-US" w:bidi="th-TH"/>
        </w:rPr>
        <w:t xml:space="preserve">services (e.g., people in rural/remote and low-income regions) in a convenient setting (home, workplace, schools, through clinicians’ workplaces). </w:t>
      </w:r>
      <w:r w:rsidR="00657A70" w:rsidRPr="00AA6B28">
        <w:rPr>
          <w:lang w:val="en-US" w:bidi="th-TH"/>
        </w:rPr>
        <w:t>DMH</w:t>
      </w:r>
      <w:r w:rsidR="002F58EE" w:rsidRPr="00AA6B28">
        <w:rPr>
          <w:lang w:val="en-US" w:bidi="th-TH"/>
        </w:rPr>
        <w:t>S</w:t>
      </w:r>
      <w:r w:rsidR="00657A70" w:rsidRPr="00AA6B28">
        <w:rPr>
          <w:lang w:val="en-US" w:bidi="th-TH"/>
        </w:rPr>
        <w:t>s</w:t>
      </w:r>
      <w:r w:rsidR="000F6303" w:rsidRPr="00AA6B28">
        <w:rPr>
          <w:lang w:val="en-US" w:bidi="th-TH"/>
        </w:rPr>
        <w:t xml:space="preserve"> are portable and have the added advantage of </w:t>
      </w:r>
      <w:r w:rsidR="00935BB0" w:rsidRPr="00AA6B28">
        <w:rPr>
          <w:lang w:val="en-US" w:bidi="th-TH"/>
        </w:rPr>
        <w:t>reducing</w:t>
      </w:r>
      <w:r w:rsidR="000F6303" w:rsidRPr="00AA6B28">
        <w:rPr>
          <w:lang w:val="en-US" w:bidi="th-TH"/>
        </w:rPr>
        <w:t xml:space="preserve"> </w:t>
      </w:r>
      <w:r w:rsidR="00935BB0" w:rsidRPr="00AA6B28">
        <w:rPr>
          <w:lang w:val="en-US" w:bidi="th-TH"/>
        </w:rPr>
        <w:t xml:space="preserve">the </w:t>
      </w:r>
      <w:r w:rsidR="000F6303" w:rsidRPr="00AA6B28">
        <w:rPr>
          <w:lang w:val="en-US" w:bidi="th-TH"/>
        </w:rPr>
        <w:t xml:space="preserve">stigma associated with using mental health services by offering users anonymity and the ability to manage their mental health problems </w:t>
      </w:r>
      <w:r w:rsidR="00935BB0" w:rsidRPr="00AA6B28">
        <w:rPr>
          <w:lang w:val="en-US" w:bidi="th-TH"/>
        </w:rPr>
        <w:t xml:space="preserve">in </w:t>
      </w:r>
      <w:r w:rsidR="000F6303" w:rsidRPr="00AA6B28">
        <w:rPr>
          <w:lang w:val="en-US" w:bidi="th-TH"/>
        </w:rPr>
        <w:t>real-time</w:t>
      </w:r>
      <w:r w:rsidR="00CD5363">
        <w:rPr>
          <w:lang w:val="en-US" w:bidi="th-TH"/>
        </w:rPr>
        <w:t>,</w:t>
      </w:r>
      <w:r w:rsidR="000F6303" w:rsidRPr="00AA6B28">
        <w:rPr>
          <w:lang w:val="en-US" w:bidi="th-TH"/>
        </w:rPr>
        <w:t xml:space="preserve"> 24</w:t>
      </w:r>
      <w:r w:rsidR="00D77589" w:rsidRPr="00AA6B28">
        <w:rPr>
          <w:lang w:val="en-US" w:bidi="th-TH"/>
        </w:rPr>
        <w:t xml:space="preserve"> hours a day</w:t>
      </w:r>
      <w:r w:rsidR="00CD5363" w:rsidRPr="00AA6B28">
        <w:rPr>
          <w:lang w:val="en-US" w:bidi="th-TH"/>
        </w:rPr>
        <w:t>,</w:t>
      </w:r>
      <w:r w:rsidR="00596560">
        <w:rPr>
          <w:lang w:val="en-US" w:bidi="th-TH"/>
        </w:rPr>
        <w:t xml:space="preserve"> </w:t>
      </w:r>
      <w:r w:rsidR="00CD5363">
        <w:rPr>
          <w:lang w:val="en-US" w:bidi="th-TH"/>
        </w:rPr>
        <w:t>seven</w:t>
      </w:r>
      <w:r w:rsidR="00596560">
        <w:rPr>
          <w:lang w:val="en-US" w:bidi="th-TH"/>
        </w:rPr>
        <w:t xml:space="preserve"> </w:t>
      </w:r>
      <w:r w:rsidR="00D77589" w:rsidRPr="00AA6B28">
        <w:rPr>
          <w:lang w:val="en-US" w:bidi="th-TH"/>
        </w:rPr>
        <w:t>days a week.</w:t>
      </w:r>
      <w:r w:rsidR="00B81CB1">
        <w:rPr>
          <w:lang w:val="en-US" w:bidi="th-TH"/>
        </w:rPr>
        <w:fldChar w:fldCharType="begin"/>
      </w:r>
      <w:r w:rsidR="004469A2">
        <w:rPr>
          <w:lang w:val="en-US" w:bidi="th-TH"/>
        </w:rPr>
        <w:instrText xml:space="preserve"> ADDIN EN.CITE &lt;EndNote&gt;&lt;Cite&gt;&lt;Author&gt;Hollis&lt;/Author&gt;&lt;Year&gt;2015&lt;/Year&gt;&lt;RecNum&gt;2&lt;/RecNum&gt;&lt;DisplayText&gt;&lt;style face="superscript"&gt;26&lt;/style&gt;&lt;/DisplayText&gt;&lt;record&gt;&lt;rec-number&gt;2&lt;/rec-number&gt;&lt;foreign-keys&gt;&lt;key app="EN" db-id="dawtr0zrkrzfa5edzzlpe2we0xa00t90vvr2" timestamp="1622893796"&gt;2&lt;/key&gt;&lt;/foreign-keys&gt;&lt;ref-type name="Journal Article"&gt;17&lt;/ref-type&gt;&lt;contributors&gt;&lt;authors&gt;&lt;author&gt;Hollis, Chris&lt;/author&gt;&lt;author&gt;Morriss, Richard&lt;/author&gt;&lt;author&gt;Martin, Jennifer&lt;/author&gt;&lt;author&gt;Amani, Sarah&lt;/author&gt;&lt;author&gt;Cotton, Rebecca&lt;/author&gt;&lt;author&gt;Denis, Mike&lt;/author&gt;&lt;author&gt;Lewis, Shôn&lt;/author&gt;&lt;/authors&gt;&lt;/contributors&gt;&lt;titles&gt;&lt;title&gt;Technological innovations in mental healthcare: harnessing the digital revolution&lt;/title&gt;&lt;secondary-title&gt;British Journal of Psychiatry&lt;/secondary-title&gt;&lt;/titles&gt;&lt;pages&gt;263-265&lt;/pages&gt;&lt;volume&gt;206&lt;/volume&gt;&lt;number&gt;4&lt;/number&gt;&lt;edition&gt;2018/01/02&lt;/edition&gt;&lt;dates&gt;&lt;year&gt;2015&lt;/year&gt;&lt;/dates&gt;&lt;publisher&gt;Cambridge University Press&lt;/publisher&gt;&lt;isbn&gt;0007-1250&lt;/isbn&gt;&lt;urls&gt;&lt;related-urls&gt;&lt;url&gt;https://www.cambridge.org/core/article/technological-innovations-in-mental-healthcare-harnessing-the-digital-revolution/05CBA5A580E121D4F82045DA95ADE5BE&lt;/url&gt;&lt;/related-urls&gt;&lt;/urls&gt;&lt;electronic-resource-num&gt;10.1192/bjp.bp.113.142612&lt;/electronic-resource-num&gt;&lt;remote-database-name&gt;Cambridge Core&lt;/remote-database-name&gt;&lt;remote-database-provider&gt;Cambridge University Press&lt;/remote-database-provider&gt;&lt;/record&gt;&lt;/Cite&gt;&lt;/EndNote&gt;</w:instrText>
      </w:r>
      <w:r w:rsidR="00B81CB1">
        <w:rPr>
          <w:lang w:val="en-US" w:bidi="th-TH"/>
        </w:rPr>
        <w:fldChar w:fldCharType="separate"/>
      </w:r>
      <w:r w:rsidR="004469A2" w:rsidRPr="004469A2">
        <w:rPr>
          <w:noProof/>
          <w:vertAlign w:val="superscript"/>
          <w:lang w:val="en-US" w:bidi="th-TH"/>
        </w:rPr>
        <w:t>26</w:t>
      </w:r>
      <w:r w:rsidR="00B81CB1">
        <w:rPr>
          <w:lang w:val="en-US" w:bidi="th-TH"/>
        </w:rPr>
        <w:fldChar w:fldCharType="end"/>
      </w:r>
    </w:p>
    <w:p w14:paraId="502A8C5C" w14:textId="5B5605C1" w:rsidR="00357BD5" w:rsidRPr="0009767C" w:rsidRDefault="002B0566" w:rsidP="002029DC">
      <w:pPr>
        <w:pStyle w:val="ANorm"/>
        <w:spacing w:after="200"/>
        <w:rPr>
          <w:color w:val="000000"/>
        </w:rPr>
      </w:pPr>
      <w:r w:rsidRPr="00AA6B28">
        <w:rPr>
          <w:lang w:val="en-US" w:bidi="th-TH"/>
        </w:rPr>
        <w:t>DMHSs</w:t>
      </w:r>
      <w:r w:rsidR="00B00FF0" w:rsidRPr="00AA6B28">
        <w:rPr>
          <w:lang w:val="en-US" w:bidi="th-TH"/>
        </w:rPr>
        <w:t xml:space="preserve"> differ in the </w:t>
      </w:r>
      <w:r w:rsidR="00BF45E5" w:rsidRPr="00AA6B28">
        <w:rPr>
          <w:lang w:val="en-US" w:bidi="th-TH"/>
        </w:rPr>
        <w:t xml:space="preserve">type </w:t>
      </w:r>
      <w:r w:rsidR="00B00FF0" w:rsidRPr="00AA6B28">
        <w:rPr>
          <w:lang w:val="en-US" w:bidi="th-TH"/>
        </w:rPr>
        <w:t xml:space="preserve">and </w:t>
      </w:r>
      <w:r w:rsidR="00BF45E5" w:rsidRPr="00AA6B28">
        <w:rPr>
          <w:lang w:val="en-US" w:bidi="th-TH"/>
        </w:rPr>
        <w:t xml:space="preserve">level </w:t>
      </w:r>
      <w:r w:rsidR="006A5476">
        <w:rPr>
          <w:lang w:val="en-US" w:bidi="th-TH"/>
        </w:rPr>
        <w:t xml:space="preserve">of </w:t>
      </w:r>
      <w:r w:rsidR="00E04156">
        <w:rPr>
          <w:lang w:val="en-US" w:bidi="th-TH"/>
        </w:rPr>
        <w:t>therapist (</w:t>
      </w:r>
      <w:r w:rsidR="00B00FF0" w:rsidRPr="00AA6B28">
        <w:rPr>
          <w:lang w:val="en-US" w:bidi="th-TH"/>
        </w:rPr>
        <w:t>clinician</w:t>
      </w:r>
      <w:r w:rsidR="00E04156">
        <w:rPr>
          <w:lang w:val="en-US" w:bidi="th-TH"/>
        </w:rPr>
        <w:t>)</w:t>
      </w:r>
      <w:r w:rsidR="00B00FF0" w:rsidRPr="00AA6B28">
        <w:rPr>
          <w:lang w:val="en-US" w:bidi="th-TH"/>
        </w:rPr>
        <w:t xml:space="preserve"> support provided</w:t>
      </w:r>
      <w:r w:rsidR="00B025FE" w:rsidRPr="00AA6B28">
        <w:rPr>
          <w:lang w:val="en-US" w:bidi="th-TH"/>
        </w:rPr>
        <w:t xml:space="preserve">. </w:t>
      </w:r>
      <w:r w:rsidR="000F6303" w:rsidRPr="00AA6B28">
        <w:rPr>
          <w:lang w:val="en-US" w:bidi="th-TH"/>
        </w:rPr>
        <w:t>Some DMH</w:t>
      </w:r>
      <w:r w:rsidR="002F58EE" w:rsidRPr="00AA6B28">
        <w:rPr>
          <w:lang w:val="en-US" w:bidi="th-TH"/>
        </w:rPr>
        <w:t>S</w:t>
      </w:r>
      <w:r w:rsidR="000F6303" w:rsidRPr="00AA6B28">
        <w:rPr>
          <w:lang w:val="en-US" w:bidi="th-TH"/>
        </w:rPr>
        <w:t xml:space="preserve">s </w:t>
      </w:r>
      <w:r w:rsidR="00B025FE" w:rsidRPr="00AA6B28">
        <w:rPr>
          <w:lang w:val="en-US" w:bidi="th-TH"/>
        </w:rPr>
        <w:t xml:space="preserve">do not offer any </w:t>
      </w:r>
      <w:r w:rsidR="00E04156">
        <w:rPr>
          <w:lang w:val="en-US" w:bidi="th-TH"/>
        </w:rPr>
        <w:t>therapist</w:t>
      </w:r>
      <w:r w:rsidR="00B025FE" w:rsidRPr="00AA6B28">
        <w:rPr>
          <w:lang w:val="en-US" w:bidi="th-TH"/>
        </w:rPr>
        <w:t xml:space="preserve"> support </w:t>
      </w:r>
      <w:r w:rsidR="00BF45E5" w:rsidRPr="00AA6B28">
        <w:rPr>
          <w:lang w:val="en-US" w:bidi="th-TH"/>
        </w:rPr>
        <w:t xml:space="preserve">and are considered to be </w:t>
      </w:r>
      <w:r w:rsidR="00922515" w:rsidRPr="00AA6B28">
        <w:rPr>
          <w:lang w:val="en-US" w:bidi="th-TH"/>
        </w:rPr>
        <w:t xml:space="preserve">fully </w:t>
      </w:r>
      <w:r w:rsidR="000F6303" w:rsidRPr="00AA6B28">
        <w:rPr>
          <w:lang w:val="en-US" w:bidi="th-TH"/>
        </w:rPr>
        <w:t>automated self-</w:t>
      </w:r>
      <w:r w:rsidR="00BF45E5" w:rsidRPr="00AA6B28">
        <w:rPr>
          <w:lang w:val="en-US" w:bidi="th-TH"/>
        </w:rPr>
        <w:t>directed</w:t>
      </w:r>
      <w:r w:rsidR="000F6303" w:rsidRPr="00AA6B28">
        <w:rPr>
          <w:lang w:val="en-US" w:bidi="th-TH"/>
        </w:rPr>
        <w:t xml:space="preserve"> </w:t>
      </w:r>
      <w:r w:rsidR="007678CF" w:rsidRPr="00AA6B28">
        <w:rPr>
          <w:lang w:val="en-US" w:bidi="th-TH"/>
        </w:rPr>
        <w:t>(</w:t>
      </w:r>
      <w:r w:rsidR="00716272" w:rsidRPr="00AA6B28">
        <w:rPr>
          <w:lang w:val="en-US" w:bidi="th-TH"/>
        </w:rPr>
        <w:t xml:space="preserve">or </w:t>
      </w:r>
      <w:r w:rsidR="007678CF" w:rsidRPr="00AA6B28">
        <w:rPr>
          <w:lang w:val="en-US" w:bidi="th-TH"/>
        </w:rPr>
        <w:t xml:space="preserve">unguided) </w:t>
      </w:r>
      <w:r w:rsidR="000F6303" w:rsidRPr="00AA6B28">
        <w:rPr>
          <w:lang w:val="en-US" w:bidi="th-TH"/>
        </w:rPr>
        <w:t>programs</w:t>
      </w:r>
      <w:r w:rsidR="00935BB0" w:rsidRPr="00AA6B28">
        <w:rPr>
          <w:lang w:val="en-US" w:bidi="th-TH"/>
        </w:rPr>
        <w:t>,</w:t>
      </w:r>
      <w:r w:rsidR="000F6303" w:rsidRPr="00AA6B28">
        <w:rPr>
          <w:lang w:val="en-US" w:bidi="th-TH"/>
        </w:rPr>
        <w:t xml:space="preserve"> and others involve </w:t>
      </w:r>
      <w:r w:rsidR="00ED0C5D" w:rsidRPr="00AA6B28">
        <w:rPr>
          <w:lang w:val="en-US" w:bidi="th-TH"/>
        </w:rPr>
        <w:t xml:space="preserve">support </w:t>
      </w:r>
      <w:r w:rsidR="00D13193" w:rsidRPr="00AA6B28">
        <w:rPr>
          <w:lang w:val="en-US" w:bidi="th-TH"/>
        </w:rPr>
        <w:t>(</w:t>
      </w:r>
      <w:r w:rsidR="00ED0C5D" w:rsidRPr="00AA6B28">
        <w:rPr>
          <w:lang w:val="en-US" w:bidi="th-TH"/>
        </w:rPr>
        <w:t xml:space="preserve">or </w:t>
      </w:r>
      <w:r w:rsidR="000F6303" w:rsidRPr="00AA6B28">
        <w:rPr>
          <w:lang w:val="en-US" w:bidi="th-TH"/>
        </w:rPr>
        <w:t>guidance</w:t>
      </w:r>
      <w:r w:rsidR="00D13193" w:rsidRPr="00AA6B28">
        <w:rPr>
          <w:lang w:val="en-US" w:bidi="th-TH"/>
        </w:rPr>
        <w:t>)</w:t>
      </w:r>
      <w:r w:rsidR="000F6303" w:rsidRPr="00AA6B28">
        <w:rPr>
          <w:lang w:val="en-US" w:bidi="th-TH"/>
        </w:rPr>
        <w:t xml:space="preserve"> from </w:t>
      </w:r>
      <w:r w:rsidR="00E04156">
        <w:rPr>
          <w:lang w:val="en-US" w:bidi="th-TH"/>
        </w:rPr>
        <w:t>therapist</w:t>
      </w:r>
      <w:r w:rsidR="000F6303" w:rsidRPr="00AA6B28">
        <w:rPr>
          <w:lang w:val="en-US" w:bidi="th-TH"/>
        </w:rPr>
        <w:t>s, volunteer crisis supporters, teachers, administrators or peers.</w:t>
      </w:r>
      <w:r w:rsidR="00B81CB1">
        <w:rPr>
          <w:lang w:val="en-US" w:bidi="th-TH"/>
        </w:rPr>
        <w:fldChar w:fldCharType="begin"/>
      </w:r>
      <w:r w:rsidR="00443B60">
        <w:rPr>
          <w:lang w:val="en-US" w:bidi="th-TH"/>
        </w:rPr>
        <w:instrText xml:space="preserve"> ADDIN EN.CITE &lt;EndNote&gt;&lt;Cite&gt;&lt;Author&gt;Department of Health&lt;/Author&gt;&lt;Year&gt;2021&lt;/Year&gt;&lt;RecNum&gt;118&lt;/RecNum&gt;&lt;DisplayText&gt;&lt;style face="superscript"&gt;3&lt;/style&gt;&lt;/DisplayText&gt;&lt;record&gt;&lt;rec-number&gt;118&lt;/rec-number&gt;&lt;foreign-keys&gt;&lt;key app="EN" db-id="dawtr0zrkrzfa5edzzlpe2we0xa00t90vvr2" timestamp="1648439268"&gt;118&lt;/key&gt;&lt;/foreign-keys&gt;&lt;ref-type name="Report"&gt;27&lt;/ref-type&gt;&lt;contributors&gt;&lt;authors&gt;&lt;author&gt;Department of Health,&lt;/author&gt;&lt;/authors&gt;&lt;/contributors&gt;&lt;titles&gt;&lt;title&gt;Form of Request for Quotation: Procurement of an organisation to undertake the independent evaluation of supported online mental health treatment services&lt;/title&gt;&lt;/titles&gt;&lt;dates&gt;&lt;year&gt;2021&lt;/year&gt;&lt;/dates&gt;&lt;pub-location&gt;Canberra&lt;/pub-location&gt;&lt;publisher&gt;Australian Government&lt;/publisher&gt;&lt;urls&gt;&lt;/urls&gt;&lt;/record&gt;&lt;/Cite&gt;&lt;/EndNote&gt;</w:instrText>
      </w:r>
      <w:r w:rsidR="00B81CB1">
        <w:rPr>
          <w:lang w:val="en-US" w:bidi="th-TH"/>
        </w:rPr>
        <w:fldChar w:fldCharType="separate"/>
      </w:r>
      <w:r w:rsidR="00443B60" w:rsidRPr="00443B60">
        <w:rPr>
          <w:noProof/>
          <w:vertAlign w:val="superscript"/>
          <w:lang w:val="en-US" w:bidi="th-TH"/>
        </w:rPr>
        <w:t>3</w:t>
      </w:r>
      <w:r w:rsidR="00B81CB1">
        <w:rPr>
          <w:lang w:val="en-US" w:bidi="th-TH"/>
        </w:rPr>
        <w:fldChar w:fldCharType="end"/>
      </w:r>
      <w:r w:rsidR="000F6303" w:rsidRPr="00AA6B28">
        <w:rPr>
          <w:lang w:val="en-US" w:bidi="th-TH"/>
        </w:rPr>
        <w:t xml:space="preserve"> </w:t>
      </w:r>
      <w:r w:rsidR="00210494" w:rsidRPr="00AA6B28">
        <w:rPr>
          <w:lang w:val="en-US" w:bidi="th-TH"/>
        </w:rPr>
        <w:t xml:space="preserve">The latter, that is, </w:t>
      </w:r>
      <w:r w:rsidR="009D0E31" w:rsidRPr="00AA6B28">
        <w:rPr>
          <w:lang w:val="en-US" w:bidi="th-TH"/>
        </w:rPr>
        <w:t>DMHSs</w:t>
      </w:r>
      <w:r w:rsidR="00340FB6" w:rsidRPr="00AA6B28">
        <w:rPr>
          <w:lang w:val="en-US" w:bidi="th-TH"/>
        </w:rPr>
        <w:t xml:space="preserve"> involving </w:t>
      </w:r>
      <w:r w:rsidR="00821847" w:rsidRPr="00AA6B28">
        <w:rPr>
          <w:lang w:val="en-US" w:bidi="th-TH"/>
        </w:rPr>
        <w:t xml:space="preserve">human </w:t>
      </w:r>
      <w:r w:rsidR="00340FB6" w:rsidRPr="00AA6B28">
        <w:rPr>
          <w:lang w:val="en-US" w:bidi="th-TH"/>
        </w:rPr>
        <w:t>support</w:t>
      </w:r>
      <w:r w:rsidR="00210494" w:rsidRPr="00AA6B28">
        <w:rPr>
          <w:lang w:val="en-US" w:bidi="th-TH"/>
        </w:rPr>
        <w:t>,</w:t>
      </w:r>
      <w:r w:rsidR="00340FB6" w:rsidRPr="00AA6B28">
        <w:rPr>
          <w:lang w:val="en-US" w:bidi="th-TH"/>
        </w:rPr>
        <w:t xml:space="preserve"> </w:t>
      </w:r>
      <w:r w:rsidR="00A10CD8" w:rsidRPr="00AA6B28">
        <w:rPr>
          <w:lang w:val="en-US" w:bidi="th-TH"/>
        </w:rPr>
        <w:t>can b</w:t>
      </w:r>
      <w:r w:rsidR="001F6070" w:rsidRPr="00AA6B28">
        <w:rPr>
          <w:lang w:val="en-US" w:bidi="th-TH"/>
        </w:rPr>
        <w:t xml:space="preserve">e </w:t>
      </w:r>
      <w:r w:rsidR="00A10CD8" w:rsidRPr="00AA6B28">
        <w:rPr>
          <w:lang w:val="en-US" w:bidi="th-TH"/>
        </w:rPr>
        <w:t xml:space="preserve">further </w:t>
      </w:r>
      <w:r w:rsidR="009D0E31" w:rsidRPr="00AA6B28">
        <w:rPr>
          <w:lang w:val="en-US" w:bidi="th-TH"/>
        </w:rPr>
        <w:t xml:space="preserve">grouped into those </w:t>
      </w:r>
      <w:r w:rsidR="00670DFA" w:rsidRPr="00AA6B28">
        <w:rPr>
          <w:lang w:val="en-US" w:bidi="th-TH"/>
        </w:rPr>
        <w:t xml:space="preserve">that provide monitoring </w:t>
      </w:r>
      <w:r w:rsidR="00441F4F" w:rsidRPr="00AA6B28">
        <w:rPr>
          <w:lang w:val="en-US" w:bidi="th-TH"/>
        </w:rPr>
        <w:t xml:space="preserve">and optional support </w:t>
      </w:r>
      <w:r w:rsidR="00974148" w:rsidRPr="00AA6B28">
        <w:rPr>
          <w:lang w:val="en-US" w:bidi="th-TH"/>
        </w:rPr>
        <w:t>c</w:t>
      </w:r>
      <w:r w:rsidR="00441F4F" w:rsidRPr="00AA6B28">
        <w:rPr>
          <w:lang w:val="en-US" w:bidi="th-TH"/>
        </w:rPr>
        <w:t>ompleting</w:t>
      </w:r>
      <w:r w:rsidR="00DD6BD8" w:rsidRPr="00AA6B28">
        <w:rPr>
          <w:lang w:val="en-US" w:bidi="th-TH"/>
        </w:rPr>
        <w:t xml:space="preserve"> self-directed </w:t>
      </w:r>
      <w:r w:rsidR="00441225" w:rsidRPr="00AA6B28">
        <w:rPr>
          <w:lang w:val="en-US" w:bidi="th-TH"/>
        </w:rPr>
        <w:t>online modules</w:t>
      </w:r>
      <w:r w:rsidR="00DD6BD8" w:rsidRPr="00AA6B28">
        <w:rPr>
          <w:lang w:val="en-US" w:bidi="th-TH"/>
        </w:rPr>
        <w:t xml:space="preserve"> and those </w:t>
      </w:r>
      <w:r w:rsidR="0044467F" w:rsidRPr="00AA6B28">
        <w:rPr>
          <w:lang w:val="en-US" w:bidi="th-TH"/>
        </w:rPr>
        <w:t>i</w:t>
      </w:r>
      <w:r w:rsidR="00821847" w:rsidRPr="00AA6B28">
        <w:rPr>
          <w:lang w:val="en-US" w:bidi="th-TH"/>
        </w:rPr>
        <w:t>nvolv</w:t>
      </w:r>
      <w:r w:rsidR="0044467F" w:rsidRPr="00AA6B28">
        <w:rPr>
          <w:lang w:val="en-US" w:bidi="th-TH"/>
        </w:rPr>
        <w:t xml:space="preserve">ing </w:t>
      </w:r>
      <w:r w:rsidR="000F6303" w:rsidRPr="00AA6B28">
        <w:rPr>
          <w:lang w:val="en-US" w:bidi="th-TH"/>
        </w:rPr>
        <w:t>therapist support, usually occurring after consumers complete successive online modules.</w:t>
      </w:r>
    </w:p>
    <w:p w14:paraId="09B26B16" w14:textId="137F56EB" w:rsidR="00BB0C6D" w:rsidRPr="0009767C" w:rsidRDefault="000F6303" w:rsidP="004C6E77">
      <w:pPr>
        <w:pStyle w:val="ANorm"/>
        <w:spacing w:after="240"/>
      </w:pPr>
      <w:r w:rsidRPr="00AA6B28">
        <w:rPr>
          <w:lang w:bidi="th-TH"/>
        </w:rPr>
        <w:t xml:space="preserve">The Productivity Commission Mental Health Inquiry Report noted the potential benefits of supported </w:t>
      </w:r>
      <w:r w:rsidR="002F58EE" w:rsidRPr="00AA6B28">
        <w:rPr>
          <w:lang w:bidi="th-TH"/>
        </w:rPr>
        <w:t xml:space="preserve">or guided </w:t>
      </w:r>
      <w:r w:rsidRPr="00AA6B28">
        <w:rPr>
          <w:lang w:bidi="th-TH"/>
        </w:rPr>
        <w:t>DMH</w:t>
      </w:r>
      <w:r w:rsidR="002F58EE" w:rsidRPr="00AA6B28">
        <w:rPr>
          <w:lang w:bidi="th-TH"/>
        </w:rPr>
        <w:t>Ss</w:t>
      </w:r>
      <w:r w:rsidRPr="00AA6B28">
        <w:rPr>
          <w:lang w:bidi="th-TH"/>
        </w:rPr>
        <w:t>.</w:t>
      </w:r>
      <w:r w:rsidR="00B81CB1">
        <w:rPr>
          <w:lang w:bidi="th-TH"/>
        </w:rPr>
        <w:fldChar w:fldCharType="begin"/>
      </w:r>
      <w:r w:rsidR="00443B60">
        <w:rPr>
          <w:lang w:bidi="th-TH"/>
        </w:rPr>
        <w:instrText xml:space="preserve"> ADDIN EN.CITE &lt;EndNote&gt;&lt;Cite&gt;&lt;Author&gt;Productivity Commission&lt;/Author&gt;&lt;Year&gt;2020&lt;/Year&gt;&lt;RecNum&gt;3&lt;/RecNum&gt;&lt;DisplayText&gt;&lt;style face="superscript"&gt;4&lt;/style&gt;&lt;/DisplayText&gt;&lt;record&gt;&lt;rec-number&gt;3&lt;/rec-number&gt;&lt;foreign-keys&gt;&lt;key app="EN" db-id="dawtr0zrkrzfa5edzzlpe2we0xa00t90vvr2" timestamp="1622894031"&gt;3&lt;/key&gt;&lt;/foreign-keys&gt;&lt;ref-type name="Government Document"&gt;46&lt;/ref-type&gt;&lt;contributors&gt;&lt;authors&gt;&lt;author&gt;Productivity Commission, &lt;/author&gt;&lt;/authors&gt;&lt;/contributors&gt;&lt;titles&gt;&lt;title&gt;Mental Health, Report no. 95 &lt;/title&gt;&lt;/titles&gt;&lt;dates&gt;&lt;year&gt;2020&lt;/year&gt;&lt;/dates&gt;&lt;pub-location&gt;Canberra&lt;/pub-location&gt;&lt;urls&gt;&lt;/urls&gt;&lt;/record&gt;&lt;/Cite&gt;&lt;/EndNote&gt;</w:instrText>
      </w:r>
      <w:r w:rsidR="00B81CB1">
        <w:rPr>
          <w:lang w:bidi="th-TH"/>
        </w:rPr>
        <w:fldChar w:fldCharType="separate"/>
      </w:r>
      <w:r w:rsidR="00443B60" w:rsidRPr="00443B60">
        <w:rPr>
          <w:noProof/>
          <w:vertAlign w:val="superscript"/>
          <w:lang w:bidi="th-TH"/>
        </w:rPr>
        <w:t>4</w:t>
      </w:r>
      <w:r w:rsidR="00B81CB1">
        <w:rPr>
          <w:lang w:bidi="th-TH"/>
        </w:rPr>
        <w:fldChar w:fldCharType="end"/>
      </w:r>
      <w:r w:rsidRPr="00AA6B28">
        <w:rPr>
          <w:lang w:bidi="th-TH"/>
        </w:rPr>
        <w:t xml:space="preserve"> It recommended that the Australian Government fosters supported DMH</w:t>
      </w:r>
      <w:r w:rsidR="002F58EE" w:rsidRPr="00AA6B28">
        <w:rPr>
          <w:lang w:bidi="th-TH"/>
        </w:rPr>
        <w:t xml:space="preserve">Ss </w:t>
      </w:r>
      <w:r w:rsidRPr="00AA6B28">
        <w:rPr>
          <w:lang w:bidi="th-TH"/>
        </w:rPr>
        <w:t xml:space="preserve">as a treatment option by: increasing funding to expand their availability; commissioning an evaluation of their performance; and developing information campaigns for people with lived experience of mental illness and health professionals to increase the awareness of </w:t>
      </w:r>
      <w:r w:rsidR="00CA64E6">
        <w:rPr>
          <w:lang w:bidi="th-TH"/>
        </w:rPr>
        <w:t>supported DMHSs</w:t>
      </w:r>
      <w:r w:rsidRPr="00AA6B28">
        <w:rPr>
          <w:lang w:bidi="th-TH"/>
        </w:rPr>
        <w:t>.</w:t>
      </w:r>
      <w:r w:rsidR="00B81CB1">
        <w:rPr>
          <w:lang w:bidi="th-TH"/>
        </w:rPr>
        <w:fldChar w:fldCharType="begin"/>
      </w:r>
      <w:r w:rsidR="00443B60">
        <w:rPr>
          <w:lang w:bidi="th-TH"/>
        </w:rPr>
        <w:instrText xml:space="preserve"> ADDIN EN.CITE &lt;EndNote&gt;&lt;Cite&gt;&lt;Author&gt;Productivity Commission&lt;/Author&gt;&lt;Year&gt;2020&lt;/Year&gt;&lt;RecNum&gt;3&lt;/RecNum&gt;&lt;DisplayText&gt;&lt;style face="superscript"&gt;4&lt;/style&gt;&lt;/DisplayText&gt;&lt;record&gt;&lt;rec-number&gt;3&lt;/rec-number&gt;&lt;foreign-keys&gt;&lt;key app="EN" db-id="dawtr0zrkrzfa5edzzlpe2we0xa00t90vvr2" timestamp="1622894031"&gt;3&lt;/key&gt;&lt;/foreign-keys&gt;&lt;ref-type name="Government Document"&gt;46&lt;/ref-type&gt;&lt;contributors&gt;&lt;authors&gt;&lt;author&gt;Productivity Commission, &lt;/author&gt;&lt;/authors&gt;&lt;/contributors&gt;&lt;titles&gt;&lt;title&gt;Mental Health, Report no. 95 &lt;/title&gt;&lt;/titles&gt;&lt;dates&gt;&lt;year&gt;2020&lt;/year&gt;&lt;/dates&gt;&lt;pub-location&gt;Canberra&lt;/pub-location&gt;&lt;urls&gt;&lt;/urls&gt;&lt;/record&gt;&lt;/Cite&gt;&lt;/EndNote&gt;</w:instrText>
      </w:r>
      <w:r w:rsidR="00B81CB1">
        <w:rPr>
          <w:lang w:bidi="th-TH"/>
        </w:rPr>
        <w:fldChar w:fldCharType="separate"/>
      </w:r>
      <w:r w:rsidR="00443B60" w:rsidRPr="00443B60">
        <w:rPr>
          <w:noProof/>
          <w:vertAlign w:val="superscript"/>
          <w:lang w:bidi="th-TH"/>
        </w:rPr>
        <w:t>4</w:t>
      </w:r>
      <w:r w:rsidR="00B81CB1">
        <w:rPr>
          <w:lang w:bidi="th-TH"/>
        </w:rPr>
        <w:fldChar w:fldCharType="end"/>
      </w:r>
      <w:r w:rsidR="00BE526C" w:rsidRPr="00AA6B28">
        <w:rPr>
          <w:lang w:bidi="th-TH"/>
        </w:rPr>
        <w:t xml:space="preserve"> </w:t>
      </w:r>
      <w:r w:rsidR="00657A70" w:rsidRPr="00AA6B28">
        <w:rPr>
          <w:lang w:bidi="th-TH"/>
        </w:rPr>
        <w:t xml:space="preserve">It is </w:t>
      </w:r>
      <w:r w:rsidR="008D4592">
        <w:rPr>
          <w:lang w:bidi="th-TH"/>
        </w:rPr>
        <w:t>essential</w:t>
      </w:r>
      <w:r w:rsidR="00657A70" w:rsidRPr="00AA6B28">
        <w:rPr>
          <w:lang w:bidi="th-TH"/>
        </w:rPr>
        <w:t xml:space="preserve"> to understand how DMH</w:t>
      </w:r>
      <w:r w:rsidR="00CC2032" w:rsidRPr="00AA6B28">
        <w:rPr>
          <w:lang w:bidi="th-TH"/>
        </w:rPr>
        <w:t>S</w:t>
      </w:r>
      <w:r w:rsidR="00657A70" w:rsidRPr="00AA6B28">
        <w:rPr>
          <w:lang w:bidi="th-TH"/>
        </w:rPr>
        <w:t xml:space="preserve">s work and sit in the broader Australian mental health service system in the context of the COVID-19 </w:t>
      </w:r>
      <w:r w:rsidR="00657A70" w:rsidRPr="00AA6B28">
        <w:rPr>
          <w:rFonts w:eastAsia="Calibri"/>
        </w:rPr>
        <w:t>related quarantine, restrictions and lockdowns in which traditional face-to-face services may not be tenable.</w:t>
      </w:r>
    </w:p>
    <w:p w14:paraId="528542D2" w14:textId="1C70B402" w:rsidR="000F6303" w:rsidRPr="00AA6B28" w:rsidRDefault="00A67FD7" w:rsidP="004C6E77">
      <w:pPr>
        <w:pStyle w:val="Heading2"/>
        <w:numPr>
          <w:ilvl w:val="1"/>
          <w:numId w:val="134"/>
        </w:numPr>
        <w:spacing w:after="240"/>
      </w:pPr>
      <w:bookmarkStart w:id="31" w:name="_Toc108784822"/>
      <w:r w:rsidRPr="00AA6B28">
        <w:t>Purpose of the evaluation</w:t>
      </w:r>
      <w:bookmarkEnd w:id="31"/>
    </w:p>
    <w:p w14:paraId="6874C14A" w14:textId="29A86316" w:rsidR="00390E19" w:rsidRPr="00AA6B28" w:rsidRDefault="000F6303" w:rsidP="004C6E77">
      <w:pPr>
        <w:pStyle w:val="ANorm"/>
        <w:spacing w:after="240"/>
      </w:pPr>
      <w:r w:rsidRPr="00AA6B28">
        <w:rPr>
          <w:lang w:val="en-US" w:bidi="th-TH"/>
        </w:rPr>
        <w:t xml:space="preserve">The Centre for Mental Health at the University of Melbourne was commissioned by the Department of Health to undertake the independent evaluation of </w:t>
      </w:r>
      <w:r w:rsidR="00AD0A9B" w:rsidRPr="00AA6B28">
        <w:rPr>
          <w:lang w:val="en-US" w:bidi="th-TH"/>
        </w:rPr>
        <w:t xml:space="preserve">three key </w:t>
      </w:r>
      <w:r w:rsidRPr="00AA6B28">
        <w:rPr>
          <w:lang w:val="en-US" w:bidi="th-TH"/>
        </w:rPr>
        <w:t>Australian government funded supported DMH</w:t>
      </w:r>
      <w:r w:rsidR="00CC2032" w:rsidRPr="00AA6B28">
        <w:rPr>
          <w:lang w:val="en-US" w:bidi="th-TH"/>
        </w:rPr>
        <w:t>S</w:t>
      </w:r>
      <w:r w:rsidRPr="00AA6B28">
        <w:rPr>
          <w:lang w:val="en-US" w:bidi="th-TH"/>
        </w:rPr>
        <w:t>s</w:t>
      </w:r>
      <w:r w:rsidR="00390E19" w:rsidRPr="00AA6B28">
        <w:rPr>
          <w:lang w:val="en-US" w:bidi="th-TH"/>
        </w:rPr>
        <w:t xml:space="preserve">, </w:t>
      </w:r>
      <w:r w:rsidR="00390E19" w:rsidRPr="00AA6B28">
        <w:rPr>
          <w:lang w:bidi="th-TH"/>
        </w:rPr>
        <w:t>including:</w:t>
      </w:r>
    </w:p>
    <w:p w14:paraId="62281BBB" w14:textId="4092C78B" w:rsidR="00390E19" w:rsidRPr="00AA6B28" w:rsidRDefault="00390E19" w:rsidP="004C6E77">
      <w:pPr>
        <w:pStyle w:val="ANorm"/>
        <w:numPr>
          <w:ilvl w:val="0"/>
          <w:numId w:val="40"/>
        </w:numPr>
        <w:spacing w:after="240"/>
      </w:pPr>
      <w:r w:rsidRPr="00AA6B28">
        <w:t xml:space="preserve">Mental Health Online, Swinburne </w:t>
      </w:r>
      <w:proofErr w:type="gramStart"/>
      <w:r w:rsidRPr="00AA6B28">
        <w:t>University;</w:t>
      </w:r>
      <w:proofErr w:type="gramEnd"/>
    </w:p>
    <w:p w14:paraId="13A51E94" w14:textId="19802BAE" w:rsidR="00390E19" w:rsidRPr="00AA6B28" w:rsidRDefault="00390E19" w:rsidP="004C6E77">
      <w:pPr>
        <w:pStyle w:val="ANorm"/>
        <w:numPr>
          <w:ilvl w:val="0"/>
          <w:numId w:val="40"/>
        </w:numPr>
        <w:spacing w:after="240"/>
      </w:pPr>
      <w:proofErr w:type="spellStart"/>
      <w:r w:rsidRPr="00AA6B28">
        <w:t>Mind</w:t>
      </w:r>
      <w:r w:rsidR="00057346" w:rsidRPr="00AA6B28">
        <w:t>S</w:t>
      </w:r>
      <w:r w:rsidRPr="00AA6B28">
        <w:t>pot</w:t>
      </w:r>
      <w:proofErr w:type="spellEnd"/>
      <w:r w:rsidRPr="00AA6B28">
        <w:t>, Macquarie University; and</w:t>
      </w:r>
    </w:p>
    <w:p w14:paraId="3D17EDFD" w14:textId="1DDCEC0D" w:rsidR="00D710DF" w:rsidRPr="002029DC" w:rsidRDefault="00390E19" w:rsidP="004C6E77">
      <w:pPr>
        <w:pStyle w:val="ANorm"/>
        <w:numPr>
          <w:ilvl w:val="0"/>
          <w:numId w:val="40"/>
        </w:numPr>
        <w:spacing w:after="240"/>
      </w:pPr>
      <w:r w:rsidRPr="00AA6B28">
        <w:t>This Way Up, St Vincent’s Hospital and the University of New South Wales</w:t>
      </w:r>
      <w:r w:rsidR="000F6303" w:rsidRPr="00AA6B28">
        <w:rPr>
          <w:lang w:val="en-US" w:bidi="th-TH"/>
        </w:rPr>
        <w:t>.</w:t>
      </w:r>
    </w:p>
    <w:p w14:paraId="2FE5BC32" w14:textId="3C79F32D" w:rsidR="002029DC" w:rsidRDefault="002057ED" w:rsidP="004C6E77">
      <w:pPr>
        <w:pStyle w:val="ANorm"/>
        <w:spacing w:after="240"/>
        <w:rPr>
          <w:lang w:val="en-US" w:bidi="th-TH"/>
        </w:rPr>
      </w:pPr>
      <w:r w:rsidRPr="00AA6B28">
        <w:rPr>
          <w:lang w:val="en-US" w:bidi="th-TH"/>
        </w:rPr>
        <w:t xml:space="preserve">The </w:t>
      </w:r>
      <w:r w:rsidR="001F1B2E">
        <w:rPr>
          <w:lang w:val="en-US" w:bidi="th-TH"/>
        </w:rPr>
        <w:t>overall evaluation aims</w:t>
      </w:r>
      <w:r w:rsidRPr="00AA6B28">
        <w:rPr>
          <w:lang w:val="en-US" w:bidi="th-TH"/>
        </w:rPr>
        <w:t xml:space="preserve"> to inform Australian Government decisions related to future funding for supported DMH</w:t>
      </w:r>
      <w:r w:rsidR="00CC2032" w:rsidRPr="00AA6B28">
        <w:rPr>
          <w:lang w:val="en-US" w:bidi="th-TH"/>
        </w:rPr>
        <w:t>S</w:t>
      </w:r>
      <w:r w:rsidRPr="00AA6B28">
        <w:rPr>
          <w:lang w:val="en-US" w:bidi="th-TH"/>
        </w:rPr>
        <w:t xml:space="preserve">s and activities to increase awareness and </w:t>
      </w:r>
      <w:proofErr w:type="spellStart"/>
      <w:r w:rsidRPr="00AA6B28">
        <w:rPr>
          <w:lang w:val="en-US" w:bidi="th-TH"/>
        </w:rPr>
        <w:t>utilisation</w:t>
      </w:r>
      <w:proofErr w:type="spellEnd"/>
      <w:r w:rsidRPr="00AA6B28">
        <w:rPr>
          <w:lang w:val="en-US" w:bidi="th-TH"/>
        </w:rPr>
        <w:t xml:space="preserve"> of these services by people with lived experience of mental illness and health professionals.</w:t>
      </w:r>
      <w:r w:rsidR="002029DC">
        <w:rPr>
          <w:lang w:val="en-US" w:bidi="th-TH"/>
        </w:rPr>
        <w:br w:type="page"/>
      </w:r>
    </w:p>
    <w:p w14:paraId="7EE08B26" w14:textId="5A364F01" w:rsidR="005554A0" w:rsidRPr="00AA6B28" w:rsidRDefault="000C009C" w:rsidP="00140C5B">
      <w:pPr>
        <w:pStyle w:val="Heading2"/>
        <w:numPr>
          <w:ilvl w:val="1"/>
          <w:numId w:val="134"/>
        </w:numPr>
      </w:pPr>
      <w:bookmarkStart w:id="32" w:name="_Toc108784823"/>
      <w:r w:rsidRPr="00AA6B28">
        <w:lastRenderedPageBreak/>
        <w:t>Our approach</w:t>
      </w:r>
      <w:bookmarkEnd w:id="32"/>
    </w:p>
    <w:p w14:paraId="77619112" w14:textId="45C7156A" w:rsidR="008D4EC7" w:rsidRPr="00AA6B28" w:rsidRDefault="008D4EC7" w:rsidP="004C6E77">
      <w:pPr>
        <w:pStyle w:val="Heading3"/>
        <w:numPr>
          <w:ilvl w:val="2"/>
          <w:numId w:val="135"/>
        </w:numPr>
      </w:pPr>
      <w:r w:rsidRPr="00AA6B28">
        <w:t>Evaluation phases</w:t>
      </w:r>
    </w:p>
    <w:p w14:paraId="77FB8E0D" w14:textId="018D5050" w:rsidR="0087637C" w:rsidRPr="00AA6B28" w:rsidRDefault="0087637C" w:rsidP="004C6E77">
      <w:pPr>
        <w:pStyle w:val="ANorm"/>
        <w:spacing w:after="120"/>
      </w:pPr>
      <w:r w:rsidRPr="00AA6B28">
        <w:t>There are two phases of the independent evaluation:</w:t>
      </w:r>
    </w:p>
    <w:p w14:paraId="088587E1" w14:textId="145E72FA" w:rsidR="0087637C" w:rsidRPr="00AA6B28" w:rsidRDefault="6282D92F" w:rsidP="75E91DC2">
      <w:pPr>
        <w:pStyle w:val="ListParagraph"/>
        <w:numPr>
          <w:ilvl w:val="0"/>
          <w:numId w:val="1"/>
        </w:numPr>
        <w:spacing w:after="120"/>
        <w:rPr>
          <w:noProof/>
          <w:vertAlign w:val="superscript"/>
          <w:lang w:bidi="th-TH"/>
        </w:rPr>
      </w:pPr>
      <w:r>
        <w:t>Phase 1</w:t>
      </w:r>
      <w:r w:rsidR="2E0D3CD3">
        <w:t>, which has been completed,</w:t>
      </w:r>
      <w:r>
        <w:t xml:space="preserve"> </w:t>
      </w:r>
      <w:r w:rsidRPr="75E91DC2">
        <w:rPr>
          <w:lang w:bidi="th-TH"/>
        </w:rPr>
        <w:t>involve</w:t>
      </w:r>
      <w:r w:rsidR="2E0D3CD3" w:rsidRPr="75E91DC2">
        <w:rPr>
          <w:lang w:bidi="th-TH"/>
        </w:rPr>
        <w:t>d</w:t>
      </w:r>
      <w:r w:rsidRPr="75E91DC2">
        <w:rPr>
          <w:lang w:bidi="th-TH"/>
        </w:rPr>
        <w:t xml:space="preserve"> </w:t>
      </w:r>
      <w:r w:rsidR="36CA938A" w:rsidRPr="75E91DC2">
        <w:rPr>
          <w:lang w:bidi="th-TH"/>
        </w:rPr>
        <w:t xml:space="preserve">undertaking an </w:t>
      </w:r>
      <w:r w:rsidRPr="75E91DC2">
        <w:rPr>
          <w:lang w:bidi="th-TH"/>
        </w:rPr>
        <w:t>environmental scan</w:t>
      </w:r>
      <w:r w:rsidR="0087637C" w:rsidRPr="75E91DC2">
        <w:rPr>
          <w:lang w:bidi="th-TH"/>
        </w:rPr>
        <w:fldChar w:fldCharType="begin"/>
      </w:r>
      <w:r w:rsidR="0087637C" w:rsidRPr="75E91DC2">
        <w:rPr>
          <w:lang w:bidi="th-TH"/>
        </w:rPr>
        <w:instrText xml:space="preserve"> ADDIN EN.CITE &lt;EndNote&gt;&lt;Cite&gt;&lt;Author&gt;Bassilios&lt;/Author&gt;&lt;Year&gt;2022&lt;/Year&gt;&lt;RecNum&gt;121&lt;/RecNum&gt;&lt;DisplayText&gt;&lt;style face="superscript"&gt;6&lt;/style&gt;&lt;/DisplayText&gt;&lt;record&gt;&lt;rec-number&gt;121&lt;/rec-number&gt;&lt;foreign-keys&gt;&lt;key app="EN" db-id="dawtr0zrkrzfa5edzzlpe2we0xa00t90vvr2" timestamp="1648439642"&gt;121&lt;/key&gt;&lt;/foreign-keys&gt;&lt;ref-type name="Report"&gt;27&lt;/ref-type&gt;&lt;contributors&gt;&lt;authors&gt;&lt;author&gt;Bassilios, B.&lt;/author&gt;&lt;author&gt;Ftanou, M.&lt;/author&gt;&lt;author&gt;Tan, A.&lt;/author&gt;&lt;author&gt;Morgan, A.&lt;/author&gt;&lt;author&gt;Machlin, A.&lt;/author&gt;&lt;author&gt;Mangelsdorf, S.&lt;/author&gt;&lt;author&gt;Le, L.&lt;/author&gt;&lt;author&gt;Banfield, M.&lt;/author&gt;&lt;author&gt;Spittal, M.&lt;/author&gt;&lt;author&gt;Mihalopoulos, C.&lt;/author&gt;&lt;author&gt;Pirkis, J.&lt;/author&gt;&lt;/authors&gt;&lt;/contributors&gt;&lt;titles&gt;&lt;title&gt;Environmental scan of digital mental health services&lt;/title&gt;&lt;/titles&gt;&lt;dates&gt;&lt;year&gt;2022&lt;/year&gt;&lt;/dates&gt;&lt;pub-location&gt;Melbourne&lt;/pub-location&gt;&lt;publisher&gt;Centre for Mental Health, University of Melbourne&lt;/publisher&gt;&lt;urls&gt;&lt;/urls&gt;&lt;/record&gt;&lt;/Cite&gt;&lt;/EndNote&gt;</w:instrText>
      </w:r>
      <w:r w:rsidR="0087637C" w:rsidRPr="75E91DC2">
        <w:rPr>
          <w:lang w:bidi="th-TH"/>
        </w:rPr>
        <w:fldChar w:fldCharType="separate"/>
      </w:r>
      <w:r w:rsidR="2DB252B4" w:rsidRPr="75E91DC2">
        <w:rPr>
          <w:noProof/>
          <w:vertAlign w:val="superscript"/>
          <w:lang w:bidi="th-TH"/>
        </w:rPr>
        <w:t>6</w:t>
      </w:r>
      <w:r w:rsidR="0087637C" w:rsidRPr="75E91DC2">
        <w:rPr>
          <w:lang w:bidi="th-TH"/>
        </w:rPr>
        <w:fldChar w:fldCharType="end"/>
      </w:r>
      <w:r w:rsidRPr="75E91DC2">
        <w:rPr>
          <w:lang w:bidi="th-TH"/>
        </w:rPr>
        <w:t xml:space="preserve"> and literature review.</w:t>
      </w:r>
      <w:r w:rsidR="0087637C" w:rsidRPr="75E91DC2">
        <w:rPr>
          <w:lang w:bidi="th-TH"/>
        </w:rPr>
        <w:fldChar w:fldCharType="begin"/>
      </w:r>
      <w:r w:rsidR="0087637C" w:rsidRPr="75E91DC2">
        <w:rPr>
          <w:lang w:bidi="th-TH"/>
        </w:rPr>
        <w:instrText xml:space="preserve"> ADDIN EN.CITE &lt;EndNote&gt;&lt;Cite&gt;&lt;Author&gt;Bassilios&lt;/Author&gt;&lt;Year&gt;2022&lt;/Year&gt;&lt;RecNum&gt;117&lt;/RecNum&gt;&lt;DisplayText&gt;&lt;style face="superscript"&gt;5&lt;/style&gt;&lt;/DisplayText&gt;&lt;record&gt;&lt;rec-number&gt;117&lt;/rec-number&gt;&lt;foreign-keys&gt;&lt;key app="EN" db-id="dawtr0zrkrzfa5edzzlpe2we0xa00t90vvr2" timestamp="1648438870"&gt;117&lt;/key&gt;&lt;/foreign-keys&gt;&lt;ref-type name="Report"&gt;27&lt;/ref-type&gt;&lt;contributors&gt;&lt;authors&gt;&lt;author&gt;Bassilios, B.&lt;/author&gt;&lt;author&gt;Morgan, A.&lt;/author&gt;&lt;author&gt;Tan, A.&lt;/author&gt;&lt;author&gt;Ftanou, M.&lt;/author&gt;&lt;author&gt;Krysinska, K.&lt;/author&gt;&lt;author&gt;Le, L.&lt;/author&gt;&lt;author&gt;Scurrah, K.&lt;/author&gt;&lt;author&gt;Banfield, M.&lt;/author&gt;&lt;author&gt;Spittal, M.&lt;/author&gt;&lt;author&gt;Mihalopoulos, C.&lt;/author&gt;&lt;author&gt;Pirkis, J.&lt;/author&gt;&lt;/authors&gt;&lt;/contributors&gt;&lt;titles&gt;&lt;title&gt;Literature review of effectiveness of supported digital mental health interventions (DMHIs)&lt;/title&gt;&lt;/titles&gt;&lt;dates&gt;&lt;year&gt;2022&lt;/year&gt;&lt;/dates&gt;&lt;pub-location&gt;Melbourne&lt;/pub-location&gt;&lt;publisher&gt;Centre for Mental Health, University of Melbourne&lt;/publisher&gt;&lt;urls&gt;&lt;/urls&gt;&lt;/record&gt;&lt;/Cite&gt;&lt;/EndNote&gt;</w:instrText>
      </w:r>
      <w:r w:rsidR="0087637C" w:rsidRPr="75E91DC2">
        <w:rPr>
          <w:lang w:bidi="th-TH"/>
        </w:rPr>
        <w:fldChar w:fldCharType="separate"/>
      </w:r>
      <w:r w:rsidR="2DB252B4" w:rsidRPr="75E91DC2">
        <w:rPr>
          <w:noProof/>
          <w:vertAlign w:val="superscript"/>
          <w:lang w:bidi="th-TH"/>
        </w:rPr>
        <w:t>5</w:t>
      </w:r>
      <w:r w:rsidR="0087637C" w:rsidRPr="75E91DC2">
        <w:rPr>
          <w:lang w:bidi="th-TH"/>
        </w:rPr>
        <w:fldChar w:fldCharType="end"/>
      </w:r>
    </w:p>
    <w:p w14:paraId="05BA7FA9" w14:textId="77777777" w:rsidR="0087637C" w:rsidRPr="00AA6B28" w:rsidRDefault="0087637C" w:rsidP="004C6E77">
      <w:pPr>
        <w:pStyle w:val="ListParagraph"/>
        <w:spacing w:after="120"/>
      </w:pPr>
    </w:p>
    <w:p w14:paraId="6C171FF1" w14:textId="74BABD50" w:rsidR="00942A10" w:rsidRPr="00AA6B28" w:rsidRDefault="0087637C" w:rsidP="004C6E77">
      <w:pPr>
        <w:pStyle w:val="ListParagraph"/>
        <w:numPr>
          <w:ilvl w:val="0"/>
          <w:numId w:val="1"/>
        </w:numPr>
        <w:spacing w:after="120"/>
      </w:pPr>
      <w:r w:rsidRPr="00AA6B28">
        <w:rPr>
          <w:lang w:bidi="th-TH"/>
        </w:rPr>
        <w:t>Phase 2 involve</w:t>
      </w:r>
      <w:r w:rsidR="00C60E65" w:rsidRPr="00AA6B28">
        <w:rPr>
          <w:lang w:bidi="th-TH"/>
        </w:rPr>
        <w:t>s</w:t>
      </w:r>
      <w:r w:rsidRPr="00AA6B28">
        <w:rPr>
          <w:lang w:bidi="th-TH"/>
        </w:rPr>
        <w:t xml:space="preserve"> analysis of existing data</w:t>
      </w:r>
      <w:r w:rsidR="00BE4EFE" w:rsidRPr="00AA6B28">
        <w:rPr>
          <w:lang w:bidi="th-TH"/>
        </w:rPr>
        <w:t xml:space="preserve"> </w:t>
      </w:r>
      <w:r w:rsidR="00B26CEE" w:rsidRPr="00AA6B28">
        <w:rPr>
          <w:lang w:bidi="th-TH"/>
        </w:rPr>
        <w:t>and consultation with key stakeholders</w:t>
      </w:r>
      <w:r w:rsidR="000F4B89" w:rsidRPr="00AA6B28">
        <w:rPr>
          <w:lang w:bidi="th-TH"/>
        </w:rPr>
        <w:t>.</w:t>
      </w:r>
    </w:p>
    <w:p w14:paraId="26F8466D" w14:textId="25033DDA" w:rsidR="008D4EC7" w:rsidRPr="00AA6B28" w:rsidRDefault="008D4EC7" w:rsidP="004C6E77">
      <w:pPr>
        <w:pStyle w:val="Heading3"/>
        <w:numPr>
          <w:ilvl w:val="2"/>
          <w:numId w:val="135"/>
        </w:numPr>
      </w:pPr>
      <w:r w:rsidRPr="00AA6B28">
        <w:t>Evaluation questions</w:t>
      </w:r>
    </w:p>
    <w:p w14:paraId="20A8F319" w14:textId="086893E3" w:rsidR="0087637C" w:rsidRPr="00AA6B28" w:rsidRDefault="0087637C" w:rsidP="004C6E77">
      <w:pPr>
        <w:pStyle w:val="ANorm"/>
        <w:spacing w:after="120"/>
      </w:pPr>
      <w:r w:rsidRPr="00AA6B28">
        <w:t xml:space="preserve">The evaluation </w:t>
      </w:r>
      <w:r w:rsidR="000D6FB6" w:rsidRPr="00AA6B28">
        <w:t>is</w:t>
      </w:r>
      <w:r w:rsidRPr="00AA6B28">
        <w:t xml:space="preserve"> guided by the five key evaluation questions (KEQs) outlined by the Department of Health in the RFQ</w:t>
      </w:r>
      <w:r w:rsidR="00B81CB1">
        <w:fldChar w:fldCharType="begin"/>
      </w:r>
      <w:r w:rsidR="00443B60">
        <w:instrText xml:space="preserve"> ADDIN EN.CITE &lt;EndNote&gt;&lt;Cite&gt;&lt;Author&gt;Department of Health&lt;/Author&gt;&lt;Year&gt;2021&lt;/Year&gt;&lt;RecNum&gt;118&lt;/RecNum&gt;&lt;DisplayText&gt;&lt;style face="superscript"&gt;3&lt;/style&gt;&lt;/DisplayText&gt;&lt;record&gt;&lt;rec-number&gt;118&lt;/rec-number&gt;&lt;foreign-keys&gt;&lt;key app="EN" db-id="dawtr0zrkrzfa5edzzlpe2we0xa00t90vvr2" timestamp="1648439268"&gt;118&lt;/key&gt;&lt;/foreign-keys&gt;&lt;ref-type name="Report"&gt;27&lt;/ref-type&gt;&lt;contributors&gt;&lt;authors&gt;&lt;author&gt;Department of Health,&lt;/author&gt;&lt;/authors&gt;&lt;/contributors&gt;&lt;titles&gt;&lt;title&gt;Form of Request for Quotation: Procurement of an organisation to undertake the independent evaluation of supported online mental health treatment services&lt;/title&gt;&lt;/titles&gt;&lt;dates&gt;&lt;year&gt;2021&lt;/year&gt;&lt;/dates&gt;&lt;pub-location&gt;Canberra&lt;/pub-location&gt;&lt;publisher&gt;Australian Government&lt;/publisher&gt;&lt;urls&gt;&lt;/urls&gt;&lt;/record&gt;&lt;/Cite&gt;&lt;/EndNote&gt;</w:instrText>
      </w:r>
      <w:r w:rsidR="00B81CB1">
        <w:fldChar w:fldCharType="separate"/>
      </w:r>
      <w:r w:rsidR="00443B60" w:rsidRPr="00443B60">
        <w:rPr>
          <w:noProof/>
          <w:vertAlign w:val="superscript"/>
        </w:rPr>
        <w:t>3</w:t>
      </w:r>
      <w:r w:rsidR="00B81CB1">
        <w:fldChar w:fldCharType="end"/>
      </w:r>
      <w:r w:rsidR="00914D4B">
        <w:t>,</w:t>
      </w:r>
      <w:r w:rsidRPr="00AA6B28">
        <w:t xml:space="preserve"> including:</w:t>
      </w:r>
    </w:p>
    <w:p w14:paraId="0DDED715" w14:textId="56D66138" w:rsidR="0087637C" w:rsidRPr="00AA6B28" w:rsidRDefault="0087637C" w:rsidP="004C6E77">
      <w:pPr>
        <w:pStyle w:val="ANorm"/>
        <w:numPr>
          <w:ilvl w:val="0"/>
          <w:numId w:val="7"/>
        </w:numPr>
        <w:spacing w:after="120"/>
        <w:ind w:left="714" w:hanging="357"/>
      </w:pPr>
      <w:r w:rsidRPr="00AA6B28">
        <w:rPr>
          <w:b/>
          <w:bCs/>
        </w:rPr>
        <w:t xml:space="preserve">KEQ 1: </w:t>
      </w:r>
      <w:r w:rsidRPr="00AA6B28">
        <w:t>How effective has the implementation of online mental health treatment services been to date</w:t>
      </w:r>
      <w:r w:rsidR="00596560">
        <w:t>,</w:t>
      </w:r>
      <w:r w:rsidRPr="00AA6B28">
        <w:t xml:space="preserve"> and what can we learn from it?</w:t>
      </w:r>
    </w:p>
    <w:p w14:paraId="1BE59F8B" w14:textId="09D7D392" w:rsidR="0087637C" w:rsidRPr="00AA6B28" w:rsidRDefault="0087637C" w:rsidP="004C6E77">
      <w:pPr>
        <w:pStyle w:val="ANorm"/>
        <w:numPr>
          <w:ilvl w:val="0"/>
          <w:numId w:val="7"/>
        </w:numPr>
        <w:spacing w:after="120"/>
        <w:ind w:left="714" w:hanging="357"/>
      </w:pPr>
      <w:r w:rsidRPr="00AA6B28">
        <w:rPr>
          <w:b/>
          <w:bCs/>
        </w:rPr>
        <w:t xml:space="preserve">KEQ 2: </w:t>
      </w:r>
      <w:r w:rsidRPr="00AA6B28">
        <w:t>What difference are existing supported online mental health treatment services making compared with usual care (e.g.  face-to-face or other treatment service types)?</w:t>
      </w:r>
    </w:p>
    <w:p w14:paraId="0141CB2C" w14:textId="31C52BEE" w:rsidR="0087637C" w:rsidRPr="00AA6B28" w:rsidRDefault="0087637C" w:rsidP="004C6E77">
      <w:pPr>
        <w:pStyle w:val="ANorm"/>
        <w:numPr>
          <w:ilvl w:val="0"/>
          <w:numId w:val="7"/>
        </w:numPr>
        <w:spacing w:after="120"/>
        <w:ind w:left="714" w:hanging="357"/>
      </w:pPr>
      <w:r w:rsidRPr="00AA6B28">
        <w:rPr>
          <w:b/>
          <w:bCs/>
        </w:rPr>
        <w:t xml:space="preserve">KEQ 3: </w:t>
      </w:r>
      <w:r w:rsidRPr="00AA6B28">
        <w:t xml:space="preserve">How cost effective </w:t>
      </w:r>
      <w:proofErr w:type="gramStart"/>
      <w:r w:rsidRPr="00AA6B28">
        <w:t>are</w:t>
      </w:r>
      <w:proofErr w:type="gramEnd"/>
      <w:r w:rsidRPr="00AA6B28">
        <w:t xml:space="preserve"> Australian Government funded supported online mental health treatment services compared with usual care?</w:t>
      </w:r>
    </w:p>
    <w:p w14:paraId="5442B199" w14:textId="0374C0DB" w:rsidR="0087637C" w:rsidRPr="00AA6B28" w:rsidRDefault="0087637C" w:rsidP="004C6E77">
      <w:pPr>
        <w:pStyle w:val="ANorm"/>
        <w:numPr>
          <w:ilvl w:val="0"/>
          <w:numId w:val="7"/>
        </w:numPr>
        <w:spacing w:after="120"/>
        <w:ind w:left="714" w:hanging="357"/>
      </w:pPr>
      <w:r w:rsidRPr="00AA6B28">
        <w:rPr>
          <w:b/>
          <w:bCs/>
        </w:rPr>
        <w:t xml:space="preserve">KEQ 4: </w:t>
      </w:r>
      <w:r w:rsidRPr="00AA6B28">
        <w:t>How effective are supported online mental health treatment services for consumers and health providers?</w:t>
      </w:r>
    </w:p>
    <w:p w14:paraId="3BEC76AE" w14:textId="6101D4F6" w:rsidR="0087637C" w:rsidRPr="00AA6B28" w:rsidRDefault="0087637C" w:rsidP="004C6E77">
      <w:pPr>
        <w:pStyle w:val="ANorm"/>
        <w:numPr>
          <w:ilvl w:val="0"/>
          <w:numId w:val="7"/>
        </w:numPr>
        <w:spacing w:after="120"/>
        <w:ind w:left="714" w:hanging="357"/>
      </w:pPr>
      <w:r w:rsidRPr="00AA6B28">
        <w:rPr>
          <w:b/>
          <w:bCs/>
        </w:rPr>
        <w:t xml:space="preserve">KEQ 5: </w:t>
      </w:r>
      <w:r w:rsidRPr="00AA6B28">
        <w:t>How can the commissioning and implementation of online mental health treatment services be best supported going forward?</w:t>
      </w:r>
    </w:p>
    <w:p w14:paraId="19396105" w14:textId="65011BA0" w:rsidR="00E81FB6" w:rsidRPr="00AA6B28" w:rsidRDefault="0087637C" w:rsidP="004C6E77">
      <w:pPr>
        <w:pStyle w:val="ANorm"/>
        <w:spacing w:after="120"/>
      </w:pPr>
      <w:r w:rsidRPr="00AA6B28">
        <w:t xml:space="preserve">Sub-questions associated with the five KEQs are shown in Appendix </w:t>
      </w:r>
      <w:r w:rsidR="008D4EC7" w:rsidRPr="00AA6B28">
        <w:t>A</w:t>
      </w:r>
      <w:r w:rsidRPr="00AA6B28">
        <w:t xml:space="preserve">. </w:t>
      </w:r>
      <w:r w:rsidR="0074422D" w:rsidRPr="00AA6B28">
        <w:t>Both Phases 1 and 2 contribute to addressing all five KEQs</w:t>
      </w:r>
      <w:r w:rsidRPr="00AA6B28">
        <w:t>.</w:t>
      </w:r>
    </w:p>
    <w:p w14:paraId="0D391F9A" w14:textId="68537451" w:rsidR="0074422D" w:rsidRPr="00AA6B28" w:rsidRDefault="00E81FB6" w:rsidP="00140C5B">
      <w:pPr>
        <w:pStyle w:val="Heading3"/>
        <w:numPr>
          <w:ilvl w:val="2"/>
          <w:numId w:val="135"/>
        </w:numPr>
      </w:pPr>
      <w:r w:rsidRPr="00AA6B28">
        <w:t>Evaluation data sources</w:t>
      </w:r>
    </w:p>
    <w:p w14:paraId="47140910" w14:textId="64A22BAE" w:rsidR="0074422D" w:rsidRPr="0009767C" w:rsidRDefault="0087637C" w:rsidP="0009767C">
      <w:pPr>
        <w:pStyle w:val="ANorm"/>
      </w:pPr>
      <w:r w:rsidRPr="00AA6B28">
        <w:t xml:space="preserve">Table 1 below </w:t>
      </w:r>
      <w:r w:rsidRPr="0066134B">
        <w:rPr>
          <w:rFonts w:asciiTheme="minorHAnsi" w:hAnsiTheme="minorHAnsi" w:cstheme="minorHAnsi"/>
        </w:rPr>
        <w:t xml:space="preserve">shows that multiple data sources </w:t>
      </w:r>
      <w:r w:rsidR="00134B8A" w:rsidRPr="0066134B">
        <w:rPr>
          <w:rFonts w:asciiTheme="minorHAnsi" w:hAnsiTheme="minorHAnsi" w:cstheme="minorHAnsi"/>
        </w:rPr>
        <w:t>are being</w:t>
      </w:r>
      <w:r w:rsidRPr="0066134B">
        <w:rPr>
          <w:rFonts w:asciiTheme="minorHAnsi" w:hAnsiTheme="minorHAnsi" w:cstheme="minorHAnsi"/>
        </w:rPr>
        <w:t xml:space="preserve"> used to address the evaluation questions. It shows that (to varying extents) the data</w:t>
      </w:r>
      <w:r w:rsidRPr="00AA6B28">
        <w:t xml:space="preserve"> sources will potentially inform most evaluation questions.</w:t>
      </w:r>
    </w:p>
    <w:p w14:paraId="7E2B034A" w14:textId="77777777" w:rsidR="001D1575" w:rsidRPr="00AA6B28" w:rsidRDefault="001D1575" w:rsidP="003D1CA1">
      <w:pPr>
        <w:pStyle w:val="tableheading"/>
      </w:pPr>
      <w:r w:rsidRPr="00AA6B28">
        <w:br w:type="page"/>
      </w:r>
    </w:p>
    <w:p w14:paraId="47684AE1" w14:textId="28A9EA07" w:rsidR="00B4495F" w:rsidRPr="00AA6B28" w:rsidRDefault="00B4495F" w:rsidP="003D1CA1">
      <w:pPr>
        <w:pStyle w:val="tableheading"/>
      </w:pPr>
      <w:r w:rsidRPr="00AA6B28">
        <w:lastRenderedPageBreak/>
        <w:t>Table 1. Relationship between KEQs and data sources</w:t>
      </w:r>
      <w:r w:rsidR="00EF743E">
        <w:t xml:space="preserve"> </w:t>
      </w:r>
    </w:p>
    <w:tbl>
      <w:tblPr>
        <w:tblStyle w:val="TableGrid"/>
        <w:tblW w:w="0" w:type="auto"/>
        <w:tblLook w:val="04A0" w:firstRow="1" w:lastRow="0" w:firstColumn="1" w:lastColumn="0" w:noHBand="0" w:noVBand="1"/>
        <w:tblCaption w:val="Table 1. Relationship between KEQs and data sources"/>
        <w:tblDescription w:val="Table describing relationship between 5 KEQs, two evalaution phases and five data sources including environmental scan, systematic literature review, service documents, routinely collected service use data, and stakeholder consultations."/>
      </w:tblPr>
      <w:tblGrid>
        <w:gridCol w:w="2479"/>
        <w:gridCol w:w="1203"/>
        <w:gridCol w:w="1203"/>
        <w:gridCol w:w="1203"/>
        <w:gridCol w:w="1203"/>
        <w:gridCol w:w="1203"/>
      </w:tblGrid>
      <w:tr w:rsidR="0074422D" w:rsidRPr="006508D8" w14:paraId="735B0CE8" w14:textId="77777777" w:rsidTr="004A6415">
        <w:tc>
          <w:tcPr>
            <w:tcW w:w="2479" w:type="dxa"/>
            <w:tcBorders>
              <w:bottom w:val="single" w:sz="4" w:space="0" w:color="auto"/>
              <w:right w:val="single" w:sz="4" w:space="0" w:color="FFFFFF" w:themeColor="background1"/>
            </w:tcBorders>
            <w:shd w:val="clear" w:color="auto" w:fill="000000" w:themeFill="text1"/>
          </w:tcPr>
          <w:p w14:paraId="61FBCD60" w14:textId="77777777" w:rsidR="0074422D" w:rsidRPr="006508D8" w:rsidRDefault="0074422D" w:rsidP="007949A9">
            <w:pPr>
              <w:rPr>
                <w:rFonts w:asciiTheme="minorHAnsi" w:hAnsiTheme="minorHAnsi" w:cstheme="minorHAnsi"/>
                <w:sz w:val="16"/>
                <w:szCs w:val="16"/>
              </w:rPr>
            </w:pPr>
          </w:p>
        </w:tc>
        <w:tc>
          <w:tcPr>
            <w:tcW w:w="2406" w:type="dxa"/>
            <w:gridSpan w:val="2"/>
            <w:tcBorders>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9F31D45" w14:textId="11C0A957" w:rsidR="0074422D" w:rsidRPr="006508D8" w:rsidRDefault="0074422D" w:rsidP="00753518">
            <w:pPr>
              <w:jc w:val="center"/>
              <w:rPr>
                <w:rFonts w:asciiTheme="minorHAnsi" w:hAnsiTheme="minorHAnsi" w:cstheme="minorHAnsi"/>
                <w:sz w:val="16"/>
                <w:szCs w:val="16"/>
              </w:rPr>
            </w:pPr>
            <w:r w:rsidRPr="006508D8">
              <w:rPr>
                <w:rFonts w:asciiTheme="minorHAnsi" w:hAnsiTheme="minorHAnsi" w:cstheme="minorHAnsi"/>
                <w:sz w:val="16"/>
                <w:szCs w:val="16"/>
              </w:rPr>
              <w:t>PHASE 1</w:t>
            </w:r>
          </w:p>
        </w:tc>
        <w:tc>
          <w:tcPr>
            <w:tcW w:w="3609" w:type="dxa"/>
            <w:gridSpan w:val="3"/>
            <w:tcBorders>
              <w:left w:val="single" w:sz="4" w:space="0" w:color="FFFFFF" w:themeColor="background1"/>
              <w:bottom w:val="single" w:sz="4" w:space="0" w:color="FFFFFF" w:themeColor="background1"/>
            </w:tcBorders>
            <w:shd w:val="clear" w:color="auto" w:fill="000000" w:themeFill="text1"/>
          </w:tcPr>
          <w:p w14:paraId="10A3B4C8" w14:textId="5152704F" w:rsidR="0074422D" w:rsidRPr="006508D8" w:rsidRDefault="0074422D" w:rsidP="00753518">
            <w:pPr>
              <w:jc w:val="center"/>
              <w:rPr>
                <w:rFonts w:asciiTheme="minorHAnsi" w:hAnsiTheme="minorHAnsi" w:cstheme="minorHAnsi"/>
                <w:sz w:val="16"/>
                <w:szCs w:val="16"/>
              </w:rPr>
            </w:pPr>
            <w:r w:rsidRPr="006508D8">
              <w:rPr>
                <w:rFonts w:asciiTheme="minorHAnsi" w:hAnsiTheme="minorHAnsi" w:cstheme="minorHAnsi"/>
                <w:sz w:val="16"/>
                <w:szCs w:val="16"/>
              </w:rPr>
              <w:t>PHASE 2</w:t>
            </w:r>
          </w:p>
        </w:tc>
      </w:tr>
      <w:tr w:rsidR="00B4495F" w:rsidRPr="006508D8" w14:paraId="506B297C" w14:textId="77777777" w:rsidTr="004A6415">
        <w:tc>
          <w:tcPr>
            <w:tcW w:w="2479" w:type="dxa"/>
            <w:tcBorders>
              <w:right w:val="single" w:sz="4" w:space="0" w:color="FFFFFF" w:themeColor="background1"/>
            </w:tcBorders>
            <w:shd w:val="clear" w:color="auto" w:fill="000000" w:themeFill="text1"/>
          </w:tcPr>
          <w:p w14:paraId="070D7F1F" w14:textId="77777777" w:rsidR="00B4495F" w:rsidRPr="006508D8" w:rsidRDefault="00B4495F" w:rsidP="007949A9">
            <w:pPr>
              <w:rPr>
                <w:rFonts w:asciiTheme="minorHAnsi" w:hAnsiTheme="minorHAnsi" w:cstheme="minorHAnsi"/>
                <w:sz w:val="16"/>
                <w:szCs w:val="16"/>
              </w:rPr>
            </w:pPr>
          </w:p>
        </w:tc>
        <w:tc>
          <w:tcPr>
            <w:tcW w:w="1203"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2BD27286" w14:textId="77777777" w:rsidR="00B4495F" w:rsidRPr="006508D8" w:rsidRDefault="00B4495F" w:rsidP="00753518">
            <w:pPr>
              <w:jc w:val="center"/>
              <w:rPr>
                <w:rFonts w:asciiTheme="minorHAnsi" w:hAnsiTheme="minorHAnsi" w:cstheme="minorHAnsi"/>
                <w:sz w:val="16"/>
                <w:szCs w:val="16"/>
              </w:rPr>
            </w:pPr>
            <w:r w:rsidRPr="006508D8">
              <w:rPr>
                <w:rFonts w:asciiTheme="minorHAnsi" w:hAnsiTheme="minorHAnsi" w:cstheme="minorHAnsi"/>
                <w:sz w:val="16"/>
                <w:szCs w:val="16"/>
              </w:rPr>
              <w:t>Environmental scan</w:t>
            </w:r>
          </w:p>
        </w:tc>
        <w:tc>
          <w:tcPr>
            <w:tcW w:w="1203"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4380433D" w14:textId="77777777" w:rsidR="00B4495F" w:rsidRPr="006508D8" w:rsidRDefault="00B4495F" w:rsidP="00753518">
            <w:pPr>
              <w:jc w:val="center"/>
              <w:rPr>
                <w:rFonts w:asciiTheme="minorHAnsi" w:hAnsiTheme="minorHAnsi" w:cstheme="minorHAnsi"/>
                <w:sz w:val="16"/>
                <w:szCs w:val="16"/>
              </w:rPr>
            </w:pPr>
            <w:r w:rsidRPr="006508D8">
              <w:rPr>
                <w:rFonts w:asciiTheme="minorHAnsi" w:hAnsiTheme="minorHAnsi" w:cstheme="minorHAnsi"/>
                <w:sz w:val="16"/>
                <w:szCs w:val="16"/>
              </w:rPr>
              <w:t>Systematic literature review</w:t>
            </w:r>
          </w:p>
        </w:tc>
        <w:tc>
          <w:tcPr>
            <w:tcW w:w="1203"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2AA05CB8" w14:textId="77777777" w:rsidR="00B4495F" w:rsidRPr="006508D8" w:rsidRDefault="00B4495F" w:rsidP="00753518">
            <w:pPr>
              <w:jc w:val="center"/>
              <w:rPr>
                <w:rFonts w:asciiTheme="minorHAnsi" w:hAnsiTheme="minorHAnsi" w:cstheme="minorHAnsi"/>
                <w:sz w:val="16"/>
                <w:szCs w:val="16"/>
              </w:rPr>
            </w:pPr>
            <w:r w:rsidRPr="006508D8">
              <w:rPr>
                <w:rFonts w:asciiTheme="minorHAnsi" w:hAnsiTheme="minorHAnsi" w:cstheme="minorHAnsi"/>
                <w:sz w:val="16"/>
                <w:szCs w:val="16"/>
              </w:rPr>
              <w:t>Existing data: service documents</w:t>
            </w:r>
          </w:p>
        </w:tc>
        <w:tc>
          <w:tcPr>
            <w:tcW w:w="1203"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6511C559" w14:textId="5902908B" w:rsidR="00843280" w:rsidRPr="006508D8" w:rsidRDefault="00B4495F" w:rsidP="00753518">
            <w:pPr>
              <w:jc w:val="center"/>
              <w:rPr>
                <w:rFonts w:asciiTheme="minorHAnsi" w:hAnsiTheme="minorHAnsi" w:cstheme="minorHAnsi"/>
                <w:sz w:val="16"/>
                <w:szCs w:val="16"/>
              </w:rPr>
            </w:pPr>
            <w:r w:rsidRPr="006508D8">
              <w:rPr>
                <w:rFonts w:asciiTheme="minorHAnsi" w:hAnsiTheme="minorHAnsi" w:cstheme="minorHAnsi"/>
                <w:sz w:val="16"/>
                <w:szCs w:val="16"/>
              </w:rPr>
              <w:t>Existing data: routinely collected service use data</w:t>
            </w:r>
          </w:p>
        </w:tc>
        <w:tc>
          <w:tcPr>
            <w:tcW w:w="1203" w:type="dxa"/>
            <w:tcBorders>
              <w:top w:val="single" w:sz="4" w:space="0" w:color="FFFFFF" w:themeColor="background1"/>
              <w:left w:val="single" w:sz="4" w:space="0" w:color="FFFFFF" w:themeColor="background1"/>
              <w:bottom w:val="single" w:sz="4" w:space="0" w:color="auto"/>
            </w:tcBorders>
            <w:shd w:val="clear" w:color="auto" w:fill="000000" w:themeFill="text1"/>
          </w:tcPr>
          <w:p w14:paraId="75CCE49C" w14:textId="77777777" w:rsidR="00B4495F" w:rsidRPr="006508D8" w:rsidRDefault="00B4495F" w:rsidP="00753518">
            <w:pPr>
              <w:jc w:val="center"/>
              <w:rPr>
                <w:rFonts w:asciiTheme="minorHAnsi" w:hAnsiTheme="minorHAnsi" w:cstheme="minorHAnsi"/>
                <w:sz w:val="16"/>
                <w:szCs w:val="16"/>
              </w:rPr>
            </w:pPr>
            <w:r w:rsidRPr="006508D8">
              <w:rPr>
                <w:rFonts w:asciiTheme="minorHAnsi" w:hAnsiTheme="minorHAnsi" w:cstheme="minorHAnsi"/>
                <w:sz w:val="16"/>
                <w:szCs w:val="16"/>
              </w:rPr>
              <w:t>Consultation with stakeholders</w:t>
            </w:r>
          </w:p>
        </w:tc>
      </w:tr>
      <w:tr w:rsidR="005F4CCC" w:rsidRPr="00753518" w14:paraId="451F07D4" w14:textId="77777777" w:rsidTr="00CB1CC2">
        <w:tc>
          <w:tcPr>
            <w:tcW w:w="2479" w:type="dxa"/>
          </w:tcPr>
          <w:p w14:paraId="3A235AC8" w14:textId="69D0D8CC" w:rsidR="005F4CCC" w:rsidRPr="006508D8" w:rsidRDefault="005F4CCC" w:rsidP="007949A9">
            <w:pPr>
              <w:rPr>
                <w:rFonts w:asciiTheme="minorHAnsi" w:hAnsiTheme="minorHAnsi" w:cstheme="minorHAnsi"/>
                <w:sz w:val="16"/>
                <w:szCs w:val="16"/>
              </w:rPr>
            </w:pPr>
            <w:r w:rsidRPr="006508D8">
              <w:rPr>
                <w:rFonts w:asciiTheme="minorHAnsi" w:hAnsiTheme="minorHAnsi" w:cstheme="minorHAnsi"/>
                <w:b/>
                <w:bCs/>
                <w:sz w:val="16"/>
                <w:szCs w:val="16"/>
              </w:rPr>
              <w:t xml:space="preserve">KEQ 1: </w:t>
            </w:r>
            <w:r w:rsidRPr="006508D8">
              <w:rPr>
                <w:rFonts w:asciiTheme="minorHAnsi" w:hAnsiTheme="minorHAnsi" w:cstheme="minorHAnsi"/>
                <w:sz w:val="16"/>
                <w:szCs w:val="16"/>
              </w:rPr>
              <w:t>How effective has the implementation of online mental health treatment services been to date</w:t>
            </w:r>
            <w:r w:rsidR="00B759A3" w:rsidRPr="006508D8">
              <w:rPr>
                <w:rFonts w:asciiTheme="minorHAnsi" w:hAnsiTheme="minorHAnsi" w:cstheme="minorHAnsi"/>
                <w:sz w:val="16"/>
                <w:szCs w:val="16"/>
              </w:rPr>
              <w:t>,</w:t>
            </w:r>
            <w:r w:rsidRPr="006508D8">
              <w:rPr>
                <w:rFonts w:asciiTheme="minorHAnsi" w:hAnsiTheme="minorHAnsi" w:cstheme="minorHAnsi"/>
                <w:sz w:val="16"/>
                <w:szCs w:val="16"/>
              </w:rPr>
              <w:t xml:space="preserve"> and what can we learn from it?</w:t>
            </w:r>
          </w:p>
        </w:tc>
        <w:tc>
          <w:tcPr>
            <w:tcW w:w="1203" w:type="dxa"/>
            <w:tcBorders>
              <w:right w:val="nil"/>
            </w:tcBorders>
            <w:shd w:val="clear" w:color="auto" w:fill="auto"/>
            <w:vAlign w:val="center"/>
          </w:tcPr>
          <w:p w14:paraId="795E713C" w14:textId="2134D2C2" w:rsidR="005F4CCC" w:rsidRPr="00753518" w:rsidRDefault="005F4CCC" w:rsidP="00CB1CC2">
            <w:pPr>
              <w:jc w:val="center"/>
              <w:rPr>
                <w:rFonts w:asciiTheme="minorHAnsi" w:hAnsiTheme="minorHAnsi" w:cstheme="minorHAnsi"/>
                <w:color w:val="000000" w:themeColor="text1"/>
                <w:sz w:val="18"/>
                <w:szCs w:val="18"/>
              </w:rPr>
            </w:pPr>
            <w:r w:rsidRPr="00753518">
              <w:rPr>
                <w:rFonts w:ascii="Segoe UI Symbol" w:hAnsi="Segoe UI Symbol" w:cs="Segoe UI Symbol"/>
                <w:sz w:val="18"/>
                <w:szCs w:val="18"/>
              </w:rPr>
              <w:t>✓</w:t>
            </w:r>
          </w:p>
        </w:tc>
        <w:tc>
          <w:tcPr>
            <w:tcW w:w="1203" w:type="dxa"/>
            <w:tcBorders>
              <w:left w:val="nil"/>
            </w:tcBorders>
            <w:shd w:val="clear" w:color="auto" w:fill="auto"/>
            <w:vAlign w:val="center"/>
          </w:tcPr>
          <w:p w14:paraId="372B0F0C" w14:textId="02861D5E" w:rsidR="005F4CCC" w:rsidRPr="00753518" w:rsidRDefault="005F4CCC" w:rsidP="00CB1CC2">
            <w:pPr>
              <w:jc w:val="center"/>
              <w:rPr>
                <w:rFonts w:asciiTheme="minorHAnsi" w:hAnsiTheme="minorHAnsi" w:cstheme="minorHAnsi"/>
                <w:color w:val="000000" w:themeColor="text1"/>
                <w:sz w:val="18"/>
                <w:szCs w:val="18"/>
              </w:rPr>
            </w:pPr>
            <w:r w:rsidRPr="00753518">
              <w:rPr>
                <w:rFonts w:ascii="Segoe UI Symbol" w:hAnsi="Segoe UI Symbol" w:cs="Segoe UI Symbol"/>
                <w:sz w:val="18"/>
                <w:szCs w:val="18"/>
              </w:rPr>
              <w:t>✓</w:t>
            </w:r>
          </w:p>
        </w:tc>
        <w:tc>
          <w:tcPr>
            <w:tcW w:w="1203" w:type="dxa"/>
            <w:tcBorders>
              <w:right w:val="nil"/>
            </w:tcBorders>
            <w:shd w:val="clear" w:color="auto" w:fill="auto"/>
            <w:vAlign w:val="center"/>
          </w:tcPr>
          <w:p w14:paraId="09ED09C4" w14:textId="6E215E29" w:rsidR="005F4CCC" w:rsidRPr="00753518" w:rsidRDefault="005F4CCC" w:rsidP="00CB1CC2">
            <w:pPr>
              <w:jc w:val="center"/>
              <w:rPr>
                <w:rFonts w:asciiTheme="minorHAnsi" w:hAnsiTheme="minorHAnsi" w:cstheme="minorHAnsi"/>
                <w:color w:val="000000" w:themeColor="text1"/>
                <w:sz w:val="18"/>
                <w:szCs w:val="18"/>
              </w:rPr>
            </w:pPr>
            <w:r w:rsidRPr="00753518">
              <w:rPr>
                <w:rFonts w:ascii="Segoe UI Symbol" w:hAnsi="Segoe UI Symbol" w:cs="Segoe UI Symbol"/>
                <w:sz w:val="18"/>
                <w:szCs w:val="18"/>
              </w:rPr>
              <w:t>✓</w:t>
            </w:r>
          </w:p>
        </w:tc>
        <w:tc>
          <w:tcPr>
            <w:tcW w:w="1203" w:type="dxa"/>
            <w:tcBorders>
              <w:left w:val="nil"/>
              <w:right w:val="nil"/>
            </w:tcBorders>
            <w:shd w:val="clear" w:color="auto" w:fill="auto"/>
            <w:vAlign w:val="center"/>
          </w:tcPr>
          <w:p w14:paraId="659C65D7" w14:textId="112641E3" w:rsidR="005F4CCC" w:rsidRPr="00753518" w:rsidRDefault="005F4CCC" w:rsidP="00CB1CC2">
            <w:pPr>
              <w:jc w:val="center"/>
              <w:rPr>
                <w:rFonts w:asciiTheme="minorHAnsi" w:hAnsiTheme="minorHAnsi" w:cstheme="minorHAnsi"/>
                <w:color w:val="000000" w:themeColor="text1"/>
                <w:sz w:val="18"/>
                <w:szCs w:val="18"/>
              </w:rPr>
            </w:pPr>
            <w:r w:rsidRPr="00753518">
              <w:rPr>
                <w:rFonts w:ascii="Segoe UI Symbol" w:hAnsi="Segoe UI Symbol" w:cs="Segoe UI Symbol"/>
                <w:sz w:val="18"/>
                <w:szCs w:val="18"/>
              </w:rPr>
              <w:t>✓</w:t>
            </w:r>
          </w:p>
        </w:tc>
        <w:tc>
          <w:tcPr>
            <w:tcW w:w="1203" w:type="dxa"/>
            <w:tcBorders>
              <w:left w:val="nil"/>
            </w:tcBorders>
            <w:shd w:val="clear" w:color="auto" w:fill="auto"/>
            <w:vAlign w:val="center"/>
          </w:tcPr>
          <w:p w14:paraId="3BFBC771" w14:textId="03BA56BE" w:rsidR="005F4CCC" w:rsidRPr="00753518" w:rsidRDefault="005F4CCC" w:rsidP="00CB1CC2">
            <w:pPr>
              <w:jc w:val="center"/>
              <w:rPr>
                <w:rFonts w:asciiTheme="minorHAnsi" w:hAnsiTheme="minorHAnsi" w:cstheme="minorHAnsi"/>
                <w:color w:val="000000" w:themeColor="text1"/>
                <w:sz w:val="18"/>
                <w:szCs w:val="18"/>
              </w:rPr>
            </w:pPr>
            <w:r w:rsidRPr="00753518">
              <w:rPr>
                <w:rFonts w:ascii="Segoe UI Symbol" w:hAnsi="Segoe UI Symbol" w:cs="Segoe UI Symbol"/>
                <w:sz w:val="18"/>
                <w:szCs w:val="18"/>
              </w:rPr>
              <w:t>✓</w:t>
            </w:r>
          </w:p>
        </w:tc>
      </w:tr>
      <w:tr w:rsidR="005F4CCC" w:rsidRPr="00753518" w14:paraId="4F572495" w14:textId="77777777" w:rsidTr="00CB1CC2">
        <w:tc>
          <w:tcPr>
            <w:tcW w:w="2479" w:type="dxa"/>
          </w:tcPr>
          <w:p w14:paraId="527C1852" w14:textId="77777777" w:rsidR="005F4CCC" w:rsidRPr="006508D8" w:rsidRDefault="005F4CCC" w:rsidP="007949A9">
            <w:pPr>
              <w:rPr>
                <w:rFonts w:asciiTheme="minorHAnsi" w:hAnsiTheme="minorHAnsi" w:cstheme="minorHAnsi"/>
                <w:sz w:val="16"/>
                <w:szCs w:val="16"/>
              </w:rPr>
            </w:pPr>
            <w:r w:rsidRPr="006508D8">
              <w:rPr>
                <w:rFonts w:asciiTheme="minorHAnsi" w:hAnsiTheme="minorHAnsi" w:cstheme="minorHAnsi"/>
                <w:b/>
                <w:bCs/>
                <w:sz w:val="16"/>
                <w:szCs w:val="16"/>
              </w:rPr>
              <w:t xml:space="preserve">KEQ 2: </w:t>
            </w:r>
            <w:r w:rsidRPr="006508D8">
              <w:rPr>
                <w:rFonts w:asciiTheme="minorHAnsi" w:hAnsiTheme="minorHAnsi" w:cstheme="minorHAnsi"/>
                <w:sz w:val="16"/>
                <w:szCs w:val="16"/>
              </w:rPr>
              <w:t>What difference are existing supported online mental health treatment services making compared with usual care (e.g.  face-to-face or other treatment service types)?</w:t>
            </w:r>
          </w:p>
        </w:tc>
        <w:tc>
          <w:tcPr>
            <w:tcW w:w="1203" w:type="dxa"/>
            <w:tcBorders>
              <w:right w:val="nil"/>
            </w:tcBorders>
            <w:shd w:val="clear" w:color="auto" w:fill="auto"/>
            <w:vAlign w:val="center"/>
          </w:tcPr>
          <w:p w14:paraId="7DBDE67D" w14:textId="3F401879" w:rsidR="005F4CCC" w:rsidRPr="00753518" w:rsidRDefault="005F4CCC" w:rsidP="00CB1CC2">
            <w:pPr>
              <w:jc w:val="center"/>
              <w:rPr>
                <w:rFonts w:asciiTheme="minorHAnsi" w:hAnsiTheme="minorHAnsi" w:cstheme="minorHAnsi"/>
                <w:color w:val="000000" w:themeColor="text1"/>
                <w:sz w:val="18"/>
                <w:szCs w:val="18"/>
              </w:rPr>
            </w:pPr>
            <w:r w:rsidRPr="00753518">
              <w:rPr>
                <w:rFonts w:ascii="Segoe UI Symbol" w:hAnsi="Segoe UI Symbol" w:cs="Segoe UI Symbol"/>
                <w:sz w:val="18"/>
                <w:szCs w:val="18"/>
              </w:rPr>
              <w:t>✓</w:t>
            </w:r>
          </w:p>
        </w:tc>
        <w:tc>
          <w:tcPr>
            <w:tcW w:w="1203" w:type="dxa"/>
            <w:tcBorders>
              <w:left w:val="nil"/>
            </w:tcBorders>
            <w:shd w:val="clear" w:color="auto" w:fill="auto"/>
            <w:vAlign w:val="center"/>
          </w:tcPr>
          <w:p w14:paraId="79404E68" w14:textId="18F7B12D" w:rsidR="005F4CCC" w:rsidRPr="00753518" w:rsidRDefault="005F4CCC" w:rsidP="00CB1CC2">
            <w:pPr>
              <w:jc w:val="center"/>
              <w:rPr>
                <w:rFonts w:asciiTheme="minorHAnsi" w:hAnsiTheme="minorHAnsi" w:cstheme="minorHAnsi"/>
                <w:color w:val="000000" w:themeColor="text1"/>
                <w:sz w:val="18"/>
                <w:szCs w:val="18"/>
              </w:rPr>
            </w:pPr>
            <w:r w:rsidRPr="00753518">
              <w:rPr>
                <w:rFonts w:ascii="Segoe UI Symbol" w:hAnsi="Segoe UI Symbol" w:cs="Segoe UI Symbol"/>
                <w:sz w:val="18"/>
                <w:szCs w:val="18"/>
              </w:rPr>
              <w:t>✓</w:t>
            </w:r>
          </w:p>
        </w:tc>
        <w:tc>
          <w:tcPr>
            <w:tcW w:w="1203" w:type="dxa"/>
            <w:tcBorders>
              <w:right w:val="nil"/>
            </w:tcBorders>
            <w:shd w:val="clear" w:color="auto" w:fill="auto"/>
            <w:vAlign w:val="center"/>
          </w:tcPr>
          <w:p w14:paraId="330CD582" w14:textId="7154CF4E" w:rsidR="005F4CCC" w:rsidRPr="00753518" w:rsidRDefault="005F4CCC" w:rsidP="00CB1CC2">
            <w:pPr>
              <w:jc w:val="center"/>
              <w:rPr>
                <w:rFonts w:asciiTheme="minorHAnsi" w:hAnsiTheme="minorHAnsi" w:cstheme="minorHAnsi"/>
                <w:color w:val="000000" w:themeColor="text1"/>
                <w:sz w:val="18"/>
                <w:szCs w:val="18"/>
              </w:rPr>
            </w:pPr>
            <w:r w:rsidRPr="00753518">
              <w:rPr>
                <w:rFonts w:ascii="Segoe UI Symbol" w:hAnsi="Segoe UI Symbol" w:cs="Segoe UI Symbol"/>
                <w:sz w:val="18"/>
                <w:szCs w:val="18"/>
              </w:rPr>
              <w:t>✓</w:t>
            </w:r>
          </w:p>
        </w:tc>
        <w:tc>
          <w:tcPr>
            <w:tcW w:w="1203" w:type="dxa"/>
            <w:tcBorders>
              <w:left w:val="nil"/>
              <w:right w:val="nil"/>
            </w:tcBorders>
            <w:shd w:val="clear" w:color="auto" w:fill="auto"/>
            <w:vAlign w:val="center"/>
          </w:tcPr>
          <w:p w14:paraId="0E679B18" w14:textId="253027A4" w:rsidR="005F4CCC" w:rsidRPr="00753518" w:rsidRDefault="005F4CCC" w:rsidP="00CB1CC2">
            <w:pPr>
              <w:jc w:val="center"/>
              <w:rPr>
                <w:rFonts w:asciiTheme="minorHAnsi" w:hAnsiTheme="minorHAnsi" w:cstheme="minorHAnsi"/>
                <w:color w:val="000000" w:themeColor="text1"/>
                <w:sz w:val="18"/>
                <w:szCs w:val="18"/>
              </w:rPr>
            </w:pPr>
            <w:r w:rsidRPr="00753518">
              <w:rPr>
                <w:rFonts w:ascii="Segoe UI Symbol" w:hAnsi="Segoe UI Symbol" w:cs="Segoe UI Symbol"/>
                <w:sz w:val="18"/>
                <w:szCs w:val="18"/>
              </w:rPr>
              <w:t>✓</w:t>
            </w:r>
          </w:p>
        </w:tc>
        <w:tc>
          <w:tcPr>
            <w:tcW w:w="1203" w:type="dxa"/>
            <w:tcBorders>
              <w:left w:val="nil"/>
            </w:tcBorders>
            <w:shd w:val="clear" w:color="auto" w:fill="auto"/>
            <w:vAlign w:val="center"/>
          </w:tcPr>
          <w:p w14:paraId="37B5AA68" w14:textId="72C4B4CE" w:rsidR="005F4CCC" w:rsidRPr="00753518" w:rsidRDefault="005F4CCC" w:rsidP="00CB1CC2">
            <w:pPr>
              <w:jc w:val="center"/>
              <w:rPr>
                <w:rFonts w:asciiTheme="minorHAnsi" w:hAnsiTheme="minorHAnsi" w:cstheme="minorHAnsi"/>
                <w:color w:val="000000" w:themeColor="text1"/>
                <w:sz w:val="18"/>
                <w:szCs w:val="18"/>
              </w:rPr>
            </w:pPr>
          </w:p>
        </w:tc>
      </w:tr>
      <w:tr w:rsidR="005F4CCC" w:rsidRPr="00753518" w14:paraId="063FC7D5" w14:textId="77777777" w:rsidTr="00CB1CC2">
        <w:tc>
          <w:tcPr>
            <w:tcW w:w="2479" w:type="dxa"/>
          </w:tcPr>
          <w:p w14:paraId="5D2348EF" w14:textId="3E0D8019" w:rsidR="005F4CCC" w:rsidRPr="006508D8" w:rsidRDefault="005F4CCC" w:rsidP="007949A9">
            <w:pPr>
              <w:rPr>
                <w:rFonts w:asciiTheme="minorHAnsi" w:hAnsiTheme="minorHAnsi" w:cstheme="minorHAnsi"/>
                <w:sz w:val="16"/>
                <w:szCs w:val="16"/>
              </w:rPr>
            </w:pPr>
            <w:r w:rsidRPr="006508D8">
              <w:rPr>
                <w:rFonts w:asciiTheme="minorHAnsi" w:hAnsiTheme="minorHAnsi" w:cstheme="minorHAnsi"/>
                <w:b/>
                <w:bCs/>
                <w:sz w:val="16"/>
                <w:szCs w:val="16"/>
              </w:rPr>
              <w:t xml:space="preserve">KEQ 3: </w:t>
            </w:r>
            <w:r w:rsidRPr="006508D8">
              <w:rPr>
                <w:rFonts w:asciiTheme="minorHAnsi" w:hAnsiTheme="minorHAnsi" w:cstheme="minorHAnsi"/>
                <w:sz w:val="16"/>
                <w:szCs w:val="16"/>
              </w:rPr>
              <w:t xml:space="preserve">How cost effective </w:t>
            </w:r>
            <w:proofErr w:type="gramStart"/>
            <w:r w:rsidRPr="006508D8">
              <w:rPr>
                <w:rFonts w:asciiTheme="minorHAnsi" w:hAnsiTheme="minorHAnsi" w:cstheme="minorHAnsi"/>
                <w:sz w:val="16"/>
                <w:szCs w:val="16"/>
              </w:rPr>
              <w:t>are</w:t>
            </w:r>
            <w:proofErr w:type="gramEnd"/>
            <w:r w:rsidRPr="006508D8">
              <w:rPr>
                <w:rFonts w:asciiTheme="minorHAnsi" w:hAnsiTheme="minorHAnsi" w:cstheme="minorHAnsi"/>
                <w:sz w:val="16"/>
                <w:szCs w:val="16"/>
              </w:rPr>
              <w:t xml:space="preserve"> Australian Government funded supported online mental health treatment services compared with usual care?</w:t>
            </w:r>
          </w:p>
        </w:tc>
        <w:tc>
          <w:tcPr>
            <w:tcW w:w="1203" w:type="dxa"/>
            <w:tcBorders>
              <w:right w:val="nil"/>
            </w:tcBorders>
            <w:shd w:val="clear" w:color="auto" w:fill="auto"/>
            <w:vAlign w:val="center"/>
          </w:tcPr>
          <w:p w14:paraId="2DB1ECBD" w14:textId="09D7B22C" w:rsidR="005F4CCC" w:rsidRPr="00753518" w:rsidRDefault="005F4CCC" w:rsidP="00CB1CC2">
            <w:pPr>
              <w:jc w:val="center"/>
              <w:rPr>
                <w:rFonts w:asciiTheme="minorHAnsi" w:hAnsiTheme="minorHAnsi" w:cstheme="minorHAnsi"/>
                <w:color w:val="000000" w:themeColor="text1"/>
                <w:sz w:val="18"/>
                <w:szCs w:val="18"/>
              </w:rPr>
            </w:pPr>
            <w:r w:rsidRPr="00753518">
              <w:rPr>
                <w:rFonts w:ascii="Segoe UI Symbol" w:hAnsi="Segoe UI Symbol" w:cs="Segoe UI Symbol"/>
                <w:sz w:val="18"/>
                <w:szCs w:val="18"/>
              </w:rPr>
              <w:t>✓</w:t>
            </w:r>
          </w:p>
        </w:tc>
        <w:tc>
          <w:tcPr>
            <w:tcW w:w="1203" w:type="dxa"/>
            <w:tcBorders>
              <w:left w:val="nil"/>
            </w:tcBorders>
            <w:shd w:val="clear" w:color="auto" w:fill="auto"/>
            <w:vAlign w:val="center"/>
          </w:tcPr>
          <w:p w14:paraId="1DD3E86D" w14:textId="138C129D" w:rsidR="005F4CCC" w:rsidRPr="00753518" w:rsidRDefault="005F4CCC" w:rsidP="00CB1CC2">
            <w:pPr>
              <w:jc w:val="center"/>
              <w:rPr>
                <w:rFonts w:asciiTheme="minorHAnsi" w:hAnsiTheme="minorHAnsi" w:cstheme="minorHAnsi"/>
                <w:color w:val="000000" w:themeColor="text1"/>
                <w:sz w:val="18"/>
                <w:szCs w:val="18"/>
              </w:rPr>
            </w:pPr>
            <w:r w:rsidRPr="00753518">
              <w:rPr>
                <w:rFonts w:ascii="Segoe UI Symbol" w:hAnsi="Segoe UI Symbol" w:cs="Segoe UI Symbol"/>
                <w:sz w:val="18"/>
                <w:szCs w:val="18"/>
              </w:rPr>
              <w:t>✓</w:t>
            </w:r>
          </w:p>
        </w:tc>
        <w:tc>
          <w:tcPr>
            <w:tcW w:w="1203" w:type="dxa"/>
            <w:tcBorders>
              <w:right w:val="nil"/>
            </w:tcBorders>
            <w:shd w:val="clear" w:color="auto" w:fill="auto"/>
            <w:vAlign w:val="center"/>
          </w:tcPr>
          <w:p w14:paraId="6588684D" w14:textId="0920DC25" w:rsidR="005F4CCC" w:rsidRPr="00753518" w:rsidRDefault="005F4CCC" w:rsidP="00CB1CC2">
            <w:pPr>
              <w:jc w:val="center"/>
              <w:rPr>
                <w:rFonts w:asciiTheme="minorHAnsi" w:hAnsiTheme="minorHAnsi" w:cstheme="minorHAnsi"/>
                <w:color w:val="000000" w:themeColor="text1"/>
                <w:sz w:val="18"/>
                <w:szCs w:val="18"/>
              </w:rPr>
            </w:pPr>
            <w:r w:rsidRPr="00753518">
              <w:rPr>
                <w:rFonts w:ascii="Segoe UI Symbol" w:hAnsi="Segoe UI Symbol" w:cs="Segoe UI Symbol"/>
                <w:sz w:val="18"/>
                <w:szCs w:val="18"/>
              </w:rPr>
              <w:t>✓</w:t>
            </w:r>
          </w:p>
        </w:tc>
        <w:tc>
          <w:tcPr>
            <w:tcW w:w="1203" w:type="dxa"/>
            <w:tcBorders>
              <w:left w:val="nil"/>
              <w:right w:val="nil"/>
            </w:tcBorders>
            <w:shd w:val="clear" w:color="auto" w:fill="auto"/>
            <w:vAlign w:val="center"/>
          </w:tcPr>
          <w:p w14:paraId="3D162F7C" w14:textId="4CAA2153" w:rsidR="005F4CCC" w:rsidRPr="00753518" w:rsidRDefault="005F4CCC" w:rsidP="00CB1CC2">
            <w:pPr>
              <w:jc w:val="center"/>
              <w:rPr>
                <w:rFonts w:asciiTheme="minorHAnsi" w:hAnsiTheme="minorHAnsi" w:cstheme="minorHAnsi"/>
                <w:color w:val="000000" w:themeColor="text1"/>
                <w:sz w:val="18"/>
                <w:szCs w:val="18"/>
              </w:rPr>
            </w:pPr>
            <w:r w:rsidRPr="00753518">
              <w:rPr>
                <w:rFonts w:ascii="Segoe UI Symbol" w:hAnsi="Segoe UI Symbol" w:cs="Segoe UI Symbol"/>
                <w:sz w:val="18"/>
                <w:szCs w:val="18"/>
              </w:rPr>
              <w:t>✓</w:t>
            </w:r>
          </w:p>
        </w:tc>
        <w:tc>
          <w:tcPr>
            <w:tcW w:w="1203" w:type="dxa"/>
            <w:tcBorders>
              <w:left w:val="nil"/>
            </w:tcBorders>
            <w:shd w:val="clear" w:color="auto" w:fill="auto"/>
            <w:vAlign w:val="center"/>
          </w:tcPr>
          <w:p w14:paraId="172875E6" w14:textId="1305D2FD" w:rsidR="005F4CCC" w:rsidRPr="00753518" w:rsidRDefault="00767035" w:rsidP="00CB1CC2">
            <w:pPr>
              <w:jc w:val="center"/>
              <w:rPr>
                <w:rFonts w:asciiTheme="minorHAnsi" w:hAnsiTheme="minorHAnsi" w:cstheme="minorHAnsi"/>
                <w:color w:val="000000" w:themeColor="text1"/>
                <w:sz w:val="18"/>
                <w:szCs w:val="18"/>
              </w:rPr>
            </w:pPr>
            <w:r w:rsidRPr="00753518">
              <w:rPr>
                <w:rFonts w:ascii="Segoe UI Symbol" w:hAnsi="Segoe UI Symbol" w:cs="Segoe UI Symbol"/>
                <w:sz w:val="18"/>
                <w:szCs w:val="18"/>
              </w:rPr>
              <w:t>✓</w:t>
            </w:r>
          </w:p>
        </w:tc>
      </w:tr>
      <w:tr w:rsidR="005F4CCC" w:rsidRPr="00753518" w14:paraId="16F75C89" w14:textId="77777777" w:rsidTr="00CB1CC2">
        <w:tc>
          <w:tcPr>
            <w:tcW w:w="2479" w:type="dxa"/>
          </w:tcPr>
          <w:p w14:paraId="57E1F099" w14:textId="77777777" w:rsidR="005F4CCC" w:rsidRPr="006508D8" w:rsidRDefault="005F4CCC" w:rsidP="007949A9">
            <w:pPr>
              <w:rPr>
                <w:rFonts w:asciiTheme="minorHAnsi" w:hAnsiTheme="minorHAnsi" w:cstheme="minorHAnsi"/>
                <w:sz w:val="16"/>
                <w:szCs w:val="16"/>
              </w:rPr>
            </w:pPr>
            <w:r w:rsidRPr="006508D8">
              <w:rPr>
                <w:rFonts w:asciiTheme="minorHAnsi" w:hAnsiTheme="minorHAnsi" w:cstheme="minorHAnsi"/>
                <w:b/>
                <w:bCs/>
                <w:sz w:val="16"/>
                <w:szCs w:val="16"/>
              </w:rPr>
              <w:t xml:space="preserve">KEQ 4: </w:t>
            </w:r>
            <w:r w:rsidRPr="006508D8">
              <w:rPr>
                <w:rFonts w:asciiTheme="minorHAnsi" w:hAnsiTheme="minorHAnsi" w:cstheme="minorHAnsi"/>
                <w:sz w:val="16"/>
                <w:szCs w:val="16"/>
              </w:rPr>
              <w:t>How effective are supported online mental health treatment services for consumers and health providers?</w:t>
            </w:r>
          </w:p>
        </w:tc>
        <w:tc>
          <w:tcPr>
            <w:tcW w:w="1203" w:type="dxa"/>
            <w:tcBorders>
              <w:right w:val="nil"/>
            </w:tcBorders>
            <w:shd w:val="clear" w:color="auto" w:fill="auto"/>
            <w:vAlign w:val="center"/>
          </w:tcPr>
          <w:p w14:paraId="11D7FC98" w14:textId="223FCC62" w:rsidR="005F4CCC" w:rsidRPr="00753518" w:rsidRDefault="005F4CCC" w:rsidP="00CB1CC2">
            <w:pPr>
              <w:jc w:val="center"/>
              <w:rPr>
                <w:rFonts w:asciiTheme="minorHAnsi" w:hAnsiTheme="minorHAnsi" w:cstheme="minorHAnsi"/>
                <w:color w:val="000000" w:themeColor="text1"/>
                <w:sz w:val="18"/>
                <w:szCs w:val="18"/>
              </w:rPr>
            </w:pPr>
            <w:r w:rsidRPr="00753518">
              <w:rPr>
                <w:rFonts w:ascii="Segoe UI Symbol" w:hAnsi="Segoe UI Symbol" w:cs="Segoe UI Symbol"/>
                <w:sz w:val="18"/>
                <w:szCs w:val="18"/>
              </w:rPr>
              <w:t>✓</w:t>
            </w:r>
          </w:p>
        </w:tc>
        <w:tc>
          <w:tcPr>
            <w:tcW w:w="1203" w:type="dxa"/>
            <w:tcBorders>
              <w:left w:val="nil"/>
            </w:tcBorders>
            <w:shd w:val="clear" w:color="auto" w:fill="auto"/>
            <w:vAlign w:val="center"/>
          </w:tcPr>
          <w:p w14:paraId="260212FC" w14:textId="5A1512D9" w:rsidR="005F4CCC" w:rsidRPr="00753518" w:rsidRDefault="005F4CCC" w:rsidP="00CB1CC2">
            <w:pPr>
              <w:jc w:val="center"/>
              <w:rPr>
                <w:rFonts w:asciiTheme="minorHAnsi" w:hAnsiTheme="minorHAnsi" w:cstheme="minorHAnsi"/>
                <w:color w:val="000000" w:themeColor="text1"/>
                <w:sz w:val="18"/>
                <w:szCs w:val="18"/>
              </w:rPr>
            </w:pPr>
          </w:p>
        </w:tc>
        <w:tc>
          <w:tcPr>
            <w:tcW w:w="1203" w:type="dxa"/>
            <w:tcBorders>
              <w:right w:val="nil"/>
            </w:tcBorders>
            <w:shd w:val="clear" w:color="auto" w:fill="auto"/>
            <w:vAlign w:val="center"/>
          </w:tcPr>
          <w:p w14:paraId="389F1721" w14:textId="59B00561" w:rsidR="005F4CCC" w:rsidRPr="00753518" w:rsidRDefault="005F4CCC" w:rsidP="00CB1CC2">
            <w:pPr>
              <w:jc w:val="center"/>
              <w:rPr>
                <w:rFonts w:asciiTheme="minorHAnsi" w:hAnsiTheme="minorHAnsi" w:cstheme="minorHAnsi"/>
                <w:color w:val="000000" w:themeColor="text1"/>
                <w:sz w:val="18"/>
                <w:szCs w:val="18"/>
              </w:rPr>
            </w:pPr>
          </w:p>
        </w:tc>
        <w:tc>
          <w:tcPr>
            <w:tcW w:w="1203" w:type="dxa"/>
            <w:tcBorders>
              <w:left w:val="nil"/>
              <w:right w:val="nil"/>
            </w:tcBorders>
            <w:shd w:val="clear" w:color="auto" w:fill="auto"/>
            <w:vAlign w:val="center"/>
          </w:tcPr>
          <w:p w14:paraId="4A470EB3" w14:textId="50CB4BC1" w:rsidR="005F4CCC" w:rsidRPr="00753518" w:rsidRDefault="005F4CCC" w:rsidP="00CB1CC2">
            <w:pPr>
              <w:jc w:val="center"/>
              <w:rPr>
                <w:rFonts w:asciiTheme="minorHAnsi" w:hAnsiTheme="minorHAnsi" w:cstheme="minorHAnsi"/>
                <w:color w:val="000000" w:themeColor="text1"/>
                <w:sz w:val="18"/>
                <w:szCs w:val="18"/>
              </w:rPr>
            </w:pPr>
          </w:p>
        </w:tc>
        <w:tc>
          <w:tcPr>
            <w:tcW w:w="1203" w:type="dxa"/>
            <w:tcBorders>
              <w:left w:val="nil"/>
            </w:tcBorders>
            <w:shd w:val="clear" w:color="auto" w:fill="auto"/>
            <w:vAlign w:val="center"/>
          </w:tcPr>
          <w:p w14:paraId="230BCE55" w14:textId="026CDE56" w:rsidR="005F4CCC" w:rsidRPr="00753518" w:rsidRDefault="005F4CCC" w:rsidP="00CB1CC2">
            <w:pPr>
              <w:jc w:val="center"/>
              <w:rPr>
                <w:rFonts w:asciiTheme="minorHAnsi" w:hAnsiTheme="minorHAnsi" w:cstheme="minorHAnsi"/>
                <w:color w:val="000000" w:themeColor="text1"/>
                <w:sz w:val="18"/>
                <w:szCs w:val="18"/>
              </w:rPr>
            </w:pPr>
            <w:r w:rsidRPr="00753518">
              <w:rPr>
                <w:rFonts w:ascii="Segoe UI Symbol" w:hAnsi="Segoe UI Symbol" w:cs="Segoe UI Symbol"/>
                <w:sz w:val="18"/>
                <w:szCs w:val="18"/>
              </w:rPr>
              <w:t>✓</w:t>
            </w:r>
          </w:p>
        </w:tc>
      </w:tr>
      <w:tr w:rsidR="005F4CCC" w:rsidRPr="00753518" w14:paraId="158EF91D" w14:textId="77777777" w:rsidTr="00CB1CC2">
        <w:tc>
          <w:tcPr>
            <w:tcW w:w="2479" w:type="dxa"/>
          </w:tcPr>
          <w:p w14:paraId="2AA5BC74" w14:textId="77777777" w:rsidR="005F4CCC" w:rsidRPr="006508D8" w:rsidRDefault="005F4CCC" w:rsidP="007949A9">
            <w:pPr>
              <w:rPr>
                <w:rFonts w:asciiTheme="minorHAnsi" w:hAnsiTheme="minorHAnsi" w:cstheme="minorHAnsi"/>
                <w:sz w:val="16"/>
                <w:szCs w:val="16"/>
              </w:rPr>
            </w:pPr>
            <w:r w:rsidRPr="006508D8">
              <w:rPr>
                <w:rFonts w:asciiTheme="minorHAnsi" w:hAnsiTheme="minorHAnsi" w:cstheme="minorHAnsi"/>
                <w:b/>
                <w:bCs/>
                <w:sz w:val="16"/>
                <w:szCs w:val="16"/>
              </w:rPr>
              <w:t xml:space="preserve">KEQ 5: </w:t>
            </w:r>
            <w:r w:rsidRPr="006508D8">
              <w:rPr>
                <w:rFonts w:asciiTheme="minorHAnsi" w:hAnsiTheme="minorHAnsi" w:cstheme="minorHAnsi"/>
                <w:sz w:val="16"/>
                <w:szCs w:val="16"/>
              </w:rPr>
              <w:t>How can the commissioning and implementation of online mental health treatment services be best supported going forward?</w:t>
            </w:r>
          </w:p>
        </w:tc>
        <w:tc>
          <w:tcPr>
            <w:tcW w:w="1203" w:type="dxa"/>
            <w:tcBorders>
              <w:right w:val="nil"/>
            </w:tcBorders>
            <w:shd w:val="clear" w:color="auto" w:fill="auto"/>
            <w:vAlign w:val="center"/>
          </w:tcPr>
          <w:p w14:paraId="333B68F6" w14:textId="259A2F88" w:rsidR="005F4CCC" w:rsidRPr="00753518" w:rsidRDefault="005F4CCC" w:rsidP="00CB1CC2">
            <w:pPr>
              <w:jc w:val="center"/>
              <w:rPr>
                <w:rFonts w:asciiTheme="minorHAnsi" w:hAnsiTheme="minorHAnsi" w:cstheme="minorHAnsi"/>
                <w:color w:val="000000" w:themeColor="text1"/>
                <w:sz w:val="18"/>
                <w:szCs w:val="18"/>
              </w:rPr>
            </w:pPr>
            <w:r w:rsidRPr="00753518">
              <w:rPr>
                <w:rFonts w:ascii="Segoe UI Symbol" w:hAnsi="Segoe UI Symbol" w:cs="Segoe UI Symbol"/>
                <w:sz w:val="18"/>
                <w:szCs w:val="18"/>
              </w:rPr>
              <w:t>✓</w:t>
            </w:r>
          </w:p>
        </w:tc>
        <w:tc>
          <w:tcPr>
            <w:tcW w:w="1203" w:type="dxa"/>
            <w:tcBorders>
              <w:left w:val="nil"/>
            </w:tcBorders>
            <w:shd w:val="clear" w:color="auto" w:fill="auto"/>
            <w:vAlign w:val="center"/>
          </w:tcPr>
          <w:p w14:paraId="09366F66" w14:textId="4FA15B97" w:rsidR="005F4CCC" w:rsidRPr="00753518" w:rsidRDefault="005F4CCC" w:rsidP="00CB1CC2">
            <w:pPr>
              <w:jc w:val="center"/>
              <w:rPr>
                <w:rFonts w:asciiTheme="minorHAnsi" w:hAnsiTheme="minorHAnsi" w:cstheme="minorHAnsi"/>
                <w:color w:val="000000" w:themeColor="text1"/>
                <w:sz w:val="18"/>
                <w:szCs w:val="18"/>
              </w:rPr>
            </w:pPr>
            <w:r w:rsidRPr="00753518">
              <w:rPr>
                <w:rFonts w:ascii="Segoe UI Symbol" w:hAnsi="Segoe UI Symbol" w:cs="Segoe UI Symbol"/>
                <w:sz w:val="18"/>
                <w:szCs w:val="18"/>
              </w:rPr>
              <w:t>✓</w:t>
            </w:r>
          </w:p>
        </w:tc>
        <w:tc>
          <w:tcPr>
            <w:tcW w:w="1203" w:type="dxa"/>
            <w:tcBorders>
              <w:right w:val="nil"/>
            </w:tcBorders>
            <w:shd w:val="clear" w:color="auto" w:fill="auto"/>
            <w:vAlign w:val="center"/>
          </w:tcPr>
          <w:p w14:paraId="085C6138" w14:textId="7C437FCD" w:rsidR="005F4CCC" w:rsidRPr="00753518" w:rsidRDefault="005F4CCC" w:rsidP="00CB1CC2">
            <w:pPr>
              <w:jc w:val="center"/>
              <w:rPr>
                <w:rFonts w:asciiTheme="minorHAnsi" w:hAnsiTheme="minorHAnsi" w:cstheme="minorHAnsi"/>
                <w:color w:val="000000" w:themeColor="text1"/>
                <w:sz w:val="18"/>
                <w:szCs w:val="18"/>
              </w:rPr>
            </w:pPr>
            <w:r w:rsidRPr="00753518">
              <w:rPr>
                <w:rFonts w:ascii="Segoe UI Symbol" w:hAnsi="Segoe UI Symbol" w:cs="Segoe UI Symbol"/>
                <w:sz w:val="18"/>
                <w:szCs w:val="18"/>
              </w:rPr>
              <w:t>✓</w:t>
            </w:r>
          </w:p>
        </w:tc>
        <w:tc>
          <w:tcPr>
            <w:tcW w:w="1203" w:type="dxa"/>
            <w:tcBorders>
              <w:left w:val="nil"/>
              <w:right w:val="nil"/>
            </w:tcBorders>
            <w:shd w:val="clear" w:color="auto" w:fill="auto"/>
            <w:vAlign w:val="center"/>
          </w:tcPr>
          <w:p w14:paraId="5B0A478E" w14:textId="1D037A37" w:rsidR="005F4CCC" w:rsidRPr="00753518" w:rsidRDefault="005F4CCC" w:rsidP="00CB1CC2">
            <w:pPr>
              <w:jc w:val="center"/>
              <w:rPr>
                <w:rFonts w:asciiTheme="minorHAnsi" w:hAnsiTheme="minorHAnsi" w:cstheme="minorHAnsi"/>
                <w:color w:val="000000" w:themeColor="text1"/>
                <w:sz w:val="18"/>
                <w:szCs w:val="18"/>
              </w:rPr>
            </w:pPr>
            <w:r w:rsidRPr="00753518">
              <w:rPr>
                <w:rFonts w:ascii="Segoe UI Symbol" w:hAnsi="Segoe UI Symbol" w:cs="Segoe UI Symbol"/>
                <w:sz w:val="18"/>
                <w:szCs w:val="18"/>
              </w:rPr>
              <w:t>✓</w:t>
            </w:r>
          </w:p>
        </w:tc>
        <w:tc>
          <w:tcPr>
            <w:tcW w:w="1203" w:type="dxa"/>
            <w:tcBorders>
              <w:left w:val="nil"/>
            </w:tcBorders>
            <w:shd w:val="clear" w:color="auto" w:fill="auto"/>
            <w:vAlign w:val="center"/>
          </w:tcPr>
          <w:p w14:paraId="346804DA" w14:textId="70BC1E17" w:rsidR="005F4CCC" w:rsidRPr="00753518" w:rsidRDefault="005F4CCC" w:rsidP="00CB1CC2">
            <w:pPr>
              <w:jc w:val="center"/>
              <w:rPr>
                <w:rFonts w:asciiTheme="minorHAnsi" w:hAnsiTheme="minorHAnsi" w:cstheme="minorHAnsi"/>
                <w:color w:val="000000" w:themeColor="text1"/>
                <w:sz w:val="18"/>
                <w:szCs w:val="18"/>
              </w:rPr>
            </w:pPr>
            <w:r w:rsidRPr="00753518">
              <w:rPr>
                <w:rFonts w:ascii="Segoe UI Symbol" w:hAnsi="Segoe UI Symbol" w:cs="Segoe UI Symbol"/>
                <w:sz w:val="18"/>
                <w:szCs w:val="18"/>
              </w:rPr>
              <w:t>✓</w:t>
            </w:r>
          </w:p>
        </w:tc>
      </w:tr>
    </w:tbl>
    <w:p w14:paraId="28F77FD0" w14:textId="77777777" w:rsidR="00B4495F" w:rsidRPr="00AA6B28" w:rsidRDefault="00B4495F" w:rsidP="00753518">
      <w:pPr>
        <w:pStyle w:val="ANorm"/>
      </w:pPr>
    </w:p>
    <w:p w14:paraId="4A3EA45B" w14:textId="3C728D66" w:rsidR="00B26CEE" w:rsidRPr="0009767C" w:rsidRDefault="00B4495F" w:rsidP="00E879F1">
      <w:pPr>
        <w:pStyle w:val="ANorm"/>
        <w:spacing w:after="240"/>
      </w:pPr>
      <w:r w:rsidRPr="00AA6B28">
        <w:t xml:space="preserve">We </w:t>
      </w:r>
      <w:r w:rsidR="008878A2" w:rsidRPr="00AA6B28">
        <w:t xml:space="preserve">have </w:t>
      </w:r>
      <w:r w:rsidR="005F4CCC" w:rsidRPr="00AA6B28">
        <w:t>used comprehensive</w:t>
      </w:r>
      <w:r w:rsidR="003F5AEF" w:rsidRPr="00AA6B28">
        <w:t xml:space="preserve"> existing and purpose-designed</w:t>
      </w:r>
      <w:r w:rsidR="005F4CCC" w:rsidRPr="00AA6B28">
        <w:t xml:space="preserve"> </w:t>
      </w:r>
      <w:r w:rsidRPr="00AA6B28">
        <w:t>quantitative and qualitative data</w:t>
      </w:r>
      <w:r w:rsidR="003F5AEF" w:rsidRPr="00AA6B28">
        <w:t xml:space="preserve"> from the following sources:</w:t>
      </w:r>
    </w:p>
    <w:p w14:paraId="6200B435" w14:textId="29AA59E2" w:rsidR="003F5AEF" w:rsidRPr="00AA6B28" w:rsidRDefault="003F5AEF" w:rsidP="00E879F1">
      <w:pPr>
        <w:pStyle w:val="ListParagraph"/>
        <w:numPr>
          <w:ilvl w:val="0"/>
          <w:numId w:val="3"/>
        </w:numPr>
        <w:spacing w:after="240"/>
      </w:pPr>
      <w:r w:rsidRPr="00AA6B28">
        <w:t xml:space="preserve">Existing </w:t>
      </w:r>
      <w:r w:rsidR="00F869E6" w:rsidRPr="00AA6B28">
        <w:t xml:space="preserve">routinely collected service use </w:t>
      </w:r>
      <w:proofErr w:type="gramStart"/>
      <w:r w:rsidR="00F869E6" w:rsidRPr="00AA6B28">
        <w:t>data</w:t>
      </w:r>
      <w:r w:rsidR="002C4E35" w:rsidRPr="00AA6B28">
        <w:t>;</w:t>
      </w:r>
      <w:proofErr w:type="gramEnd"/>
    </w:p>
    <w:p w14:paraId="47459EFF" w14:textId="1BE29447" w:rsidR="00F869E6" w:rsidRPr="00AA6B28" w:rsidRDefault="002C4E35" w:rsidP="00E879F1">
      <w:pPr>
        <w:pStyle w:val="ListParagraph"/>
        <w:numPr>
          <w:ilvl w:val="0"/>
          <w:numId w:val="3"/>
        </w:numPr>
        <w:spacing w:after="240"/>
      </w:pPr>
      <w:r w:rsidRPr="00AA6B28">
        <w:t>Existing s</w:t>
      </w:r>
      <w:r w:rsidR="00F869E6" w:rsidRPr="00AA6B28">
        <w:t>ervice documents</w:t>
      </w:r>
      <w:r w:rsidR="00D376B6">
        <w:t>,</w:t>
      </w:r>
      <w:r w:rsidR="00F869E6" w:rsidRPr="00AA6B28">
        <w:t xml:space="preserve"> and </w:t>
      </w:r>
      <w:r w:rsidR="00D376B6">
        <w:t xml:space="preserve">peer-reviewed and grey </w:t>
      </w:r>
      <w:proofErr w:type="gramStart"/>
      <w:r w:rsidR="00F869E6" w:rsidRPr="00AA6B28">
        <w:t>publications</w:t>
      </w:r>
      <w:r w:rsidRPr="00AA6B28">
        <w:t>;</w:t>
      </w:r>
      <w:proofErr w:type="gramEnd"/>
    </w:p>
    <w:p w14:paraId="037F3276" w14:textId="4BB70C00" w:rsidR="00F869E6" w:rsidRPr="00AA6B28" w:rsidRDefault="00F869E6" w:rsidP="00E879F1">
      <w:pPr>
        <w:pStyle w:val="ListParagraph"/>
        <w:numPr>
          <w:ilvl w:val="0"/>
          <w:numId w:val="3"/>
        </w:numPr>
        <w:spacing w:after="240"/>
      </w:pPr>
      <w:r w:rsidRPr="00AA6B28">
        <w:t xml:space="preserve">Surveys with consumers of DMHSs, a subset of whom we also </w:t>
      </w:r>
      <w:proofErr w:type="gramStart"/>
      <w:r w:rsidRPr="00AA6B28">
        <w:t>interviewed</w:t>
      </w:r>
      <w:r w:rsidR="002C4E35" w:rsidRPr="00AA6B28">
        <w:t>;</w:t>
      </w:r>
      <w:proofErr w:type="gramEnd"/>
    </w:p>
    <w:p w14:paraId="38CF832A" w14:textId="485427C1" w:rsidR="00F869E6" w:rsidRPr="00AA6B28" w:rsidRDefault="00F869E6" w:rsidP="00E879F1">
      <w:pPr>
        <w:pStyle w:val="ListParagraph"/>
        <w:numPr>
          <w:ilvl w:val="0"/>
          <w:numId w:val="3"/>
        </w:numPr>
        <w:spacing w:after="240"/>
      </w:pPr>
      <w:r w:rsidRPr="00AA6B28">
        <w:t xml:space="preserve">Surveys with providers of DMHSs, a subset of whom we also </w:t>
      </w:r>
      <w:proofErr w:type="gramStart"/>
      <w:r w:rsidRPr="00AA6B28">
        <w:t>interviewed</w:t>
      </w:r>
      <w:r w:rsidR="002C4E35" w:rsidRPr="00AA6B28">
        <w:t>;</w:t>
      </w:r>
      <w:proofErr w:type="gramEnd"/>
    </w:p>
    <w:p w14:paraId="6EE0CFD9" w14:textId="5D56179A" w:rsidR="00F869E6" w:rsidRPr="00AA6B28" w:rsidRDefault="00F869E6" w:rsidP="00E879F1">
      <w:pPr>
        <w:pStyle w:val="ListParagraph"/>
        <w:numPr>
          <w:ilvl w:val="0"/>
          <w:numId w:val="3"/>
        </w:numPr>
        <w:spacing w:after="240"/>
      </w:pPr>
      <w:r w:rsidRPr="00AA6B28">
        <w:t xml:space="preserve">Community conversations with people with lived experience of mental health problems who did not necessarily have experience using </w:t>
      </w:r>
      <w:proofErr w:type="gramStart"/>
      <w:r w:rsidRPr="00AA6B28">
        <w:t>DMHSs</w:t>
      </w:r>
      <w:r w:rsidR="00EF4286" w:rsidRPr="00AA6B28">
        <w:t>;</w:t>
      </w:r>
      <w:proofErr w:type="gramEnd"/>
    </w:p>
    <w:p w14:paraId="1906D34B" w14:textId="04630909" w:rsidR="00F869E6" w:rsidRPr="00AA6B28" w:rsidRDefault="00F869E6" w:rsidP="00E879F1">
      <w:pPr>
        <w:pStyle w:val="ListParagraph"/>
        <w:numPr>
          <w:ilvl w:val="0"/>
          <w:numId w:val="3"/>
        </w:numPr>
        <w:spacing w:after="240"/>
      </w:pPr>
      <w:r w:rsidRPr="00AA6B28">
        <w:t>Surveys with mental health professionals who did not necessarily have experience using DMHSs</w:t>
      </w:r>
      <w:r w:rsidR="00EF4286" w:rsidRPr="00AA6B28">
        <w:t>; and</w:t>
      </w:r>
    </w:p>
    <w:p w14:paraId="6446B441" w14:textId="6B03C84B" w:rsidR="00AC363D" w:rsidRPr="0009767C" w:rsidRDefault="00F869E6" w:rsidP="00E879F1">
      <w:pPr>
        <w:pStyle w:val="ListParagraph"/>
        <w:numPr>
          <w:ilvl w:val="0"/>
          <w:numId w:val="3"/>
        </w:numPr>
        <w:spacing w:after="240"/>
      </w:pPr>
      <w:r w:rsidRPr="00AA6B28">
        <w:t xml:space="preserve">Surveys or interviews with additional </w:t>
      </w:r>
      <w:r w:rsidR="00EF4286" w:rsidRPr="00AA6B28">
        <w:t xml:space="preserve">mental health sector </w:t>
      </w:r>
      <w:r w:rsidRPr="00AA6B28">
        <w:t>key stakeholders</w:t>
      </w:r>
      <w:r w:rsidR="00EF4286" w:rsidRPr="00AA6B28">
        <w:t>.</w:t>
      </w:r>
    </w:p>
    <w:p w14:paraId="6DAF41C8" w14:textId="0B27D617" w:rsidR="003A572F" w:rsidRPr="00AA6B28" w:rsidRDefault="008D4EC7" w:rsidP="00E879F1">
      <w:pPr>
        <w:pStyle w:val="ANorm"/>
        <w:spacing w:after="240"/>
      </w:pPr>
      <w:r w:rsidRPr="00AA6B28">
        <w:t xml:space="preserve">Further details on </w:t>
      </w:r>
      <w:r w:rsidR="00CF5947">
        <w:t xml:space="preserve">the </w:t>
      </w:r>
      <w:r w:rsidRPr="00AA6B28">
        <w:t xml:space="preserve">evaluation data sources </w:t>
      </w:r>
      <w:r w:rsidR="00313FF7" w:rsidRPr="00AA6B28">
        <w:t xml:space="preserve">used </w:t>
      </w:r>
      <w:r w:rsidR="003A572F" w:rsidRPr="00AA6B28">
        <w:t xml:space="preserve">for this report </w:t>
      </w:r>
      <w:r w:rsidRPr="00AA6B28">
        <w:t>can be found in the detailed methodology section in Appendix B.</w:t>
      </w:r>
      <w:r w:rsidR="00EC6B80" w:rsidRPr="00AA6B28">
        <w:t xml:space="preserve"> </w:t>
      </w:r>
    </w:p>
    <w:p w14:paraId="3C0790CB" w14:textId="13BDC82B" w:rsidR="00DC2335" w:rsidRPr="0009767C" w:rsidRDefault="00676A18" w:rsidP="002029DC">
      <w:pPr>
        <w:pStyle w:val="ANorm"/>
        <w:spacing w:after="200"/>
        <w:rPr>
          <w:color w:val="000000"/>
          <w:highlight w:val="green"/>
        </w:rPr>
      </w:pPr>
      <w:r w:rsidRPr="00AA6B28">
        <w:t xml:space="preserve">The methodology used for the environmental scan and systematic review are described in the </w:t>
      </w:r>
      <w:r w:rsidR="00D46659" w:rsidRPr="00AA6B28">
        <w:t>respective reports.</w:t>
      </w:r>
      <w:r w:rsidR="00B81CB1">
        <w:fldChar w:fldCharType="begin">
          <w:fldData xml:space="preserve">PEVuZE5vdGU+PENpdGU+PEF1dGhvcj5CYXNzaWxpb3M8L0F1dGhvcj48WWVhcj4yMDIyPC9ZZWFy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</w:fldData>
        </w:fldChar>
      </w:r>
      <w:r w:rsidR="00D97888">
        <w:instrText xml:space="preserve"> ADDIN EN.CITE </w:instrText>
      </w:r>
      <w:r w:rsidR="00D97888">
        <w:fldChar w:fldCharType="begin">
          <w:fldData xml:space="preserve">PEVuZE5vdGU+PENpdGU+PEF1dGhvcj5CYXNzaWxpb3M8L0F1dGhvcj48WWVhcj4yMDIyPC9ZZWFy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</w:fldData>
        </w:fldChar>
      </w:r>
      <w:r w:rsidR="00D97888">
        <w:instrText xml:space="preserve"> ADDIN EN.CITE.DATA </w:instrText>
      </w:r>
      <w:r w:rsidR="00D97888">
        <w:fldChar w:fldCharType="end"/>
      </w:r>
      <w:r w:rsidR="00B81CB1">
        <w:fldChar w:fldCharType="separate"/>
      </w:r>
      <w:r w:rsidR="00443B60" w:rsidRPr="00443B60">
        <w:rPr>
          <w:noProof/>
          <w:vertAlign w:val="superscript"/>
        </w:rPr>
        <w:t>5, 6</w:t>
      </w:r>
      <w:r w:rsidR="00B81CB1">
        <w:fldChar w:fldCharType="end"/>
      </w:r>
    </w:p>
    <w:p w14:paraId="30E41059" w14:textId="77777777" w:rsidR="0009767C" w:rsidRDefault="0009767C" w:rsidP="00140C5B">
      <w:pPr>
        <w:pStyle w:val="Heading2"/>
        <w:numPr>
          <w:ilvl w:val="1"/>
          <w:numId w:val="135"/>
        </w:numPr>
        <w:rPr>
          <w:lang w:val="en-US" w:bidi="th-TH"/>
        </w:rPr>
      </w:pPr>
      <w:r>
        <w:rPr>
          <w:lang w:val="en-US" w:bidi="th-TH"/>
        </w:rPr>
        <w:br w:type="page"/>
      </w:r>
    </w:p>
    <w:p w14:paraId="183B4697" w14:textId="2B384482" w:rsidR="00F41AA3" w:rsidRPr="0009767C" w:rsidRDefault="00DC2335" w:rsidP="00140C5B">
      <w:pPr>
        <w:pStyle w:val="Heading2"/>
        <w:numPr>
          <w:ilvl w:val="1"/>
          <w:numId w:val="134"/>
        </w:numPr>
        <w:rPr>
          <w:lang w:val="en-US" w:bidi="th-TH"/>
        </w:rPr>
      </w:pPr>
      <w:bookmarkStart w:id="33" w:name="_Toc108784824"/>
      <w:r w:rsidRPr="00AA6B28">
        <w:rPr>
          <w:lang w:val="en-US" w:bidi="th-TH"/>
        </w:rPr>
        <w:lastRenderedPageBreak/>
        <w:t>This report</w:t>
      </w:r>
      <w:bookmarkEnd w:id="33"/>
    </w:p>
    <w:p w14:paraId="6995D8C8" w14:textId="60DEA9F1" w:rsidR="0028684F" w:rsidRPr="0009767C" w:rsidRDefault="0028684F" w:rsidP="002029DC">
      <w:pPr>
        <w:pStyle w:val="ANorm"/>
        <w:spacing w:after="200"/>
        <w:rPr>
          <w:lang w:val="en-US" w:bidi="th-TH"/>
        </w:rPr>
      </w:pPr>
      <w:r w:rsidRPr="0071571A">
        <w:rPr>
          <w:lang w:val="en-US" w:bidi="th-TH"/>
        </w:rPr>
        <w:t>Two previous reports have been produced as part of this evaluation.</w:t>
      </w:r>
    </w:p>
    <w:p w14:paraId="7AAB1BE0" w14:textId="2F53A402" w:rsidR="006B2888" w:rsidRPr="00AA6B28" w:rsidRDefault="002B5813" w:rsidP="002029DC">
      <w:pPr>
        <w:pStyle w:val="ANorm"/>
        <w:spacing w:after="200"/>
        <w:rPr>
          <w:highlight w:val="green"/>
          <w:lang w:val="en-US" w:bidi="th-TH"/>
        </w:rPr>
      </w:pPr>
      <w:r w:rsidRPr="00AA6B28">
        <w:rPr>
          <w:lang w:val="en-US" w:bidi="th-TH"/>
        </w:rPr>
        <w:t xml:space="preserve">The first report </w:t>
      </w:r>
      <w:r w:rsidR="00DC2335" w:rsidRPr="00AA6B28">
        <w:rPr>
          <w:lang w:val="en-US" w:bidi="th-TH"/>
        </w:rPr>
        <w:t>was a systematic review</w:t>
      </w:r>
      <w:r w:rsidR="00943EF3" w:rsidRPr="00AA6B28">
        <w:rPr>
          <w:lang w:val="en-US" w:bidi="th-TH"/>
        </w:rPr>
        <w:t xml:space="preserve"> of reviews</w:t>
      </w:r>
      <w:r w:rsidRPr="00AA6B28">
        <w:rPr>
          <w:lang w:val="en-US" w:bidi="th-TH"/>
        </w:rPr>
        <w:t>, which found that</w:t>
      </w:r>
      <w:r w:rsidR="00163611" w:rsidRPr="00AA6B28">
        <w:rPr>
          <w:lang w:val="en-US" w:bidi="th-TH"/>
        </w:rPr>
        <w:t xml:space="preserve"> </w:t>
      </w:r>
      <w:r w:rsidR="00943473" w:rsidRPr="00AA6B28">
        <w:t xml:space="preserve">supported DMHIs for adults with </w:t>
      </w:r>
      <w:r w:rsidR="00120723" w:rsidRPr="00AA6B28">
        <w:t>anxiety disorder and depression</w:t>
      </w:r>
      <w:r w:rsidR="00943473" w:rsidRPr="00AA6B28">
        <w:t xml:space="preserve">, particularly those founded on evidence-based </w:t>
      </w:r>
      <w:r w:rsidR="00E8124B" w:rsidRPr="00AA6B28">
        <w:t>cognitive behavioural therapy (</w:t>
      </w:r>
      <w:r w:rsidR="00943473" w:rsidRPr="00AA6B28">
        <w:t>CBT</w:t>
      </w:r>
      <w:r w:rsidR="00E8124B" w:rsidRPr="00AA6B28">
        <w:t>)</w:t>
      </w:r>
      <w:r w:rsidR="00943473" w:rsidRPr="00AA6B28">
        <w:t xml:space="preserve">, work – often as well as usual treatment – and have the potential to be good value for money. The evidence base </w:t>
      </w:r>
      <w:r w:rsidR="00231FAA">
        <w:t>for</w:t>
      </w:r>
      <w:r w:rsidR="0045317C" w:rsidRPr="00AA6B28">
        <w:t xml:space="preserve"> </w:t>
      </w:r>
      <w:r w:rsidR="00943473" w:rsidRPr="00AA6B28">
        <w:t>young people is promising but limited by comparison</w:t>
      </w:r>
      <w:r w:rsidR="00163611" w:rsidRPr="00AA6B28">
        <w:rPr>
          <w:lang w:val="en-US" w:bidi="th-TH"/>
        </w:rPr>
        <w:t>.</w:t>
      </w:r>
      <w:r w:rsidR="00B81CB1">
        <w:rPr>
          <w:lang w:val="en-US" w:bidi="th-TH"/>
        </w:rPr>
        <w:fldChar w:fldCharType="begin"/>
      </w:r>
      <w:r w:rsidR="00D97888">
        <w:rPr>
          <w:lang w:val="en-US" w:bidi="th-TH"/>
        </w:rPr>
        <w:instrText xml:space="preserve"> ADDIN EN.CITE &lt;EndNote&gt;&lt;Cite&gt;&lt;Author&gt;Bassilios&lt;/Author&gt;&lt;Year&gt;2022&lt;/Year&gt;&lt;RecNum&gt;117&lt;/RecNum&gt;&lt;DisplayText&gt;&lt;style face="superscript"&gt;5&lt;/style&gt;&lt;/DisplayText&gt;&lt;record&gt;&lt;rec-number&gt;117&lt;/rec-number&gt;&lt;foreign-keys&gt;&lt;key app="EN" db-id="dawtr0zrkrzfa5edzzlpe2we0xa00t90vvr2" timestamp="1648438870"&gt;117&lt;/key&gt;&lt;/foreign-keys&gt;&lt;ref-type name="Report"&gt;27&lt;/ref-type&gt;&lt;contributors&gt;&lt;authors&gt;&lt;author&gt;Bassilios, B.&lt;/author&gt;&lt;author&gt;Morgan, A.&lt;/author&gt;&lt;author&gt;Tan, A.&lt;/author&gt;&lt;author&gt;Ftanou, M.&lt;/author&gt;&lt;author&gt;Krysinska, K.&lt;/author&gt;&lt;author&gt;Le, L.&lt;/author&gt;&lt;author&gt;Scurrah, K.&lt;/author&gt;&lt;author&gt;Banfield, M.&lt;/author&gt;&lt;author&gt;Spittal, M.&lt;/author&gt;&lt;author&gt;Mihalopoulos, C.&lt;/author&gt;&lt;author&gt;Pirkis, J.&lt;/author&gt;&lt;/authors&gt;&lt;/contributors&gt;&lt;titles&gt;&lt;title&gt;Literature review of effectiveness of supported digital mental health interventions (DMHIs)&lt;/title&gt;&lt;/titles&gt;&lt;dates&gt;&lt;year&gt;2022&lt;/year&gt;&lt;/dates&gt;&lt;pub-location&gt;Melbourne&lt;/pub-location&gt;&lt;publisher&gt;Centre for Mental Health, University of Melbourne&lt;/publisher&gt;&lt;urls&gt;&lt;/urls&gt;&lt;/record&gt;&lt;/Cite&gt;&lt;/EndNote&gt;</w:instrText>
      </w:r>
      <w:r w:rsidR="00B81CB1">
        <w:rPr>
          <w:lang w:val="en-US" w:bidi="th-TH"/>
        </w:rPr>
        <w:fldChar w:fldCharType="separate"/>
      </w:r>
      <w:r w:rsidR="00443B60" w:rsidRPr="00443B60">
        <w:rPr>
          <w:noProof/>
          <w:vertAlign w:val="superscript"/>
          <w:lang w:val="en-US" w:bidi="th-TH"/>
        </w:rPr>
        <w:t>5</w:t>
      </w:r>
      <w:r w:rsidR="00B81CB1">
        <w:rPr>
          <w:lang w:val="en-US" w:bidi="th-TH"/>
        </w:rPr>
        <w:fldChar w:fldCharType="end"/>
      </w:r>
      <w:r w:rsidR="00163611" w:rsidRPr="00AA6B28">
        <w:rPr>
          <w:lang w:val="en-US" w:bidi="th-TH"/>
        </w:rPr>
        <w:t xml:space="preserve"> </w:t>
      </w:r>
      <w:r w:rsidR="00943EF3" w:rsidRPr="00AA6B28">
        <w:rPr>
          <w:lang w:val="en-US" w:bidi="th-TH"/>
        </w:rPr>
        <w:t xml:space="preserve">Our review also </w:t>
      </w:r>
      <w:r w:rsidR="009D537C" w:rsidRPr="00AA6B28">
        <w:rPr>
          <w:lang w:val="en-US" w:bidi="th-TH"/>
        </w:rPr>
        <w:t xml:space="preserve">highlighted diversity in </w:t>
      </w:r>
      <w:r w:rsidR="00E60E5E" w:rsidRPr="00AA6B28">
        <w:rPr>
          <w:rFonts w:eastAsia="Arial"/>
        </w:rPr>
        <w:t>the type, format and extent of support or guidance</w:t>
      </w:r>
      <w:r w:rsidR="00EC5BB6" w:rsidRPr="00AA6B28">
        <w:rPr>
          <w:rFonts w:eastAsia="Arial"/>
        </w:rPr>
        <w:t xml:space="preserve"> offered;</w:t>
      </w:r>
      <w:r w:rsidR="00E60E5E" w:rsidRPr="00AA6B28">
        <w:rPr>
          <w:rFonts w:eastAsia="Arial"/>
        </w:rPr>
        <w:t xml:space="preserve"> </w:t>
      </w:r>
      <w:r w:rsidR="009D537C" w:rsidRPr="00AA6B28">
        <w:rPr>
          <w:rFonts w:eastAsia="Arial"/>
        </w:rPr>
        <w:t>and in the duration</w:t>
      </w:r>
      <w:r w:rsidR="00E60E5E" w:rsidRPr="00AA6B28">
        <w:rPr>
          <w:rFonts w:eastAsia="Arial"/>
        </w:rPr>
        <w:t xml:space="preserve"> of</w:t>
      </w:r>
      <w:r w:rsidR="00EC5BB6" w:rsidRPr="00AA6B28">
        <w:rPr>
          <w:rFonts w:eastAsia="Arial"/>
        </w:rPr>
        <w:t xml:space="preserve"> treatment.</w:t>
      </w:r>
    </w:p>
    <w:p w14:paraId="78D262C0" w14:textId="4D06ED62" w:rsidR="0028684F" w:rsidRDefault="00163611" w:rsidP="002029DC">
      <w:pPr>
        <w:pStyle w:val="ANorm"/>
        <w:spacing w:after="200"/>
      </w:pPr>
      <w:r w:rsidRPr="00AA6B28">
        <w:rPr>
          <w:lang w:val="en-US" w:bidi="th-TH"/>
        </w:rPr>
        <w:t xml:space="preserve">The second report </w:t>
      </w:r>
      <w:r w:rsidR="00DC2335" w:rsidRPr="00AA6B28">
        <w:rPr>
          <w:lang w:val="en-US" w:bidi="th-TH"/>
        </w:rPr>
        <w:t>was an environmental scan</w:t>
      </w:r>
      <w:r w:rsidR="000361DF">
        <w:rPr>
          <w:lang w:val="en-US" w:bidi="th-TH"/>
        </w:rPr>
        <w:t>. It</w:t>
      </w:r>
      <w:r w:rsidR="007056E1" w:rsidRPr="00AA6B28">
        <w:rPr>
          <w:lang w:val="en-US" w:bidi="th-TH"/>
        </w:rPr>
        <w:t xml:space="preserve"> found that</w:t>
      </w:r>
      <w:r w:rsidRPr="00AA6B28">
        <w:rPr>
          <w:lang w:val="en-US" w:bidi="th-TH"/>
        </w:rPr>
        <w:t xml:space="preserve"> </w:t>
      </w:r>
      <w:r w:rsidR="00B76DD7" w:rsidRPr="00AA6B28">
        <w:t xml:space="preserve">DMHSs </w:t>
      </w:r>
      <w:r w:rsidR="006B2888" w:rsidRPr="00AA6B28">
        <w:t>have been</w:t>
      </w:r>
      <w:r w:rsidR="00B76DD7" w:rsidRPr="00AA6B28">
        <w:t xml:space="preserve"> an important part of the </w:t>
      </w:r>
      <w:r w:rsidR="006B2888" w:rsidRPr="00AA6B28">
        <w:t xml:space="preserve">Australian </w:t>
      </w:r>
      <w:r w:rsidR="00B76DD7" w:rsidRPr="00AA6B28">
        <w:t xml:space="preserve">mental health service landscape </w:t>
      </w:r>
      <w:r w:rsidR="006B2888" w:rsidRPr="00AA6B28">
        <w:t>since at least 2014</w:t>
      </w:r>
      <w:r w:rsidR="00BC4DB9">
        <w:t>,</w:t>
      </w:r>
      <w:r w:rsidR="006B2888" w:rsidRPr="00AA6B28">
        <w:t xml:space="preserve"> </w:t>
      </w:r>
      <w:r w:rsidR="001B3CDD">
        <w:t>with</w:t>
      </w:r>
      <w:r w:rsidR="006B2888" w:rsidRPr="00AA6B28">
        <w:t xml:space="preserve"> the number of consumers accessing them steadily increasing. However, DMHSs </w:t>
      </w:r>
      <w:r w:rsidR="00B76DD7" w:rsidRPr="00AA6B28">
        <w:t>are not for everyone</w:t>
      </w:r>
      <w:r w:rsidR="006B2888" w:rsidRPr="00AA6B28">
        <w:t xml:space="preserve">, with </w:t>
      </w:r>
      <w:r w:rsidR="006B2888" w:rsidRPr="00AA6B28">
        <w:rPr>
          <w:rFonts w:eastAsiaTheme="minorEastAsia"/>
        </w:rPr>
        <w:t xml:space="preserve">some consumers </w:t>
      </w:r>
      <w:r w:rsidR="00B60A6E" w:rsidRPr="00AA6B28">
        <w:rPr>
          <w:rFonts w:eastAsiaTheme="minorEastAsia"/>
        </w:rPr>
        <w:t>preferring</w:t>
      </w:r>
      <w:r w:rsidR="006B2888" w:rsidRPr="00AA6B28">
        <w:rPr>
          <w:rFonts w:eastAsiaTheme="minorEastAsia"/>
        </w:rPr>
        <w:t xml:space="preserve"> face-to-face services</w:t>
      </w:r>
      <w:r w:rsidR="00B60A6E" w:rsidRPr="00AA6B28">
        <w:rPr>
          <w:rFonts w:eastAsiaTheme="minorEastAsia"/>
        </w:rPr>
        <w:t>.</w:t>
      </w:r>
      <w:r w:rsidR="003C4D04" w:rsidRPr="00AA6B28">
        <w:rPr>
          <w:rFonts w:eastAsiaTheme="minorEastAsia"/>
        </w:rPr>
        <w:t xml:space="preserve"> This report also highlighted </w:t>
      </w:r>
      <w:r w:rsidR="003C4D04" w:rsidRPr="00AA6B28">
        <w:t>many</w:t>
      </w:r>
      <w:r w:rsidR="00B76DD7" w:rsidRPr="00AA6B28">
        <w:t xml:space="preserve"> opportunities </w:t>
      </w:r>
      <w:r w:rsidR="003C4D04" w:rsidRPr="00AA6B28">
        <w:t xml:space="preserve">for improving </w:t>
      </w:r>
      <w:r w:rsidR="0012361B" w:rsidRPr="00AA6B28">
        <w:t xml:space="preserve">reach and </w:t>
      </w:r>
      <w:r w:rsidR="003C4D04" w:rsidRPr="00AA6B28">
        <w:t xml:space="preserve">use </w:t>
      </w:r>
      <w:r w:rsidR="005702B9" w:rsidRPr="00AA6B28">
        <w:t xml:space="preserve">of DMHSs, </w:t>
      </w:r>
      <w:r w:rsidR="00B76DD7" w:rsidRPr="00AA6B28">
        <w:t>making optimal use of technology</w:t>
      </w:r>
      <w:r w:rsidR="005702B9" w:rsidRPr="00AA6B28">
        <w:t xml:space="preserve">, </w:t>
      </w:r>
      <w:r w:rsidR="00B76DD7" w:rsidRPr="00AA6B28">
        <w:t xml:space="preserve">and </w:t>
      </w:r>
      <w:r w:rsidR="005702B9" w:rsidRPr="00AA6B28">
        <w:t xml:space="preserve">embedding and </w:t>
      </w:r>
      <w:r w:rsidR="00E7196E" w:rsidRPr="00AA6B28">
        <w:t xml:space="preserve">sustaining </w:t>
      </w:r>
      <w:r w:rsidR="00B76DD7" w:rsidRPr="00AA6B28">
        <w:t>DMHSs in the mental health service system.</w:t>
      </w:r>
    </w:p>
    <w:p w14:paraId="3558F988" w14:textId="1DCD9FAC" w:rsidR="00D50FFB" w:rsidRPr="00AA6B28" w:rsidRDefault="0028684F" w:rsidP="002029DC">
      <w:pPr>
        <w:pStyle w:val="ANorm"/>
        <w:spacing w:after="200"/>
        <w:rPr>
          <w:lang w:val="en-US" w:bidi="th-TH"/>
        </w:rPr>
      </w:pPr>
      <w:r w:rsidRPr="0071571A">
        <w:rPr>
          <w:lang w:val="en-US" w:bidi="th-TH"/>
        </w:rPr>
        <w:t xml:space="preserve">This is the third and final report </w:t>
      </w:r>
      <w:r w:rsidR="0071571A" w:rsidRPr="0071571A">
        <w:rPr>
          <w:lang w:val="en-US" w:bidi="th-TH"/>
        </w:rPr>
        <w:t xml:space="preserve">for the </w:t>
      </w:r>
      <w:r w:rsidRPr="0071571A">
        <w:rPr>
          <w:lang w:val="en-US" w:bidi="th-TH"/>
        </w:rPr>
        <w:t>evaluation</w:t>
      </w:r>
      <w:r w:rsidR="0071571A" w:rsidRPr="0071571A">
        <w:rPr>
          <w:lang w:val="en-US" w:bidi="th-TH"/>
        </w:rPr>
        <w:t xml:space="preserve"> of the three key Australian supported DMHSs</w:t>
      </w:r>
      <w:r w:rsidRPr="0071571A">
        <w:rPr>
          <w:lang w:val="en-US" w:bidi="th-TH"/>
        </w:rPr>
        <w:t xml:space="preserve">. Its purpose is to describe our findings </w:t>
      </w:r>
      <w:r w:rsidR="00231FAA">
        <w:rPr>
          <w:lang w:val="en-US" w:bidi="th-TH"/>
        </w:rPr>
        <w:t>regarding</w:t>
      </w:r>
      <w:r w:rsidRPr="0071571A">
        <w:rPr>
          <w:lang w:val="en-US" w:bidi="th-TH"/>
        </w:rPr>
        <w:t xml:space="preserve"> Phase 2 of the evaluation and </w:t>
      </w:r>
      <w:proofErr w:type="spellStart"/>
      <w:r w:rsidRPr="0071571A">
        <w:rPr>
          <w:lang w:val="en-US" w:bidi="th-TH"/>
        </w:rPr>
        <w:t>synthesise</w:t>
      </w:r>
      <w:proofErr w:type="spellEnd"/>
      <w:r w:rsidRPr="0071571A">
        <w:rPr>
          <w:lang w:val="en-US" w:bidi="th-TH"/>
        </w:rPr>
        <w:t xml:space="preserve"> </w:t>
      </w:r>
      <w:r w:rsidR="0071571A" w:rsidRPr="0071571A">
        <w:rPr>
          <w:lang w:val="en-US" w:bidi="th-TH"/>
        </w:rPr>
        <w:t>findings from both phases to generate recommendations and conclusions.</w:t>
      </w:r>
    </w:p>
    <w:p w14:paraId="42B0B753" w14:textId="74733F81" w:rsidR="00C57BFF" w:rsidRPr="00AA6B28" w:rsidRDefault="004E72E6" w:rsidP="002029DC">
      <w:pPr>
        <w:pStyle w:val="ANorm"/>
        <w:spacing w:after="200"/>
        <w:rPr>
          <w:lang w:val="en-US" w:bidi="th-TH"/>
        </w:rPr>
      </w:pPr>
      <w:r w:rsidRPr="00AA6B28">
        <w:rPr>
          <w:lang w:val="en-US" w:bidi="th-TH"/>
        </w:rPr>
        <w:t xml:space="preserve">The </w:t>
      </w:r>
      <w:r w:rsidR="00997711" w:rsidRPr="00AA6B28">
        <w:rPr>
          <w:lang w:val="en-US" w:bidi="th-TH"/>
        </w:rPr>
        <w:t xml:space="preserve">next </w:t>
      </w:r>
      <w:r w:rsidR="00793F79" w:rsidRPr="00AA6B28">
        <w:rPr>
          <w:lang w:val="en-US" w:bidi="th-TH"/>
        </w:rPr>
        <w:t xml:space="preserve">section of this </w:t>
      </w:r>
      <w:r w:rsidRPr="00AA6B28">
        <w:rPr>
          <w:lang w:val="en-US" w:bidi="th-TH"/>
        </w:rPr>
        <w:t xml:space="preserve">report </w:t>
      </w:r>
      <w:r w:rsidR="00DA6247" w:rsidRPr="00AA6B28">
        <w:rPr>
          <w:lang w:val="en-US" w:bidi="th-TH"/>
        </w:rPr>
        <w:t xml:space="preserve">(Section 2) </w:t>
      </w:r>
      <w:r w:rsidR="00793F79" w:rsidRPr="00AA6B28">
        <w:rPr>
          <w:lang w:val="en-US" w:bidi="th-TH"/>
        </w:rPr>
        <w:t>describe</w:t>
      </w:r>
      <w:r w:rsidR="00997711" w:rsidRPr="00AA6B28">
        <w:rPr>
          <w:lang w:val="en-US" w:bidi="th-TH"/>
        </w:rPr>
        <w:t xml:space="preserve">s </w:t>
      </w:r>
      <w:r w:rsidR="00793F79" w:rsidRPr="00AA6B28">
        <w:rPr>
          <w:lang w:val="en-US" w:bidi="th-TH"/>
        </w:rPr>
        <w:t xml:space="preserve">the service delivery models of the three DMHSs to </w:t>
      </w:r>
      <w:proofErr w:type="spellStart"/>
      <w:r w:rsidR="00793F79" w:rsidRPr="00AA6B28">
        <w:rPr>
          <w:lang w:val="en-US" w:bidi="th-TH"/>
        </w:rPr>
        <w:t>context</w:t>
      </w:r>
      <w:r w:rsidR="003561CF" w:rsidRPr="00AA6B28">
        <w:rPr>
          <w:lang w:val="en-US" w:bidi="th-TH"/>
        </w:rPr>
        <w:t>ualise</w:t>
      </w:r>
      <w:proofErr w:type="spellEnd"/>
      <w:r w:rsidR="00793F79" w:rsidRPr="00AA6B28">
        <w:rPr>
          <w:lang w:val="en-US" w:bidi="th-TH"/>
        </w:rPr>
        <w:t xml:space="preserve"> </w:t>
      </w:r>
      <w:r w:rsidR="00997711" w:rsidRPr="00AA6B28">
        <w:rPr>
          <w:lang w:val="en-US" w:bidi="th-TH"/>
        </w:rPr>
        <w:t xml:space="preserve">the </w:t>
      </w:r>
      <w:r w:rsidR="007F3348" w:rsidRPr="00AA6B28">
        <w:rPr>
          <w:lang w:val="en-US" w:bidi="th-TH"/>
        </w:rPr>
        <w:t xml:space="preserve">preliminary </w:t>
      </w:r>
      <w:r w:rsidR="00277506" w:rsidRPr="00AA6B28">
        <w:rPr>
          <w:lang w:val="en-US" w:bidi="th-TH"/>
        </w:rPr>
        <w:t>Phase 2 evaluation</w:t>
      </w:r>
      <w:r w:rsidR="009B113D" w:rsidRPr="00AA6B28">
        <w:rPr>
          <w:lang w:val="en-US" w:bidi="th-TH"/>
        </w:rPr>
        <w:t xml:space="preserve"> findings</w:t>
      </w:r>
      <w:r w:rsidR="00EE3080" w:rsidRPr="00AA6B28">
        <w:rPr>
          <w:lang w:val="en-US" w:bidi="th-TH"/>
        </w:rPr>
        <w:t>. Thes</w:t>
      </w:r>
      <w:r w:rsidR="002C2EFC" w:rsidRPr="00AA6B28">
        <w:rPr>
          <w:lang w:val="en-US" w:bidi="th-TH"/>
        </w:rPr>
        <w:t>e findings are</w:t>
      </w:r>
      <w:r w:rsidR="00277506" w:rsidRPr="00AA6B28">
        <w:rPr>
          <w:lang w:val="en-US" w:bidi="th-TH"/>
        </w:rPr>
        <w:t xml:space="preserve"> </w:t>
      </w:r>
      <w:r w:rsidR="007F3348" w:rsidRPr="00AA6B28">
        <w:rPr>
          <w:lang w:val="en-US" w:bidi="th-TH"/>
        </w:rPr>
        <w:t>outlined</w:t>
      </w:r>
      <w:r w:rsidR="00201EF7" w:rsidRPr="00AA6B28">
        <w:rPr>
          <w:lang w:val="en-US" w:bidi="th-TH"/>
        </w:rPr>
        <w:t>, by data source,</w:t>
      </w:r>
      <w:r w:rsidR="007F3348" w:rsidRPr="00AA6B28">
        <w:rPr>
          <w:lang w:val="en-US" w:bidi="th-TH"/>
        </w:rPr>
        <w:t xml:space="preserve"> in S</w:t>
      </w:r>
      <w:r w:rsidR="00997711" w:rsidRPr="00AA6B28">
        <w:rPr>
          <w:lang w:val="en-US" w:bidi="th-TH"/>
        </w:rPr>
        <w:t>ections</w:t>
      </w:r>
      <w:r w:rsidR="007F3348" w:rsidRPr="00AA6B28">
        <w:rPr>
          <w:lang w:val="en-US" w:bidi="th-TH"/>
        </w:rPr>
        <w:t xml:space="preserve"> </w:t>
      </w:r>
      <w:r w:rsidR="007F3348" w:rsidRPr="00945CF0">
        <w:rPr>
          <w:lang w:val="en-US" w:bidi="th-TH"/>
        </w:rPr>
        <w:t xml:space="preserve">3 to </w:t>
      </w:r>
      <w:r w:rsidR="003A038B" w:rsidRPr="00945CF0">
        <w:rPr>
          <w:lang w:val="en-US" w:bidi="th-TH"/>
        </w:rPr>
        <w:t>10</w:t>
      </w:r>
      <w:r w:rsidR="00DF11B5" w:rsidRPr="00945CF0">
        <w:rPr>
          <w:lang w:val="en-US" w:bidi="th-TH"/>
        </w:rPr>
        <w:t>. Finally</w:t>
      </w:r>
      <w:r w:rsidR="00DF11B5" w:rsidRPr="00AA6B28">
        <w:rPr>
          <w:lang w:val="en-US" w:bidi="th-TH"/>
        </w:rPr>
        <w:t xml:space="preserve">, </w:t>
      </w:r>
      <w:r w:rsidR="00DF11B5" w:rsidRPr="00945CF0">
        <w:rPr>
          <w:lang w:val="en-US" w:bidi="th-TH"/>
        </w:rPr>
        <w:t xml:space="preserve">Section </w:t>
      </w:r>
      <w:r w:rsidR="002C4925" w:rsidRPr="00945CF0">
        <w:rPr>
          <w:lang w:val="en-US" w:bidi="th-TH"/>
        </w:rPr>
        <w:t>1</w:t>
      </w:r>
      <w:r w:rsidR="003A038B" w:rsidRPr="00945CF0">
        <w:rPr>
          <w:lang w:val="en-US" w:bidi="th-TH"/>
        </w:rPr>
        <w:t>1</w:t>
      </w:r>
      <w:r w:rsidR="00DF11B5" w:rsidRPr="00945CF0">
        <w:rPr>
          <w:lang w:val="en-US" w:bidi="th-TH"/>
        </w:rPr>
        <w:t xml:space="preserve"> </w:t>
      </w:r>
      <w:proofErr w:type="spellStart"/>
      <w:r w:rsidR="005F540A" w:rsidRPr="00945CF0">
        <w:rPr>
          <w:lang w:val="en-US" w:bidi="th-TH"/>
        </w:rPr>
        <w:t>summarises</w:t>
      </w:r>
      <w:proofErr w:type="spellEnd"/>
      <w:r w:rsidR="00201EF7" w:rsidRPr="00AA6B28">
        <w:rPr>
          <w:lang w:val="en-US" w:bidi="th-TH"/>
        </w:rPr>
        <w:t xml:space="preserve"> findings by evaluation question </w:t>
      </w:r>
      <w:r w:rsidR="00277506" w:rsidRPr="00AA6B28">
        <w:rPr>
          <w:lang w:val="en-US" w:bidi="th-TH"/>
        </w:rPr>
        <w:t xml:space="preserve">and </w:t>
      </w:r>
      <w:r w:rsidR="00231FAA">
        <w:rPr>
          <w:lang w:val="en-US" w:bidi="th-TH"/>
        </w:rPr>
        <w:t xml:space="preserve">draws </w:t>
      </w:r>
      <w:r w:rsidR="00277506" w:rsidRPr="00AA6B28">
        <w:rPr>
          <w:lang w:val="en-US" w:bidi="th-TH"/>
        </w:rPr>
        <w:t>conclusions</w:t>
      </w:r>
      <w:r w:rsidR="00201EF7" w:rsidRPr="00AA6B28">
        <w:rPr>
          <w:lang w:val="en-US" w:bidi="th-TH"/>
        </w:rPr>
        <w:t>.</w:t>
      </w:r>
    </w:p>
    <w:p w14:paraId="64036B7A" w14:textId="77777777" w:rsidR="00DC2335" w:rsidRPr="00AA6B28" w:rsidRDefault="00DC2335" w:rsidP="007949A9">
      <w:pPr>
        <w:rPr>
          <w:highlight w:val="yellow"/>
          <w:lang w:val="en-US" w:bidi="th-TH"/>
        </w:rPr>
      </w:pPr>
      <w:r w:rsidRPr="00AA6B28">
        <w:rPr>
          <w:highlight w:val="yellow"/>
          <w:lang w:val="en-US" w:bidi="th-TH"/>
        </w:rPr>
        <w:br w:type="page"/>
      </w:r>
    </w:p>
    <w:p w14:paraId="353D3281" w14:textId="7CA817BE" w:rsidR="00DC2335" w:rsidRPr="0009767C" w:rsidRDefault="00A67FD7" w:rsidP="00140C5B">
      <w:pPr>
        <w:pStyle w:val="Heading1"/>
        <w:numPr>
          <w:ilvl w:val="0"/>
          <w:numId w:val="134"/>
        </w:numPr>
      </w:pPr>
      <w:bookmarkStart w:id="34" w:name="_Toc108784825"/>
      <w:r w:rsidRPr="00AA6B28">
        <w:lastRenderedPageBreak/>
        <w:t>S</w:t>
      </w:r>
      <w:r w:rsidR="00622644" w:rsidRPr="00AA6B28">
        <w:t>ervice delivery models of s</w:t>
      </w:r>
      <w:r w:rsidRPr="00AA6B28">
        <w:t>upported DMHSs</w:t>
      </w:r>
      <w:bookmarkEnd w:id="34"/>
    </w:p>
    <w:p w14:paraId="53754CF4" w14:textId="50490EF8" w:rsidR="004A7C07" w:rsidRPr="0009767C" w:rsidRDefault="00B44D5B" w:rsidP="002029DC">
      <w:pPr>
        <w:pStyle w:val="ANorm"/>
        <w:spacing w:after="200"/>
        <w:rPr>
          <w:lang w:val="en-US" w:bidi="th-TH"/>
        </w:rPr>
      </w:pPr>
      <w:r w:rsidRPr="00AA6B28">
        <w:rPr>
          <w:lang w:val="en-US" w:bidi="th-TH"/>
        </w:rPr>
        <w:t xml:space="preserve">We used </w:t>
      </w:r>
      <w:r w:rsidR="00063DFD" w:rsidRPr="00AA6B28">
        <w:rPr>
          <w:lang w:val="en-US" w:bidi="th-TH"/>
        </w:rPr>
        <w:t>data from an ecosystem scan of DMHSs comp</w:t>
      </w:r>
      <w:r w:rsidR="005051DE" w:rsidRPr="00AA6B28">
        <w:rPr>
          <w:lang w:val="en-US" w:bidi="th-TH"/>
        </w:rPr>
        <w:t>iled</w:t>
      </w:r>
      <w:r w:rsidR="00063DFD" w:rsidRPr="00AA6B28">
        <w:rPr>
          <w:lang w:val="en-US" w:bidi="th-TH"/>
        </w:rPr>
        <w:t xml:space="preserve"> by </w:t>
      </w:r>
      <w:proofErr w:type="spellStart"/>
      <w:r w:rsidR="00063DFD" w:rsidRPr="00AA6B28">
        <w:rPr>
          <w:lang w:val="en-US" w:bidi="th-TH"/>
        </w:rPr>
        <w:t>MindSpot</w:t>
      </w:r>
      <w:proofErr w:type="spellEnd"/>
      <w:r w:rsidR="00063DFD" w:rsidRPr="00AA6B28">
        <w:rPr>
          <w:lang w:val="en-US" w:bidi="th-TH"/>
        </w:rPr>
        <w:t xml:space="preserve">; and the websites of, and direct communication with, </w:t>
      </w:r>
      <w:r w:rsidR="00BB0529" w:rsidRPr="00AA6B28">
        <w:rPr>
          <w:lang w:val="en-US" w:bidi="th-TH"/>
        </w:rPr>
        <w:t>all</w:t>
      </w:r>
      <w:r w:rsidR="00063DFD" w:rsidRPr="00AA6B28">
        <w:rPr>
          <w:lang w:val="en-US" w:bidi="th-TH"/>
        </w:rPr>
        <w:t xml:space="preserve"> three DMHSs</w:t>
      </w:r>
      <w:r w:rsidRPr="00AA6B28">
        <w:rPr>
          <w:lang w:val="en-US" w:bidi="th-TH"/>
        </w:rPr>
        <w:t xml:space="preserve"> that are the focus of this evaluation to </w:t>
      </w:r>
      <w:r w:rsidR="00910F7A" w:rsidRPr="00AA6B28">
        <w:rPr>
          <w:lang w:val="en-US" w:bidi="th-TH"/>
        </w:rPr>
        <w:t xml:space="preserve">present </w:t>
      </w:r>
      <w:r w:rsidR="0067729A" w:rsidRPr="00AA6B28">
        <w:rPr>
          <w:lang w:val="en-US" w:bidi="th-TH"/>
        </w:rPr>
        <w:t>the</w:t>
      </w:r>
      <w:r w:rsidR="00BB0529" w:rsidRPr="00AA6B28">
        <w:rPr>
          <w:lang w:val="en-US" w:bidi="th-TH"/>
        </w:rPr>
        <w:t>ir</w:t>
      </w:r>
      <w:r w:rsidR="0067729A" w:rsidRPr="00AA6B28">
        <w:rPr>
          <w:lang w:val="en-US" w:bidi="th-TH"/>
        </w:rPr>
        <w:t xml:space="preserve"> service delivery models</w:t>
      </w:r>
      <w:r w:rsidR="00BB0529" w:rsidRPr="00AA6B28">
        <w:rPr>
          <w:lang w:val="en-US" w:bidi="th-TH"/>
        </w:rPr>
        <w:t>.</w:t>
      </w:r>
    </w:p>
    <w:p w14:paraId="7AE0747E" w14:textId="4E284BF0" w:rsidR="00D376B6" w:rsidRDefault="003F22FC" w:rsidP="002029DC">
      <w:pPr>
        <w:pStyle w:val="ANorm"/>
        <w:spacing w:after="200"/>
        <w:rPr>
          <w:lang w:val="en-US" w:bidi="th-TH"/>
        </w:rPr>
      </w:pPr>
      <w:r w:rsidRPr="00AA6B28">
        <w:rPr>
          <w:lang w:val="en-US" w:bidi="th-TH"/>
        </w:rPr>
        <w:t xml:space="preserve">Tables 2-4 </w:t>
      </w:r>
      <w:r w:rsidR="00A713F2">
        <w:rPr>
          <w:lang w:val="en-US" w:bidi="th-TH"/>
        </w:rPr>
        <w:t>describe</w:t>
      </w:r>
      <w:r w:rsidR="00AE58B9" w:rsidRPr="00AA6B28">
        <w:rPr>
          <w:lang w:val="en-US" w:bidi="th-TH"/>
        </w:rPr>
        <w:t xml:space="preserve"> key service delivery</w:t>
      </w:r>
      <w:r w:rsidR="00FA7AA7" w:rsidRPr="00AA6B28">
        <w:rPr>
          <w:lang w:val="en-US" w:bidi="th-TH"/>
        </w:rPr>
        <w:t xml:space="preserve"> </w:t>
      </w:r>
      <w:r w:rsidR="00174AAB" w:rsidRPr="00AA6B28">
        <w:rPr>
          <w:lang w:val="en-US" w:bidi="th-TH"/>
        </w:rPr>
        <w:t xml:space="preserve">characteristics of Mental Health Online, </w:t>
      </w:r>
      <w:proofErr w:type="spellStart"/>
      <w:r w:rsidR="00174AAB" w:rsidRPr="00AA6B28">
        <w:rPr>
          <w:lang w:val="en-US" w:bidi="th-TH"/>
        </w:rPr>
        <w:t>MindSpot</w:t>
      </w:r>
      <w:proofErr w:type="spellEnd"/>
      <w:r w:rsidR="00174AAB" w:rsidRPr="00AA6B28">
        <w:rPr>
          <w:lang w:val="en-US" w:bidi="th-TH"/>
        </w:rPr>
        <w:t xml:space="preserve"> and THIS WAY UP, respectively.</w:t>
      </w:r>
      <w:r w:rsidR="00DA2739">
        <w:rPr>
          <w:lang w:val="en-US" w:bidi="th-TH"/>
        </w:rPr>
        <w:t xml:space="preserve"> </w:t>
      </w:r>
      <w:r w:rsidR="00222B33">
        <w:rPr>
          <w:lang w:val="en-US" w:bidi="th-TH"/>
        </w:rPr>
        <w:t xml:space="preserve">It is also noted that </w:t>
      </w:r>
      <w:r w:rsidR="009A47B8">
        <w:rPr>
          <w:lang w:val="en-US" w:bidi="th-TH"/>
        </w:rPr>
        <w:t>the services receive different amounts of funding.</w:t>
      </w:r>
    </w:p>
    <w:p w14:paraId="096D9F0F" w14:textId="50C54674" w:rsidR="00D376B6" w:rsidRPr="00D376B6" w:rsidRDefault="00D376B6" w:rsidP="00F84ED2">
      <w:pPr>
        <w:pStyle w:val="Heading2"/>
        <w:numPr>
          <w:ilvl w:val="1"/>
          <w:numId w:val="142"/>
        </w:numPr>
        <w:rPr>
          <w:lang w:val="en-US" w:bidi="th-TH"/>
        </w:rPr>
      </w:pPr>
      <w:bookmarkStart w:id="35" w:name="_Toc108784826"/>
      <w:r>
        <w:rPr>
          <w:lang w:val="en-US" w:bidi="th-TH"/>
        </w:rPr>
        <w:t>Similarities in service delivery models</w:t>
      </w:r>
      <w:bookmarkEnd w:id="35"/>
    </w:p>
    <w:p w14:paraId="526B41DA" w14:textId="75A6A468" w:rsidR="00D376B6" w:rsidRDefault="003146AE" w:rsidP="002029DC">
      <w:pPr>
        <w:pStyle w:val="ANorm"/>
        <w:spacing w:after="200"/>
        <w:rPr>
          <w:lang w:val="en-US" w:bidi="th-TH"/>
        </w:rPr>
      </w:pPr>
      <w:r w:rsidRPr="00AA6B28">
        <w:rPr>
          <w:lang w:val="en-US" w:bidi="th-TH"/>
        </w:rPr>
        <w:t>Some service delivery characteristics are similar across the DMHSs</w:t>
      </w:r>
      <w:r w:rsidR="00F81F57" w:rsidRPr="00AA6B28">
        <w:rPr>
          <w:lang w:val="en-US" w:bidi="th-TH"/>
        </w:rPr>
        <w:t>. They</w:t>
      </w:r>
      <w:r w:rsidR="00690202" w:rsidRPr="00AA6B28">
        <w:rPr>
          <w:lang w:val="en-US" w:bidi="th-TH"/>
        </w:rPr>
        <w:t xml:space="preserve"> </w:t>
      </w:r>
      <w:r w:rsidR="00792A66" w:rsidRPr="00AA6B28">
        <w:rPr>
          <w:lang w:val="en-US" w:bidi="th-TH"/>
        </w:rPr>
        <w:t xml:space="preserve">were launched in 2009 </w:t>
      </w:r>
      <w:r w:rsidR="00AB24E2">
        <w:rPr>
          <w:lang w:val="en-US" w:bidi="th-TH"/>
        </w:rPr>
        <w:t>to</w:t>
      </w:r>
      <w:r w:rsidR="00792A66" w:rsidRPr="00AA6B28">
        <w:rPr>
          <w:lang w:val="en-US" w:bidi="th-TH"/>
        </w:rPr>
        <w:t xml:space="preserve"> 2012</w:t>
      </w:r>
      <w:r w:rsidR="00ED23B8">
        <w:rPr>
          <w:lang w:val="en-US" w:bidi="th-TH"/>
        </w:rPr>
        <w:t>.</w:t>
      </w:r>
      <w:r w:rsidR="00201F7B" w:rsidRPr="00AA6B28">
        <w:rPr>
          <w:lang w:val="en-US" w:bidi="th-TH"/>
        </w:rPr>
        <w:t xml:space="preserve"> </w:t>
      </w:r>
      <w:r w:rsidR="00ED23B8">
        <w:rPr>
          <w:lang w:val="en-US" w:bidi="th-TH"/>
        </w:rPr>
        <w:t>A</w:t>
      </w:r>
      <w:r w:rsidR="00201F7B" w:rsidRPr="00AA6B28">
        <w:rPr>
          <w:lang w:val="en-US" w:bidi="th-TH"/>
        </w:rPr>
        <w:t xml:space="preserve">ll three provide </w:t>
      </w:r>
      <w:r w:rsidR="00B94CE2" w:rsidRPr="00AA6B28">
        <w:rPr>
          <w:lang w:val="en-US" w:bidi="th-TH"/>
        </w:rPr>
        <w:t>web-based information</w:t>
      </w:r>
      <w:r w:rsidR="00224893" w:rsidRPr="00AA6B28">
        <w:rPr>
          <w:lang w:val="en-US" w:bidi="th-TH"/>
        </w:rPr>
        <w:t xml:space="preserve"> (including information specifically for health professionals)</w:t>
      </w:r>
      <w:r w:rsidR="00B94CE2" w:rsidRPr="00AA6B28">
        <w:rPr>
          <w:lang w:val="en-US" w:bidi="th-TH"/>
        </w:rPr>
        <w:t xml:space="preserve">, assessment and </w:t>
      </w:r>
      <w:r w:rsidR="00F8223D" w:rsidRPr="00AA6B28">
        <w:rPr>
          <w:lang w:val="en-US" w:bidi="th-TH"/>
        </w:rPr>
        <w:t xml:space="preserve">self-directed or </w:t>
      </w:r>
      <w:r w:rsidR="00D376B6" w:rsidRPr="006A16FE">
        <w:rPr>
          <w:lang w:val="en-US" w:bidi="th-TH"/>
        </w:rPr>
        <w:t>therapist-</w:t>
      </w:r>
      <w:r w:rsidR="00F8223D" w:rsidRPr="006A16FE">
        <w:rPr>
          <w:lang w:val="en-US" w:bidi="th-TH"/>
        </w:rPr>
        <w:t xml:space="preserve">supported </w:t>
      </w:r>
      <w:r w:rsidR="005863F4" w:rsidRPr="006A16FE">
        <w:rPr>
          <w:lang w:val="en-US" w:bidi="th-TH"/>
        </w:rPr>
        <w:t>CBT</w:t>
      </w:r>
      <w:r w:rsidR="005863F4" w:rsidRPr="00AA6B28">
        <w:rPr>
          <w:lang w:val="en-US" w:bidi="th-TH"/>
        </w:rPr>
        <w:t xml:space="preserve">-based interventions for </w:t>
      </w:r>
      <w:r w:rsidR="00F8223D" w:rsidRPr="00AA6B28">
        <w:rPr>
          <w:lang w:val="en-US" w:bidi="th-TH"/>
        </w:rPr>
        <w:t>mainly adults</w:t>
      </w:r>
      <w:r w:rsidR="005863F4" w:rsidRPr="00AA6B28">
        <w:rPr>
          <w:lang w:val="en-US" w:bidi="th-TH"/>
        </w:rPr>
        <w:t xml:space="preserve"> with mental health </w:t>
      </w:r>
      <w:r w:rsidR="00F8223D" w:rsidRPr="00AA6B28">
        <w:rPr>
          <w:lang w:val="en-US" w:bidi="th-TH"/>
        </w:rPr>
        <w:t>difficulties, particularly depression and anxiety disorders.</w:t>
      </w:r>
      <w:r w:rsidR="009135A7" w:rsidRPr="00AA6B28">
        <w:rPr>
          <w:lang w:val="en-US" w:bidi="th-TH"/>
        </w:rPr>
        <w:t xml:space="preserve"> </w:t>
      </w:r>
      <w:r w:rsidR="00DE3EA4">
        <w:rPr>
          <w:lang w:val="en-US" w:bidi="th-TH"/>
        </w:rPr>
        <w:t>I</w:t>
      </w:r>
      <w:r w:rsidR="00611F29" w:rsidRPr="00AA6B28">
        <w:rPr>
          <w:lang w:val="en-US" w:bidi="th-TH"/>
        </w:rPr>
        <w:t>n 2021</w:t>
      </w:r>
      <w:r w:rsidR="007D6BC9">
        <w:rPr>
          <w:lang w:val="en-US" w:bidi="th-TH"/>
        </w:rPr>
        <w:t>,</w:t>
      </w:r>
      <w:r w:rsidR="00611F29" w:rsidRPr="00AA6B28">
        <w:rPr>
          <w:lang w:val="en-US" w:bidi="th-TH"/>
        </w:rPr>
        <w:t xml:space="preserve"> </w:t>
      </w:r>
      <w:r w:rsidR="00C83D9A" w:rsidRPr="00AA6B28">
        <w:rPr>
          <w:lang w:val="en-US" w:bidi="th-TH"/>
        </w:rPr>
        <w:t>Mental Health Online introduced a virtual reality mindfulness service</w:t>
      </w:r>
      <w:r w:rsidR="00611F29" w:rsidRPr="00AA6B28">
        <w:rPr>
          <w:lang w:val="en-US" w:bidi="th-TH"/>
        </w:rPr>
        <w:t>;</w:t>
      </w:r>
      <w:r w:rsidR="00C83D9A" w:rsidRPr="00AA6B28">
        <w:rPr>
          <w:lang w:val="en-US" w:bidi="th-TH"/>
        </w:rPr>
        <w:t xml:space="preserve"> and </w:t>
      </w:r>
      <w:r w:rsidR="00910179" w:rsidRPr="00AA6B28">
        <w:rPr>
          <w:lang w:val="en-US" w:bidi="th-TH"/>
        </w:rPr>
        <w:t xml:space="preserve">in 2022, </w:t>
      </w:r>
      <w:proofErr w:type="spellStart"/>
      <w:r w:rsidR="00C83D9A" w:rsidRPr="00AA6B28">
        <w:rPr>
          <w:lang w:val="en-US" w:bidi="th-TH"/>
        </w:rPr>
        <w:t>MindSpot</w:t>
      </w:r>
      <w:proofErr w:type="spellEnd"/>
      <w:r w:rsidR="00013246" w:rsidRPr="00AA6B28">
        <w:rPr>
          <w:lang w:val="en-US" w:bidi="th-TH"/>
        </w:rPr>
        <w:t xml:space="preserve"> </w:t>
      </w:r>
      <w:r w:rsidR="00910179" w:rsidRPr="00AA6B28">
        <w:rPr>
          <w:lang w:val="en-US" w:bidi="th-TH"/>
        </w:rPr>
        <w:t xml:space="preserve">introduced </w:t>
      </w:r>
      <w:r w:rsidR="00013246" w:rsidRPr="00AA6B28">
        <w:rPr>
          <w:lang w:val="en-US" w:bidi="th-TH"/>
        </w:rPr>
        <w:t>a brief telephone</w:t>
      </w:r>
      <w:r w:rsidR="00910179" w:rsidRPr="00AA6B28">
        <w:rPr>
          <w:lang w:val="en-US" w:bidi="th-TH"/>
        </w:rPr>
        <w:t xml:space="preserve"> therapy service.</w:t>
      </w:r>
      <w:r w:rsidR="002B0F74" w:rsidRPr="00AA6B28">
        <w:rPr>
          <w:lang w:val="en-US" w:bidi="th-TH"/>
        </w:rPr>
        <w:t xml:space="preserve"> All three DMHSs are free to consumers</w:t>
      </w:r>
      <w:r w:rsidR="00B01244">
        <w:rPr>
          <w:lang w:val="en-US" w:bidi="th-TH"/>
        </w:rPr>
        <w:t xml:space="preserve"> to access with therapist support</w:t>
      </w:r>
      <w:r w:rsidR="0056290E" w:rsidRPr="00AA6B28">
        <w:rPr>
          <w:lang w:val="en-US" w:bidi="th-TH"/>
        </w:rPr>
        <w:t>.</w:t>
      </w:r>
    </w:p>
    <w:p w14:paraId="7688F5D0" w14:textId="312271DD" w:rsidR="0056290E" w:rsidRPr="00AA6B28" w:rsidRDefault="00D376B6" w:rsidP="00F84ED2">
      <w:pPr>
        <w:pStyle w:val="Heading2"/>
        <w:numPr>
          <w:ilvl w:val="1"/>
          <w:numId w:val="142"/>
        </w:numPr>
        <w:rPr>
          <w:lang w:val="en-US" w:bidi="th-TH"/>
        </w:rPr>
      </w:pPr>
      <w:bookmarkStart w:id="36" w:name="_Toc108784827"/>
      <w:r>
        <w:rPr>
          <w:lang w:val="en-US" w:bidi="th-TH"/>
        </w:rPr>
        <w:t>Differences in therapist support</w:t>
      </w:r>
      <w:bookmarkEnd w:id="36"/>
    </w:p>
    <w:p w14:paraId="12097CBA" w14:textId="43A69FF2" w:rsidR="0046060A" w:rsidRDefault="00E165EF" w:rsidP="002029DC">
      <w:pPr>
        <w:pStyle w:val="ANorm"/>
        <w:spacing w:after="200"/>
        <w:rPr>
          <w:lang w:val="en-US" w:bidi="th-TH"/>
        </w:rPr>
      </w:pPr>
      <w:r w:rsidRPr="00AA6B28">
        <w:rPr>
          <w:lang w:val="en-US" w:bidi="th-TH"/>
        </w:rPr>
        <w:t>The</w:t>
      </w:r>
      <w:r w:rsidR="0043148E" w:rsidRPr="00AA6B28">
        <w:rPr>
          <w:lang w:val="en-US" w:bidi="th-TH"/>
        </w:rPr>
        <w:t xml:space="preserve">re are also some key differences in the service </w:t>
      </w:r>
      <w:r w:rsidRPr="00AA6B28">
        <w:rPr>
          <w:lang w:val="en-US" w:bidi="th-TH"/>
        </w:rPr>
        <w:t xml:space="preserve">delivery models </w:t>
      </w:r>
      <w:r w:rsidR="0043148E" w:rsidRPr="00AA6B28">
        <w:rPr>
          <w:lang w:val="en-US" w:bidi="th-TH"/>
        </w:rPr>
        <w:t>of the three DMHSs</w:t>
      </w:r>
      <w:r w:rsidR="0056290E" w:rsidRPr="00AA6B28">
        <w:rPr>
          <w:lang w:val="en-US" w:bidi="th-TH"/>
        </w:rPr>
        <w:t xml:space="preserve">. </w:t>
      </w:r>
      <w:r w:rsidR="00046B62" w:rsidRPr="00AA6B28">
        <w:rPr>
          <w:lang w:val="en-US" w:bidi="th-TH"/>
        </w:rPr>
        <w:t xml:space="preserve">For example, </w:t>
      </w:r>
      <w:r w:rsidR="0043148E" w:rsidRPr="00AA6B28">
        <w:rPr>
          <w:lang w:val="en-US" w:bidi="th-TH"/>
        </w:rPr>
        <w:t xml:space="preserve">the </w:t>
      </w:r>
      <w:r w:rsidR="00DA420D" w:rsidRPr="00AA6B28">
        <w:rPr>
          <w:lang w:val="en-US" w:bidi="th-TH"/>
        </w:rPr>
        <w:t xml:space="preserve">number </w:t>
      </w:r>
      <w:r w:rsidR="008C7936" w:rsidRPr="00AA6B28">
        <w:rPr>
          <w:lang w:val="en-US" w:bidi="th-TH"/>
        </w:rPr>
        <w:t xml:space="preserve">and length </w:t>
      </w:r>
      <w:r w:rsidR="00DA420D" w:rsidRPr="00AA6B28">
        <w:rPr>
          <w:lang w:val="en-US" w:bidi="th-TH"/>
        </w:rPr>
        <w:t>of courses</w:t>
      </w:r>
      <w:r w:rsidR="001108D5" w:rsidRPr="00AA6B28">
        <w:rPr>
          <w:lang w:val="en-US" w:bidi="th-TH"/>
        </w:rPr>
        <w:t>,</w:t>
      </w:r>
      <w:r w:rsidR="00CB0823" w:rsidRPr="00AA6B28">
        <w:rPr>
          <w:lang w:val="en-US" w:bidi="th-TH"/>
        </w:rPr>
        <w:t xml:space="preserve"> and </w:t>
      </w:r>
      <w:r w:rsidR="001A7A0F" w:rsidRPr="00AA6B28">
        <w:rPr>
          <w:lang w:val="en-US" w:bidi="th-TH"/>
        </w:rPr>
        <w:t xml:space="preserve">the </w:t>
      </w:r>
      <w:r w:rsidR="00FD77FF" w:rsidRPr="00AA6B28">
        <w:rPr>
          <w:lang w:val="en-US" w:bidi="th-TH"/>
        </w:rPr>
        <w:t>way</w:t>
      </w:r>
      <w:r w:rsidR="0043148E" w:rsidRPr="00AA6B28">
        <w:rPr>
          <w:lang w:val="en-US" w:bidi="th-TH"/>
        </w:rPr>
        <w:t xml:space="preserve"> </w:t>
      </w:r>
      <w:r w:rsidR="003054F6">
        <w:rPr>
          <w:lang w:val="en-US" w:bidi="th-TH"/>
        </w:rPr>
        <w:t>therapist</w:t>
      </w:r>
      <w:r w:rsidR="0043148E" w:rsidRPr="00AA6B28">
        <w:rPr>
          <w:lang w:val="en-US" w:bidi="th-TH"/>
        </w:rPr>
        <w:t xml:space="preserve"> support is provided </w:t>
      </w:r>
      <w:r w:rsidR="001A7A0F" w:rsidRPr="00AA6B28">
        <w:rPr>
          <w:lang w:val="en-US" w:bidi="th-TH"/>
        </w:rPr>
        <w:t>differ</w:t>
      </w:r>
      <w:r w:rsidR="00B5270F" w:rsidRPr="00AA6B28">
        <w:rPr>
          <w:lang w:val="en-US" w:bidi="th-TH"/>
        </w:rPr>
        <w:t xml:space="preserve">. </w:t>
      </w:r>
      <w:r w:rsidR="005A5752" w:rsidRPr="00AA6B28">
        <w:rPr>
          <w:lang w:val="en-US" w:bidi="th-TH"/>
        </w:rPr>
        <w:t xml:space="preserve">In terms of the latter, </w:t>
      </w:r>
      <w:r w:rsidR="003054F6">
        <w:rPr>
          <w:lang w:val="en-US" w:bidi="th-TH"/>
        </w:rPr>
        <w:t>therapist</w:t>
      </w:r>
      <w:r w:rsidR="00931652" w:rsidRPr="00AA6B28">
        <w:rPr>
          <w:lang w:val="en-US" w:bidi="th-TH"/>
        </w:rPr>
        <w:t xml:space="preserve"> support</w:t>
      </w:r>
      <w:r w:rsidR="00E203E1" w:rsidRPr="00AA6B28">
        <w:rPr>
          <w:lang w:val="en-US" w:bidi="th-TH"/>
        </w:rPr>
        <w:t xml:space="preserve"> </w:t>
      </w:r>
      <w:r w:rsidR="00000526" w:rsidRPr="00AA6B28">
        <w:rPr>
          <w:lang w:val="en-US" w:bidi="th-TH"/>
        </w:rPr>
        <w:t>at Mental Health Online</w:t>
      </w:r>
      <w:r w:rsidR="00931652" w:rsidRPr="00AA6B28">
        <w:rPr>
          <w:lang w:val="en-US" w:bidi="th-TH"/>
        </w:rPr>
        <w:t xml:space="preserve"> is </w:t>
      </w:r>
      <w:r w:rsidR="00BB03F1" w:rsidRPr="00AA6B28">
        <w:rPr>
          <w:lang w:val="en-US" w:bidi="th-TH"/>
        </w:rPr>
        <w:t xml:space="preserve">delivered by </w:t>
      </w:r>
      <w:r w:rsidR="0056290E" w:rsidRPr="00AA6B28">
        <w:rPr>
          <w:lang w:val="en-US" w:bidi="th-TH"/>
        </w:rPr>
        <w:t xml:space="preserve">provisional psychologists </w:t>
      </w:r>
      <w:r w:rsidR="00CD4BA8" w:rsidRPr="00AA6B28">
        <w:rPr>
          <w:lang w:val="en-US" w:bidi="th-TH"/>
        </w:rPr>
        <w:t xml:space="preserve">(~25 per year) </w:t>
      </w:r>
      <w:r w:rsidR="0056290E" w:rsidRPr="00AA6B28">
        <w:rPr>
          <w:lang w:val="en-US" w:bidi="th-TH"/>
        </w:rPr>
        <w:t>studying at Swinburne University of Technology</w:t>
      </w:r>
      <w:r w:rsidR="00614322">
        <w:rPr>
          <w:lang w:val="en-US" w:bidi="th-TH"/>
        </w:rPr>
        <w:t xml:space="preserve"> and other tertiary </w:t>
      </w:r>
      <w:r w:rsidR="009155B4">
        <w:rPr>
          <w:lang w:val="en-US" w:bidi="th-TH"/>
        </w:rPr>
        <w:t>institutions</w:t>
      </w:r>
      <w:r w:rsidR="009155B4" w:rsidRPr="00AA6B28">
        <w:rPr>
          <w:lang w:val="en-US" w:bidi="th-TH"/>
        </w:rPr>
        <w:t xml:space="preserve"> and</w:t>
      </w:r>
      <w:r w:rsidR="00000526" w:rsidRPr="00AA6B28">
        <w:rPr>
          <w:lang w:val="en-US" w:bidi="th-TH"/>
        </w:rPr>
        <w:t xml:space="preserve"> </w:t>
      </w:r>
      <w:r w:rsidR="0056290E" w:rsidRPr="00AA6B28">
        <w:rPr>
          <w:lang w:val="en-US" w:bidi="th-TH"/>
        </w:rPr>
        <w:t>supervised by registered psychologist</w:t>
      </w:r>
      <w:r w:rsidR="002D64DB" w:rsidRPr="00AA6B28">
        <w:rPr>
          <w:lang w:val="en-US" w:bidi="th-TH"/>
        </w:rPr>
        <w:t>s</w:t>
      </w:r>
      <w:r w:rsidR="00000526" w:rsidRPr="00AA6B28">
        <w:rPr>
          <w:lang w:val="en-US" w:bidi="th-TH"/>
        </w:rPr>
        <w:t>.</w:t>
      </w:r>
      <w:r w:rsidR="00E203E1" w:rsidRPr="00AA6B28">
        <w:rPr>
          <w:lang w:val="en-US" w:bidi="th-TH"/>
        </w:rPr>
        <w:t xml:space="preserve"> </w:t>
      </w:r>
      <w:r w:rsidR="00300B5A" w:rsidRPr="00AA6B28">
        <w:rPr>
          <w:lang w:val="en-US" w:bidi="th-TH"/>
        </w:rPr>
        <w:t xml:space="preserve">This support is </w:t>
      </w:r>
      <w:r w:rsidR="00A454FA" w:rsidRPr="00AA6B28">
        <w:rPr>
          <w:lang w:val="en-US" w:bidi="th-TH"/>
        </w:rPr>
        <w:t>provided w</w:t>
      </w:r>
      <w:r w:rsidR="003E2CB7" w:rsidRPr="00AA6B28">
        <w:rPr>
          <w:lang w:val="en-US" w:bidi="th-TH"/>
        </w:rPr>
        <w:t xml:space="preserve">eekly </w:t>
      </w:r>
      <w:r w:rsidR="00A454FA" w:rsidRPr="00AA6B28">
        <w:rPr>
          <w:lang w:val="en-US" w:bidi="th-TH"/>
        </w:rPr>
        <w:t>o</w:t>
      </w:r>
      <w:r w:rsidR="003E2CB7" w:rsidRPr="00AA6B28">
        <w:rPr>
          <w:lang w:val="en-US" w:bidi="th-TH"/>
        </w:rPr>
        <w:t>ver 12 week</w:t>
      </w:r>
      <w:r w:rsidR="00A454FA" w:rsidRPr="00AA6B28">
        <w:rPr>
          <w:lang w:val="en-US" w:bidi="th-TH"/>
        </w:rPr>
        <w:t xml:space="preserve">s </w:t>
      </w:r>
      <w:r w:rsidR="003E2CB7" w:rsidRPr="00AA6B28">
        <w:rPr>
          <w:lang w:val="en-US" w:bidi="th-TH"/>
        </w:rPr>
        <w:t xml:space="preserve">via email, </w:t>
      </w:r>
      <w:r w:rsidR="00A454FA" w:rsidRPr="00AA6B28">
        <w:rPr>
          <w:lang w:val="en-US" w:bidi="th-TH"/>
        </w:rPr>
        <w:t>with</w:t>
      </w:r>
      <w:r w:rsidR="003E2CB7" w:rsidRPr="00AA6B28">
        <w:rPr>
          <w:lang w:val="en-US" w:bidi="th-TH"/>
        </w:rPr>
        <w:t xml:space="preserve"> up to</w:t>
      </w:r>
      <w:r w:rsidR="00AB24E2">
        <w:rPr>
          <w:lang w:val="en-US" w:bidi="th-TH"/>
        </w:rPr>
        <w:t xml:space="preserve"> </w:t>
      </w:r>
      <w:r w:rsidR="008A063B">
        <w:rPr>
          <w:lang w:val="en-US" w:bidi="th-TH"/>
        </w:rPr>
        <w:t>four</w:t>
      </w:r>
      <w:r w:rsidR="003E2CB7" w:rsidRPr="00AA6B28">
        <w:rPr>
          <w:lang w:val="en-US" w:bidi="th-TH"/>
        </w:rPr>
        <w:t xml:space="preserve"> optional live session</w:t>
      </w:r>
      <w:r w:rsidR="0096169B" w:rsidRPr="00AA6B28">
        <w:rPr>
          <w:lang w:val="en-US" w:bidi="th-TH"/>
        </w:rPr>
        <w:t>s</w:t>
      </w:r>
      <w:r w:rsidR="003E2CB7" w:rsidRPr="00AA6B28">
        <w:rPr>
          <w:lang w:val="en-US" w:bidi="th-TH"/>
        </w:rPr>
        <w:t xml:space="preserve"> (video </w:t>
      </w:r>
      <w:r w:rsidR="00614322">
        <w:rPr>
          <w:lang w:val="en-US" w:bidi="th-TH"/>
        </w:rPr>
        <w:t>and/</w:t>
      </w:r>
      <w:r w:rsidR="003E2CB7" w:rsidRPr="00AA6B28">
        <w:rPr>
          <w:lang w:val="en-US" w:bidi="th-TH"/>
        </w:rPr>
        <w:t>or instant messaging)</w:t>
      </w:r>
      <w:r w:rsidR="0096169B" w:rsidRPr="00AA6B28">
        <w:rPr>
          <w:lang w:val="en-US" w:bidi="th-TH"/>
        </w:rPr>
        <w:t xml:space="preserve"> also available</w:t>
      </w:r>
      <w:r w:rsidR="003E2CB7" w:rsidRPr="00AA6B28">
        <w:rPr>
          <w:lang w:val="en-US" w:bidi="th-TH"/>
        </w:rPr>
        <w:t>.</w:t>
      </w:r>
      <w:r w:rsidR="00614322" w:rsidRPr="00614322">
        <w:t xml:space="preserve"> </w:t>
      </w:r>
      <w:r w:rsidR="003054F6">
        <w:rPr>
          <w:lang w:val="en-US" w:bidi="th-TH"/>
        </w:rPr>
        <w:t>Therapist</w:t>
      </w:r>
      <w:r w:rsidR="009A39D7" w:rsidRPr="00AA6B28">
        <w:rPr>
          <w:lang w:val="en-US" w:bidi="th-TH"/>
        </w:rPr>
        <w:t xml:space="preserve"> support at </w:t>
      </w:r>
      <w:proofErr w:type="spellStart"/>
      <w:r w:rsidR="009A39D7" w:rsidRPr="00AA6B28">
        <w:rPr>
          <w:lang w:val="en-US" w:bidi="th-TH"/>
        </w:rPr>
        <w:t>MindSpot</w:t>
      </w:r>
      <w:proofErr w:type="spellEnd"/>
      <w:r w:rsidR="009A39D7" w:rsidRPr="00AA6B28">
        <w:rPr>
          <w:lang w:val="en-US" w:bidi="th-TH"/>
        </w:rPr>
        <w:t xml:space="preserve"> involves </w:t>
      </w:r>
      <w:r w:rsidR="00DC7CDE" w:rsidRPr="00AA6B28">
        <w:rPr>
          <w:lang w:val="en-US" w:bidi="th-TH"/>
        </w:rPr>
        <w:t xml:space="preserve">weekly or as </w:t>
      </w:r>
      <w:r w:rsidR="00A31D44" w:rsidRPr="00AA6B28">
        <w:rPr>
          <w:lang w:val="en-US" w:bidi="th-TH"/>
        </w:rPr>
        <w:t xml:space="preserve">needed </w:t>
      </w:r>
      <w:r w:rsidR="00DC7CDE" w:rsidRPr="00AA6B28">
        <w:rPr>
          <w:lang w:val="en-US" w:bidi="th-TH"/>
        </w:rPr>
        <w:t>phone or email contact</w:t>
      </w:r>
      <w:r w:rsidR="00D85D33" w:rsidRPr="00AA6B28">
        <w:rPr>
          <w:lang w:val="en-US" w:bidi="th-TH"/>
        </w:rPr>
        <w:t xml:space="preserve"> over </w:t>
      </w:r>
      <w:r w:rsidR="004F2F28">
        <w:rPr>
          <w:lang w:val="en-US" w:bidi="th-TH"/>
        </w:rPr>
        <w:t>eight</w:t>
      </w:r>
      <w:r w:rsidR="004F2F28" w:rsidRPr="00AA6B28">
        <w:rPr>
          <w:lang w:val="en-US" w:bidi="th-TH"/>
        </w:rPr>
        <w:t xml:space="preserve"> </w:t>
      </w:r>
      <w:r w:rsidR="00D85D33" w:rsidRPr="00AA6B28">
        <w:rPr>
          <w:lang w:val="en-US" w:bidi="th-TH"/>
        </w:rPr>
        <w:t>weeks</w:t>
      </w:r>
      <w:r w:rsidR="00B44117" w:rsidRPr="00AA6B28">
        <w:rPr>
          <w:lang w:val="en-US" w:bidi="th-TH"/>
        </w:rPr>
        <w:t>, provided mainly by</w:t>
      </w:r>
      <w:r w:rsidR="00692E71" w:rsidRPr="00AA6B28">
        <w:rPr>
          <w:lang w:val="en-US" w:bidi="th-TH"/>
        </w:rPr>
        <w:t xml:space="preserve"> registered </w:t>
      </w:r>
      <w:r w:rsidR="00692E71" w:rsidRPr="006A16FE">
        <w:rPr>
          <w:lang w:val="en-US" w:bidi="th-TH"/>
        </w:rPr>
        <w:t>psychologists, but also social workers, mental health occupational therapists and counsellors</w:t>
      </w:r>
      <w:r w:rsidR="00FF56FF" w:rsidRPr="006A16FE">
        <w:rPr>
          <w:lang w:val="en-US" w:bidi="th-TH"/>
        </w:rPr>
        <w:t xml:space="preserve"> </w:t>
      </w:r>
      <w:r w:rsidR="00B44117" w:rsidRPr="006A16FE">
        <w:rPr>
          <w:lang w:val="en-US" w:bidi="th-TH"/>
        </w:rPr>
        <w:t>(~</w:t>
      </w:r>
      <w:r w:rsidR="00FF56FF" w:rsidRPr="006A16FE">
        <w:rPr>
          <w:lang w:val="en-US" w:bidi="th-TH"/>
        </w:rPr>
        <w:t>19 FTE</w:t>
      </w:r>
      <w:r w:rsidR="00B44117" w:rsidRPr="006A16FE">
        <w:rPr>
          <w:lang w:val="en-US" w:bidi="th-TH"/>
        </w:rPr>
        <w:t>)</w:t>
      </w:r>
      <w:r w:rsidR="00834303" w:rsidRPr="006A16FE">
        <w:rPr>
          <w:lang w:val="en-US" w:bidi="th-TH"/>
        </w:rPr>
        <w:t>.</w:t>
      </w:r>
      <w:r w:rsidR="00CE4A8B" w:rsidRPr="006A16FE">
        <w:rPr>
          <w:lang w:val="en-US" w:bidi="th-TH"/>
        </w:rPr>
        <w:t xml:space="preserve"> </w:t>
      </w:r>
      <w:r w:rsidR="006F4E3B" w:rsidRPr="006A16FE">
        <w:rPr>
          <w:lang w:val="en-US" w:bidi="th-TH"/>
        </w:rPr>
        <w:t xml:space="preserve">Additionally, </w:t>
      </w:r>
      <w:proofErr w:type="spellStart"/>
      <w:r w:rsidR="006F4E3B" w:rsidRPr="006A16FE">
        <w:rPr>
          <w:lang w:val="en-US" w:bidi="th-TH"/>
        </w:rPr>
        <w:t>MindSpot</w:t>
      </w:r>
      <w:proofErr w:type="spellEnd"/>
      <w:r w:rsidR="006F4E3B" w:rsidRPr="006A16FE">
        <w:rPr>
          <w:lang w:val="en-US" w:bidi="th-TH"/>
        </w:rPr>
        <w:t xml:space="preserve"> </w:t>
      </w:r>
      <w:r w:rsidR="00EF37A7" w:rsidRPr="006A16FE">
        <w:rPr>
          <w:lang w:val="en-US" w:bidi="th-TH"/>
        </w:rPr>
        <w:t xml:space="preserve">only relatively recently </w:t>
      </w:r>
      <w:r w:rsidR="006F4E3B" w:rsidRPr="006A16FE">
        <w:rPr>
          <w:lang w:val="en-US" w:bidi="th-TH"/>
        </w:rPr>
        <w:t>introduced self-directed courses in July 2019.</w:t>
      </w:r>
      <w:r w:rsidR="009715E5" w:rsidRPr="006A16FE">
        <w:rPr>
          <w:lang w:val="en-US" w:bidi="th-TH"/>
        </w:rPr>
        <w:t xml:space="preserve"> </w:t>
      </w:r>
      <w:r w:rsidR="00CE4A8B" w:rsidRPr="006A16FE">
        <w:rPr>
          <w:lang w:val="en-US" w:bidi="th-TH"/>
        </w:rPr>
        <w:t xml:space="preserve">Finally, THIS WAY UP </w:t>
      </w:r>
      <w:r w:rsidR="009761AE" w:rsidRPr="006A16FE">
        <w:rPr>
          <w:lang w:val="en-US" w:bidi="th-TH"/>
        </w:rPr>
        <w:t xml:space="preserve">courses are available </w:t>
      </w:r>
      <w:r w:rsidR="00110BCB" w:rsidRPr="006A16FE">
        <w:rPr>
          <w:lang w:val="en-US" w:bidi="th-TH"/>
        </w:rPr>
        <w:t>with or without support from the consumer</w:t>
      </w:r>
      <w:r w:rsidR="00B92386" w:rsidRPr="006A16FE">
        <w:rPr>
          <w:lang w:val="en-US" w:bidi="th-TH"/>
        </w:rPr>
        <w:t>’s own mental health professional (e.g., GP</w:t>
      </w:r>
      <w:r w:rsidR="00BD7467" w:rsidRPr="006A16FE">
        <w:rPr>
          <w:lang w:val="en-US" w:bidi="th-TH"/>
        </w:rPr>
        <w:t>, psychologist</w:t>
      </w:r>
      <w:r w:rsidR="003D584F" w:rsidRPr="006A16FE">
        <w:rPr>
          <w:lang w:val="en-US" w:bidi="th-TH"/>
        </w:rPr>
        <w:t xml:space="preserve">, medical </w:t>
      </w:r>
      <w:r w:rsidR="00D42146" w:rsidRPr="006A16FE">
        <w:rPr>
          <w:lang w:val="en-US" w:bidi="th-TH"/>
        </w:rPr>
        <w:t>specialist</w:t>
      </w:r>
      <w:r w:rsidR="0056108A" w:rsidRPr="006A16FE">
        <w:rPr>
          <w:lang w:val="en-US" w:bidi="th-TH"/>
        </w:rPr>
        <w:t>), with thousands of health professionals registered.</w:t>
      </w:r>
    </w:p>
    <w:p w14:paraId="1BC8D040" w14:textId="63F83971" w:rsidR="00D376B6" w:rsidRPr="0046060A" w:rsidRDefault="0046060A" w:rsidP="00F84ED2">
      <w:pPr>
        <w:pStyle w:val="Heading2"/>
        <w:numPr>
          <w:ilvl w:val="1"/>
          <w:numId w:val="142"/>
        </w:numPr>
        <w:rPr>
          <w:lang w:val="en-US" w:bidi="th-TH"/>
        </w:rPr>
      </w:pPr>
      <w:bookmarkStart w:id="37" w:name="_Toc108784828"/>
      <w:r>
        <w:rPr>
          <w:lang w:val="en-US" w:bidi="th-TH"/>
        </w:rPr>
        <w:t>Service offerings beyond therapist-supported treatment</w:t>
      </w:r>
      <w:bookmarkEnd w:id="37"/>
    </w:p>
    <w:p w14:paraId="300778CA" w14:textId="4EDE263A" w:rsidR="0046060A" w:rsidRDefault="00EC7C1F" w:rsidP="002029DC">
      <w:pPr>
        <w:pStyle w:val="ANorm"/>
        <w:spacing w:after="200"/>
        <w:rPr>
          <w:lang w:val="en-US" w:bidi="th-TH"/>
        </w:rPr>
      </w:pPr>
      <w:r w:rsidRPr="00AA6B28">
        <w:rPr>
          <w:lang w:val="en-US" w:bidi="th-TH"/>
        </w:rPr>
        <w:t xml:space="preserve">Importantly, </w:t>
      </w:r>
      <w:r w:rsidR="0086662D">
        <w:rPr>
          <w:lang w:val="en-US" w:bidi="th-TH"/>
        </w:rPr>
        <w:t>therapist-</w:t>
      </w:r>
      <w:r w:rsidRPr="00AA6B28">
        <w:rPr>
          <w:lang w:val="en-US" w:bidi="th-TH"/>
        </w:rPr>
        <w:t xml:space="preserve">supported </w:t>
      </w:r>
      <w:r w:rsidR="0086662D">
        <w:rPr>
          <w:lang w:val="en-US" w:bidi="th-TH"/>
        </w:rPr>
        <w:t xml:space="preserve">online </w:t>
      </w:r>
      <w:r w:rsidRPr="00AA6B28">
        <w:rPr>
          <w:lang w:val="en-US" w:bidi="th-TH"/>
        </w:rPr>
        <w:t xml:space="preserve">interventions represent only one component of services delivered by all three DMHSs. </w:t>
      </w:r>
      <w:r w:rsidR="0086662D">
        <w:rPr>
          <w:lang w:val="en-US" w:bidi="th-TH"/>
        </w:rPr>
        <w:t>All three DMHSs also provide web-based information about common mental health problems</w:t>
      </w:r>
      <w:r w:rsidR="002C0AB4">
        <w:rPr>
          <w:lang w:val="en-US" w:bidi="th-TH"/>
        </w:rPr>
        <w:t>.</w:t>
      </w:r>
      <w:r w:rsidR="0086662D">
        <w:rPr>
          <w:lang w:val="en-US" w:bidi="th-TH"/>
        </w:rPr>
        <w:t xml:space="preserve"> </w:t>
      </w:r>
      <w:r w:rsidR="002C0AB4">
        <w:rPr>
          <w:lang w:val="en-US" w:bidi="th-TH"/>
        </w:rPr>
        <w:t>A</w:t>
      </w:r>
      <w:r w:rsidR="0086662D">
        <w:rPr>
          <w:lang w:val="en-US" w:bidi="th-TH"/>
        </w:rPr>
        <w:t xml:space="preserve">ssessment of symptoms of mental </w:t>
      </w:r>
      <w:r w:rsidR="0086662D" w:rsidRPr="009E061B">
        <w:rPr>
          <w:lang w:val="en-US" w:bidi="th-TH"/>
        </w:rPr>
        <w:t>disorder</w:t>
      </w:r>
      <w:r w:rsidR="002C0AB4" w:rsidRPr="009E061B">
        <w:rPr>
          <w:lang w:val="en-US" w:bidi="th-TH"/>
        </w:rPr>
        <w:t>s</w:t>
      </w:r>
      <w:r w:rsidR="0086662D" w:rsidRPr="009E061B">
        <w:rPr>
          <w:lang w:val="en-US" w:bidi="th-TH"/>
        </w:rPr>
        <w:t xml:space="preserve"> and suicidal</w:t>
      </w:r>
      <w:r w:rsidR="00F105CB" w:rsidRPr="009E061B">
        <w:rPr>
          <w:lang w:val="en-US" w:bidi="th-TH"/>
        </w:rPr>
        <w:t>ity</w:t>
      </w:r>
      <w:r w:rsidR="00F105CB">
        <w:rPr>
          <w:lang w:val="en-US" w:bidi="th-TH"/>
        </w:rPr>
        <w:t xml:space="preserve"> </w:t>
      </w:r>
      <w:r w:rsidR="002C0AB4">
        <w:rPr>
          <w:lang w:val="en-US" w:bidi="th-TH"/>
        </w:rPr>
        <w:t xml:space="preserve">is also a key component of service provision for all three </w:t>
      </w:r>
      <w:r w:rsidR="00A741C7">
        <w:rPr>
          <w:lang w:val="en-US" w:bidi="th-TH"/>
        </w:rPr>
        <w:t xml:space="preserve">DMHSs </w:t>
      </w:r>
      <w:r w:rsidR="00F105CB">
        <w:rPr>
          <w:lang w:val="en-US" w:bidi="th-TH"/>
        </w:rPr>
        <w:t>and provides an important opportunity for service navigation and referral to services beyond the DMHS</w:t>
      </w:r>
      <w:r w:rsidR="002C0AB4">
        <w:rPr>
          <w:lang w:val="en-US" w:bidi="th-TH"/>
        </w:rPr>
        <w:t xml:space="preserve">. For example, </w:t>
      </w:r>
      <w:r w:rsidR="002C0AB4" w:rsidRPr="00F105CB">
        <w:rPr>
          <w:lang w:val="en-US" w:bidi="th-TH"/>
        </w:rPr>
        <w:t xml:space="preserve">around </w:t>
      </w:r>
      <w:r w:rsidR="0046060A" w:rsidRPr="00F105CB">
        <w:rPr>
          <w:lang w:val="en-US" w:bidi="th-TH"/>
        </w:rPr>
        <w:t>6</w:t>
      </w:r>
      <w:r w:rsidR="006D2381">
        <w:rPr>
          <w:lang w:val="en-US" w:bidi="th-TH"/>
        </w:rPr>
        <w:t>7</w:t>
      </w:r>
      <w:r w:rsidR="0046060A" w:rsidRPr="00F105CB">
        <w:rPr>
          <w:lang w:val="en-US" w:bidi="th-TH"/>
        </w:rPr>
        <w:t xml:space="preserve">% of </w:t>
      </w:r>
      <w:proofErr w:type="spellStart"/>
      <w:r w:rsidR="0046060A" w:rsidRPr="00F105CB">
        <w:rPr>
          <w:lang w:val="en-US" w:bidi="th-TH"/>
        </w:rPr>
        <w:t>MindSpot</w:t>
      </w:r>
      <w:proofErr w:type="spellEnd"/>
      <w:r w:rsidR="0046060A" w:rsidRPr="00F105CB">
        <w:rPr>
          <w:lang w:val="en-US" w:bidi="th-TH"/>
        </w:rPr>
        <w:t xml:space="preserve"> consumers report that their primary reason for using </w:t>
      </w:r>
      <w:proofErr w:type="spellStart"/>
      <w:r w:rsidR="0046060A" w:rsidRPr="00F105CB">
        <w:rPr>
          <w:lang w:val="en-US" w:bidi="th-TH"/>
        </w:rPr>
        <w:t>MindSpot</w:t>
      </w:r>
      <w:proofErr w:type="spellEnd"/>
      <w:r w:rsidR="0046060A" w:rsidRPr="00F105CB">
        <w:rPr>
          <w:lang w:val="en-US" w:bidi="th-TH"/>
        </w:rPr>
        <w:t xml:space="preserve"> is for assessment</w:t>
      </w:r>
      <w:r w:rsidR="002C0AB4" w:rsidRPr="00F105CB">
        <w:rPr>
          <w:lang w:val="en-US" w:bidi="th-TH"/>
        </w:rPr>
        <w:t xml:space="preserve"> </w:t>
      </w:r>
      <w:r w:rsidR="006D2381">
        <w:rPr>
          <w:lang w:val="en-US" w:bidi="th-TH"/>
        </w:rPr>
        <w:t xml:space="preserve">and information, </w:t>
      </w:r>
      <w:r w:rsidR="002C0AB4" w:rsidRPr="00F105CB">
        <w:rPr>
          <w:lang w:val="en-US" w:bidi="th-TH"/>
        </w:rPr>
        <w:t>and o</w:t>
      </w:r>
      <w:r w:rsidR="0046060A" w:rsidRPr="00F105CB">
        <w:rPr>
          <w:lang w:val="en-US" w:bidi="th-TH"/>
        </w:rPr>
        <w:t>nly 2</w:t>
      </w:r>
      <w:r w:rsidR="006D2381">
        <w:rPr>
          <w:lang w:val="en-US" w:bidi="th-TH"/>
        </w:rPr>
        <w:t>6</w:t>
      </w:r>
      <w:r w:rsidR="0046060A" w:rsidRPr="00F105CB">
        <w:rPr>
          <w:lang w:val="en-US" w:bidi="th-TH"/>
        </w:rPr>
        <w:t>% report their primary reason is to receive online treatment</w:t>
      </w:r>
      <w:r w:rsidR="002C0AB4" w:rsidRPr="00F105CB">
        <w:rPr>
          <w:lang w:val="en-US" w:bidi="th-TH"/>
        </w:rPr>
        <w:t>.</w:t>
      </w:r>
      <w:r w:rsidR="00B81CB1">
        <w:rPr>
          <w:lang w:val="en-US" w:bidi="th-TH"/>
        </w:rPr>
        <w:fldChar w:fldCharType="begin"/>
      </w:r>
      <w:r w:rsidR="004469A2">
        <w:rPr>
          <w:lang w:val="en-US" w:bidi="th-TH"/>
        </w:rPr>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00B81CB1">
        <w:rPr>
          <w:lang w:val="en-US" w:bidi="th-TH"/>
        </w:rPr>
        <w:fldChar w:fldCharType="separate"/>
      </w:r>
      <w:r w:rsidR="004469A2" w:rsidRPr="004469A2">
        <w:rPr>
          <w:noProof/>
          <w:vertAlign w:val="superscript"/>
          <w:lang w:val="en-US" w:bidi="th-TH"/>
        </w:rPr>
        <w:t>7</w:t>
      </w:r>
      <w:r w:rsidR="00B81CB1">
        <w:rPr>
          <w:lang w:val="en-US" w:bidi="th-TH"/>
        </w:rPr>
        <w:fldChar w:fldCharType="end"/>
      </w:r>
    </w:p>
    <w:p w14:paraId="03464EEA" w14:textId="5E789E70" w:rsidR="00EC7C1F" w:rsidRDefault="00EC7C1F" w:rsidP="002029DC">
      <w:pPr>
        <w:pStyle w:val="ANorm"/>
        <w:spacing w:after="200"/>
        <w:rPr>
          <w:lang w:val="en-US" w:bidi="th-TH"/>
        </w:rPr>
      </w:pPr>
      <w:r w:rsidRPr="00AA6B28">
        <w:rPr>
          <w:lang w:val="en-US" w:bidi="th-TH"/>
        </w:rPr>
        <w:t xml:space="preserve">Furthermore, although all three services provide </w:t>
      </w:r>
      <w:r w:rsidR="0004577A" w:rsidRPr="0004577A">
        <w:rPr>
          <w:lang w:val="en-US" w:bidi="th-TH"/>
        </w:rPr>
        <w:t>therapist support, consumers do not necessarily take up this option</w:t>
      </w:r>
      <w:r w:rsidRPr="00AA6B28">
        <w:rPr>
          <w:lang w:val="en-US" w:bidi="th-TH"/>
        </w:rPr>
        <w:t xml:space="preserve">. The implications of these observations for the evaluation are that some findings presented throughout this report relate to overall service offerings and others relate specifically to the </w:t>
      </w:r>
      <w:r w:rsidR="00AE3EF4">
        <w:rPr>
          <w:lang w:val="en-US" w:bidi="th-TH"/>
        </w:rPr>
        <w:t>ther</w:t>
      </w:r>
      <w:r w:rsidR="001F43EF">
        <w:rPr>
          <w:lang w:val="en-US" w:bidi="th-TH"/>
        </w:rPr>
        <w:t>a</w:t>
      </w:r>
      <w:r w:rsidR="00AE3EF4">
        <w:rPr>
          <w:lang w:val="en-US" w:bidi="th-TH"/>
        </w:rPr>
        <w:t>pist</w:t>
      </w:r>
      <w:r w:rsidRPr="00AA6B28">
        <w:rPr>
          <w:lang w:val="en-US" w:bidi="th-TH"/>
        </w:rPr>
        <w:t>-supported or other service offerings (e.g., assessment or self-directed treatment).</w:t>
      </w:r>
    </w:p>
    <w:p w14:paraId="203EA192" w14:textId="77777777" w:rsidR="00AD423E" w:rsidRDefault="00AD423E">
      <w:pPr>
        <w:rPr>
          <w:rFonts w:ascii="Calibri" w:hAnsi="Calibri" w:cs="Arial"/>
          <w:b/>
          <w:bCs/>
          <w:iCs/>
          <w:color w:val="2F5496" w:themeColor="accent1" w:themeShade="BF"/>
          <w:sz w:val="28"/>
          <w:szCs w:val="28"/>
          <w:highlight w:val="lightGray"/>
          <w:lang w:val="en-US" w:bidi="th-TH"/>
        </w:rPr>
      </w:pPr>
      <w:r>
        <w:rPr>
          <w:highlight w:val="lightGray"/>
          <w:lang w:val="en-US" w:bidi="th-TH"/>
        </w:rPr>
        <w:br w:type="page"/>
      </w:r>
    </w:p>
    <w:p w14:paraId="5F8914EE" w14:textId="16D5BC88" w:rsidR="0046060A" w:rsidRPr="0046060A" w:rsidRDefault="0046060A" w:rsidP="00F84ED2">
      <w:pPr>
        <w:pStyle w:val="Heading2"/>
        <w:numPr>
          <w:ilvl w:val="1"/>
          <w:numId w:val="142"/>
        </w:numPr>
        <w:rPr>
          <w:lang w:val="en-US" w:bidi="th-TH"/>
        </w:rPr>
      </w:pPr>
      <w:bookmarkStart w:id="38" w:name="_Toc108784829"/>
      <w:r>
        <w:rPr>
          <w:lang w:val="en-US" w:bidi="th-TH"/>
        </w:rPr>
        <w:lastRenderedPageBreak/>
        <w:t>Risk management</w:t>
      </w:r>
      <w:bookmarkEnd w:id="38"/>
    </w:p>
    <w:p w14:paraId="6B3DE581" w14:textId="064357C9" w:rsidR="006F2E29" w:rsidRDefault="009715E5" w:rsidP="002029DC">
      <w:pPr>
        <w:pStyle w:val="ANorm"/>
        <w:spacing w:after="200"/>
      </w:pPr>
      <w:r w:rsidRPr="00417F8E">
        <w:t>Finally, an</w:t>
      </w:r>
      <w:r w:rsidR="00FA46DD" w:rsidRPr="00417F8E">
        <w:t xml:space="preserve"> </w:t>
      </w:r>
      <w:r w:rsidR="008C24F9">
        <w:t>essential</w:t>
      </w:r>
      <w:r w:rsidR="008C24F9" w:rsidRPr="00417F8E">
        <w:t xml:space="preserve"> </w:t>
      </w:r>
      <w:r w:rsidR="00FA46DD" w:rsidRPr="00417F8E">
        <w:t xml:space="preserve">element of service delivery for </w:t>
      </w:r>
      <w:r w:rsidR="00EC7C1F">
        <w:t xml:space="preserve">the </w:t>
      </w:r>
      <w:r w:rsidR="00FA46DD" w:rsidRPr="00417F8E">
        <w:t xml:space="preserve">three DMHSs is </w:t>
      </w:r>
      <w:r w:rsidR="00B540AE" w:rsidRPr="00417F8E">
        <w:t>the management of suicide risk.</w:t>
      </w:r>
    </w:p>
    <w:p w14:paraId="2C72C7CE" w14:textId="608B5D62" w:rsidR="007A2994" w:rsidRDefault="00F45AA7" w:rsidP="002029DC">
      <w:pPr>
        <w:pStyle w:val="ANorm"/>
        <w:spacing w:after="200"/>
      </w:pPr>
      <w:r>
        <w:t>In the case of Mental Health Online, a</w:t>
      </w:r>
      <w:r w:rsidR="00590BE0" w:rsidRPr="00417F8E">
        <w:t xml:space="preserve">utomated crisis referral occurs in response to </w:t>
      </w:r>
      <w:r w:rsidR="00EC10B7">
        <w:t>specific</w:t>
      </w:r>
      <w:r w:rsidR="00EC10B7" w:rsidRPr="00417F8E">
        <w:t xml:space="preserve"> </w:t>
      </w:r>
      <w:r w:rsidR="00590BE0" w:rsidRPr="00417F8E">
        <w:t xml:space="preserve">trigger questions being answered as part of the </w:t>
      </w:r>
      <w:proofErr w:type="spellStart"/>
      <w:r w:rsidR="00590BE0" w:rsidRPr="00417F8E">
        <w:t>ePASS</w:t>
      </w:r>
      <w:proofErr w:type="spellEnd"/>
      <w:r w:rsidR="00590BE0" w:rsidRPr="00417F8E">
        <w:t xml:space="preserve"> assessment. </w:t>
      </w:r>
      <w:r w:rsidR="00E66AB4">
        <w:t>Crisis</w:t>
      </w:r>
      <w:r w:rsidR="00590BE0" w:rsidRPr="00417F8E">
        <w:t xml:space="preserve"> referrals do not prevent continued service use. Individualised referral</w:t>
      </w:r>
      <w:r w:rsidR="00C654B6">
        <w:t>s</w:t>
      </w:r>
      <w:r w:rsidR="00590BE0" w:rsidRPr="00417F8E">
        <w:t xml:space="preserve"> occur when it is identified that </w:t>
      </w:r>
      <w:r w:rsidR="001E02CB">
        <w:t>consumers</w:t>
      </w:r>
      <w:r w:rsidR="00590BE0" w:rsidRPr="00417F8E">
        <w:t xml:space="preserve"> w</w:t>
      </w:r>
      <w:r w:rsidR="001E02CB">
        <w:t>ill</w:t>
      </w:r>
      <w:r w:rsidR="00590BE0" w:rsidRPr="00417F8E">
        <w:t xml:space="preserve"> benefit from additional</w:t>
      </w:r>
      <w:r w:rsidR="001E02CB">
        <w:t>,</w:t>
      </w:r>
      <w:r w:rsidR="00590BE0" w:rsidRPr="00417F8E">
        <w:t xml:space="preserve"> alternative </w:t>
      </w:r>
      <w:r w:rsidR="00630595">
        <w:t xml:space="preserve">or crisis </w:t>
      </w:r>
      <w:r w:rsidR="00590BE0" w:rsidRPr="00417F8E">
        <w:t xml:space="preserve">services. Individualised referrals are generally made by Mental Health Online clinicians in the Therapist </w:t>
      </w:r>
      <w:r w:rsidR="00417F8E" w:rsidRPr="00417F8E">
        <w:t xml:space="preserve">Assist </w:t>
      </w:r>
      <w:r w:rsidR="00590BE0" w:rsidRPr="00417F8E">
        <w:t>arm of the service at intake, during and at the conclusion of therapist support.</w:t>
      </w:r>
    </w:p>
    <w:p w14:paraId="6E8BF211" w14:textId="689C4CA7" w:rsidR="00D876E7" w:rsidRDefault="007A2994" w:rsidP="002029DC">
      <w:pPr>
        <w:pStyle w:val="ANorm"/>
        <w:spacing w:after="200"/>
        <w:rPr>
          <w:lang w:val="en-US" w:bidi="th-TH"/>
        </w:rPr>
      </w:pPr>
      <w:proofErr w:type="spellStart"/>
      <w:r>
        <w:t>MindSpot’s</w:t>
      </w:r>
      <w:proofErr w:type="spellEnd"/>
      <w:r>
        <w:t xml:space="preserve"> online screening assessment includes questions about suicidal thoughts and plans.</w:t>
      </w:r>
      <w:r w:rsidR="00B81CB1">
        <w:fldChar w:fldCharType="begin"/>
      </w:r>
      <w:r w:rsidR="004469A2">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00B81CB1">
        <w:fldChar w:fldCharType="separate"/>
      </w:r>
      <w:r w:rsidR="004469A2" w:rsidRPr="004469A2">
        <w:rPr>
          <w:noProof/>
          <w:vertAlign w:val="superscript"/>
        </w:rPr>
        <w:t>7</w:t>
      </w:r>
      <w:r w:rsidR="00B81CB1">
        <w:fldChar w:fldCharType="end"/>
      </w:r>
      <w:r>
        <w:t xml:space="preserve"> In response, at-risk individuals who can be contacted by phone are further assessed using a structured risk assessment and an appropriate safety plan is developed. At-</w:t>
      </w:r>
      <w:r w:rsidR="006F2E29">
        <w:t xml:space="preserve">risk </w:t>
      </w:r>
      <w:r>
        <w:t>individuals who cannot be contacted by phone are referred to local police for a welfare check.</w:t>
      </w:r>
      <w:r w:rsidR="006F2E29" w:rsidRPr="00517836">
        <w:t xml:space="preserve"> </w:t>
      </w:r>
      <w:proofErr w:type="spellStart"/>
      <w:r w:rsidR="009B3827">
        <w:t>Min</w:t>
      </w:r>
      <w:r w:rsidR="00822A19">
        <w:t>dSpot</w:t>
      </w:r>
      <w:proofErr w:type="spellEnd"/>
      <w:r w:rsidR="00822A19">
        <w:t xml:space="preserve"> </w:t>
      </w:r>
      <w:r w:rsidR="00207770" w:rsidRPr="00822A19">
        <w:rPr>
          <w:lang w:val="en-US" w:bidi="th-TH"/>
        </w:rPr>
        <w:t>urgently refers 3-4 consumers to mental health crisis and emergency services across Australia each week (150-200 consumers/year).</w:t>
      </w:r>
      <w:r w:rsidR="00822A19">
        <w:rPr>
          <w:i/>
          <w:iCs/>
        </w:rPr>
        <w:t xml:space="preserve"> </w:t>
      </w:r>
      <w:r w:rsidR="009B3827" w:rsidRPr="002A6045">
        <w:rPr>
          <w:lang w:val="en-US" w:bidi="th-TH"/>
        </w:rPr>
        <w:t>A</w:t>
      </w:r>
      <w:r w:rsidR="00710E5D" w:rsidRPr="002A6045">
        <w:rPr>
          <w:lang w:val="en-US" w:bidi="th-TH"/>
        </w:rPr>
        <w:t xml:space="preserve"> recent</w:t>
      </w:r>
      <w:r w:rsidR="009B3827" w:rsidRPr="002A6045">
        <w:rPr>
          <w:lang w:val="en-US" w:bidi="th-TH"/>
        </w:rPr>
        <w:t xml:space="preserve"> </w:t>
      </w:r>
      <w:r w:rsidR="0029673E" w:rsidRPr="002A6045">
        <w:rPr>
          <w:lang w:val="en-US" w:bidi="th-TH"/>
        </w:rPr>
        <w:t xml:space="preserve">study </w:t>
      </w:r>
      <w:r w:rsidR="00D84B6E" w:rsidRPr="002A6045">
        <w:rPr>
          <w:lang w:val="en-US" w:bidi="th-TH"/>
        </w:rPr>
        <w:t xml:space="preserve">of 59,033 </w:t>
      </w:r>
      <w:proofErr w:type="spellStart"/>
      <w:r w:rsidR="00D84B6E" w:rsidRPr="002A6045">
        <w:rPr>
          <w:lang w:val="en-US" w:bidi="th-TH"/>
        </w:rPr>
        <w:t>MindSpot</w:t>
      </w:r>
      <w:proofErr w:type="spellEnd"/>
      <w:r w:rsidR="00D84B6E" w:rsidRPr="002A6045">
        <w:rPr>
          <w:lang w:val="en-US" w:bidi="th-TH"/>
        </w:rPr>
        <w:t xml:space="preserve"> consumers in </w:t>
      </w:r>
      <w:r w:rsidR="0029612C" w:rsidRPr="002A6045">
        <w:rPr>
          <w:lang w:val="en-US" w:bidi="th-TH"/>
        </w:rPr>
        <w:t>the</w:t>
      </w:r>
      <w:r w:rsidR="00D84B6E" w:rsidRPr="002A6045">
        <w:rPr>
          <w:lang w:val="en-US" w:bidi="th-TH"/>
        </w:rPr>
        <w:t xml:space="preserve"> </w:t>
      </w:r>
      <w:r w:rsidR="00895913" w:rsidRPr="002A6045">
        <w:rPr>
          <w:lang w:val="en-US" w:bidi="th-TH"/>
        </w:rPr>
        <w:t>four</w:t>
      </w:r>
      <w:r w:rsidR="00D84B6E" w:rsidRPr="002A6045">
        <w:rPr>
          <w:lang w:val="en-US" w:bidi="th-TH"/>
        </w:rPr>
        <w:t xml:space="preserve">-year period from January 2013 to December 2016 </w:t>
      </w:r>
      <w:r w:rsidR="0029673E" w:rsidRPr="002A6045">
        <w:rPr>
          <w:lang w:val="en-US" w:bidi="th-TH"/>
        </w:rPr>
        <w:t>linked to the National Death Index</w:t>
      </w:r>
      <w:r w:rsidR="009B3827" w:rsidRPr="002A6045">
        <w:rPr>
          <w:lang w:val="en-US" w:bidi="th-TH"/>
        </w:rPr>
        <w:t xml:space="preserve"> </w:t>
      </w:r>
      <w:r w:rsidR="00207770" w:rsidRPr="002A6045">
        <w:rPr>
          <w:lang w:val="en-US" w:bidi="th-TH"/>
        </w:rPr>
        <w:t>found that</w:t>
      </w:r>
      <w:r w:rsidR="004F2753">
        <w:rPr>
          <w:lang w:val="en-US" w:bidi="th-TH"/>
        </w:rPr>
        <w:t>, although tragic,</w:t>
      </w:r>
      <w:r w:rsidR="00207770" w:rsidRPr="002A6045">
        <w:rPr>
          <w:lang w:val="en-US" w:bidi="th-TH"/>
        </w:rPr>
        <w:t xml:space="preserve"> </w:t>
      </w:r>
      <w:r w:rsidR="002D4028" w:rsidRPr="002A6045">
        <w:rPr>
          <w:lang w:val="en-US" w:bidi="th-TH"/>
        </w:rPr>
        <w:t xml:space="preserve">only </w:t>
      </w:r>
      <w:r w:rsidR="004159E0" w:rsidRPr="00584132">
        <w:rPr>
          <w:lang w:val="en-US" w:bidi="th-TH"/>
        </w:rPr>
        <w:t xml:space="preserve">1.4% (4 of 285) </w:t>
      </w:r>
      <w:r w:rsidR="0029673E" w:rsidRPr="00584132">
        <w:rPr>
          <w:lang w:val="en-US" w:bidi="th-TH"/>
        </w:rPr>
        <w:t>consumers</w:t>
      </w:r>
      <w:r w:rsidR="00C57995" w:rsidRPr="00584132">
        <w:rPr>
          <w:lang w:val="en-US" w:bidi="th-TH"/>
        </w:rPr>
        <w:t xml:space="preserve"> who were urgently referred for crisis service intervention</w:t>
      </w:r>
      <w:r w:rsidR="00852A42" w:rsidRPr="00584132">
        <w:rPr>
          <w:lang w:val="en-US" w:bidi="th-TH"/>
        </w:rPr>
        <w:t>s</w:t>
      </w:r>
      <w:r w:rsidR="00C57995" w:rsidRPr="00584132">
        <w:rPr>
          <w:lang w:val="en-US" w:bidi="th-TH"/>
        </w:rPr>
        <w:t xml:space="preserve"> died </w:t>
      </w:r>
      <w:r w:rsidR="002D4028" w:rsidRPr="00584132">
        <w:rPr>
          <w:lang w:val="en-US" w:bidi="th-TH"/>
        </w:rPr>
        <w:t xml:space="preserve">by suicide </w:t>
      </w:r>
      <w:r w:rsidR="00C57995" w:rsidRPr="00584132">
        <w:rPr>
          <w:lang w:val="en-US" w:bidi="th-TH"/>
        </w:rPr>
        <w:t>within</w:t>
      </w:r>
      <w:r w:rsidR="009E061B">
        <w:rPr>
          <w:lang w:val="en-US" w:bidi="th-TH"/>
        </w:rPr>
        <w:t xml:space="preserve"> two</w:t>
      </w:r>
      <w:r w:rsidR="00C57995" w:rsidRPr="00584132">
        <w:rPr>
          <w:lang w:val="en-US" w:bidi="th-TH"/>
        </w:rPr>
        <w:t xml:space="preserve"> years</w:t>
      </w:r>
      <w:r w:rsidR="00B56381" w:rsidRPr="00584132">
        <w:rPr>
          <w:lang w:val="en-US" w:bidi="th-TH"/>
        </w:rPr>
        <w:t xml:space="preserve"> </w:t>
      </w:r>
      <w:r w:rsidR="00207770" w:rsidRPr="00584132">
        <w:rPr>
          <w:lang w:val="en-US" w:bidi="th-TH"/>
        </w:rPr>
        <w:t xml:space="preserve">indicating </w:t>
      </w:r>
      <w:proofErr w:type="spellStart"/>
      <w:r w:rsidR="00207770" w:rsidRPr="00584132">
        <w:rPr>
          <w:lang w:val="en-US" w:bidi="th-TH"/>
        </w:rPr>
        <w:t>MindSpot</w:t>
      </w:r>
      <w:proofErr w:type="spellEnd"/>
      <w:r w:rsidR="00207770" w:rsidRPr="00584132">
        <w:rPr>
          <w:lang w:val="en-US" w:bidi="th-TH"/>
        </w:rPr>
        <w:t xml:space="preserve"> plays an important role in suicide reduction.</w:t>
      </w:r>
      <w:r w:rsidR="00B81CB1">
        <w:rPr>
          <w:lang w:val="en-US" w:bidi="th-TH"/>
        </w:rPr>
        <w:fldChar w:fldCharType="begin"/>
      </w:r>
      <w:r w:rsidR="004469A2">
        <w:rPr>
          <w:lang w:val="en-US" w:bidi="th-TH"/>
        </w:rPr>
        <w:instrText xml:space="preserve"> ADDIN EN.CITE &lt;EndNote&gt;&lt;Cite&gt;&lt;Author&gt;Nielssen&lt;/Author&gt;&lt;Year&gt;2022&lt;/Year&gt;&lt;RecNum&gt;149&lt;/RecNum&gt;&lt;DisplayText&gt;&lt;style face="superscript"&gt;27&lt;/style&gt;&lt;/DisplayText&gt;&lt;record&gt;&lt;rec-number&gt;149&lt;/rec-number&gt;&lt;foreign-keys&gt;&lt;key app="EN" db-id="dawtr0zrkrzfa5edzzlpe2we0xa00t90vvr2" timestamp="1654144803"&gt;149&lt;/key&gt;&lt;/foreign-keys&gt;&lt;ref-type name="Journal Article"&gt;17&lt;/ref-type&gt;&lt;contributors&gt;&lt;authors&gt;&lt;author&gt;Nielssen, Olav&lt;/author&gt;&lt;author&gt;Staples, Lauren G.&lt;/author&gt;&lt;author&gt;Ryan, Kathryn&lt;/author&gt;&lt;author&gt;Karin, Eyal&lt;/author&gt;&lt;author&gt;Kayrouz, Rony&lt;/author&gt;&lt;author&gt;Dear, Blake F.&lt;/author&gt;&lt;author&gt;Cross, Shane&lt;/author&gt;&lt;author&gt;Titov, Nickolai&lt;/author&gt;&lt;/authors&gt;&lt;/contributors&gt;&lt;titles&gt;&lt;title&gt;Suicide after contact with a national digital mental health service&lt;/title&gt;&lt;secondary-title&gt;Internet Interventions&lt;/secondary-title&gt;&lt;/titles&gt;&lt;periodical&gt;&lt;full-title&gt;Internet Interventions&lt;/full-title&gt;&lt;/periodical&gt;&lt;pages&gt;100516&lt;/pages&gt;&lt;volume&gt;28&lt;/volume&gt;&lt;keywords&gt;&lt;keyword&gt;Suicide&lt;/keyword&gt;&lt;keyword&gt;Risk&lt;/keyword&gt;&lt;keyword&gt;Prediction&lt;/keyword&gt;&lt;keyword&gt;MindSpot&lt;/keyword&gt;&lt;keyword&gt;Digital mental health service&lt;/keyword&gt;&lt;keyword&gt;PHQ-9&lt;/keyword&gt;&lt;/keywords&gt;&lt;dates&gt;&lt;year&gt;2022&lt;/year&gt;&lt;pub-dates&gt;&lt;date&gt;2022/04/01/&lt;/date&gt;&lt;/pub-dates&gt;&lt;/dates&gt;&lt;isbn&gt;2214-7829&lt;/isbn&gt;&lt;urls&gt;&lt;related-urls&gt;&lt;url&gt;https://www.sciencedirect.com/science/article/pii/S2214782922000239&lt;/url&gt;&lt;/related-urls&gt;&lt;/urls&gt;&lt;electronic-resource-num&gt;https://doi.org/10.1016/j.invent.2022.100516&lt;/electronic-resource-num&gt;&lt;/record&gt;&lt;/Cite&gt;&lt;/EndNote&gt;</w:instrText>
      </w:r>
      <w:r w:rsidR="00B81CB1">
        <w:rPr>
          <w:lang w:val="en-US" w:bidi="th-TH"/>
        </w:rPr>
        <w:fldChar w:fldCharType="separate"/>
      </w:r>
      <w:r w:rsidR="004469A2" w:rsidRPr="004469A2">
        <w:rPr>
          <w:noProof/>
          <w:vertAlign w:val="superscript"/>
          <w:lang w:val="en-US" w:bidi="th-TH"/>
        </w:rPr>
        <w:t>27</w:t>
      </w:r>
      <w:r w:rsidR="00B81CB1">
        <w:rPr>
          <w:lang w:val="en-US" w:bidi="th-TH"/>
        </w:rPr>
        <w:fldChar w:fldCharType="end"/>
      </w:r>
    </w:p>
    <w:p w14:paraId="5A9D929A" w14:textId="40FBFDD9" w:rsidR="003A4606" w:rsidRPr="003D041D" w:rsidRDefault="00D876E7" w:rsidP="003D041D">
      <w:pPr>
        <w:pStyle w:val="ANorm"/>
        <w:spacing w:after="200"/>
      </w:pPr>
      <w:r w:rsidRPr="00D876E7">
        <w:t xml:space="preserve">At THIS WAY UP, </w:t>
      </w:r>
      <w:proofErr w:type="gramStart"/>
      <w:r w:rsidRPr="00D876E7">
        <w:t>ongoing</w:t>
      </w:r>
      <w:proofErr w:type="gramEnd"/>
      <w:r w:rsidRPr="00D876E7">
        <w:t xml:space="preserve"> and automated risk assessment is embedded within the service model. Crisis referral information and support are immediately sent to consumers (via email and on-screen message) when consumers report severe distress and/or suicidal ideation on validated questionnaires (e.g., the </w:t>
      </w:r>
      <w:r w:rsidR="00287BFD" w:rsidRPr="00287BFD">
        <w:t>Patient Health Questionnaire 9-Item Scale [</w:t>
      </w:r>
      <w:r w:rsidRPr="00287BFD">
        <w:t>PHQ-9</w:t>
      </w:r>
      <w:r w:rsidR="00287BFD" w:rsidRPr="00287BFD">
        <w:t>]</w:t>
      </w:r>
      <w:r w:rsidR="00B81CB1">
        <w:fldChar w:fldCharType="begin">
          <w:fldData xml:space="preserve">PEVuZE5vdGU+PENpdGU+PEF1dGhvcj5Lcm9lbmtlPC9BdXRob3I+PFllYXI+MjAwMTwvWWVhcj48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</w:fldData>
        </w:fldChar>
      </w:r>
      <w:r w:rsidR="004469A2">
        <w:instrText xml:space="preserve"> ADDIN EN.CITE </w:instrText>
      </w:r>
      <w:r w:rsidR="004469A2">
        <w:fldChar w:fldCharType="begin">
          <w:fldData xml:space="preserve">PEVuZE5vdGU+PENpdGU+PEF1dGhvcj5Lcm9lbmtlPC9BdXRob3I+PFllYXI+MjAwMTwvWWVhcj48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</w:fldData>
        </w:fldChar>
      </w:r>
      <w:r w:rsidR="004469A2">
        <w:instrText xml:space="preserve"> ADDIN EN.CITE.DATA </w:instrText>
      </w:r>
      <w:r w:rsidR="004469A2">
        <w:fldChar w:fldCharType="end"/>
      </w:r>
      <w:r w:rsidR="00B81CB1">
        <w:fldChar w:fldCharType="separate"/>
      </w:r>
      <w:r w:rsidR="004469A2" w:rsidRPr="004469A2">
        <w:rPr>
          <w:noProof/>
          <w:vertAlign w:val="superscript"/>
        </w:rPr>
        <w:t>28</w:t>
      </w:r>
      <w:r w:rsidR="00B81CB1">
        <w:fldChar w:fldCharType="end"/>
      </w:r>
      <w:r w:rsidRPr="00287BFD">
        <w:t xml:space="preserve"> or </w:t>
      </w:r>
      <w:r w:rsidR="00287BFD" w:rsidRPr="00287BFD">
        <w:t>Kessler Psychological Distress</w:t>
      </w:r>
      <w:r w:rsidR="00BA0FDE">
        <w:t xml:space="preserve"> 10-Item</w:t>
      </w:r>
      <w:r w:rsidR="00287BFD" w:rsidRPr="00287BFD">
        <w:t xml:space="preserve"> </w:t>
      </w:r>
      <w:r w:rsidR="00287BFD" w:rsidRPr="00BA0FDE">
        <w:t>Scale [</w:t>
      </w:r>
      <w:r w:rsidRPr="00BA0FDE">
        <w:t>K10</w:t>
      </w:r>
      <w:r w:rsidR="00287BFD" w:rsidRPr="00BA0FDE">
        <w:t>]</w:t>
      </w:r>
      <w:r w:rsidR="00B81CB1">
        <w:fldChar w:fldCharType="begin"/>
      </w:r>
      <w:r w:rsidR="004469A2">
        <w:instrText xml:space="preserve"> ADDIN EN.CITE &lt;EndNote&gt;&lt;Cite&gt;&lt;Author&gt;Kessler&lt;/Author&gt;&lt;Year&gt;2002&lt;/Year&gt;&lt;RecNum&gt;154&lt;/RecNum&gt;&lt;DisplayText&gt;&lt;style face="superscript"&gt;29&lt;/style&gt;&lt;/DisplayText&gt;&lt;record&gt;&lt;rec-number&gt;154&lt;/rec-number&gt;&lt;foreign-keys&gt;&lt;key app="EN" db-id="dawtr0zrkrzfa5edzzlpe2we0xa00t90vvr2" timestamp="1654254133"&gt;154&lt;/key&gt;&lt;/foreign-keys&gt;&lt;ref-type name="Journal Article"&gt;17&lt;/ref-type&gt;&lt;contributors&gt;&lt;authors&gt;&lt;author&gt;Kessler, R. C.&lt;/author&gt;&lt;author&gt;Andrews, G.&lt;/author&gt;&lt;author&gt;Colpe, L. J.&lt;/author&gt;&lt;author&gt;Hiripi, E.&lt;/author&gt;&lt;author&gt;Mroczek, D. K.&lt;/author&gt;&lt;author&gt;Normand, S. L.&lt;/author&gt;&lt;author&gt;Walters, E. E.&lt;/author&gt;&lt;author&gt;Zaslavsky, A. M.&lt;/author&gt;&lt;/authors&gt;&lt;/contributors&gt;&lt;auth-address&gt;Department of Health Care Policy, Harvard Medical School, Boston, MA 02115, USA.&lt;/auth-address&gt;&lt;titles&gt;&lt;title&gt;Short screening scales to monitor population prevalences and trends in non-specific psychological distress&lt;/title&gt;&lt;secondary-title&gt;Psychological Medicine&lt;/secondary-title&gt;&lt;/titles&gt;&lt;periodical&gt;&lt;full-title&gt;Psychological Medicine&lt;/full-title&gt;&lt;/periodical&gt;&lt;pages&gt;959-76&lt;/pages&gt;&lt;volume&gt;32&lt;/volume&gt;&lt;number&gt;6&lt;/number&gt;&lt;edition&gt;2002/09/07&lt;/edition&gt;&lt;keywords&gt;&lt;keyword&gt;Adult&lt;/keyword&gt;&lt;keyword&gt;Female&lt;/keyword&gt;&lt;keyword&gt;Humans&lt;/keyword&gt;&lt;keyword&gt;Male&lt;/keyword&gt;&lt;keyword&gt;Mental Disorders/diagnosis/epidemiology&lt;/keyword&gt;&lt;keyword&gt;Pilot Projects&lt;/keyword&gt;&lt;keyword&gt;Prevalence&lt;/keyword&gt;&lt;keyword&gt;Psychometrics&lt;/keyword&gt;&lt;keyword&gt;ROC Curve&lt;/keyword&gt;&lt;keyword&gt;Reproducibility of Results&lt;/keyword&gt;&lt;keyword&gt;Stress, Psychological/*diagnosis/*epidemiology&lt;/keyword&gt;&lt;keyword&gt;Surveys and Questionnaires/*standards&lt;/keyword&gt;&lt;keyword&gt;United States/epidemiology&lt;/keyword&gt;&lt;/keywords&gt;&lt;dates&gt;&lt;year&gt;2002&lt;/year&gt;&lt;pub-dates&gt;&lt;date&gt;Aug&lt;/date&gt;&lt;/pub-dates&gt;&lt;/dates&gt;&lt;isbn&gt;0033-2917 (Print)&amp;#xD;0033-2917&lt;/isbn&gt;&lt;accession-num&gt;12214795&lt;/accession-num&gt;&lt;urls&gt;&lt;/urls&gt;&lt;electronic-resource-num&gt;10.1017/s0033291702006074&lt;/electronic-resource-num&gt;&lt;remote-database-provider&gt;NLM&lt;/remote-database-provider&gt;&lt;language&gt;eng&lt;/language&gt;&lt;/record&gt;&lt;/Cite&gt;&lt;/EndNote&gt;</w:instrText>
      </w:r>
      <w:r w:rsidR="00B81CB1">
        <w:fldChar w:fldCharType="separate"/>
      </w:r>
      <w:r w:rsidR="004469A2" w:rsidRPr="004469A2">
        <w:rPr>
          <w:noProof/>
          <w:vertAlign w:val="superscript"/>
        </w:rPr>
        <w:t>29</w:t>
      </w:r>
      <w:r w:rsidR="00B81CB1">
        <w:fldChar w:fldCharType="end"/>
      </w:r>
      <w:r w:rsidRPr="00BA0FDE">
        <w:t xml:space="preserve">). Currently, </w:t>
      </w:r>
      <w:r w:rsidR="00B01ABA" w:rsidRPr="00BA0FDE">
        <w:t>most</w:t>
      </w:r>
      <w:r w:rsidRPr="00BA0FDE">
        <w:t xml:space="preserve"> consumers elect to complete </w:t>
      </w:r>
      <w:r w:rsidR="000161E2" w:rsidRPr="00BA0FDE">
        <w:t>THIS WAY UP treatment</w:t>
      </w:r>
      <w:r w:rsidRPr="00BA0FDE">
        <w:t xml:space="preserve"> program</w:t>
      </w:r>
      <w:r w:rsidR="000161E2" w:rsidRPr="00BA0FDE">
        <w:t>s</w:t>
      </w:r>
      <w:r w:rsidRPr="00BA0FDE">
        <w:t xml:space="preserve"> with the</w:t>
      </w:r>
      <w:r w:rsidRPr="00D876E7">
        <w:t xml:space="preserve"> support of their local clinician. When consumer</w:t>
      </w:r>
      <w:r w:rsidR="000161E2">
        <w:t>s</w:t>
      </w:r>
      <w:r w:rsidRPr="00D876E7">
        <w:t xml:space="preserve"> report severe distress or </w:t>
      </w:r>
      <w:r w:rsidR="000161E2">
        <w:t>s</w:t>
      </w:r>
      <w:r w:rsidRPr="00D876E7">
        <w:t>uicid</w:t>
      </w:r>
      <w:r w:rsidR="000161E2">
        <w:t>ality</w:t>
      </w:r>
      <w:r w:rsidRPr="00D876E7">
        <w:t xml:space="preserve">, their clinician </w:t>
      </w:r>
      <w:r w:rsidR="00BA4124">
        <w:t xml:space="preserve">(for consistency with the other DMHSs, referred to as ‘therapist’ throughout the report) </w:t>
      </w:r>
      <w:r w:rsidRPr="00D876E7">
        <w:t>is also notified (via direct email) and assured that</w:t>
      </w:r>
      <w:r w:rsidR="000161E2">
        <w:t xml:space="preserve"> the</w:t>
      </w:r>
      <w:r w:rsidRPr="00D876E7">
        <w:t xml:space="preserve"> </w:t>
      </w:r>
      <w:r w:rsidR="000161E2" w:rsidRPr="00D876E7">
        <w:t xml:space="preserve">consumer </w:t>
      </w:r>
      <w:r w:rsidR="000161E2">
        <w:t xml:space="preserve">has been provided </w:t>
      </w:r>
      <w:r w:rsidRPr="00D876E7">
        <w:t xml:space="preserve">crisis information and support. This process occurs during all </w:t>
      </w:r>
      <w:r w:rsidR="000161E2">
        <w:t xml:space="preserve">THIS WAY UP </w:t>
      </w:r>
      <w:r w:rsidRPr="00D876E7">
        <w:t xml:space="preserve">assessment and treatment programs and does not prevent continued service use. </w:t>
      </w:r>
      <w:r w:rsidR="000161E2">
        <w:t xml:space="preserve">THIS WAY UP </w:t>
      </w:r>
      <w:r w:rsidRPr="00D876E7">
        <w:t xml:space="preserve">clinicians directly </w:t>
      </w:r>
      <w:r w:rsidR="000161E2">
        <w:t>provide</w:t>
      </w:r>
      <w:r w:rsidRPr="00D876E7">
        <w:t xml:space="preserve"> </w:t>
      </w:r>
      <w:r w:rsidR="000161E2">
        <w:t>i</w:t>
      </w:r>
      <w:r w:rsidR="000161E2" w:rsidRPr="00D876E7">
        <w:t xml:space="preserve">ndividualised risk assessment and management </w:t>
      </w:r>
      <w:r w:rsidR="000161E2">
        <w:t xml:space="preserve">to </w:t>
      </w:r>
      <w:r w:rsidRPr="00D876E7">
        <w:t>consumers</w:t>
      </w:r>
      <w:r w:rsidR="000161E2">
        <w:t xml:space="preserve"> who</w:t>
      </w:r>
      <w:r w:rsidRPr="00D876E7">
        <w:t xml:space="preserve"> contact the service and report severe distress and/or suicidal ideation. </w:t>
      </w:r>
      <w:r>
        <w:t>Several</w:t>
      </w:r>
      <w:r w:rsidRPr="00D876E7">
        <w:t xml:space="preserve"> studies indicate that </w:t>
      </w:r>
      <w:r w:rsidR="000161E2">
        <w:t>THIS WAY UP</w:t>
      </w:r>
      <w:r w:rsidRPr="00D876E7">
        <w:t xml:space="preserve"> programs significantly reduce suicidal ideation.</w:t>
      </w:r>
      <w:r w:rsidR="00B81CB1">
        <w:fldChar w:fldCharType="begin"/>
      </w:r>
      <w:r w:rsidR="004469A2">
        <w:instrText xml:space="preserve"> ADDIN EN.CITE &lt;EndNote&gt;&lt;Cite&gt;&lt;Author&gt;Watts&lt;/Author&gt;&lt;Year&gt;2012&lt;/Year&gt;&lt;RecNum&gt;150&lt;/RecNum&gt;&lt;DisplayText&gt;&lt;style face="superscript"&gt;30, 31&lt;/style&gt;&lt;/DisplayText&gt;&lt;record&gt;&lt;rec-number&gt;150&lt;/rec-number&gt;&lt;foreign-keys&gt;&lt;key app="EN" db-id="dawtr0zrkrzfa5edzzlpe2we0xa00t90vvr2" timestamp="1654148949"&gt;150&lt;/key&gt;&lt;/foreign-keys&gt;&lt;ref-type name="Journal Article"&gt;17&lt;/ref-type&gt;&lt;contributors&gt;&lt;authors&gt;&lt;author&gt;Watts, Sarah&lt;/author&gt;&lt;author&gt;Newby, Jill M&lt;/author&gt;&lt;author&gt;Mewton, Louise&lt;/author&gt;&lt;author&gt;Andrews, Gavin&lt;/author&gt;&lt;/authors&gt;&lt;/contributors&gt;&lt;titles&gt;&lt;title&gt;A clinical audit of changes in suicide ideas with internet treatment for depression&lt;/title&gt;&lt;secondary-title&gt;BMJ open&lt;/secondary-title&gt;&lt;/titles&gt;&lt;periodical&gt;&lt;full-title&gt;BMJ open&lt;/full-title&gt;&lt;/periodical&gt;&lt;pages&gt;e001558&lt;/pages&gt;&lt;volume&gt;2&lt;/volume&gt;&lt;number&gt;5&lt;/number&gt;&lt;dates&gt;&lt;year&gt;2012&lt;/year&gt;&lt;/dates&gt;&lt;isbn&gt;2044-6055&lt;/isbn&gt;&lt;urls&gt;&lt;/urls&gt;&lt;/record&gt;&lt;/Cite&gt;&lt;Cite&gt;&lt;Author&gt;Mewton&lt;/Author&gt;&lt;Year&gt;2015&lt;/Year&gt;&lt;RecNum&gt;151&lt;/RecNum&gt;&lt;record&gt;&lt;rec-number&gt;151&lt;/rec-number&gt;&lt;foreign-keys&gt;&lt;key app="EN" db-id="dawtr0zrkrzfa5edzzlpe2we0xa00t90vvr2" timestamp="1654251269"&gt;151&lt;/key&gt;&lt;/foreign-keys&gt;&lt;ref-type name="Journal Article"&gt;17&lt;/ref-type&gt;&lt;contributors&gt;&lt;authors&gt;&lt;author&gt;Mewton, Louise&lt;/author&gt;&lt;author&gt;Andrews, Gavin&lt;/author&gt;&lt;/authors&gt;&lt;/contributors&gt;&lt;titles&gt;&lt;title&gt;Cognitive behaviour therapy via the internet for depression: A useful strategy to reduce suicidal ideation&lt;/title&gt;&lt;secondary-title&gt;Journal of affective disorders&lt;/secondary-title&gt;&lt;/titles&gt;&lt;periodical&gt;&lt;full-title&gt;Journal of Affective Disorders&lt;/full-title&gt;&lt;/periodical&gt;&lt;pages&gt;78-84&lt;/pages&gt;&lt;volume&gt;170&lt;/volume&gt;&lt;dates&gt;&lt;year&gt;2015&lt;/year&gt;&lt;/dates&gt;&lt;isbn&gt;0165-0327&lt;/isbn&gt;&lt;urls&gt;&lt;/urls&gt;&lt;/record&gt;&lt;/Cite&gt;&lt;/EndNote&gt;</w:instrText>
      </w:r>
      <w:r w:rsidR="00B81CB1">
        <w:fldChar w:fldCharType="separate"/>
      </w:r>
      <w:r w:rsidR="004469A2" w:rsidRPr="004469A2">
        <w:rPr>
          <w:noProof/>
          <w:vertAlign w:val="superscript"/>
        </w:rPr>
        <w:t>30, 31</w:t>
      </w:r>
      <w:r w:rsidR="00B81CB1">
        <w:fldChar w:fldCharType="end"/>
      </w:r>
    </w:p>
    <w:p w14:paraId="0473550D" w14:textId="77777777" w:rsidR="003D041D" w:rsidRDefault="003D041D" w:rsidP="003D041D">
      <w:pPr>
        <w:pStyle w:val="Heading2"/>
        <w:numPr>
          <w:ilvl w:val="1"/>
          <w:numId w:val="142"/>
        </w:numPr>
        <w:rPr>
          <w:lang w:val="en-US" w:bidi="th-TH"/>
        </w:rPr>
      </w:pPr>
      <w:bookmarkStart w:id="39" w:name="_Toc108784830"/>
      <w:r>
        <w:rPr>
          <w:lang w:val="en-US" w:bidi="th-TH"/>
        </w:rPr>
        <w:t>Summary</w:t>
      </w:r>
      <w:bookmarkEnd w:id="39"/>
    </w:p>
    <w:p w14:paraId="58C57FB5" w14:textId="6FC509BC" w:rsidR="00985DB9" w:rsidRPr="00985DB9" w:rsidRDefault="00985DB9" w:rsidP="00985DB9">
      <w:pPr>
        <w:pStyle w:val="ANorm"/>
        <w:rPr>
          <w:lang w:val="en-US"/>
        </w:rPr>
      </w:pPr>
      <w:r w:rsidRPr="009E397E">
        <w:rPr>
          <w:lang w:val="en-US"/>
        </w:rPr>
        <w:t xml:space="preserve">Mental Health Online, </w:t>
      </w:r>
      <w:proofErr w:type="spellStart"/>
      <w:r w:rsidRPr="009E397E">
        <w:rPr>
          <w:lang w:val="en-US"/>
        </w:rPr>
        <w:t>MindSpot</w:t>
      </w:r>
      <w:proofErr w:type="spellEnd"/>
      <w:r w:rsidRPr="009E397E">
        <w:rPr>
          <w:lang w:val="en-US"/>
        </w:rPr>
        <w:t xml:space="preserve"> and THIS WAY UP have been operating for 10+ years. They all provide web-based information</w:t>
      </w:r>
      <w:r w:rsidR="00DD7831" w:rsidRPr="009E397E">
        <w:rPr>
          <w:lang w:val="en-US"/>
        </w:rPr>
        <w:t xml:space="preserve">, </w:t>
      </w:r>
      <w:r w:rsidRPr="009E397E">
        <w:rPr>
          <w:lang w:val="en-US"/>
        </w:rPr>
        <w:t>online assessments including risk management, and self-directed and therapist-supported treatment mainly for people with depression and anxiety disorders. However, their service delivery models differ and so does the amount of funding they each receive. For example, the therapist support component comprises internal provisional psychologists at Mental Health Online</w:t>
      </w:r>
      <w:r w:rsidR="00335816" w:rsidRPr="009E397E">
        <w:rPr>
          <w:lang w:val="en-US"/>
        </w:rPr>
        <w:t>, internal</w:t>
      </w:r>
      <w:r w:rsidRPr="009E397E">
        <w:rPr>
          <w:lang w:val="en-US"/>
        </w:rPr>
        <w:t xml:space="preserve"> mental health professionals at </w:t>
      </w:r>
      <w:proofErr w:type="spellStart"/>
      <w:r w:rsidRPr="009E397E">
        <w:rPr>
          <w:lang w:val="en-US"/>
        </w:rPr>
        <w:t>MindSpot</w:t>
      </w:r>
      <w:proofErr w:type="spellEnd"/>
      <w:r w:rsidR="00335816" w:rsidRPr="009E397E">
        <w:rPr>
          <w:lang w:val="en-US"/>
        </w:rPr>
        <w:t>,</w:t>
      </w:r>
      <w:r w:rsidRPr="009E397E">
        <w:rPr>
          <w:lang w:val="en-US"/>
        </w:rPr>
        <w:t xml:space="preserve"> and the consumer’s own health professional externally at THIS WAY UP. These nuances should be kept in mind when interpreting data differences between the services, which is not the intended purpose of the evaluation.</w:t>
      </w:r>
    </w:p>
    <w:p w14:paraId="2CC970A6" w14:textId="77777777" w:rsidR="003D041D" w:rsidRPr="003D041D" w:rsidRDefault="003D041D" w:rsidP="003D041D">
      <w:pPr>
        <w:rPr>
          <w:lang w:val="en-US" w:bidi="th-TH"/>
        </w:rPr>
      </w:pPr>
    </w:p>
    <w:p w14:paraId="53394E49" w14:textId="5DD9B7F7" w:rsidR="003D041D" w:rsidRPr="003D041D" w:rsidRDefault="003D041D" w:rsidP="003D041D">
      <w:pPr>
        <w:rPr>
          <w:lang w:val="en-US" w:bidi="th-TH"/>
        </w:rPr>
        <w:sectPr w:rsidR="003D041D" w:rsidRPr="003D041D" w:rsidSect="007A2CB6">
          <w:footerReference w:type="default" r:id="rId13"/>
          <w:pgSz w:w="11906" w:h="16838"/>
          <w:pgMar w:top="1440" w:right="1440" w:bottom="1440" w:left="1440" w:header="708" w:footer="708" w:gutter="0"/>
          <w:pgNumType w:start="1"/>
          <w:cols w:space="708"/>
          <w:docGrid w:linePitch="360"/>
        </w:sectPr>
      </w:pPr>
    </w:p>
    <w:p w14:paraId="5865AD4B" w14:textId="602CE6B1" w:rsidR="00123751" w:rsidRPr="00F5587F" w:rsidRDefault="00123751" w:rsidP="003D1CA1">
      <w:pPr>
        <w:pStyle w:val="tableheading"/>
      </w:pPr>
      <w:r w:rsidRPr="00F5587F">
        <w:lastRenderedPageBreak/>
        <w:t>Table 2. Mental Health Online service delivery characteristics</w:t>
      </w:r>
    </w:p>
    <w:tbl>
      <w:tblPr>
        <w:tblStyle w:val="GridTable4"/>
        <w:tblW w:w="5000" w:type="pct"/>
        <w:jc w:val="center"/>
        <w:tblLook w:val="06A0" w:firstRow="1" w:lastRow="0" w:firstColumn="1" w:lastColumn="0" w:noHBand="1" w:noVBand="1"/>
        <w:tblCaption w:val="Table 2. Mental Health Online service delivery characteristics"/>
        <w:tblDescription w:val="Table describing Mental Health Online service delivery characteristics"/>
      </w:tblPr>
      <w:tblGrid>
        <w:gridCol w:w="1218"/>
        <w:gridCol w:w="854"/>
        <w:gridCol w:w="1098"/>
        <w:gridCol w:w="1728"/>
        <w:gridCol w:w="980"/>
        <w:gridCol w:w="1265"/>
        <w:gridCol w:w="1048"/>
        <w:gridCol w:w="974"/>
        <w:gridCol w:w="1668"/>
        <w:gridCol w:w="1104"/>
        <w:gridCol w:w="890"/>
        <w:gridCol w:w="1121"/>
      </w:tblGrid>
      <w:tr w:rsidR="00123751" w:rsidRPr="0077400E" w14:paraId="05DF1C6A" w14:textId="77777777" w:rsidTr="00EF0336">
        <w:trPr>
          <w:cnfStyle w:val="100000000000" w:firstRow="1" w:lastRow="0" w:firstColumn="0" w:lastColumn="0" w:oddVBand="0" w:evenVBand="0" w:oddHBand="0" w:evenHBand="0" w:firstRowFirstColumn="0" w:firstRowLastColumn="0" w:lastRowFirstColumn="0" w:lastRowLastColumn="0"/>
          <w:trHeight w:val="238"/>
          <w:jc w:val="center"/>
        </w:trPr>
        <w:tc>
          <w:tcPr>
            <w:cnfStyle w:val="001000000000" w:firstRow="0" w:lastRow="0" w:firstColumn="1" w:lastColumn="0" w:oddVBand="0" w:evenVBand="0" w:oddHBand="0" w:evenHBand="0" w:firstRowFirstColumn="0" w:firstRowLastColumn="0" w:lastRowFirstColumn="0" w:lastRowLastColumn="0"/>
            <w:tcW w:w="463" w:type="pct"/>
            <w:vMerge w:val="restart"/>
            <w:tcBorders>
              <w:top w:val="single" w:sz="4" w:space="0" w:color="auto"/>
              <w:left w:val="single" w:sz="4" w:space="0" w:color="auto"/>
              <w:bottom w:val="single" w:sz="4" w:space="0" w:color="FFFFFF" w:themeColor="background1"/>
              <w:right w:val="single" w:sz="4" w:space="0" w:color="FFFFFF" w:themeColor="background1"/>
            </w:tcBorders>
          </w:tcPr>
          <w:p w14:paraId="4FB605E3" w14:textId="77777777" w:rsidR="00123751" w:rsidRPr="0077400E" w:rsidRDefault="00123751" w:rsidP="00F5587F">
            <w:pPr>
              <w:jc w:val="center"/>
              <w:rPr>
                <w:rFonts w:asciiTheme="minorHAnsi" w:hAnsiTheme="minorHAnsi" w:cstheme="minorHAnsi"/>
                <w:sz w:val="16"/>
                <w:szCs w:val="16"/>
              </w:rPr>
            </w:pPr>
            <w:r w:rsidRPr="0077400E">
              <w:rPr>
                <w:rFonts w:asciiTheme="minorHAnsi" w:hAnsiTheme="minorHAnsi" w:cstheme="minorHAnsi"/>
                <w:sz w:val="16"/>
                <w:szCs w:val="16"/>
              </w:rPr>
              <w:t>Aim</w:t>
            </w:r>
          </w:p>
        </w:tc>
        <w:tc>
          <w:tcPr>
            <w:tcW w:w="283" w:type="pct"/>
            <w:vMerge w:val="restart"/>
            <w:tcBorders>
              <w:top w:val="single" w:sz="4" w:space="0" w:color="auto"/>
              <w:left w:val="single" w:sz="4" w:space="0" w:color="FFFFFF" w:themeColor="background1"/>
              <w:bottom w:val="single" w:sz="4" w:space="0" w:color="FFFFFF" w:themeColor="background1"/>
              <w:right w:val="single" w:sz="4" w:space="0" w:color="FFFFFF" w:themeColor="background1"/>
            </w:tcBorders>
          </w:tcPr>
          <w:p w14:paraId="150CC808" w14:textId="77777777" w:rsidR="00123751" w:rsidRPr="0077400E"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7400E">
              <w:rPr>
                <w:rFonts w:asciiTheme="minorHAnsi" w:hAnsiTheme="minorHAnsi" w:cstheme="minorHAnsi"/>
                <w:sz w:val="16"/>
                <w:szCs w:val="16"/>
              </w:rPr>
              <w:t>Launched</w:t>
            </w:r>
          </w:p>
        </w:tc>
        <w:tc>
          <w:tcPr>
            <w:tcW w:w="1854" w:type="pct"/>
            <w:gridSpan w:val="4"/>
            <w:tcBorders>
              <w:top w:val="single" w:sz="4" w:space="0" w:color="auto"/>
              <w:left w:val="single" w:sz="4" w:space="0" w:color="FFFFFF" w:themeColor="background1"/>
              <w:bottom w:val="single" w:sz="4" w:space="0" w:color="FFFFFF" w:themeColor="background1"/>
              <w:right w:val="single" w:sz="4" w:space="0" w:color="FFFFFF" w:themeColor="background1"/>
            </w:tcBorders>
          </w:tcPr>
          <w:p w14:paraId="2662AA55" w14:textId="77777777" w:rsidR="00123751" w:rsidRPr="0077400E"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7400E">
              <w:rPr>
                <w:rFonts w:asciiTheme="minorHAnsi" w:hAnsiTheme="minorHAnsi" w:cstheme="minorHAnsi"/>
                <w:sz w:val="16"/>
                <w:szCs w:val="16"/>
              </w:rPr>
              <w:t>Services offered</w:t>
            </w:r>
          </w:p>
        </w:tc>
        <w:tc>
          <w:tcPr>
            <w:tcW w:w="379" w:type="pct"/>
            <w:vMerge w:val="restart"/>
            <w:tcBorders>
              <w:top w:val="single" w:sz="4" w:space="0" w:color="auto"/>
              <w:left w:val="single" w:sz="4" w:space="0" w:color="FFFFFF" w:themeColor="background1"/>
              <w:bottom w:val="single" w:sz="4" w:space="0" w:color="FFFFFF" w:themeColor="background1"/>
              <w:right w:val="single" w:sz="4" w:space="0" w:color="FFFFFF" w:themeColor="background1"/>
            </w:tcBorders>
          </w:tcPr>
          <w:p w14:paraId="322D4709" w14:textId="77777777" w:rsidR="00123751" w:rsidRPr="0077400E"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7400E">
              <w:rPr>
                <w:rFonts w:asciiTheme="minorHAnsi" w:hAnsiTheme="minorHAnsi" w:cstheme="minorHAnsi"/>
                <w:sz w:val="16"/>
                <w:szCs w:val="16"/>
              </w:rPr>
              <w:t>Conditions</w:t>
            </w:r>
          </w:p>
          <w:p w14:paraId="0E0AFB0A" w14:textId="77777777" w:rsidR="00123751" w:rsidRPr="0077400E" w:rsidRDefault="00123751" w:rsidP="00F5587F">
            <w:pPr>
              <w:tabs>
                <w:tab w:val="left" w:pos="125"/>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7400E">
              <w:rPr>
                <w:rFonts w:asciiTheme="minorHAnsi" w:hAnsiTheme="minorHAnsi" w:cstheme="minorHAnsi"/>
                <w:sz w:val="16"/>
                <w:szCs w:val="16"/>
              </w:rPr>
              <w:t>treated</w:t>
            </w:r>
          </w:p>
        </w:tc>
        <w:tc>
          <w:tcPr>
            <w:tcW w:w="323" w:type="pct"/>
            <w:vMerge w:val="restart"/>
            <w:tcBorders>
              <w:top w:val="single" w:sz="4" w:space="0" w:color="auto"/>
              <w:left w:val="single" w:sz="4" w:space="0" w:color="FFFFFF" w:themeColor="background1"/>
              <w:bottom w:val="single" w:sz="4" w:space="0" w:color="FFFFFF" w:themeColor="background1"/>
              <w:right w:val="single" w:sz="4" w:space="0" w:color="FFFFFF" w:themeColor="background1"/>
            </w:tcBorders>
          </w:tcPr>
          <w:p w14:paraId="564D6F25" w14:textId="77777777" w:rsidR="00123751" w:rsidRPr="0077400E"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7400E">
              <w:rPr>
                <w:rFonts w:asciiTheme="minorHAnsi" w:hAnsiTheme="minorHAnsi" w:cstheme="minorHAnsi"/>
                <w:sz w:val="16"/>
                <w:szCs w:val="16"/>
              </w:rPr>
              <w:t>Treatment course structure</w:t>
            </w:r>
          </w:p>
        </w:tc>
        <w:tc>
          <w:tcPr>
            <w:tcW w:w="656" w:type="pct"/>
            <w:vMerge w:val="restart"/>
            <w:tcBorders>
              <w:top w:val="single" w:sz="4" w:space="0" w:color="auto"/>
              <w:left w:val="single" w:sz="4" w:space="0" w:color="FFFFFF" w:themeColor="background1"/>
              <w:bottom w:val="single" w:sz="4" w:space="0" w:color="FFFFFF" w:themeColor="background1"/>
              <w:right w:val="single" w:sz="4" w:space="0" w:color="FFFFFF" w:themeColor="background1"/>
            </w:tcBorders>
          </w:tcPr>
          <w:p w14:paraId="73ADC757" w14:textId="77777777" w:rsidR="00123751" w:rsidRPr="0077400E"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highlight w:val="yellow"/>
              </w:rPr>
            </w:pPr>
            <w:r w:rsidRPr="0077400E">
              <w:rPr>
                <w:rFonts w:asciiTheme="minorHAnsi" w:hAnsiTheme="minorHAnsi" w:cstheme="minorHAnsi"/>
                <w:sz w:val="16"/>
                <w:szCs w:val="16"/>
              </w:rPr>
              <w:t>Therapist support</w:t>
            </w:r>
          </w:p>
        </w:tc>
        <w:tc>
          <w:tcPr>
            <w:tcW w:w="369" w:type="pct"/>
            <w:vMerge w:val="restart"/>
            <w:tcBorders>
              <w:top w:val="single" w:sz="4" w:space="0" w:color="auto"/>
              <w:left w:val="single" w:sz="4" w:space="0" w:color="FFFFFF" w:themeColor="background1"/>
              <w:bottom w:val="single" w:sz="4" w:space="0" w:color="FFFFFF" w:themeColor="background1"/>
              <w:right w:val="single" w:sz="4" w:space="0" w:color="FFFFFF" w:themeColor="background1"/>
            </w:tcBorders>
          </w:tcPr>
          <w:p w14:paraId="6CC539D5" w14:textId="77777777" w:rsidR="00123751" w:rsidRPr="0077400E"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7400E">
              <w:rPr>
                <w:rFonts w:asciiTheme="minorHAnsi" w:hAnsiTheme="minorHAnsi" w:cstheme="minorHAnsi"/>
                <w:sz w:val="16"/>
                <w:szCs w:val="16"/>
              </w:rPr>
              <w:t>Demographic</w:t>
            </w:r>
          </w:p>
        </w:tc>
        <w:tc>
          <w:tcPr>
            <w:tcW w:w="302" w:type="pct"/>
            <w:vMerge w:val="restart"/>
            <w:tcBorders>
              <w:top w:val="single" w:sz="4" w:space="0" w:color="auto"/>
              <w:left w:val="single" w:sz="4" w:space="0" w:color="FFFFFF" w:themeColor="background1"/>
              <w:bottom w:val="single" w:sz="4" w:space="0" w:color="FFFFFF" w:themeColor="background1"/>
              <w:right w:val="single" w:sz="4" w:space="0" w:color="FFFFFF" w:themeColor="background1"/>
            </w:tcBorders>
          </w:tcPr>
          <w:p w14:paraId="65488980" w14:textId="77777777" w:rsidR="00123751" w:rsidRPr="0077400E"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7400E">
              <w:rPr>
                <w:rFonts w:asciiTheme="minorHAnsi" w:hAnsiTheme="minorHAnsi" w:cstheme="minorHAnsi"/>
                <w:sz w:val="16"/>
                <w:szCs w:val="16"/>
              </w:rPr>
              <w:t>Cost to Consumer</w:t>
            </w:r>
          </w:p>
        </w:tc>
        <w:tc>
          <w:tcPr>
            <w:tcW w:w="371" w:type="pct"/>
            <w:vMerge w:val="restart"/>
            <w:tcBorders>
              <w:top w:val="single" w:sz="4" w:space="0" w:color="auto"/>
              <w:left w:val="single" w:sz="4" w:space="0" w:color="FFFFFF" w:themeColor="background1"/>
              <w:bottom w:val="single" w:sz="4" w:space="0" w:color="FFFFFF" w:themeColor="background1"/>
              <w:right w:val="single" w:sz="4" w:space="0" w:color="auto"/>
            </w:tcBorders>
          </w:tcPr>
          <w:p w14:paraId="2ACFEDB6" w14:textId="77777777" w:rsidR="00123751" w:rsidRPr="0077400E"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7400E">
              <w:rPr>
                <w:rFonts w:asciiTheme="minorHAnsi" w:hAnsiTheme="minorHAnsi" w:cstheme="minorHAnsi"/>
                <w:sz w:val="16"/>
                <w:szCs w:val="16"/>
              </w:rPr>
              <w:t>Psychology</w:t>
            </w:r>
          </w:p>
        </w:tc>
      </w:tr>
      <w:tr w:rsidR="001F680F" w:rsidRPr="0077400E" w14:paraId="7571D4DB" w14:textId="77777777" w:rsidTr="00EF0336">
        <w:trPr>
          <w:trHeight w:val="597"/>
          <w:jc w:val="center"/>
        </w:trPr>
        <w:tc>
          <w:tcPr>
            <w:cnfStyle w:val="001000000000" w:firstRow="0" w:lastRow="0" w:firstColumn="1" w:lastColumn="0" w:oddVBand="0" w:evenVBand="0" w:oddHBand="0" w:evenHBand="0" w:firstRowFirstColumn="0" w:firstRowLastColumn="0" w:lastRowFirstColumn="0" w:lastRowLastColumn="0"/>
            <w:tcW w:w="463" w:type="pct"/>
            <w:vMerge/>
            <w:tcBorders>
              <w:top w:val="single" w:sz="4" w:space="0" w:color="FFFFFF" w:themeColor="background1"/>
              <w:left w:val="single" w:sz="4" w:space="0" w:color="auto"/>
              <w:bottom w:val="single" w:sz="4" w:space="0" w:color="auto"/>
              <w:right w:val="single" w:sz="4" w:space="0" w:color="FFFFFF" w:themeColor="background1"/>
            </w:tcBorders>
            <w:shd w:val="clear" w:color="auto" w:fill="000000" w:themeFill="text1"/>
          </w:tcPr>
          <w:p w14:paraId="5B51B1F3" w14:textId="77777777" w:rsidR="00123751" w:rsidRPr="0077400E" w:rsidRDefault="00123751" w:rsidP="00392119">
            <w:pPr>
              <w:jc w:val="center"/>
              <w:rPr>
                <w:rFonts w:asciiTheme="minorHAnsi" w:hAnsiTheme="minorHAnsi" w:cstheme="minorHAnsi"/>
                <w:b w:val="0"/>
                <w:bCs w:val="0"/>
                <w:color w:val="FFFFFF" w:themeColor="background1"/>
                <w:sz w:val="16"/>
                <w:szCs w:val="16"/>
              </w:rPr>
            </w:pPr>
          </w:p>
        </w:tc>
        <w:tc>
          <w:tcPr>
            <w:tcW w:w="283" w:type="pct"/>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68248DE4" w14:textId="77777777" w:rsidR="00123751" w:rsidRPr="0077400E" w:rsidRDefault="00123751" w:rsidP="0039211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p>
        </w:tc>
        <w:tc>
          <w:tcPr>
            <w:tcW w:w="420" w:type="pc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5D646321" w14:textId="77777777" w:rsidR="00123751" w:rsidRPr="0077400E" w:rsidRDefault="00123751" w:rsidP="00392119">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FFFFFF" w:themeColor="background1"/>
                <w:sz w:val="16"/>
                <w:szCs w:val="16"/>
              </w:rPr>
            </w:pPr>
            <w:r w:rsidRPr="0077400E">
              <w:rPr>
                <w:rFonts w:asciiTheme="minorHAnsi" w:hAnsiTheme="minorHAnsi" w:cstheme="minorHAnsi"/>
                <w:b/>
                <w:bCs/>
                <w:color w:val="FFFFFF" w:themeColor="background1"/>
                <w:sz w:val="16"/>
                <w:szCs w:val="16"/>
              </w:rPr>
              <w:t>Information</w:t>
            </w:r>
          </w:p>
        </w:tc>
        <w:tc>
          <w:tcPr>
            <w:tcW w:w="646" w:type="pc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6F3BDA21" w14:textId="77777777" w:rsidR="00123751" w:rsidRPr="0077400E" w:rsidRDefault="00123751" w:rsidP="0039211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FFFFFF" w:themeColor="background1"/>
                <w:sz w:val="16"/>
                <w:szCs w:val="16"/>
                <w:lang w:val="en-GB"/>
              </w:rPr>
            </w:pPr>
            <w:r w:rsidRPr="0077400E">
              <w:rPr>
                <w:rFonts w:asciiTheme="minorHAnsi" w:hAnsiTheme="minorHAnsi" w:cstheme="minorHAnsi"/>
                <w:b/>
                <w:bCs/>
                <w:color w:val="FFFFFF" w:themeColor="background1"/>
                <w:sz w:val="16"/>
                <w:szCs w:val="16"/>
              </w:rPr>
              <w:t>Assessment</w:t>
            </w:r>
          </w:p>
        </w:tc>
        <w:tc>
          <w:tcPr>
            <w:tcW w:w="369" w:type="pc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662C0877" w14:textId="77777777" w:rsidR="00123751" w:rsidRPr="0077400E" w:rsidRDefault="00123751" w:rsidP="0039211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FFFFFF" w:themeColor="background1"/>
                <w:sz w:val="16"/>
                <w:szCs w:val="16"/>
              </w:rPr>
            </w:pPr>
            <w:r w:rsidRPr="0077400E">
              <w:rPr>
                <w:rFonts w:asciiTheme="minorHAnsi" w:hAnsiTheme="minorHAnsi" w:cstheme="minorHAnsi"/>
                <w:b/>
                <w:bCs/>
                <w:color w:val="FFFFFF" w:themeColor="background1"/>
                <w:sz w:val="16"/>
                <w:szCs w:val="16"/>
              </w:rPr>
              <w:t>Online treatment</w:t>
            </w:r>
          </w:p>
        </w:tc>
        <w:tc>
          <w:tcPr>
            <w:tcW w:w="419" w:type="pc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424DAD66" w14:textId="77777777" w:rsidR="00123751" w:rsidRPr="0077400E" w:rsidRDefault="00123751" w:rsidP="0039211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FFFFFF" w:themeColor="background1"/>
                <w:sz w:val="16"/>
                <w:szCs w:val="16"/>
              </w:rPr>
            </w:pPr>
            <w:r w:rsidRPr="0077400E">
              <w:rPr>
                <w:rFonts w:asciiTheme="minorHAnsi" w:hAnsiTheme="minorHAnsi" w:cstheme="minorHAnsi"/>
                <w:b/>
                <w:bCs/>
                <w:color w:val="FFFFFF" w:themeColor="background1"/>
                <w:sz w:val="16"/>
                <w:szCs w:val="16"/>
              </w:rPr>
              <w:t>Virtual reality mindfulness</w:t>
            </w:r>
          </w:p>
        </w:tc>
        <w:tc>
          <w:tcPr>
            <w:tcW w:w="379" w:type="pct"/>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3901F8AC" w14:textId="77777777" w:rsidR="00123751" w:rsidRPr="0077400E" w:rsidRDefault="00123751" w:rsidP="0039211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FFFFFF" w:themeColor="background1"/>
                <w:sz w:val="16"/>
                <w:szCs w:val="16"/>
              </w:rPr>
            </w:pPr>
          </w:p>
        </w:tc>
        <w:tc>
          <w:tcPr>
            <w:tcW w:w="323" w:type="pct"/>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1BADB76D" w14:textId="77777777" w:rsidR="00123751" w:rsidRPr="0077400E" w:rsidRDefault="00123751" w:rsidP="0039211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p>
        </w:tc>
        <w:tc>
          <w:tcPr>
            <w:tcW w:w="656" w:type="pct"/>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72629B60" w14:textId="77777777" w:rsidR="00123751" w:rsidRPr="0077400E" w:rsidRDefault="00123751" w:rsidP="0039211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p>
        </w:tc>
        <w:tc>
          <w:tcPr>
            <w:tcW w:w="369" w:type="pct"/>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4BEF965A" w14:textId="77777777" w:rsidR="00123751" w:rsidRPr="0077400E" w:rsidRDefault="00123751" w:rsidP="0039211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p>
        </w:tc>
        <w:tc>
          <w:tcPr>
            <w:tcW w:w="302" w:type="pct"/>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tcPr>
          <w:p w14:paraId="4167EADD" w14:textId="77777777" w:rsidR="00123751" w:rsidRPr="0077400E" w:rsidRDefault="00123751" w:rsidP="0039211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p>
        </w:tc>
        <w:tc>
          <w:tcPr>
            <w:tcW w:w="371" w:type="pct"/>
            <w:vMerge/>
            <w:tcBorders>
              <w:top w:val="single" w:sz="4" w:space="0" w:color="FFFFFF" w:themeColor="background1"/>
              <w:left w:val="single" w:sz="4" w:space="0" w:color="FFFFFF" w:themeColor="background1"/>
              <w:bottom w:val="single" w:sz="4" w:space="0" w:color="auto"/>
              <w:right w:val="single" w:sz="4" w:space="0" w:color="auto"/>
            </w:tcBorders>
            <w:shd w:val="clear" w:color="auto" w:fill="000000" w:themeFill="text1"/>
          </w:tcPr>
          <w:p w14:paraId="4AA9F6E7" w14:textId="77777777" w:rsidR="00123751" w:rsidRPr="0077400E" w:rsidRDefault="00123751" w:rsidP="0039211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p>
        </w:tc>
      </w:tr>
      <w:tr w:rsidR="00123751" w:rsidRPr="0077400E" w14:paraId="270403F8" w14:textId="77777777" w:rsidTr="00EF0336">
        <w:trPr>
          <w:trHeight w:val="5976"/>
          <w:jc w:val="center"/>
        </w:trPr>
        <w:tc>
          <w:tcPr>
            <w:cnfStyle w:val="001000000000" w:firstRow="0" w:lastRow="0" w:firstColumn="1" w:lastColumn="0" w:oddVBand="0" w:evenVBand="0" w:oddHBand="0" w:evenHBand="0" w:firstRowFirstColumn="0" w:firstRowLastColumn="0" w:lastRowFirstColumn="0" w:lastRowLastColumn="0"/>
            <w:tcW w:w="463" w:type="pct"/>
            <w:tcBorders>
              <w:top w:val="single" w:sz="4" w:space="0" w:color="auto"/>
              <w:left w:val="single" w:sz="4" w:space="0" w:color="auto"/>
              <w:bottom w:val="single" w:sz="4" w:space="0" w:color="auto"/>
              <w:right w:val="single" w:sz="4" w:space="0" w:color="auto"/>
            </w:tcBorders>
            <w:shd w:val="clear" w:color="auto" w:fill="auto"/>
          </w:tcPr>
          <w:p w14:paraId="2AFFC6B4" w14:textId="77777777" w:rsidR="00123751" w:rsidRPr="0077400E" w:rsidRDefault="00123751" w:rsidP="00392119">
            <w:pPr>
              <w:rPr>
                <w:rFonts w:asciiTheme="minorHAnsi" w:hAnsiTheme="minorHAnsi" w:cstheme="minorHAnsi"/>
                <w:b w:val="0"/>
                <w:bCs w:val="0"/>
                <w:color w:val="000000" w:themeColor="text1"/>
                <w:sz w:val="16"/>
                <w:szCs w:val="16"/>
              </w:rPr>
            </w:pPr>
            <w:r w:rsidRPr="0077400E">
              <w:rPr>
                <w:rFonts w:asciiTheme="minorHAnsi" w:hAnsiTheme="minorHAnsi" w:cstheme="minorHAnsi"/>
                <w:b w:val="0"/>
                <w:bCs w:val="0"/>
                <w:color w:val="000000"/>
                <w:sz w:val="16"/>
                <w:szCs w:val="16"/>
              </w:rPr>
              <w:t xml:space="preserve">Offer self-directed and supported services to help people experiencing mental health difficulties, including anxiety and depression. </w:t>
            </w:r>
          </w:p>
        </w:tc>
        <w:tc>
          <w:tcPr>
            <w:tcW w:w="283" w:type="pct"/>
            <w:tcBorders>
              <w:top w:val="single" w:sz="4" w:space="0" w:color="auto"/>
              <w:left w:val="single" w:sz="4" w:space="0" w:color="auto"/>
              <w:bottom w:val="single" w:sz="4" w:space="0" w:color="auto"/>
              <w:right w:val="single" w:sz="4" w:space="0" w:color="auto"/>
            </w:tcBorders>
            <w:shd w:val="clear" w:color="auto" w:fill="auto"/>
          </w:tcPr>
          <w:p w14:paraId="3176A5A8" w14:textId="77777777" w:rsidR="00123751" w:rsidRPr="0077400E" w:rsidRDefault="00123751" w:rsidP="0039211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6"/>
                <w:szCs w:val="16"/>
              </w:rPr>
            </w:pPr>
            <w:r w:rsidRPr="0077400E">
              <w:rPr>
                <w:rFonts w:asciiTheme="minorHAnsi" w:hAnsiTheme="minorHAnsi" w:cstheme="minorHAnsi"/>
                <w:color w:val="000000" w:themeColor="text1"/>
                <w:sz w:val="16"/>
                <w:szCs w:val="16"/>
              </w:rPr>
              <w:t>2009</w:t>
            </w:r>
          </w:p>
        </w:tc>
        <w:tc>
          <w:tcPr>
            <w:tcW w:w="420" w:type="pct"/>
            <w:tcBorders>
              <w:top w:val="single" w:sz="4" w:space="0" w:color="auto"/>
              <w:left w:val="single" w:sz="4" w:space="0" w:color="auto"/>
              <w:bottom w:val="single" w:sz="4" w:space="0" w:color="auto"/>
              <w:right w:val="single" w:sz="4" w:space="0" w:color="auto"/>
            </w:tcBorders>
            <w:shd w:val="clear" w:color="auto" w:fill="auto"/>
          </w:tcPr>
          <w:p w14:paraId="2FBDF5B3" w14:textId="12C2DC75"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7400E">
              <w:rPr>
                <w:color w:val="000000" w:themeColor="text1"/>
                <w:sz w:val="16"/>
                <w:szCs w:val="16"/>
                <w:lang w:val="en-GB"/>
              </w:rPr>
              <w:t>Mental health information and where to get help available via website.</w:t>
            </w:r>
          </w:p>
          <w:p w14:paraId="25879B70" w14:textId="77777777"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7400E">
              <w:rPr>
                <w:color w:val="000000" w:themeColor="text1"/>
                <w:sz w:val="16"/>
                <w:szCs w:val="16"/>
                <w:lang w:val="en-GB"/>
              </w:rPr>
              <w:t>Tens of thousands of unique website visitors per year.</w:t>
            </w:r>
          </w:p>
        </w:tc>
        <w:tc>
          <w:tcPr>
            <w:tcW w:w="646" w:type="pct"/>
            <w:tcBorders>
              <w:top w:val="single" w:sz="4" w:space="0" w:color="auto"/>
              <w:left w:val="single" w:sz="4" w:space="0" w:color="auto"/>
              <w:bottom w:val="single" w:sz="4" w:space="0" w:color="auto"/>
              <w:right w:val="single" w:sz="4" w:space="0" w:color="auto"/>
            </w:tcBorders>
            <w:shd w:val="clear" w:color="auto" w:fill="auto"/>
          </w:tcPr>
          <w:p w14:paraId="5E62CF22" w14:textId="69D99D81"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7400E">
              <w:rPr>
                <w:color w:val="000000" w:themeColor="text1"/>
                <w:sz w:val="16"/>
                <w:szCs w:val="16"/>
                <w:lang w:val="en-GB"/>
              </w:rPr>
              <w:t xml:space="preserve">Includes (now optional) comprehensive </w:t>
            </w:r>
            <w:r w:rsidR="00FA2893" w:rsidRPr="00FA2893">
              <w:rPr>
                <w:color w:val="000000" w:themeColor="text1"/>
                <w:sz w:val="16"/>
                <w:szCs w:val="16"/>
                <w:lang w:val="en-GB"/>
              </w:rPr>
              <w:t xml:space="preserve">electronic psychological assessment screening system </w:t>
            </w:r>
            <w:r w:rsidRPr="0077400E">
              <w:rPr>
                <w:color w:val="000000" w:themeColor="text1"/>
                <w:sz w:val="16"/>
                <w:szCs w:val="16"/>
                <w:lang w:val="en-GB"/>
              </w:rPr>
              <w:t>(</w:t>
            </w:r>
            <w:proofErr w:type="spellStart"/>
            <w:r w:rsidRPr="0077400E">
              <w:rPr>
                <w:color w:val="000000" w:themeColor="text1"/>
                <w:sz w:val="16"/>
                <w:szCs w:val="16"/>
                <w:lang w:val="en-GB"/>
              </w:rPr>
              <w:t>ePASS</w:t>
            </w:r>
            <w:proofErr w:type="spellEnd"/>
            <w:r w:rsidRPr="0077400E">
              <w:rPr>
                <w:color w:val="000000" w:themeColor="text1"/>
                <w:sz w:val="16"/>
                <w:szCs w:val="16"/>
                <w:lang w:val="en-GB"/>
              </w:rPr>
              <w:t>) to assess type and severity of difficulties, and suggest treatments, including Mental Health Online programs and therapist support.</w:t>
            </w:r>
          </w:p>
          <w:p w14:paraId="5C7C5213" w14:textId="1B2A6F3E" w:rsidR="00262661" w:rsidRPr="0077400E" w:rsidRDefault="0026266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Pr>
                <w:color w:val="000000" w:themeColor="text1"/>
                <w:sz w:val="16"/>
                <w:szCs w:val="16"/>
                <w:lang w:val="en-GB"/>
              </w:rPr>
              <w:t>Phone intake assessment</w:t>
            </w:r>
            <w:r w:rsidR="00B871B7">
              <w:rPr>
                <w:color w:val="000000" w:themeColor="text1"/>
                <w:sz w:val="16"/>
                <w:szCs w:val="16"/>
                <w:lang w:val="en-GB"/>
              </w:rPr>
              <w:t xml:space="preserve"> with </w:t>
            </w:r>
            <w:r w:rsidR="007A2F4C">
              <w:rPr>
                <w:color w:val="000000" w:themeColor="text1"/>
                <w:sz w:val="16"/>
                <w:szCs w:val="16"/>
                <w:lang w:val="en-GB"/>
              </w:rPr>
              <w:t>focus on</w:t>
            </w:r>
            <w:r w:rsidR="007A2F4C" w:rsidRPr="00262661">
              <w:rPr>
                <w:color w:val="000000" w:themeColor="text1"/>
                <w:sz w:val="16"/>
                <w:szCs w:val="16"/>
                <w:lang w:val="en-GB"/>
              </w:rPr>
              <w:t xml:space="preserve"> </w:t>
            </w:r>
            <w:r w:rsidR="00B871B7" w:rsidRPr="00262661">
              <w:rPr>
                <w:color w:val="000000" w:themeColor="text1"/>
                <w:sz w:val="16"/>
                <w:szCs w:val="16"/>
                <w:lang w:val="en-GB"/>
              </w:rPr>
              <w:t>risk and need</w:t>
            </w:r>
            <w:r w:rsidR="00B871B7">
              <w:rPr>
                <w:color w:val="000000" w:themeColor="text1"/>
                <w:sz w:val="16"/>
                <w:szCs w:val="16"/>
                <w:lang w:val="en-GB"/>
              </w:rPr>
              <w:t>s of c</w:t>
            </w:r>
            <w:r>
              <w:rPr>
                <w:color w:val="000000" w:themeColor="text1"/>
                <w:sz w:val="16"/>
                <w:szCs w:val="16"/>
                <w:lang w:val="en-GB"/>
              </w:rPr>
              <w:t>onsumer</w:t>
            </w:r>
            <w:r w:rsidRPr="00262661">
              <w:rPr>
                <w:color w:val="000000" w:themeColor="text1"/>
                <w:sz w:val="16"/>
                <w:szCs w:val="16"/>
                <w:lang w:val="en-GB"/>
              </w:rPr>
              <w:t>s registering for therapist support</w:t>
            </w:r>
            <w:r w:rsidR="00B871B7">
              <w:rPr>
                <w:color w:val="000000" w:themeColor="text1"/>
                <w:sz w:val="16"/>
                <w:szCs w:val="16"/>
                <w:lang w:val="en-GB"/>
              </w:rPr>
              <w:t>.</w:t>
            </w:r>
          </w:p>
          <w:p w14:paraId="0FB13514" w14:textId="17D1E20C"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7400E">
              <w:rPr>
                <w:color w:val="000000" w:themeColor="text1"/>
                <w:sz w:val="16"/>
                <w:szCs w:val="16"/>
                <w:lang w:val="en-GB"/>
              </w:rPr>
              <w:t>Referral alerts to crisis options if indicated</w:t>
            </w:r>
            <w:r w:rsidR="00262661">
              <w:rPr>
                <w:color w:val="000000" w:themeColor="text1"/>
                <w:sz w:val="16"/>
                <w:szCs w:val="16"/>
                <w:lang w:val="en-GB"/>
              </w:rPr>
              <w:t>.</w:t>
            </w:r>
          </w:p>
        </w:tc>
        <w:tc>
          <w:tcPr>
            <w:tcW w:w="369" w:type="pct"/>
            <w:tcBorders>
              <w:top w:val="single" w:sz="4" w:space="0" w:color="auto"/>
              <w:left w:val="single" w:sz="4" w:space="0" w:color="auto"/>
              <w:bottom w:val="single" w:sz="4" w:space="0" w:color="auto"/>
              <w:right w:val="single" w:sz="4" w:space="0" w:color="auto"/>
            </w:tcBorders>
            <w:shd w:val="clear" w:color="auto" w:fill="auto"/>
          </w:tcPr>
          <w:p w14:paraId="1C4DFF0F" w14:textId="77777777"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7400E">
              <w:rPr>
                <w:color w:val="000000" w:themeColor="text1"/>
                <w:sz w:val="16"/>
                <w:szCs w:val="16"/>
                <w:lang w:val="en-GB"/>
              </w:rPr>
              <w:t>7 self-guided online courses</w:t>
            </w:r>
          </w:p>
          <w:p w14:paraId="773E9E2A" w14:textId="23554FD4"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7400E">
              <w:rPr>
                <w:color w:val="000000" w:themeColor="text1"/>
                <w:sz w:val="16"/>
                <w:szCs w:val="16"/>
                <w:lang w:val="en-GB"/>
              </w:rPr>
              <w:t>Optional access to therapist (Therapist Assist Program)</w:t>
            </w:r>
          </w:p>
          <w:p w14:paraId="3846A88B" w14:textId="77777777" w:rsidR="00123751" w:rsidRPr="0077400E" w:rsidRDefault="00123751" w:rsidP="0039211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6"/>
                <w:szCs w:val="16"/>
                <w:lang w:val="en-GB"/>
              </w:rPr>
            </w:pPr>
          </w:p>
        </w:tc>
        <w:tc>
          <w:tcPr>
            <w:tcW w:w="419" w:type="pct"/>
            <w:tcBorders>
              <w:top w:val="single" w:sz="4" w:space="0" w:color="auto"/>
              <w:left w:val="single" w:sz="4" w:space="0" w:color="auto"/>
              <w:bottom w:val="single" w:sz="4" w:space="0" w:color="auto"/>
              <w:right w:val="single" w:sz="4" w:space="0" w:color="auto"/>
            </w:tcBorders>
          </w:tcPr>
          <w:p w14:paraId="09BCBCEF" w14:textId="77777777"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7400E">
              <w:rPr>
                <w:color w:val="000000" w:themeColor="text1"/>
                <w:sz w:val="16"/>
                <w:szCs w:val="16"/>
                <w:lang w:val="en-GB"/>
              </w:rPr>
              <w:t>Series of virtual reality mindfulness practices utilising immersive nature environments.</w:t>
            </w:r>
          </w:p>
          <w:p w14:paraId="28A8C789" w14:textId="77777777"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7400E">
              <w:rPr>
                <w:color w:val="000000" w:themeColor="text1"/>
                <w:sz w:val="16"/>
                <w:szCs w:val="16"/>
                <w:lang w:val="en-GB"/>
              </w:rPr>
              <w:t>Used as standalone tool for practicing mindfulness or together with self-guided programs that use mindfulness.</w:t>
            </w:r>
          </w:p>
        </w:tc>
        <w:tc>
          <w:tcPr>
            <w:tcW w:w="379" w:type="pct"/>
            <w:tcBorders>
              <w:top w:val="single" w:sz="4" w:space="0" w:color="auto"/>
              <w:left w:val="single" w:sz="4" w:space="0" w:color="auto"/>
              <w:bottom w:val="single" w:sz="4" w:space="0" w:color="auto"/>
              <w:right w:val="single" w:sz="4" w:space="0" w:color="auto"/>
            </w:tcBorders>
          </w:tcPr>
          <w:p w14:paraId="6DFB9AC6" w14:textId="77777777"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7400E">
              <w:rPr>
                <w:color w:val="000000" w:themeColor="text1"/>
                <w:sz w:val="16"/>
                <w:szCs w:val="16"/>
                <w:lang w:val="en-GB"/>
              </w:rPr>
              <w:t>Depression</w:t>
            </w:r>
          </w:p>
          <w:p w14:paraId="686D8D1F" w14:textId="77777777"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7400E">
              <w:rPr>
                <w:color w:val="000000" w:themeColor="text1"/>
                <w:sz w:val="16"/>
                <w:szCs w:val="16"/>
                <w:lang w:val="en-GB"/>
              </w:rPr>
              <w:t>GAD</w:t>
            </w:r>
          </w:p>
          <w:p w14:paraId="4DCBCD61" w14:textId="77777777"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7400E">
              <w:rPr>
                <w:color w:val="000000" w:themeColor="text1"/>
                <w:sz w:val="16"/>
                <w:szCs w:val="16"/>
                <w:lang w:val="en-GB"/>
              </w:rPr>
              <w:t>OCD</w:t>
            </w:r>
          </w:p>
          <w:p w14:paraId="1E92EA64" w14:textId="77777777"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7400E">
              <w:rPr>
                <w:color w:val="000000" w:themeColor="text1"/>
                <w:sz w:val="16"/>
                <w:szCs w:val="16"/>
                <w:lang w:val="en-GB"/>
              </w:rPr>
              <w:t>Panic</w:t>
            </w:r>
          </w:p>
          <w:p w14:paraId="0536C43D" w14:textId="77777777"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7400E">
              <w:rPr>
                <w:color w:val="000000" w:themeColor="text1"/>
                <w:sz w:val="16"/>
                <w:szCs w:val="16"/>
                <w:lang w:val="en-GB"/>
              </w:rPr>
              <w:t>PTSD</w:t>
            </w:r>
          </w:p>
          <w:p w14:paraId="21131DB2" w14:textId="77777777"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7400E">
              <w:rPr>
                <w:color w:val="000000" w:themeColor="text1"/>
                <w:sz w:val="16"/>
                <w:szCs w:val="16"/>
                <w:lang w:val="en-GB"/>
              </w:rPr>
              <w:t>Social anxiety</w:t>
            </w:r>
          </w:p>
          <w:p w14:paraId="7566FEB7" w14:textId="77777777"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7400E">
              <w:rPr>
                <w:color w:val="000000" w:themeColor="text1"/>
                <w:sz w:val="16"/>
                <w:szCs w:val="16"/>
                <w:lang w:val="en-GB"/>
              </w:rPr>
              <w:t>Made-4-Me (tailored program)</w:t>
            </w:r>
          </w:p>
        </w:tc>
        <w:tc>
          <w:tcPr>
            <w:tcW w:w="323" w:type="pct"/>
            <w:tcBorders>
              <w:top w:val="single" w:sz="4" w:space="0" w:color="auto"/>
              <w:left w:val="single" w:sz="4" w:space="0" w:color="auto"/>
              <w:bottom w:val="single" w:sz="4" w:space="0" w:color="auto"/>
              <w:right w:val="single" w:sz="4" w:space="0" w:color="auto"/>
            </w:tcBorders>
          </w:tcPr>
          <w:p w14:paraId="0B46B682" w14:textId="77777777"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7400E">
              <w:rPr>
                <w:color w:val="000000" w:themeColor="text1"/>
                <w:sz w:val="16"/>
                <w:szCs w:val="16"/>
                <w:lang w:val="en-GB"/>
              </w:rPr>
              <w:t>12-week programs</w:t>
            </w:r>
          </w:p>
          <w:p w14:paraId="32D44ECD" w14:textId="77777777"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7400E">
              <w:rPr>
                <w:color w:val="000000" w:themeColor="text1"/>
                <w:sz w:val="16"/>
                <w:szCs w:val="16"/>
                <w:lang w:val="en-GB"/>
              </w:rPr>
              <w:t>Materials accessible for 1 year</w:t>
            </w:r>
          </w:p>
        </w:tc>
        <w:tc>
          <w:tcPr>
            <w:tcW w:w="656" w:type="pct"/>
            <w:tcBorders>
              <w:top w:val="single" w:sz="4" w:space="0" w:color="auto"/>
              <w:left w:val="single" w:sz="4" w:space="0" w:color="auto"/>
              <w:bottom w:val="single" w:sz="4" w:space="0" w:color="auto"/>
              <w:right w:val="single" w:sz="4" w:space="0" w:color="auto"/>
            </w:tcBorders>
            <w:shd w:val="clear" w:color="auto" w:fill="auto"/>
          </w:tcPr>
          <w:p w14:paraId="15DFE372" w14:textId="77777777"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7400E">
              <w:rPr>
                <w:color w:val="000000" w:themeColor="text1"/>
                <w:sz w:val="16"/>
                <w:szCs w:val="16"/>
                <w:lang w:val="en-GB"/>
              </w:rPr>
              <w:t>Provided in Therapist Assist Program involving weekly contact over 12 weeks via email, and up to 4 optional live sessions (video or instant messaging). Requires GP/psychologist details as part of risk management processes.</w:t>
            </w:r>
          </w:p>
          <w:p w14:paraId="49253F24" w14:textId="6DE3D717"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7400E">
              <w:rPr>
                <w:color w:val="000000" w:themeColor="text1"/>
                <w:sz w:val="16"/>
                <w:szCs w:val="16"/>
                <w:lang w:val="en-GB"/>
              </w:rPr>
              <w:t>Support provided by provisional psychologists, supervised by registered psychologist.</w:t>
            </w:r>
          </w:p>
          <w:p w14:paraId="34F420CB" w14:textId="77777777"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7400E">
              <w:rPr>
                <w:color w:val="000000" w:themeColor="text1"/>
                <w:sz w:val="16"/>
                <w:szCs w:val="16"/>
                <w:lang w:val="en-GB"/>
              </w:rPr>
              <w:t>Approximately 25 therapists per year support clients in Therapist Assist Program. (2-3 students commence each month and spend approximately 15 weeks with the service).</w:t>
            </w:r>
          </w:p>
        </w:tc>
        <w:tc>
          <w:tcPr>
            <w:tcW w:w="369" w:type="pct"/>
            <w:tcBorders>
              <w:top w:val="single" w:sz="4" w:space="0" w:color="auto"/>
              <w:left w:val="single" w:sz="4" w:space="0" w:color="auto"/>
              <w:bottom w:val="single" w:sz="4" w:space="0" w:color="auto"/>
              <w:right w:val="single" w:sz="4" w:space="0" w:color="auto"/>
            </w:tcBorders>
            <w:shd w:val="clear" w:color="auto" w:fill="auto"/>
          </w:tcPr>
          <w:p w14:paraId="149AE7FC" w14:textId="77777777" w:rsidR="00123751" w:rsidRPr="0077400E" w:rsidRDefault="00123751" w:rsidP="0039211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6"/>
                <w:szCs w:val="16"/>
              </w:rPr>
            </w:pPr>
            <w:r w:rsidRPr="0077400E">
              <w:rPr>
                <w:rFonts w:asciiTheme="minorHAnsi" w:hAnsiTheme="minorHAnsi" w:cstheme="minorHAnsi"/>
                <w:color w:val="000000" w:themeColor="text1"/>
                <w:sz w:val="16"/>
                <w:szCs w:val="16"/>
              </w:rPr>
              <w:t>Adults 18+ years</w:t>
            </w:r>
          </w:p>
        </w:tc>
        <w:tc>
          <w:tcPr>
            <w:tcW w:w="302" w:type="pct"/>
            <w:tcBorders>
              <w:top w:val="single" w:sz="4" w:space="0" w:color="auto"/>
              <w:left w:val="single" w:sz="4" w:space="0" w:color="auto"/>
              <w:bottom w:val="single" w:sz="4" w:space="0" w:color="auto"/>
              <w:right w:val="single" w:sz="4" w:space="0" w:color="auto"/>
            </w:tcBorders>
            <w:shd w:val="clear" w:color="auto" w:fill="auto"/>
          </w:tcPr>
          <w:p w14:paraId="15C27907" w14:textId="77777777" w:rsidR="00123751" w:rsidRPr="0077400E" w:rsidRDefault="00123751" w:rsidP="0039211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6"/>
                <w:szCs w:val="16"/>
              </w:rPr>
            </w:pPr>
            <w:r w:rsidRPr="0077400E">
              <w:rPr>
                <w:rFonts w:asciiTheme="minorHAnsi" w:hAnsiTheme="minorHAnsi" w:cstheme="minorHAnsi"/>
                <w:color w:val="000000" w:themeColor="text1"/>
                <w:sz w:val="16"/>
                <w:szCs w:val="16"/>
              </w:rPr>
              <w:t>No</w:t>
            </w:r>
          </w:p>
        </w:tc>
        <w:tc>
          <w:tcPr>
            <w:tcW w:w="371" w:type="pct"/>
            <w:tcBorders>
              <w:top w:val="single" w:sz="4" w:space="0" w:color="auto"/>
              <w:left w:val="single" w:sz="4" w:space="0" w:color="auto"/>
              <w:bottom w:val="single" w:sz="4" w:space="0" w:color="auto"/>
              <w:right w:val="single" w:sz="4" w:space="0" w:color="auto"/>
            </w:tcBorders>
            <w:shd w:val="clear" w:color="auto" w:fill="auto"/>
          </w:tcPr>
          <w:p w14:paraId="60A9CA26" w14:textId="77777777"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7400E">
              <w:rPr>
                <w:color w:val="000000" w:themeColor="text1"/>
                <w:sz w:val="16"/>
                <w:szCs w:val="16"/>
                <w:lang w:val="en-GB"/>
              </w:rPr>
              <w:t>CBT</w:t>
            </w:r>
          </w:p>
          <w:p w14:paraId="6CBCEE04" w14:textId="77777777"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7400E">
              <w:rPr>
                <w:color w:val="000000" w:themeColor="text1"/>
                <w:sz w:val="16"/>
                <w:szCs w:val="16"/>
                <w:lang w:val="en-GB"/>
              </w:rPr>
              <w:t>Mindfulness</w:t>
            </w:r>
          </w:p>
        </w:tc>
      </w:tr>
    </w:tbl>
    <w:p w14:paraId="601905F4" w14:textId="105DE40A" w:rsidR="00123751" w:rsidRPr="00564CFD" w:rsidRDefault="00564CFD" w:rsidP="00123751">
      <w:pPr>
        <w:rPr>
          <w:rFonts w:asciiTheme="minorHAnsi" w:hAnsiTheme="minorHAnsi" w:cstheme="minorHAnsi"/>
          <w:sz w:val="16"/>
          <w:szCs w:val="16"/>
        </w:rPr>
      </w:pPr>
      <w:r>
        <w:rPr>
          <w:rFonts w:asciiTheme="minorHAnsi" w:hAnsiTheme="minorHAnsi" w:cstheme="minorHAnsi"/>
          <w:sz w:val="16"/>
          <w:szCs w:val="16"/>
        </w:rPr>
        <w:t>CBT, cognitive behavioural therapy; GAD, generalised anxiety disorder; OCD, obsessive compulsive disorder; PTSD, post-traumatic stress disorder.</w:t>
      </w:r>
    </w:p>
    <w:p w14:paraId="3B0638B5" w14:textId="77777777" w:rsidR="00123751" w:rsidRPr="00AA6B28" w:rsidRDefault="00123751" w:rsidP="00123751">
      <w:r w:rsidRPr="00AA6B28">
        <w:br w:type="page"/>
      </w:r>
    </w:p>
    <w:p w14:paraId="78BA5423" w14:textId="7E0988B8" w:rsidR="00123751" w:rsidRPr="00AA6B28" w:rsidRDefault="00123751" w:rsidP="003D1CA1">
      <w:pPr>
        <w:pStyle w:val="tableheading"/>
      </w:pPr>
      <w:r w:rsidRPr="00AA6B28">
        <w:lastRenderedPageBreak/>
        <w:t xml:space="preserve">Table 3. </w:t>
      </w:r>
      <w:proofErr w:type="spellStart"/>
      <w:r w:rsidRPr="00AA6B28">
        <w:t>MindSpot</w:t>
      </w:r>
      <w:proofErr w:type="spellEnd"/>
      <w:r w:rsidRPr="00AA6B28">
        <w:t xml:space="preserve"> service delivery characteristics</w:t>
      </w:r>
    </w:p>
    <w:tbl>
      <w:tblPr>
        <w:tblStyle w:val="GridTable4"/>
        <w:tblW w:w="5000" w:type="pct"/>
        <w:jc w:val="center"/>
        <w:tblLook w:val="06A0" w:firstRow="1" w:lastRow="0" w:firstColumn="1" w:lastColumn="0" w:noHBand="1" w:noVBand="1"/>
        <w:tblCaption w:val="Table 3. MindSpot service delivery characteristics"/>
        <w:tblDescription w:val="Table describing MindSpot service delivery characteristics"/>
      </w:tblPr>
      <w:tblGrid>
        <w:gridCol w:w="1136"/>
        <w:gridCol w:w="854"/>
        <w:gridCol w:w="1093"/>
        <w:gridCol w:w="1803"/>
        <w:gridCol w:w="1037"/>
        <w:gridCol w:w="1188"/>
        <w:gridCol w:w="1063"/>
        <w:gridCol w:w="1274"/>
        <w:gridCol w:w="1293"/>
        <w:gridCol w:w="1104"/>
        <w:gridCol w:w="890"/>
        <w:gridCol w:w="1213"/>
      </w:tblGrid>
      <w:tr w:rsidR="00F5587F" w:rsidRPr="00F5587F" w14:paraId="427AB31B" w14:textId="77777777" w:rsidTr="00F5587F">
        <w:trPr>
          <w:cnfStyle w:val="100000000000" w:firstRow="1" w:lastRow="0" w:firstColumn="0" w:lastColumn="0" w:oddVBand="0" w:evenVBand="0" w:oddHBand="0" w:evenHBand="0" w:firstRowFirstColumn="0" w:firstRowLastColumn="0" w:lastRowFirstColumn="0" w:lastRowLastColumn="0"/>
          <w:trHeight w:val="238"/>
          <w:jc w:val="center"/>
        </w:trPr>
        <w:tc>
          <w:tcPr>
            <w:cnfStyle w:val="001000000000" w:firstRow="0" w:lastRow="0" w:firstColumn="1" w:lastColumn="0" w:oddVBand="0" w:evenVBand="0" w:oddHBand="0" w:evenHBand="0" w:firstRowFirstColumn="0" w:firstRowLastColumn="0" w:lastRowFirstColumn="0" w:lastRowLastColumn="0"/>
            <w:tcW w:w="433" w:type="pct"/>
            <w:vMerge w:val="restart"/>
            <w:tcBorders>
              <w:bottom w:val="nil"/>
              <w:right w:val="single" w:sz="4" w:space="0" w:color="FFFFFF" w:themeColor="background1"/>
            </w:tcBorders>
            <w:vAlign w:val="center"/>
          </w:tcPr>
          <w:p w14:paraId="1F3AC17F" w14:textId="77777777" w:rsidR="00123751" w:rsidRPr="0077400E" w:rsidRDefault="00123751" w:rsidP="00F5587F">
            <w:pPr>
              <w:jc w:val="center"/>
              <w:rPr>
                <w:rFonts w:asciiTheme="minorHAnsi" w:hAnsiTheme="minorHAnsi" w:cstheme="minorHAnsi"/>
                <w:sz w:val="16"/>
                <w:szCs w:val="16"/>
              </w:rPr>
            </w:pPr>
            <w:r w:rsidRPr="0077400E">
              <w:rPr>
                <w:rFonts w:asciiTheme="minorHAnsi" w:hAnsiTheme="minorHAnsi" w:cstheme="minorHAnsi"/>
                <w:sz w:val="16"/>
                <w:szCs w:val="16"/>
              </w:rPr>
              <w:t>Aim</w:t>
            </w:r>
          </w:p>
        </w:tc>
        <w:tc>
          <w:tcPr>
            <w:tcW w:w="306" w:type="pct"/>
            <w:vMerge w:val="restart"/>
            <w:tcBorders>
              <w:left w:val="single" w:sz="4" w:space="0" w:color="FFFFFF" w:themeColor="background1"/>
              <w:bottom w:val="nil"/>
              <w:right w:val="single" w:sz="4" w:space="0" w:color="FFFFFF" w:themeColor="background1"/>
            </w:tcBorders>
            <w:vAlign w:val="center"/>
          </w:tcPr>
          <w:p w14:paraId="2C1DE580" w14:textId="77777777" w:rsidR="00123751" w:rsidRPr="0077400E"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7400E">
              <w:rPr>
                <w:rFonts w:asciiTheme="minorHAnsi" w:hAnsiTheme="minorHAnsi" w:cstheme="minorHAnsi"/>
                <w:sz w:val="16"/>
                <w:szCs w:val="16"/>
              </w:rPr>
              <w:t>Launched</w:t>
            </w:r>
          </w:p>
        </w:tc>
        <w:tc>
          <w:tcPr>
            <w:tcW w:w="1770" w:type="pct"/>
            <w:gridSpan w:val="4"/>
            <w:tcBorders>
              <w:left w:val="single" w:sz="4" w:space="0" w:color="FFFFFF" w:themeColor="background1"/>
              <w:bottom w:val="single" w:sz="4" w:space="0" w:color="FFFFFF" w:themeColor="background1"/>
              <w:right w:val="single" w:sz="4" w:space="0" w:color="FFFFFF" w:themeColor="background1"/>
            </w:tcBorders>
            <w:vAlign w:val="center"/>
          </w:tcPr>
          <w:p w14:paraId="11FA3A77" w14:textId="60429943" w:rsidR="00123751" w:rsidRPr="0077400E"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7400E">
              <w:rPr>
                <w:rFonts w:asciiTheme="minorHAnsi" w:hAnsiTheme="minorHAnsi" w:cstheme="minorHAnsi"/>
                <w:sz w:val="16"/>
                <w:szCs w:val="16"/>
              </w:rPr>
              <w:t>Services offered</w:t>
            </w:r>
          </w:p>
        </w:tc>
        <w:tc>
          <w:tcPr>
            <w:tcW w:w="381" w:type="pct"/>
            <w:vMerge w:val="restart"/>
            <w:tcBorders>
              <w:left w:val="single" w:sz="4" w:space="0" w:color="FFFFFF" w:themeColor="background1"/>
              <w:bottom w:val="nil"/>
              <w:right w:val="single" w:sz="4" w:space="0" w:color="FFFFFF" w:themeColor="background1"/>
            </w:tcBorders>
            <w:vAlign w:val="center"/>
          </w:tcPr>
          <w:p w14:paraId="47A1AE56" w14:textId="77777777" w:rsidR="00123751" w:rsidRPr="0077400E"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7400E">
              <w:rPr>
                <w:rFonts w:asciiTheme="minorHAnsi" w:hAnsiTheme="minorHAnsi" w:cstheme="minorHAnsi"/>
                <w:sz w:val="16"/>
                <w:szCs w:val="16"/>
              </w:rPr>
              <w:t>Conditions</w:t>
            </w:r>
          </w:p>
          <w:p w14:paraId="20AA018B" w14:textId="77777777" w:rsidR="00123751" w:rsidRPr="0077400E"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7400E">
              <w:rPr>
                <w:rFonts w:asciiTheme="minorHAnsi" w:hAnsiTheme="minorHAnsi" w:cstheme="minorHAnsi"/>
                <w:sz w:val="16"/>
                <w:szCs w:val="16"/>
              </w:rPr>
              <w:t>treated</w:t>
            </w:r>
          </w:p>
        </w:tc>
        <w:tc>
          <w:tcPr>
            <w:tcW w:w="470" w:type="pct"/>
            <w:vMerge w:val="restart"/>
            <w:tcBorders>
              <w:left w:val="single" w:sz="4" w:space="0" w:color="FFFFFF" w:themeColor="background1"/>
              <w:bottom w:val="nil"/>
              <w:right w:val="single" w:sz="4" w:space="0" w:color="FFFFFF" w:themeColor="background1"/>
            </w:tcBorders>
            <w:vAlign w:val="center"/>
          </w:tcPr>
          <w:p w14:paraId="350A0558" w14:textId="77777777" w:rsidR="00123751" w:rsidRPr="00F5587F"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7400E">
              <w:rPr>
                <w:rFonts w:asciiTheme="minorHAnsi" w:hAnsiTheme="minorHAnsi" w:cstheme="minorHAnsi"/>
                <w:sz w:val="16"/>
                <w:szCs w:val="16"/>
              </w:rPr>
              <w:t>Treatment course structure</w:t>
            </w:r>
          </w:p>
        </w:tc>
        <w:tc>
          <w:tcPr>
            <w:tcW w:w="490" w:type="pct"/>
            <w:vMerge w:val="restart"/>
            <w:tcBorders>
              <w:left w:val="single" w:sz="4" w:space="0" w:color="FFFFFF" w:themeColor="background1"/>
              <w:bottom w:val="nil"/>
              <w:right w:val="single" w:sz="4" w:space="0" w:color="FFFFFF" w:themeColor="background1"/>
            </w:tcBorders>
            <w:vAlign w:val="center"/>
          </w:tcPr>
          <w:p w14:paraId="5C7BBE42" w14:textId="77777777" w:rsidR="00123751" w:rsidRPr="00F5587F"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7400E">
              <w:rPr>
                <w:rFonts w:asciiTheme="minorHAnsi" w:hAnsiTheme="minorHAnsi" w:cstheme="minorHAnsi"/>
                <w:sz w:val="16"/>
                <w:szCs w:val="16"/>
              </w:rPr>
              <w:t>Therapist support</w:t>
            </w:r>
          </w:p>
        </w:tc>
        <w:tc>
          <w:tcPr>
            <w:tcW w:w="396" w:type="pct"/>
            <w:vMerge w:val="restart"/>
            <w:tcBorders>
              <w:left w:val="single" w:sz="4" w:space="0" w:color="FFFFFF" w:themeColor="background1"/>
              <w:bottom w:val="nil"/>
              <w:right w:val="single" w:sz="4" w:space="0" w:color="FFFFFF" w:themeColor="background1"/>
            </w:tcBorders>
            <w:vAlign w:val="center"/>
          </w:tcPr>
          <w:p w14:paraId="123EDA26" w14:textId="77777777" w:rsidR="00123751" w:rsidRPr="0077400E"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7400E">
              <w:rPr>
                <w:rFonts w:asciiTheme="minorHAnsi" w:hAnsiTheme="minorHAnsi" w:cstheme="minorHAnsi"/>
                <w:sz w:val="16"/>
                <w:szCs w:val="16"/>
              </w:rPr>
              <w:t>Demographic</w:t>
            </w:r>
          </w:p>
        </w:tc>
        <w:tc>
          <w:tcPr>
            <w:tcW w:w="319" w:type="pct"/>
            <w:vMerge w:val="restart"/>
            <w:tcBorders>
              <w:left w:val="single" w:sz="4" w:space="0" w:color="FFFFFF" w:themeColor="background1"/>
              <w:bottom w:val="nil"/>
              <w:right w:val="single" w:sz="4" w:space="0" w:color="FFFFFF" w:themeColor="background1"/>
            </w:tcBorders>
            <w:vAlign w:val="center"/>
          </w:tcPr>
          <w:p w14:paraId="10439410" w14:textId="77777777" w:rsidR="00123751" w:rsidRPr="0077400E"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7400E">
              <w:rPr>
                <w:rFonts w:asciiTheme="minorHAnsi" w:hAnsiTheme="minorHAnsi" w:cstheme="minorHAnsi"/>
                <w:sz w:val="16"/>
                <w:szCs w:val="16"/>
              </w:rPr>
              <w:t>Cost to Consumer</w:t>
            </w:r>
          </w:p>
        </w:tc>
        <w:tc>
          <w:tcPr>
            <w:tcW w:w="435" w:type="pct"/>
            <w:vMerge w:val="restart"/>
            <w:tcBorders>
              <w:left w:val="single" w:sz="4" w:space="0" w:color="FFFFFF" w:themeColor="background1"/>
              <w:bottom w:val="nil"/>
            </w:tcBorders>
            <w:vAlign w:val="center"/>
          </w:tcPr>
          <w:p w14:paraId="0B93DC65" w14:textId="77777777" w:rsidR="00123751" w:rsidRPr="0077400E"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7400E">
              <w:rPr>
                <w:rFonts w:asciiTheme="minorHAnsi" w:hAnsiTheme="minorHAnsi" w:cstheme="minorHAnsi"/>
                <w:sz w:val="16"/>
                <w:szCs w:val="16"/>
              </w:rPr>
              <w:t>Psychology</w:t>
            </w:r>
          </w:p>
        </w:tc>
      </w:tr>
      <w:tr w:rsidR="0061650E" w:rsidRPr="00F5587F" w14:paraId="40ED77F5" w14:textId="77777777" w:rsidTr="00F5587F">
        <w:trPr>
          <w:trHeight w:val="779"/>
          <w:jc w:val="center"/>
        </w:trPr>
        <w:tc>
          <w:tcPr>
            <w:cnfStyle w:val="001000000000" w:firstRow="0" w:lastRow="0" w:firstColumn="1" w:lastColumn="0" w:oddVBand="0" w:evenVBand="0" w:oddHBand="0" w:evenHBand="0" w:firstRowFirstColumn="0" w:firstRowLastColumn="0" w:lastRowFirstColumn="0" w:lastRowLastColumn="0"/>
            <w:tcW w:w="433" w:type="pct"/>
            <w:vMerge/>
            <w:tcBorders>
              <w:top w:val="nil"/>
              <w:left w:val="single" w:sz="4" w:space="0" w:color="000000" w:themeColor="text1"/>
              <w:bottom w:val="single" w:sz="4" w:space="0" w:color="000000" w:themeColor="text1"/>
              <w:right w:val="single" w:sz="4" w:space="0" w:color="FFFFFF" w:themeColor="background1"/>
            </w:tcBorders>
            <w:shd w:val="clear" w:color="auto" w:fill="000000" w:themeFill="text1"/>
            <w:vAlign w:val="center"/>
          </w:tcPr>
          <w:p w14:paraId="7835F749" w14:textId="77777777" w:rsidR="00123751" w:rsidRPr="0077400E" w:rsidRDefault="00123751" w:rsidP="00F5587F">
            <w:pPr>
              <w:jc w:val="center"/>
              <w:rPr>
                <w:rFonts w:asciiTheme="minorHAnsi" w:hAnsiTheme="minorHAnsi" w:cstheme="minorHAnsi"/>
                <w:color w:val="FFFFFF" w:themeColor="background1"/>
                <w:sz w:val="16"/>
                <w:szCs w:val="16"/>
              </w:rPr>
            </w:pPr>
          </w:p>
        </w:tc>
        <w:tc>
          <w:tcPr>
            <w:tcW w:w="306" w:type="pct"/>
            <w:vMerge/>
            <w:tcBorders>
              <w:top w:val="nil"/>
              <w:left w:val="single" w:sz="4" w:space="0" w:color="FFFFFF" w:themeColor="background1"/>
              <w:bottom w:val="single" w:sz="4" w:space="0" w:color="000000" w:themeColor="text1"/>
              <w:right w:val="single" w:sz="4" w:space="0" w:color="FFFFFF" w:themeColor="background1"/>
            </w:tcBorders>
            <w:shd w:val="clear" w:color="auto" w:fill="000000" w:themeFill="text1"/>
            <w:vAlign w:val="center"/>
          </w:tcPr>
          <w:p w14:paraId="495C9B9D" w14:textId="77777777" w:rsidR="00123751" w:rsidRPr="00F5587F" w:rsidRDefault="00123751" w:rsidP="00F558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p>
        </w:tc>
        <w:tc>
          <w:tcPr>
            <w:tcW w:w="415" w:type="pct"/>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shd w:val="clear" w:color="auto" w:fill="000000" w:themeFill="text1"/>
            <w:vAlign w:val="center"/>
          </w:tcPr>
          <w:p w14:paraId="00CAA5B0" w14:textId="77777777" w:rsidR="00123751" w:rsidRPr="00F5587F" w:rsidRDefault="00123751" w:rsidP="00F558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r w:rsidRPr="0077400E">
              <w:rPr>
                <w:rFonts w:asciiTheme="minorHAnsi" w:hAnsiTheme="minorHAnsi" w:cstheme="minorHAnsi"/>
                <w:b/>
                <w:bCs/>
                <w:color w:val="FFFFFF" w:themeColor="background1"/>
                <w:sz w:val="16"/>
                <w:szCs w:val="16"/>
              </w:rPr>
              <w:t>Information</w:t>
            </w:r>
          </w:p>
        </w:tc>
        <w:tc>
          <w:tcPr>
            <w:tcW w:w="674" w:type="pct"/>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shd w:val="clear" w:color="auto" w:fill="000000" w:themeFill="text1"/>
            <w:vAlign w:val="center"/>
          </w:tcPr>
          <w:p w14:paraId="794307A2" w14:textId="77777777" w:rsidR="00123751" w:rsidRPr="00F5587F" w:rsidRDefault="00123751" w:rsidP="00F558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r w:rsidRPr="0077400E">
              <w:rPr>
                <w:rFonts w:asciiTheme="minorHAnsi" w:hAnsiTheme="minorHAnsi" w:cstheme="minorHAnsi"/>
                <w:b/>
                <w:bCs/>
                <w:color w:val="FFFFFF" w:themeColor="background1"/>
                <w:sz w:val="16"/>
                <w:szCs w:val="16"/>
              </w:rPr>
              <w:t>Assessment</w:t>
            </w:r>
          </w:p>
        </w:tc>
        <w:tc>
          <w:tcPr>
            <w:tcW w:w="243" w:type="pct"/>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shd w:val="clear" w:color="auto" w:fill="000000" w:themeFill="text1"/>
            <w:vAlign w:val="center"/>
          </w:tcPr>
          <w:p w14:paraId="1B88C29F" w14:textId="77777777" w:rsidR="00123751" w:rsidRPr="00F5587F" w:rsidRDefault="00123751" w:rsidP="00F558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r w:rsidRPr="0077400E">
              <w:rPr>
                <w:rFonts w:asciiTheme="minorHAnsi" w:hAnsiTheme="minorHAnsi" w:cstheme="minorHAnsi"/>
                <w:b/>
                <w:bCs/>
                <w:color w:val="FFFFFF" w:themeColor="background1"/>
                <w:sz w:val="16"/>
                <w:szCs w:val="16"/>
              </w:rPr>
              <w:t>Online treatment</w:t>
            </w:r>
          </w:p>
        </w:tc>
        <w:tc>
          <w:tcPr>
            <w:tcW w:w="438" w:type="pct"/>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shd w:val="clear" w:color="auto" w:fill="000000" w:themeFill="text1"/>
            <w:vAlign w:val="center"/>
          </w:tcPr>
          <w:p w14:paraId="689F1B03" w14:textId="77777777" w:rsidR="00123751" w:rsidRPr="00F5587F" w:rsidRDefault="00123751" w:rsidP="00F558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r w:rsidRPr="0077400E">
              <w:rPr>
                <w:rFonts w:asciiTheme="minorHAnsi" w:hAnsiTheme="minorHAnsi" w:cstheme="minorHAnsi"/>
                <w:b/>
                <w:bCs/>
                <w:color w:val="FFFFFF" w:themeColor="background1"/>
                <w:sz w:val="16"/>
                <w:szCs w:val="16"/>
              </w:rPr>
              <w:t>Telephone therapy</w:t>
            </w:r>
          </w:p>
        </w:tc>
        <w:tc>
          <w:tcPr>
            <w:tcW w:w="381" w:type="pct"/>
            <w:vMerge/>
            <w:tcBorders>
              <w:top w:val="nil"/>
              <w:left w:val="single" w:sz="4" w:space="0" w:color="FFFFFF" w:themeColor="background1"/>
              <w:bottom w:val="single" w:sz="4" w:space="0" w:color="000000" w:themeColor="text1"/>
              <w:right w:val="single" w:sz="4" w:space="0" w:color="FFFFFF" w:themeColor="background1"/>
            </w:tcBorders>
            <w:shd w:val="clear" w:color="auto" w:fill="000000" w:themeFill="text1"/>
            <w:vAlign w:val="center"/>
          </w:tcPr>
          <w:p w14:paraId="3ADC2658" w14:textId="77777777" w:rsidR="00123751" w:rsidRPr="0077400E" w:rsidRDefault="00123751" w:rsidP="00F558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p>
        </w:tc>
        <w:tc>
          <w:tcPr>
            <w:tcW w:w="470" w:type="pct"/>
            <w:vMerge/>
            <w:tcBorders>
              <w:top w:val="nil"/>
              <w:left w:val="single" w:sz="4" w:space="0" w:color="FFFFFF" w:themeColor="background1"/>
              <w:bottom w:val="single" w:sz="4" w:space="0" w:color="000000" w:themeColor="text1"/>
              <w:right w:val="single" w:sz="4" w:space="0" w:color="FFFFFF" w:themeColor="background1"/>
            </w:tcBorders>
            <w:shd w:val="clear" w:color="auto" w:fill="000000" w:themeFill="text1"/>
            <w:vAlign w:val="center"/>
          </w:tcPr>
          <w:p w14:paraId="2AB7D928" w14:textId="77777777" w:rsidR="00123751" w:rsidRPr="0077400E" w:rsidRDefault="00123751" w:rsidP="00F558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p>
        </w:tc>
        <w:tc>
          <w:tcPr>
            <w:tcW w:w="490" w:type="pct"/>
            <w:vMerge/>
            <w:tcBorders>
              <w:top w:val="nil"/>
              <w:left w:val="single" w:sz="4" w:space="0" w:color="FFFFFF" w:themeColor="background1"/>
              <w:bottom w:val="single" w:sz="4" w:space="0" w:color="000000" w:themeColor="text1"/>
              <w:right w:val="single" w:sz="4" w:space="0" w:color="FFFFFF" w:themeColor="background1"/>
            </w:tcBorders>
            <w:shd w:val="clear" w:color="auto" w:fill="000000" w:themeFill="text1"/>
            <w:vAlign w:val="center"/>
          </w:tcPr>
          <w:p w14:paraId="6A12AF8A" w14:textId="77777777" w:rsidR="00123751" w:rsidRPr="0077400E" w:rsidRDefault="00123751" w:rsidP="00F558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p>
        </w:tc>
        <w:tc>
          <w:tcPr>
            <w:tcW w:w="396" w:type="pct"/>
            <w:vMerge/>
            <w:tcBorders>
              <w:top w:val="nil"/>
              <w:left w:val="single" w:sz="4" w:space="0" w:color="FFFFFF" w:themeColor="background1"/>
              <w:bottom w:val="single" w:sz="4" w:space="0" w:color="000000" w:themeColor="text1"/>
              <w:right w:val="single" w:sz="4" w:space="0" w:color="FFFFFF" w:themeColor="background1"/>
            </w:tcBorders>
            <w:shd w:val="clear" w:color="auto" w:fill="000000" w:themeFill="text1"/>
            <w:vAlign w:val="center"/>
          </w:tcPr>
          <w:p w14:paraId="69E5436E" w14:textId="77777777" w:rsidR="00123751" w:rsidRPr="0077400E" w:rsidRDefault="00123751" w:rsidP="00F558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p>
        </w:tc>
        <w:tc>
          <w:tcPr>
            <w:tcW w:w="319" w:type="pct"/>
            <w:vMerge/>
            <w:tcBorders>
              <w:top w:val="nil"/>
              <w:left w:val="single" w:sz="4" w:space="0" w:color="FFFFFF" w:themeColor="background1"/>
              <w:bottom w:val="single" w:sz="4" w:space="0" w:color="000000" w:themeColor="text1"/>
              <w:right w:val="single" w:sz="4" w:space="0" w:color="FFFFFF" w:themeColor="background1"/>
            </w:tcBorders>
            <w:shd w:val="clear" w:color="auto" w:fill="000000" w:themeFill="text1"/>
            <w:vAlign w:val="center"/>
          </w:tcPr>
          <w:p w14:paraId="1B58CE4C" w14:textId="77777777" w:rsidR="00123751" w:rsidRPr="0077400E" w:rsidRDefault="00123751" w:rsidP="00F558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p>
        </w:tc>
        <w:tc>
          <w:tcPr>
            <w:tcW w:w="435" w:type="pct"/>
            <w:vMerge/>
            <w:tcBorders>
              <w:top w:val="nil"/>
              <w:left w:val="single" w:sz="4" w:space="0" w:color="FFFFFF" w:themeColor="background1"/>
              <w:bottom w:val="single" w:sz="4" w:space="0" w:color="000000" w:themeColor="text1"/>
              <w:right w:val="single" w:sz="4" w:space="0" w:color="000000" w:themeColor="text1"/>
            </w:tcBorders>
            <w:shd w:val="clear" w:color="auto" w:fill="000000" w:themeFill="text1"/>
            <w:vAlign w:val="center"/>
          </w:tcPr>
          <w:p w14:paraId="38EEEC56" w14:textId="77777777" w:rsidR="00123751" w:rsidRPr="0077400E" w:rsidRDefault="00123751" w:rsidP="00F558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p>
        </w:tc>
      </w:tr>
      <w:tr w:rsidR="00F5587F" w:rsidRPr="0077400E" w14:paraId="34FD9C29" w14:textId="77777777" w:rsidTr="00F5587F">
        <w:trPr>
          <w:trHeight w:val="765"/>
          <w:jc w:val="center"/>
        </w:trPr>
        <w:tc>
          <w:tcPr>
            <w:cnfStyle w:val="001000000000" w:firstRow="0" w:lastRow="0" w:firstColumn="1" w:lastColumn="0" w:oddVBand="0" w:evenVBand="0" w:oddHBand="0" w:evenHBand="0" w:firstRowFirstColumn="0" w:firstRowLastColumn="0" w:lastRowFirstColumn="0" w:lastRowLastColumn="0"/>
            <w:tcW w:w="433" w:type="pct"/>
            <w:tcBorders>
              <w:top w:val="single" w:sz="4" w:space="0" w:color="000000" w:themeColor="text1"/>
              <w:left w:val="single" w:sz="4" w:space="0" w:color="auto"/>
              <w:bottom w:val="single" w:sz="4" w:space="0" w:color="auto"/>
              <w:right w:val="single" w:sz="4" w:space="0" w:color="auto"/>
            </w:tcBorders>
            <w:shd w:val="clear" w:color="auto" w:fill="auto"/>
            <w:vAlign w:val="center"/>
          </w:tcPr>
          <w:p w14:paraId="711FCE3D" w14:textId="77777777" w:rsidR="00123751" w:rsidRPr="0077400E" w:rsidRDefault="00123751" w:rsidP="00392119">
            <w:pPr>
              <w:rPr>
                <w:rFonts w:asciiTheme="minorHAnsi" w:hAnsiTheme="minorHAnsi" w:cstheme="minorHAnsi"/>
                <w:b w:val="0"/>
                <w:bCs w:val="0"/>
                <w:color w:val="000000" w:themeColor="text1"/>
                <w:sz w:val="16"/>
                <w:szCs w:val="16"/>
              </w:rPr>
            </w:pPr>
            <w:r w:rsidRPr="0077400E">
              <w:rPr>
                <w:rFonts w:asciiTheme="minorHAnsi" w:hAnsiTheme="minorHAnsi" w:cstheme="minorHAnsi"/>
                <w:b w:val="0"/>
                <w:bCs w:val="0"/>
                <w:color w:val="000000" w:themeColor="text1"/>
                <w:sz w:val="16"/>
                <w:szCs w:val="16"/>
              </w:rPr>
              <w:t>Deliver psychological assessment and treatments to Australian adults experiencing anxiety and depressive disorders, and (now) other high prevalence disorders (e.g., chronic pain, other chronic health conditions).</w:t>
            </w:r>
          </w:p>
        </w:tc>
        <w:tc>
          <w:tcPr>
            <w:tcW w:w="306" w:type="pct"/>
            <w:tcBorders>
              <w:top w:val="single" w:sz="4" w:space="0" w:color="000000" w:themeColor="text1"/>
              <w:left w:val="single" w:sz="4" w:space="0" w:color="auto"/>
              <w:bottom w:val="single" w:sz="4" w:space="0" w:color="auto"/>
              <w:right w:val="single" w:sz="4" w:space="0" w:color="auto"/>
            </w:tcBorders>
            <w:shd w:val="clear" w:color="auto" w:fill="auto"/>
            <w:vAlign w:val="center"/>
          </w:tcPr>
          <w:p w14:paraId="6C37EB00" w14:textId="77777777" w:rsidR="00123751" w:rsidRPr="0077400E" w:rsidRDefault="00123751" w:rsidP="0039211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6"/>
                <w:szCs w:val="16"/>
              </w:rPr>
            </w:pPr>
            <w:r w:rsidRPr="0077400E">
              <w:rPr>
                <w:rFonts w:asciiTheme="minorHAnsi" w:hAnsiTheme="minorHAnsi" w:cstheme="minorHAnsi"/>
                <w:color w:val="000000" w:themeColor="text1"/>
                <w:sz w:val="16"/>
                <w:szCs w:val="16"/>
              </w:rPr>
              <w:t>2012</w:t>
            </w:r>
          </w:p>
        </w:tc>
        <w:tc>
          <w:tcPr>
            <w:tcW w:w="415" w:type="pct"/>
            <w:tcBorders>
              <w:top w:val="single" w:sz="4" w:space="0" w:color="000000" w:themeColor="text1"/>
              <w:left w:val="single" w:sz="4" w:space="0" w:color="auto"/>
              <w:bottom w:val="single" w:sz="4" w:space="0" w:color="auto"/>
              <w:right w:val="single" w:sz="4" w:space="0" w:color="auto"/>
            </w:tcBorders>
            <w:shd w:val="clear" w:color="auto" w:fill="auto"/>
            <w:vAlign w:val="center"/>
          </w:tcPr>
          <w:p w14:paraId="383F4E1F" w14:textId="77777777"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7400E">
              <w:rPr>
                <w:color w:val="000000" w:themeColor="text1"/>
                <w:sz w:val="16"/>
                <w:szCs w:val="16"/>
                <w:lang w:val="en-GB"/>
              </w:rPr>
              <w:t>Mental health, wellbeing and chronic pain information via email and telephone enquiries or website (including free, online resources)</w:t>
            </w:r>
          </w:p>
          <w:p w14:paraId="6FA4BD1F" w14:textId="77777777"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7400E">
              <w:rPr>
                <w:color w:val="000000" w:themeColor="text1"/>
                <w:sz w:val="16"/>
                <w:szCs w:val="16"/>
                <w:lang w:val="en-GB"/>
              </w:rPr>
              <w:t>400-500 thousand unique website visitors per year.</w:t>
            </w:r>
          </w:p>
        </w:tc>
        <w:tc>
          <w:tcPr>
            <w:tcW w:w="674" w:type="pct"/>
            <w:tcBorders>
              <w:top w:val="single" w:sz="4" w:space="0" w:color="000000" w:themeColor="text1"/>
              <w:left w:val="single" w:sz="4" w:space="0" w:color="auto"/>
              <w:bottom w:val="single" w:sz="4" w:space="0" w:color="auto"/>
              <w:right w:val="single" w:sz="4" w:space="0" w:color="auto"/>
            </w:tcBorders>
            <w:shd w:val="clear" w:color="auto" w:fill="auto"/>
            <w:vAlign w:val="center"/>
          </w:tcPr>
          <w:p w14:paraId="1DF84181" w14:textId="77777777"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7400E">
              <w:rPr>
                <w:color w:val="000000" w:themeColor="text1"/>
                <w:sz w:val="16"/>
                <w:szCs w:val="16"/>
                <w:lang w:val="en-GB"/>
              </w:rPr>
              <w:t>A</w:t>
            </w:r>
            <w:proofErr w:type="spellStart"/>
            <w:r w:rsidRPr="0077400E">
              <w:rPr>
                <w:color w:val="000000" w:themeColor="text1"/>
                <w:sz w:val="16"/>
                <w:szCs w:val="16"/>
              </w:rPr>
              <w:t>dministered</w:t>
            </w:r>
            <w:proofErr w:type="spellEnd"/>
            <w:r w:rsidRPr="0077400E">
              <w:rPr>
                <w:color w:val="000000" w:themeColor="text1"/>
                <w:sz w:val="16"/>
                <w:szCs w:val="16"/>
              </w:rPr>
              <w:t xml:space="preserve"> online or via telephone, using validated clinical tools to identify presenting psychological and psychosocial symptoms and difficulties.</w:t>
            </w:r>
          </w:p>
          <w:p w14:paraId="57F5B36D" w14:textId="77777777"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7400E">
              <w:rPr>
                <w:color w:val="000000" w:themeColor="text1"/>
                <w:sz w:val="16"/>
                <w:szCs w:val="16"/>
              </w:rPr>
              <w:t xml:space="preserve">Assessment report with treatment options automatically generated, made available to </w:t>
            </w:r>
            <w:proofErr w:type="gramStart"/>
            <w:r w:rsidRPr="0077400E">
              <w:rPr>
                <w:color w:val="000000" w:themeColor="text1"/>
                <w:sz w:val="16"/>
                <w:szCs w:val="16"/>
              </w:rPr>
              <w:t>consumers</w:t>
            </w:r>
            <w:proofErr w:type="gramEnd"/>
            <w:r w:rsidRPr="0077400E">
              <w:rPr>
                <w:color w:val="000000" w:themeColor="text1"/>
                <w:sz w:val="16"/>
                <w:szCs w:val="16"/>
              </w:rPr>
              <w:t xml:space="preserve"> and nominated health professionals.</w:t>
            </w:r>
          </w:p>
          <w:p w14:paraId="07F133F8" w14:textId="589041E7"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7400E">
              <w:rPr>
                <w:color w:val="000000" w:themeColor="text1"/>
                <w:sz w:val="16"/>
                <w:szCs w:val="16"/>
              </w:rPr>
              <w:t>Consumers can schedule appointment with therapist to discuss their results and treatment options.</w:t>
            </w:r>
          </w:p>
          <w:p w14:paraId="4B635CA0" w14:textId="77777777" w:rsidR="00123751" w:rsidRPr="0077400E"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7400E">
              <w:rPr>
                <w:color w:val="000000" w:themeColor="text1"/>
                <w:sz w:val="16"/>
                <w:szCs w:val="16"/>
              </w:rPr>
              <w:t>Screen consumers for suicidal risk and support high risk consumers to receive emergency crisis interventions.</w:t>
            </w:r>
          </w:p>
        </w:tc>
        <w:tc>
          <w:tcPr>
            <w:tcW w:w="243" w:type="pct"/>
            <w:tcBorders>
              <w:top w:val="single" w:sz="4" w:space="0" w:color="000000" w:themeColor="text1"/>
              <w:left w:val="single" w:sz="4" w:space="0" w:color="auto"/>
              <w:bottom w:val="single" w:sz="4" w:space="0" w:color="auto"/>
              <w:right w:val="single" w:sz="4" w:space="0" w:color="auto"/>
            </w:tcBorders>
            <w:shd w:val="clear" w:color="auto" w:fill="auto"/>
            <w:vAlign w:val="center"/>
          </w:tcPr>
          <w:p w14:paraId="3DE5546B" w14:textId="77777777" w:rsidR="00123751" w:rsidRPr="0077400E"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sz w:val="16"/>
                <w:szCs w:val="16"/>
              </w:rPr>
            </w:pPr>
            <w:r w:rsidRPr="0077400E">
              <w:rPr>
                <w:color w:val="000000"/>
                <w:sz w:val="16"/>
                <w:szCs w:val="16"/>
              </w:rPr>
              <w:t>9 validated courses – online (or via workbook)</w:t>
            </w:r>
          </w:p>
        </w:tc>
        <w:tc>
          <w:tcPr>
            <w:tcW w:w="438" w:type="pct"/>
            <w:tcBorders>
              <w:top w:val="single" w:sz="4" w:space="0" w:color="000000" w:themeColor="text1"/>
              <w:left w:val="single" w:sz="4" w:space="0" w:color="auto"/>
              <w:bottom w:val="single" w:sz="4" w:space="0" w:color="auto"/>
              <w:right w:val="single" w:sz="4" w:space="0" w:color="auto"/>
            </w:tcBorders>
            <w:vAlign w:val="center"/>
          </w:tcPr>
          <w:p w14:paraId="21E47519" w14:textId="77777777" w:rsidR="00123751" w:rsidRPr="0077400E"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sz w:val="16"/>
                <w:szCs w:val="16"/>
              </w:rPr>
            </w:pPr>
            <w:r w:rsidRPr="0077400E">
              <w:rPr>
                <w:color w:val="000000"/>
                <w:sz w:val="16"/>
                <w:szCs w:val="16"/>
              </w:rPr>
              <w:t xml:space="preserve">Brief Telephone Therapy (teletherapy) introduced in January 2022. </w:t>
            </w:r>
          </w:p>
          <w:p w14:paraId="546D0CF5" w14:textId="77777777" w:rsidR="00123751" w:rsidRPr="0077400E"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sz w:val="16"/>
                <w:szCs w:val="16"/>
              </w:rPr>
            </w:pPr>
            <w:r w:rsidRPr="0077400E">
              <w:rPr>
                <w:color w:val="000000"/>
                <w:sz w:val="16"/>
                <w:szCs w:val="16"/>
              </w:rPr>
              <w:t xml:space="preserve">For people unlikely to benefit from online courses or with strong preference for teletherapy. </w:t>
            </w:r>
          </w:p>
        </w:tc>
        <w:tc>
          <w:tcPr>
            <w:tcW w:w="381" w:type="pct"/>
            <w:tcBorders>
              <w:top w:val="single" w:sz="4" w:space="0" w:color="000000" w:themeColor="text1"/>
              <w:left w:val="single" w:sz="4" w:space="0" w:color="auto"/>
              <w:bottom w:val="single" w:sz="4" w:space="0" w:color="auto"/>
              <w:right w:val="single" w:sz="4" w:space="0" w:color="auto"/>
            </w:tcBorders>
            <w:vAlign w:val="center"/>
          </w:tcPr>
          <w:p w14:paraId="7696FAC7" w14:textId="77777777" w:rsidR="00123751" w:rsidRPr="0077400E"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sz w:val="16"/>
                <w:szCs w:val="16"/>
              </w:rPr>
            </w:pPr>
            <w:r w:rsidRPr="0077400E">
              <w:rPr>
                <w:color w:val="000000"/>
                <w:sz w:val="16"/>
                <w:szCs w:val="16"/>
              </w:rPr>
              <w:t>Anxiety and GAD</w:t>
            </w:r>
          </w:p>
          <w:p w14:paraId="191F9417" w14:textId="77777777" w:rsidR="00123751" w:rsidRPr="0077400E"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sz w:val="16"/>
                <w:szCs w:val="16"/>
              </w:rPr>
            </w:pPr>
            <w:r w:rsidRPr="0077400E">
              <w:rPr>
                <w:color w:val="000000"/>
                <w:sz w:val="16"/>
                <w:szCs w:val="16"/>
              </w:rPr>
              <w:t>Chronic Pain</w:t>
            </w:r>
          </w:p>
          <w:p w14:paraId="6B80EA21" w14:textId="77777777" w:rsidR="00123751" w:rsidRPr="0077400E"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sz w:val="16"/>
                <w:szCs w:val="16"/>
              </w:rPr>
            </w:pPr>
            <w:r w:rsidRPr="0077400E">
              <w:rPr>
                <w:color w:val="000000"/>
                <w:sz w:val="16"/>
                <w:szCs w:val="16"/>
              </w:rPr>
              <w:t>Depression</w:t>
            </w:r>
          </w:p>
          <w:p w14:paraId="4BA2E188" w14:textId="77777777" w:rsidR="00123751" w:rsidRPr="0077400E"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sz w:val="16"/>
                <w:szCs w:val="16"/>
              </w:rPr>
            </w:pPr>
            <w:r w:rsidRPr="0077400E">
              <w:rPr>
                <w:color w:val="000000"/>
                <w:sz w:val="16"/>
                <w:szCs w:val="16"/>
              </w:rPr>
              <w:t>Emotional wellbeing</w:t>
            </w:r>
          </w:p>
          <w:p w14:paraId="42B30DD3" w14:textId="77777777" w:rsidR="00123751" w:rsidRPr="0077400E"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sz w:val="16"/>
                <w:szCs w:val="16"/>
              </w:rPr>
            </w:pPr>
            <w:r w:rsidRPr="0077400E">
              <w:rPr>
                <w:color w:val="000000"/>
                <w:sz w:val="16"/>
                <w:szCs w:val="16"/>
              </w:rPr>
              <w:t>General distress</w:t>
            </w:r>
          </w:p>
          <w:p w14:paraId="6A26354F" w14:textId="77777777" w:rsidR="00123751" w:rsidRPr="0077400E"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sz w:val="16"/>
                <w:szCs w:val="16"/>
              </w:rPr>
            </w:pPr>
            <w:r w:rsidRPr="0077400E">
              <w:rPr>
                <w:color w:val="000000"/>
                <w:sz w:val="16"/>
                <w:szCs w:val="16"/>
              </w:rPr>
              <w:t xml:space="preserve">OCD </w:t>
            </w:r>
          </w:p>
          <w:p w14:paraId="56D819D9" w14:textId="77777777" w:rsidR="00123751" w:rsidRPr="0077400E"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sz w:val="16"/>
                <w:szCs w:val="16"/>
              </w:rPr>
            </w:pPr>
            <w:r w:rsidRPr="0077400E">
              <w:rPr>
                <w:color w:val="000000"/>
                <w:sz w:val="16"/>
                <w:szCs w:val="16"/>
              </w:rPr>
              <w:t>PTSD</w:t>
            </w:r>
          </w:p>
          <w:p w14:paraId="3B64873A" w14:textId="77777777" w:rsidR="00123751" w:rsidRPr="0077400E"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sz w:val="16"/>
                <w:szCs w:val="16"/>
              </w:rPr>
            </w:pPr>
            <w:r w:rsidRPr="0077400E">
              <w:rPr>
                <w:color w:val="000000"/>
                <w:sz w:val="16"/>
                <w:szCs w:val="16"/>
              </w:rPr>
              <w:t>Panic</w:t>
            </w:r>
          </w:p>
          <w:p w14:paraId="1AA49D68" w14:textId="77777777" w:rsidR="00123751" w:rsidRPr="0077400E"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sz w:val="16"/>
                <w:szCs w:val="16"/>
              </w:rPr>
            </w:pPr>
            <w:r w:rsidRPr="0077400E">
              <w:rPr>
                <w:color w:val="000000"/>
                <w:sz w:val="16"/>
                <w:szCs w:val="16"/>
              </w:rPr>
              <w:t>Resilience</w:t>
            </w:r>
          </w:p>
          <w:p w14:paraId="38375062" w14:textId="77777777" w:rsidR="00123751" w:rsidRPr="0077400E"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7400E">
              <w:rPr>
                <w:color w:val="000000"/>
                <w:sz w:val="16"/>
                <w:szCs w:val="16"/>
              </w:rPr>
              <w:t>Stress</w:t>
            </w:r>
          </w:p>
        </w:tc>
        <w:tc>
          <w:tcPr>
            <w:tcW w:w="470" w:type="pct"/>
            <w:tcBorders>
              <w:top w:val="single" w:sz="4" w:space="0" w:color="000000" w:themeColor="text1"/>
              <w:left w:val="single" w:sz="4" w:space="0" w:color="auto"/>
              <w:bottom w:val="single" w:sz="4" w:space="0" w:color="auto"/>
              <w:right w:val="single" w:sz="4" w:space="0" w:color="auto"/>
            </w:tcBorders>
            <w:vAlign w:val="center"/>
          </w:tcPr>
          <w:p w14:paraId="3D13A2E2" w14:textId="77777777" w:rsidR="00123751" w:rsidRPr="0077400E" w:rsidRDefault="00123751" w:rsidP="000A3834">
            <w:pPr>
              <w:pStyle w:val="ListParagraph"/>
              <w:numPr>
                <w:ilvl w:val="0"/>
                <w:numId w:val="4"/>
              </w:numPr>
              <w:ind w:left="146" w:hanging="146"/>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7400E">
              <w:rPr>
                <w:color w:val="000000" w:themeColor="text1"/>
                <w:sz w:val="16"/>
                <w:szCs w:val="16"/>
              </w:rPr>
              <w:t xml:space="preserve">Up to 5 online modules delivered over 8 weeks. </w:t>
            </w:r>
          </w:p>
          <w:p w14:paraId="14D62A79" w14:textId="77777777" w:rsidR="00123751" w:rsidRDefault="00123751" w:rsidP="000A3834">
            <w:pPr>
              <w:pStyle w:val="ListParagraph"/>
              <w:numPr>
                <w:ilvl w:val="0"/>
                <w:numId w:val="4"/>
              </w:numPr>
              <w:ind w:left="146" w:hanging="146"/>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7400E">
              <w:rPr>
                <w:color w:val="000000" w:themeColor="text1"/>
                <w:sz w:val="16"/>
                <w:szCs w:val="16"/>
              </w:rPr>
              <w:t>Weekly outcome measurement for online and telephone therapy to track progress and identify consumers at risk.</w:t>
            </w:r>
          </w:p>
          <w:p w14:paraId="355C856E" w14:textId="6E3CDE96" w:rsidR="004E4199" w:rsidRPr="0077400E" w:rsidRDefault="008C1634" w:rsidP="000A3834">
            <w:pPr>
              <w:pStyle w:val="ListParagraph"/>
              <w:numPr>
                <w:ilvl w:val="0"/>
                <w:numId w:val="4"/>
              </w:numPr>
              <w:ind w:left="146" w:hanging="146"/>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D40C22">
              <w:rPr>
                <w:color w:val="000000" w:themeColor="text1"/>
                <w:sz w:val="16"/>
                <w:szCs w:val="16"/>
              </w:rPr>
              <w:t>All consumers enrolled in treatment receive follow-up at 3 months post-treatment</w:t>
            </w:r>
            <w:r w:rsidR="00D40C22" w:rsidRPr="00D40C22">
              <w:rPr>
                <w:color w:val="000000" w:themeColor="text1"/>
                <w:sz w:val="16"/>
                <w:szCs w:val="16"/>
              </w:rPr>
              <w:t>.</w:t>
            </w:r>
          </w:p>
        </w:tc>
        <w:tc>
          <w:tcPr>
            <w:tcW w:w="490" w:type="pct"/>
            <w:tcBorders>
              <w:top w:val="single" w:sz="4" w:space="0" w:color="000000" w:themeColor="text1"/>
              <w:left w:val="single" w:sz="4" w:space="0" w:color="auto"/>
              <w:bottom w:val="single" w:sz="4" w:space="0" w:color="auto"/>
              <w:right w:val="single" w:sz="4" w:space="0" w:color="auto"/>
            </w:tcBorders>
            <w:vAlign w:val="center"/>
          </w:tcPr>
          <w:p w14:paraId="397791D2" w14:textId="42E2FDCE" w:rsidR="00123751" w:rsidRPr="0077400E" w:rsidRDefault="00123751" w:rsidP="000A3834">
            <w:pPr>
              <w:pStyle w:val="ListParagraph"/>
              <w:numPr>
                <w:ilvl w:val="0"/>
                <w:numId w:val="4"/>
              </w:numPr>
              <w:ind w:left="123" w:hanging="123"/>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7400E">
              <w:rPr>
                <w:color w:val="000000" w:themeColor="text1"/>
                <w:sz w:val="16"/>
                <w:szCs w:val="16"/>
              </w:rPr>
              <w:t>Choice of weekly or as needed contact with therapist via phone or email.</w:t>
            </w:r>
          </w:p>
          <w:p w14:paraId="3B21FC5B" w14:textId="77777777" w:rsidR="00123751" w:rsidRPr="0077400E" w:rsidRDefault="00123751" w:rsidP="000A3834">
            <w:pPr>
              <w:pStyle w:val="ListParagraph"/>
              <w:numPr>
                <w:ilvl w:val="0"/>
                <w:numId w:val="4"/>
              </w:numPr>
              <w:ind w:left="123" w:hanging="123"/>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7400E">
              <w:rPr>
                <w:color w:val="000000" w:themeColor="text1"/>
                <w:sz w:val="16"/>
                <w:szCs w:val="16"/>
              </w:rPr>
              <w:t>Most therapists are registered psychologists but also provisional psychologists, social workers, mental health occupational therapists, and counsellors.</w:t>
            </w:r>
          </w:p>
          <w:p w14:paraId="21DB0B73" w14:textId="77777777" w:rsidR="00123751" w:rsidRPr="0077400E" w:rsidRDefault="00123751" w:rsidP="000A3834">
            <w:pPr>
              <w:pStyle w:val="ListParagraph"/>
              <w:numPr>
                <w:ilvl w:val="0"/>
                <w:numId w:val="4"/>
              </w:numPr>
              <w:ind w:left="123" w:hanging="123"/>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7400E">
              <w:rPr>
                <w:color w:val="000000" w:themeColor="text1"/>
                <w:sz w:val="16"/>
                <w:szCs w:val="16"/>
              </w:rPr>
              <w:t>Approximately 19 FTE therapists.</w:t>
            </w:r>
          </w:p>
        </w:tc>
        <w:tc>
          <w:tcPr>
            <w:tcW w:w="396" w:type="pct"/>
            <w:tcBorders>
              <w:top w:val="single" w:sz="4" w:space="0" w:color="000000" w:themeColor="text1"/>
              <w:left w:val="single" w:sz="4" w:space="0" w:color="auto"/>
              <w:bottom w:val="single" w:sz="4" w:space="0" w:color="auto"/>
              <w:right w:val="single" w:sz="4" w:space="0" w:color="auto"/>
            </w:tcBorders>
            <w:shd w:val="clear" w:color="auto" w:fill="auto"/>
            <w:vAlign w:val="center"/>
          </w:tcPr>
          <w:p w14:paraId="6B52ECD4" w14:textId="77777777" w:rsidR="00123751" w:rsidRPr="0077400E" w:rsidRDefault="00123751" w:rsidP="0039211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6"/>
                <w:szCs w:val="16"/>
              </w:rPr>
            </w:pPr>
            <w:r w:rsidRPr="0077400E">
              <w:rPr>
                <w:rFonts w:asciiTheme="minorHAnsi" w:hAnsiTheme="minorHAnsi" w:cstheme="minorHAnsi"/>
                <w:color w:val="000000" w:themeColor="text1"/>
                <w:sz w:val="16"/>
                <w:szCs w:val="16"/>
              </w:rPr>
              <w:t>Adults 18+ years (18-25, 26-65, 60+)</w:t>
            </w:r>
          </w:p>
        </w:tc>
        <w:tc>
          <w:tcPr>
            <w:tcW w:w="319" w:type="pct"/>
            <w:tcBorders>
              <w:top w:val="single" w:sz="4" w:space="0" w:color="000000" w:themeColor="text1"/>
              <w:left w:val="single" w:sz="4" w:space="0" w:color="auto"/>
              <w:bottom w:val="single" w:sz="4" w:space="0" w:color="auto"/>
              <w:right w:val="single" w:sz="4" w:space="0" w:color="auto"/>
            </w:tcBorders>
            <w:shd w:val="clear" w:color="auto" w:fill="auto"/>
            <w:vAlign w:val="center"/>
          </w:tcPr>
          <w:p w14:paraId="675467BE" w14:textId="77777777" w:rsidR="00123751" w:rsidRPr="0077400E" w:rsidRDefault="00123751" w:rsidP="0039211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6"/>
                <w:szCs w:val="16"/>
              </w:rPr>
            </w:pPr>
            <w:r w:rsidRPr="0077400E">
              <w:rPr>
                <w:rFonts w:asciiTheme="minorHAnsi" w:hAnsiTheme="minorHAnsi" w:cstheme="minorHAnsi"/>
                <w:color w:val="000000" w:themeColor="text1"/>
                <w:sz w:val="16"/>
                <w:szCs w:val="16"/>
              </w:rPr>
              <w:t>No</w:t>
            </w:r>
          </w:p>
        </w:tc>
        <w:tc>
          <w:tcPr>
            <w:tcW w:w="435" w:type="pct"/>
            <w:tcBorders>
              <w:top w:val="single" w:sz="4" w:space="0" w:color="000000" w:themeColor="text1"/>
              <w:left w:val="single" w:sz="4" w:space="0" w:color="auto"/>
              <w:bottom w:val="single" w:sz="4" w:space="0" w:color="auto"/>
              <w:right w:val="single" w:sz="4" w:space="0" w:color="auto"/>
            </w:tcBorders>
            <w:shd w:val="clear" w:color="auto" w:fill="auto"/>
            <w:vAlign w:val="center"/>
          </w:tcPr>
          <w:p w14:paraId="2C1CBF10" w14:textId="77777777" w:rsidR="00123751" w:rsidRPr="0077400E"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sz w:val="16"/>
                <w:szCs w:val="16"/>
              </w:rPr>
            </w:pPr>
            <w:r w:rsidRPr="0077400E">
              <w:rPr>
                <w:color w:val="000000"/>
                <w:sz w:val="16"/>
                <w:szCs w:val="16"/>
              </w:rPr>
              <w:t>CBT</w:t>
            </w:r>
          </w:p>
          <w:p w14:paraId="65DA96E3" w14:textId="77777777" w:rsidR="00123751" w:rsidRPr="0077400E"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7400E">
              <w:rPr>
                <w:color w:val="000000"/>
                <w:sz w:val="16"/>
                <w:szCs w:val="16"/>
              </w:rPr>
              <w:t>Problem solving therapy</w:t>
            </w:r>
          </w:p>
          <w:p w14:paraId="0DDB66A6" w14:textId="77777777" w:rsidR="00123751" w:rsidRPr="0077400E"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7400E">
              <w:rPr>
                <w:color w:val="000000"/>
                <w:sz w:val="16"/>
                <w:szCs w:val="16"/>
              </w:rPr>
              <w:t>Interpersonal therapy</w:t>
            </w:r>
          </w:p>
        </w:tc>
      </w:tr>
    </w:tbl>
    <w:p w14:paraId="5EC71F45" w14:textId="3D15B4BA" w:rsidR="00564CFD" w:rsidRPr="00564CFD" w:rsidRDefault="00753518" w:rsidP="00F5587F">
      <w:pPr>
        <w:rPr>
          <w:rFonts w:asciiTheme="minorHAnsi" w:hAnsiTheme="minorHAnsi" w:cstheme="minorHAnsi"/>
          <w:sz w:val="16"/>
          <w:szCs w:val="16"/>
        </w:rPr>
      </w:pPr>
      <w:r>
        <w:rPr>
          <w:rFonts w:asciiTheme="minorHAnsi" w:hAnsiTheme="minorHAnsi" w:cstheme="minorHAnsi"/>
          <w:sz w:val="16"/>
          <w:szCs w:val="16"/>
        </w:rPr>
        <w:t xml:space="preserve">CBT, cognitive behavioural therapy; FTE, full-time equivalent; </w:t>
      </w:r>
      <w:r w:rsidR="00564CFD">
        <w:rPr>
          <w:rFonts w:asciiTheme="minorHAnsi" w:hAnsiTheme="minorHAnsi" w:cstheme="minorHAnsi"/>
          <w:sz w:val="16"/>
          <w:szCs w:val="16"/>
        </w:rPr>
        <w:t>GAD, generalised anxiety disorder; OCD, obsessive compulsive disorder; PTSD, post-traumatic stress disorder.</w:t>
      </w:r>
    </w:p>
    <w:p w14:paraId="005CB108" w14:textId="4C165D70" w:rsidR="00123751" w:rsidRPr="0077400E" w:rsidRDefault="00123751" w:rsidP="00F5587F">
      <w:pPr>
        <w:rPr>
          <w:rFonts w:asciiTheme="minorHAnsi" w:hAnsiTheme="minorHAnsi" w:cstheme="minorHAnsi"/>
          <w:color w:val="000000"/>
          <w:sz w:val="16"/>
          <w:szCs w:val="16"/>
        </w:rPr>
      </w:pPr>
      <w:proofErr w:type="spellStart"/>
      <w:proofErr w:type="gramStart"/>
      <w:r w:rsidRPr="0077400E">
        <w:rPr>
          <w:rFonts w:asciiTheme="minorHAnsi" w:hAnsiTheme="minorHAnsi" w:cstheme="minorHAnsi"/>
          <w:color w:val="000000"/>
          <w:sz w:val="16"/>
          <w:szCs w:val="16"/>
          <w:vertAlign w:val="superscript"/>
        </w:rPr>
        <w:t>a</w:t>
      </w:r>
      <w:proofErr w:type="spellEnd"/>
      <w:proofErr w:type="gramEnd"/>
      <w:r w:rsidRPr="0077400E">
        <w:rPr>
          <w:rFonts w:asciiTheme="minorHAnsi" w:hAnsiTheme="minorHAnsi" w:cstheme="minorHAnsi"/>
          <w:color w:val="000000"/>
          <w:sz w:val="16"/>
          <w:szCs w:val="16"/>
          <w:vertAlign w:val="superscript"/>
        </w:rPr>
        <w:t xml:space="preserve"> </w:t>
      </w:r>
      <w:r w:rsidRPr="0077400E">
        <w:rPr>
          <w:rFonts w:asciiTheme="minorHAnsi" w:hAnsiTheme="minorHAnsi" w:cstheme="minorHAnsi"/>
          <w:color w:val="000000"/>
          <w:sz w:val="16"/>
          <w:szCs w:val="16"/>
        </w:rPr>
        <w:t xml:space="preserve">Introducing additional service models </w:t>
      </w:r>
      <w:r w:rsidR="00D50DF5">
        <w:rPr>
          <w:rFonts w:asciiTheme="minorHAnsi" w:hAnsiTheme="minorHAnsi" w:cstheme="minorHAnsi"/>
          <w:color w:val="000000"/>
          <w:sz w:val="16"/>
          <w:szCs w:val="16"/>
        </w:rPr>
        <w:t xml:space="preserve">in </w:t>
      </w:r>
      <w:r w:rsidRPr="0077400E">
        <w:rPr>
          <w:rFonts w:asciiTheme="minorHAnsi" w:hAnsiTheme="minorHAnsi" w:cstheme="minorHAnsi"/>
          <w:color w:val="000000"/>
          <w:sz w:val="16"/>
          <w:szCs w:val="16"/>
        </w:rPr>
        <w:t xml:space="preserve">late 2021/early 2022 to meet needs of broader consumers (e.g., social work support service to help people with severe symptoms/ psychosocial challenges access broader services to address social and economic issues; and fully automated online and SMS </w:t>
      </w:r>
      <w:proofErr w:type="spellStart"/>
      <w:r w:rsidRPr="0077400E">
        <w:rPr>
          <w:rFonts w:asciiTheme="minorHAnsi" w:hAnsiTheme="minorHAnsi" w:cstheme="minorHAnsi"/>
          <w:color w:val="000000"/>
          <w:sz w:val="16"/>
          <w:szCs w:val="16"/>
        </w:rPr>
        <w:t>ultra low</w:t>
      </w:r>
      <w:proofErr w:type="spellEnd"/>
      <w:r w:rsidRPr="0077400E">
        <w:rPr>
          <w:rFonts w:asciiTheme="minorHAnsi" w:hAnsiTheme="minorHAnsi" w:cstheme="minorHAnsi"/>
          <w:color w:val="000000"/>
          <w:sz w:val="16"/>
          <w:szCs w:val="16"/>
        </w:rPr>
        <w:t>-intensity interventions to support habit change).</w:t>
      </w:r>
    </w:p>
    <w:p w14:paraId="7F00351A" w14:textId="77777777" w:rsidR="00123751" w:rsidRPr="00AA6B28" w:rsidRDefault="00123751" w:rsidP="00123751">
      <w:pPr>
        <w:rPr>
          <w:rFonts w:eastAsiaTheme="majorEastAsia"/>
          <w:b/>
          <w:color w:val="000000" w:themeColor="text1"/>
          <w:lang w:val="en-US" w:eastAsia="en-US"/>
        </w:rPr>
      </w:pPr>
      <w:r w:rsidRPr="00AA6B28">
        <w:br w:type="page"/>
      </w:r>
    </w:p>
    <w:p w14:paraId="4602254D" w14:textId="4311B780" w:rsidR="00123751" w:rsidRPr="00AA6B28" w:rsidRDefault="00123751" w:rsidP="003D1CA1">
      <w:pPr>
        <w:pStyle w:val="tableheading"/>
      </w:pPr>
      <w:r w:rsidRPr="00AA6B28">
        <w:lastRenderedPageBreak/>
        <w:t>Table 4. THIS WAY UP service delivery characteristics</w:t>
      </w:r>
    </w:p>
    <w:tbl>
      <w:tblPr>
        <w:tblStyle w:val="GridTable4"/>
        <w:tblW w:w="13983" w:type="dxa"/>
        <w:jc w:val="center"/>
        <w:tblLook w:val="06A0" w:firstRow="1" w:lastRow="0" w:firstColumn="1" w:lastColumn="0" w:noHBand="1" w:noVBand="1"/>
        <w:tblCaption w:val="Table 4. THIS WAY UP service delivery characteristics"/>
        <w:tblDescription w:val="Table describing THIS WAY UP service delivery characteristics"/>
      </w:tblPr>
      <w:tblGrid>
        <w:gridCol w:w="1120"/>
        <w:gridCol w:w="854"/>
        <w:gridCol w:w="1630"/>
        <w:gridCol w:w="2207"/>
        <w:gridCol w:w="912"/>
        <w:gridCol w:w="1116"/>
        <w:gridCol w:w="971"/>
        <w:gridCol w:w="1864"/>
        <w:gridCol w:w="1121"/>
        <w:gridCol w:w="1067"/>
        <w:gridCol w:w="1121"/>
      </w:tblGrid>
      <w:tr w:rsidR="00123751" w:rsidRPr="00F5587F" w14:paraId="23F5BE21" w14:textId="77777777" w:rsidTr="00392119">
        <w:trPr>
          <w:cnfStyle w:val="100000000000" w:firstRow="1" w:lastRow="0" w:firstColumn="0" w:lastColumn="0" w:oddVBand="0" w:evenVBand="0" w:oddHBand="0" w:evenHBand="0" w:firstRowFirstColumn="0" w:firstRowLastColumn="0" w:lastRowFirstColumn="0" w:lastRowLastColumn="0"/>
          <w:trHeight w:val="238"/>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auto"/>
              <w:left w:val="single" w:sz="4" w:space="0" w:color="auto"/>
              <w:bottom w:val="single" w:sz="4" w:space="0" w:color="FFFFFF" w:themeColor="background1"/>
              <w:right w:val="single" w:sz="4" w:space="0" w:color="FFFFFF" w:themeColor="background1"/>
            </w:tcBorders>
            <w:vAlign w:val="center"/>
          </w:tcPr>
          <w:p w14:paraId="5B5DD0C4" w14:textId="77777777" w:rsidR="00123751" w:rsidRPr="007C1B68" w:rsidRDefault="00123751" w:rsidP="00F5587F">
            <w:pPr>
              <w:jc w:val="center"/>
              <w:rPr>
                <w:rFonts w:asciiTheme="minorHAnsi" w:hAnsiTheme="minorHAnsi" w:cstheme="minorHAnsi"/>
                <w:sz w:val="16"/>
                <w:szCs w:val="16"/>
              </w:rPr>
            </w:pPr>
            <w:r w:rsidRPr="007C1B68">
              <w:rPr>
                <w:rFonts w:asciiTheme="minorHAnsi" w:hAnsiTheme="minorHAnsi" w:cstheme="minorHAnsi"/>
                <w:sz w:val="16"/>
                <w:szCs w:val="16"/>
              </w:rPr>
              <w:t>Aim</w:t>
            </w:r>
          </w:p>
        </w:tc>
        <w:tc>
          <w:tcPr>
            <w:tcW w:w="0" w:type="auto"/>
            <w:vMerge w:val="restart"/>
            <w:tcBorders>
              <w:top w:val="single" w:sz="4" w:space="0" w:color="auto"/>
              <w:left w:val="single" w:sz="4" w:space="0" w:color="FFFFFF" w:themeColor="background1"/>
              <w:bottom w:val="single" w:sz="4" w:space="0" w:color="FFFFFF" w:themeColor="background1"/>
              <w:right w:val="single" w:sz="4" w:space="0" w:color="FFFFFF" w:themeColor="background1"/>
            </w:tcBorders>
            <w:vAlign w:val="center"/>
          </w:tcPr>
          <w:p w14:paraId="391EC838" w14:textId="77777777" w:rsidR="00123751" w:rsidRPr="007C1B68"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C1B68">
              <w:rPr>
                <w:rFonts w:asciiTheme="minorHAnsi" w:hAnsiTheme="minorHAnsi" w:cstheme="minorHAnsi"/>
                <w:sz w:val="16"/>
                <w:szCs w:val="16"/>
              </w:rPr>
              <w:t>Launched</w:t>
            </w:r>
          </w:p>
        </w:tc>
        <w:tc>
          <w:tcPr>
            <w:tcW w:w="0" w:type="auto"/>
            <w:gridSpan w:val="3"/>
            <w:tcBorders>
              <w:top w:val="single" w:sz="4" w:space="0" w:color="auto"/>
              <w:left w:val="single" w:sz="4" w:space="0" w:color="FFFFFF" w:themeColor="background1"/>
              <w:bottom w:val="single" w:sz="4" w:space="0" w:color="FFFFFF" w:themeColor="background1"/>
              <w:right w:val="single" w:sz="4" w:space="0" w:color="FFFFFF" w:themeColor="background1"/>
            </w:tcBorders>
            <w:vAlign w:val="center"/>
          </w:tcPr>
          <w:p w14:paraId="6CF3DE17" w14:textId="77777777" w:rsidR="00123751" w:rsidRPr="007C1B68"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C1B68">
              <w:rPr>
                <w:rFonts w:asciiTheme="minorHAnsi" w:hAnsiTheme="minorHAnsi" w:cstheme="minorHAnsi"/>
                <w:sz w:val="16"/>
                <w:szCs w:val="16"/>
              </w:rPr>
              <w:t>Services offered</w:t>
            </w:r>
          </w:p>
        </w:tc>
        <w:tc>
          <w:tcPr>
            <w:tcW w:w="0" w:type="auto"/>
            <w:vMerge w:val="restart"/>
            <w:tcBorders>
              <w:top w:val="single" w:sz="4" w:space="0" w:color="auto"/>
              <w:left w:val="single" w:sz="4" w:space="0" w:color="FFFFFF" w:themeColor="background1"/>
              <w:bottom w:val="single" w:sz="4" w:space="0" w:color="FFFFFF" w:themeColor="background1"/>
              <w:right w:val="single" w:sz="4" w:space="0" w:color="FFFFFF" w:themeColor="background1"/>
            </w:tcBorders>
            <w:vAlign w:val="center"/>
          </w:tcPr>
          <w:p w14:paraId="629BF8B6" w14:textId="77777777" w:rsidR="00123751" w:rsidRPr="007C1B68"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C1B68">
              <w:rPr>
                <w:rFonts w:asciiTheme="minorHAnsi" w:hAnsiTheme="minorHAnsi" w:cstheme="minorHAnsi"/>
                <w:sz w:val="16"/>
                <w:szCs w:val="16"/>
              </w:rPr>
              <w:t>Conditions</w:t>
            </w:r>
          </w:p>
          <w:p w14:paraId="14A14EBD" w14:textId="77777777" w:rsidR="00123751" w:rsidRPr="007C1B68"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C1B68">
              <w:rPr>
                <w:rFonts w:asciiTheme="minorHAnsi" w:hAnsiTheme="minorHAnsi" w:cstheme="minorHAnsi"/>
                <w:sz w:val="16"/>
                <w:szCs w:val="16"/>
              </w:rPr>
              <w:t>treated</w:t>
            </w:r>
          </w:p>
        </w:tc>
        <w:tc>
          <w:tcPr>
            <w:tcW w:w="0" w:type="auto"/>
            <w:vMerge w:val="restart"/>
            <w:tcBorders>
              <w:top w:val="single" w:sz="4" w:space="0" w:color="auto"/>
              <w:left w:val="single" w:sz="4" w:space="0" w:color="FFFFFF" w:themeColor="background1"/>
              <w:bottom w:val="single" w:sz="4" w:space="0" w:color="FFFFFF" w:themeColor="background1"/>
              <w:right w:val="single" w:sz="4" w:space="0" w:color="FFFFFF" w:themeColor="background1"/>
            </w:tcBorders>
            <w:vAlign w:val="center"/>
          </w:tcPr>
          <w:p w14:paraId="0B565C5D" w14:textId="77777777" w:rsidR="00123751" w:rsidRPr="007C1B68"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C1B68">
              <w:rPr>
                <w:rFonts w:asciiTheme="minorHAnsi" w:hAnsiTheme="minorHAnsi" w:cstheme="minorHAnsi"/>
                <w:sz w:val="16"/>
                <w:szCs w:val="16"/>
              </w:rPr>
              <w:t>Treatment course structure</w:t>
            </w:r>
          </w:p>
        </w:tc>
        <w:tc>
          <w:tcPr>
            <w:tcW w:w="0" w:type="auto"/>
            <w:vMerge w:val="restart"/>
            <w:tcBorders>
              <w:top w:val="single" w:sz="4" w:space="0" w:color="auto"/>
              <w:left w:val="single" w:sz="4" w:space="0" w:color="FFFFFF" w:themeColor="background1"/>
              <w:bottom w:val="single" w:sz="4" w:space="0" w:color="FFFFFF" w:themeColor="background1"/>
              <w:right w:val="single" w:sz="4" w:space="0" w:color="FFFFFF" w:themeColor="background1"/>
            </w:tcBorders>
            <w:vAlign w:val="center"/>
          </w:tcPr>
          <w:p w14:paraId="0B221C01" w14:textId="77777777" w:rsidR="00123751" w:rsidRPr="007C1B68"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C1B68">
              <w:rPr>
                <w:rFonts w:asciiTheme="minorHAnsi" w:hAnsiTheme="minorHAnsi" w:cstheme="minorHAnsi"/>
                <w:sz w:val="16"/>
                <w:szCs w:val="16"/>
              </w:rPr>
              <w:t>Therapist support</w:t>
            </w:r>
          </w:p>
        </w:tc>
        <w:tc>
          <w:tcPr>
            <w:tcW w:w="0" w:type="auto"/>
            <w:vMerge w:val="restart"/>
            <w:tcBorders>
              <w:top w:val="single" w:sz="4" w:space="0" w:color="auto"/>
              <w:left w:val="single" w:sz="4" w:space="0" w:color="FFFFFF" w:themeColor="background1"/>
              <w:bottom w:val="single" w:sz="4" w:space="0" w:color="FFFFFF" w:themeColor="background1"/>
              <w:right w:val="single" w:sz="4" w:space="0" w:color="FFFFFF" w:themeColor="background1"/>
            </w:tcBorders>
            <w:vAlign w:val="center"/>
          </w:tcPr>
          <w:p w14:paraId="3698F907" w14:textId="77777777" w:rsidR="00123751" w:rsidRPr="007C1B68"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C1B68">
              <w:rPr>
                <w:rFonts w:asciiTheme="minorHAnsi" w:hAnsiTheme="minorHAnsi" w:cstheme="minorHAnsi"/>
                <w:sz w:val="16"/>
                <w:szCs w:val="16"/>
              </w:rPr>
              <w:t>Demographic</w:t>
            </w:r>
          </w:p>
        </w:tc>
        <w:tc>
          <w:tcPr>
            <w:tcW w:w="0" w:type="auto"/>
            <w:vMerge w:val="restart"/>
            <w:tcBorders>
              <w:top w:val="single" w:sz="4" w:space="0" w:color="auto"/>
              <w:left w:val="single" w:sz="4" w:space="0" w:color="FFFFFF" w:themeColor="background1"/>
              <w:bottom w:val="single" w:sz="4" w:space="0" w:color="FFFFFF" w:themeColor="background1"/>
              <w:right w:val="single" w:sz="4" w:space="0" w:color="FFFFFF" w:themeColor="background1"/>
            </w:tcBorders>
            <w:vAlign w:val="center"/>
          </w:tcPr>
          <w:p w14:paraId="259650E5" w14:textId="77777777" w:rsidR="00123751" w:rsidRPr="007C1B68"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C1B68">
              <w:rPr>
                <w:rFonts w:asciiTheme="minorHAnsi" w:hAnsiTheme="minorHAnsi" w:cstheme="minorHAnsi"/>
                <w:sz w:val="16"/>
                <w:szCs w:val="16"/>
              </w:rPr>
              <w:t>Cost to Consumer</w:t>
            </w:r>
          </w:p>
        </w:tc>
        <w:tc>
          <w:tcPr>
            <w:tcW w:w="0" w:type="auto"/>
            <w:vMerge w:val="restart"/>
            <w:tcBorders>
              <w:top w:val="single" w:sz="4" w:space="0" w:color="auto"/>
              <w:left w:val="single" w:sz="4" w:space="0" w:color="FFFFFF" w:themeColor="background1"/>
              <w:bottom w:val="single" w:sz="4" w:space="0" w:color="FFFFFF" w:themeColor="background1"/>
              <w:right w:val="single" w:sz="4" w:space="0" w:color="auto"/>
            </w:tcBorders>
            <w:vAlign w:val="center"/>
          </w:tcPr>
          <w:p w14:paraId="12AA2262" w14:textId="77777777" w:rsidR="00123751" w:rsidRPr="007C1B68" w:rsidRDefault="00123751" w:rsidP="00F558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7C1B68">
              <w:rPr>
                <w:rFonts w:asciiTheme="minorHAnsi" w:hAnsiTheme="minorHAnsi" w:cstheme="minorHAnsi"/>
                <w:sz w:val="16"/>
                <w:szCs w:val="16"/>
              </w:rPr>
              <w:t>Psychology</w:t>
            </w:r>
          </w:p>
        </w:tc>
      </w:tr>
      <w:tr w:rsidR="007C1B68" w:rsidRPr="00F5587F" w14:paraId="5BD7F02F" w14:textId="77777777" w:rsidTr="00392119">
        <w:trPr>
          <w:trHeight w:val="597"/>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left w:val="single" w:sz="4" w:space="0" w:color="auto"/>
              <w:bottom w:val="single" w:sz="4" w:space="0" w:color="auto"/>
              <w:right w:val="single" w:sz="4" w:space="0" w:color="FFFFFF" w:themeColor="background1"/>
            </w:tcBorders>
            <w:shd w:val="clear" w:color="auto" w:fill="000000" w:themeFill="text1"/>
            <w:vAlign w:val="center"/>
          </w:tcPr>
          <w:p w14:paraId="258BB821" w14:textId="77777777" w:rsidR="00123751" w:rsidRPr="00F5587F" w:rsidRDefault="00123751" w:rsidP="00F5587F">
            <w:pPr>
              <w:jc w:val="center"/>
              <w:rPr>
                <w:rFonts w:asciiTheme="minorHAnsi" w:hAnsiTheme="minorHAnsi" w:cstheme="minorHAnsi"/>
                <w:color w:val="FFFFFF" w:themeColor="background1"/>
                <w:sz w:val="16"/>
                <w:szCs w:val="16"/>
              </w:rPr>
            </w:pPr>
          </w:p>
        </w:tc>
        <w:tc>
          <w:tcPr>
            <w:tcW w:w="0" w:type="auto"/>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vAlign w:val="center"/>
          </w:tcPr>
          <w:p w14:paraId="7C23900B" w14:textId="77777777" w:rsidR="00123751" w:rsidRPr="007C1B68" w:rsidRDefault="00123751" w:rsidP="00F558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p>
        </w:tc>
        <w:tc>
          <w:tcPr>
            <w:tcW w:w="0" w:type="auto"/>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shd w:val="clear" w:color="auto" w:fill="000000" w:themeFill="text1"/>
            <w:vAlign w:val="center"/>
          </w:tcPr>
          <w:p w14:paraId="7B59EFD4" w14:textId="77777777" w:rsidR="00123751" w:rsidRPr="00F5587F" w:rsidRDefault="00123751" w:rsidP="00F558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r w:rsidRPr="007C1B68">
              <w:rPr>
                <w:rFonts w:asciiTheme="minorHAnsi" w:hAnsiTheme="minorHAnsi" w:cstheme="minorHAnsi"/>
                <w:b/>
                <w:bCs/>
                <w:color w:val="FFFFFF" w:themeColor="background1"/>
                <w:sz w:val="16"/>
                <w:szCs w:val="16"/>
              </w:rPr>
              <w:t>Information</w:t>
            </w:r>
          </w:p>
        </w:tc>
        <w:tc>
          <w:tcPr>
            <w:tcW w:w="0" w:type="auto"/>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shd w:val="clear" w:color="auto" w:fill="000000" w:themeFill="text1"/>
            <w:vAlign w:val="center"/>
          </w:tcPr>
          <w:p w14:paraId="44527F58" w14:textId="77777777" w:rsidR="00123751" w:rsidRPr="00F5587F" w:rsidRDefault="00123751" w:rsidP="00F558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r w:rsidRPr="007C1B68">
              <w:rPr>
                <w:rFonts w:asciiTheme="minorHAnsi" w:hAnsiTheme="minorHAnsi" w:cstheme="minorHAnsi"/>
                <w:b/>
                <w:bCs/>
                <w:color w:val="FFFFFF" w:themeColor="background1"/>
                <w:sz w:val="16"/>
                <w:szCs w:val="16"/>
              </w:rPr>
              <w:t>Assessment</w:t>
            </w:r>
          </w:p>
        </w:tc>
        <w:tc>
          <w:tcPr>
            <w:tcW w:w="0" w:type="auto"/>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shd w:val="clear" w:color="auto" w:fill="000000" w:themeFill="text1"/>
            <w:vAlign w:val="center"/>
          </w:tcPr>
          <w:p w14:paraId="2BEC1907" w14:textId="77777777" w:rsidR="00123751" w:rsidRPr="00F5587F" w:rsidRDefault="00123751" w:rsidP="00F558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r w:rsidRPr="007C1B68">
              <w:rPr>
                <w:rFonts w:asciiTheme="minorHAnsi" w:hAnsiTheme="minorHAnsi" w:cstheme="minorHAnsi"/>
                <w:b/>
                <w:bCs/>
                <w:color w:val="FFFFFF" w:themeColor="background1"/>
                <w:sz w:val="16"/>
                <w:szCs w:val="16"/>
              </w:rPr>
              <w:t>Online</w:t>
            </w:r>
          </w:p>
          <w:p w14:paraId="1B88F504" w14:textId="77777777" w:rsidR="00123751" w:rsidRPr="00F5587F" w:rsidRDefault="00123751" w:rsidP="00F558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r w:rsidRPr="007C1B68">
              <w:rPr>
                <w:rFonts w:asciiTheme="minorHAnsi" w:hAnsiTheme="minorHAnsi" w:cstheme="minorHAnsi"/>
                <w:b/>
                <w:bCs/>
                <w:color w:val="FFFFFF" w:themeColor="background1"/>
                <w:sz w:val="16"/>
                <w:szCs w:val="16"/>
              </w:rPr>
              <w:t>treatment</w:t>
            </w:r>
          </w:p>
        </w:tc>
        <w:tc>
          <w:tcPr>
            <w:tcW w:w="0" w:type="auto"/>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vAlign w:val="center"/>
          </w:tcPr>
          <w:p w14:paraId="702C5B43" w14:textId="77777777" w:rsidR="00123751" w:rsidRPr="00F5587F" w:rsidRDefault="00123751" w:rsidP="00F558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p>
        </w:tc>
        <w:tc>
          <w:tcPr>
            <w:tcW w:w="0" w:type="auto"/>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vAlign w:val="center"/>
          </w:tcPr>
          <w:p w14:paraId="70B61E1C" w14:textId="77777777" w:rsidR="00123751" w:rsidRPr="007C1B68" w:rsidRDefault="00123751" w:rsidP="00F558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p>
        </w:tc>
        <w:tc>
          <w:tcPr>
            <w:tcW w:w="0" w:type="auto"/>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vAlign w:val="center"/>
          </w:tcPr>
          <w:p w14:paraId="15AE1348" w14:textId="77777777" w:rsidR="00123751" w:rsidRPr="007C1B68" w:rsidRDefault="00123751" w:rsidP="00F558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p>
        </w:tc>
        <w:tc>
          <w:tcPr>
            <w:tcW w:w="0" w:type="auto"/>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vAlign w:val="center"/>
          </w:tcPr>
          <w:p w14:paraId="5226756A" w14:textId="77777777" w:rsidR="00123751" w:rsidRPr="007C1B68" w:rsidRDefault="00123751" w:rsidP="00F558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p>
        </w:tc>
        <w:tc>
          <w:tcPr>
            <w:tcW w:w="0" w:type="auto"/>
            <w:vMerge/>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0000" w:themeFill="text1"/>
            <w:vAlign w:val="center"/>
          </w:tcPr>
          <w:p w14:paraId="28734F8E" w14:textId="77777777" w:rsidR="00123751" w:rsidRPr="007C1B68" w:rsidRDefault="00123751" w:rsidP="00F558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p>
        </w:tc>
        <w:tc>
          <w:tcPr>
            <w:tcW w:w="0" w:type="auto"/>
            <w:vMerge/>
            <w:tcBorders>
              <w:top w:val="single" w:sz="4" w:space="0" w:color="FFFFFF" w:themeColor="background1"/>
              <w:left w:val="single" w:sz="4" w:space="0" w:color="FFFFFF" w:themeColor="background1"/>
              <w:bottom w:val="single" w:sz="4" w:space="0" w:color="auto"/>
              <w:right w:val="single" w:sz="4" w:space="0" w:color="auto"/>
            </w:tcBorders>
            <w:shd w:val="clear" w:color="auto" w:fill="000000" w:themeFill="text1"/>
            <w:vAlign w:val="center"/>
          </w:tcPr>
          <w:p w14:paraId="6ABFD193" w14:textId="77777777" w:rsidR="00123751" w:rsidRPr="007C1B68" w:rsidRDefault="00123751" w:rsidP="00F5587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6"/>
                <w:szCs w:val="16"/>
              </w:rPr>
            </w:pPr>
          </w:p>
        </w:tc>
      </w:tr>
      <w:tr w:rsidR="00123751" w:rsidRPr="007C1B68" w14:paraId="77701B1B" w14:textId="77777777" w:rsidTr="00392119">
        <w:trPr>
          <w:trHeight w:val="765"/>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626179D" w14:textId="77777777" w:rsidR="00123751" w:rsidRPr="007C1B68" w:rsidRDefault="00123751" w:rsidP="00392119">
            <w:pPr>
              <w:rPr>
                <w:rFonts w:asciiTheme="minorHAnsi" w:hAnsiTheme="minorHAnsi" w:cstheme="minorHAnsi"/>
                <w:b w:val="0"/>
                <w:bCs w:val="0"/>
                <w:color w:val="000000" w:themeColor="text1"/>
                <w:sz w:val="16"/>
                <w:szCs w:val="16"/>
              </w:rPr>
            </w:pPr>
            <w:r w:rsidRPr="007C1B68">
              <w:rPr>
                <w:rFonts w:asciiTheme="minorHAnsi" w:hAnsiTheme="minorHAnsi" w:cstheme="minorHAnsi"/>
                <w:b w:val="0"/>
                <w:bCs w:val="0"/>
                <w:color w:val="000000"/>
                <w:sz w:val="16"/>
                <w:szCs w:val="16"/>
              </w:rPr>
              <w:t xml:space="preserve">Provide internet-CBT for anxiety disorders, </w:t>
            </w:r>
            <w:proofErr w:type="gramStart"/>
            <w:r w:rsidRPr="007C1B68">
              <w:rPr>
                <w:rFonts w:asciiTheme="minorHAnsi" w:hAnsiTheme="minorHAnsi" w:cstheme="minorHAnsi"/>
                <w:b w:val="0"/>
                <w:bCs w:val="0"/>
                <w:color w:val="000000"/>
                <w:sz w:val="16"/>
                <w:szCs w:val="16"/>
              </w:rPr>
              <w:t>depression</w:t>
            </w:r>
            <w:proofErr w:type="gramEnd"/>
            <w:r w:rsidRPr="007C1B68">
              <w:rPr>
                <w:rFonts w:asciiTheme="minorHAnsi" w:hAnsiTheme="minorHAnsi" w:cstheme="minorHAnsi"/>
                <w:b w:val="0"/>
                <w:bCs w:val="0"/>
                <w:color w:val="000000"/>
                <w:sz w:val="16"/>
                <w:szCs w:val="16"/>
              </w:rPr>
              <w:t xml:space="preserve"> and other mental health conditions.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E64A205" w14:textId="77777777" w:rsidR="00123751" w:rsidRPr="007C1B68" w:rsidRDefault="00123751" w:rsidP="0039211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6"/>
                <w:szCs w:val="16"/>
              </w:rPr>
            </w:pPr>
            <w:r w:rsidRPr="007C1B68">
              <w:rPr>
                <w:rFonts w:asciiTheme="minorHAnsi" w:hAnsiTheme="minorHAnsi" w:cstheme="minorHAnsi"/>
                <w:color w:val="000000" w:themeColor="text1"/>
                <w:sz w:val="16"/>
                <w:szCs w:val="16"/>
              </w:rPr>
              <w:t>2012</w:t>
            </w:r>
          </w:p>
        </w:tc>
        <w:tc>
          <w:tcPr>
            <w:tcW w:w="0" w:type="auto"/>
            <w:tcBorders>
              <w:top w:val="single" w:sz="4" w:space="0" w:color="000000" w:themeColor="text1"/>
              <w:left w:val="single" w:sz="4" w:space="0" w:color="auto"/>
              <w:bottom w:val="single" w:sz="4" w:space="0" w:color="auto"/>
              <w:right w:val="single" w:sz="4" w:space="0" w:color="auto"/>
            </w:tcBorders>
            <w:shd w:val="clear" w:color="auto" w:fill="auto"/>
            <w:vAlign w:val="center"/>
          </w:tcPr>
          <w:p w14:paraId="75A89EA9" w14:textId="77777777" w:rsidR="00123751" w:rsidRPr="007C1B68"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C1B68">
              <w:rPr>
                <w:color w:val="000000" w:themeColor="text1"/>
                <w:sz w:val="16"/>
                <w:szCs w:val="16"/>
              </w:rPr>
              <w:t xml:space="preserve">Mental health and COVID-19 support information (including free online resources) via website, </w:t>
            </w:r>
            <w:proofErr w:type="gramStart"/>
            <w:r w:rsidRPr="007C1B68">
              <w:rPr>
                <w:color w:val="000000" w:themeColor="text1"/>
                <w:sz w:val="16"/>
                <w:szCs w:val="16"/>
              </w:rPr>
              <w:t>email</w:t>
            </w:r>
            <w:proofErr w:type="gramEnd"/>
            <w:r w:rsidRPr="007C1B68">
              <w:rPr>
                <w:color w:val="000000" w:themeColor="text1"/>
                <w:sz w:val="16"/>
                <w:szCs w:val="16"/>
              </w:rPr>
              <w:t xml:space="preserve"> and telephone enquiries.</w:t>
            </w:r>
          </w:p>
          <w:p w14:paraId="60DBBB8B" w14:textId="77777777" w:rsidR="00123751" w:rsidRPr="007C1B68"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C1B68">
              <w:rPr>
                <w:color w:val="000000" w:themeColor="text1"/>
                <w:sz w:val="16"/>
                <w:szCs w:val="16"/>
              </w:rPr>
              <w:t>Hundreds of thousands of unique website visitors per year.</w:t>
            </w:r>
          </w:p>
          <w:p w14:paraId="68B6B0F7" w14:textId="77777777" w:rsidR="00123751" w:rsidRPr="007C1B68"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C1B68">
              <w:rPr>
                <w:color w:val="000000" w:themeColor="text1"/>
                <w:sz w:val="16"/>
                <w:szCs w:val="16"/>
              </w:rPr>
              <w:t>Comprehensive, in-person and video-conference clinician education and training seminars.</w:t>
            </w:r>
          </w:p>
        </w:tc>
        <w:tc>
          <w:tcPr>
            <w:tcW w:w="0" w:type="auto"/>
            <w:tcBorders>
              <w:top w:val="single" w:sz="4" w:space="0" w:color="000000" w:themeColor="text1"/>
              <w:left w:val="single" w:sz="4" w:space="0" w:color="auto"/>
              <w:bottom w:val="single" w:sz="4" w:space="0" w:color="auto"/>
              <w:right w:val="single" w:sz="4" w:space="0" w:color="auto"/>
            </w:tcBorders>
            <w:shd w:val="clear" w:color="auto" w:fill="auto"/>
            <w:vAlign w:val="center"/>
          </w:tcPr>
          <w:p w14:paraId="43AFDC08" w14:textId="77777777" w:rsidR="00123751" w:rsidRPr="007C1B68" w:rsidRDefault="00123751" w:rsidP="0039211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6"/>
                <w:szCs w:val="16"/>
                <w:lang w:val="en-GB"/>
              </w:rPr>
            </w:pPr>
            <w:r w:rsidRPr="007C1B68">
              <w:rPr>
                <w:rFonts w:asciiTheme="minorHAnsi" w:hAnsiTheme="minorHAnsi" w:cstheme="minorHAnsi"/>
                <w:color w:val="000000" w:themeColor="text1"/>
                <w:sz w:val="16"/>
                <w:szCs w:val="16"/>
                <w:lang w:val="en-GB"/>
              </w:rPr>
              <w:t>Free, online ‘Take-A-Test’ decision support tool</w:t>
            </w:r>
          </w:p>
          <w:p w14:paraId="4C98F2C0" w14:textId="192F9BC2" w:rsidR="00123751" w:rsidRPr="007C1B68" w:rsidRDefault="00123751" w:rsidP="0039211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6"/>
                <w:szCs w:val="16"/>
                <w:lang w:val="en-GB"/>
              </w:rPr>
            </w:pPr>
            <w:r w:rsidRPr="007C1B68">
              <w:rPr>
                <w:rFonts w:asciiTheme="minorHAnsi" w:hAnsiTheme="minorHAnsi" w:cstheme="minorHAnsi"/>
                <w:color w:val="000000" w:themeColor="text1"/>
                <w:sz w:val="16"/>
                <w:szCs w:val="16"/>
                <w:lang w:val="en-GB"/>
              </w:rPr>
              <w:t>Comprises standardised battery of validated assessment measures that index anxiety and depression symptom severity. Consists of 41 questions, typically completed in 15 minutes. The tool provides immediate feedback to consumers about their symptoms and provides recommendations on treatment options (including which THIS WAY UP course may be suitable).</w:t>
            </w:r>
          </w:p>
        </w:tc>
        <w:tc>
          <w:tcPr>
            <w:tcW w:w="0" w:type="auto"/>
            <w:tcBorders>
              <w:top w:val="single" w:sz="4" w:space="0" w:color="000000" w:themeColor="text1"/>
              <w:left w:val="single" w:sz="4" w:space="0" w:color="auto"/>
              <w:bottom w:val="single" w:sz="4" w:space="0" w:color="auto"/>
              <w:right w:val="single" w:sz="4" w:space="0" w:color="auto"/>
            </w:tcBorders>
            <w:shd w:val="clear" w:color="auto" w:fill="auto"/>
            <w:vAlign w:val="center"/>
          </w:tcPr>
          <w:p w14:paraId="22A59368" w14:textId="77777777" w:rsidR="00123751" w:rsidRPr="007C1B68" w:rsidRDefault="00123751" w:rsidP="0039211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6"/>
                <w:szCs w:val="16"/>
                <w:lang w:val="en-GB"/>
              </w:rPr>
            </w:pPr>
            <w:r w:rsidRPr="007C1B68">
              <w:rPr>
                <w:rFonts w:asciiTheme="minorHAnsi" w:hAnsiTheme="minorHAnsi" w:cstheme="minorHAnsi"/>
                <w:color w:val="000000" w:themeColor="text1"/>
                <w:sz w:val="16"/>
                <w:szCs w:val="16"/>
                <w:lang w:val="en-GB"/>
              </w:rPr>
              <w:t>18 online courses</w:t>
            </w:r>
          </w:p>
          <w:p w14:paraId="4514C696" w14:textId="77777777" w:rsidR="00123751" w:rsidRPr="007C1B68" w:rsidRDefault="00123751" w:rsidP="0039211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6"/>
                <w:szCs w:val="16"/>
                <w:lang w:val="en-GB"/>
              </w:rPr>
            </w:pPr>
          </w:p>
        </w:tc>
        <w:tc>
          <w:tcPr>
            <w:tcW w:w="0" w:type="auto"/>
            <w:tcBorders>
              <w:top w:val="single" w:sz="4" w:space="0" w:color="auto"/>
              <w:left w:val="single" w:sz="4" w:space="0" w:color="auto"/>
              <w:bottom w:val="single" w:sz="4" w:space="0" w:color="auto"/>
              <w:right w:val="single" w:sz="4" w:space="0" w:color="auto"/>
            </w:tcBorders>
            <w:vAlign w:val="center"/>
          </w:tcPr>
          <w:p w14:paraId="49133F1C" w14:textId="77777777" w:rsidR="00123751" w:rsidRPr="007C1B68"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C1B68">
              <w:rPr>
                <w:color w:val="000000" w:themeColor="text1"/>
                <w:sz w:val="16"/>
                <w:szCs w:val="16"/>
                <w:lang w:val="en-GB"/>
              </w:rPr>
              <w:t>Chronic pain</w:t>
            </w:r>
          </w:p>
          <w:p w14:paraId="0268EE1E" w14:textId="77777777" w:rsidR="00123751" w:rsidRPr="007C1B68"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C1B68">
              <w:rPr>
                <w:color w:val="000000" w:themeColor="text1"/>
                <w:sz w:val="16"/>
                <w:szCs w:val="16"/>
                <w:lang w:val="en-GB"/>
              </w:rPr>
              <w:t>Depression</w:t>
            </w:r>
          </w:p>
          <w:p w14:paraId="0E839951" w14:textId="77777777" w:rsidR="00123751" w:rsidRPr="007C1B68"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C1B68">
              <w:rPr>
                <w:color w:val="000000" w:themeColor="text1"/>
                <w:sz w:val="16"/>
                <w:szCs w:val="16"/>
                <w:lang w:val="en-GB"/>
              </w:rPr>
              <w:t>GAD</w:t>
            </w:r>
          </w:p>
          <w:p w14:paraId="699D768B" w14:textId="77777777" w:rsidR="00123751" w:rsidRPr="007C1B68"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C1B68">
              <w:rPr>
                <w:color w:val="000000" w:themeColor="text1"/>
                <w:sz w:val="16"/>
                <w:szCs w:val="16"/>
                <w:lang w:val="en-GB"/>
              </w:rPr>
              <w:t>Health anxiety</w:t>
            </w:r>
          </w:p>
          <w:p w14:paraId="58D9933A" w14:textId="77777777" w:rsidR="00123751" w:rsidRPr="007C1B68"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C1B68">
              <w:rPr>
                <w:color w:val="000000" w:themeColor="text1"/>
                <w:sz w:val="16"/>
                <w:szCs w:val="16"/>
                <w:lang w:val="en-GB"/>
              </w:rPr>
              <w:t>OCD</w:t>
            </w:r>
          </w:p>
          <w:p w14:paraId="2DF20504" w14:textId="77777777" w:rsidR="00123751" w:rsidRPr="007C1B68"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C1B68">
              <w:rPr>
                <w:color w:val="000000" w:themeColor="text1"/>
                <w:sz w:val="16"/>
                <w:szCs w:val="16"/>
                <w:lang w:val="en-GB"/>
              </w:rPr>
              <w:t>PTSD</w:t>
            </w:r>
          </w:p>
          <w:p w14:paraId="38B74857" w14:textId="77777777" w:rsidR="00123751" w:rsidRPr="007C1B68"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C1B68">
              <w:rPr>
                <w:color w:val="000000" w:themeColor="text1"/>
                <w:sz w:val="16"/>
                <w:szCs w:val="16"/>
                <w:lang w:val="en-GB"/>
              </w:rPr>
              <w:t>Panic</w:t>
            </w:r>
          </w:p>
          <w:p w14:paraId="6A5EFBEF" w14:textId="77777777" w:rsidR="00123751" w:rsidRPr="007C1B68"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C1B68">
              <w:rPr>
                <w:color w:val="000000" w:themeColor="text1"/>
                <w:sz w:val="16"/>
                <w:szCs w:val="16"/>
                <w:lang w:val="en-GB"/>
              </w:rPr>
              <w:t>Mixed depression and anxiety</w:t>
            </w:r>
          </w:p>
          <w:p w14:paraId="58F3E0DB" w14:textId="77777777" w:rsidR="00123751" w:rsidRPr="007C1B68"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C1B68">
              <w:rPr>
                <w:color w:val="000000" w:themeColor="text1"/>
                <w:sz w:val="16"/>
                <w:szCs w:val="16"/>
                <w:lang w:val="en-GB"/>
              </w:rPr>
              <w:t>Insomnia</w:t>
            </w:r>
          </w:p>
          <w:p w14:paraId="1F061404" w14:textId="77777777" w:rsidR="00123751" w:rsidRPr="007C1B68"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C1B68">
              <w:rPr>
                <w:color w:val="000000" w:themeColor="text1"/>
                <w:sz w:val="16"/>
                <w:szCs w:val="16"/>
                <w:lang w:val="en-GB"/>
              </w:rPr>
              <w:t>Pregnancy anxiety and depression</w:t>
            </w:r>
          </w:p>
          <w:p w14:paraId="473AAADB" w14:textId="77777777" w:rsidR="00123751" w:rsidRPr="007C1B68"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C1B68">
              <w:rPr>
                <w:color w:val="000000" w:themeColor="text1"/>
                <w:sz w:val="16"/>
                <w:szCs w:val="16"/>
                <w:lang w:val="en-GB"/>
              </w:rPr>
              <w:t>Postnatal anxiety and depression</w:t>
            </w:r>
          </w:p>
          <w:p w14:paraId="30B95F63" w14:textId="77777777" w:rsidR="00123751" w:rsidRPr="007C1B68"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C1B68">
              <w:rPr>
                <w:color w:val="000000" w:themeColor="text1"/>
                <w:sz w:val="16"/>
                <w:szCs w:val="16"/>
                <w:lang w:val="en-GB"/>
              </w:rPr>
              <w:t xml:space="preserve"> Social anxiety</w:t>
            </w:r>
          </w:p>
          <w:p w14:paraId="528D2BE9" w14:textId="77777777" w:rsidR="00123751" w:rsidRPr="007C1B68"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C1B68">
              <w:rPr>
                <w:color w:val="000000" w:themeColor="text1"/>
                <w:sz w:val="16"/>
                <w:szCs w:val="16"/>
                <w:lang w:val="en-GB"/>
              </w:rPr>
              <w:t>Student wellbeing</w:t>
            </w:r>
          </w:p>
          <w:p w14:paraId="0CDA6669" w14:textId="77777777" w:rsidR="00123751" w:rsidRPr="007C1B68" w:rsidRDefault="00123751" w:rsidP="00634B19">
            <w:pPr>
              <w:pStyle w:val="ListParagraph"/>
              <w:numPr>
                <w:ilvl w:val="0"/>
                <w:numId w:val="5"/>
              </w:numPr>
              <w:ind w:left="119" w:hanging="119"/>
              <w:cnfStyle w:val="000000000000" w:firstRow="0" w:lastRow="0" w:firstColumn="0" w:lastColumn="0" w:oddVBand="0" w:evenVBand="0" w:oddHBand="0" w:evenHBand="0" w:firstRowFirstColumn="0" w:firstRowLastColumn="0" w:lastRowFirstColumn="0" w:lastRowLastColumn="0"/>
              <w:rPr>
                <w:color w:val="000000" w:themeColor="text1"/>
                <w:sz w:val="16"/>
                <w:szCs w:val="16"/>
                <w:lang w:val="en-GB"/>
              </w:rPr>
            </w:pPr>
            <w:r w:rsidRPr="007C1B68">
              <w:rPr>
                <w:color w:val="000000" w:themeColor="text1"/>
                <w:sz w:val="16"/>
                <w:szCs w:val="16"/>
                <w:lang w:val="en-GB"/>
              </w:rPr>
              <w:t xml:space="preserve"> Stress</w:t>
            </w:r>
          </w:p>
        </w:tc>
        <w:tc>
          <w:tcPr>
            <w:tcW w:w="0" w:type="auto"/>
            <w:tcBorders>
              <w:top w:val="single" w:sz="4" w:space="0" w:color="auto"/>
              <w:left w:val="single" w:sz="4" w:space="0" w:color="auto"/>
              <w:bottom w:val="single" w:sz="4" w:space="0" w:color="auto"/>
              <w:right w:val="single" w:sz="4" w:space="0" w:color="auto"/>
            </w:tcBorders>
            <w:vAlign w:val="center"/>
          </w:tcPr>
          <w:p w14:paraId="319778AD" w14:textId="77777777" w:rsidR="00123751" w:rsidRPr="007C1B68" w:rsidRDefault="00123751" w:rsidP="0039211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6"/>
                <w:szCs w:val="16"/>
                <w:lang w:val="en-GB"/>
              </w:rPr>
            </w:pPr>
            <w:r w:rsidRPr="007C1B68">
              <w:rPr>
                <w:rFonts w:asciiTheme="minorHAnsi" w:hAnsiTheme="minorHAnsi" w:cstheme="minorHAnsi"/>
                <w:color w:val="000000" w:themeColor="text1"/>
                <w:sz w:val="16"/>
                <w:szCs w:val="16"/>
                <w:lang w:val="en-GB"/>
              </w:rPr>
              <w:t>Self-guided courses, 3-8 modules</w:t>
            </w:r>
          </w:p>
        </w:tc>
        <w:tc>
          <w:tcPr>
            <w:tcW w:w="0" w:type="auto"/>
            <w:tcBorders>
              <w:top w:val="single" w:sz="4" w:space="0" w:color="auto"/>
              <w:left w:val="single" w:sz="4" w:space="0" w:color="auto"/>
              <w:bottom w:val="single" w:sz="4" w:space="0" w:color="auto"/>
              <w:right w:val="single" w:sz="4" w:space="0" w:color="auto"/>
            </w:tcBorders>
            <w:vAlign w:val="center"/>
          </w:tcPr>
          <w:p w14:paraId="1AFD56F9" w14:textId="527725BC" w:rsidR="00123751" w:rsidRPr="007C1B68"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C1B68">
              <w:rPr>
                <w:color w:val="000000" w:themeColor="text1"/>
                <w:sz w:val="16"/>
                <w:szCs w:val="16"/>
              </w:rPr>
              <w:t>All courses available with or without support from consumer's own mental health professional (GP, psychologist, medical specialist etc).</w:t>
            </w:r>
          </w:p>
          <w:p w14:paraId="03FE44EF" w14:textId="77777777" w:rsidR="00123751" w:rsidRPr="007C1B68"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C1B68">
              <w:rPr>
                <w:color w:val="000000" w:themeColor="text1"/>
                <w:sz w:val="16"/>
                <w:szCs w:val="16"/>
              </w:rPr>
              <w:t>&gt;27,000 clinicians registered since 2008 (2200 Jan-Jun 2021) – most in Australia</w:t>
            </w:r>
          </w:p>
          <w:p w14:paraId="4CA73A53" w14:textId="77777777" w:rsidR="00123751" w:rsidRPr="007C1B68"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C1B68">
              <w:rPr>
                <w:color w:val="000000" w:themeColor="text1"/>
                <w:sz w:val="16"/>
                <w:szCs w:val="16"/>
              </w:rPr>
              <w:t>~40/60 self-directed/supported</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6755027" w14:textId="77777777" w:rsidR="00123751" w:rsidRPr="007C1B68"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C1B68">
              <w:rPr>
                <w:color w:val="000000" w:themeColor="text1"/>
                <w:sz w:val="16"/>
                <w:szCs w:val="16"/>
              </w:rPr>
              <w:t>Adults (18+ years)</w:t>
            </w:r>
          </w:p>
          <w:p w14:paraId="1D90C562" w14:textId="77777777" w:rsidR="00123751" w:rsidRPr="007C1B68"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p>
          <w:p w14:paraId="55F0F294" w14:textId="77777777" w:rsidR="00123751" w:rsidRPr="007C1B68"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C1B68">
              <w:rPr>
                <w:color w:val="000000" w:themeColor="text1"/>
                <w:sz w:val="16"/>
                <w:szCs w:val="16"/>
              </w:rPr>
              <w:t>Teens (12-17 years)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796F787" w14:textId="77777777" w:rsidR="00123751" w:rsidRPr="007C1B68"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C1B68">
              <w:rPr>
                <w:color w:val="000000" w:themeColor="text1"/>
                <w:sz w:val="16"/>
                <w:szCs w:val="16"/>
              </w:rPr>
              <w:t>Pre-2019 $59 for most courses.</w:t>
            </w:r>
          </w:p>
          <w:p w14:paraId="15A2AEC4" w14:textId="77777777" w:rsidR="00123751" w:rsidRPr="007C1B68"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C1B68">
              <w:rPr>
                <w:color w:val="000000" w:themeColor="text1"/>
                <w:sz w:val="16"/>
                <w:szCs w:val="16"/>
              </w:rPr>
              <w:t>2019 no cost if referred by registered clinician.</w:t>
            </w:r>
          </w:p>
          <w:p w14:paraId="1D175BF0" w14:textId="77777777" w:rsidR="00123751" w:rsidRPr="007C1B68"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C1B68">
              <w:rPr>
                <w:color w:val="000000" w:themeColor="text1"/>
                <w:sz w:val="16"/>
                <w:szCs w:val="16"/>
              </w:rPr>
              <w:t>2020 no cost for any course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42ECBA6" w14:textId="77777777" w:rsidR="00123751" w:rsidRPr="007C1B68"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C1B68">
              <w:rPr>
                <w:color w:val="000000" w:themeColor="text1"/>
                <w:sz w:val="16"/>
                <w:szCs w:val="16"/>
              </w:rPr>
              <w:t>CBT</w:t>
            </w:r>
          </w:p>
          <w:p w14:paraId="32476165" w14:textId="77777777" w:rsidR="00123751" w:rsidRPr="007C1B68" w:rsidRDefault="00123751" w:rsidP="000A3834">
            <w:pPr>
              <w:pStyle w:val="ListParagraph"/>
              <w:numPr>
                <w:ilvl w:val="0"/>
                <w:numId w:val="4"/>
              </w:numPr>
              <w:ind w:left="104" w:hanging="104"/>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7C1B68">
              <w:rPr>
                <w:color w:val="000000" w:themeColor="text1"/>
                <w:sz w:val="16"/>
                <w:szCs w:val="16"/>
              </w:rPr>
              <w:t>Mindfulness</w:t>
            </w:r>
          </w:p>
        </w:tc>
      </w:tr>
    </w:tbl>
    <w:p w14:paraId="40300545" w14:textId="5861F7A1" w:rsidR="007A1C10" w:rsidRPr="00D376B6" w:rsidRDefault="00753518" w:rsidP="007949A9">
      <w:pPr>
        <w:rPr>
          <w:rFonts w:asciiTheme="minorHAnsi" w:hAnsiTheme="minorHAnsi" w:cstheme="minorHAnsi"/>
          <w:sz w:val="16"/>
          <w:szCs w:val="16"/>
        </w:rPr>
      </w:pPr>
      <w:r>
        <w:rPr>
          <w:rFonts w:asciiTheme="minorHAnsi" w:hAnsiTheme="minorHAnsi" w:cstheme="minorHAnsi"/>
          <w:sz w:val="16"/>
          <w:szCs w:val="16"/>
        </w:rPr>
        <w:t>CBT, cognitive behavioural therapy; GAD, generalised anxiety disorder; OCD, obsessive compulsive disorder; PTSD, post-traumatic stress disorder.</w:t>
      </w:r>
    </w:p>
    <w:p w14:paraId="7481F6CA" w14:textId="77777777" w:rsidR="007A1C10" w:rsidRDefault="007A1C10">
      <w:pPr>
        <w:rPr>
          <w:lang w:val="en-US" w:bidi="th-TH"/>
        </w:rPr>
      </w:pPr>
      <w:r>
        <w:rPr>
          <w:lang w:val="en-US" w:bidi="th-TH"/>
        </w:rPr>
        <w:br w:type="page"/>
      </w:r>
    </w:p>
    <w:p w14:paraId="1BDD33DA" w14:textId="77777777" w:rsidR="00031809" w:rsidRPr="00AA6B28" w:rsidRDefault="00031809" w:rsidP="00144583">
      <w:pPr>
        <w:pStyle w:val="ANorm"/>
        <w:rPr>
          <w:lang w:val="en-US" w:bidi="th-TH"/>
        </w:rPr>
        <w:sectPr w:rsidR="00031809" w:rsidRPr="00AA6B28" w:rsidSect="00990081">
          <w:pgSz w:w="16838" w:h="11906" w:orient="landscape"/>
          <w:pgMar w:top="1440" w:right="1440" w:bottom="1440" w:left="1440" w:header="708" w:footer="708" w:gutter="0"/>
          <w:cols w:space="708"/>
          <w:docGrid w:linePitch="360"/>
        </w:sectPr>
      </w:pPr>
    </w:p>
    <w:p w14:paraId="02C52057" w14:textId="7531B94F" w:rsidR="002A7662" w:rsidRPr="00E357F8" w:rsidRDefault="001F7D50" w:rsidP="00765656">
      <w:pPr>
        <w:pStyle w:val="Heading1"/>
        <w:numPr>
          <w:ilvl w:val="0"/>
          <w:numId w:val="136"/>
        </w:numPr>
      </w:pPr>
      <w:bookmarkStart w:id="40" w:name="_Toc108784831"/>
      <w:bookmarkStart w:id="41" w:name="_Toc87968438"/>
      <w:bookmarkStart w:id="42" w:name="_Toc87972084"/>
      <w:r w:rsidRPr="00E357F8">
        <w:lastRenderedPageBreak/>
        <w:t>Service uptake and</w:t>
      </w:r>
      <w:r w:rsidR="009A19D2" w:rsidRPr="00E357F8">
        <w:t xml:space="preserve"> </w:t>
      </w:r>
      <w:r w:rsidR="001B503B">
        <w:t xml:space="preserve">consumer </w:t>
      </w:r>
      <w:r w:rsidRPr="00E357F8">
        <w:t>characteristics</w:t>
      </w:r>
      <w:bookmarkEnd w:id="40"/>
    </w:p>
    <w:p w14:paraId="2E215AE0" w14:textId="3078787B" w:rsidR="007B088A" w:rsidRPr="0059649B" w:rsidRDefault="009E1950" w:rsidP="006F6DCB">
      <w:pPr>
        <w:pStyle w:val="Heading2"/>
      </w:pPr>
      <w:bookmarkStart w:id="43" w:name="_Toc102047063"/>
      <w:bookmarkStart w:id="44" w:name="_Toc102047149"/>
      <w:bookmarkStart w:id="45" w:name="_Toc108784832"/>
      <w:bookmarkEnd w:id="43"/>
      <w:bookmarkEnd w:id="44"/>
      <w:r w:rsidRPr="0059649B">
        <w:t>Our a</w:t>
      </w:r>
      <w:r w:rsidR="007B088A" w:rsidRPr="0059649B">
        <w:t>pproach</w:t>
      </w:r>
      <w:bookmarkEnd w:id="45"/>
    </w:p>
    <w:p w14:paraId="325E3282" w14:textId="4F61B921" w:rsidR="00431A09" w:rsidRPr="001D3C19" w:rsidRDefault="007B088A" w:rsidP="002029DC">
      <w:pPr>
        <w:spacing w:after="200"/>
        <w:rPr>
          <w:rFonts w:asciiTheme="minorHAnsi" w:hAnsiTheme="minorHAnsi" w:cstheme="minorHAnsi"/>
          <w:sz w:val="21"/>
          <w:szCs w:val="21"/>
        </w:rPr>
      </w:pPr>
      <w:r w:rsidRPr="001D3C19">
        <w:rPr>
          <w:rFonts w:asciiTheme="minorHAnsi" w:hAnsiTheme="minorHAnsi" w:cstheme="minorHAnsi"/>
          <w:sz w:val="21"/>
          <w:szCs w:val="21"/>
        </w:rPr>
        <w:t xml:space="preserve">We </w:t>
      </w:r>
      <w:r w:rsidR="0057163D" w:rsidRPr="001D3C19">
        <w:rPr>
          <w:rFonts w:asciiTheme="minorHAnsi" w:hAnsiTheme="minorHAnsi" w:cstheme="minorHAnsi"/>
          <w:sz w:val="21"/>
          <w:szCs w:val="21"/>
        </w:rPr>
        <w:t>used</w:t>
      </w:r>
      <w:r w:rsidR="00926A26" w:rsidRPr="001D3C19">
        <w:rPr>
          <w:rFonts w:asciiTheme="minorHAnsi" w:hAnsiTheme="minorHAnsi" w:cstheme="minorHAnsi"/>
          <w:sz w:val="21"/>
          <w:szCs w:val="21"/>
        </w:rPr>
        <w:t xml:space="preserve"> aggregate </w:t>
      </w:r>
      <w:r w:rsidR="00360EF4" w:rsidRPr="001D3C19">
        <w:rPr>
          <w:rFonts w:asciiTheme="minorHAnsi" w:hAnsiTheme="minorHAnsi" w:cstheme="minorHAnsi"/>
          <w:sz w:val="21"/>
          <w:szCs w:val="21"/>
        </w:rPr>
        <w:t xml:space="preserve">routinely collected service use </w:t>
      </w:r>
      <w:r w:rsidR="00926A26" w:rsidRPr="001D3C19">
        <w:rPr>
          <w:rFonts w:asciiTheme="minorHAnsi" w:hAnsiTheme="minorHAnsi" w:cstheme="minorHAnsi"/>
          <w:sz w:val="21"/>
          <w:szCs w:val="21"/>
        </w:rPr>
        <w:t>data</w:t>
      </w:r>
      <w:r w:rsidR="00262C36" w:rsidRPr="001D3C19">
        <w:rPr>
          <w:rFonts w:asciiTheme="minorHAnsi" w:hAnsiTheme="minorHAnsi" w:cstheme="minorHAnsi"/>
          <w:sz w:val="21"/>
          <w:szCs w:val="21"/>
        </w:rPr>
        <w:t xml:space="preserve"> </w:t>
      </w:r>
      <w:r w:rsidR="00D22B7D" w:rsidRPr="001D3C19">
        <w:rPr>
          <w:rFonts w:asciiTheme="minorHAnsi" w:hAnsiTheme="minorHAnsi" w:cstheme="minorHAnsi"/>
          <w:sz w:val="21"/>
          <w:szCs w:val="21"/>
        </w:rPr>
        <w:t>(</w:t>
      </w:r>
      <w:r w:rsidR="00E961E0" w:rsidRPr="001D3C19">
        <w:rPr>
          <w:rFonts w:asciiTheme="minorHAnsi" w:hAnsiTheme="minorHAnsi" w:cstheme="minorHAnsi"/>
          <w:sz w:val="21"/>
          <w:szCs w:val="21"/>
        </w:rPr>
        <w:t>assessment</w:t>
      </w:r>
      <w:r w:rsidR="00F676B7" w:rsidRPr="001D3C19">
        <w:rPr>
          <w:rFonts w:asciiTheme="minorHAnsi" w:hAnsiTheme="minorHAnsi" w:cstheme="minorHAnsi"/>
          <w:sz w:val="21"/>
          <w:szCs w:val="21"/>
        </w:rPr>
        <w:t>,</w:t>
      </w:r>
      <w:r w:rsidR="00E961E0" w:rsidRPr="001D3C19">
        <w:rPr>
          <w:rFonts w:asciiTheme="minorHAnsi" w:hAnsiTheme="minorHAnsi" w:cstheme="minorHAnsi"/>
          <w:sz w:val="21"/>
          <w:szCs w:val="21"/>
        </w:rPr>
        <w:t xml:space="preserve"> self-directed </w:t>
      </w:r>
      <w:proofErr w:type="gramStart"/>
      <w:r w:rsidR="00E961E0" w:rsidRPr="001D3C19">
        <w:rPr>
          <w:rFonts w:asciiTheme="minorHAnsi" w:hAnsiTheme="minorHAnsi" w:cstheme="minorHAnsi"/>
          <w:sz w:val="21"/>
          <w:szCs w:val="21"/>
        </w:rPr>
        <w:t>treatment</w:t>
      </w:r>
      <w:proofErr w:type="gramEnd"/>
      <w:r w:rsidR="00E961E0" w:rsidRPr="001D3C19">
        <w:rPr>
          <w:rFonts w:asciiTheme="minorHAnsi" w:hAnsiTheme="minorHAnsi" w:cstheme="minorHAnsi"/>
          <w:sz w:val="21"/>
          <w:szCs w:val="21"/>
        </w:rPr>
        <w:t xml:space="preserve"> and </w:t>
      </w:r>
      <w:r w:rsidR="00E0621B">
        <w:rPr>
          <w:rFonts w:asciiTheme="minorHAnsi" w:hAnsiTheme="minorHAnsi" w:cstheme="minorHAnsi"/>
          <w:sz w:val="21"/>
          <w:szCs w:val="21"/>
        </w:rPr>
        <w:t>therapist-</w:t>
      </w:r>
      <w:r w:rsidR="00E961E0" w:rsidRPr="001D3C19">
        <w:rPr>
          <w:rFonts w:asciiTheme="minorHAnsi" w:hAnsiTheme="minorHAnsi" w:cstheme="minorHAnsi"/>
          <w:sz w:val="21"/>
          <w:szCs w:val="21"/>
        </w:rPr>
        <w:t>supported treatment)</w:t>
      </w:r>
      <w:r w:rsidR="00BF1BF1" w:rsidRPr="001D3C19">
        <w:rPr>
          <w:rFonts w:asciiTheme="minorHAnsi" w:hAnsiTheme="minorHAnsi" w:cstheme="minorHAnsi"/>
          <w:sz w:val="21"/>
          <w:szCs w:val="21"/>
        </w:rPr>
        <w:t>, peer</w:t>
      </w:r>
      <w:r w:rsidR="00E615A1" w:rsidRPr="001D3C19">
        <w:rPr>
          <w:rFonts w:asciiTheme="minorHAnsi" w:hAnsiTheme="minorHAnsi" w:cstheme="minorHAnsi"/>
          <w:sz w:val="21"/>
          <w:szCs w:val="21"/>
        </w:rPr>
        <w:t>-</w:t>
      </w:r>
      <w:r w:rsidR="00BF1BF1" w:rsidRPr="001D3C19">
        <w:rPr>
          <w:rFonts w:asciiTheme="minorHAnsi" w:hAnsiTheme="minorHAnsi" w:cstheme="minorHAnsi"/>
          <w:sz w:val="21"/>
          <w:szCs w:val="21"/>
        </w:rPr>
        <w:t>reviewed publications</w:t>
      </w:r>
      <w:r w:rsidR="00E961E0" w:rsidRPr="001D3C19">
        <w:rPr>
          <w:rFonts w:asciiTheme="minorHAnsi" w:hAnsiTheme="minorHAnsi" w:cstheme="minorHAnsi"/>
          <w:sz w:val="21"/>
          <w:szCs w:val="21"/>
        </w:rPr>
        <w:t xml:space="preserve"> </w:t>
      </w:r>
      <w:r w:rsidR="00BF1BF1" w:rsidRPr="001D3C19">
        <w:rPr>
          <w:rFonts w:asciiTheme="minorHAnsi" w:hAnsiTheme="minorHAnsi" w:cstheme="minorHAnsi"/>
          <w:sz w:val="21"/>
          <w:szCs w:val="21"/>
        </w:rPr>
        <w:t xml:space="preserve">and service documents </w:t>
      </w:r>
      <w:r w:rsidR="002E35EE" w:rsidRPr="001D3C19">
        <w:rPr>
          <w:rFonts w:asciiTheme="minorHAnsi" w:hAnsiTheme="minorHAnsi" w:cstheme="minorHAnsi"/>
          <w:sz w:val="21"/>
          <w:szCs w:val="21"/>
        </w:rPr>
        <w:t>provided by the three DMHS</w:t>
      </w:r>
      <w:r w:rsidR="00BF1BF1" w:rsidRPr="001D3C19">
        <w:rPr>
          <w:rFonts w:asciiTheme="minorHAnsi" w:hAnsiTheme="minorHAnsi" w:cstheme="minorHAnsi"/>
          <w:sz w:val="21"/>
          <w:szCs w:val="21"/>
        </w:rPr>
        <w:t>s</w:t>
      </w:r>
      <w:r w:rsidR="00926A26" w:rsidRPr="001D3C19">
        <w:rPr>
          <w:rFonts w:asciiTheme="minorHAnsi" w:hAnsiTheme="minorHAnsi" w:cstheme="minorHAnsi"/>
          <w:sz w:val="21"/>
          <w:szCs w:val="21"/>
        </w:rPr>
        <w:t>.</w:t>
      </w:r>
      <w:r w:rsidR="00BF1BF1" w:rsidRPr="001D3C19">
        <w:rPr>
          <w:rFonts w:asciiTheme="minorHAnsi" w:hAnsiTheme="minorHAnsi" w:cstheme="minorHAnsi"/>
          <w:sz w:val="21"/>
          <w:szCs w:val="21"/>
        </w:rPr>
        <w:t xml:space="preserve"> We used these data sources to describe </w:t>
      </w:r>
      <w:r w:rsidR="001F7D50">
        <w:rPr>
          <w:rFonts w:asciiTheme="minorHAnsi" w:hAnsiTheme="minorHAnsi" w:cstheme="minorHAnsi"/>
          <w:sz w:val="21"/>
          <w:szCs w:val="21"/>
        </w:rPr>
        <w:t xml:space="preserve">service </w:t>
      </w:r>
      <w:r w:rsidR="00BF1BF1" w:rsidRPr="001D3C19">
        <w:rPr>
          <w:rFonts w:asciiTheme="minorHAnsi" w:hAnsiTheme="minorHAnsi" w:cstheme="minorHAnsi"/>
          <w:sz w:val="21"/>
          <w:szCs w:val="21"/>
        </w:rPr>
        <w:t>uptake</w:t>
      </w:r>
      <w:r w:rsidR="001F7D50">
        <w:rPr>
          <w:rFonts w:asciiTheme="minorHAnsi" w:hAnsiTheme="minorHAnsi" w:cstheme="minorHAnsi"/>
          <w:sz w:val="21"/>
          <w:szCs w:val="21"/>
        </w:rPr>
        <w:t xml:space="preserve"> </w:t>
      </w:r>
      <w:r w:rsidR="00BF1BF1" w:rsidRPr="001D3C19">
        <w:rPr>
          <w:rFonts w:asciiTheme="minorHAnsi" w:hAnsiTheme="minorHAnsi" w:cstheme="minorHAnsi"/>
          <w:sz w:val="21"/>
          <w:szCs w:val="21"/>
        </w:rPr>
        <w:t xml:space="preserve">and the socio-demographic and clinical characteristics of </w:t>
      </w:r>
      <w:r w:rsidR="001F7D50">
        <w:rPr>
          <w:rFonts w:asciiTheme="minorHAnsi" w:hAnsiTheme="minorHAnsi" w:cstheme="minorHAnsi"/>
          <w:sz w:val="21"/>
          <w:szCs w:val="21"/>
        </w:rPr>
        <w:t>c</w:t>
      </w:r>
      <w:r w:rsidR="001F7D50" w:rsidRPr="001D3C19">
        <w:rPr>
          <w:rFonts w:asciiTheme="minorHAnsi" w:hAnsiTheme="minorHAnsi" w:cstheme="minorHAnsi"/>
          <w:sz w:val="21"/>
          <w:szCs w:val="21"/>
        </w:rPr>
        <w:t>onsumers accessing</w:t>
      </w:r>
      <w:r w:rsidR="001F7D50">
        <w:rPr>
          <w:rFonts w:asciiTheme="minorHAnsi" w:hAnsiTheme="minorHAnsi" w:cstheme="minorHAnsi"/>
          <w:sz w:val="21"/>
          <w:szCs w:val="21"/>
        </w:rPr>
        <w:t xml:space="preserve"> </w:t>
      </w:r>
      <w:r w:rsidR="00496624" w:rsidRPr="001D3C19">
        <w:rPr>
          <w:rFonts w:asciiTheme="minorHAnsi" w:hAnsiTheme="minorHAnsi" w:cstheme="minorHAnsi"/>
          <w:sz w:val="21"/>
          <w:szCs w:val="21"/>
        </w:rPr>
        <w:t>these DMHSs</w:t>
      </w:r>
      <w:r w:rsidR="001F7D50">
        <w:rPr>
          <w:rFonts w:asciiTheme="minorHAnsi" w:hAnsiTheme="minorHAnsi" w:cstheme="minorHAnsi"/>
          <w:sz w:val="21"/>
          <w:szCs w:val="21"/>
        </w:rPr>
        <w:t xml:space="preserve">. </w:t>
      </w:r>
      <w:r w:rsidR="00BF1BF1" w:rsidRPr="00CC6CD3">
        <w:rPr>
          <w:rFonts w:asciiTheme="minorHAnsi" w:hAnsiTheme="minorHAnsi" w:cstheme="minorHAnsi"/>
          <w:sz w:val="21"/>
          <w:szCs w:val="21"/>
        </w:rPr>
        <w:t xml:space="preserve">Appendix </w:t>
      </w:r>
      <w:r w:rsidR="00CC6CD3" w:rsidRPr="00CC6CD3">
        <w:rPr>
          <w:rFonts w:asciiTheme="minorHAnsi" w:hAnsiTheme="minorHAnsi" w:cstheme="minorHAnsi"/>
          <w:sz w:val="21"/>
          <w:szCs w:val="21"/>
        </w:rPr>
        <w:t>B</w:t>
      </w:r>
      <w:r w:rsidR="00BF1BF1" w:rsidRPr="00CC6CD3">
        <w:rPr>
          <w:rFonts w:asciiTheme="minorHAnsi" w:hAnsiTheme="minorHAnsi" w:cstheme="minorHAnsi"/>
          <w:sz w:val="21"/>
          <w:szCs w:val="21"/>
        </w:rPr>
        <w:t xml:space="preserve"> provides further details about the data sources </w:t>
      </w:r>
      <w:r w:rsidR="00BF1BF1" w:rsidRPr="001D3C19">
        <w:rPr>
          <w:rFonts w:asciiTheme="minorHAnsi" w:hAnsiTheme="minorHAnsi" w:cstheme="minorHAnsi"/>
          <w:sz w:val="21"/>
          <w:szCs w:val="21"/>
        </w:rPr>
        <w:t>we used.</w:t>
      </w:r>
    </w:p>
    <w:p w14:paraId="130593A3" w14:textId="73080060" w:rsidR="00926A26" w:rsidRPr="00F5587F" w:rsidRDefault="00CE581E" w:rsidP="002029DC">
      <w:pPr>
        <w:pStyle w:val="ANorm"/>
        <w:spacing w:after="200"/>
      </w:pPr>
      <w:r w:rsidRPr="001D3C19">
        <w:rPr>
          <w:rFonts w:asciiTheme="minorHAnsi" w:hAnsiTheme="minorHAnsi" w:cstheme="minorHAnsi"/>
        </w:rPr>
        <w:t>Findings in this section of the report should be read keeping in mind not only the differen</w:t>
      </w:r>
      <w:r w:rsidR="00E615A1" w:rsidRPr="001D3C19">
        <w:rPr>
          <w:rFonts w:asciiTheme="minorHAnsi" w:hAnsiTheme="minorHAnsi" w:cstheme="minorHAnsi"/>
        </w:rPr>
        <w:t>t service delivery models</w:t>
      </w:r>
      <w:r w:rsidRPr="001D3C19">
        <w:rPr>
          <w:rFonts w:asciiTheme="minorHAnsi" w:hAnsiTheme="minorHAnsi" w:cstheme="minorHAnsi"/>
        </w:rPr>
        <w:t xml:space="preserve"> </w:t>
      </w:r>
      <w:r w:rsidR="00E615A1" w:rsidRPr="001D3C19">
        <w:rPr>
          <w:rFonts w:asciiTheme="minorHAnsi" w:hAnsiTheme="minorHAnsi" w:cstheme="minorHAnsi"/>
        </w:rPr>
        <w:t>used</w:t>
      </w:r>
      <w:r w:rsidRPr="001D3C19">
        <w:rPr>
          <w:rFonts w:asciiTheme="minorHAnsi" w:hAnsiTheme="minorHAnsi" w:cstheme="minorHAnsi"/>
        </w:rPr>
        <w:t>, but also differences in the</w:t>
      </w:r>
      <w:r w:rsidR="00A778BC" w:rsidRPr="001D3C19">
        <w:rPr>
          <w:rFonts w:asciiTheme="minorHAnsi" w:hAnsiTheme="minorHAnsi" w:cstheme="minorHAnsi"/>
        </w:rPr>
        <w:t xml:space="preserve"> </w:t>
      </w:r>
      <w:r w:rsidRPr="001D3C19">
        <w:rPr>
          <w:rFonts w:asciiTheme="minorHAnsi" w:hAnsiTheme="minorHAnsi" w:cstheme="minorHAnsi"/>
        </w:rPr>
        <w:t xml:space="preserve">data </w:t>
      </w:r>
      <w:r w:rsidRPr="00DB1CB0">
        <w:rPr>
          <w:rFonts w:asciiTheme="minorHAnsi" w:hAnsiTheme="minorHAnsi" w:cstheme="minorHAnsi"/>
        </w:rPr>
        <w:t>capture systems and the types of data collect</w:t>
      </w:r>
      <w:r w:rsidR="00A778BC" w:rsidRPr="00DB1CB0">
        <w:rPr>
          <w:rFonts w:asciiTheme="minorHAnsi" w:hAnsiTheme="minorHAnsi" w:cstheme="minorHAnsi"/>
        </w:rPr>
        <w:t>ed by each of the DMHSs</w:t>
      </w:r>
      <w:r w:rsidR="00AD62D7">
        <w:rPr>
          <w:rFonts w:asciiTheme="minorHAnsi" w:hAnsiTheme="minorHAnsi" w:cstheme="minorHAnsi"/>
        </w:rPr>
        <w:t>.</w:t>
      </w:r>
      <w:r w:rsidR="005E127F" w:rsidRPr="00DB1CB0">
        <w:rPr>
          <w:rFonts w:asciiTheme="minorHAnsi" w:hAnsiTheme="minorHAnsi" w:cstheme="minorHAnsi"/>
        </w:rPr>
        <w:t xml:space="preserve"> </w:t>
      </w:r>
      <w:r w:rsidR="00AD62D7">
        <w:rPr>
          <w:rFonts w:asciiTheme="minorHAnsi" w:hAnsiTheme="minorHAnsi" w:cstheme="minorHAnsi"/>
        </w:rPr>
        <w:t>Additionally, the services provided data for</w:t>
      </w:r>
      <w:r w:rsidR="005E127F" w:rsidRPr="00DB1CB0">
        <w:rPr>
          <w:rFonts w:asciiTheme="minorHAnsi" w:hAnsiTheme="minorHAnsi" w:cstheme="minorHAnsi"/>
        </w:rPr>
        <w:t xml:space="preserve"> </w:t>
      </w:r>
      <w:r w:rsidR="00AD62D7">
        <w:rPr>
          <w:rFonts w:asciiTheme="minorHAnsi" w:hAnsiTheme="minorHAnsi" w:cstheme="minorHAnsi"/>
        </w:rPr>
        <w:t>different time periods</w:t>
      </w:r>
      <w:r w:rsidR="007F3D1D" w:rsidRPr="00DB1CB0">
        <w:t xml:space="preserve"> </w:t>
      </w:r>
      <w:r w:rsidR="00DB1CB0" w:rsidRPr="00DB1CB0">
        <w:t>(</w:t>
      </w:r>
      <w:r w:rsidR="007F3D1D" w:rsidRPr="00DB1CB0">
        <w:t xml:space="preserve">ranging from service commencement </w:t>
      </w:r>
      <w:r w:rsidR="001643C4" w:rsidRPr="00DB1CB0">
        <w:t xml:space="preserve">in 2013 to </w:t>
      </w:r>
      <w:r w:rsidR="00890829" w:rsidRPr="00DB1CB0">
        <w:t xml:space="preserve">2021 </w:t>
      </w:r>
      <w:r w:rsidR="007F3D1D" w:rsidRPr="00DB1CB0">
        <w:t xml:space="preserve">for </w:t>
      </w:r>
      <w:proofErr w:type="spellStart"/>
      <w:r w:rsidR="007F3D1D" w:rsidRPr="00DB1CB0">
        <w:t>MindSpot</w:t>
      </w:r>
      <w:proofErr w:type="spellEnd"/>
      <w:r w:rsidR="007F3D1D" w:rsidRPr="00DB1CB0">
        <w:t xml:space="preserve"> to the implementation of </w:t>
      </w:r>
      <w:r w:rsidR="005C0939">
        <w:t xml:space="preserve">reliable </w:t>
      </w:r>
      <w:r w:rsidR="007F3D1D" w:rsidRPr="00DB1CB0">
        <w:t>data capture systems</w:t>
      </w:r>
      <w:r w:rsidR="00890829" w:rsidRPr="00DB1CB0">
        <w:t xml:space="preserve"> in 2015</w:t>
      </w:r>
      <w:r w:rsidR="00DB1CB0" w:rsidRPr="00DB1CB0">
        <w:t xml:space="preserve"> to 2021</w:t>
      </w:r>
      <w:r w:rsidR="007F3D1D" w:rsidRPr="00DB1CB0">
        <w:t xml:space="preserve"> for </w:t>
      </w:r>
      <w:r w:rsidR="005C0939">
        <w:t>THIS WAY UP</w:t>
      </w:r>
      <w:r w:rsidR="00DB1CB0" w:rsidRPr="00DB1CB0">
        <w:t>)</w:t>
      </w:r>
      <w:r w:rsidR="00AD62D7">
        <w:rPr>
          <w:rFonts w:asciiTheme="minorHAnsi" w:hAnsiTheme="minorHAnsi" w:cstheme="minorHAnsi"/>
        </w:rPr>
        <w:t xml:space="preserve"> and </w:t>
      </w:r>
      <w:r w:rsidR="00A135B3">
        <w:rPr>
          <w:rFonts w:asciiTheme="minorHAnsi" w:hAnsiTheme="minorHAnsi" w:cstheme="minorHAnsi"/>
        </w:rPr>
        <w:t xml:space="preserve">there is </w:t>
      </w:r>
      <w:r w:rsidR="005446A7">
        <w:rPr>
          <w:rFonts w:asciiTheme="minorHAnsi" w:hAnsiTheme="minorHAnsi" w:cstheme="minorHAnsi"/>
        </w:rPr>
        <w:t xml:space="preserve">considerable variability in the amount of funding each service receives. </w:t>
      </w:r>
      <w:r w:rsidR="003A038B">
        <w:rPr>
          <w:rFonts w:asciiTheme="minorHAnsi" w:hAnsiTheme="minorHAnsi" w:cstheme="minorHAnsi"/>
        </w:rPr>
        <w:t>Therefore,</w:t>
      </w:r>
      <w:r w:rsidR="005E127F">
        <w:rPr>
          <w:rFonts w:asciiTheme="minorHAnsi" w:hAnsiTheme="minorHAnsi" w:cstheme="minorHAnsi"/>
        </w:rPr>
        <w:t xml:space="preserve"> data across services have not been</w:t>
      </w:r>
      <w:r w:rsidR="00F41FF5">
        <w:rPr>
          <w:rFonts w:asciiTheme="minorHAnsi" w:hAnsiTheme="minorHAnsi" w:cstheme="minorHAnsi"/>
        </w:rPr>
        <w:t xml:space="preserve"> </w:t>
      </w:r>
      <w:r w:rsidR="00B273B4">
        <w:rPr>
          <w:rFonts w:asciiTheme="minorHAnsi" w:hAnsiTheme="minorHAnsi" w:cstheme="minorHAnsi"/>
        </w:rPr>
        <w:t xml:space="preserve">statistically </w:t>
      </w:r>
      <w:r w:rsidR="00F41FF5">
        <w:rPr>
          <w:rFonts w:asciiTheme="minorHAnsi" w:hAnsiTheme="minorHAnsi" w:cstheme="minorHAnsi"/>
        </w:rPr>
        <w:t>compar</w:t>
      </w:r>
      <w:r w:rsidR="005E127F">
        <w:rPr>
          <w:rFonts w:asciiTheme="minorHAnsi" w:hAnsiTheme="minorHAnsi" w:cstheme="minorHAnsi"/>
        </w:rPr>
        <w:t>ed or totalled.</w:t>
      </w:r>
    </w:p>
    <w:p w14:paraId="590F9D49" w14:textId="286903CB" w:rsidR="0091075D" w:rsidRPr="00AA6B28" w:rsidRDefault="00BF1BF1" w:rsidP="006F6DCB">
      <w:pPr>
        <w:pStyle w:val="Heading2"/>
      </w:pPr>
      <w:bookmarkStart w:id="46" w:name="_Toc108784833"/>
      <w:bookmarkStart w:id="47" w:name="OLE_LINK4"/>
      <w:bookmarkStart w:id="48" w:name="OLE_LINK5"/>
      <w:r w:rsidRPr="00AA6B28">
        <w:t>U</w:t>
      </w:r>
      <w:r w:rsidR="0091075D" w:rsidRPr="00AA6B28">
        <w:t>ptake</w:t>
      </w:r>
      <w:r w:rsidRPr="00AA6B28">
        <w:t xml:space="preserve"> of Mental Health Online</w:t>
      </w:r>
      <w:r w:rsidR="0091075D" w:rsidRPr="00AA6B28">
        <w:t>, January 2015</w:t>
      </w:r>
      <w:r w:rsidR="00BB174F">
        <w:t xml:space="preserve"> – </w:t>
      </w:r>
      <w:r w:rsidR="0091075D" w:rsidRPr="00AA6B28">
        <w:t>December 2021</w:t>
      </w:r>
      <w:bookmarkEnd w:id="46"/>
    </w:p>
    <w:p w14:paraId="08384810" w14:textId="63EEDC05" w:rsidR="00BF1BF1" w:rsidRPr="00F5587F" w:rsidRDefault="00C91547" w:rsidP="00F84ED2">
      <w:pPr>
        <w:pStyle w:val="Heading3"/>
        <w:numPr>
          <w:ilvl w:val="2"/>
          <w:numId w:val="143"/>
        </w:numPr>
      </w:pPr>
      <w:r>
        <w:t>Overall u</w:t>
      </w:r>
      <w:r w:rsidR="00BF1BF1" w:rsidRPr="00AA6B28">
        <w:t xml:space="preserve">ptake of </w:t>
      </w:r>
      <w:r w:rsidR="005F2FE0">
        <w:t xml:space="preserve">all </w:t>
      </w:r>
      <w:r w:rsidR="00BF1BF1" w:rsidRPr="00AA6B28">
        <w:t>Mental Health Online</w:t>
      </w:r>
      <w:r w:rsidR="005F2FE0">
        <w:t xml:space="preserve"> services</w:t>
      </w:r>
    </w:p>
    <w:p w14:paraId="35395868" w14:textId="5D7B9D55" w:rsidR="006F645D" w:rsidRPr="001D3C19" w:rsidRDefault="006F645D" w:rsidP="002029DC">
      <w:pPr>
        <w:spacing w:after="200"/>
        <w:rPr>
          <w:rFonts w:asciiTheme="minorHAnsi" w:hAnsiTheme="minorHAnsi" w:cstheme="minorHAnsi"/>
          <w:sz w:val="21"/>
          <w:szCs w:val="21"/>
        </w:rPr>
      </w:pPr>
      <w:r w:rsidRPr="001D3C19">
        <w:rPr>
          <w:rFonts w:asciiTheme="minorHAnsi" w:hAnsiTheme="minorHAnsi" w:cstheme="minorHAnsi"/>
          <w:sz w:val="21"/>
          <w:szCs w:val="21"/>
        </w:rPr>
        <w:t xml:space="preserve">Table 5 </w:t>
      </w:r>
      <w:r w:rsidR="00DD133E">
        <w:rPr>
          <w:rFonts w:asciiTheme="minorHAnsi" w:hAnsiTheme="minorHAnsi" w:cstheme="minorHAnsi"/>
          <w:sz w:val="21"/>
          <w:szCs w:val="21"/>
        </w:rPr>
        <w:t>summarises</w:t>
      </w:r>
      <w:r w:rsidRPr="001D3C19">
        <w:rPr>
          <w:rFonts w:asciiTheme="minorHAnsi" w:hAnsiTheme="minorHAnsi" w:cstheme="minorHAnsi"/>
          <w:sz w:val="21"/>
          <w:szCs w:val="21"/>
        </w:rPr>
        <w:t xml:space="preserve"> key uptake data for Mental Health Online over </w:t>
      </w:r>
      <w:r w:rsidR="00D855A3">
        <w:rPr>
          <w:rFonts w:asciiTheme="minorHAnsi" w:hAnsiTheme="minorHAnsi" w:cstheme="minorHAnsi"/>
          <w:sz w:val="21"/>
          <w:szCs w:val="21"/>
        </w:rPr>
        <w:t>the seven years</w:t>
      </w:r>
      <w:r w:rsidRPr="001D3C19">
        <w:rPr>
          <w:rFonts w:asciiTheme="minorHAnsi" w:hAnsiTheme="minorHAnsi" w:cstheme="minorHAnsi"/>
          <w:sz w:val="21"/>
          <w:szCs w:val="21"/>
        </w:rPr>
        <w:t xml:space="preserve"> from January 2015 to December 2021.</w:t>
      </w:r>
      <w:r w:rsidR="004122D2">
        <w:rPr>
          <w:rFonts w:asciiTheme="minorHAnsi" w:hAnsiTheme="minorHAnsi" w:cstheme="minorHAnsi"/>
          <w:sz w:val="21"/>
          <w:szCs w:val="21"/>
        </w:rPr>
        <w:t xml:space="preserve"> These data are for all services offered by Mental Health Online, not just treatment.</w:t>
      </w:r>
    </w:p>
    <w:p w14:paraId="50FC320D" w14:textId="79F2334B" w:rsidR="006F645D" w:rsidRPr="00AA6B28" w:rsidRDefault="006F645D" w:rsidP="003D1CA1">
      <w:pPr>
        <w:pStyle w:val="tableheading"/>
      </w:pPr>
      <w:r w:rsidRPr="00AA6B28">
        <w:t xml:space="preserve">Table 5. </w:t>
      </w:r>
      <w:r w:rsidR="00B82A23" w:rsidRPr="00AA6B28">
        <w:t>Summary</w:t>
      </w:r>
      <w:r w:rsidRPr="00AA6B28">
        <w:t xml:space="preserve"> </w:t>
      </w:r>
      <w:r w:rsidR="00DB1CB0">
        <w:t xml:space="preserve">of </w:t>
      </w:r>
      <w:r w:rsidRPr="00AA6B28">
        <w:t>Mental Health Online</w:t>
      </w:r>
      <w:r w:rsidR="00B82A23" w:rsidRPr="00AA6B28">
        <w:t xml:space="preserve"> uptake statistics</w:t>
      </w:r>
      <w:r w:rsidRPr="00AA6B28">
        <w:t>, January 2015</w:t>
      </w:r>
      <w:r w:rsidR="00BB174F">
        <w:t xml:space="preserve"> – </w:t>
      </w:r>
      <w:r w:rsidRPr="00AA6B28">
        <w:t>December 2021</w:t>
      </w:r>
    </w:p>
    <w:tbl>
      <w:tblPr>
        <w:tblStyle w:val="TableGrid"/>
        <w:tblW w:w="0" w:type="auto"/>
        <w:jc w:val="center"/>
        <w:tblLook w:val="04A0" w:firstRow="1" w:lastRow="0" w:firstColumn="1" w:lastColumn="0" w:noHBand="0" w:noVBand="1"/>
        <w:tblCaption w:val="Table 5. Summary of Mental Health Online uptake statistics, January 2015 – December 2021"/>
        <w:tblDescription w:val="Table describing summary of Mental Health Online uptake statistics from January 2015 to December 2021"/>
      </w:tblPr>
      <w:tblGrid>
        <w:gridCol w:w="4683"/>
        <w:gridCol w:w="982"/>
      </w:tblGrid>
      <w:tr w:rsidR="006F645D" w:rsidRPr="00400F39" w14:paraId="3E7BE3AC" w14:textId="77777777" w:rsidTr="18EB1F8F">
        <w:trPr>
          <w:trHeight w:val="227"/>
          <w:jc w:val="center"/>
        </w:trPr>
        <w:tc>
          <w:tcPr>
            <w:tcW w:w="4683" w:type="dxa"/>
            <w:tcBorders>
              <w:bottom w:val="single" w:sz="4" w:space="0" w:color="auto"/>
            </w:tcBorders>
            <w:shd w:val="clear" w:color="auto" w:fill="000000" w:themeFill="text1"/>
          </w:tcPr>
          <w:p w14:paraId="3AE14F12" w14:textId="5A9E9577" w:rsidR="006F645D" w:rsidRPr="00400F39" w:rsidRDefault="006F645D" w:rsidP="003D1CA1">
            <w:pPr>
              <w:rPr>
                <w:rFonts w:asciiTheme="minorHAnsi" w:hAnsiTheme="minorHAnsi"/>
                <w:sz w:val="18"/>
                <w:szCs w:val="18"/>
              </w:rPr>
            </w:pPr>
            <w:r w:rsidRPr="00400F39">
              <w:rPr>
                <w:rFonts w:asciiTheme="minorHAnsi" w:hAnsiTheme="minorHAnsi"/>
                <w:sz w:val="18"/>
                <w:szCs w:val="18"/>
              </w:rPr>
              <w:t>Unit of counting</w:t>
            </w:r>
          </w:p>
        </w:tc>
        <w:tc>
          <w:tcPr>
            <w:tcW w:w="982" w:type="dxa"/>
            <w:tcBorders>
              <w:bottom w:val="single" w:sz="4" w:space="0" w:color="auto"/>
            </w:tcBorders>
            <w:shd w:val="clear" w:color="auto" w:fill="000000" w:themeFill="text1"/>
          </w:tcPr>
          <w:p w14:paraId="70A3297F" w14:textId="348876F8" w:rsidR="006F645D" w:rsidRPr="00400F39" w:rsidRDefault="006F645D" w:rsidP="003D1CA1">
            <w:pPr>
              <w:jc w:val="center"/>
              <w:rPr>
                <w:rFonts w:asciiTheme="minorHAnsi" w:hAnsiTheme="minorHAnsi"/>
                <w:sz w:val="18"/>
                <w:szCs w:val="18"/>
              </w:rPr>
            </w:pPr>
            <w:r w:rsidRPr="00400F39">
              <w:rPr>
                <w:rFonts w:asciiTheme="minorHAnsi" w:hAnsiTheme="minorHAnsi"/>
                <w:sz w:val="18"/>
                <w:szCs w:val="18"/>
              </w:rPr>
              <w:t>Frequency</w:t>
            </w:r>
          </w:p>
        </w:tc>
      </w:tr>
      <w:tr w:rsidR="006F645D" w:rsidRPr="00400F39" w14:paraId="257C981C" w14:textId="77777777" w:rsidTr="18EB1F8F">
        <w:trPr>
          <w:trHeight w:val="283"/>
          <w:jc w:val="center"/>
        </w:trPr>
        <w:tc>
          <w:tcPr>
            <w:tcW w:w="4683" w:type="dxa"/>
            <w:tcBorders>
              <w:bottom w:val="nil"/>
              <w:right w:val="nil"/>
            </w:tcBorders>
          </w:tcPr>
          <w:p w14:paraId="5F9946D8" w14:textId="3901A2FD" w:rsidR="006F645D" w:rsidRPr="00400F39" w:rsidRDefault="006F645D" w:rsidP="003D1CA1">
            <w:pPr>
              <w:rPr>
                <w:rFonts w:asciiTheme="minorHAnsi" w:hAnsiTheme="minorHAnsi"/>
                <w:sz w:val="18"/>
                <w:szCs w:val="18"/>
              </w:rPr>
            </w:pPr>
            <w:r w:rsidRPr="00400F39">
              <w:rPr>
                <w:rFonts w:asciiTheme="minorHAnsi" w:hAnsiTheme="minorHAnsi"/>
                <w:sz w:val="18"/>
                <w:szCs w:val="18"/>
              </w:rPr>
              <w:t>Website visits</w:t>
            </w:r>
          </w:p>
        </w:tc>
        <w:tc>
          <w:tcPr>
            <w:tcW w:w="982" w:type="dxa"/>
            <w:tcBorders>
              <w:left w:val="nil"/>
              <w:bottom w:val="nil"/>
            </w:tcBorders>
          </w:tcPr>
          <w:p w14:paraId="163FB7D8" w14:textId="23C35A1F" w:rsidR="006F645D" w:rsidRPr="00400F39" w:rsidRDefault="006F645D" w:rsidP="003D1CA1">
            <w:pPr>
              <w:jc w:val="center"/>
              <w:rPr>
                <w:rFonts w:asciiTheme="minorHAnsi" w:hAnsiTheme="minorHAnsi"/>
                <w:sz w:val="18"/>
                <w:szCs w:val="18"/>
              </w:rPr>
            </w:pPr>
            <w:r w:rsidRPr="00400F39">
              <w:rPr>
                <w:rFonts w:asciiTheme="minorHAnsi" w:hAnsiTheme="minorHAnsi"/>
                <w:sz w:val="18"/>
                <w:szCs w:val="18"/>
              </w:rPr>
              <w:t>395</w:t>
            </w:r>
            <w:r w:rsidR="00BB174F">
              <w:rPr>
                <w:rFonts w:asciiTheme="minorHAnsi" w:hAnsiTheme="minorHAnsi"/>
                <w:sz w:val="18"/>
                <w:szCs w:val="18"/>
              </w:rPr>
              <w:t>,</w:t>
            </w:r>
            <w:r w:rsidRPr="00400F39">
              <w:rPr>
                <w:rFonts w:asciiTheme="minorHAnsi" w:hAnsiTheme="minorHAnsi"/>
                <w:sz w:val="18"/>
                <w:szCs w:val="18"/>
              </w:rPr>
              <w:t>204</w:t>
            </w:r>
          </w:p>
        </w:tc>
      </w:tr>
      <w:tr w:rsidR="006F645D" w:rsidRPr="00400F39" w14:paraId="4E99BA8A" w14:textId="77777777" w:rsidTr="18EB1F8F">
        <w:trPr>
          <w:trHeight w:val="283"/>
          <w:jc w:val="center"/>
        </w:trPr>
        <w:tc>
          <w:tcPr>
            <w:tcW w:w="4683" w:type="dxa"/>
            <w:tcBorders>
              <w:top w:val="nil"/>
              <w:bottom w:val="nil"/>
              <w:right w:val="nil"/>
            </w:tcBorders>
          </w:tcPr>
          <w:p w14:paraId="37E43E51" w14:textId="0ED6A1F3" w:rsidR="006F645D" w:rsidRPr="00400F39" w:rsidRDefault="006F645D" w:rsidP="003D1CA1">
            <w:pPr>
              <w:rPr>
                <w:rFonts w:asciiTheme="minorHAnsi" w:hAnsiTheme="minorHAnsi"/>
                <w:sz w:val="18"/>
                <w:szCs w:val="18"/>
              </w:rPr>
            </w:pPr>
            <w:r w:rsidRPr="00400F39">
              <w:rPr>
                <w:rFonts w:asciiTheme="minorHAnsi" w:hAnsiTheme="minorHAnsi"/>
                <w:sz w:val="18"/>
                <w:szCs w:val="18"/>
              </w:rPr>
              <w:t>Website visitors</w:t>
            </w:r>
          </w:p>
        </w:tc>
        <w:tc>
          <w:tcPr>
            <w:tcW w:w="982" w:type="dxa"/>
            <w:tcBorders>
              <w:top w:val="nil"/>
              <w:left w:val="nil"/>
              <w:bottom w:val="nil"/>
            </w:tcBorders>
          </w:tcPr>
          <w:p w14:paraId="4A378297" w14:textId="18651993" w:rsidR="006F645D" w:rsidRPr="00400F39" w:rsidRDefault="006F645D" w:rsidP="003D1CA1">
            <w:pPr>
              <w:jc w:val="center"/>
              <w:rPr>
                <w:rFonts w:asciiTheme="minorHAnsi" w:hAnsiTheme="minorHAnsi"/>
                <w:sz w:val="18"/>
                <w:szCs w:val="18"/>
              </w:rPr>
            </w:pPr>
            <w:r w:rsidRPr="00400F39">
              <w:rPr>
                <w:rFonts w:asciiTheme="minorHAnsi" w:hAnsiTheme="minorHAnsi"/>
                <w:sz w:val="18"/>
                <w:szCs w:val="18"/>
              </w:rPr>
              <w:t>375</w:t>
            </w:r>
            <w:r w:rsidR="00BB174F">
              <w:rPr>
                <w:rFonts w:asciiTheme="minorHAnsi" w:hAnsiTheme="minorHAnsi"/>
                <w:sz w:val="18"/>
                <w:szCs w:val="18"/>
              </w:rPr>
              <w:t>,</w:t>
            </w:r>
            <w:r w:rsidRPr="00400F39">
              <w:rPr>
                <w:rFonts w:asciiTheme="minorHAnsi" w:hAnsiTheme="minorHAnsi"/>
                <w:sz w:val="18"/>
                <w:szCs w:val="18"/>
              </w:rPr>
              <w:t>889</w:t>
            </w:r>
          </w:p>
        </w:tc>
      </w:tr>
      <w:tr w:rsidR="006F645D" w:rsidRPr="00400F39" w14:paraId="3C4F42F8" w14:textId="77777777" w:rsidTr="18EB1F8F">
        <w:trPr>
          <w:trHeight w:val="283"/>
          <w:jc w:val="center"/>
        </w:trPr>
        <w:tc>
          <w:tcPr>
            <w:tcW w:w="4683" w:type="dxa"/>
            <w:tcBorders>
              <w:top w:val="nil"/>
              <w:bottom w:val="nil"/>
              <w:right w:val="nil"/>
            </w:tcBorders>
          </w:tcPr>
          <w:p w14:paraId="7A96183F" w14:textId="5B0F992E" w:rsidR="006F645D" w:rsidRPr="00400F39" w:rsidRDefault="006F645D" w:rsidP="003D1CA1">
            <w:pPr>
              <w:rPr>
                <w:rFonts w:asciiTheme="minorHAnsi" w:hAnsiTheme="minorHAnsi"/>
                <w:sz w:val="18"/>
                <w:szCs w:val="18"/>
              </w:rPr>
            </w:pPr>
            <w:r w:rsidRPr="00400F39">
              <w:rPr>
                <w:rFonts w:asciiTheme="minorHAnsi" w:hAnsiTheme="minorHAnsi"/>
                <w:sz w:val="18"/>
                <w:szCs w:val="18"/>
              </w:rPr>
              <w:t>Consumer</w:t>
            </w:r>
            <w:r w:rsidR="00175968" w:rsidRPr="00400F39">
              <w:rPr>
                <w:rFonts w:asciiTheme="minorHAnsi" w:hAnsiTheme="minorHAnsi"/>
                <w:sz w:val="18"/>
                <w:szCs w:val="18"/>
              </w:rPr>
              <w:t>s</w:t>
            </w:r>
            <w:r w:rsidRPr="00400F39">
              <w:rPr>
                <w:rFonts w:asciiTheme="minorHAnsi" w:hAnsiTheme="minorHAnsi"/>
                <w:sz w:val="18"/>
                <w:szCs w:val="18"/>
              </w:rPr>
              <w:t xml:space="preserve"> </w:t>
            </w:r>
            <w:r w:rsidR="00175968" w:rsidRPr="00400F39">
              <w:rPr>
                <w:rFonts w:asciiTheme="minorHAnsi" w:hAnsiTheme="minorHAnsi"/>
                <w:sz w:val="18"/>
                <w:szCs w:val="18"/>
              </w:rPr>
              <w:t>registered</w:t>
            </w:r>
          </w:p>
        </w:tc>
        <w:tc>
          <w:tcPr>
            <w:tcW w:w="982" w:type="dxa"/>
            <w:tcBorders>
              <w:top w:val="nil"/>
              <w:left w:val="nil"/>
              <w:bottom w:val="nil"/>
            </w:tcBorders>
          </w:tcPr>
          <w:p w14:paraId="6B2D1A1A" w14:textId="7992ECB9" w:rsidR="006F645D" w:rsidRPr="00400F39" w:rsidRDefault="006F645D" w:rsidP="003D1CA1">
            <w:pPr>
              <w:jc w:val="center"/>
              <w:rPr>
                <w:rFonts w:asciiTheme="minorHAnsi" w:hAnsiTheme="minorHAnsi"/>
                <w:sz w:val="18"/>
                <w:szCs w:val="18"/>
              </w:rPr>
            </w:pPr>
            <w:r w:rsidRPr="00400F39">
              <w:rPr>
                <w:rFonts w:asciiTheme="minorHAnsi" w:hAnsiTheme="minorHAnsi"/>
                <w:sz w:val="18"/>
                <w:szCs w:val="18"/>
              </w:rPr>
              <w:t>64</w:t>
            </w:r>
            <w:r w:rsidR="00BB174F">
              <w:rPr>
                <w:rFonts w:asciiTheme="minorHAnsi" w:hAnsiTheme="minorHAnsi"/>
                <w:sz w:val="18"/>
                <w:szCs w:val="18"/>
              </w:rPr>
              <w:t>,</w:t>
            </w:r>
            <w:r w:rsidRPr="00400F39">
              <w:rPr>
                <w:rFonts w:asciiTheme="minorHAnsi" w:hAnsiTheme="minorHAnsi"/>
                <w:sz w:val="18"/>
                <w:szCs w:val="18"/>
              </w:rPr>
              <w:t>825</w:t>
            </w:r>
          </w:p>
        </w:tc>
      </w:tr>
      <w:tr w:rsidR="006F645D" w:rsidRPr="00400F39" w14:paraId="660593C4" w14:textId="77777777" w:rsidTr="18EB1F8F">
        <w:trPr>
          <w:trHeight w:val="283"/>
          <w:jc w:val="center"/>
        </w:trPr>
        <w:tc>
          <w:tcPr>
            <w:tcW w:w="4683" w:type="dxa"/>
            <w:tcBorders>
              <w:top w:val="nil"/>
              <w:bottom w:val="nil"/>
              <w:right w:val="nil"/>
            </w:tcBorders>
          </w:tcPr>
          <w:p w14:paraId="47C8F0BF" w14:textId="41117391" w:rsidR="006F645D" w:rsidRPr="00400F39" w:rsidRDefault="006F645D" w:rsidP="003D1CA1">
            <w:pPr>
              <w:rPr>
                <w:rFonts w:asciiTheme="minorHAnsi" w:hAnsiTheme="minorHAnsi"/>
                <w:sz w:val="18"/>
                <w:szCs w:val="18"/>
              </w:rPr>
            </w:pPr>
            <w:r w:rsidRPr="00400F39">
              <w:rPr>
                <w:rFonts w:asciiTheme="minorHAnsi" w:hAnsiTheme="minorHAnsi"/>
                <w:sz w:val="18"/>
                <w:szCs w:val="18"/>
              </w:rPr>
              <w:t>Health care professional registrations</w:t>
            </w:r>
          </w:p>
        </w:tc>
        <w:tc>
          <w:tcPr>
            <w:tcW w:w="982" w:type="dxa"/>
            <w:tcBorders>
              <w:top w:val="nil"/>
              <w:left w:val="nil"/>
              <w:bottom w:val="nil"/>
            </w:tcBorders>
          </w:tcPr>
          <w:p w14:paraId="02C8A243" w14:textId="14906A9F" w:rsidR="006F645D" w:rsidRPr="00400F39" w:rsidRDefault="006F645D" w:rsidP="003D1CA1">
            <w:pPr>
              <w:jc w:val="center"/>
              <w:rPr>
                <w:rFonts w:asciiTheme="minorHAnsi" w:hAnsiTheme="minorHAnsi"/>
                <w:sz w:val="18"/>
                <w:szCs w:val="18"/>
              </w:rPr>
            </w:pPr>
            <w:r w:rsidRPr="00400F39">
              <w:rPr>
                <w:rFonts w:asciiTheme="minorHAnsi" w:hAnsiTheme="minorHAnsi"/>
                <w:sz w:val="18"/>
                <w:szCs w:val="18"/>
              </w:rPr>
              <w:t>2</w:t>
            </w:r>
            <w:r w:rsidR="00BB174F">
              <w:rPr>
                <w:rFonts w:asciiTheme="minorHAnsi" w:hAnsiTheme="minorHAnsi"/>
                <w:sz w:val="18"/>
                <w:szCs w:val="18"/>
              </w:rPr>
              <w:t>,</w:t>
            </w:r>
            <w:r w:rsidRPr="00400F39">
              <w:rPr>
                <w:rFonts w:asciiTheme="minorHAnsi" w:hAnsiTheme="minorHAnsi"/>
                <w:sz w:val="18"/>
                <w:szCs w:val="18"/>
              </w:rPr>
              <w:t>066</w:t>
            </w:r>
          </w:p>
        </w:tc>
      </w:tr>
      <w:tr w:rsidR="006F645D" w:rsidRPr="00400F39" w14:paraId="7181082D" w14:textId="77777777" w:rsidTr="18EB1F8F">
        <w:trPr>
          <w:trHeight w:val="283"/>
          <w:jc w:val="center"/>
        </w:trPr>
        <w:tc>
          <w:tcPr>
            <w:tcW w:w="4683" w:type="dxa"/>
            <w:tcBorders>
              <w:top w:val="nil"/>
              <w:bottom w:val="nil"/>
              <w:right w:val="nil"/>
            </w:tcBorders>
          </w:tcPr>
          <w:p w14:paraId="7F02C594" w14:textId="626485CE" w:rsidR="006F645D" w:rsidRPr="00400F39" w:rsidRDefault="006F645D" w:rsidP="003D1CA1">
            <w:pPr>
              <w:rPr>
                <w:rFonts w:asciiTheme="minorHAnsi" w:hAnsiTheme="minorHAnsi"/>
                <w:sz w:val="18"/>
                <w:szCs w:val="18"/>
              </w:rPr>
            </w:pPr>
            <w:r w:rsidRPr="00400F39">
              <w:rPr>
                <w:rFonts w:asciiTheme="minorHAnsi" w:hAnsiTheme="minorHAnsi"/>
                <w:sz w:val="18"/>
                <w:szCs w:val="18"/>
              </w:rPr>
              <w:t>Assessments</w:t>
            </w:r>
            <w:r w:rsidR="00B82A23" w:rsidRPr="00400F39">
              <w:rPr>
                <w:rFonts w:asciiTheme="minorHAnsi" w:hAnsiTheme="minorHAnsi"/>
                <w:sz w:val="18"/>
                <w:szCs w:val="18"/>
              </w:rPr>
              <w:t xml:space="preserve"> (</w:t>
            </w:r>
            <w:proofErr w:type="spellStart"/>
            <w:r w:rsidR="00950B07">
              <w:rPr>
                <w:rFonts w:asciiTheme="minorHAnsi" w:hAnsiTheme="minorHAnsi"/>
                <w:sz w:val="18"/>
                <w:szCs w:val="18"/>
              </w:rPr>
              <w:t>ePASS</w:t>
            </w:r>
            <w:proofErr w:type="spellEnd"/>
            <w:r w:rsidR="00B82A23" w:rsidRPr="00400F39">
              <w:rPr>
                <w:rFonts w:asciiTheme="minorHAnsi" w:hAnsiTheme="minorHAnsi"/>
                <w:sz w:val="18"/>
                <w:szCs w:val="18"/>
              </w:rPr>
              <w:t>)</w:t>
            </w:r>
            <w:r w:rsidRPr="00400F39">
              <w:rPr>
                <w:rFonts w:asciiTheme="minorHAnsi" w:hAnsiTheme="minorHAnsi"/>
                <w:sz w:val="18"/>
                <w:szCs w:val="18"/>
                <w:vertAlign w:val="superscript"/>
              </w:rPr>
              <w:t>a</w:t>
            </w:r>
          </w:p>
        </w:tc>
        <w:tc>
          <w:tcPr>
            <w:tcW w:w="982" w:type="dxa"/>
            <w:tcBorders>
              <w:top w:val="nil"/>
              <w:left w:val="nil"/>
              <w:bottom w:val="nil"/>
            </w:tcBorders>
          </w:tcPr>
          <w:p w14:paraId="2862CDE1" w14:textId="03572185" w:rsidR="006F645D" w:rsidRPr="00400F39" w:rsidRDefault="006F645D" w:rsidP="003D1CA1">
            <w:pPr>
              <w:jc w:val="center"/>
              <w:rPr>
                <w:rFonts w:asciiTheme="minorHAnsi" w:hAnsiTheme="minorHAnsi"/>
                <w:sz w:val="18"/>
                <w:szCs w:val="18"/>
              </w:rPr>
            </w:pPr>
            <w:r w:rsidRPr="00400F39">
              <w:rPr>
                <w:rFonts w:asciiTheme="minorHAnsi" w:hAnsiTheme="minorHAnsi"/>
                <w:sz w:val="18"/>
                <w:szCs w:val="18"/>
              </w:rPr>
              <w:t>25</w:t>
            </w:r>
            <w:r w:rsidR="00BB174F">
              <w:rPr>
                <w:rFonts w:asciiTheme="minorHAnsi" w:hAnsiTheme="minorHAnsi"/>
                <w:sz w:val="18"/>
                <w:szCs w:val="18"/>
              </w:rPr>
              <w:t>,</w:t>
            </w:r>
            <w:r w:rsidRPr="00400F39">
              <w:rPr>
                <w:rFonts w:asciiTheme="minorHAnsi" w:hAnsiTheme="minorHAnsi"/>
                <w:sz w:val="18"/>
                <w:szCs w:val="18"/>
              </w:rPr>
              <w:t>547</w:t>
            </w:r>
          </w:p>
        </w:tc>
      </w:tr>
      <w:tr w:rsidR="006F645D" w:rsidRPr="00400F39" w14:paraId="1C6DC9D2" w14:textId="77777777" w:rsidTr="18EB1F8F">
        <w:trPr>
          <w:trHeight w:val="283"/>
          <w:jc w:val="center"/>
        </w:trPr>
        <w:tc>
          <w:tcPr>
            <w:tcW w:w="4683" w:type="dxa"/>
            <w:tcBorders>
              <w:top w:val="nil"/>
              <w:bottom w:val="nil"/>
              <w:right w:val="nil"/>
            </w:tcBorders>
          </w:tcPr>
          <w:p w14:paraId="7E23A593" w14:textId="506F649A" w:rsidR="006F645D" w:rsidRPr="00400F39" w:rsidRDefault="006F645D" w:rsidP="003D1CA1">
            <w:pPr>
              <w:rPr>
                <w:rFonts w:asciiTheme="minorHAnsi" w:hAnsiTheme="minorHAnsi"/>
                <w:sz w:val="18"/>
                <w:szCs w:val="18"/>
              </w:rPr>
            </w:pPr>
            <w:r w:rsidRPr="00400F39">
              <w:rPr>
                <w:rFonts w:asciiTheme="minorHAnsi" w:hAnsiTheme="minorHAnsi"/>
                <w:sz w:val="18"/>
                <w:szCs w:val="18"/>
              </w:rPr>
              <w:t xml:space="preserve">Consumers </w:t>
            </w:r>
            <w:r w:rsidRPr="006B5558">
              <w:rPr>
                <w:rFonts w:asciiTheme="minorHAnsi" w:hAnsiTheme="minorHAnsi"/>
                <w:sz w:val="18"/>
                <w:szCs w:val="18"/>
              </w:rPr>
              <w:t>completed</w:t>
            </w:r>
            <w:r w:rsidRPr="00400F39">
              <w:rPr>
                <w:rFonts w:asciiTheme="minorHAnsi" w:hAnsiTheme="minorHAnsi"/>
                <w:sz w:val="18"/>
                <w:szCs w:val="18"/>
              </w:rPr>
              <w:t xml:space="preserve"> assessment</w:t>
            </w:r>
          </w:p>
        </w:tc>
        <w:tc>
          <w:tcPr>
            <w:tcW w:w="982" w:type="dxa"/>
            <w:tcBorders>
              <w:top w:val="nil"/>
              <w:left w:val="nil"/>
              <w:bottom w:val="nil"/>
            </w:tcBorders>
          </w:tcPr>
          <w:p w14:paraId="3893E2BA" w14:textId="40AD90EE" w:rsidR="006F645D" w:rsidRPr="00400F39" w:rsidRDefault="006F645D" w:rsidP="003D1CA1">
            <w:pPr>
              <w:jc w:val="center"/>
              <w:rPr>
                <w:rFonts w:asciiTheme="minorHAnsi" w:hAnsiTheme="minorHAnsi"/>
                <w:sz w:val="18"/>
                <w:szCs w:val="18"/>
              </w:rPr>
            </w:pPr>
            <w:r w:rsidRPr="00400F39">
              <w:rPr>
                <w:rFonts w:asciiTheme="minorHAnsi" w:hAnsiTheme="minorHAnsi"/>
                <w:sz w:val="18"/>
                <w:szCs w:val="18"/>
              </w:rPr>
              <w:t>24</w:t>
            </w:r>
            <w:r w:rsidR="00BB174F">
              <w:rPr>
                <w:rFonts w:asciiTheme="minorHAnsi" w:hAnsiTheme="minorHAnsi"/>
                <w:sz w:val="18"/>
                <w:szCs w:val="18"/>
              </w:rPr>
              <w:t>,</w:t>
            </w:r>
            <w:r w:rsidRPr="00400F39">
              <w:rPr>
                <w:rFonts w:asciiTheme="minorHAnsi" w:hAnsiTheme="minorHAnsi"/>
                <w:sz w:val="18"/>
                <w:szCs w:val="18"/>
              </w:rPr>
              <w:t>495</w:t>
            </w:r>
          </w:p>
        </w:tc>
      </w:tr>
      <w:tr w:rsidR="006F645D" w:rsidRPr="00400F39" w14:paraId="36DF4AB3" w14:textId="77777777" w:rsidTr="18EB1F8F">
        <w:trPr>
          <w:trHeight w:val="283"/>
          <w:jc w:val="center"/>
        </w:trPr>
        <w:tc>
          <w:tcPr>
            <w:tcW w:w="4683" w:type="dxa"/>
            <w:tcBorders>
              <w:top w:val="nil"/>
              <w:bottom w:val="nil"/>
              <w:right w:val="nil"/>
            </w:tcBorders>
          </w:tcPr>
          <w:p w14:paraId="3AE4455F" w14:textId="7D04B787" w:rsidR="006F645D" w:rsidRPr="00400F39" w:rsidRDefault="006F645D" w:rsidP="003D1CA1">
            <w:pPr>
              <w:rPr>
                <w:rFonts w:asciiTheme="minorHAnsi" w:hAnsiTheme="minorHAnsi"/>
                <w:sz w:val="18"/>
                <w:szCs w:val="18"/>
              </w:rPr>
            </w:pPr>
            <w:r w:rsidRPr="00400F39">
              <w:rPr>
                <w:rFonts w:asciiTheme="minorHAnsi" w:hAnsiTheme="minorHAnsi"/>
                <w:sz w:val="18"/>
                <w:szCs w:val="18"/>
              </w:rPr>
              <w:t xml:space="preserve">Treatment program </w:t>
            </w:r>
            <w:proofErr w:type="spellStart"/>
            <w:r w:rsidRPr="00400F39">
              <w:rPr>
                <w:rFonts w:asciiTheme="minorHAnsi" w:hAnsiTheme="minorHAnsi"/>
                <w:sz w:val="18"/>
                <w:szCs w:val="18"/>
              </w:rPr>
              <w:t>registrations</w:t>
            </w:r>
            <w:r w:rsidRPr="00400F39">
              <w:rPr>
                <w:rFonts w:asciiTheme="minorHAnsi" w:hAnsiTheme="minorHAnsi"/>
                <w:sz w:val="18"/>
                <w:szCs w:val="18"/>
                <w:vertAlign w:val="superscript"/>
              </w:rPr>
              <w:t>a</w:t>
            </w:r>
            <w:proofErr w:type="spellEnd"/>
          </w:p>
        </w:tc>
        <w:tc>
          <w:tcPr>
            <w:tcW w:w="982" w:type="dxa"/>
            <w:tcBorders>
              <w:top w:val="nil"/>
              <w:left w:val="nil"/>
              <w:bottom w:val="nil"/>
            </w:tcBorders>
          </w:tcPr>
          <w:p w14:paraId="62461D4F" w14:textId="5D9DDB57" w:rsidR="006F645D" w:rsidRPr="00400F39" w:rsidRDefault="006F645D" w:rsidP="003D1CA1">
            <w:pPr>
              <w:jc w:val="center"/>
              <w:rPr>
                <w:rFonts w:asciiTheme="minorHAnsi" w:hAnsiTheme="minorHAnsi"/>
                <w:sz w:val="18"/>
                <w:szCs w:val="18"/>
              </w:rPr>
            </w:pPr>
            <w:r w:rsidRPr="00400F39">
              <w:rPr>
                <w:rFonts w:asciiTheme="minorHAnsi" w:hAnsiTheme="minorHAnsi"/>
                <w:sz w:val="18"/>
                <w:szCs w:val="18"/>
              </w:rPr>
              <w:t>22</w:t>
            </w:r>
            <w:r w:rsidR="00BB174F">
              <w:rPr>
                <w:rFonts w:asciiTheme="minorHAnsi" w:hAnsiTheme="minorHAnsi"/>
                <w:sz w:val="18"/>
                <w:szCs w:val="18"/>
              </w:rPr>
              <w:t>,</w:t>
            </w:r>
            <w:r w:rsidRPr="00400F39">
              <w:rPr>
                <w:rFonts w:asciiTheme="minorHAnsi" w:hAnsiTheme="minorHAnsi"/>
                <w:sz w:val="18"/>
                <w:szCs w:val="18"/>
              </w:rPr>
              <w:t>008</w:t>
            </w:r>
          </w:p>
        </w:tc>
      </w:tr>
      <w:tr w:rsidR="006F645D" w:rsidRPr="00400F39" w14:paraId="257EE9BB" w14:textId="77777777" w:rsidTr="18EB1F8F">
        <w:trPr>
          <w:trHeight w:val="283"/>
          <w:jc w:val="center"/>
        </w:trPr>
        <w:tc>
          <w:tcPr>
            <w:tcW w:w="4683" w:type="dxa"/>
            <w:tcBorders>
              <w:top w:val="nil"/>
              <w:bottom w:val="nil"/>
              <w:right w:val="nil"/>
            </w:tcBorders>
          </w:tcPr>
          <w:p w14:paraId="2F417731" w14:textId="23EAAD3D" w:rsidR="006F645D" w:rsidRPr="00400F39" w:rsidRDefault="006F645D" w:rsidP="003D1CA1">
            <w:pPr>
              <w:rPr>
                <w:rFonts w:asciiTheme="minorHAnsi" w:hAnsiTheme="minorHAnsi"/>
                <w:sz w:val="18"/>
                <w:szCs w:val="18"/>
              </w:rPr>
            </w:pPr>
            <w:r w:rsidRPr="00400F39">
              <w:rPr>
                <w:rFonts w:asciiTheme="minorHAnsi" w:hAnsiTheme="minorHAnsi"/>
                <w:sz w:val="18"/>
                <w:szCs w:val="18"/>
              </w:rPr>
              <w:t>Consumers registered for program</w:t>
            </w:r>
          </w:p>
        </w:tc>
        <w:tc>
          <w:tcPr>
            <w:tcW w:w="982" w:type="dxa"/>
            <w:tcBorders>
              <w:top w:val="nil"/>
              <w:left w:val="nil"/>
              <w:bottom w:val="nil"/>
            </w:tcBorders>
          </w:tcPr>
          <w:p w14:paraId="7D86552F" w14:textId="0BF4937E" w:rsidR="006F645D" w:rsidRPr="00400F39" w:rsidRDefault="006F645D" w:rsidP="003D1CA1">
            <w:pPr>
              <w:jc w:val="center"/>
              <w:rPr>
                <w:rFonts w:asciiTheme="minorHAnsi" w:hAnsiTheme="minorHAnsi"/>
                <w:sz w:val="18"/>
                <w:szCs w:val="18"/>
              </w:rPr>
            </w:pPr>
            <w:r w:rsidRPr="00400F39">
              <w:rPr>
                <w:rFonts w:asciiTheme="minorHAnsi" w:hAnsiTheme="minorHAnsi"/>
                <w:sz w:val="18"/>
                <w:szCs w:val="18"/>
              </w:rPr>
              <w:t>17</w:t>
            </w:r>
            <w:r w:rsidR="00BB174F">
              <w:rPr>
                <w:rFonts w:asciiTheme="minorHAnsi" w:hAnsiTheme="minorHAnsi"/>
                <w:sz w:val="18"/>
                <w:szCs w:val="18"/>
              </w:rPr>
              <w:t>,</w:t>
            </w:r>
            <w:r w:rsidRPr="00400F39">
              <w:rPr>
                <w:rFonts w:asciiTheme="minorHAnsi" w:hAnsiTheme="minorHAnsi"/>
                <w:sz w:val="18"/>
                <w:szCs w:val="18"/>
              </w:rPr>
              <w:t>916</w:t>
            </w:r>
          </w:p>
        </w:tc>
      </w:tr>
      <w:tr w:rsidR="006F645D" w:rsidRPr="00400F39" w14:paraId="4AE813FC" w14:textId="77777777" w:rsidTr="18EB1F8F">
        <w:trPr>
          <w:trHeight w:val="283"/>
          <w:jc w:val="center"/>
        </w:trPr>
        <w:tc>
          <w:tcPr>
            <w:tcW w:w="4683" w:type="dxa"/>
            <w:tcBorders>
              <w:top w:val="nil"/>
              <w:bottom w:val="nil"/>
              <w:right w:val="nil"/>
            </w:tcBorders>
          </w:tcPr>
          <w:p w14:paraId="10D975F1" w14:textId="11DBB4C7" w:rsidR="006F645D" w:rsidRPr="00400F39" w:rsidRDefault="006F645D" w:rsidP="003D1CA1">
            <w:pPr>
              <w:rPr>
                <w:rFonts w:asciiTheme="minorHAnsi" w:hAnsiTheme="minorHAnsi"/>
                <w:sz w:val="18"/>
                <w:szCs w:val="18"/>
              </w:rPr>
            </w:pPr>
            <w:r w:rsidRPr="00400F39">
              <w:rPr>
                <w:rFonts w:asciiTheme="minorHAnsi" w:hAnsiTheme="minorHAnsi"/>
                <w:sz w:val="18"/>
                <w:szCs w:val="18"/>
              </w:rPr>
              <w:t xml:space="preserve">Therapist Assist </w:t>
            </w:r>
            <w:proofErr w:type="spellStart"/>
            <w:r w:rsidRPr="00400F39">
              <w:rPr>
                <w:rFonts w:asciiTheme="minorHAnsi" w:hAnsiTheme="minorHAnsi"/>
                <w:sz w:val="18"/>
                <w:szCs w:val="18"/>
              </w:rPr>
              <w:t>registrations</w:t>
            </w:r>
            <w:r w:rsidRPr="00400F39">
              <w:rPr>
                <w:rFonts w:asciiTheme="minorHAnsi" w:hAnsiTheme="minorHAnsi"/>
                <w:sz w:val="18"/>
                <w:szCs w:val="18"/>
                <w:vertAlign w:val="superscript"/>
              </w:rPr>
              <w:t>a</w:t>
            </w:r>
            <w:proofErr w:type="spellEnd"/>
            <w:r w:rsidRPr="00400F39">
              <w:rPr>
                <w:rFonts w:asciiTheme="minorHAnsi" w:hAnsiTheme="minorHAnsi"/>
                <w:sz w:val="18"/>
                <w:szCs w:val="18"/>
                <w:vertAlign w:val="superscript"/>
              </w:rPr>
              <w:t xml:space="preserve"> </w:t>
            </w:r>
          </w:p>
        </w:tc>
        <w:tc>
          <w:tcPr>
            <w:tcW w:w="982" w:type="dxa"/>
            <w:tcBorders>
              <w:top w:val="nil"/>
              <w:left w:val="nil"/>
              <w:bottom w:val="nil"/>
            </w:tcBorders>
          </w:tcPr>
          <w:p w14:paraId="018E4B36" w14:textId="40CAF80E" w:rsidR="006F645D" w:rsidRPr="00400F39" w:rsidRDefault="006F645D" w:rsidP="003D1CA1">
            <w:pPr>
              <w:jc w:val="center"/>
              <w:rPr>
                <w:rFonts w:asciiTheme="minorHAnsi" w:hAnsiTheme="minorHAnsi"/>
                <w:sz w:val="18"/>
                <w:szCs w:val="18"/>
              </w:rPr>
            </w:pPr>
            <w:r w:rsidRPr="00400F39">
              <w:rPr>
                <w:rFonts w:asciiTheme="minorHAnsi" w:hAnsiTheme="minorHAnsi"/>
                <w:sz w:val="18"/>
                <w:szCs w:val="18"/>
              </w:rPr>
              <w:t>2</w:t>
            </w:r>
            <w:r w:rsidR="00BB174F">
              <w:rPr>
                <w:rFonts w:asciiTheme="minorHAnsi" w:hAnsiTheme="minorHAnsi"/>
                <w:sz w:val="18"/>
                <w:szCs w:val="18"/>
              </w:rPr>
              <w:t>,</w:t>
            </w:r>
            <w:r w:rsidRPr="00400F39">
              <w:rPr>
                <w:rFonts w:asciiTheme="minorHAnsi" w:hAnsiTheme="minorHAnsi"/>
                <w:sz w:val="18"/>
                <w:szCs w:val="18"/>
              </w:rPr>
              <w:t>500</w:t>
            </w:r>
          </w:p>
        </w:tc>
      </w:tr>
      <w:tr w:rsidR="006F645D" w:rsidRPr="00400F39" w14:paraId="3B71550C" w14:textId="77777777" w:rsidTr="18EB1F8F">
        <w:trPr>
          <w:trHeight w:val="283"/>
          <w:jc w:val="center"/>
        </w:trPr>
        <w:tc>
          <w:tcPr>
            <w:tcW w:w="4683" w:type="dxa"/>
            <w:tcBorders>
              <w:top w:val="nil"/>
              <w:bottom w:val="nil"/>
              <w:right w:val="nil"/>
            </w:tcBorders>
          </w:tcPr>
          <w:p w14:paraId="44537B52" w14:textId="10AA0A44" w:rsidR="006F645D" w:rsidRPr="00400F39" w:rsidRDefault="006F645D" w:rsidP="003D1CA1">
            <w:pPr>
              <w:rPr>
                <w:rFonts w:asciiTheme="minorHAnsi" w:hAnsiTheme="minorHAnsi"/>
                <w:sz w:val="18"/>
                <w:szCs w:val="18"/>
              </w:rPr>
            </w:pPr>
            <w:r w:rsidRPr="00400F39">
              <w:rPr>
                <w:rFonts w:asciiTheme="minorHAnsi" w:hAnsiTheme="minorHAnsi"/>
                <w:sz w:val="18"/>
                <w:szCs w:val="18"/>
              </w:rPr>
              <w:t xml:space="preserve">Consumers registered for Therapist Assist </w:t>
            </w:r>
          </w:p>
        </w:tc>
        <w:tc>
          <w:tcPr>
            <w:tcW w:w="982" w:type="dxa"/>
            <w:tcBorders>
              <w:top w:val="nil"/>
              <w:left w:val="nil"/>
              <w:bottom w:val="nil"/>
            </w:tcBorders>
          </w:tcPr>
          <w:p w14:paraId="51AED6C0" w14:textId="459AFC2A" w:rsidR="006F645D" w:rsidRPr="00400F39" w:rsidRDefault="006F645D" w:rsidP="003D1CA1">
            <w:pPr>
              <w:jc w:val="center"/>
              <w:rPr>
                <w:rFonts w:asciiTheme="minorHAnsi" w:hAnsiTheme="minorHAnsi"/>
                <w:sz w:val="18"/>
                <w:szCs w:val="18"/>
              </w:rPr>
            </w:pPr>
            <w:r w:rsidRPr="00400F39">
              <w:rPr>
                <w:rFonts w:asciiTheme="minorHAnsi" w:hAnsiTheme="minorHAnsi"/>
                <w:sz w:val="18"/>
                <w:szCs w:val="18"/>
              </w:rPr>
              <w:t>2</w:t>
            </w:r>
            <w:r w:rsidR="00BB174F">
              <w:rPr>
                <w:rFonts w:asciiTheme="minorHAnsi" w:hAnsiTheme="minorHAnsi"/>
                <w:sz w:val="18"/>
                <w:szCs w:val="18"/>
              </w:rPr>
              <w:t>,</w:t>
            </w:r>
            <w:r w:rsidRPr="00400F39">
              <w:rPr>
                <w:rFonts w:asciiTheme="minorHAnsi" w:hAnsiTheme="minorHAnsi"/>
                <w:sz w:val="18"/>
                <w:szCs w:val="18"/>
              </w:rPr>
              <w:t>319</w:t>
            </w:r>
          </w:p>
        </w:tc>
      </w:tr>
      <w:tr w:rsidR="006F645D" w:rsidRPr="00400F39" w14:paraId="4FFB506F" w14:textId="77777777" w:rsidTr="18EB1F8F">
        <w:trPr>
          <w:trHeight w:val="283"/>
          <w:jc w:val="center"/>
        </w:trPr>
        <w:tc>
          <w:tcPr>
            <w:tcW w:w="4683" w:type="dxa"/>
            <w:tcBorders>
              <w:top w:val="nil"/>
              <w:bottom w:val="nil"/>
              <w:right w:val="nil"/>
            </w:tcBorders>
          </w:tcPr>
          <w:p w14:paraId="05D88A46" w14:textId="7EC5AD0C" w:rsidR="006F645D" w:rsidRPr="00400F39" w:rsidRDefault="006F645D" w:rsidP="003D1CA1">
            <w:pPr>
              <w:rPr>
                <w:rFonts w:asciiTheme="minorHAnsi" w:hAnsiTheme="minorHAnsi"/>
                <w:sz w:val="18"/>
                <w:szCs w:val="18"/>
              </w:rPr>
            </w:pPr>
            <w:r w:rsidRPr="00400F39">
              <w:rPr>
                <w:rFonts w:asciiTheme="minorHAnsi" w:hAnsiTheme="minorHAnsi"/>
                <w:sz w:val="18"/>
                <w:szCs w:val="18"/>
              </w:rPr>
              <w:t xml:space="preserve">Therapist Assist allocations </w:t>
            </w:r>
          </w:p>
        </w:tc>
        <w:tc>
          <w:tcPr>
            <w:tcW w:w="982" w:type="dxa"/>
            <w:tcBorders>
              <w:top w:val="nil"/>
              <w:left w:val="nil"/>
              <w:bottom w:val="nil"/>
            </w:tcBorders>
          </w:tcPr>
          <w:p w14:paraId="5F3D5BE5" w14:textId="65C8B13F" w:rsidR="006F645D" w:rsidRPr="00400F39" w:rsidRDefault="006F645D" w:rsidP="003D1CA1">
            <w:pPr>
              <w:jc w:val="center"/>
              <w:rPr>
                <w:rFonts w:asciiTheme="minorHAnsi" w:hAnsiTheme="minorHAnsi"/>
                <w:sz w:val="18"/>
                <w:szCs w:val="18"/>
              </w:rPr>
            </w:pPr>
            <w:r w:rsidRPr="00400F39">
              <w:rPr>
                <w:rFonts w:asciiTheme="minorHAnsi" w:hAnsiTheme="minorHAnsi"/>
                <w:sz w:val="18"/>
                <w:szCs w:val="18"/>
              </w:rPr>
              <w:t>1</w:t>
            </w:r>
            <w:r w:rsidR="00BB174F">
              <w:rPr>
                <w:rFonts w:asciiTheme="minorHAnsi" w:hAnsiTheme="minorHAnsi"/>
                <w:sz w:val="18"/>
                <w:szCs w:val="18"/>
              </w:rPr>
              <w:t>,</w:t>
            </w:r>
            <w:r w:rsidRPr="00400F39">
              <w:rPr>
                <w:rFonts w:asciiTheme="minorHAnsi" w:hAnsiTheme="minorHAnsi"/>
                <w:sz w:val="18"/>
                <w:szCs w:val="18"/>
              </w:rPr>
              <w:t>082</w:t>
            </w:r>
          </w:p>
        </w:tc>
      </w:tr>
      <w:tr w:rsidR="006F645D" w:rsidRPr="00400F39" w14:paraId="3A254A62" w14:textId="77777777" w:rsidTr="18EB1F8F">
        <w:trPr>
          <w:trHeight w:val="283"/>
          <w:jc w:val="center"/>
        </w:trPr>
        <w:tc>
          <w:tcPr>
            <w:tcW w:w="4683" w:type="dxa"/>
            <w:tcBorders>
              <w:top w:val="nil"/>
              <w:bottom w:val="single" w:sz="4" w:space="0" w:color="auto"/>
              <w:right w:val="nil"/>
            </w:tcBorders>
          </w:tcPr>
          <w:p w14:paraId="77498FE8" w14:textId="74E07FE9" w:rsidR="006F645D" w:rsidRPr="00400F39" w:rsidRDefault="006F645D" w:rsidP="003D1CA1">
            <w:pPr>
              <w:rPr>
                <w:rFonts w:asciiTheme="minorHAnsi" w:hAnsiTheme="minorHAnsi"/>
                <w:sz w:val="18"/>
                <w:szCs w:val="18"/>
              </w:rPr>
            </w:pPr>
            <w:r w:rsidRPr="00400F39">
              <w:rPr>
                <w:rFonts w:asciiTheme="minorHAnsi" w:hAnsiTheme="minorHAnsi"/>
                <w:sz w:val="18"/>
                <w:szCs w:val="18"/>
              </w:rPr>
              <w:t>Consumers allocated to therapist</w:t>
            </w:r>
          </w:p>
        </w:tc>
        <w:tc>
          <w:tcPr>
            <w:tcW w:w="982" w:type="dxa"/>
            <w:tcBorders>
              <w:top w:val="nil"/>
              <w:left w:val="nil"/>
              <w:bottom w:val="single" w:sz="4" w:space="0" w:color="auto"/>
            </w:tcBorders>
          </w:tcPr>
          <w:p w14:paraId="5C22B276" w14:textId="5F449D7E" w:rsidR="006F645D" w:rsidRPr="00400F39" w:rsidRDefault="006F645D" w:rsidP="003D1CA1">
            <w:pPr>
              <w:jc w:val="center"/>
              <w:rPr>
                <w:rFonts w:asciiTheme="minorHAnsi" w:hAnsiTheme="minorHAnsi"/>
                <w:sz w:val="18"/>
                <w:szCs w:val="18"/>
              </w:rPr>
            </w:pPr>
            <w:r w:rsidRPr="00400F39">
              <w:rPr>
                <w:rFonts w:asciiTheme="minorHAnsi" w:hAnsiTheme="minorHAnsi"/>
                <w:sz w:val="18"/>
                <w:szCs w:val="18"/>
              </w:rPr>
              <w:t>1</w:t>
            </w:r>
            <w:r w:rsidR="00BB174F">
              <w:rPr>
                <w:rFonts w:asciiTheme="minorHAnsi" w:hAnsiTheme="minorHAnsi"/>
                <w:sz w:val="18"/>
                <w:szCs w:val="18"/>
              </w:rPr>
              <w:t>,</w:t>
            </w:r>
            <w:r w:rsidRPr="00400F39">
              <w:rPr>
                <w:rFonts w:asciiTheme="minorHAnsi" w:hAnsiTheme="minorHAnsi"/>
                <w:sz w:val="18"/>
                <w:szCs w:val="18"/>
              </w:rPr>
              <w:t>011</w:t>
            </w:r>
          </w:p>
        </w:tc>
      </w:tr>
    </w:tbl>
    <w:p w14:paraId="6DA64113" w14:textId="6A4FA6D5" w:rsidR="006F645D" w:rsidRPr="00F5587F" w:rsidRDefault="006F645D" w:rsidP="002029DC">
      <w:pPr>
        <w:spacing w:after="200"/>
        <w:jc w:val="center"/>
        <w:rPr>
          <w:rFonts w:asciiTheme="minorHAnsi" w:hAnsiTheme="minorHAnsi" w:cstheme="minorHAnsi"/>
          <w:sz w:val="16"/>
          <w:szCs w:val="16"/>
        </w:rPr>
      </w:pPr>
      <w:proofErr w:type="spellStart"/>
      <w:r w:rsidRPr="001D3C19">
        <w:rPr>
          <w:rFonts w:asciiTheme="minorHAnsi" w:hAnsiTheme="minorHAnsi" w:cstheme="minorHAnsi"/>
          <w:sz w:val="16"/>
          <w:szCs w:val="16"/>
          <w:vertAlign w:val="superscript"/>
        </w:rPr>
        <w:t>a</w:t>
      </w:r>
      <w:r w:rsidRPr="001D3C19">
        <w:rPr>
          <w:rFonts w:asciiTheme="minorHAnsi" w:hAnsiTheme="minorHAnsi" w:cstheme="minorHAnsi"/>
          <w:sz w:val="16"/>
          <w:szCs w:val="16"/>
        </w:rPr>
        <w:t>Consumers</w:t>
      </w:r>
      <w:proofErr w:type="spellEnd"/>
      <w:r w:rsidRPr="001D3C19">
        <w:rPr>
          <w:rFonts w:asciiTheme="minorHAnsi" w:hAnsiTheme="minorHAnsi" w:cstheme="minorHAnsi"/>
          <w:sz w:val="16"/>
          <w:szCs w:val="16"/>
        </w:rPr>
        <w:t xml:space="preserve"> can be assessed and register for treatment programs on multiple occasions.</w:t>
      </w:r>
    </w:p>
    <w:p w14:paraId="71E2F3D6" w14:textId="0CC03B3C" w:rsidR="00A53739" w:rsidRDefault="00755DB6" w:rsidP="002029DC">
      <w:pPr>
        <w:spacing w:after="200"/>
        <w:rPr>
          <w:rFonts w:asciiTheme="minorHAnsi" w:hAnsiTheme="minorHAnsi" w:cstheme="minorHAnsi"/>
          <w:sz w:val="21"/>
          <w:szCs w:val="21"/>
        </w:rPr>
      </w:pPr>
      <w:r>
        <w:rPr>
          <w:rFonts w:asciiTheme="minorHAnsi" w:hAnsiTheme="minorHAnsi" w:cstheme="minorHAnsi"/>
          <w:sz w:val="21"/>
          <w:szCs w:val="21"/>
        </w:rPr>
        <w:t>Over</w:t>
      </w:r>
      <w:r w:rsidR="008E47B3" w:rsidRPr="001D3C19">
        <w:rPr>
          <w:rFonts w:asciiTheme="minorHAnsi" w:hAnsiTheme="minorHAnsi" w:cstheme="minorHAnsi"/>
          <w:sz w:val="21"/>
          <w:szCs w:val="21"/>
        </w:rPr>
        <w:t xml:space="preserve"> </w:t>
      </w:r>
      <w:r w:rsidR="000823F4" w:rsidRPr="001D3C19">
        <w:rPr>
          <w:rFonts w:asciiTheme="minorHAnsi" w:hAnsiTheme="minorHAnsi" w:cstheme="minorHAnsi"/>
          <w:sz w:val="21"/>
          <w:szCs w:val="21"/>
        </w:rPr>
        <w:t>the seven</w:t>
      </w:r>
      <w:r w:rsidR="00057306" w:rsidRPr="001D3C19">
        <w:rPr>
          <w:rFonts w:asciiTheme="minorHAnsi" w:hAnsiTheme="minorHAnsi" w:cstheme="minorHAnsi"/>
          <w:sz w:val="21"/>
          <w:szCs w:val="21"/>
        </w:rPr>
        <w:t>-</w:t>
      </w:r>
      <w:r w:rsidR="000823F4" w:rsidRPr="001D3C19">
        <w:rPr>
          <w:rFonts w:asciiTheme="minorHAnsi" w:hAnsiTheme="minorHAnsi" w:cstheme="minorHAnsi"/>
          <w:sz w:val="21"/>
          <w:szCs w:val="21"/>
        </w:rPr>
        <w:t>year</w:t>
      </w:r>
      <w:r w:rsidR="00AF7CC4" w:rsidRPr="001D3C19">
        <w:rPr>
          <w:rFonts w:asciiTheme="minorHAnsi" w:hAnsiTheme="minorHAnsi" w:cstheme="minorHAnsi"/>
          <w:sz w:val="21"/>
          <w:szCs w:val="21"/>
        </w:rPr>
        <w:t xml:space="preserve"> period, </w:t>
      </w:r>
      <w:r w:rsidR="00394C5B" w:rsidRPr="001D3C19">
        <w:rPr>
          <w:rFonts w:asciiTheme="minorHAnsi" w:hAnsiTheme="minorHAnsi" w:cstheme="minorHAnsi"/>
          <w:sz w:val="21"/>
          <w:szCs w:val="21"/>
        </w:rPr>
        <w:t>64,8</w:t>
      </w:r>
      <w:r w:rsidR="00B56AF8" w:rsidRPr="001D3C19">
        <w:rPr>
          <w:rFonts w:asciiTheme="minorHAnsi" w:hAnsiTheme="minorHAnsi" w:cstheme="minorHAnsi"/>
          <w:sz w:val="21"/>
          <w:szCs w:val="21"/>
        </w:rPr>
        <w:t>25 consumer</w:t>
      </w:r>
      <w:r w:rsidR="00175968" w:rsidRPr="001D3C19">
        <w:rPr>
          <w:rFonts w:asciiTheme="minorHAnsi" w:hAnsiTheme="minorHAnsi" w:cstheme="minorHAnsi"/>
          <w:sz w:val="21"/>
          <w:szCs w:val="21"/>
        </w:rPr>
        <w:t>s</w:t>
      </w:r>
      <w:r w:rsidR="00B56AF8" w:rsidRPr="001D3C19">
        <w:rPr>
          <w:rFonts w:asciiTheme="minorHAnsi" w:hAnsiTheme="minorHAnsi" w:cstheme="minorHAnsi"/>
          <w:sz w:val="21"/>
          <w:szCs w:val="21"/>
        </w:rPr>
        <w:t xml:space="preserve"> </w:t>
      </w:r>
      <w:r w:rsidR="003A2C55" w:rsidRPr="001D3C19">
        <w:rPr>
          <w:rFonts w:asciiTheme="minorHAnsi" w:hAnsiTheme="minorHAnsi" w:cstheme="minorHAnsi"/>
          <w:sz w:val="21"/>
          <w:szCs w:val="21"/>
        </w:rPr>
        <w:t>and 2,066</w:t>
      </w:r>
      <w:r w:rsidR="00027D65" w:rsidRPr="001D3C19">
        <w:rPr>
          <w:rFonts w:asciiTheme="minorHAnsi" w:hAnsiTheme="minorHAnsi" w:cstheme="minorHAnsi"/>
          <w:sz w:val="21"/>
          <w:szCs w:val="21"/>
        </w:rPr>
        <w:t xml:space="preserve"> health care professional</w:t>
      </w:r>
      <w:r w:rsidR="00175968" w:rsidRPr="001D3C19">
        <w:rPr>
          <w:rFonts w:asciiTheme="minorHAnsi" w:hAnsiTheme="minorHAnsi" w:cstheme="minorHAnsi"/>
          <w:sz w:val="21"/>
          <w:szCs w:val="21"/>
        </w:rPr>
        <w:t>s</w:t>
      </w:r>
      <w:r w:rsidR="00027D65" w:rsidRPr="001D3C19">
        <w:rPr>
          <w:rFonts w:asciiTheme="minorHAnsi" w:hAnsiTheme="minorHAnsi" w:cstheme="minorHAnsi"/>
          <w:sz w:val="21"/>
          <w:szCs w:val="21"/>
        </w:rPr>
        <w:t xml:space="preserve"> </w:t>
      </w:r>
      <w:r w:rsidR="00B56AF8" w:rsidRPr="001D3C19">
        <w:rPr>
          <w:rFonts w:asciiTheme="minorHAnsi" w:hAnsiTheme="minorHAnsi" w:cstheme="minorHAnsi"/>
          <w:sz w:val="21"/>
          <w:szCs w:val="21"/>
        </w:rPr>
        <w:t>regist</w:t>
      </w:r>
      <w:r w:rsidR="00175968" w:rsidRPr="001D3C19">
        <w:rPr>
          <w:rFonts w:asciiTheme="minorHAnsi" w:hAnsiTheme="minorHAnsi" w:cstheme="minorHAnsi"/>
          <w:sz w:val="21"/>
          <w:szCs w:val="21"/>
        </w:rPr>
        <w:t>ered</w:t>
      </w:r>
      <w:r w:rsidR="00B56AF8" w:rsidRPr="001D3C19">
        <w:rPr>
          <w:rFonts w:asciiTheme="minorHAnsi" w:hAnsiTheme="minorHAnsi" w:cstheme="minorHAnsi"/>
          <w:sz w:val="21"/>
          <w:szCs w:val="21"/>
        </w:rPr>
        <w:t xml:space="preserve"> </w:t>
      </w:r>
      <w:r w:rsidR="00175968" w:rsidRPr="001D3C19">
        <w:rPr>
          <w:rFonts w:asciiTheme="minorHAnsi" w:hAnsiTheme="minorHAnsi" w:cstheme="minorHAnsi"/>
          <w:sz w:val="21"/>
          <w:szCs w:val="21"/>
        </w:rPr>
        <w:t xml:space="preserve">with </w:t>
      </w:r>
      <w:r w:rsidR="00B56AF8" w:rsidRPr="001D3C19">
        <w:rPr>
          <w:rFonts w:asciiTheme="minorHAnsi" w:hAnsiTheme="minorHAnsi" w:cstheme="minorHAnsi"/>
          <w:sz w:val="21"/>
          <w:szCs w:val="21"/>
        </w:rPr>
        <w:t xml:space="preserve">the </w:t>
      </w:r>
      <w:r w:rsidR="00BF1BF1" w:rsidRPr="001D3C19">
        <w:rPr>
          <w:rFonts w:asciiTheme="minorHAnsi" w:hAnsiTheme="minorHAnsi" w:cstheme="minorHAnsi"/>
          <w:sz w:val="21"/>
          <w:szCs w:val="21"/>
        </w:rPr>
        <w:t>Mental Health Online</w:t>
      </w:r>
      <w:r w:rsidR="00B56AF8" w:rsidRPr="001D3C19">
        <w:rPr>
          <w:rFonts w:asciiTheme="minorHAnsi" w:hAnsiTheme="minorHAnsi" w:cstheme="minorHAnsi"/>
          <w:sz w:val="21"/>
          <w:szCs w:val="21"/>
        </w:rPr>
        <w:t xml:space="preserve"> website</w:t>
      </w:r>
      <w:r w:rsidR="00294742" w:rsidRPr="001D3C19">
        <w:rPr>
          <w:rFonts w:asciiTheme="minorHAnsi" w:hAnsiTheme="minorHAnsi" w:cstheme="minorHAnsi"/>
          <w:sz w:val="21"/>
          <w:szCs w:val="21"/>
        </w:rPr>
        <w:t>.</w:t>
      </w:r>
      <w:r w:rsidR="00D711A4" w:rsidRPr="001D3C19">
        <w:rPr>
          <w:rFonts w:asciiTheme="minorHAnsi" w:hAnsiTheme="minorHAnsi" w:cstheme="minorHAnsi"/>
          <w:sz w:val="21"/>
          <w:szCs w:val="21"/>
        </w:rPr>
        <w:t xml:space="preserve"> </w:t>
      </w:r>
      <w:r w:rsidR="00D90E88" w:rsidRPr="001D3C19">
        <w:rPr>
          <w:rFonts w:asciiTheme="minorHAnsi" w:hAnsiTheme="minorHAnsi" w:cstheme="minorHAnsi"/>
          <w:sz w:val="21"/>
          <w:szCs w:val="21"/>
        </w:rPr>
        <w:t>Note that</w:t>
      </w:r>
      <w:r w:rsidR="00895BAC" w:rsidRPr="001D3C19">
        <w:rPr>
          <w:rFonts w:asciiTheme="minorHAnsi" w:hAnsiTheme="minorHAnsi" w:cstheme="minorHAnsi"/>
          <w:sz w:val="21"/>
          <w:szCs w:val="21"/>
        </w:rPr>
        <w:t xml:space="preserve"> </w:t>
      </w:r>
      <w:r w:rsidR="00175968" w:rsidRPr="001D3C19">
        <w:rPr>
          <w:rFonts w:asciiTheme="minorHAnsi" w:hAnsiTheme="minorHAnsi" w:cstheme="minorHAnsi"/>
          <w:sz w:val="21"/>
          <w:szCs w:val="21"/>
        </w:rPr>
        <w:t>registered consumers</w:t>
      </w:r>
      <w:r w:rsidR="00F93CBC" w:rsidRPr="001D3C19">
        <w:rPr>
          <w:rFonts w:asciiTheme="minorHAnsi" w:hAnsiTheme="minorHAnsi" w:cstheme="minorHAnsi"/>
          <w:sz w:val="21"/>
          <w:szCs w:val="21"/>
        </w:rPr>
        <w:t xml:space="preserve"> represent only one-sixth of </w:t>
      </w:r>
      <w:r w:rsidR="00F32DE6" w:rsidRPr="001D3C19">
        <w:rPr>
          <w:rFonts w:asciiTheme="minorHAnsi" w:hAnsiTheme="minorHAnsi" w:cstheme="minorHAnsi"/>
          <w:sz w:val="21"/>
          <w:szCs w:val="21"/>
        </w:rPr>
        <w:t>website vis</w:t>
      </w:r>
      <w:r w:rsidR="00BF1BF1" w:rsidRPr="001D3C19">
        <w:rPr>
          <w:rFonts w:asciiTheme="minorHAnsi" w:hAnsiTheme="minorHAnsi" w:cstheme="minorHAnsi"/>
          <w:sz w:val="21"/>
          <w:szCs w:val="21"/>
        </w:rPr>
        <w:t>i</w:t>
      </w:r>
      <w:r w:rsidR="00F32DE6" w:rsidRPr="001D3C19">
        <w:rPr>
          <w:rFonts w:asciiTheme="minorHAnsi" w:hAnsiTheme="minorHAnsi" w:cstheme="minorHAnsi"/>
          <w:sz w:val="21"/>
          <w:szCs w:val="21"/>
        </w:rPr>
        <w:t>tors.</w:t>
      </w:r>
    </w:p>
    <w:p w14:paraId="28749FAA" w14:textId="45AD17F5" w:rsidR="00294742" w:rsidRPr="00F5587F" w:rsidRDefault="00A53739" w:rsidP="002029DC">
      <w:pPr>
        <w:pStyle w:val="ANorm"/>
        <w:spacing w:after="200"/>
      </w:pPr>
      <w:r w:rsidRPr="00E73559">
        <w:t>Of the 64</w:t>
      </w:r>
      <w:r w:rsidR="00A629CC" w:rsidRPr="00E73559">
        <w:t>,</w:t>
      </w:r>
      <w:r w:rsidRPr="00E73559">
        <w:t>825 consumer</w:t>
      </w:r>
      <w:r w:rsidR="00A629CC" w:rsidRPr="00E73559">
        <w:t>s</w:t>
      </w:r>
      <w:r w:rsidRPr="00E73559">
        <w:t xml:space="preserve"> who registered </w:t>
      </w:r>
      <w:r w:rsidR="00A629CC" w:rsidRPr="00E73559">
        <w:t xml:space="preserve">with Mental Health Online, 33,936 </w:t>
      </w:r>
      <w:r w:rsidR="00E73559">
        <w:t xml:space="preserve">(52%) </w:t>
      </w:r>
      <w:r w:rsidR="00A629CC" w:rsidRPr="00E73559">
        <w:t xml:space="preserve">did not go on to receive either an assessment or treatment. In total, 30,889 </w:t>
      </w:r>
      <w:r w:rsidR="00E73559">
        <w:t xml:space="preserve">(48%) </w:t>
      </w:r>
      <w:r w:rsidR="00A629CC" w:rsidRPr="00E73559">
        <w:t>completed an assessment and/or registered for a</w:t>
      </w:r>
      <w:r w:rsidR="00E73559">
        <w:t xml:space="preserve"> treatment</w:t>
      </w:r>
      <w:r w:rsidR="00A629CC" w:rsidRPr="00E73559">
        <w:t xml:space="preserve"> program, of whom </w:t>
      </w:r>
      <w:r w:rsidRPr="00E73559">
        <w:t>12,973</w:t>
      </w:r>
      <w:r w:rsidR="00E73559">
        <w:t xml:space="preserve"> (42%)</w:t>
      </w:r>
      <w:r w:rsidRPr="00E73559">
        <w:t xml:space="preserve"> </w:t>
      </w:r>
      <w:r w:rsidR="00A629CC" w:rsidRPr="00E73559">
        <w:t>completed an</w:t>
      </w:r>
      <w:r w:rsidRPr="00E73559">
        <w:t xml:space="preserve"> assessment only</w:t>
      </w:r>
      <w:r w:rsidR="00A629CC" w:rsidRPr="00E73559">
        <w:t xml:space="preserve">, 6,394 </w:t>
      </w:r>
      <w:r w:rsidR="00E73559">
        <w:t xml:space="preserve">(21%) </w:t>
      </w:r>
      <w:r w:rsidR="00A629CC" w:rsidRPr="00E73559">
        <w:t xml:space="preserve">registered for a </w:t>
      </w:r>
      <w:r w:rsidR="00E73559">
        <w:t xml:space="preserve">treatment </w:t>
      </w:r>
      <w:r w:rsidR="00A629CC" w:rsidRPr="00E73559">
        <w:t xml:space="preserve">program only, and </w:t>
      </w:r>
      <w:r w:rsidRPr="00E73559">
        <w:t xml:space="preserve">11,522 </w:t>
      </w:r>
      <w:r w:rsidR="00E73559">
        <w:t xml:space="preserve">(37%) </w:t>
      </w:r>
      <w:r w:rsidR="00A629CC" w:rsidRPr="00E73559">
        <w:t>completed an</w:t>
      </w:r>
      <w:r w:rsidRPr="00E73559">
        <w:t xml:space="preserve"> assessment </w:t>
      </w:r>
      <w:r w:rsidR="00A629CC" w:rsidRPr="00E73559">
        <w:t>and</w:t>
      </w:r>
      <w:r w:rsidRPr="00E73559">
        <w:t xml:space="preserve"> registered for a </w:t>
      </w:r>
      <w:r w:rsidR="00E73559">
        <w:t xml:space="preserve">treatment </w:t>
      </w:r>
      <w:r w:rsidRPr="00E73559">
        <w:t>program</w:t>
      </w:r>
      <w:r w:rsidR="00A629CC" w:rsidRPr="00E73559">
        <w:t>.</w:t>
      </w:r>
    </w:p>
    <w:p w14:paraId="3A31BCC5" w14:textId="438A67F8" w:rsidR="00731B54" w:rsidRPr="001D3C19" w:rsidRDefault="00BF1BF1" w:rsidP="002029DC">
      <w:pPr>
        <w:spacing w:after="200"/>
        <w:rPr>
          <w:rFonts w:asciiTheme="minorHAnsi" w:hAnsiTheme="minorHAnsi" w:cstheme="minorHAnsi"/>
          <w:sz w:val="21"/>
          <w:szCs w:val="21"/>
        </w:rPr>
      </w:pPr>
      <w:r w:rsidRPr="001D3C19">
        <w:rPr>
          <w:rFonts w:asciiTheme="minorHAnsi" w:hAnsiTheme="minorHAnsi" w:cstheme="minorHAnsi"/>
          <w:sz w:val="21"/>
          <w:szCs w:val="21"/>
        </w:rPr>
        <w:t>In the seven-year period</w:t>
      </w:r>
      <w:r w:rsidR="00294742" w:rsidRPr="001D3C19">
        <w:rPr>
          <w:rFonts w:asciiTheme="minorHAnsi" w:hAnsiTheme="minorHAnsi" w:cstheme="minorHAnsi"/>
          <w:sz w:val="21"/>
          <w:szCs w:val="21"/>
        </w:rPr>
        <w:t xml:space="preserve">, </w:t>
      </w:r>
      <w:r w:rsidR="00562A9C" w:rsidRPr="001D3C19">
        <w:rPr>
          <w:rFonts w:asciiTheme="minorHAnsi" w:hAnsiTheme="minorHAnsi" w:cstheme="minorHAnsi"/>
          <w:sz w:val="21"/>
          <w:szCs w:val="21"/>
        </w:rPr>
        <w:t xml:space="preserve">25,547 </w:t>
      </w:r>
      <w:r w:rsidR="00AA0014" w:rsidRPr="001D3C19">
        <w:rPr>
          <w:rFonts w:asciiTheme="minorHAnsi" w:hAnsiTheme="minorHAnsi" w:cstheme="minorHAnsi"/>
          <w:sz w:val="21"/>
          <w:szCs w:val="21"/>
        </w:rPr>
        <w:t>assessment</w:t>
      </w:r>
      <w:r w:rsidRPr="001D3C19">
        <w:rPr>
          <w:rFonts w:asciiTheme="minorHAnsi" w:hAnsiTheme="minorHAnsi" w:cstheme="minorHAnsi"/>
          <w:sz w:val="21"/>
          <w:szCs w:val="21"/>
        </w:rPr>
        <w:t>s were completed for 24,495 consumers</w:t>
      </w:r>
      <w:r w:rsidR="00AF4D88" w:rsidRPr="001D3C19">
        <w:rPr>
          <w:rFonts w:asciiTheme="minorHAnsi" w:hAnsiTheme="minorHAnsi" w:cstheme="minorHAnsi"/>
          <w:sz w:val="21"/>
          <w:szCs w:val="21"/>
        </w:rPr>
        <w:t>, more than half (12,973) of whom did not register for treatment with Mental Health Online.</w:t>
      </w:r>
      <w:r w:rsidRPr="001D3C19">
        <w:rPr>
          <w:rFonts w:asciiTheme="minorHAnsi" w:hAnsiTheme="minorHAnsi" w:cstheme="minorHAnsi"/>
          <w:sz w:val="21"/>
          <w:szCs w:val="21"/>
        </w:rPr>
        <w:t xml:space="preserve"> </w:t>
      </w:r>
      <w:r w:rsidR="00AF4D88" w:rsidRPr="001D3C19">
        <w:rPr>
          <w:rFonts w:asciiTheme="minorHAnsi" w:hAnsiTheme="minorHAnsi" w:cstheme="minorHAnsi"/>
          <w:sz w:val="21"/>
          <w:szCs w:val="21"/>
        </w:rPr>
        <w:t>T</w:t>
      </w:r>
      <w:r w:rsidRPr="001D3C19">
        <w:rPr>
          <w:rFonts w:asciiTheme="minorHAnsi" w:hAnsiTheme="minorHAnsi" w:cstheme="minorHAnsi"/>
          <w:sz w:val="21"/>
          <w:szCs w:val="21"/>
        </w:rPr>
        <w:t>here were 22,008 treatment program registrations by 17,916 consumers</w:t>
      </w:r>
      <w:r w:rsidR="00DC3A11">
        <w:rPr>
          <w:rFonts w:asciiTheme="minorHAnsi" w:hAnsiTheme="minorHAnsi" w:cstheme="minorHAnsi"/>
          <w:sz w:val="21"/>
          <w:szCs w:val="21"/>
        </w:rPr>
        <w:t>,</w:t>
      </w:r>
      <w:r w:rsidR="00AF4D88" w:rsidRPr="001D3C19">
        <w:rPr>
          <w:rFonts w:asciiTheme="minorHAnsi" w:hAnsiTheme="minorHAnsi" w:cstheme="minorHAnsi"/>
          <w:sz w:val="21"/>
          <w:szCs w:val="21"/>
        </w:rPr>
        <w:t xml:space="preserve"> 11,522 of whom completed an assessment</w:t>
      </w:r>
      <w:r w:rsidRPr="001D3C19">
        <w:rPr>
          <w:rFonts w:asciiTheme="minorHAnsi" w:hAnsiTheme="minorHAnsi" w:cstheme="minorHAnsi"/>
          <w:sz w:val="21"/>
          <w:szCs w:val="21"/>
        </w:rPr>
        <w:t>.</w:t>
      </w:r>
    </w:p>
    <w:p w14:paraId="64A08313" w14:textId="7D48A7F8" w:rsidR="002A7298" w:rsidRPr="00F5587F" w:rsidRDefault="00557B41" w:rsidP="002029DC">
      <w:pPr>
        <w:pStyle w:val="ANorm"/>
        <w:spacing w:after="200"/>
      </w:pPr>
      <w:r w:rsidRPr="001D3C19">
        <w:rPr>
          <w:rFonts w:asciiTheme="minorHAnsi" w:hAnsiTheme="minorHAnsi" w:cstheme="minorHAnsi"/>
        </w:rPr>
        <w:lastRenderedPageBreak/>
        <w:t xml:space="preserve">Of the </w:t>
      </w:r>
      <w:r w:rsidR="00AF7CC4" w:rsidRPr="001D3C19">
        <w:rPr>
          <w:rFonts w:asciiTheme="minorHAnsi" w:hAnsiTheme="minorHAnsi" w:cstheme="minorHAnsi"/>
        </w:rPr>
        <w:t>22,00</w:t>
      </w:r>
      <w:r w:rsidR="00BF1BF1" w:rsidRPr="001D3C19">
        <w:rPr>
          <w:rFonts w:asciiTheme="minorHAnsi" w:hAnsiTheme="minorHAnsi" w:cstheme="minorHAnsi"/>
        </w:rPr>
        <w:t>8</w:t>
      </w:r>
      <w:r w:rsidR="001A465C" w:rsidRPr="001D3C19">
        <w:rPr>
          <w:rFonts w:asciiTheme="minorHAnsi" w:hAnsiTheme="minorHAnsi" w:cstheme="minorHAnsi"/>
        </w:rPr>
        <w:t xml:space="preserve"> </w:t>
      </w:r>
      <w:r w:rsidR="009B5A68">
        <w:rPr>
          <w:rFonts w:asciiTheme="minorHAnsi" w:hAnsiTheme="minorHAnsi" w:cstheme="minorHAnsi"/>
        </w:rPr>
        <w:t xml:space="preserve">users who registered for a </w:t>
      </w:r>
      <w:r w:rsidR="006F645D" w:rsidRPr="001D3C19">
        <w:rPr>
          <w:rFonts w:asciiTheme="minorHAnsi" w:hAnsiTheme="minorHAnsi" w:cstheme="minorHAnsi"/>
        </w:rPr>
        <w:t>treatment program,</w:t>
      </w:r>
      <w:r w:rsidR="00F92FC4" w:rsidRPr="001D3C19">
        <w:rPr>
          <w:rFonts w:asciiTheme="minorHAnsi" w:hAnsiTheme="minorHAnsi" w:cstheme="minorHAnsi"/>
        </w:rPr>
        <w:t xml:space="preserve"> </w:t>
      </w:r>
      <w:r w:rsidR="0018499C" w:rsidRPr="001D3C19">
        <w:rPr>
          <w:rFonts w:asciiTheme="minorHAnsi" w:hAnsiTheme="minorHAnsi" w:cstheme="minorHAnsi"/>
        </w:rPr>
        <w:t>2</w:t>
      </w:r>
      <w:r w:rsidR="004E7A8F" w:rsidRPr="001D3C19">
        <w:rPr>
          <w:rFonts w:asciiTheme="minorHAnsi" w:hAnsiTheme="minorHAnsi" w:cstheme="minorHAnsi"/>
        </w:rPr>
        <w:t>,</w:t>
      </w:r>
      <w:r w:rsidR="0018499C" w:rsidRPr="001D3C19">
        <w:rPr>
          <w:rFonts w:asciiTheme="minorHAnsi" w:hAnsiTheme="minorHAnsi" w:cstheme="minorHAnsi"/>
        </w:rPr>
        <w:t>500</w:t>
      </w:r>
      <w:r w:rsidR="00494AFA" w:rsidRPr="001D3C19">
        <w:rPr>
          <w:rFonts w:asciiTheme="minorHAnsi" w:hAnsiTheme="minorHAnsi" w:cstheme="minorHAnsi"/>
        </w:rPr>
        <w:t xml:space="preserve"> (11.4%)</w:t>
      </w:r>
      <w:r w:rsidR="004E7A8F" w:rsidRPr="001D3C19">
        <w:rPr>
          <w:rFonts w:asciiTheme="minorHAnsi" w:hAnsiTheme="minorHAnsi" w:cstheme="minorHAnsi"/>
        </w:rPr>
        <w:t xml:space="preserve"> </w:t>
      </w:r>
      <w:r w:rsidR="009B5A68">
        <w:rPr>
          <w:rFonts w:asciiTheme="minorHAnsi" w:hAnsiTheme="minorHAnsi" w:cstheme="minorHAnsi"/>
        </w:rPr>
        <w:t>registered to receive</w:t>
      </w:r>
      <w:r w:rsidR="00321B97" w:rsidRPr="001D3C19">
        <w:rPr>
          <w:rFonts w:asciiTheme="minorHAnsi" w:hAnsiTheme="minorHAnsi" w:cstheme="minorHAnsi"/>
        </w:rPr>
        <w:t xml:space="preserve"> therapist support</w:t>
      </w:r>
      <w:r w:rsidR="006F645D" w:rsidRPr="001D3C19">
        <w:rPr>
          <w:rFonts w:asciiTheme="minorHAnsi" w:hAnsiTheme="minorHAnsi" w:cstheme="minorHAnsi"/>
        </w:rPr>
        <w:t xml:space="preserve"> (Therapist Assist)</w:t>
      </w:r>
      <w:r w:rsidR="00321B97" w:rsidRPr="001D3C19">
        <w:rPr>
          <w:rFonts w:asciiTheme="minorHAnsi" w:hAnsiTheme="minorHAnsi" w:cstheme="minorHAnsi"/>
        </w:rPr>
        <w:t>.</w:t>
      </w:r>
      <w:r w:rsidR="00C92719" w:rsidRPr="001D3C19">
        <w:rPr>
          <w:rFonts w:asciiTheme="minorHAnsi" w:hAnsiTheme="minorHAnsi" w:cstheme="minorHAnsi"/>
        </w:rPr>
        <w:t xml:space="preserve"> N</w:t>
      </w:r>
      <w:r w:rsidR="00BF1BF1" w:rsidRPr="001D3C19">
        <w:rPr>
          <w:rFonts w:asciiTheme="minorHAnsi" w:hAnsiTheme="minorHAnsi" w:cstheme="minorHAnsi"/>
        </w:rPr>
        <w:t>ot</w:t>
      </w:r>
      <w:r w:rsidR="00C92719" w:rsidRPr="001D3C19">
        <w:rPr>
          <w:rFonts w:asciiTheme="minorHAnsi" w:hAnsiTheme="minorHAnsi" w:cstheme="minorHAnsi"/>
        </w:rPr>
        <w:t xml:space="preserve"> everyone who registers for therapist support</w:t>
      </w:r>
      <w:r w:rsidR="00334E0D" w:rsidRPr="001D3C19">
        <w:rPr>
          <w:rFonts w:asciiTheme="minorHAnsi" w:hAnsiTheme="minorHAnsi" w:cstheme="minorHAnsi"/>
        </w:rPr>
        <w:t xml:space="preserve">ed digital </w:t>
      </w:r>
      <w:r w:rsidR="00F0391B" w:rsidRPr="001D3C19">
        <w:rPr>
          <w:rFonts w:asciiTheme="minorHAnsi" w:hAnsiTheme="minorHAnsi" w:cstheme="minorHAnsi"/>
        </w:rPr>
        <w:t>treatment</w:t>
      </w:r>
      <w:r w:rsidR="00DE00AF" w:rsidRPr="001D3C19">
        <w:rPr>
          <w:rFonts w:asciiTheme="minorHAnsi" w:hAnsiTheme="minorHAnsi" w:cstheme="minorHAnsi"/>
        </w:rPr>
        <w:t xml:space="preserve"> is </w:t>
      </w:r>
      <w:r w:rsidR="00F0391B" w:rsidRPr="001D3C19">
        <w:rPr>
          <w:rFonts w:asciiTheme="minorHAnsi" w:hAnsiTheme="minorHAnsi" w:cstheme="minorHAnsi"/>
        </w:rPr>
        <w:t>suitable for the services without additional support</w:t>
      </w:r>
      <w:r w:rsidR="00CB3E3A">
        <w:rPr>
          <w:rFonts w:asciiTheme="minorHAnsi" w:hAnsiTheme="minorHAnsi" w:cstheme="minorHAnsi"/>
        </w:rPr>
        <w:t>,</w:t>
      </w:r>
      <w:r w:rsidR="00CE7660" w:rsidRPr="001D3C19">
        <w:rPr>
          <w:rFonts w:asciiTheme="minorHAnsi" w:hAnsiTheme="minorHAnsi" w:cstheme="minorHAnsi"/>
        </w:rPr>
        <w:t xml:space="preserve"> in which case they are referred for additional or alternative support</w:t>
      </w:r>
      <w:r w:rsidR="00AD5208">
        <w:rPr>
          <w:rFonts w:asciiTheme="minorHAnsi" w:hAnsiTheme="minorHAnsi" w:cstheme="minorHAnsi"/>
        </w:rPr>
        <w:t>. Not</w:t>
      </w:r>
      <w:r w:rsidR="00DE00AF" w:rsidRPr="001D3C19">
        <w:rPr>
          <w:rFonts w:asciiTheme="minorHAnsi" w:hAnsiTheme="minorHAnsi" w:cstheme="minorHAnsi"/>
        </w:rPr>
        <w:t xml:space="preserve"> everyone </w:t>
      </w:r>
      <w:r w:rsidR="00CE7660" w:rsidRPr="001D3C19">
        <w:rPr>
          <w:rFonts w:asciiTheme="minorHAnsi" w:hAnsiTheme="minorHAnsi" w:cstheme="minorHAnsi"/>
        </w:rPr>
        <w:t xml:space="preserve">suitable for </w:t>
      </w:r>
      <w:r w:rsidR="00725412" w:rsidRPr="001D3C19">
        <w:rPr>
          <w:rFonts w:asciiTheme="minorHAnsi" w:hAnsiTheme="minorHAnsi" w:cstheme="minorHAnsi"/>
        </w:rPr>
        <w:t>therapist supported digital tre</w:t>
      </w:r>
      <w:r w:rsidR="0091075D" w:rsidRPr="001D3C19">
        <w:rPr>
          <w:rFonts w:asciiTheme="minorHAnsi" w:hAnsiTheme="minorHAnsi" w:cstheme="minorHAnsi"/>
        </w:rPr>
        <w:t>atment</w:t>
      </w:r>
      <w:r w:rsidR="00DE00AF" w:rsidRPr="001D3C19">
        <w:rPr>
          <w:rFonts w:asciiTheme="minorHAnsi" w:hAnsiTheme="minorHAnsi" w:cstheme="minorHAnsi"/>
        </w:rPr>
        <w:t xml:space="preserve"> </w:t>
      </w:r>
      <w:r w:rsidR="00334E0D" w:rsidRPr="001D3C19">
        <w:rPr>
          <w:rFonts w:asciiTheme="minorHAnsi" w:hAnsiTheme="minorHAnsi" w:cstheme="minorHAnsi"/>
        </w:rPr>
        <w:t xml:space="preserve">takes </w:t>
      </w:r>
      <w:r w:rsidR="004004F0" w:rsidRPr="001D3C19">
        <w:rPr>
          <w:rFonts w:asciiTheme="minorHAnsi" w:hAnsiTheme="minorHAnsi" w:cstheme="minorHAnsi"/>
        </w:rPr>
        <w:t>up the service (therapist).</w:t>
      </w:r>
      <w:r w:rsidR="006F645D" w:rsidRPr="001D3C19">
        <w:rPr>
          <w:rFonts w:asciiTheme="minorHAnsi" w:hAnsiTheme="minorHAnsi" w:cstheme="minorHAnsi"/>
        </w:rPr>
        <w:t xml:space="preserve"> </w:t>
      </w:r>
      <w:r w:rsidR="00384AF5">
        <w:rPr>
          <w:rFonts w:asciiTheme="minorHAnsi" w:hAnsiTheme="minorHAnsi" w:cstheme="minorHAnsi"/>
        </w:rPr>
        <w:t>As</w:t>
      </w:r>
      <w:r w:rsidR="00B82A23" w:rsidRPr="001D3C19">
        <w:rPr>
          <w:rFonts w:asciiTheme="minorHAnsi" w:hAnsiTheme="minorHAnsi" w:cstheme="minorHAnsi"/>
        </w:rPr>
        <w:t xml:space="preserve"> shown in Table 6, </w:t>
      </w:r>
      <w:r w:rsidR="006F645D" w:rsidRPr="001D3C19">
        <w:rPr>
          <w:rFonts w:asciiTheme="minorHAnsi" w:hAnsiTheme="minorHAnsi" w:cstheme="minorHAnsi"/>
        </w:rPr>
        <w:t>1,011 consumers were allocated a therapist</w:t>
      </w:r>
      <w:r w:rsidR="006F645D">
        <w:rPr>
          <w:rFonts w:asciiTheme="minorHAnsi" w:hAnsiTheme="minorHAnsi" w:cstheme="minorHAnsi"/>
        </w:rPr>
        <w:t xml:space="preserve"> </w:t>
      </w:r>
      <w:r w:rsidR="00DC416F">
        <w:rPr>
          <w:rFonts w:asciiTheme="minorHAnsi" w:hAnsiTheme="minorHAnsi" w:cstheme="minorHAnsi"/>
        </w:rPr>
        <w:t xml:space="preserve">from January 2015 to December 2021. </w:t>
      </w:r>
      <w:r w:rsidR="00E73559">
        <w:rPr>
          <w:rFonts w:asciiTheme="minorHAnsi" w:hAnsiTheme="minorHAnsi" w:cstheme="minorHAnsi"/>
        </w:rPr>
        <w:t xml:space="preserve">Of consumers allocated a therapist, 833 </w:t>
      </w:r>
      <w:r w:rsidR="000D60AD">
        <w:rPr>
          <w:rFonts w:asciiTheme="minorHAnsi" w:hAnsiTheme="minorHAnsi" w:cstheme="minorHAnsi"/>
        </w:rPr>
        <w:t xml:space="preserve">(82%) </w:t>
      </w:r>
      <w:r w:rsidR="00E73559">
        <w:rPr>
          <w:rFonts w:asciiTheme="minorHAnsi" w:hAnsiTheme="minorHAnsi" w:cstheme="minorHAnsi"/>
        </w:rPr>
        <w:t xml:space="preserve">had and 178 </w:t>
      </w:r>
      <w:r w:rsidR="000D60AD">
        <w:rPr>
          <w:rFonts w:asciiTheme="minorHAnsi" w:hAnsiTheme="minorHAnsi" w:cstheme="minorHAnsi"/>
        </w:rPr>
        <w:t xml:space="preserve">(18%) </w:t>
      </w:r>
      <w:r w:rsidR="00E73559">
        <w:rPr>
          <w:rFonts w:asciiTheme="minorHAnsi" w:hAnsiTheme="minorHAnsi" w:cstheme="minorHAnsi"/>
        </w:rPr>
        <w:t xml:space="preserve">had not completed an assessment. </w:t>
      </w:r>
      <w:r w:rsidR="00DC416F">
        <w:rPr>
          <w:rFonts w:asciiTheme="minorHAnsi" w:hAnsiTheme="minorHAnsi" w:cstheme="minorHAnsi"/>
        </w:rPr>
        <w:t>Therapist</w:t>
      </w:r>
      <w:r w:rsidR="006F645D" w:rsidRPr="001D3C19">
        <w:rPr>
          <w:rFonts w:asciiTheme="minorHAnsi" w:hAnsiTheme="minorHAnsi" w:cstheme="minorHAnsi"/>
        </w:rPr>
        <w:t xml:space="preserve"> </w:t>
      </w:r>
      <w:r w:rsidR="00DC416F" w:rsidRPr="00DC416F">
        <w:t>Assist session completion rates were calculated for the period July 2018 to August 2021, a period during which session attendance was being documented in a readily collatable dataset; in this time</w:t>
      </w:r>
      <w:r w:rsidR="00B405AE">
        <w:t>,</w:t>
      </w:r>
      <w:r w:rsidR="00DC416F" w:rsidRPr="00DC416F">
        <w:t xml:space="preserve"> 815 consumers were allocated a therapist</w:t>
      </w:r>
      <w:r w:rsidR="000D60AD">
        <w:t xml:space="preserve"> </w:t>
      </w:r>
      <w:r w:rsidR="006F645D" w:rsidRPr="00DC416F">
        <w:rPr>
          <w:rFonts w:asciiTheme="minorHAnsi" w:hAnsiTheme="minorHAnsi" w:cstheme="minorHAnsi"/>
        </w:rPr>
        <w:t xml:space="preserve">of whom 463 </w:t>
      </w:r>
      <w:r w:rsidR="00DC416F" w:rsidRPr="00DC416F">
        <w:rPr>
          <w:rFonts w:asciiTheme="minorHAnsi" w:hAnsiTheme="minorHAnsi" w:cstheme="minorHAnsi"/>
        </w:rPr>
        <w:t xml:space="preserve">(57%) </w:t>
      </w:r>
      <w:r w:rsidR="006F645D" w:rsidRPr="00DC416F">
        <w:rPr>
          <w:rFonts w:asciiTheme="minorHAnsi" w:hAnsiTheme="minorHAnsi" w:cstheme="minorHAnsi"/>
        </w:rPr>
        <w:t xml:space="preserve">completed supported treatment meaning they </w:t>
      </w:r>
      <w:r w:rsidR="00AF4D88" w:rsidRPr="00DC416F">
        <w:rPr>
          <w:rFonts w:asciiTheme="minorHAnsi" w:hAnsiTheme="minorHAnsi" w:cstheme="minorHAnsi"/>
          <w:color w:val="000000"/>
        </w:rPr>
        <w:t xml:space="preserve">engaged for at least </w:t>
      </w:r>
      <w:r w:rsidR="002D063B" w:rsidRPr="00DC416F">
        <w:rPr>
          <w:rFonts w:asciiTheme="minorHAnsi" w:hAnsiTheme="minorHAnsi" w:cstheme="minorHAnsi"/>
          <w:color w:val="000000"/>
        </w:rPr>
        <w:t>six</w:t>
      </w:r>
      <w:r w:rsidR="00AF4D88" w:rsidRPr="00DC416F">
        <w:rPr>
          <w:rFonts w:asciiTheme="minorHAnsi" w:hAnsiTheme="minorHAnsi" w:cstheme="minorHAnsi"/>
          <w:color w:val="000000"/>
        </w:rPr>
        <w:t xml:space="preserve"> of the possible 12 weeks of therapist support</w:t>
      </w:r>
      <w:r w:rsidR="006F645D" w:rsidRPr="00DC416F">
        <w:rPr>
          <w:rFonts w:asciiTheme="minorHAnsi" w:hAnsiTheme="minorHAnsi" w:cstheme="minorHAnsi"/>
        </w:rPr>
        <w:t>.</w:t>
      </w:r>
    </w:p>
    <w:p w14:paraId="74445C7D" w14:textId="57B0FFF6" w:rsidR="00BF1BF1" w:rsidRPr="00AA6B28" w:rsidRDefault="00B82A23" w:rsidP="003D1CA1">
      <w:pPr>
        <w:pStyle w:val="tableheading"/>
      </w:pPr>
      <w:r w:rsidRPr="00AA6B28">
        <w:t xml:space="preserve">Table 6. </w:t>
      </w:r>
      <w:r w:rsidR="009A3F30" w:rsidRPr="00AA6B28">
        <w:t>Consumers using</w:t>
      </w:r>
      <w:r w:rsidRPr="00AA6B28">
        <w:t xml:space="preserve"> Mental Health Online </w:t>
      </w:r>
      <w:r w:rsidR="00BF1BF1" w:rsidRPr="00AA6B28">
        <w:t xml:space="preserve">by </w:t>
      </w:r>
      <w:r w:rsidR="009A3F30" w:rsidRPr="00AA6B28">
        <w:t xml:space="preserve">therapist </w:t>
      </w:r>
      <w:r w:rsidR="00BF1BF1" w:rsidRPr="00AA6B28">
        <w:t>support</w:t>
      </w:r>
      <w:r w:rsidRPr="00AA6B28">
        <w:t>, January 2015</w:t>
      </w:r>
      <w:r w:rsidR="00BB174F">
        <w:t xml:space="preserve"> – </w:t>
      </w:r>
      <w:r w:rsidRPr="00AA6B28">
        <w:t>December 2021</w:t>
      </w:r>
      <w:r w:rsidR="00966F5B" w:rsidRPr="00966F5B">
        <w:rPr>
          <w:vertAlign w:val="superscript"/>
        </w:rPr>
        <w:t>a</w:t>
      </w: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Caption w:val="Table 6. Consumers using Mental Health Online by therapist support, January 2015 – December 2021a"/>
        <w:tblDescription w:val="Table describing uptake of Mental Health Online with a focus on the therapist support component from January 2015 to December 2021"/>
      </w:tblPr>
      <w:tblGrid>
        <w:gridCol w:w="1549"/>
        <w:gridCol w:w="1054"/>
        <w:gridCol w:w="1250"/>
        <w:gridCol w:w="1196"/>
        <w:gridCol w:w="1065"/>
        <w:gridCol w:w="970"/>
        <w:gridCol w:w="1106"/>
        <w:gridCol w:w="826"/>
      </w:tblGrid>
      <w:tr w:rsidR="00AF4D88" w:rsidRPr="001D3C19" w14:paraId="5EF559D8" w14:textId="77777777" w:rsidTr="00E33DDA">
        <w:trPr>
          <w:trHeight w:val="227"/>
        </w:trPr>
        <w:tc>
          <w:tcPr>
            <w:tcW w:w="862" w:type="pct"/>
            <w:vMerge w:val="restart"/>
            <w:tcBorders>
              <w:top w:val="single" w:sz="4" w:space="0" w:color="auto"/>
              <w:bottom w:val="single" w:sz="4" w:space="0" w:color="FFFFFF" w:themeColor="background1"/>
              <w:right w:val="single" w:sz="4" w:space="0" w:color="FFFFFF" w:themeColor="background1"/>
            </w:tcBorders>
            <w:shd w:val="clear" w:color="auto" w:fill="000000" w:themeFill="text1"/>
            <w:hideMark/>
          </w:tcPr>
          <w:p w14:paraId="7D9D24D6" w14:textId="0876338D"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Support</w:t>
            </w:r>
          </w:p>
        </w:tc>
        <w:tc>
          <w:tcPr>
            <w:tcW w:w="4138" w:type="pct"/>
            <w:gridSpan w:val="7"/>
            <w:tcBorders>
              <w:top w:val="single" w:sz="4" w:space="0" w:color="auto"/>
              <w:left w:val="single" w:sz="4" w:space="0" w:color="FFFFFF" w:themeColor="background1"/>
              <w:bottom w:val="single" w:sz="4" w:space="0" w:color="FFFFFF" w:themeColor="background1"/>
            </w:tcBorders>
            <w:shd w:val="clear" w:color="auto" w:fill="000000" w:themeFill="text1"/>
          </w:tcPr>
          <w:p w14:paraId="6E200F3C" w14:textId="06928D29"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Frequency</w:t>
            </w:r>
          </w:p>
        </w:tc>
      </w:tr>
      <w:tr w:rsidR="00AF4D88" w:rsidRPr="001D3C19" w14:paraId="77D5E5B8" w14:textId="77777777" w:rsidTr="00E33DDA">
        <w:trPr>
          <w:trHeight w:val="227"/>
        </w:trPr>
        <w:tc>
          <w:tcPr>
            <w:tcW w:w="862" w:type="pct"/>
            <w:vMerge/>
            <w:tcBorders>
              <w:top w:val="single" w:sz="4" w:space="0" w:color="FFFFFF" w:themeColor="background1"/>
              <w:bottom w:val="nil"/>
              <w:right w:val="single" w:sz="4" w:space="0" w:color="FFFFFF" w:themeColor="background1"/>
            </w:tcBorders>
            <w:shd w:val="clear" w:color="auto" w:fill="000000" w:themeFill="text1"/>
          </w:tcPr>
          <w:p w14:paraId="5C863752" w14:textId="77777777" w:rsidR="00B82A23" w:rsidRPr="001D3C19" w:rsidRDefault="00B82A23" w:rsidP="003D1CA1">
            <w:pPr>
              <w:jc w:val="center"/>
              <w:rPr>
                <w:rFonts w:asciiTheme="minorHAnsi" w:hAnsiTheme="minorHAnsi" w:cstheme="minorHAnsi"/>
                <w:sz w:val="18"/>
                <w:szCs w:val="18"/>
              </w:rPr>
            </w:pPr>
          </w:p>
        </w:tc>
        <w:tc>
          <w:tcPr>
            <w:tcW w:w="571" w:type="pct"/>
            <w:tcBorders>
              <w:top w:val="single" w:sz="4" w:space="0" w:color="FFFFFF" w:themeColor="background1"/>
              <w:left w:val="single" w:sz="4" w:space="0" w:color="FFFFFF" w:themeColor="background1"/>
              <w:bottom w:val="nil"/>
              <w:right w:val="single" w:sz="4" w:space="0" w:color="FFFFFF" w:themeColor="background1"/>
            </w:tcBorders>
            <w:shd w:val="clear" w:color="auto" w:fill="000000" w:themeFill="text1"/>
          </w:tcPr>
          <w:p w14:paraId="0FD4AE10" w14:textId="06F62F81" w:rsidR="00B82A23" w:rsidRPr="001D3C19" w:rsidRDefault="00B82A23" w:rsidP="003D1CA1">
            <w:pPr>
              <w:jc w:val="center"/>
              <w:rPr>
                <w:rFonts w:asciiTheme="minorHAnsi" w:hAnsiTheme="minorHAnsi" w:cstheme="minorHAnsi"/>
                <w:sz w:val="18"/>
                <w:szCs w:val="18"/>
              </w:rPr>
            </w:pPr>
            <w:proofErr w:type="spellStart"/>
            <w:r w:rsidRPr="001D3C19">
              <w:rPr>
                <w:rFonts w:asciiTheme="minorHAnsi" w:hAnsiTheme="minorHAnsi" w:cstheme="minorHAnsi"/>
                <w:sz w:val="18"/>
                <w:szCs w:val="18"/>
              </w:rPr>
              <w:t>Regist</w:t>
            </w:r>
            <w:r w:rsidR="00AF4D88" w:rsidRPr="001D3C19">
              <w:rPr>
                <w:rFonts w:asciiTheme="minorHAnsi" w:hAnsiTheme="minorHAnsi" w:cstheme="minorHAnsi"/>
                <w:sz w:val="18"/>
                <w:szCs w:val="18"/>
              </w:rPr>
              <w:t>ered</w:t>
            </w:r>
            <w:r w:rsidR="00585BA6" w:rsidRPr="00585BA6">
              <w:rPr>
                <w:rFonts w:asciiTheme="minorHAnsi" w:hAnsiTheme="minorHAnsi" w:cstheme="minorHAnsi"/>
                <w:sz w:val="18"/>
                <w:szCs w:val="18"/>
                <w:vertAlign w:val="superscript"/>
              </w:rPr>
              <w:t>a</w:t>
            </w:r>
            <w:proofErr w:type="spellEnd"/>
          </w:p>
        </w:tc>
        <w:tc>
          <w:tcPr>
            <w:tcW w:w="696" w:type="pct"/>
            <w:tcBorders>
              <w:top w:val="single" w:sz="4" w:space="0" w:color="FFFFFF" w:themeColor="background1"/>
              <w:left w:val="single" w:sz="4" w:space="0" w:color="FFFFFF" w:themeColor="background1"/>
              <w:bottom w:val="nil"/>
              <w:right w:val="single" w:sz="4" w:space="0" w:color="FFFFFF" w:themeColor="background1"/>
            </w:tcBorders>
            <w:shd w:val="clear" w:color="auto" w:fill="000000" w:themeFill="text1"/>
          </w:tcPr>
          <w:p w14:paraId="6D2654AE" w14:textId="47E6FAB5" w:rsidR="00B82A23" w:rsidRPr="001D3C19" w:rsidRDefault="00B82A23" w:rsidP="003D1CA1">
            <w:pPr>
              <w:jc w:val="center"/>
              <w:rPr>
                <w:rFonts w:asciiTheme="minorHAnsi" w:hAnsiTheme="minorHAnsi" w:cstheme="minorHAnsi"/>
                <w:sz w:val="18"/>
                <w:szCs w:val="18"/>
              </w:rPr>
            </w:pPr>
            <w:proofErr w:type="spellStart"/>
            <w:r w:rsidRPr="001D3C19">
              <w:rPr>
                <w:rFonts w:asciiTheme="minorHAnsi" w:hAnsiTheme="minorHAnsi" w:cstheme="minorHAnsi"/>
                <w:sz w:val="18"/>
                <w:szCs w:val="18"/>
              </w:rPr>
              <w:t>ePASS</w:t>
            </w:r>
            <w:proofErr w:type="spellEnd"/>
            <w:r w:rsidRPr="001D3C19">
              <w:rPr>
                <w:rFonts w:asciiTheme="minorHAnsi" w:hAnsiTheme="minorHAnsi" w:cstheme="minorHAnsi"/>
                <w:sz w:val="18"/>
                <w:szCs w:val="18"/>
              </w:rPr>
              <w:t xml:space="preserve"> </w:t>
            </w:r>
            <w:proofErr w:type="spellStart"/>
            <w:r w:rsidRPr="001D3C19">
              <w:rPr>
                <w:rFonts w:asciiTheme="minorHAnsi" w:hAnsiTheme="minorHAnsi" w:cstheme="minorHAnsi"/>
                <w:sz w:val="18"/>
                <w:szCs w:val="18"/>
              </w:rPr>
              <w:t>complet</w:t>
            </w:r>
            <w:r w:rsidR="00AF4D88" w:rsidRPr="001D3C19">
              <w:rPr>
                <w:rFonts w:asciiTheme="minorHAnsi" w:hAnsiTheme="minorHAnsi" w:cstheme="minorHAnsi"/>
                <w:sz w:val="18"/>
                <w:szCs w:val="18"/>
              </w:rPr>
              <w:t>ed</w:t>
            </w:r>
            <w:r w:rsidR="00585BA6" w:rsidRPr="00585BA6">
              <w:rPr>
                <w:rFonts w:asciiTheme="minorHAnsi" w:hAnsiTheme="minorHAnsi" w:cstheme="minorHAnsi"/>
                <w:sz w:val="18"/>
                <w:szCs w:val="18"/>
                <w:vertAlign w:val="superscript"/>
              </w:rPr>
              <w:t>a</w:t>
            </w:r>
            <w:proofErr w:type="spellEnd"/>
          </w:p>
        </w:tc>
        <w:tc>
          <w:tcPr>
            <w:tcW w:w="666" w:type="pct"/>
            <w:tcBorders>
              <w:top w:val="single" w:sz="4" w:space="0" w:color="FFFFFF" w:themeColor="background1"/>
              <w:left w:val="single" w:sz="4" w:space="0" w:color="FFFFFF" w:themeColor="background1"/>
              <w:bottom w:val="nil"/>
              <w:right w:val="single" w:sz="4" w:space="0" w:color="FFFFFF" w:themeColor="background1"/>
            </w:tcBorders>
            <w:shd w:val="clear" w:color="auto" w:fill="000000" w:themeFill="text1"/>
          </w:tcPr>
          <w:p w14:paraId="728B923E" w14:textId="032CDD48"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 xml:space="preserve">TA </w:t>
            </w:r>
            <w:proofErr w:type="spellStart"/>
            <w:r w:rsidRPr="001D3C19">
              <w:rPr>
                <w:rFonts w:asciiTheme="minorHAnsi" w:hAnsiTheme="minorHAnsi" w:cstheme="minorHAnsi"/>
                <w:sz w:val="18"/>
                <w:szCs w:val="18"/>
              </w:rPr>
              <w:t>regist</w:t>
            </w:r>
            <w:r w:rsidR="00AF4D88" w:rsidRPr="001D3C19">
              <w:rPr>
                <w:rFonts w:asciiTheme="minorHAnsi" w:hAnsiTheme="minorHAnsi" w:cstheme="minorHAnsi"/>
                <w:sz w:val="18"/>
                <w:szCs w:val="18"/>
              </w:rPr>
              <w:t>ered</w:t>
            </w:r>
            <w:r w:rsidR="00585BA6" w:rsidRPr="00585BA6">
              <w:rPr>
                <w:rFonts w:asciiTheme="minorHAnsi" w:hAnsiTheme="minorHAnsi" w:cstheme="minorHAnsi"/>
                <w:sz w:val="18"/>
                <w:szCs w:val="18"/>
                <w:vertAlign w:val="superscript"/>
              </w:rPr>
              <w:t>a</w:t>
            </w:r>
            <w:proofErr w:type="spellEnd"/>
          </w:p>
        </w:tc>
        <w:tc>
          <w:tcPr>
            <w:tcW w:w="593" w:type="pct"/>
            <w:tcBorders>
              <w:top w:val="single" w:sz="4" w:space="0" w:color="FFFFFF" w:themeColor="background1"/>
              <w:left w:val="single" w:sz="4" w:space="0" w:color="FFFFFF" w:themeColor="background1"/>
              <w:bottom w:val="nil"/>
              <w:right w:val="single" w:sz="4" w:space="0" w:color="FFFFFF" w:themeColor="background1"/>
            </w:tcBorders>
            <w:shd w:val="clear" w:color="auto" w:fill="000000" w:themeFill="text1"/>
          </w:tcPr>
          <w:p w14:paraId="6F763840" w14:textId="6B31B95E"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 xml:space="preserve">TA </w:t>
            </w:r>
            <w:proofErr w:type="spellStart"/>
            <w:r w:rsidRPr="001D3C19">
              <w:rPr>
                <w:rFonts w:asciiTheme="minorHAnsi" w:hAnsiTheme="minorHAnsi" w:cstheme="minorHAnsi"/>
                <w:sz w:val="18"/>
                <w:szCs w:val="18"/>
              </w:rPr>
              <w:t>allocat</w:t>
            </w:r>
            <w:r w:rsidR="00AF4D88" w:rsidRPr="001D3C19">
              <w:rPr>
                <w:rFonts w:asciiTheme="minorHAnsi" w:hAnsiTheme="minorHAnsi" w:cstheme="minorHAnsi"/>
                <w:sz w:val="18"/>
                <w:szCs w:val="18"/>
              </w:rPr>
              <w:t>ed</w:t>
            </w:r>
            <w:r w:rsidR="00585BA6" w:rsidRPr="00585BA6">
              <w:rPr>
                <w:rFonts w:asciiTheme="minorHAnsi" w:hAnsiTheme="minorHAnsi" w:cstheme="minorHAnsi"/>
                <w:sz w:val="18"/>
                <w:szCs w:val="18"/>
                <w:vertAlign w:val="superscript"/>
              </w:rPr>
              <w:t>a</w:t>
            </w:r>
            <w:proofErr w:type="spellEnd"/>
          </w:p>
        </w:tc>
        <w:tc>
          <w:tcPr>
            <w:tcW w:w="539" w:type="pct"/>
            <w:tcBorders>
              <w:top w:val="single" w:sz="4" w:space="0" w:color="FFFFFF" w:themeColor="background1"/>
              <w:left w:val="single" w:sz="4" w:space="0" w:color="FFFFFF" w:themeColor="background1"/>
              <w:bottom w:val="nil"/>
              <w:right w:val="single" w:sz="4" w:space="0" w:color="FFFFFF" w:themeColor="background1"/>
            </w:tcBorders>
            <w:shd w:val="clear" w:color="auto" w:fill="000000" w:themeFill="text1"/>
          </w:tcPr>
          <w:p w14:paraId="2558E676" w14:textId="521D92C0"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 xml:space="preserve">TA </w:t>
            </w:r>
            <w:proofErr w:type="spellStart"/>
            <w:r w:rsidRPr="001D3C19">
              <w:rPr>
                <w:rFonts w:asciiTheme="minorHAnsi" w:hAnsiTheme="minorHAnsi" w:cstheme="minorHAnsi"/>
                <w:sz w:val="18"/>
                <w:szCs w:val="18"/>
              </w:rPr>
              <w:t>complete</w:t>
            </w:r>
            <w:r w:rsidR="00AF4D88" w:rsidRPr="001D3C19">
              <w:rPr>
                <w:rFonts w:asciiTheme="minorHAnsi" w:hAnsiTheme="minorHAnsi" w:cstheme="minorHAnsi"/>
                <w:sz w:val="18"/>
                <w:szCs w:val="18"/>
                <w:vertAlign w:val="superscript"/>
              </w:rPr>
              <w:t>b</w:t>
            </w:r>
            <w:proofErr w:type="spellEnd"/>
          </w:p>
        </w:tc>
        <w:tc>
          <w:tcPr>
            <w:tcW w:w="614" w:type="pct"/>
            <w:tcBorders>
              <w:top w:val="single" w:sz="4" w:space="0" w:color="FFFFFF" w:themeColor="background1"/>
              <w:left w:val="single" w:sz="4" w:space="0" w:color="FFFFFF" w:themeColor="background1"/>
              <w:bottom w:val="nil"/>
              <w:right w:val="single" w:sz="4" w:space="0" w:color="FFFFFF" w:themeColor="background1"/>
            </w:tcBorders>
            <w:shd w:val="clear" w:color="auto" w:fill="000000" w:themeFill="text1"/>
          </w:tcPr>
          <w:p w14:paraId="5E8E1668" w14:textId="74ED53B3"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 xml:space="preserve">TA </w:t>
            </w:r>
            <w:proofErr w:type="spellStart"/>
            <w:r w:rsidRPr="001D3C19">
              <w:rPr>
                <w:rFonts w:asciiTheme="minorHAnsi" w:hAnsiTheme="minorHAnsi" w:cstheme="minorHAnsi"/>
                <w:sz w:val="18"/>
                <w:szCs w:val="18"/>
              </w:rPr>
              <w:t>incomplete</w:t>
            </w:r>
            <w:r w:rsidR="00DC416F" w:rsidRPr="00DC416F">
              <w:rPr>
                <w:rFonts w:asciiTheme="minorHAnsi" w:hAnsiTheme="minorHAnsi" w:cstheme="minorHAnsi"/>
                <w:sz w:val="18"/>
                <w:szCs w:val="18"/>
                <w:vertAlign w:val="superscript"/>
              </w:rPr>
              <w:t>b</w:t>
            </w:r>
            <w:proofErr w:type="spellEnd"/>
          </w:p>
        </w:tc>
        <w:tc>
          <w:tcPr>
            <w:tcW w:w="459" w:type="pct"/>
            <w:tcBorders>
              <w:top w:val="single" w:sz="4" w:space="0" w:color="FFFFFF" w:themeColor="background1"/>
              <w:left w:val="single" w:sz="4" w:space="0" w:color="FFFFFF" w:themeColor="background1"/>
              <w:bottom w:val="nil"/>
            </w:tcBorders>
            <w:shd w:val="clear" w:color="auto" w:fill="000000" w:themeFill="text1"/>
          </w:tcPr>
          <w:p w14:paraId="24053BDA" w14:textId="4FB0F758"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 xml:space="preserve">TA </w:t>
            </w:r>
            <w:proofErr w:type="spellStart"/>
            <w:r w:rsidRPr="001D3C19">
              <w:rPr>
                <w:rFonts w:asciiTheme="minorHAnsi" w:hAnsiTheme="minorHAnsi" w:cstheme="minorHAnsi"/>
                <w:sz w:val="18"/>
                <w:szCs w:val="18"/>
              </w:rPr>
              <w:t>missing</w:t>
            </w:r>
            <w:r w:rsidR="00DC416F" w:rsidRPr="00DC416F">
              <w:rPr>
                <w:rFonts w:asciiTheme="minorHAnsi" w:hAnsiTheme="minorHAnsi" w:cstheme="minorHAnsi"/>
                <w:sz w:val="18"/>
                <w:szCs w:val="18"/>
                <w:vertAlign w:val="superscript"/>
              </w:rPr>
              <w:t>b</w:t>
            </w:r>
            <w:proofErr w:type="spellEnd"/>
          </w:p>
        </w:tc>
      </w:tr>
      <w:tr w:rsidR="00B82A23" w:rsidRPr="001D3C19" w14:paraId="27075227" w14:textId="77777777" w:rsidTr="00E33DDA">
        <w:trPr>
          <w:trHeight w:val="283"/>
        </w:trPr>
        <w:tc>
          <w:tcPr>
            <w:tcW w:w="862" w:type="pct"/>
            <w:tcBorders>
              <w:top w:val="nil"/>
            </w:tcBorders>
            <w:shd w:val="clear" w:color="auto" w:fill="auto"/>
            <w:hideMark/>
          </w:tcPr>
          <w:p w14:paraId="0584A6CA" w14:textId="7DBD597B" w:rsidR="00B82A23" w:rsidRPr="001D3C19" w:rsidRDefault="009818B6" w:rsidP="003D1CA1">
            <w:pPr>
              <w:rPr>
                <w:rFonts w:asciiTheme="minorHAnsi" w:hAnsiTheme="minorHAnsi" w:cstheme="minorHAnsi"/>
                <w:sz w:val="18"/>
                <w:szCs w:val="18"/>
              </w:rPr>
            </w:pPr>
            <w:r w:rsidRPr="001D3C19">
              <w:rPr>
                <w:rFonts w:asciiTheme="minorHAnsi" w:hAnsiTheme="minorHAnsi" w:cstheme="minorHAnsi"/>
                <w:sz w:val="18"/>
                <w:szCs w:val="18"/>
              </w:rPr>
              <w:t>No, s</w:t>
            </w:r>
            <w:r w:rsidR="00B82A23" w:rsidRPr="001D3C19">
              <w:rPr>
                <w:rFonts w:asciiTheme="minorHAnsi" w:hAnsiTheme="minorHAnsi" w:cstheme="minorHAnsi"/>
                <w:sz w:val="18"/>
                <w:szCs w:val="18"/>
              </w:rPr>
              <w:t>elf-directed</w:t>
            </w:r>
          </w:p>
        </w:tc>
        <w:tc>
          <w:tcPr>
            <w:tcW w:w="571" w:type="pct"/>
            <w:tcBorders>
              <w:top w:val="nil"/>
            </w:tcBorders>
            <w:shd w:val="clear" w:color="auto" w:fill="auto"/>
            <w:noWrap/>
            <w:hideMark/>
          </w:tcPr>
          <w:p w14:paraId="4CFF3566" w14:textId="54ADCDF8"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16</w:t>
            </w:r>
            <w:r w:rsidR="00BB174F">
              <w:rPr>
                <w:rFonts w:asciiTheme="minorHAnsi" w:hAnsiTheme="minorHAnsi" w:cstheme="minorHAnsi"/>
                <w:sz w:val="18"/>
                <w:szCs w:val="18"/>
              </w:rPr>
              <w:t>,</w:t>
            </w:r>
            <w:r w:rsidRPr="001D3C19">
              <w:rPr>
                <w:rFonts w:asciiTheme="minorHAnsi" w:hAnsiTheme="minorHAnsi" w:cstheme="minorHAnsi"/>
                <w:sz w:val="18"/>
                <w:szCs w:val="18"/>
              </w:rPr>
              <w:t>905</w:t>
            </w:r>
          </w:p>
        </w:tc>
        <w:tc>
          <w:tcPr>
            <w:tcW w:w="696" w:type="pct"/>
            <w:tcBorders>
              <w:top w:val="nil"/>
            </w:tcBorders>
            <w:shd w:val="clear" w:color="auto" w:fill="auto"/>
            <w:noWrap/>
            <w:hideMark/>
          </w:tcPr>
          <w:p w14:paraId="75B075B9" w14:textId="2067DCFD"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10</w:t>
            </w:r>
            <w:r w:rsidR="00BB174F">
              <w:rPr>
                <w:rFonts w:asciiTheme="minorHAnsi" w:hAnsiTheme="minorHAnsi" w:cstheme="minorHAnsi"/>
                <w:sz w:val="18"/>
                <w:szCs w:val="18"/>
              </w:rPr>
              <w:t>,</w:t>
            </w:r>
            <w:r w:rsidRPr="001D3C19">
              <w:rPr>
                <w:rFonts w:asciiTheme="minorHAnsi" w:hAnsiTheme="minorHAnsi" w:cstheme="minorHAnsi"/>
                <w:sz w:val="18"/>
                <w:szCs w:val="18"/>
              </w:rPr>
              <w:t>690</w:t>
            </w:r>
          </w:p>
        </w:tc>
        <w:tc>
          <w:tcPr>
            <w:tcW w:w="666" w:type="pct"/>
            <w:tcBorders>
              <w:top w:val="nil"/>
            </w:tcBorders>
            <w:shd w:val="clear" w:color="auto" w:fill="auto"/>
            <w:noWrap/>
            <w:hideMark/>
          </w:tcPr>
          <w:p w14:paraId="0DA13B16" w14:textId="3713B23A"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1</w:t>
            </w:r>
            <w:r w:rsidR="00BB174F">
              <w:rPr>
                <w:rFonts w:asciiTheme="minorHAnsi" w:hAnsiTheme="minorHAnsi" w:cstheme="minorHAnsi"/>
                <w:sz w:val="18"/>
                <w:szCs w:val="18"/>
              </w:rPr>
              <w:t>,</w:t>
            </w:r>
            <w:r w:rsidRPr="001D3C19">
              <w:rPr>
                <w:rFonts w:asciiTheme="minorHAnsi" w:hAnsiTheme="minorHAnsi" w:cstheme="minorHAnsi"/>
                <w:sz w:val="18"/>
                <w:szCs w:val="18"/>
              </w:rPr>
              <w:t>308</w:t>
            </w:r>
          </w:p>
        </w:tc>
        <w:tc>
          <w:tcPr>
            <w:tcW w:w="593" w:type="pct"/>
            <w:tcBorders>
              <w:top w:val="nil"/>
            </w:tcBorders>
            <w:shd w:val="clear" w:color="auto" w:fill="auto"/>
            <w:noWrap/>
            <w:hideMark/>
          </w:tcPr>
          <w:p w14:paraId="7D647EA6" w14:textId="77777777"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0</w:t>
            </w:r>
          </w:p>
        </w:tc>
        <w:tc>
          <w:tcPr>
            <w:tcW w:w="539" w:type="pct"/>
            <w:tcBorders>
              <w:top w:val="nil"/>
            </w:tcBorders>
            <w:shd w:val="clear" w:color="auto" w:fill="auto"/>
            <w:noWrap/>
            <w:hideMark/>
          </w:tcPr>
          <w:p w14:paraId="135BA756" w14:textId="77777777"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0</w:t>
            </w:r>
          </w:p>
        </w:tc>
        <w:tc>
          <w:tcPr>
            <w:tcW w:w="614" w:type="pct"/>
            <w:tcBorders>
              <w:top w:val="nil"/>
            </w:tcBorders>
            <w:shd w:val="clear" w:color="auto" w:fill="auto"/>
            <w:noWrap/>
            <w:hideMark/>
          </w:tcPr>
          <w:p w14:paraId="3E2F39A0" w14:textId="77777777"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0</w:t>
            </w:r>
          </w:p>
        </w:tc>
        <w:tc>
          <w:tcPr>
            <w:tcW w:w="459" w:type="pct"/>
            <w:tcBorders>
              <w:top w:val="nil"/>
            </w:tcBorders>
            <w:shd w:val="clear" w:color="auto" w:fill="auto"/>
            <w:noWrap/>
            <w:hideMark/>
          </w:tcPr>
          <w:p w14:paraId="34C28F7C" w14:textId="77777777"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0</w:t>
            </w:r>
          </w:p>
        </w:tc>
      </w:tr>
      <w:tr w:rsidR="00B82A23" w:rsidRPr="001D3C19" w14:paraId="7944DA10" w14:textId="77777777" w:rsidTr="00E33DDA">
        <w:trPr>
          <w:trHeight w:val="283"/>
        </w:trPr>
        <w:tc>
          <w:tcPr>
            <w:tcW w:w="862" w:type="pct"/>
            <w:shd w:val="clear" w:color="auto" w:fill="auto"/>
            <w:hideMark/>
          </w:tcPr>
          <w:p w14:paraId="5EE76E4B" w14:textId="27A94577" w:rsidR="00B82A23" w:rsidRPr="001D3C19" w:rsidRDefault="009818B6" w:rsidP="003D1CA1">
            <w:pPr>
              <w:rPr>
                <w:rFonts w:asciiTheme="minorHAnsi" w:hAnsiTheme="minorHAnsi" w:cstheme="minorHAnsi"/>
                <w:sz w:val="18"/>
                <w:szCs w:val="18"/>
              </w:rPr>
            </w:pPr>
            <w:r w:rsidRPr="001D3C19">
              <w:rPr>
                <w:rFonts w:asciiTheme="minorHAnsi" w:hAnsiTheme="minorHAnsi" w:cstheme="minorHAnsi"/>
                <w:sz w:val="18"/>
                <w:szCs w:val="18"/>
              </w:rPr>
              <w:t xml:space="preserve">Yes, </w:t>
            </w:r>
            <w:proofErr w:type="spellStart"/>
            <w:r w:rsidRPr="001D3C19">
              <w:rPr>
                <w:rFonts w:asciiTheme="minorHAnsi" w:hAnsiTheme="minorHAnsi" w:cstheme="minorHAnsi"/>
                <w:sz w:val="18"/>
                <w:szCs w:val="18"/>
              </w:rPr>
              <w:t>s</w:t>
            </w:r>
            <w:r w:rsidR="00B82A23" w:rsidRPr="001D3C19">
              <w:rPr>
                <w:rFonts w:asciiTheme="minorHAnsi" w:hAnsiTheme="minorHAnsi" w:cstheme="minorHAnsi"/>
                <w:sz w:val="18"/>
                <w:szCs w:val="18"/>
              </w:rPr>
              <w:t>upported</w:t>
            </w:r>
            <w:r w:rsidR="00966F5B" w:rsidRPr="001D3C19">
              <w:rPr>
                <w:rFonts w:asciiTheme="minorHAnsi" w:hAnsiTheme="minorHAnsi" w:cstheme="minorHAnsi"/>
                <w:sz w:val="18"/>
                <w:szCs w:val="18"/>
                <w:vertAlign w:val="superscript"/>
              </w:rPr>
              <w:t>c</w:t>
            </w:r>
            <w:proofErr w:type="spellEnd"/>
            <w:r w:rsidR="00B82A23" w:rsidRPr="001D3C19">
              <w:rPr>
                <w:rFonts w:asciiTheme="minorHAnsi" w:hAnsiTheme="minorHAnsi" w:cstheme="minorHAnsi"/>
                <w:sz w:val="18"/>
                <w:szCs w:val="18"/>
              </w:rPr>
              <w:t xml:space="preserve"> </w:t>
            </w:r>
          </w:p>
        </w:tc>
        <w:tc>
          <w:tcPr>
            <w:tcW w:w="571" w:type="pct"/>
            <w:shd w:val="clear" w:color="auto" w:fill="auto"/>
            <w:noWrap/>
            <w:hideMark/>
          </w:tcPr>
          <w:p w14:paraId="6F7F2210" w14:textId="2AC38028"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1</w:t>
            </w:r>
            <w:r w:rsidR="00BB174F">
              <w:rPr>
                <w:rFonts w:asciiTheme="minorHAnsi" w:hAnsiTheme="minorHAnsi" w:cstheme="minorHAnsi"/>
                <w:sz w:val="18"/>
                <w:szCs w:val="18"/>
              </w:rPr>
              <w:t>,</w:t>
            </w:r>
            <w:r w:rsidRPr="001D3C19">
              <w:rPr>
                <w:rFonts w:asciiTheme="minorHAnsi" w:hAnsiTheme="minorHAnsi" w:cstheme="minorHAnsi"/>
                <w:sz w:val="18"/>
                <w:szCs w:val="18"/>
              </w:rPr>
              <w:t>011</w:t>
            </w:r>
          </w:p>
        </w:tc>
        <w:tc>
          <w:tcPr>
            <w:tcW w:w="696" w:type="pct"/>
            <w:shd w:val="clear" w:color="auto" w:fill="auto"/>
            <w:noWrap/>
            <w:hideMark/>
          </w:tcPr>
          <w:p w14:paraId="7B4AB273" w14:textId="77777777"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832</w:t>
            </w:r>
          </w:p>
        </w:tc>
        <w:tc>
          <w:tcPr>
            <w:tcW w:w="666" w:type="pct"/>
            <w:shd w:val="clear" w:color="auto" w:fill="auto"/>
            <w:noWrap/>
            <w:hideMark/>
          </w:tcPr>
          <w:p w14:paraId="7BACE2AE" w14:textId="09A939B5"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1</w:t>
            </w:r>
            <w:r w:rsidR="00BB174F">
              <w:rPr>
                <w:rFonts w:asciiTheme="minorHAnsi" w:hAnsiTheme="minorHAnsi" w:cstheme="minorHAnsi"/>
                <w:sz w:val="18"/>
                <w:szCs w:val="18"/>
              </w:rPr>
              <w:t>,</w:t>
            </w:r>
            <w:r w:rsidRPr="001D3C19">
              <w:rPr>
                <w:rFonts w:asciiTheme="minorHAnsi" w:hAnsiTheme="minorHAnsi" w:cstheme="minorHAnsi"/>
                <w:sz w:val="18"/>
                <w:szCs w:val="18"/>
              </w:rPr>
              <w:t>011</w:t>
            </w:r>
          </w:p>
        </w:tc>
        <w:tc>
          <w:tcPr>
            <w:tcW w:w="593" w:type="pct"/>
            <w:shd w:val="clear" w:color="auto" w:fill="auto"/>
            <w:noWrap/>
            <w:hideMark/>
          </w:tcPr>
          <w:p w14:paraId="3281259F" w14:textId="703095D1"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1</w:t>
            </w:r>
            <w:r w:rsidR="00BB174F">
              <w:rPr>
                <w:rFonts w:asciiTheme="minorHAnsi" w:hAnsiTheme="minorHAnsi" w:cstheme="minorHAnsi"/>
                <w:sz w:val="18"/>
                <w:szCs w:val="18"/>
              </w:rPr>
              <w:t>,</w:t>
            </w:r>
            <w:r w:rsidRPr="001D3C19">
              <w:rPr>
                <w:rFonts w:asciiTheme="minorHAnsi" w:hAnsiTheme="minorHAnsi" w:cstheme="minorHAnsi"/>
                <w:sz w:val="18"/>
                <w:szCs w:val="18"/>
              </w:rPr>
              <w:t>011</w:t>
            </w:r>
          </w:p>
        </w:tc>
        <w:tc>
          <w:tcPr>
            <w:tcW w:w="539" w:type="pct"/>
            <w:shd w:val="clear" w:color="auto" w:fill="auto"/>
            <w:noWrap/>
            <w:hideMark/>
          </w:tcPr>
          <w:p w14:paraId="1F8D1AB5" w14:textId="77777777"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431</w:t>
            </w:r>
          </w:p>
        </w:tc>
        <w:tc>
          <w:tcPr>
            <w:tcW w:w="614" w:type="pct"/>
            <w:shd w:val="clear" w:color="auto" w:fill="auto"/>
            <w:noWrap/>
            <w:hideMark/>
          </w:tcPr>
          <w:p w14:paraId="03465259" w14:textId="77777777"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333</w:t>
            </w:r>
          </w:p>
        </w:tc>
        <w:tc>
          <w:tcPr>
            <w:tcW w:w="459" w:type="pct"/>
            <w:shd w:val="clear" w:color="auto" w:fill="auto"/>
            <w:noWrap/>
            <w:hideMark/>
          </w:tcPr>
          <w:p w14:paraId="3BD1C379" w14:textId="77777777"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51</w:t>
            </w:r>
          </w:p>
        </w:tc>
      </w:tr>
      <w:tr w:rsidR="00B82A23" w:rsidRPr="001D3C19" w14:paraId="4A424FFE" w14:textId="77777777" w:rsidTr="00E33DDA">
        <w:trPr>
          <w:trHeight w:val="283"/>
        </w:trPr>
        <w:tc>
          <w:tcPr>
            <w:tcW w:w="862" w:type="pct"/>
            <w:shd w:val="clear" w:color="auto" w:fill="auto"/>
            <w:hideMark/>
          </w:tcPr>
          <w:p w14:paraId="616E983D" w14:textId="77777777" w:rsidR="00B82A23" w:rsidRPr="001D3C19" w:rsidRDefault="00B82A23" w:rsidP="003D1CA1">
            <w:pPr>
              <w:rPr>
                <w:rFonts w:asciiTheme="minorHAnsi" w:hAnsiTheme="minorHAnsi" w:cstheme="minorHAnsi"/>
                <w:sz w:val="18"/>
                <w:szCs w:val="18"/>
              </w:rPr>
            </w:pPr>
            <w:r w:rsidRPr="001D3C19">
              <w:rPr>
                <w:rFonts w:asciiTheme="minorHAnsi" w:hAnsiTheme="minorHAnsi" w:cstheme="minorHAnsi"/>
                <w:sz w:val="18"/>
                <w:szCs w:val="18"/>
              </w:rPr>
              <w:t>No program</w:t>
            </w:r>
          </w:p>
        </w:tc>
        <w:tc>
          <w:tcPr>
            <w:tcW w:w="571" w:type="pct"/>
            <w:shd w:val="clear" w:color="auto" w:fill="auto"/>
            <w:noWrap/>
            <w:hideMark/>
          </w:tcPr>
          <w:p w14:paraId="6AD342E2" w14:textId="291848F0"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46</w:t>
            </w:r>
            <w:r w:rsidR="00BB174F">
              <w:rPr>
                <w:rFonts w:asciiTheme="minorHAnsi" w:hAnsiTheme="minorHAnsi" w:cstheme="minorHAnsi"/>
                <w:sz w:val="18"/>
                <w:szCs w:val="18"/>
              </w:rPr>
              <w:t>,</w:t>
            </w:r>
            <w:r w:rsidRPr="001D3C19">
              <w:rPr>
                <w:rFonts w:asciiTheme="minorHAnsi" w:hAnsiTheme="minorHAnsi" w:cstheme="minorHAnsi"/>
                <w:sz w:val="18"/>
                <w:szCs w:val="18"/>
              </w:rPr>
              <w:t>909</w:t>
            </w:r>
          </w:p>
        </w:tc>
        <w:tc>
          <w:tcPr>
            <w:tcW w:w="696" w:type="pct"/>
            <w:shd w:val="clear" w:color="auto" w:fill="auto"/>
            <w:noWrap/>
            <w:hideMark/>
          </w:tcPr>
          <w:p w14:paraId="45B9D96E" w14:textId="4B95A3AF"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12</w:t>
            </w:r>
            <w:r w:rsidR="00BB174F">
              <w:rPr>
                <w:rFonts w:asciiTheme="minorHAnsi" w:hAnsiTheme="minorHAnsi" w:cstheme="minorHAnsi"/>
                <w:sz w:val="18"/>
                <w:szCs w:val="18"/>
              </w:rPr>
              <w:t>,</w:t>
            </w:r>
            <w:r w:rsidRPr="001D3C19">
              <w:rPr>
                <w:rFonts w:asciiTheme="minorHAnsi" w:hAnsiTheme="minorHAnsi" w:cstheme="minorHAnsi"/>
                <w:sz w:val="18"/>
                <w:szCs w:val="18"/>
              </w:rPr>
              <w:t>973</w:t>
            </w:r>
          </w:p>
        </w:tc>
        <w:tc>
          <w:tcPr>
            <w:tcW w:w="666" w:type="pct"/>
            <w:shd w:val="clear" w:color="auto" w:fill="auto"/>
            <w:noWrap/>
            <w:hideMark/>
          </w:tcPr>
          <w:p w14:paraId="05D71839" w14:textId="77777777"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0</w:t>
            </w:r>
          </w:p>
        </w:tc>
        <w:tc>
          <w:tcPr>
            <w:tcW w:w="593" w:type="pct"/>
            <w:shd w:val="clear" w:color="auto" w:fill="auto"/>
            <w:noWrap/>
            <w:hideMark/>
          </w:tcPr>
          <w:p w14:paraId="27C8EC38" w14:textId="77777777"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0</w:t>
            </w:r>
          </w:p>
        </w:tc>
        <w:tc>
          <w:tcPr>
            <w:tcW w:w="539" w:type="pct"/>
            <w:shd w:val="clear" w:color="auto" w:fill="auto"/>
            <w:noWrap/>
            <w:hideMark/>
          </w:tcPr>
          <w:p w14:paraId="621AEBF2" w14:textId="77777777"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0</w:t>
            </w:r>
          </w:p>
        </w:tc>
        <w:tc>
          <w:tcPr>
            <w:tcW w:w="614" w:type="pct"/>
            <w:shd w:val="clear" w:color="auto" w:fill="auto"/>
            <w:noWrap/>
            <w:hideMark/>
          </w:tcPr>
          <w:p w14:paraId="3DDA8752" w14:textId="77777777"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0</w:t>
            </w:r>
          </w:p>
        </w:tc>
        <w:tc>
          <w:tcPr>
            <w:tcW w:w="459" w:type="pct"/>
            <w:shd w:val="clear" w:color="auto" w:fill="auto"/>
            <w:noWrap/>
            <w:hideMark/>
          </w:tcPr>
          <w:p w14:paraId="0386178E" w14:textId="77777777"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0</w:t>
            </w:r>
          </w:p>
        </w:tc>
      </w:tr>
      <w:tr w:rsidR="00B82A23" w:rsidRPr="001D3C19" w14:paraId="49C027FB" w14:textId="77777777" w:rsidTr="00E33DDA">
        <w:trPr>
          <w:trHeight w:val="283"/>
        </w:trPr>
        <w:tc>
          <w:tcPr>
            <w:tcW w:w="862" w:type="pct"/>
            <w:shd w:val="clear" w:color="auto" w:fill="auto"/>
            <w:hideMark/>
          </w:tcPr>
          <w:p w14:paraId="6D039FF5" w14:textId="23CAB33F" w:rsidR="00B82A23" w:rsidRPr="001D3C19" w:rsidRDefault="00B82A23" w:rsidP="003D1CA1">
            <w:pPr>
              <w:rPr>
                <w:rFonts w:asciiTheme="minorHAnsi" w:hAnsiTheme="minorHAnsi" w:cstheme="minorHAnsi"/>
                <w:sz w:val="18"/>
                <w:szCs w:val="18"/>
              </w:rPr>
            </w:pPr>
            <w:r w:rsidRPr="001D3C19">
              <w:rPr>
                <w:rFonts w:asciiTheme="minorHAnsi" w:hAnsiTheme="minorHAnsi" w:cstheme="minorHAnsi"/>
                <w:sz w:val="18"/>
                <w:szCs w:val="18"/>
              </w:rPr>
              <w:t>Total</w:t>
            </w:r>
          </w:p>
        </w:tc>
        <w:tc>
          <w:tcPr>
            <w:tcW w:w="571" w:type="pct"/>
            <w:shd w:val="clear" w:color="auto" w:fill="auto"/>
            <w:noWrap/>
            <w:hideMark/>
          </w:tcPr>
          <w:p w14:paraId="3F1C6E4B" w14:textId="23B2E0D4"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64</w:t>
            </w:r>
            <w:r w:rsidR="00BB174F">
              <w:rPr>
                <w:rFonts w:asciiTheme="minorHAnsi" w:hAnsiTheme="minorHAnsi" w:cstheme="minorHAnsi"/>
                <w:sz w:val="18"/>
                <w:szCs w:val="18"/>
              </w:rPr>
              <w:t>,</w:t>
            </w:r>
            <w:r w:rsidRPr="001D3C19">
              <w:rPr>
                <w:rFonts w:asciiTheme="minorHAnsi" w:hAnsiTheme="minorHAnsi" w:cstheme="minorHAnsi"/>
                <w:sz w:val="18"/>
                <w:szCs w:val="18"/>
              </w:rPr>
              <w:t>825</w:t>
            </w:r>
          </w:p>
        </w:tc>
        <w:tc>
          <w:tcPr>
            <w:tcW w:w="696" w:type="pct"/>
            <w:shd w:val="clear" w:color="auto" w:fill="auto"/>
            <w:noWrap/>
            <w:hideMark/>
          </w:tcPr>
          <w:p w14:paraId="40C0097D" w14:textId="46B55F3E"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24</w:t>
            </w:r>
            <w:r w:rsidR="00BB174F">
              <w:rPr>
                <w:rFonts w:asciiTheme="minorHAnsi" w:hAnsiTheme="minorHAnsi" w:cstheme="minorHAnsi"/>
                <w:sz w:val="18"/>
                <w:szCs w:val="18"/>
              </w:rPr>
              <w:t>,</w:t>
            </w:r>
            <w:r w:rsidRPr="001D3C19">
              <w:rPr>
                <w:rFonts w:asciiTheme="minorHAnsi" w:hAnsiTheme="minorHAnsi" w:cstheme="minorHAnsi"/>
                <w:sz w:val="18"/>
                <w:szCs w:val="18"/>
              </w:rPr>
              <w:t>495</w:t>
            </w:r>
          </w:p>
        </w:tc>
        <w:tc>
          <w:tcPr>
            <w:tcW w:w="666" w:type="pct"/>
            <w:shd w:val="clear" w:color="auto" w:fill="auto"/>
            <w:noWrap/>
            <w:hideMark/>
          </w:tcPr>
          <w:p w14:paraId="2238DCE0" w14:textId="3C17980A"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2</w:t>
            </w:r>
            <w:r w:rsidR="00BB174F">
              <w:rPr>
                <w:rFonts w:asciiTheme="minorHAnsi" w:hAnsiTheme="minorHAnsi" w:cstheme="minorHAnsi"/>
                <w:sz w:val="18"/>
                <w:szCs w:val="18"/>
              </w:rPr>
              <w:t>,</w:t>
            </w:r>
            <w:r w:rsidRPr="001D3C19">
              <w:rPr>
                <w:rFonts w:asciiTheme="minorHAnsi" w:hAnsiTheme="minorHAnsi" w:cstheme="minorHAnsi"/>
                <w:sz w:val="18"/>
                <w:szCs w:val="18"/>
              </w:rPr>
              <w:t>319</w:t>
            </w:r>
          </w:p>
        </w:tc>
        <w:tc>
          <w:tcPr>
            <w:tcW w:w="593" w:type="pct"/>
            <w:shd w:val="clear" w:color="auto" w:fill="auto"/>
            <w:noWrap/>
            <w:hideMark/>
          </w:tcPr>
          <w:p w14:paraId="7A7E3664" w14:textId="12F05922"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1</w:t>
            </w:r>
            <w:r w:rsidR="00BB174F">
              <w:rPr>
                <w:rFonts w:asciiTheme="minorHAnsi" w:hAnsiTheme="minorHAnsi" w:cstheme="minorHAnsi"/>
                <w:sz w:val="18"/>
                <w:szCs w:val="18"/>
              </w:rPr>
              <w:t>,</w:t>
            </w:r>
            <w:r w:rsidRPr="001D3C19">
              <w:rPr>
                <w:rFonts w:asciiTheme="minorHAnsi" w:hAnsiTheme="minorHAnsi" w:cstheme="minorHAnsi"/>
                <w:sz w:val="18"/>
                <w:szCs w:val="18"/>
              </w:rPr>
              <w:t>011</w:t>
            </w:r>
          </w:p>
        </w:tc>
        <w:tc>
          <w:tcPr>
            <w:tcW w:w="539" w:type="pct"/>
            <w:shd w:val="clear" w:color="auto" w:fill="auto"/>
            <w:noWrap/>
            <w:hideMark/>
          </w:tcPr>
          <w:p w14:paraId="56F9A34C" w14:textId="77777777"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431</w:t>
            </w:r>
          </w:p>
        </w:tc>
        <w:tc>
          <w:tcPr>
            <w:tcW w:w="614" w:type="pct"/>
            <w:shd w:val="clear" w:color="auto" w:fill="auto"/>
            <w:noWrap/>
            <w:hideMark/>
          </w:tcPr>
          <w:p w14:paraId="41FA75F2" w14:textId="77777777"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333</w:t>
            </w:r>
          </w:p>
        </w:tc>
        <w:tc>
          <w:tcPr>
            <w:tcW w:w="459" w:type="pct"/>
            <w:shd w:val="clear" w:color="auto" w:fill="auto"/>
            <w:noWrap/>
            <w:hideMark/>
          </w:tcPr>
          <w:p w14:paraId="408BAEDD" w14:textId="6C93C419" w:rsidR="00B82A23" w:rsidRPr="001D3C19" w:rsidRDefault="00B82A23" w:rsidP="003D1CA1">
            <w:pPr>
              <w:jc w:val="center"/>
              <w:rPr>
                <w:rFonts w:asciiTheme="minorHAnsi" w:hAnsiTheme="minorHAnsi" w:cstheme="minorHAnsi"/>
                <w:sz w:val="18"/>
                <w:szCs w:val="18"/>
              </w:rPr>
            </w:pPr>
            <w:r w:rsidRPr="001D3C19">
              <w:rPr>
                <w:rFonts w:asciiTheme="minorHAnsi" w:hAnsiTheme="minorHAnsi" w:cstheme="minorHAnsi"/>
                <w:sz w:val="18"/>
                <w:szCs w:val="18"/>
              </w:rPr>
              <w:t>51</w:t>
            </w:r>
          </w:p>
        </w:tc>
      </w:tr>
    </w:tbl>
    <w:p w14:paraId="1DD0FD21" w14:textId="2EDCA551" w:rsidR="00BF09C4" w:rsidRPr="001D3C19" w:rsidRDefault="00950B07" w:rsidP="00F5587F">
      <w:pPr>
        <w:rPr>
          <w:rFonts w:asciiTheme="minorHAnsi" w:hAnsiTheme="minorHAnsi" w:cstheme="minorHAnsi"/>
          <w:sz w:val="16"/>
          <w:szCs w:val="16"/>
        </w:rPr>
      </w:pPr>
      <w:proofErr w:type="spellStart"/>
      <w:r>
        <w:rPr>
          <w:rFonts w:asciiTheme="minorHAnsi" w:hAnsiTheme="minorHAnsi" w:cstheme="minorHAnsi"/>
          <w:sz w:val="16"/>
          <w:szCs w:val="16"/>
        </w:rPr>
        <w:t>ePASS</w:t>
      </w:r>
      <w:proofErr w:type="spellEnd"/>
      <w:r w:rsidR="00494954" w:rsidRPr="001D3C19">
        <w:rPr>
          <w:rFonts w:asciiTheme="minorHAnsi" w:hAnsiTheme="minorHAnsi" w:cstheme="minorHAnsi"/>
          <w:sz w:val="16"/>
          <w:szCs w:val="16"/>
        </w:rPr>
        <w:t xml:space="preserve">, </w:t>
      </w:r>
      <w:r w:rsidR="00936503">
        <w:rPr>
          <w:rFonts w:asciiTheme="minorHAnsi" w:hAnsiTheme="minorHAnsi" w:cstheme="minorHAnsi"/>
          <w:sz w:val="16"/>
          <w:szCs w:val="16"/>
        </w:rPr>
        <w:t>a</w:t>
      </w:r>
      <w:r w:rsidR="00494954" w:rsidRPr="001D3C19">
        <w:rPr>
          <w:rFonts w:asciiTheme="minorHAnsi" w:hAnsiTheme="minorHAnsi" w:cstheme="minorHAnsi"/>
          <w:sz w:val="16"/>
          <w:szCs w:val="16"/>
        </w:rPr>
        <w:t xml:space="preserve">ssessment; </w:t>
      </w:r>
      <w:r w:rsidR="00B82A23" w:rsidRPr="001D3C19">
        <w:rPr>
          <w:rFonts w:asciiTheme="minorHAnsi" w:hAnsiTheme="minorHAnsi" w:cstheme="minorHAnsi"/>
          <w:sz w:val="16"/>
          <w:szCs w:val="16"/>
        </w:rPr>
        <w:t>TA, Therapist Assist</w:t>
      </w:r>
      <w:r w:rsidR="00BF09C4" w:rsidRPr="001D3C19">
        <w:rPr>
          <w:rFonts w:asciiTheme="minorHAnsi" w:hAnsiTheme="minorHAnsi" w:cstheme="minorHAnsi"/>
          <w:sz w:val="16"/>
          <w:szCs w:val="16"/>
        </w:rPr>
        <w:t>.</w:t>
      </w:r>
    </w:p>
    <w:p w14:paraId="58FBF890" w14:textId="28121A8F" w:rsidR="00966F5B" w:rsidRPr="001D3C19" w:rsidRDefault="00966F5B" w:rsidP="00F5587F">
      <w:pPr>
        <w:rPr>
          <w:rFonts w:asciiTheme="minorHAnsi" w:hAnsiTheme="minorHAnsi" w:cstheme="minorHAnsi"/>
          <w:sz w:val="16"/>
          <w:szCs w:val="16"/>
        </w:rPr>
      </w:pPr>
      <w:proofErr w:type="spellStart"/>
      <w:r w:rsidRPr="001D3C19">
        <w:rPr>
          <w:rFonts w:asciiTheme="minorHAnsi" w:hAnsiTheme="minorHAnsi" w:cstheme="minorHAnsi"/>
          <w:sz w:val="16"/>
          <w:szCs w:val="16"/>
          <w:vertAlign w:val="superscript"/>
        </w:rPr>
        <w:t>a</w:t>
      </w:r>
      <w:r w:rsidR="00266AFD">
        <w:rPr>
          <w:rFonts w:asciiTheme="minorHAnsi" w:hAnsiTheme="minorHAnsi" w:cstheme="minorHAnsi"/>
          <w:sz w:val="16"/>
          <w:szCs w:val="16"/>
        </w:rPr>
        <w:t>C</w:t>
      </w:r>
      <w:r w:rsidRPr="001D3C19">
        <w:rPr>
          <w:rFonts w:asciiTheme="minorHAnsi" w:hAnsiTheme="minorHAnsi" w:cstheme="minorHAnsi"/>
          <w:sz w:val="16"/>
          <w:szCs w:val="16"/>
        </w:rPr>
        <w:t>ohort</w:t>
      </w:r>
      <w:proofErr w:type="spellEnd"/>
      <w:r w:rsidRPr="001D3C19">
        <w:rPr>
          <w:rFonts w:asciiTheme="minorHAnsi" w:hAnsiTheme="minorHAnsi" w:cstheme="minorHAnsi"/>
          <w:sz w:val="16"/>
          <w:szCs w:val="16"/>
        </w:rPr>
        <w:t xml:space="preserve"> of users who registered for an account</w:t>
      </w:r>
      <w:r w:rsidR="005329DD">
        <w:rPr>
          <w:rFonts w:asciiTheme="minorHAnsi" w:hAnsiTheme="minorHAnsi" w:cstheme="minorHAnsi"/>
          <w:sz w:val="16"/>
          <w:szCs w:val="16"/>
        </w:rPr>
        <w:t xml:space="preserve"> in</w:t>
      </w:r>
      <w:r w:rsidRPr="001D3C19">
        <w:rPr>
          <w:rFonts w:asciiTheme="minorHAnsi" w:hAnsiTheme="minorHAnsi" w:cstheme="minorHAnsi"/>
          <w:sz w:val="16"/>
          <w:szCs w:val="16"/>
        </w:rPr>
        <w:t xml:space="preserve"> January 2015</w:t>
      </w:r>
      <w:r w:rsidR="00BB174F">
        <w:rPr>
          <w:rFonts w:asciiTheme="minorHAnsi" w:hAnsiTheme="minorHAnsi" w:cstheme="minorHAnsi"/>
          <w:sz w:val="16"/>
          <w:szCs w:val="16"/>
        </w:rPr>
        <w:t xml:space="preserve"> – </w:t>
      </w:r>
      <w:r w:rsidRPr="001D3C19">
        <w:rPr>
          <w:rFonts w:asciiTheme="minorHAnsi" w:hAnsiTheme="minorHAnsi" w:cstheme="minorHAnsi"/>
          <w:sz w:val="16"/>
          <w:szCs w:val="16"/>
        </w:rPr>
        <w:t xml:space="preserve">December 2021. </w:t>
      </w:r>
      <w:r w:rsidR="00266AFD">
        <w:rPr>
          <w:rFonts w:asciiTheme="minorHAnsi" w:hAnsiTheme="minorHAnsi" w:cstheme="minorHAnsi"/>
          <w:sz w:val="16"/>
          <w:szCs w:val="16"/>
        </w:rPr>
        <w:t>E</w:t>
      </w:r>
      <w:r w:rsidRPr="001D3C19">
        <w:rPr>
          <w:rFonts w:asciiTheme="minorHAnsi" w:hAnsiTheme="minorHAnsi" w:cstheme="minorHAnsi"/>
          <w:sz w:val="16"/>
          <w:szCs w:val="16"/>
        </w:rPr>
        <w:t xml:space="preserve">xcludes users who registered for a Mental Health Online account prior to January 2015 but who completed </w:t>
      </w:r>
      <w:proofErr w:type="spellStart"/>
      <w:r w:rsidR="00950B07">
        <w:rPr>
          <w:rFonts w:asciiTheme="minorHAnsi" w:hAnsiTheme="minorHAnsi" w:cstheme="minorHAnsi"/>
          <w:sz w:val="16"/>
          <w:szCs w:val="16"/>
        </w:rPr>
        <w:t>ePASS</w:t>
      </w:r>
      <w:proofErr w:type="spellEnd"/>
      <w:r w:rsidRPr="001D3C19">
        <w:rPr>
          <w:rFonts w:asciiTheme="minorHAnsi" w:hAnsiTheme="minorHAnsi" w:cstheme="minorHAnsi"/>
          <w:sz w:val="16"/>
          <w:szCs w:val="16"/>
        </w:rPr>
        <w:t>, registered for treatment programs, registered for/were allocated to Therapist Assist</w:t>
      </w:r>
      <w:r w:rsidR="00BB174F">
        <w:rPr>
          <w:rFonts w:asciiTheme="minorHAnsi" w:hAnsiTheme="minorHAnsi" w:cstheme="minorHAnsi"/>
          <w:sz w:val="16"/>
          <w:szCs w:val="16"/>
        </w:rPr>
        <w:t xml:space="preserve">, </w:t>
      </w:r>
      <w:r w:rsidRPr="001D3C19">
        <w:rPr>
          <w:rFonts w:asciiTheme="minorHAnsi" w:hAnsiTheme="minorHAnsi" w:cstheme="minorHAnsi"/>
          <w:sz w:val="16"/>
          <w:szCs w:val="16"/>
        </w:rPr>
        <w:t>January 2015</w:t>
      </w:r>
      <w:r w:rsidR="00BB174F">
        <w:rPr>
          <w:rFonts w:asciiTheme="minorHAnsi" w:hAnsiTheme="minorHAnsi" w:cstheme="minorHAnsi"/>
          <w:sz w:val="16"/>
          <w:szCs w:val="16"/>
        </w:rPr>
        <w:t xml:space="preserve"> – </w:t>
      </w:r>
      <w:r w:rsidRPr="001D3C19">
        <w:rPr>
          <w:rFonts w:asciiTheme="minorHAnsi" w:hAnsiTheme="minorHAnsi" w:cstheme="minorHAnsi"/>
          <w:sz w:val="16"/>
          <w:szCs w:val="16"/>
        </w:rPr>
        <w:t>December 2021.</w:t>
      </w:r>
    </w:p>
    <w:p w14:paraId="7D630A2B" w14:textId="6C506F90" w:rsidR="00B82A23" w:rsidRPr="001D3C19" w:rsidRDefault="00AF4D88" w:rsidP="00F5587F">
      <w:pPr>
        <w:rPr>
          <w:rFonts w:asciiTheme="minorHAnsi" w:hAnsiTheme="minorHAnsi" w:cstheme="minorHAnsi"/>
          <w:sz w:val="16"/>
          <w:szCs w:val="16"/>
        </w:rPr>
      </w:pPr>
      <w:proofErr w:type="spellStart"/>
      <w:r w:rsidRPr="001D3C19">
        <w:rPr>
          <w:rFonts w:asciiTheme="minorHAnsi" w:hAnsiTheme="minorHAnsi" w:cstheme="minorHAnsi"/>
          <w:sz w:val="16"/>
          <w:szCs w:val="16"/>
          <w:vertAlign w:val="superscript"/>
        </w:rPr>
        <w:t>b</w:t>
      </w:r>
      <w:r w:rsidRPr="001D3C19">
        <w:rPr>
          <w:rFonts w:asciiTheme="minorHAnsi" w:hAnsiTheme="minorHAnsi" w:cstheme="minorHAnsi"/>
          <w:sz w:val="16"/>
          <w:szCs w:val="16"/>
        </w:rPr>
        <w:t>As</w:t>
      </w:r>
      <w:proofErr w:type="spellEnd"/>
      <w:r w:rsidRPr="001D3C19">
        <w:rPr>
          <w:rFonts w:asciiTheme="minorHAnsi" w:hAnsiTheme="minorHAnsi" w:cstheme="minorHAnsi"/>
          <w:sz w:val="16"/>
          <w:szCs w:val="16"/>
        </w:rPr>
        <w:t xml:space="preserve"> assessed for July 2018</w:t>
      </w:r>
      <w:r w:rsidR="00BB174F">
        <w:rPr>
          <w:rFonts w:asciiTheme="minorHAnsi" w:hAnsiTheme="minorHAnsi" w:cstheme="minorHAnsi"/>
          <w:sz w:val="16"/>
          <w:szCs w:val="16"/>
        </w:rPr>
        <w:t xml:space="preserve"> – </w:t>
      </w:r>
      <w:r w:rsidRPr="001D3C19">
        <w:rPr>
          <w:rFonts w:asciiTheme="minorHAnsi" w:hAnsiTheme="minorHAnsi" w:cstheme="minorHAnsi"/>
          <w:sz w:val="16"/>
          <w:szCs w:val="16"/>
        </w:rPr>
        <w:t>August 2021</w:t>
      </w:r>
      <w:r w:rsidR="00BB174F" w:rsidRPr="00BB174F">
        <w:rPr>
          <w:rFonts w:asciiTheme="minorHAnsi" w:hAnsiTheme="minorHAnsi" w:cstheme="minorHAnsi"/>
          <w:sz w:val="16"/>
          <w:szCs w:val="16"/>
        </w:rPr>
        <w:t xml:space="preserve"> </w:t>
      </w:r>
      <w:r w:rsidR="00BB174F" w:rsidRPr="001D3C19">
        <w:rPr>
          <w:rFonts w:asciiTheme="minorHAnsi" w:hAnsiTheme="minorHAnsi" w:cstheme="minorHAnsi"/>
          <w:sz w:val="16"/>
          <w:szCs w:val="16"/>
        </w:rPr>
        <w:t>cohort</w:t>
      </w:r>
      <w:r w:rsidR="00DC416F" w:rsidRPr="00DC416F">
        <w:rPr>
          <w:rFonts w:asciiTheme="minorHAnsi" w:hAnsiTheme="minorHAnsi" w:cstheme="minorHAnsi"/>
          <w:sz w:val="16"/>
          <w:szCs w:val="16"/>
        </w:rPr>
        <w:t xml:space="preserve"> of 815 consumers</w:t>
      </w:r>
      <w:r w:rsidRPr="001D3C19">
        <w:rPr>
          <w:rFonts w:asciiTheme="minorHAnsi" w:hAnsiTheme="minorHAnsi" w:cstheme="minorHAnsi"/>
          <w:sz w:val="16"/>
          <w:szCs w:val="16"/>
        </w:rPr>
        <w:t>.</w:t>
      </w:r>
    </w:p>
    <w:p w14:paraId="390C07C2" w14:textId="23198304" w:rsidR="00F5587F" w:rsidRPr="009C4137" w:rsidRDefault="00966F5B" w:rsidP="002029DC">
      <w:pPr>
        <w:spacing w:after="200"/>
        <w:rPr>
          <w:rFonts w:asciiTheme="minorHAnsi" w:hAnsiTheme="minorHAnsi" w:cstheme="minorHAnsi"/>
          <w:sz w:val="16"/>
          <w:szCs w:val="16"/>
        </w:rPr>
      </w:pPr>
      <w:proofErr w:type="spellStart"/>
      <w:r w:rsidRPr="001D3C19">
        <w:rPr>
          <w:rFonts w:asciiTheme="minorHAnsi" w:hAnsiTheme="minorHAnsi" w:cstheme="minorHAnsi"/>
          <w:sz w:val="16"/>
          <w:szCs w:val="16"/>
          <w:vertAlign w:val="superscript"/>
        </w:rPr>
        <w:t>c</w:t>
      </w:r>
      <w:r w:rsidRPr="001D3C19">
        <w:rPr>
          <w:rFonts w:asciiTheme="minorHAnsi" w:hAnsiTheme="minorHAnsi" w:cstheme="minorHAnsi"/>
          <w:sz w:val="16"/>
          <w:szCs w:val="16"/>
        </w:rPr>
        <w:t>Ever</w:t>
      </w:r>
      <w:proofErr w:type="spellEnd"/>
      <w:r w:rsidRPr="001D3C19">
        <w:rPr>
          <w:rFonts w:asciiTheme="minorHAnsi" w:hAnsiTheme="minorHAnsi" w:cstheme="minorHAnsi"/>
          <w:sz w:val="16"/>
          <w:szCs w:val="16"/>
        </w:rPr>
        <w:t xml:space="preserve"> allocated a therapist.</w:t>
      </w:r>
    </w:p>
    <w:p w14:paraId="70F64EE8" w14:textId="77777777" w:rsidR="009C4137" w:rsidRDefault="00AF4D88" w:rsidP="002029DC">
      <w:pPr>
        <w:spacing w:after="200"/>
        <w:rPr>
          <w:rFonts w:asciiTheme="minorHAnsi" w:hAnsiTheme="minorHAnsi" w:cstheme="minorHAnsi"/>
          <w:sz w:val="21"/>
          <w:szCs w:val="21"/>
        </w:rPr>
      </w:pPr>
      <w:r w:rsidRPr="001D3C19">
        <w:rPr>
          <w:rFonts w:asciiTheme="minorHAnsi" w:hAnsiTheme="minorHAnsi" w:cstheme="minorHAnsi"/>
          <w:sz w:val="21"/>
          <w:szCs w:val="21"/>
        </w:rPr>
        <w:t xml:space="preserve">Table </w:t>
      </w:r>
      <w:r w:rsidR="00966F5B" w:rsidRPr="001D3C19">
        <w:rPr>
          <w:rFonts w:asciiTheme="minorHAnsi" w:hAnsiTheme="minorHAnsi" w:cstheme="minorHAnsi"/>
          <w:sz w:val="21"/>
          <w:szCs w:val="21"/>
        </w:rPr>
        <w:t>7</w:t>
      </w:r>
      <w:r w:rsidRPr="001D3C19">
        <w:rPr>
          <w:rFonts w:asciiTheme="minorHAnsi" w:hAnsiTheme="minorHAnsi" w:cstheme="minorHAnsi"/>
          <w:sz w:val="21"/>
          <w:szCs w:val="21"/>
        </w:rPr>
        <w:t xml:space="preserve"> shows the number of consumers registering for </w:t>
      </w:r>
      <w:r w:rsidR="00966F5B" w:rsidRPr="001D3C19">
        <w:rPr>
          <w:rFonts w:asciiTheme="minorHAnsi" w:hAnsiTheme="minorHAnsi" w:cstheme="minorHAnsi"/>
          <w:sz w:val="21"/>
          <w:szCs w:val="21"/>
        </w:rPr>
        <w:t xml:space="preserve">various </w:t>
      </w:r>
      <w:r w:rsidRPr="001D3C19">
        <w:rPr>
          <w:rFonts w:asciiTheme="minorHAnsi" w:hAnsiTheme="minorHAnsi" w:cstheme="minorHAnsi"/>
          <w:sz w:val="21"/>
          <w:szCs w:val="21"/>
        </w:rPr>
        <w:t xml:space="preserve">Mental Health Online treatment programs by Therapist Assist status from January 2015 to December 2021. Most consumers registered for GAD Online, Multi-Disorder Program and Depression Online (24.9%, 23.6% and 20.4%, respectively). Correspondingly, these treatment programs account for most Therapist Assist registrations, </w:t>
      </w:r>
      <w:proofErr w:type="gramStart"/>
      <w:r w:rsidRPr="001D3C19">
        <w:rPr>
          <w:rFonts w:asciiTheme="minorHAnsi" w:hAnsiTheme="minorHAnsi" w:cstheme="minorHAnsi"/>
          <w:sz w:val="21"/>
          <w:szCs w:val="21"/>
        </w:rPr>
        <w:t>allocations</w:t>
      </w:r>
      <w:proofErr w:type="gramEnd"/>
      <w:r w:rsidRPr="001D3C19">
        <w:rPr>
          <w:rFonts w:asciiTheme="minorHAnsi" w:hAnsiTheme="minorHAnsi" w:cstheme="minorHAnsi"/>
          <w:sz w:val="21"/>
          <w:szCs w:val="21"/>
        </w:rPr>
        <w:t xml:space="preserve"> and completions.</w:t>
      </w:r>
      <w:r w:rsidR="00C8735A" w:rsidRPr="001D3C19">
        <w:rPr>
          <w:rFonts w:asciiTheme="minorHAnsi" w:hAnsiTheme="minorHAnsi" w:cstheme="minorHAnsi"/>
          <w:sz w:val="21"/>
          <w:szCs w:val="21"/>
        </w:rPr>
        <w:t xml:space="preserve"> On average</w:t>
      </w:r>
      <w:r w:rsidR="00E15860">
        <w:rPr>
          <w:rFonts w:asciiTheme="minorHAnsi" w:hAnsiTheme="minorHAnsi" w:cstheme="minorHAnsi"/>
          <w:sz w:val="21"/>
          <w:szCs w:val="21"/>
        </w:rPr>
        <w:t>,</w:t>
      </w:r>
      <w:r w:rsidR="00C8735A" w:rsidRPr="001D3C19">
        <w:rPr>
          <w:rFonts w:asciiTheme="minorHAnsi" w:hAnsiTheme="minorHAnsi" w:cstheme="minorHAnsi"/>
          <w:sz w:val="21"/>
          <w:szCs w:val="21"/>
        </w:rPr>
        <w:t xml:space="preserve"> consumers use 6-8 weeks of therapist support – excluding the Sleep-e! </w:t>
      </w:r>
      <w:r w:rsidR="00C8735A" w:rsidRPr="00363DD6">
        <w:rPr>
          <w:rFonts w:asciiTheme="minorHAnsi" w:hAnsiTheme="minorHAnsi" w:cstheme="minorHAnsi"/>
          <w:sz w:val="21"/>
          <w:szCs w:val="21"/>
        </w:rPr>
        <w:t>program for which only one consumer completed a therapist supported course of treatment. Those in the OCD Stop! program use therapist support for the longest (7.86 weeks)</w:t>
      </w:r>
      <w:r w:rsidR="004E6037">
        <w:rPr>
          <w:rFonts w:asciiTheme="minorHAnsi" w:hAnsiTheme="minorHAnsi" w:cstheme="minorHAnsi"/>
          <w:sz w:val="21"/>
          <w:szCs w:val="21"/>
        </w:rPr>
        <w:t>,</w:t>
      </w:r>
      <w:r w:rsidR="00C8735A" w:rsidRPr="00363DD6">
        <w:rPr>
          <w:rFonts w:asciiTheme="minorHAnsi" w:hAnsiTheme="minorHAnsi" w:cstheme="minorHAnsi"/>
          <w:sz w:val="21"/>
          <w:szCs w:val="21"/>
        </w:rPr>
        <w:t xml:space="preserve"> and those in the PTSD Online program, the shortest</w:t>
      </w:r>
      <w:r w:rsidR="00263DB6" w:rsidRPr="00363DD6">
        <w:rPr>
          <w:rFonts w:asciiTheme="minorHAnsi" w:hAnsiTheme="minorHAnsi" w:cstheme="minorHAnsi"/>
          <w:sz w:val="21"/>
          <w:szCs w:val="21"/>
        </w:rPr>
        <w:t>,</w:t>
      </w:r>
      <w:r w:rsidR="00C8735A" w:rsidRPr="00363DD6">
        <w:rPr>
          <w:rFonts w:asciiTheme="minorHAnsi" w:hAnsiTheme="minorHAnsi" w:cstheme="minorHAnsi"/>
          <w:sz w:val="21"/>
          <w:szCs w:val="21"/>
        </w:rPr>
        <w:t xml:space="preserve"> average duration (6.11</w:t>
      </w:r>
      <w:r w:rsidR="00380880">
        <w:rPr>
          <w:rFonts w:asciiTheme="minorHAnsi" w:hAnsiTheme="minorHAnsi" w:cstheme="minorHAnsi"/>
          <w:sz w:val="21"/>
          <w:szCs w:val="21"/>
        </w:rPr>
        <w:t xml:space="preserve"> weeks</w:t>
      </w:r>
      <w:r w:rsidR="00C8735A" w:rsidRPr="00363DD6">
        <w:rPr>
          <w:rFonts w:asciiTheme="minorHAnsi" w:hAnsiTheme="minorHAnsi" w:cstheme="minorHAnsi"/>
          <w:sz w:val="21"/>
          <w:szCs w:val="21"/>
        </w:rPr>
        <w:t>).</w:t>
      </w:r>
    </w:p>
    <w:p w14:paraId="612B4D22" w14:textId="1EA7AEA4" w:rsidR="00F2547F" w:rsidRPr="00AA6B28" w:rsidRDefault="00F2547F" w:rsidP="003D1CA1">
      <w:pPr>
        <w:pStyle w:val="tableheading"/>
      </w:pPr>
      <w:r w:rsidRPr="00AA6B28">
        <w:t xml:space="preserve">Table </w:t>
      </w:r>
      <w:r w:rsidR="001129F3">
        <w:t>7</w:t>
      </w:r>
      <w:r w:rsidRPr="00AA6B28">
        <w:t xml:space="preserve">. </w:t>
      </w:r>
      <w:r w:rsidR="009A3F30" w:rsidRPr="00AA6B28">
        <w:t>Consumers using</w:t>
      </w:r>
      <w:r w:rsidRPr="00AA6B28">
        <w:t xml:space="preserve"> Mental Health Online by treatment program and Therapist Assist status, January 2015</w:t>
      </w:r>
      <w:r w:rsidR="005329DD">
        <w:t xml:space="preserve"> – </w:t>
      </w:r>
      <w:r w:rsidRPr="00AA6B28">
        <w:t>December 2021</w:t>
      </w:r>
      <w:r w:rsidR="001D3C19" w:rsidRPr="001D3C19">
        <w:rPr>
          <w:vertAlign w:val="superscript"/>
        </w:rPr>
        <w:t>a</w:t>
      </w:r>
    </w:p>
    <w:tbl>
      <w:tblPr>
        <w:tblW w:w="5425" w:type="pct"/>
        <w:tblInd w:w="-289" w:type="dxa"/>
        <w:tblLook w:val="04A0" w:firstRow="1" w:lastRow="0" w:firstColumn="1" w:lastColumn="0" w:noHBand="0" w:noVBand="1"/>
        <w:tblCaption w:val="Table 7. Consumers using Mental Health Online by treatment program and Therapist Assist status, January 2015 – December 2021a"/>
        <w:tblDescription w:val="Table describing number of consumers using Mental Health Online by treatment program and Therapist Assist status from January 2015 to December 2021"/>
      </w:tblPr>
      <w:tblGrid>
        <w:gridCol w:w="1959"/>
        <w:gridCol w:w="1054"/>
        <w:gridCol w:w="1059"/>
        <w:gridCol w:w="1019"/>
        <w:gridCol w:w="944"/>
        <w:gridCol w:w="970"/>
        <w:gridCol w:w="1106"/>
        <w:gridCol w:w="826"/>
        <w:gridCol w:w="845"/>
      </w:tblGrid>
      <w:tr w:rsidR="003925BA" w:rsidRPr="001D3C19" w14:paraId="147037C3" w14:textId="77777777" w:rsidTr="00E33DDA">
        <w:trPr>
          <w:trHeight w:val="503"/>
        </w:trPr>
        <w:tc>
          <w:tcPr>
            <w:tcW w:w="96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hideMark/>
          </w:tcPr>
          <w:p w14:paraId="571878F7" w14:textId="42468D3F"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Program</w:t>
            </w:r>
          </w:p>
        </w:tc>
        <w:tc>
          <w:tcPr>
            <w:tcW w:w="510" w:type="pct"/>
            <w:tcBorders>
              <w:top w:val="single" w:sz="4" w:space="0" w:color="000000" w:themeColor="text1"/>
              <w:left w:val="nil"/>
              <w:bottom w:val="single" w:sz="4" w:space="0" w:color="000000" w:themeColor="text1"/>
              <w:right w:val="single" w:sz="4" w:space="0" w:color="000000" w:themeColor="text1"/>
            </w:tcBorders>
            <w:shd w:val="clear" w:color="auto" w:fill="000000" w:themeFill="text1"/>
            <w:hideMark/>
          </w:tcPr>
          <w:p w14:paraId="60E571AC" w14:textId="6DA13D6A" w:rsidR="00BF1BF1" w:rsidRPr="001D3C19" w:rsidRDefault="00BF1BF1" w:rsidP="003D1CA1">
            <w:pPr>
              <w:jc w:val="center"/>
              <w:rPr>
                <w:rFonts w:asciiTheme="minorHAnsi" w:hAnsiTheme="minorHAnsi" w:cstheme="minorHAnsi"/>
                <w:sz w:val="18"/>
                <w:szCs w:val="18"/>
              </w:rPr>
            </w:pPr>
            <w:proofErr w:type="spellStart"/>
            <w:r w:rsidRPr="001D3C19">
              <w:rPr>
                <w:rFonts w:asciiTheme="minorHAnsi" w:hAnsiTheme="minorHAnsi" w:cstheme="minorHAnsi"/>
                <w:sz w:val="18"/>
                <w:szCs w:val="18"/>
              </w:rPr>
              <w:t>Regist</w:t>
            </w:r>
            <w:r w:rsidR="00AF4D88" w:rsidRPr="001D3C19">
              <w:rPr>
                <w:rFonts w:asciiTheme="minorHAnsi" w:hAnsiTheme="minorHAnsi" w:cstheme="minorHAnsi"/>
                <w:sz w:val="18"/>
                <w:szCs w:val="18"/>
              </w:rPr>
              <w:t>ered</w:t>
            </w:r>
            <w:r w:rsidR="00585BA6" w:rsidRPr="00585BA6">
              <w:rPr>
                <w:rFonts w:asciiTheme="minorHAnsi" w:hAnsiTheme="minorHAnsi" w:cstheme="minorHAnsi"/>
                <w:sz w:val="18"/>
                <w:szCs w:val="18"/>
                <w:vertAlign w:val="superscript"/>
              </w:rPr>
              <w:t>a</w:t>
            </w:r>
            <w:proofErr w:type="spellEnd"/>
          </w:p>
        </w:tc>
        <w:tc>
          <w:tcPr>
            <w:tcW w:w="512" w:type="pct"/>
            <w:tcBorders>
              <w:top w:val="single" w:sz="4" w:space="0" w:color="000000" w:themeColor="text1"/>
              <w:left w:val="nil"/>
              <w:bottom w:val="single" w:sz="4" w:space="0" w:color="000000" w:themeColor="text1"/>
              <w:right w:val="single" w:sz="4" w:space="0" w:color="000000" w:themeColor="text1"/>
            </w:tcBorders>
            <w:shd w:val="clear" w:color="auto" w:fill="000000" w:themeFill="text1"/>
            <w:hideMark/>
          </w:tcPr>
          <w:p w14:paraId="5D46BA6F" w14:textId="5DBDFC6C" w:rsidR="00BF1BF1" w:rsidRPr="001D3C19" w:rsidRDefault="00950B07" w:rsidP="003D1CA1">
            <w:pPr>
              <w:jc w:val="center"/>
              <w:rPr>
                <w:rFonts w:asciiTheme="minorHAnsi" w:hAnsiTheme="minorHAnsi" w:cstheme="minorHAnsi"/>
                <w:sz w:val="18"/>
                <w:szCs w:val="18"/>
              </w:rPr>
            </w:pPr>
            <w:proofErr w:type="spellStart"/>
            <w:r>
              <w:rPr>
                <w:rFonts w:asciiTheme="minorHAnsi" w:hAnsiTheme="minorHAnsi" w:cstheme="minorHAnsi"/>
                <w:sz w:val="18"/>
                <w:szCs w:val="18"/>
              </w:rPr>
              <w:t>ePASS</w:t>
            </w:r>
            <w:proofErr w:type="spellEnd"/>
            <w:r w:rsidR="00BF1BF1" w:rsidRPr="001D3C19">
              <w:rPr>
                <w:rFonts w:asciiTheme="minorHAnsi" w:hAnsiTheme="minorHAnsi" w:cstheme="minorHAnsi"/>
                <w:sz w:val="18"/>
                <w:szCs w:val="18"/>
              </w:rPr>
              <w:t xml:space="preserve"> </w:t>
            </w:r>
            <w:proofErr w:type="spellStart"/>
            <w:r w:rsidR="00AF4D88" w:rsidRPr="001D3C19">
              <w:rPr>
                <w:rFonts w:asciiTheme="minorHAnsi" w:hAnsiTheme="minorHAnsi" w:cstheme="minorHAnsi"/>
                <w:sz w:val="18"/>
                <w:szCs w:val="18"/>
              </w:rPr>
              <w:t>c</w:t>
            </w:r>
            <w:r w:rsidR="00BF1BF1" w:rsidRPr="001D3C19">
              <w:rPr>
                <w:rFonts w:asciiTheme="minorHAnsi" w:hAnsiTheme="minorHAnsi" w:cstheme="minorHAnsi"/>
                <w:sz w:val="18"/>
                <w:szCs w:val="18"/>
              </w:rPr>
              <w:t>omplet</w:t>
            </w:r>
            <w:r w:rsidR="00AF4D88" w:rsidRPr="001D3C19">
              <w:rPr>
                <w:rFonts w:asciiTheme="minorHAnsi" w:hAnsiTheme="minorHAnsi" w:cstheme="minorHAnsi"/>
                <w:sz w:val="18"/>
                <w:szCs w:val="18"/>
              </w:rPr>
              <w:t>ed</w:t>
            </w:r>
            <w:r w:rsidR="00585BA6" w:rsidRPr="00585BA6">
              <w:rPr>
                <w:rFonts w:asciiTheme="minorHAnsi" w:hAnsiTheme="minorHAnsi" w:cstheme="minorHAnsi"/>
                <w:sz w:val="18"/>
                <w:szCs w:val="18"/>
                <w:vertAlign w:val="superscript"/>
              </w:rPr>
              <w:t>a</w:t>
            </w:r>
            <w:proofErr w:type="spellEnd"/>
          </w:p>
        </w:tc>
        <w:tc>
          <w:tcPr>
            <w:tcW w:w="492" w:type="pct"/>
            <w:tcBorders>
              <w:top w:val="single" w:sz="4" w:space="0" w:color="000000" w:themeColor="text1"/>
              <w:left w:val="nil"/>
              <w:bottom w:val="single" w:sz="4" w:space="0" w:color="000000" w:themeColor="text1"/>
              <w:right w:val="single" w:sz="4" w:space="0" w:color="000000" w:themeColor="text1"/>
            </w:tcBorders>
            <w:shd w:val="clear" w:color="auto" w:fill="000000" w:themeFill="text1"/>
            <w:hideMark/>
          </w:tcPr>
          <w:p w14:paraId="7D6B2430" w14:textId="5C89B13F"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 xml:space="preserve">TA </w:t>
            </w:r>
            <w:proofErr w:type="spellStart"/>
            <w:r w:rsidR="00AF4D88" w:rsidRPr="001D3C19">
              <w:rPr>
                <w:rFonts w:asciiTheme="minorHAnsi" w:hAnsiTheme="minorHAnsi" w:cstheme="minorHAnsi"/>
                <w:sz w:val="18"/>
                <w:szCs w:val="18"/>
              </w:rPr>
              <w:t>r</w:t>
            </w:r>
            <w:r w:rsidRPr="001D3C19">
              <w:rPr>
                <w:rFonts w:asciiTheme="minorHAnsi" w:hAnsiTheme="minorHAnsi" w:cstheme="minorHAnsi"/>
                <w:sz w:val="18"/>
                <w:szCs w:val="18"/>
              </w:rPr>
              <w:t>egist</w:t>
            </w:r>
            <w:r w:rsidR="00AF4D88" w:rsidRPr="001D3C19">
              <w:rPr>
                <w:rFonts w:asciiTheme="minorHAnsi" w:hAnsiTheme="minorHAnsi" w:cstheme="minorHAnsi"/>
                <w:sz w:val="18"/>
                <w:szCs w:val="18"/>
              </w:rPr>
              <w:t>ered</w:t>
            </w:r>
            <w:r w:rsidR="00585BA6" w:rsidRPr="00585BA6">
              <w:rPr>
                <w:rFonts w:asciiTheme="minorHAnsi" w:hAnsiTheme="minorHAnsi" w:cstheme="minorHAnsi"/>
                <w:sz w:val="18"/>
                <w:szCs w:val="18"/>
                <w:vertAlign w:val="superscript"/>
              </w:rPr>
              <w:t>a</w:t>
            </w:r>
            <w:proofErr w:type="spellEnd"/>
          </w:p>
        </w:tc>
        <w:tc>
          <w:tcPr>
            <w:tcW w:w="453" w:type="pct"/>
            <w:tcBorders>
              <w:top w:val="single" w:sz="4" w:space="0" w:color="000000" w:themeColor="text1"/>
              <w:left w:val="nil"/>
              <w:bottom w:val="single" w:sz="4" w:space="0" w:color="000000" w:themeColor="text1"/>
              <w:right w:val="single" w:sz="4" w:space="0" w:color="000000" w:themeColor="text1"/>
            </w:tcBorders>
            <w:shd w:val="clear" w:color="auto" w:fill="000000" w:themeFill="text1"/>
            <w:hideMark/>
          </w:tcPr>
          <w:p w14:paraId="12584CE9" w14:textId="29619AF3"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 xml:space="preserve">TA </w:t>
            </w:r>
            <w:proofErr w:type="spellStart"/>
            <w:r w:rsidR="00AF4D88" w:rsidRPr="001D3C19">
              <w:rPr>
                <w:rFonts w:asciiTheme="minorHAnsi" w:hAnsiTheme="minorHAnsi" w:cstheme="minorHAnsi"/>
                <w:sz w:val="18"/>
                <w:szCs w:val="18"/>
              </w:rPr>
              <w:t>a</w:t>
            </w:r>
            <w:r w:rsidRPr="001D3C19">
              <w:rPr>
                <w:rFonts w:asciiTheme="minorHAnsi" w:hAnsiTheme="minorHAnsi" w:cstheme="minorHAnsi"/>
                <w:sz w:val="18"/>
                <w:szCs w:val="18"/>
              </w:rPr>
              <w:t>llocat</w:t>
            </w:r>
            <w:r w:rsidR="00AF4D88" w:rsidRPr="001D3C19">
              <w:rPr>
                <w:rFonts w:asciiTheme="minorHAnsi" w:hAnsiTheme="minorHAnsi" w:cstheme="minorHAnsi"/>
                <w:sz w:val="18"/>
                <w:szCs w:val="18"/>
              </w:rPr>
              <w:t>ed</w:t>
            </w:r>
            <w:r w:rsidR="00585BA6" w:rsidRPr="00585BA6">
              <w:rPr>
                <w:rFonts w:asciiTheme="minorHAnsi" w:hAnsiTheme="minorHAnsi" w:cstheme="minorHAnsi"/>
                <w:sz w:val="18"/>
                <w:szCs w:val="18"/>
                <w:vertAlign w:val="superscript"/>
              </w:rPr>
              <w:t>a</w:t>
            </w:r>
            <w:proofErr w:type="spellEnd"/>
          </w:p>
        </w:tc>
        <w:tc>
          <w:tcPr>
            <w:tcW w:w="493" w:type="pct"/>
            <w:tcBorders>
              <w:top w:val="single" w:sz="4" w:space="0" w:color="000000" w:themeColor="text1"/>
              <w:left w:val="nil"/>
              <w:bottom w:val="single" w:sz="4" w:space="0" w:color="000000" w:themeColor="text1"/>
              <w:right w:val="single" w:sz="4" w:space="0" w:color="000000" w:themeColor="text1"/>
            </w:tcBorders>
            <w:shd w:val="clear" w:color="auto" w:fill="000000" w:themeFill="text1"/>
            <w:hideMark/>
          </w:tcPr>
          <w:p w14:paraId="608B49B4" w14:textId="2C9B7AF1"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 xml:space="preserve">TA </w:t>
            </w:r>
            <w:proofErr w:type="spellStart"/>
            <w:r w:rsidR="00AF4D88" w:rsidRPr="001D3C19">
              <w:rPr>
                <w:rFonts w:asciiTheme="minorHAnsi" w:hAnsiTheme="minorHAnsi" w:cstheme="minorHAnsi"/>
                <w:sz w:val="18"/>
                <w:szCs w:val="18"/>
              </w:rPr>
              <w:t>c</w:t>
            </w:r>
            <w:r w:rsidRPr="001D3C19">
              <w:rPr>
                <w:rFonts w:asciiTheme="minorHAnsi" w:hAnsiTheme="minorHAnsi" w:cstheme="minorHAnsi"/>
                <w:sz w:val="18"/>
                <w:szCs w:val="18"/>
              </w:rPr>
              <w:t>omplete</w:t>
            </w:r>
            <w:r w:rsidR="000D60AD">
              <w:rPr>
                <w:rFonts w:asciiTheme="minorHAnsi" w:hAnsiTheme="minorHAnsi" w:cstheme="minorHAnsi"/>
                <w:sz w:val="18"/>
                <w:szCs w:val="18"/>
                <w:vertAlign w:val="superscript"/>
              </w:rPr>
              <w:t>b</w:t>
            </w:r>
            <w:proofErr w:type="spellEnd"/>
          </w:p>
        </w:tc>
        <w:tc>
          <w:tcPr>
            <w:tcW w:w="533" w:type="pct"/>
            <w:tcBorders>
              <w:top w:val="single" w:sz="4" w:space="0" w:color="000000" w:themeColor="text1"/>
              <w:left w:val="nil"/>
              <w:bottom w:val="single" w:sz="4" w:space="0" w:color="000000" w:themeColor="text1"/>
              <w:right w:val="single" w:sz="4" w:space="0" w:color="000000" w:themeColor="text1"/>
            </w:tcBorders>
            <w:shd w:val="clear" w:color="auto" w:fill="000000" w:themeFill="text1"/>
            <w:hideMark/>
          </w:tcPr>
          <w:p w14:paraId="5A976E08" w14:textId="3A0D7BF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 xml:space="preserve">TA </w:t>
            </w:r>
            <w:proofErr w:type="spellStart"/>
            <w:r w:rsidR="00AF4D88" w:rsidRPr="001D3C19">
              <w:rPr>
                <w:rFonts w:asciiTheme="minorHAnsi" w:hAnsiTheme="minorHAnsi" w:cstheme="minorHAnsi"/>
                <w:sz w:val="18"/>
                <w:szCs w:val="18"/>
              </w:rPr>
              <w:t>i</w:t>
            </w:r>
            <w:r w:rsidRPr="001D3C19">
              <w:rPr>
                <w:rFonts w:asciiTheme="minorHAnsi" w:hAnsiTheme="minorHAnsi" w:cstheme="minorHAnsi"/>
                <w:sz w:val="18"/>
                <w:szCs w:val="18"/>
              </w:rPr>
              <w:t>ncomplete</w:t>
            </w:r>
            <w:r w:rsidR="000D60AD" w:rsidRPr="000D60AD">
              <w:rPr>
                <w:rFonts w:asciiTheme="minorHAnsi" w:hAnsiTheme="minorHAnsi" w:cstheme="minorHAnsi"/>
                <w:sz w:val="18"/>
                <w:szCs w:val="18"/>
                <w:vertAlign w:val="superscript"/>
              </w:rPr>
              <w:t>b</w:t>
            </w:r>
            <w:proofErr w:type="spellEnd"/>
          </w:p>
        </w:tc>
        <w:tc>
          <w:tcPr>
            <w:tcW w:w="390" w:type="pct"/>
            <w:tcBorders>
              <w:top w:val="single" w:sz="4" w:space="0" w:color="000000" w:themeColor="text1"/>
              <w:left w:val="nil"/>
              <w:bottom w:val="single" w:sz="4" w:space="0" w:color="000000" w:themeColor="text1"/>
              <w:right w:val="single" w:sz="4" w:space="0" w:color="000000" w:themeColor="text1"/>
            </w:tcBorders>
            <w:shd w:val="clear" w:color="auto" w:fill="000000" w:themeFill="text1"/>
            <w:hideMark/>
          </w:tcPr>
          <w:p w14:paraId="7E651B78" w14:textId="221CEE2B"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 xml:space="preserve">TA </w:t>
            </w:r>
            <w:proofErr w:type="spellStart"/>
            <w:r w:rsidR="00AF4D88" w:rsidRPr="001D3C19">
              <w:rPr>
                <w:rFonts w:asciiTheme="minorHAnsi" w:hAnsiTheme="minorHAnsi" w:cstheme="minorHAnsi"/>
                <w:sz w:val="18"/>
                <w:szCs w:val="18"/>
              </w:rPr>
              <w:t>m</w:t>
            </w:r>
            <w:r w:rsidRPr="001D3C19">
              <w:rPr>
                <w:rFonts w:asciiTheme="minorHAnsi" w:hAnsiTheme="minorHAnsi" w:cstheme="minorHAnsi"/>
                <w:sz w:val="18"/>
                <w:szCs w:val="18"/>
              </w:rPr>
              <w:t>issing</w:t>
            </w:r>
            <w:r w:rsidR="000D60AD">
              <w:rPr>
                <w:rFonts w:asciiTheme="minorHAnsi" w:hAnsiTheme="minorHAnsi" w:cstheme="minorHAnsi"/>
                <w:sz w:val="18"/>
                <w:szCs w:val="18"/>
                <w:vertAlign w:val="superscript"/>
              </w:rPr>
              <w:t>b</w:t>
            </w:r>
            <w:proofErr w:type="spellEnd"/>
          </w:p>
        </w:tc>
        <w:tc>
          <w:tcPr>
            <w:tcW w:w="651" w:type="pct"/>
            <w:tcBorders>
              <w:top w:val="single" w:sz="4" w:space="0" w:color="000000" w:themeColor="text1"/>
              <w:left w:val="nil"/>
              <w:bottom w:val="single" w:sz="4" w:space="0" w:color="000000" w:themeColor="text1"/>
              <w:right w:val="single" w:sz="4" w:space="0" w:color="000000" w:themeColor="text1"/>
            </w:tcBorders>
            <w:shd w:val="clear" w:color="auto" w:fill="000000" w:themeFill="text1"/>
            <w:hideMark/>
          </w:tcPr>
          <w:p w14:paraId="07DBC063" w14:textId="41FECB0C"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 xml:space="preserve">TA </w:t>
            </w:r>
            <w:r w:rsidR="00AF4D88" w:rsidRPr="001D3C19">
              <w:rPr>
                <w:rFonts w:asciiTheme="minorHAnsi" w:hAnsiTheme="minorHAnsi" w:cstheme="minorHAnsi"/>
                <w:sz w:val="18"/>
                <w:szCs w:val="18"/>
              </w:rPr>
              <w:t>a</w:t>
            </w:r>
            <w:r w:rsidRPr="001D3C19">
              <w:rPr>
                <w:rFonts w:asciiTheme="minorHAnsi" w:hAnsiTheme="minorHAnsi" w:cstheme="minorHAnsi"/>
                <w:sz w:val="18"/>
                <w:szCs w:val="18"/>
              </w:rPr>
              <w:t xml:space="preserve">verage </w:t>
            </w:r>
            <w:proofErr w:type="spellStart"/>
            <w:r w:rsidRPr="001D3C19">
              <w:rPr>
                <w:rFonts w:asciiTheme="minorHAnsi" w:hAnsiTheme="minorHAnsi" w:cstheme="minorHAnsi"/>
                <w:sz w:val="18"/>
                <w:szCs w:val="18"/>
              </w:rPr>
              <w:t>weeks</w:t>
            </w:r>
            <w:r w:rsidR="00585BA6">
              <w:rPr>
                <w:rFonts w:asciiTheme="minorHAnsi" w:hAnsiTheme="minorHAnsi" w:cstheme="minorHAnsi"/>
                <w:sz w:val="18"/>
                <w:szCs w:val="18"/>
                <w:vertAlign w:val="superscript"/>
              </w:rPr>
              <w:t>b</w:t>
            </w:r>
            <w:proofErr w:type="spellEnd"/>
          </w:p>
        </w:tc>
      </w:tr>
      <w:tr w:rsidR="00753975" w:rsidRPr="001D3C19" w14:paraId="13299FBD" w14:textId="77777777" w:rsidTr="00E33DDA">
        <w:trPr>
          <w:trHeight w:val="283"/>
        </w:trPr>
        <w:tc>
          <w:tcPr>
            <w:tcW w:w="967" w:type="pct"/>
            <w:tcBorders>
              <w:top w:val="single" w:sz="4" w:space="0" w:color="000000" w:themeColor="text1"/>
              <w:left w:val="single" w:sz="4" w:space="0" w:color="000000" w:themeColor="text1"/>
            </w:tcBorders>
            <w:shd w:val="clear" w:color="auto" w:fill="auto"/>
            <w:noWrap/>
            <w:hideMark/>
          </w:tcPr>
          <w:p w14:paraId="3017E43F" w14:textId="77777777" w:rsidR="00BF1BF1" w:rsidRPr="001D3C19" w:rsidRDefault="00BF1BF1" w:rsidP="003D1CA1">
            <w:pPr>
              <w:rPr>
                <w:rFonts w:asciiTheme="minorHAnsi" w:hAnsiTheme="minorHAnsi" w:cstheme="minorHAnsi"/>
                <w:sz w:val="18"/>
                <w:szCs w:val="18"/>
              </w:rPr>
            </w:pPr>
            <w:r w:rsidRPr="001D3C19">
              <w:rPr>
                <w:rFonts w:asciiTheme="minorHAnsi" w:hAnsiTheme="minorHAnsi" w:cstheme="minorHAnsi"/>
                <w:sz w:val="18"/>
                <w:szCs w:val="18"/>
              </w:rPr>
              <w:t>Depression Online</w:t>
            </w:r>
          </w:p>
        </w:tc>
        <w:tc>
          <w:tcPr>
            <w:tcW w:w="510" w:type="pct"/>
            <w:tcBorders>
              <w:top w:val="single" w:sz="4" w:space="0" w:color="000000" w:themeColor="text1"/>
            </w:tcBorders>
            <w:shd w:val="clear" w:color="auto" w:fill="auto"/>
            <w:noWrap/>
            <w:hideMark/>
          </w:tcPr>
          <w:p w14:paraId="1F9C0567" w14:textId="18A64E90"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3</w:t>
            </w:r>
            <w:r w:rsidR="005329DD">
              <w:rPr>
                <w:rFonts w:asciiTheme="minorHAnsi" w:hAnsiTheme="minorHAnsi" w:cstheme="minorHAnsi"/>
                <w:sz w:val="18"/>
                <w:szCs w:val="18"/>
              </w:rPr>
              <w:t>,</w:t>
            </w:r>
            <w:r w:rsidRPr="001D3C19">
              <w:rPr>
                <w:rFonts w:asciiTheme="minorHAnsi" w:hAnsiTheme="minorHAnsi" w:cstheme="minorHAnsi"/>
                <w:sz w:val="18"/>
                <w:szCs w:val="18"/>
              </w:rPr>
              <w:t>655</w:t>
            </w:r>
          </w:p>
        </w:tc>
        <w:tc>
          <w:tcPr>
            <w:tcW w:w="512" w:type="pct"/>
            <w:tcBorders>
              <w:top w:val="single" w:sz="4" w:space="0" w:color="000000" w:themeColor="text1"/>
            </w:tcBorders>
            <w:shd w:val="clear" w:color="auto" w:fill="auto"/>
            <w:noWrap/>
            <w:hideMark/>
          </w:tcPr>
          <w:p w14:paraId="3F8802F4" w14:textId="6B40310A"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3</w:t>
            </w:r>
            <w:r w:rsidR="005329DD">
              <w:rPr>
                <w:rFonts w:asciiTheme="minorHAnsi" w:hAnsiTheme="minorHAnsi" w:cstheme="minorHAnsi"/>
                <w:sz w:val="18"/>
                <w:szCs w:val="18"/>
              </w:rPr>
              <w:t>,</w:t>
            </w:r>
            <w:r w:rsidRPr="001D3C19">
              <w:rPr>
                <w:rFonts w:asciiTheme="minorHAnsi" w:hAnsiTheme="minorHAnsi" w:cstheme="minorHAnsi"/>
                <w:sz w:val="18"/>
                <w:szCs w:val="18"/>
              </w:rPr>
              <w:t>032</w:t>
            </w:r>
          </w:p>
        </w:tc>
        <w:tc>
          <w:tcPr>
            <w:tcW w:w="492" w:type="pct"/>
            <w:tcBorders>
              <w:top w:val="single" w:sz="4" w:space="0" w:color="000000" w:themeColor="text1"/>
            </w:tcBorders>
            <w:shd w:val="clear" w:color="auto" w:fill="auto"/>
            <w:noWrap/>
            <w:hideMark/>
          </w:tcPr>
          <w:p w14:paraId="5FE62FDE"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440</w:t>
            </w:r>
          </w:p>
        </w:tc>
        <w:tc>
          <w:tcPr>
            <w:tcW w:w="453" w:type="pct"/>
            <w:tcBorders>
              <w:top w:val="single" w:sz="4" w:space="0" w:color="000000" w:themeColor="text1"/>
            </w:tcBorders>
            <w:shd w:val="clear" w:color="auto" w:fill="auto"/>
            <w:noWrap/>
            <w:hideMark/>
          </w:tcPr>
          <w:p w14:paraId="1CC740B3"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170</w:t>
            </w:r>
          </w:p>
        </w:tc>
        <w:tc>
          <w:tcPr>
            <w:tcW w:w="493" w:type="pct"/>
            <w:tcBorders>
              <w:top w:val="single" w:sz="4" w:space="0" w:color="000000" w:themeColor="text1"/>
            </w:tcBorders>
            <w:shd w:val="clear" w:color="auto" w:fill="auto"/>
            <w:noWrap/>
            <w:hideMark/>
          </w:tcPr>
          <w:p w14:paraId="2309DFD5"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76</w:t>
            </w:r>
          </w:p>
        </w:tc>
        <w:tc>
          <w:tcPr>
            <w:tcW w:w="533" w:type="pct"/>
            <w:tcBorders>
              <w:top w:val="single" w:sz="4" w:space="0" w:color="000000" w:themeColor="text1"/>
            </w:tcBorders>
            <w:shd w:val="clear" w:color="auto" w:fill="auto"/>
            <w:noWrap/>
            <w:hideMark/>
          </w:tcPr>
          <w:p w14:paraId="4CDCA8D3"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72</w:t>
            </w:r>
          </w:p>
        </w:tc>
        <w:tc>
          <w:tcPr>
            <w:tcW w:w="390" w:type="pct"/>
            <w:tcBorders>
              <w:top w:val="single" w:sz="4" w:space="0" w:color="000000" w:themeColor="text1"/>
            </w:tcBorders>
            <w:shd w:val="clear" w:color="auto" w:fill="auto"/>
            <w:noWrap/>
            <w:hideMark/>
          </w:tcPr>
          <w:p w14:paraId="48457434"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7</w:t>
            </w:r>
          </w:p>
        </w:tc>
        <w:tc>
          <w:tcPr>
            <w:tcW w:w="651" w:type="pct"/>
            <w:tcBorders>
              <w:top w:val="single" w:sz="4" w:space="0" w:color="000000" w:themeColor="text1"/>
              <w:right w:val="single" w:sz="4" w:space="0" w:color="000000" w:themeColor="text1"/>
            </w:tcBorders>
            <w:shd w:val="clear" w:color="auto" w:fill="auto"/>
            <w:noWrap/>
            <w:hideMark/>
          </w:tcPr>
          <w:p w14:paraId="2B87C8A8"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6.82</w:t>
            </w:r>
          </w:p>
        </w:tc>
      </w:tr>
      <w:tr w:rsidR="00424871" w:rsidRPr="001D3C19" w14:paraId="034B249F" w14:textId="77777777" w:rsidTr="00E33DDA">
        <w:trPr>
          <w:trHeight w:val="283"/>
        </w:trPr>
        <w:tc>
          <w:tcPr>
            <w:tcW w:w="967" w:type="pct"/>
            <w:tcBorders>
              <w:left w:val="single" w:sz="4" w:space="0" w:color="000000" w:themeColor="text1"/>
            </w:tcBorders>
            <w:shd w:val="clear" w:color="auto" w:fill="auto"/>
            <w:noWrap/>
            <w:hideMark/>
          </w:tcPr>
          <w:p w14:paraId="3EE1CCCF" w14:textId="77777777" w:rsidR="00BF1BF1" w:rsidRPr="001D3C19" w:rsidRDefault="00BF1BF1" w:rsidP="003D1CA1">
            <w:pPr>
              <w:rPr>
                <w:rFonts w:asciiTheme="minorHAnsi" w:hAnsiTheme="minorHAnsi" w:cstheme="minorHAnsi"/>
                <w:sz w:val="18"/>
                <w:szCs w:val="18"/>
              </w:rPr>
            </w:pPr>
            <w:r w:rsidRPr="001D3C19">
              <w:rPr>
                <w:rFonts w:asciiTheme="minorHAnsi" w:hAnsiTheme="minorHAnsi" w:cstheme="minorHAnsi"/>
                <w:sz w:val="18"/>
                <w:szCs w:val="18"/>
              </w:rPr>
              <w:t>GAD Online</w:t>
            </w:r>
          </w:p>
        </w:tc>
        <w:tc>
          <w:tcPr>
            <w:tcW w:w="510" w:type="pct"/>
            <w:shd w:val="clear" w:color="auto" w:fill="auto"/>
            <w:noWrap/>
            <w:hideMark/>
          </w:tcPr>
          <w:p w14:paraId="777AEF0C" w14:textId="3F209C9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4</w:t>
            </w:r>
            <w:r w:rsidR="005329DD">
              <w:rPr>
                <w:rFonts w:asciiTheme="minorHAnsi" w:hAnsiTheme="minorHAnsi" w:cstheme="minorHAnsi"/>
                <w:sz w:val="18"/>
                <w:szCs w:val="18"/>
              </w:rPr>
              <w:t>,</w:t>
            </w:r>
            <w:r w:rsidRPr="001D3C19">
              <w:rPr>
                <w:rFonts w:asciiTheme="minorHAnsi" w:hAnsiTheme="minorHAnsi" w:cstheme="minorHAnsi"/>
                <w:sz w:val="18"/>
                <w:szCs w:val="18"/>
              </w:rPr>
              <w:t>471</w:t>
            </w:r>
          </w:p>
        </w:tc>
        <w:tc>
          <w:tcPr>
            <w:tcW w:w="512" w:type="pct"/>
            <w:shd w:val="clear" w:color="auto" w:fill="auto"/>
            <w:noWrap/>
            <w:hideMark/>
          </w:tcPr>
          <w:p w14:paraId="423194FF" w14:textId="35BE93FD"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3</w:t>
            </w:r>
            <w:r w:rsidR="005329DD">
              <w:rPr>
                <w:rFonts w:asciiTheme="minorHAnsi" w:hAnsiTheme="minorHAnsi" w:cstheme="minorHAnsi"/>
                <w:sz w:val="18"/>
                <w:szCs w:val="18"/>
              </w:rPr>
              <w:t>,</w:t>
            </w:r>
            <w:r w:rsidRPr="001D3C19">
              <w:rPr>
                <w:rFonts w:asciiTheme="minorHAnsi" w:hAnsiTheme="minorHAnsi" w:cstheme="minorHAnsi"/>
                <w:sz w:val="18"/>
                <w:szCs w:val="18"/>
              </w:rPr>
              <w:t>615</w:t>
            </w:r>
          </w:p>
        </w:tc>
        <w:tc>
          <w:tcPr>
            <w:tcW w:w="492" w:type="pct"/>
            <w:shd w:val="clear" w:color="auto" w:fill="auto"/>
            <w:noWrap/>
            <w:hideMark/>
          </w:tcPr>
          <w:p w14:paraId="032DDB60"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577</w:t>
            </w:r>
          </w:p>
        </w:tc>
        <w:tc>
          <w:tcPr>
            <w:tcW w:w="453" w:type="pct"/>
            <w:shd w:val="clear" w:color="auto" w:fill="auto"/>
            <w:noWrap/>
            <w:hideMark/>
          </w:tcPr>
          <w:p w14:paraId="11459219"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302</w:t>
            </w:r>
          </w:p>
        </w:tc>
        <w:tc>
          <w:tcPr>
            <w:tcW w:w="493" w:type="pct"/>
            <w:shd w:val="clear" w:color="auto" w:fill="auto"/>
            <w:noWrap/>
            <w:hideMark/>
          </w:tcPr>
          <w:p w14:paraId="3502809B"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120</w:t>
            </w:r>
          </w:p>
        </w:tc>
        <w:tc>
          <w:tcPr>
            <w:tcW w:w="533" w:type="pct"/>
            <w:shd w:val="clear" w:color="auto" w:fill="auto"/>
            <w:noWrap/>
            <w:hideMark/>
          </w:tcPr>
          <w:p w14:paraId="3C0C9BA4"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90</w:t>
            </w:r>
          </w:p>
        </w:tc>
        <w:tc>
          <w:tcPr>
            <w:tcW w:w="390" w:type="pct"/>
            <w:shd w:val="clear" w:color="auto" w:fill="auto"/>
            <w:noWrap/>
            <w:hideMark/>
          </w:tcPr>
          <w:p w14:paraId="4ABBBA8B"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21</w:t>
            </w:r>
          </w:p>
        </w:tc>
        <w:tc>
          <w:tcPr>
            <w:tcW w:w="651" w:type="pct"/>
            <w:tcBorders>
              <w:right w:val="single" w:sz="4" w:space="0" w:color="000000" w:themeColor="text1"/>
            </w:tcBorders>
            <w:shd w:val="clear" w:color="auto" w:fill="auto"/>
            <w:noWrap/>
            <w:hideMark/>
          </w:tcPr>
          <w:p w14:paraId="1EF049C7"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7.37</w:t>
            </w:r>
          </w:p>
        </w:tc>
      </w:tr>
      <w:tr w:rsidR="00424871" w:rsidRPr="001D3C19" w14:paraId="4CAAB412" w14:textId="77777777" w:rsidTr="00E33DDA">
        <w:trPr>
          <w:trHeight w:val="283"/>
        </w:trPr>
        <w:tc>
          <w:tcPr>
            <w:tcW w:w="967" w:type="pct"/>
            <w:tcBorders>
              <w:left w:val="single" w:sz="4" w:space="0" w:color="000000" w:themeColor="text1"/>
            </w:tcBorders>
            <w:shd w:val="clear" w:color="auto" w:fill="auto"/>
            <w:noWrap/>
            <w:hideMark/>
          </w:tcPr>
          <w:p w14:paraId="74C8AC9E" w14:textId="77777777" w:rsidR="00BF1BF1" w:rsidRPr="001D3C19" w:rsidRDefault="00BF1BF1" w:rsidP="003D1CA1">
            <w:pPr>
              <w:rPr>
                <w:rFonts w:asciiTheme="minorHAnsi" w:hAnsiTheme="minorHAnsi" w:cstheme="minorHAnsi"/>
                <w:sz w:val="18"/>
                <w:szCs w:val="18"/>
              </w:rPr>
            </w:pPr>
            <w:r w:rsidRPr="001D3C19">
              <w:rPr>
                <w:rFonts w:asciiTheme="minorHAnsi" w:hAnsiTheme="minorHAnsi" w:cstheme="minorHAnsi"/>
                <w:sz w:val="18"/>
                <w:szCs w:val="18"/>
              </w:rPr>
              <w:t>Hoarding Online Plus!</w:t>
            </w:r>
          </w:p>
        </w:tc>
        <w:tc>
          <w:tcPr>
            <w:tcW w:w="510" w:type="pct"/>
            <w:shd w:val="clear" w:color="auto" w:fill="auto"/>
            <w:noWrap/>
            <w:hideMark/>
          </w:tcPr>
          <w:p w14:paraId="519326D4"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13</w:t>
            </w:r>
          </w:p>
        </w:tc>
        <w:tc>
          <w:tcPr>
            <w:tcW w:w="512" w:type="pct"/>
            <w:shd w:val="clear" w:color="auto" w:fill="auto"/>
            <w:noWrap/>
            <w:hideMark/>
          </w:tcPr>
          <w:p w14:paraId="1545867C"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2</w:t>
            </w:r>
          </w:p>
        </w:tc>
        <w:tc>
          <w:tcPr>
            <w:tcW w:w="492" w:type="pct"/>
            <w:shd w:val="clear" w:color="auto" w:fill="auto"/>
            <w:noWrap/>
            <w:hideMark/>
          </w:tcPr>
          <w:p w14:paraId="2744F301" w14:textId="1A83C8F7" w:rsidR="00BF1BF1" w:rsidRPr="00363DD6" w:rsidRDefault="00DC7516" w:rsidP="003D1CA1">
            <w:pPr>
              <w:jc w:val="center"/>
              <w:rPr>
                <w:rFonts w:asciiTheme="minorHAnsi" w:hAnsiTheme="minorHAnsi" w:cstheme="minorHAnsi"/>
                <w:sz w:val="18"/>
                <w:szCs w:val="18"/>
              </w:rPr>
            </w:pPr>
            <w:r w:rsidRPr="00363DD6">
              <w:rPr>
                <w:rFonts w:asciiTheme="minorHAnsi" w:hAnsiTheme="minorHAnsi" w:cstheme="minorHAnsi"/>
                <w:sz w:val="18"/>
                <w:szCs w:val="18"/>
              </w:rPr>
              <w:t>0</w:t>
            </w:r>
          </w:p>
        </w:tc>
        <w:tc>
          <w:tcPr>
            <w:tcW w:w="453" w:type="pct"/>
            <w:shd w:val="clear" w:color="auto" w:fill="auto"/>
            <w:noWrap/>
            <w:hideMark/>
          </w:tcPr>
          <w:p w14:paraId="1B2B2A6F" w14:textId="4CC15FCE" w:rsidR="00BF1BF1" w:rsidRPr="00363DD6" w:rsidRDefault="00363DD6" w:rsidP="003D1CA1">
            <w:pPr>
              <w:jc w:val="center"/>
              <w:rPr>
                <w:rFonts w:asciiTheme="minorHAnsi" w:hAnsiTheme="minorHAnsi" w:cstheme="minorHAnsi"/>
                <w:sz w:val="18"/>
                <w:szCs w:val="18"/>
              </w:rPr>
            </w:pPr>
            <w:r w:rsidRPr="00363DD6">
              <w:rPr>
                <w:rFonts w:asciiTheme="minorHAnsi" w:hAnsiTheme="minorHAnsi" w:cstheme="minorHAnsi"/>
                <w:sz w:val="18"/>
                <w:szCs w:val="18"/>
              </w:rPr>
              <w:t>0</w:t>
            </w:r>
          </w:p>
        </w:tc>
        <w:tc>
          <w:tcPr>
            <w:tcW w:w="493" w:type="pct"/>
            <w:shd w:val="clear" w:color="auto" w:fill="auto"/>
            <w:noWrap/>
            <w:hideMark/>
          </w:tcPr>
          <w:p w14:paraId="62079939" w14:textId="318544E4" w:rsidR="00BF1BF1" w:rsidRPr="00363DD6" w:rsidRDefault="00363DD6" w:rsidP="003D1CA1">
            <w:pPr>
              <w:jc w:val="center"/>
              <w:rPr>
                <w:rFonts w:asciiTheme="minorHAnsi" w:hAnsiTheme="minorHAnsi" w:cstheme="minorHAnsi"/>
                <w:sz w:val="18"/>
                <w:szCs w:val="18"/>
              </w:rPr>
            </w:pPr>
            <w:r w:rsidRPr="00363DD6">
              <w:rPr>
                <w:rFonts w:asciiTheme="minorHAnsi" w:hAnsiTheme="minorHAnsi" w:cstheme="minorHAnsi"/>
                <w:sz w:val="18"/>
                <w:szCs w:val="18"/>
              </w:rPr>
              <w:t>0</w:t>
            </w:r>
          </w:p>
        </w:tc>
        <w:tc>
          <w:tcPr>
            <w:tcW w:w="533" w:type="pct"/>
            <w:shd w:val="clear" w:color="auto" w:fill="auto"/>
            <w:noWrap/>
            <w:hideMark/>
          </w:tcPr>
          <w:p w14:paraId="588E02B0" w14:textId="60B0BD9C" w:rsidR="00BF1BF1" w:rsidRPr="00363DD6" w:rsidRDefault="00363DD6" w:rsidP="003D1CA1">
            <w:pPr>
              <w:jc w:val="center"/>
              <w:rPr>
                <w:rFonts w:asciiTheme="minorHAnsi" w:hAnsiTheme="minorHAnsi" w:cstheme="minorHAnsi"/>
                <w:sz w:val="18"/>
                <w:szCs w:val="18"/>
              </w:rPr>
            </w:pPr>
            <w:r w:rsidRPr="00363DD6">
              <w:rPr>
                <w:rFonts w:asciiTheme="minorHAnsi" w:hAnsiTheme="minorHAnsi" w:cstheme="minorHAnsi"/>
                <w:sz w:val="18"/>
                <w:szCs w:val="18"/>
              </w:rPr>
              <w:t>0</w:t>
            </w:r>
          </w:p>
        </w:tc>
        <w:tc>
          <w:tcPr>
            <w:tcW w:w="390" w:type="pct"/>
            <w:shd w:val="clear" w:color="auto" w:fill="auto"/>
            <w:noWrap/>
            <w:hideMark/>
          </w:tcPr>
          <w:p w14:paraId="5B09F1C1" w14:textId="77670141" w:rsidR="00BF1BF1" w:rsidRPr="00363DD6" w:rsidRDefault="00363DD6" w:rsidP="003D1CA1">
            <w:pPr>
              <w:jc w:val="center"/>
              <w:rPr>
                <w:rFonts w:asciiTheme="minorHAnsi" w:hAnsiTheme="minorHAnsi" w:cstheme="minorHAnsi"/>
                <w:sz w:val="18"/>
                <w:szCs w:val="18"/>
              </w:rPr>
            </w:pPr>
            <w:r w:rsidRPr="00363DD6">
              <w:rPr>
                <w:rFonts w:asciiTheme="minorHAnsi" w:hAnsiTheme="minorHAnsi" w:cstheme="minorHAnsi"/>
                <w:sz w:val="18"/>
                <w:szCs w:val="18"/>
              </w:rPr>
              <w:t>0</w:t>
            </w:r>
          </w:p>
        </w:tc>
        <w:tc>
          <w:tcPr>
            <w:tcW w:w="651" w:type="pct"/>
            <w:tcBorders>
              <w:right w:val="single" w:sz="4" w:space="0" w:color="000000" w:themeColor="text1"/>
            </w:tcBorders>
            <w:shd w:val="clear" w:color="auto" w:fill="auto"/>
            <w:noWrap/>
            <w:hideMark/>
          </w:tcPr>
          <w:p w14:paraId="278C4E75" w14:textId="45A816EB" w:rsidR="00BF1BF1" w:rsidRPr="00363DD6" w:rsidRDefault="00363DD6" w:rsidP="003D1CA1">
            <w:pPr>
              <w:jc w:val="center"/>
              <w:rPr>
                <w:rFonts w:asciiTheme="minorHAnsi" w:hAnsiTheme="minorHAnsi" w:cstheme="minorHAnsi"/>
                <w:sz w:val="18"/>
                <w:szCs w:val="18"/>
              </w:rPr>
            </w:pPr>
            <w:r w:rsidRPr="00363DD6">
              <w:rPr>
                <w:rFonts w:asciiTheme="minorHAnsi" w:hAnsiTheme="minorHAnsi" w:cstheme="minorHAnsi"/>
                <w:sz w:val="18"/>
                <w:szCs w:val="18"/>
              </w:rPr>
              <w:t>-</w:t>
            </w:r>
          </w:p>
        </w:tc>
      </w:tr>
      <w:tr w:rsidR="00424871" w:rsidRPr="001D3C19" w14:paraId="7D759D94" w14:textId="77777777" w:rsidTr="00E33DDA">
        <w:trPr>
          <w:trHeight w:val="283"/>
        </w:trPr>
        <w:tc>
          <w:tcPr>
            <w:tcW w:w="967" w:type="pct"/>
            <w:tcBorders>
              <w:left w:val="single" w:sz="4" w:space="0" w:color="000000" w:themeColor="text1"/>
            </w:tcBorders>
            <w:shd w:val="clear" w:color="auto" w:fill="auto"/>
            <w:noWrap/>
            <w:hideMark/>
          </w:tcPr>
          <w:p w14:paraId="4BCB0103" w14:textId="77777777" w:rsidR="00BF1BF1" w:rsidRPr="001D3C19" w:rsidRDefault="00BF1BF1" w:rsidP="003D1CA1">
            <w:pPr>
              <w:rPr>
                <w:rFonts w:asciiTheme="minorHAnsi" w:hAnsiTheme="minorHAnsi" w:cstheme="minorHAnsi"/>
                <w:sz w:val="18"/>
                <w:szCs w:val="18"/>
              </w:rPr>
            </w:pPr>
            <w:r w:rsidRPr="001D3C19">
              <w:rPr>
                <w:rFonts w:asciiTheme="minorHAnsi" w:hAnsiTheme="minorHAnsi" w:cstheme="minorHAnsi"/>
                <w:sz w:val="18"/>
                <w:szCs w:val="18"/>
              </w:rPr>
              <w:t>Multi-Disorder Program</w:t>
            </w:r>
          </w:p>
        </w:tc>
        <w:tc>
          <w:tcPr>
            <w:tcW w:w="510" w:type="pct"/>
            <w:shd w:val="clear" w:color="auto" w:fill="auto"/>
            <w:noWrap/>
            <w:hideMark/>
          </w:tcPr>
          <w:p w14:paraId="45F2AE33" w14:textId="6124221F"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4</w:t>
            </w:r>
            <w:r w:rsidR="005329DD">
              <w:rPr>
                <w:rFonts w:asciiTheme="minorHAnsi" w:hAnsiTheme="minorHAnsi" w:cstheme="minorHAnsi"/>
                <w:sz w:val="18"/>
                <w:szCs w:val="18"/>
              </w:rPr>
              <w:t>,</w:t>
            </w:r>
            <w:r w:rsidRPr="001D3C19">
              <w:rPr>
                <w:rFonts w:asciiTheme="minorHAnsi" w:hAnsiTheme="minorHAnsi" w:cstheme="minorHAnsi"/>
                <w:sz w:val="18"/>
                <w:szCs w:val="18"/>
              </w:rPr>
              <w:t>235</w:t>
            </w:r>
          </w:p>
        </w:tc>
        <w:tc>
          <w:tcPr>
            <w:tcW w:w="512" w:type="pct"/>
            <w:shd w:val="clear" w:color="auto" w:fill="auto"/>
            <w:noWrap/>
            <w:hideMark/>
          </w:tcPr>
          <w:p w14:paraId="0A11B9C4" w14:textId="69CE9888"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1</w:t>
            </w:r>
            <w:r w:rsidR="005329DD">
              <w:rPr>
                <w:rFonts w:asciiTheme="minorHAnsi" w:hAnsiTheme="minorHAnsi" w:cstheme="minorHAnsi"/>
                <w:sz w:val="18"/>
                <w:szCs w:val="18"/>
              </w:rPr>
              <w:t>,</w:t>
            </w:r>
            <w:r w:rsidRPr="001D3C19">
              <w:rPr>
                <w:rFonts w:asciiTheme="minorHAnsi" w:hAnsiTheme="minorHAnsi" w:cstheme="minorHAnsi"/>
                <w:sz w:val="18"/>
                <w:szCs w:val="18"/>
              </w:rPr>
              <w:t>075</w:t>
            </w:r>
          </w:p>
        </w:tc>
        <w:tc>
          <w:tcPr>
            <w:tcW w:w="492" w:type="pct"/>
            <w:shd w:val="clear" w:color="auto" w:fill="auto"/>
            <w:noWrap/>
            <w:hideMark/>
          </w:tcPr>
          <w:p w14:paraId="65104282"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537</w:t>
            </w:r>
          </w:p>
        </w:tc>
        <w:tc>
          <w:tcPr>
            <w:tcW w:w="453" w:type="pct"/>
            <w:shd w:val="clear" w:color="auto" w:fill="auto"/>
            <w:noWrap/>
            <w:hideMark/>
          </w:tcPr>
          <w:p w14:paraId="3BD458CF"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195</w:t>
            </w:r>
          </w:p>
        </w:tc>
        <w:tc>
          <w:tcPr>
            <w:tcW w:w="493" w:type="pct"/>
            <w:shd w:val="clear" w:color="auto" w:fill="auto"/>
            <w:noWrap/>
            <w:hideMark/>
          </w:tcPr>
          <w:p w14:paraId="5C5FC009"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98</w:t>
            </w:r>
          </w:p>
        </w:tc>
        <w:tc>
          <w:tcPr>
            <w:tcW w:w="533" w:type="pct"/>
            <w:shd w:val="clear" w:color="auto" w:fill="auto"/>
            <w:noWrap/>
            <w:hideMark/>
          </w:tcPr>
          <w:p w14:paraId="6056F402"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67</w:t>
            </w:r>
          </w:p>
        </w:tc>
        <w:tc>
          <w:tcPr>
            <w:tcW w:w="390" w:type="pct"/>
            <w:shd w:val="clear" w:color="auto" w:fill="auto"/>
            <w:noWrap/>
            <w:hideMark/>
          </w:tcPr>
          <w:p w14:paraId="02DBC94C"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6</w:t>
            </w:r>
          </w:p>
        </w:tc>
        <w:tc>
          <w:tcPr>
            <w:tcW w:w="651" w:type="pct"/>
            <w:tcBorders>
              <w:right w:val="single" w:sz="4" w:space="0" w:color="000000" w:themeColor="text1"/>
            </w:tcBorders>
            <w:shd w:val="clear" w:color="auto" w:fill="auto"/>
            <w:noWrap/>
            <w:hideMark/>
          </w:tcPr>
          <w:p w14:paraId="44C6108C"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7.18</w:t>
            </w:r>
          </w:p>
        </w:tc>
      </w:tr>
      <w:tr w:rsidR="00424871" w:rsidRPr="001D3C19" w14:paraId="61C3BB37" w14:textId="77777777" w:rsidTr="00E33DDA">
        <w:trPr>
          <w:trHeight w:val="283"/>
        </w:trPr>
        <w:tc>
          <w:tcPr>
            <w:tcW w:w="967" w:type="pct"/>
            <w:tcBorders>
              <w:left w:val="single" w:sz="4" w:space="0" w:color="000000" w:themeColor="text1"/>
            </w:tcBorders>
            <w:shd w:val="clear" w:color="auto" w:fill="auto"/>
            <w:noWrap/>
            <w:hideMark/>
          </w:tcPr>
          <w:p w14:paraId="242B3BFD" w14:textId="77777777" w:rsidR="00BF1BF1" w:rsidRPr="001D3C19" w:rsidRDefault="00BF1BF1" w:rsidP="003D1CA1">
            <w:pPr>
              <w:rPr>
                <w:rFonts w:asciiTheme="minorHAnsi" w:hAnsiTheme="minorHAnsi" w:cstheme="minorHAnsi"/>
                <w:sz w:val="18"/>
                <w:szCs w:val="18"/>
              </w:rPr>
            </w:pPr>
            <w:r w:rsidRPr="001D3C19">
              <w:rPr>
                <w:rFonts w:asciiTheme="minorHAnsi" w:hAnsiTheme="minorHAnsi" w:cstheme="minorHAnsi"/>
                <w:sz w:val="18"/>
                <w:szCs w:val="18"/>
              </w:rPr>
              <w:t>OCD Stop!</w:t>
            </w:r>
          </w:p>
        </w:tc>
        <w:tc>
          <w:tcPr>
            <w:tcW w:w="510" w:type="pct"/>
            <w:shd w:val="clear" w:color="auto" w:fill="auto"/>
            <w:noWrap/>
            <w:hideMark/>
          </w:tcPr>
          <w:p w14:paraId="29A93141" w14:textId="423DF43A"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1</w:t>
            </w:r>
            <w:r w:rsidR="005329DD">
              <w:rPr>
                <w:rFonts w:asciiTheme="minorHAnsi" w:hAnsiTheme="minorHAnsi" w:cstheme="minorHAnsi"/>
                <w:sz w:val="18"/>
                <w:szCs w:val="18"/>
              </w:rPr>
              <w:t>,</w:t>
            </w:r>
            <w:r w:rsidRPr="001D3C19">
              <w:rPr>
                <w:rFonts w:asciiTheme="minorHAnsi" w:hAnsiTheme="minorHAnsi" w:cstheme="minorHAnsi"/>
                <w:sz w:val="18"/>
                <w:szCs w:val="18"/>
              </w:rPr>
              <w:t>815</w:t>
            </w:r>
          </w:p>
        </w:tc>
        <w:tc>
          <w:tcPr>
            <w:tcW w:w="512" w:type="pct"/>
            <w:shd w:val="clear" w:color="auto" w:fill="auto"/>
            <w:noWrap/>
            <w:hideMark/>
          </w:tcPr>
          <w:p w14:paraId="5AD34402"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905</w:t>
            </w:r>
          </w:p>
        </w:tc>
        <w:tc>
          <w:tcPr>
            <w:tcW w:w="492" w:type="pct"/>
            <w:shd w:val="clear" w:color="auto" w:fill="auto"/>
            <w:noWrap/>
            <w:hideMark/>
          </w:tcPr>
          <w:p w14:paraId="75E4DFCF"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201</w:t>
            </w:r>
          </w:p>
        </w:tc>
        <w:tc>
          <w:tcPr>
            <w:tcW w:w="453" w:type="pct"/>
            <w:shd w:val="clear" w:color="auto" w:fill="auto"/>
            <w:noWrap/>
            <w:hideMark/>
          </w:tcPr>
          <w:p w14:paraId="686AF54B"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108</w:t>
            </w:r>
          </w:p>
        </w:tc>
        <w:tc>
          <w:tcPr>
            <w:tcW w:w="493" w:type="pct"/>
            <w:shd w:val="clear" w:color="auto" w:fill="auto"/>
            <w:noWrap/>
            <w:hideMark/>
          </w:tcPr>
          <w:p w14:paraId="6A512A11"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44</w:t>
            </w:r>
          </w:p>
        </w:tc>
        <w:tc>
          <w:tcPr>
            <w:tcW w:w="533" w:type="pct"/>
            <w:shd w:val="clear" w:color="auto" w:fill="auto"/>
            <w:noWrap/>
            <w:hideMark/>
          </w:tcPr>
          <w:p w14:paraId="46C7B6A0"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25</w:t>
            </w:r>
          </w:p>
        </w:tc>
        <w:tc>
          <w:tcPr>
            <w:tcW w:w="390" w:type="pct"/>
            <w:shd w:val="clear" w:color="auto" w:fill="auto"/>
            <w:noWrap/>
            <w:hideMark/>
          </w:tcPr>
          <w:p w14:paraId="76B5F9E7"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3</w:t>
            </w:r>
          </w:p>
        </w:tc>
        <w:tc>
          <w:tcPr>
            <w:tcW w:w="651" w:type="pct"/>
            <w:tcBorders>
              <w:right w:val="single" w:sz="4" w:space="0" w:color="000000" w:themeColor="text1"/>
            </w:tcBorders>
            <w:shd w:val="clear" w:color="auto" w:fill="auto"/>
            <w:noWrap/>
            <w:hideMark/>
          </w:tcPr>
          <w:p w14:paraId="3E4114B2"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7.86</w:t>
            </w:r>
          </w:p>
        </w:tc>
      </w:tr>
      <w:tr w:rsidR="00424871" w:rsidRPr="001D3C19" w14:paraId="05D6DF7F" w14:textId="77777777" w:rsidTr="00E33DDA">
        <w:trPr>
          <w:trHeight w:val="283"/>
        </w:trPr>
        <w:tc>
          <w:tcPr>
            <w:tcW w:w="967" w:type="pct"/>
            <w:tcBorders>
              <w:left w:val="single" w:sz="4" w:space="0" w:color="000000" w:themeColor="text1"/>
            </w:tcBorders>
            <w:shd w:val="clear" w:color="auto" w:fill="auto"/>
            <w:noWrap/>
            <w:hideMark/>
          </w:tcPr>
          <w:p w14:paraId="2CF222EB" w14:textId="77777777" w:rsidR="00BF1BF1" w:rsidRPr="001D3C19" w:rsidRDefault="00BF1BF1" w:rsidP="003D1CA1">
            <w:pPr>
              <w:rPr>
                <w:rFonts w:asciiTheme="minorHAnsi" w:hAnsiTheme="minorHAnsi" w:cstheme="minorHAnsi"/>
                <w:sz w:val="18"/>
                <w:szCs w:val="18"/>
              </w:rPr>
            </w:pPr>
            <w:r w:rsidRPr="001D3C19">
              <w:rPr>
                <w:rFonts w:asciiTheme="minorHAnsi" w:hAnsiTheme="minorHAnsi" w:cstheme="minorHAnsi"/>
                <w:sz w:val="18"/>
                <w:szCs w:val="18"/>
              </w:rPr>
              <w:t>Panic Stop!</w:t>
            </w:r>
          </w:p>
        </w:tc>
        <w:tc>
          <w:tcPr>
            <w:tcW w:w="510" w:type="pct"/>
            <w:shd w:val="clear" w:color="auto" w:fill="auto"/>
            <w:noWrap/>
            <w:hideMark/>
          </w:tcPr>
          <w:p w14:paraId="60326776"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770</w:t>
            </w:r>
          </w:p>
        </w:tc>
        <w:tc>
          <w:tcPr>
            <w:tcW w:w="512" w:type="pct"/>
            <w:shd w:val="clear" w:color="auto" w:fill="auto"/>
            <w:noWrap/>
            <w:hideMark/>
          </w:tcPr>
          <w:p w14:paraId="08B80EC2"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606</w:t>
            </w:r>
          </w:p>
        </w:tc>
        <w:tc>
          <w:tcPr>
            <w:tcW w:w="492" w:type="pct"/>
            <w:shd w:val="clear" w:color="auto" w:fill="auto"/>
            <w:noWrap/>
            <w:hideMark/>
          </w:tcPr>
          <w:p w14:paraId="181AE9BE"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118</w:t>
            </w:r>
          </w:p>
        </w:tc>
        <w:tc>
          <w:tcPr>
            <w:tcW w:w="453" w:type="pct"/>
            <w:shd w:val="clear" w:color="auto" w:fill="auto"/>
            <w:noWrap/>
            <w:hideMark/>
          </w:tcPr>
          <w:p w14:paraId="5B85D984"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65</w:t>
            </w:r>
          </w:p>
        </w:tc>
        <w:tc>
          <w:tcPr>
            <w:tcW w:w="493" w:type="pct"/>
            <w:shd w:val="clear" w:color="auto" w:fill="auto"/>
            <w:noWrap/>
            <w:hideMark/>
          </w:tcPr>
          <w:p w14:paraId="38F67F56"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28</w:t>
            </w:r>
          </w:p>
        </w:tc>
        <w:tc>
          <w:tcPr>
            <w:tcW w:w="533" w:type="pct"/>
            <w:shd w:val="clear" w:color="auto" w:fill="auto"/>
            <w:noWrap/>
            <w:hideMark/>
          </w:tcPr>
          <w:p w14:paraId="637FCCAC"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21</w:t>
            </w:r>
          </w:p>
        </w:tc>
        <w:tc>
          <w:tcPr>
            <w:tcW w:w="390" w:type="pct"/>
            <w:shd w:val="clear" w:color="auto" w:fill="auto"/>
            <w:noWrap/>
            <w:hideMark/>
          </w:tcPr>
          <w:p w14:paraId="38DBD8CC"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3</w:t>
            </w:r>
          </w:p>
        </w:tc>
        <w:tc>
          <w:tcPr>
            <w:tcW w:w="651" w:type="pct"/>
            <w:tcBorders>
              <w:right w:val="single" w:sz="4" w:space="0" w:color="000000" w:themeColor="text1"/>
            </w:tcBorders>
            <w:shd w:val="clear" w:color="auto" w:fill="auto"/>
            <w:noWrap/>
            <w:hideMark/>
          </w:tcPr>
          <w:p w14:paraId="6518DCAE"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6.82</w:t>
            </w:r>
          </w:p>
        </w:tc>
      </w:tr>
      <w:tr w:rsidR="00424871" w:rsidRPr="001D3C19" w14:paraId="07C46E92" w14:textId="77777777" w:rsidTr="00E33DDA">
        <w:trPr>
          <w:trHeight w:val="283"/>
        </w:trPr>
        <w:tc>
          <w:tcPr>
            <w:tcW w:w="967" w:type="pct"/>
            <w:tcBorders>
              <w:left w:val="single" w:sz="4" w:space="0" w:color="000000" w:themeColor="text1"/>
            </w:tcBorders>
            <w:shd w:val="clear" w:color="auto" w:fill="auto"/>
            <w:noWrap/>
            <w:hideMark/>
          </w:tcPr>
          <w:p w14:paraId="1F48CE46" w14:textId="77777777" w:rsidR="00BF1BF1" w:rsidRPr="001D3C19" w:rsidRDefault="00BF1BF1" w:rsidP="003D1CA1">
            <w:pPr>
              <w:rPr>
                <w:rFonts w:asciiTheme="minorHAnsi" w:hAnsiTheme="minorHAnsi" w:cstheme="minorHAnsi"/>
                <w:sz w:val="18"/>
                <w:szCs w:val="18"/>
              </w:rPr>
            </w:pPr>
            <w:r w:rsidRPr="001D3C19">
              <w:rPr>
                <w:rFonts w:asciiTheme="minorHAnsi" w:hAnsiTheme="minorHAnsi" w:cstheme="minorHAnsi"/>
                <w:sz w:val="18"/>
                <w:szCs w:val="18"/>
              </w:rPr>
              <w:t>PTSD Online</w:t>
            </w:r>
          </w:p>
        </w:tc>
        <w:tc>
          <w:tcPr>
            <w:tcW w:w="510" w:type="pct"/>
            <w:shd w:val="clear" w:color="auto" w:fill="auto"/>
            <w:noWrap/>
            <w:hideMark/>
          </w:tcPr>
          <w:p w14:paraId="471E23AE" w14:textId="5DCF1D4D"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1</w:t>
            </w:r>
            <w:r w:rsidR="005329DD">
              <w:rPr>
                <w:rFonts w:asciiTheme="minorHAnsi" w:hAnsiTheme="minorHAnsi" w:cstheme="minorHAnsi"/>
                <w:sz w:val="18"/>
                <w:szCs w:val="18"/>
              </w:rPr>
              <w:t>,</w:t>
            </w:r>
            <w:r w:rsidRPr="001D3C19">
              <w:rPr>
                <w:rFonts w:asciiTheme="minorHAnsi" w:hAnsiTheme="minorHAnsi" w:cstheme="minorHAnsi"/>
                <w:sz w:val="18"/>
                <w:szCs w:val="18"/>
              </w:rPr>
              <w:t>186</w:t>
            </w:r>
          </w:p>
        </w:tc>
        <w:tc>
          <w:tcPr>
            <w:tcW w:w="512" w:type="pct"/>
            <w:shd w:val="clear" w:color="auto" w:fill="auto"/>
            <w:noWrap/>
            <w:hideMark/>
          </w:tcPr>
          <w:p w14:paraId="6A4B924A"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896</w:t>
            </w:r>
          </w:p>
        </w:tc>
        <w:tc>
          <w:tcPr>
            <w:tcW w:w="492" w:type="pct"/>
            <w:shd w:val="clear" w:color="auto" w:fill="auto"/>
            <w:noWrap/>
            <w:hideMark/>
          </w:tcPr>
          <w:p w14:paraId="7038170B"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217</w:t>
            </w:r>
          </w:p>
        </w:tc>
        <w:tc>
          <w:tcPr>
            <w:tcW w:w="453" w:type="pct"/>
            <w:shd w:val="clear" w:color="auto" w:fill="auto"/>
            <w:noWrap/>
            <w:hideMark/>
          </w:tcPr>
          <w:p w14:paraId="32D8EBFF"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83</w:t>
            </w:r>
          </w:p>
        </w:tc>
        <w:tc>
          <w:tcPr>
            <w:tcW w:w="493" w:type="pct"/>
            <w:shd w:val="clear" w:color="auto" w:fill="auto"/>
            <w:noWrap/>
            <w:hideMark/>
          </w:tcPr>
          <w:p w14:paraId="46E257CC"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31</w:t>
            </w:r>
          </w:p>
        </w:tc>
        <w:tc>
          <w:tcPr>
            <w:tcW w:w="533" w:type="pct"/>
            <w:shd w:val="clear" w:color="auto" w:fill="auto"/>
            <w:noWrap/>
            <w:hideMark/>
          </w:tcPr>
          <w:p w14:paraId="744F15DB"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34</w:t>
            </w:r>
          </w:p>
        </w:tc>
        <w:tc>
          <w:tcPr>
            <w:tcW w:w="390" w:type="pct"/>
            <w:shd w:val="clear" w:color="auto" w:fill="auto"/>
            <w:noWrap/>
            <w:hideMark/>
          </w:tcPr>
          <w:p w14:paraId="19067037"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5</w:t>
            </w:r>
          </w:p>
        </w:tc>
        <w:tc>
          <w:tcPr>
            <w:tcW w:w="651" w:type="pct"/>
            <w:tcBorders>
              <w:right w:val="single" w:sz="4" w:space="0" w:color="000000" w:themeColor="text1"/>
            </w:tcBorders>
            <w:shd w:val="clear" w:color="auto" w:fill="auto"/>
            <w:noWrap/>
            <w:hideMark/>
          </w:tcPr>
          <w:p w14:paraId="270BB8FC"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6.11</w:t>
            </w:r>
          </w:p>
        </w:tc>
      </w:tr>
      <w:tr w:rsidR="00424871" w:rsidRPr="001D3C19" w14:paraId="102BC5E3" w14:textId="77777777" w:rsidTr="00E33DDA">
        <w:trPr>
          <w:trHeight w:val="283"/>
        </w:trPr>
        <w:tc>
          <w:tcPr>
            <w:tcW w:w="967" w:type="pct"/>
            <w:tcBorders>
              <w:left w:val="single" w:sz="4" w:space="0" w:color="000000" w:themeColor="text1"/>
            </w:tcBorders>
            <w:shd w:val="clear" w:color="auto" w:fill="auto"/>
            <w:noWrap/>
            <w:hideMark/>
          </w:tcPr>
          <w:p w14:paraId="15D29469" w14:textId="77777777" w:rsidR="00BF1BF1" w:rsidRPr="001D3C19" w:rsidRDefault="00BF1BF1" w:rsidP="003D1CA1">
            <w:pPr>
              <w:rPr>
                <w:rFonts w:asciiTheme="minorHAnsi" w:hAnsiTheme="minorHAnsi" w:cstheme="minorHAnsi"/>
                <w:sz w:val="18"/>
                <w:szCs w:val="18"/>
              </w:rPr>
            </w:pPr>
            <w:r w:rsidRPr="001D3C19">
              <w:rPr>
                <w:rFonts w:asciiTheme="minorHAnsi" w:hAnsiTheme="minorHAnsi" w:cstheme="minorHAnsi"/>
                <w:sz w:val="18"/>
                <w:szCs w:val="18"/>
              </w:rPr>
              <w:t>SAD Online</w:t>
            </w:r>
          </w:p>
        </w:tc>
        <w:tc>
          <w:tcPr>
            <w:tcW w:w="510" w:type="pct"/>
            <w:shd w:val="clear" w:color="auto" w:fill="auto"/>
            <w:noWrap/>
            <w:hideMark/>
          </w:tcPr>
          <w:p w14:paraId="4A942A8E" w14:textId="6DA3F0B5"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1</w:t>
            </w:r>
            <w:r w:rsidR="005329DD">
              <w:rPr>
                <w:rFonts w:asciiTheme="minorHAnsi" w:hAnsiTheme="minorHAnsi" w:cstheme="minorHAnsi"/>
                <w:sz w:val="18"/>
                <w:szCs w:val="18"/>
              </w:rPr>
              <w:t>,</w:t>
            </w:r>
            <w:r w:rsidRPr="001D3C19">
              <w:rPr>
                <w:rFonts w:asciiTheme="minorHAnsi" w:hAnsiTheme="minorHAnsi" w:cstheme="minorHAnsi"/>
                <w:sz w:val="18"/>
                <w:szCs w:val="18"/>
              </w:rPr>
              <w:t>713</w:t>
            </w:r>
          </w:p>
        </w:tc>
        <w:tc>
          <w:tcPr>
            <w:tcW w:w="512" w:type="pct"/>
            <w:shd w:val="clear" w:color="auto" w:fill="auto"/>
            <w:noWrap/>
            <w:hideMark/>
          </w:tcPr>
          <w:p w14:paraId="31315C15" w14:textId="1D0F2A18"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1</w:t>
            </w:r>
            <w:r w:rsidR="005329DD">
              <w:rPr>
                <w:rFonts w:asciiTheme="minorHAnsi" w:hAnsiTheme="minorHAnsi" w:cstheme="minorHAnsi"/>
                <w:sz w:val="18"/>
                <w:szCs w:val="18"/>
              </w:rPr>
              <w:t>,</w:t>
            </w:r>
            <w:r w:rsidRPr="001D3C19">
              <w:rPr>
                <w:rFonts w:asciiTheme="minorHAnsi" w:hAnsiTheme="minorHAnsi" w:cstheme="minorHAnsi"/>
                <w:sz w:val="18"/>
                <w:szCs w:val="18"/>
              </w:rPr>
              <w:t>368</w:t>
            </w:r>
          </w:p>
        </w:tc>
        <w:tc>
          <w:tcPr>
            <w:tcW w:w="492" w:type="pct"/>
            <w:shd w:val="clear" w:color="auto" w:fill="auto"/>
            <w:noWrap/>
            <w:hideMark/>
          </w:tcPr>
          <w:p w14:paraId="4DA66AF1"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228</w:t>
            </w:r>
          </w:p>
        </w:tc>
        <w:tc>
          <w:tcPr>
            <w:tcW w:w="453" w:type="pct"/>
            <w:shd w:val="clear" w:color="auto" w:fill="auto"/>
            <w:noWrap/>
            <w:hideMark/>
          </w:tcPr>
          <w:p w14:paraId="04618D2D"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87</w:t>
            </w:r>
          </w:p>
        </w:tc>
        <w:tc>
          <w:tcPr>
            <w:tcW w:w="493" w:type="pct"/>
            <w:shd w:val="clear" w:color="auto" w:fill="auto"/>
            <w:noWrap/>
            <w:hideMark/>
          </w:tcPr>
          <w:p w14:paraId="2D71A0DC"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33</w:t>
            </w:r>
          </w:p>
        </w:tc>
        <w:tc>
          <w:tcPr>
            <w:tcW w:w="533" w:type="pct"/>
            <w:shd w:val="clear" w:color="auto" w:fill="auto"/>
            <w:noWrap/>
            <w:hideMark/>
          </w:tcPr>
          <w:p w14:paraId="7B34E385"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24</w:t>
            </w:r>
          </w:p>
        </w:tc>
        <w:tc>
          <w:tcPr>
            <w:tcW w:w="390" w:type="pct"/>
            <w:shd w:val="clear" w:color="auto" w:fill="auto"/>
            <w:noWrap/>
            <w:hideMark/>
          </w:tcPr>
          <w:p w14:paraId="37097016"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6</w:t>
            </w:r>
          </w:p>
        </w:tc>
        <w:tc>
          <w:tcPr>
            <w:tcW w:w="651" w:type="pct"/>
            <w:tcBorders>
              <w:right w:val="single" w:sz="4" w:space="0" w:color="000000" w:themeColor="text1"/>
            </w:tcBorders>
            <w:shd w:val="clear" w:color="auto" w:fill="auto"/>
            <w:noWrap/>
            <w:hideMark/>
          </w:tcPr>
          <w:p w14:paraId="001DBEC2"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7.33</w:t>
            </w:r>
          </w:p>
        </w:tc>
      </w:tr>
      <w:tr w:rsidR="00424871" w:rsidRPr="001D3C19" w14:paraId="6C3C1C4D" w14:textId="77777777" w:rsidTr="00E33DDA">
        <w:trPr>
          <w:trHeight w:val="283"/>
        </w:trPr>
        <w:tc>
          <w:tcPr>
            <w:tcW w:w="967" w:type="pct"/>
            <w:tcBorders>
              <w:left w:val="single" w:sz="4" w:space="0" w:color="000000" w:themeColor="text1"/>
            </w:tcBorders>
            <w:shd w:val="clear" w:color="auto" w:fill="auto"/>
            <w:noWrap/>
            <w:hideMark/>
          </w:tcPr>
          <w:p w14:paraId="7A534BC9" w14:textId="77777777" w:rsidR="00BF1BF1" w:rsidRPr="001D3C19" w:rsidRDefault="00BF1BF1" w:rsidP="003D1CA1">
            <w:pPr>
              <w:rPr>
                <w:rFonts w:asciiTheme="minorHAnsi" w:hAnsiTheme="minorHAnsi" w:cstheme="minorHAnsi"/>
                <w:sz w:val="18"/>
                <w:szCs w:val="18"/>
              </w:rPr>
            </w:pPr>
            <w:r w:rsidRPr="001D3C19">
              <w:rPr>
                <w:rFonts w:asciiTheme="minorHAnsi" w:hAnsiTheme="minorHAnsi" w:cstheme="minorHAnsi"/>
                <w:sz w:val="18"/>
                <w:szCs w:val="18"/>
              </w:rPr>
              <w:t>Sleep-e!</w:t>
            </w:r>
          </w:p>
        </w:tc>
        <w:tc>
          <w:tcPr>
            <w:tcW w:w="510" w:type="pct"/>
            <w:shd w:val="clear" w:color="auto" w:fill="auto"/>
            <w:noWrap/>
            <w:hideMark/>
          </w:tcPr>
          <w:p w14:paraId="688F60AC"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58</w:t>
            </w:r>
          </w:p>
        </w:tc>
        <w:tc>
          <w:tcPr>
            <w:tcW w:w="512" w:type="pct"/>
            <w:shd w:val="clear" w:color="auto" w:fill="auto"/>
            <w:noWrap/>
            <w:hideMark/>
          </w:tcPr>
          <w:p w14:paraId="5F7CA63C"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23</w:t>
            </w:r>
          </w:p>
        </w:tc>
        <w:tc>
          <w:tcPr>
            <w:tcW w:w="492" w:type="pct"/>
            <w:shd w:val="clear" w:color="auto" w:fill="auto"/>
            <w:noWrap/>
            <w:hideMark/>
          </w:tcPr>
          <w:p w14:paraId="4C024063"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1</w:t>
            </w:r>
          </w:p>
        </w:tc>
        <w:tc>
          <w:tcPr>
            <w:tcW w:w="453" w:type="pct"/>
            <w:shd w:val="clear" w:color="auto" w:fill="auto"/>
            <w:noWrap/>
            <w:hideMark/>
          </w:tcPr>
          <w:p w14:paraId="0D6CE1B9"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1</w:t>
            </w:r>
          </w:p>
        </w:tc>
        <w:tc>
          <w:tcPr>
            <w:tcW w:w="493" w:type="pct"/>
            <w:shd w:val="clear" w:color="auto" w:fill="auto"/>
            <w:noWrap/>
            <w:hideMark/>
          </w:tcPr>
          <w:p w14:paraId="251C1BD3"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1</w:t>
            </w:r>
          </w:p>
        </w:tc>
        <w:tc>
          <w:tcPr>
            <w:tcW w:w="533" w:type="pct"/>
            <w:shd w:val="clear" w:color="auto" w:fill="auto"/>
            <w:noWrap/>
            <w:hideMark/>
          </w:tcPr>
          <w:p w14:paraId="4264282C" w14:textId="4154C7EE" w:rsidR="00BF1BF1" w:rsidRPr="001D3C19" w:rsidRDefault="00BF1BF1" w:rsidP="003D1CA1">
            <w:pPr>
              <w:jc w:val="center"/>
              <w:rPr>
                <w:rFonts w:asciiTheme="minorHAnsi" w:hAnsiTheme="minorHAnsi" w:cstheme="minorHAnsi"/>
                <w:sz w:val="18"/>
                <w:szCs w:val="18"/>
              </w:rPr>
            </w:pPr>
          </w:p>
        </w:tc>
        <w:tc>
          <w:tcPr>
            <w:tcW w:w="390" w:type="pct"/>
            <w:shd w:val="clear" w:color="auto" w:fill="auto"/>
            <w:noWrap/>
            <w:hideMark/>
          </w:tcPr>
          <w:p w14:paraId="1765F482" w14:textId="6C86D721" w:rsidR="00BF1BF1" w:rsidRPr="001D3C19" w:rsidRDefault="00BF1BF1" w:rsidP="003D1CA1">
            <w:pPr>
              <w:jc w:val="center"/>
              <w:rPr>
                <w:rFonts w:asciiTheme="minorHAnsi" w:hAnsiTheme="minorHAnsi" w:cstheme="minorHAnsi"/>
                <w:sz w:val="18"/>
                <w:szCs w:val="18"/>
              </w:rPr>
            </w:pPr>
          </w:p>
        </w:tc>
        <w:tc>
          <w:tcPr>
            <w:tcW w:w="651" w:type="pct"/>
            <w:tcBorders>
              <w:right w:val="single" w:sz="4" w:space="0" w:color="000000" w:themeColor="text1"/>
            </w:tcBorders>
            <w:shd w:val="clear" w:color="auto" w:fill="auto"/>
            <w:noWrap/>
            <w:hideMark/>
          </w:tcPr>
          <w:p w14:paraId="3D61CE82"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12.00</w:t>
            </w:r>
          </w:p>
        </w:tc>
      </w:tr>
      <w:tr w:rsidR="00424871" w:rsidRPr="001D3C19" w14:paraId="05237F67" w14:textId="77777777" w:rsidTr="00E33DDA">
        <w:trPr>
          <w:trHeight w:val="283"/>
        </w:trPr>
        <w:tc>
          <w:tcPr>
            <w:tcW w:w="967" w:type="pct"/>
            <w:tcBorders>
              <w:left w:val="single" w:sz="4" w:space="0" w:color="000000" w:themeColor="text1"/>
            </w:tcBorders>
            <w:shd w:val="clear" w:color="auto" w:fill="auto"/>
            <w:noWrap/>
            <w:hideMark/>
          </w:tcPr>
          <w:p w14:paraId="5916B653" w14:textId="52A1EFEE" w:rsidR="00BF1BF1" w:rsidRPr="001D3C19" w:rsidRDefault="00BF1BF1" w:rsidP="003D1CA1">
            <w:pPr>
              <w:rPr>
                <w:rFonts w:asciiTheme="minorHAnsi" w:hAnsiTheme="minorHAnsi" w:cstheme="minorHAnsi"/>
                <w:sz w:val="18"/>
                <w:szCs w:val="18"/>
              </w:rPr>
            </w:pPr>
            <w:r w:rsidRPr="001D3C19">
              <w:rPr>
                <w:rFonts w:asciiTheme="minorHAnsi" w:hAnsiTheme="minorHAnsi" w:cstheme="minorHAnsi"/>
                <w:sz w:val="18"/>
                <w:szCs w:val="18"/>
              </w:rPr>
              <w:t xml:space="preserve">No </w:t>
            </w:r>
            <w:r w:rsidR="00AF4D88" w:rsidRPr="001D3C19">
              <w:rPr>
                <w:rFonts w:asciiTheme="minorHAnsi" w:hAnsiTheme="minorHAnsi" w:cstheme="minorHAnsi"/>
                <w:sz w:val="18"/>
                <w:szCs w:val="18"/>
              </w:rPr>
              <w:t>p</w:t>
            </w:r>
            <w:r w:rsidRPr="001D3C19">
              <w:rPr>
                <w:rFonts w:asciiTheme="minorHAnsi" w:hAnsiTheme="minorHAnsi" w:cstheme="minorHAnsi"/>
                <w:sz w:val="18"/>
                <w:szCs w:val="18"/>
              </w:rPr>
              <w:t xml:space="preserve">rogram </w:t>
            </w:r>
          </w:p>
        </w:tc>
        <w:tc>
          <w:tcPr>
            <w:tcW w:w="510" w:type="pct"/>
            <w:shd w:val="clear" w:color="auto" w:fill="auto"/>
            <w:noWrap/>
            <w:hideMark/>
          </w:tcPr>
          <w:p w14:paraId="575D6DD6" w14:textId="5629EB52"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46</w:t>
            </w:r>
            <w:r w:rsidR="005329DD">
              <w:rPr>
                <w:rFonts w:asciiTheme="minorHAnsi" w:hAnsiTheme="minorHAnsi" w:cstheme="minorHAnsi"/>
                <w:sz w:val="18"/>
                <w:szCs w:val="18"/>
              </w:rPr>
              <w:t>,</w:t>
            </w:r>
            <w:r w:rsidRPr="001D3C19">
              <w:rPr>
                <w:rFonts w:asciiTheme="minorHAnsi" w:hAnsiTheme="minorHAnsi" w:cstheme="minorHAnsi"/>
                <w:sz w:val="18"/>
                <w:szCs w:val="18"/>
              </w:rPr>
              <w:t>909</w:t>
            </w:r>
          </w:p>
        </w:tc>
        <w:tc>
          <w:tcPr>
            <w:tcW w:w="512" w:type="pct"/>
            <w:shd w:val="clear" w:color="auto" w:fill="auto"/>
            <w:noWrap/>
            <w:hideMark/>
          </w:tcPr>
          <w:p w14:paraId="364B82DC" w14:textId="213583D4"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12</w:t>
            </w:r>
            <w:r w:rsidR="005329DD">
              <w:rPr>
                <w:rFonts w:asciiTheme="minorHAnsi" w:hAnsiTheme="minorHAnsi" w:cstheme="minorHAnsi"/>
                <w:sz w:val="18"/>
                <w:szCs w:val="18"/>
              </w:rPr>
              <w:t>,</w:t>
            </w:r>
            <w:r w:rsidRPr="001D3C19">
              <w:rPr>
                <w:rFonts w:asciiTheme="minorHAnsi" w:hAnsiTheme="minorHAnsi" w:cstheme="minorHAnsi"/>
                <w:sz w:val="18"/>
                <w:szCs w:val="18"/>
              </w:rPr>
              <w:t>973</w:t>
            </w:r>
          </w:p>
        </w:tc>
        <w:tc>
          <w:tcPr>
            <w:tcW w:w="492" w:type="pct"/>
            <w:shd w:val="clear" w:color="auto" w:fill="auto"/>
            <w:noWrap/>
            <w:hideMark/>
          </w:tcPr>
          <w:p w14:paraId="09E7FCC7"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0</w:t>
            </w:r>
          </w:p>
        </w:tc>
        <w:tc>
          <w:tcPr>
            <w:tcW w:w="453" w:type="pct"/>
            <w:shd w:val="clear" w:color="auto" w:fill="auto"/>
            <w:noWrap/>
            <w:hideMark/>
          </w:tcPr>
          <w:p w14:paraId="23D92361"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0</w:t>
            </w:r>
          </w:p>
        </w:tc>
        <w:tc>
          <w:tcPr>
            <w:tcW w:w="493" w:type="pct"/>
            <w:shd w:val="clear" w:color="auto" w:fill="auto"/>
            <w:noWrap/>
            <w:hideMark/>
          </w:tcPr>
          <w:p w14:paraId="5C2F05D8" w14:textId="53424587" w:rsidR="00BF1BF1" w:rsidRPr="001D3C19" w:rsidRDefault="00363DD6" w:rsidP="003D1CA1">
            <w:pPr>
              <w:jc w:val="center"/>
              <w:rPr>
                <w:rFonts w:asciiTheme="minorHAnsi" w:hAnsiTheme="minorHAnsi" w:cstheme="minorHAnsi"/>
                <w:sz w:val="18"/>
                <w:szCs w:val="18"/>
              </w:rPr>
            </w:pPr>
            <w:r>
              <w:rPr>
                <w:rFonts w:asciiTheme="minorHAnsi" w:hAnsiTheme="minorHAnsi" w:cstheme="minorHAnsi"/>
                <w:sz w:val="18"/>
                <w:szCs w:val="18"/>
              </w:rPr>
              <w:t>0</w:t>
            </w:r>
          </w:p>
        </w:tc>
        <w:tc>
          <w:tcPr>
            <w:tcW w:w="533" w:type="pct"/>
            <w:shd w:val="clear" w:color="auto" w:fill="auto"/>
            <w:noWrap/>
            <w:hideMark/>
          </w:tcPr>
          <w:p w14:paraId="130025DC"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0</w:t>
            </w:r>
          </w:p>
        </w:tc>
        <w:tc>
          <w:tcPr>
            <w:tcW w:w="390" w:type="pct"/>
            <w:shd w:val="clear" w:color="auto" w:fill="auto"/>
            <w:noWrap/>
            <w:hideMark/>
          </w:tcPr>
          <w:p w14:paraId="07B91C1A" w14:textId="30722908" w:rsidR="00BF1BF1" w:rsidRPr="001D3C19" w:rsidRDefault="00363DD6" w:rsidP="003D1CA1">
            <w:pPr>
              <w:jc w:val="center"/>
              <w:rPr>
                <w:rFonts w:asciiTheme="minorHAnsi" w:hAnsiTheme="minorHAnsi" w:cstheme="minorHAnsi"/>
                <w:sz w:val="18"/>
                <w:szCs w:val="18"/>
              </w:rPr>
            </w:pPr>
            <w:r>
              <w:rPr>
                <w:rFonts w:asciiTheme="minorHAnsi" w:hAnsiTheme="minorHAnsi" w:cstheme="minorHAnsi"/>
                <w:sz w:val="18"/>
                <w:szCs w:val="18"/>
              </w:rPr>
              <w:t>0</w:t>
            </w:r>
          </w:p>
        </w:tc>
        <w:tc>
          <w:tcPr>
            <w:tcW w:w="651" w:type="pct"/>
            <w:tcBorders>
              <w:right w:val="single" w:sz="4" w:space="0" w:color="000000" w:themeColor="text1"/>
            </w:tcBorders>
            <w:shd w:val="clear" w:color="auto" w:fill="auto"/>
            <w:noWrap/>
            <w:hideMark/>
          </w:tcPr>
          <w:p w14:paraId="6377C73E" w14:textId="5C841C65" w:rsidR="00BF1BF1" w:rsidRPr="001D3C19" w:rsidRDefault="00363DD6" w:rsidP="003D1CA1">
            <w:pPr>
              <w:jc w:val="center"/>
              <w:rPr>
                <w:rFonts w:asciiTheme="minorHAnsi" w:hAnsiTheme="minorHAnsi" w:cstheme="minorHAnsi"/>
                <w:sz w:val="18"/>
                <w:szCs w:val="18"/>
              </w:rPr>
            </w:pPr>
            <w:r>
              <w:rPr>
                <w:rFonts w:asciiTheme="minorHAnsi" w:hAnsiTheme="minorHAnsi" w:cstheme="minorHAnsi"/>
                <w:sz w:val="18"/>
                <w:szCs w:val="18"/>
              </w:rPr>
              <w:t>-</w:t>
            </w:r>
          </w:p>
        </w:tc>
      </w:tr>
      <w:tr w:rsidR="00753975" w:rsidRPr="001D3C19" w14:paraId="7D51F67F" w14:textId="77777777" w:rsidTr="00E33DDA">
        <w:trPr>
          <w:trHeight w:val="283"/>
        </w:trPr>
        <w:tc>
          <w:tcPr>
            <w:tcW w:w="967" w:type="pct"/>
            <w:tcBorders>
              <w:left w:val="single" w:sz="4" w:space="0" w:color="000000" w:themeColor="text1"/>
              <w:bottom w:val="single" w:sz="4" w:space="0" w:color="000000" w:themeColor="text1"/>
            </w:tcBorders>
            <w:shd w:val="clear" w:color="auto" w:fill="auto"/>
            <w:noWrap/>
            <w:hideMark/>
          </w:tcPr>
          <w:p w14:paraId="3DDB38C8" w14:textId="63434A4B" w:rsidR="00BF1BF1" w:rsidRPr="001D3C19" w:rsidRDefault="00AF4D88" w:rsidP="003D1CA1">
            <w:pPr>
              <w:rPr>
                <w:rFonts w:asciiTheme="minorHAnsi" w:hAnsiTheme="minorHAnsi" w:cstheme="minorHAnsi"/>
                <w:sz w:val="18"/>
                <w:szCs w:val="18"/>
              </w:rPr>
            </w:pPr>
            <w:r w:rsidRPr="001D3C19">
              <w:rPr>
                <w:rFonts w:asciiTheme="minorHAnsi" w:hAnsiTheme="minorHAnsi" w:cstheme="minorHAnsi"/>
                <w:sz w:val="18"/>
                <w:szCs w:val="18"/>
              </w:rPr>
              <w:t>Total</w:t>
            </w:r>
          </w:p>
        </w:tc>
        <w:tc>
          <w:tcPr>
            <w:tcW w:w="510" w:type="pct"/>
            <w:tcBorders>
              <w:bottom w:val="single" w:sz="4" w:space="0" w:color="000000" w:themeColor="text1"/>
            </w:tcBorders>
            <w:shd w:val="clear" w:color="auto" w:fill="auto"/>
            <w:noWrap/>
            <w:hideMark/>
          </w:tcPr>
          <w:p w14:paraId="1E1E2A7F" w14:textId="71549D78"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64</w:t>
            </w:r>
            <w:r w:rsidR="005329DD">
              <w:rPr>
                <w:rFonts w:asciiTheme="minorHAnsi" w:hAnsiTheme="minorHAnsi" w:cstheme="minorHAnsi"/>
                <w:sz w:val="18"/>
                <w:szCs w:val="18"/>
              </w:rPr>
              <w:t>,</w:t>
            </w:r>
            <w:r w:rsidRPr="001D3C19">
              <w:rPr>
                <w:rFonts w:asciiTheme="minorHAnsi" w:hAnsiTheme="minorHAnsi" w:cstheme="minorHAnsi"/>
                <w:sz w:val="18"/>
                <w:szCs w:val="18"/>
              </w:rPr>
              <w:t>825</w:t>
            </w:r>
          </w:p>
        </w:tc>
        <w:tc>
          <w:tcPr>
            <w:tcW w:w="512" w:type="pct"/>
            <w:tcBorders>
              <w:bottom w:val="single" w:sz="4" w:space="0" w:color="000000" w:themeColor="text1"/>
            </w:tcBorders>
            <w:shd w:val="clear" w:color="auto" w:fill="auto"/>
            <w:noWrap/>
            <w:hideMark/>
          </w:tcPr>
          <w:p w14:paraId="06511BD0" w14:textId="431AAC66"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24</w:t>
            </w:r>
            <w:r w:rsidR="005329DD">
              <w:rPr>
                <w:rFonts w:asciiTheme="minorHAnsi" w:hAnsiTheme="minorHAnsi" w:cstheme="minorHAnsi"/>
                <w:sz w:val="18"/>
                <w:szCs w:val="18"/>
              </w:rPr>
              <w:t>,</w:t>
            </w:r>
            <w:r w:rsidRPr="001D3C19">
              <w:rPr>
                <w:rFonts w:asciiTheme="minorHAnsi" w:hAnsiTheme="minorHAnsi" w:cstheme="minorHAnsi"/>
                <w:sz w:val="18"/>
                <w:szCs w:val="18"/>
              </w:rPr>
              <w:t>495</w:t>
            </w:r>
          </w:p>
        </w:tc>
        <w:tc>
          <w:tcPr>
            <w:tcW w:w="492" w:type="pct"/>
            <w:tcBorders>
              <w:bottom w:val="single" w:sz="4" w:space="0" w:color="000000" w:themeColor="text1"/>
            </w:tcBorders>
            <w:shd w:val="clear" w:color="auto" w:fill="auto"/>
            <w:noWrap/>
            <w:hideMark/>
          </w:tcPr>
          <w:p w14:paraId="70A4AD96" w14:textId="0D6DA9E0"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2</w:t>
            </w:r>
            <w:r w:rsidR="005329DD">
              <w:rPr>
                <w:rFonts w:asciiTheme="minorHAnsi" w:hAnsiTheme="minorHAnsi" w:cstheme="minorHAnsi"/>
                <w:sz w:val="18"/>
                <w:szCs w:val="18"/>
              </w:rPr>
              <w:t>,</w:t>
            </w:r>
            <w:r w:rsidRPr="001D3C19">
              <w:rPr>
                <w:rFonts w:asciiTheme="minorHAnsi" w:hAnsiTheme="minorHAnsi" w:cstheme="minorHAnsi"/>
                <w:sz w:val="18"/>
                <w:szCs w:val="18"/>
              </w:rPr>
              <w:t>319</w:t>
            </w:r>
          </w:p>
        </w:tc>
        <w:tc>
          <w:tcPr>
            <w:tcW w:w="453" w:type="pct"/>
            <w:tcBorders>
              <w:bottom w:val="single" w:sz="4" w:space="0" w:color="000000" w:themeColor="text1"/>
            </w:tcBorders>
            <w:shd w:val="clear" w:color="auto" w:fill="auto"/>
            <w:noWrap/>
            <w:hideMark/>
          </w:tcPr>
          <w:p w14:paraId="78A44814" w14:textId="1DB3952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1</w:t>
            </w:r>
            <w:r w:rsidR="005329DD">
              <w:rPr>
                <w:rFonts w:asciiTheme="minorHAnsi" w:hAnsiTheme="minorHAnsi" w:cstheme="minorHAnsi"/>
                <w:sz w:val="18"/>
                <w:szCs w:val="18"/>
              </w:rPr>
              <w:t>,</w:t>
            </w:r>
            <w:r w:rsidRPr="001D3C19">
              <w:rPr>
                <w:rFonts w:asciiTheme="minorHAnsi" w:hAnsiTheme="minorHAnsi" w:cstheme="minorHAnsi"/>
                <w:sz w:val="18"/>
                <w:szCs w:val="18"/>
              </w:rPr>
              <w:t>011</w:t>
            </w:r>
          </w:p>
        </w:tc>
        <w:tc>
          <w:tcPr>
            <w:tcW w:w="493" w:type="pct"/>
            <w:tcBorders>
              <w:bottom w:val="single" w:sz="4" w:space="0" w:color="000000" w:themeColor="text1"/>
            </w:tcBorders>
            <w:shd w:val="clear" w:color="auto" w:fill="auto"/>
            <w:noWrap/>
            <w:hideMark/>
          </w:tcPr>
          <w:p w14:paraId="516E1961"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431</w:t>
            </w:r>
          </w:p>
        </w:tc>
        <w:tc>
          <w:tcPr>
            <w:tcW w:w="533" w:type="pct"/>
            <w:tcBorders>
              <w:bottom w:val="single" w:sz="4" w:space="0" w:color="000000" w:themeColor="text1"/>
            </w:tcBorders>
            <w:shd w:val="clear" w:color="auto" w:fill="auto"/>
            <w:noWrap/>
            <w:hideMark/>
          </w:tcPr>
          <w:p w14:paraId="07D090A8"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333</w:t>
            </w:r>
          </w:p>
        </w:tc>
        <w:tc>
          <w:tcPr>
            <w:tcW w:w="390" w:type="pct"/>
            <w:tcBorders>
              <w:bottom w:val="single" w:sz="4" w:space="0" w:color="000000" w:themeColor="text1"/>
            </w:tcBorders>
            <w:shd w:val="clear" w:color="auto" w:fill="auto"/>
            <w:noWrap/>
            <w:hideMark/>
          </w:tcPr>
          <w:p w14:paraId="674A3E84" w14:textId="77777777" w:rsidR="00BF1BF1" w:rsidRPr="001D3C19" w:rsidRDefault="00BF1BF1" w:rsidP="003D1CA1">
            <w:pPr>
              <w:jc w:val="center"/>
              <w:rPr>
                <w:rFonts w:asciiTheme="minorHAnsi" w:hAnsiTheme="minorHAnsi" w:cstheme="minorHAnsi"/>
                <w:sz w:val="18"/>
                <w:szCs w:val="18"/>
              </w:rPr>
            </w:pPr>
            <w:r w:rsidRPr="001D3C19">
              <w:rPr>
                <w:rFonts w:asciiTheme="minorHAnsi" w:hAnsiTheme="minorHAnsi" w:cstheme="minorHAnsi"/>
                <w:sz w:val="18"/>
                <w:szCs w:val="18"/>
              </w:rPr>
              <w:t>51</w:t>
            </w:r>
          </w:p>
        </w:tc>
        <w:tc>
          <w:tcPr>
            <w:tcW w:w="651" w:type="pct"/>
            <w:tcBorders>
              <w:bottom w:val="single" w:sz="4" w:space="0" w:color="000000" w:themeColor="text1"/>
              <w:right w:val="single" w:sz="4" w:space="0" w:color="000000" w:themeColor="text1"/>
            </w:tcBorders>
            <w:shd w:val="clear" w:color="auto" w:fill="auto"/>
            <w:noWrap/>
            <w:hideMark/>
          </w:tcPr>
          <w:p w14:paraId="264D44B7" w14:textId="77777777" w:rsidR="00BF1BF1" w:rsidRPr="001D3C19" w:rsidRDefault="00BF1BF1" w:rsidP="003D1CA1">
            <w:pPr>
              <w:jc w:val="center"/>
              <w:rPr>
                <w:rFonts w:asciiTheme="minorHAnsi" w:hAnsiTheme="minorHAnsi" w:cstheme="minorHAnsi"/>
                <w:sz w:val="18"/>
                <w:szCs w:val="18"/>
              </w:rPr>
            </w:pPr>
          </w:p>
        </w:tc>
      </w:tr>
    </w:tbl>
    <w:p w14:paraId="4F1F0C5B" w14:textId="275660BB" w:rsidR="00966F5B" w:rsidRPr="001D3C19" w:rsidRDefault="007E43B9" w:rsidP="008B76BB">
      <w:pPr>
        <w:ind w:left="-284"/>
        <w:rPr>
          <w:rFonts w:asciiTheme="minorHAnsi" w:hAnsiTheme="minorHAnsi" w:cstheme="minorHAnsi"/>
          <w:sz w:val="16"/>
          <w:szCs w:val="16"/>
        </w:rPr>
      </w:pPr>
      <w:r w:rsidRPr="001D3C19">
        <w:rPr>
          <w:rFonts w:asciiTheme="minorHAnsi" w:hAnsiTheme="minorHAnsi" w:cstheme="minorHAnsi"/>
          <w:sz w:val="16"/>
          <w:szCs w:val="16"/>
        </w:rPr>
        <w:t xml:space="preserve">GAD, </w:t>
      </w:r>
      <w:r w:rsidR="001D3C19" w:rsidRPr="001D3C19">
        <w:rPr>
          <w:rFonts w:asciiTheme="minorHAnsi" w:hAnsiTheme="minorHAnsi" w:cstheme="minorHAnsi"/>
          <w:sz w:val="16"/>
          <w:szCs w:val="16"/>
        </w:rPr>
        <w:t xml:space="preserve">generalised anxiety disorder; </w:t>
      </w:r>
      <w:r w:rsidRPr="001D3C19">
        <w:rPr>
          <w:rFonts w:asciiTheme="minorHAnsi" w:hAnsiTheme="minorHAnsi" w:cstheme="minorHAnsi"/>
          <w:sz w:val="16"/>
          <w:szCs w:val="16"/>
        </w:rPr>
        <w:t>OCD,</w:t>
      </w:r>
      <w:r w:rsidR="001D3C19" w:rsidRPr="001D3C19">
        <w:rPr>
          <w:rFonts w:asciiTheme="minorHAnsi" w:hAnsiTheme="minorHAnsi" w:cstheme="minorHAnsi"/>
          <w:sz w:val="16"/>
          <w:szCs w:val="16"/>
        </w:rPr>
        <w:t xml:space="preserve"> obsessive compulsive disorder;</w:t>
      </w:r>
      <w:r w:rsidRPr="001D3C19">
        <w:rPr>
          <w:rFonts w:asciiTheme="minorHAnsi" w:hAnsiTheme="minorHAnsi" w:cstheme="minorHAnsi"/>
          <w:sz w:val="16"/>
          <w:szCs w:val="16"/>
        </w:rPr>
        <w:t xml:space="preserve"> PTSD, </w:t>
      </w:r>
      <w:r w:rsidR="001D3C19" w:rsidRPr="001D3C19">
        <w:rPr>
          <w:rFonts w:asciiTheme="minorHAnsi" w:hAnsiTheme="minorHAnsi" w:cstheme="minorHAnsi"/>
          <w:sz w:val="16"/>
          <w:szCs w:val="16"/>
        </w:rPr>
        <w:t xml:space="preserve">post-traumatic stress disorder; </w:t>
      </w:r>
      <w:r w:rsidRPr="001D3C19">
        <w:rPr>
          <w:rFonts w:asciiTheme="minorHAnsi" w:hAnsiTheme="minorHAnsi" w:cstheme="minorHAnsi"/>
          <w:sz w:val="16"/>
          <w:szCs w:val="16"/>
        </w:rPr>
        <w:t>SAD,</w:t>
      </w:r>
      <w:r w:rsidR="00400F39" w:rsidRPr="001D3C19">
        <w:rPr>
          <w:rFonts w:asciiTheme="minorHAnsi" w:hAnsiTheme="minorHAnsi" w:cstheme="minorHAnsi"/>
          <w:sz w:val="16"/>
          <w:szCs w:val="16"/>
        </w:rPr>
        <w:t xml:space="preserve"> </w:t>
      </w:r>
      <w:r w:rsidR="001D3C19" w:rsidRPr="001D3C19">
        <w:rPr>
          <w:rFonts w:asciiTheme="minorHAnsi" w:hAnsiTheme="minorHAnsi" w:cstheme="minorHAnsi"/>
          <w:sz w:val="16"/>
          <w:szCs w:val="16"/>
        </w:rPr>
        <w:t xml:space="preserve">social anxiety disorder; </w:t>
      </w:r>
      <w:r w:rsidR="00AF4D88" w:rsidRPr="001D3C19">
        <w:rPr>
          <w:rFonts w:asciiTheme="minorHAnsi" w:hAnsiTheme="minorHAnsi" w:cstheme="minorHAnsi"/>
          <w:sz w:val="16"/>
          <w:szCs w:val="16"/>
        </w:rPr>
        <w:t>TA, Therapist Assist</w:t>
      </w:r>
      <w:r w:rsidR="001D3C19" w:rsidRPr="001D3C19">
        <w:rPr>
          <w:rFonts w:asciiTheme="minorHAnsi" w:hAnsiTheme="minorHAnsi" w:cstheme="minorHAnsi"/>
          <w:sz w:val="16"/>
          <w:szCs w:val="16"/>
        </w:rPr>
        <w:t>.</w:t>
      </w:r>
    </w:p>
    <w:p w14:paraId="5FD65A43" w14:textId="7581BB7A" w:rsidR="001D3C19" w:rsidRPr="001D3C19" w:rsidRDefault="001D3C19" w:rsidP="008B76BB">
      <w:pPr>
        <w:ind w:left="-284"/>
        <w:rPr>
          <w:rFonts w:asciiTheme="minorHAnsi" w:hAnsiTheme="minorHAnsi" w:cstheme="minorHAnsi"/>
          <w:sz w:val="16"/>
          <w:szCs w:val="16"/>
        </w:rPr>
      </w:pPr>
      <w:proofErr w:type="spellStart"/>
      <w:r w:rsidRPr="001D3C19">
        <w:rPr>
          <w:rFonts w:asciiTheme="minorHAnsi" w:hAnsiTheme="minorHAnsi" w:cstheme="minorHAnsi"/>
          <w:sz w:val="16"/>
          <w:szCs w:val="16"/>
          <w:vertAlign w:val="superscript"/>
        </w:rPr>
        <w:t>a</w:t>
      </w:r>
      <w:r w:rsidR="00D61724">
        <w:rPr>
          <w:rFonts w:asciiTheme="minorHAnsi" w:hAnsiTheme="minorHAnsi" w:cstheme="minorHAnsi"/>
          <w:sz w:val="16"/>
          <w:szCs w:val="16"/>
        </w:rPr>
        <w:t>C</w:t>
      </w:r>
      <w:r w:rsidRPr="001D3C19">
        <w:rPr>
          <w:rFonts w:asciiTheme="minorHAnsi" w:hAnsiTheme="minorHAnsi" w:cstheme="minorHAnsi"/>
          <w:sz w:val="16"/>
          <w:szCs w:val="16"/>
        </w:rPr>
        <w:t>ohort</w:t>
      </w:r>
      <w:proofErr w:type="spellEnd"/>
      <w:r w:rsidRPr="001D3C19">
        <w:rPr>
          <w:rFonts w:asciiTheme="minorHAnsi" w:hAnsiTheme="minorHAnsi" w:cstheme="minorHAnsi"/>
          <w:sz w:val="16"/>
          <w:szCs w:val="16"/>
        </w:rPr>
        <w:t xml:space="preserve"> of </w:t>
      </w:r>
      <w:r w:rsidR="00D61724">
        <w:rPr>
          <w:rFonts w:asciiTheme="minorHAnsi" w:hAnsiTheme="minorHAnsi" w:cstheme="minorHAnsi"/>
          <w:sz w:val="16"/>
          <w:szCs w:val="16"/>
        </w:rPr>
        <w:t>consumers</w:t>
      </w:r>
      <w:r w:rsidRPr="001D3C19">
        <w:rPr>
          <w:rFonts w:asciiTheme="minorHAnsi" w:hAnsiTheme="minorHAnsi" w:cstheme="minorHAnsi"/>
          <w:sz w:val="16"/>
          <w:szCs w:val="16"/>
        </w:rPr>
        <w:t xml:space="preserve"> who registered for an account </w:t>
      </w:r>
      <w:r w:rsidR="005329DD">
        <w:rPr>
          <w:rFonts w:asciiTheme="minorHAnsi" w:hAnsiTheme="minorHAnsi" w:cstheme="minorHAnsi"/>
          <w:sz w:val="16"/>
          <w:szCs w:val="16"/>
        </w:rPr>
        <w:t>in</w:t>
      </w:r>
      <w:r w:rsidRPr="001D3C19">
        <w:rPr>
          <w:rFonts w:asciiTheme="minorHAnsi" w:hAnsiTheme="minorHAnsi" w:cstheme="minorHAnsi"/>
          <w:sz w:val="16"/>
          <w:szCs w:val="16"/>
        </w:rPr>
        <w:t xml:space="preserve"> January 2015</w:t>
      </w:r>
      <w:r w:rsidR="005329DD">
        <w:rPr>
          <w:rFonts w:asciiTheme="minorHAnsi" w:hAnsiTheme="minorHAnsi" w:cstheme="minorHAnsi"/>
          <w:sz w:val="16"/>
          <w:szCs w:val="16"/>
        </w:rPr>
        <w:t xml:space="preserve"> – </w:t>
      </w:r>
      <w:r w:rsidRPr="001D3C19">
        <w:rPr>
          <w:rFonts w:asciiTheme="minorHAnsi" w:hAnsiTheme="minorHAnsi" w:cstheme="minorHAnsi"/>
          <w:sz w:val="16"/>
          <w:szCs w:val="16"/>
        </w:rPr>
        <w:t xml:space="preserve">December 2021. This excludes users who registered for a Mental Health Online account prior to January 2015 but who completed </w:t>
      </w:r>
      <w:proofErr w:type="spellStart"/>
      <w:r w:rsidR="00950B07">
        <w:rPr>
          <w:rFonts w:asciiTheme="minorHAnsi" w:hAnsiTheme="minorHAnsi" w:cstheme="minorHAnsi"/>
          <w:sz w:val="16"/>
          <w:szCs w:val="16"/>
        </w:rPr>
        <w:t>ePASS</w:t>
      </w:r>
      <w:proofErr w:type="spellEnd"/>
      <w:r w:rsidRPr="001D3C19">
        <w:rPr>
          <w:rFonts w:asciiTheme="minorHAnsi" w:hAnsiTheme="minorHAnsi" w:cstheme="minorHAnsi"/>
          <w:sz w:val="16"/>
          <w:szCs w:val="16"/>
        </w:rPr>
        <w:t>, registered for treatment programs.</w:t>
      </w:r>
    </w:p>
    <w:p w14:paraId="48B164E4" w14:textId="7C5AC2EE" w:rsidR="003B352C" w:rsidRDefault="001D3C19" w:rsidP="008B76BB">
      <w:pPr>
        <w:ind w:left="-284"/>
        <w:rPr>
          <w:rFonts w:asciiTheme="minorHAnsi" w:hAnsiTheme="minorHAnsi" w:cstheme="minorHAnsi"/>
          <w:sz w:val="16"/>
          <w:szCs w:val="16"/>
        </w:rPr>
      </w:pPr>
      <w:proofErr w:type="spellStart"/>
      <w:r w:rsidRPr="001D3C19">
        <w:rPr>
          <w:rFonts w:asciiTheme="minorHAnsi" w:hAnsiTheme="minorHAnsi" w:cstheme="minorHAnsi"/>
          <w:sz w:val="16"/>
          <w:szCs w:val="16"/>
          <w:vertAlign w:val="superscript"/>
        </w:rPr>
        <w:t>b</w:t>
      </w:r>
      <w:r w:rsidR="00AF4D88" w:rsidRPr="001D3C19">
        <w:rPr>
          <w:rFonts w:asciiTheme="minorHAnsi" w:hAnsiTheme="minorHAnsi" w:cstheme="minorHAnsi"/>
          <w:sz w:val="16"/>
          <w:szCs w:val="16"/>
        </w:rPr>
        <w:t>As</w:t>
      </w:r>
      <w:proofErr w:type="spellEnd"/>
      <w:r w:rsidR="00AF4D88" w:rsidRPr="001D3C19">
        <w:rPr>
          <w:rFonts w:asciiTheme="minorHAnsi" w:hAnsiTheme="minorHAnsi" w:cstheme="minorHAnsi"/>
          <w:sz w:val="16"/>
          <w:szCs w:val="16"/>
        </w:rPr>
        <w:t xml:space="preserve"> assessed for July 2018</w:t>
      </w:r>
      <w:r w:rsidR="005329DD">
        <w:rPr>
          <w:rFonts w:asciiTheme="minorHAnsi" w:hAnsiTheme="minorHAnsi" w:cstheme="minorHAnsi"/>
          <w:sz w:val="16"/>
          <w:szCs w:val="16"/>
        </w:rPr>
        <w:t xml:space="preserve"> – </w:t>
      </w:r>
      <w:r w:rsidR="00AF4D88" w:rsidRPr="001D3C19">
        <w:rPr>
          <w:rFonts w:asciiTheme="minorHAnsi" w:hAnsiTheme="minorHAnsi" w:cstheme="minorHAnsi"/>
          <w:sz w:val="16"/>
          <w:szCs w:val="16"/>
        </w:rPr>
        <w:t>August 2021</w:t>
      </w:r>
      <w:r w:rsidR="005329DD">
        <w:rPr>
          <w:rFonts w:asciiTheme="minorHAnsi" w:hAnsiTheme="minorHAnsi" w:cstheme="minorHAnsi"/>
          <w:sz w:val="16"/>
          <w:szCs w:val="16"/>
        </w:rPr>
        <w:t xml:space="preserve"> cohort</w:t>
      </w:r>
      <w:r w:rsidR="00D61724">
        <w:rPr>
          <w:rFonts w:asciiTheme="minorHAnsi" w:hAnsiTheme="minorHAnsi" w:cstheme="minorHAnsi"/>
          <w:sz w:val="16"/>
          <w:szCs w:val="16"/>
        </w:rPr>
        <w:t xml:space="preserve"> of 815 consumers</w:t>
      </w:r>
      <w:r w:rsidR="00585BA6">
        <w:rPr>
          <w:rFonts w:asciiTheme="minorHAnsi" w:hAnsiTheme="minorHAnsi" w:cstheme="minorHAnsi"/>
          <w:sz w:val="16"/>
          <w:szCs w:val="16"/>
        </w:rPr>
        <w:t xml:space="preserve"> for whom data were available</w:t>
      </w:r>
      <w:r w:rsidR="00AF4D88" w:rsidRPr="001D3C19">
        <w:rPr>
          <w:rFonts w:asciiTheme="minorHAnsi" w:hAnsiTheme="minorHAnsi" w:cstheme="minorHAnsi"/>
          <w:sz w:val="16"/>
          <w:szCs w:val="16"/>
        </w:rPr>
        <w:t>.</w:t>
      </w:r>
      <w:r w:rsidR="003B352C">
        <w:rPr>
          <w:rFonts w:asciiTheme="minorHAnsi" w:hAnsiTheme="minorHAnsi" w:cstheme="minorHAnsi"/>
          <w:sz w:val="16"/>
          <w:szCs w:val="16"/>
        </w:rPr>
        <w:br w:type="page"/>
      </w:r>
    </w:p>
    <w:p w14:paraId="4E91AD5D" w14:textId="3273F025" w:rsidR="006E6EE5" w:rsidRPr="009C4137" w:rsidRDefault="00BF1BF1" w:rsidP="00F84ED2">
      <w:pPr>
        <w:pStyle w:val="Heading3"/>
        <w:numPr>
          <w:ilvl w:val="2"/>
          <w:numId w:val="143"/>
        </w:numPr>
      </w:pPr>
      <w:r w:rsidRPr="00AA6B28">
        <w:lastRenderedPageBreak/>
        <w:t>U</w:t>
      </w:r>
      <w:r w:rsidR="0091075D" w:rsidRPr="00AA6B28">
        <w:t xml:space="preserve">ptake </w:t>
      </w:r>
      <w:r w:rsidRPr="00AA6B28">
        <w:t xml:space="preserve">of Mental Health Online treatment </w:t>
      </w:r>
      <w:r w:rsidR="0091075D" w:rsidRPr="00AA6B28">
        <w:t>over time</w:t>
      </w:r>
    </w:p>
    <w:p w14:paraId="4C9D25D4" w14:textId="7C5E4D70" w:rsidR="00A6650A" w:rsidRPr="001D3C19" w:rsidRDefault="00A318B5" w:rsidP="002029DC">
      <w:pPr>
        <w:spacing w:after="200"/>
        <w:rPr>
          <w:rFonts w:asciiTheme="minorHAnsi" w:hAnsiTheme="minorHAnsi" w:cstheme="minorHAnsi"/>
          <w:sz w:val="21"/>
          <w:szCs w:val="21"/>
        </w:rPr>
      </w:pPr>
      <w:r w:rsidRPr="001D3C19">
        <w:rPr>
          <w:rFonts w:asciiTheme="minorHAnsi" w:hAnsiTheme="minorHAnsi" w:cstheme="minorHAnsi"/>
          <w:sz w:val="21"/>
          <w:szCs w:val="21"/>
        </w:rPr>
        <w:t xml:space="preserve">Figure 1 </w:t>
      </w:r>
      <w:r w:rsidR="007949A9" w:rsidRPr="001D3C19">
        <w:rPr>
          <w:rFonts w:asciiTheme="minorHAnsi" w:hAnsiTheme="minorHAnsi" w:cstheme="minorHAnsi"/>
          <w:sz w:val="21"/>
          <w:szCs w:val="21"/>
        </w:rPr>
        <w:t xml:space="preserve">shows the uptake of </w:t>
      </w:r>
      <w:r w:rsidR="00992890" w:rsidRPr="001D3C19">
        <w:rPr>
          <w:rFonts w:asciiTheme="minorHAnsi" w:hAnsiTheme="minorHAnsi" w:cstheme="minorHAnsi"/>
          <w:sz w:val="21"/>
          <w:szCs w:val="21"/>
        </w:rPr>
        <w:t xml:space="preserve">all </w:t>
      </w:r>
      <w:r w:rsidR="00452440" w:rsidRPr="001D3C19">
        <w:rPr>
          <w:rFonts w:asciiTheme="minorHAnsi" w:hAnsiTheme="minorHAnsi" w:cstheme="minorHAnsi"/>
          <w:sz w:val="21"/>
          <w:szCs w:val="21"/>
        </w:rPr>
        <w:t xml:space="preserve">Mental Health Online treatment programs </w:t>
      </w:r>
      <w:r w:rsidR="00EC0CEC">
        <w:rPr>
          <w:rFonts w:asciiTheme="minorHAnsi" w:hAnsiTheme="minorHAnsi" w:cstheme="minorHAnsi"/>
          <w:sz w:val="21"/>
          <w:szCs w:val="21"/>
        </w:rPr>
        <w:t>by half year</w:t>
      </w:r>
      <w:r w:rsidR="00452440" w:rsidRPr="001D3C19">
        <w:rPr>
          <w:rFonts w:asciiTheme="minorHAnsi" w:hAnsiTheme="minorHAnsi" w:cstheme="minorHAnsi"/>
          <w:sz w:val="21"/>
          <w:szCs w:val="21"/>
        </w:rPr>
        <w:t xml:space="preserve"> from </w:t>
      </w:r>
      <w:r w:rsidR="00FC13B3" w:rsidRPr="001D3C19">
        <w:rPr>
          <w:rFonts w:asciiTheme="minorHAnsi" w:hAnsiTheme="minorHAnsi" w:cstheme="minorHAnsi"/>
          <w:sz w:val="21"/>
          <w:szCs w:val="21"/>
        </w:rPr>
        <w:t>January 2015 to December 2021.</w:t>
      </w:r>
      <w:r w:rsidR="00F4595E" w:rsidRPr="001D3C19">
        <w:rPr>
          <w:rFonts w:asciiTheme="minorHAnsi" w:hAnsiTheme="minorHAnsi" w:cstheme="minorHAnsi"/>
          <w:sz w:val="21"/>
          <w:szCs w:val="21"/>
        </w:rPr>
        <w:t xml:space="preserve"> Specifically, </w:t>
      </w:r>
      <w:r w:rsidR="00BE4FF2">
        <w:rPr>
          <w:rFonts w:asciiTheme="minorHAnsi" w:hAnsiTheme="minorHAnsi" w:cstheme="minorHAnsi"/>
          <w:sz w:val="21"/>
          <w:szCs w:val="21"/>
        </w:rPr>
        <w:t xml:space="preserve">all </w:t>
      </w:r>
      <w:r w:rsidR="00F13B14" w:rsidRPr="001D3C19">
        <w:rPr>
          <w:rFonts w:asciiTheme="minorHAnsi" w:hAnsiTheme="minorHAnsi" w:cstheme="minorHAnsi"/>
          <w:sz w:val="21"/>
          <w:szCs w:val="21"/>
        </w:rPr>
        <w:t xml:space="preserve">treatment </w:t>
      </w:r>
      <w:r w:rsidR="00F4595E" w:rsidRPr="001D3C19">
        <w:rPr>
          <w:rFonts w:asciiTheme="minorHAnsi" w:hAnsiTheme="minorHAnsi" w:cstheme="minorHAnsi"/>
          <w:sz w:val="21"/>
          <w:szCs w:val="21"/>
        </w:rPr>
        <w:t>program registrations, Therapist Assist registrations</w:t>
      </w:r>
      <w:r w:rsidR="00BE4FF2">
        <w:rPr>
          <w:rFonts w:asciiTheme="minorHAnsi" w:hAnsiTheme="minorHAnsi" w:cstheme="minorHAnsi"/>
          <w:sz w:val="21"/>
          <w:szCs w:val="21"/>
        </w:rPr>
        <w:t xml:space="preserve"> (as a subset of all treatment registrations) </w:t>
      </w:r>
      <w:r w:rsidR="00F4595E" w:rsidRPr="001D3C19">
        <w:rPr>
          <w:rFonts w:asciiTheme="minorHAnsi" w:hAnsiTheme="minorHAnsi" w:cstheme="minorHAnsi"/>
          <w:sz w:val="21"/>
          <w:szCs w:val="21"/>
        </w:rPr>
        <w:t>and Therapist Assist allocations are shown.</w:t>
      </w:r>
    </w:p>
    <w:p w14:paraId="4D3E606A" w14:textId="3739E5A5" w:rsidR="007E48E1" w:rsidRDefault="0012499D" w:rsidP="007949A9">
      <w:pPr>
        <w:rPr>
          <w:sz w:val="22"/>
          <w:szCs w:val="22"/>
        </w:rPr>
      </w:pPr>
      <w:r>
        <w:rPr>
          <w:noProof/>
          <w:lang w:eastAsia="en-AU"/>
        </w:rPr>
        <w:drawing>
          <wp:inline distT="0" distB="0" distL="0" distR="0" wp14:anchorId="3B53DA73" wp14:editId="33F62BBA">
            <wp:extent cx="5731510" cy="3863975"/>
            <wp:effectExtent l="0" t="0" r="8890" b="9525"/>
            <wp:docPr id="72" name="Chart 72" descr="Figure showing uptake of Mental Health Online treatment by half year from January 2015 to December 2021">
              <a:extLst xmlns:a="http://schemas.openxmlformats.org/drawingml/2006/main">
                <a:ext uri="{FF2B5EF4-FFF2-40B4-BE49-F238E27FC236}">
                  <a16:creationId xmlns:a16="http://schemas.microsoft.com/office/drawing/2014/main" id="{9DDFD344-BDB6-BC41-A80B-EABB900142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1F0717F" w14:textId="6ED00DD6" w:rsidR="00936503" w:rsidRPr="00936503" w:rsidRDefault="00067828" w:rsidP="002029DC">
      <w:pPr>
        <w:pStyle w:val="tableheading"/>
        <w:spacing w:after="200"/>
        <w:rPr>
          <w:bCs/>
        </w:rPr>
      </w:pPr>
      <w:r w:rsidRPr="00936503">
        <w:t xml:space="preserve">Figure 1. Uptake of Mental Health Online treatment </w:t>
      </w:r>
      <w:r w:rsidR="00EC0CEC">
        <w:t>by half year</w:t>
      </w:r>
      <w:r w:rsidRPr="00936503">
        <w:t>, January 2015</w:t>
      </w:r>
      <w:r w:rsidR="005329DD">
        <w:t xml:space="preserve"> – </w:t>
      </w:r>
      <w:r w:rsidRPr="00936503">
        <w:t>December 2021</w:t>
      </w:r>
    </w:p>
    <w:p w14:paraId="65B8A6A3" w14:textId="48CDB71A" w:rsidR="00AB4440" w:rsidRDefault="0026008B" w:rsidP="009C4137">
      <w:pPr>
        <w:rPr>
          <w:rFonts w:asciiTheme="minorHAnsi" w:hAnsiTheme="minorHAnsi" w:cstheme="minorHAnsi"/>
          <w:sz w:val="21"/>
          <w:szCs w:val="21"/>
        </w:rPr>
      </w:pPr>
      <w:r w:rsidRPr="00F22979">
        <w:rPr>
          <w:rFonts w:asciiTheme="minorHAnsi" w:hAnsiTheme="minorHAnsi" w:cstheme="minorHAnsi"/>
          <w:sz w:val="21"/>
          <w:szCs w:val="21"/>
        </w:rPr>
        <w:t xml:space="preserve">The number of </w:t>
      </w:r>
      <w:r w:rsidR="0024697F" w:rsidRPr="00F22979">
        <w:rPr>
          <w:rFonts w:asciiTheme="minorHAnsi" w:hAnsiTheme="minorHAnsi" w:cstheme="minorHAnsi"/>
          <w:sz w:val="21"/>
          <w:szCs w:val="21"/>
        </w:rPr>
        <w:t xml:space="preserve">registrations for any treatment </w:t>
      </w:r>
      <w:r w:rsidRPr="00F22979">
        <w:rPr>
          <w:rFonts w:asciiTheme="minorHAnsi" w:hAnsiTheme="minorHAnsi" w:cstheme="minorHAnsi"/>
          <w:sz w:val="21"/>
          <w:szCs w:val="21"/>
        </w:rPr>
        <w:t>program, regis</w:t>
      </w:r>
      <w:r w:rsidR="0024697F" w:rsidRPr="00F22979">
        <w:rPr>
          <w:rFonts w:asciiTheme="minorHAnsi" w:hAnsiTheme="minorHAnsi" w:cstheme="minorHAnsi"/>
          <w:sz w:val="21"/>
          <w:szCs w:val="21"/>
        </w:rPr>
        <w:t>trations</w:t>
      </w:r>
      <w:r w:rsidRPr="00F22979">
        <w:rPr>
          <w:rFonts w:asciiTheme="minorHAnsi" w:hAnsiTheme="minorHAnsi" w:cstheme="minorHAnsi"/>
          <w:sz w:val="21"/>
          <w:szCs w:val="21"/>
        </w:rPr>
        <w:t xml:space="preserve"> for </w:t>
      </w:r>
      <w:r w:rsidR="0024697F" w:rsidRPr="00F22979">
        <w:rPr>
          <w:rFonts w:asciiTheme="minorHAnsi" w:hAnsiTheme="minorHAnsi" w:cstheme="minorHAnsi"/>
          <w:sz w:val="21"/>
          <w:szCs w:val="21"/>
        </w:rPr>
        <w:t>Therapist A</w:t>
      </w:r>
      <w:r w:rsidRPr="00F22979">
        <w:rPr>
          <w:rFonts w:asciiTheme="minorHAnsi" w:hAnsiTheme="minorHAnsi" w:cstheme="minorHAnsi"/>
          <w:sz w:val="21"/>
          <w:szCs w:val="21"/>
        </w:rPr>
        <w:t>ssist</w:t>
      </w:r>
      <w:r w:rsidR="00BE4FF2">
        <w:rPr>
          <w:rFonts w:asciiTheme="minorHAnsi" w:hAnsiTheme="minorHAnsi" w:cstheme="minorHAnsi"/>
          <w:sz w:val="21"/>
          <w:szCs w:val="21"/>
        </w:rPr>
        <w:t xml:space="preserve"> and </w:t>
      </w:r>
      <w:r w:rsidRPr="00F22979">
        <w:rPr>
          <w:rFonts w:asciiTheme="minorHAnsi" w:hAnsiTheme="minorHAnsi" w:cstheme="minorHAnsi"/>
          <w:sz w:val="21"/>
          <w:szCs w:val="21"/>
        </w:rPr>
        <w:t>allocat</w:t>
      </w:r>
      <w:r w:rsidR="0024697F" w:rsidRPr="00F22979">
        <w:rPr>
          <w:rFonts w:asciiTheme="minorHAnsi" w:hAnsiTheme="minorHAnsi" w:cstheme="minorHAnsi"/>
          <w:sz w:val="21"/>
          <w:szCs w:val="21"/>
        </w:rPr>
        <w:t>ion</w:t>
      </w:r>
      <w:r w:rsidR="00D844A6" w:rsidRPr="00F22979">
        <w:rPr>
          <w:rFonts w:asciiTheme="minorHAnsi" w:hAnsiTheme="minorHAnsi" w:cstheme="minorHAnsi"/>
          <w:sz w:val="21"/>
          <w:szCs w:val="21"/>
        </w:rPr>
        <w:t>s</w:t>
      </w:r>
      <w:r w:rsidRPr="00F22979">
        <w:rPr>
          <w:rFonts w:asciiTheme="minorHAnsi" w:hAnsiTheme="minorHAnsi" w:cstheme="minorHAnsi"/>
          <w:sz w:val="21"/>
          <w:szCs w:val="21"/>
        </w:rPr>
        <w:t xml:space="preserve"> to </w:t>
      </w:r>
      <w:r w:rsidR="0024697F" w:rsidRPr="00F22979">
        <w:rPr>
          <w:rFonts w:asciiTheme="minorHAnsi" w:hAnsiTheme="minorHAnsi" w:cstheme="minorHAnsi"/>
          <w:sz w:val="21"/>
          <w:szCs w:val="21"/>
        </w:rPr>
        <w:t>T</w:t>
      </w:r>
      <w:r w:rsidRPr="00F22979">
        <w:rPr>
          <w:rFonts w:asciiTheme="minorHAnsi" w:hAnsiTheme="minorHAnsi" w:cstheme="minorHAnsi"/>
          <w:sz w:val="21"/>
          <w:szCs w:val="21"/>
        </w:rPr>
        <w:t>herap</w:t>
      </w:r>
      <w:r w:rsidR="0024697F" w:rsidRPr="00F22979">
        <w:rPr>
          <w:rFonts w:asciiTheme="minorHAnsi" w:hAnsiTheme="minorHAnsi" w:cstheme="minorHAnsi"/>
          <w:sz w:val="21"/>
          <w:szCs w:val="21"/>
        </w:rPr>
        <w:t>ist</w:t>
      </w:r>
      <w:r w:rsidRPr="00F22979">
        <w:rPr>
          <w:rFonts w:asciiTheme="minorHAnsi" w:hAnsiTheme="minorHAnsi" w:cstheme="minorHAnsi"/>
          <w:sz w:val="21"/>
          <w:szCs w:val="21"/>
        </w:rPr>
        <w:t xml:space="preserve"> </w:t>
      </w:r>
      <w:r w:rsidR="0024697F" w:rsidRPr="00F22979">
        <w:rPr>
          <w:rFonts w:asciiTheme="minorHAnsi" w:hAnsiTheme="minorHAnsi" w:cstheme="minorHAnsi"/>
          <w:sz w:val="21"/>
          <w:szCs w:val="21"/>
        </w:rPr>
        <w:t>A</w:t>
      </w:r>
      <w:r w:rsidRPr="00F22979">
        <w:rPr>
          <w:rFonts w:asciiTheme="minorHAnsi" w:hAnsiTheme="minorHAnsi" w:cstheme="minorHAnsi"/>
          <w:sz w:val="21"/>
          <w:szCs w:val="21"/>
        </w:rPr>
        <w:t>ssist all increased from 2015 to 2021</w:t>
      </w:r>
      <w:r w:rsidR="00D5172D">
        <w:rPr>
          <w:rFonts w:asciiTheme="minorHAnsi" w:hAnsiTheme="minorHAnsi" w:cstheme="minorHAnsi"/>
          <w:sz w:val="21"/>
          <w:szCs w:val="21"/>
        </w:rPr>
        <w:t>, particularly from 2019</w:t>
      </w:r>
      <w:r w:rsidR="00A1456E">
        <w:rPr>
          <w:rFonts w:asciiTheme="minorHAnsi" w:hAnsiTheme="minorHAnsi" w:cstheme="minorHAnsi"/>
          <w:sz w:val="21"/>
          <w:szCs w:val="21"/>
        </w:rPr>
        <w:t xml:space="preserve">, which coincides with the </w:t>
      </w:r>
      <w:r w:rsidR="0019621E">
        <w:rPr>
          <w:rFonts w:asciiTheme="minorHAnsi" w:hAnsiTheme="minorHAnsi" w:cstheme="minorHAnsi"/>
          <w:sz w:val="21"/>
          <w:szCs w:val="21"/>
        </w:rPr>
        <w:t>start of the COVID-19 pandemic</w:t>
      </w:r>
      <w:r w:rsidRPr="00F22979">
        <w:rPr>
          <w:rFonts w:asciiTheme="minorHAnsi" w:hAnsiTheme="minorHAnsi" w:cstheme="minorHAnsi"/>
          <w:sz w:val="21"/>
          <w:szCs w:val="21"/>
        </w:rPr>
        <w:t xml:space="preserve">. The number </w:t>
      </w:r>
      <w:r w:rsidR="005418FE" w:rsidRPr="00F22979">
        <w:rPr>
          <w:rFonts w:asciiTheme="minorHAnsi" w:hAnsiTheme="minorHAnsi" w:cstheme="minorHAnsi"/>
          <w:sz w:val="21"/>
          <w:szCs w:val="21"/>
        </w:rPr>
        <w:t>treatment</w:t>
      </w:r>
      <w:r w:rsidRPr="00F22979">
        <w:rPr>
          <w:rFonts w:asciiTheme="minorHAnsi" w:hAnsiTheme="minorHAnsi" w:cstheme="minorHAnsi"/>
          <w:sz w:val="21"/>
          <w:szCs w:val="21"/>
        </w:rPr>
        <w:t xml:space="preserve"> program</w:t>
      </w:r>
      <w:r w:rsidR="005418FE" w:rsidRPr="00F22979">
        <w:rPr>
          <w:rFonts w:asciiTheme="minorHAnsi" w:hAnsiTheme="minorHAnsi" w:cstheme="minorHAnsi"/>
          <w:sz w:val="21"/>
          <w:szCs w:val="21"/>
        </w:rPr>
        <w:t xml:space="preserve"> registrations</w:t>
      </w:r>
      <w:r w:rsidRPr="00F22979">
        <w:rPr>
          <w:rFonts w:asciiTheme="minorHAnsi" w:hAnsiTheme="minorHAnsi" w:cstheme="minorHAnsi"/>
          <w:sz w:val="21"/>
          <w:szCs w:val="21"/>
        </w:rPr>
        <w:t xml:space="preserve"> </w:t>
      </w:r>
      <w:proofErr w:type="gramStart"/>
      <w:r w:rsidRPr="00F22979">
        <w:rPr>
          <w:rFonts w:asciiTheme="minorHAnsi" w:hAnsiTheme="minorHAnsi" w:cstheme="minorHAnsi"/>
          <w:sz w:val="21"/>
          <w:szCs w:val="21"/>
        </w:rPr>
        <w:t>was</w:t>
      </w:r>
      <w:proofErr w:type="gramEnd"/>
      <w:r w:rsidRPr="00F22979">
        <w:rPr>
          <w:rFonts w:asciiTheme="minorHAnsi" w:hAnsiTheme="minorHAnsi" w:cstheme="minorHAnsi"/>
          <w:sz w:val="21"/>
          <w:szCs w:val="21"/>
        </w:rPr>
        <w:t xml:space="preserve"> relatively stable (with a mean of 515) from early 2015 to late 2018, increas</w:t>
      </w:r>
      <w:r w:rsidR="001927D3" w:rsidRPr="00F22979">
        <w:rPr>
          <w:rFonts w:asciiTheme="minorHAnsi" w:hAnsiTheme="minorHAnsi" w:cstheme="minorHAnsi"/>
          <w:sz w:val="21"/>
          <w:szCs w:val="21"/>
        </w:rPr>
        <w:t>ing</w:t>
      </w:r>
      <w:r w:rsidRPr="00F22979">
        <w:rPr>
          <w:rFonts w:asciiTheme="minorHAnsi" w:hAnsiTheme="minorHAnsi" w:cstheme="minorHAnsi"/>
          <w:sz w:val="21"/>
          <w:szCs w:val="21"/>
        </w:rPr>
        <w:t xml:space="preserve"> to a high of approximately 3</w:t>
      </w:r>
      <w:r w:rsidR="001927D3" w:rsidRPr="00F22979">
        <w:rPr>
          <w:rFonts w:asciiTheme="minorHAnsi" w:hAnsiTheme="minorHAnsi" w:cstheme="minorHAnsi"/>
          <w:sz w:val="21"/>
          <w:szCs w:val="21"/>
        </w:rPr>
        <w:t>,</w:t>
      </w:r>
      <w:r w:rsidRPr="00F22979">
        <w:rPr>
          <w:rFonts w:asciiTheme="minorHAnsi" w:hAnsiTheme="minorHAnsi" w:cstheme="minorHAnsi"/>
          <w:sz w:val="21"/>
          <w:szCs w:val="21"/>
        </w:rPr>
        <w:t>500 (early 2020-late 2021). The number of Therap</w:t>
      </w:r>
      <w:r w:rsidR="0080453D" w:rsidRPr="00F22979">
        <w:rPr>
          <w:rFonts w:asciiTheme="minorHAnsi" w:hAnsiTheme="minorHAnsi" w:cstheme="minorHAnsi"/>
          <w:sz w:val="21"/>
          <w:szCs w:val="21"/>
        </w:rPr>
        <w:t>ist</w:t>
      </w:r>
      <w:r w:rsidRPr="00F22979">
        <w:rPr>
          <w:rFonts w:asciiTheme="minorHAnsi" w:hAnsiTheme="minorHAnsi" w:cstheme="minorHAnsi"/>
          <w:sz w:val="21"/>
          <w:szCs w:val="21"/>
        </w:rPr>
        <w:t xml:space="preserve"> Assist registrations was also stable at approximately 40 from early 2015 until early 2018, increas</w:t>
      </w:r>
      <w:r w:rsidR="0080453D" w:rsidRPr="00F22979">
        <w:rPr>
          <w:rFonts w:asciiTheme="minorHAnsi" w:hAnsiTheme="minorHAnsi" w:cstheme="minorHAnsi"/>
          <w:sz w:val="21"/>
          <w:szCs w:val="21"/>
        </w:rPr>
        <w:t>ing</w:t>
      </w:r>
      <w:r w:rsidRPr="00F22979">
        <w:rPr>
          <w:rFonts w:asciiTheme="minorHAnsi" w:hAnsiTheme="minorHAnsi" w:cstheme="minorHAnsi"/>
          <w:sz w:val="21"/>
          <w:szCs w:val="21"/>
        </w:rPr>
        <w:t xml:space="preserve"> steadily to a high of 435 in early 2020, then decreas</w:t>
      </w:r>
      <w:r w:rsidR="0080453D" w:rsidRPr="00F22979">
        <w:rPr>
          <w:rFonts w:asciiTheme="minorHAnsi" w:hAnsiTheme="minorHAnsi" w:cstheme="minorHAnsi"/>
          <w:sz w:val="21"/>
          <w:szCs w:val="21"/>
        </w:rPr>
        <w:t>ing</w:t>
      </w:r>
      <w:r w:rsidRPr="00F22979">
        <w:rPr>
          <w:rFonts w:asciiTheme="minorHAnsi" w:hAnsiTheme="minorHAnsi" w:cstheme="minorHAnsi"/>
          <w:sz w:val="21"/>
          <w:szCs w:val="21"/>
        </w:rPr>
        <w:t xml:space="preserve">. </w:t>
      </w:r>
      <w:r w:rsidR="00462742" w:rsidRPr="00F22979">
        <w:rPr>
          <w:rFonts w:asciiTheme="minorHAnsi" w:hAnsiTheme="minorHAnsi" w:cstheme="minorHAnsi"/>
          <w:sz w:val="21"/>
          <w:szCs w:val="21"/>
        </w:rPr>
        <w:t>S</w:t>
      </w:r>
      <w:r w:rsidR="0080453D" w:rsidRPr="00F22979">
        <w:rPr>
          <w:rFonts w:asciiTheme="minorHAnsi" w:hAnsiTheme="minorHAnsi" w:cstheme="minorHAnsi"/>
          <w:sz w:val="21"/>
          <w:szCs w:val="21"/>
        </w:rPr>
        <w:t xml:space="preserve">imilar trends were observed </w:t>
      </w:r>
      <w:r w:rsidR="00462742" w:rsidRPr="00F22979">
        <w:rPr>
          <w:rFonts w:asciiTheme="minorHAnsi" w:hAnsiTheme="minorHAnsi" w:cstheme="minorHAnsi"/>
          <w:sz w:val="21"/>
          <w:szCs w:val="21"/>
        </w:rPr>
        <w:t>f</w:t>
      </w:r>
      <w:r w:rsidRPr="00F22979">
        <w:rPr>
          <w:rFonts w:asciiTheme="minorHAnsi" w:hAnsiTheme="minorHAnsi" w:cstheme="minorHAnsi"/>
          <w:sz w:val="21"/>
          <w:szCs w:val="21"/>
        </w:rPr>
        <w:t xml:space="preserve">or Therapist Assist allocations, with very low counts in 2015 (13 total), low counts (approximately 24) from 2016 to early 2018, </w:t>
      </w:r>
      <w:r w:rsidR="00190426">
        <w:rPr>
          <w:rFonts w:asciiTheme="minorHAnsi" w:hAnsiTheme="minorHAnsi" w:cstheme="minorHAnsi"/>
          <w:sz w:val="21"/>
          <w:szCs w:val="21"/>
        </w:rPr>
        <w:t xml:space="preserve">and </w:t>
      </w:r>
      <w:r w:rsidRPr="00F22979">
        <w:rPr>
          <w:rFonts w:asciiTheme="minorHAnsi" w:hAnsiTheme="minorHAnsi" w:cstheme="minorHAnsi"/>
          <w:sz w:val="21"/>
          <w:szCs w:val="21"/>
        </w:rPr>
        <w:t>then consistently high counts since 2019 (over 140).</w:t>
      </w:r>
      <w:bookmarkEnd w:id="47"/>
      <w:bookmarkEnd w:id="48"/>
    </w:p>
    <w:p w14:paraId="25650982" w14:textId="77777777" w:rsidR="008B76BB" w:rsidRDefault="008B76BB">
      <w:pPr>
        <w:rPr>
          <w:rFonts w:ascii="Calibri" w:hAnsi="Calibri" w:cs="Arial"/>
          <w:b/>
          <w:bCs/>
          <w:iCs/>
          <w:color w:val="2F5496" w:themeColor="accent1" w:themeShade="BF"/>
          <w:sz w:val="28"/>
          <w:szCs w:val="28"/>
        </w:rPr>
      </w:pPr>
      <w:r>
        <w:br w:type="page"/>
      </w:r>
    </w:p>
    <w:p w14:paraId="1AE083D6" w14:textId="4E4AC499" w:rsidR="00885266" w:rsidRPr="00313335" w:rsidRDefault="00BF1BF1" w:rsidP="006F6DCB">
      <w:pPr>
        <w:pStyle w:val="Heading2"/>
      </w:pPr>
      <w:bookmarkStart w:id="49" w:name="_Toc108784834"/>
      <w:r w:rsidRPr="000649D1">
        <w:lastRenderedPageBreak/>
        <w:t xml:space="preserve">Uptake of </w:t>
      </w:r>
      <w:proofErr w:type="spellStart"/>
      <w:r w:rsidRPr="000649D1">
        <w:t>MindSpot</w:t>
      </w:r>
      <w:proofErr w:type="spellEnd"/>
      <w:r w:rsidRPr="000649D1">
        <w:t>, January 2013</w:t>
      </w:r>
      <w:r w:rsidR="005329DD" w:rsidRPr="000649D1">
        <w:t xml:space="preserve"> – </w:t>
      </w:r>
      <w:r w:rsidRPr="000649D1">
        <w:t xml:space="preserve">December </w:t>
      </w:r>
      <w:r w:rsidR="000649D1" w:rsidRPr="000649D1">
        <w:t>2021</w:t>
      </w:r>
      <w:bookmarkEnd w:id="49"/>
    </w:p>
    <w:p w14:paraId="7EFD354A" w14:textId="5BE8CE11" w:rsidR="00DE0F28" w:rsidRPr="009C4137" w:rsidRDefault="00DE0F28" w:rsidP="00F84ED2">
      <w:pPr>
        <w:pStyle w:val="Heading3"/>
        <w:numPr>
          <w:ilvl w:val="2"/>
          <w:numId w:val="144"/>
        </w:numPr>
      </w:pPr>
      <w:r>
        <w:t xml:space="preserve">Overall uptake of </w:t>
      </w:r>
      <w:r w:rsidR="00E9394E">
        <w:t xml:space="preserve">all </w:t>
      </w:r>
      <w:proofErr w:type="spellStart"/>
      <w:r>
        <w:t>MindSpot</w:t>
      </w:r>
      <w:proofErr w:type="spellEnd"/>
      <w:r w:rsidR="00E9394E">
        <w:t xml:space="preserve"> services</w:t>
      </w:r>
    </w:p>
    <w:p w14:paraId="2321EF5A" w14:textId="0D363C8B" w:rsidR="00CF7C6D" w:rsidRPr="001D3C19" w:rsidRDefault="00CF7C6D" w:rsidP="002029DC">
      <w:pPr>
        <w:spacing w:after="200"/>
        <w:rPr>
          <w:rFonts w:asciiTheme="minorHAnsi" w:hAnsiTheme="minorHAnsi" w:cstheme="minorHAnsi"/>
          <w:sz w:val="21"/>
          <w:szCs w:val="21"/>
        </w:rPr>
      </w:pPr>
      <w:r w:rsidRPr="001D3C19">
        <w:rPr>
          <w:rFonts w:asciiTheme="minorHAnsi" w:hAnsiTheme="minorHAnsi" w:cstheme="minorHAnsi"/>
          <w:sz w:val="21"/>
          <w:szCs w:val="21"/>
        </w:rPr>
        <w:t xml:space="preserve">Table </w:t>
      </w:r>
      <w:r>
        <w:rPr>
          <w:rFonts w:asciiTheme="minorHAnsi" w:hAnsiTheme="minorHAnsi" w:cstheme="minorHAnsi"/>
          <w:sz w:val="21"/>
          <w:szCs w:val="21"/>
        </w:rPr>
        <w:t>8</w:t>
      </w:r>
      <w:r w:rsidRPr="001D3C19">
        <w:rPr>
          <w:rFonts w:asciiTheme="minorHAnsi" w:hAnsiTheme="minorHAnsi" w:cstheme="minorHAnsi"/>
          <w:sz w:val="21"/>
          <w:szCs w:val="21"/>
        </w:rPr>
        <w:t xml:space="preserve"> presents a summary of key uptake data for </w:t>
      </w:r>
      <w:proofErr w:type="spellStart"/>
      <w:r>
        <w:rPr>
          <w:rFonts w:asciiTheme="minorHAnsi" w:hAnsiTheme="minorHAnsi" w:cstheme="minorHAnsi"/>
          <w:sz w:val="21"/>
          <w:szCs w:val="21"/>
        </w:rPr>
        <w:t>MindSpot</w:t>
      </w:r>
      <w:proofErr w:type="spellEnd"/>
      <w:r w:rsidRPr="001D3C19">
        <w:rPr>
          <w:rFonts w:asciiTheme="minorHAnsi" w:hAnsiTheme="minorHAnsi" w:cstheme="minorHAnsi"/>
          <w:sz w:val="21"/>
          <w:szCs w:val="21"/>
        </w:rPr>
        <w:t xml:space="preserve"> over the </w:t>
      </w:r>
      <w:r>
        <w:rPr>
          <w:rFonts w:asciiTheme="minorHAnsi" w:hAnsiTheme="minorHAnsi" w:cstheme="minorHAnsi"/>
          <w:sz w:val="21"/>
          <w:szCs w:val="21"/>
        </w:rPr>
        <w:t>nine</w:t>
      </w:r>
      <w:r w:rsidRPr="001D3C19">
        <w:rPr>
          <w:rFonts w:asciiTheme="minorHAnsi" w:hAnsiTheme="minorHAnsi" w:cstheme="minorHAnsi"/>
          <w:sz w:val="21"/>
          <w:szCs w:val="21"/>
        </w:rPr>
        <w:t>-year period from January 201</w:t>
      </w:r>
      <w:r>
        <w:rPr>
          <w:rFonts w:asciiTheme="minorHAnsi" w:hAnsiTheme="minorHAnsi" w:cstheme="minorHAnsi"/>
          <w:sz w:val="21"/>
          <w:szCs w:val="21"/>
        </w:rPr>
        <w:t>3</w:t>
      </w:r>
      <w:r w:rsidRPr="001D3C19">
        <w:rPr>
          <w:rFonts w:asciiTheme="minorHAnsi" w:hAnsiTheme="minorHAnsi" w:cstheme="minorHAnsi"/>
          <w:sz w:val="21"/>
          <w:szCs w:val="21"/>
        </w:rPr>
        <w:t xml:space="preserve"> to December 2021.</w:t>
      </w:r>
      <w:r>
        <w:rPr>
          <w:rFonts w:asciiTheme="minorHAnsi" w:hAnsiTheme="minorHAnsi" w:cstheme="minorHAnsi"/>
          <w:sz w:val="21"/>
          <w:szCs w:val="21"/>
        </w:rPr>
        <w:t xml:space="preserve"> These data are for all services offered by </w:t>
      </w:r>
      <w:proofErr w:type="spellStart"/>
      <w:r>
        <w:rPr>
          <w:rFonts w:asciiTheme="minorHAnsi" w:hAnsiTheme="minorHAnsi" w:cstheme="minorHAnsi"/>
          <w:sz w:val="21"/>
          <w:szCs w:val="21"/>
        </w:rPr>
        <w:t>MindSpot</w:t>
      </w:r>
      <w:proofErr w:type="spellEnd"/>
      <w:r>
        <w:rPr>
          <w:rFonts w:asciiTheme="minorHAnsi" w:hAnsiTheme="minorHAnsi" w:cstheme="minorHAnsi"/>
          <w:sz w:val="21"/>
          <w:szCs w:val="21"/>
        </w:rPr>
        <w:t>, not just treatment.</w:t>
      </w:r>
    </w:p>
    <w:p w14:paraId="67E8190C" w14:textId="25E24A76" w:rsidR="00CF7C6D" w:rsidRPr="00AA6B28" w:rsidRDefault="00CF7C6D" w:rsidP="003D1CA1">
      <w:pPr>
        <w:pStyle w:val="tableheading"/>
      </w:pPr>
      <w:r w:rsidRPr="00AA6B28">
        <w:t xml:space="preserve">Table </w:t>
      </w:r>
      <w:r>
        <w:t>8</w:t>
      </w:r>
      <w:r w:rsidRPr="00AA6B28">
        <w:t xml:space="preserve">. Summary </w:t>
      </w:r>
      <w:r>
        <w:t xml:space="preserve">of </w:t>
      </w:r>
      <w:proofErr w:type="spellStart"/>
      <w:r>
        <w:t>MindSpot</w:t>
      </w:r>
      <w:proofErr w:type="spellEnd"/>
      <w:r w:rsidRPr="00AA6B28">
        <w:t xml:space="preserve"> uptake statistics, January 201</w:t>
      </w:r>
      <w:r>
        <w:t xml:space="preserve">3 – </w:t>
      </w:r>
      <w:r w:rsidRPr="00AA6B28">
        <w:t>December 2021</w:t>
      </w:r>
    </w:p>
    <w:tbl>
      <w:tblPr>
        <w:tblStyle w:val="TableGrid"/>
        <w:tblW w:w="0" w:type="auto"/>
        <w:jc w:val="center"/>
        <w:tblLook w:val="04A0" w:firstRow="1" w:lastRow="0" w:firstColumn="1" w:lastColumn="0" w:noHBand="0" w:noVBand="1"/>
        <w:tblCaption w:val="Table 8. Summary of MindSpot uptake statistics, January 2013 – December 2021"/>
        <w:tblDescription w:val="Table describing summary MindSpot uptake statistics from January 2013 to December 2021"/>
      </w:tblPr>
      <w:tblGrid>
        <w:gridCol w:w="5751"/>
        <w:gridCol w:w="982"/>
      </w:tblGrid>
      <w:tr w:rsidR="00CF7C6D" w:rsidRPr="00400F39" w14:paraId="107F26AC" w14:textId="77777777" w:rsidTr="00B973ED">
        <w:trPr>
          <w:trHeight w:val="227"/>
          <w:jc w:val="center"/>
        </w:trPr>
        <w:tc>
          <w:tcPr>
            <w:tcW w:w="0" w:type="auto"/>
            <w:tcBorders>
              <w:bottom w:val="single" w:sz="4" w:space="0" w:color="auto"/>
            </w:tcBorders>
            <w:shd w:val="clear" w:color="auto" w:fill="000000" w:themeFill="text1"/>
          </w:tcPr>
          <w:p w14:paraId="4E15DAE4" w14:textId="77777777" w:rsidR="00CF7C6D" w:rsidRPr="00400F39" w:rsidRDefault="00CF7C6D" w:rsidP="003D1CA1">
            <w:pPr>
              <w:rPr>
                <w:rFonts w:asciiTheme="minorHAnsi" w:hAnsiTheme="minorHAnsi"/>
                <w:sz w:val="18"/>
                <w:szCs w:val="18"/>
              </w:rPr>
            </w:pPr>
            <w:r w:rsidRPr="00400F39">
              <w:rPr>
                <w:rFonts w:asciiTheme="minorHAnsi" w:hAnsiTheme="minorHAnsi"/>
                <w:sz w:val="18"/>
                <w:szCs w:val="18"/>
              </w:rPr>
              <w:t>Unit of counting</w:t>
            </w:r>
          </w:p>
        </w:tc>
        <w:tc>
          <w:tcPr>
            <w:tcW w:w="0" w:type="auto"/>
            <w:tcBorders>
              <w:bottom w:val="single" w:sz="4" w:space="0" w:color="auto"/>
            </w:tcBorders>
            <w:shd w:val="clear" w:color="auto" w:fill="000000" w:themeFill="text1"/>
          </w:tcPr>
          <w:p w14:paraId="377B4E7F" w14:textId="77777777" w:rsidR="00CF7C6D" w:rsidRPr="00400F39" w:rsidRDefault="00CF7C6D" w:rsidP="003D1CA1">
            <w:pPr>
              <w:jc w:val="center"/>
              <w:rPr>
                <w:rFonts w:asciiTheme="minorHAnsi" w:hAnsiTheme="minorHAnsi"/>
                <w:sz w:val="18"/>
                <w:szCs w:val="18"/>
              </w:rPr>
            </w:pPr>
            <w:r w:rsidRPr="00400F39">
              <w:rPr>
                <w:rFonts w:asciiTheme="minorHAnsi" w:hAnsiTheme="minorHAnsi"/>
                <w:sz w:val="18"/>
                <w:szCs w:val="18"/>
              </w:rPr>
              <w:t>Frequency</w:t>
            </w:r>
          </w:p>
        </w:tc>
      </w:tr>
      <w:tr w:rsidR="00CF7C6D" w:rsidRPr="00697855" w14:paraId="0DC7EC00" w14:textId="77777777" w:rsidTr="00B973ED">
        <w:trPr>
          <w:trHeight w:val="283"/>
          <w:jc w:val="center"/>
        </w:trPr>
        <w:tc>
          <w:tcPr>
            <w:tcW w:w="0" w:type="auto"/>
            <w:tcBorders>
              <w:top w:val="nil"/>
              <w:bottom w:val="nil"/>
              <w:right w:val="nil"/>
            </w:tcBorders>
          </w:tcPr>
          <w:p w14:paraId="3C6C0D93" w14:textId="54E8247E" w:rsidR="00CF7C6D" w:rsidRPr="00697855" w:rsidRDefault="00697855" w:rsidP="003D1CA1">
            <w:pPr>
              <w:rPr>
                <w:rFonts w:asciiTheme="minorHAnsi" w:hAnsiTheme="minorHAnsi"/>
                <w:sz w:val="18"/>
                <w:szCs w:val="18"/>
              </w:rPr>
            </w:pPr>
            <w:r w:rsidRPr="00697855">
              <w:rPr>
                <w:rFonts w:asciiTheme="minorHAnsi" w:hAnsiTheme="minorHAnsi"/>
                <w:sz w:val="18"/>
                <w:szCs w:val="18"/>
              </w:rPr>
              <w:t>Consumers started assessment</w:t>
            </w:r>
          </w:p>
        </w:tc>
        <w:tc>
          <w:tcPr>
            <w:tcW w:w="0" w:type="auto"/>
            <w:tcBorders>
              <w:top w:val="nil"/>
              <w:left w:val="nil"/>
              <w:bottom w:val="nil"/>
            </w:tcBorders>
          </w:tcPr>
          <w:p w14:paraId="18519B85" w14:textId="2591E678" w:rsidR="00CF7C6D" w:rsidRPr="00697855" w:rsidRDefault="00697855" w:rsidP="003D1CA1">
            <w:pPr>
              <w:jc w:val="center"/>
              <w:rPr>
                <w:rFonts w:asciiTheme="minorHAnsi" w:hAnsiTheme="minorHAnsi"/>
                <w:sz w:val="18"/>
                <w:szCs w:val="18"/>
              </w:rPr>
            </w:pPr>
            <w:r w:rsidRPr="00697855">
              <w:rPr>
                <w:rFonts w:asciiTheme="minorHAnsi" w:hAnsiTheme="minorHAnsi"/>
                <w:sz w:val="18"/>
                <w:szCs w:val="18"/>
              </w:rPr>
              <w:t>171</w:t>
            </w:r>
            <w:r w:rsidR="009F2343">
              <w:rPr>
                <w:rFonts w:asciiTheme="minorHAnsi" w:hAnsiTheme="minorHAnsi"/>
                <w:sz w:val="18"/>
                <w:szCs w:val="18"/>
              </w:rPr>
              <w:t>,</w:t>
            </w:r>
            <w:r w:rsidRPr="00697855">
              <w:rPr>
                <w:rFonts w:asciiTheme="minorHAnsi" w:hAnsiTheme="minorHAnsi"/>
                <w:sz w:val="18"/>
                <w:szCs w:val="18"/>
              </w:rPr>
              <w:t>070</w:t>
            </w:r>
          </w:p>
        </w:tc>
      </w:tr>
      <w:tr w:rsidR="00CF7C6D" w:rsidRPr="00697855" w14:paraId="77707A96" w14:textId="77777777" w:rsidTr="00B973ED">
        <w:trPr>
          <w:trHeight w:val="283"/>
          <w:jc w:val="center"/>
        </w:trPr>
        <w:tc>
          <w:tcPr>
            <w:tcW w:w="0" w:type="auto"/>
            <w:tcBorders>
              <w:top w:val="nil"/>
              <w:bottom w:val="nil"/>
              <w:right w:val="nil"/>
            </w:tcBorders>
          </w:tcPr>
          <w:p w14:paraId="49B575B2" w14:textId="77777777" w:rsidR="00CF7C6D" w:rsidRPr="00697855" w:rsidRDefault="00CF7C6D" w:rsidP="003D1CA1">
            <w:pPr>
              <w:rPr>
                <w:rFonts w:asciiTheme="minorHAnsi" w:hAnsiTheme="minorHAnsi"/>
                <w:sz w:val="18"/>
                <w:szCs w:val="18"/>
              </w:rPr>
            </w:pPr>
            <w:r w:rsidRPr="00697855">
              <w:rPr>
                <w:rFonts w:asciiTheme="minorHAnsi" w:hAnsiTheme="minorHAnsi"/>
                <w:sz w:val="18"/>
                <w:szCs w:val="18"/>
              </w:rPr>
              <w:t>Consumers completed assessment</w:t>
            </w:r>
          </w:p>
        </w:tc>
        <w:tc>
          <w:tcPr>
            <w:tcW w:w="0" w:type="auto"/>
            <w:tcBorders>
              <w:top w:val="nil"/>
              <w:left w:val="nil"/>
              <w:bottom w:val="nil"/>
            </w:tcBorders>
          </w:tcPr>
          <w:p w14:paraId="51710242" w14:textId="6943490E" w:rsidR="00CF7C6D" w:rsidRPr="00697855" w:rsidRDefault="00697855" w:rsidP="003D1CA1">
            <w:pPr>
              <w:jc w:val="center"/>
              <w:rPr>
                <w:rFonts w:asciiTheme="minorHAnsi" w:hAnsiTheme="minorHAnsi"/>
                <w:sz w:val="18"/>
                <w:szCs w:val="18"/>
              </w:rPr>
            </w:pPr>
            <w:r w:rsidRPr="00697855">
              <w:rPr>
                <w:rFonts w:asciiTheme="minorHAnsi" w:hAnsiTheme="minorHAnsi"/>
                <w:sz w:val="18"/>
                <w:szCs w:val="18"/>
              </w:rPr>
              <w:t>133</w:t>
            </w:r>
            <w:r w:rsidR="009F2343">
              <w:rPr>
                <w:rFonts w:asciiTheme="minorHAnsi" w:hAnsiTheme="minorHAnsi"/>
                <w:sz w:val="18"/>
                <w:szCs w:val="18"/>
              </w:rPr>
              <w:t>,</w:t>
            </w:r>
            <w:r w:rsidRPr="00697855">
              <w:rPr>
                <w:rFonts w:asciiTheme="minorHAnsi" w:hAnsiTheme="minorHAnsi"/>
                <w:sz w:val="18"/>
                <w:szCs w:val="18"/>
              </w:rPr>
              <w:t>447</w:t>
            </w:r>
          </w:p>
        </w:tc>
      </w:tr>
      <w:tr w:rsidR="009F2343" w:rsidRPr="00F96740" w14:paraId="618FBA3F" w14:textId="77777777" w:rsidTr="00B973ED">
        <w:trPr>
          <w:trHeight w:val="283"/>
          <w:jc w:val="center"/>
        </w:trPr>
        <w:tc>
          <w:tcPr>
            <w:tcW w:w="0" w:type="auto"/>
            <w:tcBorders>
              <w:top w:val="nil"/>
              <w:bottom w:val="nil"/>
              <w:right w:val="nil"/>
            </w:tcBorders>
          </w:tcPr>
          <w:p w14:paraId="4C550A7F" w14:textId="1D6A90D9" w:rsidR="009F2343" w:rsidRPr="00697855" w:rsidRDefault="009F2343" w:rsidP="003D1CA1">
            <w:pPr>
              <w:rPr>
                <w:rFonts w:asciiTheme="minorHAnsi" w:hAnsiTheme="minorHAnsi"/>
                <w:sz w:val="18"/>
                <w:szCs w:val="18"/>
              </w:rPr>
            </w:pPr>
            <w:r w:rsidRPr="00697855">
              <w:rPr>
                <w:rFonts w:asciiTheme="minorHAnsi" w:hAnsiTheme="minorHAnsi"/>
                <w:sz w:val="18"/>
                <w:szCs w:val="18"/>
              </w:rPr>
              <w:t xml:space="preserve">Consumers enrolled in </w:t>
            </w:r>
            <w:r>
              <w:rPr>
                <w:rFonts w:asciiTheme="minorHAnsi" w:hAnsiTheme="minorHAnsi"/>
                <w:sz w:val="18"/>
                <w:szCs w:val="18"/>
              </w:rPr>
              <w:t xml:space="preserve">any </w:t>
            </w:r>
            <w:r w:rsidRPr="00697855">
              <w:rPr>
                <w:rFonts w:asciiTheme="minorHAnsi" w:hAnsiTheme="minorHAnsi"/>
                <w:sz w:val="18"/>
                <w:szCs w:val="18"/>
              </w:rPr>
              <w:t xml:space="preserve">treatment </w:t>
            </w:r>
          </w:p>
        </w:tc>
        <w:tc>
          <w:tcPr>
            <w:tcW w:w="0" w:type="auto"/>
            <w:tcBorders>
              <w:top w:val="nil"/>
              <w:left w:val="nil"/>
              <w:bottom w:val="nil"/>
            </w:tcBorders>
          </w:tcPr>
          <w:p w14:paraId="7580998D" w14:textId="55569885" w:rsidR="009F2343" w:rsidRPr="00697855" w:rsidRDefault="009F2343" w:rsidP="003D1CA1">
            <w:pPr>
              <w:jc w:val="center"/>
              <w:rPr>
                <w:rFonts w:asciiTheme="minorHAnsi" w:hAnsiTheme="minorHAnsi"/>
                <w:sz w:val="18"/>
                <w:szCs w:val="18"/>
              </w:rPr>
            </w:pPr>
            <w:r w:rsidRPr="009F2343">
              <w:rPr>
                <w:rFonts w:asciiTheme="minorHAnsi" w:hAnsiTheme="minorHAnsi"/>
                <w:sz w:val="18"/>
                <w:szCs w:val="18"/>
              </w:rPr>
              <w:t>35</w:t>
            </w:r>
            <w:r>
              <w:rPr>
                <w:rFonts w:asciiTheme="minorHAnsi" w:hAnsiTheme="minorHAnsi"/>
                <w:sz w:val="18"/>
                <w:szCs w:val="18"/>
              </w:rPr>
              <w:t>,</w:t>
            </w:r>
            <w:r w:rsidRPr="009F2343">
              <w:rPr>
                <w:rFonts w:asciiTheme="minorHAnsi" w:hAnsiTheme="minorHAnsi"/>
                <w:sz w:val="18"/>
                <w:szCs w:val="18"/>
              </w:rPr>
              <w:t>942</w:t>
            </w:r>
          </w:p>
        </w:tc>
      </w:tr>
      <w:tr w:rsidR="009F2343" w:rsidRPr="00F96740" w14:paraId="13322658" w14:textId="77777777" w:rsidTr="00B973ED">
        <w:trPr>
          <w:trHeight w:val="283"/>
          <w:jc w:val="center"/>
        </w:trPr>
        <w:tc>
          <w:tcPr>
            <w:tcW w:w="0" w:type="auto"/>
            <w:tcBorders>
              <w:top w:val="nil"/>
              <w:bottom w:val="nil"/>
              <w:right w:val="nil"/>
            </w:tcBorders>
          </w:tcPr>
          <w:p w14:paraId="585A6F0C" w14:textId="6E20CF77" w:rsidR="009F2343" w:rsidRPr="00697855" w:rsidRDefault="009F2343" w:rsidP="003D1CA1">
            <w:pPr>
              <w:rPr>
                <w:rFonts w:asciiTheme="minorHAnsi" w:hAnsiTheme="minorHAnsi"/>
                <w:sz w:val="18"/>
                <w:szCs w:val="18"/>
              </w:rPr>
            </w:pPr>
            <w:r w:rsidRPr="004B7783">
              <w:rPr>
                <w:rFonts w:asciiTheme="minorHAnsi" w:hAnsiTheme="minorHAnsi"/>
                <w:sz w:val="18"/>
                <w:szCs w:val="18"/>
              </w:rPr>
              <w:t xml:space="preserve">Consumers started </w:t>
            </w:r>
            <w:r>
              <w:rPr>
                <w:rFonts w:asciiTheme="minorHAnsi" w:hAnsiTheme="minorHAnsi"/>
                <w:sz w:val="18"/>
                <w:szCs w:val="18"/>
              </w:rPr>
              <w:t xml:space="preserve">any </w:t>
            </w:r>
            <w:r w:rsidRPr="004B7783">
              <w:rPr>
                <w:rFonts w:asciiTheme="minorHAnsi" w:hAnsiTheme="minorHAnsi"/>
                <w:sz w:val="18"/>
                <w:szCs w:val="18"/>
              </w:rPr>
              <w:t xml:space="preserve">treatment </w:t>
            </w:r>
          </w:p>
        </w:tc>
        <w:tc>
          <w:tcPr>
            <w:tcW w:w="0" w:type="auto"/>
            <w:tcBorders>
              <w:top w:val="nil"/>
              <w:left w:val="nil"/>
              <w:bottom w:val="nil"/>
            </w:tcBorders>
          </w:tcPr>
          <w:p w14:paraId="20630E8E" w14:textId="7625F882" w:rsidR="009F2343" w:rsidRPr="00697855" w:rsidRDefault="009F2343" w:rsidP="003D1CA1">
            <w:pPr>
              <w:jc w:val="center"/>
              <w:rPr>
                <w:rFonts w:asciiTheme="minorHAnsi" w:hAnsiTheme="minorHAnsi"/>
                <w:sz w:val="18"/>
                <w:szCs w:val="18"/>
              </w:rPr>
            </w:pPr>
            <w:r w:rsidRPr="009F2343">
              <w:rPr>
                <w:rFonts w:asciiTheme="minorHAnsi" w:hAnsiTheme="minorHAnsi"/>
                <w:sz w:val="18"/>
                <w:szCs w:val="18"/>
              </w:rPr>
              <w:t>30</w:t>
            </w:r>
            <w:r>
              <w:rPr>
                <w:rFonts w:asciiTheme="minorHAnsi" w:hAnsiTheme="minorHAnsi"/>
                <w:sz w:val="18"/>
                <w:szCs w:val="18"/>
              </w:rPr>
              <w:t>,</w:t>
            </w:r>
            <w:r w:rsidRPr="009F2343">
              <w:rPr>
                <w:rFonts w:asciiTheme="minorHAnsi" w:hAnsiTheme="minorHAnsi"/>
                <w:sz w:val="18"/>
                <w:szCs w:val="18"/>
              </w:rPr>
              <w:t>384</w:t>
            </w:r>
          </w:p>
        </w:tc>
      </w:tr>
      <w:tr w:rsidR="009F2343" w:rsidRPr="00F96740" w14:paraId="0E823C9A" w14:textId="77777777" w:rsidTr="00B973ED">
        <w:trPr>
          <w:trHeight w:val="283"/>
          <w:jc w:val="center"/>
        </w:trPr>
        <w:tc>
          <w:tcPr>
            <w:tcW w:w="0" w:type="auto"/>
            <w:tcBorders>
              <w:top w:val="nil"/>
              <w:bottom w:val="nil"/>
              <w:right w:val="nil"/>
            </w:tcBorders>
          </w:tcPr>
          <w:p w14:paraId="1DFC5437" w14:textId="735A04A4" w:rsidR="009F2343" w:rsidRPr="00697855" w:rsidRDefault="009F2343" w:rsidP="003D1CA1">
            <w:pPr>
              <w:rPr>
                <w:rFonts w:asciiTheme="minorHAnsi" w:hAnsiTheme="minorHAnsi"/>
                <w:sz w:val="18"/>
                <w:szCs w:val="18"/>
              </w:rPr>
            </w:pPr>
            <w:r w:rsidRPr="004B7783">
              <w:rPr>
                <w:rFonts w:asciiTheme="minorHAnsi" w:hAnsiTheme="minorHAnsi"/>
                <w:sz w:val="18"/>
                <w:szCs w:val="18"/>
              </w:rPr>
              <w:t xml:space="preserve">Consumers </w:t>
            </w:r>
            <w:r>
              <w:rPr>
                <w:rFonts w:asciiTheme="minorHAnsi" w:hAnsiTheme="minorHAnsi"/>
                <w:sz w:val="18"/>
                <w:szCs w:val="18"/>
              </w:rPr>
              <w:t>comple</w:t>
            </w:r>
            <w:r w:rsidRPr="004B7783">
              <w:rPr>
                <w:rFonts w:asciiTheme="minorHAnsi" w:hAnsiTheme="minorHAnsi"/>
                <w:sz w:val="18"/>
                <w:szCs w:val="18"/>
              </w:rPr>
              <w:t xml:space="preserve">ted </w:t>
            </w:r>
            <w:r>
              <w:rPr>
                <w:rFonts w:asciiTheme="minorHAnsi" w:hAnsiTheme="minorHAnsi"/>
                <w:sz w:val="18"/>
                <w:szCs w:val="18"/>
              </w:rPr>
              <w:t xml:space="preserve">any </w:t>
            </w:r>
            <w:proofErr w:type="spellStart"/>
            <w:r w:rsidRPr="004B7783">
              <w:rPr>
                <w:rFonts w:asciiTheme="minorHAnsi" w:hAnsiTheme="minorHAnsi"/>
                <w:sz w:val="18"/>
                <w:szCs w:val="18"/>
              </w:rPr>
              <w:t>treatment</w:t>
            </w:r>
            <w:r w:rsidR="00701F75" w:rsidRPr="00701F75">
              <w:rPr>
                <w:rFonts w:asciiTheme="minorHAnsi" w:hAnsiTheme="minorHAnsi"/>
                <w:sz w:val="18"/>
                <w:szCs w:val="18"/>
                <w:vertAlign w:val="superscript"/>
              </w:rPr>
              <w:t>a</w:t>
            </w:r>
            <w:proofErr w:type="spellEnd"/>
          </w:p>
        </w:tc>
        <w:tc>
          <w:tcPr>
            <w:tcW w:w="0" w:type="auto"/>
            <w:tcBorders>
              <w:top w:val="nil"/>
              <w:left w:val="nil"/>
              <w:bottom w:val="nil"/>
            </w:tcBorders>
          </w:tcPr>
          <w:p w14:paraId="743774A1" w14:textId="29BB9D65" w:rsidR="009F2343" w:rsidRPr="00697855" w:rsidRDefault="009F2343" w:rsidP="003D1CA1">
            <w:pPr>
              <w:jc w:val="center"/>
              <w:rPr>
                <w:rFonts w:asciiTheme="minorHAnsi" w:hAnsiTheme="minorHAnsi"/>
                <w:sz w:val="18"/>
                <w:szCs w:val="18"/>
              </w:rPr>
            </w:pPr>
            <w:r w:rsidRPr="009F2343">
              <w:rPr>
                <w:rFonts w:asciiTheme="minorHAnsi" w:hAnsiTheme="minorHAnsi"/>
                <w:sz w:val="18"/>
                <w:szCs w:val="18"/>
              </w:rPr>
              <w:t>20</w:t>
            </w:r>
            <w:r>
              <w:rPr>
                <w:rFonts w:asciiTheme="minorHAnsi" w:hAnsiTheme="minorHAnsi"/>
                <w:sz w:val="18"/>
                <w:szCs w:val="18"/>
              </w:rPr>
              <w:t>,</w:t>
            </w:r>
            <w:r w:rsidRPr="009F2343">
              <w:rPr>
                <w:rFonts w:asciiTheme="minorHAnsi" w:hAnsiTheme="minorHAnsi"/>
                <w:sz w:val="18"/>
                <w:szCs w:val="18"/>
              </w:rPr>
              <w:t>267</w:t>
            </w:r>
          </w:p>
        </w:tc>
      </w:tr>
      <w:tr w:rsidR="009F2343" w:rsidRPr="00F96740" w14:paraId="588B53FE" w14:textId="77777777" w:rsidTr="00B973ED">
        <w:trPr>
          <w:trHeight w:val="283"/>
          <w:jc w:val="center"/>
        </w:trPr>
        <w:tc>
          <w:tcPr>
            <w:tcW w:w="0" w:type="auto"/>
            <w:tcBorders>
              <w:top w:val="nil"/>
              <w:bottom w:val="nil"/>
              <w:right w:val="nil"/>
            </w:tcBorders>
          </w:tcPr>
          <w:p w14:paraId="6FB84922" w14:textId="20C2B285" w:rsidR="009F2343" w:rsidRPr="00697855" w:rsidRDefault="009F2343" w:rsidP="003D1CA1">
            <w:pPr>
              <w:rPr>
                <w:rFonts w:asciiTheme="minorHAnsi" w:hAnsiTheme="minorHAnsi"/>
                <w:sz w:val="18"/>
                <w:szCs w:val="18"/>
              </w:rPr>
            </w:pPr>
            <w:r w:rsidRPr="004B7783">
              <w:rPr>
                <w:rFonts w:asciiTheme="minorHAnsi" w:hAnsiTheme="minorHAnsi"/>
                <w:sz w:val="18"/>
                <w:szCs w:val="18"/>
              </w:rPr>
              <w:t xml:space="preserve">Consumers </w:t>
            </w:r>
            <w:r>
              <w:rPr>
                <w:rFonts w:asciiTheme="minorHAnsi" w:hAnsiTheme="minorHAnsi"/>
                <w:sz w:val="18"/>
                <w:szCs w:val="18"/>
              </w:rPr>
              <w:t>comple</w:t>
            </w:r>
            <w:r w:rsidRPr="004B7783">
              <w:rPr>
                <w:rFonts w:asciiTheme="minorHAnsi" w:hAnsiTheme="minorHAnsi"/>
                <w:sz w:val="18"/>
                <w:szCs w:val="18"/>
              </w:rPr>
              <w:t xml:space="preserve">ted </w:t>
            </w:r>
            <w:r>
              <w:rPr>
                <w:rFonts w:asciiTheme="minorHAnsi" w:hAnsiTheme="minorHAnsi"/>
                <w:sz w:val="18"/>
                <w:szCs w:val="18"/>
              </w:rPr>
              <w:t>3-month follow up</w:t>
            </w:r>
          </w:p>
        </w:tc>
        <w:tc>
          <w:tcPr>
            <w:tcW w:w="0" w:type="auto"/>
            <w:tcBorders>
              <w:top w:val="nil"/>
              <w:left w:val="nil"/>
              <w:bottom w:val="nil"/>
            </w:tcBorders>
          </w:tcPr>
          <w:p w14:paraId="0BDA80C9" w14:textId="1D92036F" w:rsidR="009F2343" w:rsidRPr="00697855" w:rsidRDefault="009F2343" w:rsidP="003D1CA1">
            <w:pPr>
              <w:jc w:val="center"/>
              <w:rPr>
                <w:rFonts w:asciiTheme="minorHAnsi" w:hAnsiTheme="minorHAnsi"/>
                <w:sz w:val="18"/>
                <w:szCs w:val="18"/>
              </w:rPr>
            </w:pPr>
            <w:r w:rsidRPr="009F2343">
              <w:rPr>
                <w:rFonts w:asciiTheme="minorHAnsi" w:hAnsiTheme="minorHAnsi"/>
                <w:sz w:val="18"/>
                <w:szCs w:val="18"/>
              </w:rPr>
              <w:t>10</w:t>
            </w:r>
            <w:r>
              <w:rPr>
                <w:rFonts w:asciiTheme="minorHAnsi" w:hAnsiTheme="minorHAnsi"/>
                <w:sz w:val="18"/>
                <w:szCs w:val="18"/>
              </w:rPr>
              <w:t>,</w:t>
            </w:r>
            <w:r w:rsidRPr="009F2343">
              <w:rPr>
                <w:rFonts w:asciiTheme="minorHAnsi" w:hAnsiTheme="minorHAnsi"/>
                <w:sz w:val="18"/>
                <w:szCs w:val="18"/>
              </w:rPr>
              <w:t>473</w:t>
            </w:r>
          </w:p>
        </w:tc>
      </w:tr>
      <w:tr w:rsidR="00CA2C2E" w:rsidRPr="00F96740" w14:paraId="1048520F" w14:textId="77777777" w:rsidTr="00B973ED">
        <w:trPr>
          <w:trHeight w:val="283"/>
          <w:jc w:val="center"/>
        </w:trPr>
        <w:tc>
          <w:tcPr>
            <w:tcW w:w="0" w:type="auto"/>
            <w:tcBorders>
              <w:top w:val="nil"/>
              <w:bottom w:val="nil"/>
              <w:right w:val="nil"/>
            </w:tcBorders>
          </w:tcPr>
          <w:p w14:paraId="311BB9D0" w14:textId="2B307757" w:rsidR="00CA2C2E" w:rsidRPr="005123A3" w:rsidRDefault="00CA2C2E" w:rsidP="003D1CA1">
            <w:pPr>
              <w:rPr>
                <w:rFonts w:asciiTheme="minorHAnsi" w:hAnsiTheme="minorHAnsi"/>
                <w:sz w:val="18"/>
                <w:szCs w:val="18"/>
              </w:rPr>
            </w:pPr>
            <w:r w:rsidRPr="005123A3">
              <w:rPr>
                <w:rFonts w:asciiTheme="minorHAnsi" w:hAnsiTheme="minorHAnsi"/>
                <w:sz w:val="18"/>
                <w:szCs w:val="18"/>
              </w:rPr>
              <w:t>Consumers enrolled in therapist-</w:t>
            </w:r>
            <w:r w:rsidR="005123A3" w:rsidRPr="005123A3">
              <w:rPr>
                <w:rFonts w:asciiTheme="minorHAnsi" w:hAnsiTheme="minorHAnsi"/>
                <w:sz w:val="18"/>
                <w:szCs w:val="18"/>
              </w:rPr>
              <w:t xml:space="preserve">supported </w:t>
            </w:r>
            <w:r w:rsidRPr="005123A3">
              <w:rPr>
                <w:rFonts w:asciiTheme="minorHAnsi" w:hAnsiTheme="minorHAnsi"/>
                <w:sz w:val="18"/>
                <w:szCs w:val="18"/>
              </w:rPr>
              <w:t xml:space="preserve">treatment </w:t>
            </w:r>
          </w:p>
        </w:tc>
        <w:tc>
          <w:tcPr>
            <w:tcW w:w="0" w:type="auto"/>
            <w:tcBorders>
              <w:top w:val="nil"/>
              <w:left w:val="nil"/>
              <w:bottom w:val="nil"/>
            </w:tcBorders>
          </w:tcPr>
          <w:p w14:paraId="0FB43B01" w14:textId="059A87B4" w:rsidR="00CA2C2E" w:rsidRPr="00F96740" w:rsidRDefault="00CA2C2E" w:rsidP="003D1CA1">
            <w:pPr>
              <w:jc w:val="center"/>
              <w:rPr>
                <w:rFonts w:asciiTheme="minorHAnsi" w:hAnsiTheme="minorHAnsi"/>
                <w:sz w:val="18"/>
                <w:szCs w:val="18"/>
                <w:highlight w:val="yellow"/>
              </w:rPr>
            </w:pPr>
            <w:r w:rsidRPr="00697855">
              <w:rPr>
                <w:rFonts w:asciiTheme="minorHAnsi" w:hAnsiTheme="minorHAnsi"/>
                <w:sz w:val="18"/>
                <w:szCs w:val="18"/>
              </w:rPr>
              <w:t>34</w:t>
            </w:r>
            <w:r w:rsidR="009F2343">
              <w:rPr>
                <w:rFonts w:asciiTheme="minorHAnsi" w:hAnsiTheme="minorHAnsi"/>
                <w:sz w:val="18"/>
                <w:szCs w:val="18"/>
              </w:rPr>
              <w:t>,</w:t>
            </w:r>
            <w:r w:rsidRPr="00697855">
              <w:rPr>
                <w:rFonts w:asciiTheme="minorHAnsi" w:hAnsiTheme="minorHAnsi"/>
                <w:sz w:val="18"/>
                <w:szCs w:val="18"/>
              </w:rPr>
              <w:t>390</w:t>
            </w:r>
          </w:p>
        </w:tc>
      </w:tr>
      <w:tr w:rsidR="00CA2C2E" w:rsidRPr="00F96740" w14:paraId="535E28BD" w14:textId="77777777" w:rsidTr="00B973ED">
        <w:trPr>
          <w:trHeight w:val="283"/>
          <w:jc w:val="center"/>
        </w:trPr>
        <w:tc>
          <w:tcPr>
            <w:tcW w:w="0" w:type="auto"/>
            <w:tcBorders>
              <w:top w:val="nil"/>
              <w:bottom w:val="nil"/>
              <w:right w:val="nil"/>
            </w:tcBorders>
          </w:tcPr>
          <w:p w14:paraId="4180C1DF" w14:textId="45F6E15D" w:rsidR="00CA2C2E" w:rsidRPr="005123A3" w:rsidRDefault="00CA2C2E" w:rsidP="003D1CA1">
            <w:pPr>
              <w:rPr>
                <w:rFonts w:asciiTheme="minorHAnsi" w:hAnsiTheme="minorHAnsi"/>
                <w:sz w:val="18"/>
                <w:szCs w:val="18"/>
              </w:rPr>
            </w:pPr>
            <w:r w:rsidRPr="005123A3">
              <w:rPr>
                <w:rFonts w:asciiTheme="minorHAnsi" w:hAnsiTheme="minorHAnsi"/>
                <w:sz w:val="18"/>
                <w:szCs w:val="18"/>
              </w:rPr>
              <w:t>Consumers started therapist-</w:t>
            </w:r>
            <w:r w:rsidR="005123A3" w:rsidRPr="005123A3">
              <w:rPr>
                <w:rFonts w:asciiTheme="minorHAnsi" w:hAnsiTheme="minorHAnsi"/>
                <w:sz w:val="18"/>
                <w:szCs w:val="18"/>
              </w:rPr>
              <w:t>supported</w:t>
            </w:r>
            <w:r w:rsidRPr="005123A3">
              <w:rPr>
                <w:rFonts w:asciiTheme="minorHAnsi" w:hAnsiTheme="minorHAnsi"/>
                <w:sz w:val="18"/>
                <w:szCs w:val="18"/>
              </w:rPr>
              <w:t xml:space="preserve"> treatment </w:t>
            </w:r>
          </w:p>
        </w:tc>
        <w:tc>
          <w:tcPr>
            <w:tcW w:w="0" w:type="auto"/>
            <w:tcBorders>
              <w:top w:val="nil"/>
              <w:left w:val="nil"/>
              <w:bottom w:val="nil"/>
            </w:tcBorders>
          </w:tcPr>
          <w:p w14:paraId="039A593D" w14:textId="1454B7B8" w:rsidR="00CA2C2E" w:rsidRPr="00F96740" w:rsidRDefault="00CA2C2E" w:rsidP="003D1CA1">
            <w:pPr>
              <w:jc w:val="center"/>
              <w:rPr>
                <w:rFonts w:asciiTheme="minorHAnsi" w:hAnsiTheme="minorHAnsi"/>
                <w:sz w:val="18"/>
                <w:szCs w:val="18"/>
                <w:highlight w:val="yellow"/>
              </w:rPr>
            </w:pPr>
            <w:r w:rsidRPr="004B7783">
              <w:rPr>
                <w:rFonts w:asciiTheme="minorHAnsi" w:hAnsiTheme="minorHAnsi"/>
                <w:sz w:val="18"/>
                <w:szCs w:val="18"/>
              </w:rPr>
              <w:t>28</w:t>
            </w:r>
            <w:r w:rsidR="009F2343">
              <w:rPr>
                <w:rFonts w:asciiTheme="minorHAnsi" w:hAnsiTheme="minorHAnsi"/>
                <w:sz w:val="18"/>
                <w:szCs w:val="18"/>
              </w:rPr>
              <w:t>,</w:t>
            </w:r>
            <w:r w:rsidRPr="004B7783">
              <w:rPr>
                <w:rFonts w:asciiTheme="minorHAnsi" w:hAnsiTheme="minorHAnsi"/>
                <w:sz w:val="18"/>
                <w:szCs w:val="18"/>
              </w:rPr>
              <w:t>832</w:t>
            </w:r>
          </w:p>
        </w:tc>
      </w:tr>
      <w:tr w:rsidR="00CA2C2E" w:rsidRPr="00F96740" w14:paraId="6A6E3174" w14:textId="77777777" w:rsidTr="00B973ED">
        <w:trPr>
          <w:trHeight w:val="283"/>
          <w:jc w:val="center"/>
        </w:trPr>
        <w:tc>
          <w:tcPr>
            <w:tcW w:w="0" w:type="auto"/>
            <w:tcBorders>
              <w:top w:val="nil"/>
              <w:bottom w:val="nil"/>
              <w:right w:val="nil"/>
            </w:tcBorders>
          </w:tcPr>
          <w:p w14:paraId="0E7A5D2D" w14:textId="19E901E9" w:rsidR="00CA2C2E" w:rsidRPr="00F96740" w:rsidRDefault="00CA2C2E" w:rsidP="003D1CA1">
            <w:pPr>
              <w:rPr>
                <w:rFonts w:asciiTheme="minorHAnsi" w:hAnsiTheme="minorHAnsi"/>
                <w:sz w:val="18"/>
                <w:szCs w:val="18"/>
                <w:highlight w:val="yellow"/>
              </w:rPr>
            </w:pPr>
            <w:r w:rsidRPr="004B7783">
              <w:rPr>
                <w:rFonts w:asciiTheme="minorHAnsi" w:hAnsiTheme="minorHAnsi"/>
                <w:sz w:val="18"/>
                <w:szCs w:val="18"/>
              </w:rPr>
              <w:t xml:space="preserve">Consumers </w:t>
            </w:r>
            <w:r>
              <w:rPr>
                <w:rFonts w:asciiTheme="minorHAnsi" w:hAnsiTheme="minorHAnsi"/>
                <w:sz w:val="18"/>
                <w:szCs w:val="18"/>
              </w:rPr>
              <w:t>comple</w:t>
            </w:r>
            <w:r w:rsidRPr="004B7783">
              <w:rPr>
                <w:rFonts w:asciiTheme="minorHAnsi" w:hAnsiTheme="minorHAnsi"/>
                <w:sz w:val="18"/>
                <w:szCs w:val="18"/>
              </w:rPr>
              <w:t xml:space="preserve">ted </w:t>
            </w:r>
            <w:r>
              <w:rPr>
                <w:rFonts w:asciiTheme="minorHAnsi" w:hAnsiTheme="minorHAnsi"/>
                <w:sz w:val="18"/>
                <w:szCs w:val="18"/>
              </w:rPr>
              <w:t>therapist-</w:t>
            </w:r>
            <w:r w:rsidR="00531459">
              <w:rPr>
                <w:rFonts w:asciiTheme="minorHAnsi" w:hAnsiTheme="minorHAnsi"/>
                <w:sz w:val="18"/>
                <w:szCs w:val="18"/>
              </w:rPr>
              <w:t>supported</w:t>
            </w:r>
            <w:r>
              <w:rPr>
                <w:rFonts w:asciiTheme="minorHAnsi" w:hAnsiTheme="minorHAnsi"/>
                <w:sz w:val="18"/>
                <w:szCs w:val="18"/>
              </w:rPr>
              <w:t xml:space="preserve"> </w:t>
            </w:r>
            <w:proofErr w:type="spellStart"/>
            <w:r w:rsidRPr="004B7783">
              <w:rPr>
                <w:rFonts w:asciiTheme="minorHAnsi" w:hAnsiTheme="minorHAnsi"/>
                <w:sz w:val="18"/>
                <w:szCs w:val="18"/>
              </w:rPr>
              <w:t>treatment</w:t>
            </w:r>
            <w:r w:rsidR="00701F75" w:rsidRPr="00701F75">
              <w:rPr>
                <w:rFonts w:asciiTheme="minorHAnsi" w:hAnsiTheme="minorHAnsi"/>
                <w:sz w:val="18"/>
                <w:szCs w:val="18"/>
                <w:vertAlign w:val="superscript"/>
              </w:rPr>
              <w:t>a</w:t>
            </w:r>
            <w:proofErr w:type="spellEnd"/>
          </w:p>
        </w:tc>
        <w:tc>
          <w:tcPr>
            <w:tcW w:w="0" w:type="auto"/>
            <w:tcBorders>
              <w:top w:val="nil"/>
              <w:left w:val="nil"/>
              <w:bottom w:val="nil"/>
            </w:tcBorders>
          </w:tcPr>
          <w:p w14:paraId="07553210" w14:textId="1118D195" w:rsidR="00CA2C2E" w:rsidRPr="00F96740" w:rsidRDefault="00CA2C2E" w:rsidP="003D1CA1">
            <w:pPr>
              <w:jc w:val="center"/>
              <w:rPr>
                <w:rFonts w:asciiTheme="minorHAnsi" w:hAnsiTheme="minorHAnsi"/>
                <w:sz w:val="18"/>
                <w:szCs w:val="18"/>
                <w:highlight w:val="yellow"/>
              </w:rPr>
            </w:pPr>
            <w:r w:rsidRPr="00125145">
              <w:rPr>
                <w:rFonts w:asciiTheme="minorHAnsi" w:hAnsiTheme="minorHAnsi"/>
                <w:sz w:val="18"/>
                <w:szCs w:val="18"/>
              </w:rPr>
              <w:t>18</w:t>
            </w:r>
            <w:r w:rsidR="009F2343">
              <w:rPr>
                <w:rFonts w:asciiTheme="minorHAnsi" w:hAnsiTheme="minorHAnsi"/>
                <w:sz w:val="18"/>
                <w:szCs w:val="18"/>
              </w:rPr>
              <w:t>,</w:t>
            </w:r>
            <w:r w:rsidRPr="00125145">
              <w:rPr>
                <w:rFonts w:asciiTheme="minorHAnsi" w:hAnsiTheme="minorHAnsi"/>
                <w:sz w:val="18"/>
                <w:szCs w:val="18"/>
              </w:rPr>
              <w:t>715</w:t>
            </w:r>
          </w:p>
        </w:tc>
      </w:tr>
      <w:tr w:rsidR="00CA2C2E" w:rsidRPr="00F96740" w14:paraId="633DA328" w14:textId="77777777" w:rsidTr="00313335">
        <w:trPr>
          <w:trHeight w:val="283"/>
          <w:jc w:val="center"/>
        </w:trPr>
        <w:tc>
          <w:tcPr>
            <w:tcW w:w="0" w:type="auto"/>
            <w:tcBorders>
              <w:top w:val="nil"/>
              <w:bottom w:val="nil"/>
              <w:right w:val="nil"/>
            </w:tcBorders>
          </w:tcPr>
          <w:p w14:paraId="08AF1EE2" w14:textId="4F868D84" w:rsidR="00CA2C2E" w:rsidRPr="00E357F8" w:rsidRDefault="00CA2C2E" w:rsidP="003D1CA1">
            <w:pPr>
              <w:rPr>
                <w:rFonts w:asciiTheme="minorHAnsi" w:hAnsiTheme="minorHAnsi"/>
                <w:sz w:val="18"/>
                <w:szCs w:val="18"/>
              </w:rPr>
            </w:pPr>
            <w:r w:rsidRPr="00E357F8">
              <w:rPr>
                <w:rFonts w:asciiTheme="minorHAnsi" w:hAnsiTheme="minorHAnsi"/>
                <w:sz w:val="18"/>
                <w:szCs w:val="18"/>
              </w:rPr>
              <w:t>Consumers of therapist-</w:t>
            </w:r>
            <w:r w:rsidR="00531459" w:rsidRPr="00E357F8">
              <w:rPr>
                <w:rFonts w:asciiTheme="minorHAnsi" w:hAnsiTheme="minorHAnsi"/>
                <w:sz w:val="18"/>
                <w:szCs w:val="18"/>
              </w:rPr>
              <w:t>supported</w:t>
            </w:r>
            <w:r w:rsidRPr="00E357F8">
              <w:rPr>
                <w:rFonts w:asciiTheme="minorHAnsi" w:hAnsiTheme="minorHAnsi"/>
                <w:sz w:val="18"/>
                <w:szCs w:val="18"/>
              </w:rPr>
              <w:t xml:space="preserve"> treatment completed 3-month follow up</w:t>
            </w:r>
          </w:p>
        </w:tc>
        <w:tc>
          <w:tcPr>
            <w:tcW w:w="0" w:type="auto"/>
            <w:tcBorders>
              <w:top w:val="nil"/>
              <w:left w:val="nil"/>
              <w:bottom w:val="nil"/>
            </w:tcBorders>
          </w:tcPr>
          <w:p w14:paraId="41408511" w14:textId="002CFC67" w:rsidR="00CA2C2E" w:rsidRPr="00F96740" w:rsidRDefault="00CA2C2E" w:rsidP="003D1CA1">
            <w:pPr>
              <w:jc w:val="center"/>
              <w:rPr>
                <w:rFonts w:asciiTheme="minorHAnsi" w:hAnsiTheme="minorHAnsi"/>
                <w:sz w:val="18"/>
                <w:szCs w:val="18"/>
                <w:highlight w:val="yellow"/>
              </w:rPr>
            </w:pPr>
            <w:r w:rsidRPr="00A434C1">
              <w:rPr>
                <w:rFonts w:asciiTheme="minorHAnsi" w:hAnsiTheme="minorHAnsi"/>
                <w:sz w:val="18"/>
                <w:szCs w:val="18"/>
              </w:rPr>
              <w:t>10</w:t>
            </w:r>
            <w:r w:rsidR="009F2343">
              <w:rPr>
                <w:rFonts w:asciiTheme="minorHAnsi" w:hAnsiTheme="minorHAnsi"/>
                <w:sz w:val="18"/>
                <w:szCs w:val="18"/>
              </w:rPr>
              <w:t>,</w:t>
            </w:r>
            <w:r w:rsidRPr="00A434C1">
              <w:rPr>
                <w:rFonts w:asciiTheme="minorHAnsi" w:hAnsiTheme="minorHAnsi"/>
                <w:sz w:val="18"/>
                <w:szCs w:val="18"/>
              </w:rPr>
              <w:t>163</w:t>
            </w:r>
          </w:p>
        </w:tc>
      </w:tr>
      <w:tr w:rsidR="006B5558" w:rsidRPr="00F96740" w14:paraId="30F27C1C" w14:textId="77777777" w:rsidTr="00313335">
        <w:trPr>
          <w:trHeight w:val="283"/>
          <w:jc w:val="center"/>
        </w:trPr>
        <w:tc>
          <w:tcPr>
            <w:tcW w:w="0" w:type="auto"/>
            <w:tcBorders>
              <w:top w:val="nil"/>
              <w:bottom w:val="nil"/>
              <w:right w:val="nil"/>
            </w:tcBorders>
          </w:tcPr>
          <w:p w14:paraId="70E7AB72" w14:textId="61875D38" w:rsidR="006B5558" w:rsidRPr="00E357F8" w:rsidRDefault="006B5558" w:rsidP="003D1CA1">
            <w:pPr>
              <w:rPr>
                <w:rFonts w:asciiTheme="minorHAnsi" w:hAnsiTheme="minorHAnsi"/>
                <w:sz w:val="18"/>
                <w:szCs w:val="18"/>
              </w:rPr>
            </w:pPr>
            <w:r w:rsidRPr="00E357F8">
              <w:rPr>
                <w:rFonts w:asciiTheme="minorHAnsi" w:hAnsiTheme="minorHAnsi"/>
                <w:sz w:val="18"/>
                <w:szCs w:val="18"/>
              </w:rPr>
              <w:t xml:space="preserve">Consumers enrolled in self-directed </w:t>
            </w:r>
            <w:proofErr w:type="spellStart"/>
            <w:r w:rsidRPr="00E357F8">
              <w:rPr>
                <w:rFonts w:asciiTheme="minorHAnsi" w:hAnsiTheme="minorHAnsi"/>
                <w:sz w:val="18"/>
                <w:szCs w:val="18"/>
              </w:rPr>
              <w:t>treatment</w:t>
            </w:r>
            <w:r w:rsidR="00E357F8" w:rsidRPr="00E357F8">
              <w:rPr>
                <w:rFonts w:asciiTheme="minorHAnsi" w:hAnsiTheme="minorHAnsi"/>
                <w:sz w:val="18"/>
                <w:szCs w:val="18"/>
                <w:vertAlign w:val="superscript"/>
              </w:rPr>
              <w:t>b</w:t>
            </w:r>
            <w:proofErr w:type="spellEnd"/>
            <w:r w:rsidRPr="00E357F8">
              <w:rPr>
                <w:rFonts w:asciiTheme="minorHAnsi" w:hAnsiTheme="minorHAnsi"/>
                <w:sz w:val="18"/>
                <w:szCs w:val="18"/>
              </w:rPr>
              <w:t xml:space="preserve"> </w:t>
            </w:r>
          </w:p>
        </w:tc>
        <w:tc>
          <w:tcPr>
            <w:tcW w:w="0" w:type="auto"/>
            <w:tcBorders>
              <w:top w:val="nil"/>
              <w:left w:val="nil"/>
              <w:bottom w:val="nil"/>
            </w:tcBorders>
          </w:tcPr>
          <w:p w14:paraId="02A938BE" w14:textId="2413E166" w:rsidR="006B5558" w:rsidRPr="00A434C1" w:rsidRDefault="00E357F8" w:rsidP="003D1CA1">
            <w:pPr>
              <w:jc w:val="center"/>
              <w:rPr>
                <w:rFonts w:asciiTheme="minorHAnsi" w:hAnsiTheme="minorHAnsi"/>
                <w:sz w:val="18"/>
                <w:szCs w:val="18"/>
              </w:rPr>
            </w:pPr>
            <w:r>
              <w:rPr>
                <w:rFonts w:asciiTheme="minorHAnsi" w:hAnsiTheme="minorHAnsi"/>
                <w:sz w:val="18"/>
                <w:szCs w:val="18"/>
              </w:rPr>
              <w:t>1,552</w:t>
            </w:r>
          </w:p>
        </w:tc>
      </w:tr>
      <w:tr w:rsidR="006B5558" w:rsidRPr="00F96740" w14:paraId="1DF8681B" w14:textId="77777777" w:rsidTr="00313335">
        <w:trPr>
          <w:trHeight w:val="283"/>
          <w:jc w:val="center"/>
        </w:trPr>
        <w:tc>
          <w:tcPr>
            <w:tcW w:w="0" w:type="auto"/>
            <w:tcBorders>
              <w:top w:val="nil"/>
              <w:bottom w:val="nil"/>
              <w:right w:val="nil"/>
            </w:tcBorders>
          </w:tcPr>
          <w:p w14:paraId="09FD33B1" w14:textId="03322D7E" w:rsidR="006B5558" w:rsidRPr="00E357F8" w:rsidRDefault="006B5558" w:rsidP="003D1CA1">
            <w:pPr>
              <w:rPr>
                <w:rFonts w:asciiTheme="minorHAnsi" w:hAnsiTheme="minorHAnsi"/>
                <w:sz w:val="18"/>
                <w:szCs w:val="18"/>
              </w:rPr>
            </w:pPr>
            <w:r w:rsidRPr="00E357F8">
              <w:rPr>
                <w:rFonts w:asciiTheme="minorHAnsi" w:hAnsiTheme="minorHAnsi"/>
                <w:sz w:val="18"/>
                <w:szCs w:val="18"/>
              </w:rPr>
              <w:t xml:space="preserve">Consumers started self-directed </w:t>
            </w:r>
            <w:proofErr w:type="spellStart"/>
            <w:r w:rsidRPr="00E357F8">
              <w:rPr>
                <w:rFonts w:asciiTheme="minorHAnsi" w:hAnsiTheme="minorHAnsi"/>
                <w:sz w:val="18"/>
                <w:szCs w:val="18"/>
              </w:rPr>
              <w:t>treatment</w:t>
            </w:r>
            <w:r w:rsidR="00E357F8" w:rsidRPr="00E357F8">
              <w:rPr>
                <w:rFonts w:asciiTheme="minorHAnsi" w:hAnsiTheme="minorHAnsi"/>
                <w:sz w:val="18"/>
                <w:szCs w:val="18"/>
                <w:vertAlign w:val="superscript"/>
              </w:rPr>
              <w:t>b</w:t>
            </w:r>
            <w:proofErr w:type="spellEnd"/>
            <w:r w:rsidRPr="00E357F8">
              <w:rPr>
                <w:rFonts w:asciiTheme="minorHAnsi" w:hAnsiTheme="minorHAnsi"/>
                <w:sz w:val="18"/>
                <w:szCs w:val="18"/>
              </w:rPr>
              <w:t xml:space="preserve"> </w:t>
            </w:r>
          </w:p>
        </w:tc>
        <w:tc>
          <w:tcPr>
            <w:tcW w:w="0" w:type="auto"/>
            <w:tcBorders>
              <w:top w:val="nil"/>
              <w:left w:val="nil"/>
              <w:bottom w:val="nil"/>
            </w:tcBorders>
          </w:tcPr>
          <w:p w14:paraId="51B4BE61" w14:textId="4F99FDE0" w:rsidR="006B5558" w:rsidRPr="00A434C1" w:rsidRDefault="00E357F8" w:rsidP="003D1CA1">
            <w:pPr>
              <w:jc w:val="center"/>
              <w:rPr>
                <w:rFonts w:asciiTheme="minorHAnsi" w:hAnsiTheme="minorHAnsi"/>
                <w:sz w:val="18"/>
                <w:szCs w:val="18"/>
              </w:rPr>
            </w:pPr>
            <w:r>
              <w:rPr>
                <w:rFonts w:asciiTheme="minorHAnsi" w:hAnsiTheme="minorHAnsi"/>
                <w:sz w:val="18"/>
                <w:szCs w:val="18"/>
              </w:rPr>
              <w:t>1,552</w:t>
            </w:r>
          </w:p>
        </w:tc>
      </w:tr>
      <w:tr w:rsidR="006B5558" w:rsidRPr="00F96740" w14:paraId="5BE9669B" w14:textId="77777777" w:rsidTr="00313335">
        <w:trPr>
          <w:trHeight w:val="283"/>
          <w:jc w:val="center"/>
        </w:trPr>
        <w:tc>
          <w:tcPr>
            <w:tcW w:w="0" w:type="auto"/>
            <w:tcBorders>
              <w:top w:val="nil"/>
              <w:bottom w:val="nil"/>
              <w:right w:val="nil"/>
            </w:tcBorders>
          </w:tcPr>
          <w:p w14:paraId="5EBAD65A" w14:textId="77DC2B4F" w:rsidR="006B5558" w:rsidRPr="00E357F8" w:rsidRDefault="006B5558" w:rsidP="003D1CA1">
            <w:pPr>
              <w:rPr>
                <w:rFonts w:asciiTheme="minorHAnsi" w:hAnsiTheme="minorHAnsi"/>
                <w:sz w:val="18"/>
                <w:szCs w:val="18"/>
              </w:rPr>
            </w:pPr>
            <w:r w:rsidRPr="00E357F8">
              <w:rPr>
                <w:rFonts w:asciiTheme="minorHAnsi" w:hAnsiTheme="minorHAnsi"/>
                <w:sz w:val="18"/>
                <w:szCs w:val="18"/>
              </w:rPr>
              <w:t xml:space="preserve">Consumers completed self-directed </w:t>
            </w:r>
            <w:proofErr w:type="spellStart"/>
            <w:r w:rsidRPr="00E357F8">
              <w:rPr>
                <w:rFonts w:asciiTheme="minorHAnsi" w:hAnsiTheme="minorHAnsi"/>
                <w:sz w:val="18"/>
                <w:szCs w:val="18"/>
              </w:rPr>
              <w:t>treatment</w:t>
            </w:r>
            <w:r w:rsidRPr="00E357F8">
              <w:rPr>
                <w:rFonts w:asciiTheme="minorHAnsi" w:hAnsiTheme="minorHAnsi"/>
                <w:sz w:val="18"/>
                <w:szCs w:val="18"/>
                <w:vertAlign w:val="superscript"/>
              </w:rPr>
              <w:t>a</w:t>
            </w:r>
            <w:proofErr w:type="spellEnd"/>
            <w:r w:rsidR="00E357F8">
              <w:rPr>
                <w:rFonts w:asciiTheme="minorHAnsi" w:hAnsiTheme="minorHAnsi"/>
                <w:sz w:val="18"/>
                <w:szCs w:val="18"/>
                <w:vertAlign w:val="superscript"/>
              </w:rPr>
              <w:t xml:space="preserve">, </w:t>
            </w:r>
            <w:r w:rsidR="00E357F8" w:rsidRPr="00E357F8">
              <w:rPr>
                <w:rFonts w:asciiTheme="minorHAnsi" w:hAnsiTheme="minorHAnsi"/>
                <w:sz w:val="18"/>
                <w:szCs w:val="18"/>
                <w:vertAlign w:val="superscript"/>
              </w:rPr>
              <w:t>b</w:t>
            </w:r>
          </w:p>
        </w:tc>
        <w:tc>
          <w:tcPr>
            <w:tcW w:w="0" w:type="auto"/>
            <w:tcBorders>
              <w:top w:val="nil"/>
              <w:left w:val="nil"/>
              <w:bottom w:val="nil"/>
            </w:tcBorders>
          </w:tcPr>
          <w:p w14:paraId="40BE344E" w14:textId="61AD52B7" w:rsidR="006B5558" w:rsidRPr="00A434C1" w:rsidRDefault="00E357F8" w:rsidP="003D1CA1">
            <w:pPr>
              <w:jc w:val="center"/>
              <w:rPr>
                <w:rFonts w:asciiTheme="minorHAnsi" w:hAnsiTheme="minorHAnsi"/>
                <w:sz w:val="18"/>
                <w:szCs w:val="18"/>
              </w:rPr>
            </w:pPr>
            <w:r>
              <w:rPr>
                <w:rFonts w:asciiTheme="minorHAnsi" w:hAnsiTheme="minorHAnsi"/>
                <w:sz w:val="18"/>
                <w:szCs w:val="18"/>
              </w:rPr>
              <w:t>1,552</w:t>
            </w:r>
          </w:p>
        </w:tc>
      </w:tr>
      <w:tr w:rsidR="006B5558" w:rsidRPr="00F96740" w14:paraId="209D9B1E" w14:textId="77777777" w:rsidTr="00B973ED">
        <w:trPr>
          <w:trHeight w:val="283"/>
          <w:jc w:val="center"/>
        </w:trPr>
        <w:tc>
          <w:tcPr>
            <w:tcW w:w="0" w:type="auto"/>
            <w:tcBorders>
              <w:top w:val="nil"/>
              <w:bottom w:val="single" w:sz="4" w:space="0" w:color="auto"/>
              <w:right w:val="nil"/>
            </w:tcBorders>
          </w:tcPr>
          <w:p w14:paraId="1DCAE601" w14:textId="3707E27C" w:rsidR="006B5558" w:rsidRPr="00E357F8" w:rsidRDefault="006B5558" w:rsidP="003D1CA1">
            <w:pPr>
              <w:rPr>
                <w:rFonts w:asciiTheme="minorHAnsi" w:hAnsiTheme="minorHAnsi"/>
                <w:sz w:val="18"/>
                <w:szCs w:val="18"/>
              </w:rPr>
            </w:pPr>
            <w:r w:rsidRPr="00E357F8">
              <w:rPr>
                <w:rFonts w:asciiTheme="minorHAnsi" w:hAnsiTheme="minorHAnsi"/>
                <w:sz w:val="18"/>
                <w:szCs w:val="18"/>
              </w:rPr>
              <w:t xml:space="preserve">Consumers of self-directed treatment completed 3-month follow </w:t>
            </w:r>
            <w:proofErr w:type="spellStart"/>
            <w:r w:rsidRPr="00E357F8">
              <w:rPr>
                <w:rFonts w:asciiTheme="minorHAnsi" w:hAnsiTheme="minorHAnsi"/>
                <w:sz w:val="18"/>
                <w:szCs w:val="18"/>
              </w:rPr>
              <w:t>up</w:t>
            </w:r>
            <w:r w:rsidR="00E357F8" w:rsidRPr="00E357F8">
              <w:rPr>
                <w:rFonts w:asciiTheme="minorHAnsi" w:hAnsiTheme="minorHAnsi"/>
                <w:sz w:val="18"/>
                <w:szCs w:val="18"/>
                <w:vertAlign w:val="superscript"/>
              </w:rPr>
              <w:t>b</w:t>
            </w:r>
            <w:proofErr w:type="spellEnd"/>
          </w:p>
        </w:tc>
        <w:tc>
          <w:tcPr>
            <w:tcW w:w="0" w:type="auto"/>
            <w:tcBorders>
              <w:top w:val="nil"/>
              <w:left w:val="nil"/>
              <w:bottom w:val="single" w:sz="4" w:space="0" w:color="auto"/>
            </w:tcBorders>
          </w:tcPr>
          <w:p w14:paraId="0BE6642C" w14:textId="63B9949E" w:rsidR="006B5558" w:rsidRPr="00A434C1" w:rsidRDefault="00E357F8" w:rsidP="003D1CA1">
            <w:pPr>
              <w:jc w:val="center"/>
              <w:rPr>
                <w:rFonts w:asciiTheme="minorHAnsi" w:hAnsiTheme="minorHAnsi"/>
                <w:sz w:val="18"/>
                <w:szCs w:val="18"/>
              </w:rPr>
            </w:pPr>
            <w:r>
              <w:rPr>
                <w:rFonts w:asciiTheme="minorHAnsi" w:hAnsiTheme="minorHAnsi"/>
                <w:sz w:val="18"/>
                <w:szCs w:val="18"/>
              </w:rPr>
              <w:t>310</w:t>
            </w:r>
          </w:p>
        </w:tc>
      </w:tr>
    </w:tbl>
    <w:p w14:paraId="743E03F0" w14:textId="50CC3D06" w:rsidR="00D40E9D" w:rsidRDefault="00701F75" w:rsidP="009C4137">
      <w:pPr>
        <w:ind w:left="1134"/>
        <w:rPr>
          <w:rFonts w:asciiTheme="minorHAnsi" w:hAnsiTheme="minorHAnsi" w:cstheme="minorHAnsi"/>
          <w:sz w:val="16"/>
          <w:szCs w:val="16"/>
        </w:rPr>
      </w:pPr>
      <w:proofErr w:type="spellStart"/>
      <w:r w:rsidRPr="00701F75">
        <w:rPr>
          <w:rFonts w:asciiTheme="minorHAnsi" w:hAnsiTheme="minorHAnsi"/>
          <w:sz w:val="16"/>
          <w:szCs w:val="16"/>
          <w:vertAlign w:val="superscript"/>
        </w:rPr>
        <w:t>a</w:t>
      </w:r>
      <w:r w:rsidR="007653DA" w:rsidRPr="00701F75">
        <w:rPr>
          <w:rFonts w:asciiTheme="minorHAnsi" w:hAnsiTheme="minorHAnsi" w:cstheme="minorHAnsi"/>
          <w:sz w:val="16"/>
          <w:szCs w:val="16"/>
        </w:rPr>
        <w:t>Completion</w:t>
      </w:r>
      <w:proofErr w:type="spellEnd"/>
      <w:r w:rsidR="007653DA" w:rsidRPr="00701F75">
        <w:rPr>
          <w:rFonts w:asciiTheme="minorHAnsi" w:hAnsiTheme="minorHAnsi" w:cstheme="minorHAnsi"/>
          <w:sz w:val="16"/>
          <w:szCs w:val="16"/>
        </w:rPr>
        <w:t xml:space="preserve"> defined as the completion of 4 or more lessons</w:t>
      </w:r>
      <w:r w:rsidR="00E357F8">
        <w:rPr>
          <w:rFonts w:asciiTheme="minorHAnsi" w:hAnsiTheme="minorHAnsi" w:cstheme="minorHAnsi"/>
          <w:sz w:val="16"/>
          <w:szCs w:val="16"/>
        </w:rPr>
        <w:t>.</w:t>
      </w:r>
    </w:p>
    <w:p w14:paraId="076DC533" w14:textId="74BD5637" w:rsidR="00756520" w:rsidRPr="009C4137" w:rsidRDefault="006F3159" w:rsidP="002029DC">
      <w:pPr>
        <w:spacing w:after="200"/>
        <w:ind w:left="1134"/>
        <w:rPr>
          <w:rFonts w:asciiTheme="minorHAnsi" w:hAnsiTheme="minorHAnsi" w:cstheme="minorHAnsi"/>
          <w:sz w:val="16"/>
          <w:szCs w:val="16"/>
        </w:rPr>
      </w:pPr>
      <w:proofErr w:type="spellStart"/>
      <w:r w:rsidRPr="006F3159">
        <w:rPr>
          <w:rFonts w:asciiTheme="minorHAnsi" w:hAnsiTheme="minorHAnsi" w:cstheme="minorHAnsi"/>
          <w:sz w:val="16"/>
          <w:szCs w:val="16"/>
          <w:vertAlign w:val="superscript"/>
        </w:rPr>
        <w:t>b</w:t>
      </w:r>
      <w:r w:rsidRPr="006F3159">
        <w:rPr>
          <w:rFonts w:asciiTheme="minorHAnsi" w:hAnsiTheme="minorHAnsi" w:cstheme="minorHAnsi"/>
          <w:sz w:val="16"/>
          <w:szCs w:val="16"/>
        </w:rPr>
        <w:t>July</w:t>
      </w:r>
      <w:proofErr w:type="spellEnd"/>
      <w:r w:rsidRPr="006F3159">
        <w:rPr>
          <w:rFonts w:asciiTheme="minorHAnsi" w:hAnsiTheme="minorHAnsi" w:cstheme="minorHAnsi"/>
          <w:sz w:val="16"/>
          <w:szCs w:val="16"/>
        </w:rPr>
        <w:t xml:space="preserve"> 2019</w:t>
      </w:r>
      <w:r>
        <w:rPr>
          <w:rFonts w:asciiTheme="minorHAnsi" w:hAnsiTheme="minorHAnsi" w:cstheme="minorHAnsi"/>
          <w:sz w:val="16"/>
          <w:szCs w:val="16"/>
        </w:rPr>
        <w:t xml:space="preserve"> – </w:t>
      </w:r>
      <w:r w:rsidRPr="006F3159">
        <w:rPr>
          <w:rFonts w:asciiTheme="minorHAnsi" w:hAnsiTheme="minorHAnsi" w:cstheme="minorHAnsi"/>
          <w:sz w:val="16"/>
          <w:szCs w:val="16"/>
        </w:rPr>
        <w:t xml:space="preserve">December 2021 </w:t>
      </w:r>
      <w:r>
        <w:rPr>
          <w:rFonts w:asciiTheme="minorHAnsi" w:hAnsiTheme="minorHAnsi" w:cstheme="minorHAnsi"/>
          <w:sz w:val="16"/>
          <w:szCs w:val="16"/>
        </w:rPr>
        <w:t>because self-directed treatment introduced in July 2019.</w:t>
      </w:r>
    </w:p>
    <w:p w14:paraId="14DE73DE" w14:textId="1EA18540" w:rsidR="007C3721" w:rsidRDefault="00756520" w:rsidP="002029DC">
      <w:pPr>
        <w:spacing w:after="200"/>
        <w:rPr>
          <w:rFonts w:asciiTheme="minorHAnsi" w:hAnsiTheme="minorHAnsi" w:cstheme="minorHAnsi"/>
          <w:sz w:val="21"/>
          <w:szCs w:val="21"/>
        </w:rPr>
      </w:pPr>
      <w:r w:rsidRPr="005C0913">
        <w:rPr>
          <w:rFonts w:asciiTheme="minorHAnsi" w:hAnsiTheme="minorHAnsi" w:cstheme="minorHAnsi"/>
          <w:sz w:val="21"/>
          <w:szCs w:val="21"/>
        </w:rPr>
        <w:t xml:space="preserve">In the </w:t>
      </w:r>
      <w:r w:rsidR="00970861" w:rsidRPr="005C0913">
        <w:rPr>
          <w:rFonts w:asciiTheme="minorHAnsi" w:hAnsiTheme="minorHAnsi" w:cstheme="minorHAnsi"/>
          <w:sz w:val="21"/>
          <w:szCs w:val="21"/>
        </w:rPr>
        <w:t>nine</w:t>
      </w:r>
      <w:r w:rsidRPr="005C0913">
        <w:rPr>
          <w:rFonts w:asciiTheme="minorHAnsi" w:hAnsiTheme="minorHAnsi" w:cstheme="minorHAnsi"/>
          <w:sz w:val="21"/>
          <w:szCs w:val="21"/>
        </w:rPr>
        <w:t xml:space="preserve">-year period, </w:t>
      </w:r>
      <w:r w:rsidR="005C0913">
        <w:rPr>
          <w:rFonts w:asciiTheme="minorHAnsi" w:hAnsiTheme="minorHAnsi" w:cstheme="minorHAnsi"/>
          <w:sz w:val="21"/>
          <w:szCs w:val="21"/>
        </w:rPr>
        <w:t>171,070</w:t>
      </w:r>
      <w:r w:rsidR="00D930C4">
        <w:rPr>
          <w:rFonts w:asciiTheme="minorHAnsi" w:hAnsiTheme="minorHAnsi" w:cstheme="minorHAnsi"/>
          <w:sz w:val="21"/>
          <w:szCs w:val="21"/>
        </w:rPr>
        <w:t xml:space="preserve"> assessments were commenced</w:t>
      </w:r>
      <w:r w:rsidR="00747D2E">
        <w:rPr>
          <w:rFonts w:asciiTheme="minorHAnsi" w:hAnsiTheme="minorHAnsi" w:cstheme="minorHAnsi"/>
          <w:sz w:val="21"/>
          <w:szCs w:val="21"/>
        </w:rPr>
        <w:t>, 78% (</w:t>
      </w:r>
      <w:r w:rsidR="00970861" w:rsidRPr="005C0913">
        <w:rPr>
          <w:rFonts w:asciiTheme="minorHAnsi" w:hAnsiTheme="minorHAnsi" w:cstheme="minorHAnsi"/>
          <w:sz w:val="21"/>
          <w:szCs w:val="21"/>
        </w:rPr>
        <w:t>133,447</w:t>
      </w:r>
      <w:r w:rsidR="00747D2E">
        <w:rPr>
          <w:rFonts w:asciiTheme="minorHAnsi" w:hAnsiTheme="minorHAnsi" w:cstheme="minorHAnsi"/>
          <w:sz w:val="21"/>
          <w:szCs w:val="21"/>
        </w:rPr>
        <w:t>)</w:t>
      </w:r>
      <w:r w:rsidR="006D637A">
        <w:rPr>
          <w:rFonts w:asciiTheme="minorHAnsi" w:hAnsiTheme="minorHAnsi" w:cstheme="minorHAnsi"/>
          <w:sz w:val="21"/>
          <w:szCs w:val="21"/>
        </w:rPr>
        <w:t xml:space="preserve"> of which</w:t>
      </w:r>
      <w:r w:rsidRPr="005C0913">
        <w:rPr>
          <w:rFonts w:asciiTheme="minorHAnsi" w:hAnsiTheme="minorHAnsi" w:cstheme="minorHAnsi"/>
          <w:sz w:val="21"/>
          <w:szCs w:val="21"/>
        </w:rPr>
        <w:t xml:space="preserve"> were completed</w:t>
      </w:r>
      <w:r w:rsidR="00D930C4">
        <w:rPr>
          <w:rFonts w:asciiTheme="minorHAnsi" w:hAnsiTheme="minorHAnsi" w:cstheme="minorHAnsi"/>
          <w:sz w:val="21"/>
          <w:szCs w:val="21"/>
        </w:rPr>
        <w:t>.</w:t>
      </w:r>
      <w:r w:rsidRPr="005C0913">
        <w:rPr>
          <w:rFonts w:asciiTheme="minorHAnsi" w:hAnsiTheme="minorHAnsi" w:cstheme="minorHAnsi"/>
          <w:sz w:val="21"/>
          <w:szCs w:val="21"/>
        </w:rPr>
        <w:t xml:space="preserve"> </w:t>
      </w:r>
      <w:r w:rsidR="006D637A">
        <w:rPr>
          <w:rFonts w:asciiTheme="minorHAnsi" w:hAnsiTheme="minorHAnsi" w:cstheme="minorHAnsi"/>
          <w:sz w:val="21"/>
          <w:szCs w:val="21"/>
        </w:rPr>
        <w:t xml:space="preserve">Of consumers who completed an assessment, </w:t>
      </w:r>
      <w:r w:rsidR="00693BC0">
        <w:rPr>
          <w:rFonts w:asciiTheme="minorHAnsi" w:hAnsiTheme="minorHAnsi" w:cstheme="minorHAnsi"/>
          <w:sz w:val="21"/>
          <w:szCs w:val="21"/>
        </w:rPr>
        <w:t xml:space="preserve">27% </w:t>
      </w:r>
      <w:r w:rsidR="008F6A38">
        <w:rPr>
          <w:rFonts w:asciiTheme="minorHAnsi" w:hAnsiTheme="minorHAnsi" w:cstheme="minorHAnsi"/>
          <w:sz w:val="21"/>
          <w:szCs w:val="21"/>
        </w:rPr>
        <w:t>(35,942) enrolled in either therapist-supported or self-directed treatment programs</w:t>
      </w:r>
      <w:r w:rsidR="001C57F2">
        <w:rPr>
          <w:rFonts w:asciiTheme="minorHAnsi" w:hAnsiTheme="minorHAnsi" w:cstheme="minorHAnsi"/>
          <w:sz w:val="21"/>
          <w:szCs w:val="21"/>
        </w:rPr>
        <w:t xml:space="preserve">. Not surprisingly, given that self-directed treatment was recently introduced in July 2019, the majority </w:t>
      </w:r>
      <w:r w:rsidR="000666A4">
        <w:rPr>
          <w:rFonts w:asciiTheme="minorHAnsi" w:hAnsiTheme="minorHAnsi" w:cstheme="minorHAnsi"/>
          <w:sz w:val="21"/>
          <w:szCs w:val="21"/>
        </w:rPr>
        <w:t>(</w:t>
      </w:r>
      <w:r w:rsidR="007C2A89">
        <w:rPr>
          <w:rFonts w:asciiTheme="minorHAnsi" w:hAnsiTheme="minorHAnsi" w:cstheme="minorHAnsi"/>
          <w:sz w:val="21"/>
          <w:szCs w:val="21"/>
        </w:rPr>
        <w:t>96%</w:t>
      </w:r>
      <w:r w:rsidR="000666A4">
        <w:rPr>
          <w:rFonts w:asciiTheme="minorHAnsi" w:hAnsiTheme="minorHAnsi" w:cstheme="minorHAnsi"/>
          <w:sz w:val="21"/>
          <w:szCs w:val="21"/>
        </w:rPr>
        <w:t>,</w:t>
      </w:r>
      <w:r w:rsidR="007C3721">
        <w:rPr>
          <w:rFonts w:asciiTheme="minorHAnsi" w:hAnsiTheme="minorHAnsi" w:cstheme="minorHAnsi"/>
          <w:sz w:val="21"/>
          <w:szCs w:val="21"/>
        </w:rPr>
        <w:t xml:space="preserve"> </w:t>
      </w:r>
      <w:r w:rsidR="000666A4">
        <w:rPr>
          <w:rFonts w:asciiTheme="minorHAnsi" w:hAnsiTheme="minorHAnsi" w:cstheme="minorHAnsi"/>
          <w:sz w:val="21"/>
          <w:szCs w:val="21"/>
        </w:rPr>
        <w:t>n</w:t>
      </w:r>
      <w:r w:rsidR="0055447B">
        <w:rPr>
          <w:rFonts w:asciiTheme="minorHAnsi" w:hAnsiTheme="minorHAnsi" w:cstheme="minorHAnsi"/>
          <w:sz w:val="21"/>
          <w:szCs w:val="21"/>
        </w:rPr>
        <w:t>=</w:t>
      </w:r>
      <w:r w:rsidR="000666A4">
        <w:rPr>
          <w:rFonts w:asciiTheme="minorHAnsi" w:hAnsiTheme="minorHAnsi" w:cstheme="minorHAnsi"/>
          <w:sz w:val="21"/>
          <w:szCs w:val="21"/>
        </w:rPr>
        <w:t>3</w:t>
      </w:r>
      <w:r w:rsidR="007C2A89" w:rsidRPr="00A12098">
        <w:rPr>
          <w:rFonts w:asciiTheme="minorHAnsi" w:hAnsiTheme="minorHAnsi" w:cstheme="minorHAnsi"/>
          <w:sz w:val="21"/>
          <w:szCs w:val="21"/>
        </w:rPr>
        <w:t>4,39</w:t>
      </w:r>
      <w:r w:rsidR="000666A4">
        <w:rPr>
          <w:rFonts w:asciiTheme="minorHAnsi" w:hAnsiTheme="minorHAnsi" w:cstheme="minorHAnsi"/>
          <w:sz w:val="21"/>
          <w:szCs w:val="21"/>
        </w:rPr>
        <w:t>0)</w:t>
      </w:r>
      <w:r w:rsidR="007C2A89">
        <w:rPr>
          <w:rFonts w:asciiTheme="minorHAnsi" w:hAnsiTheme="minorHAnsi" w:cstheme="minorHAnsi"/>
          <w:sz w:val="21"/>
          <w:szCs w:val="21"/>
        </w:rPr>
        <w:t xml:space="preserve"> </w:t>
      </w:r>
      <w:r w:rsidR="001C57F2">
        <w:rPr>
          <w:rFonts w:asciiTheme="minorHAnsi" w:hAnsiTheme="minorHAnsi" w:cstheme="minorHAnsi"/>
          <w:sz w:val="21"/>
          <w:szCs w:val="21"/>
        </w:rPr>
        <w:t>of treatment enrolments were for therapist-support</w:t>
      </w:r>
      <w:r w:rsidR="005123A3">
        <w:rPr>
          <w:rFonts w:asciiTheme="minorHAnsi" w:hAnsiTheme="minorHAnsi" w:cstheme="minorHAnsi"/>
          <w:sz w:val="21"/>
          <w:szCs w:val="21"/>
        </w:rPr>
        <w:t>ed</w:t>
      </w:r>
      <w:r w:rsidR="001C57F2">
        <w:rPr>
          <w:rFonts w:asciiTheme="minorHAnsi" w:hAnsiTheme="minorHAnsi" w:cstheme="minorHAnsi"/>
          <w:sz w:val="21"/>
          <w:szCs w:val="21"/>
        </w:rPr>
        <w:t xml:space="preserve"> treatment</w:t>
      </w:r>
      <w:r w:rsidR="000666A4">
        <w:rPr>
          <w:rFonts w:asciiTheme="minorHAnsi" w:hAnsiTheme="minorHAnsi" w:cstheme="minorHAnsi"/>
          <w:sz w:val="21"/>
          <w:szCs w:val="21"/>
        </w:rPr>
        <w:t>.</w:t>
      </w:r>
    </w:p>
    <w:p w14:paraId="3D3C3F64" w14:textId="3581B919" w:rsidR="000026DE" w:rsidRDefault="007C3721" w:rsidP="002029DC">
      <w:pPr>
        <w:spacing w:after="200"/>
        <w:rPr>
          <w:rFonts w:asciiTheme="minorHAnsi" w:hAnsiTheme="minorHAnsi" w:cstheme="minorHAnsi"/>
          <w:sz w:val="21"/>
          <w:szCs w:val="21"/>
        </w:rPr>
      </w:pPr>
      <w:r>
        <w:rPr>
          <w:rFonts w:asciiTheme="minorHAnsi" w:hAnsiTheme="minorHAnsi" w:cstheme="minorHAnsi"/>
          <w:sz w:val="21"/>
          <w:szCs w:val="21"/>
        </w:rPr>
        <w:t xml:space="preserve">Of </w:t>
      </w:r>
      <w:r w:rsidR="006D5D8E">
        <w:rPr>
          <w:rFonts w:asciiTheme="minorHAnsi" w:hAnsiTheme="minorHAnsi" w:cstheme="minorHAnsi"/>
          <w:sz w:val="21"/>
          <w:szCs w:val="21"/>
        </w:rPr>
        <w:t>consumers who enrolled in therapist-</w:t>
      </w:r>
      <w:r w:rsidR="005123A3">
        <w:rPr>
          <w:rFonts w:asciiTheme="minorHAnsi" w:hAnsiTheme="minorHAnsi" w:cstheme="minorHAnsi"/>
          <w:sz w:val="21"/>
          <w:szCs w:val="21"/>
        </w:rPr>
        <w:t>supported</w:t>
      </w:r>
      <w:r w:rsidR="006D5D8E">
        <w:rPr>
          <w:rFonts w:asciiTheme="minorHAnsi" w:hAnsiTheme="minorHAnsi" w:cstheme="minorHAnsi"/>
          <w:sz w:val="21"/>
          <w:szCs w:val="21"/>
        </w:rPr>
        <w:t xml:space="preserve"> treatment, </w:t>
      </w:r>
      <w:r w:rsidR="00366473">
        <w:rPr>
          <w:rFonts w:asciiTheme="minorHAnsi" w:hAnsiTheme="minorHAnsi" w:cstheme="minorHAnsi"/>
          <w:sz w:val="21"/>
          <w:szCs w:val="21"/>
        </w:rPr>
        <w:t xml:space="preserve">84% </w:t>
      </w:r>
      <w:r w:rsidR="0054152A">
        <w:rPr>
          <w:rFonts w:asciiTheme="minorHAnsi" w:hAnsiTheme="minorHAnsi" w:cstheme="minorHAnsi"/>
          <w:sz w:val="21"/>
          <w:szCs w:val="21"/>
        </w:rPr>
        <w:t>(n</w:t>
      </w:r>
      <w:r w:rsidR="0055447B">
        <w:rPr>
          <w:rFonts w:asciiTheme="minorHAnsi" w:hAnsiTheme="minorHAnsi" w:cstheme="minorHAnsi"/>
          <w:sz w:val="21"/>
          <w:szCs w:val="21"/>
        </w:rPr>
        <w:t>=</w:t>
      </w:r>
      <w:r w:rsidR="0054152A">
        <w:rPr>
          <w:rFonts w:asciiTheme="minorHAnsi" w:hAnsiTheme="minorHAnsi" w:cstheme="minorHAnsi"/>
          <w:sz w:val="21"/>
          <w:szCs w:val="21"/>
        </w:rPr>
        <w:t xml:space="preserve">28,832) </w:t>
      </w:r>
      <w:r w:rsidR="006D5D8E">
        <w:rPr>
          <w:rFonts w:asciiTheme="minorHAnsi" w:hAnsiTheme="minorHAnsi" w:cstheme="minorHAnsi"/>
          <w:sz w:val="21"/>
          <w:szCs w:val="21"/>
        </w:rPr>
        <w:t xml:space="preserve">started </w:t>
      </w:r>
      <w:r w:rsidR="0054152A">
        <w:rPr>
          <w:rFonts w:asciiTheme="minorHAnsi" w:hAnsiTheme="minorHAnsi" w:cstheme="minorHAnsi"/>
          <w:sz w:val="21"/>
          <w:szCs w:val="21"/>
        </w:rPr>
        <w:t>treatment.</w:t>
      </w:r>
      <w:r w:rsidR="00F37776">
        <w:rPr>
          <w:rFonts w:asciiTheme="minorHAnsi" w:hAnsiTheme="minorHAnsi" w:cstheme="minorHAnsi"/>
          <w:sz w:val="21"/>
          <w:szCs w:val="21"/>
        </w:rPr>
        <w:t xml:space="preserve"> Almost two thirds of those who started therapist-supported treatment </w:t>
      </w:r>
      <w:r w:rsidR="006D5D8E">
        <w:rPr>
          <w:rFonts w:asciiTheme="minorHAnsi" w:hAnsiTheme="minorHAnsi" w:cstheme="minorHAnsi"/>
          <w:sz w:val="21"/>
          <w:szCs w:val="21"/>
        </w:rPr>
        <w:t>completed</w:t>
      </w:r>
      <w:r w:rsidR="00701F75">
        <w:rPr>
          <w:rFonts w:asciiTheme="minorHAnsi" w:hAnsiTheme="minorHAnsi" w:cstheme="minorHAnsi"/>
          <w:sz w:val="21"/>
          <w:szCs w:val="21"/>
        </w:rPr>
        <w:t xml:space="preserve"> </w:t>
      </w:r>
      <w:r w:rsidR="006D5D8E">
        <w:rPr>
          <w:rFonts w:asciiTheme="minorHAnsi" w:hAnsiTheme="minorHAnsi" w:cstheme="minorHAnsi"/>
          <w:sz w:val="21"/>
          <w:szCs w:val="21"/>
        </w:rPr>
        <w:t>treatmen</w:t>
      </w:r>
      <w:r w:rsidR="00B3390C">
        <w:rPr>
          <w:rFonts w:asciiTheme="minorHAnsi" w:hAnsiTheme="minorHAnsi" w:cstheme="minorHAnsi"/>
          <w:sz w:val="21"/>
          <w:szCs w:val="21"/>
        </w:rPr>
        <w:t>t (i.e., at least 4 of 5 lessons)</w:t>
      </w:r>
      <w:r w:rsidR="006D5D8E">
        <w:rPr>
          <w:rFonts w:asciiTheme="minorHAnsi" w:hAnsiTheme="minorHAnsi" w:cstheme="minorHAnsi"/>
          <w:sz w:val="21"/>
          <w:szCs w:val="21"/>
        </w:rPr>
        <w:t>.</w:t>
      </w:r>
    </w:p>
    <w:p w14:paraId="21731772" w14:textId="55596DDA" w:rsidR="00084279" w:rsidRDefault="000026DE" w:rsidP="002029DC">
      <w:pPr>
        <w:spacing w:after="200"/>
        <w:rPr>
          <w:rFonts w:asciiTheme="minorHAnsi" w:hAnsiTheme="minorHAnsi" w:cstheme="minorHAnsi"/>
          <w:sz w:val="21"/>
          <w:szCs w:val="21"/>
        </w:rPr>
      </w:pPr>
      <w:r w:rsidRPr="00084279">
        <w:rPr>
          <w:rFonts w:asciiTheme="minorHAnsi" w:hAnsiTheme="minorHAnsi" w:cstheme="minorHAnsi"/>
          <w:sz w:val="21"/>
          <w:szCs w:val="21"/>
        </w:rPr>
        <w:t>Of consumers who enrolled in self-directed treatment</w:t>
      </w:r>
      <w:r w:rsidR="0012608F" w:rsidRPr="00084279">
        <w:rPr>
          <w:rFonts w:asciiTheme="minorHAnsi" w:hAnsiTheme="minorHAnsi" w:cstheme="minorHAnsi"/>
          <w:sz w:val="21"/>
          <w:szCs w:val="21"/>
        </w:rPr>
        <w:t xml:space="preserve"> (n</w:t>
      </w:r>
      <w:r w:rsidR="0055447B">
        <w:rPr>
          <w:rFonts w:asciiTheme="minorHAnsi" w:hAnsiTheme="minorHAnsi" w:cstheme="minorHAnsi"/>
          <w:sz w:val="21"/>
          <w:szCs w:val="21"/>
        </w:rPr>
        <w:t>=</w:t>
      </w:r>
      <w:r w:rsidR="0012608F" w:rsidRPr="00084279">
        <w:rPr>
          <w:rFonts w:asciiTheme="minorHAnsi" w:hAnsiTheme="minorHAnsi" w:cstheme="minorHAnsi"/>
          <w:sz w:val="21"/>
          <w:szCs w:val="21"/>
        </w:rPr>
        <w:t>1,552)</w:t>
      </w:r>
      <w:r w:rsidRPr="00084279">
        <w:rPr>
          <w:rFonts w:asciiTheme="minorHAnsi" w:hAnsiTheme="minorHAnsi" w:cstheme="minorHAnsi"/>
          <w:sz w:val="21"/>
          <w:szCs w:val="21"/>
        </w:rPr>
        <w:t xml:space="preserve">, </w:t>
      </w:r>
      <w:r w:rsidR="0012608F" w:rsidRPr="00084279">
        <w:rPr>
          <w:rFonts w:asciiTheme="minorHAnsi" w:hAnsiTheme="minorHAnsi" w:cstheme="minorHAnsi"/>
          <w:sz w:val="21"/>
          <w:szCs w:val="21"/>
        </w:rPr>
        <w:t>100%</w:t>
      </w:r>
      <w:r w:rsidRPr="00084279">
        <w:rPr>
          <w:rFonts w:asciiTheme="minorHAnsi" w:hAnsiTheme="minorHAnsi" w:cstheme="minorHAnsi"/>
          <w:sz w:val="21"/>
          <w:szCs w:val="21"/>
        </w:rPr>
        <w:t xml:space="preserve"> started</w:t>
      </w:r>
      <w:r w:rsidR="00084279" w:rsidRPr="00084279">
        <w:rPr>
          <w:rFonts w:asciiTheme="minorHAnsi" w:hAnsiTheme="minorHAnsi" w:cstheme="minorHAnsi"/>
          <w:sz w:val="21"/>
          <w:szCs w:val="21"/>
        </w:rPr>
        <w:t xml:space="preserve"> and completed</w:t>
      </w:r>
      <w:r w:rsidRPr="00084279">
        <w:rPr>
          <w:rFonts w:asciiTheme="minorHAnsi" w:hAnsiTheme="minorHAnsi" w:cstheme="minorHAnsi"/>
          <w:sz w:val="21"/>
          <w:szCs w:val="21"/>
        </w:rPr>
        <w:t xml:space="preserve"> treatment</w:t>
      </w:r>
      <w:r w:rsidR="00084279" w:rsidRPr="00084279">
        <w:rPr>
          <w:rFonts w:asciiTheme="minorHAnsi" w:hAnsiTheme="minorHAnsi" w:cstheme="minorHAnsi"/>
          <w:sz w:val="21"/>
          <w:szCs w:val="21"/>
        </w:rPr>
        <w:t xml:space="preserve"> </w:t>
      </w:r>
      <w:r w:rsidRPr="00084279">
        <w:rPr>
          <w:rFonts w:asciiTheme="minorHAnsi" w:hAnsiTheme="minorHAnsi" w:cstheme="minorHAnsi"/>
          <w:sz w:val="21"/>
          <w:szCs w:val="21"/>
        </w:rPr>
        <w:t>(i.e., at least 4 of 5 lessons).</w:t>
      </w:r>
    </w:p>
    <w:p w14:paraId="24064D7E" w14:textId="62D81544" w:rsidR="00581841" w:rsidRDefault="00B92F94" w:rsidP="002029DC">
      <w:pPr>
        <w:spacing w:after="200"/>
        <w:rPr>
          <w:rFonts w:asciiTheme="minorHAnsi" w:hAnsiTheme="minorHAnsi" w:cstheme="minorHAnsi"/>
          <w:sz w:val="21"/>
          <w:szCs w:val="21"/>
        </w:rPr>
      </w:pPr>
      <w:proofErr w:type="spellStart"/>
      <w:r>
        <w:rPr>
          <w:rFonts w:asciiTheme="minorHAnsi" w:hAnsiTheme="minorHAnsi" w:cstheme="minorHAnsi"/>
          <w:sz w:val="21"/>
          <w:szCs w:val="21"/>
        </w:rPr>
        <w:t>MindSpot’s</w:t>
      </w:r>
      <w:proofErr w:type="spellEnd"/>
      <w:r>
        <w:rPr>
          <w:rFonts w:asciiTheme="minorHAnsi" w:hAnsiTheme="minorHAnsi" w:cstheme="minorHAnsi"/>
          <w:sz w:val="21"/>
          <w:szCs w:val="21"/>
        </w:rPr>
        <w:t xml:space="preserve"> t</w:t>
      </w:r>
      <w:r w:rsidR="00084279">
        <w:rPr>
          <w:rFonts w:asciiTheme="minorHAnsi" w:hAnsiTheme="minorHAnsi" w:cstheme="minorHAnsi"/>
          <w:sz w:val="21"/>
          <w:szCs w:val="21"/>
        </w:rPr>
        <w:t>r</w:t>
      </w:r>
      <w:r w:rsidR="00581841">
        <w:rPr>
          <w:rFonts w:asciiTheme="minorHAnsi" w:hAnsiTheme="minorHAnsi" w:cstheme="minorHAnsi"/>
          <w:sz w:val="21"/>
          <w:szCs w:val="21"/>
        </w:rPr>
        <w:t>eatment completion rates vary by treatment course</w:t>
      </w:r>
      <w:r w:rsidR="002605C6">
        <w:rPr>
          <w:rFonts w:asciiTheme="minorHAnsi" w:hAnsiTheme="minorHAnsi" w:cstheme="minorHAnsi"/>
          <w:sz w:val="21"/>
          <w:szCs w:val="21"/>
        </w:rPr>
        <w:t>,</w:t>
      </w:r>
      <w:r w:rsidR="00581841">
        <w:rPr>
          <w:rFonts w:asciiTheme="minorHAnsi" w:hAnsiTheme="minorHAnsi" w:cstheme="minorHAnsi"/>
          <w:sz w:val="21"/>
          <w:szCs w:val="21"/>
        </w:rPr>
        <w:t xml:space="preserve"> as shown in Table 9, from 5</w:t>
      </w:r>
      <w:r w:rsidR="00791C77">
        <w:rPr>
          <w:rFonts w:asciiTheme="minorHAnsi" w:hAnsiTheme="minorHAnsi" w:cstheme="minorHAnsi"/>
          <w:sz w:val="21"/>
          <w:szCs w:val="21"/>
        </w:rPr>
        <w:t>3</w:t>
      </w:r>
      <w:r w:rsidR="00581841">
        <w:rPr>
          <w:rFonts w:asciiTheme="minorHAnsi" w:hAnsiTheme="minorHAnsi" w:cstheme="minorHAnsi"/>
          <w:sz w:val="21"/>
          <w:szCs w:val="21"/>
        </w:rPr>
        <w:t xml:space="preserve">% for the </w:t>
      </w:r>
      <w:r w:rsidR="00791C77">
        <w:rPr>
          <w:rFonts w:asciiTheme="minorHAnsi" w:hAnsiTheme="minorHAnsi" w:cstheme="minorHAnsi"/>
          <w:sz w:val="21"/>
          <w:szCs w:val="21"/>
        </w:rPr>
        <w:t>Mood Mechanic</w:t>
      </w:r>
      <w:r w:rsidR="00581841">
        <w:rPr>
          <w:rFonts w:asciiTheme="minorHAnsi" w:hAnsiTheme="minorHAnsi" w:cstheme="minorHAnsi"/>
          <w:sz w:val="21"/>
          <w:szCs w:val="21"/>
        </w:rPr>
        <w:t xml:space="preserve"> </w:t>
      </w:r>
      <w:r w:rsidR="007E6AD5">
        <w:rPr>
          <w:rFonts w:asciiTheme="minorHAnsi" w:hAnsiTheme="minorHAnsi" w:cstheme="minorHAnsi"/>
          <w:sz w:val="21"/>
          <w:szCs w:val="21"/>
        </w:rPr>
        <w:t xml:space="preserve">(for </w:t>
      </w:r>
      <w:r w:rsidR="002B3D6E">
        <w:rPr>
          <w:rFonts w:asciiTheme="minorHAnsi" w:hAnsiTheme="minorHAnsi" w:cstheme="minorHAnsi"/>
          <w:sz w:val="21"/>
          <w:szCs w:val="21"/>
        </w:rPr>
        <w:t xml:space="preserve">young adults aged </w:t>
      </w:r>
      <w:r w:rsidR="007E6AD5">
        <w:rPr>
          <w:rFonts w:asciiTheme="minorHAnsi" w:hAnsiTheme="minorHAnsi" w:cstheme="minorHAnsi"/>
          <w:sz w:val="21"/>
          <w:szCs w:val="21"/>
        </w:rPr>
        <w:t>18-25 year</w:t>
      </w:r>
      <w:r w:rsidR="002B3D6E">
        <w:rPr>
          <w:rFonts w:asciiTheme="minorHAnsi" w:hAnsiTheme="minorHAnsi" w:cstheme="minorHAnsi"/>
          <w:sz w:val="21"/>
          <w:szCs w:val="21"/>
        </w:rPr>
        <w:t>s</w:t>
      </w:r>
      <w:r w:rsidR="007E6AD5">
        <w:rPr>
          <w:rFonts w:asciiTheme="minorHAnsi" w:hAnsiTheme="minorHAnsi" w:cstheme="minorHAnsi"/>
          <w:sz w:val="21"/>
          <w:szCs w:val="21"/>
        </w:rPr>
        <w:t xml:space="preserve">) </w:t>
      </w:r>
      <w:r w:rsidR="00581841">
        <w:rPr>
          <w:rFonts w:asciiTheme="minorHAnsi" w:hAnsiTheme="minorHAnsi" w:cstheme="minorHAnsi"/>
          <w:sz w:val="21"/>
          <w:szCs w:val="21"/>
        </w:rPr>
        <w:t>course to 80% for the Wellbeing Plus (adults aged &gt;65 years) course.</w:t>
      </w:r>
    </w:p>
    <w:p w14:paraId="20D79811" w14:textId="12EADDB9" w:rsidR="00581841" w:rsidRPr="000026DE" w:rsidRDefault="00581841" w:rsidP="003D1CA1">
      <w:pPr>
        <w:pStyle w:val="tableheading"/>
      </w:pPr>
      <w:r w:rsidRPr="00AA6B28">
        <w:t xml:space="preserve">Table </w:t>
      </w:r>
      <w:r>
        <w:t>9</w:t>
      </w:r>
      <w:r w:rsidRPr="00AA6B28">
        <w:t xml:space="preserve">. </w:t>
      </w:r>
      <w:proofErr w:type="spellStart"/>
      <w:r>
        <w:t>MindSpot</w:t>
      </w:r>
      <w:proofErr w:type="spellEnd"/>
      <w:r w:rsidRPr="00AA6B28">
        <w:t xml:space="preserve"> </w:t>
      </w:r>
      <w:r>
        <w:t>treatment completion rates by course</w:t>
      </w:r>
      <w:r w:rsidRPr="00AA6B28">
        <w:t>, January 201</w:t>
      </w:r>
      <w:r>
        <w:t xml:space="preserve">3 – </w:t>
      </w:r>
      <w:r w:rsidRPr="00AA6B28">
        <w:t>December 2021</w:t>
      </w:r>
    </w:p>
    <w:tbl>
      <w:tblPr>
        <w:tblW w:w="6560" w:type="dxa"/>
        <w:jc w:val="center"/>
        <w:tblBorders>
          <w:left w:val="single" w:sz="4" w:space="0" w:color="auto"/>
          <w:bottom w:val="single" w:sz="4" w:space="0" w:color="auto"/>
          <w:right w:val="single" w:sz="4" w:space="0" w:color="auto"/>
        </w:tblBorders>
        <w:shd w:val="clear" w:color="000000" w:fill="auto"/>
        <w:tblLook w:val="04A0" w:firstRow="1" w:lastRow="0" w:firstColumn="1" w:lastColumn="0" w:noHBand="0" w:noVBand="1"/>
        <w:tblCaption w:val="Table 9. MindSpot treatment completion rates by course, January 2013 – December 2021"/>
        <w:tblDescription w:val="Table describing MindSpot treatment completion rates by course from January 2013 to December 2021"/>
      </w:tblPr>
      <w:tblGrid>
        <w:gridCol w:w="1640"/>
        <w:gridCol w:w="1640"/>
        <w:gridCol w:w="1640"/>
        <w:gridCol w:w="1640"/>
      </w:tblGrid>
      <w:tr w:rsidR="00581841" w:rsidRPr="009D7F3C" w14:paraId="0D35E300" w14:textId="77777777" w:rsidTr="00B973ED">
        <w:trPr>
          <w:trHeight w:val="283"/>
          <w:jc w:val="center"/>
        </w:trPr>
        <w:tc>
          <w:tcPr>
            <w:tcW w:w="1640" w:type="dxa"/>
            <w:tcBorders>
              <w:top w:val="single" w:sz="4" w:space="0" w:color="auto"/>
              <w:bottom w:val="nil"/>
            </w:tcBorders>
            <w:shd w:val="clear" w:color="auto" w:fill="000000" w:themeFill="text1"/>
            <w:noWrap/>
            <w:vAlign w:val="bottom"/>
            <w:hideMark/>
          </w:tcPr>
          <w:p w14:paraId="09F18DFC" w14:textId="77777777" w:rsidR="00581841" w:rsidRPr="009D7F3C" w:rsidRDefault="00581841" w:rsidP="003D1CA1">
            <w:pPr>
              <w:rPr>
                <w:rFonts w:asciiTheme="minorHAnsi" w:hAnsiTheme="minorHAnsi"/>
                <w:sz w:val="18"/>
                <w:szCs w:val="18"/>
              </w:rPr>
            </w:pPr>
            <w:r w:rsidRPr="009D7F3C">
              <w:rPr>
                <w:rFonts w:asciiTheme="minorHAnsi" w:hAnsiTheme="minorHAnsi"/>
                <w:sz w:val="18"/>
                <w:szCs w:val="18"/>
              </w:rPr>
              <w:t>Course</w:t>
            </w:r>
          </w:p>
        </w:tc>
        <w:tc>
          <w:tcPr>
            <w:tcW w:w="1640" w:type="dxa"/>
            <w:tcBorders>
              <w:top w:val="single" w:sz="4" w:space="0" w:color="auto"/>
              <w:bottom w:val="nil"/>
            </w:tcBorders>
            <w:shd w:val="clear" w:color="auto" w:fill="000000" w:themeFill="text1"/>
            <w:noWrap/>
            <w:vAlign w:val="bottom"/>
            <w:hideMark/>
          </w:tcPr>
          <w:p w14:paraId="12E0ACCE" w14:textId="77777777" w:rsidR="00581841" w:rsidRPr="009D7F3C" w:rsidRDefault="00581841" w:rsidP="003D1CA1">
            <w:pPr>
              <w:rPr>
                <w:rFonts w:asciiTheme="minorHAnsi" w:hAnsiTheme="minorHAnsi"/>
                <w:sz w:val="18"/>
                <w:szCs w:val="18"/>
              </w:rPr>
            </w:pPr>
            <w:r w:rsidRPr="009D7F3C">
              <w:rPr>
                <w:rFonts w:asciiTheme="minorHAnsi" w:hAnsiTheme="minorHAnsi"/>
                <w:sz w:val="18"/>
                <w:szCs w:val="18"/>
              </w:rPr>
              <w:t> </w:t>
            </w:r>
          </w:p>
        </w:tc>
        <w:tc>
          <w:tcPr>
            <w:tcW w:w="1640" w:type="dxa"/>
            <w:tcBorders>
              <w:top w:val="single" w:sz="4" w:space="0" w:color="auto"/>
              <w:bottom w:val="nil"/>
            </w:tcBorders>
            <w:shd w:val="clear" w:color="auto" w:fill="000000" w:themeFill="text1"/>
            <w:noWrap/>
            <w:vAlign w:val="bottom"/>
            <w:hideMark/>
          </w:tcPr>
          <w:p w14:paraId="50520D69" w14:textId="77777777" w:rsidR="00581841" w:rsidRPr="009D7F3C" w:rsidRDefault="00581841" w:rsidP="003D1CA1">
            <w:pPr>
              <w:rPr>
                <w:rFonts w:asciiTheme="minorHAnsi" w:hAnsiTheme="minorHAnsi"/>
                <w:sz w:val="18"/>
                <w:szCs w:val="18"/>
              </w:rPr>
            </w:pPr>
            <w:r w:rsidRPr="009D7F3C">
              <w:rPr>
                <w:rFonts w:asciiTheme="minorHAnsi" w:hAnsiTheme="minorHAnsi"/>
                <w:sz w:val="18"/>
                <w:szCs w:val="18"/>
              </w:rPr>
              <w:t> </w:t>
            </w:r>
          </w:p>
        </w:tc>
        <w:tc>
          <w:tcPr>
            <w:tcW w:w="1640" w:type="dxa"/>
            <w:tcBorders>
              <w:top w:val="single" w:sz="4" w:space="0" w:color="auto"/>
              <w:bottom w:val="nil"/>
            </w:tcBorders>
            <w:shd w:val="clear" w:color="auto" w:fill="000000" w:themeFill="text1"/>
            <w:noWrap/>
            <w:vAlign w:val="bottom"/>
            <w:hideMark/>
          </w:tcPr>
          <w:p w14:paraId="76D96649" w14:textId="77777777" w:rsidR="00581841" w:rsidRPr="009D7F3C" w:rsidRDefault="00581841" w:rsidP="003D1CA1">
            <w:pPr>
              <w:jc w:val="center"/>
              <w:rPr>
                <w:rFonts w:asciiTheme="minorHAnsi" w:hAnsiTheme="minorHAnsi"/>
                <w:sz w:val="18"/>
                <w:szCs w:val="18"/>
              </w:rPr>
            </w:pPr>
            <w:r w:rsidRPr="009D7F3C">
              <w:rPr>
                <w:rFonts w:asciiTheme="minorHAnsi" w:hAnsiTheme="minorHAnsi"/>
                <w:sz w:val="18"/>
                <w:szCs w:val="18"/>
              </w:rPr>
              <w:t>Completion</w:t>
            </w:r>
          </w:p>
        </w:tc>
      </w:tr>
      <w:tr w:rsidR="00581841" w:rsidRPr="009D7F3C" w14:paraId="0FB13C15" w14:textId="77777777" w:rsidTr="00B973ED">
        <w:trPr>
          <w:trHeight w:val="283"/>
          <w:jc w:val="center"/>
        </w:trPr>
        <w:tc>
          <w:tcPr>
            <w:tcW w:w="4920" w:type="dxa"/>
            <w:gridSpan w:val="3"/>
            <w:tcBorders>
              <w:top w:val="nil"/>
            </w:tcBorders>
            <w:shd w:val="clear" w:color="000000" w:fill="auto"/>
            <w:noWrap/>
            <w:vAlign w:val="bottom"/>
            <w:hideMark/>
          </w:tcPr>
          <w:p w14:paraId="675240CD" w14:textId="22C54EA3" w:rsidR="00581841" w:rsidRPr="009D7F3C" w:rsidRDefault="00581841" w:rsidP="003D1CA1">
            <w:pPr>
              <w:rPr>
                <w:rFonts w:asciiTheme="minorHAnsi" w:hAnsiTheme="minorHAnsi"/>
                <w:sz w:val="18"/>
                <w:szCs w:val="18"/>
              </w:rPr>
            </w:pPr>
            <w:r w:rsidRPr="009D7F3C">
              <w:rPr>
                <w:rFonts w:asciiTheme="minorHAnsi" w:hAnsiTheme="minorHAnsi"/>
                <w:sz w:val="18"/>
                <w:szCs w:val="18"/>
              </w:rPr>
              <w:t>Wellbeing Plus (adults over 65 years)</w:t>
            </w:r>
          </w:p>
        </w:tc>
        <w:tc>
          <w:tcPr>
            <w:tcW w:w="1640" w:type="dxa"/>
            <w:tcBorders>
              <w:top w:val="nil"/>
            </w:tcBorders>
            <w:shd w:val="clear" w:color="000000" w:fill="auto"/>
            <w:noWrap/>
            <w:vAlign w:val="bottom"/>
            <w:hideMark/>
          </w:tcPr>
          <w:p w14:paraId="598CF574" w14:textId="77777777" w:rsidR="00581841" w:rsidRPr="009D7F3C" w:rsidRDefault="00581841" w:rsidP="003D1CA1">
            <w:pPr>
              <w:jc w:val="center"/>
              <w:rPr>
                <w:rFonts w:asciiTheme="minorHAnsi" w:hAnsiTheme="minorHAnsi"/>
                <w:sz w:val="18"/>
                <w:szCs w:val="18"/>
              </w:rPr>
            </w:pPr>
            <w:r w:rsidRPr="009D7F3C">
              <w:rPr>
                <w:rFonts w:asciiTheme="minorHAnsi" w:hAnsiTheme="minorHAnsi"/>
                <w:sz w:val="18"/>
                <w:szCs w:val="18"/>
              </w:rPr>
              <w:t>80%</w:t>
            </w:r>
          </w:p>
        </w:tc>
      </w:tr>
      <w:tr w:rsidR="00581841" w:rsidRPr="009D7F3C" w14:paraId="7B94C211" w14:textId="77777777" w:rsidTr="00B973ED">
        <w:trPr>
          <w:trHeight w:val="283"/>
          <w:jc w:val="center"/>
        </w:trPr>
        <w:tc>
          <w:tcPr>
            <w:tcW w:w="4920" w:type="dxa"/>
            <w:gridSpan w:val="3"/>
            <w:shd w:val="clear" w:color="000000" w:fill="auto"/>
            <w:noWrap/>
            <w:vAlign w:val="bottom"/>
            <w:hideMark/>
          </w:tcPr>
          <w:p w14:paraId="1D5ABC69" w14:textId="2FEE8F59" w:rsidR="00581841" w:rsidRPr="009D7F3C" w:rsidRDefault="00581841" w:rsidP="003D1CA1">
            <w:pPr>
              <w:rPr>
                <w:rFonts w:asciiTheme="minorHAnsi" w:hAnsiTheme="minorHAnsi"/>
                <w:sz w:val="18"/>
                <w:szCs w:val="18"/>
              </w:rPr>
            </w:pPr>
            <w:r w:rsidRPr="009D7F3C">
              <w:rPr>
                <w:rFonts w:asciiTheme="minorHAnsi" w:hAnsiTheme="minorHAnsi"/>
                <w:sz w:val="18"/>
                <w:szCs w:val="18"/>
              </w:rPr>
              <w:t>Wellbeing (</w:t>
            </w:r>
            <w:r w:rsidR="008F7170">
              <w:rPr>
                <w:rFonts w:asciiTheme="minorHAnsi" w:hAnsiTheme="minorHAnsi"/>
                <w:sz w:val="18"/>
                <w:szCs w:val="18"/>
              </w:rPr>
              <w:t xml:space="preserve">adults aged </w:t>
            </w:r>
            <w:r w:rsidRPr="009D7F3C">
              <w:rPr>
                <w:rFonts w:asciiTheme="minorHAnsi" w:hAnsiTheme="minorHAnsi"/>
                <w:sz w:val="18"/>
                <w:szCs w:val="18"/>
              </w:rPr>
              <w:t>26</w:t>
            </w:r>
            <w:r w:rsidR="002B3D6E">
              <w:rPr>
                <w:rFonts w:asciiTheme="minorHAnsi" w:hAnsiTheme="minorHAnsi"/>
                <w:sz w:val="18"/>
                <w:szCs w:val="18"/>
              </w:rPr>
              <w:t>-</w:t>
            </w:r>
            <w:r w:rsidRPr="009D7F3C">
              <w:rPr>
                <w:rFonts w:asciiTheme="minorHAnsi" w:hAnsiTheme="minorHAnsi"/>
                <w:sz w:val="18"/>
                <w:szCs w:val="18"/>
              </w:rPr>
              <w:t>65 years)</w:t>
            </w:r>
          </w:p>
        </w:tc>
        <w:tc>
          <w:tcPr>
            <w:tcW w:w="1640" w:type="dxa"/>
            <w:shd w:val="clear" w:color="000000" w:fill="auto"/>
            <w:noWrap/>
            <w:vAlign w:val="bottom"/>
            <w:hideMark/>
          </w:tcPr>
          <w:p w14:paraId="3CFAC643" w14:textId="77777777" w:rsidR="00581841" w:rsidRPr="009D7F3C" w:rsidRDefault="00581841" w:rsidP="003D1CA1">
            <w:pPr>
              <w:jc w:val="center"/>
              <w:rPr>
                <w:rFonts w:asciiTheme="minorHAnsi" w:hAnsiTheme="minorHAnsi"/>
                <w:sz w:val="18"/>
                <w:szCs w:val="18"/>
              </w:rPr>
            </w:pPr>
            <w:r w:rsidRPr="009D7F3C">
              <w:rPr>
                <w:rFonts w:asciiTheme="minorHAnsi" w:hAnsiTheme="minorHAnsi"/>
                <w:sz w:val="18"/>
                <w:szCs w:val="18"/>
              </w:rPr>
              <w:t>67%</w:t>
            </w:r>
          </w:p>
        </w:tc>
      </w:tr>
      <w:tr w:rsidR="00581841" w:rsidRPr="009D7F3C" w14:paraId="231ECAC7" w14:textId="77777777" w:rsidTr="00B973ED">
        <w:trPr>
          <w:trHeight w:val="283"/>
          <w:jc w:val="center"/>
        </w:trPr>
        <w:tc>
          <w:tcPr>
            <w:tcW w:w="4920" w:type="dxa"/>
            <w:gridSpan w:val="3"/>
            <w:shd w:val="clear" w:color="000000" w:fill="auto"/>
            <w:noWrap/>
            <w:vAlign w:val="bottom"/>
            <w:hideMark/>
          </w:tcPr>
          <w:p w14:paraId="14E5FC31" w14:textId="79C5C89F" w:rsidR="00581841" w:rsidRPr="009D7F3C" w:rsidRDefault="00581841" w:rsidP="003D1CA1">
            <w:pPr>
              <w:rPr>
                <w:rFonts w:asciiTheme="minorHAnsi" w:hAnsiTheme="minorHAnsi"/>
                <w:sz w:val="18"/>
                <w:szCs w:val="18"/>
              </w:rPr>
            </w:pPr>
            <w:r w:rsidRPr="009D7F3C">
              <w:rPr>
                <w:rFonts w:asciiTheme="minorHAnsi" w:hAnsiTheme="minorHAnsi"/>
                <w:sz w:val="18"/>
                <w:szCs w:val="18"/>
              </w:rPr>
              <w:t>Mood Mechanic (</w:t>
            </w:r>
            <w:r w:rsidR="008F7170">
              <w:rPr>
                <w:rFonts w:asciiTheme="minorHAnsi" w:hAnsiTheme="minorHAnsi"/>
                <w:sz w:val="18"/>
                <w:szCs w:val="18"/>
              </w:rPr>
              <w:t xml:space="preserve">adults </w:t>
            </w:r>
            <w:r w:rsidRPr="009D7F3C">
              <w:rPr>
                <w:rFonts w:asciiTheme="minorHAnsi" w:hAnsiTheme="minorHAnsi"/>
                <w:sz w:val="18"/>
                <w:szCs w:val="18"/>
              </w:rPr>
              <w:t>aged 18</w:t>
            </w:r>
            <w:r w:rsidR="002B3D6E">
              <w:rPr>
                <w:rFonts w:asciiTheme="minorHAnsi" w:hAnsiTheme="minorHAnsi"/>
                <w:sz w:val="18"/>
                <w:szCs w:val="18"/>
              </w:rPr>
              <w:t>-</w:t>
            </w:r>
            <w:r w:rsidRPr="009D7F3C">
              <w:rPr>
                <w:rFonts w:asciiTheme="minorHAnsi" w:hAnsiTheme="minorHAnsi"/>
                <w:sz w:val="18"/>
                <w:szCs w:val="18"/>
              </w:rPr>
              <w:t>25 years)</w:t>
            </w:r>
          </w:p>
        </w:tc>
        <w:tc>
          <w:tcPr>
            <w:tcW w:w="1640" w:type="dxa"/>
            <w:shd w:val="clear" w:color="000000" w:fill="auto"/>
            <w:noWrap/>
            <w:vAlign w:val="bottom"/>
            <w:hideMark/>
          </w:tcPr>
          <w:p w14:paraId="56089A93" w14:textId="77777777" w:rsidR="00581841" w:rsidRPr="009D7F3C" w:rsidRDefault="00581841" w:rsidP="003D1CA1">
            <w:pPr>
              <w:jc w:val="center"/>
              <w:rPr>
                <w:rFonts w:asciiTheme="minorHAnsi" w:hAnsiTheme="minorHAnsi"/>
                <w:sz w:val="18"/>
                <w:szCs w:val="18"/>
              </w:rPr>
            </w:pPr>
            <w:r w:rsidRPr="009D7F3C">
              <w:rPr>
                <w:rFonts w:asciiTheme="minorHAnsi" w:hAnsiTheme="minorHAnsi"/>
                <w:sz w:val="18"/>
                <w:szCs w:val="18"/>
              </w:rPr>
              <w:t>53%</w:t>
            </w:r>
          </w:p>
        </w:tc>
      </w:tr>
      <w:tr w:rsidR="00581841" w:rsidRPr="009D7F3C" w14:paraId="1D3DA59F" w14:textId="77777777" w:rsidTr="00B973ED">
        <w:trPr>
          <w:trHeight w:val="283"/>
          <w:jc w:val="center"/>
        </w:trPr>
        <w:tc>
          <w:tcPr>
            <w:tcW w:w="3280" w:type="dxa"/>
            <w:gridSpan w:val="2"/>
            <w:shd w:val="clear" w:color="000000" w:fill="auto"/>
            <w:noWrap/>
            <w:vAlign w:val="bottom"/>
            <w:hideMark/>
          </w:tcPr>
          <w:p w14:paraId="6F55F1CE" w14:textId="10253F6C" w:rsidR="00581841" w:rsidRPr="009D7F3C" w:rsidRDefault="00581841" w:rsidP="003D1CA1">
            <w:pPr>
              <w:rPr>
                <w:rFonts w:asciiTheme="minorHAnsi" w:hAnsiTheme="minorHAnsi"/>
                <w:sz w:val="18"/>
                <w:szCs w:val="18"/>
              </w:rPr>
            </w:pPr>
            <w:r w:rsidRPr="009D7F3C">
              <w:rPr>
                <w:rFonts w:asciiTheme="minorHAnsi" w:hAnsiTheme="minorHAnsi"/>
                <w:sz w:val="18"/>
                <w:szCs w:val="18"/>
              </w:rPr>
              <w:t>Indigenous Wellbeing</w:t>
            </w:r>
          </w:p>
        </w:tc>
        <w:tc>
          <w:tcPr>
            <w:tcW w:w="1640" w:type="dxa"/>
            <w:shd w:val="clear" w:color="000000" w:fill="auto"/>
            <w:noWrap/>
            <w:vAlign w:val="bottom"/>
            <w:hideMark/>
          </w:tcPr>
          <w:p w14:paraId="4F2A70E8" w14:textId="77777777" w:rsidR="00581841" w:rsidRPr="009D7F3C" w:rsidRDefault="00581841" w:rsidP="003D1CA1">
            <w:pPr>
              <w:rPr>
                <w:rFonts w:asciiTheme="minorHAnsi" w:hAnsiTheme="minorHAnsi"/>
                <w:sz w:val="18"/>
                <w:szCs w:val="18"/>
              </w:rPr>
            </w:pPr>
            <w:r w:rsidRPr="009D7F3C">
              <w:rPr>
                <w:rFonts w:asciiTheme="minorHAnsi" w:hAnsiTheme="minorHAnsi"/>
                <w:sz w:val="18"/>
                <w:szCs w:val="18"/>
              </w:rPr>
              <w:t> </w:t>
            </w:r>
          </w:p>
        </w:tc>
        <w:tc>
          <w:tcPr>
            <w:tcW w:w="1640" w:type="dxa"/>
            <w:shd w:val="clear" w:color="000000" w:fill="auto"/>
            <w:noWrap/>
            <w:vAlign w:val="bottom"/>
            <w:hideMark/>
          </w:tcPr>
          <w:p w14:paraId="2A3A64E6" w14:textId="77777777" w:rsidR="00581841" w:rsidRPr="009D7F3C" w:rsidRDefault="00581841" w:rsidP="003D1CA1">
            <w:pPr>
              <w:jc w:val="center"/>
              <w:rPr>
                <w:rFonts w:asciiTheme="minorHAnsi" w:hAnsiTheme="minorHAnsi"/>
                <w:sz w:val="18"/>
                <w:szCs w:val="18"/>
              </w:rPr>
            </w:pPr>
            <w:r w:rsidRPr="009D7F3C">
              <w:rPr>
                <w:rFonts w:asciiTheme="minorHAnsi" w:hAnsiTheme="minorHAnsi"/>
                <w:sz w:val="18"/>
                <w:szCs w:val="18"/>
              </w:rPr>
              <w:t>56%</w:t>
            </w:r>
          </w:p>
        </w:tc>
      </w:tr>
      <w:tr w:rsidR="00581841" w:rsidRPr="009D7F3C" w14:paraId="38367F56" w14:textId="77777777" w:rsidTr="00B973ED">
        <w:trPr>
          <w:trHeight w:val="283"/>
          <w:jc w:val="center"/>
        </w:trPr>
        <w:tc>
          <w:tcPr>
            <w:tcW w:w="3280" w:type="dxa"/>
            <w:gridSpan w:val="2"/>
            <w:shd w:val="clear" w:color="000000" w:fill="auto"/>
            <w:noWrap/>
            <w:vAlign w:val="bottom"/>
            <w:hideMark/>
          </w:tcPr>
          <w:p w14:paraId="610784F9" w14:textId="78BA9A5D" w:rsidR="00581841" w:rsidRPr="009D7F3C" w:rsidRDefault="00581841" w:rsidP="003D1CA1">
            <w:pPr>
              <w:rPr>
                <w:rFonts w:asciiTheme="minorHAnsi" w:hAnsiTheme="minorHAnsi"/>
                <w:sz w:val="18"/>
                <w:szCs w:val="18"/>
              </w:rPr>
            </w:pPr>
            <w:r w:rsidRPr="009D7F3C">
              <w:rPr>
                <w:rFonts w:asciiTheme="minorHAnsi" w:hAnsiTheme="minorHAnsi"/>
                <w:sz w:val="18"/>
                <w:szCs w:val="18"/>
              </w:rPr>
              <w:t>Chronic Pain</w:t>
            </w:r>
          </w:p>
        </w:tc>
        <w:tc>
          <w:tcPr>
            <w:tcW w:w="1640" w:type="dxa"/>
            <w:shd w:val="clear" w:color="000000" w:fill="auto"/>
            <w:noWrap/>
            <w:vAlign w:val="bottom"/>
            <w:hideMark/>
          </w:tcPr>
          <w:p w14:paraId="788537D8" w14:textId="77777777" w:rsidR="00581841" w:rsidRPr="009D7F3C" w:rsidRDefault="00581841" w:rsidP="003D1CA1">
            <w:pPr>
              <w:rPr>
                <w:rFonts w:asciiTheme="minorHAnsi" w:hAnsiTheme="minorHAnsi"/>
                <w:sz w:val="18"/>
                <w:szCs w:val="18"/>
              </w:rPr>
            </w:pPr>
            <w:r w:rsidRPr="009D7F3C">
              <w:rPr>
                <w:rFonts w:asciiTheme="minorHAnsi" w:hAnsiTheme="minorHAnsi"/>
                <w:sz w:val="18"/>
                <w:szCs w:val="18"/>
              </w:rPr>
              <w:t> </w:t>
            </w:r>
          </w:p>
        </w:tc>
        <w:tc>
          <w:tcPr>
            <w:tcW w:w="1640" w:type="dxa"/>
            <w:shd w:val="clear" w:color="000000" w:fill="auto"/>
            <w:noWrap/>
            <w:vAlign w:val="bottom"/>
            <w:hideMark/>
          </w:tcPr>
          <w:p w14:paraId="29BC4F2F" w14:textId="77777777" w:rsidR="00581841" w:rsidRPr="009D7F3C" w:rsidRDefault="00581841" w:rsidP="003D1CA1">
            <w:pPr>
              <w:jc w:val="center"/>
              <w:rPr>
                <w:rFonts w:asciiTheme="minorHAnsi" w:hAnsiTheme="minorHAnsi"/>
                <w:sz w:val="18"/>
                <w:szCs w:val="18"/>
              </w:rPr>
            </w:pPr>
            <w:r w:rsidRPr="009D7F3C">
              <w:rPr>
                <w:rFonts w:asciiTheme="minorHAnsi" w:hAnsiTheme="minorHAnsi"/>
                <w:sz w:val="18"/>
                <w:szCs w:val="18"/>
              </w:rPr>
              <w:t>74%</w:t>
            </w:r>
          </w:p>
        </w:tc>
      </w:tr>
      <w:tr w:rsidR="00581841" w:rsidRPr="009D7F3C" w14:paraId="0A0440AB" w14:textId="77777777" w:rsidTr="00B973ED">
        <w:trPr>
          <w:trHeight w:val="283"/>
          <w:jc w:val="center"/>
        </w:trPr>
        <w:tc>
          <w:tcPr>
            <w:tcW w:w="4920" w:type="dxa"/>
            <w:gridSpan w:val="3"/>
            <w:shd w:val="clear" w:color="000000" w:fill="auto"/>
            <w:noWrap/>
            <w:vAlign w:val="bottom"/>
            <w:hideMark/>
          </w:tcPr>
          <w:p w14:paraId="1DBFE81A" w14:textId="2F88CE38" w:rsidR="00581841" w:rsidRPr="009D7F3C" w:rsidRDefault="00581841" w:rsidP="003D1CA1">
            <w:pPr>
              <w:rPr>
                <w:rFonts w:asciiTheme="minorHAnsi" w:hAnsiTheme="minorHAnsi"/>
                <w:sz w:val="18"/>
                <w:szCs w:val="18"/>
              </w:rPr>
            </w:pPr>
            <w:r w:rsidRPr="009D7F3C">
              <w:rPr>
                <w:rFonts w:asciiTheme="minorHAnsi" w:hAnsiTheme="minorHAnsi"/>
                <w:sz w:val="18"/>
                <w:szCs w:val="18"/>
              </w:rPr>
              <w:t>Obsessive Compulsive Disorder</w:t>
            </w:r>
          </w:p>
        </w:tc>
        <w:tc>
          <w:tcPr>
            <w:tcW w:w="1640" w:type="dxa"/>
            <w:shd w:val="clear" w:color="000000" w:fill="auto"/>
            <w:noWrap/>
            <w:vAlign w:val="bottom"/>
            <w:hideMark/>
          </w:tcPr>
          <w:p w14:paraId="6637E976" w14:textId="77777777" w:rsidR="00581841" w:rsidRPr="009D7F3C" w:rsidRDefault="00581841" w:rsidP="003D1CA1">
            <w:pPr>
              <w:jc w:val="center"/>
              <w:rPr>
                <w:rFonts w:asciiTheme="minorHAnsi" w:hAnsiTheme="minorHAnsi"/>
                <w:sz w:val="18"/>
                <w:szCs w:val="18"/>
              </w:rPr>
            </w:pPr>
            <w:r w:rsidRPr="009D7F3C">
              <w:rPr>
                <w:rFonts w:asciiTheme="minorHAnsi" w:hAnsiTheme="minorHAnsi"/>
                <w:sz w:val="18"/>
                <w:szCs w:val="18"/>
              </w:rPr>
              <w:t>71%</w:t>
            </w:r>
          </w:p>
        </w:tc>
      </w:tr>
      <w:tr w:rsidR="00581841" w:rsidRPr="009D7F3C" w14:paraId="3691CB70" w14:textId="77777777" w:rsidTr="00B973ED">
        <w:trPr>
          <w:trHeight w:val="283"/>
          <w:jc w:val="center"/>
        </w:trPr>
        <w:tc>
          <w:tcPr>
            <w:tcW w:w="4920" w:type="dxa"/>
            <w:gridSpan w:val="3"/>
            <w:shd w:val="clear" w:color="000000" w:fill="auto"/>
            <w:noWrap/>
            <w:vAlign w:val="bottom"/>
            <w:hideMark/>
          </w:tcPr>
          <w:p w14:paraId="603189B4" w14:textId="10C2EBC7" w:rsidR="00581841" w:rsidRPr="009D7F3C" w:rsidRDefault="00581841" w:rsidP="003D1CA1">
            <w:pPr>
              <w:rPr>
                <w:rFonts w:asciiTheme="minorHAnsi" w:hAnsiTheme="minorHAnsi"/>
                <w:sz w:val="18"/>
                <w:szCs w:val="18"/>
              </w:rPr>
            </w:pPr>
            <w:r w:rsidRPr="009D7F3C">
              <w:rPr>
                <w:rFonts w:asciiTheme="minorHAnsi" w:hAnsiTheme="minorHAnsi"/>
                <w:sz w:val="18"/>
                <w:szCs w:val="18"/>
              </w:rPr>
              <w:t>Post-Traumatic Stress Disorder</w:t>
            </w:r>
          </w:p>
        </w:tc>
        <w:tc>
          <w:tcPr>
            <w:tcW w:w="1640" w:type="dxa"/>
            <w:shd w:val="clear" w:color="000000" w:fill="auto"/>
            <w:noWrap/>
            <w:vAlign w:val="bottom"/>
            <w:hideMark/>
          </w:tcPr>
          <w:p w14:paraId="677CB753" w14:textId="77777777" w:rsidR="00581841" w:rsidRPr="009D7F3C" w:rsidRDefault="00581841" w:rsidP="003D1CA1">
            <w:pPr>
              <w:jc w:val="center"/>
              <w:rPr>
                <w:rFonts w:asciiTheme="minorHAnsi" w:hAnsiTheme="minorHAnsi"/>
                <w:sz w:val="18"/>
                <w:szCs w:val="18"/>
              </w:rPr>
            </w:pPr>
            <w:r w:rsidRPr="009D7F3C">
              <w:rPr>
                <w:rFonts w:asciiTheme="minorHAnsi" w:hAnsiTheme="minorHAnsi"/>
                <w:sz w:val="18"/>
                <w:szCs w:val="18"/>
              </w:rPr>
              <w:t>69%</w:t>
            </w:r>
          </w:p>
        </w:tc>
      </w:tr>
    </w:tbl>
    <w:p w14:paraId="25853B24" w14:textId="77777777" w:rsidR="000026DE" w:rsidRDefault="000026DE" w:rsidP="00DE0F28">
      <w:pPr>
        <w:rPr>
          <w:rFonts w:asciiTheme="minorHAnsi" w:hAnsiTheme="minorHAnsi" w:cstheme="minorHAnsi"/>
          <w:sz w:val="21"/>
          <w:szCs w:val="21"/>
        </w:rPr>
      </w:pPr>
    </w:p>
    <w:p w14:paraId="0E0BAAB2" w14:textId="7186750D" w:rsidR="00225615" w:rsidRDefault="0038516B" w:rsidP="00F84ED2">
      <w:pPr>
        <w:pStyle w:val="Heading3"/>
        <w:numPr>
          <w:ilvl w:val="2"/>
          <w:numId w:val="144"/>
        </w:numPr>
      </w:pPr>
      <w:r>
        <w:lastRenderedPageBreak/>
        <w:t xml:space="preserve">Uptake of </w:t>
      </w:r>
      <w:proofErr w:type="spellStart"/>
      <w:r>
        <w:t>MindSpot</w:t>
      </w:r>
      <w:proofErr w:type="spellEnd"/>
      <w:r>
        <w:t xml:space="preserve"> </w:t>
      </w:r>
      <w:r w:rsidR="002061AF">
        <w:t>therapist-</w:t>
      </w:r>
      <w:r w:rsidR="00204FE8">
        <w:t>supported</w:t>
      </w:r>
      <w:r w:rsidR="002061AF">
        <w:t xml:space="preserve"> </w:t>
      </w:r>
      <w:r>
        <w:t>treatment over time</w:t>
      </w:r>
    </w:p>
    <w:p w14:paraId="6B63EFE5" w14:textId="4E456324" w:rsidR="00E76D78" w:rsidRDefault="00E76D78" w:rsidP="002029DC">
      <w:pPr>
        <w:spacing w:after="200"/>
        <w:rPr>
          <w:rFonts w:asciiTheme="minorHAnsi" w:hAnsiTheme="minorHAnsi" w:cstheme="minorHAnsi"/>
          <w:sz w:val="21"/>
          <w:szCs w:val="21"/>
        </w:rPr>
      </w:pPr>
      <w:r>
        <w:rPr>
          <w:rFonts w:asciiTheme="minorHAnsi" w:hAnsiTheme="minorHAnsi" w:cstheme="minorHAnsi"/>
          <w:sz w:val="21"/>
          <w:szCs w:val="21"/>
        </w:rPr>
        <w:t>Self-directed treatment uptake is not included in this section because this service offering was introduced in July 2019 and, therefore, these data are only available for three half years and comprise a negligible proportion of overall treatment uptake (e.g., 7.7% of all consumers who completed any treatment</w:t>
      </w:r>
      <w:r w:rsidR="008B5796">
        <w:rPr>
          <w:rFonts w:asciiTheme="minorHAnsi" w:hAnsiTheme="minorHAnsi" w:cstheme="minorHAnsi"/>
          <w:sz w:val="21"/>
          <w:szCs w:val="21"/>
        </w:rPr>
        <w:t xml:space="preserve"> [1,552/20,267</w:t>
      </w:r>
      <w:r w:rsidR="0080564D">
        <w:rPr>
          <w:rFonts w:asciiTheme="minorHAnsi" w:hAnsiTheme="minorHAnsi" w:cstheme="minorHAnsi"/>
          <w:sz w:val="21"/>
          <w:szCs w:val="21"/>
        </w:rPr>
        <w:t>]</w:t>
      </w:r>
      <w:r>
        <w:rPr>
          <w:rFonts w:asciiTheme="minorHAnsi" w:hAnsiTheme="minorHAnsi" w:cstheme="minorHAnsi"/>
          <w:sz w:val="21"/>
          <w:szCs w:val="21"/>
        </w:rPr>
        <w:t>, were enrolled in a self-directed program).</w:t>
      </w:r>
    </w:p>
    <w:p w14:paraId="1F399DA8" w14:textId="56F939D0" w:rsidR="00204FE8" w:rsidRDefault="00A5369F" w:rsidP="002029DC">
      <w:pPr>
        <w:spacing w:after="200"/>
        <w:rPr>
          <w:rFonts w:asciiTheme="minorHAnsi" w:hAnsiTheme="minorHAnsi" w:cstheme="minorHAnsi"/>
          <w:sz w:val="21"/>
          <w:szCs w:val="21"/>
        </w:rPr>
      </w:pPr>
      <w:r>
        <w:rPr>
          <w:rFonts w:asciiTheme="minorHAnsi" w:hAnsiTheme="minorHAnsi" w:cstheme="minorHAnsi"/>
          <w:sz w:val="21"/>
          <w:szCs w:val="21"/>
        </w:rPr>
        <w:t xml:space="preserve">Figure 2 </w:t>
      </w:r>
      <w:r w:rsidR="001B607F">
        <w:rPr>
          <w:rFonts w:asciiTheme="minorHAnsi" w:hAnsiTheme="minorHAnsi" w:cstheme="minorHAnsi"/>
          <w:sz w:val="21"/>
          <w:szCs w:val="21"/>
        </w:rPr>
        <w:t xml:space="preserve">shows the uptake of </w:t>
      </w:r>
      <w:proofErr w:type="gramStart"/>
      <w:r w:rsidR="002061AF">
        <w:rPr>
          <w:rFonts w:asciiTheme="minorHAnsi" w:hAnsiTheme="minorHAnsi" w:cstheme="minorHAnsi"/>
          <w:sz w:val="21"/>
          <w:szCs w:val="21"/>
        </w:rPr>
        <w:t>therapist</w:t>
      </w:r>
      <w:r w:rsidR="00204FE8">
        <w:rPr>
          <w:rFonts w:asciiTheme="minorHAnsi" w:hAnsiTheme="minorHAnsi" w:cstheme="minorHAnsi"/>
          <w:sz w:val="21"/>
          <w:szCs w:val="21"/>
        </w:rPr>
        <w:t>-supported</w:t>
      </w:r>
      <w:proofErr w:type="gramEnd"/>
      <w:r w:rsidR="001B607F">
        <w:rPr>
          <w:rFonts w:asciiTheme="minorHAnsi" w:hAnsiTheme="minorHAnsi" w:cstheme="minorHAnsi"/>
          <w:sz w:val="21"/>
          <w:szCs w:val="21"/>
        </w:rPr>
        <w:t xml:space="preserve"> </w:t>
      </w:r>
      <w:proofErr w:type="spellStart"/>
      <w:r w:rsidR="001B607F">
        <w:rPr>
          <w:rFonts w:asciiTheme="minorHAnsi" w:hAnsiTheme="minorHAnsi" w:cstheme="minorHAnsi"/>
          <w:sz w:val="21"/>
          <w:szCs w:val="21"/>
        </w:rPr>
        <w:t>MindSpot</w:t>
      </w:r>
      <w:proofErr w:type="spellEnd"/>
      <w:r w:rsidR="001B607F">
        <w:rPr>
          <w:rFonts w:asciiTheme="minorHAnsi" w:hAnsiTheme="minorHAnsi" w:cstheme="minorHAnsi"/>
          <w:sz w:val="21"/>
          <w:szCs w:val="21"/>
        </w:rPr>
        <w:t xml:space="preserve"> treatment programs </w:t>
      </w:r>
      <w:r w:rsidR="00EC0CEC">
        <w:rPr>
          <w:rFonts w:asciiTheme="minorHAnsi" w:hAnsiTheme="minorHAnsi" w:cstheme="minorHAnsi"/>
          <w:sz w:val="21"/>
          <w:szCs w:val="21"/>
        </w:rPr>
        <w:t>by half year</w:t>
      </w:r>
      <w:r w:rsidR="001B607F">
        <w:rPr>
          <w:rFonts w:asciiTheme="minorHAnsi" w:hAnsiTheme="minorHAnsi" w:cstheme="minorHAnsi"/>
          <w:sz w:val="21"/>
          <w:szCs w:val="21"/>
        </w:rPr>
        <w:t xml:space="preserve"> from </w:t>
      </w:r>
      <w:r w:rsidR="00D56D5F">
        <w:rPr>
          <w:rFonts w:asciiTheme="minorHAnsi" w:hAnsiTheme="minorHAnsi" w:cstheme="minorHAnsi"/>
          <w:sz w:val="21"/>
          <w:szCs w:val="21"/>
        </w:rPr>
        <w:t>January 2013 to December 2021.</w:t>
      </w:r>
    </w:p>
    <w:p w14:paraId="37CD2EAF" w14:textId="322BC352" w:rsidR="002C3CC3" w:rsidRDefault="002C3CC3" w:rsidP="002029DC">
      <w:pPr>
        <w:spacing w:after="200"/>
        <w:rPr>
          <w:rFonts w:asciiTheme="minorHAnsi" w:hAnsiTheme="minorHAnsi" w:cstheme="minorHAnsi"/>
          <w:sz w:val="21"/>
          <w:szCs w:val="21"/>
        </w:rPr>
      </w:pPr>
      <w:r>
        <w:rPr>
          <w:rFonts w:asciiTheme="minorHAnsi" w:hAnsiTheme="minorHAnsi" w:cstheme="minorHAnsi"/>
          <w:sz w:val="21"/>
          <w:szCs w:val="21"/>
        </w:rPr>
        <w:t xml:space="preserve">The number of individuals who enrolled in treatment, started </w:t>
      </w:r>
      <w:proofErr w:type="gramStart"/>
      <w:r>
        <w:rPr>
          <w:rFonts w:asciiTheme="minorHAnsi" w:hAnsiTheme="minorHAnsi" w:cstheme="minorHAnsi"/>
          <w:sz w:val="21"/>
          <w:szCs w:val="21"/>
        </w:rPr>
        <w:t>treatment</w:t>
      </w:r>
      <w:proofErr w:type="gramEnd"/>
      <w:r>
        <w:rPr>
          <w:rFonts w:asciiTheme="minorHAnsi" w:hAnsiTheme="minorHAnsi" w:cstheme="minorHAnsi"/>
          <w:sz w:val="21"/>
          <w:szCs w:val="21"/>
        </w:rPr>
        <w:t xml:space="preserve"> and completed treatment increased quite consistently over </w:t>
      </w:r>
      <w:r w:rsidR="00B37669">
        <w:rPr>
          <w:rFonts w:asciiTheme="minorHAnsi" w:hAnsiTheme="minorHAnsi" w:cstheme="minorHAnsi"/>
          <w:sz w:val="21"/>
          <w:szCs w:val="21"/>
        </w:rPr>
        <w:t>th</w:t>
      </w:r>
      <w:r w:rsidR="00ED1031">
        <w:rPr>
          <w:rFonts w:asciiTheme="minorHAnsi" w:hAnsiTheme="minorHAnsi" w:cstheme="minorHAnsi"/>
          <w:sz w:val="21"/>
          <w:szCs w:val="21"/>
        </w:rPr>
        <w:t>is</w:t>
      </w:r>
      <w:r w:rsidR="00B37669">
        <w:rPr>
          <w:rFonts w:asciiTheme="minorHAnsi" w:hAnsiTheme="minorHAnsi" w:cstheme="minorHAnsi"/>
          <w:sz w:val="21"/>
          <w:szCs w:val="21"/>
        </w:rPr>
        <w:t xml:space="preserve"> nine</w:t>
      </w:r>
      <w:r w:rsidR="00ED1031">
        <w:rPr>
          <w:rFonts w:asciiTheme="minorHAnsi" w:hAnsiTheme="minorHAnsi" w:cstheme="minorHAnsi"/>
          <w:sz w:val="21"/>
          <w:szCs w:val="21"/>
        </w:rPr>
        <w:t>-</w:t>
      </w:r>
      <w:r w:rsidR="00B37669">
        <w:rPr>
          <w:rFonts w:asciiTheme="minorHAnsi" w:hAnsiTheme="minorHAnsi" w:cstheme="minorHAnsi"/>
          <w:sz w:val="21"/>
          <w:szCs w:val="21"/>
        </w:rPr>
        <w:t>year analysis period</w:t>
      </w:r>
      <w:r>
        <w:rPr>
          <w:rFonts w:asciiTheme="minorHAnsi" w:hAnsiTheme="minorHAnsi" w:cstheme="minorHAnsi"/>
          <w:sz w:val="21"/>
          <w:szCs w:val="21"/>
        </w:rPr>
        <w:t>. The number enrolled in treatment increased from 1</w:t>
      </w:r>
      <w:r w:rsidR="00ED1031">
        <w:rPr>
          <w:rFonts w:asciiTheme="minorHAnsi" w:hAnsiTheme="minorHAnsi" w:cstheme="minorHAnsi"/>
          <w:sz w:val="21"/>
          <w:szCs w:val="21"/>
        </w:rPr>
        <w:t>,</w:t>
      </w:r>
      <w:r>
        <w:rPr>
          <w:rFonts w:asciiTheme="minorHAnsi" w:hAnsiTheme="minorHAnsi" w:cstheme="minorHAnsi"/>
          <w:sz w:val="21"/>
          <w:szCs w:val="21"/>
        </w:rPr>
        <w:t>128 to a high of 2</w:t>
      </w:r>
      <w:r w:rsidR="00ED1031">
        <w:rPr>
          <w:rFonts w:asciiTheme="minorHAnsi" w:hAnsiTheme="minorHAnsi" w:cstheme="minorHAnsi"/>
          <w:sz w:val="21"/>
          <w:szCs w:val="21"/>
        </w:rPr>
        <w:t>,</w:t>
      </w:r>
      <w:r>
        <w:rPr>
          <w:rFonts w:asciiTheme="minorHAnsi" w:hAnsiTheme="minorHAnsi" w:cstheme="minorHAnsi"/>
          <w:sz w:val="21"/>
          <w:szCs w:val="21"/>
        </w:rPr>
        <w:t>822 in the first hal</w:t>
      </w:r>
      <w:r w:rsidR="00ED1031">
        <w:rPr>
          <w:rFonts w:asciiTheme="minorHAnsi" w:hAnsiTheme="minorHAnsi" w:cstheme="minorHAnsi"/>
          <w:sz w:val="21"/>
          <w:szCs w:val="21"/>
        </w:rPr>
        <w:t>f</w:t>
      </w:r>
      <w:r>
        <w:rPr>
          <w:rFonts w:asciiTheme="minorHAnsi" w:hAnsiTheme="minorHAnsi" w:cstheme="minorHAnsi"/>
          <w:sz w:val="21"/>
          <w:szCs w:val="21"/>
        </w:rPr>
        <w:t xml:space="preserve"> of 2020. The number who started treatment increased from 1</w:t>
      </w:r>
      <w:r w:rsidR="00A62FB4">
        <w:rPr>
          <w:rFonts w:asciiTheme="minorHAnsi" w:hAnsiTheme="minorHAnsi" w:cstheme="minorHAnsi"/>
          <w:sz w:val="21"/>
          <w:szCs w:val="21"/>
        </w:rPr>
        <w:t>,</w:t>
      </w:r>
      <w:r>
        <w:rPr>
          <w:rFonts w:asciiTheme="minorHAnsi" w:hAnsiTheme="minorHAnsi" w:cstheme="minorHAnsi"/>
          <w:sz w:val="21"/>
          <w:szCs w:val="21"/>
        </w:rPr>
        <w:t>035 to 2</w:t>
      </w:r>
      <w:r w:rsidR="00A62FB4">
        <w:rPr>
          <w:rFonts w:asciiTheme="minorHAnsi" w:hAnsiTheme="minorHAnsi" w:cstheme="minorHAnsi"/>
          <w:sz w:val="21"/>
          <w:szCs w:val="21"/>
        </w:rPr>
        <w:t>,</w:t>
      </w:r>
      <w:r>
        <w:rPr>
          <w:rFonts w:asciiTheme="minorHAnsi" w:hAnsiTheme="minorHAnsi" w:cstheme="minorHAnsi"/>
          <w:sz w:val="21"/>
          <w:szCs w:val="21"/>
        </w:rPr>
        <w:t>497 in the second half of 2020. The number who completed treatment (4 or more sessions) increased from 723 to 1</w:t>
      </w:r>
      <w:r w:rsidR="00A62FB4">
        <w:rPr>
          <w:rFonts w:asciiTheme="minorHAnsi" w:hAnsiTheme="minorHAnsi" w:cstheme="minorHAnsi"/>
          <w:sz w:val="21"/>
          <w:szCs w:val="21"/>
        </w:rPr>
        <w:t>,</w:t>
      </w:r>
      <w:r>
        <w:rPr>
          <w:rFonts w:asciiTheme="minorHAnsi" w:hAnsiTheme="minorHAnsi" w:cstheme="minorHAnsi"/>
          <w:sz w:val="21"/>
          <w:szCs w:val="21"/>
        </w:rPr>
        <w:t>518 in the second half of 2020.</w:t>
      </w:r>
      <w:r w:rsidR="007D63BF">
        <w:rPr>
          <w:rFonts w:asciiTheme="minorHAnsi" w:hAnsiTheme="minorHAnsi" w:cstheme="minorHAnsi"/>
          <w:sz w:val="21"/>
          <w:szCs w:val="21"/>
        </w:rPr>
        <w:t xml:space="preserve"> This increase is likely related to additional COVID-19 mental health early intervention </w:t>
      </w:r>
      <w:r w:rsidR="00884153">
        <w:rPr>
          <w:rFonts w:asciiTheme="minorHAnsi" w:hAnsiTheme="minorHAnsi" w:cstheme="minorHAnsi"/>
          <w:sz w:val="21"/>
          <w:szCs w:val="21"/>
        </w:rPr>
        <w:t xml:space="preserve">government </w:t>
      </w:r>
      <w:r w:rsidR="007D63BF">
        <w:rPr>
          <w:rFonts w:asciiTheme="minorHAnsi" w:hAnsiTheme="minorHAnsi" w:cstheme="minorHAnsi"/>
          <w:sz w:val="21"/>
          <w:szCs w:val="21"/>
        </w:rPr>
        <w:t>funding</w:t>
      </w:r>
      <w:r w:rsidR="00884153">
        <w:rPr>
          <w:rFonts w:asciiTheme="minorHAnsi" w:hAnsiTheme="minorHAnsi" w:cstheme="minorHAnsi"/>
          <w:sz w:val="21"/>
          <w:szCs w:val="21"/>
        </w:rPr>
        <w:t>.</w:t>
      </w:r>
    </w:p>
    <w:p w14:paraId="5FC894DB" w14:textId="53F0E3B3" w:rsidR="002C3CC3" w:rsidRDefault="002C3CC3" w:rsidP="002029DC">
      <w:pPr>
        <w:spacing w:after="200"/>
        <w:rPr>
          <w:rFonts w:asciiTheme="minorHAnsi" w:hAnsiTheme="minorHAnsi" w:cstheme="minorHAnsi"/>
          <w:sz w:val="21"/>
          <w:szCs w:val="21"/>
        </w:rPr>
      </w:pPr>
      <w:r>
        <w:rPr>
          <w:rFonts w:asciiTheme="minorHAnsi" w:hAnsiTheme="minorHAnsi" w:cstheme="minorHAnsi"/>
          <w:sz w:val="21"/>
          <w:szCs w:val="21"/>
        </w:rPr>
        <w:t xml:space="preserve">Poisson regression models fitted to these counts showed that the estimated increase was approximately 5% per 6 months on average, or 9% per year (95% CI 6-13%) for the number </w:t>
      </w:r>
      <w:r w:rsidR="009001EB">
        <w:rPr>
          <w:rFonts w:asciiTheme="minorHAnsi" w:hAnsiTheme="minorHAnsi" w:cstheme="minorHAnsi"/>
          <w:sz w:val="21"/>
          <w:szCs w:val="21"/>
        </w:rPr>
        <w:t xml:space="preserve">of individuals </w:t>
      </w:r>
      <w:r>
        <w:rPr>
          <w:rFonts w:asciiTheme="minorHAnsi" w:hAnsiTheme="minorHAnsi" w:cstheme="minorHAnsi"/>
          <w:sz w:val="21"/>
          <w:szCs w:val="21"/>
        </w:rPr>
        <w:t xml:space="preserve">enrolled in or </w:t>
      </w:r>
      <w:r w:rsidR="00A12A9E">
        <w:rPr>
          <w:rFonts w:asciiTheme="minorHAnsi" w:hAnsiTheme="minorHAnsi" w:cstheme="minorHAnsi"/>
          <w:sz w:val="21"/>
          <w:szCs w:val="21"/>
        </w:rPr>
        <w:t xml:space="preserve">who </w:t>
      </w:r>
      <w:r>
        <w:rPr>
          <w:rFonts w:asciiTheme="minorHAnsi" w:hAnsiTheme="minorHAnsi" w:cstheme="minorHAnsi"/>
          <w:sz w:val="21"/>
          <w:szCs w:val="21"/>
        </w:rPr>
        <w:t>started treatment, and 7% per year (95% CI 4-10%) for those completing treatment.</w:t>
      </w:r>
    </w:p>
    <w:p w14:paraId="5629069A" w14:textId="5B5C2BBC" w:rsidR="00AE5272" w:rsidRPr="009C4137" w:rsidRDefault="002C3CC3" w:rsidP="002029DC">
      <w:pPr>
        <w:spacing w:after="200"/>
        <w:rPr>
          <w:rFonts w:asciiTheme="minorHAnsi" w:hAnsiTheme="minorHAnsi" w:cstheme="minorHAnsi"/>
          <w:sz w:val="21"/>
          <w:szCs w:val="21"/>
        </w:rPr>
      </w:pPr>
      <w:r>
        <w:rPr>
          <w:rFonts w:asciiTheme="minorHAnsi" w:hAnsiTheme="minorHAnsi" w:cstheme="minorHAnsi"/>
          <w:sz w:val="21"/>
          <w:szCs w:val="21"/>
        </w:rPr>
        <w:t xml:space="preserve">However, the proportion of those </w:t>
      </w:r>
      <w:r w:rsidRPr="00C672ED">
        <w:rPr>
          <w:rFonts w:asciiTheme="minorHAnsi" w:hAnsiTheme="minorHAnsi" w:cstheme="minorHAnsi"/>
          <w:sz w:val="21"/>
          <w:szCs w:val="21"/>
        </w:rPr>
        <w:t>completing treatment decreased slightly over time, from approximately 70% in 2013 to 59% in 2021</w:t>
      </w:r>
      <w:r w:rsidR="00C672ED" w:rsidRPr="00C672ED">
        <w:rPr>
          <w:rFonts w:asciiTheme="minorHAnsi" w:hAnsiTheme="minorHAnsi" w:cstheme="minorHAnsi"/>
          <w:sz w:val="21"/>
          <w:szCs w:val="21"/>
        </w:rPr>
        <w:t xml:space="preserve">, </w:t>
      </w:r>
      <w:r w:rsidR="00F268C5" w:rsidRPr="00C672ED">
        <w:rPr>
          <w:rFonts w:asciiTheme="minorHAnsi" w:hAnsiTheme="minorHAnsi" w:cstheme="minorHAnsi"/>
          <w:sz w:val="21"/>
          <w:szCs w:val="21"/>
        </w:rPr>
        <w:t>attributable to the introduction of the Mood Mechanic Course for young adults who have a moderate course completion rate (50%).</w:t>
      </w:r>
    </w:p>
    <w:p w14:paraId="79BA86C7" w14:textId="63605AE6" w:rsidR="0038516B" w:rsidRPr="001D3C19" w:rsidRDefault="001B1B99" w:rsidP="007949A9">
      <w:pPr>
        <w:rPr>
          <w:rFonts w:asciiTheme="minorHAnsi" w:hAnsiTheme="minorHAnsi" w:cstheme="minorHAnsi"/>
          <w:sz w:val="21"/>
          <w:szCs w:val="21"/>
        </w:rPr>
      </w:pPr>
      <w:r>
        <w:rPr>
          <w:noProof/>
          <w:lang w:eastAsia="en-AU"/>
        </w:rPr>
        <w:drawing>
          <wp:inline distT="0" distB="0" distL="0" distR="0" wp14:anchorId="028C1575" wp14:editId="7A058480">
            <wp:extent cx="5731510" cy="3903345"/>
            <wp:effectExtent l="0" t="0" r="8890" b="8255"/>
            <wp:docPr id="18" name="Chart 18" descr="Figure describing uptake of MindSpot therapist-supported treatment by half year from January 2013 to December 2021. Uptake data include the numbers of consumers who enrol in, commence and complete (4 or more sessions of) treatment">
              <a:extLst xmlns:a="http://schemas.openxmlformats.org/drawingml/2006/main">
                <a:ext uri="{FF2B5EF4-FFF2-40B4-BE49-F238E27FC236}">
                  <a16:creationId xmlns:a16="http://schemas.microsoft.com/office/drawing/2014/main" id="{A2A3DC58-AF25-4140-8B84-1F5CCCA09B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2B7C4CE" w14:textId="7A069FBD" w:rsidR="003A038B" w:rsidRPr="004060D0" w:rsidRDefault="00CB2D34" w:rsidP="003D1CA1">
      <w:pPr>
        <w:pStyle w:val="tableheading"/>
      </w:pPr>
      <w:r w:rsidRPr="00936503">
        <w:t xml:space="preserve">Figure </w:t>
      </w:r>
      <w:r>
        <w:t>2</w:t>
      </w:r>
      <w:r w:rsidRPr="00936503">
        <w:t xml:space="preserve">. Uptake of </w:t>
      </w:r>
      <w:proofErr w:type="spellStart"/>
      <w:r w:rsidRPr="00936503">
        <w:t>M</w:t>
      </w:r>
      <w:r>
        <w:t>indSpot</w:t>
      </w:r>
      <w:proofErr w:type="spellEnd"/>
      <w:r>
        <w:t xml:space="preserve"> </w:t>
      </w:r>
      <w:r w:rsidR="00204FE8">
        <w:t xml:space="preserve">therapist-supported </w:t>
      </w:r>
      <w:r w:rsidRPr="00936503">
        <w:t xml:space="preserve">treatment </w:t>
      </w:r>
      <w:r w:rsidR="00A87CB0">
        <w:t>by half year</w:t>
      </w:r>
      <w:r w:rsidRPr="00936503">
        <w:t>, January 201</w:t>
      </w:r>
      <w:r>
        <w:t xml:space="preserve">3 – </w:t>
      </w:r>
      <w:r w:rsidRPr="00936503">
        <w:t>December 2021</w:t>
      </w:r>
    </w:p>
    <w:p w14:paraId="6D06741D" w14:textId="77777777" w:rsidR="008B76BB" w:rsidRDefault="008B76BB">
      <w:pPr>
        <w:rPr>
          <w:rFonts w:ascii="Calibri" w:hAnsi="Calibri" w:cs="Arial"/>
          <w:b/>
          <w:bCs/>
          <w:iCs/>
          <w:color w:val="2F5496" w:themeColor="accent1" w:themeShade="BF"/>
          <w:sz w:val="28"/>
          <w:szCs w:val="28"/>
          <w:highlight w:val="lightGray"/>
        </w:rPr>
      </w:pPr>
      <w:r>
        <w:rPr>
          <w:highlight w:val="lightGray"/>
        </w:rPr>
        <w:br w:type="page"/>
      </w:r>
    </w:p>
    <w:p w14:paraId="53C55459" w14:textId="02DC82FC" w:rsidR="00BF1BF1" w:rsidRPr="009C4137" w:rsidRDefault="00885266" w:rsidP="00510774">
      <w:pPr>
        <w:pStyle w:val="Heading2"/>
      </w:pPr>
      <w:bookmarkStart w:id="50" w:name="_Toc108784835"/>
      <w:r w:rsidRPr="009C4137">
        <w:lastRenderedPageBreak/>
        <w:t>Uptake of THIS WAY UP</w:t>
      </w:r>
      <w:r w:rsidR="00BF1BF1" w:rsidRPr="009C4137">
        <w:t xml:space="preserve">, </w:t>
      </w:r>
      <w:r w:rsidR="00E56962" w:rsidRPr="009C4137">
        <w:t xml:space="preserve">July 2015 </w:t>
      </w:r>
      <w:r w:rsidR="005329DD" w:rsidRPr="009C4137">
        <w:t xml:space="preserve">– </w:t>
      </w:r>
      <w:r w:rsidR="000C5A16" w:rsidRPr="009C4137">
        <w:t>December</w:t>
      </w:r>
      <w:r w:rsidR="00E56962" w:rsidRPr="009C4137">
        <w:t xml:space="preserve"> 2021</w:t>
      </w:r>
      <w:bookmarkEnd w:id="50"/>
    </w:p>
    <w:p w14:paraId="376E1F97" w14:textId="05B0A637" w:rsidR="00CB2D34" w:rsidRPr="009C4137" w:rsidRDefault="00CB2D34" w:rsidP="00140C5B">
      <w:pPr>
        <w:pStyle w:val="Heading3"/>
        <w:numPr>
          <w:ilvl w:val="2"/>
          <w:numId w:val="136"/>
        </w:numPr>
      </w:pPr>
      <w:r>
        <w:t xml:space="preserve">Overall uptake of </w:t>
      </w:r>
      <w:r w:rsidR="003E472D">
        <w:t xml:space="preserve">all </w:t>
      </w:r>
      <w:r w:rsidR="00DF14CA">
        <w:t>THIS WAY UP</w:t>
      </w:r>
      <w:r w:rsidR="003E472D">
        <w:t xml:space="preserve"> </w:t>
      </w:r>
      <w:r w:rsidR="00E9394E">
        <w:t>services</w:t>
      </w:r>
    </w:p>
    <w:p w14:paraId="5C66D550" w14:textId="64E540A7" w:rsidR="002627AE" w:rsidRDefault="000C1290" w:rsidP="002029DC">
      <w:pPr>
        <w:spacing w:after="200"/>
        <w:rPr>
          <w:rFonts w:asciiTheme="minorHAnsi" w:hAnsiTheme="minorHAnsi" w:cstheme="minorHAnsi"/>
          <w:sz w:val="21"/>
          <w:szCs w:val="21"/>
        </w:rPr>
      </w:pPr>
      <w:r w:rsidRPr="001D3C19">
        <w:rPr>
          <w:rFonts w:asciiTheme="minorHAnsi" w:hAnsiTheme="minorHAnsi" w:cstheme="minorHAnsi"/>
          <w:sz w:val="21"/>
          <w:szCs w:val="21"/>
        </w:rPr>
        <w:t xml:space="preserve">Table </w:t>
      </w:r>
      <w:r>
        <w:rPr>
          <w:rFonts w:asciiTheme="minorHAnsi" w:hAnsiTheme="minorHAnsi" w:cstheme="minorHAnsi"/>
          <w:sz w:val="21"/>
          <w:szCs w:val="21"/>
        </w:rPr>
        <w:t>10</w:t>
      </w:r>
      <w:r w:rsidRPr="001D3C19">
        <w:rPr>
          <w:rFonts w:asciiTheme="minorHAnsi" w:hAnsiTheme="minorHAnsi" w:cstheme="minorHAnsi"/>
          <w:sz w:val="21"/>
          <w:szCs w:val="21"/>
        </w:rPr>
        <w:t xml:space="preserve"> </w:t>
      </w:r>
      <w:r w:rsidR="003777D4">
        <w:rPr>
          <w:rFonts w:asciiTheme="minorHAnsi" w:hAnsiTheme="minorHAnsi" w:cstheme="minorHAnsi"/>
          <w:sz w:val="21"/>
          <w:szCs w:val="21"/>
        </w:rPr>
        <w:t>summarises</w:t>
      </w:r>
      <w:r w:rsidRPr="001D3C19">
        <w:rPr>
          <w:rFonts w:asciiTheme="minorHAnsi" w:hAnsiTheme="minorHAnsi" w:cstheme="minorHAnsi"/>
          <w:sz w:val="21"/>
          <w:szCs w:val="21"/>
        </w:rPr>
        <w:t xml:space="preserve"> key uptake</w:t>
      </w:r>
      <w:r w:rsidR="00FA09F6">
        <w:rPr>
          <w:rFonts w:asciiTheme="minorHAnsi" w:hAnsiTheme="minorHAnsi" w:cstheme="minorHAnsi"/>
          <w:sz w:val="21"/>
          <w:szCs w:val="21"/>
        </w:rPr>
        <w:t xml:space="preserve"> treatment</w:t>
      </w:r>
      <w:r w:rsidRPr="001D3C19">
        <w:rPr>
          <w:rFonts w:asciiTheme="minorHAnsi" w:hAnsiTheme="minorHAnsi" w:cstheme="minorHAnsi"/>
          <w:sz w:val="21"/>
          <w:szCs w:val="21"/>
        </w:rPr>
        <w:t xml:space="preserve"> data for </w:t>
      </w:r>
      <w:r>
        <w:rPr>
          <w:rFonts w:asciiTheme="minorHAnsi" w:hAnsiTheme="minorHAnsi" w:cstheme="minorHAnsi"/>
          <w:sz w:val="21"/>
          <w:szCs w:val="21"/>
        </w:rPr>
        <w:t>THIS WAY UP</w:t>
      </w:r>
      <w:r w:rsidRPr="001D3C19">
        <w:rPr>
          <w:rFonts w:asciiTheme="minorHAnsi" w:hAnsiTheme="minorHAnsi" w:cstheme="minorHAnsi"/>
          <w:sz w:val="21"/>
          <w:szCs w:val="21"/>
        </w:rPr>
        <w:t xml:space="preserve"> over the </w:t>
      </w:r>
      <w:r w:rsidR="001F2637">
        <w:rPr>
          <w:rFonts w:asciiTheme="minorHAnsi" w:hAnsiTheme="minorHAnsi" w:cstheme="minorHAnsi"/>
          <w:sz w:val="21"/>
          <w:szCs w:val="21"/>
        </w:rPr>
        <w:t>6.</w:t>
      </w:r>
      <w:r w:rsidR="006645C4">
        <w:rPr>
          <w:rFonts w:asciiTheme="minorHAnsi" w:hAnsiTheme="minorHAnsi" w:cstheme="minorHAnsi"/>
          <w:sz w:val="21"/>
          <w:szCs w:val="21"/>
        </w:rPr>
        <w:t>5</w:t>
      </w:r>
      <w:r w:rsidRPr="001D3C19">
        <w:rPr>
          <w:rFonts w:asciiTheme="minorHAnsi" w:hAnsiTheme="minorHAnsi" w:cstheme="minorHAnsi"/>
          <w:sz w:val="21"/>
          <w:szCs w:val="21"/>
        </w:rPr>
        <w:t>-year period from J</w:t>
      </w:r>
      <w:r w:rsidR="006645C4">
        <w:rPr>
          <w:rFonts w:asciiTheme="minorHAnsi" w:hAnsiTheme="minorHAnsi" w:cstheme="minorHAnsi"/>
          <w:sz w:val="21"/>
          <w:szCs w:val="21"/>
        </w:rPr>
        <w:t>ul</w:t>
      </w:r>
      <w:r w:rsidRPr="001D3C19">
        <w:rPr>
          <w:rFonts w:asciiTheme="minorHAnsi" w:hAnsiTheme="minorHAnsi" w:cstheme="minorHAnsi"/>
          <w:sz w:val="21"/>
          <w:szCs w:val="21"/>
        </w:rPr>
        <w:t>y 201</w:t>
      </w:r>
      <w:r w:rsidR="006645C4">
        <w:rPr>
          <w:rFonts w:asciiTheme="minorHAnsi" w:hAnsiTheme="minorHAnsi" w:cstheme="minorHAnsi"/>
          <w:sz w:val="21"/>
          <w:szCs w:val="21"/>
        </w:rPr>
        <w:t>5</w:t>
      </w:r>
      <w:r w:rsidRPr="001D3C19">
        <w:rPr>
          <w:rFonts w:asciiTheme="minorHAnsi" w:hAnsiTheme="minorHAnsi" w:cstheme="minorHAnsi"/>
          <w:sz w:val="21"/>
          <w:szCs w:val="21"/>
        </w:rPr>
        <w:t xml:space="preserve"> to December 2021.</w:t>
      </w:r>
    </w:p>
    <w:p w14:paraId="3BFE4633" w14:textId="49EE3B1B" w:rsidR="000E67CE" w:rsidRDefault="002627AE" w:rsidP="002029DC">
      <w:pPr>
        <w:spacing w:after="200"/>
        <w:rPr>
          <w:rFonts w:asciiTheme="minorHAnsi" w:hAnsiTheme="minorHAnsi" w:cstheme="minorHAnsi"/>
          <w:sz w:val="21"/>
          <w:szCs w:val="21"/>
        </w:rPr>
      </w:pPr>
      <w:r w:rsidRPr="00427B9D">
        <w:rPr>
          <w:rFonts w:asciiTheme="minorHAnsi" w:hAnsiTheme="minorHAnsi" w:cstheme="minorHAnsi"/>
          <w:sz w:val="21"/>
          <w:szCs w:val="21"/>
        </w:rPr>
        <w:t xml:space="preserve">In </w:t>
      </w:r>
      <w:r w:rsidR="007D214E" w:rsidRPr="00427B9D">
        <w:rPr>
          <w:rFonts w:asciiTheme="minorHAnsi" w:hAnsiTheme="minorHAnsi" w:cstheme="minorHAnsi"/>
          <w:sz w:val="21"/>
          <w:szCs w:val="21"/>
        </w:rPr>
        <w:t>this</w:t>
      </w:r>
      <w:r w:rsidRPr="00427B9D">
        <w:rPr>
          <w:rFonts w:asciiTheme="minorHAnsi" w:hAnsiTheme="minorHAnsi" w:cstheme="minorHAnsi"/>
          <w:sz w:val="21"/>
          <w:szCs w:val="21"/>
        </w:rPr>
        <w:t xml:space="preserve"> period, </w:t>
      </w:r>
      <w:r w:rsidR="008A2641" w:rsidRPr="00427B9D">
        <w:rPr>
          <w:rFonts w:asciiTheme="minorHAnsi" w:hAnsiTheme="minorHAnsi" w:cstheme="minorHAnsi"/>
          <w:sz w:val="21"/>
          <w:szCs w:val="21"/>
        </w:rPr>
        <w:t>around 72,000 enrolled in any treatment</w:t>
      </w:r>
      <w:r w:rsidRPr="00427B9D">
        <w:rPr>
          <w:rFonts w:asciiTheme="minorHAnsi" w:hAnsiTheme="minorHAnsi" w:cstheme="minorHAnsi"/>
          <w:sz w:val="21"/>
          <w:szCs w:val="21"/>
        </w:rPr>
        <w:t>, 7</w:t>
      </w:r>
      <w:r w:rsidR="00022BAA" w:rsidRPr="00427B9D">
        <w:rPr>
          <w:rFonts w:asciiTheme="minorHAnsi" w:hAnsiTheme="minorHAnsi" w:cstheme="minorHAnsi"/>
          <w:sz w:val="21"/>
          <w:szCs w:val="21"/>
        </w:rPr>
        <w:t>6</w:t>
      </w:r>
      <w:r w:rsidRPr="00427B9D">
        <w:rPr>
          <w:rFonts w:asciiTheme="minorHAnsi" w:hAnsiTheme="minorHAnsi" w:cstheme="minorHAnsi"/>
          <w:sz w:val="21"/>
          <w:szCs w:val="21"/>
        </w:rPr>
        <w:t>% (</w:t>
      </w:r>
      <w:r w:rsidR="00D40225">
        <w:rPr>
          <w:rFonts w:asciiTheme="minorHAnsi" w:hAnsiTheme="minorHAnsi" w:cstheme="minorHAnsi"/>
          <w:sz w:val="21"/>
          <w:szCs w:val="21"/>
        </w:rPr>
        <w:t>n</w:t>
      </w:r>
      <w:r w:rsidR="0055447B">
        <w:rPr>
          <w:rFonts w:asciiTheme="minorHAnsi" w:hAnsiTheme="minorHAnsi" w:cstheme="minorHAnsi"/>
          <w:sz w:val="21"/>
          <w:szCs w:val="21"/>
        </w:rPr>
        <w:t>=</w:t>
      </w:r>
      <w:r w:rsidR="00022BAA" w:rsidRPr="00427B9D">
        <w:rPr>
          <w:rFonts w:asciiTheme="minorHAnsi" w:hAnsiTheme="minorHAnsi" w:cstheme="minorHAnsi"/>
          <w:sz w:val="21"/>
          <w:szCs w:val="21"/>
        </w:rPr>
        <w:t>5</w:t>
      </w:r>
      <w:r w:rsidR="00022BAA" w:rsidRPr="00D40225">
        <w:rPr>
          <w:rFonts w:asciiTheme="minorHAnsi" w:hAnsiTheme="minorHAnsi" w:cstheme="minorHAnsi"/>
          <w:sz w:val="21"/>
          <w:szCs w:val="21"/>
        </w:rPr>
        <w:t>4,510</w:t>
      </w:r>
      <w:r w:rsidRPr="00D40225">
        <w:rPr>
          <w:rFonts w:asciiTheme="minorHAnsi" w:hAnsiTheme="minorHAnsi" w:cstheme="minorHAnsi"/>
          <w:sz w:val="21"/>
          <w:szCs w:val="21"/>
        </w:rPr>
        <w:t xml:space="preserve">) of </w:t>
      </w:r>
      <w:r w:rsidR="00022BAA" w:rsidRPr="00D40225">
        <w:rPr>
          <w:rFonts w:asciiTheme="minorHAnsi" w:hAnsiTheme="minorHAnsi" w:cstheme="minorHAnsi"/>
          <w:sz w:val="21"/>
          <w:szCs w:val="21"/>
        </w:rPr>
        <w:t>whom start</w:t>
      </w:r>
      <w:r w:rsidR="00D976DB">
        <w:rPr>
          <w:rFonts w:asciiTheme="minorHAnsi" w:hAnsiTheme="minorHAnsi" w:cstheme="minorHAnsi"/>
          <w:sz w:val="21"/>
          <w:szCs w:val="21"/>
        </w:rPr>
        <w:t>ed</w:t>
      </w:r>
      <w:r w:rsidR="00022BAA" w:rsidRPr="00D40225">
        <w:rPr>
          <w:rFonts w:asciiTheme="minorHAnsi" w:hAnsiTheme="minorHAnsi" w:cstheme="minorHAnsi"/>
          <w:sz w:val="21"/>
          <w:szCs w:val="21"/>
        </w:rPr>
        <w:t xml:space="preserve"> treatment</w:t>
      </w:r>
      <w:r w:rsidRPr="00D40225">
        <w:rPr>
          <w:rFonts w:asciiTheme="minorHAnsi" w:hAnsiTheme="minorHAnsi" w:cstheme="minorHAnsi"/>
          <w:sz w:val="21"/>
          <w:szCs w:val="21"/>
        </w:rPr>
        <w:t xml:space="preserve">. Of consumers who </w:t>
      </w:r>
      <w:r w:rsidR="00427B9D" w:rsidRPr="00D40225">
        <w:rPr>
          <w:rFonts w:asciiTheme="minorHAnsi" w:hAnsiTheme="minorHAnsi" w:cstheme="minorHAnsi"/>
          <w:sz w:val="21"/>
          <w:szCs w:val="21"/>
        </w:rPr>
        <w:t>start</w:t>
      </w:r>
      <w:r w:rsidR="00D976DB">
        <w:rPr>
          <w:rFonts w:asciiTheme="minorHAnsi" w:hAnsiTheme="minorHAnsi" w:cstheme="minorHAnsi"/>
          <w:sz w:val="21"/>
          <w:szCs w:val="21"/>
        </w:rPr>
        <w:t>ed</w:t>
      </w:r>
      <w:r w:rsidR="00427B9D" w:rsidRPr="00D40225">
        <w:rPr>
          <w:rFonts w:asciiTheme="minorHAnsi" w:hAnsiTheme="minorHAnsi" w:cstheme="minorHAnsi"/>
          <w:sz w:val="21"/>
          <w:szCs w:val="21"/>
        </w:rPr>
        <w:t xml:space="preserve">, </w:t>
      </w:r>
      <w:r w:rsidR="00EB3910" w:rsidRPr="00D40225">
        <w:rPr>
          <w:rFonts w:asciiTheme="minorHAnsi" w:hAnsiTheme="minorHAnsi" w:cstheme="minorHAnsi"/>
          <w:sz w:val="21"/>
          <w:szCs w:val="21"/>
        </w:rPr>
        <w:t xml:space="preserve">46% </w:t>
      </w:r>
      <w:r w:rsidR="00D40225" w:rsidRPr="00D40225">
        <w:rPr>
          <w:rFonts w:asciiTheme="minorHAnsi" w:hAnsiTheme="minorHAnsi" w:cstheme="minorHAnsi"/>
          <w:sz w:val="21"/>
          <w:szCs w:val="21"/>
        </w:rPr>
        <w:t>(n</w:t>
      </w:r>
      <w:r w:rsidR="0055447B">
        <w:rPr>
          <w:rFonts w:asciiTheme="minorHAnsi" w:hAnsiTheme="minorHAnsi" w:cstheme="minorHAnsi"/>
          <w:sz w:val="21"/>
          <w:szCs w:val="21"/>
        </w:rPr>
        <w:t>=</w:t>
      </w:r>
      <w:r w:rsidR="00D40225" w:rsidRPr="00D40225">
        <w:rPr>
          <w:rFonts w:asciiTheme="minorHAnsi" w:hAnsiTheme="minorHAnsi" w:cstheme="minorHAnsi"/>
          <w:sz w:val="21"/>
          <w:szCs w:val="21"/>
        </w:rPr>
        <w:t xml:space="preserve">24,989) </w:t>
      </w:r>
      <w:r w:rsidR="00EB3910" w:rsidRPr="00D40225">
        <w:rPr>
          <w:rFonts w:asciiTheme="minorHAnsi" w:hAnsiTheme="minorHAnsi" w:cstheme="minorHAnsi"/>
          <w:sz w:val="21"/>
          <w:szCs w:val="21"/>
        </w:rPr>
        <w:t>complete</w:t>
      </w:r>
      <w:r w:rsidR="00D976DB">
        <w:rPr>
          <w:rFonts w:asciiTheme="minorHAnsi" w:hAnsiTheme="minorHAnsi" w:cstheme="minorHAnsi"/>
          <w:sz w:val="21"/>
          <w:szCs w:val="21"/>
        </w:rPr>
        <w:t>d</w:t>
      </w:r>
      <w:r w:rsidR="00EB3910" w:rsidRPr="00D40225">
        <w:rPr>
          <w:rFonts w:asciiTheme="minorHAnsi" w:hAnsiTheme="minorHAnsi" w:cstheme="minorHAnsi"/>
          <w:sz w:val="21"/>
          <w:szCs w:val="21"/>
        </w:rPr>
        <w:t xml:space="preserve"> </w:t>
      </w:r>
      <w:r w:rsidR="00EB3910" w:rsidRPr="003D0BD1">
        <w:rPr>
          <w:rFonts w:asciiTheme="minorHAnsi" w:hAnsiTheme="minorHAnsi" w:cstheme="minorHAnsi"/>
          <w:sz w:val="21"/>
          <w:szCs w:val="21"/>
        </w:rPr>
        <w:t>treatment</w:t>
      </w:r>
      <w:r w:rsidR="003D0BD1" w:rsidRPr="003D0BD1">
        <w:rPr>
          <w:rFonts w:asciiTheme="minorHAnsi" w:hAnsiTheme="minorHAnsi" w:cstheme="minorHAnsi"/>
          <w:sz w:val="21"/>
          <w:szCs w:val="21"/>
        </w:rPr>
        <w:t xml:space="preserve"> (i.e., at least </w:t>
      </w:r>
      <w:r w:rsidR="00AD423E">
        <w:rPr>
          <w:rFonts w:asciiTheme="minorHAnsi" w:hAnsiTheme="minorHAnsi" w:cstheme="minorHAnsi"/>
          <w:sz w:val="21"/>
          <w:szCs w:val="21"/>
        </w:rPr>
        <w:t>two-thirds</w:t>
      </w:r>
      <w:r w:rsidR="003D0BD1" w:rsidRPr="003D0BD1">
        <w:rPr>
          <w:rFonts w:asciiTheme="minorHAnsi" w:hAnsiTheme="minorHAnsi" w:cstheme="minorHAnsi"/>
          <w:sz w:val="21"/>
          <w:szCs w:val="21"/>
        </w:rPr>
        <w:t xml:space="preserve"> </w:t>
      </w:r>
      <w:r w:rsidR="0089422C">
        <w:rPr>
          <w:rFonts w:asciiTheme="minorHAnsi" w:hAnsiTheme="minorHAnsi" w:cstheme="minorHAnsi"/>
          <w:sz w:val="21"/>
          <w:szCs w:val="21"/>
        </w:rPr>
        <w:t xml:space="preserve">of </w:t>
      </w:r>
      <w:r w:rsidR="003D0BD1" w:rsidRPr="003D0BD1">
        <w:rPr>
          <w:rFonts w:asciiTheme="minorHAnsi" w:hAnsiTheme="minorHAnsi" w:cstheme="minorHAnsi"/>
          <w:sz w:val="21"/>
          <w:szCs w:val="21"/>
        </w:rPr>
        <w:t>lessons).</w:t>
      </w:r>
    </w:p>
    <w:p w14:paraId="1B6B526A" w14:textId="535E5EFD" w:rsidR="00C72F67" w:rsidRPr="009C4137" w:rsidRDefault="0018673C" w:rsidP="002029DC">
      <w:pPr>
        <w:spacing w:after="200"/>
        <w:rPr>
          <w:rFonts w:asciiTheme="minorHAnsi" w:hAnsiTheme="minorHAnsi" w:cstheme="minorHAnsi"/>
          <w:sz w:val="21"/>
          <w:szCs w:val="21"/>
        </w:rPr>
      </w:pPr>
      <w:r>
        <w:rPr>
          <w:rFonts w:asciiTheme="minorHAnsi" w:hAnsiTheme="minorHAnsi" w:cstheme="minorHAnsi"/>
          <w:sz w:val="21"/>
          <w:szCs w:val="21"/>
        </w:rPr>
        <w:t>Almost half o</w:t>
      </w:r>
      <w:r w:rsidR="000E67CE">
        <w:rPr>
          <w:rFonts w:asciiTheme="minorHAnsi" w:hAnsiTheme="minorHAnsi" w:cstheme="minorHAnsi"/>
          <w:sz w:val="21"/>
          <w:szCs w:val="21"/>
        </w:rPr>
        <w:t xml:space="preserve">f </w:t>
      </w:r>
      <w:r>
        <w:rPr>
          <w:rFonts w:asciiTheme="minorHAnsi" w:hAnsiTheme="minorHAnsi" w:cstheme="minorHAnsi"/>
          <w:sz w:val="21"/>
          <w:szCs w:val="21"/>
        </w:rPr>
        <w:t>all treatment enrolments</w:t>
      </w:r>
      <w:r w:rsidR="00661991">
        <w:rPr>
          <w:rFonts w:asciiTheme="minorHAnsi" w:hAnsiTheme="minorHAnsi" w:cstheme="minorHAnsi"/>
          <w:sz w:val="21"/>
          <w:szCs w:val="21"/>
        </w:rPr>
        <w:t xml:space="preserve"> (</w:t>
      </w:r>
      <w:r w:rsidR="00997E0B">
        <w:rPr>
          <w:rFonts w:asciiTheme="minorHAnsi" w:hAnsiTheme="minorHAnsi" w:cstheme="minorHAnsi"/>
          <w:sz w:val="21"/>
          <w:szCs w:val="21"/>
        </w:rPr>
        <w:t>47%</w:t>
      </w:r>
      <w:r w:rsidR="00661991">
        <w:rPr>
          <w:rFonts w:asciiTheme="minorHAnsi" w:hAnsiTheme="minorHAnsi" w:cstheme="minorHAnsi"/>
          <w:sz w:val="21"/>
          <w:szCs w:val="21"/>
        </w:rPr>
        <w:t>, n</w:t>
      </w:r>
      <w:r w:rsidR="0055447B">
        <w:rPr>
          <w:rFonts w:asciiTheme="minorHAnsi" w:hAnsiTheme="minorHAnsi" w:cstheme="minorHAnsi"/>
          <w:sz w:val="21"/>
          <w:szCs w:val="21"/>
        </w:rPr>
        <w:t>=</w:t>
      </w:r>
      <w:r w:rsidR="00661991">
        <w:rPr>
          <w:rFonts w:asciiTheme="minorHAnsi" w:hAnsiTheme="minorHAnsi" w:cstheme="minorHAnsi"/>
          <w:sz w:val="21"/>
          <w:szCs w:val="21"/>
        </w:rPr>
        <w:t>34,048) were for clinician-supported treatment.</w:t>
      </w:r>
      <w:r w:rsidR="00997E0B">
        <w:rPr>
          <w:rFonts w:asciiTheme="minorHAnsi" w:hAnsiTheme="minorHAnsi" w:cstheme="minorHAnsi"/>
          <w:sz w:val="21"/>
          <w:szCs w:val="21"/>
        </w:rPr>
        <w:t xml:space="preserve"> </w:t>
      </w:r>
      <w:r w:rsidR="00A71653">
        <w:rPr>
          <w:rFonts w:asciiTheme="minorHAnsi" w:hAnsiTheme="minorHAnsi" w:cstheme="minorHAnsi"/>
          <w:sz w:val="21"/>
          <w:szCs w:val="21"/>
        </w:rPr>
        <w:t>Eighty percent (n=27</w:t>
      </w:r>
      <w:r w:rsidR="00A264E1">
        <w:rPr>
          <w:rFonts w:asciiTheme="minorHAnsi" w:hAnsiTheme="minorHAnsi" w:cstheme="minorHAnsi"/>
          <w:sz w:val="21"/>
          <w:szCs w:val="21"/>
        </w:rPr>
        <w:t xml:space="preserve">,405) of </w:t>
      </w:r>
      <w:r w:rsidR="001C04AE">
        <w:rPr>
          <w:rFonts w:asciiTheme="minorHAnsi" w:hAnsiTheme="minorHAnsi" w:cstheme="minorHAnsi"/>
          <w:sz w:val="21"/>
          <w:szCs w:val="21"/>
        </w:rPr>
        <w:t>these enrolments</w:t>
      </w:r>
      <w:r w:rsidR="00F868FE">
        <w:rPr>
          <w:rFonts w:asciiTheme="minorHAnsi" w:hAnsiTheme="minorHAnsi" w:cstheme="minorHAnsi"/>
          <w:sz w:val="21"/>
          <w:szCs w:val="21"/>
        </w:rPr>
        <w:t xml:space="preserve"> start</w:t>
      </w:r>
      <w:r w:rsidR="00D976DB">
        <w:rPr>
          <w:rFonts w:asciiTheme="minorHAnsi" w:hAnsiTheme="minorHAnsi" w:cstheme="minorHAnsi"/>
          <w:sz w:val="21"/>
          <w:szCs w:val="21"/>
        </w:rPr>
        <w:t>ed</w:t>
      </w:r>
      <w:r w:rsidR="00A264E1">
        <w:rPr>
          <w:rFonts w:asciiTheme="minorHAnsi" w:hAnsiTheme="minorHAnsi" w:cstheme="minorHAnsi"/>
          <w:sz w:val="21"/>
          <w:szCs w:val="21"/>
        </w:rPr>
        <w:t xml:space="preserve"> clinician-supported treatment</w:t>
      </w:r>
      <w:r w:rsidR="009A20D0">
        <w:rPr>
          <w:rFonts w:asciiTheme="minorHAnsi" w:hAnsiTheme="minorHAnsi" w:cstheme="minorHAnsi"/>
          <w:sz w:val="21"/>
          <w:szCs w:val="21"/>
        </w:rPr>
        <w:t>,</w:t>
      </w:r>
      <w:r w:rsidR="00E159BD">
        <w:rPr>
          <w:rFonts w:asciiTheme="minorHAnsi" w:hAnsiTheme="minorHAnsi" w:cstheme="minorHAnsi"/>
          <w:sz w:val="21"/>
          <w:szCs w:val="21"/>
        </w:rPr>
        <w:t xml:space="preserve"> </w:t>
      </w:r>
      <w:r w:rsidR="00A51FB2">
        <w:rPr>
          <w:rFonts w:asciiTheme="minorHAnsi" w:hAnsiTheme="minorHAnsi" w:cstheme="minorHAnsi"/>
          <w:sz w:val="21"/>
          <w:szCs w:val="21"/>
        </w:rPr>
        <w:t xml:space="preserve">and </w:t>
      </w:r>
      <w:r w:rsidR="00B373C1">
        <w:rPr>
          <w:rFonts w:asciiTheme="minorHAnsi" w:hAnsiTheme="minorHAnsi" w:cstheme="minorHAnsi"/>
          <w:sz w:val="21"/>
          <w:szCs w:val="21"/>
        </w:rPr>
        <w:t>about half (n</w:t>
      </w:r>
      <w:r w:rsidR="0055447B">
        <w:rPr>
          <w:rFonts w:asciiTheme="minorHAnsi" w:hAnsiTheme="minorHAnsi" w:cstheme="minorHAnsi"/>
          <w:sz w:val="21"/>
          <w:szCs w:val="21"/>
        </w:rPr>
        <w:t>=</w:t>
      </w:r>
      <w:r w:rsidR="00B373C1">
        <w:rPr>
          <w:rFonts w:asciiTheme="minorHAnsi" w:hAnsiTheme="minorHAnsi" w:cstheme="minorHAnsi"/>
          <w:sz w:val="21"/>
          <w:szCs w:val="21"/>
        </w:rPr>
        <w:t>13,</w:t>
      </w:r>
      <w:r w:rsidR="00533328">
        <w:rPr>
          <w:rFonts w:asciiTheme="minorHAnsi" w:hAnsiTheme="minorHAnsi" w:cstheme="minorHAnsi"/>
          <w:sz w:val="21"/>
          <w:szCs w:val="21"/>
        </w:rPr>
        <w:t xml:space="preserve">431) </w:t>
      </w:r>
      <w:r w:rsidR="00B373C1">
        <w:rPr>
          <w:rFonts w:asciiTheme="minorHAnsi" w:hAnsiTheme="minorHAnsi" w:cstheme="minorHAnsi"/>
          <w:sz w:val="21"/>
          <w:szCs w:val="21"/>
        </w:rPr>
        <w:t>complete</w:t>
      </w:r>
      <w:r w:rsidR="00D976DB">
        <w:rPr>
          <w:rFonts w:asciiTheme="minorHAnsi" w:hAnsiTheme="minorHAnsi" w:cstheme="minorHAnsi"/>
          <w:sz w:val="21"/>
          <w:szCs w:val="21"/>
        </w:rPr>
        <w:t>d</w:t>
      </w:r>
      <w:r w:rsidR="00B373C1">
        <w:rPr>
          <w:rFonts w:asciiTheme="minorHAnsi" w:hAnsiTheme="minorHAnsi" w:cstheme="minorHAnsi"/>
          <w:sz w:val="21"/>
          <w:szCs w:val="21"/>
        </w:rPr>
        <w:t xml:space="preserve"> treatment.</w:t>
      </w:r>
    </w:p>
    <w:p w14:paraId="3F97B8C0" w14:textId="666EE421" w:rsidR="0010761E" w:rsidRDefault="002627AE" w:rsidP="002029DC">
      <w:pPr>
        <w:spacing w:after="200"/>
        <w:rPr>
          <w:rFonts w:asciiTheme="minorHAnsi" w:hAnsiTheme="minorHAnsi" w:cstheme="minorHAnsi"/>
          <w:sz w:val="21"/>
          <w:szCs w:val="21"/>
        </w:rPr>
      </w:pPr>
      <w:r w:rsidRPr="00F07E42">
        <w:rPr>
          <w:rFonts w:asciiTheme="minorHAnsi" w:hAnsiTheme="minorHAnsi" w:cstheme="minorHAnsi"/>
          <w:sz w:val="21"/>
          <w:szCs w:val="21"/>
        </w:rPr>
        <w:t>Of consumers who enrol</w:t>
      </w:r>
      <w:r w:rsidR="00D976DB">
        <w:rPr>
          <w:rFonts w:asciiTheme="minorHAnsi" w:hAnsiTheme="minorHAnsi" w:cstheme="minorHAnsi"/>
          <w:sz w:val="21"/>
          <w:szCs w:val="21"/>
        </w:rPr>
        <w:t>led</w:t>
      </w:r>
      <w:r w:rsidRPr="00F07E42">
        <w:rPr>
          <w:rFonts w:asciiTheme="minorHAnsi" w:hAnsiTheme="minorHAnsi" w:cstheme="minorHAnsi"/>
          <w:sz w:val="21"/>
          <w:szCs w:val="21"/>
        </w:rPr>
        <w:t xml:space="preserve"> in self-directed treatment (n</w:t>
      </w:r>
      <w:r w:rsidR="0055447B">
        <w:rPr>
          <w:rFonts w:asciiTheme="minorHAnsi" w:hAnsiTheme="minorHAnsi" w:cstheme="minorHAnsi"/>
          <w:sz w:val="21"/>
          <w:szCs w:val="21"/>
        </w:rPr>
        <w:t>=</w:t>
      </w:r>
      <w:r w:rsidR="00190B03" w:rsidRPr="00F07E42">
        <w:rPr>
          <w:rFonts w:asciiTheme="minorHAnsi" w:hAnsiTheme="minorHAnsi" w:cstheme="minorHAnsi"/>
          <w:sz w:val="21"/>
          <w:szCs w:val="21"/>
        </w:rPr>
        <w:t>37,959</w:t>
      </w:r>
      <w:r w:rsidRPr="00F07E42">
        <w:rPr>
          <w:rFonts w:asciiTheme="minorHAnsi" w:hAnsiTheme="minorHAnsi" w:cstheme="minorHAnsi"/>
          <w:sz w:val="21"/>
          <w:szCs w:val="21"/>
        </w:rPr>
        <w:t xml:space="preserve">), </w:t>
      </w:r>
      <w:r w:rsidR="00D70503" w:rsidRPr="00F07E42">
        <w:rPr>
          <w:rFonts w:asciiTheme="minorHAnsi" w:hAnsiTheme="minorHAnsi" w:cstheme="minorHAnsi"/>
          <w:sz w:val="21"/>
          <w:szCs w:val="21"/>
        </w:rPr>
        <w:t>71</w:t>
      </w:r>
      <w:r w:rsidRPr="00F07E42">
        <w:rPr>
          <w:rFonts w:asciiTheme="minorHAnsi" w:hAnsiTheme="minorHAnsi" w:cstheme="minorHAnsi"/>
          <w:sz w:val="21"/>
          <w:szCs w:val="21"/>
        </w:rPr>
        <w:t xml:space="preserve">% </w:t>
      </w:r>
      <w:r w:rsidR="00F07E42" w:rsidRPr="00F07E42">
        <w:rPr>
          <w:rFonts w:asciiTheme="minorHAnsi" w:hAnsiTheme="minorHAnsi" w:cstheme="minorHAnsi"/>
          <w:sz w:val="21"/>
          <w:szCs w:val="21"/>
        </w:rPr>
        <w:t>(n</w:t>
      </w:r>
      <w:r w:rsidR="0055447B">
        <w:rPr>
          <w:rFonts w:asciiTheme="minorHAnsi" w:hAnsiTheme="minorHAnsi" w:cstheme="minorHAnsi"/>
          <w:sz w:val="21"/>
          <w:szCs w:val="21"/>
        </w:rPr>
        <w:t>=</w:t>
      </w:r>
      <w:r w:rsidR="00F07E42" w:rsidRPr="00F07E42">
        <w:rPr>
          <w:rFonts w:asciiTheme="minorHAnsi" w:hAnsiTheme="minorHAnsi" w:cstheme="minorHAnsi"/>
          <w:sz w:val="21"/>
          <w:szCs w:val="21"/>
        </w:rPr>
        <w:t xml:space="preserve">27,105) </w:t>
      </w:r>
      <w:r w:rsidRPr="00F07E42">
        <w:rPr>
          <w:rFonts w:asciiTheme="minorHAnsi" w:hAnsiTheme="minorHAnsi" w:cstheme="minorHAnsi"/>
          <w:sz w:val="21"/>
          <w:szCs w:val="21"/>
        </w:rPr>
        <w:t>start</w:t>
      </w:r>
      <w:r w:rsidR="00D976DB">
        <w:rPr>
          <w:rFonts w:asciiTheme="minorHAnsi" w:hAnsiTheme="minorHAnsi" w:cstheme="minorHAnsi"/>
          <w:sz w:val="21"/>
          <w:szCs w:val="21"/>
        </w:rPr>
        <w:t>ed</w:t>
      </w:r>
      <w:r w:rsidRPr="00F07E42">
        <w:rPr>
          <w:rFonts w:asciiTheme="minorHAnsi" w:hAnsiTheme="minorHAnsi" w:cstheme="minorHAnsi"/>
          <w:sz w:val="21"/>
          <w:szCs w:val="21"/>
        </w:rPr>
        <w:t xml:space="preserve"> </w:t>
      </w:r>
      <w:r w:rsidR="007213F4" w:rsidRPr="00F07E42">
        <w:rPr>
          <w:rFonts w:asciiTheme="minorHAnsi" w:hAnsiTheme="minorHAnsi" w:cstheme="minorHAnsi"/>
          <w:sz w:val="21"/>
          <w:szCs w:val="21"/>
        </w:rPr>
        <w:t xml:space="preserve">treatment; </w:t>
      </w:r>
      <w:r w:rsidRPr="00F07E42">
        <w:rPr>
          <w:rFonts w:asciiTheme="minorHAnsi" w:hAnsiTheme="minorHAnsi" w:cstheme="minorHAnsi"/>
          <w:sz w:val="21"/>
          <w:szCs w:val="21"/>
        </w:rPr>
        <w:t xml:space="preserve">and </w:t>
      </w:r>
      <w:r w:rsidR="007213F4" w:rsidRPr="00F07E42">
        <w:rPr>
          <w:rFonts w:asciiTheme="minorHAnsi" w:hAnsiTheme="minorHAnsi" w:cstheme="minorHAnsi"/>
          <w:sz w:val="21"/>
          <w:szCs w:val="21"/>
        </w:rPr>
        <w:t>of those who start</w:t>
      </w:r>
      <w:r w:rsidR="00D976DB">
        <w:rPr>
          <w:rFonts w:asciiTheme="minorHAnsi" w:hAnsiTheme="minorHAnsi" w:cstheme="minorHAnsi"/>
          <w:sz w:val="21"/>
          <w:szCs w:val="21"/>
        </w:rPr>
        <w:t>ed</w:t>
      </w:r>
      <w:r w:rsidR="007213F4" w:rsidRPr="00F07E42">
        <w:rPr>
          <w:rFonts w:asciiTheme="minorHAnsi" w:hAnsiTheme="minorHAnsi" w:cstheme="minorHAnsi"/>
          <w:sz w:val="21"/>
          <w:szCs w:val="21"/>
        </w:rPr>
        <w:t xml:space="preserve">, </w:t>
      </w:r>
      <w:r w:rsidR="00D70503" w:rsidRPr="00F07E42">
        <w:rPr>
          <w:rFonts w:asciiTheme="minorHAnsi" w:hAnsiTheme="minorHAnsi" w:cstheme="minorHAnsi"/>
          <w:sz w:val="21"/>
          <w:szCs w:val="21"/>
        </w:rPr>
        <w:t xml:space="preserve">42% </w:t>
      </w:r>
      <w:r w:rsidR="00F07E42" w:rsidRPr="00F07E42">
        <w:rPr>
          <w:rFonts w:asciiTheme="minorHAnsi" w:hAnsiTheme="minorHAnsi" w:cstheme="minorHAnsi"/>
          <w:sz w:val="21"/>
          <w:szCs w:val="21"/>
        </w:rPr>
        <w:t>(n</w:t>
      </w:r>
      <w:r w:rsidR="0055447B">
        <w:rPr>
          <w:rFonts w:asciiTheme="minorHAnsi" w:hAnsiTheme="minorHAnsi" w:cstheme="minorHAnsi"/>
          <w:sz w:val="21"/>
          <w:szCs w:val="21"/>
        </w:rPr>
        <w:t>=</w:t>
      </w:r>
      <w:r w:rsidR="00F07E42" w:rsidRPr="00F07E42">
        <w:rPr>
          <w:rFonts w:asciiTheme="minorHAnsi" w:hAnsiTheme="minorHAnsi" w:cstheme="minorHAnsi"/>
          <w:sz w:val="21"/>
          <w:szCs w:val="21"/>
        </w:rPr>
        <w:t xml:space="preserve">11,558) </w:t>
      </w:r>
      <w:r w:rsidRPr="00F07E42">
        <w:rPr>
          <w:rFonts w:asciiTheme="minorHAnsi" w:hAnsiTheme="minorHAnsi" w:cstheme="minorHAnsi"/>
          <w:sz w:val="21"/>
          <w:szCs w:val="21"/>
        </w:rPr>
        <w:t>complete</w:t>
      </w:r>
      <w:r w:rsidR="00D976DB">
        <w:rPr>
          <w:rFonts w:asciiTheme="minorHAnsi" w:hAnsiTheme="minorHAnsi" w:cstheme="minorHAnsi"/>
          <w:sz w:val="21"/>
          <w:szCs w:val="21"/>
        </w:rPr>
        <w:t>d</w:t>
      </w:r>
      <w:r w:rsidRPr="00F07E42">
        <w:rPr>
          <w:rFonts w:asciiTheme="minorHAnsi" w:hAnsiTheme="minorHAnsi" w:cstheme="minorHAnsi"/>
          <w:sz w:val="21"/>
          <w:szCs w:val="21"/>
        </w:rPr>
        <w:t xml:space="preserve"> </w:t>
      </w:r>
      <w:r w:rsidRPr="00AD423E">
        <w:rPr>
          <w:rFonts w:asciiTheme="minorHAnsi" w:hAnsiTheme="minorHAnsi" w:cstheme="minorHAnsi"/>
          <w:sz w:val="21"/>
          <w:szCs w:val="21"/>
        </w:rPr>
        <w:t xml:space="preserve">treatment (i.e., at least </w:t>
      </w:r>
      <w:r w:rsidR="00AD423E" w:rsidRPr="00AD423E">
        <w:rPr>
          <w:rFonts w:asciiTheme="minorHAnsi" w:hAnsiTheme="minorHAnsi" w:cstheme="minorHAnsi"/>
          <w:sz w:val="21"/>
          <w:szCs w:val="21"/>
        </w:rPr>
        <w:t>two-thirds of</w:t>
      </w:r>
      <w:r w:rsidRPr="00AD423E">
        <w:rPr>
          <w:rFonts w:asciiTheme="minorHAnsi" w:hAnsiTheme="minorHAnsi" w:cstheme="minorHAnsi"/>
          <w:sz w:val="21"/>
          <w:szCs w:val="21"/>
        </w:rPr>
        <w:t xml:space="preserve"> lessons).</w:t>
      </w:r>
    </w:p>
    <w:p w14:paraId="35DCFC73" w14:textId="4732A61F" w:rsidR="002627AE" w:rsidRPr="009C4137" w:rsidRDefault="0010761E" w:rsidP="002029DC">
      <w:pPr>
        <w:spacing w:after="200"/>
        <w:rPr>
          <w:rFonts w:asciiTheme="minorHAnsi" w:hAnsiTheme="minorHAnsi" w:cstheme="minorHAnsi"/>
          <w:sz w:val="21"/>
          <w:szCs w:val="21"/>
        </w:rPr>
      </w:pPr>
      <w:r>
        <w:rPr>
          <w:rFonts w:asciiTheme="minorHAnsi" w:hAnsiTheme="minorHAnsi" w:cstheme="minorHAnsi"/>
          <w:sz w:val="21"/>
          <w:szCs w:val="21"/>
        </w:rPr>
        <w:t>Uptake of clinician-supported and self-directed treatment via THIS WAY UP is relatively more equally distributed than Mental Health Online</w:t>
      </w:r>
      <w:r w:rsidR="00555A20">
        <w:rPr>
          <w:rFonts w:asciiTheme="minorHAnsi" w:hAnsiTheme="minorHAnsi" w:cstheme="minorHAnsi"/>
          <w:sz w:val="21"/>
          <w:szCs w:val="21"/>
        </w:rPr>
        <w:t xml:space="preserve">, </w:t>
      </w:r>
      <w:r>
        <w:rPr>
          <w:rFonts w:asciiTheme="minorHAnsi" w:hAnsiTheme="minorHAnsi" w:cstheme="minorHAnsi"/>
          <w:sz w:val="21"/>
          <w:szCs w:val="21"/>
        </w:rPr>
        <w:t xml:space="preserve">which </w:t>
      </w:r>
      <w:r w:rsidR="00555A20">
        <w:rPr>
          <w:rFonts w:asciiTheme="minorHAnsi" w:hAnsiTheme="minorHAnsi" w:cstheme="minorHAnsi"/>
          <w:sz w:val="21"/>
          <w:szCs w:val="21"/>
        </w:rPr>
        <w:t>provides relatively more self-directed; and MINDSPOT, more therapist-supported, treatment. This difference may be related to therapist support in THIS WAY UP being delivered externally by the consumer’s own health professional.</w:t>
      </w:r>
    </w:p>
    <w:p w14:paraId="71F21FB3" w14:textId="1B98BECB" w:rsidR="00CB2D34" w:rsidRDefault="00CB2D34" w:rsidP="003D1CA1">
      <w:pPr>
        <w:pStyle w:val="tableheading"/>
      </w:pPr>
      <w:r w:rsidRPr="00AA6B28">
        <w:t xml:space="preserve">Table </w:t>
      </w:r>
      <w:r w:rsidR="001C44E0">
        <w:t>10</w:t>
      </w:r>
      <w:r w:rsidRPr="00AA6B28">
        <w:t xml:space="preserve">. Summary </w:t>
      </w:r>
      <w:r>
        <w:t xml:space="preserve">of </w:t>
      </w:r>
      <w:r w:rsidR="00DF14CA">
        <w:t xml:space="preserve">THIS WAY UP </w:t>
      </w:r>
      <w:r w:rsidR="00BE14CB">
        <w:t xml:space="preserve">treatment </w:t>
      </w:r>
      <w:r w:rsidRPr="00AA6B28">
        <w:t>uptake statistics, J</w:t>
      </w:r>
      <w:r w:rsidR="008F76D8">
        <w:t>uly</w:t>
      </w:r>
      <w:r w:rsidRPr="00AA6B28">
        <w:t xml:space="preserve"> 201</w:t>
      </w:r>
      <w:r w:rsidR="008F76D8">
        <w:t>5</w:t>
      </w:r>
      <w:r>
        <w:t xml:space="preserve"> – </w:t>
      </w:r>
      <w:r w:rsidRPr="00AA6B28">
        <w:t>December 2021</w:t>
      </w:r>
    </w:p>
    <w:tbl>
      <w:tblPr>
        <w:tblStyle w:val="TableGrid"/>
        <w:tblW w:w="0" w:type="auto"/>
        <w:jc w:val="center"/>
        <w:tblLook w:val="04A0" w:firstRow="1" w:lastRow="0" w:firstColumn="1" w:lastColumn="0" w:noHBand="0" w:noVBand="1"/>
        <w:tblCaption w:val="Table 10. Summary of THIS WAY UP treatment uptake statistics, July 2015 – December 2021"/>
        <w:tblDescription w:val="Table describing summary THIS WAY UP treatment uptake statistics from July 2015 to December 2021"/>
      </w:tblPr>
      <w:tblGrid>
        <w:gridCol w:w="4149"/>
        <w:gridCol w:w="982"/>
      </w:tblGrid>
      <w:tr w:rsidR="00B343CB" w:rsidRPr="00400F39" w14:paraId="7C705099" w14:textId="77777777" w:rsidTr="00BD431E">
        <w:trPr>
          <w:trHeight w:val="227"/>
          <w:jc w:val="center"/>
        </w:trPr>
        <w:tc>
          <w:tcPr>
            <w:tcW w:w="0" w:type="auto"/>
            <w:tcBorders>
              <w:bottom w:val="single" w:sz="4" w:space="0" w:color="auto"/>
            </w:tcBorders>
            <w:shd w:val="clear" w:color="auto" w:fill="000000" w:themeFill="text1"/>
          </w:tcPr>
          <w:p w14:paraId="5456CCCF" w14:textId="77777777" w:rsidR="00B343CB" w:rsidRPr="00400F39" w:rsidRDefault="00B343CB" w:rsidP="003D1CA1">
            <w:pPr>
              <w:rPr>
                <w:rFonts w:asciiTheme="minorHAnsi" w:hAnsiTheme="minorHAnsi"/>
                <w:sz w:val="18"/>
                <w:szCs w:val="18"/>
              </w:rPr>
            </w:pPr>
            <w:r w:rsidRPr="00400F39">
              <w:rPr>
                <w:rFonts w:asciiTheme="minorHAnsi" w:hAnsiTheme="minorHAnsi"/>
                <w:sz w:val="18"/>
                <w:szCs w:val="18"/>
              </w:rPr>
              <w:t>Unit of counting</w:t>
            </w:r>
          </w:p>
        </w:tc>
        <w:tc>
          <w:tcPr>
            <w:tcW w:w="0" w:type="auto"/>
            <w:tcBorders>
              <w:bottom w:val="single" w:sz="4" w:space="0" w:color="auto"/>
            </w:tcBorders>
            <w:shd w:val="clear" w:color="auto" w:fill="000000" w:themeFill="text1"/>
          </w:tcPr>
          <w:p w14:paraId="20FBF199" w14:textId="77777777" w:rsidR="00B343CB" w:rsidRPr="00400F39" w:rsidRDefault="00B343CB" w:rsidP="003D1CA1">
            <w:pPr>
              <w:jc w:val="center"/>
              <w:rPr>
                <w:rFonts w:asciiTheme="minorHAnsi" w:hAnsiTheme="minorHAnsi"/>
                <w:sz w:val="18"/>
                <w:szCs w:val="18"/>
              </w:rPr>
            </w:pPr>
            <w:r w:rsidRPr="00400F39">
              <w:rPr>
                <w:rFonts w:asciiTheme="minorHAnsi" w:hAnsiTheme="minorHAnsi"/>
                <w:sz w:val="18"/>
                <w:szCs w:val="18"/>
              </w:rPr>
              <w:t>Frequency</w:t>
            </w:r>
          </w:p>
        </w:tc>
      </w:tr>
      <w:tr w:rsidR="00F717E3" w:rsidRPr="00F96740" w14:paraId="369A8C7E" w14:textId="77777777" w:rsidTr="00BD431E">
        <w:trPr>
          <w:trHeight w:val="283"/>
          <w:jc w:val="center"/>
        </w:trPr>
        <w:tc>
          <w:tcPr>
            <w:tcW w:w="0" w:type="auto"/>
            <w:tcBorders>
              <w:top w:val="nil"/>
              <w:bottom w:val="nil"/>
              <w:right w:val="nil"/>
            </w:tcBorders>
          </w:tcPr>
          <w:p w14:paraId="198E8DC3" w14:textId="77777777" w:rsidR="00F717E3" w:rsidRPr="00697855" w:rsidRDefault="00F717E3" w:rsidP="003D1CA1">
            <w:pPr>
              <w:rPr>
                <w:rFonts w:asciiTheme="minorHAnsi" w:hAnsiTheme="minorHAnsi"/>
                <w:sz w:val="18"/>
                <w:szCs w:val="18"/>
              </w:rPr>
            </w:pPr>
            <w:r w:rsidRPr="00697855">
              <w:rPr>
                <w:rFonts w:asciiTheme="minorHAnsi" w:hAnsiTheme="minorHAnsi"/>
                <w:sz w:val="18"/>
                <w:szCs w:val="18"/>
              </w:rPr>
              <w:t xml:space="preserve">Consumers enrolled in </w:t>
            </w:r>
            <w:r>
              <w:rPr>
                <w:rFonts w:asciiTheme="minorHAnsi" w:hAnsiTheme="minorHAnsi"/>
                <w:sz w:val="18"/>
                <w:szCs w:val="18"/>
              </w:rPr>
              <w:t xml:space="preserve">any </w:t>
            </w:r>
            <w:r w:rsidRPr="00697855">
              <w:rPr>
                <w:rFonts w:asciiTheme="minorHAnsi" w:hAnsiTheme="minorHAnsi"/>
                <w:sz w:val="18"/>
                <w:szCs w:val="18"/>
              </w:rPr>
              <w:t xml:space="preserve">treatment </w:t>
            </w:r>
          </w:p>
        </w:tc>
        <w:tc>
          <w:tcPr>
            <w:tcW w:w="0" w:type="auto"/>
            <w:tcBorders>
              <w:top w:val="nil"/>
              <w:left w:val="nil"/>
              <w:bottom w:val="nil"/>
            </w:tcBorders>
          </w:tcPr>
          <w:p w14:paraId="0CE13428" w14:textId="1A3706F7" w:rsidR="00F717E3" w:rsidRPr="007C7F79" w:rsidRDefault="00F717E3" w:rsidP="003D1CA1">
            <w:pPr>
              <w:jc w:val="center"/>
              <w:rPr>
                <w:rFonts w:asciiTheme="minorHAnsi" w:hAnsiTheme="minorHAnsi" w:cstheme="minorHAnsi"/>
                <w:sz w:val="18"/>
                <w:szCs w:val="18"/>
              </w:rPr>
            </w:pPr>
            <w:r w:rsidRPr="007C7F79">
              <w:rPr>
                <w:rFonts w:asciiTheme="minorHAnsi" w:hAnsiTheme="minorHAnsi" w:cstheme="minorHAnsi"/>
                <w:sz w:val="18"/>
                <w:szCs w:val="18"/>
              </w:rPr>
              <w:t>72</w:t>
            </w:r>
            <w:r w:rsidR="007C7F79">
              <w:rPr>
                <w:rFonts w:asciiTheme="minorHAnsi" w:hAnsiTheme="minorHAnsi" w:cstheme="minorHAnsi"/>
                <w:sz w:val="18"/>
                <w:szCs w:val="18"/>
              </w:rPr>
              <w:t>,</w:t>
            </w:r>
            <w:r w:rsidRPr="007C7F79">
              <w:rPr>
                <w:rFonts w:asciiTheme="minorHAnsi" w:hAnsiTheme="minorHAnsi" w:cstheme="minorHAnsi"/>
                <w:sz w:val="18"/>
                <w:szCs w:val="18"/>
              </w:rPr>
              <w:t>007</w:t>
            </w:r>
          </w:p>
        </w:tc>
      </w:tr>
      <w:tr w:rsidR="00F717E3" w:rsidRPr="00F96740" w14:paraId="452DEFE3" w14:textId="77777777" w:rsidTr="00BD431E">
        <w:trPr>
          <w:trHeight w:val="283"/>
          <w:jc w:val="center"/>
        </w:trPr>
        <w:tc>
          <w:tcPr>
            <w:tcW w:w="0" w:type="auto"/>
            <w:tcBorders>
              <w:top w:val="nil"/>
              <w:bottom w:val="nil"/>
              <w:right w:val="nil"/>
            </w:tcBorders>
          </w:tcPr>
          <w:p w14:paraId="620C8CD2" w14:textId="77777777" w:rsidR="00F717E3" w:rsidRPr="00697855" w:rsidRDefault="00F717E3" w:rsidP="003D1CA1">
            <w:pPr>
              <w:rPr>
                <w:rFonts w:asciiTheme="minorHAnsi" w:hAnsiTheme="minorHAnsi"/>
                <w:sz w:val="18"/>
                <w:szCs w:val="18"/>
              </w:rPr>
            </w:pPr>
            <w:r w:rsidRPr="004B7783">
              <w:rPr>
                <w:rFonts w:asciiTheme="minorHAnsi" w:hAnsiTheme="minorHAnsi"/>
                <w:sz w:val="18"/>
                <w:szCs w:val="18"/>
              </w:rPr>
              <w:t xml:space="preserve">Consumers started </w:t>
            </w:r>
            <w:r>
              <w:rPr>
                <w:rFonts w:asciiTheme="minorHAnsi" w:hAnsiTheme="minorHAnsi"/>
                <w:sz w:val="18"/>
                <w:szCs w:val="18"/>
              </w:rPr>
              <w:t xml:space="preserve">any </w:t>
            </w:r>
            <w:r w:rsidRPr="004B7783">
              <w:rPr>
                <w:rFonts w:asciiTheme="minorHAnsi" w:hAnsiTheme="minorHAnsi"/>
                <w:sz w:val="18"/>
                <w:szCs w:val="18"/>
              </w:rPr>
              <w:t xml:space="preserve">treatment </w:t>
            </w:r>
          </w:p>
        </w:tc>
        <w:tc>
          <w:tcPr>
            <w:tcW w:w="0" w:type="auto"/>
            <w:tcBorders>
              <w:top w:val="nil"/>
              <w:left w:val="nil"/>
              <w:bottom w:val="nil"/>
            </w:tcBorders>
          </w:tcPr>
          <w:p w14:paraId="16834655" w14:textId="4C130294" w:rsidR="00F717E3" w:rsidRPr="007C7F79" w:rsidRDefault="00F717E3" w:rsidP="003D1CA1">
            <w:pPr>
              <w:jc w:val="center"/>
              <w:rPr>
                <w:rFonts w:asciiTheme="minorHAnsi" w:hAnsiTheme="minorHAnsi" w:cstheme="minorHAnsi"/>
                <w:sz w:val="18"/>
                <w:szCs w:val="18"/>
              </w:rPr>
            </w:pPr>
            <w:r w:rsidRPr="007C7F79">
              <w:rPr>
                <w:rFonts w:asciiTheme="minorHAnsi" w:hAnsiTheme="minorHAnsi" w:cstheme="minorHAnsi"/>
                <w:sz w:val="18"/>
                <w:szCs w:val="18"/>
              </w:rPr>
              <w:t>54</w:t>
            </w:r>
            <w:r w:rsidR="007C7F79">
              <w:rPr>
                <w:rFonts w:asciiTheme="minorHAnsi" w:hAnsiTheme="minorHAnsi" w:cstheme="minorHAnsi"/>
                <w:sz w:val="18"/>
                <w:szCs w:val="18"/>
              </w:rPr>
              <w:t>,</w:t>
            </w:r>
            <w:r w:rsidRPr="007C7F79">
              <w:rPr>
                <w:rFonts w:asciiTheme="minorHAnsi" w:hAnsiTheme="minorHAnsi" w:cstheme="minorHAnsi"/>
                <w:sz w:val="18"/>
                <w:szCs w:val="18"/>
              </w:rPr>
              <w:t>510</w:t>
            </w:r>
          </w:p>
        </w:tc>
      </w:tr>
      <w:tr w:rsidR="00F717E3" w:rsidRPr="00F96740" w14:paraId="128BFAD4" w14:textId="77777777" w:rsidTr="00BD431E">
        <w:trPr>
          <w:trHeight w:val="283"/>
          <w:jc w:val="center"/>
        </w:trPr>
        <w:tc>
          <w:tcPr>
            <w:tcW w:w="0" w:type="auto"/>
            <w:tcBorders>
              <w:top w:val="nil"/>
              <w:bottom w:val="nil"/>
              <w:right w:val="nil"/>
            </w:tcBorders>
          </w:tcPr>
          <w:p w14:paraId="0E58BC79" w14:textId="77777777" w:rsidR="00F717E3" w:rsidRPr="00697855" w:rsidRDefault="00F717E3" w:rsidP="003D1CA1">
            <w:pPr>
              <w:rPr>
                <w:rFonts w:asciiTheme="minorHAnsi" w:hAnsiTheme="minorHAnsi"/>
                <w:sz w:val="18"/>
                <w:szCs w:val="18"/>
              </w:rPr>
            </w:pPr>
            <w:r w:rsidRPr="004B7783">
              <w:rPr>
                <w:rFonts w:asciiTheme="minorHAnsi" w:hAnsiTheme="minorHAnsi"/>
                <w:sz w:val="18"/>
                <w:szCs w:val="18"/>
              </w:rPr>
              <w:t xml:space="preserve">Consumers </w:t>
            </w:r>
            <w:r>
              <w:rPr>
                <w:rFonts w:asciiTheme="minorHAnsi" w:hAnsiTheme="minorHAnsi"/>
                <w:sz w:val="18"/>
                <w:szCs w:val="18"/>
              </w:rPr>
              <w:t>comple</w:t>
            </w:r>
            <w:r w:rsidRPr="004B7783">
              <w:rPr>
                <w:rFonts w:asciiTheme="minorHAnsi" w:hAnsiTheme="minorHAnsi"/>
                <w:sz w:val="18"/>
                <w:szCs w:val="18"/>
              </w:rPr>
              <w:t xml:space="preserve">ted </w:t>
            </w:r>
            <w:r>
              <w:rPr>
                <w:rFonts w:asciiTheme="minorHAnsi" w:hAnsiTheme="minorHAnsi"/>
                <w:sz w:val="18"/>
                <w:szCs w:val="18"/>
              </w:rPr>
              <w:t xml:space="preserve">any </w:t>
            </w:r>
            <w:proofErr w:type="spellStart"/>
            <w:r w:rsidRPr="004B7783">
              <w:rPr>
                <w:rFonts w:asciiTheme="minorHAnsi" w:hAnsiTheme="minorHAnsi"/>
                <w:sz w:val="18"/>
                <w:szCs w:val="18"/>
              </w:rPr>
              <w:t>treatment</w:t>
            </w:r>
            <w:r w:rsidRPr="00701F75">
              <w:rPr>
                <w:rFonts w:asciiTheme="minorHAnsi" w:hAnsiTheme="minorHAnsi"/>
                <w:sz w:val="18"/>
                <w:szCs w:val="18"/>
                <w:vertAlign w:val="superscript"/>
              </w:rPr>
              <w:t>a</w:t>
            </w:r>
            <w:proofErr w:type="spellEnd"/>
          </w:p>
        </w:tc>
        <w:tc>
          <w:tcPr>
            <w:tcW w:w="0" w:type="auto"/>
            <w:tcBorders>
              <w:top w:val="nil"/>
              <w:left w:val="nil"/>
              <w:bottom w:val="nil"/>
            </w:tcBorders>
          </w:tcPr>
          <w:p w14:paraId="7D431BBC" w14:textId="1056C13C" w:rsidR="00F717E3" w:rsidRPr="007C7F79" w:rsidRDefault="00F717E3" w:rsidP="003D1CA1">
            <w:pPr>
              <w:jc w:val="center"/>
              <w:rPr>
                <w:rFonts w:asciiTheme="minorHAnsi" w:hAnsiTheme="minorHAnsi" w:cstheme="minorHAnsi"/>
                <w:sz w:val="18"/>
                <w:szCs w:val="18"/>
              </w:rPr>
            </w:pPr>
            <w:r w:rsidRPr="007C7F79">
              <w:rPr>
                <w:rFonts w:asciiTheme="minorHAnsi" w:hAnsiTheme="minorHAnsi" w:cstheme="minorHAnsi"/>
                <w:sz w:val="18"/>
                <w:szCs w:val="18"/>
              </w:rPr>
              <w:t>24</w:t>
            </w:r>
            <w:r w:rsidR="007C7F79">
              <w:rPr>
                <w:rFonts w:asciiTheme="minorHAnsi" w:hAnsiTheme="minorHAnsi" w:cstheme="minorHAnsi"/>
                <w:sz w:val="18"/>
                <w:szCs w:val="18"/>
              </w:rPr>
              <w:t>,</w:t>
            </w:r>
            <w:r w:rsidRPr="007C7F79">
              <w:rPr>
                <w:rFonts w:asciiTheme="minorHAnsi" w:hAnsiTheme="minorHAnsi" w:cstheme="minorHAnsi"/>
                <w:sz w:val="18"/>
                <w:szCs w:val="18"/>
              </w:rPr>
              <w:t>989</w:t>
            </w:r>
          </w:p>
        </w:tc>
      </w:tr>
      <w:tr w:rsidR="00B343CB" w:rsidRPr="00F96740" w14:paraId="21DAD478" w14:textId="77777777" w:rsidTr="00BD431E">
        <w:trPr>
          <w:trHeight w:val="283"/>
          <w:jc w:val="center"/>
        </w:trPr>
        <w:tc>
          <w:tcPr>
            <w:tcW w:w="0" w:type="auto"/>
            <w:tcBorders>
              <w:top w:val="nil"/>
              <w:bottom w:val="nil"/>
              <w:right w:val="nil"/>
            </w:tcBorders>
          </w:tcPr>
          <w:p w14:paraId="11BE304A" w14:textId="7266657B" w:rsidR="00B343CB" w:rsidRPr="005123A3" w:rsidRDefault="00B343CB" w:rsidP="003D1CA1">
            <w:pPr>
              <w:rPr>
                <w:rFonts w:asciiTheme="minorHAnsi" w:hAnsiTheme="minorHAnsi"/>
                <w:sz w:val="18"/>
                <w:szCs w:val="18"/>
              </w:rPr>
            </w:pPr>
            <w:r w:rsidRPr="005123A3">
              <w:rPr>
                <w:rFonts w:asciiTheme="minorHAnsi" w:hAnsiTheme="minorHAnsi"/>
                <w:sz w:val="18"/>
                <w:szCs w:val="18"/>
              </w:rPr>
              <w:t xml:space="preserve">Consumers enrolled in </w:t>
            </w:r>
            <w:r w:rsidR="002E6C60">
              <w:rPr>
                <w:rFonts w:asciiTheme="minorHAnsi" w:hAnsiTheme="minorHAnsi"/>
                <w:sz w:val="18"/>
                <w:szCs w:val="18"/>
              </w:rPr>
              <w:t>clinician</w:t>
            </w:r>
            <w:r w:rsidRPr="005123A3">
              <w:rPr>
                <w:rFonts w:asciiTheme="minorHAnsi" w:hAnsiTheme="minorHAnsi"/>
                <w:sz w:val="18"/>
                <w:szCs w:val="18"/>
              </w:rPr>
              <w:t xml:space="preserve">-supported treatment </w:t>
            </w:r>
          </w:p>
        </w:tc>
        <w:tc>
          <w:tcPr>
            <w:tcW w:w="0" w:type="auto"/>
            <w:tcBorders>
              <w:top w:val="nil"/>
              <w:left w:val="nil"/>
              <w:bottom w:val="nil"/>
            </w:tcBorders>
          </w:tcPr>
          <w:p w14:paraId="484F3616" w14:textId="050DC597" w:rsidR="00B343CB" w:rsidRPr="00F96740" w:rsidRDefault="00B343CB" w:rsidP="003D1CA1">
            <w:pPr>
              <w:jc w:val="center"/>
              <w:rPr>
                <w:rFonts w:asciiTheme="minorHAnsi" w:hAnsiTheme="minorHAnsi"/>
                <w:sz w:val="18"/>
                <w:szCs w:val="18"/>
                <w:highlight w:val="yellow"/>
              </w:rPr>
            </w:pPr>
            <w:r w:rsidRPr="00697855">
              <w:rPr>
                <w:rFonts w:asciiTheme="minorHAnsi" w:hAnsiTheme="minorHAnsi"/>
                <w:sz w:val="18"/>
                <w:szCs w:val="18"/>
              </w:rPr>
              <w:t>34</w:t>
            </w:r>
            <w:r>
              <w:rPr>
                <w:rFonts w:asciiTheme="minorHAnsi" w:hAnsiTheme="minorHAnsi"/>
                <w:sz w:val="18"/>
                <w:szCs w:val="18"/>
              </w:rPr>
              <w:t>,</w:t>
            </w:r>
            <w:r w:rsidR="00643BF8">
              <w:rPr>
                <w:rFonts w:asciiTheme="minorHAnsi" w:hAnsiTheme="minorHAnsi"/>
                <w:sz w:val="18"/>
                <w:szCs w:val="18"/>
              </w:rPr>
              <w:t>048</w:t>
            </w:r>
          </w:p>
        </w:tc>
      </w:tr>
      <w:tr w:rsidR="00B343CB" w:rsidRPr="00F96740" w14:paraId="292E03C7" w14:textId="77777777" w:rsidTr="00BD431E">
        <w:trPr>
          <w:trHeight w:val="283"/>
          <w:jc w:val="center"/>
        </w:trPr>
        <w:tc>
          <w:tcPr>
            <w:tcW w:w="0" w:type="auto"/>
            <w:tcBorders>
              <w:top w:val="nil"/>
              <w:bottom w:val="nil"/>
              <w:right w:val="nil"/>
            </w:tcBorders>
          </w:tcPr>
          <w:p w14:paraId="6315B757" w14:textId="735FCD3D" w:rsidR="00B343CB" w:rsidRPr="005123A3" w:rsidRDefault="00B343CB" w:rsidP="003D1CA1">
            <w:pPr>
              <w:rPr>
                <w:rFonts w:asciiTheme="minorHAnsi" w:hAnsiTheme="minorHAnsi"/>
                <w:sz w:val="18"/>
                <w:szCs w:val="18"/>
              </w:rPr>
            </w:pPr>
            <w:r w:rsidRPr="005123A3">
              <w:rPr>
                <w:rFonts w:asciiTheme="minorHAnsi" w:hAnsiTheme="minorHAnsi"/>
                <w:sz w:val="18"/>
                <w:szCs w:val="18"/>
              </w:rPr>
              <w:t xml:space="preserve">Consumers started </w:t>
            </w:r>
            <w:r w:rsidR="002E6C60">
              <w:rPr>
                <w:rFonts w:asciiTheme="minorHAnsi" w:hAnsiTheme="minorHAnsi"/>
                <w:sz w:val="18"/>
                <w:szCs w:val="18"/>
              </w:rPr>
              <w:t>clinician</w:t>
            </w:r>
            <w:r w:rsidRPr="005123A3">
              <w:rPr>
                <w:rFonts w:asciiTheme="minorHAnsi" w:hAnsiTheme="minorHAnsi"/>
                <w:sz w:val="18"/>
                <w:szCs w:val="18"/>
              </w:rPr>
              <w:t xml:space="preserve">-supported treatment </w:t>
            </w:r>
          </w:p>
        </w:tc>
        <w:tc>
          <w:tcPr>
            <w:tcW w:w="0" w:type="auto"/>
            <w:tcBorders>
              <w:top w:val="nil"/>
              <w:left w:val="nil"/>
              <w:bottom w:val="nil"/>
            </w:tcBorders>
          </w:tcPr>
          <w:p w14:paraId="532763D7" w14:textId="56CEFF18" w:rsidR="00B343CB" w:rsidRPr="00F96740" w:rsidRDefault="00643BF8" w:rsidP="003D1CA1">
            <w:pPr>
              <w:jc w:val="center"/>
              <w:rPr>
                <w:rFonts w:asciiTheme="minorHAnsi" w:hAnsiTheme="minorHAnsi"/>
                <w:sz w:val="18"/>
                <w:szCs w:val="18"/>
                <w:highlight w:val="yellow"/>
              </w:rPr>
            </w:pPr>
            <w:r>
              <w:rPr>
                <w:rFonts w:asciiTheme="minorHAnsi" w:hAnsiTheme="minorHAnsi"/>
                <w:sz w:val="18"/>
                <w:szCs w:val="18"/>
              </w:rPr>
              <w:t>27,405</w:t>
            </w:r>
          </w:p>
        </w:tc>
      </w:tr>
      <w:tr w:rsidR="00B343CB" w:rsidRPr="00F96740" w14:paraId="6EF4DA55" w14:textId="77777777" w:rsidTr="00D976DB">
        <w:trPr>
          <w:trHeight w:val="283"/>
          <w:jc w:val="center"/>
        </w:trPr>
        <w:tc>
          <w:tcPr>
            <w:tcW w:w="0" w:type="auto"/>
            <w:tcBorders>
              <w:top w:val="nil"/>
              <w:bottom w:val="nil"/>
              <w:right w:val="nil"/>
            </w:tcBorders>
          </w:tcPr>
          <w:p w14:paraId="6553A682" w14:textId="0A320089" w:rsidR="00B343CB" w:rsidRPr="00F96740" w:rsidRDefault="00B343CB" w:rsidP="003D1CA1">
            <w:pPr>
              <w:rPr>
                <w:rFonts w:asciiTheme="minorHAnsi" w:hAnsiTheme="minorHAnsi"/>
                <w:sz w:val="18"/>
                <w:szCs w:val="18"/>
                <w:highlight w:val="yellow"/>
              </w:rPr>
            </w:pPr>
            <w:r w:rsidRPr="004B7783">
              <w:rPr>
                <w:rFonts w:asciiTheme="minorHAnsi" w:hAnsiTheme="minorHAnsi"/>
                <w:sz w:val="18"/>
                <w:szCs w:val="18"/>
              </w:rPr>
              <w:t xml:space="preserve">Consumers </w:t>
            </w:r>
            <w:r>
              <w:rPr>
                <w:rFonts w:asciiTheme="minorHAnsi" w:hAnsiTheme="minorHAnsi"/>
                <w:sz w:val="18"/>
                <w:szCs w:val="18"/>
              </w:rPr>
              <w:t>comple</w:t>
            </w:r>
            <w:r w:rsidRPr="004B7783">
              <w:rPr>
                <w:rFonts w:asciiTheme="minorHAnsi" w:hAnsiTheme="minorHAnsi"/>
                <w:sz w:val="18"/>
                <w:szCs w:val="18"/>
              </w:rPr>
              <w:t xml:space="preserve">ted </w:t>
            </w:r>
            <w:r w:rsidR="002E6C60">
              <w:rPr>
                <w:rFonts w:asciiTheme="minorHAnsi" w:hAnsiTheme="minorHAnsi"/>
                <w:sz w:val="18"/>
                <w:szCs w:val="18"/>
              </w:rPr>
              <w:t>clinician-supported</w:t>
            </w:r>
            <w:r>
              <w:rPr>
                <w:rFonts w:asciiTheme="minorHAnsi" w:hAnsiTheme="minorHAnsi"/>
                <w:sz w:val="18"/>
                <w:szCs w:val="18"/>
              </w:rPr>
              <w:t xml:space="preserve"> </w:t>
            </w:r>
            <w:proofErr w:type="spellStart"/>
            <w:r w:rsidRPr="004B7783">
              <w:rPr>
                <w:rFonts w:asciiTheme="minorHAnsi" w:hAnsiTheme="minorHAnsi"/>
                <w:sz w:val="18"/>
                <w:szCs w:val="18"/>
              </w:rPr>
              <w:t>treatment</w:t>
            </w:r>
            <w:r w:rsidRPr="00701F75">
              <w:rPr>
                <w:rFonts w:asciiTheme="minorHAnsi" w:hAnsiTheme="minorHAnsi"/>
                <w:sz w:val="18"/>
                <w:szCs w:val="18"/>
                <w:vertAlign w:val="superscript"/>
              </w:rPr>
              <w:t>a</w:t>
            </w:r>
            <w:proofErr w:type="spellEnd"/>
          </w:p>
        </w:tc>
        <w:tc>
          <w:tcPr>
            <w:tcW w:w="0" w:type="auto"/>
            <w:tcBorders>
              <w:top w:val="nil"/>
              <w:left w:val="nil"/>
              <w:bottom w:val="nil"/>
            </w:tcBorders>
          </w:tcPr>
          <w:p w14:paraId="5527B26D" w14:textId="5C6C0D72" w:rsidR="00B343CB" w:rsidRPr="00F96740" w:rsidRDefault="00643BF8" w:rsidP="003D1CA1">
            <w:pPr>
              <w:jc w:val="center"/>
              <w:rPr>
                <w:rFonts w:asciiTheme="minorHAnsi" w:hAnsiTheme="minorHAnsi"/>
                <w:sz w:val="18"/>
                <w:szCs w:val="18"/>
                <w:highlight w:val="yellow"/>
              </w:rPr>
            </w:pPr>
            <w:r>
              <w:rPr>
                <w:rFonts w:asciiTheme="minorHAnsi" w:hAnsiTheme="minorHAnsi"/>
                <w:sz w:val="18"/>
                <w:szCs w:val="18"/>
              </w:rPr>
              <w:t>13,431</w:t>
            </w:r>
          </w:p>
        </w:tc>
      </w:tr>
      <w:tr w:rsidR="00D976DB" w:rsidRPr="00F96740" w14:paraId="3666B083" w14:textId="77777777" w:rsidTr="00D976DB">
        <w:trPr>
          <w:trHeight w:val="283"/>
          <w:jc w:val="center"/>
        </w:trPr>
        <w:tc>
          <w:tcPr>
            <w:tcW w:w="0" w:type="auto"/>
            <w:tcBorders>
              <w:top w:val="nil"/>
              <w:bottom w:val="nil"/>
              <w:right w:val="nil"/>
            </w:tcBorders>
          </w:tcPr>
          <w:p w14:paraId="2B4244A7" w14:textId="720A6B26" w:rsidR="00D976DB" w:rsidRPr="004B7783" w:rsidRDefault="00D976DB" w:rsidP="003D1CA1">
            <w:pPr>
              <w:rPr>
                <w:rFonts w:asciiTheme="minorHAnsi" w:hAnsiTheme="minorHAnsi"/>
                <w:sz w:val="18"/>
                <w:szCs w:val="18"/>
              </w:rPr>
            </w:pPr>
            <w:r w:rsidRPr="005123A3">
              <w:rPr>
                <w:rFonts w:asciiTheme="minorHAnsi" w:hAnsiTheme="minorHAnsi"/>
                <w:sz w:val="18"/>
                <w:szCs w:val="18"/>
              </w:rPr>
              <w:t xml:space="preserve">Consumers enrolled in </w:t>
            </w:r>
            <w:r w:rsidR="0003289F">
              <w:rPr>
                <w:rFonts w:asciiTheme="minorHAnsi" w:hAnsiTheme="minorHAnsi"/>
                <w:sz w:val="18"/>
                <w:szCs w:val="18"/>
              </w:rPr>
              <w:t>self-directed</w:t>
            </w:r>
            <w:r w:rsidRPr="005123A3">
              <w:rPr>
                <w:rFonts w:asciiTheme="minorHAnsi" w:hAnsiTheme="minorHAnsi"/>
                <w:sz w:val="18"/>
                <w:szCs w:val="18"/>
              </w:rPr>
              <w:t xml:space="preserve"> treatment </w:t>
            </w:r>
          </w:p>
        </w:tc>
        <w:tc>
          <w:tcPr>
            <w:tcW w:w="0" w:type="auto"/>
            <w:tcBorders>
              <w:top w:val="nil"/>
              <w:left w:val="nil"/>
              <w:bottom w:val="nil"/>
            </w:tcBorders>
          </w:tcPr>
          <w:p w14:paraId="285094BC" w14:textId="3191BAE1" w:rsidR="00D976DB" w:rsidRDefault="0003289F" w:rsidP="003D1CA1">
            <w:pPr>
              <w:jc w:val="center"/>
              <w:rPr>
                <w:rFonts w:asciiTheme="minorHAnsi" w:hAnsiTheme="minorHAnsi"/>
                <w:sz w:val="18"/>
                <w:szCs w:val="18"/>
              </w:rPr>
            </w:pPr>
            <w:r w:rsidRPr="0003289F">
              <w:rPr>
                <w:rFonts w:asciiTheme="minorHAnsi" w:hAnsiTheme="minorHAnsi"/>
                <w:sz w:val="18"/>
                <w:szCs w:val="18"/>
              </w:rPr>
              <w:t>37</w:t>
            </w:r>
            <w:r>
              <w:rPr>
                <w:rFonts w:asciiTheme="minorHAnsi" w:hAnsiTheme="minorHAnsi"/>
                <w:sz w:val="18"/>
                <w:szCs w:val="18"/>
              </w:rPr>
              <w:t>,</w:t>
            </w:r>
            <w:r w:rsidRPr="0003289F">
              <w:rPr>
                <w:rFonts w:asciiTheme="minorHAnsi" w:hAnsiTheme="minorHAnsi"/>
                <w:sz w:val="18"/>
                <w:szCs w:val="18"/>
              </w:rPr>
              <w:t>959</w:t>
            </w:r>
          </w:p>
        </w:tc>
      </w:tr>
      <w:tr w:rsidR="00D976DB" w:rsidRPr="00F96740" w14:paraId="45236967" w14:textId="77777777" w:rsidTr="00D976DB">
        <w:trPr>
          <w:trHeight w:val="283"/>
          <w:jc w:val="center"/>
        </w:trPr>
        <w:tc>
          <w:tcPr>
            <w:tcW w:w="0" w:type="auto"/>
            <w:tcBorders>
              <w:top w:val="nil"/>
              <w:bottom w:val="nil"/>
              <w:right w:val="nil"/>
            </w:tcBorders>
          </w:tcPr>
          <w:p w14:paraId="0B0060F1" w14:textId="13094571" w:rsidR="00D976DB" w:rsidRPr="004B7783" w:rsidRDefault="00D976DB" w:rsidP="003D1CA1">
            <w:pPr>
              <w:rPr>
                <w:rFonts w:asciiTheme="minorHAnsi" w:hAnsiTheme="minorHAnsi"/>
                <w:sz w:val="18"/>
                <w:szCs w:val="18"/>
              </w:rPr>
            </w:pPr>
            <w:r w:rsidRPr="005123A3">
              <w:rPr>
                <w:rFonts w:asciiTheme="minorHAnsi" w:hAnsiTheme="minorHAnsi"/>
                <w:sz w:val="18"/>
                <w:szCs w:val="18"/>
              </w:rPr>
              <w:t xml:space="preserve">Consumers started </w:t>
            </w:r>
            <w:r w:rsidR="0003289F">
              <w:rPr>
                <w:rFonts w:asciiTheme="minorHAnsi" w:hAnsiTheme="minorHAnsi"/>
                <w:sz w:val="18"/>
                <w:szCs w:val="18"/>
              </w:rPr>
              <w:t>self-directed</w:t>
            </w:r>
            <w:r w:rsidR="0003289F" w:rsidRPr="005123A3">
              <w:rPr>
                <w:rFonts w:asciiTheme="minorHAnsi" w:hAnsiTheme="minorHAnsi"/>
                <w:sz w:val="18"/>
                <w:szCs w:val="18"/>
              </w:rPr>
              <w:t xml:space="preserve"> </w:t>
            </w:r>
            <w:r w:rsidRPr="005123A3">
              <w:rPr>
                <w:rFonts w:asciiTheme="minorHAnsi" w:hAnsiTheme="minorHAnsi"/>
                <w:sz w:val="18"/>
                <w:szCs w:val="18"/>
              </w:rPr>
              <w:t xml:space="preserve">treatment </w:t>
            </w:r>
          </w:p>
        </w:tc>
        <w:tc>
          <w:tcPr>
            <w:tcW w:w="0" w:type="auto"/>
            <w:tcBorders>
              <w:top w:val="nil"/>
              <w:left w:val="nil"/>
              <w:bottom w:val="nil"/>
            </w:tcBorders>
          </w:tcPr>
          <w:p w14:paraId="2893B214" w14:textId="3EBB0FF2" w:rsidR="00D976DB" w:rsidRDefault="0003289F" w:rsidP="003D1CA1">
            <w:pPr>
              <w:jc w:val="center"/>
              <w:rPr>
                <w:rFonts w:asciiTheme="minorHAnsi" w:hAnsiTheme="minorHAnsi"/>
                <w:sz w:val="18"/>
                <w:szCs w:val="18"/>
              </w:rPr>
            </w:pPr>
            <w:r w:rsidRPr="0003289F">
              <w:rPr>
                <w:rFonts w:asciiTheme="minorHAnsi" w:hAnsiTheme="minorHAnsi"/>
                <w:sz w:val="18"/>
                <w:szCs w:val="18"/>
              </w:rPr>
              <w:t>27</w:t>
            </w:r>
            <w:r>
              <w:rPr>
                <w:rFonts w:asciiTheme="minorHAnsi" w:hAnsiTheme="minorHAnsi"/>
                <w:sz w:val="18"/>
                <w:szCs w:val="18"/>
              </w:rPr>
              <w:t>,</w:t>
            </w:r>
            <w:r w:rsidRPr="0003289F">
              <w:rPr>
                <w:rFonts w:asciiTheme="minorHAnsi" w:hAnsiTheme="minorHAnsi"/>
                <w:sz w:val="18"/>
                <w:szCs w:val="18"/>
              </w:rPr>
              <w:t>105</w:t>
            </w:r>
          </w:p>
        </w:tc>
      </w:tr>
      <w:tr w:rsidR="00D976DB" w:rsidRPr="00F96740" w14:paraId="466A37BE" w14:textId="77777777" w:rsidTr="00BB5D25">
        <w:trPr>
          <w:trHeight w:val="283"/>
          <w:jc w:val="center"/>
        </w:trPr>
        <w:tc>
          <w:tcPr>
            <w:tcW w:w="0" w:type="auto"/>
            <w:tcBorders>
              <w:top w:val="nil"/>
              <w:bottom w:val="single" w:sz="4" w:space="0" w:color="auto"/>
              <w:right w:val="nil"/>
            </w:tcBorders>
          </w:tcPr>
          <w:p w14:paraId="564D6DBA" w14:textId="1FE416D2" w:rsidR="00D976DB" w:rsidRPr="004B7783" w:rsidRDefault="00D976DB" w:rsidP="003D1CA1">
            <w:pPr>
              <w:rPr>
                <w:rFonts w:asciiTheme="minorHAnsi" w:hAnsiTheme="minorHAnsi"/>
                <w:sz w:val="18"/>
                <w:szCs w:val="18"/>
              </w:rPr>
            </w:pPr>
            <w:r w:rsidRPr="004B7783">
              <w:rPr>
                <w:rFonts w:asciiTheme="minorHAnsi" w:hAnsiTheme="minorHAnsi"/>
                <w:sz w:val="18"/>
                <w:szCs w:val="18"/>
              </w:rPr>
              <w:t xml:space="preserve">Consumers </w:t>
            </w:r>
            <w:r>
              <w:rPr>
                <w:rFonts w:asciiTheme="minorHAnsi" w:hAnsiTheme="minorHAnsi"/>
                <w:sz w:val="18"/>
                <w:szCs w:val="18"/>
              </w:rPr>
              <w:t>comple</w:t>
            </w:r>
            <w:r w:rsidRPr="004B7783">
              <w:rPr>
                <w:rFonts w:asciiTheme="minorHAnsi" w:hAnsiTheme="minorHAnsi"/>
                <w:sz w:val="18"/>
                <w:szCs w:val="18"/>
              </w:rPr>
              <w:t xml:space="preserve">ted </w:t>
            </w:r>
            <w:r w:rsidR="0003289F">
              <w:rPr>
                <w:rFonts w:asciiTheme="minorHAnsi" w:hAnsiTheme="minorHAnsi"/>
                <w:sz w:val="18"/>
                <w:szCs w:val="18"/>
              </w:rPr>
              <w:t>self-directed</w:t>
            </w:r>
            <w:r w:rsidR="0003289F" w:rsidRPr="005123A3">
              <w:rPr>
                <w:rFonts w:asciiTheme="minorHAnsi" w:hAnsiTheme="minorHAnsi"/>
                <w:sz w:val="18"/>
                <w:szCs w:val="18"/>
              </w:rPr>
              <w:t xml:space="preserve"> </w:t>
            </w:r>
            <w:proofErr w:type="spellStart"/>
            <w:r w:rsidRPr="004B7783">
              <w:rPr>
                <w:rFonts w:asciiTheme="minorHAnsi" w:hAnsiTheme="minorHAnsi"/>
                <w:sz w:val="18"/>
                <w:szCs w:val="18"/>
              </w:rPr>
              <w:t>treatment</w:t>
            </w:r>
            <w:r w:rsidRPr="00701F75">
              <w:rPr>
                <w:rFonts w:asciiTheme="minorHAnsi" w:hAnsiTheme="minorHAnsi"/>
                <w:sz w:val="18"/>
                <w:szCs w:val="18"/>
                <w:vertAlign w:val="superscript"/>
              </w:rPr>
              <w:t>a</w:t>
            </w:r>
            <w:proofErr w:type="spellEnd"/>
          </w:p>
        </w:tc>
        <w:tc>
          <w:tcPr>
            <w:tcW w:w="0" w:type="auto"/>
            <w:tcBorders>
              <w:top w:val="nil"/>
              <w:left w:val="nil"/>
              <w:bottom w:val="single" w:sz="4" w:space="0" w:color="auto"/>
            </w:tcBorders>
          </w:tcPr>
          <w:p w14:paraId="737764FD" w14:textId="295F9853" w:rsidR="00D976DB" w:rsidRDefault="0003289F" w:rsidP="003D1CA1">
            <w:pPr>
              <w:jc w:val="center"/>
              <w:rPr>
                <w:rFonts w:asciiTheme="minorHAnsi" w:hAnsiTheme="minorHAnsi"/>
                <w:sz w:val="18"/>
                <w:szCs w:val="18"/>
              </w:rPr>
            </w:pPr>
            <w:r w:rsidRPr="0003289F">
              <w:rPr>
                <w:rFonts w:asciiTheme="minorHAnsi" w:hAnsiTheme="minorHAnsi"/>
                <w:sz w:val="18"/>
                <w:szCs w:val="18"/>
              </w:rPr>
              <w:t>11</w:t>
            </w:r>
            <w:r>
              <w:rPr>
                <w:rFonts w:asciiTheme="minorHAnsi" w:hAnsiTheme="minorHAnsi"/>
                <w:sz w:val="18"/>
                <w:szCs w:val="18"/>
              </w:rPr>
              <w:t>,</w:t>
            </w:r>
            <w:r w:rsidRPr="0003289F">
              <w:rPr>
                <w:rFonts w:asciiTheme="minorHAnsi" w:hAnsiTheme="minorHAnsi"/>
                <w:sz w:val="18"/>
                <w:szCs w:val="18"/>
              </w:rPr>
              <w:t>558</w:t>
            </w:r>
          </w:p>
        </w:tc>
      </w:tr>
    </w:tbl>
    <w:p w14:paraId="2682785E" w14:textId="325DEC68" w:rsidR="0003289F" w:rsidRPr="009567E5" w:rsidRDefault="0003289F" w:rsidP="002029DC">
      <w:pPr>
        <w:pStyle w:val="ANorm"/>
        <w:spacing w:after="200"/>
        <w:ind w:left="1985"/>
        <w:rPr>
          <w:sz w:val="16"/>
          <w:szCs w:val="16"/>
        </w:rPr>
      </w:pPr>
      <w:proofErr w:type="spellStart"/>
      <w:r w:rsidRPr="0003289F">
        <w:rPr>
          <w:sz w:val="16"/>
          <w:szCs w:val="16"/>
          <w:vertAlign w:val="superscript"/>
        </w:rPr>
        <w:t>a</w:t>
      </w:r>
      <w:r w:rsidRPr="0003289F">
        <w:rPr>
          <w:sz w:val="16"/>
          <w:szCs w:val="16"/>
        </w:rPr>
        <w:t>Treatment</w:t>
      </w:r>
      <w:proofErr w:type="spellEnd"/>
      <w:r w:rsidRPr="0003289F">
        <w:rPr>
          <w:sz w:val="16"/>
          <w:szCs w:val="16"/>
        </w:rPr>
        <w:t xml:space="preserve"> completion</w:t>
      </w:r>
      <w:r>
        <w:rPr>
          <w:sz w:val="16"/>
          <w:szCs w:val="16"/>
        </w:rPr>
        <w:t xml:space="preserve"> defined as completing two-thirds of course lessons.</w:t>
      </w:r>
    </w:p>
    <w:p w14:paraId="24D60309" w14:textId="08A80F41" w:rsidR="003925B9" w:rsidRDefault="003925B9" w:rsidP="002029DC">
      <w:pPr>
        <w:pStyle w:val="ANorm"/>
        <w:spacing w:after="200"/>
      </w:pPr>
      <w:r w:rsidRPr="006B2F9D">
        <w:t>In addition, THIS WAY UP offers an assessment service</w:t>
      </w:r>
      <w:r w:rsidR="0065793E" w:rsidRPr="006B2F9D">
        <w:t xml:space="preserve"> </w:t>
      </w:r>
      <w:r w:rsidR="00122934" w:rsidRPr="006B2F9D">
        <w:t>involving</w:t>
      </w:r>
      <w:r w:rsidR="0065793E" w:rsidRPr="006B2F9D">
        <w:t xml:space="preserve"> </w:t>
      </w:r>
      <w:r w:rsidR="00943B14" w:rsidRPr="006B2F9D">
        <w:t>two-stage</w:t>
      </w:r>
      <w:r w:rsidR="0065793E" w:rsidRPr="006B2F9D">
        <w:t>s. The first stage</w:t>
      </w:r>
      <w:r w:rsidR="00943B14" w:rsidRPr="006B2F9D">
        <w:t xml:space="preserve"> </w:t>
      </w:r>
      <w:r w:rsidR="00371462" w:rsidRPr="006B2F9D">
        <w:t>is the</w:t>
      </w:r>
      <w:r w:rsidR="00943B14" w:rsidRPr="006B2F9D">
        <w:t xml:space="preserve"> </w:t>
      </w:r>
      <w:r w:rsidR="00371462" w:rsidRPr="006B2F9D">
        <w:t xml:space="preserve">fully automated </w:t>
      </w:r>
      <w:r w:rsidR="00943B14" w:rsidRPr="006B2F9D">
        <w:t xml:space="preserve">“Take a Test” tool that is directly available to website </w:t>
      </w:r>
      <w:r w:rsidR="00371462" w:rsidRPr="006B2F9D">
        <w:t>service</w:t>
      </w:r>
      <w:r w:rsidR="00AA5361" w:rsidRPr="006B2F9D">
        <w:t xml:space="preserve"> users</w:t>
      </w:r>
      <w:r w:rsidR="00943B14" w:rsidRPr="006B2F9D">
        <w:t xml:space="preserve">. The tool comprises validated mental health questionnaires to measure the frequency and intensity of symptoms </w:t>
      </w:r>
      <w:r w:rsidR="00170C1A" w:rsidRPr="006B2F9D">
        <w:t>of</w:t>
      </w:r>
      <w:r w:rsidR="00943B14" w:rsidRPr="006B2F9D">
        <w:t xml:space="preserve"> mental health condition</w:t>
      </w:r>
      <w:r w:rsidR="008A07F1" w:rsidRPr="006B2F9D">
        <w:t>s.</w:t>
      </w:r>
      <w:r w:rsidR="002617C5" w:rsidRPr="006B2F9D">
        <w:t xml:space="preserve"> </w:t>
      </w:r>
      <w:r w:rsidR="00943B14" w:rsidRPr="006B2F9D">
        <w:t>Take a Test users receive a summary of their results and treatment and support</w:t>
      </w:r>
      <w:r w:rsidR="005356F9" w:rsidRPr="006B2F9D">
        <w:t xml:space="preserve"> </w:t>
      </w:r>
      <w:r w:rsidR="00943B14" w:rsidRPr="006B2F9D">
        <w:t>recommendations, including THIS WAY UP programs and options for managing severe distress.</w:t>
      </w:r>
      <w:r w:rsidR="005356F9" w:rsidRPr="006B2F9D">
        <w:t xml:space="preserve"> </w:t>
      </w:r>
      <w:r w:rsidR="00943B14" w:rsidRPr="006B2F9D">
        <w:t xml:space="preserve">Users receive initial feedback after the </w:t>
      </w:r>
      <w:r w:rsidR="002F0ECA" w:rsidRPr="006B2F9D">
        <w:t xml:space="preserve">first </w:t>
      </w:r>
      <w:r w:rsidR="00943B14" w:rsidRPr="006B2F9D">
        <w:t xml:space="preserve">stage and can then choose to complete the </w:t>
      </w:r>
      <w:r w:rsidR="002F0ECA" w:rsidRPr="006B2F9D">
        <w:t xml:space="preserve">second </w:t>
      </w:r>
      <w:r w:rsidR="00943B14" w:rsidRPr="006B2F9D">
        <w:t>stage</w:t>
      </w:r>
      <w:r w:rsidR="00DE3831" w:rsidRPr="006B2F9D">
        <w:t xml:space="preserve"> </w:t>
      </w:r>
      <w:r w:rsidR="00943B14" w:rsidRPr="006B2F9D">
        <w:t>for a more personalised assessment and treatment recommendation.</w:t>
      </w:r>
      <w:r w:rsidR="00DE3831" w:rsidRPr="006B2F9D">
        <w:t xml:space="preserve"> </w:t>
      </w:r>
      <w:r w:rsidR="00943B14" w:rsidRPr="006B2F9D">
        <w:t>Thousands of people use Take a Test each month for guidance with their mental health treatment.</w:t>
      </w:r>
      <w:r w:rsidR="00DE3831" w:rsidRPr="006B2F9D">
        <w:t xml:space="preserve"> </w:t>
      </w:r>
      <w:r w:rsidR="00652D51" w:rsidRPr="006B2F9D">
        <w:t>Table 11 shows the uptake of THIS WAY UP’s assessment by stage and half year for two years from</w:t>
      </w:r>
      <w:r w:rsidR="00430011" w:rsidRPr="006B2F9D">
        <w:t xml:space="preserve"> January 2020 to December 2021. </w:t>
      </w:r>
      <w:r w:rsidR="004C77E6" w:rsidRPr="006B2F9D">
        <w:t xml:space="preserve">It shows </w:t>
      </w:r>
      <w:r w:rsidR="007D5370" w:rsidRPr="006B2F9D">
        <w:t xml:space="preserve">that </w:t>
      </w:r>
      <w:r w:rsidR="005E07B6" w:rsidRPr="006B2F9D">
        <w:t>overall</w:t>
      </w:r>
      <w:r w:rsidR="006F3446">
        <w:t>,</w:t>
      </w:r>
      <w:r w:rsidR="005E07B6" w:rsidRPr="006B2F9D">
        <w:t xml:space="preserve"> 149,000 consumers started the assessment, 83% completed Stage 1</w:t>
      </w:r>
      <w:r w:rsidR="006F0A0F" w:rsidRPr="006B2F9D">
        <w:t xml:space="preserve"> and 48% completed Stage 2.</w:t>
      </w:r>
      <w:r w:rsidR="00311354" w:rsidRPr="006B2F9D">
        <w:t xml:space="preserve"> </w:t>
      </w:r>
      <w:r w:rsidR="008B2E5D" w:rsidRPr="006B2F9D">
        <w:t>T</w:t>
      </w:r>
      <w:r w:rsidR="00311354" w:rsidRPr="006B2F9D">
        <w:t xml:space="preserve">hese </w:t>
      </w:r>
      <w:r w:rsidR="00435AF1" w:rsidRPr="006B2F9D">
        <w:t>figures are likely to be affected by COVID-19</w:t>
      </w:r>
      <w:r w:rsidR="00A35215" w:rsidRPr="006B2F9D">
        <w:t xml:space="preserve"> </w:t>
      </w:r>
      <w:r w:rsidR="00A35215" w:rsidRPr="00AD423E">
        <w:t>and are not necessarily mutually exclusive from treatment uptake figures meaning at least some of the consumers who completed assessments will have gone on to receive treatment.</w:t>
      </w:r>
    </w:p>
    <w:p w14:paraId="538B4B4A" w14:textId="77777777" w:rsidR="00510774" w:rsidRDefault="00510774">
      <w:pPr>
        <w:rPr>
          <w:rFonts w:asciiTheme="minorHAnsi" w:eastAsiaTheme="majorEastAsia" w:hAnsiTheme="minorHAnsi" w:cstheme="minorHAnsi"/>
          <w:b/>
          <w:color w:val="000000" w:themeColor="text1"/>
          <w:sz w:val="21"/>
          <w:szCs w:val="21"/>
          <w:lang w:val="en-US" w:eastAsia="en-US"/>
        </w:rPr>
      </w:pPr>
      <w:r>
        <w:br w:type="page"/>
      </w:r>
    </w:p>
    <w:p w14:paraId="01C1B2AE" w14:textId="096CA793" w:rsidR="00F451A6" w:rsidRDefault="00F451A6" w:rsidP="003D1CA1">
      <w:pPr>
        <w:pStyle w:val="tableheading"/>
      </w:pPr>
      <w:r w:rsidRPr="005C7C53">
        <w:lastRenderedPageBreak/>
        <w:t>Table 11</w:t>
      </w:r>
      <w:r w:rsidR="00BE2EE6">
        <w:t>.</w:t>
      </w:r>
      <w:r w:rsidRPr="005C7C53">
        <w:t xml:space="preserve"> Uptake of THIS WAY UP assessment</w:t>
      </w:r>
      <w:r w:rsidR="005C7C53" w:rsidRPr="005C7C53">
        <w:t xml:space="preserve"> by half year, January 2020 – December 2021</w:t>
      </w: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Caption w:val="Table 11. Uptake of THIS WAY UP assessment by half year, January 2020 – December 2021"/>
        <w:tblDescription w:val="Table describing uptake of THIS WAY UP assessment by half year from January 2020 to December 2021"/>
      </w:tblPr>
      <w:tblGrid>
        <w:gridCol w:w="1243"/>
        <w:gridCol w:w="1602"/>
        <w:gridCol w:w="1540"/>
        <w:gridCol w:w="1545"/>
        <w:gridCol w:w="1542"/>
        <w:gridCol w:w="1544"/>
      </w:tblGrid>
      <w:tr w:rsidR="004353B4" w:rsidRPr="004353B4" w14:paraId="7FC3BCBC" w14:textId="77777777" w:rsidTr="00BE14CB">
        <w:trPr>
          <w:trHeight w:val="726"/>
        </w:trPr>
        <w:tc>
          <w:tcPr>
            <w:tcW w:w="689" w:type="pct"/>
            <w:shd w:val="clear" w:color="auto" w:fill="000000" w:themeFill="text1"/>
            <w:vAlign w:val="center"/>
            <w:hideMark/>
          </w:tcPr>
          <w:p w14:paraId="6BEACD06" w14:textId="5C55E554" w:rsidR="004A37BB" w:rsidRPr="004353B4" w:rsidRDefault="004A37BB" w:rsidP="003D1CA1">
            <w:pPr>
              <w:jc w:val="center"/>
              <w:rPr>
                <w:rFonts w:ascii="Calibri" w:hAnsi="Calibri" w:cs="Calibri"/>
                <w:color w:val="FFFFFF" w:themeColor="background1"/>
                <w:sz w:val="18"/>
                <w:szCs w:val="18"/>
              </w:rPr>
            </w:pPr>
            <w:r w:rsidRPr="004353B4">
              <w:rPr>
                <w:rFonts w:ascii="Calibri" w:hAnsi="Calibri" w:cs="Calibri"/>
                <w:color w:val="FFFFFF" w:themeColor="background1"/>
                <w:sz w:val="18"/>
                <w:szCs w:val="18"/>
              </w:rPr>
              <w:t>Half year</w:t>
            </w:r>
          </w:p>
        </w:tc>
        <w:tc>
          <w:tcPr>
            <w:tcW w:w="888" w:type="pct"/>
            <w:shd w:val="clear" w:color="auto" w:fill="000000" w:themeFill="text1"/>
            <w:vAlign w:val="center"/>
            <w:hideMark/>
          </w:tcPr>
          <w:p w14:paraId="29C84396" w14:textId="6EFADB3F" w:rsidR="004A37BB" w:rsidRPr="004353B4" w:rsidRDefault="004A37BB" w:rsidP="003D1CA1">
            <w:pPr>
              <w:jc w:val="center"/>
              <w:rPr>
                <w:rFonts w:ascii="Calibri" w:hAnsi="Calibri" w:cs="Calibri"/>
                <w:color w:val="FFFFFF" w:themeColor="background1"/>
                <w:sz w:val="18"/>
                <w:szCs w:val="18"/>
              </w:rPr>
            </w:pPr>
            <w:r w:rsidRPr="004353B4">
              <w:rPr>
                <w:rFonts w:ascii="Calibri" w:hAnsi="Calibri" w:cs="Calibri"/>
                <w:color w:val="FFFFFF" w:themeColor="background1"/>
                <w:sz w:val="18"/>
                <w:szCs w:val="18"/>
              </w:rPr>
              <w:t xml:space="preserve">N started "Take-a-Test" </w:t>
            </w:r>
            <w:proofErr w:type="spellStart"/>
            <w:r w:rsidRPr="004353B4">
              <w:rPr>
                <w:rFonts w:ascii="Calibri" w:hAnsi="Calibri" w:cs="Calibri"/>
                <w:color w:val="FFFFFF" w:themeColor="background1"/>
                <w:sz w:val="18"/>
                <w:szCs w:val="18"/>
              </w:rPr>
              <w:t>assessment</w:t>
            </w:r>
            <w:r w:rsidR="00A91C0A" w:rsidRPr="00A91C0A">
              <w:rPr>
                <w:rFonts w:ascii="Calibri" w:hAnsi="Calibri" w:cs="Calibri"/>
                <w:color w:val="FFFFFF" w:themeColor="background1"/>
                <w:sz w:val="18"/>
                <w:szCs w:val="18"/>
                <w:vertAlign w:val="superscript"/>
              </w:rPr>
              <w:t>a</w:t>
            </w:r>
            <w:proofErr w:type="spellEnd"/>
          </w:p>
        </w:tc>
        <w:tc>
          <w:tcPr>
            <w:tcW w:w="854" w:type="pct"/>
            <w:shd w:val="clear" w:color="auto" w:fill="000000" w:themeFill="text1"/>
            <w:vAlign w:val="center"/>
            <w:hideMark/>
          </w:tcPr>
          <w:p w14:paraId="02D59442" w14:textId="5DE2EBE9" w:rsidR="004A37BB" w:rsidRPr="004353B4" w:rsidRDefault="00311354" w:rsidP="003D1CA1">
            <w:pPr>
              <w:jc w:val="center"/>
              <w:rPr>
                <w:rFonts w:ascii="Calibri" w:hAnsi="Calibri" w:cs="Calibri"/>
                <w:color w:val="FFFFFF" w:themeColor="background1"/>
                <w:sz w:val="18"/>
                <w:szCs w:val="18"/>
              </w:rPr>
            </w:pPr>
            <w:r>
              <w:rPr>
                <w:rFonts w:ascii="Calibri" w:hAnsi="Calibri" w:cs="Calibri"/>
                <w:color w:val="FFFFFF" w:themeColor="background1"/>
                <w:sz w:val="18"/>
                <w:szCs w:val="18"/>
              </w:rPr>
              <w:t>n</w:t>
            </w:r>
            <w:r w:rsidR="004A37BB" w:rsidRPr="004353B4">
              <w:rPr>
                <w:rFonts w:ascii="Calibri" w:hAnsi="Calibri" w:cs="Calibri"/>
                <w:color w:val="FFFFFF" w:themeColor="background1"/>
                <w:sz w:val="18"/>
                <w:szCs w:val="18"/>
              </w:rPr>
              <w:t xml:space="preserve"> completed </w:t>
            </w:r>
            <w:r>
              <w:rPr>
                <w:rFonts w:ascii="Calibri" w:hAnsi="Calibri" w:cs="Calibri"/>
                <w:color w:val="FFFFFF" w:themeColor="background1"/>
                <w:sz w:val="18"/>
                <w:szCs w:val="18"/>
              </w:rPr>
              <w:t>S</w:t>
            </w:r>
            <w:r w:rsidR="004A37BB" w:rsidRPr="004353B4">
              <w:rPr>
                <w:rFonts w:ascii="Calibri" w:hAnsi="Calibri" w:cs="Calibri"/>
                <w:color w:val="FFFFFF" w:themeColor="background1"/>
                <w:sz w:val="18"/>
                <w:szCs w:val="18"/>
              </w:rPr>
              <w:t xml:space="preserve">tage 1 </w:t>
            </w:r>
          </w:p>
        </w:tc>
        <w:tc>
          <w:tcPr>
            <w:tcW w:w="857" w:type="pct"/>
            <w:shd w:val="clear" w:color="auto" w:fill="000000" w:themeFill="text1"/>
            <w:vAlign w:val="center"/>
            <w:hideMark/>
          </w:tcPr>
          <w:p w14:paraId="56A55562" w14:textId="32823885" w:rsidR="004A37BB" w:rsidRPr="004353B4" w:rsidRDefault="004A37BB" w:rsidP="003D1CA1">
            <w:pPr>
              <w:jc w:val="center"/>
              <w:rPr>
                <w:rFonts w:ascii="Calibri" w:hAnsi="Calibri" w:cs="Calibri"/>
                <w:color w:val="FFFFFF" w:themeColor="background1"/>
                <w:sz w:val="18"/>
                <w:szCs w:val="18"/>
              </w:rPr>
            </w:pPr>
            <w:r w:rsidRPr="004353B4">
              <w:rPr>
                <w:rFonts w:ascii="Calibri" w:hAnsi="Calibri" w:cs="Calibri"/>
                <w:color w:val="FFFFFF" w:themeColor="background1"/>
                <w:sz w:val="18"/>
                <w:szCs w:val="18"/>
              </w:rPr>
              <w:t xml:space="preserve">% </w:t>
            </w:r>
            <w:proofErr w:type="gramStart"/>
            <w:r w:rsidRPr="004353B4">
              <w:rPr>
                <w:rFonts w:ascii="Calibri" w:hAnsi="Calibri" w:cs="Calibri"/>
                <w:color w:val="FFFFFF" w:themeColor="background1"/>
                <w:sz w:val="18"/>
                <w:szCs w:val="18"/>
              </w:rPr>
              <w:t>completed</w:t>
            </w:r>
            <w:proofErr w:type="gramEnd"/>
            <w:r w:rsidRPr="004353B4">
              <w:rPr>
                <w:rFonts w:ascii="Calibri" w:hAnsi="Calibri" w:cs="Calibri"/>
                <w:color w:val="FFFFFF" w:themeColor="background1"/>
                <w:sz w:val="18"/>
                <w:szCs w:val="18"/>
              </w:rPr>
              <w:t xml:space="preserve"> </w:t>
            </w:r>
            <w:r w:rsidR="00311354">
              <w:rPr>
                <w:rFonts w:ascii="Calibri" w:hAnsi="Calibri" w:cs="Calibri"/>
                <w:color w:val="FFFFFF" w:themeColor="background1"/>
                <w:sz w:val="18"/>
                <w:szCs w:val="18"/>
              </w:rPr>
              <w:t>S</w:t>
            </w:r>
            <w:r w:rsidRPr="004353B4">
              <w:rPr>
                <w:rFonts w:ascii="Calibri" w:hAnsi="Calibri" w:cs="Calibri"/>
                <w:color w:val="FFFFFF" w:themeColor="background1"/>
                <w:sz w:val="18"/>
                <w:szCs w:val="18"/>
              </w:rPr>
              <w:t xml:space="preserve">tage 1 </w:t>
            </w:r>
          </w:p>
        </w:tc>
        <w:tc>
          <w:tcPr>
            <w:tcW w:w="855" w:type="pct"/>
            <w:shd w:val="clear" w:color="auto" w:fill="000000" w:themeFill="text1"/>
            <w:vAlign w:val="center"/>
            <w:hideMark/>
          </w:tcPr>
          <w:p w14:paraId="1FC96D4B" w14:textId="72510B8F" w:rsidR="004A37BB" w:rsidRPr="004353B4" w:rsidRDefault="00311354" w:rsidP="003D1CA1">
            <w:pPr>
              <w:jc w:val="center"/>
              <w:rPr>
                <w:rFonts w:ascii="Calibri" w:hAnsi="Calibri" w:cs="Calibri"/>
                <w:color w:val="FFFFFF" w:themeColor="background1"/>
                <w:sz w:val="18"/>
                <w:szCs w:val="18"/>
              </w:rPr>
            </w:pPr>
            <w:r>
              <w:rPr>
                <w:rFonts w:ascii="Calibri" w:hAnsi="Calibri" w:cs="Calibri"/>
                <w:color w:val="FFFFFF" w:themeColor="background1"/>
                <w:sz w:val="18"/>
                <w:szCs w:val="18"/>
              </w:rPr>
              <w:t>n</w:t>
            </w:r>
            <w:r w:rsidR="004A37BB" w:rsidRPr="004353B4">
              <w:rPr>
                <w:rFonts w:ascii="Calibri" w:hAnsi="Calibri" w:cs="Calibri"/>
                <w:color w:val="FFFFFF" w:themeColor="background1"/>
                <w:sz w:val="18"/>
                <w:szCs w:val="18"/>
              </w:rPr>
              <w:t xml:space="preserve"> completed </w:t>
            </w:r>
            <w:r>
              <w:rPr>
                <w:rFonts w:ascii="Calibri" w:hAnsi="Calibri" w:cs="Calibri"/>
                <w:color w:val="FFFFFF" w:themeColor="background1"/>
                <w:sz w:val="18"/>
                <w:szCs w:val="18"/>
              </w:rPr>
              <w:t>S</w:t>
            </w:r>
            <w:r w:rsidR="004A37BB" w:rsidRPr="004353B4">
              <w:rPr>
                <w:rFonts w:ascii="Calibri" w:hAnsi="Calibri" w:cs="Calibri"/>
                <w:color w:val="FFFFFF" w:themeColor="background1"/>
                <w:sz w:val="18"/>
                <w:szCs w:val="18"/>
              </w:rPr>
              <w:t xml:space="preserve">tage 2 </w:t>
            </w:r>
          </w:p>
        </w:tc>
        <w:tc>
          <w:tcPr>
            <w:tcW w:w="856" w:type="pct"/>
            <w:shd w:val="clear" w:color="auto" w:fill="000000" w:themeFill="text1"/>
            <w:vAlign w:val="center"/>
            <w:hideMark/>
          </w:tcPr>
          <w:p w14:paraId="0D7294D1" w14:textId="1AF3A6E9" w:rsidR="004A37BB" w:rsidRPr="004353B4" w:rsidRDefault="004A37BB" w:rsidP="003D1CA1">
            <w:pPr>
              <w:jc w:val="center"/>
              <w:rPr>
                <w:rFonts w:ascii="Calibri" w:hAnsi="Calibri" w:cs="Calibri"/>
                <w:color w:val="FFFFFF" w:themeColor="background1"/>
                <w:sz w:val="18"/>
                <w:szCs w:val="18"/>
              </w:rPr>
            </w:pPr>
            <w:r w:rsidRPr="004353B4">
              <w:rPr>
                <w:rFonts w:ascii="Calibri" w:hAnsi="Calibri" w:cs="Calibri"/>
                <w:color w:val="FFFFFF" w:themeColor="background1"/>
                <w:sz w:val="18"/>
                <w:szCs w:val="18"/>
              </w:rPr>
              <w:t xml:space="preserve">% </w:t>
            </w:r>
            <w:proofErr w:type="gramStart"/>
            <w:r w:rsidRPr="004353B4">
              <w:rPr>
                <w:rFonts w:ascii="Calibri" w:hAnsi="Calibri" w:cs="Calibri"/>
                <w:color w:val="FFFFFF" w:themeColor="background1"/>
                <w:sz w:val="18"/>
                <w:szCs w:val="18"/>
              </w:rPr>
              <w:t>completed</w:t>
            </w:r>
            <w:proofErr w:type="gramEnd"/>
            <w:r w:rsidRPr="004353B4">
              <w:rPr>
                <w:rFonts w:ascii="Calibri" w:hAnsi="Calibri" w:cs="Calibri"/>
                <w:color w:val="FFFFFF" w:themeColor="background1"/>
                <w:sz w:val="18"/>
                <w:szCs w:val="18"/>
              </w:rPr>
              <w:t xml:space="preserve"> </w:t>
            </w:r>
            <w:r w:rsidR="00311354">
              <w:rPr>
                <w:rFonts w:ascii="Calibri" w:hAnsi="Calibri" w:cs="Calibri"/>
                <w:color w:val="FFFFFF" w:themeColor="background1"/>
                <w:sz w:val="18"/>
                <w:szCs w:val="18"/>
              </w:rPr>
              <w:t>S</w:t>
            </w:r>
            <w:r w:rsidRPr="004353B4">
              <w:rPr>
                <w:rFonts w:ascii="Calibri" w:hAnsi="Calibri" w:cs="Calibri"/>
                <w:color w:val="FFFFFF" w:themeColor="background1"/>
                <w:sz w:val="18"/>
                <w:szCs w:val="18"/>
              </w:rPr>
              <w:t xml:space="preserve">tage 2 </w:t>
            </w:r>
          </w:p>
        </w:tc>
      </w:tr>
      <w:tr w:rsidR="004A37BB" w:rsidRPr="001B5DEC" w14:paraId="60F7B2B9" w14:textId="77777777" w:rsidTr="008E6669">
        <w:trPr>
          <w:trHeight w:val="283"/>
        </w:trPr>
        <w:tc>
          <w:tcPr>
            <w:tcW w:w="689" w:type="pct"/>
            <w:shd w:val="clear" w:color="auto" w:fill="auto"/>
            <w:noWrap/>
            <w:vAlign w:val="center"/>
            <w:hideMark/>
          </w:tcPr>
          <w:p w14:paraId="2C9BD24D" w14:textId="2E8BF90E" w:rsidR="004A37BB" w:rsidRPr="001B5DEC" w:rsidRDefault="004A37BB" w:rsidP="003D1CA1">
            <w:pPr>
              <w:jc w:val="center"/>
              <w:rPr>
                <w:rFonts w:ascii="Calibri" w:hAnsi="Calibri" w:cs="Calibri"/>
                <w:color w:val="000000"/>
                <w:sz w:val="18"/>
                <w:szCs w:val="18"/>
              </w:rPr>
            </w:pPr>
            <w:r w:rsidRPr="001B5DEC">
              <w:rPr>
                <w:rFonts w:ascii="Calibri" w:hAnsi="Calibri" w:cs="Calibri"/>
                <w:color w:val="000000"/>
                <w:sz w:val="18"/>
                <w:szCs w:val="18"/>
              </w:rPr>
              <w:t>Jan-Jun</w:t>
            </w:r>
            <w:r>
              <w:rPr>
                <w:rFonts w:ascii="Calibri" w:hAnsi="Calibri" w:cs="Calibri"/>
                <w:color w:val="000000"/>
                <w:sz w:val="18"/>
                <w:szCs w:val="18"/>
              </w:rPr>
              <w:t xml:space="preserve"> 2020</w:t>
            </w:r>
          </w:p>
        </w:tc>
        <w:tc>
          <w:tcPr>
            <w:tcW w:w="888" w:type="pct"/>
            <w:shd w:val="clear" w:color="auto" w:fill="auto"/>
            <w:noWrap/>
            <w:vAlign w:val="center"/>
            <w:hideMark/>
          </w:tcPr>
          <w:p w14:paraId="70DF9036" w14:textId="4F4A478C" w:rsidR="004A37BB" w:rsidRPr="001B5DEC" w:rsidRDefault="004A37BB" w:rsidP="003D1CA1">
            <w:pPr>
              <w:jc w:val="center"/>
              <w:rPr>
                <w:rFonts w:ascii="Calibri" w:hAnsi="Calibri" w:cs="Calibri"/>
                <w:color w:val="000000"/>
                <w:sz w:val="18"/>
                <w:szCs w:val="18"/>
              </w:rPr>
            </w:pPr>
            <w:r w:rsidRPr="001B5DEC">
              <w:rPr>
                <w:rFonts w:ascii="Calibri" w:hAnsi="Calibri" w:cs="Calibri"/>
                <w:color w:val="000000"/>
                <w:sz w:val="18"/>
                <w:szCs w:val="18"/>
              </w:rPr>
              <w:t>51</w:t>
            </w:r>
            <w:r w:rsidR="005E4095">
              <w:rPr>
                <w:rFonts w:ascii="Calibri" w:hAnsi="Calibri" w:cs="Calibri"/>
                <w:color w:val="000000"/>
                <w:sz w:val="18"/>
                <w:szCs w:val="18"/>
              </w:rPr>
              <w:t>,</w:t>
            </w:r>
            <w:r w:rsidRPr="001B5DEC">
              <w:rPr>
                <w:rFonts w:ascii="Calibri" w:hAnsi="Calibri" w:cs="Calibri"/>
                <w:color w:val="000000"/>
                <w:sz w:val="18"/>
                <w:szCs w:val="18"/>
              </w:rPr>
              <w:t>157</w:t>
            </w:r>
          </w:p>
        </w:tc>
        <w:tc>
          <w:tcPr>
            <w:tcW w:w="854" w:type="pct"/>
            <w:shd w:val="clear" w:color="auto" w:fill="auto"/>
            <w:noWrap/>
            <w:vAlign w:val="center"/>
            <w:hideMark/>
          </w:tcPr>
          <w:p w14:paraId="4BAC6951" w14:textId="6409FB92" w:rsidR="004A37BB" w:rsidRPr="001B5DEC" w:rsidRDefault="004A37BB" w:rsidP="003D1CA1">
            <w:pPr>
              <w:jc w:val="center"/>
              <w:rPr>
                <w:rFonts w:ascii="Calibri" w:hAnsi="Calibri" w:cs="Calibri"/>
                <w:color w:val="000000"/>
                <w:sz w:val="18"/>
                <w:szCs w:val="18"/>
              </w:rPr>
            </w:pPr>
            <w:r w:rsidRPr="001B5DEC">
              <w:rPr>
                <w:rFonts w:ascii="Calibri" w:hAnsi="Calibri" w:cs="Calibri"/>
                <w:color w:val="000000"/>
                <w:sz w:val="18"/>
                <w:szCs w:val="18"/>
              </w:rPr>
              <w:t>48</w:t>
            </w:r>
            <w:r w:rsidR="00051D9A">
              <w:rPr>
                <w:rFonts w:ascii="Calibri" w:hAnsi="Calibri" w:cs="Calibri"/>
                <w:color w:val="000000"/>
                <w:sz w:val="18"/>
                <w:szCs w:val="18"/>
              </w:rPr>
              <w:t>,</w:t>
            </w:r>
            <w:r w:rsidRPr="001B5DEC">
              <w:rPr>
                <w:rFonts w:ascii="Calibri" w:hAnsi="Calibri" w:cs="Calibri"/>
                <w:color w:val="000000"/>
                <w:sz w:val="18"/>
                <w:szCs w:val="18"/>
              </w:rPr>
              <w:t>675</w:t>
            </w:r>
          </w:p>
        </w:tc>
        <w:tc>
          <w:tcPr>
            <w:tcW w:w="857" w:type="pct"/>
            <w:shd w:val="clear" w:color="auto" w:fill="auto"/>
            <w:noWrap/>
            <w:vAlign w:val="center"/>
            <w:hideMark/>
          </w:tcPr>
          <w:p w14:paraId="30513273" w14:textId="0A988080" w:rsidR="004A37BB" w:rsidRPr="001B5DEC" w:rsidRDefault="004A37BB" w:rsidP="003D1CA1">
            <w:pPr>
              <w:jc w:val="center"/>
              <w:rPr>
                <w:rFonts w:ascii="Calibri" w:hAnsi="Calibri" w:cs="Calibri"/>
                <w:color w:val="000000"/>
                <w:sz w:val="18"/>
                <w:szCs w:val="18"/>
              </w:rPr>
            </w:pPr>
            <w:r w:rsidRPr="001B5DEC">
              <w:rPr>
                <w:rFonts w:ascii="Calibri" w:hAnsi="Calibri" w:cs="Calibri"/>
                <w:color w:val="000000"/>
                <w:sz w:val="18"/>
                <w:szCs w:val="18"/>
              </w:rPr>
              <w:t>95</w:t>
            </w:r>
          </w:p>
        </w:tc>
        <w:tc>
          <w:tcPr>
            <w:tcW w:w="855" w:type="pct"/>
            <w:shd w:val="clear" w:color="auto" w:fill="auto"/>
            <w:noWrap/>
            <w:vAlign w:val="center"/>
            <w:hideMark/>
          </w:tcPr>
          <w:p w14:paraId="36094071" w14:textId="6A6E580D" w:rsidR="004A37BB" w:rsidRPr="001B5DEC" w:rsidRDefault="004A37BB" w:rsidP="003D1CA1">
            <w:pPr>
              <w:jc w:val="center"/>
              <w:rPr>
                <w:rFonts w:ascii="Calibri" w:hAnsi="Calibri" w:cs="Calibri"/>
                <w:color w:val="000000"/>
                <w:sz w:val="18"/>
                <w:szCs w:val="18"/>
              </w:rPr>
            </w:pPr>
            <w:r w:rsidRPr="001B5DEC">
              <w:rPr>
                <w:rFonts w:ascii="Calibri" w:hAnsi="Calibri" w:cs="Calibri"/>
                <w:color w:val="000000"/>
                <w:sz w:val="18"/>
                <w:szCs w:val="18"/>
              </w:rPr>
              <w:t>24</w:t>
            </w:r>
            <w:r w:rsidR="00051D9A">
              <w:rPr>
                <w:rFonts w:ascii="Calibri" w:hAnsi="Calibri" w:cs="Calibri"/>
                <w:color w:val="000000"/>
                <w:sz w:val="18"/>
                <w:szCs w:val="18"/>
              </w:rPr>
              <w:t>,</w:t>
            </w:r>
            <w:r w:rsidRPr="001B5DEC">
              <w:rPr>
                <w:rFonts w:ascii="Calibri" w:hAnsi="Calibri" w:cs="Calibri"/>
                <w:color w:val="000000"/>
                <w:sz w:val="18"/>
                <w:szCs w:val="18"/>
              </w:rPr>
              <w:t>174</w:t>
            </w:r>
          </w:p>
        </w:tc>
        <w:tc>
          <w:tcPr>
            <w:tcW w:w="856" w:type="pct"/>
            <w:shd w:val="clear" w:color="auto" w:fill="auto"/>
            <w:noWrap/>
            <w:vAlign w:val="center"/>
            <w:hideMark/>
          </w:tcPr>
          <w:p w14:paraId="1BFA00A6" w14:textId="68700631" w:rsidR="004A37BB" w:rsidRPr="001B5DEC" w:rsidRDefault="004A37BB" w:rsidP="003D1CA1">
            <w:pPr>
              <w:jc w:val="center"/>
              <w:rPr>
                <w:rFonts w:ascii="Calibri" w:hAnsi="Calibri" w:cs="Calibri"/>
                <w:color w:val="000000"/>
                <w:sz w:val="18"/>
                <w:szCs w:val="18"/>
              </w:rPr>
            </w:pPr>
            <w:r w:rsidRPr="001B5DEC">
              <w:rPr>
                <w:rFonts w:ascii="Calibri" w:hAnsi="Calibri" w:cs="Calibri"/>
                <w:color w:val="000000"/>
                <w:sz w:val="18"/>
                <w:szCs w:val="18"/>
              </w:rPr>
              <w:t>47</w:t>
            </w:r>
          </w:p>
        </w:tc>
      </w:tr>
      <w:tr w:rsidR="004A37BB" w:rsidRPr="001B5DEC" w14:paraId="34DBEF73" w14:textId="77777777" w:rsidTr="008E6669">
        <w:trPr>
          <w:trHeight w:val="283"/>
        </w:trPr>
        <w:tc>
          <w:tcPr>
            <w:tcW w:w="689" w:type="pct"/>
            <w:shd w:val="clear" w:color="auto" w:fill="auto"/>
            <w:noWrap/>
            <w:vAlign w:val="center"/>
            <w:hideMark/>
          </w:tcPr>
          <w:p w14:paraId="522311C0" w14:textId="77E6D6B2" w:rsidR="004A37BB" w:rsidRPr="001B5DEC" w:rsidRDefault="004A37BB" w:rsidP="003D1CA1">
            <w:pPr>
              <w:jc w:val="center"/>
              <w:rPr>
                <w:rFonts w:ascii="Calibri" w:hAnsi="Calibri" w:cs="Calibri"/>
                <w:color w:val="000000"/>
                <w:sz w:val="18"/>
                <w:szCs w:val="18"/>
              </w:rPr>
            </w:pPr>
            <w:r w:rsidRPr="001B5DEC">
              <w:rPr>
                <w:rFonts w:ascii="Calibri" w:hAnsi="Calibri" w:cs="Calibri"/>
                <w:color w:val="000000"/>
                <w:sz w:val="18"/>
                <w:szCs w:val="18"/>
              </w:rPr>
              <w:t>Jul-Dec</w:t>
            </w:r>
            <w:r>
              <w:rPr>
                <w:rFonts w:ascii="Calibri" w:hAnsi="Calibri" w:cs="Calibri"/>
                <w:color w:val="000000"/>
                <w:sz w:val="18"/>
                <w:szCs w:val="18"/>
              </w:rPr>
              <w:t xml:space="preserve"> 2020</w:t>
            </w:r>
          </w:p>
        </w:tc>
        <w:tc>
          <w:tcPr>
            <w:tcW w:w="888" w:type="pct"/>
            <w:shd w:val="clear" w:color="auto" w:fill="auto"/>
            <w:noWrap/>
            <w:vAlign w:val="center"/>
            <w:hideMark/>
          </w:tcPr>
          <w:p w14:paraId="266CC240" w14:textId="4A8E23B3" w:rsidR="004A37BB" w:rsidRPr="001B5DEC" w:rsidRDefault="004A37BB" w:rsidP="003D1CA1">
            <w:pPr>
              <w:jc w:val="center"/>
              <w:rPr>
                <w:rFonts w:ascii="Calibri" w:hAnsi="Calibri" w:cs="Calibri"/>
                <w:color w:val="000000"/>
                <w:sz w:val="18"/>
                <w:szCs w:val="18"/>
              </w:rPr>
            </w:pPr>
            <w:r w:rsidRPr="001B5DEC">
              <w:rPr>
                <w:rFonts w:ascii="Calibri" w:hAnsi="Calibri" w:cs="Calibri"/>
                <w:color w:val="000000"/>
                <w:sz w:val="18"/>
                <w:szCs w:val="18"/>
              </w:rPr>
              <w:t>28</w:t>
            </w:r>
            <w:r w:rsidR="00051D9A">
              <w:rPr>
                <w:rFonts w:ascii="Calibri" w:hAnsi="Calibri" w:cs="Calibri"/>
                <w:color w:val="000000"/>
                <w:sz w:val="18"/>
                <w:szCs w:val="18"/>
              </w:rPr>
              <w:t>,</w:t>
            </w:r>
            <w:r w:rsidRPr="001B5DEC">
              <w:rPr>
                <w:rFonts w:ascii="Calibri" w:hAnsi="Calibri" w:cs="Calibri"/>
                <w:color w:val="000000"/>
                <w:sz w:val="18"/>
                <w:szCs w:val="18"/>
              </w:rPr>
              <w:t>820</w:t>
            </w:r>
          </w:p>
        </w:tc>
        <w:tc>
          <w:tcPr>
            <w:tcW w:w="854" w:type="pct"/>
            <w:shd w:val="clear" w:color="auto" w:fill="auto"/>
            <w:noWrap/>
            <w:vAlign w:val="center"/>
            <w:hideMark/>
          </w:tcPr>
          <w:p w14:paraId="3564E060" w14:textId="6E0502C0" w:rsidR="004A37BB" w:rsidRPr="001B5DEC" w:rsidRDefault="004A37BB" w:rsidP="003D1CA1">
            <w:pPr>
              <w:jc w:val="center"/>
              <w:rPr>
                <w:rFonts w:ascii="Calibri" w:hAnsi="Calibri" w:cs="Calibri"/>
                <w:color w:val="000000"/>
                <w:sz w:val="18"/>
                <w:szCs w:val="18"/>
              </w:rPr>
            </w:pPr>
            <w:r w:rsidRPr="001B5DEC">
              <w:rPr>
                <w:rFonts w:ascii="Calibri" w:hAnsi="Calibri" w:cs="Calibri"/>
                <w:color w:val="000000"/>
                <w:sz w:val="18"/>
                <w:szCs w:val="18"/>
              </w:rPr>
              <w:t>28</w:t>
            </w:r>
            <w:r w:rsidR="00051D9A">
              <w:rPr>
                <w:rFonts w:ascii="Calibri" w:hAnsi="Calibri" w:cs="Calibri"/>
                <w:color w:val="000000"/>
                <w:sz w:val="18"/>
                <w:szCs w:val="18"/>
              </w:rPr>
              <w:t>,</w:t>
            </w:r>
            <w:r w:rsidRPr="001B5DEC">
              <w:rPr>
                <w:rFonts w:ascii="Calibri" w:hAnsi="Calibri" w:cs="Calibri"/>
                <w:color w:val="000000"/>
                <w:sz w:val="18"/>
                <w:szCs w:val="18"/>
              </w:rPr>
              <w:t>201</w:t>
            </w:r>
          </w:p>
        </w:tc>
        <w:tc>
          <w:tcPr>
            <w:tcW w:w="857" w:type="pct"/>
            <w:shd w:val="clear" w:color="auto" w:fill="auto"/>
            <w:noWrap/>
            <w:vAlign w:val="center"/>
            <w:hideMark/>
          </w:tcPr>
          <w:p w14:paraId="7A009585" w14:textId="17865E9B" w:rsidR="004A37BB" w:rsidRPr="001B5DEC" w:rsidRDefault="004A37BB" w:rsidP="003D1CA1">
            <w:pPr>
              <w:jc w:val="center"/>
              <w:rPr>
                <w:rFonts w:ascii="Calibri" w:hAnsi="Calibri" w:cs="Calibri"/>
                <w:color w:val="000000"/>
                <w:sz w:val="18"/>
                <w:szCs w:val="18"/>
              </w:rPr>
            </w:pPr>
            <w:r w:rsidRPr="001B5DEC">
              <w:rPr>
                <w:rFonts w:ascii="Calibri" w:hAnsi="Calibri" w:cs="Calibri"/>
                <w:color w:val="000000"/>
                <w:sz w:val="18"/>
                <w:szCs w:val="18"/>
              </w:rPr>
              <w:t>98</w:t>
            </w:r>
          </w:p>
        </w:tc>
        <w:tc>
          <w:tcPr>
            <w:tcW w:w="855" w:type="pct"/>
            <w:shd w:val="clear" w:color="auto" w:fill="auto"/>
            <w:noWrap/>
            <w:vAlign w:val="center"/>
            <w:hideMark/>
          </w:tcPr>
          <w:p w14:paraId="0374F692" w14:textId="2634E8AE" w:rsidR="004A37BB" w:rsidRPr="001B5DEC" w:rsidRDefault="004A37BB" w:rsidP="003D1CA1">
            <w:pPr>
              <w:jc w:val="center"/>
              <w:rPr>
                <w:rFonts w:ascii="Calibri" w:hAnsi="Calibri" w:cs="Calibri"/>
                <w:color w:val="000000"/>
                <w:sz w:val="18"/>
                <w:szCs w:val="18"/>
              </w:rPr>
            </w:pPr>
            <w:r w:rsidRPr="001B5DEC">
              <w:rPr>
                <w:rFonts w:ascii="Calibri" w:hAnsi="Calibri" w:cs="Calibri"/>
                <w:color w:val="000000"/>
                <w:sz w:val="18"/>
                <w:szCs w:val="18"/>
              </w:rPr>
              <w:t>13</w:t>
            </w:r>
            <w:r w:rsidR="00051D9A">
              <w:rPr>
                <w:rFonts w:ascii="Calibri" w:hAnsi="Calibri" w:cs="Calibri"/>
                <w:color w:val="000000"/>
                <w:sz w:val="18"/>
                <w:szCs w:val="18"/>
              </w:rPr>
              <w:t>,</w:t>
            </w:r>
            <w:r w:rsidRPr="001B5DEC">
              <w:rPr>
                <w:rFonts w:ascii="Calibri" w:hAnsi="Calibri" w:cs="Calibri"/>
                <w:color w:val="000000"/>
                <w:sz w:val="18"/>
                <w:szCs w:val="18"/>
              </w:rPr>
              <w:t>808</w:t>
            </w:r>
          </w:p>
        </w:tc>
        <w:tc>
          <w:tcPr>
            <w:tcW w:w="856" w:type="pct"/>
            <w:shd w:val="clear" w:color="auto" w:fill="auto"/>
            <w:noWrap/>
            <w:vAlign w:val="center"/>
            <w:hideMark/>
          </w:tcPr>
          <w:p w14:paraId="3923FE34" w14:textId="2CAA7EA9" w:rsidR="004A37BB" w:rsidRPr="001B5DEC" w:rsidRDefault="004A37BB" w:rsidP="003D1CA1">
            <w:pPr>
              <w:jc w:val="center"/>
              <w:rPr>
                <w:rFonts w:ascii="Calibri" w:hAnsi="Calibri" w:cs="Calibri"/>
                <w:color w:val="000000"/>
                <w:sz w:val="18"/>
                <w:szCs w:val="18"/>
              </w:rPr>
            </w:pPr>
            <w:r w:rsidRPr="001B5DEC">
              <w:rPr>
                <w:rFonts w:ascii="Calibri" w:hAnsi="Calibri" w:cs="Calibri"/>
                <w:color w:val="000000"/>
                <w:sz w:val="18"/>
                <w:szCs w:val="18"/>
              </w:rPr>
              <w:t>48</w:t>
            </w:r>
          </w:p>
        </w:tc>
      </w:tr>
      <w:tr w:rsidR="004A37BB" w:rsidRPr="001B5DEC" w14:paraId="7946B94A" w14:textId="77777777" w:rsidTr="008E6669">
        <w:trPr>
          <w:trHeight w:val="283"/>
        </w:trPr>
        <w:tc>
          <w:tcPr>
            <w:tcW w:w="689" w:type="pct"/>
            <w:shd w:val="clear" w:color="auto" w:fill="auto"/>
            <w:noWrap/>
            <w:vAlign w:val="center"/>
            <w:hideMark/>
          </w:tcPr>
          <w:p w14:paraId="1EA4F7D0" w14:textId="7C537999" w:rsidR="004A37BB" w:rsidRPr="001B5DEC" w:rsidRDefault="004A37BB" w:rsidP="003D1CA1">
            <w:pPr>
              <w:jc w:val="center"/>
              <w:rPr>
                <w:rFonts w:ascii="Calibri" w:hAnsi="Calibri" w:cs="Calibri"/>
                <w:color w:val="000000"/>
                <w:sz w:val="18"/>
                <w:szCs w:val="18"/>
              </w:rPr>
            </w:pPr>
            <w:r w:rsidRPr="001B5DEC">
              <w:rPr>
                <w:rFonts w:ascii="Calibri" w:hAnsi="Calibri" w:cs="Calibri"/>
                <w:color w:val="000000"/>
                <w:sz w:val="18"/>
                <w:szCs w:val="18"/>
              </w:rPr>
              <w:t>Jan-Jun</w:t>
            </w:r>
            <w:r>
              <w:rPr>
                <w:rFonts w:ascii="Calibri" w:hAnsi="Calibri" w:cs="Calibri"/>
                <w:color w:val="000000"/>
                <w:sz w:val="18"/>
                <w:szCs w:val="18"/>
              </w:rPr>
              <w:t xml:space="preserve"> 2021</w:t>
            </w:r>
          </w:p>
        </w:tc>
        <w:tc>
          <w:tcPr>
            <w:tcW w:w="888" w:type="pct"/>
            <w:shd w:val="clear" w:color="auto" w:fill="auto"/>
            <w:noWrap/>
            <w:vAlign w:val="center"/>
            <w:hideMark/>
          </w:tcPr>
          <w:p w14:paraId="39C3A607" w14:textId="49FC6B22" w:rsidR="004A37BB" w:rsidRPr="001B5DEC" w:rsidRDefault="004A37BB" w:rsidP="003D1CA1">
            <w:pPr>
              <w:jc w:val="center"/>
              <w:rPr>
                <w:rFonts w:ascii="Calibri" w:hAnsi="Calibri" w:cs="Calibri"/>
                <w:color w:val="000000"/>
                <w:sz w:val="18"/>
                <w:szCs w:val="18"/>
              </w:rPr>
            </w:pPr>
            <w:r w:rsidRPr="001B5DEC">
              <w:rPr>
                <w:rFonts w:ascii="Calibri" w:hAnsi="Calibri" w:cs="Calibri"/>
                <w:color w:val="000000"/>
                <w:sz w:val="18"/>
                <w:szCs w:val="18"/>
              </w:rPr>
              <w:t>34</w:t>
            </w:r>
            <w:r w:rsidR="00051D9A">
              <w:rPr>
                <w:rFonts w:ascii="Calibri" w:hAnsi="Calibri" w:cs="Calibri"/>
                <w:color w:val="000000"/>
                <w:sz w:val="18"/>
                <w:szCs w:val="18"/>
              </w:rPr>
              <w:t>,</w:t>
            </w:r>
            <w:r w:rsidRPr="001B5DEC">
              <w:rPr>
                <w:rFonts w:ascii="Calibri" w:hAnsi="Calibri" w:cs="Calibri"/>
                <w:color w:val="000000"/>
                <w:sz w:val="18"/>
                <w:szCs w:val="18"/>
              </w:rPr>
              <w:t>539</w:t>
            </w:r>
          </w:p>
        </w:tc>
        <w:tc>
          <w:tcPr>
            <w:tcW w:w="854" w:type="pct"/>
            <w:shd w:val="clear" w:color="auto" w:fill="auto"/>
            <w:noWrap/>
            <w:vAlign w:val="center"/>
            <w:hideMark/>
          </w:tcPr>
          <w:p w14:paraId="21C52E9D" w14:textId="51478379" w:rsidR="004A37BB" w:rsidRPr="001B5DEC" w:rsidRDefault="004A37BB" w:rsidP="003D1CA1">
            <w:pPr>
              <w:jc w:val="center"/>
              <w:rPr>
                <w:rFonts w:ascii="Calibri" w:hAnsi="Calibri" w:cs="Calibri"/>
                <w:color w:val="000000"/>
                <w:sz w:val="18"/>
                <w:szCs w:val="18"/>
              </w:rPr>
            </w:pPr>
            <w:r w:rsidRPr="001B5DEC">
              <w:rPr>
                <w:rFonts w:ascii="Calibri" w:hAnsi="Calibri" w:cs="Calibri"/>
                <w:color w:val="000000"/>
                <w:sz w:val="18"/>
                <w:szCs w:val="18"/>
              </w:rPr>
              <w:t>23</w:t>
            </w:r>
            <w:r w:rsidR="00051D9A">
              <w:rPr>
                <w:rFonts w:ascii="Calibri" w:hAnsi="Calibri" w:cs="Calibri"/>
                <w:color w:val="000000"/>
                <w:sz w:val="18"/>
                <w:szCs w:val="18"/>
              </w:rPr>
              <w:t>,</w:t>
            </w:r>
            <w:r w:rsidRPr="001B5DEC">
              <w:rPr>
                <w:rFonts w:ascii="Calibri" w:hAnsi="Calibri" w:cs="Calibri"/>
                <w:color w:val="000000"/>
                <w:sz w:val="18"/>
                <w:szCs w:val="18"/>
              </w:rPr>
              <w:t>876</w:t>
            </w:r>
          </w:p>
        </w:tc>
        <w:tc>
          <w:tcPr>
            <w:tcW w:w="857" w:type="pct"/>
            <w:shd w:val="clear" w:color="auto" w:fill="auto"/>
            <w:noWrap/>
            <w:vAlign w:val="center"/>
            <w:hideMark/>
          </w:tcPr>
          <w:p w14:paraId="249A0F3C" w14:textId="18E82B51" w:rsidR="004A37BB" w:rsidRPr="001B5DEC" w:rsidRDefault="004A37BB" w:rsidP="003D1CA1">
            <w:pPr>
              <w:jc w:val="center"/>
              <w:rPr>
                <w:rFonts w:ascii="Calibri" w:hAnsi="Calibri" w:cs="Calibri"/>
                <w:color w:val="000000"/>
                <w:sz w:val="18"/>
                <w:szCs w:val="18"/>
              </w:rPr>
            </w:pPr>
            <w:r w:rsidRPr="001B5DEC">
              <w:rPr>
                <w:rFonts w:ascii="Calibri" w:hAnsi="Calibri" w:cs="Calibri"/>
                <w:color w:val="000000"/>
                <w:sz w:val="18"/>
                <w:szCs w:val="18"/>
              </w:rPr>
              <w:t>69</w:t>
            </w:r>
          </w:p>
        </w:tc>
        <w:tc>
          <w:tcPr>
            <w:tcW w:w="855" w:type="pct"/>
            <w:shd w:val="clear" w:color="auto" w:fill="auto"/>
            <w:noWrap/>
            <w:vAlign w:val="center"/>
            <w:hideMark/>
          </w:tcPr>
          <w:p w14:paraId="45472E3D" w14:textId="56CF1BA6" w:rsidR="004A37BB" w:rsidRPr="001B5DEC" w:rsidRDefault="004A37BB" w:rsidP="003D1CA1">
            <w:pPr>
              <w:jc w:val="center"/>
              <w:rPr>
                <w:rFonts w:ascii="Calibri" w:hAnsi="Calibri" w:cs="Calibri"/>
                <w:color w:val="000000"/>
                <w:sz w:val="18"/>
                <w:szCs w:val="18"/>
              </w:rPr>
            </w:pPr>
            <w:r w:rsidRPr="001B5DEC">
              <w:rPr>
                <w:rFonts w:ascii="Calibri" w:hAnsi="Calibri" w:cs="Calibri"/>
                <w:color w:val="000000"/>
                <w:sz w:val="18"/>
                <w:szCs w:val="18"/>
              </w:rPr>
              <w:t>16</w:t>
            </w:r>
            <w:r w:rsidR="00051D9A">
              <w:rPr>
                <w:rFonts w:ascii="Calibri" w:hAnsi="Calibri" w:cs="Calibri"/>
                <w:color w:val="000000"/>
                <w:sz w:val="18"/>
                <w:szCs w:val="18"/>
              </w:rPr>
              <w:t>,</w:t>
            </w:r>
            <w:r w:rsidRPr="001B5DEC">
              <w:rPr>
                <w:rFonts w:ascii="Calibri" w:hAnsi="Calibri" w:cs="Calibri"/>
                <w:color w:val="000000"/>
                <w:sz w:val="18"/>
                <w:szCs w:val="18"/>
              </w:rPr>
              <w:t>506</w:t>
            </w:r>
          </w:p>
        </w:tc>
        <w:tc>
          <w:tcPr>
            <w:tcW w:w="856" w:type="pct"/>
            <w:shd w:val="clear" w:color="auto" w:fill="auto"/>
            <w:noWrap/>
            <w:vAlign w:val="center"/>
            <w:hideMark/>
          </w:tcPr>
          <w:p w14:paraId="56C5B1E6" w14:textId="23C9F2B6" w:rsidR="004A37BB" w:rsidRPr="001B5DEC" w:rsidRDefault="004A37BB" w:rsidP="003D1CA1">
            <w:pPr>
              <w:jc w:val="center"/>
              <w:rPr>
                <w:rFonts w:ascii="Calibri" w:hAnsi="Calibri" w:cs="Calibri"/>
                <w:color w:val="000000"/>
                <w:sz w:val="18"/>
                <w:szCs w:val="18"/>
              </w:rPr>
            </w:pPr>
            <w:r w:rsidRPr="001B5DEC">
              <w:rPr>
                <w:rFonts w:ascii="Calibri" w:hAnsi="Calibri" w:cs="Calibri"/>
                <w:color w:val="000000"/>
                <w:sz w:val="18"/>
                <w:szCs w:val="18"/>
              </w:rPr>
              <w:t>48</w:t>
            </w:r>
          </w:p>
        </w:tc>
      </w:tr>
      <w:tr w:rsidR="004A37BB" w:rsidRPr="001B5DEC" w14:paraId="3A919B85" w14:textId="77777777" w:rsidTr="008E6669">
        <w:trPr>
          <w:trHeight w:val="283"/>
        </w:trPr>
        <w:tc>
          <w:tcPr>
            <w:tcW w:w="689" w:type="pct"/>
            <w:shd w:val="clear" w:color="auto" w:fill="auto"/>
            <w:noWrap/>
            <w:vAlign w:val="center"/>
            <w:hideMark/>
          </w:tcPr>
          <w:p w14:paraId="7C50F9FF" w14:textId="7B96B7DE" w:rsidR="004A37BB" w:rsidRPr="001B5DEC" w:rsidRDefault="004A37BB" w:rsidP="003D1CA1">
            <w:pPr>
              <w:jc w:val="center"/>
              <w:rPr>
                <w:rFonts w:ascii="Calibri" w:hAnsi="Calibri" w:cs="Calibri"/>
                <w:color w:val="000000"/>
                <w:sz w:val="18"/>
                <w:szCs w:val="18"/>
              </w:rPr>
            </w:pPr>
            <w:r w:rsidRPr="001B5DEC">
              <w:rPr>
                <w:rFonts w:ascii="Calibri" w:hAnsi="Calibri" w:cs="Calibri"/>
                <w:color w:val="000000"/>
                <w:sz w:val="18"/>
                <w:szCs w:val="18"/>
              </w:rPr>
              <w:t>Jul-Dec</w:t>
            </w:r>
            <w:r>
              <w:rPr>
                <w:rFonts w:ascii="Calibri" w:hAnsi="Calibri" w:cs="Calibri"/>
                <w:color w:val="000000"/>
                <w:sz w:val="18"/>
                <w:szCs w:val="18"/>
              </w:rPr>
              <w:t xml:space="preserve"> 2021</w:t>
            </w:r>
          </w:p>
        </w:tc>
        <w:tc>
          <w:tcPr>
            <w:tcW w:w="888" w:type="pct"/>
            <w:shd w:val="clear" w:color="auto" w:fill="auto"/>
            <w:noWrap/>
            <w:vAlign w:val="center"/>
            <w:hideMark/>
          </w:tcPr>
          <w:p w14:paraId="4993943D" w14:textId="73A6E0C6" w:rsidR="004A37BB" w:rsidRPr="001B5DEC" w:rsidRDefault="004A37BB" w:rsidP="003D1CA1">
            <w:pPr>
              <w:jc w:val="center"/>
              <w:rPr>
                <w:rFonts w:ascii="Calibri" w:hAnsi="Calibri" w:cs="Calibri"/>
                <w:color w:val="000000"/>
                <w:sz w:val="18"/>
                <w:szCs w:val="18"/>
              </w:rPr>
            </w:pPr>
            <w:r w:rsidRPr="001B5DEC">
              <w:rPr>
                <w:rFonts w:ascii="Calibri" w:hAnsi="Calibri" w:cs="Calibri"/>
                <w:color w:val="000000"/>
                <w:sz w:val="18"/>
                <w:szCs w:val="18"/>
              </w:rPr>
              <w:t>34</w:t>
            </w:r>
            <w:r w:rsidR="00051D9A">
              <w:rPr>
                <w:rFonts w:ascii="Calibri" w:hAnsi="Calibri" w:cs="Calibri"/>
                <w:color w:val="000000"/>
                <w:sz w:val="18"/>
                <w:szCs w:val="18"/>
              </w:rPr>
              <w:t>,</w:t>
            </w:r>
            <w:r w:rsidRPr="001B5DEC">
              <w:rPr>
                <w:rFonts w:ascii="Calibri" w:hAnsi="Calibri" w:cs="Calibri"/>
                <w:color w:val="000000"/>
                <w:sz w:val="18"/>
                <w:szCs w:val="18"/>
              </w:rPr>
              <w:t>486</w:t>
            </w:r>
          </w:p>
        </w:tc>
        <w:tc>
          <w:tcPr>
            <w:tcW w:w="854" w:type="pct"/>
            <w:shd w:val="clear" w:color="auto" w:fill="auto"/>
            <w:noWrap/>
            <w:vAlign w:val="center"/>
            <w:hideMark/>
          </w:tcPr>
          <w:p w14:paraId="3DAAB184" w14:textId="3F8B9F62" w:rsidR="004A37BB" w:rsidRPr="001B5DEC" w:rsidRDefault="004A37BB" w:rsidP="003D1CA1">
            <w:pPr>
              <w:jc w:val="center"/>
              <w:rPr>
                <w:rFonts w:ascii="Calibri" w:hAnsi="Calibri" w:cs="Calibri"/>
                <w:color w:val="000000"/>
                <w:sz w:val="18"/>
                <w:szCs w:val="18"/>
              </w:rPr>
            </w:pPr>
            <w:r w:rsidRPr="001B5DEC">
              <w:rPr>
                <w:rFonts w:ascii="Calibri" w:hAnsi="Calibri" w:cs="Calibri"/>
                <w:color w:val="000000"/>
                <w:sz w:val="18"/>
                <w:szCs w:val="18"/>
              </w:rPr>
              <w:t>23</w:t>
            </w:r>
            <w:r w:rsidR="00051D9A">
              <w:rPr>
                <w:rFonts w:ascii="Calibri" w:hAnsi="Calibri" w:cs="Calibri"/>
                <w:color w:val="000000"/>
                <w:sz w:val="18"/>
                <w:szCs w:val="18"/>
              </w:rPr>
              <w:t>,</w:t>
            </w:r>
            <w:r w:rsidRPr="001B5DEC">
              <w:rPr>
                <w:rFonts w:ascii="Calibri" w:hAnsi="Calibri" w:cs="Calibri"/>
                <w:color w:val="000000"/>
                <w:sz w:val="18"/>
                <w:szCs w:val="18"/>
              </w:rPr>
              <w:t>518</w:t>
            </w:r>
          </w:p>
        </w:tc>
        <w:tc>
          <w:tcPr>
            <w:tcW w:w="857" w:type="pct"/>
            <w:shd w:val="clear" w:color="auto" w:fill="auto"/>
            <w:noWrap/>
            <w:vAlign w:val="center"/>
            <w:hideMark/>
          </w:tcPr>
          <w:p w14:paraId="5868E81F" w14:textId="1DD26F16" w:rsidR="004A37BB" w:rsidRPr="001B5DEC" w:rsidRDefault="004A37BB" w:rsidP="003D1CA1">
            <w:pPr>
              <w:jc w:val="center"/>
              <w:rPr>
                <w:rFonts w:ascii="Calibri" w:hAnsi="Calibri" w:cs="Calibri"/>
                <w:color w:val="000000"/>
                <w:sz w:val="18"/>
                <w:szCs w:val="18"/>
              </w:rPr>
            </w:pPr>
            <w:r w:rsidRPr="001B5DEC">
              <w:rPr>
                <w:rFonts w:ascii="Calibri" w:hAnsi="Calibri" w:cs="Calibri"/>
                <w:color w:val="000000"/>
                <w:sz w:val="18"/>
                <w:szCs w:val="18"/>
              </w:rPr>
              <w:t>68</w:t>
            </w:r>
          </w:p>
        </w:tc>
        <w:tc>
          <w:tcPr>
            <w:tcW w:w="855" w:type="pct"/>
            <w:shd w:val="clear" w:color="auto" w:fill="auto"/>
            <w:noWrap/>
            <w:vAlign w:val="center"/>
            <w:hideMark/>
          </w:tcPr>
          <w:p w14:paraId="4B9DDEED" w14:textId="6264913C" w:rsidR="004A37BB" w:rsidRPr="001B5DEC" w:rsidRDefault="004A37BB" w:rsidP="003D1CA1">
            <w:pPr>
              <w:jc w:val="center"/>
              <w:rPr>
                <w:rFonts w:ascii="Calibri" w:hAnsi="Calibri" w:cs="Calibri"/>
                <w:color w:val="000000"/>
                <w:sz w:val="18"/>
                <w:szCs w:val="18"/>
              </w:rPr>
            </w:pPr>
            <w:r w:rsidRPr="001B5DEC">
              <w:rPr>
                <w:rFonts w:ascii="Calibri" w:hAnsi="Calibri" w:cs="Calibri"/>
                <w:color w:val="000000"/>
                <w:sz w:val="18"/>
                <w:szCs w:val="18"/>
              </w:rPr>
              <w:t>16</w:t>
            </w:r>
            <w:r w:rsidR="00051D9A">
              <w:rPr>
                <w:rFonts w:ascii="Calibri" w:hAnsi="Calibri" w:cs="Calibri"/>
                <w:color w:val="000000"/>
                <w:sz w:val="18"/>
                <w:szCs w:val="18"/>
              </w:rPr>
              <w:t>,</w:t>
            </w:r>
            <w:r w:rsidRPr="001B5DEC">
              <w:rPr>
                <w:rFonts w:ascii="Calibri" w:hAnsi="Calibri" w:cs="Calibri"/>
                <w:color w:val="000000"/>
                <w:sz w:val="18"/>
                <w:szCs w:val="18"/>
              </w:rPr>
              <w:t>581</w:t>
            </w:r>
          </w:p>
        </w:tc>
        <w:tc>
          <w:tcPr>
            <w:tcW w:w="856" w:type="pct"/>
            <w:shd w:val="clear" w:color="auto" w:fill="auto"/>
            <w:noWrap/>
            <w:vAlign w:val="center"/>
            <w:hideMark/>
          </w:tcPr>
          <w:p w14:paraId="027E18FF" w14:textId="1570F760" w:rsidR="004A37BB" w:rsidRPr="001B5DEC" w:rsidRDefault="004A37BB" w:rsidP="003D1CA1">
            <w:pPr>
              <w:jc w:val="center"/>
              <w:rPr>
                <w:rFonts w:ascii="Calibri" w:hAnsi="Calibri" w:cs="Calibri"/>
                <w:color w:val="000000"/>
                <w:sz w:val="18"/>
                <w:szCs w:val="18"/>
              </w:rPr>
            </w:pPr>
            <w:r w:rsidRPr="001B5DEC">
              <w:rPr>
                <w:rFonts w:ascii="Calibri" w:hAnsi="Calibri" w:cs="Calibri"/>
                <w:color w:val="000000"/>
                <w:sz w:val="18"/>
                <w:szCs w:val="18"/>
              </w:rPr>
              <w:t>48</w:t>
            </w:r>
          </w:p>
        </w:tc>
      </w:tr>
      <w:tr w:rsidR="00336AAC" w:rsidRPr="001B5DEC" w14:paraId="258E359A" w14:textId="77777777" w:rsidTr="008E6669">
        <w:trPr>
          <w:trHeight w:val="283"/>
        </w:trPr>
        <w:tc>
          <w:tcPr>
            <w:tcW w:w="689" w:type="pct"/>
            <w:shd w:val="clear" w:color="auto" w:fill="auto"/>
            <w:noWrap/>
            <w:vAlign w:val="center"/>
          </w:tcPr>
          <w:p w14:paraId="000F8DE0" w14:textId="256A6582" w:rsidR="00336AAC" w:rsidRPr="008E6669" w:rsidRDefault="00336AAC" w:rsidP="003D1CA1">
            <w:pPr>
              <w:jc w:val="center"/>
              <w:rPr>
                <w:rFonts w:ascii="Calibri" w:hAnsi="Calibri" w:cs="Calibri"/>
                <w:b/>
                <w:bCs/>
                <w:color w:val="000000"/>
                <w:sz w:val="18"/>
                <w:szCs w:val="18"/>
              </w:rPr>
            </w:pPr>
            <w:r w:rsidRPr="008E6669">
              <w:rPr>
                <w:rFonts w:ascii="Calibri" w:hAnsi="Calibri" w:cs="Calibri"/>
                <w:b/>
                <w:bCs/>
                <w:color w:val="000000"/>
                <w:sz w:val="18"/>
                <w:szCs w:val="18"/>
              </w:rPr>
              <w:t>Total</w:t>
            </w:r>
          </w:p>
        </w:tc>
        <w:tc>
          <w:tcPr>
            <w:tcW w:w="888" w:type="pct"/>
            <w:shd w:val="clear" w:color="auto" w:fill="auto"/>
            <w:noWrap/>
            <w:vAlign w:val="center"/>
          </w:tcPr>
          <w:p w14:paraId="6FC270A9" w14:textId="7DC4F547" w:rsidR="00336AAC" w:rsidRPr="008E6669" w:rsidRDefault="00336AAC" w:rsidP="003D1CA1">
            <w:pPr>
              <w:jc w:val="center"/>
              <w:rPr>
                <w:rFonts w:ascii="Calibri" w:hAnsi="Calibri" w:cs="Calibri"/>
                <w:b/>
                <w:bCs/>
                <w:color w:val="000000"/>
                <w:sz w:val="18"/>
                <w:szCs w:val="18"/>
              </w:rPr>
            </w:pPr>
            <w:r w:rsidRPr="008E6669">
              <w:rPr>
                <w:rFonts w:ascii="Calibri" w:hAnsi="Calibri" w:cs="Calibri"/>
                <w:b/>
                <w:bCs/>
                <w:color w:val="000000"/>
                <w:sz w:val="18"/>
                <w:szCs w:val="18"/>
              </w:rPr>
              <w:t>149,002</w:t>
            </w:r>
          </w:p>
        </w:tc>
        <w:tc>
          <w:tcPr>
            <w:tcW w:w="854" w:type="pct"/>
            <w:shd w:val="clear" w:color="auto" w:fill="auto"/>
            <w:noWrap/>
            <w:vAlign w:val="center"/>
          </w:tcPr>
          <w:p w14:paraId="1168FCA2" w14:textId="25A18C36" w:rsidR="00336AAC" w:rsidRPr="008E6669" w:rsidRDefault="00336AAC" w:rsidP="003D1CA1">
            <w:pPr>
              <w:jc w:val="center"/>
              <w:rPr>
                <w:rFonts w:ascii="Calibri" w:hAnsi="Calibri" w:cs="Calibri"/>
                <w:b/>
                <w:bCs/>
                <w:color w:val="000000"/>
                <w:sz w:val="18"/>
                <w:szCs w:val="18"/>
              </w:rPr>
            </w:pPr>
            <w:r w:rsidRPr="008E6669">
              <w:rPr>
                <w:rFonts w:ascii="Calibri" w:hAnsi="Calibri" w:cs="Calibri"/>
                <w:b/>
                <w:bCs/>
                <w:color w:val="000000"/>
                <w:sz w:val="18"/>
                <w:szCs w:val="18"/>
              </w:rPr>
              <w:t>124</w:t>
            </w:r>
            <w:r w:rsidR="008E6669">
              <w:rPr>
                <w:rFonts w:ascii="Calibri" w:hAnsi="Calibri" w:cs="Calibri"/>
                <w:b/>
                <w:bCs/>
                <w:color w:val="000000"/>
                <w:sz w:val="18"/>
                <w:szCs w:val="18"/>
              </w:rPr>
              <w:t>,</w:t>
            </w:r>
            <w:r w:rsidRPr="008E6669">
              <w:rPr>
                <w:rFonts w:ascii="Calibri" w:hAnsi="Calibri" w:cs="Calibri"/>
                <w:b/>
                <w:bCs/>
                <w:color w:val="000000"/>
                <w:sz w:val="18"/>
                <w:szCs w:val="18"/>
              </w:rPr>
              <w:t>270</w:t>
            </w:r>
          </w:p>
        </w:tc>
        <w:tc>
          <w:tcPr>
            <w:tcW w:w="857" w:type="pct"/>
            <w:shd w:val="clear" w:color="auto" w:fill="auto"/>
            <w:noWrap/>
            <w:vAlign w:val="center"/>
          </w:tcPr>
          <w:p w14:paraId="03B09012" w14:textId="2CFC5C5C" w:rsidR="00336AAC" w:rsidRPr="008E6669" w:rsidRDefault="00336AAC" w:rsidP="003D1CA1">
            <w:pPr>
              <w:jc w:val="center"/>
              <w:rPr>
                <w:rFonts w:ascii="Calibri" w:hAnsi="Calibri" w:cs="Calibri"/>
                <w:b/>
                <w:bCs/>
                <w:color w:val="000000"/>
                <w:sz w:val="18"/>
                <w:szCs w:val="18"/>
              </w:rPr>
            </w:pPr>
            <w:r w:rsidRPr="008E6669">
              <w:rPr>
                <w:rFonts w:ascii="Calibri" w:hAnsi="Calibri" w:cs="Calibri"/>
                <w:b/>
                <w:bCs/>
                <w:color w:val="000000"/>
                <w:sz w:val="18"/>
                <w:szCs w:val="18"/>
              </w:rPr>
              <w:t>83</w:t>
            </w:r>
          </w:p>
        </w:tc>
        <w:tc>
          <w:tcPr>
            <w:tcW w:w="855" w:type="pct"/>
            <w:shd w:val="clear" w:color="auto" w:fill="auto"/>
            <w:noWrap/>
            <w:vAlign w:val="center"/>
          </w:tcPr>
          <w:p w14:paraId="2793C560" w14:textId="5C74436B" w:rsidR="00336AAC" w:rsidRPr="008E6669" w:rsidRDefault="00336AAC" w:rsidP="003D1CA1">
            <w:pPr>
              <w:jc w:val="center"/>
              <w:rPr>
                <w:rFonts w:ascii="Calibri" w:hAnsi="Calibri" w:cs="Calibri"/>
                <w:b/>
                <w:bCs/>
                <w:color w:val="000000"/>
                <w:sz w:val="18"/>
                <w:szCs w:val="18"/>
              </w:rPr>
            </w:pPr>
            <w:r w:rsidRPr="008E6669">
              <w:rPr>
                <w:rFonts w:ascii="Calibri" w:hAnsi="Calibri" w:cs="Calibri"/>
                <w:b/>
                <w:bCs/>
                <w:color w:val="000000"/>
                <w:sz w:val="18"/>
                <w:szCs w:val="18"/>
              </w:rPr>
              <w:t>71</w:t>
            </w:r>
            <w:r w:rsidR="008E6669">
              <w:rPr>
                <w:rFonts w:ascii="Calibri" w:hAnsi="Calibri" w:cs="Calibri"/>
                <w:b/>
                <w:bCs/>
                <w:color w:val="000000"/>
                <w:sz w:val="18"/>
                <w:szCs w:val="18"/>
              </w:rPr>
              <w:t>,</w:t>
            </w:r>
            <w:r w:rsidRPr="008E6669">
              <w:rPr>
                <w:rFonts w:ascii="Calibri" w:hAnsi="Calibri" w:cs="Calibri"/>
                <w:b/>
                <w:bCs/>
                <w:color w:val="000000"/>
                <w:sz w:val="18"/>
                <w:szCs w:val="18"/>
              </w:rPr>
              <w:t>069</w:t>
            </w:r>
          </w:p>
        </w:tc>
        <w:tc>
          <w:tcPr>
            <w:tcW w:w="856" w:type="pct"/>
            <w:shd w:val="clear" w:color="auto" w:fill="auto"/>
            <w:noWrap/>
            <w:vAlign w:val="center"/>
          </w:tcPr>
          <w:p w14:paraId="6B07CE9C" w14:textId="29CEEDC0" w:rsidR="00336AAC" w:rsidRPr="008E6669" w:rsidRDefault="00336AAC" w:rsidP="003D1CA1">
            <w:pPr>
              <w:jc w:val="center"/>
              <w:rPr>
                <w:rFonts w:ascii="Calibri" w:hAnsi="Calibri" w:cs="Calibri"/>
                <w:b/>
                <w:bCs/>
                <w:color w:val="000000"/>
                <w:sz w:val="18"/>
                <w:szCs w:val="18"/>
              </w:rPr>
            </w:pPr>
            <w:r w:rsidRPr="008E6669">
              <w:rPr>
                <w:rFonts w:ascii="Calibri" w:hAnsi="Calibri" w:cs="Calibri"/>
                <w:b/>
                <w:bCs/>
                <w:color w:val="000000"/>
                <w:sz w:val="18"/>
                <w:szCs w:val="18"/>
              </w:rPr>
              <w:t>4</w:t>
            </w:r>
            <w:r w:rsidR="008E6669">
              <w:rPr>
                <w:rFonts w:ascii="Calibri" w:hAnsi="Calibri" w:cs="Calibri"/>
                <w:b/>
                <w:bCs/>
                <w:color w:val="000000"/>
                <w:sz w:val="18"/>
                <w:szCs w:val="18"/>
              </w:rPr>
              <w:t>8</w:t>
            </w:r>
          </w:p>
        </w:tc>
      </w:tr>
    </w:tbl>
    <w:p w14:paraId="0F8A4C8B" w14:textId="2B760AEC" w:rsidR="00EB7463" w:rsidRPr="00140192" w:rsidRDefault="00B16A29" w:rsidP="002029DC">
      <w:pPr>
        <w:pStyle w:val="ANorm"/>
        <w:spacing w:after="200"/>
        <w:rPr>
          <w:sz w:val="16"/>
          <w:szCs w:val="16"/>
        </w:rPr>
      </w:pPr>
      <w:proofErr w:type="spellStart"/>
      <w:r w:rsidRPr="0085525A">
        <w:rPr>
          <w:sz w:val="16"/>
          <w:szCs w:val="16"/>
          <w:vertAlign w:val="superscript"/>
        </w:rPr>
        <w:t>a</w:t>
      </w:r>
      <w:r w:rsidR="00B3459E" w:rsidRPr="0085525A">
        <w:rPr>
          <w:sz w:val="16"/>
          <w:szCs w:val="16"/>
        </w:rPr>
        <w:t>Measures</w:t>
      </w:r>
      <w:proofErr w:type="spellEnd"/>
      <w:r w:rsidR="00B3459E" w:rsidRPr="0085525A">
        <w:rPr>
          <w:sz w:val="16"/>
          <w:szCs w:val="16"/>
        </w:rPr>
        <w:t xml:space="preserve"> </w:t>
      </w:r>
      <w:r w:rsidR="00693B2C" w:rsidRPr="0085525A">
        <w:rPr>
          <w:sz w:val="16"/>
          <w:szCs w:val="16"/>
        </w:rPr>
        <w:t xml:space="preserve">severity of </w:t>
      </w:r>
      <w:r w:rsidR="0028010F" w:rsidRPr="0085525A">
        <w:rPr>
          <w:sz w:val="16"/>
          <w:szCs w:val="16"/>
        </w:rPr>
        <w:t xml:space="preserve">psychological </w:t>
      </w:r>
      <w:r w:rsidR="0028010F" w:rsidRPr="00EA4980">
        <w:rPr>
          <w:sz w:val="16"/>
          <w:szCs w:val="16"/>
        </w:rPr>
        <w:t>distress</w:t>
      </w:r>
      <w:r w:rsidR="00B3459E" w:rsidRPr="00EA4980">
        <w:rPr>
          <w:sz w:val="16"/>
          <w:szCs w:val="16"/>
        </w:rPr>
        <w:t xml:space="preserve"> (</w:t>
      </w:r>
      <w:r w:rsidR="0057626B" w:rsidRPr="00EA4980">
        <w:rPr>
          <w:rFonts w:asciiTheme="minorHAnsi" w:hAnsiTheme="minorHAnsi" w:cstheme="minorHAnsi"/>
          <w:sz w:val="16"/>
          <w:szCs w:val="16"/>
        </w:rPr>
        <w:t>Kessler Psychological Distress 10-Item Scale</w:t>
      </w:r>
      <w:r w:rsidR="0057626B" w:rsidRPr="00EA4980">
        <w:rPr>
          <w:sz w:val="16"/>
          <w:szCs w:val="16"/>
        </w:rPr>
        <w:t xml:space="preserve"> </w:t>
      </w:r>
      <w:r w:rsidR="0085525A" w:rsidRPr="00EA4980">
        <w:rPr>
          <w:sz w:val="16"/>
          <w:szCs w:val="16"/>
        </w:rPr>
        <w:t>[</w:t>
      </w:r>
      <w:r w:rsidR="0028010F" w:rsidRPr="00EA4980">
        <w:rPr>
          <w:sz w:val="16"/>
          <w:szCs w:val="16"/>
        </w:rPr>
        <w:t>K10</w:t>
      </w:r>
      <w:r w:rsidR="0085525A" w:rsidRPr="00EA4980">
        <w:rPr>
          <w:sz w:val="16"/>
          <w:szCs w:val="16"/>
        </w:rPr>
        <w:t>]</w:t>
      </w:r>
      <w:r w:rsidR="00B3459E" w:rsidRPr="00EA4980">
        <w:rPr>
          <w:sz w:val="16"/>
          <w:szCs w:val="16"/>
        </w:rPr>
        <w:t>)</w:t>
      </w:r>
      <w:r w:rsidR="00FC2A04" w:rsidRPr="00EA4980">
        <w:rPr>
          <w:sz w:val="16"/>
          <w:szCs w:val="16"/>
        </w:rPr>
        <w:t>;</w:t>
      </w:r>
      <w:r w:rsidR="00B81CB1" w:rsidRPr="00EA4980">
        <w:rPr>
          <w:sz w:val="16"/>
          <w:szCs w:val="16"/>
        </w:rPr>
        <w:fldChar w:fldCharType="begin">
          <w:fldData xml:space="preserve">PEVuZE5vdGU+PENpdGU+PEF1dGhvcj5LZXNzbGVyPC9BdXRob3I+PFllYXI+MjAwMjwvWWVhcj48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</w:fldData>
        </w:fldChar>
      </w:r>
      <w:r w:rsidR="004469A2">
        <w:rPr>
          <w:sz w:val="16"/>
          <w:szCs w:val="16"/>
        </w:rPr>
        <w:instrText xml:space="preserve"> ADDIN EN.CITE </w:instrText>
      </w:r>
      <w:r w:rsidR="004469A2">
        <w:rPr>
          <w:sz w:val="16"/>
          <w:szCs w:val="16"/>
        </w:rPr>
        <w:fldChar w:fldCharType="begin">
          <w:fldData xml:space="preserve">PEVuZE5vdGU+PENpdGU+PEF1dGhvcj5LZXNzbGVyPC9BdXRob3I+PFllYXI+MjAwMjwvWWVhcj48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</w:fldData>
        </w:fldChar>
      </w:r>
      <w:r w:rsidR="004469A2">
        <w:rPr>
          <w:sz w:val="16"/>
          <w:szCs w:val="16"/>
        </w:rPr>
        <w:instrText xml:space="preserve"> ADDIN EN.CITE.DATA </w:instrText>
      </w:r>
      <w:r w:rsidR="004469A2">
        <w:rPr>
          <w:sz w:val="16"/>
          <w:szCs w:val="16"/>
        </w:rPr>
      </w:r>
      <w:r w:rsidR="004469A2">
        <w:rPr>
          <w:sz w:val="16"/>
          <w:szCs w:val="16"/>
        </w:rPr>
        <w:fldChar w:fldCharType="end"/>
      </w:r>
      <w:r w:rsidR="00B81CB1" w:rsidRPr="00EA4980">
        <w:rPr>
          <w:sz w:val="16"/>
          <w:szCs w:val="16"/>
        </w:rPr>
      </w:r>
      <w:r w:rsidR="00B81CB1" w:rsidRPr="00EA4980">
        <w:rPr>
          <w:sz w:val="16"/>
          <w:szCs w:val="16"/>
        </w:rPr>
        <w:fldChar w:fldCharType="separate"/>
      </w:r>
      <w:r w:rsidR="004469A2" w:rsidRPr="004469A2">
        <w:rPr>
          <w:noProof/>
          <w:sz w:val="16"/>
          <w:szCs w:val="16"/>
          <w:vertAlign w:val="superscript"/>
        </w:rPr>
        <w:t>32</w:t>
      </w:r>
      <w:r w:rsidR="00B81CB1" w:rsidRPr="00EA4980">
        <w:rPr>
          <w:sz w:val="16"/>
          <w:szCs w:val="16"/>
        </w:rPr>
        <w:fldChar w:fldCharType="end"/>
      </w:r>
      <w:r w:rsidR="0028010F" w:rsidRPr="00EA4980">
        <w:rPr>
          <w:sz w:val="16"/>
          <w:szCs w:val="16"/>
        </w:rPr>
        <w:t xml:space="preserve"> depression symptoms</w:t>
      </w:r>
      <w:r w:rsidR="00B3459E" w:rsidRPr="00EA4980">
        <w:rPr>
          <w:sz w:val="16"/>
          <w:szCs w:val="16"/>
        </w:rPr>
        <w:t xml:space="preserve"> (</w:t>
      </w:r>
      <w:r w:rsidR="0085525A" w:rsidRPr="00EA4980">
        <w:rPr>
          <w:rFonts w:asciiTheme="minorHAnsi" w:hAnsiTheme="minorHAnsi" w:cstheme="minorHAnsi"/>
          <w:sz w:val="16"/>
          <w:szCs w:val="16"/>
        </w:rPr>
        <w:t>Patient Health Questionnaire 9-Item Scale</w:t>
      </w:r>
      <w:r w:rsidR="0085525A" w:rsidRPr="00EA4980">
        <w:rPr>
          <w:sz w:val="16"/>
          <w:szCs w:val="16"/>
        </w:rPr>
        <w:t xml:space="preserve"> [</w:t>
      </w:r>
      <w:r w:rsidR="0028010F" w:rsidRPr="00EA4980">
        <w:rPr>
          <w:sz w:val="16"/>
          <w:szCs w:val="16"/>
        </w:rPr>
        <w:t>PHQ-9</w:t>
      </w:r>
      <w:r w:rsidR="0085525A" w:rsidRPr="00EA4980">
        <w:rPr>
          <w:sz w:val="16"/>
          <w:szCs w:val="16"/>
        </w:rPr>
        <w:t>]</w:t>
      </w:r>
      <w:r w:rsidR="00B3459E" w:rsidRPr="00EA4980">
        <w:rPr>
          <w:sz w:val="16"/>
          <w:szCs w:val="16"/>
        </w:rPr>
        <w:t>)</w:t>
      </w:r>
      <w:r w:rsidR="00FC2A04" w:rsidRPr="00EA4980">
        <w:rPr>
          <w:sz w:val="16"/>
          <w:szCs w:val="16"/>
        </w:rPr>
        <w:t>;</w:t>
      </w:r>
      <w:r w:rsidR="00B81CB1" w:rsidRPr="00EA4980">
        <w:rPr>
          <w:sz w:val="16"/>
          <w:szCs w:val="16"/>
        </w:rPr>
        <w:fldChar w:fldCharType="begin">
          <w:fldData xml:space="preserve">PEVuZE5vdGU+PENpdGU+PEF1dGhvcj5Lcm9lbmtlPC9BdXRob3I+PFllYXI+MjAwMTwvWWVhcj48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</w:fldData>
        </w:fldChar>
      </w:r>
      <w:r w:rsidR="004469A2">
        <w:rPr>
          <w:sz w:val="16"/>
          <w:szCs w:val="16"/>
        </w:rPr>
        <w:instrText xml:space="preserve"> ADDIN EN.CITE </w:instrText>
      </w:r>
      <w:r w:rsidR="004469A2">
        <w:rPr>
          <w:sz w:val="16"/>
          <w:szCs w:val="16"/>
        </w:rPr>
        <w:fldChar w:fldCharType="begin">
          <w:fldData xml:space="preserve">PEVuZE5vdGU+PENpdGU+PEF1dGhvcj5Lcm9lbmtlPC9BdXRob3I+PFllYXI+MjAwMTwvWWVhcj48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</w:fldData>
        </w:fldChar>
      </w:r>
      <w:r w:rsidR="004469A2">
        <w:rPr>
          <w:sz w:val="16"/>
          <w:szCs w:val="16"/>
        </w:rPr>
        <w:instrText xml:space="preserve"> ADDIN EN.CITE.DATA </w:instrText>
      </w:r>
      <w:r w:rsidR="004469A2">
        <w:rPr>
          <w:sz w:val="16"/>
          <w:szCs w:val="16"/>
        </w:rPr>
      </w:r>
      <w:r w:rsidR="004469A2">
        <w:rPr>
          <w:sz w:val="16"/>
          <w:szCs w:val="16"/>
        </w:rPr>
        <w:fldChar w:fldCharType="end"/>
      </w:r>
      <w:r w:rsidR="00B81CB1" w:rsidRPr="00EA4980">
        <w:rPr>
          <w:sz w:val="16"/>
          <w:szCs w:val="16"/>
        </w:rPr>
      </w:r>
      <w:r w:rsidR="00B81CB1" w:rsidRPr="00EA4980">
        <w:rPr>
          <w:sz w:val="16"/>
          <w:szCs w:val="16"/>
        </w:rPr>
        <w:fldChar w:fldCharType="separate"/>
      </w:r>
      <w:r w:rsidR="004469A2" w:rsidRPr="004469A2">
        <w:rPr>
          <w:noProof/>
          <w:sz w:val="16"/>
          <w:szCs w:val="16"/>
          <w:vertAlign w:val="superscript"/>
        </w:rPr>
        <w:t>28</w:t>
      </w:r>
      <w:r w:rsidR="00B81CB1" w:rsidRPr="00EA4980">
        <w:rPr>
          <w:sz w:val="16"/>
          <w:szCs w:val="16"/>
        </w:rPr>
        <w:fldChar w:fldCharType="end"/>
      </w:r>
      <w:r w:rsidR="0028010F" w:rsidRPr="00EA4980">
        <w:rPr>
          <w:sz w:val="16"/>
          <w:szCs w:val="16"/>
        </w:rPr>
        <w:t xml:space="preserve"> worry and anxiety symptoms </w:t>
      </w:r>
      <w:r w:rsidR="00693B2C" w:rsidRPr="00EA4980">
        <w:rPr>
          <w:sz w:val="16"/>
          <w:szCs w:val="16"/>
        </w:rPr>
        <w:t>(</w:t>
      </w:r>
      <w:r w:rsidR="009F16DE" w:rsidRPr="00EA4980">
        <w:rPr>
          <w:rFonts w:asciiTheme="minorHAnsi" w:hAnsiTheme="minorHAnsi" w:cstheme="minorHAnsi"/>
          <w:sz w:val="16"/>
          <w:szCs w:val="16"/>
        </w:rPr>
        <w:t>Generalised Anxiety Disorder 7-Item Scale</w:t>
      </w:r>
      <w:r w:rsidR="009F16DE" w:rsidRPr="00EA4980">
        <w:rPr>
          <w:sz w:val="16"/>
          <w:szCs w:val="16"/>
        </w:rPr>
        <w:t xml:space="preserve"> [</w:t>
      </w:r>
      <w:r w:rsidR="00693B2C" w:rsidRPr="00EA4980">
        <w:rPr>
          <w:sz w:val="16"/>
          <w:szCs w:val="16"/>
        </w:rPr>
        <w:t>GAD-7</w:t>
      </w:r>
      <w:r w:rsidR="009F16DE" w:rsidRPr="00EA4980">
        <w:rPr>
          <w:sz w:val="16"/>
          <w:szCs w:val="16"/>
        </w:rPr>
        <w:t>]</w:t>
      </w:r>
      <w:r w:rsidR="00693B2C" w:rsidRPr="00EA4980">
        <w:rPr>
          <w:sz w:val="16"/>
          <w:szCs w:val="16"/>
        </w:rPr>
        <w:t>)</w:t>
      </w:r>
      <w:r w:rsidR="00FC2A04" w:rsidRPr="00EA4980">
        <w:rPr>
          <w:sz w:val="16"/>
          <w:szCs w:val="16"/>
        </w:rPr>
        <w:t>;</w:t>
      </w:r>
      <w:r w:rsidR="00B81CB1" w:rsidRPr="00EA4980">
        <w:rPr>
          <w:sz w:val="16"/>
          <w:szCs w:val="16"/>
        </w:rPr>
        <w:fldChar w:fldCharType="begin"/>
      </w:r>
      <w:r w:rsidR="004469A2">
        <w:rPr>
          <w:sz w:val="16"/>
          <w:szCs w:val="16"/>
        </w:rPr>
        <w:instrText xml:space="preserve"> ADDIN EN.CITE &lt;EndNote&gt;&lt;Cite&gt;&lt;Author&gt;Spitzer&lt;/Author&gt;&lt;Year&gt;2006&lt;/Year&gt;&lt;RecNum&gt;152&lt;/RecNum&gt;&lt;DisplayText&gt;&lt;style face="superscript"&gt;33&lt;/style&gt;&lt;/DisplayText&gt;&lt;record&gt;&lt;rec-number&gt;152&lt;/rec-number&gt;&lt;foreign-keys&gt;&lt;key app="EN" db-id="dawtr0zrkrzfa5edzzlpe2we0xa00t90vvr2" timestamp="1654253924"&gt;152&lt;/key&gt;&lt;/foreign-keys&gt;&lt;ref-type name="Journal Article"&gt;17&lt;/ref-type&gt;&lt;contributors&gt;&lt;authors&gt;&lt;author&gt;Spitzer, R. L.&lt;/author&gt;&lt;author&gt;Kroenke, K.&lt;/author&gt;&lt;author&gt;Williams, J. B.&lt;/author&gt;&lt;author&gt;Löwe, B.&lt;/author&gt;&lt;/authors&gt;&lt;/contributors&gt;&lt;auth-address&gt;Biometrics Research Department, New York State Psychiatric Institute, New York, NY 10032, USA. RLS8@Columbia.edu&lt;/auth-address&gt;&lt;titles&gt;&lt;title&gt;A brief measure for assessing generalized anxiety disorder: The GAD-7&lt;/title&gt;&lt;secondary-title&gt;Archives of Internal Medicine&lt;/secondary-title&gt;&lt;/titles&gt;&lt;periodical&gt;&lt;full-title&gt;Archives of Internal Medicine&lt;/full-title&gt;&lt;abbr-1&gt;Arch. Intern. Med.&lt;/abbr-1&gt;&lt;/periodical&gt;&lt;pages&gt;1092-7&lt;/pages&gt;&lt;volume&gt;166&lt;/volume&gt;&lt;number&gt;10&lt;/number&gt;&lt;edition&gt;2006/05/24&lt;/edition&gt;&lt;keywords&gt;&lt;keyword&gt;Adult&lt;/keyword&gt;&lt;keyword&gt;Anxiety Disorders/*diagnosis/epidemiology&lt;/keyword&gt;&lt;keyword&gt;Female&lt;/keyword&gt;&lt;keyword&gt;Humans&lt;/keyword&gt;&lt;keyword&gt;Incidence&lt;/keyword&gt;&lt;keyword&gt;Male&lt;/keyword&gt;&lt;keyword&gt;*Mental Status Schedule&lt;/keyword&gt;&lt;keyword&gt;Middle Aged&lt;/keyword&gt;&lt;keyword&gt;Reproducibility of Results&lt;/keyword&gt;&lt;keyword&gt;Retrospective Studies&lt;/keyword&gt;&lt;keyword&gt;Surveys and Questionnaires&lt;/keyword&gt;&lt;keyword&gt;United States/epidemiology&lt;/keyword&gt;&lt;/keywords&gt;&lt;dates&gt;&lt;year&gt;2006&lt;/year&gt;&lt;pub-dates&gt;&lt;date&gt;May 22&lt;/date&gt;&lt;/pub-dates&gt;&lt;/dates&gt;&lt;isbn&gt;0003-9926 (Print)&amp;#xD;0003-9926&lt;/isbn&gt;&lt;accession-num&gt;16717171&lt;/accession-num&gt;&lt;urls&gt;&lt;/urls&gt;&lt;electronic-resource-num&gt;10.1001/archinte.166.10.1092&lt;/electronic-resource-num&gt;&lt;remote-database-provider&gt;NLM&lt;/remote-database-provider&gt;&lt;language&gt;eng&lt;/language&gt;&lt;/record&gt;&lt;/Cite&gt;&lt;/EndNote&gt;</w:instrText>
      </w:r>
      <w:r w:rsidR="00B81CB1" w:rsidRPr="00EA4980">
        <w:rPr>
          <w:sz w:val="16"/>
          <w:szCs w:val="16"/>
        </w:rPr>
        <w:fldChar w:fldCharType="separate"/>
      </w:r>
      <w:r w:rsidR="004469A2" w:rsidRPr="004469A2">
        <w:rPr>
          <w:noProof/>
          <w:sz w:val="16"/>
          <w:szCs w:val="16"/>
          <w:vertAlign w:val="superscript"/>
        </w:rPr>
        <w:t>33</w:t>
      </w:r>
      <w:r w:rsidR="00B81CB1" w:rsidRPr="00EA4980">
        <w:rPr>
          <w:sz w:val="16"/>
          <w:szCs w:val="16"/>
        </w:rPr>
        <w:fldChar w:fldCharType="end"/>
      </w:r>
      <w:r w:rsidR="00693B2C" w:rsidRPr="00EA4980">
        <w:rPr>
          <w:sz w:val="16"/>
          <w:szCs w:val="16"/>
        </w:rPr>
        <w:t xml:space="preserve"> panic </w:t>
      </w:r>
      <w:r w:rsidR="00693B2C" w:rsidRPr="00140192">
        <w:rPr>
          <w:sz w:val="16"/>
          <w:szCs w:val="16"/>
        </w:rPr>
        <w:t>symptoms</w:t>
      </w:r>
      <w:r w:rsidR="00B764ED" w:rsidRPr="00140192">
        <w:rPr>
          <w:sz w:val="16"/>
          <w:szCs w:val="16"/>
        </w:rPr>
        <w:t xml:space="preserve"> </w:t>
      </w:r>
      <w:r w:rsidR="00693B2C" w:rsidRPr="00140192">
        <w:rPr>
          <w:sz w:val="16"/>
          <w:szCs w:val="16"/>
        </w:rPr>
        <w:t>(</w:t>
      </w:r>
      <w:r w:rsidR="00B764ED" w:rsidRPr="00140192">
        <w:rPr>
          <w:rFonts w:asciiTheme="minorHAnsi" w:hAnsiTheme="minorHAnsi" w:cstheme="minorHAnsi"/>
          <w:sz w:val="16"/>
          <w:szCs w:val="16"/>
        </w:rPr>
        <w:t>Panic Disorder Severity Scale [</w:t>
      </w:r>
      <w:r w:rsidR="0028010F" w:rsidRPr="00140192">
        <w:rPr>
          <w:sz w:val="16"/>
          <w:szCs w:val="16"/>
        </w:rPr>
        <w:t>PDSS</w:t>
      </w:r>
      <w:r w:rsidR="00B764ED" w:rsidRPr="00140192">
        <w:rPr>
          <w:sz w:val="16"/>
          <w:szCs w:val="16"/>
        </w:rPr>
        <w:t>]</w:t>
      </w:r>
      <w:r w:rsidR="00693B2C" w:rsidRPr="00140192">
        <w:rPr>
          <w:sz w:val="16"/>
          <w:szCs w:val="16"/>
        </w:rPr>
        <w:t>)</w:t>
      </w:r>
      <w:r w:rsidR="00FC2A04" w:rsidRPr="00140192">
        <w:rPr>
          <w:sz w:val="16"/>
          <w:szCs w:val="16"/>
        </w:rPr>
        <w:t>;</w:t>
      </w:r>
      <w:r w:rsidR="002232F5" w:rsidRPr="00140192">
        <w:rPr>
          <w:sz w:val="16"/>
          <w:szCs w:val="16"/>
        </w:rPr>
        <w:fldChar w:fldCharType="begin">
          <w:fldData xml:space="preserve">PEVuZE5vdGU+PENpdGU+PEF1dGhvcj5TaGVhcjwvQXV0aG9yPjxZZWFyPjIwMDE8L1llYXI+PFJl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</w:fldData>
        </w:fldChar>
      </w:r>
      <w:r w:rsidR="004469A2">
        <w:rPr>
          <w:sz w:val="16"/>
          <w:szCs w:val="16"/>
        </w:rPr>
        <w:instrText xml:space="preserve"> ADDIN EN.CITE </w:instrText>
      </w:r>
      <w:r w:rsidR="004469A2">
        <w:rPr>
          <w:sz w:val="16"/>
          <w:szCs w:val="16"/>
        </w:rPr>
        <w:fldChar w:fldCharType="begin">
          <w:fldData xml:space="preserve">PEVuZE5vdGU+PENpdGU+PEF1dGhvcj5TaGVhcjwvQXV0aG9yPjxZZWFyPjIwMDE8L1llYXI+PFJl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</w:fldData>
        </w:fldChar>
      </w:r>
      <w:r w:rsidR="004469A2">
        <w:rPr>
          <w:sz w:val="16"/>
          <w:szCs w:val="16"/>
        </w:rPr>
        <w:instrText xml:space="preserve"> ADDIN EN.CITE.DATA </w:instrText>
      </w:r>
      <w:r w:rsidR="004469A2">
        <w:rPr>
          <w:sz w:val="16"/>
          <w:szCs w:val="16"/>
        </w:rPr>
      </w:r>
      <w:r w:rsidR="004469A2">
        <w:rPr>
          <w:sz w:val="16"/>
          <w:szCs w:val="16"/>
        </w:rPr>
        <w:fldChar w:fldCharType="end"/>
      </w:r>
      <w:r w:rsidR="002232F5" w:rsidRPr="00140192">
        <w:rPr>
          <w:sz w:val="16"/>
          <w:szCs w:val="16"/>
        </w:rPr>
      </w:r>
      <w:r w:rsidR="002232F5" w:rsidRPr="00140192">
        <w:rPr>
          <w:sz w:val="16"/>
          <w:szCs w:val="16"/>
        </w:rPr>
        <w:fldChar w:fldCharType="separate"/>
      </w:r>
      <w:r w:rsidR="004469A2" w:rsidRPr="004469A2">
        <w:rPr>
          <w:noProof/>
          <w:sz w:val="16"/>
          <w:szCs w:val="16"/>
          <w:vertAlign w:val="superscript"/>
        </w:rPr>
        <w:t>34</w:t>
      </w:r>
      <w:r w:rsidR="002232F5" w:rsidRPr="00140192">
        <w:rPr>
          <w:sz w:val="16"/>
          <w:szCs w:val="16"/>
        </w:rPr>
        <w:fldChar w:fldCharType="end"/>
      </w:r>
      <w:r w:rsidR="0028010F" w:rsidRPr="00140192">
        <w:rPr>
          <w:sz w:val="16"/>
          <w:szCs w:val="16"/>
        </w:rPr>
        <w:t xml:space="preserve"> social anxiety symptoms</w:t>
      </w:r>
      <w:r w:rsidR="00693B2C" w:rsidRPr="00140192">
        <w:rPr>
          <w:sz w:val="16"/>
          <w:szCs w:val="16"/>
        </w:rPr>
        <w:t xml:space="preserve"> (</w:t>
      </w:r>
      <w:r w:rsidR="002535B4" w:rsidRPr="00140192">
        <w:rPr>
          <w:rFonts w:asciiTheme="minorHAnsi" w:hAnsiTheme="minorHAnsi" w:cstheme="minorHAnsi"/>
          <w:sz w:val="16"/>
          <w:szCs w:val="16"/>
        </w:rPr>
        <w:t>Mini-Social Phobia Inventory</w:t>
      </w:r>
      <w:r w:rsidR="002535B4" w:rsidRPr="00140192">
        <w:rPr>
          <w:sz w:val="16"/>
          <w:szCs w:val="16"/>
        </w:rPr>
        <w:t xml:space="preserve"> </w:t>
      </w:r>
      <w:r w:rsidR="00EA4980" w:rsidRPr="00140192">
        <w:rPr>
          <w:sz w:val="16"/>
          <w:szCs w:val="16"/>
        </w:rPr>
        <w:t>[</w:t>
      </w:r>
      <w:r w:rsidR="0028010F" w:rsidRPr="00140192">
        <w:rPr>
          <w:sz w:val="16"/>
          <w:szCs w:val="16"/>
        </w:rPr>
        <w:t>Mini-SPIN</w:t>
      </w:r>
      <w:r w:rsidR="00EA4980" w:rsidRPr="00140192">
        <w:rPr>
          <w:sz w:val="16"/>
          <w:szCs w:val="16"/>
        </w:rPr>
        <w:t>]</w:t>
      </w:r>
      <w:r w:rsidR="00693B2C" w:rsidRPr="00140192">
        <w:rPr>
          <w:sz w:val="16"/>
          <w:szCs w:val="16"/>
        </w:rPr>
        <w:t>)</w:t>
      </w:r>
      <w:r w:rsidR="00FC2A04" w:rsidRPr="00140192">
        <w:rPr>
          <w:sz w:val="16"/>
          <w:szCs w:val="16"/>
        </w:rPr>
        <w:t>;</w:t>
      </w:r>
      <w:r w:rsidR="00E75D13">
        <w:rPr>
          <w:sz w:val="16"/>
          <w:szCs w:val="16"/>
        </w:rPr>
        <w:fldChar w:fldCharType="begin"/>
      </w:r>
      <w:r w:rsidR="004469A2">
        <w:rPr>
          <w:sz w:val="16"/>
          <w:szCs w:val="16"/>
        </w:rPr>
        <w:instrText xml:space="preserve"> ADDIN EN.CITE &lt;EndNote&gt;&lt;Cite&gt;&lt;Author&gt;Connor&lt;/Author&gt;&lt;Year&gt;2001&lt;/Year&gt;&lt;RecNum&gt;182&lt;/RecNum&gt;&lt;DisplayText&gt;&lt;style face="superscript"&gt;35&lt;/style&gt;&lt;/DisplayText&gt;&lt;record&gt;&lt;rec-number&gt;182&lt;/rec-number&gt;&lt;foreign-keys&gt;&lt;key app="EN" db-id="dawtr0zrkrzfa5edzzlpe2we0xa00t90vvr2" timestamp="1655259274"&gt;182&lt;/key&gt;&lt;/foreign-keys&gt;&lt;ref-type name="Journal Article"&gt;17&lt;/ref-type&gt;&lt;contributors&gt;&lt;authors&gt;&lt;author&gt;Connor, K. M.&lt;/author&gt;&lt;author&gt;Kobak, K. A.&lt;/author&gt;&lt;author&gt;Churchill, L. E.&lt;/author&gt;&lt;author&gt;Katzelnick, D.&lt;/author&gt;&lt;author&gt;Davidson, J. R. T.&lt;/author&gt;&lt;/authors&gt;&lt;/contributors&gt;&lt;auth-address&gt;Duke Univ, Med Ctr, Dept Psychiat &amp;amp; Behav Sci, Durham, NC 27710 USA. Dean Fdn, Madison, WI USA.&amp;#xD;Connor, KM (corresponding author), Duke Univ, Med Ctr, Dept Psychiat &amp;amp; Behav Sci, Box 3812, Durham, NC 27710 USA.&lt;/auth-address&gt;&lt;titles&gt;&lt;title&gt;Mini-spin: A brief screening assessment for generalized social anxiety disorder&lt;/title&gt;&lt;secondary-title&gt;Depression and Anxiety&lt;/secondary-title&gt;&lt;alt-title&gt;Depress. Anxiety&lt;/alt-title&gt;&lt;/titles&gt;&lt;periodical&gt;&lt;full-title&gt;Depression and Anxiety&lt;/full-title&gt;&lt;/periodical&gt;&lt;pages&gt;137-140&lt;/pages&gt;&lt;volume&gt;14&lt;/volume&gt;&lt;number&gt;2&lt;/number&gt;&lt;keywords&gt;&lt;keyword&gt;diagnostic screening&lt;/keyword&gt;&lt;keyword&gt;generalized social phobia&lt;/keyword&gt;&lt;keyword&gt;generalized social&lt;/keyword&gt;&lt;keyword&gt;anxiety disorder&lt;/keyword&gt;&lt;keyword&gt;phobia&lt;/keyword&gt;&lt;keyword&gt;comorbidity&lt;/keyword&gt;&lt;keyword&gt;Psychology&lt;/keyword&gt;&lt;keyword&gt;Psychiatry&lt;/keyword&gt;&lt;/keywords&gt;&lt;dates&gt;&lt;year&gt;2001&lt;/year&gt;&lt;/dates&gt;&lt;isbn&gt;1091-4269&lt;/isbn&gt;&lt;accession-num&gt;WOS:000171321000010&lt;/accession-num&gt;&lt;work-type&gt;Article&lt;/work-type&gt;&lt;urls&gt;&lt;related-urls&gt;&lt;url&gt;&amp;lt;Go to ISI&amp;gt;://WOS:000171321000010&lt;/url&gt;&lt;/related-urls&gt;&lt;/urls&gt;&lt;electronic-resource-num&gt;10.1002/da.1055&lt;/electronic-resource-num&gt;&lt;language&gt;English&lt;/language&gt;&lt;/record&gt;&lt;/Cite&gt;&lt;/EndNote&gt;</w:instrText>
      </w:r>
      <w:r w:rsidR="00E75D13">
        <w:rPr>
          <w:sz w:val="16"/>
          <w:szCs w:val="16"/>
        </w:rPr>
        <w:fldChar w:fldCharType="separate"/>
      </w:r>
      <w:r w:rsidR="004469A2" w:rsidRPr="004469A2">
        <w:rPr>
          <w:noProof/>
          <w:sz w:val="16"/>
          <w:szCs w:val="16"/>
          <w:vertAlign w:val="superscript"/>
        </w:rPr>
        <w:t>35</w:t>
      </w:r>
      <w:r w:rsidR="00E75D13">
        <w:rPr>
          <w:sz w:val="16"/>
          <w:szCs w:val="16"/>
        </w:rPr>
        <w:fldChar w:fldCharType="end"/>
      </w:r>
      <w:r w:rsidR="0028010F" w:rsidRPr="00140192">
        <w:rPr>
          <w:sz w:val="16"/>
          <w:szCs w:val="16"/>
        </w:rPr>
        <w:t xml:space="preserve"> stress symptoms associated with a traumatic event experienced</w:t>
      </w:r>
      <w:r w:rsidR="00693B2C" w:rsidRPr="00140192">
        <w:rPr>
          <w:sz w:val="16"/>
          <w:szCs w:val="16"/>
        </w:rPr>
        <w:t xml:space="preserve"> (</w:t>
      </w:r>
      <w:r w:rsidR="00114381" w:rsidRPr="00140192">
        <w:rPr>
          <w:rFonts w:asciiTheme="minorHAnsi" w:hAnsiTheme="minorHAnsi" w:cstheme="minorHAnsi"/>
          <w:sz w:val="16"/>
          <w:szCs w:val="16"/>
        </w:rPr>
        <w:t>Posttraumatic Stress Disorder Checklist</w:t>
      </w:r>
      <w:r w:rsidR="00114381" w:rsidRPr="00140192">
        <w:rPr>
          <w:sz w:val="16"/>
          <w:szCs w:val="16"/>
        </w:rPr>
        <w:t xml:space="preserve"> [</w:t>
      </w:r>
      <w:r w:rsidR="0028010F" w:rsidRPr="00140192">
        <w:rPr>
          <w:sz w:val="16"/>
          <w:szCs w:val="16"/>
        </w:rPr>
        <w:t>PCL-</w:t>
      </w:r>
      <w:r w:rsidR="009F55B9" w:rsidRPr="00140192">
        <w:rPr>
          <w:sz w:val="16"/>
          <w:szCs w:val="16"/>
        </w:rPr>
        <w:t>C</w:t>
      </w:r>
      <w:r w:rsidR="00114381" w:rsidRPr="00140192">
        <w:rPr>
          <w:sz w:val="16"/>
          <w:szCs w:val="16"/>
        </w:rPr>
        <w:t>]</w:t>
      </w:r>
      <w:r w:rsidR="00693B2C" w:rsidRPr="00140192">
        <w:rPr>
          <w:sz w:val="16"/>
          <w:szCs w:val="16"/>
        </w:rPr>
        <w:t>)</w:t>
      </w:r>
      <w:r w:rsidR="00FC2A04" w:rsidRPr="00140192">
        <w:rPr>
          <w:sz w:val="16"/>
          <w:szCs w:val="16"/>
        </w:rPr>
        <w:t>;</w:t>
      </w:r>
      <w:r w:rsidR="00E75D13">
        <w:rPr>
          <w:sz w:val="16"/>
          <w:szCs w:val="16"/>
        </w:rPr>
        <w:fldChar w:fldCharType="begin"/>
      </w:r>
      <w:r w:rsidR="004469A2">
        <w:rPr>
          <w:sz w:val="16"/>
          <w:szCs w:val="16"/>
        </w:rPr>
        <w:instrText xml:space="preserve"> ADDIN EN.CITE &lt;EndNote&gt;&lt;Cite&gt;&lt;Author&gt;Weathers&lt;/Author&gt;&lt;Year&gt;1994&lt;/Year&gt;&lt;RecNum&gt;184&lt;/RecNum&gt;&lt;DisplayText&gt;&lt;style face="superscript"&gt;36&lt;/style&gt;&lt;/DisplayText&gt;&lt;record&gt;&lt;rec-number&gt;184&lt;/rec-number&gt;&lt;foreign-keys&gt;&lt;key app="EN" db-id="dawtr0zrkrzfa5edzzlpe2we0xa00t90vvr2" timestamp="1655259461"&gt;184&lt;/key&gt;&lt;/foreign-keys&gt;&lt;ref-type name="Book"&gt;6&lt;/ref-type&gt;&lt;contributors&gt;&lt;authors&gt;&lt;author&gt;Weathers, F.W.&lt;/author&gt;&lt;author&gt; Litz, B.T.&lt;/author&gt;&lt;author&gt; Huska, J.A.&lt;/author&gt;&lt;author&gt; Keane, T.M.&lt;/author&gt;&lt;/authors&gt;&lt;/contributors&gt;&lt;titles&gt;&lt;title&gt;PCL-C for DSM-IV&lt;/title&gt;&lt;/titles&gt;&lt;dates&gt;&lt;year&gt;1994&lt;/year&gt;&lt;/dates&gt;&lt;pub-location&gt;Boston&lt;/pub-location&gt;&lt;publisher&gt;National Centre for PTSD, Behavioral Science Divison&lt;/publisher&gt;&lt;urls&gt;&lt;/urls&gt;&lt;/record&gt;&lt;/Cite&gt;&lt;/EndNote&gt;</w:instrText>
      </w:r>
      <w:r w:rsidR="00E75D13">
        <w:rPr>
          <w:sz w:val="16"/>
          <w:szCs w:val="16"/>
        </w:rPr>
        <w:fldChar w:fldCharType="separate"/>
      </w:r>
      <w:r w:rsidR="004469A2" w:rsidRPr="004469A2">
        <w:rPr>
          <w:noProof/>
          <w:sz w:val="16"/>
          <w:szCs w:val="16"/>
          <w:vertAlign w:val="superscript"/>
        </w:rPr>
        <w:t>36</w:t>
      </w:r>
      <w:r w:rsidR="00E75D13">
        <w:rPr>
          <w:sz w:val="16"/>
          <w:szCs w:val="16"/>
        </w:rPr>
        <w:fldChar w:fldCharType="end"/>
      </w:r>
      <w:r w:rsidR="0028010F" w:rsidRPr="00140192">
        <w:rPr>
          <w:sz w:val="16"/>
          <w:szCs w:val="16"/>
        </w:rPr>
        <w:t xml:space="preserve"> compulsive behaviours </w:t>
      </w:r>
      <w:r w:rsidR="00693B2C" w:rsidRPr="00140192">
        <w:rPr>
          <w:sz w:val="16"/>
          <w:szCs w:val="16"/>
        </w:rPr>
        <w:t>(</w:t>
      </w:r>
      <w:r w:rsidR="008D709F" w:rsidRPr="00140192">
        <w:rPr>
          <w:sz w:val="16"/>
          <w:szCs w:val="16"/>
        </w:rPr>
        <w:t>Obsessive Compulsive Inventory – Short Version [</w:t>
      </w:r>
      <w:r w:rsidR="0028010F" w:rsidRPr="00140192">
        <w:rPr>
          <w:sz w:val="16"/>
          <w:szCs w:val="16"/>
        </w:rPr>
        <w:t>Mini OCI-R</w:t>
      </w:r>
      <w:r w:rsidR="008D709F" w:rsidRPr="00140192">
        <w:rPr>
          <w:sz w:val="16"/>
          <w:szCs w:val="16"/>
        </w:rPr>
        <w:t>]</w:t>
      </w:r>
      <w:r w:rsidR="00693B2C" w:rsidRPr="00140192">
        <w:rPr>
          <w:sz w:val="16"/>
          <w:szCs w:val="16"/>
        </w:rPr>
        <w:t>)</w:t>
      </w:r>
      <w:r w:rsidR="00FC2A04" w:rsidRPr="00140192">
        <w:rPr>
          <w:sz w:val="16"/>
          <w:szCs w:val="16"/>
        </w:rPr>
        <w:t>;</w:t>
      </w:r>
      <w:r w:rsidR="00E75D13">
        <w:rPr>
          <w:sz w:val="16"/>
          <w:szCs w:val="16"/>
        </w:rPr>
        <w:fldChar w:fldCharType="begin"/>
      </w:r>
      <w:r w:rsidR="004469A2">
        <w:rPr>
          <w:sz w:val="16"/>
          <w:szCs w:val="16"/>
        </w:rPr>
        <w:instrText xml:space="preserve"> ADDIN EN.CITE &lt;EndNote&gt;&lt;Cite&gt;&lt;Author&gt;Foa&lt;/Author&gt;&lt;Year&gt;2002&lt;/Year&gt;&lt;RecNum&gt;177&lt;/RecNum&gt;&lt;DisplayText&gt;&lt;style face="superscript"&gt;37&lt;/style&gt;&lt;/DisplayText&gt;&lt;record&gt;&lt;rec-number&gt;177&lt;/rec-number&gt;&lt;foreign-keys&gt;&lt;key app="EN" db-id="dawtr0zrkrzfa5edzzlpe2we0xa00t90vvr2" timestamp="1655259274"&gt;177&lt;/key&gt;&lt;/foreign-keys&gt;&lt;ref-type name="Journal Article"&gt;17&lt;/ref-type&gt;&lt;contributors&gt;&lt;authors&gt;&lt;author&gt;Foa, E. B.&lt;/author&gt;&lt;author&gt;Huppert, J. D.&lt;/author&gt;&lt;author&gt;Leiberg, S.&lt;/author&gt;&lt;author&gt;Langner, R.&lt;/author&gt;&lt;author&gt;Kichic, R.&lt;/author&gt;&lt;author&gt;Hajcak, G.&lt;/author&gt;&lt;author&gt;Salkovskis, P. M.&lt;/author&gt;&lt;/authors&gt;&lt;/contributors&gt;&lt;auth-address&gt;Univ Penn, Ctr Treatment &amp;amp; Study Anxiety, Philadelphia, PA 19104 USA. Univ Delaware, Dept Psychol, Newark, DE 19716 USA. Univ London, Inst Psychiat, London WC1E 7HU, England.&amp;#xD;Foa, EB (corresponding author), Univ Penn, Ctr Treatment &amp;amp; Study Anxiety, 3535 Market St,Suite 600N, Philadelphia, PA 19104 USA.&amp;#xD;foa@mail.med.upenn.edu&lt;/auth-address&gt;&lt;titles&gt;&lt;title&gt;The obsessive-compulsive inventory: Development and validation of a short version&lt;/title&gt;&lt;secondary-title&gt;Psychological Assessment&lt;/secondary-title&gt;&lt;alt-title&gt;Psychol. Assess.&lt;/alt-title&gt;&lt;/titles&gt;&lt;periodical&gt;&lt;full-title&gt;Psychological Assessment&lt;/full-title&gt;&lt;abbr-1&gt;Psychol. Assess.&lt;/abbr-1&gt;&lt;/periodical&gt;&lt;alt-periodical&gt;&lt;full-title&gt;Psychological Assessment&lt;/full-title&gt;&lt;abbr-1&gt;Psychol. Assess.&lt;/abbr-1&gt;&lt;/alt-periodical&gt;&lt;pages&gt;485-496&lt;/pages&gt;&lt;volume&gt;14&lt;/volume&gt;&lt;number&gt;4&lt;/number&gt;&lt;keywords&gt;&lt;keyword&gt;reliability&lt;/keyword&gt;&lt;keyword&gt;disorder&lt;/keyword&gt;&lt;keyword&gt;validity&lt;/keyword&gt;&lt;keyword&gt;scale&lt;/keyword&gt;&lt;keyword&gt;Psychology&lt;/keyword&gt;&lt;/keywords&gt;&lt;dates&gt;&lt;year&gt;2002&lt;/year&gt;&lt;pub-dates&gt;&lt;date&gt;Dec&lt;/date&gt;&lt;/pub-dates&gt;&lt;/dates&gt;&lt;isbn&gt;1040-3590&lt;/isbn&gt;&lt;accession-num&gt;WOS:000179732700012&lt;/accession-num&gt;&lt;work-type&gt;Article&lt;/work-type&gt;&lt;urls&gt;&lt;related-urls&gt;&lt;url&gt;&amp;lt;Go to ISI&amp;gt;://WOS:000179732700012&lt;/url&gt;&lt;/related-urls&gt;&lt;/urls&gt;&lt;electronic-resource-num&gt;10.1037//1040-3590.14.4.485&lt;/electronic-resource-num&gt;&lt;language&gt;English&lt;/language&gt;&lt;/record&gt;&lt;/Cite&gt;&lt;/EndNote&gt;</w:instrText>
      </w:r>
      <w:r w:rsidR="00E75D13">
        <w:rPr>
          <w:sz w:val="16"/>
          <w:szCs w:val="16"/>
        </w:rPr>
        <w:fldChar w:fldCharType="separate"/>
      </w:r>
      <w:r w:rsidR="004469A2" w:rsidRPr="004469A2">
        <w:rPr>
          <w:noProof/>
          <w:sz w:val="16"/>
          <w:szCs w:val="16"/>
          <w:vertAlign w:val="superscript"/>
        </w:rPr>
        <w:t>37</w:t>
      </w:r>
      <w:r w:rsidR="00E75D13">
        <w:rPr>
          <w:sz w:val="16"/>
          <w:szCs w:val="16"/>
        </w:rPr>
        <w:fldChar w:fldCharType="end"/>
      </w:r>
      <w:r w:rsidR="0028010F" w:rsidRPr="00140192">
        <w:rPr>
          <w:sz w:val="16"/>
          <w:szCs w:val="16"/>
        </w:rPr>
        <w:t xml:space="preserve"> health anxiety</w:t>
      </w:r>
      <w:r w:rsidR="00693B2C" w:rsidRPr="00140192">
        <w:rPr>
          <w:sz w:val="16"/>
          <w:szCs w:val="16"/>
        </w:rPr>
        <w:t xml:space="preserve"> (</w:t>
      </w:r>
      <w:r w:rsidR="0028010F" w:rsidRPr="00140192">
        <w:rPr>
          <w:sz w:val="16"/>
          <w:szCs w:val="16"/>
        </w:rPr>
        <w:t>Whiteley-7</w:t>
      </w:r>
      <w:r w:rsidR="00693B2C" w:rsidRPr="00140192">
        <w:rPr>
          <w:sz w:val="16"/>
          <w:szCs w:val="16"/>
        </w:rPr>
        <w:t>)</w:t>
      </w:r>
      <w:r w:rsidR="00FC2A04" w:rsidRPr="00140192">
        <w:rPr>
          <w:sz w:val="16"/>
          <w:szCs w:val="16"/>
        </w:rPr>
        <w:t>;</w:t>
      </w:r>
      <w:r w:rsidR="00E75D13">
        <w:rPr>
          <w:sz w:val="16"/>
          <w:szCs w:val="16"/>
        </w:rPr>
        <w:fldChar w:fldCharType="begin">
          <w:fldData xml:space="preserve">PEVuZE5vdGU+PENpdGU+PEF1dGhvcj5GaW5rPC9BdXRob3I+PFllYXI+MTk5OTwvWWVhcj48UmVj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</w:fldData>
        </w:fldChar>
      </w:r>
      <w:r w:rsidR="004469A2">
        <w:rPr>
          <w:sz w:val="16"/>
          <w:szCs w:val="16"/>
        </w:rPr>
        <w:instrText xml:space="preserve"> ADDIN EN.CITE </w:instrText>
      </w:r>
      <w:r w:rsidR="004469A2">
        <w:rPr>
          <w:sz w:val="16"/>
          <w:szCs w:val="16"/>
        </w:rPr>
        <w:fldChar w:fldCharType="begin">
          <w:fldData xml:space="preserve">PEVuZE5vdGU+PENpdGU+PEF1dGhvcj5GaW5rPC9BdXRob3I+PFllYXI+MTk5OTwvWWVhcj48UmVj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</w:fldData>
        </w:fldChar>
      </w:r>
      <w:r w:rsidR="004469A2">
        <w:rPr>
          <w:sz w:val="16"/>
          <w:szCs w:val="16"/>
        </w:rPr>
        <w:instrText xml:space="preserve"> ADDIN EN.CITE.DATA </w:instrText>
      </w:r>
      <w:r w:rsidR="004469A2">
        <w:rPr>
          <w:sz w:val="16"/>
          <w:szCs w:val="16"/>
        </w:rPr>
      </w:r>
      <w:r w:rsidR="004469A2">
        <w:rPr>
          <w:sz w:val="16"/>
          <w:szCs w:val="16"/>
        </w:rPr>
        <w:fldChar w:fldCharType="end"/>
      </w:r>
      <w:r w:rsidR="00E75D13">
        <w:rPr>
          <w:sz w:val="16"/>
          <w:szCs w:val="16"/>
        </w:rPr>
      </w:r>
      <w:r w:rsidR="00E75D13">
        <w:rPr>
          <w:sz w:val="16"/>
          <w:szCs w:val="16"/>
        </w:rPr>
        <w:fldChar w:fldCharType="separate"/>
      </w:r>
      <w:r w:rsidR="004469A2" w:rsidRPr="004469A2">
        <w:rPr>
          <w:noProof/>
          <w:sz w:val="16"/>
          <w:szCs w:val="16"/>
          <w:vertAlign w:val="superscript"/>
        </w:rPr>
        <w:t>38</w:t>
      </w:r>
      <w:r w:rsidR="00E75D13">
        <w:rPr>
          <w:sz w:val="16"/>
          <w:szCs w:val="16"/>
        </w:rPr>
        <w:fldChar w:fldCharType="end"/>
      </w:r>
      <w:r w:rsidR="00693B2C" w:rsidRPr="00140192">
        <w:rPr>
          <w:sz w:val="16"/>
          <w:szCs w:val="16"/>
        </w:rPr>
        <w:t xml:space="preserve"> and</w:t>
      </w:r>
      <w:r w:rsidR="0028010F" w:rsidRPr="00140192">
        <w:rPr>
          <w:sz w:val="16"/>
          <w:szCs w:val="16"/>
        </w:rPr>
        <w:t xml:space="preserve"> type of insomnia experienced, its severity and impact</w:t>
      </w:r>
      <w:r w:rsidR="00693B2C" w:rsidRPr="00140192">
        <w:rPr>
          <w:sz w:val="16"/>
          <w:szCs w:val="16"/>
        </w:rPr>
        <w:t xml:space="preserve"> </w:t>
      </w:r>
      <w:r w:rsidR="00EB7463" w:rsidRPr="00140192">
        <w:rPr>
          <w:sz w:val="16"/>
          <w:szCs w:val="16"/>
        </w:rPr>
        <w:t>(</w:t>
      </w:r>
      <w:r w:rsidR="00EB7463" w:rsidRPr="00140192">
        <w:rPr>
          <w:rFonts w:asciiTheme="minorHAnsi" w:hAnsiTheme="minorHAnsi" w:cstheme="minorHAnsi"/>
          <w:sz w:val="16"/>
          <w:szCs w:val="16"/>
        </w:rPr>
        <w:t>Insomnia Severity Index</w:t>
      </w:r>
      <w:r w:rsidR="00EB7463" w:rsidRPr="00140192">
        <w:rPr>
          <w:sz w:val="16"/>
          <w:szCs w:val="16"/>
        </w:rPr>
        <w:t xml:space="preserve"> [</w:t>
      </w:r>
      <w:r w:rsidR="0028010F" w:rsidRPr="00140192">
        <w:rPr>
          <w:sz w:val="16"/>
          <w:szCs w:val="16"/>
        </w:rPr>
        <w:t>ISI</w:t>
      </w:r>
      <w:r w:rsidR="00EB7463" w:rsidRPr="00140192">
        <w:rPr>
          <w:sz w:val="16"/>
          <w:szCs w:val="16"/>
        </w:rPr>
        <w:t>]</w:t>
      </w:r>
      <w:r w:rsidR="00693B2C" w:rsidRPr="00140192">
        <w:rPr>
          <w:sz w:val="16"/>
          <w:szCs w:val="16"/>
        </w:rPr>
        <w:t>).</w:t>
      </w:r>
      <w:r w:rsidR="00E75D13">
        <w:rPr>
          <w:sz w:val="16"/>
          <w:szCs w:val="16"/>
        </w:rPr>
        <w:fldChar w:fldCharType="begin"/>
      </w:r>
      <w:r w:rsidR="004469A2">
        <w:rPr>
          <w:sz w:val="16"/>
          <w:szCs w:val="16"/>
        </w:rPr>
        <w:instrText xml:space="preserve"> ADDIN EN.CITE &lt;EndNote&gt;&lt;Cite&gt;&lt;Author&gt;Bastien&lt;/Author&gt;&lt;Year&gt;2001&lt;/Year&gt;&lt;RecNum&gt;181&lt;/RecNum&gt;&lt;DisplayText&gt;&lt;style face="superscript"&gt;39&lt;/style&gt;&lt;/DisplayText&gt;&lt;record&gt;&lt;rec-number&gt;181&lt;/rec-number&gt;&lt;foreign-keys&gt;&lt;key app="EN" db-id="dawtr0zrkrzfa5edzzlpe2we0xa00t90vvr2" timestamp="1655259274"&gt;181&lt;/key&gt;&lt;/foreign-keys&gt;&lt;ref-type name="Journal Article"&gt;17&lt;/ref-type&gt;&lt;contributors&gt;&lt;authors&gt;&lt;author&gt;Bastien, C. H.&lt;/author&gt;&lt;author&gt;Vallieres, A.&lt;/author&gt;&lt;author&gt;Morin, C. M.&lt;/author&gt;&lt;/authors&gt;&lt;/contributors&gt;&lt;auth-address&gt;[Morin, Charles M.] Univ Laval, Ecole Psychol, Ste Foy, PQ G1K 7P4, Canada. Univ Laval, Ctr Etud Troubles Sommeil, Ste Foy, PQ G1K 7P4, Canada.&amp;#xD;Morin, CM (corresponding author), Univ Laval, Ecole Psychol, Ste Foy, PQ G1K 7P4, Canada.&amp;#xD;cmorin@psy.ulaval.ca&lt;/auth-address&gt;&lt;titles&gt;&lt;title&gt;Validation of the Insomnia Severity Index as an outcome measure for insomnia research&lt;/title&gt;&lt;secondary-title&gt;Sleep Medicine&lt;/secondary-title&gt;&lt;alt-title&gt;Sleep Med.&lt;/alt-title&gt;&lt;/titles&gt;&lt;periodical&gt;&lt;full-title&gt;Sleep Medicine&lt;/full-title&gt;&lt;abbr-1&gt;Sleep Med.&lt;/abbr-1&gt;&lt;/periodical&gt;&lt;alt-periodical&gt;&lt;full-title&gt;Sleep Medicine&lt;/full-title&gt;&lt;abbr-1&gt;Sleep Med.&lt;/abbr-1&gt;&lt;/alt-periodical&gt;&lt;pages&gt;297-307&lt;/pages&gt;&lt;volume&gt;2&lt;/volume&gt;&lt;number&gt;4&lt;/number&gt;&lt;keywords&gt;&lt;keyword&gt;Insomnia&lt;/keyword&gt;&lt;keyword&gt;Sleep&lt;/keyword&gt;&lt;keyword&gt;Assessment&lt;/keyword&gt;&lt;keyword&gt;Measure&lt;/keyword&gt;&lt;keyword&gt;Severity&lt;/keyword&gt;&lt;keyword&gt;Evaluation&lt;/keyword&gt;&lt;keyword&gt;Neurosciences &amp;amp; Neurology&lt;/keyword&gt;&lt;/keywords&gt;&lt;dates&gt;&lt;year&gt;2001&lt;/year&gt;&lt;pub-dates&gt;&lt;date&gt;Jul&lt;/date&gt;&lt;/pub-dates&gt;&lt;/dates&gt;&lt;isbn&gt;1389-9457&lt;/isbn&gt;&lt;accession-num&gt;WOS:000208301100003&lt;/accession-num&gt;&lt;work-type&gt;Article&lt;/work-type&gt;&lt;urls&gt;&lt;related-urls&gt;&lt;url&gt;&amp;lt;Go to ISI&amp;gt;://WOS:000208301100003&lt;/url&gt;&lt;/related-urls&gt;&lt;/urls&gt;&lt;custom7&gt;Pii s1389-9457(00)00065-4&lt;/custom7&gt;&lt;electronic-resource-num&gt;10.1016/s1389-9457(00)00065-4&lt;/electronic-resource-num&gt;&lt;language&gt;English&lt;/language&gt;&lt;/record&gt;&lt;/Cite&gt;&lt;/EndNote&gt;</w:instrText>
      </w:r>
      <w:r w:rsidR="00E75D13">
        <w:rPr>
          <w:sz w:val="16"/>
          <w:szCs w:val="16"/>
        </w:rPr>
        <w:fldChar w:fldCharType="separate"/>
      </w:r>
      <w:r w:rsidR="004469A2" w:rsidRPr="004469A2">
        <w:rPr>
          <w:noProof/>
          <w:sz w:val="16"/>
          <w:szCs w:val="16"/>
          <w:vertAlign w:val="superscript"/>
        </w:rPr>
        <w:t>39</w:t>
      </w:r>
      <w:r w:rsidR="00E75D13">
        <w:rPr>
          <w:sz w:val="16"/>
          <w:szCs w:val="16"/>
        </w:rPr>
        <w:fldChar w:fldCharType="end"/>
      </w:r>
    </w:p>
    <w:p w14:paraId="12D8EFF8" w14:textId="77777777" w:rsidR="00E9139A" w:rsidRDefault="00CB2D34" w:rsidP="00140C5B">
      <w:pPr>
        <w:pStyle w:val="Heading3"/>
        <w:numPr>
          <w:ilvl w:val="2"/>
          <w:numId w:val="136"/>
        </w:numPr>
      </w:pPr>
      <w:r>
        <w:t xml:space="preserve">Uptake of </w:t>
      </w:r>
      <w:r w:rsidR="00DF14CA">
        <w:t>THIS WAY UP</w:t>
      </w:r>
      <w:r>
        <w:t xml:space="preserve"> treatment over time</w:t>
      </w:r>
    </w:p>
    <w:p w14:paraId="39C9F2BF" w14:textId="68D0ED2F" w:rsidR="00975C37" w:rsidRPr="009C4137" w:rsidRDefault="00975C37" w:rsidP="00397E22">
      <w:pPr>
        <w:pStyle w:val="ANorm"/>
        <w:spacing w:after="240"/>
      </w:pPr>
      <w:r w:rsidRPr="0041391C">
        <w:t>Figure 3 shows the uptake of THIS WAY UP clinician-supported and self-directed treatment over time from July 2015 to December 2021.</w:t>
      </w:r>
    </w:p>
    <w:p w14:paraId="3DA17F89" w14:textId="3228113F" w:rsidR="00313335" w:rsidRDefault="00975C37" w:rsidP="00397E22">
      <w:pPr>
        <w:pStyle w:val="ANorm"/>
        <w:spacing w:after="240"/>
      </w:pPr>
      <w:r w:rsidRPr="00AD291F">
        <w:t>The number</w:t>
      </w:r>
      <w:r w:rsidR="00296ADE" w:rsidRPr="00AD291F">
        <w:t xml:space="preserve"> of consumers</w:t>
      </w:r>
      <w:r w:rsidRPr="00AD291F">
        <w:t xml:space="preserve"> enrolling were initially approximately equal for both </w:t>
      </w:r>
      <w:r w:rsidR="00413603" w:rsidRPr="00AD291F">
        <w:t>therapist</w:t>
      </w:r>
      <w:r w:rsidRPr="00AD291F">
        <w:t xml:space="preserve">-supported and self-directed treatments (e.g., 107 vs 109 in late 2015). Enrolments for both treatment types increased from late 2015 until late 2021; however, trends were quite different. </w:t>
      </w:r>
      <w:r w:rsidR="0098288D" w:rsidRPr="0098288D">
        <w:t xml:space="preserve">There was a slow increase for therapist-supported treatment </w:t>
      </w:r>
      <w:r w:rsidRPr="00AD291F">
        <w:t xml:space="preserve">from early 2016 </w:t>
      </w:r>
      <w:r w:rsidR="0098288D">
        <w:t>to</w:t>
      </w:r>
      <w:r w:rsidRPr="00AD291F">
        <w:t xml:space="preserve"> </w:t>
      </w:r>
      <w:r w:rsidR="006A6A11">
        <w:t xml:space="preserve">late </w:t>
      </w:r>
      <w:r w:rsidRPr="00AD291F">
        <w:t>2019, then a much steeper increase from early 2020-late 2021. For self-directed treatment, the increase remained slow for all time periods, excluding a very large increase in early 2020</w:t>
      </w:r>
      <w:r w:rsidR="007B64D7">
        <w:t>,</w:t>
      </w:r>
      <w:r w:rsidRPr="00AD291F">
        <w:t xml:space="preserve"> which was not sustained. Due to these underlying trends, the proportion of enrolments for</w:t>
      </w:r>
      <w:r w:rsidR="00AD291F" w:rsidRPr="00AD291F">
        <w:t xml:space="preserve"> therapist</w:t>
      </w:r>
      <w:r w:rsidRPr="00AD291F">
        <w:t>-supported treatment increased from approximately 50% in late 2015 to 85% in late 2021.</w:t>
      </w:r>
    </w:p>
    <w:p w14:paraId="2B02014E" w14:textId="77777777" w:rsidR="00293526" w:rsidRDefault="00293526" w:rsidP="00293526">
      <w:pPr>
        <w:pStyle w:val="ANorm"/>
        <w:spacing w:after="200"/>
      </w:pPr>
      <w:r w:rsidRPr="00C700F4">
        <w:t>The number</w:t>
      </w:r>
      <w:r>
        <w:t>s of consumer</w:t>
      </w:r>
      <w:r w:rsidRPr="00C700F4">
        <w:t>s starting treatment followed very similar trends – initially roughly equally distributed between therapist-supported and self-directed treatment but climbing to 84% for therapist-supported treatment in late 2021. Initially (in late 2015)</w:t>
      </w:r>
      <w:r>
        <w:t>,</w:t>
      </w:r>
      <w:r w:rsidRPr="00C700F4">
        <w:t xml:space="preserve"> approximately 95% of enrolled individuals started courses, but this gradually reduced to 79% (therapist-supported) and 87% (self-directed) by late </w:t>
      </w:r>
      <w:r w:rsidRPr="00F725F5">
        <w:t>2021.</w:t>
      </w:r>
    </w:p>
    <w:p w14:paraId="06F8E2C2" w14:textId="77777777" w:rsidR="00293526" w:rsidRPr="00F725F5" w:rsidRDefault="00293526" w:rsidP="00293526">
      <w:pPr>
        <w:pStyle w:val="ANorm"/>
        <w:spacing w:after="200"/>
      </w:pPr>
      <w:r w:rsidRPr="00F725F5">
        <w:t>The numbers of consumers who completed (</w:t>
      </w:r>
      <w:r>
        <w:t>two-thirds</w:t>
      </w:r>
      <w:r w:rsidRPr="00F725F5">
        <w:t xml:space="preserve"> or more) </w:t>
      </w:r>
      <w:r>
        <w:t>treatment courses</w:t>
      </w:r>
      <w:r w:rsidRPr="00F725F5">
        <w:t xml:space="preserve"> were also similar, starting at 57 (therapist-supported) and 44 (self-directed) in late 2015 and increasing to 4,282 (therapist-supported) and 946 (self-directed) in late 2021. The proportion completing therapist-supported treatment (of those who started treatment) decreased over time from 55% to 47%, </w:t>
      </w:r>
      <w:r>
        <w:t>and</w:t>
      </w:r>
      <w:r w:rsidRPr="00F725F5">
        <w:t xml:space="preserve"> the proportion completing self-directed treatment increased slightly from 43% in late 2015 to 53% in late 2021.</w:t>
      </w:r>
    </w:p>
    <w:p w14:paraId="151FE2A7" w14:textId="77777777" w:rsidR="00293526" w:rsidRPr="00F725F5" w:rsidRDefault="00293526" w:rsidP="00293526">
      <w:pPr>
        <w:pStyle w:val="ANorm"/>
        <w:spacing w:after="200"/>
      </w:pPr>
      <w:r w:rsidRPr="00D07A5A">
        <w:t xml:space="preserve">Current therapist-supported treatment completion rates should be interpreted in the context of the COVID-19 pandemic, disruptions to face-to-face mental health services, and removal of THIS WAY UP program fees. Due to post-COVID-19 increased access and uptake, the overall number of treated consumers is considerably greater despite lower treatment completion rates. Before 2020, the mean six-monthly count of therapist-supported treatment completers was 277. The equivalent mean count in 2020 and 2021 was 2,735 representing </w:t>
      </w:r>
      <w:r w:rsidRPr="00F409E8">
        <w:t>a 987% increase</w:t>
      </w:r>
      <w:r w:rsidRPr="00D07A5A">
        <w:t xml:space="preserve"> in the number of consumers comp</w:t>
      </w:r>
      <w:r>
        <w:t>l</w:t>
      </w:r>
      <w:r w:rsidRPr="00D07A5A">
        <w:t>eting treatment.</w:t>
      </w:r>
    </w:p>
    <w:p w14:paraId="0346E0A9" w14:textId="77777777" w:rsidR="00293526" w:rsidRDefault="00293526" w:rsidP="00293526">
      <w:pPr>
        <w:pStyle w:val="ANorm"/>
        <w:spacing w:after="200"/>
      </w:pPr>
      <w:r w:rsidRPr="00AD291F">
        <w:t>Given the inconsistency of observed trends in THIS WAY UP’s uptake data, it was not appropriate to fit Poisson models.</w:t>
      </w:r>
    </w:p>
    <w:p w14:paraId="2C30B214" w14:textId="77777777" w:rsidR="00293526" w:rsidRDefault="00293526" w:rsidP="00397E22">
      <w:pPr>
        <w:pStyle w:val="ANorm"/>
        <w:spacing w:after="240"/>
      </w:pPr>
    </w:p>
    <w:p w14:paraId="7AE628F7" w14:textId="360627D2" w:rsidR="00313335" w:rsidRPr="00532662" w:rsidRDefault="00313335" w:rsidP="00532662">
      <w:pPr>
        <w:pStyle w:val="ANorm"/>
      </w:pPr>
    </w:p>
    <w:p w14:paraId="13D6705E" w14:textId="01A6F330" w:rsidR="00B52F9F" w:rsidRDefault="00B52F9F" w:rsidP="00C570E4">
      <w:pPr>
        <w:pStyle w:val="ANorm"/>
        <w:ind w:left="-284"/>
        <w:jc w:val="center"/>
      </w:pPr>
      <w:r>
        <w:rPr>
          <w:noProof/>
          <w:lang w:eastAsia="en-AU"/>
        </w:rPr>
        <w:lastRenderedPageBreak/>
        <w:drawing>
          <wp:inline distT="0" distB="0" distL="0" distR="0" wp14:anchorId="7CCC3055" wp14:editId="193C639D">
            <wp:extent cx="6146800" cy="3797300"/>
            <wp:effectExtent l="0" t="0" r="12700" b="12700"/>
            <wp:docPr id="34" name="Chart 34" descr="Figure describing uptake of THIS WAY UP therapist-supported treatment by half year from January 2015 to December 2021. Uptake data include the numbers of consumers who enrol in, commence and complete (4 or more sessions of) treatment.">
              <a:extLst xmlns:a="http://schemas.openxmlformats.org/drawingml/2006/main">
                <a:ext uri="{FF2B5EF4-FFF2-40B4-BE49-F238E27FC236}">
                  <a16:creationId xmlns:a16="http://schemas.microsoft.com/office/drawing/2014/main" id="{34F4C54D-1B00-4E7B-CCC2-EDAFA39A42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E5BA3F5" w14:textId="5ADB59B1" w:rsidR="00293526" w:rsidRPr="00DD3B57" w:rsidRDefault="00293526" w:rsidP="00293526">
      <w:pPr>
        <w:pStyle w:val="ANorm"/>
        <w:spacing w:after="200"/>
        <w:jc w:val="center"/>
        <w:rPr>
          <w:b/>
        </w:rPr>
      </w:pPr>
      <w:r w:rsidRPr="00DD3B57">
        <w:rPr>
          <w:b/>
        </w:rPr>
        <w:t xml:space="preserve">Therapist-supported treatment </w:t>
      </w:r>
    </w:p>
    <w:p w14:paraId="73F848EC" w14:textId="1F8178A2" w:rsidR="00DD3B57" w:rsidRDefault="00DD3B57" w:rsidP="00896D2F">
      <w:pPr>
        <w:pStyle w:val="ANorm"/>
        <w:ind w:left="-227"/>
        <w:jc w:val="center"/>
      </w:pPr>
      <w:r>
        <w:rPr>
          <w:noProof/>
          <w:lang w:eastAsia="en-AU"/>
        </w:rPr>
        <w:drawing>
          <wp:inline distT="0" distB="0" distL="0" distR="0" wp14:anchorId="44FDB29F" wp14:editId="62D1D619">
            <wp:extent cx="6146800" cy="3556000"/>
            <wp:effectExtent l="0" t="0" r="12700" b="12700"/>
            <wp:docPr id="47" name="Chart 47" descr="Figure describing uptake of THIS WAY UP self-directed treatment by half year from January 2015 to December 2021. Uptake data include the numbers of consumers who enrol in, commence and complete (4 or more sessions of) treatment.">
              <a:extLst xmlns:a="http://schemas.openxmlformats.org/drawingml/2006/main">
                <a:ext uri="{FF2B5EF4-FFF2-40B4-BE49-F238E27FC236}">
                  <a16:creationId xmlns:a16="http://schemas.microsoft.com/office/drawing/2014/main" id="{1C9B2FF7-2F1E-1307-6018-B7D7EF68AD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021B927" w14:textId="76479DD9" w:rsidR="00EB573B" w:rsidRDefault="00DD3B57" w:rsidP="00544E99">
      <w:pPr>
        <w:pStyle w:val="ANorm"/>
        <w:jc w:val="center"/>
        <w:rPr>
          <w:b/>
        </w:rPr>
      </w:pPr>
      <w:r w:rsidRPr="00DD3B57">
        <w:rPr>
          <w:b/>
          <w:bCs/>
        </w:rPr>
        <w:t>Self-directed treatment</w:t>
      </w:r>
    </w:p>
    <w:p w14:paraId="349CB2D1" w14:textId="10A16FEB" w:rsidR="00A1108D" w:rsidRPr="000F739C" w:rsidRDefault="00AE0E4A" w:rsidP="00AE0E4A">
      <w:pPr>
        <w:pStyle w:val="ANorm"/>
        <w:spacing w:after="200"/>
        <w:rPr>
          <w:sz w:val="18"/>
          <w:szCs w:val="18"/>
        </w:rPr>
      </w:pPr>
      <w:r w:rsidRPr="000F739C">
        <w:rPr>
          <w:sz w:val="18"/>
          <w:szCs w:val="18"/>
        </w:rPr>
        <w:t xml:space="preserve">Note. </w:t>
      </w:r>
      <w:r w:rsidR="00113700" w:rsidRPr="000F739C">
        <w:rPr>
          <w:sz w:val="18"/>
          <w:szCs w:val="18"/>
        </w:rPr>
        <w:t xml:space="preserve">Outlier </w:t>
      </w:r>
      <w:r w:rsidR="00A517EF">
        <w:rPr>
          <w:sz w:val="18"/>
          <w:szCs w:val="18"/>
        </w:rPr>
        <w:t>values &gt;7000 have been set to 7000</w:t>
      </w:r>
      <w:r w:rsidR="00F322A7">
        <w:rPr>
          <w:sz w:val="18"/>
          <w:szCs w:val="18"/>
        </w:rPr>
        <w:t xml:space="preserve">. </w:t>
      </w:r>
      <w:r w:rsidR="00A517EF">
        <w:rPr>
          <w:sz w:val="18"/>
          <w:szCs w:val="18"/>
        </w:rPr>
        <w:t xml:space="preserve"> </w:t>
      </w:r>
      <w:r w:rsidR="00F322A7">
        <w:rPr>
          <w:sz w:val="18"/>
          <w:szCs w:val="18"/>
        </w:rPr>
        <w:t>In</w:t>
      </w:r>
      <w:r w:rsidR="003E3435" w:rsidRPr="000F739C">
        <w:rPr>
          <w:sz w:val="18"/>
          <w:szCs w:val="18"/>
        </w:rPr>
        <w:t xml:space="preserve"> Jan</w:t>
      </w:r>
      <w:r w:rsidR="00D905AB" w:rsidRPr="000F739C">
        <w:rPr>
          <w:sz w:val="18"/>
          <w:szCs w:val="18"/>
        </w:rPr>
        <w:t>-Jun 2020</w:t>
      </w:r>
      <w:r w:rsidR="00FA6AAF" w:rsidRPr="000F739C">
        <w:rPr>
          <w:sz w:val="18"/>
          <w:szCs w:val="18"/>
        </w:rPr>
        <w:t>: 25,7</w:t>
      </w:r>
      <w:r w:rsidR="00045082" w:rsidRPr="000F739C">
        <w:rPr>
          <w:sz w:val="18"/>
          <w:szCs w:val="18"/>
        </w:rPr>
        <w:t>89 consumers enrolled and</w:t>
      </w:r>
      <w:r w:rsidR="000F739C" w:rsidRPr="000F739C">
        <w:rPr>
          <w:sz w:val="18"/>
          <w:szCs w:val="18"/>
        </w:rPr>
        <w:t xml:space="preserve"> 16,281 started self-directed treatment</w:t>
      </w:r>
      <w:r w:rsidR="00FC0C46">
        <w:rPr>
          <w:sz w:val="18"/>
          <w:szCs w:val="18"/>
        </w:rPr>
        <w:t>.</w:t>
      </w:r>
    </w:p>
    <w:p w14:paraId="50EDA69E" w14:textId="77777777" w:rsidR="00293526" w:rsidRPr="00313335" w:rsidRDefault="00293526" w:rsidP="00293526">
      <w:pPr>
        <w:pStyle w:val="tableheading"/>
      </w:pPr>
      <w:r w:rsidRPr="00AD62D7">
        <w:t>Figure 3.</w:t>
      </w:r>
      <w:r w:rsidRPr="00296ADE">
        <w:t xml:space="preserve"> Uptake of THIS WAY UP therapist-supported and self-directed treatment by half year, July 2015 – December 2021</w:t>
      </w:r>
    </w:p>
    <w:p w14:paraId="774FCC59" w14:textId="63D07B94" w:rsidR="00E91864" w:rsidRDefault="00E91864" w:rsidP="00625FB0">
      <w:pPr>
        <w:pStyle w:val="ANorm"/>
        <w:sectPr w:rsidR="00E91864" w:rsidSect="006B5558">
          <w:headerReference w:type="default" r:id="rId18"/>
          <w:headerReference w:type="first" r:id="rId19"/>
          <w:pgSz w:w="11906" w:h="16838"/>
          <w:pgMar w:top="1440" w:right="1440" w:bottom="1440" w:left="1440" w:header="567" w:footer="567" w:gutter="0"/>
          <w:cols w:space="708"/>
          <w:docGrid w:linePitch="360"/>
        </w:sectPr>
      </w:pPr>
    </w:p>
    <w:p w14:paraId="73A75432" w14:textId="268F5ACA" w:rsidR="002451EA" w:rsidRPr="006F6DCB" w:rsidRDefault="00EC0A98" w:rsidP="006F6DCB">
      <w:pPr>
        <w:pStyle w:val="Heading2"/>
      </w:pPr>
      <w:bookmarkStart w:id="51" w:name="_Toc108784836"/>
      <w:r w:rsidRPr="006F6DCB">
        <w:lastRenderedPageBreak/>
        <w:t>Consumer c</w:t>
      </w:r>
      <w:r w:rsidR="002451EA" w:rsidRPr="006F6DCB">
        <w:t>haracteristics</w:t>
      </w:r>
      <w:bookmarkEnd w:id="51"/>
    </w:p>
    <w:p w14:paraId="6EA4236C" w14:textId="61901454" w:rsidR="00D75C3D" w:rsidRPr="00D75C3D" w:rsidRDefault="00D75C3D" w:rsidP="002029DC">
      <w:pPr>
        <w:spacing w:after="200"/>
        <w:rPr>
          <w:rFonts w:asciiTheme="minorHAnsi" w:hAnsiTheme="minorHAnsi" w:cstheme="minorHAnsi"/>
          <w:sz w:val="21"/>
          <w:szCs w:val="21"/>
        </w:rPr>
      </w:pPr>
      <w:r>
        <w:rPr>
          <w:rFonts w:asciiTheme="minorHAnsi" w:hAnsiTheme="minorHAnsi" w:cstheme="minorHAnsi"/>
          <w:sz w:val="21"/>
          <w:szCs w:val="21"/>
        </w:rPr>
        <w:t xml:space="preserve">Table </w:t>
      </w:r>
      <w:r w:rsidR="00997849">
        <w:rPr>
          <w:rFonts w:asciiTheme="minorHAnsi" w:hAnsiTheme="minorHAnsi" w:cstheme="minorHAnsi"/>
          <w:sz w:val="21"/>
          <w:szCs w:val="21"/>
        </w:rPr>
        <w:t>1</w:t>
      </w:r>
      <w:r w:rsidR="00FF1FEC">
        <w:rPr>
          <w:rFonts w:asciiTheme="minorHAnsi" w:hAnsiTheme="minorHAnsi" w:cstheme="minorHAnsi"/>
          <w:sz w:val="21"/>
          <w:szCs w:val="21"/>
        </w:rPr>
        <w:t>2</w:t>
      </w:r>
      <w:r>
        <w:rPr>
          <w:rFonts w:asciiTheme="minorHAnsi" w:hAnsiTheme="minorHAnsi" w:cstheme="minorHAnsi"/>
          <w:sz w:val="21"/>
          <w:szCs w:val="21"/>
        </w:rPr>
        <w:t xml:space="preserve"> summarises some of the key socio-demographic and clinical characteristics of consumers of the three DMHSs.</w:t>
      </w:r>
      <w:r w:rsidR="00A20624">
        <w:rPr>
          <w:rFonts w:asciiTheme="minorHAnsi" w:hAnsiTheme="minorHAnsi" w:cstheme="minorHAnsi"/>
          <w:sz w:val="21"/>
          <w:szCs w:val="21"/>
        </w:rPr>
        <w:t xml:space="preserve"> </w:t>
      </w:r>
      <w:r w:rsidR="00A20624" w:rsidRPr="00470942">
        <w:rPr>
          <w:rFonts w:asciiTheme="minorHAnsi" w:hAnsiTheme="minorHAnsi" w:cstheme="minorHAnsi"/>
          <w:sz w:val="21"/>
          <w:szCs w:val="21"/>
        </w:rPr>
        <w:t xml:space="preserve">Note that </w:t>
      </w:r>
      <w:r w:rsidR="0055106E" w:rsidRPr="00470942">
        <w:rPr>
          <w:rFonts w:asciiTheme="minorHAnsi" w:hAnsiTheme="minorHAnsi" w:cstheme="minorHAnsi"/>
          <w:sz w:val="21"/>
          <w:szCs w:val="21"/>
        </w:rPr>
        <w:t>denominators</w:t>
      </w:r>
      <w:r w:rsidR="00A20624" w:rsidRPr="00470942">
        <w:rPr>
          <w:rFonts w:asciiTheme="minorHAnsi" w:hAnsiTheme="minorHAnsi" w:cstheme="minorHAnsi"/>
          <w:sz w:val="21"/>
          <w:szCs w:val="21"/>
        </w:rPr>
        <w:t xml:space="preserve"> differ</w:t>
      </w:r>
      <w:r w:rsidR="008E28A4" w:rsidRPr="00470942">
        <w:rPr>
          <w:rFonts w:asciiTheme="minorHAnsi" w:hAnsiTheme="minorHAnsi" w:cstheme="minorHAnsi"/>
          <w:sz w:val="21"/>
          <w:szCs w:val="21"/>
        </w:rPr>
        <w:t>,</w:t>
      </w:r>
      <w:r w:rsidR="00A20624" w:rsidRPr="00470942">
        <w:rPr>
          <w:rFonts w:asciiTheme="minorHAnsi" w:hAnsiTheme="minorHAnsi" w:cstheme="minorHAnsi"/>
          <w:sz w:val="21"/>
          <w:szCs w:val="21"/>
        </w:rPr>
        <w:t xml:space="preserve"> ranging from those who register for an account </w:t>
      </w:r>
      <w:r w:rsidR="0055106E" w:rsidRPr="00470942">
        <w:rPr>
          <w:rFonts w:asciiTheme="minorHAnsi" w:hAnsiTheme="minorHAnsi" w:cstheme="minorHAnsi"/>
          <w:sz w:val="21"/>
          <w:szCs w:val="21"/>
        </w:rPr>
        <w:t xml:space="preserve">(all courses) </w:t>
      </w:r>
      <w:r w:rsidR="00A20624" w:rsidRPr="00470942">
        <w:rPr>
          <w:rFonts w:asciiTheme="minorHAnsi" w:hAnsiTheme="minorHAnsi" w:cstheme="minorHAnsi"/>
          <w:sz w:val="21"/>
          <w:szCs w:val="21"/>
        </w:rPr>
        <w:t>to those who start an assessment or treatment</w:t>
      </w:r>
      <w:r w:rsidR="0055106E" w:rsidRPr="00470942">
        <w:rPr>
          <w:rFonts w:asciiTheme="minorHAnsi" w:hAnsiTheme="minorHAnsi" w:cstheme="minorHAnsi"/>
          <w:sz w:val="21"/>
          <w:szCs w:val="21"/>
        </w:rPr>
        <w:t xml:space="preserve"> (all courses or a specific course)</w:t>
      </w:r>
      <w:r w:rsidR="00A20624" w:rsidRPr="00470942">
        <w:rPr>
          <w:rFonts w:asciiTheme="minorHAnsi" w:hAnsiTheme="minorHAnsi" w:cstheme="minorHAnsi"/>
          <w:sz w:val="21"/>
          <w:szCs w:val="21"/>
        </w:rPr>
        <w:t>.</w:t>
      </w:r>
      <w:r w:rsidR="00B346D5">
        <w:rPr>
          <w:rFonts w:asciiTheme="minorHAnsi" w:hAnsiTheme="minorHAnsi" w:cstheme="minorHAnsi"/>
          <w:sz w:val="21"/>
          <w:szCs w:val="21"/>
        </w:rPr>
        <w:t xml:space="preserve"> Data collection periods also differ</w:t>
      </w:r>
      <w:r w:rsidR="00517649">
        <w:rPr>
          <w:rFonts w:asciiTheme="minorHAnsi" w:hAnsiTheme="minorHAnsi" w:cstheme="minorHAnsi"/>
          <w:sz w:val="21"/>
          <w:szCs w:val="21"/>
        </w:rPr>
        <w:t xml:space="preserve"> and are specified in the footnotes </w:t>
      </w:r>
      <w:r w:rsidR="00217372">
        <w:rPr>
          <w:rFonts w:asciiTheme="minorHAnsi" w:hAnsiTheme="minorHAnsi" w:cstheme="minorHAnsi"/>
          <w:sz w:val="21"/>
          <w:szCs w:val="21"/>
        </w:rPr>
        <w:t xml:space="preserve">to </w:t>
      </w:r>
      <w:r w:rsidR="00517649">
        <w:rPr>
          <w:rFonts w:asciiTheme="minorHAnsi" w:hAnsiTheme="minorHAnsi" w:cstheme="minorHAnsi"/>
          <w:sz w:val="21"/>
          <w:szCs w:val="21"/>
        </w:rPr>
        <w:t>Table 1</w:t>
      </w:r>
      <w:r w:rsidR="00FF1FEC">
        <w:rPr>
          <w:rFonts w:asciiTheme="minorHAnsi" w:hAnsiTheme="minorHAnsi" w:cstheme="minorHAnsi"/>
          <w:sz w:val="21"/>
          <w:szCs w:val="21"/>
        </w:rPr>
        <w:t>2</w:t>
      </w:r>
      <w:r w:rsidR="00517649">
        <w:rPr>
          <w:rFonts w:asciiTheme="minorHAnsi" w:hAnsiTheme="minorHAnsi" w:cstheme="minorHAnsi"/>
          <w:sz w:val="21"/>
          <w:szCs w:val="21"/>
        </w:rPr>
        <w:t>.</w:t>
      </w:r>
    </w:p>
    <w:p w14:paraId="3A275517" w14:textId="32DA590D" w:rsidR="00D75C3D" w:rsidRPr="00AA6B28" w:rsidRDefault="00D75C3D" w:rsidP="00E91864">
      <w:pPr>
        <w:pStyle w:val="tableheading"/>
        <w:ind w:left="284"/>
      </w:pPr>
      <w:r w:rsidRPr="00AA6B28">
        <w:t xml:space="preserve">Table </w:t>
      </w:r>
      <w:r w:rsidR="00997849" w:rsidRPr="00997849">
        <w:t>1</w:t>
      </w:r>
      <w:r w:rsidR="00FF1FEC">
        <w:t>2</w:t>
      </w:r>
      <w:r w:rsidRPr="00997849">
        <w:t>. Socio</w:t>
      </w:r>
      <w:r w:rsidRPr="00AA6B28">
        <w:t>-demographic and clin</w:t>
      </w:r>
      <w:r>
        <w:t>i</w:t>
      </w:r>
      <w:r w:rsidRPr="00AA6B28">
        <w:t>cal characteristics of consumers using DMHSs</w:t>
      </w:r>
    </w:p>
    <w:tbl>
      <w:tblPr>
        <w:tblStyle w:val="TableGrid"/>
        <w:tblW w:w="9782" w:type="dxa"/>
        <w:jc w:val="center"/>
        <w:tblLook w:val="04A0" w:firstRow="1" w:lastRow="0" w:firstColumn="1" w:lastColumn="0" w:noHBand="0" w:noVBand="1"/>
        <w:tblCaption w:val="Table 12. Socio-demographic and clinical characteristics of consumers using DMHSs"/>
        <w:tblDescription w:val="Table decribing socio-demographic and clinical characteristics of consumers using Mental Health Online, MindSpot and THIS WAY UP"/>
      </w:tblPr>
      <w:tblGrid>
        <w:gridCol w:w="3403"/>
        <w:gridCol w:w="2126"/>
        <w:gridCol w:w="2126"/>
        <w:gridCol w:w="2127"/>
      </w:tblGrid>
      <w:tr w:rsidR="00D75C3D" w:rsidRPr="00E424E3" w14:paraId="79EB29C7" w14:textId="77777777" w:rsidTr="006F6DCB">
        <w:trPr>
          <w:jc w:val="center"/>
        </w:trPr>
        <w:tc>
          <w:tcPr>
            <w:tcW w:w="3403" w:type="dxa"/>
            <w:shd w:val="clear" w:color="auto" w:fill="000000" w:themeFill="text1"/>
          </w:tcPr>
          <w:p w14:paraId="11F82914" w14:textId="77777777" w:rsidR="00D75C3D" w:rsidRPr="00E424E3" w:rsidRDefault="00D75C3D" w:rsidP="006F6DCB">
            <w:pPr>
              <w:pStyle w:val="ANorm"/>
              <w:rPr>
                <w:color w:val="FFFFFF" w:themeColor="background1"/>
                <w:sz w:val="18"/>
                <w:szCs w:val="18"/>
              </w:rPr>
            </w:pPr>
          </w:p>
        </w:tc>
        <w:tc>
          <w:tcPr>
            <w:tcW w:w="2126" w:type="dxa"/>
            <w:shd w:val="clear" w:color="auto" w:fill="000000" w:themeFill="text1"/>
          </w:tcPr>
          <w:p w14:paraId="117C3D08" w14:textId="663E15C0" w:rsidR="00BB2AFB" w:rsidRDefault="00D75C3D" w:rsidP="006F6DCB">
            <w:pPr>
              <w:pStyle w:val="ANorm"/>
              <w:jc w:val="center"/>
              <w:rPr>
                <w:color w:val="FFFFFF" w:themeColor="background1"/>
                <w:sz w:val="18"/>
                <w:szCs w:val="18"/>
              </w:rPr>
            </w:pPr>
            <w:r w:rsidRPr="00E424E3">
              <w:rPr>
                <w:color w:val="FFFFFF" w:themeColor="background1"/>
                <w:sz w:val="18"/>
                <w:szCs w:val="18"/>
              </w:rPr>
              <w:t>Mental Health Online</w:t>
            </w:r>
          </w:p>
          <w:p w14:paraId="784C8FF2" w14:textId="724FAF07" w:rsidR="00D75C3D" w:rsidRPr="00E424E3" w:rsidRDefault="00D75C3D" w:rsidP="006F6DCB">
            <w:pPr>
              <w:pStyle w:val="ANorm"/>
              <w:jc w:val="center"/>
              <w:rPr>
                <w:color w:val="FFFFFF" w:themeColor="background1"/>
                <w:sz w:val="18"/>
                <w:szCs w:val="18"/>
                <w:vertAlign w:val="superscript"/>
              </w:rPr>
            </w:pPr>
            <w:r w:rsidRPr="00E424E3">
              <w:rPr>
                <w:color w:val="FFFFFF" w:themeColor="background1"/>
                <w:sz w:val="18"/>
                <w:szCs w:val="18"/>
              </w:rPr>
              <w:t>(N</w:t>
            </w:r>
            <w:r w:rsidR="0055447B">
              <w:rPr>
                <w:color w:val="FFFFFF" w:themeColor="background1"/>
                <w:sz w:val="18"/>
                <w:szCs w:val="18"/>
              </w:rPr>
              <w:t>=</w:t>
            </w:r>
            <w:proofErr w:type="gramStart"/>
            <w:r w:rsidRPr="00E424E3">
              <w:rPr>
                <w:color w:val="FFFFFF" w:themeColor="background1"/>
                <w:sz w:val="18"/>
                <w:szCs w:val="18"/>
              </w:rPr>
              <w:t>64,825)</w:t>
            </w:r>
            <w:r w:rsidRPr="00E424E3">
              <w:rPr>
                <w:color w:val="FFFFFF" w:themeColor="background1"/>
                <w:sz w:val="18"/>
                <w:szCs w:val="18"/>
                <w:vertAlign w:val="superscript"/>
              </w:rPr>
              <w:t>a</w:t>
            </w:r>
            <w:proofErr w:type="gramEnd"/>
          </w:p>
        </w:tc>
        <w:tc>
          <w:tcPr>
            <w:tcW w:w="2126" w:type="dxa"/>
            <w:shd w:val="clear" w:color="auto" w:fill="000000" w:themeFill="text1"/>
          </w:tcPr>
          <w:p w14:paraId="2C3B3326" w14:textId="77777777" w:rsidR="00D75C3D" w:rsidRPr="00E424E3" w:rsidRDefault="00D75C3D" w:rsidP="006F6DCB">
            <w:pPr>
              <w:pStyle w:val="ANorm"/>
              <w:jc w:val="center"/>
              <w:rPr>
                <w:color w:val="FFFFFF" w:themeColor="background1"/>
                <w:sz w:val="18"/>
                <w:szCs w:val="18"/>
              </w:rPr>
            </w:pPr>
            <w:proofErr w:type="spellStart"/>
            <w:r w:rsidRPr="00E424E3">
              <w:rPr>
                <w:color w:val="FFFFFF" w:themeColor="background1"/>
                <w:sz w:val="18"/>
                <w:szCs w:val="18"/>
              </w:rPr>
              <w:t>MindSpot</w:t>
            </w:r>
            <w:proofErr w:type="spellEnd"/>
          </w:p>
          <w:p w14:paraId="7625F292" w14:textId="26BEA2F4" w:rsidR="00D75C3D" w:rsidRPr="00E424E3" w:rsidRDefault="00D75C3D" w:rsidP="006F6DCB">
            <w:pPr>
              <w:pStyle w:val="ANorm"/>
              <w:jc w:val="center"/>
              <w:rPr>
                <w:color w:val="FFFFFF" w:themeColor="background1"/>
                <w:sz w:val="18"/>
                <w:szCs w:val="18"/>
              </w:rPr>
            </w:pPr>
            <w:r w:rsidRPr="00E424E3">
              <w:rPr>
                <w:color w:val="FFFFFF" w:themeColor="background1"/>
                <w:sz w:val="18"/>
                <w:szCs w:val="18"/>
              </w:rPr>
              <w:t>(N</w:t>
            </w:r>
            <w:r w:rsidR="0055447B">
              <w:rPr>
                <w:color w:val="FFFFFF" w:themeColor="background1"/>
                <w:sz w:val="18"/>
                <w:szCs w:val="18"/>
              </w:rPr>
              <w:t>=</w:t>
            </w:r>
            <w:proofErr w:type="gramStart"/>
            <w:r w:rsidRPr="00E424E3">
              <w:rPr>
                <w:color w:val="FFFFFF" w:themeColor="background1"/>
                <w:sz w:val="18"/>
                <w:szCs w:val="18"/>
              </w:rPr>
              <w:t>121,652)</w:t>
            </w:r>
            <w:r w:rsidRPr="00E424E3">
              <w:rPr>
                <w:color w:val="FFFFFF" w:themeColor="background1"/>
                <w:sz w:val="18"/>
                <w:szCs w:val="18"/>
                <w:vertAlign w:val="superscript"/>
              </w:rPr>
              <w:t>b</w:t>
            </w:r>
            <w:proofErr w:type="gramEnd"/>
          </w:p>
        </w:tc>
        <w:tc>
          <w:tcPr>
            <w:tcW w:w="2127" w:type="dxa"/>
            <w:shd w:val="clear" w:color="auto" w:fill="000000" w:themeFill="text1"/>
          </w:tcPr>
          <w:p w14:paraId="28D7CCF7" w14:textId="77777777" w:rsidR="00D75C3D" w:rsidRPr="00E424E3" w:rsidRDefault="00D75C3D" w:rsidP="006F6DCB">
            <w:pPr>
              <w:pStyle w:val="ANorm"/>
              <w:jc w:val="center"/>
              <w:rPr>
                <w:color w:val="FFFFFF" w:themeColor="background1"/>
                <w:sz w:val="18"/>
                <w:szCs w:val="18"/>
              </w:rPr>
            </w:pPr>
            <w:r w:rsidRPr="00E424E3">
              <w:rPr>
                <w:color w:val="FFFFFF" w:themeColor="background1"/>
                <w:sz w:val="18"/>
                <w:szCs w:val="18"/>
              </w:rPr>
              <w:t>THIS WAY UP</w:t>
            </w:r>
          </w:p>
          <w:p w14:paraId="79DEF85E" w14:textId="53AC72B1" w:rsidR="00D75C3D" w:rsidRPr="00E424E3" w:rsidRDefault="00D75C3D" w:rsidP="006F6DCB">
            <w:pPr>
              <w:pStyle w:val="ANorm"/>
              <w:jc w:val="center"/>
              <w:rPr>
                <w:color w:val="FFFFFF" w:themeColor="background1"/>
                <w:sz w:val="18"/>
                <w:szCs w:val="18"/>
              </w:rPr>
            </w:pPr>
            <w:r w:rsidRPr="0055106E">
              <w:rPr>
                <w:color w:val="FFFFFF" w:themeColor="background1"/>
                <w:sz w:val="18"/>
                <w:szCs w:val="18"/>
              </w:rPr>
              <w:t>(N</w:t>
            </w:r>
            <w:r w:rsidR="0055447B">
              <w:rPr>
                <w:color w:val="FFFFFF" w:themeColor="background1"/>
                <w:sz w:val="18"/>
                <w:szCs w:val="18"/>
              </w:rPr>
              <w:t>=</w:t>
            </w:r>
            <w:proofErr w:type="gramStart"/>
            <w:r w:rsidR="0069466F" w:rsidRPr="0069466F">
              <w:rPr>
                <w:color w:val="FFFFFF" w:themeColor="background1"/>
                <w:sz w:val="18"/>
                <w:szCs w:val="18"/>
              </w:rPr>
              <w:t>15,360</w:t>
            </w:r>
            <w:r w:rsidRPr="00E424E3">
              <w:rPr>
                <w:color w:val="FFFFFF" w:themeColor="background1"/>
                <w:sz w:val="18"/>
                <w:szCs w:val="18"/>
              </w:rPr>
              <w:t>)</w:t>
            </w:r>
            <w:r w:rsidRPr="00E424E3">
              <w:rPr>
                <w:color w:val="FFFFFF" w:themeColor="background1"/>
                <w:sz w:val="18"/>
                <w:szCs w:val="18"/>
                <w:vertAlign w:val="superscript"/>
              </w:rPr>
              <w:t>c</w:t>
            </w:r>
            <w:proofErr w:type="gramEnd"/>
          </w:p>
        </w:tc>
      </w:tr>
      <w:tr w:rsidR="00D75C3D" w:rsidRPr="00673750" w14:paraId="3826B5A7" w14:textId="77777777" w:rsidTr="006F6DCB">
        <w:trPr>
          <w:jc w:val="center"/>
        </w:trPr>
        <w:tc>
          <w:tcPr>
            <w:tcW w:w="3403" w:type="dxa"/>
          </w:tcPr>
          <w:p w14:paraId="4DAEAC68" w14:textId="77777777" w:rsidR="00D75C3D" w:rsidRPr="00937DF7" w:rsidRDefault="00D75C3D" w:rsidP="006F6DCB">
            <w:pPr>
              <w:pStyle w:val="ANorm"/>
              <w:rPr>
                <w:b/>
                <w:sz w:val="18"/>
                <w:szCs w:val="18"/>
              </w:rPr>
            </w:pPr>
            <w:r w:rsidRPr="00937DF7">
              <w:rPr>
                <w:b/>
                <w:sz w:val="18"/>
                <w:szCs w:val="18"/>
              </w:rPr>
              <w:t>Sex (n)</w:t>
            </w:r>
          </w:p>
          <w:p w14:paraId="4118E806" w14:textId="77777777" w:rsidR="00D75C3D" w:rsidRPr="00673750" w:rsidRDefault="00D75C3D" w:rsidP="006F6DCB">
            <w:pPr>
              <w:pStyle w:val="ANorm"/>
              <w:ind w:left="170"/>
              <w:rPr>
                <w:sz w:val="18"/>
                <w:szCs w:val="18"/>
              </w:rPr>
            </w:pPr>
            <w:r w:rsidRPr="00673750">
              <w:rPr>
                <w:sz w:val="18"/>
                <w:szCs w:val="18"/>
              </w:rPr>
              <w:t>Male</w:t>
            </w:r>
          </w:p>
          <w:p w14:paraId="738A0AA3" w14:textId="77777777" w:rsidR="00D75C3D" w:rsidRPr="00673750" w:rsidRDefault="00D75C3D" w:rsidP="006F6DCB">
            <w:pPr>
              <w:pStyle w:val="ANorm"/>
              <w:ind w:left="170"/>
              <w:rPr>
                <w:sz w:val="18"/>
                <w:szCs w:val="18"/>
              </w:rPr>
            </w:pPr>
            <w:r w:rsidRPr="00673750">
              <w:rPr>
                <w:sz w:val="18"/>
                <w:szCs w:val="18"/>
              </w:rPr>
              <w:t>Female</w:t>
            </w:r>
          </w:p>
          <w:p w14:paraId="11C714F7" w14:textId="77777777" w:rsidR="00D75C3D" w:rsidRPr="00673750" w:rsidRDefault="00D75C3D" w:rsidP="006F6DCB">
            <w:pPr>
              <w:pStyle w:val="ANorm"/>
              <w:ind w:left="170"/>
              <w:rPr>
                <w:sz w:val="18"/>
                <w:szCs w:val="18"/>
              </w:rPr>
            </w:pPr>
            <w:r w:rsidRPr="00673750">
              <w:rPr>
                <w:sz w:val="18"/>
                <w:szCs w:val="18"/>
              </w:rPr>
              <w:t>Other</w:t>
            </w:r>
          </w:p>
        </w:tc>
        <w:tc>
          <w:tcPr>
            <w:tcW w:w="2126" w:type="dxa"/>
          </w:tcPr>
          <w:p w14:paraId="1D7C040D" w14:textId="77777777" w:rsidR="00D75C3D" w:rsidRPr="00673750" w:rsidRDefault="00D75C3D" w:rsidP="006F6DCB">
            <w:pPr>
              <w:pStyle w:val="ANorm"/>
              <w:jc w:val="center"/>
              <w:rPr>
                <w:sz w:val="18"/>
                <w:szCs w:val="18"/>
              </w:rPr>
            </w:pPr>
            <w:r w:rsidRPr="00673750">
              <w:rPr>
                <w:sz w:val="18"/>
                <w:szCs w:val="18"/>
              </w:rPr>
              <w:t>(42,484)</w:t>
            </w:r>
          </w:p>
          <w:p w14:paraId="39B422AA" w14:textId="77777777" w:rsidR="00D75C3D" w:rsidRPr="00673750" w:rsidRDefault="00D75C3D" w:rsidP="006F6DCB">
            <w:pPr>
              <w:pStyle w:val="ANorm"/>
              <w:jc w:val="center"/>
              <w:rPr>
                <w:sz w:val="18"/>
                <w:szCs w:val="18"/>
              </w:rPr>
            </w:pPr>
            <w:r w:rsidRPr="00673750">
              <w:rPr>
                <w:sz w:val="18"/>
                <w:szCs w:val="18"/>
              </w:rPr>
              <w:t>18.9%</w:t>
            </w:r>
          </w:p>
          <w:p w14:paraId="4EA2B996" w14:textId="77777777" w:rsidR="00D75C3D" w:rsidRPr="00673750" w:rsidRDefault="00D75C3D" w:rsidP="006F6DCB">
            <w:pPr>
              <w:pStyle w:val="ANorm"/>
              <w:jc w:val="center"/>
              <w:rPr>
                <w:sz w:val="18"/>
                <w:szCs w:val="18"/>
              </w:rPr>
            </w:pPr>
            <w:r w:rsidRPr="00673750">
              <w:rPr>
                <w:sz w:val="18"/>
                <w:szCs w:val="18"/>
              </w:rPr>
              <w:t>67.5%</w:t>
            </w:r>
          </w:p>
          <w:p w14:paraId="53B68390" w14:textId="77777777" w:rsidR="00D75C3D" w:rsidRPr="00673750" w:rsidRDefault="00D75C3D" w:rsidP="006F6DCB">
            <w:pPr>
              <w:pStyle w:val="ANorm"/>
              <w:jc w:val="center"/>
              <w:rPr>
                <w:sz w:val="18"/>
                <w:szCs w:val="18"/>
              </w:rPr>
            </w:pPr>
            <w:r w:rsidRPr="00673750">
              <w:rPr>
                <w:sz w:val="18"/>
                <w:szCs w:val="18"/>
              </w:rPr>
              <w:t>13.6%</w:t>
            </w:r>
            <w:r w:rsidRPr="00673750">
              <w:rPr>
                <w:sz w:val="18"/>
                <w:szCs w:val="18"/>
                <w:vertAlign w:val="superscript"/>
              </w:rPr>
              <w:t>d</w:t>
            </w:r>
          </w:p>
        </w:tc>
        <w:tc>
          <w:tcPr>
            <w:tcW w:w="2126" w:type="dxa"/>
          </w:tcPr>
          <w:p w14:paraId="1BE1FD83" w14:textId="77777777" w:rsidR="00D75C3D" w:rsidRPr="00673750" w:rsidRDefault="00D75C3D" w:rsidP="006F6DCB">
            <w:pPr>
              <w:pStyle w:val="ANorm"/>
              <w:jc w:val="center"/>
              <w:rPr>
                <w:sz w:val="18"/>
                <w:szCs w:val="18"/>
              </w:rPr>
            </w:pPr>
            <w:r w:rsidRPr="00673750">
              <w:rPr>
                <w:sz w:val="18"/>
                <w:szCs w:val="18"/>
              </w:rPr>
              <w:t>(121,652)</w:t>
            </w:r>
          </w:p>
          <w:p w14:paraId="47C74808" w14:textId="77777777" w:rsidR="00D75C3D" w:rsidRPr="00673750" w:rsidRDefault="00D75C3D" w:rsidP="006F6DCB">
            <w:pPr>
              <w:pStyle w:val="ANorm"/>
              <w:jc w:val="center"/>
              <w:rPr>
                <w:sz w:val="18"/>
                <w:szCs w:val="18"/>
              </w:rPr>
            </w:pPr>
            <w:r w:rsidRPr="00673750">
              <w:rPr>
                <w:sz w:val="18"/>
                <w:szCs w:val="18"/>
              </w:rPr>
              <w:t>26.5%</w:t>
            </w:r>
          </w:p>
          <w:p w14:paraId="432332A6" w14:textId="77777777" w:rsidR="00D75C3D" w:rsidRPr="00673750" w:rsidRDefault="00D75C3D" w:rsidP="006F6DCB">
            <w:pPr>
              <w:pStyle w:val="ANorm"/>
              <w:jc w:val="center"/>
              <w:rPr>
                <w:sz w:val="18"/>
                <w:szCs w:val="18"/>
              </w:rPr>
            </w:pPr>
            <w:r w:rsidRPr="00673750">
              <w:rPr>
                <w:sz w:val="18"/>
                <w:szCs w:val="18"/>
              </w:rPr>
              <w:t>72.9%</w:t>
            </w:r>
          </w:p>
          <w:p w14:paraId="385AD8AE" w14:textId="77777777" w:rsidR="00D75C3D" w:rsidRPr="00673750" w:rsidRDefault="00D75C3D" w:rsidP="006F6DCB">
            <w:pPr>
              <w:pStyle w:val="ANorm"/>
              <w:jc w:val="center"/>
              <w:rPr>
                <w:sz w:val="18"/>
                <w:szCs w:val="18"/>
              </w:rPr>
            </w:pPr>
            <w:r w:rsidRPr="00673750">
              <w:rPr>
                <w:sz w:val="18"/>
                <w:szCs w:val="18"/>
              </w:rPr>
              <w:t>0.6%</w:t>
            </w:r>
          </w:p>
        </w:tc>
        <w:tc>
          <w:tcPr>
            <w:tcW w:w="2127" w:type="dxa"/>
          </w:tcPr>
          <w:p w14:paraId="64E7FE30" w14:textId="467F4BE2" w:rsidR="0069466F" w:rsidRPr="0069466F" w:rsidRDefault="0069466F" w:rsidP="006F6DCB">
            <w:pPr>
              <w:pStyle w:val="ANorm"/>
              <w:jc w:val="center"/>
              <w:rPr>
                <w:sz w:val="18"/>
                <w:szCs w:val="18"/>
              </w:rPr>
            </w:pPr>
            <w:r>
              <w:rPr>
                <w:sz w:val="18"/>
                <w:szCs w:val="18"/>
              </w:rPr>
              <w:t>(</w:t>
            </w:r>
            <w:r w:rsidRPr="0069466F">
              <w:rPr>
                <w:sz w:val="18"/>
                <w:szCs w:val="18"/>
              </w:rPr>
              <w:t>15,360</w:t>
            </w:r>
            <w:r>
              <w:rPr>
                <w:sz w:val="18"/>
                <w:szCs w:val="18"/>
              </w:rPr>
              <w:t>)</w:t>
            </w:r>
          </w:p>
          <w:p w14:paraId="3B994B37" w14:textId="5711E76C" w:rsidR="009106FD" w:rsidRPr="0069466F" w:rsidRDefault="009106FD" w:rsidP="006F6DCB">
            <w:pPr>
              <w:pStyle w:val="ANorm"/>
              <w:jc w:val="center"/>
              <w:rPr>
                <w:sz w:val="18"/>
                <w:szCs w:val="18"/>
              </w:rPr>
            </w:pPr>
            <w:r w:rsidRPr="0069466F">
              <w:rPr>
                <w:sz w:val="18"/>
                <w:szCs w:val="18"/>
              </w:rPr>
              <w:t>29%</w:t>
            </w:r>
          </w:p>
          <w:p w14:paraId="0E2A9C77" w14:textId="3EACC331" w:rsidR="00481C2D" w:rsidRPr="0069466F" w:rsidRDefault="00481C2D" w:rsidP="006F6DCB">
            <w:pPr>
              <w:pStyle w:val="ANorm"/>
              <w:jc w:val="center"/>
              <w:rPr>
                <w:sz w:val="18"/>
                <w:szCs w:val="18"/>
              </w:rPr>
            </w:pPr>
            <w:r w:rsidRPr="0069466F">
              <w:rPr>
                <w:sz w:val="18"/>
                <w:szCs w:val="18"/>
              </w:rPr>
              <w:t>67%</w:t>
            </w:r>
          </w:p>
          <w:p w14:paraId="103764E7" w14:textId="45F975D7" w:rsidR="00D75C3D" w:rsidRPr="00673750" w:rsidRDefault="00481C2D" w:rsidP="006F6DCB">
            <w:pPr>
              <w:pStyle w:val="ANorm"/>
              <w:jc w:val="center"/>
              <w:rPr>
                <w:sz w:val="18"/>
                <w:szCs w:val="18"/>
              </w:rPr>
            </w:pPr>
            <w:r w:rsidRPr="0069466F">
              <w:rPr>
                <w:sz w:val="18"/>
                <w:szCs w:val="18"/>
              </w:rPr>
              <w:t xml:space="preserve"> </w:t>
            </w:r>
            <w:r w:rsidR="009106FD" w:rsidRPr="0069466F">
              <w:rPr>
                <w:sz w:val="18"/>
                <w:szCs w:val="18"/>
              </w:rPr>
              <w:t>4%</w:t>
            </w:r>
            <w:r w:rsidR="009106FD" w:rsidRPr="009106FD">
              <w:rPr>
                <w:sz w:val="18"/>
                <w:szCs w:val="18"/>
              </w:rPr>
              <w:t xml:space="preserve"> </w:t>
            </w:r>
          </w:p>
        </w:tc>
      </w:tr>
      <w:tr w:rsidR="00D75C3D" w:rsidRPr="00673750" w14:paraId="2053784A" w14:textId="77777777" w:rsidTr="006F6DCB">
        <w:trPr>
          <w:jc w:val="center"/>
        </w:trPr>
        <w:tc>
          <w:tcPr>
            <w:tcW w:w="3403" w:type="dxa"/>
          </w:tcPr>
          <w:p w14:paraId="4013A94D" w14:textId="77777777" w:rsidR="00D75C3D" w:rsidRPr="00937DF7" w:rsidRDefault="00D75C3D" w:rsidP="006F6DCB">
            <w:pPr>
              <w:pStyle w:val="ANorm"/>
              <w:rPr>
                <w:b/>
                <w:sz w:val="18"/>
                <w:szCs w:val="18"/>
              </w:rPr>
            </w:pPr>
            <w:r w:rsidRPr="00937DF7">
              <w:rPr>
                <w:b/>
                <w:sz w:val="18"/>
                <w:szCs w:val="18"/>
              </w:rPr>
              <w:t>Age (n)</w:t>
            </w:r>
          </w:p>
          <w:p w14:paraId="4D52BC73" w14:textId="77777777" w:rsidR="00D75C3D" w:rsidRPr="00673750" w:rsidRDefault="00D75C3D" w:rsidP="006F6DCB">
            <w:pPr>
              <w:pStyle w:val="ANorm"/>
              <w:rPr>
                <w:sz w:val="18"/>
                <w:szCs w:val="18"/>
              </w:rPr>
            </w:pPr>
            <w:r w:rsidRPr="00673750">
              <w:rPr>
                <w:sz w:val="18"/>
                <w:szCs w:val="18"/>
              </w:rPr>
              <w:t>Mean (SD)</w:t>
            </w:r>
          </w:p>
          <w:p w14:paraId="7A145A92" w14:textId="77777777" w:rsidR="00D75C3D" w:rsidRPr="00673750" w:rsidRDefault="00D75C3D" w:rsidP="006F6DCB">
            <w:pPr>
              <w:pStyle w:val="ANorm"/>
              <w:ind w:left="170"/>
              <w:rPr>
                <w:sz w:val="18"/>
                <w:szCs w:val="18"/>
              </w:rPr>
            </w:pPr>
            <w:r w:rsidRPr="00673750">
              <w:rPr>
                <w:sz w:val="18"/>
                <w:szCs w:val="18"/>
              </w:rPr>
              <w:t>18-34</w:t>
            </w:r>
          </w:p>
          <w:p w14:paraId="79E38839" w14:textId="77777777" w:rsidR="00D75C3D" w:rsidRPr="00673750" w:rsidRDefault="00D75C3D" w:rsidP="006F6DCB">
            <w:pPr>
              <w:pStyle w:val="ANorm"/>
              <w:ind w:left="170"/>
              <w:rPr>
                <w:sz w:val="18"/>
                <w:szCs w:val="18"/>
              </w:rPr>
            </w:pPr>
            <w:r w:rsidRPr="00673750">
              <w:rPr>
                <w:sz w:val="18"/>
                <w:szCs w:val="18"/>
              </w:rPr>
              <w:t>35-54</w:t>
            </w:r>
          </w:p>
          <w:p w14:paraId="28EDF635" w14:textId="77777777" w:rsidR="00D75C3D" w:rsidRPr="00673750" w:rsidRDefault="00D75C3D" w:rsidP="006F6DCB">
            <w:pPr>
              <w:pStyle w:val="ANorm"/>
              <w:ind w:left="170"/>
              <w:rPr>
                <w:sz w:val="18"/>
                <w:szCs w:val="18"/>
              </w:rPr>
            </w:pPr>
            <w:r w:rsidRPr="00673750">
              <w:rPr>
                <w:sz w:val="18"/>
                <w:szCs w:val="18"/>
              </w:rPr>
              <w:t>55+</w:t>
            </w:r>
          </w:p>
        </w:tc>
        <w:tc>
          <w:tcPr>
            <w:tcW w:w="2126" w:type="dxa"/>
          </w:tcPr>
          <w:p w14:paraId="4C0B20B3" w14:textId="77777777" w:rsidR="00D75C3D" w:rsidRPr="00673750" w:rsidRDefault="00D75C3D" w:rsidP="006F6DCB">
            <w:pPr>
              <w:pStyle w:val="ANorm"/>
              <w:jc w:val="center"/>
              <w:rPr>
                <w:sz w:val="18"/>
                <w:szCs w:val="18"/>
              </w:rPr>
            </w:pPr>
            <w:r w:rsidRPr="00673750">
              <w:rPr>
                <w:sz w:val="18"/>
                <w:szCs w:val="18"/>
              </w:rPr>
              <w:t>(40,224)</w:t>
            </w:r>
          </w:p>
          <w:p w14:paraId="61F25DE0" w14:textId="77777777" w:rsidR="00D75C3D" w:rsidRPr="00673750" w:rsidRDefault="00D75C3D" w:rsidP="006F6DCB">
            <w:pPr>
              <w:pStyle w:val="ANorm"/>
              <w:jc w:val="center"/>
              <w:rPr>
                <w:sz w:val="18"/>
                <w:szCs w:val="18"/>
              </w:rPr>
            </w:pPr>
            <w:r w:rsidRPr="00673750">
              <w:rPr>
                <w:sz w:val="18"/>
                <w:szCs w:val="18"/>
              </w:rPr>
              <w:t>-</w:t>
            </w:r>
          </w:p>
          <w:p w14:paraId="2A0834F7" w14:textId="77777777" w:rsidR="00D75C3D" w:rsidRPr="00673750" w:rsidRDefault="00D75C3D" w:rsidP="006F6DCB">
            <w:pPr>
              <w:pStyle w:val="ANorm"/>
              <w:jc w:val="center"/>
              <w:rPr>
                <w:sz w:val="18"/>
                <w:szCs w:val="18"/>
              </w:rPr>
            </w:pPr>
            <w:r w:rsidRPr="00673750">
              <w:rPr>
                <w:sz w:val="18"/>
                <w:szCs w:val="18"/>
              </w:rPr>
              <w:t>69.8%</w:t>
            </w:r>
          </w:p>
          <w:p w14:paraId="17E4B25D" w14:textId="77777777" w:rsidR="00D75C3D" w:rsidRPr="00673750" w:rsidRDefault="00D75C3D" w:rsidP="006F6DCB">
            <w:pPr>
              <w:pStyle w:val="ANorm"/>
              <w:jc w:val="center"/>
              <w:rPr>
                <w:sz w:val="18"/>
                <w:szCs w:val="18"/>
              </w:rPr>
            </w:pPr>
            <w:r w:rsidRPr="00673750">
              <w:rPr>
                <w:sz w:val="18"/>
                <w:szCs w:val="18"/>
              </w:rPr>
              <w:t>25.4%</w:t>
            </w:r>
          </w:p>
          <w:p w14:paraId="3B9B49F7" w14:textId="77777777" w:rsidR="00D75C3D" w:rsidRPr="00673750" w:rsidRDefault="00D75C3D" w:rsidP="006F6DCB">
            <w:pPr>
              <w:pStyle w:val="ANorm"/>
              <w:jc w:val="center"/>
              <w:rPr>
                <w:sz w:val="18"/>
                <w:szCs w:val="18"/>
              </w:rPr>
            </w:pPr>
            <w:r w:rsidRPr="00673750">
              <w:rPr>
                <w:sz w:val="18"/>
                <w:szCs w:val="18"/>
              </w:rPr>
              <w:t>4.8%</w:t>
            </w:r>
          </w:p>
        </w:tc>
        <w:tc>
          <w:tcPr>
            <w:tcW w:w="2126" w:type="dxa"/>
          </w:tcPr>
          <w:p w14:paraId="4F715AB4" w14:textId="77777777" w:rsidR="00D75C3D" w:rsidRPr="00673750" w:rsidRDefault="00D75C3D" w:rsidP="006F6DCB">
            <w:pPr>
              <w:pStyle w:val="ANorm"/>
              <w:jc w:val="center"/>
              <w:rPr>
                <w:sz w:val="18"/>
                <w:szCs w:val="18"/>
              </w:rPr>
            </w:pPr>
            <w:r w:rsidRPr="00673750">
              <w:rPr>
                <w:sz w:val="18"/>
                <w:szCs w:val="18"/>
              </w:rPr>
              <w:t>(121,652)</w:t>
            </w:r>
          </w:p>
          <w:p w14:paraId="4AB17A4A" w14:textId="77777777" w:rsidR="00D75C3D" w:rsidRPr="00673750" w:rsidRDefault="00D75C3D" w:rsidP="006F6DCB">
            <w:pPr>
              <w:pStyle w:val="ANorm"/>
              <w:jc w:val="center"/>
              <w:rPr>
                <w:sz w:val="18"/>
                <w:szCs w:val="18"/>
              </w:rPr>
            </w:pPr>
            <w:r w:rsidRPr="00673750">
              <w:rPr>
                <w:sz w:val="18"/>
                <w:szCs w:val="18"/>
              </w:rPr>
              <w:t>35.7 (13.8)</w:t>
            </w:r>
          </w:p>
          <w:p w14:paraId="15AD4CFD" w14:textId="77777777" w:rsidR="00D75C3D" w:rsidRPr="00673750" w:rsidRDefault="00D75C3D" w:rsidP="006F6DCB">
            <w:pPr>
              <w:pStyle w:val="ANorm"/>
              <w:jc w:val="center"/>
              <w:rPr>
                <w:sz w:val="18"/>
                <w:szCs w:val="18"/>
              </w:rPr>
            </w:pPr>
            <w:r w:rsidRPr="00673750">
              <w:rPr>
                <w:sz w:val="18"/>
                <w:szCs w:val="18"/>
              </w:rPr>
              <w:t>54.9%</w:t>
            </w:r>
          </w:p>
          <w:p w14:paraId="346F532A" w14:textId="77777777" w:rsidR="00D75C3D" w:rsidRPr="00673750" w:rsidRDefault="00D75C3D" w:rsidP="006F6DCB">
            <w:pPr>
              <w:pStyle w:val="ANorm"/>
              <w:jc w:val="center"/>
              <w:rPr>
                <w:sz w:val="18"/>
                <w:szCs w:val="18"/>
              </w:rPr>
            </w:pPr>
            <w:r w:rsidRPr="00673750">
              <w:rPr>
                <w:sz w:val="18"/>
                <w:szCs w:val="18"/>
              </w:rPr>
              <w:t>33.4%</w:t>
            </w:r>
          </w:p>
          <w:p w14:paraId="2DD63026" w14:textId="77777777" w:rsidR="00D75C3D" w:rsidRPr="00673750" w:rsidRDefault="00D75C3D" w:rsidP="006F6DCB">
            <w:pPr>
              <w:pStyle w:val="ANorm"/>
              <w:jc w:val="center"/>
              <w:rPr>
                <w:sz w:val="18"/>
                <w:szCs w:val="18"/>
              </w:rPr>
            </w:pPr>
            <w:r w:rsidRPr="00673750">
              <w:rPr>
                <w:sz w:val="18"/>
                <w:szCs w:val="18"/>
              </w:rPr>
              <w:t>11.7%</w:t>
            </w:r>
          </w:p>
        </w:tc>
        <w:tc>
          <w:tcPr>
            <w:tcW w:w="2127" w:type="dxa"/>
          </w:tcPr>
          <w:p w14:paraId="49AC889A" w14:textId="5BA8F2FB" w:rsidR="003226A4" w:rsidRPr="0069466F" w:rsidRDefault="00AD1020" w:rsidP="006F6DCB">
            <w:pPr>
              <w:pStyle w:val="ANorm"/>
              <w:jc w:val="center"/>
              <w:rPr>
                <w:sz w:val="18"/>
                <w:szCs w:val="18"/>
              </w:rPr>
            </w:pPr>
            <w:r w:rsidRPr="0069466F">
              <w:rPr>
                <w:sz w:val="18"/>
                <w:szCs w:val="18"/>
              </w:rPr>
              <w:t>(</w:t>
            </w:r>
            <w:r w:rsidR="0069466F" w:rsidRPr="0069466F">
              <w:rPr>
                <w:sz w:val="18"/>
                <w:szCs w:val="18"/>
              </w:rPr>
              <w:t>15,360</w:t>
            </w:r>
            <w:r w:rsidRPr="0069466F">
              <w:rPr>
                <w:sz w:val="18"/>
                <w:szCs w:val="18"/>
              </w:rPr>
              <w:t>)</w:t>
            </w:r>
          </w:p>
          <w:p w14:paraId="0D01FCFF" w14:textId="02F0AC49" w:rsidR="009106FD" w:rsidRPr="0069466F" w:rsidRDefault="0069466F" w:rsidP="006F6DCB">
            <w:pPr>
              <w:pStyle w:val="ANorm"/>
              <w:jc w:val="center"/>
              <w:rPr>
                <w:sz w:val="18"/>
                <w:szCs w:val="18"/>
                <w:highlight w:val="yellow"/>
              </w:rPr>
            </w:pPr>
            <w:r w:rsidRPr="0069466F">
              <w:rPr>
                <w:sz w:val="18"/>
                <w:szCs w:val="18"/>
              </w:rPr>
              <w:t>38.8</w:t>
            </w:r>
          </w:p>
        </w:tc>
      </w:tr>
      <w:tr w:rsidR="00D75C3D" w:rsidRPr="00673750" w14:paraId="03D14C8C" w14:textId="77777777" w:rsidTr="006F6DCB">
        <w:trPr>
          <w:jc w:val="center"/>
        </w:trPr>
        <w:tc>
          <w:tcPr>
            <w:tcW w:w="3403" w:type="dxa"/>
          </w:tcPr>
          <w:p w14:paraId="3D3A6475" w14:textId="7A2247B4" w:rsidR="00D75C3D" w:rsidRPr="00937DF7" w:rsidRDefault="00010886" w:rsidP="006F6DCB">
            <w:pPr>
              <w:pStyle w:val="ANorm"/>
              <w:rPr>
                <w:b/>
                <w:sz w:val="18"/>
                <w:szCs w:val="18"/>
              </w:rPr>
            </w:pPr>
            <w:r w:rsidRPr="00937DF7">
              <w:rPr>
                <w:b/>
                <w:sz w:val="18"/>
                <w:szCs w:val="18"/>
              </w:rPr>
              <w:t>Indigenous status</w:t>
            </w:r>
            <w:r w:rsidR="003B7D0E" w:rsidRPr="00937DF7">
              <w:rPr>
                <w:b/>
                <w:sz w:val="18"/>
                <w:szCs w:val="18"/>
              </w:rPr>
              <w:t xml:space="preserve"> (n)</w:t>
            </w:r>
          </w:p>
          <w:p w14:paraId="042CB17A" w14:textId="77777777" w:rsidR="00D75C3D" w:rsidRPr="00673750" w:rsidRDefault="00D75C3D" w:rsidP="006F6DCB">
            <w:pPr>
              <w:pStyle w:val="ANorm"/>
              <w:ind w:left="170"/>
              <w:rPr>
                <w:sz w:val="18"/>
                <w:szCs w:val="18"/>
              </w:rPr>
            </w:pPr>
            <w:r w:rsidRPr="00673750">
              <w:rPr>
                <w:sz w:val="18"/>
                <w:szCs w:val="18"/>
              </w:rPr>
              <w:t>Aboriginal or Torres Strait Islander</w:t>
            </w:r>
          </w:p>
        </w:tc>
        <w:tc>
          <w:tcPr>
            <w:tcW w:w="2126" w:type="dxa"/>
          </w:tcPr>
          <w:p w14:paraId="41A1480C" w14:textId="77777777" w:rsidR="00D75C3D" w:rsidRPr="00673750" w:rsidRDefault="00D75C3D" w:rsidP="006F6DCB">
            <w:pPr>
              <w:pStyle w:val="ANorm"/>
              <w:jc w:val="center"/>
              <w:rPr>
                <w:sz w:val="18"/>
                <w:szCs w:val="18"/>
              </w:rPr>
            </w:pPr>
            <w:r w:rsidRPr="00673750">
              <w:rPr>
                <w:sz w:val="18"/>
                <w:szCs w:val="18"/>
              </w:rPr>
              <w:t>(</w:t>
            </w:r>
            <w:proofErr w:type="gramStart"/>
            <w:r w:rsidRPr="00673750">
              <w:rPr>
                <w:sz w:val="18"/>
                <w:szCs w:val="18"/>
              </w:rPr>
              <w:t>9,359)</w:t>
            </w:r>
            <w:r w:rsidRPr="00382949">
              <w:rPr>
                <w:sz w:val="18"/>
                <w:szCs w:val="18"/>
                <w:vertAlign w:val="superscript"/>
              </w:rPr>
              <w:t>e</w:t>
            </w:r>
            <w:proofErr w:type="gramEnd"/>
          </w:p>
          <w:p w14:paraId="6355CD13" w14:textId="77777777" w:rsidR="00D75C3D" w:rsidRPr="00673750" w:rsidRDefault="00D75C3D" w:rsidP="006F6DCB">
            <w:pPr>
              <w:pStyle w:val="ANorm"/>
              <w:jc w:val="center"/>
              <w:rPr>
                <w:sz w:val="18"/>
                <w:szCs w:val="18"/>
              </w:rPr>
            </w:pPr>
            <w:r w:rsidRPr="00673750">
              <w:rPr>
                <w:sz w:val="18"/>
                <w:szCs w:val="18"/>
              </w:rPr>
              <w:t>8.3%</w:t>
            </w:r>
          </w:p>
        </w:tc>
        <w:tc>
          <w:tcPr>
            <w:tcW w:w="2126" w:type="dxa"/>
          </w:tcPr>
          <w:p w14:paraId="6DA92E23" w14:textId="77777777" w:rsidR="00D75C3D" w:rsidRPr="00673750" w:rsidRDefault="00D75C3D" w:rsidP="006F6DCB">
            <w:pPr>
              <w:pStyle w:val="ANorm"/>
              <w:jc w:val="center"/>
              <w:rPr>
                <w:sz w:val="18"/>
                <w:szCs w:val="18"/>
              </w:rPr>
            </w:pPr>
            <w:r w:rsidRPr="00673750">
              <w:rPr>
                <w:sz w:val="18"/>
                <w:szCs w:val="18"/>
              </w:rPr>
              <w:t>(79,390)</w:t>
            </w:r>
          </w:p>
          <w:p w14:paraId="0E5BE58F" w14:textId="77777777" w:rsidR="00D75C3D" w:rsidRPr="00673750" w:rsidRDefault="00D75C3D" w:rsidP="006F6DCB">
            <w:pPr>
              <w:pStyle w:val="ANorm"/>
              <w:jc w:val="center"/>
              <w:rPr>
                <w:sz w:val="18"/>
                <w:szCs w:val="18"/>
              </w:rPr>
            </w:pPr>
            <w:r w:rsidRPr="00673750">
              <w:rPr>
                <w:sz w:val="18"/>
                <w:szCs w:val="18"/>
              </w:rPr>
              <w:t>3.7%</w:t>
            </w:r>
          </w:p>
        </w:tc>
        <w:tc>
          <w:tcPr>
            <w:tcW w:w="2127" w:type="dxa"/>
          </w:tcPr>
          <w:p w14:paraId="768267B4" w14:textId="77777777" w:rsidR="00D75C3D" w:rsidRPr="0069466F" w:rsidRDefault="00D75C3D" w:rsidP="006F6DCB">
            <w:pPr>
              <w:pStyle w:val="ANorm"/>
              <w:jc w:val="center"/>
              <w:rPr>
                <w:sz w:val="18"/>
                <w:szCs w:val="18"/>
                <w:highlight w:val="yellow"/>
              </w:rPr>
            </w:pPr>
          </w:p>
        </w:tc>
      </w:tr>
      <w:tr w:rsidR="00D75C3D" w:rsidRPr="00673750" w14:paraId="35BD19E2" w14:textId="77777777" w:rsidTr="006F6DCB">
        <w:trPr>
          <w:trHeight w:val="451"/>
          <w:jc w:val="center"/>
        </w:trPr>
        <w:tc>
          <w:tcPr>
            <w:tcW w:w="3403" w:type="dxa"/>
          </w:tcPr>
          <w:p w14:paraId="0F72368F" w14:textId="77777777" w:rsidR="00D75C3D" w:rsidRPr="00937DF7" w:rsidRDefault="00D75C3D" w:rsidP="006F6DCB">
            <w:pPr>
              <w:pStyle w:val="ANorm"/>
              <w:rPr>
                <w:b/>
                <w:sz w:val="18"/>
                <w:szCs w:val="18"/>
              </w:rPr>
            </w:pPr>
            <w:r w:rsidRPr="00937DF7">
              <w:rPr>
                <w:b/>
                <w:sz w:val="18"/>
                <w:szCs w:val="18"/>
              </w:rPr>
              <w:t>Location of residence (n)</w:t>
            </w:r>
          </w:p>
          <w:p w14:paraId="2BA3B90F" w14:textId="77777777" w:rsidR="00D75C3D" w:rsidRPr="00673750" w:rsidRDefault="00D75C3D" w:rsidP="006F6DCB">
            <w:pPr>
              <w:pStyle w:val="ANorm"/>
              <w:ind w:left="170"/>
              <w:rPr>
                <w:sz w:val="18"/>
                <w:szCs w:val="18"/>
              </w:rPr>
            </w:pPr>
            <w:r w:rsidRPr="00CE56D5">
              <w:rPr>
                <w:sz w:val="18"/>
                <w:szCs w:val="18"/>
              </w:rPr>
              <w:t>Rural or remote region</w:t>
            </w:r>
          </w:p>
        </w:tc>
        <w:tc>
          <w:tcPr>
            <w:tcW w:w="2126" w:type="dxa"/>
          </w:tcPr>
          <w:p w14:paraId="6BA118EC" w14:textId="77D3CC8C" w:rsidR="00082A73" w:rsidRDefault="00082A73" w:rsidP="006F6DCB">
            <w:pPr>
              <w:pStyle w:val="ANorm"/>
              <w:jc w:val="center"/>
              <w:rPr>
                <w:sz w:val="18"/>
                <w:szCs w:val="18"/>
              </w:rPr>
            </w:pPr>
            <w:r>
              <w:rPr>
                <w:sz w:val="18"/>
                <w:szCs w:val="18"/>
              </w:rPr>
              <w:t>(</w:t>
            </w:r>
            <w:proofErr w:type="gramStart"/>
            <w:r w:rsidR="009F4A62" w:rsidRPr="009F4A62">
              <w:rPr>
                <w:sz w:val="18"/>
                <w:szCs w:val="18"/>
              </w:rPr>
              <w:t>2</w:t>
            </w:r>
            <w:r w:rsidR="009F4A62">
              <w:rPr>
                <w:sz w:val="18"/>
                <w:szCs w:val="18"/>
              </w:rPr>
              <w:t>,</w:t>
            </w:r>
            <w:r w:rsidR="009F4A62" w:rsidRPr="009F4A62">
              <w:rPr>
                <w:sz w:val="18"/>
                <w:szCs w:val="18"/>
              </w:rPr>
              <w:t>676</w:t>
            </w:r>
            <w:r>
              <w:rPr>
                <w:sz w:val="18"/>
                <w:szCs w:val="18"/>
              </w:rPr>
              <w:t>)</w:t>
            </w:r>
            <w:r w:rsidRPr="00082A73">
              <w:rPr>
                <w:sz w:val="18"/>
                <w:szCs w:val="18"/>
                <w:vertAlign w:val="superscript"/>
              </w:rPr>
              <w:t>f</w:t>
            </w:r>
            <w:proofErr w:type="gramEnd"/>
          </w:p>
          <w:p w14:paraId="53AB29C0" w14:textId="70B8063F" w:rsidR="00D75C3D" w:rsidRPr="00673750" w:rsidRDefault="001255D4" w:rsidP="006F6DCB">
            <w:pPr>
              <w:pStyle w:val="ANorm"/>
              <w:jc w:val="center"/>
              <w:rPr>
                <w:sz w:val="18"/>
                <w:szCs w:val="18"/>
              </w:rPr>
            </w:pPr>
            <w:r>
              <w:rPr>
                <w:sz w:val="18"/>
                <w:szCs w:val="18"/>
              </w:rPr>
              <w:t>14.3</w:t>
            </w:r>
            <w:r w:rsidR="00082A73" w:rsidRPr="00082A73">
              <w:rPr>
                <w:sz w:val="18"/>
                <w:szCs w:val="18"/>
              </w:rPr>
              <w:t xml:space="preserve">% </w:t>
            </w:r>
          </w:p>
        </w:tc>
        <w:tc>
          <w:tcPr>
            <w:tcW w:w="2126" w:type="dxa"/>
          </w:tcPr>
          <w:p w14:paraId="686D7F7E" w14:textId="77777777" w:rsidR="00D75C3D" w:rsidRPr="00673750" w:rsidRDefault="00D75C3D" w:rsidP="006F6DCB">
            <w:pPr>
              <w:pStyle w:val="ANorm"/>
              <w:jc w:val="center"/>
              <w:rPr>
                <w:sz w:val="18"/>
                <w:szCs w:val="18"/>
              </w:rPr>
            </w:pPr>
            <w:r w:rsidRPr="00673750">
              <w:rPr>
                <w:sz w:val="18"/>
                <w:szCs w:val="18"/>
              </w:rPr>
              <w:t>(80,849)</w:t>
            </w:r>
          </w:p>
          <w:p w14:paraId="4BC0EF52" w14:textId="77777777" w:rsidR="00D75C3D" w:rsidRPr="00673750" w:rsidRDefault="00D75C3D" w:rsidP="006F6DCB">
            <w:pPr>
              <w:pStyle w:val="ANorm"/>
              <w:jc w:val="center"/>
              <w:rPr>
                <w:sz w:val="18"/>
                <w:szCs w:val="18"/>
              </w:rPr>
            </w:pPr>
            <w:r w:rsidRPr="00673750">
              <w:rPr>
                <w:sz w:val="18"/>
                <w:szCs w:val="18"/>
              </w:rPr>
              <w:t>18.9%</w:t>
            </w:r>
          </w:p>
        </w:tc>
        <w:tc>
          <w:tcPr>
            <w:tcW w:w="2127" w:type="dxa"/>
          </w:tcPr>
          <w:p w14:paraId="43AA01DE" w14:textId="26F04A73" w:rsidR="00D75C3D" w:rsidRPr="00972CC6" w:rsidRDefault="00D75C3D" w:rsidP="006F6DCB">
            <w:pPr>
              <w:pStyle w:val="ANorm"/>
              <w:jc w:val="center"/>
              <w:rPr>
                <w:sz w:val="18"/>
                <w:szCs w:val="18"/>
              </w:rPr>
            </w:pPr>
            <w:r w:rsidRPr="00972CC6">
              <w:rPr>
                <w:sz w:val="18"/>
                <w:szCs w:val="18"/>
              </w:rPr>
              <w:t>(</w:t>
            </w:r>
            <w:proofErr w:type="gramStart"/>
            <w:r w:rsidR="005602FD" w:rsidRPr="00972CC6">
              <w:rPr>
                <w:sz w:val="18"/>
                <w:szCs w:val="18"/>
              </w:rPr>
              <w:t>88,961)</w:t>
            </w:r>
            <w:r w:rsidR="00F731D9" w:rsidRPr="00972CC6">
              <w:rPr>
                <w:sz w:val="18"/>
                <w:szCs w:val="18"/>
                <w:vertAlign w:val="superscript"/>
              </w:rPr>
              <w:t>g</w:t>
            </w:r>
            <w:proofErr w:type="gramEnd"/>
          </w:p>
          <w:p w14:paraId="6C167CC2" w14:textId="0D8184DB" w:rsidR="00D75C3D" w:rsidRPr="0069466F" w:rsidRDefault="005602FD" w:rsidP="006F6DCB">
            <w:pPr>
              <w:pStyle w:val="ANorm"/>
              <w:jc w:val="center"/>
              <w:rPr>
                <w:sz w:val="18"/>
                <w:szCs w:val="18"/>
                <w:highlight w:val="yellow"/>
              </w:rPr>
            </w:pPr>
            <w:r w:rsidRPr="00972CC6">
              <w:rPr>
                <w:sz w:val="18"/>
                <w:szCs w:val="18"/>
              </w:rPr>
              <w:t>6.6</w:t>
            </w:r>
            <w:r w:rsidR="00D75C3D" w:rsidRPr="00972CC6">
              <w:rPr>
                <w:sz w:val="18"/>
                <w:szCs w:val="18"/>
              </w:rPr>
              <w:t>%</w:t>
            </w:r>
          </w:p>
        </w:tc>
      </w:tr>
      <w:tr w:rsidR="00D75C3D" w:rsidRPr="00673750" w14:paraId="556DF6E5" w14:textId="77777777" w:rsidTr="006F6DCB">
        <w:trPr>
          <w:jc w:val="center"/>
        </w:trPr>
        <w:tc>
          <w:tcPr>
            <w:tcW w:w="3403" w:type="dxa"/>
          </w:tcPr>
          <w:p w14:paraId="3296D33C" w14:textId="3C7D9065" w:rsidR="00D75C3D" w:rsidRPr="00937DF7" w:rsidRDefault="00D75C3D" w:rsidP="006F6DCB">
            <w:pPr>
              <w:pStyle w:val="ANorm"/>
              <w:rPr>
                <w:b/>
                <w:sz w:val="18"/>
                <w:szCs w:val="18"/>
              </w:rPr>
            </w:pPr>
            <w:r w:rsidRPr="00937DF7">
              <w:rPr>
                <w:b/>
                <w:sz w:val="18"/>
                <w:szCs w:val="18"/>
              </w:rPr>
              <w:t>Country of residence</w:t>
            </w:r>
            <w:r w:rsidR="003B7D0E" w:rsidRPr="00937DF7">
              <w:rPr>
                <w:b/>
                <w:sz w:val="18"/>
                <w:szCs w:val="18"/>
              </w:rPr>
              <w:t xml:space="preserve"> (n)</w:t>
            </w:r>
          </w:p>
          <w:p w14:paraId="5F32805C" w14:textId="77777777" w:rsidR="00D75C3D" w:rsidRPr="00673750" w:rsidRDefault="00D75C3D" w:rsidP="006F6DCB">
            <w:pPr>
              <w:pStyle w:val="ANorm"/>
              <w:ind w:left="170"/>
              <w:rPr>
                <w:sz w:val="18"/>
                <w:szCs w:val="18"/>
              </w:rPr>
            </w:pPr>
            <w:r w:rsidRPr="00673750">
              <w:rPr>
                <w:sz w:val="18"/>
                <w:szCs w:val="18"/>
              </w:rPr>
              <w:t>Australia</w:t>
            </w:r>
          </w:p>
          <w:p w14:paraId="2F7321EA" w14:textId="77777777" w:rsidR="00D75C3D" w:rsidRPr="00673750" w:rsidRDefault="00D75C3D" w:rsidP="006F6DCB">
            <w:pPr>
              <w:pStyle w:val="ANorm"/>
              <w:ind w:left="170"/>
              <w:rPr>
                <w:sz w:val="18"/>
                <w:szCs w:val="18"/>
              </w:rPr>
            </w:pPr>
            <w:r w:rsidRPr="00673750">
              <w:rPr>
                <w:sz w:val="18"/>
                <w:szCs w:val="18"/>
              </w:rPr>
              <w:t>Overseas</w:t>
            </w:r>
          </w:p>
          <w:p w14:paraId="6EE8D556" w14:textId="77777777" w:rsidR="00D75C3D" w:rsidRPr="00673750" w:rsidRDefault="00D75C3D" w:rsidP="006F6DCB">
            <w:pPr>
              <w:pStyle w:val="ANorm"/>
              <w:ind w:left="170"/>
              <w:rPr>
                <w:sz w:val="18"/>
                <w:szCs w:val="18"/>
              </w:rPr>
            </w:pPr>
            <w:r w:rsidRPr="00673750">
              <w:rPr>
                <w:sz w:val="18"/>
                <w:szCs w:val="18"/>
              </w:rPr>
              <w:t>Unknown</w:t>
            </w:r>
          </w:p>
        </w:tc>
        <w:tc>
          <w:tcPr>
            <w:tcW w:w="2126" w:type="dxa"/>
          </w:tcPr>
          <w:p w14:paraId="754D4172" w14:textId="77777777" w:rsidR="00D75C3D" w:rsidRPr="00673750" w:rsidRDefault="00D75C3D" w:rsidP="006F6DCB">
            <w:pPr>
              <w:pStyle w:val="ANorm"/>
              <w:jc w:val="center"/>
              <w:rPr>
                <w:sz w:val="18"/>
                <w:szCs w:val="18"/>
              </w:rPr>
            </w:pPr>
            <w:r w:rsidRPr="00673750">
              <w:rPr>
                <w:sz w:val="18"/>
                <w:szCs w:val="18"/>
              </w:rPr>
              <w:t>(64,825)</w:t>
            </w:r>
          </w:p>
          <w:p w14:paraId="2FD4A056" w14:textId="77777777" w:rsidR="00D75C3D" w:rsidRPr="00673750" w:rsidRDefault="00D75C3D" w:rsidP="006F6DCB">
            <w:pPr>
              <w:pStyle w:val="ANorm"/>
              <w:jc w:val="center"/>
              <w:rPr>
                <w:sz w:val="18"/>
                <w:szCs w:val="18"/>
              </w:rPr>
            </w:pPr>
            <w:r w:rsidRPr="00673750">
              <w:rPr>
                <w:sz w:val="18"/>
                <w:szCs w:val="18"/>
              </w:rPr>
              <w:t>72.5%</w:t>
            </w:r>
          </w:p>
          <w:p w14:paraId="0B17C8B4" w14:textId="77777777" w:rsidR="00D75C3D" w:rsidRPr="00673750" w:rsidRDefault="00D75C3D" w:rsidP="006F6DCB">
            <w:pPr>
              <w:pStyle w:val="ANorm"/>
              <w:jc w:val="center"/>
              <w:rPr>
                <w:sz w:val="18"/>
                <w:szCs w:val="18"/>
              </w:rPr>
            </w:pPr>
            <w:r w:rsidRPr="00673750">
              <w:rPr>
                <w:sz w:val="18"/>
                <w:szCs w:val="18"/>
              </w:rPr>
              <w:t>7.0%</w:t>
            </w:r>
          </w:p>
          <w:p w14:paraId="2A7B637B" w14:textId="77777777" w:rsidR="00D75C3D" w:rsidRPr="00673750" w:rsidRDefault="00D75C3D" w:rsidP="006F6DCB">
            <w:pPr>
              <w:pStyle w:val="ANorm"/>
              <w:jc w:val="center"/>
              <w:rPr>
                <w:sz w:val="18"/>
                <w:szCs w:val="18"/>
              </w:rPr>
            </w:pPr>
            <w:r w:rsidRPr="00673750">
              <w:rPr>
                <w:sz w:val="18"/>
                <w:szCs w:val="18"/>
              </w:rPr>
              <w:t>20.5%</w:t>
            </w:r>
          </w:p>
        </w:tc>
        <w:tc>
          <w:tcPr>
            <w:tcW w:w="2126" w:type="dxa"/>
          </w:tcPr>
          <w:p w14:paraId="5AA4211A" w14:textId="77777777" w:rsidR="00D75C3D" w:rsidRPr="00673750" w:rsidRDefault="00D75C3D" w:rsidP="006F6DCB">
            <w:pPr>
              <w:pStyle w:val="ANorm"/>
              <w:jc w:val="center"/>
              <w:rPr>
                <w:sz w:val="18"/>
                <w:szCs w:val="18"/>
              </w:rPr>
            </w:pPr>
            <w:r w:rsidRPr="00673750">
              <w:rPr>
                <w:sz w:val="18"/>
                <w:szCs w:val="18"/>
              </w:rPr>
              <w:t>(121,652)</w:t>
            </w:r>
          </w:p>
          <w:p w14:paraId="6596BDDB" w14:textId="77777777" w:rsidR="00D75C3D" w:rsidRPr="00673750" w:rsidRDefault="00D75C3D" w:rsidP="006F6DCB">
            <w:pPr>
              <w:pStyle w:val="ANorm"/>
              <w:jc w:val="center"/>
              <w:rPr>
                <w:sz w:val="18"/>
                <w:szCs w:val="18"/>
              </w:rPr>
            </w:pPr>
            <w:r w:rsidRPr="00673750">
              <w:rPr>
                <w:sz w:val="18"/>
                <w:szCs w:val="18"/>
              </w:rPr>
              <w:t>100%</w:t>
            </w:r>
          </w:p>
        </w:tc>
        <w:tc>
          <w:tcPr>
            <w:tcW w:w="2127" w:type="dxa"/>
          </w:tcPr>
          <w:p w14:paraId="62FE6B79" w14:textId="77777777" w:rsidR="00D75C3D" w:rsidRPr="0069466F" w:rsidRDefault="00D75C3D" w:rsidP="006F6DCB">
            <w:pPr>
              <w:pStyle w:val="ANorm"/>
              <w:jc w:val="center"/>
              <w:rPr>
                <w:sz w:val="18"/>
                <w:szCs w:val="18"/>
                <w:highlight w:val="yellow"/>
              </w:rPr>
            </w:pPr>
          </w:p>
        </w:tc>
      </w:tr>
      <w:tr w:rsidR="00986999" w:rsidRPr="00673750" w14:paraId="1C27C3A4" w14:textId="77777777" w:rsidTr="006F6DCB">
        <w:trPr>
          <w:jc w:val="center"/>
        </w:trPr>
        <w:tc>
          <w:tcPr>
            <w:tcW w:w="3403" w:type="dxa"/>
          </w:tcPr>
          <w:p w14:paraId="2B023E65" w14:textId="4A09FBEA" w:rsidR="00986999" w:rsidRPr="00937DF7" w:rsidRDefault="00986999" w:rsidP="006F6DCB">
            <w:pPr>
              <w:pStyle w:val="ANorm"/>
              <w:rPr>
                <w:b/>
                <w:sz w:val="18"/>
                <w:szCs w:val="18"/>
              </w:rPr>
            </w:pPr>
            <w:r w:rsidRPr="00937DF7">
              <w:rPr>
                <w:b/>
                <w:sz w:val="18"/>
                <w:szCs w:val="18"/>
              </w:rPr>
              <w:t>Employment</w:t>
            </w:r>
            <w:r w:rsidR="003B7D0E" w:rsidRPr="00937DF7">
              <w:rPr>
                <w:b/>
                <w:sz w:val="18"/>
                <w:szCs w:val="18"/>
              </w:rPr>
              <w:t xml:space="preserve"> (n)</w:t>
            </w:r>
          </w:p>
          <w:p w14:paraId="4A71A141" w14:textId="70F7A035" w:rsidR="00575585" w:rsidRPr="00643D1B" w:rsidRDefault="00643D1B" w:rsidP="006F6DCB">
            <w:pPr>
              <w:pStyle w:val="ANorm"/>
              <w:ind w:left="174"/>
              <w:rPr>
                <w:sz w:val="18"/>
                <w:szCs w:val="18"/>
              </w:rPr>
            </w:pPr>
            <w:r w:rsidRPr="00643D1B">
              <w:rPr>
                <w:sz w:val="18"/>
                <w:szCs w:val="18"/>
              </w:rPr>
              <w:t>Employed</w:t>
            </w:r>
          </w:p>
          <w:p w14:paraId="156C0173" w14:textId="77777777" w:rsidR="00643D1B" w:rsidRPr="00643D1B" w:rsidRDefault="00643D1B" w:rsidP="006F6DCB">
            <w:pPr>
              <w:pStyle w:val="ANorm"/>
              <w:ind w:left="174"/>
              <w:rPr>
                <w:sz w:val="18"/>
                <w:szCs w:val="18"/>
              </w:rPr>
            </w:pPr>
            <w:r w:rsidRPr="00643D1B">
              <w:rPr>
                <w:sz w:val="18"/>
                <w:szCs w:val="18"/>
              </w:rPr>
              <w:t>Unemployed</w:t>
            </w:r>
          </w:p>
          <w:p w14:paraId="3C813E43" w14:textId="4C3C2635" w:rsidR="00575585" w:rsidRPr="00643D1B" w:rsidRDefault="00575585" w:rsidP="006F6DCB">
            <w:pPr>
              <w:pStyle w:val="ANorm"/>
              <w:ind w:left="174"/>
              <w:rPr>
                <w:sz w:val="18"/>
                <w:szCs w:val="18"/>
              </w:rPr>
            </w:pPr>
            <w:r w:rsidRPr="00643D1B">
              <w:rPr>
                <w:sz w:val="18"/>
                <w:szCs w:val="18"/>
              </w:rPr>
              <w:t>Home</w:t>
            </w:r>
            <w:r w:rsidR="00643D1B" w:rsidRPr="00643D1B">
              <w:rPr>
                <w:sz w:val="18"/>
                <w:szCs w:val="18"/>
              </w:rPr>
              <w:t xml:space="preserve"> </w:t>
            </w:r>
            <w:r w:rsidRPr="00643D1B">
              <w:rPr>
                <w:sz w:val="18"/>
                <w:szCs w:val="18"/>
              </w:rPr>
              <w:t>duties</w:t>
            </w:r>
            <w:r w:rsidR="00643D1B" w:rsidRPr="00643D1B">
              <w:rPr>
                <w:sz w:val="18"/>
                <w:szCs w:val="18"/>
              </w:rPr>
              <w:t>/d</w:t>
            </w:r>
            <w:r w:rsidRPr="00643D1B">
              <w:rPr>
                <w:sz w:val="18"/>
                <w:szCs w:val="18"/>
              </w:rPr>
              <w:t>isability</w:t>
            </w:r>
            <w:r w:rsidR="00643D1B" w:rsidRPr="00643D1B">
              <w:rPr>
                <w:sz w:val="18"/>
                <w:szCs w:val="18"/>
              </w:rPr>
              <w:t xml:space="preserve"> </w:t>
            </w:r>
            <w:r w:rsidRPr="00643D1B">
              <w:rPr>
                <w:sz w:val="18"/>
                <w:szCs w:val="18"/>
              </w:rPr>
              <w:t>support</w:t>
            </w:r>
            <w:r w:rsidR="00643D1B" w:rsidRPr="00643D1B">
              <w:rPr>
                <w:sz w:val="18"/>
                <w:szCs w:val="18"/>
              </w:rPr>
              <w:t>/r</w:t>
            </w:r>
            <w:r w:rsidRPr="00643D1B">
              <w:rPr>
                <w:sz w:val="18"/>
                <w:szCs w:val="18"/>
              </w:rPr>
              <w:t>etired</w:t>
            </w:r>
          </w:p>
          <w:p w14:paraId="6DB75293" w14:textId="419D57C0" w:rsidR="00575585" w:rsidRPr="00643D1B" w:rsidRDefault="00643D1B" w:rsidP="006F6DCB">
            <w:pPr>
              <w:pStyle w:val="ANorm"/>
              <w:ind w:left="174"/>
              <w:rPr>
                <w:sz w:val="18"/>
                <w:szCs w:val="18"/>
              </w:rPr>
            </w:pPr>
            <w:r w:rsidRPr="00643D1B">
              <w:rPr>
                <w:sz w:val="18"/>
                <w:szCs w:val="18"/>
              </w:rPr>
              <w:t>Student/o</w:t>
            </w:r>
            <w:r w:rsidR="00575585" w:rsidRPr="00643D1B">
              <w:rPr>
                <w:sz w:val="18"/>
                <w:szCs w:val="18"/>
              </w:rPr>
              <w:t>ther</w:t>
            </w:r>
          </w:p>
        </w:tc>
        <w:tc>
          <w:tcPr>
            <w:tcW w:w="2126" w:type="dxa"/>
          </w:tcPr>
          <w:p w14:paraId="0D7033A6" w14:textId="77379E63" w:rsidR="00575585" w:rsidRDefault="00575585" w:rsidP="006F6DCB">
            <w:pPr>
              <w:pStyle w:val="ANorm"/>
              <w:jc w:val="center"/>
              <w:rPr>
                <w:sz w:val="18"/>
                <w:szCs w:val="18"/>
              </w:rPr>
            </w:pPr>
            <w:r>
              <w:rPr>
                <w:sz w:val="18"/>
                <w:szCs w:val="18"/>
              </w:rPr>
              <w:t>(</w:t>
            </w:r>
            <w:proofErr w:type="gramStart"/>
            <w:r>
              <w:rPr>
                <w:sz w:val="18"/>
                <w:szCs w:val="18"/>
              </w:rPr>
              <w:t>3,880)</w:t>
            </w:r>
            <w:r w:rsidR="00C50C27" w:rsidRPr="00C50C27">
              <w:rPr>
                <w:sz w:val="18"/>
                <w:szCs w:val="18"/>
                <w:vertAlign w:val="superscript"/>
              </w:rPr>
              <w:t>h</w:t>
            </w:r>
            <w:proofErr w:type="gramEnd"/>
          </w:p>
          <w:p w14:paraId="154F7783" w14:textId="7F559DFF" w:rsidR="00575585" w:rsidRPr="00575585" w:rsidRDefault="00BF7128" w:rsidP="006F6DCB">
            <w:pPr>
              <w:pStyle w:val="ANorm"/>
              <w:jc w:val="center"/>
              <w:rPr>
                <w:sz w:val="18"/>
                <w:szCs w:val="18"/>
              </w:rPr>
            </w:pPr>
            <w:r>
              <w:rPr>
                <w:sz w:val="18"/>
                <w:szCs w:val="18"/>
              </w:rPr>
              <w:t>65</w:t>
            </w:r>
            <w:r w:rsidR="00575585" w:rsidRPr="00575585">
              <w:rPr>
                <w:sz w:val="18"/>
                <w:szCs w:val="18"/>
              </w:rPr>
              <w:t>.5%</w:t>
            </w:r>
          </w:p>
          <w:p w14:paraId="1F08FD09" w14:textId="77777777" w:rsidR="00643D1B" w:rsidRPr="00575585" w:rsidRDefault="00643D1B" w:rsidP="006F6DCB">
            <w:pPr>
              <w:pStyle w:val="ANorm"/>
              <w:jc w:val="center"/>
              <w:rPr>
                <w:sz w:val="18"/>
                <w:szCs w:val="18"/>
              </w:rPr>
            </w:pPr>
            <w:r w:rsidRPr="00575585">
              <w:rPr>
                <w:sz w:val="18"/>
                <w:szCs w:val="18"/>
              </w:rPr>
              <w:t>10.2%</w:t>
            </w:r>
          </w:p>
          <w:p w14:paraId="10730201" w14:textId="0EE16C22" w:rsidR="00575585" w:rsidRPr="00575585" w:rsidRDefault="00643D1B" w:rsidP="006F6DCB">
            <w:pPr>
              <w:pStyle w:val="ANorm"/>
              <w:jc w:val="center"/>
              <w:rPr>
                <w:sz w:val="18"/>
                <w:szCs w:val="18"/>
              </w:rPr>
            </w:pPr>
            <w:r>
              <w:rPr>
                <w:sz w:val="18"/>
                <w:szCs w:val="18"/>
              </w:rPr>
              <w:t>13.5%</w:t>
            </w:r>
          </w:p>
          <w:p w14:paraId="2CE7BF2C" w14:textId="321A1983" w:rsidR="00986999" w:rsidRPr="00575585" w:rsidRDefault="00575585" w:rsidP="006F6DCB">
            <w:pPr>
              <w:pStyle w:val="ANorm"/>
              <w:jc w:val="center"/>
              <w:rPr>
                <w:sz w:val="18"/>
                <w:szCs w:val="18"/>
              </w:rPr>
            </w:pPr>
            <w:r w:rsidRPr="00575585">
              <w:rPr>
                <w:sz w:val="18"/>
                <w:szCs w:val="18"/>
              </w:rPr>
              <w:t xml:space="preserve">10.8% </w:t>
            </w:r>
          </w:p>
        </w:tc>
        <w:tc>
          <w:tcPr>
            <w:tcW w:w="2126" w:type="dxa"/>
          </w:tcPr>
          <w:p w14:paraId="6005EEF9" w14:textId="77777777" w:rsidR="00986999" w:rsidRDefault="00BF7128" w:rsidP="006F6DCB">
            <w:pPr>
              <w:pStyle w:val="ANorm"/>
              <w:jc w:val="center"/>
              <w:rPr>
                <w:sz w:val="18"/>
                <w:szCs w:val="18"/>
              </w:rPr>
            </w:pPr>
            <w:r>
              <w:rPr>
                <w:sz w:val="18"/>
                <w:szCs w:val="18"/>
              </w:rPr>
              <w:t>(108,864)</w:t>
            </w:r>
          </w:p>
          <w:p w14:paraId="4CF6E31D" w14:textId="77777777" w:rsidR="00BF7128" w:rsidRDefault="00BF7128" w:rsidP="006F6DCB">
            <w:pPr>
              <w:pStyle w:val="ANorm"/>
              <w:jc w:val="center"/>
              <w:rPr>
                <w:sz w:val="18"/>
                <w:szCs w:val="18"/>
              </w:rPr>
            </w:pPr>
            <w:r>
              <w:rPr>
                <w:sz w:val="18"/>
                <w:szCs w:val="18"/>
              </w:rPr>
              <w:t>56.7%</w:t>
            </w:r>
          </w:p>
          <w:p w14:paraId="2738862D" w14:textId="77777777" w:rsidR="00643D1B" w:rsidRDefault="00643D1B" w:rsidP="006F6DCB">
            <w:pPr>
              <w:pStyle w:val="ANorm"/>
              <w:jc w:val="center"/>
              <w:rPr>
                <w:sz w:val="18"/>
                <w:szCs w:val="18"/>
              </w:rPr>
            </w:pPr>
            <w:r>
              <w:rPr>
                <w:sz w:val="18"/>
                <w:szCs w:val="18"/>
              </w:rPr>
              <w:t>11.8%</w:t>
            </w:r>
          </w:p>
          <w:p w14:paraId="2584572C" w14:textId="77777777" w:rsidR="00643D1B" w:rsidRDefault="00643D1B" w:rsidP="006F6DCB">
            <w:pPr>
              <w:pStyle w:val="ANorm"/>
              <w:jc w:val="center"/>
              <w:rPr>
                <w:sz w:val="18"/>
                <w:szCs w:val="18"/>
              </w:rPr>
            </w:pPr>
            <w:r>
              <w:rPr>
                <w:sz w:val="18"/>
                <w:szCs w:val="18"/>
              </w:rPr>
              <w:t>16.1%</w:t>
            </w:r>
          </w:p>
          <w:p w14:paraId="519DD8DE" w14:textId="2848EBC9" w:rsidR="00643D1B" w:rsidRPr="00673750" w:rsidRDefault="00643D1B" w:rsidP="006F6DCB">
            <w:pPr>
              <w:pStyle w:val="ANorm"/>
              <w:jc w:val="center"/>
              <w:rPr>
                <w:sz w:val="18"/>
                <w:szCs w:val="18"/>
              </w:rPr>
            </w:pPr>
            <w:r>
              <w:rPr>
                <w:sz w:val="18"/>
                <w:szCs w:val="18"/>
              </w:rPr>
              <w:t>15.4%</w:t>
            </w:r>
          </w:p>
        </w:tc>
        <w:tc>
          <w:tcPr>
            <w:tcW w:w="2127" w:type="dxa"/>
          </w:tcPr>
          <w:p w14:paraId="2F95AD58" w14:textId="77777777" w:rsidR="00986999" w:rsidRPr="0069466F" w:rsidRDefault="00986999" w:rsidP="006F6DCB">
            <w:pPr>
              <w:pStyle w:val="ANorm"/>
              <w:jc w:val="center"/>
              <w:rPr>
                <w:sz w:val="18"/>
                <w:szCs w:val="18"/>
                <w:highlight w:val="yellow"/>
              </w:rPr>
            </w:pPr>
          </w:p>
        </w:tc>
      </w:tr>
      <w:tr w:rsidR="008A5720" w:rsidRPr="00673750" w14:paraId="6FC842D2" w14:textId="77777777" w:rsidTr="006F6DCB">
        <w:trPr>
          <w:jc w:val="center"/>
        </w:trPr>
        <w:tc>
          <w:tcPr>
            <w:tcW w:w="3403" w:type="dxa"/>
          </w:tcPr>
          <w:p w14:paraId="58F5DEDB" w14:textId="50480A13" w:rsidR="008A5720" w:rsidRDefault="008A5720" w:rsidP="006F6DCB">
            <w:pPr>
              <w:pStyle w:val="ANorm"/>
              <w:rPr>
                <w:sz w:val="18"/>
                <w:szCs w:val="18"/>
              </w:rPr>
            </w:pPr>
            <w:r w:rsidRPr="00937DF7">
              <w:rPr>
                <w:b/>
                <w:sz w:val="18"/>
                <w:szCs w:val="18"/>
              </w:rPr>
              <w:t>Education</w:t>
            </w:r>
            <w:r w:rsidR="003B7D0E" w:rsidRPr="00937DF7">
              <w:rPr>
                <w:b/>
                <w:sz w:val="18"/>
                <w:szCs w:val="18"/>
              </w:rPr>
              <w:t xml:space="preserve"> (n</w:t>
            </w:r>
            <w:r w:rsidR="003B7D0E">
              <w:rPr>
                <w:sz w:val="18"/>
                <w:szCs w:val="18"/>
              </w:rPr>
              <w:t>)</w:t>
            </w:r>
          </w:p>
          <w:p w14:paraId="6B9AC4B3" w14:textId="78B8F629" w:rsidR="008A5720" w:rsidRPr="00673750" w:rsidRDefault="008A5720" w:rsidP="006F6DCB">
            <w:pPr>
              <w:pStyle w:val="ANorm"/>
              <w:ind w:left="166"/>
              <w:rPr>
                <w:sz w:val="18"/>
                <w:szCs w:val="18"/>
              </w:rPr>
            </w:pPr>
            <w:r>
              <w:rPr>
                <w:sz w:val="18"/>
                <w:szCs w:val="18"/>
              </w:rPr>
              <w:t>University degree</w:t>
            </w:r>
          </w:p>
        </w:tc>
        <w:tc>
          <w:tcPr>
            <w:tcW w:w="2126" w:type="dxa"/>
          </w:tcPr>
          <w:p w14:paraId="2580341D" w14:textId="215F19B7" w:rsidR="008A5720" w:rsidRPr="008A5720" w:rsidRDefault="008A5720" w:rsidP="006F6DCB">
            <w:pPr>
              <w:pStyle w:val="ANorm"/>
              <w:jc w:val="center"/>
              <w:rPr>
                <w:sz w:val="18"/>
                <w:szCs w:val="18"/>
              </w:rPr>
            </w:pPr>
            <w:r>
              <w:rPr>
                <w:sz w:val="18"/>
                <w:szCs w:val="18"/>
              </w:rPr>
              <w:t>(</w:t>
            </w:r>
            <w:proofErr w:type="gramStart"/>
            <w:r>
              <w:rPr>
                <w:sz w:val="18"/>
                <w:szCs w:val="18"/>
              </w:rPr>
              <w:t>3,880)</w:t>
            </w:r>
            <w:r w:rsidR="00C50C27">
              <w:rPr>
                <w:sz w:val="18"/>
                <w:szCs w:val="18"/>
                <w:vertAlign w:val="superscript"/>
              </w:rPr>
              <w:t>h</w:t>
            </w:r>
            <w:proofErr w:type="gramEnd"/>
          </w:p>
          <w:p w14:paraId="2B78FBD8" w14:textId="29BC8814" w:rsidR="008A5720" w:rsidRPr="00123751" w:rsidRDefault="008A5720" w:rsidP="006F6DCB">
            <w:pPr>
              <w:pStyle w:val="ANorm"/>
              <w:jc w:val="center"/>
              <w:rPr>
                <w:sz w:val="18"/>
                <w:szCs w:val="18"/>
                <w:lang w:val="it-IT"/>
              </w:rPr>
            </w:pPr>
            <w:r>
              <w:rPr>
                <w:sz w:val="18"/>
                <w:szCs w:val="18"/>
                <w:lang w:val="it-IT"/>
              </w:rPr>
              <w:t>37.3%</w:t>
            </w:r>
          </w:p>
        </w:tc>
        <w:tc>
          <w:tcPr>
            <w:tcW w:w="2126" w:type="dxa"/>
          </w:tcPr>
          <w:p w14:paraId="36130A85" w14:textId="67BD9B1A" w:rsidR="008A5720" w:rsidRDefault="008A5720" w:rsidP="006F6DCB">
            <w:pPr>
              <w:pStyle w:val="ANorm"/>
              <w:jc w:val="center"/>
              <w:rPr>
                <w:sz w:val="18"/>
                <w:szCs w:val="18"/>
              </w:rPr>
            </w:pPr>
            <w:r>
              <w:rPr>
                <w:sz w:val="18"/>
                <w:szCs w:val="18"/>
              </w:rPr>
              <w:t>(108,316)</w:t>
            </w:r>
          </w:p>
          <w:p w14:paraId="5B6247D6" w14:textId="6E632F79" w:rsidR="008A5720" w:rsidRPr="00673750" w:rsidRDefault="008A5720" w:rsidP="006F6DCB">
            <w:pPr>
              <w:pStyle w:val="ANorm"/>
              <w:jc w:val="center"/>
              <w:rPr>
                <w:sz w:val="18"/>
                <w:szCs w:val="18"/>
              </w:rPr>
            </w:pPr>
            <w:r>
              <w:rPr>
                <w:sz w:val="18"/>
                <w:szCs w:val="18"/>
              </w:rPr>
              <w:t>38.6%</w:t>
            </w:r>
          </w:p>
        </w:tc>
        <w:tc>
          <w:tcPr>
            <w:tcW w:w="2127" w:type="dxa"/>
          </w:tcPr>
          <w:p w14:paraId="646AC9B0" w14:textId="77777777" w:rsidR="008A5720" w:rsidRPr="0069466F" w:rsidRDefault="008A5720" w:rsidP="006F6DCB">
            <w:pPr>
              <w:pStyle w:val="ANorm"/>
              <w:rPr>
                <w:sz w:val="18"/>
                <w:szCs w:val="18"/>
                <w:highlight w:val="yellow"/>
              </w:rPr>
            </w:pPr>
          </w:p>
        </w:tc>
      </w:tr>
      <w:tr w:rsidR="008A5720" w:rsidRPr="00673750" w14:paraId="76F482B0" w14:textId="77777777" w:rsidTr="006F6DCB">
        <w:trPr>
          <w:jc w:val="center"/>
        </w:trPr>
        <w:tc>
          <w:tcPr>
            <w:tcW w:w="3403" w:type="dxa"/>
          </w:tcPr>
          <w:p w14:paraId="60A1B29D" w14:textId="298D2B27" w:rsidR="00BF7128" w:rsidRPr="00937DF7" w:rsidRDefault="008A5720" w:rsidP="006F6DCB">
            <w:pPr>
              <w:pStyle w:val="ANorm"/>
              <w:rPr>
                <w:b/>
                <w:sz w:val="18"/>
                <w:szCs w:val="18"/>
              </w:rPr>
            </w:pPr>
            <w:r w:rsidRPr="00937DF7">
              <w:rPr>
                <w:b/>
                <w:sz w:val="18"/>
                <w:szCs w:val="18"/>
              </w:rPr>
              <w:t>Relationship status</w:t>
            </w:r>
            <w:r w:rsidR="00BF7128" w:rsidRPr="00937DF7">
              <w:rPr>
                <w:b/>
                <w:sz w:val="18"/>
                <w:szCs w:val="18"/>
              </w:rPr>
              <w:t xml:space="preserve"> </w:t>
            </w:r>
            <w:r w:rsidR="003B7D0E" w:rsidRPr="00937DF7">
              <w:rPr>
                <w:b/>
                <w:sz w:val="18"/>
                <w:szCs w:val="18"/>
              </w:rPr>
              <w:t>(n)</w:t>
            </w:r>
          </w:p>
          <w:p w14:paraId="3E00371E" w14:textId="20DC78B5" w:rsidR="00BF7128" w:rsidRDefault="00BF7128" w:rsidP="006F6DCB">
            <w:pPr>
              <w:pStyle w:val="ANorm"/>
              <w:ind w:left="172"/>
              <w:rPr>
                <w:sz w:val="18"/>
                <w:szCs w:val="18"/>
              </w:rPr>
            </w:pPr>
            <w:r w:rsidRPr="00FA22EA">
              <w:rPr>
                <w:sz w:val="18"/>
                <w:szCs w:val="18"/>
              </w:rPr>
              <w:t xml:space="preserve">Married or cohabiting </w:t>
            </w:r>
          </w:p>
          <w:p w14:paraId="2FF8821A" w14:textId="060300E0" w:rsidR="008A5720" w:rsidRPr="00673750" w:rsidRDefault="00BF7128" w:rsidP="006F6DCB">
            <w:pPr>
              <w:pStyle w:val="ANorm"/>
              <w:ind w:left="172"/>
              <w:rPr>
                <w:sz w:val="18"/>
                <w:szCs w:val="18"/>
              </w:rPr>
            </w:pPr>
            <w:r w:rsidRPr="00FA22EA">
              <w:rPr>
                <w:sz w:val="18"/>
                <w:szCs w:val="18"/>
              </w:rPr>
              <w:t>Other</w:t>
            </w:r>
          </w:p>
        </w:tc>
        <w:tc>
          <w:tcPr>
            <w:tcW w:w="2126" w:type="dxa"/>
          </w:tcPr>
          <w:p w14:paraId="77ABE30D" w14:textId="01E25A1D" w:rsidR="00FA22EA" w:rsidRDefault="00FA22EA" w:rsidP="006F6DCB">
            <w:pPr>
              <w:pStyle w:val="ANorm"/>
              <w:jc w:val="center"/>
              <w:rPr>
                <w:sz w:val="18"/>
                <w:szCs w:val="18"/>
              </w:rPr>
            </w:pPr>
            <w:r>
              <w:rPr>
                <w:sz w:val="18"/>
                <w:szCs w:val="18"/>
              </w:rPr>
              <w:t>(</w:t>
            </w:r>
            <w:proofErr w:type="gramStart"/>
            <w:r>
              <w:rPr>
                <w:sz w:val="18"/>
                <w:szCs w:val="18"/>
              </w:rPr>
              <w:t>3,880)</w:t>
            </w:r>
            <w:r w:rsidR="00C50C27" w:rsidRPr="00C50C27">
              <w:rPr>
                <w:sz w:val="18"/>
                <w:szCs w:val="18"/>
                <w:vertAlign w:val="superscript"/>
              </w:rPr>
              <w:t>h</w:t>
            </w:r>
            <w:proofErr w:type="gramEnd"/>
          </w:p>
          <w:p w14:paraId="2B3444A0" w14:textId="77132DFE" w:rsidR="00BF7128" w:rsidRDefault="00FA22EA" w:rsidP="006F6DCB">
            <w:pPr>
              <w:jc w:val="center"/>
              <w:rPr>
                <w:rFonts w:ascii="Calibri" w:hAnsi="Calibri" w:cs="Arial"/>
                <w:color w:val="000000" w:themeColor="text1"/>
                <w:sz w:val="18"/>
                <w:szCs w:val="18"/>
              </w:rPr>
            </w:pPr>
            <w:r w:rsidRPr="00FA22EA">
              <w:rPr>
                <w:rFonts w:ascii="Calibri" w:hAnsi="Calibri" w:cs="Arial"/>
                <w:color w:val="000000" w:themeColor="text1"/>
                <w:sz w:val="18"/>
                <w:szCs w:val="18"/>
              </w:rPr>
              <w:t>54.</w:t>
            </w:r>
            <w:r w:rsidR="00BF7128">
              <w:rPr>
                <w:rFonts w:ascii="Calibri" w:hAnsi="Calibri" w:cs="Arial"/>
                <w:color w:val="000000" w:themeColor="text1"/>
                <w:sz w:val="18"/>
                <w:szCs w:val="18"/>
              </w:rPr>
              <w:t>3</w:t>
            </w:r>
            <w:r w:rsidRPr="00FA22EA">
              <w:rPr>
                <w:rFonts w:ascii="Calibri" w:hAnsi="Calibri" w:cs="Arial"/>
                <w:color w:val="000000" w:themeColor="text1"/>
                <w:sz w:val="18"/>
                <w:szCs w:val="18"/>
              </w:rPr>
              <w:t>%</w:t>
            </w:r>
          </w:p>
          <w:p w14:paraId="6BA3F3AA" w14:textId="4DAD3C66" w:rsidR="008A5720" w:rsidRPr="00BF7128" w:rsidRDefault="00F06D95" w:rsidP="006F6DCB">
            <w:pPr>
              <w:jc w:val="center"/>
              <w:rPr>
                <w:rFonts w:ascii="Calibri" w:hAnsi="Calibri" w:cs="Arial"/>
                <w:color w:val="000000" w:themeColor="text1"/>
                <w:sz w:val="18"/>
                <w:szCs w:val="18"/>
              </w:rPr>
            </w:pPr>
            <w:r>
              <w:rPr>
                <w:rFonts w:ascii="Calibri" w:hAnsi="Calibri" w:cs="Arial"/>
                <w:color w:val="000000" w:themeColor="text1"/>
                <w:sz w:val="18"/>
                <w:szCs w:val="18"/>
              </w:rPr>
              <w:t>45</w:t>
            </w:r>
            <w:r w:rsidR="00FA22EA" w:rsidRPr="00FA22EA">
              <w:rPr>
                <w:rFonts w:ascii="Calibri" w:hAnsi="Calibri" w:cs="Arial"/>
                <w:color w:val="000000" w:themeColor="text1"/>
                <w:sz w:val="18"/>
                <w:szCs w:val="18"/>
              </w:rPr>
              <w:t>.7%</w:t>
            </w:r>
          </w:p>
        </w:tc>
        <w:tc>
          <w:tcPr>
            <w:tcW w:w="2126" w:type="dxa"/>
          </w:tcPr>
          <w:p w14:paraId="2534CCC5" w14:textId="77777777" w:rsidR="008A5720" w:rsidRDefault="00F06D95" w:rsidP="006F6DCB">
            <w:pPr>
              <w:pStyle w:val="ANorm"/>
              <w:jc w:val="center"/>
              <w:rPr>
                <w:sz w:val="18"/>
                <w:szCs w:val="18"/>
              </w:rPr>
            </w:pPr>
            <w:r>
              <w:rPr>
                <w:sz w:val="18"/>
                <w:szCs w:val="18"/>
              </w:rPr>
              <w:t>(108,649)</w:t>
            </w:r>
          </w:p>
          <w:p w14:paraId="6CCC8497" w14:textId="77777777" w:rsidR="00F06D95" w:rsidRDefault="00F06D95" w:rsidP="006F6DCB">
            <w:pPr>
              <w:pStyle w:val="ANorm"/>
              <w:jc w:val="center"/>
              <w:rPr>
                <w:sz w:val="18"/>
                <w:szCs w:val="18"/>
              </w:rPr>
            </w:pPr>
            <w:r>
              <w:rPr>
                <w:sz w:val="18"/>
                <w:szCs w:val="18"/>
              </w:rPr>
              <w:t>38.0%</w:t>
            </w:r>
          </w:p>
          <w:p w14:paraId="0BC7A0E5" w14:textId="178BAED9" w:rsidR="00F06D95" w:rsidRPr="00673750" w:rsidRDefault="00F06D95" w:rsidP="006F6DCB">
            <w:pPr>
              <w:pStyle w:val="ANorm"/>
              <w:jc w:val="center"/>
              <w:rPr>
                <w:sz w:val="18"/>
                <w:szCs w:val="18"/>
              </w:rPr>
            </w:pPr>
            <w:r>
              <w:rPr>
                <w:sz w:val="18"/>
                <w:szCs w:val="18"/>
              </w:rPr>
              <w:t>62.0%</w:t>
            </w:r>
          </w:p>
        </w:tc>
        <w:tc>
          <w:tcPr>
            <w:tcW w:w="2127" w:type="dxa"/>
          </w:tcPr>
          <w:p w14:paraId="04742678" w14:textId="77777777" w:rsidR="008A5720" w:rsidRPr="0069466F" w:rsidRDefault="008A5720" w:rsidP="006F6DCB">
            <w:pPr>
              <w:pStyle w:val="ANorm"/>
              <w:rPr>
                <w:sz w:val="18"/>
                <w:szCs w:val="18"/>
                <w:highlight w:val="yellow"/>
              </w:rPr>
            </w:pPr>
          </w:p>
        </w:tc>
      </w:tr>
      <w:tr w:rsidR="00D75C3D" w:rsidRPr="00673750" w14:paraId="27D73C89" w14:textId="77777777" w:rsidTr="006F6DCB">
        <w:trPr>
          <w:jc w:val="center"/>
        </w:trPr>
        <w:tc>
          <w:tcPr>
            <w:tcW w:w="3403" w:type="dxa"/>
          </w:tcPr>
          <w:p w14:paraId="78BA2810" w14:textId="6627913A" w:rsidR="00D75C3D" w:rsidRPr="00937DF7" w:rsidRDefault="008A5720" w:rsidP="006F6DCB">
            <w:pPr>
              <w:pStyle w:val="ANorm"/>
              <w:rPr>
                <w:b/>
                <w:sz w:val="18"/>
                <w:szCs w:val="18"/>
              </w:rPr>
            </w:pPr>
            <w:r w:rsidRPr="00937DF7">
              <w:rPr>
                <w:b/>
                <w:sz w:val="18"/>
                <w:szCs w:val="18"/>
              </w:rPr>
              <w:t>Using other mental health services</w:t>
            </w:r>
            <w:r w:rsidR="002B2E76" w:rsidRPr="00937DF7">
              <w:rPr>
                <w:b/>
                <w:sz w:val="18"/>
                <w:szCs w:val="18"/>
              </w:rPr>
              <w:t>/GP</w:t>
            </w:r>
            <w:r w:rsidR="003B7D0E" w:rsidRPr="00937DF7">
              <w:rPr>
                <w:b/>
                <w:sz w:val="18"/>
                <w:szCs w:val="18"/>
              </w:rPr>
              <w:t xml:space="preserve"> (n)</w:t>
            </w:r>
          </w:p>
          <w:p w14:paraId="0DCB24BE" w14:textId="0F1D0840" w:rsidR="008A5720" w:rsidRPr="00673750" w:rsidRDefault="008A5720" w:rsidP="006F6DCB">
            <w:pPr>
              <w:pStyle w:val="ANorm"/>
              <w:ind w:left="177"/>
              <w:rPr>
                <w:sz w:val="18"/>
                <w:szCs w:val="18"/>
              </w:rPr>
            </w:pPr>
            <w:r>
              <w:rPr>
                <w:sz w:val="18"/>
                <w:szCs w:val="18"/>
              </w:rPr>
              <w:t xml:space="preserve">Yes </w:t>
            </w:r>
          </w:p>
        </w:tc>
        <w:tc>
          <w:tcPr>
            <w:tcW w:w="2126" w:type="dxa"/>
          </w:tcPr>
          <w:p w14:paraId="006907E5" w14:textId="63A7BD7C" w:rsidR="008A5720" w:rsidRPr="008A5720" w:rsidRDefault="008A5720" w:rsidP="006F6DCB">
            <w:pPr>
              <w:pStyle w:val="ANorm"/>
              <w:jc w:val="center"/>
              <w:rPr>
                <w:sz w:val="18"/>
                <w:szCs w:val="18"/>
              </w:rPr>
            </w:pPr>
            <w:r>
              <w:rPr>
                <w:sz w:val="18"/>
                <w:szCs w:val="18"/>
              </w:rPr>
              <w:t>(</w:t>
            </w:r>
            <w:proofErr w:type="gramStart"/>
            <w:r>
              <w:rPr>
                <w:sz w:val="18"/>
                <w:szCs w:val="18"/>
              </w:rPr>
              <w:t>3,880)</w:t>
            </w:r>
            <w:r w:rsidR="00C50C27" w:rsidRPr="00C50C27">
              <w:rPr>
                <w:sz w:val="18"/>
                <w:szCs w:val="18"/>
                <w:vertAlign w:val="superscript"/>
              </w:rPr>
              <w:t>h</w:t>
            </w:r>
            <w:proofErr w:type="gramEnd"/>
          </w:p>
          <w:p w14:paraId="454D51A8" w14:textId="2C38C808" w:rsidR="00D75C3D" w:rsidRPr="00673750" w:rsidRDefault="008A5720" w:rsidP="006F6DCB">
            <w:pPr>
              <w:pStyle w:val="ANorm"/>
              <w:jc w:val="center"/>
              <w:rPr>
                <w:sz w:val="18"/>
                <w:szCs w:val="18"/>
              </w:rPr>
            </w:pPr>
            <w:r>
              <w:rPr>
                <w:sz w:val="18"/>
                <w:szCs w:val="18"/>
                <w:lang w:val="it-IT"/>
              </w:rPr>
              <w:t>36.5%</w:t>
            </w:r>
          </w:p>
        </w:tc>
        <w:tc>
          <w:tcPr>
            <w:tcW w:w="2126" w:type="dxa"/>
          </w:tcPr>
          <w:p w14:paraId="243DB0B7" w14:textId="77777777" w:rsidR="00D75C3D" w:rsidRPr="00135F16" w:rsidRDefault="002B2E76" w:rsidP="006F6DCB">
            <w:pPr>
              <w:pStyle w:val="ANorm"/>
              <w:jc w:val="center"/>
              <w:rPr>
                <w:sz w:val="18"/>
                <w:szCs w:val="18"/>
              </w:rPr>
            </w:pPr>
            <w:r w:rsidRPr="00135F16">
              <w:rPr>
                <w:sz w:val="18"/>
                <w:szCs w:val="18"/>
              </w:rPr>
              <w:t>(57,176)</w:t>
            </w:r>
          </w:p>
          <w:p w14:paraId="4242828E" w14:textId="3985D998" w:rsidR="002B2E76" w:rsidRPr="00673750" w:rsidRDefault="002B2E76" w:rsidP="006F6DCB">
            <w:pPr>
              <w:pStyle w:val="ANorm"/>
              <w:jc w:val="center"/>
              <w:rPr>
                <w:sz w:val="18"/>
                <w:szCs w:val="18"/>
              </w:rPr>
            </w:pPr>
            <w:r w:rsidRPr="00135F16">
              <w:rPr>
                <w:sz w:val="18"/>
                <w:szCs w:val="18"/>
              </w:rPr>
              <w:t>47.4%</w:t>
            </w:r>
          </w:p>
        </w:tc>
        <w:tc>
          <w:tcPr>
            <w:tcW w:w="2127" w:type="dxa"/>
          </w:tcPr>
          <w:p w14:paraId="0C976A57" w14:textId="77777777" w:rsidR="00D75C3D" w:rsidRPr="0069466F" w:rsidRDefault="00D75C3D" w:rsidP="006F6DCB">
            <w:pPr>
              <w:pStyle w:val="ANorm"/>
              <w:rPr>
                <w:sz w:val="18"/>
                <w:szCs w:val="18"/>
                <w:highlight w:val="yellow"/>
              </w:rPr>
            </w:pPr>
          </w:p>
        </w:tc>
      </w:tr>
      <w:tr w:rsidR="00CE56D5" w:rsidRPr="00972CC6" w14:paraId="4A1CC2DE" w14:textId="77777777" w:rsidTr="006F6DCB">
        <w:trPr>
          <w:jc w:val="center"/>
        </w:trPr>
        <w:tc>
          <w:tcPr>
            <w:tcW w:w="3403" w:type="dxa"/>
          </w:tcPr>
          <w:p w14:paraId="2B5E9B4F" w14:textId="77777777" w:rsidR="00CE56D5" w:rsidRPr="00937DF7" w:rsidRDefault="00CE56D5" w:rsidP="006F6DCB">
            <w:pPr>
              <w:pStyle w:val="ANorm"/>
              <w:rPr>
                <w:b/>
                <w:sz w:val="18"/>
                <w:szCs w:val="18"/>
              </w:rPr>
            </w:pPr>
            <w:r w:rsidRPr="00937DF7">
              <w:rPr>
                <w:b/>
                <w:sz w:val="18"/>
                <w:szCs w:val="18"/>
              </w:rPr>
              <w:t>Symptom severity before treatment (n)</w:t>
            </w:r>
          </w:p>
        </w:tc>
        <w:tc>
          <w:tcPr>
            <w:tcW w:w="2126" w:type="dxa"/>
          </w:tcPr>
          <w:p w14:paraId="6778F891" w14:textId="77777777" w:rsidR="00CE56D5" w:rsidRPr="00123751" w:rsidRDefault="00CE56D5" w:rsidP="006F6DCB">
            <w:pPr>
              <w:pStyle w:val="ANorm"/>
              <w:jc w:val="center"/>
              <w:rPr>
                <w:sz w:val="18"/>
                <w:szCs w:val="18"/>
                <w:lang w:val="it-IT"/>
              </w:rPr>
            </w:pPr>
            <w:r w:rsidRPr="00123751">
              <w:rPr>
                <w:sz w:val="18"/>
                <w:szCs w:val="18"/>
                <w:lang w:val="it-IT"/>
              </w:rPr>
              <w:t>(31,906)</w:t>
            </w:r>
          </w:p>
          <w:p w14:paraId="26E4CED5" w14:textId="3B212600" w:rsidR="00CE56D5" w:rsidRPr="00E56962" w:rsidRDefault="00CE56D5" w:rsidP="006F6DCB">
            <w:pPr>
              <w:pStyle w:val="ANorm"/>
              <w:jc w:val="center"/>
              <w:rPr>
                <w:b/>
                <w:bCs/>
                <w:sz w:val="18"/>
                <w:szCs w:val="18"/>
                <w:lang w:val="it-IT"/>
              </w:rPr>
            </w:pPr>
            <w:r w:rsidRPr="00E56962">
              <w:rPr>
                <w:b/>
                <w:bCs/>
                <w:sz w:val="18"/>
                <w:szCs w:val="18"/>
                <w:lang w:val="it-IT"/>
              </w:rPr>
              <w:t>K6</w:t>
            </w:r>
            <w:r w:rsidR="00C50C27">
              <w:rPr>
                <w:b/>
                <w:bCs/>
                <w:sz w:val="18"/>
                <w:szCs w:val="18"/>
                <w:vertAlign w:val="superscript"/>
                <w:lang w:val="it-IT"/>
              </w:rPr>
              <w:t>i</w:t>
            </w:r>
          </w:p>
          <w:p w14:paraId="32DF9A65" w14:textId="7FD82370" w:rsidR="00CE56D5" w:rsidRPr="00123751" w:rsidRDefault="00CE56D5" w:rsidP="006F6DCB">
            <w:pPr>
              <w:pStyle w:val="ANorm"/>
              <w:jc w:val="center"/>
              <w:rPr>
                <w:sz w:val="18"/>
                <w:szCs w:val="18"/>
                <w:lang w:val="it-IT"/>
              </w:rPr>
            </w:pPr>
            <w:r w:rsidRPr="00123751">
              <w:rPr>
                <w:sz w:val="18"/>
                <w:szCs w:val="18"/>
                <w:lang w:val="it-IT"/>
              </w:rPr>
              <w:t>No probable SMI</w:t>
            </w:r>
            <w:r w:rsidR="00D322DC">
              <w:rPr>
                <w:sz w:val="18"/>
                <w:szCs w:val="18"/>
                <w:lang w:val="it-IT"/>
              </w:rPr>
              <w:t>:</w:t>
            </w:r>
            <w:r w:rsidRPr="00123751">
              <w:rPr>
                <w:sz w:val="18"/>
                <w:szCs w:val="18"/>
                <w:lang w:val="it-IT"/>
              </w:rPr>
              <w:t xml:space="preserve"> 35.2%</w:t>
            </w:r>
          </w:p>
          <w:p w14:paraId="4732E670" w14:textId="21D47B52" w:rsidR="00CE56D5" w:rsidRPr="00123751" w:rsidRDefault="00CE56D5" w:rsidP="006F6DCB">
            <w:pPr>
              <w:pStyle w:val="ANorm"/>
              <w:jc w:val="center"/>
              <w:rPr>
                <w:sz w:val="18"/>
                <w:szCs w:val="18"/>
                <w:lang w:val="it-IT"/>
              </w:rPr>
            </w:pPr>
            <w:r w:rsidRPr="00123751">
              <w:rPr>
                <w:sz w:val="18"/>
                <w:szCs w:val="18"/>
                <w:lang w:val="it-IT"/>
              </w:rPr>
              <w:t>Probable SMI</w:t>
            </w:r>
            <w:r w:rsidR="00D322DC">
              <w:rPr>
                <w:sz w:val="18"/>
                <w:szCs w:val="18"/>
                <w:lang w:val="it-IT"/>
              </w:rPr>
              <w:t>:</w:t>
            </w:r>
            <w:r w:rsidRPr="00123751">
              <w:rPr>
                <w:sz w:val="18"/>
                <w:szCs w:val="18"/>
                <w:lang w:val="it-IT"/>
              </w:rPr>
              <w:t xml:space="preserve"> 64.6%</w:t>
            </w:r>
          </w:p>
          <w:p w14:paraId="06BF370D" w14:textId="6F8BC789" w:rsidR="00CE56D5" w:rsidRPr="00673750" w:rsidRDefault="00CE56D5" w:rsidP="006F6DCB">
            <w:pPr>
              <w:pStyle w:val="ANorm"/>
              <w:jc w:val="center"/>
              <w:rPr>
                <w:sz w:val="18"/>
                <w:szCs w:val="18"/>
              </w:rPr>
            </w:pPr>
            <w:r w:rsidRPr="00673750">
              <w:rPr>
                <w:sz w:val="18"/>
                <w:szCs w:val="18"/>
              </w:rPr>
              <w:t>Incomplete</w:t>
            </w:r>
            <w:r w:rsidR="00D322DC">
              <w:rPr>
                <w:sz w:val="18"/>
                <w:szCs w:val="18"/>
              </w:rPr>
              <w:t>:</w:t>
            </w:r>
            <w:r w:rsidRPr="00673750">
              <w:rPr>
                <w:sz w:val="18"/>
                <w:szCs w:val="18"/>
              </w:rPr>
              <w:t xml:space="preserve"> 0.2%</w:t>
            </w:r>
          </w:p>
        </w:tc>
        <w:tc>
          <w:tcPr>
            <w:tcW w:w="2126" w:type="dxa"/>
          </w:tcPr>
          <w:p w14:paraId="70AF9176" w14:textId="77777777" w:rsidR="00CE56D5" w:rsidRDefault="00CE56D5" w:rsidP="006F6DCB">
            <w:pPr>
              <w:pStyle w:val="ANorm"/>
              <w:jc w:val="center"/>
              <w:rPr>
                <w:sz w:val="18"/>
                <w:szCs w:val="18"/>
              </w:rPr>
            </w:pPr>
            <w:r w:rsidRPr="00673750">
              <w:rPr>
                <w:sz w:val="18"/>
                <w:szCs w:val="18"/>
              </w:rPr>
              <w:t>(121,652)</w:t>
            </w:r>
          </w:p>
          <w:p w14:paraId="1A6C4E5C" w14:textId="4F67E84A" w:rsidR="00CE56D5" w:rsidRDefault="00CE56D5" w:rsidP="006F6DCB">
            <w:pPr>
              <w:pStyle w:val="ANorm"/>
              <w:jc w:val="center"/>
              <w:rPr>
                <w:sz w:val="18"/>
                <w:szCs w:val="18"/>
              </w:rPr>
            </w:pPr>
            <w:r w:rsidRPr="00E56962">
              <w:rPr>
                <w:b/>
                <w:bCs/>
                <w:sz w:val="18"/>
                <w:szCs w:val="18"/>
              </w:rPr>
              <w:t>K10</w:t>
            </w:r>
            <w:r>
              <w:rPr>
                <w:sz w:val="18"/>
                <w:szCs w:val="18"/>
              </w:rPr>
              <w:t xml:space="preserve">: M=31.8 (SD </w:t>
            </w:r>
            <w:proofErr w:type="gramStart"/>
            <w:r>
              <w:rPr>
                <w:sz w:val="18"/>
                <w:szCs w:val="18"/>
              </w:rPr>
              <w:t>7.5)</w:t>
            </w:r>
            <w:r w:rsidR="00D83692" w:rsidRPr="00D83692">
              <w:rPr>
                <w:sz w:val="18"/>
                <w:szCs w:val="18"/>
                <w:vertAlign w:val="superscript"/>
              </w:rPr>
              <w:t>j</w:t>
            </w:r>
            <w:proofErr w:type="gramEnd"/>
          </w:p>
          <w:p w14:paraId="4806E7E1" w14:textId="604749A7" w:rsidR="00CE56D5" w:rsidRDefault="00CE56D5" w:rsidP="006F6DCB">
            <w:pPr>
              <w:pStyle w:val="ANorm"/>
              <w:jc w:val="center"/>
              <w:rPr>
                <w:sz w:val="18"/>
                <w:szCs w:val="18"/>
              </w:rPr>
            </w:pPr>
            <w:r w:rsidRPr="00E56962">
              <w:rPr>
                <w:b/>
                <w:bCs/>
                <w:sz w:val="18"/>
                <w:szCs w:val="18"/>
              </w:rPr>
              <w:t>GAD</w:t>
            </w:r>
            <w:r>
              <w:rPr>
                <w:b/>
                <w:bCs/>
                <w:sz w:val="18"/>
                <w:szCs w:val="18"/>
              </w:rPr>
              <w:t>-</w:t>
            </w:r>
            <w:r w:rsidRPr="00E56962">
              <w:rPr>
                <w:b/>
                <w:bCs/>
                <w:sz w:val="18"/>
                <w:szCs w:val="18"/>
              </w:rPr>
              <w:t>7</w:t>
            </w:r>
            <w:r>
              <w:rPr>
                <w:sz w:val="18"/>
                <w:szCs w:val="18"/>
              </w:rPr>
              <w:t xml:space="preserve">: M=12.5 (SD </w:t>
            </w:r>
            <w:proofErr w:type="gramStart"/>
            <w:r>
              <w:rPr>
                <w:sz w:val="18"/>
                <w:szCs w:val="18"/>
              </w:rPr>
              <w:t>5.2)</w:t>
            </w:r>
            <w:r w:rsidR="00D83692" w:rsidRPr="00D83692">
              <w:rPr>
                <w:sz w:val="18"/>
                <w:szCs w:val="18"/>
                <w:vertAlign w:val="superscript"/>
              </w:rPr>
              <w:t>k</w:t>
            </w:r>
            <w:proofErr w:type="gramEnd"/>
          </w:p>
          <w:p w14:paraId="4BFA6F04" w14:textId="29E185A7" w:rsidR="00CE56D5" w:rsidRPr="00673750" w:rsidRDefault="00CE56D5" w:rsidP="006F6DCB">
            <w:pPr>
              <w:pStyle w:val="ANorm"/>
              <w:jc w:val="center"/>
              <w:rPr>
                <w:sz w:val="18"/>
                <w:szCs w:val="18"/>
              </w:rPr>
            </w:pPr>
            <w:r w:rsidRPr="00E56962">
              <w:rPr>
                <w:b/>
                <w:bCs/>
                <w:sz w:val="18"/>
                <w:szCs w:val="18"/>
              </w:rPr>
              <w:t>PHQ</w:t>
            </w:r>
            <w:r>
              <w:rPr>
                <w:b/>
                <w:bCs/>
                <w:sz w:val="18"/>
                <w:szCs w:val="18"/>
              </w:rPr>
              <w:t>-</w:t>
            </w:r>
            <w:r w:rsidRPr="00E56962">
              <w:rPr>
                <w:b/>
                <w:bCs/>
                <w:sz w:val="18"/>
                <w:szCs w:val="18"/>
              </w:rPr>
              <w:t>9</w:t>
            </w:r>
            <w:r>
              <w:rPr>
                <w:sz w:val="18"/>
                <w:szCs w:val="18"/>
              </w:rPr>
              <w:t xml:space="preserve">: M=14.9 (SD </w:t>
            </w:r>
            <w:proofErr w:type="gramStart"/>
            <w:r>
              <w:rPr>
                <w:sz w:val="18"/>
                <w:szCs w:val="18"/>
              </w:rPr>
              <w:t>6.2)</w:t>
            </w:r>
            <w:r w:rsidR="00D83692" w:rsidRPr="00D83692">
              <w:rPr>
                <w:sz w:val="18"/>
                <w:szCs w:val="18"/>
                <w:vertAlign w:val="superscript"/>
              </w:rPr>
              <w:t>l</w:t>
            </w:r>
            <w:proofErr w:type="gramEnd"/>
          </w:p>
        </w:tc>
        <w:tc>
          <w:tcPr>
            <w:tcW w:w="2127" w:type="dxa"/>
          </w:tcPr>
          <w:p w14:paraId="5D67D715" w14:textId="417D8930" w:rsidR="00AD1020" w:rsidRPr="007B1191" w:rsidRDefault="00AD1020" w:rsidP="006F6DCB">
            <w:pPr>
              <w:pStyle w:val="ANorm"/>
              <w:jc w:val="center"/>
              <w:rPr>
                <w:sz w:val="18"/>
                <w:szCs w:val="18"/>
              </w:rPr>
            </w:pPr>
            <w:r w:rsidRPr="007B1191">
              <w:rPr>
                <w:sz w:val="18"/>
                <w:szCs w:val="18"/>
              </w:rPr>
              <w:t>(</w:t>
            </w:r>
            <w:proofErr w:type="gramStart"/>
            <w:r w:rsidRPr="007B1191">
              <w:rPr>
                <w:sz w:val="18"/>
                <w:szCs w:val="18"/>
              </w:rPr>
              <w:t>6,132)</w:t>
            </w:r>
            <w:r w:rsidR="00D83692" w:rsidRPr="007B1191">
              <w:rPr>
                <w:sz w:val="18"/>
                <w:szCs w:val="18"/>
                <w:vertAlign w:val="superscript"/>
              </w:rPr>
              <w:t>m</w:t>
            </w:r>
            <w:proofErr w:type="gramEnd"/>
          </w:p>
          <w:p w14:paraId="12852076" w14:textId="00356401" w:rsidR="00661D61" w:rsidRPr="007B1191" w:rsidRDefault="00661D61" w:rsidP="006F6DCB">
            <w:pPr>
              <w:pStyle w:val="ANorm"/>
              <w:jc w:val="center"/>
              <w:rPr>
                <w:sz w:val="18"/>
                <w:szCs w:val="18"/>
              </w:rPr>
            </w:pPr>
            <w:r w:rsidRPr="007B1191">
              <w:rPr>
                <w:b/>
                <w:sz w:val="18"/>
                <w:szCs w:val="18"/>
              </w:rPr>
              <w:t>K10</w:t>
            </w:r>
            <w:r w:rsidRPr="007B1191">
              <w:rPr>
                <w:sz w:val="18"/>
                <w:szCs w:val="18"/>
              </w:rPr>
              <w:t xml:space="preserve">: </w:t>
            </w:r>
            <w:r w:rsidR="00972CC6" w:rsidRPr="007B1191">
              <w:rPr>
                <w:sz w:val="18"/>
                <w:szCs w:val="18"/>
              </w:rPr>
              <w:t>M=</w:t>
            </w:r>
            <w:r w:rsidRPr="007B1191">
              <w:rPr>
                <w:sz w:val="18"/>
                <w:szCs w:val="18"/>
              </w:rPr>
              <w:t>30.5 (</w:t>
            </w:r>
            <w:r w:rsidR="00972CC6" w:rsidRPr="007B1191">
              <w:rPr>
                <w:sz w:val="18"/>
                <w:szCs w:val="18"/>
              </w:rPr>
              <w:t xml:space="preserve">SD </w:t>
            </w:r>
            <w:r w:rsidRPr="007B1191">
              <w:rPr>
                <w:sz w:val="18"/>
                <w:szCs w:val="18"/>
              </w:rPr>
              <w:t>7.4)</w:t>
            </w:r>
          </w:p>
          <w:p w14:paraId="3FF62B38" w14:textId="037643D8" w:rsidR="00661D61" w:rsidRPr="007B1191" w:rsidRDefault="00661D61" w:rsidP="006F6DCB">
            <w:pPr>
              <w:pStyle w:val="ANorm"/>
              <w:jc w:val="center"/>
              <w:rPr>
                <w:sz w:val="18"/>
                <w:szCs w:val="18"/>
              </w:rPr>
            </w:pPr>
            <w:r w:rsidRPr="007B1191">
              <w:rPr>
                <w:b/>
                <w:sz w:val="18"/>
                <w:szCs w:val="18"/>
              </w:rPr>
              <w:t>GAD-7</w:t>
            </w:r>
            <w:r w:rsidRPr="007B1191">
              <w:rPr>
                <w:sz w:val="18"/>
                <w:szCs w:val="18"/>
              </w:rPr>
              <w:t xml:space="preserve">: </w:t>
            </w:r>
            <w:r w:rsidR="00972CC6" w:rsidRPr="007B1191">
              <w:rPr>
                <w:sz w:val="18"/>
                <w:szCs w:val="18"/>
              </w:rPr>
              <w:t>M=</w:t>
            </w:r>
            <w:r w:rsidRPr="007B1191">
              <w:rPr>
                <w:sz w:val="18"/>
                <w:szCs w:val="18"/>
              </w:rPr>
              <w:t>11.8 (</w:t>
            </w:r>
            <w:r w:rsidR="00972CC6" w:rsidRPr="007B1191">
              <w:rPr>
                <w:sz w:val="18"/>
                <w:szCs w:val="18"/>
              </w:rPr>
              <w:t xml:space="preserve">SD </w:t>
            </w:r>
            <w:r w:rsidRPr="007B1191">
              <w:rPr>
                <w:sz w:val="18"/>
                <w:szCs w:val="18"/>
              </w:rPr>
              <w:t>5.2)</w:t>
            </w:r>
          </w:p>
          <w:p w14:paraId="51728AE4" w14:textId="7D9A0DD0" w:rsidR="00661D61" w:rsidRPr="007B1191" w:rsidRDefault="00661D61" w:rsidP="006F6DCB">
            <w:pPr>
              <w:pStyle w:val="ANorm"/>
              <w:jc w:val="center"/>
              <w:rPr>
                <w:sz w:val="18"/>
                <w:szCs w:val="18"/>
              </w:rPr>
            </w:pPr>
            <w:r w:rsidRPr="007B1191">
              <w:rPr>
                <w:b/>
                <w:sz w:val="18"/>
                <w:szCs w:val="18"/>
              </w:rPr>
              <w:t>PHQ-9</w:t>
            </w:r>
            <w:r w:rsidRPr="007B1191">
              <w:rPr>
                <w:sz w:val="18"/>
                <w:szCs w:val="18"/>
              </w:rPr>
              <w:t xml:space="preserve">: </w:t>
            </w:r>
            <w:r w:rsidR="00972CC6" w:rsidRPr="007B1191">
              <w:rPr>
                <w:sz w:val="18"/>
                <w:szCs w:val="18"/>
              </w:rPr>
              <w:t>M=</w:t>
            </w:r>
            <w:r w:rsidRPr="007B1191">
              <w:rPr>
                <w:sz w:val="18"/>
                <w:szCs w:val="18"/>
              </w:rPr>
              <w:t>14.1 (</w:t>
            </w:r>
            <w:r w:rsidR="00972CC6" w:rsidRPr="007B1191">
              <w:rPr>
                <w:sz w:val="18"/>
                <w:szCs w:val="18"/>
              </w:rPr>
              <w:t xml:space="preserve">SD </w:t>
            </w:r>
            <w:r w:rsidRPr="007B1191">
              <w:rPr>
                <w:sz w:val="18"/>
                <w:szCs w:val="18"/>
              </w:rPr>
              <w:t>6.1)</w:t>
            </w:r>
          </w:p>
          <w:p w14:paraId="6181C2D8" w14:textId="77777777" w:rsidR="00CE56D5" w:rsidRPr="007B1191" w:rsidRDefault="00CE56D5" w:rsidP="006F6DCB">
            <w:pPr>
              <w:pStyle w:val="ANorm"/>
              <w:rPr>
                <w:sz w:val="18"/>
                <w:szCs w:val="18"/>
                <w:highlight w:val="yellow"/>
              </w:rPr>
            </w:pPr>
          </w:p>
        </w:tc>
      </w:tr>
    </w:tbl>
    <w:p w14:paraId="54ADF509" w14:textId="7AFDDC6D" w:rsidR="00191915" w:rsidRPr="007B1191" w:rsidRDefault="00315DAD" w:rsidP="00A81B8B">
      <w:pPr>
        <w:ind w:left="-426" w:right="260"/>
        <w:rPr>
          <w:rFonts w:asciiTheme="minorHAnsi" w:hAnsiTheme="minorHAnsi" w:cstheme="minorHAnsi"/>
          <w:sz w:val="15"/>
          <w:szCs w:val="15"/>
        </w:rPr>
      </w:pPr>
      <w:r w:rsidRPr="007B1191">
        <w:rPr>
          <w:rFonts w:asciiTheme="minorHAnsi" w:hAnsiTheme="minorHAnsi" w:cstheme="minorHAnsi"/>
          <w:sz w:val="15"/>
          <w:szCs w:val="15"/>
        </w:rPr>
        <w:t xml:space="preserve">GAD-7, </w:t>
      </w:r>
      <w:r w:rsidR="00644A87" w:rsidRPr="007B1191">
        <w:rPr>
          <w:rFonts w:asciiTheme="minorHAnsi" w:hAnsiTheme="minorHAnsi" w:cstheme="minorHAnsi"/>
          <w:sz w:val="15"/>
          <w:szCs w:val="15"/>
        </w:rPr>
        <w:t>Generalised Anxiety Disorder 7-</w:t>
      </w:r>
      <w:r w:rsidR="009C78C6" w:rsidRPr="007B1191">
        <w:rPr>
          <w:rFonts w:asciiTheme="minorHAnsi" w:hAnsiTheme="minorHAnsi" w:cstheme="minorHAnsi"/>
          <w:sz w:val="15"/>
          <w:szCs w:val="15"/>
        </w:rPr>
        <w:t>I</w:t>
      </w:r>
      <w:r w:rsidR="00644A87" w:rsidRPr="007B1191">
        <w:rPr>
          <w:rFonts w:asciiTheme="minorHAnsi" w:hAnsiTheme="minorHAnsi" w:cstheme="minorHAnsi"/>
          <w:sz w:val="15"/>
          <w:szCs w:val="15"/>
        </w:rPr>
        <w:t xml:space="preserve">tem Scale; </w:t>
      </w:r>
      <w:r w:rsidR="00191915" w:rsidRPr="007B1191">
        <w:rPr>
          <w:rFonts w:asciiTheme="minorHAnsi" w:hAnsiTheme="minorHAnsi" w:cstheme="minorHAnsi"/>
          <w:sz w:val="15"/>
          <w:szCs w:val="15"/>
        </w:rPr>
        <w:t>K6, Kessler</w:t>
      </w:r>
      <w:r w:rsidRPr="007B1191">
        <w:rPr>
          <w:rFonts w:asciiTheme="minorHAnsi" w:hAnsiTheme="minorHAnsi" w:cstheme="minorHAnsi"/>
          <w:sz w:val="15"/>
          <w:szCs w:val="15"/>
        </w:rPr>
        <w:t xml:space="preserve"> </w:t>
      </w:r>
      <w:r w:rsidR="009C78C6" w:rsidRPr="007B1191">
        <w:rPr>
          <w:rFonts w:asciiTheme="minorHAnsi" w:hAnsiTheme="minorHAnsi" w:cstheme="minorHAnsi"/>
          <w:sz w:val="15"/>
          <w:szCs w:val="15"/>
        </w:rPr>
        <w:t xml:space="preserve">Psychological Distress </w:t>
      </w:r>
      <w:r w:rsidR="00191915" w:rsidRPr="007B1191">
        <w:rPr>
          <w:rFonts w:asciiTheme="minorHAnsi" w:hAnsiTheme="minorHAnsi" w:cstheme="minorHAnsi"/>
          <w:sz w:val="15"/>
          <w:szCs w:val="15"/>
        </w:rPr>
        <w:t>6</w:t>
      </w:r>
      <w:r w:rsidR="009C78C6" w:rsidRPr="007B1191">
        <w:rPr>
          <w:rFonts w:asciiTheme="minorHAnsi" w:hAnsiTheme="minorHAnsi" w:cstheme="minorHAnsi"/>
          <w:sz w:val="15"/>
          <w:szCs w:val="15"/>
        </w:rPr>
        <w:t>-Item Scale</w:t>
      </w:r>
      <w:r w:rsidR="00191915" w:rsidRPr="007B1191">
        <w:rPr>
          <w:rFonts w:asciiTheme="minorHAnsi" w:hAnsiTheme="minorHAnsi" w:cstheme="minorHAnsi"/>
          <w:sz w:val="15"/>
          <w:szCs w:val="15"/>
        </w:rPr>
        <w:t xml:space="preserve">; </w:t>
      </w:r>
      <w:r w:rsidR="007A32D6" w:rsidRPr="007B1191">
        <w:rPr>
          <w:rFonts w:asciiTheme="minorHAnsi" w:hAnsiTheme="minorHAnsi" w:cstheme="minorHAnsi"/>
          <w:sz w:val="15"/>
          <w:szCs w:val="15"/>
        </w:rPr>
        <w:t xml:space="preserve">K10, </w:t>
      </w:r>
      <w:r w:rsidR="00644A87" w:rsidRPr="007B1191">
        <w:rPr>
          <w:rFonts w:asciiTheme="minorHAnsi" w:hAnsiTheme="minorHAnsi" w:cstheme="minorHAnsi"/>
          <w:sz w:val="15"/>
          <w:szCs w:val="15"/>
        </w:rPr>
        <w:t xml:space="preserve">Kessler </w:t>
      </w:r>
      <w:r w:rsidR="009C78C6" w:rsidRPr="007B1191">
        <w:rPr>
          <w:rFonts w:asciiTheme="minorHAnsi" w:hAnsiTheme="minorHAnsi" w:cstheme="minorHAnsi"/>
          <w:sz w:val="15"/>
          <w:szCs w:val="15"/>
        </w:rPr>
        <w:t>Psychological Distress 10-Item Scale</w:t>
      </w:r>
      <w:r w:rsidR="00644A87" w:rsidRPr="007B1191">
        <w:rPr>
          <w:rFonts w:asciiTheme="minorHAnsi" w:hAnsiTheme="minorHAnsi" w:cstheme="minorHAnsi"/>
          <w:sz w:val="15"/>
          <w:szCs w:val="15"/>
        </w:rPr>
        <w:t xml:space="preserve">; </w:t>
      </w:r>
      <w:r w:rsidRPr="007B1191">
        <w:rPr>
          <w:rFonts w:asciiTheme="minorHAnsi" w:hAnsiTheme="minorHAnsi" w:cstheme="minorHAnsi"/>
          <w:sz w:val="15"/>
          <w:szCs w:val="15"/>
        </w:rPr>
        <w:t xml:space="preserve">PHQ-9, </w:t>
      </w:r>
      <w:r w:rsidR="00644A87" w:rsidRPr="007B1191">
        <w:rPr>
          <w:rFonts w:asciiTheme="minorHAnsi" w:hAnsiTheme="minorHAnsi" w:cstheme="minorHAnsi"/>
          <w:sz w:val="15"/>
          <w:szCs w:val="15"/>
        </w:rPr>
        <w:t>Patient Health Questionnaire 9</w:t>
      </w:r>
      <w:r w:rsidR="009C78C6" w:rsidRPr="007B1191">
        <w:rPr>
          <w:rFonts w:asciiTheme="minorHAnsi" w:hAnsiTheme="minorHAnsi" w:cstheme="minorHAnsi"/>
          <w:sz w:val="15"/>
          <w:szCs w:val="15"/>
        </w:rPr>
        <w:t>-Item Scale</w:t>
      </w:r>
      <w:r w:rsidR="00644A87" w:rsidRPr="007B1191">
        <w:rPr>
          <w:rFonts w:asciiTheme="minorHAnsi" w:hAnsiTheme="minorHAnsi" w:cstheme="minorHAnsi"/>
          <w:sz w:val="15"/>
          <w:szCs w:val="15"/>
        </w:rPr>
        <w:t xml:space="preserve">; </w:t>
      </w:r>
      <w:r w:rsidR="00191915" w:rsidRPr="007B1191">
        <w:rPr>
          <w:rFonts w:asciiTheme="minorHAnsi" w:hAnsiTheme="minorHAnsi" w:cstheme="minorHAnsi"/>
          <w:sz w:val="15"/>
          <w:szCs w:val="15"/>
        </w:rPr>
        <w:t>SMI, serious mental illness</w:t>
      </w:r>
      <w:r w:rsidR="00BB2AFB" w:rsidRPr="007B1191">
        <w:rPr>
          <w:rFonts w:asciiTheme="minorHAnsi" w:hAnsiTheme="minorHAnsi" w:cstheme="minorHAnsi"/>
          <w:sz w:val="15"/>
          <w:szCs w:val="15"/>
        </w:rPr>
        <w:t>.</w:t>
      </w:r>
    </w:p>
    <w:p w14:paraId="2D9CC8A4" w14:textId="5FD6A844" w:rsidR="00644A87" w:rsidRPr="007B1191" w:rsidRDefault="00644A87" w:rsidP="00A81B8B">
      <w:pPr>
        <w:ind w:left="-426" w:right="260"/>
        <w:rPr>
          <w:rFonts w:asciiTheme="minorHAnsi" w:hAnsiTheme="minorHAnsi" w:cstheme="minorHAnsi"/>
          <w:sz w:val="15"/>
          <w:szCs w:val="15"/>
        </w:rPr>
      </w:pPr>
      <w:r w:rsidRPr="007B1191">
        <w:rPr>
          <w:rFonts w:asciiTheme="minorHAnsi" w:hAnsiTheme="minorHAnsi" w:cstheme="minorHAnsi"/>
          <w:sz w:val="15"/>
          <w:szCs w:val="15"/>
        </w:rPr>
        <w:t>Missing/not recorded</w:t>
      </w:r>
      <w:r w:rsidR="0055447B">
        <w:rPr>
          <w:rFonts w:asciiTheme="minorHAnsi" w:hAnsiTheme="minorHAnsi" w:cstheme="minorHAnsi"/>
          <w:sz w:val="15"/>
          <w:szCs w:val="15"/>
        </w:rPr>
        <w:t>=</w:t>
      </w:r>
      <w:r w:rsidRPr="007B1191">
        <w:rPr>
          <w:rFonts w:asciiTheme="minorHAnsi" w:hAnsiTheme="minorHAnsi" w:cstheme="minorHAnsi"/>
          <w:sz w:val="15"/>
          <w:szCs w:val="15"/>
        </w:rPr>
        <w:t xml:space="preserve">column N minus row </w:t>
      </w:r>
      <w:proofErr w:type="spellStart"/>
      <w:r w:rsidRPr="007B1191">
        <w:rPr>
          <w:rFonts w:asciiTheme="minorHAnsi" w:hAnsiTheme="minorHAnsi" w:cstheme="minorHAnsi"/>
          <w:sz w:val="15"/>
          <w:szCs w:val="15"/>
        </w:rPr>
        <w:t>n</w:t>
      </w:r>
      <w:proofErr w:type="spellEnd"/>
      <w:r w:rsidRPr="007B1191">
        <w:rPr>
          <w:rFonts w:asciiTheme="minorHAnsi" w:hAnsiTheme="minorHAnsi" w:cstheme="minorHAnsi"/>
          <w:sz w:val="15"/>
          <w:szCs w:val="15"/>
        </w:rPr>
        <w:t xml:space="preserve"> at least in part due to system changes or introduction of new data items within the data collection period unless otherwise specified.</w:t>
      </w:r>
    </w:p>
    <w:p w14:paraId="3D32EBA3" w14:textId="693269BF" w:rsidR="00D75C3D" w:rsidRPr="007B1191" w:rsidRDefault="00D75C3D" w:rsidP="00A81B8B">
      <w:pPr>
        <w:pStyle w:val="ANorm"/>
        <w:ind w:left="-426" w:right="260"/>
        <w:rPr>
          <w:rFonts w:asciiTheme="minorHAnsi" w:hAnsiTheme="minorHAnsi" w:cstheme="minorHAnsi"/>
          <w:sz w:val="15"/>
          <w:szCs w:val="15"/>
        </w:rPr>
      </w:pPr>
      <w:proofErr w:type="spellStart"/>
      <w:r w:rsidRPr="007B1191">
        <w:rPr>
          <w:rFonts w:asciiTheme="minorHAnsi" w:hAnsiTheme="minorHAnsi" w:cstheme="minorHAnsi"/>
          <w:sz w:val="15"/>
          <w:szCs w:val="15"/>
          <w:vertAlign w:val="superscript"/>
        </w:rPr>
        <w:t>a</w:t>
      </w:r>
      <w:r w:rsidRPr="007B1191">
        <w:rPr>
          <w:rFonts w:asciiTheme="minorHAnsi" w:hAnsiTheme="minorHAnsi" w:cstheme="minorHAnsi"/>
          <w:sz w:val="15"/>
          <w:szCs w:val="15"/>
        </w:rPr>
        <w:t>Total</w:t>
      </w:r>
      <w:proofErr w:type="spellEnd"/>
      <w:r w:rsidRPr="007B1191">
        <w:rPr>
          <w:rFonts w:asciiTheme="minorHAnsi" w:hAnsiTheme="minorHAnsi" w:cstheme="minorHAnsi"/>
          <w:sz w:val="15"/>
          <w:szCs w:val="15"/>
        </w:rPr>
        <w:t xml:space="preserve"> number account registrations, January 2015 – December 2021</w:t>
      </w:r>
      <w:r w:rsidR="00315DAD" w:rsidRPr="007B1191">
        <w:rPr>
          <w:rFonts w:asciiTheme="minorHAnsi" w:hAnsiTheme="minorHAnsi" w:cstheme="minorHAnsi"/>
          <w:sz w:val="15"/>
          <w:szCs w:val="15"/>
        </w:rPr>
        <w:t>; excludes users who registered prior to January 2015 but who completed assessment and/or registered for treatment in January 2015-December 2021.</w:t>
      </w:r>
    </w:p>
    <w:p w14:paraId="6586AF31" w14:textId="6DD50E40" w:rsidR="00D75C3D" w:rsidRPr="007B1191" w:rsidRDefault="00D75C3D" w:rsidP="00A81B8B">
      <w:pPr>
        <w:ind w:left="-426" w:right="260"/>
        <w:rPr>
          <w:rFonts w:asciiTheme="minorHAnsi" w:hAnsiTheme="minorHAnsi" w:cstheme="minorHAnsi"/>
          <w:sz w:val="15"/>
          <w:szCs w:val="15"/>
        </w:rPr>
      </w:pPr>
      <w:proofErr w:type="spellStart"/>
      <w:r w:rsidRPr="007B1191">
        <w:rPr>
          <w:rFonts w:asciiTheme="minorHAnsi" w:hAnsiTheme="minorHAnsi" w:cstheme="minorHAnsi"/>
          <w:sz w:val="15"/>
          <w:szCs w:val="15"/>
          <w:vertAlign w:val="superscript"/>
        </w:rPr>
        <w:t>b</w:t>
      </w:r>
      <w:r w:rsidRPr="007B1191">
        <w:rPr>
          <w:rFonts w:asciiTheme="minorHAnsi" w:hAnsiTheme="minorHAnsi" w:cstheme="minorHAnsi"/>
          <w:sz w:val="15"/>
          <w:szCs w:val="15"/>
        </w:rPr>
        <w:t>Total</w:t>
      </w:r>
      <w:proofErr w:type="spellEnd"/>
      <w:r w:rsidRPr="007B1191">
        <w:rPr>
          <w:rFonts w:asciiTheme="minorHAnsi" w:hAnsiTheme="minorHAnsi" w:cstheme="minorHAnsi"/>
          <w:sz w:val="15"/>
          <w:szCs w:val="15"/>
        </w:rPr>
        <w:t xml:space="preserve"> number of assessments started, January 2013 – December 2019</w:t>
      </w:r>
      <w:r w:rsidR="0077400E" w:rsidRPr="007B1191">
        <w:rPr>
          <w:rFonts w:asciiTheme="minorHAnsi" w:hAnsiTheme="minorHAnsi" w:cstheme="minorHAnsi"/>
          <w:sz w:val="15"/>
          <w:szCs w:val="15"/>
        </w:rPr>
        <w:t>.</w:t>
      </w:r>
      <w:r w:rsidR="00B81CB1">
        <w:rPr>
          <w:rFonts w:asciiTheme="minorHAnsi" w:hAnsiTheme="minorHAnsi" w:cstheme="minorHAnsi"/>
          <w:sz w:val="15"/>
          <w:szCs w:val="15"/>
        </w:rPr>
        <w:fldChar w:fldCharType="begin"/>
      </w:r>
      <w:r w:rsidR="004469A2">
        <w:rPr>
          <w:rFonts w:asciiTheme="minorHAnsi" w:hAnsiTheme="minorHAnsi" w:cstheme="minorHAnsi"/>
          <w:sz w:val="15"/>
          <w:szCs w:val="15"/>
        </w:rPr>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00B81CB1">
        <w:rPr>
          <w:rFonts w:asciiTheme="minorHAnsi" w:hAnsiTheme="minorHAnsi" w:cstheme="minorHAnsi"/>
          <w:sz w:val="15"/>
          <w:szCs w:val="15"/>
        </w:rPr>
        <w:fldChar w:fldCharType="separate"/>
      </w:r>
      <w:r w:rsidR="004469A2" w:rsidRPr="004469A2">
        <w:rPr>
          <w:rFonts w:asciiTheme="minorHAnsi" w:hAnsiTheme="minorHAnsi" w:cstheme="minorHAnsi"/>
          <w:noProof/>
          <w:sz w:val="15"/>
          <w:szCs w:val="15"/>
          <w:vertAlign w:val="superscript"/>
        </w:rPr>
        <w:t>7</w:t>
      </w:r>
      <w:r w:rsidR="00B81CB1">
        <w:rPr>
          <w:rFonts w:asciiTheme="minorHAnsi" w:hAnsiTheme="minorHAnsi" w:cstheme="minorHAnsi"/>
          <w:sz w:val="15"/>
          <w:szCs w:val="15"/>
        </w:rPr>
        <w:fldChar w:fldCharType="end"/>
      </w:r>
      <w:r w:rsidRPr="007B1191">
        <w:rPr>
          <w:rFonts w:asciiTheme="minorHAnsi" w:hAnsiTheme="minorHAnsi" w:cstheme="minorHAnsi"/>
          <w:sz w:val="15"/>
          <w:szCs w:val="15"/>
        </w:rPr>
        <w:t xml:space="preserve"> </w:t>
      </w:r>
    </w:p>
    <w:p w14:paraId="06AFE497" w14:textId="71E691C0" w:rsidR="00F731D9" w:rsidRPr="007B1191" w:rsidRDefault="00D75C3D" w:rsidP="00A81B8B">
      <w:pPr>
        <w:ind w:left="-426" w:right="260"/>
        <w:rPr>
          <w:rFonts w:asciiTheme="minorHAnsi" w:hAnsiTheme="minorHAnsi" w:cstheme="minorHAnsi"/>
          <w:color w:val="000000"/>
          <w:sz w:val="15"/>
          <w:szCs w:val="15"/>
        </w:rPr>
      </w:pPr>
      <w:proofErr w:type="spellStart"/>
      <w:r w:rsidRPr="007B1191">
        <w:rPr>
          <w:rFonts w:asciiTheme="minorHAnsi" w:hAnsiTheme="minorHAnsi" w:cstheme="minorHAnsi"/>
          <w:sz w:val="15"/>
          <w:szCs w:val="15"/>
          <w:vertAlign w:val="superscript"/>
        </w:rPr>
        <w:t>c</w:t>
      </w:r>
      <w:r w:rsidR="00F731D9" w:rsidRPr="007B1191">
        <w:rPr>
          <w:rFonts w:asciiTheme="minorHAnsi" w:hAnsiTheme="minorHAnsi" w:cstheme="minorHAnsi"/>
          <w:color w:val="000000"/>
          <w:sz w:val="15"/>
          <w:szCs w:val="15"/>
        </w:rPr>
        <w:t>Total</w:t>
      </w:r>
      <w:proofErr w:type="spellEnd"/>
      <w:r w:rsidR="00F731D9" w:rsidRPr="007B1191">
        <w:rPr>
          <w:rFonts w:asciiTheme="minorHAnsi" w:hAnsiTheme="minorHAnsi" w:cstheme="minorHAnsi"/>
          <w:color w:val="000000"/>
          <w:sz w:val="15"/>
          <w:szCs w:val="15"/>
        </w:rPr>
        <w:t xml:space="preserve"> unique users registering for one or more courses from </w:t>
      </w:r>
      <w:r w:rsidR="005602FD" w:rsidRPr="007B1191">
        <w:rPr>
          <w:rFonts w:asciiTheme="minorHAnsi" w:hAnsiTheme="minorHAnsi" w:cstheme="minorHAnsi"/>
          <w:color w:val="000000"/>
          <w:sz w:val="15"/>
          <w:szCs w:val="15"/>
        </w:rPr>
        <w:t>July 2020 – December 2020</w:t>
      </w:r>
      <w:r w:rsidR="00F731D9" w:rsidRPr="007B1191">
        <w:rPr>
          <w:rFonts w:asciiTheme="minorHAnsi" w:hAnsiTheme="minorHAnsi" w:cstheme="minorHAnsi"/>
          <w:color w:val="000000"/>
          <w:sz w:val="15"/>
          <w:szCs w:val="15"/>
        </w:rPr>
        <w:t>.</w:t>
      </w:r>
      <w:r w:rsidR="00B81CB1">
        <w:rPr>
          <w:rFonts w:asciiTheme="minorHAnsi" w:hAnsiTheme="minorHAnsi" w:cstheme="minorHAnsi"/>
          <w:color w:val="000000"/>
          <w:sz w:val="15"/>
          <w:szCs w:val="15"/>
        </w:rPr>
        <w:fldChar w:fldCharType="begin"/>
      </w:r>
      <w:r w:rsidR="004469A2">
        <w:rPr>
          <w:rFonts w:asciiTheme="minorHAnsi" w:hAnsiTheme="minorHAnsi" w:cstheme="minorHAnsi"/>
          <w:color w:val="000000"/>
          <w:sz w:val="15"/>
          <w:szCs w:val="15"/>
        </w:rPr>
        <w:instrText xml:space="preserve"> ADDIN EN.CITE &lt;EndNote&gt;&lt;Cite&gt;&lt;Author&gt;THIS WAY UP&lt;/Author&gt;&lt;Year&gt;2021&lt;/Year&gt;&lt;RecNum&gt;133&lt;/RecNum&gt;&lt;DisplayText&gt;&lt;style face="superscript"&gt;40&lt;/style&gt;&lt;/DisplayText&gt;&lt;record&gt;&lt;rec-number&gt;133&lt;/rec-number&gt;&lt;foreign-keys&gt;&lt;key app="EN" db-id="dawtr0zrkrzfa5edzzlpe2we0xa00t90vvr2" timestamp="1650261792"&gt;133&lt;/key&gt;&lt;/foreign-keys&gt;&lt;ref-type name="Report"&gt;27&lt;/ref-type&gt;&lt;contributors&gt;&lt;authors&gt;&lt;author&gt;THIS WAY UP,&lt;/author&gt;&lt;/authors&gt;&lt;/contributors&gt;&lt;titles&gt;&lt;title&gt;Project THIS WAY UP Clinic: Progress Report 21. For project period 1 July 2020 – 31 December 2020. Version 1.0, 29 January 2021&lt;/title&gt;&lt;/titles&gt;&lt;dates&gt;&lt;year&gt;2021&lt;/year&gt;&lt;/dates&gt;&lt;pub-location&gt;Sydney&lt;/pub-location&gt;&lt;publisher&gt;St Vincent’s Hospital&lt;/publisher&gt;&lt;urls&gt;&lt;/urls&gt;&lt;/record&gt;&lt;/Cite&gt;&lt;/EndNote&gt;</w:instrText>
      </w:r>
      <w:r w:rsidR="00B81CB1">
        <w:rPr>
          <w:rFonts w:asciiTheme="minorHAnsi" w:hAnsiTheme="minorHAnsi" w:cstheme="minorHAnsi"/>
          <w:color w:val="000000"/>
          <w:sz w:val="15"/>
          <w:szCs w:val="15"/>
        </w:rPr>
        <w:fldChar w:fldCharType="separate"/>
      </w:r>
      <w:r w:rsidR="004469A2" w:rsidRPr="004469A2">
        <w:rPr>
          <w:rFonts w:asciiTheme="minorHAnsi" w:hAnsiTheme="minorHAnsi" w:cstheme="minorHAnsi"/>
          <w:noProof/>
          <w:color w:val="000000"/>
          <w:sz w:val="15"/>
          <w:szCs w:val="15"/>
          <w:vertAlign w:val="superscript"/>
        </w:rPr>
        <w:t>40</w:t>
      </w:r>
      <w:r w:rsidR="00B81CB1">
        <w:rPr>
          <w:rFonts w:asciiTheme="minorHAnsi" w:hAnsiTheme="minorHAnsi" w:cstheme="minorHAnsi"/>
          <w:color w:val="000000"/>
          <w:sz w:val="15"/>
          <w:szCs w:val="15"/>
        </w:rPr>
        <w:fldChar w:fldCharType="end"/>
      </w:r>
    </w:p>
    <w:p w14:paraId="2D25BA87" w14:textId="38CDCC5D" w:rsidR="00D75C3D" w:rsidRPr="007B1191" w:rsidRDefault="00D75C3D" w:rsidP="00A81B8B">
      <w:pPr>
        <w:ind w:left="-426" w:right="260"/>
        <w:rPr>
          <w:rFonts w:asciiTheme="minorHAnsi" w:hAnsiTheme="minorHAnsi" w:cstheme="minorHAnsi"/>
          <w:sz w:val="15"/>
          <w:szCs w:val="15"/>
        </w:rPr>
      </w:pPr>
      <w:proofErr w:type="spellStart"/>
      <w:r w:rsidRPr="007B1191">
        <w:rPr>
          <w:rFonts w:asciiTheme="minorHAnsi" w:hAnsiTheme="minorHAnsi" w:cstheme="minorHAnsi"/>
          <w:sz w:val="15"/>
          <w:szCs w:val="15"/>
          <w:vertAlign w:val="superscript"/>
        </w:rPr>
        <w:t>d</w:t>
      </w:r>
      <w:r w:rsidRPr="007B1191">
        <w:rPr>
          <w:rFonts w:asciiTheme="minorHAnsi" w:hAnsiTheme="minorHAnsi" w:cstheme="minorHAnsi"/>
          <w:sz w:val="15"/>
          <w:szCs w:val="15"/>
        </w:rPr>
        <w:t>Unknown</w:t>
      </w:r>
      <w:proofErr w:type="spellEnd"/>
      <w:r w:rsidR="00F731D9" w:rsidRPr="007B1191">
        <w:rPr>
          <w:rFonts w:asciiTheme="minorHAnsi" w:hAnsiTheme="minorHAnsi" w:cstheme="minorHAnsi"/>
          <w:sz w:val="15"/>
          <w:szCs w:val="15"/>
        </w:rPr>
        <w:t>.</w:t>
      </w:r>
    </w:p>
    <w:p w14:paraId="1B71A2B0" w14:textId="20D22478" w:rsidR="00D75C3D" w:rsidRPr="007B1191" w:rsidRDefault="00D75C3D" w:rsidP="00A81B8B">
      <w:pPr>
        <w:ind w:left="-426" w:right="260"/>
        <w:rPr>
          <w:rFonts w:asciiTheme="minorHAnsi" w:hAnsiTheme="minorHAnsi" w:cstheme="minorHAnsi"/>
          <w:sz w:val="15"/>
          <w:szCs w:val="15"/>
        </w:rPr>
      </w:pPr>
      <w:proofErr w:type="spellStart"/>
      <w:r w:rsidRPr="007B1191">
        <w:rPr>
          <w:rFonts w:asciiTheme="minorHAnsi" w:hAnsiTheme="minorHAnsi" w:cstheme="minorHAnsi"/>
          <w:sz w:val="15"/>
          <w:szCs w:val="15"/>
          <w:vertAlign w:val="superscript"/>
        </w:rPr>
        <w:t>e</w:t>
      </w:r>
      <w:r w:rsidRPr="007B1191">
        <w:rPr>
          <w:rFonts w:asciiTheme="minorHAnsi" w:hAnsiTheme="minorHAnsi" w:cstheme="minorHAnsi"/>
          <w:sz w:val="15"/>
          <w:szCs w:val="15"/>
        </w:rPr>
        <w:t>Data</w:t>
      </w:r>
      <w:proofErr w:type="spellEnd"/>
      <w:r w:rsidRPr="007B1191">
        <w:rPr>
          <w:rFonts w:asciiTheme="minorHAnsi" w:hAnsiTheme="minorHAnsi" w:cstheme="minorHAnsi"/>
          <w:sz w:val="15"/>
          <w:szCs w:val="15"/>
        </w:rPr>
        <w:t xml:space="preserve"> collection commenced June 2021</w:t>
      </w:r>
      <w:r w:rsidR="00F731D9" w:rsidRPr="007B1191">
        <w:rPr>
          <w:rFonts w:asciiTheme="minorHAnsi" w:hAnsiTheme="minorHAnsi" w:cstheme="minorHAnsi"/>
          <w:sz w:val="15"/>
          <w:szCs w:val="15"/>
        </w:rPr>
        <w:t>.</w:t>
      </w:r>
    </w:p>
    <w:p w14:paraId="7DECF409" w14:textId="5831355B" w:rsidR="00986999" w:rsidRPr="007B1191" w:rsidRDefault="00986999" w:rsidP="00A81B8B">
      <w:pPr>
        <w:ind w:left="-426" w:right="260"/>
        <w:rPr>
          <w:rFonts w:asciiTheme="minorHAnsi" w:hAnsiTheme="minorHAnsi" w:cstheme="minorHAnsi"/>
          <w:sz w:val="15"/>
          <w:szCs w:val="15"/>
        </w:rPr>
      </w:pPr>
      <w:proofErr w:type="spellStart"/>
      <w:r w:rsidRPr="007B1191">
        <w:rPr>
          <w:rFonts w:asciiTheme="minorHAnsi" w:hAnsiTheme="minorHAnsi" w:cstheme="minorHAnsi"/>
          <w:sz w:val="15"/>
          <w:szCs w:val="15"/>
          <w:vertAlign w:val="superscript"/>
        </w:rPr>
        <w:t>f</w:t>
      </w:r>
      <w:r w:rsidR="00FE585A" w:rsidRPr="007B1191">
        <w:rPr>
          <w:rFonts w:asciiTheme="minorHAnsi" w:hAnsiTheme="minorHAnsi" w:cstheme="minorHAnsi"/>
          <w:sz w:val="15"/>
          <w:szCs w:val="15"/>
        </w:rPr>
        <w:t>Service</w:t>
      </w:r>
      <w:proofErr w:type="spellEnd"/>
      <w:r w:rsidR="00FE585A" w:rsidRPr="007B1191">
        <w:rPr>
          <w:rFonts w:asciiTheme="minorHAnsi" w:hAnsiTheme="minorHAnsi" w:cstheme="minorHAnsi"/>
          <w:sz w:val="15"/>
          <w:szCs w:val="15"/>
        </w:rPr>
        <w:t xml:space="preserve"> users in 2018-2019</w:t>
      </w:r>
      <w:r w:rsidR="00150D88" w:rsidRPr="007B1191">
        <w:rPr>
          <w:rFonts w:asciiTheme="minorHAnsi" w:hAnsiTheme="minorHAnsi" w:cstheme="minorHAnsi"/>
          <w:sz w:val="15"/>
          <w:szCs w:val="15"/>
        </w:rPr>
        <w:t>.</w:t>
      </w:r>
      <w:r w:rsidR="00B81CB1">
        <w:rPr>
          <w:rFonts w:asciiTheme="minorHAnsi" w:hAnsiTheme="minorHAnsi" w:cstheme="minorHAnsi"/>
          <w:sz w:val="15"/>
          <w:szCs w:val="15"/>
        </w:rPr>
        <w:fldChar w:fldCharType="begin"/>
      </w:r>
      <w:r w:rsidR="004469A2">
        <w:rPr>
          <w:rFonts w:asciiTheme="minorHAnsi" w:hAnsiTheme="minorHAnsi" w:cstheme="minorHAnsi"/>
          <w:sz w:val="15"/>
          <w:szCs w:val="15"/>
        </w:rPr>
        <w:instrText xml:space="preserve"> ADDIN EN.CITE &lt;EndNote&gt;&lt;Cite&gt;&lt;Author&gt;Thomas&lt;/Author&gt;&lt;Year&gt;2019&lt;/Year&gt;&lt;RecNum&gt;145&lt;/RecNum&gt;&lt;DisplayText&gt;&lt;style face="superscript"&gt;41&lt;/style&gt;&lt;/DisplayText&gt;&lt;record&gt;&lt;rec-number&gt;145&lt;/rec-number&gt;&lt;foreign-keys&gt;&lt;key app="EN" db-id="dawtr0zrkrzfa5edzzlpe2we0xa00t90vvr2" timestamp="1650969500"&gt;145&lt;/key&gt;&lt;/foreign-keys&gt;&lt;ref-type name="Report"&gt;27&lt;/ref-type&gt;&lt;contributors&gt;&lt;authors&gt;&lt;author&gt;Thomas, N.&lt;/author&gt;&lt;author&gt;Seabrook, L.&lt;/author&gt;&lt;author&gt;Foley, F.  &lt;/author&gt;&lt;/authors&gt;&lt;/contributors&gt;&lt;titles&gt;&lt;title&gt;Mental Health Online: Report to the Australian Government Productivity Commission on delivery of an online mental health service, Unpublished report&lt;/title&gt;&lt;/titles&gt;&lt;dates&gt;&lt;year&gt;2019&lt;/year&gt;&lt;/dates&gt;&lt;pub-location&gt;Melbourne&lt;/pub-location&gt;&lt;publisher&gt;Centre for Mental Health, Swinburne University of Technology&lt;/publisher&gt;&lt;urls&gt;&lt;/urls&gt;&lt;/record&gt;&lt;/Cite&gt;&lt;/EndNote&gt;</w:instrText>
      </w:r>
      <w:r w:rsidR="00B81CB1">
        <w:rPr>
          <w:rFonts w:asciiTheme="minorHAnsi" w:hAnsiTheme="minorHAnsi" w:cstheme="minorHAnsi"/>
          <w:sz w:val="15"/>
          <w:szCs w:val="15"/>
        </w:rPr>
        <w:fldChar w:fldCharType="separate"/>
      </w:r>
      <w:r w:rsidR="004469A2" w:rsidRPr="004469A2">
        <w:rPr>
          <w:rFonts w:asciiTheme="minorHAnsi" w:hAnsiTheme="minorHAnsi" w:cstheme="minorHAnsi"/>
          <w:noProof/>
          <w:sz w:val="15"/>
          <w:szCs w:val="15"/>
          <w:vertAlign w:val="superscript"/>
        </w:rPr>
        <w:t>41</w:t>
      </w:r>
      <w:r w:rsidR="00B81CB1">
        <w:rPr>
          <w:rFonts w:asciiTheme="minorHAnsi" w:hAnsiTheme="minorHAnsi" w:cstheme="minorHAnsi"/>
          <w:sz w:val="15"/>
          <w:szCs w:val="15"/>
        </w:rPr>
        <w:fldChar w:fldCharType="end"/>
      </w:r>
    </w:p>
    <w:p w14:paraId="67EC55BD" w14:textId="308C502E" w:rsidR="002524C9" w:rsidRPr="007B1191" w:rsidRDefault="002524C9" w:rsidP="00A81B8B">
      <w:pPr>
        <w:ind w:left="-426" w:right="260"/>
        <w:rPr>
          <w:rFonts w:asciiTheme="minorHAnsi" w:hAnsiTheme="minorHAnsi" w:cstheme="minorHAnsi"/>
          <w:sz w:val="15"/>
          <w:szCs w:val="15"/>
        </w:rPr>
      </w:pPr>
      <w:proofErr w:type="spellStart"/>
      <w:r w:rsidRPr="007B1191">
        <w:rPr>
          <w:rFonts w:asciiTheme="minorHAnsi" w:hAnsiTheme="minorHAnsi" w:cstheme="minorHAnsi"/>
          <w:sz w:val="15"/>
          <w:szCs w:val="15"/>
          <w:vertAlign w:val="superscript"/>
        </w:rPr>
        <w:t>g</w:t>
      </w:r>
      <w:r w:rsidRPr="007B1191">
        <w:rPr>
          <w:rFonts w:asciiTheme="minorHAnsi" w:hAnsiTheme="minorHAnsi" w:cstheme="minorHAnsi"/>
          <w:sz w:val="15"/>
          <w:szCs w:val="15"/>
        </w:rPr>
        <w:t>Participants</w:t>
      </w:r>
      <w:proofErr w:type="spellEnd"/>
      <w:r w:rsidRPr="007B1191">
        <w:rPr>
          <w:rFonts w:asciiTheme="minorHAnsi" w:hAnsiTheme="minorHAnsi" w:cstheme="minorHAnsi"/>
          <w:sz w:val="15"/>
          <w:szCs w:val="15"/>
        </w:rPr>
        <w:t xml:space="preserve"> who completed assessment from October 2009 – January 2012 and commenced treatment.</w:t>
      </w:r>
      <w:r w:rsidR="00B81CB1">
        <w:rPr>
          <w:rFonts w:asciiTheme="minorHAnsi" w:hAnsiTheme="minorHAnsi" w:cstheme="minorHAnsi"/>
          <w:sz w:val="15"/>
          <w:szCs w:val="15"/>
        </w:rPr>
        <w:fldChar w:fldCharType="begin">
          <w:fldData xml:space="preserve">PEVuZE5vdGU+PENpdGU+PEF1dGhvcj5BbC1Bc2FkaTwvQXV0aG9yPjxZZWFyPjIwMTQ8L1llYXI+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</w:fldData>
        </w:fldChar>
      </w:r>
      <w:r w:rsidR="004469A2">
        <w:rPr>
          <w:rFonts w:asciiTheme="minorHAnsi" w:hAnsiTheme="minorHAnsi" w:cstheme="minorHAnsi"/>
          <w:sz w:val="15"/>
          <w:szCs w:val="15"/>
        </w:rPr>
        <w:instrText xml:space="preserve"> ADDIN EN.CITE </w:instrText>
      </w:r>
      <w:r w:rsidR="004469A2">
        <w:rPr>
          <w:rFonts w:asciiTheme="minorHAnsi" w:hAnsiTheme="minorHAnsi" w:cstheme="minorHAnsi"/>
          <w:sz w:val="15"/>
          <w:szCs w:val="15"/>
        </w:rPr>
        <w:fldChar w:fldCharType="begin">
          <w:fldData xml:space="preserve">PEVuZE5vdGU+PENpdGU+PEF1dGhvcj5BbC1Bc2FkaTwvQXV0aG9yPjxZZWFyPjIwMTQ8L1llYXI+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</w:fldData>
        </w:fldChar>
      </w:r>
      <w:r w:rsidR="004469A2">
        <w:rPr>
          <w:rFonts w:asciiTheme="minorHAnsi" w:hAnsiTheme="minorHAnsi" w:cstheme="minorHAnsi"/>
          <w:sz w:val="15"/>
          <w:szCs w:val="15"/>
        </w:rPr>
        <w:instrText xml:space="preserve"> ADDIN EN.CITE.DATA </w:instrText>
      </w:r>
      <w:r w:rsidR="004469A2">
        <w:rPr>
          <w:rFonts w:asciiTheme="minorHAnsi" w:hAnsiTheme="minorHAnsi" w:cstheme="minorHAnsi"/>
          <w:sz w:val="15"/>
          <w:szCs w:val="15"/>
        </w:rPr>
      </w:r>
      <w:r w:rsidR="004469A2">
        <w:rPr>
          <w:rFonts w:asciiTheme="minorHAnsi" w:hAnsiTheme="minorHAnsi" w:cstheme="minorHAnsi"/>
          <w:sz w:val="15"/>
          <w:szCs w:val="15"/>
        </w:rPr>
        <w:fldChar w:fldCharType="end"/>
      </w:r>
      <w:r w:rsidR="00B81CB1">
        <w:rPr>
          <w:rFonts w:asciiTheme="minorHAnsi" w:hAnsiTheme="minorHAnsi" w:cstheme="minorHAnsi"/>
          <w:sz w:val="15"/>
          <w:szCs w:val="15"/>
        </w:rPr>
      </w:r>
      <w:r w:rsidR="00B81CB1">
        <w:rPr>
          <w:rFonts w:asciiTheme="minorHAnsi" w:hAnsiTheme="minorHAnsi" w:cstheme="minorHAnsi"/>
          <w:sz w:val="15"/>
          <w:szCs w:val="15"/>
        </w:rPr>
        <w:fldChar w:fldCharType="separate"/>
      </w:r>
      <w:r w:rsidR="004469A2" w:rsidRPr="004469A2">
        <w:rPr>
          <w:rFonts w:asciiTheme="minorHAnsi" w:hAnsiTheme="minorHAnsi" w:cstheme="minorHAnsi"/>
          <w:noProof/>
          <w:sz w:val="15"/>
          <w:szCs w:val="15"/>
          <w:vertAlign w:val="superscript"/>
        </w:rPr>
        <w:t>42</w:t>
      </w:r>
      <w:r w:rsidR="00B81CB1">
        <w:rPr>
          <w:rFonts w:asciiTheme="minorHAnsi" w:hAnsiTheme="minorHAnsi" w:cstheme="minorHAnsi"/>
          <w:sz w:val="15"/>
          <w:szCs w:val="15"/>
        </w:rPr>
        <w:fldChar w:fldCharType="end"/>
      </w:r>
    </w:p>
    <w:p w14:paraId="4C563E6A" w14:textId="4B1897DE" w:rsidR="00D75C3D" w:rsidRPr="007B1191" w:rsidRDefault="00A856C8" w:rsidP="00A81B8B">
      <w:pPr>
        <w:ind w:left="-426" w:right="260"/>
        <w:rPr>
          <w:rFonts w:asciiTheme="minorHAnsi" w:hAnsiTheme="minorHAnsi" w:cstheme="minorHAnsi"/>
          <w:color w:val="000000"/>
          <w:sz w:val="15"/>
          <w:szCs w:val="15"/>
        </w:rPr>
      </w:pPr>
      <w:proofErr w:type="spellStart"/>
      <w:r w:rsidRPr="007B1191">
        <w:rPr>
          <w:rFonts w:asciiTheme="minorHAnsi" w:hAnsiTheme="minorHAnsi" w:cstheme="minorHAnsi"/>
          <w:color w:val="000000"/>
          <w:sz w:val="15"/>
          <w:szCs w:val="15"/>
          <w:vertAlign w:val="superscript"/>
        </w:rPr>
        <w:t>h</w:t>
      </w:r>
      <w:r w:rsidR="00972CC6" w:rsidRPr="007B1191">
        <w:rPr>
          <w:rFonts w:asciiTheme="minorHAnsi" w:hAnsiTheme="minorHAnsi" w:cstheme="minorHAnsi"/>
          <w:color w:val="000000"/>
          <w:sz w:val="15"/>
          <w:szCs w:val="15"/>
        </w:rPr>
        <w:t>Website</w:t>
      </w:r>
      <w:proofErr w:type="spellEnd"/>
      <w:r w:rsidR="00972CC6" w:rsidRPr="007B1191">
        <w:rPr>
          <w:rFonts w:asciiTheme="minorHAnsi" w:hAnsiTheme="minorHAnsi" w:cstheme="minorHAnsi"/>
          <w:color w:val="000000"/>
          <w:sz w:val="15"/>
          <w:szCs w:val="15"/>
        </w:rPr>
        <w:t xml:space="preserve"> users’ rural status November 2015 – December 2020.</w:t>
      </w:r>
      <w:r w:rsidR="00B81CB1">
        <w:rPr>
          <w:rFonts w:asciiTheme="minorHAnsi" w:hAnsiTheme="minorHAnsi" w:cstheme="minorHAnsi"/>
          <w:color w:val="000000"/>
          <w:sz w:val="15"/>
          <w:szCs w:val="15"/>
        </w:rPr>
        <w:fldChar w:fldCharType="begin"/>
      </w:r>
      <w:r w:rsidR="004469A2">
        <w:rPr>
          <w:rFonts w:asciiTheme="minorHAnsi" w:hAnsiTheme="minorHAnsi" w:cstheme="minorHAnsi"/>
          <w:color w:val="000000"/>
          <w:sz w:val="15"/>
          <w:szCs w:val="15"/>
        </w:rPr>
        <w:instrText xml:space="preserve"> ADDIN EN.CITE &lt;EndNote&gt;&lt;Cite&gt;&lt;Author&gt;THIS WAY UP&lt;/Author&gt;&lt;Year&gt;2021&lt;/Year&gt;&lt;RecNum&gt;133&lt;/RecNum&gt;&lt;DisplayText&gt;&lt;style face="superscript"&gt;40&lt;/style&gt;&lt;/DisplayText&gt;&lt;record&gt;&lt;rec-number&gt;133&lt;/rec-number&gt;&lt;foreign-keys&gt;&lt;key app="EN" db-id="dawtr0zrkrzfa5edzzlpe2we0xa00t90vvr2" timestamp="1650261792"&gt;133&lt;/key&gt;&lt;/foreign-keys&gt;&lt;ref-type name="Report"&gt;27&lt;/ref-type&gt;&lt;contributors&gt;&lt;authors&gt;&lt;author&gt;THIS WAY UP,&lt;/author&gt;&lt;/authors&gt;&lt;/contributors&gt;&lt;titles&gt;&lt;title&gt;Project THIS WAY UP Clinic: Progress Report 21. For project period 1 July 2020 – 31 December 2020. Version 1.0, 29 January 2021&lt;/title&gt;&lt;/titles&gt;&lt;dates&gt;&lt;year&gt;2021&lt;/year&gt;&lt;/dates&gt;&lt;pub-location&gt;Sydney&lt;/pub-location&gt;&lt;publisher&gt;St Vincent’s Hospital&lt;/publisher&gt;&lt;urls&gt;&lt;/urls&gt;&lt;/record&gt;&lt;/Cite&gt;&lt;/EndNote&gt;</w:instrText>
      </w:r>
      <w:r w:rsidR="00B81CB1">
        <w:rPr>
          <w:rFonts w:asciiTheme="minorHAnsi" w:hAnsiTheme="minorHAnsi" w:cstheme="minorHAnsi"/>
          <w:color w:val="000000"/>
          <w:sz w:val="15"/>
          <w:szCs w:val="15"/>
        </w:rPr>
        <w:fldChar w:fldCharType="separate"/>
      </w:r>
      <w:r w:rsidR="004469A2" w:rsidRPr="004469A2">
        <w:rPr>
          <w:rFonts w:asciiTheme="minorHAnsi" w:hAnsiTheme="minorHAnsi" w:cstheme="minorHAnsi"/>
          <w:noProof/>
          <w:color w:val="000000"/>
          <w:sz w:val="15"/>
          <w:szCs w:val="15"/>
          <w:vertAlign w:val="superscript"/>
        </w:rPr>
        <w:t>40</w:t>
      </w:r>
      <w:r w:rsidR="00B81CB1">
        <w:rPr>
          <w:rFonts w:asciiTheme="minorHAnsi" w:hAnsiTheme="minorHAnsi" w:cstheme="minorHAnsi"/>
          <w:color w:val="000000"/>
          <w:sz w:val="15"/>
          <w:szCs w:val="15"/>
        </w:rPr>
        <w:fldChar w:fldCharType="end"/>
      </w:r>
    </w:p>
    <w:p w14:paraId="1ED706A9" w14:textId="386F03BF" w:rsidR="00D75C3D" w:rsidRPr="007B1191" w:rsidRDefault="00A856C8" w:rsidP="00A81B8B">
      <w:pPr>
        <w:ind w:left="-426" w:right="260"/>
        <w:rPr>
          <w:rFonts w:asciiTheme="minorHAnsi" w:hAnsiTheme="minorHAnsi" w:cstheme="minorHAnsi"/>
          <w:sz w:val="15"/>
          <w:szCs w:val="15"/>
        </w:rPr>
      </w:pPr>
      <w:r w:rsidRPr="002029DC">
        <w:rPr>
          <w:rFonts w:asciiTheme="minorHAnsi" w:hAnsiTheme="minorHAnsi" w:cstheme="minorHAnsi"/>
          <w:sz w:val="15"/>
          <w:szCs w:val="15"/>
          <w:vertAlign w:val="superscript"/>
          <w:lang w:val="it-IT"/>
        </w:rPr>
        <w:t>i</w:t>
      </w:r>
      <w:r w:rsidR="00644A87" w:rsidRPr="002029DC">
        <w:rPr>
          <w:rFonts w:asciiTheme="minorHAnsi" w:hAnsiTheme="minorHAnsi" w:cstheme="minorHAnsi"/>
          <w:sz w:val="15"/>
          <w:szCs w:val="15"/>
          <w:lang w:val="it-IT"/>
        </w:rPr>
        <w:t>K6 scores 6-18, no probable SMI; scores 19-30 probable SMI.</w:t>
      </w:r>
      <w:r w:rsidR="00B81CB1">
        <w:rPr>
          <w:rFonts w:asciiTheme="minorHAnsi" w:hAnsiTheme="minorHAnsi" w:cstheme="minorHAnsi"/>
          <w:sz w:val="15"/>
          <w:szCs w:val="15"/>
        </w:rPr>
        <w:fldChar w:fldCharType="begin">
          <w:fldData xml:space="preserve">PEVuZE5vdGU+PENpdGU+PEF1dGhvcj5BdXN0cmFsaWFuIEJ1cmVhdSBvZiBTdGF0aXN0aWNzPC9B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</w:fldData>
        </w:fldChar>
      </w:r>
      <w:r w:rsidR="004469A2">
        <w:rPr>
          <w:rFonts w:asciiTheme="minorHAnsi" w:hAnsiTheme="minorHAnsi" w:cstheme="minorHAnsi"/>
          <w:sz w:val="15"/>
          <w:szCs w:val="15"/>
        </w:rPr>
        <w:instrText xml:space="preserve"> ADDIN EN.CITE </w:instrText>
      </w:r>
      <w:r w:rsidR="004469A2">
        <w:rPr>
          <w:rFonts w:asciiTheme="minorHAnsi" w:hAnsiTheme="minorHAnsi" w:cstheme="minorHAnsi"/>
          <w:sz w:val="15"/>
          <w:szCs w:val="15"/>
        </w:rPr>
        <w:fldChar w:fldCharType="begin">
          <w:fldData xml:space="preserve">PEVuZE5vdGU+PENpdGU+PEF1dGhvcj5BdXN0cmFsaWFuIEJ1cmVhdSBvZiBTdGF0aXN0aWNzPC9B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</w:fldData>
        </w:fldChar>
      </w:r>
      <w:r w:rsidR="004469A2">
        <w:rPr>
          <w:rFonts w:asciiTheme="minorHAnsi" w:hAnsiTheme="minorHAnsi" w:cstheme="minorHAnsi"/>
          <w:sz w:val="15"/>
          <w:szCs w:val="15"/>
        </w:rPr>
        <w:instrText xml:space="preserve"> ADDIN EN.CITE.DATA </w:instrText>
      </w:r>
      <w:r w:rsidR="004469A2">
        <w:rPr>
          <w:rFonts w:asciiTheme="minorHAnsi" w:hAnsiTheme="minorHAnsi" w:cstheme="minorHAnsi"/>
          <w:sz w:val="15"/>
          <w:szCs w:val="15"/>
        </w:rPr>
      </w:r>
      <w:r w:rsidR="004469A2">
        <w:rPr>
          <w:rFonts w:asciiTheme="minorHAnsi" w:hAnsiTheme="minorHAnsi" w:cstheme="minorHAnsi"/>
          <w:sz w:val="15"/>
          <w:szCs w:val="15"/>
        </w:rPr>
        <w:fldChar w:fldCharType="end"/>
      </w:r>
      <w:r w:rsidR="00B81CB1">
        <w:rPr>
          <w:rFonts w:asciiTheme="minorHAnsi" w:hAnsiTheme="minorHAnsi" w:cstheme="minorHAnsi"/>
          <w:sz w:val="15"/>
          <w:szCs w:val="15"/>
        </w:rPr>
      </w:r>
      <w:r w:rsidR="00B81CB1">
        <w:rPr>
          <w:rFonts w:asciiTheme="minorHAnsi" w:hAnsiTheme="minorHAnsi" w:cstheme="minorHAnsi"/>
          <w:sz w:val="15"/>
          <w:szCs w:val="15"/>
        </w:rPr>
        <w:fldChar w:fldCharType="separate"/>
      </w:r>
      <w:r w:rsidR="004469A2" w:rsidRPr="004469A2">
        <w:rPr>
          <w:rFonts w:asciiTheme="minorHAnsi" w:hAnsiTheme="minorHAnsi" w:cstheme="minorHAnsi"/>
          <w:noProof/>
          <w:sz w:val="15"/>
          <w:szCs w:val="15"/>
          <w:vertAlign w:val="superscript"/>
          <w:lang w:val="it-IT"/>
        </w:rPr>
        <w:t>43, 44</w:t>
      </w:r>
      <w:r w:rsidR="00B81CB1">
        <w:rPr>
          <w:rFonts w:asciiTheme="minorHAnsi" w:hAnsiTheme="minorHAnsi" w:cstheme="minorHAnsi"/>
          <w:sz w:val="15"/>
          <w:szCs w:val="15"/>
        </w:rPr>
        <w:fldChar w:fldCharType="end"/>
      </w:r>
    </w:p>
    <w:p w14:paraId="380EB770" w14:textId="0B3015EF" w:rsidR="00D83692" w:rsidRPr="007B1191" w:rsidRDefault="00D83692" w:rsidP="00A81B8B">
      <w:pPr>
        <w:ind w:left="-426" w:right="260"/>
        <w:rPr>
          <w:rFonts w:asciiTheme="minorHAnsi" w:hAnsiTheme="minorHAnsi" w:cstheme="minorHAnsi"/>
          <w:sz w:val="15"/>
          <w:szCs w:val="15"/>
          <w:highlight w:val="yellow"/>
        </w:rPr>
      </w:pPr>
      <w:r w:rsidRPr="007B1191">
        <w:rPr>
          <w:rFonts w:asciiTheme="minorHAnsi" w:hAnsiTheme="minorHAnsi" w:cstheme="minorHAnsi"/>
          <w:sz w:val="15"/>
          <w:szCs w:val="15"/>
          <w:vertAlign w:val="superscript"/>
        </w:rPr>
        <w:t>j</w:t>
      </w:r>
      <w:r w:rsidRPr="007B1191">
        <w:rPr>
          <w:rFonts w:asciiTheme="minorHAnsi" w:hAnsiTheme="minorHAnsi" w:cstheme="minorHAnsi"/>
          <w:sz w:val="15"/>
          <w:szCs w:val="15"/>
        </w:rPr>
        <w:t>K10</w:t>
      </w:r>
      <w:r w:rsidR="00B518FE" w:rsidRPr="007B1191">
        <w:rPr>
          <w:rFonts w:asciiTheme="minorHAnsi" w:hAnsiTheme="minorHAnsi" w:cstheme="minorHAnsi"/>
          <w:sz w:val="15"/>
          <w:szCs w:val="15"/>
        </w:rPr>
        <w:t xml:space="preserve"> scores 10-15, little or no psychological distress; scores 16-21, moderate psychological distress; scores 22-29, high psychological distress; scores 30-50; very high psychological distress.</w:t>
      </w:r>
      <w:r w:rsidR="00B81CB1">
        <w:rPr>
          <w:rFonts w:asciiTheme="minorHAnsi" w:hAnsiTheme="minorHAnsi" w:cstheme="minorHAnsi"/>
          <w:sz w:val="15"/>
          <w:szCs w:val="15"/>
        </w:rPr>
        <w:fldChar w:fldCharType="begin"/>
      </w:r>
      <w:r w:rsidR="004469A2">
        <w:rPr>
          <w:rFonts w:asciiTheme="minorHAnsi" w:hAnsiTheme="minorHAnsi" w:cstheme="minorHAnsi"/>
          <w:sz w:val="15"/>
          <w:szCs w:val="15"/>
        </w:rPr>
        <w:instrText xml:space="preserve"> ADDIN EN.CITE &lt;EndNote&gt;&lt;Cite&gt;&lt;Author&gt;Kessler&lt;/Author&gt;&lt;Year&gt;2002&lt;/Year&gt;&lt;RecNum&gt;154&lt;/RecNum&gt;&lt;DisplayText&gt;&lt;style face="superscript"&gt;29&lt;/style&gt;&lt;/DisplayText&gt;&lt;record&gt;&lt;rec-number&gt;154&lt;/rec-number&gt;&lt;foreign-keys&gt;&lt;key app="EN" db-id="dawtr0zrkrzfa5edzzlpe2we0xa00t90vvr2" timestamp="1654254133"&gt;154&lt;/key&gt;&lt;/foreign-keys&gt;&lt;ref-type name="Journal Article"&gt;17&lt;/ref-type&gt;&lt;contributors&gt;&lt;authors&gt;&lt;author&gt;Kessler, R. C.&lt;/author&gt;&lt;author&gt;Andrews, G.&lt;/author&gt;&lt;author&gt;Colpe, L. J.&lt;/author&gt;&lt;author&gt;Hiripi, E.&lt;/author&gt;&lt;author&gt;Mroczek, D. K.&lt;/author&gt;&lt;author&gt;Normand, S. L.&lt;/author&gt;&lt;author&gt;Walters, E. E.&lt;/author&gt;&lt;author&gt;Zaslavsky, A. M.&lt;/author&gt;&lt;/authors&gt;&lt;/contributors&gt;&lt;auth-address&gt;Department of Health Care Policy, Harvard Medical School, Boston, MA 02115, USA.&lt;/auth-address&gt;&lt;titles&gt;&lt;title&gt;Short screening scales to monitor population prevalences and trends in non-specific psychological distress&lt;/title&gt;&lt;secondary-title&gt;Psychological Medicine&lt;/secondary-title&gt;&lt;/titles&gt;&lt;periodical&gt;&lt;full-title&gt;Psychological Medicine&lt;/full-title&gt;&lt;/periodical&gt;&lt;pages&gt;959-76&lt;/pages&gt;&lt;volume&gt;32&lt;/volume&gt;&lt;number&gt;6&lt;/number&gt;&lt;edition&gt;2002/09/07&lt;/edition&gt;&lt;keywords&gt;&lt;keyword&gt;Adult&lt;/keyword&gt;&lt;keyword&gt;Female&lt;/keyword&gt;&lt;keyword&gt;Humans&lt;/keyword&gt;&lt;keyword&gt;Male&lt;/keyword&gt;&lt;keyword&gt;Mental Disorders/diagnosis/epidemiology&lt;/keyword&gt;&lt;keyword&gt;Pilot Projects&lt;/keyword&gt;&lt;keyword&gt;Prevalence&lt;/keyword&gt;&lt;keyword&gt;Psychometrics&lt;/keyword&gt;&lt;keyword&gt;ROC Curve&lt;/keyword&gt;&lt;keyword&gt;Reproducibility of Results&lt;/keyword&gt;&lt;keyword&gt;Stress, Psychological/*diagnosis/*epidemiology&lt;/keyword&gt;&lt;keyword&gt;Surveys and Questionnaires/*standards&lt;/keyword&gt;&lt;keyword&gt;United States/epidemiology&lt;/keyword&gt;&lt;/keywords&gt;&lt;dates&gt;&lt;year&gt;2002&lt;/year&gt;&lt;pub-dates&gt;&lt;date&gt;Aug&lt;/date&gt;&lt;/pub-dates&gt;&lt;/dates&gt;&lt;isbn&gt;0033-2917 (Print)&amp;#xD;0033-2917&lt;/isbn&gt;&lt;accession-num&gt;12214795&lt;/accession-num&gt;&lt;urls&gt;&lt;/urls&gt;&lt;electronic-resource-num&gt;10.1017/s0033291702006074&lt;/electronic-resource-num&gt;&lt;remote-database-provider&gt;NLM&lt;/remote-database-provider&gt;&lt;language&gt;eng&lt;/language&gt;&lt;/record&gt;&lt;/Cite&gt;&lt;/EndNote&gt;</w:instrText>
      </w:r>
      <w:r w:rsidR="00B81CB1">
        <w:rPr>
          <w:rFonts w:asciiTheme="minorHAnsi" w:hAnsiTheme="minorHAnsi" w:cstheme="minorHAnsi"/>
          <w:sz w:val="15"/>
          <w:szCs w:val="15"/>
        </w:rPr>
        <w:fldChar w:fldCharType="separate"/>
      </w:r>
      <w:r w:rsidR="004469A2" w:rsidRPr="004469A2">
        <w:rPr>
          <w:rFonts w:asciiTheme="minorHAnsi" w:hAnsiTheme="minorHAnsi" w:cstheme="minorHAnsi"/>
          <w:noProof/>
          <w:sz w:val="15"/>
          <w:szCs w:val="15"/>
          <w:vertAlign w:val="superscript"/>
        </w:rPr>
        <w:t>29</w:t>
      </w:r>
      <w:r w:rsidR="00B81CB1">
        <w:rPr>
          <w:rFonts w:asciiTheme="minorHAnsi" w:hAnsiTheme="minorHAnsi" w:cstheme="minorHAnsi"/>
          <w:sz w:val="15"/>
          <w:szCs w:val="15"/>
        </w:rPr>
        <w:fldChar w:fldCharType="end"/>
      </w:r>
    </w:p>
    <w:p w14:paraId="0213C592" w14:textId="2A91D48F" w:rsidR="00D83692" w:rsidRPr="007B1191" w:rsidRDefault="00D83692" w:rsidP="00A81B8B">
      <w:pPr>
        <w:ind w:left="-426" w:right="260"/>
        <w:rPr>
          <w:rFonts w:asciiTheme="minorHAnsi" w:hAnsiTheme="minorHAnsi" w:cstheme="minorHAnsi"/>
          <w:sz w:val="15"/>
          <w:szCs w:val="15"/>
        </w:rPr>
      </w:pPr>
      <w:r w:rsidRPr="007B1191">
        <w:rPr>
          <w:rFonts w:asciiTheme="minorHAnsi" w:hAnsiTheme="minorHAnsi" w:cstheme="minorHAnsi"/>
          <w:sz w:val="15"/>
          <w:szCs w:val="15"/>
          <w:vertAlign w:val="superscript"/>
        </w:rPr>
        <w:t>k</w:t>
      </w:r>
      <w:r w:rsidRPr="007B1191">
        <w:rPr>
          <w:rFonts w:asciiTheme="minorHAnsi" w:hAnsiTheme="minorHAnsi" w:cstheme="minorHAnsi"/>
          <w:sz w:val="15"/>
          <w:szCs w:val="15"/>
        </w:rPr>
        <w:t>GAD-7</w:t>
      </w:r>
      <w:r w:rsidR="00B518FE" w:rsidRPr="007B1191">
        <w:rPr>
          <w:rFonts w:asciiTheme="minorHAnsi" w:hAnsiTheme="minorHAnsi" w:cstheme="minorHAnsi"/>
          <w:sz w:val="15"/>
          <w:szCs w:val="15"/>
        </w:rPr>
        <w:t xml:space="preserve"> total score range 0-21. Score </w:t>
      </w:r>
      <w:r w:rsidR="00B518FE" w:rsidRPr="007B1191">
        <w:rPr>
          <w:rFonts w:asciiTheme="minorHAnsi" w:hAnsiTheme="minorHAnsi" w:cstheme="minorHAnsi"/>
          <w:sz w:val="15"/>
          <w:szCs w:val="15"/>
          <w:u w:val="single"/>
        </w:rPr>
        <w:t>&gt;</w:t>
      </w:r>
      <w:r w:rsidR="00B518FE" w:rsidRPr="007B1191">
        <w:rPr>
          <w:rFonts w:asciiTheme="minorHAnsi" w:hAnsiTheme="minorHAnsi" w:cstheme="minorHAnsi"/>
          <w:sz w:val="15"/>
          <w:szCs w:val="15"/>
        </w:rPr>
        <w:t xml:space="preserve"> 10</w:t>
      </w:r>
      <w:r w:rsidR="007B1191" w:rsidRPr="007B1191">
        <w:rPr>
          <w:rFonts w:asciiTheme="minorHAnsi" w:hAnsiTheme="minorHAnsi" w:cstheme="minorHAnsi"/>
          <w:sz w:val="15"/>
          <w:szCs w:val="15"/>
        </w:rPr>
        <w:t xml:space="preserve">, </w:t>
      </w:r>
      <w:r w:rsidR="00B518FE" w:rsidRPr="007B1191">
        <w:rPr>
          <w:rFonts w:asciiTheme="minorHAnsi" w:hAnsiTheme="minorHAnsi" w:cstheme="minorHAnsi"/>
          <w:sz w:val="15"/>
          <w:szCs w:val="15"/>
        </w:rPr>
        <w:t>likely presence of Generalised Anxiety Disorder.</w:t>
      </w:r>
      <w:r w:rsidR="00B81CB1">
        <w:rPr>
          <w:rFonts w:asciiTheme="minorHAnsi" w:hAnsiTheme="minorHAnsi" w:cstheme="minorHAnsi"/>
          <w:sz w:val="15"/>
          <w:szCs w:val="15"/>
        </w:rPr>
        <w:fldChar w:fldCharType="begin"/>
      </w:r>
      <w:r w:rsidR="004469A2">
        <w:rPr>
          <w:rFonts w:asciiTheme="minorHAnsi" w:hAnsiTheme="minorHAnsi" w:cstheme="minorHAnsi"/>
          <w:sz w:val="15"/>
          <w:szCs w:val="15"/>
        </w:rPr>
        <w:instrText xml:space="preserve"> ADDIN EN.CITE &lt;EndNote&gt;&lt;Cite&gt;&lt;Author&gt;Spitzer&lt;/Author&gt;&lt;Year&gt;2006&lt;/Year&gt;&lt;RecNum&gt;152&lt;/RecNum&gt;&lt;DisplayText&gt;&lt;style face="superscript"&gt;33&lt;/style&gt;&lt;/DisplayText&gt;&lt;record&gt;&lt;rec-number&gt;152&lt;/rec-number&gt;&lt;foreign-keys&gt;&lt;key app="EN" db-id="dawtr0zrkrzfa5edzzlpe2we0xa00t90vvr2" timestamp="1654253924"&gt;152&lt;/key&gt;&lt;/foreign-keys&gt;&lt;ref-type name="Journal Article"&gt;17&lt;/ref-type&gt;&lt;contributors&gt;&lt;authors&gt;&lt;author&gt;Spitzer, R. L.&lt;/author&gt;&lt;author&gt;Kroenke, K.&lt;/author&gt;&lt;author&gt;Williams, J. B.&lt;/author&gt;&lt;author&gt;Löwe, B.&lt;/author&gt;&lt;/authors&gt;&lt;/contributors&gt;&lt;auth-address&gt;Biometrics Research Department, New York State Psychiatric Institute, New York, NY 10032, USA. RLS8@Columbia.edu&lt;/auth-address&gt;&lt;titles&gt;&lt;title&gt;A brief measure for assessing generalized anxiety disorder: The GAD-7&lt;/title&gt;&lt;secondary-title&gt;Archives of Internal Medicine&lt;/secondary-title&gt;&lt;/titles&gt;&lt;periodical&gt;&lt;full-title&gt;Archives of Internal Medicine&lt;/full-title&gt;&lt;abbr-1&gt;Arch. Intern. Med.&lt;/abbr-1&gt;&lt;/periodical&gt;&lt;pages&gt;1092-7&lt;/pages&gt;&lt;volume&gt;166&lt;/volume&gt;&lt;number&gt;10&lt;/number&gt;&lt;edition&gt;2006/05/24&lt;/edition&gt;&lt;keywords&gt;&lt;keyword&gt;Adult&lt;/keyword&gt;&lt;keyword&gt;Anxiety Disorders/*diagnosis/epidemiology&lt;/keyword&gt;&lt;keyword&gt;Female&lt;/keyword&gt;&lt;keyword&gt;Humans&lt;/keyword&gt;&lt;keyword&gt;Incidence&lt;/keyword&gt;&lt;keyword&gt;Male&lt;/keyword&gt;&lt;keyword&gt;*Mental Status Schedule&lt;/keyword&gt;&lt;keyword&gt;Middle Aged&lt;/keyword&gt;&lt;keyword&gt;Reproducibility of Results&lt;/keyword&gt;&lt;keyword&gt;Retrospective Studies&lt;/keyword&gt;&lt;keyword&gt;Surveys and Questionnaires&lt;/keyword&gt;&lt;keyword&gt;United States/epidemiology&lt;/keyword&gt;&lt;/keywords&gt;&lt;dates&gt;&lt;year&gt;2006&lt;/year&gt;&lt;pub-dates&gt;&lt;date&gt;May 22&lt;/date&gt;&lt;/pub-dates&gt;&lt;/dates&gt;&lt;isbn&gt;0003-9926 (Print)&amp;#xD;0003-9926&lt;/isbn&gt;&lt;accession-num&gt;16717171&lt;/accession-num&gt;&lt;urls&gt;&lt;/urls&gt;&lt;electronic-resource-num&gt;10.1001/archinte.166.10.1092&lt;/electronic-resource-num&gt;&lt;remote-database-provider&gt;NLM&lt;/remote-database-provider&gt;&lt;language&gt;eng&lt;/language&gt;&lt;/record&gt;&lt;/Cite&gt;&lt;/EndNote&gt;</w:instrText>
      </w:r>
      <w:r w:rsidR="00B81CB1">
        <w:rPr>
          <w:rFonts w:asciiTheme="minorHAnsi" w:hAnsiTheme="minorHAnsi" w:cstheme="minorHAnsi"/>
          <w:sz w:val="15"/>
          <w:szCs w:val="15"/>
        </w:rPr>
        <w:fldChar w:fldCharType="separate"/>
      </w:r>
      <w:r w:rsidR="004469A2" w:rsidRPr="004469A2">
        <w:rPr>
          <w:rFonts w:asciiTheme="minorHAnsi" w:hAnsiTheme="minorHAnsi" w:cstheme="minorHAnsi"/>
          <w:noProof/>
          <w:sz w:val="15"/>
          <w:szCs w:val="15"/>
          <w:vertAlign w:val="superscript"/>
        </w:rPr>
        <w:t>33</w:t>
      </w:r>
      <w:r w:rsidR="00B81CB1">
        <w:rPr>
          <w:rFonts w:asciiTheme="minorHAnsi" w:hAnsiTheme="minorHAnsi" w:cstheme="minorHAnsi"/>
          <w:sz w:val="15"/>
          <w:szCs w:val="15"/>
        </w:rPr>
        <w:fldChar w:fldCharType="end"/>
      </w:r>
    </w:p>
    <w:p w14:paraId="19155004" w14:textId="3CB24F61" w:rsidR="00D83692" w:rsidRPr="007B1191" w:rsidRDefault="00D83692" w:rsidP="00A81B8B">
      <w:pPr>
        <w:ind w:left="-426" w:right="260"/>
        <w:rPr>
          <w:rFonts w:asciiTheme="minorHAnsi" w:hAnsiTheme="minorHAnsi" w:cstheme="minorHAnsi"/>
          <w:sz w:val="15"/>
          <w:szCs w:val="15"/>
        </w:rPr>
      </w:pPr>
      <w:r w:rsidRPr="007B1191">
        <w:rPr>
          <w:rFonts w:asciiTheme="minorHAnsi" w:hAnsiTheme="minorHAnsi" w:cstheme="minorHAnsi"/>
          <w:sz w:val="15"/>
          <w:szCs w:val="15"/>
          <w:vertAlign w:val="superscript"/>
        </w:rPr>
        <w:t>l</w:t>
      </w:r>
      <w:r w:rsidRPr="007B1191">
        <w:rPr>
          <w:rFonts w:asciiTheme="minorHAnsi" w:hAnsiTheme="minorHAnsi" w:cstheme="minorHAnsi"/>
          <w:sz w:val="15"/>
          <w:szCs w:val="15"/>
        </w:rPr>
        <w:t>PHQ-9</w:t>
      </w:r>
      <w:r w:rsidR="00B518FE" w:rsidRPr="007B1191">
        <w:rPr>
          <w:rFonts w:asciiTheme="minorHAnsi" w:hAnsiTheme="minorHAnsi" w:cstheme="minorHAnsi"/>
          <w:sz w:val="15"/>
          <w:szCs w:val="15"/>
        </w:rPr>
        <w:t xml:space="preserve"> </w:t>
      </w:r>
      <w:r w:rsidR="007B1191" w:rsidRPr="007B1191">
        <w:rPr>
          <w:rFonts w:asciiTheme="minorHAnsi" w:hAnsiTheme="minorHAnsi" w:cstheme="minorHAnsi"/>
          <w:sz w:val="15"/>
          <w:szCs w:val="15"/>
        </w:rPr>
        <w:t>t</w:t>
      </w:r>
      <w:r w:rsidR="00B518FE" w:rsidRPr="007B1191">
        <w:rPr>
          <w:rFonts w:asciiTheme="minorHAnsi" w:hAnsiTheme="minorHAnsi" w:cstheme="minorHAnsi"/>
          <w:sz w:val="15"/>
          <w:szCs w:val="15"/>
        </w:rPr>
        <w:t>otal score range 0-27. Scores 0-4</w:t>
      </w:r>
      <w:r w:rsidR="007B1191" w:rsidRPr="007B1191">
        <w:rPr>
          <w:rFonts w:asciiTheme="minorHAnsi" w:hAnsiTheme="minorHAnsi" w:cstheme="minorHAnsi"/>
          <w:sz w:val="15"/>
          <w:szCs w:val="15"/>
        </w:rPr>
        <w:t>,</w:t>
      </w:r>
      <w:r w:rsidR="00B518FE" w:rsidRPr="007B1191">
        <w:rPr>
          <w:rFonts w:asciiTheme="minorHAnsi" w:hAnsiTheme="minorHAnsi" w:cstheme="minorHAnsi"/>
          <w:sz w:val="15"/>
          <w:szCs w:val="15"/>
        </w:rPr>
        <w:t xml:space="preserve"> no depression</w:t>
      </w:r>
      <w:r w:rsidR="007B1191" w:rsidRPr="007B1191">
        <w:rPr>
          <w:rFonts w:asciiTheme="minorHAnsi" w:hAnsiTheme="minorHAnsi" w:cstheme="minorHAnsi"/>
          <w:sz w:val="15"/>
          <w:szCs w:val="15"/>
        </w:rPr>
        <w:t>;</w:t>
      </w:r>
      <w:r w:rsidR="00B518FE" w:rsidRPr="007B1191">
        <w:rPr>
          <w:rFonts w:asciiTheme="minorHAnsi" w:hAnsiTheme="minorHAnsi" w:cstheme="minorHAnsi"/>
          <w:sz w:val="15"/>
          <w:szCs w:val="15"/>
        </w:rPr>
        <w:t xml:space="preserve"> scores 5-9</w:t>
      </w:r>
      <w:r w:rsidR="007B1191" w:rsidRPr="007B1191">
        <w:rPr>
          <w:rFonts w:asciiTheme="minorHAnsi" w:hAnsiTheme="minorHAnsi" w:cstheme="minorHAnsi"/>
          <w:sz w:val="15"/>
          <w:szCs w:val="15"/>
        </w:rPr>
        <w:t>,</w:t>
      </w:r>
      <w:r w:rsidR="00B518FE" w:rsidRPr="007B1191">
        <w:rPr>
          <w:rFonts w:asciiTheme="minorHAnsi" w:hAnsiTheme="minorHAnsi" w:cstheme="minorHAnsi"/>
          <w:sz w:val="15"/>
          <w:szCs w:val="15"/>
        </w:rPr>
        <w:t xml:space="preserve"> mild depression</w:t>
      </w:r>
      <w:r w:rsidR="007B1191" w:rsidRPr="007B1191">
        <w:rPr>
          <w:rFonts w:asciiTheme="minorHAnsi" w:hAnsiTheme="minorHAnsi" w:cstheme="minorHAnsi"/>
          <w:sz w:val="15"/>
          <w:szCs w:val="15"/>
        </w:rPr>
        <w:t>;</w:t>
      </w:r>
      <w:r w:rsidR="00B518FE" w:rsidRPr="007B1191">
        <w:rPr>
          <w:rFonts w:asciiTheme="minorHAnsi" w:hAnsiTheme="minorHAnsi" w:cstheme="minorHAnsi"/>
          <w:sz w:val="15"/>
          <w:szCs w:val="15"/>
        </w:rPr>
        <w:t xml:space="preserve"> scores 10-14</w:t>
      </w:r>
      <w:r w:rsidR="007B1191" w:rsidRPr="007B1191">
        <w:rPr>
          <w:rFonts w:asciiTheme="minorHAnsi" w:hAnsiTheme="minorHAnsi" w:cstheme="minorHAnsi"/>
          <w:sz w:val="15"/>
          <w:szCs w:val="15"/>
        </w:rPr>
        <w:t>,</w:t>
      </w:r>
      <w:r w:rsidR="00B518FE" w:rsidRPr="007B1191">
        <w:rPr>
          <w:rFonts w:asciiTheme="minorHAnsi" w:hAnsiTheme="minorHAnsi" w:cstheme="minorHAnsi"/>
          <w:sz w:val="15"/>
          <w:szCs w:val="15"/>
        </w:rPr>
        <w:t xml:space="preserve"> moderate depression</w:t>
      </w:r>
      <w:r w:rsidR="007B1191" w:rsidRPr="007B1191">
        <w:rPr>
          <w:rFonts w:asciiTheme="minorHAnsi" w:hAnsiTheme="minorHAnsi" w:cstheme="minorHAnsi"/>
          <w:sz w:val="15"/>
          <w:szCs w:val="15"/>
        </w:rPr>
        <w:t>;</w:t>
      </w:r>
      <w:r w:rsidR="00B518FE" w:rsidRPr="007B1191">
        <w:rPr>
          <w:rFonts w:asciiTheme="minorHAnsi" w:hAnsiTheme="minorHAnsi" w:cstheme="minorHAnsi"/>
          <w:sz w:val="15"/>
          <w:szCs w:val="15"/>
        </w:rPr>
        <w:t xml:space="preserve"> scores 15-19</w:t>
      </w:r>
      <w:r w:rsidR="007B1191" w:rsidRPr="007B1191">
        <w:rPr>
          <w:rFonts w:asciiTheme="minorHAnsi" w:hAnsiTheme="minorHAnsi" w:cstheme="minorHAnsi"/>
          <w:sz w:val="15"/>
          <w:szCs w:val="15"/>
        </w:rPr>
        <w:t>,</w:t>
      </w:r>
      <w:r w:rsidR="00B518FE" w:rsidRPr="007B1191">
        <w:rPr>
          <w:rFonts w:asciiTheme="minorHAnsi" w:hAnsiTheme="minorHAnsi" w:cstheme="minorHAnsi"/>
          <w:sz w:val="15"/>
          <w:szCs w:val="15"/>
        </w:rPr>
        <w:t xml:space="preserve"> moderately severe depression</w:t>
      </w:r>
      <w:r w:rsidR="007B1191" w:rsidRPr="007B1191">
        <w:rPr>
          <w:rFonts w:asciiTheme="minorHAnsi" w:hAnsiTheme="minorHAnsi" w:cstheme="minorHAnsi"/>
          <w:sz w:val="15"/>
          <w:szCs w:val="15"/>
        </w:rPr>
        <w:t>;</w:t>
      </w:r>
      <w:r w:rsidR="00B518FE" w:rsidRPr="007B1191">
        <w:rPr>
          <w:rFonts w:asciiTheme="minorHAnsi" w:hAnsiTheme="minorHAnsi" w:cstheme="minorHAnsi"/>
          <w:sz w:val="15"/>
          <w:szCs w:val="15"/>
        </w:rPr>
        <w:t xml:space="preserve"> scores 20-27</w:t>
      </w:r>
      <w:r w:rsidR="007B1191" w:rsidRPr="007B1191">
        <w:rPr>
          <w:rFonts w:asciiTheme="minorHAnsi" w:hAnsiTheme="minorHAnsi" w:cstheme="minorHAnsi"/>
          <w:sz w:val="15"/>
          <w:szCs w:val="15"/>
        </w:rPr>
        <w:t>,</w:t>
      </w:r>
      <w:r w:rsidR="00B518FE" w:rsidRPr="007B1191">
        <w:rPr>
          <w:rFonts w:asciiTheme="minorHAnsi" w:hAnsiTheme="minorHAnsi" w:cstheme="minorHAnsi"/>
          <w:sz w:val="15"/>
          <w:szCs w:val="15"/>
        </w:rPr>
        <w:t xml:space="preserve"> severe depression.</w:t>
      </w:r>
      <w:r w:rsidR="00B81CB1">
        <w:rPr>
          <w:rFonts w:asciiTheme="minorHAnsi" w:hAnsiTheme="minorHAnsi" w:cstheme="minorHAnsi"/>
          <w:sz w:val="15"/>
          <w:szCs w:val="15"/>
        </w:rPr>
        <w:fldChar w:fldCharType="begin">
          <w:fldData xml:space="preserve">PEVuZE5vdGU+PENpdGU+PEF1dGhvcj5Lcm9lbmtlPC9BdXRob3I+PFllYXI+MjAwMTwvWWVhcj48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</w:fldData>
        </w:fldChar>
      </w:r>
      <w:r w:rsidR="004469A2">
        <w:rPr>
          <w:rFonts w:asciiTheme="minorHAnsi" w:hAnsiTheme="minorHAnsi" w:cstheme="minorHAnsi"/>
          <w:sz w:val="15"/>
          <w:szCs w:val="15"/>
        </w:rPr>
        <w:instrText xml:space="preserve"> ADDIN EN.CITE </w:instrText>
      </w:r>
      <w:r w:rsidR="004469A2">
        <w:rPr>
          <w:rFonts w:asciiTheme="minorHAnsi" w:hAnsiTheme="minorHAnsi" w:cstheme="minorHAnsi"/>
          <w:sz w:val="15"/>
          <w:szCs w:val="15"/>
        </w:rPr>
        <w:fldChar w:fldCharType="begin">
          <w:fldData xml:space="preserve">PEVuZE5vdGU+PENpdGU+PEF1dGhvcj5Lcm9lbmtlPC9BdXRob3I+PFllYXI+MjAwMTwvWWVhcj48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</w:fldData>
        </w:fldChar>
      </w:r>
      <w:r w:rsidR="004469A2">
        <w:rPr>
          <w:rFonts w:asciiTheme="minorHAnsi" w:hAnsiTheme="minorHAnsi" w:cstheme="minorHAnsi"/>
          <w:sz w:val="15"/>
          <w:szCs w:val="15"/>
        </w:rPr>
        <w:instrText xml:space="preserve"> ADDIN EN.CITE.DATA </w:instrText>
      </w:r>
      <w:r w:rsidR="004469A2">
        <w:rPr>
          <w:rFonts w:asciiTheme="minorHAnsi" w:hAnsiTheme="minorHAnsi" w:cstheme="minorHAnsi"/>
          <w:sz w:val="15"/>
          <w:szCs w:val="15"/>
        </w:rPr>
      </w:r>
      <w:r w:rsidR="004469A2">
        <w:rPr>
          <w:rFonts w:asciiTheme="minorHAnsi" w:hAnsiTheme="minorHAnsi" w:cstheme="minorHAnsi"/>
          <w:sz w:val="15"/>
          <w:szCs w:val="15"/>
        </w:rPr>
        <w:fldChar w:fldCharType="end"/>
      </w:r>
      <w:r w:rsidR="00B81CB1">
        <w:rPr>
          <w:rFonts w:asciiTheme="minorHAnsi" w:hAnsiTheme="minorHAnsi" w:cstheme="minorHAnsi"/>
          <w:sz w:val="15"/>
          <w:szCs w:val="15"/>
        </w:rPr>
      </w:r>
      <w:r w:rsidR="00B81CB1">
        <w:rPr>
          <w:rFonts w:asciiTheme="minorHAnsi" w:hAnsiTheme="minorHAnsi" w:cstheme="minorHAnsi"/>
          <w:sz w:val="15"/>
          <w:szCs w:val="15"/>
        </w:rPr>
        <w:fldChar w:fldCharType="separate"/>
      </w:r>
      <w:r w:rsidR="004469A2" w:rsidRPr="004469A2">
        <w:rPr>
          <w:rFonts w:asciiTheme="minorHAnsi" w:hAnsiTheme="minorHAnsi" w:cstheme="minorHAnsi"/>
          <w:noProof/>
          <w:sz w:val="15"/>
          <w:szCs w:val="15"/>
          <w:vertAlign w:val="superscript"/>
        </w:rPr>
        <w:t>28</w:t>
      </w:r>
      <w:r w:rsidR="00B81CB1">
        <w:rPr>
          <w:rFonts w:asciiTheme="minorHAnsi" w:hAnsiTheme="minorHAnsi" w:cstheme="minorHAnsi"/>
          <w:sz w:val="15"/>
          <w:szCs w:val="15"/>
        </w:rPr>
        <w:fldChar w:fldCharType="end"/>
      </w:r>
    </w:p>
    <w:p w14:paraId="7948B022" w14:textId="5574D3AD" w:rsidR="00E91864" w:rsidRDefault="00D83692" w:rsidP="00A81B8B">
      <w:pPr>
        <w:ind w:left="-426" w:right="260"/>
        <w:rPr>
          <w:rFonts w:asciiTheme="minorHAnsi" w:hAnsiTheme="minorHAnsi" w:cstheme="minorHAnsi"/>
          <w:sz w:val="15"/>
          <w:szCs w:val="15"/>
        </w:rPr>
        <w:sectPr w:rsidR="00E91864" w:rsidSect="00A81B8B">
          <w:pgSz w:w="11906" w:h="16838"/>
          <w:pgMar w:top="1440" w:right="1440" w:bottom="1440" w:left="1440" w:header="737" w:footer="708" w:gutter="0"/>
          <w:cols w:space="708"/>
          <w:docGrid w:linePitch="360"/>
        </w:sectPr>
      </w:pPr>
      <w:proofErr w:type="spellStart"/>
      <w:r w:rsidRPr="007B1191">
        <w:rPr>
          <w:rFonts w:asciiTheme="minorHAnsi" w:hAnsiTheme="minorHAnsi" w:cstheme="minorHAnsi"/>
          <w:sz w:val="15"/>
          <w:szCs w:val="15"/>
          <w:vertAlign w:val="superscript"/>
        </w:rPr>
        <w:t>m</w:t>
      </w:r>
      <w:r w:rsidR="00972CC6" w:rsidRPr="007B1191">
        <w:rPr>
          <w:rFonts w:asciiTheme="minorHAnsi" w:hAnsiTheme="minorHAnsi" w:cstheme="minorHAnsi"/>
          <w:sz w:val="15"/>
          <w:szCs w:val="15"/>
        </w:rPr>
        <w:t>Consumers</w:t>
      </w:r>
      <w:proofErr w:type="spellEnd"/>
      <w:r w:rsidR="00972CC6" w:rsidRPr="007B1191">
        <w:rPr>
          <w:rFonts w:asciiTheme="minorHAnsi" w:hAnsiTheme="minorHAnsi" w:cstheme="minorHAnsi"/>
          <w:sz w:val="15"/>
          <w:szCs w:val="15"/>
        </w:rPr>
        <w:t xml:space="preserve"> who commenced the Depression and anxiety course from March 2019 to October 2020 and provided socio-demographic information.</w:t>
      </w:r>
      <w:r w:rsidR="00E91864">
        <w:rPr>
          <w:rFonts w:asciiTheme="minorHAnsi" w:hAnsiTheme="minorHAnsi" w:cstheme="minorHAnsi"/>
          <w:sz w:val="15"/>
          <w:szCs w:val="15"/>
        </w:rPr>
        <w:t xml:space="preserve"> </w:t>
      </w:r>
    </w:p>
    <w:p w14:paraId="4296598F" w14:textId="3B0D96CB" w:rsidR="00D75C3D" w:rsidRPr="006F6DCB" w:rsidRDefault="00BF1BF1">
      <w:pPr>
        <w:pStyle w:val="Heading3"/>
        <w:numPr>
          <w:ilvl w:val="2"/>
          <w:numId w:val="147"/>
        </w:numPr>
      </w:pPr>
      <w:r w:rsidRPr="00B15944">
        <w:lastRenderedPageBreak/>
        <w:t>M</w:t>
      </w:r>
      <w:r w:rsidR="00D75C3D" w:rsidRPr="00B15944">
        <w:t>ental Health Online</w:t>
      </w:r>
    </w:p>
    <w:p w14:paraId="04AB01CF" w14:textId="120A1582" w:rsidR="00ED4784" w:rsidRDefault="004C6358" w:rsidP="002029DC">
      <w:pPr>
        <w:spacing w:after="200"/>
        <w:rPr>
          <w:rFonts w:asciiTheme="minorHAnsi" w:hAnsiTheme="minorHAnsi" w:cstheme="minorHAnsi"/>
          <w:sz w:val="21"/>
          <w:szCs w:val="21"/>
        </w:rPr>
      </w:pPr>
      <w:r w:rsidRPr="00077819">
        <w:rPr>
          <w:rFonts w:asciiTheme="minorHAnsi" w:hAnsiTheme="minorHAnsi" w:cstheme="minorHAnsi"/>
          <w:sz w:val="21"/>
          <w:szCs w:val="21"/>
        </w:rPr>
        <w:t xml:space="preserve">Based on routinely collected service use data, Table </w:t>
      </w:r>
      <w:r w:rsidR="00FF1FEC">
        <w:rPr>
          <w:rFonts w:asciiTheme="minorHAnsi" w:hAnsiTheme="minorHAnsi" w:cstheme="minorHAnsi"/>
          <w:sz w:val="21"/>
          <w:szCs w:val="21"/>
        </w:rPr>
        <w:t>1</w:t>
      </w:r>
      <w:r w:rsidR="000931F8">
        <w:rPr>
          <w:rFonts w:asciiTheme="minorHAnsi" w:hAnsiTheme="minorHAnsi" w:cstheme="minorHAnsi"/>
          <w:sz w:val="21"/>
          <w:szCs w:val="21"/>
        </w:rPr>
        <w:t>2</w:t>
      </w:r>
      <w:r w:rsidRPr="00077819">
        <w:rPr>
          <w:rFonts w:asciiTheme="minorHAnsi" w:hAnsiTheme="minorHAnsi" w:cstheme="minorHAnsi"/>
          <w:sz w:val="21"/>
          <w:szCs w:val="21"/>
        </w:rPr>
        <w:t xml:space="preserve"> shows that of consumers who register with Mental Health Online, around one in five are male (19%) and just over two-thirds are female (68%)</w:t>
      </w:r>
      <w:r w:rsidR="000F4B2A">
        <w:rPr>
          <w:rFonts w:asciiTheme="minorHAnsi" w:hAnsiTheme="minorHAnsi" w:cstheme="minorHAnsi"/>
          <w:sz w:val="21"/>
          <w:szCs w:val="21"/>
        </w:rPr>
        <w:t xml:space="preserve"> (</w:t>
      </w:r>
      <w:r w:rsidR="000F4B2A" w:rsidRPr="00077819">
        <w:rPr>
          <w:rFonts w:asciiTheme="minorHAnsi" w:hAnsiTheme="minorHAnsi" w:cstheme="minorHAnsi"/>
          <w:sz w:val="21"/>
          <w:szCs w:val="21"/>
        </w:rPr>
        <w:t>excluding missing data</w:t>
      </w:r>
      <w:r w:rsidR="000F4B2A">
        <w:rPr>
          <w:rFonts w:asciiTheme="minorHAnsi" w:hAnsiTheme="minorHAnsi" w:cstheme="minorHAnsi"/>
          <w:sz w:val="21"/>
          <w:szCs w:val="21"/>
        </w:rPr>
        <w:t>)</w:t>
      </w:r>
      <w:r w:rsidRPr="00077819">
        <w:rPr>
          <w:rFonts w:asciiTheme="minorHAnsi" w:hAnsiTheme="minorHAnsi" w:cstheme="minorHAnsi"/>
          <w:sz w:val="21"/>
          <w:szCs w:val="21"/>
        </w:rPr>
        <w:t>. Most (70%) are young adults (18-34 years)</w:t>
      </w:r>
      <w:r w:rsidR="00077819" w:rsidRPr="00077819">
        <w:rPr>
          <w:rFonts w:asciiTheme="minorHAnsi" w:hAnsiTheme="minorHAnsi" w:cstheme="minorHAnsi"/>
          <w:sz w:val="21"/>
          <w:szCs w:val="21"/>
        </w:rPr>
        <w:t>, with around 25% aged 35-54 years and 5% aged 55 or older. A significant percentage (8%) are Aboriginal and/or Torres Strait Islander peoples (in the period for which this information was collected)</w:t>
      </w:r>
      <w:r w:rsidR="00077819" w:rsidRPr="00006030">
        <w:rPr>
          <w:rFonts w:asciiTheme="minorHAnsi" w:hAnsiTheme="minorHAnsi" w:cstheme="minorHAnsi"/>
          <w:sz w:val="21"/>
          <w:szCs w:val="21"/>
        </w:rPr>
        <w:t xml:space="preserve">. </w:t>
      </w:r>
      <w:r w:rsidR="00F30650" w:rsidRPr="007B4F1E">
        <w:rPr>
          <w:rFonts w:asciiTheme="minorHAnsi" w:hAnsiTheme="minorHAnsi" w:cstheme="minorHAnsi"/>
          <w:sz w:val="21"/>
          <w:szCs w:val="21"/>
        </w:rPr>
        <w:t>Around 1</w:t>
      </w:r>
      <w:r w:rsidR="003D7948" w:rsidRPr="007B4F1E">
        <w:rPr>
          <w:rFonts w:asciiTheme="minorHAnsi" w:hAnsiTheme="minorHAnsi" w:cstheme="minorHAnsi"/>
          <w:sz w:val="21"/>
          <w:szCs w:val="21"/>
        </w:rPr>
        <w:t>4.</w:t>
      </w:r>
      <w:r w:rsidR="00F30650" w:rsidRPr="007B4F1E">
        <w:rPr>
          <w:rFonts w:asciiTheme="minorHAnsi" w:hAnsiTheme="minorHAnsi" w:cstheme="minorHAnsi"/>
          <w:sz w:val="21"/>
          <w:szCs w:val="21"/>
        </w:rPr>
        <w:t>3% live in rural</w:t>
      </w:r>
      <w:r w:rsidR="00270570" w:rsidRPr="007B4F1E">
        <w:rPr>
          <w:rFonts w:asciiTheme="minorHAnsi" w:hAnsiTheme="minorHAnsi" w:cstheme="minorHAnsi"/>
          <w:sz w:val="21"/>
          <w:szCs w:val="21"/>
        </w:rPr>
        <w:t xml:space="preserve"> and remote areas; this proportion</w:t>
      </w:r>
      <w:r w:rsidR="00F30650" w:rsidRPr="007B4F1E">
        <w:rPr>
          <w:rFonts w:asciiTheme="minorHAnsi" w:hAnsiTheme="minorHAnsi" w:cstheme="minorHAnsi"/>
          <w:sz w:val="21"/>
          <w:szCs w:val="21"/>
        </w:rPr>
        <w:t xml:space="preserve"> has been </w:t>
      </w:r>
      <w:r w:rsidR="00270570" w:rsidRPr="007B4F1E">
        <w:rPr>
          <w:rFonts w:asciiTheme="minorHAnsi" w:hAnsiTheme="minorHAnsi" w:cstheme="minorHAnsi"/>
          <w:sz w:val="21"/>
          <w:szCs w:val="21"/>
        </w:rPr>
        <w:t>increas</w:t>
      </w:r>
      <w:r w:rsidR="00F30650" w:rsidRPr="007B4F1E">
        <w:rPr>
          <w:rFonts w:asciiTheme="minorHAnsi" w:hAnsiTheme="minorHAnsi" w:cstheme="minorHAnsi"/>
          <w:sz w:val="21"/>
          <w:szCs w:val="21"/>
        </w:rPr>
        <w:t>ing over time</w:t>
      </w:r>
      <w:r w:rsidR="00270570" w:rsidRPr="007B4F1E">
        <w:rPr>
          <w:rFonts w:asciiTheme="minorHAnsi" w:hAnsiTheme="minorHAnsi" w:cstheme="minorHAnsi"/>
          <w:sz w:val="21"/>
          <w:szCs w:val="21"/>
        </w:rPr>
        <w:t>.</w:t>
      </w:r>
      <w:r w:rsidR="00B81CB1">
        <w:rPr>
          <w:rFonts w:asciiTheme="minorHAnsi" w:hAnsiTheme="minorHAnsi" w:cstheme="minorHAnsi"/>
          <w:sz w:val="21"/>
          <w:szCs w:val="21"/>
        </w:rPr>
        <w:fldChar w:fldCharType="begin"/>
      </w:r>
      <w:r w:rsidR="004469A2">
        <w:rPr>
          <w:rFonts w:asciiTheme="minorHAnsi" w:hAnsiTheme="minorHAnsi" w:cstheme="minorHAnsi"/>
          <w:sz w:val="21"/>
          <w:szCs w:val="21"/>
        </w:rPr>
        <w:instrText xml:space="preserve"> ADDIN EN.CITE &lt;EndNote&gt;&lt;Cite&gt;&lt;Author&gt;Thomas&lt;/Author&gt;&lt;Year&gt;2019&lt;/Year&gt;&lt;RecNum&gt;145&lt;/RecNum&gt;&lt;DisplayText&gt;&lt;style face="superscript"&gt;4, 41&lt;/style&gt;&lt;/DisplayText&gt;&lt;record&gt;&lt;rec-number&gt;145&lt;/rec-number&gt;&lt;foreign-keys&gt;&lt;key app="EN" db-id="dawtr0zrkrzfa5edzzlpe2we0xa00t90vvr2" timestamp="1650969500"&gt;145&lt;/key&gt;&lt;/foreign-keys&gt;&lt;ref-type name="Report"&gt;27&lt;/ref-type&gt;&lt;contributors&gt;&lt;authors&gt;&lt;author&gt;Thomas, N.&lt;/author&gt;&lt;author&gt;Seabrook, L.&lt;/author&gt;&lt;author&gt;Foley, F.  &lt;/author&gt;&lt;/authors&gt;&lt;/contributors&gt;&lt;titles&gt;&lt;title&gt;Mental Health Online: Report to the Australian Government Productivity Commission on delivery of an online mental health service, Unpublished report&lt;/title&gt;&lt;/titles&gt;&lt;dates&gt;&lt;year&gt;2019&lt;/year&gt;&lt;/dates&gt;&lt;pub-location&gt;Melbourne&lt;/pub-location&gt;&lt;publisher&gt;Centre for Mental Health, Swinburne University of Technology&lt;/publisher&gt;&lt;urls&gt;&lt;/urls&gt;&lt;/record&gt;&lt;/Cite&gt;&lt;Cite&gt;&lt;Author&gt;Productivity Commission&lt;/Author&gt;&lt;Year&gt;2020&lt;/Year&gt;&lt;RecNum&gt;3&lt;/RecNum&gt;&lt;record&gt;&lt;rec-number&gt;3&lt;/rec-number&gt;&lt;foreign-keys&gt;&lt;key app="EN" db-id="dawtr0zrkrzfa5edzzlpe2we0xa00t90vvr2" timestamp="1622894031"&gt;3&lt;/key&gt;&lt;/foreign-keys&gt;&lt;ref-type name="Government Document"&gt;46&lt;/ref-type&gt;&lt;contributors&gt;&lt;authors&gt;&lt;author&gt;Productivity Commission, &lt;/author&gt;&lt;/authors&gt;&lt;/contributors&gt;&lt;titles&gt;&lt;title&gt;Mental Health, Report no. 95 &lt;/title&gt;&lt;/titles&gt;&lt;dates&gt;&lt;year&gt;2020&lt;/year&gt;&lt;/dates&gt;&lt;pub-location&gt;Canberra&lt;/pub-location&gt;&lt;urls&gt;&lt;/urls&gt;&lt;/record&gt;&lt;/Cite&gt;&lt;/EndNote&gt;</w:instrText>
      </w:r>
      <w:r w:rsidR="00B81CB1">
        <w:rPr>
          <w:rFonts w:asciiTheme="minorHAnsi" w:hAnsiTheme="minorHAnsi" w:cstheme="minorHAnsi"/>
          <w:sz w:val="21"/>
          <w:szCs w:val="21"/>
        </w:rPr>
        <w:fldChar w:fldCharType="separate"/>
      </w:r>
      <w:r w:rsidR="004469A2" w:rsidRPr="004469A2">
        <w:rPr>
          <w:rFonts w:asciiTheme="minorHAnsi" w:hAnsiTheme="minorHAnsi" w:cstheme="minorHAnsi"/>
          <w:noProof/>
          <w:sz w:val="21"/>
          <w:szCs w:val="21"/>
          <w:vertAlign w:val="superscript"/>
        </w:rPr>
        <w:t>4, 41</w:t>
      </w:r>
      <w:r w:rsidR="00B81CB1">
        <w:rPr>
          <w:rFonts w:asciiTheme="minorHAnsi" w:hAnsiTheme="minorHAnsi" w:cstheme="minorHAnsi"/>
          <w:sz w:val="21"/>
          <w:szCs w:val="21"/>
        </w:rPr>
        <w:fldChar w:fldCharType="end"/>
      </w:r>
      <w:r w:rsidR="00077819" w:rsidRPr="007B4F1E">
        <w:rPr>
          <w:rFonts w:asciiTheme="minorHAnsi" w:hAnsiTheme="minorHAnsi" w:cstheme="minorHAnsi"/>
          <w:sz w:val="21"/>
          <w:szCs w:val="21"/>
        </w:rPr>
        <w:t xml:space="preserve"> Around one</w:t>
      </w:r>
      <w:r w:rsidR="00C53077" w:rsidRPr="007B4F1E">
        <w:rPr>
          <w:rFonts w:asciiTheme="minorHAnsi" w:hAnsiTheme="minorHAnsi" w:cstheme="minorHAnsi"/>
          <w:sz w:val="21"/>
          <w:szCs w:val="21"/>
        </w:rPr>
        <w:t>-</w:t>
      </w:r>
      <w:r w:rsidR="00077819" w:rsidRPr="007B4F1E">
        <w:rPr>
          <w:rFonts w:asciiTheme="minorHAnsi" w:hAnsiTheme="minorHAnsi" w:cstheme="minorHAnsi"/>
          <w:sz w:val="21"/>
          <w:szCs w:val="21"/>
        </w:rPr>
        <w:t>tenth</w:t>
      </w:r>
      <w:r w:rsidR="00077819" w:rsidRPr="00077819">
        <w:rPr>
          <w:rFonts w:asciiTheme="minorHAnsi" w:hAnsiTheme="minorHAnsi" w:cstheme="minorHAnsi"/>
          <w:sz w:val="21"/>
          <w:szCs w:val="21"/>
        </w:rPr>
        <w:t xml:space="preserve"> of consumers for whom this information is known are overseas</w:t>
      </w:r>
      <w:r w:rsidR="00C36FC4">
        <w:rPr>
          <w:rFonts w:asciiTheme="minorHAnsi" w:hAnsiTheme="minorHAnsi" w:cstheme="minorHAnsi"/>
          <w:sz w:val="21"/>
          <w:szCs w:val="21"/>
        </w:rPr>
        <w:t xml:space="preserve"> (7% </w:t>
      </w:r>
      <w:r w:rsidR="004B749D">
        <w:rPr>
          <w:rFonts w:asciiTheme="minorHAnsi" w:hAnsiTheme="minorHAnsi" w:cstheme="minorHAnsi"/>
          <w:sz w:val="21"/>
          <w:szCs w:val="21"/>
        </w:rPr>
        <w:t>vs</w:t>
      </w:r>
      <w:r w:rsidR="00C36FC4">
        <w:rPr>
          <w:rFonts w:asciiTheme="minorHAnsi" w:hAnsiTheme="minorHAnsi" w:cstheme="minorHAnsi"/>
          <w:sz w:val="21"/>
          <w:szCs w:val="21"/>
        </w:rPr>
        <w:t xml:space="preserve"> 73% in Australia)</w:t>
      </w:r>
      <w:r w:rsidR="00C53077">
        <w:rPr>
          <w:rFonts w:asciiTheme="minorHAnsi" w:hAnsiTheme="minorHAnsi" w:cstheme="minorHAnsi"/>
          <w:sz w:val="21"/>
          <w:szCs w:val="21"/>
        </w:rPr>
        <w:t>, one-third are not employed, almost two-thirds do not hold a university degree</w:t>
      </w:r>
      <w:r w:rsidR="009F1AF1">
        <w:rPr>
          <w:rFonts w:asciiTheme="minorHAnsi" w:hAnsiTheme="minorHAnsi" w:cstheme="minorHAnsi"/>
          <w:sz w:val="21"/>
          <w:szCs w:val="21"/>
        </w:rPr>
        <w:t>,</w:t>
      </w:r>
      <w:r w:rsidR="00C53077">
        <w:rPr>
          <w:rFonts w:asciiTheme="minorHAnsi" w:hAnsiTheme="minorHAnsi" w:cstheme="minorHAnsi"/>
          <w:sz w:val="21"/>
          <w:szCs w:val="21"/>
        </w:rPr>
        <w:t xml:space="preserve"> and 45% are not married or cohabitating</w:t>
      </w:r>
      <w:r w:rsidR="00077819" w:rsidRPr="00077819">
        <w:rPr>
          <w:rFonts w:asciiTheme="minorHAnsi" w:hAnsiTheme="minorHAnsi" w:cstheme="minorHAnsi"/>
          <w:sz w:val="21"/>
          <w:szCs w:val="21"/>
        </w:rPr>
        <w:t>.</w:t>
      </w:r>
    </w:p>
    <w:p w14:paraId="76BAED4C" w14:textId="74C0A493" w:rsidR="00EC7E31" w:rsidRPr="006F6DCB" w:rsidRDefault="00C36FC4" w:rsidP="002029DC">
      <w:pPr>
        <w:spacing w:after="200"/>
        <w:rPr>
          <w:rFonts w:asciiTheme="minorHAnsi" w:hAnsiTheme="minorHAnsi" w:cstheme="minorHAnsi"/>
          <w:sz w:val="21"/>
          <w:szCs w:val="21"/>
        </w:rPr>
      </w:pPr>
      <w:r>
        <w:rPr>
          <w:rFonts w:asciiTheme="minorHAnsi" w:hAnsiTheme="minorHAnsi" w:cstheme="minorHAnsi"/>
          <w:sz w:val="21"/>
          <w:szCs w:val="21"/>
        </w:rPr>
        <w:t xml:space="preserve">Of those for whom baseline symptom severity was assessed using the </w:t>
      </w:r>
      <w:r w:rsidRPr="00F94F8D">
        <w:rPr>
          <w:rFonts w:asciiTheme="minorHAnsi" w:hAnsiTheme="minorHAnsi" w:cstheme="minorHAnsi"/>
          <w:sz w:val="21"/>
          <w:szCs w:val="21"/>
        </w:rPr>
        <w:t>K</w:t>
      </w:r>
      <w:r w:rsidR="00F94F8D" w:rsidRPr="00F94F8D">
        <w:rPr>
          <w:rFonts w:asciiTheme="minorHAnsi" w:hAnsiTheme="minorHAnsi" w:cstheme="minorHAnsi"/>
          <w:sz w:val="21"/>
          <w:szCs w:val="21"/>
        </w:rPr>
        <w:t xml:space="preserve">essler Psychological Distress </w:t>
      </w:r>
      <w:r w:rsidR="00F55EF4">
        <w:rPr>
          <w:rFonts w:asciiTheme="minorHAnsi" w:hAnsiTheme="minorHAnsi" w:cstheme="minorHAnsi"/>
          <w:sz w:val="21"/>
          <w:szCs w:val="21"/>
        </w:rPr>
        <w:t>6-I</w:t>
      </w:r>
      <w:r w:rsidR="00F94F8D">
        <w:rPr>
          <w:rFonts w:asciiTheme="minorHAnsi" w:hAnsiTheme="minorHAnsi" w:cstheme="minorHAnsi"/>
          <w:sz w:val="21"/>
          <w:szCs w:val="21"/>
        </w:rPr>
        <w:t xml:space="preserve">tem </w:t>
      </w:r>
      <w:r w:rsidR="00F55EF4" w:rsidRPr="00F94F8D">
        <w:rPr>
          <w:rFonts w:asciiTheme="minorHAnsi" w:hAnsiTheme="minorHAnsi" w:cstheme="minorHAnsi"/>
          <w:sz w:val="21"/>
          <w:szCs w:val="21"/>
        </w:rPr>
        <w:t>Scale</w:t>
      </w:r>
      <w:r w:rsidR="00F55EF4">
        <w:rPr>
          <w:rFonts w:asciiTheme="minorHAnsi" w:hAnsiTheme="minorHAnsi" w:cstheme="minorHAnsi"/>
          <w:sz w:val="21"/>
          <w:szCs w:val="21"/>
        </w:rPr>
        <w:t xml:space="preserve"> </w:t>
      </w:r>
      <w:r w:rsidR="00F94F8D">
        <w:rPr>
          <w:rFonts w:asciiTheme="minorHAnsi" w:hAnsiTheme="minorHAnsi" w:cstheme="minorHAnsi"/>
          <w:sz w:val="21"/>
          <w:szCs w:val="21"/>
        </w:rPr>
        <w:t>(K6)</w:t>
      </w:r>
      <w:r>
        <w:rPr>
          <w:rFonts w:asciiTheme="minorHAnsi" w:hAnsiTheme="minorHAnsi" w:cstheme="minorHAnsi"/>
          <w:sz w:val="21"/>
          <w:szCs w:val="21"/>
        </w:rPr>
        <w:t>,</w:t>
      </w:r>
      <w:r w:rsidR="00B81CB1">
        <w:rPr>
          <w:rFonts w:asciiTheme="minorHAnsi" w:hAnsiTheme="minorHAnsi" w:cstheme="minorHAnsi"/>
          <w:sz w:val="21"/>
          <w:szCs w:val="21"/>
        </w:rPr>
        <w:fldChar w:fldCharType="begin">
          <w:fldData xml:space="preserve">PEVuZE5vdGU+PENpdGU+PEF1dGhvcj5BdXN0cmFsaWFuIEJ1cmVhdSBvZiBTdGF0aXN0aWNzPC9B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</w:fldData>
        </w:fldChar>
      </w:r>
      <w:r w:rsidR="004469A2">
        <w:rPr>
          <w:rFonts w:asciiTheme="minorHAnsi" w:hAnsiTheme="minorHAnsi" w:cstheme="minorHAnsi"/>
          <w:sz w:val="21"/>
          <w:szCs w:val="21"/>
        </w:rPr>
        <w:instrText xml:space="preserve"> ADDIN EN.CITE </w:instrText>
      </w:r>
      <w:r w:rsidR="004469A2">
        <w:rPr>
          <w:rFonts w:asciiTheme="minorHAnsi" w:hAnsiTheme="minorHAnsi" w:cstheme="minorHAnsi"/>
          <w:sz w:val="21"/>
          <w:szCs w:val="21"/>
        </w:rPr>
        <w:fldChar w:fldCharType="begin">
          <w:fldData xml:space="preserve">PEVuZE5vdGU+PENpdGU+PEF1dGhvcj5BdXN0cmFsaWFuIEJ1cmVhdSBvZiBTdGF0aXN0aWNzPC9B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</w:fldData>
        </w:fldChar>
      </w:r>
      <w:r w:rsidR="004469A2">
        <w:rPr>
          <w:rFonts w:asciiTheme="minorHAnsi" w:hAnsiTheme="minorHAnsi" w:cstheme="minorHAnsi"/>
          <w:sz w:val="21"/>
          <w:szCs w:val="21"/>
        </w:rPr>
        <w:instrText xml:space="preserve"> ADDIN EN.CITE.DATA </w:instrText>
      </w:r>
      <w:r w:rsidR="004469A2">
        <w:rPr>
          <w:rFonts w:asciiTheme="minorHAnsi" w:hAnsiTheme="minorHAnsi" w:cstheme="minorHAnsi"/>
          <w:sz w:val="21"/>
          <w:szCs w:val="21"/>
        </w:rPr>
      </w:r>
      <w:r w:rsidR="004469A2">
        <w:rPr>
          <w:rFonts w:asciiTheme="minorHAnsi" w:hAnsiTheme="minorHAnsi" w:cstheme="minorHAnsi"/>
          <w:sz w:val="21"/>
          <w:szCs w:val="21"/>
        </w:rPr>
        <w:fldChar w:fldCharType="end"/>
      </w:r>
      <w:r w:rsidR="00B81CB1">
        <w:rPr>
          <w:rFonts w:asciiTheme="minorHAnsi" w:hAnsiTheme="minorHAnsi" w:cstheme="minorHAnsi"/>
          <w:sz w:val="21"/>
          <w:szCs w:val="21"/>
        </w:rPr>
      </w:r>
      <w:r w:rsidR="00B81CB1">
        <w:rPr>
          <w:rFonts w:asciiTheme="minorHAnsi" w:hAnsiTheme="minorHAnsi" w:cstheme="minorHAnsi"/>
          <w:sz w:val="21"/>
          <w:szCs w:val="21"/>
        </w:rPr>
        <w:fldChar w:fldCharType="separate"/>
      </w:r>
      <w:r w:rsidR="004469A2" w:rsidRPr="004469A2">
        <w:rPr>
          <w:rFonts w:asciiTheme="minorHAnsi" w:hAnsiTheme="minorHAnsi" w:cstheme="minorHAnsi"/>
          <w:noProof/>
          <w:sz w:val="21"/>
          <w:szCs w:val="21"/>
          <w:vertAlign w:val="superscript"/>
        </w:rPr>
        <w:t>43, 44</w:t>
      </w:r>
      <w:r w:rsidR="00B81CB1">
        <w:rPr>
          <w:rFonts w:asciiTheme="minorHAnsi" w:hAnsiTheme="minorHAnsi" w:cstheme="minorHAnsi"/>
          <w:sz w:val="21"/>
          <w:szCs w:val="21"/>
        </w:rPr>
        <w:fldChar w:fldCharType="end"/>
      </w:r>
      <w:r>
        <w:rPr>
          <w:rFonts w:asciiTheme="minorHAnsi" w:hAnsiTheme="minorHAnsi" w:cstheme="minorHAnsi"/>
          <w:sz w:val="21"/>
          <w:szCs w:val="21"/>
        </w:rPr>
        <w:t xml:space="preserve"> almost two-thirds (65%) were classified as having a probable serious mental illness.</w:t>
      </w:r>
      <w:r w:rsidR="00C53077">
        <w:rPr>
          <w:rFonts w:asciiTheme="minorHAnsi" w:hAnsiTheme="minorHAnsi" w:cstheme="minorHAnsi"/>
          <w:sz w:val="21"/>
          <w:szCs w:val="21"/>
        </w:rPr>
        <w:t xml:space="preserve"> Just over one-third of consumers are </w:t>
      </w:r>
      <w:r w:rsidR="00135F16">
        <w:rPr>
          <w:rFonts w:asciiTheme="minorHAnsi" w:hAnsiTheme="minorHAnsi" w:cstheme="minorHAnsi"/>
          <w:sz w:val="21"/>
          <w:szCs w:val="21"/>
        </w:rPr>
        <w:t>using other</w:t>
      </w:r>
      <w:r w:rsidR="00C53077">
        <w:rPr>
          <w:rFonts w:asciiTheme="minorHAnsi" w:hAnsiTheme="minorHAnsi" w:cstheme="minorHAnsi"/>
          <w:sz w:val="21"/>
          <w:szCs w:val="21"/>
        </w:rPr>
        <w:t xml:space="preserve"> mental health</w:t>
      </w:r>
      <w:r w:rsidR="00135F16">
        <w:rPr>
          <w:rFonts w:asciiTheme="minorHAnsi" w:hAnsiTheme="minorHAnsi" w:cstheme="minorHAnsi"/>
          <w:sz w:val="21"/>
          <w:szCs w:val="21"/>
        </w:rPr>
        <w:t xml:space="preserve"> services</w:t>
      </w:r>
      <w:r w:rsidR="00C53077">
        <w:rPr>
          <w:rFonts w:asciiTheme="minorHAnsi" w:hAnsiTheme="minorHAnsi" w:cstheme="minorHAnsi"/>
          <w:sz w:val="21"/>
          <w:szCs w:val="21"/>
        </w:rPr>
        <w:t>.</w:t>
      </w:r>
    </w:p>
    <w:p w14:paraId="01887C8B" w14:textId="7AA45594" w:rsidR="00EF507F" w:rsidRDefault="00BA66A1" w:rsidP="002029DC">
      <w:pPr>
        <w:spacing w:after="200"/>
        <w:rPr>
          <w:rFonts w:asciiTheme="minorHAnsi" w:hAnsiTheme="minorHAnsi" w:cstheme="minorHAnsi"/>
          <w:sz w:val="21"/>
          <w:szCs w:val="21"/>
        </w:rPr>
      </w:pPr>
      <w:r w:rsidRPr="005C0351">
        <w:rPr>
          <w:rFonts w:asciiTheme="minorHAnsi" w:hAnsiTheme="minorHAnsi" w:cstheme="minorHAnsi"/>
          <w:sz w:val="21"/>
          <w:szCs w:val="21"/>
        </w:rPr>
        <w:t>Figure 4 shows uptake of the service</w:t>
      </w:r>
      <w:r w:rsidR="00BF44AA" w:rsidRPr="005C0351">
        <w:rPr>
          <w:rFonts w:asciiTheme="minorHAnsi" w:hAnsiTheme="minorHAnsi" w:cstheme="minorHAnsi"/>
          <w:sz w:val="21"/>
          <w:szCs w:val="21"/>
        </w:rPr>
        <w:t xml:space="preserve"> by demographic and clinical characteristics</w:t>
      </w:r>
      <w:r w:rsidRPr="005C0351">
        <w:rPr>
          <w:rFonts w:asciiTheme="minorHAnsi" w:hAnsiTheme="minorHAnsi" w:cstheme="minorHAnsi"/>
          <w:sz w:val="21"/>
          <w:szCs w:val="21"/>
        </w:rPr>
        <w:t>.</w:t>
      </w:r>
      <w:r w:rsidR="00BF44AA" w:rsidRPr="005C0351">
        <w:rPr>
          <w:rFonts w:asciiTheme="minorHAnsi" w:hAnsiTheme="minorHAnsi" w:cstheme="minorHAnsi"/>
          <w:sz w:val="21"/>
          <w:szCs w:val="21"/>
        </w:rPr>
        <w:t xml:space="preserve"> </w:t>
      </w:r>
      <w:r w:rsidR="00871792" w:rsidRPr="005C0351">
        <w:rPr>
          <w:rFonts w:asciiTheme="minorHAnsi" w:hAnsiTheme="minorHAnsi" w:cstheme="minorHAnsi"/>
          <w:sz w:val="21"/>
          <w:szCs w:val="21"/>
        </w:rPr>
        <w:t xml:space="preserve">Data </w:t>
      </w:r>
      <w:r w:rsidR="00BF44AA" w:rsidRPr="005C0351">
        <w:rPr>
          <w:rFonts w:asciiTheme="minorHAnsi" w:hAnsiTheme="minorHAnsi" w:cstheme="minorHAnsi"/>
          <w:sz w:val="21"/>
          <w:szCs w:val="21"/>
        </w:rPr>
        <w:t xml:space="preserve">exclude users who </w:t>
      </w:r>
      <w:r w:rsidR="00871792" w:rsidRPr="005C0351">
        <w:rPr>
          <w:rFonts w:asciiTheme="minorHAnsi" w:hAnsiTheme="minorHAnsi" w:cstheme="minorHAnsi"/>
          <w:sz w:val="21"/>
          <w:szCs w:val="21"/>
        </w:rPr>
        <w:t xml:space="preserve">originally </w:t>
      </w:r>
      <w:r w:rsidR="00BF44AA" w:rsidRPr="005C0351">
        <w:rPr>
          <w:rFonts w:asciiTheme="minorHAnsi" w:hAnsiTheme="minorHAnsi" w:cstheme="minorHAnsi"/>
          <w:sz w:val="21"/>
          <w:szCs w:val="21"/>
        </w:rPr>
        <w:t xml:space="preserve">registered </w:t>
      </w:r>
      <w:r w:rsidR="00871792" w:rsidRPr="005C0351">
        <w:rPr>
          <w:rFonts w:asciiTheme="minorHAnsi" w:hAnsiTheme="minorHAnsi" w:cstheme="minorHAnsi"/>
          <w:sz w:val="21"/>
          <w:szCs w:val="21"/>
        </w:rPr>
        <w:t>pre-</w:t>
      </w:r>
      <w:r w:rsidR="00BF44AA" w:rsidRPr="005C0351">
        <w:rPr>
          <w:rFonts w:asciiTheme="minorHAnsi" w:hAnsiTheme="minorHAnsi" w:cstheme="minorHAnsi"/>
          <w:sz w:val="21"/>
          <w:szCs w:val="21"/>
        </w:rPr>
        <w:t xml:space="preserve">2015 </w:t>
      </w:r>
      <w:r w:rsidR="00871792" w:rsidRPr="005C0351">
        <w:rPr>
          <w:rFonts w:asciiTheme="minorHAnsi" w:hAnsiTheme="minorHAnsi" w:cstheme="minorHAnsi"/>
          <w:sz w:val="21"/>
          <w:szCs w:val="21"/>
        </w:rPr>
        <w:t>and</w:t>
      </w:r>
      <w:r w:rsidR="00BF44AA" w:rsidRPr="005C0351">
        <w:rPr>
          <w:rFonts w:asciiTheme="minorHAnsi" w:hAnsiTheme="minorHAnsi" w:cstheme="minorHAnsi"/>
          <w:sz w:val="21"/>
          <w:szCs w:val="21"/>
        </w:rPr>
        <w:t xml:space="preserve"> completed </w:t>
      </w:r>
      <w:r w:rsidR="003E3804" w:rsidRPr="005C0351">
        <w:rPr>
          <w:rFonts w:asciiTheme="minorHAnsi" w:hAnsiTheme="minorHAnsi" w:cstheme="minorHAnsi"/>
          <w:sz w:val="21"/>
          <w:szCs w:val="21"/>
        </w:rPr>
        <w:t xml:space="preserve">an </w:t>
      </w:r>
      <w:r w:rsidR="00BF44AA" w:rsidRPr="005C0351">
        <w:rPr>
          <w:rFonts w:asciiTheme="minorHAnsi" w:hAnsiTheme="minorHAnsi" w:cstheme="minorHAnsi"/>
          <w:sz w:val="21"/>
          <w:szCs w:val="21"/>
        </w:rPr>
        <w:t>assessment and/or registered for treatment in January 2015-December 2021.</w:t>
      </w:r>
      <w:r w:rsidR="003E3804" w:rsidRPr="005C0351">
        <w:rPr>
          <w:rFonts w:asciiTheme="minorHAnsi" w:hAnsiTheme="minorHAnsi" w:cstheme="minorHAnsi"/>
          <w:sz w:val="21"/>
          <w:szCs w:val="21"/>
        </w:rPr>
        <w:t xml:space="preserve"> Trends observed indicate that </w:t>
      </w:r>
      <w:r w:rsidR="00C6449B" w:rsidRPr="005C0351">
        <w:rPr>
          <w:rFonts w:asciiTheme="minorHAnsi" w:hAnsiTheme="minorHAnsi" w:cstheme="minorHAnsi"/>
          <w:sz w:val="21"/>
          <w:szCs w:val="21"/>
        </w:rPr>
        <w:t xml:space="preserve">proportionally more </w:t>
      </w:r>
      <w:r w:rsidR="003E3804" w:rsidRPr="005C0351">
        <w:rPr>
          <w:rFonts w:asciiTheme="minorHAnsi" w:hAnsiTheme="minorHAnsi" w:cstheme="minorHAnsi"/>
          <w:sz w:val="21"/>
          <w:szCs w:val="21"/>
        </w:rPr>
        <w:t xml:space="preserve">females, younger adults, non-Indigenous </w:t>
      </w:r>
      <w:proofErr w:type="gramStart"/>
      <w:r w:rsidR="003E3804" w:rsidRPr="005C0351">
        <w:rPr>
          <w:rFonts w:asciiTheme="minorHAnsi" w:hAnsiTheme="minorHAnsi" w:cstheme="minorHAnsi"/>
          <w:sz w:val="21"/>
          <w:szCs w:val="21"/>
        </w:rPr>
        <w:t>people</w:t>
      </w:r>
      <w:proofErr w:type="gramEnd"/>
      <w:r w:rsidR="003E3804" w:rsidRPr="005C0351">
        <w:rPr>
          <w:rFonts w:asciiTheme="minorHAnsi" w:hAnsiTheme="minorHAnsi" w:cstheme="minorHAnsi"/>
          <w:sz w:val="21"/>
          <w:szCs w:val="21"/>
        </w:rPr>
        <w:t xml:space="preserve"> and consumers with more severe </w:t>
      </w:r>
      <w:r w:rsidR="000C71F3" w:rsidRPr="005C0351">
        <w:rPr>
          <w:rFonts w:asciiTheme="minorHAnsi" w:hAnsiTheme="minorHAnsi" w:cstheme="minorHAnsi"/>
          <w:sz w:val="21"/>
          <w:szCs w:val="21"/>
        </w:rPr>
        <w:t xml:space="preserve">K6 </w:t>
      </w:r>
      <w:r w:rsidR="003E3804" w:rsidRPr="005C0351">
        <w:rPr>
          <w:rFonts w:asciiTheme="minorHAnsi" w:hAnsiTheme="minorHAnsi" w:cstheme="minorHAnsi"/>
          <w:sz w:val="21"/>
          <w:szCs w:val="21"/>
        </w:rPr>
        <w:t xml:space="preserve">baseline symptoms </w:t>
      </w:r>
      <w:r w:rsidR="00643C7A" w:rsidRPr="005C0351">
        <w:rPr>
          <w:rFonts w:asciiTheme="minorHAnsi" w:hAnsiTheme="minorHAnsi" w:cstheme="minorHAnsi"/>
          <w:sz w:val="21"/>
          <w:szCs w:val="21"/>
        </w:rPr>
        <w:t>access Mental Health Online services</w:t>
      </w:r>
      <w:r w:rsidR="00C50A58" w:rsidRPr="005C0351">
        <w:rPr>
          <w:rFonts w:asciiTheme="minorHAnsi" w:hAnsiTheme="minorHAnsi" w:cstheme="minorHAnsi"/>
          <w:sz w:val="21"/>
          <w:szCs w:val="21"/>
        </w:rPr>
        <w:t>.</w:t>
      </w:r>
      <w:r w:rsidR="00A94573" w:rsidRPr="005C0351">
        <w:rPr>
          <w:rFonts w:asciiTheme="minorHAnsi" w:hAnsiTheme="minorHAnsi" w:cstheme="minorHAnsi"/>
          <w:sz w:val="21"/>
          <w:szCs w:val="21"/>
        </w:rPr>
        <w:t xml:space="preserve"> These proportions were </w:t>
      </w:r>
      <w:r w:rsidR="005C0351" w:rsidRPr="005C0351">
        <w:rPr>
          <w:rFonts w:asciiTheme="minorHAnsi" w:hAnsiTheme="minorHAnsi" w:cstheme="minorHAnsi"/>
          <w:sz w:val="21"/>
          <w:szCs w:val="21"/>
        </w:rPr>
        <w:t xml:space="preserve">relatively </w:t>
      </w:r>
      <w:r w:rsidR="00A94573" w:rsidRPr="005C0351">
        <w:rPr>
          <w:rFonts w:asciiTheme="minorHAnsi" w:hAnsiTheme="minorHAnsi" w:cstheme="minorHAnsi"/>
          <w:sz w:val="21"/>
          <w:szCs w:val="21"/>
        </w:rPr>
        <w:t xml:space="preserve">consistent across </w:t>
      </w:r>
      <w:r w:rsidR="00643C7A" w:rsidRPr="005C0351">
        <w:rPr>
          <w:rFonts w:asciiTheme="minorHAnsi" w:hAnsiTheme="minorHAnsi" w:cstheme="minorHAnsi"/>
          <w:sz w:val="21"/>
          <w:szCs w:val="21"/>
        </w:rPr>
        <w:t>assessment (</w:t>
      </w:r>
      <w:proofErr w:type="spellStart"/>
      <w:r w:rsidR="00A94573" w:rsidRPr="005C0351">
        <w:rPr>
          <w:rFonts w:asciiTheme="minorHAnsi" w:hAnsiTheme="minorHAnsi" w:cstheme="minorHAnsi"/>
          <w:sz w:val="21"/>
          <w:szCs w:val="21"/>
        </w:rPr>
        <w:t>ePASS</w:t>
      </w:r>
      <w:proofErr w:type="spellEnd"/>
      <w:r w:rsidR="00643C7A" w:rsidRPr="005C0351">
        <w:rPr>
          <w:rFonts w:asciiTheme="minorHAnsi" w:hAnsiTheme="minorHAnsi" w:cstheme="minorHAnsi"/>
          <w:sz w:val="21"/>
          <w:szCs w:val="21"/>
        </w:rPr>
        <w:t>)</w:t>
      </w:r>
      <w:r w:rsidR="00A94573" w:rsidRPr="005C0351">
        <w:rPr>
          <w:rFonts w:asciiTheme="minorHAnsi" w:hAnsiTheme="minorHAnsi" w:cstheme="minorHAnsi"/>
          <w:sz w:val="21"/>
          <w:szCs w:val="21"/>
        </w:rPr>
        <w:t xml:space="preserve"> completion, </w:t>
      </w:r>
      <w:r w:rsidR="00643C7A" w:rsidRPr="005C0351">
        <w:rPr>
          <w:rFonts w:asciiTheme="minorHAnsi" w:hAnsiTheme="minorHAnsi" w:cstheme="minorHAnsi"/>
          <w:sz w:val="21"/>
          <w:szCs w:val="21"/>
        </w:rPr>
        <w:t xml:space="preserve">registration for any </w:t>
      </w:r>
      <w:r w:rsidR="00A94573" w:rsidRPr="005C0351">
        <w:rPr>
          <w:rFonts w:asciiTheme="minorHAnsi" w:hAnsiTheme="minorHAnsi" w:cstheme="minorHAnsi"/>
          <w:sz w:val="21"/>
          <w:szCs w:val="21"/>
        </w:rPr>
        <w:t xml:space="preserve">program and registration </w:t>
      </w:r>
      <w:r w:rsidR="00643C7A" w:rsidRPr="005C0351">
        <w:rPr>
          <w:rFonts w:asciiTheme="minorHAnsi" w:hAnsiTheme="minorHAnsi" w:cstheme="minorHAnsi"/>
          <w:sz w:val="21"/>
          <w:szCs w:val="21"/>
        </w:rPr>
        <w:t xml:space="preserve">for Therapist Assist </w:t>
      </w:r>
      <w:r w:rsidR="00A94573" w:rsidRPr="005C0351">
        <w:rPr>
          <w:rFonts w:asciiTheme="minorHAnsi" w:hAnsiTheme="minorHAnsi" w:cstheme="minorHAnsi"/>
          <w:sz w:val="21"/>
          <w:szCs w:val="21"/>
        </w:rPr>
        <w:t>for gender (78% female)</w:t>
      </w:r>
      <w:r w:rsidR="005C0351" w:rsidRPr="005C0351">
        <w:rPr>
          <w:rFonts w:asciiTheme="minorHAnsi" w:hAnsiTheme="minorHAnsi" w:cstheme="minorHAnsi"/>
          <w:sz w:val="21"/>
          <w:szCs w:val="21"/>
        </w:rPr>
        <w:t>,</w:t>
      </w:r>
      <w:r w:rsidR="00A94573" w:rsidRPr="005C0351">
        <w:rPr>
          <w:rFonts w:asciiTheme="minorHAnsi" w:hAnsiTheme="minorHAnsi" w:cstheme="minorHAnsi"/>
          <w:sz w:val="21"/>
          <w:szCs w:val="21"/>
        </w:rPr>
        <w:t xml:space="preserve"> </w:t>
      </w:r>
      <w:r w:rsidR="00643C7A" w:rsidRPr="005C0351">
        <w:rPr>
          <w:rFonts w:asciiTheme="minorHAnsi" w:hAnsiTheme="minorHAnsi" w:cstheme="minorHAnsi"/>
          <w:sz w:val="21"/>
          <w:szCs w:val="21"/>
        </w:rPr>
        <w:t>I</w:t>
      </w:r>
      <w:r w:rsidR="00A94573" w:rsidRPr="005C0351">
        <w:rPr>
          <w:rFonts w:asciiTheme="minorHAnsi" w:hAnsiTheme="minorHAnsi" w:cstheme="minorHAnsi"/>
          <w:sz w:val="21"/>
          <w:szCs w:val="21"/>
        </w:rPr>
        <w:t xml:space="preserve">ndigenous status (6% </w:t>
      </w:r>
      <w:r w:rsidR="00643C7A" w:rsidRPr="005C0351">
        <w:rPr>
          <w:rFonts w:asciiTheme="minorHAnsi" w:hAnsiTheme="minorHAnsi" w:cstheme="minorHAnsi"/>
          <w:sz w:val="21"/>
          <w:szCs w:val="21"/>
        </w:rPr>
        <w:t>I</w:t>
      </w:r>
      <w:r w:rsidR="00A94573" w:rsidRPr="005C0351">
        <w:rPr>
          <w:rFonts w:asciiTheme="minorHAnsi" w:hAnsiTheme="minorHAnsi" w:cstheme="minorHAnsi"/>
          <w:sz w:val="21"/>
          <w:szCs w:val="21"/>
        </w:rPr>
        <w:t>ndigenous) and baseline K6 severity (</w:t>
      </w:r>
      <w:r w:rsidR="005C0351" w:rsidRPr="005C0351">
        <w:rPr>
          <w:rFonts w:asciiTheme="minorHAnsi" w:hAnsiTheme="minorHAnsi" w:cstheme="minorHAnsi"/>
          <w:sz w:val="21"/>
          <w:szCs w:val="21"/>
        </w:rPr>
        <w:t>62</w:t>
      </w:r>
      <w:r w:rsidR="00A94573" w:rsidRPr="005C0351">
        <w:rPr>
          <w:rFonts w:asciiTheme="minorHAnsi" w:hAnsiTheme="minorHAnsi" w:cstheme="minorHAnsi"/>
          <w:sz w:val="21"/>
          <w:szCs w:val="21"/>
        </w:rPr>
        <w:t xml:space="preserve">%, </w:t>
      </w:r>
      <w:r w:rsidR="005C0351" w:rsidRPr="005C0351">
        <w:rPr>
          <w:rFonts w:asciiTheme="minorHAnsi" w:hAnsiTheme="minorHAnsi" w:cstheme="minorHAnsi"/>
          <w:sz w:val="21"/>
          <w:szCs w:val="21"/>
        </w:rPr>
        <w:t>58</w:t>
      </w:r>
      <w:r w:rsidR="00A94573" w:rsidRPr="005C0351">
        <w:rPr>
          <w:rFonts w:asciiTheme="minorHAnsi" w:hAnsiTheme="minorHAnsi" w:cstheme="minorHAnsi"/>
          <w:sz w:val="21"/>
          <w:szCs w:val="21"/>
        </w:rPr>
        <w:t xml:space="preserve">% and </w:t>
      </w:r>
      <w:r w:rsidR="005C0351" w:rsidRPr="005C0351">
        <w:rPr>
          <w:rFonts w:asciiTheme="minorHAnsi" w:hAnsiTheme="minorHAnsi" w:cstheme="minorHAnsi"/>
          <w:sz w:val="21"/>
          <w:szCs w:val="21"/>
        </w:rPr>
        <w:t>6</w:t>
      </w:r>
      <w:r w:rsidR="00A94573" w:rsidRPr="005C0351">
        <w:rPr>
          <w:rFonts w:asciiTheme="minorHAnsi" w:hAnsiTheme="minorHAnsi" w:cstheme="minorHAnsi"/>
          <w:sz w:val="21"/>
          <w:szCs w:val="21"/>
        </w:rPr>
        <w:t xml:space="preserve">5% </w:t>
      </w:r>
      <w:r w:rsidR="00F36AF7" w:rsidRPr="005C0351">
        <w:rPr>
          <w:rFonts w:asciiTheme="minorHAnsi" w:hAnsiTheme="minorHAnsi" w:cstheme="minorHAnsi"/>
          <w:sz w:val="21"/>
          <w:szCs w:val="21"/>
        </w:rPr>
        <w:t xml:space="preserve">with a score of </w:t>
      </w:r>
      <w:r w:rsidR="005C0351" w:rsidRPr="005C0351">
        <w:rPr>
          <w:rFonts w:asciiTheme="minorHAnsi" w:hAnsiTheme="minorHAnsi" w:cstheme="minorHAnsi"/>
          <w:sz w:val="21"/>
          <w:szCs w:val="21"/>
        </w:rPr>
        <w:t>19</w:t>
      </w:r>
      <w:r w:rsidR="00F36AF7" w:rsidRPr="005C0351">
        <w:rPr>
          <w:rFonts w:asciiTheme="minorHAnsi" w:hAnsiTheme="minorHAnsi" w:cstheme="minorHAnsi"/>
          <w:sz w:val="21"/>
          <w:szCs w:val="21"/>
        </w:rPr>
        <w:t>-</w:t>
      </w:r>
      <w:r w:rsidR="005C0351" w:rsidRPr="005C0351">
        <w:rPr>
          <w:rFonts w:asciiTheme="minorHAnsi" w:hAnsiTheme="minorHAnsi" w:cstheme="minorHAnsi"/>
          <w:sz w:val="21"/>
          <w:szCs w:val="21"/>
        </w:rPr>
        <w:t>30</w:t>
      </w:r>
      <w:r w:rsidR="00F36AF7" w:rsidRPr="005C0351">
        <w:rPr>
          <w:rFonts w:asciiTheme="minorHAnsi" w:hAnsiTheme="minorHAnsi" w:cstheme="minorHAnsi"/>
          <w:sz w:val="21"/>
          <w:szCs w:val="21"/>
        </w:rPr>
        <w:t>)</w:t>
      </w:r>
      <w:r w:rsidR="00A94573" w:rsidRPr="005C0351">
        <w:rPr>
          <w:rFonts w:asciiTheme="minorHAnsi" w:hAnsiTheme="minorHAnsi" w:cstheme="minorHAnsi"/>
          <w:sz w:val="21"/>
          <w:szCs w:val="21"/>
        </w:rPr>
        <w:t>.</w:t>
      </w:r>
      <w:r w:rsidR="00643C7A" w:rsidRPr="005C0351">
        <w:rPr>
          <w:rFonts w:asciiTheme="minorHAnsi" w:hAnsiTheme="minorHAnsi" w:cstheme="minorHAnsi"/>
          <w:sz w:val="21"/>
          <w:szCs w:val="21"/>
        </w:rPr>
        <w:t xml:space="preserve"> </w:t>
      </w:r>
      <w:r w:rsidR="00A94573" w:rsidRPr="005C0351">
        <w:rPr>
          <w:rFonts w:asciiTheme="minorHAnsi" w:hAnsiTheme="minorHAnsi" w:cstheme="minorHAnsi"/>
          <w:sz w:val="21"/>
          <w:szCs w:val="21"/>
        </w:rPr>
        <w:t>However, the proportion of younger adults</w:t>
      </w:r>
      <w:r w:rsidR="006F79CC" w:rsidRPr="005C0351">
        <w:rPr>
          <w:rFonts w:asciiTheme="minorHAnsi" w:hAnsiTheme="minorHAnsi" w:cstheme="minorHAnsi"/>
          <w:sz w:val="21"/>
          <w:szCs w:val="21"/>
        </w:rPr>
        <w:t xml:space="preserve"> (aged 18-34)</w:t>
      </w:r>
      <w:r w:rsidR="00A94573" w:rsidRPr="005C0351">
        <w:rPr>
          <w:rFonts w:asciiTheme="minorHAnsi" w:hAnsiTheme="minorHAnsi" w:cstheme="minorHAnsi"/>
          <w:sz w:val="21"/>
          <w:szCs w:val="21"/>
        </w:rPr>
        <w:t xml:space="preserve"> decreased from 69% for </w:t>
      </w:r>
      <w:r w:rsidR="006F79CC" w:rsidRPr="005C0351">
        <w:rPr>
          <w:rFonts w:asciiTheme="minorHAnsi" w:hAnsiTheme="minorHAnsi" w:cstheme="minorHAnsi"/>
          <w:sz w:val="21"/>
          <w:szCs w:val="21"/>
        </w:rPr>
        <w:t>assessment</w:t>
      </w:r>
      <w:r w:rsidR="00A94573" w:rsidRPr="005C0351">
        <w:rPr>
          <w:rFonts w:asciiTheme="minorHAnsi" w:hAnsiTheme="minorHAnsi" w:cstheme="minorHAnsi"/>
          <w:sz w:val="21"/>
          <w:szCs w:val="21"/>
        </w:rPr>
        <w:t xml:space="preserve"> completion to 64% for </w:t>
      </w:r>
      <w:r w:rsidR="006F79CC" w:rsidRPr="005C0351">
        <w:rPr>
          <w:rFonts w:asciiTheme="minorHAnsi" w:hAnsiTheme="minorHAnsi" w:cstheme="minorHAnsi"/>
          <w:sz w:val="21"/>
          <w:szCs w:val="21"/>
        </w:rPr>
        <w:t xml:space="preserve">any </w:t>
      </w:r>
      <w:r w:rsidR="00A94573" w:rsidRPr="005C0351">
        <w:rPr>
          <w:rFonts w:asciiTheme="minorHAnsi" w:hAnsiTheme="minorHAnsi" w:cstheme="minorHAnsi"/>
          <w:sz w:val="21"/>
          <w:szCs w:val="21"/>
        </w:rPr>
        <w:t xml:space="preserve">program registration to 60% for </w:t>
      </w:r>
      <w:r w:rsidR="006F79CC" w:rsidRPr="005C0351">
        <w:rPr>
          <w:rFonts w:asciiTheme="minorHAnsi" w:hAnsiTheme="minorHAnsi" w:cstheme="minorHAnsi"/>
          <w:sz w:val="21"/>
          <w:szCs w:val="21"/>
        </w:rPr>
        <w:t>Therapist Assist</w:t>
      </w:r>
      <w:r w:rsidR="00A94573" w:rsidRPr="005C0351">
        <w:rPr>
          <w:rFonts w:asciiTheme="minorHAnsi" w:hAnsiTheme="minorHAnsi" w:cstheme="minorHAnsi"/>
          <w:sz w:val="21"/>
          <w:szCs w:val="21"/>
        </w:rPr>
        <w:t xml:space="preserve"> registration.</w:t>
      </w:r>
    </w:p>
    <w:p w14:paraId="3F23E890" w14:textId="6020D35D" w:rsidR="00EF507F" w:rsidRPr="00217372" w:rsidRDefault="00B85F65" w:rsidP="00EC7E31">
      <w:pPr>
        <w:rPr>
          <w:rFonts w:asciiTheme="minorHAnsi" w:hAnsiTheme="minorHAnsi" w:cstheme="minorHAnsi"/>
          <w:sz w:val="21"/>
          <w:szCs w:val="21"/>
        </w:rPr>
      </w:pPr>
      <w:r w:rsidRPr="00B85F65">
        <w:rPr>
          <w:noProof/>
          <w:lang w:eastAsia="en-AU"/>
        </w:rPr>
        <w:drawing>
          <wp:inline distT="0" distB="0" distL="0" distR="0" wp14:anchorId="66596EF9" wp14:editId="5B94C31D">
            <wp:extent cx="2689860" cy="1806253"/>
            <wp:effectExtent l="0" t="0" r="2540" b="0"/>
            <wp:docPr id="20" name="Picture 20" descr="Bar chart showing number of assessments completed, total program registrations and Therapist Assist registrations by gender rom January 2015 to December 2021&#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ar chart showing number of assessments completed, total program registrations and Therapist Assist registrations by gender rom January 2015 to December 2021&#10;&#10;"/>
                    <pic:cNvPicPr/>
                  </pic:nvPicPr>
                  <pic:blipFill>
                    <a:blip r:embed="rId20"/>
                    <a:stretch>
                      <a:fillRect/>
                    </a:stretch>
                  </pic:blipFill>
                  <pic:spPr>
                    <a:xfrm>
                      <a:off x="0" y="0"/>
                      <a:ext cx="2734302" cy="1836096"/>
                    </a:xfrm>
                    <a:prstGeom prst="rect">
                      <a:avLst/>
                    </a:prstGeom>
                  </pic:spPr>
                </pic:pic>
              </a:graphicData>
            </a:graphic>
          </wp:inline>
        </w:drawing>
      </w:r>
      <w:r w:rsidR="00EF507F" w:rsidRPr="00217372">
        <w:rPr>
          <w:noProof/>
        </w:rPr>
        <w:t xml:space="preserve"> </w:t>
      </w:r>
      <w:r w:rsidR="00F16BD3" w:rsidRPr="00F16BD3">
        <w:rPr>
          <w:noProof/>
          <w:lang w:eastAsia="en-AU"/>
        </w:rPr>
        <w:drawing>
          <wp:inline distT="0" distB="0" distL="0" distR="0" wp14:anchorId="5EA6B43D" wp14:editId="40525C5C">
            <wp:extent cx="2689860" cy="1806253"/>
            <wp:effectExtent l="0" t="0" r="2540" b="0"/>
            <wp:docPr id="19" name="Picture 19" descr="Bar chart showing number of assessments completed, total program registrations and Therapist Assist registrations by age rom January 2015 to December 2021&#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Bar chart showing number of assessments completed, total program registrations and Therapist Assist registrations by age rom January 2015 to December 2021&#10;&#10;"/>
                    <pic:cNvPicPr/>
                  </pic:nvPicPr>
                  <pic:blipFill>
                    <a:blip r:embed="rId21"/>
                    <a:stretch>
                      <a:fillRect/>
                    </a:stretch>
                  </pic:blipFill>
                  <pic:spPr>
                    <a:xfrm>
                      <a:off x="0" y="0"/>
                      <a:ext cx="2715070" cy="1823182"/>
                    </a:xfrm>
                    <a:prstGeom prst="rect">
                      <a:avLst/>
                    </a:prstGeom>
                  </pic:spPr>
                </pic:pic>
              </a:graphicData>
            </a:graphic>
          </wp:inline>
        </w:drawing>
      </w:r>
    </w:p>
    <w:p w14:paraId="6470477B" w14:textId="1FC60DCD" w:rsidR="00F16BD3" w:rsidRPr="00B85F65" w:rsidRDefault="00C735CB" w:rsidP="00B85F65">
      <w:pPr>
        <w:rPr>
          <w:rFonts w:asciiTheme="minorHAnsi" w:hAnsiTheme="minorHAnsi" w:cstheme="minorHAnsi"/>
          <w:sz w:val="21"/>
          <w:szCs w:val="21"/>
        </w:rPr>
      </w:pPr>
      <w:r w:rsidRPr="00B03394">
        <w:rPr>
          <w:noProof/>
          <w:lang w:eastAsia="en-AU"/>
        </w:rPr>
        <w:drawing>
          <wp:inline distT="0" distB="0" distL="0" distR="0" wp14:anchorId="0C0C2E3F" wp14:editId="3B724C2D">
            <wp:extent cx="2654300" cy="1782963"/>
            <wp:effectExtent l="0" t="0" r="0" b="0"/>
            <wp:docPr id="36" name="Picture 36" descr="Bar chart showing number of assessments completed, total program registrations and Therapist Assist registrations by Indigenous status from January 2015 to December 2021&#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Bar chart showing number of assessments completed, total program registrations and Therapist Assist registrations by Indigenous status from January 2015 to December 2021&#10;&#10;"/>
                    <pic:cNvPicPr/>
                  </pic:nvPicPr>
                  <pic:blipFill>
                    <a:blip r:embed="rId22"/>
                    <a:stretch>
                      <a:fillRect/>
                    </a:stretch>
                  </pic:blipFill>
                  <pic:spPr>
                    <a:xfrm>
                      <a:off x="0" y="0"/>
                      <a:ext cx="2665552" cy="1790521"/>
                    </a:xfrm>
                    <a:prstGeom prst="rect">
                      <a:avLst/>
                    </a:prstGeom>
                  </pic:spPr>
                </pic:pic>
              </a:graphicData>
            </a:graphic>
          </wp:inline>
        </w:drawing>
      </w:r>
      <w:r w:rsidR="00B85F65" w:rsidRPr="00B85F65">
        <w:rPr>
          <w:rFonts w:asciiTheme="minorHAnsi" w:hAnsiTheme="minorHAnsi" w:cstheme="minorHAnsi"/>
          <w:noProof/>
          <w:sz w:val="21"/>
          <w:szCs w:val="21"/>
          <w:lang w:eastAsia="en-AU"/>
        </w:rPr>
        <w:drawing>
          <wp:inline distT="0" distB="0" distL="0" distR="0" wp14:anchorId="325EB99B" wp14:editId="1FBCAA65">
            <wp:extent cx="2725029" cy="1829869"/>
            <wp:effectExtent l="0" t="0" r="5715" b="0"/>
            <wp:docPr id="22" name="Picture 22" descr="Bar chart showing number of assessments completed, total program registrations and Therapist Assist registrations by baseline K6 symptom severity from January 2015 to December 2021&#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Bar chart showing number of assessments completed, total program registrations and Therapist Assist registrations by baseline K6 symptom severity from January 2015 to December 2021&#10;&#10;"/>
                    <pic:cNvPicPr/>
                  </pic:nvPicPr>
                  <pic:blipFill>
                    <a:blip r:embed="rId23"/>
                    <a:stretch>
                      <a:fillRect/>
                    </a:stretch>
                  </pic:blipFill>
                  <pic:spPr>
                    <a:xfrm>
                      <a:off x="0" y="0"/>
                      <a:ext cx="2753719" cy="1849135"/>
                    </a:xfrm>
                    <a:prstGeom prst="rect">
                      <a:avLst/>
                    </a:prstGeom>
                  </pic:spPr>
                </pic:pic>
              </a:graphicData>
            </a:graphic>
          </wp:inline>
        </w:drawing>
      </w:r>
    </w:p>
    <w:p w14:paraId="3ECC351C" w14:textId="2258F50A" w:rsidR="004B0497" w:rsidRDefault="003B29AF" w:rsidP="003D1CA1">
      <w:pPr>
        <w:pStyle w:val="tableheading"/>
      </w:pPr>
      <w:r w:rsidRPr="003B29AF">
        <w:t xml:space="preserve">Figure </w:t>
      </w:r>
      <w:r>
        <w:t>4.</w:t>
      </w:r>
      <w:r w:rsidR="00BA66A1">
        <w:t xml:space="preserve"> Uptake of Mental Health Online assessment, all treatment and therapist-supported treatment by demographic and clinical characteristics</w:t>
      </w:r>
      <w:r w:rsidR="00217372">
        <w:t xml:space="preserve">, </w:t>
      </w:r>
      <w:r w:rsidR="00217372" w:rsidRPr="00BF44AA">
        <w:t xml:space="preserve">January 2015 </w:t>
      </w:r>
      <w:r w:rsidR="00217372">
        <w:t>to</w:t>
      </w:r>
      <w:r w:rsidR="00217372" w:rsidRPr="00BF44AA">
        <w:t xml:space="preserve"> December 2021</w:t>
      </w:r>
    </w:p>
    <w:p w14:paraId="68F4E9D0" w14:textId="48EFAD6B" w:rsidR="004B0497" w:rsidRDefault="004B0497" w:rsidP="006F6DCB">
      <w:pPr>
        <w:pStyle w:val="ANorm"/>
        <w:rPr>
          <w:sz w:val="16"/>
          <w:szCs w:val="16"/>
        </w:rPr>
      </w:pPr>
      <w:proofErr w:type="spellStart"/>
      <w:r w:rsidRPr="00F82BF3">
        <w:rPr>
          <w:sz w:val="16"/>
          <w:szCs w:val="16"/>
        </w:rPr>
        <w:t>ePASS</w:t>
      </w:r>
      <w:proofErr w:type="spellEnd"/>
      <w:r w:rsidRPr="00F82BF3">
        <w:rPr>
          <w:sz w:val="16"/>
          <w:szCs w:val="16"/>
        </w:rPr>
        <w:t xml:space="preserve">, </w:t>
      </w:r>
      <w:r w:rsidR="00F82BF3" w:rsidRPr="00F82BF3">
        <w:rPr>
          <w:sz w:val="16"/>
          <w:szCs w:val="16"/>
        </w:rPr>
        <w:t xml:space="preserve">assessment; </w:t>
      </w:r>
      <w:r w:rsidRPr="00F82BF3">
        <w:rPr>
          <w:sz w:val="16"/>
          <w:szCs w:val="16"/>
        </w:rPr>
        <w:t xml:space="preserve">TA, </w:t>
      </w:r>
      <w:r w:rsidR="00F82BF3" w:rsidRPr="00F82BF3">
        <w:rPr>
          <w:sz w:val="16"/>
          <w:szCs w:val="16"/>
        </w:rPr>
        <w:t>Therapist</w:t>
      </w:r>
      <w:r w:rsidR="00F82BF3">
        <w:rPr>
          <w:sz w:val="16"/>
          <w:szCs w:val="16"/>
        </w:rPr>
        <w:t xml:space="preserve"> Assist.</w:t>
      </w:r>
    </w:p>
    <w:p w14:paraId="2C512115" w14:textId="78A5BA08" w:rsidR="002029DC" w:rsidRDefault="00FC7F72" w:rsidP="00BD2B56">
      <w:pPr>
        <w:pStyle w:val="ANorm"/>
        <w:spacing w:after="200"/>
        <w:rPr>
          <w:rFonts w:asciiTheme="minorHAnsi" w:hAnsiTheme="minorHAnsi" w:cstheme="minorHAnsi"/>
          <w:sz w:val="15"/>
          <w:szCs w:val="15"/>
        </w:rPr>
      </w:pPr>
      <w:r w:rsidRPr="00FC7F72">
        <w:rPr>
          <w:rFonts w:asciiTheme="minorHAnsi" w:hAnsiTheme="minorHAnsi" w:cstheme="minorHAnsi"/>
          <w:sz w:val="15"/>
          <w:szCs w:val="15"/>
        </w:rPr>
        <w:t>K6 scores 6-18, no probable serious mental illness; scores 19-30 probable serious mental illness.</w:t>
      </w:r>
      <w:r w:rsidR="00B81CB1">
        <w:rPr>
          <w:rFonts w:asciiTheme="minorHAnsi" w:hAnsiTheme="minorHAnsi" w:cstheme="minorHAnsi"/>
          <w:sz w:val="15"/>
          <w:szCs w:val="15"/>
        </w:rPr>
        <w:fldChar w:fldCharType="begin">
          <w:fldData xml:space="preserve">PEVuZE5vdGU+PENpdGU+PEF1dGhvcj5BdXN0cmFsaWFuIEJ1cmVhdSBvZiBTdGF0aXN0aWNzPC9B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</w:fldData>
        </w:fldChar>
      </w:r>
      <w:r w:rsidR="004469A2">
        <w:rPr>
          <w:rFonts w:asciiTheme="minorHAnsi" w:hAnsiTheme="minorHAnsi" w:cstheme="minorHAnsi"/>
          <w:sz w:val="15"/>
          <w:szCs w:val="15"/>
        </w:rPr>
        <w:instrText xml:space="preserve"> ADDIN EN.CITE </w:instrText>
      </w:r>
      <w:r w:rsidR="004469A2">
        <w:rPr>
          <w:rFonts w:asciiTheme="minorHAnsi" w:hAnsiTheme="minorHAnsi" w:cstheme="minorHAnsi"/>
          <w:sz w:val="15"/>
          <w:szCs w:val="15"/>
        </w:rPr>
        <w:fldChar w:fldCharType="begin">
          <w:fldData xml:space="preserve">PEVuZE5vdGU+PENpdGU+PEF1dGhvcj5BdXN0cmFsaWFuIEJ1cmVhdSBvZiBTdGF0aXN0aWNzPC9B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</w:fldData>
        </w:fldChar>
      </w:r>
      <w:r w:rsidR="004469A2">
        <w:rPr>
          <w:rFonts w:asciiTheme="minorHAnsi" w:hAnsiTheme="minorHAnsi" w:cstheme="minorHAnsi"/>
          <w:sz w:val="15"/>
          <w:szCs w:val="15"/>
        </w:rPr>
        <w:instrText xml:space="preserve"> ADDIN EN.CITE.DATA </w:instrText>
      </w:r>
      <w:r w:rsidR="004469A2">
        <w:rPr>
          <w:rFonts w:asciiTheme="minorHAnsi" w:hAnsiTheme="minorHAnsi" w:cstheme="minorHAnsi"/>
          <w:sz w:val="15"/>
          <w:szCs w:val="15"/>
        </w:rPr>
      </w:r>
      <w:r w:rsidR="004469A2">
        <w:rPr>
          <w:rFonts w:asciiTheme="minorHAnsi" w:hAnsiTheme="minorHAnsi" w:cstheme="minorHAnsi"/>
          <w:sz w:val="15"/>
          <w:szCs w:val="15"/>
        </w:rPr>
        <w:fldChar w:fldCharType="end"/>
      </w:r>
      <w:r w:rsidR="00B81CB1">
        <w:rPr>
          <w:rFonts w:asciiTheme="minorHAnsi" w:hAnsiTheme="minorHAnsi" w:cstheme="minorHAnsi"/>
          <w:sz w:val="15"/>
          <w:szCs w:val="15"/>
        </w:rPr>
      </w:r>
      <w:r w:rsidR="00B81CB1">
        <w:rPr>
          <w:rFonts w:asciiTheme="minorHAnsi" w:hAnsiTheme="minorHAnsi" w:cstheme="minorHAnsi"/>
          <w:sz w:val="15"/>
          <w:szCs w:val="15"/>
        </w:rPr>
        <w:fldChar w:fldCharType="separate"/>
      </w:r>
      <w:r w:rsidR="004469A2" w:rsidRPr="004469A2">
        <w:rPr>
          <w:rFonts w:asciiTheme="minorHAnsi" w:hAnsiTheme="minorHAnsi" w:cstheme="minorHAnsi"/>
          <w:noProof/>
          <w:sz w:val="15"/>
          <w:szCs w:val="15"/>
          <w:vertAlign w:val="superscript"/>
        </w:rPr>
        <w:t>43, 44</w:t>
      </w:r>
      <w:r w:rsidR="00B81CB1">
        <w:rPr>
          <w:rFonts w:asciiTheme="minorHAnsi" w:hAnsiTheme="minorHAnsi" w:cstheme="minorHAnsi"/>
          <w:sz w:val="15"/>
          <w:szCs w:val="15"/>
        </w:rPr>
        <w:fldChar w:fldCharType="end"/>
      </w:r>
      <w:r w:rsidR="002029DC">
        <w:rPr>
          <w:rFonts w:asciiTheme="minorHAnsi" w:hAnsiTheme="minorHAnsi" w:cstheme="minorHAnsi"/>
          <w:sz w:val="15"/>
          <w:szCs w:val="15"/>
        </w:rPr>
        <w:br w:type="page"/>
      </w:r>
    </w:p>
    <w:p w14:paraId="3CD16933" w14:textId="62D52236" w:rsidR="003E3804" w:rsidRPr="007F04B7" w:rsidRDefault="003E3804">
      <w:pPr>
        <w:pStyle w:val="Heading4"/>
        <w:numPr>
          <w:ilvl w:val="3"/>
          <w:numId w:val="147"/>
        </w:numPr>
      </w:pPr>
      <w:r w:rsidRPr="007F04B7">
        <w:lastRenderedPageBreak/>
        <w:t>Predictors of treatment uptake and dropout</w:t>
      </w:r>
    </w:p>
    <w:p w14:paraId="30D5F81A" w14:textId="3F5F221C" w:rsidR="00FA2893" w:rsidRPr="007F04B7" w:rsidRDefault="00950B07" w:rsidP="002029DC">
      <w:pPr>
        <w:pStyle w:val="ANorm"/>
        <w:spacing w:after="200"/>
      </w:pPr>
      <w:r w:rsidRPr="007F04B7">
        <w:t xml:space="preserve">Al </w:t>
      </w:r>
      <w:proofErr w:type="spellStart"/>
      <w:r w:rsidRPr="007F04B7">
        <w:t>Asadi</w:t>
      </w:r>
      <w:proofErr w:type="spellEnd"/>
      <w:r w:rsidRPr="007F04B7">
        <w:t xml:space="preserve"> </w:t>
      </w:r>
      <w:r w:rsidR="0065750D">
        <w:t>et al</w:t>
      </w:r>
      <w:r w:rsidRPr="007F04B7">
        <w:t xml:space="preserve"> (2014) examined predictors of </w:t>
      </w:r>
      <w:r w:rsidR="00A841F6" w:rsidRPr="007F04B7">
        <w:t xml:space="preserve">online </w:t>
      </w:r>
      <w:r w:rsidRPr="007F04B7">
        <w:t xml:space="preserve">treatment uptake and dropout among </w:t>
      </w:r>
      <w:r w:rsidR="00741A6A" w:rsidRPr="007F04B7">
        <w:t>9</w:t>
      </w:r>
      <w:r w:rsidRPr="007F04B7">
        <w:t>,</w:t>
      </w:r>
      <w:r w:rsidR="00741A6A" w:rsidRPr="007F04B7">
        <w:t>394 potential participants</w:t>
      </w:r>
      <w:r w:rsidRPr="007F04B7">
        <w:t xml:space="preserve"> who ha</w:t>
      </w:r>
      <w:r w:rsidR="00A841F6" w:rsidRPr="007F04B7">
        <w:t>d</w:t>
      </w:r>
      <w:r w:rsidRPr="007F04B7">
        <w:t xml:space="preserve"> completed </w:t>
      </w:r>
      <w:r w:rsidR="00A841F6" w:rsidRPr="007F04B7">
        <w:t xml:space="preserve">Anxiety </w:t>
      </w:r>
      <w:proofErr w:type="spellStart"/>
      <w:r w:rsidR="00A841F6" w:rsidRPr="007F04B7">
        <w:t>Online’s</w:t>
      </w:r>
      <w:proofErr w:type="spellEnd"/>
      <w:r w:rsidR="00A841F6" w:rsidRPr="007F04B7">
        <w:t xml:space="preserve"> (</w:t>
      </w:r>
      <w:r w:rsidRPr="007F04B7">
        <w:t xml:space="preserve">Mental Health </w:t>
      </w:r>
      <w:proofErr w:type="spellStart"/>
      <w:r w:rsidRPr="007F04B7">
        <w:t>Online</w:t>
      </w:r>
      <w:r w:rsidR="002B0DE3" w:rsidRPr="007F04B7">
        <w:t>’s</w:t>
      </w:r>
      <w:proofErr w:type="spellEnd"/>
      <w:r w:rsidR="002B0DE3" w:rsidRPr="007F04B7">
        <w:t xml:space="preserve"> former name</w:t>
      </w:r>
      <w:r w:rsidR="00A841F6" w:rsidRPr="007F04B7">
        <w:t>)</w:t>
      </w:r>
      <w:r w:rsidRPr="007F04B7">
        <w:t xml:space="preserve"> assessment between October 2009 and January 2012.</w:t>
      </w:r>
      <w:r w:rsidR="00B81CB1" w:rsidRPr="007F04B7">
        <w:fldChar w:fldCharType="begin">
          <w:fldData xml:space="preserve">PEVuZE5vdGU+PENpdGU+PEF1dGhvcj5BbC1Bc2FkaTwvQXV0aG9yPjxZZWFyPjIwMTQ8L1llYXI+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</w:fldData>
        </w:fldChar>
      </w:r>
      <w:r w:rsidR="004469A2">
        <w:instrText xml:space="preserve"> ADDIN EN.CITE </w:instrText>
      </w:r>
      <w:r w:rsidR="004469A2">
        <w:fldChar w:fldCharType="begin">
          <w:fldData xml:space="preserve">PEVuZE5vdGU+PENpdGU+PEF1dGhvcj5BbC1Bc2FkaTwvQXV0aG9yPjxZZWFyPjIwMTQ8L1llYXI+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</w:fldData>
        </w:fldChar>
      </w:r>
      <w:r w:rsidR="004469A2">
        <w:instrText xml:space="preserve"> ADDIN EN.CITE.DATA </w:instrText>
      </w:r>
      <w:r w:rsidR="004469A2">
        <w:fldChar w:fldCharType="end"/>
      </w:r>
      <w:r w:rsidR="00B81CB1" w:rsidRPr="007F04B7">
        <w:fldChar w:fldCharType="separate"/>
      </w:r>
      <w:r w:rsidR="004469A2" w:rsidRPr="004469A2">
        <w:rPr>
          <w:noProof/>
          <w:vertAlign w:val="superscript"/>
        </w:rPr>
        <w:t>42</w:t>
      </w:r>
      <w:r w:rsidR="00B81CB1" w:rsidRPr="007F04B7">
        <w:fldChar w:fldCharType="end"/>
      </w:r>
      <w:r w:rsidR="00A841F6" w:rsidRPr="007F04B7">
        <w:t xml:space="preserve"> In total,</w:t>
      </w:r>
      <w:r w:rsidR="00741A6A" w:rsidRPr="007F04B7">
        <w:t xml:space="preserve"> 3</w:t>
      </w:r>
      <w:r w:rsidR="00B00B03" w:rsidRPr="007F04B7">
        <w:t>,</w:t>
      </w:r>
      <w:r w:rsidR="00741A6A" w:rsidRPr="007F04B7">
        <w:t>880 c</w:t>
      </w:r>
      <w:r w:rsidR="00A841F6" w:rsidRPr="007F04B7">
        <w:t>onsumer</w:t>
      </w:r>
      <w:r w:rsidR="00741A6A" w:rsidRPr="007F04B7">
        <w:t>s enrolled and 5</w:t>
      </w:r>
      <w:r w:rsidR="00B00B03" w:rsidRPr="007F04B7">
        <w:t>,</w:t>
      </w:r>
      <w:r w:rsidR="00741A6A" w:rsidRPr="007F04B7">
        <w:t xml:space="preserve">514 did not enrol in treatment </w:t>
      </w:r>
      <w:r w:rsidR="00A076BF" w:rsidRPr="007F04B7">
        <w:t xml:space="preserve">resulting in a </w:t>
      </w:r>
      <w:r w:rsidR="00741A6A" w:rsidRPr="007F04B7">
        <w:t>pre</w:t>
      </w:r>
      <w:r w:rsidR="00A076BF" w:rsidRPr="007F04B7">
        <w:t>-</w:t>
      </w:r>
      <w:r w:rsidR="00741A6A" w:rsidRPr="007F04B7">
        <w:t>treatment attrition rate</w:t>
      </w:r>
      <w:r w:rsidR="00A076BF" w:rsidRPr="007F04B7">
        <w:t xml:space="preserve"> of </w:t>
      </w:r>
      <w:r w:rsidR="00741A6A" w:rsidRPr="007F04B7">
        <w:t xml:space="preserve">58.7%. </w:t>
      </w:r>
    </w:p>
    <w:p w14:paraId="16C3A253" w14:textId="16287682" w:rsidR="00A02037" w:rsidRPr="007F04B7" w:rsidRDefault="00295A76" w:rsidP="002029DC">
      <w:pPr>
        <w:pStyle w:val="ANorm"/>
        <w:spacing w:after="200"/>
      </w:pPr>
      <w:r w:rsidRPr="007F04B7">
        <w:t xml:space="preserve">People who took up or commenced treatment </w:t>
      </w:r>
      <w:r w:rsidR="00741A6A" w:rsidRPr="007F04B7">
        <w:t>differed significantly (</w:t>
      </w:r>
      <w:r w:rsidR="00255D33" w:rsidRPr="007F04B7">
        <w:t>p</w:t>
      </w:r>
      <w:r w:rsidR="00741A6A" w:rsidRPr="007F04B7">
        <w:t>&lt;.001</w:t>
      </w:r>
      <w:r w:rsidR="00FC62EB" w:rsidRPr="007F04B7">
        <w:t xml:space="preserve"> to</w:t>
      </w:r>
      <w:r w:rsidR="004C7F8B" w:rsidRPr="007F04B7">
        <w:t xml:space="preserve"> p=</w:t>
      </w:r>
      <w:r w:rsidR="009A54B8" w:rsidRPr="007F04B7">
        <w:t>0</w:t>
      </w:r>
      <w:r w:rsidR="00741A6A" w:rsidRPr="007F04B7">
        <w:t xml:space="preserve">.03) from </w:t>
      </w:r>
      <w:r w:rsidRPr="007F04B7">
        <w:t>those who did not</w:t>
      </w:r>
      <w:r w:rsidR="00F0487C" w:rsidRPr="007F04B7">
        <w:t>, with t</w:t>
      </w:r>
      <w:r w:rsidR="00A02037" w:rsidRPr="007F04B7">
        <w:t>he odds of enrollin</w:t>
      </w:r>
      <w:r w:rsidR="00F0487C" w:rsidRPr="007F04B7">
        <w:t>g</w:t>
      </w:r>
      <w:r w:rsidR="00A02037" w:rsidRPr="007F04B7">
        <w:t xml:space="preserve"> in an Anxiety Online treatment program </w:t>
      </w:r>
      <w:r w:rsidR="00F0487C" w:rsidRPr="007F04B7">
        <w:t>being</w:t>
      </w:r>
      <w:r w:rsidR="00A02037" w:rsidRPr="007F04B7">
        <w:t>:</w:t>
      </w:r>
    </w:p>
    <w:p w14:paraId="2555D39E" w14:textId="1AA6AA2A" w:rsidR="00A02037" w:rsidRPr="007F04B7" w:rsidRDefault="00A02037" w:rsidP="00634B19">
      <w:pPr>
        <w:pStyle w:val="ANorm"/>
        <w:numPr>
          <w:ilvl w:val="0"/>
          <w:numId w:val="9"/>
        </w:numPr>
      </w:pPr>
      <w:r w:rsidRPr="007F04B7">
        <w:t xml:space="preserve">2.9 times higher for </w:t>
      </w:r>
      <w:r w:rsidR="00295A76" w:rsidRPr="007F04B7">
        <w:t>those</w:t>
      </w:r>
      <w:r w:rsidRPr="007F04B7">
        <w:t xml:space="preserve"> who gave “seeking to use one of the online self-help programs” as a reason for joining the </w:t>
      </w:r>
      <w:proofErr w:type="gramStart"/>
      <w:r w:rsidRPr="007F04B7">
        <w:t>program;</w:t>
      </w:r>
      <w:proofErr w:type="gramEnd"/>
    </w:p>
    <w:p w14:paraId="0E904937" w14:textId="755E477F" w:rsidR="00A02037" w:rsidRPr="007F04B7" w:rsidRDefault="0024737E" w:rsidP="00634B19">
      <w:pPr>
        <w:pStyle w:val="ANorm"/>
        <w:numPr>
          <w:ilvl w:val="0"/>
          <w:numId w:val="9"/>
        </w:numPr>
      </w:pPr>
      <w:r w:rsidRPr="007F04B7">
        <w:t>30% lower</w:t>
      </w:r>
      <w:r w:rsidR="00A02037" w:rsidRPr="007F04B7">
        <w:t xml:space="preserve"> for those who expressed concerns about eating and weight </w:t>
      </w:r>
      <w:proofErr w:type="gramStart"/>
      <w:r w:rsidR="00A02037" w:rsidRPr="007F04B7">
        <w:t>issues;</w:t>
      </w:r>
      <w:proofErr w:type="gramEnd"/>
    </w:p>
    <w:p w14:paraId="7C5F2F62" w14:textId="6AB1720E" w:rsidR="00864D72" w:rsidRPr="007F04B7" w:rsidRDefault="00A02037" w:rsidP="00634B19">
      <w:pPr>
        <w:pStyle w:val="ANorm"/>
        <w:numPr>
          <w:ilvl w:val="0"/>
          <w:numId w:val="9"/>
        </w:numPr>
      </w:pPr>
      <w:r w:rsidRPr="007F04B7">
        <w:t xml:space="preserve">1.29 times higher for those who completed undergraduate degrees and </w:t>
      </w:r>
      <w:r w:rsidR="005759D2" w:rsidRPr="007F04B7">
        <w:t>19% lower</w:t>
      </w:r>
      <w:r w:rsidRPr="007F04B7">
        <w:t xml:space="preserve"> for</w:t>
      </w:r>
      <w:r w:rsidR="00864D72" w:rsidRPr="007F04B7">
        <w:t xml:space="preserve"> </w:t>
      </w:r>
      <w:r w:rsidRPr="007F04B7">
        <w:t xml:space="preserve">those </w:t>
      </w:r>
      <w:r w:rsidR="00035B87" w:rsidRPr="007F04B7">
        <w:t xml:space="preserve">possessing </w:t>
      </w:r>
      <w:r w:rsidRPr="007F04B7">
        <w:t xml:space="preserve">other certificates as for those </w:t>
      </w:r>
      <w:r w:rsidR="00035B87" w:rsidRPr="007F04B7">
        <w:t>with</w:t>
      </w:r>
      <w:r w:rsidRPr="007F04B7">
        <w:t xml:space="preserve"> no postsecondary </w:t>
      </w:r>
      <w:proofErr w:type="gramStart"/>
      <w:r w:rsidRPr="007F04B7">
        <w:t>education;</w:t>
      </w:r>
      <w:proofErr w:type="gramEnd"/>
    </w:p>
    <w:p w14:paraId="6BAF2699" w14:textId="5045F42B" w:rsidR="00F0487C" w:rsidRPr="007F04B7" w:rsidRDefault="00A02037" w:rsidP="00634B19">
      <w:pPr>
        <w:pStyle w:val="ANorm"/>
        <w:numPr>
          <w:ilvl w:val="0"/>
          <w:numId w:val="9"/>
        </w:numPr>
      </w:pPr>
      <w:r w:rsidRPr="007F04B7">
        <w:t>1.35 times higher for those</w:t>
      </w:r>
      <w:r w:rsidR="00864D72" w:rsidRPr="007F04B7">
        <w:t xml:space="preserve"> </w:t>
      </w:r>
      <w:r w:rsidRPr="007F04B7">
        <w:t>who heard about Anxiety Online from the traditional media</w:t>
      </w:r>
      <w:r w:rsidR="00035B87" w:rsidRPr="007F04B7">
        <w:t xml:space="preserve"> (compared with internet, family/friend or health professional</w:t>
      </w:r>
      <w:proofErr w:type="gramStart"/>
      <w:r w:rsidR="00035B87" w:rsidRPr="007F04B7">
        <w:t>)</w:t>
      </w:r>
      <w:r w:rsidRPr="007F04B7">
        <w:t>;</w:t>
      </w:r>
      <w:proofErr w:type="gramEnd"/>
    </w:p>
    <w:p w14:paraId="333A5ED9" w14:textId="404B1C01" w:rsidR="00F0487C" w:rsidRPr="007F04B7" w:rsidRDefault="00A02037" w:rsidP="00634B19">
      <w:pPr>
        <w:pStyle w:val="ANorm"/>
        <w:numPr>
          <w:ilvl w:val="0"/>
          <w:numId w:val="9"/>
        </w:numPr>
      </w:pPr>
      <w:r w:rsidRPr="007F04B7">
        <w:t>3%</w:t>
      </w:r>
      <w:r w:rsidR="00F0487C" w:rsidRPr="007F04B7">
        <w:t xml:space="preserve"> lower</w:t>
      </w:r>
      <w:r w:rsidRPr="007F04B7">
        <w:t xml:space="preserve"> for each additional point an individual</w:t>
      </w:r>
      <w:r w:rsidR="00F0487C" w:rsidRPr="007F04B7">
        <w:t xml:space="preserve"> </w:t>
      </w:r>
      <w:r w:rsidRPr="007F04B7">
        <w:t xml:space="preserve">scored on the K6 total </w:t>
      </w:r>
      <w:proofErr w:type="gramStart"/>
      <w:r w:rsidRPr="007F04B7">
        <w:t>score;</w:t>
      </w:r>
      <w:proofErr w:type="gramEnd"/>
    </w:p>
    <w:p w14:paraId="6B121FF8" w14:textId="7EE0981C" w:rsidR="00F0487C" w:rsidRPr="007F04B7" w:rsidRDefault="00A02037" w:rsidP="00634B19">
      <w:pPr>
        <w:pStyle w:val="ANorm"/>
        <w:numPr>
          <w:ilvl w:val="0"/>
          <w:numId w:val="9"/>
        </w:numPr>
      </w:pPr>
      <w:r w:rsidRPr="007F04B7">
        <w:t>2.16, 2.21, and 2.29 times</w:t>
      </w:r>
      <w:r w:rsidR="00F0487C" w:rsidRPr="007F04B7">
        <w:t xml:space="preserve"> </w:t>
      </w:r>
      <w:r w:rsidRPr="007F04B7">
        <w:t>higher for those who were prepared to make changes, reporting</w:t>
      </w:r>
      <w:r w:rsidR="00F0487C" w:rsidRPr="007F04B7">
        <w:t xml:space="preserve"> </w:t>
      </w:r>
      <w:r w:rsidRPr="007F04B7">
        <w:t>that they were already making changes, and who reported being</w:t>
      </w:r>
      <w:r w:rsidR="00F0487C" w:rsidRPr="007F04B7">
        <w:t xml:space="preserve"> </w:t>
      </w:r>
      <w:r w:rsidRPr="007F04B7">
        <w:t>in relapse and seeking further assistance, respectively, relative</w:t>
      </w:r>
      <w:r w:rsidR="00F0487C" w:rsidRPr="007F04B7">
        <w:t xml:space="preserve"> </w:t>
      </w:r>
      <w:r w:rsidRPr="007F04B7">
        <w:t xml:space="preserve">to those who were disinterested or </w:t>
      </w:r>
      <w:proofErr w:type="gramStart"/>
      <w:r w:rsidRPr="007F04B7">
        <w:t>indifferent;</w:t>
      </w:r>
      <w:proofErr w:type="gramEnd"/>
    </w:p>
    <w:p w14:paraId="49342FC5" w14:textId="0E339EEE" w:rsidR="00F0487C" w:rsidRPr="007F04B7" w:rsidRDefault="00A02037" w:rsidP="00634B19">
      <w:pPr>
        <w:pStyle w:val="ANorm"/>
        <w:numPr>
          <w:ilvl w:val="0"/>
          <w:numId w:val="9"/>
        </w:numPr>
      </w:pPr>
      <w:r w:rsidRPr="007F04B7">
        <w:t>1.92, 1.35, and</w:t>
      </w:r>
      <w:r w:rsidR="00F0487C" w:rsidRPr="007F04B7">
        <w:t xml:space="preserve"> </w:t>
      </w:r>
      <w:r w:rsidRPr="007F04B7">
        <w:t>1.26 times higher for those who rated their quality of life as</w:t>
      </w:r>
      <w:r w:rsidR="00F0487C" w:rsidRPr="007F04B7">
        <w:t xml:space="preserve"> </w:t>
      </w:r>
      <w:r w:rsidRPr="007F04B7">
        <w:t xml:space="preserve">very poor, poor, and neither poor </w:t>
      </w:r>
      <w:r w:rsidR="00140FDD" w:rsidRPr="007F04B7">
        <w:t>nor</w:t>
      </w:r>
      <w:r w:rsidRPr="007F04B7">
        <w:t xml:space="preserve"> good, respectively, relative</w:t>
      </w:r>
      <w:r w:rsidR="00F0487C" w:rsidRPr="007F04B7">
        <w:t xml:space="preserve"> </w:t>
      </w:r>
      <w:r w:rsidRPr="007F04B7">
        <w:t xml:space="preserve">to those who gave a rating of very </w:t>
      </w:r>
      <w:proofErr w:type="gramStart"/>
      <w:r w:rsidRPr="007F04B7">
        <w:t>good;</w:t>
      </w:r>
      <w:proofErr w:type="gramEnd"/>
    </w:p>
    <w:p w14:paraId="4856E924" w14:textId="79CC953E" w:rsidR="00F0487C" w:rsidRPr="007F04B7" w:rsidRDefault="00A02037" w:rsidP="00634B19">
      <w:pPr>
        <w:pStyle w:val="ANorm"/>
        <w:numPr>
          <w:ilvl w:val="0"/>
          <w:numId w:val="9"/>
        </w:numPr>
      </w:pPr>
      <w:r w:rsidRPr="007F04B7">
        <w:t>1.55 and 1.53 times</w:t>
      </w:r>
      <w:r w:rsidR="00F0487C" w:rsidRPr="007F04B7">
        <w:t xml:space="preserve"> </w:t>
      </w:r>
      <w:r w:rsidRPr="007F04B7">
        <w:t>higher for married and single individuals, respectively, relative</w:t>
      </w:r>
      <w:r w:rsidR="00F0487C" w:rsidRPr="007F04B7">
        <w:t xml:space="preserve"> </w:t>
      </w:r>
      <w:r w:rsidRPr="007F04B7">
        <w:t xml:space="preserve">to those reporting some other relationship status </w:t>
      </w:r>
      <w:r w:rsidR="00140FDD" w:rsidRPr="007F04B7">
        <w:t>(compared with those married, single, cohabitating, not living together, separated/divorced, widowed</w:t>
      </w:r>
      <w:proofErr w:type="gramStart"/>
      <w:r w:rsidR="00140FDD" w:rsidRPr="007F04B7">
        <w:t>)</w:t>
      </w:r>
      <w:r w:rsidRPr="007F04B7">
        <w:t>;</w:t>
      </w:r>
      <w:proofErr w:type="gramEnd"/>
    </w:p>
    <w:p w14:paraId="036A636C" w14:textId="338CCD1E" w:rsidR="00F0487C" w:rsidRPr="007F04B7" w:rsidRDefault="00A02037" w:rsidP="00634B19">
      <w:pPr>
        <w:pStyle w:val="ANorm"/>
        <w:numPr>
          <w:ilvl w:val="0"/>
          <w:numId w:val="9"/>
        </w:numPr>
      </w:pPr>
      <w:r w:rsidRPr="007F04B7">
        <w:t>1.18 times higher for those indicating that they learn</w:t>
      </w:r>
      <w:r w:rsidR="00F0487C" w:rsidRPr="007F04B7">
        <w:t xml:space="preserve"> </w:t>
      </w:r>
      <w:r w:rsidRPr="007F04B7">
        <w:t>best by reading relative to those who said they learn best by</w:t>
      </w:r>
      <w:r w:rsidR="00F0487C" w:rsidRPr="007F04B7">
        <w:t xml:space="preserve"> </w:t>
      </w:r>
      <w:r w:rsidRPr="007F04B7">
        <w:t>doing; and</w:t>
      </w:r>
    </w:p>
    <w:p w14:paraId="731E13D1" w14:textId="7924CFCF" w:rsidR="00F0487C" w:rsidRPr="007F04B7" w:rsidRDefault="00A02037" w:rsidP="002029DC">
      <w:pPr>
        <w:pStyle w:val="ANorm"/>
        <w:numPr>
          <w:ilvl w:val="0"/>
          <w:numId w:val="9"/>
        </w:numPr>
        <w:spacing w:after="200"/>
      </w:pPr>
      <w:r w:rsidRPr="007F04B7">
        <w:t>1.19 times higher for those who identified</w:t>
      </w:r>
      <w:r w:rsidR="00F0487C" w:rsidRPr="007F04B7">
        <w:t xml:space="preserve"> </w:t>
      </w:r>
      <w:r w:rsidRPr="007F04B7">
        <w:t>themselves as non</w:t>
      </w:r>
      <w:r w:rsidR="00F0487C" w:rsidRPr="007F04B7">
        <w:t>-</w:t>
      </w:r>
      <w:r w:rsidRPr="007F04B7">
        <w:t>smokers.</w:t>
      </w:r>
      <w:r w:rsidR="00B81CB1" w:rsidRPr="007F04B7">
        <w:fldChar w:fldCharType="begin">
          <w:fldData xml:space="preserve">PEVuZE5vdGU+PENpdGU+PEF1dGhvcj5BbC1Bc2FkaTwvQXV0aG9yPjxZZWFyPjIwMTQ8L1llYXI+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</w:fldData>
        </w:fldChar>
      </w:r>
      <w:r w:rsidR="004469A2">
        <w:instrText xml:space="preserve"> ADDIN EN.CITE </w:instrText>
      </w:r>
      <w:r w:rsidR="004469A2">
        <w:fldChar w:fldCharType="begin">
          <w:fldData xml:space="preserve">PEVuZE5vdGU+PENpdGU+PEF1dGhvcj5BbC1Bc2FkaTwvQXV0aG9yPjxZZWFyPjIwMTQ8L1llYXI+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</w:fldData>
        </w:fldChar>
      </w:r>
      <w:r w:rsidR="004469A2">
        <w:instrText xml:space="preserve"> ADDIN EN.CITE.DATA </w:instrText>
      </w:r>
      <w:r w:rsidR="004469A2">
        <w:fldChar w:fldCharType="end"/>
      </w:r>
      <w:r w:rsidR="00B81CB1" w:rsidRPr="007F04B7">
        <w:fldChar w:fldCharType="separate"/>
      </w:r>
      <w:r w:rsidR="004469A2" w:rsidRPr="004469A2">
        <w:rPr>
          <w:noProof/>
          <w:vertAlign w:val="superscript"/>
        </w:rPr>
        <w:t>42</w:t>
      </w:r>
      <w:r w:rsidR="00B81CB1" w:rsidRPr="007F04B7">
        <w:fldChar w:fldCharType="end"/>
      </w:r>
    </w:p>
    <w:p w14:paraId="7E81C289" w14:textId="54128028" w:rsidR="000C1FB7" w:rsidRPr="007F04B7" w:rsidRDefault="00D375FD" w:rsidP="002029DC">
      <w:pPr>
        <w:pStyle w:val="ANorm"/>
        <w:spacing w:after="200"/>
      </w:pPr>
      <w:r w:rsidRPr="007F04B7">
        <w:t>Of the 3,880 enrolled (including 135 in therapist-supported) treatment, 142 formally dropped out resulting in a during treatment dropout rate of 4.25%.</w:t>
      </w:r>
      <w:r w:rsidR="00B81CB1" w:rsidRPr="007F04B7">
        <w:fldChar w:fldCharType="begin">
          <w:fldData xml:space="preserve">PEVuZE5vdGU+PENpdGU+PEF1dGhvcj5BbC1Bc2FkaTwvQXV0aG9yPjxZZWFyPjIwMTQ8L1llYXI+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</w:fldData>
        </w:fldChar>
      </w:r>
      <w:r w:rsidR="004469A2">
        <w:instrText xml:space="preserve"> ADDIN EN.CITE </w:instrText>
      </w:r>
      <w:r w:rsidR="004469A2">
        <w:fldChar w:fldCharType="begin">
          <w:fldData xml:space="preserve">PEVuZE5vdGU+PENpdGU+PEF1dGhvcj5BbC1Bc2FkaTwvQXV0aG9yPjxZZWFyPjIwMTQ8L1llYXI+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</w:fldData>
        </w:fldChar>
      </w:r>
      <w:r w:rsidR="004469A2">
        <w:instrText xml:space="preserve"> ADDIN EN.CITE.DATA </w:instrText>
      </w:r>
      <w:r w:rsidR="004469A2">
        <w:fldChar w:fldCharType="end"/>
      </w:r>
      <w:r w:rsidR="00B81CB1" w:rsidRPr="007F04B7">
        <w:fldChar w:fldCharType="separate"/>
      </w:r>
      <w:r w:rsidR="004469A2" w:rsidRPr="004469A2">
        <w:rPr>
          <w:noProof/>
          <w:vertAlign w:val="superscript"/>
        </w:rPr>
        <w:t>42</w:t>
      </w:r>
      <w:r w:rsidR="00B81CB1" w:rsidRPr="007F04B7">
        <w:fldChar w:fldCharType="end"/>
      </w:r>
      <w:r w:rsidRPr="007F04B7">
        <w:t xml:space="preserve"> </w:t>
      </w:r>
      <w:r w:rsidR="003464D9" w:rsidRPr="007F04B7">
        <w:t xml:space="preserve">Two smaller studies </w:t>
      </w:r>
      <w:r w:rsidR="00EE6A2E" w:rsidRPr="007F04B7">
        <w:t xml:space="preserve">by </w:t>
      </w:r>
      <w:r w:rsidR="000C1FB7" w:rsidRPr="007F04B7">
        <w:rPr>
          <w:rFonts w:asciiTheme="minorHAnsi" w:hAnsiTheme="minorHAnsi" w:cstheme="minorHAnsi"/>
        </w:rPr>
        <w:t xml:space="preserve">Klein </w:t>
      </w:r>
      <w:r w:rsidR="0065750D">
        <w:rPr>
          <w:rFonts w:asciiTheme="minorHAnsi" w:hAnsiTheme="minorHAnsi" w:cstheme="minorHAnsi"/>
        </w:rPr>
        <w:t>et al</w:t>
      </w:r>
      <w:r w:rsidR="00EE6A2E" w:rsidRPr="007F04B7">
        <w:rPr>
          <w:rFonts w:asciiTheme="minorHAnsi" w:hAnsiTheme="minorHAnsi" w:cstheme="minorHAnsi"/>
        </w:rPr>
        <w:t xml:space="preserve"> (</w:t>
      </w:r>
      <w:r w:rsidR="000C1FB7" w:rsidRPr="007F04B7">
        <w:rPr>
          <w:rFonts w:asciiTheme="minorHAnsi" w:hAnsiTheme="minorHAnsi" w:cstheme="minorHAnsi"/>
        </w:rPr>
        <w:t>2010</w:t>
      </w:r>
      <w:r w:rsidR="00EE6A2E" w:rsidRPr="007F04B7">
        <w:rPr>
          <w:rFonts w:asciiTheme="minorHAnsi" w:hAnsiTheme="minorHAnsi" w:cstheme="minorHAnsi"/>
        </w:rPr>
        <w:t>)</w:t>
      </w:r>
      <w:r w:rsidR="000C1FB7" w:rsidRPr="007F04B7">
        <w:rPr>
          <w:rFonts w:asciiTheme="minorHAnsi" w:hAnsiTheme="minorHAnsi" w:cstheme="minorHAnsi"/>
        </w:rPr>
        <w:t xml:space="preserve"> and </w:t>
      </w:r>
      <w:r w:rsidR="00EE6A2E" w:rsidRPr="007F04B7">
        <w:rPr>
          <w:rFonts w:asciiTheme="minorHAnsi" w:hAnsiTheme="minorHAnsi" w:cstheme="minorHAnsi"/>
        </w:rPr>
        <w:t xml:space="preserve">Kyrios </w:t>
      </w:r>
      <w:r w:rsidR="0065750D">
        <w:rPr>
          <w:rFonts w:asciiTheme="minorHAnsi" w:hAnsiTheme="minorHAnsi" w:cstheme="minorHAnsi"/>
        </w:rPr>
        <w:t>et al</w:t>
      </w:r>
      <w:r w:rsidR="00EE6A2E" w:rsidRPr="007F04B7">
        <w:rPr>
          <w:rFonts w:asciiTheme="minorHAnsi" w:hAnsiTheme="minorHAnsi" w:cstheme="minorHAnsi"/>
        </w:rPr>
        <w:t xml:space="preserve"> (2018) </w:t>
      </w:r>
      <w:r w:rsidR="007D57C0" w:rsidRPr="007F04B7">
        <w:rPr>
          <w:rFonts w:asciiTheme="minorHAnsi" w:hAnsiTheme="minorHAnsi" w:cstheme="minorHAnsi"/>
        </w:rPr>
        <w:t xml:space="preserve">also demonstrated high </w:t>
      </w:r>
      <w:r w:rsidR="000C1FB7" w:rsidRPr="007F04B7">
        <w:rPr>
          <w:rFonts w:asciiTheme="minorHAnsi" w:hAnsiTheme="minorHAnsi" w:cstheme="minorHAnsi"/>
        </w:rPr>
        <w:t>treatment completion rate</w:t>
      </w:r>
      <w:r w:rsidR="007D57C0" w:rsidRPr="007F04B7">
        <w:rPr>
          <w:rFonts w:asciiTheme="minorHAnsi" w:hAnsiTheme="minorHAnsi" w:cstheme="minorHAnsi"/>
        </w:rPr>
        <w:t>s</w:t>
      </w:r>
      <w:r w:rsidR="000C1FB7" w:rsidRPr="007F04B7">
        <w:rPr>
          <w:rFonts w:asciiTheme="minorHAnsi" w:hAnsiTheme="minorHAnsi" w:cstheme="minorHAnsi"/>
        </w:rPr>
        <w:t>, with 73% (16/22) completing all 10 modules</w:t>
      </w:r>
      <w:r w:rsidR="00B81CB1" w:rsidRPr="007F04B7">
        <w:rPr>
          <w:rFonts w:asciiTheme="minorHAnsi" w:hAnsiTheme="minorHAnsi" w:cstheme="minorHAnsi"/>
        </w:rPr>
        <w:fldChar w:fldCharType="begin">
          <w:fldData xml:space="preserve">PEVuZE5vdGU+PENpdGU+PEF1dGhvcj5LbGVpbjwvQXV0aG9yPjxZZWFyPjIwMTA8L1llYXI+PFJl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</w:fldData>
        </w:fldChar>
      </w:r>
      <w:r w:rsidR="004469A2">
        <w:rPr>
          <w:rFonts w:asciiTheme="minorHAnsi" w:hAnsiTheme="minorHAnsi" w:cstheme="minorHAnsi"/>
        </w:rPr>
        <w:instrText xml:space="preserve"> ADDIN EN.CITE </w:instrText>
      </w:r>
      <w:r w:rsidR="004469A2">
        <w:rPr>
          <w:rFonts w:asciiTheme="minorHAnsi" w:hAnsiTheme="minorHAnsi" w:cstheme="minorHAnsi"/>
        </w:rPr>
        <w:fldChar w:fldCharType="begin">
          <w:fldData xml:space="preserve">PEVuZE5vdGU+PENpdGU+PEF1dGhvcj5LbGVpbjwvQXV0aG9yPjxZZWFyPjIwMTA8L1llYXI+PFJl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</w:fldData>
        </w:fldChar>
      </w:r>
      <w:r w:rsidR="004469A2">
        <w:rPr>
          <w:rFonts w:asciiTheme="minorHAnsi" w:hAnsiTheme="minorHAnsi" w:cstheme="minorHAnsi"/>
        </w:rPr>
        <w:instrText xml:space="preserve"> ADDIN EN.CITE.DATA </w:instrText>
      </w:r>
      <w:r w:rsidR="004469A2">
        <w:rPr>
          <w:rFonts w:asciiTheme="minorHAnsi" w:hAnsiTheme="minorHAnsi" w:cstheme="minorHAnsi"/>
        </w:rPr>
      </w:r>
      <w:r w:rsidR="004469A2">
        <w:rPr>
          <w:rFonts w:asciiTheme="minorHAnsi" w:hAnsiTheme="minorHAnsi" w:cstheme="minorHAnsi"/>
        </w:rPr>
        <w:fldChar w:fldCharType="end"/>
      </w:r>
      <w:r w:rsidR="00B81CB1" w:rsidRPr="007F04B7">
        <w:rPr>
          <w:rFonts w:asciiTheme="minorHAnsi" w:hAnsiTheme="minorHAnsi" w:cstheme="minorHAnsi"/>
        </w:rPr>
      </w:r>
      <w:r w:rsidR="00B81CB1" w:rsidRPr="007F04B7">
        <w:rPr>
          <w:rFonts w:asciiTheme="minorHAnsi" w:hAnsiTheme="minorHAnsi" w:cstheme="minorHAnsi"/>
        </w:rPr>
        <w:fldChar w:fldCharType="separate"/>
      </w:r>
      <w:r w:rsidR="004469A2" w:rsidRPr="004469A2">
        <w:rPr>
          <w:rFonts w:asciiTheme="minorHAnsi" w:hAnsiTheme="minorHAnsi" w:cstheme="minorHAnsi"/>
          <w:noProof/>
          <w:vertAlign w:val="superscript"/>
        </w:rPr>
        <w:t>45</w:t>
      </w:r>
      <w:r w:rsidR="00B81CB1" w:rsidRPr="007F04B7">
        <w:rPr>
          <w:rFonts w:asciiTheme="minorHAnsi" w:hAnsiTheme="minorHAnsi" w:cstheme="minorHAnsi"/>
        </w:rPr>
        <w:fldChar w:fldCharType="end"/>
      </w:r>
      <w:r w:rsidR="000C1FB7" w:rsidRPr="007F04B7">
        <w:rPr>
          <w:rFonts w:asciiTheme="minorHAnsi" w:hAnsiTheme="minorHAnsi" w:cstheme="minorHAnsi"/>
        </w:rPr>
        <w:t xml:space="preserve"> </w:t>
      </w:r>
      <w:r w:rsidR="00357417" w:rsidRPr="007F04B7">
        <w:rPr>
          <w:rFonts w:asciiTheme="minorHAnsi" w:hAnsiTheme="minorHAnsi" w:cstheme="minorHAnsi"/>
        </w:rPr>
        <w:t>and</w:t>
      </w:r>
      <w:r w:rsidR="000C1FB7" w:rsidRPr="007F04B7">
        <w:rPr>
          <w:rFonts w:asciiTheme="minorHAnsi" w:hAnsiTheme="minorHAnsi" w:cstheme="minorHAnsi"/>
        </w:rPr>
        <w:t xml:space="preserve"> only 7% (</w:t>
      </w:r>
      <w:r w:rsidR="000C1FB7" w:rsidRPr="007F04B7">
        <w:rPr>
          <w:rFonts w:cs="Calibri"/>
          <w:color w:val="000000"/>
        </w:rPr>
        <w:t>6/89)</w:t>
      </w:r>
      <w:r w:rsidR="000C1FB7" w:rsidRPr="007F04B7">
        <w:rPr>
          <w:rFonts w:cs="Calibri"/>
          <w:color w:val="000000"/>
          <w:sz w:val="22"/>
          <w:szCs w:val="22"/>
        </w:rPr>
        <w:t xml:space="preserve"> </w:t>
      </w:r>
      <w:r w:rsidR="000C1FB7" w:rsidRPr="007F04B7">
        <w:rPr>
          <w:rFonts w:asciiTheme="minorHAnsi" w:hAnsiTheme="minorHAnsi" w:cstheme="minorHAnsi"/>
        </w:rPr>
        <w:t>discontinuing treatment</w:t>
      </w:r>
      <w:r w:rsidR="00357417" w:rsidRPr="007F04B7">
        <w:rPr>
          <w:rFonts w:asciiTheme="minorHAnsi" w:hAnsiTheme="minorHAnsi" w:cstheme="minorHAnsi"/>
        </w:rPr>
        <w:t>,</w:t>
      </w:r>
      <w:r w:rsidR="00B81CB1" w:rsidRPr="007F04B7">
        <w:rPr>
          <w:rFonts w:asciiTheme="minorHAnsi" w:hAnsiTheme="minorHAnsi" w:cstheme="minorHAnsi"/>
        </w:rPr>
        <w:fldChar w:fldCharType="begin">
          <w:fldData xml:space="preserve">PEVuZE5vdGU+PENpdGU+PEF1dGhvcj5LeXJpb3M8L0F1dGhvcj48WWVhcj4yMDE4PC9ZZWFyPjxS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</w:fldData>
        </w:fldChar>
      </w:r>
      <w:r w:rsidR="004469A2">
        <w:rPr>
          <w:rFonts w:asciiTheme="minorHAnsi" w:hAnsiTheme="minorHAnsi" w:cstheme="minorHAnsi"/>
        </w:rPr>
        <w:instrText xml:space="preserve"> ADDIN EN.CITE </w:instrText>
      </w:r>
      <w:r w:rsidR="004469A2">
        <w:rPr>
          <w:rFonts w:asciiTheme="minorHAnsi" w:hAnsiTheme="minorHAnsi" w:cstheme="minorHAnsi"/>
        </w:rPr>
        <w:fldChar w:fldCharType="begin">
          <w:fldData xml:space="preserve">PEVuZE5vdGU+PENpdGU+PEF1dGhvcj5LeXJpb3M8L0F1dGhvcj48WWVhcj4yMDE4PC9ZZWFyPjxS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</w:fldData>
        </w:fldChar>
      </w:r>
      <w:r w:rsidR="004469A2">
        <w:rPr>
          <w:rFonts w:asciiTheme="minorHAnsi" w:hAnsiTheme="minorHAnsi" w:cstheme="minorHAnsi"/>
        </w:rPr>
        <w:instrText xml:space="preserve"> ADDIN EN.CITE.DATA </w:instrText>
      </w:r>
      <w:r w:rsidR="004469A2">
        <w:rPr>
          <w:rFonts w:asciiTheme="minorHAnsi" w:hAnsiTheme="minorHAnsi" w:cstheme="minorHAnsi"/>
        </w:rPr>
      </w:r>
      <w:r w:rsidR="004469A2">
        <w:rPr>
          <w:rFonts w:asciiTheme="minorHAnsi" w:hAnsiTheme="minorHAnsi" w:cstheme="minorHAnsi"/>
        </w:rPr>
        <w:fldChar w:fldCharType="end"/>
      </w:r>
      <w:r w:rsidR="00B81CB1" w:rsidRPr="007F04B7">
        <w:rPr>
          <w:rFonts w:asciiTheme="minorHAnsi" w:hAnsiTheme="minorHAnsi" w:cstheme="minorHAnsi"/>
        </w:rPr>
      </w:r>
      <w:r w:rsidR="00B81CB1" w:rsidRPr="007F04B7">
        <w:rPr>
          <w:rFonts w:asciiTheme="minorHAnsi" w:hAnsiTheme="minorHAnsi" w:cstheme="minorHAnsi"/>
        </w:rPr>
        <w:fldChar w:fldCharType="separate"/>
      </w:r>
      <w:r w:rsidR="004469A2" w:rsidRPr="004469A2">
        <w:rPr>
          <w:rFonts w:asciiTheme="minorHAnsi" w:hAnsiTheme="minorHAnsi" w:cstheme="minorHAnsi"/>
          <w:noProof/>
          <w:vertAlign w:val="superscript"/>
        </w:rPr>
        <w:t>46</w:t>
      </w:r>
      <w:r w:rsidR="00B81CB1" w:rsidRPr="007F04B7">
        <w:rPr>
          <w:rFonts w:asciiTheme="minorHAnsi" w:hAnsiTheme="minorHAnsi" w:cstheme="minorHAnsi"/>
        </w:rPr>
        <w:fldChar w:fldCharType="end"/>
      </w:r>
      <w:r w:rsidR="000C1FB7" w:rsidRPr="007F04B7">
        <w:rPr>
          <w:rFonts w:asciiTheme="minorHAnsi" w:hAnsiTheme="minorHAnsi" w:cstheme="minorHAnsi"/>
        </w:rPr>
        <w:t xml:space="preserve"> </w:t>
      </w:r>
      <w:r w:rsidR="00357417" w:rsidRPr="007F04B7">
        <w:rPr>
          <w:rFonts w:asciiTheme="minorHAnsi" w:hAnsiTheme="minorHAnsi" w:cstheme="minorHAnsi"/>
        </w:rPr>
        <w:t>respectively.</w:t>
      </w:r>
    </w:p>
    <w:p w14:paraId="5F6A039B" w14:textId="2A1A3ACC" w:rsidR="00F0487C" w:rsidRPr="00741A6A" w:rsidRDefault="00C612A3" w:rsidP="002029DC">
      <w:pPr>
        <w:pStyle w:val="ANorm"/>
        <w:spacing w:after="200"/>
      </w:pPr>
      <w:r w:rsidRPr="007F04B7">
        <w:t xml:space="preserve">Al </w:t>
      </w:r>
      <w:proofErr w:type="spellStart"/>
      <w:r w:rsidRPr="007F04B7">
        <w:t>Asadi</w:t>
      </w:r>
      <w:proofErr w:type="spellEnd"/>
      <w:r w:rsidRPr="007F04B7">
        <w:t xml:space="preserve"> </w:t>
      </w:r>
      <w:r w:rsidR="0065750D">
        <w:t>et al</w:t>
      </w:r>
      <w:r w:rsidRPr="007F04B7">
        <w:t xml:space="preserve"> (2014) </w:t>
      </w:r>
      <w:r w:rsidR="002A5E64" w:rsidRPr="007F04B7">
        <w:t>also found that t</w:t>
      </w:r>
      <w:r w:rsidR="00741A6A" w:rsidRPr="007F04B7">
        <w:t xml:space="preserve">hose who </w:t>
      </w:r>
      <w:r w:rsidR="00FD4A10" w:rsidRPr="007F04B7">
        <w:t>dropped out of</w:t>
      </w:r>
      <w:r w:rsidR="00741A6A" w:rsidRPr="007F04B7">
        <w:t xml:space="preserve"> treatment differed significantly (</w:t>
      </w:r>
      <w:r w:rsidR="00FD4A10" w:rsidRPr="007F04B7">
        <w:t>p</w:t>
      </w:r>
      <w:r w:rsidR="00741A6A" w:rsidRPr="007F04B7">
        <w:t>=.002</w:t>
      </w:r>
      <w:r w:rsidR="004C7F8B" w:rsidRPr="007F04B7">
        <w:t xml:space="preserve"> to p</w:t>
      </w:r>
      <w:r w:rsidR="002B5D01" w:rsidRPr="007F04B7">
        <w:t>=</w:t>
      </w:r>
      <w:r w:rsidR="00F461A8" w:rsidRPr="007F04B7">
        <w:t>0</w:t>
      </w:r>
      <w:r w:rsidR="00741A6A" w:rsidRPr="007F04B7">
        <w:t>.03) from those who did not formally withdraw</w:t>
      </w:r>
      <w:r w:rsidR="00CA12C2" w:rsidRPr="007F04B7">
        <w:t>.</w:t>
      </w:r>
      <w:r w:rsidR="00B81CB1" w:rsidRPr="007F04B7">
        <w:fldChar w:fldCharType="begin">
          <w:fldData xml:space="preserve">PEVuZE5vdGU+PENpdGU+PEF1dGhvcj5BbC1Bc2FkaTwvQXV0aG9yPjxZZWFyPjIwMTQ8L1llYXI+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</w:fldData>
        </w:fldChar>
      </w:r>
      <w:r w:rsidR="004469A2">
        <w:instrText xml:space="preserve"> ADDIN EN.CITE </w:instrText>
      </w:r>
      <w:r w:rsidR="004469A2">
        <w:fldChar w:fldCharType="begin">
          <w:fldData xml:space="preserve">PEVuZE5vdGU+PENpdGU+PEF1dGhvcj5BbC1Bc2FkaTwvQXV0aG9yPjxZZWFyPjIwMTQ8L1llYXI+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</w:fldData>
        </w:fldChar>
      </w:r>
      <w:r w:rsidR="004469A2">
        <w:instrText xml:space="preserve"> ADDIN EN.CITE.DATA </w:instrText>
      </w:r>
      <w:r w:rsidR="004469A2">
        <w:fldChar w:fldCharType="end"/>
      </w:r>
      <w:r w:rsidR="00B81CB1" w:rsidRPr="007F04B7">
        <w:fldChar w:fldCharType="separate"/>
      </w:r>
      <w:r w:rsidR="004469A2" w:rsidRPr="004469A2">
        <w:rPr>
          <w:noProof/>
          <w:vertAlign w:val="superscript"/>
        </w:rPr>
        <w:t>42</w:t>
      </w:r>
      <w:r w:rsidR="00B81CB1" w:rsidRPr="007F04B7">
        <w:fldChar w:fldCharType="end"/>
      </w:r>
      <w:r w:rsidR="00CA12C2" w:rsidRPr="007F04B7">
        <w:t xml:space="preserve"> Specifically</w:t>
      </w:r>
      <w:r w:rsidR="00A42194" w:rsidRPr="007F04B7">
        <w:t>,</w:t>
      </w:r>
      <w:r w:rsidR="00741A6A" w:rsidRPr="007F04B7">
        <w:t xml:space="preserve"> they were less likely to</w:t>
      </w:r>
      <w:r w:rsidR="00CA12C2" w:rsidRPr="007F04B7">
        <w:t>:</w:t>
      </w:r>
      <w:r w:rsidR="00741A6A" w:rsidRPr="007F04B7">
        <w:t xml:space="preserve"> express concerns about anxiety, stress, and depression; rate their quality of life as very poor,</w:t>
      </w:r>
      <w:r w:rsidR="00F0487C" w:rsidRPr="007F04B7">
        <w:t xml:space="preserve"> </w:t>
      </w:r>
      <w:r w:rsidR="00741A6A" w:rsidRPr="007F04B7">
        <w:t>poor, or good; report adequate level</w:t>
      </w:r>
      <w:r w:rsidR="00A378E1" w:rsidRPr="007F04B7">
        <w:t>s</w:t>
      </w:r>
      <w:r w:rsidR="00741A6A" w:rsidRPr="007F04B7">
        <w:t xml:space="preserve"> of social support; and report readiness to make or were in the process of making changes.</w:t>
      </w:r>
      <w:r w:rsidR="00B81CB1" w:rsidRPr="007F04B7">
        <w:fldChar w:fldCharType="begin">
          <w:fldData xml:space="preserve">PEVuZE5vdGU+PENpdGU+PEF1dGhvcj5BbC1Bc2FkaTwvQXV0aG9yPjxZZWFyPjIwMTQ8L1llYXI+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</w:fldData>
        </w:fldChar>
      </w:r>
      <w:r w:rsidR="004469A2">
        <w:instrText xml:space="preserve"> ADDIN EN.CITE </w:instrText>
      </w:r>
      <w:r w:rsidR="004469A2">
        <w:fldChar w:fldCharType="begin">
          <w:fldData xml:space="preserve">PEVuZE5vdGU+PENpdGU+PEF1dGhvcj5BbC1Bc2FkaTwvQXV0aG9yPjxZZWFyPjIwMTQ8L1llYXI+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</w:fldData>
        </w:fldChar>
      </w:r>
      <w:r w:rsidR="004469A2">
        <w:instrText xml:space="preserve"> ADDIN EN.CITE.DATA </w:instrText>
      </w:r>
      <w:r w:rsidR="004469A2">
        <w:fldChar w:fldCharType="end"/>
      </w:r>
      <w:r w:rsidR="00B81CB1" w:rsidRPr="007F04B7">
        <w:fldChar w:fldCharType="separate"/>
      </w:r>
      <w:r w:rsidR="004469A2" w:rsidRPr="004469A2">
        <w:rPr>
          <w:noProof/>
          <w:vertAlign w:val="superscript"/>
        </w:rPr>
        <w:t>42</w:t>
      </w:r>
      <w:r w:rsidR="00B81CB1" w:rsidRPr="007F04B7">
        <w:fldChar w:fldCharType="end"/>
      </w:r>
    </w:p>
    <w:p w14:paraId="1A852C6A" w14:textId="77777777" w:rsidR="00E91864" w:rsidRDefault="00E91864">
      <w:pPr>
        <w:pStyle w:val="Heading3"/>
        <w:numPr>
          <w:ilvl w:val="2"/>
          <w:numId w:val="147"/>
        </w:numPr>
      </w:pPr>
      <w:r>
        <w:br w:type="page"/>
      </w:r>
    </w:p>
    <w:p w14:paraId="7B111043" w14:textId="6ED5060A" w:rsidR="00B15944" w:rsidRDefault="00BF1BF1" w:rsidP="005A16C4">
      <w:pPr>
        <w:pStyle w:val="Heading3"/>
        <w:numPr>
          <w:ilvl w:val="2"/>
          <w:numId w:val="167"/>
        </w:numPr>
      </w:pPr>
      <w:proofErr w:type="spellStart"/>
      <w:r w:rsidRPr="00AA6B28">
        <w:lastRenderedPageBreak/>
        <w:t>MindSpot</w:t>
      </w:r>
      <w:proofErr w:type="spellEnd"/>
    </w:p>
    <w:p w14:paraId="7CEF0160" w14:textId="0E343919" w:rsidR="00277CAB" w:rsidRDefault="006A7BE8" w:rsidP="0064044A">
      <w:pPr>
        <w:pStyle w:val="ANorm"/>
        <w:spacing w:after="200"/>
      </w:pPr>
      <w:r>
        <w:t xml:space="preserve">As shown in Table </w:t>
      </w:r>
      <w:r w:rsidR="006E553A">
        <w:t>1</w:t>
      </w:r>
      <w:r w:rsidR="003757B5">
        <w:t>2</w:t>
      </w:r>
      <w:r>
        <w:t xml:space="preserve">, of </w:t>
      </w:r>
      <w:r w:rsidR="00E6025C">
        <w:t xml:space="preserve">all </w:t>
      </w:r>
      <w:proofErr w:type="spellStart"/>
      <w:r>
        <w:t>MindSpot</w:t>
      </w:r>
      <w:proofErr w:type="spellEnd"/>
      <w:r>
        <w:t xml:space="preserve"> consumers commencing assessment from January 2013 to December 2019, around 27% </w:t>
      </w:r>
      <w:r w:rsidR="00BD62C0">
        <w:t>a</w:t>
      </w:r>
      <w:r>
        <w:t>re male and 73%, female.</w:t>
      </w:r>
      <w:r w:rsidR="00B81CB1">
        <w:fldChar w:fldCharType="begin"/>
      </w:r>
      <w:r w:rsidR="004469A2">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00B81CB1">
        <w:fldChar w:fldCharType="separate"/>
      </w:r>
      <w:r w:rsidR="004469A2" w:rsidRPr="004469A2">
        <w:rPr>
          <w:noProof/>
          <w:vertAlign w:val="superscript"/>
        </w:rPr>
        <w:t>7</w:t>
      </w:r>
      <w:r w:rsidR="00B81CB1">
        <w:fldChar w:fldCharType="end"/>
      </w:r>
      <w:r>
        <w:t xml:space="preserve"> </w:t>
      </w:r>
      <w:r w:rsidR="00037049">
        <w:t>The average age of these consumers is 36 years, with 55% aged 18-34 years.</w:t>
      </w:r>
      <w:r w:rsidR="00B81CB1">
        <w:fldChar w:fldCharType="begin"/>
      </w:r>
      <w:r w:rsidR="004469A2">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00B81CB1">
        <w:fldChar w:fldCharType="separate"/>
      </w:r>
      <w:r w:rsidR="004469A2" w:rsidRPr="004469A2">
        <w:rPr>
          <w:noProof/>
          <w:vertAlign w:val="superscript"/>
        </w:rPr>
        <w:t>7</w:t>
      </w:r>
      <w:r w:rsidR="00B81CB1">
        <w:fldChar w:fldCharType="end"/>
      </w:r>
      <w:r w:rsidR="00037049">
        <w:t xml:space="preserve"> Almost 4% are Aboriginal or Torres Strait Islander peoples, </w:t>
      </w:r>
      <w:r w:rsidR="008E1450">
        <w:t xml:space="preserve">22% are born overseas, </w:t>
      </w:r>
      <w:r w:rsidR="00037049">
        <w:t>19% reside in rural or remote locations</w:t>
      </w:r>
      <w:r w:rsidR="00D90C3F">
        <w:t xml:space="preserve">, </w:t>
      </w:r>
      <w:r w:rsidR="00A137B3">
        <w:t xml:space="preserve">32% are from New South Wales, </w:t>
      </w:r>
      <w:r w:rsidR="00D90C3F">
        <w:t>43% are not employed, 62% do not hold a university degree</w:t>
      </w:r>
      <w:r w:rsidR="00D55295">
        <w:t>,</w:t>
      </w:r>
      <w:r w:rsidR="00D90C3F">
        <w:t xml:space="preserve"> and 62% are not married or cohabitating.</w:t>
      </w:r>
      <w:r w:rsidR="00B81CB1">
        <w:fldChar w:fldCharType="begin"/>
      </w:r>
      <w:r w:rsidR="004469A2">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00B81CB1">
        <w:fldChar w:fldCharType="separate"/>
      </w:r>
      <w:r w:rsidR="004469A2" w:rsidRPr="004469A2">
        <w:rPr>
          <w:noProof/>
          <w:vertAlign w:val="superscript"/>
        </w:rPr>
        <w:t>7</w:t>
      </w:r>
      <w:r w:rsidR="00B81CB1">
        <w:fldChar w:fldCharType="end"/>
      </w:r>
    </w:p>
    <w:p w14:paraId="08E62B96" w14:textId="37ABE4D8" w:rsidR="000B30EC" w:rsidRDefault="00277CAB" w:rsidP="0064044A">
      <w:pPr>
        <w:pStyle w:val="ANorm"/>
        <w:spacing w:after="200"/>
      </w:pPr>
      <w:r>
        <w:t xml:space="preserve">In terms of clinical characteristics, </w:t>
      </w:r>
      <w:r w:rsidR="00A137B3">
        <w:t xml:space="preserve">overall, </w:t>
      </w:r>
      <w:proofErr w:type="spellStart"/>
      <w:r>
        <w:t>MindSpot</w:t>
      </w:r>
      <w:proofErr w:type="spellEnd"/>
      <w:r>
        <w:t xml:space="preserve"> consumers have very high psychological distress (K10)</w:t>
      </w:r>
      <w:r w:rsidR="00085654">
        <w:t>,</w:t>
      </w:r>
      <w:r>
        <w:t xml:space="preserve"> moderately severe depression (PHQ-9) and moderate anxiety (GAD-7)</w:t>
      </w:r>
      <w:r w:rsidR="008B5B3A">
        <w:t>. Almost</w:t>
      </w:r>
      <w:r>
        <w:t xml:space="preserve"> half (47%) are </w:t>
      </w:r>
      <w:r w:rsidR="00135F16">
        <w:t>consulting with a GP about their</w:t>
      </w:r>
      <w:r>
        <w:t xml:space="preserve"> mental health</w:t>
      </w:r>
      <w:r w:rsidR="000C0F14">
        <w:t xml:space="preserve">, over one-quarter </w:t>
      </w:r>
      <w:r w:rsidR="000B30EC">
        <w:t>take psychotropic medication</w:t>
      </w:r>
      <w:r>
        <w:t xml:space="preserve"> </w:t>
      </w:r>
      <w:r w:rsidR="00135F16">
        <w:t>and over one-third have never previously used mental health services</w:t>
      </w:r>
      <w:r>
        <w:t>.</w:t>
      </w:r>
      <w:r w:rsidR="00B81CB1">
        <w:fldChar w:fldCharType="begin"/>
      </w:r>
      <w:r w:rsidR="004469A2">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00B81CB1">
        <w:fldChar w:fldCharType="separate"/>
      </w:r>
      <w:r w:rsidR="004469A2" w:rsidRPr="004469A2">
        <w:rPr>
          <w:noProof/>
          <w:vertAlign w:val="superscript"/>
        </w:rPr>
        <w:t>7</w:t>
      </w:r>
      <w:r w:rsidR="00B81CB1">
        <w:fldChar w:fldCharType="end"/>
      </w:r>
      <w:r>
        <w:t xml:space="preserve"> </w:t>
      </w:r>
      <w:r w:rsidR="008A68FA" w:rsidRPr="008A68FA">
        <w:rPr>
          <w:rFonts w:cs="Calibri"/>
          <w:color w:val="000000"/>
        </w:rPr>
        <w:t xml:space="preserve">Around one in five of all consumers are referred or advised to use </w:t>
      </w:r>
      <w:proofErr w:type="spellStart"/>
      <w:r w:rsidR="008A68FA" w:rsidRPr="008A68FA">
        <w:rPr>
          <w:rFonts w:cs="Calibri"/>
          <w:color w:val="000000"/>
        </w:rPr>
        <w:t>MindSpot</w:t>
      </w:r>
      <w:proofErr w:type="spellEnd"/>
      <w:r w:rsidR="008A68FA" w:rsidRPr="008A68FA">
        <w:rPr>
          <w:rFonts w:cs="Calibri"/>
          <w:color w:val="000000"/>
        </w:rPr>
        <w:t xml:space="preserve"> by a GP or health professional.</w:t>
      </w:r>
      <w:r w:rsidR="00B81CB1">
        <w:rPr>
          <w:rFonts w:cs="Calibri"/>
          <w:color w:val="000000"/>
        </w:rPr>
        <w:fldChar w:fldCharType="begin"/>
      </w:r>
      <w:r w:rsidR="004469A2">
        <w:rPr>
          <w:rFonts w:cs="Calibri"/>
          <w:color w:val="000000"/>
        </w:rPr>
        <w:instrText xml:space="preserve"> ADDIN EN.CITE &lt;EndNote&gt;&lt;Cite&gt;&lt;Author&gt;MindSpot&lt;/Author&gt;&lt;Year&gt;2021&lt;/Year&gt;&lt;RecNum&gt;135&lt;/RecNum&gt;&lt;DisplayText&gt;&lt;style face="superscript"&gt;47&lt;/style&gt;&lt;/DisplayText&gt;&lt;record&gt;&lt;rec-number&gt;135&lt;/rec-number&gt;&lt;foreign-keys&gt;&lt;key app="EN" db-id="dawtr0zrkrzfa5edzzlpe2we0xa00t90vvr2" timestamp="1650282796"&gt;135&lt;/key&gt;&lt;/foreign-keys&gt;&lt;ref-type name="Report"&gt;27&lt;/ref-type&gt;&lt;contributors&gt;&lt;authors&gt;&lt;author&gt;MindSpot,&lt;/author&gt;&lt;/authors&gt;&lt;/contributors&gt;&lt;titles&gt;&lt;title&gt;University of Melbourne evaluation of supported digital mental health services&lt;/title&gt;&lt;/titles&gt;&lt;dates&gt;&lt;year&gt;2021&lt;/year&gt;&lt;/dates&gt;&lt;pub-location&gt;Sydney&lt;/pub-location&gt;&lt;publisher&gt;Macquarie University&lt;/publisher&gt;&lt;urls&gt;&lt;/urls&gt;&lt;/record&gt;&lt;/Cite&gt;&lt;/EndNote&gt;</w:instrText>
      </w:r>
      <w:r w:rsidR="00B81CB1">
        <w:rPr>
          <w:rFonts w:cs="Calibri"/>
          <w:color w:val="000000"/>
        </w:rPr>
        <w:fldChar w:fldCharType="separate"/>
      </w:r>
      <w:r w:rsidR="004469A2" w:rsidRPr="004469A2">
        <w:rPr>
          <w:rFonts w:cs="Calibri"/>
          <w:noProof/>
          <w:color w:val="000000"/>
          <w:vertAlign w:val="superscript"/>
        </w:rPr>
        <w:t>47</w:t>
      </w:r>
      <w:r w:rsidR="00B81CB1">
        <w:rPr>
          <w:rFonts w:cs="Calibri"/>
          <w:color w:val="000000"/>
        </w:rPr>
        <w:fldChar w:fldCharType="end"/>
      </w:r>
      <w:r w:rsidR="008A68FA">
        <w:rPr>
          <w:rFonts w:cs="Calibri"/>
          <w:color w:val="000000"/>
        </w:rPr>
        <w:t xml:space="preserve"> </w:t>
      </w:r>
      <w:r w:rsidR="000B30EC">
        <w:t>S</w:t>
      </w:r>
      <w:r w:rsidR="008A6AA4">
        <w:t>ignificant proportions have suicidal thoughts (32%) or a current suicidal plan (4%)</w:t>
      </w:r>
      <w:r w:rsidR="008A68FA">
        <w:t>;</w:t>
      </w:r>
      <w:r w:rsidR="001E25B1">
        <w:t xml:space="preserve"> or</w:t>
      </w:r>
      <w:r w:rsidR="008A6AA4">
        <w:t xml:space="preserve"> are experiencing psychosocial stressors (59% relationship, 58% vocational, 45% physical health and 38% financial)</w:t>
      </w:r>
      <w:r w:rsidR="001E25B1">
        <w:t>, which have resulted in 5.6 whole or 8.9 part days out of role in the previous month.</w:t>
      </w:r>
      <w:r w:rsidR="00B81CB1">
        <w:fldChar w:fldCharType="begin"/>
      </w:r>
      <w:r w:rsidR="004469A2">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00B81CB1">
        <w:fldChar w:fldCharType="separate"/>
      </w:r>
      <w:r w:rsidR="004469A2" w:rsidRPr="004469A2">
        <w:rPr>
          <w:noProof/>
          <w:vertAlign w:val="superscript"/>
        </w:rPr>
        <w:t>7</w:t>
      </w:r>
      <w:r w:rsidR="00B81CB1">
        <w:fldChar w:fldCharType="end"/>
      </w:r>
    </w:p>
    <w:p w14:paraId="2D91EB76" w14:textId="54628694" w:rsidR="000C0F14" w:rsidRPr="006F6DCB" w:rsidRDefault="00A137B3" w:rsidP="0064044A">
      <w:pPr>
        <w:pStyle w:val="ANorm"/>
        <w:spacing w:after="200"/>
      </w:pPr>
      <w:r>
        <w:t>T</w:t>
      </w:r>
      <w:r w:rsidR="000B30EC" w:rsidRPr="007B0FC2">
        <w:t xml:space="preserve">wo-thirds (67%) of </w:t>
      </w:r>
      <w:r>
        <w:t xml:space="preserve">all </w:t>
      </w:r>
      <w:r w:rsidR="000B30EC" w:rsidRPr="007B0FC2">
        <w:t xml:space="preserve">consumers report their main reason for using </w:t>
      </w:r>
      <w:proofErr w:type="spellStart"/>
      <w:r w:rsidR="000B30EC" w:rsidRPr="007B0FC2">
        <w:t>MindSpot</w:t>
      </w:r>
      <w:proofErr w:type="spellEnd"/>
      <w:r w:rsidR="000B30EC" w:rsidRPr="007B0FC2">
        <w:t xml:space="preserve"> is to obtain a confidential assessment and around 27%,</w:t>
      </w:r>
      <w:r w:rsidR="007B0FC2" w:rsidRPr="007B0FC2">
        <w:t xml:space="preserve"> for </w:t>
      </w:r>
      <w:r w:rsidR="000B30EC" w:rsidRPr="007B0FC2">
        <w:t>treatment</w:t>
      </w:r>
      <w:r w:rsidR="007B0FC2" w:rsidRPr="007B0FC2">
        <w:t>.</w:t>
      </w:r>
      <w:r w:rsidR="00B81CB1">
        <w:fldChar w:fldCharType="begin"/>
      </w:r>
      <w:r w:rsidR="004469A2">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00B81CB1">
        <w:fldChar w:fldCharType="separate"/>
      </w:r>
      <w:r w:rsidR="004469A2" w:rsidRPr="004469A2">
        <w:rPr>
          <w:noProof/>
          <w:vertAlign w:val="superscript"/>
        </w:rPr>
        <w:t>7</w:t>
      </w:r>
      <w:r w:rsidR="00B81CB1">
        <w:fldChar w:fldCharType="end"/>
      </w:r>
      <w:r w:rsidR="00951EEB" w:rsidRPr="008A68FA">
        <w:rPr>
          <w:rFonts w:cs="Calibri"/>
          <w:color w:val="000000"/>
        </w:rPr>
        <w:t xml:space="preserve"> </w:t>
      </w:r>
    </w:p>
    <w:p w14:paraId="3FDEDC85" w14:textId="4C00227D" w:rsidR="00813D02" w:rsidRPr="006F6DCB" w:rsidRDefault="00E6025C" w:rsidP="0064044A">
      <w:pPr>
        <w:pStyle w:val="ANorm"/>
        <w:spacing w:after="200"/>
      </w:pPr>
      <w:r w:rsidRPr="00813D02">
        <w:t xml:space="preserve">Compared with all consumers who start an assessment, those who start a </w:t>
      </w:r>
      <w:proofErr w:type="spellStart"/>
      <w:r w:rsidRPr="00813D02">
        <w:t>MindSpot</w:t>
      </w:r>
      <w:proofErr w:type="spellEnd"/>
      <w:r w:rsidRPr="00813D02">
        <w:t xml:space="preserve"> treatment course are slightly more likely to be female (</w:t>
      </w:r>
      <w:r w:rsidR="00C34AA8" w:rsidRPr="00813D02">
        <w:t>15,533/21,067</w:t>
      </w:r>
      <w:r w:rsidR="00813D02" w:rsidRPr="00813D02">
        <w:t xml:space="preserve">; </w:t>
      </w:r>
      <w:r w:rsidR="00C34AA8" w:rsidRPr="00813D02">
        <w:t>73.7</w:t>
      </w:r>
      <w:r w:rsidR="00813D02" w:rsidRPr="00813D02">
        <w:t xml:space="preserve">%), have an older </w:t>
      </w:r>
      <w:r w:rsidR="00497118" w:rsidRPr="00813D02">
        <w:t xml:space="preserve">average </w:t>
      </w:r>
      <w:r w:rsidR="00813D02" w:rsidRPr="00813D02">
        <w:t>age (</w:t>
      </w:r>
      <w:r w:rsidR="00C34AA8" w:rsidRPr="00813D02">
        <w:t>M=39.9</w:t>
      </w:r>
      <w:r w:rsidR="00813D02" w:rsidRPr="00813D02">
        <w:t xml:space="preserve">, </w:t>
      </w:r>
      <w:r w:rsidR="00C34AA8" w:rsidRPr="00813D02">
        <w:t xml:space="preserve">SD=13.7) </w:t>
      </w:r>
      <w:r w:rsidR="00813D02" w:rsidRPr="00813D02">
        <w:t>and experience a similar level of psychological distress (</w:t>
      </w:r>
      <w:r w:rsidR="00A0408B" w:rsidRPr="00813D02">
        <w:t>K10, M=30.2</w:t>
      </w:r>
      <w:r w:rsidR="00813D02" w:rsidRPr="00813D02">
        <w:t>,</w:t>
      </w:r>
      <w:r w:rsidR="00A0408B" w:rsidRPr="00813D02">
        <w:t xml:space="preserve"> SD=6.9)</w:t>
      </w:r>
      <w:r w:rsidR="00813D02" w:rsidRPr="00813D02">
        <w:t>.</w:t>
      </w:r>
      <w:r w:rsidR="00B81CB1">
        <w:fldChar w:fldCharType="begin"/>
      </w:r>
      <w:r w:rsidR="004469A2">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00B81CB1">
        <w:fldChar w:fldCharType="separate"/>
      </w:r>
      <w:r w:rsidR="004469A2" w:rsidRPr="004469A2">
        <w:rPr>
          <w:noProof/>
          <w:vertAlign w:val="superscript"/>
        </w:rPr>
        <w:t>7</w:t>
      </w:r>
      <w:r w:rsidR="00B81CB1">
        <w:fldChar w:fldCharType="end"/>
      </w:r>
      <w:r w:rsidR="00813D02">
        <w:t xml:space="preserve"> Note that all </w:t>
      </w:r>
      <w:proofErr w:type="spellStart"/>
      <w:r w:rsidR="00813D02">
        <w:t>MindSpot</w:t>
      </w:r>
      <w:proofErr w:type="spellEnd"/>
      <w:r w:rsidR="00813D02">
        <w:t xml:space="preserve"> treatment courses in this period offer</w:t>
      </w:r>
      <w:r w:rsidR="009E4663">
        <w:t>ed</w:t>
      </w:r>
      <w:r w:rsidR="00813D02">
        <w:t xml:space="preserve"> the option of therapist support</w:t>
      </w:r>
      <w:r w:rsidR="00B27897">
        <w:t>, but around one-third of consumers do not take up this support</w:t>
      </w:r>
      <w:r w:rsidR="00AD41C8">
        <w:t xml:space="preserve"> (N. </w:t>
      </w:r>
      <w:proofErr w:type="spellStart"/>
      <w:r w:rsidR="00AD41C8">
        <w:t>Titov</w:t>
      </w:r>
      <w:proofErr w:type="spellEnd"/>
      <w:r w:rsidR="00AD41C8">
        <w:t>, personal communication</w:t>
      </w:r>
      <w:r w:rsidR="00AD41C8" w:rsidRPr="003B4E39">
        <w:t xml:space="preserve">, </w:t>
      </w:r>
      <w:r w:rsidR="003B4E39" w:rsidRPr="003B4E39">
        <w:t>15 March</w:t>
      </w:r>
      <w:r w:rsidR="00AD41C8" w:rsidRPr="003B4E39">
        <w:t xml:space="preserve"> 2022)</w:t>
      </w:r>
      <w:r w:rsidR="00813D02" w:rsidRPr="003B4E39">
        <w:t>.</w:t>
      </w:r>
    </w:p>
    <w:p w14:paraId="792B262A" w14:textId="3D1C6A5F" w:rsidR="00710259" w:rsidRPr="007F04B7" w:rsidRDefault="00FF2B59" w:rsidP="005A16C4">
      <w:pPr>
        <w:pStyle w:val="Heading4"/>
        <w:numPr>
          <w:ilvl w:val="3"/>
          <w:numId w:val="167"/>
        </w:numPr>
        <w:spacing w:after="120"/>
      </w:pPr>
      <w:r w:rsidRPr="007F04B7">
        <w:t xml:space="preserve">Predictors of treatment uptake and </w:t>
      </w:r>
      <w:r w:rsidR="00995C03" w:rsidRPr="007F04B7">
        <w:t>completion</w:t>
      </w:r>
    </w:p>
    <w:p w14:paraId="3F4865A5" w14:textId="49EC5D85" w:rsidR="003729D2" w:rsidRPr="007F04B7" w:rsidRDefault="007E58FE" w:rsidP="0064044A">
      <w:pPr>
        <w:pStyle w:val="ANorm"/>
        <w:spacing w:after="200"/>
      </w:pPr>
      <w:r w:rsidRPr="007F04B7">
        <w:t xml:space="preserve">Using data from 15,882 consumers who accessed </w:t>
      </w:r>
      <w:proofErr w:type="spellStart"/>
      <w:r w:rsidR="00472D3A" w:rsidRPr="007F04B7">
        <w:t>MindSpot</w:t>
      </w:r>
      <w:proofErr w:type="spellEnd"/>
      <w:r w:rsidRPr="007F04B7">
        <w:t xml:space="preserve"> between 1 January and 31 December 2019, </w:t>
      </w:r>
      <w:r w:rsidR="001B605E" w:rsidRPr="007F04B7">
        <w:t xml:space="preserve">Cross </w:t>
      </w:r>
      <w:r w:rsidR="0065750D">
        <w:t>et al</w:t>
      </w:r>
      <w:r w:rsidR="00C93718">
        <w:t xml:space="preserve"> </w:t>
      </w:r>
      <w:r w:rsidR="001B605E" w:rsidRPr="007F04B7">
        <w:t>(20</w:t>
      </w:r>
      <w:r w:rsidR="00472D3A" w:rsidRPr="007F04B7">
        <w:t xml:space="preserve">22) </w:t>
      </w:r>
      <w:r w:rsidRPr="007F04B7">
        <w:t xml:space="preserve">conducted a series of univariate regression models and multivariate classification algorithms </w:t>
      </w:r>
      <w:r w:rsidR="009107B8" w:rsidRPr="007F04B7">
        <w:t xml:space="preserve">to investigate predictors of </w:t>
      </w:r>
      <w:r w:rsidR="00032990">
        <w:t xml:space="preserve">therapist-supported </w:t>
      </w:r>
      <w:r w:rsidR="009107B8" w:rsidRPr="007F04B7">
        <w:t>treatment uptake and completion.</w:t>
      </w:r>
      <w:r w:rsidR="00B81CB1" w:rsidRPr="007F04B7">
        <w:fldChar w:fldCharType="begin"/>
      </w:r>
      <w:r w:rsidR="004469A2">
        <w:instrText xml:space="preserve"> ADDIN EN.CITE &lt;EndNote&gt;&lt;Cite&gt;&lt;Author&gt;Cross&lt;/Author&gt;&lt;Year&gt;2022&lt;/Year&gt;&lt;RecNum&gt;136&lt;/RecNum&gt;&lt;DisplayText&gt;&lt;style face="superscript"&gt;48&lt;/style&gt;&lt;/DisplayText&gt;&lt;record&gt;&lt;rec-number&gt;136&lt;/rec-number&gt;&lt;foreign-keys&gt;&lt;key app="EN" db-id="dawtr0zrkrzfa5edzzlpe2we0xa00t90vvr2" timestamp="1650339654"&gt;136&lt;/key&gt;&lt;/foreign-keys&gt;&lt;ref-type name="Journal Article"&gt;17&lt;/ref-type&gt;&lt;contributors&gt;&lt;authors&gt;&lt;author&gt;Cross, Shane P.&lt;/author&gt;&lt;author&gt;Karin, Eyal&lt;/author&gt;&lt;author&gt;Staples, Lauren G.&lt;/author&gt;&lt;author&gt;Bisby, Madelyne A.&lt;/author&gt;&lt;author&gt;Ryan, Katie&lt;/author&gt;&lt;author&gt;Duke, Georgia&lt;/author&gt;&lt;author&gt;Nielssen, Olav&lt;/author&gt;&lt;author&gt;Kayrouz, Rony&lt;/author&gt;&lt;author&gt;Fisher, Alana&lt;/author&gt;&lt;author&gt;Dear, Blake F.&lt;/author&gt;&lt;author&gt;Titov, Nickolai&lt;/author&gt;&lt;/authors&gt;&lt;/contributors&gt;&lt;titles&gt;&lt;title&gt;Factors associated with treatment uptake, completion, and subsequent symptom improvement in a national digital mental health service&lt;/title&gt;&lt;secondary-title&gt;Internet Interventions&lt;/secondary-title&gt;&lt;/titles&gt;&lt;periodical&gt;&lt;full-title&gt;Internet Interventions&lt;/full-title&gt;&lt;/periodical&gt;&lt;pages&gt;100506&lt;/pages&gt;&lt;volume&gt;27&lt;/volume&gt;&lt;keywords&gt;&lt;keyword&gt;Digital mental health service&lt;/keyword&gt;&lt;keyword&gt;Assessment&lt;/keyword&gt;&lt;keyword&gt;Internet-delivered cognitive behavioural treatment (iCBT)&lt;/keyword&gt;&lt;keyword&gt;Treatment engagement&lt;/keyword&gt;&lt;keyword&gt;Treatment burden&lt;/keyword&gt;&lt;keyword&gt;Outcomes&lt;/keyword&gt;&lt;/keywords&gt;&lt;dates&gt;&lt;year&gt;2022&lt;/year&gt;&lt;pub-dates&gt;&lt;date&gt;2022/03/01/&lt;/date&gt;&lt;/pub-dates&gt;&lt;/dates&gt;&lt;isbn&gt;2214-7829&lt;/isbn&gt;&lt;urls&gt;&lt;related-urls&gt;&lt;url&gt;https://www.sciencedirect.com/science/article/pii/S2214782922000136&lt;/url&gt;&lt;/related-urls&gt;&lt;/urls&gt;&lt;electronic-resource-num&gt;https://doi.org/10.1016/j.invent.2022.100506&lt;/electronic-resource-num&gt;&lt;/record&gt;&lt;/Cite&gt;&lt;/EndNote&gt;</w:instrText>
      </w:r>
      <w:r w:rsidR="00B81CB1" w:rsidRPr="007F04B7">
        <w:fldChar w:fldCharType="separate"/>
      </w:r>
      <w:r w:rsidR="004469A2" w:rsidRPr="004469A2">
        <w:rPr>
          <w:noProof/>
          <w:vertAlign w:val="superscript"/>
        </w:rPr>
        <w:t>48</w:t>
      </w:r>
      <w:r w:rsidR="00B81CB1" w:rsidRPr="007F04B7">
        <w:fldChar w:fldCharType="end"/>
      </w:r>
      <w:r w:rsidR="009107B8" w:rsidRPr="007F04B7">
        <w:t xml:space="preserve"> </w:t>
      </w:r>
      <w:r w:rsidR="003E554B" w:rsidRPr="007F04B7">
        <w:t>The</w:t>
      </w:r>
      <w:r w:rsidR="00EE14AA" w:rsidRPr="007F04B7">
        <w:t xml:space="preserve"> average</w:t>
      </w:r>
      <w:r w:rsidR="003E554B" w:rsidRPr="007F04B7">
        <w:t xml:space="preserve"> rate of treatment uptake was</w:t>
      </w:r>
      <w:r w:rsidR="00EE14AA" w:rsidRPr="007F04B7">
        <w:t xml:space="preserve"> </w:t>
      </w:r>
      <w:r w:rsidR="003E554B" w:rsidRPr="007F04B7">
        <w:t xml:space="preserve">reported to be </w:t>
      </w:r>
      <w:r w:rsidR="00EE14AA" w:rsidRPr="007F04B7">
        <w:t>21.6%</w:t>
      </w:r>
      <w:r w:rsidR="00895CE7" w:rsidRPr="007F04B7">
        <w:t xml:space="preserve"> (of those who </w:t>
      </w:r>
      <w:r w:rsidR="000678F0" w:rsidRPr="007F04B7">
        <w:t>completed an</w:t>
      </w:r>
      <w:r w:rsidR="00901CDE" w:rsidRPr="007F04B7">
        <w:t xml:space="preserve"> assessment)</w:t>
      </w:r>
      <w:r w:rsidR="00EE14AA" w:rsidRPr="007F04B7">
        <w:t>,</w:t>
      </w:r>
      <w:r w:rsidR="003E554B" w:rsidRPr="007F04B7">
        <w:t xml:space="preserve"> and completion</w:t>
      </w:r>
      <w:r w:rsidR="00EB5687" w:rsidRPr="007F04B7">
        <w:t xml:space="preserve"> (</w:t>
      </w:r>
      <w:r w:rsidR="00086CC0" w:rsidRPr="007F04B7">
        <w:t>i.e., 4 out of 5 lessons)</w:t>
      </w:r>
      <w:r w:rsidR="003E554B" w:rsidRPr="007F04B7">
        <w:t>, 68%</w:t>
      </w:r>
      <w:r w:rsidR="00226210" w:rsidRPr="007F04B7">
        <w:t>.</w:t>
      </w:r>
      <w:r w:rsidR="00B81CB1" w:rsidRPr="007F04B7">
        <w:fldChar w:fldCharType="begin"/>
      </w:r>
      <w:r w:rsidR="004469A2">
        <w:instrText xml:space="preserve"> ADDIN EN.CITE &lt;EndNote&gt;&lt;Cite&gt;&lt;Author&gt;Cross&lt;/Author&gt;&lt;Year&gt;2022&lt;/Year&gt;&lt;RecNum&gt;136&lt;/RecNum&gt;&lt;DisplayText&gt;&lt;style face="superscript"&gt;48&lt;/style&gt;&lt;/DisplayText&gt;&lt;record&gt;&lt;rec-number&gt;136&lt;/rec-number&gt;&lt;foreign-keys&gt;&lt;key app="EN" db-id="dawtr0zrkrzfa5edzzlpe2we0xa00t90vvr2" timestamp="1650339654"&gt;136&lt;/key&gt;&lt;/foreign-keys&gt;&lt;ref-type name="Journal Article"&gt;17&lt;/ref-type&gt;&lt;contributors&gt;&lt;authors&gt;&lt;author&gt;Cross, Shane P.&lt;/author&gt;&lt;author&gt;Karin, Eyal&lt;/author&gt;&lt;author&gt;Staples, Lauren G.&lt;/author&gt;&lt;author&gt;Bisby, Madelyne A.&lt;/author&gt;&lt;author&gt;Ryan, Katie&lt;/author&gt;&lt;author&gt;Duke, Georgia&lt;/author&gt;&lt;author&gt;Nielssen, Olav&lt;/author&gt;&lt;author&gt;Kayrouz, Rony&lt;/author&gt;&lt;author&gt;Fisher, Alana&lt;/author&gt;&lt;author&gt;Dear, Blake F.&lt;/author&gt;&lt;author&gt;Titov, Nickolai&lt;/author&gt;&lt;/authors&gt;&lt;/contributors&gt;&lt;titles&gt;&lt;title&gt;Factors associated with treatment uptake, completion, and subsequent symptom improvement in a national digital mental health service&lt;/title&gt;&lt;secondary-title&gt;Internet Interventions&lt;/secondary-title&gt;&lt;/titles&gt;&lt;periodical&gt;&lt;full-title&gt;Internet Interventions&lt;/full-title&gt;&lt;/periodical&gt;&lt;pages&gt;100506&lt;/pages&gt;&lt;volume&gt;27&lt;/volume&gt;&lt;keywords&gt;&lt;keyword&gt;Digital mental health service&lt;/keyword&gt;&lt;keyword&gt;Assessment&lt;/keyword&gt;&lt;keyword&gt;Internet-delivered cognitive behavioural treatment (iCBT)&lt;/keyword&gt;&lt;keyword&gt;Treatment engagement&lt;/keyword&gt;&lt;keyword&gt;Treatment burden&lt;/keyword&gt;&lt;keyword&gt;Outcomes&lt;/keyword&gt;&lt;/keywords&gt;&lt;dates&gt;&lt;year&gt;2022&lt;/year&gt;&lt;pub-dates&gt;&lt;date&gt;2022/03/01/&lt;/date&gt;&lt;/pub-dates&gt;&lt;/dates&gt;&lt;isbn&gt;2214-7829&lt;/isbn&gt;&lt;urls&gt;&lt;related-urls&gt;&lt;url&gt;https://www.sciencedirect.com/science/article/pii/S2214782922000136&lt;/url&gt;&lt;/related-urls&gt;&lt;/urls&gt;&lt;electronic-resource-num&gt;https://doi.org/10.1016/j.invent.2022.100506&lt;/electronic-resource-num&gt;&lt;/record&gt;&lt;/Cite&gt;&lt;/EndNote&gt;</w:instrText>
      </w:r>
      <w:r w:rsidR="00B81CB1" w:rsidRPr="007F04B7">
        <w:fldChar w:fldCharType="separate"/>
      </w:r>
      <w:r w:rsidR="004469A2" w:rsidRPr="004469A2">
        <w:rPr>
          <w:noProof/>
          <w:vertAlign w:val="superscript"/>
        </w:rPr>
        <w:t>48</w:t>
      </w:r>
      <w:r w:rsidR="00B81CB1" w:rsidRPr="007F04B7">
        <w:fldChar w:fldCharType="end"/>
      </w:r>
    </w:p>
    <w:p w14:paraId="3679C449" w14:textId="507BD7A0" w:rsidR="003B583B" w:rsidRPr="007F04B7" w:rsidRDefault="003729D2" w:rsidP="0064044A">
      <w:pPr>
        <w:pStyle w:val="ANorm"/>
        <w:spacing w:after="200"/>
      </w:pPr>
      <w:r w:rsidRPr="007F04B7">
        <w:t>The following consumer characteristics were found to be positively associated with treatment uptake and completion:</w:t>
      </w:r>
    </w:p>
    <w:p w14:paraId="5FEC464A" w14:textId="454C331C" w:rsidR="003729D2" w:rsidRPr="007F04B7" w:rsidRDefault="003B583B" w:rsidP="00634B19">
      <w:pPr>
        <w:pStyle w:val="ANorm"/>
        <w:numPr>
          <w:ilvl w:val="0"/>
          <w:numId w:val="11"/>
        </w:numPr>
      </w:pPr>
      <w:r w:rsidRPr="007F04B7">
        <w:t>O</w:t>
      </w:r>
      <w:r w:rsidR="007E58FE" w:rsidRPr="007F04B7">
        <w:t>lder age</w:t>
      </w:r>
      <w:r w:rsidR="00552DE6" w:rsidRPr="007F04B7">
        <w:t xml:space="preserve"> –</w:t>
      </w:r>
      <w:r w:rsidR="00352243" w:rsidRPr="007F04B7">
        <w:t xml:space="preserve"> </w:t>
      </w:r>
      <w:r w:rsidR="00552DE6" w:rsidRPr="007F04B7">
        <w:t>consumers aged 65 years and older have an uptake of 40% compared with those aged 18-24 years who have an uptake of 11% (p &lt; .00</w:t>
      </w:r>
      <w:r w:rsidR="000E1964" w:rsidRPr="007F04B7">
        <w:t>1</w:t>
      </w:r>
      <w:r w:rsidR="00552DE6" w:rsidRPr="007F04B7">
        <w:t>)</w:t>
      </w:r>
      <w:r w:rsidR="00A20C3F" w:rsidRPr="007F04B7">
        <w:t xml:space="preserve"> and completion rates increase with </w:t>
      </w:r>
      <w:proofErr w:type="gramStart"/>
      <w:r w:rsidR="00A20C3F" w:rsidRPr="007F04B7">
        <w:t>age</w:t>
      </w:r>
      <w:r w:rsidR="00552DE6" w:rsidRPr="007F04B7">
        <w:t>;</w:t>
      </w:r>
      <w:proofErr w:type="gramEnd"/>
    </w:p>
    <w:p w14:paraId="0CD627BA" w14:textId="749BB5F8" w:rsidR="00AD2E0B" w:rsidRPr="007F04B7" w:rsidRDefault="00AD2E0B" w:rsidP="00634B19">
      <w:pPr>
        <w:pStyle w:val="ANorm"/>
        <w:numPr>
          <w:ilvl w:val="0"/>
          <w:numId w:val="11"/>
        </w:numPr>
      </w:pPr>
      <w:r w:rsidRPr="007F04B7">
        <w:t>Being male – although</w:t>
      </w:r>
      <w:r w:rsidRPr="007F04B7">
        <w:rPr>
          <w:rFonts w:cs="Calibri"/>
          <w:color w:val="000000"/>
        </w:rPr>
        <w:t xml:space="preserve"> fewer males than females complete an assessment (24.2% vs 75.8%), males are more likely to start treatment than females (25.7% vs 20.4%, p &lt; .001), and once started are equally likely to complete</w:t>
      </w:r>
      <w:r w:rsidR="00352243" w:rsidRPr="007F04B7">
        <w:rPr>
          <w:rFonts w:cs="Calibri"/>
          <w:color w:val="000000"/>
        </w:rPr>
        <w:t xml:space="preserve"> treatment</w:t>
      </w:r>
      <w:r w:rsidRPr="007F04B7">
        <w:rPr>
          <w:rFonts w:cs="Calibri"/>
          <w:color w:val="000000"/>
        </w:rPr>
        <w:t xml:space="preserve"> (69.9% vs 67.1%; p</w:t>
      </w:r>
      <w:r w:rsidR="0055447B" w:rsidRPr="007F04B7">
        <w:rPr>
          <w:rFonts w:cs="Calibri"/>
          <w:color w:val="000000"/>
        </w:rPr>
        <w:t>=</w:t>
      </w:r>
      <w:r w:rsidRPr="007F04B7">
        <w:rPr>
          <w:rFonts w:cs="Calibri"/>
          <w:color w:val="000000"/>
        </w:rPr>
        <w:t>.105</w:t>
      </w:r>
      <w:proofErr w:type="gramStart"/>
      <w:r w:rsidRPr="007F04B7">
        <w:rPr>
          <w:rFonts w:cs="Calibri"/>
          <w:color w:val="000000"/>
        </w:rPr>
        <w:t>)</w:t>
      </w:r>
      <w:r w:rsidR="00552DE6" w:rsidRPr="007F04B7">
        <w:rPr>
          <w:rFonts w:cs="Calibri"/>
          <w:color w:val="000000"/>
        </w:rPr>
        <w:t>;</w:t>
      </w:r>
      <w:proofErr w:type="gramEnd"/>
    </w:p>
    <w:p w14:paraId="6D3E3BAA" w14:textId="6E729BED" w:rsidR="00F95742" w:rsidRPr="007F04B7" w:rsidRDefault="00CB33EC" w:rsidP="00634B19">
      <w:pPr>
        <w:pStyle w:val="ListParagraph"/>
        <w:numPr>
          <w:ilvl w:val="0"/>
          <w:numId w:val="11"/>
        </w:numPr>
        <w:rPr>
          <w:rFonts w:ascii="Calibri" w:hAnsi="Calibri" w:cs="Calibri"/>
          <w:color w:val="000000"/>
        </w:rPr>
      </w:pPr>
      <w:r w:rsidRPr="007F04B7">
        <w:rPr>
          <w:rFonts w:ascii="Calibri" w:hAnsi="Calibri" w:cs="Calibri"/>
          <w:color w:val="000000"/>
        </w:rPr>
        <w:t>Rurality – c</w:t>
      </w:r>
      <w:r w:rsidR="00F95742" w:rsidRPr="007F04B7">
        <w:rPr>
          <w:rFonts w:ascii="Calibri" w:hAnsi="Calibri" w:cs="Calibri"/>
          <w:color w:val="000000"/>
        </w:rPr>
        <w:t>onsumers from rural or remote regions are significantly more likely to start treatment (26.1% vs 20.3% for cap</w:t>
      </w:r>
      <w:r w:rsidR="003E554B" w:rsidRPr="007F04B7">
        <w:rPr>
          <w:rFonts w:ascii="Calibri" w:hAnsi="Calibri" w:cs="Calibri"/>
          <w:color w:val="000000"/>
        </w:rPr>
        <w:t>i</w:t>
      </w:r>
      <w:r w:rsidR="00F95742" w:rsidRPr="007F04B7">
        <w:rPr>
          <w:rFonts w:ascii="Calibri" w:hAnsi="Calibri" w:cs="Calibri"/>
          <w:color w:val="000000"/>
        </w:rPr>
        <w:t xml:space="preserve">tal city and 21.6% for other urban region, p&lt;.001), but there </w:t>
      </w:r>
      <w:proofErr w:type="gramStart"/>
      <w:r w:rsidR="00F95742" w:rsidRPr="007F04B7">
        <w:rPr>
          <w:rFonts w:ascii="Calibri" w:hAnsi="Calibri" w:cs="Calibri"/>
          <w:color w:val="000000"/>
        </w:rPr>
        <w:t>are</w:t>
      </w:r>
      <w:proofErr w:type="gramEnd"/>
      <w:r w:rsidR="00F95742" w:rsidRPr="007F04B7">
        <w:rPr>
          <w:rFonts w:ascii="Calibri" w:hAnsi="Calibri" w:cs="Calibri"/>
          <w:color w:val="000000"/>
        </w:rPr>
        <w:t xml:space="preserve"> no difference in treatment completion rates based on locality;</w:t>
      </w:r>
    </w:p>
    <w:p w14:paraId="7A4155A9" w14:textId="0B19DB21" w:rsidR="003729D2" w:rsidRPr="007F04B7" w:rsidRDefault="00401B88" w:rsidP="00634B19">
      <w:pPr>
        <w:pStyle w:val="ANorm"/>
        <w:numPr>
          <w:ilvl w:val="0"/>
          <w:numId w:val="11"/>
        </w:numPr>
      </w:pPr>
      <w:r w:rsidRPr="007F04B7">
        <w:t>H</w:t>
      </w:r>
      <w:r w:rsidR="007E58FE" w:rsidRPr="007F04B7">
        <w:t>igher educational attainment</w:t>
      </w:r>
      <w:r w:rsidR="00AD2E0B" w:rsidRPr="007F04B7">
        <w:t xml:space="preserve"> – those with a university degree are more likely to start (</w:t>
      </w:r>
      <w:r w:rsidR="00737396" w:rsidRPr="007F04B7">
        <w:t xml:space="preserve">25.9% vs </w:t>
      </w:r>
      <w:r w:rsidR="00AD2E0B" w:rsidRPr="007F04B7">
        <w:t>19% p &lt; .001) and complete (</w:t>
      </w:r>
      <w:r w:rsidR="00737396" w:rsidRPr="007F04B7">
        <w:t xml:space="preserve">72.2% vs </w:t>
      </w:r>
      <w:r w:rsidR="00AD2E0B" w:rsidRPr="007F04B7">
        <w:t>63.9%</w:t>
      </w:r>
      <w:r w:rsidR="00737396" w:rsidRPr="007F04B7">
        <w:t>,</w:t>
      </w:r>
      <w:r w:rsidR="00AD2E0B" w:rsidRPr="007F04B7">
        <w:t xml:space="preserve"> p &lt; .001)</w:t>
      </w:r>
      <w:r w:rsidR="007E58FE" w:rsidRPr="007F04B7">
        <w:t xml:space="preserve"> </w:t>
      </w:r>
      <w:r w:rsidR="008D7DB9" w:rsidRPr="007F04B7">
        <w:t xml:space="preserve">treatment; </w:t>
      </w:r>
      <w:r w:rsidR="007E58FE" w:rsidRPr="007F04B7">
        <w:t xml:space="preserve">and </w:t>
      </w:r>
    </w:p>
    <w:p w14:paraId="3ED8D299" w14:textId="43B48DAD" w:rsidR="003729D2" w:rsidRPr="007F04B7" w:rsidRDefault="49744C8A" w:rsidP="75E91DC2">
      <w:pPr>
        <w:pStyle w:val="ANorm"/>
        <w:numPr>
          <w:ilvl w:val="0"/>
          <w:numId w:val="11"/>
        </w:numPr>
        <w:spacing w:after="200"/>
        <w:rPr>
          <w:noProof/>
          <w:vertAlign w:val="superscript"/>
        </w:rPr>
      </w:pPr>
      <w:r>
        <w:t>B</w:t>
      </w:r>
      <w:r w:rsidR="3EA1D91F">
        <w:t>eing in a</w:t>
      </w:r>
      <w:r w:rsidR="489CF589">
        <w:t xml:space="preserve"> </w:t>
      </w:r>
      <w:r w:rsidR="3EA1D91F">
        <w:t>relationship</w:t>
      </w:r>
      <w:r w:rsidR="1B5ACC23">
        <w:t xml:space="preserve"> – uptake was </w:t>
      </w:r>
      <w:r>
        <w:t xml:space="preserve">27.6% </w:t>
      </w:r>
      <w:r w:rsidR="1B5ACC23">
        <w:t>for those who were married</w:t>
      </w:r>
      <w:r>
        <w:t xml:space="preserve"> vs 30.5% widowed vs 16.1% single/never marrie</w:t>
      </w:r>
      <w:r w:rsidR="2BB235B7">
        <w:t>d (</w:t>
      </w:r>
      <w:r>
        <w:t>p &lt; .00</w:t>
      </w:r>
      <w:r w:rsidR="41927B5D">
        <w:t>1</w:t>
      </w:r>
      <w:r>
        <w:t>)</w:t>
      </w:r>
      <w:r w:rsidR="1B5ACC23">
        <w:t xml:space="preserve"> and completion was 72.3% vs 61.4% </w:t>
      </w:r>
      <w:r w:rsidR="2BB235B7">
        <w:t>single/</w:t>
      </w:r>
      <w:r w:rsidR="1B5ACC23">
        <w:t>never married</w:t>
      </w:r>
      <w:r w:rsidR="2BB235B7">
        <w:t xml:space="preserve"> (p &lt; .00</w:t>
      </w:r>
      <w:r w:rsidR="41927B5D">
        <w:t>1</w:t>
      </w:r>
      <w:r w:rsidR="2BB235B7">
        <w:t>).</w:t>
      </w:r>
      <w:r w:rsidR="00A02B1A">
        <w:fldChar w:fldCharType="begin"/>
      </w:r>
      <w:r w:rsidR="004469A2">
        <w:instrText xml:space="preserve"> ADDIN EN.CITE &lt;EndNote&gt;&lt;Cite&gt;&lt;Author&gt;Cross&lt;/Author&gt;&lt;Year&gt;2022&lt;/Year&gt;&lt;RecNum&gt;136&lt;/RecNum&gt;&lt;DisplayText&gt;&lt;style face="superscript"&gt;48&lt;/style&gt;&lt;/DisplayText&gt;&lt;record&gt;&lt;rec-number&gt;136&lt;/rec-number&gt;&lt;foreign-keys&gt;&lt;key app="EN" db-id="dawtr0zrkrzfa5edzzlpe2we0xa00t90vvr2" timestamp="1650339654"&gt;136&lt;/key&gt;&lt;/foreign-keys&gt;&lt;ref-type name="Journal Article"&gt;17&lt;/ref-type&gt;&lt;contributors&gt;&lt;authors&gt;&lt;author&gt;Cross, Shane P.&lt;/author&gt;&lt;author&gt;Karin, Eyal&lt;/author&gt;&lt;author&gt;Staples, Lauren G.&lt;/author&gt;&lt;author&gt;Bisby, Madelyne A.&lt;/author&gt;&lt;author&gt;Ryan, Katie&lt;/author&gt;&lt;author&gt;Duke, Georgia&lt;/author&gt;&lt;author&gt;Nielssen, Olav&lt;/author&gt;&lt;author&gt;Kayrouz, Rony&lt;/author&gt;&lt;author&gt;Fisher, Alana&lt;/author&gt;&lt;author&gt;Dear, Blake F.&lt;/author&gt;&lt;author&gt;Titov, Nickolai&lt;/author&gt;&lt;/authors&gt;&lt;/contributors&gt;&lt;titles&gt;&lt;title&gt;Factors associated with treatment uptake, completion, and subsequent symptom improvement in a national digital mental health service&lt;/title&gt;&lt;secondary-title&gt;Internet Interventions&lt;/secondary-title&gt;&lt;/titles&gt;&lt;periodical&gt;&lt;full-title&gt;Internet Interventions&lt;/full-title&gt;&lt;/periodical&gt;&lt;pages&gt;100506&lt;/pages&gt;&lt;volume&gt;27&lt;/volume&gt;&lt;keywords&gt;&lt;keyword&gt;Digital mental health service&lt;/keyword&gt;&lt;keyword&gt;Assessment&lt;/keyword&gt;&lt;keyword&gt;Internet-delivered cognitive behavioural treatment (iCBT)&lt;/keyword&gt;&lt;keyword&gt;Treatment engagement&lt;/keyword&gt;&lt;keyword&gt;Treatment burden&lt;/keyword&gt;&lt;keyword&gt;Outcomes&lt;/keyword&gt;&lt;/keywords&gt;&lt;dates&gt;&lt;year&gt;2022&lt;/year&gt;&lt;pub-dates&gt;&lt;date&gt;2022/03/01/&lt;/date&gt;&lt;/pub-dates&gt;&lt;/dates&gt;&lt;isbn&gt;2214-7829&lt;/isbn&gt;&lt;urls&gt;&lt;related-urls&gt;&lt;url&gt;https://www.sciencedirect.com/science/article/pii/S2214782922000136&lt;/url&gt;&lt;/related-urls&gt;&lt;/urls&gt;&lt;electronic-resource-num&gt;https://doi.org/10.1016/j.invent.2022.100506&lt;/electronic-resource-num&gt;&lt;/record&gt;&lt;/Cite&gt;&lt;/EndNote&gt;</w:instrText>
      </w:r>
      <w:r w:rsidR="00A02B1A">
        <w:fldChar w:fldCharType="separate"/>
      </w:r>
      <w:r w:rsidR="004469A2" w:rsidRPr="004469A2">
        <w:rPr>
          <w:noProof/>
          <w:vertAlign w:val="superscript"/>
        </w:rPr>
        <w:t>48</w:t>
      </w:r>
      <w:r w:rsidR="00A02B1A">
        <w:fldChar w:fldCharType="end"/>
      </w:r>
    </w:p>
    <w:p w14:paraId="0A00D713" w14:textId="77777777" w:rsidR="00401B88" w:rsidRPr="007F04B7" w:rsidRDefault="003729D2" w:rsidP="0064044A">
      <w:pPr>
        <w:pStyle w:val="ANorm"/>
        <w:spacing w:after="200"/>
      </w:pPr>
      <w:r w:rsidRPr="007F04B7">
        <w:t xml:space="preserve">The following </w:t>
      </w:r>
      <w:r w:rsidR="00401B88" w:rsidRPr="007F04B7">
        <w:t>consumer characteristics were found to be negatively associated with treatment uptake and completion:</w:t>
      </w:r>
    </w:p>
    <w:p w14:paraId="58111200" w14:textId="3EFDC42B" w:rsidR="00552DE6" w:rsidRPr="007F04B7" w:rsidRDefault="004C312E" w:rsidP="00634B19">
      <w:pPr>
        <w:pStyle w:val="ListParagraph"/>
        <w:numPr>
          <w:ilvl w:val="0"/>
          <w:numId w:val="12"/>
        </w:numPr>
        <w:rPr>
          <w:rFonts w:ascii="Calibri" w:hAnsi="Calibri" w:cs="Calibri"/>
          <w:color w:val="000000"/>
        </w:rPr>
      </w:pPr>
      <w:r w:rsidRPr="007F04B7">
        <w:rPr>
          <w:rFonts w:ascii="Calibri" w:hAnsi="Calibri" w:cs="Calibri"/>
          <w:color w:val="000000"/>
        </w:rPr>
        <w:t xml:space="preserve">Indigeneity, with </w:t>
      </w:r>
      <w:r w:rsidR="00552DE6" w:rsidRPr="007F04B7">
        <w:rPr>
          <w:rFonts w:ascii="Calibri" w:hAnsi="Calibri" w:cs="Calibri"/>
          <w:color w:val="000000"/>
        </w:rPr>
        <w:t>A</w:t>
      </w:r>
      <w:r w:rsidR="008B3E4C" w:rsidRPr="007F04B7">
        <w:rPr>
          <w:rFonts w:ascii="Calibri" w:hAnsi="Calibri" w:cs="Calibri"/>
          <w:color w:val="000000"/>
        </w:rPr>
        <w:t xml:space="preserve">boriginal and Torres Strait Islander peoples </w:t>
      </w:r>
      <w:r w:rsidR="001F51E4" w:rsidRPr="007F04B7">
        <w:rPr>
          <w:rFonts w:ascii="Calibri" w:hAnsi="Calibri" w:cs="Calibri"/>
          <w:color w:val="000000"/>
        </w:rPr>
        <w:t>being</w:t>
      </w:r>
      <w:r w:rsidR="008B3E4C" w:rsidRPr="007F04B7">
        <w:rPr>
          <w:rFonts w:ascii="Calibri" w:hAnsi="Calibri" w:cs="Calibri"/>
          <w:color w:val="000000"/>
        </w:rPr>
        <w:t xml:space="preserve"> l</w:t>
      </w:r>
      <w:r w:rsidR="00552DE6" w:rsidRPr="007F04B7">
        <w:rPr>
          <w:rFonts w:ascii="Calibri" w:hAnsi="Calibri" w:cs="Calibri"/>
          <w:color w:val="000000"/>
        </w:rPr>
        <w:t xml:space="preserve">ess likely to start (14.4% vs 21.9%, p&lt;.001) and less likely to complete (51.4% vs 67.8%, </w:t>
      </w:r>
      <w:r w:rsidR="00AF2E3C" w:rsidRPr="007F04B7">
        <w:rPr>
          <w:rFonts w:ascii="Calibri" w:hAnsi="Calibri" w:cs="Calibri"/>
          <w:color w:val="000000"/>
        </w:rPr>
        <w:t>p</w:t>
      </w:r>
      <w:r w:rsidR="00552DE6" w:rsidRPr="007F04B7">
        <w:rPr>
          <w:rFonts w:ascii="Calibri" w:hAnsi="Calibri" w:cs="Calibri"/>
          <w:color w:val="000000"/>
        </w:rPr>
        <w:t xml:space="preserve">=.005) </w:t>
      </w:r>
      <w:proofErr w:type="gramStart"/>
      <w:r w:rsidR="008B3E4C" w:rsidRPr="007F04B7">
        <w:rPr>
          <w:rFonts w:ascii="Calibri" w:hAnsi="Calibri" w:cs="Calibri"/>
          <w:color w:val="000000"/>
        </w:rPr>
        <w:t>treatment;</w:t>
      </w:r>
      <w:proofErr w:type="gramEnd"/>
    </w:p>
    <w:p w14:paraId="1D1A4557" w14:textId="5E09E309" w:rsidR="00401B88" w:rsidRPr="007F04B7" w:rsidRDefault="003B583B" w:rsidP="00634B19">
      <w:pPr>
        <w:pStyle w:val="ANorm"/>
        <w:numPr>
          <w:ilvl w:val="0"/>
          <w:numId w:val="12"/>
        </w:numPr>
      </w:pPr>
      <w:r w:rsidRPr="007F04B7">
        <w:lastRenderedPageBreak/>
        <w:t>H</w:t>
      </w:r>
      <w:r w:rsidR="007E58FE" w:rsidRPr="007F04B7">
        <w:t>igher initial symptom severity</w:t>
      </w:r>
      <w:r w:rsidR="004C44CB" w:rsidRPr="007F04B7">
        <w:t xml:space="preserve"> (K10 and PHQ-9)</w:t>
      </w:r>
      <w:r w:rsidR="004742B6" w:rsidRPr="007F04B7">
        <w:t>, with uptake reducing from 26.9% for those with mild symptoms to 18.8% for those with severe symptoms</w:t>
      </w:r>
      <w:r w:rsidR="00AF2E3C" w:rsidRPr="007F04B7">
        <w:t xml:space="preserve"> (</w:t>
      </w:r>
      <w:r w:rsidR="00AF2E3C" w:rsidRPr="007F04B7">
        <w:rPr>
          <w:rFonts w:cs="Calibri"/>
          <w:color w:val="000000"/>
        </w:rPr>
        <w:t>p&lt;.001)</w:t>
      </w:r>
      <w:r w:rsidR="004742B6" w:rsidRPr="007F04B7">
        <w:t xml:space="preserve">, and completion reducing from </w:t>
      </w:r>
      <w:r w:rsidR="00AF2E3C" w:rsidRPr="007F04B7">
        <w:t xml:space="preserve">76% </w:t>
      </w:r>
      <w:r w:rsidR="004742B6" w:rsidRPr="007F04B7">
        <w:t xml:space="preserve">for </w:t>
      </w:r>
      <w:r w:rsidR="00AF2E3C" w:rsidRPr="007F04B7">
        <w:t xml:space="preserve">those with </w:t>
      </w:r>
      <w:r w:rsidR="004742B6" w:rsidRPr="007F04B7">
        <w:t xml:space="preserve">mild symptoms to </w:t>
      </w:r>
      <w:r w:rsidR="00AF2E3C" w:rsidRPr="007F04B7">
        <w:t xml:space="preserve">64% </w:t>
      </w:r>
      <w:r w:rsidR="004742B6" w:rsidRPr="007F04B7">
        <w:t xml:space="preserve">for </w:t>
      </w:r>
      <w:r w:rsidR="00AF2E3C" w:rsidRPr="007F04B7">
        <w:t xml:space="preserve">those with </w:t>
      </w:r>
      <w:r w:rsidR="004742B6" w:rsidRPr="007F04B7">
        <w:t>sever</w:t>
      </w:r>
      <w:r w:rsidR="00AF2E3C" w:rsidRPr="007F04B7">
        <w:t>e</w:t>
      </w:r>
      <w:r w:rsidR="004742B6" w:rsidRPr="007F04B7">
        <w:t xml:space="preserve"> symptoms</w:t>
      </w:r>
      <w:r w:rsidR="00AF2E3C" w:rsidRPr="007F04B7">
        <w:t xml:space="preserve"> (</w:t>
      </w:r>
      <w:r w:rsidR="00AF2E3C" w:rsidRPr="007F04B7">
        <w:rPr>
          <w:rFonts w:cs="Calibri"/>
          <w:color w:val="000000"/>
        </w:rPr>
        <w:t>p&lt;.001)</w:t>
      </w:r>
      <w:r w:rsidR="004C44CB" w:rsidRPr="007F04B7">
        <w:t>; and</w:t>
      </w:r>
    </w:p>
    <w:p w14:paraId="62230B4D" w14:textId="19B70073" w:rsidR="009C1BDE" w:rsidRPr="007F04B7" w:rsidRDefault="13AB44E1" w:rsidP="75E91DC2">
      <w:pPr>
        <w:pStyle w:val="ANorm"/>
        <w:numPr>
          <w:ilvl w:val="0"/>
          <w:numId w:val="12"/>
        </w:numPr>
        <w:rPr>
          <w:noProof/>
          <w:vertAlign w:val="superscript"/>
        </w:rPr>
      </w:pPr>
      <w:r>
        <w:t>Increasing s</w:t>
      </w:r>
      <w:r w:rsidR="3EA1D91F">
        <w:t>elf-reported psychosocial</w:t>
      </w:r>
      <w:r w:rsidR="489CF589">
        <w:t xml:space="preserve"> </w:t>
      </w:r>
      <w:r w:rsidR="3EA1D91F">
        <w:t>difficulties</w:t>
      </w:r>
      <w:r w:rsidR="4AFF283B">
        <w:t xml:space="preserve">, with uptake decreasing from 25.3% for those with no difficulties to 14.6% for those with six difficulties, and </w:t>
      </w:r>
      <w:r w:rsidR="09D8A322">
        <w:t>completion reduc</w:t>
      </w:r>
      <w:r w:rsidR="3C777692">
        <w:t>ing</w:t>
      </w:r>
      <w:r w:rsidR="09D8A322">
        <w:t xml:space="preserve"> from 74.1%</w:t>
      </w:r>
      <w:r w:rsidR="4AFF283B">
        <w:t xml:space="preserve"> for those with no difficulties</w:t>
      </w:r>
      <w:r w:rsidR="09D8A322">
        <w:t xml:space="preserve"> to 53%</w:t>
      </w:r>
      <w:r w:rsidR="4AFF283B">
        <w:t xml:space="preserve"> for those with six difficulties (</w:t>
      </w:r>
      <w:r w:rsidR="09D8A322">
        <w:t>p &lt; .001)</w:t>
      </w:r>
      <w:r w:rsidR="7E0B397B">
        <w:t>.</w:t>
      </w:r>
      <w:r w:rsidR="004742B6">
        <w:fldChar w:fldCharType="begin"/>
      </w:r>
      <w:r w:rsidR="004469A2">
        <w:instrText xml:space="preserve"> ADDIN EN.CITE &lt;EndNote&gt;&lt;Cite&gt;&lt;Author&gt;Cross&lt;/Author&gt;&lt;Year&gt;2022&lt;/Year&gt;&lt;RecNum&gt;136&lt;/RecNum&gt;&lt;DisplayText&gt;&lt;style face="superscript"&gt;48&lt;/style&gt;&lt;/DisplayText&gt;&lt;record&gt;&lt;rec-number&gt;136&lt;/rec-number&gt;&lt;foreign-keys&gt;&lt;key app="EN" db-id="dawtr0zrkrzfa5edzzlpe2we0xa00t90vvr2" timestamp="1650339654"&gt;136&lt;/key&gt;&lt;/foreign-keys&gt;&lt;ref-type name="Journal Article"&gt;17&lt;/ref-type&gt;&lt;contributors&gt;&lt;authors&gt;&lt;author&gt;Cross, Shane P.&lt;/author&gt;&lt;author&gt;Karin, Eyal&lt;/author&gt;&lt;author&gt;Staples, Lauren G.&lt;/author&gt;&lt;author&gt;Bisby, Madelyne A.&lt;/author&gt;&lt;author&gt;Ryan, Katie&lt;/author&gt;&lt;author&gt;Duke, Georgia&lt;/author&gt;&lt;author&gt;Nielssen, Olav&lt;/author&gt;&lt;author&gt;Kayrouz, Rony&lt;/author&gt;&lt;author&gt;Fisher, Alana&lt;/author&gt;&lt;author&gt;Dear, Blake F.&lt;/author&gt;&lt;author&gt;Titov, Nickolai&lt;/author&gt;&lt;/authors&gt;&lt;/contributors&gt;&lt;titles&gt;&lt;title&gt;Factors associated with treatment uptake, completion, and subsequent symptom improvement in a national digital mental health service&lt;/title&gt;&lt;secondary-title&gt;Internet Interventions&lt;/secondary-title&gt;&lt;/titles&gt;&lt;periodical&gt;&lt;full-title&gt;Internet Interventions&lt;/full-title&gt;&lt;/periodical&gt;&lt;pages&gt;100506&lt;/pages&gt;&lt;volume&gt;27&lt;/volume&gt;&lt;keywords&gt;&lt;keyword&gt;Digital mental health service&lt;/keyword&gt;&lt;keyword&gt;Assessment&lt;/keyword&gt;&lt;keyword&gt;Internet-delivered cognitive behavioural treatment (iCBT)&lt;/keyword&gt;&lt;keyword&gt;Treatment engagement&lt;/keyword&gt;&lt;keyword&gt;Treatment burden&lt;/keyword&gt;&lt;keyword&gt;Outcomes&lt;/keyword&gt;&lt;/keywords&gt;&lt;dates&gt;&lt;year&gt;2022&lt;/year&gt;&lt;pub-dates&gt;&lt;date&gt;2022/03/01/&lt;/date&gt;&lt;/pub-dates&gt;&lt;/dates&gt;&lt;isbn&gt;2214-7829&lt;/isbn&gt;&lt;urls&gt;&lt;related-urls&gt;&lt;url&gt;https://www.sciencedirect.com/science/article/pii/S2214782922000136&lt;/url&gt;&lt;/related-urls&gt;&lt;/urls&gt;&lt;electronic-resource-num&gt;https://doi.org/10.1016/j.invent.2022.100506&lt;/electronic-resource-num&gt;&lt;/record&gt;&lt;/Cite&gt;&lt;/EndNote&gt;</w:instrText>
      </w:r>
      <w:r w:rsidR="004742B6">
        <w:fldChar w:fldCharType="separate"/>
      </w:r>
      <w:r w:rsidR="004469A2" w:rsidRPr="004469A2">
        <w:rPr>
          <w:noProof/>
          <w:vertAlign w:val="superscript"/>
        </w:rPr>
        <w:t>48</w:t>
      </w:r>
      <w:r w:rsidR="004742B6">
        <w:fldChar w:fldCharType="end"/>
      </w:r>
    </w:p>
    <w:p w14:paraId="575E0937" w14:textId="77777777" w:rsidR="006F6DCB" w:rsidRDefault="006F6DCB">
      <w:pPr>
        <w:rPr>
          <w:rFonts w:asciiTheme="minorHAnsi" w:hAnsiTheme="minorHAnsi" w:cstheme="minorHAnsi"/>
          <w:b/>
          <w:bCs/>
          <w:color w:val="2F5496" w:themeColor="accent1" w:themeShade="BF"/>
        </w:rPr>
      </w:pPr>
      <w:r>
        <w:br w:type="page"/>
      </w:r>
    </w:p>
    <w:p w14:paraId="73DD16AF" w14:textId="2F652A0B" w:rsidR="00A672EB" w:rsidRPr="006F6DCB" w:rsidRDefault="00A672EB" w:rsidP="005A16C4">
      <w:pPr>
        <w:pStyle w:val="Heading3"/>
        <w:numPr>
          <w:ilvl w:val="2"/>
          <w:numId w:val="167"/>
        </w:numPr>
      </w:pPr>
      <w:r>
        <w:lastRenderedPageBreak/>
        <w:t>THIS WAY UP</w:t>
      </w:r>
    </w:p>
    <w:p w14:paraId="0A0257E6" w14:textId="577E4909" w:rsidR="008B3017" w:rsidRDefault="00A672EB" w:rsidP="00621BF4">
      <w:pPr>
        <w:spacing w:after="240"/>
        <w:rPr>
          <w:rFonts w:asciiTheme="minorHAnsi" w:hAnsiTheme="minorHAnsi" w:cstheme="minorHAnsi"/>
          <w:sz w:val="21"/>
          <w:szCs w:val="21"/>
        </w:rPr>
      </w:pPr>
      <w:r w:rsidRPr="00077819">
        <w:rPr>
          <w:rFonts w:asciiTheme="minorHAnsi" w:hAnsiTheme="minorHAnsi" w:cstheme="minorHAnsi"/>
          <w:sz w:val="21"/>
          <w:szCs w:val="21"/>
        </w:rPr>
        <w:t xml:space="preserve">Based on routinely collected service use data, Table </w:t>
      </w:r>
      <w:r w:rsidR="00BC31D0">
        <w:rPr>
          <w:rFonts w:asciiTheme="minorHAnsi" w:hAnsiTheme="minorHAnsi" w:cstheme="minorHAnsi"/>
          <w:sz w:val="21"/>
          <w:szCs w:val="21"/>
        </w:rPr>
        <w:t>1</w:t>
      </w:r>
      <w:r w:rsidR="003757B5">
        <w:rPr>
          <w:rFonts w:asciiTheme="minorHAnsi" w:hAnsiTheme="minorHAnsi" w:cstheme="minorHAnsi"/>
          <w:sz w:val="21"/>
          <w:szCs w:val="21"/>
        </w:rPr>
        <w:t>2</w:t>
      </w:r>
      <w:r w:rsidRPr="00077819">
        <w:rPr>
          <w:rFonts w:asciiTheme="minorHAnsi" w:hAnsiTheme="minorHAnsi" w:cstheme="minorHAnsi"/>
          <w:sz w:val="21"/>
          <w:szCs w:val="21"/>
        </w:rPr>
        <w:t xml:space="preserve"> shows that of </w:t>
      </w:r>
      <w:r>
        <w:rPr>
          <w:rFonts w:asciiTheme="minorHAnsi" w:hAnsiTheme="minorHAnsi" w:cstheme="minorHAnsi"/>
          <w:sz w:val="21"/>
          <w:szCs w:val="21"/>
        </w:rPr>
        <w:t xml:space="preserve">the 15,360 unique </w:t>
      </w:r>
      <w:r w:rsidRPr="00077819">
        <w:rPr>
          <w:rFonts w:asciiTheme="minorHAnsi" w:hAnsiTheme="minorHAnsi" w:cstheme="minorHAnsi"/>
          <w:sz w:val="21"/>
          <w:szCs w:val="21"/>
        </w:rPr>
        <w:t>consumers who register</w:t>
      </w:r>
      <w:r>
        <w:rPr>
          <w:rFonts w:asciiTheme="minorHAnsi" w:hAnsiTheme="minorHAnsi" w:cstheme="minorHAnsi"/>
          <w:sz w:val="21"/>
          <w:szCs w:val="21"/>
        </w:rPr>
        <w:t>ed</w:t>
      </w:r>
      <w:r w:rsidRPr="00077819">
        <w:rPr>
          <w:rFonts w:asciiTheme="minorHAnsi" w:hAnsiTheme="minorHAnsi" w:cstheme="minorHAnsi"/>
          <w:sz w:val="21"/>
          <w:szCs w:val="21"/>
        </w:rPr>
        <w:t xml:space="preserve"> with </w:t>
      </w:r>
      <w:r>
        <w:rPr>
          <w:rFonts w:asciiTheme="minorHAnsi" w:hAnsiTheme="minorHAnsi" w:cstheme="minorHAnsi"/>
          <w:sz w:val="21"/>
          <w:szCs w:val="21"/>
        </w:rPr>
        <w:t>THIS WAY UP in July 2020 – December 2020</w:t>
      </w:r>
      <w:r w:rsidRPr="00077819">
        <w:rPr>
          <w:rFonts w:asciiTheme="minorHAnsi" w:hAnsiTheme="minorHAnsi" w:cstheme="minorHAnsi"/>
          <w:sz w:val="21"/>
          <w:szCs w:val="21"/>
        </w:rPr>
        <w:t xml:space="preserve">, </w:t>
      </w:r>
      <w:r>
        <w:rPr>
          <w:rFonts w:asciiTheme="minorHAnsi" w:hAnsiTheme="minorHAnsi" w:cstheme="minorHAnsi"/>
          <w:sz w:val="21"/>
          <w:szCs w:val="21"/>
        </w:rPr>
        <w:t xml:space="preserve">29% </w:t>
      </w:r>
      <w:r w:rsidR="008B3017">
        <w:rPr>
          <w:rFonts w:asciiTheme="minorHAnsi" w:hAnsiTheme="minorHAnsi" w:cstheme="minorHAnsi"/>
          <w:sz w:val="21"/>
          <w:szCs w:val="21"/>
        </w:rPr>
        <w:t>we</w:t>
      </w:r>
      <w:r>
        <w:rPr>
          <w:rFonts w:asciiTheme="minorHAnsi" w:hAnsiTheme="minorHAnsi" w:cstheme="minorHAnsi"/>
          <w:sz w:val="21"/>
          <w:szCs w:val="21"/>
        </w:rPr>
        <w:t>re</w:t>
      </w:r>
      <w:r w:rsidRPr="00077819">
        <w:rPr>
          <w:rFonts w:asciiTheme="minorHAnsi" w:hAnsiTheme="minorHAnsi" w:cstheme="minorHAnsi"/>
          <w:sz w:val="21"/>
          <w:szCs w:val="21"/>
        </w:rPr>
        <w:t xml:space="preserve"> male and </w:t>
      </w:r>
      <w:r w:rsidR="008B3017">
        <w:rPr>
          <w:rFonts w:asciiTheme="minorHAnsi" w:hAnsiTheme="minorHAnsi" w:cstheme="minorHAnsi"/>
          <w:sz w:val="21"/>
          <w:szCs w:val="21"/>
        </w:rPr>
        <w:t>around</w:t>
      </w:r>
      <w:r w:rsidRPr="00077819">
        <w:rPr>
          <w:rFonts w:asciiTheme="minorHAnsi" w:hAnsiTheme="minorHAnsi" w:cstheme="minorHAnsi"/>
          <w:sz w:val="21"/>
          <w:szCs w:val="21"/>
        </w:rPr>
        <w:t xml:space="preserve"> two-thirds female (6</w:t>
      </w:r>
      <w:r w:rsidR="008B3017">
        <w:rPr>
          <w:rFonts w:asciiTheme="minorHAnsi" w:hAnsiTheme="minorHAnsi" w:cstheme="minorHAnsi"/>
          <w:sz w:val="21"/>
          <w:szCs w:val="21"/>
        </w:rPr>
        <w:t>7</w:t>
      </w:r>
      <w:r w:rsidRPr="00077819">
        <w:rPr>
          <w:rFonts w:asciiTheme="minorHAnsi" w:hAnsiTheme="minorHAnsi" w:cstheme="minorHAnsi"/>
          <w:sz w:val="21"/>
          <w:szCs w:val="21"/>
        </w:rPr>
        <w:t>%).</w:t>
      </w:r>
      <w:r w:rsidR="00B81CB1">
        <w:rPr>
          <w:rFonts w:asciiTheme="minorHAnsi" w:hAnsiTheme="minorHAnsi" w:cstheme="minorHAnsi"/>
          <w:sz w:val="21"/>
          <w:szCs w:val="21"/>
        </w:rPr>
        <w:fldChar w:fldCharType="begin"/>
      </w:r>
      <w:r w:rsidR="004469A2">
        <w:rPr>
          <w:rFonts w:asciiTheme="minorHAnsi" w:hAnsiTheme="minorHAnsi" w:cstheme="minorHAnsi"/>
          <w:sz w:val="21"/>
          <w:szCs w:val="21"/>
        </w:rPr>
        <w:instrText xml:space="preserve"> ADDIN EN.CITE &lt;EndNote&gt;&lt;Cite&gt;&lt;Author&gt;THIS WAY UP&lt;/Author&gt;&lt;Year&gt;2021&lt;/Year&gt;&lt;RecNum&gt;133&lt;/RecNum&gt;&lt;DisplayText&gt;&lt;style face="superscript"&gt;40&lt;/style&gt;&lt;/DisplayText&gt;&lt;record&gt;&lt;rec-number&gt;133&lt;/rec-number&gt;&lt;foreign-keys&gt;&lt;key app="EN" db-id="dawtr0zrkrzfa5edzzlpe2we0xa00t90vvr2" timestamp="1650261792"&gt;133&lt;/key&gt;&lt;/foreign-keys&gt;&lt;ref-type name="Report"&gt;27&lt;/ref-type&gt;&lt;contributors&gt;&lt;authors&gt;&lt;author&gt;THIS WAY UP,&lt;/author&gt;&lt;/authors&gt;&lt;/contributors&gt;&lt;titles&gt;&lt;title&gt;Project THIS WAY UP Clinic: Progress Report 21. For project period 1 July 2020 – 31 December 2020. Version 1.0, 29 January 2021&lt;/title&gt;&lt;/titles&gt;&lt;dates&gt;&lt;year&gt;2021&lt;/year&gt;&lt;/dates&gt;&lt;pub-location&gt;Sydney&lt;/pub-location&gt;&lt;publisher&gt;St Vincent’s Hospital&lt;/publisher&gt;&lt;urls&gt;&lt;/urls&gt;&lt;/record&gt;&lt;/Cite&gt;&lt;/EndNote&gt;</w:instrText>
      </w:r>
      <w:r w:rsidR="00B81CB1">
        <w:rPr>
          <w:rFonts w:asciiTheme="minorHAnsi" w:hAnsiTheme="minorHAnsi" w:cstheme="minorHAnsi"/>
          <w:sz w:val="21"/>
          <w:szCs w:val="21"/>
        </w:rPr>
        <w:fldChar w:fldCharType="separate"/>
      </w:r>
      <w:r w:rsidR="004469A2" w:rsidRPr="004469A2">
        <w:rPr>
          <w:rFonts w:asciiTheme="minorHAnsi" w:hAnsiTheme="minorHAnsi" w:cstheme="minorHAnsi"/>
          <w:noProof/>
          <w:sz w:val="21"/>
          <w:szCs w:val="21"/>
          <w:vertAlign w:val="superscript"/>
        </w:rPr>
        <w:t>40</w:t>
      </w:r>
      <w:r w:rsidR="00B81CB1">
        <w:rPr>
          <w:rFonts w:asciiTheme="minorHAnsi" w:hAnsiTheme="minorHAnsi" w:cstheme="minorHAnsi"/>
          <w:sz w:val="21"/>
          <w:szCs w:val="21"/>
        </w:rPr>
        <w:fldChar w:fldCharType="end"/>
      </w:r>
      <w:r w:rsidRPr="00077819">
        <w:rPr>
          <w:rFonts w:asciiTheme="minorHAnsi" w:hAnsiTheme="minorHAnsi" w:cstheme="minorHAnsi"/>
          <w:sz w:val="21"/>
          <w:szCs w:val="21"/>
        </w:rPr>
        <w:t xml:space="preserve"> </w:t>
      </w:r>
      <w:r w:rsidR="008B3017">
        <w:rPr>
          <w:rFonts w:asciiTheme="minorHAnsi" w:hAnsiTheme="minorHAnsi" w:cstheme="minorHAnsi"/>
          <w:sz w:val="21"/>
          <w:szCs w:val="21"/>
        </w:rPr>
        <w:t>The average age of these consumers was 39 years</w:t>
      </w:r>
      <w:r w:rsidR="00D27D7F">
        <w:rPr>
          <w:rFonts w:asciiTheme="minorHAnsi" w:hAnsiTheme="minorHAnsi" w:cstheme="minorHAnsi"/>
          <w:sz w:val="21"/>
          <w:szCs w:val="21"/>
        </w:rPr>
        <w:t>, the median</w:t>
      </w:r>
      <w:r w:rsidR="007A4418">
        <w:rPr>
          <w:rFonts w:asciiTheme="minorHAnsi" w:hAnsiTheme="minorHAnsi" w:cstheme="minorHAnsi"/>
          <w:sz w:val="21"/>
          <w:szCs w:val="21"/>
        </w:rPr>
        <w:t>,</w:t>
      </w:r>
      <w:r w:rsidR="00D27D7F">
        <w:rPr>
          <w:rFonts w:asciiTheme="minorHAnsi" w:hAnsiTheme="minorHAnsi" w:cstheme="minorHAnsi"/>
          <w:sz w:val="21"/>
          <w:szCs w:val="21"/>
        </w:rPr>
        <w:t xml:space="preserve"> 37</w:t>
      </w:r>
      <w:r w:rsidR="007A4418">
        <w:rPr>
          <w:rFonts w:asciiTheme="minorHAnsi" w:hAnsiTheme="minorHAnsi" w:cstheme="minorHAnsi"/>
          <w:sz w:val="21"/>
          <w:szCs w:val="21"/>
        </w:rPr>
        <w:t>,</w:t>
      </w:r>
      <w:r w:rsidR="00D27D7F">
        <w:rPr>
          <w:rFonts w:asciiTheme="minorHAnsi" w:hAnsiTheme="minorHAnsi" w:cstheme="minorHAnsi"/>
          <w:sz w:val="21"/>
          <w:szCs w:val="21"/>
        </w:rPr>
        <w:t xml:space="preserve"> and range</w:t>
      </w:r>
      <w:r w:rsidR="007A4418" w:rsidRPr="00883E93">
        <w:rPr>
          <w:rFonts w:asciiTheme="minorHAnsi" w:hAnsiTheme="minorHAnsi" w:cstheme="minorHAnsi"/>
          <w:sz w:val="21"/>
          <w:szCs w:val="21"/>
        </w:rPr>
        <w:t>,</w:t>
      </w:r>
      <w:r w:rsidR="00D27D7F" w:rsidRPr="00883E93">
        <w:rPr>
          <w:rFonts w:asciiTheme="minorHAnsi" w:hAnsiTheme="minorHAnsi" w:cstheme="minorHAnsi"/>
          <w:sz w:val="21"/>
          <w:szCs w:val="21"/>
        </w:rPr>
        <w:t xml:space="preserve"> 11-</w:t>
      </w:r>
      <w:r w:rsidR="00D27D7F">
        <w:rPr>
          <w:rFonts w:asciiTheme="minorHAnsi" w:hAnsiTheme="minorHAnsi" w:cstheme="minorHAnsi"/>
          <w:sz w:val="21"/>
          <w:szCs w:val="21"/>
        </w:rPr>
        <w:t>91</w:t>
      </w:r>
      <w:r w:rsidR="008B3017">
        <w:rPr>
          <w:rFonts w:asciiTheme="minorHAnsi" w:hAnsiTheme="minorHAnsi" w:cstheme="minorHAnsi"/>
          <w:sz w:val="21"/>
          <w:szCs w:val="21"/>
        </w:rPr>
        <w:t>.</w:t>
      </w:r>
      <w:r w:rsidR="00B81CB1">
        <w:rPr>
          <w:rFonts w:asciiTheme="minorHAnsi" w:hAnsiTheme="minorHAnsi" w:cstheme="minorHAnsi"/>
          <w:sz w:val="21"/>
          <w:szCs w:val="21"/>
        </w:rPr>
        <w:fldChar w:fldCharType="begin"/>
      </w:r>
      <w:r w:rsidR="004469A2">
        <w:rPr>
          <w:rFonts w:asciiTheme="minorHAnsi" w:hAnsiTheme="minorHAnsi" w:cstheme="minorHAnsi"/>
          <w:sz w:val="21"/>
          <w:szCs w:val="21"/>
        </w:rPr>
        <w:instrText xml:space="preserve"> ADDIN EN.CITE &lt;EndNote&gt;&lt;Cite&gt;&lt;Author&gt;THIS WAY UP&lt;/Author&gt;&lt;Year&gt;2021&lt;/Year&gt;&lt;RecNum&gt;133&lt;/RecNum&gt;&lt;DisplayText&gt;&lt;style face="superscript"&gt;40&lt;/style&gt;&lt;/DisplayText&gt;&lt;record&gt;&lt;rec-number&gt;133&lt;/rec-number&gt;&lt;foreign-keys&gt;&lt;key app="EN" db-id="dawtr0zrkrzfa5edzzlpe2we0xa00t90vvr2" timestamp="1650261792"&gt;133&lt;/key&gt;&lt;/foreign-keys&gt;&lt;ref-type name="Report"&gt;27&lt;/ref-type&gt;&lt;contributors&gt;&lt;authors&gt;&lt;author&gt;THIS WAY UP,&lt;/author&gt;&lt;/authors&gt;&lt;/contributors&gt;&lt;titles&gt;&lt;title&gt;Project THIS WAY UP Clinic: Progress Report 21. For project period 1 July 2020 – 31 December 2020. Version 1.0, 29 January 2021&lt;/title&gt;&lt;/titles&gt;&lt;dates&gt;&lt;year&gt;2021&lt;/year&gt;&lt;/dates&gt;&lt;pub-location&gt;Sydney&lt;/pub-location&gt;&lt;publisher&gt;St Vincent’s Hospital&lt;/publisher&gt;&lt;urls&gt;&lt;/urls&gt;&lt;/record&gt;&lt;/Cite&gt;&lt;/EndNote&gt;</w:instrText>
      </w:r>
      <w:r w:rsidR="00B81CB1">
        <w:rPr>
          <w:rFonts w:asciiTheme="minorHAnsi" w:hAnsiTheme="minorHAnsi" w:cstheme="minorHAnsi"/>
          <w:sz w:val="21"/>
          <w:szCs w:val="21"/>
        </w:rPr>
        <w:fldChar w:fldCharType="separate"/>
      </w:r>
      <w:r w:rsidR="004469A2" w:rsidRPr="004469A2">
        <w:rPr>
          <w:rFonts w:asciiTheme="minorHAnsi" w:hAnsiTheme="minorHAnsi" w:cstheme="minorHAnsi"/>
          <w:noProof/>
          <w:sz w:val="21"/>
          <w:szCs w:val="21"/>
          <w:vertAlign w:val="superscript"/>
        </w:rPr>
        <w:t>40</w:t>
      </w:r>
      <w:r w:rsidR="00B81CB1">
        <w:rPr>
          <w:rFonts w:asciiTheme="minorHAnsi" w:hAnsiTheme="minorHAnsi" w:cstheme="minorHAnsi"/>
          <w:sz w:val="21"/>
          <w:szCs w:val="21"/>
        </w:rPr>
        <w:fldChar w:fldCharType="end"/>
      </w:r>
      <w:r w:rsidR="00883E93">
        <w:rPr>
          <w:rFonts w:asciiTheme="minorHAnsi" w:hAnsiTheme="minorHAnsi" w:cstheme="minorHAnsi"/>
          <w:sz w:val="21"/>
          <w:szCs w:val="21"/>
        </w:rPr>
        <w:t xml:space="preserve"> Note the youngest age is typically 12 years, however, referring clinicians may use their discretion to enable 11-year-olds to access services.</w:t>
      </w:r>
    </w:p>
    <w:p w14:paraId="7E92B092" w14:textId="6AB844E8" w:rsidR="008B3017" w:rsidRDefault="008B3017" w:rsidP="00621BF4">
      <w:pPr>
        <w:spacing w:after="240"/>
        <w:rPr>
          <w:rFonts w:asciiTheme="minorHAnsi" w:hAnsiTheme="minorHAnsi" w:cstheme="minorHAnsi"/>
          <w:sz w:val="21"/>
          <w:szCs w:val="21"/>
        </w:rPr>
      </w:pPr>
      <w:r>
        <w:rPr>
          <w:rFonts w:asciiTheme="minorHAnsi" w:hAnsiTheme="minorHAnsi" w:cstheme="minorHAnsi"/>
          <w:sz w:val="21"/>
          <w:szCs w:val="21"/>
        </w:rPr>
        <w:t>A</w:t>
      </w:r>
      <w:r w:rsidR="00A672EB" w:rsidRPr="00077819">
        <w:rPr>
          <w:rFonts w:asciiTheme="minorHAnsi" w:hAnsiTheme="minorHAnsi" w:cstheme="minorHAnsi"/>
          <w:sz w:val="21"/>
          <w:szCs w:val="21"/>
        </w:rPr>
        <w:t>round</w:t>
      </w:r>
      <w:r>
        <w:rPr>
          <w:rFonts w:asciiTheme="minorHAnsi" w:hAnsiTheme="minorHAnsi" w:cstheme="minorHAnsi"/>
          <w:sz w:val="21"/>
          <w:szCs w:val="21"/>
        </w:rPr>
        <w:t xml:space="preserve"> 7% o</w:t>
      </w:r>
      <w:r w:rsidR="00A672EB" w:rsidRPr="00077819">
        <w:rPr>
          <w:rFonts w:asciiTheme="minorHAnsi" w:hAnsiTheme="minorHAnsi" w:cstheme="minorHAnsi"/>
          <w:sz w:val="21"/>
          <w:szCs w:val="21"/>
        </w:rPr>
        <w:t xml:space="preserve">f </w:t>
      </w:r>
      <w:r>
        <w:rPr>
          <w:rFonts w:asciiTheme="minorHAnsi" w:hAnsiTheme="minorHAnsi" w:cstheme="minorHAnsi"/>
          <w:sz w:val="21"/>
          <w:szCs w:val="21"/>
        </w:rPr>
        <w:t xml:space="preserve">website </w:t>
      </w:r>
      <w:r w:rsidR="00A672EB" w:rsidRPr="00077819">
        <w:rPr>
          <w:rFonts w:asciiTheme="minorHAnsi" w:hAnsiTheme="minorHAnsi" w:cstheme="minorHAnsi"/>
          <w:sz w:val="21"/>
          <w:szCs w:val="21"/>
        </w:rPr>
        <w:t xml:space="preserve">consumers </w:t>
      </w:r>
      <w:r w:rsidR="00F409E8">
        <w:rPr>
          <w:rFonts w:asciiTheme="minorHAnsi" w:hAnsiTheme="minorHAnsi" w:cstheme="minorHAnsi"/>
          <w:sz w:val="21"/>
          <w:szCs w:val="21"/>
        </w:rPr>
        <w:t>a</w:t>
      </w:r>
      <w:r>
        <w:rPr>
          <w:rFonts w:asciiTheme="minorHAnsi" w:hAnsiTheme="minorHAnsi" w:cstheme="minorHAnsi"/>
          <w:sz w:val="21"/>
          <w:szCs w:val="21"/>
        </w:rPr>
        <w:t>re from rural and remote locations, November 2015 – December 2020</w:t>
      </w:r>
      <w:r w:rsidR="00A672EB" w:rsidRPr="00077819">
        <w:rPr>
          <w:rFonts w:asciiTheme="minorHAnsi" w:hAnsiTheme="minorHAnsi" w:cstheme="minorHAnsi"/>
          <w:sz w:val="21"/>
          <w:szCs w:val="21"/>
        </w:rPr>
        <w:t>.</w:t>
      </w:r>
      <w:r w:rsidR="00B81CB1">
        <w:rPr>
          <w:rFonts w:asciiTheme="minorHAnsi" w:hAnsiTheme="minorHAnsi" w:cstheme="minorHAnsi"/>
          <w:sz w:val="21"/>
          <w:szCs w:val="21"/>
        </w:rPr>
        <w:fldChar w:fldCharType="begin"/>
      </w:r>
      <w:r w:rsidR="004469A2">
        <w:rPr>
          <w:rFonts w:asciiTheme="minorHAnsi" w:hAnsiTheme="minorHAnsi" w:cstheme="minorHAnsi"/>
          <w:sz w:val="21"/>
          <w:szCs w:val="21"/>
        </w:rPr>
        <w:instrText xml:space="preserve"> ADDIN EN.CITE &lt;EndNote&gt;&lt;Cite&gt;&lt;Author&gt;THIS WAY UP&lt;/Author&gt;&lt;Year&gt;2021&lt;/Year&gt;&lt;RecNum&gt;133&lt;/RecNum&gt;&lt;DisplayText&gt;&lt;style face="superscript"&gt;40&lt;/style&gt;&lt;/DisplayText&gt;&lt;record&gt;&lt;rec-number&gt;133&lt;/rec-number&gt;&lt;foreign-keys&gt;&lt;key app="EN" db-id="dawtr0zrkrzfa5edzzlpe2we0xa00t90vvr2" timestamp="1650261792"&gt;133&lt;/key&gt;&lt;/foreign-keys&gt;&lt;ref-type name="Report"&gt;27&lt;/ref-type&gt;&lt;contributors&gt;&lt;authors&gt;&lt;author&gt;THIS WAY UP,&lt;/author&gt;&lt;/authors&gt;&lt;/contributors&gt;&lt;titles&gt;&lt;title&gt;Project THIS WAY UP Clinic: Progress Report 21. For project period 1 July 2020 – 31 December 2020. Version 1.0, 29 January 2021&lt;/title&gt;&lt;/titles&gt;&lt;dates&gt;&lt;year&gt;2021&lt;/year&gt;&lt;/dates&gt;&lt;pub-location&gt;Sydney&lt;/pub-location&gt;&lt;publisher&gt;St Vincent’s Hospital&lt;/publisher&gt;&lt;urls&gt;&lt;/urls&gt;&lt;/record&gt;&lt;/Cite&gt;&lt;/EndNote&gt;</w:instrText>
      </w:r>
      <w:r w:rsidR="00B81CB1">
        <w:rPr>
          <w:rFonts w:asciiTheme="minorHAnsi" w:hAnsiTheme="minorHAnsi" w:cstheme="minorHAnsi"/>
          <w:sz w:val="21"/>
          <w:szCs w:val="21"/>
        </w:rPr>
        <w:fldChar w:fldCharType="separate"/>
      </w:r>
      <w:r w:rsidR="004469A2" w:rsidRPr="004469A2">
        <w:rPr>
          <w:rFonts w:asciiTheme="minorHAnsi" w:hAnsiTheme="minorHAnsi" w:cstheme="minorHAnsi"/>
          <w:noProof/>
          <w:sz w:val="21"/>
          <w:szCs w:val="21"/>
          <w:vertAlign w:val="superscript"/>
        </w:rPr>
        <w:t>40</w:t>
      </w:r>
      <w:r w:rsidR="00B81CB1">
        <w:rPr>
          <w:rFonts w:asciiTheme="minorHAnsi" w:hAnsiTheme="minorHAnsi" w:cstheme="minorHAnsi"/>
          <w:sz w:val="21"/>
          <w:szCs w:val="21"/>
        </w:rPr>
        <w:fldChar w:fldCharType="end"/>
      </w:r>
    </w:p>
    <w:p w14:paraId="3DDAED58" w14:textId="221E8EF6" w:rsidR="00D27D7F" w:rsidRDefault="00B95EDD" w:rsidP="00621BF4">
      <w:pPr>
        <w:pStyle w:val="ANorm"/>
        <w:spacing w:after="240"/>
        <w:rPr>
          <w:rFonts w:cs="Calibri"/>
          <w:color w:val="000000"/>
          <w:sz w:val="22"/>
          <w:szCs w:val="22"/>
        </w:rPr>
      </w:pPr>
      <w:r>
        <w:t>Based on 6,132 c</w:t>
      </w:r>
      <w:r w:rsidRPr="00661D61">
        <w:t xml:space="preserve">onsumers who commenced the Depression and anxiety course </w:t>
      </w:r>
      <w:r w:rsidR="00315E4F">
        <w:t xml:space="preserve">from </w:t>
      </w:r>
      <w:r w:rsidRPr="00661D61">
        <w:t>March 2019</w:t>
      </w:r>
      <w:r w:rsidR="00CB508E">
        <w:t xml:space="preserve"> to</w:t>
      </w:r>
      <w:r>
        <w:t xml:space="preserve"> </w:t>
      </w:r>
      <w:r w:rsidRPr="00661D61">
        <w:t>October 2020</w:t>
      </w:r>
      <w:r w:rsidR="00002C05">
        <w:t>, average baseline: psychological distress</w:t>
      </w:r>
      <w:r w:rsidR="00C94129">
        <w:t xml:space="preserve"> (K10)</w:t>
      </w:r>
      <w:r w:rsidR="00002C05">
        <w:t xml:space="preserve"> </w:t>
      </w:r>
      <w:r w:rsidR="0026798B">
        <w:t>was</w:t>
      </w:r>
      <w:r w:rsidR="00002C05">
        <w:t xml:space="preserve"> very high; anxiety </w:t>
      </w:r>
      <w:r w:rsidR="00C94129">
        <w:t xml:space="preserve">(GAD-7) </w:t>
      </w:r>
      <w:r w:rsidR="0026798B">
        <w:t>was</w:t>
      </w:r>
      <w:r w:rsidR="00C94129">
        <w:t xml:space="preserve"> </w:t>
      </w:r>
      <w:r w:rsidR="00002C05">
        <w:t>moderate; and depression</w:t>
      </w:r>
      <w:r w:rsidR="00C94129">
        <w:t xml:space="preserve"> (PHQ-9) </w:t>
      </w:r>
      <w:r w:rsidR="00FC2775">
        <w:t>was</w:t>
      </w:r>
      <w:r w:rsidR="00C94129">
        <w:t xml:space="preserve"> moderate</w:t>
      </w:r>
      <w:r w:rsidRPr="00661D61">
        <w:t>.</w:t>
      </w:r>
      <w:r w:rsidR="00B81CB1">
        <w:fldChar w:fldCharType="begin"/>
      </w:r>
      <w:r w:rsidR="004469A2">
        <w:instrText xml:space="preserve"> ADDIN EN.CITE &lt;EndNote&gt;&lt;Cite&gt;&lt;Author&gt;Mahoney&lt;/Author&gt;&lt;Year&gt;2021&lt;/Year&gt;&lt;RecNum&gt;132&lt;/RecNum&gt;&lt;DisplayText&gt;&lt;style face="superscript"&gt;49&lt;/style&gt;&lt;/DisplayText&gt;&lt;record&gt;&lt;rec-number&gt;132&lt;/rec-number&gt;&lt;foreign-keys&gt;&lt;key app="EN" db-id="dawtr0zrkrzfa5edzzlpe2we0xa00t90vvr2" timestamp="1650020559"&gt;132&lt;/key&gt;&lt;/foreign-keys&gt;&lt;ref-type name="Journal Article"&gt;17&lt;/ref-type&gt;&lt;contributors&gt;&lt;authors&gt;&lt;author&gt;Mahoney, A. E. J.&lt;/author&gt;&lt;author&gt;Li, I.&lt;/author&gt;&lt;author&gt;Haskelberg, H.&lt;/author&gt;&lt;author&gt;Millard, M.&lt;/author&gt;&lt;author&gt;Newby, J. M. &lt;/author&gt;&lt;/authors&gt;&lt;/contributors&gt;&lt;titles&gt;&lt;title&gt;The uptake and effectiveness of online cognitive behaviour therapy for symptoms of anxiety and depression during COVID-19&lt;/title&gt;&lt;secondary-title&gt;Journal of Affective Disorders&lt;/secondary-title&gt;&lt;/titles&gt;&lt;periodical&gt;&lt;full-title&gt;Journal of Affective Disorders&lt;/full-title&gt;&lt;/periodical&gt;&lt;dates&gt;&lt;year&gt;2021&lt;/year&gt;&lt;/dates&gt;&lt;urls&gt;&lt;/urls&gt;&lt;/record&gt;&lt;/Cite&gt;&lt;/EndNote&gt;</w:instrText>
      </w:r>
      <w:r w:rsidR="00B81CB1">
        <w:fldChar w:fldCharType="separate"/>
      </w:r>
      <w:r w:rsidR="004469A2" w:rsidRPr="004469A2">
        <w:rPr>
          <w:noProof/>
          <w:vertAlign w:val="superscript"/>
        </w:rPr>
        <w:t>49</w:t>
      </w:r>
      <w:r w:rsidR="00B81CB1">
        <w:fldChar w:fldCharType="end"/>
      </w:r>
      <w:r w:rsidR="00D27D7F">
        <w:t xml:space="preserve"> Around three-quarters (74.5%) ha</w:t>
      </w:r>
      <w:r w:rsidR="003D7D70">
        <w:t>ve</w:t>
      </w:r>
      <w:r w:rsidR="00D27D7F">
        <w:t xml:space="preserve"> a probable diagnosis of major depressive disorder </w:t>
      </w:r>
      <w:r w:rsidR="002271F3">
        <w:t xml:space="preserve">(PHQ-9 score </w:t>
      </w:r>
      <w:r w:rsidR="002271F3" w:rsidRPr="002271F3">
        <w:rPr>
          <w:u w:val="single"/>
        </w:rPr>
        <w:t>&gt;</w:t>
      </w:r>
      <w:r w:rsidR="002271F3">
        <w:t xml:space="preserve"> 10)</w:t>
      </w:r>
      <w:r w:rsidR="00EE14AA">
        <w:t xml:space="preserve"> </w:t>
      </w:r>
      <w:r w:rsidR="00D27D7F">
        <w:t>and almost two thirds (64%) a probable diagnosis of GAD</w:t>
      </w:r>
      <w:r w:rsidR="002271F3">
        <w:t xml:space="preserve"> (GAD-7 score </w:t>
      </w:r>
      <w:r w:rsidR="002271F3" w:rsidRPr="002271F3">
        <w:rPr>
          <w:u w:val="single"/>
        </w:rPr>
        <w:t>&gt;</w:t>
      </w:r>
      <w:r w:rsidR="002271F3">
        <w:t xml:space="preserve"> 10)</w:t>
      </w:r>
      <w:r w:rsidR="00D27D7F">
        <w:t>.</w:t>
      </w:r>
      <w:r w:rsidR="00B81CB1">
        <w:fldChar w:fldCharType="begin"/>
      </w:r>
      <w:r w:rsidR="004469A2">
        <w:instrText xml:space="preserve"> ADDIN EN.CITE &lt;EndNote&gt;&lt;Cite&gt;&lt;Author&gt;Mahoney&lt;/Author&gt;&lt;Year&gt;2021&lt;/Year&gt;&lt;RecNum&gt;132&lt;/RecNum&gt;&lt;DisplayText&gt;&lt;style face="superscript"&gt;49&lt;/style&gt;&lt;/DisplayText&gt;&lt;record&gt;&lt;rec-number&gt;132&lt;/rec-number&gt;&lt;foreign-keys&gt;&lt;key app="EN" db-id="dawtr0zrkrzfa5edzzlpe2we0xa00t90vvr2" timestamp="1650020559"&gt;132&lt;/key&gt;&lt;/foreign-keys&gt;&lt;ref-type name="Journal Article"&gt;17&lt;/ref-type&gt;&lt;contributors&gt;&lt;authors&gt;&lt;author&gt;Mahoney, A. E. J.&lt;/author&gt;&lt;author&gt;Li, I.&lt;/author&gt;&lt;author&gt;Haskelberg, H.&lt;/author&gt;&lt;author&gt;Millard, M.&lt;/author&gt;&lt;author&gt;Newby, J. M. &lt;/author&gt;&lt;/authors&gt;&lt;/contributors&gt;&lt;titles&gt;&lt;title&gt;The uptake and effectiveness of online cognitive behaviour therapy for symptoms of anxiety and depression during COVID-19&lt;/title&gt;&lt;secondary-title&gt;Journal of Affective Disorders&lt;/secondary-title&gt;&lt;/titles&gt;&lt;periodical&gt;&lt;full-title&gt;Journal of Affective Disorders&lt;/full-title&gt;&lt;/periodical&gt;&lt;dates&gt;&lt;year&gt;2021&lt;/year&gt;&lt;/dates&gt;&lt;urls&gt;&lt;/urls&gt;&lt;/record&gt;&lt;/Cite&gt;&lt;/EndNote&gt;</w:instrText>
      </w:r>
      <w:r w:rsidR="00B81CB1">
        <w:fldChar w:fldCharType="separate"/>
      </w:r>
      <w:r w:rsidR="004469A2" w:rsidRPr="004469A2">
        <w:rPr>
          <w:noProof/>
          <w:vertAlign w:val="superscript"/>
        </w:rPr>
        <w:t>49</w:t>
      </w:r>
      <w:r w:rsidR="00B81CB1">
        <w:fldChar w:fldCharType="end"/>
      </w:r>
      <w:r w:rsidR="00D27D7F">
        <w:t xml:space="preserve"> </w:t>
      </w:r>
      <w:r w:rsidR="00D27D7F" w:rsidRPr="004C5EEA">
        <w:rPr>
          <w:rFonts w:cs="Calibri"/>
          <w:color w:val="000000"/>
          <w:sz w:val="22"/>
          <w:szCs w:val="22"/>
        </w:rPr>
        <w:t xml:space="preserve">Most </w:t>
      </w:r>
      <w:r w:rsidR="00512E92">
        <w:rPr>
          <w:rFonts w:cs="Calibri"/>
          <w:color w:val="000000"/>
          <w:sz w:val="22"/>
          <w:szCs w:val="22"/>
        </w:rPr>
        <w:t>a</w:t>
      </w:r>
      <w:r w:rsidR="00D27D7F" w:rsidRPr="004C5EEA">
        <w:rPr>
          <w:rFonts w:cs="Calibri"/>
          <w:color w:val="000000"/>
          <w:sz w:val="22"/>
          <w:szCs w:val="22"/>
        </w:rPr>
        <w:t xml:space="preserve">re prescribed </w:t>
      </w:r>
      <w:r w:rsidR="004C5EEA">
        <w:rPr>
          <w:rFonts w:cs="Calibri"/>
          <w:color w:val="000000"/>
          <w:sz w:val="22"/>
          <w:szCs w:val="22"/>
        </w:rPr>
        <w:t>the Depression and anxiety</w:t>
      </w:r>
      <w:r w:rsidR="00D27D7F" w:rsidRPr="004C5EEA">
        <w:rPr>
          <w:rFonts w:cs="Calibri"/>
          <w:color w:val="000000"/>
          <w:sz w:val="22"/>
          <w:szCs w:val="22"/>
        </w:rPr>
        <w:t xml:space="preserve"> course by their psychologists or GPs (38.7% and 34.8%, respectively) </w:t>
      </w:r>
      <w:r w:rsidR="004C5EEA" w:rsidRPr="004C5EEA">
        <w:rPr>
          <w:rFonts w:cs="Calibri"/>
          <w:color w:val="000000"/>
          <w:sz w:val="22"/>
          <w:szCs w:val="22"/>
        </w:rPr>
        <w:t xml:space="preserve">and </w:t>
      </w:r>
      <w:r w:rsidR="00D27D7F" w:rsidRPr="00D27D7F">
        <w:rPr>
          <w:rFonts w:cs="Calibri"/>
          <w:color w:val="000000"/>
          <w:sz w:val="22"/>
          <w:szCs w:val="22"/>
        </w:rPr>
        <w:t xml:space="preserve">12.4% </w:t>
      </w:r>
      <w:r w:rsidR="004C5EEA">
        <w:rPr>
          <w:rFonts w:cs="Calibri"/>
          <w:color w:val="000000"/>
          <w:sz w:val="22"/>
          <w:szCs w:val="22"/>
        </w:rPr>
        <w:t xml:space="preserve">by </w:t>
      </w:r>
      <w:r w:rsidR="00D27D7F" w:rsidRPr="00D27D7F">
        <w:rPr>
          <w:rFonts w:cs="Calibri"/>
          <w:color w:val="000000"/>
          <w:sz w:val="22"/>
          <w:szCs w:val="22"/>
        </w:rPr>
        <w:t>medical specialists.</w:t>
      </w:r>
      <w:r w:rsidR="00B81CB1">
        <w:rPr>
          <w:rFonts w:cs="Calibri"/>
          <w:color w:val="000000"/>
          <w:sz w:val="22"/>
          <w:szCs w:val="22"/>
        </w:rPr>
        <w:fldChar w:fldCharType="begin"/>
      </w:r>
      <w:r w:rsidR="004469A2">
        <w:rPr>
          <w:rFonts w:cs="Calibri"/>
          <w:color w:val="000000"/>
          <w:sz w:val="22"/>
          <w:szCs w:val="22"/>
        </w:rPr>
        <w:instrText xml:space="preserve"> ADDIN EN.CITE &lt;EndNote&gt;&lt;Cite&gt;&lt;Author&gt;Mahoney&lt;/Author&gt;&lt;Year&gt;2021&lt;/Year&gt;&lt;RecNum&gt;132&lt;/RecNum&gt;&lt;DisplayText&gt;&lt;style face="superscript"&gt;49&lt;/style&gt;&lt;/DisplayText&gt;&lt;record&gt;&lt;rec-number&gt;132&lt;/rec-number&gt;&lt;foreign-keys&gt;&lt;key app="EN" db-id="dawtr0zrkrzfa5edzzlpe2we0xa00t90vvr2" timestamp="1650020559"&gt;132&lt;/key&gt;&lt;/foreign-keys&gt;&lt;ref-type name="Journal Article"&gt;17&lt;/ref-type&gt;&lt;contributors&gt;&lt;authors&gt;&lt;author&gt;Mahoney, A. E. J.&lt;/author&gt;&lt;author&gt;Li, I.&lt;/author&gt;&lt;author&gt;Haskelberg, H.&lt;/author&gt;&lt;author&gt;Millard, M.&lt;/author&gt;&lt;author&gt;Newby, J. M. &lt;/author&gt;&lt;/authors&gt;&lt;/contributors&gt;&lt;titles&gt;&lt;title&gt;The uptake and effectiveness of online cognitive behaviour therapy for symptoms of anxiety and depression during COVID-19&lt;/title&gt;&lt;secondary-title&gt;Journal of Affective Disorders&lt;/secondary-title&gt;&lt;/titles&gt;&lt;periodical&gt;&lt;full-title&gt;Journal of Affective Disorders&lt;/full-title&gt;&lt;/periodical&gt;&lt;dates&gt;&lt;year&gt;2021&lt;/year&gt;&lt;/dates&gt;&lt;urls&gt;&lt;/urls&gt;&lt;/record&gt;&lt;/Cite&gt;&lt;/EndNote&gt;</w:instrText>
      </w:r>
      <w:r w:rsidR="00B81CB1">
        <w:rPr>
          <w:rFonts w:cs="Calibri"/>
          <w:color w:val="000000"/>
          <w:sz w:val="22"/>
          <w:szCs w:val="22"/>
        </w:rPr>
        <w:fldChar w:fldCharType="separate"/>
      </w:r>
      <w:r w:rsidR="004469A2" w:rsidRPr="004469A2">
        <w:rPr>
          <w:rFonts w:cs="Calibri"/>
          <w:noProof/>
          <w:color w:val="000000"/>
          <w:sz w:val="22"/>
          <w:szCs w:val="22"/>
          <w:vertAlign w:val="superscript"/>
        </w:rPr>
        <w:t>49</w:t>
      </w:r>
      <w:r w:rsidR="00B81CB1">
        <w:rPr>
          <w:rFonts w:cs="Calibri"/>
          <w:color w:val="000000"/>
          <w:sz w:val="22"/>
          <w:szCs w:val="22"/>
        </w:rPr>
        <w:fldChar w:fldCharType="end"/>
      </w:r>
      <w:r w:rsidR="004C5EEA">
        <w:rPr>
          <w:rFonts w:cs="Calibri"/>
          <w:color w:val="000000"/>
          <w:sz w:val="22"/>
          <w:szCs w:val="22"/>
        </w:rPr>
        <w:t xml:space="preserve"> Around 15% complete the course with support from their prescribing clinician and 85% completed the course </w:t>
      </w:r>
      <w:r w:rsidR="00CF145D">
        <w:rPr>
          <w:rFonts w:cs="Calibri"/>
          <w:color w:val="000000"/>
          <w:sz w:val="22"/>
          <w:szCs w:val="22"/>
        </w:rPr>
        <w:t>using</w:t>
      </w:r>
      <w:r w:rsidR="004C5EEA">
        <w:rPr>
          <w:rFonts w:cs="Calibri"/>
          <w:color w:val="000000"/>
          <w:sz w:val="22"/>
          <w:szCs w:val="22"/>
        </w:rPr>
        <w:t xml:space="preserve"> a self-directed format.</w:t>
      </w:r>
      <w:r w:rsidR="00B81CB1">
        <w:rPr>
          <w:rFonts w:cs="Calibri"/>
          <w:color w:val="000000"/>
          <w:sz w:val="22"/>
          <w:szCs w:val="22"/>
        </w:rPr>
        <w:fldChar w:fldCharType="begin"/>
      </w:r>
      <w:r w:rsidR="004469A2">
        <w:rPr>
          <w:rFonts w:cs="Calibri"/>
          <w:color w:val="000000"/>
          <w:sz w:val="22"/>
          <w:szCs w:val="22"/>
        </w:rPr>
        <w:instrText xml:space="preserve"> ADDIN EN.CITE &lt;EndNote&gt;&lt;Cite&gt;&lt;Author&gt;Mahoney&lt;/Author&gt;&lt;Year&gt;2021&lt;/Year&gt;&lt;RecNum&gt;132&lt;/RecNum&gt;&lt;DisplayText&gt;&lt;style face="superscript"&gt;49&lt;/style&gt;&lt;/DisplayText&gt;&lt;record&gt;&lt;rec-number&gt;132&lt;/rec-number&gt;&lt;foreign-keys&gt;&lt;key app="EN" db-id="dawtr0zrkrzfa5edzzlpe2we0xa00t90vvr2" timestamp="1650020559"&gt;132&lt;/key&gt;&lt;/foreign-keys&gt;&lt;ref-type name="Journal Article"&gt;17&lt;/ref-type&gt;&lt;contributors&gt;&lt;authors&gt;&lt;author&gt;Mahoney, A. E. J.&lt;/author&gt;&lt;author&gt;Li, I.&lt;/author&gt;&lt;author&gt;Haskelberg, H.&lt;/author&gt;&lt;author&gt;Millard, M.&lt;/author&gt;&lt;author&gt;Newby, J. M. &lt;/author&gt;&lt;/authors&gt;&lt;/contributors&gt;&lt;titles&gt;&lt;title&gt;The uptake and effectiveness of online cognitive behaviour therapy for symptoms of anxiety and depression during COVID-19&lt;/title&gt;&lt;secondary-title&gt;Journal of Affective Disorders&lt;/secondary-title&gt;&lt;/titles&gt;&lt;periodical&gt;&lt;full-title&gt;Journal of Affective Disorders&lt;/full-title&gt;&lt;/periodical&gt;&lt;dates&gt;&lt;year&gt;2021&lt;/year&gt;&lt;/dates&gt;&lt;urls&gt;&lt;/urls&gt;&lt;/record&gt;&lt;/Cite&gt;&lt;/EndNote&gt;</w:instrText>
      </w:r>
      <w:r w:rsidR="00B81CB1">
        <w:rPr>
          <w:rFonts w:cs="Calibri"/>
          <w:color w:val="000000"/>
          <w:sz w:val="22"/>
          <w:szCs w:val="22"/>
        </w:rPr>
        <w:fldChar w:fldCharType="separate"/>
      </w:r>
      <w:r w:rsidR="004469A2" w:rsidRPr="004469A2">
        <w:rPr>
          <w:rFonts w:cs="Calibri"/>
          <w:noProof/>
          <w:color w:val="000000"/>
          <w:sz w:val="22"/>
          <w:szCs w:val="22"/>
          <w:vertAlign w:val="superscript"/>
        </w:rPr>
        <w:t>49</w:t>
      </w:r>
      <w:r w:rsidR="00B81CB1">
        <w:rPr>
          <w:rFonts w:cs="Calibri"/>
          <w:color w:val="000000"/>
          <w:sz w:val="22"/>
          <w:szCs w:val="22"/>
        </w:rPr>
        <w:fldChar w:fldCharType="end"/>
      </w:r>
    </w:p>
    <w:p w14:paraId="63CE5B2B" w14:textId="0714C2AA" w:rsidR="007F04B7" w:rsidRDefault="007F04B7" w:rsidP="005A16C4">
      <w:pPr>
        <w:pStyle w:val="Heading4"/>
        <w:numPr>
          <w:ilvl w:val="3"/>
          <w:numId w:val="167"/>
        </w:numPr>
        <w:spacing w:after="240"/>
      </w:pPr>
      <w:r>
        <w:t>Predictors of treatment completion</w:t>
      </w:r>
    </w:p>
    <w:p w14:paraId="4187F2C9" w14:textId="35AC29F2" w:rsidR="00DA5171" w:rsidRDefault="007F04B7" w:rsidP="00621BF4">
      <w:pPr>
        <w:pStyle w:val="ANorm"/>
        <w:spacing w:after="240"/>
      </w:pPr>
      <w:r>
        <w:t>Several studies have examined predictors of completion of THIS WAY UP treatment.</w:t>
      </w:r>
      <w:r w:rsidR="00584087">
        <w:fldChar w:fldCharType="begin">
          <w:fldData xml:space="preserve">PEVuZE5vdGU+PENpdGU+PEF1dGhvcj5Ib2JiczwvQXV0aG9yPjxZZWFyPjIwMTg8L1llYXI+PFJl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</w:fldData>
        </w:fldChar>
      </w:r>
      <w:r w:rsidR="004469A2">
        <w:instrText xml:space="preserve"> ADDIN EN.CITE </w:instrText>
      </w:r>
      <w:r w:rsidR="004469A2">
        <w:fldChar w:fldCharType="begin">
          <w:fldData xml:space="preserve">PEVuZE5vdGU+PENpdGU+PEF1dGhvcj5Ib2JiczwvQXV0aG9yPjxZZWFyPjIwMTg8L1llYXI+PFJl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</w:fldData>
        </w:fldChar>
      </w:r>
      <w:r w:rsidR="004469A2">
        <w:instrText xml:space="preserve"> ADDIN EN.CITE.DATA </w:instrText>
      </w:r>
      <w:r w:rsidR="004469A2">
        <w:fldChar w:fldCharType="end"/>
      </w:r>
      <w:r w:rsidR="00584087">
        <w:fldChar w:fldCharType="separate"/>
      </w:r>
      <w:r w:rsidR="004469A2" w:rsidRPr="004469A2">
        <w:rPr>
          <w:noProof/>
          <w:vertAlign w:val="superscript"/>
        </w:rPr>
        <w:t>50-54</w:t>
      </w:r>
      <w:r w:rsidR="00584087">
        <w:fldChar w:fldCharType="end"/>
      </w:r>
      <w:r w:rsidR="00DA5171">
        <w:t xml:space="preserve"> Because we used the same studies to extract THIS WAY UP outcome data, detail</w:t>
      </w:r>
      <w:r w:rsidR="00584087">
        <w:t>s</w:t>
      </w:r>
      <w:r w:rsidR="00DA5171">
        <w:t xml:space="preserve"> about predictors of adherence are summarised together with those regarding outcomes in </w:t>
      </w:r>
      <w:r w:rsidR="00DA5171" w:rsidRPr="00A47161">
        <w:t xml:space="preserve">Section 4.5 (Table </w:t>
      </w:r>
      <w:r w:rsidR="00A47161" w:rsidRPr="00A47161">
        <w:t>20</w:t>
      </w:r>
      <w:r w:rsidR="00DA5171" w:rsidRPr="00A47161">
        <w:t>).</w:t>
      </w:r>
    </w:p>
    <w:p w14:paraId="1D544DFA" w14:textId="3851509E" w:rsidR="007F04B7" w:rsidRDefault="00DA5171" w:rsidP="00621BF4">
      <w:pPr>
        <w:pStyle w:val="ANorm"/>
        <w:spacing w:after="240"/>
      </w:pPr>
      <w:r>
        <w:t>Brief</w:t>
      </w:r>
      <w:r w:rsidR="007F04B7" w:rsidRPr="007F04B7">
        <w:t xml:space="preserve">ly, </w:t>
      </w:r>
      <w:r w:rsidR="00584087">
        <w:t>findings</w:t>
      </w:r>
      <w:r w:rsidR="007F04B7" w:rsidRPr="007F04B7">
        <w:t xml:space="preserve"> indicated that older adults and consumers with less severe symptoms are more likely to complete treatment. </w:t>
      </w:r>
      <w:r w:rsidR="00BF1A27">
        <w:t>O</w:t>
      </w:r>
      <w:r w:rsidR="007F04B7" w:rsidRPr="007F04B7">
        <w:t>ne study suggest</w:t>
      </w:r>
      <w:r w:rsidR="004339A9">
        <w:t>ed</w:t>
      </w:r>
      <w:r w:rsidR="007F04B7" w:rsidRPr="007F04B7">
        <w:t xml:space="preserve"> that more contacts from prescribing clinicians during the course was associated with treatment completion</w:t>
      </w:r>
      <w:r>
        <w:t>.</w:t>
      </w:r>
      <w:r w:rsidR="00584087">
        <w:fldChar w:fldCharType="begin"/>
      </w:r>
      <w:r w:rsidR="004469A2">
        <w:instrText xml:space="preserve"> ADDIN EN.CITE &lt;EndNote&gt;&lt;Cite&gt;&lt;Author&gt;Allen&lt;/Author&gt;&lt;Year&gt;2016&lt;/Year&gt;&lt;RecNum&gt;189&lt;/RecNum&gt;&lt;DisplayText&gt;&lt;style face="superscript"&gt;53&lt;/style&gt;&lt;/DisplayText&gt;&lt;record&gt;&lt;rec-number&gt;189&lt;/rec-number&gt;&lt;foreign-keys&gt;&lt;key app="EN" db-id="dawtr0zrkrzfa5edzzlpe2we0xa00t90vvr2" timestamp="1655692972"&gt;189&lt;/key&gt;&lt;/foreign-keys&gt;&lt;ref-type name="Journal Article"&gt;17&lt;/ref-type&gt;&lt;contributors&gt;&lt;authors&gt;&lt;author&gt;Allen, Adrian R.&lt;/author&gt;&lt;author&gt;Newby, Jill M.&lt;/author&gt;&lt;author&gt;Mackenzie, Anna&lt;/author&gt;&lt;author&gt;Smith, Jessica&lt;/author&gt;&lt;author&gt;Boulton, Matthew&lt;/author&gt;&lt;author&gt;Loughnan, Siobhan A.&lt;/author&gt;&lt;author&gt;Andrews, Gavin&lt;/author&gt;&lt;/authors&gt;&lt;/contributors&gt;&lt;titles&gt;&lt;title&gt;Internet cognitive-behavioural treatment for panic disorder: randomised controlled trial and evidence of effectiveness in primary care&lt;/title&gt;&lt;secondary-title&gt;BJPsych open&lt;/secondary-title&gt;&lt;alt-title&gt;BJPsych Open&lt;/alt-title&gt;&lt;/titles&gt;&lt;periodical&gt;&lt;full-title&gt;BJPsych open&lt;/full-title&gt;&lt;/periodical&gt;&lt;alt-periodical&gt;&lt;full-title&gt;BJPsych open&lt;/full-title&gt;&lt;/alt-periodical&gt;&lt;pages&gt;154-162&lt;/pages&gt;&lt;volume&gt;2&lt;/volume&gt;&lt;number&gt;2&lt;/number&gt;&lt;dates&gt;&lt;year&gt;2016&lt;/year&gt;&lt;/dates&gt;&lt;publisher&gt;The Royal College of Psychiatrists&lt;/publisher&gt;&lt;isbn&gt;2056-4724&lt;/isbn&gt;&lt;accession-num&gt;27703768&lt;/accession-num&gt;&lt;urls&gt;&lt;related-urls&gt;&lt;url&gt;https://pubmed.ncbi.nlm.nih.gov/27703768&lt;/url&gt;&lt;url&gt;https://www.ncbi.nlm.nih.gov/pmc/articles/PMC4998930/&lt;/url&gt;&lt;/related-urls&gt;&lt;/urls&gt;&lt;electronic-resource-num&gt;10.1192/bjpo.bp.115.001826&lt;/electronic-resource-num&gt;&lt;remote-database-name&gt;PubMed&lt;/remote-database-name&gt;&lt;language&gt;eng&lt;/language&gt;&lt;/record&gt;&lt;/Cite&gt;&lt;/EndNote&gt;</w:instrText>
      </w:r>
      <w:r w:rsidR="00584087">
        <w:fldChar w:fldCharType="separate"/>
      </w:r>
      <w:r w:rsidR="004469A2" w:rsidRPr="004469A2">
        <w:rPr>
          <w:noProof/>
          <w:vertAlign w:val="superscript"/>
        </w:rPr>
        <w:t>53</w:t>
      </w:r>
      <w:r w:rsidR="00584087">
        <w:fldChar w:fldCharType="end"/>
      </w:r>
    </w:p>
    <w:p w14:paraId="6F3CD1B2" w14:textId="365F44D2" w:rsidR="00684A52" w:rsidRPr="00B959F6" w:rsidRDefault="00020F47" w:rsidP="00020F47">
      <w:pPr>
        <w:pStyle w:val="Heading2"/>
      </w:pPr>
      <w:bookmarkStart w:id="52" w:name="_Toc108784837"/>
      <w:r w:rsidRPr="00B959F6">
        <w:t>Summary</w:t>
      </w:r>
      <w:bookmarkEnd w:id="52"/>
    </w:p>
    <w:p w14:paraId="130DBAFD" w14:textId="01E899D7" w:rsidR="00BD2B56" w:rsidRPr="00BD2B56" w:rsidRDefault="00716087" w:rsidP="00BD2B56">
      <w:pPr>
        <w:pStyle w:val="ANorm"/>
        <w:rPr>
          <w:highlight w:val="yellow"/>
        </w:rPr>
      </w:pPr>
      <w:r w:rsidRPr="00684C0F">
        <w:rPr>
          <w:rFonts w:cstheme="minorHAnsi"/>
        </w:rPr>
        <w:t xml:space="preserve">Together, the three DMHSs are providing </w:t>
      </w:r>
      <w:r w:rsidR="00F12013">
        <w:rPr>
          <w:rFonts w:cstheme="minorHAnsi"/>
        </w:rPr>
        <w:t xml:space="preserve">free </w:t>
      </w:r>
      <w:r w:rsidR="005E523C">
        <w:rPr>
          <w:rFonts w:cstheme="minorHAnsi"/>
        </w:rPr>
        <w:t xml:space="preserve">online </w:t>
      </w:r>
      <w:r w:rsidRPr="00684C0F">
        <w:rPr>
          <w:rFonts w:cstheme="minorHAnsi"/>
        </w:rPr>
        <w:t xml:space="preserve">psychological treatment to thousands of consumers per year, and this represents only one component of their service offerings. </w:t>
      </w:r>
      <w:r>
        <w:rPr>
          <w:rFonts w:cstheme="minorHAnsi"/>
        </w:rPr>
        <w:t>Importantly, they are also conducting tens of thousands of assessments per year, which helps</w:t>
      </w:r>
      <w:r w:rsidRPr="005C17A2">
        <w:rPr>
          <w:rFonts w:cstheme="minorHAnsi"/>
        </w:rPr>
        <w:t xml:space="preserve"> to support </w:t>
      </w:r>
      <w:r>
        <w:rPr>
          <w:rFonts w:cstheme="minorHAnsi"/>
        </w:rPr>
        <w:t xml:space="preserve">consumers with </w:t>
      </w:r>
      <w:r w:rsidRPr="005C17A2">
        <w:rPr>
          <w:rFonts w:cstheme="minorHAnsi"/>
        </w:rPr>
        <w:t>navigat</w:t>
      </w:r>
      <w:r>
        <w:rPr>
          <w:rFonts w:cstheme="minorHAnsi"/>
        </w:rPr>
        <w:t>ing other services i</w:t>
      </w:r>
      <w:r w:rsidRPr="005C17A2">
        <w:rPr>
          <w:rFonts w:cstheme="minorHAnsi"/>
        </w:rPr>
        <w:t>n</w:t>
      </w:r>
      <w:r>
        <w:rPr>
          <w:rFonts w:cstheme="minorHAnsi"/>
        </w:rPr>
        <w:t xml:space="preserve"> the mental health system and </w:t>
      </w:r>
      <w:r w:rsidRPr="005C17A2">
        <w:rPr>
          <w:rFonts w:cstheme="minorHAnsi"/>
        </w:rPr>
        <w:t xml:space="preserve">identify </w:t>
      </w:r>
      <w:r>
        <w:rPr>
          <w:rFonts w:cstheme="minorHAnsi"/>
        </w:rPr>
        <w:t>consumers at increased</w:t>
      </w:r>
      <w:r w:rsidRPr="005C17A2">
        <w:rPr>
          <w:rFonts w:cstheme="minorHAnsi"/>
        </w:rPr>
        <w:t xml:space="preserve"> risk of suicide.</w:t>
      </w:r>
      <w:r w:rsidR="00E40644">
        <w:rPr>
          <w:rFonts w:cstheme="minorHAnsi"/>
        </w:rPr>
        <w:t xml:space="preserve"> Consumers</w:t>
      </w:r>
      <w:r w:rsidR="00E40644" w:rsidRPr="00684C0F">
        <w:rPr>
          <w:rFonts w:cstheme="minorHAnsi"/>
        </w:rPr>
        <w:t xml:space="preserve"> us</w:t>
      </w:r>
      <w:r w:rsidR="00E40644">
        <w:rPr>
          <w:rFonts w:cstheme="minorHAnsi"/>
        </w:rPr>
        <w:t>ing</w:t>
      </w:r>
      <w:r w:rsidR="00E40644" w:rsidRPr="00684C0F">
        <w:rPr>
          <w:rFonts w:cstheme="minorHAnsi"/>
        </w:rPr>
        <w:t xml:space="preserve"> DMHSs tend to be females</w:t>
      </w:r>
      <w:r w:rsidR="00875427">
        <w:rPr>
          <w:rFonts w:cstheme="minorHAnsi"/>
        </w:rPr>
        <w:t>,</w:t>
      </w:r>
      <w:r w:rsidR="00E40644" w:rsidRPr="00684C0F">
        <w:rPr>
          <w:rFonts w:cstheme="minorHAnsi"/>
        </w:rPr>
        <w:t xml:space="preserve"> under 54 years living in urban areas</w:t>
      </w:r>
      <w:r w:rsidR="007E7506">
        <w:rPr>
          <w:rFonts w:cstheme="minorHAnsi"/>
        </w:rPr>
        <w:t xml:space="preserve"> and</w:t>
      </w:r>
      <w:r w:rsidR="00E40644" w:rsidRPr="00684C0F">
        <w:rPr>
          <w:rFonts w:cstheme="minorHAnsi"/>
        </w:rPr>
        <w:t xml:space="preserve"> experiencing </w:t>
      </w:r>
      <w:r w:rsidR="007E7506">
        <w:rPr>
          <w:rFonts w:cstheme="minorHAnsi"/>
        </w:rPr>
        <w:t>clinically significant</w:t>
      </w:r>
      <w:r w:rsidR="00E40644" w:rsidRPr="00684C0F">
        <w:rPr>
          <w:rFonts w:cstheme="minorHAnsi"/>
        </w:rPr>
        <w:t xml:space="preserve"> symptoms</w:t>
      </w:r>
      <w:r w:rsidR="00B959F6">
        <w:rPr>
          <w:rFonts w:cstheme="minorHAnsi"/>
        </w:rPr>
        <w:t>.</w:t>
      </w:r>
      <w:r w:rsidR="00E40644" w:rsidRPr="00684C0F">
        <w:rPr>
          <w:rFonts w:cstheme="minorHAnsi"/>
        </w:rPr>
        <w:t xml:space="preserve"> </w:t>
      </w:r>
      <w:r w:rsidR="00B959F6">
        <w:rPr>
          <w:rFonts w:cstheme="minorHAnsi"/>
        </w:rPr>
        <w:t xml:space="preserve">Significant proportions </w:t>
      </w:r>
      <w:r w:rsidR="00F12013">
        <w:rPr>
          <w:rFonts w:cstheme="minorHAnsi"/>
        </w:rPr>
        <w:t xml:space="preserve">of consumers </w:t>
      </w:r>
      <w:r w:rsidR="007E7506">
        <w:rPr>
          <w:rFonts w:cstheme="minorHAnsi"/>
        </w:rPr>
        <w:t xml:space="preserve">are </w:t>
      </w:r>
      <w:r w:rsidR="00E40644" w:rsidRPr="00684C0F">
        <w:rPr>
          <w:rFonts w:cstheme="minorHAnsi"/>
        </w:rPr>
        <w:t>not accessing any other mental health services.</w:t>
      </w:r>
    </w:p>
    <w:p w14:paraId="7EB267B8" w14:textId="38894077" w:rsidR="00F6058A" w:rsidRDefault="00F6058A" w:rsidP="006533C5">
      <w:pPr>
        <w:rPr>
          <w:rFonts w:asciiTheme="minorHAnsi" w:hAnsiTheme="minorHAnsi" w:cstheme="minorHAnsi"/>
          <w:sz w:val="21"/>
          <w:szCs w:val="21"/>
          <w:highlight w:val="yellow"/>
        </w:rPr>
      </w:pPr>
      <w:r>
        <w:rPr>
          <w:rFonts w:asciiTheme="minorHAnsi" w:hAnsiTheme="minorHAnsi" w:cstheme="minorHAnsi"/>
          <w:sz w:val="21"/>
          <w:szCs w:val="21"/>
          <w:highlight w:val="yellow"/>
        </w:rPr>
        <w:br w:type="page"/>
      </w:r>
    </w:p>
    <w:p w14:paraId="2B8FB44C" w14:textId="09632E00" w:rsidR="001F7D50" w:rsidRPr="00AA6B28" w:rsidRDefault="005E322D" w:rsidP="00614DE2">
      <w:pPr>
        <w:pStyle w:val="Heading1"/>
        <w:numPr>
          <w:ilvl w:val="0"/>
          <w:numId w:val="136"/>
        </w:numPr>
      </w:pPr>
      <w:bookmarkStart w:id="53" w:name="_Toc108784838"/>
      <w:r>
        <w:lastRenderedPageBreak/>
        <w:t>O</w:t>
      </w:r>
      <w:r w:rsidR="001F7D50" w:rsidRPr="00AA6B28">
        <w:t>utcomes of DMHS</w:t>
      </w:r>
      <w:r>
        <w:t xml:space="preserve"> use</w:t>
      </w:r>
      <w:bookmarkEnd w:id="53"/>
    </w:p>
    <w:p w14:paraId="43049B01" w14:textId="423ED125" w:rsidR="001F7D50" w:rsidRPr="0059649B" w:rsidRDefault="001F7D50" w:rsidP="00845255">
      <w:pPr>
        <w:pStyle w:val="Heading2"/>
        <w:numPr>
          <w:ilvl w:val="1"/>
          <w:numId w:val="174"/>
        </w:numPr>
      </w:pPr>
      <w:bookmarkStart w:id="54" w:name="_Toc108784839"/>
      <w:r w:rsidRPr="0059649B">
        <w:t>Our approach</w:t>
      </w:r>
      <w:bookmarkEnd w:id="54"/>
    </w:p>
    <w:p w14:paraId="07CEA493" w14:textId="28720A6D" w:rsidR="001F7D50" w:rsidRPr="00614DE2" w:rsidRDefault="001F7D50" w:rsidP="00EF12D6">
      <w:pPr>
        <w:pStyle w:val="ANorm"/>
        <w:spacing w:after="200"/>
      </w:pPr>
      <w:r w:rsidRPr="00614DE2">
        <w:t xml:space="preserve">We used aggregate routinely collected </w:t>
      </w:r>
      <w:r w:rsidR="003A038B" w:rsidRPr="00614DE2">
        <w:t>mental health outcomes data</w:t>
      </w:r>
      <w:r w:rsidRPr="00614DE2">
        <w:t>, peer-reviewed publications and service documents provided by the three DMHSs</w:t>
      </w:r>
      <w:r w:rsidR="003A038B" w:rsidRPr="00614DE2">
        <w:t xml:space="preserve"> </w:t>
      </w:r>
      <w:r w:rsidRPr="00614DE2">
        <w:t xml:space="preserve">to describe </w:t>
      </w:r>
      <w:r w:rsidR="007B64D7" w:rsidRPr="00614DE2">
        <w:t xml:space="preserve">consumer </w:t>
      </w:r>
      <w:r w:rsidRPr="00614DE2">
        <w:t xml:space="preserve">outcomes </w:t>
      </w:r>
      <w:r w:rsidR="007B64D7" w:rsidRPr="00614DE2">
        <w:t>of</w:t>
      </w:r>
      <w:r w:rsidRPr="00614DE2">
        <w:t xml:space="preserve"> accessing the</w:t>
      </w:r>
      <w:r w:rsidR="007B64D7" w:rsidRPr="00614DE2">
        <w:t>se services</w:t>
      </w:r>
      <w:r w:rsidRPr="00614DE2">
        <w:t>.</w:t>
      </w:r>
    </w:p>
    <w:p w14:paraId="29E908DA" w14:textId="3A06BEC8" w:rsidR="001F7D50" w:rsidRPr="001D3C19" w:rsidRDefault="001F7D50" w:rsidP="00EF12D6">
      <w:pPr>
        <w:pStyle w:val="ANorm"/>
        <w:spacing w:after="200"/>
        <w:rPr>
          <w:rFonts w:asciiTheme="minorHAnsi" w:hAnsiTheme="minorHAnsi" w:cstheme="minorHAnsi"/>
        </w:rPr>
      </w:pPr>
      <w:r w:rsidRPr="007B64D7">
        <w:rPr>
          <w:rFonts w:asciiTheme="minorHAnsi" w:hAnsiTheme="minorHAnsi" w:cstheme="minorHAnsi"/>
        </w:rPr>
        <w:t>We also used data sourced from peer-reviewed and grey literature to compare consumer</w:t>
      </w:r>
      <w:r w:rsidR="007B64D7" w:rsidRPr="007B64D7">
        <w:rPr>
          <w:rFonts w:asciiTheme="minorHAnsi" w:hAnsiTheme="minorHAnsi" w:cstheme="minorHAnsi"/>
        </w:rPr>
        <w:t xml:space="preserve"> </w:t>
      </w:r>
      <w:r w:rsidRPr="007B64D7">
        <w:rPr>
          <w:rFonts w:asciiTheme="minorHAnsi" w:hAnsiTheme="minorHAnsi" w:cstheme="minorHAnsi"/>
        </w:rPr>
        <w:t>outcomes of DMHSs with other mental health care.</w:t>
      </w:r>
    </w:p>
    <w:p w14:paraId="263AAF32" w14:textId="2FD1C790" w:rsidR="001F7D50" w:rsidRPr="001D3C19" w:rsidRDefault="001F7D50" w:rsidP="00EF12D6">
      <w:pPr>
        <w:pStyle w:val="ANorm"/>
        <w:spacing w:after="200"/>
        <w:rPr>
          <w:rFonts w:asciiTheme="minorHAnsi" w:hAnsiTheme="minorHAnsi" w:cstheme="minorHAnsi"/>
        </w:rPr>
      </w:pPr>
      <w:r w:rsidRPr="00020F47">
        <w:rPr>
          <w:rFonts w:asciiTheme="minorHAnsi" w:hAnsiTheme="minorHAnsi" w:cstheme="minorHAnsi"/>
        </w:rPr>
        <w:t>Appendix B provides further details about the data sources we used.</w:t>
      </w:r>
    </w:p>
    <w:p w14:paraId="06FED0C0" w14:textId="7ABF135F" w:rsidR="002451EA" w:rsidRPr="00AA6B28" w:rsidRDefault="005650A2" w:rsidP="005A16C4">
      <w:pPr>
        <w:pStyle w:val="Heading2"/>
        <w:numPr>
          <w:ilvl w:val="1"/>
          <w:numId w:val="165"/>
        </w:numPr>
      </w:pPr>
      <w:bookmarkStart w:id="55" w:name="_Toc108784840"/>
      <w:r>
        <w:t xml:space="preserve">Measuring </w:t>
      </w:r>
      <w:r w:rsidR="00180030">
        <w:t>change in mental health</w:t>
      </w:r>
      <w:r w:rsidR="0038201A">
        <w:t xml:space="preserve"> outcomes</w:t>
      </w:r>
      <w:bookmarkEnd w:id="55"/>
    </w:p>
    <w:p w14:paraId="326CF012" w14:textId="5FEECF02" w:rsidR="00B115A6" w:rsidRDefault="00B115A6" w:rsidP="005A16C4">
      <w:pPr>
        <w:pStyle w:val="Heading3"/>
        <w:numPr>
          <w:ilvl w:val="2"/>
          <w:numId w:val="166"/>
        </w:numPr>
      </w:pPr>
      <w:r>
        <w:t>Outcome measure</w:t>
      </w:r>
      <w:r w:rsidR="00C7300F">
        <w:t>ment scales</w:t>
      </w:r>
    </w:p>
    <w:p w14:paraId="6DB2FD8A" w14:textId="6D8C1776" w:rsidR="00EB1EA9" w:rsidRDefault="001031CD" w:rsidP="008D632A">
      <w:pPr>
        <w:pStyle w:val="ANorm"/>
        <w:spacing w:after="200"/>
      </w:pPr>
      <w:r>
        <w:t xml:space="preserve">All three DMHSs use a range of validated </w:t>
      </w:r>
      <w:r w:rsidR="00EB1EA9">
        <w:t xml:space="preserve">mental health </w:t>
      </w:r>
      <w:r w:rsidR="0095579E">
        <w:t xml:space="preserve">and other </w:t>
      </w:r>
      <w:r w:rsidR="00EB1EA9">
        <w:t>outcome tools to assess severity of distress and symptoms</w:t>
      </w:r>
      <w:r w:rsidR="0095579E">
        <w:t>, functioning and quality of life</w:t>
      </w:r>
      <w:r w:rsidR="00EB1EA9">
        <w:t xml:space="preserve">. Measures most used by the DMHSs </w:t>
      </w:r>
      <w:r w:rsidR="007B37F7" w:rsidRPr="0095579E">
        <w:t xml:space="preserve">and/or </w:t>
      </w:r>
      <w:r w:rsidR="00877056" w:rsidRPr="0095579E">
        <w:t xml:space="preserve">analysed in our report </w:t>
      </w:r>
      <w:r w:rsidR="00EB1EA9" w:rsidRPr="0095579E">
        <w:t xml:space="preserve">are summarised in Table </w:t>
      </w:r>
      <w:r w:rsidR="00BF2DC2" w:rsidRPr="0095579E">
        <w:t>13</w:t>
      </w:r>
      <w:r w:rsidR="00EB1EA9" w:rsidRPr="0095579E">
        <w:t>.</w:t>
      </w:r>
    </w:p>
    <w:p w14:paraId="7BC6DA44" w14:textId="10DB8D54" w:rsidR="007948EE" w:rsidRDefault="00EB1EA9" w:rsidP="007948EE">
      <w:pPr>
        <w:pStyle w:val="tableheading"/>
      </w:pPr>
      <w:r w:rsidRPr="00BF2DC2">
        <w:t>Table</w:t>
      </w:r>
      <w:r w:rsidR="00BF2DC2" w:rsidRPr="00BF2DC2">
        <w:t xml:space="preserve"> 13</w:t>
      </w:r>
      <w:r w:rsidRPr="00BF2DC2">
        <w:t xml:space="preserve">. </w:t>
      </w:r>
      <w:r w:rsidR="00C53412" w:rsidRPr="00BF2DC2">
        <w:t>M</w:t>
      </w:r>
      <w:r w:rsidRPr="00BF2DC2">
        <w:t xml:space="preserve">ental health </w:t>
      </w:r>
      <w:r w:rsidR="0095579E">
        <w:t xml:space="preserve">and other </w:t>
      </w:r>
      <w:r w:rsidRPr="00BF2DC2">
        <w:t>outcome measure</w:t>
      </w:r>
      <w:r w:rsidR="00267B48">
        <w:t>ment scales</w:t>
      </w:r>
      <w:r w:rsidR="00C53412" w:rsidRPr="00BF2DC2">
        <w:t xml:space="preserve"> used by DMHSs</w:t>
      </w:r>
    </w:p>
    <w:tbl>
      <w:tblPr>
        <w:tblStyle w:val="TableGrid"/>
        <w:tblW w:w="0" w:type="auto"/>
        <w:tblLook w:val="04A0" w:firstRow="1" w:lastRow="0" w:firstColumn="1" w:lastColumn="0" w:noHBand="0" w:noVBand="1"/>
        <w:tblCaption w:val="Table 13. Mental health and other outcome measurement scales used by DMHSs"/>
        <w:tblDescription w:val="Table shows the mental health and other outcome measurement scales used by DMHSs"/>
      </w:tblPr>
      <w:tblGrid>
        <w:gridCol w:w="1654"/>
        <w:gridCol w:w="3732"/>
        <w:gridCol w:w="3630"/>
      </w:tblGrid>
      <w:tr w:rsidR="007948EE" w:rsidRPr="00080DEE" w14:paraId="61581812" w14:textId="77777777" w:rsidTr="005C1FFF">
        <w:trPr>
          <w:tblHeader/>
        </w:trPr>
        <w:tc>
          <w:tcPr>
            <w:tcW w:w="0" w:type="auto"/>
            <w:shd w:val="clear" w:color="auto" w:fill="000000" w:themeFill="text1"/>
          </w:tcPr>
          <w:p w14:paraId="57903A75" w14:textId="77777777" w:rsidR="007948EE" w:rsidRPr="00080DEE" w:rsidRDefault="007948EE" w:rsidP="00CB0B42">
            <w:pPr>
              <w:pStyle w:val="ANorm"/>
              <w:snapToGrid w:val="0"/>
              <w:jc w:val="center"/>
              <w:rPr>
                <w:color w:val="auto"/>
                <w:sz w:val="16"/>
                <w:szCs w:val="16"/>
              </w:rPr>
            </w:pPr>
            <w:r w:rsidRPr="00080DEE">
              <w:rPr>
                <w:color w:val="auto"/>
                <w:sz w:val="16"/>
                <w:szCs w:val="16"/>
              </w:rPr>
              <w:t>Measure</w:t>
            </w:r>
          </w:p>
        </w:tc>
        <w:tc>
          <w:tcPr>
            <w:tcW w:w="0" w:type="auto"/>
            <w:shd w:val="clear" w:color="auto" w:fill="000000" w:themeFill="text1"/>
          </w:tcPr>
          <w:p w14:paraId="531F8B92" w14:textId="77777777" w:rsidR="007948EE" w:rsidRPr="00080DEE" w:rsidRDefault="007948EE" w:rsidP="00CB0B42">
            <w:pPr>
              <w:pStyle w:val="ANorm"/>
              <w:snapToGrid w:val="0"/>
              <w:jc w:val="center"/>
              <w:rPr>
                <w:color w:val="auto"/>
                <w:sz w:val="16"/>
                <w:szCs w:val="16"/>
              </w:rPr>
            </w:pPr>
            <w:r w:rsidRPr="00080DEE">
              <w:rPr>
                <w:color w:val="auto"/>
                <w:sz w:val="16"/>
                <w:szCs w:val="16"/>
              </w:rPr>
              <w:t>Brief description</w:t>
            </w:r>
          </w:p>
        </w:tc>
        <w:tc>
          <w:tcPr>
            <w:tcW w:w="0" w:type="auto"/>
            <w:shd w:val="clear" w:color="auto" w:fill="000000" w:themeFill="text1"/>
          </w:tcPr>
          <w:p w14:paraId="7C3A3D8C" w14:textId="77777777" w:rsidR="007948EE" w:rsidRPr="00080DEE" w:rsidRDefault="007948EE" w:rsidP="00CB0B42">
            <w:pPr>
              <w:pStyle w:val="ANorm"/>
              <w:snapToGrid w:val="0"/>
              <w:jc w:val="center"/>
              <w:rPr>
                <w:color w:val="auto"/>
                <w:sz w:val="16"/>
                <w:szCs w:val="16"/>
              </w:rPr>
            </w:pPr>
            <w:r w:rsidRPr="00080DEE">
              <w:rPr>
                <w:color w:val="auto"/>
                <w:sz w:val="16"/>
                <w:szCs w:val="16"/>
              </w:rPr>
              <w:t>Scoring</w:t>
            </w:r>
          </w:p>
        </w:tc>
      </w:tr>
      <w:tr w:rsidR="007948EE" w:rsidRPr="00080DEE" w14:paraId="7891E4EC" w14:textId="77777777" w:rsidTr="005C1FFF">
        <w:tc>
          <w:tcPr>
            <w:tcW w:w="0" w:type="auto"/>
          </w:tcPr>
          <w:p w14:paraId="0BA06041" w14:textId="3C8127CE" w:rsidR="007948EE" w:rsidRPr="00080DEE" w:rsidRDefault="007948EE" w:rsidP="00CB0B42">
            <w:pPr>
              <w:pStyle w:val="ANorm"/>
              <w:snapToGrid w:val="0"/>
              <w:rPr>
                <w:sz w:val="16"/>
                <w:szCs w:val="16"/>
              </w:rPr>
            </w:pPr>
            <w:r w:rsidRPr="00080DEE">
              <w:rPr>
                <w:sz w:val="16"/>
                <w:szCs w:val="16"/>
              </w:rPr>
              <w:t>Generalised Anxiety Disorder scale (GAD-7)</w:t>
            </w:r>
            <w:r>
              <w:rPr>
                <w:sz w:val="16"/>
                <w:szCs w:val="16"/>
              </w:rPr>
              <w:fldChar w:fldCharType="begin"/>
            </w:r>
            <w:r w:rsidR="004469A2">
              <w:rPr>
                <w:sz w:val="16"/>
                <w:szCs w:val="16"/>
              </w:rPr>
              <w:instrText xml:space="preserve"> ADDIN EN.CITE &lt;EndNote&gt;&lt;Cite&gt;&lt;Author&gt;Spitzer&lt;/Author&gt;&lt;Year&gt;2006&lt;/Year&gt;&lt;RecNum&gt;152&lt;/RecNum&gt;&lt;DisplayText&gt;&lt;style face="superscript"&gt;33&lt;/style&gt;&lt;/DisplayText&gt;&lt;record&gt;&lt;rec-number&gt;152&lt;/rec-number&gt;&lt;foreign-keys&gt;&lt;key app="EN" db-id="dawtr0zrkrzfa5edzzlpe2we0xa00t90vvr2" timestamp="1654253924"&gt;152&lt;/key&gt;&lt;/foreign-keys&gt;&lt;ref-type name="Journal Article"&gt;17&lt;/ref-type&gt;&lt;contributors&gt;&lt;authors&gt;&lt;author&gt;Spitzer, R. L.&lt;/author&gt;&lt;author&gt;Kroenke, K.&lt;/author&gt;&lt;author&gt;Williams, J. B.&lt;/author&gt;&lt;author&gt;Löwe, B.&lt;/author&gt;&lt;/authors&gt;&lt;/contributors&gt;&lt;auth-address&gt;Biometrics Research Department, New York State Psychiatric Institute, New York, NY 10032, USA. RLS8@Columbia.edu&lt;/auth-address&gt;&lt;titles&gt;&lt;title&gt;A brief measure for assessing generalized anxiety disorder: The GAD-7&lt;/title&gt;&lt;secondary-title&gt;Archives of Internal Medicine&lt;/secondary-title&gt;&lt;/titles&gt;&lt;periodical&gt;&lt;full-title&gt;Archives of Internal Medicine&lt;/full-title&gt;&lt;abbr-1&gt;Arch. Intern. Med.&lt;/abbr-1&gt;&lt;/periodical&gt;&lt;pages&gt;1092-7&lt;/pages&gt;&lt;volume&gt;166&lt;/volume&gt;&lt;number&gt;10&lt;/number&gt;&lt;edition&gt;2006/05/24&lt;/edition&gt;&lt;keywords&gt;&lt;keyword&gt;Adult&lt;/keyword&gt;&lt;keyword&gt;Anxiety Disorders/*diagnosis/epidemiology&lt;/keyword&gt;&lt;keyword&gt;Female&lt;/keyword&gt;&lt;keyword&gt;Humans&lt;/keyword&gt;&lt;keyword&gt;Incidence&lt;/keyword&gt;&lt;keyword&gt;Male&lt;/keyword&gt;&lt;keyword&gt;*Mental Status Schedule&lt;/keyword&gt;&lt;keyword&gt;Middle Aged&lt;/keyword&gt;&lt;keyword&gt;Reproducibility of Results&lt;/keyword&gt;&lt;keyword&gt;Retrospective Studies&lt;/keyword&gt;&lt;keyword&gt;Surveys and Questionnaires&lt;/keyword&gt;&lt;keyword&gt;United States/epidemiology&lt;/keyword&gt;&lt;/keywords&gt;&lt;dates&gt;&lt;year&gt;2006&lt;/year&gt;&lt;pub-dates&gt;&lt;date&gt;May 22&lt;/date&gt;&lt;/pub-dates&gt;&lt;/dates&gt;&lt;isbn&gt;0003-9926 (Print)&amp;#xD;0003-9926&lt;/isbn&gt;&lt;accession-num&gt;16717171&lt;/accession-num&gt;&lt;urls&gt;&lt;/urls&gt;&lt;electronic-resource-num&gt;10.1001/archinte.166.10.1092&lt;/electronic-resource-num&gt;&lt;remote-database-provider&gt;NLM&lt;/remote-database-provider&gt;&lt;language&gt;eng&lt;/language&gt;&lt;/record&gt;&lt;/Cite&gt;&lt;/EndNote&gt;</w:instrText>
            </w:r>
            <w:r>
              <w:rPr>
                <w:sz w:val="16"/>
                <w:szCs w:val="16"/>
              </w:rPr>
              <w:fldChar w:fldCharType="separate"/>
            </w:r>
            <w:r w:rsidR="004469A2" w:rsidRPr="004469A2">
              <w:rPr>
                <w:noProof/>
                <w:sz w:val="16"/>
                <w:szCs w:val="16"/>
                <w:vertAlign w:val="superscript"/>
              </w:rPr>
              <w:t>33</w:t>
            </w:r>
            <w:r>
              <w:rPr>
                <w:sz w:val="16"/>
                <w:szCs w:val="16"/>
              </w:rPr>
              <w:fldChar w:fldCharType="end"/>
            </w:r>
          </w:p>
        </w:tc>
        <w:tc>
          <w:tcPr>
            <w:tcW w:w="0" w:type="auto"/>
          </w:tcPr>
          <w:p w14:paraId="22995ECE" w14:textId="734F0C4C" w:rsidR="007948EE" w:rsidRPr="00080DEE" w:rsidRDefault="007948EE" w:rsidP="00CB0B42">
            <w:pPr>
              <w:pStyle w:val="ANorm"/>
              <w:snapToGrid w:val="0"/>
              <w:rPr>
                <w:sz w:val="16"/>
                <w:szCs w:val="16"/>
              </w:rPr>
            </w:pPr>
            <w:r w:rsidRPr="00080DEE">
              <w:rPr>
                <w:sz w:val="16"/>
                <w:szCs w:val="16"/>
              </w:rPr>
              <w:t xml:space="preserve">Consumer-rated measure of anxiety symptoms. Comprises seven questions about how often the consumer </w:t>
            </w:r>
            <w:r w:rsidR="00857DF4">
              <w:rPr>
                <w:sz w:val="16"/>
                <w:szCs w:val="16"/>
              </w:rPr>
              <w:t xml:space="preserve">has </w:t>
            </w:r>
            <w:r w:rsidRPr="00080DEE">
              <w:rPr>
                <w:sz w:val="16"/>
                <w:szCs w:val="16"/>
              </w:rPr>
              <w:t xml:space="preserve">been bothered by selected anxiety symptoms in the past two weeks.  </w:t>
            </w:r>
          </w:p>
        </w:tc>
        <w:tc>
          <w:tcPr>
            <w:tcW w:w="0" w:type="auto"/>
          </w:tcPr>
          <w:p w14:paraId="70D6B95C" w14:textId="77777777" w:rsidR="007948EE" w:rsidRPr="00080DEE" w:rsidRDefault="007948EE" w:rsidP="00CB0B42">
            <w:pPr>
              <w:pStyle w:val="ANorm"/>
              <w:snapToGrid w:val="0"/>
              <w:rPr>
                <w:sz w:val="16"/>
                <w:szCs w:val="16"/>
              </w:rPr>
            </w:pPr>
            <w:r w:rsidRPr="00080DEE">
              <w:rPr>
                <w:sz w:val="16"/>
                <w:szCs w:val="16"/>
              </w:rPr>
              <w:t>Each item is scored 0 (Not at all), 1 (Several days), 2 (More than half the days) or 3 (Nearly every day). The total score ranges from 0-21. A score of 10 or more indicates the likely presence of Generalised Anxiety Disorder.</w:t>
            </w:r>
          </w:p>
        </w:tc>
      </w:tr>
      <w:tr w:rsidR="007948EE" w:rsidRPr="00080DEE" w14:paraId="7DBD69A5" w14:textId="77777777" w:rsidTr="005C1FFF">
        <w:tc>
          <w:tcPr>
            <w:tcW w:w="0" w:type="auto"/>
          </w:tcPr>
          <w:p w14:paraId="10081E29" w14:textId="197F8252" w:rsidR="007948EE" w:rsidRPr="00080DEE" w:rsidRDefault="007948EE" w:rsidP="00CB0B42">
            <w:pPr>
              <w:pStyle w:val="ANorm"/>
              <w:snapToGrid w:val="0"/>
              <w:rPr>
                <w:sz w:val="16"/>
                <w:szCs w:val="16"/>
              </w:rPr>
            </w:pPr>
            <w:r w:rsidRPr="00080DEE">
              <w:rPr>
                <w:sz w:val="16"/>
                <w:szCs w:val="16"/>
              </w:rPr>
              <w:t>Kessler-10 (K10)</w:t>
            </w:r>
            <w:r>
              <w:rPr>
                <w:sz w:val="16"/>
                <w:szCs w:val="16"/>
              </w:rPr>
              <w:fldChar w:fldCharType="begin"/>
            </w:r>
            <w:r w:rsidR="004469A2">
              <w:rPr>
                <w:sz w:val="16"/>
                <w:szCs w:val="16"/>
              </w:rPr>
              <w:instrText xml:space="preserve"> ADDIN EN.CITE &lt;EndNote&gt;&lt;Cite&gt;&lt;Author&gt;Kessler&lt;/Author&gt;&lt;Year&gt;2002&lt;/Year&gt;&lt;RecNum&gt;154&lt;/RecNum&gt;&lt;DisplayText&gt;&lt;style face="superscript"&gt;29&lt;/style&gt;&lt;/DisplayText&gt;&lt;record&gt;&lt;rec-number&gt;154&lt;/rec-number&gt;&lt;foreign-keys&gt;&lt;key app="EN" db-id="dawtr0zrkrzfa5edzzlpe2we0xa00t90vvr2" timestamp="1654254133"&gt;154&lt;/key&gt;&lt;/foreign-keys&gt;&lt;ref-type name="Journal Article"&gt;17&lt;/ref-type&gt;&lt;contributors&gt;&lt;authors&gt;&lt;author&gt;Kessler, R. C.&lt;/author&gt;&lt;author&gt;Andrews, G.&lt;/author&gt;&lt;author&gt;Colpe, L. J.&lt;/author&gt;&lt;author&gt;Hiripi, E.&lt;/author&gt;&lt;author&gt;Mroczek, D. K.&lt;/author&gt;&lt;author&gt;Normand, S. L.&lt;/author&gt;&lt;author&gt;Walters, E. E.&lt;/author&gt;&lt;author&gt;Zaslavsky, A. M.&lt;/author&gt;&lt;/authors&gt;&lt;/contributors&gt;&lt;auth-address&gt;Department of Health Care Policy, Harvard Medical School, Boston, MA 02115, USA.&lt;/auth-address&gt;&lt;titles&gt;&lt;title&gt;Short screening scales to monitor population prevalences and trends in non-specific psychological distress&lt;/title&gt;&lt;secondary-title&gt;Psychological Medicine&lt;/secondary-title&gt;&lt;/titles&gt;&lt;periodical&gt;&lt;full-title&gt;Psychological Medicine&lt;/full-title&gt;&lt;/periodical&gt;&lt;pages&gt;959-76&lt;/pages&gt;&lt;volume&gt;32&lt;/volume&gt;&lt;number&gt;6&lt;/number&gt;&lt;edition&gt;2002/09/07&lt;/edition&gt;&lt;keywords&gt;&lt;keyword&gt;Adult&lt;/keyword&gt;&lt;keyword&gt;Female&lt;/keyword&gt;&lt;keyword&gt;Humans&lt;/keyword&gt;&lt;keyword&gt;Male&lt;/keyword&gt;&lt;keyword&gt;Mental Disorders/diagnosis/epidemiology&lt;/keyword&gt;&lt;keyword&gt;Pilot Projects&lt;/keyword&gt;&lt;keyword&gt;Prevalence&lt;/keyword&gt;&lt;keyword&gt;Psychometrics&lt;/keyword&gt;&lt;keyword&gt;ROC Curve&lt;/keyword&gt;&lt;keyword&gt;Reproducibility of Results&lt;/keyword&gt;&lt;keyword&gt;Stress, Psychological/*diagnosis/*epidemiology&lt;/keyword&gt;&lt;keyword&gt;Surveys and Questionnaires/*standards&lt;/keyword&gt;&lt;keyword&gt;United States/epidemiology&lt;/keyword&gt;&lt;/keywords&gt;&lt;dates&gt;&lt;year&gt;2002&lt;/year&gt;&lt;pub-dates&gt;&lt;date&gt;Aug&lt;/date&gt;&lt;/pub-dates&gt;&lt;/dates&gt;&lt;isbn&gt;0033-2917 (Print)&amp;#xD;0033-2917&lt;/isbn&gt;&lt;accession-num&gt;12214795&lt;/accession-num&gt;&lt;urls&gt;&lt;/urls&gt;&lt;electronic-resource-num&gt;10.1017/s0033291702006074&lt;/electronic-resource-num&gt;&lt;remote-database-provider&gt;NLM&lt;/remote-database-provider&gt;&lt;language&gt;eng&lt;/language&gt;&lt;/record&gt;&lt;/Cite&gt;&lt;/EndNote&gt;</w:instrText>
            </w:r>
            <w:r>
              <w:rPr>
                <w:sz w:val="16"/>
                <w:szCs w:val="16"/>
              </w:rPr>
              <w:fldChar w:fldCharType="separate"/>
            </w:r>
            <w:r w:rsidR="004469A2" w:rsidRPr="004469A2">
              <w:rPr>
                <w:noProof/>
                <w:sz w:val="16"/>
                <w:szCs w:val="16"/>
                <w:vertAlign w:val="superscript"/>
              </w:rPr>
              <w:t>29</w:t>
            </w:r>
            <w:r>
              <w:rPr>
                <w:sz w:val="16"/>
                <w:szCs w:val="16"/>
              </w:rPr>
              <w:fldChar w:fldCharType="end"/>
            </w:r>
          </w:p>
        </w:tc>
        <w:tc>
          <w:tcPr>
            <w:tcW w:w="0" w:type="auto"/>
          </w:tcPr>
          <w:p w14:paraId="2279B814" w14:textId="5F2AC4C6" w:rsidR="007948EE" w:rsidRPr="00080DEE" w:rsidRDefault="007948EE" w:rsidP="00CB0B42">
            <w:pPr>
              <w:pStyle w:val="ANorm"/>
              <w:snapToGrid w:val="0"/>
              <w:rPr>
                <w:sz w:val="16"/>
                <w:szCs w:val="16"/>
              </w:rPr>
            </w:pPr>
            <w:r w:rsidRPr="00080DEE">
              <w:rPr>
                <w:sz w:val="16"/>
                <w:szCs w:val="16"/>
              </w:rPr>
              <w:t>Consumer-rated measure</w:t>
            </w:r>
            <w:r w:rsidR="000D22C4" w:rsidRPr="00080DEE">
              <w:rPr>
                <w:sz w:val="16"/>
                <w:szCs w:val="16"/>
              </w:rPr>
              <w:t xml:space="preserve"> </w:t>
            </w:r>
            <w:r w:rsidRPr="00080DEE">
              <w:rPr>
                <w:sz w:val="16"/>
                <w:szCs w:val="16"/>
              </w:rPr>
              <w:t>developed to assess non-specific psychological distress. Comprises 10 items about symptoms of depression and anxiety in the past four weeks.</w:t>
            </w:r>
          </w:p>
        </w:tc>
        <w:tc>
          <w:tcPr>
            <w:tcW w:w="0" w:type="auto"/>
          </w:tcPr>
          <w:p w14:paraId="32979F0C" w14:textId="77777777" w:rsidR="007948EE" w:rsidRPr="00080DEE" w:rsidRDefault="007948EE" w:rsidP="00CB0B42">
            <w:pPr>
              <w:pStyle w:val="ANorm"/>
              <w:snapToGrid w:val="0"/>
              <w:rPr>
                <w:sz w:val="16"/>
                <w:szCs w:val="16"/>
              </w:rPr>
            </w:pPr>
            <w:r w:rsidRPr="00080DEE">
              <w:rPr>
                <w:sz w:val="16"/>
                <w:szCs w:val="16"/>
              </w:rPr>
              <w:t>Each item is rated from 1 (None of the time) to 5 (All of the time), resulting in a total score that ranges from 10 to 50. Scores of 10-15 indicate little or no psychological distress, scores of 16-21 indicate moderate psychological distress, scores of 22-29 indicate high psychological distress, and scores of 30-50 indicate very high psychological distress.</w:t>
            </w:r>
          </w:p>
        </w:tc>
      </w:tr>
      <w:tr w:rsidR="007948EE" w:rsidRPr="00080DEE" w14:paraId="050D1E7A" w14:textId="77777777" w:rsidTr="005C1FFF">
        <w:tc>
          <w:tcPr>
            <w:tcW w:w="0" w:type="auto"/>
          </w:tcPr>
          <w:p w14:paraId="668ADA6C" w14:textId="32B29B25" w:rsidR="007948EE" w:rsidRPr="00080DEE" w:rsidRDefault="007948EE" w:rsidP="00CB0B42">
            <w:pPr>
              <w:pStyle w:val="ANorm"/>
              <w:snapToGrid w:val="0"/>
              <w:rPr>
                <w:sz w:val="16"/>
                <w:szCs w:val="16"/>
              </w:rPr>
            </w:pPr>
            <w:r w:rsidRPr="00080DEE">
              <w:rPr>
                <w:sz w:val="16"/>
                <w:szCs w:val="16"/>
              </w:rPr>
              <w:t>K10+</w:t>
            </w:r>
            <w:r>
              <w:rPr>
                <w:sz w:val="16"/>
                <w:szCs w:val="16"/>
              </w:rPr>
              <w:fldChar w:fldCharType="begin"/>
            </w:r>
            <w:r w:rsidR="004469A2">
              <w:rPr>
                <w:sz w:val="16"/>
                <w:szCs w:val="16"/>
              </w:rPr>
              <w:instrText xml:space="preserve"> ADDIN EN.CITE &lt;EndNote&gt;&lt;Cite&gt;&lt;Author&gt;Australian Mental Health Outcomes and Classification Network&lt;/Author&gt;&lt;Year&gt;2022&lt;/Year&gt;&lt;RecNum&gt;156&lt;/RecNum&gt;&lt;DisplayText&gt;&lt;style face="superscript"&gt;55&lt;/style&gt;&lt;/DisplayText&gt;&lt;record&gt;&lt;rec-number&gt;156&lt;/rec-number&gt;&lt;foreign-keys&gt;&lt;key app="EN" db-id="dawtr0zrkrzfa5edzzlpe2we0xa00t90vvr2" timestamp="1654329440"&gt;156&lt;/key&gt;&lt;/foreign-keys&gt;&lt;ref-type name="Web Page"&gt;12&lt;/ref-type&gt;&lt;contributors&gt;&lt;authors&gt;&lt;author&gt;Australian Mental Health Outcomes and Classification Network,&lt;/author&gt;&lt;/authors&gt;&lt;/contributors&gt;&lt;titles&gt;&lt;title&gt;Kessler-10+&lt;/title&gt;&lt;/titles&gt;&lt;number&gt;4 June 2022&lt;/number&gt;&lt;dates&gt;&lt;year&gt;2022&lt;/year&gt;&lt;/dates&gt;&lt;publisher&gt;Australian Mental Health Outcomes and Classification Network&lt;/publisher&gt;&lt;urls&gt;&lt;related-urls&gt;&lt;url&gt;https://www.amhocn.org/publications/kessler-10&lt;/url&gt;&lt;/related-urls&gt;&lt;/urls&gt;&lt;/record&gt;&lt;/Cite&gt;&lt;/EndNote&gt;</w:instrText>
            </w:r>
            <w:r>
              <w:rPr>
                <w:sz w:val="16"/>
                <w:szCs w:val="16"/>
              </w:rPr>
              <w:fldChar w:fldCharType="separate"/>
            </w:r>
            <w:r w:rsidR="004469A2" w:rsidRPr="004469A2">
              <w:rPr>
                <w:noProof/>
                <w:sz w:val="16"/>
                <w:szCs w:val="16"/>
                <w:vertAlign w:val="superscript"/>
              </w:rPr>
              <w:t>55</w:t>
            </w:r>
            <w:r>
              <w:rPr>
                <w:sz w:val="16"/>
                <w:szCs w:val="16"/>
              </w:rPr>
              <w:fldChar w:fldCharType="end"/>
            </w:r>
          </w:p>
        </w:tc>
        <w:tc>
          <w:tcPr>
            <w:tcW w:w="0" w:type="auto"/>
          </w:tcPr>
          <w:p w14:paraId="77EA4842" w14:textId="3C39AD95" w:rsidR="007948EE" w:rsidRPr="00080DEE" w:rsidRDefault="007948EE" w:rsidP="00CB0B42">
            <w:pPr>
              <w:pStyle w:val="ANorm"/>
              <w:snapToGrid w:val="0"/>
              <w:rPr>
                <w:sz w:val="16"/>
                <w:szCs w:val="16"/>
              </w:rPr>
            </w:pPr>
            <w:r w:rsidRPr="00080DEE">
              <w:rPr>
                <w:sz w:val="16"/>
                <w:szCs w:val="16"/>
              </w:rPr>
              <w:t xml:space="preserve">As </w:t>
            </w:r>
            <w:r w:rsidR="00531A66">
              <w:rPr>
                <w:sz w:val="16"/>
                <w:szCs w:val="16"/>
              </w:rPr>
              <w:t>described</w:t>
            </w:r>
            <w:r w:rsidRPr="00080DEE">
              <w:rPr>
                <w:sz w:val="16"/>
                <w:szCs w:val="16"/>
              </w:rPr>
              <w:t xml:space="preserve"> above and includes four additional questions to assess degree of</w:t>
            </w:r>
          </w:p>
          <w:p w14:paraId="71E302CF" w14:textId="5B00489B" w:rsidR="007948EE" w:rsidRPr="00080DEE" w:rsidRDefault="007948EE" w:rsidP="00CB0B42">
            <w:pPr>
              <w:pStyle w:val="ANorm"/>
              <w:snapToGrid w:val="0"/>
              <w:rPr>
                <w:sz w:val="16"/>
                <w:szCs w:val="16"/>
              </w:rPr>
            </w:pPr>
            <w:r w:rsidRPr="00080DEE">
              <w:rPr>
                <w:sz w:val="16"/>
                <w:szCs w:val="16"/>
              </w:rPr>
              <w:t>disability experienced by consumer.</w:t>
            </w:r>
          </w:p>
        </w:tc>
        <w:tc>
          <w:tcPr>
            <w:tcW w:w="0" w:type="auto"/>
          </w:tcPr>
          <w:p w14:paraId="2CEFC2B3" w14:textId="77777777" w:rsidR="007948EE" w:rsidRPr="00080DEE" w:rsidRDefault="007948EE" w:rsidP="00CB0B42">
            <w:pPr>
              <w:pStyle w:val="ANorm"/>
              <w:snapToGrid w:val="0"/>
              <w:rPr>
                <w:sz w:val="16"/>
                <w:szCs w:val="16"/>
              </w:rPr>
            </w:pPr>
            <w:r w:rsidRPr="00080DEE">
              <w:rPr>
                <w:sz w:val="16"/>
                <w:szCs w:val="16"/>
              </w:rPr>
              <w:t>The additional four questions do not contribute to the total score. They provide number of full or part days out of (work/education) role and number of visits to health services.</w:t>
            </w:r>
          </w:p>
        </w:tc>
      </w:tr>
      <w:tr w:rsidR="007948EE" w:rsidRPr="00080DEE" w14:paraId="3F16229D" w14:textId="77777777" w:rsidTr="005C1FFF">
        <w:tc>
          <w:tcPr>
            <w:tcW w:w="0" w:type="auto"/>
          </w:tcPr>
          <w:p w14:paraId="6356F2CE" w14:textId="6D8D59B8" w:rsidR="007948EE" w:rsidRPr="00080DEE" w:rsidRDefault="007948EE" w:rsidP="00CB0B42">
            <w:pPr>
              <w:pStyle w:val="ANorm"/>
              <w:snapToGrid w:val="0"/>
              <w:rPr>
                <w:sz w:val="16"/>
                <w:szCs w:val="16"/>
              </w:rPr>
            </w:pPr>
            <w:r w:rsidRPr="00080DEE">
              <w:rPr>
                <w:sz w:val="16"/>
                <w:szCs w:val="16"/>
              </w:rPr>
              <w:t>Kessler- 6 (K6)</w:t>
            </w:r>
            <w:r>
              <w:rPr>
                <w:sz w:val="16"/>
                <w:szCs w:val="16"/>
              </w:rPr>
              <w:fldChar w:fldCharType="begin">
                <w:fldData xml:space="preserve">PEVuZE5vdGU+PENpdGU+PEF1dGhvcj5LZXNzbGVyPC9BdXRob3I+PFllYXI+MjAxMDwvWWVhcj48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</w:fldData>
              </w:fldChar>
            </w:r>
            <w:r w:rsidR="004469A2">
              <w:rPr>
                <w:sz w:val="16"/>
                <w:szCs w:val="16"/>
              </w:rPr>
              <w:instrText xml:space="preserve"> ADDIN EN.CITE </w:instrText>
            </w:r>
            <w:r w:rsidR="004469A2">
              <w:rPr>
                <w:sz w:val="16"/>
                <w:szCs w:val="16"/>
              </w:rPr>
              <w:fldChar w:fldCharType="begin">
                <w:fldData xml:space="preserve">PEVuZE5vdGU+PENpdGU+PEF1dGhvcj5LZXNzbGVyPC9BdXRob3I+PFllYXI+MjAxMDwvWWVhcj48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</w:fldData>
              </w:fldChar>
            </w:r>
            <w:r w:rsidR="004469A2">
              <w:rPr>
                <w:sz w:val="16"/>
                <w:szCs w:val="16"/>
              </w:rPr>
              <w:instrText xml:space="preserve"> ADDIN EN.CITE.DATA </w:instrText>
            </w:r>
            <w:r w:rsidR="004469A2">
              <w:rPr>
                <w:sz w:val="16"/>
                <w:szCs w:val="16"/>
              </w:rPr>
            </w:r>
            <w:r w:rsidR="004469A2">
              <w:rPr>
                <w:sz w:val="16"/>
                <w:szCs w:val="16"/>
              </w:rPr>
              <w:fldChar w:fldCharType="end"/>
            </w:r>
            <w:r>
              <w:rPr>
                <w:sz w:val="16"/>
                <w:szCs w:val="16"/>
              </w:rPr>
            </w:r>
            <w:r>
              <w:rPr>
                <w:sz w:val="16"/>
                <w:szCs w:val="16"/>
              </w:rPr>
              <w:fldChar w:fldCharType="separate"/>
            </w:r>
            <w:r w:rsidR="004469A2" w:rsidRPr="004469A2">
              <w:rPr>
                <w:noProof/>
                <w:sz w:val="16"/>
                <w:szCs w:val="16"/>
                <w:vertAlign w:val="superscript"/>
              </w:rPr>
              <w:t>43, 44</w:t>
            </w:r>
            <w:r>
              <w:rPr>
                <w:sz w:val="16"/>
                <w:szCs w:val="16"/>
              </w:rPr>
              <w:fldChar w:fldCharType="end"/>
            </w:r>
          </w:p>
        </w:tc>
        <w:tc>
          <w:tcPr>
            <w:tcW w:w="0" w:type="auto"/>
          </w:tcPr>
          <w:p w14:paraId="19ADA36D" w14:textId="0EC25196" w:rsidR="007948EE" w:rsidRPr="00080DEE" w:rsidRDefault="007948EE" w:rsidP="00CB0B42">
            <w:pPr>
              <w:pStyle w:val="ANorm"/>
              <w:snapToGrid w:val="0"/>
              <w:rPr>
                <w:sz w:val="16"/>
                <w:szCs w:val="16"/>
              </w:rPr>
            </w:pPr>
            <w:r w:rsidRPr="00080DEE">
              <w:rPr>
                <w:sz w:val="16"/>
                <w:szCs w:val="16"/>
              </w:rPr>
              <w:t>Consumer-rated measure of non-specific psychological distress intended to be used as a quick tool to assess risk for serious mental illness in the general population. Comprises six items about symptoms of depression and anxiety in the past four weeks.</w:t>
            </w:r>
          </w:p>
        </w:tc>
        <w:tc>
          <w:tcPr>
            <w:tcW w:w="0" w:type="auto"/>
          </w:tcPr>
          <w:p w14:paraId="3563573A" w14:textId="0A10B718" w:rsidR="007948EE" w:rsidRPr="00080DEE" w:rsidRDefault="007948EE" w:rsidP="00CB0B42">
            <w:pPr>
              <w:pStyle w:val="ANorm"/>
              <w:snapToGrid w:val="0"/>
              <w:rPr>
                <w:sz w:val="16"/>
                <w:szCs w:val="16"/>
              </w:rPr>
            </w:pPr>
            <w:r w:rsidRPr="00080DEE">
              <w:rPr>
                <w:sz w:val="16"/>
                <w:szCs w:val="16"/>
              </w:rPr>
              <w:t>Each item is rated from 1 (None of the time) to 5 (All of the time), resulting in a total score ranging from 6 to 30.</w:t>
            </w:r>
            <w:r>
              <w:rPr>
                <w:sz w:val="16"/>
                <w:szCs w:val="16"/>
              </w:rPr>
              <w:fldChar w:fldCharType="begin"/>
            </w:r>
            <w:r w:rsidR="004469A2">
              <w:rPr>
                <w:sz w:val="16"/>
                <w:szCs w:val="16"/>
              </w:rPr>
              <w:instrText xml:space="preserve"> ADDIN EN.CITE &lt;EndNote&gt;&lt;Cite&gt;&lt;Author&gt;Australian Bureau of Statistics&lt;/Author&gt;&lt;Year&gt;2012&lt;/Year&gt;&lt;RecNum&gt;127&lt;/RecNum&gt;&lt;DisplayText&gt;&lt;style face="superscript"&gt;43&lt;/style&gt;&lt;/DisplayText&gt;&lt;record&gt;&lt;rec-number&gt;127&lt;/rec-number&gt;&lt;foreign-keys&gt;&lt;key app="EN" db-id="dawtr0zrkrzfa5edzzlpe2we0xa00t90vvr2" timestamp="1649831490"&gt;127&lt;/key&gt;&lt;/foreign-keys&gt;&lt;ref-type name="Web Page"&gt;12&lt;/ref-type&gt;&lt;contributors&gt;&lt;authors&gt;&lt;author&gt;Australian Bureau of Statistics,  &lt;/author&gt;&lt;/authors&gt;&lt;/contributors&gt;&lt;titles&gt;&lt;title&gt;Information Paper: Use of the Kessler Psychological Distress Scale in ABS health surveys, Australia, 2007-08.&lt;/title&gt;&lt;/titles&gt;&lt;number&gt;13 April 2022&lt;/number&gt;&lt;dates&gt;&lt;year&gt;2012&lt;/year&gt;&lt;/dates&gt;&lt;pub-location&gt;Canberra&lt;/pub-location&gt;&lt;publisher&gt;ABS&lt;/publisher&gt;&lt;urls&gt;&lt;related-urls&gt;&lt;url&gt;https://www.abs.gov.au/ausstats/abs@.nsf/Lookup/4817.0.55.001Chapter92007-08&lt;/url&gt;&lt;/related-urls&gt;&lt;/urls&gt;&lt;/record&gt;&lt;/Cite&gt;&lt;/EndNote&gt;</w:instrText>
            </w:r>
            <w:r>
              <w:rPr>
                <w:sz w:val="16"/>
                <w:szCs w:val="16"/>
              </w:rPr>
              <w:fldChar w:fldCharType="separate"/>
            </w:r>
            <w:r w:rsidR="004469A2" w:rsidRPr="004469A2">
              <w:rPr>
                <w:noProof/>
                <w:sz w:val="16"/>
                <w:szCs w:val="16"/>
                <w:vertAlign w:val="superscript"/>
              </w:rPr>
              <w:t>43</w:t>
            </w:r>
            <w:r>
              <w:rPr>
                <w:sz w:val="16"/>
                <w:szCs w:val="16"/>
              </w:rPr>
              <w:fldChar w:fldCharType="end"/>
            </w:r>
            <w:r w:rsidRPr="00080DEE">
              <w:rPr>
                <w:sz w:val="16"/>
                <w:szCs w:val="16"/>
              </w:rPr>
              <w:t xml:space="preserve"> Scores of 6-18 indicate no probable serious mental illness and scores of 19-30 indicate probable serious mental illness.</w:t>
            </w:r>
          </w:p>
        </w:tc>
      </w:tr>
      <w:tr w:rsidR="007948EE" w:rsidRPr="00A232DE" w14:paraId="70A4FCAF" w14:textId="77777777" w:rsidTr="005C1FFF">
        <w:tc>
          <w:tcPr>
            <w:tcW w:w="0" w:type="auto"/>
          </w:tcPr>
          <w:p w14:paraId="4F3AB302" w14:textId="58A2B699" w:rsidR="007948EE" w:rsidRPr="00A84B92" w:rsidRDefault="007948EE" w:rsidP="00CB0B42">
            <w:pPr>
              <w:pStyle w:val="ANorm"/>
              <w:snapToGrid w:val="0"/>
              <w:rPr>
                <w:sz w:val="16"/>
                <w:szCs w:val="16"/>
                <w:lang w:val="it-IT"/>
              </w:rPr>
            </w:pPr>
            <w:r w:rsidRPr="00A84B92">
              <w:rPr>
                <w:rFonts w:asciiTheme="minorHAnsi" w:hAnsiTheme="minorHAnsi" w:cstheme="minorHAnsi"/>
                <w:sz w:val="16"/>
                <w:szCs w:val="16"/>
                <w:lang w:val="it-IT"/>
              </w:rPr>
              <w:t>Mini-Social Phobia Inventory</w:t>
            </w:r>
            <w:r w:rsidRPr="00A84B92">
              <w:rPr>
                <w:sz w:val="16"/>
                <w:szCs w:val="16"/>
                <w:lang w:val="it-IT"/>
              </w:rPr>
              <w:t xml:space="preserve"> </w:t>
            </w:r>
            <w:r>
              <w:rPr>
                <w:sz w:val="16"/>
                <w:szCs w:val="16"/>
                <w:lang w:val="it-IT"/>
              </w:rPr>
              <w:t>(</w:t>
            </w:r>
            <w:r w:rsidRPr="00A84B92">
              <w:rPr>
                <w:sz w:val="16"/>
                <w:szCs w:val="16"/>
                <w:lang w:val="it-IT"/>
              </w:rPr>
              <w:t>Mini-SPIN)</w:t>
            </w:r>
            <w:r>
              <w:rPr>
                <w:sz w:val="16"/>
                <w:szCs w:val="16"/>
                <w:lang w:val="it-IT"/>
              </w:rPr>
              <w:fldChar w:fldCharType="begin"/>
            </w:r>
            <w:r w:rsidR="004469A2">
              <w:rPr>
                <w:sz w:val="16"/>
                <w:szCs w:val="16"/>
                <w:lang w:val="it-IT"/>
              </w:rPr>
              <w:instrText xml:space="preserve"> ADDIN EN.CITE &lt;EndNote&gt;&lt;Cite&gt;&lt;Author&gt;Connor&lt;/Author&gt;&lt;Year&gt;2001&lt;/Year&gt;&lt;RecNum&gt;182&lt;/RecNum&gt;&lt;DisplayText&gt;&lt;style face="superscript"&gt;35&lt;/style&gt;&lt;/DisplayText&gt;&lt;record&gt;&lt;rec-number&gt;182&lt;/rec-number&gt;&lt;foreign-keys&gt;&lt;key app="EN" db-id="dawtr0zrkrzfa5edzzlpe2we0xa00t90vvr2" timestamp="1655259274"&gt;182&lt;/key&gt;&lt;/foreign-keys&gt;&lt;ref-type name="Journal Article"&gt;17&lt;/ref-type&gt;&lt;contributors&gt;&lt;authors&gt;&lt;author&gt;Connor, K. M.&lt;/author&gt;&lt;author&gt;Kobak, K. A.&lt;/author&gt;&lt;author&gt;Churchill, L. E.&lt;/author&gt;&lt;author&gt;Katzelnick, D.&lt;/author&gt;&lt;author&gt;Davidson, J. R. T.&lt;/author&gt;&lt;/authors&gt;&lt;/contributors&gt;&lt;auth-address&gt;Duke Univ, Med Ctr, Dept Psychiat &amp;amp; Behav Sci, Durham, NC 27710 USA. Dean Fdn, Madison, WI USA.&amp;#xD;Connor, KM (corresponding author), Duke Univ, Med Ctr, Dept Psychiat &amp;amp; Behav Sci, Box 3812, Durham, NC 27710 USA.&lt;/auth-address&gt;&lt;titles&gt;&lt;title&gt;Mini-spin: A brief screening assessment for generalized social anxiety disorder&lt;/title&gt;&lt;secondary-title&gt;Depression and Anxiety&lt;/secondary-title&gt;&lt;alt-title&gt;Depress. Anxiety&lt;/alt-title&gt;&lt;/titles&gt;&lt;periodical&gt;&lt;full-title&gt;Depression and Anxiety&lt;/full-title&gt;&lt;/periodical&gt;&lt;pages&gt;137-140&lt;/pages&gt;&lt;volume&gt;14&lt;/volume&gt;&lt;number&gt;2&lt;/number&gt;&lt;keywords&gt;&lt;keyword&gt;diagnostic screening&lt;/keyword&gt;&lt;keyword&gt;generalized social phobia&lt;/keyword&gt;&lt;keyword&gt;generalized social&lt;/keyword&gt;&lt;keyword&gt;anxiety disorder&lt;/keyword&gt;&lt;keyword&gt;phobia&lt;/keyword&gt;&lt;keyword&gt;comorbidity&lt;/keyword&gt;&lt;keyword&gt;Psychology&lt;/keyword&gt;&lt;keyword&gt;Psychiatry&lt;/keyword&gt;&lt;/keywords&gt;&lt;dates&gt;&lt;year&gt;2001&lt;/year&gt;&lt;/dates&gt;&lt;isbn&gt;1091-4269&lt;/isbn&gt;&lt;accession-num&gt;WOS:000171321000010&lt;/accession-num&gt;&lt;work-type&gt;Article&lt;/work-type&gt;&lt;urls&gt;&lt;related-urls&gt;&lt;url&gt;&amp;lt;Go to ISI&amp;gt;://WOS:000171321000010&lt;/url&gt;&lt;/related-urls&gt;&lt;/urls&gt;&lt;electronic-resource-num&gt;10.1002/da.1055&lt;/electronic-resource-num&gt;&lt;language&gt;English&lt;/language&gt;&lt;/record&gt;&lt;/Cite&gt;&lt;/EndNote&gt;</w:instrText>
            </w:r>
            <w:r>
              <w:rPr>
                <w:sz w:val="16"/>
                <w:szCs w:val="16"/>
                <w:lang w:val="it-IT"/>
              </w:rPr>
              <w:fldChar w:fldCharType="separate"/>
            </w:r>
            <w:r w:rsidR="004469A2" w:rsidRPr="004469A2">
              <w:rPr>
                <w:noProof/>
                <w:sz w:val="16"/>
                <w:szCs w:val="16"/>
                <w:vertAlign w:val="superscript"/>
                <w:lang w:val="it-IT"/>
              </w:rPr>
              <w:t>35</w:t>
            </w:r>
            <w:r>
              <w:rPr>
                <w:sz w:val="16"/>
                <w:szCs w:val="16"/>
                <w:lang w:val="it-IT"/>
              </w:rPr>
              <w:fldChar w:fldCharType="end"/>
            </w:r>
          </w:p>
        </w:tc>
        <w:tc>
          <w:tcPr>
            <w:tcW w:w="0" w:type="auto"/>
          </w:tcPr>
          <w:p w14:paraId="19F222A1" w14:textId="3BA3043F" w:rsidR="007948EE" w:rsidRPr="00A232DE" w:rsidRDefault="007948EE" w:rsidP="00CB0B42">
            <w:pPr>
              <w:pStyle w:val="ANorm"/>
              <w:snapToGrid w:val="0"/>
              <w:rPr>
                <w:sz w:val="16"/>
                <w:szCs w:val="16"/>
              </w:rPr>
            </w:pPr>
            <w:r>
              <w:rPr>
                <w:sz w:val="16"/>
                <w:szCs w:val="16"/>
              </w:rPr>
              <w:t>Consumer</w:t>
            </w:r>
            <w:r w:rsidRPr="00A232DE">
              <w:rPr>
                <w:sz w:val="16"/>
                <w:szCs w:val="16"/>
              </w:rPr>
              <w:t xml:space="preserve">-rated </w:t>
            </w:r>
            <w:r>
              <w:rPr>
                <w:sz w:val="16"/>
                <w:szCs w:val="16"/>
              </w:rPr>
              <w:t>three</w:t>
            </w:r>
            <w:r w:rsidRPr="00A232DE">
              <w:rPr>
                <w:sz w:val="16"/>
                <w:szCs w:val="16"/>
              </w:rPr>
              <w:t>-item scale about avoidance and fear of embarrassment</w:t>
            </w:r>
            <w:r>
              <w:rPr>
                <w:sz w:val="16"/>
                <w:szCs w:val="16"/>
              </w:rPr>
              <w:t xml:space="preserve"> over the past week</w:t>
            </w:r>
            <w:r w:rsidRPr="00A232DE">
              <w:rPr>
                <w:sz w:val="16"/>
                <w:szCs w:val="16"/>
              </w:rPr>
              <w:t xml:space="preserve"> to screen for generali</w:t>
            </w:r>
            <w:r>
              <w:rPr>
                <w:sz w:val="16"/>
                <w:szCs w:val="16"/>
              </w:rPr>
              <w:t>s</w:t>
            </w:r>
            <w:r w:rsidRPr="00A232DE">
              <w:rPr>
                <w:sz w:val="16"/>
                <w:szCs w:val="16"/>
              </w:rPr>
              <w:t xml:space="preserve">ed social anxiety disorder. </w:t>
            </w:r>
            <w:r>
              <w:rPr>
                <w:sz w:val="16"/>
                <w:szCs w:val="16"/>
              </w:rPr>
              <w:t>D</w:t>
            </w:r>
            <w:r w:rsidRPr="00A232DE">
              <w:rPr>
                <w:sz w:val="16"/>
                <w:szCs w:val="16"/>
              </w:rPr>
              <w:t>eveloped based on the longer 17-item social phobia inventory (SPIN).</w:t>
            </w:r>
          </w:p>
        </w:tc>
        <w:tc>
          <w:tcPr>
            <w:tcW w:w="0" w:type="auto"/>
          </w:tcPr>
          <w:p w14:paraId="7927383A" w14:textId="77777777" w:rsidR="007948EE" w:rsidRPr="00AD389B" w:rsidRDefault="007948EE" w:rsidP="00CB0B42">
            <w:pPr>
              <w:pStyle w:val="ANorm"/>
              <w:snapToGrid w:val="0"/>
              <w:rPr>
                <w:sz w:val="16"/>
                <w:szCs w:val="16"/>
              </w:rPr>
            </w:pPr>
            <w:r w:rsidRPr="00AD389B">
              <w:rPr>
                <w:sz w:val="16"/>
                <w:szCs w:val="16"/>
              </w:rPr>
              <w:t>Each item is rated using a 5-point Likert scale from 0 (Not at all) to 4 (Extremely). Scores range from 0 to 12, with scores of 6 or higher indicating possible problems with social anxiety.</w:t>
            </w:r>
          </w:p>
        </w:tc>
      </w:tr>
      <w:tr w:rsidR="007948EE" w:rsidRPr="005A56C5" w14:paraId="71916EF2" w14:textId="77777777" w:rsidTr="005C1FFF">
        <w:tc>
          <w:tcPr>
            <w:tcW w:w="0" w:type="auto"/>
          </w:tcPr>
          <w:p w14:paraId="047EA9E8" w14:textId="4046CF36" w:rsidR="007948EE" w:rsidRPr="005A56C5" w:rsidRDefault="007948EE" w:rsidP="00CB0B42">
            <w:pPr>
              <w:pStyle w:val="ANorm"/>
              <w:snapToGrid w:val="0"/>
              <w:rPr>
                <w:sz w:val="16"/>
                <w:szCs w:val="16"/>
                <w:lang w:val="fr-FR"/>
              </w:rPr>
            </w:pPr>
            <w:r w:rsidRPr="005A56C5">
              <w:rPr>
                <w:sz w:val="16"/>
                <w:szCs w:val="16"/>
                <w:lang w:val="fr-FR"/>
              </w:rPr>
              <w:t>Patient Health Questionnaire (PHQ-9)</w:t>
            </w:r>
            <w:r>
              <w:rPr>
                <w:sz w:val="16"/>
                <w:szCs w:val="16"/>
                <w:lang w:val="fr-FR"/>
              </w:rPr>
              <w:fldChar w:fldCharType="begin">
                <w:fldData xml:space="preserve">PEVuZE5vdGU+PENpdGU+PEF1dGhvcj5Lcm9lbmtlPC9BdXRob3I+PFllYXI+MjAwMTwvWWVhcj48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</w:fldData>
              </w:fldChar>
            </w:r>
            <w:r w:rsidR="004469A2">
              <w:rPr>
                <w:sz w:val="16"/>
                <w:szCs w:val="16"/>
                <w:lang w:val="fr-FR"/>
              </w:rPr>
              <w:instrText xml:space="preserve"> ADDIN EN.CITE </w:instrText>
            </w:r>
            <w:r w:rsidR="004469A2">
              <w:rPr>
                <w:sz w:val="16"/>
                <w:szCs w:val="16"/>
                <w:lang w:val="fr-FR"/>
              </w:rPr>
              <w:fldChar w:fldCharType="begin">
                <w:fldData xml:space="preserve">PEVuZE5vdGU+PENpdGU+PEF1dGhvcj5Lcm9lbmtlPC9BdXRob3I+PFllYXI+MjAwMTwvWWVhcj48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</w:fldData>
              </w:fldChar>
            </w:r>
            <w:r w:rsidR="004469A2">
              <w:rPr>
                <w:sz w:val="16"/>
                <w:szCs w:val="16"/>
                <w:lang w:val="fr-FR"/>
              </w:rPr>
              <w:instrText xml:space="preserve"> ADDIN EN.CITE.DATA </w:instrText>
            </w:r>
            <w:r w:rsidR="004469A2">
              <w:rPr>
                <w:sz w:val="16"/>
                <w:szCs w:val="16"/>
                <w:lang w:val="fr-FR"/>
              </w:rPr>
            </w:r>
            <w:r w:rsidR="004469A2">
              <w:rPr>
                <w:sz w:val="16"/>
                <w:szCs w:val="16"/>
                <w:lang w:val="fr-FR"/>
              </w:rPr>
              <w:fldChar w:fldCharType="end"/>
            </w:r>
            <w:r>
              <w:rPr>
                <w:sz w:val="16"/>
                <w:szCs w:val="16"/>
                <w:lang w:val="fr-FR"/>
              </w:rPr>
            </w:r>
            <w:r>
              <w:rPr>
                <w:sz w:val="16"/>
                <w:szCs w:val="16"/>
                <w:lang w:val="fr-FR"/>
              </w:rPr>
              <w:fldChar w:fldCharType="separate"/>
            </w:r>
            <w:r w:rsidR="004469A2" w:rsidRPr="004469A2">
              <w:rPr>
                <w:noProof/>
                <w:sz w:val="16"/>
                <w:szCs w:val="16"/>
                <w:vertAlign w:val="superscript"/>
                <w:lang w:val="fr-FR"/>
              </w:rPr>
              <w:t>28</w:t>
            </w:r>
            <w:r>
              <w:rPr>
                <w:sz w:val="16"/>
                <w:szCs w:val="16"/>
                <w:lang w:val="fr-FR"/>
              </w:rPr>
              <w:fldChar w:fldCharType="end"/>
            </w:r>
          </w:p>
        </w:tc>
        <w:tc>
          <w:tcPr>
            <w:tcW w:w="0" w:type="auto"/>
          </w:tcPr>
          <w:p w14:paraId="0A48E527" w14:textId="77777777" w:rsidR="007948EE" w:rsidRPr="005A56C5" w:rsidRDefault="007948EE" w:rsidP="00CB0B42">
            <w:pPr>
              <w:pStyle w:val="ANorm"/>
              <w:snapToGrid w:val="0"/>
              <w:rPr>
                <w:sz w:val="16"/>
                <w:szCs w:val="16"/>
              </w:rPr>
            </w:pPr>
            <w:r w:rsidRPr="005A56C5">
              <w:rPr>
                <w:sz w:val="16"/>
                <w:szCs w:val="16"/>
              </w:rPr>
              <w:t>Consumer-rated measure of depressive symptoms. Comprises nine items about how often the consumer has been bothered by depressive symptoms in the past two weeks.</w:t>
            </w:r>
          </w:p>
        </w:tc>
        <w:tc>
          <w:tcPr>
            <w:tcW w:w="0" w:type="auto"/>
          </w:tcPr>
          <w:p w14:paraId="298BC1AA" w14:textId="77777777" w:rsidR="007948EE" w:rsidRPr="00AD389B" w:rsidRDefault="007948EE" w:rsidP="00CB0B42">
            <w:pPr>
              <w:pStyle w:val="ANorm"/>
              <w:snapToGrid w:val="0"/>
              <w:rPr>
                <w:sz w:val="16"/>
                <w:szCs w:val="16"/>
              </w:rPr>
            </w:pPr>
            <w:r w:rsidRPr="00AD389B">
              <w:rPr>
                <w:sz w:val="16"/>
                <w:szCs w:val="16"/>
              </w:rPr>
              <w:t>Each item is scored 0 (Not at all), 1 (Several days), 2 (More than half the days) or 3 (Nearly every day). Total scores range from 0-27. Scores of 0-4 indicate no depression, scores of 5-9 indicate mild depression, scores of 10-14 indicate moderate depression, scores of 15-19 indicate moderately severe depression, and scores of 20-27 indicate severe depression.</w:t>
            </w:r>
          </w:p>
        </w:tc>
      </w:tr>
      <w:tr w:rsidR="007948EE" w:rsidRPr="005A56C5" w14:paraId="022F285D" w14:textId="77777777" w:rsidTr="005C1FFF">
        <w:trPr>
          <w:trHeight w:val="820"/>
        </w:trPr>
        <w:tc>
          <w:tcPr>
            <w:tcW w:w="0" w:type="auto"/>
          </w:tcPr>
          <w:p w14:paraId="735A3219" w14:textId="420541F6" w:rsidR="007948EE" w:rsidRPr="005A56C5" w:rsidRDefault="007948EE" w:rsidP="00CB0B42">
            <w:pPr>
              <w:pStyle w:val="ANorm"/>
              <w:snapToGrid w:val="0"/>
              <w:rPr>
                <w:sz w:val="16"/>
                <w:szCs w:val="16"/>
                <w:highlight w:val="yellow"/>
              </w:rPr>
            </w:pPr>
            <w:r w:rsidRPr="00140192">
              <w:rPr>
                <w:rFonts w:asciiTheme="minorHAnsi" w:hAnsiTheme="minorHAnsi" w:cstheme="minorHAnsi"/>
                <w:sz w:val="16"/>
                <w:szCs w:val="16"/>
              </w:rPr>
              <w:t>Posttraumatic Stress Disorder Checklist</w:t>
            </w:r>
            <w:r w:rsidRPr="00140192">
              <w:rPr>
                <w:sz w:val="16"/>
                <w:szCs w:val="16"/>
              </w:rPr>
              <w:t xml:space="preserve"> </w:t>
            </w:r>
            <w:r>
              <w:rPr>
                <w:sz w:val="16"/>
                <w:szCs w:val="16"/>
              </w:rPr>
              <w:t>(</w:t>
            </w:r>
            <w:r w:rsidRPr="00140192">
              <w:rPr>
                <w:sz w:val="16"/>
                <w:szCs w:val="16"/>
              </w:rPr>
              <w:t>PCL-C)</w:t>
            </w:r>
            <w:r>
              <w:rPr>
                <w:sz w:val="16"/>
                <w:szCs w:val="16"/>
              </w:rPr>
              <w:fldChar w:fldCharType="begin"/>
            </w:r>
            <w:r w:rsidR="004469A2">
              <w:rPr>
                <w:sz w:val="16"/>
                <w:szCs w:val="16"/>
              </w:rPr>
              <w:instrText xml:space="preserve"> ADDIN EN.CITE &lt;EndNote&gt;&lt;Cite&gt;&lt;Author&gt;Weathers&lt;/Author&gt;&lt;Year&gt;1994&lt;/Year&gt;&lt;RecNum&gt;184&lt;/RecNum&gt;&lt;DisplayText&gt;&lt;style face="superscript"&gt;36&lt;/style&gt;&lt;/DisplayText&gt;&lt;record&gt;&lt;rec-number&gt;184&lt;/rec-number&gt;&lt;foreign-keys&gt;&lt;key app="EN" db-id="dawtr0zrkrzfa5edzzlpe2we0xa00t90vvr2" timestamp="1655259461"&gt;184&lt;/key&gt;&lt;/foreign-keys&gt;&lt;ref-type name="Book"&gt;6&lt;/ref-type&gt;&lt;contributors&gt;&lt;authors&gt;&lt;author&gt;Weathers, F.W.&lt;/author&gt;&lt;author&gt; Litz, B.T.&lt;/author&gt;&lt;author&gt; Huska, J.A.&lt;/author&gt;&lt;author&gt; Keane, T.M.&lt;/author&gt;&lt;/authors&gt;&lt;/contributors&gt;&lt;titles&gt;&lt;title&gt;PCL-C for DSM-IV&lt;/title&gt;&lt;/titles&gt;&lt;dates&gt;&lt;year&gt;1994&lt;/year&gt;&lt;/dates&gt;&lt;pub-location&gt;Boston&lt;/pub-location&gt;&lt;publisher&gt;National Centre for PTSD, Behavioral Science Divison&lt;/publisher&gt;&lt;urls&gt;&lt;/urls&gt;&lt;/record&gt;&lt;/Cite&gt;&lt;/EndNote&gt;</w:instrText>
            </w:r>
            <w:r>
              <w:rPr>
                <w:sz w:val="16"/>
                <w:szCs w:val="16"/>
              </w:rPr>
              <w:fldChar w:fldCharType="separate"/>
            </w:r>
            <w:r w:rsidR="004469A2" w:rsidRPr="004469A2">
              <w:rPr>
                <w:noProof/>
                <w:sz w:val="16"/>
                <w:szCs w:val="16"/>
                <w:vertAlign w:val="superscript"/>
              </w:rPr>
              <w:t>36</w:t>
            </w:r>
            <w:r>
              <w:rPr>
                <w:sz w:val="16"/>
                <w:szCs w:val="16"/>
              </w:rPr>
              <w:fldChar w:fldCharType="end"/>
            </w:r>
          </w:p>
        </w:tc>
        <w:tc>
          <w:tcPr>
            <w:tcW w:w="0" w:type="auto"/>
          </w:tcPr>
          <w:p w14:paraId="6640D068" w14:textId="07F5F340" w:rsidR="007948EE" w:rsidRPr="005A56C5" w:rsidRDefault="007948EE" w:rsidP="00CB0B42">
            <w:pPr>
              <w:pStyle w:val="ANorm"/>
              <w:snapToGrid w:val="0"/>
              <w:rPr>
                <w:sz w:val="16"/>
                <w:szCs w:val="16"/>
              </w:rPr>
            </w:pPr>
            <w:r>
              <w:rPr>
                <w:sz w:val="16"/>
                <w:szCs w:val="16"/>
              </w:rPr>
              <w:t>Consumer-rated 17 item measure that assess</w:t>
            </w:r>
            <w:r w:rsidR="00CB0B42">
              <w:rPr>
                <w:sz w:val="16"/>
                <w:szCs w:val="16"/>
              </w:rPr>
              <w:t>es</w:t>
            </w:r>
            <w:r>
              <w:rPr>
                <w:sz w:val="16"/>
                <w:szCs w:val="16"/>
              </w:rPr>
              <w:t xml:space="preserve"> the DSM-5 symptoms of PTSD over the past month</w:t>
            </w:r>
            <w:r w:rsidR="00CB0B42">
              <w:rPr>
                <w:sz w:val="16"/>
                <w:szCs w:val="16"/>
              </w:rPr>
              <w:t>.</w:t>
            </w:r>
          </w:p>
        </w:tc>
        <w:tc>
          <w:tcPr>
            <w:tcW w:w="0" w:type="auto"/>
          </w:tcPr>
          <w:p w14:paraId="5F881233" w14:textId="22CA1499" w:rsidR="007948EE" w:rsidRPr="00AD389B" w:rsidRDefault="007948EE" w:rsidP="00CB0B42">
            <w:pPr>
              <w:pStyle w:val="ANorm"/>
              <w:snapToGrid w:val="0"/>
              <w:rPr>
                <w:sz w:val="16"/>
                <w:szCs w:val="16"/>
              </w:rPr>
            </w:pPr>
            <w:r w:rsidRPr="00AD389B">
              <w:rPr>
                <w:sz w:val="16"/>
                <w:szCs w:val="16"/>
              </w:rPr>
              <w:t xml:space="preserve">Items are </w:t>
            </w:r>
            <w:r w:rsidR="005C1FFF">
              <w:rPr>
                <w:sz w:val="16"/>
                <w:szCs w:val="16"/>
              </w:rPr>
              <w:t>rated</w:t>
            </w:r>
            <w:r w:rsidRPr="00AD389B">
              <w:rPr>
                <w:sz w:val="16"/>
                <w:szCs w:val="16"/>
              </w:rPr>
              <w:t xml:space="preserve"> on a five-point scale, from 1 (not at all) to 5 (extremely) and generate a total symptom severity score between 17 and 85. Scores </w:t>
            </w:r>
            <w:r w:rsidR="00CB0B42">
              <w:rPr>
                <w:sz w:val="16"/>
                <w:szCs w:val="16"/>
              </w:rPr>
              <w:t>of</w:t>
            </w:r>
            <w:r w:rsidRPr="00AD389B">
              <w:rPr>
                <w:sz w:val="16"/>
                <w:szCs w:val="16"/>
              </w:rPr>
              <w:t xml:space="preserve"> 17-29 indicate little to no severity; </w:t>
            </w:r>
            <w:r w:rsidR="00CB0B42">
              <w:rPr>
                <w:sz w:val="16"/>
                <w:szCs w:val="16"/>
              </w:rPr>
              <w:t>s</w:t>
            </w:r>
            <w:r w:rsidRPr="00AD389B">
              <w:rPr>
                <w:sz w:val="16"/>
                <w:szCs w:val="16"/>
              </w:rPr>
              <w:t xml:space="preserve">cores </w:t>
            </w:r>
            <w:r w:rsidR="00CB0B42">
              <w:rPr>
                <w:sz w:val="16"/>
                <w:szCs w:val="16"/>
              </w:rPr>
              <w:t>of</w:t>
            </w:r>
            <w:r w:rsidRPr="00AD389B">
              <w:rPr>
                <w:sz w:val="16"/>
                <w:szCs w:val="16"/>
              </w:rPr>
              <w:t xml:space="preserve"> 30-44 indicate moderate to moderately high severity; and </w:t>
            </w:r>
            <w:r w:rsidR="00CB0B42">
              <w:rPr>
                <w:sz w:val="16"/>
                <w:szCs w:val="16"/>
              </w:rPr>
              <w:t>s</w:t>
            </w:r>
            <w:r w:rsidRPr="00AD389B">
              <w:rPr>
                <w:sz w:val="16"/>
                <w:szCs w:val="16"/>
              </w:rPr>
              <w:t xml:space="preserve">cores </w:t>
            </w:r>
            <w:r w:rsidR="00CB0B42">
              <w:rPr>
                <w:sz w:val="16"/>
                <w:szCs w:val="16"/>
              </w:rPr>
              <w:t>of</w:t>
            </w:r>
            <w:r w:rsidRPr="00AD389B">
              <w:rPr>
                <w:sz w:val="16"/>
                <w:szCs w:val="16"/>
              </w:rPr>
              <w:t xml:space="preserve"> 45-85 indicate high severity.</w:t>
            </w:r>
          </w:p>
        </w:tc>
      </w:tr>
      <w:tr w:rsidR="007948EE" w:rsidRPr="004339A9" w14:paraId="7191A84C" w14:textId="77777777" w:rsidTr="005C1FFF">
        <w:tc>
          <w:tcPr>
            <w:tcW w:w="0" w:type="auto"/>
          </w:tcPr>
          <w:p w14:paraId="662C3899" w14:textId="34AC4ED0" w:rsidR="007948EE" w:rsidRPr="004339A9" w:rsidRDefault="007948EE" w:rsidP="00CB0B42">
            <w:pPr>
              <w:pStyle w:val="ANorm"/>
              <w:snapToGrid w:val="0"/>
              <w:rPr>
                <w:rFonts w:asciiTheme="minorHAnsi" w:hAnsiTheme="minorHAnsi" w:cstheme="minorHAnsi"/>
                <w:sz w:val="16"/>
                <w:szCs w:val="16"/>
              </w:rPr>
            </w:pPr>
            <w:r w:rsidRPr="004339A9">
              <w:rPr>
                <w:rFonts w:asciiTheme="minorHAnsi" w:hAnsiTheme="minorHAnsi" w:cstheme="minorHAnsi"/>
                <w:sz w:val="16"/>
                <w:szCs w:val="16"/>
              </w:rPr>
              <w:lastRenderedPageBreak/>
              <w:t>Panic Disorder Severity Scale Self-Report version (PDSS-SR)</w:t>
            </w:r>
            <w:r w:rsidRPr="004339A9">
              <w:rPr>
                <w:rFonts w:asciiTheme="minorHAnsi" w:hAnsiTheme="minorHAnsi" w:cstheme="minorHAnsi"/>
                <w:sz w:val="16"/>
                <w:szCs w:val="16"/>
              </w:rPr>
              <w:fldChar w:fldCharType="begin">
                <w:fldData xml:space="preserve">PEVuZE5vdGU+PENpdGU+PEF1dGhvcj5TaGVhcjwvQXV0aG9yPjxZZWFyPjIwMDE8L1llYXI+PFJl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</w:fldData>
              </w:fldChar>
            </w:r>
            <w:r w:rsidR="004469A2">
              <w:rPr>
                <w:rFonts w:asciiTheme="minorHAnsi" w:hAnsiTheme="minorHAnsi" w:cstheme="minorHAnsi"/>
                <w:sz w:val="16"/>
                <w:szCs w:val="16"/>
              </w:rPr>
              <w:instrText xml:space="preserve"> ADDIN EN.CITE </w:instrText>
            </w:r>
            <w:r w:rsidR="004469A2">
              <w:rPr>
                <w:rFonts w:asciiTheme="minorHAnsi" w:hAnsiTheme="minorHAnsi" w:cstheme="minorHAnsi"/>
                <w:sz w:val="16"/>
                <w:szCs w:val="16"/>
              </w:rPr>
              <w:fldChar w:fldCharType="begin">
                <w:fldData xml:space="preserve">PEVuZE5vdGU+PENpdGU+PEF1dGhvcj5TaGVhcjwvQXV0aG9yPjxZZWFyPjIwMDE8L1llYXI+PFJl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</w:fldData>
              </w:fldChar>
            </w:r>
            <w:r w:rsidR="004469A2">
              <w:rPr>
                <w:rFonts w:asciiTheme="minorHAnsi" w:hAnsiTheme="minorHAnsi" w:cstheme="minorHAnsi"/>
                <w:sz w:val="16"/>
                <w:szCs w:val="16"/>
              </w:rPr>
              <w:instrText xml:space="preserve"> ADDIN EN.CITE.DATA </w:instrText>
            </w:r>
            <w:r w:rsidR="004469A2">
              <w:rPr>
                <w:rFonts w:asciiTheme="minorHAnsi" w:hAnsiTheme="minorHAnsi" w:cstheme="minorHAnsi"/>
                <w:sz w:val="16"/>
                <w:szCs w:val="16"/>
              </w:rPr>
            </w:r>
            <w:r w:rsidR="004469A2">
              <w:rPr>
                <w:rFonts w:asciiTheme="minorHAnsi" w:hAnsiTheme="minorHAnsi" w:cstheme="minorHAnsi"/>
                <w:sz w:val="16"/>
                <w:szCs w:val="16"/>
              </w:rPr>
              <w:fldChar w:fldCharType="end"/>
            </w:r>
            <w:r w:rsidRPr="004339A9">
              <w:rPr>
                <w:rFonts w:asciiTheme="minorHAnsi" w:hAnsiTheme="minorHAnsi" w:cstheme="minorHAnsi"/>
                <w:sz w:val="16"/>
                <w:szCs w:val="16"/>
              </w:rPr>
            </w:r>
            <w:r w:rsidRPr="004339A9">
              <w:rPr>
                <w:rFonts w:asciiTheme="minorHAnsi" w:hAnsiTheme="minorHAnsi" w:cstheme="minorHAnsi"/>
                <w:sz w:val="16"/>
                <w:szCs w:val="16"/>
              </w:rPr>
              <w:fldChar w:fldCharType="separate"/>
            </w:r>
            <w:r w:rsidR="004469A2" w:rsidRPr="004469A2">
              <w:rPr>
                <w:rFonts w:asciiTheme="minorHAnsi" w:hAnsiTheme="minorHAnsi" w:cstheme="minorHAnsi"/>
                <w:noProof/>
                <w:sz w:val="16"/>
                <w:szCs w:val="16"/>
                <w:vertAlign w:val="superscript"/>
              </w:rPr>
              <w:t>34</w:t>
            </w:r>
            <w:r w:rsidRPr="004339A9">
              <w:rPr>
                <w:rFonts w:asciiTheme="minorHAnsi" w:hAnsiTheme="minorHAnsi" w:cstheme="minorHAnsi"/>
                <w:sz w:val="16"/>
                <w:szCs w:val="16"/>
              </w:rPr>
              <w:fldChar w:fldCharType="end"/>
            </w:r>
          </w:p>
        </w:tc>
        <w:tc>
          <w:tcPr>
            <w:tcW w:w="0" w:type="auto"/>
          </w:tcPr>
          <w:p w14:paraId="498423FE" w14:textId="77777777" w:rsidR="007948EE" w:rsidRPr="00C24B7B" w:rsidRDefault="007948EE" w:rsidP="00CB0B42">
            <w:pPr>
              <w:pStyle w:val="ANorm"/>
              <w:snapToGrid w:val="0"/>
              <w:rPr>
                <w:rFonts w:asciiTheme="minorHAnsi" w:hAnsiTheme="minorHAnsi" w:cstheme="minorHAnsi"/>
                <w:sz w:val="16"/>
                <w:szCs w:val="16"/>
              </w:rPr>
            </w:pPr>
            <w:r w:rsidRPr="00C24B7B">
              <w:rPr>
                <w:rFonts w:asciiTheme="minorHAnsi" w:hAnsiTheme="minorHAnsi" w:cstheme="minorHAnsi"/>
                <w:sz w:val="16"/>
                <w:szCs w:val="16"/>
              </w:rPr>
              <w:t>Consumer-rated seven-item measure of panic disorder symptoms over the previous week.</w:t>
            </w:r>
          </w:p>
        </w:tc>
        <w:tc>
          <w:tcPr>
            <w:tcW w:w="0" w:type="auto"/>
          </w:tcPr>
          <w:p w14:paraId="6D65B305" w14:textId="6699EE13" w:rsidR="007948EE" w:rsidRPr="00C24B7B" w:rsidRDefault="007948EE" w:rsidP="00CB0B42">
            <w:pPr>
              <w:pStyle w:val="ANorm"/>
              <w:snapToGrid w:val="0"/>
              <w:rPr>
                <w:rFonts w:asciiTheme="minorHAnsi" w:hAnsiTheme="minorHAnsi" w:cstheme="minorHAnsi"/>
                <w:sz w:val="16"/>
                <w:szCs w:val="16"/>
              </w:rPr>
            </w:pPr>
            <w:r w:rsidRPr="00C24B7B">
              <w:rPr>
                <w:rFonts w:asciiTheme="minorHAnsi" w:hAnsiTheme="minorHAnsi" w:cstheme="minorHAnsi"/>
                <w:sz w:val="16"/>
                <w:szCs w:val="16"/>
              </w:rPr>
              <w:t xml:space="preserve">Items are </w:t>
            </w:r>
            <w:r w:rsidR="005C1FFF" w:rsidRPr="00C24B7B">
              <w:rPr>
                <w:rFonts w:asciiTheme="minorHAnsi" w:hAnsiTheme="minorHAnsi" w:cstheme="minorHAnsi"/>
                <w:sz w:val="16"/>
                <w:szCs w:val="16"/>
              </w:rPr>
              <w:t>rated</w:t>
            </w:r>
            <w:r w:rsidRPr="00C24B7B">
              <w:rPr>
                <w:rFonts w:asciiTheme="minorHAnsi" w:hAnsiTheme="minorHAnsi" w:cstheme="minorHAnsi"/>
                <w:sz w:val="16"/>
                <w:szCs w:val="16"/>
              </w:rPr>
              <w:t xml:space="preserve"> on a</w:t>
            </w:r>
            <w:r w:rsidR="005C1FFF" w:rsidRPr="00C24B7B">
              <w:rPr>
                <w:rFonts w:asciiTheme="minorHAnsi" w:hAnsiTheme="minorHAnsi" w:cstheme="minorHAnsi"/>
                <w:sz w:val="16"/>
                <w:szCs w:val="16"/>
              </w:rPr>
              <w:t xml:space="preserve"> </w:t>
            </w:r>
            <w:r w:rsidR="00F47C5B" w:rsidRPr="00C24B7B">
              <w:rPr>
                <w:rFonts w:asciiTheme="minorHAnsi" w:hAnsiTheme="minorHAnsi" w:cstheme="minorHAnsi"/>
                <w:sz w:val="16"/>
                <w:szCs w:val="16"/>
              </w:rPr>
              <w:t xml:space="preserve">five-point scale from </w:t>
            </w:r>
            <w:r w:rsidR="00BE63A7" w:rsidRPr="00C24B7B">
              <w:rPr>
                <w:rFonts w:asciiTheme="minorHAnsi" w:hAnsiTheme="minorHAnsi" w:cstheme="minorHAnsi"/>
                <w:sz w:val="16"/>
                <w:szCs w:val="16"/>
              </w:rPr>
              <w:t xml:space="preserve">0 </w:t>
            </w:r>
            <w:r w:rsidR="002C6349" w:rsidRPr="00C24B7B">
              <w:rPr>
                <w:rFonts w:asciiTheme="minorHAnsi" w:hAnsiTheme="minorHAnsi" w:cstheme="minorHAnsi"/>
                <w:sz w:val="16"/>
                <w:szCs w:val="16"/>
              </w:rPr>
              <w:t>(</w:t>
            </w:r>
            <w:r w:rsidR="003378F7" w:rsidRPr="00C24B7B">
              <w:rPr>
                <w:rFonts w:asciiTheme="minorHAnsi" w:hAnsiTheme="minorHAnsi" w:cstheme="minorHAnsi"/>
                <w:sz w:val="16"/>
                <w:szCs w:val="16"/>
              </w:rPr>
              <w:t xml:space="preserve">not at all/none) </w:t>
            </w:r>
            <w:r w:rsidR="00BE63A7" w:rsidRPr="00C24B7B">
              <w:rPr>
                <w:rFonts w:asciiTheme="minorHAnsi" w:hAnsiTheme="minorHAnsi" w:cstheme="minorHAnsi"/>
                <w:sz w:val="16"/>
                <w:szCs w:val="16"/>
              </w:rPr>
              <w:t>to 4</w:t>
            </w:r>
            <w:r w:rsidR="003378F7" w:rsidRPr="00C24B7B">
              <w:rPr>
                <w:rFonts w:asciiTheme="minorHAnsi" w:hAnsiTheme="minorHAnsi" w:cstheme="minorHAnsi"/>
                <w:sz w:val="16"/>
                <w:szCs w:val="16"/>
              </w:rPr>
              <w:t xml:space="preserve"> (extreme)</w:t>
            </w:r>
            <w:r w:rsidR="009A7A35" w:rsidRPr="00C24B7B">
              <w:rPr>
                <w:rFonts w:asciiTheme="minorHAnsi" w:hAnsiTheme="minorHAnsi" w:cstheme="minorHAnsi"/>
                <w:sz w:val="16"/>
                <w:szCs w:val="16"/>
              </w:rPr>
              <w:t xml:space="preserve"> </w:t>
            </w:r>
            <w:r w:rsidR="00C24B7B" w:rsidRPr="00C24B7B">
              <w:rPr>
                <w:rFonts w:asciiTheme="minorHAnsi" w:hAnsiTheme="minorHAnsi" w:cstheme="minorHAnsi"/>
                <w:sz w:val="16"/>
                <w:szCs w:val="16"/>
              </w:rPr>
              <w:t>and generate a total score between 0 and 28</w:t>
            </w:r>
            <w:r w:rsidR="005C1FFF" w:rsidRPr="00C24B7B">
              <w:rPr>
                <w:rFonts w:asciiTheme="minorHAnsi" w:hAnsiTheme="minorHAnsi" w:cstheme="minorHAnsi"/>
                <w:sz w:val="16"/>
                <w:szCs w:val="16"/>
              </w:rPr>
              <w:t>.</w:t>
            </w:r>
            <w:r w:rsidRPr="00C24B7B">
              <w:rPr>
                <w:rFonts w:asciiTheme="minorHAnsi" w:hAnsiTheme="minorHAnsi" w:cstheme="minorHAnsi"/>
                <w:sz w:val="16"/>
                <w:szCs w:val="16"/>
              </w:rPr>
              <w:t xml:space="preserve"> Cut-off scores ≥8 suggest clinical levels of panic disorder.</w:t>
            </w:r>
          </w:p>
        </w:tc>
      </w:tr>
      <w:tr w:rsidR="007948EE" w:rsidRPr="004339A9" w14:paraId="3024CD72" w14:textId="77777777" w:rsidTr="005C1FFF">
        <w:tc>
          <w:tcPr>
            <w:tcW w:w="0" w:type="auto"/>
          </w:tcPr>
          <w:p w14:paraId="1A30C993" w14:textId="3BF03A80" w:rsidR="007948EE" w:rsidRPr="004339A9" w:rsidRDefault="007948EE" w:rsidP="00CB0B42">
            <w:pPr>
              <w:pStyle w:val="ANorm"/>
              <w:snapToGrid w:val="0"/>
              <w:rPr>
                <w:rFonts w:asciiTheme="minorHAnsi" w:hAnsiTheme="minorHAnsi" w:cstheme="minorHAnsi"/>
                <w:sz w:val="16"/>
                <w:szCs w:val="16"/>
              </w:rPr>
            </w:pPr>
            <w:r w:rsidRPr="004339A9">
              <w:rPr>
                <w:rFonts w:asciiTheme="minorHAnsi" w:hAnsiTheme="minorHAnsi" w:cstheme="minorHAnsi"/>
                <w:sz w:val="16"/>
                <w:szCs w:val="16"/>
              </w:rPr>
              <w:t>World Health Organization Disability Assessment Schedule (WHODAS 2)</w:t>
            </w:r>
            <w:r w:rsidR="00D97888">
              <w:rPr>
                <w:rFonts w:asciiTheme="minorHAnsi" w:hAnsiTheme="minorHAnsi" w:cstheme="minorHAnsi"/>
                <w:sz w:val="16"/>
                <w:szCs w:val="16"/>
              </w:rPr>
              <w:fldChar w:fldCharType="begin">
                <w:fldData xml:space="preserve">PEVuZE5vdGU+PENpdGU+PEF1dGhvcj5Vc3TDvG48L0F1dGhvcj48WWVhcj4yMDEwPC9ZZWFyPjxS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</w:fldData>
              </w:fldChar>
            </w:r>
            <w:r w:rsidR="004469A2">
              <w:rPr>
                <w:rFonts w:asciiTheme="minorHAnsi" w:hAnsiTheme="minorHAnsi" w:cstheme="minorHAnsi"/>
                <w:sz w:val="16"/>
                <w:szCs w:val="16"/>
              </w:rPr>
              <w:instrText xml:space="preserve"> ADDIN EN.CITE </w:instrText>
            </w:r>
            <w:r w:rsidR="004469A2">
              <w:rPr>
                <w:rFonts w:asciiTheme="minorHAnsi" w:hAnsiTheme="minorHAnsi" w:cstheme="minorHAnsi"/>
                <w:sz w:val="16"/>
                <w:szCs w:val="16"/>
              </w:rPr>
              <w:fldChar w:fldCharType="begin">
                <w:fldData xml:space="preserve">PEVuZE5vdGU+PENpdGU+PEF1dGhvcj5Vc3TDvG48L0F1dGhvcj48WWVhcj4yMDEwPC9ZZWFyPjxS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</w:fldData>
              </w:fldChar>
            </w:r>
            <w:r w:rsidR="004469A2">
              <w:rPr>
                <w:rFonts w:asciiTheme="minorHAnsi" w:hAnsiTheme="minorHAnsi" w:cstheme="minorHAnsi"/>
                <w:sz w:val="16"/>
                <w:szCs w:val="16"/>
              </w:rPr>
              <w:instrText xml:space="preserve"> ADDIN EN.CITE.DATA </w:instrText>
            </w:r>
            <w:r w:rsidR="004469A2">
              <w:rPr>
                <w:rFonts w:asciiTheme="minorHAnsi" w:hAnsiTheme="minorHAnsi" w:cstheme="minorHAnsi"/>
                <w:sz w:val="16"/>
                <w:szCs w:val="16"/>
              </w:rPr>
            </w:r>
            <w:r w:rsidR="004469A2">
              <w:rPr>
                <w:rFonts w:asciiTheme="minorHAnsi" w:hAnsiTheme="minorHAnsi" w:cstheme="minorHAnsi"/>
                <w:sz w:val="16"/>
                <w:szCs w:val="16"/>
              </w:rPr>
              <w:fldChar w:fldCharType="end"/>
            </w:r>
            <w:r w:rsidR="00D97888">
              <w:rPr>
                <w:rFonts w:asciiTheme="minorHAnsi" w:hAnsiTheme="minorHAnsi" w:cstheme="minorHAnsi"/>
                <w:sz w:val="16"/>
                <w:szCs w:val="16"/>
              </w:rPr>
            </w:r>
            <w:r w:rsidR="00D97888">
              <w:rPr>
                <w:rFonts w:asciiTheme="minorHAnsi" w:hAnsiTheme="minorHAnsi" w:cstheme="minorHAnsi"/>
                <w:sz w:val="16"/>
                <w:szCs w:val="16"/>
              </w:rPr>
              <w:fldChar w:fldCharType="separate"/>
            </w:r>
            <w:r w:rsidR="004469A2" w:rsidRPr="004469A2">
              <w:rPr>
                <w:rFonts w:asciiTheme="minorHAnsi" w:hAnsiTheme="minorHAnsi" w:cstheme="minorHAnsi"/>
                <w:noProof/>
                <w:sz w:val="16"/>
                <w:szCs w:val="16"/>
                <w:vertAlign w:val="superscript"/>
              </w:rPr>
              <w:t>56</w:t>
            </w:r>
            <w:r w:rsidR="00D97888">
              <w:rPr>
                <w:rFonts w:asciiTheme="minorHAnsi" w:hAnsiTheme="minorHAnsi" w:cstheme="minorHAnsi"/>
                <w:sz w:val="16"/>
                <w:szCs w:val="16"/>
              </w:rPr>
              <w:fldChar w:fldCharType="end"/>
            </w:r>
          </w:p>
        </w:tc>
        <w:tc>
          <w:tcPr>
            <w:tcW w:w="0" w:type="auto"/>
          </w:tcPr>
          <w:p w14:paraId="36351CCC" w14:textId="4D25C8CE" w:rsidR="00282470" w:rsidRPr="00282470" w:rsidRDefault="007948EE" w:rsidP="00282470">
            <w:pPr>
              <w:pStyle w:val="ANorm"/>
              <w:snapToGrid w:val="0"/>
              <w:rPr>
                <w:rFonts w:asciiTheme="minorHAnsi" w:hAnsiTheme="minorHAnsi" w:cstheme="minorHAnsi"/>
                <w:sz w:val="16"/>
                <w:szCs w:val="16"/>
              </w:rPr>
            </w:pPr>
            <w:r w:rsidRPr="004339A9">
              <w:rPr>
                <w:rFonts w:asciiTheme="minorHAnsi" w:hAnsiTheme="minorHAnsi" w:cstheme="minorHAnsi"/>
                <w:sz w:val="16"/>
                <w:szCs w:val="16"/>
              </w:rPr>
              <w:t xml:space="preserve">Consumer-rated 36-item measure that </w:t>
            </w:r>
            <w:r w:rsidR="006B0761">
              <w:rPr>
                <w:rFonts w:asciiTheme="minorHAnsi" w:hAnsiTheme="minorHAnsi" w:cstheme="minorHAnsi"/>
                <w:sz w:val="16"/>
                <w:szCs w:val="16"/>
              </w:rPr>
              <w:t>assesses</w:t>
            </w:r>
            <w:r w:rsidR="006B0761" w:rsidRPr="004339A9">
              <w:rPr>
                <w:rFonts w:asciiTheme="minorHAnsi" w:hAnsiTheme="minorHAnsi" w:cstheme="minorHAnsi"/>
                <w:sz w:val="16"/>
                <w:szCs w:val="16"/>
              </w:rPr>
              <w:t xml:space="preserve"> </w:t>
            </w:r>
            <w:r w:rsidRPr="004339A9">
              <w:rPr>
                <w:rFonts w:asciiTheme="minorHAnsi" w:hAnsiTheme="minorHAnsi" w:cstheme="minorHAnsi"/>
                <w:sz w:val="16"/>
                <w:szCs w:val="16"/>
              </w:rPr>
              <w:t xml:space="preserve">health and disability across six domains including: </w:t>
            </w:r>
            <w:r w:rsidR="00282470" w:rsidRPr="00282470">
              <w:rPr>
                <w:rFonts w:asciiTheme="minorHAnsi" w:hAnsiTheme="minorHAnsi" w:cstheme="minorHAnsi"/>
                <w:sz w:val="16"/>
                <w:szCs w:val="16"/>
              </w:rPr>
              <w:t>measured functional impairment</w:t>
            </w:r>
          </w:p>
          <w:p w14:paraId="5CB1DD66" w14:textId="442003D2" w:rsidR="007948EE" w:rsidRPr="004339A9" w:rsidRDefault="002202BA" w:rsidP="00282470">
            <w:pPr>
              <w:pStyle w:val="ANorm"/>
              <w:snapToGrid w:val="0"/>
              <w:rPr>
                <w:rFonts w:asciiTheme="minorHAnsi" w:hAnsiTheme="minorHAnsi" w:cstheme="minorHAnsi"/>
                <w:sz w:val="16"/>
                <w:szCs w:val="16"/>
              </w:rPr>
            </w:pPr>
            <w:r>
              <w:rPr>
                <w:rFonts w:asciiTheme="minorHAnsi" w:hAnsiTheme="minorHAnsi" w:cstheme="minorHAnsi"/>
                <w:sz w:val="16"/>
                <w:szCs w:val="16"/>
              </w:rPr>
              <w:t>Consumer</w:t>
            </w:r>
            <w:r w:rsidR="00CB3D53">
              <w:rPr>
                <w:rFonts w:asciiTheme="minorHAnsi" w:hAnsiTheme="minorHAnsi" w:cstheme="minorHAnsi"/>
                <w:sz w:val="16"/>
                <w:szCs w:val="16"/>
              </w:rPr>
              <w:t>-rated 12-item m</w:t>
            </w:r>
            <w:r w:rsidR="00282470">
              <w:rPr>
                <w:rFonts w:asciiTheme="minorHAnsi" w:hAnsiTheme="minorHAnsi" w:cstheme="minorHAnsi"/>
                <w:sz w:val="16"/>
                <w:szCs w:val="16"/>
              </w:rPr>
              <w:t>easure</w:t>
            </w:r>
            <w:r w:rsidR="00CB3D53">
              <w:rPr>
                <w:rFonts w:asciiTheme="minorHAnsi" w:hAnsiTheme="minorHAnsi" w:cstheme="minorHAnsi"/>
                <w:sz w:val="16"/>
                <w:szCs w:val="16"/>
              </w:rPr>
              <w:t xml:space="preserve"> of</w:t>
            </w:r>
            <w:r w:rsidR="00282470">
              <w:rPr>
                <w:rFonts w:asciiTheme="minorHAnsi" w:hAnsiTheme="minorHAnsi" w:cstheme="minorHAnsi"/>
                <w:sz w:val="16"/>
                <w:szCs w:val="16"/>
              </w:rPr>
              <w:t xml:space="preserve"> functional impairment </w:t>
            </w:r>
            <w:r w:rsidR="00282470" w:rsidRPr="00282470">
              <w:rPr>
                <w:rFonts w:asciiTheme="minorHAnsi" w:hAnsiTheme="minorHAnsi" w:cstheme="minorHAnsi"/>
                <w:sz w:val="16"/>
                <w:szCs w:val="16"/>
              </w:rPr>
              <w:t>and activity limitation over the past 30 days</w:t>
            </w:r>
            <w:r w:rsidR="006E7CDD">
              <w:rPr>
                <w:rFonts w:asciiTheme="minorHAnsi" w:hAnsiTheme="minorHAnsi" w:cstheme="minorHAnsi"/>
                <w:sz w:val="16"/>
                <w:szCs w:val="16"/>
              </w:rPr>
              <w:t>. Assesses</w:t>
            </w:r>
            <w:r w:rsidR="00282470" w:rsidRPr="00282470">
              <w:rPr>
                <w:rFonts w:asciiTheme="minorHAnsi" w:hAnsiTheme="minorHAnsi" w:cstheme="minorHAnsi"/>
                <w:sz w:val="16"/>
                <w:szCs w:val="16"/>
              </w:rPr>
              <w:t xml:space="preserve"> </w:t>
            </w:r>
            <w:r w:rsidR="007948EE" w:rsidRPr="004339A9">
              <w:rPr>
                <w:rFonts w:asciiTheme="minorHAnsi" w:hAnsiTheme="minorHAnsi" w:cstheme="minorHAnsi"/>
                <w:sz w:val="16"/>
                <w:szCs w:val="16"/>
              </w:rPr>
              <w:t>Cognition, Mobility, Self-care, Getting along, Life activities and Participation.</w:t>
            </w:r>
          </w:p>
        </w:tc>
        <w:tc>
          <w:tcPr>
            <w:tcW w:w="0" w:type="auto"/>
          </w:tcPr>
          <w:p w14:paraId="09D0F3C7" w14:textId="3AE51B06" w:rsidR="007948EE" w:rsidRPr="00CB0B42" w:rsidRDefault="00961FB2" w:rsidP="00961FB2">
            <w:pPr>
              <w:pStyle w:val="ANorm"/>
              <w:snapToGrid w:val="0"/>
              <w:rPr>
                <w:rFonts w:asciiTheme="minorHAnsi" w:hAnsiTheme="minorHAnsi" w:cstheme="minorHAnsi"/>
                <w:sz w:val="16"/>
                <w:szCs w:val="16"/>
              </w:rPr>
            </w:pPr>
            <w:r>
              <w:rPr>
                <w:rFonts w:asciiTheme="minorHAnsi" w:hAnsiTheme="minorHAnsi" w:cstheme="minorHAnsi"/>
                <w:sz w:val="16"/>
                <w:szCs w:val="16"/>
              </w:rPr>
              <w:t>I</w:t>
            </w:r>
            <w:r w:rsidR="007948EE" w:rsidRPr="004339A9">
              <w:rPr>
                <w:rFonts w:asciiTheme="minorHAnsi" w:hAnsiTheme="minorHAnsi" w:cstheme="minorHAnsi"/>
                <w:sz w:val="16"/>
                <w:szCs w:val="16"/>
              </w:rPr>
              <w:t>tems are assessed on a five-point scale, from 1 (none) to 5</w:t>
            </w:r>
            <w:r w:rsidR="00062C1E">
              <w:rPr>
                <w:rFonts w:asciiTheme="minorHAnsi" w:hAnsiTheme="minorHAnsi" w:cstheme="minorHAnsi"/>
                <w:sz w:val="16"/>
                <w:szCs w:val="16"/>
              </w:rPr>
              <w:t xml:space="preserve"> </w:t>
            </w:r>
            <w:r w:rsidR="007948EE" w:rsidRPr="004339A9">
              <w:rPr>
                <w:rFonts w:asciiTheme="minorHAnsi" w:hAnsiTheme="minorHAnsi" w:cstheme="minorHAnsi"/>
                <w:sz w:val="16"/>
                <w:szCs w:val="16"/>
              </w:rPr>
              <w:t>(extreme) and are summed</w:t>
            </w:r>
            <w:r w:rsidR="002202BA">
              <w:rPr>
                <w:rFonts w:asciiTheme="minorHAnsi" w:hAnsiTheme="minorHAnsi" w:cstheme="minorHAnsi"/>
                <w:sz w:val="16"/>
                <w:szCs w:val="16"/>
              </w:rPr>
              <w:t xml:space="preserve"> to yield a score ranging from 12 to 60</w:t>
            </w:r>
            <w:r w:rsidR="007948EE" w:rsidRPr="004339A9">
              <w:rPr>
                <w:rFonts w:asciiTheme="minorHAnsi" w:hAnsiTheme="minorHAnsi" w:cstheme="minorHAnsi"/>
                <w:sz w:val="16"/>
                <w:szCs w:val="16"/>
              </w:rPr>
              <w:t xml:space="preserve">. </w:t>
            </w:r>
            <w:r w:rsidR="002202BA">
              <w:rPr>
                <w:rFonts w:asciiTheme="minorHAnsi" w:hAnsiTheme="minorHAnsi" w:cstheme="minorHAnsi"/>
                <w:sz w:val="16"/>
                <w:szCs w:val="16"/>
              </w:rPr>
              <w:t>Higher scores indicate higher di</w:t>
            </w:r>
            <w:r w:rsidR="00553584">
              <w:rPr>
                <w:rFonts w:asciiTheme="minorHAnsi" w:hAnsiTheme="minorHAnsi" w:cstheme="minorHAnsi"/>
                <w:sz w:val="16"/>
                <w:szCs w:val="16"/>
              </w:rPr>
              <w:t>s</w:t>
            </w:r>
            <w:r w:rsidR="002202BA">
              <w:rPr>
                <w:rFonts w:asciiTheme="minorHAnsi" w:hAnsiTheme="minorHAnsi" w:cstheme="minorHAnsi"/>
                <w:sz w:val="16"/>
                <w:szCs w:val="16"/>
              </w:rPr>
              <w:t>ability or loss of function.</w:t>
            </w:r>
          </w:p>
        </w:tc>
      </w:tr>
      <w:tr w:rsidR="00CB0B42" w:rsidRPr="00CB0B42" w14:paraId="344C8D8B" w14:textId="77777777" w:rsidTr="005C1FFF">
        <w:tc>
          <w:tcPr>
            <w:tcW w:w="0" w:type="auto"/>
          </w:tcPr>
          <w:p w14:paraId="4E5B7D91" w14:textId="5C4783FF" w:rsidR="007948EE" w:rsidRPr="00CB0B42" w:rsidRDefault="007948EE" w:rsidP="00CB0B42">
            <w:pPr>
              <w:pStyle w:val="ANorm"/>
              <w:snapToGrid w:val="0"/>
              <w:rPr>
                <w:rFonts w:asciiTheme="minorHAnsi" w:hAnsiTheme="minorHAnsi" w:cstheme="minorHAnsi"/>
                <w:sz w:val="16"/>
                <w:szCs w:val="16"/>
              </w:rPr>
            </w:pPr>
            <w:r w:rsidRPr="00CB0B42">
              <w:rPr>
                <w:rFonts w:asciiTheme="minorHAnsi" w:hAnsiTheme="minorHAnsi" w:cstheme="minorHAnsi"/>
                <w:sz w:val="16"/>
                <w:szCs w:val="16"/>
              </w:rPr>
              <w:t>World Health Organization Quality-of-Life Scale (WHO-QOL-BREF) Psychological Domain subscale</w:t>
            </w:r>
            <w:r w:rsidR="0054357C">
              <w:rPr>
                <w:rFonts w:asciiTheme="minorHAnsi" w:hAnsiTheme="minorHAnsi" w:cstheme="minorHAnsi"/>
                <w:sz w:val="16"/>
                <w:szCs w:val="16"/>
              </w:rPr>
              <w:fldChar w:fldCharType="begin"/>
            </w:r>
            <w:r w:rsidR="004469A2">
              <w:rPr>
                <w:rFonts w:asciiTheme="minorHAnsi" w:hAnsiTheme="minorHAnsi" w:cstheme="minorHAnsi"/>
                <w:sz w:val="16"/>
                <w:szCs w:val="16"/>
              </w:rPr>
              <w:instrText xml:space="preserve"> ADDIN EN.CITE &lt;EndNote&gt;&lt;Cite&gt;&lt;Author&gt;WHOQOL Group&lt;/Author&gt;&lt;Year&gt;1998&lt;/Year&gt;&lt;RecNum&gt;206&lt;/RecNum&gt;&lt;DisplayText&gt;&lt;style face="superscript"&gt;57&lt;/style&gt;&lt;/DisplayText&gt;&lt;record&gt;&lt;rec-number&gt;206&lt;/rec-number&gt;&lt;foreign-keys&gt;&lt;key app="EN" db-id="dawtr0zrkrzfa5edzzlpe2we0xa00t90vvr2" timestamp="1657606150"&gt;206&lt;/key&gt;&lt;/foreign-keys&gt;&lt;ref-type name="Journal Article"&gt;17&lt;/ref-type&gt;&lt;contributors&gt;&lt;authors&gt;&lt;author&gt;WHOQOL Group,&lt;/author&gt;&lt;/authors&gt;&lt;/contributors&gt;&lt;titles&gt;&lt;title&gt;Development of the World Health Organization WHOQOL-BREF quality of life assessment&lt;/title&gt;&lt;secondary-title&gt;Psychological Medicine&lt;/secondary-title&gt;&lt;/titles&gt;&lt;periodical&gt;&lt;full-title&gt;Psychological Medicine&lt;/full-title&gt;&lt;/periodical&gt;&lt;pages&gt;551-558&lt;/pages&gt;&lt;volume&gt;28&lt;/volume&gt;&lt;number&gt;3&lt;/number&gt;&lt;dates&gt;&lt;year&gt;1998&lt;/year&gt;&lt;/dates&gt;&lt;isbn&gt;1469-8978&lt;/isbn&gt;&lt;urls&gt;&lt;/urls&gt;&lt;/record&gt;&lt;/Cite&gt;&lt;/EndNote&gt;</w:instrText>
            </w:r>
            <w:r w:rsidR="0054357C">
              <w:rPr>
                <w:rFonts w:asciiTheme="minorHAnsi" w:hAnsiTheme="minorHAnsi" w:cstheme="minorHAnsi"/>
                <w:sz w:val="16"/>
                <w:szCs w:val="16"/>
              </w:rPr>
              <w:fldChar w:fldCharType="separate"/>
            </w:r>
            <w:r w:rsidR="004469A2" w:rsidRPr="004469A2">
              <w:rPr>
                <w:rFonts w:asciiTheme="minorHAnsi" w:hAnsiTheme="minorHAnsi" w:cstheme="minorHAnsi"/>
                <w:noProof/>
                <w:sz w:val="16"/>
                <w:szCs w:val="16"/>
                <w:vertAlign w:val="superscript"/>
              </w:rPr>
              <w:t>57</w:t>
            </w:r>
            <w:r w:rsidR="0054357C">
              <w:rPr>
                <w:rFonts w:asciiTheme="minorHAnsi" w:hAnsiTheme="minorHAnsi" w:cstheme="minorHAnsi"/>
                <w:sz w:val="16"/>
                <w:szCs w:val="16"/>
              </w:rPr>
              <w:fldChar w:fldCharType="end"/>
            </w:r>
          </w:p>
        </w:tc>
        <w:tc>
          <w:tcPr>
            <w:tcW w:w="0" w:type="auto"/>
          </w:tcPr>
          <w:p w14:paraId="26ECF546" w14:textId="443AEE6F" w:rsidR="007948EE" w:rsidRPr="00CB0B42" w:rsidRDefault="00412C6D" w:rsidP="00CB0B42">
            <w:pPr>
              <w:pStyle w:val="ANorm"/>
              <w:snapToGrid w:val="0"/>
              <w:rPr>
                <w:rFonts w:asciiTheme="minorHAnsi" w:hAnsiTheme="minorHAnsi" w:cstheme="minorHAnsi"/>
                <w:sz w:val="16"/>
                <w:szCs w:val="16"/>
              </w:rPr>
            </w:pPr>
            <w:r>
              <w:rPr>
                <w:rFonts w:asciiTheme="minorHAnsi" w:hAnsiTheme="minorHAnsi" w:cstheme="minorHAnsi"/>
                <w:sz w:val="16"/>
                <w:szCs w:val="16"/>
                <w:shd w:val="clear" w:color="auto" w:fill="FFFFFF"/>
              </w:rPr>
              <w:t>Consumer-rated</w:t>
            </w:r>
            <w:r w:rsidR="005C1FFF">
              <w:rPr>
                <w:rFonts w:asciiTheme="minorHAnsi" w:hAnsiTheme="minorHAnsi" w:cstheme="minorHAnsi"/>
                <w:sz w:val="16"/>
                <w:szCs w:val="16"/>
                <w:shd w:val="clear" w:color="auto" w:fill="FFFFFF"/>
              </w:rPr>
              <w:t xml:space="preserve"> </w:t>
            </w:r>
            <w:r w:rsidR="007948EE" w:rsidRPr="00CB0B42">
              <w:rPr>
                <w:rFonts w:asciiTheme="minorHAnsi" w:hAnsiTheme="minorHAnsi" w:cstheme="minorHAnsi"/>
                <w:sz w:val="16"/>
                <w:szCs w:val="16"/>
                <w:shd w:val="clear" w:color="auto" w:fill="FFFFFF"/>
              </w:rPr>
              <w:t xml:space="preserve">26-item instrument consisting of four domains: physical health (7 items), psychological health (6 items), social relationships (3 items), and environmental health (8 items); it also contains QOL and general health items. The psychological domain measures include self-image, negative thoughts, positive attitudes, self-esteem, mentality, learning ability, memory concentration, religion, and mental </w:t>
            </w:r>
            <w:r w:rsidR="00195947">
              <w:rPr>
                <w:rFonts w:asciiTheme="minorHAnsi" w:hAnsiTheme="minorHAnsi" w:cstheme="minorHAnsi"/>
                <w:sz w:val="16"/>
                <w:szCs w:val="16"/>
                <w:shd w:val="clear" w:color="auto" w:fill="FFFFFF"/>
              </w:rPr>
              <w:t>health</w:t>
            </w:r>
            <w:r w:rsidR="007948EE" w:rsidRPr="00CB0B42">
              <w:rPr>
                <w:rFonts w:asciiTheme="minorHAnsi" w:hAnsiTheme="minorHAnsi" w:cstheme="minorHAnsi"/>
                <w:sz w:val="16"/>
                <w:szCs w:val="16"/>
                <w:shd w:val="clear" w:color="auto" w:fill="FFFFFF"/>
              </w:rPr>
              <w:t xml:space="preserve"> status.</w:t>
            </w:r>
            <w:r w:rsidR="007669BB">
              <w:rPr>
                <w:rFonts w:asciiTheme="minorHAnsi" w:hAnsiTheme="minorHAnsi" w:cstheme="minorHAnsi"/>
                <w:sz w:val="16"/>
                <w:szCs w:val="16"/>
                <w:shd w:val="clear" w:color="auto" w:fill="FFFFFF"/>
              </w:rPr>
              <w:t xml:space="preserve"> </w:t>
            </w:r>
          </w:p>
        </w:tc>
        <w:tc>
          <w:tcPr>
            <w:tcW w:w="0" w:type="auto"/>
          </w:tcPr>
          <w:p w14:paraId="6B8A50D9" w14:textId="3950B9F8" w:rsidR="007948EE" w:rsidRPr="00CB0B42" w:rsidRDefault="007948EE" w:rsidP="00CB0B42">
            <w:pPr>
              <w:pStyle w:val="ANorm"/>
              <w:snapToGrid w:val="0"/>
              <w:rPr>
                <w:rFonts w:asciiTheme="minorHAnsi" w:hAnsiTheme="minorHAnsi" w:cstheme="minorHAnsi"/>
                <w:sz w:val="16"/>
                <w:szCs w:val="16"/>
              </w:rPr>
            </w:pPr>
            <w:r w:rsidRPr="00CB0B42">
              <w:rPr>
                <w:rFonts w:asciiTheme="minorHAnsi" w:hAnsiTheme="minorHAnsi" w:cstheme="minorHAnsi"/>
                <w:sz w:val="16"/>
                <w:szCs w:val="16"/>
                <w:shd w:val="clear" w:color="auto" w:fill="FFFFFF"/>
              </w:rPr>
              <w:t xml:space="preserve">Each item is scored on </w:t>
            </w:r>
            <w:r w:rsidR="00195947">
              <w:rPr>
                <w:rFonts w:asciiTheme="minorHAnsi" w:hAnsiTheme="minorHAnsi" w:cstheme="minorHAnsi"/>
                <w:sz w:val="16"/>
                <w:szCs w:val="16"/>
                <w:shd w:val="clear" w:color="auto" w:fill="FFFFFF"/>
              </w:rPr>
              <w:t xml:space="preserve">a </w:t>
            </w:r>
            <w:r w:rsidRPr="00CB0B42">
              <w:rPr>
                <w:rFonts w:asciiTheme="minorHAnsi" w:hAnsiTheme="minorHAnsi" w:cstheme="minorHAnsi"/>
                <w:sz w:val="16"/>
                <w:szCs w:val="16"/>
              </w:rPr>
              <w:t xml:space="preserve">five-point scale, </w:t>
            </w:r>
            <w:r w:rsidRPr="00CB0B42">
              <w:rPr>
                <w:rFonts w:asciiTheme="minorHAnsi" w:hAnsiTheme="minorHAnsi" w:cstheme="minorHAnsi"/>
                <w:sz w:val="16"/>
                <w:szCs w:val="16"/>
                <w:shd w:val="clear" w:color="auto" w:fill="FFFFFF"/>
              </w:rPr>
              <w:t>from 1 (not at all) to 5 (completely)</w:t>
            </w:r>
            <w:r w:rsidR="004C18AE">
              <w:rPr>
                <w:rFonts w:asciiTheme="minorHAnsi" w:hAnsiTheme="minorHAnsi" w:cstheme="minorHAnsi"/>
                <w:sz w:val="16"/>
                <w:szCs w:val="16"/>
                <w:shd w:val="clear" w:color="auto" w:fill="FFFFFF"/>
              </w:rPr>
              <w:t>,</w:t>
            </w:r>
            <w:r w:rsidRPr="00CB0B42">
              <w:rPr>
                <w:rFonts w:asciiTheme="minorHAnsi" w:hAnsiTheme="minorHAnsi" w:cstheme="minorHAnsi"/>
                <w:sz w:val="16"/>
                <w:szCs w:val="16"/>
                <w:shd w:val="clear" w:color="auto" w:fill="FFFFFF"/>
              </w:rPr>
              <w:t xml:space="preserve"> to determine a raw score. </w:t>
            </w:r>
            <w:r w:rsidR="002715BC">
              <w:rPr>
                <w:rFonts w:asciiTheme="minorHAnsi" w:hAnsiTheme="minorHAnsi" w:cstheme="minorHAnsi"/>
                <w:sz w:val="16"/>
                <w:szCs w:val="16"/>
                <w:shd w:val="clear" w:color="auto" w:fill="FFFFFF"/>
              </w:rPr>
              <w:t>M</w:t>
            </w:r>
            <w:r w:rsidRPr="00CB0B42">
              <w:rPr>
                <w:rFonts w:asciiTheme="minorHAnsi" w:hAnsiTheme="minorHAnsi" w:cstheme="minorHAnsi"/>
                <w:sz w:val="16"/>
                <w:szCs w:val="16"/>
                <w:shd w:val="clear" w:color="auto" w:fill="FFFFFF"/>
              </w:rPr>
              <w:t xml:space="preserve">ean score </w:t>
            </w:r>
            <w:r w:rsidR="002715BC">
              <w:rPr>
                <w:rFonts w:asciiTheme="minorHAnsi" w:hAnsiTheme="minorHAnsi" w:cstheme="minorHAnsi"/>
                <w:sz w:val="16"/>
                <w:szCs w:val="16"/>
                <w:shd w:val="clear" w:color="auto" w:fill="FFFFFF"/>
              </w:rPr>
              <w:t xml:space="preserve">of </w:t>
            </w:r>
            <w:r w:rsidR="002715BC" w:rsidRPr="00F17B94">
              <w:rPr>
                <w:rFonts w:asciiTheme="minorHAnsi" w:hAnsiTheme="minorHAnsi" w:cstheme="minorHAnsi"/>
                <w:sz w:val="16"/>
                <w:szCs w:val="16"/>
                <w:shd w:val="clear" w:color="auto" w:fill="FFFFFF"/>
              </w:rPr>
              <w:t xml:space="preserve">items in </w:t>
            </w:r>
            <w:r w:rsidRPr="00F17B94">
              <w:rPr>
                <w:rFonts w:asciiTheme="minorHAnsi" w:hAnsiTheme="minorHAnsi" w:cstheme="minorHAnsi"/>
                <w:sz w:val="16"/>
                <w:szCs w:val="16"/>
                <w:shd w:val="clear" w:color="auto" w:fill="FFFFFF"/>
              </w:rPr>
              <w:t xml:space="preserve">each domain is </w:t>
            </w:r>
            <w:r w:rsidR="002715BC" w:rsidRPr="00F17B94">
              <w:rPr>
                <w:rFonts w:asciiTheme="minorHAnsi" w:hAnsiTheme="minorHAnsi" w:cstheme="minorHAnsi"/>
                <w:sz w:val="16"/>
                <w:szCs w:val="16"/>
                <w:shd w:val="clear" w:color="auto" w:fill="FFFFFF"/>
              </w:rPr>
              <w:t xml:space="preserve">used to </w:t>
            </w:r>
            <w:r w:rsidR="00960C61" w:rsidRPr="00F17B94">
              <w:rPr>
                <w:rFonts w:asciiTheme="minorHAnsi" w:hAnsiTheme="minorHAnsi" w:cstheme="minorHAnsi"/>
                <w:sz w:val="16"/>
                <w:szCs w:val="16"/>
                <w:shd w:val="clear" w:color="auto" w:fill="FFFFFF"/>
              </w:rPr>
              <w:t>derive</w:t>
            </w:r>
            <w:r w:rsidR="002715BC" w:rsidRPr="00F17B94">
              <w:rPr>
                <w:rFonts w:asciiTheme="minorHAnsi" w:hAnsiTheme="minorHAnsi" w:cstheme="minorHAnsi"/>
                <w:sz w:val="16"/>
                <w:szCs w:val="16"/>
                <w:shd w:val="clear" w:color="auto" w:fill="FFFFFF"/>
              </w:rPr>
              <w:t xml:space="preserve"> </w:t>
            </w:r>
            <w:r w:rsidR="00960C61" w:rsidRPr="00F17B94">
              <w:rPr>
                <w:rFonts w:asciiTheme="minorHAnsi" w:hAnsiTheme="minorHAnsi" w:cstheme="minorHAnsi"/>
                <w:sz w:val="16"/>
                <w:szCs w:val="16"/>
                <w:shd w:val="clear" w:color="auto" w:fill="FFFFFF"/>
              </w:rPr>
              <w:t>each</w:t>
            </w:r>
            <w:r w:rsidR="008709A0" w:rsidRPr="00F17B94">
              <w:rPr>
                <w:rFonts w:asciiTheme="minorHAnsi" w:hAnsiTheme="minorHAnsi" w:cstheme="minorHAnsi"/>
                <w:sz w:val="16"/>
                <w:szCs w:val="16"/>
                <w:shd w:val="clear" w:color="auto" w:fill="FFFFFF"/>
              </w:rPr>
              <w:t xml:space="preserve"> </w:t>
            </w:r>
            <w:r w:rsidR="002C22CC" w:rsidRPr="00F17B94">
              <w:rPr>
                <w:rFonts w:asciiTheme="minorHAnsi" w:hAnsiTheme="minorHAnsi" w:cstheme="minorHAnsi"/>
                <w:sz w:val="16"/>
                <w:szCs w:val="16"/>
                <w:shd w:val="clear" w:color="auto" w:fill="FFFFFF"/>
              </w:rPr>
              <w:t>domain</w:t>
            </w:r>
            <w:r w:rsidR="00960C61" w:rsidRPr="00F17B94">
              <w:rPr>
                <w:rFonts w:asciiTheme="minorHAnsi" w:hAnsiTheme="minorHAnsi" w:cstheme="minorHAnsi"/>
                <w:sz w:val="16"/>
                <w:szCs w:val="16"/>
                <w:shd w:val="clear" w:color="auto" w:fill="FFFFFF"/>
              </w:rPr>
              <w:t>’s</w:t>
            </w:r>
            <w:r w:rsidR="002C22CC" w:rsidRPr="00F17B94">
              <w:rPr>
                <w:rFonts w:asciiTheme="minorHAnsi" w:hAnsiTheme="minorHAnsi" w:cstheme="minorHAnsi"/>
                <w:sz w:val="16"/>
                <w:szCs w:val="16"/>
                <w:shd w:val="clear" w:color="auto" w:fill="FFFFFF"/>
              </w:rPr>
              <w:t xml:space="preserve"> score</w:t>
            </w:r>
            <w:r w:rsidRPr="00F17B94">
              <w:rPr>
                <w:rFonts w:asciiTheme="minorHAnsi" w:hAnsiTheme="minorHAnsi" w:cstheme="minorHAnsi"/>
                <w:sz w:val="16"/>
                <w:szCs w:val="16"/>
                <w:shd w:val="clear" w:color="auto" w:fill="FFFFFF"/>
              </w:rPr>
              <w:t>. High</w:t>
            </w:r>
            <w:r w:rsidRPr="00CB0B42">
              <w:rPr>
                <w:rFonts w:asciiTheme="minorHAnsi" w:hAnsiTheme="minorHAnsi" w:cstheme="minorHAnsi"/>
                <w:sz w:val="16"/>
                <w:szCs w:val="16"/>
                <w:shd w:val="clear" w:color="auto" w:fill="FFFFFF"/>
              </w:rPr>
              <w:t>er scores indicate better quality of life.</w:t>
            </w:r>
          </w:p>
        </w:tc>
      </w:tr>
      <w:tr w:rsidR="004339A9" w:rsidRPr="004339A9" w14:paraId="360E12D8" w14:textId="77777777" w:rsidTr="005C1FFF">
        <w:tc>
          <w:tcPr>
            <w:tcW w:w="0" w:type="auto"/>
          </w:tcPr>
          <w:p w14:paraId="3B35B8BF" w14:textId="610E04F3" w:rsidR="007948EE" w:rsidRPr="004339A9" w:rsidRDefault="007948EE" w:rsidP="00CB0B42">
            <w:pPr>
              <w:pStyle w:val="ANorm"/>
              <w:snapToGrid w:val="0"/>
              <w:rPr>
                <w:rFonts w:asciiTheme="minorHAnsi" w:hAnsiTheme="minorHAnsi" w:cstheme="minorHAnsi"/>
                <w:sz w:val="16"/>
                <w:szCs w:val="16"/>
              </w:rPr>
            </w:pPr>
            <w:r w:rsidRPr="004339A9">
              <w:rPr>
                <w:rFonts w:asciiTheme="minorHAnsi" w:hAnsiTheme="minorHAnsi" w:cstheme="minorHAnsi"/>
                <w:sz w:val="16"/>
                <w:szCs w:val="16"/>
              </w:rPr>
              <w:t>Yale Brown Obsessive-Compulsive Scale (Y-BOCS)</w:t>
            </w:r>
            <w:r w:rsidR="009B1A6B">
              <w:rPr>
                <w:rFonts w:asciiTheme="minorHAnsi" w:hAnsiTheme="minorHAnsi" w:cstheme="minorHAnsi"/>
                <w:sz w:val="16"/>
                <w:szCs w:val="16"/>
              </w:rPr>
              <w:fldChar w:fldCharType="begin"/>
            </w:r>
            <w:r w:rsidR="004469A2">
              <w:rPr>
                <w:rFonts w:asciiTheme="minorHAnsi" w:hAnsiTheme="minorHAnsi" w:cstheme="minorHAnsi"/>
                <w:sz w:val="16"/>
                <w:szCs w:val="16"/>
              </w:rPr>
              <w:instrText xml:space="preserve"> ADDIN EN.CITE &lt;EndNote&gt;&lt;Cite&gt;&lt;Author&gt;Goodman&lt;/Author&gt;&lt;Year&gt;1989&lt;/Year&gt;&lt;RecNum&gt;200&lt;/RecNum&gt;&lt;DisplayText&gt;&lt;style face="superscript"&gt;58&lt;/style&gt;&lt;/DisplayText&gt;&lt;record&gt;&lt;rec-number&gt;200&lt;/rec-number&gt;&lt;foreign-keys&gt;&lt;key app="EN" db-id="dawtr0zrkrzfa5edzzlpe2we0xa00t90vvr2" timestamp="1656594735"&gt;200&lt;/key&gt;&lt;/foreign-keys&gt;&lt;ref-type name="Journal Article"&gt;17&lt;/ref-type&gt;&lt;contributors&gt;&lt;authors&gt;&lt;author&gt;Goodman, Wayne K&lt;/author&gt;&lt;author&gt;Price, Lawrence H&lt;/author&gt;&lt;author&gt;Rasmussen, Steven A&lt;/author&gt;&lt;author&gt;Mazure, Carolyn&lt;/author&gt;&lt;author&gt;Fleischmann, Roberta L&lt;/author&gt;&lt;author&gt;Hill, Candy L&lt;/author&gt;&lt;author&gt;Heninger, George R&lt;/author&gt;&lt;author&gt;Charney, Dennis S&lt;/author&gt;&lt;/authors&gt;&lt;/contributors&gt;&lt;titles&gt;&lt;title&gt;The Yale-Brown obsessive compulsive scale: I. Development, use, and reliability&lt;/title&gt;&lt;secondary-title&gt;Archives of general psychiatry&lt;/secondary-title&gt;&lt;/titles&gt;&lt;periodical&gt;&lt;full-title&gt;Archives of general psychiatry&lt;/full-title&gt;&lt;/periodical&gt;&lt;pages&gt;1006-1011&lt;/pages&gt;&lt;volume&gt;46&lt;/volume&gt;&lt;number&gt;11&lt;/number&gt;&lt;dates&gt;&lt;year&gt;1989&lt;/year&gt;&lt;/dates&gt;&lt;isbn&gt;0003-990X&lt;/isbn&gt;&lt;urls&gt;&lt;/urls&gt;&lt;/record&gt;&lt;/Cite&gt;&lt;/EndNote&gt;</w:instrText>
            </w:r>
            <w:r w:rsidR="009B1A6B">
              <w:rPr>
                <w:rFonts w:asciiTheme="minorHAnsi" w:hAnsiTheme="minorHAnsi" w:cstheme="minorHAnsi"/>
                <w:sz w:val="16"/>
                <w:szCs w:val="16"/>
              </w:rPr>
              <w:fldChar w:fldCharType="separate"/>
            </w:r>
            <w:r w:rsidR="004469A2" w:rsidRPr="004469A2">
              <w:rPr>
                <w:rFonts w:asciiTheme="minorHAnsi" w:hAnsiTheme="minorHAnsi" w:cstheme="minorHAnsi"/>
                <w:noProof/>
                <w:sz w:val="16"/>
                <w:szCs w:val="16"/>
                <w:vertAlign w:val="superscript"/>
              </w:rPr>
              <w:t>58</w:t>
            </w:r>
            <w:r w:rsidR="009B1A6B">
              <w:rPr>
                <w:rFonts w:asciiTheme="minorHAnsi" w:hAnsiTheme="minorHAnsi" w:cstheme="minorHAnsi"/>
                <w:sz w:val="16"/>
                <w:szCs w:val="16"/>
              </w:rPr>
              <w:fldChar w:fldCharType="end"/>
            </w:r>
          </w:p>
        </w:tc>
        <w:tc>
          <w:tcPr>
            <w:tcW w:w="0" w:type="auto"/>
          </w:tcPr>
          <w:p w14:paraId="16FD428B" w14:textId="4DB17B6A" w:rsidR="007948EE" w:rsidRPr="004339A9" w:rsidRDefault="00612BA7" w:rsidP="00CB0B42">
            <w:pPr>
              <w:pStyle w:val="ANorm"/>
              <w:snapToGrid w:val="0"/>
              <w:rPr>
                <w:rFonts w:asciiTheme="minorHAnsi" w:hAnsiTheme="minorHAnsi" w:cstheme="minorHAnsi"/>
                <w:sz w:val="16"/>
                <w:szCs w:val="16"/>
              </w:rPr>
            </w:pPr>
            <w:r>
              <w:rPr>
                <w:rFonts w:asciiTheme="minorHAnsi" w:hAnsiTheme="minorHAnsi" w:cstheme="minorHAnsi"/>
                <w:sz w:val="16"/>
                <w:szCs w:val="16"/>
                <w:shd w:val="clear" w:color="auto" w:fill="FFFFFF"/>
              </w:rPr>
              <w:t>C</w:t>
            </w:r>
            <w:r w:rsidR="007948EE" w:rsidRPr="004339A9">
              <w:rPr>
                <w:rFonts w:asciiTheme="minorHAnsi" w:hAnsiTheme="minorHAnsi" w:cstheme="minorHAnsi"/>
                <w:sz w:val="16"/>
                <w:szCs w:val="16"/>
                <w:shd w:val="clear" w:color="auto" w:fill="FFFFFF"/>
              </w:rPr>
              <w:t xml:space="preserve">linician-administered </w:t>
            </w:r>
            <w:r>
              <w:rPr>
                <w:rFonts w:asciiTheme="minorHAnsi" w:hAnsiTheme="minorHAnsi" w:cstheme="minorHAnsi"/>
                <w:sz w:val="16"/>
                <w:szCs w:val="16"/>
                <w:shd w:val="clear" w:color="auto" w:fill="FFFFFF"/>
              </w:rPr>
              <w:t>10-item</w:t>
            </w:r>
            <w:r w:rsidR="007669BB">
              <w:rPr>
                <w:rFonts w:asciiTheme="minorHAnsi" w:hAnsiTheme="minorHAnsi" w:cstheme="minorHAnsi"/>
                <w:sz w:val="16"/>
                <w:szCs w:val="16"/>
                <w:shd w:val="clear" w:color="auto" w:fill="FFFFFF"/>
              </w:rPr>
              <w:t xml:space="preserve"> </w:t>
            </w:r>
            <w:r w:rsidR="007948EE" w:rsidRPr="004339A9">
              <w:rPr>
                <w:rFonts w:asciiTheme="minorHAnsi" w:hAnsiTheme="minorHAnsi" w:cstheme="minorHAnsi"/>
                <w:sz w:val="16"/>
                <w:szCs w:val="16"/>
                <w:shd w:val="clear" w:color="auto" w:fill="FFFFFF"/>
              </w:rPr>
              <w:t>scale used to a</w:t>
            </w:r>
            <w:r w:rsidR="004339A9" w:rsidRPr="004339A9">
              <w:rPr>
                <w:rFonts w:asciiTheme="minorHAnsi" w:hAnsiTheme="minorHAnsi" w:cstheme="minorHAnsi"/>
                <w:sz w:val="16"/>
                <w:szCs w:val="16"/>
                <w:shd w:val="clear" w:color="auto" w:fill="FFFFFF"/>
              </w:rPr>
              <w:t>ss</w:t>
            </w:r>
            <w:r w:rsidR="007948EE" w:rsidRPr="004339A9">
              <w:rPr>
                <w:rFonts w:asciiTheme="minorHAnsi" w:hAnsiTheme="minorHAnsi" w:cstheme="minorHAnsi"/>
                <w:sz w:val="16"/>
                <w:szCs w:val="16"/>
                <w:shd w:val="clear" w:color="auto" w:fill="FFFFFF"/>
              </w:rPr>
              <w:t>ess for obsessive</w:t>
            </w:r>
            <w:r w:rsidR="004339A9" w:rsidRPr="004339A9">
              <w:rPr>
                <w:rFonts w:asciiTheme="minorHAnsi" w:hAnsiTheme="minorHAnsi" w:cstheme="minorHAnsi"/>
                <w:sz w:val="16"/>
                <w:szCs w:val="16"/>
                <w:shd w:val="clear" w:color="auto" w:fill="FFFFFF"/>
              </w:rPr>
              <w:t xml:space="preserve"> </w:t>
            </w:r>
            <w:r w:rsidR="007948EE" w:rsidRPr="004339A9">
              <w:rPr>
                <w:rFonts w:asciiTheme="minorHAnsi" w:hAnsiTheme="minorHAnsi" w:cstheme="minorHAnsi"/>
                <w:sz w:val="16"/>
                <w:szCs w:val="16"/>
                <w:shd w:val="clear" w:color="auto" w:fill="FFFFFF"/>
              </w:rPr>
              <w:t>compulsive disorder</w:t>
            </w:r>
          </w:p>
        </w:tc>
        <w:tc>
          <w:tcPr>
            <w:tcW w:w="0" w:type="auto"/>
          </w:tcPr>
          <w:p w14:paraId="0CEE8918" w14:textId="2CD85F23" w:rsidR="007948EE" w:rsidRPr="004339A9" w:rsidRDefault="007948EE" w:rsidP="00CB0B42">
            <w:pPr>
              <w:pStyle w:val="ANorm"/>
              <w:snapToGrid w:val="0"/>
              <w:rPr>
                <w:rFonts w:asciiTheme="minorHAnsi" w:hAnsiTheme="minorHAnsi" w:cstheme="minorHAnsi"/>
                <w:sz w:val="16"/>
                <w:szCs w:val="16"/>
              </w:rPr>
            </w:pPr>
            <w:r w:rsidRPr="004339A9">
              <w:rPr>
                <w:rFonts w:asciiTheme="minorHAnsi" w:hAnsiTheme="minorHAnsi" w:cstheme="minorHAnsi"/>
                <w:sz w:val="16"/>
                <w:szCs w:val="16"/>
                <w:shd w:val="clear" w:color="auto" w:fill="FFFFFF"/>
              </w:rPr>
              <w:t>Items are scored on a f</w:t>
            </w:r>
            <w:r w:rsidR="00066B77">
              <w:rPr>
                <w:rFonts w:asciiTheme="minorHAnsi" w:hAnsiTheme="minorHAnsi" w:cstheme="minorHAnsi"/>
                <w:sz w:val="16"/>
                <w:szCs w:val="16"/>
                <w:shd w:val="clear" w:color="auto" w:fill="FFFFFF"/>
              </w:rPr>
              <w:t>ive</w:t>
            </w:r>
            <w:r w:rsidRPr="004339A9">
              <w:rPr>
                <w:rFonts w:asciiTheme="minorHAnsi" w:hAnsiTheme="minorHAnsi" w:cstheme="minorHAnsi"/>
                <w:sz w:val="16"/>
                <w:szCs w:val="16"/>
                <w:shd w:val="clear" w:color="auto" w:fill="FFFFFF"/>
              </w:rPr>
              <w:t>-point scale from 0 (no symptoms) to 4 (extreme symptoms)</w:t>
            </w:r>
            <w:r w:rsidR="004339A9">
              <w:rPr>
                <w:rFonts w:asciiTheme="minorHAnsi" w:hAnsiTheme="minorHAnsi" w:cstheme="minorHAnsi"/>
                <w:sz w:val="16"/>
                <w:szCs w:val="16"/>
                <w:shd w:val="clear" w:color="auto" w:fill="FFFFFF"/>
              </w:rPr>
              <w:t>.</w:t>
            </w:r>
            <w:r w:rsidRPr="004339A9">
              <w:rPr>
                <w:rFonts w:asciiTheme="minorHAnsi" w:hAnsiTheme="minorHAnsi" w:cstheme="minorHAnsi"/>
                <w:sz w:val="16"/>
                <w:szCs w:val="16"/>
                <w:shd w:val="clear" w:color="auto" w:fill="FFFFFF"/>
              </w:rPr>
              <w:t xml:space="preserve"> The sum of the first five items is a severity index for obsessions, and the sum of the last five </w:t>
            </w:r>
            <w:r w:rsidR="00E67F2F">
              <w:rPr>
                <w:rFonts w:asciiTheme="minorHAnsi" w:hAnsiTheme="minorHAnsi" w:cstheme="minorHAnsi"/>
                <w:sz w:val="16"/>
                <w:szCs w:val="16"/>
                <w:shd w:val="clear" w:color="auto" w:fill="FFFFFF"/>
              </w:rPr>
              <w:t xml:space="preserve">is </w:t>
            </w:r>
            <w:r w:rsidRPr="004339A9">
              <w:rPr>
                <w:rFonts w:asciiTheme="minorHAnsi" w:hAnsiTheme="minorHAnsi" w:cstheme="minorHAnsi"/>
                <w:sz w:val="16"/>
                <w:szCs w:val="16"/>
                <w:shd w:val="clear" w:color="auto" w:fill="FFFFFF"/>
              </w:rPr>
              <w:t>an index for compulsions.</w:t>
            </w:r>
            <w:r w:rsidR="004339A9" w:rsidRPr="004339A9">
              <w:rPr>
                <w:rFonts w:asciiTheme="minorHAnsi" w:hAnsiTheme="minorHAnsi" w:cstheme="minorHAnsi"/>
                <w:sz w:val="16"/>
                <w:szCs w:val="16"/>
                <w:shd w:val="clear" w:color="auto" w:fill="FFFFFF"/>
              </w:rPr>
              <w:t xml:space="preserve"> </w:t>
            </w:r>
            <w:r w:rsidRPr="004339A9">
              <w:rPr>
                <w:rFonts w:asciiTheme="minorHAnsi" w:hAnsiTheme="minorHAnsi" w:cstheme="minorHAnsi"/>
                <w:sz w:val="16"/>
                <w:szCs w:val="16"/>
                <w:shd w:val="clear" w:color="auto" w:fill="FFFFFF"/>
              </w:rPr>
              <w:t xml:space="preserve">Scores </w:t>
            </w:r>
            <w:proofErr w:type="gramStart"/>
            <w:r w:rsidR="004339A9">
              <w:rPr>
                <w:rFonts w:asciiTheme="minorHAnsi" w:hAnsiTheme="minorHAnsi" w:cstheme="minorHAnsi"/>
                <w:sz w:val="16"/>
                <w:szCs w:val="16"/>
                <w:shd w:val="clear" w:color="auto" w:fill="FFFFFF"/>
              </w:rPr>
              <w:t>of</w:t>
            </w:r>
            <w:r w:rsidR="00CB0B42">
              <w:rPr>
                <w:rFonts w:asciiTheme="minorHAnsi" w:hAnsiTheme="minorHAnsi" w:cstheme="minorHAnsi"/>
                <w:sz w:val="16"/>
                <w:szCs w:val="16"/>
                <w:shd w:val="clear" w:color="auto" w:fill="FFFFFF"/>
              </w:rPr>
              <w:t>:</w:t>
            </w:r>
            <w:proofErr w:type="gramEnd"/>
            <w:r w:rsidR="004339A9">
              <w:rPr>
                <w:rFonts w:asciiTheme="minorHAnsi" w:hAnsiTheme="minorHAnsi" w:cstheme="minorHAnsi"/>
                <w:sz w:val="16"/>
                <w:szCs w:val="16"/>
                <w:shd w:val="clear" w:color="auto" w:fill="FFFFFF"/>
              </w:rPr>
              <w:t xml:space="preserve"> </w:t>
            </w:r>
            <w:r w:rsidRPr="004339A9">
              <w:rPr>
                <w:rFonts w:asciiTheme="minorHAnsi" w:hAnsiTheme="minorHAnsi" w:cstheme="minorHAnsi"/>
                <w:sz w:val="16"/>
                <w:szCs w:val="16"/>
                <w:shd w:val="clear" w:color="auto" w:fill="FFFFFF"/>
              </w:rPr>
              <w:t>0-7 indicate subclinical symptoms</w:t>
            </w:r>
            <w:r w:rsidR="00CB0B42">
              <w:rPr>
                <w:rFonts w:asciiTheme="minorHAnsi" w:hAnsiTheme="minorHAnsi" w:cstheme="minorHAnsi"/>
                <w:sz w:val="16"/>
                <w:szCs w:val="16"/>
                <w:shd w:val="clear" w:color="auto" w:fill="FFFFFF"/>
              </w:rPr>
              <w:t>;</w:t>
            </w:r>
            <w:r w:rsidRPr="004339A9">
              <w:rPr>
                <w:rFonts w:asciiTheme="minorHAnsi" w:hAnsiTheme="minorHAnsi" w:cstheme="minorHAnsi"/>
                <w:sz w:val="16"/>
                <w:szCs w:val="16"/>
                <w:shd w:val="clear" w:color="auto" w:fill="FFFFFF"/>
              </w:rPr>
              <w:t xml:space="preserve"> 8-15 indicate mild symptom</w:t>
            </w:r>
            <w:r w:rsidR="00CB0B42">
              <w:rPr>
                <w:rFonts w:asciiTheme="minorHAnsi" w:hAnsiTheme="minorHAnsi" w:cstheme="minorHAnsi"/>
                <w:sz w:val="16"/>
                <w:szCs w:val="16"/>
                <w:shd w:val="clear" w:color="auto" w:fill="FFFFFF"/>
              </w:rPr>
              <w:t>s;</w:t>
            </w:r>
            <w:r w:rsidRPr="004339A9">
              <w:rPr>
                <w:rFonts w:asciiTheme="minorHAnsi" w:hAnsiTheme="minorHAnsi" w:cstheme="minorHAnsi"/>
                <w:sz w:val="16"/>
                <w:szCs w:val="16"/>
                <w:shd w:val="clear" w:color="auto" w:fill="FFFFFF"/>
              </w:rPr>
              <w:t xml:space="preserve"> 1</w:t>
            </w:r>
            <w:r w:rsidR="00216DF1">
              <w:rPr>
                <w:rFonts w:asciiTheme="minorHAnsi" w:hAnsiTheme="minorHAnsi" w:cstheme="minorHAnsi"/>
                <w:sz w:val="16"/>
                <w:szCs w:val="16"/>
                <w:shd w:val="clear" w:color="auto" w:fill="FFFFFF"/>
              </w:rPr>
              <w:t>6</w:t>
            </w:r>
            <w:r w:rsidRPr="004339A9">
              <w:rPr>
                <w:rFonts w:asciiTheme="minorHAnsi" w:hAnsiTheme="minorHAnsi" w:cstheme="minorHAnsi"/>
                <w:sz w:val="16"/>
                <w:szCs w:val="16"/>
                <w:shd w:val="clear" w:color="auto" w:fill="FFFFFF"/>
              </w:rPr>
              <w:t>-23 indicate moderate symptoms</w:t>
            </w:r>
            <w:r w:rsidR="00CB0B42">
              <w:rPr>
                <w:rFonts w:asciiTheme="minorHAnsi" w:hAnsiTheme="minorHAnsi" w:cstheme="minorHAnsi"/>
                <w:sz w:val="16"/>
                <w:szCs w:val="16"/>
                <w:shd w:val="clear" w:color="auto" w:fill="FFFFFF"/>
              </w:rPr>
              <w:t>;</w:t>
            </w:r>
            <w:r w:rsidRPr="004339A9">
              <w:rPr>
                <w:rFonts w:asciiTheme="minorHAnsi" w:hAnsiTheme="minorHAnsi" w:cstheme="minorHAnsi"/>
                <w:sz w:val="16"/>
                <w:szCs w:val="16"/>
                <w:shd w:val="clear" w:color="auto" w:fill="FFFFFF"/>
              </w:rPr>
              <w:t xml:space="preserve"> 24-31 indicate severe symptoms</w:t>
            </w:r>
            <w:r w:rsidR="00CB0B42">
              <w:rPr>
                <w:rFonts w:asciiTheme="minorHAnsi" w:hAnsiTheme="minorHAnsi" w:cstheme="minorHAnsi"/>
                <w:sz w:val="16"/>
                <w:szCs w:val="16"/>
                <w:shd w:val="clear" w:color="auto" w:fill="FFFFFF"/>
              </w:rPr>
              <w:t>; and</w:t>
            </w:r>
            <w:r w:rsidRPr="004339A9">
              <w:rPr>
                <w:rFonts w:asciiTheme="minorHAnsi" w:hAnsiTheme="minorHAnsi" w:cstheme="minorHAnsi"/>
                <w:sz w:val="16"/>
                <w:szCs w:val="16"/>
                <w:shd w:val="clear" w:color="auto" w:fill="FFFFFF"/>
              </w:rPr>
              <w:t xml:space="preserve"> 32-40 indicate extreme</w:t>
            </w:r>
            <w:r w:rsidR="00CB0B42">
              <w:rPr>
                <w:rFonts w:asciiTheme="minorHAnsi" w:hAnsiTheme="minorHAnsi" w:cstheme="minorHAnsi"/>
                <w:sz w:val="16"/>
                <w:szCs w:val="16"/>
                <w:shd w:val="clear" w:color="auto" w:fill="FFFFFF"/>
              </w:rPr>
              <w:t xml:space="preserve"> symptoms.</w:t>
            </w:r>
          </w:p>
        </w:tc>
      </w:tr>
    </w:tbl>
    <w:p w14:paraId="052AE6C8" w14:textId="77777777" w:rsidR="00E330EB" w:rsidRDefault="00E330EB" w:rsidP="008C077A">
      <w:pPr>
        <w:pStyle w:val="ANorm"/>
      </w:pPr>
    </w:p>
    <w:p w14:paraId="51559781" w14:textId="6F6BD467" w:rsidR="00A84DD0" w:rsidRPr="00BD34DF" w:rsidRDefault="00BD34DF" w:rsidP="005A16C4">
      <w:pPr>
        <w:pStyle w:val="Heading3"/>
        <w:numPr>
          <w:ilvl w:val="2"/>
          <w:numId w:val="166"/>
        </w:numPr>
      </w:pPr>
      <w:r w:rsidRPr="00BD34DF">
        <w:t>Statistics used to m</w:t>
      </w:r>
      <w:r w:rsidR="00A84DD0" w:rsidRPr="00BD34DF">
        <w:t>easur</w:t>
      </w:r>
      <w:r w:rsidRPr="00BD34DF">
        <w:t>e</w:t>
      </w:r>
      <w:r w:rsidR="00A84DD0" w:rsidRPr="00BD34DF">
        <w:t xml:space="preserve"> </w:t>
      </w:r>
      <w:r w:rsidR="00AF6E7D">
        <w:t>treatment effect</w:t>
      </w:r>
    </w:p>
    <w:p w14:paraId="75F3B432" w14:textId="077DDDBA" w:rsidR="00336B49" w:rsidRPr="00336B49" w:rsidRDefault="00E54B7D" w:rsidP="00E54B7D">
      <w:pPr>
        <w:pStyle w:val="ANorm"/>
        <w:snapToGrid w:val="0"/>
      </w:pPr>
      <w:r w:rsidRPr="00336B49">
        <w:rPr>
          <w:rFonts w:cs="Calibri"/>
          <w:color w:val="000000"/>
        </w:rPr>
        <w:t xml:space="preserve">The change in mean score on a given measurement scale between the first and last assessment occasion was used to examine the effect of treatment on symptoms or functioning. Decreases in scores for measures of symptoms and </w:t>
      </w:r>
      <w:proofErr w:type="gramStart"/>
      <w:r w:rsidRPr="00336B49">
        <w:rPr>
          <w:rFonts w:cs="Calibri"/>
          <w:color w:val="000000"/>
        </w:rPr>
        <w:t>disability, and</w:t>
      </w:r>
      <w:proofErr w:type="gramEnd"/>
      <w:r w:rsidRPr="00336B49">
        <w:rPr>
          <w:rFonts w:cs="Calibri"/>
          <w:color w:val="000000"/>
        </w:rPr>
        <w:t xml:space="preserve"> increases in scores for measures of quality of life and functioning, indicate improvement. Because different measures are used between and within the three DMHSs, we calculated </w:t>
      </w:r>
      <w:r w:rsidRPr="0012310A">
        <w:rPr>
          <w:rFonts w:cs="Calibri"/>
          <w:color w:val="000000"/>
        </w:rPr>
        <w:t>effect size</w:t>
      </w:r>
      <w:r w:rsidRPr="00336B49">
        <w:rPr>
          <w:rFonts w:cs="Calibri"/>
          <w:color w:val="000000"/>
        </w:rPr>
        <w:t> (Cohen’s d) to compare pre- and post-treatment means for specific groups using a common metric to assess the magnitude of the effect of treatment by the DMHSs on these domains. Cohen (1992) recommends interpreting effect sizes of d = 0.2 as 'small', 0.5 as 'medium' and 0.8 as 'large' effect sizes</w:t>
      </w:r>
      <w:r w:rsidR="00D511EE" w:rsidRPr="00D511EE">
        <w:t>.</w:t>
      </w:r>
      <w:r w:rsidR="004D6004">
        <w:fldChar w:fldCharType="begin"/>
      </w:r>
      <w:r w:rsidR="004469A2">
        <w:instrText xml:space="preserve"> ADDIN EN.CITE &lt;EndNote&gt;&lt;Cite&gt;&lt;Author&gt;Cohen&lt;/Author&gt;&lt;Year&gt;1992&lt;/Year&gt;&lt;RecNum&gt;207&lt;/RecNum&gt;&lt;DisplayText&gt;&lt;style face="superscript"&gt;59&lt;/style&gt;&lt;/DisplayText&gt;&lt;record&gt;&lt;rec-number&gt;207&lt;/rec-number&gt;&lt;foreign-keys&gt;&lt;key app="EN" db-id="dawtr0zrkrzfa5edzzlpe2we0xa00t90vvr2" timestamp="1657623425"&gt;207&lt;/key&gt;&lt;/foreign-keys&gt;&lt;ref-type name="Journal Article"&gt;17&lt;/ref-type&gt;&lt;contributors&gt;&lt;authors&gt;&lt;author&gt;Cohen, J.&lt;/author&gt;&lt;/authors&gt;&lt;/contributors&gt;&lt;auth-address&gt;New York University, USA.&lt;/auth-address&gt;&lt;titles&gt;&lt;title&gt;A power primer&lt;/title&gt;&lt;secondary-title&gt;Psychol Bull&lt;/secondary-title&gt;&lt;/titles&gt;&lt;periodical&gt;&lt;full-title&gt;Psychol Bull&lt;/full-title&gt;&lt;/periodical&gt;&lt;pages&gt;155-9&lt;/pages&gt;&lt;volume&gt;112&lt;/volume&gt;&lt;number&gt;1&lt;/number&gt;&lt;edition&gt;1992/07/01&lt;/edition&gt;&lt;keywords&gt;&lt;keyword&gt;Chi-Square Distribution&lt;/keyword&gt;&lt;keyword&gt;Psychology/*statistics &amp;amp; numerical data&lt;/keyword&gt;&lt;keyword&gt;Sample Size&lt;/keyword&gt;&lt;/keywords&gt;&lt;dates&gt;&lt;year&gt;1992&lt;/year&gt;&lt;pub-dates&gt;&lt;date&gt;Jul&lt;/date&gt;&lt;/pub-dates&gt;&lt;/dates&gt;&lt;isbn&gt;0033-2909 (Print)&amp;#xD;0033-2909&lt;/isbn&gt;&lt;accession-num&gt;19565683&lt;/accession-num&gt;&lt;urls&gt;&lt;/urls&gt;&lt;electronic-resource-num&gt;10.1037//0033-2909.112.1.155&lt;/electronic-resource-num&gt;&lt;remote-database-provider&gt;NLM&lt;/remote-database-provider&gt;&lt;language&gt;eng&lt;/language&gt;&lt;/record&gt;&lt;/Cite&gt;&lt;/EndNote&gt;</w:instrText>
      </w:r>
      <w:r w:rsidR="004D6004">
        <w:fldChar w:fldCharType="separate"/>
      </w:r>
      <w:r w:rsidR="004469A2" w:rsidRPr="004469A2">
        <w:rPr>
          <w:noProof/>
          <w:vertAlign w:val="superscript"/>
        </w:rPr>
        <w:t>59</w:t>
      </w:r>
      <w:r w:rsidR="004D6004">
        <w:fldChar w:fldCharType="end"/>
      </w:r>
      <w:r>
        <w:t xml:space="preserve"> </w:t>
      </w:r>
      <w:r w:rsidR="00336B49" w:rsidRPr="00336B49">
        <w:rPr>
          <w:rFonts w:cs="Calibri"/>
          <w:color w:val="000000"/>
        </w:rPr>
        <w:t>For ease of interpretation, all Cohen’s d estimates are reported as positive if post-treatments means showed improvements compared with pre-treatment means, and negative if post-treatments means showed deterioration compared with pre-treatment means.  </w:t>
      </w:r>
    </w:p>
    <w:p w14:paraId="2154D555" w14:textId="77777777" w:rsidR="00336B49" w:rsidRPr="00336B49" w:rsidRDefault="00336B49" w:rsidP="00336B49">
      <w:pPr>
        <w:rPr>
          <w:rFonts w:ascii="Calibri" w:hAnsi="Calibri" w:cs="Calibri"/>
          <w:color w:val="000000"/>
          <w:sz w:val="22"/>
          <w:szCs w:val="22"/>
        </w:rPr>
      </w:pPr>
      <w:r w:rsidRPr="00336B49">
        <w:rPr>
          <w:rFonts w:ascii="Calibri" w:hAnsi="Calibri" w:cs="Calibri"/>
          <w:color w:val="000000"/>
          <w:sz w:val="22"/>
          <w:szCs w:val="22"/>
        </w:rPr>
        <w:t> </w:t>
      </w:r>
    </w:p>
    <w:p w14:paraId="127389D3" w14:textId="4C50C8BA" w:rsidR="00E012AC" w:rsidRPr="00E54B7D" w:rsidRDefault="00D511EE" w:rsidP="00E54B7D">
      <w:pPr>
        <w:pStyle w:val="ANorm"/>
        <w:spacing w:after="240"/>
        <w:rPr>
          <w:rFonts w:asciiTheme="minorHAnsi" w:hAnsiTheme="minorHAnsi" w:cstheme="minorHAnsi"/>
          <w:lang w:bidi="th-TH"/>
        </w:rPr>
      </w:pPr>
      <w:r w:rsidRPr="00FB530D">
        <w:rPr>
          <w:rFonts w:asciiTheme="minorHAnsi" w:hAnsiTheme="minorHAnsi" w:cstheme="minorHAnsi"/>
          <w:lang w:bidi="th-TH"/>
        </w:rPr>
        <w:t xml:space="preserve">Where available, we extracted other statistics used to describe effectiveness from peer-reviewed publications </w:t>
      </w:r>
      <w:r w:rsidR="00354DE5" w:rsidRPr="00FB530D">
        <w:rPr>
          <w:rFonts w:asciiTheme="minorHAnsi" w:hAnsiTheme="minorHAnsi" w:cstheme="minorHAnsi"/>
          <w:lang w:bidi="th-TH"/>
        </w:rPr>
        <w:t>on mental outcomes produced</w:t>
      </w:r>
      <w:r w:rsidRPr="00FB530D">
        <w:rPr>
          <w:rFonts w:asciiTheme="minorHAnsi" w:hAnsiTheme="minorHAnsi" w:cstheme="minorHAnsi"/>
          <w:lang w:bidi="th-TH"/>
        </w:rPr>
        <w:t xml:space="preserve"> </w:t>
      </w:r>
      <w:r w:rsidR="00C810EA" w:rsidRPr="00FB530D">
        <w:rPr>
          <w:rFonts w:asciiTheme="minorHAnsi" w:hAnsiTheme="minorHAnsi" w:cstheme="minorHAnsi"/>
          <w:lang w:bidi="th-TH"/>
        </w:rPr>
        <w:t xml:space="preserve">by </w:t>
      </w:r>
      <w:r w:rsidR="00354DE5" w:rsidRPr="00FB530D">
        <w:rPr>
          <w:rFonts w:asciiTheme="minorHAnsi" w:hAnsiTheme="minorHAnsi" w:cstheme="minorHAnsi"/>
          <w:lang w:bidi="th-TH"/>
        </w:rPr>
        <w:t xml:space="preserve">treatment from the </w:t>
      </w:r>
      <w:r w:rsidRPr="00FB530D">
        <w:rPr>
          <w:rFonts w:asciiTheme="minorHAnsi" w:hAnsiTheme="minorHAnsi" w:cstheme="minorHAnsi"/>
          <w:lang w:bidi="th-TH"/>
        </w:rPr>
        <w:t xml:space="preserve">three DMHSs and </w:t>
      </w:r>
      <w:r w:rsidR="00354DE5" w:rsidRPr="00FB530D">
        <w:rPr>
          <w:rFonts w:asciiTheme="minorHAnsi" w:hAnsiTheme="minorHAnsi" w:cstheme="minorHAnsi"/>
          <w:lang w:bidi="th-TH"/>
        </w:rPr>
        <w:t>other comparison treatments. These include</w:t>
      </w:r>
      <w:r w:rsidR="004D6004" w:rsidRPr="00FB530D">
        <w:rPr>
          <w:rFonts w:asciiTheme="minorHAnsi" w:hAnsiTheme="minorHAnsi" w:cstheme="minorHAnsi"/>
          <w:lang w:bidi="th-TH"/>
        </w:rPr>
        <w:t xml:space="preserve"> </w:t>
      </w:r>
      <w:r w:rsidR="004D6004" w:rsidRPr="0012310A">
        <w:rPr>
          <w:rFonts w:asciiTheme="minorHAnsi" w:hAnsiTheme="minorHAnsi" w:cstheme="minorHAnsi"/>
          <w:lang w:bidi="th-TH"/>
        </w:rPr>
        <w:t>the remission rate</w:t>
      </w:r>
      <w:r w:rsidR="00CB4203" w:rsidRPr="0012310A">
        <w:rPr>
          <w:rFonts w:asciiTheme="minorHAnsi" w:hAnsiTheme="minorHAnsi" w:cstheme="minorHAnsi"/>
          <w:lang w:bidi="th-TH"/>
        </w:rPr>
        <w:t>,</w:t>
      </w:r>
      <w:r w:rsidR="004D6004" w:rsidRPr="0012310A">
        <w:rPr>
          <w:rFonts w:asciiTheme="minorHAnsi" w:hAnsiTheme="minorHAnsi" w:cstheme="minorHAnsi"/>
          <w:lang w:bidi="th-TH"/>
        </w:rPr>
        <w:t xml:space="preserve"> which is the proportion of consumers who </w:t>
      </w:r>
      <w:r w:rsidR="008752A7" w:rsidRPr="0012310A">
        <w:rPr>
          <w:rFonts w:asciiTheme="minorHAnsi" w:hAnsiTheme="minorHAnsi" w:cstheme="minorHAnsi"/>
          <w:lang w:bidi="th-TH"/>
        </w:rPr>
        <w:t xml:space="preserve">are </w:t>
      </w:r>
      <w:r w:rsidR="004D6004" w:rsidRPr="0012310A">
        <w:rPr>
          <w:rFonts w:asciiTheme="minorHAnsi" w:hAnsiTheme="minorHAnsi" w:cstheme="minorHAnsi"/>
          <w:lang w:bidi="th-TH"/>
        </w:rPr>
        <w:t xml:space="preserve">no longer </w:t>
      </w:r>
      <w:r w:rsidR="00216D43" w:rsidRPr="0012310A">
        <w:rPr>
          <w:rFonts w:asciiTheme="minorHAnsi" w:hAnsiTheme="minorHAnsi" w:cstheme="minorHAnsi"/>
          <w:lang w:bidi="th-TH"/>
        </w:rPr>
        <w:t>“cases” at the end of treatment out of the total number who were “</w:t>
      </w:r>
      <w:r w:rsidR="008752A7" w:rsidRPr="0012310A">
        <w:rPr>
          <w:rFonts w:asciiTheme="minorHAnsi" w:hAnsiTheme="minorHAnsi" w:cstheme="minorHAnsi"/>
          <w:lang w:bidi="th-TH"/>
        </w:rPr>
        <w:t>cases</w:t>
      </w:r>
      <w:r w:rsidR="00216D43" w:rsidRPr="0012310A">
        <w:rPr>
          <w:rFonts w:asciiTheme="minorHAnsi" w:hAnsiTheme="minorHAnsi" w:cstheme="minorHAnsi"/>
          <w:lang w:bidi="th-TH"/>
        </w:rPr>
        <w:t>” at the start of treatment. In these instances, “</w:t>
      </w:r>
      <w:proofErr w:type="spellStart"/>
      <w:r w:rsidR="00216D43" w:rsidRPr="0012310A">
        <w:rPr>
          <w:rFonts w:asciiTheme="minorHAnsi" w:hAnsiTheme="minorHAnsi" w:cstheme="minorHAnsi"/>
          <w:lang w:bidi="th-TH"/>
        </w:rPr>
        <w:t>caseness</w:t>
      </w:r>
      <w:proofErr w:type="spellEnd"/>
      <w:r w:rsidR="00216D43" w:rsidRPr="0012310A">
        <w:rPr>
          <w:rFonts w:asciiTheme="minorHAnsi" w:hAnsiTheme="minorHAnsi" w:cstheme="minorHAnsi"/>
          <w:lang w:bidi="th-TH"/>
        </w:rPr>
        <w:t>” is usually defined as having a</w:t>
      </w:r>
      <w:r w:rsidR="004D6004" w:rsidRPr="0012310A">
        <w:rPr>
          <w:rFonts w:asciiTheme="minorHAnsi" w:hAnsiTheme="minorHAnsi" w:cstheme="minorHAnsi"/>
          <w:lang w:bidi="th-TH"/>
        </w:rPr>
        <w:t xml:space="preserve"> clinically significant symptom </w:t>
      </w:r>
      <w:r w:rsidR="00216D43" w:rsidRPr="0012310A">
        <w:rPr>
          <w:rFonts w:asciiTheme="minorHAnsi" w:hAnsiTheme="minorHAnsi" w:cstheme="minorHAnsi"/>
          <w:lang w:bidi="th-TH"/>
        </w:rPr>
        <w:t>level as indicated by a value greater than a stated</w:t>
      </w:r>
      <w:r w:rsidR="004D6004" w:rsidRPr="0012310A">
        <w:rPr>
          <w:rFonts w:asciiTheme="minorHAnsi" w:hAnsiTheme="minorHAnsi" w:cstheme="minorHAnsi"/>
          <w:lang w:bidi="th-TH"/>
        </w:rPr>
        <w:t xml:space="preserve"> cut-off score</w:t>
      </w:r>
      <w:r w:rsidR="008752A7" w:rsidRPr="0012310A">
        <w:rPr>
          <w:rFonts w:asciiTheme="minorHAnsi" w:hAnsiTheme="minorHAnsi" w:cstheme="minorHAnsi"/>
          <w:lang w:bidi="th-TH"/>
        </w:rPr>
        <w:t xml:space="preserve"> on a validated standardised symptom measurement scale</w:t>
      </w:r>
      <w:r w:rsidR="004D6004" w:rsidRPr="0012310A">
        <w:rPr>
          <w:rFonts w:asciiTheme="minorHAnsi" w:hAnsiTheme="minorHAnsi" w:cstheme="minorHAnsi"/>
          <w:lang w:bidi="th-TH"/>
        </w:rPr>
        <w:t xml:space="preserve">. </w:t>
      </w:r>
      <w:r w:rsidR="00216D43" w:rsidRPr="0012310A">
        <w:rPr>
          <w:rFonts w:asciiTheme="minorHAnsi" w:hAnsiTheme="minorHAnsi" w:cstheme="minorHAnsi"/>
          <w:lang w:bidi="th-TH"/>
        </w:rPr>
        <w:t>In these studies, the</w:t>
      </w:r>
      <w:r w:rsidR="004D6004" w:rsidRPr="0012310A">
        <w:rPr>
          <w:rFonts w:asciiTheme="minorHAnsi" w:hAnsiTheme="minorHAnsi" w:cstheme="minorHAnsi"/>
          <w:lang w:bidi="th-TH"/>
        </w:rPr>
        <w:t xml:space="preserve"> recovery rate represents the proportion of consumers whose symptoms improve by </w:t>
      </w:r>
      <w:proofErr w:type="gramStart"/>
      <w:r w:rsidR="004D6004" w:rsidRPr="0012310A">
        <w:rPr>
          <w:rFonts w:asciiTheme="minorHAnsi" w:hAnsiTheme="minorHAnsi" w:cstheme="minorHAnsi"/>
          <w:lang w:bidi="th-TH"/>
        </w:rPr>
        <w:t>a particular</w:t>
      </w:r>
      <w:proofErr w:type="gramEnd"/>
      <w:r w:rsidR="004D6004" w:rsidRPr="0012310A">
        <w:rPr>
          <w:rFonts w:asciiTheme="minorHAnsi" w:hAnsiTheme="minorHAnsi" w:cstheme="minorHAnsi"/>
          <w:lang w:bidi="th-TH"/>
        </w:rPr>
        <w:t xml:space="preserve"> </w:t>
      </w:r>
      <w:r w:rsidR="00B85379" w:rsidRPr="0012310A">
        <w:rPr>
          <w:rFonts w:asciiTheme="minorHAnsi" w:hAnsiTheme="minorHAnsi" w:cstheme="minorHAnsi"/>
          <w:lang w:bidi="th-TH"/>
        </w:rPr>
        <w:t xml:space="preserve">(variably defined) </w:t>
      </w:r>
      <w:r w:rsidR="004D6004" w:rsidRPr="0012310A">
        <w:rPr>
          <w:rFonts w:asciiTheme="minorHAnsi" w:hAnsiTheme="minorHAnsi" w:cstheme="minorHAnsi"/>
          <w:lang w:bidi="th-TH"/>
        </w:rPr>
        <w:t xml:space="preserve">proportion (e.g., </w:t>
      </w:r>
      <w:r w:rsidR="00F96B67" w:rsidRPr="0012310A">
        <w:rPr>
          <w:rFonts w:asciiTheme="minorHAnsi" w:hAnsiTheme="minorHAnsi" w:cstheme="minorHAnsi"/>
          <w:lang w:bidi="th-TH"/>
        </w:rPr>
        <w:t xml:space="preserve">the </w:t>
      </w:r>
      <w:r w:rsidR="00216D43" w:rsidRPr="0012310A">
        <w:rPr>
          <w:rFonts w:asciiTheme="minorHAnsi" w:hAnsiTheme="minorHAnsi" w:cstheme="minorHAnsi"/>
          <w:lang w:bidi="th-TH"/>
        </w:rPr>
        <w:t xml:space="preserve">proportion of consumers whose symptom levels were 50% lower at the end of treatment </w:t>
      </w:r>
      <w:r w:rsidR="001D2E29" w:rsidRPr="0012310A">
        <w:rPr>
          <w:rFonts w:asciiTheme="minorHAnsi" w:hAnsiTheme="minorHAnsi" w:cstheme="minorHAnsi"/>
          <w:lang w:bidi="th-TH"/>
        </w:rPr>
        <w:t>than</w:t>
      </w:r>
      <w:r w:rsidR="00216D43" w:rsidRPr="0012310A">
        <w:rPr>
          <w:rFonts w:asciiTheme="minorHAnsi" w:hAnsiTheme="minorHAnsi" w:cstheme="minorHAnsi"/>
          <w:lang w:bidi="th-TH"/>
        </w:rPr>
        <w:t xml:space="preserve"> at the start of treatment). Sometimes remission and recovery rates are used interchangeably in published studies. Because there are shortcomings associated with both these rates, the reliable change index is often reported alongside them. Reliable change is about whether the magnitude of the change from before to after treatment exceeds the unreliability of the measurement scale (measurement error or natural variance).</w:t>
      </w:r>
      <w:r w:rsidR="00216D43" w:rsidRPr="0012310A">
        <w:rPr>
          <w:rFonts w:asciiTheme="minorHAnsi" w:hAnsiTheme="minorHAnsi" w:cstheme="minorHAnsi"/>
          <w:lang w:bidi="th-TH"/>
        </w:rPr>
        <w:fldChar w:fldCharType="begin"/>
      </w:r>
      <w:r w:rsidR="004469A2">
        <w:rPr>
          <w:rFonts w:asciiTheme="minorHAnsi" w:hAnsiTheme="minorHAnsi" w:cstheme="minorHAnsi"/>
          <w:lang w:bidi="th-TH"/>
        </w:rPr>
        <w:instrText xml:space="preserve"> ADDIN EN.CITE &lt;EndNote&gt;&lt;Cite&gt;&lt;Author&gt;Evans&lt;/Author&gt;&lt;Year&gt;1998&lt;/Year&gt;&lt;RecNum&gt;211&lt;/RecNum&gt;&lt;DisplayText&gt;&lt;style face="superscript"&gt;60&lt;/style&gt;&lt;/DisplayText&gt;&lt;record&gt;&lt;rec-number&gt;211&lt;/rec-number&gt;&lt;foreign-keys&gt;&lt;key app="EN" db-id="dawtr0zrkrzfa5edzzlpe2we0xa00t90vvr2" timestamp="1657761571"&gt;211&lt;/key&gt;&lt;/foreign-keys&gt;&lt;ref-type name="Web Page"&gt;12&lt;/ref-type&gt;&lt;contributors&gt;&lt;authors&gt;&lt;author&gt;Evans, C.&lt;/author&gt;&lt;/authors&gt;&lt;/contributors&gt;&lt;titles&gt;&lt;title&gt;Reliable and clinically significant change&lt;/title&gt;&lt;/titles&gt;&lt;number&gt;14 July 2022&lt;/number&gt;&lt;dates&gt;&lt;year&gt;1998&lt;/year&gt;&lt;/dates&gt;&lt;urls&gt;&lt;related-urls&gt;&lt;url&gt;https://www.psyctc.org/stats/rcsc.htm&lt;/url&gt;&lt;/related-urls&gt;&lt;/urls&gt;&lt;/record&gt;&lt;/Cite&gt;&lt;/EndNote&gt;</w:instrText>
      </w:r>
      <w:r w:rsidR="00216D43" w:rsidRPr="0012310A">
        <w:rPr>
          <w:rFonts w:asciiTheme="minorHAnsi" w:hAnsiTheme="minorHAnsi" w:cstheme="minorHAnsi"/>
          <w:lang w:bidi="th-TH"/>
        </w:rPr>
        <w:fldChar w:fldCharType="separate"/>
      </w:r>
      <w:r w:rsidR="004469A2" w:rsidRPr="004469A2">
        <w:rPr>
          <w:rFonts w:asciiTheme="minorHAnsi" w:hAnsiTheme="minorHAnsi" w:cstheme="minorHAnsi"/>
          <w:noProof/>
          <w:vertAlign w:val="superscript"/>
          <w:lang w:bidi="th-TH"/>
        </w:rPr>
        <w:t>60</w:t>
      </w:r>
      <w:r w:rsidR="00216D43" w:rsidRPr="0012310A">
        <w:rPr>
          <w:rFonts w:asciiTheme="minorHAnsi" w:hAnsiTheme="minorHAnsi" w:cstheme="minorHAnsi"/>
          <w:lang w:bidi="th-TH"/>
        </w:rPr>
        <w:fldChar w:fldCharType="end"/>
      </w:r>
      <w:r w:rsidR="00216D43" w:rsidRPr="0012310A">
        <w:rPr>
          <w:rFonts w:asciiTheme="minorHAnsi" w:hAnsiTheme="minorHAnsi" w:cstheme="minorHAnsi"/>
          <w:lang w:bidi="th-TH"/>
        </w:rPr>
        <w:t xml:space="preserve"> It is used to interpret the clinical significance of change (e.g., reliable improvement, deterioration or no change). The numeric value for reliable change is calculated using the initial standard deviation of the measure and its reliability within a given sample.</w:t>
      </w:r>
      <w:r w:rsidR="00216D43" w:rsidRPr="0012310A">
        <w:rPr>
          <w:rFonts w:asciiTheme="minorHAnsi" w:hAnsiTheme="minorHAnsi" w:cstheme="minorHAnsi"/>
          <w:lang w:bidi="th-TH"/>
        </w:rPr>
        <w:fldChar w:fldCharType="begin"/>
      </w:r>
      <w:r w:rsidR="004469A2">
        <w:rPr>
          <w:rFonts w:asciiTheme="minorHAnsi" w:hAnsiTheme="minorHAnsi" w:cstheme="minorHAnsi"/>
          <w:lang w:bidi="th-TH"/>
        </w:rPr>
        <w:instrText xml:space="preserve"> ADDIN EN.CITE &lt;EndNote&gt;&lt;Cite&gt;&lt;Author&gt;Evans&lt;/Author&gt;&lt;Year&gt;1998&lt;/Year&gt;&lt;RecNum&gt;211&lt;/RecNum&gt;&lt;DisplayText&gt;&lt;style face="superscript"&gt;60&lt;/style&gt;&lt;/DisplayText&gt;&lt;record&gt;&lt;rec-number&gt;211&lt;/rec-number&gt;&lt;foreign-keys&gt;&lt;key app="EN" db-id="dawtr0zrkrzfa5edzzlpe2we0xa00t90vvr2" timestamp="1657761571"&gt;211&lt;/key&gt;&lt;/foreign-keys&gt;&lt;ref-type name="Web Page"&gt;12&lt;/ref-type&gt;&lt;contributors&gt;&lt;authors&gt;&lt;author&gt;Evans, C.&lt;/author&gt;&lt;/authors&gt;&lt;/contributors&gt;&lt;titles&gt;&lt;title&gt;Reliable and clinically significant change&lt;/title&gt;&lt;/titles&gt;&lt;number&gt;14 July 2022&lt;/number&gt;&lt;dates&gt;&lt;year&gt;1998&lt;/year&gt;&lt;/dates&gt;&lt;urls&gt;&lt;related-urls&gt;&lt;url&gt;https://www.psyctc.org/stats/rcsc.htm&lt;/url&gt;&lt;/related-urls&gt;&lt;/urls&gt;&lt;/record&gt;&lt;/Cite&gt;&lt;/EndNote&gt;</w:instrText>
      </w:r>
      <w:r w:rsidR="00216D43" w:rsidRPr="0012310A">
        <w:rPr>
          <w:rFonts w:asciiTheme="minorHAnsi" w:hAnsiTheme="minorHAnsi" w:cstheme="minorHAnsi"/>
          <w:lang w:bidi="th-TH"/>
        </w:rPr>
        <w:fldChar w:fldCharType="separate"/>
      </w:r>
      <w:r w:rsidR="004469A2" w:rsidRPr="004469A2">
        <w:rPr>
          <w:rFonts w:asciiTheme="minorHAnsi" w:hAnsiTheme="minorHAnsi" w:cstheme="minorHAnsi"/>
          <w:noProof/>
          <w:vertAlign w:val="superscript"/>
          <w:lang w:bidi="th-TH"/>
        </w:rPr>
        <w:t>60</w:t>
      </w:r>
      <w:r w:rsidR="00216D43" w:rsidRPr="0012310A">
        <w:rPr>
          <w:rFonts w:asciiTheme="minorHAnsi" w:hAnsiTheme="minorHAnsi" w:cstheme="minorHAnsi"/>
          <w:lang w:bidi="th-TH"/>
        </w:rPr>
        <w:fldChar w:fldCharType="end"/>
      </w:r>
      <w:r w:rsidR="00216D43" w:rsidRPr="0012310A">
        <w:rPr>
          <w:rFonts w:asciiTheme="minorHAnsi" w:hAnsiTheme="minorHAnsi" w:cstheme="minorHAnsi"/>
          <w:lang w:bidi="th-TH"/>
        </w:rPr>
        <w:t xml:space="preserve"> Finally, reliable recovery is the proportion of consumers who score above a clinical cut-off on an assessment instrument at baseline</w:t>
      </w:r>
      <w:r w:rsidR="00502070">
        <w:rPr>
          <w:rFonts w:asciiTheme="minorHAnsi" w:hAnsiTheme="minorHAnsi" w:cstheme="minorHAnsi"/>
          <w:lang w:bidi="th-TH"/>
        </w:rPr>
        <w:t xml:space="preserve"> (d</w:t>
      </w:r>
      <w:r w:rsidR="00790ABE">
        <w:rPr>
          <w:rFonts w:asciiTheme="minorHAnsi" w:hAnsiTheme="minorHAnsi" w:cstheme="minorHAnsi"/>
          <w:lang w:bidi="th-TH"/>
        </w:rPr>
        <w:t>e</w:t>
      </w:r>
      <w:r w:rsidR="00502070">
        <w:rPr>
          <w:rFonts w:asciiTheme="minorHAnsi" w:hAnsiTheme="minorHAnsi" w:cstheme="minorHAnsi"/>
          <w:lang w:bidi="th-TH"/>
        </w:rPr>
        <w:t>nominator)</w:t>
      </w:r>
      <w:r w:rsidR="00A64572">
        <w:rPr>
          <w:rFonts w:asciiTheme="minorHAnsi" w:hAnsiTheme="minorHAnsi" w:cstheme="minorHAnsi"/>
          <w:lang w:bidi="th-TH"/>
        </w:rPr>
        <w:t>,</w:t>
      </w:r>
      <w:r w:rsidR="00B97C0C" w:rsidRPr="00B97C0C">
        <w:rPr>
          <w:rFonts w:asciiTheme="minorHAnsi" w:hAnsiTheme="minorHAnsi" w:cstheme="minorHAnsi"/>
          <w:lang w:bidi="th-TH"/>
        </w:rPr>
        <w:t xml:space="preserve"> </w:t>
      </w:r>
      <w:r w:rsidR="00B97C0C" w:rsidRPr="0097615F">
        <w:rPr>
          <w:rFonts w:asciiTheme="minorHAnsi" w:hAnsiTheme="minorHAnsi" w:cstheme="minorHAnsi"/>
          <w:lang w:bidi="th-TH"/>
        </w:rPr>
        <w:t xml:space="preserve">and score below the clinical cut-off </w:t>
      </w:r>
      <w:r w:rsidR="00A64572">
        <w:rPr>
          <w:rFonts w:asciiTheme="minorHAnsi" w:hAnsiTheme="minorHAnsi" w:cstheme="minorHAnsi"/>
          <w:lang w:bidi="th-TH"/>
        </w:rPr>
        <w:t xml:space="preserve">and </w:t>
      </w:r>
      <w:r w:rsidR="00A64572" w:rsidRPr="0012310A">
        <w:rPr>
          <w:rFonts w:asciiTheme="minorHAnsi" w:hAnsiTheme="minorHAnsi" w:cstheme="minorHAnsi"/>
          <w:lang w:bidi="th-TH"/>
        </w:rPr>
        <w:t>show reliable</w:t>
      </w:r>
      <w:r w:rsidR="00A64572" w:rsidRPr="0097615F">
        <w:rPr>
          <w:rFonts w:asciiTheme="minorHAnsi" w:hAnsiTheme="minorHAnsi" w:cstheme="minorHAnsi"/>
          <w:lang w:bidi="th-TH"/>
        </w:rPr>
        <w:t xml:space="preserve"> improvement </w:t>
      </w:r>
      <w:r w:rsidR="00B97C0C" w:rsidRPr="0097615F">
        <w:rPr>
          <w:rFonts w:asciiTheme="minorHAnsi" w:hAnsiTheme="minorHAnsi" w:cstheme="minorHAnsi"/>
          <w:lang w:bidi="th-TH"/>
        </w:rPr>
        <w:t>at the end of treatment</w:t>
      </w:r>
      <w:r w:rsidR="00502070">
        <w:rPr>
          <w:rFonts w:asciiTheme="minorHAnsi" w:hAnsiTheme="minorHAnsi" w:cstheme="minorHAnsi"/>
          <w:lang w:bidi="th-TH"/>
        </w:rPr>
        <w:t xml:space="preserve"> (numerator)</w:t>
      </w:r>
      <w:r w:rsidR="00216D43" w:rsidRPr="0097615F">
        <w:rPr>
          <w:rFonts w:asciiTheme="minorHAnsi" w:hAnsiTheme="minorHAnsi" w:cstheme="minorHAnsi"/>
          <w:lang w:bidi="th-TH"/>
        </w:rPr>
        <w:t>.</w:t>
      </w:r>
      <w:r w:rsidR="00216D43">
        <w:rPr>
          <w:rFonts w:asciiTheme="minorHAnsi" w:hAnsiTheme="minorHAnsi" w:cstheme="minorHAnsi"/>
          <w:lang w:bidi="th-TH"/>
        </w:rPr>
        <w:fldChar w:fldCharType="begin">
          <w:fldData xml:space="preserve">PEVuZE5vdGU+PENpdGU+PEF1dGhvcj5HeWFuaTwvQXV0aG9yPjxZZWFyPjIwMTM8L1llYXI+PFJl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</w:fldData>
        </w:fldChar>
      </w:r>
      <w:r w:rsidR="004469A2">
        <w:rPr>
          <w:rFonts w:asciiTheme="minorHAnsi" w:hAnsiTheme="minorHAnsi" w:cstheme="minorHAnsi"/>
          <w:lang w:bidi="th-TH"/>
        </w:rPr>
        <w:instrText xml:space="preserve"> ADDIN EN.CITE </w:instrText>
      </w:r>
      <w:r w:rsidR="004469A2">
        <w:rPr>
          <w:rFonts w:asciiTheme="minorHAnsi" w:hAnsiTheme="minorHAnsi" w:cstheme="minorHAnsi"/>
          <w:lang w:bidi="th-TH"/>
        </w:rPr>
        <w:fldChar w:fldCharType="begin">
          <w:fldData xml:space="preserve">PEVuZE5vdGU+PENpdGU+PEF1dGhvcj5HeWFuaTwvQXV0aG9yPjxZZWFyPjIwMTM8L1llYXI+PFJl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</w:fldData>
        </w:fldChar>
      </w:r>
      <w:r w:rsidR="004469A2">
        <w:rPr>
          <w:rFonts w:asciiTheme="minorHAnsi" w:hAnsiTheme="minorHAnsi" w:cstheme="minorHAnsi"/>
          <w:lang w:bidi="th-TH"/>
        </w:rPr>
        <w:instrText xml:space="preserve"> ADDIN EN.CITE.DATA </w:instrText>
      </w:r>
      <w:r w:rsidR="004469A2">
        <w:rPr>
          <w:rFonts w:asciiTheme="minorHAnsi" w:hAnsiTheme="minorHAnsi" w:cstheme="minorHAnsi"/>
          <w:lang w:bidi="th-TH"/>
        </w:rPr>
      </w:r>
      <w:r w:rsidR="004469A2">
        <w:rPr>
          <w:rFonts w:asciiTheme="minorHAnsi" w:hAnsiTheme="minorHAnsi" w:cstheme="minorHAnsi"/>
          <w:lang w:bidi="th-TH"/>
        </w:rPr>
        <w:fldChar w:fldCharType="end"/>
      </w:r>
      <w:r w:rsidR="00216D43">
        <w:rPr>
          <w:rFonts w:asciiTheme="minorHAnsi" w:hAnsiTheme="minorHAnsi" w:cstheme="minorHAnsi"/>
          <w:lang w:bidi="th-TH"/>
        </w:rPr>
      </w:r>
      <w:r w:rsidR="00216D43">
        <w:rPr>
          <w:rFonts w:asciiTheme="minorHAnsi" w:hAnsiTheme="minorHAnsi" w:cstheme="minorHAnsi"/>
          <w:lang w:bidi="th-TH"/>
        </w:rPr>
        <w:fldChar w:fldCharType="separate"/>
      </w:r>
      <w:r w:rsidR="004469A2" w:rsidRPr="004469A2">
        <w:rPr>
          <w:rFonts w:asciiTheme="minorHAnsi" w:hAnsiTheme="minorHAnsi" w:cstheme="minorHAnsi"/>
          <w:noProof/>
          <w:vertAlign w:val="superscript"/>
          <w:lang w:bidi="th-TH"/>
        </w:rPr>
        <w:t>61</w:t>
      </w:r>
      <w:r w:rsidR="00216D43">
        <w:rPr>
          <w:rFonts w:asciiTheme="minorHAnsi" w:hAnsiTheme="minorHAnsi" w:cstheme="minorHAnsi"/>
          <w:lang w:bidi="th-TH"/>
        </w:rPr>
        <w:fldChar w:fldCharType="end"/>
      </w:r>
      <w:r w:rsidR="00CD1C5C">
        <w:rPr>
          <w:rFonts w:asciiTheme="minorHAnsi" w:hAnsiTheme="minorHAnsi" w:cstheme="minorHAnsi"/>
          <w:lang w:bidi="th-TH"/>
        </w:rPr>
        <w:t xml:space="preserve"> </w:t>
      </w:r>
      <w:r w:rsidR="00E012AC">
        <w:br w:type="page"/>
      </w:r>
    </w:p>
    <w:p w14:paraId="581945D7" w14:textId="5063745A" w:rsidR="007E43B9" w:rsidRPr="002D0ED7" w:rsidRDefault="00F120AF" w:rsidP="005A16C4">
      <w:pPr>
        <w:pStyle w:val="Heading2"/>
        <w:numPr>
          <w:ilvl w:val="1"/>
          <w:numId w:val="165"/>
        </w:numPr>
      </w:pPr>
      <w:bookmarkStart w:id="56" w:name="_Toc108784841"/>
      <w:r w:rsidRPr="00AA6B28">
        <w:lastRenderedPageBreak/>
        <w:t>M</w:t>
      </w:r>
      <w:r w:rsidR="007E43B9" w:rsidRPr="00AA6B28">
        <w:t>ental Health Online</w:t>
      </w:r>
      <w:r w:rsidR="00E038F7">
        <w:t xml:space="preserve"> outcomes</w:t>
      </w:r>
      <w:bookmarkEnd w:id="56"/>
    </w:p>
    <w:p w14:paraId="15E31CB7" w14:textId="77777777" w:rsidR="006B502C" w:rsidRPr="009E2955" w:rsidRDefault="007E43B9" w:rsidP="00621BF4">
      <w:pPr>
        <w:spacing w:after="240"/>
        <w:rPr>
          <w:rFonts w:asciiTheme="minorHAnsi" w:hAnsiTheme="minorHAnsi" w:cstheme="minorHAnsi"/>
          <w:sz w:val="21"/>
          <w:szCs w:val="21"/>
        </w:rPr>
      </w:pPr>
      <w:r w:rsidRPr="00C0670D">
        <w:rPr>
          <w:rFonts w:asciiTheme="minorHAnsi" w:hAnsiTheme="minorHAnsi" w:cstheme="minorHAnsi"/>
          <w:sz w:val="21"/>
          <w:szCs w:val="21"/>
        </w:rPr>
        <w:t>Mental Health Online does not</w:t>
      </w:r>
      <w:r w:rsidR="000B492B" w:rsidRPr="00C0670D">
        <w:rPr>
          <w:rFonts w:asciiTheme="minorHAnsi" w:hAnsiTheme="minorHAnsi" w:cstheme="minorHAnsi"/>
          <w:sz w:val="21"/>
          <w:szCs w:val="21"/>
        </w:rPr>
        <w:t xml:space="preserve"> routine</w:t>
      </w:r>
      <w:r w:rsidRPr="00C0670D">
        <w:rPr>
          <w:rFonts w:asciiTheme="minorHAnsi" w:hAnsiTheme="minorHAnsi" w:cstheme="minorHAnsi"/>
          <w:sz w:val="21"/>
          <w:szCs w:val="21"/>
        </w:rPr>
        <w:t>ly</w:t>
      </w:r>
      <w:r w:rsidR="000B492B" w:rsidRPr="00C0670D">
        <w:rPr>
          <w:rFonts w:asciiTheme="minorHAnsi" w:hAnsiTheme="minorHAnsi" w:cstheme="minorHAnsi"/>
          <w:sz w:val="21"/>
          <w:szCs w:val="21"/>
        </w:rPr>
        <w:t xml:space="preserve"> </w:t>
      </w:r>
      <w:r w:rsidRPr="00C0670D">
        <w:rPr>
          <w:rFonts w:asciiTheme="minorHAnsi" w:hAnsiTheme="minorHAnsi" w:cstheme="minorHAnsi"/>
          <w:sz w:val="21"/>
          <w:szCs w:val="21"/>
        </w:rPr>
        <w:t>collect mental health outcome data</w:t>
      </w:r>
      <w:r w:rsidR="000B492B" w:rsidRPr="00C0670D">
        <w:rPr>
          <w:rFonts w:asciiTheme="minorHAnsi" w:hAnsiTheme="minorHAnsi" w:cstheme="minorHAnsi"/>
          <w:sz w:val="21"/>
          <w:szCs w:val="21"/>
        </w:rPr>
        <w:t xml:space="preserve">. </w:t>
      </w:r>
      <w:r w:rsidRPr="00C0670D">
        <w:rPr>
          <w:rFonts w:asciiTheme="minorHAnsi" w:hAnsiTheme="minorHAnsi" w:cstheme="minorHAnsi"/>
          <w:sz w:val="21"/>
          <w:szCs w:val="21"/>
        </w:rPr>
        <w:t xml:space="preserve">Instead, </w:t>
      </w:r>
      <w:r w:rsidR="00AA6B28" w:rsidRPr="00C0670D">
        <w:rPr>
          <w:rFonts w:asciiTheme="minorHAnsi" w:hAnsiTheme="minorHAnsi" w:cstheme="minorHAnsi"/>
          <w:sz w:val="21"/>
          <w:szCs w:val="21"/>
        </w:rPr>
        <w:t>it</w:t>
      </w:r>
      <w:r w:rsidRPr="00C0670D">
        <w:rPr>
          <w:rFonts w:asciiTheme="minorHAnsi" w:hAnsiTheme="minorHAnsi" w:cstheme="minorHAnsi"/>
          <w:sz w:val="21"/>
          <w:szCs w:val="21"/>
        </w:rPr>
        <w:t xml:space="preserve"> </w:t>
      </w:r>
      <w:r w:rsidR="000B492B" w:rsidRPr="00C0670D">
        <w:rPr>
          <w:rFonts w:asciiTheme="minorHAnsi" w:hAnsiTheme="minorHAnsi" w:cstheme="minorHAnsi"/>
          <w:sz w:val="21"/>
          <w:szCs w:val="21"/>
        </w:rPr>
        <w:t>conduct</w:t>
      </w:r>
      <w:r w:rsidRPr="00C0670D">
        <w:rPr>
          <w:rFonts w:asciiTheme="minorHAnsi" w:hAnsiTheme="minorHAnsi" w:cstheme="minorHAnsi"/>
          <w:sz w:val="21"/>
          <w:szCs w:val="21"/>
        </w:rPr>
        <w:t>s</w:t>
      </w:r>
      <w:r w:rsidR="000B492B" w:rsidRPr="00C0670D">
        <w:rPr>
          <w:rFonts w:asciiTheme="minorHAnsi" w:hAnsiTheme="minorHAnsi" w:cstheme="minorHAnsi"/>
          <w:sz w:val="21"/>
          <w:szCs w:val="21"/>
        </w:rPr>
        <w:t xml:space="preserve"> discrete evaluation</w:t>
      </w:r>
      <w:r w:rsidR="00D8460E" w:rsidRPr="00C0670D">
        <w:rPr>
          <w:rFonts w:asciiTheme="minorHAnsi" w:hAnsiTheme="minorHAnsi" w:cstheme="minorHAnsi"/>
          <w:sz w:val="21"/>
          <w:szCs w:val="21"/>
        </w:rPr>
        <w:t>s</w:t>
      </w:r>
      <w:r w:rsidR="000B492B" w:rsidRPr="00C0670D">
        <w:rPr>
          <w:rFonts w:asciiTheme="minorHAnsi" w:hAnsiTheme="minorHAnsi" w:cstheme="minorHAnsi"/>
          <w:sz w:val="21"/>
          <w:szCs w:val="21"/>
        </w:rPr>
        <w:t xml:space="preserve"> </w:t>
      </w:r>
      <w:r w:rsidR="00D8460E" w:rsidRPr="00C0670D">
        <w:rPr>
          <w:rFonts w:asciiTheme="minorHAnsi" w:hAnsiTheme="minorHAnsi" w:cstheme="minorHAnsi"/>
          <w:sz w:val="21"/>
          <w:szCs w:val="21"/>
        </w:rPr>
        <w:t>of</w:t>
      </w:r>
      <w:r w:rsidRPr="00C0670D">
        <w:rPr>
          <w:rFonts w:asciiTheme="minorHAnsi" w:hAnsiTheme="minorHAnsi" w:cstheme="minorHAnsi"/>
          <w:sz w:val="21"/>
          <w:szCs w:val="21"/>
        </w:rPr>
        <w:t xml:space="preserve"> </w:t>
      </w:r>
      <w:r w:rsidR="000B492B" w:rsidRPr="00C0670D">
        <w:rPr>
          <w:rFonts w:asciiTheme="minorHAnsi" w:hAnsiTheme="minorHAnsi" w:cstheme="minorHAnsi"/>
          <w:sz w:val="21"/>
          <w:szCs w:val="21"/>
        </w:rPr>
        <w:t>various service aspects.</w:t>
      </w:r>
      <w:r w:rsidRPr="00C0670D">
        <w:rPr>
          <w:rFonts w:asciiTheme="minorHAnsi" w:hAnsiTheme="minorHAnsi" w:cstheme="minorHAnsi"/>
          <w:sz w:val="21"/>
          <w:szCs w:val="21"/>
        </w:rPr>
        <w:t xml:space="preserve"> </w:t>
      </w:r>
      <w:r w:rsidR="003D66D0" w:rsidRPr="00C0670D">
        <w:rPr>
          <w:rFonts w:asciiTheme="minorHAnsi" w:hAnsiTheme="minorHAnsi" w:cstheme="minorHAnsi"/>
          <w:sz w:val="21"/>
          <w:szCs w:val="21"/>
        </w:rPr>
        <w:t xml:space="preserve">Table </w:t>
      </w:r>
      <w:r w:rsidR="00B15808">
        <w:rPr>
          <w:rFonts w:asciiTheme="minorHAnsi" w:hAnsiTheme="minorHAnsi" w:cstheme="minorHAnsi"/>
          <w:sz w:val="21"/>
          <w:szCs w:val="21"/>
        </w:rPr>
        <w:t>1</w:t>
      </w:r>
      <w:r w:rsidR="00BF2DC2">
        <w:rPr>
          <w:rFonts w:asciiTheme="minorHAnsi" w:hAnsiTheme="minorHAnsi" w:cstheme="minorHAnsi"/>
          <w:sz w:val="21"/>
          <w:szCs w:val="21"/>
        </w:rPr>
        <w:t>4</w:t>
      </w:r>
      <w:r w:rsidR="00B15808">
        <w:rPr>
          <w:rFonts w:asciiTheme="minorHAnsi" w:hAnsiTheme="minorHAnsi" w:cstheme="minorHAnsi"/>
          <w:sz w:val="21"/>
          <w:szCs w:val="21"/>
        </w:rPr>
        <w:t xml:space="preserve"> </w:t>
      </w:r>
      <w:r w:rsidR="003D66D0" w:rsidRPr="00C0670D">
        <w:rPr>
          <w:rFonts w:asciiTheme="minorHAnsi" w:hAnsiTheme="minorHAnsi" w:cstheme="minorHAnsi"/>
          <w:sz w:val="21"/>
          <w:szCs w:val="21"/>
        </w:rPr>
        <w:t>shows the mental health and quality of life outcomes produced by Mental Health Online in relation to one such recent evaluation (directly provided by Mental Health Online)</w:t>
      </w:r>
      <w:r w:rsidR="006B502C">
        <w:rPr>
          <w:rFonts w:asciiTheme="minorHAnsi" w:hAnsiTheme="minorHAnsi" w:cstheme="minorHAnsi"/>
          <w:sz w:val="21"/>
          <w:szCs w:val="21"/>
        </w:rPr>
        <w:t>.</w:t>
      </w:r>
      <w:r w:rsidR="003D66D0" w:rsidRPr="00C0670D">
        <w:rPr>
          <w:rFonts w:asciiTheme="minorHAnsi" w:hAnsiTheme="minorHAnsi" w:cstheme="minorHAnsi"/>
          <w:sz w:val="21"/>
          <w:szCs w:val="21"/>
        </w:rPr>
        <w:t xml:space="preserve"> </w:t>
      </w:r>
      <w:r w:rsidR="006B502C" w:rsidRPr="009E2955">
        <w:rPr>
          <w:rFonts w:asciiTheme="minorHAnsi" w:hAnsiTheme="minorHAnsi" w:cstheme="minorHAnsi"/>
          <w:sz w:val="21"/>
          <w:szCs w:val="21"/>
        </w:rPr>
        <w:t>Appendix C provides details about how Mental Health Online collected these data and their analysis indicating this sample’s representativeness of the wider group of consumers (N=2,318) of the Therapist Assist program.</w:t>
      </w:r>
    </w:p>
    <w:p w14:paraId="5A235B36" w14:textId="02DCA8A6" w:rsidR="008817A5" w:rsidRPr="003D1CA1" w:rsidRDefault="006B502C" w:rsidP="00621BF4">
      <w:pPr>
        <w:spacing w:after="240"/>
        <w:rPr>
          <w:rFonts w:asciiTheme="minorHAnsi" w:hAnsiTheme="minorHAnsi" w:cstheme="minorHAnsi"/>
          <w:sz w:val="21"/>
          <w:szCs w:val="21"/>
        </w:rPr>
      </w:pPr>
      <w:r>
        <w:rPr>
          <w:rFonts w:asciiTheme="minorHAnsi" w:hAnsiTheme="minorHAnsi" w:cstheme="minorHAnsi"/>
          <w:sz w:val="21"/>
          <w:szCs w:val="21"/>
        </w:rPr>
        <w:t xml:space="preserve">Table 14 also </w:t>
      </w:r>
      <w:r w:rsidR="00E40580">
        <w:rPr>
          <w:rFonts w:asciiTheme="minorHAnsi" w:hAnsiTheme="minorHAnsi" w:cstheme="minorHAnsi"/>
          <w:sz w:val="21"/>
          <w:szCs w:val="21"/>
        </w:rPr>
        <w:t xml:space="preserve">summarised treatment outcomes </w:t>
      </w:r>
      <w:r w:rsidR="00D51F50">
        <w:rPr>
          <w:rFonts w:asciiTheme="minorHAnsi" w:hAnsiTheme="minorHAnsi" w:cstheme="minorHAnsi"/>
          <w:sz w:val="21"/>
          <w:szCs w:val="21"/>
        </w:rPr>
        <w:t>extracted</w:t>
      </w:r>
      <w:r w:rsidR="003D66D0" w:rsidRPr="00C0670D">
        <w:rPr>
          <w:rFonts w:asciiTheme="minorHAnsi" w:hAnsiTheme="minorHAnsi" w:cstheme="minorHAnsi"/>
          <w:sz w:val="21"/>
          <w:szCs w:val="21"/>
        </w:rPr>
        <w:t xml:space="preserve"> from several </w:t>
      </w:r>
      <w:r w:rsidR="00E40580">
        <w:rPr>
          <w:rFonts w:asciiTheme="minorHAnsi" w:hAnsiTheme="minorHAnsi" w:cstheme="minorHAnsi"/>
          <w:sz w:val="21"/>
          <w:szCs w:val="21"/>
        </w:rPr>
        <w:t xml:space="preserve">selected </w:t>
      </w:r>
      <w:r w:rsidR="003D66D0" w:rsidRPr="00C0670D">
        <w:rPr>
          <w:rFonts w:asciiTheme="minorHAnsi" w:hAnsiTheme="minorHAnsi" w:cstheme="minorHAnsi"/>
          <w:sz w:val="21"/>
          <w:szCs w:val="21"/>
        </w:rPr>
        <w:t>peer-reviewed publications of program trials before their implementation</w:t>
      </w:r>
      <w:r w:rsidR="009E2955">
        <w:rPr>
          <w:rFonts w:asciiTheme="minorHAnsi" w:hAnsiTheme="minorHAnsi" w:cstheme="minorHAnsi"/>
          <w:sz w:val="21"/>
          <w:szCs w:val="21"/>
        </w:rPr>
        <w:t xml:space="preserve"> by Mental Health Online</w:t>
      </w:r>
      <w:r w:rsidR="003D66D0" w:rsidRPr="00C0670D">
        <w:rPr>
          <w:rFonts w:asciiTheme="minorHAnsi" w:hAnsiTheme="minorHAnsi" w:cstheme="minorHAnsi"/>
          <w:sz w:val="21"/>
          <w:szCs w:val="21"/>
        </w:rPr>
        <w:t>.</w:t>
      </w:r>
      <w:r w:rsidR="00B81CB1">
        <w:rPr>
          <w:rFonts w:asciiTheme="minorHAnsi" w:hAnsiTheme="minorHAnsi" w:cstheme="minorHAnsi"/>
          <w:sz w:val="21"/>
          <w:szCs w:val="21"/>
        </w:rPr>
        <w:fldChar w:fldCharType="begin">
          <w:fldData xml:space="preserve">PEVuZE5vdGU+PENpdGU+PEF1dGhvcj5LeXJpb3M8L0F1dGhvcj48WWVhcj4yMDE4PC9ZZWFyPjxS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=
</w:fldData>
        </w:fldChar>
      </w:r>
      <w:r w:rsidR="004469A2">
        <w:rPr>
          <w:rFonts w:asciiTheme="minorHAnsi" w:hAnsiTheme="minorHAnsi" w:cstheme="minorHAnsi"/>
          <w:sz w:val="21"/>
          <w:szCs w:val="21"/>
        </w:rPr>
        <w:instrText xml:space="preserve"> ADDIN EN.CITE </w:instrText>
      </w:r>
      <w:r w:rsidR="004469A2">
        <w:rPr>
          <w:rFonts w:asciiTheme="minorHAnsi" w:hAnsiTheme="minorHAnsi" w:cstheme="minorHAnsi"/>
          <w:sz w:val="21"/>
          <w:szCs w:val="21"/>
        </w:rPr>
        <w:fldChar w:fldCharType="begin">
          <w:fldData xml:space="preserve">PEVuZE5vdGU+PENpdGU+PEF1dGhvcj5LeXJpb3M8L0F1dGhvcj48WWVhcj4yMDE4PC9ZZWFyPjxS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=
</w:fldData>
        </w:fldChar>
      </w:r>
      <w:r w:rsidR="004469A2">
        <w:rPr>
          <w:rFonts w:asciiTheme="minorHAnsi" w:hAnsiTheme="minorHAnsi" w:cstheme="minorHAnsi"/>
          <w:sz w:val="21"/>
          <w:szCs w:val="21"/>
        </w:rPr>
        <w:instrText xml:space="preserve"> ADDIN EN.CITE.DATA </w:instrText>
      </w:r>
      <w:r w:rsidR="004469A2">
        <w:rPr>
          <w:rFonts w:asciiTheme="minorHAnsi" w:hAnsiTheme="minorHAnsi" w:cstheme="minorHAnsi"/>
          <w:sz w:val="21"/>
          <w:szCs w:val="21"/>
        </w:rPr>
      </w:r>
      <w:r w:rsidR="004469A2">
        <w:rPr>
          <w:rFonts w:asciiTheme="minorHAnsi" w:hAnsiTheme="minorHAnsi" w:cstheme="minorHAnsi"/>
          <w:sz w:val="21"/>
          <w:szCs w:val="21"/>
        </w:rPr>
        <w:fldChar w:fldCharType="end"/>
      </w:r>
      <w:r w:rsidR="00B81CB1">
        <w:rPr>
          <w:rFonts w:asciiTheme="minorHAnsi" w:hAnsiTheme="minorHAnsi" w:cstheme="minorHAnsi"/>
          <w:sz w:val="21"/>
          <w:szCs w:val="21"/>
        </w:rPr>
      </w:r>
      <w:r w:rsidR="00B81CB1">
        <w:rPr>
          <w:rFonts w:asciiTheme="minorHAnsi" w:hAnsiTheme="minorHAnsi" w:cstheme="minorHAnsi"/>
          <w:sz w:val="21"/>
          <w:szCs w:val="21"/>
        </w:rPr>
        <w:fldChar w:fldCharType="separate"/>
      </w:r>
      <w:r w:rsidR="004469A2" w:rsidRPr="004469A2">
        <w:rPr>
          <w:rFonts w:asciiTheme="minorHAnsi" w:hAnsiTheme="minorHAnsi" w:cstheme="minorHAnsi"/>
          <w:noProof/>
          <w:sz w:val="21"/>
          <w:szCs w:val="21"/>
          <w:vertAlign w:val="superscript"/>
        </w:rPr>
        <w:t>45, 46, 62</w:t>
      </w:r>
      <w:r w:rsidR="00B81CB1">
        <w:rPr>
          <w:rFonts w:asciiTheme="minorHAnsi" w:hAnsiTheme="minorHAnsi" w:cstheme="minorHAnsi"/>
          <w:sz w:val="21"/>
          <w:szCs w:val="21"/>
        </w:rPr>
        <w:fldChar w:fldCharType="end"/>
      </w:r>
    </w:p>
    <w:p w14:paraId="7095EFDE" w14:textId="77777777" w:rsidR="00E012AC" w:rsidRDefault="00E012AC" w:rsidP="003D1CA1">
      <w:pPr>
        <w:pStyle w:val="tableheading"/>
      </w:pPr>
      <w:r>
        <w:br w:type="page"/>
      </w:r>
    </w:p>
    <w:p w14:paraId="0676D9B6" w14:textId="648C2C8C" w:rsidR="00C57A24" w:rsidRPr="001C4A0F" w:rsidRDefault="00C57A24" w:rsidP="003D1CA1">
      <w:pPr>
        <w:pStyle w:val="tableheading"/>
        <w:rPr>
          <w:sz w:val="16"/>
          <w:szCs w:val="16"/>
        </w:rPr>
      </w:pPr>
      <w:r w:rsidRPr="00692831">
        <w:lastRenderedPageBreak/>
        <w:t xml:space="preserve">Table </w:t>
      </w:r>
      <w:r w:rsidR="00B15808">
        <w:t>1</w:t>
      </w:r>
      <w:r w:rsidR="00BF2DC2">
        <w:t>4</w:t>
      </w:r>
      <w:r w:rsidRPr="00692831">
        <w:t xml:space="preserve">. </w:t>
      </w:r>
      <w:r w:rsidR="007B3BFB">
        <w:t xml:space="preserve">Selected </w:t>
      </w:r>
      <w:r w:rsidRPr="00692831">
        <w:t xml:space="preserve">Mental Health Online outcome data </w:t>
      </w:r>
      <w:r w:rsidR="00B15B54" w:rsidRPr="00692831">
        <w:t>before and after (</w:t>
      </w:r>
      <w:r w:rsidR="0093449A" w:rsidRPr="00692831">
        <w:t>10-</w:t>
      </w:r>
      <w:r w:rsidR="00B15B54" w:rsidRPr="00692831">
        <w:t xml:space="preserve">12 weeks) treatment </w:t>
      </w:r>
      <w:r w:rsidRPr="00692831">
        <w:t>by support status</w:t>
      </w:r>
    </w:p>
    <w:tbl>
      <w:tblPr>
        <w:tblStyle w:val="TableGrid"/>
        <w:tblW w:w="5189" w:type="pct"/>
        <w:tblInd w:w="-147" w:type="dxa"/>
        <w:tblLook w:val="04A0" w:firstRow="1" w:lastRow="0" w:firstColumn="1" w:lastColumn="0" w:noHBand="0" w:noVBand="1"/>
        <w:tblCaption w:val="Table 14. Selected Mental Health Online outcome data before and after (10-12 weeks) treatment by support status"/>
        <w:tblDescription w:val="Table summarises treatment outcomes provided by Mental Health Online and extracted from several selected peer-reviewed publications of program trials before their implementation by Mental Health Online"/>
      </w:tblPr>
      <w:tblGrid>
        <w:gridCol w:w="1745"/>
        <w:gridCol w:w="1789"/>
        <w:gridCol w:w="846"/>
        <w:gridCol w:w="908"/>
        <w:gridCol w:w="861"/>
        <w:gridCol w:w="648"/>
        <w:gridCol w:w="730"/>
        <w:gridCol w:w="739"/>
        <w:gridCol w:w="1091"/>
      </w:tblGrid>
      <w:tr w:rsidR="003925BA" w:rsidRPr="00EC43D0" w14:paraId="0AE6F9F8" w14:textId="77777777" w:rsidTr="006B3660">
        <w:tc>
          <w:tcPr>
            <w:tcW w:w="933" w:type="pct"/>
            <w:shd w:val="clear" w:color="auto" w:fill="000000" w:themeFill="text1"/>
          </w:tcPr>
          <w:p w14:paraId="188AD424" w14:textId="2D71BF1E" w:rsidR="00C57A24" w:rsidRPr="00EC43D0" w:rsidRDefault="00735786" w:rsidP="00032990">
            <w:pPr>
              <w:ind w:right="37"/>
              <w:jc w:val="center"/>
              <w:rPr>
                <w:rFonts w:asciiTheme="minorHAnsi" w:hAnsiTheme="minorHAnsi" w:cstheme="minorHAnsi"/>
                <w:b/>
                <w:bCs/>
                <w:sz w:val="17"/>
                <w:szCs w:val="17"/>
              </w:rPr>
            </w:pPr>
            <w:r w:rsidRPr="00EC43D0">
              <w:rPr>
                <w:rFonts w:asciiTheme="minorHAnsi" w:hAnsiTheme="minorHAnsi" w:cstheme="minorHAnsi"/>
                <w:b/>
                <w:bCs/>
                <w:sz w:val="17"/>
                <w:szCs w:val="17"/>
              </w:rPr>
              <w:t>Treatment</w:t>
            </w:r>
          </w:p>
        </w:tc>
        <w:tc>
          <w:tcPr>
            <w:tcW w:w="956" w:type="pct"/>
            <w:shd w:val="clear" w:color="auto" w:fill="000000" w:themeFill="text1"/>
          </w:tcPr>
          <w:p w14:paraId="20F92553" w14:textId="77777777" w:rsidR="00C57A24" w:rsidRPr="00EC43D0" w:rsidRDefault="00C57A24" w:rsidP="00032990">
            <w:pPr>
              <w:jc w:val="center"/>
              <w:rPr>
                <w:rFonts w:asciiTheme="minorHAnsi" w:hAnsiTheme="minorHAnsi"/>
                <w:b/>
                <w:bCs/>
                <w:sz w:val="17"/>
                <w:szCs w:val="17"/>
              </w:rPr>
            </w:pPr>
            <w:r w:rsidRPr="00EC43D0">
              <w:rPr>
                <w:rFonts w:asciiTheme="minorHAnsi" w:hAnsiTheme="minorHAnsi"/>
                <w:b/>
                <w:bCs/>
                <w:sz w:val="17"/>
                <w:szCs w:val="17"/>
              </w:rPr>
              <w:t>Outcome measure</w:t>
            </w:r>
          </w:p>
        </w:tc>
        <w:tc>
          <w:tcPr>
            <w:tcW w:w="452" w:type="pct"/>
            <w:shd w:val="clear" w:color="auto" w:fill="000000" w:themeFill="text1"/>
          </w:tcPr>
          <w:p w14:paraId="11199621" w14:textId="77777777" w:rsidR="00C57A24" w:rsidRPr="00EC43D0" w:rsidRDefault="00C57A24" w:rsidP="00032990">
            <w:pPr>
              <w:jc w:val="center"/>
              <w:rPr>
                <w:rFonts w:asciiTheme="minorHAnsi" w:hAnsiTheme="minorHAnsi"/>
                <w:b/>
                <w:bCs/>
                <w:sz w:val="17"/>
                <w:szCs w:val="17"/>
              </w:rPr>
            </w:pPr>
            <w:r w:rsidRPr="00EC43D0">
              <w:rPr>
                <w:rFonts w:asciiTheme="minorHAnsi" w:hAnsiTheme="minorHAnsi"/>
                <w:b/>
                <w:bCs/>
                <w:sz w:val="17"/>
                <w:szCs w:val="17"/>
              </w:rPr>
              <w:t>Baseline N</w:t>
            </w:r>
          </w:p>
        </w:tc>
        <w:tc>
          <w:tcPr>
            <w:tcW w:w="485" w:type="pct"/>
            <w:shd w:val="clear" w:color="auto" w:fill="000000" w:themeFill="text1"/>
          </w:tcPr>
          <w:p w14:paraId="1DA13393" w14:textId="77777777" w:rsidR="00C57A24" w:rsidRPr="00EC43D0" w:rsidRDefault="00C57A24" w:rsidP="00032990">
            <w:pPr>
              <w:jc w:val="center"/>
              <w:rPr>
                <w:rFonts w:asciiTheme="minorHAnsi" w:hAnsiTheme="minorHAnsi"/>
                <w:b/>
                <w:bCs/>
                <w:sz w:val="17"/>
                <w:szCs w:val="17"/>
              </w:rPr>
            </w:pPr>
            <w:r w:rsidRPr="00EC43D0">
              <w:rPr>
                <w:rFonts w:asciiTheme="minorHAnsi" w:hAnsiTheme="minorHAnsi"/>
                <w:b/>
                <w:bCs/>
                <w:sz w:val="17"/>
                <w:szCs w:val="17"/>
              </w:rPr>
              <w:t>Baseline Mean</w:t>
            </w:r>
          </w:p>
        </w:tc>
        <w:tc>
          <w:tcPr>
            <w:tcW w:w="460" w:type="pct"/>
            <w:shd w:val="clear" w:color="auto" w:fill="000000" w:themeFill="text1"/>
          </w:tcPr>
          <w:p w14:paraId="4C446219" w14:textId="77777777" w:rsidR="00C57A24" w:rsidRPr="00EC43D0" w:rsidRDefault="00C57A24" w:rsidP="00032990">
            <w:pPr>
              <w:jc w:val="center"/>
              <w:rPr>
                <w:rFonts w:asciiTheme="minorHAnsi" w:hAnsiTheme="minorHAnsi"/>
                <w:b/>
                <w:bCs/>
                <w:sz w:val="17"/>
                <w:szCs w:val="17"/>
              </w:rPr>
            </w:pPr>
            <w:r w:rsidRPr="00EC43D0">
              <w:rPr>
                <w:rFonts w:asciiTheme="minorHAnsi" w:hAnsiTheme="minorHAnsi"/>
                <w:b/>
                <w:bCs/>
                <w:sz w:val="17"/>
                <w:szCs w:val="17"/>
              </w:rPr>
              <w:t>Baseline SD</w:t>
            </w:r>
          </w:p>
        </w:tc>
        <w:tc>
          <w:tcPr>
            <w:tcW w:w="346" w:type="pct"/>
            <w:shd w:val="clear" w:color="auto" w:fill="000000" w:themeFill="text1"/>
          </w:tcPr>
          <w:p w14:paraId="34E3AE34" w14:textId="77777777" w:rsidR="00B15B54" w:rsidRPr="00EC43D0" w:rsidRDefault="00B15B54" w:rsidP="00032990">
            <w:pPr>
              <w:jc w:val="center"/>
              <w:rPr>
                <w:rFonts w:asciiTheme="minorHAnsi" w:hAnsiTheme="minorHAnsi"/>
                <w:b/>
                <w:bCs/>
                <w:sz w:val="17"/>
                <w:szCs w:val="17"/>
              </w:rPr>
            </w:pPr>
            <w:r w:rsidRPr="00EC43D0">
              <w:rPr>
                <w:rFonts w:asciiTheme="minorHAnsi" w:hAnsiTheme="minorHAnsi"/>
                <w:b/>
                <w:bCs/>
                <w:sz w:val="17"/>
                <w:szCs w:val="17"/>
              </w:rPr>
              <w:t>12-week</w:t>
            </w:r>
          </w:p>
          <w:p w14:paraId="76742ECC" w14:textId="3EBEB2F1" w:rsidR="00C57A24" w:rsidRPr="00EC43D0" w:rsidRDefault="00C57A24" w:rsidP="00032990">
            <w:pPr>
              <w:jc w:val="center"/>
              <w:rPr>
                <w:rFonts w:asciiTheme="minorHAnsi" w:hAnsiTheme="minorHAnsi"/>
                <w:b/>
                <w:bCs/>
                <w:sz w:val="17"/>
                <w:szCs w:val="17"/>
              </w:rPr>
            </w:pPr>
            <w:r w:rsidRPr="00EC43D0">
              <w:rPr>
                <w:rFonts w:asciiTheme="minorHAnsi" w:hAnsiTheme="minorHAnsi"/>
                <w:b/>
                <w:bCs/>
                <w:sz w:val="17"/>
                <w:szCs w:val="17"/>
              </w:rPr>
              <w:t>N</w:t>
            </w:r>
          </w:p>
        </w:tc>
        <w:tc>
          <w:tcPr>
            <w:tcW w:w="390" w:type="pct"/>
            <w:shd w:val="clear" w:color="auto" w:fill="000000" w:themeFill="text1"/>
          </w:tcPr>
          <w:p w14:paraId="62344084" w14:textId="77777777" w:rsidR="00C57A24" w:rsidRPr="00EC43D0" w:rsidRDefault="00C57A24" w:rsidP="00032990">
            <w:pPr>
              <w:jc w:val="center"/>
              <w:rPr>
                <w:rFonts w:asciiTheme="minorHAnsi" w:hAnsiTheme="minorHAnsi"/>
                <w:b/>
                <w:bCs/>
                <w:sz w:val="17"/>
                <w:szCs w:val="17"/>
              </w:rPr>
            </w:pPr>
            <w:r w:rsidRPr="00EC43D0">
              <w:rPr>
                <w:rFonts w:asciiTheme="minorHAnsi" w:hAnsiTheme="minorHAnsi"/>
                <w:b/>
                <w:bCs/>
                <w:sz w:val="17"/>
                <w:szCs w:val="17"/>
              </w:rPr>
              <w:t>12-week M</w:t>
            </w:r>
          </w:p>
        </w:tc>
        <w:tc>
          <w:tcPr>
            <w:tcW w:w="395" w:type="pct"/>
            <w:shd w:val="clear" w:color="auto" w:fill="000000" w:themeFill="text1"/>
          </w:tcPr>
          <w:p w14:paraId="099C0443" w14:textId="1EC971AB" w:rsidR="00C57A24" w:rsidRPr="00EC43D0" w:rsidRDefault="00C57A24" w:rsidP="00032990">
            <w:pPr>
              <w:jc w:val="center"/>
              <w:rPr>
                <w:rFonts w:asciiTheme="minorHAnsi" w:hAnsiTheme="minorHAnsi"/>
                <w:b/>
                <w:bCs/>
                <w:sz w:val="17"/>
                <w:szCs w:val="17"/>
              </w:rPr>
            </w:pPr>
            <w:r w:rsidRPr="00EC43D0">
              <w:rPr>
                <w:rFonts w:asciiTheme="minorHAnsi" w:hAnsiTheme="minorHAnsi"/>
                <w:b/>
                <w:bCs/>
                <w:sz w:val="17"/>
                <w:szCs w:val="17"/>
              </w:rPr>
              <w:t>12</w:t>
            </w:r>
            <w:r w:rsidR="00B15B54" w:rsidRPr="00EC43D0">
              <w:rPr>
                <w:rFonts w:asciiTheme="minorHAnsi" w:hAnsiTheme="minorHAnsi"/>
                <w:b/>
                <w:bCs/>
                <w:sz w:val="17"/>
                <w:szCs w:val="17"/>
              </w:rPr>
              <w:t>-</w:t>
            </w:r>
            <w:r w:rsidRPr="00EC43D0">
              <w:rPr>
                <w:rFonts w:asciiTheme="minorHAnsi" w:hAnsiTheme="minorHAnsi"/>
                <w:b/>
                <w:bCs/>
                <w:sz w:val="17"/>
                <w:szCs w:val="17"/>
              </w:rPr>
              <w:t>week SD</w:t>
            </w:r>
          </w:p>
        </w:tc>
        <w:tc>
          <w:tcPr>
            <w:tcW w:w="585" w:type="pct"/>
            <w:shd w:val="clear" w:color="auto" w:fill="000000" w:themeFill="text1"/>
          </w:tcPr>
          <w:p w14:paraId="13299F89" w14:textId="77777777" w:rsidR="00C57A24" w:rsidRDefault="00C57A24" w:rsidP="00032990">
            <w:pPr>
              <w:jc w:val="center"/>
              <w:rPr>
                <w:rFonts w:asciiTheme="minorHAnsi" w:hAnsiTheme="minorHAnsi"/>
                <w:b/>
                <w:bCs/>
                <w:sz w:val="17"/>
                <w:szCs w:val="17"/>
              </w:rPr>
            </w:pPr>
            <w:r w:rsidRPr="00EC43D0">
              <w:rPr>
                <w:rFonts w:asciiTheme="minorHAnsi" w:hAnsiTheme="minorHAnsi"/>
                <w:b/>
                <w:bCs/>
                <w:sz w:val="17"/>
                <w:szCs w:val="17"/>
              </w:rPr>
              <w:t>Effect size</w:t>
            </w:r>
          </w:p>
          <w:p w14:paraId="634DAFDE" w14:textId="77777777" w:rsidR="001664E2" w:rsidRDefault="003E0CF8" w:rsidP="00032990">
            <w:pPr>
              <w:jc w:val="center"/>
              <w:rPr>
                <w:rFonts w:asciiTheme="minorHAnsi" w:hAnsiTheme="minorHAnsi"/>
                <w:b/>
                <w:bCs/>
                <w:sz w:val="17"/>
                <w:szCs w:val="17"/>
              </w:rPr>
            </w:pPr>
            <w:r w:rsidRPr="003E0CF8">
              <w:rPr>
                <w:rFonts w:asciiTheme="minorHAnsi" w:hAnsiTheme="minorHAnsi"/>
                <w:b/>
                <w:bCs/>
                <w:sz w:val="17"/>
                <w:szCs w:val="17"/>
              </w:rPr>
              <w:t>(d)</w:t>
            </w:r>
            <w:r w:rsidR="00891550">
              <w:rPr>
                <w:rFonts w:asciiTheme="minorHAnsi" w:hAnsiTheme="minorHAnsi"/>
                <w:b/>
                <w:bCs/>
                <w:sz w:val="17"/>
                <w:szCs w:val="17"/>
              </w:rPr>
              <w:t xml:space="preserve"> and </w:t>
            </w:r>
          </w:p>
          <w:p w14:paraId="415C3EEE" w14:textId="5DE2DD39" w:rsidR="003E0CF8" w:rsidRPr="00EC43D0" w:rsidRDefault="00891550" w:rsidP="00032990">
            <w:pPr>
              <w:jc w:val="center"/>
              <w:rPr>
                <w:rFonts w:asciiTheme="minorHAnsi" w:hAnsiTheme="minorHAnsi"/>
                <w:b/>
                <w:bCs/>
                <w:sz w:val="17"/>
                <w:szCs w:val="17"/>
                <w:highlight w:val="yellow"/>
              </w:rPr>
            </w:pPr>
            <w:r>
              <w:rPr>
                <w:rFonts w:asciiTheme="minorHAnsi" w:hAnsiTheme="minorHAnsi"/>
                <w:b/>
                <w:bCs/>
                <w:sz w:val="17"/>
                <w:szCs w:val="17"/>
              </w:rPr>
              <w:t>95% CI</w:t>
            </w:r>
          </w:p>
        </w:tc>
      </w:tr>
      <w:tr w:rsidR="00490E55" w:rsidRPr="00EC43D0" w14:paraId="6EA848DB" w14:textId="77777777" w:rsidTr="006B3660">
        <w:tc>
          <w:tcPr>
            <w:tcW w:w="933" w:type="pct"/>
          </w:tcPr>
          <w:p w14:paraId="0ADA7865" w14:textId="48962FC4" w:rsidR="00C57A24" w:rsidRPr="00EC43D0" w:rsidRDefault="00C57A24" w:rsidP="00032990">
            <w:pPr>
              <w:pStyle w:val="ListParagraph"/>
              <w:numPr>
                <w:ilvl w:val="0"/>
                <w:numId w:val="6"/>
              </w:numPr>
              <w:ind w:left="316" w:right="37" w:hanging="316"/>
              <w:rPr>
                <w:sz w:val="17"/>
                <w:szCs w:val="17"/>
              </w:rPr>
            </w:pPr>
            <w:r w:rsidRPr="00EC43D0">
              <w:rPr>
                <w:sz w:val="17"/>
                <w:szCs w:val="17"/>
              </w:rPr>
              <w:t>Supported</w:t>
            </w:r>
            <w:r w:rsidR="00735786" w:rsidRPr="00EC43D0">
              <w:rPr>
                <w:sz w:val="17"/>
                <w:szCs w:val="17"/>
              </w:rPr>
              <w:t xml:space="preserve"> </w:t>
            </w:r>
            <w:proofErr w:type="spellStart"/>
            <w:r w:rsidR="00735786" w:rsidRPr="00EC43D0">
              <w:rPr>
                <w:sz w:val="17"/>
                <w:szCs w:val="17"/>
              </w:rPr>
              <w:t>iCBT</w:t>
            </w:r>
            <w:r w:rsidR="00F37B10" w:rsidRPr="00EC43D0">
              <w:rPr>
                <w:sz w:val="17"/>
                <w:szCs w:val="17"/>
                <w:vertAlign w:val="superscript"/>
              </w:rPr>
              <w:t>a</w:t>
            </w:r>
            <w:proofErr w:type="spellEnd"/>
          </w:p>
        </w:tc>
        <w:tc>
          <w:tcPr>
            <w:tcW w:w="956" w:type="pct"/>
          </w:tcPr>
          <w:p w14:paraId="7A49682B" w14:textId="73517A62" w:rsidR="00C57A24" w:rsidRPr="00B446DF" w:rsidRDefault="00C57A24" w:rsidP="00032990">
            <w:pPr>
              <w:jc w:val="center"/>
              <w:rPr>
                <w:rFonts w:asciiTheme="minorHAnsi" w:hAnsiTheme="minorHAnsi"/>
                <w:sz w:val="17"/>
                <w:szCs w:val="17"/>
              </w:rPr>
            </w:pPr>
            <w:r w:rsidRPr="00B446DF">
              <w:rPr>
                <w:rFonts w:asciiTheme="minorHAnsi" w:hAnsiTheme="minorHAnsi"/>
                <w:sz w:val="17"/>
                <w:szCs w:val="17"/>
              </w:rPr>
              <w:t>K6</w:t>
            </w:r>
          </w:p>
        </w:tc>
        <w:tc>
          <w:tcPr>
            <w:tcW w:w="452" w:type="pct"/>
          </w:tcPr>
          <w:p w14:paraId="6D2E43A3" w14:textId="415D3A29" w:rsidR="00C57A24" w:rsidRPr="00EC43D0" w:rsidRDefault="00C57A24" w:rsidP="00032990">
            <w:pPr>
              <w:jc w:val="center"/>
              <w:rPr>
                <w:rFonts w:asciiTheme="minorHAnsi" w:hAnsiTheme="minorHAnsi"/>
                <w:sz w:val="17"/>
                <w:szCs w:val="17"/>
              </w:rPr>
            </w:pPr>
            <w:r w:rsidRPr="00EC43D0">
              <w:rPr>
                <w:rFonts w:asciiTheme="minorHAnsi" w:hAnsiTheme="minorHAnsi"/>
                <w:sz w:val="17"/>
                <w:szCs w:val="17"/>
              </w:rPr>
              <w:t>25</w:t>
            </w:r>
          </w:p>
        </w:tc>
        <w:tc>
          <w:tcPr>
            <w:tcW w:w="485" w:type="pct"/>
          </w:tcPr>
          <w:p w14:paraId="22E5B489" w14:textId="77777777" w:rsidR="00C57A24" w:rsidRPr="00EC43D0" w:rsidRDefault="00C57A24" w:rsidP="00032990">
            <w:pPr>
              <w:jc w:val="center"/>
              <w:rPr>
                <w:rFonts w:asciiTheme="minorHAnsi" w:hAnsiTheme="minorHAnsi"/>
                <w:sz w:val="17"/>
                <w:szCs w:val="17"/>
              </w:rPr>
            </w:pPr>
            <w:r w:rsidRPr="00EC43D0">
              <w:rPr>
                <w:rFonts w:asciiTheme="minorHAnsi" w:hAnsiTheme="minorHAnsi"/>
                <w:sz w:val="17"/>
                <w:szCs w:val="17"/>
              </w:rPr>
              <w:t>18.96</w:t>
            </w:r>
          </w:p>
        </w:tc>
        <w:tc>
          <w:tcPr>
            <w:tcW w:w="460" w:type="pct"/>
          </w:tcPr>
          <w:p w14:paraId="614BAA09" w14:textId="77777777" w:rsidR="00C57A24" w:rsidRPr="00EC43D0" w:rsidRDefault="00C57A24" w:rsidP="00032990">
            <w:pPr>
              <w:jc w:val="center"/>
              <w:rPr>
                <w:rFonts w:asciiTheme="minorHAnsi" w:hAnsiTheme="minorHAnsi"/>
                <w:sz w:val="17"/>
                <w:szCs w:val="17"/>
              </w:rPr>
            </w:pPr>
            <w:r w:rsidRPr="00EC43D0">
              <w:rPr>
                <w:rFonts w:asciiTheme="minorHAnsi" w:hAnsiTheme="minorHAnsi"/>
                <w:sz w:val="17"/>
                <w:szCs w:val="17"/>
              </w:rPr>
              <w:t>5.52</w:t>
            </w:r>
          </w:p>
        </w:tc>
        <w:tc>
          <w:tcPr>
            <w:tcW w:w="346" w:type="pct"/>
          </w:tcPr>
          <w:p w14:paraId="2EC6F2F0" w14:textId="77777777" w:rsidR="00C57A24" w:rsidRPr="00EC43D0" w:rsidRDefault="00C57A24" w:rsidP="00032990">
            <w:pPr>
              <w:jc w:val="center"/>
              <w:rPr>
                <w:rFonts w:asciiTheme="minorHAnsi" w:hAnsiTheme="minorHAnsi"/>
                <w:sz w:val="17"/>
                <w:szCs w:val="17"/>
              </w:rPr>
            </w:pPr>
            <w:r w:rsidRPr="00EC43D0">
              <w:rPr>
                <w:rFonts w:asciiTheme="minorHAnsi" w:hAnsiTheme="minorHAnsi"/>
                <w:sz w:val="17"/>
                <w:szCs w:val="17"/>
              </w:rPr>
              <w:t>25</w:t>
            </w:r>
          </w:p>
        </w:tc>
        <w:tc>
          <w:tcPr>
            <w:tcW w:w="390" w:type="pct"/>
          </w:tcPr>
          <w:p w14:paraId="2162A899" w14:textId="77777777" w:rsidR="00C57A24" w:rsidRPr="00EC43D0" w:rsidRDefault="00C57A24" w:rsidP="00032990">
            <w:pPr>
              <w:jc w:val="center"/>
              <w:rPr>
                <w:rFonts w:asciiTheme="minorHAnsi" w:hAnsiTheme="minorHAnsi"/>
                <w:sz w:val="17"/>
                <w:szCs w:val="17"/>
              </w:rPr>
            </w:pPr>
            <w:r w:rsidRPr="00EC43D0">
              <w:rPr>
                <w:rFonts w:asciiTheme="minorHAnsi" w:hAnsiTheme="minorHAnsi"/>
                <w:sz w:val="17"/>
                <w:szCs w:val="17"/>
              </w:rPr>
              <w:t>14.88</w:t>
            </w:r>
          </w:p>
        </w:tc>
        <w:tc>
          <w:tcPr>
            <w:tcW w:w="395" w:type="pct"/>
          </w:tcPr>
          <w:p w14:paraId="60EAAD07" w14:textId="77777777" w:rsidR="00C57A24" w:rsidRPr="00EC43D0" w:rsidRDefault="00C57A24" w:rsidP="00032990">
            <w:pPr>
              <w:jc w:val="center"/>
              <w:rPr>
                <w:rFonts w:asciiTheme="minorHAnsi" w:hAnsiTheme="minorHAnsi"/>
                <w:sz w:val="17"/>
                <w:szCs w:val="17"/>
              </w:rPr>
            </w:pPr>
            <w:r w:rsidRPr="00EC43D0">
              <w:rPr>
                <w:rFonts w:asciiTheme="minorHAnsi" w:hAnsiTheme="minorHAnsi"/>
                <w:sz w:val="17"/>
                <w:szCs w:val="17"/>
              </w:rPr>
              <w:t>6.1</w:t>
            </w:r>
          </w:p>
        </w:tc>
        <w:tc>
          <w:tcPr>
            <w:tcW w:w="585" w:type="pct"/>
          </w:tcPr>
          <w:p w14:paraId="2BBB1F5F" w14:textId="77777777" w:rsidR="006A041B" w:rsidRPr="00EC43D0" w:rsidRDefault="00C57A24" w:rsidP="00032990">
            <w:pPr>
              <w:jc w:val="center"/>
              <w:rPr>
                <w:rFonts w:asciiTheme="minorHAnsi" w:hAnsiTheme="minorHAnsi"/>
                <w:sz w:val="17"/>
                <w:szCs w:val="17"/>
              </w:rPr>
            </w:pPr>
            <w:r w:rsidRPr="00EC43D0">
              <w:rPr>
                <w:rFonts w:asciiTheme="minorHAnsi" w:hAnsiTheme="minorHAnsi"/>
                <w:sz w:val="17"/>
                <w:szCs w:val="17"/>
              </w:rPr>
              <w:t>0.81</w:t>
            </w:r>
          </w:p>
          <w:p w14:paraId="25FCCF45" w14:textId="6C5D5519" w:rsidR="00C57A24" w:rsidRPr="00EC43D0" w:rsidRDefault="006A041B" w:rsidP="00032990">
            <w:pPr>
              <w:jc w:val="center"/>
              <w:rPr>
                <w:rFonts w:asciiTheme="minorHAnsi" w:hAnsiTheme="minorHAnsi"/>
                <w:sz w:val="17"/>
                <w:szCs w:val="17"/>
              </w:rPr>
            </w:pPr>
            <w:r w:rsidRPr="00EC43D0">
              <w:rPr>
                <w:rFonts w:asciiTheme="minorHAnsi" w:hAnsiTheme="minorHAnsi"/>
                <w:sz w:val="17"/>
                <w:szCs w:val="17"/>
              </w:rPr>
              <w:t>(</w:t>
            </w:r>
            <w:r w:rsidRPr="00EC43D0">
              <w:rPr>
                <w:rFonts w:asciiTheme="minorHAnsi" w:hAnsiTheme="minorHAnsi" w:cstheme="minorHAnsi"/>
                <w:sz w:val="17"/>
                <w:szCs w:val="17"/>
              </w:rPr>
              <w:t>0.35</w:t>
            </w:r>
            <w:r w:rsidR="00891550">
              <w:rPr>
                <w:rFonts w:asciiTheme="minorHAnsi" w:hAnsiTheme="minorHAnsi" w:cstheme="minorHAnsi"/>
                <w:sz w:val="17"/>
                <w:szCs w:val="17"/>
              </w:rPr>
              <w:t xml:space="preserve">, </w:t>
            </w:r>
            <w:r w:rsidRPr="00EC43D0">
              <w:rPr>
                <w:rFonts w:asciiTheme="minorHAnsi" w:hAnsiTheme="minorHAnsi" w:cstheme="minorHAnsi"/>
                <w:sz w:val="17"/>
                <w:szCs w:val="17"/>
              </w:rPr>
              <w:t>1.26)</w:t>
            </w:r>
          </w:p>
        </w:tc>
      </w:tr>
      <w:tr w:rsidR="00490E55" w:rsidRPr="00EC43D0" w14:paraId="1E826E2F" w14:textId="77777777" w:rsidTr="006B3660">
        <w:tc>
          <w:tcPr>
            <w:tcW w:w="933" w:type="pct"/>
          </w:tcPr>
          <w:p w14:paraId="48FFDBA4" w14:textId="7669F90D" w:rsidR="00C57A24" w:rsidRPr="00EC43D0" w:rsidRDefault="00C57A24" w:rsidP="00032990">
            <w:pPr>
              <w:pStyle w:val="ListParagraph"/>
              <w:numPr>
                <w:ilvl w:val="0"/>
                <w:numId w:val="6"/>
              </w:numPr>
              <w:ind w:left="316" w:right="37" w:hanging="316"/>
              <w:rPr>
                <w:sz w:val="17"/>
                <w:szCs w:val="17"/>
              </w:rPr>
            </w:pPr>
            <w:r w:rsidRPr="00EC43D0">
              <w:rPr>
                <w:sz w:val="17"/>
                <w:szCs w:val="17"/>
              </w:rPr>
              <w:t xml:space="preserve">Supported OCD </w:t>
            </w:r>
            <w:proofErr w:type="spellStart"/>
            <w:r w:rsidRPr="00EC43D0">
              <w:rPr>
                <w:sz w:val="17"/>
                <w:szCs w:val="17"/>
              </w:rPr>
              <w:t>iCBT</w:t>
            </w:r>
            <w:r w:rsidR="00F37B10" w:rsidRPr="00EC43D0">
              <w:rPr>
                <w:sz w:val="17"/>
                <w:szCs w:val="17"/>
                <w:vertAlign w:val="superscript"/>
              </w:rPr>
              <w:t>b</w:t>
            </w:r>
            <w:proofErr w:type="spellEnd"/>
            <w:r w:rsidRPr="00EC43D0">
              <w:rPr>
                <w:sz w:val="17"/>
                <w:szCs w:val="17"/>
              </w:rPr>
              <w:t xml:space="preserve"> </w:t>
            </w:r>
          </w:p>
        </w:tc>
        <w:tc>
          <w:tcPr>
            <w:tcW w:w="956" w:type="pct"/>
          </w:tcPr>
          <w:p w14:paraId="1A99F394" w14:textId="77777777" w:rsidR="00C57A24" w:rsidRPr="00B446DF" w:rsidRDefault="00C57A24" w:rsidP="00032990">
            <w:pPr>
              <w:jc w:val="center"/>
              <w:rPr>
                <w:rFonts w:asciiTheme="minorHAnsi" w:hAnsiTheme="minorHAnsi"/>
                <w:sz w:val="17"/>
                <w:szCs w:val="17"/>
              </w:rPr>
            </w:pPr>
            <w:r w:rsidRPr="00B446DF">
              <w:rPr>
                <w:rFonts w:asciiTheme="minorHAnsi" w:hAnsiTheme="minorHAnsi"/>
                <w:sz w:val="17"/>
                <w:szCs w:val="17"/>
              </w:rPr>
              <w:t>YBOCS</w:t>
            </w:r>
          </w:p>
        </w:tc>
        <w:tc>
          <w:tcPr>
            <w:tcW w:w="452" w:type="pct"/>
          </w:tcPr>
          <w:p w14:paraId="1F2235CE" w14:textId="77777777" w:rsidR="00C57A24" w:rsidRPr="00EC43D0" w:rsidRDefault="00C57A24" w:rsidP="00032990">
            <w:pPr>
              <w:jc w:val="center"/>
              <w:rPr>
                <w:rFonts w:asciiTheme="minorHAnsi" w:hAnsiTheme="minorHAnsi"/>
                <w:color w:val="000000"/>
                <w:sz w:val="17"/>
                <w:szCs w:val="17"/>
              </w:rPr>
            </w:pPr>
            <w:r w:rsidRPr="00EC43D0">
              <w:rPr>
                <w:rFonts w:asciiTheme="minorHAnsi" w:hAnsiTheme="minorHAnsi"/>
                <w:color w:val="000000"/>
                <w:sz w:val="17"/>
                <w:szCs w:val="17"/>
              </w:rPr>
              <w:t>89</w:t>
            </w:r>
          </w:p>
        </w:tc>
        <w:tc>
          <w:tcPr>
            <w:tcW w:w="485" w:type="pct"/>
          </w:tcPr>
          <w:p w14:paraId="7E76ECC9" w14:textId="77777777" w:rsidR="00C57A24" w:rsidRPr="00EC43D0" w:rsidRDefault="00C57A24" w:rsidP="00032990">
            <w:pPr>
              <w:jc w:val="center"/>
              <w:rPr>
                <w:rFonts w:asciiTheme="minorHAnsi" w:hAnsiTheme="minorHAnsi"/>
                <w:color w:val="000000"/>
                <w:sz w:val="17"/>
                <w:szCs w:val="17"/>
              </w:rPr>
            </w:pPr>
            <w:r w:rsidRPr="00EC43D0">
              <w:rPr>
                <w:rFonts w:asciiTheme="minorHAnsi" w:hAnsiTheme="minorHAnsi"/>
                <w:color w:val="000000"/>
                <w:sz w:val="17"/>
                <w:szCs w:val="17"/>
              </w:rPr>
              <w:t>22.44</w:t>
            </w:r>
          </w:p>
        </w:tc>
        <w:tc>
          <w:tcPr>
            <w:tcW w:w="460" w:type="pct"/>
          </w:tcPr>
          <w:p w14:paraId="3366C9C4" w14:textId="77777777" w:rsidR="00C57A24" w:rsidRPr="00EC43D0" w:rsidRDefault="00C57A24" w:rsidP="00032990">
            <w:pPr>
              <w:jc w:val="center"/>
              <w:rPr>
                <w:rFonts w:asciiTheme="minorHAnsi" w:hAnsiTheme="minorHAnsi"/>
                <w:color w:val="000000"/>
                <w:sz w:val="17"/>
                <w:szCs w:val="17"/>
              </w:rPr>
            </w:pPr>
            <w:r w:rsidRPr="00EC43D0">
              <w:rPr>
                <w:rFonts w:asciiTheme="minorHAnsi" w:hAnsiTheme="minorHAnsi"/>
                <w:color w:val="000000"/>
                <w:sz w:val="17"/>
                <w:szCs w:val="17"/>
              </w:rPr>
              <w:t>5.36</w:t>
            </w:r>
          </w:p>
        </w:tc>
        <w:tc>
          <w:tcPr>
            <w:tcW w:w="346" w:type="pct"/>
          </w:tcPr>
          <w:p w14:paraId="095729AA" w14:textId="77777777" w:rsidR="00C57A24" w:rsidRPr="00EC43D0" w:rsidRDefault="00C57A24" w:rsidP="00032990">
            <w:pPr>
              <w:jc w:val="center"/>
              <w:rPr>
                <w:rFonts w:asciiTheme="minorHAnsi" w:hAnsiTheme="minorHAnsi"/>
                <w:color w:val="000000"/>
                <w:sz w:val="17"/>
                <w:szCs w:val="17"/>
              </w:rPr>
            </w:pPr>
            <w:r w:rsidRPr="00EC43D0">
              <w:rPr>
                <w:rFonts w:asciiTheme="minorHAnsi" w:hAnsiTheme="minorHAnsi"/>
                <w:color w:val="000000"/>
                <w:sz w:val="17"/>
                <w:szCs w:val="17"/>
              </w:rPr>
              <w:t>89</w:t>
            </w:r>
          </w:p>
        </w:tc>
        <w:tc>
          <w:tcPr>
            <w:tcW w:w="390" w:type="pct"/>
          </w:tcPr>
          <w:p w14:paraId="6FE620D8" w14:textId="77777777" w:rsidR="00C57A24" w:rsidRPr="00EC43D0" w:rsidRDefault="00C57A24" w:rsidP="00032990">
            <w:pPr>
              <w:jc w:val="center"/>
              <w:rPr>
                <w:rFonts w:asciiTheme="minorHAnsi" w:hAnsiTheme="minorHAnsi"/>
                <w:color w:val="000000"/>
                <w:sz w:val="17"/>
                <w:szCs w:val="17"/>
              </w:rPr>
            </w:pPr>
            <w:r w:rsidRPr="00EC43D0">
              <w:rPr>
                <w:rFonts w:asciiTheme="minorHAnsi" w:hAnsiTheme="minorHAnsi"/>
                <w:color w:val="000000"/>
                <w:sz w:val="17"/>
                <w:szCs w:val="17"/>
              </w:rPr>
              <w:t>15.86</w:t>
            </w:r>
          </w:p>
        </w:tc>
        <w:tc>
          <w:tcPr>
            <w:tcW w:w="395" w:type="pct"/>
          </w:tcPr>
          <w:p w14:paraId="6A86E03F" w14:textId="77777777" w:rsidR="00C57A24" w:rsidRPr="00EC43D0" w:rsidRDefault="00C57A24" w:rsidP="00032990">
            <w:pPr>
              <w:jc w:val="center"/>
              <w:rPr>
                <w:rFonts w:asciiTheme="minorHAnsi" w:hAnsiTheme="minorHAnsi"/>
                <w:color w:val="000000"/>
                <w:sz w:val="17"/>
                <w:szCs w:val="17"/>
              </w:rPr>
            </w:pPr>
            <w:r w:rsidRPr="00EC43D0">
              <w:rPr>
                <w:rFonts w:asciiTheme="minorHAnsi" w:hAnsiTheme="minorHAnsi"/>
                <w:color w:val="000000"/>
                <w:sz w:val="17"/>
                <w:szCs w:val="17"/>
              </w:rPr>
              <w:t>5.65</w:t>
            </w:r>
          </w:p>
        </w:tc>
        <w:tc>
          <w:tcPr>
            <w:tcW w:w="585" w:type="pct"/>
          </w:tcPr>
          <w:p w14:paraId="1471B39C" w14:textId="69041D3F" w:rsidR="001664E2" w:rsidRDefault="00C57A24" w:rsidP="00032990">
            <w:pPr>
              <w:jc w:val="center"/>
              <w:rPr>
                <w:rFonts w:asciiTheme="minorHAnsi" w:hAnsiTheme="minorHAnsi"/>
                <w:color w:val="000000"/>
                <w:sz w:val="17"/>
                <w:szCs w:val="17"/>
              </w:rPr>
            </w:pPr>
            <w:r w:rsidRPr="00EC43D0">
              <w:rPr>
                <w:rFonts w:asciiTheme="minorHAnsi" w:hAnsiTheme="minorHAnsi"/>
                <w:color w:val="000000"/>
                <w:sz w:val="17"/>
                <w:szCs w:val="17"/>
              </w:rPr>
              <w:t>1.05</w:t>
            </w:r>
          </w:p>
          <w:p w14:paraId="5355D2BD" w14:textId="00388C79" w:rsidR="00C57A24" w:rsidRPr="00EC43D0" w:rsidRDefault="00C57A24" w:rsidP="00032990">
            <w:pPr>
              <w:jc w:val="center"/>
              <w:rPr>
                <w:rFonts w:asciiTheme="minorHAnsi" w:hAnsiTheme="minorHAnsi"/>
                <w:color w:val="000000"/>
                <w:sz w:val="17"/>
                <w:szCs w:val="17"/>
              </w:rPr>
            </w:pPr>
            <w:r w:rsidRPr="00EC43D0">
              <w:rPr>
                <w:rFonts w:asciiTheme="minorHAnsi" w:hAnsiTheme="minorHAnsi"/>
                <w:color w:val="000000"/>
                <w:sz w:val="17"/>
                <w:szCs w:val="17"/>
              </w:rPr>
              <w:t>(0.72</w:t>
            </w:r>
            <w:r w:rsidR="001664E2">
              <w:rPr>
                <w:rFonts w:asciiTheme="minorHAnsi" w:hAnsiTheme="minorHAnsi"/>
                <w:color w:val="000000"/>
                <w:sz w:val="17"/>
                <w:szCs w:val="17"/>
              </w:rPr>
              <w:t xml:space="preserve">, </w:t>
            </w:r>
            <w:r w:rsidRPr="00EC43D0">
              <w:rPr>
                <w:rFonts w:asciiTheme="minorHAnsi" w:hAnsiTheme="minorHAnsi"/>
                <w:color w:val="000000"/>
                <w:sz w:val="17"/>
                <w:szCs w:val="17"/>
              </w:rPr>
              <w:t>1.37)</w:t>
            </w:r>
          </w:p>
        </w:tc>
      </w:tr>
      <w:tr w:rsidR="00490E55" w:rsidRPr="00EC43D0" w14:paraId="135DCDA8" w14:textId="77777777" w:rsidTr="006B3660">
        <w:tc>
          <w:tcPr>
            <w:tcW w:w="933" w:type="pct"/>
          </w:tcPr>
          <w:p w14:paraId="0CC9CC88" w14:textId="4E482547" w:rsidR="00C57A24" w:rsidRPr="00EC43D0" w:rsidRDefault="00C57A24" w:rsidP="00032990">
            <w:pPr>
              <w:pStyle w:val="ListParagraph"/>
              <w:numPr>
                <w:ilvl w:val="0"/>
                <w:numId w:val="6"/>
              </w:numPr>
              <w:ind w:left="316" w:right="37" w:hanging="316"/>
              <w:rPr>
                <w:sz w:val="17"/>
                <w:szCs w:val="17"/>
              </w:rPr>
            </w:pPr>
            <w:r w:rsidRPr="00EC43D0">
              <w:rPr>
                <w:sz w:val="17"/>
                <w:szCs w:val="17"/>
              </w:rPr>
              <w:t xml:space="preserve">Supported PTSD </w:t>
            </w:r>
            <w:proofErr w:type="spellStart"/>
            <w:r w:rsidRPr="00EC43D0">
              <w:rPr>
                <w:sz w:val="17"/>
                <w:szCs w:val="17"/>
              </w:rPr>
              <w:t>Online</w:t>
            </w:r>
            <w:r w:rsidR="00C8344D" w:rsidRPr="00EC43D0">
              <w:rPr>
                <w:sz w:val="17"/>
                <w:szCs w:val="17"/>
                <w:vertAlign w:val="superscript"/>
              </w:rPr>
              <w:t>c</w:t>
            </w:r>
            <w:proofErr w:type="spellEnd"/>
            <w:r w:rsidRPr="00EC43D0">
              <w:rPr>
                <w:sz w:val="17"/>
                <w:szCs w:val="17"/>
              </w:rPr>
              <w:t xml:space="preserve"> </w:t>
            </w:r>
          </w:p>
        </w:tc>
        <w:tc>
          <w:tcPr>
            <w:tcW w:w="956" w:type="pct"/>
          </w:tcPr>
          <w:p w14:paraId="34B82D83" w14:textId="77777777" w:rsidR="00C57A24" w:rsidRPr="00B446DF" w:rsidRDefault="00C57A24" w:rsidP="00032990">
            <w:pPr>
              <w:jc w:val="center"/>
              <w:rPr>
                <w:rFonts w:asciiTheme="minorHAnsi" w:hAnsiTheme="minorHAnsi"/>
                <w:sz w:val="17"/>
                <w:szCs w:val="17"/>
              </w:rPr>
            </w:pPr>
            <w:r w:rsidRPr="00B446DF">
              <w:rPr>
                <w:rFonts w:asciiTheme="minorHAnsi" w:hAnsiTheme="minorHAnsi"/>
                <w:sz w:val="17"/>
                <w:szCs w:val="17"/>
              </w:rPr>
              <w:t>PTSD clinician severity rating</w:t>
            </w:r>
          </w:p>
        </w:tc>
        <w:tc>
          <w:tcPr>
            <w:tcW w:w="452" w:type="pct"/>
          </w:tcPr>
          <w:p w14:paraId="18B6C599" w14:textId="77777777" w:rsidR="00C57A24" w:rsidRPr="00EC43D0" w:rsidRDefault="00C57A24" w:rsidP="00032990">
            <w:pPr>
              <w:jc w:val="center"/>
              <w:rPr>
                <w:rFonts w:asciiTheme="minorHAnsi" w:hAnsiTheme="minorHAnsi"/>
                <w:color w:val="000000"/>
                <w:sz w:val="17"/>
                <w:szCs w:val="17"/>
              </w:rPr>
            </w:pPr>
            <w:r w:rsidRPr="00EC43D0">
              <w:rPr>
                <w:rFonts w:ascii="Calibri" w:hAnsi="Calibri" w:cs="Calibri"/>
                <w:color w:val="000000"/>
                <w:sz w:val="17"/>
                <w:szCs w:val="17"/>
              </w:rPr>
              <w:t>22</w:t>
            </w:r>
          </w:p>
        </w:tc>
        <w:tc>
          <w:tcPr>
            <w:tcW w:w="485" w:type="pct"/>
          </w:tcPr>
          <w:p w14:paraId="36C72B3D" w14:textId="77777777" w:rsidR="00C57A24" w:rsidRPr="00EC43D0" w:rsidRDefault="00C57A24" w:rsidP="00032990">
            <w:pPr>
              <w:jc w:val="center"/>
              <w:rPr>
                <w:rFonts w:asciiTheme="minorHAnsi" w:hAnsiTheme="minorHAnsi"/>
                <w:color w:val="000000"/>
                <w:sz w:val="17"/>
                <w:szCs w:val="17"/>
              </w:rPr>
            </w:pPr>
            <w:r w:rsidRPr="00EC43D0">
              <w:rPr>
                <w:rFonts w:ascii="Calibri" w:hAnsi="Calibri" w:cs="Calibri"/>
                <w:color w:val="000000"/>
                <w:sz w:val="17"/>
                <w:szCs w:val="17"/>
              </w:rPr>
              <w:t>5.73</w:t>
            </w:r>
          </w:p>
        </w:tc>
        <w:tc>
          <w:tcPr>
            <w:tcW w:w="460" w:type="pct"/>
          </w:tcPr>
          <w:p w14:paraId="11D2A6E5" w14:textId="77777777" w:rsidR="00C57A24" w:rsidRPr="00EC43D0" w:rsidRDefault="00C57A24" w:rsidP="00032990">
            <w:pPr>
              <w:jc w:val="center"/>
              <w:rPr>
                <w:rFonts w:asciiTheme="minorHAnsi" w:hAnsiTheme="minorHAnsi"/>
                <w:color w:val="000000"/>
                <w:sz w:val="17"/>
                <w:szCs w:val="17"/>
              </w:rPr>
            </w:pPr>
            <w:r w:rsidRPr="00EC43D0">
              <w:rPr>
                <w:rFonts w:ascii="Calibri" w:hAnsi="Calibri" w:cs="Calibri"/>
                <w:color w:val="000000"/>
                <w:sz w:val="17"/>
                <w:szCs w:val="17"/>
              </w:rPr>
              <w:t>1.12</w:t>
            </w:r>
          </w:p>
        </w:tc>
        <w:tc>
          <w:tcPr>
            <w:tcW w:w="346" w:type="pct"/>
          </w:tcPr>
          <w:p w14:paraId="59594999" w14:textId="7FBDA003" w:rsidR="00C57A24" w:rsidRPr="00EC43D0" w:rsidRDefault="00C57A24" w:rsidP="00032990">
            <w:pPr>
              <w:jc w:val="center"/>
              <w:rPr>
                <w:rFonts w:asciiTheme="minorHAnsi" w:hAnsiTheme="minorHAnsi"/>
                <w:color w:val="000000"/>
                <w:sz w:val="17"/>
                <w:szCs w:val="17"/>
              </w:rPr>
            </w:pPr>
            <w:r w:rsidRPr="00EC43D0">
              <w:rPr>
                <w:rFonts w:ascii="Calibri" w:hAnsi="Calibri" w:cs="Calibri"/>
                <w:color w:val="000000"/>
                <w:sz w:val="17"/>
                <w:szCs w:val="17"/>
              </w:rPr>
              <w:t>22</w:t>
            </w:r>
            <w:r w:rsidR="004D6321" w:rsidRPr="00EC43D0">
              <w:rPr>
                <w:rFonts w:ascii="Calibri" w:hAnsi="Calibri" w:cs="Calibri"/>
                <w:color w:val="000000"/>
                <w:sz w:val="17"/>
                <w:szCs w:val="17"/>
                <w:vertAlign w:val="superscript"/>
              </w:rPr>
              <w:t>c</w:t>
            </w:r>
          </w:p>
        </w:tc>
        <w:tc>
          <w:tcPr>
            <w:tcW w:w="390" w:type="pct"/>
          </w:tcPr>
          <w:p w14:paraId="51696B71" w14:textId="28B0832F" w:rsidR="00C57A24" w:rsidRPr="00EC43D0" w:rsidRDefault="00C57A24" w:rsidP="00032990">
            <w:pPr>
              <w:jc w:val="center"/>
              <w:rPr>
                <w:rFonts w:asciiTheme="minorHAnsi" w:hAnsiTheme="minorHAnsi"/>
                <w:color w:val="000000"/>
                <w:sz w:val="17"/>
                <w:szCs w:val="17"/>
              </w:rPr>
            </w:pPr>
            <w:r w:rsidRPr="00EC43D0">
              <w:rPr>
                <w:rFonts w:ascii="Calibri" w:hAnsi="Calibri" w:cs="Calibri"/>
                <w:color w:val="000000"/>
                <w:sz w:val="17"/>
                <w:szCs w:val="17"/>
              </w:rPr>
              <w:t>4.06</w:t>
            </w:r>
            <w:r w:rsidR="004D6321" w:rsidRPr="00EC43D0">
              <w:rPr>
                <w:rFonts w:ascii="Calibri" w:hAnsi="Calibri" w:cs="Calibri"/>
                <w:color w:val="000000"/>
                <w:sz w:val="17"/>
                <w:szCs w:val="17"/>
                <w:vertAlign w:val="superscript"/>
              </w:rPr>
              <w:t>c</w:t>
            </w:r>
          </w:p>
        </w:tc>
        <w:tc>
          <w:tcPr>
            <w:tcW w:w="395" w:type="pct"/>
          </w:tcPr>
          <w:p w14:paraId="544BA75D" w14:textId="16A571BA" w:rsidR="00C57A24" w:rsidRPr="00EC43D0" w:rsidRDefault="00C57A24" w:rsidP="00032990">
            <w:pPr>
              <w:jc w:val="center"/>
              <w:rPr>
                <w:rFonts w:asciiTheme="minorHAnsi" w:hAnsiTheme="minorHAnsi"/>
                <w:color w:val="000000"/>
                <w:sz w:val="17"/>
                <w:szCs w:val="17"/>
              </w:rPr>
            </w:pPr>
            <w:r w:rsidRPr="00EC43D0">
              <w:rPr>
                <w:rFonts w:ascii="Calibri" w:hAnsi="Calibri" w:cs="Calibri"/>
                <w:color w:val="000000"/>
                <w:sz w:val="17"/>
                <w:szCs w:val="17"/>
              </w:rPr>
              <w:t>2.01</w:t>
            </w:r>
            <w:r w:rsidR="004D6321" w:rsidRPr="00EC43D0">
              <w:rPr>
                <w:rFonts w:ascii="Calibri" w:hAnsi="Calibri" w:cs="Calibri"/>
                <w:color w:val="000000"/>
                <w:sz w:val="17"/>
                <w:szCs w:val="17"/>
                <w:vertAlign w:val="superscript"/>
              </w:rPr>
              <w:t>c</w:t>
            </w:r>
          </w:p>
        </w:tc>
        <w:tc>
          <w:tcPr>
            <w:tcW w:w="585" w:type="pct"/>
          </w:tcPr>
          <w:p w14:paraId="5ABC3232" w14:textId="77777777" w:rsidR="001664E2" w:rsidRPr="00E1140D" w:rsidRDefault="001664E2" w:rsidP="00032990">
            <w:pPr>
              <w:jc w:val="center"/>
              <w:rPr>
                <w:rFonts w:ascii="Calibri" w:hAnsi="Calibri" w:cs="Calibri"/>
                <w:color w:val="000000"/>
                <w:sz w:val="17"/>
                <w:szCs w:val="17"/>
              </w:rPr>
            </w:pPr>
            <w:r w:rsidRPr="00E1140D">
              <w:rPr>
                <w:rFonts w:ascii="Calibri" w:hAnsi="Calibri" w:cs="Calibri"/>
                <w:color w:val="000000"/>
                <w:sz w:val="17"/>
                <w:szCs w:val="17"/>
              </w:rPr>
              <w:t xml:space="preserve">1.68 </w:t>
            </w:r>
          </w:p>
          <w:p w14:paraId="75608867" w14:textId="27A0B13D" w:rsidR="001664E2" w:rsidRPr="00E1140D" w:rsidRDefault="001664E2" w:rsidP="00032990">
            <w:pPr>
              <w:jc w:val="center"/>
              <w:rPr>
                <w:rFonts w:asciiTheme="minorHAnsi" w:hAnsiTheme="minorHAnsi"/>
                <w:color w:val="000000"/>
                <w:sz w:val="17"/>
                <w:szCs w:val="17"/>
              </w:rPr>
            </w:pPr>
            <w:r w:rsidRPr="00E1140D">
              <w:rPr>
                <w:rFonts w:ascii="Calibri" w:hAnsi="Calibri" w:cs="Calibri"/>
                <w:color w:val="000000"/>
                <w:sz w:val="17"/>
                <w:szCs w:val="17"/>
              </w:rPr>
              <w:t>(0.79, 2.57)</w:t>
            </w:r>
          </w:p>
        </w:tc>
      </w:tr>
      <w:tr w:rsidR="00490E55" w:rsidRPr="00EC43D0" w14:paraId="5B22EE33" w14:textId="77777777" w:rsidTr="006B3660">
        <w:tc>
          <w:tcPr>
            <w:tcW w:w="933" w:type="pct"/>
          </w:tcPr>
          <w:p w14:paraId="10A771C9" w14:textId="40CAF2FA" w:rsidR="00C57A24" w:rsidRPr="00EC43D0" w:rsidRDefault="00C57A24" w:rsidP="00032990">
            <w:pPr>
              <w:pStyle w:val="ListParagraph"/>
              <w:numPr>
                <w:ilvl w:val="0"/>
                <w:numId w:val="6"/>
              </w:numPr>
              <w:ind w:left="316" w:right="37" w:hanging="316"/>
              <w:rPr>
                <w:sz w:val="17"/>
                <w:szCs w:val="17"/>
              </w:rPr>
            </w:pPr>
            <w:r w:rsidRPr="00EC43D0">
              <w:rPr>
                <w:sz w:val="17"/>
                <w:szCs w:val="17"/>
              </w:rPr>
              <w:t xml:space="preserve">Supported PTSD </w:t>
            </w:r>
            <w:proofErr w:type="spellStart"/>
            <w:r w:rsidRPr="00EC43D0">
              <w:rPr>
                <w:sz w:val="17"/>
                <w:szCs w:val="17"/>
              </w:rPr>
              <w:t>Online</w:t>
            </w:r>
            <w:r w:rsidR="00C8344D" w:rsidRPr="00EC43D0">
              <w:rPr>
                <w:sz w:val="17"/>
                <w:szCs w:val="17"/>
                <w:vertAlign w:val="superscript"/>
              </w:rPr>
              <w:t>c</w:t>
            </w:r>
            <w:proofErr w:type="spellEnd"/>
            <w:r w:rsidR="00C8344D" w:rsidRPr="00EC43D0">
              <w:rPr>
                <w:sz w:val="17"/>
                <w:szCs w:val="17"/>
                <w:vertAlign w:val="superscript"/>
              </w:rPr>
              <w:t xml:space="preserve"> </w:t>
            </w:r>
          </w:p>
        </w:tc>
        <w:tc>
          <w:tcPr>
            <w:tcW w:w="956" w:type="pct"/>
          </w:tcPr>
          <w:p w14:paraId="7A1DE819" w14:textId="685E12E5" w:rsidR="00220A78" w:rsidRPr="00B446DF" w:rsidRDefault="00C57A24" w:rsidP="00032990">
            <w:pPr>
              <w:jc w:val="center"/>
              <w:rPr>
                <w:rFonts w:ascii="Calibri" w:hAnsi="Calibri" w:cs="Calibri"/>
                <w:color w:val="000000"/>
                <w:sz w:val="17"/>
                <w:szCs w:val="17"/>
              </w:rPr>
            </w:pPr>
            <w:r w:rsidRPr="00B446DF">
              <w:rPr>
                <w:rFonts w:ascii="Calibri" w:hAnsi="Calibri" w:cs="Calibri"/>
                <w:color w:val="000000"/>
                <w:sz w:val="17"/>
                <w:szCs w:val="17"/>
              </w:rPr>
              <w:t>PTSD checklist</w:t>
            </w:r>
          </w:p>
          <w:p w14:paraId="02C4F800" w14:textId="39C5F392" w:rsidR="00C57A24" w:rsidRPr="00B446DF" w:rsidRDefault="00C57A24" w:rsidP="00032990">
            <w:pPr>
              <w:jc w:val="center"/>
              <w:rPr>
                <w:sz w:val="17"/>
                <w:szCs w:val="17"/>
              </w:rPr>
            </w:pPr>
            <w:r w:rsidRPr="00B446DF">
              <w:rPr>
                <w:rFonts w:ascii="Calibri" w:hAnsi="Calibri" w:cs="Calibri"/>
                <w:color w:val="000000"/>
                <w:sz w:val="17"/>
                <w:szCs w:val="17"/>
              </w:rPr>
              <w:t>(PCL-C)</w:t>
            </w:r>
          </w:p>
        </w:tc>
        <w:tc>
          <w:tcPr>
            <w:tcW w:w="452" w:type="pct"/>
          </w:tcPr>
          <w:p w14:paraId="596AD285" w14:textId="77777777" w:rsidR="00C57A24" w:rsidRPr="00EC43D0" w:rsidRDefault="00C57A24" w:rsidP="00032990">
            <w:pPr>
              <w:jc w:val="center"/>
              <w:rPr>
                <w:color w:val="000000"/>
                <w:sz w:val="17"/>
                <w:szCs w:val="17"/>
              </w:rPr>
            </w:pPr>
            <w:r w:rsidRPr="00EC43D0">
              <w:rPr>
                <w:rFonts w:ascii="Calibri" w:hAnsi="Calibri" w:cs="Calibri"/>
                <w:color w:val="000000"/>
                <w:sz w:val="17"/>
                <w:szCs w:val="17"/>
              </w:rPr>
              <w:t>21</w:t>
            </w:r>
          </w:p>
        </w:tc>
        <w:tc>
          <w:tcPr>
            <w:tcW w:w="485" w:type="pct"/>
          </w:tcPr>
          <w:p w14:paraId="721B0CD6" w14:textId="77777777" w:rsidR="00C57A24" w:rsidRPr="00EC43D0" w:rsidRDefault="00C57A24" w:rsidP="00032990">
            <w:pPr>
              <w:jc w:val="center"/>
              <w:rPr>
                <w:color w:val="000000"/>
                <w:sz w:val="17"/>
                <w:szCs w:val="17"/>
              </w:rPr>
            </w:pPr>
            <w:r w:rsidRPr="00EC43D0">
              <w:rPr>
                <w:rFonts w:ascii="Calibri" w:hAnsi="Calibri" w:cs="Calibri"/>
                <w:color w:val="000000"/>
                <w:sz w:val="17"/>
                <w:szCs w:val="17"/>
              </w:rPr>
              <w:t>54.38</w:t>
            </w:r>
          </w:p>
        </w:tc>
        <w:tc>
          <w:tcPr>
            <w:tcW w:w="460" w:type="pct"/>
          </w:tcPr>
          <w:p w14:paraId="12C85A64" w14:textId="77777777" w:rsidR="00C57A24" w:rsidRPr="00EC43D0" w:rsidRDefault="00C57A24" w:rsidP="00032990">
            <w:pPr>
              <w:jc w:val="center"/>
              <w:rPr>
                <w:color w:val="000000"/>
                <w:sz w:val="17"/>
                <w:szCs w:val="17"/>
              </w:rPr>
            </w:pPr>
            <w:r w:rsidRPr="00EC43D0">
              <w:rPr>
                <w:rFonts w:ascii="Calibri" w:hAnsi="Calibri" w:cs="Calibri"/>
                <w:color w:val="000000"/>
                <w:sz w:val="17"/>
                <w:szCs w:val="17"/>
              </w:rPr>
              <w:t>13.89</w:t>
            </w:r>
          </w:p>
        </w:tc>
        <w:tc>
          <w:tcPr>
            <w:tcW w:w="346" w:type="pct"/>
          </w:tcPr>
          <w:p w14:paraId="2B40707E" w14:textId="698ADB98" w:rsidR="00C57A24" w:rsidRPr="00EC43D0" w:rsidRDefault="00C57A24" w:rsidP="00032990">
            <w:pPr>
              <w:jc w:val="center"/>
              <w:rPr>
                <w:color w:val="000000"/>
                <w:sz w:val="17"/>
                <w:szCs w:val="17"/>
              </w:rPr>
            </w:pPr>
            <w:r w:rsidRPr="00EC43D0">
              <w:rPr>
                <w:rFonts w:ascii="Calibri" w:hAnsi="Calibri" w:cs="Calibri"/>
                <w:color w:val="000000"/>
                <w:sz w:val="17"/>
                <w:szCs w:val="17"/>
              </w:rPr>
              <w:t>21</w:t>
            </w:r>
            <w:r w:rsidR="004D6321" w:rsidRPr="00EC43D0">
              <w:rPr>
                <w:rFonts w:ascii="Calibri" w:hAnsi="Calibri" w:cs="Calibri"/>
                <w:color w:val="000000"/>
                <w:sz w:val="17"/>
                <w:szCs w:val="17"/>
                <w:vertAlign w:val="superscript"/>
              </w:rPr>
              <w:t>c</w:t>
            </w:r>
          </w:p>
        </w:tc>
        <w:tc>
          <w:tcPr>
            <w:tcW w:w="390" w:type="pct"/>
          </w:tcPr>
          <w:p w14:paraId="62285428" w14:textId="3A6C5879" w:rsidR="00C57A24" w:rsidRPr="00EC43D0" w:rsidRDefault="00C57A24" w:rsidP="00032990">
            <w:pPr>
              <w:jc w:val="center"/>
              <w:rPr>
                <w:color w:val="000000"/>
                <w:sz w:val="17"/>
                <w:szCs w:val="17"/>
              </w:rPr>
            </w:pPr>
            <w:r w:rsidRPr="00EC43D0">
              <w:rPr>
                <w:rFonts w:ascii="Calibri" w:hAnsi="Calibri" w:cs="Calibri"/>
                <w:color w:val="000000"/>
                <w:sz w:val="17"/>
                <w:szCs w:val="17"/>
              </w:rPr>
              <w:t>45.52</w:t>
            </w:r>
            <w:r w:rsidR="004D6321" w:rsidRPr="00EC43D0">
              <w:rPr>
                <w:rFonts w:ascii="Calibri" w:hAnsi="Calibri" w:cs="Calibri"/>
                <w:color w:val="000000"/>
                <w:sz w:val="17"/>
                <w:szCs w:val="17"/>
                <w:vertAlign w:val="superscript"/>
              </w:rPr>
              <w:t>c</w:t>
            </w:r>
          </w:p>
        </w:tc>
        <w:tc>
          <w:tcPr>
            <w:tcW w:w="395" w:type="pct"/>
          </w:tcPr>
          <w:p w14:paraId="40318030" w14:textId="6408A344" w:rsidR="00C57A24" w:rsidRPr="00EC43D0" w:rsidRDefault="00C57A24" w:rsidP="00032990">
            <w:pPr>
              <w:jc w:val="center"/>
              <w:rPr>
                <w:color w:val="000000"/>
                <w:sz w:val="17"/>
                <w:szCs w:val="17"/>
              </w:rPr>
            </w:pPr>
            <w:r w:rsidRPr="00EC43D0">
              <w:rPr>
                <w:rFonts w:ascii="Calibri" w:hAnsi="Calibri" w:cs="Calibri"/>
                <w:color w:val="000000"/>
                <w:sz w:val="17"/>
                <w:szCs w:val="17"/>
              </w:rPr>
              <w:t>15.64</w:t>
            </w:r>
            <w:r w:rsidR="004D6321" w:rsidRPr="00EC43D0">
              <w:rPr>
                <w:rFonts w:ascii="Calibri" w:hAnsi="Calibri" w:cs="Calibri"/>
                <w:color w:val="000000"/>
                <w:sz w:val="17"/>
                <w:szCs w:val="17"/>
                <w:vertAlign w:val="superscript"/>
              </w:rPr>
              <w:t>c</w:t>
            </w:r>
          </w:p>
        </w:tc>
        <w:tc>
          <w:tcPr>
            <w:tcW w:w="585" w:type="pct"/>
          </w:tcPr>
          <w:p w14:paraId="1AC8DCFE" w14:textId="77777777" w:rsidR="00AC4E4D" w:rsidRPr="00E1140D" w:rsidRDefault="00AC4E4D" w:rsidP="00032990">
            <w:pPr>
              <w:jc w:val="center"/>
              <w:rPr>
                <w:rFonts w:asciiTheme="minorHAnsi" w:hAnsiTheme="minorHAnsi" w:cstheme="minorHAnsi"/>
                <w:color w:val="000000"/>
                <w:sz w:val="17"/>
                <w:szCs w:val="17"/>
              </w:rPr>
            </w:pPr>
            <w:r w:rsidRPr="00E1140D">
              <w:rPr>
                <w:rFonts w:asciiTheme="minorHAnsi" w:hAnsiTheme="minorHAnsi" w:cstheme="minorHAnsi"/>
                <w:color w:val="000000"/>
                <w:sz w:val="17"/>
                <w:szCs w:val="17"/>
              </w:rPr>
              <w:t>0.66</w:t>
            </w:r>
          </w:p>
          <w:p w14:paraId="460F7C5E" w14:textId="0D9AB948" w:rsidR="00AC4E4D" w:rsidRPr="00E1140D" w:rsidRDefault="00AC4E4D" w:rsidP="00032990">
            <w:pPr>
              <w:jc w:val="center"/>
              <w:rPr>
                <w:rFonts w:asciiTheme="minorHAnsi" w:hAnsiTheme="minorHAnsi" w:cstheme="minorHAnsi"/>
                <w:color w:val="000000"/>
                <w:sz w:val="17"/>
                <w:szCs w:val="17"/>
              </w:rPr>
            </w:pPr>
            <w:r w:rsidRPr="00E1140D">
              <w:rPr>
                <w:rFonts w:asciiTheme="minorHAnsi" w:hAnsiTheme="minorHAnsi" w:cstheme="minorHAnsi"/>
                <w:color w:val="000000"/>
                <w:sz w:val="17"/>
                <w:szCs w:val="17"/>
              </w:rPr>
              <w:t>(0.29, 1.03)</w:t>
            </w:r>
          </w:p>
        </w:tc>
      </w:tr>
      <w:tr w:rsidR="00490E55" w:rsidRPr="00EC43D0" w14:paraId="3F7DD3A0" w14:textId="77777777" w:rsidTr="006B3660">
        <w:tc>
          <w:tcPr>
            <w:tcW w:w="933" w:type="pct"/>
          </w:tcPr>
          <w:p w14:paraId="66190260" w14:textId="44D84706" w:rsidR="00C57A24" w:rsidRPr="00C10D8E" w:rsidRDefault="00C57A24" w:rsidP="00032990">
            <w:pPr>
              <w:pStyle w:val="ListParagraph"/>
              <w:numPr>
                <w:ilvl w:val="0"/>
                <w:numId w:val="6"/>
              </w:numPr>
              <w:ind w:left="316" w:right="37" w:hanging="316"/>
              <w:rPr>
                <w:sz w:val="17"/>
                <w:szCs w:val="17"/>
              </w:rPr>
            </w:pPr>
            <w:r w:rsidRPr="00C10D8E">
              <w:rPr>
                <w:sz w:val="17"/>
                <w:szCs w:val="17"/>
              </w:rPr>
              <w:t xml:space="preserve">Supported PTSD </w:t>
            </w:r>
            <w:proofErr w:type="spellStart"/>
            <w:r w:rsidRPr="00C10D8E">
              <w:rPr>
                <w:sz w:val="17"/>
                <w:szCs w:val="17"/>
              </w:rPr>
              <w:t>Online</w:t>
            </w:r>
            <w:r w:rsidR="00C8344D" w:rsidRPr="00C10D8E">
              <w:rPr>
                <w:sz w:val="17"/>
                <w:szCs w:val="17"/>
                <w:vertAlign w:val="superscript"/>
              </w:rPr>
              <w:t>c</w:t>
            </w:r>
            <w:proofErr w:type="spellEnd"/>
            <w:r w:rsidRPr="00C10D8E">
              <w:rPr>
                <w:sz w:val="17"/>
                <w:szCs w:val="17"/>
              </w:rPr>
              <w:t xml:space="preserve"> </w:t>
            </w:r>
          </w:p>
        </w:tc>
        <w:tc>
          <w:tcPr>
            <w:tcW w:w="956" w:type="pct"/>
          </w:tcPr>
          <w:p w14:paraId="687D13A2" w14:textId="77777777" w:rsidR="00C57A24" w:rsidRPr="00B446DF" w:rsidRDefault="00C57A24" w:rsidP="00032990">
            <w:pPr>
              <w:jc w:val="center"/>
              <w:rPr>
                <w:sz w:val="17"/>
                <w:szCs w:val="17"/>
              </w:rPr>
            </w:pPr>
            <w:r w:rsidRPr="00B446DF">
              <w:rPr>
                <w:rFonts w:ascii="Calibri" w:hAnsi="Calibri" w:cs="Calibri"/>
                <w:color w:val="000000"/>
                <w:sz w:val="17"/>
                <w:szCs w:val="17"/>
              </w:rPr>
              <w:t>Quality of life (WHO-QOL-BREF), psychological subscale</w:t>
            </w:r>
          </w:p>
        </w:tc>
        <w:tc>
          <w:tcPr>
            <w:tcW w:w="452" w:type="pct"/>
          </w:tcPr>
          <w:p w14:paraId="21672A3C" w14:textId="77777777" w:rsidR="00C57A24" w:rsidRPr="00C10D8E" w:rsidRDefault="00C57A24" w:rsidP="00032990">
            <w:pPr>
              <w:jc w:val="center"/>
              <w:rPr>
                <w:color w:val="000000"/>
                <w:sz w:val="17"/>
                <w:szCs w:val="17"/>
              </w:rPr>
            </w:pPr>
            <w:r w:rsidRPr="00C10D8E">
              <w:rPr>
                <w:rFonts w:ascii="Calibri" w:hAnsi="Calibri" w:cs="Calibri"/>
                <w:color w:val="000000"/>
                <w:sz w:val="17"/>
                <w:szCs w:val="17"/>
              </w:rPr>
              <w:t>18</w:t>
            </w:r>
          </w:p>
        </w:tc>
        <w:tc>
          <w:tcPr>
            <w:tcW w:w="485" w:type="pct"/>
          </w:tcPr>
          <w:p w14:paraId="0DCC075B" w14:textId="77777777" w:rsidR="00C57A24" w:rsidRPr="00C10D8E" w:rsidRDefault="00C57A24" w:rsidP="00032990">
            <w:pPr>
              <w:jc w:val="center"/>
              <w:rPr>
                <w:color w:val="000000"/>
                <w:sz w:val="17"/>
                <w:szCs w:val="17"/>
              </w:rPr>
            </w:pPr>
            <w:r w:rsidRPr="00C10D8E">
              <w:rPr>
                <w:rFonts w:ascii="Calibri" w:hAnsi="Calibri" w:cs="Calibri"/>
                <w:color w:val="000000"/>
                <w:sz w:val="17"/>
                <w:szCs w:val="17"/>
              </w:rPr>
              <w:t>44.21</w:t>
            </w:r>
          </w:p>
        </w:tc>
        <w:tc>
          <w:tcPr>
            <w:tcW w:w="460" w:type="pct"/>
          </w:tcPr>
          <w:p w14:paraId="6742F371" w14:textId="77777777" w:rsidR="00C57A24" w:rsidRPr="00C10D8E" w:rsidRDefault="00C57A24" w:rsidP="00032990">
            <w:pPr>
              <w:jc w:val="center"/>
              <w:rPr>
                <w:color w:val="000000"/>
                <w:sz w:val="17"/>
                <w:szCs w:val="17"/>
              </w:rPr>
            </w:pPr>
            <w:r w:rsidRPr="00C10D8E">
              <w:rPr>
                <w:rFonts w:ascii="Calibri" w:hAnsi="Calibri" w:cs="Calibri"/>
                <w:color w:val="000000"/>
                <w:sz w:val="17"/>
                <w:szCs w:val="17"/>
              </w:rPr>
              <w:t>14.58</w:t>
            </w:r>
          </w:p>
        </w:tc>
        <w:tc>
          <w:tcPr>
            <w:tcW w:w="346" w:type="pct"/>
          </w:tcPr>
          <w:p w14:paraId="0E821789" w14:textId="0F17348F" w:rsidR="00C57A24" w:rsidRPr="00C10D8E" w:rsidRDefault="00C57A24" w:rsidP="00032990">
            <w:pPr>
              <w:jc w:val="center"/>
              <w:rPr>
                <w:color w:val="000000"/>
                <w:sz w:val="17"/>
                <w:szCs w:val="17"/>
              </w:rPr>
            </w:pPr>
            <w:r w:rsidRPr="00C10D8E">
              <w:rPr>
                <w:rFonts w:ascii="Calibri" w:hAnsi="Calibri" w:cs="Calibri"/>
                <w:color w:val="000000"/>
                <w:sz w:val="17"/>
                <w:szCs w:val="17"/>
              </w:rPr>
              <w:t>18</w:t>
            </w:r>
            <w:r w:rsidR="004D6321" w:rsidRPr="00C10D8E">
              <w:rPr>
                <w:rFonts w:ascii="Calibri" w:hAnsi="Calibri" w:cs="Calibri"/>
                <w:color w:val="000000"/>
                <w:sz w:val="17"/>
                <w:szCs w:val="17"/>
                <w:vertAlign w:val="superscript"/>
              </w:rPr>
              <w:t>c</w:t>
            </w:r>
          </w:p>
        </w:tc>
        <w:tc>
          <w:tcPr>
            <w:tcW w:w="390" w:type="pct"/>
          </w:tcPr>
          <w:p w14:paraId="2FCDA24F" w14:textId="0847F95D" w:rsidR="00C57A24" w:rsidRPr="00C10D8E" w:rsidRDefault="00C57A24" w:rsidP="00032990">
            <w:pPr>
              <w:jc w:val="center"/>
              <w:rPr>
                <w:color w:val="000000"/>
                <w:sz w:val="17"/>
                <w:szCs w:val="17"/>
              </w:rPr>
            </w:pPr>
            <w:r w:rsidRPr="00C10D8E">
              <w:rPr>
                <w:rFonts w:ascii="Calibri" w:hAnsi="Calibri" w:cs="Calibri"/>
                <w:color w:val="000000"/>
                <w:sz w:val="17"/>
                <w:szCs w:val="17"/>
              </w:rPr>
              <w:t>46.3</w:t>
            </w:r>
            <w:r w:rsidR="004D6321" w:rsidRPr="00C10D8E">
              <w:rPr>
                <w:rFonts w:ascii="Calibri" w:hAnsi="Calibri" w:cs="Calibri"/>
                <w:color w:val="000000"/>
                <w:sz w:val="17"/>
                <w:szCs w:val="17"/>
                <w:vertAlign w:val="superscript"/>
              </w:rPr>
              <w:t>c</w:t>
            </w:r>
          </w:p>
        </w:tc>
        <w:tc>
          <w:tcPr>
            <w:tcW w:w="395" w:type="pct"/>
          </w:tcPr>
          <w:p w14:paraId="7ED88BBC" w14:textId="45AB0E15" w:rsidR="00C57A24" w:rsidRPr="00C10D8E" w:rsidRDefault="00C57A24" w:rsidP="00032990">
            <w:pPr>
              <w:jc w:val="center"/>
              <w:rPr>
                <w:color w:val="000000"/>
                <w:sz w:val="17"/>
                <w:szCs w:val="17"/>
              </w:rPr>
            </w:pPr>
            <w:r w:rsidRPr="00C10D8E">
              <w:rPr>
                <w:rFonts w:ascii="Calibri" w:hAnsi="Calibri" w:cs="Calibri"/>
                <w:color w:val="000000"/>
                <w:sz w:val="17"/>
                <w:szCs w:val="17"/>
              </w:rPr>
              <w:t>18.68</w:t>
            </w:r>
            <w:r w:rsidR="004D6321" w:rsidRPr="00C10D8E">
              <w:rPr>
                <w:rFonts w:ascii="Calibri" w:hAnsi="Calibri" w:cs="Calibri"/>
                <w:color w:val="000000"/>
                <w:sz w:val="17"/>
                <w:szCs w:val="17"/>
                <w:vertAlign w:val="superscript"/>
              </w:rPr>
              <w:t>c</w:t>
            </w:r>
          </w:p>
        </w:tc>
        <w:tc>
          <w:tcPr>
            <w:tcW w:w="585" w:type="pct"/>
          </w:tcPr>
          <w:p w14:paraId="54759FBC" w14:textId="7138EF9F" w:rsidR="00C57A24" w:rsidRPr="00E1140D" w:rsidRDefault="00E1140D" w:rsidP="00032990">
            <w:pPr>
              <w:jc w:val="center"/>
              <w:rPr>
                <w:color w:val="000000"/>
                <w:sz w:val="17"/>
                <w:szCs w:val="17"/>
              </w:rPr>
            </w:pPr>
            <w:r w:rsidRPr="00E1140D">
              <w:rPr>
                <w:rFonts w:ascii="Calibri" w:hAnsi="Calibri" w:cs="Calibri"/>
                <w:color w:val="000000"/>
                <w:sz w:val="17"/>
                <w:szCs w:val="17"/>
              </w:rPr>
              <w:t>Not reported</w:t>
            </w:r>
          </w:p>
        </w:tc>
      </w:tr>
      <w:tr w:rsidR="00490E55" w:rsidRPr="00EC43D0" w14:paraId="2F03B034" w14:textId="77777777" w:rsidTr="006B3660">
        <w:tc>
          <w:tcPr>
            <w:tcW w:w="933" w:type="pct"/>
          </w:tcPr>
          <w:p w14:paraId="592C8348" w14:textId="7DBD73EF" w:rsidR="00C57A24" w:rsidRPr="00EC43D0" w:rsidRDefault="00C57A24" w:rsidP="00032990">
            <w:pPr>
              <w:pStyle w:val="ListParagraph"/>
              <w:numPr>
                <w:ilvl w:val="0"/>
                <w:numId w:val="6"/>
              </w:numPr>
              <w:ind w:left="316" w:right="37" w:hanging="316"/>
              <w:rPr>
                <w:sz w:val="17"/>
                <w:szCs w:val="17"/>
              </w:rPr>
            </w:pPr>
            <w:r w:rsidRPr="00EC43D0">
              <w:rPr>
                <w:sz w:val="17"/>
                <w:szCs w:val="17"/>
              </w:rPr>
              <w:t>Self-directed</w:t>
            </w:r>
            <w:r w:rsidR="002E45D4" w:rsidRPr="00EC43D0">
              <w:rPr>
                <w:sz w:val="17"/>
                <w:szCs w:val="17"/>
              </w:rPr>
              <w:t xml:space="preserve"> </w:t>
            </w:r>
            <w:r w:rsidRPr="00EC43D0">
              <w:rPr>
                <w:sz w:val="17"/>
                <w:szCs w:val="17"/>
              </w:rPr>
              <w:t xml:space="preserve">GAD </w:t>
            </w:r>
            <w:proofErr w:type="spellStart"/>
            <w:r w:rsidRPr="00EC43D0">
              <w:rPr>
                <w:sz w:val="17"/>
                <w:szCs w:val="17"/>
              </w:rPr>
              <w:t>Online</w:t>
            </w:r>
            <w:r w:rsidR="001F4E3C" w:rsidRPr="00EC43D0">
              <w:rPr>
                <w:sz w:val="17"/>
                <w:szCs w:val="17"/>
                <w:vertAlign w:val="superscript"/>
              </w:rPr>
              <w:t>d</w:t>
            </w:r>
            <w:proofErr w:type="spellEnd"/>
          </w:p>
        </w:tc>
        <w:tc>
          <w:tcPr>
            <w:tcW w:w="956" w:type="pct"/>
          </w:tcPr>
          <w:p w14:paraId="1BB5390D" w14:textId="280C1A16" w:rsidR="00C57A24" w:rsidRPr="00B446DF" w:rsidRDefault="00C57A24" w:rsidP="00032990">
            <w:pPr>
              <w:jc w:val="center"/>
              <w:rPr>
                <w:rFonts w:asciiTheme="minorHAnsi" w:hAnsiTheme="minorHAnsi"/>
                <w:sz w:val="17"/>
                <w:szCs w:val="17"/>
              </w:rPr>
            </w:pPr>
            <w:r w:rsidRPr="00B446DF">
              <w:rPr>
                <w:rFonts w:asciiTheme="minorHAnsi" w:hAnsiTheme="minorHAnsi"/>
                <w:sz w:val="17"/>
                <w:szCs w:val="17"/>
              </w:rPr>
              <w:t>K6</w:t>
            </w:r>
          </w:p>
        </w:tc>
        <w:tc>
          <w:tcPr>
            <w:tcW w:w="452" w:type="pct"/>
          </w:tcPr>
          <w:p w14:paraId="125A5DAD"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88</w:t>
            </w:r>
          </w:p>
        </w:tc>
        <w:tc>
          <w:tcPr>
            <w:tcW w:w="485" w:type="pct"/>
          </w:tcPr>
          <w:p w14:paraId="2FC860EF"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16.64</w:t>
            </w:r>
          </w:p>
        </w:tc>
        <w:tc>
          <w:tcPr>
            <w:tcW w:w="460" w:type="pct"/>
          </w:tcPr>
          <w:p w14:paraId="353B754F"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4.4</w:t>
            </w:r>
          </w:p>
        </w:tc>
        <w:tc>
          <w:tcPr>
            <w:tcW w:w="346" w:type="pct"/>
          </w:tcPr>
          <w:p w14:paraId="4510324A"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88</w:t>
            </w:r>
          </w:p>
        </w:tc>
        <w:tc>
          <w:tcPr>
            <w:tcW w:w="390" w:type="pct"/>
          </w:tcPr>
          <w:p w14:paraId="19660B84"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13.65</w:t>
            </w:r>
          </w:p>
        </w:tc>
        <w:tc>
          <w:tcPr>
            <w:tcW w:w="395" w:type="pct"/>
          </w:tcPr>
          <w:p w14:paraId="7AD47721"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4.2</w:t>
            </w:r>
          </w:p>
        </w:tc>
        <w:tc>
          <w:tcPr>
            <w:tcW w:w="585" w:type="pct"/>
          </w:tcPr>
          <w:p w14:paraId="62344107" w14:textId="77777777" w:rsidR="00C57A24" w:rsidRPr="00DF2CE1" w:rsidRDefault="00C57A24" w:rsidP="00032990">
            <w:pPr>
              <w:jc w:val="center"/>
              <w:rPr>
                <w:rFonts w:asciiTheme="minorHAnsi" w:hAnsiTheme="minorHAnsi"/>
                <w:color w:val="000000"/>
                <w:sz w:val="17"/>
                <w:szCs w:val="17"/>
              </w:rPr>
            </w:pPr>
            <w:r w:rsidRPr="00DF2CE1">
              <w:rPr>
                <w:rFonts w:asciiTheme="minorHAnsi" w:hAnsiTheme="minorHAnsi"/>
                <w:color w:val="000000"/>
                <w:sz w:val="17"/>
                <w:szCs w:val="17"/>
              </w:rPr>
              <w:t>1.16</w:t>
            </w:r>
          </w:p>
          <w:p w14:paraId="43EB2553" w14:textId="40A6356C" w:rsidR="00AC4E4D" w:rsidRPr="00DF2CE1" w:rsidRDefault="00AC4E4D" w:rsidP="00032990">
            <w:pPr>
              <w:jc w:val="center"/>
              <w:rPr>
                <w:rFonts w:asciiTheme="minorHAnsi" w:hAnsiTheme="minorHAnsi"/>
                <w:sz w:val="17"/>
                <w:szCs w:val="17"/>
              </w:rPr>
            </w:pPr>
            <w:r w:rsidRPr="00DF2CE1">
              <w:rPr>
                <w:rFonts w:asciiTheme="minorHAnsi" w:hAnsiTheme="minorHAnsi"/>
                <w:sz w:val="17"/>
                <w:szCs w:val="17"/>
              </w:rPr>
              <w:t>(2.2, 3.8)</w:t>
            </w:r>
          </w:p>
        </w:tc>
      </w:tr>
      <w:tr w:rsidR="00490E55" w:rsidRPr="00EC43D0" w14:paraId="4C260512" w14:textId="77777777" w:rsidTr="006B3660">
        <w:tc>
          <w:tcPr>
            <w:tcW w:w="933" w:type="pct"/>
          </w:tcPr>
          <w:p w14:paraId="3B8B8692" w14:textId="20256E54" w:rsidR="00C57A24" w:rsidRPr="00EC43D0" w:rsidRDefault="00C57A24" w:rsidP="00032990">
            <w:pPr>
              <w:pStyle w:val="ListParagraph"/>
              <w:numPr>
                <w:ilvl w:val="0"/>
                <w:numId w:val="6"/>
              </w:numPr>
              <w:ind w:left="316" w:right="37" w:hanging="316"/>
              <w:rPr>
                <w:sz w:val="17"/>
                <w:szCs w:val="17"/>
              </w:rPr>
            </w:pPr>
            <w:r w:rsidRPr="00EC43D0">
              <w:rPr>
                <w:sz w:val="17"/>
                <w:szCs w:val="17"/>
              </w:rPr>
              <w:t>Self-directed</w:t>
            </w:r>
            <w:r w:rsidR="002E45D4" w:rsidRPr="00EC43D0">
              <w:rPr>
                <w:sz w:val="17"/>
                <w:szCs w:val="17"/>
              </w:rPr>
              <w:t xml:space="preserve"> </w:t>
            </w:r>
            <w:r w:rsidRPr="00EC43D0">
              <w:rPr>
                <w:sz w:val="17"/>
                <w:szCs w:val="17"/>
              </w:rPr>
              <w:t xml:space="preserve">Panic </w:t>
            </w:r>
            <w:proofErr w:type="spellStart"/>
            <w:proofErr w:type="gramStart"/>
            <w:r w:rsidRPr="00EC43D0">
              <w:rPr>
                <w:sz w:val="17"/>
                <w:szCs w:val="17"/>
              </w:rPr>
              <w:t>Stop!</w:t>
            </w:r>
            <w:r w:rsidR="001F4E3C" w:rsidRPr="00EC43D0">
              <w:rPr>
                <w:sz w:val="17"/>
                <w:szCs w:val="17"/>
                <w:vertAlign w:val="superscript"/>
              </w:rPr>
              <w:t>d</w:t>
            </w:r>
            <w:proofErr w:type="spellEnd"/>
            <w:proofErr w:type="gramEnd"/>
          </w:p>
        </w:tc>
        <w:tc>
          <w:tcPr>
            <w:tcW w:w="956" w:type="pct"/>
          </w:tcPr>
          <w:p w14:paraId="72B6540C" w14:textId="17D0EAE1" w:rsidR="00C57A24" w:rsidRPr="00B446DF" w:rsidRDefault="00C57A24" w:rsidP="00032990">
            <w:pPr>
              <w:jc w:val="center"/>
              <w:rPr>
                <w:rFonts w:asciiTheme="minorHAnsi" w:hAnsiTheme="minorHAnsi"/>
                <w:sz w:val="17"/>
                <w:szCs w:val="17"/>
              </w:rPr>
            </w:pPr>
            <w:r w:rsidRPr="00B446DF">
              <w:rPr>
                <w:rFonts w:asciiTheme="minorHAnsi" w:hAnsiTheme="minorHAnsi"/>
                <w:sz w:val="17"/>
                <w:szCs w:val="17"/>
              </w:rPr>
              <w:t>K6</w:t>
            </w:r>
          </w:p>
        </w:tc>
        <w:tc>
          <w:tcPr>
            <w:tcW w:w="452" w:type="pct"/>
          </w:tcPr>
          <w:p w14:paraId="57C3355D"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40</w:t>
            </w:r>
          </w:p>
        </w:tc>
        <w:tc>
          <w:tcPr>
            <w:tcW w:w="485" w:type="pct"/>
          </w:tcPr>
          <w:p w14:paraId="76E304ED"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15.18</w:t>
            </w:r>
          </w:p>
        </w:tc>
        <w:tc>
          <w:tcPr>
            <w:tcW w:w="460" w:type="pct"/>
          </w:tcPr>
          <w:p w14:paraId="7E40F79F"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4.5</w:t>
            </w:r>
          </w:p>
        </w:tc>
        <w:tc>
          <w:tcPr>
            <w:tcW w:w="346" w:type="pct"/>
          </w:tcPr>
          <w:p w14:paraId="1D6894F6"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40</w:t>
            </w:r>
          </w:p>
        </w:tc>
        <w:tc>
          <w:tcPr>
            <w:tcW w:w="390" w:type="pct"/>
          </w:tcPr>
          <w:p w14:paraId="50276121"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13.43</w:t>
            </w:r>
          </w:p>
        </w:tc>
        <w:tc>
          <w:tcPr>
            <w:tcW w:w="395" w:type="pct"/>
          </w:tcPr>
          <w:p w14:paraId="11C61EEF"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4.9</w:t>
            </w:r>
          </w:p>
        </w:tc>
        <w:tc>
          <w:tcPr>
            <w:tcW w:w="585" w:type="pct"/>
          </w:tcPr>
          <w:p w14:paraId="48AEF443" w14:textId="77777777" w:rsidR="00C57A24" w:rsidRPr="00DF2CE1" w:rsidRDefault="00C57A24" w:rsidP="00032990">
            <w:pPr>
              <w:jc w:val="center"/>
              <w:rPr>
                <w:rFonts w:asciiTheme="minorHAnsi" w:hAnsiTheme="minorHAnsi"/>
                <w:color w:val="000000"/>
                <w:sz w:val="17"/>
                <w:szCs w:val="17"/>
              </w:rPr>
            </w:pPr>
            <w:r w:rsidRPr="00DF2CE1">
              <w:rPr>
                <w:rFonts w:asciiTheme="minorHAnsi" w:hAnsiTheme="minorHAnsi"/>
                <w:color w:val="000000"/>
                <w:sz w:val="17"/>
                <w:szCs w:val="17"/>
              </w:rPr>
              <w:t>0.81</w:t>
            </w:r>
          </w:p>
          <w:p w14:paraId="789D7889" w14:textId="6CA7EC1D" w:rsidR="00AC4E4D" w:rsidRPr="00DF2CE1" w:rsidRDefault="00AC4E4D" w:rsidP="00032990">
            <w:pPr>
              <w:jc w:val="center"/>
              <w:rPr>
                <w:rFonts w:asciiTheme="minorHAnsi" w:hAnsiTheme="minorHAnsi"/>
                <w:sz w:val="17"/>
                <w:szCs w:val="17"/>
              </w:rPr>
            </w:pPr>
            <w:r w:rsidRPr="00DF2CE1">
              <w:rPr>
                <w:rFonts w:asciiTheme="minorHAnsi" w:hAnsiTheme="minorHAnsi"/>
                <w:color w:val="000000"/>
                <w:sz w:val="17"/>
                <w:szCs w:val="17"/>
              </w:rPr>
              <w:t>(0.8, 2.7)</w:t>
            </w:r>
          </w:p>
        </w:tc>
      </w:tr>
      <w:tr w:rsidR="00490E55" w:rsidRPr="00EC43D0" w14:paraId="6AB13AC1" w14:textId="77777777" w:rsidTr="006B3660">
        <w:tc>
          <w:tcPr>
            <w:tcW w:w="933" w:type="pct"/>
          </w:tcPr>
          <w:p w14:paraId="699D738E" w14:textId="4571EEA6" w:rsidR="00C57A24" w:rsidRPr="00EC43D0" w:rsidRDefault="00C57A24" w:rsidP="00032990">
            <w:pPr>
              <w:pStyle w:val="ListParagraph"/>
              <w:numPr>
                <w:ilvl w:val="0"/>
                <w:numId w:val="6"/>
              </w:numPr>
              <w:ind w:left="316" w:right="37" w:hanging="316"/>
              <w:rPr>
                <w:sz w:val="17"/>
                <w:szCs w:val="17"/>
              </w:rPr>
            </w:pPr>
            <w:r w:rsidRPr="00EC43D0">
              <w:rPr>
                <w:sz w:val="17"/>
                <w:szCs w:val="17"/>
              </w:rPr>
              <w:t>Self-directed</w:t>
            </w:r>
          </w:p>
          <w:p w14:paraId="5866FDA1" w14:textId="2852C81B" w:rsidR="00C57A24" w:rsidRPr="00EC43D0" w:rsidRDefault="00C57A24" w:rsidP="00032990">
            <w:pPr>
              <w:pStyle w:val="ListParagraph"/>
              <w:ind w:left="316" w:right="37"/>
              <w:rPr>
                <w:sz w:val="17"/>
                <w:szCs w:val="17"/>
              </w:rPr>
            </w:pPr>
            <w:r w:rsidRPr="00EC43D0">
              <w:rPr>
                <w:sz w:val="17"/>
                <w:szCs w:val="17"/>
              </w:rPr>
              <w:t xml:space="preserve">OCD </w:t>
            </w:r>
            <w:proofErr w:type="spellStart"/>
            <w:proofErr w:type="gramStart"/>
            <w:r w:rsidRPr="00EC43D0">
              <w:rPr>
                <w:sz w:val="17"/>
                <w:szCs w:val="17"/>
              </w:rPr>
              <w:t>Stop!</w:t>
            </w:r>
            <w:r w:rsidR="001F4E3C" w:rsidRPr="00EC43D0">
              <w:rPr>
                <w:sz w:val="17"/>
                <w:szCs w:val="17"/>
                <w:vertAlign w:val="superscript"/>
              </w:rPr>
              <w:t>d</w:t>
            </w:r>
            <w:proofErr w:type="spellEnd"/>
            <w:proofErr w:type="gramEnd"/>
          </w:p>
        </w:tc>
        <w:tc>
          <w:tcPr>
            <w:tcW w:w="956" w:type="pct"/>
          </w:tcPr>
          <w:p w14:paraId="021CEAAD" w14:textId="44CF7528" w:rsidR="00C57A24" w:rsidRPr="00B446DF" w:rsidRDefault="00C57A24" w:rsidP="00032990">
            <w:pPr>
              <w:jc w:val="center"/>
              <w:rPr>
                <w:rFonts w:asciiTheme="minorHAnsi" w:hAnsiTheme="minorHAnsi"/>
                <w:sz w:val="17"/>
                <w:szCs w:val="17"/>
              </w:rPr>
            </w:pPr>
            <w:r w:rsidRPr="00B446DF">
              <w:rPr>
                <w:rFonts w:asciiTheme="minorHAnsi" w:hAnsiTheme="minorHAnsi"/>
                <w:sz w:val="17"/>
                <w:szCs w:val="17"/>
              </w:rPr>
              <w:t>K6</w:t>
            </w:r>
          </w:p>
        </w:tc>
        <w:tc>
          <w:tcPr>
            <w:tcW w:w="452" w:type="pct"/>
          </w:tcPr>
          <w:p w14:paraId="2A639284"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17</w:t>
            </w:r>
          </w:p>
        </w:tc>
        <w:tc>
          <w:tcPr>
            <w:tcW w:w="485" w:type="pct"/>
          </w:tcPr>
          <w:p w14:paraId="48F8971D"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14.06</w:t>
            </w:r>
          </w:p>
        </w:tc>
        <w:tc>
          <w:tcPr>
            <w:tcW w:w="460" w:type="pct"/>
          </w:tcPr>
          <w:p w14:paraId="03CA171E"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6.2</w:t>
            </w:r>
          </w:p>
        </w:tc>
        <w:tc>
          <w:tcPr>
            <w:tcW w:w="346" w:type="pct"/>
          </w:tcPr>
          <w:p w14:paraId="7AE59CBB"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17</w:t>
            </w:r>
          </w:p>
        </w:tc>
        <w:tc>
          <w:tcPr>
            <w:tcW w:w="390" w:type="pct"/>
          </w:tcPr>
          <w:p w14:paraId="55BAB309"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13.47</w:t>
            </w:r>
          </w:p>
        </w:tc>
        <w:tc>
          <w:tcPr>
            <w:tcW w:w="395" w:type="pct"/>
          </w:tcPr>
          <w:p w14:paraId="767338E8"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6.6</w:t>
            </w:r>
          </w:p>
        </w:tc>
        <w:tc>
          <w:tcPr>
            <w:tcW w:w="585" w:type="pct"/>
          </w:tcPr>
          <w:p w14:paraId="60C5868A" w14:textId="77777777" w:rsidR="00C57A24" w:rsidRPr="00DF2CE1" w:rsidRDefault="00C57A24" w:rsidP="00032990">
            <w:pPr>
              <w:jc w:val="center"/>
              <w:rPr>
                <w:rFonts w:asciiTheme="minorHAnsi" w:hAnsiTheme="minorHAnsi"/>
                <w:color w:val="000000"/>
                <w:sz w:val="17"/>
                <w:szCs w:val="17"/>
              </w:rPr>
            </w:pPr>
            <w:r w:rsidRPr="00DF2CE1">
              <w:rPr>
                <w:rFonts w:asciiTheme="minorHAnsi" w:hAnsiTheme="minorHAnsi"/>
                <w:color w:val="000000"/>
                <w:sz w:val="17"/>
                <w:szCs w:val="17"/>
              </w:rPr>
              <w:t>0.23</w:t>
            </w:r>
          </w:p>
          <w:p w14:paraId="3D5B17EA" w14:textId="038C8BAF" w:rsidR="00AC4E4D" w:rsidRPr="00DF2CE1" w:rsidRDefault="00AC4E4D" w:rsidP="00032990">
            <w:pPr>
              <w:jc w:val="center"/>
              <w:rPr>
                <w:rFonts w:asciiTheme="minorHAnsi" w:hAnsiTheme="minorHAnsi"/>
                <w:sz w:val="17"/>
                <w:szCs w:val="17"/>
              </w:rPr>
            </w:pPr>
            <w:r w:rsidRPr="00DF2CE1">
              <w:rPr>
                <w:rFonts w:asciiTheme="minorHAnsi" w:hAnsiTheme="minorHAnsi"/>
                <w:sz w:val="17"/>
                <w:szCs w:val="17"/>
              </w:rPr>
              <w:t>(-1.3, 2.5)</w:t>
            </w:r>
          </w:p>
        </w:tc>
      </w:tr>
      <w:tr w:rsidR="00490E55" w:rsidRPr="00EC43D0" w14:paraId="55B573C2" w14:textId="77777777" w:rsidTr="006B3660">
        <w:tc>
          <w:tcPr>
            <w:tcW w:w="933" w:type="pct"/>
          </w:tcPr>
          <w:p w14:paraId="14C76170" w14:textId="45095A5A" w:rsidR="00C57A24" w:rsidRPr="00EC43D0" w:rsidRDefault="007B3681" w:rsidP="00032990">
            <w:pPr>
              <w:pStyle w:val="ListParagraph"/>
              <w:numPr>
                <w:ilvl w:val="0"/>
                <w:numId w:val="6"/>
              </w:numPr>
              <w:ind w:left="316" w:right="37" w:hanging="316"/>
              <w:rPr>
                <w:sz w:val="17"/>
                <w:szCs w:val="17"/>
              </w:rPr>
            </w:pPr>
            <w:r w:rsidRPr="00EC43D0">
              <w:rPr>
                <w:sz w:val="17"/>
                <w:szCs w:val="17"/>
              </w:rPr>
              <w:t xml:space="preserve">10. </w:t>
            </w:r>
            <w:r w:rsidR="00C57A24" w:rsidRPr="00EC43D0">
              <w:rPr>
                <w:sz w:val="17"/>
                <w:szCs w:val="17"/>
              </w:rPr>
              <w:t>Self-directed</w:t>
            </w:r>
            <w:r w:rsidRPr="00EC43D0">
              <w:rPr>
                <w:sz w:val="17"/>
                <w:szCs w:val="17"/>
              </w:rPr>
              <w:t xml:space="preserve"> </w:t>
            </w:r>
            <w:r w:rsidR="00C57A24" w:rsidRPr="00EC43D0">
              <w:rPr>
                <w:sz w:val="17"/>
                <w:szCs w:val="17"/>
              </w:rPr>
              <w:t xml:space="preserve">PTSD </w:t>
            </w:r>
            <w:proofErr w:type="spellStart"/>
            <w:r w:rsidR="00C57A24" w:rsidRPr="00EC43D0">
              <w:rPr>
                <w:sz w:val="17"/>
                <w:szCs w:val="17"/>
              </w:rPr>
              <w:t>Online</w:t>
            </w:r>
            <w:r w:rsidR="001F4E3C" w:rsidRPr="00EC43D0">
              <w:rPr>
                <w:sz w:val="17"/>
                <w:szCs w:val="17"/>
                <w:vertAlign w:val="superscript"/>
              </w:rPr>
              <w:t>d</w:t>
            </w:r>
            <w:proofErr w:type="spellEnd"/>
          </w:p>
        </w:tc>
        <w:tc>
          <w:tcPr>
            <w:tcW w:w="956" w:type="pct"/>
          </w:tcPr>
          <w:p w14:paraId="3FF1C2D4" w14:textId="65CE5AF1" w:rsidR="00C57A24" w:rsidRPr="00B446DF" w:rsidRDefault="00C57A24" w:rsidP="00032990">
            <w:pPr>
              <w:jc w:val="center"/>
              <w:rPr>
                <w:rFonts w:asciiTheme="minorHAnsi" w:hAnsiTheme="minorHAnsi"/>
                <w:sz w:val="17"/>
                <w:szCs w:val="17"/>
              </w:rPr>
            </w:pPr>
            <w:r w:rsidRPr="00B446DF">
              <w:rPr>
                <w:rFonts w:asciiTheme="minorHAnsi" w:hAnsiTheme="minorHAnsi"/>
                <w:sz w:val="17"/>
                <w:szCs w:val="17"/>
              </w:rPr>
              <w:t>K6</w:t>
            </w:r>
          </w:p>
        </w:tc>
        <w:tc>
          <w:tcPr>
            <w:tcW w:w="452" w:type="pct"/>
          </w:tcPr>
          <w:p w14:paraId="38CC213F"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30</w:t>
            </w:r>
          </w:p>
        </w:tc>
        <w:tc>
          <w:tcPr>
            <w:tcW w:w="485" w:type="pct"/>
          </w:tcPr>
          <w:p w14:paraId="0A244CC0"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18.53</w:t>
            </w:r>
          </w:p>
        </w:tc>
        <w:tc>
          <w:tcPr>
            <w:tcW w:w="460" w:type="pct"/>
          </w:tcPr>
          <w:p w14:paraId="2DA11394"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5.2</w:t>
            </w:r>
          </w:p>
        </w:tc>
        <w:tc>
          <w:tcPr>
            <w:tcW w:w="346" w:type="pct"/>
          </w:tcPr>
          <w:p w14:paraId="1778E697"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30</w:t>
            </w:r>
          </w:p>
        </w:tc>
        <w:tc>
          <w:tcPr>
            <w:tcW w:w="390" w:type="pct"/>
          </w:tcPr>
          <w:p w14:paraId="1432EFD2"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14.2</w:t>
            </w:r>
          </w:p>
        </w:tc>
        <w:tc>
          <w:tcPr>
            <w:tcW w:w="395" w:type="pct"/>
          </w:tcPr>
          <w:p w14:paraId="01271147"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5.7</w:t>
            </w:r>
          </w:p>
        </w:tc>
        <w:tc>
          <w:tcPr>
            <w:tcW w:w="585" w:type="pct"/>
          </w:tcPr>
          <w:p w14:paraId="018F726E" w14:textId="77777777" w:rsidR="00C57A24" w:rsidRPr="00DF2CE1" w:rsidRDefault="00C57A24" w:rsidP="00032990">
            <w:pPr>
              <w:jc w:val="center"/>
              <w:rPr>
                <w:rFonts w:asciiTheme="minorHAnsi" w:hAnsiTheme="minorHAnsi"/>
                <w:color w:val="000000"/>
                <w:sz w:val="17"/>
                <w:szCs w:val="17"/>
              </w:rPr>
            </w:pPr>
            <w:r w:rsidRPr="00DF2CE1">
              <w:rPr>
                <w:rFonts w:asciiTheme="minorHAnsi" w:hAnsiTheme="minorHAnsi"/>
                <w:color w:val="000000"/>
                <w:sz w:val="17"/>
                <w:szCs w:val="17"/>
              </w:rPr>
              <w:t>0.95</w:t>
            </w:r>
          </w:p>
          <w:p w14:paraId="52CE76EE" w14:textId="05748098" w:rsidR="00AC4E4D" w:rsidRPr="00DF2CE1" w:rsidRDefault="00AC4E4D" w:rsidP="00032990">
            <w:pPr>
              <w:jc w:val="center"/>
              <w:rPr>
                <w:rFonts w:asciiTheme="minorHAnsi" w:hAnsiTheme="minorHAnsi"/>
                <w:sz w:val="17"/>
                <w:szCs w:val="17"/>
              </w:rPr>
            </w:pPr>
            <w:r w:rsidRPr="00DF2CE1">
              <w:rPr>
                <w:rFonts w:asciiTheme="minorHAnsi" w:hAnsiTheme="minorHAnsi"/>
                <w:sz w:val="17"/>
                <w:szCs w:val="17"/>
              </w:rPr>
              <w:t>(1.9, 6.7)</w:t>
            </w:r>
          </w:p>
        </w:tc>
      </w:tr>
      <w:tr w:rsidR="00490E55" w:rsidRPr="00EC43D0" w14:paraId="7DBC6457" w14:textId="77777777" w:rsidTr="006B3660">
        <w:tc>
          <w:tcPr>
            <w:tcW w:w="933" w:type="pct"/>
          </w:tcPr>
          <w:p w14:paraId="4312C112" w14:textId="073044FB" w:rsidR="00C57A24" w:rsidRPr="00EC43D0" w:rsidRDefault="00C57A24" w:rsidP="00032990">
            <w:pPr>
              <w:pStyle w:val="ListParagraph"/>
              <w:numPr>
                <w:ilvl w:val="0"/>
                <w:numId w:val="6"/>
              </w:numPr>
              <w:ind w:left="316" w:right="37" w:hanging="316"/>
              <w:rPr>
                <w:sz w:val="17"/>
                <w:szCs w:val="17"/>
              </w:rPr>
            </w:pPr>
            <w:r w:rsidRPr="00EC43D0">
              <w:rPr>
                <w:sz w:val="17"/>
                <w:szCs w:val="17"/>
              </w:rPr>
              <w:t>Self-directed</w:t>
            </w:r>
            <w:r w:rsidR="005A764E" w:rsidRPr="00EC43D0">
              <w:rPr>
                <w:sz w:val="17"/>
                <w:szCs w:val="17"/>
              </w:rPr>
              <w:t xml:space="preserve"> </w:t>
            </w:r>
            <w:r w:rsidRPr="00EC43D0">
              <w:rPr>
                <w:sz w:val="17"/>
                <w:szCs w:val="17"/>
              </w:rPr>
              <w:t xml:space="preserve">SAD </w:t>
            </w:r>
            <w:proofErr w:type="spellStart"/>
            <w:r w:rsidRPr="00EC43D0">
              <w:rPr>
                <w:sz w:val="17"/>
                <w:szCs w:val="17"/>
              </w:rPr>
              <w:t>Online</w:t>
            </w:r>
            <w:r w:rsidR="001F4E3C" w:rsidRPr="00EC43D0">
              <w:rPr>
                <w:sz w:val="17"/>
                <w:szCs w:val="17"/>
                <w:vertAlign w:val="superscript"/>
              </w:rPr>
              <w:t>d</w:t>
            </w:r>
            <w:proofErr w:type="spellEnd"/>
          </w:p>
        </w:tc>
        <w:tc>
          <w:tcPr>
            <w:tcW w:w="956" w:type="pct"/>
          </w:tcPr>
          <w:p w14:paraId="4185979F" w14:textId="3883C078" w:rsidR="00C57A24" w:rsidRPr="00B446DF" w:rsidRDefault="00C57A24" w:rsidP="00032990">
            <w:pPr>
              <w:jc w:val="center"/>
              <w:rPr>
                <w:rFonts w:asciiTheme="minorHAnsi" w:hAnsiTheme="minorHAnsi" w:cstheme="minorHAnsi"/>
                <w:sz w:val="17"/>
                <w:szCs w:val="17"/>
              </w:rPr>
            </w:pPr>
            <w:r w:rsidRPr="00B446DF">
              <w:rPr>
                <w:rFonts w:asciiTheme="minorHAnsi" w:hAnsiTheme="minorHAnsi" w:cstheme="minorHAnsi"/>
                <w:sz w:val="17"/>
                <w:szCs w:val="17"/>
              </w:rPr>
              <w:t>K6</w:t>
            </w:r>
          </w:p>
        </w:tc>
        <w:tc>
          <w:tcPr>
            <w:tcW w:w="452" w:type="pct"/>
          </w:tcPr>
          <w:p w14:paraId="3D167E90" w14:textId="77777777" w:rsidR="00C57A24" w:rsidRPr="00EC43D0" w:rsidRDefault="00C57A24" w:rsidP="00032990">
            <w:pPr>
              <w:jc w:val="center"/>
              <w:rPr>
                <w:rFonts w:asciiTheme="minorHAnsi" w:hAnsiTheme="minorHAnsi" w:cstheme="minorHAnsi"/>
                <w:sz w:val="17"/>
                <w:szCs w:val="17"/>
              </w:rPr>
            </w:pPr>
            <w:r w:rsidRPr="00EC43D0">
              <w:rPr>
                <w:rFonts w:asciiTheme="minorHAnsi" w:hAnsiTheme="minorHAnsi" w:cstheme="minorHAnsi"/>
                <w:color w:val="000000"/>
                <w:sz w:val="17"/>
                <w:szCs w:val="17"/>
              </w:rPr>
              <w:t>50</w:t>
            </w:r>
          </w:p>
        </w:tc>
        <w:tc>
          <w:tcPr>
            <w:tcW w:w="485" w:type="pct"/>
          </w:tcPr>
          <w:p w14:paraId="23021EF3" w14:textId="77777777" w:rsidR="00C57A24" w:rsidRPr="00EC43D0" w:rsidRDefault="00C57A24" w:rsidP="00032990">
            <w:pPr>
              <w:jc w:val="center"/>
              <w:rPr>
                <w:rFonts w:asciiTheme="minorHAnsi" w:hAnsiTheme="minorHAnsi" w:cstheme="minorHAnsi"/>
                <w:sz w:val="17"/>
                <w:szCs w:val="17"/>
              </w:rPr>
            </w:pPr>
            <w:r w:rsidRPr="00EC43D0">
              <w:rPr>
                <w:rFonts w:asciiTheme="minorHAnsi" w:hAnsiTheme="minorHAnsi" w:cstheme="minorHAnsi"/>
                <w:color w:val="000000"/>
                <w:sz w:val="17"/>
                <w:szCs w:val="17"/>
              </w:rPr>
              <w:t>15.3</w:t>
            </w:r>
          </w:p>
        </w:tc>
        <w:tc>
          <w:tcPr>
            <w:tcW w:w="460" w:type="pct"/>
          </w:tcPr>
          <w:p w14:paraId="236A1271" w14:textId="77777777" w:rsidR="00C57A24" w:rsidRPr="00EC43D0" w:rsidRDefault="00C57A24" w:rsidP="00032990">
            <w:pPr>
              <w:jc w:val="center"/>
              <w:rPr>
                <w:rFonts w:asciiTheme="minorHAnsi" w:hAnsiTheme="minorHAnsi" w:cstheme="minorHAnsi"/>
                <w:sz w:val="17"/>
                <w:szCs w:val="17"/>
              </w:rPr>
            </w:pPr>
            <w:r w:rsidRPr="00EC43D0">
              <w:rPr>
                <w:rFonts w:asciiTheme="minorHAnsi" w:hAnsiTheme="minorHAnsi" w:cstheme="minorHAnsi"/>
                <w:color w:val="000000"/>
                <w:sz w:val="17"/>
                <w:szCs w:val="17"/>
              </w:rPr>
              <w:t>5.3</w:t>
            </w:r>
          </w:p>
        </w:tc>
        <w:tc>
          <w:tcPr>
            <w:tcW w:w="346" w:type="pct"/>
          </w:tcPr>
          <w:p w14:paraId="37523B70" w14:textId="77777777" w:rsidR="00C57A24" w:rsidRPr="00EC43D0" w:rsidRDefault="00C57A24" w:rsidP="00032990">
            <w:pPr>
              <w:jc w:val="center"/>
              <w:rPr>
                <w:rFonts w:asciiTheme="minorHAnsi" w:hAnsiTheme="minorHAnsi" w:cstheme="minorHAnsi"/>
                <w:sz w:val="17"/>
                <w:szCs w:val="17"/>
              </w:rPr>
            </w:pPr>
            <w:r w:rsidRPr="00EC43D0">
              <w:rPr>
                <w:rFonts w:asciiTheme="minorHAnsi" w:hAnsiTheme="minorHAnsi" w:cstheme="minorHAnsi"/>
                <w:color w:val="000000"/>
                <w:sz w:val="17"/>
                <w:szCs w:val="17"/>
              </w:rPr>
              <w:t>50</w:t>
            </w:r>
          </w:p>
        </w:tc>
        <w:tc>
          <w:tcPr>
            <w:tcW w:w="390" w:type="pct"/>
          </w:tcPr>
          <w:p w14:paraId="68BF0EFA" w14:textId="77777777" w:rsidR="00C57A24" w:rsidRPr="00EC43D0" w:rsidRDefault="00C57A24" w:rsidP="00032990">
            <w:pPr>
              <w:jc w:val="center"/>
              <w:rPr>
                <w:rFonts w:asciiTheme="minorHAnsi" w:hAnsiTheme="minorHAnsi" w:cstheme="minorHAnsi"/>
                <w:sz w:val="17"/>
                <w:szCs w:val="17"/>
              </w:rPr>
            </w:pPr>
            <w:r w:rsidRPr="00EC43D0">
              <w:rPr>
                <w:rFonts w:asciiTheme="minorHAnsi" w:hAnsiTheme="minorHAnsi" w:cstheme="minorHAnsi"/>
                <w:color w:val="000000"/>
                <w:sz w:val="17"/>
                <w:szCs w:val="17"/>
              </w:rPr>
              <w:t>14.26</w:t>
            </w:r>
          </w:p>
        </w:tc>
        <w:tc>
          <w:tcPr>
            <w:tcW w:w="395" w:type="pct"/>
          </w:tcPr>
          <w:p w14:paraId="04AE7E1E" w14:textId="77777777" w:rsidR="00C57A24" w:rsidRPr="00EC43D0" w:rsidRDefault="00C57A24" w:rsidP="00032990">
            <w:pPr>
              <w:jc w:val="center"/>
              <w:rPr>
                <w:rFonts w:asciiTheme="minorHAnsi" w:hAnsiTheme="minorHAnsi" w:cstheme="minorHAnsi"/>
                <w:sz w:val="17"/>
                <w:szCs w:val="17"/>
              </w:rPr>
            </w:pPr>
            <w:r w:rsidRPr="00EC43D0">
              <w:rPr>
                <w:rFonts w:asciiTheme="minorHAnsi" w:hAnsiTheme="minorHAnsi" w:cstheme="minorHAnsi"/>
                <w:color w:val="000000"/>
                <w:sz w:val="17"/>
                <w:szCs w:val="17"/>
              </w:rPr>
              <w:t>4.9</w:t>
            </w:r>
          </w:p>
        </w:tc>
        <w:tc>
          <w:tcPr>
            <w:tcW w:w="585" w:type="pct"/>
          </w:tcPr>
          <w:p w14:paraId="03CC4B1C" w14:textId="77777777" w:rsidR="00C57A24" w:rsidRPr="00DF2CE1" w:rsidRDefault="00C57A24" w:rsidP="00032990">
            <w:pPr>
              <w:jc w:val="center"/>
              <w:rPr>
                <w:rFonts w:asciiTheme="minorHAnsi" w:hAnsiTheme="minorHAnsi" w:cstheme="minorHAnsi"/>
                <w:color w:val="000000"/>
                <w:sz w:val="17"/>
                <w:szCs w:val="17"/>
              </w:rPr>
            </w:pPr>
            <w:r w:rsidRPr="00DF2CE1">
              <w:rPr>
                <w:rFonts w:asciiTheme="minorHAnsi" w:hAnsiTheme="minorHAnsi" w:cstheme="minorHAnsi"/>
                <w:color w:val="000000"/>
                <w:sz w:val="17"/>
                <w:szCs w:val="17"/>
              </w:rPr>
              <w:t>0.31</w:t>
            </w:r>
          </w:p>
          <w:p w14:paraId="3528EA97" w14:textId="66409CC6" w:rsidR="00AC4E4D" w:rsidRPr="00DF2CE1" w:rsidRDefault="00AC4E4D" w:rsidP="00032990">
            <w:pPr>
              <w:jc w:val="center"/>
              <w:rPr>
                <w:rFonts w:asciiTheme="minorHAnsi" w:hAnsiTheme="minorHAnsi" w:cstheme="minorHAnsi"/>
                <w:sz w:val="17"/>
                <w:szCs w:val="17"/>
              </w:rPr>
            </w:pPr>
            <w:r w:rsidRPr="00DF2CE1">
              <w:rPr>
                <w:rFonts w:asciiTheme="minorHAnsi" w:hAnsiTheme="minorHAnsi" w:cstheme="minorHAnsi"/>
                <w:sz w:val="17"/>
                <w:szCs w:val="17"/>
              </w:rPr>
              <w:t>(-0.3, 2.4)</w:t>
            </w:r>
          </w:p>
        </w:tc>
      </w:tr>
      <w:tr w:rsidR="00490E55" w:rsidRPr="00EC43D0" w14:paraId="2BD8F972" w14:textId="77777777" w:rsidTr="006B3660">
        <w:tc>
          <w:tcPr>
            <w:tcW w:w="933" w:type="pct"/>
          </w:tcPr>
          <w:p w14:paraId="3F62545E" w14:textId="2FCA207D" w:rsidR="002E45D4" w:rsidRPr="00EC43D0" w:rsidRDefault="00C57A24" w:rsidP="00032990">
            <w:pPr>
              <w:pStyle w:val="ListParagraph"/>
              <w:numPr>
                <w:ilvl w:val="0"/>
                <w:numId w:val="6"/>
              </w:numPr>
              <w:ind w:left="316" w:right="37" w:hanging="316"/>
              <w:rPr>
                <w:sz w:val="17"/>
                <w:szCs w:val="17"/>
              </w:rPr>
            </w:pPr>
            <w:r w:rsidRPr="00EC43D0">
              <w:rPr>
                <w:sz w:val="17"/>
                <w:szCs w:val="17"/>
              </w:rPr>
              <w:t>Self-directed</w:t>
            </w:r>
            <w:r w:rsidR="005A764E" w:rsidRPr="00EC43D0">
              <w:rPr>
                <w:sz w:val="17"/>
                <w:szCs w:val="17"/>
              </w:rPr>
              <w:t xml:space="preserve"> </w:t>
            </w:r>
            <w:r w:rsidR="002E45D4" w:rsidRPr="00EC43D0">
              <w:rPr>
                <w:sz w:val="17"/>
                <w:szCs w:val="17"/>
              </w:rPr>
              <w:t xml:space="preserve">GAD </w:t>
            </w:r>
            <w:proofErr w:type="spellStart"/>
            <w:r w:rsidR="002E45D4" w:rsidRPr="00EC43D0">
              <w:rPr>
                <w:sz w:val="17"/>
                <w:szCs w:val="17"/>
              </w:rPr>
              <w:t>Online</w:t>
            </w:r>
            <w:r w:rsidR="001F4E3C" w:rsidRPr="00EC43D0">
              <w:rPr>
                <w:sz w:val="17"/>
                <w:szCs w:val="17"/>
                <w:vertAlign w:val="superscript"/>
              </w:rPr>
              <w:t>d</w:t>
            </w:r>
            <w:proofErr w:type="spellEnd"/>
          </w:p>
        </w:tc>
        <w:tc>
          <w:tcPr>
            <w:tcW w:w="956" w:type="pct"/>
          </w:tcPr>
          <w:p w14:paraId="3A4B703E" w14:textId="62FAC035" w:rsidR="00C57A24" w:rsidRPr="00B446DF" w:rsidRDefault="00C57A24" w:rsidP="00032990">
            <w:pPr>
              <w:jc w:val="center"/>
              <w:rPr>
                <w:rFonts w:asciiTheme="minorHAnsi" w:hAnsiTheme="minorHAnsi"/>
                <w:sz w:val="17"/>
                <w:szCs w:val="17"/>
              </w:rPr>
            </w:pPr>
            <w:r w:rsidRPr="00B446DF">
              <w:rPr>
                <w:rFonts w:asciiTheme="minorHAnsi" w:hAnsiTheme="minorHAnsi"/>
                <w:sz w:val="17"/>
                <w:szCs w:val="17"/>
              </w:rPr>
              <w:t xml:space="preserve">GAD clinical disorder severity </w:t>
            </w:r>
            <w:proofErr w:type="spellStart"/>
            <w:r w:rsidRPr="00B446DF">
              <w:rPr>
                <w:rFonts w:asciiTheme="minorHAnsi" w:hAnsiTheme="minorHAnsi"/>
                <w:sz w:val="17"/>
                <w:szCs w:val="17"/>
              </w:rPr>
              <w:t>rating</w:t>
            </w:r>
            <w:r w:rsidR="000E014B" w:rsidRPr="00B446DF">
              <w:rPr>
                <w:rFonts w:asciiTheme="minorHAnsi" w:hAnsiTheme="minorHAnsi"/>
                <w:sz w:val="17"/>
                <w:szCs w:val="17"/>
                <w:vertAlign w:val="superscript"/>
              </w:rPr>
              <w:t>e</w:t>
            </w:r>
            <w:proofErr w:type="spellEnd"/>
          </w:p>
        </w:tc>
        <w:tc>
          <w:tcPr>
            <w:tcW w:w="452" w:type="pct"/>
          </w:tcPr>
          <w:p w14:paraId="7B1DC90C" w14:textId="77777777" w:rsidR="00C57A24" w:rsidRPr="00EC43D0" w:rsidRDefault="00C57A24" w:rsidP="00032990">
            <w:pPr>
              <w:jc w:val="center"/>
              <w:rPr>
                <w:rFonts w:asciiTheme="minorHAnsi" w:hAnsiTheme="minorHAnsi"/>
                <w:sz w:val="17"/>
                <w:szCs w:val="17"/>
              </w:rPr>
            </w:pPr>
            <w:r w:rsidRPr="00EC43D0">
              <w:rPr>
                <w:rFonts w:asciiTheme="minorHAnsi" w:hAnsiTheme="minorHAnsi"/>
                <w:sz w:val="17"/>
                <w:szCs w:val="17"/>
              </w:rPr>
              <w:t>88</w:t>
            </w:r>
          </w:p>
        </w:tc>
        <w:tc>
          <w:tcPr>
            <w:tcW w:w="485" w:type="pct"/>
          </w:tcPr>
          <w:p w14:paraId="40B6B8FC" w14:textId="77777777" w:rsidR="00C57A24" w:rsidRPr="00EC43D0" w:rsidRDefault="00C57A24" w:rsidP="00032990">
            <w:pPr>
              <w:jc w:val="center"/>
              <w:rPr>
                <w:rFonts w:asciiTheme="minorHAnsi" w:hAnsiTheme="minorHAnsi"/>
                <w:sz w:val="17"/>
                <w:szCs w:val="17"/>
              </w:rPr>
            </w:pPr>
            <w:r w:rsidRPr="00EC43D0">
              <w:rPr>
                <w:rFonts w:asciiTheme="minorHAnsi" w:hAnsiTheme="minorHAnsi"/>
                <w:sz w:val="17"/>
                <w:szCs w:val="17"/>
              </w:rPr>
              <w:t>3.26</w:t>
            </w:r>
          </w:p>
        </w:tc>
        <w:tc>
          <w:tcPr>
            <w:tcW w:w="460" w:type="pct"/>
          </w:tcPr>
          <w:p w14:paraId="3CE37D7B" w14:textId="77777777" w:rsidR="00C57A24" w:rsidRPr="00EC43D0" w:rsidRDefault="00C57A24" w:rsidP="00032990">
            <w:pPr>
              <w:jc w:val="center"/>
              <w:rPr>
                <w:rFonts w:asciiTheme="minorHAnsi" w:hAnsiTheme="minorHAnsi"/>
                <w:sz w:val="17"/>
                <w:szCs w:val="17"/>
              </w:rPr>
            </w:pPr>
            <w:r w:rsidRPr="00EC43D0">
              <w:rPr>
                <w:rFonts w:asciiTheme="minorHAnsi" w:hAnsiTheme="minorHAnsi"/>
                <w:sz w:val="17"/>
                <w:szCs w:val="17"/>
              </w:rPr>
              <w:t>1.5</w:t>
            </w:r>
          </w:p>
        </w:tc>
        <w:tc>
          <w:tcPr>
            <w:tcW w:w="346" w:type="pct"/>
          </w:tcPr>
          <w:p w14:paraId="7E519AAA" w14:textId="77777777" w:rsidR="00C57A24" w:rsidRPr="00EC43D0" w:rsidRDefault="00C57A24" w:rsidP="00032990">
            <w:pPr>
              <w:jc w:val="center"/>
              <w:rPr>
                <w:rFonts w:asciiTheme="minorHAnsi" w:hAnsiTheme="minorHAnsi"/>
                <w:color w:val="000000" w:themeColor="text1"/>
                <w:sz w:val="17"/>
                <w:szCs w:val="17"/>
              </w:rPr>
            </w:pPr>
            <w:r w:rsidRPr="00EC43D0">
              <w:rPr>
                <w:rFonts w:asciiTheme="minorHAnsi" w:hAnsiTheme="minorHAnsi"/>
                <w:color w:val="000000" w:themeColor="text1"/>
                <w:sz w:val="17"/>
                <w:szCs w:val="17"/>
              </w:rPr>
              <w:t>88</w:t>
            </w:r>
          </w:p>
        </w:tc>
        <w:tc>
          <w:tcPr>
            <w:tcW w:w="390" w:type="pct"/>
          </w:tcPr>
          <w:p w14:paraId="1BA77ACC" w14:textId="77777777" w:rsidR="00C57A24" w:rsidRPr="00EC43D0" w:rsidRDefault="00C57A24" w:rsidP="00032990">
            <w:pPr>
              <w:jc w:val="center"/>
              <w:rPr>
                <w:rFonts w:asciiTheme="minorHAnsi" w:hAnsiTheme="minorHAnsi"/>
                <w:color w:val="000000" w:themeColor="text1"/>
                <w:sz w:val="17"/>
                <w:szCs w:val="17"/>
              </w:rPr>
            </w:pPr>
            <w:r w:rsidRPr="00EC43D0">
              <w:rPr>
                <w:rFonts w:asciiTheme="minorHAnsi" w:hAnsiTheme="minorHAnsi"/>
                <w:color w:val="000000" w:themeColor="text1"/>
                <w:sz w:val="17"/>
                <w:szCs w:val="17"/>
              </w:rPr>
              <w:t>1.82</w:t>
            </w:r>
          </w:p>
        </w:tc>
        <w:tc>
          <w:tcPr>
            <w:tcW w:w="395" w:type="pct"/>
          </w:tcPr>
          <w:p w14:paraId="031EB483" w14:textId="77777777" w:rsidR="00C57A24" w:rsidRPr="00EC43D0" w:rsidRDefault="00C57A24" w:rsidP="00032990">
            <w:pPr>
              <w:jc w:val="center"/>
              <w:rPr>
                <w:rFonts w:asciiTheme="minorHAnsi" w:hAnsiTheme="minorHAnsi"/>
                <w:color w:val="000000" w:themeColor="text1"/>
                <w:sz w:val="17"/>
                <w:szCs w:val="17"/>
              </w:rPr>
            </w:pPr>
            <w:r w:rsidRPr="00EC43D0">
              <w:rPr>
                <w:rFonts w:asciiTheme="minorHAnsi" w:hAnsiTheme="minorHAnsi"/>
                <w:color w:val="000000" w:themeColor="text1"/>
                <w:sz w:val="17"/>
                <w:szCs w:val="17"/>
              </w:rPr>
              <w:t>1.6</w:t>
            </w:r>
          </w:p>
        </w:tc>
        <w:tc>
          <w:tcPr>
            <w:tcW w:w="585" w:type="pct"/>
          </w:tcPr>
          <w:p w14:paraId="2A0A5B30" w14:textId="77777777" w:rsidR="00C57A24" w:rsidRPr="00DF2CE1" w:rsidRDefault="00C57A24" w:rsidP="00032990">
            <w:pPr>
              <w:jc w:val="center"/>
              <w:rPr>
                <w:rFonts w:asciiTheme="minorHAnsi" w:hAnsiTheme="minorHAnsi"/>
                <w:sz w:val="17"/>
                <w:szCs w:val="17"/>
              </w:rPr>
            </w:pPr>
            <w:r w:rsidRPr="00DF2CE1">
              <w:rPr>
                <w:rFonts w:asciiTheme="minorHAnsi" w:hAnsiTheme="minorHAnsi"/>
                <w:sz w:val="17"/>
                <w:szCs w:val="17"/>
              </w:rPr>
              <w:t>1.22</w:t>
            </w:r>
          </w:p>
          <w:p w14:paraId="4BFFB53E" w14:textId="62DDDA91" w:rsidR="00AC4E4D" w:rsidRPr="00DF2CE1" w:rsidRDefault="00AC4E4D" w:rsidP="00032990">
            <w:pPr>
              <w:jc w:val="center"/>
              <w:rPr>
                <w:rFonts w:asciiTheme="minorHAnsi" w:hAnsiTheme="minorHAnsi"/>
                <w:sz w:val="17"/>
                <w:szCs w:val="17"/>
              </w:rPr>
            </w:pPr>
            <w:r w:rsidRPr="00DF2CE1">
              <w:rPr>
                <w:rFonts w:asciiTheme="minorHAnsi" w:hAnsiTheme="minorHAnsi"/>
                <w:sz w:val="17"/>
                <w:szCs w:val="17"/>
              </w:rPr>
              <w:t>(</w:t>
            </w:r>
            <w:r w:rsidR="004E7705" w:rsidRPr="00DF2CE1">
              <w:rPr>
                <w:rFonts w:asciiTheme="minorHAnsi" w:hAnsiTheme="minorHAnsi"/>
                <w:sz w:val="17"/>
                <w:szCs w:val="17"/>
              </w:rPr>
              <w:t>1.1, 1.8)</w:t>
            </w:r>
          </w:p>
        </w:tc>
      </w:tr>
      <w:tr w:rsidR="00490E55" w:rsidRPr="00EC43D0" w14:paraId="6EE00893" w14:textId="77777777" w:rsidTr="006B3660">
        <w:tc>
          <w:tcPr>
            <w:tcW w:w="933" w:type="pct"/>
          </w:tcPr>
          <w:p w14:paraId="3DE666CD" w14:textId="4448B233" w:rsidR="00C57A24" w:rsidRPr="00EC43D0" w:rsidRDefault="00C57A24" w:rsidP="00032990">
            <w:pPr>
              <w:pStyle w:val="ListParagraph"/>
              <w:numPr>
                <w:ilvl w:val="0"/>
                <w:numId w:val="6"/>
              </w:numPr>
              <w:ind w:left="316" w:right="37" w:hanging="316"/>
              <w:rPr>
                <w:sz w:val="17"/>
                <w:szCs w:val="17"/>
              </w:rPr>
            </w:pPr>
            <w:r w:rsidRPr="00EC43D0">
              <w:rPr>
                <w:sz w:val="17"/>
                <w:szCs w:val="17"/>
              </w:rPr>
              <w:t>Self-directed</w:t>
            </w:r>
            <w:r w:rsidR="002E45D4" w:rsidRPr="00EC43D0">
              <w:rPr>
                <w:sz w:val="17"/>
                <w:szCs w:val="17"/>
              </w:rPr>
              <w:t xml:space="preserve"> </w:t>
            </w:r>
            <w:r w:rsidRPr="00EC43D0">
              <w:rPr>
                <w:sz w:val="17"/>
                <w:szCs w:val="17"/>
              </w:rPr>
              <w:t xml:space="preserve">Panic </w:t>
            </w:r>
            <w:proofErr w:type="spellStart"/>
            <w:proofErr w:type="gramStart"/>
            <w:r w:rsidRPr="00EC43D0">
              <w:rPr>
                <w:sz w:val="17"/>
                <w:szCs w:val="17"/>
              </w:rPr>
              <w:t>Stop!</w:t>
            </w:r>
            <w:r w:rsidR="001F4E3C" w:rsidRPr="00EC43D0">
              <w:rPr>
                <w:sz w:val="17"/>
                <w:szCs w:val="17"/>
                <w:vertAlign w:val="superscript"/>
              </w:rPr>
              <w:t>d</w:t>
            </w:r>
            <w:proofErr w:type="spellEnd"/>
            <w:proofErr w:type="gramEnd"/>
          </w:p>
        </w:tc>
        <w:tc>
          <w:tcPr>
            <w:tcW w:w="956" w:type="pct"/>
          </w:tcPr>
          <w:p w14:paraId="4B029EE3" w14:textId="48AC932F" w:rsidR="00C57A24" w:rsidRPr="00B446DF" w:rsidRDefault="00C57A24" w:rsidP="00032990">
            <w:pPr>
              <w:jc w:val="center"/>
              <w:rPr>
                <w:rFonts w:asciiTheme="minorHAnsi" w:hAnsiTheme="minorHAnsi"/>
                <w:sz w:val="17"/>
                <w:szCs w:val="17"/>
              </w:rPr>
            </w:pPr>
            <w:r w:rsidRPr="00B446DF">
              <w:rPr>
                <w:rFonts w:asciiTheme="minorHAnsi" w:hAnsiTheme="minorHAnsi"/>
                <w:sz w:val="17"/>
                <w:szCs w:val="17"/>
              </w:rPr>
              <w:t xml:space="preserve">PD clinical disorder severity </w:t>
            </w:r>
            <w:proofErr w:type="spellStart"/>
            <w:r w:rsidRPr="00B446DF">
              <w:rPr>
                <w:rFonts w:asciiTheme="minorHAnsi" w:hAnsiTheme="minorHAnsi"/>
                <w:sz w:val="17"/>
                <w:szCs w:val="17"/>
              </w:rPr>
              <w:t>rating</w:t>
            </w:r>
            <w:r w:rsidR="000E014B" w:rsidRPr="00B446DF">
              <w:rPr>
                <w:rFonts w:asciiTheme="minorHAnsi" w:hAnsiTheme="minorHAnsi"/>
                <w:sz w:val="17"/>
                <w:szCs w:val="17"/>
                <w:vertAlign w:val="superscript"/>
              </w:rPr>
              <w:t>e</w:t>
            </w:r>
            <w:proofErr w:type="spellEnd"/>
          </w:p>
        </w:tc>
        <w:tc>
          <w:tcPr>
            <w:tcW w:w="452" w:type="pct"/>
          </w:tcPr>
          <w:p w14:paraId="3E965131"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40</w:t>
            </w:r>
          </w:p>
        </w:tc>
        <w:tc>
          <w:tcPr>
            <w:tcW w:w="485" w:type="pct"/>
          </w:tcPr>
          <w:p w14:paraId="27B59FC4"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3.13</w:t>
            </w:r>
          </w:p>
        </w:tc>
        <w:tc>
          <w:tcPr>
            <w:tcW w:w="460" w:type="pct"/>
          </w:tcPr>
          <w:p w14:paraId="7DBEE94E"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1.9</w:t>
            </w:r>
          </w:p>
        </w:tc>
        <w:tc>
          <w:tcPr>
            <w:tcW w:w="346" w:type="pct"/>
          </w:tcPr>
          <w:p w14:paraId="20096400"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40</w:t>
            </w:r>
          </w:p>
        </w:tc>
        <w:tc>
          <w:tcPr>
            <w:tcW w:w="390" w:type="pct"/>
          </w:tcPr>
          <w:p w14:paraId="234E27D9"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1.63</w:t>
            </w:r>
          </w:p>
        </w:tc>
        <w:tc>
          <w:tcPr>
            <w:tcW w:w="395" w:type="pct"/>
          </w:tcPr>
          <w:p w14:paraId="085B6D21"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2.2</w:t>
            </w:r>
          </w:p>
        </w:tc>
        <w:tc>
          <w:tcPr>
            <w:tcW w:w="585" w:type="pct"/>
          </w:tcPr>
          <w:p w14:paraId="293D8274" w14:textId="77777777" w:rsidR="00C57A24" w:rsidRPr="00DF2CE1" w:rsidRDefault="00C57A24" w:rsidP="00032990">
            <w:pPr>
              <w:jc w:val="center"/>
              <w:rPr>
                <w:rFonts w:asciiTheme="minorHAnsi" w:hAnsiTheme="minorHAnsi"/>
                <w:color w:val="000000"/>
                <w:sz w:val="17"/>
                <w:szCs w:val="17"/>
              </w:rPr>
            </w:pPr>
            <w:r w:rsidRPr="00DF2CE1">
              <w:rPr>
                <w:rFonts w:asciiTheme="minorHAnsi" w:hAnsiTheme="minorHAnsi"/>
                <w:color w:val="000000"/>
                <w:sz w:val="17"/>
                <w:szCs w:val="17"/>
              </w:rPr>
              <w:t>1.12</w:t>
            </w:r>
          </w:p>
          <w:p w14:paraId="36762E6E" w14:textId="7E2FCA99" w:rsidR="004E7705" w:rsidRPr="00DF2CE1" w:rsidRDefault="004E7705" w:rsidP="00032990">
            <w:pPr>
              <w:jc w:val="center"/>
              <w:rPr>
                <w:rFonts w:asciiTheme="minorHAnsi" w:hAnsiTheme="minorHAnsi"/>
                <w:sz w:val="17"/>
                <w:szCs w:val="17"/>
              </w:rPr>
            </w:pPr>
            <w:r w:rsidRPr="00DF2CE1">
              <w:rPr>
                <w:rFonts w:asciiTheme="minorHAnsi" w:hAnsiTheme="minorHAnsi"/>
                <w:sz w:val="17"/>
                <w:szCs w:val="17"/>
              </w:rPr>
              <w:t>(0.9, 2.1)</w:t>
            </w:r>
          </w:p>
        </w:tc>
      </w:tr>
      <w:tr w:rsidR="00490E55" w:rsidRPr="00EC43D0" w14:paraId="765BFDF6" w14:textId="77777777" w:rsidTr="006B3660">
        <w:tc>
          <w:tcPr>
            <w:tcW w:w="933" w:type="pct"/>
          </w:tcPr>
          <w:p w14:paraId="1593609C" w14:textId="11FAF89E" w:rsidR="00C57A24" w:rsidRPr="00EC43D0" w:rsidRDefault="00C57A24" w:rsidP="00032990">
            <w:pPr>
              <w:pStyle w:val="ListParagraph"/>
              <w:numPr>
                <w:ilvl w:val="0"/>
                <w:numId w:val="6"/>
              </w:numPr>
              <w:ind w:left="316" w:right="37" w:hanging="316"/>
              <w:rPr>
                <w:sz w:val="17"/>
                <w:szCs w:val="17"/>
              </w:rPr>
            </w:pPr>
            <w:r w:rsidRPr="00EC43D0">
              <w:rPr>
                <w:sz w:val="17"/>
                <w:szCs w:val="17"/>
              </w:rPr>
              <w:t>Self-directed</w:t>
            </w:r>
            <w:r w:rsidR="00F37B10" w:rsidRPr="00EC43D0">
              <w:rPr>
                <w:sz w:val="17"/>
                <w:szCs w:val="17"/>
              </w:rPr>
              <w:t xml:space="preserve"> </w:t>
            </w:r>
            <w:r w:rsidRPr="00EC43D0">
              <w:rPr>
                <w:sz w:val="17"/>
                <w:szCs w:val="17"/>
              </w:rPr>
              <w:t xml:space="preserve">OCD </w:t>
            </w:r>
            <w:proofErr w:type="spellStart"/>
            <w:proofErr w:type="gramStart"/>
            <w:r w:rsidRPr="00EC43D0">
              <w:rPr>
                <w:sz w:val="17"/>
                <w:szCs w:val="17"/>
              </w:rPr>
              <w:t>Stop!</w:t>
            </w:r>
            <w:r w:rsidR="001F4E3C" w:rsidRPr="00EC43D0">
              <w:rPr>
                <w:sz w:val="17"/>
                <w:szCs w:val="17"/>
                <w:vertAlign w:val="superscript"/>
              </w:rPr>
              <w:t>d</w:t>
            </w:r>
            <w:proofErr w:type="spellEnd"/>
            <w:proofErr w:type="gramEnd"/>
          </w:p>
        </w:tc>
        <w:tc>
          <w:tcPr>
            <w:tcW w:w="956" w:type="pct"/>
          </w:tcPr>
          <w:p w14:paraId="51EE05C1" w14:textId="1F975B6D" w:rsidR="00C57A24" w:rsidRPr="00B446DF" w:rsidRDefault="00C57A24" w:rsidP="00032990">
            <w:pPr>
              <w:jc w:val="center"/>
              <w:rPr>
                <w:rFonts w:asciiTheme="minorHAnsi" w:hAnsiTheme="minorHAnsi"/>
                <w:sz w:val="17"/>
                <w:szCs w:val="17"/>
              </w:rPr>
            </w:pPr>
            <w:r w:rsidRPr="00B446DF">
              <w:rPr>
                <w:rFonts w:asciiTheme="minorHAnsi" w:hAnsiTheme="minorHAnsi"/>
                <w:sz w:val="17"/>
                <w:szCs w:val="17"/>
              </w:rPr>
              <w:t xml:space="preserve">OCD clinical disorder severity </w:t>
            </w:r>
            <w:proofErr w:type="spellStart"/>
            <w:r w:rsidRPr="00B446DF">
              <w:rPr>
                <w:rFonts w:asciiTheme="minorHAnsi" w:hAnsiTheme="minorHAnsi"/>
                <w:sz w:val="17"/>
                <w:szCs w:val="17"/>
              </w:rPr>
              <w:t>rating</w:t>
            </w:r>
            <w:r w:rsidR="000E014B" w:rsidRPr="00B446DF">
              <w:rPr>
                <w:rFonts w:asciiTheme="minorHAnsi" w:hAnsiTheme="minorHAnsi"/>
                <w:sz w:val="17"/>
                <w:szCs w:val="17"/>
                <w:vertAlign w:val="superscript"/>
              </w:rPr>
              <w:t>e</w:t>
            </w:r>
            <w:proofErr w:type="spellEnd"/>
          </w:p>
        </w:tc>
        <w:tc>
          <w:tcPr>
            <w:tcW w:w="452" w:type="pct"/>
          </w:tcPr>
          <w:p w14:paraId="335FA916"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17</w:t>
            </w:r>
          </w:p>
        </w:tc>
        <w:tc>
          <w:tcPr>
            <w:tcW w:w="485" w:type="pct"/>
          </w:tcPr>
          <w:p w14:paraId="77E68103"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2.33</w:t>
            </w:r>
          </w:p>
        </w:tc>
        <w:tc>
          <w:tcPr>
            <w:tcW w:w="460" w:type="pct"/>
          </w:tcPr>
          <w:p w14:paraId="60F04FFE"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0.9</w:t>
            </w:r>
          </w:p>
        </w:tc>
        <w:tc>
          <w:tcPr>
            <w:tcW w:w="346" w:type="pct"/>
          </w:tcPr>
          <w:p w14:paraId="7E399F82"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17</w:t>
            </w:r>
          </w:p>
        </w:tc>
        <w:tc>
          <w:tcPr>
            <w:tcW w:w="390" w:type="pct"/>
          </w:tcPr>
          <w:p w14:paraId="03A92F13"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1.52</w:t>
            </w:r>
          </w:p>
        </w:tc>
        <w:tc>
          <w:tcPr>
            <w:tcW w:w="395" w:type="pct"/>
          </w:tcPr>
          <w:p w14:paraId="0C7F8E4C"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1.8</w:t>
            </w:r>
          </w:p>
        </w:tc>
        <w:tc>
          <w:tcPr>
            <w:tcW w:w="585" w:type="pct"/>
          </w:tcPr>
          <w:p w14:paraId="5E94BDC3" w14:textId="77777777" w:rsidR="00C57A24" w:rsidRPr="00DF2CE1" w:rsidRDefault="00C57A24" w:rsidP="00032990">
            <w:pPr>
              <w:jc w:val="center"/>
              <w:rPr>
                <w:rFonts w:asciiTheme="minorHAnsi" w:hAnsiTheme="minorHAnsi"/>
                <w:color w:val="000000"/>
                <w:sz w:val="17"/>
                <w:szCs w:val="17"/>
              </w:rPr>
            </w:pPr>
            <w:r w:rsidRPr="00DF2CE1">
              <w:rPr>
                <w:rFonts w:asciiTheme="minorHAnsi" w:hAnsiTheme="minorHAnsi"/>
                <w:color w:val="000000"/>
                <w:sz w:val="17"/>
                <w:szCs w:val="17"/>
              </w:rPr>
              <w:t>0.83</w:t>
            </w:r>
          </w:p>
          <w:p w14:paraId="1482BB66" w14:textId="112AB057" w:rsidR="004E7705" w:rsidRPr="00DF2CE1" w:rsidRDefault="004E7705" w:rsidP="00032990">
            <w:pPr>
              <w:jc w:val="center"/>
              <w:rPr>
                <w:rFonts w:asciiTheme="minorHAnsi" w:hAnsiTheme="minorHAnsi"/>
                <w:sz w:val="17"/>
                <w:szCs w:val="17"/>
              </w:rPr>
            </w:pPr>
            <w:r w:rsidRPr="00DF2CE1">
              <w:rPr>
                <w:rFonts w:asciiTheme="minorHAnsi" w:hAnsiTheme="minorHAnsi"/>
                <w:color w:val="000000"/>
                <w:sz w:val="17"/>
                <w:szCs w:val="17"/>
              </w:rPr>
              <w:t>(0.04, 1.6)</w:t>
            </w:r>
          </w:p>
        </w:tc>
      </w:tr>
      <w:tr w:rsidR="00490E55" w:rsidRPr="00EC43D0" w14:paraId="761F73E6" w14:textId="77777777" w:rsidTr="006B3660">
        <w:tc>
          <w:tcPr>
            <w:tcW w:w="933" w:type="pct"/>
          </w:tcPr>
          <w:p w14:paraId="7B05A3C1" w14:textId="79A066A3" w:rsidR="00C57A24" w:rsidRPr="00EC43D0" w:rsidRDefault="00C57A24" w:rsidP="00032990">
            <w:pPr>
              <w:pStyle w:val="ListParagraph"/>
              <w:numPr>
                <w:ilvl w:val="0"/>
                <w:numId w:val="6"/>
              </w:numPr>
              <w:ind w:left="316" w:right="37" w:hanging="316"/>
              <w:rPr>
                <w:sz w:val="17"/>
                <w:szCs w:val="17"/>
              </w:rPr>
            </w:pPr>
            <w:r w:rsidRPr="00EC43D0">
              <w:rPr>
                <w:sz w:val="17"/>
                <w:szCs w:val="17"/>
              </w:rPr>
              <w:t>Self-directed</w:t>
            </w:r>
            <w:r w:rsidR="00F37B10" w:rsidRPr="00EC43D0">
              <w:rPr>
                <w:sz w:val="17"/>
                <w:szCs w:val="17"/>
              </w:rPr>
              <w:t xml:space="preserve"> </w:t>
            </w:r>
            <w:r w:rsidRPr="00EC43D0">
              <w:rPr>
                <w:sz w:val="17"/>
                <w:szCs w:val="17"/>
              </w:rPr>
              <w:t xml:space="preserve">PTSD </w:t>
            </w:r>
            <w:proofErr w:type="spellStart"/>
            <w:r w:rsidRPr="00EC43D0">
              <w:rPr>
                <w:sz w:val="17"/>
                <w:szCs w:val="17"/>
              </w:rPr>
              <w:t>Online</w:t>
            </w:r>
            <w:r w:rsidR="001F4E3C" w:rsidRPr="00EC43D0">
              <w:rPr>
                <w:sz w:val="17"/>
                <w:szCs w:val="17"/>
                <w:vertAlign w:val="superscript"/>
              </w:rPr>
              <w:t>d</w:t>
            </w:r>
            <w:proofErr w:type="spellEnd"/>
            <w:r w:rsidRPr="00EC43D0">
              <w:rPr>
                <w:sz w:val="17"/>
                <w:szCs w:val="17"/>
              </w:rPr>
              <w:t xml:space="preserve"> </w:t>
            </w:r>
          </w:p>
        </w:tc>
        <w:tc>
          <w:tcPr>
            <w:tcW w:w="956" w:type="pct"/>
          </w:tcPr>
          <w:p w14:paraId="22682724" w14:textId="0C9B26EA" w:rsidR="00C57A24" w:rsidRPr="00B446DF" w:rsidRDefault="00C57A24" w:rsidP="00032990">
            <w:pPr>
              <w:jc w:val="center"/>
              <w:rPr>
                <w:rFonts w:asciiTheme="minorHAnsi" w:hAnsiTheme="minorHAnsi"/>
                <w:sz w:val="17"/>
                <w:szCs w:val="17"/>
              </w:rPr>
            </w:pPr>
            <w:r w:rsidRPr="00B446DF">
              <w:rPr>
                <w:rFonts w:asciiTheme="minorHAnsi" w:hAnsiTheme="minorHAnsi"/>
                <w:sz w:val="17"/>
                <w:szCs w:val="17"/>
              </w:rPr>
              <w:t xml:space="preserve">PTSD clinical disorder severity </w:t>
            </w:r>
            <w:proofErr w:type="spellStart"/>
            <w:r w:rsidRPr="00B446DF">
              <w:rPr>
                <w:rFonts w:asciiTheme="minorHAnsi" w:hAnsiTheme="minorHAnsi"/>
                <w:sz w:val="17"/>
                <w:szCs w:val="17"/>
              </w:rPr>
              <w:t>rating</w:t>
            </w:r>
            <w:r w:rsidR="000E014B" w:rsidRPr="00B446DF">
              <w:rPr>
                <w:rFonts w:asciiTheme="minorHAnsi" w:hAnsiTheme="minorHAnsi"/>
                <w:sz w:val="17"/>
                <w:szCs w:val="17"/>
                <w:vertAlign w:val="superscript"/>
              </w:rPr>
              <w:t>e</w:t>
            </w:r>
            <w:proofErr w:type="spellEnd"/>
          </w:p>
        </w:tc>
        <w:tc>
          <w:tcPr>
            <w:tcW w:w="452" w:type="pct"/>
          </w:tcPr>
          <w:p w14:paraId="10B245A8"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30</w:t>
            </w:r>
          </w:p>
        </w:tc>
        <w:tc>
          <w:tcPr>
            <w:tcW w:w="485" w:type="pct"/>
          </w:tcPr>
          <w:p w14:paraId="2226ECA4"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3.17</w:t>
            </w:r>
          </w:p>
        </w:tc>
        <w:tc>
          <w:tcPr>
            <w:tcW w:w="460" w:type="pct"/>
          </w:tcPr>
          <w:p w14:paraId="4A51024E"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1.6</w:t>
            </w:r>
          </w:p>
        </w:tc>
        <w:tc>
          <w:tcPr>
            <w:tcW w:w="346" w:type="pct"/>
          </w:tcPr>
          <w:p w14:paraId="20D2430E"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30</w:t>
            </w:r>
          </w:p>
        </w:tc>
        <w:tc>
          <w:tcPr>
            <w:tcW w:w="390" w:type="pct"/>
          </w:tcPr>
          <w:p w14:paraId="3D6325F6"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1.98</w:t>
            </w:r>
          </w:p>
        </w:tc>
        <w:tc>
          <w:tcPr>
            <w:tcW w:w="395" w:type="pct"/>
          </w:tcPr>
          <w:p w14:paraId="1FB418D9"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1.8</w:t>
            </w:r>
          </w:p>
        </w:tc>
        <w:tc>
          <w:tcPr>
            <w:tcW w:w="585" w:type="pct"/>
          </w:tcPr>
          <w:p w14:paraId="164D34E3" w14:textId="77777777" w:rsidR="00C57A24" w:rsidRPr="00DF2CE1" w:rsidRDefault="00C57A24" w:rsidP="00032990">
            <w:pPr>
              <w:jc w:val="center"/>
              <w:rPr>
                <w:rFonts w:asciiTheme="minorHAnsi" w:hAnsiTheme="minorHAnsi"/>
                <w:color w:val="000000"/>
                <w:sz w:val="17"/>
                <w:szCs w:val="17"/>
              </w:rPr>
            </w:pPr>
            <w:r w:rsidRPr="00DF2CE1">
              <w:rPr>
                <w:rFonts w:asciiTheme="minorHAnsi" w:hAnsiTheme="minorHAnsi"/>
                <w:color w:val="000000"/>
                <w:sz w:val="17"/>
                <w:szCs w:val="17"/>
              </w:rPr>
              <w:t>0.72</w:t>
            </w:r>
          </w:p>
          <w:p w14:paraId="5B2A0570" w14:textId="735C24F5" w:rsidR="004E7705" w:rsidRPr="00DF2CE1" w:rsidRDefault="004E7705" w:rsidP="00032990">
            <w:pPr>
              <w:jc w:val="center"/>
              <w:rPr>
                <w:rFonts w:asciiTheme="minorHAnsi" w:hAnsiTheme="minorHAnsi"/>
                <w:sz w:val="17"/>
                <w:szCs w:val="17"/>
              </w:rPr>
            </w:pPr>
            <w:r w:rsidRPr="00DF2CE1">
              <w:rPr>
                <w:rFonts w:asciiTheme="minorHAnsi" w:hAnsiTheme="minorHAnsi"/>
                <w:color w:val="000000"/>
                <w:sz w:val="17"/>
                <w:szCs w:val="17"/>
              </w:rPr>
              <w:t>(0.3, 2.1)</w:t>
            </w:r>
          </w:p>
        </w:tc>
      </w:tr>
      <w:tr w:rsidR="00490E55" w:rsidRPr="00EC43D0" w14:paraId="6D78F6E6" w14:textId="77777777" w:rsidTr="006B3660">
        <w:tc>
          <w:tcPr>
            <w:tcW w:w="933" w:type="pct"/>
          </w:tcPr>
          <w:p w14:paraId="48E9FE66" w14:textId="61168A3F" w:rsidR="00C57A24" w:rsidRPr="00EC43D0" w:rsidRDefault="00C57A24" w:rsidP="00032990">
            <w:pPr>
              <w:pStyle w:val="ListParagraph"/>
              <w:numPr>
                <w:ilvl w:val="0"/>
                <w:numId w:val="6"/>
              </w:numPr>
              <w:ind w:left="316" w:right="37" w:hanging="316"/>
              <w:rPr>
                <w:sz w:val="17"/>
                <w:szCs w:val="17"/>
              </w:rPr>
            </w:pPr>
            <w:r w:rsidRPr="00EC43D0">
              <w:rPr>
                <w:sz w:val="17"/>
                <w:szCs w:val="17"/>
              </w:rPr>
              <w:t>Self-directed</w:t>
            </w:r>
            <w:r w:rsidR="00F37B10" w:rsidRPr="00EC43D0">
              <w:rPr>
                <w:sz w:val="17"/>
                <w:szCs w:val="17"/>
              </w:rPr>
              <w:t xml:space="preserve"> </w:t>
            </w:r>
            <w:r w:rsidRPr="00EC43D0">
              <w:rPr>
                <w:sz w:val="17"/>
                <w:szCs w:val="17"/>
              </w:rPr>
              <w:t xml:space="preserve">SAD </w:t>
            </w:r>
            <w:proofErr w:type="spellStart"/>
            <w:r w:rsidRPr="00EC43D0">
              <w:rPr>
                <w:sz w:val="17"/>
                <w:szCs w:val="17"/>
              </w:rPr>
              <w:t>Online</w:t>
            </w:r>
            <w:r w:rsidR="001F4E3C" w:rsidRPr="00EC43D0">
              <w:rPr>
                <w:sz w:val="17"/>
                <w:szCs w:val="17"/>
                <w:vertAlign w:val="superscript"/>
              </w:rPr>
              <w:t>d</w:t>
            </w:r>
            <w:proofErr w:type="spellEnd"/>
          </w:p>
        </w:tc>
        <w:tc>
          <w:tcPr>
            <w:tcW w:w="956" w:type="pct"/>
          </w:tcPr>
          <w:p w14:paraId="53D1661F" w14:textId="77777777" w:rsidR="00C57A24" w:rsidRPr="00B446DF" w:rsidRDefault="00C57A24" w:rsidP="00032990">
            <w:pPr>
              <w:jc w:val="center"/>
              <w:rPr>
                <w:rFonts w:asciiTheme="minorHAnsi" w:hAnsiTheme="minorHAnsi"/>
                <w:sz w:val="17"/>
                <w:szCs w:val="17"/>
              </w:rPr>
            </w:pPr>
            <w:r w:rsidRPr="00B446DF">
              <w:rPr>
                <w:rFonts w:asciiTheme="minorHAnsi" w:hAnsiTheme="minorHAnsi"/>
                <w:sz w:val="17"/>
                <w:szCs w:val="17"/>
              </w:rPr>
              <w:t>SAD</w:t>
            </w:r>
          </w:p>
          <w:p w14:paraId="23478FA6" w14:textId="373088F8" w:rsidR="00C57A24" w:rsidRPr="00B446DF" w:rsidRDefault="00C57A24" w:rsidP="00032990">
            <w:pPr>
              <w:jc w:val="center"/>
              <w:rPr>
                <w:rFonts w:asciiTheme="minorHAnsi" w:hAnsiTheme="minorHAnsi"/>
                <w:sz w:val="17"/>
                <w:szCs w:val="17"/>
              </w:rPr>
            </w:pPr>
            <w:r w:rsidRPr="00B446DF">
              <w:rPr>
                <w:rFonts w:asciiTheme="minorHAnsi" w:hAnsiTheme="minorHAnsi"/>
                <w:sz w:val="17"/>
                <w:szCs w:val="17"/>
              </w:rPr>
              <w:t xml:space="preserve">clinical disorder severity </w:t>
            </w:r>
            <w:proofErr w:type="spellStart"/>
            <w:r w:rsidRPr="00B446DF">
              <w:rPr>
                <w:rFonts w:asciiTheme="minorHAnsi" w:hAnsiTheme="minorHAnsi"/>
                <w:sz w:val="17"/>
                <w:szCs w:val="17"/>
              </w:rPr>
              <w:t>rating</w:t>
            </w:r>
            <w:r w:rsidR="000E014B" w:rsidRPr="00B446DF">
              <w:rPr>
                <w:rFonts w:asciiTheme="minorHAnsi" w:hAnsiTheme="minorHAnsi"/>
                <w:sz w:val="17"/>
                <w:szCs w:val="17"/>
                <w:vertAlign w:val="superscript"/>
              </w:rPr>
              <w:t>e</w:t>
            </w:r>
            <w:proofErr w:type="spellEnd"/>
          </w:p>
        </w:tc>
        <w:tc>
          <w:tcPr>
            <w:tcW w:w="452" w:type="pct"/>
          </w:tcPr>
          <w:p w14:paraId="0B5EABB9"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50</w:t>
            </w:r>
          </w:p>
        </w:tc>
        <w:tc>
          <w:tcPr>
            <w:tcW w:w="485" w:type="pct"/>
          </w:tcPr>
          <w:p w14:paraId="49EE9892"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3.1</w:t>
            </w:r>
          </w:p>
        </w:tc>
        <w:tc>
          <w:tcPr>
            <w:tcW w:w="460" w:type="pct"/>
          </w:tcPr>
          <w:p w14:paraId="615FF400"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1.7</w:t>
            </w:r>
          </w:p>
        </w:tc>
        <w:tc>
          <w:tcPr>
            <w:tcW w:w="346" w:type="pct"/>
          </w:tcPr>
          <w:p w14:paraId="39209179"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50</w:t>
            </w:r>
          </w:p>
        </w:tc>
        <w:tc>
          <w:tcPr>
            <w:tcW w:w="390" w:type="pct"/>
          </w:tcPr>
          <w:p w14:paraId="317990E5"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2.2</w:t>
            </w:r>
          </w:p>
        </w:tc>
        <w:tc>
          <w:tcPr>
            <w:tcW w:w="395" w:type="pct"/>
          </w:tcPr>
          <w:p w14:paraId="1FB8750A"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2</w:t>
            </w:r>
          </w:p>
        </w:tc>
        <w:tc>
          <w:tcPr>
            <w:tcW w:w="585" w:type="pct"/>
          </w:tcPr>
          <w:p w14:paraId="53CD1B7B" w14:textId="77777777" w:rsidR="00C57A24" w:rsidRPr="00DF2CE1" w:rsidRDefault="00C57A24" w:rsidP="00032990">
            <w:pPr>
              <w:jc w:val="center"/>
              <w:rPr>
                <w:rFonts w:asciiTheme="minorHAnsi" w:hAnsiTheme="minorHAnsi"/>
                <w:color w:val="000000"/>
                <w:sz w:val="17"/>
                <w:szCs w:val="17"/>
              </w:rPr>
            </w:pPr>
            <w:r w:rsidRPr="00DF2CE1">
              <w:rPr>
                <w:rFonts w:asciiTheme="minorHAnsi" w:hAnsiTheme="minorHAnsi"/>
                <w:color w:val="000000"/>
                <w:sz w:val="17"/>
                <w:szCs w:val="17"/>
              </w:rPr>
              <w:t>0.84</w:t>
            </w:r>
          </w:p>
          <w:p w14:paraId="026EBDEE" w14:textId="1ACCE349" w:rsidR="004E7705" w:rsidRPr="00DF2CE1" w:rsidRDefault="004E7705" w:rsidP="00032990">
            <w:pPr>
              <w:jc w:val="center"/>
              <w:rPr>
                <w:rFonts w:asciiTheme="minorHAnsi" w:hAnsiTheme="minorHAnsi"/>
                <w:sz w:val="17"/>
                <w:szCs w:val="17"/>
              </w:rPr>
            </w:pPr>
            <w:r w:rsidRPr="00DF2CE1">
              <w:rPr>
                <w:rFonts w:asciiTheme="minorHAnsi" w:hAnsiTheme="minorHAnsi"/>
                <w:color w:val="000000"/>
                <w:sz w:val="17"/>
                <w:szCs w:val="17"/>
              </w:rPr>
              <w:t>(0.4, 1.3)</w:t>
            </w:r>
          </w:p>
        </w:tc>
      </w:tr>
      <w:tr w:rsidR="00490E55" w:rsidRPr="00EC43D0" w14:paraId="5E37E58F" w14:textId="77777777" w:rsidTr="006B3660">
        <w:tc>
          <w:tcPr>
            <w:tcW w:w="933" w:type="pct"/>
          </w:tcPr>
          <w:p w14:paraId="54A4D289" w14:textId="1DC7A5A3" w:rsidR="00C57A24" w:rsidRPr="00EC43D0" w:rsidRDefault="00C57A24" w:rsidP="00032990">
            <w:pPr>
              <w:pStyle w:val="ListParagraph"/>
              <w:numPr>
                <w:ilvl w:val="0"/>
                <w:numId w:val="6"/>
              </w:numPr>
              <w:ind w:left="316" w:right="37" w:hanging="316"/>
              <w:rPr>
                <w:sz w:val="17"/>
                <w:szCs w:val="17"/>
              </w:rPr>
            </w:pPr>
            <w:r w:rsidRPr="00EC43D0">
              <w:rPr>
                <w:sz w:val="17"/>
                <w:szCs w:val="17"/>
              </w:rPr>
              <w:t>Self-directed</w:t>
            </w:r>
            <w:r w:rsidR="002E45D4" w:rsidRPr="00EC43D0">
              <w:rPr>
                <w:sz w:val="17"/>
                <w:szCs w:val="17"/>
              </w:rPr>
              <w:t xml:space="preserve"> </w:t>
            </w:r>
            <w:r w:rsidRPr="00EC43D0">
              <w:rPr>
                <w:sz w:val="17"/>
                <w:szCs w:val="17"/>
              </w:rPr>
              <w:t>GAD Online</w:t>
            </w:r>
            <w:r w:rsidR="001F4E3C" w:rsidRPr="00EC43D0">
              <w:rPr>
                <w:sz w:val="17"/>
                <w:szCs w:val="17"/>
                <w:vertAlign w:val="superscript"/>
              </w:rPr>
              <w:t xml:space="preserve"> d</w:t>
            </w:r>
          </w:p>
        </w:tc>
        <w:tc>
          <w:tcPr>
            <w:tcW w:w="956" w:type="pct"/>
          </w:tcPr>
          <w:p w14:paraId="522DC1C9" w14:textId="2AECCFC4" w:rsidR="00C57A24" w:rsidRPr="00B446DF" w:rsidRDefault="00C57A24" w:rsidP="00032990">
            <w:pPr>
              <w:jc w:val="center"/>
              <w:rPr>
                <w:rFonts w:asciiTheme="minorHAnsi" w:hAnsiTheme="minorHAnsi"/>
                <w:sz w:val="17"/>
                <w:szCs w:val="17"/>
              </w:rPr>
            </w:pPr>
            <w:r w:rsidRPr="00B446DF">
              <w:rPr>
                <w:rFonts w:asciiTheme="minorHAnsi" w:hAnsiTheme="minorHAnsi"/>
                <w:sz w:val="17"/>
                <w:szCs w:val="17"/>
              </w:rPr>
              <w:t xml:space="preserve">Quality of </w:t>
            </w:r>
            <w:proofErr w:type="spellStart"/>
            <w:r w:rsidRPr="00B446DF">
              <w:rPr>
                <w:rFonts w:asciiTheme="minorHAnsi" w:hAnsiTheme="minorHAnsi"/>
                <w:sz w:val="17"/>
                <w:szCs w:val="17"/>
              </w:rPr>
              <w:t>life</w:t>
            </w:r>
            <w:r w:rsidR="00026901" w:rsidRPr="00B446DF">
              <w:rPr>
                <w:rFonts w:asciiTheme="minorHAnsi" w:hAnsiTheme="minorHAnsi"/>
                <w:sz w:val="17"/>
                <w:szCs w:val="17"/>
                <w:vertAlign w:val="superscript"/>
              </w:rPr>
              <w:t>f</w:t>
            </w:r>
            <w:proofErr w:type="spellEnd"/>
          </w:p>
        </w:tc>
        <w:tc>
          <w:tcPr>
            <w:tcW w:w="452" w:type="pct"/>
          </w:tcPr>
          <w:p w14:paraId="40702B10"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88</w:t>
            </w:r>
          </w:p>
        </w:tc>
        <w:tc>
          <w:tcPr>
            <w:tcW w:w="485" w:type="pct"/>
          </w:tcPr>
          <w:p w14:paraId="2A30E5FF"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3.37</w:t>
            </w:r>
          </w:p>
        </w:tc>
        <w:tc>
          <w:tcPr>
            <w:tcW w:w="460" w:type="pct"/>
          </w:tcPr>
          <w:p w14:paraId="30F431AB"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0.8</w:t>
            </w:r>
          </w:p>
        </w:tc>
        <w:tc>
          <w:tcPr>
            <w:tcW w:w="346" w:type="pct"/>
          </w:tcPr>
          <w:p w14:paraId="23223248"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88</w:t>
            </w:r>
          </w:p>
        </w:tc>
        <w:tc>
          <w:tcPr>
            <w:tcW w:w="390" w:type="pct"/>
          </w:tcPr>
          <w:p w14:paraId="71EFC0BB"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3.59</w:t>
            </w:r>
          </w:p>
        </w:tc>
        <w:tc>
          <w:tcPr>
            <w:tcW w:w="395" w:type="pct"/>
          </w:tcPr>
          <w:p w14:paraId="15C1B834"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0.8</w:t>
            </w:r>
          </w:p>
        </w:tc>
        <w:tc>
          <w:tcPr>
            <w:tcW w:w="585" w:type="pct"/>
          </w:tcPr>
          <w:p w14:paraId="209BAF60" w14:textId="77777777" w:rsidR="00C57A24" w:rsidRPr="00DF2CE1" w:rsidRDefault="00C57A24" w:rsidP="00032990">
            <w:pPr>
              <w:jc w:val="center"/>
              <w:rPr>
                <w:rFonts w:asciiTheme="minorHAnsi" w:hAnsiTheme="minorHAnsi"/>
                <w:color w:val="000000"/>
                <w:sz w:val="17"/>
                <w:szCs w:val="17"/>
              </w:rPr>
            </w:pPr>
            <w:r w:rsidRPr="00DF2CE1">
              <w:rPr>
                <w:rFonts w:asciiTheme="minorHAnsi" w:hAnsiTheme="minorHAnsi"/>
                <w:color w:val="000000"/>
                <w:sz w:val="17"/>
                <w:szCs w:val="17"/>
              </w:rPr>
              <w:t>0.36</w:t>
            </w:r>
          </w:p>
          <w:p w14:paraId="43C45684" w14:textId="6808F9F1" w:rsidR="004E7705" w:rsidRPr="00DF2CE1" w:rsidRDefault="004E7705" w:rsidP="00032990">
            <w:pPr>
              <w:jc w:val="center"/>
              <w:rPr>
                <w:rFonts w:asciiTheme="minorHAnsi" w:hAnsiTheme="minorHAnsi"/>
                <w:sz w:val="17"/>
                <w:szCs w:val="17"/>
              </w:rPr>
            </w:pPr>
            <w:r w:rsidRPr="00DF2CE1">
              <w:rPr>
                <w:rFonts w:asciiTheme="minorHAnsi" w:hAnsiTheme="minorHAnsi"/>
                <w:color w:val="000000"/>
                <w:sz w:val="17"/>
                <w:szCs w:val="17"/>
              </w:rPr>
              <w:t>(-0.4, -.04)</w:t>
            </w:r>
          </w:p>
        </w:tc>
      </w:tr>
      <w:tr w:rsidR="00490E55" w:rsidRPr="00EC43D0" w14:paraId="599662F0" w14:textId="77777777" w:rsidTr="006B3660">
        <w:tc>
          <w:tcPr>
            <w:tcW w:w="933" w:type="pct"/>
          </w:tcPr>
          <w:p w14:paraId="216E9676" w14:textId="4D9B0C65" w:rsidR="00C57A24" w:rsidRPr="00EC43D0" w:rsidRDefault="00C57A24" w:rsidP="00032990">
            <w:pPr>
              <w:pStyle w:val="ListParagraph"/>
              <w:numPr>
                <w:ilvl w:val="0"/>
                <w:numId w:val="6"/>
              </w:numPr>
              <w:ind w:left="316" w:right="37" w:hanging="316"/>
              <w:rPr>
                <w:sz w:val="17"/>
                <w:szCs w:val="17"/>
              </w:rPr>
            </w:pPr>
            <w:r w:rsidRPr="00EC43D0">
              <w:rPr>
                <w:sz w:val="17"/>
                <w:szCs w:val="17"/>
              </w:rPr>
              <w:t>Self-directed Panic Stop!</w:t>
            </w:r>
            <w:r w:rsidR="001F4E3C" w:rsidRPr="00EC43D0">
              <w:rPr>
                <w:sz w:val="17"/>
                <w:szCs w:val="17"/>
                <w:vertAlign w:val="superscript"/>
              </w:rPr>
              <w:t xml:space="preserve"> d</w:t>
            </w:r>
          </w:p>
        </w:tc>
        <w:tc>
          <w:tcPr>
            <w:tcW w:w="956" w:type="pct"/>
          </w:tcPr>
          <w:p w14:paraId="2A8EFBD8" w14:textId="08614669" w:rsidR="00C57A24" w:rsidRPr="00B446DF" w:rsidRDefault="00C57A24" w:rsidP="00032990">
            <w:pPr>
              <w:jc w:val="center"/>
              <w:rPr>
                <w:rFonts w:asciiTheme="minorHAnsi" w:hAnsiTheme="minorHAnsi"/>
                <w:sz w:val="17"/>
                <w:szCs w:val="17"/>
              </w:rPr>
            </w:pPr>
            <w:r w:rsidRPr="00B446DF">
              <w:rPr>
                <w:rFonts w:asciiTheme="minorHAnsi" w:hAnsiTheme="minorHAnsi"/>
                <w:sz w:val="17"/>
                <w:szCs w:val="17"/>
              </w:rPr>
              <w:t xml:space="preserve">Quality of </w:t>
            </w:r>
            <w:proofErr w:type="spellStart"/>
            <w:r w:rsidRPr="00B446DF">
              <w:rPr>
                <w:rFonts w:asciiTheme="minorHAnsi" w:hAnsiTheme="minorHAnsi"/>
                <w:sz w:val="17"/>
                <w:szCs w:val="17"/>
              </w:rPr>
              <w:t>life</w:t>
            </w:r>
            <w:r w:rsidR="00026901" w:rsidRPr="00B446DF">
              <w:rPr>
                <w:rFonts w:asciiTheme="minorHAnsi" w:hAnsiTheme="minorHAnsi"/>
                <w:sz w:val="17"/>
                <w:szCs w:val="17"/>
                <w:vertAlign w:val="superscript"/>
              </w:rPr>
              <w:t>f</w:t>
            </w:r>
            <w:proofErr w:type="spellEnd"/>
          </w:p>
        </w:tc>
        <w:tc>
          <w:tcPr>
            <w:tcW w:w="452" w:type="pct"/>
          </w:tcPr>
          <w:p w14:paraId="4A60522D"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40</w:t>
            </w:r>
          </w:p>
        </w:tc>
        <w:tc>
          <w:tcPr>
            <w:tcW w:w="485" w:type="pct"/>
          </w:tcPr>
          <w:p w14:paraId="6C3D77D7"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3.55</w:t>
            </w:r>
          </w:p>
        </w:tc>
        <w:tc>
          <w:tcPr>
            <w:tcW w:w="460" w:type="pct"/>
          </w:tcPr>
          <w:p w14:paraId="0D2B57BD"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w:t>
            </w:r>
          </w:p>
        </w:tc>
        <w:tc>
          <w:tcPr>
            <w:tcW w:w="346" w:type="pct"/>
          </w:tcPr>
          <w:p w14:paraId="52D19F09"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40</w:t>
            </w:r>
          </w:p>
        </w:tc>
        <w:tc>
          <w:tcPr>
            <w:tcW w:w="390" w:type="pct"/>
          </w:tcPr>
          <w:p w14:paraId="4ECF1102"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3.6</w:t>
            </w:r>
          </w:p>
        </w:tc>
        <w:tc>
          <w:tcPr>
            <w:tcW w:w="395" w:type="pct"/>
          </w:tcPr>
          <w:p w14:paraId="78CC536A"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w:t>
            </w:r>
          </w:p>
        </w:tc>
        <w:tc>
          <w:tcPr>
            <w:tcW w:w="585" w:type="pct"/>
          </w:tcPr>
          <w:p w14:paraId="59052C41" w14:textId="77777777" w:rsidR="00C57A24" w:rsidRPr="00DF2CE1" w:rsidRDefault="00C57A24" w:rsidP="00032990">
            <w:pPr>
              <w:jc w:val="center"/>
              <w:rPr>
                <w:rFonts w:asciiTheme="minorHAnsi" w:hAnsiTheme="minorHAnsi"/>
                <w:color w:val="000000"/>
                <w:sz w:val="17"/>
                <w:szCs w:val="17"/>
              </w:rPr>
            </w:pPr>
            <w:r w:rsidRPr="00DF2CE1">
              <w:rPr>
                <w:rFonts w:asciiTheme="minorHAnsi" w:hAnsiTheme="minorHAnsi"/>
                <w:color w:val="000000"/>
                <w:sz w:val="17"/>
                <w:szCs w:val="17"/>
              </w:rPr>
              <w:t>0.11</w:t>
            </w:r>
          </w:p>
          <w:p w14:paraId="51A8F39B" w14:textId="49FF5376" w:rsidR="004E7705" w:rsidRPr="00DF2CE1" w:rsidRDefault="004E7705" w:rsidP="00032990">
            <w:pPr>
              <w:jc w:val="center"/>
              <w:rPr>
                <w:rFonts w:asciiTheme="minorHAnsi" w:hAnsiTheme="minorHAnsi"/>
                <w:sz w:val="17"/>
                <w:szCs w:val="17"/>
              </w:rPr>
            </w:pPr>
            <w:r w:rsidRPr="00DF2CE1">
              <w:rPr>
                <w:rFonts w:asciiTheme="minorHAnsi" w:hAnsiTheme="minorHAnsi"/>
                <w:color w:val="000000"/>
                <w:sz w:val="17"/>
                <w:szCs w:val="17"/>
              </w:rPr>
              <w:t>(-0.3, 0.2)</w:t>
            </w:r>
          </w:p>
        </w:tc>
      </w:tr>
      <w:tr w:rsidR="00490E55" w:rsidRPr="00EC43D0" w14:paraId="5479A39E" w14:textId="77777777" w:rsidTr="006B3660">
        <w:tc>
          <w:tcPr>
            <w:tcW w:w="933" w:type="pct"/>
          </w:tcPr>
          <w:p w14:paraId="3A223057" w14:textId="2ADBD1D6" w:rsidR="00C57A24" w:rsidRPr="00EC43D0" w:rsidRDefault="00C57A24" w:rsidP="00032990">
            <w:pPr>
              <w:pStyle w:val="ListParagraph"/>
              <w:numPr>
                <w:ilvl w:val="0"/>
                <w:numId w:val="6"/>
              </w:numPr>
              <w:ind w:left="316" w:right="37" w:hanging="316"/>
              <w:rPr>
                <w:sz w:val="17"/>
                <w:szCs w:val="17"/>
              </w:rPr>
            </w:pPr>
            <w:r w:rsidRPr="00EC43D0">
              <w:rPr>
                <w:sz w:val="17"/>
                <w:szCs w:val="17"/>
              </w:rPr>
              <w:t>Self-directed</w:t>
            </w:r>
            <w:r w:rsidR="00F37B10" w:rsidRPr="00EC43D0">
              <w:rPr>
                <w:sz w:val="17"/>
                <w:szCs w:val="17"/>
              </w:rPr>
              <w:t xml:space="preserve"> </w:t>
            </w:r>
            <w:r w:rsidRPr="00EC43D0">
              <w:rPr>
                <w:sz w:val="17"/>
                <w:szCs w:val="17"/>
              </w:rPr>
              <w:t xml:space="preserve">OCD </w:t>
            </w:r>
            <w:proofErr w:type="spellStart"/>
            <w:proofErr w:type="gramStart"/>
            <w:r w:rsidRPr="00EC43D0">
              <w:rPr>
                <w:sz w:val="17"/>
                <w:szCs w:val="17"/>
              </w:rPr>
              <w:t>Stop!</w:t>
            </w:r>
            <w:r w:rsidR="001F4E3C" w:rsidRPr="00EC43D0">
              <w:rPr>
                <w:sz w:val="17"/>
                <w:szCs w:val="17"/>
                <w:vertAlign w:val="superscript"/>
              </w:rPr>
              <w:t>d</w:t>
            </w:r>
            <w:proofErr w:type="spellEnd"/>
            <w:proofErr w:type="gramEnd"/>
          </w:p>
        </w:tc>
        <w:tc>
          <w:tcPr>
            <w:tcW w:w="956" w:type="pct"/>
          </w:tcPr>
          <w:p w14:paraId="4CA54881" w14:textId="16D6D0F6" w:rsidR="00C57A24" w:rsidRPr="00B446DF" w:rsidRDefault="00C57A24" w:rsidP="00032990">
            <w:pPr>
              <w:jc w:val="center"/>
              <w:rPr>
                <w:rFonts w:asciiTheme="minorHAnsi" w:hAnsiTheme="minorHAnsi"/>
                <w:sz w:val="17"/>
                <w:szCs w:val="17"/>
              </w:rPr>
            </w:pPr>
            <w:r w:rsidRPr="00B446DF">
              <w:rPr>
                <w:rFonts w:asciiTheme="minorHAnsi" w:hAnsiTheme="minorHAnsi"/>
                <w:sz w:val="17"/>
                <w:szCs w:val="17"/>
              </w:rPr>
              <w:t xml:space="preserve">Quality of </w:t>
            </w:r>
            <w:proofErr w:type="spellStart"/>
            <w:r w:rsidRPr="00B446DF">
              <w:rPr>
                <w:rFonts w:asciiTheme="minorHAnsi" w:hAnsiTheme="minorHAnsi"/>
                <w:sz w:val="17"/>
                <w:szCs w:val="17"/>
              </w:rPr>
              <w:t>life</w:t>
            </w:r>
            <w:r w:rsidR="00026901" w:rsidRPr="00B446DF">
              <w:rPr>
                <w:rFonts w:asciiTheme="minorHAnsi" w:hAnsiTheme="minorHAnsi"/>
                <w:sz w:val="17"/>
                <w:szCs w:val="17"/>
                <w:vertAlign w:val="superscript"/>
              </w:rPr>
              <w:t>f</w:t>
            </w:r>
            <w:proofErr w:type="spellEnd"/>
          </w:p>
        </w:tc>
        <w:tc>
          <w:tcPr>
            <w:tcW w:w="452" w:type="pct"/>
          </w:tcPr>
          <w:p w14:paraId="7BDB60F7"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17</w:t>
            </w:r>
          </w:p>
        </w:tc>
        <w:tc>
          <w:tcPr>
            <w:tcW w:w="485" w:type="pct"/>
          </w:tcPr>
          <w:p w14:paraId="2A23D759"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3.71</w:t>
            </w:r>
          </w:p>
        </w:tc>
        <w:tc>
          <w:tcPr>
            <w:tcW w:w="460" w:type="pct"/>
          </w:tcPr>
          <w:p w14:paraId="3C092F4C"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1.1</w:t>
            </w:r>
          </w:p>
        </w:tc>
        <w:tc>
          <w:tcPr>
            <w:tcW w:w="346" w:type="pct"/>
          </w:tcPr>
          <w:p w14:paraId="476858C4"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17</w:t>
            </w:r>
          </w:p>
        </w:tc>
        <w:tc>
          <w:tcPr>
            <w:tcW w:w="390" w:type="pct"/>
          </w:tcPr>
          <w:p w14:paraId="09222F19"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4</w:t>
            </w:r>
          </w:p>
        </w:tc>
        <w:tc>
          <w:tcPr>
            <w:tcW w:w="395" w:type="pct"/>
          </w:tcPr>
          <w:p w14:paraId="7F758807"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1.1</w:t>
            </w:r>
          </w:p>
        </w:tc>
        <w:tc>
          <w:tcPr>
            <w:tcW w:w="585" w:type="pct"/>
          </w:tcPr>
          <w:p w14:paraId="05B572D7" w14:textId="77777777" w:rsidR="00C57A24" w:rsidRPr="00DF2CE1" w:rsidRDefault="00C57A24" w:rsidP="00032990">
            <w:pPr>
              <w:jc w:val="center"/>
              <w:rPr>
                <w:rFonts w:asciiTheme="minorHAnsi" w:hAnsiTheme="minorHAnsi"/>
                <w:color w:val="000000"/>
                <w:sz w:val="17"/>
                <w:szCs w:val="17"/>
              </w:rPr>
            </w:pPr>
            <w:r w:rsidRPr="00DF2CE1">
              <w:rPr>
                <w:rFonts w:asciiTheme="minorHAnsi" w:hAnsiTheme="minorHAnsi"/>
                <w:color w:val="000000"/>
                <w:sz w:val="17"/>
                <w:szCs w:val="17"/>
              </w:rPr>
              <w:t>0.87</w:t>
            </w:r>
          </w:p>
          <w:p w14:paraId="5AF06C5A" w14:textId="527891B0" w:rsidR="004E7705" w:rsidRPr="00DF2CE1" w:rsidRDefault="004E7705" w:rsidP="00032990">
            <w:pPr>
              <w:jc w:val="center"/>
              <w:rPr>
                <w:rFonts w:asciiTheme="minorHAnsi" w:hAnsiTheme="minorHAnsi"/>
                <w:sz w:val="17"/>
                <w:szCs w:val="17"/>
              </w:rPr>
            </w:pPr>
            <w:r w:rsidRPr="00DF2CE1">
              <w:rPr>
                <w:rFonts w:asciiTheme="minorHAnsi" w:hAnsiTheme="minorHAnsi"/>
                <w:sz w:val="17"/>
                <w:szCs w:val="17"/>
              </w:rPr>
              <w:t>(-0.5, -0.1)</w:t>
            </w:r>
          </w:p>
        </w:tc>
      </w:tr>
      <w:tr w:rsidR="00490E55" w:rsidRPr="00EC43D0" w14:paraId="505C087D" w14:textId="77777777" w:rsidTr="006B3660">
        <w:tc>
          <w:tcPr>
            <w:tcW w:w="933" w:type="pct"/>
          </w:tcPr>
          <w:p w14:paraId="22650E83" w14:textId="382A13B5" w:rsidR="00C57A24" w:rsidRPr="00EC43D0" w:rsidRDefault="00C57A24" w:rsidP="00032990">
            <w:pPr>
              <w:pStyle w:val="ListParagraph"/>
              <w:numPr>
                <w:ilvl w:val="0"/>
                <w:numId w:val="6"/>
              </w:numPr>
              <w:ind w:left="316" w:right="37" w:hanging="316"/>
              <w:rPr>
                <w:sz w:val="17"/>
                <w:szCs w:val="17"/>
              </w:rPr>
            </w:pPr>
            <w:r w:rsidRPr="00EC43D0">
              <w:rPr>
                <w:sz w:val="17"/>
                <w:szCs w:val="17"/>
              </w:rPr>
              <w:t>Self-directed</w:t>
            </w:r>
            <w:r w:rsidR="00F37B10" w:rsidRPr="00EC43D0">
              <w:rPr>
                <w:sz w:val="17"/>
                <w:szCs w:val="17"/>
              </w:rPr>
              <w:t xml:space="preserve"> </w:t>
            </w:r>
            <w:r w:rsidRPr="00EC43D0">
              <w:rPr>
                <w:sz w:val="17"/>
                <w:szCs w:val="17"/>
              </w:rPr>
              <w:t xml:space="preserve">PTSD </w:t>
            </w:r>
            <w:proofErr w:type="spellStart"/>
            <w:r w:rsidRPr="00EC43D0">
              <w:rPr>
                <w:sz w:val="17"/>
                <w:szCs w:val="17"/>
              </w:rPr>
              <w:t>Online</w:t>
            </w:r>
            <w:r w:rsidR="001F4E3C" w:rsidRPr="00EC43D0">
              <w:rPr>
                <w:sz w:val="17"/>
                <w:szCs w:val="17"/>
                <w:vertAlign w:val="superscript"/>
              </w:rPr>
              <w:t>d</w:t>
            </w:r>
            <w:proofErr w:type="spellEnd"/>
            <w:r w:rsidRPr="00EC43D0">
              <w:rPr>
                <w:sz w:val="17"/>
                <w:szCs w:val="17"/>
              </w:rPr>
              <w:t xml:space="preserve"> </w:t>
            </w:r>
          </w:p>
        </w:tc>
        <w:tc>
          <w:tcPr>
            <w:tcW w:w="956" w:type="pct"/>
          </w:tcPr>
          <w:p w14:paraId="19EA8E82" w14:textId="4A1B244A" w:rsidR="00C57A24" w:rsidRPr="00B446DF" w:rsidRDefault="00C57A24" w:rsidP="00032990">
            <w:pPr>
              <w:jc w:val="center"/>
              <w:rPr>
                <w:rFonts w:asciiTheme="minorHAnsi" w:hAnsiTheme="minorHAnsi"/>
                <w:sz w:val="17"/>
                <w:szCs w:val="17"/>
              </w:rPr>
            </w:pPr>
            <w:r w:rsidRPr="00B446DF">
              <w:rPr>
                <w:rFonts w:asciiTheme="minorHAnsi" w:hAnsiTheme="minorHAnsi"/>
                <w:sz w:val="17"/>
                <w:szCs w:val="17"/>
              </w:rPr>
              <w:t xml:space="preserve">Quality of </w:t>
            </w:r>
            <w:proofErr w:type="spellStart"/>
            <w:r w:rsidRPr="00B446DF">
              <w:rPr>
                <w:rFonts w:asciiTheme="minorHAnsi" w:hAnsiTheme="minorHAnsi"/>
                <w:sz w:val="17"/>
                <w:szCs w:val="17"/>
              </w:rPr>
              <w:t>life</w:t>
            </w:r>
            <w:r w:rsidR="00026901" w:rsidRPr="00B446DF">
              <w:rPr>
                <w:rFonts w:asciiTheme="minorHAnsi" w:hAnsiTheme="minorHAnsi"/>
                <w:sz w:val="17"/>
                <w:szCs w:val="17"/>
                <w:vertAlign w:val="superscript"/>
              </w:rPr>
              <w:t>f</w:t>
            </w:r>
            <w:proofErr w:type="spellEnd"/>
          </w:p>
        </w:tc>
        <w:tc>
          <w:tcPr>
            <w:tcW w:w="452" w:type="pct"/>
          </w:tcPr>
          <w:p w14:paraId="5669DFAD"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30</w:t>
            </w:r>
          </w:p>
        </w:tc>
        <w:tc>
          <w:tcPr>
            <w:tcW w:w="485" w:type="pct"/>
          </w:tcPr>
          <w:p w14:paraId="36B6D082"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2.97</w:t>
            </w:r>
          </w:p>
        </w:tc>
        <w:tc>
          <w:tcPr>
            <w:tcW w:w="460" w:type="pct"/>
          </w:tcPr>
          <w:p w14:paraId="1E69CAD8"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0.9</w:t>
            </w:r>
          </w:p>
        </w:tc>
        <w:tc>
          <w:tcPr>
            <w:tcW w:w="346" w:type="pct"/>
          </w:tcPr>
          <w:p w14:paraId="5B977C1C"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30</w:t>
            </w:r>
          </w:p>
        </w:tc>
        <w:tc>
          <w:tcPr>
            <w:tcW w:w="390" w:type="pct"/>
          </w:tcPr>
          <w:p w14:paraId="5D812E7D"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3.5</w:t>
            </w:r>
          </w:p>
        </w:tc>
        <w:tc>
          <w:tcPr>
            <w:tcW w:w="395" w:type="pct"/>
          </w:tcPr>
          <w:p w14:paraId="3FE155F7"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0.9</w:t>
            </w:r>
          </w:p>
        </w:tc>
        <w:tc>
          <w:tcPr>
            <w:tcW w:w="585" w:type="pct"/>
          </w:tcPr>
          <w:p w14:paraId="408B2FF4" w14:textId="77777777" w:rsidR="00C57A24" w:rsidRPr="00DF2CE1" w:rsidRDefault="00C57A24" w:rsidP="00032990">
            <w:pPr>
              <w:jc w:val="center"/>
              <w:rPr>
                <w:rFonts w:asciiTheme="minorHAnsi" w:hAnsiTheme="minorHAnsi"/>
                <w:color w:val="000000"/>
                <w:sz w:val="17"/>
                <w:szCs w:val="17"/>
              </w:rPr>
            </w:pPr>
            <w:r w:rsidRPr="00DF2CE1">
              <w:rPr>
                <w:rFonts w:asciiTheme="minorHAnsi" w:hAnsiTheme="minorHAnsi"/>
                <w:color w:val="000000"/>
                <w:sz w:val="17"/>
                <w:szCs w:val="17"/>
              </w:rPr>
              <w:t>0.96</w:t>
            </w:r>
          </w:p>
          <w:p w14:paraId="42ABB56E" w14:textId="39924AA8" w:rsidR="004E7705" w:rsidRPr="00DF2CE1" w:rsidRDefault="004E7705" w:rsidP="00032990">
            <w:pPr>
              <w:jc w:val="center"/>
              <w:rPr>
                <w:rFonts w:asciiTheme="minorHAnsi" w:hAnsiTheme="minorHAnsi"/>
                <w:sz w:val="17"/>
                <w:szCs w:val="17"/>
              </w:rPr>
            </w:pPr>
            <w:r w:rsidRPr="00DF2CE1">
              <w:rPr>
                <w:rFonts w:asciiTheme="minorHAnsi" w:hAnsiTheme="minorHAnsi"/>
                <w:color w:val="000000"/>
                <w:sz w:val="17"/>
                <w:szCs w:val="17"/>
              </w:rPr>
              <w:t>(-0.8, -0.2)</w:t>
            </w:r>
          </w:p>
        </w:tc>
      </w:tr>
      <w:tr w:rsidR="00490E55" w:rsidRPr="00EC43D0" w14:paraId="2102E5FB" w14:textId="77777777" w:rsidTr="006B3660">
        <w:tc>
          <w:tcPr>
            <w:tcW w:w="933" w:type="pct"/>
          </w:tcPr>
          <w:p w14:paraId="2861CBB7" w14:textId="0E15E8AB" w:rsidR="00C57A24" w:rsidRPr="00EC43D0" w:rsidRDefault="00C57A24" w:rsidP="00032990">
            <w:pPr>
              <w:pStyle w:val="ListParagraph"/>
              <w:numPr>
                <w:ilvl w:val="0"/>
                <w:numId w:val="6"/>
              </w:numPr>
              <w:ind w:left="316" w:right="37" w:hanging="316"/>
              <w:rPr>
                <w:sz w:val="17"/>
                <w:szCs w:val="17"/>
              </w:rPr>
            </w:pPr>
            <w:r w:rsidRPr="00EC43D0">
              <w:rPr>
                <w:sz w:val="17"/>
                <w:szCs w:val="17"/>
              </w:rPr>
              <w:t>Self-directed</w:t>
            </w:r>
            <w:r w:rsidR="00F37B10" w:rsidRPr="00EC43D0">
              <w:rPr>
                <w:sz w:val="17"/>
                <w:szCs w:val="17"/>
              </w:rPr>
              <w:t xml:space="preserve"> </w:t>
            </w:r>
            <w:r w:rsidRPr="00EC43D0">
              <w:rPr>
                <w:sz w:val="17"/>
                <w:szCs w:val="17"/>
              </w:rPr>
              <w:t xml:space="preserve">SAD </w:t>
            </w:r>
            <w:proofErr w:type="spellStart"/>
            <w:r w:rsidRPr="00EC43D0">
              <w:rPr>
                <w:sz w:val="17"/>
                <w:szCs w:val="17"/>
              </w:rPr>
              <w:t>Online</w:t>
            </w:r>
            <w:r w:rsidR="001F4E3C" w:rsidRPr="00EC43D0">
              <w:rPr>
                <w:sz w:val="17"/>
                <w:szCs w:val="17"/>
                <w:vertAlign w:val="superscript"/>
              </w:rPr>
              <w:t>d</w:t>
            </w:r>
            <w:proofErr w:type="spellEnd"/>
          </w:p>
        </w:tc>
        <w:tc>
          <w:tcPr>
            <w:tcW w:w="956" w:type="pct"/>
          </w:tcPr>
          <w:p w14:paraId="4AD0FF06" w14:textId="0E4C0A32" w:rsidR="00C57A24" w:rsidRPr="00B446DF" w:rsidRDefault="00C57A24" w:rsidP="00032990">
            <w:pPr>
              <w:jc w:val="center"/>
              <w:rPr>
                <w:rFonts w:asciiTheme="minorHAnsi" w:hAnsiTheme="minorHAnsi"/>
                <w:sz w:val="17"/>
                <w:szCs w:val="17"/>
              </w:rPr>
            </w:pPr>
            <w:r w:rsidRPr="00B446DF">
              <w:rPr>
                <w:rFonts w:asciiTheme="minorHAnsi" w:hAnsiTheme="minorHAnsi"/>
                <w:sz w:val="17"/>
                <w:szCs w:val="17"/>
              </w:rPr>
              <w:t xml:space="preserve">Quality of </w:t>
            </w:r>
            <w:proofErr w:type="spellStart"/>
            <w:r w:rsidRPr="00B446DF">
              <w:rPr>
                <w:rFonts w:asciiTheme="minorHAnsi" w:hAnsiTheme="minorHAnsi"/>
                <w:sz w:val="17"/>
                <w:szCs w:val="17"/>
              </w:rPr>
              <w:t>life</w:t>
            </w:r>
            <w:r w:rsidR="00026901" w:rsidRPr="00B446DF">
              <w:rPr>
                <w:rFonts w:asciiTheme="minorHAnsi" w:hAnsiTheme="minorHAnsi"/>
                <w:sz w:val="17"/>
                <w:szCs w:val="17"/>
                <w:vertAlign w:val="superscript"/>
              </w:rPr>
              <w:t>f</w:t>
            </w:r>
            <w:proofErr w:type="spellEnd"/>
          </w:p>
        </w:tc>
        <w:tc>
          <w:tcPr>
            <w:tcW w:w="452" w:type="pct"/>
          </w:tcPr>
          <w:p w14:paraId="4ED47753"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50</w:t>
            </w:r>
          </w:p>
        </w:tc>
        <w:tc>
          <w:tcPr>
            <w:tcW w:w="485" w:type="pct"/>
          </w:tcPr>
          <w:p w14:paraId="47F28571"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3.24</w:t>
            </w:r>
          </w:p>
        </w:tc>
        <w:tc>
          <w:tcPr>
            <w:tcW w:w="460" w:type="pct"/>
          </w:tcPr>
          <w:p w14:paraId="3DF6152B"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0.9</w:t>
            </w:r>
          </w:p>
        </w:tc>
        <w:tc>
          <w:tcPr>
            <w:tcW w:w="346" w:type="pct"/>
          </w:tcPr>
          <w:p w14:paraId="2496F9A6"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50</w:t>
            </w:r>
          </w:p>
        </w:tc>
        <w:tc>
          <w:tcPr>
            <w:tcW w:w="390" w:type="pct"/>
          </w:tcPr>
          <w:p w14:paraId="4EF425C7"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3.52</w:t>
            </w:r>
          </w:p>
        </w:tc>
        <w:tc>
          <w:tcPr>
            <w:tcW w:w="395" w:type="pct"/>
          </w:tcPr>
          <w:p w14:paraId="075A2048" w14:textId="77777777" w:rsidR="00C57A24" w:rsidRPr="00EC43D0" w:rsidRDefault="00C57A24" w:rsidP="00032990">
            <w:pPr>
              <w:jc w:val="center"/>
              <w:rPr>
                <w:rFonts w:asciiTheme="minorHAnsi" w:hAnsiTheme="minorHAnsi"/>
                <w:sz w:val="17"/>
                <w:szCs w:val="17"/>
              </w:rPr>
            </w:pPr>
            <w:r w:rsidRPr="00EC43D0">
              <w:rPr>
                <w:rFonts w:asciiTheme="minorHAnsi" w:hAnsiTheme="minorHAnsi"/>
                <w:color w:val="000000"/>
                <w:sz w:val="17"/>
                <w:szCs w:val="17"/>
              </w:rPr>
              <w:t>0.9</w:t>
            </w:r>
          </w:p>
        </w:tc>
        <w:tc>
          <w:tcPr>
            <w:tcW w:w="585" w:type="pct"/>
          </w:tcPr>
          <w:p w14:paraId="08ED32D7" w14:textId="77777777" w:rsidR="00C57A24" w:rsidRPr="00DF2CE1" w:rsidRDefault="00C57A24" w:rsidP="00032990">
            <w:pPr>
              <w:jc w:val="center"/>
              <w:rPr>
                <w:rFonts w:asciiTheme="minorHAnsi" w:hAnsiTheme="minorHAnsi"/>
                <w:color w:val="000000"/>
                <w:sz w:val="17"/>
                <w:szCs w:val="17"/>
              </w:rPr>
            </w:pPr>
            <w:r w:rsidRPr="00DF2CE1">
              <w:rPr>
                <w:rFonts w:asciiTheme="minorHAnsi" w:hAnsiTheme="minorHAnsi"/>
                <w:color w:val="000000"/>
                <w:sz w:val="17"/>
                <w:szCs w:val="17"/>
              </w:rPr>
              <w:t>0.51</w:t>
            </w:r>
          </w:p>
          <w:p w14:paraId="27952D98" w14:textId="46605F89" w:rsidR="004E7705" w:rsidRPr="00DF2CE1" w:rsidRDefault="004E7705" w:rsidP="00032990">
            <w:pPr>
              <w:jc w:val="center"/>
              <w:rPr>
                <w:rFonts w:asciiTheme="minorHAnsi" w:hAnsiTheme="minorHAnsi"/>
                <w:sz w:val="17"/>
                <w:szCs w:val="17"/>
              </w:rPr>
            </w:pPr>
            <w:r w:rsidRPr="00DF2CE1">
              <w:rPr>
                <w:rFonts w:asciiTheme="minorHAnsi" w:hAnsiTheme="minorHAnsi"/>
                <w:sz w:val="17"/>
                <w:szCs w:val="17"/>
              </w:rPr>
              <w:t>(-0.5, -0.1)</w:t>
            </w:r>
          </w:p>
        </w:tc>
      </w:tr>
    </w:tbl>
    <w:p w14:paraId="073D85C9" w14:textId="43395C44" w:rsidR="00C57A24" w:rsidRPr="00BF2DC2" w:rsidRDefault="00E45DB3" w:rsidP="003D1CA1">
      <w:pPr>
        <w:ind w:left="-142" w:right="-188"/>
        <w:rPr>
          <w:rFonts w:asciiTheme="minorHAnsi" w:hAnsiTheme="minorHAnsi" w:cstheme="minorHAnsi"/>
          <w:sz w:val="15"/>
          <w:szCs w:val="15"/>
        </w:rPr>
      </w:pPr>
      <w:r>
        <w:rPr>
          <w:rFonts w:asciiTheme="minorHAnsi" w:hAnsiTheme="minorHAnsi" w:cstheme="minorHAnsi"/>
          <w:sz w:val="15"/>
          <w:szCs w:val="15"/>
        </w:rPr>
        <w:t xml:space="preserve">CI, confidence interval; </w:t>
      </w:r>
      <w:r w:rsidR="002E45D4" w:rsidRPr="00BF2DC2">
        <w:rPr>
          <w:rFonts w:asciiTheme="minorHAnsi" w:hAnsiTheme="minorHAnsi" w:cstheme="minorHAnsi"/>
          <w:sz w:val="15"/>
          <w:szCs w:val="15"/>
        </w:rPr>
        <w:t xml:space="preserve">GAD, </w:t>
      </w:r>
      <w:r w:rsidR="00F57A9C" w:rsidRPr="00BF2DC2">
        <w:rPr>
          <w:rFonts w:asciiTheme="minorHAnsi" w:hAnsiTheme="minorHAnsi" w:cstheme="minorHAnsi"/>
          <w:sz w:val="15"/>
          <w:szCs w:val="15"/>
        </w:rPr>
        <w:t xml:space="preserve">generalised anxiety disorder; </w:t>
      </w:r>
      <w:proofErr w:type="spellStart"/>
      <w:r w:rsidR="002E45D4" w:rsidRPr="00BF2DC2">
        <w:rPr>
          <w:rFonts w:asciiTheme="minorHAnsi" w:hAnsiTheme="minorHAnsi" w:cstheme="minorHAnsi"/>
          <w:sz w:val="15"/>
          <w:szCs w:val="15"/>
        </w:rPr>
        <w:t>iCBT</w:t>
      </w:r>
      <w:proofErr w:type="spellEnd"/>
      <w:r w:rsidR="002E45D4" w:rsidRPr="00BF2DC2">
        <w:rPr>
          <w:rFonts w:asciiTheme="minorHAnsi" w:hAnsiTheme="minorHAnsi" w:cstheme="minorHAnsi"/>
          <w:sz w:val="15"/>
          <w:szCs w:val="15"/>
        </w:rPr>
        <w:t>,</w:t>
      </w:r>
      <w:r w:rsidR="00F57A9C" w:rsidRPr="00BF2DC2">
        <w:rPr>
          <w:rFonts w:asciiTheme="minorHAnsi" w:hAnsiTheme="minorHAnsi" w:cstheme="minorHAnsi"/>
          <w:sz w:val="15"/>
          <w:szCs w:val="15"/>
        </w:rPr>
        <w:t xml:space="preserve"> internet cognitive behavioural therapy;</w:t>
      </w:r>
      <w:r w:rsidR="002E45D4" w:rsidRPr="00BF2DC2">
        <w:rPr>
          <w:rFonts w:asciiTheme="minorHAnsi" w:hAnsiTheme="minorHAnsi" w:cstheme="minorHAnsi"/>
          <w:sz w:val="15"/>
          <w:szCs w:val="15"/>
        </w:rPr>
        <w:t xml:space="preserve"> </w:t>
      </w:r>
      <w:r w:rsidR="00C57A24" w:rsidRPr="00BF2DC2">
        <w:rPr>
          <w:rFonts w:asciiTheme="minorHAnsi" w:hAnsiTheme="minorHAnsi" w:cstheme="minorHAnsi"/>
          <w:sz w:val="15"/>
          <w:szCs w:val="15"/>
        </w:rPr>
        <w:t xml:space="preserve">K6, </w:t>
      </w:r>
      <w:r w:rsidR="00830CE4" w:rsidRPr="00BF2DC2">
        <w:rPr>
          <w:rFonts w:asciiTheme="minorHAnsi" w:hAnsiTheme="minorHAnsi" w:cstheme="minorHAnsi"/>
          <w:sz w:val="15"/>
          <w:szCs w:val="15"/>
        </w:rPr>
        <w:t xml:space="preserve">Kessler Psychological Distress 6-Item Scale; </w:t>
      </w:r>
      <w:r w:rsidR="009F0B4F" w:rsidRPr="00BF2DC2">
        <w:rPr>
          <w:rFonts w:asciiTheme="minorHAnsi" w:hAnsiTheme="minorHAnsi" w:cstheme="minorHAnsi"/>
          <w:sz w:val="15"/>
          <w:szCs w:val="15"/>
        </w:rPr>
        <w:t xml:space="preserve">K10, Kessler Psychological Distress </w:t>
      </w:r>
      <w:r w:rsidR="00830CE4" w:rsidRPr="00BF2DC2">
        <w:rPr>
          <w:rFonts w:asciiTheme="minorHAnsi" w:hAnsiTheme="minorHAnsi" w:cstheme="minorHAnsi"/>
          <w:sz w:val="15"/>
          <w:szCs w:val="15"/>
        </w:rPr>
        <w:t>10</w:t>
      </w:r>
      <w:r w:rsidR="009F0B4F" w:rsidRPr="00BF2DC2">
        <w:rPr>
          <w:rFonts w:asciiTheme="minorHAnsi" w:hAnsiTheme="minorHAnsi" w:cstheme="minorHAnsi"/>
          <w:sz w:val="15"/>
          <w:szCs w:val="15"/>
        </w:rPr>
        <w:t>-Item Scale</w:t>
      </w:r>
      <w:r w:rsidR="00C57A24" w:rsidRPr="00BF2DC2">
        <w:rPr>
          <w:rFonts w:asciiTheme="minorHAnsi" w:hAnsiTheme="minorHAnsi" w:cstheme="minorHAnsi"/>
          <w:sz w:val="15"/>
          <w:szCs w:val="15"/>
        </w:rPr>
        <w:t xml:space="preserve">; M, mean; N, number; </w:t>
      </w:r>
      <w:r w:rsidR="002E45D4" w:rsidRPr="00BF2DC2">
        <w:rPr>
          <w:rFonts w:asciiTheme="minorHAnsi" w:hAnsiTheme="minorHAnsi" w:cstheme="minorHAnsi"/>
          <w:sz w:val="15"/>
          <w:szCs w:val="15"/>
        </w:rPr>
        <w:t xml:space="preserve">OCD, </w:t>
      </w:r>
      <w:r w:rsidR="00F57A9C" w:rsidRPr="00BF2DC2">
        <w:rPr>
          <w:rFonts w:asciiTheme="minorHAnsi" w:hAnsiTheme="minorHAnsi" w:cstheme="minorHAnsi"/>
          <w:sz w:val="15"/>
          <w:szCs w:val="15"/>
        </w:rPr>
        <w:t xml:space="preserve">obsessive compulsive disorder; </w:t>
      </w:r>
      <w:r w:rsidR="00C8344D" w:rsidRPr="00BF2DC2">
        <w:rPr>
          <w:rFonts w:asciiTheme="minorHAnsi" w:hAnsiTheme="minorHAnsi" w:cstheme="minorHAnsi"/>
          <w:sz w:val="15"/>
          <w:szCs w:val="15"/>
        </w:rPr>
        <w:t xml:space="preserve">PCL-C, </w:t>
      </w:r>
      <w:r w:rsidR="00884474" w:rsidRPr="00BF2DC2">
        <w:rPr>
          <w:rFonts w:asciiTheme="minorHAnsi" w:hAnsiTheme="minorHAnsi" w:cstheme="minorHAnsi"/>
          <w:sz w:val="15"/>
          <w:szCs w:val="15"/>
        </w:rPr>
        <w:t xml:space="preserve">Posttraumatic Stress Disorder Checklist—Civilian Version; </w:t>
      </w:r>
      <w:r w:rsidR="002E45D4" w:rsidRPr="00BF2DC2">
        <w:rPr>
          <w:rFonts w:asciiTheme="minorHAnsi" w:hAnsiTheme="minorHAnsi" w:cstheme="minorHAnsi"/>
          <w:sz w:val="15"/>
          <w:szCs w:val="15"/>
        </w:rPr>
        <w:t xml:space="preserve">PTSD, </w:t>
      </w:r>
      <w:r w:rsidR="004D6321" w:rsidRPr="00BF2DC2">
        <w:rPr>
          <w:rFonts w:asciiTheme="minorHAnsi" w:hAnsiTheme="minorHAnsi" w:cstheme="minorHAnsi"/>
          <w:sz w:val="15"/>
          <w:szCs w:val="15"/>
        </w:rPr>
        <w:t xml:space="preserve">post-traumatic stress disorder; </w:t>
      </w:r>
      <w:r w:rsidR="002E45D4" w:rsidRPr="00BF2DC2">
        <w:rPr>
          <w:rFonts w:asciiTheme="minorHAnsi" w:hAnsiTheme="minorHAnsi" w:cstheme="minorHAnsi"/>
          <w:sz w:val="15"/>
          <w:szCs w:val="15"/>
        </w:rPr>
        <w:t xml:space="preserve">SAD, </w:t>
      </w:r>
      <w:r w:rsidR="00F57A9C" w:rsidRPr="00BF2DC2">
        <w:rPr>
          <w:rFonts w:asciiTheme="minorHAnsi" w:hAnsiTheme="minorHAnsi" w:cstheme="minorHAnsi"/>
          <w:sz w:val="15"/>
          <w:szCs w:val="15"/>
        </w:rPr>
        <w:t xml:space="preserve">social anxiety disorder; </w:t>
      </w:r>
      <w:r w:rsidR="00C57A24" w:rsidRPr="00BF2DC2">
        <w:rPr>
          <w:rFonts w:asciiTheme="minorHAnsi" w:hAnsiTheme="minorHAnsi" w:cstheme="minorHAnsi"/>
          <w:sz w:val="15"/>
          <w:szCs w:val="15"/>
        </w:rPr>
        <w:t>SD, standard deviation</w:t>
      </w:r>
      <w:r w:rsidR="00C8344D" w:rsidRPr="00BF2DC2">
        <w:rPr>
          <w:rFonts w:asciiTheme="minorHAnsi" w:hAnsiTheme="minorHAnsi" w:cstheme="minorHAnsi"/>
          <w:sz w:val="15"/>
          <w:szCs w:val="15"/>
        </w:rPr>
        <w:t>; WHO-QOL-BREF</w:t>
      </w:r>
      <w:r w:rsidR="00B87B87" w:rsidRPr="00BF2DC2">
        <w:rPr>
          <w:rFonts w:asciiTheme="minorHAnsi" w:hAnsiTheme="minorHAnsi" w:cstheme="minorHAnsi"/>
          <w:sz w:val="15"/>
          <w:szCs w:val="15"/>
        </w:rPr>
        <w:t>, World Health Organization Quality of life questionnaire-BREF</w:t>
      </w:r>
      <w:r w:rsidR="007111D1" w:rsidRPr="00BF2DC2">
        <w:rPr>
          <w:rFonts w:asciiTheme="minorHAnsi" w:hAnsiTheme="minorHAnsi" w:cstheme="minorHAnsi"/>
          <w:sz w:val="15"/>
          <w:szCs w:val="15"/>
        </w:rPr>
        <w:t>; YBOCS, Yale-Brown</w:t>
      </w:r>
      <w:r w:rsidR="00F57A9C" w:rsidRPr="00BF2DC2">
        <w:rPr>
          <w:rFonts w:asciiTheme="minorHAnsi" w:hAnsiTheme="minorHAnsi" w:cstheme="minorHAnsi"/>
          <w:sz w:val="15"/>
          <w:szCs w:val="15"/>
        </w:rPr>
        <w:t xml:space="preserve"> </w:t>
      </w:r>
      <w:r w:rsidR="007111D1" w:rsidRPr="00BF2DC2">
        <w:rPr>
          <w:rFonts w:asciiTheme="minorHAnsi" w:hAnsiTheme="minorHAnsi" w:cstheme="minorHAnsi"/>
          <w:sz w:val="15"/>
          <w:szCs w:val="15"/>
        </w:rPr>
        <w:t>Obsessive-Compulsive Scale.</w:t>
      </w:r>
    </w:p>
    <w:p w14:paraId="5E421AF4" w14:textId="01A4CFA5" w:rsidR="00C57A24" w:rsidRPr="00BF2DC2" w:rsidRDefault="00C57A24" w:rsidP="003D1CA1">
      <w:pPr>
        <w:ind w:left="-142" w:right="-188"/>
        <w:rPr>
          <w:rFonts w:asciiTheme="minorHAnsi" w:hAnsiTheme="minorHAnsi" w:cstheme="minorHAnsi"/>
          <w:sz w:val="15"/>
          <w:szCs w:val="15"/>
        </w:rPr>
      </w:pPr>
      <w:proofErr w:type="spellStart"/>
      <w:r w:rsidRPr="00BF2DC2">
        <w:rPr>
          <w:rFonts w:asciiTheme="minorHAnsi" w:hAnsiTheme="minorHAnsi" w:cstheme="minorHAnsi"/>
          <w:sz w:val="15"/>
          <w:szCs w:val="15"/>
          <w:vertAlign w:val="superscript"/>
        </w:rPr>
        <w:t>a</w:t>
      </w:r>
      <w:r w:rsidRPr="00BF2DC2">
        <w:rPr>
          <w:rFonts w:asciiTheme="minorHAnsi" w:hAnsiTheme="minorHAnsi" w:cstheme="minorHAnsi"/>
          <w:sz w:val="15"/>
          <w:szCs w:val="15"/>
        </w:rPr>
        <w:t>Data</w:t>
      </w:r>
      <w:proofErr w:type="spellEnd"/>
      <w:r w:rsidRPr="00BF2DC2">
        <w:rPr>
          <w:rFonts w:asciiTheme="minorHAnsi" w:hAnsiTheme="minorHAnsi" w:cstheme="minorHAnsi"/>
          <w:sz w:val="15"/>
          <w:szCs w:val="15"/>
        </w:rPr>
        <w:t xml:space="preserve"> </w:t>
      </w:r>
      <w:r w:rsidR="00F37B10" w:rsidRPr="00BF2DC2">
        <w:rPr>
          <w:rFonts w:asciiTheme="minorHAnsi" w:hAnsiTheme="minorHAnsi" w:cstheme="minorHAnsi"/>
          <w:sz w:val="15"/>
          <w:szCs w:val="15"/>
        </w:rPr>
        <w:t>directly provided</w:t>
      </w:r>
      <w:r w:rsidRPr="00BF2DC2">
        <w:rPr>
          <w:rFonts w:asciiTheme="minorHAnsi" w:hAnsiTheme="minorHAnsi" w:cstheme="minorHAnsi"/>
          <w:sz w:val="15"/>
          <w:szCs w:val="15"/>
        </w:rPr>
        <w:t xml:space="preserve"> by Mental Health Online from Therapist Assisted programs collected via optional surveys </w:t>
      </w:r>
      <w:r w:rsidR="008A6D85">
        <w:rPr>
          <w:rFonts w:asciiTheme="minorHAnsi" w:hAnsiTheme="minorHAnsi" w:cstheme="minorHAnsi"/>
          <w:sz w:val="15"/>
          <w:szCs w:val="15"/>
        </w:rPr>
        <w:t xml:space="preserve">from </w:t>
      </w:r>
      <w:r w:rsidRPr="00BF2DC2">
        <w:rPr>
          <w:rFonts w:asciiTheme="minorHAnsi" w:hAnsiTheme="minorHAnsi" w:cstheme="minorHAnsi"/>
          <w:sz w:val="15"/>
          <w:szCs w:val="15"/>
        </w:rPr>
        <w:t>September 2021 to February 2022 and $10 gift cards given</w:t>
      </w:r>
      <w:r w:rsidR="00F37B10" w:rsidRPr="00BF2DC2">
        <w:rPr>
          <w:rFonts w:asciiTheme="minorHAnsi" w:hAnsiTheme="minorHAnsi" w:cstheme="minorHAnsi"/>
          <w:sz w:val="15"/>
          <w:szCs w:val="15"/>
        </w:rPr>
        <w:t xml:space="preserve"> (see </w:t>
      </w:r>
      <w:r w:rsidR="00F37B10" w:rsidRPr="00623A68">
        <w:rPr>
          <w:rFonts w:asciiTheme="minorHAnsi" w:hAnsiTheme="minorHAnsi" w:cstheme="minorHAnsi"/>
          <w:sz w:val="15"/>
          <w:szCs w:val="15"/>
        </w:rPr>
        <w:t xml:space="preserve">Appendix </w:t>
      </w:r>
      <w:r w:rsidR="00623A68" w:rsidRPr="00623A68">
        <w:rPr>
          <w:rFonts w:asciiTheme="minorHAnsi" w:hAnsiTheme="minorHAnsi" w:cstheme="minorHAnsi"/>
          <w:sz w:val="15"/>
          <w:szCs w:val="15"/>
        </w:rPr>
        <w:t>C</w:t>
      </w:r>
      <w:r w:rsidR="00F37B10" w:rsidRPr="00623A68">
        <w:rPr>
          <w:rFonts w:asciiTheme="minorHAnsi" w:hAnsiTheme="minorHAnsi" w:cstheme="minorHAnsi"/>
          <w:sz w:val="15"/>
          <w:szCs w:val="15"/>
        </w:rPr>
        <w:t xml:space="preserve"> for further</w:t>
      </w:r>
      <w:r w:rsidR="00F37B10" w:rsidRPr="00BF2DC2">
        <w:rPr>
          <w:rFonts w:asciiTheme="minorHAnsi" w:hAnsiTheme="minorHAnsi" w:cstheme="minorHAnsi"/>
          <w:sz w:val="15"/>
          <w:szCs w:val="15"/>
        </w:rPr>
        <w:t xml:space="preserve"> details).</w:t>
      </w:r>
    </w:p>
    <w:p w14:paraId="06B7F03D" w14:textId="17706F87" w:rsidR="002E45D4" w:rsidRPr="00BF2DC2" w:rsidRDefault="00C8344D" w:rsidP="003D1CA1">
      <w:pPr>
        <w:ind w:left="-142" w:right="-188"/>
        <w:rPr>
          <w:rFonts w:asciiTheme="minorHAnsi" w:hAnsiTheme="minorHAnsi" w:cstheme="minorHAnsi"/>
          <w:sz w:val="15"/>
          <w:szCs w:val="15"/>
          <w:vertAlign w:val="superscript"/>
        </w:rPr>
      </w:pPr>
      <w:proofErr w:type="spellStart"/>
      <w:r w:rsidRPr="00780511">
        <w:rPr>
          <w:rFonts w:asciiTheme="minorHAnsi" w:hAnsiTheme="minorHAnsi" w:cstheme="minorHAnsi"/>
          <w:sz w:val="15"/>
          <w:szCs w:val="15"/>
          <w:vertAlign w:val="superscript"/>
        </w:rPr>
        <w:t>b</w:t>
      </w:r>
      <w:r w:rsidR="00692831" w:rsidRPr="00780511">
        <w:rPr>
          <w:rFonts w:asciiTheme="minorHAnsi" w:hAnsiTheme="minorHAnsi" w:cstheme="minorHAnsi"/>
          <w:sz w:val="15"/>
          <w:szCs w:val="15"/>
        </w:rPr>
        <w:t>Sourced</w:t>
      </w:r>
      <w:proofErr w:type="spellEnd"/>
      <w:r w:rsidR="00692831" w:rsidRPr="00780511">
        <w:rPr>
          <w:rFonts w:asciiTheme="minorHAnsi" w:hAnsiTheme="minorHAnsi" w:cstheme="minorHAnsi"/>
          <w:sz w:val="15"/>
          <w:szCs w:val="15"/>
        </w:rPr>
        <w:t xml:space="preserve"> from Kyrios </w:t>
      </w:r>
      <w:r w:rsidR="0065750D" w:rsidRPr="00780511">
        <w:rPr>
          <w:rFonts w:asciiTheme="minorHAnsi" w:hAnsiTheme="minorHAnsi" w:cstheme="minorHAnsi"/>
          <w:sz w:val="15"/>
          <w:szCs w:val="15"/>
        </w:rPr>
        <w:t>et al</w:t>
      </w:r>
      <w:r w:rsidR="00692831" w:rsidRPr="00780511">
        <w:rPr>
          <w:rFonts w:asciiTheme="minorHAnsi" w:hAnsiTheme="minorHAnsi" w:cstheme="minorHAnsi"/>
          <w:sz w:val="15"/>
          <w:szCs w:val="15"/>
        </w:rPr>
        <w:t xml:space="preserve"> </w:t>
      </w:r>
      <w:r w:rsidR="00692831" w:rsidRPr="00BF2DC2">
        <w:rPr>
          <w:rFonts w:asciiTheme="minorHAnsi" w:hAnsiTheme="minorHAnsi" w:cstheme="minorHAnsi"/>
          <w:sz w:val="15"/>
          <w:szCs w:val="15"/>
        </w:rPr>
        <w:t>(2018)</w:t>
      </w:r>
      <w:r w:rsidRPr="00BF2DC2">
        <w:rPr>
          <w:rFonts w:asciiTheme="minorHAnsi" w:hAnsiTheme="minorHAnsi" w:cstheme="minorHAnsi"/>
          <w:sz w:val="15"/>
          <w:szCs w:val="15"/>
        </w:rPr>
        <w:t xml:space="preserve"> randomised controlled trial of 12-week</w:t>
      </w:r>
      <w:r w:rsidR="00220A78" w:rsidRPr="00BF2DC2">
        <w:rPr>
          <w:rFonts w:asciiTheme="minorHAnsi" w:hAnsiTheme="minorHAnsi" w:cstheme="minorHAnsi"/>
          <w:sz w:val="15"/>
          <w:szCs w:val="15"/>
        </w:rPr>
        <w:t xml:space="preserve"> therapist-supported</w:t>
      </w:r>
      <w:r w:rsidRPr="00BF2DC2">
        <w:rPr>
          <w:rFonts w:asciiTheme="minorHAnsi" w:hAnsiTheme="minorHAnsi" w:cstheme="minorHAnsi"/>
          <w:sz w:val="15"/>
          <w:szCs w:val="15"/>
        </w:rPr>
        <w:t xml:space="preserve"> </w:t>
      </w:r>
      <w:proofErr w:type="spellStart"/>
      <w:r w:rsidRPr="00BF2DC2">
        <w:rPr>
          <w:rFonts w:asciiTheme="minorHAnsi" w:hAnsiTheme="minorHAnsi" w:cstheme="minorHAnsi"/>
          <w:sz w:val="15"/>
          <w:szCs w:val="15"/>
        </w:rPr>
        <w:t>iCBT</w:t>
      </w:r>
      <w:proofErr w:type="spellEnd"/>
      <w:r w:rsidRPr="00BF2DC2">
        <w:rPr>
          <w:rFonts w:asciiTheme="minorHAnsi" w:hAnsiTheme="minorHAnsi" w:cstheme="minorHAnsi"/>
          <w:sz w:val="15"/>
          <w:szCs w:val="15"/>
        </w:rPr>
        <w:t xml:space="preserve"> for OCD</w:t>
      </w:r>
      <w:r w:rsidR="007111D1" w:rsidRPr="00BF2DC2">
        <w:rPr>
          <w:rFonts w:asciiTheme="minorHAnsi" w:hAnsiTheme="minorHAnsi" w:cstheme="minorHAnsi"/>
          <w:sz w:val="15"/>
          <w:szCs w:val="15"/>
        </w:rPr>
        <w:t>.</w:t>
      </w:r>
      <w:r w:rsidR="00B81CB1">
        <w:rPr>
          <w:rFonts w:asciiTheme="minorHAnsi" w:hAnsiTheme="minorHAnsi" w:cstheme="minorHAnsi"/>
          <w:sz w:val="15"/>
          <w:szCs w:val="15"/>
        </w:rPr>
        <w:fldChar w:fldCharType="begin">
          <w:fldData xml:space="preserve">PEVuZE5vdGU+PENpdGU+PEF1dGhvcj5LeXJpb3M8L0F1dGhvcj48WWVhcj4yMDE4PC9ZZWFyPjxS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</w:fldData>
        </w:fldChar>
      </w:r>
      <w:r w:rsidR="004469A2">
        <w:rPr>
          <w:rFonts w:asciiTheme="minorHAnsi" w:hAnsiTheme="minorHAnsi" w:cstheme="minorHAnsi"/>
          <w:sz w:val="15"/>
          <w:szCs w:val="15"/>
        </w:rPr>
        <w:instrText xml:space="preserve"> ADDIN EN.CITE </w:instrText>
      </w:r>
      <w:r w:rsidR="004469A2">
        <w:rPr>
          <w:rFonts w:asciiTheme="minorHAnsi" w:hAnsiTheme="minorHAnsi" w:cstheme="minorHAnsi"/>
          <w:sz w:val="15"/>
          <w:szCs w:val="15"/>
        </w:rPr>
        <w:fldChar w:fldCharType="begin">
          <w:fldData xml:space="preserve">PEVuZE5vdGU+PENpdGU+PEF1dGhvcj5LeXJpb3M8L0F1dGhvcj48WWVhcj4yMDE4PC9ZZWFyPjxS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</w:fldData>
        </w:fldChar>
      </w:r>
      <w:r w:rsidR="004469A2">
        <w:rPr>
          <w:rFonts w:asciiTheme="minorHAnsi" w:hAnsiTheme="minorHAnsi" w:cstheme="minorHAnsi"/>
          <w:sz w:val="15"/>
          <w:szCs w:val="15"/>
        </w:rPr>
        <w:instrText xml:space="preserve"> ADDIN EN.CITE.DATA </w:instrText>
      </w:r>
      <w:r w:rsidR="004469A2">
        <w:rPr>
          <w:rFonts w:asciiTheme="minorHAnsi" w:hAnsiTheme="minorHAnsi" w:cstheme="minorHAnsi"/>
          <w:sz w:val="15"/>
          <w:szCs w:val="15"/>
        </w:rPr>
      </w:r>
      <w:r w:rsidR="004469A2">
        <w:rPr>
          <w:rFonts w:asciiTheme="minorHAnsi" w:hAnsiTheme="minorHAnsi" w:cstheme="minorHAnsi"/>
          <w:sz w:val="15"/>
          <w:szCs w:val="15"/>
        </w:rPr>
        <w:fldChar w:fldCharType="end"/>
      </w:r>
      <w:r w:rsidR="00B81CB1">
        <w:rPr>
          <w:rFonts w:asciiTheme="minorHAnsi" w:hAnsiTheme="minorHAnsi" w:cstheme="minorHAnsi"/>
          <w:sz w:val="15"/>
          <w:szCs w:val="15"/>
        </w:rPr>
      </w:r>
      <w:r w:rsidR="00B81CB1">
        <w:rPr>
          <w:rFonts w:asciiTheme="minorHAnsi" w:hAnsiTheme="minorHAnsi" w:cstheme="minorHAnsi"/>
          <w:sz w:val="15"/>
          <w:szCs w:val="15"/>
        </w:rPr>
        <w:fldChar w:fldCharType="separate"/>
      </w:r>
      <w:r w:rsidR="004469A2" w:rsidRPr="004469A2">
        <w:rPr>
          <w:rFonts w:asciiTheme="minorHAnsi" w:hAnsiTheme="minorHAnsi" w:cstheme="minorHAnsi"/>
          <w:noProof/>
          <w:sz w:val="15"/>
          <w:szCs w:val="15"/>
          <w:vertAlign w:val="superscript"/>
        </w:rPr>
        <w:t>46</w:t>
      </w:r>
      <w:r w:rsidR="00B81CB1">
        <w:rPr>
          <w:rFonts w:asciiTheme="minorHAnsi" w:hAnsiTheme="minorHAnsi" w:cstheme="minorHAnsi"/>
          <w:sz w:val="15"/>
          <w:szCs w:val="15"/>
        </w:rPr>
        <w:fldChar w:fldCharType="end"/>
      </w:r>
    </w:p>
    <w:p w14:paraId="40005D15" w14:textId="781179A8" w:rsidR="002E45D4" w:rsidRPr="00BF2DC2" w:rsidRDefault="00C8344D" w:rsidP="003D1CA1">
      <w:pPr>
        <w:ind w:left="-142" w:right="-188"/>
        <w:rPr>
          <w:rFonts w:asciiTheme="minorHAnsi" w:hAnsiTheme="minorHAnsi" w:cstheme="minorHAnsi"/>
          <w:sz w:val="15"/>
          <w:szCs w:val="15"/>
        </w:rPr>
      </w:pPr>
      <w:proofErr w:type="spellStart"/>
      <w:r w:rsidRPr="00BF2DC2">
        <w:rPr>
          <w:rFonts w:asciiTheme="minorHAnsi" w:hAnsiTheme="minorHAnsi" w:cstheme="minorHAnsi"/>
          <w:sz w:val="15"/>
          <w:szCs w:val="15"/>
          <w:vertAlign w:val="superscript"/>
        </w:rPr>
        <w:t>c</w:t>
      </w:r>
      <w:r w:rsidRPr="00BF2DC2">
        <w:rPr>
          <w:rFonts w:asciiTheme="minorHAnsi" w:hAnsiTheme="minorHAnsi" w:cstheme="minorHAnsi"/>
          <w:sz w:val="15"/>
          <w:szCs w:val="15"/>
        </w:rPr>
        <w:t>Sourced</w:t>
      </w:r>
      <w:proofErr w:type="spellEnd"/>
      <w:r w:rsidRPr="00BF2DC2">
        <w:rPr>
          <w:rFonts w:asciiTheme="minorHAnsi" w:hAnsiTheme="minorHAnsi" w:cstheme="minorHAnsi"/>
          <w:sz w:val="15"/>
          <w:szCs w:val="15"/>
        </w:rPr>
        <w:t xml:space="preserve"> from </w:t>
      </w:r>
      <w:r w:rsidR="0093449A" w:rsidRPr="00BF2DC2">
        <w:rPr>
          <w:rFonts w:asciiTheme="minorHAnsi" w:hAnsiTheme="minorHAnsi" w:cstheme="minorHAnsi"/>
          <w:sz w:val="15"/>
          <w:szCs w:val="15"/>
        </w:rPr>
        <w:t xml:space="preserve">Klein </w:t>
      </w:r>
      <w:r w:rsidR="0065750D">
        <w:rPr>
          <w:rFonts w:asciiTheme="minorHAnsi" w:hAnsiTheme="minorHAnsi" w:cstheme="minorHAnsi"/>
          <w:sz w:val="15"/>
          <w:szCs w:val="15"/>
        </w:rPr>
        <w:t>et al</w:t>
      </w:r>
      <w:r w:rsidRPr="00BF2DC2">
        <w:rPr>
          <w:rFonts w:asciiTheme="minorHAnsi" w:hAnsiTheme="minorHAnsi" w:cstheme="minorHAnsi"/>
          <w:sz w:val="15"/>
          <w:szCs w:val="15"/>
        </w:rPr>
        <w:t xml:space="preserve"> (</w:t>
      </w:r>
      <w:r w:rsidR="0093449A" w:rsidRPr="00BF2DC2">
        <w:rPr>
          <w:rFonts w:asciiTheme="minorHAnsi" w:hAnsiTheme="minorHAnsi" w:cstheme="minorHAnsi"/>
          <w:sz w:val="15"/>
          <w:szCs w:val="15"/>
        </w:rPr>
        <w:t>2010</w:t>
      </w:r>
      <w:r w:rsidRPr="00BF2DC2">
        <w:rPr>
          <w:rFonts w:asciiTheme="minorHAnsi" w:hAnsiTheme="minorHAnsi" w:cstheme="minorHAnsi"/>
          <w:sz w:val="15"/>
          <w:szCs w:val="15"/>
        </w:rPr>
        <w:t xml:space="preserve">) </w:t>
      </w:r>
      <w:r w:rsidR="00220A78" w:rsidRPr="00BF2DC2">
        <w:rPr>
          <w:rFonts w:asciiTheme="minorHAnsi" w:hAnsiTheme="minorHAnsi" w:cstheme="minorHAnsi"/>
          <w:sz w:val="15"/>
          <w:szCs w:val="15"/>
        </w:rPr>
        <w:t>open trial of 10-week therapist-supported online treatment</w:t>
      </w:r>
      <w:r w:rsidR="00B87B87" w:rsidRPr="00BF2DC2">
        <w:rPr>
          <w:rFonts w:asciiTheme="minorHAnsi" w:hAnsiTheme="minorHAnsi" w:cstheme="minorHAnsi"/>
          <w:sz w:val="15"/>
          <w:szCs w:val="15"/>
        </w:rPr>
        <w:t xml:space="preserve"> for PTSD</w:t>
      </w:r>
      <w:r w:rsidR="007111D1" w:rsidRPr="00BF2DC2">
        <w:rPr>
          <w:rFonts w:asciiTheme="minorHAnsi" w:hAnsiTheme="minorHAnsi" w:cstheme="minorHAnsi"/>
          <w:sz w:val="15"/>
          <w:szCs w:val="15"/>
        </w:rPr>
        <w:t>.</w:t>
      </w:r>
      <w:r w:rsidR="00B81CB1">
        <w:rPr>
          <w:rFonts w:asciiTheme="minorHAnsi" w:hAnsiTheme="minorHAnsi" w:cstheme="minorHAnsi"/>
          <w:sz w:val="15"/>
          <w:szCs w:val="15"/>
        </w:rPr>
        <w:fldChar w:fldCharType="begin">
          <w:fldData xml:space="preserve">PEVuZE5vdGU+PENpdGU+PEF1dGhvcj5LbGVpbjwvQXV0aG9yPjxZZWFyPjIwMTA8L1llYXI+PFJl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</w:fldData>
        </w:fldChar>
      </w:r>
      <w:r w:rsidR="004469A2">
        <w:rPr>
          <w:rFonts w:asciiTheme="minorHAnsi" w:hAnsiTheme="minorHAnsi" w:cstheme="minorHAnsi"/>
          <w:sz w:val="15"/>
          <w:szCs w:val="15"/>
        </w:rPr>
        <w:instrText xml:space="preserve"> ADDIN EN.CITE </w:instrText>
      </w:r>
      <w:r w:rsidR="004469A2">
        <w:rPr>
          <w:rFonts w:asciiTheme="minorHAnsi" w:hAnsiTheme="minorHAnsi" w:cstheme="minorHAnsi"/>
          <w:sz w:val="15"/>
          <w:szCs w:val="15"/>
        </w:rPr>
        <w:fldChar w:fldCharType="begin">
          <w:fldData xml:space="preserve">PEVuZE5vdGU+PENpdGU+PEF1dGhvcj5LbGVpbjwvQXV0aG9yPjxZZWFyPjIwMTA8L1llYXI+PFJl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</w:fldData>
        </w:fldChar>
      </w:r>
      <w:r w:rsidR="004469A2">
        <w:rPr>
          <w:rFonts w:asciiTheme="minorHAnsi" w:hAnsiTheme="minorHAnsi" w:cstheme="minorHAnsi"/>
          <w:sz w:val="15"/>
          <w:szCs w:val="15"/>
        </w:rPr>
        <w:instrText xml:space="preserve"> ADDIN EN.CITE.DATA </w:instrText>
      </w:r>
      <w:r w:rsidR="004469A2">
        <w:rPr>
          <w:rFonts w:asciiTheme="minorHAnsi" w:hAnsiTheme="minorHAnsi" w:cstheme="minorHAnsi"/>
          <w:sz w:val="15"/>
          <w:szCs w:val="15"/>
        </w:rPr>
      </w:r>
      <w:r w:rsidR="004469A2">
        <w:rPr>
          <w:rFonts w:asciiTheme="minorHAnsi" w:hAnsiTheme="minorHAnsi" w:cstheme="minorHAnsi"/>
          <w:sz w:val="15"/>
          <w:szCs w:val="15"/>
        </w:rPr>
        <w:fldChar w:fldCharType="end"/>
      </w:r>
      <w:r w:rsidR="00B81CB1">
        <w:rPr>
          <w:rFonts w:asciiTheme="minorHAnsi" w:hAnsiTheme="minorHAnsi" w:cstheme="minorHAnsi"/>
          <w:sz w:val="15"/>
          <w:szCs w:val="15"/>
        </w:rPr>
      </w:r>
      <w:r w:rsidR="00B81CB1">
        <w:rPr>
          <w:rFonts w:asciiTheme="minorHAnsi" w:hAnsiTheme="minorHAnsi" w:cstheme="minorHAnsi"/>
          <w:sz w:val="15"/>
          <w:szCs w:val="15"/>
        </w:rPr>
        <w:fldChar w:fldCharType="separate"/>
      </w:r>
      <w:r w:rsidR="004469A2" w:rsidRPr="004469A2">
        <w:rPr>
          <w:rFonts w:asciiTheme="minorHAnsi" w:hAnsiTheme="minorHAnsi" w:cstheme="minorHAnsi"/>
          <w:noProof/>
          <w:sz w:val="15"/>
          <w:szCs w:val="15"/>
          <w:vertAlign w:val="superscript"/>
        </w:rPr>
        <w:t>45</w:t>
      </w:r>
      <w:r w:rsidR="00B81CB1">
        <w:rPr>
          <w:rFonts w:asciiTheme="minorHAnsi" w:hAnsiTheme="minorHAnsi" w:cstheme="minorHAnsi"/>
          <w:sz w:val="15"/>
          <w:szCs w:val="15"/>
        </w:rPr>
        <w:fldChar w:fldCharType="end"/>
      </w:r>
      <w:r w:rsidR="00665FA3" w:rsidRPr="00BF2DC2">
        <w:rPr>
          <w:rFonts w:asciiTheme="minorHAnsi" w:hAnsiTheme="minorHAnsi" w:cstheme="minorHAnsi"/>
          <w:sz w:val="15"/>
          <w:szCs w:val="15"/>
        </w:rPr>
        <w:t xml:space="preserve"> </w:t>
      </w:r>
      <w:r w:rsidR="00A5149A" w:rsidRPr="00BF2DC2">
        <w:rPr>
          <w:rFonts w:asciiTheme="minorHAnsi" w:hAnsiTheme="minorHAnsi" w:cstheme="minorHAnsi"/>
          <w:sz w:val="15"/>
          <w:szCs w:val="15"/>
        </w:rPr>
        <w:t>Improvement in quality of life</w:t>
      </w:r>
      <w:r w:rsidR="001933E3" w:rsidRPr="00BF2DC2">
        <w:rPr>
          <w:rFonts w:asciiTheme="minorHAnsi" w:hAnsiTheme="minorHAnsi" w:cstheme="minorHAnsi"/>
          <w:sz w:val="15"/>
          <w:szCs w:val="15"/>
        </w:rPr>
        <w:t xml:space="preserve"> is</w:t>
      </w:r>
      <w:r w:rsidR="00A5149A" w:rsidRPr="00BF2DC2">
        <w:rPr>
          <w:rFonts w:asciiTheme="minorHAnsi" w:hAnsiTheme="minorHAnsi" w:cstheme="minorHAnsi"/>
          <w:sz w:val="15"/>
          <w:szCs w:val="15"/>
        </w:rPr>
        <w:t xml:space="preserve"> denoted by higher post-treatment scores.</w:t>
      </w:r>
    </w:p>
    <w:p w14:paraId="075D070F" w14:textId="1A6C1C92" w:rsidR="00C57A24" w:rsidRPr="00BF2DC2" w:rsidRDefault="00220A78" w:rsidP="003D1CA1">
      <w:pPr>
        <w:ind w:left="-142" w:right="-188"/>
        <w:rPr>
          <w:rFonts w:asciiTheme="minorHAnsi" w:hAnsiTheme="minorHAnsi" w:cstheme="minorHAnsi"/>
          <w:sz w:val="15"/>
          <w:szCs w:val="15"/>
        </w:rPr>
      </w:pPr>
      <w:proofErr w:type="spellStart"/>
      <w:r w:rsidRPr="00780511">
        <w:rPr>
          <w:rFonts w:asciiTheme="minorHAnsi" w:hAnsiTheme="minorHAnsi" w:cstheme="minorHAnsi"/>
          <w:sz w:val="15"/>
          <w:szCs w:val="15"/>
          <w:vertAlign w:val="superscript"/>
        </w:rPr>
        <w:t>d</w:t>
      </w:r>
      <w:r w:rsidRPr="00780511">
        <w:rPr>
          <w:rFonts w:asciiTheme="minorHAnsi" w:hAnsiTheme="minorHAnsi" w:cstheme="minorHAnsi"/>
          <w:sz w:val="15"/>
          <w:szCs w:val="15"/>
        </w:rPr>
        <w:t>Sourced</w:t>
      </w:r>
      <w:proofErr w:type="spellEnd"/>
      <w:r w:rsidRPr="00780511">
        <w:rPr>
          <w:rFonts w:asciiTheme="minorHAnsi" w:hAnsiTheme="minorHAnsi" w:cstheme="minorHAnsi"/>
          <w:sz w:val="15"/>
          <w:szCs w:val="15"/>
          <w:vertAlign w:val="superscript"/>
        </w:rPr>
        <w:t xml:space="preserve"> </w:t>
      </w:r>
      <w:r w:rsidRPr="00780511">
        <w:rPr>
          <w:rFonts w:asciiTheme="minorHAnsi" w:hAnsiTheme="minorHAnsi" w:cstheme="minorHAnsi"/>
          <w:sz w:val="15"/>
          <w:szCs w:val="15"/>
        </w:rPr>
        <w:t xml:space="preserve">from Klein </w:t>
      </w:r>
      <w:r w:rsidR="0065750D" w:rsidRPr="00780511">
        <w:rPr>
          <w:rFonts w:asciiTheme="minorHAnsi" w:hAnsiTheme="minorHAnsi" w:cstheme="minorHAnsi"/>
          <w:sz w:val="15"/>
          <w:szCs w:val="15"/>
        </w:rPr>
        <w:t>et al</w:t>
      </w:r>
      <w:r w:rsidRPr="00780511">
        <w:rPr>
          <w:rFonts w:asciiTheme="minorHAnsi" w:hAnsiTheme="minorHAnsi" w:cstheme="minorHAnsi"/>
          <w:sz w:val="15"/>
          <w:szCs w:val="15"/>
        </w:rPr>
        <w:t xml:space="preserve"> </w:t>
      </w:r>
      <w:r w:rsidRPr="00BF2DC2">
        <w:rPr>
          <w:rFonts w:asciiTheme="minorHAnsi" w:hAnsiTheme="minorHAnsi" w:cstheme="minorHAnsi"/>
          <w:sz w:val="15"/>
          <w:szCs w:val="15"/>
        </w:rPr>
        <w:t>(2011)</w:t>
      </w:r>
      <w:r w:rsidR="00954E47" w:rsidRPr="00BF2DC2">
        <w:rPr>
          <w:rFonts w:asciiTheme="minorHAnsi" w:hAnsiTheme="minorHAnsi" w:cstheme="minorHAnsi"/>
          <w:sz w:val="15"/>
          <w:szCs w:val="15"/>
        </w:rPr>
        <w:t xml:space="preserve"> evaluation of</w:t>
      </w:r>
      <w:r w:rsidRPr="00BF2DC2">
        <w:rPr>
          <w:rFonts w:asciiTheme="minorHAnsi" w:hAnsiTheme="minorHAnsi" w:cstheme="minorHAnsi"/>
          <w:sz w:val="15"/>
          <w:szCs w:val="15"/>
        </w:rPr>
        <w:t xml:space="preserve"> </w:t>
      </w:r>
      <w:r w:rsidR="00954E47" w:rsidRPr="00BF2DC2">
        <w:rPr>
          <w:rFonts w:asciiTheme="minorHAnsi" w:hAnsiTheme="minorHAnsi" w:cstheme="minorHAnsi"/>
          <w:sz w:val="15"/>
          <w:szCs w:val="15"/>
        </w:rPr>
        <w:t>p</w:t>
      </w:r>
      <w:r w:rsidR="00C57A24" w:rsidRPr="00BF2DC2">
        <w:rPr>
          <w:rFonts w:asciiTheme="minorHAnsi" w:hAnsiTheme="minorHAnsi" w:cstheme="minorHAnsi"/>
          <w:sz w:val="15"/>
          <w:szCs w:val="15"/>
        </w:rPr>
        <w:t>ost</w:t>
      </w:r>
      <w:r w:rsidR="00954E47" w:rsidRPr="00BF2DC2">
        <w:rPr>
          <w:rFonts w:asciiTheme="minorHAnsi" w:hAnsiTheme="minorHAnsi" w:cstheme="minorHAnsi"/>
          <w:sz w:val="15"/>
          <w:szCs w:val="15"/>
        </w:rPr>
        <w:t>-</w:t>
      </w:r>
      <w:r w:rsidR="00C57A24" w:rsidRPr="00BF2DC2">
        <w:rPr>
          <w:rFonts w:asciiTheme="minorHAnsi" w:hAnsiTheme="minorHAnsi" w:cstheme="minorHAnsi"/>
          <w:sz w:val="15"/>
          <w:szCs w:val="15"/>
        </w:rPr>
        <w:t xml:space="preserve">treatment effects of completers of 5 </w:t>
      </w:r>
      <w:r w:rsidR="00954E47" w:rsidRPr="00BF2DC2">
        <w:rPr>
          <w:rFonts w:asciiTheme="minorHAnsi" w:hAnsiTheme="minorHAnsi" w:cstheme="minorHAnsi"/>
          <w:sz w:val="15"/>
          <w:szCs w:val="15"/>
        </w:rPr>
        <w:t>self-directed Anxiety Online (</w:t>
      </w:r>
      <w:r w:rsidRPr="00BF2DC2">
        <w:rPr>
          <w:rFonts w:asciiTheme="minorHAnsi" w:hAnsiTheme="minorHAnsi" w:cstheme="minorHAnsi"/>
          <w:sz w:val="15"/>
          <w:szCs w:val="15"/>
        </w:rPr>
        <w:t xml:space="preserve">Mental Health </w:t>
      </w:r>
      <w:proofErr w:type="spellStart"/>
      <w:r w:rsidRPr="00BF2DC2">
        <w:rPr>
          <w:rFonts w:asciiTheme="minorHAnsi" w:hAnsiTheme="minorHAnsi" w:cstheme="minorHAnsi"/>
          <w:sz w:val="15"/>
          <w:szCs w:val="15"/>
        </w:rPr>
        <w:t>Online</w:t>
      </w:r>
      <w:r w:rsidR="00EA3EA7" w:rsidRPr="00BF2DC2">
        <w:rPr>
          <w:rFonts w:asciiTheme="minorHAnsi" w:hAnsiTheme="minorHAnsi" w:cstheme="minorHAnsi"/>
          <w:sz w:val="15"/>
          <w:szCs w:val="15"/>
        </w:rPr>
        <w:t>’s</w:t>
      </w:r>
      <w:proofErr w:type="spellEnd"/>
      <w:r w:rsidR="00EA3EA7" w:rsidRPr="00BF2DC2">
        <w:rPr>
          <w:rFonts w:asciiTheme="minorHAnsi" w:hAnsiTheme="minorHAnsi" w:cstheme="minorHAnsi"/>
          <w:sz w:val="15"/>
          <w:szCs w:val="15"/>
        </w:rPr>
        <w:t xml:space="preserve"> former</w:t>
      </w:r>
      <w:r w:rsidRPr="00BF2DC2">
        <w:rPr>
          <w:rFonts w:asciiTheme="minorHAnsi" w:hAnsiTheme="minorHAnsi" w:cstheme="minorHAnsi"/>
          <w:sz w:val="15"/>
          <w:szCs w:val="15"/>
        </w:rPr>
        <w:t xml:space="preserve"> </w:t>
      </w:r>
      <w:r w:rsidR="00EA3EA7" w:rsidRPr="00BF2DC2">
        <w:rPr>
          <w:rFonts w:asciiTheme="minorHAnsi" w:hAnsiTheme="minorHAnsi" w:cstheme="minorHAnsi"/>
          <w:sz w:val="15"/>
          <w:szCs w:val="15"/>
        </w:rPr>
        <w:t>name</w:t>
      </w:r>
      <w:r w:rsidRPr="00BF2DC2">
        <w:rPr>
          <w:rFonts w:asciiTheme="minorHAnsi" w:hAnsiTheme="minorHAnsi" w:cstheme="minorHAnsi"/>
          <w:sz w:val="15"/>
          <w:szCs w:val="15"/>
        </w:rPr>
        <w:t>)</w:t>
      </w:r>
      <w:r w:rsidR="00C57A24" w:rsidRPr="00BF2DC2">
        <w:rPr>
          <w:rFonts w:asciiTheme="minorHAnsi" w:hAnsiTheme="minorHAnsi" w:cstheme="minorHAnsi"/>
          <w:sz w:val="15"/>
          <w:szCs w:val="15"/>
        </w:rPr>
        <w:t xml:space="preserve"> programs</w:t>
      </w:r>
      <w:r w:rsidR="00954E47" w:rsidRPr="00BF2DC2">
        <w:rPr>
          <w:rFonts w:asciiTheme="minorHAnsi" w:hAnsiTheme="minorHAnsi" w:cstheme="minorHAnsi"/>
          <w:sz w:val="15"/>
          <w:szCs w:val="15"/>
        </w:rPr>
        <w:t>.</w:t>
      </w:r>
      <w:r w:rsidR="00B81CB1">
        <w:rPr>
          <w:rFonts w:asciiTheme="minorHAnsi" w:hAnsiTheme="minorHAnsi" w:cstheme="minorHAnsi"/>
          <w:sz w:val="15"/>
          <w:szCs w:val="15"/>
        </w:rPr>
        <w:fldChar w:fldCharType="begin">
          <w:fldData xml:space="preserve">PEVuZE5vdGU+PENpdGU+PEF1dGhvcj5LbGVpbjwvQXV0aG9yPjxZZWFyPjIwMTE8L1llYXI+PFJl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</w:fldData>
        </w:fldChar>
      </w:r>
      <w:r w:rsidR="004469A2">
        <w:rPr>
          <w:rFonts w:asciiTheme="minorHAnsi" w:hAnsiTheme="minorHAnsi" w:cstheme="minorHAnsi"/>
          <w:sz w:val="15"/>
          <w:szCs w:val="15"/>
        </w:rPr>
        <w:instrText xml:space="preserve"> ADDIN EN.CITE </w:instrText>
      </w:r>
      <w:r w:rsidR="004469A2">
        <w:rPr>
          <w:rFonts w:asciiTheme="minorHAnsi" w:hAnsiTheme="minorHAnsi" w:cstheme="minorHAnsi"/>
          <w:sz w:val="15"/>
          <w:szCs w:val="15"/>
        </w:rPr>
        <w:fldChar w:fldCharType="begin">
          <w:fldData xml:space="preserve">PEVuZE5vdGU+PENpdGU+PEF1dGhvcj5LbGVpbjwvQXV0aG9yPjxZZWFyPjIwMTE8L1llYXI+PFJl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</w:fldData>
        </w:fldChar>
      </w:r>
      <w:r w:rsidR="004469A2">
        <w:rPr>
          <w:rFonts w:asciiTheme="minorHAnsi" w:hAnsiTheme="minorHAnsi" w:cstheme="minorHAnsi"/>
          <w:sz w:val="15"/>
          <w:szCs w:val="15"/>
        </w:rPr>
        <w:instrText xml:space="preserve"> ADDIN EN.CITE.DATA </w:instrText>
      </w:r>
      <w:r w:rsidR="004469A2">
        <w:rPr>
          <w:rFonts w:asciiTheme="minorHAnsi" w:hAnsiTheme="minorHAnsi" w:cstheme="minorHAnsi"/>
          <w:sz w:val="15"/>
          <w:szCs w:val="15"/>
        </w:rPr>
      </w:r>
      <w:r w:rsidR="004469A2">
        <w:rPr>
          <w:rFonts w:asciiTheme="minorHAnsi" w:hAnsiTheme="minorHAnsi" w:cstheme="minorHAnsi"/>
          <w:sz w:val="15"/>
          <w:szCs w:val="15"/>
        </w:rPr>
        <w:fldChar w:fldCharType="end"/>
      </w:r>
      <w:r w:rsidR="00B81CB1">
        <w:rPr>
          <w:rFonts w:asciiTheme="minorHAnsi" w:hAnsiTheme="minorHAnsi" w:cstheme="minorHAnsi"/>
          <w:sz w:val="15"/>
          <w:szCs w:val="15"/>
        </w:rPr>
      </w:r>
      <w:r w:rsidR="00B81CB1">
        <w:rPr>
          <w:rFonts w:asciiTheme="minorHAnsi" w:hAnsiTheme="minorHAnsi" w:cstheme="minorHAnsi"/>
          <w:sz w:val="15"/>
          <w:szCs w:val="15"/>
        </w:rPr>
        <w:fldChar w:fldCharType="separate"/>
      </w:r>
      <w:r w:rsidR="004469A2" w:rsidRPr="004469A2">
        <w:rPr>
          <w:rFonts w:asciiTheme="minorHAnsi" w:hAnsiTheme="minorHAnsi" w:cstheme="minorHAnsi"/>
          <w:noProof/>
          <w:sz w:val="15"/>
          <w:szCs w:val="15"/>
          <w:vertAlign w:val="superscript"/>
        </w:rPr>
        <w:t>62</w:t>
      </w:r>
      <w:r w:rsidR="00B81CB1">
        <w:rPr>
          <w:rFonts w:asciiTheme="minorHAnsi" w:hAnsiTheme="minorHAnsi" w:cstheme="minorHAnsi"/>
          <w:sz w:val="15"/>
          <w:szCs w:val="15"/>
        </w:rPr>
        <w:fldChar w:fldCharType="end"/>
      </w:r>
      <w:r w:rsidR="001933E3" w:rsidRPr="00BF2DC2">
        <w:rPr>
          <w:rFonts w:asciiTheme="minorHAnsi" w:hAnsiTheme="minorHAnsi" w:cstheme="minorHAnsi"/>
          <w:sz w:val="15"/>
          <w:szCs w:val="15"/>
        </w:rPr>
        <w:t xml:space="preserve"> Improvement in quality of life is denoted by higher post-treatment scores.</w:t>
      </w:r>
    </w:p>
    <w:p w14:paraId="016A08B3" w14:textId="3EBC8303" w:rsidR="00E304C2" w:rsidRPr="00BF2DC2" w:rsidRDefault="000E014B" w:rsidP="003D1CA1">
      <w:pPr>
        <w:autoSpaceDE w:val="0"/>
        <w:autoSpaceDN w:val="0"/>
        <w:adjustRightInd w:val="0"/>
        <w:ind w:left="-142" w:right="-188"/>
        <w:rPr>
          <w:rFonts w:asciiTheme="minorHAnsi" w:eastAsiaTheme="minorHAnsi" w:hAnsiTheme="minorHAnsi" w:cstheme="minorHAnsi"/>
          <w:sz w:val="15"/>
          <w:szCs w:val="15"/>
          <w:lang w:val="en-GB" w:eastAsia="en-US"/>
        </w:rPr>
      </w:pPr>
      <w:proofErr w:type="spellStart"/>
      <w:r w:rsidRPr="00BF2DC2">
        <w:rPr>
          <w:rFonts w:asciiTheme="minorHAnsi" w:eastAsiaTheme="minorHAnsi" w:hAnsiTheme="minorHAnsi" w:cstheme="minorHAnsi"/>
          <w:sz w:val="15"/>
          <w:szCs w:val="15"/>
          <w:vertAlign w:val="superscript"/>
          <w:lang w:val="en-GB" w:eastAsia="en-US"/>
        </w:rPr>
        <w:t>e</w:t>
      </w:r>
      <w:r w:rsidR="004040AC" w:rsidRPr="00BF2DC2">
        <w:rPr>
          <w:rFonts w:asciiTheme="minorHAnsi" w:eastAsiaTheme="minorHAnsi" w:hAnsiTheme="minorHAnsi" w:cstheme="minorHAnsi"/>
          <w:sz w:val="15"/>
          <w:szCs w:val="15"/>
          <w:lang w:val="en-GB" w:eastAsia="en-US"/>
        </w:rPr>
        <w:t>Likely</w:t>
      </w:r>
      <w:proofErr w:type="spellEnd"/>
      <w:r w:rsidR="004040AC" w:rsidRPr="00BF2DC2">
        <w:rPr>
          <w:rFonts w:asciiTheme="minorHAnsi" w:eastAsiaTheme="minorHAnsi" w:hAnsiTheme="minorHAnsi" w:cstheme="minorHAnsi"/>
          <w:sz w:val="15"/>
          <w:szCs w:val="15"/>
          <w:lang w:val="en-GB" w:eastAsia="en-US"/>
        </w:rPr>
        <w:t xml:space="preserve"> clinical disorder severity</w:t>
      </w:r>
      <w:r w:rsidRPr="00BF2DC2">
        <w:rPr>
          <w:rFonts w:asciiTheme="minorHAnsi" w:eastAsiaTheme="minorHAnsi" w:hAnsiTheme="minorHAnsi" w:cstheme="minorHAnsi"/>
          <w:sz w:val="15"/>
          <w:szCs w:val="15"/>
          <w:lang w:val="en-GB" w:eastAsia="en-US"/>
        </w:rPr>
        <w:t xml:space="preserve"> </w:t>
      </w:r>
      <w:r w:rsidR="00EC43D0" w:rsidRPr="00BF2DC2">
        <w:rPr>
          <w:rFonts w:asciiTheme="minorHAnsi" w:eastAsiaTheme="minorHAnsi" w:hAnsiTheme="minorHAnsi" w:cstheme="minorHAnsi"/>
          <w:sz w:val="15"/>
          <w:szCs w:val="15"/>
          <w:lang w:val="en-GB" w:eastAsia="en-US"/>
        </w:rPr>
        <w:t>based on</w:t>
      </w:r>
      <w:r w:rsidR="004040AC" w:rsidRPr="00BF2DC2">
        <w:rPr>
          <w:rFonts w:asciiTheme="minorHAnsi" w:eastAsiaTheme="minorHAnsi" w:hAnsiTheme="minorHAnsi" w:cstheme="minorHAnsi"/>
          <w:sz w:val="15"/>
          <w:szCs w:val="15"/>
          <w:lang w:val="en-GB" w:eastAsia="en-US"/>
        </w:rPr>
        <w:t xml:space="preserve"> </w:t>
      </w:r>
      <w:proofErr w:type="spellStart"/>
      <w:r w:rsidR="00950B07" w:rsidRPr="00BF2DC2">
        <w:rPr>
          <w:rFonts w:asciiTheme="minorHAnsi" w:hAnsiTheme="minorHAnsi" w:cstheme="minorHAnsi"/>
          <w:sz w:val="15"/>
          <w:szCs w:val="15"/>
        </w:rPr>
        <w:t>ePASS</w:t>
      </w:r>
      <w:proofErr w:type="spellEnd"/>
      <w:r w:rsidR="00EC43D0" w:rsidRPr="00BF2DC2">
        <w:rPr>
          <w:rFonts w:asciiTheme="minorHAnsi" w:hAnsiTheme="minorHAnsi" w:cstheme="minorHAnsi"/>
          <w:sz w:val="15"/>
          <w:szCs w:val="15"/>
        </w:rPr>
        <w:t xml:space="preserve"> </w:t>
      </w:r>
      <w:r w:rsidR="00EC43D0" w:rsidRPr="00BF2DC2">
        <w:rPr>
          <w:rFonts w:asciiTheme="minorHAnsi" w:eastAsiaTheme="minorHAnsi" w:hAnsiTheme="minorHAnsi" w:cstheme="minorHAnsi"/>
          <w:sz w:val="15"/>
          <w:szCs w:val="15"/>
          <w:lang w:val="en-GB" w:eastAsia="en-US"/>
        </w:rPr>
        <w:t xml:space="preserve">online self-report diagnostic tool that assesses for 21 DSM-IV-TR disorders. Severity ratings </w:t>
      </w:r>
      <w:r w:rsidR="004040AC" w:rsidRPr="00BF2DC2">
        <w:rPr>
          <w:rFonts w:asciiTheme="minorHAnsi" w:eastAsiaTheme="minorHAnsi" w:hAnsiTheme="minorHAnsi" w:cstheme="minorHAnsi"/>
          <w:sz w:val="15"/>
          <w:szCs w:val="15"/>
          <w:lang w:val="en-GB" w:eastAsia="en-US"/>
        </w:rPr>
        <w:t>range from 0 (absence of any symptoms) to 8 (very</w:t>
      </w:r>
      <w:r w:rsidRPr="00BF2DC2">
        <w:rPr>
          <w:rFonts w:asciiTheme="minorHAnsi" w:eastAsiaTheme="minorHAnsi" w:hAnsiTheme="minorHAnsi" w:cstheme="minorHAnsi"/>
          <w:sz w:val="15"/>
          <w:szCs w:val="15"/>
          <w:lang w:val="en-GB" w:eastAsia="en-US"/>
        </w:rPr>
        <w:t xml:space="preserve"> </w:t>
      </w:r>
      <w:r w:rsidR="004040AC" w:rsidRPr="00BF2DC2">
        <w:rPr>
          <w:rFonts w:asciiTheme="minorHAnsi" w:eastAsiaTheme="minorHAnsi" w:hAnsiTheme="minorHAnsi" w:cstheme="minorHAnsi"/>
          <w:sz w:val="15"/>
          <w:szCs w:val="15"/>
          <w:lang w:val="en-GB" w:eastAsia="en-US"/>
        </w:rPr>
        <w:t>severe clinical disorder). Likely clinical disorder severity scores</w:t>
      </w:r>
      <w:r w:rsidRPr="00BF2DC2">
        <w:rPr>
          <w:rFonts w:asciiTheme="minorHAnsi" w:eastAsiaTheme="minorHAnsi" w:hAnsiTheme="minorHAnsi" w:cstheme="minorHAnsi"/>
          <w:sz w:val="15"/>
          <w:szCs w:val="15"/>
          <w:lang w:val="en-GB" w:eastAsia="en-US"/>
        </w:rPr>
        <w:t xml:space="preserve"> </w:t>
      </w:r>
      <w:r w:rsidR="004040AC" w:rsidRPr="00BF2DC2">
        <w:rPr>
          <w:rFonts w:asciiTheme="minorHAnsi" w:eastAsiaTheme="minorHAnsi" w:hAnsiTheme="minorHAnsi" w:cstheme="minorHAnsi"/>
          <w:sz w:val="15"/>
          <w:szCs w:val="15"/>
          <w:lang w:val="en-GB" w:eastAsia="en-US"/>
        </w:rPr>
        <w:t>below 3.50 are given a subclinical label</w:t>
      </w:r>
      <w:r w:rsidR="00ED37F0" w:rsidRPr="00BF2DC2">
        <w:rPr>
          <w:rFonts w:asciiTheme="minorHAnsi" w:eastAsiaTheme="minorHAnsi" w:hAnsiTheme="minorHAnsi" w:cstheme="minorHAnsi"/>
          <w:sz w:val="15"/>
          <w:szCs w:val="15"/>
          <w:lang w:val="en-GB" w:eastAsia="en-US"/>
        </w:rPr>
        <w:t xml:space="preserve"> and rating</w:t>
      </w:r>
      <w:r w:rsidR="004040AC" w:rsidRPr="00BF2DC2">
        <w:rPr>
          <w:rFonts w:asciiTheme="minorHAnsi" w:eastAsiaTheme="minorHAnsi" w:hAnsiTheme="minorHAnsi" w:cstheme="minorHAnsi"/>
          <w:sz w:val="15"/>
          <w:szCs w:val="15"/>
          <w:lang w:val="en-GB" w:eastAsia="en-US"/>
        </w:rPr>
        <w:t>.</w:t>
      </w:r>
      <w:r w:rsidR="00B81CB1">
        <w:rPr>
          <w:rFonts w:asciiTheme="minorHAnsi" w:eastAsiaTheme="minorHAnsi" w:hAnsiTheme="minorHAnsi" w:cstheme="minorHAnsi"/>
          <w:sz w:val="15"/>
          <w:szCs w:val="15"/>
          <w:lang w:val="en-GB" w:eastAsia="en-US"/>
        </w:rPr>
        <w:fldChar w:fldCharType="begin">
          <w:fldData xml:space="preserve">PEVuZE5vdGU+PENpdGU+PEF1dGhvcj5LbGVpbjwvQXV0aG9yPjxZZWFyPjIwMTE8L1llYXI+PFJl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</w:fldData>
        </w:fldChar>
      </w:r>
      <w:r w:rsidR="004469A2">
        <w:rPr>
          <w:rFonts w:asciiTheme="minorHAnsi" w:eastAsiaTheme="minorHAnsi" w:hAnsiTheme="minorHAnsi" w:cstheme="minorHAnsi"/>
          <w:sz w:val="15"/>
          <w:szCs w:val="15"/>
          <w:lang w:val="en-GB" w:eastAsia="en-US"/>
        </w:rPr>
        <w:instrText xml:space="preserve"> ADDIN EN.CITE </w:instrText>
      </w:r>
      <w:r w:rsidR="004469A2">
        <w:rPr>
          <w:rFonts w:asciiTheme="minorHAnsi" w:eastAsiaTheme="minorHAnsi" w:hAnsiTheme="minorHAnsi" w:cstheme="minorHAnsi"/>
          <w:sz w:val="15"/>
          <w:szCs w:val="15"/>
          <w:lang w:val="en-GB" w:eastAsia="en-US"/>
        </w:rPr>
        <w:fldChar w:fldCharType="begin">
          <w:fldData xml:space="preserve">PEVuZE5vdGU+PENpdGU+PEF1dGhvcj5LbGVpbjwvQXV0aG9yPjxZZWFyPjIwMTE8L1llYXI+PFJl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</w:fldData>
        </w:fldChar>
      </w:r>
      <w:r w:rsidR="004469A2">
        <w:rPr>
          <w:rFonts w:asciiTheme="minorHAnsi" w:eastAsiaTheme="minorHAnsi" w:hAnsiTheme="minorHAnsi" w:cstheme="minorHAnsi"/>
          <w:sz w:val="15"/>
          <w:szCs w:val="15"/>
          <w:lang w:val="en-GB" w:eastAsia="en-US"/>
        </w:rPr>
        <w:instrText xml:space="preserve"> ADDIN EN.CITE.DATA </w:instrText>
      </w:r>
      <w:r w:rsidR="004469A2">
        <w:rPr>
          <w:rFonts w:asciiTheme="minorHAnsi" w:eastAsiaTheme="minorHAnsi" w:hAnsiTheme="minorHAnsi" w:cstheme="minorHAnsi"/>
          <w:sz w:val="15"/>
          <w:szCs w:val="15"/>
          <w:lang w:val="en-GB" w:eastAsia="en-US"/>
        </w:rPr>
      </w:r>
      <w:r w:rsidR="004469A2">
        <w:rPr>
          <w:rFonts w:asciiTheme="minorHAnsi" w:eastAsiaTheme="minorHAnsi" w:hAnsiTheme="minorHAnsi" w:cstheme="minorHAnsi"/>
          <w:sz w:val="15"/>
          <w:szCs w:val="15"/>
          <w:lang w:val="en-GB" w:eastAsia="en-US"/>
        </w:rPr>
        <w:fldChar w:fldCharType="end"/>
      </w:r>
      <w:r w:rsidR="00B81CB1">
        <w:rPr>
          <w:rFonts w:asciiTheme="minorHAnsi" w:eastAsiaTheme="minorHAnsi" w:hAnsiTheme="minorHAnsi" w:cstheme="minorHAnsi"/>
          <w:sz w:val="15"/>
          <w:szCs w:val="15"/>
          <w:lang w:val="en-GB" w:eastAsia="en-US"/>
        </w:rPr>
      </w:r>
      <w:r w:rsidR="00B81CB1">
        <w:rPr>
          <w:rFonts w:asciiTheme="minorHAnsi" w:eastAsiaTheme="minorHAnsi" w:hAnsiTheme="minorHAnsi" w:cstheme="minorHAnsi"/>
          <w:sz w:val="15"/>
          <w:szCs w:val="15"/>
          <w:lang w:val="en-GB" w:eastAsia="en-US"/>
        </w:rPr>
        <w:fldChar w:fldCharType="separate"/>
      </w:r>
      <w:r w:rsidR="004469A2" w:rsidRPr="004469A2">
        <w:rPr>
          <w:rFonts w:asciiTheme="minorHAnsi" w:eastAsiaTheme="minorHAnsi" w:hAnsiTheme="minorHAnsi" w:cstheme="minorHAnsi"/>
          <w:noProof/>
          <w:sz w:val="15"/>
          <w:szCs w:val="15"/>
          <w:vertAlign w:val="superscript"/>
          <w:lang w:val="en-GB" w:eastAsia="en-US"/>
        </w:rPr>
        <w:t>62</w:t>
      </w:r>
      <w:r w:rsidR="00B81CB1">
        <w:rPr>
          <w:rFonts w:asciiTheme="minorHAnsi" w:eastAsiaTheme="minorHAnsi" w:hAnsiTheme="minorHAnsi" w:cstheme="minorHAnsi"/>
          <w:sz w:val="15"/>
          <w:szCs w:val="15"/>
          <w:lang w:val="en-GB" w:eastAsia="en-US"/>
        </w:rPr>
        <w:fldChar w:fldCharType="end"/>
      </w:r>
    </w:p>
    <w:p w14:paraId="300568C9" w14:textId="5E2EB6B4" w:rsidR="004A6849" w:rsidRPr="002D0ED7" w:rsidRDefault="00ED37F0" w:rsidP="002D0ED7">
      <w:pPr>
        <w:autoSpaceDE w:val="0"/>
        <w:autoSpaceDN w:val="0"/>
        <w:adjustRightInd w:val="0"/>
        <w:ind w:left="-142" w:right="-188"/>
        <w:rPr>
          <w:rFonts w:asciiTheme="minorHAnsi" w:eastAsiaTheme="minorHAnsi" w:hAnsiTheme="minorHAnsi" w:cstheme="minorHAnsi"/>
          <w:sz w:val="15"/>
          <w:szCs w:val="15"/>
          <w:lang w:val="en-GB" w:eastAsia="en-US"/>
        </w:rPr>
      </w:pPr>
      <w:proofErr w:type="spellStart"/>
      <w:r w:rsidRPr="00BF2DC2">
        <w:rPr>
          <w:rFonts w:asciiTheme="minorHAnsi" w:eastAsiaTheme="minorHAnsi" w:hAnsiTheme="minorHAnsi" w:cstheme="minorHAnsi"/>
          <w:sz w:val="15"/>
          <w:szCs w:val="15"/>
          <w:vertAlign w:val="superscript"/>
          <w:lang w:val="en-GB" w:eastAsia="en-US"/>
        </w:rPr>
        <w:t>f</w:t>
      </w:r>
      <w:r w:rsidR="00F91284" w:rsidRPr="00BF2DC2">
        <w:rPr>
          <w:rFonts w:asciiTheme="minorHAnsi" w:eastAsiaTheme="minorHAnsi" w:hAnsiTheme="minorHAnsi" w:cstheme="minorHAnsi"/>
          <w:sz w:val="15"/>
          <w:szCs w:val="15"/>
          <w:lang w:val="en-GB" w:eastAsia="en-US"/>
        </w:rPr>
        <w:t>Quality</w:t>
      </w:r>
      <w:proofErr w:type="spellEnd"/>
      <w:r w:rsidR="00F91284" w:rsidRPr="00BF2DC2">
        <w:rPr>
          <w:rFonts w:asciiTheme="minorHAnsi" w:eastAsiaTheme="minorHAnsi" w:hAnsiTheme="minorHAnsi" w:cstheme="minorHAnsi"/>
          <w:sz w:val="15"/>
          <w:szCs w:val="15"/>
          <w:lang w:val="en-GB" w:eastAsia="en-US"/>
        </w:rPr>
        <w:t xml:space="preserve"> of life </w:t>
      </w:r>
      <w:r w:rsidR="004040AC" w:rsidRPr="00BF2DC2">
        <w:rPr>
          <w:rFonts w:asciiTheme="minorHAnsi" w:eastAsiaTheme="minorHAnsi" w:hAnsiTheme="minorHAnsi" w:cstheme="minorHAnsi"/>
          <w:sz w:val="15"/>
          <w:szCs w:val="15"/>
          <w:lang w:val="en-GB" w:eastAsia="en-US"/>
        </w:rPr>
        <w:t>assessed using</w:t>
      </w:r>
      <w:r w:rsidR="00F91284" w:rsidRPr="00BF2DC2">
        <w:rPr>
          <w:rFonts w:asciiTheme="minorHAnsi" w:eastAsiaTheme="minorHAnsi" w:hAnsiTheme="minorHAnsi" w:cstheme="minorHAnsi"/>
          <w:sz w:val="15"/>
          <w:szCs w:val="15"/>
          <w:lang w:val="en-GB" w:eastAsia="en-US"/>
        </w:rPr>
        <w:t xml:space="preserve"> single-item self-report question asking</w:t>
      </w:r>
      <w:r w:rsidR="004040AC" w:rsidRPr="00BF2DC2">
        <w:rPr>
          <w:rFonts w:asciiTheme="minorHAnsi" w:eastAsiaTheme="minorHAnsi" w:hAnsiTheme="minorHAnsi" w:cstheme="minorHAnsi"/>
          <w:sz w:val="15"/>
          <w:szCs w:val="15"/>
          <w:lang w:val="en-GB" w:eastAsia="en-US"/>
        </w:rPr>
        <w:t xml:space="preserve"> </w:t>
      </w:r>
      <w:r w:rsidR="00F91284" w:rsidRPr="00BF2DC2">
        <w:rPr>
          <w:rFonts w:asciiTheme="minorHAnsi" w:eastAsiaTheme="minorHAnsi" w:hAnsiTheme="minorHAnsi" w:cstheme="minorHAnsi"/>
          <w:sz w:val="15"/>
          <w:szCs w:val="15"/>
          <w:lang w:val="en-GB" w:eastAsia="en-US"/>
        </w:rPr>
        <w:t>participants to rate their overall quality of life</w:t>
      </w:r>
      <w:r w:rsidR="004040AC" w:rsidRPr="00BF2DC2">
        <w:rPr>
          <w:rFonts w:asciiTheme="minorHAnsi" w:eastAsiaTheme="minorHAnsi" w:hAnsiTheme="minorHAnsi" w:cstheme="minorHAnsi"/>
          <w:sz w:val="15"/>
          <w:szCs w:val="15"/>
          <w:lang w:val="en-GB" w:eastAsia="en-US"/>
        </w:rPr>
        <w:t xml:space="preserve"> on a 5-point scale from 1 (very poor) to 5 (</w:t>
      </w:r>
      <w:r w:rsidR="00F91284" w:rsidRPr="00BF2DC2">
        <w:rPr>
          <w:rFonts w:asciiTheme="minorHAnsi" w:eastAsiaTheme="minorHAnsi" w:hAnsiTheme="minorHAnsi" w:cstheme="minorHAnsi"/>
          <w:sz w:val="15"/>
          <w:szCs w:val="15"/>
          <w:lang w:val="en-GB" w:eastAsia="en-US"/>
        </w:rPr>
        <w:t>very good)</w:t>
      </w:r>
      <w:r w:rsidR="004040AC" w:rsidRPr="00BF2DC2">
        <w:rPr>
          <w:rFonts w:asciiTheme="minorHAnsi" w:eastAsiaTheme="minorHAnsi" w:hAnsiTheme="minorHAnsi" w:cstheme="minorHAnsi"/>
          <w:sz w:val="15"/>
          <w:szCs w:val="15"/>
          <w:lang w:val="en-GB" w:eastAsia="en-US"/>
        </w:rPr>
        <w:t>.</w:t>
      </w:r>
      <w:r w:rsidR="00B81CB1">
        <w:rPr>
          <w:rFonts w:asciiTheme="minorHAnsi" w:eastAsiaTheme="minorHAnsi" w:hAnsiTheme="minorHAnsi" w:cstheme="minorHAnsi"/>
          <w:sz w:val="15"/>
          <w:szCs w:val="15"/>
          <w:lang w:val="en-GB" w:eastAsia="en-US"/>
        </w:rPr>
        <w:fldChar w:fldCharType="begin">
          <w:fldData xml:space="preserve">PEVuZE5vdGU+PENpdGU+PEF1dGhvcj5LbGVpbjwvQXV0aG9yPjxZZWFyPjIwMTE8L1llYXI+PFJl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</w:fldData>
        </w:fldChar>
      </w:r>
      <w:r w:rsidR="004469A2">
        <w:rPr>
          <w:rFonts w:asciiTheme="minorHAnsi" w:eastAsiaTheme="minorHAnsi" w:hAnsiTheme="minorHAnsi" w:cstheme="minorHAnsi"/>
          <w:sz w:val="15"/>
          <w:szCs w:val="15"/>
          <w:lang w:val="en-GB" w:eastAsia="en-US"/>
        </w:rPr>
        <w:instrText xml:space="preserve"> ADDIN EN.CITE </w:instrText>
      </w:r>
      <w:r w:rsidR="004469A2">
        <w:rPr>
          <w:rFonts w:asciiTheme="minorHAnsi" w:eastAsiaTheme="minorHAnsi" w:hAnsiTheme="minorHAnsi" w:cstheme="minorHAnsi"/>
          <w:sz w:val="15"/>
          <w:szCs w:val="15"/>
          <w:lang w:val="en-GB" w:eastAsia="en-US"/>
        </w:rPr>
        <w:fldChar w:fldCharType="begin">
          <w:fldData xml:space="preserve">PEVuZE5vdGU+PENpdGU+PEF1dGhvcj5LbGVpbjwvQXV0aG9yPjxZZWFyPjIwMTE8L1llYXI+PFJl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</w:fldData>
        </w:fldChar>
      </w:r>
      <w:r w:rsidR="004469A2">
        <w:rPr>
          <w:rFonts w:asciiTheme="minorHAnsi" w:eastAsiaTheme="minorHAnsi" w:hAnsiTheme="minorHAnsi" w:cstheme="minorHAnsi"/>
          <w:sz w:val="15"/>
          <w:szCs w:val="15"/>
          <w:lang w:val="en-GB" w:eastAsia="en-US"/>
        </w:rPr>
        <w:instrText xml:space="preserve"> ADDIN EN.CITE.DATA </w:instrText>
      </w:r>
      <w:r w:rsidR="004469A2">
        <w:rPr>
          <w:rFonts w:asciiTheme="minorHAnsi" w:eastAsiaTheme="minorHAnsi" w:hAnsiTheme="minorHAnsi" w:cstheme="minorHAnsi"/>
          <w:sz w:val="15"/>
          <w:szCs w:val="15"/>
          <w:lang w:val="en-GB" w:eastAsia="en-US"/>
        </w:rPr>
      </w:r>
      <w:r w:rsidR="004469A2">
        <w:rPr>
          <w:rFonts w:asciiTheme="minorHAnsi" w:eastAsiaTheme="minorHAnsi" w:hAnsiTheme="minorHAnsi" w:cstheme="minorHAnsi"/>
          <w:sz w:val="15"/>
          <w:szCs w:val="15"/>
          <w:lang w:val="en-GB" w:eastAsia="en-US"/>
        </w:rPr>
        <w:fldChar w:fldCharType="end"/>
      </w:r>
      <w:r w:rsidR="00B81CB1">
        <w:rPr>
          <w:rFonts w:asciiTheme="minorHAnsi" w:eastAsiaTheme="minorHAnsi" w:hAnsiTheme="minorHAnsi" w:cstheme="minorHAnsi"/>
          <w:sz w:val="15"/>
          <w:szCs w:val="15"/>
          <w:lang w:val="en-GB" w:eastAsia="en-US"/>
        </w:rPr>
      </w:r>
      <w:r w:rsidR="00B81CB1">
        <w:rPr>
          <w:rFonts w:asciiTheme="minorHAnsi" w:eastAsiaTheme="minorHAnsi" w:hAnsiTheme="minorHAnsi" w:cstheme="minorHAnsi"/>
          <w:sz w:val="15"/>
          <w:szCs w:val="15"/>
          <w:lang w:val="en-GB" w:eastAsia="en-US"/>
        </w:rPr>
        <w:fldChar w:fldCharType="separate"/>
      </w:r>
      <w:r w:rsidR="004469A2" w:rsidRPr="004469A2">
        <w:rPr>
          <w:rFonts w:asciiTheme="minorHAnsi" w:eastAsiaTheme="minorHAnsi" w:hAnsiTheme="minorHAnsi" w:cstheme="minorHAnsi"/>
          <w:noProof/>
          <w:sz w:val="15"/>
          <w:szCs w:val="15"/>
          <w:vertAlign w:val="superscript"/>
          <w:lang w:val="en-GB" w:eastAsia="en-US"/>
        </w:rPr>
        <w:t>62</w:t>
      </w:r>
      <w:r w:rsidR="00B81CB1">
        <w:rPr>
          <w:rFonts w:asciiTheme="minorHAnsi" w:eastAsiaTheme="minorHAnsi" w:hAnsiTheme="minorHAnsi" w:cstheme="minorHAnsi"/>
          <w:sz w:val="15"/>
          <w:szCs w:val="15"/>
          <w:lang w:val="en-GB" w:eastAsia="en-US"/>
        </w:rPr>
        <w:fldChar w:fldCharType="end"/>
      </w:r>
      <w:r w:rsidR="00BF2DC2">
        <w:rPr>
          <w:rFonts w:asciiTheme="minorHAnsi" w:eastAsiaTheme="minorHAnsi" w:hAnsiTheme="minorHAnsi" w:cstheme="minorHAnsi"/>
          <w:sz w:val="15"/>
          <w:szCs w:val="15"/>
          <w:lang w:val="en-GB" w:eastAsia="en-US"/>
        </w:rPr>
        <w:br w:type="page"/>
      </w:r>
    </w:p>
    <w:p w14:paraId="5592744B" w14:textId="4B503222" w:rsidR="009E27AE" w:rsidRDefault="00B95660" w:rsidP="00621BF4">
      <w:pPr>
        <w:pStyle w:val="ANorm"/>
        <w:spacing w:after="240"/>
      </w:pPr>
      <w:r w:rsidRPr="00B6006B">
        <w:lastRenderedPageBreak/>
        <w:t>We calculated effect sizes</w:t>
      </w:r>
      <w:r w:rsidR="00364D81" w:rsidRPr="00B6006B">
        <w:t xml:space="preserve"> (as</w:t>
      </w:r>
      <w:r w:rsidRPr="00B6006B">
        <w:t xml:space="preserve"> </w:t>
      </w:r>
      <w:r w:rsidR="00364D81" w:rsidRPr="00B6006B">
        <w:t xml:space="preserve">standardised mean differences) </w:t>
      </w:r>
      <w:r w:rsidRPr="00B6006B">
        <w:t>for each of the therapist-supported and self-directed treatment outcomes in Table 14</w:t>
      </w:r>
      <w:r w:rsidR="006106D0" w:rsidRPr="00B6006B">
        <w:t xml:space="preserve">. </w:t>
      </w:r>
      <w:r w:rsidR="00375B2D" w:rsidRPr="00B6006B">
        <w:t xml:space="preserve">We did this to </w:t>
      </w:r>
      <w:r w:rsidR="006106D0" w:rsidRPr="00B6006B">
        <w:t>ensure</w:t>
      </w:r>
      <w:r w:rsidR="00364D81" w:rsidRPr="00B6006B">
        <w:t xml:space="preserve"> that the same approach was used for all studies</w:t>
      </w:r>
      <w:r w:rsidR="00F16BD3" w:rsidRPr="00B6006B">
        <w:t>,</w:t>
      </w:r>
      <w:r w:rsidR="006106D0" w:rsidRPr="00B6006B">
        <w:t xml:space="preserve"> </w:t>
      </w:r>
      <w:r w:rsidR="00F16BD3" w:rsidRPr="00B6006B">
        <w:t>and as a result</w:t>
      </w:r>
      <w:r w:rsidR="00375B2D" w:rsidRPr="00B6006B">
        <w:t xml:space="preserve"> </w:t>
      </w:r>
      <w:r w:rsidR="006106D0" w:rsidRPr="00B6006B">
        <w:t xml:space="preserve">some </w:t>
      </w:r>
      <w:r w:rsidR="00375B2D" w:rsidRPr="00B6006B">
        <w:t>of our calculations differ from those presented in Table 14.</w:t>
      </w:r>
      <w:r w:rsidR="00B6006B">
        <w:t xml:space="preserve"> </w:t>
      </w:r>
      <w:r w:rsidR="00375B2D" w:rsidRPr="00593AAA">
        <w:t xml:space="preserve">Our calculated estimates and confidence intervals </w:t>
      </w:r>
      <w:r w:rsidRPr="00593AAA">
        <w:t xml:space="preserve">are </w:t>
      </w:r>
      <w:r w:rsidR="00B6006B">
        <w:t xml:space="preserve">presented </w:t>
      </w:r>
      <w:r w:rsidRPr="00593AAA">
        <w:t>graphically in Figure 5, which shows that taken together, therapist-supported treatments produced large</w:t>
      </w:r>
      <w:r w:rsidR="000B5FE5" w:rsidRPr="00593AAA">
        <w:t xml:space="preserve"> (d</w:t>
      </w:r>
      <w:r w:rsidR="00A446F6" w:rsidRPr="00593AAA">
        <w:t>=</w:t>
      </w:r>
      <w:r w:rsidR="00DA579A" w:rsidRPr="00593AAA">
        <w:t>0</w:t>
      </w:r>
      <w:r w:rsidR="00A446F6" w:rsidRPr="00593AAA">
        <w:t>.95)</w:t>
      </w:r>
      <w:r w:rsidR="00325FFA" w:rsidRPr="00593AAA">
        <w:t>,</w:t>
      </w:r>
      <w:r w:rsidRPr="00593AAA">
        <w:t xml:space="preserve"> and self-directed treatments produced medium</w:t>
      </w:r>
      <w:r w:rsidR="00A446F6" w:rsidRPr="00593AAA">
        <w:t xml:space="preserve"> (d=.59)</w:t>
      </w:r>
      <w:r w:rsidR="00325FFA" w:rsidRPr="00593AAA">
        <w:t xml:space="preserve">, improvements in </w:t>
      </w:r>
      <w:r w:rsidR="00B37A28" w:rsidRPr="00593AAA">
        <w:t xml:space="preserve">mental health </w:t>
      </w:r>
      <w:r w:rsidR="00325FFA" w:rsidRPr="00593AAA">
        <w:t>symptom severity</w:t>
      </w:r>
      <w:r w:rsidR="00ED4F39" w:rsidRPr="00593AAA">
        <w:t>.</w:t>
      </w:r>
      <w:r w:rsidR="00325FFA" w:rsidRPr="00593AAA">
        <w:t xml:space="preserve"> </w:t>
      </w:r>
      <w:r w:rsidR="009B56BA" w:rsidRPr="00593AAA">
        <w:t>However, treatment had small effects on quality of life irrespective of whether supported or self-directed</w:t>
      </w:r>
      <w:r w:rsidR="00A446F6" w:rsidRPr="00593AAA">
        <w:t xml:space="preserve"> (d=</w:t>
      </w:r>
      <w:r w:rsidR="00DA579A" w:rsidRPr="00593AAA">
        <w:t>0</w:t>
      </w:r>
      <w:r w:rsidR="00A446F6" w:rsidRPr="00593AAA">
        <w:t>.12 and d=</w:t>
      </w:r>
      <w:r w:rsidR="00DA579A" w:rsidRPr="00593AAA">
        <w:t>0</w:t>
      </w:r>
      <w:r w:rsidR="00A446F6" w:rsidRPr="00593AAA">
        <w:t>.28, respectively)</w:t>
      </w:r>
      <w:r w:rsidR="009B56BA" w:rsidRPr="00593AAA">
        <w:t>.</w:t>
      </w:r>
    </w:p>
    <w:p w14:paraId="01DDEF05" w14:textId="42418E08" w:rsidR="009C0655" w:rsidRPr="00336BD1" w:rsidRDefault="00B524DF" w:rsidP="00621BF4">
      <w:pPr>
        <w:pStyle w:val="ANorm"/>
        <w:spacing w:after="240"/>
      </w:pPr>
      <w:r>
        <w:t>There w</w:t>
      </w:r>
      <w:r w:rsidR="0022317C">
        <w:t>ere</w:t>
      </w:r>
      <w:r>
        <w:t xml:space="preserve"> significant differences in effect sizes between the four subgroups (p &lt; 0.01). </w:t>
      </w:r>
      <w:r w:rsidR="0079294B" w:rsidRPr="0079294B">
        <w:t xml:space="preserve">Studies in the same subgroup had similar effects (as </w:t>
      </w:r>
      <w:r w:rsidR="0079294B" w:rsidRPr="0094182B">
        <w:t>demonstrated by low heterogeneity, with</w:t>
      </w:r>
      <w:r w:rsidR="0022317C" w:rsidRPr="0094182B">
        <w:t xml:space="preserve"> I</w:t>
      </w:r>
      <w:r w:rsidR="0022317C" w:rsidRPr="0094182B">
        <w:rPr>
          <w:vertAlign w:val="superscript"/>
        </w:rPr>
        <w:t>2</w:t>
      </w:r>
      <w:r w:rsidR="0022317C" w:rsidRPr="0094182B">
        <w:t xml:space="preserve"> from 0-35%</w:t>
      </w:r>
      <w:r w:rsidR="0094182B" w:rsidRPr="0094182B">
        <w:t>;</w:t>
      </w:r>
      <w:r w:rsidR="0022317C" w:rsidRPr="0094182B">
        <w:t xml:space="preserve"> and no evidence against homogeneity</w:t>
      </w:r>
      <w:r w:rsidR="0094182B" w:rsidRPr="0094182B">
        <w:t xml:space="preserve">, </w:t>
      </w:r>
      <w:r w:rsidR="0022317C" w:rsidRPr="0094182B">
        <w:t>all p &gt; 0.16).</w:t>
      </w:r>
    </w:p>
    <w:p w14:paraId="0D36DA27" w14:textId="7525AA36" w:rsidR="009C0655" w:rsidRDefault="009C0655" w:rsidP="009C0655">
      <w:pPr>
        <w:pStyle w:val="ANorm"/>
        <w:rPr>
          <w:sz w:val="16"/>
          <w:szCs w:val="16"/>
        </w:rPr>
      </w:pPr>
      <w:r w:rsidRPr="009C0655">
        <w:rPr>
          <w:noProof/>
          <w:sz w:val="16"/>
          <w:szCs w:val="16"/>
          <w:lang w:eastAsia="en-AU"/>
        </w:rPr>
        <w:drawing>
          <wp:inline distT="0" distB="0" distL="0" distR="0" wp14:anchorId="40FFD2B4" wp14:editId="6A5FBB2B">
            <wp:extent cx="5704839" cy="5406014"/>
            <wp:effectExtent l="0" t="0" r="0" b="4445"/>
            <wp:docPr id="40" name="Picture 40" descr="Forest plot of Mental Health Online treatment effects on mental health symptoms and quality of life by therapist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Forest plot of Mental Health Online treatment effects on mental health symptoms and quality of life by therapist support."/>
                    <pic:cNvPicPr/>
                  </pic:nvPicPr>
                  <pic:blipFill>
                    <a:blip r:embed="rId24"/>
                    <a:stretch>
                      <a:fillRect/>
                    </a:stretch>
                  </pic:blipFill>
                  <pic:spPr>
                    <a:xfrm>
                      <a:off x="0" y="0"/>
                      <a:ext cx="5713433" cy="5414158"/>
                    </a:xfrm>
                    <a:prstGeom prst="rect">
                      <a:avLst/>
                    </a:prstGeom>
                  </pic:spPr>
                </pic:pic>
              </a:graphicData>
            </a:graphic>
          </wp:inline>
        </w:drawing>
      </w:r>
    </w:p>
    <w:p w14:paraId="1E262246" w14:textId="37B7F0DB" w:rsidR="00B95660" w:rsidRDefault="00B95660" w:rsidP="003D1CA1">
      <w:pPr>
        <w:pStyle w:val="tableheading"/>
      </w:pPr>
      <w:r>
        <w:t xml:space="preserve">Figure 5. </w:t>
      </w:r>
      <w:r w:rsidR="007C4E9B">
        <w:t xml:space="preserve">Forest plot of </w:t>
      </w:r>
      <w:r>
        <w:t xml:space="preserve">Mental Health Online </w:t>
      </w:r>
      <w:r w:rsidRPr="00B37A28">
        <w:t>treatment effects</w:t>
      </w:r>
      <w:r w:rsidR="009B56BA" w:rsidRPr="00B37A28">
        <w:t xml:space="preserve"> on mental health symptoms and quality of life</w:t>
      </w:r>
      <w:r w:rsidRPr="00B37A28">
        <w:t xml:space="preserve"> by t</w:t>
      </w:r>
      <w:r>
        <w:t>herapist support</w:t>
      </w:r>
    </w:p>
    <w:p w14:paraId="40E12655" w14:textId="2C42BB85" w:rsidR="006479F9" w:rsidRPr="00BF2DC2" w:rsidRDefault="006479F9" w:rsidP="006479F9">
      <w:pPr>
        <w:ind w:right="-188"/>
        <w:rPr>
          <w:rFonts w:asciiTheme="minorHAnsi" w:hAnsiTheme="minorHAnsi" w:cstheme="minorHAnsi"/>
          <w:sz w:val="15"/>
          <w:szCs w:val="15"/>
        </w:rPr>
      </w:pPr>
      <w:r>
        <w:rPr>
          <w:rFonts w:asciiTheme="minorHAnsi" w:hAnsiTheme="minorHAnsi" w:cstheme="minorHAnsi"/>
          <w:sz w:val="15"/>
          <w:szCs w:val="15"/>
        </w:rPr>
        <w:t xml:space="preserve">CI, confidence interval; </w:t>
      </w:r>
      <w:r w:rsidRPr="00BF2DC2">
        <w:rPr>
          <w:rFonts w:asciiTheme="minorHAnsi" w:hAnsiTheme="minorHAnsi" w:cstheme="minorHAnsi"/>
          <w:sz w:val="15"/>
          <w:szCs w:val="15"/>
        </w:rPr>
        <w:t xml:space="preserve">GAD, generalised anxiety disorder; </w:t>
      </w:r>
      <w:proofErr w:type="spellStart"/>
      <w:r w:rsidRPr="00BF2DC2">
        <w:rPr>
          <w:rFonts w:asciiTheme="minorHAnsi" w:hAnsiTheme="minorHAnsi" w:cstheme="minorHAnsi"/>
          <w:sz w:val="15"/>
          <w:szCs w:val="15"/>
        </w:rPr>
        <w:t>iCBT</w:t>
      </w:r>
      <w:proofErr w:type="spellEnd"/>
      <w:r w:rsidRPr="00BF2DC2">
        <w:rPr>
          <w:rFonts w:asciiTheme="minorHAnsi" w:hAnsiTheme="minorHAnsi" w:cstheme="minorHAnsi"/>
          <w:sz w:val="15"/>
          <w:szCs w:val="15"/>
        </w:rPr>
        <w:t xml:space="preserve">, internet cognitive behavioural therapy; K6, Kessler Psychological Distress 6-Item Scale; K10, Kessler Psychological Distress 10-Item Scale; M, mean; N, number; OCD, obsessive compulsive disorder; PCL-C, Posttraumatic Stress Disorder Checklist—Civilian Version; PTSD, post-traumatic stress disorder; </w:t>
      </w:r>
      <w:r>
        <w:rPr>
          <w:rFonts w:asciiTheme="minorHAnsi" w:hAnsiTheme="minorHAnsi" w:cstheme="minorHAnsi"/>
          <w:sz w:val="15"/>
          <w:szCs w:val="15"/>
        </w:rPr>
        <w:t xml:space="preserve">QoL, quality of life; </w:t>
      </w:r>
      <w:r w:rsidRPr="00BF2DC2">
        <w:rPr>
          <w:rFonts w:asciiTheme="minorHAnsi" w:hAnsiTheme="minorHAnsi" w:cstheme="minorHAnsi"/>
          <w:sz w:val="15"/>
          <w:szCs w:val="15"/>
        </w:rPr>
        <w:t>SAD, social anxiety disorder; SD, standard deviation; WHO-QOL-BREF, World Health Organization Quality of life questionnaire-BREF; YBOCS, Yale-Brown Obsessive-Compulsive Scale.</w:t>
      </w:r>
    </w:p>
    <w:p w14:paraId="7D43E4C2" w14:textId="161ACD18" w:rsidR="005F2F97" w:rsidRPr="005F2F97" w:rsidRDefault="005F2F97" w:rsidP="005F2F97">
      <w:pPr>
        <w:pStyle w:val="ANorm"/>
        <w:rPr>
          <w:sz w:val="16"/>
          <w:szCs w:val="16"/>
        </w:rPr>
      </w:pPr>
      <w:r>
        <w:rPr>
          <w:sz w:val="16"/>
          <w:szCs w:val="16"/>
        </w:rPr>
        <w:t xml:space="preserve">Note. </w:t>
      </w:r>
      <w:r w:rsidR="002E377C">
        <w:rPr>
          <w:sz w:val="16"/>
          <w:szCs w:val="16"/>
        </w:rPr>
        <w:t>Better mental health and quality of life</w:t>
      </w:r>
      <w:r w:rsidR="00CD0576" w:rsidRPr="00CD0576">
        <w:rPr>
          <w:sz w:val="16"/>
          <w:szCs w:val="16"/>
        </w:rPr>
        <w:t xml:space="preserve"> </w:t>
      </w:r>
      <w:r w:rsidR="00CD0576">
        <w:rPr>
          <w:sz w:val="16"/>
          <w:szCs w:val="16"/>
        </w:rPr>
        <w:t>are represented by lower scores and higher scores,</w:t>
      </w:r>
      <w:r w:rsidR="00EA5BBE">
        <w:rPr>
          <w:sz w:val="16"/>
          <w:szCs w:val="16"/>
        </w:rPr>
        <w:t xml:space="preserve"> respectively.</w:t>
      </w:r>
    </w:p>
    <w:p w14:paraId="4D47E47F" w14:textId="77777777" w:rsidR="005563CC" w:rsidRDefault="005563CC">
      <w:pPr>
        <w:sectPr w:rsidR="005563CC" w:rsidSect="00E91864">
          <w:pgSz w:w="11906" w:h="16838"/>
          <w:pgMar w:top="1440" w:right="1440" w:bottom="1440" w:left="1440" w:header="737" w:footer="708" w:gutter="0"/>
          <w:cols w:space="708"/>
          <w:docGrid w:linePitch="360"/>
        </w:sectPr>
      </w:pPr>
    </w:p>
    <w:p w14:paraId="55100A58" w14:textId="54BA2D0B" w:rsidR="002F5B08" w:rsidRDefault="002F5B08" w:rsidP="00621BF4">
      <w:pPr>
        <w:spacing w:after="240"/>
        <w:rPr>
          <w:rFonts w:asciiTheme="minorHAnsi" w:hAnsiTheme="minorHAnsi" w:cstheme="minorHAnsi"/>
          <w:sz w:val="21"/>
          <w:szCs w:val="21"/>
        </w:rPr>
      </w:pPr>
      <w:r w:rsidRPr="00BD5407">
        <w:rPr>
          <w:rFonts w:asciiTheme="minorHAnsi" w:hAnsiTheme="minorHAnsi" w:cstheme="minorHAnsi"/>
          <w:sz w:val="21"/>
          <w:szCs w:val="21"/>
        </w:rPr>
        <w:lastRenderedPageBreak/>
        <w:t xml:space="preserve">Table 15 shows other </w:t>
      </w:r>
      <w:r w:rsidR="00D34029" w:rsidRPr="00BD5407">
        <w:rPr>
          <w:rFonts w:asciiTheme="minorHAnsi" w:hAnsiTheme="minorHAnsi" w:cstheme="minorHAnsi"/>
          <w:sz w:val="21"/>
          <w:szCs w:val="21"/>
        </w:rPr>
        <w:t xml:space="preserve">treatment outcomes </w:t>
      </w:r>
      <w:r w:rsidR="00BD5407" w:rsidRPr="00BD5407">
        <w:rPr>
          <w:rFonts w:asciiTheme="minorHAnsi" w:hAnsiTheme="minorHAnsi" w:cstheme="minorHAnsi"/>
          <w:sz w:val="21"/>
          <w:szCs w:val="21"/>
        </w:rPr>
        <w:t xml:space="preserve">we extracted from the above </w:t>
      </w:r>
      <w:r w:rsidR="005B2D79">
        <w:rPr>
          <w:rFonts w:asciiTheme="minorHAnsi" w:hAnsiTheme="minorHAnsi" w:cstheme="minorHAnsi"/>
          <w:sz w:val="21"/>
          <w:szCs w:val="21"/>
        </w:rPr>
        <w:t xml:space="preserve">three </w:t>
      </w:r>
      <w:r w:rsidR="00BD5407" w:rsidRPr="00BD5407">
        <w:rPr>
          <w:rFonts w:asciiTheme="minorHAnsi" w:hAnsiTheme="minorHAnsi" w:cstheme="minorHAnsi"/>
          <w:sz w:val="21"/>
          <w:szCs w:val="21"/>
        </w:rPr>
        <w:t xml:space="preserve">selected publications used for determining Mental Health </w:t>
      </w:r>
      <w:proofErr w:type="spellStart"/>
      <w:r w:rsidR="00BD5407" w:rsidRPr="00BD5407">
        <w:rPr>
          <w:rFonts w:asciiTheme="minorHAnsi" w:hAnsiTheme="minorHAnsi" w:cstheme="minorHAnsi"/>
          <w:sz w:val="21"/>
          <w:szCs w:val="21"/>
        </w:rPr>
        <w:t>Online’s</w:t>
      </w:r>
      <w:proofErr w:type="spellEnd"/>
      <w:r w:rsidR="00BD5407" w:rsidRPr="00BD5407">
        <w:rPr>
          <w:rFonts w:asciiTheme="minorHAnsi" w:hAnsiTheme="minorHAnsi" w:cstheme="minorHAnsi"/>
          <w:sz w:val="21"/>
          <w:szCs w:val="21"/>
        </w:rPr>
        <w:t xml:space="preserve"> effectiveness.</w:t>
      </w:r>
      <w:r w:rsidR="004F09E7">
        <w:rPr>
          <w:rFonts w:asciiTheme="minorHAnsi" w:hAnsiTheme="minorHAnsi" w:cstheme="minorHAnsi"/>
          <w:sz w:val="21"/>
          <w:szCs w:val="21"/>
        </w:rPr>
        <w:t xml:space="preserve"> Two studies </w:t>
      </w:r>
      <w:r w:rsidR="00D40EED">
        <w:rPr>
          <w:rFonts w:asciiTheme="minorHAnsi" w:hAnsiTheme="minorHAnsi" w:cstheme="minorHAnsi"/>
          <w:sz w:val="21"/>
          <w:szCs w:val="21"/>
        </w:rPr>
        <w:t xml:space="preserve">examined </w:t>
      </w:r>
      <w:r w:rsidR="00833538">
        <w:rPr>
          <w:rFonts w:asciiTheme="minorHAnsi" w:hAnsiTheme="minorHAnsi" w:cstheme="minorHAnsi"/>
          <w:sz w:val="21"/>
          <w:szCs w:val="21"/>
        </w:rPr>
        <w:t>12</w:t>
      </w:r>
      <w:r w:rsidR="003D17BA">
        <w:rPr>
          <w:rFonts w:asciiTheme="minorHAnsi" w:hAnsiTheme="minorHAnsi" w:cstheme="minorHAnsi"/>
          <w:sz w:val="21"/>
          <w:szCs w:val="21"/>
        </w:rPr>
        <w:t xml:space="preserve"> and 10 weeks’ </w:t>
      </w:r>
      <w:r w:rsidR="006B58C6">
        <w:rPr>
          <w:rFonts w:asciiTheme="minorHAnsi" w:hAnsiTheme="minorHAnsi" w:cstheme="minorHAnsi"/>
          <w:sz w:val="21"/>
          <w:szCs w:val="21"/>
        </w:rPr>
        <w:t xml:space="preserve">therapist-supported </w:t>
      </w:r>
      <w:proofErr w:type="spellStart"/>
      <w:r w:rsidR="003D17BA">
        <w:rPr>
          <w:rFonts w:asciiTheme="minorHAnsi" w:hAnsiTheme="minorHAnsi" w:cstheme="minorHAnsi"/>
          <w:sz w:val="21"/>
          <w:szCs w:val="21"/>
        </w:rPr>
        <w:t>iCBT</w:t>
      </w:r>
      <w:proofErr w:type="spellEnd"/>
      <w:r w:rsidR="003D17BA">
        <w:rPr>
          <w:rFonts w:asciiTheme="minorHAnsi" w:hAnsiTheme="minorHAnsi" w:cstheme="minorHAnsi"/>
          <w:sz w:val="21"/>
          <w:szCs w:val="21"/>
        </w:rPr>
        <w:t xml:space="preserve"> </w:t>
      </w:r>
      <w:r w:rsidR="007B145E">
        <w:rPr>
          <w:rFonts w:asciiTheme="minorHAnsi" w:hAnsiTheme="minorHAnsi" w:cstheme="minorHAnsi"/>
          <w:sz w:val="21"/>
          <w:szCs w:val="21"/>
        </w:rPr>
        <w:t>for OCD and PTSD, respectively.</w:t>
      </w:r>
      <w:r w:rsidR="00766938">
        <w:rPr>
          <w:rFonts w:asciiTheme="minorHAnsi" w:hAnsiTheme="minorHAnsi" w:cstheme="minorHAnsi"/>
          <w:sz w:val="21"/>
          <w:szCs w:val="21"/>
        </w:rPr>
        <w:fldChar w:fldCharType="begin">
          <w:fldData xml:space="preserve">PEVuZE5vdGU+PENpdGU+PEF1dGhvcj5LeXJpb3M8L0F1dGhvcj48WWVhcj4yMDE4PC9ZZWFyPjxS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</w:fldData>
        </w:fldChar>
      </w:r>
      <w:r w:rsidR="004469A2">
        <w:rPr>
          <w:rFonts w:asciiTheme="minorHAnsi" w:hAnsiTheme="minorHAnsi" w:cstheme="minorHAnsi"/>
          <w:sz w:val="21"/>
          <w:szCs w:val="21"/>
        </w:rPr>
        <w:instrText xml:space="preserve"> ADDIN EN.CITE </w:instrText>
      </w:r>
      <w:r w:rsidR="004469A2">
        <w:rPr>
          <w:rFonts w:asciiTheme="minorHAnsi" w:hAnsiTheme="minorHAnsi" w:cstheme="minorHAnsi"/>
          <w:sz w:val="21"/>
          <w:szCs w:val="21"/>
        </w:rPr>
        <w:fldChar w:fldCharType="begin">
          <w:fldData xml:space="preserve">PEVuZE5vdGU+PENpdGU+PEF1dGhvcj5LeXJpb3M8L0F1dGhvcj48WWVhcj4yMDE4PC9ZZWFyPjxS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</w:fldData>
        </w:fldChar>
      </w:r>
      <w:r w:rsidR="004469A2">
        <w:rPr>
          <w:rFonts w:asciiTheme="minorHAnsi" w:hAnsiTheme="minorHAnsi" w:cstheme="minorHAnsi"/>
          <w:sz w:val="21"/>
          <w:szCs w:val="21"/>
        </w:rPr>
        <w:instrText xml:space="preserve"> ADDIN EN.CITE.DATA </w:instrText>
      </w:r>
      <w:r w:rsidR="004469A2">
        <w:rPr>
          <w:rFonts w:asciiTheme="minorHAnsi" w:hAnsiTheme="minorHAnsi" w:cstheme="minorHAnsi"/>
          <w:sz w:val="21"/>
          <w:szCs w:val="21"/>
        </w:rPr>
      </w:r>
      <w:r w:rsidR="004469A2">
        <w:rPr>
          <w:rFonts w:asciiTheme="minorHAnsi" w:hAnsiTheme="minorHAnsi" w:cstheme="minorHAnsi"/>
          <w:sz w:val="21"/>
          <w:szCs w:val="21"/>
        </w:rPr>
        <w:fldChar w:fldCharType="end"/>
      </w:r>
      <w:r w:rsidR="00766938">
        <w:rPr>
          <w:rFonts w:asciiTheme="minorHAnsi" w:hAnsiTheme="minorHAnsi" w:cstheme="minorHAnsi"/>
          <w:sz w:val="21"/>
          <w:szCs w:val="21"/>
        </w:rPr>
      </w:r>
      <w:r w:rsidR="00766938">
        <w:rPr>
          <w:rFonts w:asciiTheme="minorHAnsi" w:hAnsiTheme="minorHAnsi" w:cstheme="minorHAnsi"/>
          <w:sz w:val="21"/>
          <w:szCs w:val="21"/>
        </w:rPr>
        <w:fldChar w:fldCharType="separate"/>
      </w:r>
      <w:r w:rsidR="004469A2" w:rsidRPr="004469A2">
        <w:rPr>
          <w:rFonts w:asciiTheme="minorHAnsi" w:hAnsiTheme="minorHAnsi" w:cstheme="minorHAnsi"/>
          <w:noProof/>
          <w:sz w:val="21"/>
          <w:szCs w:val="21"/>
          <w:vertAlign w:val="superscript"/>
        </w:rPr>
        <w:t>45, 46</w:t>
      </w:r>
      <w:r w:rsidR="00766938">
        <w:rPr>
          <w:rFonts w:asciiTheme="minorHAnsi" w:hAnsiTheme="minorHAnsi" w:cstheme="minorHAnsi"/>
          <w:sz w:val="21"/>
          <w:szCs w:val="21"/>
        </w:rPr>
        <w:fldChar w:fldCharType="end"/>
      </w:r>
      <w:r w:rsidR="005B2D79">
        <w:rPr>
          <w:rFonts w:asciiTheme="minorHAnsi" w:hAnsiTheme="minorHAnsi" w:cstheme="minorHAnsi"/>
          <w:sz w:val="21"/>
          <w:szCs w:val="21"/>
        </w:rPr>
        <w:t xml:space="preserve"> The third study examined self-directed </w:t>
      </w:r>
      <w:proofErr w:type="spellStart"/>
      <w:r w:rsidR="006B2501">
        <w:rPr>
          <w:rFonts w:asciiTheme="minorHAnsi" w:hAnsiTheme="minorHAnsi" w:cstheme="minorHAnsi"/>
          <w:sz w:val="21"/>
          <w:szCs w:val="21"/>
        </w:rPr>
        <w:t>iCBT</w:t>
      </w:r>
      <w:proofErr w:type="spellEnd"/>
      <w:r w:rsidR="006B2501">
        <w:rPr>
          <w:rFonts w:asciiTheme="minorHAnsi" w:hAnsiTheme="minorHAnsi" w:cstheme="minorHAnsi"/>
          <w:sz w:val="21"/>
          <w:szCs w:val="21"/>
        </w:rPr>
        <w:t xml:space="preserve"> for </w:t>
      </w:r>
      <w:r w:rsidR="006342F5" w:rsidRPr="006342F5">
        <w:rPr>
          <w:rFonts w:asciiTheme="minorHAnsi" w:hAnsiTheme="minorHAnsi" w:cstheme="minorHAnsi"/>
          <w:sz w:val="21"/>
          <w:szCs w:val="21"/>
        </w:rPr>
        <w:t>GAD, panic disorder</w:t>
      </w:r>
      <w:r w:rsidR="006342F5">
        <w:rPr>
          <w:rFonts w:asciiTheme="minorHAnsi" w:hAnsiTheme="minorHAnsi" w:cstheme="minorHAnsi"/>
          <w:sz w:val="21"/>
          <w:szCs w:val="21"/>
        </w:rPr>
        <w:t xml:space="preserve">, </w:t>
      </w:r>
      <w:r w:rsidR="006342F5" w:rsidRPr="006342F5">
        <w:rPr>
          <w:rFonts w:asciiTheme="minorHAnsi" w:hAnsiTheme="minorHAnsi" w:cstheme="minorHAnsi"/>
          <w:sz w:val="21"/>
          <w:szCs w:val="21"/>
        </w:rPr>
        <w:t>OCD, PTSD</w:t>
      </w:r>
      <w:r w:rsidR="00F716BC">
        <w:rPr>
          <w:rFonts w:asciiTheme="minorHAnsi" w:hAnsiTheme="minorHAnsi" w:cstheme="minorHAnsi"/>
          <w:sz w:val="21"/>
          <w:szCs w:val="21"/>
        </w:rPr>
        <w:t>,</w:t>
      </w:r>
      <w:r w:rsidR="006342F5" w:rsidRPr="006342F5">
        <w:rPr>
          <w:rFonts w:asciiTheme="minorHAnsi" w:hAnsiTheme="minorHAnsi" w:cstheme="minorHAnsi"/>
          <w:sz w:val="21"/>
          <w:szCs w:val="21"/>
        </w:rPr>
        <w:t xml:space="preserve"> and SAD</w:t>
      </w:r>
      <w:r w:rsidR="0027412F">
        <w:rPr>
          <w:rFonts w:asciiTheme="minorHAnsi" w:hAnsiTheme="minorHAnsi" w:cstheme="minorHAnsi"/>
          <w:sz w:val="21"/>
          <w:szCs w:val="21"/>
        </w:rPr>
        <w:t xml:space="preserve"> delivered over 12 weeks</w:t>
      </w:r>
      <w:r w:rsidR="00B350B2">
        <w:rPr>
          <w:rFonts w:asciiTheme="minorHAnsi" w:hAnsiTheme="minorHAnsi" w:cstheme="minorHAnsi"/>
          <w:sz w:val="21"/>
          <w:szCs w:val="21"/>
        </w:rPr>
        <w:t>.</w:t>
      </w:r>
      <w:r w:rsidR="0027412F">
        <w:rPr>
          <w:rFonts w:asciiTheme="minorHAnsi" w:hAnsiTheme="minorHAnsi" w:cstheme="minorHAnsi"/>
          <w:sz w:val="21"/>
          <w:szCs w:val="21"/>
        </w:rPr>
        <w:fldChar w:fldCharType="begin">
          <w:fldData xml:space="preserve">PEVuZE5vdGU+PENpdGU+PEF1dGhvcj5LbGVpbjwvQXV0aG9yPjxZZWFyPjIwMTE8L1llYXI+PFJl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</w:fldData>
        </w:fldChar>
      </w:r>
      <w:r w:rsidR="004469A2">
        <w:rPr>
          <w:rFonts w:asciiTheme="minorHAnsi" w:hAnsiTheme="minorHAnsi" w:cstheme="minorHAnsi"/>
          <w:sz w:val="21"/>
          <w:szCs w:val="21"/>
        </w:rPr>
        <w:instrText xml:space="preserve"> ADDIN EN.CITE </w:instrText>
      </w:r>
      <w:r w:rsidR="004469A2">
        <w:rPr>
          <w:rFonts w:asciiTheme="minorHAnsi" w:hAnsiTheme="minorHAnsi" w:cstheme="minorHAnsi"/>
          <w:sz w:val="21"/>
          <w:szCs w:val="21"/>
        </w:rPr>
        <w:fldChar w:fldCharType="begin">
          <w:fldData xml:space="preserve">PEVuZE5vdGU+PENpdGU+PEF1dGhvcj5LbGVpbjwvQXV0aG9yPjxZZWFyPjIwMTE8L1llYXI+PFJl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</w:fldData>
        </w:fldChar>
      </w:r>
      <w:r w:rsidR="004469A2">
        <w:rPr>
          <w:rFonts w:asciiTheme="minorHAnsi" w:hAnsiTheme="minorHAnsi" w:cstheme="minorHAnsi"/>
          <w:sz w:val="21"/>
          <w:szCs w:val="21"/>
        </w:rPr>
        <w:instrText xml:space="preserve"> ADDIN EN.CITE.DATA </w:instrText>
      </w:r>
      <w:r w:rsidR="004469A2">
        <w:rPr>
          <w:rFonts w:asciiTheme="minorHAnsi" w:hAnsiTheme="minorHAnsi" w:cstheme="minorHAnsi"/>
          <w:sz w:val="21"/>
          <w:szCs w:val="21"/>
        </w:rPr>
      </w:r>
      <w:r w:rsidR="004469A2">
        <w:rPr>
          <w:rFonts w:asciiTheme="minorHAnsi" w:hAnsiTheme="minorHAnsi" w:cstheme="minorHAnsi"/>
          <w:sz w:val="21"/>
          <w:szCs w:val="21"/>
        </w:rPr>
        <w:fldChar w:fldCharType="end"/>
      </w:r>
      <w:r w:rsidR="0027412F">
        <w:rPr>
          <w:rFonts w:asciiTheme="minorHAnsi" w:hAnsiTheme="minorHAnsi" w:cstheme="minorHAnsi"/>
          <w:sz w:val="21"/>
          <w:szCs w:val="21"/>
        </w:rPr>
      </w:r>
      <w:r w:rsidR="0027412F">
        <w:rPr>
          <w:rFonts w:asciiTheme="minorHAnsi" w:hAnsiTheme="minorHAnsi" w:cstheme="minorHAnsi"/>
          <w:sz w:val="21"/>
          <w:szCs w:val="21"/>
        </w:rPr>
        <w:fldChar w:fldCharType="separate"/>
      </w:r>
      <w:r w:rsidR="004469A2" w:rsidRPr="004469A2">
        <w:rPr>
          <w:rFonts w:asciiTheme="minorHAnsi" w:hAnsiTheme="minorHAnsi" w:cstheme="minorHAnsi"/>
          <w:noProof/>
          <w:sz w:val="21"/>
          <w:szCs w:val="21"/>
          <w:vertAlign w:val="superscript"/>
        </w:rPr>
        <w:t>62</w:t>
      </w:r>
      <w:r w:rsidR="0027412F">
        <w:rPr>
          <w:rFonts w:asciiTheme="minorHAnsi" w:hAnsiTheme="minorHAnsi" w:cstheme="minorHAnsi"/>
          <w:sz w:val="21"/>
          <w:szCs w:val="21"/>
        </w:rPr>
        <w:fldChar w:fldCharType="end"/>
      </w:r>
      <w:r w:rsidR="009213C3">
        <w:rPr>
          <w:rFonts w:asciiTheme="minorHAnsi" w:hAnsiTheme="minorHAnsi" w:cstheme="minorHAnsi"/>
          <w:sz w:val="21"/>
          <w:szCs w:val="21"/>
        </w:rPr>
        <w:t xml:space="preserve"> Treatment completion rates ranged from </w:t>
      </w:r>
      <w:r w:rsidR="00C321A4">
        <w:rPr>
          <w:rFonts w:asciiTheme="minorHAnsi" w:hAnsiTheme="minorHAnsi" w:cstheme="minorHAnsi"/>
          <w:sz w:val="21"/>
          <w:szCs w:val="21"/>
        </w:rPr>
        <w:t xml:space="preserve">63% to 93%, with on average, higher completion rates </w:t>
      </w:r>
      <w:r w:rsidR="00757896">
        <w:rPr>
          <w:rFonts w:asciiTheme="minorHAnsi" w:hAnsiTheme="minorHAnsi" w:cstheme="minorHAnsi"/>
          <w:sz w:val="21"/>
          <w:szCs w:val="21"/>
        </w:rPr>
        <w:t xml:space="preserve">for </w:t>
      </w:r>
      <w:r w:rsidR="00C321A4">
        <w:rPr>
          <w:rFonts w:asciiTheme="minorHAnsi" w:hAnsiTheme="minorHAnsi" w:cstheme="minorHAnsi"/>
          <w:sz w:val="21"/>
          <w:szCs w:val="21"/>
        </w:rPr>
        <w:t>therapist</w:t>
      </w:r>
      <w:r w:rsidR="00967370">
        <w:rPr>
          <w:rFonts w:asciiTheme="minorHAnsi" w:hAnsiTheme="minorHAnsi" w:cstheme="minorHAnsi"/>
          <w:sz w:val="21"/>
          <w:szCs w:val="21"/>
        </w:rPr>
        <w:t>-</w:t>
      </w:r>
      <w:r w:rsidR="00C321A4">
        <w:rPr>
          <w:rFonts w:asciiTheme="minorHAnsi" w:hAnsiTheme="minorHAnsi" w:cstheme="minorHAnsi"/>
          <w:sz w:val="21"/>
          <w:szCs w:val="21"/>
        </w:rPr>
        <w:t>support</w:t>
      </w:r>
      <w:r w:rsidR="00757896">
        <w:rPr>
          <w:rFonts w:asciiTheme="minorHAnsi" w:hAnsiTheme="minorHAnsi" w:cstheme="minorHAnsi"/>
          <w:sz w:val="21"/>
          <w:szCs w:val="21"/>
        </w:rPr>
        <w:t>ed treatment</w:t>
      </w:r>
      <w:r w:rsidR="00F85830">
        <w:rPr>
          <w:rFonts w:asciiTheme="minorHAnsi" w:hAnsiTheme="minorHAnsi" w:cstheme="minorHAnsi"/>
          <w:sz w:val="21"/>
          <w:szCs w:val="21"/>
        </w:rPr>
        <w:t>.</w:t>
      </w:r>
    </w:p>
    <w:p w14:paraId="5149AF99" w14:textId="24F9B540" w:rsidR="00E82FFC" w:rsidRPr="00C316F4" w:rsidRDefault="001D6E21" w:rsidP="00621BF4">
      <w:pPr>
        <w:spacing w:after="240"/>
        <w:rPr>
          <w:rFonts w:asciiTheme="minorHAnsi" w:hAnsiTheme="minorHAnsi" w:cstheme="minorHAnsi"/>
          <w:sz w:val="21"/>
          <w:szCs w:val="21"/>
        </w:rPr>
      </w:pPr>
      <w:r w:rsidRPr="00C316F4">
        <w:rPr>
          <w:rFonts w:asciiTheme="minorHAnsi" w:hAnsiTheme="minorHAnsi" w:cstheme="minorHAnsi"/>
          <w:sz w:val="21"/>
          <w:szCs w:val="21"/>
        </w:rPr>
        <w:t xml:space="preserve">The study of therapist-supported treatment by </w:t>
      </w:r>
      <w:r w:rsidR="00E82FFC" w:rsidRPr="00C316F4">
        <w:rPr>
          <w:rFonts w:asciiTheme="minorHAnsi" w:hAnsiTheme="minorHAnsi" w:cstheme="minorHAnsi"/>
          <w:sz w:val="21"/>
          <w:szCs w:val="21"/>
        </w:rPr>
        <w:t xml:space="preserve">Klein </w:t>
      </w:r>
      <w:r w:rsidR="0065750D">
        <w:rPr>
          <w:rFonts w:asciiTheme="minorHAnsi" w:hAnsiTheme="minorHAnsi" w:cstheme="minorHAnsi"/>
          <w:sz w:val="21"/>
          <w:szCs w:val="21"/>
        </w:rPr>
        <w:t>et al</w:t>
      </w:r>
      <w:r w:rsidR="00E82FFC" w:rsidRPr="00C316F4">
        <w:rPr>
          <w:rFonts w:asciiTheme="minorHAnsi" w:hAnsiTheme="minorHAnsi" w:cstheme="minorHAnsi"/>
          <w:sz w:val="21"/>
          <w:szCs w:val="21"/>
        </w:rPr>
        <w:t xml:space="preserve"> (2010)</w:t>
      </w:r>
      <w:r w:rsidR="00E52C53" w:rsidRPr="00C316F4">
        <w:rPr>
          <w:rFonts w:asciiTheme="minorHAnsi" w:hAnsiTheme="minorHAnsi" w:cstheme="minorHAnsi"/>
          <w:sz w:val="21"/>
          <w:szCs w:val="21"/>
        </w:rPr>
        <w:t xml:space="preserve"> </w:t>
      </w:r>
      <w:r w:rsidR="00C316F4">
        <w:rPr>
          <w:rFonts w:asciiTheme="minorHAnsi" w:hAnsiTheme="minorHAnsi" w:cstheme="minorHAnsi"/>
          <w:sz w:val="21"/>
          <w:szCs w:val="21"/>
        </w:rPr>
        <w:t xml:space="preserve">was the only one to </w:t>
      </w:r>
      <w:r w:rsidR="00E52C53" w:rsidRPr="00C316F4">
        <w:rPr>
          <w:rFonts w:asciiTheme="minorHAnsi" w:hAnsiTheme="minorHAnsi" w:cstheme="minorHAnsi"/>
          <w:sz w:val="21"/>
          <w:szCs w:val="21"/>
        </w:rPr>
        <w:t>report remission rate</w:t>
      </w:r>
      <w:r w:rsidR="00D750A8" w:rsidRPr="00C316F4">
        <w:rPr>
          <w:rFonts w:asciiTheme="minorHAnsi" w:hAnsiTheme="minorHAnsi" w:cstheme="minorHAnsi"/>
          <w:sz w:val="21"/>
          <w:szCs w:val="21"/>
        </w:rPr>
        <w:t>s</w:t>
      </w:r>
      <w:r w:rsidR="0085163D">
        <w:rPr>
          <w:rFonts w:asciiTheme="minorHAnsi" w:hAnsiTheme="minorHAnsi" w:cstheme="minorHAnsi"/>
          <w:sz w:val="21"/>
          <w:szCs w:val="21"/>
        </w:rPr>
        <w:t xml:space="preserve"> and </w:t>
      </w:r>
      <w:r w:rsidR="00B94114">
        <w:rPr>
          <w:rFonts w:asciiTheme="minorHAnsi" w:hAnsiTheme="minorHAnsi" w:cstheme="minorHAnsi"/>
          <w:sz w:val="21"/>
          <w:szCs w:val="21"/>
        </w:rPr>
        <w:t>include follow-up assessment at three months</w:t>
      </w:r>
      <w:r w:rsidR="002414B5">
        <w:rPr>
          <w:rFonts w:asciiTheme="minorHAnsi" w:hAnsiTheme="minorHAnsi" w:cstheme="minorHAnsi"/>
          <w:sz w:val="21"/>
          <w:szCs w:val="21"/>
        </w:rPr>
        <w:t>.</w:t>
      </w:r>
      <w:r w:rsidR="00615B44" w:rsidRPr="00C316F4">
        <w:rPr>
          <w:rFonts w:asciiTheme="minorHAnsi" w:hAnsiTheme="minorHAnsi" w:cstheme="minorHAnsi"/>
          <w:sz w:val="21"/>
          <w:szCs w:val="21"/>
        </w:rPr>
        <w:fldChar w:fldCharType="begin">
          <w:fldData xml:space="preserve">PEVuZE5vdGU+PENpdGU+PEF1dGhvcj5LbGVpbjwvQXV0aG9yPjxZZWFyPjIwMTA8L1llYXI+PFJl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</w:fldData>
        </w:fldChar>
      </w:r>
      <w:r w:rsidR="004469A2">
        <w:rPr>
          <w:rFonts w:asciiTheme="minorHAnsi" w:hAnsiTheme="minorHAnsi" w:cstheme="minorHAnsi"/>
          <w:sz w:val="21"/>
          <w:szCs w:val="21"/>
        </w:rPr>
        <w:instrText xml:space="preserve"> ADDIN EN.CITE </w:instrText>
      </w:r>
      <w:r w:rsidR="004469A2">
        <w:rPr>
          <w:rFonts w:asciiTheme="minorHAnsi" w:hAnsiTheme="minorHAnsi" w:cstheme="minorHAnsi"/>
          <w:sz w:val="21"/>
          <w:szCs w:val="21"/>
        </w:rPr>
        <w:fldChar w:fldCharType="begin">
          <w:fldData xml:space="preserve">PEVuZE5vdGU+PENpdGU+PEF1dGhvcj5LbGVpbjwvQXV0aG9yPjxZZWFyPjIwMTA8L1llYXI+PFJl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</w:fldData>
        </w:fldChar>
      </w:r>
      <w:r w:rsidR="004469A2">
        <w:rPr>
          <w:rFonts w:asciiTheme="minorHAnsi" w:hAnsiTheme="minorHAnsi" w:cstheme="minorHAnsi"/>
          <w:sz w:val="21"/>
          <w:szCs w:val="21"/>
        </w:rPr>
        <w:instrText xml:space="preserve"> ADDIN EN.CITE.DATA </w:instrText>
      </w:r>
      <w:r w:rsidR="004469A2">
        <w:rPr>
          <w:rFonts w:asciiTheme="minorHAnsi" w:hAnsiTheme="minorHAnsi" w:cstheme="minorHAnsi"/>
          <w:sz w:val="21"/>
          <w:szCs w:val="21"/>
        </w:rPr>
      </w:r>
      <w:r w:rsidR="004469A2">
        <w:rPr>
          <w:rFonts w:asciiTheme="minorHAnsi" w:hAnsiTheme="minorHAnsi" w:cstheme="minorHAnsi"/>
          <w:sz w:val="21"/>
          <w:szCs w:val="21"/>
        </w:rPr>
        <w:fldChar w:fldCharType="end"/>
      </w:r>
      <w:r w:rsidR="00615B44" w:rsidRPr="00C316F4">
        <w:rPr>
          <w:rFonts w:asciiTheme="minorHAnsi" w:hAnsiTheme="minorHAnsi" w:cstheme="minorHAnsi"/>
          <w:sz w:val="21"/>
          <w:szCs w:val="21"/>
        </w:rPr>
      </w:r>
      <w:r w:rsidR="00615B44" w:rsidRPr="00C316F4">
        <w:rPr>
          <w:rFonts w:asciiTheme="minorHAnsi" w:hAnsiTheme="minorHAnsi" w:cstheme="minorHAnsi"/>
          <w:sz w:val="21"/>
          <w:szCs w:val="21"/>
        </w:rPr>
        <w:fldChar w:fldCharType="separate"/>
      </w:r>
      <w:r w:rsidR="004469A2" w:rsidRPr="004469A2">
        <w:rPr>
          <w:rFonts w:asciiTheme="minorHAnsi" w:hAnsiTheme="minorHAnsi" w:cstheme="minorHAnsi"/>
          <w:noProof/>
          <w:sz w:val="21"/>
          <w:szCs w:val="21"/>
          <w:vertAlign w:val="superscript"/>
        </w:rPr>
        <w:t>45</w:t>
      </w:r>
      <w:r w:rsidR="00615B44" w:rsidRPr="00C316F4">
        <w:rPr>
          <w:rFonts w:asciiTheme="minorHAnsi" w:hAnsiTheme="minorHAnsi" w:cstheme="minorHAnsi"/>
          <w:sz w:val="21"/>
          <w:szCs w:val="21"/>
        </w:rPr>
        <w:fldChar w:fldCharType="end"/>
      </w:r>
      <w:r w:rsidR="00D750A8" w:rsidRPr="00C316F4">
        <w:rPr>
          <w:rFonts w:asciiTheme="minorHAnsi" w:hAnsiTheme="minorHAnsi" w:cstheme="minorHAnsi"/>
          <w:sz w:val="21"/>
          <w:szCs w:val="21"/>
        </w:rPr>
        <w:t xml:space="preserve"> </w:t>
      </w:r>
      <w:r w:rsidR="00AE312F" w:rsidRPr="00C316F4">
        <w:rPr>
          <w:rFonts w:asciiTheme="minorHAnsi" w:hAnsiTheme="minorHAnsi" w:cstheme="minorHAnsi"/>
          <w:sz w:val="21"/>
          <w:szCs w:val="21"/>
        </w:rPr>
        <w:t xml:space="preserve">Specifically, </w:t>
      </w:r>
      <w:r w:rsidR="00E52C53" w:rsidRPr="00C316F4">
        <w:rPr>
          <w:rFonts w:asciiTheme="minorHAnsi" w:hAnsiTheme="minorHAnsi" w:cstheme="minorHAnsi"/>
          <w:sz w:val="21"/>
          <w:szCs w:val="21"/>
        </w:rPr>
        <w:t xml:space="preserve">69% (9/13) </w:t>
      </w:r>
      <w:r w:rsidR="00AE312F" w:rsidRPr="00C316F4">
        <w:rPr>
          <w:rFonts w:asciiTheme="minorHAnsi" w:hAnsiTheme="minorHAnsi" w:cstheme="minorHAnsi"/>
          <w:sz w:val="21"/>
          <w:szCs w:val="21"/>
        </w:rPr>
        <w:t xml:space="preserve">at post-treatment, </w:t>
      </w:r>
      <w:r w:rsidR="00E52C53" w:rsidRPr="00C316F4">
        <w:rPr>
          <w:rFonts w:asciiTheme="minorHAnsi" w:hAnsiTheme="minorHAnsi" w:cstheme="minorHAnsi"/>
          <w:sz w:val="21"/>
          <w:szCs w:val="21"/>
        </w:rPr>
        <w:t>and 77% (10/13) at 3-month follow-up, no longer met clinical diagnostic criteria for PTSD</w:t>
      </w:r>
      <w:r w:rsidR="00404BAE" w:rsidRPr="00C316F4">
        <w:rPr>
          <w:rFonts w:asciiTheme="minorHAnsi" w:hAnsiTheme="minorHAnsi" w:cstheme="minorHAnsi"/>
          <w:sz w:val="21"/>
          <w:szCs w:val="21"/>
        </w:rPr>
        <w:t>.</w:t>
      </w:r>
      <w:r w:rsidR="00E52C53" w:rsidRPr="00C316F4">
        <w:rPr>
          <w:rFonts w:asciiTheme="minorHAnsi" w:hAnsiTheme="minorHAnsi" w:cstheme="minorHAnsi"/>
          <w:sz w:val="21"/>
          <w:szCs w:val="21"/>
        </w:rPr>
        <w:t xml:space="preserve"> </w:t>
      </w:r>
      <w:r w:rsidR="004B456E" w:rsidRPr="00C316F4">
        <w:rPr>
          <w:rFonts w:asciiTheme="minorHAnsi" w:hAnsiTheme="minorHAnsi" w:cstheme="minorHAnsi"/>
          <w:sz w:val="21"/>
          <w:szCs w:val="21"/>
        </w:rPr>
        <w:t xml:space="preserve">Additionally, mental health </w:t>
      </w:r>
      <w:r w:rsidR="00E82FFC" w:rsidRPr="00C316F4">
        <w:rPr>
          <w:rFonts w:asciiTheme="minorHAnsi" w:hAnsiTheme="minorHAnsi" w:cstheme="minorHAnsi"/>
          <w:sz w:val="21"/>
          <w:szCs w:val="21"/>
        </w:rPr>
        <w:t>improvements were maintained at 3-month follow-up. This study also reported high participant therapeutic alliance ratings (88%), with 194.5 minutes average total therapist time.</w:t>
      </w:r>
    </w:p>
    <w:p w14:paraId="045571EC" w14:textId="0A24C269" w:rsidR="00C959FB" w:rsidRDefault="00306CEC" w:rsidP="00621BF4">
      <w:pPr>
        <w:pStyle w:val="ANorm"/>
        <w:spacing w:after="240"/>
      </w:pPr>
      <w:r>
        <w:t>T</w:t>
      </w:r>
      <w:r w:rsidR="00C959FB">
        <w:t xml:space="preserve">he study of therapist-supported </w:t>
      </w:r>
      <w:proofErr w:type="spellStart"/>
      <w:r w:rsidR="00C959FB">
        <w:t>iCBT</w:t>
      </w:r>
      <w:proofErr w:type="spellEnd"/>
      <w:r w:rsidR="00C959FB">
        <w:t xml:space="preserve"> for OCD by Kyrios </w:t>
      </w:r>
      <w:r w:rsidR="00991F61">
        <w:t xml:space="preserve">et </w:t>
      </w:r>
      <w:r w:rsidR="00C959FB">
        <w:t>al (2018)</w:t>
      </w:r>
      <w:r>
        <w:t xml:space="preserve"> was the only one </w:t>
      </w:r>
      <w:r w:rsidR="009C426C">
        <w:t>that reported reliable change data</w:t>
      </w:r>
      <w:r w:rsidR="00D30516">
        <w:t xml:space="preserve"> for participants </w:t>
      </w:r>
      <w:r w:rsidR="00DF1EA6">
        <w:t xml:space="preserve">with clinically significant OCD symptoms </w:t>
      </w:r>
      <w:r w:rsidR="00AA251B">
        <w:t xml:space="preserve">(score of </w:t>
      </w:r>
      <w:r w:rsidR="00AA251B" w:rsidRPr="00AA251B">
        <w:rPr>
          <w:u w:val="single"/>
        </w:rPr>
        <w:t>&gt;</w:t>
      </w:r>
      <w:r w:rsidR="00AA251B">
        <w:t>16 on the YBOCS).</w:t>
      </w:r>
      <w:r w:rsidR="002414B5">
        <w:fldChar w:fldCharType="begin">
          <w:fldData xml:space="preserve">PEVuZE5vdGU+PENpdGU+PEF1dGhvcj5LeXJpb3M8L0F1dGhvcj48WWVhcj4yMDE4PC9ZZWFyPjxS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</w:fldData>
        </w:fldChar>
      </w:r>
      <w:r w:rsidR="004469A2">
        <w:instrText xml:space="preserve"> ADDIN EN.CITE </w:instrText>
      </w:r>
      <w:r w:rsidR="004469A2">
        <w:fldChar w:fldCharType="begin">
          <w:fldData xml:space="preserve">PEVuZE5vdGU+PENpdGU+PEF1dGhvcj5LeXJpb3M8L0F1dGhvcj48WWVhcj4yMDE4PC9ZZWFyPjxS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</w:fldData>
        </w:fldChar>
      </w:r>
      <w:r w:rsidR="004469A2">
        <w:instrText xml:space="preserve"> ADDIN EN.CITE.DATA </w:instrText>
      </w:r>
      <w:r w:rsidR="004469A2">
        <w:fldChar w:fldCharType="end"/>
      </w:r>
      <w:r w:rsidR="002414B5">
        <w:fldChar w:fldCharType="separate"/>
      </w:r>
      <w:r w:rsidR="004469A2" w:rsidRPr="004469A2">
        <w:rPr>
          <w:noProof/>
          <w:vertAlign w:val="superscript"/>
        </w:rPr>
        <w:t>46</w:t>
      </w:r>
      <w:r w:rsidR="002414B5">
        <w:fldChar w:fldCharType="end"/>
      </w:r>
      <w:r w:rsidR="00AA251B">
        <w:t xml:space="preserve"> Specifically</w:t>
      </w:r>
      <w:r w:rsidR="00AA251B" w:rsidRPr="009B76D2">
        <w:t>,</w:t>
      </w:r>
      <w:r w:rsidR="009C426C" w:rsidRPr="009B76D2">
        <w:t xml:space="preserve"> </w:t>
      </w:r>
      <w:r w:rsidR="009C426C" w:rsidRPr="009B76D2">
        <w:rPr>
          <w:rFonts w:asciiTheme="minorHAnsi" w:hAnsiTheme="minorHAnsi" w:cstheme="minorHAnsi"/>
        </w:rPr>
        <w:t>49% (25/51) achieved a reliable improvement (</w:t>
      </w:r>
      <w:r w:rsidR="009C426C" w:rsidRPr="009B76D2">
        <w:rPr>
          <w:rFonts w:asciiTheme="minorHAnsi" w:hAnsiTheme="minorHAnsi" w:cstheme="minorHAnsi"/>
          <w:u w:val="single"/>
        </w:rPr>
        <w:t>&gt;</w:t>
      </w:r>
      <w:r w:rsidR="009C426C" w:rsidRPr="009B76D2">
        <w:rPr>
          <w:rFonts w:asciiTheme="minorHAnsi" w:hAnsiTheme="minorHAnsi" w:cstheme="minorHAnsi"/>
        </w:rPr>
        <w:t xml:space="preserve"> 6 units YBOCS </w:t>
      </w:r>
      <w:r w:rsidR="00AD57F3" w:rsidRPr="009B76D2">
        <w:rPr>
          <w:rFonts w:asciiTheme="minorHAnsi" w:hAnsiTheme="minorHAnsi" w:cstheme="minorHAnsi"/>
        </w:rPr>
        <w:t>red</w:t>
      </w:r>
      <w:r w:rsidR="000B3BC2">
        <w:rPr>
          <w:rFonts w:asciiTheme="minorHAnsi" w:hAnsiTheme="minorHAnsi" w:cstheme="minorHAnsi"/>
        </w:rPr>
        <w:t>u</w:t>
      </w:r>
      <w:r w:rsidR="00AD57F3" w:rsidRPr="009B76D2">
        <w:rPr>
          <w:rFonts w:asciiTheme="minorHAnsi" w:hAnsiTheme="minorHAnsi" w:cstheme="minorHAnsi"/>
        </w:rPr>
        <w:t>ction</w:t>
      </w:r>
      <w:r w:rsidR="009C426C" w:rsidRPr="009B76D2">
        <w:rPr>
          <w:rFonts w:asciiTheme="minorHAnsi" w:hAnsiTheme="minorHAnsi" w:cstheme="minorHAnsi"/>
        </w:rPr>
        <w:t xml:space="preserve"> [~1 </w:t>
      </w:r>
      <w:r w:rsidR="000B3BC2">
        <w:rPr>
          <w:rFonts w:asciiTheme="minorHAnsi" w:hAnsiTheme="minorHAnsi" w:cstheme="minorHAnsi"/>
        </w:rPr>
        <w:t>standard deviation</w:t>
      </w:r>
      <w:r w:rsidR="009C426C" w:rsidRPr="009B76D2">
        <w:rPr>
          <w:rFonts w:asciiTheme="minorHAnsi" w:hAnsiTheme="minorHAnsi" w:cstheme="minorHAnsi"/>
        </w:rPr>
        <w:t>]) and 33% (17/51) made a reliable recovery (reliable improvement plus YBOCS &lt; 16 at post-treatment).</w:t>
      </w:r>
      <w:r w:rsidR="00643126" w:rsidRPr="009B76D2">
        <w:t xml:space="preserve"> This was also the only study to examine predictors of outcomes</w:t>
      </w:r>
      <w:r w:rsidR="00391208" w:rsidRPr="009B76D2">
        <w:t>, the findings of which</w:t>
      </w:r>
      <w:r w:rsidR="00C959FB" w:rsidRPr="009B76D2">
        <w:t xml:space="preserve"> indicated that</w:t>
      </w:r>
      <w:r w:rsidR="00C959FB">
        <w:t xml:space="preserve"> socio-demographic variables and indicators of disability did not predict improvements in OCD symptoms.</w:t>
      </w:r>
      <w:r w:rsidR="00C959FB">
        <w:fldChar w:fldCharType="begin">
          <w:fldData xml:space="preserve">PEVuZE5vdGU+PENpdGU+PEF1dGhvcj5LeXJpb3M8L0F1dGhvcj48WWVhcj4yMDE4PC9ZZWFyPjxS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</w:fldData>
        </w:fldChar>
      </w:r>
      <w:r w:rsidR="004469A2">
        <w:instrText xml:space="preserve"> ADDIN EN.CITE </w:instrText>
      </w:r>
      <w:r w:rsidR="004469A2">
        <w:fldChar w:fldCharType="begin">
          <w:fldData xml:space="preserve">PEVuZE5vdGU+PENpdGU+PEF1dGhvcj5LeXJpb3M8L0F1dGhvcj48WWVhcj4yMDE4PC9ZZWFyPjxS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</w:fldData>
        </w:fldChar>
      </w:r>
      <w:r w:rsidR="004469A2">
        <w:instrText xml:space="preserve"> ADDIN EN.CITE.DATA </w:instrText>
      </w:r>
      <w:r w:rsidR="004469A2">
        <w:fldChar w:fldCharType="end"/>
      </w:r>
      <w:r w:rsidR="00C959FB">
        <w:fldChar w:fldCharType="separate"/>
      </w:r>
      <w:r w:rsidR="004469A2" w:rsidRPr="004469A2">
        <w:rPr>
          <w:noProof/>
          <w:vertAlign w:val="superscript"/>
        </w:rPr>
        <w:t>46</w:t>
      </w:r>
      <w:r w:rsidR="00C959FB">
        <w:fldChar w:fldCharType="end"/>
      </w:r>
    </w:p>
    <w:p w14:paraId="25505C48" w14:textId="77777777" w:rsidR="00391208" w:rsidRDefault="00391208" w:rsidP="00C3556A">
      <w:pPr>
        <w:spacing w:after="100" w:afterAutospacing="1"/>
        <w:rPr>
          <w:rFonts w:asciiTheme="minorHAnsi" w:hAnsiTheme="minorHAnsi" w:cstheme="minorHAnsi"/>
          <w:sz w:val="21"/>
          <w:szCs w:val="21"/>
        </w:rPr>
      </w:pPr>
    </w:p>
    <w:p w14:paraId="74A77271" w14:textId="77777777" w:rsidR="00C3556A" w:rsidRDefault="00C3556A">
      <w:pPr>
        <w:rPr>
          <w:highlight w:val="yellow"/>
        </w:rPr>
        <w:sectPr w:rsidR="00C3556A" w:rsidSect="00C3556A">
          <w:pgSz w:w="11906" w:h="16838"/>
          <w:pgMar w:top="1440" w:right="1440" w:bottom="1440" w:left="1440" w:header="737" w:footer="708" w:gutter="0"/>
          <w:cols w:space="708"/>
          <w:docGrid w:linePitch="360"/>
        </w:sectPr>
      </w:pPr>
    </w:p>
    <w:p w14:paraId="3328DB41" w14:textId="02325ECA" w:rsidR="005563CC" w:rsidRDefault="005563CC" w:rsidP="00CE243D">
      <w:pPr>
        <w:pStyle w:val="tableheading"/>
      </w:pPr>
      <w:r w:rsidRPr="00D35430">
        <w:lastRenderedPageBreak/>
        <w:t xml:space="preserve">Table </w:t>
      </w:r>
      <w:r w:rsidR="00C3556A" w:rsidRPr="00D35430">
        <w:t>15.</w:t>
      </w:r>
      <w:r w:rsidRPr="00D35430">
        <w:t xml:space="preserve"> </w:t>
      </w:r>
      <w:r w:rsidR="00201009" w:rsidRPr="00D35430">
        <w:t xml:space="preserve">Other outcomes from Mental Health Online </w:t>
      </w:r>
      <w:r w:rsidR="002F5B08" w:rsidRPr="00D35430">
        <w:t xml:space="preserve">therapist-supported and self-directed </w:t>
      </w:r>
      <w:r w:rsidR="00201009" w:rsidRPr="00D35430">
        <w:t xml:space="preserve">treatment </w:t>
      </w:r>
    </w:p>
    <w:tbl>
      <w:tblPr>
        <w:tblStyle w:val="TableGrid"/>
        <w:tblW w:w="13317" w:type="dxa"/>
        <w:tblLayout w:type="fixed"/>
        <w:tblLook w:val="04A0" w:firstRow="1" w:lastRow="0" w:firstColumn="1" w:lastColumn="0" w:noHBand="0" w:noVBand="1"/>
        <w:tblCaption w:val="Table 15. Other outcomes from Mental Health Online therapist-supported and self-directed treatment "/>
        <w:tblDescription w:val="Describes treatment completion rate, remission rate, reliable change, follow up and predictors of outcomes"/>
      </w:tblPr>
      <w:tblGrid>
        <w:gridCol w:w="1129"/>
        <w:gridCol w:w="2690"/>
        <w:gridCol w:w="1557"/>
        <w:gridCol w:w="2276"/>
        <w:gridCol w:w="1701"/>
        <w:gridCol w:w="1982"/>
        <w:gridCol w:w="1982"/>
      </w:tblGrid>
      <w:tr w:rsidR="00140756" w:rsidRPr="009A0EBF" w14:paraId="312DFE1F" w14:textId="04E0E27F" w:rsidTr="007C118C">
        <w:tc>
          <w:tcPr>
            <w:tcW w:w="1129" w:type="dxa"/>
            <w:shd w:val="clear" w:color="auto" w:fill="000000" w:themeFill="text1"/>
          </w:tcPr>
          <w:p w14:paraId="417022A2" w14:textId="77777777" w:rsidR="00140756" w:rsidRPr="009A0EBF" w:rsidRDefault="00140756">
            <w:pPr>
              <w:pStyle w:val="ANorm"/>
              <w:jc w:val="center"/>
              <w:rPr>
                <w:color w:val="FFFFFF" w:themeColor="background1"/>
                <w:sz w:val="18"/>
                <w:szCs w:val="18"/>
              </w:rPr>
            </w:pPr>
            <w:r w:rsidRPr="009A0EBF">
              <w:rPr>
                <w:color w:val="FFFFFF" w:themeColor="background1"/>
                <w:sz w:val="18"/>
                <w:szCs w:val="18"/>
              </w:rPr>
              <w:t>Publication</w:t>
            </w:r>
          </w:p>
        </w:tc>
        <w:tc>
          <w:tcPr>
            <w:tcW w:w="2690" w:type="dxa"/>
            <w:shd w:val="clear" w:color="auto" w:fill="000000" w:themeFill="text1"/>
          </w:tcPr>
          <w:p w14:paraId="05ED6869" w14:textId="77777777" w:rsidR="00140756" w:rsidRPr="009A0EBF" w:rsidRDefault="00140756">
            <w:pPr>
              <w:pStyle w:val="ANorm"/>
              <w:jc w:val="center"/>
              <w:rPr>
                <w:color w:val="FFFFFF" w:themeColor="background1"/>
                <w:sz w:val="18"/>
                <w:szCs w:val="18"/>
              </w:rPr>
            </w:pPr>
            <w:r w:rsidRPr="009A0EBF">
              <w:rPr>
                <w:color w:val="FFFFFF" w:themeColor="background1"/>
                <w:sz w:val="18"/>
                <w:szCs w:val="18"/>
              </w:rPr>
              <w:t>Aim</w:t>
            </w:r>
          </w:p>
        </w:tc>
        <w:tc>
          <w:tcPr>
            <w:tcW w:w="1557" w:type="dxa"/>
            <w:shd w:val="clear" w:color="auto" w:fill="000000" w:themeFill="text1"/>
          </w:tcPr>
          <w:p w14:paraId="7FCB4986" w14:textId="77777777" w:rsidR="00140756" w:rsidRPr="009A0EBF" w:rsidRDefault="00140756">
            <w:pPr>
              <w:pStyle w:val="ANorm"/>
              <w:jc w:val="center"/>
              <w:rPr>
                <w:color w:val="FFFFFF" w:themeColor="background1"/>
                <w:sz w:val="18"/>
                <w:szCs w:val="18"/>
              </w:rPr>
            </w:pPr>
            <w:r w:rsidRPr="009A0EBF">
              <w:rPr>
                <w:color w:val="FFFFFF" w:themeColor="background1"/>
                <w:sz w:val="18"/>
                <w:szCs w:val="18"/>
              </w:rPr>
              <w:t>Treatment completion rate</w:t>
            </w:r>
          </w:p>
        </w:tc>
        <w:tc>
          <w:tcPr>
            <w:tcW w:w="2276" w:type="dxa"/>
            <w:shd w:val="clear" w:color="auto" w:fill="000000" w:themeFill="text1"/>
          </w:tcPr>
          <w:p w14:paraId="42D177A8" w14:textId="77777777" w:rsidR="00140756" w:rsidRPr="009A0EBF" w:rsidRDefault="00140756">
            <w:pPr>
              <w:pStyle w:val="ANorm"/>
              <w:jc w:val="center"/>
              <w:rPr>
                <w:color w:val="FFFFFF" w:themeColor="background1"/>
                <w:sz w:val="18"/>
                <w:szCs w:val="18"/>
              </w:rPr>
            </w:pPr>
            <w:r w:rsidRPr="009A0EBF">
              <w:rPr>
                <w:color w:val="FFFFFF" w:themeColor="background1"/>
                <w:sz w:val="18"/>
                <w:szCs w:val="18"/>
              </w:rPr>
              <w:t>Remission rate</w:t>
            </w:r>
          </w:p>
        </w:tc>
        <w:tc>
          <w:tcPr>
            <w:tcW w:w="1701" w:type="dxa"/>
            <w:shd w:val="clear" w:color="auto" w:fill="000000" w:themeFill="text1"/>
          </w:tcPr>
          <w:p w14:paraId="78E84A09" w14:textId="77777777" w:rsidR="00140756" w:rsidRPr="009A0EBF" w:rsidRDefault="00140756">
            <w:pPr>
              <w:pStyle w:val="ANorm"/>
              <w:jc w:val="center"/>
              <w:rPr>
                <w:color w:val="FFFFFF" w:themeColor="background1"/>
                <w:sz w:val="18"/>
                <w:szCs w:val="18"/>
              </w:rPr>
            </w:pPr>
            <w:r w:rsidRPr="009A0EBF">
              <w:rPr>
                <w:color w:val="FFFFFF" w:themeColor="background1"/>
                <w:sz w:val="18"/>
                <w:szCs w:val="18"/>
              </w:rPr>
              <w:t>Reliable change</w:t>
            </w:r>
          </w:p>
        </w:tc>
        <w:tc>
          <w:tcPr>
            <w:tcW w:w="1982" w:type="dxa"/>
            <w:shd w:val="clear" w:color="auto" w:fill="000000" w:themeFill="text1"/>
          </w:tcPr>
          <w:p w14:paraId="026D2B97" w14:textId="77777777" w:rsidR="00140756" w:rsidRPr="009A0EBF" w:rsidRDefault="00140756">
            <w:pPr>
              <w:pStyle w:val="ANorm"/>
              <w:jc w:val="center"/>
              <w:rPr>
                <w:color w:val="FFFFFF" w:themeColor="background1"/>
                <w:sz w:val="18"/>
                <w:szCs w:val="18"/>
              </w:rPr>
            </w:pPr>
            <w:r w:rsidRPr="009A0EBF">
              <w:rPr>
                <w:color w:val="FFFFFF" w:themeColor="background1"/>
                <w:sz w:val="18"/>
                <w:szCs w:val="18"/>
              </w:rPr>
              <w:t>Follow up</w:t>
            </w:r>
          </w:p>
        </w:tc>
        <w:tc>
          <w:tcPr>
            <w:tcW w:w="1982" w:type="dxa"/>
            <w:shd w:val="clear" w:color="auto" w:fill="000000" w:themeFill="text1"/>
          </w:tcPr>
          <w:p w14:paraId="425DC67A" w14:textId="537B7EC0" w:rsidR="00140756" w:rsidRPr="009A0EBF" w:rsidRDefault="00140756" w:rsidP="00140756">
            <w:pPr>
              <w:pStyle w:val="ANorm"/>
              <w:jc w:val="center"/>
              <w:rPr>
                <w:color w:val="FFFFFF" w:themeColor="background1"/>
                <w:sz w:val="18"/>
                <w:szCs w:val="18"/>
              </w:rPr>
            </w:pPr>
            <w:r w:rsidRPr="009A0EBF">
              <w:rPr>
                <w:color w:val="FFFFFF" w:themeColor="background1"/>
                <w:sz w:val="18"/>
                <w:szCs w:val="18"/>
              </w:rPr>
              <w:t>Predictors of outcome</w:t>
            </w:r>
          </w:p>
        </w:tc>
      </w:tr>
      <w:tr w:rsidR="00140756" w:rsidRPr="009A0EBF" w14:paraId="6316E4CB" w14:textId="4314C6B5" w:rsidTr="007C118C">
        <w:tc>
          <w:tcPr>
            <w:tcW w:w="1129" w:type="dxa"/>
          </w:tcPr>
          <w:p w14:paraId="4C7AC2EE" w14:textId="656F4C07" w:rsidR="00140756" w:rsidRPr="009A0EBF" w:rsidRDefault="00140756">
            <w:pPr>
              <w:pStyle w:val="ANorm"/>
              <w:rPr>
                <w:sz w:val="18"/>
                <w:szCs w:val="18"/>
              </w:rPr>
            </w:pPr>
            <w:r w:rsidRPr="009A0EBF">
              <w:rPr>
                <w:sz w:val="18"/>
                <w:szCs w:val="18"/>
              </w:rPr>
              <w:t xml:space="preserve">Kyrios </w:t>
            </w:r>
            <w:r w:rsidR="0065750D">
              <w:rPr>
                <w:sz w:val="18"/>
                <w:szCs w:val="18"/>
              </w:rPr>
              <w:t>et al</w:t>
            </w:r>
            <w:r w:rsidRPr="009A0EBF">
              <w:rPr>
                <w:sz w:val="18"/>
                <w:szCs w:val="18"/>
              </w:rPr>
              <w:t xml:space="preserve"> (2018)</w:t>
            </w:r>
            <w:r w:rsidRPr="009A0EBF">
              <w:rPr>
                <w:sz w:val="18"/>
                <w:szCs w:val="18"/>
              </w:rPr>
              <w:fldChar w:fldCharType="begin">
                <w:fldData xml:space="preserve">PEVuZE5vdGU+PENpdGU+PEF1dGhvcj5LeXJpb3M8L0F1dGhvcj48WWVhcj4yMDE4PC9ZZWFyPjxS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</w:fldData>
              </w:fldChar>
            </w:r>
            <w:r w:rsidR="004469A2">
              <w:rPr>
                <w:sz w:val="18"/>
                <w:szCs w:val="18"/>
              </w:rPr>
              <w:instrText xml:space="preserve"> ADDIN EN.CITE </w:instrText>
            </w:r>
            <w:r w:rsidR="004469A2">
              <w:rPr>
                <w:sz w:val="18"/>
                <w:szCs w:val="18"/>
              </w:rPr>
              <w:fldChar w:fldCharType="begin">
                <w:fldData xml:space="preserve">PEVuZE5vdGU+PENpdGU+PEF1dGhvcj5LeXJpb3M8L0F1dGhvcj48WWVhcj4yMDE4PC9ZZWFyPjxS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</w:fldData>
              </w:fldChar>
            </w:r>
            <w:r w:rsidR="004469A2">
              <w:rPr>
                <w:sz w:val="18"/>
                <w:szCs w:val="18"/>
              </w:rPr>
              <w:instrText xml:space="preserve"> ADDIN EN.CITE.DATA </w:instrText>
            </w:r>
            <w:r w:rsidR="004469A2">
              <w:rPr>
                <w:sz w:val="18"/>
                <w:szCs w:val="18"/>
              </w:rPr>
            </w:r>
            <w:r w:rsidR="004469A2">
              <w:rPr>
                <w:sz w:val="18"/>
                <w:szCs w:val="18"/>
              </w:rPr>
              <w:fldChar w:fldCharType="end"/>
            </w:r>
            <w:r w:rsidRPr="009A0EBF">
              <w:rPr>
                <w:sz w:val="18"/>
                <w:szCs w:val="18"/>
              </w:rPr>
            </w:r>
            <w:r w:rsidRPr="009A0EBF">
              <w:rPr>
                <w:sz w:val="18"/>
                <w:szCs w:val="18"/>
              </w:rPr>
              <w:fldChar w:fldCharType="separate"/>
            </w:r>
            <w:r w:rsidR="004469A2" w:rsidRPr="004469A2">
              <w:rPr>
                <w:noProof/>
                <w:sz w:val="18"/>
                <w:szCs w:val="18"/>
                <w:vertAlign w:val="superscript"/>
              </w:rPr>
              <w:t>46</w:t>
            </w:r>
            <w:r w:rsidRPr="009A0EBF">
              <w:rPr>
                <w:sz w:val="18"/>
                <w:szCs w:val="18"/>
              </w:rPr>
              <w:fldChar w:fldCharType="end"/>
            </w:r>
          </w:p>
        </w:tc>
        <w:tc>
          <w:tcPr>
            <w:tcW w:w="2690" w:type="dxa"/>
          </w:tcPr>
          <w:p w14:paraId="1C9502E0" w14:textId="77777777" w:rsidR="00140756" w:rsidRPr="009A0EBF" w:rsidRDefault="00140756">
            <w:pPr>
              <w:pStyle w:val="ANorm"/>
              <w:rPr>
                <w:sz w:val="18"/>
                <w:szCs w:val="18"/>
              </w:rPr>
            </w:pPr>
            <w:r w:rsidRPr="009A0EBF">
              <w:rPr>
                <w:sz w:val="18"/>
                <w:szCs w:val="18"/>
              </w:rPr>
              <w:t xml:space="preserve">Examine 12 weeks’ </w:t>
            </w:r>
            <w:r w:rsidRPr="009A0EBF">
              <w:rPr>
                <w:b/>
                <w:bCs/>
                <w:sz w:val="18"/>
                <w:szCs w:val="18"/>
              </w:rPr>
              <w:t>therapist-supported</w:t>
            </w:r>
            <w:r w:rsidRPr="009A0EBF">
              <w:rPr>
                <w:sz w:val="18"/>
                <w:szCs w:val="18"/>
              </w:rPr>
              <w:t xml:space="preserve"> </w:t>
            </w:r>
            <w:proofErr w:type="spellStart"/>
            <w:r w:rsidRPr="009A0EBF">
              <w:rPr>
                <w:sz w:val="18"/>
                <w:szCs w:val="18"/>
              </w:rPr>
              <w:t>iCBT</w:t>
            </w:r>
            <w:proofErr w:type="spellEnd"/>
            <w:r w:rsidRPr="009A0EBF">
              <w:rPr>
                <w:sz w:val="18"/>
                <w:szCs w:val="18"/>
              </w:rPr>
              <w:t xml:space="preserve"> for OCD using a randomised controlled trial (N=89)</w:t>
            </w:r>
          </w:p>
        </w:tc>
        <w:tc>
          <w:tcPr>
            <w:tcW w:w="1557" w:type="dxa"/>
          </w:tcPr>
          <w:p w14:paraId="1B9BF9C2" w14:textId="77777777" w:rsidR="00140756" w:rsidRPr="009A0EBF" w:rsidRDefault="00140756">
            <w:pPr>
              <w:pStyle w:val="ANorm"/>
              <w:rPr>
                <w:sz w:val="18"/>
                <w:szCs w:val="18"/>
              </w:rPr>
            </w:pPr>
            <w:r w:rsidRPr="009A0EBF">
              <w:rPr>
                <w:sz w:val="18"/>
                <w:szCs w:val="18"/>
              </w:rPr>
              <w:t>93% (83/89)</w:t>
            </w:r>
          </w:p>
        </w:tc>
        <w:tc>
          <w:tcPr>
            <w:tcW w:w="2276" w:type="dxa"/>
          </w:tcPr>
          <w:p w14:paraId="4A687779" w14:textId="77777777" w:rsidR="00140756" w:rsidRPr="009A0EBF" w:rsidRDefault="00140756">
            <w:pPr>
              <w:pStyle w:val="ANorm"/>
              <w:rPr>
                <w:sz w:val="18"/>
                <w:szCs w:val="18"/>
              </w:rPr>
            </w:pPr>
            <w:r w:rsidRPr="009A0EBF">
              <w:rPr>
                <w:sz w:val="18"/>
                <w:szCs w:val="18"/>
              </w:rPr>
              <w:t>Not reported</w:t>
            </w:r>
          </w:p>
        </w:tc>
        <w:tc>
          <w:tcPr>
            <w:tcW w:w="1701" w:type="dxa"/>
          </w:tcPr>
          <w:p w14:paraId="24BC3812" w14:textId="77777777" w:rsidR="00140756" w:rsidRPr="009A0EBF" w:rsidRDefault="00140756">
            <w:pPr>
              <w:pStyle w:val="ANorm"/>
              <w:rPr>
                <w:sz w:val="18"/>
                <w:szCs w:val="18"/>
              </w:rPr>
            </w:pPr>
            <w:r w:rsidRPr="009A0EBF">
              <w:rPr>
                <w:sz w:val="18"/>
                <w:szCs w:val="18"/>
              </w:rPr>
              <w:t>49% (25/51) reliable improvement (&gt; 6 units YBOCS change [~1 SD])</w:t>
            </w:r>
          </w:p>
          <w:p w14:paraId="63BFDF95" w14:textId="77777777" w:rsidR="00140756" w:rsidRPr="009A0EBF" w:rsidRDefault="00140756">
            <w:pPr>
              <w:pStyle w:val="ANorm"/>
              <w:rPr>
                <w:sz w:val="18"/>
                <w:szCs w:val="18"/>
              </w:rPr>
            </w:pPr>
          </w:p>
          <w:p w14:paraId="28376C85" w14:textId="3380012A" w:rsidR="00140756" w:rsidRPr="009A0EBF" w:rsidRDefault="00140756">
            <w:pPr>
              <w:pStyle w:val="ANorm"/>
              <w:rPr>
                <w:sz w:val="18"/>
                <w:szCs w:val="18"/>
              </w:rPr>
            </w:pPr>
            <w:r w:rsidRPr="009A0EBF">
              <w:rPr>
                <w:sz w:val="18"/>
                <w:szCs w:val="18"/>
              </w:rPr>
              <w:t>33% (17/51) made a reliable recovery (reliable improvement plus YBOCS &lt; 16 at post-treatment)</w:t>
            </w:r>
          </w:p>
        </w:tc>
        <w:tc>
          <w:tcPr>
            <w:tcW w:w="1982" w:type="dxa"/>
          </w:tcPr>
          <w:p w14:paraId="714AF145" w14:textId="77777777" w:rsidR="00140756" w:rsidRPr="009A0EBF" w:rsidRDefault="00140756">
            <w:pPr>
              <w:pStyle w:val="ANorm"/>
              <w:rPr>
                <w:sz w:val="18"/>
                <w:szCs w:val="18"/>
              </w:rPr>
            </w:pPr>
            <w:r w:rsidRPr="009A0EBF">
              <w:rPr>
                <w:sz w:val="18"/>
                <w:szCs w:val="18"/>
              </w:rPr>
              <w:t>Not examined</w:t>
            </w:r>
          </w:p>
        </w:tc>
        <w:tc>
          <w:tcPr>
            <w:tcW w:w="1982" w:type="dxa"/>
          </w:tcPr>
          <w:p w14:paraId="2EEEC625" w14:textId="77777777" w:rsidR="00022FA0" w:rsidRPr="009A0EBF" w:rsidRDefault="00022FA0">
            <w:pPr>
              <w:pStyle w:val="ANorm"/>
              <w:rPr>
                <w:sz w:val="18"/>
                <w:szCs w:val="18"/>
              </w:rPr>
            </w:pPr>
            <w:r w:rsidRPr="009A0EBF">
              <w:rPr>
                <w:sz w:val="18"/>
                <w:szCs w:val="18"/>
              </w:rPr>
              <w:t>I</w:t>
            </w:r>
            <w:r w:rsidR="00391FC9" w:rsidRPr="009A0EBF">
              <w:rPr>
                <w:sz w:val="18"/>
                <w:szCs w:val="18"/>
              </w:rPr>
              <w:t xml:space="preserve">mprovements in OCD symptoms </w:t>
            </w:r>
            <w:r w:rsidRPr="009A0EBF">
              <w:rPr>
                <w:sz w:val="18"/>
                <w:szCs w:val="18"/>
              </w:rPr>
              <w:t>not predicted by:</w:t>
            </w:r>
          </w:p>
          <w:p w14:paraId="3FAE7AA0" w14:textId="6DD6AF91" w:rsidR="00B6380C" w:rsidRPr="009A0EBF" w:rsidRDefault="00022FA0">
            <w:pPr>
              <w:pStyle w:val="ANorm"/>
              <w:numPr>
                <w:ilvl w:val="0"/>
                <w:numId w:val="150"/>
              </w:numPr>
              <w:ind w:left="174" w:hanging="218"/>
              <w:rPr>
                <w:sz w:val="18"/>
                <w:szCs w:val="18"/>
              </w:rPr>
            </w:pPr>
            <w:r w:rsidRPr="009A0EBF">
              <w:rPr>
                <w:sz w:val="18"/>
                <w:szCs w:val="18"/>
              </w:rPr>
              <w:t>s</w:t>
            </w:r>
            <w:r w:rsidR="006D3F1D" w:rsidRPr="009A0EBF">
              <w:rPr>
                <w:sz w:val="18"/>
                <w:szCs w:val="18"/>
              </w:rPr>
              <w:t xml:space="preserve">ocio-demographic variables (gender, age, number of children, education, and marital status) </w:t>
            </w:r>
            <w:r w:rsidR="00B6380C" w:rsidRPr="009A0EBF">
              <w:rPr>
                <w:sz w:val="18"/>
                <w:szCs w:val="18"/>
              </w:rPr>
              <w:t>(F</w:t>
            </w:r>
            <w:r w:rsidR="00B6380C" w:rsidRPr="009A0EBF">
              <w:rPr>
                <w:sz w:val="18"/>
                <w:szCs w:val="18"/>
                <w:vertAlign w:val="subscript"/>
              </w:rPr>
              <w:t>5,96</w:t>
            </w:r>
            <w:r w:rsidR="00B6380C" w:rsidRPr="009A0EBF">
              <w:rPr>
                <w:sz w:val="18"/>
                <w:szCs w:val="18"/>
              </w:rPr>
              <w:t xml:space="preserve">=0.42, </w:t>
            </w:r>
            <w:r w:rsidR="00C959FB" w:rsidRPr="009A0EBF">
              <w:rPr>
                <w:sz w:val="18"/>
                <w:szCs w:val="18"/>
              </w:rPr>
              <w:t>p</w:t>
            </w:r>
            <w:r w:rsidR="00B6380C" w:rsidRPr="009A0EBF">
              <w:rPr>
                <w:sz w:val="18"/>
                <w:szCs w:val="18"/>
              </w:rPr>
              <w:t>=</w:t>
            </w:r>
            <w:r w:rsidR="00C959FB" w:rsidRPr="009A0EBF">
              <w:rPr>
                <w:sz w:val="18"/>
                <w:szCs w:val="18"/>
              </w:rPr>
              <w:t>0</w:t>
            </w:r>
            <w:r w:rsidR="00B6380C" w:rsidRPr="009A0EBF">
              <w:rPr>
                <w:sz w:val="18"/>
                <w:szCs w:val="18"/>
              </w:rPr>
              <w:t>.84</w:t>
            </w:r>
            <w:r w:rsidR="00C959FB" w:rsidRPr="009A0EBF">
              <w:rPr>
                <w:sz w:val="18"/>
                <w:szCs w:val="18"/>
              </w:rPr>
              <w:t>)</w:t>
            </w:r>
          </w:p>
          <w:p w14:paraId="0F17EE57" w14:textId="5D8A5C07" w:rsidR="00140756" w:rsidRPr="009A0EBF" w:rsidRDefault="006D3F1D">
            <w:pPr>
              <w:pStyle w:val="ANorm"/>
              <w:numPr>
                <w:ilvl w:val="0"/>
                <w:numId w:val="150"/>
              </w:numPr>
              <w:ind w:left="174" w:hanging="218"/>
              <w:rPr>
                <w:sz w:val="18"/>
                <w:szCs w:val="18"/>
              </w:rPr>
            </w:pPr>
            <w:r w:rsidRPr="009A0EBF">
              <w:rPr>
                <w:sz w:val="18"/>
                <w:szCs w:val="18"/>
              </w:rPr>
              <w:t xml:space="preserve">indicators of disability (pre-treatment global assessment of functioning, depression, anxiety scores, medication, number of hospitalisations) </w:t>
            </w:r>
            <w:r w:rsidR="00EF2CB7" w:rsidRPr="009A0EBF">
              <w:rPr>
                <w:sz w:val="18"/>
                <w:szCs w:val="18"/>
              </w:rPr>
              <w:t>(</w:t>
            </w:r>
            <w:r w:rsidRPr="009A0EBF">
              <w:rPr>
                <w:sz w:val="18"/>
                <w:szCs w:val="18"/>
              </w:rPr>
              <w:t>F</w:t>
            </w:r>
            <w:r w:rsidRPr="009A0EBF">
              <w:rPr>
                <w:sz w:val="18"/>
                <w:szCs w:val="18"/>
                <w:vertAlign w:val="subscript"/>
              </w:rPr>
              <w:t>5,95</w:t>
            </w:r>
            <w:r w:rsidRPr="009A0EBF">
              <w:rPr>
                <w:sz w:val="18"/>
                <w:szCs w:val="18"/>
              </w:rPr>
              <w:t xml:space="preserve">=2.06, </w:t>
            </w:r>
            <w:r w:rsidR="003A0669" w:rsidRPr="009A0EBF">
              <w:rPr>
                <w:sz w:val="18"/>
                <w:szCs w:val="18"/>
              </w:rPr>
              <w:t>p</w:t>
            </w:r>
            <w:r w:rsidRPr="009A0EBF">
              <w:rPr>
                <w:sz w:val="18"/>
                <w:szCs w:val="18"/>
              </w:rPr>
              <w:t>=</w:t>
            </w:r>
            <w:r w:rsidR="003A0669" w:rsidRPr="009A0EBF">
              <w:rPr>
                <w:sz w:val="18"/>
                <w:szCs w:val="18"/>
              </w:rPr>
              <w:t>0</w:t>
            </w:r>
            <w:r w:rsidRPr="009A0EBF">
              <w:rPr>
                <w:sz w:val="18"/>
                <w:szCs w:val="18"/>
              </w:rPr>
              <w:t>.08)</w:t>
            </w:r>
          </w:p>
        </w:tc>
      </w:tr>
      <w:tr w:rsidR="00140756" w:rsidRPr="009A0EBF" w14:paraId="70A80B2D" w14:textId="79AFB3D1" w:rsidTr="007C118C">
        <w:tc>
          <w:tcPr>
            <w:tcW w:w="1129" w:type="dxa"/>
          </w:tcPr>
          <w:p w14:paraId="00541BFD" w14:textId="187F5D4C" w:rsidR="00140756" w:rsidRPr="009A0EBF" w:rsidRDefault="00140756">
            <w:pPr>
              <w:pStyle w:val="ANorm"/>
              <w:rPr>
                <w:sz w:val="18"/>
                <w:szCs w:val="18"/>
              </w:rPr>
            </w:pPr>
            <w:r w:rsidRPr="009A0EBF">
              <w:rPr>
                <w:sz w:val="18"/>
                <w:szCs w:val="18"/>
              </w:rPr>
              <w:t xml:space="preserve">Klein </w:t>
            </w:r>
            <w:r w:rsidR="0065750D">
              <w:rPr>
                <w:sz w:val="18"/>
                <w:szCs w:val="18"/>
              </w:rPr>
              <w:t>et al</w:t>
            </w:r>
            <w:r w:rsidRPr="009A0EBF">
              <w:rPr>
                <w:sz w:val="18"/>
                <w:szCs w:val="18"/>
              </w:rPr>
              <w:t xml:space="preserve"> (2010)</w:t>
            </w:r>
            <w:r w:rsidRPr="009A0EBF">
              <w:rPr>
                <w:sz w:val="18"/>
                <w:szCs w:val="18"/>
              </w:rPr>
              <w:fldChar w:fldCharType="begin">
                <w:fldData xml:space="preserve">PEVuZE5vdGU+PENpdGU+PEF1dGhvcj5LbGVpbjwvQXV0aG9yPjxZZWFyPjIwMTA8L1llYXI+PFJl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</w:fldData>
              </w:fldChar>
            </w:r>
            <w:r w:rsidR="004469A2">
              <w:rPr>
                <w:sz w:val="18"/>
                <w:szCs w:val="18"/>
              </w:rPr>
              <w:instrText xml:space="preserve"> ADDIN EN.CITE </w:instrText>
            </w:r>
            <w:r w:rsidR="004469A2">
              <w:rPr>
                <w:sz w:val="18"/>
                <w:szCs w:val="18"/>
              </w:rPr>
              <w:fldChar w:fldCharType="begin">
                <w:fldData xml:space="preserve">PEVuZE5vdGU+PENpdGU+PEF1dGhvcj5LbGVpbjwvQXV0aG9yPjxZZWFyPjIwMTA8L1llYXI+PFJl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</w:fldData>
              </w:fldChar>
            </w:r>
            <w:r w:rsidR="004469A2">
              <w:rPr>
                <w:sz w:val="18"/>
                <w:szCs w:val="18"/>
              </w:rPr>
              <w:instrText xml:space="preserve"> ADDIN EN.CITE.DATA </w:instrText>
            </w:r>
            <w:r w:rsidR="004469A2">
              <w:rPr>
                <w:sz w:val="18"/>
                <w:szCs w:val="18"/>
              </w:rPr>
            </w:r>
            <w:r w:rsidR="004469A2">
              <w:rPr>
                <w:sz w:val="18"/>
                <w:szCs w:val="18"/>
              </w:rPr>
              <w:fldChar w:fldCharType="end"/>
            </w:r>
            <w:r w:rsidRPr="009A0EBF">
              <w:rPr>
                <w:sz w:val="18"/>
                <w:szCs w:val="18"/>
              </w:rPr>
            </w:r>
            <w:r w:rsidRPr="009A0EBF">
              <w:rPr>
                <w:sz w:val="18"/>
                <w:szCs w:val="18"/>
              </w:rPr>
              <w:fldChar w:fldCharType="separate"/>
            </w:r>
            <w:r w:rsidR="004469A2" w:rsidRPr="004469A2">
              <w:rPr>
                <w:noProof/>
                <w:sz w:val="18"/>
                <w:szCs w:val="18"/>
                <w:vertAlign w:val="superscript"/>
              </w:rPr>
              <w:t>45</w:t>
            </w:r>
            <w:r w:rsidRPr="009A0EBF">
              <w:rPr>
                <w:sz w:val="18"/>
                <w:szCs w:val="18"/>
              </w:rPr>
              <w:fldChar w:fldCharType="end"/>
            </w:r>
          </w:p>
        </w:tc>
        <w:tc>
          <w:tcPr>
            <w:tcW w:w="2690" w:type="dxa"/>
          </w:tcPr>
          <w:p w14:paraId="35C25D07" w14:textId="05461770" w:rsidR="00140756" w:rsidRPr="009A0EBF" w:rsidRDefault="00140756">
            <w:pPr>
              <w:pStyle w:val="ANorm"/>
              <w:rPr>
                <w:sz w:val="18"/>
                <w:szCs w:val="18"/>
              </w:rPr>
            </w:pPr>
            <w:r w:rsidRPr="009A0EBF">
              <w:rPr>
                <w:sz w:val="18"/>
                <w:szCs w:val="18"/>
              </w:rPr>
              <w:t xml:space="preserve">Evaluate an open trial of a 10-week </w:t>
            </w:r>
            <w:r w:rsidRPr="009A0EBF">
              <w:rPr>
                <w:b/>
                <w:bCs/>
                <w:sz w:val="18"/>
                <w:szCs w:val="18"/>
              </w:rPr>
              <w:t>therapist-supported</w:t>
            </w:r>
            <w:r w:rsidRPr="009A0EBF">
              <w:rPr>
                <w:sz w:val="18"/>
                <w:szCs w:val="18"/>
              </w:rPr>
              <w:t xml:space="preserve"> </w:t>
            </w:r>
            <w:proofErr w:type="spellStart"/>
            <w:r w:rsidR="003A0669" w:rsidRPr="009A0EBF">
              <w:rPr>
                <w:sz w:val="18"/>
                <w:szCs w:val="18"/>
              </w:rPr>
              <w:t>i</w:t>
            </w:r>
            <w:r w:rsidRPr="009A0EBF">
              <w:rPr>
                <w:sz w:val="18"/>
                <w:szCs w:val="18"/>
              </w:rPr>
              <w:t>CBT</w:t>
            </w:r>
            <w:proofErr w:type="spellEnd"/>
            <w:r w:rsidRPr="009A0EBF">
              <w:rPr>
                <w:sz w:val="18"/>
                <w:szCs w:val="18"/>
              </w:rPr>
              <w:t xml:space="preserve"> treatment for PTSD (N=22)</w:t>
            </w:r>
          </w:p>
        </w:tc>
        <w:tc>
          <w:tcPr>
            <w:tcW w:w="1557" w:type="dxa"/>
          </w:tcPr>
          <w:p w14:paraId="7C779E26" w14:textId="77777777" w:rsidR="00140756" w:rsidRPr="009A0EBF" w:rsidRDefault="00140756">
            <w:pPr>
              <w:pStyle w:val="ANorm"/>
              <w:rPr>
                <w:sz w:val="18"/>
                <w:szCs w:val="18"/>
              </w:rPr>
            </w:pPr>
            <w:r w:rsidRPr="009A0EBF">
              <w:rPr>
                <w:sz w:val="18"/>
                <w:szCs w:val="18"/>
              </w:rPr>
              <w:t>73% (10/10 modules)</w:t>
            </w:r>
          </w:p>
        </w:tc>
        <w:tc>
          <w:tcPr>
            <w:tcW w:w="2276" w:type="dxa"/>
          </w:tcPr>
          <w:p w14:paraId="298D94E3" w14:textId="77777777" w:rsidR="00140756" w:rsidRPr="009A0EBF" w:rsidRDefault="00140756">
            <w:pPr>
              <w:pStyle w:val="ANorm"/>
              <w:rPr>
                <w:sz w:val="18"/>
                <w:szCs w:val="18"/>
              </w:rPr>
            </w:pPr>
            <w:r w:rsidRPr="009A0EBF">
              <w:rPr>
                <w:sz w:val="18"/>
                <w:szCs w:val="18"/>
              </w:rPr>
              <w:t>69% (9/13) no longer met diagnostic criteria for PTSD</w:t>
            </w:r>
          </w:p>
        </w:tc>
        <w:tc>
          <w:tcPr>
            <w:tcW w:w="1701" w:type="dxa"/>
          </w:tcPr>
          <w:p w14:paraId="379593C5" w14:textId="77777777" w:rsidR="00140756" w:rsidRPr="009A0EBF" w:rsidRDefault="00140756" w:rsidP="00EE5066">
            <w:pPr>
              <w:pStyle w:val="ANorm"/>
              <w:rPr>
                <w:sz w:val="18"/>
                <w:szCs w:val="18"/>
              </w:rPr>
            </w:pPr>
            <w:r w:rsidRPr="009A0EBF">
              <w:rPr>
                <w:sz w:val="18"/>
                <w:szCs w:val="18"/>
              </w:rPr>
              <w:t>Not reported</w:t>
            </w:r>
          </w:p>
        </w:tc>
        <w:tc>
          <w:tcPr>
            <w:tcW w:w="1982" w:type="dxa"/>
          </w:tcPr>
          <w:p w14:paraId="0052B51A" w14:textId="77777777" w:rsidR="00140756" w:rsidRPr="009A0EBF" w:rsidRDefault="00140756">
            <w:pPr>
              <w:pStyle w:val="ANorm"/>
              <w:rPr>
                <w:sz w:val="18"/>
                <w:szCs w:val="18"/>
              </w:rPr>
            </w:pPr>
            <w:r w:rsidRPr="009A0EBF">
              <w:rPr>
                <w:sz w:val="18"/>
                <w:szCs w:val="18"/>
              </w:rPr>
              <w:t>77% (10/13) no longer met diagnostic criteria for PTSD</w:t>
            </w:r>
          </w:p>
          <w:p w14:paraId="7FFA5353" w14:textId="77777777" w:rsidR="00140756" w:rsidRPr="009A0EBF" w:rsidRDefault="00140756">
            <w:pPr>
              <w:pStyle w:val="ANorm"/>
              <w:rPr>
                <w:sz w:val="18"/>
                <w:szCs w:val="18"/>
              </w:rPr>
            </w:pPr>
          </w:p>
          <w:p w14:paraId="415B8FCA" w14:textId="77777777" w:rsidR="00140756" w:rsidRPr="009A0EBF" w:rsidRDefault="00140756">
            <w:pPr>
              <w:pStyle w:val="ANorm"/>
              <w:rPr>
                <w:sz w:val="18"/>
                <w:szCs w:val="18"/>
              </w:rPr>
            </w:pPr>
          </w:p>
        </w:tc>
        <w:tc>
          <w:tcPr>
            <w:tcW w:w="1982" w:type="dxa"/>
          </w:tcPr>
          <w:p w14:paraId="64924100" w14:textId="1CC1EB6C" w:rsidR="00140756" w:rsidRPr="009A0EBF" w:rsidRDefault="00EF2CB7">
            <w:pPr>
              <w:pStyle w:val="ANorm"/>
              <w:rPr>
                <w:sz w:val="18"/>
                <w:szCs w:val="18"/>
              </w:rPr>
            </w:pPr>
            <w:r w:rsidRPr="009A0EBF">
              <w:rPr>
                <w:sz w:val="18"/>
                <w:szCs w:val="18"/>
              </w:rPr>
              <w:t xml:space="preserve">Not </w:t>
            </w:r>
            <w:r w:rsidR="001F5FAF" w:rsidRPr="009A0EBF">
              <w:rPr>
                <w:sz w:val="18"/>
                <w:szCs w:val="18"/>
              </w:rPr>
              <w:t>examined</w:t>
            </w:r>
          </w:p>
        </w:tc>
      </w:tr>
      <w:tr w:rsidR="00140756" w:rsidRPr="009A0EBF" w14:paraId="6F969DD8" w14:textId="6D2749D8" w:rsidTr="007C118C">
        <w:tc>
          <w:tcPr>
            <w:tcW w:w="1129" w:type="dxa"/>
          </w:tcPr>
          <w:p w14:paraId="79C1B288" w14:textId="33973628" w:rsidR="00140756" w:rsidRPr="009A0EBF" w:rsidRDefault="00140756">
            <w:pPr>
              <w:pStyle w:val="ANorm"/>
              <w:rPr>
                <w:sz w:val="18"/>
                <w:szCs w:val="18"/>
              </w:rPr>
            </w:pPr>
            <w:r w:rsidRPr="009A0EBF">
              <w:rPr>
                <w:sz w:val="18"/>
                <w:szCs w:val="18"/>
              </w:rPr>
              <w:t xml:space="preserve">Klein </w:t>
            </w:r>
            <w:r w:rsidR="0065750D">
              <w:rPr>
                <w:sz w:val="18"/>
                <w:szCs w:val="18"/>
              </w:rPr>
              <w:t>et al</w:t>
            </w:r>
            <w:r w:rsidRPr="009A0EBF">
              <w:rPr>
                <w:sz w:val="18"/>
                <w:szCs w:val="18"/>
              </w:rPr>
              <w:t xml:space="preserve"> (2011)</w:t>
            </w:r>
            <w:r w:rsidRPr="009A0EBF">
              <w:rPr>
                <w:sz w:val="18"/>
                <w:szCs w:val="18"/>
              </w:rPr>
              <w:fldChar w:fldCharType="begin">
                <w:fldData xml:space="preserve">PEVuZE5vdGU+PENpdGU+PEF1dGhvcj5LbGVpbjwvQXV0aG9yPjxZZWFyPjIwMTE8L1llYXI+PFJl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</w:fldData>
              </w:fldChar>
            </w:r>
            <w:r w:rsidR="004469A2">
              <w:rPr>
                <w:sz w:val="18"/>
                <w:szCs w:val="18"/>
              </w:rPr>
              <w:instrText xml:space="preserve"> ADDIN EN.CITE </w:instrText>
            </w:r>
            <w:r w:rsidR="004469A2">
              <w:rPr>
                <w:sz w:val="18"/>
                <w:szCs w:val="18"/>
              </w:rPr>
              <w:fldChar w:fldCharType="begin">
                <w:fldData xml:space="preserve">PEVuZE5vdGU+PENpdGU+PEF1dGhvcj5LbGVpbjwvQXV0aG9yPjxZZWFyPjIwMTE8L1llYXI+PFJl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</w:fldData>
              </w:fldChar>
            </w:r>
            <w:r w:rsidR="004469A2">
              <w:rPr>
                <w:sz w:val="18"/>
                <w:szCs w:val="18"/>
              </w:rPr>
              <w:instrText xml:space="preserve"> ADDIN EN.CITE.DATA </w:instrText>
            </w:r>
            <w:r w:rsidR="004469A2">
              <w:rPr>
                <w:sz w:val="18"/>
                <w:szCs w:val="18"/>
              </w:rPr>
            </w:r>
            <w:r w:rsidR="004469A2">
              <w:rPr>
                <w:sz w:val="18"/>
                <w:szCs w:val="18"/>
              </w:rPr>
              <w:fldChar w:fldCharType="end"/>
            </w:r>
            <w:r w:rsidRPr="009A0EBF">
              <w:rPr>
                <w:sz w:val="18"/>
                <w:szCs w:val="18"/>
              </w:rPr>
            </w:r>
            <w:r w:rsidRPr="009A0EBF">
              <w:rPr>
                <w:sz w:val="18"/>
                <w:szCs w:val="18"/>
              </w:rPr>
              <w:fldChar w:fldCharType="separate"/>
            </w:r>
            <w:r w:rsidR="004469A2" w:rsidRPr="004469A2">
              <w:rPr>
                <w:noProof/>
                <w:sz w:val="18"/>
                <w:szCs w:val="18"/>
                <w:vertAlign w:val="superscript"/>
              </w:rPr>
              <w:t>62</w:t>
            </w:r>
            <w:r w:rsidRPr="009A0EBF">
              <w:rPr>
                <w:sz w:val="18"/>
                <w:szCs w:val="18"/>
              </w:rPr>
              <w:fldChar w:fldCharType="end"/>
            </w:r>
            <w:r w:rsidRPr="009A0EBF">
              <w:rPr>
                <w:sz w:val="18"/>
                <w:szCs w:val="18"/>
              </w:rPr>
              <w:t xml:space="preserve"> </w:t>
            </w:r>
          </w:p>
        </w:tc>
        <w:tc>
          <w:tcPr>
            <w:tcW w:w="2690" w:type="dxa"/>
          </w:tcPr>
          <w:p w14:paraId="16EB0EE9" w14:textId="3A013386" w:rsidR="00140756" w:rsidRPr="009A0EBF" w:rsidRDefault="00140756">
            <w:pPr>
              <w:pStyle w:val="ANorm"/>
              <w:rPr>
                <w:sz w:val="18"/>
                <w:szCs w:val="18"/>
              </w:rPr>
            </w:pPr>
            <w:r w:rsidRPr="009A0EBF">
              <w:rPr>
                <w:sz w:val="18"/>
                <w:szCs w:val="18"/>
              </w:rPr>
              <w:t xml:space="preserve">Evaluated effects of five </w:t>
            </w:r>
            <w:r w:rsidR="0027412F" w:rsidRPr="009A0EBF">
              <w:rPr>
                <w:sz w:val="18"/>
                <w:szCs w:val="18"/>
              </w:rPr>
              <w:t xml:space="preserve">12-week </w:t>
            </w:r>
            <w:r w:rsidRPr="009A0EBF">
              <w:rPr>
                <w:sz w:val="18"/>
                <w:szCs w:val="18"/>
              </w:rPr>
              <w:t xml:space="preserve">fully </w:t>
            </w:r>
            <w:r w:rsidRPr="009A0EBF">
              <w:rPr>
                <w:b/>
                <w:bCs/>
                <w:sz w:val="18"/>
                <w:szCs w:val="18"/>
              </w:rPr>
              <w:t>self-directed</w:t>
            </w:r>
            <w:r w:rsidRPr="009A0EBF">
              <w:rPr>
                <w:sz w:val="18"/>
                <w:szCs w:val="18"/>
              </w:rPr>
              <w:t xml:space="preserve"> </w:t>
            </w:r>
            <w:proofErr w:type="spellStart"/>
            <w:r w:rsidR="003A0669" w:rsidRPr="009A0EBF">
              <w:rPr>
                <w:sz w:val="18"/>
                <w:szCs w:val="18"/>
              </w:rPr>
              <w:t>iCBT</w:t>
            </w:r>
            <w:proofErr w:type="spellEnd"/>
            <w:r w:rsidR="003A0669" w:rsidRPr="009A0EBF">
              <w:rPr>
                <w:sz w:val="18"/>
                <w:szCs w:val="18"/>
              </w:rPr>
              <w:t xml:space="preserve"> </w:t>
            </w:r>
            <w:r w:rsidRPr="009A0EBF">
              <w:rPr>
                <w:sz w:val="18"/>
                <w:szCs w:val="18"/>
              </w:rPr>
              <w:t>programs for GAD (n=88), panic disorder (n=40), OCD (n=17), PTSD (n=30) and SAD (n=50)</w:t>
            </w:r>
          </w:p>
        </w:tc>
        <w:tc>
          <w:tcPr>
            <w:tcW w:w="1557" w:type="dxa"/>
          </w:tcPr>
          <w:p w14:paraId="52A7ABBA" w14:textId="77777777" w:rsidR="00140756" w:rsidRPr="009A0EBF" w:rsidRDefault="00140756">
            <w:pPr>
              <w:pStyle w:val="ANorm"/>
              <w:rPr>
                <w:sz w:val="18"/>
                <w:szCs w:val="18"/>
              </w:rPr>
            </w:pPr>
            <w:r w:rsidRPr="009A0EBF">
              <w:rPr>
                <w:sz w:val="18"/>
                <w:szCs w:val="18"/>
              </w:rPr>
              <w:t>69% (88/128) GAD</w:t>
            </w:r>
          </w:p>
          <w:p w14:paraId="0573E96C" w14:textId="77777777" w:rsidR="00140756" w:rsidRPr="009A0EBF" w:rsidRDefault="00140756">
            <w:pPr>
              <w:pStyle w:val="ANorm"/>
              <w:rPr>
                <w:sz w:val="18"/>
                <w:szCs w:val="18"/>
              </w:rPr>
            </w:pPr>
            <w:r w:rsidRPr="009A0EBF">
              <w:rPr>
                <w:sz w:val="18"/>
                <w:szCs w:val="18"/>
              </w:rPr>
              <w:t>77% (40/52) Panic 63% (17/27) OCD 79% (30/38) PTSD 65% (50/77) SAD</w:t>
            </w:r>
          </w:p>
        </w:tc>
        <w:tc>
          <w:tcPr>
            <w:tcW w:w="2276" w:type="dxa"/>
          </w:tcPr>
          <w:p w14:paraId="7055E17E" w14:textId="77777777" w:rsidR="00140756" w:rsidRPr="009A0EBF" w:rsidRDefault="00140756">
            <w:pPr>
              <w:pStyle w:val="ANorm"/>
              <w:rPr>
                <w:sz w:val="18"/>
                <w:szCs w:val="18"/>
              </w:rPr>
            </w:pPr>
            <w:r w:rsidRPr="009A0EBF">
              <w:rPr>
                <w:sz w:val="18"/>
                <w:szCs w:val="18"/>
              </w:rPr>
              <w:t>Not reported</w:t>
            </w:r>
          </w:p>
        </w:tc>
        <w:tc>
          <w:tcPr>
            <w:tcW w:w="1701" w:type="dxa"/>
          </w:tcPr>
          <w:p w14:paraId="29B89BAE" w14:textId="77777777" w:rsidR="00140756" w:rsidRPr="009A0EBF" w:rsidRDefault="00140756">
            <w:pPr>
              <w:pStyle w:val="ANorm"/>
              <w:rPr>
                <w:sz w:val="18"/>
                <w:szCs w:val="18"/>
              </w:rPr>
            </w:pPr>
            <w:r w:rsidRPr="009A0EBF">
              <w:rPr>
                <w:sz w:val="18"/>
                <w:szCs w:val="18"/>
              </w:rPr>
              <w:t>Not reported</w:t>
            </w:r>
          </w:p>
        </w:tc>
        <w:tc>
          <w:tcPr>
            <w:tcW w:w="1982" w:type="dxa"/>
          </w:tcPr>
          <w:p w14:paraId="2A393442" w14:textId="77777777" w:rsidR="00140756" w:rsidRPr="009A0EBF" w:rsidRDefault="00140756">
            <w:pPr>
              <w:pStyle w:val="ANorm"/>
              <w:rPr>
                <w:sz w:val="18"/>
                <w:szCs w:val="18"/>
              </w:rPr>
            </w:pPr>
            <w:r w:rsidRPr="009A0EBF">
              <w:rPr>
                <w:sz w:val="18"/>
                <w:szCs w:val="18"/>
              </w:rPr>
              <w:t>Not examined</w:t>
            </w:r>
          </w:p>
        </w:tc>
        <w:tc>
          <w:tcPr>
            <w:tcW w:w="1982" w:type="dxa"/>
          </w:tcPr>
          <w:p w14:paraId="1748C507" w14:textId="49D2AD83" w:rsidR="00140756" w:rsidRPr="009A0EBF" w:rsidRDefault="001F5FAF">
            <w:pPr>
              <w:pStyle w:val="ANorm"/>
              <w:rPr>
                <w:sz w:val="18"/>
                <w:szCs w:val="18"/>
              </w:rPr>
            </w:pPr>
            <w:r w:rsidRPr="009A0EBF">
              <w:rPr>
                <w:sz w:val="18"/>
                <w:szCs w:val="18"/>
              </w:rPr>
              <w:t>Not examined</w:t>
            </w:r>
          </w:p>
        </w:tc>
      </w:tr>
    </w:tbl>
    <w:p w14:paraId="7191AB03" w14:textId="3C3865A3" w:rsidR="005563CC" w:rsidRPr="00615B44" w:rsidRDefault="001F5FAF">
      <w:pPr>
        <w:rPr>
          <w:rFonts w:asciiTheme="minorHAnsi" w:hAnsiTheme="minorHAnsi" w:cstheme="minorHAnsi"/>
          <w:sz w:val="16"/>
          <w:szCs w:val="16"/>
        </w:rPr>
      </w:pPr>
      <w:r w:rsidRPr="00615B44">
        <w:rPr>
          <w:rFonts w:asciiTheme="minorHAnsi" w:hAnsiTheme="minorHAnsi" w:cstheme="minorHAnsi"/>
          <w:sz w:val="16"/>
          <w:szCs w:val="16"/>
        </w:rPr>
        <w:t xml:space="preserve">GAD, </w:t>
      </w:r>
      <w:r w:rsidR="00B02173" w:rsidRPr="00615B44">
        <w:rPr>
          <w:rFonts w:asciiTheme="minorHAnsi" w:hAnsiTheme="minorHAnsi" w:cstheme="minorHAnsi"/>
          <w:sz w:val="16"/>
          <w:szCs w:val="16"/>
        </w:rPr>
        <w:t xml:space="preserve">generalised anxiety disorder; </w:t>
      </w:r>
      <w:proofErr w:type="spellStart"/>
      <w:r w:rsidR="0052630C" w:rsidRPr="00615B44">
        <w:rPr>
          <w:rFonts w:asciiTheme="minorHAnsi" w:hAnsiTheme="minorHAnsi" w:cstheme="minorHAnsi"/>
          <w:sz w:val="16"/>
          <w:szCs w:val="16"/>
        </w:rPr>
        <w:t>iCBT</w:t>
      </w:r>
      <w:proofErr w:type="spellEnd"/>
      <w:r w:rsidR="0052630C" w:rsidRPr="00615B44">
        <w:rPr>
          <w:rFonts w:asciiTheme="minorHAnsi" w:hAnsiTheme="minorHAnsi" w:cstheme="minorHAnsi"/>
          <w:sz w:val="16"/>
          <w:szCs w:val="16"/>
        </w:rPr>
        <w:t xml:space="preserve">, </w:t>
      </w:r>
      <w:r w:rsidR="00B02173" w:rsidRPr="00615B44">
        <w:rPr>
          <w:rFonts w:asciiTheme="minorHAnsi" w:hAnsiTheme="minorHAnsi" w:cstheme="minorHAnsi"/>
          <w:sz w:val="16"/>
          <w:szCs w:val="16"/>
        </w:rPr>
        <w:t xml:space="preserve">internet cognitive behavioural therapy; </w:t>
      </w:r>
      <w:r w:rsidR="0052630C" w:rsidRPr="00615B44">
        <w:rPr>
          <w:rFonts w:asciiTheme="minorHAnsi" w:hAnsiTheme="minorHAnsi" w:cstheme="minorHAnsi"/>
          <w:sz w:val="16"/>
          <w:szCs w:val="16"/>
        </w:rPr>
        <w:t xml:space="preserve">OCD, </w:t>
      </w:r>
      <w:r w:rsidR="00B02173" w:rsidRPr="00615B44">
        <w:rPr>
          <w:rFonts w:asciiTheme="minorHAnsi" w:hAnsiTheme="minorHAnsi" w:cstheme="minorHAnsi"/>
          <w:sz w:val="16"/>
          <w:szCs w:val="16"/>
        </w:rPr>
        <w:t xml:space="preserve">obsessive compulsive disorder; </w:t>
      </w:r>
      <w:r w:rsidRPr="00615B44">
        <w:rPr>
          <w:rFonts w:asciiTheme="minorHAnsi" w:hAnsiTheme="minorHAnsi" w:cstheme="minorHAnsi"/>
          <w:sz w:val="16"/>
          <w:szCs w:val="16"/>
        </w:rPr>
        <w:t>PTSD,</w:t>
      </w:r>
      <w:r w:rsidR="00B02173" w:rsidRPr="00615B44">
        <w:rPr>
          <w:rFonts w:asciiTheme="minorHAnsi" w:hAnsiTheme="minorHAnsi" w:cstheme="minorHAnsi"/>
          <w:sz w:val="16"/>
          <w:szCs w:val="16"/>
        </w:rPr>
        <w:t xml:space="preserve"> post-traumatic stress disorder; </w:t>
      </w:r>
      <w:r w:rsidR="00D35430" w:rsidRPr="00615B44">
        <w:rPr>
          <w:rFonts w:asciiTheme="minorHAnsi" w:hAnsiTheme="minorHAnsi" w:cstheme="minorHAnsi"/>
          <w:sz w:val="16"/>
          <w:szCs w:val="16"/>
        </w:rPr>
        <w:t xml:space="preserve">SAD, </w:t>
      </w:r>
      <w:r w:rsidR="009A0EBF" w:rsidRPr="00615B44">
        <w:rPr>
          <w:rFonts w:asciiTheme="minorHAnsi" w:hAnsiTheme="minorHAnsi" w:cstheme="minorHAnsi"/>
          <w:sz w:val="16"/>
          <w:szCs w:val="16"/>
        </w:rPr>
        <w:t>social anxiety disorder;</w:t>
      </w:r>
      <w:r w:rsidRPr="00615B44">
        <w:rPr>
          <w:rFonts w:asciiTheme="minorHAnsi" w:hAnsiTheme="minorHAnsi" w:cstheme="minorHAnsi"/>
          <w:sz w:val="16"/>
          <w:szCs w:val="16"/>
        </w:rPr>
        <w:t xml:space="preserve"> </w:t>
      </w:r>
      <w:r w:rsidR="00EF2CB7" w:rsidRPr="00615B44">
        <w:rPr>
          <w:rFonts w:asciiTheme="minorHAnsi" w:hAnsiTheme="minorHAnsi" w:cstheme="minorHAnsi"/>
          <w:sz w:val="16"/>
          <w:szCs w:val="16"/>
        </w:rPr>
        <w:t xml:space="preserve">SD, </w:t>
      </w:r>
      <w:r w:rsidR="009A0EBF" w:rsidRPr="00615B44">
        <w:rPr>
          <w:rFonts w:asciiTheme="minorHAnsi" w:hAnsiTheme="minorHAnsi" w:cstheme="minorHAnsi"/>
          <w:sz w:val="16"/>
          <w:szCs w:val="16"/>
        </w:rPr>
        <w:t xml:space="preserve">standard deviation; </w:t>
      </w:r>
      <w:r w:rsidR="00EF2CB7" w:rsidRPr="00615B44">
        <w:rPr>
          <w:rFonts w:asciiTheme="minorHAnsi" w:hAnsiTheme="minorHAnsi" w:cstheme="minorHAnsi"/>
          <w:sz w:val="16"/>
          <w:szCs w:val="16"/>
        </w:rPr>
        <w:t>YBOCS</w:t>
      </w:r>
      <w:r w:rsidR="009A0EBF" w:rsidRPr="00615B44">
        <w:rPr>
          <w:rFonts w:asciiTheme="minorHAnsi" w:hAnsiTheme="minorHAnsi" w:cstheme="minorHAnsi"/>
          <w:sz w:val="16"/>
          <w:szCs w:val="16"/>
        </w:rPr>
        <w:t>, Yale Brown Obsessive-Compulsive Scale.</w:t>
      </w:r>
    </w:p>
    <w:p w14:paraId="5A15B36D" w14:textId="7C5A7E48" w:rsidR="0052630C" w:rsidRPr="0052630C" w:rsidRDefault="0052630C">
      <w:pPr>
        <w:rPr>
          <w:rFonts w:asciiTheme="minorHAnsi" w:hAnsiTheme="minorHAnsi" w:cstheme="minorHAnsi"/>
          <w:sz w:val="15"/>
          <w:szCs w:val="15"/>
        </w:rPr>
        <w:sectPr w:rsidR="0052630C" w:rsidRPr="0052630C" w:rsidSect="005563CC">
          <w:pgSz w:w="16838" w:h="11906" w:orient="landscape"/>
          <w:pgMar w:top="1440" w:right="1440" w:bottom="1440" w:left="1440" w:header="737" w:footer="708" w:gutter="0"/>
          <w:cols w:space="708"/>
          <w:docGrid w:linePitch="360"/>
        </w:sectPr>
      </w:pPr>
    </w:p>
    <w:p w14:paraId="7E6D8B9C" w14:textId="664B71B3" w:rsidR="002D0ED7" w:rsidRPr="003D59A5" w:rsidRDefault="00364DC4" w:rsidP="00614DE2">
      <w:pPr>
        <w:pStyle w:val="Heading3"/>
        <w:numPr>
          <w:ilvl w:val="2"/>
          <w:numId w:val="136"/>
        </w:numPr>
      </w:pPr>
      <w:r w:rsidRPr="003D59A5">
        <w:lastRenderedPageBreak/>
        <w:t>Consumer experiences</w:t>
      </w:r>
    </w:p>
    <w:p w14:paraId="12A3213A" w14:textId="64CC0804" w:rsidR="00D807B8" w:rsidRPr="00C0670D" w:rsidRDefault="00AA6B28" w:rsidP="006479F9">
      <w:pPr>
        <w:spacing w:after="200"/>
        <w:rPr>
          <w:rFonts w:asciiTheme="minorHAnsi" w:hAnsiTheme="minorHAnsi" w:cstheme="minorHAnsi"/>
          <w:sz w:val="21"/>
          <w:szCs w:val="21"/>
        </w:rPr>
      </w:pPr>
      <w:r w:rsidRPr="00C0670D">
        <w:rPr>
          <w:rFonts w:asciiTheme="minorHAnsi" w:hAnsiTheme="minorHAnsi" w:cstheme="minorHAnsi"/>
          <w:sz w:val="21"/>
          <w:szCs w:val="21"/>
        </w:rPr>
        <w:t xml:space="preserve">Mental Health Online has recently (2020-2021) evaluated consumer experiences of the </w:t>
      </w:r>
      <w:r w:rsidR="00364DC4">
        <w:rPr>
          <w:rFonts w:asciiTheme="minorHAnsi" w:hAnsiTheme="minorHAnsi" w:cstheme="minorHAnsi"/>
          <w:sz w:val="21"/>
          <w:szCs w:val="21"/>
        </w:rPr>
        <w:t>therapist-supported treatment (</w:t>
      </w:r>
      <w:r w:rsidRPr="00C0670D">
        <w:rPr>
          <w:rFonts w:asciiTheme="minorHAnsi" w:hAnsiTheme="minorHAnsi" w:cstheme="minorHAnsi"/>
          <w:sz w:val="21"/>
          <w:szCs w:val="21"/>
        </w:rPr>
        <w:t>Therapist Assist program</w:t>
      </w:r>
      <w:r w:rsidR="00364DC4">
        <w:rPr>
          <w:rFonts w:asciiTheme="minorHAnsi" w:hAnsiTheme="minorHAnsi" w:cstheme="minorHAnsi"/>
          <w:sz w:val="21"/>
          <w:szCs w:val="21"/>
        </w:rPr>
        <w:t>)</w:t>
      </w:r>
      <w:r w:rsidRPr="00C0670D">
        <w:rPr>
          <w:rFonts w:asciiTheme="minorHAnsi" w:hAnsiTheme="minorHAnsi" w:cstheme="minorHAnsi"/>
          <w:sz w:val="21"/>
          <w:szCs w:val="21"/>
        </w:rPr>
        <w:t xml:space="preserve"> by sending a survey to </w:t>
      </w:r>
      <w:r w:rsidR="008A373D">
        <w:rPr>
          <w:rFonts w:asciiTheme="minorHAnsi" w:hAnsiTheme="minorHAnsi" w:cstheme="minorHAnsi"/>
          <w:sz w:val="21"/>
          <w:szCs w:val="21"/>
        </w:rPr>
        <w:t>107</w:t>
      </w:r>
      <w:r w:rsidRPr="00C0670D">
        <w:rPr>
          <w:rFonts w:asciiTheme="minorHAnsi" w:hAnsiTheme="minorHAnsi" w:cstheme="minorHAnsi"/>
          <w:sz w:val="21"/>
          <w:szCs w:val="21"/>
        </w:rPr>
        <w:t xml:space="preserve"> consumers who remained engaged with the program for the full 12 weeks. All 27 consumers </w:t>
      </w:r>
      <w:r w:rsidR="00EF733F">
        <w:rPr>
          <w:rFonts w:asciiTheme="minorHAnsi" w:hAnsiTheme="minorHAnsi" w:cstheme="minorHAnsi"/>
          <w:sz w:val="21"/>
          <w:szCs w:val="21"/>
        </w:rPr>
        <w:t>who completed</w:t>
      </w:r>
      <w:r w:rsidRPr="00C0670D">
        <w:rPr>
          <w:rFonts w:asciiTheme="minorHAnsi" w:hAnsiTheme="minorHAnsi" w:cstheme="minorHAnsi"/>
          <w:sz w:val="21"/>
          <w:szCs w:val="21"/>
        </w:rPr>
        <w:t xml:space="preserve"> the </w:t>
      </w:r>
      <w:r w:rsidR="00EF733F">
        <w:rPr>
          <w:rFonts w:asciiTheme="minorHAnsi" w:hAnsiTheme="minorHAnsi" w:cstheme="minorHAnsi"/>
          <w:sz w:val="21"/>
          <w:szCs w:val="21"/>
        </w:rPr>
        <w:t>survey</w:t>
      </w:r>
      <w:r w:rsidRPr="00C0670D">
        <w:rPr>
          <w:rFonts w:asciiTheme="minorHAnsi" w:hAnsiTheme="minorHAnsi" w:cstheme="minorHAnsi"/>
          <w:sz w:val="21"/>
          <w:szCs w:val="21"/>
        </w:rPr>
        <w:t xml:space="preserve"> reported that the service </w:t>
      </w:r>
      <w:r w:rsidR="0090271F">
        <w:rPr>
          <w:rFonts w:asciiTheme="minorHAnsi" w:hAnsiTheme="minorHAnsi" w:cstheme="minorHAnsi"/>
          <w:sz w:val="21"/>
          <w:szCs w:val="21"/>
        </w:rPr>
        <w:t>had</w:t>
      </w:r>
      <w:r w:rsidRPr="00C0670D">
        <w:rPr>
          <w:rFonts w:asciiTheme="minorHAnsi" w:hAnsiTheme="minorHAnsi" w:cstheme="minorHAnsi"/>
          <w:sz w:val="21"/>
          <w:szCs w:val="21"/>
        </w:rPr>
        <w:t xml:space="preserve"> had a positive impact on their mental health, with 13 (48.1%) reporting it was much better, 5 (18.5%) moderately better</w:t>
      </w:r>
      <w:r w:rsidR="007E471A">
        <w:rPr>
          <w:rFonts w:asciiTheme="minorHAnsi" w:hAnsiTheme="minorHAnsi" w:cstheme="minorHAnsi"/>
          <w:sz w:val="21"/>
          <w:szCs w:val="21"/>
        </w:rPr>
        <w:t>,</w:t>
      </w:r>
      <w:r w:rsidRPr="00C0670D">
        <w:rPr>
          <w:rFonts w:asciiTheme="minorHAnsi" w:hAnsiTheme="minorHAnsi" w:cstheme="minorHAnsi"/>
          <w:sz w:val="21"/>
          <w:szCs w:val="21"/>
        </w:rPr>
        <w:t xml:space="preserve"> and 9 (33.3%) slightly better. All 27 consumers reported they were satisfied (17 [63%] completely and 10 [37%] moderately) with the Therapist Assist program and would recommend it to someone else.</w:t>
      </w:r>
      <w:r w:rsidR="008C7EEC">
        <w:rPr>
          <w:rFonts w:asciiTheme="minorHAnsi" w:hAnsiTheme="minorHAnsi" w:cstheme="minorHAnsi"/>
          <w:sz w:val="21"/>
          <w:szCs w:val="21"/>
        </w:rPr>
        <w:t xml:space="preserve"> Findings from 13 of these survey respondents </w:t>
      </w:r>
      <w:r w:rsidR="0048060B">
        <w:rPr>
          <w:rFonts w:asciiTheme="minorHAnsi" w:hAnsiTheme="minorHAnsi" w:cstheme="minorHAnsi"/>
          <w:sz w:val="21"/>
          <w:szCs w:val="21"/>
        </w:rPr>
        <w:t>are summarised in Table 1</w:t>
      </w:r>
      <w:r w:rsidR="00CD71BB">
        <w:rPr>
          <w:rFonts w:asciiTheme="minorHAnsi" w:hAnsiTheme="minorHAnsi" w:cstheme="minorHAnsi"/>
          <w:sz w:val="21"/>
          <w:szCs w:val="21"/>
        </w:rPr>
        <w:t>6</w:t>
      </w:r>
      <w:r w:rsidR="0048060B">
        <w:rPr>
          <w:rFonts w:asciiTheme="minorHAnsi" w:hAnsiTheme="minorHAnsi" w:cstheme="minorHAnsi"/>
          <w:sz w:val="21"/>
          <w:szCs w:val="21"/>
        </w:rPr>
        <w:t xml:space="preserve"> and </w:t>
      </w:r>
      <w:r w:rsidR="008C7EEC">
        <w:rPr>
          <w:rFonts w:asciiTheme="minorHAnsi" w:hAnsiTheme="minorHAnsi" w:cstheme="minorHAnsi"/>
          <w:sz w:val="21"/>
          <w:szCs w:val="21"/>
        </w:rPr>
        <w:t>provide insights</w:t>
      </w:r>
      <w:r w:rsidR="00B83832">
        <w:rPr>
          <w:rFonts w:asciiTheme="minorHAnsi" w:hAnsiTheme="minorHAnsi" w:cstheme="minorHAnsi"/>
          <w:sz w:val="21"/>
          <w:szCs w:val="21"/>
        </w:rPr>
        <w:t xml:space="preserve"> </w:t>
      </w:r>
      <w:r w:rsidR="00322069">
        <w:rPr>
          <w:rFonts w:asciiTheme="minorHAnsi" w:hAnsiTheme="minorHAnsi" w:cstheme="minorHAnsi"/>
          <w:sz w:val="21"/>
          <w:szCs w:val="21"/>
        </w:rPr>
        <w:t>into</w:t>
      </w:r>
      <w:r w:rsidR="008C7EEC">
        <w:rPr>
          <w:rFonts w:asciiTheme="minorHAnsi" w:hAnsiTheme="minorHAnsi" w:cstheme="minorHAnsi"/>
          <w:sz w:val="21"/>
          <w:szCs w:val="21"/>
        </w:rPr>
        <w:t xml:space="preserve"> the </w:t>
      </w:r>
      <w:r w:rsidR="006B254F">
        <w:rPr>
          <w:rFonts w:asciiTheme="minorHAnsi" w:hAnsiTheme="minorHAnsi" w:cstheme="minorHAnsi"/>
          <w:sz w:val="21"/>
          <w:szCs w:val="21"/>
        </w:rPr>
        <w:t xml:space="preserve">three </w:t>
      </w:r>
      <w:r w:rsidR="008C7EEC">
        <w:rPr>
          <w:rFonts w:asciiTheme="minorHAnsi" w:hAnsiTheme="minorHAnsi" w:cstheme="minorHAnsi"/>
          <w:sz w:val="21"/>
          <w:szCs w:val="21"/>
        </w:rPr>
        <w:t>therapist communication modalities</w:t>
      </w:r>
      <w:r w:rsidR="00D807B8">
        <w:rPr>
          <w:rFonts w:asciiTheme="minorHAnsi" w:hAnsiTheme="minorHAnsi" w:cstheme="minorHAnsi"/>
          <w:sz w:val="21"/>
          <w:szCs w:val="21"/>
        </w:rPr>
        <w:t xml:space="preserve"> offered by Mental Health Online</w:t>
      </w:r>
      <w:r w:rsidR="00E5312B">
        <w:rPr>
          <w:rFonts w:asciiTheme="minorHAnsi" w:hAnsiTheme="minorHAnsi" w:cstheme="minorHAnsi"/>
          <w:sz w:val="21"/>
          <w:szCs w:val="21"/>
        </w:rPr>
        <w:t>.</w:t>
      </w:r>
      <w:r w:rsidR="00D807B8">
        <w:rPr>
          <w:rFonts w:asciiTheme="minorHAnsi" w:hAnsiTheme="minorHAnsi" w:cstheme="minorHAnsi"/>
          <w:sz w:val="21"/>
          <w:szCs w:val="21"/>
        </w:rPr>
        <w:t xml:space="preserve"> These findings suggest </w:t>
      </w:r>
      <w:r w:rsidR="006B254F">
        <w:rPr>
          <w:rFonts w:asciiTheme="minorHAnsi" w:hAnsiTheme="minorHAnsi" w:cstheme="minorHAnsi"/>
          <w:sz w:val="21"/>
          <w:szCs w:val="21"/>
        </w:rPr>
        <w:t>there is a place for all three communication modalities offered</w:t>
      </w:r>
      <w:r w:rsidR="00107371">
        <w:rPr>
          <w:rFonts w:asciiTheme="minorHAnsi" w:hAnsiTheme="minorHAnsi" w:cstheme="minorHAnsi"/>
          <w:sz w:val="21"/>
          <w:szCs w:val="21"/>
        </w:rPr>
        <w:t xml:space="preserve"> – </w:t>
      </w:r>
      <w:r w:rsidR="006B254F">
        <w:rPr>
          <w:rFonts w:asciiTheme="minorHAnsi" w:hAnsiTheme="minorHAnsi" w:cstheme="minorHAnsi"/>
          <w:sz w:val="21"/>
          <w:szCs w:val="21"/>
        </w:rPr>
        <w:t xml:space="preserve">email, </w:t>
      </w:r>
      <w:proofErr w:type="gramStart"/>
      <w:r w:rsidR="006B254F">
        <w:rPr>
          <w:rFonts w:asciiTheme="minorHAnsi" w:hAnsiTheme="minorHAnsi" w:cstheme="minorHAnsi"/>
          <w:sz w:val="21"/>
          <w:szCs w:val="21"/>
        </w:rPr>
        <w:t>video</w:t>
      </w:r>
      <w:proofErr w:type="gramEnd"/>
      <w:r w:rsidR="006B254F">
        <w:rPr>
          <w:rFonts w:asciiTheme="minorHAnsi" w:hAnsiTheme="minorHAnsi" w:cstheme="minorHAnsi"/>
          <w:sz w:val="21"/>
          <w:szCs w:val="21"/>
        </w:rPr>
        <w:t xml:space="preserve"> and instant chat</w:t>
      </w:r>
      <w:r w:rsidR="00D807B8">
        <w:rPr>
          <w:rFonts w:asciiTheme="minorHAnsi" w:hAnsiTheme="minorHAnsi" w:cstheme="minorHAnsi"/>
          <w:sz w:val="21"/>
          <w:szCs w:val="21"/>
        </w:rPr>
        <w:t>.</w:t>
      </w:r>
    </w:p>
    <w:p w14:paraId="65D1F23D" w14:textId="03518C8F" w:rsidR="008C7EEC" w:rsidRDefault="00050B12" w:rsidP="003D1CA1">
      <w:pPr>
        <w:pStyle w:val="tableheading"/>
      </w:pPr>
      <w:r>
        <w:t xml:space="preserve">Table </w:t>
      </w:r>
      <w:r w:rsidR="004C2B2D">
        <w:t>1</w:t>
      </w:r>
      <w:r w:rsidR="00CD71BB">
        <w:t>6</w:t>
      </w:r>
      <w:r>
        <w:t>. C</w:t>
      </w:r>
      <w:r w:rsidR="00E5312B">
        <w:t xml:space="preserve">onsumer experiences </w:t>
      </w:r>
      <w:r>
        <w:t>of different therapist communication modalities</w:t>
      </w:r>
    </w:p>
    <w:tbl>
      <w:tblPr>
        <w:tblStyle w:val="TableGrid"/>
        <w:tblW w:w="5000" w:type="pct"/>
        <w:tblBorders>
          <w:insideV w:val="none" w:sz="0" w:space="0" w:color="auto"/>
        </w:tblBorders>
        <w:tblLook w:val="04A0" w:firstRow="1" w:lastRow="0" w:firstColumn="1" w:lastColumn="0" w:noHBand="0" w:noVBand="1"/>
        <w:tblCaption w:val="Table 16. Consumer experiences of different therapist communication modalities"/>
        <w:tblDescription w:val="Table provide insights into the three therapist communication modalities offered by Mental Health Online, including email, video and instant chat"/>
      </w:tblPr>
      <w:tblGrid>
        <w:gridCol w:w="941"/>
        <w:gridCol w:w="2882"/>
        <w:gridCol w:w="5193"/>
      </w:tblGrid>
      <w:tr w:rsidR="007A18E7" w:rsidRPr="007A18E7" w14:paraId="7113706E" w14:textId="77777777" w:rsidTr="00BB320E">
        <w:tc>
          <w:tcPr>
            <w:tcW w:w="522" w:type="pct"/>
            <w:shd w:val="clear" w:color="auto" w:fill="000000" w:themeFill="text1"/>
          </w:tcPr>
          <w:p w14:paraId="45C5DB3D" w14:textId="7B51CB68" w:rsidR="009C3188" w:rsidRPr="007A18E7" w:rsidRDefault="00B22E4A" w:rsidP="003D59A5">
            <w:pPr>
              <w:pStyle w:val="ANorm"/>
              <w:rPr>
                <w:color w:val="FFFFFF" w:themeColor="background1"/>
                <w:sz w:val="18"/>
                <w:szCs w:val="18"/>
              </w:rPr>
            </w:pPr>
            <w:r w:rsidRPr="007A18E7">
              <w:rPr>
                <w:color w:val="FFFFFF" w:themeColor="background1"/>
                <w:sz w:val="18"/>
                <w:szCs w:val="18"/>
              </w:rPr>
              <w:t>Modality</w:t>
            </w:r>
          </w:p>
        </w:tc>
        <w:tc>
          <w:tcPr>
            <w:tcW w:w="1598" w:type="pct"/>
            <w:shd w:val="clear" w:color="auto" w:fill="000000" w:themeFill="text1"/>
          </w:tcPr>
          <w:p w14:paraId="52788881" w14:textId="6EB36512" w:rsidR="009C3188" w:rsidRPr="007A18E7" w:rsidRDefault="00B22E4A" w:rsidP="003D59A5">
            <w:pPr>
              <w:pStyle w:val="ANorm"/>
              <w:jc w:val="center"/>
              <w:rPr>
                <w:color w:val="FFFFFF" w:themeColor="background1"/>
                <w:sz w:val="18"/>
                <w:szCs w:val="18"/>
              </w:rPr>
            </w:pPr>
            <w:r w:rsidRPr="007A18E7">
              <w:rPr>
                <w:color w:val="FFFFFF" w:themeColor="background1"/>
                <w:sz w:val="18"/>
                <w:szCs w:val="18"/>
              </w:rPr>
              <w:t>Characteristics</w:t>
            </w:r>
          </w:p>
        </w:tc>
        <w:tc>
          <w:tcPr>
            <w:tcW w:w="2880" w:type="pct"/>
            <w:shd w:val="clear" w:color="auto" w:fill="000000" w:themeFill="text1"/>
          </w:tcPr>
          <w:p w14:paraId="7519926E" w14:textId="4C5085F2" w:rsidR="009C3188" w:rsidRPr="007A18E7" w:rsidRDefault="00B22E4A" w:rsidP="003D59A5">
            <w:pPr>
              <w:pStyle w:val="ANorm"/>
              <w:jc w:val="center"/>
              <w:rPr>
                <w:color w:val="FFFFFF" w:themeColor="background1"/>
                <w:sz w:val="18"/>
                <w:szCs w:val="18"/>
              </w:rPr>
            </w:pPr>
            <w:r w:rsidRPr="007A18E7">
              <w:rPr>
                <w:color w:val="FFFFFF" w:themeColor="background1"/>
                <w:sz w:val="18"/>
                <w:szCs w:val="18"/>
              </w:rPr>
              <w:t>Functions</w:t>
            </w:r>
          </w:p>
        </w:tc>
      </w:tr>
      <w:tr w:rsidR="00B22E4A" w:rsidRPr="00B22E4A" w14:paraId="05DE7E13" w14:textId="77777777" w:rsidTr="00BB320E">
        <w:tc>
          <w:tcPr>
            <w:tcW w:w="522" w:type="pct"/>
          </w:tcPr>
          <w:p w14:paraId="11CD3083" w14:textId="7A2814C9" w:rsidR="00B22E4A" w:rsidRPr="00B22E4A" w:rsidRDefault="00B22E4A" w:rsidP="003D59A5">
            <w:pPr>
              <w:pStyle w:val="ANorm"/>
              <w:rPr>
                <w:sz w:val="18"/>
                <w:szCs w:val="18"/>
              </w:rPr>
            </w:pPr>
            <w:r w:rsidRPr="00B22E4A">
              <w:rPr>
                <w:sz w:val="18"/>
                <w:szCs w:val="18"/>
              </w:rPr>
              <w:t xml:space="preserve">Email </w:t>
            </w:r>
          </w:p>
        </w:tc>
        <w:tc>
          <w:tcPr>
            <w:tcW w:w="1598" w:type="pct"/>
          </w:tcPr>
          <w:p w14:paraId="1912F693" w14:textId="4A582A19" w:rsidR="00B22E4A" w:rsidRPr="00B22E4A" w:rsidRDefault="00B22E4A" w:rsidP="003D59A5">
            <w:pPr>
              <w:pStyle w:val="ANorm"/>
              <w:numPr>
                <w:ilvl w:val="0"/>
                <w:numId w:val="8"/>
              </w:numPr>
              <w:ind w:left="176" w:hanging="176"/>
              <w:rPr>
                <w:sz w:val="18"/>
                <w:szCs w:val="18"/>
              </w:rPr>
            </w:pPr>
            <w:r w:rsidRPr="00B22E4A">
              <w:rPr>
                <w:sz w:val="18"/>
                <w:szCs w:val="18"/>
              </w:rPr>
              <w:t xml:space="preserve">more structured, </w:t>
            </w:r>
            <w:proofErr w:type="gramStart"/>
            <w:r w:rsidRPr="00B22E4A">
              <w:rPr>
                <w:sz w:val="18"/>
                <w:szCs w:val="18"/>
              </w:rPr>
              <w:t>permanent</w:t>
            </w:r>
            <w:proofErr w:type="gramEnd"/>
            <w:r w:rsidRPr="00B22E4A">
              <w:rPr>
                <w:sz w:val="18"/>
                <w:szCs w:val="18"/>
              </w:rPr>
              <w:t xml:space="preserve"> and informational</w:t>
            </w:r>
          </w:p>
          <w:p w14:paraId="570BEB5E" w14:textId="39DEFFAB" w:rsidR="00B22E4A" w:rsidRPr="00B22E4A" w:rsidRDefault="00B22E4A" w:rsidP="003D59A5">
            <w:pPr>
              <w:pStyle w:val="ANorm"/>
              <w:numPr>
                <w:ilvl w:val="0"/>
                <w:numId w:val="8"/>
              </w:numPr>
              <w:ind w:left="176" w:hanging="176"/>
              <w:rPr>
                <w:sz w:val="18"/>
                <w:szCs w:val="18"/>
              </w:rPr>
            </w:pPr>
            <w:r w:rsidRPr="00B22E4A">
              <w:rPr>
                <w:sz w:val="18"/>
                <w:szCs w:val="18"/>
              </w:rPr>
              <w:t>offers more of a sense of control and predictability</w:t>
            </w:r>
            <w:r w:rsidR="007D1D25">
              <w:rPr>
                <w:sz w:val="18"/>
                <w:szCs w:val="18"/>
              </w:rPr>
              <w:t>,</w:t>
            </w:r>
            <w:r w:rsidRPr="00B22E4A">
              <w:rPr>
                <w:sz w:val="18"/>
                <w:szCs w:val="18"/>
              </w:rPr>
              <w:t xml:space="preserve"> more time to reflect, consider and apply skills and suggestions</w:t>
            </w:r>
          </w:p>
          <w:p w14:paraId="07CAD182" w14:textId="5B465FD2" w:rsidR="00B22E4A" w:rsidRPr="00B22E4A" w:rsidRDefault="00B22E4A" w:rsidP="003D59A5">
            <w:pPr>
              <w:pStyle w:val="ANorm"/>
              <w:numPr>
                <w:ilvl w:val="0"/>
                <w:numId w:val="8"/>
              </w:numPr>
              <w:ind w:left="176" w:hanging="176"/>
              <w:rPr>
                <w:sz w:val="18"/>
                <w:szCs w:val="18"/>
              </w:rPr>
            </w:pPr>
            <w:r w:rsidRPr="00B22E4A">
              <w:rPr>
                <w:sz w:val="18"/>
                <w:szCs w:val="18"/>
              </w:rPr>
              <w:t>supports detailed self-disclosure for some (e.g., trauma)</w:t>
            </w:r>
          </w:p>
        </w:tc>
        <w:tc>
          <w:tcPr>
            <w:tcW w:w="2880" w:type="pct"/>
          </w:tcPr>
          <w:p w14:paraId="371CB2FC" w14:textId="2F3644CC" w:rsidR="00B22E4A" w:rsidRPr="00B22E4A" w:rsidRDefault="00B22E4A" w:rsidP="003D59A5">
            <w:pPr>
              <w:pStyle w:val="ANorm"/>
              <w:numPr>
                <w:ilvl w:val="0"/>
                <w:numId w:val="8"/>
              </w:numPr>
              <w:ind w:left="176" w:hanging="176"/>
              <w:rPr>
                <w:sz w:val="18"/>
                <w:szCs w:val="18"/>
              </w:rPr>
            </w:pPr>
            <w:r w:rsidRPr="00B22E4A">
              <w:rPr>
                <w:sz w:val="18"/>
                <w:szCs w:val="18"/>
              </w:rPr>
              <w:t>a starting place to build comfort towards live communication methods</w:t>
            </w:r>
          </w:p>
          <w:p w14:paraId="630B4669" w14:textId="487D8C66" w:rsidR="00B22E4A" w:rsidRPr="00B22E4A" w:rsidRDefault="00B22E4A" w:rsidP="003D59A5">
            <w:pPr>
              <w:pStyle w:val="ANorm"/>
              <w:numPr>
                <w:ilvl w:val="0"/>
                <w:numId w:val="8"/>
              </w:numPr>
              <w:ind w:left="176" w:hanging="176"/>
              <w:rPr>
                <w:sz w:val="18"/>
                <w:szCs w:val="18"/>
              </w:rPr>
            </w:pPr>
            <w:r w:rsidRPr="00B22E4A">
              <w:rPr>
                <w:sz w:val="18"/>
                <w:szCs w:val="18"/>
              </w:rPr>
              <w:t>opportunities to think, reflect and apply skills and suggestions from module content and therapist suggestions</w:t>
            </w:r>
          </w:p>
          <w:p w14:paraId="42991451" w14:textId="314E1E42" w:rsidR="00B22E4A" w:rsidRPr="00B22E4A" w:rsidRDefault="00B22E4A" w:rsidP="003D59A5">
            <w:pPr>
              <w:pStyle w:val="ANorm"/>
              <w:numPr>
                <w:ilvl w:val="0"/>
                <w:numId w:val="8"/>
              </w:numPr>
              <w:ind w:left="176" w:hanging="176"/>
              <w:rPr>
                <w:sz w:val="18"/>
                <w:szCs w:val="18"/>
              </w:rPr>
            </w:pPr>
            <w:r w:rsidRPr="00B22E4A">
              <w:rPr>
                <w:sz w:val="18"/>
                <w:szCs w:val="18"/>
              </w:rPr>
              <w:t>the provision of information and detail (which is available for thorough and repeat viewing)</w:t>
            </w:r>
          </w:p>
          <w:p w14:paraId="05AD5008" w14:textId="1800CEB4" w:rsidR="00B22E4A" w:rsidRPr="00B22E4A" w:rsidRDefault="00B22E4A" w:rsidP="003D59A5">
            <w:pPr>
              <w:pStyle w:val="ANorm"/>
              <w:numPr>
                <w:ilvl w:val="0"/>
                <w:numId w:val="8"/>
              </w:numPr>
              <w:ind w:left="176" w:hanging="176"/>
              <w:rPr>
                <w:sz w:val="18"/>
                <w:szCs w:val="18"/>
              </w:rPr>
            </w:pPr>
            <w:r w:rsidRPr="00B22E4A">
              <w:rPr>
                <w:sz w:val="18"/>
                <w:szCs w:val="18"/>
              </w:rPr>
              <w:t>sharing of uncomfortable information</w:t>
            </w:r>
          </w:p>
          <w:p w14:paraId="64E3E5E5" w14:textId="7F728955" w:rsidR="00B22E4A" w:rsidRPr="00B22E4A" w:rsidRDefault="00B22E4A" w:rsidP="003D59A5">
            <w:pPr>
              <w:pStyle w:val="ANorm"/>
              <w:numPr>
                <w:ilvl w:val="0"/>
                <w:numId w:val="8"/>
              </w:numPr>
              <w:ind w:left="176" w:hanging="176"/>
              <w:rPr>
                <w:sz w:val="18"/>
                <w:szCs w:val="18"/>
              </w:rPr>
            </w:pPr>
            <w:r w:rsidRPr="00B22E4A">
              <w:rPr>
                <w:sz w:val="18"/>
                <w:szCs w:val="18"/>
              </w:rPr>
              <w:t>the opportunity to check in and make minor adjustments between live sessions</w:t>
            </w:r>
          </w:p>
          <w:p w14:paraId="0AD41962" w14:textId="1D9E24F6" w:rsidR="00B22E4A" w:rsidRPr="00B22E4A" w:rsidRDefault="00B22E4A" w:rsidP="003D59A5">
            <w:pPr>
              <w:pStyle w:val="ANorm"/>
              <w:numPr>
                <w:ilvl w:val="0"/>
                <w:numId w:val="8"/>
              </w:numPr>
              <w:ind w:left="176" w:hanging="176"/>
              <w:rPr>
                <w:sz w:val="18"/>
                <w:szCs w:val="18"/>
              </w:rPr>
            </w:pPr>
            <w:r w:rsidRPr="00B22E4A">
              <w:rPr>
                <w:sz w:val="18"/>
                <w:szCs w:val="18"/>
              </w:rPr>
              <w:t>providing reminders for engagement</w:t>
            </w:r>
          </w:p>
        </w:tc>
      </w:tr>
      <w:tr w:rsidR="00B22E4A" w:rsidRPr="00B22E4A" w14:paraId="6C07B08B" w14:textId="77777777" w:rsidTr="00BB320E">
        <w:tc>
          <w:tcPr>
            <w:tcW w:w="522" w:type="pct"/>
          </w:tcPr>
          <w:p w14:paraId="43975E97" w14:textId="6EB26D8F" w:rsidR="00B22E4A" w:rsidRPr="00B22E4A" w:rsidRDefault="00B22E4A" w:rsidP="003D59A5">
            <w:pPr>
              <w:pStyle w:val="ANorm"/>
              <w:rPr>
                <w:sz w:val="18"/>
                <w:szCs w:val="18"/>
              </w:rPr>
            </w:pPr>
            <w:r w:rsidRPr="00B22E4A">
              <w:rPr>
                <w:sz w:val="18"/>
                <w:szCs w:val="18"/>
              </w:rPr>
              <w:t xml:space="preserve">Video </w:t>
            </w:r>
          </w:p>
        </w:tc>
        <w:tc>
          <w:tcPr>
            <w:tcW w:w="1598" w:type="pct"/>
          </w:tcPr>
          <w:p w14:paraId="70F7FE3D" w14:textId="7B5EE2F2" w:rsidR="00B22E4A" w:rsidRPr="00B22E4A" w:rsidRDefault="00B22E4A" w:rsidP="003D59A5">
            <w:pPr>
              <w:pStyle w:val="ANorm"/>
              <w:numPr>
                <w:ilvl w:val="0"/>
                <w:numId w:val="8"/>
              </w:numPr>
              <w:ind w:left="176" w:hanging="176"/>
              <w:rPr>
                <w:sz w:val="18"/>
                <w:szCs w:val="18"/>
              </w:rPr>
            </w:pPr>
            <w:r w:rsidRPr="00B22E4A">
              <w:rPr>
                <w:sz w:val="18"/>
                <w:szCs w:val="18"/>
              </w:rPr>
              <w:t>more human and dynamic</w:t>
            </w:r>
          </w:p>
          <w:p w14:paraId="74E16005" w14:textId="52D328F4" w:rsidR="00B22E4A" w:rsidRPr="00B22E4A" w:rsidRDefault="00B22E4A" w:rsidP="003D59A5">
            <w:pPr>
              <w:pStyle w:val="ANorm"/>
              <w:numPr>
                <w:ilvl w:val="0"/>
                <w:numId w:val="8"/>
              </w:numPr>
              <w:ind w:left="176" w:hanging="176"/>
              <w:rPr>
                <w:sz w:val="18"/>
                <w:szCs w:val="18"/>
              </w:rPr>
            </w:pPr>
            <w:r w:rsidRPr="00B22E4A">
              <w:rPr>
                <w:sz w:val="18"/>
                <w:szCs w:val="18"/>
              </w:rPr>
              <w:t xml:space="preserve">focus on relationship, connection, and real-time interaction </w:t>
            </w:r>
          </w:p>
          <w:p w14:paraId="052D9562" w14:textId="18FE4062" w:rsidR="00B22E4A" w:rsidRPr="00B22E4A" w:rsidRDefault="00B22E4A" w:rsidP="003D59A5">
            <w:pPr>
              <w:pStyle w:val="ANorm"/>
              <w:numPr>
                <w:ilvl w:val="0"/>
                <w:numId w:val="8"/>
              </w:numPr>
              <w:ind w:left="176" w:hanging="176"/>
              <w:rPr>
                <w:sz w:val="18"/>
                <w:szCs w:val="18"/>
              </w:rPr>
            </w:pPr>
            <w:r w:rsidRPr="00B22E4A">
              <w:rPr>
                <w:sz w:val="18"/>
                <w:szCs w:val="18"/>
              </w:rPr>
              <w:t xml:space="preserve">more immediate (less time to think/consider/reflect) </w:t>
            </w:r>
          </w:p>
          <w:p w14:paraId="2114AFD5" w14:textId="1BA5F025" w:rsidR="00B22E4A" w:rsidRPr="00B22E4A" w:rsidRDefault="00B22E4A" w:rsidP="003D59A5">
            <w:pPr>
              <w:pStyle w:val="ANorm"/>
              <w:numPr>
                <w:ilvl w:val="0"/>
                <w:numId w:val="8"/>
              </w:numPr>
              <w:ind w:left="176" w:hanging="176"/>
              <w:rPr>
                <w:sz w:val="18"/>
                <w:szCs w:val="18"/>
              </w:rPr>
            </w:pPr>
            <w:r w:rsidRPr="00B22E4A">
              <w:rPr>
                <w:sz w:val="18"/>
                <w:szCs w:val="18"/>
              </w:rPr>
              <w:t>less predictable; opportunities to address issues as they come up</w:t>
            </w:r>
          </w:p>
        </w:tc>
        <w:tc>
          <w:tcPr>
            <w:tcW w:w="2880" w:type="pct"/>
          </w:tcPr>
          <w:p w14:paraId="787ECCC5" w14:textId="77777777" w:rsidR="00B22E4A" w:rsidRPr="008C7EEC" w:rsidRDefault="00B22E4A" w:rsidP="003D59A5">
            <w:pPr>
              <w:pStyle w:val="ANorm"/>
              <w:numPr>
                <w:ilvl w:val="0"/>
                <w:numId w:val="8"/>
              </w:numPr>
              <w:ind w:left="176" w:hanging="176"/>
              <w:rPr>
                <w:sz w:val="18"/>
                <w:szCs w:val="18"/>
              </w:rPr>
            </w:pPr>
            <w:r w:rsidRPr="008C7EEC">
              <w:rPr>
                <w:sz w:val="18"/>
                <w:szCs w:val="18"/>
              </w:rPr>
              <w:t>relationship and trust building</w:t>
            </w:r>
          </w:p>
          <w:p w14:paraId="33828F30" w14:textId="77777777" w:rsidR="00B22E4A" w:rsidRPr="008C7EEC" w:rsidRDefault="00B22E4A" w:rsidP="003D59A5">
            <w:pPr>
              <w:pStyle w:val="ANorm"/>
              <w:numPr>
                <w:ilvl w:val="0"/>
                <w:numId w:val="8"/>
              </w:numPr>
              <w:ind w:left="176" w:hanging="176"/>
              <w:rPr>
                <w:sz w:val="18"/>
                <w:szCs w:val="18"/>
              </w:rPr>
            </w:pPr>
            <w:r w:rsidRPr="008C7EEC">
              <w:rPr>
                <w:sz w:val="18"/>
                <w:szCs w:val="18"/>
              </w:rPr>
              <w:t xml:space="preserve">real-time discussion, exploration and problem solving </w:t>
            </w:r>
          </w:p>
          <w:p w14:paraId="32BBF463" w14:textId="77777777" w:rsidR="00B22E4A" w:rsidRPr="008C7EEC" w:rsidRDefault="00B22E4A" w:rsidP="003D59A5">
            <w:pPr>
              <w:pStyle w:val="ANorm"/>
              <w:numPr>
                <w:ilvl w:val="0"/>
                <w:numId w:val="8"/>
              </w:numPr>
              <w:ind w:left="176" w:hanging="176"/>
              <w:rPr>
                <w:sz w:val="18"/>
                <w:szCs w:val="18"/>
              </w:rPr>
            </w:pPr>
            <w:r w:rsidRPr="008C7EEC">
              <w:rPr>
                <w:sz w:val="18"/>
                <w:szCs w:val="18"/>
              </w:rPr>
              <w:t>working together</w:t>
            </w:r>
          </w:p>
          <w:p w14:paraId="6F9B4C89" w14:textId="77777777" w:rsidR="00B22E4A" w:rsidRPr="008C7EEC" w:rsidRDefault="00B22E4A" w:rsidP="003D59A5">
            <w:pPr>
              <w:pStyle w:val="ANorm"/>
              <w:numPr>
                <w:ilvl w:val="0"/>
                <w:numId w:val="8"/>
              </w:numPr>
              <w:ind w:left="176" w:hanging="176"/>
              <w:rPr>
                <w:sz w:val="18"/>
                <w:szCs w:val="18"/>
              </w:rPr>
            </w:pPr>
            <w:r w:rsidRPr="008C7EEC">
              <w:rPr>
                <w:sz w:val="18"/>
                <w:szCs w:val="18"/>
              </w:rPr>
              <w:t>planning</w:t>
            </w:r>
          </w:p>
          <w:p w14:paraId="31AA4437" w14:textId="33D4040E" w:rsidR="00B22E4A" w:rsidRPr="00B22E4A" w:rsidRDefault="00B22E4A" w:rsidP="003D59A5">
            <w:pPr>
              <w:pStyle w:val="ANorm"/>
              <w:numPr>
                <w:ilvl w:val="0"/>
                <w:numId w:val="8"/>
              </w:numPr>
              <w:ind w:left="176" w:hanging="176"/>
              <w:rPr>
                <w:sz w:val="18"/>
                <w:szCs w:val="18"/>
              </w:rPr>
            </w:pPr>
            <w:r w:rsidRPr="008C7EEC">
              <w:rPr>
                <w:sz w:val="18"/>
                <w:szCs w:val="18"/>
              </w:rPr>
              <w:t>positive reinforcement</w:t>
            </w:r>
          </w:p>
        </w:tc>
      </w:tr>
      <w:tr w:rsidR="00B22E4A" w:rsidRPr="00B22E4A" w14:paraId="78D0AC7A" w14:textId="77777777" w:rsidTr="00BB320E">
        <w:tc>
          <w:tcPr>
            <w:tcW w:w="522" w:type="pct"/>
          </w:tcPr>
          <w:p w14:paraId="7E0CB808" w14:textId="6ECB700A" w:rsidR="00B22E4A" w:rsidRPr="00B22E4A" w:rsidRDefault="00B22E4A" w:rsidP="003D59A5">
            <w:pPr>
              <w:pStyle w:val="ANorm"/>
              <w:rPr>
                <w:sz w:val="18"/>
                <w:szCs w:val="18"/>
              </w:rPr>
            </w:pPr>
            <w:r w:rsidRPr="00B22E4A">
              <w:rPr>
                <w:sz w:val="18"/>
                <w:szCs w:val="18"/>
              </w:rPr>
              <w:t xml:space="preserve">Instant </w:t>
            </w:r>
            <w:r>
              <w:rPr>
                <w:sz w:val="18"/>
                <w:szCs w:val="18"/>
              </w:rPr>
              <w:t>c</w:t>
            </w:r>
            <w:r w:rsidRPr="00B22E4A">
              <w:rPr>
                <w:sz w:val="18"/>
                <w:szCs w:val="18"/>
              </w:rPr>
              <w:t xml:space="preserve">hat </w:t>
            </w:r>
          </w:p>
        </w:tc>
        <w:tc>
          <w:tcPr>
            <w:tcW w:w="1598" w:type="pct"/>
          </w:tcPr>
          <w:p w14:paraId="106A804B" w14:textId="77777777" w:rsidR="00B22E4A" w:rsidRPr="008C7EEC" w:rsidRDefault="00B22E4A" w:rsidP="003D59A5">
            <w:pPr>
              <w:pStyle w:val="ANorm"/>
              <w:numPr>
                <w:ilvl w:val="0"/>
                <w:numId w:val="8"/>
              </w:numPr>
              <w:ind w:left="176" w:hanging="176"/>
              <w:rPr>
                <w:sz w:val="18"/>
                <w:szCs w:val="18"/>
              </w:rPr>
            </w:pPr>
            <w:r w:rsidRPr="008C7EEC">
              <w:rPr>
                <w:sz w:val="18"/>
                <w:szCs w:val="18"/>
              </w:rPr>
              <w:t xml:space="preserve">characteristics </w:t>
            </w:r>
            <w:proofErr w:type="gramStart"/>
            <w:r w:rsidRPr="008C7EEC">
              <w:rPr>
                <w:sz w:val="18"/>
                <w:szCs w:val="18"/>
              </w:rPr>
              <w:t>similar to</w:t>
            </w:r>
            <w:proofErr w:type="gramEnd"/>
            <w:r w:rsidRPr="008C7EEC">
              <w:rPr>
                <w:sz w:val="18"/>
                <w:szCs w:val="18"/>
              </w:rPr>
              <w:t xml:space="preserve"> video </w:t>
            </w:r>
          </w:p>
          <w:p w14:paraId="48FD0EB4" w14:textId="7DDFCDCE" w:rsidR="00B22E4A" w:rsidRPr="00B22E4A" w:rsidRDefault="00B22E4A" w:rsidP="003D59A5">
            <w:pPr>
              <w:pStyle w:val="ANorm"/>
              <w:numPr>
                <w:ilvl w:val="0"/>
                <w:numId w:val="8"/>
              </w:numPr>
              <w:ind w:left="176" w:hanging="176"/>
              <w:rPr>
                <w:sz w:val="18"/>
                <w:szCs w:val="18"/>
              </w:rPr>
            </w:pPr>
            <w:r w:rsidRPr="008C7EEC">
              <w:rPr>
                <w:sz w:val="18"/>
                <w:szCs w:val="18"/>
              </w:rPr>
              <w:t xml:space="preserve">provides </w:t>
            </w:r>
            <w:r w:rsidR="009C2A56">
              <w:rPr>
                <w:sz w:val="18"/>
                <w:szCs w:val="18"/>
              </w:rPr>
              <w:t xml:space="preserve">a </w:t>
            </w:r>
            <w:r w:rsidRPr="008C7EEC">
              <w:rPr>
                <w:sz w:val="18"/>
                <w:szCs w:val="18"/>
              </w:rPr>
              <w:t>sense of psychological distance</w:t>
            </w:r>
          </w:p>
        </w:tc>
        <w:tc>
          <w:tcPr>
            <w:tcW w:w="2880" w:type="pct"/>
          </w:tcPr>
          <w:p w14:paraId="4697307E" w14:textId="77777777" w:rsidR="00B22E4A" w:rsidRPr="008C7EEC" w:rsidRDefault="00B22E4A" w:rsidP="003D59A5">
            <w:pPr>
              <w:pStyle w:val="ANorm"/>
              <w:numPr>
                <w:ilvl w:val="0"/>
                <w:numId w:val="8"/>
              </w:numPr>
              <w:ind w:left="176" w:hanging="176"/>
              <w:rPr>
                <w:sz w:val="18"/>
                <w:szCs w:val="18"/>
              </w:rPr>
            </w:pPr>
            <w:r w:rsidRPr="008C7EEC">
              <w:rPr>
                <w:sz w:val="18"/>
                <w:szCs w:val="18"/>
              </w:rPr>
              <w:t xml:space="preserve">roles </w:t>
            </w:r>
            <w:proofErr w:type="gramStart"/>
            <w:r w:rsidRPr="008C7EEC">
              <w:rPr>
                <w:sz w:val="18"/>
                <w:szCs w:val="18"/>
              </w:rPr>
              <w:t>similar to</w:t>
            </w:r>
            <w:proofErr w:type="gramEnd"/>
            <w:r w:rsidRPr="008C7EEC">
              <w:rPr>
                <w:sz w:val="18"/>
                <w:szCs w:val="18"/>
              </w:rPr>
              <w:t xml:space="preserve"> video</w:t>
            </w:r>
          </w:p>
          <w:p w14:paraId="2F29FCB6" w14:textId="312C3954" w:rsidR="00B22E4A" w:rsidRPr="00B22E4A" w:rsidRDefault="00B22E4A" w:rsidP="003D59A5">
            <w:pPr>
              <w:pStyle w:val="ANorm"/>
              <w:numPr>
                <w:ilvl w:val="0"/>
                <w:numId w:val="8"/>
              </w:numPr>
              <w:ind w:left="176" w:hanging="176"/>
              <w:rPr>
                <w:sz w:val="18"/>
                <w:szCs w:val="18"/>
              </w:rPr>
            </w:pPr>
            <w:r w:rsidRPr="008C7EEC">
              <w:rPr>
                <w:sz w:val="18"/>
                <w:szCs w:val="18"/>
              </w:rPr>
              <w:t>further stepping-stone towards video communication</w:t>
            </w:r>
          </w:p>
        </w:tc>
      </w:tr>
    </w:tbl>
    <w:p w14:paraId="643BB18C" w14:textId="59163D6C" w:rsidR="006B254F" w:rsidRPr="003D1CA1" w:rsidRDefault="006B254F" w:rsidP="006479F9">
      <w:pPr>
        <w:spacing w:after="200"/>
        <w:rPr>
          <w:rFonts w:asciiTheme="minorHAnsi" w:hAnsiTheme="minorHAnsi" w:cstheme="minorHAnsi"/>
          <w:sz w:val="16"/>
          <w:szCs w:val="16"/>
        </w:rPr>
      </w:pPr>
      <w:r w:rsidRPr="006B254F">
        <w:rPr>
          <w:rFonts w:asciiTheme="minorHAnsi" w:hAnsiTheme="minorHAnsi" w:cstheme="minorHAnsi"/>
          <w:sz w:val="16"/>
          <w:szCs w:val="16"/>
        </w:rPr>
        <w:t xml:space="preserve">Source: </w:t>
      </w:r>
      <w:r w:rsidR="001E4279" w:rsidRPr="001E4279">
        <w:rPr>
          <w:rFonts w:asciiTheme="minorHAnsi" w:hAnsiTheme="minorHAnsi" w:cstheme="minorHAnsi"/>
          <w:sz w:val="16"/>
          <w:szCs w:val="16"/>
        </w:rPr>
        <w:t>Mental Health Online Progress Report 20, July</w:t>
      </w:r>
      <w:r w:rsidR="001E4279">
        <w:rPr>
          <w:rFonts w:asciiTheme="minorHAnsi" w:hAnsiTheme="minorHAnsi" w:cstheme="minorHAnsi"/>
          <w:sz w:val="16"/>
          <w:szCs w:val="16"/>
        </w:rPr>
        <w:t xml:space="preserve"> – </w:t>
      </w:r>
      <w:r w:rsidR="001E4279" w:rsidRPr="001E4279">
        <w:rPr>
          <w:rFonts w:asciiTheme="minorHAnsi" w:hAnsiTheme="minorHAnsi" w:cstheme="minorHAnsi"/>
          <w:sz w:val="16"/>
          <w:szCs w:val="16"/>
        </w:rPr>
        <w:t>December 2020.</w:t>
      </w:r>
      <w:r w:rsidR="00B81CB1">
        <w:rPr>
          <w:rFonts w:asciiTheme="minorHAnsi" w:hAnsiTheme="minorHAnsi" w:cstheme="minorHAnsi"/>
          <w:sz w:val="16"/>
          <w:szCs w:val="16"/>
        </w:rPr>
        <w:fldChar w:fldCharType="begin"/>
      </w:r>
      <w:r w:rsidR="004469A2">
        <w:rPr>
          <w:rFonts w:asciiTheme="minorHAnsi" w:hAnsiTheme="minorHAnsi" w:cstheme="minorHAnsi"/>
          <w:sz w:val="16"/>
          <w:szCs w:val="16"/>
        </w:rPr>
        <w:instrText xml:space="preserve"> ADDIN EN.CITE &lt;EndNote&gt;&lt;Cite&gt;&lt;Author&gt;The National eTherapy Centre&lt;/Author&gt;&lt;Year&gt;2021&lt;/Year&gt;&lt;RecNum&gt;134&lt;/RecNum&gt;&lt;DisplayText&gt;&lt;style face="superscript"&gt;63&lt;/style&gt;&lt;/DisplayText&gt;&lt;record&gt;&lt;rec-number&gt;134&lt;/rec-number&gt;&lt;foreign-keys&gt;&lt;key app="EN" db-id="dawtr0zrkrzfa5edzzlpe2we0xa00t90vvr2" timestamp="1650275306"&gt;134&lt;/key&gt;&lt;/foreign-keys&gt;&lt;ref-type name="Report"&gt;27&lt;/ref-type&gt;&lt;contributors&gt;&lt;authors&gt;&lt;author&gt;The National eTherapy Centre,&lt;/author&gt;&lt;/authors&gt;&lt;/contributors&gt;&lt;titles&gt;&lt;title&gt;Mental Health Online Progress Report 20, July - December 2020.&lt;/title&gt;&lt;/titles&gt;&lt;dates&gt;&lt;year&gt;2021&lt;/year&gt;&lt;/dates&gt;&lt;pub-location&gt;Melbourne&lt;/pub-location&gt;&lt;publisher&gt;Swinburne University of Technology&lt;/publisher&gt;&lt;urls&gt;&lt;/urls&gt;&lt;/record&gt;&lt;/Cite&gt;&lt;/EndNote&gt;</w:instrText>
      </w:r>
      <w:r w:rsidR="00B81CB1">
        <w:rPr>
          <w:rFonts w:asciiTheme="minorHAnsi" w:hAnsiTheme="minorHAnsi" w:cstheme="minorHAnsi"/>
          <w:sz w:val="16"/>
          <w:szCs w:val="16"/>
        </w:rPr>
        <w:fldChar w:fldCharType="separate"/>
      </w:r>
      <w:r w:rsidR="004469A2" w:rsidRPr="004469A2">
        <w:rPr>
          <w:rFonts w:asciiTheme="minorHAnsi" w:hAnsiTheme="minorHAnsi" w:cstheme="minorHAnsi"/>
          <w:noProof/>
          <w:sz w:val="16"/>
          <w:szCs w:val="16"/>
          <w:vertAlign w:val="superscript"/>
        </w:rPr>
        <w:t>63</w:t>
      </w:r>
      <w:r w:rsidR="00B81CB1">
        <w:rPr>
          <w:rFonts w:asciiTheme="minorHAnsi" w:hAnsiTheme="minorHAnsi" w:cstheme="minorHAnsi"/>
          <w:sz w:val="16"/>
          <w:szCs w:val="16"/>
        </w:rPr>
        <w:fldChar w:fldCharType="end"/>
      </w:r>
    </w:p>
    <w:p w14:paraId="35383248" w14:textId="11FFA188" w:rsidR="002D0ED7" w:rsidRPr="003D59A5" w:rsidRDefault="00AA6B28" w:rsidP="003D59A5">
      <w:pPr>
        <w:rPr>
          <w:rFonts w:asciiTheme="minorHAnsi" w:hAnsiTheme="minorHAnsi" w:cstheme="minorHAnsi"/>
          <w:sz w:val="21"/>
          <w:szCs w:val="21"/>
        </w:rPr>
      </w:pPr>
      <w:r w:rsidRPr="00C0670D">
        <w:rPr>
          <w:rFonts w:asciiTheme="minorHAnsi" w:hAnsiTheme="minorHAnsi" w:cstheme="minorHAnsi"/>
          <w:sz w:val="21"/>
          <w:szCs w:val="21"/>
        </w:rPr>
        <w:t>In July 2019, Mental Health Online sent a survey to all consumers who had completed the online assessment (</w:t>
      </w:r>
      <w:proofErr w:type="spellStart"/>
      <w:r w:rsidR="00950B07">
        <w:rPr>
          <w:rFonts w:asciiTheme="minorHAnsi" w:hAnsiTheme="minorHAnsi" w:cstheme="minorHAnsi"/>
          <w:sz w:val="21"/>
          <w:szCs w:val="21"/>
        </w:rPr>
        <w:t>ePASS</w:t>
      </w:r>
      <w:proofErr w:type="spellEnd"/>
      <w:r w:rsidRPr="00C0670D">
        <w:rPr>
          <w:rFonts w:asciiTheme="minorHAnsi" w:hAnsiTheme="minorHAnsi" w:cstheme="minorHAnsi"/>
          <w:sz w:val="21"/>
          <w:szCs w:val="21"/>
        </w:rPr>
        <w:t xml:space="preserve">) in the previous 6 months and received responses from 21 consumers. </w:t>
      </w:r>
      <w:r w:rsidR="00D322DC">
        <w:rPr>
          <w:rFonts w:asciiTheme="minorHAnsi" w:hAnsiTheme="minorHAnsi" w:cstheme="minorHAnsi"/>
          <w:sz w:val="21"/>
          <w:szCs w:val="21"/>
        </w:rPr>
        <w:t xml:space="preserve">Twenty of these </w:t>
      </w:r>
      <w:r w:rsidR="009D14F1">
        <w:rPr>
          <w:rFonts w:asciiTheme="minorHAnsi" w:hAnsiTheme="minorHAnsi" w:cstheme="minorHAnsi"/>
          <w:sz w:val="21"/>
          <w:szCs w:val="21"/>
        </w:rPr>
        <w:t xml:space="preserve">21 </w:t>
      </w:r>
      <w:r w:rsidR="00910090">
        <w:rPr>
          <w:rFonts w:asciiTheme="minorHAnsi" w:hAnsiTheme="minorHAnsi" w:cstheme="minorHAnsi"/>
          <w:sz w:val="21"/>
          <w:szCs w:val="21"/>
        </w:rPr>
        <w:t>consumers</w:t>
      </w:r>
      <w:r w:rsidRPr="00C0670D">
        <w:rPr>
          <w:rFonts w:asciiTheme="minorHAnsi" w:hAnsiTheme="minorHAnsi" w:cstheme="minorHAnsi"/>
          <w:sz w:val="21"/>
          <w:szCs w:val="21"/>
        </w:rPr>
        <w:t xml:space="preserve"> reported being satisfied with the assessment system, ranging </w:t>
      </w:r>
      <w:r w:rsidRPr="00910090">
        <w:rPr>
          <w:rFonts w:asciiTheme="minorHAnsi" w:hAnsiTheme="minorHAnsi" w:cstheme="minorHAnsi"/>
          <w:sz w:val="21"/>
          <w:szCs w:val="21"/>
        </w:rPr>
        <w:t xml:space="preserve">from </w:t>
      </w:r>
      <w:r w:rsidR="002E2D8E">
        <w:rPr>
          <w:rFonts w:asciiTheme="minorHAnsi" w:hAnsiTheme="minorHAnsi" w:cstheme="minorHAnsi"/>
          <w:sz w:val="21"/>
          <w:szCs w:val="21"/>
        </w:rPr>
        <w:t>seven</w:t>
      </w:r>
      <w:r w:rsidRPr="00910090">
        <w:rPr>
          <w:rFonts w:asciiTheme="minorHAnsi" w:hAnsiTheme="minorHAnsi" w:cstheme="minorHAnsi"/>
          <w:sz w:val="21"/>
          <w:szCs w:val="21"/>
        </w:rPr>
        <w:t xml:space="preserve"> (33.3%) who were very, </w:t>
      </w:r>
      <w:r w:rsidR="002E2D8E">
        <w:rPr>
          <w:rFonts w:asciiTheme="minorHAnsi" w:hAnsiTheme="minorHAnsi" w:cstheme="minorHAnsi"/>
          <w:sz w:val="21"/>
          <w:szCs w:val="21"/>
        </w:rPr>
        <w:t>nine</w:t>
      </w:r>
      <w:r w:rsidRPr="00910090">
        <w:rPr>
          <w:rFonts w:asciiTheme="minorHAnsi" w:hAnsiTheme="minorHAnsi" w:cstheme="minorHAnsi"/>
          <w:sz w:val="21"/>
          <w:szCs w:val="21"/>
        </w:rPr>
        <w:t xml:space="preserve"> (42.9%) highly</w:t>
      </w:r>
      <w:r w:rsidRPr="00C0670D">
        <w:rPr>
          <w:rFonts w:asciiTheme="minorHAnsi" w:hAnsiTheme="minorHAnsi" w:cstheme="minorHAnsi"/>
          <w:sz w:val="21"/>
          <w:szCs w:val="21"/>
        </w:rPr>
        <w:t xml:space="preserve"> and </w:t>
      </w:r>
      <w:r w:rsidR="002E2D8E">
        <w:rPr>
          <w:rFonts w:asciiTheme="minorHAnsi" w:hAnsiTheme="minorHAnsi" w:cstheme="minorHAnsi"/>
          <w:sz w:val="21"/>
          <w:szCs w:val="21"/>
        </w:rPr>
        <w:t>four</w:t>
      </w:r>
      <w:r w:rsidRPr="00C0670D">
        <w:rPr>
          <w:rFonts w:asciiTheme="minorHAnsi" w:hAnsiTheme="minorHAnsi" w:cstheme="minorHAnsi"/>
          <w:sz w:val="21"/>
          <w:szCs w:val="21"/>
        </w:rPr>
        <w:t xml:space="preserve"> (19%) moderately satisfied. Correspondingly, most (17 or 81%) indicated they would, </w:t>
      </w:r>
      <w:r w:rsidR="002E2D8E">
        <w:rPr>
          <w:rFonts w:asciiTheme="minorHAnsi" w:hAnsiTheme="minorHAnsi" w:cstheme="minorHAnsi"/>
          <w:sz w:val="21"/>
          <w:szCs w:val="21"/>
        </w:rPr>
        <w:t>three</w:t>
      </w:r>
      <w:r w:rsidRPr="00C0670D">
        <w:rPr>
          <w:rFonts w:asciiTheme="minorHAnsi" w:hAnsiTheme="minorHAnsi" w:cstheme="minorHAnsi"/>
          <w:sz w:val="21"/>
          <w:szCs w:val="21"/>
        </w:rPr>
        <w:t xml:space="preserve"> (14.3%) were unsure whether they would, and </w:t>
      </w:r>
      <w:r w:rsidR="002E2D8E">
        <w:rPr>
          <w:rFonts w:asciiTheme="minorHAnsi" w:hAnsiTheme="minorHAnsi" w:cstheme="minorHAnsi"/>
          <w:sz w:val="21"/>
          <w:szCs w:val="21"/>
        </w:rPr>
        <w:t xml:space="preserve">one </w:t>
      </w:r>
      <w:r w:rsidRPr="00C0670D">
        <w:rPr>
          <w:rFonts w:asciiTheme="minorHAnsi" w:hAnsiTheme="minorHAnsi" w:cstheme="minorHAnsi"/>
          <w:sz w:val="21"/>
          <w:szCs w:val="21"/>
        </w:rPr>
        <w:t>(4.7%) would not, recommend the assessment to someone they know. Using a five-star (with 5 indicating the best) rating, 18 (85.7%) consumers gave the overall quality, and 19 (90.5%) the overall credibility, of the assessment system 4 or 5 stars.</w:t>
      </w:r>
      <w:r w:rsidR="002D0ED7">
        <w:br w:type="page"/>
      </w:r>
    </w:p>
    <w:p w14:paraId="61B1AF24" w14:textId="51B07FB0" w:rsidR="00364DC4" w:rsidRPr="003D1CA1" w:rsidRDefault="00364DC4" w:rsidP="005A16C4">
      <w:pPr>
        <w:pStyle w:val="Heading2"/>
        <w:numPr>
          <w:ilvl w:val="1"/>
          <w:numId w:val="165"/>
        </w:numPr>
      </w:pPr>
      <w:bookmarkStart w:id="57" w:name="_Toc108784842"/>
      <w:proofErr w:type="spellStart"/>
      <w:r w:rsidRPr="008370B6">
        <w:lastRenderedPageBreak/>
        <w:t>MindSpot</w:t>
      </w:r>
      <w:proofErr w:type="spellEnd"/>
      <w:r w:rsidR="00E038F7">
        <w:t xml:space="preserve"> outcomes</w:t>
      </w:r>
      <w:bookmarkEnd w:id="57"/>
    </w:p>
    <w:p w14:paraId="3D6F1C32" w14:textId="13EBFD65" w:rsidR="00A72B99" w:rsidRDefault="00543A2B" w:rsidP="006479F9">
      <w:pPr>
        <w:pStyle w:val="ANorm"/>
        <w:spacing w:after="200"/>
      </w:pPr>
      <w:r w:rsidRPr="0058047C">
        <w:t xml:space="preserve">Table </w:t>
      </w:r>
      <w:r w:rsidR="0058047C" w:rsidRPr="0058047C">
        <w:t>1</w:t>
      </w:r>
      <w:r w:rsidR="00CD71BB">
        <w:t>7</w:t>
      </w:r>
      <w:r w:rsidRPr="0058047C">
        <w:t xml:space="preserve"> shows mental health outcomes </w:t>
      </w:r>
      <w:r w:rsidR="00A83A17" w:rsidRPr="0058047C">
        <w:t xml:space="preserve">and functional outcomes </w:t>
      </w:r>
      <w:r w:rsidRPr="0058047C">
        <w:t xml:space="preserve">of </w:t>
      </w:r>
      <w:r w:rsidR="00787B49">
        <w:t xml:space="preserve">therapist-supported </w:t>
      </w:r>
      <w:r w:rsidR="00F27E85">
        <w:t xml:space="preserve">routine </w:t>
      </w:r>
      <w:r w:rsidR="00051582" w:rsidRPr="0058047C">
        <w:t>treatment</w:t>
      </w:r>
      <w:r w:rsidR="00A83A17" w:rsidRPr="0058047C">
        <w:t xml:space="preserve"> produced by </w:t>
      </w:r>
      <w:proofErr w:type="spellStart"/>
      <w:r w:rsidR="00A83A17" w:rsidRPr="0058047C">
        <w:t>MindSpot</w:t>
      </w:r>
      <w:proofErr w:type="spellEnd"/>
      <w:r w:rsidR="00051582" w:rsidRPr="00997844">
        <w:t xml:space="preserve"> for </w:t>
      </w:r>
      <w:r w:rsidR="00997844" w:rsidRPr="00997844">
        <w:t xml:space="preserve">all, and </w:t>
      </w:r>
      <w:r w:rsidR="00051582" w:rsidRPr="00997844">
        <w:t>different subgroups of</w:t>
      </w:r>
      <w:r w:rsidR="00997844" w:rsidRPr="00997844">
        <w:t>,</w:t>
      </w:r>
      <w:r w:rsidR="00051582" w:rsidRPr="00997844">
        <w:t xml:space="preserve"> consumers </w:t>
      </w:r>
      <w:r w:rsidR="00997844" w:rsidRPr="00997844">
        <w:t>over different time</w:t>
      </w:r>
      <w:r w:rsidR="00956B55">
        <w:t xml:space="preserve"> periods</w:t>
      </w:r>
      <w:r w:rsidR="008B3E4C" w:rsidRPr="00997844">
        <w:t>.</w:t>
      </w:r>
    </w:p>
    <w:p w14:paraId="34006AD9" w14:textId="2D799FD6" w:rsidR="00A72B99" w:rsidRDefault="008876D6" w:rsidP="006479F9">
      <w:pPr>
        <w:pStyle w:val="ANorm"/>
        <w:spacing w:after="200"/>
        <w:rPr>
          <w:rFonts w:asciiTheme="minorHAnsi" w:hAnsiTheme="minorHAnsi" w:cstheme="minorHAnsi"/>
        </w:rPr>
      </w:pPr>
      <w:proofErr w:type="spellStart"/>
      <w:r>
        <w:t>MindSpot</w:t>
      </w:r>
      <w:proofErr w:type="spellEnd"/>
      <w:r>
        <w:t xml:space="preserve"> directly provided some data</w:t>
      </w:r>
      <w:r w:rsidR="008D4833" w:rsidRPr="00C0670D">
        <w:rPr>
          <w:rFonts w:asciiTheme="minorHAnsi" w:hAnsiTheme="minorHAnsi" w:cstheme="minorHAnsi"/>
        </w:rPr>
        <w:t xml:space="preserve"> </w:t>
      </w:r>
      <w:r w:rsidR="00D76370">
        <w:rPr>
          <w:rFonts w:asciiTheme="minorHAnsi" w:hAnsiTheme="minorHAnsi" w:cstheme="minorHAnsi"/>
        </w:rPr>
        <w:t>in aggregate form</w:t>
      </w:r>
      <w:r w:rsidR="00246FBB">
        <w:rPr>
          <w:rFonts w:asciiTheme="minorHAnsi" w:hAnsiTheme="minorHAnsi" w:cstheme="minorHAnsi"/>
        </w:rPr>
        <w:t>,</w:t>
      </w:r>
      <w:r w:rsidR="00D76370">
        <w:rPr>
          <w:rFonts w:asciiTheme="minorHAnsi" w:hAnsiTheme="minorHAnsi" w:cstheme="minorHAnsi"/>
        </w:rPr>
        <w:t xml:space="preserve"> </w:t>
      </w:r>
      <w:r w:rsidR="00BD5B6C">
        <w:rPr>
          <w:rFonts w:asciiTheme="minorHAnsi" w:hAnsiTheme="minorHAnsi" w:cstheme="minorHAnsi"/>
        </w:rPr>
        <w:t xml:space="preserve">so we were unable to </w:t>
      </w:r>
      <w:r w:rsidR="007936D1">
        <w:rPr>
          <w:rFonts w:asciiTheme="minorHAnsi" w:hAnsiTheme="minorHAnsi" w:cstheme="minorHAnsi"/>
        </w:rPr>
        <w:t xml:space="preserve">determine baseline scores for the subset of consumers who </w:t>
      </w:r>
      <w:r w:rsidR="00F470B7">
        <w:rPr>
          <w:rFonts w:asciiTheme="minorHAnsi" w:hAnsiTheme="minorHAnsi" w:cstheme="minorHAnsi"/>
        </w:rPr>
        <w:t xml:space="preserve">completed post-treatment assessments. Therefore, these data are included in </w:t>
      </w:r>
      <w:r w:rsidR="006D3B10">
        <w:rPr>
          <w:rFonts w:asciiTheme="minorHAnsi" w:hAnsiTheme="minorHAnsi" w:cstheme="minorHAnsi"/>
        </w:rPr>
        <w:t xml:space="preserve">Table 17 solely to demonstrate trends in mean scores before and after </w:t>
      </w:r>
      <w:r w:rsidR="009B0A63">
        <w:rPr>
          <w:rFonts w:asciiTheme="minorHAnsi" w:hAnsiTheme="minorHAnsi" w:cstheme="minorHAnsi"/>
        </w:rPr>
        <w:t xml:space="preserve">therapist-supported and self-directed </w:t>
      </w:r>
      <w:r w:rsidR="006D3B10">
        <w:rPr>
          <w:rFonts w:asciiTheme="minorHAnsi" w:hAnsiTheme="minorHAnsi" w:cstheme="minorHAnsi"/>
        </w:rPr>
        <w:t xml:space="preserve">treatment </w:t>
      </w:r>
      <w:r w:rsidR="0064653C">
        <w:rPr>
          <w:rFonts w:asciiTheme="minorHAnsi" w:hAnsiTheme="minorHAnsi" w:cstheme="minorHAnsi"/>
        </w:rPr>
        <w:t xml:space="preserve">over the life of </w:t>
      </w:r>
      <w:proofErr w:type="spellStart"/>
      <w:r w:rsidR="0064653C">
        <w:rPr>
          <w:rFonts w:asciiTheme="minorHAnsi" w:hAnsiTheme="minorHAnsi" w:cstheme="minorHAnsi"/>
        </w:rPr>
        <w:t>MindSpot</w:t>
      </w:r>
      <w:proofErr w:type="spellEnd"/>
      <w:r w:rsidR="00246FBB">
        <w:rPr>
          <w:rFonts w:asciiTheme="minorHAnsi" w:hAnsiTheme="minorHAnsi" w:cstheme="minorHAnsi"/>
        </w:rPr>
        <w:t>.</w:t>
      </w:r>
    </w:p>
    <w:p w14:paraId="7536570C" w14:textId="3A38FCB7" w:rsidR="004D6E1A" w:rsidRPr="00833E73" w:rsidRDefault="0064653C" w:rsidP="006479F9">
      <w:pPr>
        <w:pStyle w:val="ANorm"/>
        <w:spacing w:after="200"/>
        <w:rPr>
          <w:rFonts w:asciiTheme="minorHAnsi" w:hAnsiTheme="minorHAnsi" w:cstheme="minorHAnsi"/>
          <w:noProof/>
          <w:vertAlign w:val="superscript"/>
        </w:rPr>
        <w:sectPr w:rsidR="004D6E1A" w:rsidRPr="00833E73" w:rsidSect="00E91864">
          <w:pgSz w:w="11906" w:h="16838"/>
          <w:pgMar w:top="1440" w:right="1440" w:bottom="1440" w:left="1440" w:header="737" w:footer="708" w:gutter="0"/>
          <w:cols w:space="708"/>
          <w:docGrid w:linePitch="360"/>
        </w:sectPr>
      </w:pPr>
      <w:r>
        <w:rPr>
          <w:rFonts w:asciiTheme="minorHAnsi" w:hAnsiTheme="minorHAnsi" w:cstheme="minorHAnsi"/>
        </w:rPr>
        <w:t xml:space="preserve">We also extracted outcome data </w:t>
      </w:r>
      <w:r w:rsidR="008D4833" w:rsidRPr="00C0670D">
        <w:rPr>
          <w:rFonts w:asciiTheme="minorHAnsi" w:hAnsiTheme="minorHAnsi" w:cstheme="minorHAnsi"/>
        </w:rPr>
        <w:t xml:space="preserve">from several of their peer-reviewed publications of </w:t>
      </w:r>
      <w:r w:rsidR="008D4833">
        <w:rPr>
          <w:rFonts w:asciiTheme="minorHAnsi" w:hAnsiTheme="minorHAnsi" w:cstheme="minorHAnsi"/>
        </w:rPr>
        <w:t>routine care outcomes</w:t>
      </w:r>
      <w:r>
        <w:rPr>
          <w:rFonts w:asciiTheme="minorHAnsi" w:hAnsiTheme="minorHAnsi" w:cstheme="minorHAnsi"/>
        </w:rPr>
        <w:t xml:space="preserve">, including one which </w:t>
      </w:r>
      <w:r w:rsidR="008265AD">
        <w:rPr>
          <w:rFonts w:asciiTheme="minorHAnsi" w:hAnsiTheme="minorHAnsi" w:cstheme="minorHAnsi"/>
        </w:rPr>
        <w:t>provided pre- and post-</w:t>
      </w:r>
      <w:r w:rsidR="008265AD" w:rsidRPr="000148BB">
        <w:rPr>
          <w:rFonts w:asciiTheme="minorHAnsi" w:hAnsiTheme="minorHAnsi" w:cstheme="minorHAnsi"/>
        </w:rPr>
        <w:t xml:space="preserve">treatment </w:t>
      </w:r>
      <w:r w:rsidR="00317028" w:rsidRPr="000148BB">
        <w:rPr>
          <w:rFonts w:asciiTheme="minorHAnsi" w:hAnsiTheme="minorHAnsi" w:cstheme="minorHAnsi"/>
        </w:rPr>
        <w:t xml:space="preserve">outcomes of </w:t>
      </w:r>
      <w:r w:rsidR="00620783" w:rsidRPr="000148BB">
        <w:rPr>
          <w:rFonts w:asciiTheme="minorHAnsi" w:hAnsiTheme="minorHAnsi" w:cstheme="minorHAnsi"/>
        </w:rPr>
        <w:t xml:space="preserve">routine </w:t>
      </w:r>
      <w:r w:rsidR="00317028" w:rsidRPr="000148BB">
        <w:rPr>
          <w:rFonts w:asciiTheme="minorHAnsi" w:hAnsiTheme="minorHAnsi" w:cstheme="minorHAnsi"/>
        </w:rPr>
        <w:t xml:space="preserve">therapist-supported treatment </w:t>
      </w:r>
      <w:r w:rsidR="00142D65">
        <w:rPr>
          <w:rFonts w:asciiTheme="minorHAnsi" w:hAnsiTheme="minorHAnsi" w:cstheme="minorHAnsi"/>
        </w:rPr>
        <w:t>for</w:t>
      </w:r>
      <w:r w:rsidR="00142D65" w:rsidRPr="00CD41F7">
        <w:t xml:space="preserve"> the same group of consumers at each assessment point</w:t>
      </w:r>
      <w:r w:rsidR="000A4464" w:rsidRPr="000148BB">
        <w:rPr>
          <w:rFonts w:asciiTheme="minorHAnsi" w:hAnsiTheme="minorHAnsi" w:cstheme="minorHAnsi"/>
        </w:rPr>
        <w:t xml:space="preserve"> </w:t>
      </w:r>
      <w:r w:rsidR="00317028" w:rsidRPr="000148BB">
        <w:rPr>
          <w:rFonts w:asciiTheme="minorHAnsi" w:hAnsiTheme="minorHAnsi" w:cstheme="minorHAnsi"/>
        </w:rPr>
        <w:t xml:space="preserve">over </w:t>
      </w:r>
      <w:proofErr w:type="spellStart"/>
      <w:r w:rsidR="00FC264D" w:rsidRPr="000148BB">
        <w:rPr>
          <w:rFonts w:asciiTheme="minorHAnsi" w:hAnsiTheme="minorHAnsi" w:cstheme="minorHAnsi"/>
        </w:rPr>
        <w:t>MindSpot’s</w:t>
      </w:r>
      <w:proofErr w:type="spellEnd"/>
      <w:r w:rsidR="00FC264D" w:rsidRPr="000148BB">
        <w:rPr>
          <w:rFonts w:asciiTheme="minorHAnsi" w:hAnsiTheme="minorHAnsi" w:cstheme="minorHAnsi"/>
        </w:rPr>
        <w:t xml:space="preserve"> first seven year</w:t>
      </w:r>
      <w:r w:rsidR="00307AA2" w:rsidRPr="000148BB">
        <w:rPr>
          <w:rFonts w:asciiTheme="minorHAnsi" w:hAnsiTheme="minorHAnsi" w:cstheme="minorHAnsi"/>
        </w:rPr>
        <w:t>s</w:t>
      </w:r>
      <w:r w:rsidR="00FC264D" w:rsidRPr="000148BB">
        <w:rPr>
          <w:rFonts w:asciiTheme="minorHAnsi" w:hAnsiTheme="minorHAnsi" w:cstheme="minorHAnsi"/>
        </w:rPr>
        <w:t xml:space="preserve"> of operation</w:t>
      </w:r>
      <w:r w:rsidR="00142D65">
        <w:rPr>
          <w:rFonts w:asciiTheme="minorHAnsi" w:hAnsiTheme="minorHAnsi" w:cstheme="minorHAnsi"/>
        </w:rPr>
        <w:t>,</w:t>
      </w:r>
      <w:r w:rsidR="0049662F" w:rsidRPr="000148BB">
        <w:rPr>
          <w:rFonts w:asciiTheme="minorHAnsi" w:hAnsiTheme="minorHAnsi" w:cstheme="minorHAnsi"/>
        </w:rPr>
        <w:t xml:space="preserve"> and which </w:t>
      </w:r>
      <w:r w:rsidR="00307AA2" w:rsidRPr="000148BB">
        <w:rPr>
          <w:rFonts w:asciiTheme="minorHAnsi" w:hAnsiTheme="minorHAnsi" w:cstheme="minorHAnsi"/>
        </w:rPr>
        <w:t>we used</w:t>
      </w:r>
      <w:r w:rsidR="000A4464" w:rsidRPr="000148BB">
        <w:rPr>
          <w:rFonts w:asciiTheme="minorHAnsi" w:hAnsiTheme="minorHAnsi" w:cstheme="minorHAnsi"/>
        </w:rPr>
        <w:t xml:space="preserve"> for calculating effect sizes instead of the </w:t>
      </w:r>
      <w:r w:rsidR="00130BE7" w:rsidRPr="000148BB">
        <w:rPr>
          <w:rFonts w:asciiTheme="minorHAnsi" w:hAnsiTheme="minorHAnsi" w:cstheme="minorHAnsi"/>
        </w:rPr>
        <w:t xml:space="preserve">aggregated </w:t>
      </w:r>
      <w:r w:rsidR="000A4464" w:rsidRPr="000148BB">
        <w:rPr>
          <w:rFonts w:asciiTheme="minorHAnsi" w:hAnsiTheme="minorHAnsi" w:cstheme="minorHAnsi"/>
        </w:rPr>
        <w:t>routinely collected data</w:t>
      </w:r>
      <w:r w:rsidR="00307AA2" w:rsidRPr="000148BB">
        <w:rPr>
          <w:rFonts w:asciiTheme="minorHAnsi" w:hAnsiTheme="minorHAnsi" w:cstheme="minorHAnsi"/>
        </w:rPr>
        <w:t>.</w:t>
      </w:r>
      <w:r w:rsidR="00130BE7" w:rsidRPr="000148BB">
        <w:rPr>
          <w:rFonts w:asciiTheme="minorHAnsi" w:hAnsiTheme="minorHAnsi" w:cstheme="minorHAnsi"/>
        </w:rPr>
        <w:fldChar w:fldCharType="begin"/>
      </w:r>
      <w:r w:rsidR="004469A2">
        <w:rPr>
          <w:rFonts w:asciiTheme="minorHAnsi" w:hAnsiTheme="minorHAnsi" w:cstheme="minorHAnsi"/>
        </w:rPr>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00130BE7" w:rsidRPr="000148BB">
        <w:rPr>
          <w:rFonts w:asciiTheme="minorHAnsi" w:hAnsiTheme="minorHAnsi" w:cstheme="minorHAnsi"/>
        </w:rPr>
        <w:fldChar w:fldCharType="separate"/>
      </w:r>
      <w:r w:rsidR="004469A2" w:rsidRPr="004469A2">
        <w:rPr>
          <w:rFonts w:asciiTheme="minorHAnsi" w:hAnsiTheme="minorHAnsi" w:cstheme="minorHAnsi"/>
          <w:noProof/>
          <w:vertAlign w:val="superscript"/>
        </w:rPr>
        <w:t>7</w:t>
      </w:r>
      <w:r w:rsidR="00130BE7" w:rsidRPr="000148BB">
        <w:rPr>
          <w:rFonts w:asciiTheme="minorHAnsi" w:hAnsiTheme="minorHAnsi" w:cstheme="minorHAnsi"/>
        </w:rPr>
        <w:fldChar w:fldCharType="end"/>
      </w:r>
      <w:r w:rsidR="00307AA2" w:rsidRPr="000148BB">
        <w:rPr>
          <w:rFonts w:asciiTheme="minorHAnsi" w:hAnsiTheme="minorHAnsi" w:cstheme="minorHAnsi"/>
        </w:rPr>
        <w:t xml:space="preserve"> </w:t>
      </w:r>
      <w:r w:rsidR="00984D8C" w:rsidRPr="000148BB">
        <w:rPr>
          <w:rFonts w:asciiTheme="minorHAnsi" w:hAnsiTheme="minorHAnsi" w:cstheme="minorHAnsi"/>
        </w:rPr>
        <w:t>The other studies we selec</w:t>
      </w:r>
      <w:r w:rsidR="00990F0C" w:rsidRPr="000148BB">
        <w:rPr>
          <w:rFonts w:asciiTheme="minorHAnsi" w:hAnsiTheme="minorHAnsi" w:cstheme="minorHAnsi"/>
        </w:rPr>
        <w:t xml:space="preserve">ted complemented findings from this </w:t>
      </w:r>
      <w:r w:rsidR="00620783" w:rsidRPr="000148BB">
        <w:rPr>
          <w:rFonts w:asciiTheme="minorHAnsi" w:hAnsiTheme="minorHAnsi" w:cstheme="minorHAnsi"/>
        </w:rPr>
        <w:t xml:space="preserve">key </w:t>
      </w:r>
      <w:r w:rsidR="00990F0C" w:rsidRPr="000148BB">
        <w:rPr>
          <w:rFonts w:asciiTheme="minorHAnsi" w:hAnsiTheme="minorHAnsi" w:cstheme="minorHAnsi"/>
        </w:rPr>
        <w:t xml:space="preserve">publication by focusing on </w:t>
      </w:r>
      <w:r w:rsidR="00463D19" w:rsidRPr="000148BB">
        <w:rPr>
          <w:rFonts w:asciiTheme="minorHAnsi" w:hAnsiTheme="minorHAnsi" w:cstheme="minorHAnsi"/>
        </w:rPr>
        <w:t>outcomes</w:t>
      </w:r>
      <w:r w:rsidR="00463D19">
        <w:rPr>
          <w:rFonts w:asciiTheme="minorHAnsi" w:hAnsiTheme="minorHAnsi" w:cstheme="minorHAnsi"/>
        </w:rPr>
        <w:t xml:space="preserve"> of </w:t>
      </w:r>
      <w:r w:rsidR="00620783">
        <w:rPr>
          <w:rFonts w:asciiTheme="minorHAnsi" w:hAnsiTheme="minorHAnsi" w:cstheme="minorHAnsi"/>
        </w:rPr>
        <w:t xml:space="preserve">routine </w:t>
      </w:r>
      <w:r w:rsidR="00463D19">
        <w:rPr>
          <w:rFonts w:asciiTheme="minorHAnsi" w:hAnsiTheme="minorHAnsi" w:cstheme="minorHAnsi"/>
        </w:rPr>
        <w:t>therapist-supported treatment in younger and older adults, Indigenous peoples and migrants.</w:t>
      </w:r>
      <w:r w:rsidR="00307AA2" w:rsidRPr="009B1A6B">
        <w:rPr>
          <w:rFonts w:asciiTheme="minorHAnsi" w:hAnsiTheme="minorHAnsi" w:cstheme="minorHAnsi"/>
          <w:noProof/>
          <w:vertAlign w:val="superscript"/>
        </w:rPr>
        <w:t>41-44</w:t>
      </w:r>
    </w:p>
    <w:p w14:paraId="67338FAA" w14:textId="73620F3E" w:rsidR="00997844" w:rsidRPr="003D1CA1" w:rsidRDefault="00997844" w:rsidP="003D1CA1">
      <w:pPr>
        <w:pStyle w:val="tableheading"/>
      </w:pPr>
      <w:r w:rsidRPr="003D1CA1">
        <w:lastRenderedPageBreak/>
        <w:t xml:space="preserve">Table </w:t>
      </w:r>
      <w:r w:rsidR="0058047C" w:rsidRPr="003D1CA1">
        <w:t>1</w:t>
      </w:r>
      <w:r w:rsidR="007F7B52">
        <w:t>7</w:t>
      </w:r>
      <w:r w:rsidRPr="003D1CA1">
        <w:t xml:space="preserve">. Selected </w:t>
      </w:r>
      <w:proofErr w:type="spellStart"/>
      <w:r w:rsidRPr="003D1CA1">
        <w:t>MindSpot</w:t>
      </w:r>
      <w:proofErr w:type="spellEnd"/>
      <w:r w:rsidRPr="003D1CA1">
        <w:t xml:space="preserve"> outcome data before and after (8 weeks</w:t>
      </w:r>
      <w:r w:rsidR="007C78CB" w:rsidRPr="003D1CA1">
        <w:t xml:space="preserve">/5 </w:t>
      </w:r>
      <w:r w:rsidR="001815FB">
        <w:t>modules</w:t>
      </w:r>
      <w:r w:rsidRPr="003D1CA1">
        <w:t>) treatment for all</w:t>
      </w:r>
      <w:r w:rsidR="00C84FBB" w:rsidRPr="003D1CA1">
        <w:t>, and subgroups of, consumers</w:t>
      </w:r>
      <w:r w:rsidR="000338F5" w:rsidRPr="003D1CA1">
        <w:t xml:space="preserve"> by support status</w:t>
      </w:r>
    </w:p>
    <w:tbl>
      <w:tblPr>
        <w:tblStyle w:val="TableGrid"/>
        <w:tblW w:w="5000" w:type="pct"/>
        <w:tblLook w:val="04A0" w:firstRow="1" w:lastRow="0" w:firstColumn="1" w:lastColumn="0" w:noHBand="0" w:noVBand="1"/>
        <w:tblCaption w:val="Table 17. Selected MindSpot outcome data before and after (8 weeks/5 modulemodules) treatment for all, and subgroups of, consumers by support status"/>
        <w:tblDescription w:val="Table describes selected MindSpot outcome data before and after treatment for all, and subgroups of, consumers by support status"/>
      </w:tblPr>
      <w:tblGrid>
        <w:gridCol w:w="2454"/>
        <w:gridCol w:w="1643"/>
        <w:gridCol w:w="2034"/>
        <w:gridCol w:w="1071"/>
        <w:gridCol w:w="1400"/>
        <w:gridCol w:w="1760"/>
        <w:gridCol w:w="776"/>
        <w:gridCol w:w="800"/>
        <w:gridCol w:w="1668"/>
        <w:gridCol w:w="1782"/>
      </w:tblGrid>
      <w:tr w:rsidR="0003781B" w:rsidRPr="00B276EB" w14:paraId="195AEBEA" w14:textId="77777777" w:rsidTr="007C118C">
        <w:tc>
          <w:tcPr>
            <w:tcW w:w="797" w:type="pct"/>
            <w:shd w:val="clear" w:color="auto" w:fill="000000" w:themeFill="text1"/>
          </w:tcPr>
          <w:p w14:paraId="570AB188" w14:textId="6AB0F3EA" w:rsidR="003C394D" w:rsidRPr="00B276EB" w:rsidRDefault="0003781B" w:rsidP="003D1CA1">
            <w:pPr>
              <w:ind w:right="37"/>
              <w:jc w:val="center"/>
              <w:rPr>
                <w:rFonts w:asciiTheme="minorHAnsi" w:hAnsiTheme="minorHAnsi" w:cstheme="minorHAnsi"/>
                <w:b/>
                <w:bCs/>
                <w:sz w:val="16"/>
                <w:szCs w:val="16"/>
              </w:rPr>
            </w:pPr>
            <w:r w:rsidRPr="00B276EB">
              <w:rPr>
                <w:rFonts w:asciiTheme="minorHAnsi" w:hAnsiTheme="minorHAnsi" w:cstheme="minorHAnsi"/>
                <w:b/>
                <w:bCs/>
                <w:sz w:val="16"/>
                <w:szCs w:val="16"/>
              </w:rPr>
              <w:t>Population group</w:t>
            </w:r>
          </w:p>
        </w:tc>
        <w:tc>
          <w:tcPr>
            <w:tcW w:w="534" w:type="pct"/>
            <w:shd w:val="clear" w:color="auto" w:fill="000000" w:themeFill="text1"/>
          </w:tcPr>
          <w:p w14:paraId="7E30E158" w14:textId="3D8CA109" w:rsidR="003C394D" w:rsidRPr="00B276EB" w:rsidRDefault="003C394D" w:rsidP="003D1CA1">
            <w:pPr>
              <w:ind w:right="37"/>
              <w:jc w:val="center"/>
              <w:rPr>
                <w:rFonts w:asciiTheme="minorHAnsi" w:hAnsiTheme="minorHAnsi" w:cstheme="minorHAnsi"/>
                <w:b/>
                <w:bCs/>
                <w:sz w:val="16"/>
                <w:szCs w:val="16"/>
              </w:rPr>
            </w:pPr>
            <w:r w:rsidRPr="00B276EB">
              <w:rPr>
                <w:rFonts w:asciiTheme="minorHAnsi" w:hAnsiTheme="minorHAnsi" w:cstheme="minorHAnsi"/>
                <w:b/>
                <w:bCs/>
                <w:sz w:val="16"/>
                <w:szCs w:val="16"/>
              </w:rPr>
              <w:t>Treatment</w:t>
            </w:r>
          </w:p>
        </w:tc>
        <w:tc>
          <w:tcPr>
            <w:tcW w:w="661" w:type="pct"/>
            <w:shd w:val="clear" w:color="auto" w:fill="000000" w:themeFill="text1"/>
          </w:tcPr>
          <w:p w14:paraId="3441DBF0" w14:textId="77777777" w:rsidR="003C394D" w:rsidRPr="00B276EB" w:rsidRDefault="003C394D" w:rsidP="003D1CA1">
            <w:pPr>
              <w:jc w:val="center"/>
              <w:rPr>
                <w:rFonts w:asciiTheme="minorHAnsi" w:hAnsiTheme="minorHAnsi"/>
                <w:b/>
                <w:bCs/>
                <w:sz w:val="16"/>
                <w:szCs w:val="16"/>
              </w:rPr>
            </w:pPr>
            <w:r w:rsidRPr="00B276EB">
              <w:rPr>
                <w:rFonts w:asciiTheme="minorHAnsi" w:hAnsiTheme="minorHAnsi"/>
                <w:b/>
                <w:bCs/>
                <w:sz w:val="16"/>
                <w:szCs w:val="16"/>
              </w:rPr>
              <w:t>Outcome measure</w:t>
            </w:r>
          </w:p>
        </w:tc>
        <w:tc>
          <w:tcPr>
            <w:tcW w:w="348" w:type="pct"/>
            <w:shd w:val="clear" w:color="auto" w:fill="000000" w:themeFill="text1"/>
          </w:tcPr>
          <w:p w14:paraId="5D9F607A" w14:textId="77777777" w:rsidR="003C394D" w:rsidRPr="00B276EB" w:rsidRDefault="003C394D" w:rsidP="003D1CA1">
            <w:pPr>
              <w:jc w:val="center"/>
              <w:rPr>
                <w:rFonts w:asciiTheme="minorHAnsi" w:hAnsiTheme="minorHAnsi"/>
                <w:b/>
                <w:bCs/>
                <w:sz w:val="16"/>
                <w:szCs w:val="16"/>
              </w:rPr>
            </w:pPr>
            <w:r w:rsidRPr="00B276EB">
              <w:rPr>
                <w:rFonts w:asciiTheme="minorHAnsi" w:hAnsiTheme="minorHAnsi"/>
                <w:b/>
                <w:bCs/>
                <w:sz w:val="16"/>
                <w:szCs w:val="16"/>
              </w:rPr>
              <w:t>Baseline N</w:t>
            </w:r>
          </w:p>
        </w:tc>
        <w:tc>
          <w:tcPr>
            <w:tcW w:w="455" w:type="pct"/>
            <w:shd w:val="clear" w:color="auto" w:fill="000000" w:themeFill="text1"/>
          </w:tcPr>
          <w:p w14:paraId="4644FD70" w14:textId="77777777" w:rsidR="003C394D" w:rsidRPr="00B276EB" w:rsidRDefault="003C394D" w:rsidP="003D1CA1">
            <w:pPr>
              <w:jc w:val="center"/>
              <w:rPr>
                <w:rFonts w:asciiTheme="minorHAnsi" w:hAnsiTheme="minorHAnsi"/>
                <w:b/>
                <w:bCs/>
                <w:sz w:val="16"/>
                <w:szCs w:val="16"/>
              </w:rPr>
            </w:pPr>
            <w:r w:rsidRPr="00B276EB">
              <w:rPr>
                <w:rFonts w:asciiTheme="minorHAnsi" w:hAnsiTheme="minorHAnsi"/>
                <w:b/>
                <w:bCs/>
                <w:sz w:val="16"/>
                <w:szCs w:val="16"/>
              </w:rPr>
              <w:t>Baseline Mean</w:t>
            </w:r>
          </w:p>
        </w:tc>
        <w:tc>
          <w:tcPr>
            <w:tcW w:w="572" w:type="pct"/>
            <w:shd w:val="clear" w:color="auto" w:fill="000000" w:themeFill="text1"/>
          </w:tcPr>
          <w:p w14:paraId="5FBB98B6" w14:textId="10A43B21" w:rsidR="003C394D" w:rsidRPr="00B276EB" w:rsidRDefault="003C394D" w:rsidP="003D1CA1">
            <w:pPr>
              <w:jc w:val="center"/>
              <w:rPr>
                <w:rFonts w:asciiTheme="minorHAnsi" w:hAnsiTheme="minorHAnsi"/>
                <w:b/>
                <w:bCs/>
                <w:sz w:val="16"/>
                <w:szCs w:val="16"/>
              </w:rPr>
            </w:pPr>
            <w:r w:rsidRPr="00B276EB">
              <w:rPr>
                <w:rFonts w:asciiTheme="minorHAnsi" w:hAnsiTheme="minorHAnsi"/>
                <w:b/>
                <w:bCs/>
                <w:sz w:val="16"/>
                <w:szCs w:val="16"/>
              </w:rPr>
              <w:t>Baseline SD</w:t>
            </w:r>
            <w:r w:rsidR="00D31E3E" w:rsidRPr="00B276EB">
              <w:rPr>
                <w:rFonts w:asciiTheme="minorHAnsi" w:hAnsiTheme="minorHAnsi"/>
                <w:b/>
                <w:bCs/>
                <w:sz w:val="16"/>
                <w:szCs w:val="16"/>
              </w:rPr>
              <w:t xml:space="preserve"> or CI</w:t>
            </w:r>
          </w:p>
        </w:tc>
        <w:tc>
          <w:tcPr>
            <w:tcW w:w="252" w:type="pct"/>
            <w:shd w:val="clear" w:color="auto" w:fill="000000" w:themeFill="text1"/>
          </w:tcPr>
          <w:p w14:paraId="3ADE74F4" w14:textId="05312DE4" w:rsidR="003C394D" w:rsidRPr="00B276EB" w:rsidRDefault="0003781B" w:rsidP="003D1CA1">
            <w:pPr>
              <w:jc w:val="center"/>
              <w:rPr>
                <w:rFonts w:asciiTheme="minorHAnsi" w:hAnsiTheme="minorHAnsi"/>
                <w:b/>
                <w:bCs/>
                <w:sz w:val="16"/>
                <w:szCs w:val="16"/>
              </w:rPr>
            </w:pPr>
            <w:r w:rsidRPr="00B276EB">
              <w:rPr>
                <w:rFonts w:asciiTheme="minorHAnsi" w:hAnsiTheme="minorHAnsi"/>
                <w:b/>
                <w:bCs/>
                <w:sz w:val="16"/>
                <w:szCs w:val="16"/>
              </w:rPr>
              <w:t>Post</w:t>
            </w:r>
          </w:p>
          <w:p w14:paraId="033991A1" w14:textId="77777777" w:rsidR="003C394D" w:rsidRPr="00B276EB" w:rsidRDefault="003C394D" w:rsidP="003D1CA1">
            <w:pPr>
              <w:jc w:val="center"/>
              <w:rPr>
                <w:rFonts w:asciiTheme="minorHAnsi" w:hAnsiTheme="minorHAnsi"/>
                <w:b/>
                <w:bCs/>
                <w:sz w:val="16"/>
                <w:szCs w:val="16"/>
              </w:rPr>
            </w:pPr>
            <w:r w:rsidRPr="00B276EB">
              <w:rPr>
                <w:rFonts w:asciiTheme="minorHAnsi" w:hAnsiTheme="minorHAnsi"/>
                <w:b/>
                <w:bCs/>
                <w:sz w:val="16"/>
                <w:szCs w:val="16"/>
              </w:rPr>
              <w:t>N</w:t>
            </w:r>
          </w:p>
        </w:tc>
        <w:tc>
          <w:tcPr>
            <w:tcW w:w="260" w:type="pct"/>
            <w:shd w:val="clear" w:color="auto" w:fill="000000" w:themeFill="text1"/>
          </w:tcPr>
          <w:p w14:paraId="529490EC" w14:textId="4D560BBB" w:rsidR="003C394D" w:rsidRPr="00B276EB" w:rsidRDefault="0003781B" w:rsidP="003D1CA1">
            <w:pPr>
              <w:jc w:val="center"/>
              <w:rPr>
                <w:rFonts w:asciiTheme="minorHAnsi" w:hAnsiTheme="minorHAnsi"/>
                <w:b/>
                <w:bCs/>
                <w:sz w:val="16"/>
                <w:szCs w:val="16"/>
              </w:rPr>
            </w:pPr>
            <w:r w:rsidRPr="00B276EB">
              <w:rPr>
                <w:rFonts w:asciiTheme="minorHAnsi" w:hAnsiTheme="minorHAnsi"/>
                <w:b/>
                <w:bCs/>
                <w:sz w:val="16"/>
                <w:szCs w:val="16"/>
              </w:rPr>
              <w:t>Post</w:t>
            </w:r>
            <w:r w:rsidR="003C394D" w:rsidRPr="00B276EB">
              <w:rPr>
                <w:rFonts w:asciiTheme="minorHAnsi" w:hAnsiTheme="minorHAnsi"/>
                <w:b/>
                <w:bCs/>
                <w:sz w:val="16"/>
                <w:szCs w:val="16"/>
              </w:rPr>
              <w:t xml:space="preserve"> M</w:t>
            </w:r>
          </w:p>
        </w:tc>
        <w:tc>
          <w:tcPr>
            <w:tcW w:w="542" w:type="pct"/>
            <w:shd w:val="clear" w:color="auto" w:fill="000000" w:themeFill="text1"/>
          </w:tcPr>
          <w:p w14:paraId="288899DC" w14:textId="05F5954C" w:rsidR="003C394D" w:rsidRPr="00B276EB" w:rsidRDefault="0003781B" w:rsidP="003D1CA1">
            <w:pPr>
              <w:jc w:val="center"/>
              <w:rPr>
                <w:rFonts w:asciiTheme="minorHAnsi" w:hAnsiTheme="minorHAnsi"/>
                <w:b/>
                <w:bCs/>
                <w:sz w:val="16"/>
                <w:szCs w:val="16"/>
              </w:rPr>
            </w:pPr>
            <w:r w:rsidRPr="00B276EB">
              <w:rPr>
                <w:rFonts w:asciiTheme="minorHAnsi" w:hAnsiTheme="minorHAnsi"/>
                <w:b/>
                <w:bCs/>
                <w:sz w:val="16"/>
                <w:szCs w:val="16"/>
              </w:rPr>
              <w:t>Post</w:t>
            </w:r>
            <w:r w:rsidR="003C394D" w:rsidRPr="00B276EB">
              <w:rPr>
                <w:rFonts w:asciiTheme="minorHAnsi" w:hAnsiTheme="minorHAnsi"/>
                <w:b/>
                <w:bCs/>
                <w:sz w:val="16"/>
                <w:szCs w:val="16"/>
              </w:rPr>
              <w:t xml:space="preserve"> SD</w:t>
            </w:r>
            <w:r w:rsidR="00084738" w:rsidRPr="00B276EB">
              <w:rPr>
                <w:rFonts w:asciiTheme="minorHAnsi" w:hAnsiTheme="minorHAnsi"/>
                <w:b/>
                <w:bCs/>
                <w:sz w:val="16"/>
                <w:szCs w:val="16"/>
              </w:rPr>
              <w:t xml:space="preserve"> or CI</w:t>
            </w:r>
          </w:p>
        </w:tc>
        <w:tc>
          <w:tcPr>
            <w:tcW w:w="579" w:type="pct"/>
            <w:shd w:val="clear" w:color="auto" w:fill="000000" w:themeFill="text1"/>
          </w:tcPr>
          <w:p w14:paraId="1B835B86" w14:textId="48D1E7EA" w:rsidR="003C394D" w:rsidRPr="00B276EB" w:rsidRDefault="003C394D" w:rsidP="003D1CA1">
            <w:pPr>
              <w:jc w:val="center"/>
              <w:rPr>
                <w:rFonts w:asciiTheme="minorHAnsi" w:hAnsiTheme="minorHAnsi"/>
                <w:b/>
                <w:bCs/>
                <w:sz w:val="16"/>
                <w:szCs w:val="16"/>
              </w:rPr>
            </w:pPr>
            <w:r w:rsidRPr="00B276EB">
              <w:rPr>
                <w:rFonts w:asciiTheme="minorHAnsi" w:hAnsiTheme="minorHAnsi"/>
                <w:b/>
                <w:bCs/>
                <w:sz w:val="16"/>
                <w:szCs w:val="16"/>
              </w:rPr>
              <w:t>Effect size</w:t>
            </w:r>
            <w:r w:rsidR="00E45DB3">
              <w:rPr>
                <w:rFonts w:asciiTheme="minorHAnsi" w:hAnsiTheme="minorHAnsi"/>
                <w:b/>
                <w:bCs/>
                <w:sz w:val="16"/>
                <w:szCs w:val="16"/>
              </w:rPr>
              <w:t xml:space="preserve"> and 95% CI</w:t>
            </w:r>
          </w:p>
        </w:tc>
      </w:tr>
      <w:tr w:rsidR="00CC0F10" w:rsidRPr="00EE0008" w14:paraId="2EB66D18" w14:textId="77777777" w:rsidTr="007C118C">
        <w:tc>
          <w:tcPr>
            <w:tcW w:w="797" w:type="pct"/>
          </w:tcPr>
          <w:p w14:paraId="0D65AFB5" w14:textId="4F769C9F" w:rsidR="00CC0F10" w:rsidRPr="00EE0008" w:rsidRDefault="00CC0F10" w:rsidP="003D1CA1">
            <w:pPr>
              <w:pStyle w:val="ListParagraph"/>
              <w:numPr>
                <w:ilvl w:val="0"/>
                <w:numId w:val="13"/>
              </w:numPr>
              <w:ind w:left="321" w:right="37" w:hanging="321"/>
              <w:rPr>
                <w:sz w:val="16"/>
                <w:szCs w:val="16"/>
              </w:rPr>
            </w:pPr>
            <w:proofErr w:type="spellStart"/>
            <w:r w:rsidRPr="00EE0008">
              <w:rPr>
                <w:sz w:val="16"/>
                <w:szCs w:val="16"/>
              </w:rPr>
              <w:t>All</w:t>
            </w:r>
            <w:r w:rsidRPr="00EE0008">
              <w:rPr>
                <w:sz w:val="16"/>
                <w:szCs w:val="16"/>
                <w:vertAlign w:val="superscript"/>
              </w:rPr>
              <w:t>a</w:t>
            </w:r>
            <w:proofErr w:type="spellEnd"/>
          </w:p>
        </w:tc>
        <w:tc>
          <w:tcPr>
            <w:tcW w:w="534" w:type="pct"/>
          </w:tcPr>
          <w:p w14:paraId="11126E40" w14:textId="77777777" w:rsidR="00CC0F10" w:rsidRPr="00EE0008" w:rsidRDefault="00CC0F10" w:rsidP="003D1CA1">
            <w:pPr>
              <w:ind w:right="37"/>
              <w:jc w:val="center"/>
              <w:rPr>
                <w:rFonts w:asciiTheme="minorHAnsi" w:hAnsiTheme="minorHAnsi" w:cstheme="minorHAnsi"/>
                <w:sz w:val="16"/>
                <w:szCs w:val="16"/>
              </w:rPr>
            </w:pPr>
            <w:r w:rsidRPr="00EE0008">
              <w:rPr>
                <w:rFonts w:asciiTheme="minorHAnsi" w:hAnsiTheme="minorHAnsi" w:cstheme="minorHAnsi"/>
                <w:sz w:val="16"/>
                <w:szCs w:val="16"/>
              </w:rPr>
              <w:t xml:space="preserve">Supported </w:t>
            </w:r>
            <w:proofErr w:type="spellStart"/>
            <w:r w:rsidRPr="00EE0008">
              <w:rPr>
                <w:rFonts w:asciiTheme="minorHAnsi" w:hAnsiTheme="minorHAnsi" w:cstheme="minorHAnsi"/>
                <w:sz w:val="16"/>
                <w:szCs w:val="16"/>
              </w:rPr>
              <w:t>iCBT</w:t>
            </w:r>
            <w:proofErr w:type="spellEnd"/>
          </w:p>
        </w:tc>
        <w:tc>
          <w:tcPr>
            <w:tcW w:w="661" w:type="pct"/>
          </w:tcPr>
          <w:p w14:paraId="0B1C4945"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K10</w:t>
            </w:r>
          </w:p>
        </w:tc>
        <w:tc>
          <w:tcPr>
            <w:tcW w:w="348" w:type="pct"/>
          </w:tcPr>
          <w:p w14:paraId="5733A27F"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28,808</w:t>
            </w:r>
          </w:p>
        </w:tc>
        <w:tc>
          <w:tcPr>
            <w:tcW w:w="455" w:type="pct"/>
          </w:tcPr>
          <w:p w14:paraId="72EDD872" w14:textId="0EE57C08"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31.6</w:t>
            </w:r>
          </w:p>
        </w:tc>
        <w:tc>
          <w:tcPr>
            <w:tcW w:w="572" w:type="pct"/>
          </w:tcPr>
          <w:p w14:paraId="2995865A"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7.5</w:t>
            </w:r>
          </w:p>
        </w:tc>
        <w:tc>
          <w:tcPr>
            <w:tcW w:w="252" w:type="pct"/>
          </w:tcPr>
          <w:p w14:paraId="684FE4C3"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17,137</w:t>
            </w:r>
          </w:p>
        </w:tc>
        <w:tc>
          <w:tcPr>
            <w:tcW w:w="260" w:type="pct"/>
          </w:tcPr>
          <w:p w14:paraId="5C080446"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21.0</w:t>
            </w:r>
          </w:p>
        </w:tc>
        <w:tc>
          <w:tcPr>
            <w:tcW w:w="542" w:type="pct"/>
          </w:tcPr>
          <w:p w14:paraId="3A98DFCD"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8.0</w:t>
            </w:r>
          </w:p>
        </w:tc>
        <w:tc>
          <w:tcPr>
            <w:tcW w:w="579" w:type="pct"/>
          </w:tcPr>
          <w:p w14:paraId="15CE844E"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N/A</w:t>
            </w:r>
          </w:p>
        </w:tc>
      </w:tr>
      <w:tr w:rsidR="00CC0F10" w:rsidRPr="00EE0008" w14:paraId="525EEAAC" w14:textId="77777777" w:rsidTr="007C118C">
        <w:tc>
          <w:tcPr>
            <w:tcW w:w="797" w:type="pct"/>
          </w:tcPr>
          <w:p w14:paraId="2783F382" w14:textId="4279DA3B" w:rsidR="00CC0F10" w:rsidRPr="00EE0008" w:rsidRDefault="00CC0F10" w:rsidP="003D1CA1">
            <w:pPr>
              <w:pStyle w:val="ListParagraph"/>
              <w:numPr>
                <w:ilvl w:val="0"/>
                <w:numId w:val="13"/>
              </w:numPr>
              <w:ind w:left="321" w:right="37" w:hanging="321"/>
              <w:rPr>
                <w:sz w:val="16"/>
                <w:szCs w:val="16"/>
              </w:rPr>
            </w:pPr>
            <w:proofErr w:type="spellStart"/>
            <w:r w:rsidRPr="00EE0008">
              <w:rPr>
                <w:sz w:val="16"/>
                <w:szCs w:val="16"/>
              </w:rPr>
              <w:t>All</w:t>
            </w:r>
            <w:r w:rsidRPr="00EE0008">
              <w:rPr>
                <w:sz w:val="16"/>
                <w:szCs w:val="16"/>
                <w:vertAlign w:val="superscript"/>
              </w:rPr>
              <w:t>a</w:t>
            </w:r>
            <w:proofErr w:type="spellEnd"/>
          </w:p>
        </w:tc>
        <w:tc>
          <w:tcPr>
            <w:tcW w:w="534" w:type="pct"/>
          </w:tcPr>
          <w:p w14:paraId="0C218823" w14:textId="77777777" w:rsidR="00CC0F10" w:rsidRPr="00EE0008" w:rsidRDefault="00CC0F10" w:rsidP="003D1CA1">
            <w:pPr>
              <w:ind w:right="37"/>
              <w:jc w:val="center"/>
              <w:rPr>
                <w:rFonts w:asciiTheme="minorHAnsi" w:hAnsiTheme="minorHAnsi" w:cstheme="minorHAnsi"/>
                <w:sz w:val="16"/>
                <w:szCs w:val="16"/>
              </w:rPr>
            </w:pPr>
            <w:r w:rsidRPr="00EE0008">
              <w:rPr>
                <w:rFonts w:asciiTheme="minorHAnsi" w:hAnsiTheme="minorHAnsi" w:cstheme="minorHAnsi"/>
                <w:sz w:val="16"/>
                <w:szCs w:val="16"/>
              </w:rPr>
              <w:t xml:space="preserve">Supported </w:t>
            </w:r>
            <w:proofErr w:type="spellStart"/>
            <w:r w:rsidRPr="00EE0008">
              <w:rPr>
                <w:rFonts w:asciiTheme="minorHAnsi" w:hAnsiTheme="minorHAnsi" w:cstheme="minorHAnsi"/>
                <w:sz w:val="16"/>
                <w:szCs w:val="16"/>
              </w:rPr>
              <w:t>iCBT</w:t>
            </w:r>
            <w:proofErr w:type="spellEnd"/>
          </w:p>
        </w:tc>
        <w:tc>
          <w:tcPr>
            <w:tcW w:w="661" w:type="pct"/>
          </w:tcPr>
          <w:p w14:paraId="7D706C3F"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PHQ-9</w:t>
            </w:r>
          </w:p>
        </w:tc>
        <w:tc>
          <w:tcPr>
            <w:tcW w:w="348" w:type="pct"/>
          </w:tcPr>
          <w:p w14:paraId="5CF59C4E"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28,808</w:t>
            </w:r>
          </w:p>
        </w:tc>
        <w:tc>
          <w:tcPr>
            <w:tcW w:w="455" w:type="pct"/>
          </w:tcPr>
          <w:p w14:paraId="557A3A12" w14:textId="7CE8AED1"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14.7</w:t>
            </w:r>
          </w:p>
        </w:tc>
        <w:tc>
          <w:tcPr>
            <w:tcW w:w="572" w:type="pct"/>
          </w:tcPr>
          <w:p w14:paraId="4D12A74B"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6.2</w:t>
            </w:r>
          </w:p>
        </w:tc>
        <w:tc>
          <w:tcPr>
            <w:tcW w:w="252" w:type="pct"/>
          </w:tcPr>
          <w:p w14:paraId="5FA8D185"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17,137</w:t>
            </w:r>
          </w:p>
        </w:tc>
        <w:tc>
          <w:tcPr>
            <w:tcW w:w="260" w:type="pct"/>
          </w:tcPr>
          <w:p w14:paraId="6A7ABD05"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6.6</w:t>
            </w:r>
          </w:p>
        </w:tc>
        <w:tc>
          <w:tcPr>
            <w:tcW w:w="542" w:type="pct"/>
          </w:tcPr>
          <w:p w14:paraId="01B263A1"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5.4</w:t>
            </w:r>
          </w:p>
        </w:tc>
        <w:tc>
          <w:tcPr>
            <w:tcW w:w="579" w:type="pct"/>
          </w:tcPr>
          <w:p w14:paraId="33A4BFCD"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N/A</w:t>
            </w:r>
          </w:p>
        </w:tc>
      </w:tr>
      <w:tr w:rsidR="00CC0F10" w:rsidRPr="00EE0008" w14:paraId="756159E5" w14:textId="77777777" w:rsidTr="007C118C">
        <w:tc>
          <w:tcPr>
            <w:tcW w:w="797" w:type="pct"/>
          </w:tcPr>
          <w:p w14:paraId="1E5DB91B" w14:textId="75F13C37" w:rsidR="00CC0F10" w:rsidRPr="00EE0008" w:rsidRDefault="00CC0F10" w:rsidP="003D1CA1">
            <w:pPr>
              <w:pStyle w:val="ListParagraph"/>
              <w:numPr>
                <w:ilvl w:val="0"/>
                <w:numId w:val="13"/>
              </w:numPr>
              <w:ind w:left="321" w:right="37" w:hanging="321"/>
              <w:rPr>
                <w:sz w:val="16"/>
                <w:szCs w:val="16"/>
              </w:rPr>
            </w:pPr>
            <w:proofErr w:type="spellStart"/>
            <w:r w:rsidRPr="00EE0008">
              <w:rPr>
                <w:sz w:val="16"/>
                <w:szCs w:val="16"/>
              </w:rPr>
              <w:t>All</w:t>
            </w:r>
            <w:r w:rsidRPr="00EE0008">
              <w:rPr>
                <w:sz w:val="16"/>
                <w:szCs w:val="16"/>
                <w:vertAlign w:val="superscript"/>
              </w:rPr>
              <w:t>a</w:t>
            </w:r>
            <w:proofErr w:type="spellEnd"/>
          </w:p>
        </w:tc>
        <w:tc>
          <w:tcPr>
            <w:tcW w:w="534" w:type="pct"/>
          </w:tcPr>
          <w:p w14:paraId="0C92F483" w14:textId="77777777" w:rsidR="00CC0F10" w:rsidRPr="00EE0008" w:rsidRDefault="00CC0F10" w:rsidP="003D1CA1">
            <w:pPr>
              <w:ind w:right="37"/>
              <w:jc w:val="center"/>
              <w:rPr>
                <w:rFonts w:asciiTheme="minorHAnsi" w:hAnsiTheme="minorHAnsi" w:cstheme="minorHAnsi"/>
                <w:sz w:val="16"/>
                <w:szCs w:val="16"/>
              </w:rPr>
            </w:pPr>
            <w:r w:rsidRPr="00EE0008">
              <w:rPr>
                <w:rFonts w:asciiTheme="minorHAnsi" w:hAnsiTheme="minorHAnsi" w:cstheme="minorHAnsi"/>
                <w:sz w:val="16"/>
                <w:szCs w:val="16"/>
              </w:rPr>
              <w:t xml:space="preserve">Supported </w:t>
            </w:r>
            <w:proofErr w:type="spellStart"/>
            <w:r w:rsidRPr="00EE0008">
              <w:rPr>
                <w:rFonts w:asciiTheme="minorHAnsi" w:hAnsiTheme="minorHAnsi" w:cstheme="minorHAnsi"/>
                <w:sz w:val="16"/>
                <w:szCs w:val="16"/>
              </w:rPr>
              <w:t>iCBT</w:t>
            </w:r>
            <w:proofErr w:type="spellEnd"/>
          </w:p>
        </w:tc>
        <w:tc>
          <w:tcPr>
            <w:tcW w:w="661" w:type="pct"/>
          </w:tcPr>
          <w:p w14:paraId="7CBB05CD"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GAD-7</w:t>
            </w:r>
          </w:p>
        </w:tc>
        <w:tc>
          <w:tcPr>
            <w:tcW w:w="348" w:type="pct"/>
          </w:tcPr>
          <w:p w14:paraId="2DDA7CDD"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28,808</w:t>
            </w:r>
          </w:p>
        </w:tc>
        <w:tc>
          <w:tcPr>
            <w:tcW w:w="455" w:type="pct"/>
          </w:tcPr>
          <w:p w14:paraId="31F4F9A3" w14:textId="3D587652"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12.3</w:t>
            </w:r>
          </w:p>
        </w:tc>
        <w:tc>
          <w:tcPr>
            <w:tcW w:w="572" w:type="pct"/>
          </w:tcPr>
          <w:p w14:paraId="1E19A368"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5.2</w:t>
            </w:r>
          </w:p>
        </w:tc>
        <w:tc>
          <w:tcPr>
            <w:tcW w:w="252" w:type="pct"/>
          </w:tcPr>
          <w:p w14:paraId="589E814E"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17,137</w:t>
            </w:r>
          </w:p>
        </w:tc>
        <w:tc>
          <w:tcPr>
            <w:tcW w:w="260" w:type="pct"/>
          </w:tcPr>
          <w:p w14:paraId="53D373D6" w14:textId="13208021"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5.</w:t>
            </w:r>
            <w:r w:rsidR="004756F5" w:rsidRPr="00EE0008">
              <w:rPr>
                <w:rFonts w:asciiTheme="minorHAnsi" w:hAnsiTheme="minorHAnsi"/>
                <w:sz w:val="16"/>
                <w:szCs w:val="16"/>
              </w:rPr>
              <w:t>9</w:t>
            </w:r>
          </w:p>
        </w:tc>
        <w:tc>
          <w:tcPr>
            <w:tcW w:w="542" w:type="pct"/>
          </w:tcPr>
          <w:p w14:paraId="720FC529"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4.7</w:t>
            </w:r>
          </w:p>
        </w:tc>
        <w:tc>
          <w:tcPr>
            <w:tcW w:w="579" w:type="pct"/>
          </w:tcPr>
          <w:p w14:paraId="620BAFBA"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N/A</w:t>
            </w:r>
          </w:p>
        </w:tc>
      </w:tr>
      <w:tr w:rsidR="00CC0F10" w:rsidRPr="00EE0008" w14:paraId="3B13396F" w14:textId="77777777" w:rsidTr="007C118C">
        <w:tc>
          <w:tcPr>
            <w:tcW w:w="797" w:type="pct"/>
          </w:tcPr>
          <w:p w14:paraId="32C2928A" w14:textId="0D01C973" w:rsidR="00CC0F10" w:rsidRPr="00EE0008" w:rsidRDefault="00CC0F10" w:rsidP="003D1CA1">
            <w:pPr>
              <w:pStyle w:val="ListParagraph"/>
              <w:numPr>
                <w:ilvl w:val="0"/>
                <w:numId w:val="13"/>
              </w:numPr>
              <w:ind w:left="321" w:right="37" w:hanging="321"/>
              <w:rPr>
                <w:sz w:val="16"/>
                <w:szCs w:val="16"/>
              </w:rPr>
            </w:pPr>
            <w:proofErr w:type="spellStart"/>
            <w:r w:rsidRPr="00EE0008">
              <w:rPr>
                <w:sz w:val="16"/>
                <w:szCs w:val="16"/>
              </w:rPr>
              <w:t>All</w:t>
            </w:r>
            <w:r w:rsidRPr="00EE0008">
              <w:rPr>
                <w:sz w:val="16"/>
                <w:szCs w:val="16"/>
                <w:vertAlign w:val="superscript"/>
              </w:rPr>
              <w:t>a</w:t>
            </w:r>
            <w:proofErr w:type="spellEnd"/>
          </w:p>
        </w:tc>
        <w:tc>
          <w:tcPr>
            <w:tcW w:w="534" w:type="pct"/>
          </w:tcPr>
          <w:p w14:paraId="6D7C84C8" w14:textId="77777777" w:rsidR="00CC0F10" w:rsidRPr="00EE0008" w:rsidRDefault="00CC0F10" w:rsidP="003D1CA1">
            <w:pPr>
              <w:ind w:right="37"/>
              <w:jc w:val="center"/>
              <w:rPr>
                <w:rFonts w:asciiTheme="minorHAnsi" w:hAnsiTheme="minorHAnsi" w:cstheme="minorHAnsi"/>
                <w:sz w:val="16"/>
                <w:szCs w:val="16"/>
              </w:rPr>
            </w:pPr>
            <w:r w:rsidRPr="00EE0008">
              <w:rPr>
                <w:rFonts w:asciiTheme="minorHAnsi" w:hAnsiTheme="minorHAnsi" w:cstheme="minorHAnsi"/>
                <w:sz w:val="16"/>
                <w:szCs w:val="16"/>
              </w:rPr>
              <w:t xml:space="preserve">Self-directed </w:t>
            </w:r>
            <w:proofErr w:type="spellStart"/>
            <w:r w:rsidRPr="00EE0008">
              <w:rPr>
                <w:rFonts w:asciiTheme="minorHAnsi" w:hAnsiTheme="minorHAnsi" w:cstheme="minorHAnsi"/>
                <w:sz w:val="16"/>
                <w:szCs w:val="16"/>
              </w:rPr>
              <w:t>iCBT</w:t>
            </w:r>
            <w:proofErr w:type="spellEnd"/>
          </w:p>
        </w:tc>
        <w:tc>
          <w:tcPr>
            <w:tcW w:w="661" w:type="pct"/>
          </w:tcPr>
          <w:p w14:paraId="5CFEE5E4"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K10</w:t>
            </w:r>
          </w:p>
        </w:tc>
        <w:tc>
          <w:tcPr>
            <w:tcW w:w="348" w:type="pct"/>
          </w:tcPr>
          <w:p w14:paraId="39C631C6"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1,350</w:t>
            </w:r>
          </w:p>
        </w:tc>
        <w:tc>
          <w:tcPr>
            <w:tcW w:w="455" w:type="pct"/>
          </w:tcPr>
          <w:p w14:paraId="03703986" w14:textId="338F5DB4"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29.4</w:t>
            </w:r>
          </w:p>
        </w:tc>
        <w:tc>
          <w:tcPr>
            <w:tcW w:w="572" w:type="pct"/>
          </w:tcPr>
          <w:p w14:paraId="035B6CD3"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7.0</w:t>
            </w:r>
          </w:p>
        </w:tc>
        <w:tc>
          <w:tcPr>
            <w:tcW w:w="252" w:type="pct"/>
          </w:tcPr>
          <w:p w14:paraId="656A9565"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600</w:t>
            </w:r>
          </w:p>
        </w:tc>
        <w:tc>
          <w:tcPr>
            <w:tcW w:w="260" w:type="pct"/>
          </w:tcPr>
          <w:p w14:paraId="44F22D1E" w14:textId="48962602"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21.</w:t>
            </w:r>
            <w:r w:rsidR="004756F5" w:rsidRPr="00EE0008">
              <w:rPr>
                <w:rFonts w:asciiTheme="minorHAnsi" w:hAnsiTheme="minorHAnsi"/>
                <w:sz w:val="16"/>
                <w:szCs w:val="16"/>
              </w:rPr>
              <w:t>2</w:t>
            </w:r>
          </w:p>
        </w:tc>
        <w:tc>
          <w:tcPr>
            <w:tcW w:w="542" w:type="pct"/>
          </w:tcPr>
          <w:p w14:paraId="19B9A12E"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8.0</w:t>
            </w:r>
          </w:p>
        </w:tc>
        <w:tc>
          <w:tcPr>
            <w:tcW w:w="579" w:type="pct"/>
          </w:tcPr>
          <w:p w14:paraId="01692DEB"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N/A</w:t>
            </w:r>
          </w:p>
        </w:tc>
      </w:tr>
      <w:tr w:rsidR="00CC0F10" w:rsidRPr="00EE0008" w14:paraId="3FF13B52" w14:textId="77777777" w:rsidTr="007C118C">
        <w:tc>
          <w:tcPr>
            <w:tcW w:w="797" w:type="pct"/>
          </w:tcPr>
          <w:p w14:paraId="6B8F1F7B" w14:textId="6378E796" w:rsidR="00CC0F10" w:rsidRPr="00EE0008" w:rsidRDefault="00CC0F10" w:rsidP="003D1CA1">
            <w:pPr>
              <w:pStyle w:val="ListParagraph"/>
              <w:numPr>
                <w:ilvl w:val="0"/>
                <w:numId w:val="13"/>
              </w:numPr>
              <w:ind w:left="321" w:right="37" w:hanging="321"/>
              <w:rPr>
                <w:sz w:val="16"/>
                <w:szCs w:val="16"/>
              </w:rPr>
            </w:pPr>
            <w:proofErr w:type="spellStart"/>
            <w:r w:rsidRPr="00EE0008">
              <w:rPr>
                <w:sz w:val="16"/>
                <w:szCs w:val="16"/>
              </w:rPr>
              <w:t>All</w:t>
            </w:r>
            <w:r w:rsidRPr="00EE0008">
              <w:rPr>
                <w:sz w:val="16"/>
                <w:szCs w:val="16"/>
                <w:vertAlign w:val="superscript"/>
              </w:rPr>
              <w:t>a</w:t>
            </w:r>
            <w:proofErr w:type="spellEnd"/>
          </w:p>
        </w:tc>
        <w:tc>
          <w:tcPr>
            <w:tcW w:w="534" w:type="pct"/>
          </w:tcPr>
          <w:p w14:paraId="6CB793EA" w14:textId="77777777" w:rsidR="00CC0F10" w:rsidRPr="00EE0008" w:rsidRDefault="00CC0F10" w:rsidP="003D1CA1">
            <w:pPr>
              <w:ind w:right="37"/>
              <w:jc w:val="center"/>
              <w:rPr>
                <w:rFonts w:asciiTheme="minorHAnsi" w:hAnsiTheme="minorHAnsi" w:cstheme="minorHAnsi"/>
                <w:sz w:val="16"/>
                <w:szCs w:val="16"/>
              </w:rPr>
            </w:pPr>
            <w:r w:rsidRPr="00EE0008">
              <w:rPr>
                <w:rFonts w:asciiTheme="minorHAnsi" w:hAnsiTheme="minorHAnsi" w:cstheme="minorHAnsi"/>
                <w:sz w:val="16"/>
                <w:szCs w:val="16"/>
              </w:rPr>
              <w:t xml:space="preserve">Self-directed </w:t>
            </w:r>
            <w:proofErr w:type="spellStart"/>
            <w:r w:rsidRPr="00EE0008">
              <w:rPr>
                <w:rFonts w:asciiTheme="minorHAnsi" w:hAnsiTheme="minorHAnsi" w:cstheme="minorHAnsi"/>
                <w:sz w:val="16"/>
                <w:szCs w:val="16"/>
              </w:rPr>
              <w:t>iCBT</w:t>
            </w:r>
            <w:proofErr w:type="spellEnd"/>
          </w:p>
        </w:tc>
        <w:tc>
          <w:tcPr>
            <w:tcW w:w="661" w:type="pct"/>
          </w:tcPr>
          <w:p w14:paraId="59B256F1"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PHQ-9</w:t>
            </w:r>
          </w:p>
        </w:tc>
        <w:tc>
          <w:tcPr>
            <w:tcW w:w="348" w:type="pct"/>
          </w:tcPr>
          <w:p w14:paraId="29BE3AC9"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1,350</w:t>
            </w:r>
          </w:p>
        </w:tc>
        <w:tc>
          <w:tcPr>
            <w:tcW w:w="455" w:type="pct"/>
          </w:tcPr>
          <w:p w14:paraId="01E205B1" w14:textId="1524571F"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12.8</w:t>
            </w:r>
          </w:p>
        </w:tc>
        <w:tc>
          <w:tcPr>
            <w:tcW w:w="572" w:type="pct"/>
          </w:tcPr>
          <w:p w14:paraId="57011484"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5.8</w:t>
            </w:r>
          </w:p>
        </w:tc>
        <w:tc>
          <w:tcPr>
            <w:tcW w:w="252" w:type="pct"/>
          </w:tcPr>
          <w:p w14:paraId="5F7CF527"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600</w:t>
            </w:r>
          </w:p>
        </w:tc>
        <w:tc>
          <w:tcPr>
            <w:tcW w:w="260" w:type="pct"/>
          </w:tcPr>
          <w:p w14:paraId="57D5CAE8"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6.6</w:t>
            </w:r>
          </w:p>
        </w:tc>
        <w:tc>
          <w:tcPr>
            <w:tcW w:w="542" w:type="pct"/>
          </w:tcPr>
          <w:p w14:paraId="3FD61C25"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5.4</w:t>
            </w:r>
          </w:p>
        </w:tc>
        <w:tc>
          <w:tcPr>
            <w:tcW w:w="579" w:type="pct"/>
          </w:tcPr>
          <w:p w14:paraId="14028692"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N/A</w:t>
            </w:r>
          </w:p>
        </w:tc>
      </w:tr>
      <w:tr w:rsidR="00CC0F10" w:rsidRPr="00B276EB" w14:paraId="2FB4ED64" w14:textId="77777777" w:rsidTr="007C118C">
        <w:tc>
          <w:tcPr>
            <w:tcW w:w="797" w:type="pct"/>
          </w:tcPr>
          <w:p w14:paraId="247DA00B" w14:textId="6FC79908" w:rsidR="00CC0F10" w:rsidRPr="00EE0008" w:rsidRDefault="00CC0F10" w:rsidP="003D1CA1">
            <w:pPr>
              <w:pStyle w:val="ListParagraph"/>
              <w:numPr>
                <w:ilvl w:val="0"/>
                <w:numId w:val="13"/>
              </w:numPr>
              <w:ind w:left="321" w:right="37" w:hanging="321"/>
              <w:rPr>
                <w:sz w:val="16"/>
                <w:szCs w:val="16"/>
              </w:rPr>
            </w:pPr>
            <w:proofErr w:type="spellStart"/>
            <w:r w:rsidRPr="00EE0008">
              <w:rPr>
                <w:sz w:val="16"/>
                <w:szCs w:val="16"/>
              </w:rPr>
              <w:t>All</w:t>
            </w:r>
            <w:r w:rsidRPr="00EE0008">
              <w:rPr>
                <w:sz w:val="16"/>
                <w:szCs w:val="16"/>
                <w:vertAlign w:val="superscript"/>
              </w:rPr>
              <w:t>a</w:t>
            </w:r>
            <w:proofErr w:type="spellEnd"/>
          </w:p>
        </w:tc>
        <w:tc>
          <w:tcPr>
            <w:tcW w:w="534" w:type="pct"/>
          </w:tcPr>
          <w:p w14:paraId="02718504" w14:textId="77777777" w:rsidR="00CC0F10" w:rsidRPr="00EE0008" w:rsidRDefault="00CC0F10" w:rsidP="003D1CA1">
            <w:pPr>
              <w:ind w:right="37"/>
              <w:jc w:val="center"/>
              <w:rPr>
                <w:rFonts w:asciiTheme="minorHAnsi" w:hAnsiTheme="minorHAnsi" w:cstheme="minorHAnsi"/>
                <w:sz w:val="16"/>
                <w:szCs w:val="16"/>
              </w:rPr>
            </w:pPr>
            <w:r w:rsidRPr="00EE0008">
              <w:rPr>
                <w:rFonts w:asciiTheme="minorHAnsi" w:hAnsiTheme="minorHAnsi" w:cstheme="minorHAnsi"/>
                <w:sz w:val="16"/>
                <w:szCs w:val="16"/>
              </w:rPr>
              <w:t xml:space="preserve">Self-directed </w:t>
            </w:r>
            <w:proofErr w:type="spellStart"/>
            <w:r w:rsidRPr="00EE0008">
              <w:rPr>
                <w:rFonts w:asciiTheme="minorHAnsi" w:hAnsiTheme="minorHAnsi" w:cstheme="minorHAnsi"/>
                <w:sz w:val="16"/>
                <w:szCs w:val="16"/>
              </w:rPr>
              <w:t>iCBT</w:t>
            </w:r>
            <w:proofErr w:type="spellEnd"/>
          </w:p>
        </w:tc>
        <w:tc>
          <w:tcPr>
            <w:tcW w:w="661" w:type="pct"/>
          </w:tcPr>
          <w:p w14:paraId="580894B6"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GAD-7</w:t>
            </w:r>
          </w:p>
        </w:tc>
        <w:tc>
          <w:tcPr>
            <w:tcW w:w="348" w:type="pct"/>
          </w:tcPr>
          <w:p w14:paraId="5C3DF50A"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1,350</w:t>
            </w:r>
          </w:p>
        </w:tc>
        <w:tc>
          <w:tcPr>
            <w:tcW w:w="455" w:type="pct"/>
          </w:tcPr>
          <w:p w14:paraId="4FEE7931" w14:textId="5BAAFB6C"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11.6</w:t>
            </w:r>
          </w:p>
        </w:tc>
        <w:tc>
          <w:tcPr>
            <w:tcW w:w="572" w:type="pct"/>
          </w:tcPr>
          <w:p w14:paraId="0AAC309C"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5.0</w:t>
            </w:r>
          </w:p>
        </w:tc>
        <w:tc>
          <w:tcPr>
            <w:tcW w:w="252" w:type="pct"/>
          </w:tcPr>
          <w:p w14:paraId="0AD1820E"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600</w:t>
            </w:r>
          </w:p>
        </w:tc>
        <w:tc>
          <w:tcPr>
            <w:tcW w:w="260" w:type="pct"/>
          </w:tcPr>
          <w:p w14:paraId="2276FB1A"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6.2</w:t>
            </w:r>
          </w:p>
        </w:tc>
        <w:tc>
          <w:tcPr>
            <w:tcW w:w="542" w:type="pct"/>
          </w:tcPr>
          <w:p w14:paraId="498BC7C5"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4.9</w:t>
            </w:r>
          </w:p>
        </w:tc>
        <w:tc>
          <w:tcPr>
            <w:tcW w:w="579" w:type="pct"/>
          </w:tcPr>
          <w:p w14:paraId="127BBAAB" w14:textId="77777777" w:rsidR="00CC0F10" w:rsidRPr="00EE0008" w:rsidRDefault="00CC0F10" w:rsidP="003D1CA1">
            <w:pPr>
              <w:jc w:val="center"/>
              <w:rPr>
                <w:rFonts w:asciiTheme="minorHAnsi" w:hAnsiTheme="minorHAnsi"/>
                <w:sz w:val="16"/>
                <w:szCs w:val="16"/>
              </w:rPr>
            </w:pPr>
            <w:r w:rsidRPr="00EE0008">
              <w:rPr>
                <w:rFonts w:asciiTheme="minorHAnsi" w:hAnsiTheme="minorHAnsi"/>
                <w:sz w:val="16"/>
                <w:szCs w:val="16"/>
              </w:rPr>
              <w:t>N/A</w:t>
            </w:r>
          </w:p>
        </w:tc>
      </w:tr>
      <w:tr w:rsidR="00D31E3E" w:rsidRPr="00B276EB" w14:paraId="0951AA14" w14:textId="77777777" w:rsidTr="007C118C">
        <w:tc>
          <w:tcPr>
            <w:tcW w:w="797" w:type="pct"/>
          </w:tcPr>
          <w:p w14:paraId="5245C6D9" w14:textId="51B9C905" w:rsidR="00D31E3E" w:rsidRPr="00B276EB" w:rsidRDefault="00D31E3E" w:rsidP="003D1CA1">
            <w:pPr>
              <w:pStyle w:val="ListParagraph"/>
              <w:numPr>
                <w:ilvl w:val="0"/>
                <w:numId w:val="13"/>
              </w:numPr>
              <w:ind w:left="321" w:right="37" w:hanging="321"/>
              <w:rPr>
                <w:sz w:val="16"/>
                <w:szCs w:val="16"/>
              </w:rPr>
            </w:pPr>
            <w:proofErr w:type="spellStart"/>
            <w:r w:rsidRPr="00B276EB">
              <w:rPr>
                <w:sz w:val="16"/>
                <w:szCs w:val="16"/>
              </w:rPr>
              <w:t>All</w:t>
            </w:r>
            <w:r w:rsidR="00F903F4" w:rsidRPr="00B276EB">
              <w:rPr>
                <w:sz w:val="16"/>
                <w:szCs w:val="16"/>
                <w:vertAlign w:val="superscript"/>
              </w:rPr>
              <w:t>b</w:t>
            </w:r>
            <w:proofErr w:type="spellEnd"/>
          </w:p>
        </w:tc>
        <w:tc>
          <w:tcPr>
            <w:tcW w:w="534" w:type="pct"/>
          </w:tcPr>
          <w:p w14:paraId="59EA6300" w14:textId="21FC7DB8" w:rsidR="00D31E3E" w:rsidRPr="00B276EB" w:rsidRDefault="00D31E3E" w:rsidP="003D1CA1">
            <w:pPr>
              <w:ind w:right="37"/>
              <w:jc w:val="center"/>
              <w:rPr>
                <w:rFonts w:asciiTheme="minorHAnsi" w:hAnsiTheme="minorHAnsi" w:cstheme="minorHAnsi"/>
                <w:sz w:val="16"/>
                <w:szCs w:val="16"/>
              </w:rPr>
            </w:pPr>
            <w:r w:rsidRPr="00B276EB">
              <w:rPr>
                <w:rFonts w:asciiTheme="minorHAnsi" w:hAnsiTheme="minorHAnsi" w:cstheme="minorHAnsi"/>
                <w:sz w:val="16"/>
                <w:szCs w:val="16"/>
              </w:rPr>
              <w:t xml:space="preserve">Supported </w:t>
            </w:r>
            <w:proofErr w:type="spellStart"/>
            <w:r w:rsidRPr="00B276EB">
              <w:rPr>
                <w:rFonts w:asciiTheme="minorHAnsi" w:hAnsiTheme="minorHAnsi" w:cstheme="minorHAnsi"/>
                <w:sz w:val="16"/>
                <w:szCs w:val="16"/>
              </w:rPr>
              <w:t>iCBT</w:t>
            </w:r>
            <w:proofErr w:type="spellEnd"/>
          </w:p>
        </w:tc>
        <w:tc>
          <w:tcPr>
            <w:tcW w:w="661" w:type="pct"/>
          </w:tcPr>
          <w:p w14:paraId="0FE4CD9F" w14:textId="0297BA05" w:rsidR="00D31E3E" w:rsidRPr="00B276EB" w:rsidRDefault="00D31E3E" w:rsidP="003D1CA1">
            <w:pPr>
              <w:jc w:val="center"/>
              <w:rPr>
                <w:rFonts w:asciiTheme="minorHAnsi" w:hAnsiTheme="minorHAnsi"/>
                <w:sz w:val="16"/>
                <w:szCs w:val="16"/>
              </w:rPr>
            </w:pPr>
            <w:r w:rsidRPr="00B276EB">
              <w:rPr>
                <w:rFonts w:asciiTheme="minorHAnsi" w:hAnsiTheme="minorHAnsi"/>
                <w:sz w:val="16"/>
                <w:szCs w:val="16"/>
              </w:rPr>
              <w:t>K10</w:t>
            </w:r>
          </w:p>
        </w:tc>
        <w:tc>
          <w:tcPr>
            <w:tcW w:w="348" w:type="pct"/>
          </w:tcPr>
          <w:p w14:paraId="57B0FF56" w14:textId="39DD559D" w:rsidR="00D31E3E" w:rsidRPr="00B276EB" w:rsidRDefault="00D31E3E" w:rsidP="003D1CA1">
            <w:pPr>
              <w:jc w:val="center"/>
              <w:rPr>
                <w:rFonts w:asciiTheme="minorHAnsi" w:hAnsiTheme="minorHAnsi"/>
                <w:sz w:val="16"/>
                <w:szCs w:val="16"/>
              </w:rPr>
            </w:pPr>
            <w:r w:rsidRPr="00B276EB">
              <w:rPr>
                <w:rFonts w:asciiTheme="minorHAnsi" w:hAnsiTheme="minorHAnsi"/>
                <w:sz w:val="16"/>
                <w:szCs w:val="16"/>
              </w:rPr>
              <w:t>21,745</w:t>
            </w:r>
          </w:p>
        </w:tc>
        <w:tc>
          <w:tcPr>
            <w:tcW w:w="455" w:type="pct"/>
          </w:tcPr>
          <w:p w14:paraId="3C407762" w14:textId="11D40C68" w:rsidR="00D31E3E" w:rsidRPr="00B276EB" w:rsidRDefault="00D31E3E" w:rsidP="003D1CA1">
            <w:pPr>
              <w:jc w:val="center"/>
              <w:rPr>
                <w:rFonts w:asciiTheme="minorHAnsi" w:hAnsiTheme="minorHAnsi"/>
                <w:sz w:val="16"/>
                <w:szCs w:val="16"/>
              </w:rPr>
            </w:pPr>
            <w:r w:rsidRPr="00B276EB">
              <w:rPr>
                <w:rFonts w:asciiTheme="minorHAnsi" w:hAnsiTheme="minorHAnsi"/>
                <w:sz w:val="16"/>
                <w:szCs w:val="16"/>
              </w:rPr>
              <w:t>30.1</w:t>
            </w:r>
          </w:p>
        </w:tc>
        <w:tc>
          <w:tcPr>
            <w:tcW w:w="572" w:type="pct"/>
          </w:tcPr>
          <w:p w14:paraId="1030CF15" w14:textId="67AEB891" w:rsidR="00D31E3E" w:rsidRPr="00B276EB" w:rsidRDefault="00D31E3E" w:rsidP="003D1CA1">
            <w:pPr>
              <w:jc w:val="center"/>
              <w:rPr>
                <w:rFonts w:asciiTheme="minorHAnsi" w:hAnsiTheme="minorHAnsi"/>
                <w:sz w:val="16"/>
                <w:szCs w:val="16"/>
              </w:rPr>
            </w:pPr>
            <w:r w:rsidRPr="00B276EB">
              <w:rPr>
                <w:rFonts w:asciiTheme="minorHAnsi" w:hAnsiTheme="minorHAnsi"/>
                <w:sz w:val="16"/>
                <w:szCs w:val="16"/>
              </w:rPr>
              <w:t>6.9</w:t>
            </w:r>
          </w:p>
        </w:tc>
        <w:tc>
          <w:tcPr>
            <w:tcW w:w="252" w:type="pct"/>
          </w:tcPr>
          <w:p w14:paraId="3B85225C" w14:textId="1C55485E" w:rsidR="00D31E3E" w:rsidRPr="00B276EB" w:rsidRDefault="00D31E3E" w:rsidP="003D1CA1">
            <w:pPr>
              <w:jc w:val="center"/>
              <w:rPr>
                <w:rFonts w:asciiTheme="minorHAnsi" w:hAnsiTheme="minorHAnsi"/>
                <w:sz w:val="16"/>
                <w:szCs w:val="16"/>
              </w:rPr>
            </w:pPr>
            <w:r w:rsidRPr="00B276EB">
              <w:rPr>
                <w:rFonts w:asciiTheme="minorHAnsi" w:hAnsiTheme="minorHAnsi"/>
                <w:sz w:val="16"/>
                <w:szCs w:val="16"/>
              </w:rPr>
              <w:t>21,745</w:t>
            </w:r>
          </w:p>
        </w:tc>
        <w:tc>
          <w:tcPr>
            <w:tcW w:w="260" w:type="pct"/>
          </w:tcPr>
          <w:p w14:paraId="7D83F311" w14:textId="01D8CA76" w:rsidR="00D31E3E" w:rsidRPr="00B276EB" w:rsidRDefault="00D31E3E" w:rsidP="003D1CA1">
            <w:pPr>
              <w:jc w:val="center"/>
              <w:rPr>
                <w:rFonts w:asciiTheme="minorHAnsi" w:hAnsiTheme="minorHAnsi"/>
                <w:sz w:val="16"/>
                <w:szCs w:val="16"/>
              </w:rPr>
            </w:pPr>
            <w:r w:rsidRPr="00B276EB">
              <w:rPr>
                <w:rFonts w:asciiTheme="minorHAnsi" w:hAnsiTheme="minorHAnsi"/>
                <w:sz w:val="16"/>
                <w:szCs w:val="16"/>
              </w:rPr>
              <w:t>20.8</w:t>
            </w:r>
          </w:p>
        </w:tc>
        <w:tc>
          <w:tcPr>
            <w:tcW w:w="542" w:type="pct"/>
          </w:tcPr>
          <w:p w14:paraId="4A10D69A" w14:textId="1841E91B" w:rsidR="00D31E3E" w:rsidRPr="00021CAB" w:rsidRDefault="00D31E3E" w:rsidP="003D1CA1">
            <w:pPr>
              <w:jc w:val="center"/>
              <w:rPr>
                <w:rFonts w:asciiTheme="minorHAnsi" w:hAnsiTheme="minorHAnsi"/>
                <w:sz w:val="16"/>
                <w:szCs w:val="16"/>
              </w:rPr>
            </w:pPr>
            <w:r w:rsidRPr="00021CAB">
              <w:rPr>
                <w:rFonts w:asciiTheme="minorHAnsi" w:hAnsiTheme="minorHAnsi"/>
                <w:sz w:val="16"/>
                <w:szCs w:val="16"/>
              </w:rPr>
              <w:t>6.2</w:t>
            </w:r>
          </w:p>
        </w:tc>
        <w:tc>
          <w:tcPr>
            <w:tcW w:w="579" w:type="pct"/>
          </w:tcPr>
          <w:p w14:paraId="03059C81" w14:textId="3C06C4A7" w:rsidR="00D31E3E" w:rsidRPr="00021CAB" w:rsidRDefault="00D31E3E" w:rsidP="003D1CA1">
            <w:pPr>
              <w:jc w:val="center"/>
              <w:rPr>
                <w:rFonts w:asciiTheme="minorHAnsi" w:hAnsiTheme="minorHAnsi"/>
                <w:sz w:val="16"/>
                <w:szCs w:val="16"/>
              </w:rPr>
            </w:pPr>
            <w:r w:rsidRPr="00021CAB">
              <w:rPr>
                <w:rFonts w:asciiTheme="minorHAnsi" w:hAnsiTheme="minorHAnsi"/>
                <w:sz w:val="16"/>
                <w:szCs w:val="16"/>
              </w:rPr>
              <w:t>d=1.42 (1.40</w:t>
            </w:r>
            <w:r w:rsidR="00E45DB3" w:rsidRPr="00021CAB">
              <w:rPr>
                <w:rFonts w:asciiTheme="minorHAnsi" w:hAnsiTheme="minorHAnsi"/>
                <w:sz w:val="16"/>
                <w:szCs w:val="16"/>
              </w:rPr>
              <w:t xml:space="preserve">, </w:t>
            </w:r>
            <w:r w:rsidRPr="00021CAB">
              <w:rPr>
                <w:rFonts w:asciiTheme="minorHAnsi" w:hAnsiTheme="minorHAnsi"/>
                <w:sz w:val="16"/>
                <w:szCs w:val="16"/>
              </w:rPr>
              <w:t>1.44)</w:t>
            </w:r>
          </w:p>
        </w:tc>
      </w:tr>
      <w:tr w:rsidR="00D31E3E" w:rsidRPr="00B276EB" w14:paraId="59A16A9F" w14:textId="77777777" w:rsidTr="007C118C">
        <w:tc>
          <w:tcPr>
            <w:tcW w:w="797" w:type="pct"/>
          </w:tcPr>
          <w:p w14:paraId="219E1052" w14:textId="3E610C98" w:rsidR="00D31E3E" w:rsidRPr="00B276EB" w:rsidRDefault="00D31E3E" w:rsidP="003D1CA1">
            <w:pPr>
              <w:pStyle w:val="ListParagraph"/>
              <w:numPr>
                <w:ilvl w:val="0"/>
                <w:numId w:val="13"/>
              </w:numPr>
              <w:ind w:left="321" w:right="37" w:hanging="321"/>
              <w:rPr>
                <w:sz w:val="16"/>
                <w:szCs w:val="16"/>
              </w:rPr>
            </w:pPr>
            <w:proofErr w:type="spellStart"/>
            <w:r w:rsidRPr="00B276EB">
              <w:rPr>
                <w:sz w:val="16"/>
                <w:szCs w:val="16"/>
              </w:rPr>
              <w:t>All</w:t>
            </w:r>
            <w:r w:rsidR="00F903F4" w:rsidRPr="00B276EB">
              <w:rPr>
                <w:sz w:val="16"/>
                <w:szCs w:val="16"/>
                <w:vertAlign w:val="superscript"/>
              </w:rPr>
              <w:t>b</w:t>
            </w:r>
            <w:proofErr w:type="spellEnd"/>
          </w:p>
        </w:tc>
        <w:tc>
          <w:tcPr>
            <w:tcW w:w="534" w:type="pct"/>
          </w:tcPr>
          <w:p w14:paraId="47E4D009" w14:textId="12997349" w:rsidR="00D31E3E" w:rsidRPr="00B276EB" w:rsidRDefault="00D31E3E" w:rsidP="003D1CA1">
            <w:pPr>
              <w:ind w:right="37"/>
              <w:jc w:val="center"/>
              <w:rPr>
                <w:rFonts w:asciiTheme="minorHAnsi" w:hAnsiTheme="minorHAnsi" w:cstheme="minorHAnsi"/>
                <w:sz w:val="16"/>
                <w:szCs w:val="16"/>
              </w:rPr>
            </w:pPr>
            <w:r w:rsidRPr="00B276EB">
              <w:rPr>
                <w:rFonts w:asciiTheme="minorHAnsi" w:hAnsiTheme="minorHAnsi" w:cstheme="minorHAnsi"/>
                <w:sz w:val="16"/>
                <w:szCs w:val="16"/>
              </w:rPr>
              <w:t xml:space="preserve">Supported </w:t>
            </w:r>
            <w:proofErr w:type="spellStart"/>
            <w:r w:rsidRPr="00B276EB">
              <w:rPr>
                <w:rFonts w:asciiTheme="minorHAnsi" w:hAnsiTheme="minorHAnsi" w:cstheme="minorHAnsi"/>
                <w:sz w:val="16"/>
                <w:szCs w:val="16"/>
              </w:rPr>
              <w:t>iCBT</w:t>
            </w:r>
            <w:proofErr w:type="spellEnd"/>
          </w:p>
        </w:tc>
        <w:tc>
          <w:tcPr>
            <w:tcW w:w="661" w:type="pct"/>
          </w:tcPr>
          <w:p w14:paraId="300DD697" w14:textId="1A943E7E" w:rsidR="00D31E3E" w:rsidRPr="00B276EB" w:rsidRDefault="00D31E3E" w:rsidP="003D1CA1">
            <w:pPr>
              <w:jc w:val="center"/>
              <w:rPr>
                <w:rFonts w:asciiTheme="minorHAnsi" w:hAnsiTheme="minorHAnsi"/>
                <w:sz w:val="16"/>
                <w:szCs w:val="16"/>
              </w:rPr>
            </w:pPr>
            <w:r w:rsidRPr="00B276EB">
              <w:rPr>
                <w:rFonts w:asciiTheme="minorHAnsi" w:hAnsiTheme="minorHAnsi"/>
                <w:sz w:val="16"/>
                <w:szCs w:val="16"/>
              </w:rPr>
              <w:t>PHQ-9</w:t>
            </w:r>
          </w:p>
        </w:tc>
        <w:tc>
          <w:tcPr>
            <w:tcW w:w="348" w:type="pct"/>
          </w:tcPr>
          <w:p w14:paraId="1DEE3939" w14:textId="206FF191" w:rsidR="00D31E3E" w:rsidRPr="00B276EB" w:rsidRDefault="00D31E3E" w:rsidP="003D1CA1">
            <w:pPr>
              <w:jc w:val="center"/>
              <w:rPr>
                <w:rFonts w:asciiTheme="minorHAnsi" w:hAnsiTheme="minorHAnsi"/>
                <w:sz w:val="16"/>
                <w:szCs w:val="16"/>
              </w:rPr>
            </w:pPr>
            <w:r w:rsidRPr="00B276EB">
              <w:rPr>
                <w:rFonts w:asciiTheme="minorHAnsi" w:hAnsiTheme="minorHAnsi"/>
                <w:sz w:val="16"/>
                <w:szCs w:val="16"/>
              </w:rPr>
              <w:t>21,745</w:t>
            </w:r>
          </w:p>
        </w:tc>
        <w:tc>
          <w:tcPr>
            <w:tcW w:w="455" w:type="pct"/>
          </w:tcPr>
          <w:p w14:paraId="5715F56E" w14:textId="2F33E549" w:rsidR="00D31E3E" w:rsidRPr="00B276EB" w:rsidRDefault="00084738" w:rsidP="003D1CA1">
            <w:pPr>
              <w:jc w:val="center"/>
              <w:rPr>
                <w:rFonts w:asciiTheme="minorHAnsi" w:hAnsiTheme="minorHAnsi"/>
                <w:sz w:val="16"/>
                <w:szCs w:val="16"/>
              </w:rPr>
            </w:pPr>
            <w:r w:rsidRPr="00B276EB">
              <w:rPr>
                <w:rFonts w:asciiTheme="minorHAnsi" w:hAnsiTheme="minorHAnsi"/>
                <w:sz w:val="16"/>
                <w:szCs w:val="16"/>
              </w:rPr>
              <w:t>13.6</w:t>
            </w:r>
          </w:p>
        </w:tc>
        <w:tc>
          <w:tcPr>
            <w:tcW w:w="572" w:type="pct"/>
          </w:tcPr>
          <w:p w14:paraId="00755FDF" w14:textId="20FB6109" w:rsidR="00D31E3E" w:rsidRPr="00B276EB" w:rsidRDefault="00084738" w:rsidP="003D1CA1">
            <w:pPr>
              <w:jc w:val="center"/>
              <w:rPr>
                <w:rFonts w:asciiTheme="minorHAnsi" w:hAnsiTheme="minorHAnsi"/>
                <w:sz w:val="16"/>
                <w:szCs w:val="16"/>
              </w:rPr>
            </w:pPr>
            <w:r w:rsidRPr="00B276EB">
              <w:rPr>
                <w:rFonts w:asciiTheme="minorHAnsi" w:hAnsiTheme="minorHAnsi"/>
                <w:sz w:val="16"/>
                <w:szCs w:val="16"/>
              </w:rPr>
              <w:t>5.9</w:t>
            </w:r>
          </w:p>
        </w:tc>
        <w:tc>
          <w:tcPr>
            <w:tcW w:w="252" w:type="pct"/>
          </w:tcPr>
          <w:p w14:paraId="31EB987F" w14:textId="0EC5F872" w:rsidR="00D31E3E" w:rsidRPr="00B276EB" w:rsidRDefault="00D31E3E" w:rsidP="003D1CA1">
            <w:pPr>
              <w:jc w:val="center"/>
              <w:rPr>
                <w:rFonts w:asciiTheme="minorHAnsi" w:hAnsiTheme="minorHAnsi"/>
                <w:sz w:val="16"/>
                <w:szCs w:val="16"/>
              </w:rPr>
            </w:pPr>
            <w:r w:rsidRPr="00B276EB">
              <w:rPr>
                <w:rFonts w:asciiTheme="minorHAnsi" w:hAnsiTheme="minorHAnsi"/>
                <w:sz w:val="16"/>
                <w:szCs w:val="16"/>
              </w:rPr>
              <w:t>21,745</w:t>
            </w:r>
          </w:p>
        </w:tc>
        <w:tc>
          <w:tcPr>
            <w:tcW w:w="260" w:type="pct"/>
          </w:tcPr>
          <w:p w14:paraId="3646199A" w14:textId="7876E9EE" w:rsidR="00D31E3E" w:rsidRPr="00B276EB" w:rsidRDefault="00084738" w:rsidP="003D1CA1">
            <w:pPr>
              <w:jc w:val="center"/>
              <w:rPr>
                <w:rFonts w:asciiTheme="minorHAnsi" w:hAnsiTheme="minorHAnsi"/>
                <w:sz w:val="16"/>
                <w:szCs w:val="16"/>
              </w:rPr>
            </w:pPr>
            <w:r w:rsidRPr="00B276EB">
              <w:rPr>
                <w:rFonts w:asciiTheme="minorHAnsi" w:hAnsiTheme="minorHAnsi"/>
                <w:sz w:val="16"/>
                <w:szCs w:val="16"/>
              </w:rPr>
              <w:t>6.5</w:t>
            </w:r>
          </w:p>
        </w:tc>
        <w:tc>
          <w:tcPr>
            <w:tcW w:w="542" w:type="pct"/>
          </w:tcPr>
          <w:p w14:paraId="3A5109A4" w14:textId="13497D91" w:rsidR="00D31E3E" w:rsidRPr="00021CAB" w:rsidRDefault="00084738" w:rsidP="003D1CA1">
            <w:pPr>
              <w:jc w:val="center"/>
              <w:rPr>
                <w:rFonts w:asciiTheme="minorHAnsi" w:hAnsiTheme="minorHAnsi"/>
                <w:sz w:val="16"/>
                <w:szCs w:val="16"/>
              </w:rPr>
            </w:pPr>
            <w:r w:rsidRPr="00021CAB">
              <w:rPr>
                <w:rFonts w:asciiTheme="minorHAnsi" w:hAnsiTheme="minorHAnsi"/>
                <w:sz w:val="16"/>
                <w:szCs w:val="16"/>
              </w:rPr>
              <w:t>4.2</w:t>
            </w:r>
          </w:p>
        </w:tc>
        <w:tc>
          <w:tcPr>
            <w:tcW w:w="579" w:type="pct"/>
          </w:tcPr>
          <w:p w14:paraId="51EBAEE5" w14:textId="2BB6BF39" w:rsidR="00D31E3E" w:rsidRPr="00021CAB" w:rsidRDefault="00084738" w:rsidP="003D1CA1">
            <w:pPr>
              <w:jc w:val="center"/>
              <w:rPr>
                <w:rFonts w:asciiTheme="minorHAnsi" w:hAnsiTheme="minorHAnsi"/>
                <w:sz w:val="16"/>
                <w:szCs w:val="16"/>
              </w:rPr>
            </w:pPr>
            <w:r w:rsidRPr="00021CAB">
              <w:rPr>
                <w:rFonts w:asciiTheme="minorHAnsi" w:hAnsiTheme="minorHAnsi"/>
                <w:sz w:val="16"/>
                <w:szCs w:val="16"/>
              </w:rPr>
              <w:t>d=1.40 (1.</w:t>
            </w:r>
            <w:r w:rsidR="00F44E51" w:rsidRPr="00021CAB">
              <w:rPr>
                <w:rFonts w:asciiTheme="minorHAnsi" w:hAnsiTheme="minorHAnsi"/>
                <w:sz w:val="16"/>
                <w:szCs w:val="16"/>
              </w:rPr>
              <w:t>3</w:t>
            </w:r>
            <w:r w:rsidRPr="00021CAB">
              <w:rPr>
                <w:rFonts w:asciiTheme="minorHAnsi" w:hAnsiTheme="minorHAnsi"/>
                <w:sz w:val="16"/>
                <w:szCs w:val="16"/>
              </w:rPr>
              <w:t>7</w:t>
            </w:r>
            <w:r w:rsidR="00E45DB3" w:rsidRPr="00021CAB">
              <w:rPr>
                <w:rFonts w:asciiTheme="minorHAnsi" w:hAnsiTheme="minorHAnsi"/>
                <w:sz w:val="16"/>
                <w:szCs w:val="16"/>
              </w:rPr>
              <w:t xml:space="preserve">, </w:t>
            </w:r>
            <w:r w:rsidRPr="00021CAB">
              <w:rPr>
                <w:rFonts w:asciiTheme="minorHAnsi" w:hAnsiTheme="minorHAnsi"/>
                <w:sz w:val="16"/>
                <w:szCs w:val="16"/>
              </w:rPr>
              <w:t>1.43)</w:t>
            </w:r>
          </w:p>
        </w:tc>
      </w:tr>
      <w:tr w:rsidR="00084738" w:rsidRPr="00B276EB" w14:paraId="60140759" w14:textId="77777777" w:rsidTr="007C118C">
        <w:tc>
          <w:tcPr>
            <w:tcW w:w="797" w:type="pct"/>
          </w:tcPr>
          <w:p w14:paraId="7F162000" w14:textId="52517883" w:rsidR="00084738" w:rsidRPr="00B276EB" w:rsidRDefault="00084738" w:rsidP="003D1CA1">
            <w:pPr>
              <w:pStyle w:val="ListParagraph"/>
              <w:numPr>
                <w:ilvl w:val="0"/>
                <w:numId w:val="13"/>
              </w:numPr>
              <w:ind w:left="321" w:right="37" w:hanging="321"/>
              <w:rPr>
                <w:sz w:val="16"/>
                <w:szCs w:val="16"/>
              </w:rPr>
            </w:pPr>
            <w:proofErr w:type="spellStart"/>
            <w:r w:rsidRPr="00B276EB">
              <w:rPr>
                <w:sz w:val="16"/>
                <w:szCs w:val="16"/>
              </w:rPr>
              <w:t>All</w:t>
            </w:r>
            <w:r w:rsidR="00F903F4" w:rsidRPr="00B276EB">
              <w:rPr>
                <w:sz w:val="16"/>
                <w:szCs w:val="16"/>
                <w:vertAlign w:val="superscript"/>
              </w:rPr>
              <w:t>b</w:t>
            </w:r>
            <w:proofErr w:type="spellEnd"/>
          </w:p>
        </w:tc>
        <w:tc>
          <w:tcPr>
            <w:tcW w:w="534" w:type="pct"/>
          </w:tcPr>
          <w:p w14:paraId="0ED6ABD2" w14:textId="0D328FAF" w:rsidR="00084738" w:rsidRPr="00B276EB" w:rsidRDefault="00084738" w:rsidP="003D1CA1">
            <w:pPr>
              <w:ind w:right="37"/>
              <w:jc w:val="center"/>
              <w:rPr>
                <w:rFonts w:asciiTheme="minorHAnsi" w:hAnsiTheme="minorHAnsi" w:cstheme="minorHAnsi"/>
                <w:sz w:val="16"/>
                <w:szCs w:val="16"/>
              </w:rPr>
            </w:pPr>
            <w:r w:rsidRPr="00B276EB">
              <w:rPr>
                <w:rFonts w:asciiTheme="minorHAnsi" w:hAnsiTheme="minorHAnsi" w:cstheme="minorHAnsi"/>
                <w:sz w:val="16"/>
                <w:szCs w:val="16"/>
              </w:rPr>
              <w:t xml:space="preserve">Supported </w:t>
            </w:r>
            <w:proofErr w:type="spellStart"/>
            <w:r w:rsidRPr="00B276EB">
              <w:rPr>
                <w:rFonts w:asciiTheme="minorHAnsi" w:hAnsiTheme="minorHAnsi" w:cstheme="minorHAnsi"/>
                <w:sz w:val="16"/>
                <w:szCs w:val="16"/>
              </w:rPr>
              <w:t>iCBT</w:t>
            </w:r>
            <w:proofErr w:type="spellEnd"/>
          </w:p>
        </w:tc>
        <w:tc>
          <w:tcPr>
            <w:tcW w:w="661" w:type="pct"/>
          </w:tcPr>
          <w:p w14:paraId="5C8A48AA" w14:textId="271AED3A" w:rsidR="00084738" w:rsidRPr="00B276EB" w:rsidRDefault="00084738" w:rsidP="003D1CA1">
            <w:pPr>
              <w:jc w:val="center"/>
              <w:rPr>
                <w:rFonts w:asciiTheme="minorHAnsi" w:hAnsiTheme="minorHAnsi"/>
                <w:sz w:val="16"/>
                <w:szCs w:val="16"/>
              </w:rPr>
            </w:pPr>
            <w:r w:rsidRPr="00B276EB">
              <w:rPr>
                <w:rFonts w:asciiTheme="minorHAnsi" w:hAnsiTheme="minorHAnsi"/>
                <w:sz w:val="16"/>
                <w:szCs w:val="16"/>
              </w:rPr>
              <w:t>GAD-7</w:t>
            </w:r>
          </w:p>
        </w:tc>
        <w:tc>
          <w:tcPr>
            <w:tcW w:w="348" w:type="pct"/>
          </w:tcPr>
          <w:p w14:paraId="4012967F" w14:textId="0192F9A8" w:rsidR="00084738" w:rsidRPr="00B276EB" w:rsidRDefault="00084738" w:rsidP="003D1CA1">
            <w:pPr>
              <w:jc w:val="center"/>
              <w:rPr>
                <w:rFonts w:asciiTheme="minorHAnsi" w:hAnsiTheme="minorHAnsi"/>
                <w:sz w:val="16"/>
                <w:szCs w:val="16"/>
              </w:rPr>
            </w:pPr>
            <w:r w:rsidRPr="00B276EB">
              <w:rPr>
                <w:rFonts w:asciiTheme="minorHAnsi" w:hAnsiTheme="minorHAnsi"/>
                <w:sz w:val="16"/>
                <w:szCs w:val="16"/>
              </w:rPr>
              <w:t>21,745</w:t>
            </w:r>
          </w:p>
        </w:tc>
        <w:tc>
          <w:tcPr>
            <w:tcW w:w="455" w:type="pct"/>
          </w:tcPr>
          <w:p w14:paraId="24245FD4" w14:textId="3C0B4E61" w:rsidR="00084738" w:rsidRPr="00B276EB" w:rsidRDefault="00084738" w:rsidP="003D1CA1">
            <w:pPr>
              <w:jc w:val="center"/>
              <w:rPr>
                <w:rFonts w:asciiTheme="minorHAnsi" w:hAnsiTheme="minorHAnsi"/>
                <w:sz w:val="16"/>
                <w:szCs w:val="16"/>
              </w:rPr>
            </w:pPr>
            <w:r w:rsidRPr="00B276EB">
              <w:rPr>
                <w:rFonts w:asciiTheme="minorHAnsi" w:hAnsiTheme="minorHAnsi"/>
                <w:sz w:val="16"/>
                <w:szCs w:val="16"/>
              </w:rPr>
              <w:t>12.0</w:t>
            </w:r>
          </w:p>
        </w:tc>
        <w:tc>
          <w:tcPr>
            <w:tcW w:w="572" w:type="pct"/>
          </w:tcPr>
          <w:p w14:paraId="227D0BC1" w14:textId="30F986DE" w:rsidR="00084738" w:rsidRPr="00B276EB" w:rsidRDefault="00084738" w:rsidP="003D1CA1">
            <w:pPr>
              <w:jc w:val="center"/>
              <w:rPr>
                <w:rFonts w:asciiTheme="minorHAnsi" w:hAnsiTheme="minorHAnsi"/>
                <w:sz w:val="16"/>
                <w:szCs w:val="16"/>
              </w:rPr>
            </w:pPr>
            <w:r w:rsidRPr="00B276EB">
              <w:rPr>
                <w:rFonts w:asciiTheme="minorHAnsi" w:hAnsiTheme="minorHAnsi"/>
                <w:sz w:val="16"/>
                <w:szCs w:val="16"/>
              </w:rPr>
              <w:t>5.0</w:t>
            </w:r>
          </w:p>
        </w:tc>
        <w:tc>
          <w:tcPr>
            <w:tcW w:w="252" w:type="pct"/>
          </w:tcPr>
          <w:p w14:paraId="3238A662" w14:textId="5BD8ED07" w:rsidR="00084738" w:rsidRPr="00B276EB" w:rsidRDefault="00084738" w:rsidP="003D1CA1">
            <w:pPr>
              <w:jc w:val="center"/>
              <w:rPr>
                <w:rFonts w:asciiTheme="minorHAnsi" w:hAnsiTheme="minorHAnsi"/>
                <w:sz w:val="16"/>
                <w:szCs w:val="16"/>
              </w:rPr>
            </w:pPr>
            <w:r w:rsidRPr="00B276EB">
              <w:rPr>
                <w:rFonts w:asciiTheme="minorHAnsi" w:hAnsiTheme="minorHAnsi"/>
                <w:sz w:val="16"/>
                <w:szCs w:val="16"/>
              </w:rPr>
              <w:t>21,745</w:t>
            </w:r>
          </w:p>
        </w:tc>
        <w:tc>
          <w:tcPr>
            <w:tcW w:w="260" w:type="pct"/>
          </w:tcPr>
          <w:p w14:paraId="4253CB14" w14:textId="53765199" w:rsidR="00084738" w:rsidRPr="00B276EB" w:rsidRDefault="00084738" w:rsidP="003D1CA1">
            <w:pPr>
              <w:jc w:val="center"/>
              <w:rPr>
                <w:rFonts w:asciiTheme="minorHAnsi" w:hAnsiTheme="minorHAnsi"/>
                <w:sz w:val="16"/>
                <w:szCs w:val="16"/>
              </w:rPr>
            </w:pPr>
            <w:r w:rsidRPr="00B276EB">
              <w:rPr>
                <w:rFonts w:asciiTheme="minorHAnsi" w:hAnsiTheme="minorHAnsi"/>
                <w:sz w:val="16"/>
                <w:szCs w:val="16"/>
              </w:rPr>
              <w:t>5.7</w:t>
            </w:r>
          </w:p>
        </w:tc>
        <w:tc>
          <w:tcPr>
            <w:tcW w:w="542" w:type="pct"/>
          </w:tcPr>
          <w:p w14:paraId="23A29110" w14:textId="0539E184" w:rsidR="00084738" w:rsidRPr="00021CAB" w:rsidRDefault="00084738" w:rsidP="003D1CA1">
            <w:pPr>
              <w:jc w:val="center"/>
              <w:rPr>
                <w:rFonts w:asciiTheme="minorHAnsi" w:hAnsiTheme="minorHAnsi"/>
                <w:sz w:val="16"/>
                <w:szCs w:val="16"/>
              </w:rPr>
            </w:pPr>
            <w:r w:rsidRPr="00021CAB">
              <w:rPr>
                <w:rFonts w:asciiTheme="minorHAnsi" w:hAnsiTheme="minorHAnsi"/>
                <w:sz w:val="16"/>
                <w:szCs w:val="16"/>
              </w:rPr>
              <w:t>3.6</w:t>
            </w:r>
          </w:p>
        </w:tc>
        <w:tc>
          <w:tcPr>
            <w:tcW w:w="579" w:type="pct"/>
          </w:tcPr>
          <w:p w14:paraId="2EA3E1A3" w14:textId="734B420A" w:rsidR="00084738" w:rsidRPr="00021CAB" w:rsidRDefault="00084738" w:rsidP="003D1CA1">
            <w:pPr>
              <w:jc w:val="center"/>
              <w:rPr>
                <w:rFonts w:asciiTheme="minorHAnsi" w:hAnsiTheme="minorHAnsi"/>
                <w:sz w:val="16"/>
                <w:szCs w:val="16"/>
              </w:rPr>
            </w:pPr>
            <w:r w:rsidRPr="00021CAB">
              <w:rPr>
                <w:rFonts w:asciiTheme="minorHAnsi" w:hAnsiTheme="minorHAnsi"/>
                <w:sz w:val="16"/>
                <w:szCs w:val="16"/>
              </w:rPr>
              <w:t>d=1.45 (1.42</w:t>
            </w:r>
            <w:r w:rsidR="00E45DB3" w:rsidRPr="00021CAB">
              <w:rPr>
                <w:rFonts w:asciiTheme="minorHAnsi" w:hAnsiTheme="minorHAnsi"/>
                <w:sz w:val="16"/>
                <w:szCs w:val="16"/>
              </w:rPr>
              <w:t xml:space="preserve">, </w:t>
            </w:r>
            <w:r w:rsidRPr="00021CAB">
              <w:rPr>
                <w:rFonts w:asciiTheme="minorHAnsi" w:hAnsiTheme="minorHAnsi"/>
                <w:sz w:val="16"/>
                <w:szCs w:val="16"/>
              </w:rPr>
              <w:t>1.47)</w:t>
            </w:r>
          </w:p>
        </w:tc>
      </w:tr>
      <w:tr w:rsidR="00084738" w:rsidRPr="00B276EB" w14:paraId="2C902F42" w14:textId="77777777" w:rsidTr="007C118C">
        <w:tc>
          <w:tcPr>
            <w:tcW w:w="797" w:type="pct"/>
          </w:tcPr>
          <w:p w14:paraId="4D589B59" w14:textId="1911453F" w:rsidR="00084738" w:rsidRPr="00B276EB" w:rsidRDefault="00084738" w:rsidP="003D1CA1">
            <w:pPr>
              <w:pStyle w:val="ListParagraph"/>
              <w:numPr>
                <w:ilvl w:val="0"/>
                <w:numId w:val="13"/>
              </w:numPr>
              <w:ind w:left="321" w:right="37" w:hanging="321"/>
              <w:rPr>
                <w:sz w:val="16"/>
                <w:szCs w:val="16"/>
              </w:rPr>
            </w:pPr>
            <w:proofErr w:type="spellStart"/>
            <w:r w:rsidRPr="00B276EB">
              <w:rPr>
                <w:sz w:val="16"/>
                <w:szCs w:val="16"/>
              </w:rPr>
              <w:t>All</w:t>
            </w:r>
            <w:r w:rsidR="00F903F4" w:rsidRPr="00B276EB">
              <w:rPr>
                <w:sz w:val="16"/>
                <w:szCs w:val="16"/>
                <w:vertAlign w:val="superscript"/>
              </w:rPr>
              <w:t>b</w:t>
            </w:r>
            <w:proofErr w:type="spellEnd"/>
          </w:p>
        </w:tc>
        <w:tc>
          <w:tcPr>
            <w:tcW w:w="534" w:type="pct"/>
          </w:tcPr>
          <w:p w14:paraId="5B4C7A86" w14:textId="40B69FB1" w:rsidR="00084738" w:rsidRPr="00B276EB" w:rsidRDefault="00084738" w:rsidP="003D1CA1">
            <w:pPr>
              <w:ind w:right="37"/>
              <w:jc w:val="center"/>
              <w:rPr>
                <w:rFonts w:asciiTheme="minorHAnsi" w:hAnsiTheme="minorHAnsi" w:cstheme="minorHAnsi"/>
                <w:sz w:val="16"/>
                <w:szCs w:val="16"/>
              </w:rPr>
            </w:pPr>
            <w:r w:rsidRPr="00B276EB">
              <w:rPr>
                <w:rFonts w:asciiTheme="minorHAnsi" w:hAnsiTheme="minorHAnsi" w:cstheme="minorHAnsi"/>
                <w:sz w:val="16"/>
                <w:szCs w:val="16"/>
              </w:rPr>
              <w:t xml:space="preserve">Supported </w:t>
            </w:r>
            <w:proofErr w:type="spellStart"/>
            <w:r w:rsidRPr="00B276EB">
              <w:rPr>
                <w:rFonts w:asciiTheme="minorHAnsi" w:hAnsiTheme="minorHAnsi" w:cstheme="minorHAnsi"/>
                <w:sz w:val="16"/>
                <w:szCs w:val="16"/>
              </w:rPr>
              <w:t>iCBT</w:t>
            </w:r>
            <w:proofErr w:type="spellEnd"/>
          </w:p>
        </w:tc>
        <w:tc>
          <w:tcPr>
            <w:tcW w:w="661" w:type="pct"/>
          </w:tcPr>
          <w:p w14:paraId="200554AD" w14:textId="3D1BBFEA" w:rsidR="00084738" w:rsidRPr="00B276EB" w:rsidRDefault="00084738" w:rsidP="003D1CA1">
            <w:pPr>
              <w:jc w:val="center"/>
              <w:rPr>
                <w:rFonts w:asciiTheme="minorHAnsi" w:hAnsiTheme="minorHAnsi"/>
                <w:sz w:val="16"/>
                <w:szCs w:val="16"/>
              </w:rPr>
            </w:pPr>
            <w:r w:rsidRPr="00B276EB">
              <w:rPr>
                <w:rFonts w:asciiTheme="minorHAnsi" w:hAnsiTheme="minorHAnsi"/>
                <w:sz w:val="16"/>
                <w:szCs w:val="16"/>
              </w:rPr>
              <w:t xml:space="preserve">Whole days out of </w:t>
            </w:r>
            <w:proofErr w:type="spellStart"/>
            <w:r w:rsidRPr="00B276EB">
              <w:rPr>
                <w:rFonts w:asciiTheme="minorHAnsi" w:hAnsiTheme="minorHAnsi"/>
                <w:sz w:val="16"/>
                <w:szCs w:val="16"/>
              </w:rPr>
              <w:t>role</w:t>
            </w:r>
            <w:r w:rsidR="00294C13" w:rsidRPr="00B276EB">
              <w:rPr>
                <w:rFonts w:asciiTheme="minorHAnsi" w:hAnsiTheme="minorHAnsi"/>
                <w:sz w:val="16"/>
                <w:szCs w:val="16"/>
                <w:vertAlign w:val="superscript"/>
              </w:rPr>
              <w:t>c</w:t>
            </w:r>
            <w:proofErr w:type="spellEnd"/>
          </w:p>
        </w:tc>
        <w:tc>
          <w:tcPr>
            <w:tcW w:w="348" w:type="pct"/>
          </w:tcPr>
          <w:p w14:paraId="078E3D34" w14:textId="39F9EEED" w:rsidR="00084738" w:rsidRPr="00B276EB" w:rsidRDefault="00084738" w:rsidP="003D1CA1">
            <w:pPr>
              <w:jc w:val="center"/>
              <w:rPr>
                <w:rFonts w:asciiTheme="minorHAnsi" w:hAnsiTheme="minorHAnsi"/>
                <w:sz w:val="16"/>
                <w:szCs w:val="16"/>
              </w:rPr>
            </w:pPr>
            <w:r w:rsidRPr="00B276EB">
              <w:rPr>
                <w:rFonts w:asciiTheme="minorHAnsi" w:hAnsiTheme="minorHAnsi"/>
                <w:sz w:val="16"/>
                <w:szCs w:val="16"/>
              </w:rPr>
              <w:t>5,120</w:t>
            </w:r>
          </w:p>
        </w:tc>
        <w:tc>
          <w:tcPr>
            <w:tcW w:w="455" w:type="pct"/>
          </w:tcPr>
          <w:p w14:paraId="76CEAAE3" w14:textId="48B50727" w:rsidR="00084738" w:rsidRPr="00B276EB" w:rsidRDefault="00084738" w:rsidP="003D1CA1">
            <w:pPr>
              <w:jc w:val="center"/>
              <w:rPr>
                <w:rFonts w:asciiTheme="minorHAnsi" w:hAnsiTheme="minorHAnsi"/>
                <w:sz w:val="16"/>
                <w:szCs w:val="16"/>
              </w:rPr>
            </w:pPr>
            <w:r w:rsidRPr="00B276EB">
              <w:rPr>
                <w:rFonts w:asciiTheme="minorHAnsi" w:hAnsiTheme="minorHAnsi"/>
                <w:sz w:val="16"/>
                <w:szCs w:val="16"/>
              </w:rPr>
              <w:t>5.4</w:t>
            </w:r>
          </w:p>
        </w:tc>
        <w:tc>
          <w:tcPr>
            <w:tcW w:w="572" w:type="pct"/>
          </w:tcPr>
          <w:p w14:paraId="717EACBD" w14:textId="66AA1067" w:rsidR="00084738" w:rsidRPr="00B276EB" w:rsidRDefault="00084738" w:rsidP="003D1CA1">
            <w:pPr>
              <w:jc w:val="center"/>
              <w:rPr>
                <w:rFonts w:asciiTheme="minorHAnsi" w:hAnsiTheme="minorHAnsi"/>
                <w:sz w:val="16"/>
                <w:szCs w:val="16"/>
              </w:rPr>
            </w:pPr>
            <w:r w:rsidRPr="00B276EB">
              <w:rPr>
                <w:rFonts w:asciiTheme="minorHAnsi" w:hAnsiTheme="minorHAnsi"/>
                <w:sz w:val="16"/>
                <w:szCs w:val="16"/>
              </w:rPr>
              <w:t>7.5</w:t>
            </w:r>
          </w:p>
        </w:tc>
        <w:tc>
          <w:tcPr>
            <w:tcW w:w="252" w:type="pct"/>
          </w:tcPr>
          <w:p w14:paraId="23B5CC9E" w14:textId="653DFF10" w:rsidR="00084738" w:rsidRPr="00B276EB" w:rsidRDefault="00084738" w:rsidP="003D1CA1">
            <w:pPr>
              <w:jc w:val="center"/>
              <w:rPr>
                <w:rFonts w:asciiTheme="minorHAnsi" w:hAnsiTheme="minorHAnsi"/>
                <w:sz w:val="16"/>
                <w:szCs w:val="16"/>
              </w:rPr>
            </w:pPr>
            <w:r w:rsidRPr="00B276EB">
              <w:rPr>
                <w:rFonts w:asciiTheme="minorHAnsi" w:hAnsiTheme="minorHAnsi"/>
                <w:sz w:val="16"/>
                <w:szCs w:val="16"/>
              </w:rPr>
              <w:t>5,120</w:t>
            </w:r>
          </w:p>
        </w:tc>
        <w:tc>
          <w:tcPr>
            <w:tcW w:w="260" w:type="pct"/>
          </w:tcPr>
          <w:p w14:paraId="107789EA" w14:textId="163B0582" w:rsidR="00084738" w:rsidRPr="00B276EB" w:rsidRDefault="00084738" w:rsidP="003D1CA1">
            <w:pPr>
              <w:jc w:val="center"/>
              <w:rPr>
                <w:rFonts w:asciiTheme="minorHAnsi" w:hAnsiTheme="minorHAnsi"/>
                <w:sz w:val="16"/>
                <w:szCs w:val="16"/>
              </w:rPr>
            </w:pPr>
            <w:r w:rsidRPr="00B276EB">
              <w:rPr>
                <w:rFonts w:asciiTheme="minorHAnsi" w:hAnsiTheme="minorHAnsi"/>
                <w:sz w:val="16"/>
                <w:szCs w:val="16"/>
              </w:rPr>
              <w:t>3.5</w:t>
            </w:r>
          </w:p>
        </w:tc>
        <w:tc>
          <w:tcPr>
            <w:tcW w:w="542" w:type="pct"/>
          </w:tcPr>
          <w:p w14:paraId="54F2988B" w14:textId="69085149" w:rsidR="00084738" w:rsidRPr="00021CAB" w:rsidRDefault="00084738" w:rsidP="003D1CA1">
            <w:pPr>
              <w:jc w:val="center"/>
              <w:rPr>
                <w:rFonts w:asciiTheme="minorHAnsi" w:hAnsiTheme="minorHAnsi"/>
                <w:sz w:val="16"/>
                <w:szCs w:val="16"/>
              </w:rPr>
            </w:pPr>
            <w:r w:rsidRPr="00021CAB">
              <w:rPr>
                <w:rFonts w:asciiTheme="minorHAnsi" w:hAnsiTheme="minorHAnsi"/>
                <w:sz w:val="16"/>
                <w:szCs w:val="16"/>
              </w:rPr>
              <w:t>6.2</w:t>
            </w:r>
          </w:p>
        </w:tc>
        <w:tc>
          <w:tcPr>
            <w:tcW w:w="579" w:type="pct"/>
          </w:tcPr>
          <w:p w14:paraId="79D2F1B9" w14:textId="57743C17" w:rsidR="00084738" w:rsidRPr="00021CAB" w:rsidRDefault="00084738" w:rsidP="003D1CA1">
            <w:pPr>
              <w:jc w:val="center"/>
              <w:rPr>
                <w:rFonts w:asciiTheme="minorHAnsi" w:hAnsiTheme="minorHAnsi"/>
                <w:sz w:val="16"/>
                <w:szCs w:val="16"/>
              </w:rPr>
            </w:pPr>
            <w:r w:rsidRPr="00021CAB">
              <w:rPr>
                <w:rFonts w:asciiTheme="minorHAnsi" w:hAnsiTheme="minorHAnsi"/>
                <w:sz w:val="16"/>
                <w:szCs w:val="16"/>
              </w:rPr>
              <w:t>d=0.28 (0.25</w:t>
            </w:r>
            <w:r w:rsidR="00E45DB3" w:rsidRPr="00021CAB">
              <w:rPr>
                <w:rFonts w:asciiTheme="minorHAnsi" w:hAnsiTheme="minorHAnsi"/>
                <w:sz w:val="16"/>
                <w:szCs w:val="16"/>
              </w:rPr>
              <w:t xml:space="preserve">, </w:t>
            </w:r>
            <w:r w:rsidRPr="00021CAB">
              <w:rPr>
                <w:rFonts w:asciiTheme="minorHAnsi" w:hAnsiTheme="minorHAnsi"/>
                <w:sz w:val="16"/>
                <w:szCs w:val="16"/>
              </w:rPr>
              <w:t>0.31)</w:t>
            </w:r>
          </w:p>
        </w:tc>
      </w:tr>
      <w:tr w:rsidR="00084738" w:rsidRPr="00B276EB" w14:paraId="510E9398" w14:textId="77777777" w:rsidTr="007C118C">
        <w:tc>
          <w:tcPr>
            <w:tcW w:w="797" w:type="pct"/>
          </w:tcPr>
          <w:p w14:paraId="539EF28D" w14:textId="262BD4E1" w:rsidR="00084738" w:rsidRPr="00B276EB" w:rsidRDefault="00084738" w:rsidP="003D1CA1">
            <w:pPr>
              <w:pStyle w:val="ListParagraph"/>
              <w:numPr>
                <w:ilvl w:val="0"/>
                <w:numId w:val="13"/>
              </w:numPr>
              <w:ind w:left="321" w:right="37" w:hanging="321"/>
              <w:rPr>
                <w:sz w:val="16"/>
                <w:szCs w:val="16"/>
              </w:rPr>
            </w:pPr>
            <w:proofErr w:type="spellStart"/>
            <w:r w:rsidRPr="00B276EB">
              <w:rPr>
                <w:sz w:val="16"/>
                <w:szCs w:val="16"/>
              </w:rPr>
              <w:t>All</w:t>
            </w:r>
            <w:r w:rsidR="00F903F4" w:rsidRPr="00B276EB">
              <w:rPr>
                <w:sz w:val="16"/>
                <w:szCs w:val="16"/>
                <w:vertAlign w:val="superscript"/>
              </w:rPr>
              <w:t>b</w:t>
            </w:r>
            <w:proofErr w:type="spellEnd"/>
          </w:p>
        </w:tc>
        <w:tc>
          <w:tcPr>
            <w:tcW w:w="534" w:type="pct"/>
          </w:tcPr>
          <w:p w14:paraId="13CBEB0F" w14:textId="33CFAA1C" w:rsidR="00084738" w:rsidRPr="00B276EB" w:rsidRDefault="00084738" w:rsidP="003D1CA1">
            <w:pPr>
              <w:ind w:right="37"/>
              <w:jc w:val="center"/>
              <w:rPr>
                <w:rFonts w:asciiTheme="minorHAnsi" w:hAnsiTheme="minorHAnsi" w:cstheme="minorHAnsi"/>
                <w:sz w:val="16"/>
                <w:szCs w:val="16"/>
              </w:rPr>
            </w:pPr>
            <w:r w:rsidRPr="00B276EB">
              <w:rPr>
                <w:rFonts w:asciiTheme="minorHAnsi" w:hAnsiTheme="minorHAnsi" w:cstheme="minorHAnsi"/>
                <w:sz w:val="16"/>
                <w:szCs w:val="16"/>
              </w:rPr>
              <w:t xml:space="preserve">Supported </w:t>
            </w:r>
            <w:proofErr w:type="spellStart"/>
            <w:r w:rsidRPr="00B276EB">
              <w:rPr>
                <w:rFonts w:asciiTheme="minorHAnsi" w:hAnsiTheme="minorHAnsi" w:cstheme="minorHAnsi"/>
                <w:sz w:val="16"/>
                <w:szCs w:val="16"/>
              </w:rPr>
              <w:t>iCBT</w:t>
            </w:r>
            <w:proofErr w:type="spellEnd"/>
          </w:p>
        </w:tc>
        <w:tc>
          <w:tcPr>
            <w:tcW w:w="661" w:type="pct"/>
          </w:tcPr>
          <w:p w14:paraId="11055E24" w14:textId="6C9E4A06" w:rsidR="00084738" w:rsidRPr="00B276EB" w:rsidRDefault="00084738" w:rsidP="003D1CA1">
            <w:pPr>
              <w:jc w:val="center"/>
              <w:rPr>
                <w:rFonts w:asciiTheme="minorHAnsi" w:hAnsiTheme="minorHAnsi"/>
                <w:sz w:val="16"/>
                <w:szCs w:val="16"/>
              </w:rPr>
            </w:pPr>
            <w:r w:rsidRPr="00B276EB">
              <w:rPr>
                <w:rFonts w:asciiTheme="minorHAnsi" w:hAnsiTheme="minorHAnsi"/>
                <w:sz w:val="16"/>
                <w:szCs w:val="16"/>
              </w:rPr>
              <w:t xml:space="preserve">Part days out of </w:t>
            </w:r>
            <w:proofErr w:type="spellStart"/>
            <w:r w:rsidRPr="00B276EB">
              <w:rPr>
                <w:rFonts w:asciiTheme="minorHAnsi" w:hAnsiTheme="minorHAnsi"/>
                <w:sz w:val="16"/>
                <w:szCs w:val="16"/>
              </w:rPr>
              <w:t>role</w:t>
            </w:r>
            <w:r w:rsidR="00294C13" w:rsidRPr="00B276EB">
              <w:rPr>
                <w:rFonts w:asciiTheme="minorHAnsi" w:hAnsiTheme="minorHAnsi"/>
                <w:sz w:val="16"/>
                <w:szCs w:val="16"/>
                <w:vertAlign w:val="superscript"/>
              </w:rPr>
              <w:t>c</w:t>
            </w:r>
            <w:proofErr w:type="spellEnd"/>
          </w:p>
        </w:tc>
        <w:tc>
          <w:tcPr>
            <w:tcW w:w="348" w:type="pct"/>
          </w:tcPr>
          <w:p w14:paraId="15F94DB1" w14:textId="460C69A7" w:rsidR="00084738" w:rsidRPr="00B276EB" w:rsidRDefault="00084738" w:rsidP="003D1CA1">
            <w:pPr>
              <w:jc w:val="center"/>
              <w:rPr>
                <w:rFonts w:asciiTheme="minorHAnsi" w:hAnsiTheme="minorHAnsi"/>
                <w:sz w:val="16"/>
                <w:szCs w:val="16"/>
              </w:rPr>
            </w:pPr>
            <w:r w:rsidRPr="00B276EB">
              <w:rPr>
                <w:rFonts w:asciiTheme="minorHAnsi" w:hAnsiTheme="minorHAnsi"/>
                <w:sz w:val="16"/>
                <w:szCs w:val="16"/>
              </w:rPr>
              <w:t>5,120</w:t>
            </w:r>
          </w:p>
        </w:tc>
        <w:tc>
          <w:tcPr>
            <w:tcW w:w="455" w:type="pct"/>
          </w:tcPr>
          <w:p w14:paraId="18264523" w14:textId="3613FFEB" w:rsidR="00084738" w:rsidRPr="00B276EB" w:rsidRDefault="00084738" w:rsidP="003D1CA1">
            <w:pPr>
              <w:jc w:val="center"/>
              <w:rPr>
                <w:rFonts w:asciiTheme="minorHAnsi" w:hAnsiTheme="minorHAnsi"/>
                <w:sz w:val="16"/>
                <w:szCs w:val="16"/>
              </w:rPr>
            </w:pPr>
            <w:r w:rsidRPr="00B276EB">
              <w:rPr>
                <w:rFonts w:asciiTheme="minorHAnsi" w:hAnsiTheme="minorHAnsi"/>
                <w:sz w:val="16"/>
                <w:szCs w:val="16"/>
              </w:rPr>
              <w:t>9.3</w:t>
            </w:r>
          </w:p>
        </w:tc>
        <w:tc>
          <w:tcPr>
            <w:tcW w:w="572" w:type="pct"/>
          </w:tcPr>
          <w:p w14:paraId="0F370E49" w14:textId="60FEE8AC" w:rsidR="00084738" w:rsidRPr="00B276EB" w:rsidRDefault="00084738" w:rsidP="003D1CA1">
            <w:pPr>
              <w:jc w:val="center"/>
              <w:rPr>
                <w:rFonts w:asciiTheme="minorHAnsi" w:hAnsiTheme="minorHAnsi"/>
                <w:sz w:val="16"/>
                <w:szCs w:val="16"/>
              </w:rPr>
            </w:pPr>
            <w:r w:rsidRPr="00B276EB">
              <w:rPr>
                <w:rFonts w:asciiTheme="minorHAnsi" w:hAnsiTheme="minorHAnsi"/>
                <w:sz w:val="16"/>
                <w:szCs w:val="16"/>
              </w:rPr>
              <w:t>8.4</w:t>
            </w:r>
          </w:p>
        </w:tc>
        <w:tc>
          <w:tcPr>
            <w:tcW w:w="252" w:type="pct"/>
          </w:tcPr>
          <w:p w14:paraId="4E2BAD55" w14:textId="166EE906" w:rsidR="00084738" w:rsidRPr="00B276EB" w:rsidRDefault="00084738" w:rsidP="003D1CA1">
            <w:pPr>
              <w:jc w:val="center"/>
              <w:rPr>
                <w:rFonts w:asciiTheme="minorHAnsi" w:hAnsiTheme="minorHAnsi"/>
                <w:sz w:val="16"/>
                <w:szCs w:val="16"/>
              </w:rPr>
            </w:pPr>
            <w:r w:rsidRPr="00B276EB">
              <w:rPr>
                <w:rFonts w:asciiTheme="minorHAnsi" w:hAnsiTheme="minorHAnsi"/>
                <w:sz w:val="16"/>
                <w:szCs w:val="16"/>
              </w:rPr>
              <w:t>5,120</w:t>
            </w:r>
          </w:p>
        </w:tc>
        <w:tc>
          <w:tcPr>
            <w:tcW w:w="260" w:type="pct"/>
          </w:tcPr>
          <w:p w14:paraId="7CA57329" w14:textId="280BAA57" w:rsidR="00084738" w:rsidRPr="00B276EB" w:rsidRDefault="00084738" w:rsidP="003D1CA1">
            <w:pPr>
              <w:jc w:val="center"/>
              <w:rPr>
                <w:rFonts w:asciiTheme="minorHAnsi" w:hAnsiTheme="minorHAnsi"/>
                <w:sz w:val="16"/>
                <w:szCs w:val="16"/>
              </w:rPr>
            </w:pPr>
            <w:r w:rsidRPr="00B276EB">
              <w:rPr>
                <w:rFonts w:asciiTheme="minorHAnsi" w:hAnsiTheme="minorHAnsi"/>
                <w:sz w:val="16"/>
                <w:szCs w:val="16"/>
              </w:rPr>
              <w:t>6.0</w:t>
            </w:r>
          </w:p>
        </w:tc>
        <w:tc>
          <w:tcPr>
            <w:tcW w:w="542" w:type="pct"/>
          </w:tcPr>
          <w:p w14:paraId="723FF190" w14:textId="7BD1F7FD" w:rsidR="00084738" w:rsidRPr="00021CAB" w:rsidRDefault="00084738" w:rsidP="003D1CA1">
            <w:pPr>
              <w:jc w:val="center"/>
              <w:rPr>
                <w:rFonts w:asciiTheme="minorHAnsi" w:hAnsiTheme="minorHAnsi"/>
                <w:sz w:val="16"/>
                <w:szCs w:val="16"/>
              </w:rPr>
            </w:pPr>
            <w:r w:rsidRPr="00021CAB">
              <w:rPr>
                <w:rFonts w:asciiTheme="minorHAnsi" w:hAnsiTheme="minorHAnsi"/>
                <w:sz w:val="16"/>
                <w:szCs w:val="16"/>
              </w:rPr>
              <w:t>7.2</w:t>
            </w:r>
          </w:p>
        </w:tc>
        <w:tc>
          <w:tcPr>
            <w:tcW w:w="579" w:type="pct"/>
          </w:tcPr>
          <w:p w14:paraId="1A232351" w14:textId="11FFDA1E" w:rsidR="00084738" w:rsidRPr="00021CAB" w:rsidRDefault="00084738" w:rsidP="003D1CA1">
            <w:pPr>
              <w:jc w:val="center"/>
              <w:rPr>
                <w:rFonts w:asciiTheme="minorHAnsi" w:hAnsiTheme="minorHAnsi"/>
                <w:sz w:val="16"/>
                <w:szCs w:val="16"/>
              </w:rPr>
            </w:pPr>
            <w:r w:rsidRPr="00021CAB">
              <w:rPr>
                <w:rFonts w:asciiTheme="minorHAnsi" w:hAnsiTheme="minorHAnsi"/>
                <w:sz w:val="16"/>
                <w:szCs w:val="16"/>
              </w:rPr>
              <w:t>d=.42 (</w:t>
            </w:r>
            <w:r w:rsidR="001A445E" w:rsidRPr="00021CAB">
              <w:rPr>
                <w:rFonts w:asciiTheme="minorHAnsi" w:hAnsiTheme="minorHAnsi"/>
                <w:sz w:val="16"/>
                <w:szCs w:val="16"/>
              </w:rPr>
              <w:t>0.39</w:t>
            </w:r>
            <w:r w:rsidR="00E45DB3" w:rsidRPr="00021CAB">
              <w:rPr>
                <w:rFonts w:asciiTheme="minorHAnsi" w:hAnsiTheme="minorHAnsi"/>
                <w:sz w:val="16"/>
                <w:szCs w:val="16"/>
              </w:rPr>
              <w:t xml:space="preserve">, </w:t>
            </w:r>
            <w:r w:rsidR="001A445E" w:rsidRPr="00021CAB">
              <w:rPr>
                <w:rFonts w:asciiTheme="minorHAnsi" w:hAnsiTheme="minorHAnsi"/>
                <w:sz w:val="16"/>
                <w:szCs w:val="16"/>
              </w:rPr>
              <w:t>0</w:t>
            </w:r>
            <w:r w:rsidRPr="00021CAB">
              <w:rPr>
                <w:rFonts w:asciiTheme="minorHAnsi" w:hAnsiTheme="minorHAnsi"/>
                <w:sz w:val="16"/>
                <w:szCs w:val="16"/>
              </w:rPr>
              <w:t>.4</w:t>
            </w:r>
            <w:r w:rsidR="001A445E" w:rsidRPr="00021CAB">
              <w:rPr>
                <w:rFonts w:asciiTheme="minorHAnsi" w:hAnsiTheme="minorHAnsi"/>
                <w:sz w:val="16"/>
                <w:szCs w:val="16"/>
              </w:rPr>
              <w:t>5</w:t>
            </w:r>
            <w:r w:rsidRPr="00021CAB">
              <w:rPr>
                <w:rFonts w:asciiTheme="minorHAnsi" w:hAnsiTheme="minorHAnsi"/>
                <w:sz w:val="16"/>
                <w:szCs w:val="16"/>
              </w:rPr>
              <w:t>)</w:t>
            </w:r>
          </w:p>
        </w:tc>
      </w:tr>
      <w:tr w:rsidR="0095086C" w:rsidRPr="00B276EB" w14:paraId="24586DC0" w14:textId="77777777" w:rsidTr="007C118C">
        <w:tc>
          <w:tcPr>
            <w:tcW w:w="797" w:type="pct"/>
          </w:tcPr>
          <w:p w14:paraId="68A745E9" w14:textId="4B1EAF68" w:rsidR="0095086C" w:rsidRPr="00B276EB" w:rsidRDefault="0095086C" w:rsidP="003D1CA1">
            <w:pPr>
              <w:pStyle w:val="ListParagraph"/>
              <w:numPr>
                <w:ilvl w:val="0"/>
                <w:numId w:val="13"/>
              </w:numPr>
              <w:ind w:left="321" w:right="37" w:hanging="321"/>
              <w:rPr>
                <w:sz w:val="16"/>
                <w:szCs w:val="16"/>
              </w:rPr>
            </w:pPr>
            <w:r w:rsidRPr="00B276EB">
              <w:rPr>
                <w:sz w:val="16"/>
                <w:szCs w:val="16"/>
              </w:rPr>
              <w:t xml:space="preserve">Young </w:t>
            </w:r>
            <w:proofErr w:type="spellStart"/>
            <w:r w:rsidRPr="00B276EB">
              <w:rPr>
                <w:sz w:val="16"/>
                <w:szCs w:val="16"/>
              </w:rPr>
              <w:t>adults</w:t>
            </w:r>
            <w:r w:rsidR="00E76F1E">
              <w:rPr>
                <w:sz w:val="16"/>
                <w:szCs w:val="16"/>
                <w:vertAlign w:val="superscript"/>
              </w:rPr>
              <w:t>d</w:t>
            </w:r>
            <w:proofErr w:type="spellEnd"/>
          </w:p>
        </w:tc>
        <w:tc>
          <w:tcPr>
            <w:tcW w:w="534" w:type="pct"/>
          </w:tcPr>
          <w:p w14:paraId="7431F09B" w14:textId="433BF120" w:rsidR="0095086C" w:rsidRPr="00B276EB" w:rsidRDefault="0095086C" w:rsidP="003D1CA1">
            <w:pPr>
              <w:pStyle w:val="ListParagraph"/>
              <w:ind w:left="34" w:right="37"/>
              <w:jc w:val="center"/>
              <w:rPr>
                <w:sz w:val="16"/>
                <w:szCs w:val="16"/>
              </w:rPr>
            </w:pPr>
            <w:r w:rsidRPr="00B276EB">
              <w:rPr>
                <w:sz w:val="16"/>
                <w:szCs w:val="16"/>
              </w:rPr>
              <w:t xml:space="preserve">Supported </w:t>
            </w:r>
            <w:proofErr w:type="spellStart"/>
            <w:r w:rsidRPr="00B276EB">
              <w:rPr>
                <w:sz w:val="16"/>
                <w:szCs w:val="16"/>
              </w:rPr>
              <w:t>iCBT</w:t>
            </w:r>
            <w:proofErr w:type="spellEnd"/>
          </w:p>
        </w:tc>
        <w:tc>
          <w:tcPr>
            <w:tcW w:w="661" w:type="pct"/>
          </w:tcPr>
          <w:p w14:paraId="3AE858E7" w14:textId="38A48213" w:rsidR="0095086C" w:rsidRPr="00B276EB" w:rsidRDefault="0095086C" w:rsidP="003D1CA1">
            <w:pPr>
              <w:jc w:val="center"/>
              <w:rPr>
                <w:rFonts w:asciiTheme="minorHAnsi" w:hAnsiTheme="minorHAnsi"/>
                <w:sz w:val="16"/>
                <w:szCs w:val="16"/>
              </w:rPr>
            </w:pPr>
            <w:r w:rsidRPr="00B276EB">
              <w:rPr>
                <w:rFonts w:asciiTheme="minorHAnsi" w:hAnsiTheme="minorHAnsi"/>
                <w:sz w:val="16"/>
                <w:szCs w:val="16"/>
              </w:rPr>
              <w:t>K10</w:t>
            </w:r>
          </w:p>
        </w:tc>
        <w:tc>
          <w:tcPr>
            <w:tcW w:w="348" w:type="pct"/>
          </w:tcPr>
          <w:p w14:paraId="7EA773A6" w14:textId="03A3344F"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222</w:t>
            </w:r>
          </w:p>
        </w:tc>
        <w:tc>
          <w:tcPr>
            <w:tcW w:w="455" w:type="pct"/>
          </w:tcPr>
          <w:p w14:paraId="790CB06C" w14:textId="25D6014E"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31</w:t>
            </w:r>
          </w:p>
        </w:tc>
        <w:tc>
          <w:tcPr>
            <w:tcW w:w="572" w:type="pct"/>
          </w:tcPr>
          <w:p w14:paraId="76D908A8" w14:textId="2174B47F"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6.3</w:t>
            </w:r>
          </w:p>
        </w:tc>
        <w:tc>
          <w:tcPr>
            <w:tcW w:w="252" w:type="pct"/>
          </w:tcPr>
          <w:p w14:paraId="7F2E04BF" w14:textId="21AF3795"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222</w:t>
            </w:r>
          </w:p>
        </w:tc>
        <w:tc>
          <w:tcPr>
            <w:tcW w:w="260" w:type="pct"/>
          </w:tcPr>
          <w:p w14:paraId="23790CFF" w14:textId="5E4740DB"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23.5</w:t>
            </w:r>
          </w:p>
        </w:tc>
        <w:tc>
          <w:tcPr>
            <w:tcW w:w="542" w:type="pct"/>
          </w:tcPr>
          <w:p w14:paraId="75F464FB" w14:textId="04B8AE1D" w:rsidR="0095086C" w:rsidRPr="00021CAB" w:rsidRDefault="0095086C" w:rsidP="003D1CA1">
            <w:pPr>
              <w:jc w:val="center"/>
              <w:rPr>
                <w:rFonts w:asciiTheme="minorHAnsi" w:hAnsiTheme="minorHAnsi"/>
                <w:color w:val="000000"/>
                <w:sz w:val="16"/>
                <w:szCs w:val="16"/>
              </w:rPr>
            </w:pPr>
            <w:r w:rsidRPr="00021CAB">
              <w:rPr>
                <w:rFonts w:asciiTheme="minorHAnsi" w:hAnsiTheme="minorHAnsi"/>
                <w:color w:val="000000"/>
                <w:sz w:val="16"/>
                <w:szCs w:val="16"/>
              </w:rPr>
              <w:t>6.7</w:t>
            </w:r>
          </w:p>
        </w:tc>
        <w:tc>
          <w:tcPr>
            <w:tcW w:w="579" w:type="pct"/>
          </w:tcPr>
          <w:p w14:paraId="3BD2E2ED" w14:textId="73ECD15C" w:rsidR="0095086C" w:rsidRPr="00021CAB" w:rsidRDefault="00675B32" w:rsidP="003D1CA1">
            <w:pPr>
              <w:jc w:val="center"/>
              <w:rPr>
                <w:rFonts w:asciiTheme="minorHAnsi" w:hAnsiTheme="minorHAnsi"/>
                <w:color w:val="000000"/>
                <w:sz w:val="16"/>
                <w:szCs w:val="16"/>
              </w:rPr>
            </w:pPr>
            <w:r w:rsidRPr="00021CAB">
              <w:rPr>
                <w:rFonts w:asciiTheme="minorHAnsi" w:hAnsiTheme="minorHAnsi"/>
                <w:sz w:val="16"/>
                <w:szCs w:val="16"/>
              </w:rPr>
              <w:t>d=.</w:t>
            </w:r>
            <w:r w:rsidR="0095086C" w:rsidRPr="00021CAB">
              <w:rPr>
                <w:rFonts w:asciiTheme="minorHAnsi" w:hAnsiTheme="minorHAnsi"/>
                <w:color w:val="000000"/>
                <w:sz w:val="16"/>
                <w:szCs w:val="16"/>
              </w:rPr>
              <w:t>1.15 (0.95</w:t>
            </w:r>
            <w:r w:rsidR="00E45DB3" w:rsidRPr="00021CAB">
              <w:rPr>
                <w:rFonts w:asciiTheme="minorHAnsi" w:hAnsiTheme="minorHAnsi"/>
                <w:color w:val="000000"/>
                <w:sz w:val="16"/>
                <w:szCs w:val="16"/>
              </w:rPr>
              <w:t xml:space="preserve">, </w:t>
            </w:r>
            <w:r w:rsidR="0095086C" w:rsidRPr="00021CAB">
              <w:rPr>
                <w:rFonts w:asciiTheme="minorHAnsi" w:hAnsiTheme="minorHAnsi"/>
                <w:color w:val="000000"/>
                <w:sz w:val="16"/>
                <w:szCs w:val="16"/>
              </w:rPr>
              <w:t>1.35)</w:t>
            </w:r>
          </w:p>
        </w:tc>
      </w:tr>
      <w:tr w:rsidR="0095086C" w:rsidRPr="00B276EB" w14:paraId="7969F32B" w14:textId="77777777" w:rsidTr="007C118C">
        <w:tc>
          <w:tcPr>
            <w:tcW w:w="797" w:type="pct"/>
          </w:tcPr>
          <w:p w14:paraId="0C0337C8" w14:textId="093D5F44" w:rsidR="0095086C" w:rsidRPr="00B276EB" w:rsidRDefault="0095086C" w:rsidP="003D1CA1">
            <w:pPr>
              <w:pStyle w:val="ListParagraph"/>
              <w:numPr>
                <w:ilvl w:val="0"/>
                <w:numId w:val="13"/>
              </w:numPr>
              <w:ind w:left="321" w:right="37" w:hanging="321"/>
              <w:rPr>
                <w:sz w:val="16"/>
                <w:szCs w:val="16"/>
              </w:rPr>
            </w:pPr>
            <w:r w:rsidRPr="00B276EB">
              <w:rPr>
                <w:sz w:val="16"/>
                <w:szCs w:val="16"/>
              </w:rPr>
              <w:t xml:space="preserve">Young </w:t>
            </w:r>
            <w:proofErr w:type="spellStart"/>
            <w:r w:rsidRPr="00B276EB">
              <w:rPr>
                <w:sz w:val="16"/>
                <w:szCs w:val="16"/>
              </w:rPr>
              <w:t>adults</w:t>
            </w:r>
            <w:r w:rsidR="00E76F1E">
              <w:rPr>
                <w:sz w:val="16"/>
                <w:szCs w:val="16"/>
                <w:vertAlign w:val="superscript"/>
              </w:rPr>
              <w:t>d</w:t>
            </w:r>
            <w:proofErr w:type="spellEnd"/>
          </w:p>
        </w:tc>
        <w:tc>
          <w:tcPr>
            <w:tcW w:w="534" w:type="pct"/>
          </w:tcPr>
          <w:p w14:paraId="727FACF9" w14:textId="6D9E3336" w:rsidR="0095086C" w:rsidRPr="00B276EB" w:rsidRDefault="0095086C" w:rsidP="003D1CA1">
            <w:pPr>
              <w:pStyle w:val="ListParagraph"/>
              <w:ind w:left="34" w:right="37"/>
              <w:jc w:val="center"/>
              <w:rPr>
                <w:sz w:val="16"/>
                <w:szCs w:val="16"/>
              </w:rPr>
            </w:pPr>
            <w:r w:rsidRPr="00B276EB">
              <w:rPr>
                <w:sz w:val="16"/>
                <w:szCs w:val="16"/>
              </w:rPr>
              <w:t xml:space="preserve">Supported </w:t>
            </w:r>
            <w:proofErr w:type="spellStart"/>
            <w:r w:rsidRPr="00B276EB">
              <w:rPr>
                <w:sz w:val="16"/>
                <w:szCs w:val="16"/>
              </w:rPr>
              <w:t>iCBT</w:t>
            </w:r>
            <w:proofErr w:type="spellEnd"/>
          </w:p>
        </w:tc>
        <w:tc>
          <w:tcPr>
            <w:tcW w:w="661" w:type="pct"/>
          </w:tcPr>
          <w:p w14:paraId="271BCAF0" w14:textId="1A1ED524" w:rsidR="0095086C" w:rsidRPr="00B276EB" w:rsidRDefault="0095086C" w:rsidP="003D1CA1">
            <w:pPr>
              <w:jc w:val="center"/>
              <w:rPr>
                <w:rFonts w:asciiTheme="minorHAnsi" w:hAnsiTheme="minorHAnsi"/>
                <w:sz w:val="16"/>
                <w:szCs w:val="16"/>
              </w:rPr>
            </w:pPr>
            <w:r w:rsidRPr="00B276EB">
              <w:rPr>
                <w:rFonts w:asciiTheme="minorHAnsi" w:hAnsiTheme="minorHAnsi"/>
                <w:sz w:val="16"/>
                <w:szCs w:val="16"/>
              </w:rPr>
              <w:t>PHQ-9</w:t>
            </w:r>
          </w:p>
        </w:tc>
        <w:tc>
          <w:tcPr>
            <w:tcW w:w="348" w:type="pct"/>
          </w:tcPr>
          <w:p w14:paraId="7045240A" w14:textId="4929761F"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222</w:t>
            </w:r>
          </w:p>
        </w:tc>
        <w:tc>
          <w:tcPr>
            <w:tcW w:w="455" w:type="pct"/>
          </w:tcPr>
          <w:p w14:paraId="27847F15" w14:textId="5E23AF48"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13.8</w:t>
            </w:r>
          </w:p>
        </w:tc>
        <w:tc>
          <w:tcPr>
            <w:tcW w:w="572" w:type="pct"/>
          </w:tcPr>
          <w:p w14:paraId="210C0E64" w14:textId="691BE462"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5.7</w:t>
            </w:r>
          </w:p>
        </w:tc>
        <w:tc>
          <w:tcPr>
            <w:tcW w:w="252" w:type="pct"/>
          </w:tcPr>
          <w:p w14:paraId="6690C9EC" w14:textId="59F42512"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222</w:t>
            </w:r>
          </w:p>
        </w:tc>
        <w:tc>
          <w:tcPr>
            <w:tcW w:w="260" w:type="pct"/>
          </w:tcPr>
          <w:p w14:paraId="5B9F5A65" w14:textId="16A68639"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7.7</w:t>
            </w:r>
          </w:p>
        </w:tc>
        <w:tc>
          <w:tcPr>
            <w:tcW w:w="542" w:type="pct"/>
          </w:tcPr>
          <w:p w14:paraId="0B5BB19B" w14:textId="17DD2196" w:rsidR="0095086C" w:rsidRPr="00021CAB" w:rsidRDefault="0095086C" w:rsidP="003D1CA1">
            <w:pPr>
              <w:jc w:val="center"/>
              <w:rPr>
                <w:rFonts w:asciiTheme="minorHAnsi" w:hAnsiTheme="minorHAnsi"/>
                <w:color w:val="000000"/>
                <w:sz w:val="16"/>
                <w:szCs w:val="16"/>
              </w:rPr>
            </w:pPr>
            <w:r w:rsidRPr="00021CAB">
              <w:rPr>
                <w:rFonts w:asciiTheme="minorHAnsi" w:hAnsiTheme="minorHAnsi"/>
                <w:color w:val="000000"/>
                <w:sz w:val="16"/>
                <w:szCs w:val="16"/>
              </w:rPr>
              <w:t>4.7</w:t>
            </w:r>
          </w:p>
        </w:tc>
        <w:tc>
          <w:tcPr>
            <w:tcW w:w="579" w:type="pct"/>
          </w:tcPr>
          <w:p w14:paraId="57B943C6" w14:textId="24515C93" w:rsidR="0095086C" w:rsidRPr="00021CAB" w:rsidRDefault="0095086C" w:rsidP="003D1CA1">
            <w:pPr>
              <w:jc w:val="center"/>
              <w:rPr>
                <w:rFonts w:asciiTheme="minorHAnsi" w:hAnsiTheme="minorHAnsi"/>
                <w:color w:val="000000"/>
                <w:sz w:val="16"/>
                <w:szCs w:val="16"/>
              </w:rPr>
            </w:pPr>
            <w:r w:rsidRPr="00021CAB">
              <w:rPr>
                <w:rFonts w:asciiTheme="minorHAnsi" w:hAnsiTheme="minorHAnsi"/>
                <w:color w:val="000000"/>
                <w:sz w:val="16"/>
                <w:szCs w:val="16"/>
              </w:rPr>
              <w:t>d=1.17 (0.96</w:t>
            </w:r>
            <w:r w:rsidR="00E45DB3" w:rsidRPr="00021CAB">
              <w:rPr>
                <w:rFonts w:asciiTheme="minorHAnsi" w:hAnsiTheme="minorHAnsi"/>
                <w:color w:val="000000"/>
                <w:sz w:val="16"/>
                <w:szCs w:val="16"/>
              </w:rPr>
              <w:t xml:space="preserve">, </w:t>
            </w:r>
            <w:r w:rsidRPr="00021CAB">
              <w:rPr>
                <w:rFonts w:asciiTheme="minorHAnsi" w:hAnsiTheme="minorHAnsi"/>
                <w:color w:val="000000"/>
                <w:sz w:val="16"/>
                <w:szCs w:val="16"/>
              </w:rPr>
              <w:t>1.37)</w:t>
            </w:r>
          </w:p>
        </w:tc>
      </w:tr>
      <w:tr w:rsidR="0095086C" w:rsidRPr="00B276EB" w14:paraId="70276485" w14:textId="77777777" w:rsidTr="007C118C">
        <w:tc>
          <w:tcPr>
            <w:tcW w:w="797" w:type="pct"/>
          </w:tcPr>
          <w:p w14:paraId="43BFB9DE" w14:textId="7D8D48B5" w:rsidR="0095086C" w:rsidRPr="00B276EB" w:rsidRDefault="0095086C" w:rsidP="003D1CA1">
            <w:pPr>
              <w:pStyle w:val="ListParagraph"/>
              <w:numPr>
                <w:ilvl w:val="0"/>
                <w:numId w:val="13"/>
              </w:numPr>
              <w:ind w:left="321" w:right="37" w:hanging="321"/>
              <w:rPr>
                <w:sz w:val="16"/>
                <w:szCs w:val="16"/>
              </w:rPr>
            </w:pPr>
            <w:r w:rsidRPr="00B276EB">
              <w:rPr>
                <w:sz w:val="16"/>
                <w:szCs w:val="16"/>
              </w:rPr>
              <w:t xml:space="preserve">Young </w:t>
            </w:r>
            <w:proofErr w:type="spellStart"/>
            <w:r w:rsidRPr="00B276EB">
              <w:rPr>
                <w:sz w:val="16"/>
                <w:szCs w:val="16"/>
              </w:rPr>
              <w:t>adults</w:t>
            </w:r>
            <w:r w:rsidR="00E76F1E">
              <w:rPr>
                <w:sz w:val="16"/>
                <w:szCs w:val="16"/>
                <w:vertAlign w:val="superscript"/>
              </w:rPr>
              <w:t>d</w:t>
            </w:r>
            <w:proofErr w:type="spellEnd"/>
          </w:p>
        </w:tc>
        <w:tc>
          <w:tcPr>
            <w:tcW w:w="534" w:type="pct"/>
          </w:tcPr>
          <w:p w14:paraId="2D4A4A59" w14:textId="691F8F9B" w:rsidR="0095086C" w:rsidRPr="00B276EB" w:rsidRDefault="0095086C" w:rsidP="003D1CA1">
            <w:pPr>
              <w:pStyle w:val="ListParagraph"/>
              <w:ind w:left="34" w:right="37"/>
              <w:jc w:val="center"/>
              <w:rPr>
                <w:sz w:val="16"/>
                <w:szCs w:val="16"/>
              </w:rPr>
            </w:pPr>
            <w:r w:rsidRPr="00B276EB">
              <w:rPr>
                <w:sz w:val="16"/>
                <w:szCs w:val="16"/>
              </w:rPr>
              <w:t xml:space="preserve">Supported </w:t>
            </w:r>
            <w:proofErr w:type="spellStart"/>
            <w:r w:rsidRPr="00B276EB">
              <w:rPr>
                <w:sz w:val="16"/>
                <w:szCs w:val="16"/>
              </w:rPr>
              <w:t>iCBT</w:t>
            </w:r>
            <w:proofErr w:type="spellEnd"/>
          </w:p>
        </w:tc>
        <w:tc>
          <w:tcPr>
            <w:tcW w:w="661" w:type="pct"/>
          </w:tcPr>
          <w:p w14:paraId="161303DD" w14:textId="2BE38F6F" w:rsidR="0095086C" w:rsidRPr="00B276EB" w:rsidRDefault="0095086C" w:rsidP="003D1CA1">
            <w:pPr>
              <w:jc w:val="center"/>
              <w:rPr>
                <w:rFonts w:asciiTheme="minorHAnsi" w:hAnsiTheme="minorHAnsi"/>
                <w:sz w:val="16"/>
                <w:szCs w:val="16"/>
              </w:rPr>
            </w:pPr>
            <w:r w:rsidRPr="00B276EB">
              <w:rPr>
                <w:rFonts w:asciiTheme="minorHAnsi" w:hAnsiTheme="minorHAnsi"/>
                <w:sz w:val="16"/>
                <w:szCs w:val="16"/>
              </w:rPr>
              <w:t>GAD-7</w:t>
            </w:r>
          </w:p>
        </w:tc>
        <w:tc>
          <w:tcPr>
            <w:tcW w:w="348" w:type="pct"/>
          </w:tcPr>
          <w:p w14:paraId="7287EC5B" w14:textId="56A5620C"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222</w:t>
            </w:r>
          </w:p>
        </w:tc>
        <w:tc>
          <w:tcPr>
            <w:tcW w:w="455" w:type="pct"/>
          </w:tcPr>
          <w:p w14:paraId="63834C4D" w14:textId="73CF1189"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12.9</w:t>
            </w:r>
          </w:p>
        </w:tc>
        <w:tc>
          <w:tcPr>
            <w:tcW w:w="572" w:type="pct"/>
          </w:tcPr>
          <w:p w14:paraId="3F131FE2" w14:textId="6397F9E5"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4.6</w:t>
            </w:r>
          </w:p>
        </w:tc>
        <w:tc>
          <w:tcPr>
            <w:tcW w:w="252" w:type="pct"/>
          </w:tcPr>
          <w:p w14:paraId="5BBAE8E2" w14:textId="063F0A7F"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222</w:t>
            </w:r>
          </w:p>
        </w:tc>
        <w:tc>
          <w:tcPr>
            <w:tcW w:w="260" w:type="pct"/>
          </w:tcPr>
          <w:p w14:paraId="2C850064" w14:textId="0F80B969"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7.1</w:t>
            </w:r>
          </w:p>
        </w:tc>
        <w:tc>
          <w:tcPr>
            <w:tcW w:w="542" w:type="pct"/>
          </w:tcPr>
          <w:p w14:paraId="056CD173" w14:textId="0A9C2AEB" w:rsidR="0095086C" w:rsidRPr="00021CAB" w:rsidRDefault="0095086C" w:rsidP="003D1CA1">
            <w:pPr>
              <w:jc w:val="center"/>
              <w:rPr>
                <w:rFonts w:asciiTheme="minorHAnsi" w:hAnsiTheme="minorHAnsi"/>
                <w:color w:val="000000"/>
                <w:sz w:val="16"/>
                <w:szCs w:val="16"/>
              </w:rPr>
            </w:pPr>
            <w:r w:rsidRPr="00021CAB">
              <w:rPr>
                <w:rFonts w:asciiTheme="minorHAnsi" w:hAnsiTheme="minorHAnsi"/>
                <w:color w:val="000000"/>
                <w:sz w:val="16"/>
                <w:szCs w:val="16"/>
              </w:rPr>
              <w:t>4.3</w:t>
            </w:r>
          </w:p>
        </w:tc>
        <w:tc>
          <w:tcPr>
            <w:tcW w:w="579" w:type="pct"/>
          </w:tcPr>
          <w:p w14:paraId="3AABE971" w14:textId="3BCD02CC" w:rsidR="0095086C" w:rsidRPr="00021CAB" w:rsidRDefault="00675B32" w:rsidP="003D1CA1">
            <w:pPr>
              <w:jc w:val="center"/>
              <w:rPr>
                <w:rFonts w:asciiTheme="minorHAnsi" w:hAnsiTheme="minorHAnsi"/>
                <w:color w:val="000000"/>
                <w:sz w:val="16"/>
                <w:szCs w:val="16"/>
              </w:rPr>
            </w:pPr>
            <w:r w:rsidRPr="00021CAB">
              <w:rPr>
                <w:rFonts w:asciiTheme="minorHAnsi" w:hAnsiTheme="minorHAnsi"/>
                <w:sz w:val="16"/>
                <w:szCs w:val="16"/>
              </w:rPr>
              <w:t>d=.</w:t>
            </w:r>
            <w:r w:rsidR="0095086C" w:rsidRPr="00021CAB">
              <w:rPr>
                <w:rFonts w:asciiTheme="minorHAnsi" w:hAnsiTheme="minorHAnsi"/>
                <w:color w:val="000000"/>
                <w:sz w:val="16"/>
                <w:szCs w:val="16"/>
              </w:rPr>
              <w:t>1.30 (1.10</w:t>
            </w:r>
            <w:r w:rsidR="00E45DB3" w:rsidRPr="00021CAB">
              <w:rPr>
                <w:rFonts w:asciiTheme="minorHAnsi" w:hAnsiTheme="minorHAnsi"/>
                <w:color w:val="000000"/>
                <w:sz w:val="16"/>
                <w:szCs w:val="16"/>
              </w:rPr>
              <w:t xml:space="preserve">, </w:t>
            </w:r>
            <w:r w:rsidR="0095086C" w:rsidRPr="00021CAB">
              <w:rPr>
                <w:rFonts w:asciiTheme="minorHAnsi" w:hAnsiTheme="minorHAnsi"/>
                <w:color w:val="000000"/>
                <w:sz w:val="16"/>
                <w:szCs w:val="16"/>
              </w:rPr>
              <w:t>1.50)</w:t>
            </w:r>
          </w:p>
        </w:tc>
      </w:tr>
      <w:tr w:rsidR="0095086C" w:rsidRPr="00B276EB" w14:paraId="3BDA2E0C" w14:textId="77777777" w:rsidTr="007C118C">
        <w:tc>
          <w:tcPr>
            <w:tcW w:w="797" w:type="pct"/>
          </w:tcPr>
          <w:p w14:paraId="2025EE1D" w14:textId="28D95852" w:rsidR="0095086C" w:rsidRPr="00B276EB" w:rsidRDefault="0095086C" w:rsidP="003D1CA1">
            <w:pPr>
              <w:pStyle w:val="ListParagraph"/>
              <w:numPr>
                <w:ilvl w:val="0"/>
                <w:numId w:val="13"/>
              </w:numPr>
              <w:ind w:left="321" w:right="37" w:hanging="321"/>
              <w:rPr>
                <w:sz w:val="16"/>
                <w:szCs w:val="16"/>
              </w:rPr>
            </w:pPr>
            <w:r w:rsidRPr="00B276EB">
              <w:rPr>
                <w:sz w:val="16"/>
                <w:szCs w:val="16"/>
              </w:rPr>
              <w:t xml:space="preserve">Older </w:t>
            </w:r>
            <w:proofErr w:type="spellStart"/>
            <w:r w:rsidRPr="00B276EB">
              <w:rPr>
                <w:sz w:val="16"/>
                <w:szCs w:val="16"/>
              </w:rPr>
              <w:t>adults</w:t>
            </w:r>
            <w:r w:rsidR="00E76F1E" w:rsidRPr="00E76F1E">
              <w:rPr>
                <w:sz w:val="16"/>
                <w:szCs w:val="16"/>
                <w:vertAlign w:val="superscript"/>
              </w:rPr>
              <w:t>e</w:t>
            </w:r>
            <w:proofErr w:type="spellEnd"/>
          </w:p>
        </w:tc>
        <w:tc>
          <w:tcPr>
            <w:tcW w:w="534" w:type="pct"/>
          </w:tcPr>
          <w:p w14:paraId="6A2C9EA2" w14:textId="65ABB911" w:rsidR="0095086C" w:rsidRPr="00B276EB" w:rsidRDefault="0095086C" w:rsidP="003D1CA1">
            <w:pPr>
              <w:pStyle w:val="ListParagraph"/>
              <w:ind w:left="34" w:right="37"/>
              <w:jc w:val="center"/>
              <w:rPr>
                <w:sz w:val="16"/>
                <w:szCs w:val="16"/>
              </w:rPr>
            </w:pPr>
            <w:r w:rsidRPr="00B276EB">
              <w:rPr>
                <w:sz w:val="16"/>
                <w:szCs w:val="16"/>
              </w:rPr>
              <w:t xml:space="preserve">Supported </w:t>
            </w:r>
            <w:proofErr w:type="spellStart"/>
            <w:r w:rsidRPr="00B276EB">
              <w:rPr>
                <w:sz w:val="16"/>
                <w:szCs w:val="16"/>
              </w:rPr>
              <w:t>iCBT</w:t>
            </w:r>
            <w:proofErr w:type="spellEnd"/>
          </w:p>
        </w:tc>
        <w:tc>
          <w:tcPr>
            <w:tcW w:w="661" w:type="pct"/>
          </w:tcPr>
          <w:p w14:paraId="4CCE8D5C" w14:textId="2D9FA801" w:rsidR="0095086C" w:rsidRPr="00B276EB" w:rsidRDefault="0095086C" w:rsidP="003D1CA1">
            <w:pPr>
              <w:jc w:val="center"/>
              <w:rPr>
                <w:rFonts w:asciiTheme="minorHAnsi" w:hAnsiTheme="minorHAnsi"/>
                <w:sz w:val="16"/>
                <w:szCs w:val="16"/>
              </w:rPr>
            </w:pPr>
            <w:r w:rsidRPr="00B276EB">
              <w:rPr>
                <w:rFonts w:asciiTheme="minorHAnsi" w:hAnsiTheme="minorHAnsi"/>
                <w:sz w:val="16"/>
                <w:szCs w:val="16"/>
              </w:rPr>
              <w:t>K10</w:t>
            </w:r>
          </w:p>
        </w:tc>
        <w:tc>
          <w:tcPr>
            <w:tcW w:w="348" w:type="pct"/>
          </w:tcPr>
          <w:p w14:paraId="2B11DA77" w14:textId="173F359F"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516</w:t>
            </w:r>
          </w:p>
        </w:tc>
        <w:tc>
          <w:tcPr>
            <w:tcW w:w="455" w:type="pct"/>
          </w:tcPr>
          <w:p w14:paraId="66F6CB1D" w14:textId="7FD47983"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28.1</w:t>
            </w:r>
          </w:p>
        </w:tc>
        <w:tc>
          <w:tcPr>
            <w:tcW w:w="572" w:type="pct"/>
          </w:tcPr>
          <w:p w14:paraId="24DB071B" w14:textId="674D8104"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6.9</w:t>
            </w:r>
          </w:p>
        </w:tc>
        <w:tc>
          <w:tcPr>
            <w:tcW w:w="252" w:type="pct"/>
          </w:tcPr>
          <w:p w14:paraId="01AC5C0C" w14:textId="588B64D0"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516</w:t>
            </w:r>
          </w:p>
        </w:tc>
        <w:tc>
          <w:tcPr>
            <w:tcW w:w="260" w:type="pct"/>
          </w:tcPr>
          <w:p w14:paraId="4C53E58A" w14:textId="08925356"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19.1</w:t>
            </w:r>
          </w:p>
        </w:tc>
        <w:tc>
          <w:tcPr>
            <w:tcW w:w="542" w:type="pct"/>
          </w:tcPr>
          <w:p w14:paraId="4999CD48" w14:textId="613B8B30" w:rsidR="0095086C" w:rsidRPr="00021CAB" w:rsidRDefault="0095086C" w:rsidP="003D1CA1">
            <w:pPr>
              <w:jc w:val="center"/>
              <w:rPr>
                <w:rFonts w:asciiTheme="minorHAnsi" w:hAnsiTheme="minorHAnsi"/>
                <w:color w:val="000000"/>
                <w:sz w:val="16"/>
                <w:szCs w:val="16"/>
              </w:rPr>
            </w:pPr>
            <w:r w:rsidRPr="00021CAB">
              <w:rPr>
                <w:rFonts w:asciiTheme="minorHAnsi" w:hAnsiTheme="minorHAnsi"/>
                <w:color w:val="000000"/>
                <w:sz w:val="16"/>
                <w:szCs w:val="16"/>
              </w:rPr>
              <w:t>6.2</w:t>
            </w:r>
          </w:p>
        </w:tc>
        <w:tc>
          <w:tcPr>
            <w:tcW w:w="579" w:type="pct"/>
          </w:tcPr>
          <w:p w14:paraId="2C650E16" w14:textId="190FF5EB" w:rsidR="0095086C" w:rsidRPr="00021CAB" w:rsidRDefault="0095086C" w:rsidP="003D1CA1">
            <w:pPr>
              <w:jc w:val="center"/>
              <w:rPr>
                <w:rFonts w:asciiTheme="minorHAnsi" w:hAnsiTheme="minorHAnsi"/>
                <w:color w:val="000000"/>
                <w:sz w:val="16"/>
                <w:szCs w:val="16"/>
              </w:rPr>
            </w:pPr>
            <w:r w:rsidRPr="00021CAB">
              <w:rPr>
                <w:rFonts w:asciiTheme="minorHAnsi" w:hAnsiTheme="minorHAnsi"/>
                <w:color w:val="000000"/>
                <w:sz w:val="16"/>
                <w:szCs w:val="16"/>
              </w:rPr>
              <w:t>d=1.4 (1.2</w:t>
            </w:r>
            <w:r w:rsidR="00E45DB3" w:rsidRPr="00021CAB">
              <w:rPr>
                <w:rFonts w:asciiTheme="minorHAnsi" w:hAnsiTheme="minorHAnsi"/>
                <w:color w:val="000000"/>
                <w:sz w:val="16"/>
                <w:szCs w:val="16"/>
              </w:rPr>
              <w:t xml:space="preserve">, </w:t>
            </w:r>
            <w:r w:rsidRPr="00021CAB">
              <w:rPr>
                <w:rFonts w:asciiTheme="minorHAnsi" w:hAnsiTheme="minorHAnsi"/>
                <w:color w:val="000000"/>
                <w:sz w:val="16"/>
                <w:szCs w:val="16"/>
              </w:rPr>
              <w:t>1.5)</w:t>
            </w:r>
          </w:p>
        </w:tc>
      </w:tr>
      <w:tr w:rsidR="0095086C" w:rsidRPr="00B276EB" w14:paraId="08D4ECBD" w14:textId="77777777" w:rsidTr="007C118C">
        <w:tc>
          <w:tcPr>
            <w:tcW w:w="797" w:type="pct"/>
          </w:tcPr>
          <w:p w14:paraId="1AB632D3" w14:textId="435D8B0C" w:rsidR="0095086C" w:rsidRPr="00B276EB" w:rsidRDefault="0095086C" w:rsidP="003D1CA1">
            <w:pPr>
              <w:pStyle w:val="ListParagraph"/>
              <w:numPr>
                <w:ilvl w:val="0"/>
                <w:numId w:val="13"/>
              </w:numPr>
              <w:ind w:left="321" w:right="37" w:hanging="321"/>
              <w:rPr>
                <w:sz w:val="16"/>
                <w:szCs w:val="16"/>
              </w:rPr>
            </w:pPr>
            <w:r w:rsidRPr="00B276EB">
              <w:rPr>
                <w:sz w:val="16"/>
                <w:szCs w:val="16"/>
              </w:rPr>
              <w:t xml:space="preserve">Older </w:t>
            </w:r>
            <w:proofErr w:type="spellStart"/>
            <w:r w:rsidRPr="00B276EB">
              <w:rPr>
                <w:sz w:val="16"/>
                <w:szCs w:val="16"/>
              </w:rPr>
              <w:t>adults</w:t>
            </w:r>
            <w:r w:rsidR="00E76F1E">
              <w:rPr>
                <w:sz w:val="16"/>
                <w:szCs w:val="16"/>
                <w:vertAlign w:val="superscript"/>
              </w:rPr>
              <w:t>e</w:t>
            </w:r>
            <w:proofErr w:type="spellEnd"/>
          </w:p>
        </w:tc>
        <w:tc>
          <w:tcPr>
            <w:tcW w:w="534" w:type="pct"/>
          </w:tcPr>
          <w:p w14:paraId="5AC895E7" w14:textId="07E79CAB" w:rsidR="0095086C" w:rsidRPr="00B276EB" w:rsidRDefault="0095086C" w:rsidP="003D1CA1">
            <w:pPr>
              <w:pStyle w:val="ListParagraph"/>
              <w:ind w:left="34" w:right="37"/>
              <w:jc w:val="center"/>
              <w:rPr>
                <w:sz w:val="16"/>
                <w:szCs w:val="16"/>
              </w:rPr>
            </w:pPr>
            <w:r w:rsidRPr="00B276EB">
              <w:rPr>
                <w:sz w:val="16"/>
                <w:szCs w:val="16"/>
              </w:rPr>
              <w:t xml:space="preserve">Supported </w:t>
            </w:r>
            <w:proofErr w:type="spellStart"/>
            <w:r w:rsidRPr="00B276EB">
              <w:rPr>
                <w:sz w:val="16"/>
                <w:szCs w:val="16"/>
              </w:rPr>
              <w:t>iCBT</w:t>
            </w:r>
            <w:proofErr w:type="spellEnd"/>
          </w:p>
        </w:tc>
        <w:tc>
          <w:tcPr>
            <w:tcW w:w="661" w:type="pct"/>
          </w:tcPr>
          <w:p w14:paraId="5C2BA32C" w14:textId="60FCF58B" w:rsidR="0095086C" w:rsidRPr="00B276EB" w:rsidRDefault="0095086C" w:rsidP="003D1CA1">
            <w:pPr>
              <w:jc w:val="center"/>
              <w:rPr>
                <w:rFonts w:asciiTheme="minorHAnsi" w:hAnsiTheme="minorHAnsi"/>
                <w:sz w:val="16"/>
                <w:szCs w:val="16"/>
              </w:rPr>
            </w:pPr>
            <w:r w:rsidRPr="00B276EB">
              <w:rPr>
                <w:rFonts w:asciiTheme="minorHAnsi" w:hAnsiTheme="minorHAnsi"/>
                <w:sz w:val="16"/>
                <w:szCs w:val="16"/>
              </w:rPr>
              <w:t>PHQ-9</w:t>
            </w:r>
          </w:p>
        </w:tc>
        <w:tc>
          <w:tcPr>
            <w:tcW w:w="348" w:type="pct"/>
          </w:tcPr>
          <w:p w14:paraId="111FAA2D" w14:textId="4FFAB3D1"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516</w:t>
            </w:r>
          </w:p>
        </w:tc>
        <w:tc>
          <w:tcPr>
            <w:tcW w:w="455" w:type="pct"/>
          </w:tcPr>
          <w:p w14:paraId="06D03600" w14:textId="796388D0"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12.7</w:t>
            </w:r>
          </w:p>
        </w:tc>
        <w:tc>
          <w:tcPr>
            <w:tcW w:w="572" w:type="pct"/>
          </w:tcPr>
          <w:p w14:paraId="7CB45392" w14:textId="7A848454"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6</w:t>
            </w:r>
          </w:p>
        </w:tc>
        <w:tc>
          <w:tcPr>
            <w:tcW w:w="252" w:type="pct"/>
          </w:tcPr>
          <w:p w14:paraId="2CF7035F" w14:textId="3D2371A3"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516</w:t>
            </w:r>
          </w:p>
        </w:tc>
        <w:tc>
          <w:tcPr>
            <w:tcW w:w="260" w:type="pct"/>
          </w:tcPr>
          <w:p w14:paraId="1B492CC1" w14:textId="0FA1FE6C"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5.3</w:t>
            </w:r>
          </w:p>
        </w:tc>
        <w:tc>
          <w:tcPr>
            <w:tcW w:w="542" w:type="pct"/>
          </w:tcPr>
          <w:p w14:paraId="6146A866" w14:textId="13FD30D9" w:rsidR="0095086C" w:rsidRPr="00021CAB" w:rsidRDefault="0095086C" w:rsidP="003D1CA1">
            <w:pPr>
              <w:jc w:val="center"/>
              <w:rPr>
                <w:rFonts w:asciiTheme="minorHAnsi" w:hAnsiTheme="minorHAnsi"/>
                <w:color w:val="000000"/>
                <w:sz w:val="16"/>
                <w:szCs w:val="16"/>
              </w:rPr>
            </w:pPr>
            <w:r w:rsidRPr="00021CAB">
              <w:rPr>
                <w:rFonts w:asciiTheme="minorHAnsi" w:hAnsiTheme="minorHAnsi"/>
                <w:color w:val="000000"/>
                <w:sz w:val="16"/>
                <w:szCs w:val="16"/>
              </w:rPr>
              <w:t>4.1</w:t>
            </w:r>
          </w:p>
        </w:tc>
        <w:tc>
          <w:tcPr>
            <w:tcW w:w="579" w:type="pct"/>
          </w:tcPr>
          <w:p w14:paraId="6EB74B69" w14:textId="178398C6" w:rsidR="0095086C" w:rsidRPr="00021CAB" w:rsidRDefault="0095086C" w:rsidP="003D1CA1">
            <w:pPr>
              <w:jc w:val="center"/>
              <w:rPr>
                <w:rFonts w:asciiTheme="minorHAnsi" w:hAnsiTheme="minorHAnsi"/>
                <w:color w:val="000000"/>
                <w:sz w:val="16"/>
                <w:szCs w:val="16"/>
              </w:rPr>
            </w:pPr>
            <w:r w:rsidRPr="00021CAB">
              <w:rPr>
                <w:rFonts w:asciiTheme="minorHAnsi" w:hAnsiTheme="minorHAnsi"/>
                <w:color w:val="000000"/>
                <w:sz w:val="16"/>
                <w:szCs w:val="16"/>
              </w:rPr>
              <w:t>d=1.4 (1.3</w:t>
            </w:r>
            <w:r w:rsidR="00E45DB3" w:rsidRPr="00021CAB">
              <w:rPr>
                <w:rFonts w:asciiTheme="minorHAnsi" w:hAnsiTheme="minorHAnsi"/>
                <w:color w:val="000000"/>
                <w:sz w:val="16"/>
                <w:szCs w:val="16"/>
              </w:rPr>
              <w:t xml:space="preserve">, </w:t>
            </w:r>
            <w:r w:rsidRPr="00021CAB">
              <w:rPr>
                <w:rFonts w:asciiTheme="minorHAnsi" w:hAnsiTheme="minorHAnsi"/>
                <w:color w:val="000000"/>
                <w:sz w:val="16"/>
                <w:szCs w:val="16"/>
              </w:rPr>
              <w:t>1.6)</w:t>
            </w:r>
          </w:p>
        </w:tc>
      </w:tr>
      <w:tr w:rsidR="0095086C" w:rsidRPr="00B276EB" w14:paraId="54321B45" w14:textId="77777777" w:rsidTr="007C118C">
        <w:tc>
          <w:tcPr>
            <w:tcW w:w="797" w:type="pct"/>
          </w:tcPr>
          <w:p w14:paraId="730B4CF1" w14:textId="43D715D0" w:rsidR="0095086C" w:rsidRPr="00B276EB" w:rsidRDefault="0095086C" w:rsidP="003D1CA1">
            <w:pPr>
              <w:pStyle w:val="ListParagraph"/>
              <w:numPr>
                <w:ilvl w:val="0"/>
                <w:numId w:val="13"/>
              </w:numPr>
              <w:ind w:left="321" w:right="37" w:hanging="321"/>
              <w:rPr>
                <w:sz w:val="16"/>
                <w:szCs w:val="16"/>
              </w:rPr>
            </w:pPr>
            <w:r w:rsidRPr="00B276EB">
              <w:rPr>
                <w:sz w:val="16"/>
                <w:szCs w:val="16"/>
              </w:rPr>
              <w:t xml:space="preserve">Older </w:t>
            </w:r>
            <w:proofErr w:type="spellStart"/>
            <w:r w:rsidRPr="00B276EB">
              <w:rPr>
                <w:sz w:val="16"/>
                <w:szCs w:val="16"/>
              </w:rPr>
              <w:t>adults</w:t>
            </w:r>
            <w:r w:rsidR="00E76F1E">
              <w:rPr>
                <w:sz w:val="16"/>
                <w:szCs w:val="16"/>
                <w:vertAlign w:val="superscript"/>
              </w:rPr>
              <w:t>e</w:t>
            </w:r>
            <w:proofErr w:type="spellEnd"/>
          </w:p>
        </w:tc>
        <w:tc>
          <w:tcPr>
            <w:tcW w:w="534" w:type="pct"/>
          </w:tcPr>
          <w:p w14:paraId="13939C02" w14:textId="5B71F747" w:rsidR="0095086C" w:rsidRPr="00B276EB" w:rsidRDefault="0095086C" w:rsidP="003D1CA1">
            <w:pPr>
              <w:pStyle w:val="ListParagraph"/>
              <w:ind w:left="34" w:right="37"/>
              <w:jc w:val="center"/>
              <w:rPr>
                <w:sz w:val="16"/>
                <w:szCs w:val="16"/>
              </w:rPr>
            </w:pPr>
            <w:r w:rsidRPr="00B276EB">
              <w:rPr>
                <w:sz w:val="16"/>
                <w:szCs w:val="16"/>
              </w:rPr>
              <w:t xml:space="preserve">Supported </w:t>
            </w:r>
            <w:proofErr w:type="spellStart"/>
            <w:r w:rsidRPr="00B276EB">
              <w:rPr>
                <w:sz w:val="16"/>
                <w:szCs w:val="16"/>
              </w:rPr>
              <w:t>iCBT</w:t>
            </w:r>
            <w:proofErr w:type="spellEnd"/>
          </w:p>
        </w:tc>
        <w:tc>
          <w:tcPr>
            <w:tcW w:w="661" w:type="pct"/>
          </w:tcPr>
          <w:p w14:paraId="20D4C648" w14:textId="6364C4C3" w:rsidR="0095086C" w:rsidRPr="00B276EB" w:rsidRDefault="0095086C" w:rsidP="003D1CA1">
            <w:pPr>
              <w:jc w:val="center"/>
              <w:rPr>
                <w:rFonts w:asciiTheme="minorHAnsi" w:hAnsiTheme="minorHAnsi"/>
                <w:sz w:val="16"/>
                <w:szCs w:val="16"/>
              </w:rPr>
            </w:pPr>
            <w:r w:rsidRPr="00B276EB">
              <w:rPr>
                <w:rFonts w:asciiTheme="minorHAnsi" w:hAnsiTheme="minorHAnsi"/>
                <w:sz w:val="16"/>
                <w:szCs w:val="16"/>
              </w:rPr>
              <w:t>GAD-7</w:t>
            </w:r>
          </w:p>
        </w:tc>
        <w:tc>
          <w:tcPr>
            <w:tcW w:w="348" w:type="pct"/>
          </w:tcPr>
          <w:p w14:paraId="1DC76B8F" w14:textId="6EF8C430"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516</w:t>
            </w:r>
          </w:p>
        </w:tc>
        <w:tc>
          <w:tcPr>
            <w:tcW w:w="455" w:type="pct"/>
          </w:tcPr>
          <w:p w14:paraId="067617A8" w14:textId="057A489F"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10.5</w:t>
            </w:r>
          </w:p>
        </w:tc>
        <w:tc>
          <w:tcPr>
            <w:tcW w:w="572" w:type="pct"/>
          </w:tcPr>
          <w:p w14:paraId="7B763F2D" w14:textId="3F40BBC0"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5</w:t>
            </w:r>
          </w:p>
        </w:tc>
        <w:tc>
          <w:tcPr>
            <w:tcW w:w="252" w:type="pct"/>
          </w:tcPr>
          <w:p w14:paraId="02629591" w14:textId="76A777AB"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516</w:t>
            </w:r>
          </w:p>
        </w:tc>
        <w:tc>
          <w:tcPr>
            <w:tcW w:w="260" w:type="pct"/>
          </w:tcPr>
          <w:p w14:paraId="1B1084AA" w14:textId="0D67A1A8"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4.5</w:t>
            </w:r>
          </w:p>
        </w:tc>
        <w:tc>
          <w:tcPr>
            <w:tcW w:w="542" w:type="pct"/>
          </w:tcPr>
          <w:p w14:paraId="63BE2EF2" w14:textId="58C00EFF" w:rsidR="0095086C" w:rsidRPr="00021CAB" w:rsidRDefault="0095086C" w:rsidP="003D1CA1">
            <w:pPr>
              <w:jc w:val="center"/>
              <w:rPr>
                <w:rFonts w:asciiTheme="minorHAnsi" w:hAnsiTheme="minorHAnsi"/>
                <w:color w:val="000000"/>
                <w:sz w:val="16"/>
                <w:szCs w:val="16"/>
              </w:rPr>
            </w:pPr>
            <w:r w:rsidRPr="00021CAB">
              <w:rPr>
                <w:rFonts w:asciiTheme="minorHAnsi" w:hAnsiTheme="minorHAnsi"/>
                <w:color w:val="000000"/>
                <w:sz w:val="16"/>
                <w:szCs w:val="16"/>
              </w:rPr>
              <w:t>3.5</w:t>
            </w:r>
          </w:p>
        </w:tc>
        <w:tc>
          <w:tcPr>
            <w:tcW w:w="579" w:type="pct"/>
          </w:tcPr>
          <w:p w14:paraId="121BEBCF" w14:textId="3B7D967A" w:rsidR="0095086C" w:rsidRPr="00021CAB" w:rsidRDefault="0095086C" w:rsidP="003D1CA1">
            <w:pPr>
              <w:jc w:val="center"/>
              <w:rPr>
                <w:rFonts w:asciiTheme="minorHAnsi" w:hAnsiTheme="minorHAnsi"/>
                <w:color w:val="000000"/>
                <w:sz w:val="16"/>
                <w:szCs w:val="16"/>
              </w:rPr>
            </w:pPr>
            <w:r w:rsidRPr="00021CAB">
              <w:rPr>
                <w:rFonts w:asciiTheme="minorHAnsi" w:hAnsiTheme="minorHAnsi"/>
                <w:color w:val="000000"/>
                <w:sz w:val="16"/>
                <w:szCs w:val="16"/>
              </w:rPr>
              <w:t>d=1.4 (1.3</w:t>
            </w:r>
            <w:r w:rsidR="00E45DB3" w:rsidRPr="00021CAB">
              <w:rPr>
                <w:rFonts w:asciiTheme="minorHAnsi" w:hAnsiTheme="minorHAnsi"/>
                <w:color w:val="000000"/>
                <w:sz w:val="16"/>
                <w:szCs w:val="16"/>
              </w:rPr>
              <w:t xml:space="preserve">, </w:t>
            </w:r>
            <w:r w:rsidRPr="00021CAB">
              <w:rPr>
                <w:rFonts w:asciiTheme="minorHAnsi" w:hAnsiTheme="minorHAnsi"/>
                <w:color w:val="000000"/>
                <w:sz w:val="16"/>
                <w:szCs w:val="16"/>
              </w:rPr>
              <w:t>1.5)</w:t>
            </w:r>
          </w:p>
        </w:tc>
      </w:tr>
      <w:tr w:rsidR="0095086C" w:rsidRPr="00B276EB" w14:paraId="16CD5135" w14:textId="77777777" w:rsidTr="007C118C">
        <w:tc>
          <w:tcPr>
            <w:tcW w:w="797" w:type="pct"/>
          </w:tcPr>
          <w:p w14:paraId="35BEF2DC" w14:textId="49D4E210" w:rsidR="0095086C" w:rsidRPr="00B276EB" w:rsidRDefault="0095086C" w:rsidP="003D1CA1">
            <w:pPr>
              <w:pStyle w:val="ListParagraph"/>
              <w:numPr>
                <w:ilvl w:val="0"/>
                <w:numId w:val="13"/>
              </w:numPr>
              <w:ind w:left="321" w:right="37" w:hanging="321"/>
              <w:rPr>
                <w:sz w:val="16"/>
                <w:szCs w:val="16"/>
              </w:rPr>
            </w:pPr>
            <w:r w:rsidRPr="00B276EB">
              <w:rPr>
                <w:sz w:val="16"/>
                <w:szCs w:val="16"/>
              </w:rPr>
              <w:t xml:space="preserve">Indigenous </w:t>
            </w:r>
            <w:proofErr w:type="spellStart"/>
            <w:r w:rsidRPr="00B276EB">
              <w:rPr>
                <w:sz w:val="16"/>
                <w:szCs w:val="16"/>
              </w:rPr>
              <w:t>Australians</w:t>
            </w:r>
            <w:r w:rsidR="00E76F1E">
              <w:rPr>
                <w:sz w:val="16"/>
                <w:szCs w:val="16"/>
                <w:vertAlign w:val="superscript"/>
              </w:rPr>
              <w:t>f</w:t>
            </w:r>
            <w:proofErr w:type="spellEnd"/>
          </w:p>
        </w:tc>
        <w:tc>
          <w:tcPr>
            <w:tcW w:w="534" w:type="pct"/>
          </w:tcPr>
          <w:p w14:paraId="7977B816" w14:textId="11A4CB07" w:rsidR="0095086C" w:rsidRPr="00B276EB" w:rsidRDefault="0095086C" w:rsidP="003D1CA1">
            <w:pPr>
              <w:pStyle w:val="ListParagraph"/>
              <w:ind w:left="34" w:right="37"/>
              <w:jc w:val="center"/>
              <w:rPr>
                <w:sz w:val="16"/>
                <w:szCs w:val="16"/>
              </w:rPr>
            </w:pPr>
            <w:r w:rsidRPr="00B276EB">
              <w:rPr>
                <w:sz w:val="16"/>
                <w:szCs w:val="16"/>
              </w:rPr>
              <w:t xml:space="preserve">Supported </w:t>
            </w:r>
            <w:proofErr w:type="spellStart"/>
            <w:r w:rsidRPr="00B276EB">
              <w:rPr>
                <w:sz w:val="16"/>
                <w:szCs w:val="16"/>
              </w:rPr>
              <w:t>iCBT</w:t>
            </w:r>
            <w:proofErr w:type="spellEnd"/>
          </w:p>
        </w:tc>
        <w:tc>
          <w:tcPr>
            <w:tcW w:w="661" w:type="pct"/>
          </w:tcPr>
          <w:p w14:paraId="00DE1FDA" w14:textId="07C501D7" w:rsidR="0095086C" w:rsidRPr="00B276EB" w:rsidRDefault="0095086C" w:rsidP="003D1CA1">
            <w:pPr>
              <w:jc w:val="center"/>
              <w:rPr>
                <w:rFonts w:asciiTheme="minorHAnsi" w:hAnsiTheme="minorHAnsi"/>
                <w:sz w:val="16"/>
                <w:szCs w:val="16"/>
              </w:rPr>
            </w:pPr>
            <w:r w:rsidRPr="00B276EB">
              <w:rPr>
                <w:rFonts w:asciiTheme="minorHAnsi" w:hAnsiTheme="minorHAnsi"/>
                <w:sz w:val="16"/>
                <w:szCs w:val="16"/>
              </w:rPr>
              <w:t>K10</w:t>
            </w:r>
          </w:p>
        </w:tc>
        <w:tc>
          <w:tcPr>
            <w:tcW w:w="348" w:type="pct"/>
          </w:tcPr>
          <w:p w14:paraId="6478AB69" w14:textId="3A32DDE8"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70</w:t>
            </w:r>
          </w:p>
        </w:tc>
        <w:tc>
          <w:tcPr>
            <w:tcW w:w="455" w:type="pct"/>
          </w:tcPr>
          <w:p w14:paraId="0454C459" w14:textId="7398A2D0"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31.6</w:t>
            </w:r>
          </w:p>
        </w:tc>
        <w:tc>
          <w:tcPr>
            <w:tcW w:w="572" w:type="pct"/>
          </w:tcPr>
          <w:p w14:paraId="42FD4A2C" w14:textId="26A5EFD9"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7.2</w:t>
            </w:r>
          </w:p>
        </w:tc>
        <w:tc>
          <w:tcPr>
            <w:tcW w:w="252" w:type="pct"/>
          </w:tcPr>
          <w:p w14:paraId="0A134A89" w14:textId="7896FC49"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70</w:t>
            </w:r>
          </w:p>
        </w:tc>
        <w:tc>
          <w:tcPr>
            <w:tcW w:w="260" w:type="pct"/>
          </w:tcPr>
          <w:p w14:paraId="211F275D" w14:textId="76867371"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20.7</w:t>
            </w:r>
          </w:p>
        </w:tc>
        <w:tc>
          <w:tcPr>
            <w:tcW w:w="542" w:type="pct"/>
          </w:tcPr>
          <w:p w14:paraId="4335DA1A" w14:textId="75543863" w:rsidR="0095086C" w:rsidRPr="00021CAB" w:rsidRDefault="0095086C" w:rsidP="003D1CA1">
            <w:pPr>
              <w:jc w:val="center"/>
              <w:rPr>
                <w:rFonts w:asciiTheme="minorHAnsi" w:hAnsiTheme="minorHAnsi"/>
                <w:color w:val="000000"/>
                <w:sz w:val="16"/>
                <w:szCs w:val="16"/>
              </w:rPr>
            </w:pPr>
            <w:r w:rsidRPr="00021CAB">
              <w:rPr>
                <w:rFonts w:asciiTheme="minorHAnsi" w:hAnsiTheme="minorHAnsi"/>
                <w:color w:val="000000"/>
                <w:sz w:val="16"/>
                <w:szCs w:val="16"/>
              </w:rPr>
              <w:t>6.7</w:t>
            </w:r>
          </w:p>
        </w:tc>
        <w:tc>
          <w:tcPr>
            <w:tcW w:w="579" w:type="pct"/>
          </w:tcPr>
          <w:p w14:paraId="03FCDD95" w14:textId="24276ED6" w:rsidR="0095086C" w:rsidRPr="00021CAB" w:rsidRDefault="0095086C" w:rsidP="003D1CA1">
            <w:pPr>
              <w:jc w:val="center"/>
              <w:rPr>
                <w:rFonts w:asciiTheme="minorHAnsi" w:hAnsiTheme="minorHAnsi"/>
                <w:color w:val="000000"/>
                <w:sz w:val="16"/>
                <w:szCs w:val="16"/>
              </w:rPr>
            </w:pPr>
            <w:r w:rsidRPr="00021CAB">
              <w:rPr>
                <w:rFonts w:asciiTheme="minorHAnsi" w:hAnsiTheme="minorHAnsi"/>
                <w:color w:val="000000"/>
                <w:sz w:val="16"/>
                <w:szCs w:val="16"/>
              </w:rPr>
              <w:t>d=1.57 (1.18</w:t>
            </w:r>
            <w:r w:rsidR="00E45DB3" w:rsidRPr="00021CAB">
              <w:rPr>
                <w:rFonts w:asciiTheme="minorHAnsi" w:hAnsiTheme="minorHAnsi"/>
                <w:color w:val="000000"/>
                <w:sz w:val="16"/>
                <w:szCs w:val="16"/>
              </w:rPr>
              <w:t xml:space="preserve">, </w:t>
            </w:r>
            <w:r w:rsidRPr="00021CAB">
              <w:rPr>
                <w:rFonts w:asciiTheme="minorHAnsi" w:hAnsiTheme="minorHAnsi"/>
                <w:color w:val="000000"/>
                <w:sz w:val="16"/>
                <w:szCs w:val="16"/>
              </w:rPr>
              <w:t>1.94)</w:t>
            </w:r>
          </w:p>
        </w:tc>
      </w:tr>
      <w:tr w:rsidR="0095086C" w:rsidRPr="00B276EB" w14:paraId="7B87B65E" w14:textId="77777777" w:rsidTr="007C118C">
        <w:tc>
          <w:tcPr>
            <w:tcW w:w="797" w:type="pct"/>
          </w:tcPr>
          <w:p w14:paraId="5CDDDD02" w14:textId="71F28564" w:rsidR="0095086C" w:rsidRPr="00B276EB" w:rsidRDefault="0095086C" w:rsidP="003D1CA1">
            <w:pPr>
              <w:pStyle w:val="ListParagraph"/>
              <w:numPr>
                <w:ilvl w:val="0"/>
                <w:numId w:val="13"/>
              </w:numPr>
              <w:ind w:left="321" w:right="37" w:hanging="321"/>
              <w:rPr>
                <w:sz w:val="16"/>
                <w:szCs w:val="16"/>
              </w:rPr>
            </w:pPr>
            <w:r w:rsidRPr="00B276EB">
              <w:rPr>
                <w:sz w:val="16"/>
                <w:szCs w:val="16"/>
              </w:rPr>
              <w:t xml:space="preserve">Indigenous </w:t>
            </w:r>
            <w:proofErr w:type="spellStart"/>
            <w:r w:rsidRPr="00B276EB">
              <w:rPr>
                <w:sz w:val="16"/>
                <w:szCs w:val="16"/>
              </w:rPr>
              <w:t>Australians</w:t>
            </w:r>
            <w:r w:rsidR="00E76F1E">
              <w:rPr>
                <w:sz w:val="16"/>
                <w:szCs w:val="16"/>
                <w:vertAlign w:val="superscript"/>
              </w:rPr>
              <w:t>f</w:t>
            </w:r>
            <w:proofErr w:type="spellEnd"/>
          </w:p>
        </w:tc>
        <w:tc>
          <w:tcPr>
            <w:tcW w:w="534" w:type="pct"/>
          </w:tcPr>
          <w:p w14:paraId="46747C27" w14:textId="7A0D7A85" w:rsidR="0095086C" w:rsidRPr="00B276EB" w:rsidRDefault="0095086C" w:rsidP="003D1CA1">
            <w:pPr>
              <w:pStyle w:val="ListParagraph"/>
              <w:ind w:left="34" w:right="37"/>
              <w:jc w:val="center"/>
              <w:rPr>
                <w:sz w:val="16"/>
                <w:szCs w:val="16"/>
              </w:rPr>
            </w:pPr>
            <w:r w:rsidRPr="00B276EB">
              <w:rPr>
                <w:sz w:val="16"/>
                <w:szCs w:val="16"/>
              </w:rPr>
              <w:t xml:space="preserve">Supported </w:t>
            </w:r>
            <w:proofErr w:type="spellStart"/>
            <w:r w:rsidRPr="00B276EB">
              <w:rPr>
                <w:sz w:val="16"/>
                <w:szCs w:val="16"/>
              </w:rPr>
              <w:t>iCBT</w:t>
            </w:r>
            <w:proofErr w:type="spellEnd"/>
          </w:p>
        </w:tc>
        <w:tc>
          <w:tcPr>
            <w:tcW w:w="661" w:type="pct"/>
          </w:tcPr>
          <w:p w14:paraId="7DCBC99E" w14:textId="0EF96FEC" w:rsidR="0095086C" w:rsidRPr="00B276EB" w:rsidRDefault="0095086C" w:rsidP="003D1CA1">
            <w:pPr>
              <w:jc w:val="center"/>
              <w:rPr>
                <w:rFonts w:asciiTheme="minorHAnsi" w:hAnsiTheme="minorHAnsi"/>
                <w:sz w:val="16"/>
                <w:szCs w:val="16"/>
              </w:rPr>
            </w:pPr>
            <w:r w:rsidRPr="00B276EB">
              <w:rPr>
                <w:rFonts w:asciiTheme="minorHAnsi" w:hAnsiTheme="minorHAnsi"/>
                <w:sz w:val="16"/>
                <w:szCs w:val="16"/>
              </w:rPr>
              <w:t>PHQ-9</w:t>
            </w:r>
          </w:p>
        </w:tc>
        <w:tc>
          <w:tcPr>
            <w:tcW w:w="348" w:type="pct"/>
          </w:tcPr>
          <w:p w14:paraId="0E02B05B" w14:textId="2E9705AF"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70</w:t>
            </w:r>
          </w:p>
        </w:tc>
        <w:tc>
          <w:tcPr>
            <w:tcW w:w="455" w:type="pct"/>
          </w:tcPr>
          <w:p w14:paraId="18345393" w14:textId="203AB8E4"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15.2</w:t>
            </w:r>
          </w:p>
        </w:tc>
        <w:tc>
          <w:tcPr>
            <w:tcW w:w="572" w:type="pct"/>
          </w:tcPr>
          <w:p w14:paraId="2A76F0F1" w14:textId="07889405"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6.2</w:t>
            </w:r>
          </w:p>
        </w:tc>
        <w:tc>
          <w:tcPr>
            <w:tcW w:w="252" w:type="pct"/>
          </w:tcPr>
          <w:p w14:paraId="30060C6B" w14:textId="291E6D75"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70</w:t>
            </w:r>
          </w:p>
        </w:tc>
        <w:tc>
          <w:tcPr>
            <w:tcW w:w="260" w:type="pct"/>
          </w:tcPr>
          <w:p w14:paraId="7317278E" w14:textId="7BEA2E2B"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6.8</w:t>
            </w:r>
          </w:p>
        </w:tc>
        <w:tc>
          <w:tcPr>
            <w:tcW w:w="542" w:type="pct"/>
          </w:tcPr>
          <w:p w14:paraId="5A5565C0" w14:textId="61FA1D8E" w:rsidR="0095086C" w:rsidRPr="00021CAB" w:rsidRDefault="0095086C" w:rsidP="003D1CA1">
            <w:pPr>
              <w:jc w:val="center"/>
              <w:rPr>
                <w:rFonts w:asciiTheme="minorHAnsi" w:hAnsiTheme="minorHAnsi"/>
                <w:color w:val="000000"/>
                <w:sz w:val="16"/>
                <w:szCs w:val="16"/>
              </w:rPr>
            </w:pPr>
            <w:r w:rsidRPr="00021CAB">
              <w:rPr>
                <w:rFonts w:asciiTheme="minorHAnsi" w:hAnsiTheme="minorHAnsi"/>
                <w:color w:val="000000"/>
                <w:sz w:val="16"/>
                <w:szCs w:val="16"/>
              </w:rPr>
              <w:t>4</w:t>
            </w:r>
          </w:p>
        </w:tc>
        <w:tc>
          <w:tcPr>
            <w:tcW w:w="579" w:type="pct"/>
          </w:tcPr>
          <w:p w14:paraId="192D57A3" w14:textId="0187275D" w:rsidR="0095086C" w:rsidRPr="00021CAB" w:rsidRDefault="0095086C" w:rsidP="003D1CA1">
            <w:pPr>
              <w:jc w:val="center"/>
              <w:rPr>
                <w:rFonts w:asciiTheme="minorHAnsi" w:hAnsiTheme="minorHAnsi"/>
                <w:color w:val="000000"/>
                <w:sz w:val="16"/>
                <w:szCs w:val="16"/>
              </w:rPr>
            </w:pPr>
            <w:r w:rsidRPr="00021CAB">
              <w:rPr>
                <w:rFonts w:asciiTheme="minorHAnsi" w:hAnsiTheme="minorHAnsi"/>
                <w:color w:val="000000"/>
                <w:sz w:val="16"/>
                <w:szCs w:val="16"/>
              </w:rPr>
              <w:t>d=1.60 (1.21</w:t>
            </w:r>
            <w:r w:rsidR="00E45DB3" w:rsidRPr="00021CAB">
              <w:rPr>
                <w:rFonts w:asciiTheme="minorHAnsi" w:hAnsiTheme="minorHAnsi"/>
                <w:color w:val="000000"/>
                <w:sz w:val="16"/>
                <w:szCs w:val="16"/>
              </w:rPr>
              <w:t>,</w:t>
            </w:r>
            <w:r w:rsidRPr="00021CAB">
              <w:rPr>
                <w:rFonts w:asciiTheme="minorHAnsi" w:hAnsiTheme="minorHAnsi"/>
                <w:color w:val="000000"/>
                <w:sz w:val="16"/>
                <w:szCs w:val="16"/>
              </w:rPr>
              <w:t xml:space="preserve"> 1.97)</w:t>
            </w:r>
          </w:p>
        </w:tc>
      </w:tr>
      <w:tr w:rsidR="0095086C" w:rsidRPr="00B276EB" w14:paraId="67FF7C3C" w14:textId="77777777" w:rsidTr="007C118C">
        <w:tc>
          <w:tcPr>
            <w:tcW w:w="797" w:type="pct"/>
          </w:tcPr>
          <w:p w14:paraId="70E5DFBA" w14:textId="5A212E39" w:rsidR="0095086C" w:rsidRPr="00B276EB" w:rsidRDefault="0095086C" w:rsidP="003D1CA1">
            <w:pPr>
              <w:pStyle w:val="ListParagraph"/>
              <w:numPr>
                <w:ilvl w:val="0"/>
                <w:numId w:val="13"/>
              </w:numPr>
              <w:ind w:left="321" w:right="37" w:hanging="321"/>
              <w:rPr>
                <w:sz w:val="16"/>
                <w:szCs w:val="16"/>
              </w:rPr>
            </w:pPr>
            <w:r w:rsidRPr="00B276EB">
              <w:rPr>
                <w:sz w:val="16"/>
                <w:szCs w:val="16"/>
              </w:rPr>
              <w:t xml:space="preserve">Indigenous </w:t>
            </w:r>
            <w:proofErr w:type="spellStart"/>
            <w:r w:rsidRPr="00B276EB">
              <w:rPr>
                <w:sz w:val="16"/>
                <w:szCs w:val="16"/>
              </w:rPr>
              <w:t>Australians</w:t>
            </w:r>
            <w:r w:rsidR="00E76F1E">
              <w:rPr>
                <w:sz w:val="16"/>
                <w:szCs w:val="16"/>
                <w:vertAlign w:val="superscript"/>
              </w:rPr>
              <w:t>f</w:t>
            </w:r>
            <w:proofErr w:type="spellEnd"/>
          </w:p>
        </w:tc>
        <w:tc>
          <w:tcPr>
            <w:tcW w:w="534" w:type="pct"/>
          </w:tcPr>
          <w:p w14:paraId="3DC4CD32" w14:textId="72223C3F" w:rsidR="0095086C" w:rsidRPr="00B276EB" w:rsidRDefault="0095086C" w:rsidP="003D1CA1">
            <w:pPr>
              <w:pStyle w:val="ListParagraph"/>
              <w:ind w:left="34" w:right="37"/>
              <w:jc w:val="center"/>
              <w:rPr>
                <w:sz w:val="16"/>
                <w:szCs w:val="16"/>
              </w:rPr>
            </w:pPr>
            <w:r w:rsidRPr="00B276EB">
              <w:rPr>
                <w:sz w:val="16"/>
                <w:szCs w:val="16"/>
              </w:rPr>
              <w:t xml:space="preserve">Supported </w:t>
            </w:r>
            <w:proofErr w:type="spellStart"/>
            <w:r w:rsidRPr="00B276EB">
              <w:rPr>
                <w:sz w:val="16"/>
                <w:szCs w:val="16"/>
              </w:rPr>
              <w:t>iCBT</w:t>
            </w:r>
            <w:proofErr w:type="spellEnd"/>
          </w:p>
        </w:tc>
        <w:tc>
          <w:tcPr>
            <w:tcW w:w="661" w:type="pct"/>
          </w:tcPr>
          <w:p w14:paraId="4200BCEC" w14:textId="5B3F6C56" w:rsidR="0095086C" w:rsidRPr="00B276EB" w:rsidRDefault="0095086C" w:rsidP="003D1CA1">
            <w:pPr>
              <w:jc w:val="center"/>
              <w:rPr>
                <w:rFonts w:asciiTheme="minorHAnsi" w:hAnsiTheme="minorHAnsi"/>
                <w:sz w:val="16"/>
                <w:szCs w:val="16"/>
              </w:rPr>
            </w:pPr>
            <w:r w:rsidRPr="00B276EB">
              <w:rPr>
                <w:rFonts w:asciiTheme="minorHAnsi" w:hAnsiTheme="minorHAnsi"/>
                <w:sz w:val="16"/>
                <w:szCs w:val="16"/>
              </w:rPr>
              <w:t>GAD-7</w:t>
            </w:r>
          </w:p>
        </w:tc>
        <w:tc>
          <w:tcPr>
            <w:tcW w:w="348" w:type="pct"/>
          </w:tcPr>
          <w:p w14:paraId="315C87B2" w14:textId="13FCE154"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70</w:t>
            </w:r>
          </w:p>
        </w:tc>
        <w:tc>
          <w:tcPr>
            <w:tcW w:w="455" w:type="pct"/>
          </w:tcPr>
          <w:p w14:paraId="45CE88F6" w14:textId="2EF01F52"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12.8</w:t>
            </w:r>
          </w:p>
        </w:tc>
        <w:tc>
          <w:tcPr>
            <w:tcW w:w="572" w:type="pct"/>
          </w:tcPr>
          <w:p w14:paraId="1F692248" w14:textId="0A614436"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4.8</w:t>
            </w:r>
          </w:p>
        </w:tc>
        <w:tc>
          <w:tcPr>
            <w:tcW w:w="252" w:type="pct"/>
          </w:tcPr>
          <w:p w14:paraId="1F54E0A0" w14:textId="094019D4"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70</w:t>
            </w:r>
          </w:p>
        </w:tc>
        <w:tc>
          <w:tcPr>
            <w:tcW w:w="260" w:type="pct"/>
          </w:tcPr>
          <w:p w14:paraId="163A2402" w14:textId="725DD93D"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6.2</w:t>
            </w:r>
          </w:p>
        </w:tc>
        <w:tc>
          <w:tcPr>
            <w:tcW w:w="542" w:type="pct"/>
          </w:tcPr>
          <w:p w14:paraId="4F8417F3" w14:textId="738D273C" w:rsidR="0095086C" w:rsidRPr="00021CAB" w:rsidRDefault="0095086C" w:rsidP="003D1CA1">
            <w:pPr>
              <w:jc w:val="center"/>
              <w:rPr>
                <w:rFonts w:asciiTheme="minorHAnsi" w:hAnsiTheme="minorHAnsi"/>
                <w:color w:val="000000"/>
                <w:sz w:val="16"/>
                <w:szCs w:val="16"/>
              </w:rPr>
            </w:pPr>
            <w:r w:rsidRPr="00021CAB">
              <w:rPr>
                <w:rFonts w:asciiTheme="minorHAnsi" w:hAnsiTheme="minorHAnsi"/>
                <w:color w:val="000000"/>
                <w:sz w:val="16"/>
                <w:szCs w:val="16"/>
              </w:rPr>
              <w:t>3.4</w:t>
            </w:r>
          </w:p>
        </w:tc>
        <w:tc>
          <w:tcPr>
            <w:tcW w:w="579" w:type="pct"/>
          </w:tcPr>
          <w:p w14:paraId="19979A19" w14:textId="374BCFED" w:rsidR="0095086C" w:rsidRPr="00021CAB" w:rsidRDefault="0095086C" w:rsidP="003D1CA1">
            <w:pPr>
              <w:jc w:val="center"/>
              <w:rPr>
                <w:rFonts w:asciiTheme="minorHAnsi" w:hAnsiTheme="minorHAnsi"/>
                <w:color w:val="000000"/>
                <w:sz w:val="16"/>
                <w:szCs w:val="16"/>
              </w:rPr>
            </w:pPr>
            <w:r w:rsidRPr="00021CAB">
              <w:rPr>
                <w:rFonts w:asciiTheme="minorHAnsi" w:hAnsiTheme="minorHAnsi"/>
                <w:color w:val="000000"/>
                <w:sz w:val="16"/>
                <w:szCs w:val="16"/>
              </w:rPr>
              <w:t>d=1.57 (1.18</w:t>
            </w:r>
            <w:r w:rsidR="00E45DB3" w:rsidRPr="00021CAB">
              <w:rPr>
                <w:rFonts w:asciiTheme="minorHAnsi" w:hAnsiTheme="minorHAnsi"/>
                <w:color w:val="000000"/>
                <w:sz w:val="16"/>
                <w:szCs w:val="16"/>
              </w:rPr>
              <w:t>,</w:t>
            </w:r>
            <w:r w:rsidRPr="00021CAB">
              <w:rPr>
                <w:rFonts w:asciiTheme="minorHAnsi" w:hAnsiTheme="minorHAnsi"/>
                <w:color w:val="000000"/>
                <w:sz w:val="16"/>
                <w:szCs w:val="16"/>
              </w:rPr>
              <w:t xml:space="preserve"> 1.94)</w:t>
            </w:r>
          </w:p>
        </w:tc>
      </w:tr>
      <w:tr w:rsidR="0095086C" w:rsidRPr="00B276EB" w14:paraId="673FC1C0" w14:textId="77777777" w:rsidTr="007C118C">
        <w:tc>
          <w:tcPr>
            <w:tcW w:w="797" w:type="pct"/>
          </w:tcPr>
          <w:p w14:paraId="2C595592" w14:textId="332145C6" w:rsidR="0095086C" w:rsidRPr="00B276EB" w:rsidRDefault="0095086C" w:rsidP="003D1CA1">
            <w:pPr>
              <w:pStyle w:val="ListParagraph"/>
              <w:numPr>
                <w:ilvl w:val="0"/>
                <w:numId w:val="13"/>
              </w:numPr>
              <w:ind w:left="321" w:right="37" w:hanging="321"/>
              <w:rPr>
                <w:sz w:val="16"/>
                <w:szCs w:val="16"/>
              </w:rPr>
            </w:pPr>
            <w:r w:rsidRPr="00B276EB">
              <w:rPr>
                <w:sz w:val="16"/>
                <w:szCs w:val="16"/>
              </w:rPr>
              <w:t xml:space="preserve">NESB </w:t>
            </w:r>
            <w:proofErr w:type="spellStart"/>
            <w:r w:rsidRPr="00B276EB">
              <w:rPr>
                <w:sz w:val="16"/>
                <w:szCs w:val="16"/>
              </w:rPr>
              <w:t>MidEast</w:t>
            </w:r>
            <w:r w:rsidR="00E76F1E">
              <w:rPr>
                <w:sz w:val="16"/>
                <w:szCs w:val="16"/>
                <w:vertAlign w:val="superscript"/>
              </w:rPr>
              <w:t>g</w:t>
            </w:r>
            <w:proofErr w:type="spellEnd"/>
          </w:p>
        </w:tc>
        <w:tc>
          <w:tcPr>
            <w:tcW w:w="534" w:type="pct"/>
          </w:tcPr>
          <w:p w14:paraId="681DD291" w14:textId="48FD359A" w:rsidR="0095086C" w:rsidRPr="00B276EB" w:rsidRDefault="0095086C" w:rsidP="003D1CA1">
            <w:pPr>
              <w:pStyle w:val="ListParagraph"/>
              <w:ind w:left="34" w:right="37"/>
              <w:jc w:val="center"/>
              <w:rPr>
                <w:sz w:val="16"/>
                <w:szCs w:val="16"/>
              </w:rPr>
            </w:pPr>
            <w:r w:rsidRPr="00B276EB">
              <w:rPr>
                <w:sz w:val="16"/>
                <w:szCs w:val="16"/>
              </w:rPr>
              <w:t xml:space="preserve">Supported </w:t>
            </w:r>
            <w:proofErr w:type="spellStart"/>
            <w:r w:rsidRPr="00B276EB">
              <w:rPr>
                <w:sz w:val="16"/>
                <w:szCs w:val="16"/>
              </w:rPr>
              <w:t>iCBT</w:t>
            </w:r>
            <w:proofErr w:type="spellEnd"/>
          </w:p>
        </w:tc>
        <w:tc>
          <w:tcPr>
            <w:tcW w:w="661" w:type="pct"/>
          </w:tcPr>
          <w:p w14:paraId="5B23F178" w14:textId="7FB4F1F8" w:rsidR="0095086C" w:rsidRPr="00B276EB" w:rsidRDefault="0095086C" w:rsidP="003D1CA1">
            <w:pPr>
              <w:jc w:val="center"/>
              <w:rPr>
                <w:rFonts w:asciiTheme="minorHAnsi" w:hAnsiTheme="minorHAnsi"/>
                <w:sz w:val="16"/>
                <w:szCs w:val="16"/>
              </w:rPr>
            </w:pPr>
            <w:r w:rsidRPr="00B276EB">
              <w:rPr>
                <w:rFonts w:asciiTheme="minorHAnsi" w:hAnsiTheme="minorHAnsi"/>
                <w:sz w:val="16"/>
                <w:szCs w:val="16"/>
              </w:rPr>
              <w:t>PHQ-9</w:t>
            </w:r>
          </w:p>
        </w:tc>
        <w:tc>
          <w:tcPr>
            <w:tcW w:w="348" w:type="pct"/>
          </w:tcPr>
          <w:p w14:paraId="0CF37EE9" w14:textId="5191427E"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43</w:t>
            </w:r>
          </w:p>
        </w:tc>
        <w:tc>
          <w:tcPr>
            <w:tcW w:w="455" w:type="pct"/>
          </w:tcPr>
          <w:p w14:paraId="74585CD9" w14:textId="2FE5C435"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12.88</w:t>
            </w:r>
          </w:p>
        </w:tc>
        <w:tc>
          <w:tcPr>
            <w:tcW w:w="572" w:type="pct"/>
          </w:tcPr>
          <w:p w14:paraId="7CEEF77A" w14:textId="06224A7B"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95%CI 10.96</w:t>
            </w:r>
            <w:r w:rsidR="00891550">
              <w:rPr>
                <w:rFonts w:asciiTheme="minorHAnsi" w:hAnsiTheme="minorHAnsi"/>
                <w:color w:val="000000"/>
                <w:sz w:val="16"/>
                <w:szCs w:val="16"/>
              </w:rPr>
              <w:t xml:space="preserve">, </w:t>
            </w:r>
            <w:r w:rsidRPr="00B276EB">
              <w:rPr>
                <w:rFonts w:asciiTheme="minorHAnsi" w:hAnsiTheme="minorHAnsi"/>
                <w:color w:val="000000"/>
                <w:sz w:val="16"/>
                <w:szCs w:val="16"/>
              </w:rPr>
              <w:t>14.81</w:t>
            </w:r>
          </w:p>
        </w:tc>
        <w:tc>
          <w:tcPr>
            <w:tcW w:w="252" w:type="pct"/>
          </w:tcPr>
          <w:p w14:paraId="7698ECE4" w14:textId="3F563F0C"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43</w:t>
            </w:r>
          </w:p>
        </w:tc>
        <w:tc>
          <w:tcPr>
            <w:tcW w:w="260" w:type="pct"/>
          </w:tcPr>
          <w:p w14:paraId="63C4E47B" w14:textId="090CB4BF" w:rsidR="0095086C" w:rsidRPr="00B276EB" w:rsidRDefault="0095086C" w:rsidP="003D1CA1">
            <w:pPr>
              <w:jc w:val="center"/>
              <w:rPr>
                <w:rFonts w:asciiTheme="minorHAnsi" w:hAnsiTheme="minorHAnsi"/>
                <w:color w:val="000000"/>
                <w:sz w:val="16"/>
                <w:szCs w:val="16"/>
              </w:rPr>
            </w:pPr>
            <w:r w:rsidRPr="00B276EB">
              <w:rPr>
                <w:rFonts w:asciiTheme="minorHAnsi" w:hAnsiTheme="minorHAnsi"/>
                <w:color w:val="000000"/>
                <w:sz w:val="16"/>
                <w:szCs w:val="16"/>
              </w:rPr>
              <w:t>6.33</w:t>
            </w:r>
          </w:p>
        </w:tc>
        <w:tc>
          <w:tcPr>
            <w:tcW w:w="542" w:type="pct"/>
          </w:tcPr>
          <w:p w14:paraId="137E340E" w14:textId="3AA43BFA" w:rsidR="0095086C" w:rsidRPr="00021CAB" w:rsidRDefault="0095086C" w:rsidP="003D1CA1">
            <w:pPr>
              <w:jc w:val="center"/>
              <w:rPr>
                <w:rFonts w:asciiTheme="minorHAnsi" w:hAnsiTheme="minorHAnsi"/>
                <w:color w:val="000000"/>
                <w:sz w:val="16"/>
                <w:szCs w:val="16"/>
              </w:rPr>
            </w:pPr>
            <w:r w:rsidRPr="00021CAB">
              <w:rPr>
                <w:rFonts w:asciiTheme="minorHAnsi" w:hAnsiTheme="minorHAnsi"/>
                <w:color w:val="000000"/>
                <w:sz w:val="16"/>
                <w:szCs w:val="16"/>
              </w:rPr>
              <w:t>95%CI 4.47</w:t>
            </w:r>
            <w:r w:rsidR="00891550" w:rsidRPr="00021CAB">
              <w:rPr>
                <w:rFonts w:asciiTheme="minorHAnsi" w:hAnsiTheme="minorHAnsi"/>
                <w:color w:val="000000"/>
                <w:sz w:val="16"/>
                <w:szCs w:val="16"/>
              </w:rPr>
              <w:t>,</w:t>
            </w:r>
            <w:r w:rsidRPr="00021CAB">
              <w:rPr>
                <w:rFonts w:asciiTheme="minorHAnsi" w:hAnsiTheme="minorHAnsi"/>
                <w:color w:val="000000"/>
                <w:sz w:val="16"/>
                <w:szCs w:val="16"/>
              </w:rPr>
              <w:t xml:space="preserve"> 8.19</w:t>
            </w:r>
          </w:p>
        </w:tc>
        <w:tc>
          <w:tcPr>
            <w:tcW w:w="579" w:type="pct"/>
          </w:tcPr>
          <w:p w14:paraId="6B9FA9BE" w14:textId="7A1061C6" w:rsidR="0095086C" w:rsidRPr="00021CAB" w:rsidRDefault="0095086C" w:rsidP="003D1CA1">
            <w:pPr>
              <w:jc w:val="center"/>
              <w:rPr>
                <w:rFonts w:asciiTheme="minorHAnsi" w:hAnsiTheme="minorHAnsi"/>
                <w:color w:val="000000"/>
                <w:sz w:val="16"/>
                <w:szCs w:val="16"/>
              </w:rPr>
            </w:pPr>
            <w:r w:rsidRPr="00021CAB">
              <w:rPr>
                <w:rFonts w:asciiTheme="minorHAnsi" w:hAnsiTheme="minorHAnsi"/>
                <w:color w:val="000000"/>
                <w:sz w:val="16"/>
                <w:szCs w:val="16"/>
              </w:rPr>
              <w:t>g=1.13 (0.95</w:t>
            </w:r>
            <w:r w:rsidR="00E45DB3" w:rsidRPr="00021CAB">
              <w:rPr>
                <w:rFonts w:asciiTheme="minorHAnsi" w:hAnsiTheme="minorHAnsi"/>
                <w:color w:val="000000"/>
                <w:sz w:val="16"/>
                <w:szCs w:val="16"/>
              </w:rPr>
              <w:t>,</w:t>
            </w:r>
            <w:r w:rsidRPr="00021CAB">
              <w:rPr>
                <w:rFonts w:asciiTheme="minorHAnsi" w:hAnsiTheme="minorHAnsi"/>
                <w:color w:val="000000"/>
                <w:sz w:val="16"/>
                <w:szCs w:val="16"/>
              </w:rPr>
              <w:t xml:space="preserve"> 1.32)</w:t>
            </w:r>
          </w:p>
        </w:tc>
      </w:tr>
      <w:tr w:rsidR="0095086C" w:rsidRPr="00B276EB" w14:paraId="31DA2CC5" w14:textId="77777777" w:rsidTr="007C118C">
        <w:tc>
          <w:tcPr>
            <w:tcW w:w="797" w:type="pct"/>
          </w:tcPr>
          <w:p w14:paraId="4C0B3DEA" w14:textId="797094FA" w:rsidR="0095086C" w:rsidRPr="00B276EB" w:rsidRDefault="0095086C" w:rsidP="003D1CA1">
            <w:pPr>
              <w:pStyle w:val="ListParagraph"/>
              <w:numPr>
                <w:ilvl w:val="0"/>
                <w:numId w:val="13"/>
              </w:numPr>
              <w:ind w:left="321" w:right="37" w:hanging="321"/>
              <w:rPr>
                <w:sz w:val="16"/>
                <w:szCs w:val="16"/>
              </w:rPr>
            </w:pPr>
            <w:r w:rsidRPr="00B276EB">
              <w:rPr>
                <w:sz w:val="16"/>
                <w:szCs w:val="16"/>
              </w:rPr>
              <w:t xml:space="preserve">NESB </w:t>
            </w:r>
            <w:proofErr w:type="spellStart"/>
            <w:r w:rsidRPr="00B276EB">
              <w:rPr>
                <w:sz w:val="16"/>
                <w:szCs w:val="16"/>
              </w:rPr>
              <w:t>Europe</w:t>
            </w:r>
            <w:r w:rsidR="00E76F1E">
              <w:rPr>
                <w:sz w:val="16"/>
                <w:szCs w:val="16"/>
                <w:vertAlign w:val="superscript"/>
              </w:rPr>
              <w:t>g</w:t>
            </w:r>
            <w:proofErr w:type="spellEnd"/>
          </w:p>
        </w:tc>
        <w:tc>
          <w:tcPr>
            <w:tcW w:w="534" w:type="pct"/>
          </w:tcPr>
          <w:p w14:paraId="13F8D9F7" w14:textId="34FE23B2" w:rsidR="0095086C" w:rsidRPr="00B276EB" w:rsidRDefault="0095086C" w:rsidP="003D1CA1">
            <w:pPr>
              <w:pStyle w:val="ListParagraph"/>
              <w:ind w:left="34" w:right="37"/>
              <w:jc w:val="center"/>
              <w:rPr>
                <w:sz w:val="16"/>
                <w:szCs w:val="16"/>
              </w:rPr>
            </w:pPr>
            <w:r w:rsidRPr="00B276EB">
              <w:rPr>
                <w:sz w:val="16"/>
                <w:szCs w:val="16"/>
              </w:rPr>
              <w:t xml:space="preserve">Supported </w:t>
            </w:r>
            <w:proofErr w:type="spellStart"/>
            <w:r w:rsidRPr="00B276EB">
              <w:rPr>
                <w:sz w:val="16"/>
                <w:szCs w:val="16"/>
              </w:rPr>
              <w:t>iCBT</w:t>
            </w:r>
            <w:proofErr w:type="spellEnd"/>
          </w:p>
        </w:tc>
        <w:tc>
          <w:tcPr>
            <w:tcW w:w="661" w:type="pct"/>
          </w:tcPr>
          <w:p w14:paraId="4CCE8BD5" w14:textId="17D97861" w:rsidR="0095086C" w:rsidRPr="00B276EB" w:rsidRDefault="0095086C" w:rsidP="003D1CA1">
            <w:pPr>
              <w:jc w:val="center"/>
              <w:rPr>
                <w:rFonts w:asciiTheme="minorHAnsi" w:hAnsiTheme="minorHAnsi"/>
                <w:sz w:val="16"/>
                <w:szCs w:val="16"/>
                <w:highlight w:val="yellow"/>
              </w:rPr>
            </w:pPr>
            <w:r w:rsidRPr="00B276EB">
              <w:rPr>
                <w:rFonts w:asciiTheme="minorHAnsi" w:hAnsiTheme="minorHAnsi"/>
                <w:sz w:val="16"/>
                <w:szCs w:val="16"/>
              </w:rPr>
              <w:t>PHQ-9</w:t>
            </w:r>
          </w:p>
        </w:tc>
        <w:tc>
          <w:tcPr>
            <w:tcW w:w="348" w:type="pct"/>
          </w:tcPr>
          <w:p w14:paraId="2AD73F93" w14:textId="15749B53" w:rsidR="0095086C" w:rsidRPr="00B276EB" w:rsidRDefault="0095086C" w:rsidP="003D1CA1">
            <w:pPr>
              <w:jc w:val="center"/>
              <w:rPr>
                <w:rFonts w:asciiTheme="minorHAnsi" w:hAnsiTheme="minorHAnsi"/>
                <w:color w:val="000000"/>
                <w:sz w:val="16"/>
                <w:szCs w:val="16"/>
                <w:highlight w:val="yellow"/>
              </w:rPr>
            </w:pPr>
            <w:r w:rsidRPr="00B276EB">
              <w:rPr>
                <w:rFonts w:ascii="Calibri" w:hAnsi="Calibri" w:cs="Calibri"/>
                <w:color w:val="000000"/>
                <w:sz w:val="16"/>
                <w:szCs w:val="16"/>
              </w:rPr>
              <w:t>115</w:t>
            </w:r>
          </w:p>
        </w:tc>
        <w:tc>
          <w:tcPr>
            <w:tcW w:w="455" w:type="pct"/>
          </w:tcPr>
          <w:p w14:paraId="1EAEB209" w14:textId="0778F718" w:rsidR="0095086C" w:rsidRPr="00B276EB" w:rsidRDefault="0095086C" w:rsidP="003D1CA1">
            <w:pPr>
              <w:jc w:val="center"/>
              <w:rPr>
                <w:rFonts w:asciiTheme="minorHAnsi" w:hAnsiTheme="minorHAnsi"/>
                <w:color w:val="000000"/>
                <w:sz w:val="16"/>
                <w:szCs w:val="16"/>
                <w:highlight w:val="yellow"/>
              </w:rPr>
            </w:pPr>
            <w:r w:rsidRPr="00B276EB">
              <w:rPr>
                <w:rFonts w:ascii="Calibri" w:hAnsi="Calibri" w:cs="Calibri"/>
                <w:color w:val="000000"/>
                <w:sz w:val="16"/>
                <w:szCs w:val="16"/>
              </w:rPr>
              <w:t>13.05</w:t>
            </w:r>
          </w:p>
        </w:tc>
        <w:tc>
          <w:tcPr>
            <w:tcW w:w="572" w:type="pct"/>
          </w:tcPr>
          <w:p w14:paraId="2EF0CF9F" w14:textId="39D45B36" w:rsidR="0095086C" w:rsidRPr="00B276EB" w:rsidRDefault="0095086C" w:rsidP="003D1CA1">
            <w:pPr>
              <w:jc w:val="center"/>
              <w:rPr>
                <w:rFonts w:asciiTheme="minorHAnsi" w:hAnsiTheme="minorHAnsi"/>
                <w:color w:val="000000"/>
                <w:sz w:val="16"/>
                <w:szCs w:val="16"/>
                <w:highlight w:val="yellow"/>
              </w:rPr>
            </w:pPr>
            <w:r w:rsidRPr="00B276EB">
              <w:rPr>
                <w:rFonts w:asciiTheme="minorHAnsi" w:hAnsiTheme="minorHAnsi"/>
                <w:color w:val="000000"/>
                <w:sz w:val="16"/>
                <w:szCs w:val="16"/>
              </w:rPr>
              <w:t xml:space="preserve">95%CI </w:t>
            </w:r>
            <w:r w:rsidRPr="00B276EB">
              <w:rPr>
                <w:rFonts w:ascii="Calibri" w:hAnsi="Calibri" w:cs="Calibri"/>
                <w:color w:val="000000"/>
                <w:sz w:val="16"/>
                <w:szCs w:val="16"/>
              </w:rPr>
              <w:t>12.01</w:t>
            </w:r>
            <w:r w:rsidR="00891550">
              <w:rPr>
                <w:rFonts w:ascii="Calibri" w:hAnsi="Calibri" w:cs="Calibri"/>
                <w:color w:val="000000"/>
                <w:sz w:val="16"/>
                <w:szCs w:val="16"/>
              </w:rPr>
              <w:t xml:space="preserve">, </w:t>
            </w:r>
            <w:r w:rsidRPr="00B276EB">
              <w:rPr>
                <w:rFonts w:ascii="Calibri" w:hAnsi="Calibri" w:cs="Calibri"/>
                <w:color w:val="000000"/>
                <w:sz w:val="16"/>
                <w:szCs w:val="16"/>
              </w:rPr>
              <w:t>14.1</w:t>
            </w:r>
          </w:p>
        </w:tc>
        <w:tc>
          <w:tcPr>
            <w:tcW w:w="252" w:type="pct"/>
          </w:tcPr>
          <w:p w14:paraId="6759E41F" w14:textId="67243303" w:rsidR="0095086C" w:rsidRPr="00B276EB" w:rsidRDefault="0095086C" w:rsidP="003D1CA1">
            <w:pPr>
              <w:jc w:val="center"/>
              <w:rPr>
                <w:rFonts w:asciiTheme="minorHAnsi" w:hAnsiTheme="minorHAnsi"/>
                <w:color w:val="000000"/>
                <w:sz w:val="16"/>
                <w:szCs w:val="16"/>
                <w:highlight w:val="yellow"/>
              </w:rPr>
            </w:pPr>
            <w:r w:rsidRPr="00B276EB">
              <w:rPr>
                <w:rFonts w:ascii="Calibri" w:hAnsi="Calibri" w:cs="Calibri"/>
                <w:color w:val="000000"/>
                <w:sz w:val="16"/>
                <w:szCs w:val="16"/>
              </w:rPr>
              <w:t>115</w:t>
            </w:r>
          </w:p>
        </w:tc>
        <w:tc>
          <w:tcPr>
            <w:tcW w:w="260" w:type="pct"/>
          </w:tcPr>
          <w:p w14:paraId="7E915F89" w14:textId="79B4AD89" w:rsidR="0095086C" w:rsidRPr="00B276EB" w:rsidRDefault="0095086C" w:rsidP="003D1CA1">
            <w:pPr>
              <w:jc w:val="center"/>
              <w:rPr>
                <w:rFonts w:asciiTheme="minorHAnsi" w:hAnsiTheme="minorHAnsi"/>
                <w:color w:val="000000"/>
                <w:sz w:val="16"/>
                <w:szCs w:val="16"/>
                <w:highlight w:val="yellow"/>
              </w:rPr>
            </w:pPr>
            <w:r w:rsidRPr="00B276EB">
              <w:rPr>
                <w:rFonts w:ascii="Calibri" w:hAnsi="Calibri" w:cs="Calibri"/>
                <w:color w:val="000000"/>
                <w:sz w:val="16"/>
                <w:szCs w:val="16"/>
              </w:rPr>
              <w:t>7.3</w:t>
            </w:r>
          </w:p>
        </w:tc>
        <w:tc>
          <w:tcPr>
            <w:tcW w:w="542" w:type="pct"/>
          </w:tcPr>
          <w:p w14:paraId="2A0B08A7" w14:textId="4FFDA98B" w:rsidR="0095086C" w:rsidRPr="00021CAB" w:rsidRDefault="0095086C" w:rsidP="003D1CA1">
            <w:pPr>
              <w:jc w:val="center"/>
              <w:rPr>
                <w:rFonts w:asciiTheme="minorHAnsi" w:hAnsiTheme="minorHAnsi"/>
                <w:color w:val="000000"/>
                <w:sz w:val="16"/>
                <w:szCs w:val="16"/>
              </w:rPr>
            </w:pPr>
            <w:r w:rsidRPr="00021CAB">
              <w:rPr>
                <w:rFonts w:asciiTheme="minorHAnsi" w:hAnsiTheme="minorHAnsi"/>
                <w:color w:val="000000"/>
                <w:sz w:val="16"/>
                <w:szCs w:val="16"/>
              </w:rPr>
              <w:t xml:space="preserve">95%CI </w:t>
            </w:r>
            <w:r w:rsidRPr="00021CAB">
              <w:rPr>
                <w:rFonts w:ascii="Calibri" w:hAnsi="Calibri" w:cs="Calibri"/>
                <w:color w:val="000000"/>
                <w:sz w:val="16"/>
                <w:szCs w:val="16"/>
              </w:rPr>
              <w:t>6.28</w:t>
            </w:r>
            <w:r w:rsidR="00891550" w:rsidRPr="00021CAB">
              <w:rPr>
                <w:rFonts w:ascii="Calibri" w:hAnsi="Calibri" w:cs="Calibri"/>
                <w:color w:val="000000"/>
                <w:sz w:val="16"/>
                <w:szCs w:val="16"/>
              </w:rPr>
              <w:t xml:space="preserve">, </w:t>
            </w:r>
            <w:r w:rsidRPr="00021CAB">
              <w:rPr>
                <w:rFonts w:ascii="Calibri" w:hAnsi="Calibri" w:cs="Calibri"/>
                <w:color w:val="000000"/>
                <w:sz w:val="16"/>
                <w:szCs w:val="16"/>
              </w:rPr>
              <w:t>8.31</w:t>
            </w:r>
          </w:p>
        </w:tc>
        <w:tc>
          <w:tcPr>
            <w:tcW w:w="579" w:type="pct"/>
          </w:tcPr>
          <w:p w14:paraId="0457A824" w14:textId="1195E19F" w:rsidR="0095086C" w:rsidRPr="00021CAB" w:rsidRDefault="0095086C" w:rsidP="003D1CA1">
            <w:pPr>
              <w:jc w:val="center"/>
              <w:rPr>
                <w:rFonts w:asciiTheme="minorHAnsi" w:hAnsiTheme="minorHAnsi"/>
                <w:color w:val="000000"/>
                <w:sz w:val="16"/>
                <w:szCs w:val="16"/>
              </w:rPr>
            </w:pPr>
            <w:r w:rsidRPr="00021CAB">
              <w:rPr>
                <w:rFonts w:ascii="Calibri" w:hAnsi="Calibri" w:cs="Calibri"/>
                <w:color w:val="000000"/>
                <w:sz w:val="16"/>
                <w:szCs w:val="16"/>
              </w:rPr>
              <w:t>g=1.08 (0.97</w:t>
            </w:r>
            <w:r w:rsidR="00E45DB3" w:rsidRPr="00021CAB">
              <w:rPr>
                <w:rFonts w:ascii="Calibri" w:hAnsi="Calibri" w:cs="Calibri"/>
                <w:color w:val="000000"/>
                <w:sz w:val="16"/>
                <w:szCs w:val="16"/>
              </w:rPr>
              <w:t>,</w:t>
            </w:r>
            <w:r w:rsidRPr="00021CAB">
              <w:rPr>
                <w:rFonts w:ascii="Calibri" w:hAnsi="Calibri" w:cs="Calibri"/>
                <w:color w:val="000000"/>
                <w:sz w:val="16"/>
                <w:szCs w:val="16"/>
              </w:rPr>
              <w:t xml:space="preserve"> 1.2)</w:t>
            </w:r>
          </w:p>
        </w:tc>
      </w:tr>
      <w:tr w:rsidR="0095086C" w:rsidRPr="00B276EB" w14:paraId="754D1720" w14:textId="77777777" w:rsidTr="007C118C">
        <w:tc>
          <w:tcPr>
            <w:tcW w:w="797" w:type="pct"/>
          </w:tcPr>
          <w:p w14:paraId="7AD61122" w14:textId="5B67B5ED" w:rsidR="0095086C" w:rsidRPr="00B276EB" w:rsidRDefault="0095086C" w:rsidP="003D1CA1">
            <w:pPr>
              <w:pStyle w:val="ListParagraph"/>
              <w:numPr>
                <w:ilvl w:val="0"/>
                <w:numId w:val="13"/>
              </w:numPr>
              <w:ind w:left="321" w:right="37" w:hanging="321"/>
              <w:rPr>
                <w:sz w:val="16"/>
                <w:szCs w:val="16"/>
              </w:rPr>
            </w:pPr>
            <w:r w:rsidRPr="00B276EB">
              <w:rPr>
                <w:sz w:val="16"/>
                <w:szCs w:val="16"/>
              </w:rPr>
              <w:t xml:space="preserve">NESB </w:t>
            </w:r>
            <w:proofErr w:type="spellStart"/>
            <w:r w:rsidRPr="00B276EB">
              <w:rPr>
                <w:sz w:val="16"/>
                <w:szCs w:val="16"/>
              </w:rPr>
              <w:t>Asia</w:t>
            </w:r>
            <w:r w:rsidR="00E76F1E">
              <w:rPr>
                <w:sz w:val="16"/>
                <w:szCs w:val="16"/>
                <w:vertAlign w:val="superscript"/>
              </w:rPr>
              <w:t>g</w:t>
            </w:r>
            <w:proofErr w:type="spellEnd"/>
          </w:p>
        </w:tc>
        <w:tc>
          <w:tcPr>
            <w:tcW w:w="534" w:type="pct"/>
          </w:tcPr>
          <w:p w14:paraId="015C312D" w14:textId="14AC39D6" w:rsidR="0095086C" w:rsidRPr="00B276EB" w:rsidRDefault="0095086C" w:rsidP="003D1CA1">
            <w:pPr>
              <w:pStyle w:val="ListParagraph"/>
              <w:ind w:left="34" w:right="37"/>
              <w:jc w:val="center"/>
              <w:rPr>
                <w:sz w:val="16"/>
                <w:szCs w:val="16"/>
              </w:rPr>
            </w:pPr>
            <w:r w:rsidRPr="00B276EB">
              <w:rPr>
                <w:sz w:val="16"/>
                <w:szCs w:val="16"/>
              </w:rPr>
              <w:t xml:space="preserve">Supported </w:t>
            </w:r>
            <w:proofErr w:type="spellStart"/>
            <w:r w:rsidRPr="00B276EB">
              <w:rPr>
                <w:sz w:val="16"/>
                <w:szCs w:val="16"/>
              </w:rPr>
              <w:t>iCBT</w:t>
            </w:r>
            <w:proofErr w:type="spellEnd"/>
          </w:p>
        </w:tc>
        <w:tc>
          <w:tcPr>
            <w:tcW w:w="661" w:type="pct"/>
          </w:tcPr>
          <w:p w14:paraId="48D74D82" w14:textId="3FEB46E0" w:rsidR="0095086C" w:rsidRPr="00B276EB" w:rsidRDefault="0095086C" w:rsidP="003D1CA1">
            <w:pPr>
              <w:jc w:val="center"/>
              <w:rPr>
                <w:rFonts w:asciiTheme="minorHAnsi" w:hAnsiTheme="minorHAnsi"/>
                <w:sz w:val="16"/>
                <w:szCs w:val="16"/>
              </w:rPr>
            </w:pPr>
            <w:r w:rsidRPr="00B276EB">
              <w:rPr>
                <w:rFonts w:asciiTheme="minorHAnsi" w:hAnsiTheme="minorHAnsi"/>
                <w:sz w:val="16"/>
                <w:szCs w:val="16"/>
              </w:rPr>
              <w:t>PHQ-9</w:t>
            </w:r>
          </w:p>
        </w:tc>
        <w:tc>
          <w:tcPr>
            <w:tcW w:w="348" w:type="pct"/>
          </w:tcPr>
          <w:p w14:paraId="06C55CFB" w14:textId="06C53D29" w:rsidR="0095086C" w:rsidRPr="00B276EB" w:rsidRDefault="0095086C" w:rsidP="003D1CA1">
            <w:pPr>
              <w:jc w:val="center"/>
              <w:rPr>
                <w:rFonts w:ascii="Calibri" w:hAnsi="Calibri" w:cs="Calibri"/>
                <w:color w:val="000000"/>
                <w:sz w:val="16"/>
                <w:szCs w:val="16"/>
                <w:highlight w:val="yellow"/>
              </w:rPr>
            </w:pPr>
            <w:r w:rsidRPr="00B276EB">
              <w:rPr>
                <w:rFonts w:ascii="Calibri" w:hAnsi="Calibri" w:cs="Calibri"/>
                <w:color w:val="000000"/>
                <w:sz w:val="16"/>
                <w:szCs w:val="16"/>
              </w:rPr>
              <w:t>182</w:t>
            </w:r>
          </w:p>
        </w:tc>
        <w:tc>
          <w:tcPr>
            <w:tcW w:w="455" w:type="pct"/>
          </w:tcPr>
          <w:p w14:paraId="5C8CC593" w14:textId="34C5BCAD" w:rsidR="0095086C" w:rsidRPr="00B276EB" w:rsidRDefault="0095086C" w:rsidP="003D1CA1">
            <w:pPr>
              <w:jc w:val="center"/>
              <w:rPr>
                <w:rFonts w:ascii="Calibri" w:hAnsi="Calibri" w:cs="Calibri"/>
                <w:color w:val="000000"/>
                <w:sz w:val="16"/>
                <w:szCs w:val="16"/>
                <w:highlight w:val="yellow"/>
              </w:rPr>
            </w:pPr>
            <w:r w:rsidRPr="00B276EB">
              <w:rPr>
                <w:rFonts w:ascii="Calibri" w:hAnsi="Calibri" w:cs="Calibri"/>
                <w:color w:val="000000"/>
                <w:sz w:val="16"/>
                <w:szCs w:val="16"/>
              </w:rPr>
              <w:t>12.79</w:t>
            </w:r>
          </w:p>
        </w:tc>
        <w:tc>
          <w:tcPr>
            <w:tcW w:w="572" w:type="pct"/>
          </w:tcPr>
          <w:p w14:paraId="1F8481AE" w14:textId="1416782F" w:rsidR="0095086C" w:rsidRPr="00B276EB" w:rsidRDefault="0095086C" w:rsidP="003D1CA1">
            <w:pPr>
              <w:jc w:val="center"/>
              <w:rPr>
                <w:rFonts w:ascii="Calibri" w:hAnsi="Calibri" w:cs="Calibri"/>
                <w:color w:val="000000"/>
                <w:sz w:val="16"/>
                <w:szCs w:val="16"/>
                <w:highlight w:val="yellow"/>
              </w:rPr>
            </w:pPr>
            <w:r w:rsidRPr="00B276EB">
              <w:rPr>
                <w:rFonts w:asciiTheme="minorHAnsi" w:hAnsiTheme="minorHAnsi"/>
                <w:color w:val="000000"/>
                <w:sz w:val="16"/>
                <w:szCs w:val="16"/>
              </w:rPr>
              <w:t xml:space="preserve">95%CI </w:t>
            </w:r>
            <w:r w:rsidRPr="00B276EB">
              <w:rPr>
                <w:rFonts w:ascii="Calibri" w:hAnsi="Calibri" w:cs="Calibri"/>
                <w:color w:val="000000"/>
                <w:sz w:val="16"/>
                <w:szCs w:val="16"/>
              </w:rPr>
              <w:t>11.92</w:t>
            </w:r>
            <w:r w:rsidR="00891550">
              <w:rPr>
                <w:rFonts w:ascii="Calibri" w:hAnsi="Calibri" w:cs="Calibri"/>
                <w:color w:val="000000"/>
                <w:sz w:val="16"/>
                <w:szCs w:val="16"/>
              </w:rPr>
              <w:t xml:space="preserve">, </w:t>
            </w:r>
            <w:r w:rsidRPr="00B276EB">
              <w:rPr>
                <w:rFonts w:ascii="Calibri" w:hAnsi="Calibri" w:cs="Calibri"/>
                <w:color w:val="000000"/>
                <w:sz w:val="16"/>
                <w:szCs w:val="16"/>
              </w:rPr>
              <w:t>13.67</w:t>
            </w:r>
          </w:p>
        </w:tc>
        <w:tc>
          <w:tcPr>
            <w:tcW w:w="252" w:type="pct"/>
          </w:tcPr>
          <w:p w14:paraId="396FAB8E" w14:textId="5E1C49DD" w:rsidR="0095086C" w:rsidRPr="00B276EB" w:rsidRDefault="0095086C" w:rsidP="003D1CA1">
            <w:pPr>
              <w:jc w:val="center"/>
              <w:rPr>
                <w:rFonts w:ascii="Calibri" w:hAnsi="Calibri" w:cs="Calibri"/>
                <w:color w:val="000000"/>
                <w:sz w:val="16"/>
                <w:szCs w:val="16"/>
                <w:highlight w:val="yellow"/>
              </w:rPr>
            </w:pPr>
            <w:r w:rsidRPr="00B276EB">
              <w:rPr>
                <w:rFonts w:ascii="Calibri" w:hAnsi="Calibri" w:cs="Calibri"/>
                <w:color w:val="000000"/>
                <w:sz w:val="16"/>
                <w:szCs w:val="16"/>
              </w:rPr>
              <w:t>182</w:t>
            </w:r>
          </w:p>
        </w:tc>
        <w:tc>
          <w:tcPr>
            <w:tcW w:w="260" w:type="pct"/>
          </w:tcPr>
          <w:p w14:paraId="0C153B09" w14:textId="043441D3" w:rsidR="0095086C" w:rsidRPr="00B276EB" w:rsidRDefault="0095086C" w:rsidP="003D1CA1">
            <w:pPr>
              <w:jc w:val="center"/>
              <w:rPr>
                <w:rFonts w:ascii="Calibri" w:hAnsi="Calibri" w:cs="Calibri"/>
                <w:color w:val="000000"/>
                <w:sz w:val="16"/>
                <w:szCs w:val="16"/>
                <w:highlight w:val="yellow"/>
              </w:rPr>
            </w:pPr>
            <w:r w:rsidRPr="00B276EB">
              <w:rPr>
                <w:rFonts w:ascii="Calibri" w:hAnsi="Calibri" w:cs="Calibri"/>
                <w:color w:val="000000"/>
                <w:sz w:val="16"/>
                <w:szCs w:val="16"/>
              </w:rPr>
              <w:t>5.78</w:t>
            </w:r>
          </w:p>
        </w:tc>
        <w:tc>
          <w:tcPr>
            <w:tcW w:w="542" w:type="pct"/>
          </w:tcPr>
          <w:p w14:paraId="25867095" w14:textId="237630B5" w:rsidR="0095086C" w:rsidRPr="00021CAB" w:rsidRDefault="0095086C" w:rsidP="003D1CA1">
            <w:pPr>
              <w:jc w:val="center"/>
              <w:rPr>
                <w:rFonts w:ascii="Calibri" w:hAnsi="Calibri" w:cs="Calibri"/>
                <w:color w:val="000000"/>
                <w:sz w:val="16"/>
                <w:szCs w:val="16"/>
              </w:rPr>
            </w:pPr>
            <w:r w:rsidRPr="00021CAB">
              <w:rPr>
                <w:rFonts w:asciiTheme="minorHAnsi" w:hAnsiTheme="minorHAnsi"/>
                <w:color w:val="000000"/>
                <w:sz w:val="16"/>
                <w:szCs w:val="16"/>
              </w:rPr>
              <w:t xml:space="preserve">95%CI </w:t>
            </w:r>
            <w:r w:rsidRPr="00021CAB">
              <w:rPr>
                <w:rFonts w:ascii="Calibri" w:hAnsi="Calibri" w:cs="Calibri"/>
                <w:color w:val="000000"/>
                <w:sz w:val="16"/>
                <w:szCs w:val="16"/>
              </w:rPr>
              <w:t>4.72</w:t>
            </w:r>
            <w:r w:rsidR="00891550" w:rsidRPr="00021CAB">
              <w:rPr>
                <w:rFonts w:ascii="Calibri" w:hAnsi="Calibri" w:cs="Calibri"/>
                <w:color w:val="000000"/>
                <w:sz w:val="16"/>
                <w:szCs w:val="16"/>
              </w:rPr>
              <w:t>,</w:t>
            </w:r>
            <w:r w:rsidRPr="00021CAB">
              <w:rPr>
                <w:rFonts w:ascii="Calibri" w:hAnsi="Calibri" w:cs="Calibri"/>
                <w:color w:val="000000"/>
                <w:sz w:val="16"/>
                <w:szCs w:val="16"/>
              </w:rPr>
              <w:t xml:space="preserve"> 6.85</w:t>
            </w:r>
          </w:p>
        </w:tc>
        <w:tc>
          <w:tcPr>
            <w:tcW w:w="579" w:type="pct"/>
          </w:tcPr>
          <w:p w14:paraId="3199D354" w14:textId="2CBD30B0" w:rsidR="0095086C" w:rsidRPr="00021CAB" w:rsidRDefault="0095086C" w:rsidP="003D1CA1">
            <w:pPr>
              <w:jc w:val="center"/>
              <w:rPr>
                <w:rFonts w:ascii="Calibri" w:hAnsi="Calibri" w:cs="Calibri"/>
                <w:color w:val="000000"/>
                <w:sz w:val="16"/>
                <w:szCs w:val="16"/>
              </w:rPr>
            </w:pPr>
            <w:r w:rsidRPr="00021CAB">
              <w:rPr>
                <w:rFonts w:ascii="Calibri" w:hAnsi="Calibri" w:cs="Calibri"/>
                <w:color w:val="000000"/>
                <w:sz w:val="16"/>
                <w:szCs w:val="16"/>
              </w:rPr>
              <w:t>g=1.35 (1.26</w:t>
            </w:r>
            <w:r w:rsidR="00E45DB3" w:rsidRPr="00021CAB">
              <w:rPr>
                <w:rFonts w:ascii="Calibri" w:hAnsi="Calibri" w:cs="Calibri"/>
                <w:color w:val="000000"/>
                <w:sz w:val="16"/>
                <w:szCs w:val="16"/>
              </w:rPr>
              <w:t>,</w:t>
            </w:r>
            <w:r w:rsidRPr="00021CAB">
              <w:rPr>
                <w:rFonts w:ascii="Calibri" w:hAnsi="Calibri" w:cs="Calibri"/>
                <w:color w:val="000000"/>
                <w:sz w:val="16"/>
                <w:szCs w:val="16"/>
              </w:rPr>
              <w:t xml:space="preserve"> 1.45)</w:t>
            </w:r>
          </w:p>
        </w:tc>
      </w:tr>
      <w:tr w:rsidR="0095086C" w:rsidRPr="00B276EB" w14:paraId="6939D2DD" w14:textId="77777777" w:rsidTr="007C118C">
        <w:tc>
          <w:tcPr>
            <w:tcW w:w="797" w:type="pct"/>
          </w:tcPr>
          <w:p w14:paraId="1CFC3432" w14:textId="40FED17B" w:rsidR="0095086C" w:rsidRPr="00B276EB" w:rsidRDefault="0095086C" w:rsidP="003D1CA1">
            <w:pPr>
              <w:pStyle w:val="ListParagraph"/>
              <w:numPr>
                <w:ilvl w:val="0"/>
                <w:numId w:val="13"/>
              </w:numPr>
              <w:ind w:left="321" w:right="37" w:hanging="321"/>
              <w:rPr>
                <w:sz w:val="16"/>
                <w:szCs w:val="16"/>
              </w:rPr>
            </w:pPr>
            <w:r w:rsidRPr="00B276EB">
              <w:rPr>
                <w:sz w:val="16"/>
                <w:szCs w:val="16"/>
              </w:rPr>
              <w:t xml:space="preserve">NESB </w:t>
            </w:r>
            <w:r w:rsidR="00890E06">
              <w:rPr>
                <w:sz w:val="16"/>
                <w:szCs w:val="16"/>
              </w:rPr>
              <w:t>English</w:t>
            </w:r>
          </w:p>
        </w:tc>
        <w:tc>
          <w:tcPr>
            <w:tcW w:w="534" w:type="pct"/>
          </w:tcPr>
          <w:p w14:paraId="19F4442E" w14:textId="2E3375E0" w:rsidR="0095086C" w:rsidRPr="00B276EB" w:rsidRDefault="0095086C" w:rsidP="003D1CA1">
            <w:pPr>
              <w:pStyle w:val="ListParagraph"/>
              <w:ind w:left="34" w:right="37"/>
              <w:jc w:val="center"/>
              <w:rPr>
                <w:sz w:val="16"/>
                <w:szCs w:val="16"/>
              </w:rPr>
            </w:pPr>
            <w:r w:rsidRPr="00B276EB">
              <w:rPr>
                <w:sz w:val="16"/>
                <w:szCs w:val="16"/>
              </w:rPr>
              <w:t xml:space="preserve">Supported </w:t>
            </w:r>
            <w:proofErr w:type="spellStart"/>
            <w:r w:rsidRPr="00B276EB">
              <w:rPr>
                <w:sz w:val="16"/>
                <w:szCs w:val="16"/>
              </w:rPr>
              <w:t>iCBT</w:t>
            </w:r>
            <w:proofErr w:type="spellEnd"/>
          </w:p>
        </w:tc>
        <w:tc>
          <w:tcPr>
            <w:tcW w:w="661" w:type="pct"/>
          </w:tcPr>
          <w:p w14:paraId="4F7FDF6D" w14:textId="4D522D67" w:rsidR="0095086C" w:rsidRPr="00B276EB" w:rsidRDefault="0095086C" w:rsidP="003D1CA1">
            <w:pPr>
              <w:jc w:val="center"/>
              <w:rPr>
                <w:sz w:val="16"/>
                <w:szCs w:val="16"/>
                <w:highlight w:val="yellow"/>
              </w:rPr>
            </w:pPr>
            <w:r w:rsidRPr="00B276EB">
              <w:rPr>
                <w:rFonts w:asciiTheme="minorHAnsi" w:hAnsiTheme="minorHAnsi"/>
                <w:sz w:val="16"/>
                <w:szCs w:val="16"/>
              </w:rPr>
              <w:t>PHQ-9</w:t>
            </w:r>
          </w:p>
        </w:tc>
        <w:tc>
          <w:tcPr>
            <w:tcW w:w="348" w:type="pct"/>
          </w:tcPr>
          <w:p w14:paraId="77AB25C5" w14:textId="56CED3CE" w:rsidR="0095086C" w:rsidRPr="00B276EB" w:rsidRDefault="0095086C" w:rsidP="003D1CA1">
            <w:pPr>
              <w:jc w:val="center"/>
              <w:rPr>
                <w:color w:val="000000"/>
                <w:sz w:val="16"/>
                <w:szCs w:val="16"/>
                <w:highlight w:val="yellow"/>
              </w:rPr>
            </w:pPr>
            <w:r w:rsidRPr="00B276EB">
              <w:rPr>
                <w:rFonts w:ascii="Calibri" w:hAnsi="Calibri" w:cs="Calibri"/>
                <w:color w:val="000000"/>
                <w:sz w:val="16"/>
                <w:szCs w:val="16"/>
              </w:rPr>
              <w:t>323</w:t>
            </w:r>
          </w:p>
        </w:tc>
        <w:tc>
          <w:tcPr>
            <w:tcW w:w="455" w:type="pct"/>
          </w:tcPr>
          <w:p w14:paraId="7BD4FA36" w14:textId="78BF03A8" w:rsidR="0095086C" w:rsidRPr="00B276EB" w:rsidRDefault="0095086C" w:rsidP="003D1CA1">
            <w:pPr>
              <w:jc w:val="center"/>
              <w:rPr>
                <w:color w:val="000000"/>
                <w:sz w:val="16"/>
                <w:szCs w:val="16"/>
              </w:rPr>
            </w:pPr>
            <w:r w:rsidRPr="00B276EB">
              <w:rPr>
                <w:rFonts w:ascii="Calibri" w:hAnsi="Calibri" w:cs="Calibri"/>
                <w:color w:val="000000"/>
                <w:sz w:val="16"/>
                <w:szCs w:val="16"/>
              </w:rPr>
              <w:t>13.69</w:t>
            </w:r>
          </w:p>
        </w:tc>
        <w:tc>
          <w:tcPr>
            <w:tcW w:w="572" w:type="pct"/>
          </w:tcPr>
          <w:p w14:paraId="348FEF5D" w14:textId="762596A3" w:rsidR="0095086C" w:rsidRPr="00B276EB" w:rsidRDefault="0095086C" w:rsidP="003D1CA1">
            <w:pPr>
              <w:jc w:val="center"/>
              <w:rPr>
                <w:color w:val="000000"/>
                <w:sz w:val="16"/>
                <w:szCs w:val="16"/>
              </w:rPr>
            </w:pPr>
            <w:r w:rsidRPr="00B276EB">
              <w:rPr>
                <w:rFonts w:asciiTheme="minorHAnsi" w:hAnsiTheme="minorHAnsi"/>
                <w:color w:val="000000"/>
                <w:sz w:val="16"/>
                <w:szCs w:val="16"/>
              </w:rPr>
              <w:t xml:space="preserve">95%CI </w:t>
            </w:r>
            <w:r w:rsidRPr="00B276EB">
              <w:rPr>
                <w:rFonts w:ascii="Calibri" w:hAnsi="Calibri" w:cs="Calibri"/>
                <w:color w:val="000000"/>
                <w:sz w:val="16"/>
                <w:szCs w:val="16"/>
              </w:rPr>
              <w:t>13.06</w:t>
            </w:r>
            <w:r w:rsidR="00891550">
              <w:rPr>
                <w:rFonts w:ascii="Calibri" w:hAnsi="Calibri" w:cs="Calibri"/>
                <w:color w:val="000000"/>
                <w:sz w:val="16"/>
                <w:szCs w:val="16"/>
              </w:rPr>
              <w:t xml:space="preserve">, </w:t>
            </w:r>
            <w:r w:rsidRPr="00B276EB">
              <w:rPr>
                <w:rFonts w:ascii="Calibri" w:hAnsi="Calibri" w:cs="Calibri"/>
                <w:color w:val="000000"/>
                <w:sz w:val="16"/>
                <w:szCs w:val="16"/>
              </w:rPr>
              <w:t>14.32</w:t>
            </w:r>
          </w:p>
        </w:tc>
        <w:tc>
          <w:tcPr>
            <w:tcW w:w="252" w:type="pct"/>
          </w:tcPr>
          <w:p w14:paraId="10DEA578" w14:textId="5B0B1238" w:rsidR="0095086C" w:rsidRPr="00B276EB" w:rsidRDefault="0095086C" w:rsidP="003D1CA1">
            <w:pPr>
              <w:jc w:val="center"/>
              <w:rPr>
                <w:color w:val="000000"/>
                <w:sz w:val="16"/>
                <w:szCs w:val="16"/>
              </w:rPr>
            </w:pPr>
            <w:r w:rsidRPr="00B276EB">
              <w:rPr>
                <w:rFonts w:ascii="Calibri" w:hAnsi="Calibri" w:cs="Calibri"/>
                <w:color w:val="000000"/>
                <w:sz w:val="16"/>
                <w:szCs w:val="16"/>
              </w:rPr>
              <w:t>323</w:t>
            </w:r>
          </w:p>
        </w:tc>
        <w:tc>
          <w:tcPr>
            <w:tcW w:w="260" w:type="pct"/>
          </w:tcPr>
          <w:p w14:paraId="487EA889" w14:textId="6967580A" w:rsidR="0095086C" w:rsidRPr="00B276EB" w:rsidRDefault="0095086C" w:rsidP="003D1CA1">
            <w:pPr>
              <w:jc w:val="center"/>
              <w:rPr>
                <w:color w:val="000000"/>
                <w:sz w:val="16"/>
                <w:szCs w:val="16"/>
              </w:rPr>
            </w:pPr>
            <w:r w:rsidRPr="00B276EB">
              <w:rPr>
                <w:rFonts w:ascii="Calibri" w:hAnsi="Calibri" w:cs="Calibri"/>
                <w:color w:val="000000"/>
                <w:sz w:val="16"/>
                <w:szCs w:val="16"/>
              </w:rPr>
              <w:t>6.87</w:t>
            </w:r>
          </w:p>
        </w:tc>
        <w:tc>
          <w:tcPr>
            <w:tcW w:w="542" w:type="pct"/>
          </w:tcPr>
          <w:p w14:paraId="3E147599" w14:textId="4BC77858" w:rsidR="0095086C" w:rsidRPr="00021CAB" w:rsidRDefault="0095086C" w:rsidP="003D1CA1">
            <w:pPr>
              <w:jc w:val="center"/>
              <w:rPr>
                <w:color w:val="000000"/>
                <w:sz w:val="16"/>
                <w:szCs w:val="16"/>
              </w:rPr>
            </w:pPr>
            <w:r w:rsidRPr="00021CAB">
              <w:rPr>
                <w:rFonts w:asciiTheme="minorHAnsi" w:hAnsiTheme="minorHAnsi"/>
                <w:color w:val="000000"/>
                <w:sz w:val="16"/>
                <w:szCs w:val="16"/>
              </w:rPr>
              <w:t xml:space="preserve">95%CI </w:t>
            </w:r>
            <w:r w:rsidRPr="00021CAB">
              <w:rPr>
                <w:rFonts w:ascii="Calibri" w:hAnsi="Calibri" w:cs="Calibri"/>
                <w:color w:val="000000"/>
                <w:sz w:val="16"/>
                <w:szCs w:val="16"/>
              </w:rPr>
              <w:t>6.23</w:t>
            </w:r>
            <w:r w:rsidR="00891550" w:rsidRPr="00021CAB">
              <w:rPr>
                <w:rFonts w:ascii="Calibri" w:hAnsi="Calibri" w:cs="Calibri"/>
                <w:color w:val="000000"/>
                <w:sz w:val="16"/>
                <w:szCs w:val="16"/>
              </w:rPr>
              <w:t>,</w:t>
            </w:r>
            <w:r w:rsidRPr="00021CAB">
              <w:rPr>
                <w:rFonts w:ascii="Calibri" w:hAnsi="Calibri" w:cs="Calibri"/>
                <w:color w:val="000000"/>
                <w:sz w:val="16"/>
                <w:szCs w:val="16"/>
              </w:rPr>
              <w:t xml:space="preserve"> 7.51</w:t>
            </w:r>
          </w:p>
        </w:tc>
        <w:tc>
          <w:tcPr>
            <w:tcW w:w="579" w:type="pct"/>
          </w:tcPr>
          <w:p w14:paraId="31F042A7" w14:textId="57A872AA" w:rsidR="0095086C" w:rsidRPr="00021CAB" w:rsidRDefault="0095086C" w:rsidP="003D1CA1">
            <w:pPr>
              <w:jc w:val="center"/>
              <w:rPr>
                <w:color w:val="000000"/>
                <w:sz w:val="16"/>
                <w:szCs w:val="16"/>
              </w:rPr>
            </w:pPr>
            <w:r w:rsidRPr="00021CAB">
              <w:rPr>
                <w:rFonts w:ascii="Calibri" w:hAnsi="Calibri" w:cs="Calibri"/>
                <w:color w:val="000000"/>
                <w:sz w:val="16"/>
                <w:szCs w:val="16"/>
              </w:rPr>
              <w:t>g=1.28 (1.21</w:t>
            </w:r>
            <w:r w:rsidR="00E45DB3" w:rsidRPr="00021CAB">
              <w:rPr>
                <w:rFonts w:ascii="Calibri" w:hAnsi="Calibri" w:cs="Calibri"/>
                <w:color w:val="000000"/>
                <w:sz w:val="16"/>
                <w:szCs w:val="16"/>
              </w:rPr>
              <w:t>,</w:t>
            </w:r>
            <w:r w:rsidRPr="00021CAB">
              <w:rPr>
                <w:rFonts w:ascii="Calibri" w:hAnsi="Calibri" w:cs="Calibri"/>
                <w:color w:val="000000"/>
                <w:sz w:val="16"/>
                <w:szCs w:val="16"/>
              </w:rPr>
              <w:t xml:space="preserve"> 1.35)</w:t>
            </w:r>
          </w:p>
        </w:tc>
      </w:tr>
      <w:tr w:rsidR="00163E25" w:rsidRPr="00163E25" w14:paraId="3C1B1B71" w14:textId="77777777" w:rsidTr="007C118C">
        <w:tc>
          <w:tcPr>
            <w:tcW w:w="797" w:type="pct"/>
          </w:tcPr>
          <w:p w14:paraId="62096217" w14:textId="7A65D7FB" w:rsidR="00163E25" w:rsidRPr="00B20871" w:rsidRDefault="00163E25" w:rsidP="003D1CA1">
            <w:pPr>
              <w:pStyle w:val="ListParagraph"/>
              <w:numPr>
                <w:ilvl w:val="0"/>
                <w:numId w:val="13"/>
              </w:numPr>
              <w:ind w:left="321" w:right="37" w:hanging="321"/>
              <w:rPr>
                <w:sz w:val="16"/>
                <w:szCs w:val="16"/>
              </w:rPr>
            </w:pPr>
            <w:r w:rsidRPr="00B20871">
              <w:rPr>
                <w:sz w:val="16"/>
                <w:szCs w:val="16"/>
              </w:rPr>
              <w:t xml:space="preserve">ESB </w:t>
            </w:r>
            <w:proofErr w:type="spellStart"/>
            <w:r w:rsidRPr="00B20871">
              <w:rPr>
                <w:sz w:val="16"/>
                <w:szCs w:val="16"/>
              </w:rPr>
              <w:t>English</w:t>
            </w:r>
            <w:r w:rsidR="00E76F1E" w:rsidRPr="00B20871">
              <w:rPr>
                <w:sz w:val="16"/>
                <w:szCs w:val="16"/>
                <w:vertAlign w:val="superscript"/>
              </w:rPr>
              <w:t>g</w:t>
            </w:r>
            <w:proofErr w:type="spellEnd"/>
          </w:p>
        </w:tc>
        <w:tc>
          <w:tcPr>
            <w:tcW w:w="534" w:type="pct"/>
          </w:tcPr>
          <w:p w14:paraId="1D04F376" w14:textId="7204C62A" w:rsidR="00163E25" w:rsidRPr="00B20871" w:rsidRDefault="00163E25" w:rsidP="003D1CA1">
            <w:pPr>
              <w:pStyle w:val="ListParagraph"/>
              <w:ind w:left="34" w:right="37"/>
              <w:jc w:val="center"/>
              <w:rPr>
                <w:sz w:val="16"/>
                <w:szCs w:val="16"/>
              </w:rPr>
            </w:pPr>
            <w:r w:rsidRPr="00B20871">
              <w:rPr>
                <w:sz w:val="16"/>
                <w:szCs w:val="16"/>
              </w:rPr>
              <w:t xml:space="preserve">Supported </w:t>
            </w:r>
            <w:proofErr w:type="spellStart"/>
            <w:r w:rsidRPr="00B20871">
              <w:rPr>
                <w:sz w:val="16"/>
                <w:szCs w:val="16"/>
              </w:rPr>
              <w:t>iCBT</w:t>
            </w:r>
            <w:proofErr w:type="spellEnd"/>
          </w:p>
        </w:tc>
        <w:tc>
          <w:tcPr>
            <w:tcW w:w="661" w:type="pct"/>
          </w:tcPr>
          <w:p w14:paraId="61FCA6F2" w14:textId="3C3334D1" w:rsidR="00163E25" w:rsidRPr="00B20871" w:rsidRDefault="00163E25" w:rsidP="003D1CA1">
            <w:pPr>
              <w:jc w:val="center"/>
              <w:rPr>
                <w:rFonts w:asciiTheme="minorHAnsi" w:hAnsiTheme="minorHAnsi" w:cstheme="minorHAnsi"/>
                <w:sz w:val="16"/>
                <w:szCs w:val="16"/>
              </w:rPr>
            </w:pPr>
            <w:r w:rsidRPr="00B20871">
              <w:rPr>
                <w:rFonts w:asciiTheme="minorHAnsi" w:hAnsiTheme="minorHAnsi" w:cstheme="minorHAnsi"/>
                <w:sz w:val="16"/>
                <w:szCs w:val="16"/>
              </w:rPr>
              <w:t>PHQ-9</w:t>
            </w:r>
          </w:p>
        </w:tc>
        <w:tc>
          <w:tcPr>
            <w:tcW w:w="348" w:type="pct"/>
          </w:tcPr>
          <w:p w14:paraId="349D6AC8" w14:textId="137DFDA3" w:rsidR="00163E25" w:rsidRPr="00021CAB" w:rsidRDefault="00163E25" w:rsidP="003D1CA1">
            <w:pPr>
              <w:jc w:val="center"/>
              <w:rPr>
                <w:rFonts w:asciiTheme="minorHAnsi" w:hAnsiTheme="minorHAnsi" w:cstheme="minorHAnsi"/>
                <w:color w:val="000000"/>
                <w:sz w:val="16"/>
                <w:szCs w:val="16"/>
              </w:rPr>
            </w:pPr>
            <w:r w:rsidRPr="00021CAB">
              <w:rPr>
                <w:rFonts w:asciiTheme="minorHAnsi" w:hAnsiTheme="minorHAnsi" w:cstheme="minorHAnsi"/>
                <w:sz w:val="16"/>
                <w:szCs w:val="16"/>
              </w:rPr>
              <w:t>930</w:t>
            </w:r>
          </w:p>
        </w:tc>
        <w:tc>
          <w:tcPr>
            <w:tcW w:w="455" w:type="pct"/>
          </w:tcPr>
          <w:p w14:paraId="16163E78" w14:textId="6378032C" w:rsidR="00163E25" w:rsidRPr="00021CAB" w:rsidRDefault="00163E25" w:rsidP="003D1CA1">
            <w:pPr>
              <w:jc w:val="center"/>
              <w:rPr>
                <w:rFonts w:asciiTheme="minorHAnsi" w:hAnsiTheme="minorHAnsi" w:cstheme="minorHAnsi"/>
                <w:color w:val="000000"/>
                <w:sz w:val="16"/>
                <w:szCs w:val="16"/>
              </w:rPr>
            </w:pPr>
            <w:r w:rsidRPr="00021CAB">
              <w:rPr>
                <w:rFonts w:asciiTheme="minorHAnsi" w:hAnsiTheme="minorHAnsi" w:cstheme="minorHAnsi"/>
                <w:sz w:val="16"/>
                <w:szCs w:val="16"/>
              </w:rPr>
              <w:t>13.48</w:t>
            </w:r>
          </w:p>
        </w:tc>
        <w:tc>
          <w:tcPr>
            <w:tcW w:w="572" w:type="pct"/>
          </w:tcPr>
          <w:p w14:paraId="6E6743D4" w14:textId="67E10119" w:rsidR="00163E25" w:rsidRPr="00B20871" w:rsidRDefault="00163E25" w:rsidP="003D1CA1">
            <w:pPr>
              <w:jc w:val="center"/>
              <w:rPr>
                <w:rFonts w:asciiTheme="minorHAnsi" w:hAnsiTheme="minorHAnsi" w:cstheme="minorHAnsi"/>
                <w:color w:val="000000"/>
                <w:sz w:val="16"/>
                <w:szCs w:val="16"/>
              </w:rPr>
            </w:pPr>
            <w:r w:rsidRPr="00B20871">
              <w:rPr>
                <w:rFonts w:asciiTheme="minorHAnsi" w:hAnsiTheme="minorHAnsi" w:cstheme="minorHAnsi"/>
                <w:sz w:val="16"/>
                <w:szCs w:val="16"/>
              </w:rPr>
              <w:t>95%CI 13.14</w:t>
            </w:r>
            <w:r w:rsidR="00891550" w:rsidRPr="00B20871">
              <w:rPr>
                <w:rFonts w:asciiTheme="minorHAnsi" w:hAnsiTheme="minorHAnsi" w:cstheme="minorHAnsi"/>
                <w:sz w:val="16"/>
                <w:szCs w:val="16"/>
              </w:rPr>
              <w:t xml:space="preserve">, </w:t>
            </w:r>
            <w:r w:rsidRPr="00B20871">
              <w:rPr>
                <w:rFonts w:asciiTheme="minorHAnsi" w:hAnsiTheme="minorHAnsi" w:cstheme="minorHAnsi"/>
                <w:sz w:val="16"/>
                <w:szCs w:val="16"/>
              </w:rPr>
              <w:t>13.83</w:t>
            </w:r>
          </w:p>
        </w:tc>
        <w:tc>
          <w:tcPr>
            <w:tcW w:w="252" w:type="pct"/>
          </w:tcPr>
          <w:p w14:paraId="0AA20BBD" w14:textId="445CD95C" w:rsidR="00163E25" w:rsidRPr="00B20871" w:rsidRDefault="00163E25" w:rsidP="003D1CA1">
            <w:pPr>
              <w:jc w:val="center"/>
              <w:rPr>
                <w:rFonts w:asciiTheme="minorHAnsi" w:hAnsiTheme="minorHAnsi" w:cstheme="minorHAnsi"/>
                <w:color w:val="000000"/>
                <w:sz w:val="16"/>
                <w:szCs w:val="16"/>
              </w:rPr>
            </w:pPr>
            <w:r w:rsidRPr="00B20871">
              <w:rPr>
                <w:rFonts w:asciiTheme="minorHAnsi" w:hAnsiTheme="minorHAnsi" w:cstheme="minorHAnsi"/>
                <w:sz w:val="16"/>
                <w:szCs w:val="16"/>
              </w:rPr>
              <w:t>930</w:t>
            </w:r>
          </w:p>
        </w:tc>
        <w:tc>
          <w:tcPr>
            <w:tcW w:w="260" w:type="pct"/>
          </w:tcPr>
          <w:p w14:paraId="05A8FE8C" w14:textId="390B726B" w:rsidR="00163E25" w:rsidRPr="00B20871" w:rsidRDefault="00163E25" w:rsidP="003D1CA1">
            <w:pPr>
              <w:jc w:val="center"/>
              <w:rPr>
                <w:rFonts w:asciiTheme="minorHAnsi" w:hAnsiTheme="minorHAnsi" w:cstheme="minorHAnsi"/>
                <w:color w:val="000000"/>
                <w:sz w:val="16"/>
                <w:szCs w:val="16"/>
              </w:rPr>
            </w:pPr>
            <w:r w:rsidRPr="00B20871">
              <w:rPr>
                <w:rFonts w:asciiTheme="minorHAnsi" w:hAnsiTheme="minorHAnsi" w:cstheme="minorHAnsi"/>
                <w:sz w:val="16"/>
                <w:szCs w:val="16"/>
              </w:rPr>
              <w:t>6.32</w:t>
            </w:r>
          </w:p>
        </w:tc>
        <w:tc>
          <w:tcPr>
            <w:tcW w:w="542" w:type="pct"/>
          </w:tcPr>
          <w:p w14:paraId="3F39ECC5" w14:textId="2C116902" w:rsidR="00163E25" w:rsidRPr="00021CAB" w:rsidRDefault="00163E25" w:rsidP="003D1CA1">
            <w:pPr>
              <w:jc w:val="center"/>
              <w:rPr>
                <w:rFonts w:asciiTheme="minorHAnsi" w:hAnsiTheme="minorHAnsi" w:cstheme="minorHAnsi"/>
                <w:color w:val="000000"/>
                <w:sz w:val="16"/>
                <w:szCs w:val="16"/>
              </w:rPr>
            </w:pPr>
            <w:r w:rsidRPr="00021CAB">
              <w:rPr>
                <w:rFonts w:asciiTheme="minorHAnsi" w:hAnsiTheme="minorHAnsi" w:cstheme="minorHAnsi"/>
                <w:sz w:val="16"/>
                <w:szCs w:val="16"/>
              </w:rPr>
              <w:t>95%CI 6.0</w:t>
            </w:r>
            <w:r w:rsidR="00891550" w:rsidRPr="00021CAB">
              <w:rPr>
                <w:rFonts w:asciiTheme="minorHAnsi" w:hAnsiTheme="minorHAnsi" w:cstheme="minorHAnsi"/>
                <w:sz w:val="16"/>
                <w:szCs w:val="16"/>
              </w:rPr>
              <w:t xml:space="preserve">, </w:t>
            </w:r>
            <w:r w:rsidRPr="00021CAB">
              <w:rPr>
                <w:rFonts w:asciiTheme="minorHAnsi" w:hAnsiTheme="minorHAnsi" w:cstheme="minorHAnsi"/>
                <w:sz w:val="16"/>
                <w:szCs w:val="16"/>
              </w:rPr>
              <w:t>6.63</w:t>
            </w:r>
          </w:p>
        </w:tc>
        <w:tc>
          <w:tcPr>
            <w:tcW w:w="579" w:type="pct"/>
          </w:tcPr>
          <w:p w14:paraId="2C3D05FA" w14:textId="12806BAF" w:rsidR="00163E25" w:rsidRPr="00021CAB" w:rsidRDefault="00163E25" w:rsidP="003D1CA1">
            <w:pPr>
              <w:jc w:val="center"/>
              <w:rPr>
                <w:rFonts w:asciiTheme="minorHAnsi" w:hAnsiTheme="minorHAnsi" w:cstheme="minorHAnsi"/>
                <w:color w:val="000000"/>
                <w:sz w:val="16"/>
                <w:szCs w:val="16"/>
              </w:rPr>
            </w:pPr>
            <w:r w:rsidRPr="00021CAB">
              <w:rPr>
                <w:rFonts w:asciiTheme="minorHAnsi" w:hAnsiTheme="minorHAnsi" w:cstheme="minorHAnsi"/>
                <w:sz w:val="16"/>
                <w:szCs w:val="16"/>
              </w:rPr>
              <w:t>g=1.43 (1.39</w:t>
            </w:r>
            <w:r w:rsidR="00891550" w:rsidRPr="00021CAB">
              <w:rPr>
                <w:rFonts w:asciiTheme="minorHAnsi" w:hAnsiTheme="minorHAnsi" w:cstheme="minorHAnsi"/>
                <w:sz w:val="16"/>
                <w:szCs w:val="16"/>
              </w:rPr>
              <w:t>,</w:t>
            </w:r>
            <w:r w:rsidRPr="00021CAB">
              <w:rPr>
                <w:rFonts w:asciiTheme="minorHAnsi" w:hAnsiTheme="minorHAnsi" w:cstheme="minorHAnsi"/>
                <w:sz w:val="16"/>
                <w:szCs w:val="16"/>
              </w:rPr>
              <w:t xml:space="preserve"> 1.47)</w:t>
            </w:r>
          </w:p>
        </w:tc>
      </w:tr>
      <w:tr w:rsidR="00163E25" w:rsidRPr="00163E25" w14:paraId="130AC33B" w14:textId="77777777" w:rsidTr="007C118C">
        <w:tc>
          <w:tcPr>
            <w:tcW w:w="797" w:type="pct"/>
          </w:tcPr>
          <w:p w14:paraId="1CFAB885" w14:textId="31DC86F4" w:rsidR="00163E25" w:rsidRPr="00B20871" w:rsidRDefault="00163E25" w:rsidP="003D1CA1">
            <w:pPr>
              <w:pStyle w:val="ListParagraph"/>
              <w:numPr>
                <w:ilvl w:val="0"/>
                <w:numId w:val="13"/>
              </w:numPr>
              <w:ind w:left="321" w:right="37" w:hanging="321"/>
              <w:rPr>
                <w:sz w:val="16"/>
                <w:szCs w:val="16"/>
              </w:rPr>
            </w:pPr>
            <w:r w:rsidRPr="00B20871">
              <w:rPr>
                <w:sz w:val="16"/>
                <w:szCs w:val="16"/>
              </w:rPr>
              <w:t xml:space="preserve">NESB </w:t>
            </w:r>
            <w:proofErr w:type="spellStart"/>
            <w:r w:rsidRPr="00B20871">
              <w:rPr>
                <w:sz w:val="16"/>
                <w:szCs w:val="16"/>
              </w:rPr>
              <w:t>MidEast</w:t>
            </w:r>
            <w:r w:rsidR="00E76F1E" w:rsidRPr="00B20871">
              <w:rPr>
                <w:sz w:val="16"/>
                <w:szCs w:val="16"/>
                <w:vertAlign w:val="superscript"/>
              </w:rPr>
              <w:t>g</w:t>
            </w:r>
            <w:proofErr w:type="spellEnd"/>
          </w:p>
        </w:tc>
        <w:tc>
          <w:tcPr>
            <w:tcW w:w="534" w:type="pct"/>
          </w:tcPr>
          <w:p w14:paraId="598592AB" w14:textId="3CF2D39E" w:rsidR="00163E25" w:rsidRPr="00B20871" w:rsidRDefault="00163E25" w:rsidP="003D1CA1">
            <w:pPr>
              <w:pStyle w:val="ListParagraph"/>
              <w:ind w:left="34" w:right="37"/>
              <w:jc w:val="center"/>
              <w:rPr>
                <w:sz w:val="16"/>
                <w:szCs w:val="16"/>
              </w:rPr>
            </w:pPr>
            <w:r w:rsidRPr="00B20871">
              <w:rPr>
                <w:sz w:val="16"/>
                <w:szCs w:val="16"/>
              </w:rPr>
              <w:t xml:space="preserve">Supported </w:t>
            </w:r>
            <w:proofErr w:type="spellStart"/>
            <w:r w:rsidRPr="00B20871">
              <w:rPr>
                <w:sz w:val="16"/>
                <w:szCs w:val="16"/>
              </w:rPr>
              <w:t>iCBT</w:t>
            </w:r>
            <w:proofErr w:type="spellEnd"/>
          </w:p>
        </w:tc>
        <w:tc>
          <w:tcPr>
            <w:tcW w:w="661" w:type="pct"/>
          </w:tcPr>
          <w:p w14:paraId="7458877B" w14:textId="4AAD1C54" w:rsidR="00163E25" w:rsidRPr="00B20871" w:rsidRDefault="00163E25" w:rsidP="003D1CA1">
            <w:pPr>
              <w:jc w:val="center"/>
              <w:rPr>
                <w:rFonts w:asciiTheme="minorHAnsi" w:hAnsiTheme="minorHAnsi" w:cstheme="minorHAnsi"/>
                <w:sz w:val="16"/>
                <w:szCs w:val="16"/>
              </w:rPr>
            </w:pPr>
            <w:r w:rsidRPr="00B20871">
              <w:rPr>
                <w:rFonts w:asciiTheme="minorHAnsi" w:hAnsiTheme="minorHAnsi" w:cstheme="minorHAnsi"/>
                <w:sz w:val="16"/>
                <w:szCs w:val="16"/>
              </w:rPr>
              <w:t>GAD-7</w:t>
            </w:r>
          </w:p>
        </w:tc>
        <w:tc>
          <w:tcPr>
            <w:tcW w:w="348" w:type="pct"/>
          </w:tcPr>
          <w:p w14:paraId="03525FF7" w14:textId="6E24AABD" w:rsidR="00163E25" w:rsidRPr="00B20871" w:rsidRDefault="00163E25" w:rsidP="003D1CA1">
            <w:pPr>
              <w:jc w:val="center"/>
              <w:rPr>
                <w:rFonts w:asciiTheme="minorHAnsi" w:hAnsiTheme="minorHAnsi" w:cstheme="minorHAnsi"/>
                <w:color w:val="000000"/>
                <w:sz w:val="16"/>
                <w:szCs w:val="16"/>
              </w:rPr>
            </w:pPr>
            <w:r w:rsidRPr="00B20871">
              <w:rPr>
                <w:rFonts w:asciiTheme="minorHAnsi" w:hAnsiTheme="minorHAnsi" w:cstheme="minorHAnsi"/>
                <w:sz w:val="16"/>
                <w:szCs w:val="16"/>
              </w:rPr>
              <w:t>43</w:t>
            </w:r>
          </w:p>
        </w:tc>
        <w:tc>
          <w:tcPr>
            <w:tcW w:w="455" w:type="pct"/>
          </w:tcPr>
          <w:p w14:paraId="0A3837F6" w14:textId="0FB707E7" w:rsidR="00163E25" w:rsidRPr="00C750BD" w:rsidRDefault="00163E25" w:rsidP="003D1CA1">
            <w:pPr>
              <w:jc w:val="center"/>
              <w:rPr>
                <w:rFonts w:asciiTheme="minorHAnsi" w:hAnsiTheme="minorHAnsi" w:cstheme="minorHAnsi"/>
                <w:color w:val="000000"/>
                <w:sz w:val="16"/>
                <w:szCs w:val="16"/>
              </w:rPr>
            </w:pPr>
            <w:r w:rsidRPr="00C750BD">
              <w:rPr>
                <w:rFonts w:asciiTheme="minorHAnsi" w:hAnsiTheme="minorHAnsi" w:cstheme="minorHAnsi"/>
                <w:sz w:val="16"/>
                <w:szCs w:val="16"/>
              </w:rPr>
              <w:t>11.44</w:t>
            </w:r>
          </w:p>
        </w:tc>
        <w:tc>
          <w:tcPr>
            <w:tcW w:w="572" w:type="pct"/>
          </w:tcPr>
          <w:p w14:paraId="29C798CF" w14:textId="17EF7A4A" w:rsidR="00163E25" w:rsidRPr="00C750BD" w:rsidRDefault="00163E25" w:rsidP="003D1CA1">
            <w:pPr>
              <w:jc w:val="center"/>
              <w:rPr>
                <w:rFonts w:asciiTheme="minorHAnsi" w:hAnsiTheme="minorHAnsi" w:cstheme="minorHAnsi"/>
                <w:color w:val="000000"/>
                <w:sz w:val="16"/>
                <w:szCs w:val="16"/>
              </w:rPr>
            </w:pPr>
            <w:r w:rsidRPr="00C750BD">
              <w:rPr>
                <w:rFonts w:asciiTheme="minorHAnsi" w:hAnsiTheme="minorHAnsi" w:cstheme="minorHAnsi"/>
                <w:sz w:val="16"/>
                <w:szCs w:val="16"/>
              </w:rPr>
              <w:t>95%CI 9.8</w:t>
            </w:r>
            <w:r w:rsidR="00891550" w:rsidRPr="00C750BD">
              <w:rPr>
                <w:rFonts w:asciiTheme="minorHAnsi" w:hAnsiTheme="minorHAnsi" w:cstheme="minorHAnsi"/>
                <w:sz w:val="16"/>
                <w:szCs w:val="16"/>
              </w:rPr>
              <w:t xml:space="preserve">, </w:t>
            </w:r>
            <w:r w:rsidRPr="00C750BD">
              <w:rPr>
                <w:rFonts w:asciiTheme="minorHAnsi" w:hAnsiTheme="minorHAnsi" w:cstheme="minorHAnsi"/>
                <w:sz w:val="16"/>
                <w:szCs w:val="16"/>
              </w:rPr>
              <w:t>13.09</w:t>
            </w:r>
          </w:p>
        </w:tc>
        <w:tc>
          <w:tcPr>
            <w:tcW w:w="252" w:type="pct"/>
          </w:tcPr>
          <w:p w14:paraId="693E0FC2" w14:textId="334E480D" w:rsidR="00163E25" w:rsidRPr="00C750BD" w:rsidRDefault="00163E25" w:rsidP="003D1CA1">
            <w:pPr>
              <w:jc w:val="center"/>
              <w:rPr>
                <w:rFonts w:asciiTheme="minorHAnsi" w:hAnsiTheme="minorHAnsi" w:cstheme="minorHAnsi"/>
                <w:color w:val="000000"/>
                <w:sz w:val="16"/>
                <w:szCs w:val="16"/>
              </w:rPr>
            </w:pPr>
            <w:r w:rsidRPr="00C750BD">
              <w:rPr>
                <w:rFonts w:asciiTheme="minorHAnsi" w:hAnsiTheme="minorHAnsi" w:cstheme="minorHAnsi"/>
                <w:sz w:val="16"/>
                <w:szCs w:val="16"/>
              </w:rPr>
              <w:t>43</w:t>
            </w:r>
          </w:p>
        </w:tc>
        <w:tc>
          <w:tcPr>
            <w:tcW w:w="260" w:type="pct"/>
          </w:tcPr>
          <w:p w14:paraId="0CEF7CE1" w14:textId="5D2EECC5" w:rsidR="00163E25" w:rsidRPr="00C750BD" w:rsidRDefault="00163E25" w:rsidP="003D1CA1">
            <w:pPr>
              <w:jc w:val="center"/>
              <w:rPr>
                <w:rFonts w:asciiTheme="minorHAnsi" w:hAnsiTheme="minorHAnsi" w:cstheme="minorHAnsi"/>
                <w:color w:val="000000"/>
                <w:sz w:val="16"/>
                <w:szCs w:val="16"/>
              </w:rPr>
            </w:pPr>
            <w:r w:rsidRPr="00C750BD">
              <w:rPr>
                <w:rFonts w:asciiTheme="minorHAnsi" w:hAnsiTheme="minorHAnsi" w:cstheme="minorHAnsi"/>
                <w:sz w:val="16"/>
                <w:szCs w:val="16"/>
              </w:rPr>
              <w:t>5.58</w:t>
            </w:r>
          </w:p>
        </w:tc>
        <w:tc>
          <w:tcPr>
            <w:tcW w:w="542" w:type="pct"/>
          </w:tcPr>
          <w:p w14:paraId="5A96750A" w14:textId="5B521D02" w:rsidR="00163E25" w:rsidRPr="00021CAB" w:rsidRDefault="00163E25" w:rsidP="003D1CA1">
            <w:pPr>
              <w:jc w:val="center"/>
              <w:rPr>
                <w:rFonts w:asciiTheme="minorHAnsi" w:hAnsiTheme="minorHAnsi" w:cstheme="minorHAnsi"/>
                <w:color w:val="000000"/>
                <w:sz w:val="16"/>
                <w:szCs w:val="16"/>
              </w:rPr>
            </w:pPr>
            <w:r w:rsidRPr="00021CAB">
              <w:rPr>
                <w:rFonts w:asciiTheme="minorHAnsi" w:hAnsiTheme="minorHAnsi" w:cstheme="minorHAnsi"/>
                <w:sz w:val="16"/>
                <w:szCs w:val="16"/>
              </w:rPr>
              <w:t>95%CI 3.16</w:t>
            </w:r>
            <w:r w:rsidR="00891550" w:rsidRPr="00021CAB">
              <w:rPr>
                <w:rFonts w:asciiTheme="minorHAnsi" w:hAnsiTheme="minorHAnsi" w:cstheme="minorHAnsi"/>
                <w:sz w:val="16"/>
                <w:szCs w:val="16"/>
              </w:rPr>
              <w:t xml:space="preserve">, </w:t>
            </w:r>
            <w:r w:rsidRPr="00021CAB">
              <w:rPr>
                <w:rFonts w:asciiTheme="minorHAnsi" w:hAnsiTheme="minorHAnsi" w:cstheme="minorHAnsi"/>
                <w:sz w:val="16"/>
                <w:szCs w:val="16"/>
              </w:rPr>
              <w:t>8</w:t>
            </w:r>
          </w:p>
        </w:tc>
        <w:tc>
          <w:tcPr>
            <w:tcW w:w="579" w:type="pct"/>
          </w:tcPr>
          <w:p w14:paraId="5914EE67" w14:textId="70E1EFD9" w:rsidR="00163E25" w:rsidRPr="00021CAB" w:rsidRDefault="00163E25" w:rsidP="003D1CA1">
            <w:pPr>
              <w:jc w:val="center"/>
              <w:rPr>
                <w:rFonts w:asciiTheme="minorHAnsi" w:hAnsiTheme="minorHAnsi" w:cstheme="minorHAnsi"/>
                <w:color w:val="000000"/>
                <w:sz w:val="16"/>
                <w:szCs w:val="16"/>
              </w:rPr>
            </w:pPr>
            <w:r w:rsidRPr="00021CAB">
              <w:rPr>
                <w:rFonts w:asciiTheme="minorHAnsi" w:hAnsiTheme="minorHAnsi" w:cstheme="minorHAnsi"/>
                <w:sz w:val="16"/>
                <w:szCs w:val="16"/>
              </w:rPr>
              <w:t>g=1.09 (0.91</w:t>
            </w:r>
            <w:r w:rsidR="00891550" w:rsidRPr="00021CAB">
              <w:rPr>
                <w:rFonts w:asciiTheme="minorHAnsi" w:hAnsiTheme="minorHAnsi" w:cstheme="minorHAnsi"/>
                <w:sz w:val="16"/>
                <w:szCs w:val="16"/>
              </w:rPr>
              <w:t>,</w:t>
            </w:r>
            <w:r w:rsidRPr="00021CAB">
              <w:rPr>
                <w:rFonts w:asciiTheme="minorHAnsi" w:hAnsiTheme="minorHAnsi" w:cstheme="minorHAnsi"/>
                <w:sz w:val="16"/>
                <w:szCs w:val="16"/>
              </w:rPr>
              <w:t xml:space="preserve"> 1.28)</w:t>
            </w:r>
          </w:p>
        </w:tc>
      </w:tr>
      <w:tr w:rsidR="00163E25" w:rsidRPr="00163E25" w14:paraId="479C6920" w14:textId="77777777" w:rsidTr="007C118C">
        <w:tc>
          <w:tcPr>
            <w:tcW w:w="797" w:type="pct"/>
          </w:tcPr>
          <w:p w14:paraId="2814FBD9" w14:textId="41F30C12" w:rsidR="00163E25" w:rsidRPr="00B20871" w:rsidRDefault="00163E25" w:rsidP="003D1CA1">
            <w:pPr>
              <w:pStyle w:val="ListParagraph"/>
              <w:numPr>
                <w:ilvl w:val="0"/>
                <w:numId w:val="13"/>
              </w:numPr>
              <w:ind w:left="321" w:right="37" w:hanging="321"/>
              <w:rPr>
                <w:sz w:val="16"/>
                <w:szCs w:val="16"/>
              </w:rPr>
            </w:pPr>
            <w:r w:rsidRPr="00B20871">
              <w:rPr>
                <w:sz w:val="16"/>
                <w:szCs w:val="16"/>
              </w:rPr>
              <w:t xml:space="preserve">NESB </w:t>
            </w:r>
            <w:proofErr w:type="spellStart"/>
            <w:r w:rsidRPr="00B20871">
              <w:rPr>
                <w:sz w:val="16"/>
                <w:szCs w:val="16"/>
              </w:rPr>
              <w:t>Europe</w:t>
            </w:r>
            <w:r w:rsidR="00E76F1E" w:rsidRPr="00B20871">
              <w:rPr>
                <w:sz w:val="16"/>
                <w:szCs w:val="16"/>
                <w:vertAlign w:val="superscript"/>
              </w:rPr>
              <w:t>g</w:t>
            </w:r>
            <w:proofErr w:type="spellEnd"/>
          </w:p>
        </w:tc>
        <w:tc>
          <w:tcPr>
            <w:tcW w:w="534" w:type="pct"/>
          </w:tcPr>
          <w:p w14:paraId="480E7458" w14:textId="40BB49C1" w:rsidR="00163E25" w:rsidRPr="00B20871" w:rsidRDefault="00163E25" w:rsidP="003D1CA1">
            <w:pPr>
              <w:pStyle w:val="ListParagraph"/>
              <w:ind w:left="34" w:right="37"/>
              <w:jc w:val="center"/>
              <w:rPr>
                <w:sz w:val="16"/>
                <w:szCs w:val="16"/>
              </w:rPr>
            </w:pPr>
            <w:r w:rsidRPr="00B20871">
              <w:rPr>
                <w:sz w:val="16"/>
                <w:szCs w:val="16"/>
              </w:rPr>
              <w:t xml:space="preserve">Supported </w:t>
            </w:r>
            <w:proofErr w:type="spellStart"/>
            <w:r w:rsidRPr="00B20871">
              <w:rPr>
                <w:sz w:val="16"/>
                <w:szCs w:val="16"/>
              </w:rPr>
              <w:t>iCBT</w:t>
            </w:r>
            <w:proofErr w:type="spellEnd"/>
          </w:p>
        </w:tc>
        <w:tc>
          <w:tcPr>
            <w:tcW w:w="661" w:type="pct"/>
          </w:tcPr>
          <w:p w14:paraId="6D923CDE" w14:textId="6C0959F0" w:rsidR="00163E25" w:rsidRPr="00B20871" w:rsidRDefault="00163E25" w:rsidP="003D1CA1">
            <w:pPr>
              <w:jc w:val="center"/>
              <w:rPr>
                <w:rFonts w:asciiTheme="minorHAnsi" w:hAnsiTheme="minorHAnsi" w:cstheme="minorHAnsi"/>
                <w:sz w:val="16"/>
                <w:szCs w:val="16"/>
              </w:rPr>
            </w:pPr>
            <w:r w:rsidRPr="00B20871">
              <w:rPr>
                <w:rFonts w:asciiTheme="minorHAnsi" w:hAnsiTheme="minorHAnsi" w:cstheme="minorHAnsi"/>
                <w:sz w:val="16"/>
                <w:szCs w:val="16"/>
              </w:rPr>
              <w:t>GAD-7</w:t>
            </w:r>
          </w:p>
        </w:tc>
        <w:tc>
          <w:tcPr>
            <w:tcW w:w="348" w:type="pct"/>
          </w:tcPr>
          <w:p w14:paraId="1E35F5E1" w14:textId="3DCC2A73" w:rsidR="00163E25" w:rsidRPr="00B20871" w:rsidRDefault="00163E25" w:rsidP="003D1CA1">
            <w:pPr>
              <w:jc w:val="center"/>
              <w:rPr>
                <w:rFonts w:asciiTheme="minorHAnsi" w:hAnsiTheme="minorHAnsi" w:cstheme="minorHAnsi"/>
                <w:color w:val="000000"/>
                <w:sz w:val="16"/>
                <w:szCs w:val="16"/>
              </w:rPr>
            </w:pPr>
            <w:r w:rsidRPr="00B20871">
              <w:rPr>
                <w:rFonts w:asciiTheme="minorHAnsi" w:hAnsiTheme="minorHAnsi" w:cstheme="minorHAnsi"/>
                <w:sz w:val="16"/>
                <w:szCs w:val="16"/>
              </w:rPr>
              <w:t>115</w:t>
            </w:r>
          </w:p>
        </w:tc>
        <w:tc>
          <w:tcPr>
            <w:tcW w:w="455" w:type="pct"/>
          </w:tcPr>
          <w:p w14:paraId="17267B81" w14:textId="5C8544BC" w:rsidR="00163E25" w:rsidRPr="00C750BD" w:rsidRDefault="00163E25" w:rsidP="003D1CA1">
            <w:pPr>
              <w:jc w:val="center"/>
              <w:rPr>
                <w:rFonts w:asciiTheme="minorHAnsi" w:hAnsiTheme="minorHAnsi" w:cstheme="minorHAnsi"/>
                <w:color w:val="000000"/>
                <w:sz w:val="16"/>
                <w:szCs w:val="16"/>
              </w:rPr>
            </w:pPr>
            <w:r w:rsidRPr="00C750BD">
              <w:rPr>
                <w:rFonts w:asciiTheme="minorHAnsi" w:hAnsiTheme="minorHAnsi" w:cstheme="minorHAnsi"/>
                <w:sz w:val="16"/>
                <w:szCs w:val="16"/>
              </w:rPr>
              <w:t>11.91</w:t>
            </w:r>
          </w:p>
        </w:tc>
        <w:tc>
          <w:tcPr>
            <w:tcW w:w="572" w:type="pct"/>
          </w:tcPr>
          <w:p w14:paraId="3A5CB145" w14:textId="3D727D8D" w:rsidR="00163E25" w:rsidRPr="00C750BD" w:rsidRDefault="00163E25" w:rsidP="003D1CA1">
            <w:pPr>
              <w:jc w:val="center"/>
              <w:rPr>
                <w:rFonts w:asciiTheme="minorHAnsi" w:hAnsiTheme="minorHAnsi" w:cstheme="minorHAnsi"/>
                <w:color w:val="000000"/>
                <w:sz w:val="16"/>
                <w:szCs w:val="16"/>
              </w:rPr>
            </w:pPr>
            <w:r w:rsidRPr="00C750BD">
              <w:rPr>
                <w:rFonts w:asciiTheme="minorHAnsi" w:hAnsiTheme="minorHAnsi" w:cstheme="minorHAnsi"/>
                <w:sz w:val="16"/>
                <w:szCs w:val="16"/>
              </w:rPr>
              <w:t>95%CI 10.95</w:t>
            </w:r>
            <w:r w:rsidR="00891550" w:rsidRPr="00C750BD">
              <w:rPr>
                <w:rFonts w:asciiTheme="minorHAnsi" w:hAnsiTheme="minorHAnsi" w:cstheme="minorHAnsi"/>
                <w:sz w:val="16"/>
                <w:szCs w:val="16"/>
              </w:rPr>
              <w:t xml:space="preserve">, </w:t>
            </w:r>
            <w:r w:rsidRPr="00C750BD">
              <w:rPr>
                <w:rFonts w:asciiTheme="minorHAnsi" w:hAnsiTheme="minorHAnsi" w:cstheme="minorHAnsi"/>
                <w:sz w:val="16"/>
                <w:szCs w:val="16"/>
              </w:rPr>
              <w:t>12.87</w:t>
            </w:r>
          </w:p>
        </w:tc>
        <w:tc>
          <w:tcPr>
            <w:tcW w:w="252" w:type="pct"/>
          </w:tcPr>
          <w:p w14:paraId="110980C2" w14:textId="53C7C17B" w:rsidR="00163E25" w:rsidRPr="00C750BD" w:rsidRDefault="00163E25" w:rsidP="003D1CA1">
            <w:pPr>
              <w:jc w:val="center"/>
              <w:rPr>
                <w:rFonts w:asciiTheme="minorHAnsi" w:hAnsiTheme="minorHAnsi" w:cstheme="minorHAnsi"/>
                <w:color w:val="000000"/>
                <w:sz w:val="16"/>
                <w:szCs w:val="16"/>
              </w:rPr>
            </w:pPr>
            <w:r w:rsidRPr="00C750BD">
              <w:rPr>
                <w:rFonts w:asciiTheme="minorHAnsi" w:hAnsiTheme="minorHAnsi" w:cstheme="minorHAnsi"/>
                <w:sz w:val="16"/>
                <w:szCs w:val="16"/>
              </w:rPr>
              <w:t>115</w:t>
            </w:r>
          </w:p>
        </w:tc>
        <w:tc>
          <w:tcPr>
            <w:tcW w:w="260" w:type="pct"/>
          </w:tcPr>
          <w:p w14:paraId="349D3A0A" w14:textId="31566EAA" w:rsidR="00163E25" w:rsidRPr="00C750BD" w:rsidRDefault="00163E25" w:rsidP="003D1CA1">
            <w:pPr>
              <w:jc w:val="center"/>
              <w:rPr>
                <w:rFonts w:asciiTheme="minorHAnsi" w:hAnsiTheme="minorHAnsi" w:cstheme="minorHAnsi"/>
                <w:color w:val="000000"/>
                <w:sz w:val="16"/>
                <w:szCs w:val="16"/>
              </w:rPr>
            </w:pPr>
            <w:r w:rsidRPr="00C750BD">
              <w:rPr>
                <w:rFonts w:asciiTheme="minorHAnsi" w:hAnsiTheme="minorHAnsi" w:cstheme="minorHAnsi"/>
                <w:sz w:val="16"/>
                <w:szCs w:val="16"/>
              </w:rPr>
              <w:t>6.75</w:t>
            </w:r>
          </w:p>
        </w:tc>
        <w:tc>
          <w:tcPr>
            <w:tcW w:w="542" w:type="pct"/>
          </w:tcPr>
          <w:p w14:paraId="0EC867E1" w14:textId="2614A161" w:rsidR="00163E25" w:rsidRPr="00021CAB" w:rsidRDefault="00163E25" w:rsidP="003D1CA1">
            <w:pPr>
              <w:jc w:val="center"/>
              <w:rPr>
                <w:rFonts w:asciiTheme="minorHAnsi" w:hAnsiTheme="minorHAnsi" w:cstheme="minorHAnsi"/>
                <w:color w:val="000000"/>
                <w:sz w:val="16"/>
                <w:szCs w:val="16"/>
              </w:rPr>
            </w:pPr>
            <w:r w:rsidRPr="00021CAB">
              <w:rPr>
                <w:rFonts w:asciiTheme="minorHAnsi" w:hAnsiTheme="minorHAnsi" w:cstheme="minorHAnsi"/>
                <w:sz w:val="16"/>
                <w:szCs w:val="16"/>
              </w:rPr>
              <w:t>95%CI 5.31</w:t>
            </w:r>
            <w:r w:rsidR="00891550" w:rsidRPr="00021CAB">
              <w:rPr>
                <w:rFonts w:asciiTheme="minorHAnsi" w:hAnsiTheme="minorHAnsi" w:cstheme="minorHAnsi"/>
                <w:sz w:val="16"/>
                <w:szCs w:val="16"/>
              </w:rPr>
              <w:t>,</w:t>
            </w:r>
            <w:r w:rsidRPr="00021CAB">
              <w:rPr>
                <w:rFonts w:asciiTheme="minorHAnsi" w:hAnsiTheme="minorHAnsi" w:cstheme="minorHAnsi"/>
                <w:sz w:val="16"/>
                <w:szCs w:val="16"/>
              </w:rPr>
              <w:t xml:space="preserve"> 8.19</w:t>
            </w:r>
          </w:p>
        </w:tc>
        <w:tc>
          <w:tcPr>
            <w:tcW w:w="579" w:type="pct"/>
          </w:tcPr>
          <w:p w14:paraId="3945D8D6" w14:textId="3A20025C" w:rsidR="00163E25" w:rsidRPr="00021CAB" w:rsidRDefault="00163E25" w:rsidP="003D1CA1">
            <w:pPr>
              <w:jc w:val="center"/>
              <w:rPr>
                <w:rFonts w:asciiTheme="minorHAnsi" w:hAnsiTheme="minorHAnsi" w:cstheme="minorHAnsi"/>
                <w:color w:val="000000"/>
                <w:sz w:val="16"/>
                <w:szCs w:val="16"/>
              </w:rPr>
            </w:pPr>
            <w:r w:rsidRPr="00021CAB">
              <w:rPr>
                <w:rFonts w:asciiTheme="minorHAnsi" w:hAnsiTheme="minorHAnsi" w:cstheme="minorHAnsi"/>
                <w:sz w:val="16"/>
                <w:szCs w:val="16"/>
              </w:rPr>
              <w:t>g=1.07 (0.95</w:t>
            </w:r>
            <w:r w:rsidR="00891550" w:rsidRPr="00021CAB">
              <w:rPr>
                <w:rFonts w:asciiTheme="minorHAnsi" w:hAnsiTheme="minorHAnsi" w:cstheme="minorHAnsi"/>
                <w:sz w:val="16"/>
                <w:szCs w:val="16"/>
              </w:rPr>
              <w:t>,</w:t>
            </w:r>
            <w:r w:rsidRPr="00021CAB">
              <w:rPr>
                <w:rFonts w:asciiTheme="minorHAnsi" w:hAnsiTheme="minorHAnsi" w:cstheme="minorHAnsi"/>
                <w:sz w:val="16"/>
                <w:szCs w:val="16"/>
              </w:rPr>
              <w:t xml:space="preserve"> 1.18)</w:t>
            </w:r>
          </w:p>
        </w:tc>
      </w:tr>
      <w:tr w:rsidR="0095086C" w:rsidRPr="00B276EB" w14:paraId="5EC22D7B" w14:textId="77777777" w:rsidTr="007C118C">
        <w:trPr>
          <w:trHeight w:val="129"/>
        </w:trPr>
        <w:tc>
          <w:tcPr>
            <w:tcW w:w="797" w:type="pct"/>
          </w:tcPr>
          <w:p w14:paraId="5C4D6752" w14:textId="68FD7122" w:rsidR="0095086C" w:rsidRPr="00B276EB" w:rsidRDefault="0095086C" w:rsidP="003D1CA1">
            <w:pPr>
              <w:pStyle w:val="ListParagraph"/>
              <w:numPr>
                <w:ilvl w:val="0"/>
                <w:numId w:val="13"/>
              </w:numPr>
              <w:ind w:left="321" w:right="37" w:hanging="321"/>
              <w:rPr>
                <w:sz w:val="16"/>
                <w:szCs w:val="16"/>
              </w:rPr>
            </w:pPr>
            <w:r w:rsidRPr="00B276EB">
              <w:rPr>
                <w:sz w:val="16"/>
                <w:szCs w:val="16"/>
              </w:rPr>
              <w:t xml:space="preserve">NESB </w:t>
            </w:r>
            <w:proofErr w:type="spellStart"/>
            <w:r w:rsidRPr="00B276EB">
              <w:rPr>
                <w:sz w:val="16"/>
                <w:szCs w:val="16"/>
              </w:rPr>
              <w:t>Asia</w:t>
            </w:r>
            <w:r w:rsidR="00E76F1E">
              <w:rPr>
                <w:sz w:val="16"/>
                <w:szCs w:val="16"/>
                <w:vertAlign w:val="superscript"/>
              </w:rPr>
              <w:t>g</w:t>
            </w:r>
            <w:proofErr w:type="spellEnd"/>
          </w:p>
        </w:tc>
        <w:tc>
          <w:tcPr>
            <w:tcW w:w="534" w:type="pct"/>
          </w:tcPr>
          <w:p w14:paraId="2081A748" w14:textId="64616972" w:rsidR="0095086C" w:rsidRPr="00B276EB" w:rsidRDefault="0095086C" w:rsidP="003D1CA1">
            <w:pPr>
              <w:pStyle w:val="ListParagraph"/>
              <w:ind w:left="34" w:right="37"/>
              <w:jc w:val="center"/>
              <w:rPr>
                <w:sz w:val="16"/>
                <w:szCs w:val="16"/>
              </w:rPr>
            </w:pPr>
            <w:r w:rsidRPr="00B276EB">
              <w:rPr>
                <w:sz w:val="16"/>
                <w:szCs w:val="16"/>
              </w:rPr>
              <w:t xml:space="preserve">Supported </w:t>
            </w:r>
            <w:proofErr w:type="spellStart"/>
            <w:r w:rsidRPr="00B276EB">
              <w:rPr>
                <w:sz w:val="16"/>
                <w:szCs w:val="16"/>
              </w:rPr>
              <w:t>iCBT</w:t>
            </w:r>
            <w:proofErr w:type="spellEnd"/>
          </w:p>
        </w:tc>
        <w:tc>
          <w:tcPr>
            <w:tcW w:w="661" w:type="pct"/>
          </w:tcPr>
          <w:p w14:paraId="28FB3D9D" w14:textId="16CA1386" w:rsidR="0095086C" w:rsidRPr="00B276EB" w:rsidRDefault="0095086C" w:rsidP="003D1CA1">
            <w:pPr>
              <w:jc w:val="center"/>
              <w:rPr>
                <w:rFonts w:asciiTheme="minorHAnsi" w:hAnsiTheme="minorHAnsi"/>
                <w:sz w:val="16"/>
                <w:szCs w:val="16"/>
              </w:rPr>
            </w:pPr>
            <w:r w:rsidRPr="00B276EB">
              <w:rPr>
                <w:rFonts w:asciiTheme="minorHAnsi" w:hAnsiTheme="minorHAnsi"/>
                <w:sz w:val="16"/>
                <w:szCs w:val="16"/>
              </w:rPr>
              <w:t>GAD-7</w:t>
            </w:r>
          </w:p>
        </w:tc>
        <w:tc>
          <w:tcPr>
            <w:tcW w:w="348" w:type="pct"/>
          </w:tcPr>
          <w:p w14:paraId="49777C50" w14:textId="08A93328" w:rsidR="0095086C" w:rsidRPr="00B276EB" w:rsidRDefault="0095086C" w:rsidP="003D1CA1">
            <w:pPr>
              <w:jc w:val="center"/>
              <w:rPr>
                <w:rFonts w:ascii="Calibri" w:hAnsi="Calibri" w:cs="Calibri"/>
                <w:color w:val="000000"/>
                <w:sz w:val="16"/>
                <w:szCs w:val="16"/>
              </w:rPr>
            </w:pPr>
            <w:r w:rsidRPr="00B276EB">
              <w:rPr>
                <w:rFonts w:ascii="Calibri" w:hAnsi="Calibri" w:cs="Calibri"/>
                <w:color w:val="000000"/>
                <w:sz w:val="16"/>
                <w:szCs w:val="16"/>
              </w:rPr>
              <w:t>182</w:t>
            </w:r>
          </w:p>
        </w:tc>
        <w:tc>
          <w:tcPr>
            <w:tcW w:w="455" w:type="pct"/>
          </w:tcPr>
          <w:p w14:paraId="07E8DF75" w14:textId="15A436B8" w:rsidR="0095086C" w:rsidRPr="00B276EB" w:rsidRDefault="0095086C" w:rsidP="003D1CA1">
            <w:pPr>
              <w:jc w:val="center"/>
              <w:rPr>
                <w:rFonts w:ascii="Calibri" w:hAnsi="Calibri" w:cs="Calibri"/>
                <w:color w:val="000000"/>
                <w:sz w:val="16"/>
                <w:szCs w:val="16"/>
              </w:rPr>
            </w:pPr>
            <w:r w:rsidRPr="00B276EB">
              <w:rPr>
                <w:rFonts w:ascii="Calibri" w:hAnsi="Calibri" w:cs="Calibri"/>
                <w:color w:val="000000"/>
                <w:sz w:val="16"/>
                <w:szCs w:val="16"/>
              </w:rPr>
              <w:t>11.43</w:t>
            </w:r>
          </w:p>
        </w:tc>
        <w:tc>
          <w:tcPr>
            <w:tcW w:w="572" w:type="pct"/>
          </w:tcPr>
          <w:p w14:paraId="0BD14F8B" w14:textId="7FBCB880" w:rsidR="0095086C" w:rsidRPr="00B276EB" w:rsidRDefault="0095086C" w:rsidP="003D1CA1">
            <w:pPr>
              <w:jc w:val="center"/>
              <w:rPr>
                <w:rFonts w:ascii="Calibri" w:hAnsi="Calibri" w:cs="Calibri"/>
                <w:color w:val="000000"/>
                <w:sz w:val="16"/>
                <w:szCs w:val="16"/>
              </w:rPr>
            </w:pPr>
            <w:r w:rsidRPr="00B276EB">
              <w:rPr>
                <w:rFonts w:asciiTheme="minorHAnsi" w:hAnsiTheme="minorHAnsi"/>
                <w:color w:val="000000"/>
                <w:sz w:val="16"/>
                <w:szCs w:val="16"/>
              </w:rPr>
              <w:t>95%CI 10.68</w:t>
            </w:r>
            <w:r w:rsidR="00891550">
              <w:rPr>
                <w:rFonts w:asciiTheme="minorHAnsi" w:hAnsiTheme="minorHAnsi"/>
                <w:color w:val="000000"/>
                <w:sz w:val="16"/>
                <w:szCs w:val="16"/>
              </w:rPr>
              <w:t xml:space="preserve">, </w:t>
            </w:r>
            <w:r w:rsidRPr="00B276EB">
              <w:rPr>
                <w:rFonts w:asciiTheme="minorHAnsi" w:hAnsiTheme="minorHAnsi"/>
                <w:color w:val="000000"/>
                <w:sz w:val="16"/>
                <w:szCs w:val="16"/>
              </w:rPr>
              <w:t>12.18</w:t>
            </w:r>
          </w:p>
        </w:tc>
        <w:tc>
          <w:tcPr>
            <w:tcW w:w="252" w:type="pct"/>
          </w:tcPr>
          <w:p w14:paraId="77E53845" w14:textId="7E4A964C" w:rsidR="0095086C" w:rsidRPr="00B276EB" w:rsidRDefault="0095086C" w:rsidP="003D1CA1">
            <w:pPr>
              <w:jc w:val="center"/>
              <w:rPr>
                <w:rFonts w:ascii="Calibri" w:hAnsi="Calibri" w:cs="Calibri"/>
                <w:color w:val="000000"/>
                <w:sz w:val="16"/>
                <w:szCs w:val="16"/>
              </w:rPr>
            </w:pPr>
            <w:r w:rsidRPr="00B276EB">
              <w:rPr>
                <w:rFonts w:ascii="Calibri" w:hAnsi="Calibri" w:cs="Calibri"/>
                <w:color w:val="000000"/>
                <w:sz w:val="16"/>
                <w:szCs w:val="16"/>
              </w:rPr>
              <w:t>182</w:t>
            </w:r>
          </w:p>
        </w:tc>
        <w:tc>
          <w:tcPr>
            <w:tcW w:w="260" w:type="pct"/>
          </w:tcPr>
          <w:p w14:paraId="2FACB8C9" w14:textId="17427865" w:rsidR="0095086C" w:rsidRPr="00B276EB" w:rsidRDefault="0095086C" w:rsidP="003D1CA1">
            <w:pPr>
              <w:jc w:val="center"/>
              <w:rPr>
                <w:rFonts w:ascii="Calibri" w:hAnsi="Calibri" w:cs="Calibri"/>
                <w:color w:val="000000"/>
                <w:sz w:val="16"/>
                <w:szCs w:val="16"/>
              </w:rPr>
            </w:pPr>
            <w:r w:rsidRPr="00B276EB">
              <w:rPr>
                <w:rFonts w:ascii="Calibri" w:hAnsi="Calibri" w:cs="Calibri"/>
                <w:color w:val="000000"/>
                <w:sz w:val="16"/>
                <w:szCs w:val="16"/>
              </w:rPr>
              <w:t>5.18</w:t>
            </w:r>
          </w:p>
        </w:tc>
        <w:tc>
          <w:tcPr>
            <w:tcW w:w="542" w:type="pct"/>
          </w:tcPr>
          <w:p w14:paraId="1039CB78" w14:textId="3733E25A" w:rsidR="0095086C" w:rsidRPr="00021CAB" w:rsidRDefault="0095086C" w:rsidP="003D1CA1">
            <w:pPr>
              <w:jc w:val="center"/>
              <w:rPr>
                <w:rFonts w:ascii="Calibri" w:hAnsi="Calibri" w:cs="Calibri"/>
                <w:color w:val="000000"/>
                <w:sz w:val="16"/>
                <w:szCs w:val="16"/>
              </w:rPr>
            </w:pPr>
            <w:r w:rsidRPr="00021CAB">
              <w:rPr>
                <w:rFonts w:asciiTheme="minorHAnsi" w:hAnsiTheme="minorHAnsi"/>
                <w:color w:val="000000"/>
                <w:sz w:val="16"/>
                <w:szCs w:val="16"/>
              </w:rPr>
              <w:t xml:space="preserve">95%CI </w:t>
            </w:r>
            <w:r w:rsidRPr="00021CAB">
              <w:rPr>
                <w:rFonts w:ascii="Calibri" w:hAnsi="Calibri" w:cs="Calibri"/>
                <w:color w:val="000000"/>
                <w:sz w:val="16"/>
                <w:szCs w:val="16"/>
              </w:rPr>
              <w:t>4.49</w:t>
            </w:r>
            <w:r w:rsidR="00E45DB3" w:rsidRPr="00021CAB">
              <w:rPr>
                <w:rFonts w:ascii="Calibri" w:hAnsi="Calibri" w:cs="Calibri"/>
                <w:color w:val="000000"/>
                <w:sz w:val="16"/>
                <w:szCs w:val="16"/>
              </w:rPr>
              <w:t xml:space="preserve">, </w:t>
            </w:r>
            <w:r w:rsidRPr="00021CAB">
              <w:rPr>
                <w:rFonts w:ascii="Calibri" w:hAnsi="Calibri" w:cs="Calibri"/>
                <w:color w:val="000000"/>
                <w:sz w:val="16"/>
                <w:szCs w:val="16"/>
              </w:rPr>
              <w:t>5.87</w:t>
            </w:r>
          </w:p>
        </w:tc>
        <w:tc>
          <w:tcPr>
            <w:tcW w:w="579" w:type="pct"/>
          </w:tcPr>
          <w:p w14:paraId="143F62E8" w14:textId="6E8BD055" w:rsidR="0095086C" w:rsidRPr="00021CAB" w:rsidRDefault="0095086C" w:rsidP="003D1CA1">
            <w:pPr>
              <w:jc w:val="center"/>
              <w:rPr>
                <w:rFonts w:ascii="Calibri" w:hAnsi="Calibri" w:cs="Calibri"/>
                <w:color w:val="000000"/>
                <w:sz w:val="16"/>
                <w:szCs w:val="16"/>
              </w:rPr>
            </w:pPr>
            <w:r w:rsidRPr="00021CAB">
              <w:rPr>
                <w:rFonts w:ascii="Calibri" w:hAnsi="Calibri" w:cs="Calibri"/>
                <w:color w:val="000000"/>
                <w:sz w:val="16"/>
                <w:szCs w:val="16"/>
              </w:rPr>
              <w:t>g=1.39 (1.3</w:t>
            </w:r>
            <w:r w:rsidR="00E45DB3" w:rsidRPr="00021CAB">
              <w:rPr>
                <w:rFonts w:ascii="Calibri" w:hAnsi="Calibri" w:cs="Calibri"/>
                <w:color w:val="000000"/>
                <w:sz w:val="16"/>
                <w:szCs w:val="16"/>
              </w:rPr>
              <w:t>,</w:t>
            </w:r>
            <w:r w:rsidRPr="00021CAB">
              <w:rPr>
                <w:rFonts w:ascii="Calibri" w:hAnsi="Calibri" w:cs="Calibri"/>
                <w:color w:val="000000"/>
                <w:sz w:val="16"/>
                <w:szCs w:val="16"/>
              </w:rPr>
              <w:t xml:space="preserve"> 1.49)</w:t>
            </w:r>
          </w:p>
        </w:tc>
      </w:tr>
      <w:tr w:rsidR="00F903F4" w:rsidRPr="00B276EB" w14:paraId="26A43721" w14:textId="77777777" w:rsidTr="007C118C">
        <w:trPr>
          <w:trHeight w:val="129"/>
        </w:trPr>
        <w:tc>
          <w:tcPr>
            <w:tcW w:w="797" w:type="pct"/>
          </w:tcPr>
          <w:p w14:paraId="4B136BE2" w14:textId="79901730" w:rsidR="0095086C" w:rsidRPr="00B276EB" w:rsidRDefault="0095086C" w:rsidP="003D1CA1">
            <w:pPr>
              <w:pStyle w:val="ListParagraph"/>
              <w:numPr>
                <w:ilvl w:val="0"/>
                <w:numId w:val="13"/>
              </w:numPr>
              <w:ind w:left="321" w:right="37" w:hanging="321"/>
              <w:rPr>
                <w:sz w:val="16"/>
                <w:szCs w:val="16"/>
              </w:rPr>
            </w:pPr>
            <w:r w:rsidRPr="00B276EB">
              <w:rPr>
                <w:sz w:val="16"/>
                <w:szCs w:val="16"/>
              </w:rPr>
              <w:t xml:space="preserve">NESB </w:t>
            </w:r>
            <w:proofErr w:type="spellStart"/>
            <w:r w:rsidRPr="00B276EB">
              <w:rPr>
                <w:sz w:val="16"/>
                <w:szCs w:val="16"/>
              </w:rPr>
              <w:t>English</w:t>
            </w:r>
            <w:r w:rsidR="00E76F1E">
              <w:rPr>
                <w:sz w:val="16"/>
                <w:szCs w:val="16"/>
                <w:vertAlign w:val="superscript"/>
              </w:rPr>
              <w:t>g</w:t>
            </w:r>
            <w:proofErr w:type="spellEnd"/>
          </w:p>
        </w:tc>
        <w:tc>
          <w:tcPr>
            <w:tcW w:w="534" w:type="pct"/>
          </w:tcPr>
          <w:p w14:paraId="431E9E35" w14:textId="0817390C" w:rsidR="0095086C" w:rsidRPr="00B276EB" w:rsidRDefault="0095086C" w:rsidP="003D1CA1">
            <w:pPr>
              <w:pStyle w:val="ListParagraph"/>
              <w:ind w:left="34" w:right="37"/>
              <w:jc w:val="center"/>
              <w:rPr>
                <w:sz w:val="16"/>
                <w:szCs w:val="16"/>
                <w:highlight w:val="yellow"/>
              </w:rPr>
            </w:pPr>
            <w:r w:rsidRPr="00B276EB">
              <w:rPr>
                <w:sz w:val="16"/>
                <w:szCs w:val="16"/>
              </w:rPr>
              <w:t xml:space="preserve">Supported </w:t>
            </w:r>
            <w:proofErr w:type="spellStart"/>
            <w:r w:rsidRPr="00B276EB">
              <w:rPr>
                <w:sz w:val="16"/>
                <w:szCs w:val="16"/>
              </w:rPr>
              <w:t>iCBT</w:t>
            </w:r>
            <w:proofErr w:type="spellEnd"/>
          </w:p>
        </w:tc>
        <w:tc>
          <w:tcPr>
            <w:tcW w:w="661" w:type="pct"/>
          </w:tcPr>
          <w:p w14:paraId="39C61C7E" w14:textId="3D7B5245" w:rsidR="0095086C" w:rsidRPr="00B276EB" w:rsidRDefault="0095086C" w:rsidP="003D1CA1">
            <w:pPr>
              <w:jc w:val="center"/>
              <w:rPr>
                <w:sz w:val="16"/>
                <w:szCs w:val="16"/>
                <w:highlight w:val="yellow"/>
              </w:rPr>
            </w:pPr>
            <w:r w:rsidRPr="00B276EB">
              <w:rPr>
                <w:rFonts w:asciiTheme="minorHAnsi" w:hAnsiTheme="minorHAnsi"/>
                <w:sz w:val="16"/>
                <w:szCs w:val="16"/>
              </w:rPr>
              <w:t>GAD-7</w:t>
            </w:r>
          </w:p>
        </w:tc>
        <w:tc>
          <w:tcPr>
            <w:tcW w:w="348" w:type="pct"/>
          </w:tcPr>
          <w:p w14:paraId="003FD9FB" w14:textId="2F31224A" w:rsidR="0095086C" w:rsidRPr="00B276EB" w:rsidRDefault="0095086C" w:rsidP="003D1CA1">
            <w:pPr>
              <w:jc w:val="center"/>
              <w:rPr>
                <w:color w:val="000000"/>
                <w:sz w:val="16"/>
                <w:szCs w:val="16"/>
                <w:highlight w:val="yellow"/>
              </w:rPr>
            </w:pPr>
            <w:r w:rsidRPr="00B276EB">
              <w:rPr>
                <w:rFonts w:ascii="Calibri" w:hAnsi="Calibri" w:cs="Calibri"/>
                <w:color w:val="000000"/>
                <w:sz w:val="16"/>
                <w:szCs w:val="16"/>
              </w:rPr>
              <w:t>323</w:t>
            </w:r>
          </w:p>
        </w:tc>
        <w:tc>
          <w:tcPr>
            <w:tcW w:w="455" w:type="pct"/>
          </w:tcPr>
          <w:p w14:paraId="2C9A1B3F" w14:textId="675425D6" w:rsidR="0095086C" w:rsidRPr="00B276EB" w:rsidRDefault="0095086C" w:rsidP="003D1CA1">
            <w:pPr>
              <w:jc w:val="center"/>
              <w:rPr>
                <w:color w:val="000000"/>
                <w:sz w:val="16"/>
                <w:szCs w:val="16"/>
                <w:highlight w:val="yellow"/>
              </w:rPr>
            </w:pPr>
            <w:r w:rsidRPr="00B276EB">
              <w:rPr>
                <w:rFonts w:ascii="Calibri" w:hAnsi="Calibri" w:cs="Calibri"/>
                <w:color w:val="000000"/>
                <w:sz w:val="16"/>
                <w:szCs w:val="16"/>
              </w:rPr>
              <w:t>11.55</w:t>
            </w:r>
          </w:p>
        </w:tc>
        <w:tc>
          <w:tcPr>
            <w:tcW w:w="572" w:type="pct"/>
          </w:tcPr>
          <w:p w14:paraId="2F14080C" w14:textId="4F302BEB" w:rsidR="0095086C" w:rsidRPr="00B276EB" w:rsidRDefault="0095086C" w:rsidP="003D1CA1">
            <w:pPr>
              <w:jc w:val="center"/>
              <w:rPr>
                <w:color w:val="000000"/>
                <w:sz w:val="16"/>
                <w:szCs w:val="16"/>
                <w:highlight w:val="yellow"/>
              </w:rPr>
            </w:pPr>
            <w:r w:rsidRPr="00B276EB">
              <w:rPr>
                <w:rFonts w:asciiTheme="minorHAnsi" w:hAnsiTheme="minorHAnsi"/>
                <w:color w:val="000000"/>
                <w:sz w:val="16"/>
                <w:szCs w:val="16"/>
              </w:rPr>
              <w:t xml:space="preserve">95%CI </w:t>
            </w:r>
            <w:r w:rsidRPr="00B276EB">
              <w:rPr>
                <w:rFonts w:ascii="Calibri" w:hAnsi="Calibri" w:cs="Calibri"/>
                <w:color w:val="000000"/>
                <w:sz w:val="16"/>
                <w:szCs w:val="16"/>
              </w:rPr>
              <w:t>10.99</w:t>
            </w:r>
            <w:r w:rsidR="00891550">
              <w:rPr>
                <w:rFonts w:ascii="Calibri" w:hAnsi="Calibri" w:cs="Calibri"/>
                <w:color w:val="000000"/>
                <w:sz w:val="16"/>
                <w:szCs w:val="16"/>
              </w:rPr>
              <w:t xml:space="preserve">, </w:t>
            </w:r>
            <w:r w:rsidRPr="00B276EB">
              <w:rPr>
                <w:rFonts w:ascii="Calibri" w:hAnsi="Calibri" w:cs="Calibri"/>
                <w:color w:val="000000"/>
                <w:sz w:val="16"/>
                <w:szCs w:val="16"/>
              </w:rPr>
              <w:t>12.11</w:t>
            </w:r>
          </w:p>
        </w:tc>
        <w:tc>
          <w:tcPr>
            <w:tcW w:w="252" w:type="pct"/>
          </w:tcPr>
          <w:p w14:paraId="2E857327" w14:textId="31DAD05F" w:rsidR="0095086C" w:rsidRPr="00B276EB" w:rsidRDefault="0095086C" w:rsidP="003D1CA1">
            <w:pPr>
              <w:jc w:val="center"/>
              <w:rPr>
                <w:color w:val="000000"/>
                <w:sz w:val="16"/>
                <w:szCs w:val="16"/>
                <w:highlight w:val="yellow"/>
              </w:rPr>
            </w:pPr>
            <w:r w:rsidRPr="00B276EB">
              <w:rPr>
                <w:rFonts w:ascii="Calibri" w:hAnsi="Calibri" w:cs="Calibri"/>
                <w:color w:val="000000"/>
                <w:sz w:val="16"/>
                <w:szCs w:val="16"/>
              </w:rPr>
              <w:t>323</w:t>
            </w:r>
          </w:p>
        </w:tc>
        <w:tc>
          <w:tcPr>
            <w:tcW w:w="260" w:type="pct"/>
          </w:tcPr>
          <w:p w14:paraId="509F5AE3" w14:textId="228EFA76" w:rsidR="0095086C" w:rsidRPr="00B276EB" w:rsidRDefault="0095086C" w:rsidP="003D1CA1">
            <w:pPr>
              <w:jc w:val="center"/>
              <w:rPr>
                <w:color w:val="000000"/>
                <w:sz w:val="16"/>
                <w:szCs w:val="16"/>
                <w:highlight w:val="yellow"/>
              </w:rPr>
            </w:pPr>
            <w:r w:rsidRPr="00B276EB">
              <w:rPr>
                <w:rFonts w:ascii="Calibri" w:hAnsi="Calibri" w:cs="Calibri"/>
                <w:color w:val="000000"/>
                <w:sz w:val="16"/>
                <w:szCs w:val="16"/>
              </w:rPr>
              <w:t>6.19</w:t>
            </w:r>
          </w:p>
        </w:tc>
        <w:tc>
          <w:tcPr>
            <w:tcW w:w="542" w:type="pct"/>
          </w:tcPr>
          <w:p w14:paraId="0C6E8764" w14:textId="5F057AE5" w:rsidR="0095086C" w:rsidRPr="00B276EB" w:rsidRDefault="0095086C" w:rsidP="003D1CA1">
            <w:pPr>
              <w:jc w:val="center"/>
              <w:rPr>
                <w:color w:val="000000"/>
                <w:sz w:val="16"/>
                <w:szCs w:val="16"/>
                <w:highlight w:val="yellow"/>
              </w:rPr>
            </w:pPr>
            <w:r w:rsidRPr="00B276EB">
              <w:rPr>
                <w:rFonts w:asciiTheme="minorHAnsi" w:hAnsiTheme="minorHAnsi"/>
                <w:color w:val="000000"/>
                <w:sz w:val="16"/>
                <w:szCs w:val="16"/>
              </w:rPr>
              <w:t xml:space="preserve">95%CI </w:t>
            </w:r>
            <w:r w:rsidRPr="00B276EB">
              <w:rPr>
                <w:rFonts w:ascii="Calibri" w:hAnsi="Calibri" w:cs="Calibri"/>
                <w:color w:val="000000"/>
                <w:sz w:val="16"/>
                <w:szCs w:val="16"/>
              </w:rPr>
              <w:t>5.56</w:t>
            </w:r>
            <w:r w:rsidR="00E45DB3">
              <w:rPr>
                <w:rFonts w:ascii="Calibri" w:hAnsi="Calibri" w:cs="Calibri"/>
                <w:color w:val="000000"/>
                <w:sz w:val="16"/>
                <w:szCs w:val="16"/>
              </w:rPr>
              <w:t>,</w:t>
            </w:r>
            <w:r w:rsidRPr="00B276EB">
              <w:rPr>
                <w:rFonts w:ascii="Calibri" w:hAnsi="Calibri" w:cs="Calibri"/>
                <w:color w:val="000000"/>
                <w:sz w:val="16"/>
                <w:szCs w:val="16"/>
              </w:rPr>
              <w:t xml:space="preserve"> 6.81</w:t>
            </w:r>
          </w:p>
        </w:tc>
        <w:tc>
          <w:tcPr>
            <w:tcW w:w="579" w:type="pct"/>
          </w:tcPr>
          <w:p w14:paraId="074CC167" w14:textId="7EFCD81C" w:rsidR="0095086C" w:rsidRPr="00B276EB" w:rsidRDefault="0095086C" w:rsidP="003D1CA1">
            <w:pPr>
              <w:jc w:val="center"/>
              <w:rPr>
                <w:color w:val="000000"/>
                <w:sz w:val="16"/>
                <w:szCs w:val="16"/>
                <w:highlight w:val="yellow"/>
              </w:rPr>
            </w:pPr>
            <w:r w:rsidRPr="00B276EB">
              <w:rPr>
                <w:rFonts w:ascii="Calibri" w:hAnsi="Calibri" w:cs="Calibri"/>
                <w:color w:val="000000"/>
                <w:sz w:val="16"/>
                <w:szCs w:val="16"/>
              </w:rPr>
              <w:t>g=1.12 (1.06</w:t>
            </w:r>
            <w:r w:rsidR="00E45DB3">
              <w:rPr>
                <w:rFonts w:ascii="Calibri" w:hAnsi="Calibri" w:cs="Calibri"/>
                <w:color w:val="000000"/>
                <w:sz w:val="16"/>
                <w:szCs w:val="16"/>
              </w:rPr>
              <w:t>,</w:t>
            </w:r>
            <w:r w:rsidRPr="00B276EB">
              <w:rPr>
                <w:rFonts w:ascii="Calibri" w:hAnsi="Calibri" w:cs="Calibri"/>
                <w:color w:val="000000"/>
                <w:sz w:val="16"/>
                <w:szCs w:val="16"/>
              </w:rPr>
              <w:t xml:space="preserve"> 1.19)</w:t>
            </w:r>
          </w:p>
        </w:tc>
      </w:tr>
      <w:tr w:rsidR="00F903F4" w:rsidRPr="00B276EB" w14:paraId="3BEE5454" w14:textId="77777777" w:rsidTr="007C118C">
        <w:tc>
          <w:tcPr>
            <w:tcW w:w="797" w:type="pct"/>
          </w:tcPr>
          <w:p w14:paraId="04E3B500" w14:textId="6B51932B" w:rsidR="0095086C" w:rsidRPr="00B276EB" w:rsidRDefault="0095086C" w:rsidP="003D1CA1">
            <w:pPr>
              <w:pStyle w:val="ListParagraph"/>
              <w:numPr>
                <w:ilvl w:val="0"/>
                <w:numId w:val="13"/>
              </w:numPr>
              <w:ind w:left="321" w:right="37" w:hanging="321"/>
              <w:rPr>
                <w:sz w:val="16"/>
                <w:szCs w:val="16"/>
              </w:rPr>
            </w:pPr>
            <w:r w:rsidRPr="00B276EB">
              <w:rPr>
                <w:sz w:val="16"/>
                <w:szCs w:val="16"/>
              </w:rPr>
              <w:t xml:space="preserve">ESB </w:t>
            </w:r>
            <w:proofErr w:type="spellStart"/>
            <w:r w:rsidRPr="00B276EB">
              <w:rPr>
                <w:sz w:val="16"/>
                <w:szCs w:val="16"/>
              </w:rPr>
              <w:t>English</w:t>
            </w:r>
            <w:r w:rsidR="00E76F1E">
              <w:rPr>
                <w:sz w:val="16"/>
                <w:szCs w:val="16"/>
                <w:vertAlign w:val="superscript"/>
              </w:rPr>
              <w:t>g</w:t>
            </w:r>
            <w:proofErr w:type="spellEnd"/>
          </w:p>
        </w:tc>
        <w:tc>
          <w:tcPr>
            <w:tcW w:w="534" w:type="pct"/>
          </w:tcPr>
          <w:p w14:paraId="2EA36378" w14:textId="7DF433C8" w:rsidR="0095086C" w:rsidRPr="00B276EB" w:rsidRDefault="0095086C" w:rsidP="003D1CA1">
            <w:pPr>
              <w:pStyle w:val="ListParagraph"/>
              <w:ind w:left="34" w:right="37"/>
              <w:jc w:val="center"/>
              <w:rPr>
                <w:sz w:val="16"/>
                <w:szCs w:val="16"/>
                <w:highlight w:val="yellow"/>
              </w:rPr>
            </w:pPr>
            <w:r w:rsidRPr="00B276EB">
              <w:rPr>
                <w:sz w:val="16"/>
                <w:szCs w:val="16"/>
              </w:rPr>
              <w:t xml:space="preserve">Supported </w:t>
            </w:r>
            <w:proofErr w:type="spellStart"/>
            <w:r w:rsidRPr="00B276EB">
              <w:rPr>
                <w:sz w:val="16"/>
                <w:szCs w:val="16"/>
              </w:rPr>
              <w:t>iCBT</w:t>
            </w:r>
            <w:proofErr w:type="spellEnd"/>
          </w:p>
        </w:tc>
        <w:tc>
          <w:tcPr>
            <w:tcW w:w="661" w:type="pct"/>
          </w:tcPr>
          <w:p w14:paraId="4D2BBB59" w14:textId="6092A50D" w:rsidR="0095086C" w:rsidRPr="00B276EB" w:rsidRDefault="0095086C" w:rsidP="003D1CA1">
            <w:pPr>
              <w:jc w:val="center"/>
              <w:rPr>
                <w:sz w:val="16"/>
                <w:szCs w:val="16"/>
                <w:highlight w:val="yellow"/>
              </w:rPr>
            </w:pPr>
            <w:r w:rsidRPr="00B276EB">
              <w:rPr>
                <w:rFonts w:asciiTheme="minorHAnsi" w:hAnsiTheme="minorHAnsi"/>
                <w:sz w:val="16"/>
                <w:szCs w:val="16"/>
              </w:rPr>
              <w:t>GAD-7</w:t>
            </w:r>
          </w:p>
        </w:tc>
        <w:tc>
          <w:tcPr>
            <w:tcW w:w="348" w:type="pct"/>
          </w:tcPr>
          <w:p w14:paraId="21BF2D7C" w14:textId="732F684F" w:rsidR="0095086C" w:rsidRPr="00B276EB" w:rsidRDefault="0095086C" w:rsidP="003D1CA1">
            <w:pPr>
              <w:jc w:val="center"/>
              <w:rPr>
                <w:color w:val="000000"/>
                <w:sz w:val="16"/>
                <w:szCs w:val="16"/>
                <w:highlight w:val="yellow"/>
              </w:rPr>
            </w:pPr>
            <w:r w:rsidRPr="00B276EB">
              <w:rPr>
                <w:rFonts w:ascii="Calibri" w:hAnsi="Calibri" w:cs="Calibri"/>
                <w:color w:val="000000"/>
                <w:sz w:val="16"/>
                <w:szCs w:val="16"/>
              </w:rPr>
              <w:t>930</w:t>
            </w:r>
          </w:p>
        </w:tc>
        <w:tc>
          <w:tcPr>
            <w:tcW w:w="455" w:type="pct"/>
          </w:tcPr>
          <w:p w14:paraId="3E40B3F5" w14:textId="4036A402" w:rsidR="0095086C" w:rsidRPr="00B276EB" w:rsidRDefault="0095086C" w:rsidP="003D1CA1">
            <w:pPr>
              <w:jc w:val="center"/>
              <w:rPr>
                <w:color w:val="000000"/>
                <w:sz w:val="16"/>
                <w:szCs w:val="16"/>
                <w:highlight w:val="yellow"/>
              </w:rPr>
            </w:pPr>
            <w:r w:rsidRPr="00B276EB">
              <w:rPr>
                <w:rFonts w:ascii="Calibri" w:hAnsi="Calibri" w:cs="Calibri"/>
                <w:color w:val="000000"/>
                <w:sz w:val="16"/>
                <w:szCs w:val="16"/>
              </w:rPr>
              <w:t>11.83</w:t>
            </w:r>
          </w:p>
        </w:tc>
        <w:tc>
          <w:tcPr>
            <w:tcW w:w="572" w:type="pct"/>
          </w:tcPr>
          <w:p w14:paraId="53448389" w14:textId="12160675" w:rsidR="0095086C" w:rsidRPr="00B276EB" w:rsidRDefault="0095086C" w:rsidP="003D1CA1">
            <w:pPr>
              <w:jc w:val="center"/>
              <w:rPr>
                <w:color w:val="000000"/>
                <w:sz w:val="16"/>
                <w:szCs w:val="16"/>
                <w:highlight w:val="yellow"/>
              </w:rPr>
            </w:pPr>
            <w:r w:rsidRPr="00B276EB">
              <w:rPr>
                <w:rFonts w:asciiTheme="minorHAnsi" w:hAnsiTheme="minorHAnsi"/>
                <w:color w:val="000000"/>
                <w:sz w:val="16"/>
                <w:szCs w:val="16"/>
              </w:rPr>
              <w:t xml:space="preserve">95%CI </w:t>
            </w:r>
            <w:r w:rsidRPr="00B276EB">
              <w:rPr>
                <w:rFonts w:ascii="Calibri" w:hAnsi="Calibri" w:cs="Calibri"/>
                <w:color w:val="000000"/>
                <w:sz w:val="16"/>
                <w:szCs w:val="16"/>
              </w:rPr>
              <w:t>11.53</w:t>
            </w:r>
            <w:r w:rsidR="00891550">
              <w:rPr>
                <w:rFonts w:ascii="Calibri" w:hAnsi="Calibri" w:cs="Calibri"/>
                <w:color w:val="000000"/>
                <w:sz w:val="16"/>
                <w:szCs w:val="16"/>
              </w:rPr>
              <w:t xml:space="preserve">, </w:t>
            </w:r>
            <w:r w:rsidRPr="00B276EB">
              <w:rPr>
                <w:rFonts w:ascii="Calibri" w:hAnsi="Calibri" w:cs="Calibri"/>
                <w:color w:val="000000"/>
                <w:sz w:val="16"/>
                <w:szCs w:val="16"/>
              </w:rPr>
              <w:t>12.13</w:t>
            </w:r>
          </w:p>
        </w:tc>
        <w:tc>
          <w:tcPr>
            <w:tcW w:w="252" w:type="pct"/>
          </w:tcPr>
          <w:p w14:paraId="06770E31" w14:textId="287032E5" w:rsidR="0095086C" w:rsidRPr="00B276EB" w:rsidRDefault="0095086C" w:rsidP="003D1CA1">
            <w:pPr>
              <w:jc w:val="center"/>
              <w:rPr>
                <w:color w:val="000000"/>
                <w:sz w:val="16"/>
                <w:szCs w:val="16"/>
                <w:highlight w:val="yellow"/>
              </w:rPr>
            </w:pPr>
            <w:r w:rsidRPr="00B276EB">
              <w:rPr>
                <w:rFonts w:ascii="Calibri" w:hAnsi="Calibri" w:cs="Calibri"/>
                <w:color w:val="000000"/>
                <w:sz w:val="16"/>
                <w:szCs w:val="16"/>
              </w:rPr>
              <w:t>930</w:t>
            </w:r>
          </w:p>
        </w:tc>
        <w:tc>
          <w:tcPr>
            <w:tcW w:w="260" w:type="pct"/>
          </w:tcPr>
          <w:p w14:paraId="2068251A" w14:textId="4EF3BB6F" w:rsidR="0095086C" w:rsidRPr="00B276EB" w:rsidRDefault="0095086C" w:rsidP="003D1CA1">
            <w:pPr>
              <w:jc w:val="center"/>
              <w:rPr>
                <w:color w:val="000000"/>
                <w:sz w:val="16"/>
                <w:szCs w:val="16"/>
                <w:highlight w:val="yellow"/>
              </w:rPr>
            </w:pPr>
            <w:r w:rsidRPr="00B276EB">
              <w:rPr>
                <w:rFonts w:ascii="Calibri" w:hAnsi="Calibri" w:cs="Calibri"/>
                <w:color w:val="000000"/>
                <w:sz w:val="16"/>
                <w:szCs w:val="16"/>
              </w:rPr>
              <w:t>5.72</w:t>
            </w:r>
          </w:p>
        </w:tc>
        <w:tc>
          <w:tcPr>
            <w:tcW w:w="542" w:type="pct"/>
          </w:tcPr>
          <w:p w14:paraId="56640BDE" w14:textId="51DDC68A" w:rsidR="0095086C" w:rsidRPr="00B276EB" w:rsidRDefault="0095086C" w:rsidP="003D1CA1">
            <w:pPr>
              <w:jc w:val="center"/>
              <w:rPr>
                <w:color w:val="000000"/>
                <w:sz w:val="16"/>
                <w:szCs w:val="16"/>
                <w:highlight w:val="yellow"/>
              </w:rPr>
            </w:pPr>
            <w:r w:rsidRPr="00B276EB">
              <w:rPr>
                <w:rFonts w:asciiTheme="minorHAnsi" w:hAnsiTheme="minorHAnsi"/>
                <w:color w:val="000000"/>
                <w:sz w:val="16"/>
                <w:szCs w:val="16"/>
              </w:rPr>
              <w:t xml:space="preserve">95%CI </w:t>
            </w:r>
            <w:r w:rsidRPr="00B276EB">
              <w:rPr>
                <w:rFonts w:ascii="Calibri" w:hAnsi="Calibri" w:cs="Calibri"/>
                <w:color w:val="000000"/>
                <w:sz w:val="16"/>
                <w:szCs w:val="16"/>
              </w:rPr>
              <w:t>5.45</w:t>
            </w:r>
            <w:r w:rsidR="00E45DB3">
              <w:rPr>
                <w:rFonts w:ascii="Calibri" w:hAnsi="Calibri" w:cs="Calibri"/>
                <w:color w:val="000000"/>
                <w:sz w:val="16"/>
                <w:szCs w:val="16"/>
              </w:rPr>
              <w:t>,</w:t>
            </w:r>
            <w:r w:rsidRPr="00B276EB">
              <w:rPr>
                <w:rFonts w:ascii="Calibri" w:hAnsi="Calibri" w:cs="Calibri"/>
                <w:color w:val="000000"/>
                <w:sz w:val="16"/>
                <w:szCs w:val="16"/>
              </w:rPr>
              <w:t xml:space="preserve"> 5.99</w:t>
            </w:r>
          </w:p>
        </w:tc>
        <w:tc>
          <w:tcPr>
            <w:tcW w:w="579" w:type="pct"/>
          </w:tcPr>
          <w:p w14:paraId="5728310B" w14:textId="715840AD" w:rsidR="0095086C" w:rsidRPr="00B276EB" w:rsidRDefault="0095086C" w:rsidP="003D1CA1">
            <w:pPr>
              <w:jc w:val="center"/>
              <w:rPr>
                <w:color w:val="000000"/>
                <w:sz w:val="16"/>
                <w:szCs w:val="16"/>
                <w:highlight w:val="yellow"/>
              </w:rPr>
            </w:pPr>
            <w:r w:rsidRPr="00B276EB">
              <w:rPr>
                <w:rFonts w:ascii="Calibri" w:hAnsi="Calibri" w:cs="Calibri"/>
                <w:color w:val="000000"/>
                <w:sz w:val="16"/>
                <w:szCs w:val="16"/>
              </w:rPr>
              <w:t>g=1.37 (1.33</w:t>
            </w:r>
            <w:r w:rsidR="00E45DB3">
              <w:rPr>
                <w:rFonts w:ascii="Calibri" w:hAnsi="Calibri" w:cs="Calibri"/>
                <w:color w:val="000000"/>
                <w:sz w:val="16"/>
                <w:szCs w:val="16"/>
              </w:rPr>
              <w:t>,</w:t>
            </w:r>
            <w:r w:rsidRPr="00B276EB">
              <w:rPr>
                <w:rFonts w:ascii="Calibri" w:hAnsi="Calibri" w:cs="Calibri"/>
                <w:color w:val="000000"/>
                <w:sz w:val="16"/>
                <w:szCs w:val="16"/>
              </w:rPr>
              <w:t xml:space="preserve"> 1.41)</w:t>
            </w:r>
          </w:p>
        </w:tc>
      </w:tr>
    </w:tbl>
    <w:p w14:paraId="16C56CAE" w14:textId="1520742F" w:rsidR="003C394D" w:rsidRPr="003D1CA1" w:rsidRDefault="009030FD" w:rsidP="003D1CA1">
      <w:pPr>
        <w:pStyle w:val="ANorm"/>
        <w:rPr>
          <w:sz w:val="13"/>
          <w:szCs w:val="13"/>
        </w:rPr>
      </w:pPr>
      <w:r w:rsidRPr="003D1CA1">
        <w:rPr>
          <w:sz w:val="13"/>
          <w:szCs w:val="13"/>
        </w:rPr>
        <w:t xml:space="preserve">CI, confidence interval; </w:t>
      </w:r>
      <w:r w:rsidR="001E50A2" w:rsidRPr="003D1CA1">
        <w:rPr>
          <w:sz w:val="13"/>
          <w:szCs w:val="13"/>
        </w:rPr>
        <w:t xml:space="preserve">ESB, </w:t>
      </w:r>
      <w:r w:rsidR="00797FE5" w:rsidRPr="003D1CA1">
        <w:rPr>
          <w:sz w:val="13"/>
          <w:szCs w:val="13"/>
        </w:rPr>
        <w:t xml:space="preserve">migrant of an English-speaking background; </w:t>
      </w:r>
      <w:r w:rsidR="00810942" w:rsidRPr="003D1CA1">
        <w:rPr>
          <w:sz w:val="13"/>
          <w:szCs w:val="13"/>
        </w:rPr>
        <w:t>GAD-7,</w:t>
      </w:r>
      <w:r w:rsidR="00797FE5" w:rsidRPr="003D1CA1">
        <w:rPr>
          <w:sz w:val="13"/>
          <w:szCs w:val="13"/>
        </w:rPr>
        <w:t xml:space="preserve"> Generalised Anxiety Disorder 7-item Scale</w:t>
      </w:r>
      <w:r w:rsidR="00810942" w:rsidRPr="003D1CA1">
        <w:rPr>
          <w:sz w:val="13"/>
          <w:szCs w:val="13"/>
        </w:rPr>
        <w:t>;</w:t>
      </w:r>
      <w:r w:rsidR="00797FE5" w:rsidRPr="003D1CA1">
        <w:rPr>
          <w:sz w:val="13"/>
          <w:szCs w:val="13"/>
        </w:rPr>
        <w:t xml:space="preserve"> </w:t>
      </w:r>
      <w:proofErr w:type="spellStart"/>
      <w:r w:rsidR="00810942" w:rsidRPr="003D1CA1">
        <w:rPr>
          <w:sz w:val="13"/>
          <w:szCs w:val="13"/>
        </w:rPr>
        <w:t>iCB</w:t>
      </w:r>
      <w:r w:rsidR="00797FE5" w:rsidRPr="003D1CA1">
        <w:rPr>
          <w:sz w:val="13"/>
          <w:szCs w:val="13"/>
        </w:rPr>
        <w:t>T</w:t>
      </w:r>
      <w:proofErr w:type="spellEnd"/>
      <w:r w:rsidR="00810942" w:rsidRPr="003D1CA1">
        <w:rPr>
          <w:sz w:val="13"/>
          <w:szCs w:val="13"/>
        </w:rPr>
        <w:t xml:space="preserve">, </w:t>
      </w:r>
      <w:r w:rsidR="00797FE5" w:rsidRPr="003D1CA1">
        <w:rPr>
          <w:sz w:val="13"/>
          <w:szCs w:val="13"/>
        </w:rPr>
        <w:t xml:space="preserve">internet cognitive behavioural therapy; </w:t>
      </w:r>
      <w:r w:rsidR="00810942" w:rsidRPr="003D1CA1">
        <w:rPr>
          <w:sz w:val="13"/>
          <w:szCs w:val="13"/>
        </w:rPr>
        <w:t>K10, Kessler</w:t>
      </w:r>
      <w:r w:rsidR="00797FE5" w:rsidRPr="003D1CA1">
        <w:rPr>
          <w:sz w:val="13"/>
          <w:szCs w:val="13"/>
        </w:rPr>
        <w:t xml:space="preserve"> Psychological Distress </w:t>
      </w:r>
      <w:r w:rsidR="00810942" w:rsidRPr="003D1CA1">
        <w:rPr>
          <w:sz w:val="13"/>
          <w:szCs w:val="13"/>
        </w:rPr>
        <w:t>10</w:t>
      </w:r>
      <w:r w:rsidR="00797FE5" w:rsidRPr="003D1CA1">
        <w:rPr>
          <w:sz w:val="13"/>
          <w:szCs w:val="13"/>
        </w:rPr>
        <w:t>-Item Scale</w:t>
      </w:r>
      <w:r w:rsidR="00810942" w:rsidRPr="003D1CA1">
        <w:rPr>
          <w:sz w:val="13"/>
          <w:szCs w:val="13"/>
        </w:rPr>
        <w:t xml:space="preserve">; </w:t>
      </w:r>
      <w:r w:rsidR="00997844" w:rsidRPr="003D1CA1">
        <w:rPr>
          <w:sz w:val="13"/>
          <w:szCs w:val="13"/>
        </w:rPr>
        <w:t xml:space="preserve">N/A, not applicable (because post-treatment score is only for a subset of consumers with baseline scores); </w:t>
      </w:r>
      <w:r w:rsidR="001E50A2" w:rsidRPr="003D1CA1">
        <w:rPr>
          <w:sz w:val="13"/>
          <w:szCs w:val="13"/>
        </w:rPr>
        <w:t xml:space="preserve">NESB, </w:t>
      </w:r>
      <w:r w:rsidR="00797FE5" w:rsidRPr="003D1CA1">
        <w:rPr>
          <w:sz w:val="13"/>
          <w:szCs w:val="13"/>
        </w:rPr>
        <w:t xml:space="preserve">migrant of a non-English speaking background; </w:t>
      </w:r>
      <w:r w:rsidR="00810942" w:rsidRPr="003D1CA1">
        <w:rPr>
          <w:sz w:val="13"/>
          <w:szCs w:val="13"/>
        </w:rPr>
        <w:t>PHQ-9, Patient Health Questionnaire-9</w:t>
      </w:r>
      <w:r w:rsidR="00997844" w:rsidRPr="003D1CA1">
        <w:rPr>
          <w:sz w:val="13"/>
          <w:szCs w:val="13"/>
        </w:rPr>
        <w:t>;</w:t>
      </w:r>
      <w:r w:rsidR="00810942" w:rsidRPr="003D1CA1">
        <w:rPr>
          <w:sz w:val="13"/>
          <w:szCs w:val="13"/>
        </w:rPr>
        <w:t>Post, post-treatment (5 modules over 8 weeks)</w:t>
      </w:r>
      <w:r w:rsidR="009F0B4F" w:rsidRPr="003D1CA1">
        <w:rPr>
          <w:sz w:val="13"/>
          <w:szCs w:val="13"/>
        </w:rPr>
        <w:t>; SD, standard deviation</w:t>
      </w:r>
      <w:r w:rsidR="003E7B7D" w:rsidRPr="003D1CA1">
        <w:rPr>
          <w:sz w:val="13"/>
          <w:szCs w:val="13"/>
        </w:rPr>
        <w:t>.</w:t>
      </w:r>
    </w:p>
    <w:p w14:paraId="1D29A6E1" w14:textId="4B82AFD3" w:rsidR="0076527F" w:rsidRPr="003D1CA1" w:rsidRDefault="00F903F4" w:rsidP="003D1CA1">
      <w:pPr>
        <w:pStyle w:val="ANorm"/>
        <w:rPr>
          <w:rFonts w:asciiTheme="minorHAnsi" w:hAnsiTheme="minorHAnsi" w:cstheme="minorHAnsi"/>
          <w:sz w:val="13"/>
          <w:szCs w:val="13"/>
        </w:rPr>
      </w:pPr>
      <w:proofErr w:type="spellStart"/>
      <w:r w:rsidRPr="003D1CA1">
        <w:rPr>
          <w:sz w:val="13"/>
          <w:szCs w:val="13"/>
          <w:vertAlign w:val="superscript"/>
        </w:rPr>
        <w:t>a</w:t>
      </w:r>
      <w:r w:rsidR="0076527F" w:rsidRPr="003D1CA1">
        <w:rPr>
          <w:rFonts w:asciiTheme="minorHAnsi" w:hAnsiTheme="minorHAnsi" w:cstheme="minorHAnsi"/>
          <w:sz w:val="13"/>
          <w:szCs w:val="13"/>
        </w:rPr>
        <w:t>Data</w:t>
      </w:r>
      <w:proofErr w:type="spellEnd"/>
      <w:r w:rsidR="0076527F" w:rsidRPr="003D1CA1">
        <w:rPr>
          <w:rFonts w:asciiTheme="minorHAnsi" w:hAnsiTheme="minorHAnsi" w:cstheme="minorHAnsi"/>
          <w:sz w:val="13"/>
          <w:szCs w:val="13"/>
        </w:rPr>
        <w:t xml:space="preserve"> directly provided by </w:t>
      </w:r>
      <w:proofErr w:type="spellStart"/>
      <w:r w:rsidR="0076527F" w:rsidRPr="003D1CA1">
        <w:rPr>
          <w:rFonts w:asciiTheme="minorHAnsi" w:hAnsiTheme="minorHAnsi" w:cstheme="minorHAnsi"/>
          <w:sz w:val="13"/>
          <w:szCs w:val="13"/>
        </w:rPr>
        <w:t>MindSpot</w:t>
      </w:r>
      <w:proofErr w:type="spellEnd"/>
      <w:r w:rsidR="0076527F" w:rsidRPr="003D1CA1">
        <w:rPr>
          <w:rFonts w:asciiTheme="minorHAnsi" w:hAnsiTheme="minorHAnsi" w:cstheme="minorHAnsi"/>
          <w:sz w:val="13"/>
          <w:szCs w:val="13"/>
        </w:rPr>
        <w:t xml:space="preserve">, </w:t>
      </w:r>
      <w:r w:rsidR="00EE6D86" w:rsidRPr="003D1CA1">
        <w:rPr>
          <w:rFonts w:asciiTheme="minorHAnsi" w:hAnsiTheme="minorHAnsi" w:cstheme="minorHAnsi"/>
          <w:sz w:val="13"/>
          <w:szCs w:val="13"/>
        </w:rPr>
        <w:t xml:space="preserve">all treatment courses, </w:t>
      </w:r>
      <w:r w:rsidR="0076527F" w:rsidRPr="003D1CA1">
        <w:rPr>
          <w:rFonts w:asciiTheme="minorHAnsi" w:hAnsiTheme="minorHAnsi" w:cstheme="minorHAnsi"/>
          <w:sz w:val="13"/>
          <w:szCs w:val="13"/>
        </w:rPr>
        <w:t>January 2013 – June 2021</w:t>
      </w:r>
      <w:r w:rsidR="001A23A8" w:rsidRPr="003D1CA1">
        <w:rPr>
          <w:rFonts w:asciiTheme="minorHAnsi" w:hAnsiTheme="minorHAnsi" w:cstheme="minorHAnsi"/>
          <w:sz w:val="13"/>
          <w:szCs w:val="13"/>
        </w:rPr>
        <w:t>.</w:t>
      </w:r>
      <w:r w:rsidR="000245D6" w:rsidRPr="003D1CA1">
        <w:rPr>
          <w:rFonts w:asciiTheme="minorHAnsi" w:hAnsiTheme="minorHAnsi" w:cstheme="minorHAnsi"/>
          <w:sz w:val="13"/>
          <w:szCs w:val="13"/>
        </w:rPr>
        <w:t xml:space="preserve"> For each 6-month period, the mean and SD of each outcome were provided, as well as the number of people used to calculate these. </w:t>
      </w:r>
      <w:r w:rsidR="00FA4096" w:rsidRPr="003D1CA1">
        <w:rPr>
          <w:rFonts w:asciiTheme="minorHAnsi" w:hAnsiTheme="minorHAnsi" w:cstheme="minorHAnsi"/>
          <w:sz w:val="13"/>
          <w:szCs w:val="13"/>
        </w:rPr>
        <w:t>We used t</w:t>
      </w:r>
      <w:r w:rsidR="000245D6" w:rsidRPr="003D1CA1">
        <w:rPr>
          <w:rFonts w:asciiTheme="minorHAnsi" w:hAnsiTheme="minorHAnsi" w:cstheme="minorHAnsi"/>
          <w:sz w:val="13"/>
          <w:szCs w:val="13"/>
        </w:rPr>
        <w:t>he 6-month means to calculate a grand (overall) weighted mean. Using this approach, more weight is given to means from later time periods where there were more people.</w:t>
      </w:r>
      <w:r w:rsidR="005C7835" w:rsidRPr="003D1CA1">
        <w:rPr>
          <w:rFonts w:asciiTheme="minorHAnsi" w:hAnsiTheme="minorHAnsi" w:cstheme="minorHAnsi"/>
          <w:sz w:val="13"/>
          <w:szCs w:val="13"/>
        </w:rPr>
        <w:t xml:space="preserve"> The SDs for the 6-month periods varied little over the total time available (e</w:t>
      </w:r>
      <w:r w:rsidR="002045CC" w:rsidRPr="003D1CA1">
        <w:rPr>
          <w:rFonts w:asciiTheme="minorHAnsi" w:hAnsiTheme="minorHAnsi" w:cstheme="minorHAnsi"/>
          <w:sz w:val="13"/>
          <w:szCs w:val="13"/>
        </w:rPr>
        <w:t>.</w:t>
      </w:r>
      <w:r w:rsidR="005C7835" w:rsidRPr="003D1CA1">
        <w:rPr>
          <w:rFonts w:asciiTheme="minorHAnsi" w:hAnsiTheme="minorHAnsi" w:cstheme="minorHAnsi"/>
          <w:sz w:val="13"/>
          <w:szCs w:val="13"/>
        </w:rPr>
        <w:t>g</w:t>
      </w:r>
      <w:r w:rsidR="002045CC" w:rsidRPr="003D1CA1">
        <w:rPr>
          <w:rFonts w:asciiTheme="minorHAnsi" w:hAnsiTheme="minorHAnsi" w:cstheme="minorHAnsi"/>
          <w:sz w:val="13"/>
          <w:szCs w:val="13"/>
        </w:rPr>
        <w:t>.,</w:t>
      </w:r>
      <w:r w:rsidR="005C7835" w:rsidRPr="003D1CA1">
        <w:rPr>
          <w:rFonts w:asciiTheme="minorHAnsi" w:hAnsiTheme="minorHAnsi" w:cstheme="minorHAnsi"/>
          <w:sz w:val="13"/>
          <w:szCs w:val="13"/>
        </w:rPr>
        <w:t xml:space="preserve"> for </w:t>
      </w:r>
      <w:r w:rsidR="002045CC" w:rsidRPr="003D1CA1">
        <w:rPr>
          <w:rFonts w:asciiTheme="minorHAnsi" w:hAnsiTheme="minorHAnsi" w:cstheme="minorHAnsi"/>
          <w:sz w:val="13"/>
          <w:szCs w:val="13"/>
        </w:rPr>
        <w:t>b</w:t>
      </w:r>
      <w:r w:rsidR="005C7835" w:rsidRPr="003D1CA1">
        <w:rPr>
          <w:rFonts w:asciiTheme="minorHAnsi" w:hAnsiTheme="minorHAnsi" w:cstheme="minorHAnsi"/>
          <w:sz w:val="13"/>
          <w:szCs w:val="13"/>
        </w:rPr>
        <w:t>aseline PHQ-9 from a minimum of 6.1 to a maximum of 6.6). The weighted average of the SDs was therefore also estimated to give an indication of the typical SD for a 6-month period.</w:t>
      </w:r>
    </w:p>
    <w:p w14:paraId="6B70E4C2" w14:textId="5FE0F7E4" w:rsidR="00F903F4" w:rsidRPr="003D1CA1" w:rsidRDefault="00F903F4" w:rsidP="003D1CA1">
      <w:pPr>
        <w:pStyle w:val="ANorm"/>
        <w:rPr>
          <w:sz w:val="13"/>
          <w:szCs w:val="13"/>
        </w:rPr>
      </w:pPr>
      <w:proofErr w:type="spellStart"/>
      <w:r w:rsidRPr="00780511">
        <w:rPr>
          <w:sz w:val="13"/>
          <w:szCs w:val="13"/>
          <w:vertAlign w:val="superscript"/>
        </w:rPr>
        <w:t>b</w:t>
      </w:r>
      <w:r w:rsidRPr="00780511">
        <w:rPr>
          <w:sz w:val="13"/>
          <w:szCs w:val="13"/>
        </w:rPr>
        <w:t>Sourced</w:t>
      </w:r>
      <w:proofErr w:type="spellEnd"/>
      <w:r w:rsidRPr="00780511">
        <w:rPr>
          <w:sz w:val="13"/>
          <w:szCs w:val="13"/>
        </w:rPr>
        <w:t xml:space="preserve"> from </w:t>
      </w:r>
      <w:proofErr w:type="spellStart"/>
      <w:r w:rsidRPr="00780511">
        <w:rPr>
          <w:sz w:val="13"/>
          <w:szCs w:val="13"/>
        </w:rPr>
        <w:t>Titov</w:t>
      </w:r>
      <w:proofErr w:type="spellEnd"/>
      <w:r w:rsidRPr="00780511">
        <w:rPr>
          <w:sz w:val="13"/>
          <w:szCs w:val="13"/>
        </w:rPr>
        <w:t xml:space="preserve"> </w:t>
      </w:r>
      <w:r w:rsidR="0065750D" w:rsidRPr="00780511">
        <w:rPr>
          <w:sz w:val="13"/>
          <w:szCs w:val="13"/>
        </w:rPr>
        <w:t>et al</w:t>
      </w:r>
      <w:r w:rsidRPr="00780511">
        <w:rPr>
          <w:sz w:val="13"/>
          <w:szCs w:val="13"/>
        </w:rPr>
        <w:t xml:space="preserve"> </w:t>
      </w:r>
      <w:r w:rsidRPr="003D1CA1">
        <w:rPr>
          <w:sz w:val="13"/>
          <w:szCs w:val="13"/>
        </w:rPr>
        <w:t xml:space="preserve">(2020) observational study of consumers registered with </w:t>
      </w:r>
      <w:proofErr w:type="spellStart"/>
      <w:r w:rsidRPr="003D1CA1">
        <w:rPr>
          <w:sz w:val="13"/>
          <w:szCs w:val="13"/>
        </w:rPr>
        <w:t>MindSpot</w:t>
      </w:r>
      <w:proofErr w:type="spellEnd"/>
      <w:r w:rsidRPr="003D1CA1">
        <w:rPr>
          <w:sz w:val="13"/>
          <w:szCs w:val="13"/>
        </w:rPr>
        <w:t xml:space="preserve"> over its first 7 year of operation, January 2013 – December 2019.</w:t>
      </w:r>
      <w:r w:rsidR="00B81CB1" w:rsidRPr="003D1CA1">
        <w:rPr>
          <w:sz w:val="13"/>
          <w:szCs w:val="13"/>
        </w:rPr>
        <w:fldChar w:fldCharType="begin"/>
      </w:r>
      <w:r w:rsidR="004469A2">
        <w:rPr>
          <w:sz w:val="13"/>
          <w:szCs w:val="13"/>
        </w:rPr>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00B81CB1" w:rsidRPr="003D1CA1">
        <w:rPr>
          <w:sz w:val="13"/>
          <w:szCs w:val="13"/>
        </w:rPr>
        <w:fldChar w:fldCharType="separate"/>
      </w:r>
      <w:r w:rsidR="004469A2" w:rsidRPr="004469A2">
        <w:rPr>
          <w:noProof/>
          <w:sz w:val="13"/>
          <w:szCs w:val="13"/>
          <w:vertAlign w:val="superscript"/>
        </w:rPr>
        <w:t>7</w:t>
      </w:r>
      <w:r w:rsidR="00B81CB1" w:rsidRPr="003D1CA1">
        <w:rPr>
          <w:sz w:val="13"/>
          <w:szCs w:val="13"/>
        </w:rPr>
        <w:fldChar w:fldCharType="end"/>
      </w:r>
    </w:p>
    <w:p w14:paraId="5778C8E7" w14:textId="2F64A2C3" w:rsidR="00294C13" w:rsidRPr="003D1CA1" w:rsidRDefault="00F903F4" w:rsidP="003D1CA1">
      <w:pPr>
        <w:pStyle w:val="ANorm"/>
        <w:rPr>
          <w:rFonts w:asciiTheme="minorHAnsi" w:hAnsiTheme="minorHAnsi" w:cstheme="minorHAnsi"/>
          <w:sz w:val="13"/>
          <w:szCs w:val="13"/>
        </w:rPr>
      </w:pPr>
      <w:proofErr w:type="spellStart"/>
      <w:r w:rsidRPr="003D1CA1">
        <w:rPr>
          <w:rFonts w:asciiTheme="minorHAnsi" w:hAnsiTheme="minorHAnsi" w:cstheme="minorHAnsi"/>
          <w:sz w:val="13"/>
          <w:szCs w:val="13"/>
          <w:vertAlign w:val="superscript"/>
        </w:rPr>
        <w:t>c</w:t>
      </w:r>
      <w:r w:rsidR="00294C13" w:rsidRPr="003D1CA1">
        <w:rPr>
          <w:rFonts w:asciiTheme="minorHAnsi" w:hAnsiTheme="minorHAnsi" w:cstheme="minorHAnsi"/>
          <w:sz w:val="13"/>
          <w:szCs w:val="13"/>
        </w:rPr>
        <w:t>As</w:t>
      </w:r>
      <w:proofErr w:type="spellEnd"/>
      <w:r w:rsidR="00294C13" w:rsidRPr="003D1CA1">
        <w:rPr>
          <w:rFonts w:asciiTheme="minorHAnsi" w:hAnsiTheme="minorHAnsi" w:cstheme="minorHAnsi"/>
          <w:sz w:val="13"/>
          <w:szCs w:val="13"/>
        </w:rPr>
        <w:t xml:space="preserve"> assessed using K10+</w:t>
      </w:r>
      <w:r w:rsidR="002045CC" w:rsidRPr="003D1CA1">
        <w:rPr>
          <w:rFonts w:asciiTheme="minorHAnsi" w:hAnsiTheme="minorHAnsi" w:cstheme="minorHAnsi"/>
          <w:sz w:val="13"/>
          <w:szCs w:val="13"/>
        </w:rPr>
        <w:t>.</w:t>
      </w:r>
      <w:r w:rsidR="00B81CB1" w:rsidRPr="003D1CA1">
        <w:rPr>
          <w:rFonts w:asciiTheme="minorHAnsi" w:hAnsiTheme="minorHAnsi" w:cstheme="minorHAnsi"/>
          <w:sz w:val="13"/>
          <w:szCs w:val="13"/>
        </w:rPr>
        <w:fldChar w:fldCharType="begin"/>
      </w:r>
      <w:r w:rsidR="004469A2">
        <w:rPr>
          <w:rFonts w:asciiTheme="minorHAnsi" w:hAnsiTheme="minorHAnsi" w:cstheme="minorHAnsi"/>
          <w:sz w:val="13"/>
          <w:szCs w:val="13"/>
        </w:rPr>
        <w:instrText xml:space="preserve"> ADDIN EN.CITE &lt;EndNote&gt;&lt;Cite&gt;&lt;Author&gt;Australian Mental Health Outcomes and Classification Network&lt;/Author&gt;&lt;Year&gt;2022&lt;/Year&gt;&lt;RecNum&gt;156&lt;/RecNum&gt;&lt;DisplayText&gt;&lt;style face="superscript"&gt;55&lt;/style&gt;&lt;/DisplayText&gt;&lt;record&gt;&lt;rec-number&gt;156&lt;/rec-number&gt;&lt;foreign-keys&gt;&lt;key app="EN" db-id="dawtr0zrkrzfa5edzzlpe2we0xa00t90vvr2" timestamp="1654329440"&gt;156&lt;/key&gt;&lt;/foreign-keys&gt;&lt;ref-type name="Web Page"&gt;12&lt;/ref-type&gt;&lt;contributors&gt;&lt;authors&gt;&lt;author&gt;Australian Mental Health Outcomes and Classification Network,&lt;/author&gt;&lt;/authors&gt;&lt;/contributors&gt;&lt;titles&gt;&lt;title&gt;Kessler-10+&lt;/title&gt;&lt;/titles&gt;&lt;number&gt;4 June 2022&lt;/number&gt;&lt;dates&gt;&lt;year&gt;2022&lt;/year&gt;&lt;/dates&gt;&lt;publisher&gt;Australian Mental Health Outcomes and Classification Network&lt;/publisher&gt;&lt;urls&gt;&lt;related-urls&gt;&lt;url&gt;https://www.amhocn.org/publications/kessler-10&lt;/url&gt;&lt;/related-urls&gt;&lt;/urls&gt;&lt;/record&gt;&lt;/Cite&gt;&lt;/EndNote&gt;</w:instrText>
      </w:r>
      <w:r w:rsidR="00B81CB1" w:rsidRPr="003D1CA1">
        <w:rPr>
          <w:rFonts w:asciiTheme="minorHAnsi" w:hAnsiTheme="minorHAnsi" w:cstheme="minorHAnsi"/>
          <w:sz w:val="13"/>
          <w:szCs w:val="13"/>
        </w:rPr>
        <w:fldChar w:fldCharType="separate"/>
      </w:r>
      <w:r w:rsidR="004469A2" w:rsidRPr="004469A2">
        <w:rPr>
          <w:rFonts w:asciiTheme="minorHAnsi" w:hAnsiTheme="minorHAnsi" w:cstheme="minorHAnsi"/>
          <w:noProof/>
          <w:sz w:val="13"/>
          <w:szCs w:val="13"/>
          <w:vertAlign w:val="superscript"/>
        </w:rPr>
        <w:t>55</w:t>
      </w:r>
      <w:r w:rsidR="00B81CB1" w:rsidRPr="003D1CA1">
        <w:rPr>
          <w:rFonts w:asciiTheme="minorHAnsi" w:hAnsiTheme="minorHAnsi" w:cstheme="minorHAnsi"/>
          <w:sz w:val="13"/>
          <w:szCs w:val="13"/>
        </w:rPr>
        <w:fldChar w:fldCharType="end"/>
      </w:r>
    </w:p>
    <w:p w14:paraId="2D751BCD" w14:textId="433E1A75" w:rsidR="00AF48F4" w:rsidRPr="003D1CA1" w:rsidRDefault="00E76F1E" w:rsidP="003D1CA1">
      <w:pPr>
        <w:pStyle w:val="ANorm"/>
        <w:rPr>
          <w:rFonts w:asciiTheme="minorHAnsi" w:hAnsiTheme="minorHAnsi" w:cstheme="minorHAnsi"/>
          <w:sz w:val="13"/>
          <w:szCs w:val="13"/>
        </w:rPr>
      </w:pPr>
      <w:proofErr w:type="spellStart"/>
      <w:r w:rsidRPr="00780511">
        <w:rPr>
          <w:rFonts w:asciiTheme="minorHAnsi" w:hAnsiTheme="minorHAnsi" w:cstheme="minorHAnsi"/>
          <w:sz w:val="13"/>
          <w:szCs w:val="13"/>
          <w:vertAlign w:val="superscript"/>
        </w:rPr>
        <w:t>d</w:t>
      </w:r>
      <w:r w:rsidR="00AF48F4" w:rsidRPr="00780511">
        <w:rPr>
          <w:rFonts w:asciiTheme="minorHAnsi" w:hAnsiTheme="minorHAnsi" w:cstheme="minorHAnsi"/>
          <w:sz w:val="13"/>
          <w:szCs w:val="13"/>
        </w:rPr>
        <w:t>Sourced</w:t>
      </w:r>
      <w:proofErr w:type="spellEnd"/>
      <w:r w:rsidR="00AF48F4" w:rsidRPr="00780511">
        <w:rPr>
          <w:rFonts w:asciiTheme="minorHAnsi" w:hAnsiTheme="minorHAnsi" w:cstheme="minorHAnsi"/>
          <w:sz w:val="13"/>
          <w:szCs w:val="13"/>
        </w:rPr>
        <w:t xml:space="preserve"> from Staples </w:t>
      </w:r>
      <w:r w:rsidR="0065750D" w:rsidRPr="00780511">
        <w:rPr>
          <w:rFonts w:asciiTheme="minorHAnsi" w:hAnsiTheme="minorHAnsi" w:cstheme="minorHAnsi"/>
          <w:sz w:val="13"/>
          <w:szCs w:val="13"/>
        </w:rPr>
        <w:t>et al</w:t>
      </w:r>
      <w:r w:rsidR="00AF48F4" w:rsidRPr="00780511">
        <w:rPr>
          <w:rFonts w:asciiTheme="minorHAnsi" w:hAnsiTheme="minorHAnsi" w:cstheme="minorHAnsi"/>
          <w:sz w:val="13"/>
          <w:szCs w:val="13"/>
        </w:rPr>
        <w:t xml:space="preserve"> </w:t>
      </w:r>
      <w:r w:rsidR="00AF48F4" w:rsidRPr="003D1CA1">
        <w:rPr>
          <w:rFonts w:asciiTheme="minorHAnsi" w:hAnsiTheme="minorHAnsi" w:cstheme="minorHAnsi"/>
          <w:sz w:val="13"/>
          <w:szCs w:val="13"/>
        </w:rPr>
        <w:t>(2019)</w:t>
      </w:r>
      <w:r w:rsidR="005837BE" w:rsidRPr="003D1CA1">
        <w:rPr>
          <w:rFonts w:asciiTheme="minorHAnsi" w:hAnsiTheme="minorHAnsi" w:cstheme="minorHAnsi"/>
          <w:sz w:val="13"/>
          <w:szCs w:val="13"/>
        </w:rPr>
        <w:t xml:space="preserve"> comparison of outcomes of </w:t>
      </w:r>
      <w:r w:rsidR="00872D9A" w:rsidRPr="003D1CA1">
        <w:rPr>
          <w:rFonts w:asciiTheme="minorHAnsi" w:hAnsiTheme="minorHAnsi" w:cstheme="minorHAnsi"/>
          <w:sz w:val="13"/>
          <w:szCs w:val="13"/>
        </w:rPr>
        <w:t xml:space="preserve">Mood Mechanic, </w:t>
      </w:r>
      <w:r w:rsidR="005837BE" w:rsidRPr="003D1CA1">
        <w:rPr>
          <w:rFonts w:asciiTheme="minorHAnsi" w:hAnsiTheme="minorHAnsi" w:cstheme="minorHAnsi"/>
          <w:sz w:val="13"/>
          <w:szCs w:val="13"/>
        </w:rPr>
        <w:t xml:space="preserve">a transdiagnostic </w:t>
      </w:r>
      <w:r w:rsidR="00B555CE" w:rsidRPr="003D1CA1">
        <w:rPr>
          <w:rFonts w:asciiTheme="minorHAnsi" w:hAnsiTheme="minorHAnsi" w:cstheme="minorHAnsi"/>
          <w:sz w:val="13"/>
          <w:szCs w:val="13"/>
        </w:rPr>
        <w:t>course</w:t>
      </w:r>
      <w:r w:rsidR="00872D9A" w:rsidRPr="003D1CA1">
        <w:rPr>
          <w:rFonts w:asciiTheme="minorHAnsi" w:hAnsiTheme="minorHAnsi" w:cstheme="minorHAnsi"/>
          <w:sz w:val="13"/>
          <w:szCs w:val="13"/>
        </w:rPr>
        <w:t>,</w:t>
      </w:r>
      <w:r w:rsidR="005837BE" w:rsidRPr="003D1CA1">
        <w:rPr>
          <w:rFonts w:asciiTheme="minorHAnsi" w:hAnsiTheme="minorHAnsi" w:cstheme="minorHAnsi"/>
          <w:sz w:val="13"/>
          <w:szCs w:val="13"/>
        </w:rPr>
        <w:t xml:space="preserve"> for young adults </w:t>
      </w:r>
      <w:r w:rsidR="00D82294" w:rsidRPr="003D1CA1">
        <w:rPr>
          <w:rFonts w:asciiTheme="minorHAnsi" w:hAnsiTheme="minorHAnsi" w:cstheme="minorHAnsi"/>
          <w:sz w:val="13"/>
          <w:szCs w:val="13"/>
        </w:rPr>
        <w:t xml:space="preserve">(18-24 years) </w:t>
      </w:r>
      <w:r w:rsidR="005837BE" w:rsidRPr="003D1CA1">
        <w:rPr>
          <w:rFonts w:asciiTheme="minorHAnsi" w:hAnsiTheme="minorHAnsi" w:cstheme="minorHAnsi"/>
          <w:sz w:val="13"/>
          <w:szCs w:val="13"/>
        </w:rPr>
        <w:t xml:space="preserve">with anxiety and depression provided in </w:t>
      </w:r>
      <w:proofErr w:type="spellStart"/>
      <w:r w:rsidR="005837BE" w:rsidRPr="003D1CA1">
        <w:rPr>
          <w:rFonts w:asciiTheme="minorHAnsi" w:hAnsiTheme="minorHAnsi" w:cstheme="minorHAnsi"/>
          <w:sz w:val="13"/>
          <w:szCs w:val="13"/>
        </w:rPr>
        <w:t>MindSpot</w:t>
      </w:r>
      <w:proofErr w:type="spellEnd"/>
      <w:r w:rsidR="005837BE" w:rsidRPr="003D1CA1">
        <w:rPr>
          <w:rFonts w:asciiTheme="minorHAnsi" w:hAnsiTheme="minorHAnsi" w:cstheme="minorHAnsi"/>
          <w:sz w:val="13"/>
          <w:szCs w:val="13"/>
        </w:rPr>
        <w:t xml:space="preserve"> </w:t>
      </w:r>
      <w:r w:rsidR="001A23A8" w:rsidRPr="003D1CA1">
        <w:rPr>
          <w:rFonts w:asciiTheme="minorHAnsi" w:hAnsiTheme="minorHAnsi" w:cstheme="minorHAnsi"/>
          <w:sz w:val="13"/>
          <w:szCs w:val="13"/>
        </w:rPr>
        <w:t xml:space="preserve">(January – June 2016) </w:t>
      </w:r>
      <w:r w:rsidR="00872D9A" w:rsidRPr="003D1CA1">
        <w:rPr>
          <w:rFonts w:asciiTheme="minorHAnsi" w:hAnsiTheme="minorHAnsi" w:cstheme="minorHAnsi"/>
          <w:sz w:val="13"/>
          <w:szCs w:val="13"/>
        </w:rPr>
        <w:t>and</w:t>
      </w:r>
      <w:r w:rsidR="005837BE" w:rsidRPr="003D1CA1">
        <w:rPr>
          <w:rFonts w:asciiTheme="minorHAnsi" w:hAnsiTheme="minorHAnsi" w:cstheme="minorHAnsi"/>
          <w:sz w:val="13"/>
          <w:szCs w:val="13"/>
        </w:rPr>
        <w:t xml:space="preserve"> a research trial.</w:t>
      </w:r>
      <w:r w:rsidR="00B81CB1" w:rsidRPr="003D1CA1">
        <w:rPr>
          <w:rFonts w:asciiTheme="minorHAnsi" w:hAnsiTheme="minorHAnsi" w:cstheme="minorHAnsi"/>
          <w:sz w:val="13"/>
          <w:szCs w:val="13"/>
        </w:rPr>
        <w:fldChar w:fldCharType="begin"/>
      </w:r>
      <w:r w:rsidR="004469A2">
        <w:rPr>
          <w:rFonts w:asciiTheme="minorHAnsi" w:hAnsiTheme="minorHAnsi" w:cstheme="minorHAnsi"/>
          <w:sz w:val="13"/>
          <w:szCs w:val="13"/>
        </w:rPr>
        <w:instrText xml:space="preserve"> ADDIN EN.CITE &lt;EndNote&gt;&lt;Cite&gt;&lt;Author&gt;Staples&lt;/Author&gt;&lt;Year&gt;2019&lt;/Year&gt;&lt;RecNum&gt;140&lt;/RecNum&gt;&lt;DisplayText&gt;&lt;style face="superscript"&gt;64&lt;/style&gt;&lt;/DisplayText&gt;&lt;record&gt;&lt;rec-number&gt;140&lt;/rec-number&gt;&lt;foreign-keys&gt;&lt;key app="EN" db-id="dawtr0zrkrzfa5edzzlpe2we0xa00t90vvr2" timestamp="1650433982"&gt;140&lt;/key&gt;&lt;/foreign-keys&gt;&lt;ref-type name="Journal Article"&gt;17&lt;/ref-type&gt;&lt;contributors&gt;&lt;authors&gt;&lt;author&gt;Staples, Lauren G&lt;/author&gt;&lt;author&gt;Dear, Blake F&lt;/author&gt;&lt;author&gt;Johnson, Bareena&lt;/author&gt;&lt;author&gt;Fogliati, Vincent&lt;/author&gt;&lt;author&gt;Gandy, Milena&lt;/author&gt;&lt;author&gt;Fogliati, Rhiannon&lt;/author&gt;&lt;author&gt;Nielssen, Olav&lt;/author&gt;&lt;author&gt;Titov, Nickolai&lt;/author&gt;&lt;/authors&gt;&lt;/contributors&gt;&lt;titles&gt;&lt;title&gt;Internet-delivered treatment for young adults with anxiety and depression: Evaluation in routine clinical care and comparison with research trial outcomes&lt;/title&gt;&lt;secondary-title&gt;Journal of Affective Disorders&lt;/secondary-title&gt;&lt;/titles&gt;&lt;periodical&gt;&lt;full-title&gt;Journal of Affective Disorders&lt;/full-title&gt;&lt;/periodical&gt;&lt;pages&gt;103-109&lt;/pages&gt;&lt;volume&gt;256&lt;/volume&gt;&lt;dates&gt;&lt;year&gt;2019&lt;/year&gt;&lt;/dates&gt;&lt;isbn&gt;0165-0327&lt;/isbn&gt;&lt;urls&gt;&lt;/urls&gt;&lt;/record&gt;&lt;/Cite&gt;&lt;/EndNote&gt;</w:instrText>
      </w:r>
      <w:r w:rsidR="00B81CB1" w:rsidRPr="003D1CA1">
        <w:rPr>
          <w:rFonts w:asciiTheme="minorHAnsi" w:hAnsiTheme="minorHAnsi" w:cstheme="minorHAnsi"/>
          <w:sz w:val="13"/>
          <w:szCs w:val="13"/>
        </w:rPr>
        <w:fldChar w:fldCharType="separate"/>
      </w:r>
      <w:r w:rsidR="004469A2" w:rsidRPr="004469A2">
        <w:rPr>
          <w:rFonts w:asciiTheme="minorHAnsi" w:hAnsiTheme="minorHAnsi" w:cstheme="minorHAnsi"/>
          <w:noProof/>
          <w:sz w:val="13"/>
          <w:szCs w:val="13"/>
          <w:vertAlign w:val="superscript"/>
        </w:rPr>
        <w:t>64</w:t>
      </w:r>
      <w:r w:rsidR="00B81CB1" w:rsidRPr="003D1CA1">
        <w:rPr>
          <w:rFonts w:asciiTheme="minorHAnsi" w:hAnsiTheme="minorHAnsi" w:cstheme="minorHAnsi"/>
          <w:sz w:val="13"/>
          <w:szCs w:val="13"/>
        </w:rPr>
        <w:fldChar w:fldCharType="end"/>
      </w:r>
    </w:p>
    <w:p w14:paraId="2EE66ACA" w14:textId="2AC48D8E" w:rsidR="00AF48F4" w:rsidRPr="003D1CA1" w:rsidRDefault="00E76F1E" w:rsidP="003D1CA1">
      <w:pPr>
        <w:pStyle w:val="ANorm"/>
        <w:rPr>
          <w:rFonts w:asciiTheme="minorHAnsi" w:hAnsiTheme="minorHAnsi" w:cstheme="minorHAnsi"/>
          <w:sz w:val="13"/>
          <w:szCs w:val="13"/>
        </w:rPr>
      </w:pPr>
      <w:proofErr w:type="spellStart"/>
      <w:r w:rsidRPr="00780511">
        <w:rPr>
          <w:rFonts w:asciiTheme="minorHAnsi" w:hAnsiTheme="minorHAnsi" w:cstheme="minorHAnsi"/>
          <w:sz w:val="13"/>
          <w:szCs w:val="13"/>
          <w:vertAlign w:val="superscript"/>
        </w:rPr>
        <w:t>e</w:t>
      </w:r>
      <w:r w:rsidR="009C78C6" w:rsidRPr="00780511">
        <w:rPr>
          <w:rFonts w:asciiTheme="minorHAnsi" w:hAnsiTheme="minorHAnsi" w:cstheme="minorHAnsi"/>
          <w:sz w:val="13"/>
          <w:szCs w:val="13"/>
        </w:rPr>
        <w:t>Sourced</w:t>
      </w:r>
      <w:proofErr w:type="spellEnd"/>
      <w:r w:rsidR="009C78C6" w:rsidRPr="00780511">
        <w:rPr>
          <w:rFonts w:asciiTheme="minorHAnsi" w:hAnsiTheme="minorHAnsi" w:cstheme="minorHAnsi"/>
          <w:sz w:val="13"/>
          <w:szCs w:val="13"/>
        </w:rPr>
        <w:t xml:space="preserve"> from Staples </w:t>
      </w:r>
      <w:r w:rsidR="0065750D" w:rsidRPr="00780511">
        <w:rPr>
          <w:rFonts w:asciiTheme="minorHAnsi" w:hAnsiTheme="minorHAnsi" w:cstheme="minorHAnsi"/>
          <w:sz w:val="13"/>
          <w:szCs w:val="13"/>
        </w:rPr>
        <w:t>et al</w:t>
      </w:r>
      <w:r w:rsidR="009C78C6" w:rsidRPr="00780511">
        <w:rPr>
          <w:rFonts w:asciiTheme="minorHAnsi" w:hAnsiTheme="minorHAnsi" w:cstheme="minorHAnsi"/>
          <w:sz w:val="13"/>
          <w:szCs w:val="13"/>
        </w:rPr>
        <w:t xml:space="preserve"> </w:t>
      </w:r>
      <w:r w:rsidR="009C78C6" w:rsidRPr="003D1CA1">
        <w:rPr>
          <w:rFonts w:asciiTheme="minorHAnsi" w:hAnsiTheme="minorHAnsi" w:cstheme="minorHAnsi"/>
          <w:sz w:val="13"/>
          <w:szCs w:val="13"/>
        </w:rPr>
        <w:t>(2016)</w:t>
      </w:r>
      <w:r w:rsidR="00EE6D86" w:rsidRPr="003D1CA1">
        <w:rPr>
          <w:rFonts w:asciiTheme="minorHAnsi" w:hAnsiTheme="minorHAnsi" w:cstheme="minorHAnsi"/>
          <w:sz w:val="13"/>
          <w:szCs w:val="13"/>
        </w:rPr>
        <w:t xml:space="preserve"> </w:t>
      </w:r>
      <w:r w:rsidR="00703588" w:rsidRPr="003D1CA1">
        <w:rPr>
          <w:rFonts w:asciiTheme="minorHAnsi" w:hAnsiTheme="minorHAnsi" w:cstheme="minorHAnsi"/>
          <w:sz w:val="13"/>
          <w:szCs w:val="13"/>
        </w:rPr>
        <w:t xml:space="preserve">comparison of effectiveness of the Wellbeing Plus Course (transdiagnostic course for </w:t>
      </w:r>
      <w:r w:rsidR="00D82294" w:rsidRPr="003D1CA1">
        <w:rPr>
          <w:rFonts w:asciiTheme="minorHAnsi" w:hAnsiTheme="minorHAnsi" w:cstheme="minorHAnsi"/>
          <w:sz w:val="13"/>
          <w:szCs w:val="13"/>
        </w:rPr>
        <w:t xml:space="preserve">adults aged </w:t>
      </w:r>
      <w:r w:rsidR="00703588" w:rsidRPr="003D1CA1">
        <w:rPr>
          <w:rFonts w:asciiTheme="minorHAnsi" w:hAnsiTheme="minorHAnsi" w:cstheme="minorHAnsi"/>
          <w:sz w:val="13"/>
          <w:szCs w:val="13"/>
        </w:rPr>
        <w:t>60+</w:t>
      </w:r>
      <w:r w:rsidR="00D82294" w:rsidRPr="003D1CA1">
        <w:rPr>
          <w:rFonts w:asciiTheme="minorHAnsi" w:hAnsiTheme="minorHAnsi" w:cstheme="minorHAnsi"/>
          <w:sz w:val="13"/>
          <w:szCs w:val="13"/>
        </w:rPr>
        <w:t xml:space="preserve"> years</w:t>
      </w:r>
      <w:r w:rsidR="00703588" w:rsidRPr="003D1CA1">
        <w:rPr>
          <w:rFonts w:asciiTheme="minorHAnsi" w:hAnsiTheme="minorHAnsi" w:cstheme="minorHAnsi"/>
          <w:sz w:val="13"/>
          <w:szCs w:val="13"/>
        </w:rPr>
        <w:t>) in routine care</w:t>
      </w:r>
      <w:r w:rsidR="001A23A8" w:rsidRPr="003D1CA1">
        <w:rPr>
          <w:rFonts w:asciiTheme="minorHAnsi" w:hAnsiTheme="minorHAnsi" w:cstheme="minorHAnsi"/>
          <w:sz w:val="13"/>
          <w:szCs w:val="13"/>
        </w:rPr>
        <w:t xml:space="preserve"> (January 2013 – June 2015)</w:t>
      </w:r>
      <w:r w:rsidR="00703588" w:rsidRPr="003D1CA1">
        <w:rPr>
          <w:rFonts w:asciiTheme="minorHAnsi" w:hAnsiTheme="minorHAnsi" w:cstheme="minorHAnsi"/>
          <w:sz w:val="13"/>
          <w:szCs w:val="13"/>
        </w:rPr>
        <w:t xml:space="preserve"> with its efficacy in a randomised controlled trial.</w:t>
      </w:r>
      <w:r w:rsidR="00B81CB1" w:rsidRPr="003D1CA1">
        <w:rPr>
          <w:rFonts w:asciiTheme="minorHAnsi" w:hAnsiTheme="minorHAnsi" w:cstheme="minorHAnsi"/>
          <w:sz w:val="13"/>
          <w:szCs w:val="13"/>
        </w:rPr>
        <w:fldChar w:fldCharType="begin"/>
      </w:r>
      <w:r w:rsidR="004469A2">
        <w:rPr>
          <w:rFonts w:asciiTheme="minorHAnsi" w:hAnsiTheme="minorHAnsi" w:cstheme="minorHAnsi"/>
          <w:sz w:val="13"/>
          <w:szCs w:val="13"/>
        </w:rPr>
        <w:instrText xml:space="preserve"> ADDIN EN.CITE &lt;EndNote&gt;&lt;Cite&gt;&lt;Author&gt;Staples&lt;/Author&gt;&lt;Year&gt;2016&lt;/Year&gt;&lt;RecNum&gt;139&lt;/RecNum&gt;&lt;DisplayText&gt;&lt;style face="superscript"&gt;65&lt;/style&gt;&lt;/DisplayText&gt;&lt;record&gt;&lt;rec-number&gt;139&lt;/rec-number&gt;&lt;foreign-keys&gt;&lt;key app="EN" db-id="dawtr0zrkrzfa5edzzlpe2we0xa00t90vvr2" timestamp="1650432507"&gt;139&lt;/key&gt;&lt;/foreign-keys&gt;&lt;ref-type name="Journal Article"&gt;17&lt;/ref-type&gt;&lt;contributors&gt;&lt;authors&gt;&lt;author&gt;Staples, Lauren G&lt;/author&gt;&lt;author&gt;Fogliati, Vincent J&lt;/author&gt;&lt;author&gt;Dear, Blake F&lt;/author&gt;&lt;author&gt;Nielssen, Olav&lt;/author&gt;&lt;author&gt;Titov, Nickolai&lt;/author&gt;&lt;/authors&gt;&lt;/contributors&gt;&lt;titles&gt;&lt;title&gt;Internet-delivered treatment for older adults with anxiety and depression: Implementation of the Wellbeing Plus Course in routine clinical care and comparison with research trial outcomes&lt;/title&gt;&lt;secondary-title&gt;BJPsych Open&lt;/secondary-title&gt;&lt;/titles&gt;&lt;periodical&gt;&lt;full-title&gt;BJPsych open&lt;/full-title&gt;&lt;/periodical&gt;&lt;pages&gt;307-313&lt;/pages&gt;&lt;volume&gt;2&lt;/volume&gt;&lt;number&gt;5&lt;/number&gt;&lt;dates&gt;&lt;year&gt;2016&lt;/year&gt;&lt;/dates&gt;&lt;isbn&gt;2056-4724&lt;/isbn&gt;&lt;urls&gt;&lt;/urls&gt;&lt;/record&gt;&lt;/Cite&gt;&lt;/EndNote&gt;</w:instrText>
      </w:r>
      <w:r w:rsidR="00B81CB1" w:rsidRPr="003D1CA1">
        <w:rPr>
          <w:rFonts w:asciiTheme="minorHAnsi" w:hAnsiTheme="minorHAnsi" w:cstheme="minorHAnsi"/>
          <w:sz w:val="13"/>
          <w:szCs w:val="13"/>
        </w:rPr>
        <w:fldChar w:fldCharType="separate"/>
      </w:r>
      <w:r w:rsidR="004469A2" w:rsidRPr="004469A2">
        <w:rPr>
          <w:rFonts w:asciiTheme="minorHAnsi" w:hAnsiTheme="minorHAnsi" w:cstheme="minorHAnsi"/>
          <w:noProof/>
          <w:sz w:val="13"/>
          <w:szCs w:val="13"/>
          <w:vertAlign w:val="superscript"/>
        </w:rPr>
        <w:t>65</w:t>
      </w:r>
      <w:r w:rsidR="00B81CB1" w:rsidRPr="003D1CA1">
        <w:rPr>
          <w:rFonts w:asciiTheme="minorHAnsi" w:hAnsiTheme="minorHAnsi" w:cstheme="minorHAnsi"/>
          <w:sz w:val="13"/>
          <w:szCs w:val="13"/>
        </w:rPr>
        <w:fldChar w:fldCharType="end"/>
      </w:r>
    </w:p>
    <w:p w14:paraId="4EA9A5EC" w14:textId="617EA059" w:rsidR="007A5716" w:rsidRPr="003D1CA1" w:rsidRDefault="00E76F1E" w:rsidP="003D1CA1">
      <w:pPr>
        <w:pStyle w:val="ANorm"/>
        <w:rPr>
          <w:rFonts w:asciiTheme="minorHAnsi" w:hAnsiTheme="minorHAnsi" w:cstheme="minorHAnsi"/>
          <w:sz w:val="13"/>
          <w:szCs w:val="13"/>
        </w:rPr>
      </w:pPr>
      <w:proofErr w:type="spellStart"/>
      <w:r w:rsidRPr="00780511">
        <w:rPr>
          <w:rFonts w:asciiTheme="minorHAnsi" w:hAnsiTheme="minorHAnsi" w:cstheme="minorHAnsi"/>
          <w:sz w:val="13"/>
          <w:szCs w:val="13"/>
          <w:vertAlign w:val="superscript"/>
        </w:rPr>
        <w:t>f</w:t>
      </w:r>
      <w:r w:rsidR="007A5716" w:rsidRPr="00780511">
        <w:rPr>
          <w:rFonts w:asciiTheme="minorHAnsi" w:hAnsiTheme="minorHAnsi" w:cstheme="minorHAnsi"/>
          <w:sz w:val="13"/>
          <w:szCs w:val="13"/>
        </w:rPr>
        <w:t>Sourced</w:t>
      </w:r>
      <w:proofErr w:type="spellEnd"/>
      <w:r w:rsidR="007A5716" w:rsidRPr="00780511">
        <w:rPr>
          <w:rFonts w:asciiTheme="minorHAnsi" w:hAnsiTheme="minorHAnsi" w:cstheme="minorHAnsi"/>
          <w:sz w:val="13"/>
          <w:szCs w:val="13"/>
        </w:rPr>
        <w:t xml:space="preserve"> from </w:t>
      </w:r>
      <w:proofErr w:type="spellStart"/>
      <w:r w:rsidR="007A5716" w:rsidRPr="00780511">
        <w:rPr>
          <w:rFonts w:asciiTheme="minorHAnsi" w:hAnsiTheme="minorHAnsi" w:cstheme="minorHAnsi"/>
          <w:sz w:val="13"/>
          <w:szCs w:val="13"/>
        </w:rPr>
        <w:t>Titov</w:t>
      </w:r>
      <w:proofErr w:type="spellEnd"/>
      <w:r w:rsidR="007A5716" w:rsidRPr="00780511">
        <w:rPr>
          <w:rFonts w:asciiTheme="minorHAnsi" w:hAnsiTheme="minorHAnsi" w:cstheme="minorHAnsi"/>
          <w:sz w:val="13"/>
          <w:szCs w:val="13"/>
        </w:rPr>
        <w:t xml:space="preserve"> </w:t>
      </w:r>
      <w:r w:rsidR="0065750D" w:rsidRPr="00780511">
        <w:rPr>
          <w:rFonts w:asciiTheme="minorHAnsi" w:hAnsiTheme="minorHAnsi" w:cstheme="minorHAnsi"/>
          <w:sz w:val="13"/>
          <w:szCs w:val="13"/>
        </w:rPr>
        <w:t>et al</w:t>
      </w:r>
      <w:r w:rsidR="007A5716" w:rsidRPr="00780511">
        <w:rPr>
          <w:rFonts w:asciiTheme="minorHAnsi" w:hAnsiTheme="minorHAnsi" w:cstheme="minorHAnsi"/>
          <w:sz w:val="13"/>
          <w:szCs w:val="13"/>
        </w:rPr>
        <w:t xml:space="preserve"> </w:t>
      </w:r>
      <w:r w:rsidR="007A5716" w:rsidRPr="003D1CA1">
        <w:rPr>
          <w:rFonts w:asciiTheme="minorHAnsi" w:hAnsiTheme="minorHAnsi" w:cstheme="minorHAnsi"/>
          <w:sz w:val="13"/>
          <w:szCs w:val="13"/>
        </w:rPr>
        <w:t>(20</w:t>
      </w:r>
      <w:r w:rsidR="005C3866" w:rsidRPr="003D1CA1">
        <w:rPr>
          <w:rFonts w:asciiTheme="minorHAnsi" w:hAnsiTheme="minorHAnsi" w:cstheme="minorHAnsi"/>
          <w:sz w:val="13"/>
          <w:szCs w:val="13"/>
        </w:rPr>
        <w:t>19</w:t>
      </w:r>
      <w:r w:rsidR="007A5716" w:rsidRPr="003D1CA1">
        <w:rPr>
          <w:rFonts w:asciiTheme="minorHAnsi" w:hAnsiTheme="minorHAnsi" w:cstheme="minorHAnsi"/>
          <w:sz w:val="13"/>
          <w:szCs w:val="13"/>
        </w:rPr>
        <w:t xml:space="preserve">) </w:t>
      </w:r>
      <w:r w:rsidR="00C05007" w:rsidRPr="003D1CA1">
        <w:rPr>
          <w:rFonts w:asciiTheme="minorHAnsi" w:hAnsiTheme="minorHAnsi" w:cstheme="minorHAnsi"/>
          <w:sz w:val="13"/>
          <w:szCs w:val="13"/>
        </w:rPr>
        <w:t>comparison between Indige</w:t>
      </w:r>
      <w:r w:rsidR="00AF48F4" w:rsidRPr="003D1CA1">
        <w:rPr>
          <w:rFonts w:asciiTheme="minorHAnsi" w:hAnsiTheme="minorHAnsi" w:cstheme="minorHAnsi"/>
          <w:sz w:val="13"/>
          <w:szCs w:val="13"/>
        </w:rPr>
        <w:t>n</w:t>
      </w:r>
      <w:r w:rsidR="00C05007" w:rsidRPr="003D1CA1">
        <w:rPr>
          <w:rFonts w:asciiTheme="minorHAnsi" w:hAnsiTheme="minorHAnsi" w:cstheme="minorHAnsi"/>
          <w:sz w:val="13"/>
          <w:szCs w:val="13"/>
        </w:rPr>
        <w:t xml:space="preserve">ous and non-Indigenous consumers who registered with </w:t>
      </w:r>
      <w:proofErr w:type="spellStart"/>
      <w:r w:rsidR="00C05007" w:rsidRPr="003D1CA1">
        <w:rPr>
          <w:rFonts w:asciiTheme="minorHAnsi" w:hAnsiTheme="minorHAnsi" w:cstheme="minorHAnsi"/>
          <w:sz w:val="13"/>
          <w:szCs w:val="13"/>
        </w:rPr>
        <w:t>MindSpot</w:t>
      </w:r>
      <w:proofErr w:type="spellEnd"/>
      <w:r w:rsidR="00C05007" w:rsidRPr="003D1CA1">
        <w:rPr>
          <w:rFonts w:asciiTheme="minorHAnsi" w:hAnsiTheme="minorHAnsi" w:cstheme="minorHAnsi"/>
          <w:sz w:val="13"/>
          <w:szCs w:val="13"/>
        </w:rPr>
        <w:t xml:space="preserve"> between January 2015 and December 2016; outcomes reported from </w:t>
      </w:r>
      <w:r w:rsidR="007A5716" w:rsidRPr="003D1CA1">
        <w:rPr>
          <w:rFonts w:asciiTheme="minorHAnsi" w:hAnsiTheme="minorHAnsi" w:cstheme="minorHAnsi"/>
          <w:sz w:val="13"/>
          <w:szCs w:val="13"/>
        </w:rPr>
        <w:t xml:space="preserve">49 </w:t>
      </w:r>
      <w:r w:rsidR="00C05007" w:rsidRPr="003D1CA1">
        <w:rPr>
          <w:rFonts w:asciiTheme="minorHAnsi" w:hAnsiTheme="minorHAnsi" w:cstheme="minorHAnsi"/>
          <w:sz w:val="13"/>
          <w:szCs w:val="13"/>
        </w:rPr>
        <w:t xml:space="preserve">Indigenous consumers </w:t>
      </w:r>
      <w:r w:rsidR="007A5716" w:rsidRPr="003D1CA1">
        <w:rPr>
          <w:rFonts w:asciiTheme="minorHAnsi" w:hAnsiTheme="minorHAnsi" w:cstheme="minorHAnsi"/>
          <w:sz w:val="13"/>
          <w:szCs w:val="13"/>
        </w:rPr>
        <w:t>enrolled in standard Wellbeing course and 21 in the Indigenous Wellbeing course.</w:t>
      </w:r>
      <w:r w:rsidR="00B81CB1" w:rsidRPr="003D1CA1">
        <w:rPr>
          <w:rFonts w:asciiTheme="minorHAnsi" w:hAnsiTheme="minorHAnsi" w:cstheme="minorHAnsi"/>
          <w:sz w:val="13"/>
          <w:szCs w:val="13"/>
        </w:rPr>
        <w:fldChar w:fldCharType="begin"/>
      </w:r>
      <w:r w:rsidR="004469A2">
        <w:rPr>
          <w:rFonts w:asciiTheme="minorHAnsi" w:hAnsiTheme="minorHAnsi" w:cstheme="minorHAnsi"/>
          <w:sz w:val="13"/>
          <w:szCs w:val="13"/>
        </w:rPr>
        <w:instrText xml:space="preserve"> ADDIN EN.CITE &lt;EndNote&gt;&lt;Cite&gt;&lt;Author&gt;Titov&lt;/Author&gt;&lt;Year&gt;2019&lt;/Year&gt;&lt;RecNum&gt;138&lt;/RecNum&gt;&lt;DisplayText&gt;&lt;style face="superscript"&gt;25&lt;/style&gt;&lt;/DisplayText&gt;&lt;record&gt;&lt;rec-number&gt;138&lt;/rec-number&gt;&lt;foreign-keys&gt;&lt;key app="EN" db-id="dawtr0zrkrzfa5edzzlpe2we0xa00t90vvr2" timestamp="1650430455"&gt;138&lt;/key&gt;&lt;/foreign-keys&gt;&lt;ref-type name="Journal Article"&gt;17&lt;/ref-type&gt;&lt;contributors&gt;&lt;authors&gt;&lt;author&gt;Titov, Nickolai&lt;/author&gt;&lt;author&gt;Schofield, Carlie&lt;/author&gt;&lt;author&gt;Staples, Lauren&lt;/author&gt;&lt;author&gt;Dear, Blake F&lt;/author&gt;&lt;author&gt;Nielssen, Olav&lt;/author&gt;&lt;/authors&gt;&lt;/contributors&gt;&lt;titles&gt;&lt;title&gt;A comparison of Indigenous and non-Indigenous users of MindSpot: An Australian digital mental health service&lt;/title&gt;&lt;secondary-title&gt;Australasian Psychiatry&lt;/secondary-title&gt;&lt;/titles&gt;&lt;periodical&gt;&lt;full-title&gt;Australasian Psychiatry&lt;/full-title&gt;&lt;/periodical&gt;&lt;pages&gt;352-357&lt;/pages&gt;&lt;volume&gt;27&lt;/volume&gt;&lt;number&gt;4&lt;/number&gt;&lt;dates&gt;&lt;year&gt;2019&lt;/year&gt;&lt;/dates&gt;&lt;isbn&gt;1039-8562&lt;/isbn&gt;&lt;urls&gt;&lt;/urls&gt;&lt;/record&gt;&lt;/Cite&gt;&lt;/EndNote&gt;</w:instrText>
      </w:r>
      <w:r w:rsidR="00B81CB1" w:rsidRPr="003D1CA1">
        <w:rPr>
          <w:rFonts w:asciiTheme="minorHAnsi" w:hAnsiTheme="minorHAnsi" w:cstheme="minorHAnsi"/>
          <w:sz w:val="13"/>
          <w:szCs w:val="13"/>
        </w:rPr>
        <w:fldChar w:fldCharType="separate"/>
      </w:r>
      <w:r w:rsidR="004469A2" w:rsidRPr="004469A2">
        <w:rPr>
          <w:rFonts w:asciiTheme="minorHAnsi" w:hAnsiTheme="minorHAnsi" w:cstheme="minorHAnsi"/>
          <w:noProof/>
          <w:sz w:val="13"/>
          <w:szCs w:val="13"/>
          <w:vertAlign w:val="superscript"/>
        </w:rPr>
        <w:t>25</w:t>
      </w:r>
      <w:r w:rsidR="00B81CB1" w:rsidRPr="003D1CA1">
        <w:rPr>
          <w:rFonts w:asciiTheme="minorHAnsi" w:hAnsiTheme="minorHAnsi" w:cstheme="minorHAnsi"/>
          <w:sz w:val="13"/>
          <w:szCs w:val="13"/>
        </w:rPr>
        <w:fldChar w:fldCharType="end"/>
      </w:r>
    </w:p>
    <w:p w14:paraId="69F34F6F" w14:textId="44220B46" w:rsidR="003E7B7D" w:rsidRPr="00525B23" w:rsidRDefault="00E76F1E" w:rsidP="003E7B7D">
      <w:pPr>
        <w:pStyle w:val="ANorm"/>
        <w:rPr>
          <w:sz w:val="15"/>
          <w:szCs w:val="15"/>
        </w:rPr>
      </w:pPr>
      <w:proofErr w:type="spellStart"/>
      <w:r w:rsidRPr="003D1CA1">
        <w:rPr>
          <w:sz w:val="13"/>
          <w:szCs w:val="13"/>
          <w:vertAlign w:val="superscript"/>
        </w:rPr>
        <w:t>g</w:t>
      </w:r>
      <w:r w:rsidR="003E7B7D" w:rsidRPr="003D1CA1">
        <w:rPr>
          <w:sz w:val="13"/>
          <w:szCs w:val="13"/>
        </w:rPr>
        <w:t>Sourced</w:t>
      </w:r>
      <w:proofErr w:type="spellEnd"/>
      <w:r w:rsidR="003E7B7D" w:rsidRPr="003D1CA1">
        <w:rPr>
          <w:sz w:val="13"/>
          <w:szCs w:val="13"/>
        </w:rPr>
        <w:t xml:space="preserve"> from </w:t>
      </w:r>
      <w:proofErr w:type="spellStart"/>
      <w:r w:rsidR="003E7B7D" w:rsidRPr="003D1CA1">
        <w:rPr>
          <w:sz w:val="13"/>
          <w:szCs w:val="13"/>
        </w:rPr>
        <w:t>Kayrouz</w:t>
      </w:r>
      <w:proofErr w:type="spellEnd"/>
      <w:r w:rsidR="003E7B7D" w:rsidRPr="003D1CA1">
        <w:rPr>
          <w:sz w:val="13"/>
          <w:szCs w:val="13"/>
        </w:rPr>
        <w:t xml:space="preserve"> </w:t>
      </w:r>
      <w:r w:rsidR="0065750D">
        <w:rPr>
          <w:sz w:val="13"/>
          <w:szCs w:val="13"/>
        </w:rPr>
        <w:t>et al</w:t>
      </w:r>
      <w:r w:rsidR="003E7B7D" w:rsidRPr="003D1CA1">
        <w:rPr>
          <w:sz w:val="13"/>
          <w:szCs w:val="13"/>
        </w:rPr>
        <w:t xml:space="preserve"> (2020) exploratory study of consumers who completed </w:t>
      </w:r>
      <w:proofErr w:type="spellStart"/>
      <w:r w:rsidR="003E7B7D" w:rsidRPr="003D1CA1">
        <w:rPr>
          <w:sz w:val="13"/>
          <w:szCs w:val="13"/>
        </w:rPr>
        <w:t>MindSpot</w:t>
      </w:r>
      <w:proofErr w:type="spellEnd"/>
      <w:r w:rsidR="003E7B7D" w:rsidRPr="003D1CA1">
        <w:rPr>
          <w:sz w:val="13"/>
          <w:szCs w:val="13"/>
        </w:rPr>
        <w:t xml:space="preserve"> treatment</w:t>
      </w:r>
      <w:r w:rsidR="00652CE7" w:rsidRPr="003D1CA1">
        <w:rPr>
          <w:sz w:val="13"/>
          <w:szCs w:val="13"/>
        </w:rPr>
        <w:t xml:space="preserve"> (Wellbeing course)</w:t>
      </w:r>
      <w:r w:rsidR="003E7B7D" w:rsidRPr="003D1CA1">
        <w:rPr>
          <w:sz w:val="13"/>
          <w:szCs w:val="13"/>
        </w:rPr>
        <w:t xml:space="preserve"> between January 2014 and December 2016.</w:t>
      </w:r>
      <w:r w:rsidR="00B81CB1" w:rsidRPr="003D1CA1">
        <w:rPr>
          <w:sz w:val="13"/>
          <w:szCs w:val="13"/>
        </w:rPr>
        <w:fldChar w:fldCharType="begin"/>
      </w:r>
      <w:r w:rsidR="004469A2">
        <w:rPr>
          <w:sz w:val="13"/>
          <w:szCs w:val="13"/>
        </w:rPr>
        <w:instrText xml:space="preserve"> ADDIN EN.CITE &lt;EndNote&gt;&lt;Cite&gt;&lt;Author&gt;Kayrouz&lt;/Author&gt;&lt;Year&gt;2020&lt;/Year&gt;&lt;RecNum&gt;137&lt;/RecNum&gt;&lt;DisplayText&gt;&lt;style face="superscript"&gt;66&lt;/style&gt;&lt;/DisplayText&gt;&lt;record&gt;&lt;rec-number&gt;137&lt;/rec-number&gt;&lt;foreign-keys&gt;&lt;key app="EN" db-id="dawtr0zrkrzfa5edzzlpe2we0xa00t90vvr2" timestamp="1650429449"&gt;137&lt;/key&gt;&lt;/foreign-keys&gt;&lt;ref-type name="Journal Article"&gt;17&lt;/ref-type&gt;&lt;contributors&gt;&lt;authors&gt;&lt;author&gt;Kayrouz, Rony&lt;/author&gt;&lt;author&gt;Karin, Eyal&lt;/author&gt;&lt;author&gt;Staples, Lauren G.&lt;/author&gt;&lt;author&gt;Nielssen, Olav&lt;/author&gt;&lt;author&gt;Dear, Blake F.&lt;/author&gt;&lt;author&gt;Titov, Nickolai&lt;/author&gt;&lt;/authors&gt;&lt;/contributors&gt;&lt;titles&gt;&lt;title&gt;A comparison of the characteristics and treatment outcomes of migrant and Australian-born users of a national digital mental health service&lt;/title&gt;&lt;secondary-title&gt;BMC Psychiatry&lt;/secondary-title&gt;&lt;/titles&gt;&lt;periodical&gt;&lt;full-title&gt;BMC Psychiatry&lt;/full-title&gt;&lt;/periodical&gt;&lt;pages&gt;111&lt;/pages&gt;&lt;volume&gt;20&lt;/volume&gt;&lt;number&gt;1&lt;/number&gt;&lt;dates&gt;&lt;year&gt;2020&lt;/year&gt;&lt;pub-dates&gt;&lt;date&gt;2020/03/11&lt;/date&gt;&lt;/pub-dates&gt;&lt;/dates&gt;&lt;isbn&gt;1471-244X&lt;/isbn&gt;&lt;urls&gt;&lt;related-urls&gt;&lt;url&gt;https://doi.org/10.1186/s12888-020-02486-3&lt;/url&gt;&lt;/related-urls&gt;&lt;/urls&gt;&lt;electronic-resource-num&gt;10.1186/s12888-020-02486-3&lt;/electronic-resource-num&gt;&lt;/record&gt;&lt;/Cite&gt;&lt;/EndNote&gt;</w:instrText>
      </w:r>
      <w:r w:rsidR="00B81CB1" w:rsidRPr="003D1CA1">
        <w:rPr>
          <w:sz w:val="13"/>
          <w:szCs w:val="13"/>
        </w:rPr>
        <w:fldChar w:fldCharType="separate"/>
      </w:r>
      <w:r w:rsidR="004469A2" w:rsidRPr="004469A2">
        <w:rPr>
          <w:noProof/>
          <w:sz w:val="13"/>
          <w:szCs w:val="13"/>
          <w:vertAlign w:val="superscript"/>
        </w:rPr>
        <w:t>66</w:t>
      </w:r>
      <w:r w:rsidR="00B81CB1" w:rsidRPr="003D1CA1">
        <w:rPr>
          <w:sz w:val="13"/>
          <w:szCs w:val="13"/>
        </w:rPr>
        <w:fldChar w:fldCharType="end"/>
      </w:r>
    </w:p>
    <w:p w14:paraId="59C7A446" w14:textId="77777777" w:rsidR="00F05F80" w:rsidRDefault="00F05F80" w:rsidP="00364DC4">
      <w:pPr>
        <w:pStyle w:val="ANorm"/>
        <w:rPr>
          <w:sz w:val="22"/>
          <w:szCs w:val="22"/>
          <w:highlight w:val="green"/>
        </w:rPr>
        <w:sectPr w:rsidR="00F05F80" w:rsidSect="00EE0008">
          <w:pgSz w:w="16838" w:h="11906" w:orient="landscape"/>
          <w:pgMar w:top="720" w:right="720" w:bottom="720" w:left="720" w:header="708" w:footer="708" w:gutter="0"/>
          <w:cols w:space="708"/>
          <w:docGrid w:linePitch="360"/>
        </w:sectPr>
      </w:pPr>
    </w:p>
    <w:p w14:paraId="00D078B2" w14:textId="1DC06194" w:rsidR="007D2112" w:rsidRPr="00455D53" w:rsidRDefault="007D2112" w:rsidP="00614DE2">
      <w:pPr>
        <w:pStyle w:val="Heading3"/>
        <w:numPr>
          <w:ilvl w:val="2"/>
          <w:numId w:val="136"/>
        </w:numPr>
      </w:pPr>
      <w:r w:rsidRPr="00455D53">
        <w:lastRenderedPageBreak/>
        <w:t>Self-directed treatment outcomes</w:t>
      </w:r>
    </w:p>
    <w:p w14:paraId="58B2EB67" w14:textId="77777777" w:rsidR="007D2112" w:rsidRPr="00455D53" w:rsidRDefault="007D2112" w:rsidP="002029DC">
      <w:pPr>
        <w:pStyle w:val="ANorm"/>
        <w:spacing w:after="200"/>
      </w:pPr>
      <w:r w:rsidRPr="00455D53">
        <w:t xml:space="preserve">As previously mentioned, </w:t>
      </w:r>
      <w:proofErr w:type="spellStart"/>
      <w:r w:rsidRPr="00455D53">
        <w:t>MindSpot</w:t>
      </w:r>
      <w:proofErr w:type="spellEnd"/>
      <w:r w:rsidRPr="00455D53">
        <w:t xml:space="preserve"> recently introduced self-directed treatment in July 2019 as part of their treatment offerings, so they have not yet produced peer-reviewed publications on this aspect.</w:t>
      </w:r>
    </w:p>
    <w:p w14:paraId="62FDA4BC" w14:textId="77777777" w:rsidR="007D2112" w:rsidRPr="00455D53" w:rsidRDefault="007D2112" w:rsidP="002029DC">
      <w:pPr>
        <w:pStyle w:val="ANorm"/>
        <w:spacing w:after="200"/>
      </w:pPr>
      <w:r w:rsidRPr="00455D53">
        <w:t>However, their routinely collected data show reduction trends in psychological distress (K10), depression (PHQ-9) and anxiety (GAD-7) (Table 17, rows 4-6). Effect sizes cannot be estimated for these data because the pre-treatment scores are for all consumers who provided these data (N=1,350) and not specifically for the subgroup who provided post-treatment scores (n=600).</w:t>
      </w:r>
    </w:p>
    <w:p w14:paraId="37A5AF31" w14:textId="77777777" w:rsidR="007D2112" w:rsidRDefault="007D2112" w:rsidP="002029DC">
      <w:pPr>
        <w:pStyle w:val="ANorm"/>
        <w:spacing w:after="200"/>
      </w:pPr>
      <w:r w:rsidRPr="00455D53">
        <w:t xml:space="preserve">These findings should be interpreted in the context that around one-third of consumers enrolled in self-directed </w:t>
      </w:r>
      <w:proofErr w:type="spellStart"/>
      <w:r w:rsidRPr="00455D53">
        <w:t>MindSpot</w:t>
      </w:r>
      <w:proofErr w:type="spellEnd"/>
      <w:r w:rsidRPr="00455D53">
        <w:t xml:space="preserve"> treatment, end up receiving therapist support (N. </w:t>
      </w:r>
      <w:proofErr w:type="spellStart"/>
      <w:r w:rsidRPr="00455D53">
        <w:t>Titov</w:t>
      </w:r>
      <w:proofErr w:type="spellEnd"/>
      <w:r w:rsidRPr="00455D53">
        <w:t>, personal communication, 15 March 2022).</w:t>
      </w:r>
    </w:p>
    <w:p w14:paraId="6340C6B7" w14:textId="06654359" w:rsidR="000E455A" w:rsidRDefault="000E455A" w:rsidP="00614DE2">
      <w:pPr>
        <w:pStyle w:val="Heading3"/>
        <w:numPr>
          <w:ilvl w:val="2"/>
          <w:numId w:val="136"/>
        </w:numPr>
      </w:pPr>
      <w:r w:rsidRPr="004F6DE3">
        <w:t>Therapist</w:t>
      </w:r>
      <w:r>
        <w:t>-</w:t>
      </w:r>
      <w:r w:rsidRPr="004F6DE3">
        <w:t>supported treatment outcomes</w:t>
      </w:r>
    </w:p>
    <w:p w14:paraId="0775F4FA" w14:textId="20F16E3C" w:rsidR="002848D8" w:rsidRDefault="002848D8" w:rsidP="002029DC">
      <w:pPr>
        <w:pStyle w:val="ANorm"/>
        <w:spacing w:after="200"/>
      </w:pPr>
      <w:r>
        <w:t>Effect sizes shown in Table 17 were extracted from the literature. Figure 6 shows the results of effect sizes we</w:t>
      </w:r>
      <w:r w:rsidRPr="00C97B43">
        <w:t xml:space="preserve"> </w:t>
      </w:r>
      <w:r w:rsidRPr="009C4942">
        <w:t xml:space="preserve">calculated (as standardised mean differences) to ensure that the same approach was used for all studies, </w:t>
      </w:r>
      <w:r>
        <w:t xml:space="preserve">consequently </w:t>
      </w:r>
      <w:r w:rsidRPr="009C4942">
        <w:t>some of our calculations differ from those presented in Table 1</w:t>
      </w:r>
      <w:r w:rsidR="00210919">
        <w:t>7</w:t>
      </w:r>
      <w:r w:rsidRPr="009C4942">
        <w:t xml:space="preserve">. </w:t>
      </w:r>
    </w:p>
    <w:p w14:paraId="65871B39" w14:textId="3C05B921" w:rsidR="00770791" w:rsidRDefault="00770791" w:rsidP="002029DC">
      <w:pPr>
        <w:pStyle w:val="ANorm"/>
        <w:spacing w:after="200"/>
      </w:pPr>
      <w:r w:rsidRPr="00D7469E">
        <w:t>There were significant differences in effect sizes between the subgroups (p &lt; 0.01). Therapist</w:t>
      </w:r>
      <w:r w:rsidRPr="006E6FC9">
        <w:t xml:space="preserve">-supported treatments produced </w:t>
      </w:r>
      <w:r w:rsidR="00B50AA1">
        <w:t xml:space="preserve">large to </w:t>
      </w:r>
      <w:r w:rsidRPr="006E6FC9">
        <w:t>very large improvements in mental health symptom severity for all consumers</w:t>
      </w:r>
      <w:r>
        <w:t>, ranging from d=</w:t>
      </w:r>
      <w:r w:rsidR="00B50AA1">
        <w:t xml:space="preserve">0.89 </w:t>
      </w:r>
      <w:r w:rsidR="00905D64" w:rsidRPr="006E6FC9">
        <w:t>for those born in non-English-speaking European countries</w:t>
      </w:r>
      <w:r w:rsidR="00905D64">
        <w:t xml:space="preserve"> </w:t>
      </w:r>
      <w:r>
        <w:t>to d=1.</w:t>
      </w:r>
      <w:r w:rsidR="00905D64">
        <w:t xml:space="preserve">59 for Indigenous </w:t>
      </w:r>
      <w:r w:rsidR="004C3D98">
        <w:t>peoples</w:t>
      </w:r>
      <w:r w:rsidRPr="006E6FC9">
        <w:t>.</w:t>
      </w:r>
      <w:r>
        <w:t xml:space="preserve"> </w:t>
      </w:r>
      <w:r w:rsidRPr="006E6FC9">
        <w:t>Additionally, therapist-supported treatment had small effects on functioning (d=0.35) as assessed by whole or part days out of role (K10+).</w:t>
      </w:r>
    </w:p>
    <w:p w14:paraId="799B1A4B" w14:textId="02E1EE41" w:rsidR="00F05F80" w:rsidRPr="008845B9" w:rsidRDefault="009F1AA4" w:rsidP="002029DC">
      <w:pPr>
        <w:pStyle w:val="ANorm"/>
        <w:spacing w:after="200"/>
      </w:pPr>
      <w:r w:rsidRPr="009F1AA4">
        <w:t xml:space="preserve">The level of heterogeneity within subgroups varied substantially and ranged from approximately 0 (for Indigenous, </w:t>
      </w:r>
      <w:r w:rsidR="00A250D4">
        <w:t>“</w:t>
      </w:r>
      <w:r w:rsidRPr="009F1AA4">
        <w:t>ESB English</w:t>
      </w:r>
      <w:r w:rsidR="00A250D4">
        <w:t>”</w:t>
      </w:r>
      <w:r w:rsidRPr="009F1AA4">
        <w:t xml:space="preserve">, </w:t>
      </w:r>
      <w:r w:rsidR="00A250D4">
        <w:t>“</w:t>
      </w:r>
      <w:r w:rsidRPr="009F1AA4">
        <w:t xml:space="preserve">NESB </w:t>
      </w:r>
      <w:proofErr w:type="spellStart"/>
      <w:r w:rsidRPr="009F1AA4">
        <w:t>MidEast</w:t>
      </w:r>
      <w:proofErr w:type="spellEnd"/>
      <w:r w:rsidR="00A250D4">
        <w:t>”</w:t>
      </w:r>
      <w:r w:rsidRPr="009F1AA4">
        <w:t xml:space="preserve">, </w:t>
      </w:r>
      <w:r w:rsidR="00A250D4">
        <w:t>“O</w:t>
      </w:r>
      <w:r w:rsidRPr="009F1AA4">
        <w:t>lder adults</w:t>
      </w:r>
      <w:r w:rsidR="00A250D4">
        <w:t>”</w:t>
      </w:r>
      <w:r w:rsidRPr="009F1AA4">
        <w:t xml:space="preserve">, and </w:t>
      </w:r>
      <w:r w:rsidR="00A250D4">
        <w:t>“Y</w:t>
      </w:r>
      <w:r w:rsidRPr="009F1AA4">
        <w:t>ounger adults</w:t>
      </w:r>
      <w:r w:rsidR="00A250D4">
        <w:t>”</w:t>
      </w:r>
      <w:r w:rsidRPr="009F1AA4">
        <w:t>, all with low-moderate sample sizes) to extremely high (96%). Three subgroups (all with medium sample sizes) had moderate heterogeneity at around 40%-60</w:t>
      </w:r>
      <w:r w:rsidRPr="008C4E1E">
        <w:t>% (</w:t>
      </w:r>
      <w:r w:rsidR="008C4E1E">
        <w:t>“</w:t>
      </w:r>
      <w:r w:rsidRPr="008C4E1E">
        <w:t xml:space="preserve">NESB </w:t>
      </w:r>
      <w:r w:rsidR="008C4E1E">
        <w:t>[</w:t>
      </w:r>
      <w:r w:rsidRPr="008C4E1E">
        <w:t>Asia</w:t>
      </w:r>
      <w:r w:rsidR="008C4E1E">
        <w:t>]”</w:t>
      </w:r>
      <w:r w:rsidRPr="008C4E1E">
        <w:t xml:space="preserve">, </w:t>
      </w:r>
      <w:r w:rsidR="008C4E1E">
        <w:t>“</w:t>
      </w:r>
      <w:r w:rsidRPr="008C4E1E">
        <w:t xml:space="preserve">NESB </w:t>
      </w:r>
      <w:r w:rsidR="008C4E1E">
        <w:t>[</w:t>
      </w:r>
      <w:r w:rsidRPr="008C4E1E">
        <w:t>English</w:t>
      </w:r>
      <w:r w:rsidR="008C4E1E">
        <w:t>]</w:t>
      </w:r>
      <w:r w:rsidR="008C4E1E" w:rsidRPr="008C4E1E">
        <w:t>”</w:t>
      </w:r>
      <w:r w:rsidRPr="008C4E1E">
        <w:t xml:space="preserve">, </w:t>
      </w:r>
      <w:r w:rsidR="00B92E3F" w:rsidRPr="008C4E1E">
        <w:t xml:space="preserve">and </w:t>
      </w:r>
      <w:r w:rsidR="008C4E1E" w:rsidRPr="008C4E1E">
        <w:t>“</w:t>
      </w:r>
      <w:r w:rsidRPr="008C4E1E">
        <w:t>NESB</w:t>
      </w:r>
      <w:r w:rsidR="008C4E1E">
        <w:t>”</w:t>
      </w:r>
      <w:r w:rsidRPr="008C4E1E">
        <w:t xml:space="preserve"> </w:t>
      </w:r>
      <w:r w:rsidR="008C4E1E">
        <w:t>[</w:t>
      </w:r>
      <w:r w:rsidRPr="008C4E1E">
        <w:t>Europe</w:t>
      </w:r>
      <w:r w:rsidR="008C4E1E">
        <w:t>])</w:t>
      </w:r>
      <w:r w:rsidRPr="008C4E1E">
        <w:t>.</w:t>
      </w:r>
      <w:r w:rsidR="008845B9">
        <w:t xml:space="preserve"> </w:t>
      </w:r>
      <w:r w:rsidRPr="009F1AA4">
        <w:t>Heterogeneity was extremely high for two subgroups, “All (Symptoms)” and “All (Functioning)”. All studies included in these subgroups had very large sample sizes (&gt; 5000) and thus very narrow confidence limits, so the tests may be less relevant and useful.</w:t>
      </w:r>
      <w:r w:rsidR="008845B9">
        <w:t xml:space="preserve"> </w:t>
      </w:r>
      <w:r w:rsidRPr="009F1AA4">
        <w:t>For example, the estimated effect sizes within the “All (Symptoms)” subgroup were quite consistent, at d=1.42, d=1.39 and d=1.45.</w:t>
      </w:r>
    </w:p>
    <w:p w14:paraId="3C111C7F" w14:textId="58782920" w:rsidR="00025386" w:rsidRDefault="00025386" w:rsidP="002029DC">
      <w:pPr>
        <w:pStyle w:val="ANorm"/>
        <w:spacing w:after="200"/>
      </w:pPr>
      <w:r w:rsidRPr="002B34EF">
        <w:t xml:space="preserve">The positive mental health effects of </w:t>
      </w:r>
      <w:proofErr w:type="spellStart"/>
      <w:r w:rsidRPr="002B34EF">
        <w:t>MindSpot</w:t>
      </w:r>
      <w:proofErr w:type="spellEnd"/>
      <w:r w:rsidRPr="002B34EF">
        <w:t xml:space="preserve"> therapist-supported treatment are consistent across time, with </w:t>
      </w:r>
      <w:proofErr w:type="spellStart"/>
      <w:r w:rsidRPr="002B34EF">
        <w:t>Titov</w:t>
      </w:r>
      <w:proofErr w:type="spellEnd"/>
      <w:r w:rsidRPr="002B34EF">
        <w:t xml:space="preserve"> </w:t>
      </w:r>
      <w:r w:rsidR="0065750D">
        <w:t>et al</w:t>
      </w:r>
      <w:r w:rsidRPr="002B34EF">
        <w:t xml:space="preserve"> (2020) demonstrating post-treatment symptom improvement on all measures (K10, PHQ-9, GAD-7) for all years in 2013-2019.</w:t>
      </w:r>
      <w:r w:rsidRPr="002B34EF">
        <w:fldChar w:fldCharType="begin"/>
      </w:r>
      <w:r w:rsidR="004469A2">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Pr="002B34EF">
        <w:fldChar w:fldCharType="separate"/>
      </w:r>
      <w:r w:rsidR="004469A2" w:rsidRPr="004469A2">
        <w:rPr>
          <w:noProof/>
          <w:vertAlign w:val="superscript"/>
        </w:rPr>
        <w:t>7</w:t>
      </w:r>
      <w:r w:rsidRPr="002B34EF">
        <w:fldChar w:fldCharType="end"/>
      </w:r>
    </w:p>
    <w:p w14:paraId="36B36190" w14:textId="0EE32F0C" w:rsidR="00D33775" w:rsidRDefault="00A618A4" w:rsidP="00404C41">
      <w:pPr>
        <w:pStyle w:val="ANorm"/>
        <w:spacing w:after="200"/>
      </w:pPr>
      <w:r>
        <w:t>The findings</w:t>
      </w:r>
      <w:r w:rsidR="00EB1191" w:rsidRPr="00AD7997">
        <w:t xml:space="preserve"> presented in this section should be interpreted in the previously mentioned context that not all consumers take up the offered therapist support; around one-third do not take up the therapist support </w:t>
      </w:r>
      <w:r w:rsidR="00EB1191" w:rsidRPr="00455D53">
        <w:t xml:space="preserve">component of treatment (N. </w:t>
      </w:r>
      <w:proofErr w:type="spellStart"/>
      <w:r w:rsidR="00EB1191" w:rsidRPr="00455D53">
        <w:t>Titov</w:t>
      </w:r>
      <w:proofErr w:type="spellEnd"/>
      <w:r w:rsidR="00EB1191" w:rsidRPr="00455D53">
        <w:t>, personal communication, 15 March 2022).</w:t>
      </w:r>
    </w:p>
    <w:p w14:paraId="40B66C35" w14:textId="2EE70ED4" w:rsidR="00810942" w:rsidRPr="00525B23" w:rsidRDefault="00810942" w:rsidP="00364DC4">
      <w:pPr>
        <w:pStyle w:val="ANorm"/>
        <w:rPr>
          <w:sz w:val="22"/>
          <w:szCs w:val="22"/>
          <w:highlight w:val="green"/>
        </w:rPr>
        <w:sectPr w:rsidR="00810942" w:rsidRPr="00525B23" w:rsidSect="00A162F4">
          <w:pgSz w:w="11906" w:h="16838"/>
          <w:pgMar w:top="1440" w:right="1440" w:bottom="1440" w:left="1440" w:header="708" w:footer="708" w:gutter="0"/>
          <w:cols w:space="708"/>
          <w:docGrid w:linePitch="360"/>
        </w:sectPr>
      </w:pPr>
    </w:p>
    <w:p w14:paraId="738F57F7" w14:textId="351568BA" w:rsidR="0083237A" w:rsidRDefault="004756A7" w:rsidP="0083237A">
      <w:pPr>
        <w:pStyle w:val="ANorm"/>
        <w:jc w:val="center"/>
      </w:pPr>
      <w:r w:rsidRPr="004756A7">
        <w:rPr>
          <w:noProof/>
          <w:lang w:eastAsia="en-AU"/>
        </w:rPr>
        <w:lastRenderedPageBreak/>
        <w:drawing>
          <wp:inline distT="0" distB="0" distL="0" distR="0" wp14:anchorId="2D890B01" wp14:editId="2AEE5996">
            <wp:extent cx="4214191" cy="8037945"/>
            <wp:effectExtent l="0" t="0" r="2540" b="1270"/>
            <wp:docPr id="24" name="Picture 24" descr="Forest plot of MindSpot therapist-supported treatment effects on mental health symptoms and functio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Forest plot of MindSpot therapist-supported treatment effects on mental health symptoms and functioning"/>
                    <pic:cNvPicPr/>
                  </pic:nvPicPr>
                  <pic:blipFill>
                    <a:blip r:embed="rId25"/>
                    <a:stretch>
                      <a:fillRect/>
                    </a:stretch>
                  </pic:blipFill>
                  <pic:spPr>
                    <a:xfrm>
                      <a:off x="0" y="0"/>
                      <a:ext cx="4247813" cy="8102073"/>
                    </a:xfrm>
                    <a:prstGeom prst="rect">
                      <a:avLst/>
                    </a:prstGeom>
                  </pic:spPr>
                </pic:pic>
              </a:graphicData>
            </a:graphic>
          </wp:inline>
        </w:drawing>
      </w:r>
    </w:p>
    <w:p w14:paraId="5D2E94BE" w14:textId="77777777" w:rsidR="0083237A" w:rsidRDefault="0083237A" w:rsidP="003D1CA1">
      <w:pPr>
        <w:pStyle w:val="tableheading"/>
      </w:pPr>
      <w:r w:rsidRPr="00B37A28">
        <w:t xml:space="preserve">Figure 6. Forest plot of </w:t>
      </w:r>
      <w:proofErr w:type="spellStart"/>
      <w:r w:rsidRPr="00B37A28">
        <w:t>MindSpot</w:t>
      </w:r>
      <w:proofErr w:type="spellEnd"/>
      <w:r w:rsidRPr="00B37A28">
        <w:t xml:space="preserve"> therapist-supported treatment effects on mental health symptoms and functioning</w:t>
      </w:r>
    </w:p>
    <w:p w14:paraId="71EE24EF" w14:textId="75051409" w:rsidR="008D2693" w:rsidRPr="00563D3A" w:rsidRDefault="008D2693" w:rsidP="00563D3A">
      <w:pPr>
        <w:pStyle w:val="ANorm"/>
        <w:rPr>
          <w:sz w:val="13"/>
          <w:szCs w:val="13"/>
        </w:rPr>
      </w:pPr>
      <w:r w:rsidRPr="003D1CA1">
        <w:rPr>
          <w:sz w:val="13"/>
          <w:szCs w:val="13"/>
        </w:rPr>
        <w:t xml:space="preserve">CI, confidence interval; ESB, migrant of an English-speaking background; GAD-7, Generalised Anxiety Disorder 7-item Scale; K10, Kessler Psychological Distress 10-Item Scale; </w:t>
      </w:r>
      <w:r w:rsidR="006479F9">
        <w:rPr>
          <w:sz w:val="13"/>
          <w:szCs w:val="13"/>
        </w:rPr>
        <w:t>N, number</w:t>
      </w:r>
      <w:r w:rsidR="002029DC">
        <w:rPr>
          <w:sz w:val="13"/>
          <w:szCs w:val="13"/>
        </w:rPr>
        <w:t xml:space="preserve">; </w:t>
      </w:r>
      <w:r w:rsidRPr="003D1CA1">
        <w:rPr>
          <w:sz w:val="13"/>
          <w:szCs w:val="13"/>
        </w:rPr>
        <w:t>NESB, migrant of a non-English speaking background; PHQ-9, Patient Health Questionnaire-9;</w:t>
      </w:r>
      <w:r w:rsidR="00A73259">
        <w:rPr>
          <w:sz w:val="13"/>
          <w:szCs w:val="13"/>
        </w:rPr>
        <w:t xml:space="preserve"> </w:t>
      </w:r>
      <w:r w:rsidRPr="003D1CA1">
        <w:rPr>
          <w:sz w:val="13"/>
          <w:szCs w:val="13"/>
        </w:rPr>
        <w:t>Post, post-treatment; SD, standard deviation.</w:t>
      </w:r>
    </w:p>
    <w:p w14:paraId="0B4575B1" w14:textId="77777777" w:rsidR="000344B4" w:rsidRDefault="000344B4" w:rsidP="00563D3A">
      <w:pPr>
        <w:pStyle w:val="ANorm"/>
        <w:sectPr w:rsidR="000344B4" w:rsidSect="00E81E3F">
          <w:pgSz w:w="11906" w:h="16838"/>
          <w:pgMar w:top="1440" w:right="1080" w:bottom="1440" w:left="1080" w:header="708" w:footer="708" w:gutter="0"/>
          <w:cols w:space="708"/>
          <w:docGrid w:linePitch="360"/>
        </w:sectPr>
      </w:pPr>
    </w:p>
    <w:p w14:paraId="3298AA97" w14:textId="1D4CC932" w:rsidR="00967370" w:rsidRDefault="00967370" w:rsidP="002029DC">
      <w:pPr>
        <w:pStyle w:val="ANorm"/>
        <w:spacing w:after="200"/>
      </w:pPr>
      <w:r w:rsidRPr="00967370">
        <w:lastRenderedPageBreak/>
        <w:t>Table 1</w:t>
      </w:r>
      <w:r>
        <w:t>8</w:t>
      </w:r>
      <w:r w:rsidRPr="00967370">
        <w:t xml:space="preserve"> shows other outcomes we extracted from the above </w:t>
      </w:r>
      <w:r>
        <w:t>five</w:t>
      </w:r>
      <w:r w:rsidRPr="00967370">
        <w:t xml:space="preserve"> selected publications used for determining</w:t>
      </w:r>
      <w:r w:rsidR="007045CC">
        <w:t xml:space="preserve"> the</w:t>
      </w:r>
      <w:r w:rsidRPr="00967370">
        <w:t xml:space="preserve"> effectiveness</w:t>
      </w:r>
      <w:r w:rsidR="007045CC">
        <w:t xml:space="preserve"> of</w:t>
      </w:r>
      <w:r w:rsidR="001D58C8">
        <w:t xml:space="preserve"> </w:t>
      </w:r>
      <w:r w:rsidR="007045CC">
        <w:t>therap</w:t>
      </w:r>
      <w:r w:rsidR="009665B2">
        <w:t>ist-supported</w:t>
      </w:r>
      <w:r w:rsidR="00C826ED">
        <w:t>,</w:t>
      </w:r>
      <w:r w:rsidR="009665B2">
        <w:t xml:space="preserve"> </w:t>
      </w:r>
      <w:r w:rsidR="006A1FB6">
        <w:t xml:space="preserve">transdiagnostic </w:t>
      </w:r>
      <w:r w:rsidR="00C826ED">
        <w:t xml:space="preserve">online </w:t>
      </w:r>
      <w:r w:rsidR="009665B2">
        <w:t xml:space="preserve">treatment by </w:t>
      </w:r>
      <w:proofErr w:type="spellStart"/>
      <w:r w:rsidR="009665B2">
        <w:t>MindSpot</w:t>
      </w:r>
      <w:proofErr w:type="spellEnd"/>
      <w:r w:rsidRPr="00967370">
        <w:t xml:space="preserve">. </w:t>
      </w:r>
      <w:r w:rsidR="007045CC">
        <w:t xml:space="preserve">One study reported on outcomes </w:t>
      </w:r>
      <w:r w:rsidR="009665B2">
        <w:t xml:space="preserve">for </w:t>
      </w:r>
      <w:r w:rsidR="002658BB">
        <w:t>all consumers</w:t>
      </w:r>
      <w:r w:rsidR="001D58C8">
        <w:t>;</w:t>
      </w:r>
      <w:r w:rsidR="00483388">
        <w:fldChar w:fldCharType="begin"/>
      </w:r>
      <w:r w:rsidR="004469A2">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00483388">
        <w:fldChar w:fldCharType="separate"/>
      </w:r>
      <w:r w:rsidR="004469A2" w:rsidRPr="004469A2">
        <w:rPr>
          <w:noProof/>
          <w:vertAlign w:val="superscript"/>
        </w:rPr>
        <w:t>7</w:t>
      </w:r>
      <w:r w:rsidR="00483388">
        <w:fldChar w:fldCharType="end"/>
      </w:r>
      <w:r w:rsidR="001D58C8">
        <w:t xml:space="preserve"> the </w:t>
      </w:r>
      <w:r w:rsidR="00465ECA">
        <w:t>others each</w:t>
      </w:r>
      <w:r w:rsidR="001D58C8">
        <w:t xml:space="preserve"> focused on </w:t>
      </w:r>
      <w:r w:rsidR="00465ECA">
        <w:t>younger adults,</w:t>
      </w:r>
      <w:r w:rsidR="001D4EF8">
        <w:fldChar w:fldCharType="begin"/>
      </w:r>
      <w:r w:rsidR="004469A2">
        <w:instrText xml:space="preserve"> ADDIN EN.CITE &lt;EndNote&gt;&lt;Cite&gt;&lt;Author&gt;Staples&lt;/Author&gt;&lt;Year&gt;2019&lt;/Year&gt;&lt;RecNum&gt;140&lt;/RecNum&gt;&lt;DisplayText&gt;&lt;style face="superscript"&gt;64&lt;/style&gt;&lt;/DisplayText&gt;&lt;record&gt;&lt;rec-number&gt;140&lt;/rec-number&gt;&lt;foreign-keys&gt;&lt;key app="EN" db-id="dawtr0zrkrzfa5edzzlpe2we0xa00t90vvr2" timestamp="1650433982"&gt;140&lt;/key&gt;&lt;/foreign-keys&gt;&lt;ref-type name="Journal Article"&gt;17&lt;/ref-type&gt;&lt;contributors&gt;&lt;authors&gt;&lt;author&gt;Staples, Lauren G&lt;/author&gt;&lt;author&gt;Dear, Blake F&lt;/author&gt;&lt;author&gt;Johnson, Bareena&lt;/author&gt;&lt;author&gt;Fogliati, Vincent&lt;/author&gt;&lt;author&gt;Gandy, Milena&lt;/author&gt;&lt;author&gt;Fogliati, Rhiannon&lt;/author&gt;&lt;author&gt;Nielssen, Olav&lt;/author&gt;&lt;author&gt;Titov, Nickolai&lt;/author&gt;&lt;/authors&gt;&lt;/contributors&gt;&lt;titles&gt;&lt;title&gt;Internet-delivered treatment for young adults with anxiety and depression: Evaluation in routine clinical care and comparison with research trial outcomes&lt;/title&gt;&lt;secondary-title&gt;Journal of Affective Disorders&lt;/secondary-title&gt;&lt;/titles&gt;&lt;periodical&gt;&lt;full-title&gt;Journal of Affective Disorders&lt;/full-title&gt;&lt;/periodical&gt;&lt;pages&gt;103-109&lt;/pages&gt;&lt;volume&gt;256&lt;/volume&gt;&lt;dates&gt;&lt;year&gt;2019&lt;/year&gt;&lt;/dates&gt;&lt;isbn&gt;0165-0327&lt;/isbn&gt;&lt;urls&gt;&lt;/urls&gt;&lt;/record&gt;&lt;/Cite&gt;&lt;/EndNote&gt;</w:instrText>
      </w:r>
      <w:r w:rsidR="001D4EF8">
        <w:fldChar w:fldCharType="separate"/>
      </w:r>
      <w:r w:rsidR="004469A2" w:rsidRPr="004469A2">
        <w:rPr>
          <w:noProof/>
          <w:vertAlign w:val="superscript"/>
        </w:rPr>
        <w:t>64</w:t>
      </w:r>
      <w:r w:rsidR="001D4EF8">
        <w:fldChar w:fldCharType="end"/>
      </w:r>
      <w:r w:rsidR="00465ECA">
        <w:t xml:space="preserve"> older adults,</w:t>
      </w:r>
      <w:r w:rsidR="001D4EF8">
        <w:fldChar w:fldCharType="begin"/>
      </w:r>
      <w:r w:rsidR="004469A2">
        <w:instrText xml:space="preserve"> ADDIN EN.CITE &lt;EndNote&gt;&lt;Cite&gt;&lt;Author&gt;Staples&lt;/Author&gt;&lt;Year&gt;2016&lt;/Year&gt;&lt;RecNum&gt;139&lt;/RecNum&gt;&lt;DisplayText&gt;&lt;style face="superscript"&gt;65&lt;/style&gt;&lt;/DisplayText&gt;&lt;record&gt;&lt;rec-number&gt;139&lt;/rec-number&gt;&lt;foreign-keys&gt;&lt;key app="EN" db-id="dawtr0zrkrzfa5edzzlpe2we0xa00t90vvr2" timestamp="1650432507"&gt;139&lt;/key&gt;&lt;/foreign-keys&gt;&lt;ref-type name="Journal Article"&gt;17&lt;/ref-type&gt;&lt;contributors&gt;&lt;authors&gt;&lt;author&gt;Staples, Lauren G&lt;/author&gt;&lt;author&gt;Fogliati, Vincent J&lt;/author&gt;&lt;author&gt;Dear, Blake F&lt;/author&gt;&lt;author&gt;Nielssen, Olav&lt;/author&gt;&lt;author&gt;Titov, Nickolai&lt;/author&gt;&lt;/authors&gt;&lt;/contributors&gt;&lt;titles&gt;&lt;title&gt;Internet-delivered treatment for older adults with anxiety and depression: Implementation of the Wellbeing Plus Course in routine clinical care and comparison with research trial outcomes&lt;/title&gt;&lt;secondary-title&gt;BJPsych Open&lt;/secondary-title&gt;&lt;/titles&gt;&lt;periodical&gt;&lt;full-title&gt;BJPsych open&lt;/full-title&gt;&lt;/periodical&gt;&lt;pages&gt;307-313&lt;/pages&gt;&lt;volume&gt;2&lt;/volume&gt;&lt;number&gt;5&lt;/number&gt;&lt;dates&gt;&lt;year&gt;2016&lt;/year&gt;&lt;/dates&gt;&lt;isbn&gt;2056-4724&lt;/isbn&gt;&lt;urls&gt;&lt;/urls&gt;&lt;/record&gt;&lt;/Cite&gt;&lt;/EndNote&gt;</w:instrText>
      </w:r>
      <w:r w:rsidR="001D4EF8">
        <w:fldChar w:fldCharType="separate"/>
      </w:r>
      <w:r w:rsidR="004469A2" w:rsidRPr="004469A2">
        <w:rPr>
          <w:noProof/>
          <w:vertAlign w:val="superscript"/>
        </w:rPr>
        <w:t>65</w:t>
      </w:r>
      <w:r w:rsidR="001D4EF8">
        <w:fldChar w:fldCharType="end"/>
      </w:r>
      <w:r w:rsidR="00465ECA">
        <w:t xml:space="preserve"> Indigenous peoples</w:t>
      </w:r>
      <w:r w:rsidR="002B2481">
        <w:fldChar w:fldCharType="begin"/>
      </w:r>
      <w:r w:rsidR="004469A2">
        <w:instrText xml:space="preserve"> ADDIN EN.CITE &lt;EndNote&gt;&lt;Cite&gt;&lt;Author&gt;Titov&lt;/Author&gt;&lt;Year&gt;2019&lt;/Year&gt;&lt;RecNum&gt;138&lt;/RecNum&gt;&lt;DisplayText&gt;&lt;style face="superscript"&gt;25&lt;/style&gt;&lt;/DisplayText&gt;&lt;record&gt;&lt;rec-number&gt;138&lt;/rec-number&gt;&lt;foreign-keys&gt;&lt;key app="EN" db-id="dawtr0zrkrzfa5edzzlpe2we0xa00t90vvr2" timestamp="1650430455"&gt;138&lt;/key&gt;&lt;/foreign-keys&gt;&lt;ref-type name="Journal Article"&gt;17&lt;/ref-type&gt;&lt;contributors&gt;&lt;authors&gt;&lt;author&gt;Titov, Nickolai&lt;/author&gt;&lt;author&gt;Schofield, Carlie&lt;/author&gt;&lt;author&gt;Staples, Lauren&lt;/author&gt;&lt;author&gt;Dear, Blake F&lt;/author&gt;&lt;author&gt;Nielssen, Olav&lt;/author&gt;&lt;/authors&gt;&lt;/contributors&gt;&lt;titles&gt;&lt;title&gt;A comparison of Indigenous and non-Indigenous users of MindSpot: An Australian digital mental health service&lt;/title&gt;&lt;secondary-title&gt;Australasian Psychiatry&lt;/secondary-title&gt;&lt;/titles&gt;&lt;periodical&gt;&lt;full-title&gt;Australasian Psychiatry&lt;/full-title&gt;&lt;/periodical&gt;&lt;pages&gt;352-357&lt;/pages&gt;&lt;volume&gt;27&lt;/volume&gt;&lt;number&gt;4&lt;/number&gt;&lt;dates&gt;&lt;year&gt;2019&lt;/year&gt;&lt;/dates&gt;&lt;isbn&gt;1039-8562&lt;/isbn&gt;&lt;urls&gt;&lt;/urls&gt;&lt;/record&gt;&lt;/Cite&gt;&lt;/EndNote&gt;</w:instrText>
      </w:r>
      <w:r w:rsidR="002B2481">
        <w:fldChar w:fldCharType="separate"/>
      </w:r>
      <w:r w:rsidR="004469A2" w:rsidRPr="004469A2">
        <w:rPr>
          <w:noProof/>
          <w:vertAlign w:val="superscript"/>
        </w:rPr>
        <w:t>25</w:t>
      </w:r>
      <w:r w:rsidR="002B2481">
        <w:fldChar w:fldCharType="end"/>
      </w:r>
      <w:r w:rsidR="00465ECA">
        <w:t xml:space="preserve"> and </w:t>
      </w:r>
      <w:r w:rsidR="006A1FB6">
        <w:t xml:space="preserve">migrants. </w:t>
      </w:r>
      <w:r w:rsidRPr="00967370">
        <w:t xml:space="preserve">Treatment completion rates ranged from </w:t>
      </w:r>
      <w:r w:rsidR="00DA2FD5">
        <w:t>59</w:t>
      </w:r>
      <w:r w:rsidRPr="00967370">
        <w:t xml:space="preserve">% to </w:t>
      </w:r>
      <w:r w:rsidR="00DA2FD5">
        <w:t>78</w:t>
      </w:r>
      <w:r w:rsidRPr="00967370">
        <w:t xml:space="preserve">%, </w:t>
      </w:r>
      <w:r w:rsidR="003345BC">
        <w:t xml:space="preserve">with </w:t>
      </w:r>
      <w:r w:rsidRPr="00967370">
        <w:t xml:space="preserve">higher rates for </w:t>
      </w:r>
      <w:r w:rsidR="00D34324">
        <w:t xml:space="preserve">older adults and migrants </w:t>
      </w:r>
      <w:r w:rsidR="00DD4583">
        <w:t xml:space="preserve">born in </w:t>
      </w:r>
      <w:r w:rsidR="00CD2AF5">
        <w:t xml:space="preserve">the </w:t>
      </w:r>
      <w:r w:rsidR="00DD4583">
        <w:t>Middle</w:t>
      </w:r>
      <w:r w:rsidR="00BA351C">
        <w:t xml:space="preserve"> </w:t>
      </w:r>
      <w:r w:rsidR="00CD2AF5">
        <w:t xml:space="preserve">East </w:t>
      </w:r>
      <w:r w:rsidR="00BA351C">
        <w:t xml:space="preserve">and lower rates for </w:t>
      </w:r>
      <w:r w:rsidR="00CD2AF5">
        <w:t>migrants born in Asia.</w:t>
      </w:r>
    </w:p>
    <w:p w14:paraId="213B7242" w14:textId="7A57D161" w:rsidR="00AB361A" w:rsidRDefault="00401996" w:rsidP="002029DC">
      <w:pPr>
        <w:pStyle w:val="ANorm"/>
        <w:spacing w:after="200"/>
      </w:pPr>
      <w:r>
        <w:t>Four</w:t>
      </w:r>
      <w:r w:rsidR="00E861B8">
        <w:t xml:space="preserve"> studies reported </w:t>
      </w:r>
      <w:r w:rsidR="003D22AE">
        <w:t>the average percentage of symptom improvement</w:t>
      </w:r>
      <w:r w:rsidR="00F02ECD">
        <w:t xml:space="preserve">. The study by </w:t>
      </w:r>
      <w:proofErr w:type="spellStart"/>
      <w:r w:rsidR="00F02ECD">
        <w:t>Titov</w:t>
      </w:r>
      <w:proofErr w:type="spellEnd"/>
      <w:r w:rsidR="00F02ECD">
        <w:t xml:space="preserve"> </w:t>
      </w:r>
      <w:r w:rsidR="0065750D">
        <w:t>et al</w:t>
      </w:r>
      <w:r w:rsidR="00F02ECD">
        <w:t xml:space="preserve"> (2020)</w:t>
      </w:r>
      <w:r w:rsidR="006C1D52">
        <w:t>,</w:t>
      </w:r>
      <w:r w:rsidR="00F02ECD">
        <w:t xml:space="preserve"> which </w:t>
      </w:r>
      <w:r w:rsidR="00A74F08">
        <w:t>examined effectiveness for all consumers over seven years</w:t>
      </w:r>
      <w:r w:rsidR="00D05B53">
        <w:t>,</w:t>
      </w:r>
      <w:r w:rsidR="00A74F08">
        <w:t xml:space="preserve"> reported</w:t>
      </w:r>
      <w:r w:rsidR="007A0F24">
        <w:t xml:space="preserve"> </w:t>
      </w:r>
      <w:r w:rsidR="00C276A5">
        <w:t xml:space="preserve">post-treatment </w:t>
      </w:r>
      <w:r w:rsidR="007A0F24">
        <w:t>symptom improvement ranging from 46% on the K10 to 53% on the PHQ-9 and GAD-7</w:t>
      </w:r>
      <w:r w:rsidR="003521F4">
        <w:t>.</w:t>
      </w:r>
      <w:r w:rsidR="005971E4">
        <w:fldChar w:fldCharType="begin"/>
      </w:r>
      <w:r w:rsidR="004469A2">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005971E4">
        <w:fldChar w:fldCharType="separate"/>
      </w:r>
      <w:r w:rsidR="004469A2" w:rsidRPr="004469A2">
        <w:rPr>
          <w:noProof/>
          <w:vertAlign w:val="superscript"/>
        </w:rPr>
        <w:t>7</w:t>
      </w:r>
      <w:r w:rsidR="005971E4">
        <w:fldChar w:fldCharType="end"/>
      </w:r>
      <w:r w:rsidR="003521F4">
        <w:t xml:space="preserve"> The equivalent rates </w:t>
      </w:r>
      <w:r w:rsidR="007C01FF">
        <w:t xml:space="preserve">were lower </w:t>
      </w:r>
      <w:r w:rsidR="005971E4">
        <w:t>(</w:t>
      </w:r>
      <w:r w:rsidR="009333AC">
        <w:t>36%</w:t>
      </w:r>
      <w:r w:rsidR="007C59FE">
        <w:t xml:space="preserve"> on the K10</w:t>
      </w:r>
      <w:r w:rsidR="005971E4">
        <w:t>)</w:t>
      </w:r>
      <w:r w:rsidR="007C59FE">
        <w:t xml:space="preserve"> for younger adults</w:t>
      </w:r>
      <w:r w:rsidR="005971E4">
        <w:fldChar w:fldCharType="begin"/>
      </w:r>
      <w:r w:rsidR="004469A2">
        <w:instrText xml:space="preserve"> ADDIN EN.CITE &lt;EndNote&gt;&lt;Cite&gt;&lt;Author&gt;Staples&lt;/Author&gt;&lt;Year&gt;2019&lt;/Year&gt;&lt;RecNum&gt;140&lt;/RecNum&gt;&lt;DisplayText&gt;&lt;style face="superscript"&gt;64&lt;/style&gt;&lt;/DisplayText&gt;&lt;record&gt;&lt;rec-number&gt;140&lt;/rec-number&gt;&lt;foreign-keys&gt;&lt;key app="EN" db-id="dawtr0zrkrzfa5edzzlpe2we0xa00t90vvr2" timestamp="1650433982"&gt;140&lt;/key&gt;&lt;/foreign-keys&gt;&lt;ref-type name="Journal Article"&gt;17&lt;/ref-type&gt;&lt;contributors&gt;&lt;authors&gt;&lt;author&gt;Staples, Lauren G&lt;/author&gt;&lt;author&gt;Dear, Blake F&lt;/author&gt;&lt;author&gt;Johnson, Bareena&lt;/author&gt;&lt;author&gt;Fogliati, Vincent&lt;/author&gt;&lt;author&gt;Gandy, Milena&lt;/author&gt;&lt;author&gt;Fogliati, Rhiannon&lt;/author&gt;&lt;author&gt;Nielssen, Olav&lt;/author&gt;&lt;author&gt;Titov, Nickolai&lt;/author&gt;&lt;/authors&gt;&lt;/contributors&gt;&lt;titles&gt;&lt;title&gt;Internet-delivered treatment for young adults with anxiety and depression: Evaluation in routine clinical care and comparison with research trial outcomes&lt;/title&gt;&lt;secondary-title&gt;Journal of Affective Disorders&lt;/secondary-title&gt;&lt;/titles&gt;&lt;periodical&gt;&lt;full-title&gt;Journal of Affective Disorders&lt;/full-title&gt;&lt;/periodical&gt;&lt;pages&gt;103-109&lt;/pages&gt;&lt;volume&gt;256&lt;/volume&gt;&lt;dates&gt;&lt;year&gt;2019&lt;/year&gt;&lt;/dates&gt;&lt;isbn&gt;0165-0327&lt;/isbn&gt;&lt;urls&gt;&lt;/urls&gt;&lt;/record&gt;&lt;/Cite&gt;&lt;/EndNote&gt;</w:instrText>
      </w:r>
      <w:r w:rsidR="005971E4">
        <w:fldChar w:fldCharType="separate"/>
      </w:r>
      <w:r w:rsidR="004469A2" w:rsidRPr="004469A2">
        <w:rPr>
          <w:noProof/>
          <w:vertAlign w:val="superscript"/>
        </w:rPr>
        <w:t>64</w:t>
      </w:r>
      <w:r w:rsidR="005971E4">
        <w:fldChar w:fldCharType="end"/>
      </w:r>
      <w:r w:rsidR="007C59FE">
        <w:t xml:space="preserve"> </w:t>
      </w:r>
      <w:r w:rsidR="007C01FF">
        <w:t xml:space="preserve">and higher </w:t>
      </w:r>
      <w:r w:rsidR="005971E4">
        <w:t>(</w:t>
      </w:r>
      <w:r w:rsidR="007C59FE">
        <w:t>58% on the PHQ-9</w:t>
      </w:r>
      <w:r w:rsidR="005971E4">
        <w:t>)</w:t>
      </w:r>
      <w:r w:rsidR="007C59FE">
        <w:t xml:space="preserve"> for older adults</w:t>
      </w:r>
      <w:r w:rsidR="00816B03">
        <w:t>.</w:t>
      </w:r>
      <w:r w:rsidR="005971E4">
        <w:fldChar w:fldCharType="begin"/>
      </w:r>
      <w:r w:rsidR="004469A2">
        <w:instrText xml:space="preserve"> ADDIN EN.CITE &lt;EndNote&gt;&lt;Cite&gt;&lt;Author&gt;Staples&lt;/Author&gt;&lt;Year&gt;2016&lt;/Year&gt;&lt;RecNum&gt;139&lt;/RecNum&gt;&lt;DisplayText&gt;&lt;style face="superscript"&gt;65&lt;/style&gt;&lt;/DisplayText&gt;&lt;record&gt;&lt;rec-number&gt;139&lt;/rec-number&gt;&lt;foreign-keys&gt;&lt;key app="EN" db-id="dawtr0zrkrzfa5edzzlpe2we0xa00t90vvr2" timestamp="1650432507"&gt;139&lt;/key&gt;&lt;/foreign-keys&gt;&lt;ref-type name="Journal Article"&gt;17&lt;/ref-type&gt;&lt;contributors&gt;&lt;authors&gt;&lt;author&gt;Staples, Lauren G&lt;/author&gt;&lt;author&gt;Fogliati, Vincent J&lt;/author&gt;&lt;author&gt;Dear, Blake F&lt;/author&gt;&lt;author&gt;Nielssen, Olav&lt;/author&gt;&lt;author&gt;Titov, Nickolai&lt;/author&gt;&lt;/authors&gt;&lt;/contributors&gt;&lt;titles&gt;&lt;title&gt;Internet-delivered treatment for older adults with anxiety and depression: Implementation of the Wellbeing Plus Course in routine clinical care and comparison with research trial outcomes&lt;/title&gt;&lt;secondary-title&gt;BJPsych Open&lt;/secondary-title&gt;&lt;/titles&gt;&lt;periodical&gt;&lt;full-title&gt;BJPsych open&lt;/full-title&gt;&lt;/periodical&gt;&lt;pages&gt;307-313&lt;/pages&gt;&lt;volume&gt;2&lt;/volume&gt;&lt;number&gt;5&lt;/number&gt;&lt;dates&gt;&lt;year&gt;2016&lt;/year&gt;&lt;/dates&gt;&lt;isbn&gt;2056-4724&lt;/isbn&gt;&lt;urls&gt;&lt;/urls&gt;&lt;/record&gt;&lt;/Cite&gt;&lt;/EndNote&gt;</w:instrText>
      </w:r>
      <w:r w:rsidR="005971E4">
        <w:fldChar w:fldCharType="separate"/>
      </w:r>
      <w:r w:rsidR="004469A2" w:rsidRPr="004469A2">
        <w:rPr>
          <w:noProof/>
          <w:vertAlign w:val="superscript"/>
        </w:rPr>
        <w:t>65</w:t>
      </w:r>
      <w:r w:rsidR="005971E4">
        <w:fldChar w:fldCharType="end"/>
      </w:r>
    </w:p>
    <w:p w14:paraId="1A191D33" w14:textId="3159E606" w:rsidR="00CC5E3E" w:rsidRDefault="00EF30B3" w:rsidP="002029DC">
      <w:pPr>
        <w:pStyle w:val="ANorm"/>
        <w:spacing w:after="200"/>
      </w:pPr>
      <w:r>
        <w:t xml:space="preserve">Only </w:t>
      </w:r>
      <w:r w:rsidR="00D96D79">
        <w:t xml:space="preserve">the study of outcomes for migrants by </w:t>
      </w:r>
      <w:proofErr w:type="spellStart"/>
      <w:r w:rsidR="00D96D79">
        <w:t>Kayrouz</w:t>
      </w:r>
      <w:proofErr w:type="spellEnd"/>
      <w:r w:rsidR="00D96D79">
        <w:t xml:space="preserve"> </w:t>
      </w:r>
      <w:r w:rsidR="0065750D">
        <w:t>et al</w:t>
      </w:r>
      <w:r w:rsidR="00D96D79">
        <w:t xml:space="preserve"> (2020) </w:t>
      </w:r>
      <w:r>
        <w:t xml:space="preserve">reported remission rates, operationalised as </w:t>
      </w:r>
      <w:r w:rsidR="00912586">
        <w:t>&gt;50% symptom improvement</w:t>
      </w:r>
      <w:r w:rsidR="00D96D79">
        <w:t>. These ranged from</w:t>
      </w:r>
      <w:r w:rsidR="00912586">
        <w:t xml:space="preserve"> </w:t>
      </w:r>
      <w:r w:rsidR="00CC5E3E">
        <w:t xml:space="preserve">53-70% </w:t>
      </w:r>
      <w:r w:rsidR="00AB3F55">
        <w:t>for migrants and 56% for Australian-born consumers.</w:t>
      </w:r>
      <w:r w:rsidR="00824BAC">
        <w:fldChar w:fldCharType="begin"/>
      </w:r>
      <w:r w:rsidR="004469A2">
        <w:instrText xml:space="preserve"> ADDIN EN.CITE &lt;EndNote&gt;&lt;Cite&gt;&lt;Author&gt;Kayrouz&lt;/Author&gt;&lt;Year&gt;2020&lt;/Year&gt;&lt;RecNum&gt;137&lt;/RecNum&gt;&lt;DisplayText&gt;&lt;style face="superscript"&gt;66&lt;/style&gt;&lt;/DisplayText&gt;&lt;record&gt;&lt;rec-number&gt;137&lt;/rec-number&gt;&lt;foreign-keys&gt;&lt;key app="EN" db-id="dawtr0zrkrzfa5edzzlpe2we0xa00t90vvr2" timestamp="1650429449"&gt;137&lt;/key&gt;&lt;/foreign-keys&gt;&lt;ref-type name="Journal Article"&gt;17&lt;/ref-type&gt;&lt;contributors&gt;&lt;authors&gt;&lt;author&gt;Kayrouz, Rony&lt;/author&gt;&lt;author&gt;Karin, Eyal&lt;/author&gt;&lt;author&gt;Staples, Lauren G.&lt;/author&gt;&lt;author&gt;Nielssen, Olav&lt;/author&gt;&lt;author&gt;Dear, Blake F.&lt;/author&gt;&lt;author&gt;Titov, Nickolai&lt;/author&gt;&lt;/authors&gt;&lt;/contributors&gt;&lt;titles&gt;&lt;title&gt;A comparison of the characteristics and treatment outcomes of migrant and Australian-born users of a national digital mental health service&lt;/title&gt;&lt;secondary-title&gt;BMC Psychiatry&lt;/secondary-title&gt;&lt;/titles&gt;&lt;periodical&gt;&lt;full-title&gt;BMC Psychiatry&lt;/full-title&gt;&lt;/periodical&gt;&lt;pages&gt;111&lt;/pages&gt;&lt;volume&gt;20&lt;/volume&gt;&lt;number&gt;1&lt;/number&gt;&lt;dates&gt;&lt;year&gt;2020&lt;/year&gt;&lt;pub-dates&gt;&lt;date&gt;2020/03/11&lt;/date&gt;&lt;/pub-dates&gt;&lt;/dates&gt;&lt;isbn&gt;1471-244X&lt;/isbn&gt;&lt;urls&gt;&lt;related-urls&gt;&lt;url&gt;https://doi.org/10.1186/s12888-020-02486-3&lt;/url&gt;&lt;/related-urls&gt;&lt;/urls&gt;&lt;electronic-resource-num&gt;10.1186/s12888-020-02486-3&lt;/electronic-resource-num&gt;&lt;/record&gt;&lt;/Cite&gt;&lt;/EndNote&gt;</w:instrText>
      </w:r>
      <w:r w:rsidR="00824BAC">
        <w:fldChar w:fldCharType="separate"/>
      </w:r>
      <w:r w:rsidR="004469A2" w:rsidRPr="004469A2">
        <w:rPr>
          <w:noProof/>
          <w:vertAlign w:val="superscript"/>
        </w:rPr>
        <w:t>66</w:t>
      </w:r>
      <w:r w:rsidR="00824BAC">
        <w:fldChar w:fldCharType="end"/>
      </w:r>
    </w:p>
    <w:p w14:paraId="46699569" w14:textId="3F658413" w:rsidR="00200BD2" w:rsidRPr="00B735B6" w:rsidRDefault="00200BD2" w:rsidP="002029DC">
      <w:pPr>
        <w:pStyle w:val="ANorm"/>
        <w:spacing w:after="200"/>
      </w:pPr>
      <w:r>
        <w:t xml:space="preserve">Four studies reported reliable change data. These demonstrated </w:t>
      </w:r>
      <w:r w:rsidR="00782D37">
        <w:t>low</w:t>
      </w:r>
      <w:r>
        <w:t xml:space="preserve"> </w:t>
      </w:r>
      <w:r w:rsidR="00782D37">
        <w:t>deterioration rates ranging from 1.2% in older adults</w:t>
      </w:r>
      <w:r w:rsidR="007D5E07">
        <w:fldChar w:fldCharType="begin"/>
      </w:r>
      <w:r w:rsidR="004469A2">
        <w:instrText xml:space="preserve"> ADDIN EN.CITE &lt;EndNote&gt;&lt;Cite&gt;&lt;Author&gt;Staples&lt;/Author&gt;&lt;Year&gt;2016&lt;/Year&gt;&lt;RecNum&gt;139&lt;/RecNum&gt;&lt;DisplayText&gt;&lt;style face="superscript"&gt;65&lt;/style&gt;&lt;/DisplayText&gt;&lt;record&gt;&lt;rec-number&gt;139&lt;/rec-number&gt;&lt;foreign-keys&gt;&lt;key app="EN" db-id="dawtr0zrkrzfa5edzzlpe2we0xa00t90vvr2" timestamp="1650432507"&gt;139&lt;/key&gt;&lt;/foreign-keys&gt;&lt;ref-type name="Journal Article"&gt;17&lt;/ref-type&gt;&lt;contributors&gt;&lt;authors&gt;&lt;author&gt;Staples, Lauren G&lt;/author&gt;&lt;author&gt;Fogliati, Vincent J&lt;/author&gt;&lt;author&gt;Dear, Blake F&lt;/author&gt;&lt;author&gt;Nielssen, Olav&lt;/author&gt;&lt;author&gt;Titov, Nickolai&lt;/author&gt;&lt;/authors&gt;&lt;/contributors&gt;&lt;titles&gt;&lt;title&gt;Internet-delivered treatment for older adults with anxiety and depression: Implementation of the Wellbeing Plus Course in routine clinical care and comparison with research trial outcomes&lt;/title&gt;&lt;secondary-title&gt;BJPsych Open&lt;/secondary-title&gt;&lt;/titles&gt;&lt;periodical&gt;&lt;full-title&gt;BJPsych open&lt;/full-title&gt;&lt;/periodical&gt;&lt;pages&gt;307-313&lt;/pages&gt;&lt;volume&gt;2&lt;/volume&gt;&lt;number&gt;5&lt;/number&gt;&lt;dates&gt;&lt;year&gt;2016&lt;/year&gt;&lt;/dates&gt;&lt;isbn&gt;2056-4724&lt;/isbn&gt;&lt;urls&gt;&lt;/urls&gt;&lt;/record&gt;&lt;/Cite&gt;&lt;/EndNote&gt;</w:instrText>
      </w:r>
      <w:r w:rsidR="007D5E07">
        <w:fldChar w:fldCharType="separate"/>
      </w:r>
      <w:r w:rsidR="004469A2" w:rsidRPr="004469A2">
        <w:rPr>
          <w:noProof/>
          <w:vertAlign w:val="superscript"/>
        </w:rPr>
        <w:t>65</w:t>
      </w:r>
      <w:r w:rsidR="007D5E07">
        <w:fldChar w:fldCharType="end"/>
      </w:r>
      <w:r w:rsidR="00782D37">
        <w:t xml:space="preserve"> to </w:t>
      </w:r>
      <w:r w:rsidR="00EE772C">
        <w:t xml:space="preserve">2.2% </w:t>
      </w:r>
      <w:r w:rsidR="00F264E2">
        <w:t>for</w:t>
      </w:r>
      <w:r w:rsidR="00EE772C">
        <w:t xml:space="preserve"> all consumers,</w:t>
      </w:r>
      <w:r w:rsidR="007D5E07">
        <w:fldChar w:fldCharType="begin"/>
      </w:r>
      <w:r w:rsidR="004469A2">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007D5E07">
        <w:fldChar w:fldCharType="separate"/>
      </w:r>
      <w:r w:rsidR="004469A2" w:rsidRPr="004469A2">
        <w:rPr>
          <w:noProof/>
          <w:vertAlign w:val="superscript"/>
        </w:rPr>
        <w:t>7</w:t>
      </w:r>
      <w:r w:rsidR="007D5E07">
        <w:fldChar w:fldCharType="end"/>
      </w:r>
      <w:r w:rsidR="00EE772C">
        <w:t xml:space="preserve"> and up</w:t>
      </w:r>
      <w:r w:rsidR="007D5E07">
        <w:t xml:space="preserve"> </w:t>
      </w:r>
      <w:r w:rsidR="00EE772C">
        <w:t>to 7%</w:t>
      </w:r>
      <w:r w:rsidR="00F264E2">
        <w:t xml:space="preserve"> </w:t>
      </w:r>
      <w:r w:rsidR="00F264E2" w:rsidRPr="00B1194C">
        <w:t xml:space="preserve">for </w:t>
      </w:r>
      <w:r w:rsidR="00EE772C" w:rsidRPr="00B1194C">
        <w:t>migrant</w:t>
      </w:r>
      <w:r w:rsidR="00F264E2" w:rsidRPr="00B1194C">
        <w:t>s</w:t>
      </w:r>
      <w:r w:rsidR="00EE772C" w:rsidRPr="00B1194C">
        <w:t xml:space="preserve"> </w:t>
      </w:r>
      <w:r w:rsidR="00F264E2" w:rsidRPr="00B1194C">
        <w:t>from</w:t>
      </w:r>
      <w:r w:rsidR="00F264E2">
        <w:t xml:space="preserve"> non-English speaking background</w:t>
      </w:r>
      <w:r w:rsidR="002149FC">
        <w:t>s</w:t>
      </w:r>
      <w:r w:rsidR="00EE772C">
        <w:t>.</w:t>
      </w:r>
      <w:r w:rsidR="0048391D">
        <w:fldChar w:fldCharType="begin"/>
      </w:r>
      <w:r w:rsidR="004469A2">
        <w:instrText xml:space="preserve"> ADDIN EN.CITE &lt;EndNote&gt;&lt;Cite&gt;&lt;Author&gt;Kayrouz&lt;/Author&gt;&lt;Year&gt;2020&lt;/Year&gt;&lt;RecNum&gt;137&lt;/RecNum&gt;&lt;DisplayText&gt;&lt;style face="superscript"&gt;66&lt;/style&gt;&lt;/DisplayText&gt;&lt;record&gt;&lt;rec-number&gt;137&lt;/rec-number&gt;&lt;foreign-keys&gt;&lt;key app="EN" db-id="dawtr0zrkrzfa5edzzlpe2we0xa00t90vvr2" timestamp="1650429449"&gt;137&lt;/key&gt;&lt;/foreign-keys&gt;&lt;ref-type name="Journal Article"&gt;17&lt;/ref-type&gt;&lt;contributors&gt;&lt;authors&gt;&lt;author&gt;Kayrouz, Rony&lt;/author&gt;&lt;author&gt;Karin, Eyal&lt;/author&gt;&lt;author&gt;Staples, Lauren G.&lt;/author&gt;&lt;author&gt;Nielssen, Olav&lt;/author&gt;&lt;author&gt;Dear, Blake F.&lt;/author&gt;&lt;author&gt;Titov, Nickolai&lt;/author&gt;&lt;/authors&gt;&lt;/contributors&gt;&lt;titles&gt;&lt;title&gt;A comparison of the characteristics and treatment outcomes of migrant and Australian-born users of a national digital mental health service&lt;/title&gt;&lt;secondary-title&gt;BMC Psychiatry&lt;/secondary-title&gt;&lt;/titles&gt;&lt;periodical&gt;&lt;full-title&gt;BMC Psychiatry&lt;/full-title&gt;&lt;/periodical&gt;&lt;pages&gt;111&lt;/pages&gt;&lt;volume&gt;20&lt;/volume&gt;&lt;number&gt;1&lt;/number&gt;&lt;dates&gt;&lt;year&gt;2020&lt;/year&gt;&lt;pub-dates&gt;&lt;date&gt;2020/03/11&lt;/date&gt;&lt;/pub-dates&gt;&lt;/dates&gt;&lt;isbn&gt;1471-244X&lt;/isbn&gt;&lt;urls&gt;&lt;related-urls&gt;&lt;url&gt;https://doi.org/10.1186/s12888-020-02486-3&lt;/url&gt;&lt;/related-urls&gt;&lt;/urls&gt;&lt;electronic-resource-num&gt;10.1186/s12888-020-02486-3&lt;/electronic-resource-num&gt;&lt;/record&gt;&lt;/Cite&gt;&lt;/EndNote&gt;</w:instrText>
      </w:r>
      <w:r w:rsidR="0048391D">
        <w:fldChar w:fldCharType="separate"/>
      </w:r>
      <w:r w:rsidR="004469A2" w:rsidRPr="004469A2">
        <w:rPr>
          <w:noProof/>
          <w:vertAlign w:val="superscript"/>
        </w:rPr>
        <w:t>66</w:t>
      </w:r>
      <w:r w:rsidR="0048391D">
        <w:fldChar w:fldCharType="end"/>
      </w:r>
      <w:r w:rsidR="00920998">
        <w:t xml:space="preserve"> </w:t>
      </w:r>
      <w:r w:rsidR="00093F88">
        <w:t>The study of migrant</w:t>
      </w:r>
      <w:r w:rsidR="0023762E">
        <w:t xml:space="preserve"> consumers also reported post-treatment </w:t>
      </w:r>
      <w:r w:rsidR="00DE1953">
        <w:t>change in Australian born consumers</w:t>
      </w:r>
      <w:r w:rsidR="00355711">
        <w:t>, with 56% remitting</w:t>
      </w:r>
      <w:r w:rsidR="004F55FA">
        <w:t xml:space="preserve"> (&gt;50% improv</w:t>
      </w:r>
      <w:r w:rsidR="008F181B">
        <w:t>ement)</w:t>
      </w:r>
      <w:r w:rsidR="00355711">
        <w:t>, 19% minimally improving</w:t>
      </w:r>
      <w:r w:rsidR="008F181B">
        <w:t xml:space="preserve"> (&lt;30% improvement)</w:t>
      </w:r>
      <w:r w:rsidR="00355711">
        <w:t xml:space="preserve">, </w:t>
      </w:r>
      <w:r w:rsidR="00581831">
        <w:t xml:space="preserve">21% no change </w:t>
      </w:r>
      <w:r w:rsidR="008F181B">
        <w:t xml:space="preserve">(-30 to 30% change) </w:t>
      </w:r>
      <w:r w:rsidR="00581831">
        <w:t>and 5% deteriorating</w:t>
      </w:r>
      <w:r w:rsidR="00CD18BB">
        <w:t xml:space="preserve"> (&gt;30% </w:t>
      </w:r>
      <w:r w:rsidR="00800273">
        <w:t>deterioration)</w:t>
      </w:r>
      <w:r w:rsidR="00581831">
        <w:t>.</w:t>
      </w:r>
      <w:r w:rsidR="00581831">
        <w:fldChar w:fldCharType="begin"/>
      </w:r>
      <w:r w:rsidR="004469A2">
        <w:instrText xml:space="preserve"> ADDIN EN.CITE &lt;EndNote&gt;&lt;Cite&gt;&lt;Author&gt;Kayrouz&lt;/Author&gt;&lt;Year&gt;2020&lt;/Year&gt;&lt;RecNum&gt;137&lt;/RecNum&gt;&lt;DisplayText&gt;&lt;style face="superscript"&gt;66&lt;/style&gt;&lt;/DisplayText&gt;&lt;record&gt;&lt;rec-number&gt;137&lt;/rec-number&gt;&lt;foreign-keys&gt;&lt;key app="EN" db-id="dawtr0zrkrzfa5edzzlpe2we0xa00t90vvr2" timestamp="1650429449"&gt;137&lt;/key&gt;&lt;/foreign-keys&gt;&lt;ref-type name="Journal Article"&gt;17&lt;/ref-type&gt;&lt;contributors&gt;&lt;authors&gt;&lt;author&gt;Kayrouz, Rony&lt;/author&gt;&lt;author&gt;Karin, Eyal&lt;/author&gt;&lt;author&gt;Staples, Lauren G.&lt;/author&gt;&lt;author&gt;Nielssen, Olav&lt;/author&gt;&lt;author&gt;Dear, Blake F.&lt;/author&gt;&lt;author&gt;Titov, Nickolai&lt;/author&gt;&lt;/authors&gt;&lt;/contributors&gt;&lt;titles&gt;&lt;title&gt;A comparison of the characteristics and treatment outcomes of migrant and Australian-born users of a national digital mental health service&lt;/title&gt;&lt;secondary-title&gt;BMC Psychiatry&lt;/secondary-title&gt;&lt;/titles&gt;&lt;periodical&gt;&lt;full-title&gt;BMC Psychiatry&lt;/full-title&gt;&lt;/periodical&gt;&lt;pages&gt;111&lt;/pages&gt;&lt;volume&gt;20&lt;/volume&gt;&lt;number&gt;1&lt;/number&gt;&lt;dates&gt;&lt;year&gt;2020&lt;/year&gt;&lt;pub-dates&gt;&lt;date&gt;2020/03/11&lt;/date&gt;&lt;/pub-dates&gt;&lt;/dates&gt;&lt;isbn&gt;1471-244X&lt;/isbn&gt;&lt;urls&gt;&lt;related-urls&gt;&lt;url&gt;https://doi.org/10.1186/s12888-020-02486-3&lt;/url&gt;&lt;/related-urls&gt;&lt;/urls&gt;&lt;electronic-resource-num&gt;10.1186/s12888-020-02486-3&lt;/electronic-resource-num&gt;&lt;/record&gt;&lt;/Cite&gt;&lt;/EndNote&gt;</w:instrText>
      </w:r>
      <w:r w:rsidR="00581831">
        <w:fldChar w:fldCharType="separate"/>
      </w:r>
      <w:r w:rsidR="004469A2" w:rsidRPr="004469A2">
        <w:rPr>
          <w:noProof/>
          <w:vertAlign w:val="superscript"/>
        </w:rPr>
        <w:t>66</w:t>
      </w:r>
      <w:r w:rsidR="00581831">
        <w:fldChar w:fldCharType="end"/>
      </w:r>
      <w:r w:rsidR="00581831">
        <w:t xml:space="preserve"> </w:t>
      </w:r>
      <w:r w:rsidR="00800273">
        <w:t>T</w:t>
      </w:r>
      <w:r w:rsidR="00920998">
        <w:t xml:space="preserve">he study of all consumers also reported reliable recovery rates of </w:t>
      </w:r>
      <w:r w:rsidR="004D2268">
        <w:t xml:space="preserve">60% in consumers with clinically significant </w:t>
      </w:r>
      <w:r w:rsidR="00B06B3E">
        <w:t>baseline depression and anxiety symptoms</w:t>
      </w:r>
      <w:r w:rsidR="00104240">
        <w:t xml:space="preserve"> and lower than cut-offs </w:t>
      </w:r>
      <w:r w:rsidR="00D314B6">
        <w:t>at post-</w:t>
      </w:r>
      <w:r w:rsidR="00D314B6" w:rsidRPr="00B735B6">
        <w:t>treatment with evidence of reliable change</w:t>
      </w:r>
      <w:r w:rsidR="00B735B6" w:rsidRPr="00B735B6">
        <w:t xml:space="preserve"> (at least 6 points on the PHQ-9 and at least 5 points on the GAD-7)</w:t>
      </w:r>
      <w:r w:rsidR="00B06B3E" w:rsidRPr="00B735B6">
        <w:t>.</w:t>
      </w:r>
      <w:r w:rsidR="005E510C" w:rsidRPr="00B735B6">
        <w:fldChar w:fldCharType="begin"/>
      </w:r>
      <w:r w:rsidR="004469A2">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005E510C" w:rsidRPr="00B735B6">
        <w:fldChar w:fldCharType="separate"/>
      </w:r>
      <w:r w:rsidR="004469A2" w:rsidRPr="004469A2">
        <w:rPr>
          <w:noProof/>
          <w:vertAlign w:val="superscript"/>
        </w:rPr>
        <w:t>7</w:t>
      </w:r>
      <w:r w:rsidR="005E510C" w:rsidRPr="00B735B6">
        <w:fldChar w:fldCharType="end"/>
      </w:r>
    </w:p>
    <w:p w14:paraId="0677D08F" w14:textId="7A785A7A" w:rsidR="00292185" w:rsidRPr="006E5E31" w:rsidRDefault="009D6BF2" w:rsidP="002029DC">
      <w:pPr>
        <w:pStyle w:val="ANorm"/>
        <w:spacing w:after="200"/>
      </w:pPr>
      <w:r>
        <w:t>Th</w:t>
      </w:r>
      <w:r w:rsidR="00121ABA">
        <w:t>re</w:t>
      </w:r>
      <w:r>
        <w:t xml:space="preserve">e </w:t>
      </w:r>
      <w:r w:rsidR="00292185">
        <w:t xml:space="preserve">studies </w:t>
      </w:r>
      <w:r>
        <w:t>on all</w:t>
      </w:r>
      <w:r w:rsidR="00121ABA">
        <w:t xml:space="preserve"> consumers</w:t>
      </w:r>
      <w:r w:rsidR="003E0E1A">
        <w:t>,</w:t>
      </w:r>
      <w:r w:rsidR="00121ABA">
        <w:t xml:space="preserve"> and younger and older adults, </w:t>
      </w:r>
      <w:r w:rsidR="000B166D">
        <w:t>demonstr</w:t>
      </w:r>
      <w:r w:rsidR="00D27E4A">
        <w:t xml:space="preserve">ated that treatment gains were </w:t>
      </w:r>
      <w:r w:rsidR="00D27E4A" w:rsidRPr="006E5E31">
        <w:t>maintained at three-month follow up from baseline assessments.</w:t>
      </w:r>
      <w:r w:rsidR="00713B89" w:rsidRPr="006E5E31">
        <w:fldChar w:fldCharType="begin">
          <w:fldData xml:space="preserve">PEVuZE5vdGU+PENpdGU+PEF1dGhvcj5UaXRvdjwvQXV0aG9yPjxZZWFyPjIwMjA8L1llYXI+PFJl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</w:fldData>
        </w:fldChar>
      </w:r>
      <w:r w:rsidR="004469A2">
        <w:instrText xml:space="preserve"> ADDIN EN.CITE </w:instrText>
      </w:r>
      <w:r w:rsidR="004469A2">
        <w:fldChar w:fldCharType="begin">
          <w:fldData xml:space="preserve">PEVuZE5vdGU+PENpdGU+PEF1dGhvcj5UaXRvdjwvQXV0aG9yPjxZZWFyPjIwMjA8L1llYXI+PFJl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</w:fldData>
        </w:fldChar>
      </w:r>
      <w:r w:rsidR="004469A2">
        <w:instrText xml:space="preserve"> ADDIN EN.CITE.DATA </w:instrText>
      </w:r>
      <w:r w:rsidR="004469A2">
        <w:fldChar w:fldCharType="end"/>
      </w:r>
      <w:r w:rsidR="00713B89" w:rsidRPr="006E5E31">
        <w:fldChar w:fldCharType="separate"/>
      </w:r>
      <w:r w:rsidR="004469A2" w:rsidRPr="004469A2">
        <w:rPr>
          <w:noProof/>
          <w:vertAlign w:val="superscript"/>
        </w:rPr>
        <w:t>7, 64, 65</w:t>
      </w:r>
      <w:r w:rsidR="00713B89" w:rsidRPr="006E5E31">
        <w:fldChar w:fldCharType="end"/>
      </w:r>
    </w:p>
    <w:p w14:paraId="5DA9AAEB" w14:textId="45EC07D3" w:rsidR="0037503C" w:rsidRPr="006E5E31" w:rsidRDefault="0037503C" w:rsidP="002029DC">
      <w:pPr>
        <w:pStyle w:val="ANorm"/>
        <w:spacing w:after="200"/>
        <w:rPr>
          <w:rFonts w:cs="Calibri"/>
          <w:color w:val="000000"/>
          <w:sz w:val="22"/>
          <w:szCs w:val="22"/>
        </w:rPr>
      </w:pPr>
      <w:proofErr w:type="spellStart"/>
      <w:r w:rsidRPr="006E5E31">
        <w:rPr>
          <w:rFonts w:cs="Calibri"/>
          <w:color w:val="000000"/>
          <w:sz w:val="22"/>
          <w:szCs w:val="22"/>
        </w:rPr>
        <w:t>Titov</w:t>
      </w:r>
      <w:proofErr w:type="spellEnd"/>
      <w:r w:rsidRPr="006E5E31">
        <w:rPr>
          <w:rFonts w:cs="Calibri"/>
          <w:color w:val="000000"/>
          <w:sz w:val="22"/>
          <w:szCs w:val="22"/>
        </w:rPr>
        <w:t xml:space="preserve"> </w:t>
      </w:r>
      <w:r w:rsidR="0065750D">
        <w:rPr>
          <w:rFonts w:cs="Calibri"/>
          <w:color w:val="000000"/>
          <w:sz w:val="22"/>
          <w:szCs w:val="22"/>
        </w:rPr>
        <w:t>et al</w:t>
      </w:r>
      <w:r w:rsidRPr="006E5E31">
        <w:rPr>
          <w:rFonts w:cs="Calibri"/>
          <w:color w:val="000000"/>
          <w:sz w:val="22"/>
          <w:szCs w:val="22"/>
        </w:rPr>
        <w:t xml:space="preserve"> (2019) showed positive mental health outcomes for Indigenous Australians, who have poorer pre-treatment symptom scores and are more likely to live in remote locations</w:t>
      </w:r>
      <w:r w:rsidR="00E55D01" w:rsidRPr="006E5E31">
        <w:rPr>
          <w:rFonts w:cs="Calibri"/>
          <w:color w:val="000000"/>
          <w:sz w:val="22"/>
          <w:szCs w:val="22"/>
        </w:rPr>
        <w:t xml:space="preserve"> than their non-Indigenous counterparts</w:t>
      </w:r>
      <w:r w:rsidRPr="006E5E31">
        <w:rPr>
          <w:rFonts w:cs="Calibri"/>
          <w:color w:val="000000"/>
          <w:sz w:val="22"/>
          <w:szCs w:val="22"/>
        </w:rPr>
        <w:t>.</w:t>
      </w:r>
      <w:r w:rsidRPr="006E5E31">
        <w:rPr>
          <w:rFonts w:cs="Calibri"/>
          <w:color w:val="000000"/>
          <w:sz w:val="22"/>
          <w:szCs w:val="22"/>
        </w:rPr>
        <w:fldChar w:fldCharType="begin"/>
      </w:r>
      <w:r w:rsidR="004469A2">
        <w:rPr>
          <w:rFonts w:cs="Calibri"/>
          <w:color w:val="000000"/>
          <w:sz w:val="22"/>
          <w:szCs w:val="22"/>
        </w:rPr>
        <w:instrText xml:space="preserve"> ADDIN EN.CITE &lt;EndNote&gt;&lt;Cite&gt;&lt;Author&gt;Titov&lt;/Author&gt;&lt;Year&gt;2019&lt;/Year&gt;&lt;RecNum&gt;138&lt;/RecNum&gt;&lt;DisplayText&gt;&lt;style face="superscript"&gt;25&lt;/style&gt;&lt;/DisplayText&gt;&lt;record&gt;&lt;rec-number&gt;138&lt;/rec-number&gt;&lt;foreign-keys&gt;&lt;key app="EN" db-id="dawtr0zrkrzfa5edzzlpe2we0xa00t90vvr2" timestamp="1650430455"&gt;138&lt;/key&gt;&lt;/foreign-keys&gt;&lt;ref-type name="Journal Article"&gt;17&lt;/ref-type&gt;&lt;contributors&gt;&lt;authors&gt;&lt;author&gt;Titov, Nickolai&lt;/author&gt;&lt;author&gt;Schofield, Carlie&lt;/author&gt;&lt;author&gt;Staples, Lauren&lt;/author&gt;&lt;author&gt;Dear, Blake F&lt;/author&gt;&lt;author&gt;Nielssen, Olav&lt;/author&gt;&lt;/authors&gt;&lt;/contributors&gt;&lt;titles&gt;&lt;title&gt;A comparison of Indigenous and non-Indigenous users of MindSpot: An Australian digital mental health service&lt;/title&gt;&lt;secondary-title&gt;Australasian Psychiatry&lt;/secondary-title&gt;&lt;/titles&gt;&lt;periodical&gt;&lt;full-title&gt;Australasian Psychiatry&lt;/full-title&gt;&lt;/periodical&gt;&lt;pages&gt;352-357&lt;/pages&gt;&lt;volume&gt;27&lt;/volume&gt;&lt;number&gt;4&lt;/number&gt;&lt;dates&gt;&lt;year&gt;2019&lt;/year&gt;&lt;/dates&gt;&lt;isbn&gt;1039-8562&lt;/isbn&gt;&lt;urls&gt;&lt;/urls&gt;&lt;/record&gt;&lt;/Cite&gt;&lt;/EndNote&gt;</w:instrText>
      </w:r>
      <w:r w:rsidRPr="006E5E31">
        <w:rPr>
          <w:rFonts w:cs="Calibri"/>
          <w:color w:val="000000"/>
          <w:sz w:val="22"/>
          <w:szCs w:val="22"/>
        </w:rPr>
        <w:fldChar w:fldCharType="separate"/>
      </w:r>
      <w:r w:rsidR="004469A2" w:rsidRPr="004469A2">
        <w:rPr>
          <w:rFonts w:cs="Calibri"/>
          <w:noProof/>
          <w:color w:val="000000"/>
          <w:sz w:val="22"/>
          <w:szCs w:val="22"/>
          <w:vertAlign w:val="superscript"/>
        </w:rPr>
        <w:t>25</w:t>
      </w:r>
      <w:r w:rsidRPr="006E5E31">
        <w:rPr>
          <w:rFonts w:cs="Calibri"/>
          <w:color w:val="000000"/>
          <w:sz w:val="22"/>
          <w:szCs w:val="22"/>
        </w:rPr>
        <w:fldChar w:fldCharType="end"/>
      </w:r>
      <w:r w:rsidRPr="006E5E31">
        <w:rPr>
          <w:rFonts w:cs="Calibri"/>
          <w:color w:val="000000"/>
          <w:sz w:val="22"/>
          <w:szCs w:val="22"/>
        </w:rPr>
        <w:t xml:space="preserve"> These outcomes were observed irrespective of whether Indigenous consumers chose the general Wellbeing or the Indigenous Wellbeing Course.</w:t>
      </w:r>
      <w:r w:rsidRPr="006E5E31">
        <w:rPr>
          <w:rFonts w:cs="Calibri"/>
          <w:color w:val="000000"/>
          <w:sz w:val="22"/>
          <w:szCs w:val="22"/>
        </w:rPr>
        <w:fldChar w:fldCharType="begin"/>
      </w:r>
      <w:r w:rsidR="004469A2">
        <w:rPr>
          <w:rFonts w:cs="Calibri"/>
          <w:color w:val="000000"/>
          <w:sz w:val="22"/>
          <w:szCs w:val="22"/>
        </w:rPr>
        <w:instrText xml:space="preserve"> ADDIN EN.CITE &lt;EndNote&gt;&lt;Cite&gt;&lt;Author&gt;Titov&lt;/Author&gt;&lt;Year&gt;2019&lt;/Year&gt;&lt;RecNum&gt;138&lt;/RecNum&gt;&lt;DisplayText&gt;&lt;style face="superscript"&gt;25&lt;/style&gt;&lt;/DisplayText&gt;&lt;record&gt;&lt;rec-number&gt;138&lt;/rec-number&gt;&lt;foreign-keys&gt;&lt;key app="EN" db-id="dawtr0zrkrzfa5edzzlpe2we0xa00t90vvr2" timestamp="1650430455"&gt;138&lt;/key&gt;&lt;/foreign-keys&gt;&lt;ref-type name="Journal Article"&gt;17&lt;/ref-type&gt;&lt;contributors&gt;&lt;authors&gt;&lt;author&gt;Titov, Nickolai&lt;/author&gt;&lt;author&gt;Schofield, Carlie&lt;/author&gt;&lt;author&gt;Staples, Lauren&lt;/author&gt;&lt;author&gt;Dear, Blake F&lt;/author&gt;&lt;author&gt;Nielssen, Olav&lt;/author&gt;&lt;/authors&gt;&lt;/contributors&gt;&lt;titles&gt;&lt;title&gt;A comparison of Indigenous and non-Indigenous users of MindSpot: An Australian digital mental health service&lt;/title&gt;&lt;secondary-title&gt;Australasian Psychiatry&lt;/secondary-title&gt;&lt;/titles&gt;&lt;periodical&gt;&lt;full-title&gt;Australasian Psychiatry&lt;/full-title&gt;&lt;/periodical&gt;&lt;pages&gt;352-357&lt;/pages&gt;&lt;volume&gt;27&lt;/volume&gt;&lt;number&gt;4&lt;/number&gt;&lt;dates&gt;&lt;year&gt;2019&lt;/year&gt;&lt;/dates&gt;&lt;isbn&gt;1039-8562&lt;/isbn&gt;&lt;urls&gt;&lt;/urls&gt;&lt;/record&gt;&lt;/Cite&gt;&lt;/EndNote&gt;</w:instrText>
      </w:r>
      <w:r w:rsidRPr="006E5E31">
        <w:rPr>
          <w:rFonts w:cs="Calibri"/>
          <w:color w:val="000000"/>
          <w:sz w:val="22"/>
          <w:szCs w:val="22"/>
        </w:rPr>
        <w:fldChar w:fldCharType="separate"/>
      </w:r>
      <w:r w:rsidR="004469A2" w:rsidRPr="004469A2">
        <w:rPr>
          <w:rFonts w:cs="Calibri"/>
          <w:noProof/>
          <w:color w:val="000000"/>
          <w:sz w:val="22"/>
          <w:szCs w:val="22"/>
          <w:vertAlign w:val="superscript"/>
        </w:rPr>
        <w:t>25</w:t>
      </w:r>
      <w:r w:rsidRPr="006E5E31">
        <w:rPr>
          <w:rFonts w:cs="Calibri"/>
          <w:color w:val="000000"/>
          <w:sz w:val="22"/>
          <w:szCs w:val="22"/>
        </w:rPr>
        <w:fldChar w:fldCharType="end"/>
      </w:r>
      <w:r w:rsidRPr="006E5E31">
        <w:rPr>
          <w:rFonts w:cs="Calibri"/>
          <w:color w:val="000000"/>
          <w:sz w:val="22"/>
          <w:szCs w:val="22"/>
        </w:rPr>
        <w:t xml:space="preserve"> Lesson completion rates were similar for Indigenous and non-Indigenous consumers (70.0 vs 71.9%), but Indigenous consumers were more likely to report using an online mental health service because of difficulty accessing local services or non-existent services in their residing locations (7.3% vs 5.8%, p&lt;.05).</w:t>
      </w:r>
      <w:r w:rsidRPr="006E5E31">
        <w:rPr>
          <w:rFonts w:cs="Calibri"/>
          <w:color w:val="000000"/>
          <w:sz w:val="22"/>
          <w:szCs w:val="22"/>
        </w:rPr>
        <w:fldChar w:fldCharType="begin"/>
      </w:r>
      <w:r w:rsidR="004469A2">
        <w:rPr>
          <w:rFonts w:cs="Calibri"/>
          <w:color w:val="000000"/>
          <w:sz w:val="22"/>
          <w:szCs w:val="22"/>
        </w:rPr>
        <w:instrText xml:space="preserve"> ADDIN EN.CITE &lt;EndNote&gt;&lt;Cite&gt;&lt;Author&gt;Titov&lt;/Author&gt;&lt;Year&gt;2019&lt;/Year&gt;&lt;RecNum&gt;138&lt;/RecNum&gt;&lt;DisplayText&gt;&lt;style face="superscript"&gt;25&lt;/style&gt;&lt;/DisplayText&gt;&lt;record&gt;&lt;rec-number&gt;138&lt;/rec-number&gt;&lt;foreign-keys&gt;&lt;key app="EN" db-id="dawtr0zrkrzfa5edzzlpe2we0xa00t90vvr2" timestamp="1650430455"&gt;138&lt;/key&gt;&lt;/foreign-keys&gt;&lt;ref-type name="Journal Article"&gt;17&lt;/ref-type&gt;&lt;contributors&gt;&lt;authors&gt;&lt;author&gt;Titov, Nickolai&lt;/author&gt;&lt;author&gt;Schofield, Carlie&lt;/author&gt;&lt;author&gt;Staples, Lauren&lt;/author&gt;&lt;author&gt;Dear, Blake F&lt;/author&gt;&lt;author&gt;Nielssen, Olav&lt;/author&gt;&lt;/authors&gt;&lt;/contributors&gt;&lt;titles&gt;&lt;title&gt;A comparison of Indigenous and non-Indigenous users of MindSpot: An Australian digital mental health service&lt;/title&gt;&lt;secondary-title&gt;Australasian Psychiatry&lt;/secondary-title&gt;&lt;/titles&gt;&lt;periodical&gt;&lt;full-title&gt;Australasian Psychiatry&lt;/full-title&gt;&lt;/periodical&gt;&lt;pages&gt;352-357&lt;/pages&gt;&lt;volume&gt;27&lt;/volume&gt;&lt;number&gt;4&lt;/number&gt;&lt;dates&gt;&lt;year&gt;2019&lt;/year&gt;&lt;/dates&gt;&lt;isbn&gt;1039-8562&lt;/isbn&gt;&lt;urls&gt;&lt;/urls&gt;&lt;/record&gt;&lt;/Cite&gt;&lt;/EndNote&gt;</w:instrText>
      </w:r>
      <w:r w:rsidRPr="006E5E31">
        <w:rPr>
          <w:rFonts w:cs="Calibri"/>
          <w:color w:val="000000"/>
          <w:sz w:val="22"/>
          <w:szCs w:val="22"/>
        </w:rPr>
        <w:fldChar w:fldCharType="separate"/>
      </w:r>
      <w:r w:rsidR="004469A2" w:rsidRPr="004469A2">
        <w:rPr>
          <w:rFonts w:cs="Calibri"/>
          <w:noProof/>
          <w:color w:val="000000"/>
          <w:sz w:val="22"/>
          <w:szCs w:val="22"/>
          <w:vertAlign w:val="superscript"/>
        </w:rPr>
        <w:t>25</w:t>
      </w:r>
      <w:r w:rsidRPr="006E5E31">
        <w:rPr>
          <w:rFonts w:cs="Calibri"/>
          <w:color w:val="000000"/>
          <w:sz w:val="22"/>
          <w:szCs w:val="22"/>
        </w:rPr>
        <w:fldChar w:fldCharType="end"/>
      </w:r>
    </w:p>
    <w:p w14:paraId="604952EA" w14:textId="77777777" w:rsidR="0037503C" w:rsidRDefault="0037503C" w:rsidP="000344B4">
      <w:pPr>
        <w:pStyle w:val="tableheading"/>
        <w:rPr>
          <w:highlight w:val="yellow"/>
        </w:rPr>
        <w:sectPr w:rsidR="0037503C" w:rsidSect="0037503C">
          <w:pgSz w:w="11906" w:h="16838"/>
          <w:pgMar w:top="1440" w:right="1080" w:bottom="1440" w:left="1080" w:header="708" w:footer="708" w:gutter="0"/>
          <w:cols w:space="708"/>
          <w:docGrid w:linePitch="360"/>
        </w:sectPr>
      </w:pPr>
    </w:p>
    <w:p w14:paraId="36ECB46A" w14:textId="182EE57A" w:rsidR="000344B4" w:rsidRPr="00AB3F55" w:rsidRDefault="000344B4" w:rsidP="000344B4">
      <w:pPr>
        <w:pStyle w:val="tableheading"/>
        <w:rPr>
          <w:rFonts w:eastAsia="Times New Roman"/>
          <w:lang w:val="en-AU" w:eastAsia="en-GB"/>
        </w:rPr>
      </w:pPr>
      <w:r w:rsidRPr="00AB3F55">
        <w:lastRenderedPageBreak/>
        <w:t xml:space="preserve">Table </w:t>
      </w:r>
      <w:r w:rsidR="002D3A8C" w:rsidRPr="00AB3F55">
        <w:t>1</w:t>
      </w:r>
      <w:r w:rsidR="007F7B52" w:rsidRPr="00AB3F55">
        <w:t>8</w:t>
      </w:r>
      <w:r w:rsidRPr="00AB3F55">
        <w:t xml:space="preserve">. Other outcomes from </w:t>
      </w:r>
      <w:proofErr w:type="spellStart"/>
      <w:r w:rsidRPr="00AB3F55">
        <w:t>MindSpot</w:t>
      </w:r>
      <w:proofErr w:type="spellEnd"/>
      <w:r w:rsidRPr="00AB3F55">
        <w:t xml:space="preserve"> therapist-supported treatment</w:t>
      </w:r>
    </w:p>
    <w:tbl>
      <w:tblPr>
        <w:tblStyle w:val="TableGrid"/>
        <w:tblW w:w="5000" w:type="pct"/>
        <w:tblLook w:val="04A0" w:firstRow="1" w:lastRow="0" w:firstColumn="1" w:lastColumn="0" w:noHBand="0" w:noVBand="1"/>
        <w:tblCaption w:val="Table 18. Other outcomes from MindSpot therapist-supported treatment"/>
        <w:tblDescription w:val="Table shows other outcomes extracted from the five selected publications used for determining the effectiveness of therapist-supported treatment by MindSpot. Describes treatment completion rates, percentage symptom improvement, remission rate, reliable chage and follow up."/>
      </w:tblPr>
      <w:tblGrid>
        <w:gridCol w:w="1127"/>
        <w:gridCol w:w="2686"/>
        <w:gridCol w:w="1557"/>
        <w:gridCol w:w="1571"/>
        <w:gridCol w:w="1986"/>
        <w:gridCol w:w="2965"/>
        <w:gridCol w:w="2045"/>
        <w:gridCol w:w="11"/>
      </w:tblGrid>
      <w:tr w:rsidR="00E6514B" w:rsidRPr="00234A11" w14:paraId="281CB4F8" w14:textId="2F4C437A" w:rsidTr="0086098E">
        <w:trPr>
          <w:gridAfter w:val="1"/>
          <w:wAfter w:w="4" w:type="pct"/>
        </w:trPr>
        <w:tc>
          <w:tcPr>
            <w:tcW w:w="404" w:type="pct"/>
            <w:shd w:val="clear" w:color="auto" w:fill="000000" w:themeFill="text1"/>
          </w:tcPr>
          <w:p w14:paraId="31D214D0" w14:textId="77777777" w:rsidR="00E6514B" w:rsidRPr="00234A11" w:rsidRDefault="00E6514B" w:rsidP="007F3C68">
            <w:pPr>
              <w:pStyle w:val="ANorm"/>
              <w:jc w:val="center"/>
              <w:rPr>
                <w:color w:val="FFFFFF" w:themeColor="background1"/>
                <w:sz w:val="17"/>
                <w:szCs w:val="17"/>
              </w:rPr>
            </w:pPr>
            <w:r w:rsidRPr="00234A11">
              <w:rPr>
                <w:color w:val="FFFFFF" w:themeColor="background1"/>
                <w:sz w:val="17"/>
                <w:szCs w:val="17"/>
              </w:rPr>
              <w:t>Publication</w:t>
            </w:r>
          </w:p>
        </w:tc>
        <w:tc>
          <w:tcPr>
            <w:tcW w:w="963" w:type="pct"/>
            <w:shd w:val="clear" w:color="auto" w:fill="000000" w:themeFill="text1"/>
          </w:tcPr>
          <w:p w14:paraId="637532EC" w14:textId="77777777" w:rsidR="00E6514B" w:rsidRPr="00234A11" w:rsidRDefault="00E6514B" w:rsidP="007F3C68">
            <w:pPr>
              <w:pStyle w:val="ANorm"/>
              <w:jc w:val="center"/>
              <w:rPr>
                <w:color w:val="FFFFFF" w:themeColor="background1"/>
                <w:sz w:val="17"/>
                <w:szCs w:val="17"/>
              </w:rPr>
            </w:pPr>
            <w:r w:rsidRPr="00234A11">
              <w:rPr>
                <w:color w:val="FFFFFF" w:themeColor="background1"/>
                <w:sz w:val="17"/>
                <w:szCs w:val="17"/>
              </w:rPr>
              <w:t>Aim</w:t>
            </w:r>
          </w:p>
        </w:tc>
        <w:tc>
          <w:tcPr>
            <w:tcW w:w="558" w:type="pct"/>
            <w:shd w:val="clear" w:color="auto" w:fill="000000" w:themeFill="text1"/>
          </w:tcPr>
          <w:p w14:paraId="222F6CE4" w14:textId="77777777" w:rsidR="00E6514B" w:rsidRPr="00234A11" w:rsidRDefault="00E6514B" w:rsidP="007F3C68">
            <w:pPr>
              <w:pStyle w:val="ANorm"/>
              <w:jc w:val="center"/>
              <w:rPr>
                <w:color w:val="FFFFFF" w:themeColor="background1"/>
                <w:sz w:val="17"/>
                <w:szCs w:val="17"/>
              </w:rPr>
            </w:pPr>
            <w:r w:rsidRPr="00234A11">
              <w:rPr>
                <w:color w:val="FFFFFF" w:themeColor="background1"/>
                <w:sz w:val="17"/>
                <w:szCs w:val="17"/>
              </w:rPr>
              <w:t>Treatment completion rate</w:t>
            </w:r>
          </w:p>
        </w:tc>
        <w:tc>
          <w:tcPr>
            <w:tcW w:w="563" w:type="pct"/>
            <w:shd w:val="clear" w:color="auto" w:fill="000000" w:themeFill="text1"/>
          </w:tcPr>
          <w:p w14:paraId="5F4725C8" w14:textId="3A2E0A88" w:rsidR="00E6514B" w:rsidRPr="00234A11" w:rsidRDefault="00103835" w:rsidP="007F3C68">
            <w:pPr>
              <w:pStyle w:val="ANorm"/>
              <w:jc w:val="center"/>
              <w:rPr>
                <w:color w:val="FFFFFF" w:themeColor="background1"/>
                <w:sz w:val="17"/>
                <w:szCs w:val="17"/>
              </w:rPr>
            </w:pPr>
            <w:r w:rsidRPr="00234A11">
              <w:rPr>
                <w:color w:val="FFFFFF" w:themeColor="background1"/>
                <w:sz w:val="17"/>
                <w:szCs w:val="17"/>
              </w:rPr>
              <w:t>Percentage improvement</w:t>
            </w:r>
          </w:p>
        </w:tc>
        <w:tc>
          <w:tcPr>
            <w:tcW w:w="712" w:type="pct"/>
            <w:shd w:val="clear" w:color="auto" w:fill="000000" w:themeFill="text1"/>
          </w:tcPr>
          <w:p w14:paraId="47814A17" w14:textId="77777777" w:rsidR="00E6514B" w:rsidRPr="00234A11" w:rsidRDefault="00E6514B" w:rsidP="007F3C68">
            <w:pPr>
              <w:pStyle w:val="ANorm"/>
              <w:jc w:val="center"/>
              <w:rPr>
                <w:color w:val="FFFFFF" w:themeColor="background1"/>
                <w:sz w:val="17"/>
                <w:szCs w:val="17"/>
              </w:rPr>
            </w:pPr>
            <w:r w:rsidRPr="00234A11">
              <w:rPr>
                <w:color w:val="FFFFFF" w:themeColor="background1"/>
                <w:sz w:val="17"/>
                <w:szCs w:val="17"/>
              </w:rPr>
              <w:t>Remission rate</w:t>
            </w:r>
          </w:p>
        </w:tc>
        <w:tc>
          <w:tcPr>
            <w:tcW w:w="1063" w:type="pct"/>
            <w:shd w:val="clear" w:color="auto" w:fill="000000" w:themeFill="text1"/>
          </w:tcPr>
          <w:p w14:paraId="4604256E" w14:textId="77777777" w:rsidR="00E6514B" w:rsidRPr="00234A11" w:rsidRDefault="00E6514B" w:rsidP="007F3C68">
            <w:pPr>
              <w:pStyle w:val="ANorm"/>
              <w:jc w:val="center"/>
              <w:rPr>
                <w:color w:val="FFFFFF" w:themeColor="background1"/>
                <w:sz w:val="17"/>
                <w:szCs w:val="17"/>
              </w:rPr>
            </w:pPr>
            <w:r w:rsidRPr="00234A11">
              <w:rPr>
                <w:color w:val="FFFFFF" w:themeColor="background1"/>
                <w:sz w:val="17"/>
                <w:szCs w:val="17"/>
              </w:rPr>
              <w:t>Reliable change</w:t>
            </w:r>
          </w:p>
        </w:tc>
        <w:tc>
          <w:tcPr>
            <w:tcW w:w="733" w:type="pct"/>
            <w:shd w:val="clear" w:color="auto" w:fill="000000" w:themeFill="text1"/>
          </w:tcPr>
          <w:p w14:paraId="1BC5654E" w14:textId="081CFDD7" w:rsidR="00E6514B" w:rsidRPr="00234A11" w:rsidRDefault="00E6514B" w:rsidP="00232630">
            <w:pPr>
              <w:pStyle w:val="ANorm"/>
              <w:jc w:val="center"/>
              <w:rPr>
                <w:color w:val="FFFFFF" w:themeColor="background1"/>
                <w:sz w:val="17"/>
                <w:szCs w:val="17"/>
              </w:rPr>
            </w:pPr>
            <w:r w:rsidRPr="00234A11">
              <w:rPr>
                <w:color w:val="FFFFFF" w:themeColor="background1"/>
                <w:sz w:val="17"/>
                <w:szCs w:val="17"/>
              </w:rPr>
              <w:t>Follow up</w:t>
            </w:r>
          </w:p>
        </w:tc>
      </w:tr>
      <w:tr w:rsidR="000130B8" w:rsidRPr="00234A11" w14:paraId="299EE6F0" w14:textId="77777777" w:rsidTr="0086098E">
        <w:tc>
          <w:tcPr>
            <w:tcW w:w="404" w:type="pct"/>
          </w:tcPr>
          <w:p w14:paraId="04EC4220" w14:textId="3195D343" w:rsidR="000130B8" w:rsidRPr="00234A11" w:rsidRDefault="000130B8">
            <w:pPr>
              <w:pStyle w:val="ANorm"/>
              <w:rPr>
                <w:sz w:val="17"/>
                <w:szCs w:val="17"/>
              </w:rPr>
            </w:pPr>
            <w:proofErr w:type="spellStart"/>
            <w:r w:rsidRPr="00234A11">
              <w:rPr>
                <w:sz w:val="17"/>
                <w:szCs w:val="17"/>
              </w:rPr>
              <w:t>Titov</w:t>
            </w:r>
            <w:proofErr w:type="spellEnd"/>
            <w:r w:rsidRPr="00234A11">
              <w:rPr>
                <w:sz w:val="17"/>
                <w:szCs w:val="17"/>
              </w:rPr>
              <w:t xml:space="preserve"> </w:t>
            </w:r>
            <w:r w:rsidR="0065750D">
              <w:rPr>
                <w:sz w:val="17"/>
                <w:szCs w:val="17"/>
              </w:rPr>
              <w:t>et al</w:t>
            </w:r>
            <w:r w:rsidRPr="00234A11">
              <w:rPr>
                <w:sz w:val="17"/>
                <w:szCs w:val="17"/>
              </w:rPr>
              <w:t xml:space="preserve"> (2020)</w:t>
            </w:r>
            <w:r w:rsidRPr="00234A11">
              <w:rPr>
                <w:sz w:val="17"/>
                <w:szCs w:val="17"/>
              </w:rPr>
              <w:fldChar w:fldCharType="begin"/>
            </w:r>
            <w:r w:rsidR="004469A2">
              <w:rPr>
                <w:sz w:val="17"/>
                <w:szCs w:val="17"/>
              </w:rPr>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Pr="00234A11">
              <w:rPr>
                <w:sz w:val="17"/>
                <w:szCs w:val="17"/>
              </w:rPr>
              <w:fldChar w:fldCharType="separate"/>
            </w:r>
            <w:r w:rsidR="004469A2" w:rsidRPr="004469A2">
              <w:rPr>
                <w:noProof/>
                <w:sz w:val="17"/>
                <w:szCs w:val="17"/>
                <w:vertAlign w:val="superscript"/>
              </w:rPr>
              <w:t>7</w:t>
            </w:r>
            <w:r w:rsidRPr="00234A11">
              <w:rPr>
                <w:sz w:val="17"/>
                <w:szCs w:val="17"/>
              </w:rPr>
              <w:fldChar w:fldCharType="end"/>
            </w:r>
            <w:r w:rsidRPr="00234A11">
              <w:rPr>
                <w:sz w:val="17"/>
                <w:szCs w:val="17"/>
              </w:rPr>
              <w:t xml:space="preserve"> </w:t>
            </w:r>
          </w:p>
        </w:tc>
        <w:tc>
          <w:tcPr>
            <w:tcW w:w="963" w:type="pct"/>
          </w:tcPr>
          <w:p w14:paraId="76B188AF" w14:textId="4AF00EEF" w:rsidR="000130B8" w:rsidRPr="00234A11" w:rsidRDefault="000130B8">
            <w:pPr>
              <w:pStyle w:val="ANorm"/>
              <w:rPr>
                <w:sz w:val="17"/>
                <w:szCs w:val="17"/>
              </w:rPr>
            </w:pPr>
            <w:r w:rsidRPr="00234A11">
              <w:rPr>
                <w:sz w:val="17"/>
                <w:szCs w:val="17"/>
              </w:rPr>
              <w:t xml:space="preserve">Observational study of consumers registered with </w:t>
            </w:r>
            <w:proofErr w:type="spellStart"/>
            <w:r w:rsidRPr="00234A11">
              <w:rPr>
                <w:sz w:val="17"/>
                <w:szCs w:val="17"/>
              </w:rPr>
              <w:t>MindSpot</w:t>
            </w:r>
            <w:proofErr w:type="spellEnd"/>
            <w:r w:rsidRPr="00234A11">
              <w:rPr>
                <w:sz w:val="17"/>
                <w:szCs w:val="17"/>
              </w:rPr>
              <w:t xml:space="preserve"> over its first seven years of operation, January 2013 – December 2019 (N=</w:t>
            </w:r>
            <w:r w:rsidR="00C42629" w:rsidRPr="00234A11">
              <w:rPr>
                <w:sz w:val="17"/>
                <w:szCs w:val="17"/>
              </w:rPr>
              <w:t>21</w:t>
            </w:r>
            <w:r w:rsidR="007E5B9C" w:rsidRPr="00234A11">
              <w:rPr>
                <w:sz w:val="17"/>
                <w:szCs w:val="17"/>
              </w:rPr>
              <w:t>745</w:t>
            </w:r>
            <w:r w:rsidRPr="00234A11">
              <w:rPr>
                <w:sz w:val="17"/>
                <w:szCs w:val="17"/>
              </w:rPr>
              <w:t xml:space="preserve"> </w:t>
            </w:r>
            <w:r w:rsidR="007E5B9C" w:rsidRPr="00234A11">
              <w:rPr>
                <w:sz w:val="17"/>
                <w:szCs w:val="17"/>
              </w:rPr>
              <w:t>started treatment</w:t>
            </w:r>
            <w:r w:rsidRPr="00234A11">
              <w:rPr>
                <w:sz w:val="17"/>
                <w:szCs w:val="17"/>
              </w:rPr>
              <w:t xml:space="preserve"> course</w:t>
            </w:r>
            <w:r w:rsidR="000E70B0" w:rsidRPr="00234A11">
              <w:rPr>
                <w:sz w:val="17"/>
                <w:szCs w:val="17"/>
              </w:rPr>
              <w:t xml:space="preserve">, mostly </w:t>
            </w:r>
            <w:r w:rsidR="00726446">
              <w:rPr>
                <w:sz w:val="17"/>
                <w:szCs w:val="17"/>
              </w:rPr>
              <w:t xml:space="preserve">transdiagnostic </w:t>
            </w:r>
            <w:r w:rsidR="000E70B0" w:rsidRPr="00234A11">
              <w:rPr>
                <w:sz w:val="17"/>
                <w:szCs w:val="17"/>
              </w:rPr>
              <w:t>Wellbeing c</w:t>
            </w:r>
            <w:r w:rsidR="000C2810" w:rsidRPr="00234A11">
              <w:rPr>
                <w:sz w:val="17"/>
                <w:szCs w:val="17"/>
              </w:rPr>
              <w:t>ourse</w:t>
            </w:r>
            <w:r w:rsidRPr="00234A11">
              <w:rPr>
                <w:sz w:val="17"/>
                <w:szCs w:val="17"/>
              </w:rPr>
              <w:t>)</w:t>
            </w:r>
          </w:p>
        </w:tc>
        <w:tc>
          <w:tcPr>
            <w:tcW w:w="558" w:type="pct"/>
          </w:tcPr>
          <w:p w14:paraId="13D59138" w14:textId="390BA74C" w:rsidR="000130B8" w:rsidRPr="00234A11" w:rsidRDefault="000130B8">
            <w:pPr>
              <w:pStyle w:val="ANorm"/>
              <w:rPr>
                <w:sz w:val="17"/>
                <w:szCs w:val="17"/>
              </w:rPr>
            </w:pPr>
            <w:r w:rsidRPr="00234A11">
              <w:rPr>
                <w:sz w:val="17"/>
                <w:szCs w:val="17"/>
              </w:rPr>
              <w:t>66.7 % completed more than 4</w:t>
            </w:r>
            <w:r w:rsidR="000C2810" w:rsidRPr="00234A11">
              <w:rPr>
                <w:sz w:val="17"/>
                <w:szCs w:val="17"/>
              </w:rPr>
              <w:t xml:space="preserve"> (of 5)</w:t>
            </w:r>
            <w:r w:rsidRPr="00234A11">
              <w:rPr>
                <w:sz w:val="17"/>
                <w:szCs w:val="17"/>
              </w:rPr>
              <w:t xml:space="preserve"> lessons </w:t>
            </w:r>
          </w:p>
        </w:tc>
        <w:tc>
          <w:tcPr>
            <w:tcW w:w="563" w:type="pct"/>
          </w:tcPr>
          <w:p w14:paraId="4E2A4871" w14:textId="77777777" w:rsidR="000130B8" w:rsidRPr="00234A11" w:rsidRDefault="001933FA">
            <w:pPr>
              <w:pStyle w:val="ANorm"/>
              <w:rPr>
                <w:sz w:val="17"/>
                <w:szCs w:val="17"/>
              </w:rPr>
            </w:pPr>
            <w:r w:rsidRPr="00234A11">
              <w:rPr>
                <w:sz w:val="17"/>
                <w:szCs w:val="17"/>
              </w:rPr>
              <w:t xml:space="preserve">46.3% </w:t>
            </w:r>
            <w:r w:rsidR="00E31691" w:rsidRPr="00234A11">
              <w:rPr>
                <w:sz w:val="17"/>
                <w:szCs w:val="17"/>
              </w:rPr>
              <w:t>(K10)</w:t>
            </w:r>
          </w:p>
          <w:p w14:paraId="0330DDB3" w14:textId="4D5C0E0D" w:rsidR="00F9667C" w:rsidRPr="00234A11" w:rsidRDefault="00F9667C">
            <w:pPr>
              <w:pStyle w:val="ANorm"/>
              <w:rPr>
                <w:sz w:val="17"/>
                <w:szCs w:val="17"/>
                <w:highlight w:val="cyan"/>
              </w:rPr>
            </w:pPr>
            <w:r w:rsidRPr="00234A11">
              <w:rPr>
                <w:sz w:val="17"/>
                <w:szCs w:val="17"/>
              </w:rPr>
              <w:t>52.5% (PHQ-9 and GAD-7)</w:t>
            </w:r>
          </w:p>
        </w:tc>
        <w:tc>
          <w:tcPr>
            <w:tcW w:w="712" w:type="pct"/>
          </w:tcPr>
          <w:p w14:paraId="04B5D307" w14:textId="552BFB72" w:rsidR="000130B8" w:rsidRPr="00234A11" w:rsidRDefault="00292185">
            <w:pPr>
              <w:pStyle w:val="ANorm"/>
              <w:rPr>
                <w:sz w:val="17"/>
                <w:szCs w:val="17"/>
                <w:highlight w:val="cyan"/>
              </w:rPr>
            </w:pPr>
            <w:r w:rsidRPr="00234A11">
              <w:rPr>
                <w:sz w:val="17"/>
                <w:szCs w:val="17"/>
              </w:rPr>
              <w:t>Not reported</w:t>
            </w:r>
          </w:p>
        </w:tc>
        <w:tc>
          <w:tcPr>
            <w:tcW w:w="1063" w:type="pct"/>
          </w:tcPr>
          <w:p w14:paraId="5793A0E6" w14:textId="77777777" w:rsidR="002C2A11" w:rsidRPr="00234A11" w:rsidRDefault="00477102" w:rsidP="002C2A11">
            <w:pPr>
              <w:pStyle w:val="ANorm"/>
              <w:rPr>
                <w:sz w:val="17"/>
                <w:szCs w:val="17"/>
              </w:rPr>
            </w:pPr>
            <w:r w:rsidRPr="00234A11">
              <w:rPr>
                <w:sz w:val="17"/>
                <w:szCs w:val="17"/>
              </w:rPr>
              <w:t>Reliable recovery</w:t>
            </w:r>
          </w:p>
          <w:p w14:paraId="2A770A2F" w14:textId="47C388A8" w:rsidR="00477102" w:rsidRPr="00234A11" w:rsidRDefault="00DF7CE4">
            <w:pPr>
              <w:pStyle w:val="ANorm"/>
              <w:numPr>
                <w:ilvl w:val="0"/>
                <w:numId w:val="151"/>
              </w:numPr>
              <w:ind w:left="174" w:hanging="174"/>
              <w:rPr>
                <w:sz w:val="17"/>
                <w:szCs w:val="17"/>
              </w:rPr>
            </w:pPr>
            <w:r w:rsidRPr="00234A11">
              <w:rPr>
                <w:sz w:val="17"/>
                <w:szCs w:val="17"/>
              </w:rPr>
              <w:t xml:space="preserve">59.5% (5419/9105 with </w:t>
            </w:r>
            <w:r w:rsidR="006267E5" w:rsidRPr="00234A11">
              <w:rPr>
                <w:sz w:val="17"/>
                <w:szCs w:val="17"/>
              </w:rPr>
              <w:t>baseline PHQ-9</w:t>
            </w:r>
            <w:r w:rsidR="006267E5" w:rsidRPr="00234A11">
              <w:rPr>
                <w:sz w:val="17"/>
                <w:szCs w:val="17"/>
                <w:u w:val="single"/>
              </w:rPr>
              <w:t>&gt;</w:t>
            </w:r>
            <w:r w:rsidR="00E35551" w:rsidRPr="00234A11">
              <w:rPr>
                <w:sz w:val="17"/>
                <w:szCs w:val="17"/>
              </w:rPr>
              <w:t>10</w:t>
            </w:r>
            <w:r w:rsidR="006267E5" w:rsidRPr="00234A11">
              <w:rPr>
                <w:sz w:val="17"/>
                <w:szCs w:val="17"/>
              </w:rPr>
              <w:t>)</w:t>
            </w:r>
          </w:p>
          <w:p w14:paraId="14EC92C0" w14:textId="46CEA9F5" w:rsidR="00477102" w:rsidRPr="00234A11" w:rsidRDefault="00E35551">
            <w:pPr>
              <w:pStyle w:val="ANorm"/>
              <w:numPr>
                <w:ilvl w:val="0"/>
                <w:numId w:val="151"/>
              </w:numPr>
              <w:ind w:left="174" w:hanging="174"/>
              <w:rPr>
                <w:sz w:val="17"/>
                <w:szCs w:val="17"/>
              </w:rPr>
            </w:pPr>
            <w:r w:rsidRPr="00234A11">
              <w:rPr>
                <w:sz w:val="17"/>
                <w:szCs w:val="17"/>
              </w:rPr>
              <w:t>59.8% (</w:t>
            </w:r>
            <w:r w:rsidR="00A614AF" w:rsidRPr="00234A11">
              <w:rPr>
                <w:sz w:val="17"/>
                <w:szCs w:val="17"/>
              </w:rPr>
              <w:t>5852/9810 with baseline GAD-7</w:t>
            </w:r>
            <w:r w:rsidR="00A614AF" w:rsidRPr="00234A11">
              <w:rPr>
                <w:sz w:val="17"/>
                <w:szCs w:val="17"/>
                <w:u w:val="single"/>
              </w:rPr>
              <w:t>&gt;</w:t>
            </w:r>
            <w:r w:rsidR="008F7199" w:rsidRPr="00234A11">
              <w:rPr>
                <w:sz w:val="17"/>
                <w:szCs w:val="17"/>
              </w:rPr>
              <w:t>8)</w:t>
            </w:r>
          </w:p>
          <w:p w14:paraId="1979ABFE" w14:textId="58696C7D" w:rsidR="00D23100" w:rsidRPr="00234A11" w:rsidRDefault="000130B8" w:rsidP="000B594E">
            <w:pPr>
              <w:pStyle w:val="ANorm"/>
              <w:rPr>
                <w:sz w:val="17"/>
                <w:szCs w:val="17"/>
              </w:rPr>
            </w:pPr>
            <w:r w:rsidRPr="00234A11">
              <w:rPr>
                <w:sz w:val="17"/>
                <w:szCs w:val="17"/>
              </w:rPr>
              <w:t xml:space="preserve">Reliable deterioration </w:t>
            </w:r>
            <w:r w:rsidR="00397AB0" w:rsidRPr="00234A11">
              <w:rPr>
                <w:sz w:val="17"/>
                <w:szCs w:val="17"/>
              </w:rPr>
              <w:t>among 13058 who completed post-treatment assessment</w:t>
            </w:r>
          </w:p>
          <w:p w14:paraId="51F66C1A" w14:textId="28F65029" w:rsidR="00FC65CE" w:rsidRPr="00234A11" w:rsidRDefault="000130B8">
            <w:pPr>
              <w:pStyle w:val="ANorm"/>
              <w:numPr>
                <w:ilvl w:val="0"/>
                <w:numId w:val="148"/>
              </w:numPr>
              <w:ind w:left="115" w:hanging="161"/>
              <w:rPr>
                <w:sz w:val="17"/>
                <w:szCs w:val="17"/>
              </w:rPr>
            </w:pPr>
            <w:r w:rsidRPr="00234A11">
              <w:rPr>
                <w:sz w:val="17"/>
                <w:szCs w:val="17"/>
              </w:rPr>
              <w:t>1.4 %</w:t>
            </w:r>
            <w:r w:rsidR="00FC65CE" w:rsidRPr="00234A11">
              <w:rPr>
                <w:sz w:val="17"/>
                <w:szCs w:val="17"/>
              </w:rPr>
              <w:t xml:space="preserve"> PHQ-9</w:t>
            </w:r>
          </w:p>
          <w:p w14:paraId="4E6D7375" w14:textId="29C80EA4" w:rsidR="00FC65CE" w:rsidRPr="00234A11" w:rsidRDefault="000130B8">
            <w:pPr>
              <w:pStyle w:val="ANorm"/>
              <w:numPr>
                <w:ilvl w:val="0"/>
                <w:numId w:val="148"/>
              </w:numPr>
              <w:ind w:left="115" w:hanging="161"/>
              <w:rPr>
                <w:sz w:val="17"/>
                <w:szCs w:val="17"/>
              </w:rPr>
            </w:pPr>
            <w:r w:rsidRPr="00234A11">
              <w:rPr>
                <w:sz w:val="17"/>
                <w:szCs w:val="17"/>
              </w:rPr>
              <w:t>2.2</w:t>
            </w:r>
            <w:r w:rsidR="00FC65CE" w:rsidRPr="00234A11">
              <w:rPr>
                <w:sz w:val="17"/>
                <w:szCs w:val="17"/>
              </w:rPr>
              <w:t>%</w:t>
            </w:r>
            <w:r w:rsidRPr="00234A11">
              <w:rPr>
                <w:sz w:val="17"/>
                <w:szCs w:val="17"/>
              </w:rPr>
              <w:t xml:space="preserve"> GAD-7</w:t>
            </w:r>
          </w:p>
        </w:tc>
        <w:tc>
          <w:tcPr>
            <w:tcW w:w="737" w:type="pct"/>
            <w:gridSpan w:val="2"/>
          </w:tcPr>
          <w:p w14:paraId="1812E2AC" w14:textId="77777777" w:rsidR="000130B8" w:rsidRPr="00234A11" w:rsidRDefault="000130B8" w:rsidP="000B3955">
            <w:pPr>
              <w:pStyle w:val="ANorm"/>
              <w:rPr>
                <w:sz w:val="17"/>
                <w:szCs w:val="17"/>
              </w:rPr>
            </w:pPr>
            <w:r w:rsidRPr="00234A11">
              <w:rPr>
                <w:sz w:val="17"/>
                <w:szCs w:val="17"/>
              </w:rPr>
              <w:t>Improvement on PHQ-9 (d=1.36, 95% CI 1.34-1.38) and GAD-7 (d=1.42, 95% CI 1.4-1.44)</w:t>
            </w:r>
          </w:p>
          <w:p w14:paraId="241F926C" w14:textId="77777777" w:rsidR="000B3955" w:rsidRPr="00234A11" w:rsidRDefault="000B3955" w:rsidP="000B3955">
            <w:pPr>
              <w:pStyle w:val="ANorm"/>
              <w:rPr>
                <w:sz w:val="17"/>
                <w:szCs w:val="17"/>
              </w:rPr>
            </w:pPr>
          </w:p>
          <w:p w14:paraId="71B5EB5F" w14:textId="77777777" w:rsidR="000B3955" w:rsidRPr="00234A11" w:rsidRDefault="000B3955" w:rsidP="000B3955">
            <w:pPr>
              <w:pStyle w:val="ANorm"/>
              <w:rPr>
                <w:sz w:val="17"/>
                <w:szCs w:val="17"/>
              </w:rPr>
            </w:pPr>
            <w:r w:rsidRPr="00234A11">
              <w:rPr>
                <w:sz w:val="17"/>
                <w:szCs w:val="17"/>
              </w:rPr>
              <w:t>Percentage improvement</w:t>
            </w:r>
            <w:r w:rsidR="000C5EAB" w:rsidRPr="00234A11">
              <w:rPr>
                <w:sz w:val="17"/>
                <w:szCs w:val="17"/>
              </w:rPr>
              <w:t>:</w:t>
            </w:r>
          </w:p>
          <w:p w14:paraId="3992B93C" w14:textId="50E1A97A" w:rsidR="000C5EAB" w:rsidRPr="00234A11" w:rsidRDefault="000C5EAB" w:rsidP="000B3955">
            <w:pPr>
              <w:pStyle w:val="ANorm"/>
              <w:rPr>
                <w:sz w:val="17"/>
                <w:szCs w:val="17"/>
              </w:rPr>
            </w:pPr>
            <w:r w:rsidRPr="00234A11">
              <w:rPr>
                <w:sz w:val="17"/>
                <w:szCs w:val="17"/>
              </w:rPr>
              <w:t xml:space="preserve">47.8% </w:t>
            </w:r>
            <w:r w:rsidR="00FF77DB" w:rsidRPr="00234A11">
              <w:rPr>
                <w:sz w:val="17"/>
                <w:szCs w:val="17"/>
              </w:rPr>
              <w:t>(</w:t>
            </w:r>
            <w:r w:rsidRPr="00234A11">
              <w:rPr>
                <w:sz w:val="17"/>
                <w:szCs w:val="17"/>
              </w:rPr>
              <w:t>K10</w:t>
            </w:r>
            <w:r w:rsidR="00FF77DB" w:rsidRPr="00234A11">
              <w:rPr>
                <w:sz w:val="17"/>
                <w:szCs w:val="17"/>
              </w:rPr>
              <w:t>)</w:t>
            </w:r>
            <w:r w:rsidRPr="00234A11">
              <w:rPr>
                <w:sz w:val="17"/>
                <w:szCs w:val="17"/>
              </w:rPr>
              <w:t xml:space="preserve"> to </w:t>
            </w:r>
            <w:r w:rsidR="00FF77DB" w:rsidRPr="00234A11">
              <w:rPr>
                <w:sz w:val="17"/>
                <w:szCs w:val="17"/>
              </w:rPr>
              <w:t>52.5% (GAD-7)</w:t>
            </w:r>
          </w:p>
          <w:p w14:paraId="57F33E03" w14:textId="063EFD94" w:rsidR="000C5EAB" w:rsidRPr="00234A11" w:rsidRDefault="000C5EAB" w:rsidP="000B3955">
            <w:pPr>
              <w:pStyle w:val="ANorm"/>
              <w:rPr>
                <w:sz w:val="17"/>
                <w:szCs w:val="17"/>
                <w:highlight w:val="cyan"/>
              </w:rPr>
            </w:pPr>
          </w:p>
        </w:tc>
      </w:tr>
      <w:tr w:rsidR="00E6514B" w:rsidRPr="00234A11" w14:paraId="0BB890F5" w14:textId="071ED418" w:rsidTr="0086098E">
        <w:trPr>
          <w:gridAfter w:val="1"/>
          <w:wAfter w:w="4" w:type="pct"/>
        </w:trPr>
        <w:tc>
          <w:tcPr>
            <w:tcW w:w="404" w:type="pct"/>
          </w:tcPr>
          <w:p w14:paraId="2D291C0D" w14:textId="02027C89" w:rsidR="00E6514B" w:rsidRPr="00234A11" w:rsidRDefault="00E6514B" w:rsidP="007F3C68">
            <w:pPr>
              <w:pStyle w:val="ANorm"/>
              <w:rPr>
                <w:sz w:val="17"/>
                <w:szCs w:val="17"/>
              </w:rPr>
            </w:pPr>
            <w:r w:rsidRPr="00234A11">
              <w:rPr>
                <w:sz w:val="17"/>
                <w:szCs w:val="17"/>
              </w:rPr>
              <w:t xml:space="preserve">Staples </w:t>
            </w:r>
            <w:r w:rsidR="0065750D">
              <w:rPr>
                <w:sz w:val="17"/>
                <w:szCs w:val="17"/>
              </w:rPr>
              <w:t>et al</w:t>
            </w:r>
            <w:r w:rsidRPr="00234A11">
              <w:rPr>
                <w:sz w:val="17"/>
                <w:szCs w:val="17"/>
              </w:rPr>
              <w:t xml:space="preserve"> (2019)</w:t>
            </w:r>
            <w:r w:rsidRPr="00234A11">
              <w:rPr>
                <w:sz w:val="17"/>
                <w:szCs w:val="17"/>
              </w:rPr>
              <w:fldChar w:fldCharType="begin"/>
            </w:r>
            <w:r w:rsidR="004469A2">
              <w:rPr>
                <w:sz w:val="17"/>
                <w:szCs w:val="17"/>
              </w:rPr>
              <w:instrText xml:space="preserve"> ADDIN EN.CITE &lt;EndNote&gt;&lt;Cite&gt;&lt;Author&gt;Staples&lt;/Author&gt;&lt;Year&gt;2019&lt;/Year&gt;&lt;RecNum&gt;140&lt;/RecNum&gt;&lt;DisplayText&gt;&lt;style face="superscript"&gt;64&lt;/style&gt;&lt;/DisplayText&gt;&lt;record&gt;&lt;rec-number&gt;140&lt;/rec-number&gt;&lt;foreign-keys&gt;&lt;key app="EN" db-id="dawtr0zrkrzfa5edzzlpe2we0xa00t90vvr2" timestamp="1650433982"&gt;140&lt;/key&gt;&lt;/foreign-keys&gt;&lt;ref-type name="Journal Article"&gt;17&lt;/ref-type&gt;&lt;contributors&gt;&lt;authors&gt;&lt;author&gt;Staples, Lauren G&lt;/author&gt;&lt;author&gt;Dear, Blake F&lt;/author&gt;&lt;author&gt;Johnson, Bareena&lt;/author&gt;&lt;author&gt;Fogliati, Vincent&lt;/author&gt;&lt;author&gt;Gandy, Milena&lt;/author&gt;&lt;author&gt;Fogliati, Rhiannon&lt;/author&gt;&lt;author&gt;Nielssen, Olav&lt;/author&gt;&lt;author&gt;Titov, Nickolai&lt;/author&gt;&lt;/authors&gt;&lt;/contributors&gt;&lt;titles&gt;&lt;title&gt;Internet-delivered treatment for young adults with anxiety and depression: Evaluation in routine clinical care and comparison with research trial outcomes&lt;/title&gt;&lt;secondary-title&gt;Journal of Affective Disorders&lt;/secondary-title&gt;&lt;/titles&gt;&lt;periodical&gt;&lt;full-title&gt;Journal of Affective Disorders&lt;/full-title&gt;&lt;/periodical&gt;&lt;pages&gt;103-109&lt;/pages&gt;&lt;volume&gt;256&lt;/volume&gt;&lt;dates&gt;&lt;year&gt;2019&lt;/year&gt;&lt;/dates&gt;&lt;isbn&gt;0165-0327&lt;/isbn&gt;&lt;urls&gt;&lt;/urls&gt;&lt;/record&gt;&lt;/Cite&gt;&lt;/EndNote&gt;</w:instrText>
            </w:r>
            <w:r w:rsidRPr="00234A11">
              <w:rPr>
                <w:sz w:val="17"/>
                <w:szCs w:val="17"/>
              </w:rPr>
              <w:fldChar w:fldCharType="separate"/>
            </w:r>
            <w:r w:rsidR="004469A2" w:rsidRPr="004469A2">
              <w:rPr>
                <w:noProof/>
                <w:sz w:val="17"/>
                <w:szCs w:val="17"/>
                <w:vertAlign w:val="superscript"/>
              </w:rPr>
              <w:t>64</w:t>
            </w:r>
            <w:r w:rsidRPr="00234A11">
              <w:rPr>
                <w:sz w:val="17"/>
                <w:szCs w:val="17"/>
              </w:rPr>
              <w:fldChar w:fldCharType="end"/>
            </w:r>
          </w:p>
        </w:tc>
        <w:tc>
          <w:tcPr>
            <w:tcW w:w="963" w:type="pct"/>
          </w:tcPr>
          <w:p w14:paraId="4FC41746" w14:textId="55AB428D" w:rsidR="00E6514B" w:rsidRPr="00234A11" w:rsidRDefault="00E6514B" w:rsidP="007F3C68">
            <w:pPr>
              <w:pStyle w:val="ANorm"/>
              <w:rPr>
                <w:sz w:val="17"/>
                <w:szCs w:val="17"/>
                <w:highlight w:val="yellow"/>
              </w:rPr>
            </w:pPr>
            <w:r w:rsidRPr="00234A11">
              <w:rPr>
                <w:sz w:val="17"/>
                <w:szCs w:val="17"/>
              </w:rPr>
              <w:t xml:space="preserve">Examine effects of transdiagnostic intervention (Mood Mechanic) for young adults aged 18-24 years with anxiety and depression in routine </w:t>
            </w:r>
            <w:proofErr w:type="spellStart"/>
            <w:r w:rsidRPr="00234A11">
              <w:rPr>
                <w:sz w:val="17"/>
                <w:szCs w:val="17"/>
              </w:rPr>
              <w:t>MindSpot</w:t>
            </w:r>
            <w:proofErr w:type="spellEnd"/>
            <w:r w:rsidRPr="00234A11">
              <w:rPr>
                <w:sz w:val="17"/>
                <w:szCs w:val="17"/>
              </w:rPr>
              <w:t xml:space="preserve"> care (N=222)</w:t>
            </w:r>
          </w:p>
        </w:tc>
        <w:tc>
          <w:tcPr>
            <w:tcW w:w="558" w:type="pct"/>
          </w:tcPr>
          <w:p w14:paraId="74F70AC3" w14:textId="06D63333" w:rsidR="00E6514B" w:rsidRPr="00234A11" w:rsidRDefault="00E6514B" w:rsidP="007F3C68">
            <w:pPr>
              <w:pStyle w:val="ANorm"/>
              <w:rPr>
                <w:sz w:val="17"/>
                <w:szCs w:val="17"/>
              </w:rPr>
            </w:pPr>
            <w:r w:rsidRPr="00234A11">
              <w:rPr>
                <w:sz w:val="17"/>
                <w:szCs w:val="17"/>
              </w:rPr>
              <w:t>Mean: 3.5</w:t>
            </w:r>
            <w:r w:rsidR="009A5797" w:rsidRPr="00234A11">
              <w:rPr>
                <w:sz w:val="17"/>
                <w:szCs w:val="17"/>
              </w:rPr>
              <w:t xml:space="preserve"> </w:t>
            </w:r>
            <w:r w:rsidR="000C2810" w:rsidRPr="00234A11">
              <w:rPr>
                <w:sz w:val="17"/>
                <w:szCs w:val="17"/>
              </w:rPr>
              <w:t>(</w:t>
            </w:r>
            <w:r w:rsidR="009A5797" w:rsidRPr="00234A11">
              <w:rPr>
                <w:sz w:val="17"/>
                <w:szCs w:val="17"/>
              </w:rPr>
              <w:t>of 5</w:t>
            </w:r>
            <w:r w:rsidR="000C2810" w:rsidRPr="00234A11">
              <w:rPr>
                <w:sz w:val="17"/>
                <w:szCs w:val="17"/>
              </w:rPr>
              <w:t>)</w:t>
            </w:r>
          </w:p>
        </w:tc>
        <w:tc>
          <w:tcPr>
            <w:tcW w:w="563" w:type="pct"/>
          </w:tcPr>
          <w:p w14:paraId="35DB874C" w14:textId="0F95B9A0" w:rsidR="00E6514B" w:rsidRPr="00234A11" w:rsidRDefault="00776AED" w:rsidP="007F3C68">
            <w:pPr>
              <w:pStyle w:val="ANorm"/>
              <w:rPr>
                <w:sz w:val="17"/>
                <w:szCs w:val="17"/>
                <w:highlight w:val="yellow"/>
              </w:rPr>
            </w:pPr>
            <w:r w:rsidRPr="00234A11">
              <w:rPr>
                <w:sz w:val="17"/>
                <w:szCs w:val="17"/>
              </w:rPr>
              <w:t xml:space="preserve">K10, PHQ-9 and GAD-7 </w:t>
            </w:r>
            <w:r w:rsidR="002207E3" w:rsidRPr="00234A11">
              <w:rPr>
                <w:sz w:val="17"/>
                <w:szCs w:val="17"/>
              </w:rPr>
              <w:t xml:space="preserve">ranged from 35.6% </w:t>
            </w:r>
            <w:r w:rsidR="00F45324" w:rsidRPr="00234A11">
              <w:rPr>
                <w:sz w:val="17"/>
                <w:szCs w:val="17"/>
              </w:rPr>
              <w:t xml:space="preserve">(K10) </w:t>
            </w:r>
            <w:r w:rsidR="002207E3" w:rsidRPr="00234A11">
              <w:rPr>
                <w:sz w:val="17"/>
                <w:szCs w:val="17"/>
              </w:rPr>
              <w:t xml:space="preserve">to 44.6% </w:t>
            </w:r>
            <w:r w:rsidR="00F45324" w:rsidRPr="00234A11">
              <w:rPr>
                <w:sz w:val="17"/>
                <w:szCs w:val="17"/>
              </w:rPr>
              <w:t>(GAD-7)</w:t>
            </w:r>
          </w:p>
        </w:tc>
        <w:tc>
          <w:tcPr>
            <w:tcW w:w="712" w:type="pct"/>
          </w:tcPr>
          <w:p w14:paraId="21051552" w14:textId="456BD736" w:rsidR="00E6514B" w:rsidRPr="00234A11" w:rsidRDefault="00292185" w:rsidP="007F3C68">
            <w:pPr>
              <w:pStyle w:val="ANorm"/>
              <w:rPr>
                <w:sz w:val="17"/>
                <w:szCs w:val="17"/>
              </w:rPr>
            </w:pPr>
            <w:r w:rsidRPr="00234A11">
              <w:rPr>
                <w:sz w:val="17"/>
                <w:szCs w:val="17"/>
              </w:rPr>
              <w:t>Not reported</w:t>
            </w:r>
          </w:p>
        </w:tc>
        <w:tc>
          <w:tcPr>
            <w:tcW w:w="1063" w:type="pct"/>
          </w:tcPr>
          <w:p w14:paraId="1900E96C" w14:textId="7C2913A6" w:rsidR="00933BFA" w:rsidRPr="00234A11" w:rsidRDefault="0061437E" w:rsidP="006B50EE">
            <w:pPr>
              <w:pStyle w:val="ANorm"/>
              <w:rPr>
                <w:sz w:val="17"/>
                <w:szCs w:val="17"/>
              </w:rPr>
            </w:pPr>
            <w:r w:rsidRPr="00234A11">
              <w:rPr>
                <w:sz w:val="17"/>
                <w:szCs w:val="17"/>
              </w:rPr>
              <w:t>Reliable deterioration</w:t>
            </w:r>
          </w:p>
          <w:p w14:paraId="1BD2D6B2" w14:textId="77777777" w:rsidR="00667781" w:rsidRPr="00234A11" w:rsidRDefault="0061437E">
            <w:pPr>
              <w:pStyle w:val="ANorm"/>
              <w:numPr>
                <w:ilvl w:val="0"/>
                <w:numId w:val="148"/>
              </w:numPr>
              <w:ind w:left="115" w:hanging="161"/>
              <w:rPr>
                <w:sz w:val="17"/>
                <w:szCs w:val="17"/>
              </w:rPr>
            </w:pPr>
            <w:r w:rsidRPr="00234A11">
              <w:rPr>
                <w:sz w:val="17"/>
                <w:szCs w:val="17"/>
              </w:rPr>
              <w:t>1.4% (3/222) PHQ-9</w:t>
            </w:r>
          </w:p>
          <w:p w14:paraId="0647CE0E" w14:textId="63890D5F" w:rsidR="00E6514B" w:rsidRPr="00234A11" w:rsidRDefault="0061437E">
            <w:pPr>
              <w:pStyle w:val="ANorm"/>
              <w:numPr>
                <w:ilvl w:val="0"/>
                <w:numId w:val="148"/>
              </w:numPr>
              <w:ind w:left="115" w:hanging="161"/>
              <w:rPr>
                <w:sz w:val="17"/>
                <w:szCs w:val="17"/>
              </w:rPr>
            </w:pPr>
            <w:r w:rsidRPr="00234A11">
              <w:rPr>
                <w:sz w:val="17"/>
                <w:szCs w:val="17"/>
              </w:rPr>
              <w:t>1.8% (4/222) GAD-7</w:t>
            </w:r>
          </w:p>
        </w:tc>
        <w:tc>
          <w:tcPr>
            <w:tcW w:w="733" w:type="pct"/>
          </w:tcPr>
          <w:p w14:paraId="44BB5A16" w14:textId="7DFEF0B0" w:rsidR="00E6514B" w:rsidRPr="00234A11" w:rsidRDefault="00F45324" w:rsidP="00103835">
            <w:pPr>
              <w:pStyle w:val="ANorm"/>
              <w:rPr>
                <w:sz w:val="17"/>
                <w:szCs w:val="17"/>
              </w:rPr>
            </w:pPr>
            <w:r w:rsidRPr="00234A11">
              <w:rPr>
                <w:sz w:val="17"/>
                <w:szCs w:val="17"/>
              </w:rPr>
              <w:t>I</w:t>
            </w:r>
            <w:r w:rsidR="00E6514B" w:rsidRPr="00234A11">
              <w:rPr>
                <w:sz w:val="17"/>
                <w:szCs w:val="17"/>
              </w:rPr>
              <w:t xml:space="preserve">mprovement on </w:t>
            </w:r>
            <w:r w:rsidRPr="00234A11">
              <w:rPr>
                <w:sz w:val="17"/>
                <w:szCs w:val="17"/>
              </w:rPr>
              <w:t xml:space="preserve">K10, PHQ-9 and GAD-7 ranged </w:t>
            </w:r>
            <w:r w:rsidR="006B50EE" w:rsidRPr="00234A11">
              <w:rPr>
                <w:sz w:val="17"/>
                <w:szCs w:val="17"/>
              </w:rPr>
              <w:t xml:space="preserve">from </w:t>
            </w:r>
            <w:r w:rsidR="00E6514B" w:rsidRPr="00234A11">
              <w:rPr>
                <w:sz w:val="17"/>
                <w:szCs w:val="17"/>
              </w:rPr>
              <w:t xml:space="preserve">39.9% </w:t>
            </w:r>
            <w:r w:rsidR="00273ED8" w:rsidRPr="00234A11">
              <w:rPr>
                <w:sz w:val="17"/>
                <w:szCs w:val="17"/>
              </w:rPr>
              <w:t xml:space="preserve">(K10) </w:t>
            </w:r>
            <w:r w:rsidR="00E6514B" w:rsidRPr="00234A11">
              <w:rPr>
                <w:sz w:val="17"/>
                <w:szCs w:val="17"/>
              </w:rPr>
              <w:t xml:space="preserve">to 51.5% </w:t>
            </w:r>
            <w:r w:rsidR="00273ED8" w:rsidRPr="00234A11">
              <w:rPr>
                <w:sz w:val="17"/>
                <w:szCs w:val="17"/>
              </w:rPr>
              <w:t xml:space="preserve">(GAD-7) </w:t>
            </w:r>
          </w:p>
        </w:tc>
      </w:tr>
      <w:tr w:rsidR="00D9214C" w:rsidRPr="00234A11" w14:paraId="6DAACAD3" w14:textId="290C3758" w:rsidTr="0086098E">
        <w:trPr>
          <w:gridAfter w:val="1"/>
          <w:wAfter w:w="4" w:type="pct"/>
        </w:trPr>
        <w:tc>
          <w:tcPr>
            <w:tcW w:w="404" w:type="pct"/>
          </w:tcPr>
          <w:p w14:paraId="429DBE60" w14:textId="655563EE" w:rsidR="00D9214C" w:rsidRPr="00234A11" w:rsidRDefault="00D9214C" w:rsidP="00D9214C">
            <w:pPr>
              <w:pStyle w:val="ANorm"/>
              <w:rPr>
                <w:sz w:val="17"/>
                <w:szCs w:val="17"/>
              </w:rPr>
            </w:pPr>
            <w:r w:rsidRPr="00234A11">
              <w:rPr>
                <w:sz w:val="17"/>
                <w:szCs w:val="17"/>
              </w:rPr>
              <w:t xml:space="preserve">Staples </w:t>
            </w:r>
            <w:r w:rsidR="0065750D">
              <w:rPr>
                <w:sz w:val="17"/>
                <w:szCs w:val="17"/>
              </w:rPr>
              <w:t>et al</w:t>
            </w:r>
            <w:r w:rsidRPr="00234A11">
              <w:rPr>
                <w:sz w:val="17"/>
                <w:szCs w:val="17"/>
              </w:rPr>
              <w:t xml:space="preserve"> (2016)</w:t>
            </w:r>
            <w:r w:rsidRPr="00234A11">
              <w:rPr>
                <w:sz w:val="17"/>
                <w:szCs w:val="17"/>
              </w:rPr>
              <w:fldChar w:fldCharType="begin"/>
            </w:r>
            <w:r w:rsidR="004469A2">
              <w:rPr>
                <w:sz w:val="17"/>
                <w:szCs w:val="17"/>
              </w:rPr>
              <w:instrText xml:space="preserve"> ADDIN EN.CITE &lt;EndNote&gt;&lt;Cite&gt;&lt;Author&gt;Staples&lt;/Author&gt;&lt;Year&gt;2016&lt;/Year&gt;&lt;RecNum&gt;139&lt;/RecNum&gt;&lt;DisplayText&gt;&lt;style face="superscript"&gt;65&lt;/style&gt;&lt;/DisplayText&gt;&lt;record&gt;&lt;rec-number&gt;139&lt;/rec-number&gt;&lt;foreign-keys&gt;&lt;key app="EN" db-id="dawtr0zrkrzfa5edzzlpe2we0xa00t90vvr2" timestamp="1650432507"&gt;139&lt;/key&gt;&lt;/foreign-keys&gt;&lt;ref-type name="Journal Article"&gt;17&lt;/ref-type&gt;&lt;contributors&gt;&lt;authors&gt;&lt;author&gt;Staples, Lauren G&lt;/author&gt;&lt;author&gt;Fogliati, Vincent J&lt;/author&gt;&lt;author&gt;Dear, Blake F&lt;/author&gt;&lt;author&gt;Nielssen, Olav&lt;/author&gt;&lt;author&gt;Titov, Nickolai&lt;/author&gt;&lt;/authors&gt;&lt;/contributors&gt;&lt;titles&gt;&lt;title&gt;Internet-delivered treatment for older adults with anxiety and depression: Implementation of the Wellbeing Plus Course in routine clinical care and comparison with research trial outcomes&lt;/title&gt;&lt;secondary-title&gt;BJPsych Open&lt;/secondary-title&gt;&lt;/titles&gt;&lt;periodical&gt;&lt;full-title&gt;BJPsych open&lt;/full-title&gt;&lt;/periodical&gt;&lt;pages&gt;307-313&lt;/pages&gt;&lt;volume&gt;2&lt;/volume&gt;&lt;number&gt;5&lt;/number&gt;&lt;dates&gt;&lt;year&gt;2016&lt;/year&gt;&lt;/dates&gt;&lt;isbn&gt;2056-4724&lt;/isbn&gt;&lt;urls&gt;&lt;/urls&gt;&lt;/record&gt;&lt;/Cite&gt;&lt;/EndNote&gt;</w:instrText>
            </w:r>
            <w:r w:rsidRPr="00234A11">
              <w:rPr>
                <w:sz w:val="17"/>
                <w:szCs w:val="17"/>
              </w:rPr>
              <w:fldChar w:fldCharType="separate"/>
            </w:r>
            <w:r w:rsidR="004469A2" w:rsidRPr="004469A2">
              <w:rPr>
                <w:noProof/>
                <w:sz w:val="17"/>
                <w:szCs w:val="17"/>
                <w:vertAlign w:val="superscript"/>
              </w:rPr>
              <w:t>65</w:t>
            </w:r>
            <w:r w:rsidRPr="00234A11">
              <w:rPr>
                <w:sz w:val="17"/>
                <w:szCs w:val="17"/>
              </w:rPr>
              <w:fldChar w:fldCharType="end"/>
            </w:r>
            <w:r w:rsidRPr="00234A11">
              <w:rPr>
                <w:sz w:val="17"/>
                <w:szCs w:val="17"/>
              </w:rPr>
              <w:t xml:space="preserve"> </w:t>
            </w:r>
          </w:p>
        </w:tc>
        <w:tc>
          <w:tcPr>
            <w:tcW w:w="963" w:type="pct"/>
          </w:tcPr>
          <w:p w14:paraId="389D4BA2" w14:textId="3DE03015" w:rsidR="00D9214C" w:rsidRPr="00234A11" w:rsidRDefault="00D9214C" w:rsidP="00D9214C">
            <w:pPr>
              <w:pStyle w:val="ANorm"/>
              <w:rPr>
                <w:sz w:val="17"/>
                <w:szCs w:val="17"/>
              </w:rPr>
            </w:pPr>
            <w:r w:rsidRPr="00234A11">
              <w:rPr>
                <w:sz w:val="17"/>
                <w:szCs w:val="17"/>
              </w:rPr>
              <w:t xml:space="preserve">Examine effects of transdiagnostic intervention (Wellbeing Plus course) for older adults aged 60+ years with anxiety and depression in routine </w:t>
            </w:r>
            <w:proofErr w:type="spellStart"/>
            <w:r w:rsidRPr="00234A11">
              <w:rPr>
                <w:sz w:val="17"/>
                <w:szCs w:val="17"/>
              </w:rPr>
              <w:t>MindSpot</w:t>
            </w:r>
            <w:proofErr w:type="spellEnd"/>
            <w:r w:rsidRPr="00234A11">
              <w:rPr>
                <w:sz w:val="17"/>
                <w:szCs w:val="17"/>
              </w:rPr>
              <w:t xml:space="preserve"> care (N=516)</w:t>
            </w:r>
          </w:p>
        </w:tc>
        <w:tc>
          <w:tcPr>
            <w:tcW w:w="558" w:type="pct"/>
          </w:tcPr>
          <w:p w14:paraId="12D878DE" w14:textId="77777777" w:rsidR="00D9214C" w:rsidRPr="00234A11" w:rsidRDefault="00D9214C" w:rsidP="00D9214C">
            <w:pPr>
              <w:pStyle w:val="ANorm"/>
              <w:rPr>
                <w:sz w:val="17"/>
                <w:szCs w:val="17"/>
              </w:rPr>
            </w:pPr>
            <w:r w:rsidRPr="00234A11">
              <w:rPr>
                <w:sz w:val="17"/>
                <w:szCs w:val="17"/>
              </w:rPr>
              <w:t>75%</w:t>
            </w:r>
            <w:r w:rsidR="00626E80" w:rsidRPr="00234A11">
              <w:rPr>
                <w:sz w:val="17"/>
                <w:szCs w:val="17"/>
              </w:rPr>
              <w:t xml:space="preserve"> (n=388)</w:t>
            </w:r>
            <w:r w:rsidRPr="00234A11">
              <w:rPr>
                <w:sz w:val="17"/>
                <w:szCs w:val="17"/>
              </w:rPr>
              <w:t xml:space="preserve"> </w:t>
            </w:r>
          </w:p>
          <w:p w14:paraId="056B48C4" w14:textId="50E3C9FA" w:rsidR="0082260A" w:rsidRPr="00234A11" w:rsidRDefault="0082260A" w:rsidP="00D9214C">
            <w:pPr>
              <w:pStyle w:val="ANorm"/>
              <w:rPr>
                <w:sz w:val="17"/>
                <w:szCs w:val="17"/>
                <w:highlight w:val="cyan"/>
              </w:rPr>
            </w:pPr>
            <w:r w:rsidRPr="00234A11">
              <w:rPr>
                <w:sz w:val="17"/>
                <w:szCs w:val="17"/>
              </w:rPr>
              <w:t>Mean 4.4 (SD</w:t>
            </w:r>
            <w:r w:rsidR="002C77CF" w:rsidRPr="00234A11">
              <w:rPr>
                <w:sz w:val="17"/>
                <w:szCs w:val="17"/>
              </w:rPr>
              <w:t>=1.2)</w:t>
            </w:r>
          </w:p>
        </w:tc>
        <w:tc>
          <w:tcPr>
            <w:tcW w:w="563" w:type="pct"/>
          </w:tcPr>
          <w:p w14:paraId="2B7FBA9E" w14:textId="77777777" w:rsidR="007E5363" w:rsidRPr="00234A11" w:rsidRDefault="00D9214C" w:rsidP="00D9214C">
            <w:pPr>
              <w:pStyle w:val="ANorm"/>
              <w:rPr>
                <w:sz w:val="17"/>
                <w:szCs w:val="17"/>
              </w:rPr>
            </w:pPr>
            <w:r w:rsidRPr="00234A11">
              <w:rPr>
                <w:sz w:val="17"/>
                <w:szCs w:val="17"/>
              </w:rPr>
              <w:t>57% (GAD-7)</w:t>
            </w:r>
          </w:p>
          <w:p w14:paraId="3ADF1629" w14:textId="31DDF7FF" w:rsidR="00D9214C" w:rsidRPr="00234A11" w:rsidRDefault="00D9214C" w:rsidP="00D9214C">
            <w:pPr>
              <w:pStyle w:val="ANorm"/>
              <w:rPr>
                <w:sz w:val="17"/>
                <w:szCs w:val="17"/>
                <w:highlight w:val="cyan"/>
              </w:rPr>
            </w:pPr>
            <w:r w:rsidRPr="00234A11">
              <w:rPr>
                <w:sz w:val="17"/>
                <w:szCs w:val="17"/>
              </w:rPr>
              <w:t>58% (PHQ-9)</w:t>
            </w:r>
          </w:p>
        </w:tc>
        <w:tc>
          <w:tcPr>
            <w:tcW w:w="712" w:type="pct"/>
          </w:tcPr>
          <w:p w14:paraId="1B61F864" w14:textId="2A81822E" w:rsidR="00D9214C" w:rsidRPr="00234A11" w:rsidRDefault="00292185" w:rsidP="00361140">
            <w:pPr>
              <w:pStyle w:val="ANorm"/>
              <w:rPr>
                <w:sz w:val="17"/>
                <w:szCs w:val="17"/>
                <w:highlight w:val="cyan"/>
              </w:rPr>
            </w:pPr>
            <w:r w:rsidRPr="00234A11">
              <w:rPr>
                <w:sz w:val="17"/>
                <w:szCs w:val="17"/>
              </w:rPr>
              <w:t>Not reported</w:t>
            </w:r>
          </w:p>
        </w:tc>
        <w:tc>
          <w:tcPr>
            <w:tcW w:w="1063" w:type="pct"/>
            <w:shd w:val="clear" w:color="auto" w:fill="auto"/>
          </w:tcPr>
          <w:p w14:paraId="4B979479" w14:textId="0DBC51AA" w:rsidR="00C8395D" w:rsidRDefault="00D9214C" w:rsidP="00500192">
            <w:pPr>
              <w:pStyle w:val="ANorm"/>
              <w:rPr>
                <w:sz w:val="17"/>
                <w:szCs w:val="17"/>
              </w:rPr>
            </w:pPr>
            <w:r w:rsidRPr="002029DC">
              <w:rPr>
                <w:sz w:val="17"/>
                <w:szCs w:val="17"/>
              </w:rPr>
              <w:t xml:space="preserve">Deterioration </w:t>
            </w:r>
            <w:r w:rsidR="00C8395D" w:rsidRPr="002029DC">
              <w:rPr>
                <w:sz w:val="17"/>
                <w:szCs w:val="17"/>
              </w:rPr>
              <w:t>(by≥30</w:t>
            </w:r>
            <w:r w:rsidR="0022008A" w:rsidRPr="002029DC">
              <w:rPr>
                <w:sz w:val="17"/>
                <w:szCs w:val="17"/>
              </w:rPr>
              <w:t>%</w:t>
            </w:r>
            <w:r w:rsidR="0037362E" w:rsidRPr="00234A11">
              <w:rPr>
                <w:sz w:val="17"/>
                <w:szCs w:val="17"/>
              </w:rPr>
              <w:t xml:space="preserve"> </w:t>
            </w:r>
            <w:r w:rsidR="0037362E">
              <w:rPr>
                <w:sz w:val="17"/>
                <w:szCs w:val="17"/>
              </w:rPr>
              <w:t xml:space="preserve">and </w:t>
            </w:r>
            <w:r w:rsidR="0037362E" w:rsidRPr="00234A11">
              <w:rPr>
                <w:sz w:val="17"/>
                <w:szCs w:val="17"/>
              </w:rPr>
              <w:t>scored above the clinical cut-off at post-treatment</w:t>
            </w:r>
            <w:r w:rsidR="00C8395D" w:rsidRPr="00234A11">
              <w:rPr>
                <w:sz w:val="17"/>
                <w:szCs w:val="17"/>
              </w:rPr>
              <w:t>)</w:t>
            </w:r>
          </w:p>
          <w:p w14:paraId="1882D179" w14:textId="0EE82558" w:rsidR="00D9214C" w:rsidRPr="00234A11" w:rsidRDefault="00D9214C" w:rsidP="00500192">
            <w:pPr>
              <w:pStyle w:val="ANorm"/>
              <w:rPr>
                <w:sz w:val="17"/>
                <w:szCs w:val="17"/>
              </w:rPr>
            </w:pPr>
            <w:r w:rsidRPr="00234A11">
              <w:rPr>
                <w:sz w:val="17"/>
                <w:szCs w:val="17"/>
              </w:rPr>
              <w:t>1.2% (6/516)</w:t>
            </w:r>
            <w:r w:rsidR="00C8395D" w:rsidRPr="00234A11">
              <w:rPr>
                <w:sz w:val="17"/>
                <w:szCs w:val="17"/>
              </w:rPr>
              <w:t xml:space="preserve"> PHQ-9 </w:t>
            </w:r>
            <w:r w:rsidRPr="00234A11">
              <w:rPr>
                <w:sz w:val="17"/>
                <w:szCs w:val="17"/>
              </w:rPr>
              <w:t>and GAD-7</w:t>
            </w:r>
          </w:p>
        </w:tc>
        <w:tc>
          <w:tcPr>
            <w:tcW w:w="733" w:type="pct"/>
          </w:tcPr>
          <w:p w14:paraId="54B3F23A" w14:textId="7B8557F6" w:rsidR="00D9214C" w:rsidRPr="00234A11" w:rsidRDefault="00095BB7" w:rsidP="00D9214C">
            <w:pPr>
              <w:pStyle w:val="ANorm"/>
              <w:rPr>
                <w:sz w:val="17"/>
                <w:szCs w:val="17"/>
                <w:highlight w:val="cyan"/>
              </w:rPr>
            </w:pPr>
            <w:r w:rsidRPr="00234A11">
              <w:rPr>
                <w:sz w:val="17"/>
                <w:szCs w:val="17"/>
              </w:rPr>
              <w:t>Percentage i</w:t>
            </w:r>
            <w:r w:rsidR="00D9214C" w:rsidRPr="00234A11">
              <w:rPr>
                <w:sz w:val="17"/>
                <w:szCs w:val="17"/>
              </w:rPr>
              <w:t xml:space="preserve">mprovements </w:t>
            </w:r>
            <w:r w:rsidRPr="00234A11">
              <w:rPr>
                <w:sz w:val="17"/>
                <w:szCs w:val="17"/>
              </w:rPr>
              <w:t>were</w:t>
            </w:r>
            <w:r w:rsidR="00D9214C" w:rsidRPr="00234A11">
              <w:rPr>
                <w:sz w:val="17"/>
                <w:szCs w:val="17"/>
              </w:rPr>
              <w:t xml:space="preserve"> 58% (PHQ-9) </w:t>
            </w:r>
            <w:r w:rsidRPr="00234A11">
              <w:rPr>
                <w:sz w:val="17"/>
                <w:szCs w:val="17"/>
              </w:rPr>
              <w:t>and</w:t>
            </w:r>
            <w:r w:rsidR="00D9214C" w:rsidRPr="00234A11">
              <w:rPr>
                <w:sz w:val="17"/>
                <w:szCs w:val="17"/>
              </w:rPr>
              <w:t xml:space="preserve"> 62 % (GAD-7)</w:t>
            </w:r>
          </w:p>
        </w:tc>
      </w:tr>
      <w:tr w:rsidR="00D9214C" w:rsidRPr="00234A11" w14:paraId="3BDA8F46" w14:textId="1A22595C" w:rsidTr="0086098E">
        <w:trPr>
          <w:gridAfter w:val="1"/>
          <w:wAfter w:w="4" w:type="pct"/>
        </w:trPr>
        <w:tc>
          <w:tcPr>
            <w:tcW w:w="404" w:type="pct"/>
          </w:tcPr>
          <w:p w14:paraId="4C33DF83" w14:textId="487B338D" w:rsidR="00D9214C" w:rsidRPr="00234A11" w:rsidRDefault="00D9214C" w:rsidP="00D9214C">
            <w:pPr>
              <w:pStyle w:val="ANorm"/>
              <w:rPr>
                <w:sz w:val="17"/>
                <w:szCs w:val="17"/>
              </w:rPr>
            </w:pPr>
            <w:proofErr w:type="spellStart"/>
            <w:r w:rsidRPr="00234A11">
              <w:rPr>
                <w:sz w:val="17"/>
                <w:szCs w:val="17"/>
              </w:rPr>
              <w:t>Titov</w:t>
            </w:r>
            <w:proofErr w:type="spellEnd"/>
            <w:r w:rsidRPr="00234A11">
              <w:rPr>
                <w:sz w:val="17"/>
                <w:szCs w:val="17"/>
              </w:rPr>
              <w:t xml:space="preserve"> </w:t>
            </w:r>
            <w:r w:rsidR="0065750D">
              <w:rPr>
                <w:sz w:val="17"/>
                <w:szCs w:val="17"/>
              </w:rPr>
              <w:t>et al</w:t>
            </w:r>
            <w:r w:rsidRPr="00234A11">
              <w:rPr>
                <w:sz w:val="17"/>
                <w:szCs w:val="17"/>
              </w:rPr>
              <w:t xml:space="preserve"> (2019)</w:t>
            </w:r>
            <w:r w:rsidRPr="00234A11">
              <w:rPr>
                <w:sz w:val="17"/>
                <w:szCs w:val="17"/>
              </w:rPr>
              <w:fldChar w:fldCharType="begin"/>
            </w:r>
            <w:r w:rsidR="004469A2">
              <w:rPr>
                <w:sz w:val="17"/>
                <w:szCs w:val="17"/>
              </w:rPr>
              <w:instrText xml:space="preserve"> ADDIN EN.CITE &lt;EndNote&gt;&lt;Cite&gt;&lt;Author&gt;Titov&lt;/Author&gt;&lt;Year&gt;2019&lt;/Year&gt;&lt;RecNum&gt;138&lt;/RecNum&gt;&lt;DisplayText&gt;&lt;style face="superscript"&gt;25&lt;/style&gt;&lt;/DisplayText&gt;&lt;record&gt;&lt;rec-number&gt;138&lt;/rec-number&gt;&lt;foreign-keys&gt;&lt;key app="EN" db-id="dawtr0zrkrzfa5edzzlpe2we0xa00t90vvr2" timestamp="1650430455"&gt;138&lt;/key&gt;&lt;/foreign-keys&gt;&lt;ref-type name="Journal Article"&gt;17&lt;/ref-type&gt;&lt;contributors&gt;&lt;authors&gt;&lt;author&gt;Titov, Nickolai&lt;/author&gt;&lt;author&gt;Schofield, Carlie&lt;/author&gt;&lt;author&gt;Staples, Lauren&lt;/author&gt;&lt;author&gt;Dear, Blake F&lt;/author&gt;&lt;author&gt;Nielssen, Olav&lt;/author&gt;&lt;/authors&gt;&lt;/contributors&gt;&lt;titles&gt;&lt;title&gt;A comparison of Indigenous and non-Indigenous users of MindSpot: An Australian digital mental health service&lt;/title&gt;&lt;secondary-title&gt;Australasian Psychiatry&lt;/secondary-title&gt;&lt;/titles&gt;&lt;periodical&gt;&lt;full-title&gt;Australasian Psychiatry&lt;/full-title&gt;&lt;/periodical&gt;&lt;pages&gt;352-357&lt;/pages&gt;&lt;volume&gt;27&lt;/volume&gt;&lt;number&gt;4&lt;/number&gt;&lt;dates&gt;&lt;year&gt;2019&lt;/year&gt;&lt;/dates&gt;&lt;isbn&gt;1039-8562&lt;/isbn&gt;&lt;urls&gt;&lt;/urls&gt;&lt;/record&gt;&lt;/Cite&gt;&lt;/EndNote&gt;</w:instrText>
            </w:r>
            <w:r w:rsidRPr="00234A11">
              <w:rPr>
                <w:sz w:val="17"/>
                <w:szCs w:val="17"/>
              </w:rPr>
              <w:fldChar w:fldCharType="separate"/>
            </w:r>
            <w:r w:rsidR="004469A2" w:rsidRPr="004469A2">
              <w:rPr>
                <w:noProof/>
                <w:sz w:val="17"/>
                <w:szCs w:val="17"/>
                <w:vertAlign w:val="superscript"/>
              </w:rPr>
              <w:t>25</w:t>
            </w:r>
            <w:r w:rsidRPr="00234A11">
              <w:rPr>
                <w:sz w:val="17"/>
                <w:szCs w:val="17"/>
              </w:rPr>
              <w:fldChar w:fldCharType="end"/>
            </w:r>
          </w:p>
        </w:tc>
        <w:tc>
          <w:tcPr>
            <w:tcW w:w="963" w:type="pct"/>
          </w:tcPr>
          <w:p w14:paraId="7D127CED" w14:textId="366E3C1D" w:rsidR="00D9214C" w:rsidRPr="00234A11" w:rsidRDefault="00D9214C" w:rsidP="00D9214C">
            <w:pPr>
              <w:pStyle w:val="ANorm"/>
              <w:rPr>
                <w:sz w:val="17"/>
                <w:szCs w:val="17"/>
              </w:rPr>
            </w:pPr>
            <w:r w:rsidRPr="00234A11">
              <w:rPr>
                <w:sz w:val="17"/>
                <w:szCs w:val="17"/>
              </w:rPr>
              <w:t xml:space="preserve">Examine outcomes for Indigenous Australian who used </w:t>
            </w:r>
            <w:proofErr w:type="spellStart"/>
            <w:r w:rsidR="00726446" w:rsidRPr="00234A11">
              <w:rPr>
                <w:sz w:val="17"/>
                <w:szCs w:val="17"/>
              </w:rPr>
              <w:t>MindSpot</w:t>
            </w:r>
            <w:proofErr w:type="spellEnd"/>
            <w:r w:rsidR="00427300" w:rsidRPr="00234A11">
              <w:rPr>
                <w:sz w:val="17"/>
                <w:szCs w:val="17"/>
              </w:rPr>
              <w:t xml:space="preserve">, </w:t>
            </w:r>
            <w:r w:rsidRPr="00234A11">
              <w:rPr>
                <w:sz w:val="17"/>
                <w:szCs w:val="17"/>
              </w:rPr>
              <w:t>January 2015</w:t>
            </w:r>
            <w:r w:rsidR="00427300" w:rsidRPr="00234A11">
              <w:rPr>
                <w:sz w:val="17"/>
                <w:szCs w:val="17"/>
              </w:rPr>
              <w:t xml:space="preserve"> – </w:t>
            </w:r>
            <w:r w:rsidRPr="00234A11">
              <w:rPr>
                <w:sz w:val="17"/>
                <w:szCs w:val="17"/>
              </w:rPr>
              <w:t>December 2016 (N=92)</w:t>
            </w:r>
          </w:p>
        </w:tc>
        <w:tc>
          <w:tcPr>
            <w:tcW w:w="558" w:type="pct"/>
          </w:tcPr>
          <w:p w14:paraId="583D25CD" w14:textId="6FEA2CEE" w:rsidR="00D63C5E" w:rsidRPr="00234A11" w:rsidRDefault="00D9214C" w:rsidP="00D9214C">
            <w:pPr>
              <w:pStyle w:val="ANorm"/>
              <w:rPr>
                <w:sz w:val="17"/>
                <w:szCs w:val="17"/>
              </w:rPr>
            </w:pPr>
            <w:r w:rsidRPr="00234A11">
              <w:rPr>
                <w:sz w:val="17"/>
                <w:szCs w:val="17"/>
              </w:rPr>
              <w:t>70%</w:t>
            </w:r>
            <w:r w:rsidR="00D63C5E" w:rsidRPr="00234A11">
              <w:rPr>
                <w:sz w:val="17"/>
                <w:szCs w:val="17"/>
              </w:rPr>
              <w:t xml:space="preserve"> completed treatment</w:t>
            </w:r>
          </w:p>
          <w:p w14:paraId="4A96976F" w14:textId="77777777" w:rsidR="009E4954" w:rsidRPr="00234A11" w:rsidRDefault="009E4954" w:rsidP="00D9214C">
            <w:pPr>
              <w:pStyle w:val="ANorm"/>
              <w:rPr>
                <w:sz w:val="17"/>
                <w:szCs w:val="17"/>
              </w:rPr>
            </w:pPr>
          </w:p>
          <w:p w14:paraId="55091F6F" w14:textId="758D47B5" w:rsidR="00D63C5E" w:rsidRPr="00234A11" w:rsidRDefault="009E4954" w:rsidP="00D9214C">
            <w:pPr>
              <w:pStyle w:val="ANorm"/>
              <w:rPr>
                <w:sz w:val="17"/>
                <w:szCs w:val="17"/>
              </w:rPr>
            </w:pPr>
            <w:r w:rsidRPr="00234A11">
              <w:rPr>
                <w:sz w:val="17"/>
                <w:szCs w:val="17"/>
              </w:rPr>
              <w:t>62.8% completed post-treatment questionnaires</w:t>
            </w:r>
          </w:p>
        </w:tc>
        <w:tc>
          <w:tcPr>
            <w:tcW w:w="563" w:type="pct"/>
          </w:tcPr>
          <w:p w14:paraId="47EADAE8" w14:textId="39E78E99" w:rsidR="00D9214C" w:rsidRPr="00234A11" w:rsidRDefault="0004709C" w:rsidP="00D9214C">
            <w:pPr>
              <w:pStyle w:val="ANorm"/>
              <w:rPr>
                <w:sz w:val="17"/>
                <w:szCs w:val="17"/>
              </w:rPr>
            </w:pPr>
            <w:r w:rsidRPr="00234A11">
              <w:rPr>
                <w:sz w:val="17"/>
                <w:szCs w:val="17"/>
              </w:rPr>
              <w:t>Not reported</w:t>
            </w:r>
          </w:p>
        </w:tc>
        <w:tc>
          <w:tcPr>
            <w:tcW w:w="712" w:type="pct"/>
          </w:tcPr>
          <w:p w14:paraId="525F9409" w14:textId="13A61200" w:rsidR="00D9214C" w:rsidRPr="00234A11" w:rsidRDefault="0004709C" w:rsidP="00D9214C">
            <w:pPr>
              <w:pStyle w:val="ANorm"/>
              <w:rPr>
                <w:sz w:val="17"/>
                <w:szCs w:val="17"/>
              </w:rPr>
            </w:pPr>
            <w:r w:rsidRPr="00234A11">
              <w:rPr>
                <w:sz w:val="17"/>
                <w:szCs w:val="17"/>
              </w:rPr>
              <w:t>Not reported</w:t>
            </w:r>
          </w:p>
        </w:tc>
        <w:tc>
          <w:tcPr>
            <w:tcW w:w="1063" w:type="pct"/>
          </w:tcPr>
          <w:p w14:paraId="360368DC" w14:textId="3DA04C7C" w:rsidR="00D9214C" w:rsidRPr="00234A11" w:rsidRDefault="00D9214C" w:rsidP="00EA5B66">
            <w:pPr>
              <w:pStyle w:val="ANorm"/>
              <w:ind w:left="-46"/>
              <w:rPr>
                <w:sz w:val="17"/>
                <w:szCs w:val="17"/>
              </w:rPr>
            </w:pPr>
            <w:r w:rsidRPr="00234A11">
              <w:rPr>
                <w:sz w:val="17"/>
                <w:szCs w:val="17"/>
              </w:rPr>
              <w:t xml:space="preserve">Not </w:t>
            </w:r>
            <w:r w:rsidR="0004709C" w:rsidRPr="00234A11">
              <w:rPr>
                <w:sz w:val="17"/>
                <w:szCs w:val="17"/>
              </w:rPr>
              <w:t>reported</w:t>
            </w:r>
          </w:p>
        </w:tc>
        <w:tc>
          <w:tcPr>
            <w:tcW w:w="733" w:type="pct"/>
          </w:tcPr>
          <w:p w14:paraId="32CAE12F" w14:textId="00EEDD8A" w:rsidR="00D9214C" w:rsidRPr="00234A11" w:rsidRDefault="00D9214C" w:rsidP="00EA5B66">
            <w:pPr>
              <w:pStyle w:val="ANorm"/>
              <w:ind w:left="-46"/>
              <w:rPr>
                <w:sz w:val="17"/>
                <w:szCs w:val="17"/>
              </w:rPr>
            </w:pPr>
            <w:r w:rsidRPr="00234A11">
              <w:rPr>
                <w:sz w:val="17"/>
                <w:szCs w:val="17"/>
              </w:rPr>
              <w:t xml:space="preserve">Not </w:t>
            </w:r>
            <w:r w:rsidR="00824BAC" w:rsidRPr="00234A11">
              <w:rPr>
                <w:sz w:val="17"/>
                <w:szCs w:val="17"/>
              </w:rPr>
              <w:t>examined</w:t>
            </w:r>
          </w:p>
        </w:tc>
      </w:tr>
      <w:tr w:rsidR="00712D8F" w:rsidRPr="00234A11" w14:paraId="110B9E50" w14:textId="77777777" w:rsidTr="0086098E">
        <w:trPr>
          <w:gridAfter w:val="1"/>
          <w:wAfter w:w="4" w:type="pct"/>
        </w:trPr>
        <w:tc>
          <w:tcPr>
            <w:tcW w:w="404" w:type="pct"/>
          </w:tcPr>
          <w:p w14:paraId="4F257752" w14:textId="65EB718C" w:rsidR="00712D8F" w:rsidRPr="00234A11" w:rsidRDefault="00712D8F" w:rsidP="00712D8F">
            <w:pPr>
              <w:pStyle w:val="ANorm"/>
              <w:rPr>
                <w:sz w:val="17"/>
                <w:szCs w:val="17"/>
              </w:rPr>
            </w:pPr>
            <w:proofErr w:type="spellStart"/>
            <w:r w:rsidRPr="00234A11">
              <w:rPr>
                <w:sz w:val="17"/>
                <w:szCs w:val="17"/>
              </w:rPr>
              <w:t>Kayrouz</w:t>
            </w:r>
            <w:proofErr w:type="spellEnd"/>
            <w:r w:rsidRPr="00234A11">
              <w:rPr>
                <w:sz w:val="17"/>
                <w:szCs w:val="17"/>
              </w:rPr>
              <w:t xml:space="preserve"> </w:t>
            </w:r>
            <w:r w:rsidR="0065750D">
              <w:rPr>
                <w:sz w:val="17"/>
                <w:szCs w:val="17"/>
              </w:rPr>
              <w:t>et al</w:t>
            </w:r>
            <w:r w:rsidRPr="00234A11">
              <w:rPr>
                <w:sz w:val="17"/>
                <w:szCs w:val="17"/>
              </w:rPr>
              <w:t xml:space="preserve"> (2</w:t>
            </w:r>
            <w:r w:rsidR="0078742A" w:rsidRPr="00234A11">
              <w:rPr>
                <w:sz w:val="17"/>
                <w:szCs w:val="17"/>
              </w:rPr>
              <w:t>0</w:t>
            </w:r>
            <w:r w:rsidRPr="00234A11">
              <w:rPr>
                <w:sz w:val="17"/>
                <w:szCs w:val="17"/>
              </w:rPr>
              <w:t>20)</w:t>
            </w:r>
            <w:r w:rsidRPr="00234A11">
              <w:rPr>
                <w:sz w:val="17"/>
                <w:szCs w:val="17"/>
              </w:rPr>
              <w:fldChar w:fldCharType="begin"/>
            </w:r>
            <w:r w:rsidR="004469A2">
              <w:rPr>
                <w:sz w:val="17"/>
                <w:szCs w:val="17"/>
              </w:rPr>
              <w:instrText xml:space="preserve"> ADDIN EN.CITE &lt;EndNote&gt;&lt;Cite&gt;&lt;Author&gt;Kayrouz&lt;/Author&gt;&lt;Year&gt;2020&lt;/Year&gt;&lt;RecNum&gt;137&lt;/RecNum&gt;&lt;DisplayText&gt;&lt;style face="superscript"&gt;66&lt;/style&gt;&lt;/DisplayText&gt;&lt;record&gt;&lt;rec-number&gt;137&lt;/rec-number&gt;&lt;foreign-keys&gt;&lt;key app="EN" db-id="dawtr0zrkrzfa5edzzlpe2we0xa00t90vvr2" timestamp="1650429449"&gt;137&lt;/key&gt;&lt;/foreign-keys&gt;&lt;ref-type name="Journal Article"&gt;17&lt;/ref-type&gt;&lt;contributors&gt;&lt;authors&gt;&lt;author&gt;Kayrouz, Rony&lt;/author&gt;&lt;author&gt;Karin, Eyal&lt;/author&gt;&lt;author&gt;Staples, Lauren G.&lt;/author&gt;&lt;author&gt;Nielssen, Olav&lt;/author&gt;&lt;author&gt;Dear, Blake F.&lt;/author&gt;&lt;author&gt;Titov, Nickolai&lt;/author&gt;&lt;/authors&gt;&lt;/contributors&gt;&lt;titles&gt;&lt;title&gt;A comparison of the characteristics and treatment outcomes of migrant and Australian-born users of a national digital mental health service&lt;/title&gt;&lt;secondary-title&gt;BMC Psychiatry&lt;/secondary-title&gt;&lt;/titles&gt;&lt;periodical&gt;&lt;full-title&gt;BMC Psychiatry&lt;/full-title&gt;&lt;/periodical&gt;&lt;pages&gt;111&lt;/pages&gt;&lt;volume&gt;20&lt;/volume&gt;&lt;number&gt;1&lt;/number&gt;&lt;dates&gt;&lt;year&gt;2020&lt;/year&gt;&lt;pub-dates&gt;&lt;date&gt;2020/03/11&lt;/date&gt;&lt;/pub-dates&gt;&lt;/dates&gt;&lt;isbn&gt;1471-244X&lt;/isbn&gt;&lt;urls&gt;&lt;related-urls&gt;&lt;url&gt;https://doi.org/10.1186/s12888-020-02486-3&lt;/url&gt;&lt;/related-urls&gt;&lt;/urls&gt;&lt;electronic-resource-num&gt;10.1186/s12888-020-02486-3&lt;/electronic-resource-num&gt;&lt;/record&gt;&lt;/Cite&gt;&lt;/EndNote&gt;</w:instrText>
            </w:r>
            <w:r w:rsidRPr="00234A11">
              <w:rPr>
                <w:sz w:val="17"/>
                <w:szCs w:val="17"/>
              </w:rPr>
              <w:fldChar w:fldCharType="separate"/>
            </w:r>
            <w:r w:rsidR="004469A2" w:rsidRPr="004469A2">
              <w:rPr>
                <w:noProof/>
                <w:sz w:val="17"/>
                <w:szCs w:val="17"/>
                <w:vertAlign w:val="superscript"/>
              </w:rPr>
              <w:t>66</w:t>
            </w:r>
            <w:r w:rsidRPr="00234A11">
              <w:rPr>
                <w:sz w:val="17"/>
                <w:szCs w:val="17"/>
              </w:rPr>
              <w:fldChar w:fldCharType="end"/>
            </w:r>
          </w:p>
        </w:tc>
        <w:tc>
          <w:tcPr>
            <w:tcW w:w="963" w:type="pct"/>
          </w:tcPr>
          <w:p w14:paraId="6B5F62AC" w14:textId="04E6A363" w:rsidR="00712D8F" w:rsidRPr="00234A11" w:rsidRDefault="00712D8F" w:rsidP="00712D8F">
            <w:pPr>
              <w:pStyle w:val="ANorm"/>
              <w:rPr>
                <w:sz w:val="17"/>
                <w:szCs w:val="17"/>
              </w:rPr>
            </w:pPr>
            <w:r w:rsidRPr="00234A11">
              <w:rPr>
                <w:sz w:val="17"/>
                <w:szCs w:val="17"/>
              </w:rPr>
              <w:t xml:space="preserve">Examine characteristics and </w:t>
            </w:r>
            <w:r w:rsidR="000173A7" w:rsidRPr="00234A11">
              <w:rPr>
                <w:sz w:val="17"/>
                <w:szCs w:val="17"/>
              </w:rPr>
              <w:t xml:space="preserve">effects of </w:t>
            </w:r>
            <w:r w:rsidR="001F01A5" w:rsidRPr="00234A11">
              <w:rPr>
                <w:sz w:val="17"/>
                <w:szCs w:val="17"/>
              </w:rPr>
              <w:t>transdiagnostic intervention (Wellbeing course)</w:t>
            </w:r>
            <w:r w:rsidRPr="00234A11">
              <w:rPr>
                <w:sz w:val="17"/>
                <w:szCs w:val="17"/>
              </w:rPr>
              <w:t xml:space="preserve"> </w:t>
            </w:r>
            <w:r w:rsidR="001F01A5" w:rsidRPr="00234A11">
              <w:rPr>
                <w:sz w:val="17"/>
                <w:szCs w:val="17"/>
              </w:rPr>
              <w:t xml:space="preserve">for </w:t>
            </w:r>
            <w:r w:rsidRPr="00234A11">
              <w:rPr>
                <w:sz w:val="17"/>
                <w:szCs w:val="17"/>
              </w:rPr>
              <w:t xml:space="preserve">non-Australian born (migrant) users of </w:t>
            </w:r>
            <w:proofErr w:type="spellStart"/>
            <w:r w:rsidRPr="00234A11">
              <w:rPr>
                <w:sz w:val="17"/>
                <w:szCs w:val="17"/>
              </w:rPr>
              <w:t>MindSpot</w:t>
            </w:r>
            <w:proofErr w:type="spellEnd"/>
            <w:r w:rsidR="00591B71" w:rsidRPr="00234A11">
              <w:rPr>
                <w:sz w:val="17"/>
                <w:szCs w:val="17"/>
              </w:rPr>
              <w:t xml:space="preserve">, </w:t>
            </w:r>
            <w:r w:rsidRPr="00234A11">
              <w:rPr>
                <w:sz w:val="17"/>
                <w:szCs w:val="17"/>
              </w:rPr>
              <w:t>January 2014</w:t>
            </w:r>
            <w:r w:rsidR="00591B71" w:rsidRPr="00234A11">
              <w:rPr>
                <w:sz w:val="17"/>
                <w:szCs w:val="17"/>
              </w:rPr>
              <w:t xml:space="preserve"> – </w:t>
            </w:r>
            <w:r w:rsidRPr="00234A11">
              <w:rPr>
                <w:sz w:val="17"/>
                <w:szCs w:val="17"/>
              </w:rPr>
              <w:t>December 2016</w:t>
            </w:r>
            <w:r w:rsidR="004E30D5">
              <w:rPr>
                <w:sz w:val="17"/>
                <w:szCs w:val="17"/>
              </w:rPr>
              <w:t xml:space="preserve"> (N=16</w:t>
            </w:r>
            <w:r w:rsidR="00A26983">
              <w:rPr>
                <w:sz w:val="17"/>
                <w:szCs w:val="17"/>
              </w:rPr>
              <w:t>31)</w:t>
            </w:r>
          </w:p>
        </w:tc>
        <w:tc>
          <w:tcPr>
            <w:tcW w:w="558" w:type="pct"/>
          </w:tcPr>
          <w:p w14:paraId="2B9E0F58" w14:textId="1175C370" w:rsidR="00BE0BFF" w:rsidRPr="00234A11" w:rsidRDefault="00BE0BFF" w:rsidP="00712D8F">
            <w:pPr>
              <w:pStyle w:val="ANorm"/>
              <w:rPr>
                <w:sz w:val="17"/>
                <w:szCs w:val="17"/>
              </w:rPr>
            </w:pPr>
            <w:r w:rsidRPr="00234A11">
              <w:rPr>
                <w:sz w:val="17"/>
                <w:szCs w:val="17"/>
              </w:rPr>
              <w:t>59%</w:t>
            </w:r>
            <w:r w:rsidR="00A31717" w:rsidRPr="00234A11">
              <w:rPr>
                <w:sz w:val="17"/>
                <w:szCs w:val="17"/>
              </w:rPr>
              <w:t>-</w:t>
            </w:r>
            <w:r w:rsidRPr="00234A11">
              <w:rPr>
                <w:sz w:val="17"/>
                <w:szCs w:val="17"/>
              </w:rPr>
              <w:t>78%</w:t>
            </w:r>
          </w:p>
          <w:p w14:paraId="798159B6" w14:textId="77777777" w:rsidR="00A31717" w:rsidRPr="00234A11" w:rsidRDefault="00A31717" w:rsidP="00712D8F">
            <w:pPr>
              <w:pStyle w:val="ANorm"/>
              <w:rPr>
                <w:sz w:val="17"/>
                <w:szCs w:val="17"/>
              </w:rPr>
            </w:pPr>
          </w:p>
          <w:p w14:paraId="4559512D" w14:textId="0BD6F32D" w:rsidR="00BE0BFF" w:rsidRPr="00234A11" w:rsidRDefault="00BE0BFF" w:rsidP="00712D8F">
            <w:pPr>
              <w:pStyle w:val="ANorm"/>
              <w:rPr>
                <w:sz w:val="17"/>
                <w:szCs w:val="17"/>
              </w:rPr>
            </w:pPr>
            <w:r w:rsidRPr="00234A11">
              <w:rPr>
                <w:sz w:val="17"/>
                <w:szCs w:val="17"/>
              </w:rPr>
              <w:t>Mean 3.58</w:t>
            </w:r>
            <w:r w:rsidR="00886586" w:rsidRPr="00234A11">
              <w:rPr>
                <w:sz w:val="17"/>
                <w:szCs w:val="17"/>
              </w:rPr>
              <w:t xml:space="preserve">-4.06 </w:t>
            </w:r>
            <w:r w:rsidRPr="00234A11">
              <w:rPr>
                <w:sz w:val="17"/>
                <w:szCs w:val="17"/>
              </w:rPr>
              <w:t>of 5</w:t>
            </w:r>
          </w:p>
        </w:tc>
        <w:tc>
          <w:tcPr>
            <w:tcW w:w="563" w:type="pct"/>
          </w:tcPr>
          <w:p w14:paraId="01C62469" w14:textId="07673079" w:rsidR="00712D8F" w:rsidRPr="00234A11" w:rsidRDefault="00210E7F" w:rsidP="00712D8F">
            <w:pPr>
              <w:pStyle w:val="ANorm"/>
              <w:rPr>
                <w:sz w:val="17"/>
                <w:szCs w:val="17"/>
              </w:rPr>
            </w:pPr>
            <w:r w:rsidRPr="00234A11">
              <w:rPr>
                <w:sz w:val="17"/>
                <w:szCs w:val="17"/>
              </w:rPr>
              <w:t>4</w:t>
            </w:r>
            <w:r w:rsidR="00BB6A2C" w:rsidRPr="00234A11">
              <w:rPr>
                <w:sz w:val="17"/>
                <w:szCs w:val="17"/>
              </w:rPr>
              <w:t>4</w:t>
            </w:r>
            <w:r w:rsidRPr="00234A11">
              <w:rPr>
                <w:sz w:val="17"/>
                <w:szCs w:val="17"/>
              </w:rPr>
              <w:t xml:space="preserve">-55% </w:t>
            </w:r>
            <w:r w:rsidR="00BB6A2C" w:rsidRPr="00234A11">
              <w:rPr>
                <w:sz w:val="17"/>
                <w:szCs w:val="17"/>
              </w:rPr>
              <w:t>(PHQ-</w:t>
            </w:r>
            <w:r w:rsidR="007E5363" w:rsidRPr="00234A11">
              <w:rPr>
                <w:sz w:val="17"/>
                <w:szCs w:val="17"/>
              </w:rPr>
              <w:t>9)</w:t>
            </w:r>
          </w:p>
          <w:p w14:paraId="0E8C0C62" w14:textId="0DA31AA2" w:rsidR="007E5363" w:rsidRPr="00234A11" w:rsidRDefault="00203D70" w:rsidP="00712D8F">
            <w:pPr>
              <w:pStyle w:val="ANorm"/>
              <w:rPr>
                <w:sz w:val="17"/>
                <w:szCs w:val="17"/>
              </w:rPr>
            </w:pPr>
            <w:r w:rsidRPr="00234A11">
              <w:rPr>
                <w:sz w:val="17"/>
                <w:szCs w:val="17"/>
              </w:rPr>
              <w:t>43-55% (GAD-7)</w:t>
            </w:r>
          </w:p>
        </w:tc>
        <w:tc>
          <w:tcPr>
            <w:tcW w:w="712" w:type="pct"/>
          </w:tcPr>
          <w:p w14:paraId="47B1FC4E" w14:textId="77777777" w:rsidR="00712D8F" w:rsidRPr="00234A11" w:rsidRDefault="00210E7F" w:rsidP="00712D8F">
            <w:pPr>
              <w:pStyle w:val="ANorm"/>
              <w:rPr>
                <w:sz w:val="17"/>
                <w:szCs w:val="17"/>
              </w:rPr>
            </w:pPr>
            <w:r w:rsidRPr="00234A11">
              <w:rPr>
                <w:sz w:val="17"/>
                <w:szCs w:val="17"/>
              </w:rPr>
              <w:t>&gt;50%</w:t>
            </w:r>
            <w:r w:rsidR="00712D8F" w:rsidRPr="00234A11">
              <w:rPr>
                <w:sz w:val="17"/>
                <w:szCs w:val="17"/>
              </w:rPr>
              <w:t xml:space="preserve"> </w:t>
            </w:r>
            <w:r w:rsidR="00B64EBB" w:rsidRPr="00234A11">
              <w:rPr>
                <w:sz w:val="17"/>
                <w:szCs w:val="17"/>
              </w:rPr>
              <w:t>symptom improvement:</w:t>
            </w:r>
          </w:p>
          <w:p w14:paraId="4F5CDB94" w14:textId="5463C396" w:rsidR="00B64EBB" w:rsidRPr="00234A11" w:rsidRDefault="00836AF0">
            <w:pPr>
              <w:pStyle w:val="ANorm"/>
              <w:numPr>
                <w:ilvl w:val="0"/>
                <w:numId w:val="152"/>
              </w:numPr>
              <w:ind w:left="184" w:hanging="218"/>
              <w:rPr>
                <w:sz w:val="17"/>
                <w:szCs w:val="17"/>
              </w:rPr>
            </w:pPr>
            <w:r w:rsidRPr="00234A11">
              <w:rPr>
                <w:sz w:val="17"/>
                <w:szCs w:val="17"/>
              </w:rPr>
              <w:t>56-64% on PHQ-9</w:t>
            </w:r>
          </w:p>
          <w:p w14:paraId="2DC3C7B2" w14:textId="56806F36" w:rsidR="00222309" w:rsidRPr="00234A11" w:rsidRDefault="00222309">
            <w:pPr>
              <w:pStyle w:val="ANorm"/>
              <w:numPr>
                <w:ilvl w:val="0"/>
                <w:numId w:val="152"/>
              </w:numPr>
              <w:ind w:left="184" w:hanging="218"/>
              <w:rPr>
                <w:sz w:val="17"/>
                <w:szCs w:val="17"/>
              </w:rPr>
            </w:pPr>
            <w:r w:rsidRPr="00234A11">
              <w:rPr>
                <w:sz w:val="17"/>
                <w:szCs w:val="17"/>
              </w:rPr>
              <w:t>53-70% on GAD-7</w:t>
            </w:r>
          </w:p>
        </w:tc>
        <w:tc>
          <w:tcPr>
            <w:tcW w:w="1063" w:type="pct"/>
          </w:tcPr>
          <w:p w14:paraId="6438EA49" w14:textId="5CE49160" w:rsidR="00712D8F" w:rsidRPr="00234A11" w:rsidRDefault="00712D8F" w:rsidP="00E5556D">
            <w:pPr>
              <w:pStyle w:val="ANorm"/>
              <w:rPr>
                <w:sz w:val="17"/>
                <w:szCs w:val="17"/>
              </w:rPr>
            </w:pPr>
            <w:r w:rsidRPr="00234A11">
              <w:rPr>
                <w:sz w:val="17"/>
                <w:szCs w:val="17"/>
              </w:rPr>
              <w:t xml:space="preserve">Deterioration </w:t>
            </w:r>
            <w:r w:rsidR="008D7578">
              <w:rPr>
                <w:sz w:val="17"/>
                <w:szCs w:val="17"/>
              </w:rPr>
              <w:t>(&gt;-30%)</w:t>
            </w:r>
          </w:p>
          <w:p w14:paraId="5DA17436" w14:textId="30F8E408" w:rsidR="00E5556D" w:rsidRPr="00234A11" w:rsidRDefault="00E5556D">
            <w:pPr>
              <w:pStyle w:val="ANorm"/>
              <w:numPr>
                <w:ilvl w:val="0"/>
                <w:numId w:val="148"/>
              </w:numPr>
              <w:ind w:left="115" w:hanging="161"/>
              <w:rPr>
                <w:sz w:val="17"/>
                <w:szCs w:val="17"/>
              </w:rPr>
            </w:pPr>
            <w:r w:rsidRPr="00234A11">
              <w:rPr>
                <w:sz w:val="17"/>
                <w:szCs w:val="17"/>
              </w:rPr>
              <w:t>0-5%PH</w:t>
            </w:r>
            <w:r w:rsidR="004D4853" w:rsidRPr="00234A11">
              <w:rPr>
                <w:sz w:val="17"/>
                <w:szCs w:val="17"/>
              </w:rPr>
              <w:t>Q-9</w:t>
            </w:r>
          </w:p>
          <w:p w14:paraId="74C25F47" w14:textId="719A99EB" w:rsidR="004D4853" w:rsidRDefault="004D4853">
            <w:pPr>
              <w:pStyle w:val="ANorm"/>
              <w:numPr>
                <w:ilvl w:val="0"/>
                <w:numId w:val="148"/>
              </w:numPr>
              <w:ind w:left="115" w:hanging="161"/>
              <w:rPr>
                <w:sz w:val="17"/>
                <w:szCs w:val="17"/>
              </w:rPr>
            </w:pPr>
            <w:r w:rsidRPr="00234A11">
              <w:rPr>
                <w:sz w:val="17"/>
                <w:szCs w:val="17"/>
              </w:rPr>
              <w:t>0-7%</w:t>
            </w:r>
            <w:r w:rsidR="0061421F">
              <w:rPr>
                <w:sz w:val="17"/>
                <w:szCs w:val="17"/>
              </w:rPr>
              <w:t xml:space="preserve"> </w:t>
            </w:r>
            <w:r w:rsidRPr="00234A11">
              <w:rPr>
                <w:sz w:val="17"/>
                <w:szCs w:val="17"/>
              </w:rPr>
              <w:t>GAD-7</w:t>
            </w:r>
          </w:p>
          <w:p w14:paraId="02C935AA" w14:textId="77777777" w:rsidR="00735128" w:rsidRDefault="00735128" w:rsidP="00E5556D">
            <w:pPr>
              <w:pStyle w:val="ANorm"/>
              <w:rPr>
                <w:sz w:val="17"/>
                <w:szCs w:val="17"/>
              </w:rPr>
            </w:pPr>
          </w:p>
          <w:p w14:paraId="46E3A7EF" w14:textId="58C72BD0" w:rsidR="00735128" w:rsidRDefault="00BF2746" w:rsidP="00E5556D">
            <w:pPr>
              <w:pStyle w:val="ANorm"/>
              <w:rPr>
                <w:sz w:val="17"/>
                <w:szCs w:val="17"/>
              </w:rPr>
            </w:pPr>
            <w:r>
              <w:rPr>
                <w:sz w:val="17"/>
                <w:szCs w:val="17"/>
              </w:rPr>
              <w:t>No reliable change</w:t>
            </w:r>
            <w:r w:rsidR="00E26A44">
              <w:rPr>
                <w:sz w:val="17"/>
                <w:szCs w:val="17"/>
              </w:rPr>
              <w:t xml:space="preserve"> </w:t>
            </w:r>
            <w:r w:rsidR="008D7578">
              <w:rPr>
                <w:sz w:val="17"/>
                <w:szCs w:val="17"/>
              </w:rPr>
              <w:t xml:space="preserve">(-30% to </w:t>
            </w:r>
            <w:r w:rsidR="00AE0D4E">
              <w:rPr>
                <w:sz w:val="17"/>
                <w:szCs w:val="17"/>
              </w:rPr>
              <w:t>30%)</w:t>
            </w:r>
          </w:p>
          <w:p w14:paraId="11DCCAAC" w14:textId="77777777" w:rsidR="0005286B" w:rsidRDefault="0005286B">
            <w:pPr>
              <w:pStyle w:val="ANorm"/>
              <w:numPr>
                <w:ilvl w:val="0"/>
                <w:numId w:val="148"/>
              </w:numPr>
              <w:ind w:left="115" w:hanging="161"/>
              <w:rPr>
                <w:sz w:val="17"/>
                <w:szCs w:val="17"/>
              </w:rPr>
            </w:pPr>
            <w:r>
              <w:rPr>
                <w:sz w:val="17"/>
                <w:szCs w:val="17"/>
              </w:rPr>
              <w:t>12-25% PHQ-9</w:t>
            </w:r>
          </w:p>
          <w:p w14:paraId="0369C58B" w14:textId="38A2DDF5" w:rsidR="0005286B" w:rsidRDefault="006B7984">
            <w:pPr>
              <w:pStyle w:val="ANorm"/>
              <w:numPr>
                <w:ilvl w:val="0"/>
                <w:numId w:val="148"/>
              </w:numPr>
              <w:ind w:left="115" w:hanging="161"/>
              <w:rPr>
                <w:sz w:val="17"/>
                <w:szCs w:val="17"/>
              </w:rPr>
            </w:pPr>
            <w:r>
              <w:rPr>
                <w:sz w:val="17"/>
                <w:szCs w:val="17"/>
              </w:rPr>
              <w:t>13-23%</w:t>
            </w:r>
            <w:r w:rsidR="000B6B35">
              <w:rPr>
                <w:sz w:val="17"/>
                <w:szCs w:val="17"/>
              </w:rPr>
              <w:t xml:space="preserve"> GAD-7</w:t>
            </w:r>
          </w:p>
          <w:p w14:paraId="31458A5A" w14:textId="77777777" w:rsidR="006166BF" w:rsidRDefault="006166BF" w:rsidP="00E5556D">
            <w:pPr>
              <w:pStyle w:val="ANorm"/>
              <w:rPr>
                <w:sz w:val="17"/>
                <w:szCs w:val="17"/>
              </w:rPr>
            </w:pPr>
          </w:p>
          <w:p w14:paraId="3339531C" w14:textId="59E05398" w:rsidR="00195DB4" w:rsidRDefault="00195DB4" w:rsidP="00E5556D">
            <w:pPr>
              <w:pStyle w:val="ANorm"/>
              <w:rPr>
                <w:sz w:val="17"/>
                <w:szCs w:val="17"/>
              </w:rPr>
            </w:pPr>
            <w:r w:rsidRPr="00DA6DF3">
              <w:rPr>
                <w:sz w:val="17"/>
                <w:szCs w:val="17"/>
              </w:rPr>
              <w:t>Minimal improvement</w:t>
            </w:r>
            <w:r w:rsidR="00F24370">
              <w:rPr>
                <w:sz w:val="17"/>
                <w:szCs w:val="17"/>
              </w:rPr>
              <w:t xml:space="preserve"> (3</w:t>
            </w:r>
            <w:r w:rsidR="00AE0D4E">
              <w:rPr>
                <w:sz w:val="17"/>
                <w:szCs w:val="17"/>
              </w:rPr>
              <w:t>1</w:t>
            </w:r>
            <w:r w:rsidR="00F24370">
              <w:rPr>
                <w:sz w:val="17"/>
                <w:szCs w:val="17"/>
              </w:rPr>
              <w:t>-50%</w:t>
            </w:r>
            <w:r w:rsidR="00E30A0C">
              <w:rPr>
                <w:sz w:val="17"/>
                <w:szCs w:val="17"/>
              </w:rPr>
              <w:t xml:space="preserve"> change</w:t>
            </w:r>
            <w:r w:rsidR="00F24370">
              <w:rPr>
                <w:sz w:val="17"/>
                <w:szCs w:val="17"/>
              </w:rPr>
              <w:t>)</w:t>
            </w:r>
          </w:p>
          <w:p w14:paraId="6F9D6844" w14:textId="6052B603" w:rsidR="00195DB4" w:rsidRDefault="00DA6DF3">
            <w:pPr>
              <w:pStyle w:val="ANorm"/>
              <w:numPr>
                <w:ilvl w:val="0"/>
                <w:numId w:val="148"/>
              </w:numPr>
              <w:ind w:left="115" w:hanging="161"/>
              <w:rPr>
                <w:sz w:val="17"/>
                <w:szCs w:val="17"/>
              </w:rPr>
            </w:pPr>
            <w:r>
              <w:rPr>
                <w:sz w:val="17"/>
                <w:szCs w:val="17"/>
              </w:rPr>
              <w:t>13-23% PHQ-9</w:t>
            </w:r>
          </w:p>
          <w:p w14:paraId="4AD0C511" w14:textId="423185E8" w:rsidR="00195DB4" w:rsidRPr="00234A11" w:rsidRDefault="00DA6DF3">
            <w:pPr>
              <w:pStyle w:val="ANorm"/>
              <w:numPr>
                <w:ilvl w:val="0"/>
                <w:numId w:val="148"/>
              </w:numPr>
              <w:ind w:left="115" w:hanging="161"/>
              <w:rPr>
                <w:sz w:val="17"/>
                <w:szCs w:val="17"/>
              </w:rPr>
            </w:pPr>
            <w:r>
              <w:rPr>
                <w:sz w:val="17"/>
                <w:szCs w:val="17"/>
              </w:rPr>
              <w:t>14-24% GAD-7</w:t>
            </w:r>
          </w:p>
        </w:tc>
        <w:tc>
          <w:tcPr>
            <w:tcW w:w="733" w:type="pct"/>
          </w:tcPr>
          <w:p w14:paraId="4624E901" w14:textId="52011F41" w:rsidR="00712D8F" w:rsidRPr="00234A11" w:rsidRDefault="00712D8F" w:rsidP="00EA5B66">
            <w:pPr>
              <w:pStyle w:val="ANorm"/>
              <w:ind w:left="-46"/>
              <w:rPr>
                <w:sz w:val="17"/>
                <w:szCs w:val="17"/>
              </w:rPr>
            </w:pPr>
            <w:r w:rsidRPr="00234A11">
              <w:rPr>
                <w:sz w:val="17"/>
                <w:szCs w:val="17"/>
              </w:rPr>
              <w:t xml:space="preserve">Not </w:t>
            </w:r>
            <w:r w:rsidR="00103835" w:rsidRPr="00234A11">
              <w:rPr>
                <w:sz w:val="17"/>
                <w:szCs w:val="17"/>
              </w:rPr>
              <w:t>examined</w:t>
            </w:r>
          </w:p>
        </w:tc>
      </w:tr>
    </w:tbl>
    <w:p w14:paraId="572510F7" w14:textId="4665EE30" w:rsidR="000344B4" w:rsidRPr="00234A11" w:rsidRDefault="007F1757" w:rsidP="00D66E4C">
      <w:pPr>
        <w:pStyle w:val="ANorm"/>
        <w:rPr>
          <w:sz w:val="22"/>
          <w:szCs w:val="22"/>
        </w:rPr>
      </w:pPr>
      <w:r w:rsidRPr="00234A11">
        <w:rPr>
          <w:sz w:val="15"/>
          <w:szCs w:val="15"/>
        </w:rPr>
        <w:t xml:space="preserve">Generalised Anxiety Disorder 7-item Scale; </w:t>
      </w:r>
      <w:proofErr w:type="spellStart"/>
      <w:r w:rsidRPr="00234A11">
        <w:rPr>
          <w:sz w:val="15"/>
          <w:szCs w:val="15"/>
        </w:rPr>
        <w:t>iCBT</w:t>
      </w:r>
      <w:proofErr w:type="spellEnd"/>
      <w:r w:rsidRPr="00234A11">
        <w:rPr>
          <w:sz w:val="15"/>
          <w:szCs w:val="15"/>
        </w:rPr>
        <w:t>, K10, Kessler Psychological Distress 10-Item Scale; PHQ-9, Patient Health Questionnaire-9</w:t>
      </w:r>
      <w:r w:rsidR="00C40120">
        <w:rPr>
          <w:sz w:val="15"/>
          <w:szCs w:val="15"/>
        </w:rPr>
        <w:t>.</w:t>
      </w:r>
    </w:p>
    <w:p w14:paraId="02C0BBAE" w14:textId="009055CE" w:rsidR="00D66E4C" w:rsidRPr="00D66E4C" w:rsidRDefault="00D66E4C" w:rsidP="00D66E4C">
      <w:pPr>
        <w:pStyle w:val="ANorm"/>
        <w:sectPr w:rsidR="00D66E4C" w:rsidRPr="00D66E4C" w:rsidSect="000344B4">
          <w:pgSz w:w="16838" w:h="11906" w:orient="landscape"/>
          <w:pgMar w:top="1080" w:right="1440" w:bottom="1080" w:left="1440" w:header="708" w:footer="708" w:gutter="0"/>
          <w:cols w:space="708"/>
          <w:docGrid w:linePitch="360"/>
        </w:sectPr>
      </w:pPr>
    </w:p>
    <w:p w14:paraId="6E99B476" w14:textId="77777777" w:rsidR="0076293B" w:rsidRPr="0076293B" w:rsidRDefault="0076293B" w:rsidP="005A16C4">
      <w:pPr>
        <w:pStyle w:val="ListParagraph"/>
        <w:keepNext/>
        <w:keepLines/>
        <w:numPr>
          <w:ilvl w:val="0"/>
          <w:numId w:val="164"/>
        </w:numPr>
        <w:spacing w:before="40"/>
        <w:contextualSpacing w:val="0"/>
        <w:outlineLvl w:val="3"/>
        <w:rPr>
          <w:rFonts w:eastAsiaTheme="majorEastAsia"/>
          <w:b/>
          <w:bCs/>
          <w:vanish/>
          <w:color w:val="2F5496" w:themeColor="accent1" w:themeShade="BF"/>
        </w:rPr>
      </w:pPr>
    </w:p>
    <w:p w14:paraId="1CB38E77" w14:textId="77777777" w:rsidR="0076293B" w:rsidRPr="0076293B" w:rsidRDefault="0076293B" w:rsidP="005A16C4">
      <w:pPr>
        <w:pStyle w:val="ListParagraph"/>
        <w:keepNext/>
        <w:keepLines/>
        <w:numPr>
          <w:ilvl w:val="0"/>
          <w:numId w:val="164"/>
        </w:numPr>
        <w:spacing w:before="40"/>
        <w:contextualSpacing w:val="0"/>
        <w:outlineLvl w:val="3"/>
        <w:rPr>
          <w:rFonts w:eastAsiaTheme="majorEastAsia"/>
          <w:b/>
          <w:bCs/>
          <w:vanish/>
          <w:color w:val="2F5496" w:themeColor="accent1" w:themeShade="BF"/>
        </w:rPr>
      </w:pPr>
    </w:p>
    <w:p w14:paraId="0A7BDDB2" w14:textId="77777777" w:rsidR="0076293B" w:rsidRPr="0076293B" w:rsidRDefault="0076293B" w:rsidP="005A16C4">
      <w:pPr>
        <w:pStyle w:val="ListParagraph"/>
        <w:keepNext/>
        <w:keepLines/>
        <w:numPr>
          <w:ilvl w:val="1"/>
          <w:numId w:val="164"/>
        </w:numPr>
        <w:spacing w:before="40"/>
        <w:contextualSpacing w:val="0"/>
        <w:outlineLvl w:val="3"/>
        <w:rPr>
          <w:rFonts w:eastAsiaTheme="majorEastAsia"/>
          <w:b/>
          <w:bCs/>
          <w:vanish/>
          <w:color w:val="2F5496" w:themeColor="accent1" w:themeShade="BF"/>
        </w:rPr>
      </w:pPr>
    </w:p>
    <w:p w14:paraId="5ECD957C" w14:textId="77777777" w:rsidR="0076293B" w:rsidRPr="0076293B" w:rsidRDefault="0076293B" w:rsidP="005A16C4">
      <w:pPr>
        <w:pStyle w:val="ListParagraph"/>
        <w:keepNext/>
        <w:keepLines/>
        <w:numPr>
          <w:ilvl w:val="1"/>
          <w:numId w:val="164"/>
        </w:numPr>
        <w:spacing w:before="40"/>
        <w:contextualSpacing w:val="0"/>
        <w:outlineLvl w:val="3"/>
        <w:rPr>
          <w:rFonts w:eastAsiaTheme="majorEastAsia"/>
          <w:b/>
          <w:bCs/>
          <w:vanish/>
          <w:color w:val="2F5496" w:themeColor="accent1" w:themeShade="BF"/>
        </w:rPr>
      </w:pPr>
    </w:p>
    <w:p w14:paraId="037250F5" w14:textId="77777777" w:rsidR="0076293B" w:rsidRPr="0076293B" w:rsidRDefault="0076293B" w:rsidP="005A16C4">
      <w:pPr>
        <w:pStyle w:val="ListParagraph"/>
        <w:keepNext/>
        <w:keepLines/>
        <w:numPr>
          <w:ilvl w:val="1"/>
          <w:numId w:val="164"/>
        </w:numPr>
        <w:spacing w:before="40"/>
        <w:contextualSpacing w:val="0"/>
        <w:outlineLvl w:val="3"/>
        <w:rPr>
          <w:rFonts w:eastAsiaTheme="majorEastAsia"/>
          <w:b/>
          <w:bCs/>
          <w:vanish/>
          <w:color w:val="2F5496" w:themeColor="accent1" w:themeShade="BF"/>
        </w:rPr>
      </w:pPr>
    </w:p>
    <w:p w14:paraId="1B0CF8F4" w14:textId="77777777" w:rsidR="0076293B" w:rsidRPr="0076293B" w:rsidRDefault="0076293B" w:rsidP="005A16C4">
      <w:pPr>
        <w:pStyle w:val="ListParagraph"/>
        <w:keepNext/>
        <w:keepLines/>
        <w:numPr>
          <w:ilvl w:val="1"/>
          <w:numId w:val="164"/>
        </w:numPr>
        <w:spacing w:before="40"/>
        <w:contextualSpacing w:val="0"/>
        <w:outlineLvl w:val="3"/>
        <w:rPr>
          <w:rFonts w:eastAsiaTheme="majorEastAsia"/>
          <w:b/>
          <w:bCs/>
          <w:vanish/>
          <w:color w:val="2F5496" w:themeColor="accent1" w:themeShade="BF"/>
        </w:rPr>
      </w:pPr>
    </w:p>
    <w:p w14:paraId="2704BDAA" w14:textId="77777777" w:rsidR="0076293B" w:rsidRPr="0076293B" w:rsidRDefault="0076293B" w:rsidP="005A16C4">
      <w:pPr>
        <w:pStyle w:val="ListParagraph"/>
        <w:keepNext/>
        <w:keepLines/>
        <w:numPr>
          <w:ilvl w:val="2"/>
          <w:numId w:val="164"/>
        </w:numPr>
        <w:spacing w:before="40"/>
        <w:contextualSpacing w:val="0"/>
        <w:outlineLvl w:val="3"/>
        <w:rPr>
          <w:rFonts w:eastAsiaTheme="majorEastAsia"/>
          <w:b/>
          <w:bCs/>
          <w:vanish/>
          <w:color w:val="2F5496" w:themeColor="accent1" w:themeShade="BF"/>
        </w:rPr>
      </w:pPr>
    </w:p>
    <w:p w14:paraId="49B258A6" w14:textId="77777777" w:rsidR="0076293B" w:rsidRPr="0076293B" w:rsidRDefault="0076293B" w:rsidP="005A16C4">
      <w:pPr>
        <w:pStyle w:val="ListParagraph"/>
        <w:keepNext/>
        <w:keepLines/>
        <w:numPr>
          <w:ilvl w:val="2"/>
          <w:numId w:val="164"/>
        </w:numPr>
        <w:spacing w:before="40"/>
        <w:contextualSpacing w:val="0"/>
        <w:outlineLvl w:val="3"/>
        <w:rPr>
          <w:rFonts w:eastAsiaTheme="majorEastAsia"/>
          <w:b/>
          <w:bCs/>
          <w:vanish/>
          <w:color w:val="2F5496" w:themeColor="accent1" w:themeShade="BF"/>
        </w:rPr>
      </w:pPr>
    </w:p>
    <w:p w14:paraId="3FA19B4A" w14:textId="77777777" w:rsidR="0076293B" w:rsidRPr="0076293B" w:rsidRDefault="0076293B" w:rsidP="005A16C4">
      <w:pPr>
        <w:pStyle w:val="ListParagraph"/>
        <w:keepNext/>
        <w:keepLines/>
        <w:numPr>
          <w:ilvl w:val="2"/>
          <w:numId w:val="164"/>
        </w:numPr>
        <w:spacing w:before="40"/>
        <w:contextualSpacing w:val="0"/>
        <w:outlineLvl w:val="3"/>
        <w:rPr>
          <w:rFonts w:eastAsiaTheme="majorEastAsia"/>
          <w:b/>
          <w:bCs/>
          <w:vanish/>
          <w:color w:val="2F5496" w:themeColor="accent1" w:themeShade="BF"/>
        </w:rPr>
      </w:pPr>
    </w:p>
    <w:p w14:paraId="6956BEB0" w14:textId="77777777" w:rsidR="0076293B" w:rsidRPr="0076293B" w:rsidRDefault="0076293B" w:rsidP="005A16C4">
      <w:pPr>
        <w:pStyle w:val="ListParagraph"/>
        <w:keepNext/>
        <w:keepLines/>
        <w:numPr>
          <w:ilvl w:val="2"/>
          <w:numId w:val="164"/>
        </w:numPr>
        <w:spacing w:before="40"/>
        <w:contextualSpacing w:val="0"/>
        <w:outlineLvl w:val="3"/>
        <w:rPr>
          <w:rFonts w:eastAsiaTheme="majorEastAsia"/>
          <w:b/>
          <w:bCs/>
          <w:vanish/>
          <w:color w:val="2F5496" w:themeColor="accent1" w:themeShade="BF"/>
        </w:rPr>
      </w:pPr>
    </w:p>
    <w:p w14:paraId="51BC47DA" w14:textId="77777777" w:rsidR="0076293B" w:rsidRPr="0076293B" w:rsidRDefault="0076293B" w:rsidP="005A16C4">
      <w:pPr>
        <w:pStyle w:val="ListParagraph"/>
        <w:keepNext/>
        <w:keepLines/>
        <w:numPr>
          <w:ilvl w:val="2"/>
          <w:numId w:val="164"/>
        </w:numPr>
        <w:spacing w:before="40"/>
        <w:contextualSpacing w:val="0"/>
        <w:outlineLvl w:val="3"/>
        <w:rPr>
          <w:rFonts w:eastAsiaTheme="majorEastAsia"/>
          <w:b/>
          <w:bCs/>
          <w:vanish/>
          <w:color w:val="2F5496" w:themeColor="accent1" w:themeShade="BF"/>
        </w:rPr>
      </w:pPr>
    </w:p>
    <w:p w14:paraId="18D9A00E" w14:textId="3FDE6458" w:rsidR="008B5EBB" w:rsidRPr="00D0740D" w:rsidRDefault="00203077" w:rsidP="0076293B">
      <w:pPr>
        <w:pStyle w:val="Heading4"/>
      </w:pPr>
      <w:r w:rsidRPr="00D0740D">
        <w:t>T</w:t>
      </w:r>
      <w:r w:rsidR="00DF1ECF" w:rsidRPr="00D0740D">
        <w:t xml:space="preserve">rends </w:t>
      </w:r>
      <w:r w:rsidR="007317A8" w:rsidRPr="00D0740D">
        <w:t xml:space="preserve">in mental health </w:t>
      </w:r>
      <w:r w:rsidR="007317A8" w:rsidRPr="004D5062">
        <w:t>outcomes</w:t>
      </w:r>
      <w:r w:rsidR="007317A8" w:rsidRPr="00D0740D">
        <w:t xml:space="preserve"> of</w:t>
      </w:r>
      <w:r w:rsidR="00DF1ECF" w:rsidRPr="00D0740D">
        <w:t xml:space="preserve"> t</w:t>
      </w:r>
      <w:r w:rsidRPr="00D0740D">
        <w:t xml:space="preserve">herapist-supported </w:t>
      </w:r>
      <w:r w:rsidR="00A06CB6" w:rsidRPr="00D0740D">
        <w:t xml:space="preserve">treatment </w:t>
      </w:r>
      <w:r w:rsidR="00372ACE" w:rsidRPr="00D0740D">
        <w:t xml:space="preserve">by </w:t>
      </w:r>
      <w:r w:rsidR="00A06CB6" w:rsidRPr="00D0740D">
        <w:t xml:space="preserve">consumer </w:t>
      </w:r>
      <w:r w:rsidR="00372ACE" w:rsidRPr="00D0740D">
        <w:t>demographics</w:t>
      </w:r>
    </w:p>
    <w:p w14:paraId="11B55622" w14:textId="59A34BD3" w:rsidR="00C97DA5" w:rsidRPr="008752A7" w:rsidRDefault="00C97DA5" w:rsidP="008752A7">
      <w:pPr>
        <w:pStyle w:val="ANorm"/>
        <w:spacing w:after="200"/>
      </w:pPr>
      <w:r w:rsidRPr="008752A7">
        <w:t xml:space="preserve">We used aggregated routinely collected data </w:t>
      </w:r>
      <w:r w:rsidR="00931F0A" w:rsidRPr="008752A7">
        <w:t xml:space="preserve">provided by </w:t>
      </w:r>
      <w:proofErr w:type="spellStart"/>
      <w:r w:rsidR="00931F0A" w:rsidRPr="008752A7">
        <w:t>MindSpot</w:t>
      </w:r>
      <w:proofErr w:type="spellEnd"/>
      <w:r w:rsidR="00931F0A" w:rsidRPr="008752A7">
        <w:t xml:space="preserve"> </w:t>
      </w:r>
      <w:r w:rsidR="0001740B" w:rsidRPr="008752A7">
        <w:t xml:space="preserve">for 3,532 consumers enrolled in 2019 </w:t>
      </w:r>
      <w:r w:rsidRPr="008752A7">
        <w:t xml:space="preserve">to </w:t>
      </w:r>
      <w:r w:rsidR="004D5738" w:rsidRPr="008752A7">
        <w:t>report on observed</w:t>
      </w:r>
      <w:r w:rsidRPr="008752A7">
        <w:t xml:space="preserve"> </w:t>
      </w:r>
      <w:r w:rsidR="00426A00" w:rsidRPr="008752A7">
        <w:t>trends</w:t>
      </w:r>
      <w:r w:rsidR="007F6C15" w:rsidRPr="008752A7">
        <w:t xml:space="preserve"> in outcomes by consumer demographics</w:t>
      </w:r>
      <w:r w:rsidRPr="008752A7">
        <w:t>.</w:t>
      </w:r>
      <w:r w:rsidR="00E70D06" w:rsidRPr="008752A7">
        <w:t xml:space="preserve"> Because we did not have baseline data for the cohort who completed baseline assessments (n=2,358)</w:t>
      </w:r>
      <w:r w:rsidR="006B588E" w:rsidRPr="008752A7">
        <w:t xml:space="preserve"> </w:t>
      </w:r>
      <w:r w:rsidR="009B3670" w:rsidRPr="008752A7">
        <w:t>and three</w:t>
      </w:r>
      <w:r w:rsidR="001323B8" w:rsidRPr="008752A7">
        <w:t>-</w:t>
      </w:r>
      <w:r w:rsidR="009B3670" w:rsidRPr="008752A7">
        <w:t>month follow-up assessments</w:t>
      </w:r>
      <w:r w:rsidR="001323B8" w:rsidRPr="008752A7">
        <w:t xml:space="preserve"> (n=1,397)</w:t>
      </w:r>
      <w:r w:rsidR="00E70D06" w:rsidRPr="008752A7">
        <w:t>, we cannot definitively state that their symptoms changed in any direction.</w:t>
      </w:r>
    </w:p>
    <w:p w14:paraId="54446AC5" w14:textId="30B16D9E" w:rsidR="00D03DC3" w:rsidRPr="008752A7" w:rsidRDefault="00D03DC3" w:rsidP="008752A7">
      <w:pPr>
        <w:pStyle w:val="ANorm"/>
        <w:spacing w:after="200"/>
      </w:pPr>
      <w:r w:rsidRPr="008752A7">
        <w:t xml:space="preserve">The mean number of sessions completed was 3.9 (SD=1.5, range 1-5). </w:t>
      </w:r>
      <w:r w:rsidRPr="00BB2963">
        <w:t>This mean did not vary by gender. However, it was slightly lower for younger (3.5 for those aged 18-24 and 3.6 for those, 25-34) and Indigenous consumers (3.5); and slightly higher for those aged 45+ (4.1-4.3).</w:t>
      </w:r>
    </w:p>
    <w:p w14:paraId="1D23001E" w14:textId="551CCF78" w:rsidR="00254FAB" w:rsidRPr="008752A7" w:rsidRDefault="008B5EBB" w:rsidP="008752A7">
      <w:pPr>
        <w:pStyle w:val="ANorm"/>
        <w:spacing w:after="200"/>
      </w:pPr>
      <w:r w:rsidRPr="008752A7">
        <w:t>Figure</w:t>
      </w:r>
      <w:r w:rsidR="007427DD" w:rsidRPr="008752A7">
        <w:t xml:space="preserve"> 7</w:t>
      </w:r>
      <w:r w:rsidRPr="008752A7">
        <w:t xml:space="preserve"> show</w:t>
      </w:r>
      <w:r w:rsidR="00492D9E" w:rsidRPr="008752A7">
        <w:t>s</w:t>
      </w:r>
      <w:r w:rsidRPr="008752A7">
        <w:t xml:space="preserve"> outcomes </w:t>
      </w:r>
      <w:r w:rsidR="001F4F70" w:rsidRPr="008752A7">
        <w:t>as assessed with</w:t>
      </w:r>
      <w:r w:rsidRPr="008752A7">
        <w:t xml:space="preserve"> the K10, PHQ-9 and GAD-7 </w:t>
      </w:r>
      <w:r w:rsidR="00254FAB" w:rsidRPr="008752A7">
        <w:t>at baseline</w:t>
      </w:r>
      <w:r w:rsidR="009B3670" w:rsidRPr="008752A7">
        <w:t>,</w:t>
      </w:r>
      <w:r w:rsidRPr="008752A7">
        <w:t xml:space="preserve"> </w:t>
      </w:r>
      <w:r w:rsidR="00254FAB" w:rsidRPr="008752A7">
        <w:t>post-</w:t>
      </w:r>
      <w:r w:rsidR="008837E2" w:rsidRPr="008752A7">
        <w:t xml:space="preserve">therapist-supported </w:t>
      </w:r>
      <w:proofErr w:type="gramStart"/>
      <w:r w:rsidR="008837E2" w:rsidRPr="008752A7">
        <w:t>treatment</w:t>
      </w:r>
      <w:proofErr w:type="gramEnd"/>
      <w:r w:rsidR="009B3670" w:rsidRPr="008752A7">
        <w:t xml:space="preserve"> and three</w:t>
      </w:r>
      <w:r w:rsidR="00BD4BC3" w:rsidRPr="008752A7">
        <w:t>-</w:t>
      </w:r>
      <w:r w:rsidR="009B3670" w:rsidRPr="008752A7">
        <w:t>month follow-up</w:t>
      </w:r>
      <w:r w:rsidR="008837E2" w:rsidRPr="008752A7">
        <w:t xml:space="preserve"> </w:t>
      </w:r>
      <w:r w:rsidR="00206B66" w:rsidRPr="008752A7">
        <w:t>by demographic characteristics</w:t>
      </w:r>
      <w:r w:rsidR="008A0E40" w:rsidRPr="008752A7">
        <w:t>.</w:t>
      </w:r>
      <w:r w:rsidR="006E10A7" w:rsidRPr="008752A7">
        <w:t xml:space="preserve"> </w:t>
      </w:r>
      <w:r w:rsidR="00A6575E" w:rsidRPr="008752A7">
        <w:t>The final available assessments were used as post-treatment data for consumers who did not complete a treatment course (i.e., four or more sessions).</w:t>
      </w:r>
    </w:p>
    <w:p w14:paraId="2C15FBD2" w14:textId="6733FCCB" w:rsidR="00BB4210" w:rsidRPr="008752A7" w:rsidRDefault="00BB4210" w:rsidP="008752A7">
      <w:pPr>
        <w:pStyle w:val="ANorm"/>
        <w:spacing w:after="200"/>
      </w:pPr>
      <w:r w:rsidRPr="008752A7">
        <w:t xml:space="preserve">Across all three measures, symptoms were less severe post-treatment for consumers who completed post-treatment assessments (n= 2,358) than for </w:t>
      </w:r>
      <w:r w:rsidR="00530DA2">
        <w:t xml:space="preserve">those </w:t>
      </w:r>
      <w:r w:rsidRPr="008752A7">
        <w:t>who completed baseline assessments (N=3,532). This trend was observed irrespective of gender, age, and cultural and linguistic diversity.</w:t>
      </w:r>
    </w:p>
    <w:p w14:paraId="626A6A33" w14:textId="017408F6" w:rsidR="00BB4210" w:rsidRPr="008752A7" w:rsidRDefault="00BB4210" w:rsidP="008752A7">
      <w:pPr>
        <w:pStyle w:val="ANorm"/>
        <w:spacing w:after="200"/>
        <w:rPr>
          <w:highlight w:val="yellow"/>
        </w:rPr>
      </w:pPr>
      <w:r w:rsidRPr="008752A7">
        <w:t>Mean K10 symptom severity was similar for the females and males who completed baseline assessments (31.6 and 30.4; very high psychological distress)</w:t>
      </w:r>
      <w:r w:rsidR="00B2378D" w:rsidRPr="008752A7">
        <w:t>,</w:t>
      </w:r>
      <w:r w:rsidRPr="008752A7">
        <w:t xml:space="preserve"> those who completed post-treatment assessments (21 for both; moderate psychological distress)</w:t>
      </w:r>
      <w:r w:rsidR="00B2378D" w:rsidRPr="008752A7">
        <w:t xml:space="preserve"> and those who completed three-month follow-up assessments (</w:t>
      </w:r>
      <w:r w:rsidR="00B47533" w:rsidRPr="008752A7">
        <w:t>around 19.5 for both</w:t>
      </w:r>
      <w:r w:rsidR="00E740A0" w:rsidRPr="008752A7">
        <w:t>, moderate psychological distress</w:t>
      </w:r>
      <w:r w:rsidR="00B47533" w:rsidRPr="008752A7">
        <w:t>)</w:t>
      </w:r>
      <w:r w:rsidRPr="008752A7">
        <w:t>. Mean PHQ-9 symptom severity was slightly worse for females (14.7, moderately severe depression) than males (13.8, moderate depression) who completed baseline assessments; and equivalent, indicating mild depression, for both males and females who completed post-treatment assessments. Finally, mean GAD-7 scores for both females and males who commenced treatment indicated the likely presence of GAD (females:12.5; males:11.9)</w:t>
      </w:r>
      <w:r w:rsidR="00530DA2">
        <w:t>,</w:t>
      </w:r>
      <w:r w:rsidRPr="008752A7">
        <w:t xml:space="preserve"> and the scores of those who completed baseline assessments indicated the absence of GAD (5.9 for both).</w:t>
      </w:r>
    </w:p>
    <w:p w14:paraId="2779083C" w14:textId="4399D85D" w:rsidR="00BB4210" w:rsidRPr="008752A7" w:rsidRDefault="00BB4210" w:rsidP="008752A7">
      <w:pPr>
        <w:pStyle w:val="ANorm"/>
        <w:spacing w:after="200"/>
      </w:pPr>
      <w:r w:rsidRPr="008752A7">
        <w:t>Overall, mean K10 scores indicated very high psychological distress at baseline (3</w:t>
      </w:r>
      <w:r w:rsidR="00522636" w:rsidRPr="008752A7">
        <w:t>1.3</w:t>
      </w:r>
      <w:r w:rsidRPr="008752A7">
        <w:t>). Baseline mean K</w:t>
      </w:r>
      <w:r w:rsidR="00522636" w:rsidRPr="008752A7">
        <w:t>10</w:t>
      </w:r>
      <w:r w:rsidRPr="008752A7">
        <w:t xml:space="preserve"> scores were slightly higher for younger adults aged 18-24 (</w:t>
      </w:r>
      <w:r w:rsidR="00341A41" w:rsidRPr="008752A7">
        <w:t xml:space="preserve">33.8 </w:t>
      </w:r>
      <w:r w:rsidRPr="008752A7">
        <w:t>vs 31.3) and s</w:t>
      </w:r>
      <w:r w:rsidR="00C66A2D">
        <w:t>omewhat</w:t>
      </w:r>
      <w:r w:rsidRPr="008752A7">
        <w:t xml:space="preserve"> lower for older adults (25.6 for those aged 75+ and 28 for those</w:t>
      </w:r>
      <w:r w:rsidR="00B2640B">
        <w:t xml:space="preserve"> </w:t>
      </w:r>
      <w:r w:rsidR="00D36FC4" w:rsidRPr="008752A7">
        <w:t>65</w:t>
      </w:r>
      <w:r w:rsidRPr="008752A7">
        <w:t>-6</w:t>
      </w:r>
      <w:r w:rsidR="00D36FC4" w:rsidRPr="008752A7">
        <w:t>7</w:t>
      </w:r>
      <w:r w:rsidR="00B2640B">
        <w:t>)</w:t>
      </w:r>
      <w:r w:rsidRPr="008752A7">
        <w:t>, indicating high psychological distress. Mean K10 scores for all consumers who completed post-treatment assessments were much lower, at 21, indica</w:t>
      </w:r>
      <w:r w:rsidR="00B87B1F" w:rsidRPr="008752A7">
        <w:t>t</w:t>
      </w:r>
      <w:r w:rsidR="004D7ACC" w:rsidRPr="008752A7">
        <w:t>ing</w:t>
      </w:r>
      <w:r w:rsidRPr="008752A7">
        <w:t xml:space="preserve"> moderate psychological distress. Again, younger consumers</w:t>
      </w:r>
      <w:r w:rsidR="00516EF1" w:rsidRPr="008752A7">
        <w:t xml:space="preserve"> aged 18-24</w:t>
      </w:r>
      <w:r w:rsidRPr="008752A7">
        <w:t xml:space="preserve"> who completed post-treatment assessments had slightly higher scores suggesting (low end) high, and older consumers had slightly lower scores suggesting (low end) moderate, distress post-treatment</w:t>
      </w:r>
      <w:r w:rsidR="00893466" w:rsidRPr="008752A7">
        <w:t xml:space="preserve"> (22.9 vs </w:t>
      </w:r>
      <w:r w:rsidR="001130BC" w:rsidRPr="008752A7">
        <w:t>17.7)</w:t>
      </w:r>
      <w:r w:rsidRPr="008752A7">
        <w:t>. Similar age trends are observed for the PHQ-9 and GAD-7.</w:t>
      </w:r>
    </w:p>
    <w:p w14:paraId="693DBA3D" w14:textId="77777777" w:rsidR="00BB4210" w:rsidRPr="008752A7" w:rsidRDefault="00BB4210" w:rsidP="008752A7">
      <w:pPr>
        <w:pStyle w:val="ANorm"/>
        <w:spacing w:after="200"/>
      </w:pPr>
      <w:r w:rsidRPr="008752A7">
        <w:t xml:space="preserve">Finally, trends on all three measures for Indigenous and overseas-born consumers were </w:t>
      </w:r>
      <w:proofErr w:type="gramStart"/>
      <w:r w:rsidRPr="008752A7">
        <w:t>similar to</w:t>
      </w:r>
      <w:proofErr w:type="gramEnd"/>
      <w:r w:rsidRPr="008752A7">
        <w:t xml:space="preserve"> those observed for the overall baseline and post-treatment samples.</w:t>
      </w:r>
    </w:p>
    <w:p w14:paraId="36E5631A" w14:textId="171017A5" w:rsidR="00BB4210" w:rsidRPr="008752A7" w:rsidRDefault="00BB4210" w:rsidP="008752A7">
      <w:pPr>
        <w:pStyle w:val="ANorm"/>
        <w:spacing w:after="200"/>
        <w:sectPr w:rsidR="00BB4210" w:rsidRPr="008752A7" w:rsidSect="00E81E3F">
          <w:pgSz w:w="11906" w:h="16838"/>
          <w:pgMar w:top="1440" w:right="1080" w:bottom="1440" w:left="1080" w:header="708" w:footer="708" w:gutter="0"/>
          <w:cols w:space="708"/>
          <w:docGrid w:linePitch="360"/>
        </w:sectPr>
      </w:pPr>
    </w:p>
    <w:p w14:paraId="27E3307F" w14:textId="71D253A1" w:rsidR="00675A47" w:rsidRDefault="00474185" w:rsidP="005918D1">
      <w:pPr>
        <w:pStyle w:val="ANorm"/>
        <w:snapToGrid w:val="0"/>
        <w:jc w:val="center"/>
      </w:pPr>
      <w:r w:rsidRPr="00474185">
        <w:rPr>
          <w:noProof/>
          <w:lang w:eastAsia="en-AU"/>
        </w:rPr>
        <w:lastRenderedPageBreak/>
        <w:drawing>
          <wp:inline distT="0" distB="0" distL="0" distR="0" wp14:anchorId="485B0314" wp14:editId="4E052E06">
            <wp:extent cx="2862367" cy="1922123"/>
            <wp:effectExtent l="0" t="0" r="0" b="0"/>
            <wp:docPr id="4" name="Picture 4"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box and whisker chart&#10;&#10;Description automatically generated"/>
                    <pic:cNvPicPr/>
                  </pic:nvPicPr>
                  <pic:blipFill>
                    <a:blip r:embed="rId26"/>
                    <a:stretch>
                      <a:fillRect/>
                    </a:stretch>
                  </pic:blipFill>
                  <pic:spPr>
                    <a:xfrm>
                      <a:off x="0" y="0"/>
                      <a:ext cx="2919517" cy="1960500"/>
                    </a:xfrm>
                    <a:prstGeom prst="rect">
                      <a:avLst/>
                    </a:prstGeom>
                  </pic:spPr>
                </pic:pic>
              </a:graphicData>
            </a:graphic>
          </wp:inline>
        </w:drawing>
      </w:r>
      <w:r w:rsidR="00143AEA" w:rsidRPr="00143AEA">
        <w:rPr>
          <w:noProof/>
          <w:lang w:eastAsia="en-AU"/>
        </w:rPr>
        <w:drawing>
          <wp:inline distT="0" distB="0" distL="0" distR="0" wp14:anchorId="18E94EC5" wp14:editId="7B2FE604">
            <wp:extent cx="2863017" cy="1922561"/>
            <wp:effectExtent l="0" t="0" r="0" b="0"/>
            <wp:docPr id="48" name="Picture 48"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hart, box and whisker chart&#10;&#10;Description automatically generated"/>
                    <pic:cNvPicPr/>
                  </pic:nvPicPr>
                  <pic:blipFill>
                    <a:blip r:embed="rId27"/>
                    <a:stretch>
                      <a:fillRect/>
                    </a:stretch>
                  </pic:blipFill>
                  <pic:spPr>
                    <a:xfrm>
                      <a:off x="0" y="0"/>
                      <a:ext cx="2925719" cy="1964666"/>
                    </a:xfrm>
                    <a:prstGeom prst="rect">
                      <a:avLst/>
                    </a:prstGeom>
                  </pic:spPr>
                </pic:pic>
              </a:graphicData>
            </a:graphic>
          </wp:inline>
        </w:drawing>
      </w:r>
      <w:r w:rsidR="00C31990" w:rsidRPr="00C31990">
        <w:rPr>
          <w:noProof/>
          <w:lang w:eastAsia="en-AU"/>
        </w:rPr>
        <w:drawing>
          <wp:inline distT="0" distB="0" distL="0" distR="0" wp14:anchorId="2CDF2DEB" wp14:editId="6BF11C31">
            <wp:extent cx="2900856" cy="1947971"/>
            <wp:effectExtent l="0" t="0" r="0" b="0"/>
            <wp:docPr id="49" name="Picture 49"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 box and whisker chart&#10;&#10;Description automatically generated"/>
                    <pic:cNvPicPr/>
                  </pic:nvPicPr>
                  <pic:blipFill>
                    <a:blip r:embed="rId28"/>
                    <a:stretch>
                      <a:fillRect/>
                    </a:stretch>
                  </pic:blipFill>
                  <pic:spPr>
                    <a:xfrm>
                      <a:off x="0" y="0"/>
                      <a:ext cx="2956441" cy="1985297"/>
                    </a:xfrm>
                    <a:prstGeom prst="rect">
                      <a:avLst/>
                    </a:prstGeom>
                  </pic:spPr>
                </pic:pic>
              </a:graphicData>
            </a:graphic>
          </wp:inline>
        </w:drawing>
      </w:r>
    </w:p>
    <w:p w14:paraId="4FDE5C1C" w14:textId="2D233034" w:rsidR="00492D9E" w:rsidRDefault="00510B4A" w:rsidP="005918D1">
      <w:pPr>
        <w:pStyle w:val="ANorm"/>
        <w:snapToGrid w:val="0"/>
        <w:jc w:val="center"/>
      </w:pPr>
      <w:r w:rsidRPr="00510B4A">
        <w:rPr>
          <w:noProof/>
          <w:lang w:eastAsia="en-AU"/>
        </w:rPr>
        <w:drawing>
          <wp:inline distT="0" distB="0" distL="0" distR="0" wp14:anchorId="04CB2680" wp14:editId="19201C4C">
            <wp:extent cx="2848303" cy="1912680"/>
            <wp:effectExtent l="0" t="0" r="0" b="5080"/>
            <wp:docPr id="50" name="Picture 5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Chart&#10;&#10;Description automatically generated"/>
                    <pic:cNvPicPr/>
                  </pic:nvPicPr>
                  <pic:blipFill>
                    <a:blip r:embed="rId29"/>
                    <a:stretch>
                      <a:fillRect/>
                    </a:stretch>
                  </pic:blipFill>
                  <pic:spPr>
                    <a:xfrm>
                      <a:off x="0" y="0"/>
                      <a:ext cx="2937300" cy="1972443"/>
                    </a:xfrm>
                    <a:prstGeom prst="rect">
                      <a:avLst/>
                    </a:prstGeom>
                  </pic:spPr>
                </pic:pic>
              </a:graphicData>
            </a:graphic>
          </wp:inline>
        </w:drawing>
      </w:r>
      <w:r w:rsidR="002B76C5" w:rsidRPr="002B76C5">
        <w:rPr>
          <w:noProof/>
          <w:lang w:eastAsia="en-AU"/>
        </w:rPr>
        <w:drawing>
          <wp:inline distT="0" distB="0" distL="0" distR="0" wp14:anchorId="1F8406AC" wp14:editId="5DB49547">
            <wp:extent cx="2863815" cy="1923096"/>
            <wp:effectExtent l="0" t="0" r="0" b="0"/>
            <wp:docPr id="51" name="Picture 51" descr="Box and whisker charts describing Mean K10, PHQ-9 and GAD-7 before (N=3,532) and after treatment (n=2,358), and at three-month follow-up (n=1,397), by demographic characteristics for consumers commencing MindSpot therapist-treatment in 2019&#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ox and whisker charts describing Mean K10, PHQ-9 and GAD-7 before (N=3,532) and after treatment (n=2,358), and at three-month follow-up (n=1,397), by demographic characteristics for consumers commencing MindSpot therapist-treatment in 2019&#10;&#10;"/>
                    <pic:cNvPicPr/>
                  </pic:nvPicPr>
                  <pic:blipFill>
                    <a:blip r:embed="rId30"/>
                    <a:stretch>
                      <a:fillRect/>
                    </a:stretch>
                  </pic:blipFill>
                  <pic:spPr>
                    <a:xfrm>
                      <a:off x="0" y="0"/>
                      <a:ext cx="2954851" cy="1984228"/>
                    </a:xfrm>
                    <a:prstGeom prst="rect">
                      <a:avLst/>
                    </a:prstGeom>
                  </pic:spPr>
                </pic:pic>
              </a:graphicData>
            </a:graphic>
          </wp:inline>
        </w:drawing>
      </w:r>
      <w:r w:rsidR="007D3F76" w:rsidRPr="007D3F76">
        <w:rPr>
          <w:noProof/>
          <w:lang w:eastAsia="en-AU"/>
        </w:rPr>
        <w:drawing>
          <wp:inline distT="0" distB="0" distL="0" distR="0" wp14:anchorId="1C3C1D11" wp14:editId="6A4CB093">
            <wp:extent cx="2848303" cy="1912680"/>
            <wp:effectExtent l="0" t="0" r="0" b="5080"/>
            <wp:docPr id="52" name="Picture 52"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box and whisker chart&#10;&#10;Description automatically generated"/>
                    <pic:cNvPicPr/>
                  </pic:nvPicPr>
                  <pic:blipFill>
                    <a:blip r:embed="rId31"/>
                    <a:stretch>
                      <a:fillRect/>
                    </a:stretch>
                  </pic:blipFill>
                  <pic:spPr>
                    <a:xfrm>
                      <a:off x="0" y="0"/>
                      <a:ext cx="2904184" cy="1950205"/>
                    </a:xfrm>
                    <a:prstGeom prst="rect">
                      <a:avLst/>
                    </a:prstGeom>
                  </pic:spPr>
                </pic:pic>
              </a:graphicData>
            </a:graphic>
          </wp:inline>
        </w:drawing>
      </w:r>
    </w:p>
    <w:p w14:paraId="7FA74A67" w14:textId="10F61074" w:rsidR="00492D9E" w:rsidRDefault="0021387B" w:rsidP="005918D1">
      <w:pPr>
        <w:pStyle w:val="ANorm"/>
        <w:snapToGrid w:val="0"/>
        <w:jc w:val="center"/>
      </w:pPr>
      <w:r w:rsidRPr="0021387B">
        <w:rPr>
          <w:noProof/>
          <w:lang w:eastAsia="en-AU"/>
        </w:rPr>
        <w:drawing>
          <wp:inline distT="0" distB="0" distL="0" distR="0" wp14:anchorId="1463B4EC" wp14:editId="3B78FD40">
            <wp:extent cx="2881929" cy="1935261"/>
            <wp:effectExtent l="0" t="0" r="127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40694" cy="1974722"/>
                    </a:xfrm>
                    <a:prstGeom prst="rect">
                      <a:avLst/>
                    </a:prstGeom>
                  </pic:spPr>
                </pic:pic>
              </a:graphicData>
            </a:graphic>
          </wp:inline>
        </w:drawing>
      </w:r>
      <w:r w:rsidR="00A76CF4" w:rsidRPr="00A76CF4">
        <w:rPr>
          <w:noProof/>
          <w:lang w:eastAsia="en-AU"/>
        </w:rPr>
        <w:drawing>
          <wp:inline distT="0" distB="0" distL="0" distR="0" wp14:anchorId="3BA21EFA" wp14:editId="5F21B510">
            <wp:extent cx="2827283" cy="1898565"/>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71092" cy="1927984"/>
                    </a:xfrm>
                    <a:prstGeom prst="rect">
                      <a:avLst/>
                    </a:prstGeom>
                  </pic:spPr>
                </pic:pic>
              </a:graphicData>
            </a:graphic>
          </wp:inline>
        </w:drawing>
      </w:r>
      <w:r w:rsidR="00F37FE3" w:rsidRPr="00F37FE3">
        <w:rPr>
          <w:noProof/>
          <w:lang w:eastAsia="en-AU"/>
        </w:rPr>
        <w:drawing>
          <wp:inline distT="0" distB="0" distL="0" distR="0" wp14:anchorId="7B493680" wp14:editId="1C01ED37">
            <wp:extent cx="2817301" cy="1891862"/>
            <wp:effectExtent l="0" t="0" r="254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70325" cy="1927469"/>
                    </a:xfrm>
                    <a:prstGeom prst="rect">
                      <a:avLst/>
                    </a:prstGeom>
                  </pic:spPr>
                </pic:pic>
              </a:graphicData>
            </a:graphic>
          </wp:inline>
        </w:drawing>
      </w:r>
    </w:p>
    <w:p w14:paraId="1917BE74" w14:textId="3D9EDCED" w:rsidR="007964FF" w:rsidRDefault="00713C4D" w:rsidP="005918D1">
      <w:pPr>
        <w:pStyle w:val="tableheading"/>
        <w:snapToGrid w:val="0"/>
        <w:spacing w:after="0"/>
        <w:sectPr w:rsidR="007964FF" w:rsidSect="0028684B">
          <w:pgSz w:w="16838" w:h="11906" w:orient="landscape"/>
          <w:pgMar w:top="720" w:right="720" w:bottom="720" w:left="720" w:header="567" w:footer="567" w:gutter="0"/>
          <w:cols w:space="708"/>
          <w:docGrid w:linePitch="360"/>
        </w:sectPr>
      </w:pPr>
      <w:r w:rsidRPr="00CA1473">
        <w:t xml:space="preserve">Figure </w:t>
      </w:r>
      <w:r w:rsidR="00D63C93" w:rsidRPr="00CA1473">
        <w:t>7.</w:t>
      </w:r>
      <w:r w:rsidRPr="00CA1473">
        <w:t xml:space="preserve"> </w:t>
      </w:r>
      <w:r w:rsidR="008A0E40" w:rsidRPr="00CA1473">
        <w:t xml:space="preserve">Mean </w:t>
      </w:r>
      <w:r w:rsidRPr="00CA1473">
        <w:t>K10</w:t>
      </w:r>
      <w:r w:rsidR="00492D9E" w:rsidRPr="00CA1473">
        <w:t>, PHQ-9 and GAD-7</w:t>
      </w:r>
      <w:r w:rsidRPr="00CA1473">
        <w:t xml:space="preserve"> before </w:t>
      </w:r>
      <w:r w:rsidR="00701E93" w:rsidRPr="00CA1473">
        <w:t>(N=3,532)</w:t>
      </w:r>
      <w:r w:rsidR="00CA1473" w:rsidRPr="00CA1473">
        <w:t xml:space="preserve"> </w:t>
      </w:r>
      <w:r w:rsidRPr="00CA1473">
        <w:t xml:space="preserve">and after </w:t>
      </w:r>
      <w:r w:rsidR="00CA1473" w:rsidRPr="00CA1473">
        <w:t xml:space="preserve">treatment </w:t>
      </w:r>
      <w:r w:rsidR="00701E93" w:rsidRPr="00CA1473">
        <w:t>(n=2,358)</w:t>
      </w:r>
      <w:r w:rsidR="00CA1473" w:rsidRPr="00CA1473">
        <w:t>,</w:t>
      </w:r>
      <w:r w:rsidR="00C35626" w:rsidRPr="00CA1473">
        <w:t xml:space="preserve"> and </w:t>
      </w:r>
      <w:r w:rsidR="00CA1473" w:rsidRPr="00CA1473">
        <w:t xml:space="preserve">at </w:t>
      </w:r>
      <w:r w:rsidR="00C35626" w:rsidRPr="00CA1473">
        <w:t>three-month fo</w:t>
      </w:r>
      <w:r w:rsidR="00CA1473" w:rsidRPr="00CA1473">
        <w:t>llow-up (n=1,397),</w:t>
      </w:r>
      <w:r w:rsidR="00701E93" w:rsidRPr="00CA1473">
        <w:t xml:space="preserve"> </w:t>
      </w:r>
      <w:r w:rsidRPr="00CA1473">
        <w:t>by demographic characteristics</w:t>
      </w:r>
      <w:r w:rsidR="00C555FC" w:rsidRPr="00CA1473">
        <w:t xml:space="preserve"> for consumers commencing</w:t>
      </w:r>
      <w:r w:rsidR="0064044A">
        <w:t xml:space="preserve"> </w:t>
      </w:r>
      <w:proofErr w:type="spellStart"/>
      <w:r w:rsidR="0064044A">
        <w:t>MindSpot</w:t>
      </w:r>
      <w:proofErr w:type="spellEnd"/>
      <w:r w:rsidR="0064044A">
        <w:t xml:space="preserve"> therapist-</w:t>
      </w:r>
      <w:r w:rsidR="00C555FC" w:rsidRPr="00CA1473">
        <w:t>treatment in 2019</w:t>
      </w:r>
    </w:p>
    <w:p w14:paraId="309BECA2" w14:textId="10E2D4A0" w:rsidR="00372ACE" w:rsidRPr="000371B4" w:rsidRDefault="00606B8F" w:rsidP="0076293B">
      <w:pPr>
        <w:pStyle w:val="Heading4"/>
      </w:pPr>
      <w:r w:rsidRPr="00593C4E">
        <w:lastRenderedPageBreak/>
        <w:t>T</w:t>
      </w:r>
      <w:r w:rsidR="00DF1ECF">
        <w:t xml:space="preserve">rends in </w:t>
      </w:r>
      <w:r w:rsidR="007317A8">
        <w:t xml:space="preserve">mental health </w:t>
      </w:r>
      <w:r w:rsidR="007317A8" w:rsidRPr="00593C4E">
        <w:t xml:space="preserve">outcomes </w:t>
      </w:r>
      <w:r w:rsidR="007317A8">
        <w:t xml:space="preserve">of </w:t>
      </w:r>
      <w:r w:rsidR="00DF1ECF">
        <w:t>t</w:t>
      </w:r>
      <w:r w:rsidRPr="00593C4E">
        <w:t xml:space="preserve">herapist-supported </w:t>
      </w:r>
      <w:r w:rsidR="007317A8">
        <w:t xml:space="preserve">treatment </w:t>
      </w:r>
      <w:r w:rsidR="00372ACE" w:rsidRPr="00593C4E">
        <w:t>by baseline symptom severity</w:t>
      </w:r>
    </w:p>
    <w:p w14:paraId="2C98D9CE" w14:textId="6A93DDAA" w:rsidR="00D64DD9" w:rsidRPr="00D065A3" w:rsidRDefault="00D64DD9" w:rsidP="00C810EA">
      <w:pPr>
        <w:pStyle w:val="ANorm"/>
        <w:spacing w:after="200"/>
      </w:pPr>
      <w:r w:rsidRPr="00D065A3">
        <w:t xml:space="preserve">We used </w:t>
      </w:r>
      <w:r w:rsidR="00E16DFB" w:rsidRPr="00D065A3">
        <w:t xml:space="preserve">the same </w:t>
      </w:r>
      <w:r w:rsidRPr="00D065A3">
        <w:t xml:space="preserve">aggregated routinely collected data provided by </w:t>
      </w:r>
      <w:proofErr w:type="spellStart"/>
      <w:r w:rsidRPr="00D065A3">
        <w:t>MindSpot</w:t>
      </w:r>
      <w:proofErr w:type="spellEnd"/>
      <w:r w:rsidRPr="00D065A3">
        <w:t xml:space="preserve"> for 3,532 consumers enrolled in 2019</w:t>
      </w:r>
      <w:r w:rsidR="00BD6615" w:rsidRPr="00D065A3">
        <w:t xml:space="preserve"> that we used in the above section</w:t>
      </w:r>
      <w:r w:rsidRPr="00D065A3">
        <w:t xml:space="preserve"> to report on observed trends</w:t>
      </w:r>
      <w:r w:rsidR="00E16DFB" w:rsidRPr="00D065A3">
        <w:t xml:space="preserve"> in outcomes by baseline symptom severity</w:t>
      </w:r>
      <w:r w:rsidRPr="00D065A3">
        <w:t xml:space="preserve">. </w:t>
      </w:r>
      <w:r w:rsidR="00D065A3" w:rsidRPr="00D065A3">
        <w:t>Therefore, the same caveat applies – b</w:t>
      </w:r>
      <w:r w:rsidRPr="00D065A3">
        <w:t>ecause we did not have baseline data for the cohort who completed baseline assessments (n=2,358), we cannot definitively state that their symptoms changed in any direction.</w:t>
      </w:r>
    </w:p>
    <w:p w14:paraId="7F3B57E3" w14:textId="15521707" w:rsidR="00DC2A57" w:rsidRPr="000371B4" w:rsidRDefault="00F26937" w:rsidP="00C810EA">
      <w:pPr>
        <w:pStyle w:val="ANorm"/>
        <w:spacing w:after="200"/>
      </w:pPr>
      <w:r w:rsidRPr="00FF0B21">
        <w:t xml:space="preserve">Figure </w:t>
      </w:r>
      <w:r w:rsidR="007427DD" w:rsidRPr="00FF0B21">
        <w:t>8</w:t>
      </w:r>
      <w:r w:rsidRPr="00FF0B21">
        <w:t xml:space="preserve"> show</w:t>
      </w:r>
      <w:r w:rsidR="007C4097" w:rsidRPr="00FF0B21">
        <w:t>s</w:t>
      </w:r>
      <w:r w:rsidRPr="00FF0B21">
        <w:t xml:space="preserve"> the </w:t>
      </w:r>
      <w:r w:rsidR="00696C99" w:rsidRPr="00FF0B21">
        <w:t xml:space="preserve">mental health outcomes </w:t>
      </w:r>
      <w:r w:rsidR="00DC7B36" w:rsidRPr="00FF0B21">
        <w:t xml:space="preserve">by baseline symptom severity </w:t>
      </w:r>
      <w:r w:rsidR="00593C4E" w:rsidRPr="00FF0B21">
        <w:t xml:space="preserve">as assessed using the K10, PHQ-9 and GAD-7, respectively, </w:t>
      </w:r>
      <w:r w:rsidR="00696C99" w:rsidRPr="00FF0B21">
        <w:t xml:space="preserve">for consumers </w:t>
      </w:r>
      <w:r w:rsidR="007F4198" w:rsidRPr="00FF0B21">
        <w:t xml:space="preserve">who commenced </w:t>
      </w:r>
      <w:proofErr w:type="spellStart"/>
      <w:r w:rsidR="008A044A" w:rsidRPr="00FF0B21">
        <w:t>MindSpot</w:t>
      </w:r>
      <w:proofErr w:type="spellEnd"/>
      <w:r w:rsidR="008A044A" w:rsidRPr="00FF0B21">
        <w:t xml:space="preserve"> </w:t>
      </w:r>
      <w:r w:rsidR="00CC608D" w:rsidRPr="00FF0B21">
        <w:t>therapist-</w:t>
      </w:r>
      <w:r w:rsidR="00F644FB" w:rsidRPr="00FF0B21">
        <w:t>supported</w:t>
      </w:r>
      <w:r w:rsidR="00CC608D" w:rsidRPr="00FF0B21">
        <w:t xml:space="preserve"> treatment</w:t>
      </w:r>
      <w:r w:rsidR="007F4198" w:rsidRPr="00FF0B21">
        <w:t xml:space="preserve"> </w:t>
      </w:r>
      <w:r w:rsidR="000A7C55" w:rsidRPr="00FF0B21">
        <w:t>in 2019</w:t>
      </w:r>
      <w:r w:rsidR="00CC608D" w:rsidRPr="00FF0B21">
        <w:t xml:space="preserve"> (</w:t>
      </w:r>
      <w:r w:rsidR="00593C4E" w:rsidRPr="00FF0B21">
        <w:t>N</w:t>
      </w:r>
      <w:r w:rsidR="0055447B" w:rsidRPr="00FF0B21">
        <w:t>=</w:t>
      </w:r>
      <w:r w:rsidR="00CC608D" w:rsidRPr="00FF0B21">
        <w:t>3</w:t>
      </w:r>
      <w:r w:rsidR="00DC7B36" w:rsidRPr="00FF0B21">
        <w:t>,</w:t>
      </w:r>
      <w:r w:rsidR="00CC608D" w:rsidRPr="00FF0B21">
        <w:t>532)</w:t>
      </w:r>
      <w:r w:rsidR="00593C4E" w:rsidRPr="00FF0B21">
        <w:t>.</w:t>
      </w:r>
      <w:r w:rsidR="0098481B" w:rsidRPr="00FF0B21">
        <w:t xml:space="preserve"> </w:t>
      </w:r>
      <w:r w:rsidR="00196AB5" w:rsidRPr="00FF0B21">
        <w:t>Across all measures, consumers commenced treatment with varying levels of symptom severity</w:t>
      </w:r>
      <w:r w:rsidR="001C241E">
        <w:t>,</w:t>
      </w:r>
      <w:r w:rsidR="00F75560" w:rsidRPr="00FF0B21">
        <w:t xml:space="preserve"> and substantial numbers</w:t>
      </w:r>
      <w:r w:rsidR="001A2C69" w:rsidRPr="00FF0B21">
        <w:t xml:space="preserve"> </w:t>
      </w:r>
      <w:r w:rsidR="00A61044" w:rsidRPr="00FF0B21">
        <w:t>experienced severe symptoms</w:t>
      </w:r>
      <w:r w:rsidR="00036615" w:rsidRPr="00FF0B21">
        <w:t>.</w:t>
      </w:r>
    </w:p>
    <w:p w14:paraId="26D4B414" w14:textId="7FAF1300" w:rsidR="00375ED0" w:rsidRPr="009A0F5E" w:rsidRDefault="00DC2A57" w:rsidP="00C810EA">
      <w:pPr>
        <w:pStyle w:val="ANorm"/>
        <w:spacing w:after="200"/>
      </w:pPr>
      <w:r w:rsidRPr="00FF0B21">
        <w:t>Because we received pre- and post-treatment mental health outcome</w:t>
      </w:r>
      <w:r w:rsidR="004A1896" w:rsidRPr="00FF0B21">
        <w:t>s</w:t>
      </w:r>
      <w:r w:rsidRPr="00FF0B21">
        <w:t xml:space="preserve"> data in aggregate form rather than at the individual consumer level, we </w:t>
      </w:r>
      <w:r w:rsidR="004A1896" w:rsidRPr="00FF0B21">
        <w:t>used</w:t>
      </w:r>
      <w:r w:rsidR="008F7859" w:rsidRPr="00FF0B21">
        <w:t xml:space="preserve"> change in symptom severity category</w:t>
      </w:r>
      <w:r w:rsidR="004A1896" w:rsidRPr="00FF0B21">
        <w:t xml:space="preserve"> (e.g., severe to moderate)</w:t>
      </w:r>
      <w:r w:rsidR="008F7859" w:rsidRPr="00FF0B21">
        <w:t xml:space="preserve"> </w:t>
      </w:r>
      <w:r w:rsidR="004A1896" w:rsidRPr="00FF0B21">
        <w:t>in either direction to indicate</w:t>
      </w:r>
      <w:r w:rsidR="008F7859" w:rsidRPr="00FF0B21">
        <w:t xml:space="preserve"> “significant </w:t>
      </w:r>
      <w:r w:rsidRPr="00FF0B21">
        <w:t>change</w:t>
      </w:r>
      <w:r w:rsidR="008F7859" w:rsidRPr="00FF0B21">
        <w:t>”</w:t>
      </w:r>
      <w:r w:rsidR="004A1896" w:rsidRPr="00FF0B21">
        <w:t>. Therefore, i</w:t>
      </w:r>
      <w:r w:rsidRPr="00FF0B21">
        <w:t xml:space="preserve">t is possible that some consumers categorised </w:t>
      </w:r>
      <w:r w:rsidR="004A1896" w:rsidRPr="00FF0B21">
        <w:t xml:space="preserve">as </w:t>
      </w:r>
      <w:r w:rsidRPr="00FF0B21">
        <w:t xml:space="preserve">not </w:t>
      </w:r>
      <w:r w:rsidR="004A1896" w:rsidRPr="00FF0B21">
        <w:t xml:space="preserve">having </w:t>
      </w:r>
      <w:r w:rsidRPr="00FF0B21">
        <w:t>experienc</w:t>
      </w:r>
      <w:r w:rsidR="004A1896" w:rsidRPr="00FF0B21">
        <w:t>ed</w:t>
      </w:r>
      <w:r w:rsidRPr="00FF0B21">
        <w:t xml:space="preserve"> significant change </w:t>
      </w:r>
      <w:r w:rsidR="004A1896" w:rsidRPr="00FF0B21">
        <w:t>could have improved or deteriorated within the</w:t>
      </w:r>
      <w:r w:rsidR="0045697B" w:rsidRPr="00FF0B21">
        <w:t>ir</w:t>
      </w:r>
      <w:r w:rsidR="004A1896" w:rsidRPr="00FF0B21">
        <w:t xml:space="preserve"> </w:t>
      </w:r>
      <w:r w:rsidR="0045697B" w:rsidRPr="00FF0B21">
        <w:t>baseline</w:t>
      </w:r>
      <w:r w:rsidR="004A1896" w:rsidRPr="00FF0B21">
        <w:t xml:space="preserve"> symptom severity category.</w:t>
      </w:r>
      <w:r w:rsidR="0045697B" w:rsidRPr="00FF0B21">
        <w:t xml:space="preserve"> Conversely, it is also possible </w:t>
      </w:r>
      <w:r w:rsidR="00EB54BD" w:rsidRPr="00FF0B21">
        <w:t>that</w:t>
      </w:r>
      <w:r w:rsidR="0045697B" w:rsidRPr="00FF0B21">
        <w:t xml:space="preserve"> some consumers who were at the lower </w:t>
      </w:r>
      <w:r w:rsidR="00EB54BD" w:rsidRPr="00FF0B21">
        <w:t>(</w:t>
      </w:r>
      <w:r w:rsidR="0045697B" w:rsidRPr="00FF0B21">
        <w:t>or upper</w:t>
      </w:r>
      <w:r w:rsidR="00EB54BD" w:rsidRPr="00FF0B21">
        <w:t>)</w:t>
      </w:r>
      <w:r w:rsidR="0045697B" w:rsidRPr="00FF0B21">
        <w:t xml:space="preserve"> end of a given symptom severity category</w:t>
      </w:r>
      <w:r w:rsidR="005B5E70" w:rsidRPr="00FF0B21">
        <w:t xml:space="preserve"> at baseline</w:t>
      </w:r>
      <w:r w:rsidR="0045697B" w:rsidRPr="00FF0B21">
        <w:t xml:space="preserve"> </w:t>
      </w:r>
      <w:r w:rsidR="000179F8" w:rsidRPr="00FF0B21">
        <w:t>were</w:t>
      </w:r>
      <w:r w:rsidR="0045697B" w:rsidRPr="00FF0B21">
        <w:t xml:space="preserve"> classified a</w:t>
      </w:r>
      <w:r w:rsidR="000179F8" w:rsidRPr="00FF0B21">
        <w:t>s</w:t>
      </w:r>
      <w:r w:rsidR="0045697B" w:rsidRPr="00FF0B21">
        <w:t xml:space="preserve"> </w:t>
      </w:r>
      <w:r w:rsidR="008162E4" w:rsidRPr="00FF0B21">
        <w:t>“</w:t>
      </w:r>
      <w:r w:rsidR="0045697B" w:rsidRPr="00FF0B21">
        <w:t>significantly improved</w:t>
      </w:r>
      <w:r w:rsidR="008162E4" w:rsidRPr="00FF0B21">
        <w:t xml:space="preserve">” </w:t>
      </w:r>
      <w:r w:rsidR="000179F8" w:rsidRPr="00FF0B21">
        <w:t>(</w:t>
      </w:r>
      <w:r w:rsidR="008162E4" w:rsidRPr="00FF0B21">
        <w:t>or “significantly deteriorated”</w:t>
      </w:r>
      <w:r w:rsidR="000179F8" w:rsidRPr="00FF0B21">
        <w:t>)</w:t>
      </w:r>
      <w:r w:rsidR="008162E4" w:rsidRPr="00FF0B21">
        <w:t xml:space="preserve"> if their score decreased </w:t>
      </w:r>
      <w:r w:rsidR="000179F8" w:rsidRPr="00FF0B21">
        <w:t>(</w:t>
      </w:r>
      <w:r w:rsidR="008162E4" w:rsidRPr="00FF0B21">
        <w:t>or increased</w:t>
      </w:r>
      <w:r w:rsidR="000179F8" w:rsidRPr="00FF0B21">
        <w:t>)</w:t>
      </w:r>
      <w:r w:rsidR="008162E4" w:rsidRPr="00FF0B21">
        <w:t xml:space="preserve"> by one, respectively.</w:t>
      </w:r>
      <w:r w:rsidR="009A0EA5">
        <w:t xml:space="preserve"> Importantly, the use of aggregate data </w:t>
      </w:r>
      <w:r w:rsidR="009D56DF">
        <w:t>meant we could not</w:t>
      </w:r>
      <w:r w:rsidR="00C814F7">
        <w:t xml:space="preserve"> report on</w:t>
      </w:r>
      <w:r w:rsidR="009A0EA5">
        <w:t xml:space="preserve"> </w:t>
      </w:r>
      <w:r w:rsidR="00C814F7">
        <w:t xml:space="preserve">the </w:t>
      </w:r>
      <w:r w:rsidR="009A0F5E">
        <w:t xml:space="preserve">statistical or </w:t>
      </w:r>
      <w:r w:rsidR="00C814F7">
        <w:t xml:space="preserve">clinical significance of </w:t>
      </w:r>
      <w:r w:rsidR="00C814F7" w:rsidRPr="003E345B">
        <w:t>change (</w:t>
      </w:r>
      <w:r w:rsidR="009A0EA5" w:rsidRPr="003E345B">
        <w:t>reliable improvement or deterior</w:t>
      </w:r>
      <w:r w:rsidR="00C814F7" w:rsidRPr="003E345B">
        <w:t xml:space="preserve">ation), which applies a reliable change threshold </w:t>
      </w:r>
      <w:r w:rsidR="009A0F5E" w:rsidRPr="003E345B">
        <w:t xml:space="preserve">that </w:t>
      </w:r>
      <w:r w:rsidR="007D3F71" w:rsidRPr="003E345B">
        <w:t>considers</w:t>
      </w:r>
      <w:r w:rsidR="00935EC0" w:rsidRPr="003E345B">
        <w:t xml:space="preserve"> </w:t>
      </w:r>
      <w:r w:rsidR="00EC6D73" w:rsidRPr="003E345B">
        <w:t>the reliability (</w:t>
      </w:r>
      <w:r w:rsidR="009A0F5E" w:rsidRPr="003E345B">
        <w:t xml:space="preserve">measurement error </w:t>
      </w:r>
      <w:r w:rsidR="00EC6D73" w:rsidRPr="003E345B">
        <w:t xml:space="preserve">or </w:t>
      </w:r>
      <w:r w:rsidR="00B22296" w:rsidRPr="003E345B">
        <w:t xml:space="preserve">natural variance) </w:t>
      </w:r>
      <w:r w:rsidR="009A0F5E" w:rsidRPr="003E345B">
        <w:t>of a given assessment instrument</w:t>
      </w:r>
      <w:r w:rsidR="001F5BF6" w:rsidRPr="003E345B">
        <w:t>.</w:t>
      </w:r>
      <w:r w:rsidR="006A75F8" w:rsidRPr="003E345B">
        <w:fldChar w:fldCharType="begin"/>
      </w:r>
      <w:r w:rsidR="004469A2">
        <w:instrText xml:space="preserve"> ADDIN EN.CITE &lt;EndNote&gt;&lt;Cite&gt;&lt;Author&gt;Wise&lt;/Author&gt;&lt;Year&gt;2004&lt;/Year&gt;&lt;RecNum&gt;199&lt;/RecNum&gt;&lt;DisplayText&gt;&lt;style face="superscript"&gt;67&lt;/style&gt;&lt;/DisplayText&gt;&lt;record&gt;&lt;rec-number&gt;199&lt;/rec-number&gt;&lt;foreign-keys&gt;&lt;key app="EN" db-id="dawtr0zrkrzfa5edzzlpe2we0xa00t90vvr2" timestamp="1656549647"&gt;199&lt;/key&gt;&lt;/foreign-keys&gt;&lt;ref-type name="Journal Article"&gt;17&lt;/ref-type&gt;&lt;contributors&gt;&lt;authors&gt;&lt;author&gt;Wise, Edward A&lt;/author&gt;&lt;/authors&gt;&lt;/contributors&gt;&lt;titles&gt;&lt;title&gt;Methods for analyzing psychotherapy outcomes: A review of clinical significance, reliable change, and recommendations for future directions&lt;/title&gt;&lt;secondary-title&gt;Journal of personality assessment&lt;/secondary-title&gt;&lt;/titles&gt;&lt;periodical&gt;&lt;full-title&gt;Journal of personality assessment&lt;/full-title&gt;&lt;/periodical&gt;&lt;pages&gt;50-59&lt;/pages&gt;&lt;volume&gt;82&lt;/volume&gt;&lt;number&gt;1&lt;/number&gt;&lt;dates&gt;&lt;year&gt;2004&lt;/year&gt;&lt;/dates&gt;&lt;isbn&gt;0022-3891&lt;/isbn&gt;&lt;urls&gt;&lt;/urls&gt;&lt;/record&gt;&lt;/Cite&gt;&lt;/EndNote&gt;</w:instrText>
      </w:r>
      <w:r w:rsidR="006A75F8" w:rsidRPr="003E345B">
        <w:fldChar w:fldCharType="separate"/>
      </w:r>
      <w:r w:rsidR="004469A2" w:rsidRPr="004469A2">
        <w:rPr>
          <w:noProof/>
          <w:vertAlign w:val="superscript"/>
        </w:rPr>
        <w:t>67</w:t>
      </w:r>
      <w:r w:rsidR="006A75F8" w:rsidRPr="003E345B">
        <w:fldChar w:fldCharType="end"/>
      </w:r>
      <w:r w:rsidR="001F5BF6" w:rsidRPr="003E345B">
        <w:t xml:space="preserve"> T</w:t>
      </w:r>
      <w:r w:rsidR="00C814F7" w:rsidRPr="003E345B">
        <w:t>herefore</w:t>
      </w:r>
      <w:r w:rsidR="001F5BF6" w:rsidRPr="003E345B">
        <w:t>,</w:t>
      </w:r>
      <w:r w:rsidR="00C814F7" w:rsidRPr="003E345B">
        <w:t xml:space="preserve"> the trends reported</w:t>
      </w:r>
      <w:r w:rsidR="00C814F7" w:rsidRPr="009A0F5E">
        <w:t xml:space="preserve"> in this section are more useful than the actual data, which should not be compared to</w:t>
      </w:r>
      <w:r w:rsidR="009A0EA5" w:rsidRPr="009A0F5E">
        <w:t xml:space="preserve"> published</w:t>
      </w:r>
      <w:r w:rsidR="00C814F7" w:rsidRPr="009A0F5E">
        <w:t xml:space="preserve"> reliable change data.</w:t>
      </w:r>
    </w:p>
    <w:p w14:paraId="56D1C78D" w14:textId="4E452B08" w:rsidR="003B3CE7" w:rsidRPr="00FF0B21" w:rsidRDefault="005667B9" w:rsidP="00C810EA">
      <w:pPr>
        <w:pStyle w:val="ANorm"/>
        <w:spacing w:after="200"/>
      </w:pPr>
      <w:r w:rsidRPr="00FF0B21">
        <w:t>Between</w:t>
      </w:r>
      <w:r w:rsidR="00E63EAC" w:rsidRPr="00FF0B21">
        <w:t xml:space="preserve"> </w:t>
      </w:r>
      <w:r w:rsidRPr="00FF0B21">
        <w:t>56-61</w:t>
      </w:r>
      <w:r w:rsidR="00E63EAC" w:rsidRPr="00FF0B21">
        <w:t xml:space="preserve">% of consumers with </w:t>
      </w:r>
      <w:r w:rsidR="008F6807" w:rsidRPr="00FF0B21">
        <w:t>medium severity</w:t>
      </w:r>
      <w:r w:rsidR="00505556" w:rsidRPr="00FF0B21">
        <w:t xml:space="preserve"> </w:t>
      </w:r>
      <w:r w:rsidR="008F6807" w:rsidRPr="00FF0B21">
        <w:t xml:space="preserve">or higher </w:t>
      </w:r>
      <w:r w:rsidR="00505556" w:rsidRPr="00FF0B21">
        <w:t xml:space="preserve">K10 </w:t>
      </w:r>
      <w:r w:rsidR="008F6807" w:rsidRPr="00FF0B21">
        <w:t xml:space="preserve">scores </w:t>
      </w:r>
      <w:r w:rsidR="009248A0" w:rsidRPr="00FF0B21">
        <w:t xml:space="preserve">significantly improved </w:t>
      </w:r>
      <w:r w:rsidR="00375ED0" w:rsidRPr="00FF0B21">
        <w:t>(</w:t>
      </w:r>
      <w:r w:rsidR="009248A0" w:rsidRPr="00FF0B21">
        <w:t xml:space="preserve">as indicated by </w:t>
      </w:r>
      <w:r w:rsidR="00F2634D" w:rsidRPr="00FF0B21">
        <w:t>moving to a lower symptom severity category</w:t>
      </w:r>
      <w:r w:rsidR="00375ED0" w:rsidRPr="00FF0B21">
        <w:t>)</w:t>
      </w:r>
      <w:r w:rsidR="00B4436C" w:rsidRPr="00FF0B21">
        <w:t xml:space="preserve"> at the end of treatment </w:t>
      </w:r>
      <w:r w:rsidR="001A12DC" w:rsidRPr="00FF0B21">
        <w:t>(</w:t>
      </w:r>
      <w:r w:rsidR="00B4436C" w:rsidRPr="00FF0B21">
        <w:t xml:space="preserve">or their last </w:t>
      </w:r>
      <w:r w:rsidR="001A12DC" w:rsidRPr="00FF0B21">
        <w:t>recorded</w:t>
      </w:r>
      <w:r w:rsidR="00B4436C" w:rsidRPr="00FF0B21">
        <w:t xml:space="preserve"> </w:t>
      </w:r>
      <w:r w:rsidR="001A12DC" w:rsidRPr="00FF0B21">
        <w:t>K10 score if they did not complete treatment)</w:t>
      </w:r>
      <w:r w:rsidR="003141F0" w:rsidRPr="00FF0B21">
        <w:t xml:space="preserve">. K10 symptom severity worsened (as indicated by moving to a higher symptom severity category) </w:t>
      </w:r>
      <w:r w:rsidR="003141F0" w:rsidRPr="0076242A">
        <w:t xml:space="preserve">for </w:t>
      </w:r>
      <w:r w:rsidRPr="0076242A">
        <w:t>only 8-</w:t>
      </w:r>
      <w:r w:rsidR="003141F0" w:rsidRPr="0076242A">
        <w:t xml:space="preserve">15% </w:t>
      </w:r>
      <w:r w:rsidR="00AE314C" w:rsidRPr="0076242A">
        <w:t xml:space="preserve">of consumers </w:t>
      </w:r>
      <w:r w:rsidR="0076242A">
        <w:t>(</w:t>
      </w:r>
      <w:r w:rsidR="00AE314C" w:rsidRPr="0076242A">
        <w:t>with low to high K10 baseline symptom severity</w:t>
      </w:r>
      <w:r w:rsidR="0076242A">
        <w:t>). T</w:t>
      </w:r>
      <w:r w:rsidR="005B5E70" w:rsidRPr="0076242A">
        <w:t>he proportion worsening decreas</w:t>
      </w:r>
      <w:r w:rsidR="0076242A">
        <w:t>ed</w:t>
      </w:r>
      <w:r w:rsidR="005B5E70" w:rsidRPr="0076242A">
        <w:t xml:space="preserve"> as baseline K10 severity increased</w:t>
      </w:r>
      <w:r w:rsidR="00375ED0" w:rsidRPr="00FF0B21">
        <w:t>.</w:t>
      </w:r>
    </w:p>
    <w:p w14:paraId="0501C8B9" w14:textId="46F5B528" w:rsidR="003B3CE7" w:rsidRPr="00FF0B21" w:rsidRDefault="004C2C7B" w:rsidP="00C810EA">
      <w:pPr>
        <w:pStyle w:val="ANorm"/>
        <w:spacing w:after="200"/>
      </w:pPr>
      <w:r w:rsidRPr="004C2C7B">
        <w:t>Similar trends were observed for both the PHQ-9 and the GAD-7</w:t>
      </w:r>
      <w:r w:rsidR="003B3CE7" w:rsidRPr="00FF0B21">
        <w:t>, with 5</w:t>
      </w:r>
      <w:r w:rsidR="005667B9" w:rsidRPr="00FF0B21">
        <w:t>2</w:t>
      </w:r>
      <w:r w:rsidR="0045426B" w:rsidRPr="00FF0B21">
        <w:t>-7</w:t>
      </w:r>
      <w:r w:rsidR="005667B9" w:rsidRPr="00FF0B21">
        <w:t>6</w:t>
      </w:r>
      <w:r w:rsidR="0045426B" w:rsidRPr="00FF0B21">
        <w:t>% of consumers significantly improving</w:t>
      </w:r>
      <w:r w:rsidR="00724DD5" w:rsidRPr="00FF0B21">
        <w:t xml:space="preserve"> and </w:t>
      </w:r>
      <w:r w:rsidR="00C13393" w:rsidRPr="00FF0B21">
        <w:t xml:space="preserve">those with more severe baseline scores on either measure being more likely </w:t>
      </w:r>
      <w:r w:rsidR="005B5E70" w:rsidRPr="00FF0B21">
        <w:t xml:space="preserve">to </w:t>
      </w:r>
      <w:r w:rsidR="004D47A0" w:rsidRPr="00FF0B21">
        <w:t>show</w:t>
      </w:r>
      <w:r w:rsidR="00C13393" w:rsidRPr="00FF0B21">
        <w:t xml:space="preserve"> improve</w:t>
      </w:r>
      <w:r w:rsidR="004D47A0" w:rsidRPr="00FF0B21">
        <w:t>ment</w:t>
      </w:r>
      <w:r w:rsidR="00C13393" w:rsidRPr="00FF0B21">
        <w:t>.</w:t>
      </w:r>
      <w:r w:rsidR="000156D4" w:rsidRPr="00FF0B21">
        <w:t xml:space="preserve"> </w:t>
      </w:r>
      <w:r w:rsidR="007311E9" w:rsidRPr="00FF0B21">
        <w:t>As with the</w:t>
      </w:r>
      <w:r w:rsidR="000156D4" w:rsidRPr="00FF0B21">
        <w:t xml:space="preserve"> K10, </w:t>
      </w:r>
      <w:r w:rsidR="007311E9" w:rsidRPr="00FF0B21">
        <w:t>19</w:t>
      </w:r>
      <w:r w:rsidR="000156D4" w:rsidRPr="00FF0B21">
        <w:t xml:space="preserve">% or less of consumers with </w:t>
      </w:r>
      <w:r w:rsidR="00E83021" w:rsidRPr="00FF0B21">
        <w:t>no/minimal to</w:t>
      </w:r>
      <w:r w:rsidR="00662AA6" w:rsidRPr="00FF0B21">
        <w:t xml:space="preserve"> </w:t>
      </w:r>
      <w:r w:rsidR="005375F5" w:rsidRPr="00FF0B21">
        <w:t>moderately</w:t>
      </w:r>
      <w:r w:rsidR="00E83021" w:rsidRPr="00FF0B21">
        <w:t xml:space="preserve"> severe symptoms </w:t>
      </w:r>
      <w:r w:rsidR="00662AA6" w:rsidRPr="00FF0B21">
        <w:t>deteriorated</w:t>
      </w:r>
      <w:r w:rsidR="005B5E70" w:rsidRPr="00FF0B21">
        <w:t>, and these proportions decreased for higher levels of baseline severity</w:t>
      </w:r>
      <w:r w:rsidR="00662AA6" w:rsidRPr="00FF0B21">
        <w:t>.</w:t>
      </w:r>
    </w:p>
    <w:p w14:paraId="45407252" w14:textId="77040EF0" w:rsidR="007C4097" w:rsidRDefault="007C4097">
      <w:pPr>
        <w:rPr>
          <w:rFonts w:ascii="Calibri" w:hAnsi="Calibri" w:cs="Arial"/>
          <w:color w:val="000000" w:themeColor="text1"/>
          <w:sz w:val="21"/>
          <w:szCs w:val="21"/>
          <w:highlight w:val="green"/>
        </w:rPr>
      </w:pPr>
      <w:r>
        <w:rPr>
          <w:highlight w:val="green"/>
        </w:rPr>
        <w:br w:type="page"/>
      </w:r>
    </w:p>
    <w:p w14:paraId="71BDFA6E" w14:textId="77777777" w:rsidR="007B7B07" w:rsidRPr="00E86E17" w:rsidRDefault="007B7B07" w:rsidP="00AA1CB4">
      <w:pPr>
        <w:pStyle w:val="ANorm"/>
        <w:jc w:val="center"/>
        <w:rPr>
          <w:highlight w:val="green"/>
        </w:rPr>
      </w:pPr>
    </w:p>
    <w:p w14:paraId="62B28318" w14:textId="33B1BA4A" w:rsidR="005F3569" w:rsidRPr="00BD0521" w:rsidRDefault="000521F9" w:rsidP="00AA1CB4">
      <w:pPr>
        <w:pStyle w:val="ANorm"/>
        <w:jc w:val="center"/>
        <w:rPr>
          <w:highlight w:val="yellow"/>
        </w:rPr>
      </w:pPr>
      <w:r w:rsidRPr="000521F9">
        <w:rPr>
          <w:noProof/>
          <w:lang w:eastAsia="en-AU"/>
        </w:rPr>
        <w:drawing>
          <wp:inline distT="0" distB="0" distL="0" distR="0" wp14:anchorId="4C68C035" wp14:editId="44446BF2">
            <wp:extent cx="3548958" cy="2383329"/>
            <wp:effectExtent l="0" t="0" r="0" b="4445"/>
            <wp:docPr id="29" name="Picture 2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 bar chart&#10;&#10;Description automatically generated"/>
                    <pic:cNvPicPr/>
                  </pic:nvPicPr>
                  <pic:blipFill>
                    <a:blip r:embed="rId35"/>
                    <a:stretch>
                      <a:fillRect/>
                    </a:stretch>
                  </pic:blipFill>
                  <pic:spPr>
                    <a:xfrm>
                      <a:off x="0" y="0"/>
                      <a:ext cx="3590893" cy="2411491"/>
                    </a:xfrm>
                    <a:prstGeom prst="rect">
                      <a:avLst/>
                    </a:prstGeom>
                  </pic:spPr>
                </pic:pic>
              </a:graphicData>
            </a:graphic>
          </wp:inline>
        </w:drawing>
      </w:r>
    </w:p>
    <w:p w14:paraId="23D00162" w14:textId="4110F60D" w:rsidR="005F3569" w:rsidRDefault="000521F9" w:rsidP="000521F9">
      <w:pPr>
        <w:pStyle w:val="ANorm"/>
        <w:jc w:val="center"/>
        <w:rPr>
          <w:highlight w:val="yellow"/>
        </w:rPr>
      </w:pPr>
      <w:r w:rsidRPr="000521F9">
        <w:rPr>
          <w:noProof/>
          <w:lang w:eastAsia="en-AU"/>
        </w:rPr>
        <w:drawing>
          <wp:inline distT="0" distB="0" distL="0" distR="0" wp14:anchorId="0D946BB1" wp14:editId="38F66899">
            <wp:extent cx="3567065" cy="2395489"/>
            <wp:effectExtent l="0" t="0" r="1905" b="5080"/>
            <wp:docPr id="30" name="Picture 3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 bar chart&#10;&#10;Description automatically generated"/>
                    <pic:cNvPicPr/>
                  </pic:nvPicPr>
                  <pic:blipFill>
                    <a:blip r:embed="rId36"/>
                    <a:stretch>
                      <a:fillRect/>
                    </a:stretch>
                  </pic:blipFill>
                  <pic:spPr>
                    <a:xfrm>
                      <a:off x="0" y="0"/>
                      <a:ext cx="3612401" cy="2425934"/>
                    </a:xfrm>
                    <a:prstGeom prst="rect">
                      <a:avLst/>
                    </a:prstGeom>
                  </pic:spPr>
                </pic:pic>
              </a:graphicData>
            </a:graphic>
          </wp:inline>
        </w:drawing>
      </w:r>
    </w:p>
    <w:p w14:paraId="21A30C43" w14:textId="5A6360D3" w:rsidR="000521F9" w:rsidRDefault="000521F9" w:rsidP="00AA1CB4">
      <w:pPr>
        <w:pStyle w:val="ANorm"/>
        <w:jc w:val="center"/>
        <w:rPr>
          <w:highlight w:val="yellow"/>
        </w:rPr>
      </w:pPr>
      <w:r w:rsidRPr="000521F9">
        <w:rPr>
          <w:noProof/>
          <w:lang w:eastAsia="en-AU"/>
        </w:rPr>
        <w:drawing>
          <wp:inline distT="0" distB="0" distL="0" distR="0" wp14:anchorId="31865798" wp14:editId="3C511743">
            <wp:extent cx="3720974" cy="2498848"/>
            <wp:effectExtent l="0" t="0" r="635" b="3175"/>
            <wp:docPr id="31" name="Picture 31" descr="Charts describing K10, PHQ-9 and GAD-7 outcomes by baseline symptom severity for consumers who commenced MindSpot therapist-supported treatment in 2019 (N=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s describing K10, PHQ-9 and GAD-7 outcomes by baseline symptom severity for consumers who commenced MindSpot therapist-supported treatment in 2019 (N=3,532)"/>
                    <pic:cNvPicPr/>
                  </pic:nvPicPr>
                  <pic:blipFill>
                    <a:blip r:embed="rId37"/>
                    <a:stretch>
                      <a:fillRect/>
                    </a:stretch>
                  </pic:blipFill>
                  <pic:spPr>
                    <a:xfrm>
                      <a:off x="0" y="0"/>
                      <a:ext cx="3749052" cy="2517704"/>
                    </a:xfrm>
                    <a:prstGeom prst="rect">
                      <a:avLst/>
                    </a:prstGeom>
                  </pic:spPr>
                </pic:pic>
              </a:graphicData>
            </a:graphic>
          </wp:inline>
        </w:drawing>
      </w:r>
    </w:p>
    <w:p w14:paraId="13A3E49A" w14:textId="128E45D2" w:rsidR="008A044A" w:rsidRPr="008A044A" w:rsidRDefault="00AA1CB4" w:rsidP="00BB4210">
      <w:pPr>
        <w:pStyle w:val="tableheading"/>
        <w:spacing w:after="0"/>
      </w:pPr>
      <w:r>
        <w:t>Figure</w:t>
      </w:r>
      <w:r w:rsidR="000521F9">
        <w:t xml:space="preserve"> </w:t>
      </w:r>
      <w:r w:rsidR="007427DD">
        <w:t>8</w:t>
      </w:r>
      <w:r w:rsidR="000521F9">
        <w:t>.</w:t>
      </w:r>
      <w:r>
        <w:t xml:space="preserve"> </w:t>
      </w:r>
      <w:r w:rsidR="000521F9">
        <w:t>K10, PHQ-</w:t>
      </w:r>
      <w:r w:rsidR="00722294">
        <w:t>9</w:t>
      </w:r>
      <w:r w:rsidR="000521F9">
        <w:t xml:space="preserve"> and</w:t>
      </w:r>
      <w:r>
        <w:t xml:space="preserve"> </w:t>
      </w:r>
      <w:r w:rsidR="008A044A">
        <w:t xml:space="preserve">GAD-7 </w:t>
      </w:r>
      <w:r w:rsidR="008A044A" w:rsidRPr="008A044A">
        <w:t xml:space="preserve">outcomes by baseline symptom severity </w:t>
      </w:r>
      <w:r w:rsidR="008A044A" w:rsidRPr="00593C4E">
        <w:t xml:space="preserve">for consumers who commenced </w:t>
      </w:r>
      <w:proofErr w:type="spellStart"/>
      <w:r w:rsidR="008A044A">
        <w:t>MindSpot</w:t>
      </w:r>
      <w:proofErr w:type="spellEnd"/>
      <w:r w:rsidR="008A044A">
        <w:t xml:space="preserve"> </w:t>
      </w:r>
      <w:r w:rsidR="008A044A" w:rsidRPr="00593C4E">
        <w:t>therapist-supported treatment in 2019 (N</w:t>
      </w:r>
      <w:r w:rsidR="0055447B">
        <w:t>=</w:t>
      </w:r>
      <w:r w:rsidR="008A044A" w:rsidRPr="00593C4E">
        <w:t>3</w:t>
      </w:r>
      <w:r w:rsidR="008A044A">
        <w:t>,</w:t>
      </w:r>
      <w:r w:rsidR="008A044A" w:rsidRPr="00593C4E">
        <w:t>532</w:t>
      </w:r>
      <w:r w:rsidR="008A044A">
        <w:t>)</w:t>
      </w:r>
    </w:p>
    <w:p w14:paraId="1DC0C8EE" w14:textId="77777777" w:rsidR="005D3091" w:rsidRDefault="005D3091" w:rsidP="009C4942">
      <w:pPr>
        <w:pStyle w:val="ANorm"/>
      </w:pPr>
      <w:r>
        <w:br w:type="page"/>
      </w:r>
    </w:p>
    <w:p w14:paraId="41ACDFBB" w14:textId="530E6A65" w:rsidR="00083EE7" w:rsidRDefault="007317A8" w:rsidP="0076293B">
      <w:pPr>
        <w:pStyle w:val="Heading4"/>
        <w:spacing w:after="240"/>
      </w:pPr>
      <w:r>
        <w:lastRenderedPageBreak/>
        <w:t>Trends in mental health o</w:t>
      </w:r>
      <w:r w:rsidR="00CE1BA0" w:rsidRPr="00372ACE">
        <w:t xml:space="preserve">utcomes by </w:t>
      </w:r>
      <w:r w:rsidR="00CE1BA0">
        <w:t>therapist time</w:t>
      </w:r>
    </w:p>
    <w:p w14:paraId="367DFF81" w14:textId="5550953B" w:rsidR="00722294" w:rsidRPr="00EA27F6" w:rsidRDefault="008F66FE" w:rsidP="00BF1DBC">
      <w:pPr>
        <w:pStyle w:val="ANorm"/>
        <w:spacing w:after="240"/>
        <w:rPr>
          <w:lang w:eastAsia="en-US"/>
        </w:rPr>
      </w:pPr>
      <w:proofErr w:type="spellStart"/>
      <w:r w:rsidRPr="00EA27F6">
        <w:rPr>
          <w:lang w:eastAsia="en-US"/>
        </w:rPr>
        <w:t>MindSpot</w:t>
      </w:r>
      <w:proofErr w:type="spellEnd"/>
      <w:r w:rsidRPr="00EA27F6">
        <w:rPr>
          <w:lang w:eastAsia="en-US"/>
        </w:rPr>
        <w:t xml:space="preserve"> provided us with </w:t>
      </w:r>
      <w:r w:rsidR="00FE79BA" w:rsidRPr="00EA27F6">
        <w:rPr>
          <w:lang w:eastAsia="en-US"/>
        </w:rPr>
        <w:t>approximations</w:t>
      </w:r>
      <w:r w:rsidRPr="00EA27F6">
        <w:rPr>
          <w:lang w:eastAsia="en-US"/>
        </w:rPr>
        <w:t xml:space="preserve"> of t</w:t>
      </w:r>
      <w:r w:rsidR="00C33391" w:rsidRPr="00EA27F6">
        <w:rPr>
          <w:lang w:eastAsia="en-US"/>
        </w:rPr>
        <w:t>he mean contact time per patient (in minutes) for each six</w:t>
      </w:r>
      <w:r w:rsidR="00AE52F3" w:rsidRPr="00EA27F6">
        <w:rPr>
          <w:lang w:eastAsia="en-US"/>
        </w:rPr>
        <w:t>-</w:t>
      </w:r>
      <w:r w:rsidR="00C33391" w:rsidRPr="00EA27F6">
        <w:rPr>
          <w:lang w:eastAsia="en-US"/>
        </w:rPr>
        <w:t xml:space="preserve">month interval from </w:t>
      </w:r>
      <w:r w:rsidRPr="00EA27F6">
        <w:rPr>
          <w:lang w:eastAsia="en-US"/>
        </w:rPr>
        <w:t>January</w:t>
      </w:r>
      <w:r w:rsidR="00C33391" w:rsidRPr="00EA27F6">
        <w:rPr>
          <w:lang w:eastAsia="en-US"/>
        </w:rPr>
        <w:t xml:space="preserve"> 2013 </w:t>
      </w:r>
      <w:r w:rsidRPr="00EA27F6">
        <w:rPr>
          <w:lang w:eastAsia="en-US"/>
        </w:rPr>
        <w:t>to December</w:t>
      </w:r>
      <w:r w:rsidR="00C33391" w:rsidRPr="00EA27F6">
        <w:rPr>
          <w:lang w:eastAsia="en-US"/>
        </w:rPr>
        <w:t xml:space="preserve"> 2021</w:t>
      </w:r>
      <w:r w:rsidRPr="00EA27F6">
        <w:rPr>
          <w:lang w:eastAsia="en-US"/>
        </w:rPr>
        <w:t xml:space="preserve">, based on </w:t>
      </w:r>
      <w:r w:rsidR="00FE79BA" w:rsidRPr="00EA27F6">
        <w:rPr>
          <w:lang w:eastAsia="en-US"/>
        </w:rPr>
        <w:t xml:space="preserve">unpublished and </w:t>
      </w:r>
      <w:r w:rsidRPr="00EA27F6">
        <w:rPr>
          <w:lang w:eastAsia="en-US"/>
        </w:rPr>
        <w:t>published estimates</w:t>
      </w:r>
      <w:r w:rsidR="00C33391" w:rsidRPr="00EA27F6">
        <w:rPr>
          <w:lang w:eastAsia="en-US"/>
        </w:rPr>
        <w:t>.</w:t>
      </w:r>
      <w:r w:rsidR="00E75D13" w:rsidRPr="00EA27F6">
        <w:rPr>
          <w:lang w:eastAsia="en-US"/>
        </w:rPr>
        <w:fldChar w:fldCharType="begin">
          <w:fldData xml:space="preserve">PEVuZE5vdGU+PENpdGU+PEF1dGhvcj5UaXRvdjwvQXV0aG9yPjxZZWFyPjIwMTU8L1llYXI+PFJl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</w:fldData>
        </w:fldChar>
      </w:r>
      <w:r w:rsidR="004469A2">
        <w:rPr>
          <w:lang w:eastAsia="en-US"/>
        </w:rPr>
        <w:instrText xml:space="preserve"> ADDIN EN.CITE </w:instrText>
      </w:r>
      <w:r w:rsidR="004469A2">
        <w:rPr>
          <w:lang w:eastAsia="en-US"/>
        </w:rPr>
        <w:fldChar w:fldCharType="begin">
          <w:fldData xml:space="preserve">PEVuZE5vdGU+PENpdGU+PEF1dGhvcj5UaXRvdjwvQXV0aG9yPjxZZWFyPjIwMTU8L1llYXI+PFJl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</w:fldData>
        </w:fldChar>
      </w:r>
      <w:r w:rsidR="004469A2">
        <w:rPr>
          <w:lang w:eastAsia="en-US"/>
        </w:rPr>
        <w:instrText xml:space="preserve"> ADDIN EN.CITE.DATA </w:instrText>
      </w:r>
      <w:r w:rsidR="004469A2">
        <w:rPr>
          <w:lang w:eastAsia="en-US"/>
        </w:rPr>
      </w:r>
      <w:r w:rsidR="004469A2">
        <w:rPr>
          <w:lang w:eastAsia="en-US"/>
        </w:rPr>
        <w:fldChar w:fldCharType="end"/>
      </w:r>
      <w:r w:rsidR="00E75D13" w:rsidRPr="00EA27F6">
        <w:rPr>
          <w:lang w:eastAsia="en-US"/>
        </w:rPr>
      </w:r>
      <w:r w:rsidR="00E75D13" w:rsidRPr="00EA27F6">
        <w:rPr>
          <w:lang w:eastAsia="en-US"/>
        </w:rPr>
        <w:fldChar w:fldCharType="separate"/>
      </w:r>
      <w:r w:rsidR="004469A2" w:rsidRPr="004469A2">
        <w:rPr>
          <w:noProof/>
          <w:vertAlign w:val="superscript"/>
          <w:lang w:eastAsia="en-US"/>
        </w:rPr>
        <w:t>7, 68, 69</w:t>
      </w:r>
      <w:r w:rsidR="00E75D13" w:rsidRPr="00EA27F6">
        <w:rPr>
          <w:lang w:eastAsia="en-US"/>
        </w:rPr>
        <w:fldChar w:fldCharType="end"/>
      </w:r>
      <w:r w:rsidR="00E75D13" w:rsidRPr="00EA27F6">
        <w:rPr>
          <w:lang w:eastAsia="en-US"/>
        </w:rPr>
        <w:t xml:space="preserve"> </w:t>
      </w:r>
      <w:r w:rsidRPr="00EA27F6">
        <w:rPr>
          <w:lang w:eastAsia="en-US"/>
        </w:rPr>
        <w:t>Estimates exclude therapist time spent conducting assessments, managing crises, providing supervision and general administration.</w:t>
      </w:r>
      <w:r w:rsidR="00FE79BA" w:rsidRPr="00EA27F6">
        <w:rPr>
          <w:lang w:eastAsia="en-US"/>
        </w:rPr>
        <w:t xml:space="preserve"> </w:t>
      </w:r>
      <w:r w:rsidR="000B2E40">
        <w:rPr>
          <w:lang w:eastAsia="en-US"/>
        </w:rPr>
        <w:t xml:space="preserve">In addition, </w:t>
      </w:r>
      <w:proofErr w:type="spellStart"/>
      <w:r w:rsidR="00FE79BA" w:rsidRPr="00EA27F6">
        <w:rPr>
          <w:lang w:eastAsia="en-US"/>
        </w:rPr>
        <w:t>MindSpot</w:t>
      </w:r>
      <w:proofErr w:type="spellEnd"/>
      <w:r w:rsidR="003B2747" w:rsidRPr="00EA27F6">
        <w:rPr>
          <w:lang w:eastAsia="en-US"/>
        </w:rPr>
        <w:t xml:space="preserve"> informed us </w:t>
      </w:r>
      <w:r w:rsidR="00C76CB8">
        <w:rPr>
          <w:lang w:eastAsia="en-US"/>
        </w:rPr>
        <w:t xml:space="preserve">that </w:t>
      </w:r>
      <w:r w:rsidR="003B2747" w:rsidRPr="00EA27F6">
        <w:rPr>
          <w:lang w:eastAsia="en-US"/>
        </w:rPr>
        <w:t>they had introduced</w:t>
      </w:r>
      <w:r w:rsidR="00FE79BA" w:rsidRPr="00EA27F6">
        <w:rPr>
          <w:lang w:eastAsia="en-US"/>
        </w:rPr>
        <w:t xml:space="preserve"> service efficiencies in 2020</w:t>
      </w:r>
      <w:r w:rsidR="003B2747" w:rsidRPr="00EA27F6">
        <w:rPr>
          <w:lang w:eastAsia="en-US"/>
        </w:rPr>
        <w:t xml:space="preserve"> that resulted in</w:t>
      </w:r>
      <w:r w:rsidR="00FE79BA" w:rsidRPr="00EA27F6">
        <w:rPr>
          <w:lang w:eastAsia="en-US"/>
        </w:rPr>
        <w:t xml:space="preserve"> </w:t>
      </w:r>
      <w:r w:rsidR="00022138" w:rsidRPr="00EA27F6">
        <w:rPr>
          <w:lang w:eastAsia="en-US"/>
        </w:rPr>
        <w:t xml:space="preserve">an </w:t>
      </w:r>
      <w:r w:rsidR="00FE79BA" w:rsidRPr="00EA27F6">
        <w:rPr>
          <w:lang w:eastAsia="en-US"/>
        </w:rPr>
        <w:t>approximately 20% decrease</w:t>
      </w:r>
      <w:r w:rsidR="003B2747" w:rsidRPr="00EA27F6">
        <w:rPr>
          <w:lang w:eastAsia="en-US"/>
        </w:rPr>
        <w:t xml:space="preserve">, and that </w:t>
      </w:r>
      <w:r w:rsidR="00FE79BA" w:rsidRPr="00EA27F6">
        <w:rPr>
          <w:lang w:eastAsia="en-US"/>
        </w:rPr>
        <w:t xml:space="preserve">early estimates </w:t>
      </w:r>
      <w:r w:rsidR="003B2747" w:rsidRPr="00EA27F6">
        <w:rPr>
          <w:lang w:eastAsia="en-US"/>
        </w:rPr>
        <w:t xml:space="preserve">for 2021 </w:t>
      </w:r>
      <w:r w:rsidR="00FE79BA" w:rsidRPr="00EA27F6">
        <w:rPr>
          <w:lang w:eastAsia="en-US"/>
        </w:rPr>
        <w:t>suggest</w:t>
      </w:r>
      <w:r w:rsidR="00022138" w:rsidRPr="00EA27F6">
        <w:rPr>
          <w:lang w:eastAsia="en-US"/>
        </w:rPr>
        <w:t xml:space="preserve"> a</w:t>
      </w:r>
      <w:r w:rsidR="00FE79BA" w:rsidRPr="00EA27F6">
        <w:rPr>
          <w:lang w:eastAsia="en-US"/>
        </w:rPr>
        <w:t xml:space="preserve"> further 20% decrease</w:t>
      </w:r>
      <w:r w:rsidR="003B2747" w:rsidRPr="00EA27F6">
        <w:rPr>
          <w:lang w:eastAsia="en-US"/>
        </w:rPr>
        <w:t>,</w:t>
      </w:r>
      <w:r w:rsidR="00FE79BA" w:rsidRPr="00EA27F6">
        <w:rPr>
          <w:lang w:eastAsia="en-US"/>
        </w:rPr>
        <w:t xml:space="preserve"> in therapist time per </w:t>
      </w:r>
      <w:r w:rsidR="003B2747" w:rsidRPr="00EA27F6">
        <w:rPr>
          <w:lang w:eastAsia="en-US"/>
        </w:rPr>
        <w:t>consumer</w:t>
      </w:r>
      <w:r w:rsidR="00FE79BA" w:rsidRPr="00EA27F6">
        <w:rPr>
          <w:lang w:eastAsia="en-US"/>
        </w:rPr>
        <w:t xml:space="preserve"> in treatment</w:t>
      </w:r>
      <w:r w:rsidR="003B2747" w:rsidRPr="00EA27F6">
        <w:rPr>
          <w:lang w:eastAsia="en-US"/>
        </w:rPr>
        <w:t>.</w:t>
      </w:r>
    </w:p>
    <w:p w14:paraId="29484654" w14:textId="16C93C57" w:rsidR="00C33391" w:rsidRDefault="00B97C01" w:rsidP="00BF1DBC">
      <w:pPr>
        <w:pStyle w:val="ANorm"/>
        <w:spacing w:after="240"/>
        <w:rPr>
          <w:lang w:eastAsia="en-US"/>
        </w:rPr>
      </w:pPr>
      <w:r w:rsidRPr="00EA27F6">
        <w:rPr>
          <w:lang w:eastAsia="en-US"/>
        </w:rPr>
        <w:t xml:space="preserve">Figure </w:t>
      </w:r>
      <w:r w:rsidR="007427DD" w:rsidRPr="00EA27F6">
        <w:rPr>
          <w:lang w:eastAsia="en-US"/>
        </w:rPr>
        <w:t xml:space="preserve">9 </w:t>
      </w:r>
      <w:r w:rsidRPr="00EA27F6">
        <w:rPr>
          <w:lang w:eastAsia="en-US"/>
        </w:rPr>
        <w:t>plots treatment outcomes on the K10, PHQ-9 and GAD-7 by mean therapist time in minutes</w:t>
      </w:r>
      <w:r w:rsidR="00EA27F6">
        <w:rPr>
          <w:lang w:eastAsia="en-US"/>
        </w:rPr>
        <w:t xml:space="preserve"> from January 2013 to June 2021</w:t>
      </w:r>
      <w:r w:rsidRPr="00EA27F6">
        <w:rPr>
          <w:lang w:eastAsia="en-US"/>
        </w:rPr>
        <w:t xml:space="preserve">. </w:t>
      </w:r>
      <w:r w:rsidR="00C33391" w:rsidRPr="00EA27F6">
        <w:rPr>
          <w:lang w:eastAsia="en-US"/>
        </w:rPr>
        <w:t>These means ranged from 86 min</w:t>
      </w:r>
      <w:r w:rsidR="00AE52F3" w:rsidRPr="00EA27F6">
        <w:rPr>
          <w:lang w:eastAsia="en-US"/>
        </w:rPr>
        <w:t xml:space="preserve">utes </w:t>
      </w:r>
      <w:r w:rsidR="00C33391" w:rsidRPr="00EA27F6">
        <w:rPr>
          <w:lang w:eastAsia="en-US"/>
        </w:rPr>
        <w:t>(in late 2021) to 135 mins (early 2016-late 2019). As there was little</w:t>
      </w:r>
      <w:r w:rsidR="00C33391" w:rsidRPr="00C33391">
        <w:rPr>
          <w:lang w:eastAsia="en-US"/>
        </w:rPr>
        <w:t xml:space="preserve"> variation in therapist time across the 18 time periods (only </w:t>
      </w:r>
      <w:r w:rsidR="00AE52F3">
        <w:rPr>
          <w:lang w:eastAsia="en-US"/>
        </w:rPr>
        <w:t>four</w:t>
      </w:r>
      <w:r w:rsidR="00C33391" w:rsidRPr="00C33391">
        <w:rPr>
          <w:lang w:eastAsia="en-US"/>
        </w:rPr>
        <w:t xml:space="preserve"> distinct values), therapist time was classified into two groups: Low (&lt;=120) and High (&gt;120). </w:t>
      </w:r>
      <w:r w:rsidR="003B2747">
        <w:rPr>
          <w:lang w:eastAsia="en-US"/>
        </w:rPr>
        <w:t>F</w:t>
      </w:r>
      <w:r w:rsidR="00C33391" w:rsidRPr="00C33391">
        <w:rPr>
          <w:lang w:eastAsia="en-US"/>
        </w:rPr>
        <w:t>igure</w:t>
      </w:r>
      <w:r w:rsidR="003B2747">
        <w:rPr>
          <w:lang w:eastAsia="en-US"/>
        </w:rPr>
        <w:t xml:space="preserve"> 10</w:t>
      </w:r>
      <w:r w:rsidR="00C33391" w:rsidRPr="00C33391">
        <w:rPr>
          <w:lang w:eastAsia="en-US"/>
        </w:rPr>
        <w:t xml:space="preserve"> </w:t>
      </w:r>
      <w:r w:rsidR="003B2747">
        <w:rPr>
          <w:lang w:eastAsia="en-US"/>
        </w:rPr>
        <w:t>shows</w:t>
      </w:r>
      <w:r w:rsidR="00C33391" w:rsidRPr="00C33391">
        <w:rPr>
          <w:lang w:eastAsia="en-US"/>
        </w:rPr>
        <w:t xml:space="preserve"> that </w:t>
      </w:r>
      <w:r w:rsidR="00C33391" w:rsidRPr="005C0351">
        <w:rPr>
          <w:lang w:eastAsia="en-US"/>
        </w:rPr>
        <w:t>the median</w:t>
      </w:r>
      <w:r w:rsidR="005C0351">
        <w:rPr>
          <w:lang w:eastAsia="en-US"/>
        </w:rPr>
        <w:t xml:space="preserve"> of mean</w:t>
      </w:r>
      <w:r w:rsidR="00C33391" w:rsidRPr="00C33391">
        <w:rPr>
          <w:lang w:eastAsia="en-US"/>
        </w:rPr>
        <w:t xml:space="preserve"> outcome scores post-treatment tended to be lower for K10, PHQ</w:t>
      </w:r>
      <w:r w:rsidR="00AE52F3">
        <w:rPr>
          <w:lang w:eastAsia="en-US"/>
        </w:rPr>
        <w:t>-</w:t>
      </w:r>
      <w:r w:rsidR="00C33391" w:rsidRPr="00C33391">
        <w:rPr>
          <w:lang w:eastAsia="en-US"/>
        </w:rPr>
        <w:t>9 and GAD</w:t>
      </w:r>
      <w:r w:rsidR="00AE52F3">
        <w:rPr>
          <w:lang w:eastAsia="en-US"/>
        </w:rPr>
        <w:t>-</w:t>
      </w:r>
      <w:r w:rsidR="00C33391" w:rsidRPr="00C33391">
        <w:rPr>
          <w:lang w:eastAsia="en-US"/>
        </w:rPr>
        <w:t xml:space="preserve">7 in time periods when the mean therapist time was higher. However, there was considerable variation in outcome scores within the high therapist group </w:t>
      </w:r>
      <w:r w:rsidR="00292224">
        <w:rPr>
          <w:lang w:eastAsia="en-US"/>
        </w:rPr>
        <w:t>and</w:t>
      </w:r>
      <w:r w:rsidR="00C33391" w:rsidRPr="00C33391">
        <w:rPr>
          <w:lang w:eastAsia="en-US"/>
        </w:rPr>
        <w:t xml:space="preserve"> several outlying scores (in both the high and low groups).</w:t>
      </w:r>
    </w:p>
    <w:p w14:paraId="1451C3BC" w14:textId="1258A95A" w:rsidR="00B54F30" w:rsidRPr="001A70FE" w:rsidRDefault="001A70FE" w:rsidP="00BF1DBC">
      <w:pPr>
        <w:pStyle w:val="ANorm"/>
        <w:spacing w:after="240"/>
      </w:pPr>
      <w:r w:rsidRPr="001A70FE">
        <w:rPr>
          <w:noProof/>
          <w:lang w:eastAsia="en-AU"/>
        </w:rPr>
        <w:drawing>
          <wp:inline distT="0" distB="0" distL="0" distR="0" wp14:anchorId="2552F081" wp14:editId="40F20010">
            <wp:extent cx="1841863" cy="1339536"/>
            <wp:effectExtent l="0" t="0" r="0" b="0"/>
            <wp:docPr id="26" name="Picture 26"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box and whisker chart&#10;&#10;Description automatically generated"/>
                    <pic:cNvPicPr/>
                  </pic:nvPicPr>
                  <pic:blipFill>
                    <a:blip r:embed="rId38"/>
                    <a:stretch>
                      <a:fillRect/>
                    </a:stretch>
                  </pic:blipFill>
                  <pic:spPr>
                    <a:xfrm>
                      <a:off x="0" y="0"/>
                      <a:ext cx="1871456" cy="1361058"/>
                    </a:xfrm>
                    <a:prstGeom prst="rect">
                      <a:avLst/>
                    </a:prstGeom>
                  </pic:spPr>
                </pic:pic>
              </a:graphicData>
            </a:graphic>
          </wp:inline>
        </w:drawing>
      </w:r>
      <w:r w:rsidRPr="001A70FE">
        <w:rPr>
          <w:noProof/>
          <w:lang w:eastAsia="en-AU"/>
        </w:rPr>
        <w:drawing>
          <wp:inline distT="0" distB="0" distL="0" distR="0" wp14:anchorId="7165E5A9" wp14:editId="419D92ED">
            <wp:extent cx="1900646" cy="1382287"/>
            <wp:effectExtent l="0" t="0" r="4445" b="2540"/>
            <wp:docPr id="27" name="Picture 27" descr="Box and whisker charts describing Mean post-treatment K10, PHQ-9 and GAD-7 by MindSpot therapist time, January 2013 – June 2021 (N=17,1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Box and whisker charts describing Mean post-treatment K10, PHQ-9 and GAD-7 by MindSpot therapist time, January 2013 – June 2021 (N=17,137)&#10;"/>
                    <pic:cNvPicPr/>
                  </pic:nvPicPr>
                  <pic:blipFill>
                    <a:blip r:embed="rId39"/>
                    <a:stretch>
                      <a:fillRect/>
                    </a:stretch>
                  </pic:blipFill>
                  <pic:spPr>
                    <a:xfrm>
                      <a:off x="0" y="0"/>
                      <a:ext cx="1940432" cy="1411222"/>
                    </a:xfrm>
                    <a:prstGeom prst="rect">
                      <a:avLst/>
                    </a:prstGeom>
                  </pic:spPr>
                </pic:pic>
              </a:graphicData>
            </a:graphic>
          </wp:inline>
        </w:drawing>
      </w:r>
      <w:r w:rsidRPr="001A70FE">
        <w:rPr>
          <w:noProof/>
          <w:lang w:eastAsia="en-AU"/>
        </w:rPr>
        <w:drawing>
          <wp:inline distT="0" distB="0" distL="0" distR="0" wp14:anchorId="6E658A3B" wp14:editId="43710C5E">
            <wp:extent cx="1841500" cy="1339273"/>
            <wp:effectExtent l="0" t="0" r="0" b="0"/>
            <wp:docPr id="23" name="Picture 23"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box and whisker chart&#10;&#10;Description automatically generated"/>
                    <pic:cNvPicPr/>
                  </pic:nvPicPr>
                  <pic:blipFill>
                    <a:blip r:embed="rId40"/>
                    <a:stretch>
                      <a:fillRect/>
                    </a:stretch>
                  </pic:blipFill>
                  <pic:spPr>
                    <a:xfrm>
                      <a:off x="0" y="0"/>
                      <a:ext cx="1871717" cy="1361249"/>
                    </a:xfrm>
                    <a:prstGeom prst="rect">
                      <a:avLst/>
                    </a:prstGeom>
                  </pic:spPr>
                </pic:pic>
              </a:graphicData>
            </a:graphic>
          </wp:inline>
        </w:drawing>
      </w:r>
    </w:p>
    <w:p w14:paraId="6824EAFB" w14:textId="0CBF8107" w:rsidR="001A70FE" w:rsidRPr="00A75D2F" w:rsidRDefault="00407222" w:rsidP="00BF1DBC">
      <w:pPr>
        <w:pStyle w:val="tableheading"/>
        <w:spacing w:after="240"/>
      </w:pPr>
      <w:r w:rsidRPr="00250DA5">
        <w:t xml:space="preserve">Figure </w:t>
      </w:r>
      <w:r w:rsidR="007427DD">
        <w:t>9</w:t>
      </w:r>
      <w:r w:rsidRPr="00250DA5">
        <w:t>.</w:t>
      </w:r>
      <w:r w:rsidR="00A75D2F" w:rsidRPr="00250DA5">
        <w:t xml:space="preserve"> Mea</w:t>
      </w:r>
      <w:r w:rsidR="003B2747" w:rsidRPr="00250DA5">
        <w:t>n</w:t>
      </w:r>
      <w:r w:rsidR="00250DA5" w:rsidRPr="00250DA5">
        <w:t xml:space="preserve"> post-treatment </w:t>
      </w:r>
      <w:r w:rsidR="00A75D2F" w:rsidRPr="00250DA5">
        <w:t xml:space="preserve">K10, PHQ-9 and GAD-7 by </w:t>
      </w:r>
      <w:proofErr w:type="spellStart"/>
      <w:r w:rsidR="0064044A">
        <w:t>MindSpot</w:t>
      </w:r>
      <w:proofErr w:type="spellEnd"/>
      <w:r w:rsidR="0064044A">
        <w:t xml:space="preserve"> </w:t>
      </w:r>
      <w:r w:rsidR="00B50370" w:rsidRPr="00250DA5">
        <w:t>therapist time</w:t>
      </w:r>
      <w:r w:rsidR="00C555FC" w:rsidRPr="00250DA5">
        <w:t xml:space="preserve">, </w:t>
      </w:r>
      <w:r w:rsidR="006D051A" w:rsidRPr="00250DA5">
        <w:t>January 2013 – June 2021</w:t>
      </w:r>
      <w:r w:rsidR="00250DA5" w:rsidRPr="00250DA5">
        <w:t xml:space="preserve"> (N=17,137)</w:t>
      </w:r>
    </w:p>
    <w:p w14:paraId="70A6F71D" w14:textId="32FD3260" w:rsidR="00AE52F3" w:rsidRPr="003A56C4" w:rsidRDefault="0031279D" w:rsidP="0076293B">
      <w:pPr>
        <w:pStyle w:val="Heading4"/>
        <w:spacing w:after="240"/>
      </w:pPr>
      <w:r>
        <w:t>Trends in mental health outcomes of t</w:t>
      </w:r>
      <w:r w:rsidR="005B71F3">
        <w:t>herapist-</w:t>
      </w:r>
      <w:r w:rsidR="00CD0339">
        <w:t>support</w:t>
      </w:r>
      <w:r w:rsidR="005B71F3">
        <w:t xml:space="preserve">ed </w:t>
      </w:r>
      <w:r>
        <w:t>treatment</w:t>
      </w:r>
      <w:r w:rsidR="009E17F4">
        <w:t xml:space="preserve"> over</w:t>
      </w:r>
      <w:r w:rsidR="005B71F3">
        <w:t xml:space="preserve"> time</w:t>
      </w:r>
      <w:r w:rsidR="00755695">
        <w:t>, January 2013 – December 2021</w:t>
      </w:r>
    </w:p>
    <w:p w14:paraId="6E6FBEAC" w14:textId="1D40984E" w:rsidR="005B71F3" w:rsidRPr="00354846" w:rsidRDefault="001B1717" w:rsidP="00BF1DBC">
      <w:pPr>
        <w:pStyle w:val="ANorm"/>
        <w:spacing w:after="240"/>
      </w:pPr>
      <w:r w:rsidRPr="00354846">
        <w:t xml:space="preserve">Figure </w:t>
      </w:r>
      <w:r w:rsidR="007427DD">
        <w:t>10</w:t>
      </w:r>
      <w:r w:rsidRPr="00354846">
        <w:t xml:space="preserve"> show</w:t>
      </w:r>
      <w:r w:rsidR="00EC2FEC" w:rsidRPr="00354846">
        <w:t>s</w:t>
      </w:r>
      <w:r w:rsidRPr="00354846">
        <w:t xml:space="preserve"> </w:t>
      </w:r>
      <w:r w:rsidR="001470B5" w:rsidRPr="00354846">
        <w:t xml:space="preserve">the </w:t>
      </w:r>
      <w:r w:rsidRPr="00354846">
        <w:t>baseline, post-treatment</w:t>
      </w:r>
      <w:r w:rsidR="00AE01CE">
        <w:t>,</w:t>
      </w:r>
      <w:r w:rsidRPr="00354846">
        <w:t xml:space="preserve"> and 3-month </w:t>
      </w:r>
      <w:r w:rsidR="00AD65FC" w:rsidRPr="00354846">
        <w:t>post-treatment</w:t>
      </w:r>
      <w:r w:rsidRPr="00354846">
        <w:t xml:space="preserve"> </w:t>
      </w:r>
      <w:r w:rsidR="00EC2FEC" w:rsidRPr="00354846">
        <w:t xml:space="preserve">mean </w:t>
      </w:r>
      <w:r w:rsidRPr="00354846">
        <w:t>K10</w:t>
      </w:r>
      <w:r w:rsidR="001470B5" w:rsidRPr="00354846">
        <w:t>, PHQ-9 and GAD-7</w:t>
      </w:r>
      <w:r w:rsidRPr="00354846">
        <w:t xml:space="preserve"> scores and 95% C</w:t>
      </w:r>
      <w:r w:rsidR="00114D53" w:rsidRPr="00354846">
        <w:t>I</w:t>
      </w:r>
      <w:r w:rsidRPr="00354846">
        <w:t>s</w:t>
      </w:r>
      <w:r w:rsidR="001470B5" w:rsidRPr="00354846">
        <w:t>,</w:t>
      </w:r>
      <w:r w:rsidRPr="00354846">
        <w:t xml:space="preserve"> for </w:t>
      </w:r>
      <w:proofErr w:type="spellStart"/>
      <w:r w:rsidRPr="00354846">
        <w:t>MindSpot</w:t>
      </w:r>
      <w:proofErr w:type="spellEnd"/>
      <w:r w:rsidRPr="00354846">
        <w:t xml:space="preserve"> consumers of therapist-</w:t>
      </w:r>
      <w:r w:rsidR="00146CA8" w:rsidRPr="00354846">
        <w:t>support</w:t>
      </w:r>
      <w:r w:rsidRPr="00354846">
        <w:t>ed treatment by half year</w:t>
      </w:r>
      <w:r w:rsidR="000A407E" w:rsidRPr="00354846">
        <w:t xml:space="preserve"> from</w:t>
      </w:r>
      <w:r w:rsidRPr="00354846">
        <w:t xml:space="preserve"> January 2013 </w:t>
      </w:r>
      <w:r w:rsidR="000A407E" w:rsidRPr="00354846">
        <w:t>to</w:t>
      </w:r>
      <w:r w:rsidRPr="00354846">
        <w:t xml:space="preserve"> December 2021.</w:t>
      </w:r>
    </w:p>
    <w:p w14:paraId="40C56BAB" w14:textId="6BB5616B" w:rsidR="00811688" w:rsidRPr="003A56C4" w:rsidRDefault="00774BC5" w:rsidP="00BF1DBC">
      <w:pPr>
        <w:pStyle w:val="ANorm"/>
        <w:spacing w:after="240"/>
      </w:pPr>
      <w:r w:rsidRPr="00354846">
        <w:t xml:space="preserve">As shown in Figure </w:t>
      </w:r>
      <w:r w:rsidR="00354846" w:rsidRPr="00354846">
        <w:t>9</w:t>
      </w:r>
      <w:r w:rsidRPr="00354846">
        <w:t>, t</w:t>
      </w:r>
      <w:r w:rsidR="00AD65FC" w:rsidRPr="00354846">
        <w:t xml:space="preserve">he mean </w:t>
      </w:r>
      <w:r w:rsidR="00944ED2" w:rsidRPr="00354846">
        <w:t xml:space="preserve">baseline </w:t>
      </w:r>
      <w:r w:rsidR="00AD65FC" w:rsidRPr="00354846">
        <w:t xml:space="preserve">K10 </w:t>
      </w:r>
      <w:r w:rsidR="00CB527C" w:rsidRPr="00354846">
        <w:t>score</w:t>
      </w:r>
      <w:r w:rsidR="00583A84" w:rsidRPr="00354846">
        <w:t>s</w:t>
      </w:r>
      <w:r w:rsidR="00CB527C" w:rsidRPr="00354846">
        <w:t xml:space="preserve"> </w:t>
      </w:r>
      <w:r w:rsidR="008D488A" w:rsidRPr="00354846">
        <w:t xml:space="preserve">decreased </w:t>
      </w:r>
      <w:r w:rsidR="00811688" w:rsidRPr="00354846">
        <w:t>very slight</w:t>
      </w:r>
      <w:r w:rsidR="00CB527C" w:rsidRPr="00354846">
        <w:t>ly</w:t>
      </w:r>
      <w:r w:rsidR="00811688" w:rsidRPr="00354846">
        <w:t xml:space="preserve"> (non-significant</w:t>
      </w:r>
      <w:r w:rsidR="00520216">
        <w:t>ly</w:t>
      </w:r>
      <w:r w:rsidR="00811688" w:rsidRPr="00354846">
        <w:t>) over time, with a high</w:t>
      </w:r>
      <w:r w:rsidR="00811688" w:rsidRPr="00583A84">
        <w:t xml:space="preserve"> of 32 (</w:t>
      </w:r>
      <w:r w:rsidR="00A408FB">
        <w:t xml:space="preserve">in </w:t>
      </w:r>
      <w:r w:rsidR="00811688" w:rsidRPr="00583A84">
        <w:t>Jan</w:t>
      </w:r>
      <w:r w:rsidR="00A408FB">
        <w:t>uary</w:t>
      </w:r>
      <w:r w:rsidR="00811688" w:rsidRPr="00583A84">
        <w:t xml:space="preserve"> 2013-Jun</w:t>
      </w:r>
      <w:r w:rsidR="00A408FB">
        <w:t>e</w:t>
      </w:r>
      <w:r w:rsidR="00811688" w:rsidRPr="00583A84">
        <w:t xml:space="preserve"> 2014) to a low of 30.5 (</w:t>
      </w:r>
      <w:r w:rsidR="00A408FB">
        <w:t xml:space="preserve">in </w:t>
      </w:r>
      <w:r w:rsidR="00811688" w:rsidRPr="00583A84">
        <w:t>Jan</w:t>
      </w:r>
      <w:r w:rsidR="00A408FB">
        <w:t>uary</w:t>
      </w:r>
      <w:r w:rsidR="00811688" w:rsidRPr="00583A84">
        <w:t>-Jun</w:t>
      </w:r>
      <w:r w:rsidR="00A408FB">
        <w:t>e</w:t>
      </w:r>
      <w:r w:rsidR="00811688" w:rsidRPr="00583A84">
        <w:t xml:space="preserve"> 2021). Immediate post-treatment means were significantly lower at </w:t>
      </w:r>
      <w:r w:rsidR="00811688" w:rsidRPr="00D9485B">
        <w:t>approximately 2</w:t>
      </w:r>
      <w:r w:rsidR="00D9485B">
        <w:t>1</w:t>
      </w:r>
      <w:r w:rsidR="00811688" w:rsidRPr="00D9485B">
        <w:t>,</w:t>
      </w:r>
      <w:r w:rsidR="00811688" w:rsidRPr="00583A84">
        <w:t xml:space="preserve"> and 3</w:t>
      </w:r>
      <w:r w:rsidR="00583A84" w:rsidRPr="00583A84">
        <w:t>-</w:t>
      </w:r>
      <w:r w:rsidR="00811688" w:rsidRPr="00583A84">
        <w:t xml:space="preserve">month </w:t>
      </w:r>
      <w:r w:rsidR="00583A84" w:rsidRPr="00583A84">
        <w:t xml:space="preserve">post-treatment </w:t>
      </w:r>
      <w:r w:rsidR="00811688" w:rsidRPr="00583A84">
        <w:t>means were slightly lower again at 19.5, with no consistent trend over time for either of these.</w:t>
      </w:r>
    </w:p>
    <w:p w14:paraId="081D461A" w14:textId="4A05F667" w:rsidR="0067407D" w:rsidRPr="003A56C4" w:rsidRDefault="00F83FAD" w:rsidP="00BF1DBC">
      <w:pPr>
        <w:pStyle w:val="ANorm"/>
        <w:spacing w:after="240"/>
      </w:pPr>
      <w:r>
        <w:t xml:space="preserve">Similarly, </w:t>
      </w:r>
      <w:r w:rsidR="0067407D" w:rsidRPr="00F83FAD">
        <w:t xml:space="preserve">mean </w:t>
      </w:r>
      <w:r w:rsidR="00944ED2" w:rsidRPr="00F83FAD">
        <w:t xml:space="preserve">baseline </w:t>
      </w:r>
      <w:r w:rsidR="0067407D" w:rsidRPr="00F83FAD">
        <w:t xml:space="preserve">PHQ-9 </w:t>
      </w:r>
      <w:r w:rsidR="00944ED2">
        <w:t xml:space="preserve">scores </w:t>
      </w:r>
      <w:r w:rsidR="0067407D" w:rsidRPr="00F83FAD">
        <w:t>decreased slightly over time, from 15 in 2013 to 13.8 in 2021</w:t>
      </w:r>
      <w:r w:rsidR="00774BC5">
        <w:t xml:space="preserve"> (Figure </w:t>
      </w:r>
      <w:r w:rsidR="00634BDE">
        <w:t>5</w:t>
      </w:r>
      <w:r w:rsidR="00774BC5">
        <w:t>)</w:t>
      </w:r>
      <w:r w:rsidR="0067407D" w:rsidRPr="00F83FAD">
        <w:t>. This was substantially and consistently higher than the mean PHQ-9 immediately post-treatment, which varied slightly over time with a high of 7.4 (</w:t>
      </w:r>
      <w:r w:rsidR="00A408FB">
        <w:t xml:space="preserve">in </w:t>
      </w:r>
      <w:r w:rsidR="0067407D" w:rsidRPr="00F83FAD">
        <w:t>Jan</w:t>
      </w:r>
      <w:r w:rsidR="00A408FB">
        <w:t>uary</w:t>
      </w:r>
      <w:r w:rsidR="0067407D" w:rsidRPr="00F83FAD">
        <w:t>-Jun</w:t>
      </w:r>
      <w:r w:rsidR="00A408FB">
        <w:t xml:space="preserve">e </w:t>
      </w:r>
      <w:r w:rsidR="0067407D" w:rsidRPr="00F83FAD">
        <w:t>2017) and a low of 5.4 (</w:t>
      </w:r>
      <w:r w:rsidR="00A408FB">
        <w:t xml:space="preserve">in </w:t>
      </w:r>
      <w:r w:rsidR="0067407D" w:rsidRPr="00F83FAD">
        <w:t>Jan</w:t>
      </w:r>
      <w:r w:rsidR="00A408FB">
        <w:t>uary</w:t>
      </w:r>
      <w:r w:rsidR="0067407D" w:rsidRPr="00F83FAD">
        <w:t>-Jun</w:t>
      </w:r>
      <w:r w:rsidR="00A408FB">
        <w:t xml:space="preserve">e </w:t>
      </w:r>
      <w:r w:rsidR="0067407D" w:rsidRPr="00F83FAD">
        <w:t>2014). The post-treatment means were not significantly different from the 3</w:t>
      </w:r>
      <w:r w:rsidR="00323D51" w:rsidRPr="00F83FAD">
        <w:t>-</w:t>
      </w:r>
      <w:r w:rsidR="0067407D" w:rsidRPr="00F83FAD">
        <w:t>month post-treatment means. There was no consistent trend over time for the post-treatment means.</w:t>
      </w:r>
    </w:p>
    <w:p w14:paraId="2111E6BA" w14:textId="2A51896A" w:rsidR="0067407D" w:rsidRPr="003A56C4" w:rsidRDefault="0067407D" w:rsidP="00BF1DBC">
      <w:pPr>
        <w:pStyle w:val="ANorm"/>
        <w:spacing w:after="240"/>
      </w:pPr>
      <w:r w:rsidRPr="00BA1CBF">
        <w:t>Similar effects were seen for GAD-7</w:t>
      </w:r>
      <w:r w:rsidR="00774BC5">
        <w:t xml:space="preserve"> (Figure </w:t>
      </w:r>
      <w:r w:rsidR="00634BDE">
        <w:t>6</w:t>
      </w:r>
      <w:r w:rsidR="00774BC5">
        <w:t>)</w:t>
      </w:r>
      <w:r w:rsidRPr="00BA1CBF">
        <w:t xml:space="preserve">. </w:t>
      </w:r>
      <w:r w:rsidR="00113FD9" w:rsidRPr="00BA1CBF">
        <w:t>B</w:t>
      </w:r>
      <w:r w:rsidRPr="00BA1CBF">
        <w:t xml:space="preserve">aseline </w:t>
      </w:r>
      <w:r w:rsidR="00113FD9" w:rsidRPr="00BA1CBF">
        <w:t xml:space="preserve">means </w:t>
      </w:r>
      <w:r w:rsidRPr="00BA1CBF">
        <w:t>were approximately 12, with no consistent trend over time. Immediate post-treatment means were just below 6, and 3</w:t>
      </w:r>
      <w:r w:rsidR="00113FD9" w:rsidRPr="00BA1CBF">
        <w:t>-</w:t>
      </w:r>
      <w:r w:rsidRPr="00BA1CBF">
        <w:t xml:space="preserve">month </w:t>
      </w:r>
      <w:r w:rsidR="00113FD9" w:rsidRPr="00BA1CBF">
        <w:t xml:space="preserve">post-treatment </w:t>
      </w:r>
      <w:r w:rsidRPr="00BA1CBF">
        <w:t>means were slightly but no</w:t>
      </w:r>
      <w:r w:rsidR="00F56543">
        <w:t>t</w:t>
      </w:r>
      <w:r w:rsidRPr="00BA1CBF">
        <w:t xml:space="preserve"> significantly lower at approximately 5, both with no apparent trend over time.</w:t>
      </w:r>
    </w:p>
    <w:p w14:paraId="32062E6B" w14:textId="77FA4F58" w:rsidR="00902F96" w:rsidRDefault="0067407D" w:rsidP="00BF1DBC">
      <w:pPr>
        <w:pStyle w:val="ANorm"/>
        <w:spacing w:after="240"/>
      </w:pPr>
      <w:r w:rsidRPr="00C342B0">
        <w:lastRenderedPageBreak/>
        <w:t>As data at the individual level w</w:t>
      </w:r>
      <w:r w:rsidR="00C342B0" w:rsidRPr="00C342B0">
        <w:t>ere</w:t>
      </w:r>
      <w:r w:rsidRPr="00C342B0">
        <w:t xml:space="preserve"> not available, </w:t>
      </w:r>
      <w:r w:rsidR="00F0209C" w:rsidRPr="00C342B0">
        <w:t>i</w:t>
      </w:r>
      <w:r w:rsidRPr="00C342B0">
        <w:t>t is not clear to what extent these results reflect changes due to the treatment program and to what exten</w:t>
      </w:r>
      <w:r w:rsidR="00F0209C" w:rsidRPr="00C342B0">
        <w:t>t</w:t>
      </w:r>
      <w:r w:rsidRPr="00C342B0">
        <w:t xml:space="preserve"> they are due to self-selection (for example, if </w:t>
      </w:r>
      <w:r w:rsidRPr="001C5143">
        <w:t>those with the lowest K10 scores choose to complete the 3</w:t>
      </w:r>
      <w:r w:rsidR="00BD0006" w:rsidRPr="001C5143">
        <w:t>-</w:t>
      </w:r>
      <w:r w:rsidRPr="001C5143">
        <w:t>month post-treatment assessment).</w:t>
      </w:r>
      <w:r w:rsidR="007C6880" w:rsidRPr="001C5143">
        <w:t xml:space="preserve"> However, </w:t>
      </w:r>
      <w:proofErr w:type="spellStart"/>
      <w:r w:rsidR="007C6880" w:rsidRPr="001C5143">
        <w:t>MindSpot</w:t>
      </w:r>
      <w:proofErr w:type="spellEnd"/>
      <w:r w:rsidR="007C6880" w:rsidRPr="001C5143">
        <w:t xml:space="preserve"> has previously published findings based on individual level data that showed clear improvement </w:t>
      </w:r>
      <w:r w:rsidR="00CD16ED" w:rsidRPr="001C5143">
        <w:t xml:space="preserve">in consumers of therapist-supported treatment </w:t>
      </w:r>
      <w:r w:rsidR="007C6880" w:rsidRPr="001C5143">
        <w:t>at post-treatment and follow-u</w:t>
      </w:r>
      <w:r w:rsidR="00CD16ED" w:rsidRPr="001C5143">
        <w:t>p over a seven year period from 2013 to 2019.</w:t>
      </w:r>
      <w:r w:rsidR="00B81CB1" w:rsidRPr="001C5143">
        <w:fldChar w:fldCharType="begin"/>
      </w:r>
      <w:r w:rsidR="004469A2">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00B81CB1" w:rsidRPr="001C5143">
        <w:fldChar w:fldCharType="separate"/>
      </w:r>
      <w:r w:rsidR="004469A2" w:rsidRPr="004469A2">
        <w:rPr>
          <w:noProof/>
          <w:vertAlign w:val="superscript"/>
        </w:rPr>
        <w:t>7</w:t>
      </w:r>
      <w:r w:rsidR="00B81CB1" w:rsidRPr="001C5143">
        <w:fldChar w:fldCharType="end"/>
      </w:r>
    </w:p>
    <w:p w14:paraId="78795157" w14:textId="77777777" w:rsidR="00902F96" w:rsidRDefault="00902F96">
      <w:pPr>
        <w:spacing w:after="200"/>
        <w:rPr>
          <w:rFonts w:ascii="Calibri" w:hAnsi="Calibri" w:cs="Arial"/>
          <w:color w:val="000000" w:themeColor="text1"/>
          <w:sz w:val="21"/>
          <w:szCs w:val="21"/>
        </w:rPr>
      </w:pPr>
      <w:r>
        <w:br w:type="page"/>
      </w:r>
    </w:p>
    <w:p w14:paraId="0EF60118" w14:textId="77777777" w:rsidR="008E06E2" w:rsidRDefault="008E06E2" w:rsidP="00BF1DBC">
      <w:pPr>
        <w:pStyle w:val="ANorm"/>
        <w:spacing w:after="240"/>
      </w:pPr>
    </w:p>
    <w:p w14:paraId="13058223" w14:textId="53391FCE" w:rsidR="004213F6" w:rsidRDefault="008E06E2" w:rsidP="00BF1DBC">
      <w:pPr>
        <w:pStyle w:val="ANorm"/>
        <w:spacing w:after="240"/>
        <w:jc w:val="center"/>
      </w:pPr>
      <w:r w:rsidRPr="008E06E2">
        <w:rPr>
          <w:noProof/>
          <w:lang w:eastAsia="en-AU"/>
        </w:rPr>
        <w:drawing>
          <wp:inline distT="0" distB="0" distL="0" distR="0" wp14:anchorId="2C8A9000" wp14:editId="5AC31B27">
            <wp:extent cx="3352800" cy="2438400"/>
            <wp:effectExtent l="0" t="0" r="0" b="0"/>
            <wp:docPr id="13" name="Picture 1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scatter chart&#10;&#10;Description automatically generated"/>
                    <pic:cNvPicPr/>
                  </pic:nvPicPr>
                  <pic:blipFill>
                    <a:blip r:embed="rId41"/>
                    <a:stretch>
                      <a:fillRect/>
                    </a:stretch>
                  </pic:blipFill>
                  <pic:spPr>
                    <a:xfrm>
                      <a:off x="0" y="0"/>
                      <a:ext cx="3352800" cy="2438400"/>
                    </a:xfrm>
                    <a:prstGeom prst="rect">
                      <a:avLst/>
                    </a:prstGeom>
                  </pic:spPr>
                </pic:pic>
              </a:graphicData>
            </a:graphic>
          </wp:inline>
        </w:drawing>
      </w:r>
    </w:p>
    <w:p w14:paraId="358CBE75" w14:textId="3D231F33" w:rsidR="004A1D78" w:rsidRDefault="004A1D78" w:rsidP="00BF1DBC">
      <w:pPr>
        <w:pStyle w:val="ANorm"/>
        <w:spacing w:after="240"/>
        <w:jc w:val="center"/>
      </w:pPr>
      <w:r w:rsidRPr="004A1D78">
        <w:rPr>
          <w:noProof/>
          <w:lang w:eastAsia="en-AU"/>
        </w:rPr>
        <w:drawing>
          <wp:inline distT="0" distB="0" distL="0" distR="0" wp14:anchorId="0770C365" wp14:editId="0C04A155">
            <wp:extent cx="3352800" cy="2438400"/>
            <wp:effectExtent l="0" t="0" r="0" b="0"/>
            <wp:docPr id="14" name="Picture 1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scatter chart&#10;&#10;Description automatically generated"/>
                    <pic:cNvPicPr/>
                  </pic:nvPicPr>
                  <pic:blipFill>
                    <a:blip r:embed="rId42"/>
                    <a:stretch>
                      <a:fillRect/>
                    </a:stretch>
                  </pic:blipFill>
                  <pic:spPr>
                    <a:xfrm>
                      <a:off x="0" y="0"/>
                      <a:ext cx="3352800" cy="2438400"/>
                    </a:xfrm>
                    <a:prstGeom prst="rect">
                      <a:avLst/>
                    </a:prstGeom>
                  </pic:spPr>
                </pic:pic>
              </a:graphicData>
            </a:graphic>
          </wp:inline>
        </w:drawing>
      </w:r>
    </w:p>
    <w:p w14:paraId="11B41467" w14:textId="6728AD15" w:rsidR="0065377A" w:rsidRDefault="0065377A" w:rsidP="00BF1DBC">
      <w:pPr>
        <w:pStyle w:val="ANorm"/>
        <w:spacing w:after="240"/>
        <w:jc w:val="center"/>
      </w:pPr>
      <w:r w:rsidRPr="0065377A">
        <w:rPr>
          <w:noProof/>
          <w:lang w:eastAsia="en-AU"/>
        </w:rPr>
        <w:drawing>
          <wp:inline distT="0" distB="0" distL="0" distR="0" wp14:anchorId="622BB03F" wp14:editId="003BF9F2">
            <wp:extent cx="3352800" cy="2438400"/>
            <wp:effectExtent l="0" t="0" r="0" b="0"/>
            <wp:docPr id="12" name="Picture 12" descr="Charts describing Baseline, post-treatment and 3-month post-treatment mean K10, PHQ-9 and GAD-7 scores and 95% CIs for MindSpot consumers of therapist-guided treatment by half year, January 2013 – December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s describing Baseline, post-treatment and 3-month post-treatment mean K10, PHQ-9 and GAD-7 scores and 95% CIs for MindSpot consumers of therapist-guided treatment by half year, January 2013 – December 2021."/>
                    <pic:cNvPicPr/>
                  </pic:nvPicPr>
                  <pic:blipFill>
                    <a:blip r:embed="rId43"/>
                    <a:stretch>
                      <a:fillRect/>
                    </a:stretch>
                  </pic:blipFill>
                  <pic:spPr>
                    <a:xfrm>
                      <a:off x="0" y="0"/>
                      <a:ext cx="3352800" cy="2438400"/>
                    </a:xfrm>
                    <a:prstGeom prst="rect">
                      <a:avLst/>
                    </a:prstGeom>
                  </pic:spPr>
                </pic:pic>
              </a:graphicData>
            </a:graphic>
          </wp:inline>
        </w:drawing>
      </w:r>
    </w:p>
    <w:p w14:paraId="72753D6C" w14:textId="17FC044C" w:rsidR="000C77AC" w:rsidRDefault="000C77AC" w:rsidP="00BF1DBC">
      <w:pPr>
        <w:pStyle w:val="tableheading"/>
        <w:spacing w:after="240"/>
      </w:pPr>
      <w:r w:rsidRPr="00354846">
        <w:t xml:space="preserve">Figure </w:t>
      </w:r>
      <w:r w:rsidR="007427DD">
        <w:t>10</w:t>
      </w:r>
      <w:r w:rsidRPr="00354846">
        <w:t xml:space="preserve">. </w:t>
      </w:r>
      <w:r w:rsidR="00EC2FEC" w:rsidRPr="00354846">
        <w:t>B</w:t>
      </w:r>
      <w:r w:rsidRPr="00354846">
        <w:t>aseline, post-</w:t>
      </w:r>
      <w:proofErr w:type="gramStart"/>
      <w:r w:rsidRPr="00354846">
        <w:t>treatment</w:t>
      </w:r>
      <w:proofErr w:type="gramEnd"/>
      <w:r w:rsidRPr="00354846">
        <w:t xml:space="preserve"> and 3-month </w:t>
      </w:r>
      <w:r w:rsidR="00D669EC" w:rsidRPr="00354846">
        <w:t xml:space="preserve">post-treatment </w:t>
      </w:r>
      <w:r w:rsidR="00EC2FEC" w:rsidRPr="00354846">
        <w:t xml:space="preserve">mean K10, PHQ-9 and </w:t>
      </w:r>
      <w:r w:rsidRPr="00354846">
        <w:t>GAD-7 scores and 95%</w:t>
      </w:r>
      <w:r w:rsidRPr="00DD6E78">
        <w:t xml:space="preserve"> CIs for </w:t>
      </w:r>
      <w:proofErr w:type="spellStart"/>
      <w:r>
        <w:t>MindSpot</w:t>
      </w:r>
      <w:proofErr w:type="spellEnd"/>
      <w:r>
        <w:t xml:space="preserve"> consumers</w:t>
      </w:r>
      <w:r w:rsidRPr="00DD6E78">
        <w:t xml:space="preserve"> </w:t>
      </w:r>
      <w:r>
        <w:t xml:space="preserve">of therapist-guided treatment </w:t>
      </w:r>
      <w:r w:rsidRPr="00DD6E78">
        <w:t>by half</w:t>
      </w:r>
      <w:r>
        <w:t xml:space="preserve"> year</w:t>
      </w:r>
      <w:r w:rsidRPr="00936503">
        <w:t>, January 201</w:t>
      </w:r>
      <w:r>
        <w:t xml:space="preserve">3 – </w:t>
      </w:r>
      <w:r w:rsidRPr="00936503">
        <w:t>December 2021.</w:t>
      </w:r>
    </w:p>
    <w:p w14:paraId="1BCBD578" w14:textId="67A1D001" w:rsidR="00A40FF0" w:rsidRDefault="0062328C" w:rsidP="00A40FF0">
      <w:pPr>
        <w:pStyle w:val="ANorm"/>
      </w:pPr>
      <w:r>
        <w:rPr>
          <w:sz w:val="16"/>
          <w:szCs w:val="16"/>
        </w:rPr>
        <w:t>Note. Baseline N=28,808, post-</w:t>
      </w:r>
      <w:r w:rsidRPr="0062328C">
        <w:rPr>
          <w:sz w:val="16"/>
          <w:szCs w:val="16"/>
        </w:rPr>
        <w:t>treatment n=17,137</w:t>
      </w:r>
      <w:r>
        <w:rPr>
          <w:sz w:val="16"/>
          <w:szCs w:val="16"/>
        </w:rPr>
        <w:t xml:space="preserve"> and three-month post-treatment n=10,163.</w:t>
      </w:r>
      <w:r w:rsidR="005D3091">
        <w:br w:type="page"/>
      </w:r>
    </w:p>
    <w:p w14:paraId="7DBFAD8C" w14:textId="3BC58653" w:rsidR="009507E7" w:rsidRPr="00630AA3" w:rsidRDefault="00E61521" w:rsidP="00614DE2">
      <w:pPr>
        <w:pStyle w:val="Heading3"/>
        <w:numPr>
          <w:ilvl w:val="2"/>
          <w:numId w:val="136"/>
        </w:numPr>
      </w:pPr>
      <w:r>
        <w:lastRenderedPageBreak/>
        <w:t>Trends in s</w:t>
      </w:r>
      <w:r w:rsidR="003D4464" w:rsidRPr="00630AA3">
        <w:t>elf-directed treatment outcomes</w:t>
      </w:r>
    </w:p>
    <w:p w14:paraId="112F9FCF" w14:textId="5C0201D8" w:rsidR="00897332" w:rsidRPr="00630AA3" w:rsidRDefault="00E80BD9" w:rsidP="0064044A">
      <w:pPr>
        <w:pStyle w:val="ANorm"/>
        <w:spacing w:after="200"/>
      </w:pPr>
      <w:r w:rsidRPr="00630AA3">
        <w:t>As previously</w:t>
      </w:r>
      <w:r w:rsidR="00851064" w:rsidRPr="00630AA3">
        <w:t xml:space="preserve"> mentioned, </w:t>
      </w:r>
      <w:proofErr w:type="spellStart"/>
      <w:r w:rsidR="00851064" w:rsidRPr="00630AA3">
        <w:t>MindSpot</w:t>
      </w:r>
      <w:proofErr w:type="spellEnd"/>
      <w:r w:rsidR="00CE2617" w:rsidRPr="00630AA3">
        <w:t xml:space="preserve"> recently</w:t>
      </w:r>
      <w:r w:rsidR="00851064" w:rsidRPr="00630AA3">
        <w:t xml:space="preserve"> </w:t>
      </w:r>
      <w:r w:rsidR="00F733CF" w:rsidRPr="00630AA3">
        <w:t>introduced</w:t>
      </w:r>
      <w:r w:rsidR="00CE2617" w:rsidRPr="00630AA3">
        <w:t xml:space="preserve"> self-directed treatment in July 2019 as part of their treatment offerings</w:t>
      </w:r>
      <w:r w:rsidR="00897332" w:rsidRPr="00630AA3">
        <w:t>, so they have not yet produced peer-</w:t>
      </w:r>
      <w:r w:rsidR="00D87CEB" w:rsidRPr="00630AA3">
        <w:t xml:space="preserve">reviewed </w:t>
      </w:r>
      <w:r w:rsidR="00897332" w:rsidRPr="00630AA3">
        <w:t>publications on this aspect</w:t>
      </w:r>
      <w:r w:rsidR="00CE2617" w:rsidRPr="00630AA3">
        <w:t>.</w:t>
      </w:r>
    </w:p>
    <w:p w14:paraId="6CCE506D" w14:textId="16A43C0F" w:rsidR="003F2963" w:rsidRPr="00630AA3" w:rsidRDefault="00897332" w:rsidP="0064044A">
      <w:pPr>
        <w:pStyle w:val="ANorm"/>
        <w:spacing w:after="200"/>
      </w:pPr>
      <w:r w:rsidRPr="00630AA3">
        <w:t>However, their routinely collected</w:t>
      </w:r>
      <w:r w:rsidR="004B7F70" w:rsidRPr="00630AA3">
        <w:t xml:space="preserve"> data</w:t>
      </w:r>
      <w:r w:rsidR="00CC208C" w:rsidRPr="00630AA3">
        <w:t xml:space="preserve"> show</w:t>
      </w:r>
      <w:r w:rsidR="00D36CCC" w:rsidRPr="00630AA3">
        <w:t xml:space="preserve"> </w:t>
      </w:r>
      <w:r w:rsidR="00CC208C" w:rsidRPr="00630AA3">
        <w:t xml:space="preserve">reduction </w:t>
      </w:r>
      <w:r w:rsidR="00D36CCC" w:rsidRPr="00630AA3">
        <w:t xml:space="preserve">trends </w:t>
      </w:r>
      <w:r w:rsidR="00CC208C" w:rsidRPr="00630AA3">
        <w:t>in psychological distress</w:t>
      </w:r>
      <w:r w:rsidR="00453118" w:rsidRPr="00630AA3">
        <w:t xml:space="preserve"> (K10)</w:t>
      </w:r>
      <w:r w:rsidR="00CC208C" w:rsidRPr="00630AA3">
        <w:t>, depression</w:t>
      </w:r>
      <w:r w:rsidR="00453118" w:rsidRPr="00630AA3">
        <w:t xml:space="preserve"> (PHQ-9)</w:t>
      </w:r>
      <w:r w:rsidR="00CC208C" w:rsidRPr="00630AA3">
        <w:t xml:space="preserve"> and anxiety</w:t>
      </w:r>
      <w:r w:rsidR="00453118" w:rsidRPr="00630AA3">
        <w:t xml:space="preserve"> (GAD-7) (Table 1</w:t>
      </w:r>
      <w:r w:rsidR="00091A74">
        <w:t>7</w:t>
      </w:r>
      <w:r w:rsidR="00453118" w:rsidRPr="00630AA3">
        <w:t>, rows</w:t>
      </w:r>
      <w:r w:rsidR="007E6A1F" w:rsidRPr="00630AA3">
        <w:t xml:space="preserve"> 4-6)</w:t>
      </w:r>
      <w:r w:rsidR="00CC208C" w:rsidRPr="00630AA3">
        <w:t xml:space="preserve">. </w:t>
      </w:r>
      <w:r w:rsidR="00520216" w:rsidRPr="00630AA3">
        <w:t>Effect sizes cannot be estimated for t</w:t>
      </w:r>
      <w:r w:rsidR="00CC208C" w:rsidRPr="00630AA3">
        <w:t xml:space="preserve">hese </w:t>
      </w:r>
      <w:r w:rsidR="001B16B5" w:rsidRPr="00630AA3">
        <w:t>data</w:t>
      </w:r>
      <w:r w:rsidR="00CC208C" w:rsidRPr="00630AA3">
        <w:t xml:space="preserve"> </w:t>
      </w:r>
      <w:r w:rsidR="001B16B5" w:rsidRPr="00630AA3">
        <w:t>beca</w:t>
      </w:r>
      <w:r w:rsidR="00833CB4" w:rsidRPr="00630AA3">
        <w:t xml:space="preserve">use the pre-treatment scores </w:t>
      </w:r>
      <w:r w:rsidR="00453118" w:rsidRPr="00630AA3">
        <w:t xml:space="preserve">are for all consumers who provided these data </w:t>
      </w:r>
      <w:r w:rsidR="007F7902" w:rsidRPr="00630AA3">
        <w:t>(N</w:t>
      </w:r>
      <w:r w:rsidR="0055447B" w:rsidRPr="00630AA3">
        <w:t>=</w:t>
      </w:r>
      <w:r w:rsidR="007F7902" w:rsidRPr="00630AA3">
        <w:t xml:space="preserve">1,350) </w:t>
      </w:r>
      <w:r w:rsidR="00453118" w:rsidRPr="00630AA3">
        <w:t xml:space="preserve">and not specifically </w:t>
      </w:r>
      <w:r w:rsidR="00833CB4" w:rsidRPr="00630AA3">
        <w:t xml:space="preserve">for the subgroup </w:t>
      </w:r>
      <w:r w:rsidR="00095FBF" w:rsidRPr="00630AA3">
        <w:t>w</w:t>
      </w:r>
      <w:r w:rsidR="00453118" w:rsidRPr="00630AA3">
        <w:t>ho provided</w:t>
      </w:r>
      <w:r w:rsidR="00095FBF" w:rsidRPr="00630AA3">
        <w:t xml:space="preserve"> post-treatment scores</w:t>
      </w:r>
      <w:r w:rsidR="007F7902" w:rsidRPr="00630AA3">
        <w:t xml:space="preserve"> (n</w:t>
      </w:r>
      <w:r w:rsidR="0055447B" w:rsidRPr="00630AA3">
        <w:t>=</w:t>
      </w:r>
      <w:r w:rsidR="007F7902" w:rsidRPr="00630AA3">
        <w:t>600)</w:t>
      </w:r>
      <w:r w:rsidR="00453118" w:rsidRPr="00630AA3">
        <w:t>.</w:t>
      </w:r>
    </w:p>
    <w:p w14:paraId="5E49DF0B" w14:textId="35EDF476" w:rsidR="000B0165" w:rsidRDefault="003F2963" w:rsidP="0064044A">
      <w:pPr>
        <w:pStyle w:val="ANorm"/>
        <w:spacing w:after="200"/>
      </w:pPr>
      <w:r w:rsidRPr="00630AA3">
        <w:t xml:space="preserve">These findings should be interpreted in the context that around one-third of consumers enrolled in self-directed </w:t>
      </w:r>
      <w:proofErr w:type="spellStart"/>
      <w:r w:rsidRPr="00630AA3">
        <w:t>MindSpot</w:t>
      </w:r>
      <w:proofErr w:type="spellEnd"/>
      <w:r w:rsidRPr="00630AA3">
        <w:t xml:space="preserve"> treatment end up </w:t>
      </w:r>
      <w:r w:rsidR="000F1661" w:rsidRPr="00630AA3">
        <w:t xml:space="preserve">receiving </w:t>
      </w:r>
      <w:r w:rsidRPr="00630AA3">
        <w:t>therapist support</w:t>
      </w:r>
      <w:r w:rsidR="0009696D" w:rsidRPr="00630AA3">
        <w:t xml:space="preserve"> (N. </w:t>
      </w:r>
      <w:proofErr w:type="spellStart"/>
      <w:r w:rsidR="0009696D" w:rsidRPr="00630AA3">
        <w:t>Titov</w:t>
      </w:r>
      <w:proofErr w:type="spellEnd"/>
      <w:r w:rsidR="0009696D" w:rsidRPr="00630AA3">
        <w:t xml:space="preserve">, personal communication, </w:t>
      </w:r>
      <w:r w:rsidR="0050082E" w:rsidRPr="00630AA3">
        <w:t>15 March</w:t>
      </w:r>
      <w:r w:rsidR="0082306A" w:rsidRPr="00630AA3">
        <w:t xml:space="preserve"> 2022</w:t>
      </w:r>
      <w:r w:rsidR="0009696D" w:rsidRPr="00630AA3">
        <w:t>)</w:t>
      </w:r>
      <w:r w:rsidRPr="00630AA3">
        <w:t>.</w:t>
      </w:r>
    </w:p>
    <w:p w14:paraId="53EF6F67" w14:textId="3DAFD5A7" w:rsidR="009507E7" w:rsidRPr="00300E82" w:rsidRDefault="000B0165" w:rsidP="00C022AA">
      <w:pPr>
        <w:pStyle w:val="Heading3"/>
        <w:numPr>
          <w:ilvl w:val="2"/>
          <w:numId w:val="136"/>
        </w:numPr>
      </w:pPr>
      <w:r>
        <w:t xml:space="preserve">Comparing </w:t>
      </w:r>
      <w:r w:rsidR="00E61521">
        <w:t xml:space="preserve">trends in </w:t>
      </w:r>
      <w:r>
        <w:t>therapist-guided and self-directed treatment outcomes</w:t>
      </w:r>
    </w:p>
    <w:p w14:paraId="6AB847A8" w14:textId="5773DF2F" w:rsidR="00B23F01" w:rsidRPr="007F1913" w:rsidRDefault="00B23F01" w:rsidP="00C022AA">
      <w:pPr>
        <w:pStyle w:val="ANorm"/>
        <w:spacing w:after="120"/>
      </w:pPr>
      <w:r w:rsidRPr="009C4942">
        <w:t xml:space="preserve">Figure </w:t>
      </w:r>
      <w:r w:rsidR="00CE7ECC" w:rsidRPr="009C4942">
        <w:t>11</w:t>
      </w:r>
      <w:r w:rsidRPr="009C4942">
        <w:t xml:space="preserve"> </w:t>
      </w:r>
      <w:r w:rsidR="005839EE">
        <w:t xml:space="preserve">compares </w:t>
      </w:r>
      <w:r w:rsidR="004A6CED" w:rsidRPr="009C4942">
        <w:t xml:space="preserve">therapist-guided and self-directed </w:t>
      </w:r>
      <w:r w:rsidR="006D184D" w:rsidRPr="009C4942">
        <w:t>mean K10, PHQ-9 and GAD-</w:t>
      </w:r>
      <w:r w:rsidR="006D184D" w:rsidRPr="002F7061">
        <w:t>7 mean scores</w:t>
      </w:r>
      <w:r w:rsidR="00055583">
        <w:t>, and 95% C</w:t>
      </w:r>
      <w:r w:rsidR="00D87CEB">
        <w:t>I</w:t>
      </w:r>
      <w:r w:rsidR="00055583">
        <w:t>s,</w:t>
      </w:r>
      <w:r w:rsidR="004A6CED" w:rsidRPr="002F7061">
        <w:t xml:space="preserve"> </w:t>
      </w:r>
      <w:r w:rsidR="003A3A4E">
        <w:t>at baseline, post-</w:t>
      </w:r>
      <w:proofErr w:type="gramStart"/>
      <w:r w:rsidR="003A3A4E">
        <w:t>treatment</w:t>
      </w:r>
      <w:proofErr w:type="gramEnd"/>
      <w:r w:rsidR="003A3A4E">
        <w:t xml:space="preserve"> and 3-month post-treatment </w:t>
      </w:r>
      <w:r w:rsidR="004A6CED" w:rsidRPr="002F7061">
        <w:t xml:space="preserve">for the July to December 2020 period. </w:t>
      </w:r>
      <w:r w:rsidRPr="002F7061">
        <w:t>The</w:t>
      </w:r>
      <w:r w:rsidR="004A6CED" w:rsidRPr="002F7061">
        <w:t>se</w:t>
      </w:r>
      <w:r w:rsidRPr="002F7061">
        <w:t xml:space="preserve"> figure</w:t>
      </w:r>
      <w:r w:rsidR="004A6CED" w:rsidRPr="002F7061">
        <w:t>s</w:t>
      </w:r>
      <w:r w:rsidRPr="002F7061">
        <w:t xml:space="preserve"> show that a</w:t>
      </w:r>
      <w:r w:rsidR="004A6CED" w:rsidRPr="002F7061">
        <w:t>t</w:t>
      </w:r>
      <w:r w:rsidRPr="002F7061">
        <w:t xml:space="preserve"> baseline, those who enrol in therapist-guided treatme</w:t>
      </w:r>
      <w:r w:rsidR="004A6CED" w:rsidRPr="002F7061">
        <w:t>n</w:t>
      </w:r>
      <w:r w:rsidRPr="002F7061">
        <w:t xml:space="preserve">t have significantly higher </w:t>
      </w:r>
      <w:r w:rsidR="004A6CED" w:rsidRPr="002F7061">
        <w:t xml:space="preserve">K10, </w:t>
      </w:r>
      <w:r w:rsidRPr="002F7061">
        <w:t>PHQ-9</w:t>
      </w:r>
      <w:r w:rsidR="00FE153B">
        <w:t xml:space="preserve"> </w:t>
      </w:r>
      <w:r w:rsidR="00FE153B" w:rsidRPr="002F7061">
        <w:t xml:space="preserve">and </w:t>
      </w:r>
      <w:r w:rsidRPr="002F7061">
        <w:t xml:space="preserve">GAD-7 scores than those who enrol in self-directed treatment. </w:t>
      </w:r>
      <w:r w:rsidRPr="007F1913">
        <w:t xml:space="preserve">All </w:t>
      </w:r>
      <w:r w:rsidR="003C2755" w:rsidRPr="007F1913">
        <w:t xml:space="preserve">mean </w:t>
      </w:r>
      <w:r w:rsidRPr="007F1913">
        <w:t>outcome</w:t>
      </w:r>
      <w:r w:rsidR="003C2755" w:rsidRPr="007F1913">
        <w:t xml:space="preserve"> scores</w:t>
      </w:r>
      <w:r w:rsidRPr="007F1913">
        <w:t xml:space="preserve"> post self-directed treatment are significantly lower</w:t>
      </w:r>
      <w:r w:rsidR="007F1913" w:rsidRPr="007F1913">
        <w:t xml:space="preserve"> (better)</w:t>
      </w:r>
      <w:r w:rsidRPr="007F1913">
        <w:t xml:space="preserve"> than the baseline </w:t>
      </w:r>
      <w:r w:rsidR="007F1913" w:rsidRPr="007F1913">
        <w:t xml:space="preserve">mean </w:t>
      </w:r>
      <w:r w:rsidRPr="007F1913">
        <w:t>outcomes</w:t>
      </w:r>
      <w:r w:rsidR="007F1913" w:rsidRPr="007F1913">
        <w:t xml:space="preserve"> scores</w:t>
      </w:r>
      <w:r w:rsidRPr="007F1913">
        <w:t xml:space="preserve"> and </w:t>
      </w:r>
      <w:proofErr w:type="gramStart"/>
      <w:r w:rsidRPr="007F1913">
        <w:t>similar to</w:t>
      </w:r>
      <w:proofErr w:type="gramEnd"/>
      <w:r w:rsidRPr="007F1913">
        <w:t xml:space="preserve"> those for post therapist-guided treatment. </w:t>
      </w:r>
      <w:r w:rsidR="007F1913" w:rsidRPr="007F1913">
        <w:t>Mean o</w:t>
      </w:r>
      <w:r w:rsidRPr="007F1913">
        <w:t>utcome</w:t>
      </w:r>
      <w:r w:rsidR="007F1913" w:rsidRPr="007F1913">
        <w:t xml:space="preserve"> scores</w:t>
      </w:r>
      <w:r w:rsidRPr="007F1913">
        <w:t xml:space="preserve"> for 3</w:t>
      </w:r>
      <w:r w:rsidR="007F1913" w:rsidRPr="007F1913">
        <w:t>-</w:t>
      </w:r>
      <w:r w:rsidRPr="007F1913">
        <w:t xml:space="preserve">month post self-directed treatment tended to be lower again, and not significantly different from </w:t>
      </w:r>
      <w:r w:rsidR="007F1913" w:rsidRPr="007F1913">
        <w:t xml:space="preserve">mean </w:t>
      </w:r>
      <w:r w:rsidRPr="007F1913">
        <w:t>outcome</w:t>
      </w:r>
      <w:r w:rsidR="007F1913" w:rsidRPr="007F1913">
        <w:t xml:space="preserve"> </w:t>
      </w:r>
      <w:r w:rsidRPr="007F1913">
        <w:t>s</w:t>
      </w:r>
      <w:r w:rsidR="007F1913" w:rsidRPr="007F1913">
        <w:t>cores</w:t>
      </w:r>
      <w:r w:rsidRPr="007F1913">
        <w:t xml:space="preserve"> 3 month</w:t>
      </w:r>
      <w:r w:rsidR="002F7061" w:rsidRPr="007F1913">
        <w:t>s</w:t>
      </w:r>
      <w:r w:rsidRPr="007F1913">
        <w:t xml:space="preserve"> post therapist-guided treatment.</w:t>
      </w:r>
      <w:r w:rsidR="00D710A8">
        <w:t xml:space="preserve"> </w:t>
      </w:r>
      <w:r w:rsidR="00223B9E" w:rsidRPr="00CD41F7">
        <w:t>However, as previously mentioned</w:t>
      </w:r>
      <w:r w:rsidR="00147334" w:rsidRPr="00CD41F7">
        <w:t>, we used aggregate data with</w:t>
      </w:r>
      <w:r w:rsidR="00223B9E" w:rsidRPr="00CD41F7">
        <w:t xml:space="preserve"> </w:t>
      </w:r>
      <w:r w:rsidR="00B66B9E" w:rsidRPr="00CD41F7">
        <w:t xml:space="preserve">different </w:t>
      </w:r>
      <w:r w:rsidR="00223B9E" w:rsidRPr="00CD41F7">
        <w:t>sample sizes across time</w:t>
      </w:r>
      <w:r w:rsidR="00A21737" w:rsidRPr="00CD41F7">
        <w:t xml:space="preserve"> – from 2,484 as baseline to 1,434 at post-treatment and 793 at three-month follow-up for those enrolled in therapist-supported treatment, and from 532 at baseline to 231 at post-treatment and 134 at three-month follow-up for those enrolled in self-directed treatment. This </w:t>
      </w:r>
      <w:r w:rsidR="00223B9E" w:rsidRPr="00CD41F7">
        <w:t>mean</w:t>
      </w:r>
      <w:r w:rsidR="00A21737" w:rsidRPr="00CD41F7">
        <w:t>s</w:t>
      </w:r>
      <w:r w:rsidR="00223B9E" w:rsidRPr="00CD41F7">
        <w:t xml:space="preserve"> we cannot be certain that those for whom we had post-treatment or three-month follow-up outcome data improved.</w:t>
      </w:r>
      <w:r w:rsidR="004E70E3" w:rsidRPr="00CD41F7">
        <w:t xml:space="preserve"> Having said that, </w:t>
      </w:r>
      <w:proofErr w:type="spellStart"/>
      <w:r w:rsidR="004E70E3" w:rsidRPr="00CD41F7">
        <w:t>MindSpot</w:t>
      </w:r>
      <w:proofErr w:type="spellEnd"/>
      <w:r w:rsidR="004E70E3" w:rsidRPr="00CD41F7">
        <w:t xml:space="preserve"> has previously published routinely collected data over seven years from 2013 to 2019 on the same group of consumers at each assessment point and demonstrated a clear improvement</w:t>
      </w:r>
      <w:r w:rsidR="007C6880" w:rsidRPr="00CD41F7">
        <w:t xml:space="preserve"> across measurement occasions</w:t>
      </w:r>
      <w:r w:rsidR="004E70E3" w:rsidRPr="00CD41F7">
        <w:t xml:space="preserve"> for therapist-supported treatment.</w:t>
      </w:r>
      <w:r w:rsidR="00B81CB1" w:rsidRPr="00CD41F7">
        <w:fldChar w:fldCharType="begin"/>
      </w:r>
      <w:r w:rsidR="004469A2">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00B81CB1" w:rsidRPr="00CD41F7">
        <w:fldChar w:fldCharType="separate"/>
      </w:r>
      <w:r w:rsidR="004469A2" w:rsidRPr="004469A2">
        <w:rPr>
          <w:noProof/>
          <w:vertAlign w:val="superscript"/>
        </w:rPr>
        <w:t>7</w:t>
      </w:r>
      <w:r w:rsidR="00B81CB1" w:rsidRPr="00CD41F7">
        <w:fldChar w:fldCharType="end"/>
      </w:r>
    </w:p>
    <w:p w14:paraId="77717C86" w14:textId="16175E66" w:rsidR="005D3091" w:rsidRDefault="005D3091" w:rsidP="000030EA">
      <w:pPr>
        <w:pStyle w:val="ANorm"/>
      </w:pPr>
      <w:r>
        <w:br w:type="page"/>
      </w:r>
    </w:p>
    <w:p w14:paraId="198D2874" w14:textId="77777777" w:rsidR="00CE2617" w:rsidRDefault="00CE2617" w:rsidP="0058768D">
      <w:pPr>
        <w:pStyle w:val="ANorm"/>
      </w:pPr>
    </w:p>
    <w:p w14:paraId="240D28EE" w14:textId="725A26FC" w:rsidR="00F06A5C" w:rsidRDefault="0098211C" w:rsidP="0058768D">
      <w:pPr>
        <w:pStyle w:val="ANorm"/>
        <w:jc w:val="center"/>
        <w:rPr>
          <w:highlight w:val="yellow"/>
        </w:rPr>
      </w:pPr>
      <w:r w:rsidRPr="0098211C">
        <w:rPr>
          <w:noProof/>
          <w:lang w:eastAsia="en-AU"/>
        </w:rPr>
        <w:drawing>
          <wp:inline distT="0" distB="0" distL="0" distR="0" wp14:anchorId="5240DCED" wp14:editId="1D68406C">
            <wp:extent cx="3352800" cy="2438400"/>
            <wp:effectExtent l="0" t="0" r="0" b="0"/>
            <wp:docPr id="15" name="Picture 15"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pplication&#10;&#10;Description automatically generated with low confidence"/>
                    <pic:cNvPicPr/>
                  </pic:nvPicPr>
                  <pic:blipFill>
                    <a:blip r:embed="rId44"/>
                    <a:stretch>
                      <a:fillRect/>
                    </a:stretch>
                  </pic:blipFill>
                  <pic:spPr>
                    <a:xfrm>
                      <a:off x="0" y="0"/>
                      <a:ext cx="3352800" cy="2438400"/>
                    </a:xfrm>
                    <a:prstGeom prst="rect">
                      <a:avLst/>
                    </a:prstGeom>
                  </pic:spPr>
                </pic:pic>
              </a:graphicData>
            </a:graphic>
          </wp:inline>
        </w:drawing>
      </w:r>
    </w:p>
    <w:p w14:paraId="06BD763E" w14:textId="77777777" w:rsidR="00F06A5C" w:rsidRDefault="00F06A5C" w:rsidP="0058768D">
      <w:pPr>
        <w:pStyle w:val="ANorm"/>
        <w:rPr>
          <w:highlight w:val="yellow"/>
        </w:rPr>
      </w:pPr>
    </w:p>
    <w:p w14:paraId="3481C9B6" w14:textId="43080061" w:rsidR="00F06A5C" w:rsidRDefault="00F06A5C" w:rsidP="0058768D">
      <w:pPr>
        <w:pStyle w:val="ANorm"/>
        <w:jc w:val="center"/>
        <w:rPr>
          <w:highlight w:val="yellow"/>
        </w:rPr>
      </w:pPr>
      <w:r w:rsidRPr="00F06A5C">
        <w:rPr>
          <w:noProof/>
          <w:lang w:eastAsia="en-AU"/>
        </w:rPr>
        <w:drawing>
          <wp:inline distT="0" distB="0" distL="0" distR="0" wp14:anchorId="2503567E" wp14:editId="0C19DDAB">
            <wp:extent cx="3352800" cy="2438400"/>
            <wp:effectExtent l="0" t="0" r="0" b="0"/>
            <wp:docPr id="16" name="Picture 16" descr="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pplication&#10;&#10;Description automatically generated with medium confidence"/>
                    <pic:cNvPicPr/>
                  </pic:nvPicPr>
                  <pic:blipFill>
                    <a:blip r:embed="rId45"/>
                    <a:stretch>
                      <a:fillRect/>
                    </a:stretch>
                  </pic:blipFill>
                  <pic:spPr>
                    <a:xfrm>
                      <a:off x="0" y="0"/>
                      <a:ext cx="3352800" cy="2438400"/>
                    </a:xfrm>
                    <a:prstGeom prst="rect">
                      <a:avLst/>
                    </a:prstGeom>
                  </pic:spPr>
                </pic:pic>
              </a:graphicData>
            </a:graphic>
          </wp:inline>
        </w:drawing>
      </w:r>
    </w:p>
    <w:p w14:paraId="6A80FEF6" w14:textId="77777777" w:rsidR="00F06A5C" w:rsidRDefault="00F06A5C" w:rsidP="0058768D">
      <w:pPr>
        <w:pStyle w:val="ANorm"/>
        <w:rPr>
          <w:highlight w:val="yellow"/>
        </w:rPr>
      </w:pPr>
    </w:p>
    <w:p w14:paraId="40376593" w14:textId="7F34B728" w:rsidR="00F06A5C" w:rsidRDefault="002E59AD" w:rsidP="0058768D">
      <w:pPr>
        <w:pStyle w:val="ANorm"/>
        <w:jc w:val="center"/>
        <w:rPr>
          <w:highlight w:val="yellow"/>
        </w:rPr>
      </w:pPr>
      <w:r w:rsidRPr="002E59AD">
        <w:rPr>
          <w:noProof/>
          <w:lang w:eastAsia="en-AU"/>
        </w:rPr>
        <w:drawing>
          <wp:inline distT="0" distB="0" distL="0" distR="0" wp14:anchorId="24636FEC" wp14:editId="48D12121">
            <wp:extent cx="3352800" cy="2438400"/>
            <wp:effectExtent l="0" t="0" r="0" b="0"/>
            <wp:docPr id="17" name="Picture 17" descr="Charts describing Therapist -guided and self-directed baseline, post-treatment and 3-month post-treatment K10, PHQ-9 and GAD-7 mean scores, and 95% CIs, for MindSpot consumers, July – December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s describing Therapist -guided and self-directed baseline, post-treatment and 3-month post-treatment K10, PHQ-9 and GAD-7 mean scores, and 95% CIs, for MindSpot consumers, July – December 2020."/>
                    <pic:cNvPicPr/>
                  </pic:nvPicPr>
                  <pic:blipFill>
                    <a:blip r:embed="rId46"/>
                    <a:stretch>
                      <a:fillRect/>
                    </a:stretch>
                  </pic:blipFill>
                  <pic:spPr>
                    <a:xfrm>
                      <a:off x="0" y="0"/>
                      <a:ext cx="3352800" cy="2438400"/>
                    </a:xfrm>
                    <a:prstGeom prst="rect">
                      <a:avLst/>
                    </a:prstGeom>
                  </pic:spPr>
                </pic:pic>
              </a:graphicData>
            </a:graphic>
          </wp:inline>
        </w:drawing>
      </w:r>
    </w:p>
    <w:p w14:paraId="0E987F6D" w14:textId="6B401B7D" w:rsidR="00CB6757" w:rsidRDefault="00CB6757" w:rsidP="003D1CA1">
      <w:pPr>
        <w:pStyle w:val="tableheading"/>
      </w:pPr>
      <w:r w:rsidRPr="009C4942">
        <w:t xml:space="preserve">Figure </w:t>
      </w:r>
      <w:r w:rsidR="00CE7ECC" w:rsidRPr="009C4942">
        <w:t>11</w:t>
      </w:r>
      <w:r w:rsidRPr="009C4942">
        <w:t xml:space="preserve">. </w:t>
      </w:r>
      <w:r w:rsidR="00DC4AB7" w:rsidRPr="009C4942">
        <w:t>Therapist -guided and self-directed baseline, post-</w:t>
      </w:r>
      <w:proofErr w:type="gramStart"/>
      <w:r w:rsidR="00DC4AB7" w:rsidRPr="009C4942">
        <w:t>treatment</w:t>
      </w:r>
      <w:proofErr w:type="gramEnd"/>
      <w:r w:rsidR="00DC4AB7" w:rsidRPr="009C4942">
        <w:t xml:space="preserve"> and 3-month post-treatment</w:t>
      </w:r>
      <w:r w:rsidR="00DC4AB7" w:rsidRPr="00CE7ECC">
        <w:t xml:space="preserve"> </w:t>
      </w:r>
      <w:r w:rsidR="00D710A8" w:rsidRPr="00CE7ECC">
        <w:t>K10, PHQ-</w:t>
      </w:r>
      <w:r w:rsidR="00D710A8">
        <w:t xml:space="preserve">9 and </w:t>
      </w:r>
      <w:r w:rsidR="00DC4AB7">
        <w:t xml:space="preserve">GAD-7 </w:t>
      </w:r>
      <w:r w:rsidR="00DC4AB7" w:rsidRPr="002F7061">
        <w:t>mean scores</w:t>
      </w:r>
      <w:r w:rsidR="00DC4AB7">
        <w:t xml:space="preserve">, and 95% CIs, for </w:t>
      </w:r>
      <w:proofErr w:type="spellStart"/>
      <w:r w:rsidR="00DC4AB7">
        <w:t>MindSpot</w:t>
      </w:r>
      <w:proofErr w:type="spellEnd"/>
      <w:r w:rsidR="00DC4AB7">
        <w:t xml:space="preserve"> consumers,</w:t>
      </w:r>
      <w:r w:rsidR="00DC4AB7" w:rsidRPr="002F7061">
        <w:t xml:space="preserve"> July</w:t>
      </w:r>
      <w:r w:rsidR="00DC4AB7">
        <w:t xml:space="preserve"> – </w:t>
      </w:r>
      <w:r w:rsidR="00DC4AB7" w:rsidRPr="002F7061">
        <w:t>December 2020</w:t>
      </w:r>
      <w:r w:rsidR="00DC4AB7">
        <w:t>.</w:t>
      </w:r>
    </w:p>
    <w:p w14:paraId="32DDD263" w14:textId="4417C64D" w:rsidR="0062328C" w:rsidRPr="007E4BF5" w:rsidRDefault="0062328C" w:rsidP="007E4BF5">
      <w:pPr>
        <w:pStyle w:val="ANorm"/>
        <w:rPr>
          <w:sz w:val="16"/>
          <w:szCs w:val="16"/>
        </w:rPr>
      </w:pPr>
      <w:r w:rsidRPr="007E4BF5">
        <w:rPr>
          <w:sz w:val="16"/>
          <w:szCs w:val="16"/>
        </w:rPr>
        <w:t>Note. Therapist-guided: baseline N=</w:t>
      </w:r>
      <w:r w:rsidR="00D912D4">
        <w:rPr>
          <w:sz w:val="16"/>
          <w:szCs w:val="16"/>
        </w:rPr>
        <w:t>2,484</w:t>
      </w:r>
      <w:r w:rsidRPr="007E4BF5">
        <w:rPr>
          <w:sz w:val="16"/>
          <w:szCs w:val="16"/>
        </w:rPr>
        <w:t>, post-treatment n=</w:t>
      </w:r>
      <w:r w:rsidR="00CE7ECC">
        <w:rPr>
          <w:sz w:val="16"/>
          <w:szCs w:val="16"/>
        </w:rPr>
        <w:t>1,434</w:t>
      </w:r>
      <w:r w:rsidRPr="007E4BF5">
        <w:rPr>
          <w:sz w:val="16"/>
          <w:szCs w:val="16"/>
        </w:rPr>
        <w:t xml:space="preserve"> and three-month post-treatment n=</w:t>
      </w:r>
      <w:r w:rsidR="00CE7ECC">
        <w:rPr>
          <w:sz w:val="16"/>
          <w:szCs w:val="16"/>
        </w:rPr>
        <w:t>793</w:t>
      </w:r>
      <w:r w:rsidR="007E4BF5" w:rsidRPr="007E4BF5">
        <w:rPr>
          <w:sz w:val="16"/>
          <w:szCs w:val="16"/>
        </w:rPr>
        <w:t xml:space="preserve">. </w:t>
      </w:r>
      <w:r w:rsidRPr="007E4BF5">
        <w:rPr>
          <w:sz w:val="16"/>
          <w:szCs w:val="16"/>
        </w:rPr>
        <w:t>Self-directed: baseline N=</w:t>
      </w:r>
      <w:r w:rsidR="007E4BF5" w:rsidRPr="007E4BF5">
        <w:rPr>
          <w:sz w:val="16"/>
          <w:szCs w:val="16"/>
        </w:rPr>
        <w:t xml:space="preserve"> 542</w:t>
      </w:r>
      <w:r w:rsidRPr="007E4BF5">
        <w:rPr>
          <w:sz w:val="16"/>
          <w:szCs w:val="16"/>
        </w:rPr>
        <w:t>, post-treatment n=</w:t>
      </w:r>
      <w:r w:rsidR="007E4BF5" w:rsidRPr="007E4BF5">
        <w:rPr>
          <w:sz w:val="16"/>
          <w:szCs w:val="16"/>
        </w:rPr>
        <w:t>231</w:t>
      </w:r>
      <w:r w:rsidRPr="007E4BF5">
        <w:rPr>
          <w:sz w:val="16"/>
          <w:szCs w:val="16"/>
        </w:rPr>
        <w:t xml:space="preserve"> and three-month post-treatment n=</w:t>
      </w:r>
      <w:r w:rsidR="007E4BF5" w:rsidRPr="007E4BF5">
        <w:rPr>
          <w:sz w:val="16"/>
          <w:szCs w:val="16"/>
        </w:rPr>
        <w:t>134</w:t>
      </w:r>
    </w:p>
    <w:p w14:paraId="0140D9F3" w14:textId="77777777" w:rsidR="00E87022" w:rsidRDefault="00E87022" w:rsidP="0058768D">
      <w:pPr>
        <w:pStyle w:val="Heading3"/>
        <w:numPr>
          <w:ilvl w:val="0"/>
          <w:numId w:val="0"/>
        </w:numPr>
      </w:pPr>
      <w:r>
        <w:br w:type="page"/>
      </w:r>
    </w:p>
    <w:p w14:paraId="4EA22F18" w14:textId="3EA3438D" w:rsidR="00673AB3" w:rsidRDefault="00997844" w:rsidP="00614DE2">
      <w:pPr>
        <w:pStyle w:val="Heading3"/>
        <w:numPr>
          <w:ilvl w:val="2"/>
          <w:numId w:val="136"/>
        </w:numPr>
      </w:pPr>
      <w:r w:rsidRPr="0050082E">
        <w:lastRenderedPageBreak/>
        <w:t>Predictors of mental health</w:t>
      </w:r>
      <w:r w:rsidR="004F6DE3" w:rsidRPr="0050082E">
        <w:t xml:space="preserve"> </w:t>
      </w:r>
      <w:r w:rsidRPr="0050082E">
        <w:t>outcomes</w:t>
      </w:r>
    </w:p>
    <w:p w14:paraId="0E60E519" w14:textId="720A3A3E" w:rsidR="009023FB" w:rsidRPr="0058768D" w:rsidRDefault="002C725B" w:rsidP="00C022AA">
      <w:pPr>
        <w:pStyle w:val="ANorm"/>
        <w:spacing w:after="240"/>
        <w:rPr>
          <w:rFonts w:cs="Calibri"/>
          <w:color w:val="000000"/>
        </w:rPr>
      </w:pPr>
      <w:r w:rsidRPr="007A14EE">
        <w:t xml:space="preserve">The </w:t>
      </w:r>
      <w:r w:rsidR="009023FB" w:rsidRPr="007A14EE">
        <w:t xml:space="preserve">previously mentioned study by Cross </w:t>
      </w:r>
      <w:r w:rsidR="0065750D">
        <w:t>et al</w:t>
      </w:r>
      <w:r w:rsidR="009023FB" w:rsidRPr="007A14EE">
        <w:t xml:space="preserve"> (2022), which explored predictors of uptake and completion,</w:t>
      </w:r>
      <w:r w:rsidR="006311C1" w:rsidRPr="007A14EE">
        <w:t xml:space="preserve"> also examined predictors of </w:t>
      </w:r>
      <w:r w:rsidR="00032990">
        <w:t xml:space="preserve">therapist-supported </w:t>
      </w:r>
      <w:r w:rsidR="006311C1" w:rsidRPr="007A14EE">
        <w:t>treatment outcome.</w:t>
      </w:r>
      <w:r w:rsidR="00B81CB1">
        <w:fldChar w:fldCharType="begin"/>
      </w:r>
      <w:r w:rsidR="004469A2">
        <w:instrText xml:space="preserve"> ADDIN EN.CITE &lt;EndNote&gt;&lt;Cite&gt;&lt;Author&gt;Cross&lt;/Author&gt;&lt;Year&gt;2022&lt;/Year&gt;&lt;RecNum&gt;136&lt;/RecNum&gt;&lt;DisplayText&gt;&lt;style face="superscript"&gt;48&lt;/style&gt;&lt;/DisplayText&gt;&lt;record&gt;&lt;rec-number&gt;136&lt;/rec-number&gt;&lt;foreign-keys&gt;&lt;key app="EN" db-id="dawtr0zrkrzfa5edzzlpe2we0xa00t90vvr2" timestamp="1650339654"&gt;136&lt;/key&gt;&lt;/foreign-keys&gt;&lt;ref-type name="Journal Article"&gt;17&lt;/ref-type&gt;&lt;contributors&gt;&lt;authors&gt;&lt;author&gt;Cross, Shane P.&lt;/author&gt;&lt;author&gt;Karin, Eyal&lt;/author&gt;&lt;author&gt;Staples, Lauren G.&lt;/author&gt;&lt;author&gt;Bisby, Madelyne A.&lt;/author&gt;&lt;author&gt;Ryan, Katie&lt;/author&gt;&lt;author&gt;Duke, Georgia&lt;/author&gt;&lt;author&gt;Nielssen, Olav&lt;/author&gt;&lt;author&gt;Kayrouz, Rony&lt;/author&gt;&lt;author&gt;Fisher, Alana&lt;/author&gt;&lt;author&gt;Dear, Blake F.&lt;/author&gt;&lt;author&gt;Titov, Nickolai&lt;/author&gt;&lt;/authors&gt;&lt;/contributors&gt;&lt;titles&gt;&lt;title&gt;Factors associated with treatment uptake, completion, and subsequent symptom improvement in a national digital mental health service&lt;/title&gt;&lt;secondary-title&gt;Internet Interventions&lt;/secondary-title&gt;&lt;/titles&gt;&lt;periodical&gt;&lt;full-title&gt;Internet Interventions&lt;/full-title&gt;&lt;/periodical&gt;&lt;pages&gt;100506&lt;/pages&gt;&lt;volume&gt;27&lt;/volume&gt;&lt;keywords&gt;&lt;keyword&gt;Digital mental health service&lt;/keyword&gt;&lt;keyword&gt;Assessment&lt;/keyword&gt;&lt;keyword&gt;Internet-delivered cognitive behavioural treatment (iCBT)&lt;/keyword&gt;&lt;keyword&gt;Treatment engagement&lt;/keyword&gt;&lt;keyword&gt;Treatment burden&lt;/keyword&gt;&lt;keyword&gt;Outcomes&lt;/keyword&gt;&lt;/keywords&gt;&lt;dates&gt;&lt;year&gt;2022&lt;/year&gt;&lt;pub-dates&gt;&lt;date&gt;2022/03/01/&lt;/date&gt;&lt;/pub-dates&gt;&lt;/dates&gt;&lt;isbn&gt;2214-7829&lt;/isbn&gt;&lt;urls&gt;&lt;related-urls&gt;&lt;url&gt;https://www.sciencedirect.com/science/article/pii/S2214782922000136&lt;/url&gt;&lt;/related-urls&gt;&lt;/urls&gt;&lt;electronic-resource-num&gt;https://doi.org/10.1016/j.invent.2022.100506&lt;/electronic-resource-num&gt;&lt;/record&gt;&lt;/Cite&gt;&lt;/EndNote&gt;</w:instrText>
      </w:r>
      <w:r w:rsidR="00B81CB1">
        <w:fldChar w:fldCharType="separate"/>
      </w:r>
      <w:r w:rsidR="004469A2" w:rsidRPr="004469A2">
        <w:rPr>
          <w:noProof/>
          <w:vertAlign w:val="superscript"/>
        </w:rPr>
        <w:t>48</w:t>
      </w:r>
      <w:r w:rsidR="00B81CB1">
        <w:fldChar w:fldCharType="end"/>
      </w:r>
      <w:r w:rsidR="000A2CE4" w:rsidRPr="007A14EE">
        <w:t xml:space="preserve"> </w:t>
      </w:r>
      <w:r w:rsidR="007A14EE" w:rsidRPr="007A14EE">
        <w:t xml:space="preserve">This study reported </w:t>
      </w:r>
      <w:r w:rsidR="007A14EE" w:rsidRPr="007A14EE">
        <w:rPr>
          <w:rFonts w:cs="Calibri"/>
          <w:color w:val="000000"/>
        </w:rPr>
        <w:t>an</w:t>
      </w:r>
      <w:r w:rsidR="0000434D" w:rsidRPr="007A14EE">
        <w:rPr>
          <w:rFonts w:cs="Calibri"/>
          <w:color w:val="000000"/>
        </w:rPr>
        <w:t xml:space="preserve"> average rate of improvement </w:t>
      </w:r>
      <w:r w:rsidR="007A14EE" w:rsidRPr="007A14EE">
        <w:rPr>
          <w:rFonts w:cs="Calibri"/>
          <w:color w:val="000000"/>
        </w:rPr>
        <w:t xml:space="preserve">of </w:t>
      </w:r>
      <w:r w:rsidR="0000434D" w:rsidRPr="007A14EE">
        <w:rPr>
          <w:rFonts w:cs="Calibri"/>
          <w:color w:val="000000"/>
        </w:rPr>
        <w:t>45.8%</w:t>
      </w:r>
      <w:r w:rsidR="007A14EE" w:rsidRPr="007A14EE">
        <w:rPr>
          <w:rFonts w:cs="Calibri"/>
          <w:color w:val="000000"/>
        </w:rPr>
        <w:t>.</w:t>
      </w:r>
      <w:r w:rsidR="00B81CB1">
        <w:rPr>
          <w:rFonts w:cs="Calibri"/>
          <w:color w:val="000000"/>
        </w:rPr>
        <w:fldChar w:fldCharType="begin"/>
      </w:r>
      <w:r w:rsidR="004469A2">
        <w:rPr>
          <w:rFonts w:cs="Calibri"/>
          <w:color w:val="000000"/>
        </w:rPr>
        <w:instrText xml:space="preserve"> ADDIN EN.CITE &lt;EndNote&gt;&lt;Cite&gt;&lt;Author&gt;Cross&lt;/Author&gt;&lt;Year&gt;2022&lt;/Year&gt;&lt;RecNum&gt;136&lt;/RecNum&gt;&lt;DisplayText&gt;&lt;style face="superscript"&gt;48&lt;/style&gt;&lt;/DisplayText&gt;&lt;record&gt;&lt;rec-number&gt;136&lt;/rec-number&gt;&lt;foreign-keys&gt;&lt;key app="EN" db-id="dawtr0zrkrzfa5edzzlpe2we0xa00t90vvr2" timestamp="1650339654"&gt;136&lt;/key&gt;&lt;/foreign-keys&gt;&lt;ref-type name="Journal Article"&gt;17&lt;/ref-type&gt;&lt;contributors&gt;&lt;authors&gt;&lt;author&gt;Cross, Shane P.&lt;/author&gt;&lt;author&gt;Karin, Eyal&lt;/author&gt;&lt;author&gt;Staples, Lauren G.&lt;/author&gt;&lt;author&gt;Bisby, Madelyne A.&lt;/author&gt;&lt;author&gt;Ryan, Katie&lt;/author&gt;&lt;author&gt;Duke, Georgia&lt;/author&gt;&lt;author&gt;Nielssen, Olav&lt;/author&gt;&lt;author&gt;Kayrouz, Rony&lt;/author&gt;&lt;author&gt;Fisher, Alana&lt;/author&gt;&lt;author&gt;Dear, Blake F.&lt;/author&gt;&lt;author&gt;Titov, Nickolai&lt;/author&gt;&lt;/authors&gt;&lt;/contributors&gt;&lt;titles&gt;&lt;title&gt;Factors associated with treatment uptake, completion, and subsequent symptom improvement in a national digital mental health service&lt;/title&gt;&lt;secondary-title&gt;Internet Interventions&lt;/secondary-title&gt;&lt;/titles&gt;&lt;periodical&gt;&lt;full-title&gt;Internet Interventions&lt;/full-title&gt;&lt;/periodical&gt;&lt;pages&gt;100506&lt;/pages&gt;&lt;volume&gt;27&lt;/volume&gt;&lt;keywords&gt;&lt;keyword&gt;Digital mental health service&lt;/keyword&gt;&lt;keyword&gt;Assessment&lt;/keyword&gt;&lt;keyword&gt;Internet-delivered cognitive behavioural treatment (iCBT)&lt;/keyword&gt;&lt;keyword&gt;Treatment engagement&lt;/keyword&gt;&lt;keyword&gt;Treatment burden&lt;/keyword&gt;&lt;keyword&gt;Outcomes&lt;/keyword&gt;&lt;/keywords&gt;&lt;dates&gt;&lt;year&gt;2022&lt;/year&gt;&lt;pub-dates&gt;&lt;date&gt;2022/03/01/&lt;/date&gt;&lt;/pub-dates&gt;&lt;/dates&gt;&lt;isbn&gt;2214-7829&lt;/isbn&gt;&lt;urls&gt;&lt;related-urls&gt;&lt;url&gt;https://www.sciencedirect.com/science/article/pii/S2214782922000136&lt;/url&gt;&lt;/related-urls&gt;&lt;/urls&gt;&lt;electronic-resource-num&gt;https://doi.org/10.1016/j.invent.2022.100506&lt;/electronic-resource-num&gt;&lt;/record&gt;&lt;/Cite&gt;&lt;/EndNote&gt;</w:instrText>
      </w:r>
      <w:r w:rsidR="00B81CB1">
        <w:rPr>
          <w:rFonts w:cs="Calibri"/>
          <w:color w:val="000000"/>
        </w:rPr>
        <w:fldChar w:fldCharType="separate"/>
      </w:r>
      <w:r w:rsidR="004469A2" w:rsidRPr="004469A2">
        <w:rPr>
          <w:rFonts w:cs="Calibri"/>
          <w:noProof/>
          <w:color w:val="000000"/>
          <w:vertAlign w:val="superscript"/>
        </w:rPr>
        <w:t>48</w:t>
      </w:r>
      <w:r w:rsidR="00B81CB1">
        <w:rPr>
          <w:rFonts w:cs="Calibri"/>
          <w:color w:val="000000"/>
        </w:rPr>
        <w:fldChar w:fldCharType="end"/>
      </w:r>
    </w:p>
    <w:p w14:paraId="1B13B71C" w14:textId="05E984FC" w:rsidR="00C276C7" w:rsidRDefault="00C276C7" w:rsidP="00C022AA">
      <w:pPr>
        <w:pStyle w:val="ANorm"/>
        <w:spacing w:after="240"/>
      </w:pPr>
      <w:r>
        <w:t>The following consumer characteristics</w:t>
      </w:r>
      <w:r w:rsidR="0073241F">
        <w:t xml:space="preserve"> </w:t>
      </w:r>
      <w:r>
        <w:t xml:space="preserve">were positively associated with treatment </w:t>
      </w:r>
      <w:r w:rsidR="00020175">
        <w:t>outcomes</w:t>
      </w:r>
      <w:r>
        <w:t>:</w:t>
      </w:r>
    </w:p>
    <w:p w14:paraId="153836CB" w14:textId="7D69AA03" w:rsidR="009B409E" w:rsidRPr="001075B8" w:rsidRDefault="009B409E" w:rsidP="00C022AA">
      <w:pPr>
        <w:pStyle w:val="ANorm"/>
        <w:numPr>
          <w:ilvl w:val="0"/>
          <w:numId w:val="15"/>
        </w:numPr>
        <w:spacing w:after="240"/>
        <w:rPr>
          <w:rFonts w:cs="Calibri"/>
          <w:color w:val="000000"/>
        </w:rPr>
      </w:pPr>
      <w:r>
        <w:t>C</w:t>
      </w:r>
      <w:r w:rsidR="00697269">
        <w:t>urrent or past</w:t>
      </w:r>
      <w:r w:rsidR="00DC5AC3" w:rsidRPr="009D4B3B">
        <w:t xml:space="preserve"> relationship</w:t>
      </w:r>
      <w:r w:rsidR="006E0B90">
        <w:t xml:space="preserve"> </w:t>
      </w:r>
      <w:r w:rsidR="00532C86">
        <w:t xml:space="preserve">(65% widowed vs </w:t>
      </w:r>
      <w:r w:rsidR="00014E6B">
        <w:t>48.4% married/</w:t>
      </w:r>
      <w:r w:rsidR="0027747F">
        <w:t>de facto</w:t>
      </w:r>
      <w:r w:rsidR="00014E6B">
        <w:t xml:space="preserve"> vs </w:t>
      </w:r>
      <w:r w:rsidR="00697269">
        <w:t>45.2% separated vs</w:t>
      </w:r>
      <w:r w:rsidR="00014E6B">
        <w:t xml:space="preserve"> 41.4</w:t>
      </w:r>
      <w:r w:rsidR="0013592F">
        <w:t>% single/never married, p</w:t>
      </w:r>
      <w:r w:rsidR="0055447B">
        <w:t>=</w:t>
      </w:r>
      <w:r w:rsidR="0013592F">
        <w:t>.005</w:t>
      </w:r>
      <w:proofErr w:type="gramStart"/>
      <w:r w:rsidR="0013592F">
        <w:t>)</w:t>
      </w:r>
      <w:r>
        <w:t>;</w:t>
      </w:r>
      <w:proofErr w:type="gramEnd"/>
    </w:p>
    <w:p w14:paraId="5F7466ED" w14:textId="35731B3E" w:rsidR="001075B8" w:rsidRPr="009B409E" w:rsidRDefault="007F03E0" w:rsidP="00C022AA">
      <w:pPr>
        <w:pStyle w:val="ANorm"/>
        <w:numPr>
          <w:ilvl w:val="0"/>
          <w:numId w:val="15"/>
        </w:numPr>
        <w:spacing w:after="240"/>
        <w:rPr>
          <w:rFonts w:cs="Calibri"/>
          <w:color w:val="000000"/>
        </w:rPr>
      </w:pPr>
      <w:r>
        <w:t>Being employed (48.7% vs 33.2% unemployed vs</w:t>
      </w:r>
      <w:r w:rsidR="00E21595">
        <w:t xml:space="preserve"> </w:t>
      </w:r>
      <w:r w:rsidR="008F7C1D">
        <w:t xml:space="preserve">39.6% student vs 45.4% other, p </w:t>
      </w:r>
      <w:r w:rsidR="00810D36">
        <w:t xml:space="preserve">&lt; </w:t>
      </w:r>
      <w:r w:rsidR="008F7C1D">
        <w:t>.00</w:t>
      </w:r>
      <w:r w:rsidR="00810D36">
        <w:t>1</w:t>
      </w:r>
      <w:r w:rsidR="008F7C1D">
        <w:t>)</w:t>
      </w:r>
      <w:r w:rsidR="00016715">
        <w:t>; and</w:t>
      </w:r>
    </w:p>
    <w:p w14:paraId="473EFAAD" w14:textId="7130AB68" w:rsidR="00282C85" w:rsidRPr="0058768D" w:rsidRDefault="00E21595" w:rsidP="00C022AA">
      <w:pPr>
        <w:pStyle w:val="ANorm"/>
        <w:numPr>
          <w:ilvl w:val="0"/>
          <w:numId w:val="15"/>
        </w:numPr>
        <w:spacing w:after="240"/>
        <w:rPr>
          <w:rFonts w:cs="Calibri"/>
          <w:color w:val="000000"/>
        </w:rPr>
      </w:pPr>
      <w:r>
        <w:t>Being born</w:t>
      </w:r>
      <w:r w:rsidR="009B409E">
        <w:t xml:space="preserve"> overseas (</w:t>
      </w:r>
      <w:r w:rsidR="00587E35">
        <w:t>51.6% vs 44.8%, p</w:t>
      </w:r>
      <w:r w:rsidR="0055447B">
        <w:t>=</w:t>
      </w:r>
      <w:r w:rsidR="00587E35">
        <w:t>0.011)</w:t>
      </w:r>
      <w:r w:rsidR="00882B65" w:rsidRPr="009D4B3B">
        <w:t>.</w:t>
      </w:r>
      <w:r w:rsidR="00B81CB1">
        <w:fldChar w:fldCharType="begin"/>
      </w:r>
      <w:r w:rsidR="004469A2">
        <w:instrText xml:space="preserve"> ADDIN EN.CITE &lt;EndNote&gt;&lt;Cite&gt;&lt;Author&gt;Cross&lt;/Author&gt;&lt;Year&gt;2022&lt;/Year&gt;&lt;RecNum&gt;136&lt;/RecNum&gt;&lt;DisplayText&gt;&lt;style face="superscript"&gt;48&lt;/style&gt;&lt;/DisplayText&gt;&lt;record&gt;&lt;rec-number&gt;136&lt;/rec-number&gt;&lt;foreign-keys&gt;&lt;key app="EN" db-id="dawtr0zrkrzfa5edzzlpe2we0xa00t90vvr2" timestamp="1650339654"&gt;136&lt;/key&gt;&lt;/foreign-keys&gt;&lt;ref-type name="Journal Article"&gt;17&lt;/ref-type&gt;&lt;contributors&gt;&lt;authors&gt;&lt;author&gt;Cross, Shane P.&lt;/author&gt;&lt;author&gt;Karin, Eyal&lt;/author&gt;&lt;author&gt;Staples, Lauren G.&lt;/author&gt;&lt;author&gt;Bisby, Madelyne A.&lt;/author&gt;&lt;author&gt;Ryan, Katie&lt;/author&gt;&lt;author&gt;Duke, Georgia&lt;/author&gt;&lt;author&gt;Nielssen, Olav&lt;/author&gt;&lt;author&gt;Kayrouz, Rony&lt;/author&gt;&lt;author&gt;Fisher, Alana&lt;/author&gt;&lt;author&gt;Dear, Blake F.&lt;/author&gt;&lt;author&gt;Titov, Nickolai&lt;/author&gt;&lt;/authors&gt;&lt;/contributors&gt;&lt;titles&gt;&lt;title&gt;Factors associated with treatment uptake, completion, and subsequent symptom improvement in a national digital mental health service&lt;/title&gt;&lt;secondary-title&gt;Internet Interventions&lt;/secondary-title&gt;&lt;/titles&gt;&lt;periodical&gt;&lt;full-title&gt;Internet Interventions&lt;/full-title&gt;&lt;/periodical&gt;&lt;pages&gt;100506&lt;/pages&gt;&lt;volume&gt;27&lt;/volume&gt;&lt;keywords&gt;&lt;keyword&gt;Digital mental health service&lt;/keyword&gt;&lt;keyword&gt;Assessment&lt;/keyword&gt;&lt;keyword&gt;Internet-delivered cognitive behavioural treatment (iCBT)&lt;/keyword&gt;&lt;keyword&gt;Treatment engagement&lt;/keyword&gt;&lt;keyword&gt;Treatment burden&lt;/keyword&gt;&lt;keyword&gt;Outcomes&lt;/keyword&gt;&lt;/keywords&gt;&lt;dates&gt;&lt;year&gt;2022&lt;/year&gt;&lt;pub-dates&gt;&lt;date&gt;2022/03/01/&lt;/date&gt;&lt;/pub-dates&gt;&lt;/dates&gt;&lt;isbn&gt;2214-7829&lt;/isbn&gt;&lt;urls&gt;&lt;related-urls&gt;&lt;url&gt;https://www.sciencedirect.com/science/article/pii/S2214782922000136&lt;/url&gt;&lt;/related-urls&gt;&lt;/urls&gt;&lt;electronic-resource-num&gt;https://doi.org/10.1016/j.invent.2022.100506&lt;/electronic-resource-num&gt;&lt;/record&gt;&lt;/Cite&gt;&lt;/EndNote&gt;</w:instrText>
      </w:r>
      <w:r w:rsidR="00B81CB1">
        <w:fldChar w:fldCharType="separate"/>
      </w:r>
      <w:r w:rsidR="004469A2" w:rsidRPr="004469A2">
        <w:rPr>
          <w:noProof/>
          <w:vertAlign w:val="superscript"/>
        </w:rPr>
        <w:t>48</w:t>
      </w:r>
      <w:r w:rsidR="00B81CB1">
        <w:fldChar w:fldCharType="end"/>
      </w:r>
    </w:p>
    <w:p w14:paraId="2D6953AD" w14:textId="3449D348" w:rsidR="00882B65" w:rsidRPr="009D4B3B" w:rsidRDefault="00882B65" w:rsidP="00C022AA">
      <w:pPr>
        <w:pStyle w:val="ANorm"/>
        <w:spacing w:after="240"/>
        <w:rPr>
          <w:rFonts w:cs="Calibri"/>
          <w:color w:val="000000"/>
        </w:rPr>
      </w:pPr>
      <w:r w:rsidRPr="009D4B3B">
        <w:rPr>
          <w:rFonts w:cs="Calibri"/>
          <w:color w:val="000000"/>
        </w:rPr>
        <w:t>The following</w:t>
      </w:r>
      <w:r w:rsidR="00C6394E" w:rsidRPr="009D4B3B">
        <w:rPr>
          <w:rFonts w:cs="Calibri"/>
          <w:color w:val="000000"/>
        </w:rPr>
        <w:t xml:space="preserve"> </w:t>
      </w:r>
      <w:r w:rsidR="00441D00" w:rsidRPr="009D4B3B">
        <w:rPr>
          <w:rFonts w:cs="Calibri"/>
          <w:color w:val="000000"/>
        </w:rPr>
        <w:t>consumer characteristics</w:t>
      </w:r>
      <w:r w:rsidR="00BE71DD" w:rsidRPr="009D4B3B">
        <w:rPr>
          <w:rFonts w:cs="Calibri"/>
          <w:color w:val="000000"/>
        </w:rPr>
        <w:t>, also negatively associated with uptake and completion,</w:t>
      </w:r>
      <w:r w:rsidR="00441D00" w:rsidRPr="009D4B3B">
        <w:rPr>
          <w:rFonts w:cs="Calibri"/>
          <w:color w:val="000000"/>
        </w:rPr>
        <w:t xml:space="preserve"> were </w:t>
      </w:r>
      <w:r w:rsidR="00441D00" w:rsidRPr="009D4B3B">
        <w:t>negatively associated with treatment outcomes:</w:t>
      </w:r>
    </w:p>
    <w:p w14:paraId="63632ACE" w14:textId="1DE7F42E" w:rsidR="00BE71DD" w:rsidRPr="009D4B3B" w:rsidRDefault="00A43DAE" w:rsidP="00C022AA">
      <w:pPr>
        <w:pStyle w:val="ANorm"/>
        <w:numPr>
          <w:ilvl w:val="0"/>
          <w:numId w:val="16"/>
        </w:numPr>
        <w:spacing w:after="240"/>
      </w:pPr>
      <w:r w:rsidRPr="009D4B3B">
        <w:t>higher initial symptom severity</w:t>
      </w:r>
      <w:r w:rsidR="00EC214E">
        <w:t xml:space="preserve"> (PHQ-9</w:t>
      </w:r>
      <w:r w:rsidR="004C2F0F">
        <w:t xml:space="preserve">; 53.8% mild vs 46.8% moderate vs 38.8% severe, p </w:t>
      </w:r>
      <w:r w:rsidR="008A3F80">
        <w:t>&lt; .001</w:t>
      </w:r>
      <w:r w:rsidR="00204496">
        <w:t>)</w:t>
      </w:r>
      <w:r w:rsidR="00BE71DD" w:rsidRPr="009D4B3B">
        <w:t xml:space="preserve">; and </w:t>
      </w:r>
    </w:p>
    <w:p w14:paraId="7833F138" w14:textId="598504E4" w:rsidR="00401B88" w:rsidRPr="0058768D" w:rsidRDefault="03EBDC8B" w:rsidP="75E91DC2">
      <w:pPr>
        <w:pStyle w:val="ANorm"/>
        <w:numPr>
          <w:ilvl w:val="0"/>
          <w:numId w:val="16"/>
        </w:numPr>
        <w:spacing w:after="240"/>
        <w:rPr>
          <w:noProof/>
          <w:vertAlign w:val="superscript"/>
        </w:rPr>
      </w:pPr>
      <w:r>
        <w:t xml:space="preserve">increasing number of </w:t>
      </w:r>
      <w:r w:rsidR="11E4456E">
        <w:t>self-reported psychosocial</w:t>
      </w:r>
      <w:r w:rsidR="1D5402D3">
        <w:t xml:space="preserve"> </w:t>
      </w:r>
      <w:r w:rsidR="11E4456E">
        <w:t>difficulties</w:t>
      </w:r>
      <w:r>
        <w:t xml:space="preserve"> (ranging from </w:t>
      </w:r>
      <w:r w:rsidR="0340E943">
        <w:t xml:space="preserve">51.3% for one difficulty to 29.3% for six difficulties, p </w:t>
      </w:r>
      <w:r w:rsidR="3C0F329E">
        <w:t>&lt; .001</w:t>
      </w:r>
      <w:r w:rsidR="0340E943">
        <w:t>)</w:t>
      </w:r>
      <w:r w:rsidR="2C9F82B9">
        <w:t>.</w:t>
      </w:r>
      <w:r w:rsidR="001C1DB2">
        <w:fldChar w:fldCharType="begin"/>
      </w:r>
      <w:r w:rsidR="004469A2">
        <w:instrText xml:space="preserve"> ADDIN EN.CITE &lt;EndNote&gt;&lt;Cite&gt;&lt;Author&gt;Cross&lt;/Author&gt;&lt;Year&gt;2022&lt;/Year&gt;&lt;RecNum&gt;136&lt;/RecNum&gt;&lt;DisplayText&gt;&lt;style face="superscript"&gt;48&lt;/style&gt;&lt;/DisplayText&gt;&lt;record&gt;&lt;rec-number&gt;136&lt;/rec-number&gt;&lt;foreign-keys&gt;&lt;key app="EN" db-id="dawtr0zrkrzfa5edzzlpe2we0xa00t90vvr2" timestamp="1650339654"&gt;136&lt;/key&gt;&lt;/foreign-keys&gt;&lt;ref-type name="Journal Article"&gt;17&lt;/ref-type&gt;&lt;contributors&gt;&lt;authors&gt;&lt;author&gt;Cross, Shane P.&lt;/author&gt;&lt;author&gt;Karin, Eyal&lt;/author&gt;&lt;author&gt;Staples, Lauren G.&lt;/author&gt;&lt;author&gt;Bisby, Madelyne A.&lt;/author&gt;&lt;author&gt;Ryan, Katie&lt;/author&gt;&lt;author&gt;Duke, Georgia&lt;/author&gt;&lt;author&gt;Nielssen, Olav&lt;/author&gt;&lt;author&gt;Kayrouz, Rony&lt;/author&gt;&lt;author&gt;Fisher, Alana&lt;/author&gt;&lt;author&gt;Dear, Blake F.&lt;/author&gt;&lt;author&gt;Titov, Nickolai&lt;/author&gt;&lt;/authors&gt;&lt;/contributors&gt;&lt;titles&gt;&lt;title&gt;Factors associated with treatment uptake, completion, and subsequent symptom improvement in a national digital mental health service&lt;/title&gt;&lt;secondary-title&gt;Internet Interventions&lt;/secondary-title&gt;&lt;/titles&gt;&lt;periodical&gt;&lt;full-title&gt;Internet Interventions&lt;/full-title&gt;&lt;/periodical&gt;&lt;pages&gt;100506&lt;/pages&gt;&lt;volume&gt;27&lt;/volume&gt;&lt;keywords&gt;&lt;keyword&gt;Digital mental health service&lt;/keyword&gt;&lt;keyword&gt;Assessment&lt;/keyword&gt;&lt;keyword&gt;Internet-delivered cognitive behavioural treatment (iCBT)&lt;/keyword&gt;&lt;keyword&gt;Treatment engagement&lt;/keyword&gt;&lt;keyword&gt;Treatment burden&lt;/keyword&gt;&lt;keyword&gt;Outcomes&lt;/keyword&gt;&lt;/keywords&gt;&lt;dates&gt;&lt;year&gt;2022&lt;/year&gt;&lt;pub-dates&gt;&lt;date&gt;2022/03/01/&lt;/date&gt;&lt;/pub-dates&gt;&lt;/dates&gt;&lt;isbn&gt;2214-7829&lt;/isbn&gt;&lt;urls&gt;&lt;related-urls&gt;&lt;url&gt;https://www.sciencedirect.com/science/article/pii/S2214782922000136&lt;/url&gt;&lt;/related-urls&gt;&lt;/urls&gt;&lt;electronic-resource-num&gt;https://doi.org/10.1016/j.invent.2022.100506&lt;/electronic-resource-num&gt;&lt;/record&gt;&lt;/Cite&gt;&lt;/EndNote&gt;</w:instrText>
      </w:r>
      <w:r w:rsidR="001C1DB2">
        <w:fldChar w:fldCharType="separate"/>
      </w:r>
      <w:r w:rsidR="004469A2" w:rsidRPr="004469A2">
        <w:rPr>
          <w:noProof/>
          <w:vertAlign w:val="superscript"/>
        </w:rPr>
        <w:t>48</w:t>
      </w:r>
      <w:r w:rsidR="001C1DB2">
        <w:fldChar w:fldCharType="end"/>
      </w:r>
    </w:p>
    <w:p w14:paraId="78859D93" w14:textId="4D978A0A" w:rsidR="00C13E5E" w:rsidRDefault="008130B1" w:rsidP="00C022AA">
      <w:pPr>
        <w:pStyle w:val="ANorm"/>
        <w:spacing w:after="240"/>
        <w:rPr>
          <w:rFonts w:cs="Calibri"/>
          <w:color w:val="000000"/>
        </w:rPr>
      </w:pPr>
      <w:r>
        <w:rPr>
          <w:rFonts w:cs="Calibri"/>
          <w:color w:val="000000"/>
        </w:rPr>
        <w:t xml:space="preserve">The following characteristics did not </w:t>
      </w:r>
      <w:r w:rsidR="00882B65" w:rsidRPr="009D4B3B">
        <w:rPr>
          <w:rFonts w:cs="Calibri"/>
          <w:color w:val="000000"/>
        </w:rPr>
        <w:t>affect symptom</w:t>
      </w:r>
      <w:r w:rsidR="009D4B3B" w:rsidRPr="009D4B3B">
        <w:rPr>
          <w:rFonts w:cs="Calibri"/>
          <w:color w:val="000000"/>
        </w:rPr>
        <w:t xml:space="preserve"> </w:t>
      </w:r>
      <w:r w:rsidR="00882B65" w:rsidRPr="009D4B3B">
        <w:rPr>
          <w:rFonts w:cs="Calibri"/>
          <w:color w:val="000000"/>
        </w:rPr>
        <w:t>improvement</w:t>
      </w:r>
      <w:r w:rsidR="00C13E5E">
        <w:rPr>
          <w:rFonts w:cs="Calibri"/>
          <w:color w:val="000000"/>
        </w:rPr>
        <w:t>:</w:t>
      </w:r>
    </w:p>
    <w:p w14:paraId="1A4E2C62" w14:textId="48F3D314" w:rsidR="00396E35" w:rsidRDefault="00546B4A" w:rsidP="00C022AA">
      <w:pPr>
        <w:pStyle w:val="ANorm"/>
        <w:numPr>
          <w:ilvl w:val="0"/>
          <w:numId w:val="17"/>
        </w:numPr>
        <w:spacing w:after="240"/>
        <w:rPr>
          <w:rFonts w:cs="Calibri"/>
          <w:color w:val="000000"/>
        </w:rPr>
      </w:pPr>
      <w:r>
        <w:rPr>
          <w:rFonts w:cs="Calibri"/>
          <w:color w:val="000000"/>
        </w:rPr>
        <w:t>Age</w:t>
      </w:r>
      <w:r w:rsidR="00427CF5">
        <w:rPr>
          <w:rFonts w:cs="Calibri"/>
          <w:color w:val="000000"/>
        </w:rPr>
        <w:t xml:space="preserve"> (range 44.7%-56%, p</w:t>
      </w:r>
      <w:r w:rsidR="0055447B">
        <w:rPr>
          <w:rFonts w:cs="Calibri"/>
          <w:color w:val="000000"/>
        </w:rPr>
        <w:t>=</w:t>
      </w:r>
      <w:r w:rsidR="00B726A4">
        <w:rPr>
          <w:rFonts w:cs="Calibri"/>
          <w:color w:val="000000"/>
        </w:rPr>
        <w:t>0.162</w:t>
      </w:r>
      <w:proofErr w:type="gramStart"/>
      <w:r w:rsidR="00B726A4">
        <w:rPr>
          <w:rFonts w:cs="Calibri"/>
          <w:color w:val="000000"/>
        </w:rPr>
        <w:t>);</w:t>
      </w:r>
      <w:proofErr w:type="gramEnd"/>
    </w:p>
    <w:p w14:paraId="670D422D" w14:textId="4F695CFD" w:rsidR="00C13E5E" w:rsidRPr="00396E35" w:rsidRDefault="00C13E5E" w:rsidP="00C022AA">
      <w:pPr>
        <w:pStyle w:val="ANorm"/>
        <w:numPr>
          <w:ilvl w:val="0"/>
          <w:numId w:val="17"/>
        </w:numPr>
        <w:spacing w:after="240"/>
        <w:rPr>
          <w:rFonts w:cs="Calibri"/>
          <w:color w:val="000000"/>
        </w:rPr>
      </w:pPr>
      <w:r w:rsidRPr="00396E35">
        <w:rPr>
          <w:rFonts w:cs="Calibri"/>
          <w:color w:val="000000"/>
        </w:rPr>
        <w:t>Gender, with ma</w:t>
      </w:r>
      <w:r w:rsidR="00740C54" w:rsidRPr="00396E35">
        <w:rPr>
          <w:rFonts w:cs="Calibri"/>
          <w:color w:val="000000"/>
        </w:rPr>
        <w:t>l</w:t>
      </w:r>
      <w:r w:rsidRPr="00396E35">
        <w:rPr>
          <w:rFonts w:cs="Calibri"/>
          <w:color w:val="000000"/>
        </w:rPr>
        <w:t xml:space="preserve">es and females </w:t>
      </w:r>
      <w:r w:rsidR="00401B88" w:rsidRPr="00396E35">
        <w:rPr>
          <w:rFonts w:cs="Calibri"/>
          <w:color w:val="000000"/>
        </w:rPr>
        <w:t>equally gain</w:t>
      </w:r>
      <w:r w:rsidRPr="00396E35">
        <w:rPr>
          <w:rFonts w:cs="Calibri"/>
          <w:color w:val="000000"/>
        </w:rPr>
        <w:t>ing</w:t>
      </w:r>
      <w:r w:rsidR="00401B88" w:rsidRPr="00396E35">
        <w:rPr>
          <w:rFonts w:cs="Calibri"/>
          <w:color w:val="000000"/>
        </w:rPr>
        <w:t xml:space="preserve"> significant symptomatic improvement (46.8% vs 43.8%, p</w:t>
      </w:r>
      <w:r w:rsidR="0055447B">
        <w:rPr>
          <w:rFonts w:cs="Calibri"/>
          <w:color w:val="000000"/>
        </w:rPr>
        <w:t>=</w:t>
      </w:r>
      <w:r w:rsidR="00401B88" w:rsidRPr="00396E35">
        <w:rPr>
          <w:rFonts w:cs="Calibri"/>
          <w:color w:val="000000"/>
        </w:rPr>
        <w:t>.205</w:t>
      </w:r>
      <w:proofErr w:type="gramStart"/>
      <w:r w:rsidR="00401B88" w:rsidRPr="00396E35">
        <w:rPr>
          <w:rFonts w:cs="Calibri"/>
          <w:color w:val="000000"/>
        </w:rPr>
        <w:t>)</w:t>
      </w:r>
      <w:r w:rsidR="00740C54" w:rsidRPr="00396E35">
        <w:rPr>
          <w:rFonts w:cs="Calibri"/>
          <w:color w:val="000000"/>
        </w:rPr>
        <w:t>;</w:t>
      </w:r>
      <w:proofErr w:type="gramEnd"/>
    </w:p>
    <w:p w14:paraId="59EC9DDC" w14:textId="48848F7C" w:rsidR="00740C54" w:rsidRPr="00E617BA" w:rsidRDefault="0034037A" w:rsidP="00C022AA">
      <w:pPr>
        <w:pStyle w:val="ANorm"/>
        <w:numPr>
          <w:ilvl w:val="0"/>
          <w:numId w:val="17"/>
        </w:numPr>
        <w:spacing w:after="240"/>
        <w:rPr>
          <w:rFonts w:cs="Calibri"/>
          <w:color w:val="000000"/>
        </w:rPr>
      </w:pPr>
      <w:r w:rsidRPr="00E617BA">
        <w:rPr>
          <w:rFonts w:cs="Calibri"/>
          <w:color w:val="000000"/>
        </w:rPr>
        <w:t xml:space="preserve">Indigeneity </w:t>
      </w:r>
      <w:r w:rsidR="00401B88" w:rsidRPr="00E617BA">
        <w:rPr>
          <w:rFonts w:cs="Calibri"/>
          <w:color w:val="000000"/>
        </w:rPr>
        <w:t>(</w:t>
      </w:r>
      <w:r w:rsidR="00F15DEC" w:rsidRPr="00E617BA">
        <w:rPr>
          <w:rFonts w:cs="Calibri"/>
          <w:color w:val="000000"/>
        </w:rPr>
        <w:t xml:space="preserve">39.5% vs 45.1%, </w:t>
      </w:r>
      <w:r w:rsidR="00401B88" w:rsidRPr="00E617BA">
        <w:rPr>
          <w:rFonts w:cs="Calibri"/>
          <w:color w:val="000000"/>
        </w:rPr>
        <w:t>p=.495)</w:t>
      </w:r>
      <w:r w:rsidR="00863DBD" w:rsidRPr="00E617BA">
        <w:rPr>
          <w:rFonts w:cs="Calibri"/>
          <w:color w:val="000000"/>
        </w:rPr>
        <w:t>; and</w:t>
      </w:r>
    </w:p>
    <w:p w14:paraId="6836D092" w14:textId="597C6124" w:rsidR="00546B4A" w:rsidRDefault="00401B88" w:rsidP="00C022AA">
      <w:pPr>
        <w:pStyle w:val="ANorm"/>
        <w:numPr>
          <w:ilvl w:val="0"/>
          <w:numId w:val="17"/>
        </w:numPr>
        <w:spacing w:after="240"/>
        <w:rPr>
          <w:rFonts w:cs="Calibri"/>
          <w:color w:val="000000"/>
        </w:rPr>
      </w:pPr>
      <w:r w:rsidRPr="00E617BA">
        <w:rPr>
          <w:rFonts w:cs="Calibri"/>
          <w:color w:val="000000"/>
        </w:rPr>
        <w:t xml:space="preserve">Rural or remote </w:t>
      </w:r>
      <w:r w:rsidR="005D7BEF" w:rsidRPr="00E617BA">
        <w:rPr>
          <w:rFonts w:cs="Calibri"/>
          <w:color w:val="000000"/>
        </w:rPr>
        <w:t xml:space="preserve">location of residence </w:t>
      </w:r>
      <w:r w:rsidRPr="00E617BA">
        <w:rPr>
          <w:rFonts w:cs="Calibri"/>
          <w:color w:val="000000"/>
        </w:rPr>
        <w:t>(</w:t>
      </w:r>
      <w:r w:rsidR="001E01BE" w:rsidRPr="00E617BA">
        <w:rPr>
          <w:rFonts w:cs="Calibri"/>
          <w:color w:val="000000"/>
        </w:rPr>
        <w:t xml:space="preserve">45.4% vs </w:t>
      </w:r>
      <w:r w:rsidR="005D7BEF" w:rsidRPr="00E617BA">
        <w:rPr>
          <w:rFonts w:cs="Calibri"/>
          <w:color w:val="000000"/>
        </w:rPr>
        <w:t xml:space="preserve">44.6% urban region vs 46.4% capital city, </w:t>
      </w:r>
      <w:r w:rsidRPr="00E617BA">
        <w:rPr>
          <w:rFonts w:cs="Calibri"/>
          <w:color w:val="000000"/>
        </w:rPr>
        <w:t>p</w:t>
      </w:r>
      <w:r w:rsidR="0055447B">
        <w:rPr>
          <w:rFonts w:cs="Calibri"/>
          <w:color w:val="000000"/>
        </w:rPr>
        <w:t>=</w:t>
      </w:r>
      <w:r w:rsidR="00E617BA" w:rsidRPr="00E617BA">
        <w:rPr>
          <w:rFonts w:cs="Calibri"/>
          <w:color w:val="000000"/>
        </w:rPr>
        <w:t>0.916</w:t>
      </w:r>
      <w:r w:rsidRPr="00E617BA">
        <w:rPr>
          <w:rFonts w:cs="Calibri"/>
          <w:color w:val="000000"/>
        </w:rPr>
        <w:t>)</w:t>
      </w:r>
      <w:r w:rsidR="00396E35">
        <w:rPr>
          <w:rFonts w:cs="Calibri"/>
          <w:color w:val="000000"/>
        </w:rPr>
        <w:t>; and</w:t>
      </w:r>
    </w:p>
    <w:p w14:paraId="7E93D589" w14:textId="48F58474" w:rsidR="00396E35" w:rsidRPr="0058768D" w:rsidRDefault="00546B4A" w:rsidP="00C022AA">
      <w:pPr>
        <w:pStyle w:val="ANorm"/>
        <w:numPr>
          <w:ilvl w:val="0"/>
          <w:numId w:val="17"/>
        </w:numPr>
        <w:spacing w:after="240"/>
        <w:rPr>
          <w:rFonts w:cs="Calibri"/>
          <w:color w:val="000000"/>
        </w:rPr>
      </w:pPr>
      <w:r w:rsidRPr="009D4B3B">
        <w:rPr>
          <w:rFonts w:cs="Calibri"/>
          <w:color w:val="000000"/>
        </w:rPr>
        <w:t>Having a degree (46.6%</w:t>
      </w:r>
      <w:r>
        <w:rPr>
          <w:rFonts w:cs="Calibri"/>
          <w:color w:val="000000"/>
        </w:rPr>
        <w:t xml:space="preserve"> vs </w:t>
      </w:r>
      <w:r w:rsidRPr="009D4B3B">
        <w:rPr>
          <w:rFonts w:cs="Calibri"/>
          <w:color w:val="000000"/>
        </w:rPr>
        <w:t>45.2%</w:t>
      </w:r>
      <w:r>
        <w:rPr>
          <w:rFonts w:cs="Calibri"/>
          <w:color w:val="000000"/>
        </w:rPr>
        <w:t>,</w:t>
      </w:r>
      <w:r w:rsidRPr="009D4B3B">
        <w:rPr>
          <w:rFonts w:cs="Calibri"/>
          <w:color w:val="000000"/>
        </w:rPr>
        <w:t xml:space="preserve"> p</w:t>
      </w:r>
      <w:r w:rsidR="0055447B">
        <w:rPr>
          <w:rFonts w:cs="Calibri"/>
          <w:color w:val="000000"/>
        </w:rPr>
        <w:t>=</w:t>
      </w:r>
      <w:r w:rsidRPr="009D4B3B">
        <w:rPr>
          <w:rFonts w:cs="Calibri"/>
          <w:color w:val="000000"/>
        </w:rPr>
        <w:t>.495)</w:t>
      </w:r>
      <w:r w:rsidR="00401B88" w:rsidRPr="00396E35">
        <w:rPr>
          <w:rFonts w:cs="Calibri"/>
          <w:color w:val="000000"/>
        </w:rPr>
        <w:t>.</w:t>
      </w:r>
      <w:r w:rsidR="00B81CB1">
        <w:rPr>
          <w:rFonts w:cs="Calibri"/>
          <w:color w:val="000000"/>
        </w:rPr>
        <w:fldChar w:fldCharType="begin"/>
      </w:r>
      <w:r w:rsidR="004469A2">
        <w:rPr>
          <w:rFonts w:cs="Calibri"/>
          <w:color w:val="000000"/>
        </w:rPr>
        <w:instrText xml:space="preserve"> ADDIN EN.CITE &lt;EndNote&gt;&lt;Cite&gt;&lt;Author&gt;Cross&lt;/Author&gt;&lt;Year&gt;2022&lt;/Year&gt;&lt;RecNum&gt;136&lt;/RecNum&gt;&lt;DisplayText&gt;&lt;style face="superscript"&gt;48&lt;/style&gt;&lt;/DisplayText&gt;&lt;record&gt;&lt;rec-number&gt;136&lt;/rec-number&gt;&lt;foreign-keys&gt;&lt;key app="EN" db-id="dawtr0zrkrzfa5edzzlpe2we0xa00t90vvr2" timestamp="1650339654"&gt;136&lt;/key&gt;&lt;/foreign-keys&gt;&lt;ref-type name="Journal Article"&gt;17&lt;/ref-type&gt;&lt;contributors&gt;&lt;authors&gt;&lt;author&gt;Cross, Shane P.&lt;/author&gt;&lt;author&gt;Karin, Eyal&lt;/author&gt;&lt;author&gt;Staples, Lauren G.&lt;/author&gt;&lt;author&gt;Bisby, Madelyne A.&lt;/author&gt;&lt;author&gt;Ryan, Katie&lt;/author&gt;&lt;author&gt;Duke, Georgia&lt;/author&gt;&lt;author&gt;Nielssen, Olav&lt;/author&gt;&lt;author&gt;Kayrouz, Rony&lt;/author&gt;&lt;author&gt;Fisher, Alana&lt;/author&gt;&lt;author&gt;Dear, Blake F.&lt;/author&gt;&lt;author&gt;Titov, Nickolai&lt;/author&gt;&lt;/authors&gt;&lt;/contributors&gt;&lt;titles&gt;&lt;title&gt;Factors associated with treatment uptake, completion, and subsequent symptom improvement in a national digital mental health service&lt;/title&gt;&lt;secondary-title&gt;Internet Interventions&lt;/secondary-title&gt;&lt;/titles&gt;&lt;periodical&gt;&lt;full-title&gt;Internet Interventions&lt;/full-title&gt;&lt;/periodical&gt;&lt;pages&gt;100506&lt;/pages&gt;&lt;volume&gt;27&lt;/volume&gt;&lt;keywords&gt;&lt;keyword&gt;Digital mental health service&lt;/keyword&gt;&lt;keyword&gt;Assessment&lt;/keyword&gt;&lt;keyword&gt;Internet-delivered cognitive behavioural treatment (iCBT)&lt;/keyword&gt;&lt;keyword&gt;Treatment engagement&lt;/keyword&gt;&lt;keyword&gt;Treatment burden&lt;/keyword&gt;&lt;keyword&gt;Outcomes&lt;/keyword&gt;&lt;/keywords&gt;&lt;dates&gt;&lt;year&gt;2022&lt;/year&gt;&lt;pub-dates&gt;&lt;date&gt;2022/03/01/&lt;/date&gt;&lt;/pub-dates&gt;&lt;/dates&gt;&lt;isbn&gt;2214-7829&lt;/isbn&gt;&lt;urls&gt;&lt;related-urls&gt;&lt;url&gt;https://www.sciencedirect.com/science/article/pii/S2214782922000136&lt;/url&gt;&lt;/related-urls&gt;&lt;/urls&gt;&lt;electronic-resource-num&gt;https://doi.org/10.1016/j.invent.2022.100506&lt;/electronic-resource-num&gt;&lt;/record&gt;&lt;/Cite&gt;&lt;/EndNote&gt;</w:instrText>
      </w:r>
      <w:r w:rsidR="00B81CB1">
        <w:rPr>
          <w:rFonts w:cs="Calibri"/>
          <w:color w:val="000000"/>
        </w:rPr>
        <w:fldChar w:fldCharType="separate"/>
      </w:r>
      <w:r w:rsidR="004469A2" w:rsidRPr="004469A2">
        <w:rPr>
          <w:rFonts w:cs="Calibri"/>
          <w:noProof/>
          <w:color w:val="000000"/>
          <w:vertAlign w:val="superscript"/>
        </w:rPr>
        <w:t>48</w:t>
      </w:r>
      <w:r w:rsidR="00B81CB1">
        <w:rPr>
          <w:rFonts w:cs="Calibri"/>
          <w:color w:val="000000"/>
        </w:rPr>
        <w:fldChar w:fldCharType="end"/>
      </w:r>
    </w:p>
    <w:p w14:paraId="11AADEE0" w14:textId="52769F5A" w:rsidR="009507E7" w:rsidRDefault="00A607DC" w:rsidP="00C022AA">
      <w:pPr>
        <w:pStyle w:val="Heading3"/>
        <w:numPr>
          <w:ilvl w:val="2"/>
          <w:numId w:val="136"/>
        </w:numPr>
        <w:spacing w:after="240"/>
      </w:pPr>
      <w:r w:rsidRPr="00A607DC">
        <w:t>Consumer experiences</w:t>
      </w:r>
    </w:p>
    <w:p w14:paraId="38DFC369" w14:textId="2BCC2EAA" w:rsidR="00E7255F" w:rsidRDefault="00D56C75" w:rsidP="00C022AA">
      <w:pPr>
        <w:pStyle w:val="ANorm"/>
        <w:spacing w:after="240"/>
      </w:pPr>
      <w:proofErr w:type="spellStart"/>
      <w:r w:rsidRPr="00266EAD">
        <w:t>MindS</w:t>
      </w:r>
      <w:r w:rsidR="00266EAD" w:rsidRPr="00266EAD">
        <w:t>p</w:t>
      </w:r>
      <w:r w:rsidRPr="00266EAD">
        <w:t>ot</w:t>
      </w:r>
      <w:proofErr w:type="spellEnd"/>
      <w:r w:rsidRPr="00266EAD">
        <w:t xml:space="preserve"> routinely assesses satisfaction using two </w:t>
      </w:r>
      <w:r w:rsidR="00CF0941" w:rsidRPr="00266EAD">
        <w:t xml:space="preserve">questions </w:t>
      </w:r>
      <w:r w:rsidR="00F279BC" w:rsidRPr="00266EAD">
        <w:t>about whether consumers</w:t>
      </w:r>
      <w:r w:rsidR="00266EAD" w:rsidRPr="00266EAD">
        <w:t>:</w:t>
      </w:r>
      <w:r w:rsidR="00B543A1" w:rsidRPr="00266EAD">
        <w:t xml:space="preserve"> </w:t>
      </w:r>
      <w:r w:rsidR="00266EAD" w:rsidRPr="00266EAD">
        <w:t>(</w:t>
      </w:r>
      <w:r w:rsidR="00B543A1" w:rsidRPr="00266EAD">
        <w:t xml:space="preserve">1) </w:t>
      </w:r>
      <w:r w:rsidR="00CF0941" w:rsidRPr="00266EAD">
        <w:t xml:space="preserve">would recommend the service to someone else and </w:t>
      </w:r>
      <w:r w:rsidR="00266EAD" w:rsidRPr="00266EAD">
        <w:t>(</w:t>
      </w:r>
      <w:r w:rsidR="00B543A1" w:rsidRPr="00266EAD">
        <w:t xml:space="preserve">2) </w:t>
      </w:r>
      <w:r w:rsidR="00266EAD" w:rsidRPr="00266EAD">
        <w:t>believe that treatment was worth their time.</w:t>
      </w:r>
    </w:p>
    <w:p w14:paraId="169655C5" w14:textId="50E0FDE2" w:rsidR="0083188D" w:rsidRDefault="00E00E1C" w:rsidP="00C022AA">
      <w:pPr>
        <w:pStyle w:val="ANorm"/>
        <w:spacing w:after="240"/>
      </w:pPr>
      <w:r>
        <w:t xml:space="preserve">In </w:t>
      </w:r>
      <w:r w:rsidRPr="00F6406E">
        <w:t xml:space="preserve">the six-month periods from January 2013 to </w:t>
      </w:r>
      <w:r w:rsidR="00586C87" w:rsidRPr="00F6406E">
        <w:t>June 2021, b</w:t>
      </w:r>
      <w:r w:rsidR="006131FF" w:rsidRPr="00F6406E">
        <w:t xml:space="preserve">etween 95% and </w:t>
      </w:r>
      <w:r w:rsidR="00F60390" w:rsidRPr="00F6406E">
        <w:t xml:space="preserve">98% of consumers who have responded to these questions </w:t>
      </w:r>
      <w:r w:rsidR="00AE01BC" w:rsidRPr="00F6406E">
        <w:t xml:space="preserve">over time </w:t>
      </w:r>
      <w:r w:rsidR="00F60390" w:rsidRPr="00F6406E">
        <w:t xml:space="preserve">have </w:t>
      </w:r>
      <w:r w:rsidR="007A14A2" w:rsidRPr="00F6406E">
        <w:t xml:space="preserve">reported that </w:t>
      </w:r>
      <w:proofErr w:type="spellStart"/>
      <w:r w:rsidR="007A14A2" w:rsidRPr="00F6406E">
        <w:t>MindSpot</w:t>
      </w:r>
      <w:proofErr w:type="spellEnd"/>
      <w:r w:rsidR="007A14A2" w:rsidRPr="00F6406E">
        <w:t xml:space="preserve"> therapist-supported treatment is worthwhile</w:t>
      </w:r>
      <w:r w:rsidR="006D2B2C">
        <w:t>,</w:t>
      </w:r>
      <w:r w:rsidR="007A14A2" w:rsidRPr="00F6406E">
        <w:t xml:space="preserve"> and they would recomme</w:t>
      </w:r>
      <w:r w:rsidR="00F6406E" w:rsidRPr="00F6406E">
        <w:t>n</w:t>
      </w:r>
      <w:r w:rsidR="007A14A2" w:rsidRPr="00F6406E">
        <w:t>d it.</w:t>
      </w:r>
      <w:r w:rsidR="003B379E">
        <w:t xml:space="preserve"> </w:t>
      </w:r>
      <w:r w:rsidR="0083188D" w:rsidRPr="000825D3">
        <w:t>Similarly, peer-reviewed publications have demonstrated equally high satisfaction rates among different population groups - young people aged 18-24,</w:t>
      </w:r>
      <w:r w:rsidR="00B81CB1">
        <w:fldChar w:fldCharType="begin"/>
      </w:r>
      <w:r w:rsidR="004469A2">
        <w:instrText xml:space="preserve"> ADDIN EN.CITE &lt;EndNote&gt;&lt;Cite&gt;&lt;Author&gt;Staples&lt;/Author&gt;&lt;Year&gt;2019&lt;/Year&gt;&lt;RecNum&gt;140&lt;/RecNum&gt;&lt;DisplayText&gt;&lt;style face="superscript"&gt;64&lt;/style&gt;&lt;/DisplayText&gt;&lt;record&gt;&lt;rec-number&gt;140&lt;/rec-number&gt;&lt;foreign-keys&gt;&lt;key app="EN" db-id="dawtr0zrkrzfa5edzzlpe2we0xa00t90vvr2" timestamp="1650433982"&gt;140&lt;/key&gt;&lt;/foreign-keys&gt;&lt;ref-type name="Journal Article"&gt;17&lt;/ref-type&gt;&lt;contributors&gt;&lt;authors&gt;&lt;author&gt;Staples, Lauren G&lt;/author&gt;&lt;author&gt;Dear, Blake F&lt;/author&gt;&lt;author&gt;Johnson, Bareena&lt;/author&gt;&lt;author&gt;Fogliati, Vincent&lt;/author&gt;&lt;author&gt;Gandy, Milena&lt;/author&gt;&lt;author&gt;Fogliati, Rhiannon&lt;/author&gt;&lt;author&gt;Nielssen, Olav&lt;/author&gt;&lt;author&gt;Titov, Nickolai&lt;/author&gt;&lt;/authors&gt;&lt;/contributors&gt;&lt;titles&gt;&lt;title&gt;Internet-delivered treatment for young adults with anxiety and depression: Evaluation in routine clinical care and comparison with research trial outcomes&lt;/title&gt;&lt;secondary-title&gt;Journal of Affective Disorders&lt;/secondary-title&gt;&lt;/titles&gt;&lt;periodical&gt;&lt;full-title&gt;Journal of Affective Disorders&lt;/full-title&gt;&lt;/periodical&gt;&lt;pages&gt;103-109&lt;/pages&gt;&lt;volume&gt;256&lt;/volume&gt;&lt;dates&gt;&lt;year&gt;2019&lt;/year&gt;&lt;/dates&gt;&lt;isbn&gt;0165-0327&lt;/isbn&gt;&lt;urls&gt;&lt;/urls&gt;&lt;/record&gt;&lt;/Cite&gt;&lt;/EndNote&gt;</w:instrText>
      </w:r>
      <w:r w:rsidR="00B81CB1">
        <w:fldChar w:fldCharType="separate"/>
      </w:r>
      <w:r w:rsidR="004469A2" w:rsidRPr="004469A2">
        <w:rPr>
          <w:noProof/>
          <w:vertAlign w:val="superscript"/>
        </w:rPr>
        <w:t>64</w:t>
      </w:r>
      <w:r w:rsidR="00B81CB1">
        <w:fldChar w:fldCharType="end"/>
      </w:r>
      <w:r w:rsidR="0083188D" w:rsidRPr="000825D3">
        <w:t xml:space="preserve"> older aged 60+,</w:t>
      </w:r>
      <w:r w:rsidR="00B81CB1">
        <w:fldChar w:fldCharType="begin"/>
      </w:r>
      <w:r w:rsidR="004469A2">
        <w:instrText xml:space="preserve"> ADDIN EN.CITE &lt;EndNote&gt;&lt;Cite&gt;&lt;Author&gt;Staples&lt;/Author&gt;&lt;Year&gt;2016&lt;/Year&gt;&lt;RecNum&gt;139&lt;/RecNum&gt;&lt;DisplayText&gt;&lt;style face="superscript"&gt;65&lt;/style&gt;&lt;/DisplayText&gt;&lt;record&gt;&lt;rec-number&gt;139&lt;/rec-number&gt;&lt;foreign-keys&gt;&lt;key app="EN" db-id="dawtr0zrkrzfa5edzzlpe2we0xa00t90vvr2" timestamp="1650432507"&gt;139&lt;/key&gt;&lt;/foreign-keys&gt;&lt;ref-type name="Journal Article"&gt;17&lt;/ref-type&gt;&lt;contributors&gt;&lt;authors&gt;&lt;author&gt;Staples, Lauren G&lt;/author&gt;&lt;author&gt;Fogliati, Vincent J&lt;/author&gt;&lt;author&gt;Dear, Blake F&lt;/author&gt;&lt;author&gt;Nielssen, Olav&lt;/author&gt;&lt;author&gt;Titov, Nickolai&lt;/author&gt;&lt;/authors&gt;&lt;/contributors&gt;&lt;titles&gt;&lt;title&gt;Internet-delivered treatment for older adults with anxiety and depression: Implementation of the Wellbeing Plus Course in routine clinical care and comparison with research trial outcomes&lt;/title&gt;&lt;secondary-title&gt;BJPsych Open&lt;/secondary-title&gt;&lt;/titles&gt;&lt;periodical&gt;&lt;full-title&gt;BJPsych open&lt;/full-title&gt;&lt;/periodical&gt;&lt;pages&gt;307-313&lt;/pages&gt;&lt;volume&gt;2&lt;/volume&gt;&lt;number&gt;5&lt;/number&gt;&lt;dates&gt;&lt;year&gt;2016&lt;/year&gt;&lt;/dates&gt;&lt;isbn&gt;2056-4724&lt;/isbn&gt;&lt;urls&gt;&lt;/urls&gt;&lt;/record&gt;&lt;/Cite&gt;&lt;/EndNote&gt;</w:instrText>
      </w:r>
      <w:r w:rsidR="00B81CB1">
        <w:fldChar w:fldCharType="separate"/>
      </w:r>
      <w:r w:rsidR="004469A2" w:rsidRPr="004469A2">
        <w:rPr>
          <w:noProof/>
          <w:vertAlign w:val="superscript"/>
        </w:rPr>
        <w:t>65</w:t>
      </w:r>
      <w:r w:rsidR="00B81CB1">
        <w:fldChar w:fldCharType="end"/>
      </w:r>
      <w:r w:rsidR="0083188D" w:rsidRPr="000825D3">
        <w:t xml:space="preserve"> and Indigenous consumers.</w:t>
      </w:r>
      <w:r w:rsidR="00B81CB1">
        <w:fldChar w:fldCharType="begin"/>
      </w:r>
      <w:r w:rsidR="004469A2">
        <w:instrText xml:space="preserve"> ADDIN EN.CITE &lt;EndNote&gt;&lt;Cite&gt;&lt;Author&gt;Titov&lt;/Author&gt;&lt;Year&gt;2019&lt;/Year&gt;&lt;RecNum&gt;138&lt;/RecNum&gt;&lt;DisplayText&gt;&lt;style face="superscript"&gt;25&lt;/style&gt;&lt;/DisplayText&gt;&lt;record&gt;&lt;rec-number&gt;138&lt;/rec-number&gt;&lt;foreign-keys&gt;&lt;key app="EN" db-id="dawtr0zrkrzfa5edzzlpe2we0xa00t90vvr2" timestamp="1650430455"&gt;138&lt;/key&gt;&lt;/foreign-keys&gt;&lt;ref-type name="Journal Article"&gt;17&lt;/ref-type&gt;&lt;contributors&gt;&lt;authors&gt;&lt;author&gt;Titov, Nickolai&lt;/author&gt;&lt;author&gt;Schofield, Carlie&lt;/author&gt;&lt;author&gt;Staples, Lauren&lt;/author&gt;&lt;author&gt;Dear, Blake F&lt;/author&gt;&lt;author&gt;Nielssen, Olav&lt;/author&gt;&lt;/authors&gt;&lt;/contributors&gt;&lt;titles&gt;&lt;title&gt;A comparison of Indigenous and non-Indigenous users of MindSpot: An Australian digital mental health service&lt;/title&gt;&lt;secondary-title&gt;Australasian Psychiatry&lt;/secondary-title&gt;&lt;/titles&gt;&lt;periodical&gt;&lt;full-title&gt;Australasian Psychiatry&lt;/full-title&gt;&lt;/periodical&gt;&lt;pages&gt;352-357&lt;/pages&gt;&lt;volume&gt;27&lt;/volume&gt;&lt;number&gt;4&lt;/number&gt;&lt;dates&gt;&lt;year&gt;2019&lt;/year&gt;&lt;/dates&gt;&lt;isbn&gt;1039-8562&lt;/isbn&gt;&lt;urls&gt;&lt;/urls&gt;&lt;/record&gt;&lt;/Cite&gt;&lt;/EndNote&gt;</w:instrText>
      </w:r>
      <w:r w:rsidR="00B81CB1">
        <w:fldChar w:fldCharType="separate"/>
      </w:r>
      <w:r w:rsidR="004469A2" w:rsidRPr="004469A2">
        <w:rPr>
          <w:noProof/>
          <w:vertAlign w:val="superscript"/>
        </w:rPr>
        <w:t>25</w:t>
      </w:r>
      <w:r w:rsidR="00B81CB1">
        <w:fldChar w:fldCharType="end"/>
      </w:r>
    </w:p>
    <w:p w14:paraId="1656F318" w14:textId="1BB6639C" w:rsidR="00980283" w:rsidRPr="009C3188" w:rsidRDefault="003B379E" w:rsidP="0058768D">
      <w:pPr>
        <w:pStyle w:val="ANorm"/>
        <w:rPr>
          <w:highlight w:val="green"/>
        </w:rPr>
      </w:pPr>
      <w:r>
        <w:t xml:space="preserve">In the </w:t>
      </w:r>
      <w:r w:rsidR="009F7550">
        <w:t xml:space="preserve">1.5 years since the introduction of self-directed treatment courses in July </w:t>
      </w:r>
      <w:r w:rsidR="008E6CB1">
        <w:t>2019, 94% of consumers who responded to these items indicated they would recommend the service</w:t>
      </w:r>
      <w:r w:rsidR="0083188D">
        <w:t xml:space="preserve"> and felt it was worthwhile.</w:t>
      </w:r>
    </w:p>
    <w:p w14:paraId="7F5BA07B" w14:textId="77777777" w:rsidR="00AE52F3" w:rsidRDefault="00AE52F3">
      <w:pPr>
        <w:rPr>
          <w:rFonts w:ascii="Calibri" w:hAnsi="Calibri" w:cs="Arial"/>
          <w:b/>
          <w:bCs/>
          <w:iCs/>
          <w:color w:val="2F5496" w:themeColor="accent1" w:themeShade="BF"/>
          <w:sz w:val="28"/>
          <w:szCs w:val="28"/>
        </w:rPr>
      </w:pPr>
      <w:r>
        <w:br w:type="page"/>
      </w:r>
    </w:p>
    <w:p w14:paraId="285235A5" w14:textId="5062F4F1" w:rsidR="00364DC4" w:rsidRDefault="00364DC4" w:rsidP="005A16C4">
      <w:pPr>
        <w:pStyle w:val="Heading2"/>
        <w:numPr>
          <w:ilvl w:val="1"/>
          <w:numId w:val="165"/>
        </w:numPr>
      </w:pPr>
      <w:bookmarkStart w:id="58" w:name="_Toc108784843"/>
      <w:r w:rsidRPr="00EB70CE">
        <w:lastRenderedPageBreak/>
        <w:t>THIS WAY UP</w:t>
      </w:r>
      <w:r w:rsidR="00E038F7">
        <w:t xml:space="preserve"> outcomes</w:t>
      </w:r>
      <w:bookmarkEnd w:id="58"/>
    </w:p>
    <w:p w14:paraId="1AEC0662" w14:textId="5578DD52" w:rsidR="00873E7B" w:rsidRDefault="003169C8" w:rsidP="0064044A">
      <w:pPr>
        <w:pStyle w:val="ANorm"/>
        <w:spacing w:after="200"/>
      </w:pPr>
      <w:r w:rsidRPr="0058047C">
        <w:t xml:space="preserve">Table </w:t>
      </w:r>
      <w:r w:rsidR="00B503F6">
        <w:t>1</w:t>
      </w:r>
      <w:r w:rsidR="00D0441A">
        <w:t>9</w:t>
      </w:r>
      <w:r w:rsidRPr="0058047C">
        <w:t xml:space="preserve"> shows mental health </w:t>
      </w:r>
      <w:r w:rsidR="00A34E61">
        <w:t xml:space="preserve">and disability </w:t>
      </w:r>
      <w:r w:rsidRPr="0058047C">
        <w:t xml:space="preserve">outcomes of </w:t>
      </w:r>
      <w:r>
        <w:t xml:space="preserve">therapist-supported </w:t>
      </w:r>
      <w:r w:rsidR="00000EF6">
        <w:t xml:space="preserve">routine </w:t>
      </w:r>
      <w:r>
        <w:t xml:space="preserve">treatment </w:t>
      </w:r>
      <w:r w:rsidRPr="0058047C">
        <w:t xml:space="preserve">produced by </w:t>
      </w:r>
      <w:r>
        <w:t xml:space="preserve">THIS WAY UP for consumers accessing their service </w:t>
      </w:r>
      <w:r w:rsidR="00873E7B">
        <w:t>over different time periods</w:t>
      </w:r>
      <w:r w:rsidRPr="00997844">
        <w:t>.</w:t>
      </w:r>
    </w:p>
    <w:p w14:paraId="31F01FA4" w14:textId="3BF42FCB" w:rsidR="006A4091" w:rsidRPr="006A4091" w:rsidRDefault="00873E7B" w:rsidP="0064044A">
      <w:pPr>
        <w:pStyle w:val="ANorm"/>
        <w:spacing w:after="200"/>
        <w:rPr>
          <w:rFonts w:asciiTheme="minorHAnsi" w:hAnsiTheme="minorHAnsi" w:cstheme="minorHAnsi"/>
        </w:rPr>
      </w:pPr>
      <w:r w:rsidRPr="006A4091">
        <w:t xml:space="preserve">As with </w:t>
      </w:r>
      <w:proofErr w:type="spellStart"/>
      <w:r w:rsidRPr="006A4091">
        <w:t>MindSpot</w:t>
      </w:r>
      <w:proofErr w:type="spellEnd"/>
      <w:r w:rsidRPr="006A4091">
        <w:t xml:space="preserve">, </w:t>
      </w:r>
      <w:r w:rsidR="006A4091" w:rsidRPr="006A4091">
        <w:t xml:space="preserve">some data were </w:t>
      </w:r>
      <w:r w:rsidR="006A4091" w:rsidRPr="006A4091">
        <w:rPr>
          <w:rFonts w:asciiTheme="minorHAnsi" w:hAnsiTheme="minorHAnsi" w:cstheme="minorHAnsi"/>
        </w:rPr>
        <w:t>directly provided by THIS WAY UP in aggregate form, so we were unable to determine baseline scores for the subset of consumers who completed post-treatment assessments. Therefore, these data are included in Table 19 solely to demonstrate trends in mean scores before and after treatment over the life of THIS WAY UP.</w:t>
      </w:r>
    </w:p>
    <w:p w14:paraId="1A62D1C3" w14:textId="37A4C336" w:rsidR="003169C8" w:rsidRPr="00230BD0" w:rsidRDefault="006A4091" w:rsidP="0064044A">
      <w:pPr>
        <w:pStyle w:val="ANorm"/>
        <w:spacing w:after="200"/>
      </w:pPr>
      <w:r w:rsidRPr="001D5A97">
        <w:rPr>
          <w:rFonts w:asciiTheme="minorHAnsi" w:hAnsiTheme="minorHAnsi" w:cstheme="minorHAnsi"/>
        </w:rPr>
        <w:t>We also extracted outcome data from several of their peer-reviewed publications of routine care outcomes</w:t>
      </w:r>
      <w:r w:rsidR="001D5A97">
        <w:rPr>
          <w:rFonts w:asciiTheme="minorHAnsi" w:hAnsiTheme="minorHAnsi" w:cstheme="minorHAnsi"/>
        </w:rPr>
        <w:t>,</w:t>
      </w:r>
      <w:r w:rsidR="001D5A97" w:rsidRPr="001D5A97">
        <w:rPr>
          <w:rFonts w:asciiTheme="minorHAnsi" w:hAnsiTheme="minorHAnsi" w:cstheme="minorHAnsi"/>
        </w:rPr>
        <w:fldChar w:fldCharType="begin">
          <w:fldData xml:space="preserve">PEVuZE5vdGU+PENpdGU+PEF1dGhvcj5OZXdieTwvQXV0aG9yPjxZZWFyPjIwMTc8L1llYXI+PFJl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</w:fldData>
        </w:fldChar>
      </w:r>
      <w:r w:rsidR="004469A2">
        <w:rPr>
          <w:rFonts w:asciiTheme="minorHAnsi" w:hAnsiTheme="minorHAnsi" w:cstheme="minorHAnsi"/>
        </w:rPr>
        <w:instrText xml:space="preserve"> ADDIN EN.CITE </w:instrText>
      </w:r>
      <w:r w:rsidR="004469A2">
        <w:rPr>
          <w:rFonts w:asciiTheme="minorHAnsi" w:hAnsiTheme="minorHAnsi" w:cstheme="minorHAnsi"/>
        </w:rPr>
        <w:fldChar w:fldCharType="begin">
          <w:fldData xml:space="preserve">PEVuZE5vdGU+PENpdGU+PEF1dGhvcj5OZXdieTwvQXV0aG9yPjxZZWFyPjIwMTc8L1llYXI+PFJl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</w:fldData>
        </w:fldChar>
      </w:r>
      <w:r w:rsidR="004469A2">
        <w:rPr>
          <w:rFonts w:asciiTheme="minorHAnsi" w:hAnsiTheme="minorHAnsi" w:cstheme="minorHAnsi"/>
        </w:rPr>
        <w:instrText xml:space="preserve"> ADDIN EN.CITE.DATA </w:instrText>
      </w:r>
      <w:r w:rsidR="004469A2">
        <w:rPr>
          <w:rFonts w:asciiTheme="minorHAnsi" w:hAnsiTheme="minorHAnsi" w:cstheme="minorHAnsi"/>
        </w:rPr>
      </w:r>
      <w:r w:rsidR="004469A2">
        <w:rPr>
          <w:rFonts w:asciiTheme="minorHAnsi" w:hAnsiTheme="minorHAnsi" w:cstheme="minorHAnsi"/>
        </w:rPr>
        <w:fldChar w:fldCharType="end"/>
      </w:r>
      <w:r w:rsidR="001D5A97" w:rsidRPr="001D5A97">
        <w:rPr>
          <w:rFonts w:asciiTheme="minorHAnsi" w:hAnsiTheme="minorHAnsi" w:cstheme="minorHAnsi"/>
        </w:rPr>
      </w:r>
      <w:r w:rsidR="001D5A97" w:rsidRPr="001D5A97">
        <w:rPr>
          <w:rFonts w:asciiTheme="minorHAnsi" w:hAnsiTheme="minorHAnsi" w:cstheme="minorHAnsi"/>
        </w:rPr>
        <w:fldChar w:fldCharType="separate"/>
      </w:r>
      <w:r w:rsidR="004469A2" w:rsidRPr="004469A2">
        <w:rPr>
          <w:rFonts w:asciiTheme="minorHAnsi" w:hAnsiTheme="minorHAnsi" w:cstheme="minorHAnsi"/>
          <w:noProof/>
          <w:vertAlign w:val="superscript"/>
        </w:rPr>
        <w:t>50-54</w:t>
      </w:r>
      <w:r w:rsidR="001D5A97" w:rsidRPr="001D5A97">
        <w:rPr>
          <w:rFonts w:asciiTheme="minorHAnsi" w:hAnsiTheme="minorHAnsi" w:cstheme="minorHAnsi"/>
        </w:rPr>
        <w:fldChar w:fldCharType="end"/>
      </w:r>
      <w:r w:rsidR="001D5A97">
        <w:rPr>
          <w:rFonts w:asciiTheme="minorHAnsi" w:hAnsiTheme="minorHAnsi" w:cstheme="minorHAnsi"/>
        </w:rPr>
        <w:t xml:space="preserve"> </w:t>
      </w:r>
      <w:r w:rsidRPr="001D5A97">
        <w:rPr>
          <w:rFonts w:asciiTheme="minorHAnsi" w:hAnsiTheme="minorHAnsi" w:cstheme="minorHAnsi"/>
        </w:rPr>
        <w:t>which we used for calculating effect sizes instead of the aggregated routinely collected data</w:t>
      </w:r>
      <w:r w:rsidR="003169C8" w:rsidRPr="001D5A97">
        <w:rPr>
          <w:rFonts w:asciiTheme="minorHAnsi" w:hAnsiTheme="minorHAnsi" w:cstheme="minorHAnsi"/>
        </w:rPr>
        <w:t>.</w:t>
      </w:r>
      <w:r w:rsidR="00230BD0" w:rsidRPr="001D5A97">
        <w:rPr>
          <w:rFonts w:asciiTheme="minorHAnsi" w:hAnsiTheme="minorHAnsi" w:cstheme="minorHAnsi"/>
        </w:rPr>
        <w:t xml:space="preserve"> We selected publications covering outcomes </w:t>
      </w:r>
      <w:r w:rsidR="00C429E9" w:rsidRPr="001D5A97">
        <w:rPr>
          <w:rFonts w:asciiTheme="minorHAnsi" w:hAnsiTheme="minorHAnsi" w:cstheme="minorHAnsi"/>
        </w:rPr>
        <w:t>across disorders and age groups.</w:t>
      </w:r>
    </w:p>
    <w:p w14:paraId="4F7230C0" w14:textId="324B990E" w:rsidR="003169C8" w:rsidRDefault="003169C8" w:rsidP="0064044A">
      <w:pPr>
        <w:pStyle w:val="ANorm"/>
        <w:spacing w:after="200"/>
        <w:rPr>
          <w:rFonts w:asciiTheme="minorHAnsi" w:hAnsiTheme="minorHAnsi" w:cstheme="minorHAnsi"/>
        </w:rPr>
      </w:pPr>
      <w:r>
        <w:rPr>
          <w:rFonts w:asciiTheme="minorHAnsi" w:hAnsiTheme="minorHAnsi" w:cstheme="minorHAnsi"/>
        </w:rPr>
        <w:t xml:space="preserve">It should be noted that we classified all treatments in peer-reviewed publications as therapist-supported because we understand that THIS WAY UP encourages all registered clinicians to contact their </w:t>
      </w:r>
      <w:r w:rsidR="00463359">
        <w:rPr>
          <w:rFonts w:asciiTheme="minorHAnsi" w:hAnsiTheme="minorHAnsi" w:cstheme="minorHAnsi"/>
        </w:rPr>
        <w:t xml:space="preserve">patients </w:t>
      </w:r>
      <w:r>
        <w:rPr>
          <w:rFonts w:asciiTheme="minorHAnsi" w:hAnsiTheme="minorHAnsi" w:cstheme="minorHAnsi"/>
        </w:rPr>
        <w:t xml:space="preserve">at least twice during </w:t>
      </w:r>
      <w:r w:rsidRPr="0082615C">
        <w:rPr>
          <w:rFonts w:asciiTheme="minorHAnsi" w:hAnsiTheme="minorHAnsi" w:cstheme="minorHAnsi"/>
        </w:rPr>
        <w:t xml:space="preserve">the </w:t>
      </w:r>
      <w:proofErr w:type="spellStart"/>
      <w:r w:rsidRPr="0082615C">
        <w:rPr>
          <w:rFonts w:asciiTheme="minorHAnsi" w:hAnsiTheme="minorHAnsi" w:cstheme="minorHAnsi"/>
        </w:rPr>
        <w:t>iCBT</w:t>
      </w:r>
      <w:proofErr w:type="spellEnd"/>
      <w:r w:rsidRPr="0082615C">
        <w:rPr>
          <w:rFonts w:asciiTheme="minorHAnsi" w:hAnsiTheme="minorHAnsi" w:cstheme="minorHAnsi"/>
        </w:rPr>
        <w:t xml:space="preserve"> program</w:t>
      </w:r>
      <w:r>
        <w:rPr>
          <w:rFonts w:asciiTheme="minorHAnsi" w:hAnsiTheme="minorHAnsi" w:cstheme="minorHAnsi"/>
        </w:rPr>
        <w:t xml:space="preserve"> to maximise adherence and if their patient’s distress is high or increases between lessons.</w:t>
      </w:r>
      <w:r w:rsidR="00EF0F80">
        <w:rPr>
          <w:rFonts w:asciiTheme="minorHAnsi" w:hAnsiTheme="minorHAnsi" w:cstheme="minorHAnsi"/>
        </w:rPr>
        <w:fldChar w:fldCharType="begin"/>
      </w:r>
      <w:r w:rsidR="004469A2">
        <w:rPr>
          <w:rFonts w:asciiTheme="minorHAnsi" w:hAnsiTheme="minorHAnsi" w:cstheme="minorHAnsi"/>
        </w:rPr>
        <w:instrText xml:space="preserve"> ADDIN EN.CITE &lt;EndNote&gt;&lt;Cite&gt;&lt;Author&gt;Newby&lt;/Author&gt;&lt;Year&gt;2017&lt;/Year&gt;&lt;RecNum&gt;194&lt;/RecNum&gt;&lt;DisplayText&gt;&lt;style face="superscript"&gt;54, 70&lt;/style&gt;&lt;/DisplayText&gt;&lt;record&gt;&lt;rec-number&gt;194&lt;/rec-number&gt;&lt;foreign-keys&gt;&lt;key app="EN" db-id="dawtr0zrkrzfa5edzzlpe2we0xa00t90vvr2" timestamp="1655693688"&gt;194&lt;/key&gt;&lt;/foreign-keys&gt;&lt;ref-type name="Journal Article"&gt;17&lt;/ref-type&gt;&lt;contributors&gt;&lt;authors&gt;&lt;author&gt;Newby, Jill M&lt;/author&gt;&lt;author&gt;Mewton, Louise&lt;/author&gt;&lt;author&gt;Andrews, Gavin&lt;/author&gt;&lt;/authors&gt;&lt;/contributors&gt;&lt;titles&gt;&lt;title&gt;Transdiagnostic versus disorder-specific internet-delivered cognitive behaviour therapy for anxiety and depression in primary care&lt;/title&gt;&lt;secondary-title&gt;Journal of Anxiety Disorders&lt;/secondary-title&gt;&lt;/titles&gt;&lt;periodical&gt;&lt;full-title&gt;Journal of anxiety disorders&lt;/full-title&gt;&lt;/periodical&gt;&lt;pages&gt;25-34&lt;/pages&gt;&lt;volume&gt;46&lt;/volume&gt;&lt;dates&gt;&lt;year&gt;2017&lt;/year&gt;&lt;/dates&gt;&lt;isbn&gt;0887-6185&lt;/isbn&gt;&lt;urls&gt;&lt;/urls&gt;&lt;/record&gt;&lt;/Cite&gt;&lt;Cite&gt;&lt;Author&gt;Newby&lt;/Author&gt;&lt;Year&gt;2014&lt;/Year&gt;&lt;RecNum&gt;193&lt;/RecNum&gt;&lt;record&gt;&lt;rec-number&gt;193&lt;/rec-number&gt;&lt;foreign-keys&gt;&lt;key app="EN" db-id="dawtr0zrkrzfa5edzzlpe2we0xa00t90vvr2" timestamp="1655693545"&gt;193&lt;/key&gt;&lt;/foreign-keys&gt;&lt;ref-type name="Journal Article"&gt;17&lt;/ref-type&gt;&lt;contributors&gt;&lt;authors&gt;&lt;author&gt;Newby, Jill M&lt;/author&gt;&lt;author&gt;Mewton, Louise&lt;/author&gt;&lt;author&gt;Williams, Alishia D&lt;/author&gt;&lt;author&gt;Andrews, Gavin&lt;/author&gt;&lt;/authors&gt;&lt;/contributors&gt;&lt;titles&gt;&lt;title&gt;Effectiveness of transdiagnostic internet cognitive behavioural treatment for mixed anxiety and depression in primary care&lt;/title&gt;&lt;secondary-title&gt;Journal of Affective Disorders&lt;/secondary-title&gt;&lt;/titles&gt;&lt;periodical&gt;&lt;full-title&gt;Journal of Affective Disorders&lt;/full-title&gt;&lt;/periodical&gt;&lt;pages&gt;45-52&lt;/pages&gt;&lt;volume&gt;165&lt;/volume&gt;&lt;dates&gt;&lt;year&gt;2014&lt;/year&gt;&lt;/dates&gt;&lt;isbn&gt;0165-0327&lt;/isbn&gt;&lt;urls&gt;&lt;/urls&gt;&lt;/record&gt;&lt;/Cite&gt;&lt;/EndNote&gt;</w:instrText>
      </w:r>
      <w:r w:rsidR="00EF0F80">
        <w:rPr>
          <w:rFonts w:asciiTheme="minorHAnsi" w:hAnsiTheme="minorHAnsi" w:cstheme="minorHAnsi"/>
        </w:rPr>
        <w:fldChar w:fldCharType="separate"/>
      </w:r>
      <w:r w:rsidR="004469A2" w:rsidRPr="004469A2">
        <w:rPr>
          <w:rFonts w:asciiTheme="minorHAnsi" w:hAnsiTheme="minorHAnsi" w:cstheme="minorHAnsi"/>
          <w:noProof/>
          <w:vertAlign w:val="superscript"/>
        </w:rPr>
        <w:t>54, 70</w:t>
      </w:r>
      <w:r w:rsidR="00EF0F80">
        <w:rPr>
          <w:rFonts w:asciiTheme="minorHAnsi" w:hAnsiTheme="minorHAnsi" w:cstheme="minorHAnsi"/>
        </w:rPr>
        <w:fldChar w:fldCharType="end"/>
      </w:r>
      <w:r>
        <w:rPr>
          <w:rFonts w:asciiTheme="minorHAnsi" w:hAnsiTheme="minorHAnsi" w:cstheme="minorHAnsi"/>
        </w:rPr>
        <w:t xml:space="preserve"> However, there </w:t>
      </w:r>
      <w:r w:rsidRPr="0082615C">
        <w:rPr>
          <w:rFonts w:asciiTheme="minorHAnsi" w:hAnsiTheme="minorHAnsi" w:cstheme="minorHAnsi"/>
        </w:rPr>
        <w:t xml:space="preserve">is </w:t>
      </w:r>
      <w:r>
        <w:rPr>
          <w:rFonts w:asciiTheme="minorHAnsi" w:hAnsiTheme="minorHAnsi" w:cstheme="minorHAnsi"/>
        </w:rPr>
        <w:t>wide</w:t>
      </w:r>
      <w:r w:rsidRPr="0082615C">
        <w:rPr>
          <w:rFonts w:asciiTheme="minorHAnsi" w:hAnsiTheme="minorHAnsi" w:cstheme="minorHAnsi"/>
        </w:rPr>
        <w:t xml:space="preserve"> variability in</w:t>
      </w:r>
      <w:r>
        <w:rPr>
          <w:rFonts w:asciiTheme="minorHAnsi" w:hAnsiTheme="minorHAnsi" w:cstheme="minorHAnsi"/>
        </w:rPr>
        <w:t xml:space="preserve"> </w:t>
      </w:r>
      <w:r w:rsidR="006B43C9">
        <w:rPr>
          <w:rFonts w:asciiTheme="minorHAnsi" w:hAnsiTheme="minorHAnsi" w:cstheme="minorHAnsi"/>
        </w:rPr>
        <w:t>the</w:t>
      </w:r>
      <w:r>
        <w:rPr>
          <w:rFonts w:asciiTheme="minorHAnsi" w:hAnsiTheme="minorHAnsi" w:cstheme="minorHAnsi"/>
        </w:rPr>
        <w:t xml:space="preserve"> </w:t>
      </w:r>
      <w:r w:rsidRPr="0082615C">
        <w:rPr>
          <w:rFonts w:asciiTheme="minorHAnsi" w:hAnsiTheme="minorHAnsi" w:cstheme="minorHAnsi"/>
        </w:rPr>
        <w:t>number and type of contacts clinician</w:t>
      </w:r>
      <w:r>
        <w:rPr>
          <w:rFonts w:asciiTheme="minorHAnsi" w:hAnsiTheme="minorHAnsi" w:cstheme="minorHAnsi"/>
        </w:rPr>
        <w:t>s</w:t>
      </w:r>
      <w:r w:rsidRPr="0082615C">
        <w:rPr>
          <w:rFonts w:asciiTheme="minorHAnsi" w:hAnsiTheme="minorHAnsi" w:cstheme="minorHAnsi"/>
        </w:rPr>
        <w:t xml:space="preserve"> </w:t>
      </w:r>
      <w:r>
        <w:rPr>
          <w:rFonts w:asciiTheme="minorHAnsi" w:hAnsiTheme="minorHAnsi" w:cstheme="minorHAnsi"/>
        </w:rPr>
        <w:t xml:space="preserve">initiate with their patients, </w:t>
      </w:r>
      <w:r w:rsidRPr="0082615C">
        <w:rPr>
          <w:rFonts w:asciiTheme="minorHAnsi" w:hAnsiTheme="minorHAnsi" w:cstheme="minorHAnsi"/>
        </w:rPr>
        <w:t xml:space="preserve">with the median number </w:t>
      </w:r>
      <w:r>
        <w:rPr>
          <w:rFonts w:asciiTheme="minorHAnsi" w:hAnsiTheme="minorHAnsi" w:cstheme="minorHAnsi"/>
        </w:rPr>
        <w:t xml:space="preserve">being </w:t>
      </w:r>
      <w:r w:rsidRPr="0082615C">
        <w:rPr>
          <w:rFonts w:asciiTheme="minorHAnsi" w:hAnsiTheme="minorHAnsi" w:cstheme="minorHAnsi"/>
        </w:rPr>
        <w:t>one contact, and more</w:t>
      </w:r>
      <w:r>
        <w:rPr>
          <w:rFonts w:asciiTheme="minorHAnsi" w:hAnsiTheme="minorHAnsi" w:cstheme="minorHAnsi"/>
        </w:rPr>
        <w:t xml:space="preserve"> </w:t>
      </w:r>
      <w:r w:rsidRPr="0082615C">
        <w:rPr>
          <w:rFonts w:asciiTheme="minorHAnsi" w:hAnsiTheme="minorHAnsi" w:cstheme="minorHAnsi"/>
        </w:rPr>
        <w:t xml:space="preserve">than </w:t>
      </w:r>
      <w:r>
        <w:rPr>
          <w:rFonts w:asciiTheme="minorHAnsi" w:hAnsiTheme="minorHAnsi" w:cstheme="minorHAnsi"/>
        </w:rPr>
        <w:t>50%</w:t>
      </w:r>
      <w:r w:rsidRPr="0082615C">
        <w:rPr>
          <w:rFonts w:asciiTheme="minorHAnsi" w:hAnsiTheme="minorHAnsi" w:cstheme="minorHAnsi"/>
        </w:rPr>
        <w:t xml:space="preserve"> of patients reporting that they </w:t>
      </w:r>
      <w:r>
        <w:rPr>
          <w:rFonts w:asciiTheme="minorHAnsi" w:hAnsiTheme="minorHAnsi" w:cstheme="minorHAnsi"/>
        </w:rPr>
        <w:t xml:space="preserve">had no contact from their </w:t>
      </w:r>
      <w:r w:rsidRPr="0082615C">
        <w:rPr>
          <w:rFonts w:asciiTheme="minorHAnsi" w:hAnsiTheme="minorHAnsi" w:cstheme="minorHAnsi"/>
        </w:rPr>
        <w:t xml:space="preserve">clinician during their </w:t>
      </w:r>
      <w:proofErr w:type="spellStart"/>
      <w:r w:rsidRPr="0082615C">
        <w:rPr>
          <w:rFonts w:asciiTheme="minorHAnsi" w:hAnsiTheme="minorHAnsi" w:cstheme="minorHAnsi"/>
        </w:rPr>
        <w:t>iCBT</w:t>
      </w:r>
      <w:proofErr w:type="spellEnd"/>
      <w:r w:rsidRPr="0082615C">
        <w:rPr>
          <w:rFonts w:asciiTheme="minorHAnsi" w:hAnsiTheme="minorHAnsi" w:cstheme="minorHAnsi"/>
        </w:rPr>
        <w:t xml:space="preserve"> program.</w:t>
      </w:r>
      <w:r w:rsidR="00B81CB1" w:rsidRPr="00D37D17">
        <w:rPr>
          <w:rFonts w:asciiTheme="minorHAnsi" w:hAnsiTheme="minorHAnsi" w:cstheme="minorHAnsi"/>
        </w:rPr>
        <w:fldChar w:fldCharType="begin"/>
      </w:r>
      <w:r w:rsidR="004469A2">
        <w:rPr>
          <w:rFonts w:asciiTheme="minorHAnsi" w:hAnsiTheme="minorHAnsi" w:cstheme="minorHAnsi"/>
        </w:rPr>
        <w:instrText xml:space="preserve"> ADDIN EN.CITE &lt;EndNote&gt;&lt;Cite&gt;&lt;Author&gt;Newby&lt;/Author&gt;&lt;Year&gt;2014&lt;/Year&gt;&lt;RecNum&gt;193&lt;/RecNum&gt;&lt;DisplayText&gt;&lt;style face="superscript"&gt;70&lt;/style&gt;&lt;/DisplayText&gt;&lt;record&gt;&lt;rec-number&gt;193&lt;/rec-number&gt;&lt;foreign-keys&gt;&lt;key app="EN" db-id="dawtr0zrkrzfa5edzzlpe2we0xa00t90vvr2" timestamp="1655693545"&gt;193&lt;/key&gt;&lt;/foreign-keys&gt;&lt;ref-type name="Journal Article"&gt;17&lt;/ref-type&gt;&lt;contributors&gt;&lt;authors&gt;&lt;author&gt;Newby, Jill M&lt;/author&gt;&lt;author&gt;Mewton, Louise&lt;/author&gt;&lt;author&gt;Williams, Alishia D&lt;/author&gt;&lt;author&gt;Andrews, Gavin&lt;/author&gt;&lt;/authors&gt;&lt;/contributors&gt;&lt;titles&gt;&lt;title&gt;Effectiveness of transdiagnostic internet cognitive behavioural treatment for mixed anxiety and depression in primary care&lt;/title&gt;&lt;secondary-title&gt;Journal of Affective Disorders&lt;/secondary-title&gt;&lt;/titles&gt;&lt;periodical&gt;&lt;full-title&gt;Journal of Affective Disorders&lt;/full-title&gt;&lt;/periodical&gt;&lt;pages&gt;45-52&lt;/pages&gt;&lt;volume&gt;165&lt;/volume&gt;&lt;dates&gt;&lt;year&gt;2014&lt;/year&gt;&lt;/dates&gt;&lt;isbn&gt;0165-0327&lt;/isbn&gt;&lt;urls&gt;&lt;/urls&gt;&lt;/record&gt;&lt;/Cite&gt;&lt;/EndNote&gt;</w:instrText>
      </w:r>
      <w:r w:rsidR="00B81CB1" w:rsidRPr="00D37D17">
        <w:rPr>
          <w:rFonts w:asciiTheme="minorHAnsi" w:hAnsiTheme="minorHAnsi" w:cstheme="minorHAnsi"/>
        </w:rPr>
        <w:fldChar w:fldCharType="separate"/>
      </w:r>
      <w:r w:rsidR="004469A2" w:rsidRPr="004469A2">
        <w:rPr>
          <w:rFonts w:asciiTheme="minorHAnsi" w:hAnsiTheme="minorHAnsi" w:cstheme="minorHAnsi"/>
          <w:noProof/>
          <w:vertAlign w:val="superscript"/>
        </w:rPr>
        <w:t>70</w:t>
      </w:r>
      <w:r w:rsidR="00B81CB1" w:rsidRPr="00D37D17">
        <w:rPr>
          <w:rFonts w:asciiTheme="minorHAnsi" w:hAnsiTheme="minorHAnsi" w:cstheme="minorHAnsi"/>
        </w:rPr>
        <w:fldChar w:fldCharType="end"/>
      </w:r>
      <w:r w:rsidRPr="00D37D17">
        <w:rPr>
          <w:rFonts w:asciiTheme="minorHAnsi" w:hAnsiTheme="minorHAnsi" w:cstheme="minorHAnsi"/>
        </w:rPr>
        <w:t xml:space="preserve"> So, </w:t>
      </w:r>
      <w:proofErr w:type="spellStart"/>
      <w:r w:rsidRPr="00D37D17">
        <w:rPr>
          <w:rFonts w:asciiTheme="minorHAnsi" w:hAnsiTheme="minorHAnsi" w:cstheme="minorHAnsi"/>
        </w:rPr>
        <w:t>iCBT</w:t>
      </w:r>
      <w:proofErr w:type="spellEnd"/>
      <w:r>
        <w:rPr>
          <w:rFonts w:asciiTheme="minorHAnsi" w:hAnsiTheme="minorHAnsi" w:cstheme="minorHAnsi"/>
        </w:rPr>
        <w:t xml:space="preserve"> is likely to include both therapist-support</w:t>
      </w:r>
      <w:r w:rsidR="00194CD3">
        <w:rPr>
          <w:rFonts w:asciiTheme="minorHAnsi" w:hAnsiTheme="minorHAnsi" w:cstheme="minorHAnsi"/>
        </w:rPr>
        <w:t>ed</w:t>
      </w:r>
      <w:r>
        <w:rPr>
          <w:rFonts w:asciiTheme="minorHAnsi" w:hAnsiTheme="minorHAnsi" w:cstheme="minorHAnsi"/>
        </w:rPr>
        <w:t xml:space="preserve"> and self-directed</w:t>
      </w:r>
      <w:r w:rsidRPr="00E07525">
        <w:rPr>
          <w:rFonts w:asciiTheme="minorHAnsi" w:hAnsiTheme="minorHAnsi" w:cstheme="minorHAnsi"/>
        </w:rPr>
        <w:t xml:space="preserve"> </w:t>
      </w:r>
      <w:r>
        <w:rPr>
          <w:rFonts w:asciiTheme="minorHAnsi" w:hAnsiTheme="minorHAnsi" w:cstheme="minorHAnsi"/>
        </w:rPr>
        <w:t>treatment.</w:t>
      </w:r>
    </w:p>
    <w:p w14:paraId="165F3527" w14:textId="1AAED5A3" w:rsidR="007F601E" w:rsidRPr="007F601E" w:rsidRDefault="007F601E" w:rsidP="0064044A">
      <w:pPr>
        <w:autoSpaceDE w:val="0"/>
        <w:autoSpaceDN w:val="0"/>
        <w:adjustRightInd w:val="0"/>
        <w:snapToGrid w:val="0"/>
        <w:spacing w:after="200"/>
        <w:rPr>
          <w:rFonts w:asciiTheme="minorHAnsi" w:hAnsiTheme="minorHAnsi" w:cstheme="minorHAnsi"/>
          <w:sz w:val="21"/>
          <w:szCs w:val="21"/>
          <w:highlight w:val="yellow"/>
          <w:vertAlign w:val="superscript"/>
        </w:rPr>
        <w:sectPr w:rsidR="007F601E" w:rsidRPr="007F601E" w:rsidSect="007F3C68">
          <w:pgSz w:w="11900" w:h="16840"/>
          <w:pgMar w:top="1440" w:right="1440" w:bottom="1440" w:left="1440" w:header="708" w:footer="708" w:gutter="0"/>
          <w:cols w:space="708"/>
          <w:docGrid w:linePitch="360"/>
        </w:sectPr>
      </w:pPr>
    </w:p>
    <w:p w14:paraId="5D86DAA7" w14:textId="2B914F07" w:rsidR="003169C8" w:rsidRPr="003169C8" w:rsidRDefault="003169C8" w:rsidP="003D1CA1">
      <w:pPr>
        <w:pStyle w:val="tableheading"/>
      </w:pPr>
      <w:r w:rsidRPr="003169C8">
        <w:lastRenderedPageBreak/>
        <w:t>Table 1</w:t>
      </w:r>
      <w:r w:rsidR="00D0441A">
        <w:t>9</w:t>
      </w:r>
      <w:r w:rsidRPr="003169C8">
        <w:t>. Selected THIS WAY UP mental health outcome data before and after (6 module) treatment by support status</w:t>
      </w:r>
    </w:p>
    <w:tbl>
      <w:tblPr>
        <w:tblStyle w:val="TableGrid"/>
        <w:tblW w:w="14032" w:type="dxa"/>
        <w:tblLook w:val="04A0" w:firstRow="1" w:lastRow="0" w:firstColumn="1" w:lastColumn="0" w:noHBand="0" w:noVBand="1"/>
        <w:tblCaption w:val=" Selected THIS WAY UP mental health outcome data before and after (6 module) treatment by support status"/>
        <w:tblDescription w:val="Table  shows mental health and disability outcomes of therapist-supported routine treatment produced by THIS WAY UP for consumers accessing their service over different time periods."/>
      </w:tblPr>
      <w:tblGrid>
        <w:gridCol w:w="1696"/>
        <w:gridCol w:w="2554"/>
        <w:gridCol w:w="1276"/>
        <w:gridCol w:w="1090"/>
        <w:gridCol w:w="941"/>
        <w:gridCol w:w="967"/>
        <w:gridCol w:w="1288"/>
        <w:gridCol w:w="782"/>
        <w:gridCol w:w="1450"/>
        <w:gridCol w:w="1988"/>
      </w:tblGrid>
      <w:tr w:rsidR="003169C8" w:rsidRPr="000345AB" w14:paraId="579DE2C2" w14:textId="77777777" w:rsidTr="007F3C68">
        <w:tc>
          <w:tcPr>
            <w:tcW w:w="1696" w:type="dxa"/>
            <w:shd w:val="clear" w:color="auto" w:fill="000000" w:themeFill="text1"/>
            <w:vAlign w:val="center"/>
          </w:tcPr>
          <w:p w14:paraId="197F2F6F" w14:textId="77777777" w:rsidR="003169C8" w:rsidRPr="00B276EB" w:rsidRDefault="003169C8" w:rsidP="00D5306E">
            <w:pPr>
              <w:ind w:right="37"/>
              <w:jc w:val="center"/>
              <w:rPr>
                <w:rFonts w:asciiTheme="minorHAnsi" w:hAnsiTheme="minorHAnsi" w:cstheme="minorHAnsi"/>
                <w:b/>
                <w:bCs/>
                <w:sz w:val="16"/>
                <w:szCs w:val="16"/>
              </w:rPr>
            </w:pPr>
            <w:r>
              <w:rPr>
                <w:rFonts w:asciiTheme="minorHAnsi" w:hAnsiTheme="minorHAnsi" w:cstheme="minorHAnsi"/>
                <w:b/>
                <w:bCs/>
                <w:sz w:val="16"/>
                <w:szCs w:val="16"/>
              </w:rPr>
              <w:t>Population group</w:t>
            </w:r>
          </w:p>
        </w:tc>
        <w:tc>
          <w:tcPr>
            <w:tcW w:w="2554" w:type="dxa"/>
            <w:shd w:val="clear" w:color="auto" w:fill="000000" w:themeFill="text1"/>
            <w:vAlign w:val="center"/>
          </w:tcPr>
          <w:p w14:paraId="3F4B64FB" w14:textId="77777777" w:rsidR="003169C8" w:rsidRPr="00B276EB" w:rsidRDefault="003169C8" w:rsidP="00D5306E">
            <w:pPr>
              <w:ind w:right="37"/>
              <w:jc w:val="center"/>
              <w:rPr>
                <w:rFonts w:asciiTheme="minorHAnsi" w:hAnsiTheme="minorHAnsi" w:cstheme="minorHAnsi"/>
                <w:b/>
                <w:bCs/>
                <w:sz w:val="16"/>
                <w:szCs w:val="16"/>
              </w:rPr>
            </w:pPr>
            <w:r w:rsidRPr="00B276EB">
              <w:rPr>
                <w:rFonts w:asciiTheme="minorHAnsi" w:hAnsiTheme="minorHAnsi" w:cstheme="minorHAnsi"/>
                <w:b/>
                <w:bCs/>
                <w:sz w:val="16"/>
                <w:szCs w:val="16"/>
              </w:rPr>
              <w:t>Treatment</w:t>
            </w:r>
          </w:p>
        </w:tc>
        <w:tc>
          <w:tcPr>
            <w:tcW w:w="1276" w:type="dxa"/>
            <w:shd w:val="clear" w:color="auto" w:fill="000000" w:themeFill="text1"/>
            <w:vAlign w:val="center"/>
          </w:tcPr>
          <w:p w14:paraId="4A6DB8BD" w14:textId="77777777" w:rsidR="003169C8" w:rsidRPr="00B276EB" w:rsidRDefault="003169C8" w:rsidP="00D5306E">
            <w:pPr>
              <w:jc w:val="center"/>
              <w:rPr>
                <w:rFonts w:asciiTheme="minorHAnsi" w:hAnsiTheme="minorHAnsi"/>
                <w:b/>
                <w:bCs/>
                <w:sz w:val="16"/>
                <w:szCs w:val="16"/>
              </w:rPr>
            </w:pPr>
            <w:r w:rsidRPr="00B276EB">
              <w:rPr>
                <w:rFonts w:asciiTheme="minorHAnsi" w:hAnsiTheme="minorHAnsi"/>
                <w:b/>
                <w:bCs/>
                <w:sz w:val="16"/>
                <w:szCs w:val="16"/>
              </w:rPr>
              <w:t>Outcome measure</w:t>
            </w:r>
          </w:p>
        </w:tc>
        <w:tc>
          <w:tcPr>
            <w:tcW w:w="1090" w:type="dxa"/>
            <w:shd w:val="clear" w:color="auto" w:fill="000000" w:themeFill="text1"/>
            <w:vAlign w:val="center"/>
          </w:tcPr>
          <w:p w14:paraId="6E551668" w14:textId="77777777" w:rsidR="003169C8" w:rsidRPr="00B276EB" w:rsidRDefault="003169C8" w:rsidP="00D5306E">
            <w:pPr>
              <w:jc w:val="center"/>
              <w:rPr>
                <w:rFonts w:asciiTheme="minorHAnsi" w:hAnsiTheme="minorHAnsi"/>
                <w:b/>
                <w:bCs/>
                <w:sz w:val="16"/>
                <w:szCs w:val="16"/>
              </w:rPr>
            </w:pPr>
            <w:r w:rsidRPr="00B276EB">
              <w:rPr>
                <w:rFonts w:asciiTheme="minorHAnsi" w:hAnsiTheme="minorHAnsi"/>
                <w:b/>
                <w:bCs/>
                <w:sz w:val="16"/>
                <w:szCs w:val="16"/>
              </w:rPr>
              <w:t>Baseline N</w:t>
            </w:r>
          </w:p>
        </w:tc>
        <w:tc>
          <w:tcPr>
            <w:tcW w:w="941" w:type="dxa"/>
            <w:shd w:val="clear" w:color="auto" w:fill="000000" w:themeFill="text1"/>
            <w:vAlign w:val="center"/>
          </w:tcPr>
          <w:p w14:paraId="51497543" w14:textId="77777777" w:rsidR="003169C8" w:rsidRPr="00B276EB" w:rsidRDefault="003169C8" w:rsidP="00D5306E">
            <w:pPr>
              <w:jc w:val="center"/>
              <w:rPr>
                <w:rFonts w:asciiTheme="minorHAnsi" w:hAnsiTheme="minorHAnsi"/>
                <w:b/>
                <w:bCs/>
                <w:sz w:val="16"/>
                <w:szCs w:val="16"/>
              </w:rPr>
            </w:pPr>
            <w:r w:rsidRPr="00B276EB">
              <w:rPr>
                <w:rFonts w:asciiTheme="minorHAnsi" w:hAnsiTheme="minorHAnsi"/>
                <w:b/>
                <w:bCs/>
                <w:sz w:val="16"/>
                <w:szCs w:val="16"/>
              </w:rPr>
              <w:t>Baseline Mean</w:t>
            </w:r>
          </w:p>
        </w:tc>
        <w:tc>
          <w:tcPr>
            <w:tcW w:w="967" w:type="dxa"/>
            <w:shd w:val="clear" w:color="auto" w:fill="000000" w:themeFill="text1"/>
            <w:vAlign w:val="center"/>
          </w:tcPr>
          <w:p w14:paraId="0A247152" w14:textId="77777777" w:rsidR="003169C8" w:rsidRPr="00B276EB" w:rsidRDefault="003169C8" w:rsidP="00D5306E">
            <w:pPr>
              <w:jc w:val="center"/>
              <w:rPr>
                <w:rFonts w:asciiTheme="minorHAnsi" w:hAnsiTheme="minorHAnsi"/>
                <w:b/>
                <w:bCs/>
                <w:sz w:val="16"/>
                <w:szCs w:val="16"/>
              </w:rPr>
            </w:pPr>
            <w:r w:rsidRPr="00B276EB">
              <w:rPr>
                <w:rFonts w:asciiTheme="minorHAnsi" w:hAnsiTheme="minorHAnsi"/>
                <w:b/>
                <w:bCs/>
                <w:sz w:val="16"/>
                <w:szCs w:val="16"/>
              </w:rPr>
              <w:t>Baseline SD</w:t>
            </w:r>
          </w:p>
        </w:tc>
        <w:tc>
          <w:tcPr>
            <w:tcW w:w="1288" w:type="dxa"/>
            <w:shd w:val="clear" w:color="auto" w:fill="000000" w:themeFill="text1"/>
            <w:vAlign w:val="center"/>
          </w:tcPr>
          <w:p w14:paraId="331C126F" w14:textId="77777777" w:rsidR="003169C8" w:rsidRPr="00B276EB" w:rsidRDefault="003169C8" w:rsidP="00D5306E">
            <w:pPr>
              <w:jc w:val="center"/>
              <w:rPr>
                <w:rFonts w:asciiTheme="minorHAnsi" w:hAnsiTheme="minorHAnsi"/>
                <w:b/>
                <w:bCs/>
                <w:sz w:val="16"/>
                <w:szCs w:val="16"/>
              </w:rPr>
            </w:pPr>
            <w:r w:rsidRPr="00B276EB">
              <w:rPr>
                <w:rFonts w:asciiTheme="minorHAnsi" w:hAnsiTheme="minorHAnsi"/>
                <w:b/>
                <w:bCs/>
                <w:sz w:val="16"/>
                <w:szCs w:val="16"/>
              </w:rPr>
              <w:t>Post</w:t>
            </w:r>
          </w:p>
          <w:p w14:paraId="56FBF647" w14:textId="77777777" w:rsidR="003169C8" w:rsidRPr="00B276EB" w:rsidRDefault="003169C8" w:rsidP="00D5306E">
            <w:pPr>
              <w:jc w:val="center"/>
              <w:rPr>
                <w:rFonts w:asciiTheme="minorHAnsi" w:hAnsiTheme="minorHAnsi"/>
                <w:b/>
                <w:bCs/>
                <w:sz w:val="16"/>
                <w:szCs w:val="16"/>
              </w:rPr>
            </w:pPr>
            <w:r w:rsidRPr="00B276EB">
              <w:rPr>
                <w:rFonts w:asciiTheme="minorHAnsi" w:hAnsiTheme="minorHAnsi"/>
                <w:b/>
                <w:bCs/>
                <w:sz w:val="16"/>
                <w:szCs w:val="16"/>
              </w:rPr>
              <w:t>N</w:t>
            </w:r>
          </w:p>
        </w:tc>
        <w:tc>
          <w:tcPr>
            <w:tcW w:w="782" w:type="dxa"/>
            <w:shd w:val="clear" w:color="auto" w:fill="000000" w:themeFill="text1"/>
            <w:vAlign w:val="center"/>
          </w:tcPr>
          <w:p w14:paraId="1B23E659" w14:textId="77777777" w:rsidR="003169C8" w:rsidRPr="00B276EB" w:rsidRDefault="003169C8" w:rsidP="00D5306E">
            <w:pPr>
              <w:jc w:val="center"/>
              <w:rPr>
                <w:rFonts w:asciiTheme="minorHAnsi" w:hAnsiTheme="minorHAnsi"/>
                <w:b/>
                <w:bCs/>
                <w:sz w:val="16"/>
                <w:szCs w:val="16"/>
              </w:rPr>
            </w:pPr>
            <w:r w:rsidRPr="00B276EB">
              <w:rPr>
                <w:rFonts w:asciiTheme="minorHAnsi" w:hAnsiTheme="minorHAnsi"/>
                <w:b/>
                <w:bCs/>
                <w:sz w:val="16"/>
                <w:szCs w:val="16"/>
              </w:rPr>
              <w:t>Post M</w:t>
            </w:r>
          </w:p>
        </w:tc>
        <w:tc>
          <w:tcPr>
            <w:tcW w:w="1450" w:type="dxa"/>
            <w:shd w:val="clear" w:color="auto" w:fill="000000" w:themeFill="text1"/>
            <w:vAlign w:val="center"/>
          </w:tcPr>
          <w:p w14:paraId="4B48B508" w14:textId="310888DB" w:rsidR="003169C8" w:rsidRPr="000345AB" w:rsidRDefault="003169C8" w:rsidP="00D5306E">
            <w:pPr>
              <w:jc w:val="center"/>
              <w:rPr>
                <w:rFonts w:asciiTheme="minorHAnsi" w:hAnsiTheme="minorHAnsi"/>
                <w:b/>
                <w:bCs/>
                <w:sz w:val="16"/>
                <w:szCs w:val="16"/>
              </w:rPr>
            </w:pPr>
            <w:r w:rsidRPr="000345AB">
              <w:rPr>
                <w:rFonts w:asciiTheme="minorHAnsi" w:hAnsiTheme="minorHAnsi"/>
                <w:b/>
                <w:bCs/>
                <w:sz w:val="16"/>
                <w:szCs w:val="16"/>
              </w:rPr>
              <w:t>Post SD</w:t>
            </w:r>
          </w:p>
        </w:tc>
        <w:tc>
          <w:tcPr>
            <w:tcW w:w="1988" w:type="dxa"/>
            <w:shd w:val="clear" w:color="auto" w:fill="000000" w:themeFill="text1"/>
            <w:vAlign w:val="center"/>
          </w:tcPr>
          <w:p w14:paraId="3F55BF6F" w14:textId="77777777" w:rsidR="003169C8" w:rsidRPr="000345AB" w:rsidRDefault="003169C8" w:rsidP="00D5306E">
            <w:pPr>
              <w:jc w:val="center"/>
              <w:rPr>
                <w:rFonts w:asciiTheme="minorHAnsi" w:hAnsiTheme="minorHAnsi"/>
                <w:b/>
                <w:bCs/>
                <w:sz w:val="16"/>
                <w:szCs w:val="16"/>
              </w:rPr>
            </w:pPr>
            <w:r w:rsidRPr="000345AB">
              <w:rPr>
                <w:rFonts w:asciiTheme="minorHAnsi" w:hAnsiTheme="minorHAnsi"/>
                <w:b/>
                <w:bCs/>
                <w:sz w:val="16"/>
                <w:szCs w:val="16"/>
              </w:rPr>
              <w:t>Effect size</w:t>
            </w:r>
            <w:r>
              <w:rPr>
                <w:rFonts w:asciiTheme="minorHAnsi" w:hAnsiTheme="minorHAnsi"/>
                <w:b/>
                <w:bCs/>
                <w:sz w:val="16"/>
                <w:szCs w:val="16"/>
              </w:rPr>
              <w:t xml:space="preserve"> (g)</w:t>
            </w:r>
          </w:p>
        </w:tc>
      </w:tr>
      <w:tr w:rsidR="003169C8" w:rsidRPr="00A15872" w14:paraId="53AE9164" w14:textId="77777777" w:rsidTr="007F3C68">
        <w:tc>
          <w:tcPr>
            <w:tcW w:w="1696" w:type="dxa"/>
          </w:tcPr>
          <w:p w14:paraId="5F1119B8" w14:textId="77777777" w:rsidR="003169C8" w:rsidRPr="00025212" w:rsidRDefault="003169C8" w:rsidP="00D5306E">
            <w:pPr>
              <w:ind w:right="37"/>
              <w:jc w:val="center"/>
              <w:rPr>
                <w:rFonts w:asciiTheme="minorHAnsi" w:hAnsiTheme="minorHAnsi" w:cstheme="minorHAnsi"/>
                <w:sz w:val="16"/>
                <w:szCs w:val="16"/>
                <w:highlight w:val="green"/>
              </w:rPr>
            </w:pPr>
            <w:r w:rsidRPr="00773AA2">
              <w:rPr>
                <w:rFonts w:asciiTheme="minorHAnsi" w:hAnsiTheme="minorHAnsi" w:cstheme="minorHAnsi"/>
                <w:sz w:val="16"/>
                <w:szCs w:val="16"/>
              </w:rPr>
              <w:t>All</w:t>
            </w:r>
          </w:p>
        </w:tc>
        <w:tc>
          <w:tcPr>
            <w:tcW w:w="2554" w:type="dxa"/>
          </w:tcPr>
          <w:p w14:paraId="2E14A19B" w14:textId="69B20180" w:rsidR="003169C8" w:rsidRDefault="003169C8" w:rsidP="00D5306E">
            <w:pPr>
              <w:ind w:right="37"/>
              <w:jc w:val="center"/>
              <w:rPr>
                <w:rFonts w:asciiTheme="minorHAnsi" w:hAnsiTheme="minorHAnsi" w:cstheme="minorHAnsi"/>
                <w:sz w:val="16"/>
                <w:szCs w:val="16"/>
              </w:rPr>
            </w:pPr>
            <w:r w:rsidRPr="00EE0008">
              <w:rPr>
                <w:rFonts w:asciiTheme="minorHAnsi" w:hAnsiTheme="minorHAnsi" w:cstheme="minorHAnsi"/>
                <w:sz w:val="16"/>
                <w:szCs w:val="16"/>
              </w:rPr>
              <w:t xml:space="preserve">Self-directed </w:t>
            </w:r>
            <w:proofErr w:type="spellStart"/>
            <w:r w:rsidRPr="00EE0008">
              <w:rPr>
                <w:rFonts w:asciiTheme="minorHAnsi" w:hAnsiTheme="minorHAnsi" w:cstheme="minorHAnsi"/>
                <w:sz w:val="16"/>
                <w:szCs w:val="16"/>
              </w:rPr>
              <w:t>iCBT</w:t>
            </w:r>
            <w:r w:rsidR="00B44087" w:rsidRPr="00B44087">
              <w:rPr>
                <w:rFonts w:asciiTheme="minorHAnsi" w:hAnsiTheme="minorHAnsi" w:cstheme="minorHAnsi"/>
                <w:sz w:val="16"/>
                <w:szCs w:val="16"/>
                <w:vertAlign w:val="superscript"/>
              </w:rPr>
              <w:t>a</w:t>
            </w:r>
            <w:proofErr w:type="spellEnd"/>
          </w:p>
        </w:tc>
        <w:tc>
          <w:tcPr>
            <w:tcW w:w="1276" w:type="dxa"/>
            <w:vAlign w:val="center"/>
          </w:tcPr>
          <w:p w14:paraId="68887127" w14:textId="77777777" w:rsidR="003169C8" w:rsidRPr="00D81C6C" w:rsidRDefault="003169C8" w:rsidP="00D5306E">
            <w:pPr>
              <w:jc w:val="center"/>
              <w:rPr>
                <w:rFonts w:asciiTheme="minorHAnsi" w:hAnsiTheme="minorHAnsi"/>
                <w:sz w:val="16"/>
                <w:szCs w:val="16"/>
              </w:rPr>
            </w:pPr>
            <w:r w:rsidRPr="00EE0008">
              <w:rPr>
                <w:rFonts w:asciiTheme="minorHAnsi" w:hAnsiTheme="minorHAnsi"/>
                <w:sz w:val="16"/>
                <w:szCs w:val="16"/>
              </w:rPr>
              <w:t>K10</w:t>
            </w:r>
          </w:p>
        </w:tc>
        <w:tc>
          <w:tcPr>
            <w:tcW w:w="1090" w:type="dxa"/>
            <w:vAlign w:val="center"/>
          </w:tcPr>
          <w:p w14:paraId="5569C7B3" w14:textId="77777777" w:rsidR="003169C8" w:rsidRPr="00766BAE" w:rsidRDefault="003169C8" w:rsidP="00D5306E">
            <w:pPr>
              <w:jc w:val="center"/>
              <w:rPr>
                <w:rFonts w:asciiTheme="minorHAnsi" w:hAnsiTheme="minorHAnsi"/>
                <w:sz w:val="16"/>
                <w:szCs w:val="16"/>
              </w:rPr>
            </w:pPr>
            <w:r w:rsidRPr="00C96E8F">
              <w:rPr>
                <w:rFonts w:asciiTheme="minorHAnsi" w:hAnsiTheme="minorHAnsi"/>
                <w:sz w:val="16"/>
                <w:szCs w:val="16"/>
              </w:rPr>
              <w:t>27</w:t>
            </w:r>
            <w:r>
              <w:rPr>
                <w:rFonts w:asciiTheme="minorHAnsi" w:hAnsiTheme="minorHAnsi"/>
                <w:sz w:val="16"/>
                <w:szCs w:val="16"/>
              </w:rPr>
              <w:t>,</w:t>
            </w:r>
            <w:r w:rsidRPr="00C96E8F">
              <w:rPr>
                <w:rFonts w:asciiTheme="minorHAnsi" w:hAnsiTheme="minorHAnsi"/>
                <w:sz w:val="16"/>
                <w:szCs w:val="16"/>
              </w:rPr>
              <w:t>874</w:t>
            </w:r>
          </w:p>
        </w:tc>
        <w:tc>
          <w:tcPr>
            <w:tcW w:w="941" w:type="dxa"/>
            <w:vAlign w:val="center"/>
          </w:tcPr>
          <w:p w14:paraId="561EF265" w14:textId="77777777" w:rsidR="003169C8" w:rsidRDefault="003169C8" w:rsidP="00D5306E">
            <w:pPr>
              <w:jc w:val="center"/>
              <w:rPr>
                <w:rFonts w:asciiTheme="minorHAnsi" w:hAnsiTheme="minorHAnsi"/>
                <w:sz w:val="16"/>
                <w:szCs w:val="16"/>
                <w:highlight w:val="yellow"/>
              </w:rPr>
            </w:pPr>
            <w:r w:rsidRPr="00553F81">
              <w:rPr>
                <w:rFonts w:asciiTheme="minorHAnsi" w:hAnsiTheme="minorHAnsi"/>
                <w:sz w:val="16"/>
                <w:szCs w:val="16"/>
              </w:rPr>
              <w:t>27.9</w:t>
            </w:r>
          </w:p>
        </w:tc>
        <w:tc>
          <w:tcPr>
            <w:tcW w:w="967" w:type="dxa"/>
            <w:vAlign w:val="center"/>
          </w:tcPr>
          <w:p w14:paraId="7C45FAC2" w14:textId="77777777" w:rsidR="003169C8" w:rsidRDefault="003169C8" w:rsidP="00D5306E">
            <w:pPr>
              <w:jc w:val="center"/>
              <w:rPr>
                <w:rFonts w:asciiTheme="minorHAnsi" w:hAnsiTheme="minorHAnsi"/>
                <w:sz w:val="16"/>
                <w:szCs w:val="16"/>
                <w:highlight w:val="yellow"/>
              </w:rPr>
            </w:pPr>
            <w:r w:rsidRPr="00553F81">
              <w:rPr>
                <w:rFonts w:asciiTheme="minorHAnsi" w:hAnsiTheme="minorHAnsi"/>
                <w:sz w:val="16"/>
                <w:szCs w:val="16"/>
              </w:rPr>
              <w:t>7.8</w:t>
            </w:r>
          </w:p>
        </w:tc>
        <w:tc>
          <w:tcPr>
            <w:tcW w:w="1288" w:type="dxa"/>
            <w:shd w:val="clear" w:color="auto" w:fill="auto"/>
            <w:vAlign w:val="center"/>
          </w:tcPr>
          <w:p w14:paraId="23B1DE2A" w14:textId="77777777" w:rsidR="003169C8" w:rsidRDefault="003169C8" w:rsidP="00D5306E">
            <w:pPr>
              <w:jc w:val="center"/>
              <w:rPr>
                <w:rFonts w:asciiTheme="minorHAnsi" w:hAnsiTheme="minorHAnsi"/>
                <w:sz w:val="16"/>
                <w:szCs w:val="16"/>
                <w:highlight w:val="yellow"/>
              </w:rPr>
            </w:pPr>
            <w:r w:rsidRPr="00C96E8F">
              <w:rPr>
                <w:rFonts w:asciiTheme="minorHAnsi" w:hAnsiTheme="minorHAnsi"/>
                <w:sz w:val="16"/>
                <w:szCs w:val="16"/>
              </w:rPr>
              <w:t>8</w:t>
            </w:r>
            <w:r>
              <w:rPr>
                <w:rFonts w:asciiTheme="minorHAnsi" w:hAnsiTheme="minorHAnsi"/>
                <w:sz w:val="16"/>
                <w:szCs w:val="16"/>
              </w:rPr>
              <w:t>,</w:t>
            </w:r>
            <w:r w:rsidRPr="00C96E8F">
              <w:rPr>
                <w:rFonts w:asciiTheme="minorHAnsi" w:hAnsiTheme="minorHAnsi"/>
                <w:sz w:val="16"/>
                <w:szCs w:val="16"/>
              </w:rPr>
              <w:t>156</w:t>
            </w:r>
          </w:p>
        </w:tc>
        <w:tc>
          <w:tcPr>
            <w:tcW w:w="782" w:type="dxa"/>
            <w:vAlign w:val="center"/>
          </w:tcPr>
          <w:p w14:paraId="79A4A422" w14:textId="77777777" w:rsidR="003169C8" w:rsidRDefault="003169C8" w:rsidP="00D5306E">
            <w:pPr>
              <w:jc w:val="center"/>
              <w:rPr>
                <w:rFonts w:asciiTheme="minorHAnsi" w:hAnsiTheme="minorHAnsi"/>
                <w:sz w:val="16"/>
                <w:szCs w:val="16"/>
                <w:highlight w:val="yellow"/>
              </w:rPr>
            </w:pPr>
            <w:r w:rsidRPr="00553F81">
              <w:rPr>
                <w:rFonts w:asciiTheme="minorHAnsi" w:hAnsiTheme="minorHAnsi"/>
                <w:sz w:val="16"/>
                <w:szCs w:val="16"/>
              </w:rPr>
              <w:t>19.7</w:t>
            </w:r>
          </w:p>
        </w:tc>
        <w:tc>
          <w:tcPr>
            <w:tcW w:w="1450" w:type="dxa"/>
            <w:vAlign w:val="center"/>
          </w:tcPr>
          <w:p w14:paraId="3C399301" w14:textId="77777777" w:rsidR="003169C8" w:rsidRDefault="003169C8" w:rsidP="00D5306E">
            <w:pPr>
              <w:jc w:val="center"/>
              <w:rPr>
                <w:rFonts w:asciiTheme="minorHAnsi" w:hAnsiTheme="minorHAnsi"/>
                <w:sz w:val="16"/>
                <w:szCs w:val="16"/>
                <w:highlight w:val="yellow"/>
              </w:rPr>
            </w:pPr>
            <w:r w:rsidRPr="00553F81">
              <w:rPr>
                <w:rFonts w:asciiTheme="minorHAnsi" w:hAnsiTheme="minorHAnsi"/>
                <w:sz w:val="16"/>
                <w:szCs w:val="16"/>
              </w:rPr>
              <w:t>7.5</w:t>
            </w:r>
          </w:p>
        </w:tc>
        <w:tc>
          <w:tcPr>
            <w:tcW w:w="1988" w:type="dxa"/>
            <w:vAlign w:val="center"/>
          </w:tcPr>
          <w:p w14:paraId="07C96183" w14:textId="77777777" w:rsidR="003169C8" w:rsidRPr="00562D6D" w:rsidRDefault="003169C8" w:rsidP="00D5306E">
            <w:pPr>
              <w:jc w:val="center"/>
              <w:rPr>
                <w:rFonts w:asciiTheme="minorHAnsi" w:eastAsiaTheme="minorEastAsia" w:hAnsiTheme="minorHAnsi" w:cstheme="minorHAnsi"/>
                <w:sz w:val="16"/>
                <w:szCs w:val="16"/>
                <w:lang w:val="en-GB" w:eastAsia="zh-CN"/>
              </w:rPr>
            </w:pPr>
            <w:r w:rsidRPr="00562D6D">
              <w:rPr>
                <w:rFonts w:asciiTheme="minorHAnsi" w:hAnsiTheme="minorHAnsi"/>
                <w:sz w:val="16"/>
                <w:szCs w:val="16"/>
              </w:rPr>
              <w:t>N/A</w:t>
            </w:r>
          </w:p>
        </w:tc>
      </w:tr>
      <w:tr w:rsidR="003169C8" w:rsidRPr="00A15872" w14:paraId="2B9D8743" w14:textId="77777777" w:rsidTr="007F3C68">
        <w:tc>
          <w:tcPr>
            <w:tcW w:w="1696" w:type="dxa"/>
          </w:tcPr>
          <w:p w14:paraId="6B0C8902" w14:textId="77777777" w:rsidR="003169C8" w:rsidRPr="00025212" w:rsidRDefault="003169C8" w:rsidP="00D5306E">
            <w:pPr>
              <w:ind w:right="37"/>
              <w:jc w:val="center"/>
              <w:rPr>
                <w:rFonts w:asciiTheme="minorHAnsi" w:hAnsiTheme="minorHAnsi" w:cstheme="minorHAnsi"/>
                <w:sz w:val="16"/>
                <w:szCs w:val="16"/>
                <w:highlight w:val="green"/>
              </w:rPr>
            </w:pPr>
            <w:r w:rsidRPr="00773AA2">
              <w:rPr>
                <w:rFonts w:asciiTheme="minorHAnsi" w:hAnsiTheme="minorHAnsi" w:cstheme="minorHAnsi"/>
                <w:sz w:val="16"/>
                <w:szCs w:val="16"/>
              </w:rPr>
              <w:t>All</w:t>
            </w:r>
          </w:p>
        </w:tc>
        <w:tc>
          <w:tcPr>
            <w:tcW w:w="2554" w:type="dxa"/>
          </w:tcPr>
          <w:p w14:paraId="5AF11034" w14:textId="5363B4D3" w:rsidR="003169C8" w:rsidRDefault="003169C8" w:rsidP="00D5306E">
            <w:pPr>
              <w:ind w:right="37"/>
              <w:jc w:val="center"/>
              <w:rPr>
                <w:rFonts w:asciiTheme="minorHAnsi" w:hAnsiTheme="minorHAnsi" w:cstheme="minorHAnsi"/>
                <w:sz w:val="16"/>
                <w:szCs w:val="16"/>
              </w:rPr>
            </w:pPr>
            <w:r w:rsidRPr="00EE0008">
              <w:rPr>
                <w:rFonts w:asciiTheme="minorHAnsi" w:hAnsiTheme="minorHAnsi" w:cstheme="minorHAnsi"/>
                <w:sz w:val="16"/>
                <w:szCs w:val="16"/>
              </w:rPr>
              <w:t xml:space="preserve">Self-directed </w:t>
            </w:r>
            <w:proofErr w:type="spellStart"/>
            <w:r w:rsidRPr="00EE0008">
              <w:rPr>
                <w:rFonts w:asciiTheme="minorHAnsi" w:hAnsiTheme="minorHAnsi" w:cstheme="minorHAnsi"/>
                <w:sz w:val="16"/>
                <w:szCs w:val="16"/>
              </w:rPr>
              <w:t>iCBT</w:t>
            </w:r>
            <w:r w:rsidR="00B44087" w:rsidRPr="00B44087">
              <w:rPr>
                <w:rFonts w:asciiTheme="minorHAnsi" w:hAnsiTheme="minorHAnsi" w:cstheme="minorHAnsi"/>
                <w:sz w:val="16"/>
                <w:szCs w:val="16"/>
                <w:vertAlign w:val="superscript"/>
              </w:rPr>
              <w:t>a</w:t>
            </w:r>
            <w:proofErr w:type="spellEnd"/>
          </w:p>
        </w:tc>
        <w:tc>
          <w:tcPr>
            <w:tcW w:w="1276" w:type="dxa"/>
            <w:vAlign w:val="center"/>
          </w:tcPr>
          <w:p w14:paraId="6D078C1B" w14:textId="77777777" w:rsidR="003169C8" w:rsidRPr="00D81C6C" w:rsidRDefault="003169C8" w:rsidP="00D5306E">
            <w:pPr>
              <w:jc w:val="center"/>
              <w:rPr>
                <w:rFonts w:asciiTheme="minorHAnsi" w:hAnsiTheme="minorHAnsi"/>
                <w:sz w:val="16"/>
                <w:szCs w:val="16"/>
              </w:rPr>
            </w:pPr>
            <w:r w:rsidRPr="00EE0008">
              <w:rPr>
                <w:rFonts w:asciiTheme="minorHAnsi" w:hAnsiTheme="minorHAnsi"/>
                <w:sz w:val="16"/>
                <w:szCs w:val="16"/>
              </w:rPr>
              <w:t>PHQ-9</w:t>
            </w:r>
          </w:p>
        </w:tc>
        <w:tc>
          <w:tcPr>
            <w:tcW w:w="1090" w:type="dxa"/>
            <w:vAlign w:val="center"/>
          </w:tcPr>
          <w:p w14:paraId="5596D341" w14:textId="77777777" w:rsidR="003169C8" w:rsidRPr="00766BAE" w:rsidRDefault="003169C8" w:rsidP="00D5306E">
            <w:pPr>
              <w:jc w:val="center"/>
              <w:rPr>
                <w:rFonts w:asciiTheme="minorHAnsi" w:hAnsiTheme="minorHAnsi"/>
                <w:sz w:val="16"/>
                <w:szCs w:val="16"/>
              </w:rPr>
            </w:pPr>
            <w:r w:rsidRPr="002E01B1">
              <w:rPr>
                <w:rFonts w:asciiTheme="minorHAnsi" w:hAnsiTheme="minorHAnsi"/>
                <w:sz w:val="16"/>
                <w:szCs w:val="16"/>
              </w:rPr>
              <w:t>26</w:t>
            </w:r>
            <w:r>
              <w:rPr>
                <w:rFonts w:asciiTheme="minorHAnsi" w:hAnsiTheme="minorHAnsi"/>
                <w:sz w:val="16"/>
                <w:szCs w:val="16"/>
              </w:rPr>
              <w:t>,</w:t>
            </w:r>
            <w:r w:rsidRPr="002E01B1">
              <w:rPr>
                <w:rFonts w:asciiTheme="minorHAnsi" w:hAnsiTheme="minorHAnsi"/>
                <w:sz w:val="16"/>
                <w:szCs w:val="16"/>
              </w:rPr>
              <w:t>601</w:t>
            </w:r>
          </w:p>
        </w:tc>
        <w:tc>
          <w:tcPr>
            <w:tcW w:w="941" w:type="dxa"/>
            <w:vAlign w:val="center"/>
          </w:tcPr>
          <w:p w14:paraId="163350BD" w14:textId="77777777" w:rsidR="003169C8" w:rsidRDefault="003169C8" w:rsidP="00D5306E">
            <w:pPr>
              <w:jc w:val="center"/>
              <w:rPr>
                <w:rFonts w:asciiTheme="minorHAnsi" w:hAnsiTheme="minorHAnsi"/>
                <w:sz w:val="16"/>
                <w:szCs w:val="16"/>
                <w:highlight w:val="yellow"/>
              </w:rPr>
            </w:pPr>
            <w:r w:rsidRPr="00553F81">
              <w:rPr>
                <w:rFonts w:asciiTheme="minorHAnsi" w:hAnsiTheme="minorHAnsi"/>
                <w:sz w:val="16"/>
                <w:szCs w:val="16"/>
              </w:rPr>
              <w:t>11.8</w:t>
            </w:r>
          </w:p>
        </w:tc>
        <w:tc>
          <w:tcPr>
            <w:tcW w:w="967" w:type="dxa"/>
            <w:vAlign w:val="center"/>
          </w:tcPr>
          <w:p w14:paraId="49AD1A42" w14:textId="77777777" w:rsidR="003169C8" w:rsidRDefault="003169C8" w:rsidP="00D5306E">
            <w:pPr>
              <w:jc w:val="center"/>
              <w:rPr>
                <w:rFonts w:asciiTheme="minorHAnsi" w:hAnsiTheme="minorHAnsi"/>
                <w:sz w:val="16"/>
                <w:szCs w:val="16"/>
                <w:highlight w:val="yellow"/>
              </w:rPr>
            </w:pPr>
            <w:r w:rsidRPr="00553F81">
              <w:rPr>
                <w:rFonts w:asciiTheme="minorHAnsi" w:hAnsiTheme="minorHAnsi"/>
                <w:sz w:val="16"/>
                <w:szCs w:val="16"/>
              </w:rPr>
              <w:t>6.4</w:t>
            </w:r>
          </w:p>
        </w:tc>
        <w:tc>
          <w:tcPr>
            <w:tcW w:w="1288" w:type="dxa"/>
            <w:shd w:val="clear" w:color="auto" w:fill="auto"/>
            <w:vAlign w:val="center"/>
          </w:tcPr>
          <w:p w14:paraId="10D52747" w14:textId="77777777" w:rsidR="003169C8" w:rsidRDefault="003169C8" w:rsidP="00D5306E">
            <w:pPr>
              <w:jc w:val="center"/>
              <w:rPr>
                <w:rFonts w:asciiTheme="minorHAnsi" w:hAnsiTheme="minorHAnsi"/>
                <w:sz w:val="16"/>
                <w:szCs w:val="16"/>
                <w:highlight w:val="yellow"/>
              </w:rPr>
            </w:pPr>
            <w:r w:rsidRPr="008B1128">
              <w:rPr>
                <w:rFonts w:asciiTheme="minorHAnsi" w:hAnsiTheme="minorHAnsi"/>
                <w:sz w:val="16"/>
                <w:szCs w:val="16"/>
              </w:rPr>
              <w:t>7</w:t>
            </w:r>
            <w:r>
              <w:rPr>
                <w:rFonts w:asciiTheme="minorHAnsi" w:hAnsiTheme="minorHAnsi"/>
                <w:sz w:val="16"/>
                <w:szCs w:val="16"/>
              </w:rPr>
              <w:t>,</w:t>
            </w:r>
            <w:r w:rsidRPr="008B1128">
              <w:rPr>
                <w:rFonts w:asciiTheme="minorHAnsi" w:hAnsiTheme="minorHAnsi"/>
                <w:sz w:val="16"/>
                <w:szCs w:val="16"/>
              </w:rPr>
              <w:t>729</w:t>
            </w:r>
          </w:p>
        </w:tc>
        <w:tc>
          <w:tcPr>
            <w:tcW w:w="782" w:type="dxa"/>
            <w:vAlign w:val="center"/>
          </w:tcPr>
          <w:p w14:paraId="5C508557" w14:textId="77777777" w:rsidR="003169C8" w:rsidRDefault="003169C8" w:rsidP="00D5306E">
            <w:pPr>
              <w:jc w:val="center"/>
              <w:rPr>
                <w:rFonts w:asciiTheme="minorHAnsi" w:hAnsiTheme="minorHAnsi"/>
                <w:sz w:val="16"/>
                <w:szCs w:val="16"/>
                <w:highlight w:val="yellow"/>
              </w:rPr>
            </w:pPr>
            <w:r w:rsidRPr="00553F81">
              <w:rPr>
                <w:rFonts w:asciiTheme="minorHAnsi" w:hAnsiTheme="minorHAnsi"/>
                <w:sz w:val="16"/>
                <w:szCs w:val="16"/>
              </w:rPr>
              <w:t>6.6</w:t>
            </w:r>
          </w:p>
        </w:tc>
        <w:tc>
          <w:tcPr>
            <w:tcW w:w="1450" w:type="dxa"/>
            <w:vAlign w:val="center"/>
          </w:tcPr>
          <w:p w14:paraId="18183D70" w14:textId="77777777" w:rsidR="003169C8" w:rsidRDefault="003169C8" w:rsidP="00D5306E">
            <w:pPr>
              <w:jc w:val="center"/>
              <w:rPr>
                <w:rFonts w:asciiTheme="minorHAnsi" w:hAnsiTheme="minorHAnsi"/>
                <w:sz w:val="16"/>
                <w:szCs w:val="16"/>
                <w:highlight w:val="yellow"/>
              </w:rPr>
            </w:pPr>
            <w:r w:rsidRPr="00553F81">
              <w:rPr>
                <w:rFonts w:asciiTheme="minorHAnsi" w:hAnsiTheme="minorHAnsi"/>
                <w:sz w:val="16"/>
                <w:szCs w:val="16"/>
              </w:rPr>
              <w:t>5.6</w:t>
            </w:r>
          </w:p>
        </w:tc>
        <w:tc>
          <w:tcPr>
            <w:tcW w:w="1988" w:type="dxa"/>
            <w:vAlign w:val="center"/>
          </w:tcPr>
          <w:p w14:paraId="74F9BB90" w14:textId="77777777" w:rsidR="003169C8" w:rsidRPr="00562D6D" w:rsidRDefault="003169C8" w:rsidP="00D5306E">
            <w:pPr>
              <w:jc w:val="center"/>
              <w:rPr>
                <w:rFonts w:asciiTheme="minorHAnsi" w:eastAsiaTheme="minorEastAsia" w:hAnsiTheme="minorHAnsi" w:cstheme="minorHAnsi"/>
                <w:sz w:val="16"/>
                <w:szCs w:val="16"/>
                <w:lang w:val="en-GB" w:eastAsia="zh-CN"/>
              </w:rPr>
            </w:pPr>
            <w:r w:rsidRPr="00562D6D">
              <w:rPr>
                <w:rFonts w:asciiTheme="minorHAnsi" w:hAnsiTheme="minorHAnsi"/>
                <w:sz w:val="16"/>
                <w:szCs w:val="16"/>
              </w:rPr>
              <w:t>N/A</w:t>
            </w:r>
          </w:p>
        </w:tc>
      </w:tr>
      <w:tr w:rsidR="003169C8" w:rsidRPr="00A15872" w14:paraId="49151672" w14:textId="77777777" w:rsidTr="007F3C68">
        <w:tc>
          <w:tcPr>
            <w:tcW w:w="1696" w:type="dxa"/>
          </w:tcPr>
          <w:p w14:paraId="555AEA3C" w14:textId="77777777" w:rsidR="003169C8" w:rsidRPr="00025212" w:rsidRDefault="003169C8" w:rsidP="00D5306E">
            <w:pPr>
              <w:ind w:right="37"/>
              <w:jc w:val="center"/>
              <w:rPr>
                <w:rFonts w:asciiTheme="minorHAnsi" w:hAnsiTheme="minorHAnsi" w:cstheme="minorHAnsi"/>
                <w:sz w:val="16"/>
                <w:szCs w:val="16"/>
                <w:highlight w:val="green"/>
              </w:rPr>
            </w:pPr>
            <w:r w:rsidRPr="00773AA2">
              <w:rPr>
                <w:rFonts w:asciiTheme="minorHAnsi" w:hAnsiTheme="minorHAnsi" w:cstheme="minorHAnsi"/>
                <w:sz w:val="16"/>
                <w:szCs w:val="16"/>
              </w:rPr>
              <w:t>All</w:t>
            </w:r>
          </w:p>
        </w:tc>
        <w:tc>
          <w:tcPr>
            <w:tcW w:w="2554" w:type="dxa"/>
          </w:tcPr>
          <w:p w14:paraId="1BD8D1EC" w14:textId="331CE3D6" w:rsidR="003169C8" w:rsidRDefault="003169C8" w:rsidP="00D5306E">
            <w:pPr>
              <w:ind w:right="37"/>
              <w:jc w:val="center"/>
              <w:rPr>
                <w:rFonts w:asciiTheme="minorHAnsi" w:hAnsiTheme="minorHAnsi" w:cstheme="minorHAnsi"/>
                <w:sz w:val="16"/>
                <w:szCs w:val="16"/>
              </w:rPr>
            </w:pPr>
            <w:r w:rsidRPr="00EE0008">
              <w:rPr>
                <w:rFonts w:asciiTheme="minorHAnsi" w:hAnsiTheme="minorHAnsi" w:cstheme="minorHAnsi"/>
                <w:sz w:val="16"/>
                <w:szCs w:val="16"/>
              </w:rPr>
              <w:t xml:space="preserve">Self-directed </w:t>
            </w:r>
            <w:proofErr w:type="spellStart"/>
            <w:r w:rsidRPr="00EE0008">
              <w:rPr>
                <w:rFonts w:asciiTheme="minorHAnsi" w:hAnsiTheme="minorHAnsi" w:cstheme="minorHAnsi"/>
                <w:sz w:val="16"/>
                <w:szCs w:val="16"/>
              </w:rPr>
              <w:t>iCBT</w:t>
            </w:r>
            <w:r w:rsidR="00B44087" w:rsidRPr="00B44087">
              <w:rPr>
                <w:rFonts w:asciiTheme="minorHAnsi" w:hAnsiTheme="minorHAnsi" w:cstheme="minorHAnsi"/>
                <w:sz w:val="16"/>
                <w:szCs w:val="16"/>
                <w:vertAlign w:val="superscript"/>
              </w:rPr>
              <w:t>a</w:t>
            </w:r>
            <w:proofErr w:type="spellEnd"/>
          </w:p>
        </w:tc>
        <w:tc>
          <w:tcPr>
            <w:tcW w:w="1276" w:type="dxa"/>
            <w:vAlign w:val="center"/>
          </w:tcPr>
          <w:p w14:paraId="67FA0135" w14:textId="77777777" w:rsidR="003169C8" w:rsidRPr="00D81C6C" w:rsidRDefault="003169C8" w:rsidP="00D5306E">
            <w:pPr>
              <w:jc w:val="center"/>
              <w:rPr>
                <w:rFonts w:asciiTheme="minorHAnsi" w:hAnsiTheme="minorHAnsi"/>
                <w:sz w:val="16"/>
                <w:szCs w:val="16"/>
              </w:rPr>
            </w:pPr>
            <w:r w:rsidRPr="00EE0008">
              <w:rPr>
                <w:rFonts w:asciiTheme="minorHAnsi" w:hAnsiTheme="minorHAnsi"/>
                <w:sz w:val="16"/>
                <w:szCs w:val="16"/>
              </w:rPr>
              <w:t>GAD-7</w:t>
            </w:r>
          </w:p>
        </w:tc>
        <w:tc>
          <w:tcPr>
            <w:tcW w:w="1090" w:type="dxa"/>
            <w:vAlign w:val="center"/>
          </w:tcPr>
          <w:p w14:paraId="7D0D2A1D" w14:textId="77777777" w:rsidR="003169C8" w:rsidRPr="00766BAE" w:rsidRDefault="003169C8" w:rsidP="00D5306E">
            <w:pPr>
              <w:jc w:val="center"/>
              <w:rPr>
                <w:rFonts w:asciiTheme="minorHAnsi" w:hAnsiTheme="minorHAnsi"/>
                <w:sz w:val="16"/>
                <w:szCs w:val="16"/>
              </w:rPr>
            </w:pPr>
            <w:r w:rsidRPr="00066D46">
              <w:rPr>
                <w:rFonts w:asciiTheme="minorHAnsi" w:hAnsiTheme="minorHAnsi"/>
                <w:sz w:val="16"/>
                <w:szCs w:val="16"/>
              </w:rPr>
              <w:t>19</w:t>
            </w:r>
            <w:r>
              <w:rPr>
                <w:rFonts w:asciiTheme="minorHAnsi" w:hAnsiTheme="minorHAnsi"/>
                <w:sz w:val="16"/>
                <w:szCs w:val="16"/>
              </w:rPr>
              <w:t>,</w:t>
            </w:r>
            <w:r w:rsidRPr="00066D46">
              <w:rPr>
                <w:rFonts w:asciiTheme="minorHAnsi" w:hAnsiTheme="minorHAnsi"/>
                <w:sz w:val="16"/>
                <w:szCs w:val="16"/>
              </w:rPr>
              <w:t>292</w:t>
            </w:r>
          </w:p>
        </w:tc>
        <w:tc>
          <w:tcPr>
            <w:tcW w:w="941" w:type="dxa"/>
            <w:vAlign w:val="center"/>
          </w:tcPr>
          <w:p w14:paraId="7D158EE5" w14:textId="77777777" w:rsidR="003169C8" w:rsidRDefault="003169C8" w:rsidP="00D5306E">
            <w:pPr>
              <w:jc w:val="center"/>
              <w:rPr>
                <w:rFonts w:asciiTheme="minorHAnsi" w:hAnsiTheme="minorHAnsi"/>
                <w:sz w:val="16"/>
                <w:szCs w:val="16"/>
                <w:highlight w:val="yellow"/>
              </w:rPr>
            </w:pPr>
            <w:r w:rsidRPr="00553F81">
              <w:rPr>
                <w:rFonts w:asciiTheme="minorHAnsi" w:hAnsiTheme="minorHAnsi"/>
                <w:sz w:val="16"/>
                <w:szCs w:val="16"/>
              </w:rPr>
              <w:t>11.2</w:t>
            </w:r>
          </w:p>
        </w:tc>
        <w:tc>
          <w:tcPr>
            <w:tcW w:w="967" w:type="dxa"/>
            <w:vAlign w:val="center"/>
          </w:tcPr>
          <w:p w14:paraId="3F17EAD7" w14:textId="77777777" w:rsidR="003169C8" w:rsidRDefault="003169C8" w:rsidP="00D5306E">
            <w:pPr>
              <w:jc w:val="center"/>
              <w:rPr>
                <w:rFonts w:asciiTheme="minorHAnsi" w:hAnsiTheme="minorHAnsi"/>
                <w:sz w:val="16"/>
                <w:szCs w:val="16"/>
                <w:highlight w:val="yellow"/>
              </w:rPr>
            </w:pPr>
            <w:r w:rsidRPr="00553F81">
              <w:rPr>
                <w:rFonts w:asciiTheme="minorHAnsi" w:hAnsiTheme="minorHAnsi"/>
                <w:sz w:val="16"/>
                <w:szCs w:val="16"/>
              </w:rPr>
              <w:t>5.3</w:t>
            </w:r>
          </w:p>
        </w:tc>
        <w:tc>
          <w:tcPr>
            <w:tcW w:w="1288" w:type="dxa"/>
            <w:shd w:val="clear" w:color="auto" w:fill="auto"/>
            <w:vAlign w:val="center"/>
          </w:tcPr>
          <w:p w14:paraId="1399197E" w14:textId="77777777" w:rsidR="003169C8" w:rsidRDefault="003169C8" w:rsidP="00D5306E">
            <w:pPr>
              <w:jc w:val="center"/>
              <w:rPr>
                <w:rFonts w:asciiTheme="minorHAnsi" w:hAnsiTheme="minorHAnsi"/>
                <w:sz w:val="16"/>
                <w:szCs w:val="16"/>
                <w:highlight w:val="yellow"/>
              </w:rPr>
            </w:pPr>
            <w:r w:rsidRPr="00A62A11">
              <w:rPr>
                <w:rFonts w:asciiTheme="minorHAnsi" w:hAnsiTheme="minorHAnsi"/>
                <w:sz w:val="16"/>
                <w:szCs w:val="16"/>
              </w:rPr>
              <w:t>5</w:t>
            </w:r>
            <w:r>
              <w:rPr>
                <w:rFonts w:asciiTheme="minorHAnsi" w:hAnsiTheme="minorHAnsi"/>
                <w:sz w:val="16"/>
                <w:szCs w:val="16"/>
              </w:rPr>
              <w:t>,</w:t>
            </w:r>
            <w:r w:rsidRPr="00A62A11">
              <w:rPr>
                <w:rFonts w:asciiTheme="minorHAnsi" w:hAnsiTheme="minorHAnsi"/>
                <w:sz w:val="16"/>
                <w:szCs w:val="16"/>
              </w:rPr>
              <w:t>419</w:t>
            </w:r>
          </w:p>
        </w:tc>
        <w:tc>
          <w:tcPr>
            <w:tcW w:w="782" w:type="dxa"/>
            <w:vAlign w:val="center"/>
          </w:tcPr>
          <w:p w14:paraId="7373B303" w14:textId="77777777" w:rsidR="003169C8" w:rsidRDefault="003169C8" w:rsidP="00D5306E">
            <w:pPr>
              <w:jc w:val="center"/>
              <w:rPr>
                <w:rFonts w:asciiTheme="minorHAnsi" w:hAnsiTheme="minorHAnsi"/>
                <w:sz w:val="16"/>
                <w:szCs w:val="16"/>
                <w:highlight w:val="yellow"/>
              </w:rPr>
            </w:pPr>
            <w:r w:rsidRPr="00553F81">
              <w:rPr>
                <w:rFonts w:asciiTheme="minorHAnsi" w:hAnsiTheme="minorHAnsi"/>
                <w:sz w:val="16"/>
                <w:szCs w:val="16"/>
              </w:rPr>
              <w:t>6.3</w:t>
            </w:r>
          </w:p>
        </w:tc>
        <w:tc>
          <w:tcPr>
            <w:tcW w:w="1450" w:type="dxa"/>
            <w:vAlign w:val="center"/>
          </w:tcPr>
          <w:p w14:paraId="38A77BCB" w14:textId="77777777" w:rsidR="003169C8" w:rsidRDefault="003169C8" w:rsidP="00D5306E">
            <w:pPr>
              <w:jc w:val="center"/>
              <w:rPr>
                <w:rFonts w:asciiTheme="minorHAnsi" w:hAnsiTheme="minorHAnsi"/>
                <w:sz w:val="16"/>
                <w:szCs w:val="16"/>
                <w:highlight w:val="yellow"/>
              </w:rPr>
            </w:pPr>
            <w:r w:rsidRPr="00553F81">
              <w:rPr>
                <w:rFonts w:asciiTheme="minorHAnsi" w:hAnsiTheme="minorHAnsi"/>
                <w:sz w:val="16"/>
                <w:szCs w:val="16"/>
              </w:rPr>
              <w:t>4.8</w:t>
            </w:r>
          </w:p>
        </w:tc>
        <w:tc>
          <w:tcPr>
            <w:tcW w:w="1988" w:type="dxa"/>
            <w:vAlign w:val="center"/>
          </w:tcPr>
          <w:p w14:paraId="0C44DE69" w14:textId="77777777" w:rsidR="003169C8" w:rsidRPr="00562D6D" w:rsidRDefault="003169C8" w:rsidP="00D5306E">
            <w:pPr>
              <w:jc w:val="center"/>
              <w:rPr>
                <w:rFonts w:asciiTheme="minorHAnsi" w:eastAsiaTheme="minorEastAsia" w:hAnsiTheme="minorHAnsi" w:cstheme="minorHAnsi"/>
                <w:sz w:val="16"/>
                <w:szCs w:val="16"/>
                <w:lang w:val="en-GB" w:eastAsia="zh-CN"/>
              </w:rPr>
            </w:pPr>
            <w:r w:rsidRPr="00562D6D">
              <w:rPr>
                <w:rFonts w:asciiTheme="minorHAnsi" w:hAnsiTheme="minorHAnsi"/>
                <w:sz w:val="16"/>
                <w:szCs w:val="16"/>
              </w:rPr>
              <w:t>N/A</w:t>
            </w:r>
          </w:p>
        </w:tc>
      </w:tr>
      <w:tr w:rsidR="003169C8" w:rsidRPr="00A15872" w14:paraId="7747118A" w14:textId="77777777" w:rsidTr="007F3C68">
        <w:tc>
          <w:tcPr>
            <w:tcW w:w="1696" w:type="dxa"/>
          </w:tcPr>
          <w:p w14:paraId="490AE503" w14:textId="77777777" w:rsidR="003169C8" w:rsidRPr="00025212" w:rsidRDefault="003169C8" w:rsidP="00D5306E">
            <w:pPr>
              <w:ind w:right="37"/>
              <w:jc w:val="center"/>
              <w:rPr>
                <w:rFonts w:asciiTheme="minorHAnsi" w:hAnsiTheme="minorHAnsi" w:cstheme="minorHAnsi"/>
                <w:sz w:val="16"/>
                <w:szCs w:val="16"/>
                <w:highlight w:val="green"/>
              </w:rPr>
            </w:pPr>
            <w:r w:rsidRPr="00773AA2">
              <w:rPr>
                <w:rFonts w:asciiTheme="minorHAnsi" w:hAnsiTheme="minorHAnsi" w:cstheme="minorHAnsi"/>
                <w:sz w:val="16"/>
                <w:szCs w:val="16"/>
              </w:rPr>
              <w:t>All</w:t>
            </w:r>
          </w:p>
        </w:tc>
        <w:tc>
          <w:tcPr>
            <w:tcW w:w="2554" w:type="dxa"/>
          </w:tcPr>
          <w:p w14:paraId="42007683" w14:textId="765D5E3B" w:rsidR="003169C8" w:rsidRDefault="003169C8" w:rsidP="00D5306E">
            <w:pPr>
              <w:ind w:right="37"/>
              <w:jc w:val="center"/>
              <w:rPr>
                <w:rFonts w:asciiTheme="minorHAnsi" w:hAnsiTheme="minorHAnsi" w:cstheme="minorHAnsi"/>
                <w:sz w:val="16"/>
                <w:szCs w:val="16"/>
              </w:rPr>
            </w:pPr>
            <w:r w:rsidRPr="00EE0008">
              <w:rPr>
                <w:rFonts w:asciiTheme="minorHAnsi" w:hAnsiTheme="minorHAnsi" w:cstheme="minorHAnsi"/>
                <w:sz w:val="16"/>
                <w:szCs w:val="16"/>
              </w:rPr>
              <w:t xml:space="preserve">Supported </w:t>
            </w:r>
            <w:proofErr w:type="spellStart"/>
            <w:r w:rsidRPr="00EE0008">
              <w:rPr>
                <w:rFonts w:asciiTheme="minorHAnsi" w:hAnsiTheme="minorHAnsi" w:cstheme="minorHAnsi"/>
                <w:sz w:val="16"/>
                <w:szCs w:val="16"/>
              </w:rPr>
              <w:t>iCBT</w:t>
            </w:r>
            <w:r w:rsidR="00B44087" w:rsidRPr="00B44087">
              <w:rPr>
                <w:rFonts w:asciiTheme="minorHAnsi" w:hAnsiTheme="minorHAnsi" w:cstheme="minorHAnsi"/>
                <w:sz w:val="16"/>
                <w:szCs w:val="16"/>
                <w:vertAlign w:val="superscript"/>
              </w:rPr>
              <w:t>a</w:t>
            </w:r>
            <w:proofErr w:type="spellEnd"/>
          </w:p>
        </w:tc>
        <w:tc>
          <w:tcPr>
            <w:tcW w:w="1276" w:type="dxa"/>
            <w:vAlign w:val="center"/>
          </w:tcPr>
          <w:p w14:paraId="26CF51F0" w14:textId="77777777" w:rsidR="003169C8" w:rsidRPr="00D81C6C" w:rsidRDefault="003169C8" w:rsidP="00D5306E">
            <w:pPr>
              <w:jc w:val="center"/>
              <w:rPr>
                <w:rFonts w:asciiTheme="minorHAnsi" w:hAnsiTheme="minorHAnsi"/>
                <w:sz w:val="16"/>
                <w:szCs w:val="16"/>
              </w:rPr>
            </w:pPr>
            <w:r w:rsidRPr="00EE0008">
              <w:rPr>
                <w:rFonts w:asciiTheme="minorHAnsi" w:hAnsiTheme="minorHAnsi"/>
                <w:sz w:val="16"/>
                <w:szCs w:val="16"/>
              </w:rPr>
              <w:t>K10</w:t>
            </w:r>
          </w:p>
        </w:tc>
        <w:tc>
          <w:tcPr>
            <w:tcW w:w="1090" w:type="dxa"/>
            <w:vAlign w:val="center"/>
          </w:tcPr>
          <w:p w14:paraId="7A872F90" w14:textId="77777777" w:rsidR="003169C8" w:rsidRPr="00766BAE" w:rsidRDefault="003169C8" w:rsidP="00D5306E">
            <w:pPr>
              <w:jc w:val="center"/>
              <w:rPr>
                <w:rFonts w:asciiTheme="minorHAnsi" w:hAnsiTheme="minorHAnsi"/>
                <w:sz w:val="16"/>
                <w:szCs w:val="16"/>
              </w:rPr>
            </w:pPr>
            <w:r w:rsidRPr="00313393">
              <w:rPr>
                <w:rFonts w:asciiTheme="minorHAnsi" w:hAnsiTheme="minorHAnsi"/>
                <w:sz w:val="16"/>
                <w:szCs w:val="16"/>
              </w:rPr>
              <w:t>29</w:t>
            </w:r>
            <w:r>
              <w:rPr>
                <w:rFonts w:asciiTheme="minorHAnsi" w:hAnsiTheme="minorHAnsi"/>
                <w:sz w:val="16"/>
                <w:szCs w:val="16"/>
              </w:rPr>
              <w:t>,</w:t>
            </w:r>
            <w:r w:rsidRPr="00313393">
              <w:rPr>
                <w:rFonts w:asciiTheme="minorHAnsi" w:hAnsiTheme="minorHAnsi"/>
                <w:sz w:val="16"/>
                <w:szCs w:val="16"/>
              </w:rPr>
              <w:t>259</w:t>
            </w:r>
          </w:p>
        </w:tc>
        <w:tc>
          <w:tcPr>
            <w:tcW w:w="941" w:type="dxa"/>
            <w:vAlign w:val="center"/>
          </w:tcPr>
          <w:p w14:paraId="2F389D2D" w14:textId="77777777" w:rsidR="003169C8" w:rsidRDefault="003169C8" w:rsidP="00D5306E">
            <w:pPr>
              <w:jc w:val="center"/>
              <w:rPr>
                <w:rFonts w:asciiTheme="minorHAnsi" w:hAnsiTheme="minorHAnsi"/>
                <w:sz w:val="16"/>
                <w:szCs w:val="16"/>
                <w:highlight w:val="yellow"/>
              </w:rPr>
            </w:pPr>
            <w:r w:rsidRPr="00553F81">
              <w:rPr>
                <w:rFonts w:asciiTheme="minorHAnsi" w:hAnsiTheme="minorHAnsi"/>
                <w:sz w:val="16"/>
                <w:szCs w:val="16"/>
              </w:rPr>
              <w:t>29.2</w:t>
            </w:r>
          </w:p>
        </w:tc>
        <w:tc>
          <w:tcPr>
            <w:tcW w:w="967" w:type="dxa"/>
            <w:vAlign w:val="center"/>
          </w:tcPr>
          <w:p w14:paraId="29F2968C" w14:textId="77777777" w:rsidR="003169C8" w:rsidRDefault="003169C8" w:rsidP="00D5306E">
            <w:pPr>
              <w:jc w:val="center"/>
              <w:rPr>
                <w:rFonts w:asciiTheme="minorHAnsi" w:hAnsiTheme="minorHAnsi"/>
                <w:sz w:val="16"/>
                <w:szCs w:val="16"/>
                <w:highlight w:val="yellow"/>
              </w:rPr>
            </w:pPr>
            <w:r w:rsidRPr="00553F81">
              <w:rPr>
                <w:rFonts w:asciiTheme="minorHAnsi" w:hAnsiTheme="minorHAnsi"/>
                <w:sz w:val="16"/>
                <w:szCs w:val="16"/>
              </w:rPr>
              <w:t>7.8</w:t>
            </w:r>
          </w:p>
        </w:tc>
        <w:tc>
          <w:tcPr>
            <w:tcW w:w="1288" w:type="dxa"/>
            <w:shd w:val="clear" w:color="auto" w:fill="auto"/>
            <w:vAlign w:val="center"/>
          </w:tcPr>
          <w:p w14:paraId="5A865279" w14:textId="77777777" w:rsidR="003169C8" w:rsidRDefault="003169C8" w:rsidP="00D5306E">
            <w:pPr>
              <w:jc w:val="center"/>
              <w:rPr>
                <w:rFonts w:asciiTheme="minorHAnsi" w:hAnsiTheme="minorHAnsi"/>
                <w:sz w:val="16"/>
                <w:szCs w:val="16"/>
                <w:highlight w:val="yellow"/>
              </w:rPr>
            </w:pPr>
            <w:r w:rsidRPr="00000985">
              <w:rPr>
                <w:rFonts w:asciiTheme="minorHAnsi" w:hAnsiTheme="minorHAnsi"/>
                <w:sz w:val="16"/>
                <w:szCs w:val="16"/>
              </w:rPr>
              <w:t>9</w:t>
            </w:r>
            <w:r>
              <w:rPr>
                <w:rFonts w:asciiTheme="minorHAnsi" w:hAnsiTheme="minorHAnsi"/>
                <w:sz w:val="16"/>
                <w:szCs w:val="16"/>
              </w:rPr>
              <w:t>,</w:t>
            </w:r>
            <w:r w:rsidRPr="00000985">
              <w:rPr>
                <w:rFonts w:asciiTheme="minorHAnsi" w:hAnsiTheme="minorHAnsi"/>
                <w:sz w:val="16"/>
                <w:szCs w:val="16"/>
              </w:rPr>
              <w:t>484</w:t>
            </w:r>
          </w:p>
        </w:tc>
        <w:tc>
          <w:tcPr>
            <w:tcW w:w="782" w:type="dxa"/>
            <w:vAlign w:val="center"/>
          </w:tcPr>
          <w:p w14:paraId="6E16CF16" w14:textId="77777777" w:rsidR="003169C8" w:rsidRDefault="003169C8" w:rsidP="00D5306E">
            <w:pPr>
              <w:jc w:val="center"/>
              <w:rPr>
                <w:rFonts w:asciiTheme="minorHAnsi" w:hAnsiTheme="minorHAnsi"/>
                <w:sz w:val="16"/>
                <w:szCs w:val="16"/>
                <w:highlight w:val="yellow"/>
              </w:rPr>
            </w:pPr>
            <w:r w:rsidRPr="00553F81">
              <w:rPr>
                <w:rFonts w:asciiTheme="minorHAnsi" w:hAnsiTheme="minorHAnsi"/>
                <w:sz w:val="16"/>
                <w:szCs w:val="16"/>
              </w:rPr>
              <w:t>21.3</w:t>
            </w:r>
          </w:p>
        </w:tc>
        <w:tc>
          <w:tcPr>
            <w:tcW w:w="1450" w:type="dxa"/>
            <w:vAlign w:val="center"/>
          </w:tcPr>
          <w:p w14:paraId="7C1364BE" w14:textId="77777777" w:rsidR="003169C8" w:rsidRDefault="003169C8" w:rsidP="00D5306E">
            <w:pPr>
              <w:jc w:val="center"/>
              <w:rPr>
                <w:rFonts w:asciiTheme="minorHAnsi" w:hAnsiTheme="minorHAnsi"/>
                <w:sz w:val="16"/>
                <w:szCs w:val="16"/>
                <w:highlight w:val="yellow"/>
              </w:rPr>
            </w:pPr>
            <w:r w:rsidRPr="00553F81">
              <w:rPr>
                <w:rFonts w:asciiTheme="minorHAnsi" w:hAnsiTheme="minorHAnsi"/>
                <w:sz w:val="16"/>
                <w:szCs w:val="16"/>
              </w:rPr>
              <w:t>8.4</w:t>
            </w:r>
          </w:p>
        </w:tc>
        <w:tc>
          <w:tcPr>
            <w:tcW w:w="1988" w:type="dxa"/>
            <w:vAlign w:val="center"/>
          </w:tcPr>
          <w:p w14:paraId="0F0CC0A4" w14:textId="77777777" w:rsidR="003169C8" w:rsidRPr="00562D6D" w:rsidRDefault="003169C8" w:rsidP="00D5306E">
            <w:pPr>
              <w:jc w:val="center"/>
              <w:rPr>
                <w:rFonts w:asciiTheme="minorHAnsi" w:eastAsiaTheme="minorEastAsia" w:hAnsiTheme="minorHAnsi" w:cstheme="minorHAnsi"/>
                <w:sz w:val="16"/>
                <w:szCs w:val="16"/>
                <w:lang w:val="en-GB" w:eastAsia="zh-CN"/>
              </w:rPr>
            </w:pPr>
            <w:r w:rsidRPr="00562D6D">
              <w:rPr>
                <w:rFonts w:asciiTheme="minorHAnsi" w:hAnsiTheme="minorHAnsi"/>
                <w:sz w:val="16"/>
                <w:szCs w:val="16"/>
              </w:rPr>
              <w:t>N/A</w:t>
            </w:r>
          </w:p>
        </w:tc>
      </w:tr>
      <w:tr w:rsidR="003169C8" w:rsidRPr="00A15872" w14:paraId="2CF979DA" w14:textId="77777777" w:rsidTr="007F3C68">
        <w:tc>
          <w:tcPr>
            <w:tcW w:w="1696" w:type="dxa"/>
          </w:tcPr>
          <w:p w14:paraId="7C78E3A6" w14:textId="77777777" w:rsidR="003169C8" w:rsidRPr="00025212" w:rsidRDefault="003169C8" w:rsidP="00D5306E">
            <w:pPr>
              <w:ind w:right="37"/>
              <w:jc w:val="center"/>
              <w:rPr>
                <w:rFonts w:asciiTheme="minorHAnsi" w:hAnsiTheme="minorHAnsi" w:cstheme="minorHAnsi"/>
                <w:sz w:val="16"/>
                <w:szCs w:val="16"/>
                <w:highlight w:val="green"/>
              </w:rPr>
            </w:pPr>
            <w:r w:rsidRPr="00773AA2">
              <w:rPr>
                <w:rFonts w:asciiTheme="minorHAnsi" w:hAnsiTheme="minorHAnsi" w:cstheme="minorHAnsi"/>
                <w:sz w:val="16"/>
                <w:szCs w:val="16"/>
              </w:rPr>
              <w:t>All</w:t>
            </w:r>
          </w:p>
        </w:tc>
        <w:tc>
          <w:tcPr>
            <w:tcW w:w="2554" w:type="dxa"/>
          </w:tcPr>
          <w:p w14:paraId="44C255B5" w14:textId="76F5074C" w:rsidR="003169C8" w:rsidRDefault="003169C8" w:rsidP="00D5306E">
            <w:pPr>
              <w:ind w:right="37"/>
              <w:jc w:val="center"/>
              <w:rPr>
                <w:rFonts w:asciiTheme="minorHAnsi" w:hAnsiTheme="minorHAnsi" w:cstheme="minorHAnsi"/>
                <w:sz w:val="16"/>
                <w:szCs w:val="16"/>
              </w:rPr>
            </w:pPr>
            <w:r w:rsidRPr="00EE0008">
              <w:rPr>
                <w:rFonts w:asciiTheme="minorHAnsi" w:hAnsiTheme="minorHAnsi" w:cstheme="minorHAnsi"/>
                <w:sz w:val="16"/>
                <w:szCs w:val="16"/>
              </w:rPr>
              <w:t xml:space="preserve">Supported </w:t>
            </w:r>
            <w:proofErr w:type="spellStart"/>
            <w:r w:rsidRPr="00EE0008">
              <w:rPr>
                <w:rFonts w:asciiTheme="minorHAnsi" w:hAnsiTheme="minorHAnsi" w:cstheme="minorHAnsi"/>
                <w:sz w:val="16"/>
                <w:szCs w:val="16"/>
              </w:rPr>
              <w:t>iCBT</w:t>
            </w:r>
            <w:r w:rsidR="00B44087" w:rsidRPr="00B44087">
              <w:rPr>
                <w:rFonts w:asciiTheme="minorHAnsi" w:hAnsiTheme="minorHAnsi" w:cstheme="minorHAnsi"/>
                <w:sz w:val="16"/>
                <w:szCs w:val="16"/>
                <w:vertAlign w:val="superscript"/>
              </w:rPr>
              <w:t>a</w:t>
            </w:r>
            <w:proofErr w:type="spellEnd"/>
          </w:p>
        </w:tc>
        <w:tc>
          <w:tcPr>
            <w:tcW w:w="1276" w:type="dxa"/>
            <w:vAlign w:val="center"/>
          </w:tcPr>
          <w:p w14:paraId="6E5EEB13" w14:textId="77777777" w:rsidR="003169C8" w:rsidRPr="00D81C6C" w:rsidRDefault="003169C8" w:rsidP="00D5306E">
            <w:pPr>
              <w:jc w:val="center"/>
              <w:rPr>
                <w:rFonts w:asciiTheme="minorHAnsi" w:hAnsiTheme="minorHAnsi"/>
                <w:sz w:val="16"/>
                <w:szCs w:val="16"/>
              </w:rPr>
            </w:pPr>
            <w:r w:rsidRPr="00EE0008">
              <w:rPr>
                <w:rFonts w:asciiTheme="minorHAnsi" w:hAnsiTheme="minorHAnsi"/>
                <w:sz w:val="16"/>
                <w:szCs w:val="16"/>
              </w:rPr>
              <w:t>PHQ-9</w:t>
            </w:r>
          </w:p>
        </w:tc>
        <w:tc>
          <w:tcPr>
            <w:tcW w:w="1090" w:type="dxa"/>
            <w:vAlign w:val="center"/>
          </w:tcPr>
          <w:p w14:paraId="4A6D2E70" w14:textId="77777777" w:rsidR="003169C8" w:rsidRPr="00766BAE" w:rsidRDefault="003169C8" w:rsidP="00D5306E">
            <w:pPr>
              <w:jc w:val="center"/>
              <w:rPr>
                <w:rFonts w:asciiTheme="minorHAnsi" w:hAnsiTheme="minorHAnsi"/>
                <w:sz w:val="16"/>
                <w:szCs w:val="16"/>
              </w:rPr>
            </w:pPr>
            <w:r w:rsidRPr="00981D23">
              <w:rPr>
                <w:rFonts w:asciiTheme="minorHAnsi" w:hAnsiTheme="minorHAnsi"/>
                <w:sz w:val="16"/>
                <w:szCs w:val="16"/>
              </w:rPr>
              <w:t>27</w:t>
            </w:r>
            <w:r>
              <w:rPr>
                <w:rFonts w:asciiTheme="minorHAnsi" w:hAnsiTheme="minorHAnsi"/>
                <w:sz w:val="16"/>
                <w:szCs w:val="16"/>
              </w:rPr>
              <w:t>,</w:t>
            </w:r>
            <w:r w:rsidRPr="00981D23">
              <w:rPr>
                <w:rFonts w:asciiTheme="minorHAnsi" w:hAnsiTheme="minorHAnsi"/>
                <w:sz w:val="16"/>
                <w:szCs w:val="16"/>
              </w:rPr>
              <w:t>530</w:t>
            </w:r>
          </w:p>
        </w:tc>
        <w:tc>
          <w:tcPr>
            <w:tcW w:w="941" w:type="dxa"/>
            <w:vAlign w:val="center"/>
          </w:tcPr>
          <w:p w14:paraId="599B6650" w14:textId="77777777" w:rsidR="003169C8" w:rsidRDefault="003169C8" w:rsidP="00D5306E">
            <w:pPr>
              <w:jc w:val="center"/>
              <w:rPr>
                <w:rFonts w:asciiTheme="minorHAnsi" w:hAnsiTheme="minorHAnsi"/>
                <w:sz w:val="16"/>
                <w:szCs w:val="16"/>
                <w:highlight w:val="yellow"/>
              </w:rPr>
            </w:pPr>
            <w:r w:rsidRPr="00553F81">
              <w:rPr>
                <w:rFonts w:asciiTheme="minorHAnsi" w:hAnsiTheme="minorHAnsi"/>
                <w:sz w:val="16"/>
                <w:szCs w:val="16"/>
              </w:rPr>
              <w:t>12.9</w:t>
            </w:r>
          </w:p>
        </w:tc>
        <w:tc>
          <w:tcPr>
            <w:tcW w:w="967" w:type="dxa"/>
            <w:vAlign w:val="center"/>
          </w:tcPr>
          <w:p w14:paraId="39B0ECEB" w14:textId="77777777" w:rsidR="003169C8" w:rsidRDefault="003169C8" w:rsidP="00D5306E">
            <w:pPr>
              <w:jc w:val="center"/>
              <w:rPr>
                <w:rFonts w:asciiTheme="minorHAnsi" w:hAnsiTheme="minorHAnsi"/>
                <w:sz w:val="16"/>
                <w:szCs w:val="16"/>
                <w:highlight w:val="yellow"/>
              </w:rPr>
            </w:pPr>
            <w:r w:rsidRPr="00553F81">
              <w:rPr>
                <w:rFonts w:asciiTheme="minorHAnsi" w:hAnsiTheme="minorHAnsi"/>
                <w:sz w:val="16"/>
                <w:szCs w:val="16"/>
              </w:rPr>
              <w:t>6.4</w:t>
            </w:r>
          </w:p>
        </w:tc>
        <w:tc>
          <w:tcPr>
            <w:tcW w:w="1288" w:type="dxa"/>
            <w:shd w:val="clear" w:color="auto" w:fill="auto"/>
            <w:vAlign w:val="center"/>
          </w:tcPr>
          <w:p w14:paraId="537DD5C0" w14:textId="77777777" w:rsidR="003169C8" w:rsidRDefault="003169C8" w:rsidP="00D5306E">
            <w:pPr>
              <w:jc w:val="center"/>
              <w:rPr>
                <w:rFonts w:asciiTheme="minorHAnsi" w:hAnsiTheme="minorHAnsi"/>
                <w:sz w:val="16"/>
                <w:szCs w:val="16"/>
                <w:highlight w:val="yellow"/>
              </w:rPr>
            </w:pPr>
            <w:r w:rsidRPr="00981D23">
              <w:rPr>
                <w:rFonts w:asciiTheme="minorHAnsi" w:hAnsiTheme="minorHAnsi"/>
                <w:sz w:val="16"/>
                <w:szCs w:val="16"/>
              </w:rPr>
              <w:t>9</w:t>
            </w:r>
            <w:r>
              <w:rPr>
                <w:rFonts w:asciiTheme="minorHAnsi" w:hAnsiTheme="minorHAnsi"/>
                <w:sz w:val="16"/>
                <w:szCs w:val="16"/>
              </w:rPr>
              <w:t>,</w:t>
            </w:r>
            <w:r w:rsidRPr="00981D23">
              <w:rPr>
                <w:rFonts w:asciiTheme="minorHAnsi" w:hAnsiTheme="minorHAnsi"/>
                <w:sz w:val="16"/>
                <w:szCs w:val="16"/>
              </w:rPr>
              <w:t>023</w:t>
            </w:r>
          </w:p>
        </w:tc>
        <w:tc>
          <w:tcPr>
            <w:tcW w:w="782" w:type="dxa"/>
            <w:vAlign w:val="center"/>
          </w:tcPr>
          <w:p w14:paraId="1D7E138C" w14:textId="77777777" w:rsidR="003169C8" w:rsidRDefault="003169C8" w:rsidP="00D5306E">
            <w:pPr>
              <w:jc w:val="center"/>
              <w:rPr>
                <w:rFonts w:asciiTheme="minorHAnsi" w:hAnsiTheme="minorHAnsi"/>
                <w:sz w:val="16"/>
                <w:szCs w:val="16"/>
                <w:highlight w:val="yellow"/>
              </w:rPr>
            </w:pPr>
            <w:r w:rsidRPr="00553F81">
              <w:rPr>
                <w:rFonts w:asciiTheme="minorHAnsi" w:hAnsiTheme="minorHAnsi"/>
                <w:sz w:val="16"/>
                <w:szCs w:val="16"/>
              </w:rPr>
              <w:t>8.2</w:t>
            </w:r>
          </w:p>
        </w:tc>
        <w:tc>
          <w:tcPr>
            <w:tcW w:w="1450" w:type="dxa"/>
            <w:vAlign w:val="center"/>
          </w:tcPr>
          <w:p w14:paraId="08C0B1D0" w14:textId="77777777" w:rsidR="003169C8" w:rsidRDefault="003169C8" w:rsidP="00D5306E">
            <w:pPr>
              <w:jc w:val="center"/>
              <w:rPr>
                <w:rFonts w:asciiTheme="minorHAnsi" w:hAnsiTheme="minorHAnsi"/>
                <w:sz w:val="16"/>
                <w:szCs w:val="16"/>
                <w:highlight w:val="yellow"/>
              </w:rPr>
            </w:pPr>
            <w:r w:rsidRPr="00553F81">
              <w:rPr>
                <w:rFonts w:asciiTheme="minorHAnsi" w:hAnsiTheme="minorHAnsi"/>
                <w:sz w:val="16"/>
                <w:szCs w:val="16"/>
              </w:rPr>
              <w:t>6.3</w:t>
            </w:r>
          </w:p>
        </w:tc>
        <w:tc>
          <w:tcPr>
            <w:tcW w:w="1988" w:type="dxa"/>
            <w:vAlign w:val="center"/>
          </w:tcPr>
          <w:p w14:paraId="637224C5" w14:textId="77777777" w:rsidR="003169C8" w:rsidRPr="00562D6D" w:rsidRDefault="003169C8" w:rsidP="00D5306E">
            <w:pPr>
              <w:jc w:val="center"/>
              <w:rPr>
                <w:rFonts w:asciiTheme="minorHAnsi" w:eastAsiaTheme="minorEastAsia" w:hAnsiTheme="minorHAnsi" w:cstheme="minorHAnsi"/>
                <w:sz w:val="16"/>
                <w:szCs w:val="16"/>
                <w:lang w:val="en-GB" w:eastAsia="zh-CN"/>
              </w:rPr>
            </w:pPr>
            <w:r w:rsidRPr="00562D6D">
              <w:rPr>
                <w:rFonts w:asciiTheme="minorHAnsi" w:hAnsiTheme="minorHAnsi"/>
                <w:sz w:val="16"/>
                <w:szCs w:val="16"/>
              </w:rPr>
              <w:t>N/A</w:t>
            </w:r>
          </w:p>
        </w:tc>
      </w:tr>
      <w:tr w:rsidR="003169C8" w:rsidRPr="00A15872" w14:paraId="300E1D64" w14:textId="77777777" w:rsidTr="007F3C68">
        <w:tc>
          <w:tcPr>
            <w:tcW w:w="1696" w:type="dxa"/>
          </w:tcPr>
          <w:p w14:paraId="79C46354" w14:textId="77777777" w:rsidR="003169C8" w:rsidRPr="00025212" w:rsidRDefault="003169C8" w:rsidP="00D5306E">
            <w:pPr>
              <w:ind w:right="37"/>
              <w:jc w:val="center"/>
              <w:rPr>
                <w:rFonts w:asciiTheme="minorHAnsi" w:hAnsiTheme="minorHAnsi" w:cstheme="minorHAnsi"/>
                <w:sz w:val="16"/>
                <w:szCs w:val="16"/>
                <w:highlight w:val="green"/>
              </w:rPr>
            </w:pPr>
            <w:r w:rsidRPr="00773AA2">
              <w:rPr>
                <w:rFonts w:asciiTheme="minorHAnsi" w:hAnsiTheme="minorHAnsi" w:cstheme="minorHAnsi"/>
                <w:sz w:val="16"/>
                <w:szCs w:val="16"/>
              </w:rPr>
              <w:t>All</w:t>
            </w:r>
          </w:p>
        </w:tc>
        <w:tc>
          <w:tcPr>
            <w:tcW w:w="2554" w:type="dxa"/>
          </w:tcPr>
          <w:p w14:paraId="7E238420" w14:textId="3125F734" w:rsidR="003169C8" w:rsidRDefault="003169C8" w:rsidP="00D5306E">
            <w:pPr>
              <w:ind w:right="37"/>
              <w:jc w:val="center"/>
              <w:rPr>
                <w:rFonts w:asciiTheme="minorHAnsi" w:hAnsiTheme="minorHAnsi" w:cstheme="minorHAnsi"/>
                <w:sz w:val="16"/>
                <w:szCs w:val="16"/>
              </w:rPr>
            </w:pPr>
            <w:r w:rsidRPr="00EE0008">
              <w:rPr>
                <w:rFonts w:asciiTheme="minorHAnsi" w:hAnsiTheme="minorHAnsi" w:cstheme="minorHAnsi"/>
                <w:sz w:val="16"/>
                <w:szCs w:val="16"/>
              </w:rPr>
              <w:t xml:space="preserve">Supported </w:t>
            </w:r>
            <w:proofErr w:type="spellStart"/>
            <w:r w:rsidRPr="00EE0008">
              <w:rPr>
                <w:rFonts w:asciiTheme="minorHAnsi" w:hAnsiTheme="minorHAnsi" w:cstheme="minorHAnsi"/>
                <w:sz w:val="16"/>
                <w:szCs w:val="16"/>
              </w:rPr>
              <w:t>iCBT</w:t>
            </w:r>
            <w:r w:rsidR="00B44087" w:rsidRPr="00B44087">
              <w:rPr>
                <w:rFonts w:asciiTheme="minorHAnsi" w:hAnsiTheme="minorHAnsi" w:cstheme="minorHAnsi"/>
                <w:sz w:val="16"/>
                <w:szCs w:val="16"/>
                <w:vertAlign w:val="superscript"/>
              </w:rPr>
              <w:t>a</w:t>
            </w:r>
            <w:proofErr w:type="spellEnd"/>
          </w:p>
        </w:tc>
        <w:tc>
          <w:tcPr>
            <w:tcW w:w="1276" w:type="dxa"/>
            <w:vAlign w:val="center"/>
          </w:tcPr>
          <w:p w14:paraId="3390AE25" w14:textId="77777777" w:rsidR="003169C8" w:rsidRPr="00D81C6C" w:rsidRDefault="003169C8" w:rsidP="00D5306E">
            <w:pPr>
              <w:jc w:val="center"/>
              <w:rPr>
                <w:rFonts w:asciiTheme="minorHAnsi" w:hAnsiTheme="minorHAnsi"/>
                <w:sz w:val="16"/>
                <w:szCs w:val="16"/>
              </w:rPr>
            </w:pPr>
            <w:r w:rsidRPr="00EE0008">
              <w:rPr>
                <w:rFonts w:asciiTheme="minorHAnsi" w:hAnsiTheme="minorHAnsi"/>
                <w:sz w:val="16"/>
                <w:szCs w:val="16"/>
              </w:rPr>
              <w:t>GAD-7</w:t>
            </w:r>
          </w:p>
        </w:tc>
        <w:tc>
          <w:tcPr>
            <w:tcW w:w="1090" w:type="dxa"/>
            <w:vAlign w:val="center"/>
          </w:tcPr>
          <w:p w14:paraId="50759848" w14:textId="77777777" w:rsidR="003169C8" w:rsidRPr="00766BAE" w:rsidRDefault="003169C8" w:rsidP="00D5306E">
            <w:pPr>
              <w:jc w:val="center"/>
              <w:rPr>
                <w:rFonts w:asciiTheme="minorHAnsi" w:hAnsiTheme="minorHAnsi"/>
                <w:sz w:val="16"/>
                <w:szCs w:val="16"/>
              </w:rPr>
            </w:pPr>
            <w:r w:rsidRPr="00385383">
              <w:rPr>
                <w:rFonts w:asciiTheme="minorHAnsi" w:hAnsiTheme="minorHAnsi"/>
                <w:sz w:val="16"/>
                <w:szCs w:val="16"/>
              </w:rPr>
              <w:t>18</w:t>
            </w:r>
            <w:r>
              <w:rPr>
                <w:rFonts w:asciiTheme="minorHAnsi" w:hAnsiTheme="minorHAnsi"/>
                <w:sz w:val="16"/>
                <w:szCs w:val="16"/>
              </w:rPr>
              <w:t>,</w:t>
            </w:r>
            <w:r w:rsidRPr="00385383">
              <w:rPr>
                <w:rFonts w:asciiTheme="minorHAnsi" w:hAnsiTheme="minorHAnsi"/>
                <w:sz w:val="16"/>
                <w:szCs w:val="16"/>
              </w:rPr>
              <w:t>236</w:t>
            </w:r>
          </w:p>
        </w:tc>
        <w:tc>
          <w:tcPr>
            <w:tcW w:w="941" w:type="dxa"/>
            <w:vAlign w:val="center"/>
          </w:tcPr>
          <w:p w14:paraId="4A5FF000" w14:textId="77777777" w:rsidR="003169C8" w:rsidRDefault="003169C8" w:rsidP="00D5306E">
            <w:pPr>
              <w:jc w:val="center"/>
              <w:rPr>
                <w:rFonts w:asciiTheme="minorHAnsi" w:hAnsiTheme="minorHAnsi"/>
                <w:sz w:val="16"/>
                <w:szCs w:val="16"/>
                <w:highlight w:val="yellow"/>
              </w:rPr>
            </w:pPr>
            <w:r w:rsidRPr="00553F81">
              <w:rPr>
                <w:rFonts w:asciiTheme="minorHAnsi" w:hAnsiTheme="minorHAnsi"/>
                <w:sz w:val="16"/>
                <w:szCs w:val="16"/>
              </w:rPr>
              <w:t>11.5</w:t>
            </w:r>
          </w:p>
        </w:tc>
        <w:tc>
          <w:tcPr>
            <w:tcW w:w="967" w:type="dxa"/>
            <w:vAlign w:val="center"/>
          </w:tcPr>
          <w:p w14:paraId="5D8714C7" w14:textId="77777777" w:rsidR="003169C8" w:rsidRDefault="003169C8" w:rsidP="00D5306E">
            <w:pPr>
              <w:jc w:val="center"/>
              <w:rPr>
                <w:rFonts w:asciiTheme="minorHAnsi" w:hAnsiTheme="minorHAnsi"/>
                <w:sz w:val="16"/>
                <w:szCs w:val="16"/>
                <w:highlight w:val="yellow"/>
              </w:rPr>
            </w:pPr>
            <w:r w:rsidRPr="00553F81">
              <w:rPr>
                <w:rFonts w:asciiTheme="minorHAnsi" w:hAnsiTheme="minorHAnsi"/>
                <w:sz w:val="16"/>
                <w:szCs w:val="16"/>
              </w:rPr>
              <w:t>5.1</w:t>
            </w:r>
          </w:p>
        </w:tc>
        <w:tc>
          <w:tcPr>
            <w:tcW w:w="1288" w:type="dxa"/>
            <w:shd w:val="clear" w:color="auto" w:fill="auto"/>
            <w:vAlign w:val="center"/>
          </w:tcPr>
          <w:p w14:paraId="2234FBE6" w14:textId="77777777" w:rsidR="003169C8" w:rsidRDefault="003169C8" w:rsidP="00D5306E">
            <w:pPr>
              <w:jc w:val="center"/>
              <w:rPr>
                <w:rFonts w:asciiTheme="minorHAnsi" w:hAnsiTheme="minorHAnsi"/>
                <w:sz w:val="16"/>
                <w:szCs w:val="16"/>
                <w:highlight w:val="yellow"/>
              </w:rPr>
            </w:pPr>
            <w:r w:rsidRPr="00385383">
              <w:rPr>
                <w:rFonts w:asciiTheme="minorHAnsi" w:hAnsiTheme="minorHAnsi"/>
                <w:sz w:val="16"/>
                <w:szCs w:val="16"/>
              </w:rPr>
              <w:t>5</w:t>
            </w:r>
            <w:r>
              <w:rPr>
                <w:rFonts w:asciiTheme="minorHAnsi" w:hAnsiTheme="minorHAnsi"/>
                <w:sz w:val="16"/>
                <w:szCs w:val="16"/>
              </w:rPr>
              <w:t>,</w:t>
            </w:r>
            <w:r w:rsidRPr="00385383">
              <w:rPr>
                <w:rFonts w:asciiTheme="minorHAnsi" w:hAnsiTheme="minorHAnsi"/>
                <w:sz w:val="16"/>
                <w:szCs w:val="16"/>
              </w:rPr>
              <w:t>482</w:t>
            </w:r>
          </w:p>
        </w:tc>
        <w:tc>
          <w:tcPr>
            <w:tcW w:w="782" w:type="dxa"/>
            <w:vAlign w:val="center"/>
          </w:tcPr>
          <w:p w14:paraId="65B065B8" w14:textId="77777777" w:rsidR="003169C8" w:rsidRDefault="003169C8" w:rsidP="00D5306E">
            <w:pPr>
              <w:jc w:val="center"/>
              <w:rPr>
                <w:rFonts w:asciiTheme="minorHAnsi" w:hAnsiTheme="minorHAnsi"/>
                <w:sz w:val="16"/>
                <w:szCs w:val="16"/>
                <w:highlight w:val="yellow"/>
              </w:rPr>
            </w:pPr>
            <w:r w:rsidRPr="00553F81">
              <w:rPr>
                <w:rFonts w:asciiTheme="minorHAnsi" w:hAnsiTheme="minorHAnsi"/>
                <w:sz w:val="16"/>
                <w:szCs w:val="16"/>
              </w:rPr>
              <w:t>6.4</w:t>
            </w:r>
          </w:p>
        </w:tc>
        <w:tc>
          <w:tcPr>
            <w:tcW w:w="1450" w:type="dxa"/>
            <w:vAlign w:val="center"/>
          </w:tcPr>
          <w:p w14:paraId="3B3B2267" w14:textId="77777777" w:rsidR="003169C8" w:rsidRDefault="003169C8" w:rsidP="00D5306E">
            <w:pPr>
              <w:jc w:val="center"/>
              <w:rPr>
                <w:rFonts w:asciiTheme="minorHAnsi" w:hAnsiTheme="minorHAnsi"/>
                <w:sz w:val="16"/>
                <w:szCs w:val="16"/>
                <w:highlight w:val="yellow"/>
              </w:rPr>
            </w:pPr>
            <w:r w:rsidRPr="00553F81">
              <w:rPr>
                <w:rFonts w:asciiTheme="minorHAnsi" w:hAnsiTheme="minorHAnsi"/>
                <w:sz w:val="16"/>
                <w:szCs w:val="16"/>
              </w:rPr>
              <w:t>4.8</w:t>
            </w:r>
          </w:p>
        </w:tc>
        <w:tc>
          <w:tcPr>
            <w:tcW w:w="1988" w:type="dxa"/>
            <w:vAlign w:val="center"/>
          </w:tcPr>
          <w:p w14:paraId="66A3AC19" w14:textId="77777777" w:rsidR="003169C8" w:rsidRPr="00562D6D" w:rsidRDefault="003169C8" w:rsidP="00D5306E">
            <w:pPr>
              <w:jc w:val="center"/>
              <w:rPr>
                <w:rFonts w:asciiTheme="minorHAnsi" w:eastAsiaTheme="minorEastAsia" w:hAnsiTheme="minorHAnsi" w:cstheme="minorHAnsi"/>
                <w:sz w:val="16"/>
                <w:szCs w:val="16"/>
                <w:lang w:val="en-GB" w:eastAsia="zh-CN"/>
              </w:rPr>
            </w:pPr>
            <w:r w:rsidRPr="00562D6D">
              <w:rPr>
                <w:rFonts w:asciiTheme="minorHAnsi" w:hAnsiTheme="minorHAnsi"/>
                <w:sz w:val="16"/>
                <w:szCs w:val="16"/>
              </w:rPr>
              <w:t>N/A</w:t>
            </w:r>
          </w:p>
        </w:tc>
      </w:tr>
      <w:tr w:rsidR="003169C8" w:rsidRPr="00562D6D" w14:paraId="2DA7C276" w14:textId="77777777" w:rsidTr="007F3C68">
        <w:tc>
          <w:tcPr>
            <w:tcW w:w="1696" w:type="dxa"/>
          </w:tcPr>
          <w:p w14:paraId="288A44CB"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18-29 years</w:t>
            </w:r>
          </w:p>
        </w:tc>
        <w:tc>
          <w:tcPr>
            <w:tcW w:w="2554" w:type="dxa"/>
          </w:tcPr>
          <w:p w14:paraId="5B7DF3D0"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GAD</w:t>
            </w:r>
            <w:r w:rsidRPr="00562D6D">
              <w:rPr>
                <w:rFonts w:asciiTheme="minorHAnsi" w:hAnsiTheme="minorHAnsi" w:cstheme="minorHAnsi"/>
                <w:sz w:val="16"/>
                <w:szCs w:val="16"/>
                <w:vertAlign w:val="superscript"/>
              </w:rPr>
              <w:t>b</w:t>
            </w:r>
            <w:proofErr w:type="spellEnd"/>
          </w:p>
        </w:tc>
        <w:tc>
          <w:tcPr>
            <w:tcW w:w="1276" w:type="dxa"/>
          </w:tcPr>
          <w:p w14:paraId="09FF6B20"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K10</w:t>
            </w:r>
          </w:p>
        </w:tc>
        <w:tc>
          <w:tcPr>
            <w:tcW w:w="1090" w:type="dxa"/>
          </w:tcPr>
          <w:p w14:paraId="26BD6811"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100</w:t>
            </w:r>
          </w:p>
        </w:tc>
        <w:tc>
          <w:tcPr>
            <w:tcW w:w="941" w:type="dxa"/>
          </w:tcPr>
          <w:p w14:paraId="4B4E2BEB"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26.11</w:t>
            </w:r>
          </w:p>
        </w:tc>
        <w:tc>
          <w:tcPr>
            <w:tcW w:w="967" w:type="dxa"/>
          </w:tcPr>
          <w:p w14:paraId="10F7A4C0"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4.69</w:t>
            </w:r>
          </w:p>
        </w:tc>
        <w:tc>
          <w:tcPr>
            <w:tcW w:w="1288" w:type="dxa"/>
            <w:shd w:val="clear" w:color="auto" w:fill="auto"/>
          </w:tcPr>
          <w:p w14:paraId="07780D14"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100</w:t>
            </w:r>
          </w:p>
        </w:tc>
        <w:tc>
          <w:tcPr>
            <w:tcW w:w="782" w:type="dxa"/>
          </w:tcPr>
          <w:p w14:paraId="239A7C01"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19.23</w:t>
            </w:r>
          </w:p>
        </w:tc>
        <w:tc>
          <w:tcPr>
            <w:tcW w:w="1450" w:type="dxa"/>
          </w:tcPr>
          <w:p w14:paraId="7893EDA1"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4.10</w:t>
            </w:r>
          </w:p>
        </w:tc>
        <w:tc>
          <w:tcPr>
            <w:tcW w:w="1988" w:type="dxa"/>
          </w:tcPr>
          <w:p w14:paraId="5E102D53" w14:textId="77777777" w:rsidR="003169C8" w:rsidRPr="00562D6D" w:rsidRDefault="003169C8" w:rsidP="00D5306E">
            <w:pPr>
              <w:jc w:val="center"/>
              <w:rPr>
                <w:rFonts w:asciiTheme="minorHAnsi" w:hAnsiTheme="minorHAnsi" w:cstheme="minorHAnsi"/>
                <w:sz w:val="16"/>
                <w:szCs w:val="16"/>
              </w:rPr>
            </w:pPr>
            <w:r w:rsidRPr="00562D6D">
              <w:rPr>
                <w:rFonts w:asciiTheme="minorHAnsi" w:eastAsiaTheme="minorEastAsia" w:hAnsiTheme="minorHAnsi" w:cstheme="minorHAnsi"/>
                <w:sz w:val="16"/>
                <w:szCs w:val="16"/>
                <w:lang w:val="en-GB" w:eastAsia="zh-CN"/>
              </w:rPr>
              <w:t>1.34 (1.09, 1.59)</w:t>
            </w:r>
          </w:p>
        </w:tc>
      </w:tr>
      <w:tr w:rsidR="003169C8" w:rsidRPr="00562D6D" w14:paraId="73C2850E" w14:textId="77777777" w:rsidTr="007F3C68">
        <w:tc>
          <w:tcPr>
            <w:tcW w:w="1696" w:type="dxa"/>
          </w:tcPr>
          <w:p w14:paraId="17DC05A2"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30-39 years</w:t>
            </w:r>
          </w:p>
        </w:tc>
        <w:tc>
          <w:tcPr>
            <w:tcW w:w="2554" w:type="dxa"/>
          </w:tcPr>
          <w:p w14:paraId="6ED0C661"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GAD</w:t>
            </w:r>
            <w:r w:rsidRPr="00562D6D">
              <w:rPr>
                <w:rFonts w:asciiTheme="minorHAnsi" w:hAnsiTheme="minorHAnsi" w:cstheme="minorHAnsi"/>
                <w:sz w:val="16"/>
                <w:szCs w:val="16"/>
                <w:vertAlign w:val="superscript"/>
              </w:rPr>
              <w:t>b</w:t>
            </w:r>
            <w:proofErr w:type="spellEnd"/>
          </w:p>
        </w:tc>
        <w:tc>
          <w:tcPr>
            <w:tcW w:w="1276" w:type="dxa"/>
          </w:tcPr>
          <w:p w14:paraId="5A576FB9"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K10</w:t>
            </w:r>
          </w:p>
        </w:tc>
        <w:tc>
          <w:tcPr>
            <w:tcW w:w="1090" w:type="dxa"/>
          </w:tcPr>
          <w:p w14:paraId="6765E90B"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117</w:t>
            </w:r>
          </w:p>
        </w:tc>
        <w:tc>
          <w:tcPr>
            <w:tcW w:w="941" w:type="dxa"/>
          </w:tcPr>
          <w:p w14:paraId="4BAA26DC"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25.71</w:t>
            </w:r>
          </w:p>
        </w:tc>
        <w:tc>
          <w:tcPr>
            <w:tcW w:w="967" w:type="dxa"/>
          </w:tcPr>
          <w:p w14:paraId="59A193EC"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4.68</w:t>
            </w:r>
          </w:p>
        </w:tc>
        <w:tc>
          <w:tcPr>
            <w:tcW w:w="1288" w:type="dxa"/>
            <w:shd w:val="clear" w:color="auto" w:fill="auto"/>
          </w:tcPr>
          <w:p w14:paraId="26B4A1F2"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117</w:t>
            </w:r>
          </w:p>
        </w:tc>
        <w:tc>
          <w:tcPr>
            <w:tcW w:w="782" w:type="dxa"/>
          </w:tcPr>
          <w:p w14:paraId="7AB59940"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18.80</w:t>
            </w:r>
          </w:p>
        </w:tc>
        <w:tc>
          <w:tcPr>
            <w:tcW w:w="1450" w:type="dxa"/>
          </w:tcPr>
          <w:p w14:paraId="23C53260"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4.19</w:t>
            </w:r>
          </w:p>
        </w:tc>
        <w:tc>
          <w:tcPr>
            <w:tcW w:w="1988" w:type="dxa"/>
          </w:tcPr>
          <w:p w14:paraId="5F2A45BE"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1.70 (1.45, 1.95)</w:t>
            </w:r>
          </w:p>
        </w:tc>
      </w:tr>
      <w:tr w:rsidR="003169C8" w:rsidRPr="00562D6D" w14:paraId="56AF1D51" w14:textId="77777777" w:rsidTr="007F3C68">
        <w:tc>
          <w:tcPr>
            <w:tcW w:w="1696" w:type="dxa"/>
          </w:tcPr>
          <w:p w14:paraId="08774DAB"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40-49 years</w:t>
            </w:r>
          </w:p>
        </w:tc>
        <w:tc>
          <w:tcPr>
            <w:tcW w:w="2554" w:type="dxa"/>
          </w:tcPr>
          <w:p w14:paraId="63EB5C08"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GAD</w:t>
            </w:r>
            <w:r w:rsidRPr="00562D6D">
              <w:rPr>
                <w:rFonts w:asciiTheme="minorHAnsi" w:hAnsiTheme="minorHAnsi" w:cstheme="minorHAnsi"/>
                <w:sz w:val="16"/>
                <w:szCs w:val="16"/>
                <w:vertAlign w:val="superscript"/>
              </w:rPr>
              <w:t>b</w:t>
            </w:r>
            <w:proofErr w:type="spellEnd"/>
          </w:p>
        </w:tc>
        <w:tc>
          <w:tcPr>
            <w:tcW w:w="1276" w:type="dxa"/>
          </w:tcPr>
          <w:p w14:paraId="5736809D"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K10</w:t>
            </w:r>
          </w:p>
        </w:tc>
        <w:tc>
          <w:tcPr>
            <w:tcW w:w="1090" w:type="dxa"/>
          </w:tcPr>
          <w:p w14:paraId="60F0DB7A"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82</w:t>
            </w:r>
          </w:p>
        </w:tc>
        <w:tc>
          <w:tcPr>
            <w:tcW w:w="941" w:type="dxa"/>
          </w:tcPr>
          <w:p w14:paraId="1320CC5D"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25.71</w:t>
            </w:r>
          </w:p>
        </w:tc>
        <w:tc>
          <w:tcPr>
            <w:tcW w:w="967" w:type="dxa"/>
          </w:tcPr>
          <w:p w14:paraId="6C4CB49E"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4.67</w:t>
            </w:r>
          </w:p>
        </w:tc>
        <w:tc>
          <w:tcPr>
            <w:tcW w:w="1288" w:type="dxa"/>
            <w:shd w:val="clear" w:color="auto" w:fill="auto"/>
          </w:tcPr>
          <w:p w14:paraId="55BA1160"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82</w:t>
            </w:r>
          </w:p>
        </w:tc>
        <w:tc>
          <w:tcPr>
            <w:tcW w:w="782" w:type="dxa"/>
          </w:tcPr>
          <w:p w14:paraId="5E397301"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18.49</w:t>
            </w:r>
          </w:p>
        </w:tc>
        <w:tc>
          <w:tcPr>
            <w:tcW w:w="1450" w:type="dxa"/>
          </w:tcPr>
          <w:p w14:paraId="5CFDD31D"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4.18</w:t>
            </w:r>
          </w:p>
        </w:tc>
        <w:tc>
          <w:tcPr>
            <w:tcW w:w="1988" w:type="dxa"/>
          </w:tcPr>
          <w:p w14:paraId="1098F301"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1.54 (1.25, 1.84)</w:t>
            </w:r>
          </w:p>
        </w:tc>
      </w:tr>
      <w:tr w:rsidR="003169C8" w:rsidRPr="00562D6D" w14:paraId="06FD6984" w14:textId="77777777" w:rsidTr="007F3C68">
        <w:tc>
          <w:tcPr>
            <w:tcW w:w="1696" w:type="dxa"/>
          </w:tcPr>
          <w:p w14:paraId="17048FDC"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50-59 years</w:t>
            </w:r>
          </w:p>
        </w:tc>
        <w:tc>
          <w:tcPr>
            <w:tcW w:w="2554" w:type="dxa"/>
          </w:tcPr>
          <w:p w14:paraId="250F9FD3"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GAD</w:t>
            </w:r>
            <w:r w:rsidRPr="00562D6D">
              <w:rPr>
                <w:rFonts w:asciiTheme="minorHAnsi" w:hAnsiTheme="minorHAnsi" w:cstheme="minorHAnsi"/>
                <w:sz w:val="16"/>
                <w:szCs w:val="16"/>
                <w:vertAlign w:val="superscript"/>
              </w:rPr>
              <w:t>b</w:t>
            </w:r>
            <w:proofErr w:type="spellEnd"/>
          </w:p>
        </w:tc>
        <w:tc>
          <w:tcPr>
            <w:tcW w:w="1276" w:type="dxa"/>
          </w:tcPr>
          <w:p w14:paraId="63731E44"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K10</w:t>
            </w:r>
          </w:p>
        </w:tc>
        <w:tc>
          <w:tcPr>
            <w:tcW w:w="1090" w:type="dxa"/>
          </w:tcPr>
          <w:p w14:paraId="525D14E2"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77</w:t>
            </w:r>
          </w:p>
        </w:tc>
        <w:tc>
          <w:tcPr>
            <w:tcW w:w="941" w:type="dxa"/>
          </w:tcPr>
          <w:p w14:paraId="57F6F772"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25.58</w:t>
            </w:r>
          </w:p>
        </w:tc>
        <w:tc>
          <w:tcPr>
            <w:tcW w:w="967" w:type="dxa"/>
          </w:tcPr>
          <w:p w14:paraId="387FA5FC"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4.67</w:t>
            </w:r>
          </w:p>
        </w:tc>
        <w:tc>
          <w:tcPr>
            <w:tcW w:w="1288" w:type="dxa"/>
            <w:shd w:val="clear" w:color="auto" w:fill="auto"/>
          </w:tcPr>
          <w:p w14:paraId="140F78A9"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77</w:t>
            </w:r>
          </w:p>
        </w:tc>
        <w:tc>
          <w:tcPr>
            <w:tcW w:w="782" w:type="dxa"/>
          </w:tcPr>
          <w:p w14:paraId="3094A324"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18.90</w:t>
            </w:r>
          </w:p>
        </w:tc>
        <w:tc>
          <w:tcPr>
            <w:tcW w:w="1450" w:type="dxa"/>
          </w:tcPr>
          <w:p w14:paraId="51437B50"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4.37</w:t>
            </w:r>
          </w:p>
        </w:tc>
        <w:tc>
          <w:tcPr>
            <w:tcW w:w="1988" w:type="dxa"/>
          </w:tcPr>
          <w:p w14:paraId="24DE80BC"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1.30 (0.98, 1.61)</w:t>
            </w:r>
          </w:p>
        </w:tc>
      </w:tr>
      <w:tr w:rsidR="003169C8" w:rsidRPr="00562D6D" w14:paraId="1E68C837" w14:textId="77777777" w:rsidTr="007F3C68">
        <w:tc>
          <w:tcPr>
            <w:tcW w:w="1696" w:type="dxa"/>
          </w:tcPr>
          <w:p w14:paraId="42C5AFCA"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60+ years</w:t>
            </w:r>
          </w:p>
        </w:tc>
        <w:tc>
          <w:tcPr>
            <w:tcW w:w="2554" w:type="dxa"/>
          </w:tcPr>
          <w:p w14:paraId="34F5B31F"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GAD</w:t>
            </w:r>
            <w:r w:rsidRPr="00562D6D">
              <w:rPr>
                <w:rFonts w:asciiTheme="minorHAnsi" w:hAnsiTheme="minorHAnsi" w:cstheme="minorHAnsi"/>
                <w:sz w:val="16"/>
                <w:szCs w:val="16"/>
                <w:vertAlign w:val="superscript"/>
              </w:rPr>
              <w:t>b</w:t>
            </w:r>
            <w:proofErr w:type="spellEnd"/>
          </w:p>
        </w:tc>
        <w:tc>
          <w:tcPr>
            <w:tcW w:w="1276" w:type="dxa"/>
          </w:tcPr>
          <w:p w14:paraId="50E584D4"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K10</w:t>
            </w:r>
          </w:p>
        </w:tc>
        <w:tc>
          <w:tcPr>
            <w:tcW w:w="1090" w:type="dxa"/>
          </w:tcPr>
          <w:p w14:paraId="10258752"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65</w:t>
            </w:r>
          </w:p>
        </w:tc>
        <w:tc>
          <w:tcPr>
            <w:tcW w:w="941" w:type="dxa"/>
          </w:tcPr>
          <w:p w14:paraId="0AC50126"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25.54</w:t>
            </w:r>
          </w:p>
        </w:tc>
        <w:tc>
          <w:tcPr>
            <w:tcW w:w="967" w:type="dxa"/>
          </w:tcPr>
          <w:p w14:paraId="42C9D6A9"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4.67</w:t>
            </w:r>
          </w:p>
        </w:tc>
        <w:tc>
          <w:tcPr>
            <w:tcW w:w="1288" w:type="dxa"/>
            <w:shd w:val="clear" w:color="auto" w:fill="auto"/>
          </w:tcPr>
          <w:p w14:paraId="543CF2A7"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65</w:t>
            </w:r>
          </w:p>
        </w:tc>
        <w:tc>
          <w:tcPr>
            <w:tcW w:w="782" w:type="dxa"/>
          </w:tcPr>
          <w:p w14:paraId="4135C1AA"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18.64</w:t>
            </w:r>
          </w:p>
        </w:tc>
        <w:tc>
          <w:tcPr>
            <w:tcW w:w="1450" w:type="dxa"/>
          </w:tcPr>
          <w:p w14:paraId="46537E29"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4.24</w:t>
            </w:r>
          </w:p>
        </w:tc>
        <w:tc>
          <w:tcPr>
            <w:tcW w:w="1988" w:type="dxa"/>
          </w:tcPr>
          <w:p w14:paraId="0C1BB7D9"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1.39 (1.05, 1.73)</w:t>
            </w:r>
          </w:p>
        </w:tc>
      </w:tr>
      <w:tr w:rsidR="003169C8" w:rsidRPr="00562D6D" w14:paraId="7E6A5A7C" w14:textId="77777777" w:rsidTr="007F3C68">
        <w:tc>
          <w:tcPr>
            <w:tcW w:w="1696" w:type="dxa"/>
          </w:tcPr>
          <w:p w14:paraId="34D5AB4A"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18-29 years</w:t>
            </w:r>
          </w:p>
        </w:tc>
        <w:tc>
          <w:tcPr>
            <w:tcW w:w="2554" w:type="dxa"/>
          </w:tcPr>
          <w:p w14:paraId="04191066"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GAD</w:t>
            </w:r>
            <w:r w:rsidRPr="00562D6D">
              <w:rPr>
                <w:rFonts w:asciiTheme="minorHAnsi" w:hAnsiTheme="minorHAnsi" w:cstheme="minorHAnsi"/>
                <w:sz w:val="16"/>
                <w:szCs w:val="16"/>
                <w:vertAlign w:val="superscript"/>
              </w:rPr>
              <w:t>b</w:t>
            </w:r>
            <w:proofErr w:type="spellEnd"/>
            <w:r w:rsidRPr="00562D6D">
              <w:rPr>
                <w:rFonts w:asciiTheme="minorHAnsi" w:hAnsiTheme="minorHAnsi" w:cstheme="minorHAnsi"/>
                <w:sz w:val="16"/>
                <w:szCs w:val="16"/>
              </w:rPr>
              <w:t xml:space="preserve"> </w:t>
            </w:r>
          </w:p>
        </w:tc>
        <w:tc>
          <w:tcPr>
            <w:tcW w:w="1276" w:type="dxa"/>
          </w:tcPr>
          <w:p w14:paraId="5096DCB7"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PHQ-9</w:t>
            </w:r>
          </w:p>
        </w:tc>
        <w:tc>
          <w:tcPr>
            <w:tcW w:w="1090" w:type="dxa"/>
          </w:tcPr>
          <w:p w14:paraId="469E3325"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100</w:t>
            </w:r>
          </w:p>
        </w:tc>
        <w:tc>
          <w:tcPr>
            <w:tcW w:w="941" w:type="dxa"/>
          </w:tcPr>
          <w:p w14:paraId="3E1CE40A" w14:textId="77777777" w:rsidR="003169C8" w:rsidRPr="00562D6D" w:rsidRDefault="003169C8" w:rsidP="00D5306E">
            <w:pPr>
              <w:jc w:val="center"/>
              <w:rPr>
                <w:rFonts w:asciiTheme="minorHAnsi" w:eastAsiaTheme="minorHAnsi" w:hAnsiTheme="minorHAnsi" w:cstheme="minorHAnsi"/>
                <w:sz w:val="16"/>
                <w:szCs w:val="16"/>
                <w:lang w:val="en-GB" w:eastAsia="en-US"/>
              </w:rPr>
            </w:pPr>
            <w:r w:rsidRPr="00562D6D">
              <w:rPr>
                <w:rFonts w:asciiTheme="minorHAnsi" w:eastAsiaTheme="minorHAnsi" w:hAnsiTheme="minorHAnsi" w:cstheme="minorHAnsi"/>
                <w:sz w:val="16"/>
                <w:szCs w:val="16"/>
                <w:lang w:val="en-GB" w:eastAsia="en-US"/>
              </w:rPr>
              <w:t>11.00</w:t>
            </w:r>
          </w:p>
        </w:tc>
        <w:tc>
          <w:tcPr>
            <w:tcW w:w="967" w:type="dxa"/>
          </w:tcPr>
          <w:p w14:paraId="7565260D"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5.42</w:t>
            </w:r>
          </w:p>
        </w:tc>
        <w:tc>
          <w:tcPr>
            <w:tcW w:w="1288" w:type="dxa"/>
            <w:shd w:val="clear" w:color="auto" w:fill="auto"/>
          </w:tcPr>
          <w:p w14:paraId="4471B96F"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sz w:val="16"/>
                <w:szCs w:val="16"/>
              </w:rPr>
              <w:t>100</w:t>
            </w:r>
          </w:p>
        </w:tc>
        <w:tc>
          <w:tcPr>
            <w:tcW w:w="782" w:type="dxa"/>
          </w:tcPr>
          <w:p w14:paraId="59E3A2C7"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6.94</w:t>
            </w:r>
          </w:p>
        </w:tc>
        <w:tc>
          <w:tcPr>
            <w:tcW w:w="1450" w:type="dxa"/>
          </w:tcPr>
          <w:p w14:paraId="0CE882C3"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4.06</w:t>
            </w:r>
          </w:p>
        </w:tc>
        <w:tc>
          <w:tcPr>
            <w:tcW w:w="1988" w:type="dxa"/>
          </w:tcPr>
          <w:p w14:paraId="4EED3DD8"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0.85 (0.61, 1.09)</w:t>
            </w:r>
          </w:p>
        </w:tc>
      </w:tr>
      <w:tr w:rsidR="003169C8" w:rsidRPr="00562D6D" w14:paraId="2B33A086" w14:textId="77777777" w:rsidTr="007F3C68">
        <w:tc>
          <w:tcPr>
            <w:tcW w:w="1696" w:type="dxa"/>
          </w:tcPr>
          <w:p w14:paraId="511E5124"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30-39 years</w:t>
            </w:r>
          </w:p>
        </w:tc>
        <w:tc>
          <w:tcPr>
            <w:tcW w:w="2554" w:type="dxa"/>
          </w:tcPr>
          <w:p w14:paraId="131BA2EE"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GAD</w:t>
            </w:r>
            <w:r w:rsidRPr="00562D6D">
              <w:rPr>
                <w:rFonts w:asciiTheme="minorHAnsi" w:hAnsiTheme="minorHAnsi" w:cstheme="minorHAnsi"/>
                <w:sz w:val="16"/>
                <w:szCs w:val="16"/>
                <w:vertAlign w:val="superscript"/>
              </w:rPr>
              <w:t>b</w:t>
            </w:r>
            <w:proofErr w:type="spellEnd"/>
          </w:p>
        </w:tc>
        <w:tc>
          <w:tcPr>
            <w:tcW w:w="1276" w:type="dxa"/>
          </w:tcPr>
          <w:p w14:paraId="26463790"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PHQ-9</w:t>
            </w:r>
          </w:p>
        </w:tc>
        <w:tc>
          <w:tcPr>
            <w:tcW w:w="1090" w:type="dxa"/>
          </w:tcPr>
          <w:p w14:paraId="6ECE6481"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117</w:t>
            </w:r>
          </w:p>
        </w:tc>
        <w:tc>
          <w:tcPr>
            <w:tcW w:w="941" w:type="dxa"/>
          </w:tcPr>
          <w:p w14:paraId="7EF296DB"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9.65</w:t>
            </w:r>
          </w:p>
        </w:tc>
        <w:tc>
          <w:tcPr>
            <w:tcW w:w="967" w:type="dxa"/>
          </w:tcPr>
          <w:p w14:paraId="3B924246"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5.63</w:t>
            </w:r>
          </w:p>
        </w:tc>
        <w:tc>
          <w:tcPr>
            <w:tcW w:w="1288" w:type="dxa"/>
            <w:shd w:val="clear" w:color="auto" w:fill="auto"/>
          </w:tcPr>
          <w:p w14:paraId="750554DD"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sz w:val="16"/>
                <w:szCs w:val="16"/>
              </w:rPr>
              <w:t>117</w:t>
            </w:r>
          </w:p>
        </w:tc>
        <w:tc>
          <w:tcPr>
            <w:tcW w:w="782" w:type="dxa"/>
          </w:tcPr>
          <w:p w14:paraId="68958F87"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6.32</w:t>
            </w:r>
          </w:p>
        </w:tc>
        <w:tc>
          <w:tcPr>
            <w:tcW w:w="1450" w:type="dxa"/>
          </w:tcPr>
          <w:p w14:paraId="4CB027F3"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4.43</w:t>
            </w:r>
          </w:p>
        </w:tc>
        <w:tc>
          <w:tcPr>
            <w:tcW w:w="1988" w:type="dxa"/>
          </w:tcPr>
          <w:p w14:paraId="1CF9836D"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0.71 (0.48, 0.93)</w:t>
            </w:r>
          </w:p>
        </w:tc>
      </w:tr>
      <w:tr w:rsidR="003169C8" w:rsidRPr="00562D6D" w14:paraId="7D985CAA" w14:textId="77777777" w:rsidTr="007F3C68">
        <w:tc>
          <w:tcPr>
            <w:tcW w:w="1696" w:type="dxa"/>
          </w:tcPr>
          <w:p w14:paraId="76A209CC"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40-49 years</w:t>
            </w:r>
          </w:p>
        </w:tc>
        <w:tc>
          <w:tcPr>
            <w:tcW w:w="2554" w:type="dxa"/>
          </w:tcPr>
          <w:p w14:paraId="415EBE23"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GAD</w:t>
            </w:r>
            <w:r w:rsidRPr="00562D6D">
              <w:rPr>
                <w:rFonts w:asciiTheme="minorHAnsi" w:hAnsiTheme="minorHAnsi" w:cstheme="minorHAnsi"/>
                <w:sz w:val="16"/>
                <w:szCs w:val="16"/>
                <w:vertAlign w:val="superscript"/>
              </w:rPr>
              <w:t>b</w:t>
            </w:r>
            <w:proofErr w:type="spellEnd"/>
          </w:p>
        </w:tc>
        <w:tc>
          <w:tcPr>
            <w:tcW w:w="1276" w:type="dxa"/>
          </w:tcPr>
          <w:p w14:paraId="6AB11543"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PHQ-9</w:t>
            </w:r>
          </w:p>
        </w:tc>
        <w:tc>
          <w:tcPr>
            <w:tcW w:w="1090" w:type="dxa"/>
          </w:tcPr>
          <w:p w14:paraId="26898F4C"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82</w:t>
            </w:r>
          </w:p>
        </w:tc>
        <w:tc>
          <w:tcPr>
            <w:tcW w:w="941" w:type="dxa"/>
          </w:tcPr>
          <w:p w14:paraId="064B15ED"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9.44</w:t>
            </w:r>
          </w:p>
        </w:tc>
        <w:tc>
          <w:tcPr>
            <w:tcW w:w="967" w:type="dxa"/>
          </w:tcPr>
          <w:p w14:paraId="0994EB3C"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5.41</w:t>
            </w:r>
          </w:p>
        </w:tc>
        <w:tc>
          <w:tcPr>
            <w:tcW w:w="1288" w:type="dxa"/>
            <w:shd w:val="clear" w:color="auto" w:fill="auto"/>
          </w:tcPr>
          <w:p w14:paraId="311110E0"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sz w:val="16"/>
                <w:szCs w:val="16"/>
              </w:rPr>
              <w:t>82</w:t>
            </w:r>
          </w:p>
        </w:tc>
        <w:tc>
          <w:tcPr>
            <w:tcW w:w="782" w:type="dxa"/>
          </w:tcPr>
          <w:p w14:paraId="76C11E10"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5.36</w:t>
            </w:r>
          </w:p>
        </w:tc>
        <w:tc>
          <w:tcPr>
            <w:tcW w:w="1450" w:type="dxa"/>
          </w:tcPr>
          <w:p w14:paraId="69AB50F5"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3.93</w:t>
            </w:r>
          </w:p>
        </w:tc>
        <w:tc>
          <w:tcPr>
            <w:tcW w:w="1988" w:type="dxa"/>
          </w:tcPr>
          <w:p w14:paraId="6C4DBEA9"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0.96 (0.69, 1.23)</w:t>
            </w:r>
          </w:p>
        </w:tc>
      </w:tr>
      <w:tr w:rsidR="003169C8" w:rsidRPr="00562D6D" w14:paraId="4B65FDCB" w14:textId="77777777" w:rsidTr="007F3C68">
        <w:tc>
          <w:tcPr>
            <w:tcW w:w="1696" w:type="dxa"/>
          </w:tcPr>
          <w:p w14:paraId="5927EEF3"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50-59 years</w:t>
            </w:r>
          </w:p>
        </w:tc>
        <w:tc>
          <w:tcPr>
            <w:tcW w:w="2554" w:type="dxa"/>
          </w:tcPr>
          <w:p w14:paraId="6C06D098"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GAD</w:t>
            </w:r>
            <w:r w:rsidRPr="00562D6D">
              <w:rPr>
                <w:rFonts w:asciiTheme="minorHAnsi" w:hAnsiTheme="minorHAnsi" w:cstheme="minorHAnsi"/>
                <w:sz w:val="16"/>
                <w:szCs w:val="16"/>
                <w:vertAlign w:val="superscript"/>
              </w:rPr>
              <w:t>b</w:t>
            </w:r>
            <w:proofErr w:type="spellEnd"/>
          </w:p>
        </w:tc>
        <w:tc>
          <w:tcPr>
            <w:tcW w:w="1276" w:type="dxa"/>
          </w:tcPr>
          <w:p w14:paraId="5C7D3BC5"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PHQ-9</w:t>
            </w:r>
          </w:p>
        </w:tc>
        <w:tc>
          <w:tcPr>
            <w:tcW w:w="1090" w:type="dxa"/>
          </w:tcPr>
          <w:p w14:paraId="4B6AEBC7"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77</w:t>
            </w:r>
          </w:p>
        </w:tc>
        <w:tc>
          <w:tcPr>
            <w:tcW w:w="941" w:type="dxa"/>
          </w:tcPr>
          <w:p w14:paraId="5FE40AC1"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9.42</w:t>
            </w:r>
          </w:p>
        </w:tc>
        <w:tc>
          <w:tcPr>
            <w:tcW w:w="967" w:type="dxa"/>
          </w:tcPr>
          <w:p w14:paraId="4A7D89AB"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5.84</w:t>
            </w:r>
          </w:p>
        </w:tc>
        <w:tc>
          <w:tcPr>
            <w:tcW w:w="1288" w:type="dxa"/>
            <w:shd w:val="clear" w:color="auto" w:fill="auto"/>
          </w:tcPr>
          <w:p w14:paraId="4D17531E"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sz w:val="16"/>
                <w:szCs w:val="16"/>
              </w:rPr>
              <w:t>77</w:t>
            </w:r>
          </w:p>
        </w:tc>
        <w:tc>
          <w:tcPr>
            <w:tcW w:w="782" w:type="dxa"/>
          </w:tcPr>
          <w:p w14:paraId="12DC7241"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5.79</w:t>
            </w:r>
          </w:p>
        </w:tc>
        <w:tc>
          <w:tcPr>
            <w:tcW w:w="1450" w:type="dxa"/>
          </w:tcPr>
          <w:p w14:paraId="2E17DE9D"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4.20</w:t>
            </w:r>
          </w:p>
        </w:tc>
        <w:tc>
          <w:tcPr>
            <w:tcW w:w="1988" w:type="dxa"/>
          </w:tcPr>
          <w:p w14:paraId="64C3ECF2"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0.75 (0.46, 1.05)</w:t>
            </w:r>
          </w:p>
        </w:tc>
      </w:tr>
      <w:tr w:rsidR="003169C8" w:rsidRPr="00562D6D" w14:paraId="6075285A" w14:textId="77777777" w:rsidTr="007F3C68">
        <w:tc>
          <w:tcPr>
            <w:tcW w:w="1696" w:type="dxa"/>
          </w:tcPr>
          <w:p w14:paraId="22C63495"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60+ years</w:t>
            </w:r>
          </w:p>
        </w:tc>
        <w:tc>
          <w:tcPr>
            <w:tcW w:w="2554" w:type="dxa"/>
          </w:tcPr>
          <w:p w14:paraId="28DBF7D2"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GAD</w:t>
            </w:r>
            <w:r w:rsidRPr="00562D6D">
              <w:rPr>
                <w:rFonts w:asciiTheme="minorHAnsi" w:hAnsiTheme="minorHAnsi" w:cstheme="minorHAnsi"/>
                <w:sz w:val="16"/>
                <w:szCs w:val="16"/>
                <w:vertAlign w:val="superscript"/>
              </w:rPr>
              <w:t>b</w:t>
            </w:r>
            <w:proofErr w:type="spellEnd"/>
          </w:p>
        </w:tc>
        <w:tc>
          <w:tcPr>
            <w:tcW w:w="1276" w:type="dxa"/>
          </w:tcPr>
          <w:p w14:paraId="19BEF5E7"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PHQ-9</w:t>
            </w:r>
          </w:p>
        </w:tc>
        <w:tc>
          <w:tcPr>
            <w:tcW w:w="1090" w:type="dxa"/>
          </w:tcPr>
          <w:p w14:paraId="4DEC64C0"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65</w:t>
            </w:r>
          </w:p>
        </w:tc>
        <w:tc>
          <w:tcPr>
            <w:tcW w:w="941" w:type="dxa"/>
          </w:tcPr>
          <w:p w14:paraId="00E1FEAF"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7.57</w:t>
            </w:r>
          </w:p>
        </w:tc>
        <w:tc>
          <w:tcPr>
            <w:tcW w:w="967" w:type="dxa"/>
          </w:tcPr>
          <w:p w14:paraId="78F42662"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5.43</w:t>
            </w:r>
          </w:p>
        </w:tc>
        <w:tc>
          <w:tcPr>
            <w:tcW w:w="1288" w:type="dxa"/>
            <w:shd w:val="clear" w:color="auto" w:fill="auto"/>
          </w:tcPr>
          <w:p w14:paraId="49718140"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sz w:val="16"/>
                <w:szCs w:val="16"/>
              </w:rPr>
              <w:t>65</w:t>
            </w:r>
          </w:p>
        </w:tc>
        <w:tc>
          <w:tcPr>
            <w:tcW w:w="782" w:type="dxa"/>
          </w:tcPr>
          <w:p w14:paraId="22785F2D"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4.78</w:t>
            </w:r>
          </w:p>
        </w:tc>
        <w:tc>
          <w:tcPr>
            <w:tcW w:w="1450" w:type="dxa"/>
          </w:tcPr>
          <w:p w14:paraId="7EE7FC8A"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4.29</w:t>
            </w:r>
          </w:p>
        </w:tc>
        <w:tc>
          <w:tcPr>
            <w:tcW w:w="1988" w:type="dxa"/>
          </w:tcPr>
          <w:p w14:paraId="24D02701"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0.59 (0.28, 0.91)</w:t>
            </w:r>
          </w:p>
        </w:tc>
      </w:tr>
      <w:tr w:rsidR="003169C8" w:rsidRPr="00562D6D" w14:paraId="5F4F75BB" w14:textId="77777777" w:rsidTr="007F3C68">
        <w:tc>
          <w:tcPr>
            <w:tcW w:w="1696" w:type="dxa"/>
          </w:tcPr>
          <w:p w14:paraId="099A007B"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18-29 years</w:t>
            </w:r>
          </w:p>
        </w:tc>
        <w:tc>
          <w:tcPr>
            <w:tcW w:w="2554" w:type="dxa"/>
          </w:tcPr>
          <w:p w14:paraId="741124DB"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CBT for </w:t>
            </w:r>
            <w:proofErr w:type="spellStart"/>
            <w:r w:rsidRPr="00562D6D">
              <w:rPr>
                <w:rFonts w:asciiTheme="minorHAnsi" w:hAnsiTheme="minorHAnsi" w:cstheme="minorHAnsi"/>
                <w:sz w:val="16"/>
                <w:szCs w:val="16"/>
              </w:rPr>
              <w:t>GAD</w:t>
            </w:r>
            <w:r w:rsidRPr="00562D6D">
              <w:rPr>
                <w:rFonts w:asciiTheme="minorHAnsi" w:hAnsiTheme="minorHAnsi" w:cstheme="minorHAnsi"/>
                <w:sz w:val="16"/>
                <w:szCs w:val="16"/>
                <w:vertAlign w:val="superscript"/>
              </w:rPr>
              <w:t>b</w:t>
            </w:r>
            <w:proofErr w:type="spellEnd"/>
          </w:p>
        </w:tc>
        <w:tc>
          <w:tcPr>
            <w:tcW w:w="1276" w:type="dxa"/>
          </w:tcPr>
          <w:p w14:paraId="50BFCBE9"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GAD-7</w:t>
            </w:r>
          </w:p>
        </w:tc>
        <w:tc>
          <w:tcPr>
            <w:tcW w:w="1090" w:type="dxa"/>
          </w:tcPr>
          <w:p w14:paraId="68FE8847"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100</w:t>
            </w:r>
          </w:p>
        </w:tc>
        <w:tc>
          <w:tcPr>
            <w:tcW w:w="941" w:type="dxa"/>
          </w:tcPr>
          <w:p w14:paraId="07BEF572"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12.63</w:t>
            </w:r>
          </w:p>
        </w:tc>
        <w:tc>
          <w:tcPr>
            <w:tcW w:w="967" w:type="dxa"/>
          </w:tcPr>
          <w:p w14:paraId="43DACE3C"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5.07</w:t>
            </w:r>
          </w:p>
        </w:tc>
        <w:tc>
          <w:tcPr>
            <w:tcW w:w="1288" w:type="dxa"/>
            <w:shd w:val="clear" w:color="auto" w:fill="auto"/>
          </w:tcPr>
          <w:p w14:paraId="3C26BA00"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sz w:val="16"/>
                <w:szCs w:val="16"/>
              </w:rPr>
              <w:t>100</w:t>
            </w:r>
          </w:p>
        </w:tc>
        <w:tc>
          <w:tcPr>
            <w:tcW w:w="782" w:type="dxa"/>
          </w:tcPr>
          <w:p w14:paraId="34BA628D"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7.27</w:t>
            </w:r>
          </w:p>
        </w:tc>
        <w:tc>
          <w:tcPr>
            <w:tcW w:w="1450" w:type="dxa"/>
          </w:tcPr>
          <w:p w14:paraId="6D6378D0"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3.96</w:t>
            </w:r>
          </w:p>
        </w:tc>
        <w:tc>
          <w:tcPr>
            <w:tcW w:w="1988" w:type="dxa"/>
          </w:tcPr>
          <w:p w14:paraId="1C1EA93E"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1.34 (1.08, 1.58)</w:t>
            </w:r>
          </w:p>
        </w:tc>
      </w:tr>
      <w:tr w:rsidR="003169C8" w:rsidRPr="00562D6D" w14:paraId="28C3758F" w14:textId="77777777" w:rsidTr="007F3C68">
        <w:tc>
          <w:tcPr>
            <w:tcW w:w="1696" w:type="dxa"/>
          </w:tcPr>
          <w:p w14:paraId="06646858"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30-39 years</w:t>
            </w:r>
          </w:p>
        </w:tc>
        <w:tc>
          <w:tcPr>
            <w:tcW w:w="2554" w:type="dxa"/>
          </w:tcPr>
          <w:p w14:paraId="5503B08A"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GAD</w:t>
            </w:r>
            <w:r w:rsidRPr="00562D6D">
              <w:rPr>
                <w:rFonts w:asciiTheme="minorHAnsi" w:hAnsiTheme="minorHAnsi" w:cstheme="minorHAnsi"/>
                <w:sz w:val="16"/>
                <w:szCs w:val="16"/>
                <w:vertAlign w:val="superscript"/>
              </w:rPr>
              <w:t>b</w:t>
            </w:r>
            <w:proofErr w:type="spellEnd"/>
          </w:p>
        </w:tc>
        <w:tc>
          <w:tcPr>
            <w:tcW w:w="1276" w:type="dxa"/>
          </w:tcPr>
          <w:p w14:paraId="09987D4C"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GAD-7</w:t>
            </w:r>
          </w:p>
        </w:tc>
        <w:tc>
          <w:tcPr>
            <w:tcW w:w="1090" w:type="dxa"/>
          </w:tcPr>
          <w:p w14:paraId="3A0B73F3"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117</w:t>
            </w:r>
          </w:p>
        </w:tc>
        <w:tc>
          <w:tcPr>
            <w:tcW w:w="941" w:type="dxa"/>
          </w:tcPr>
          <w:p w14:paraId="646BF29D"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11.92</w:t>
            </w:r>
          </w:p>
        </w:tc>
        <w:tc>
          <w:tcPr>
            <w:tcW w:w="967" w:type="dxa"/>
          </w:tcPr>
          <w:p w14:paraId="1C4759DD"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5.06</w:t>
            </w:r>
          </w:p>
        </w:tc>
        <w:tc>
          <w:tcPr>
            <w:tcW w:w="1288" w:type="dxa"/>
            <w:shd w:val="clear" w:color="auto" w:fill="auto"/>
          </w:tcPr>
          <w:p w14:paraId="784F2B2E"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sz w:val="16"/>
                <w:szCs w:val="16"/>
              </w:rPr>
              <w:t>117</w:t>
            </w:r>
          </w:p>
        </w:tc>
        <w:tc>
          <w:tcPr>
            <w:tcW w:w="782" w:type="dxa"/>
          </w:tcPr>
          <w:p w14:paraId="103870E2"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6.82</w:t>
            </w:r>
          </w:p>
        </w:tc>
        <w:tc>
          <w:tcPr>
            <w:tcW w:w="1450" w:type="dxa"/>
          </w:tcPr>
          <w:p w14:paraId="604F5A9A"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4.02</w:t>
            </w:r>
          </w:p>
        </w:tc>
        <w:tc>
          <w:tcPr>
            <w:tcW w:w="1988" w:type="dxa"/>
          </w:tcPr>
          <w:p w14:paraId="5F53B13E"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1.25 (1.02, 1.49)</w:t>
            </w:r>
          </w:p>
        </w:tc>
      </w:tr>
      <w:tr w:rsidR="003169C8" w:rsidRPr="00562D6D" w14:paraId="778CFC5B" w14:textId="77777777" w:rsidTr="007F3C68">
        <w:tc>
          <w:tcPr>
            <w:tcW w:w="1696" w:type="dxa"/>
          </w:tcPr>
          <w:p w14:paraId="6D81C736"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40-49 years</w:t>
            </w:r>
          </w:p>
        </w:tc>
        <w:tc>
          <w:tcPr>
            <w:tcW w:w="2554" w:type="dxa"/>
          </w:tcPr>
          <w:p w14:paraId="26C461C6"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GAD</w:t>
            </w:r>
            <w:r w:rsidRPr="00562D6D">
              <w:rPr>
                <w:rFonts w:asciiTheme="minorHAnsi" w:hAnsiTheme="minorHAnsi" w:cstheme="minorHAnsi"/>
                <w:sz w:val="16"/>
                <w:szCs w:val="16"/>
                <w:vertAlign w:val="superscript"/>
              </w:rPr>
              <w:t>b</w:t>
            </w:r>
            <w:proofErr w:type="spellEnd"/>
          </w:p>
        </w:tc>
        <w:tc>
          <w:tcPr>
            <w:tcW w:w="1276" w:type="dxa"/>
          </w:tcPr>
          <w:p w14:paraId="56E7A5D8"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GAD-7</w:t>
            </w:r>
          </w:p>
        </w:tc>
        <w:tc>
          <w:tcPr>
            <w:tcW w:w="1090" w:type="dxa"/>
          </w:tcPr>
          <w:p w14:paraId="0FD24329"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82</w:t>
            </w:r>
          </w:p>
        </w:tc>
        <w:tc>
          <w:tcPr>
            <w:tcW w:w="941" w:type="dxa"/>
          </w:tcPr>
          <w:p w14:paraId="106740C2"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11.48</w:t>
            </w:r>
          </w:p>
        </w:tc>
        <w:tc>
          <w:tcPr>
            <w:tcW w:w="967" w:type="dxa"/>
          </w:tcPr>
          <w:p w14:paraId="642C032E"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5.07</w:t>
            </w:r>
          </w:p>
        </w:tc>
        <w:tc>
          <w:tcPr>
            <w:tcW w:w="1288" w:type="dxa"/>
            <w:shd w:val="clear" w:color="auto" w:fill="auto"/>
          </w:tcPr>
          <w:p w14:paraId="0782D81A"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sz w:val="16"/>
                <w:szCs w:val="16"/>
              </w:rPr>
              <w:t>82</w:t>
            </w:r>
          </w:p>
        </w:tc>
        <w:tc>
          <w:tcPr>
            <w:tcW w:w="782" w:type="dxa"/>
          </w:tcPr>
          <w:p w14:paraId="41A90F7F"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5.68</w:t>
            </w:r>
          </w:p>
        </w:tc>
        <w:tc>
          <w:tcPr>
            <w:tcW w:w="1450" w:type="dxa"/>
          </w:tcPr>
          <w:p w14:paraId="0DC461DE"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4.03</w:t>
            </w:r>
          </w:p>
        </w:tc>
        <w:tc>
          <w:tcPr>
            <w:tcW w:w="1988" w:type="dxa"/>
          </w:tcPr>
          <w:p w14:paraId="41EB3640"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1.40 (1.11, 1.68)</w:t>
            </w:r>
          </w:p>
        </w:tc>
      </w:tr>
      <w:tr w:rsidR="003169C8" w:rsidRPr="00562D6D" w14:paraId="0152935D" w14:textId="77777777" w:rsidTr="007F3C68">
        <w:tc>
          <w:tcPr>
            <w:tcW w:w="1696" w:type="dxa"/>
          </w:tcPr>
          <w:p w14:paraId="76BA175B"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50-59 years</w:t>
            </w:r>
          </w:p>
        </w:tc>
        <w:tc>
          <w:tcPr>
            <w:tcW w:w="2554" w:type="dxa"/>
          </w:tcPr>
          <w:p w14:paraId="5C1EF844"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GAD</w:t>
            </w:r>
            <w:r w:rsidRPr="00562D6D">
              <w:rPr>
                <w:rFonts w:asciiTheme="minorHAnsi" w:hAnsiTheme="minorHAnsi" w:cstheme="minorHAnsi"/>
                <w:sz w:val="16"/>
                <w:szCs w:val="16"/>
                <w:vertAlign w:val="superscript"/>
              </w:rPr>
              <w:t>b</w:t>
            </w:r>
            <w:proofErr w:type="spellEnd"/>
          </w:p>
        </w:tc>
        <w:tc>
          <w:tcPr>
            <w:tcW w:w="1276" w:type="dxa"/>
          </w:tcPr>
          <w:p w14:paraId="2B272C6F"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GAD-7</w:t>
            </w:r>
          </w:p>
        </w:tc>
        <w:tc>
          <w:tcPr>
            <w:tcW w:w="1090" w:type="dxa"/>
          </w:tcPr>
          <w:p w14:paraId="18E06F1A"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77</w:t>
            </w:r>
          </w:p>
        </w:tc>
        <w:tc>
          <w:tcPr>
            <w:tcW w:w="941" w:type="dxa"/>
          </w:tcPr>
          <w:p w14:paraId="7512E493"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10.74</w:t>
            </w:r>
          </w:p>
        </w:tc>
        <w:tc>
          <w:tcPr>
            <w:tcW w:w="967" w:type="dxa"/>
          </w:tcPr>
          <w:p w14:paraId="70D7DB14"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5.07</w:t>
            </w:r>
          </w:p>
        </w:tc>
        <w:tc>
          <w:tcPr>
            <w:tcW w:w="1288" w:type="dxa"/>
            <w:shd w:val="clear" w:color="auto" w:fill="auto"/>
          </w:tcPr>
          <w:p w14:paraId="23FC7BE3"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sz w:val="16"/>
                <w:szCs w:val="16"/>
              </w:rPr>
              <w:t>77</w:t>
            </w:r>
          </w:p>
        </w:tc>
        <w:tc>
          <w:tcPr>
            <w:tcW w:w="782" w:type="dxa"/>
          </w:tcPr>
          <w:p w14:paraId="2829836A"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5.93</w:t>
            </w:r>
          </w:p>
        </w:tc>
        <w:tc>
          <w:tcPr>
            <w:tcW w:w="1450" w:type="dxa"/>
          </w:tcPr>
          <w:p w14:paraId="5BA34C14"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4.12</w:t>
            </w:r>
          </w:p>
        </w:tc>
        <w:tc>
          <w:tcPr>
            <w:tcW w:w="1988" w:type="dxa"/>
          </w:tcPr>
          <w:p w14:paraId="22AA7B8D"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1.19 (0.88, 1.49)</w:t>
            </w:r>
          </w:p>
        </w:tc>
      </w:tr>
      <w:tr w:rsidR="003169C8" w:rsidRPr="00562D6D" w14:paraId="67E6AFC0" w14:textId="77777777" w:rsidTr="007F3C68">
        <w:tc>
          <w:tcPr>
            <w:tcW w:w="1696" w:type="dxa"/>
          </w:tcPr>
          <w:p w14:paraId="57EC00AB"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60+ years</w:t>
            </w:r>
          </w:p>
        </w:tc>
        <w:tc>
          <w:tcPr>
            <w:tcW w:w="2554" w:type="dxa"/>
          </w:tcPr>
          <w:p w14:paraId="13E28E92"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GAD</w:t>
            </w:r>
            <w:r w:rsidRPr="00562D6D">
              <w:rPr>
                <w:rFonts w:asciiTheme="minorHAnsi" w:hAnsiTheme="minorHAnsi" w:cstheme="minorHAnsi"/>
                <w:sz w:val="16"/>
                <w:szCs w:val="16"/>
                <w:vertAlign w:val="superscript"/>
              </w:rPr>
              <w:t>b</w:t>
            </w:r>
            <w:proofErr w:type="spellEnd"/>
          </w:p>
        </w:tc>
        <w:tc>
          <w:tcPr>
            <w:tcW w:w="1276" w:type="dxa"/>
          </w:tcPr>
          <w:p w14:paraId="75842BEF"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GAD-7</w:t>
            </w:r>
          </w:p>
        </w:tc>
        <w:tc>
          <w:tcPr>
            <w:tcW w:w="1090" w:type="dxa"/>
          </w:tcPr>
          <w:p w14:paraId="6A96792A"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65</w:t>
            </w:r>
          </w:p>
        </w:tc>
        <w:tc>
          <w:tcPr>
            <w:tcW w:w="941" w:type="dxa"/>
          </w:tcPr>
          <w:p w14:paraId="29B33E83"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9.63</w:t>
            </w:r>
          </w:p>
        </w:tc>
        <w:tc>
          <w:tcPr>
            <w:tcW w:w="967" w:type="dxa"/>
          </w:tcPr>
          <w:p w14:paraId="5C7203E6"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5.07</w:t>
            </w:r>
          </w:p>
        </w:tc>
        <w:tc>
          <w:tcPr>
            <w:tcW w:w="1288" w:type="dxa"/>
            <w:shd w:val="clear" w:color="auto" w:fill="auto"/>
          </w:tcPr>
          <w:p w14:paraId="1D0C865E"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sz w:val="16"/>
                <w:szCs w:val="16"/>
              </w:rPr>
              <w:t>65</w:t>
            </w:r>
          </w:p>
        </w:tc>
        <w:tc>
          <w:tcPr>
            <w:tcW w:w="782" w:type="dxa"/>
          </w:tcPr>
          <w:p w14:paraId="048B88A3"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5.28</w:t>
            </w:r>
          </w:p>
        </w:tc>
        <w:tc>
          <w:tcPr>
            <w:tcW w:w="1450" w:type="dxa"/>
          </w:tcPr>
          <w:p w14:paraId="78058970"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4.10</w:t>
            </w:r>
          </w:p>
        </w:tc>
        <w:tc>
          <w:tcPr>
            <w:tcW w:w="1988" w:type="dxa"/>
          </w:tcPr>
          <w:p w14:paraId="07767EAF"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1.01 (0.69, 1.34)</w:t>
            </w:r>
          </w:p>
        </w:tc>
      </w:tr>
      <w:tr w:rsidR="003169C8" w:rsidRPr="00562D6D" w14:paraId="6EE0E144" w14:textId="77777777" w:rsidTr="007F3C68">
        <w:tc>
          <w:tcPr>
            <w:tcW w:w="1696" w:type="dxa"/>
          </w:tcPr>
          <w:p w14:paraId="17F15116"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18-29 years</w:t>
            </w:r>
          </w:p>
        </w:tc>
        <w:tc>
          <w:tcPr>
            <w:tcW w:w="2554" w:type="dxa"/>
          </w:tcPr>
          <w:p w14:paraId="1FC087E5" w14:textId="77777777" w:rsidR="003169C8" w:rsidRPr="00562D6D" w:rsidRDefault="003169C8" w:rsidP="00D5306E">
            <w:pPr>
              <w:ind w:right="37"/>
              <w:jc w:val="center"/>
              <w:rPr>
                <w:rFonts w:asciiTheme="minorHAnsi" w:hAnsiTheme="minorHAnsi" w:cstheme="minorHAnsi"/>
                <w:sz w:val="16"/>
                <w:szCs w:val="16"/>
                <w:vertAlign w:val="superscript"/>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GAD</w:t>
            </w:r>
            <w:r w:rsidRPr="00562D6D">
              <w:rPr>
                <w:rFonts w:asciiTheme="minorHAnsi" w:hAnsiTheme="minorHAnsi" w:cstheme="minorHAnsi"/>
                <w:sz w:val="16"/>
                <w:szCs w:val="16"/>
                <w:vertAlign w:val="superscript"/>
              </w:rPr>
              <w:t>b</w:t>
            </w:r>
            <w:proofErr w:type="spellEnd"/>
          </w:p>
        </w:tc>
        <w:tc>
          <w:tcPr>
            <w:tcW w:w="1276" w:type="dxa"/>
          </w:tcPr>
          <w:p w14:paraId="382A19EF"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WHODAS 2.0</w:t>
            </w:r>
          </w:p>
        </w:tc>
        <w:tc>
          <w:tcPr>
            <w:tcW w:w="1090" w:type="dxa"/>
          </w:tcPr>
          <w:p w14:paraId="4231B313"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100</w:t>
            </w:r>
          </w:p>
        </w:tc>
        <w:tc>
          <w:tcPr>
            <w:tcW w:w="941" w:type="dxa"/>
          </w:tcPr>
          <w:p w14:paraId="07AFC429"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12.94</w:t>
            </w:r>
          </w:p>
        </w:tc>
        <w:tc>
          <w:tcPr>
            <w:tcW w:w="967" w:type="dxa"/>
          </w:tcPr>
          <w:p w14:paraId="7D050DB7"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7.53</w:t>
            </w:r>
          </w:p>
        </w:tc>
        <w:tc>
          <w:tcPr>
            <w:tcW w:w="1288" w:type="dxa"/>
            <w:shd w:val="clear" w:color="auto" w:fill="auto"/>
          </w:tcPr>
          <w:p w14:paraId="45EC27DB"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sz w:val="16"/>
                <w:szCs w:val="16"/>
              </w:rPr>
              <w:t>100</w:t>
            </w:r>
          </w:p>
        </w:tc>
        <w:tc>
          <w:tcPr>
            <w:tcW w:w="782" w:type="dxa"/>
          </w:tcPr>
          <w:p w14:paraId="0FC1D880"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10.10</w:t>
            </w:r>
          </w:p>
        </w:tc>
        <w:tc>
          <w:tcPr>
            <w:tcW w:w="1450" w:type="dxa"/>
          </w:tcPr>
          <w:p w14:paraId="1A9B551C"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6.23</w:t>
            </w:r>
          </w:p>
        </w:tc>
        <w:tc>
          <w:tcPr>
            <w:tcW w:w="1988" w:type="dxa"/>
          </w:tcPr>
          <w:p w14:paraId="541CC5E6"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0.44 (0.21, 0.68)</w:t>
            </w:r>
          </w:p>
        </w:tc>
      </w:tr>
      <w:tr w:rsidR="003169C8" w:rsidRPr="00562D6D" w14:paraId="0A5DDB0A" w14:textId="77777777" w:rsidTr="007F3C68">
        <w:tc>
          <w:tcPr>
            <w:tcW w:w="1696" w:type="dxa"/>
          </w:tcPr>
          <w:p w14:paraId="442EF04E"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30-39 years</w:t>
            </w:r>
          </w:p>
        </w:tc>
        <w:tc>
          <w:tcPr>
            <w:tcW w:w="2554" w:type="dxa"/>
          </w:tcPr>
          <w:p w14:paraId="57C5AAE3"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GAD</w:t>
            </w:r>
            <w:r w:rsidRPr="00562D6D">
              <w:rPr>
                <w:rFonts w:asciiTheme="minorHAnsi" w:hAnsiTheme="minorHAnsi" w:cstheme="minorHAnsi"/>
                <w:sz w:val="16"/>
                <w:szCs w:val="16"/>
                <w:vertAlign w:val="superscript"/>
              </w:rPr>
              <w:t>b</w:t>
            </w:r>
            <w:proofErr w:type="spellEnd"/>
          </w:p>
        </w:tc>
        <w:tc>
          <w:tcPr>
            <w:tcW w:w="1276" w:type="dxa"/>
          </w:tcPr>
          <w:p w14:paraId="5539BC67"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WHODAS 2.0</w:t>
            </w:r>
          </w:p>
        </w:tc>
        <w:tc>
          <w:tcPr>
            <w:tcW w:w="1090" w:type="dxa"/>
          </w:tcPr>
          <w:p w14:paraId="22FD9183"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117</w:t>
            </w:r>
          </w:p>
        </w:tc>
        <w:tc>
          <w:tcPr>
            <w:tcW w:w="941" w:type="dxa"/>
          </w:tcPr>
          <w:p w14:paraId="74C41D1D"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11.52</w:t>
            </w:r>
          </w:p>
        </w:tc>
        <w:tc>
          <w:tcPr>
            <w:tcW w:w="967" w:type="dxa"/>
          </w:tcPr>
          <w:p w14:paraId="229DC92A"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7.32</w:t>
            </w:r>
          </w:p>
        </w:tc>
        <w:tc>
          <w:tcPr>
            <w:tcW w:w="1288" w:type="dxa"/>
            <w:shd w:val="clear" w:color="auto" w:fill="auto"/>
          </w:tcPr>
          <w:p w14:paraId="1A3B0BD4"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sz w:val="16"/>
                <w:szCs w:val="16"/>
              </w:rPr>
              <w:t>117</w:t>
            </w:r>
          </w:p>
        </w:tc>
        <w:tc>
          <w:tcPr>
            <w:tcW w:w="782" w:type="dxa"/>
          </w:tcPr>
          <w:p w14:paraId="66418700"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8.36</w:t>
            </w:r>
          </w:p>
        </w:tc>
        <w:tc>
          <w:tcPr>
            <w:tcW w:w="1450" w:type="dxa"/>
          </w:tcPr>
          <w:p w14:paraId="7AE4F3AC"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6.31</w:t>
            </w:r>
          </w:p>
        </w:tc>
        <w:tc>
          <w:tcPr>
            <w:tcW w:w="1988" w:type="dxa"/>
          </w:tcPr>
          <w:p w14:paraId="3C65042C"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0.52 (0.30, 0.74)</w:t>
            </w:r>
          </w:p>
        </w:tc>
      </w:tr>
      <w:tr w:rsidR="003169C8" w:rsidRPr="00562D6D" w14:paraId="41767D7A" w14:textId="77777777" w:rsidTr="007F3C68">
        <w:tc>
          <w:tcPr>
            <w:tcW w:w="1696" w:type="dxa"/>
          </w:tcPr>
          <w:p w14:paraId="4DA8B3F2"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40-49 years</w:t>
            </w:r>
          </w:p>
        </w:tc>
        <w:tc>
          <w:tcPr>
            <w:tcW w:w="2554" w:type="dxa"/>
          </w:tcPr>
          <w:p w14:paraId="5C0C3649"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GAD</w:t>
            </w:r>
            <w:r w:rsidRPr="00562D6D">
              <w:rPr>
                <w:rFonts w:asciiTheme="minorHAnsi" w:hAnsiTheme="minorHAnsi" w:cstheme="minorHAnsi"/>
                <w:sz w:val="16"/>
                <w:szCs w:val="16"/>
                <w:vertAlign w:val="superscript"/>
              </w:rPr>
              <w:t>b</w:t>
            </w:r>
            <w:proofErr w:type="spellEnd"/>
            <w:r w:rsidRPr="00562D6D">
              <w:rPr>
                <w:rFonts w:asciiTheme="minorHAnsi" w:hAnsiTheme="minorHAnsi" w:cstheme="minorHAnsi"/>
                <w:sz w:val="16"/>
                <w:szCs w:val="16"/>
              </w:rPr>
              <w:t xml:space="preserve"> </w:t>
            </w:r>
          </w:p>
        </w:tc>
        <w:tc>
          <w:tcPr>
            <w:tcW w:w="1276" w:type="dxa"/>
          </w:tcPr>
          <w:p w14:paraId="5B8B7386"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WHODAS 2.0</w:t>
            </w:r>
          </w:p>
        </w:tc>
        <w:tc>
          <w:tcPr>
            <w:tcW w:w="1090" w:type="dxa"/>
          </w:tcPr>
          <w:p w14:paraId="0FDBAFD4"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82</w:t>
            </w:r>
          </w:p>
        </w:tc>
        <w:tc>
          <w:tcPr>
            <w:tcW w:w="941" w:type="dxa"/>
          </w:tcPr>
          <w:p w14:paraId="79F50AD0"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11.41</w:t>
            </w:r>
          </w:p>
        </w:tc>
        <w:tc>
          <w:tcPr>
            <w:tcW w:w="967" w:type="dxa"/>
          </w:tcPr>
          <w:p w14:paraId="48ACD39C"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7.45</w:t>
            </w:r>
          </w:p>
        </w:tc>
        <w:tc>
          <w:tcPr>
            <w:tcW w:w="1288" w:type="dxa"/>
            <w:shd w:val="clear" w:color="auto" w:fill="auto"/>
          </w:tcPr>
          <w:p w14:paraId="293EDFDD"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sz w:val="16"/>
                <w:szCs w:val="16"/>
              </w:rPr>
              <w:t>82</w:t>
            </w:r>
          </w:p>
        </w:tc>
        <w:tc>
          <w:tcPr>
            <w:tcW w:w="782" w:type="dxa"/>
          </w:tcPr>
          <w:p w14:paraId="6C1EF31B"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7.99</w:t>
            </w:r>
          </w:p>
        </w:tc>
        <w:tc>
          <w:tcPr>
            <w:tcW w:w="1450" w:type="dxa"/>
          </w:tcPr>
          <w:p w14:paraId="7A613A22"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6.30</w:t>
            </w:r>
          </w:p>
        </w:tc>
        <w:tc>
          <w:tcPr>
            <w:tcW w:w="1988" w:type="dxa"/>
          </w:tcPr>
          <w:p w14:paraId="7F0016C5"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0.51 (0.24, 0.77)</w:t>
            </w:r>
          </w:p>
        </w:tc>
      </w:tr>
      <w:tr w:rsidR="003169C8" w:rsidRPr="00562D6D" w14:paraId="1DC0E6AF" w14:textId="77777777" w:rsidTr="007F3C68">
        <w:tc>
          <w:tcPr>
            <w:tcW w:w="1696" w:type="dxa"/>
          </w:tcPr>
          <w:p w14:paraId="79B8792C"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50-59 years</w:t>
            </w:r>
          </w:p>
        </w:tc>
        <w:tc>
          <w:tcPr>
            <w:tcW w:w="2554" w:type="dxa"/>
          </w:tcPr>
          <w:p w14:paraId="350D949B"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GAD</w:t>
            </w:r>
            <w:r w:rsidRPr="00562D6D">
              <w:rPr>
                <w:rFonts w:asciiTheme="minorHAnsi" w:hAnsiTheme="minorHAnsi" w:cstheme="minorHAnsi"/>
                <w:sz w:val="16"/>
                <w:szCs w:val="16"/>
                <w:vertAlign w:val="superscript"/>
              </w:rPr>
              <w:t>b</w:t>
            </w:r>
            <w:proofErr w:type="spellEnd"/>
          </w:p>
        </w:tc>
        <w:tc>
          <w:tcPr>
            <w:tcW w:w="1276" w:type="dxa"/>
          </w:tcPr>
          <w:p w14:paraId="650ACF74"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WHODAS 2.0</w:t>
            </w:r>
          </w:p>
        </w:tc>
        <w:tc>
          <w:tcPr>
            <w:tcW w:w="1090" w:type="dxa"/>
          </w:tcPr>
          <w:p w14:paraId="6AC58A7A"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77</w:t>
            </w:r>
          </w:p>
        </w:tc>
        <w:tc>
          <w:tcPr>
            <w:tcW w:w="941" w:type="dxa"/>
          </w:tcPr>
          <w:p w14:paraId="375E5565"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11.69</w:t>
            </w:r>
          </w:p>
        </w:tc>
        <w:tc>
          <w:tcPr>
            <w:tcW w:w="967" w:type="dxa"/>
          </w:tcPr>
          <w:p w14:paraId="38FECCE6"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7.48</w:t>
            </w:r>
          </w:p>
        </w:tc>
        <w:tc>
          <w:tcPr>
            <w:tcW w:w="1288" w:type="dxa"/>
            <w:shd w:val="clear" w:color="auto" w:fill="auto"/>
          </w:tcPr>
          <w:p w14:paraId="220758CA"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sz w:val="16"/>
                <w:szCs w:val="16"/>
              </w:rPr>
              <w:t>77</w:t>
            </w:r>
          </w:p>
        </w:tc>
        <w:tc>
          <w:tcPr>
            <w:tcW w:w="782" w:type="dxa"/>
          </w:tcPr>
          <w:p w14:paraId="0EE610EE"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9.18</w:t>
            </w:r>
          </w:p>
        </w:tc>
        <w:tc>
          <w:tcPr>
            <w:tcW w:w="1450" w:type="dxa"/>
          </w:tcPr>
          <w:p w14:paraId="2B24423E"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6.65</w:t>
            </w:r>
          </w:p>
        </w:tc>
        <w:tc>
          <w:tcPr>
            <w:tcW w:w="1988" w:type="dxa"/>
          </w:tcPr>
          <w:p w14:paraId="290E1ED0"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0.38 (0.09, 0.67)</w:t>
            </w:r>
          </w:p>
        </w:tc>
      </w:tr>
      <w:tr w:rsidR="003169C8" w:rsidRPr="00562D6D" w14:paraId="7977F9FC" w14:textId="77777777" w:rsidTr="007F3C68">
        <w:tc>
          <w:tcPr>
            <w:tcW w:w="1696" w:type="dxa"/>
          </w:tcPr>
          <w:p w14:paraId="0C5E883E"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60+ years</w:t>
            </w:r>
          </w:p>
        </w:tc>
        <w:tc>
          <w:tcPr>
            <w:tcW w:w="2554" w:type="dxa"/>
          </w:tcPr>
          <w:p w14:paraId="219D5CA3" w14:textId="77777777" w:rsidR="003169C8" w:rsidRPr="00562D6D" w:rsidRDefault="003169C8"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GAD</w:t>
            </w:r>
            <w:r w:rsidRPr="00562D6D">
              <w:rPr>
                <w:rFonts w:asciiTheme="minorHAnsi" w:hAnsiTheme="minorHAnsi" w:cstheme="minorHAnsi"/>
                <w:sz w:val="16"/>
                <w:szCs w:val="16"/>
                <w:vertAlign w:val="superscript"/>
              </w:rPr>
              <w:t>b</w:t>
            </w:r>
            <w:proofErr w:type="spellEnd"/>
          </w:p>
        </w:tc>
        <w:tc>
          <w:tcPr>
            <w:tcW w:w="1276" w:type="dxa"/>
          </w:tcPr>
          <w:p w14:paraId="2CF78FD7"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WHODAS 2.0</w:t>
            </w:r>
          </w:p>
        </w:tc>
        <w:tc>
          <w:tcPr>
            <w:tcW w:w="1090" w:type="dxa"/>
          </w:tcPr>
          <w:p w14:paraId="3055EE8B"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65</w:t>
            </w:r>
          </w:p>
        </w:tc>
        <w:tc>
          <w:tcPr>
            <w:tcW w:w="941" w:type="dxa"/>
          </w:tcPr>
          <w:p w14:paraId="6BAD1041"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11.72</w:t>
            </w:r>
          </w:p>
        </w:tc>
        <w:tc>
          <w:tcPr>
            <w:tcW w:w="967" w:type="dxa"/>
          </w:tcPr>
          <w:p w14:paraId="69556B92"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7.53</w:t>
            </w:r>
          </w:p>
        </w:tc>
        <w:tc>
          <w:tcPr>
            <w:tcW w:w="1288" w:type="dxa"/>
            <w:shd w:val="clear" w:color="auto" w:fill="auto"/>
          </w:tcPr>
          <w:p w14:paraId="0D0CB7DA"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sz w:val="16"/>
                <w:szCs w:val="16"/>
              </w:rPr>
              <w:t>65</w:t>
            </w:r>
          </w:p>
        </w:tc>
        <w:tc>
          <w:tcPr>
            <w:tcW w:w="782" w:type="dxa"/>
          </w:tcPr>
          <w:p w14:paraId="3BF5EAAE"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8.33</w:t>
            </w:r>
          </w:p>
        </w:tc>
        <w:tc>
          <w:tcPr>
            <w:tcW w:w="1450" w:type="dxa"/>
          </w:tcPr>
          <w:p w14:paraId="6438EFCC" w14:textId="77777777" w:rsidR="003169C8" w:rsidRPr="00562D6D" w:rsidRDefault="003169C8" w:rsidP="00D5306E">
            <w:pPr>
              <w:jc w:val="center"/>
              <w:rPr>
                <w:rFonts w:asciiTheme="minorHAnsi" w:hAnsiTheme="minorHAnsi" w:cstheme="minorHAnsi"/>
                <w:sz w:val="16"/>
                <w:szCs w:val="16"/>
              </w:rPr>
            </w:pPr>
            <w:r w:rsidRPr="00562D6D">
              <w:rPr>
                <w:rFonts w:asciiTheme="minorHAnsi" w:hAnsiTheme="minorHAnsi" w:cstheme="minorHAnsi"/>
                <w:sz w:val="16"/>
                <w:szCs w:val="16"/>
              </w:rPr>
              <w:t>6.69</w:t>
            </w:r>
          </w:p>
        </w:tc>
        <w:tc>
          <w:tcPr>
            <w:tcW w:w="1988" w:type="dxa"/>
          </w:tcPr>
          <w:p w14:paraId="77545619" w14:textId="77777777" w:rsidR="003169C8" w:rsidRPr="00562D6D" w:rsidRDefault="003169C8" w:rsidP="00D5306E">
            <w:pPr>
              <w:jc w:val="center"/>
              <w:rPr>
                <w:rFonts w:asciiTheme="minorHAnsi" w:hAnsiTheme="minorHAnsi"/>
                <w:sz w:val="16"/>
                <w:szCs w:val="16"/>
              </w:rPr>
            </w:pPr>
            <w:r w:rsidRPr="00562D6D">
              <w:rPr>
                <w:rFonts w:asciiTheme="minorHAnsi" w:hAnsiTheme="minorHAnsi"/>
                <w:sz w:val="16"/>
                <w:szCs w:val="16"/>
              </w:rPr>
              <w:t>0.41 (0.10, 0.72)</w:t>
            </w:r>
          </w:p>
        </w:tc>
      </w:tr>
      <w:tr w:rsidR="00E154CD" w:rsidRPr="00562D6D" w14:paraId="7766DD15" w14:textId="77777777" w:rsidTr="00E154CD">
        <w:tc>
          <w:tcPr>
            <w:tcW w:w="1696" w:type="dxa"/>
          </w:tcPr>
          <w:p w14:paraId="71863AD8"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All</w:t>
            </w:r>
          </w:p>
        </w:tc>
        <w:tc>
          <w:tcPr>
            <w:tcW w:w="2554" w:type="dxa"/>
          </w:tcPr>
          <w:p w14:paraId="458C60B6"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depression</w:t>
            </w:r>
            <w:r w:rsidRPr="00562D6D">
              <w:rPr>
                <w:rFonts w:asciiTheme="minorHAnsi" w:hAnsiTheme="minorHAnsi" w:cstheme="minorHAnsi"/>
                <w:sz w:val="16"/>
                <w:szCs w:val="16"/>
                <w:vertAlign w:val="superscript"/>
              </w:rPr>
              <w:t>c</w:t>
            </w:r>
            <w:proofErr w:type="spellEnd"/>
          </w:p>
        </w:tc>
        <w:tc>
          <w:tcPr>
            <w:tcW w:w="1276" w:type="dxa"/>
          </w:tcPr>
          <w:p w14:paraId="356703DA"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K10</w:t>
            </w:r>
          </w:p>
        </w:tc>
        <w:tc>
          <w:tcPr>
            <w:tcW w:w="1090" w:type="dxa"/>
          </w:tcPr>
          <w:p w14:paraId="4C0BA4F3"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586</w:t>
            </w:r>
          </w:p>
        </w:tc>
        <w:tc>
          <w:tcPr>
            <w:tcW w:w="941" w:type="dxa"/>
          </w:tcPr>
          <w:p w14:paraId="75C3E78C"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29.72</w:t>
            </w:r>
          </w:p>
        </w:tc>
        <w:tc>
          <w:tcPr>
            <w:tcW w:w="967" w:type="dxa"/>
          </w:tcPr>
          <w:p w14:paraId="7796EDED"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5.10</w:t>
            </w:r>
          </w:p>
        </w:tc>
        <w:tc>
          <w:tcPr>
            <w:tcW w:w="1288" w:type="dxa"/>
          </w:tcPr>
          <w:p w14:paraId="743297E7"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586</w:t>
            </w:r>
          </w:p>
        </w:tc>
        <w:tc>
          <w:tcPr>
            <w:tcW w:w="782" w:type="dxa"/>
          </w:tcPr>
          <w:p w14:paraId="53FA6E08"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20.76</w:t>
            </w:r>
          </w:p>
        </w:tc>
        <w:tc>
          <w:tcPr>
            <w:tcW w:w="1450" w:type="dxa"/>
          </w:tcPr>
          <w:p w14:paraId="495BFF26"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4.70</w:t>
            </w:r>
          </w:p>
        </w:tc>
        <w:tc>
          <w:tcPr>
            <w:tcW w:w="1988" w:type="dxa"/>
          </w:tcPr>
          <w:p w14:paraId="69583144"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1.71 (1.60, 1.82)</w:t>
            </w:r>
          </w:p>
        </w:tc>
      </w:tr>
      <w:tr w:rsidR="00E154CD" w:rsidRPr="00562D6D" w14:paraId="24AFF6C4" w14:textId="77777777" w:rsidTr="00E154CD">
        <w:tc>
          <w:tcPr>
            <w:tcW w:w="1696" w:type="dxa"/>
          </w:tcPr>
          <w:p w14:paraId="403C7799"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18-24 years</w:t>
            </w:r>
          </w:p>
        </w:tc>
        <w:tc>
          <w:tcPr>
            <w:tcW w:w="2554" w:type="dxa"/>
          </w:tcPr>
          <w:p w14:paraId="6AC503EB"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depression</w:t>
            </w:r>
            <w:r w:rsidRPr="00562D6D">
              <w:rPr>
                <w:rFonts w:asciiTheme="minorHAnsi" w:hAnsiTheme="minorHAnsi" w:cstheme="minorHAnsi"/>
                <w:sz w:val="16"/>
                <w:szCs w:val="16"/>
                <w:vertAlign w:val="superscript"/>
              </w:rPr>
              <w:t>c</w:t>
            </w:r>
            <w:proofErr w:type="spellEnd"/>
          </w:p>
        </w:tc>
        <w:tc>
          <w:tcPr>
            <w:tcW w:w="1276" w:type="dxa"/>
          </w:tcPr>
          <w:p w14:paraId="23343852"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K10</w:t>
            </w:r>
          </w:p>
        </w:tc>
        <w:tc>
          <w:tcPr>
            <w:tcW w:w="1090" w:type="dxa"/>
          </w:tcPr>
          <w:p w14:paraId="256175A3"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44</w:t>
            </w:r>
          </w:p>
        </w:tc>
        <w:tc>
          <w:tcPr>
            <w:tcW w:w="941" w:type="dxa"/>
          </w:tcPr>
          <w:p w14:paraId="26EAAB82"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30.14</w:t>
            </w:r>
          </w:p>
        </w:tc>
        <w:tc>
          <w:tcPr>
            <w:tcW w:w="967" w:type="dxa"/>
          </w:tcPr>
          <w:p w14:paraId="13C26409"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5.12</w:t>
            </w:r>
          </w:p>
        </w:tc>
        <w:tc>
          <w:tcPr>
            <w:tcW w:w="1288" w:type="dxa"/>
          </w:tcPr>
          <w:p w14:paraId="23845D87"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44</w:t>
            </w:r>
          </w:p>
        </w:tc>
        <w:tc>
          <w:tcPr>
            <w:tcW w:w="782" w:type="dxa"/>
          </w:tcPr>
          <w:p w14:paraId="2804B69F"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20.24</w:t>
            </w:r>
          </w:p>
        </w:tc>
        <w:tc>
          <w:tcPr>
            <w:tcW w:w="1450" w:type="dxa"/>
          </w:tcPr>
          <w:p w14:paraId="57DEBC8A"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4.54</w:t>
            </w:r>
          </w:p>
        </w:tc>
        <w:tc>
          <w:tcPr>
            <w:tcW w:w="1988" w:type="dxa"/>
          </w:tcPr>
          <w:p w14:paraId="16F3DE9D"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2.34 (1.72, 2.28)</w:t>
            </w:r>
          </w:p>
        </w:tc>
      </w:tr>
      <w:tr w:rsidR="00E154CD" w:rsidRPr="00562D6D" w14:paraId="2CCFD398" w14:textId="77777777" w:rsidTr="00E154CD">
        <w:tc>
          <w:tcPr>
            <w:tcW w:w="1696" w:type="dxa"/>
          </w:tcPr>
          <w:p w14:paraId="0D9A8CDB"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25-34 years</w:t>
            </w:r>
          </w:p>
        </w:tc>
        <w:tc>
          <w:tcPr>
            <w:tcW w:w="2554" w:type="dxa"/>
          </w:tcPr>
          <w:p w14:paraId="7D1A6441"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depression</w:t>
            </w:r>
            <w:r w:rsidRPr="00562D6D">
              <w:rPr>
                <w:rFonts w:asciiTheme="minorHAnsi" w:hAnsiTheme="minorHAnsi" w:cstheme="minorHAnsi"/>
                <w:sz w:val="16"/>
                <w:szCs w:val="16"/>
                <w:vertAlign w:val="superscript"/>
              </w:rPr>
              <w:t>c</w:t>
            </w:r>
            <w:proofErr w:type="spellEnd"/>
          </w:p>
        </w:tc>
        <w:tc>
          <w:tcPr>
            <w:tcW w:w="1276" w:type="dxa"/>
          </w:tcPr>
          <w:p w14:paraId="78850261"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K10</w:t>
            </w:r>
          </w:p>
        </w:tc>
        <w:tc>
          <w:tcPr>
            <w:tcW w:w="1090" w:type="dxa"/>
          </w:tcPr>
          <w:p w14:paraId="21B92B51"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105</w:t>
            </w:r>
          </w:p>
        </w:tc>
        <w:tc>
          <w:tcPr>
            <w:tcW w:w="941" w:type="dxa"/>
          </w:tcPr>
          <w:p w14:paraId="57BF8170"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29.89</w:t>
            </w:r>
          </w:p>
        </w:tc>
        <w:tc>
          <w:tcPr>
            <w:tcW w:w="967" w:type="dxa"/>
          </w:tcPr>
          <w:p w14:paraId="68D59CAC"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5.12</w:t>
            </w:r>
          </w:p>
        </w:tc>
        <w:tc>
          <w:tcPr>
            <w:tcW w:w="1288" w:type="dxa"/>
          </w:tcPr>
          <w:p w14:paraId="65E85D68"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105</w:t>
            </w:r>
          </w:p>
        </w:tc>
        <w:tc>
          <w:tcPr>
            <w:tcW w:w="782" w:type="dxa"/>
          </w:tcPr>
          <w:p w14:paraId="1E544057"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19.81</w:t>
            </w:r>
          </w:p>
        </w:tc>
        <w:tc>
          <w:tcPr>
            <w:tcW w:w="1450" w:type="dxa"/>
          </w:tcPr>
          <w:p w14:paraId="2135101D"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4.59</w:t>
            </w:r>
          </w:p>
        </w:tc>
        <w:tc>
          <w:tcPr>
            <w:tcW w:w="1988" w:type="dxa"/>
          </w:tcPr>
          <w:p w14:paraId="0BB7FF75"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1.99 (1.63, 2.12)</w:t>
            </w:r>
          </w:p>
        </w:tc>
      </w:tr>
      <w:tr w:rsidR="00E154CD" w:rsidRPr="00562D6D" w14:paraId="52207625" w14:textId="77777777" w:rsidTr="00E154CD">
        <w:tc>
          <w:tcPr>
            <w:tcW w:w="1696" w:type="dxa"/>
          </w:tcPr>
          <w:p w14:paraId="3BF52883"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35-44 years</w:t>
            </w:r>
          </w:p>
        </w:tc>
        <w:tc>
          <w:tcPr>
            <w:tcW w:w="2554" w:type="dxa"/>
          </w:tcPr>
          <w:p w14:paraId="47200F91"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depression</w:t>
            </w:r>
            <w:r w:rsidRPr="00562D6D">
              <w:rPr>
                <w:rFonts w:asciiTheme="minorHAnsi" w:hAnsiTheme="minorHAnsi" w:cstheme="minorHAnsi"/>
                <w:sz w:val="16"/>
                <w:szCs w:val="16"/>
                <w:vertAlign w:val="superscript"/>
              </w:rPr>
              <w:t>c</w:t>
            </w:r>
            <w:proofErr w:type="spellEnd"/>
          </w:p>
        </w:tc>
        <w:tc>
          <w:tcPr>
            <w:tcW w:w="1276" w:type="dxa"/>
          </w:tcPr>
          <w:p w14:paraId="34020FAF"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K10</w:t>
            </w:r>
          </w:p>
        </w:tc>
        <w:tc>
          <w:tcPr>
            <w:tcW w:w="1090" w:type="dxa"/>
          </w:tcPr>
          <w:p w14:paraId="4E207687"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149</w:t>
            </w:r>
          </w:p>
        </w:tc>
        <w:tc>
          <w:tcPr>
            <w:tcW w:w="941" w:type="dxa"/>
          </w:tcPr>
          <w:p w14:paraId="4E6FFD99"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29.73</w:t>
            </w:r>
          </w:p>
        </w:tc>
        <w:tc>
          <w:tcPr>
            <w:tcW w:w="967" w:type="dxa"/>
          </w:tcPr>
          <w:p w14:paraId="3960A748"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5.10</w:t>
            </w:r>
          </w:p>
        </w:tc>
        <w:tc>
          <w:tcPr>
            <w:tcW w:w="1288" w:type="dxa"/>
          </w:tcPr>
          <w:p w14:paraId="4BFE40AF"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149</w:t>
            </w:r>
          </w:p>
        </w:tc>
        <w:tc>
          <w:tcPr>
            <w:tcW w:w="782" w:type="dxa"/>
          </w:tcPr>
          <w:p w14:paraId="74045702"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21.00</w:t>
            </w:r>
          </w:p>
        </w:tc>
        <w:tc>
          <w:tcPr>
            <w:tcW w:w="1450" w:type="dxa"/>
          </w:tcPr>
          <w:p w14:paraId="658AD4F8"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4.71</w:t>
            </w:r>
          </w:p>
        </w:tc>
        <w:tc>
          <w:tcPr>
            <w:tcW w:w="1988" w:type="dxa"/>
          </w:tcPr>
          <w:p w14:paraId="1A192801"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1.59 (1.35, 1.77)</w:t>
            </w:r>
          </w:p>
        </w:tc>
      </w:tr>
      <w:tr w:rsidR="00E154CD" w:rsidRPr="00562D6D" w14:paraId="38CF21FE" w14:textId="77777777" w:rsidTr="00E154CD">
        <w:tc>
          <w:tcPr>
            <w:tcW w:w="1696" w:type="dxa"/>
          </w:tcPr>
          <w:p w14:paraId="426143BB"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45-54 years</w:t>
            </w:r>
          </w:p>
        </w:tc>
        <w:tc>
          <w:tcPr>
            <w:tcW w:w="2554" w:type="dxa"/>
          </w:tcPr>
          <w:p w14:paraId="2870320E"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depression</w:t>
            </w:r>
            <w:r w:rsidRPr="00562D6D">
              <w:rPr>
                <w:rFonts w:asciiTheme="minorHAnsi" w:hAnsiTheme="minorHAnsi" w:cstheme="minorHAnsi"/>
                <w:sz w:val="16"/>
                <w:szCs w:val="16"/>
                <w:vertAlign w:val="superscript"/>
              </w:rPr>
              <w:t>c</w:t>
            </w:r>
            <w:proofErr w:type="spellEnd"/>
          </w:p>
        </w:tc>
        <w:tc>
          <w:tcPr>
            <w:tcW w:w="1276" w:type="dxa"/>
          </w:tcPr>
          <w:p w14:paraId="733D03BF"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K10</w:t>
            </w:r>
          </w:p>
        </w:tc>
        <w:tc>
          <w:tcPr>
            <w:tcW w:w="1090" w:type="dxa"/>
          </w:tcPr>
          <w:p w14:paraId="06C5AD3A"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135</w:t>
            </w:r>
          </w:p>
        </w:tc>
        <w:tc>
          <w:tcPr>
            <w:tcW w:w="941" w:type="dxa"/>
          </w:tcPr>
          <w:p w14:paraId="689340D7"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29.61</w:t>
            </w:r>
          </w:p>
        </w:tc>
        <w:tc>
          <w:tcPr>
            <w:tcW w:w="967" w:type="dxa"/>
          </w:tcPr>
          <w:p w14:paraId="742B6FD7"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5.10</w:t>
            </w:r>
          </w:p>
        </w:tc>
        <w:tc>
          <w:tcPr>
            <w:tcW w:w="1288" w:type="dxa"/>
          </w:tcPr>
          <w:p w14:paraId="416E6EFC"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135</w:t>
            </w:r>
          </w:p>
        </w:tc>
        <w:tc>
          <w:tcPr>
            <w:tcW w:w="782" w:type="dxa"/>
          </w:tcPr>
          <w:p w14:paraId="44A49855"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21.42</w:t>
            </w:r>
          </w:p>
        </w:tc>
        <w:tc>
          <w:tcPr>
            <w:tcW w:w="1450" w:type="dxa"/>
          </w:tcPr>
          <w:p w14:paraId="7974C619"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4.71</w:t>
            </w:r>
          </w:p>
        </w:tc>
        <w:tc>
          <w:tcPr>
            <w:tcW w:w="1988" w:type="dxa"/>
          </w:tcPr>
          <w:p w14:paraId="0FE0A964"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1.61 (1.63, 2.14)</w:t>
            </w:r>
          </w:p>
        </w:tc>
      </w:tr>
      <w:tr w:rsidR="00E154CD" w:rsidRPr="00562D6D" w14:paraId="1E940CC3" w14:textId="77777777" w:rsidTr="00E154CD">
        <w:tc>
          <w:tcPr>
            <w:tcW w:w="1696" w:type="dxa"/>
          </w:tcPr>
          <w:p w14:paraId="7D57DDBE"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55-64 years</w:t>
            </w:r>
          </w:p>
        </w:tc>
        <w:tc>
          <w:tcPr>
            <w:tcW w:w="2554" w:type="dxa"/>
          </w:tcPr>
          <w:p w14:paraId="2EE2C560"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depression</w:t>
            </w:r>
            <w:r w:rsidRPr="00562D6D">
              <w:rPr>
                <w:rFonts w:asciiTheme="minorHAnsi" w:hAnsiTheme="minorHAnsi" w:cstheme="minorHAnsi"/>
                <w:sz w:val="16"/>
                <w:szCs w:val="16"/>
                <w:vertAlign w:val="superscript"/>
              </w:rPr>
              <w:t>c</w:t>
            </w:r>
            <w:proofErr w:type="spellEnd"/>
          </w:p>
        </w:tc>
        <w:tc>
          <w:tcPr>
            <w:tcW w:w="1276" w:type="dxa"/>
          </w:tcPr>
          <w:p w14:paraId="4CBAB763"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K10</w:t>
            </w:r>
          </w:p>
        </w:tc>
        <w:tc>
          <w:tcPr>
            <w:tcW w:w="1090" w:type="dxa"/>
          </w:tcPr>
          <w:p w14:paraId="321A1DB1"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108</w:t>
            </w:r>
          </w:p>
        </w:tc>
        <w:tc>
          <w:tcPr>
            <w:tcW w:w="941" w:type="dxa"/>
          </w:tcPr>
          <w:p w14:paraId="2EF1E924"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29.52</w:t>
            </w:r>
          </w:p>
        </w:tc>
        <w:tc>
          <w:tcPr>
            <w:tcW w:w="967" w:type="dxa"/>
          </w:tcPr>
          <w:p w14:paraId="1189DBC1"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5.11</w:t>
            </w:r>
          </w:p>
        </w:tc>
        <w:tc>
          <w:tcPr>
            <w:tcW w:w="1288" w:type="dxa"/>
          </w:tcPr>
          <w:p w14:paraId="70C02E23"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108</w:t>
            </w:r>
          </w:p>
        </w:tc>
        <w:tc>
          <w:tcPr>
            <w:tcW w:w="782" w:type="dxa"/>
          </w:tcPr>
          <w:p w14:paraId="17B6E94E"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20.56</w:t>
            </w:r>
          </w:p>
        </w:tc>
        <w:tc>
          <w:tcPr>
            <w:tcW w:w="1450" w:type="dxa"/>
          </w:tcPr>
          <w:p w14:paraId="5F212116"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4.80</w:t>
            </w:r>
          </w:p>
        </w:tc>
        <w:tc>
          <w:tcPr>
            <w:tcW w:w="1988" w:type="dxa"/>
          </w:tcPr>
          <w:p w14:paraId="14FF3B56"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1.66 (0.97, 1.54)</w:t>
            </w:r>
          </w:p>
        </w:tc>
      </w:tr>
      <w:tr w:rsidR="00E154CD" w:rsidRPr="00562D6D" w14:paraId="0EA1EE82" w14:textId="77777777" w:rsidTr="00E154CD">
        <w:tc>
          <w:tcPr>
            <w:tcW w:w="1696" w:type="dxa"/>
          </w:tcPr>
          <w:p w14:paraId="30BA695C"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65+ years</w:t>
            </w:r>
          </w:p>
        </w:tc>
        <w:tc>
          <w:tcPr>
            <w:tcW w:w="2554" w:type="dxa"/>
          </w:tcPr>
          <w:p w14:paraId="7A68C410"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depression</w:t>
            </w:r>
            <w:r w:rsidRPr="00562D6D">
              <w:rPr>
                <w:rFonts w:asciiTheme="minorHAnsi" w:hAnsiTheme="minorHAnsi" w:cstheme="minorHAnsi"/>
                <w:sz w:val="16"/>
                <w:szCs w:val="16"/>
                <w:vertAlign w:val="superscript"/>
              </w:rPr>
              <w:t>c</w:t>
            </w:r>
            <w:proofErr w:type="spellEnd"/>
          </w:p>
        </w:tc>
        <w:tc>
          <w:tcPr>
            <w:tcW w:w="1276" w:type="dxa"/>
          </w:tcPr>
          <w:p w14:paraId="20368B42"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K10</w:t>
            </w:r>
          </w:p>
        </w:tc>
        <w:tc>
          <w:tcPr>
            <w:tcW w:w="1090" w:type="dxa"/>
          </w:tcPr>
          <w:p w14:paraId="678916C0"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45</w:t>
            </w:r>
          </w:p>
        </w:tc>
        <w:tc>
          <w:tcPr>
            <w:tcW w:w="941" w:type="dxa"/>
          </w:tcPr>
          <w:p w14:paraId="113AB14C"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29.04</w:t>
            </w:r>
          </w:p>
        </w:tc>
        <w:tc>
          <w:tcPr>
            <w:tcW w:w="967" w:type="dxa"/>
          </w:tcPr>
          <w:p w14:paraId="13B07985"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5.13</w:t>
            </w:r>
          </w:p>
        </w:tc>
        <w:tc>
          <w:tcPr>
            <w:tcW w:w="1288" w:type="dxa"/>
          </w:tcPr>
          <w:p w14:paraId="74328CAD"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45</w:t>
            </w:r>
          </w:p>
        </w:tc>
        <w:tc>
          <w:tcPr>
            <w:tcW w:w="782" w:type="dxa"/>
          </w:tcPr>
          <w:p w14:paraId="524BACE0"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21.02</w:t>
            </w:r>
          </w:p>
        </w:tc>
        <w:tc>
          <w:tcPr>
            <w:tcW w:w="1450" w:type="dxa"/>
          </w:tcPr>
          <w:p w14:paraId="3C33FA19"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4.85</w:t>
            </w:r>
          </w:p>
        </w:tc>
        <w:tc>
          <w:tcPr>
            <w:tcW w:w="1988" w:type="dxa"/>
          </w:tcPr>
          <w:p w14:paraId="310E5A10"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1.39 (0.97, 1.81)</w:t>
            </w:r>
          </w:p>
        </w:tc>
      </w:tr>
      <w:tr w:rsidR="00E154CD" w:rsidRPr="00562D6D" w14:paraId="2EFC8464" w14:textId="77777777" w:rsidTr="00E154CD">
        <w:tc>
          <w:tcPr>
            <w:tcW w:w="1696" w:type="dxa"/>
          </w:tcPr>
          <w:p w14:paraId="2713F84F"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All</w:t>
            </w:r>
          </w:p>
        </w:tc>
        <w:tc>
          <w:tcPr>
            <w:tcW w:w="2554" w:type="dxa"/>
          </w:tcPr>
          <w:p w14:paraId="4429C4F1"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depression</w:t>
            </w:r>
            <w:r w:rsidRPr="00562D6D">
              <w:rPr>
                <w:rFonts w:asciiTheme="minorHAnsi" w:hAnsiTheme="minorHAnsi" w:cstheme="minorHAnsi"/>
                <w:sz w:val="16"/>
                <w:szCs w:val="16"/>
                <w:vertAlign w:val="superscript"/>
              </w:rPr>
              <w:t>c</w:t>
            </w:r>
            <w:proofErr w:type="spellEnd"/>
          </w:p>
        </w:tc>
        <w:tc>
          <w:tcPr>
            <w:tcW w:w="1276" w:type="dxa"/>
          </w:tcPr>
          <w:p w14:paraId="11752E04"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PHQ-9</w:t>
            </w:r>
          </w:p>
        </w:tc>
        <w:tc>
          <w:tcPr>
            <w:tcW w:w="1090" w:type="dxa"/>
          </w:tcPr>
          <w:p w14:paraId="57730879"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586</w:t>
            </w:r>
          </w:p>
        </w:tc>
        <w:tc>
          <w:tcPr>
            <w:tcW w:w="941" w:type="dxa"/>
          </w:tcPr>
          <w:p w14:paraId="7318EC8F"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14.21</w:t>
            </w:r>
          </w:p>
        </w:tc>
        <w:tc>
          <w:tcPr>
            <w:tcW w:w="967" w:type="dxa"/>
          </w:tcPr>
          <w:p w14:paraId="1E382BA7"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6.35</w:t>
            </w:r>
          </w:p>
        </w:tc>
        <w:tc>
          <w:tcPr>
            <w:tcW w:w="1288" w:type="dxa"/>
          </w:tcPr>
          <w:p w14:paraId="6BEF6953"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586</w:t>
            </w:r>
          </w:p>
        </w:tc>
        <w:tc>
          <w:tcPr>
            <w:tcW w:w="782" w:type="dxa"/>
          </w:tcPr>
          <w:p w14:paraId="5AA8962D"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8.09</w:t>
            </w:r>
          </w:p>
        </w:tc>
        <w:tc>
          <w:tcPr>
            <w:tcW w:w="1450" w:type="dxa"/>
          </w:tcPr>
          <w:p w14:paraId="10963476"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5.79</w:t>
            </w:r>
          </w:p>
        </w:tc>
        <w:tc>
          <w:tcPr>
            <w:tcW w:w="1988" w:type="dxa"/>
          </w:tcPr>
          <w:p w14:paraId="6D674CDC"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1.02 (0.92, 1.12)</w:t>
            </w:r>
          </w:p>
        </w:tc>
      </w:tr>
      <w:tr w:rsidR="00E154CD" w:rsidRPr="00562D6D" w14:paraId="776AC05A" w14:textId="77777777" w:rsidTr="00E154CD">
        <w:tc>
          <w:tcPr>
            <w:tcW w:w="1696" w:type="dxa"/>
          </w:tcPr>
          <w:p w14:paraId="286FBC88"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18-24 years</w:t>
            </w:r>
          </w:p>
        </w:tc>
        <w:tc>
          <w:tcPr>
            <w:tcW w:w="2554" w:type="dxa"/>
          </w:tcPr>
          <w:p w14:paraId="61A07CD4"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depression</w:t>
            </w:r>
            <w:r w:rsidRPr="00562D6D">
              <w:rPr>
                <w:rFonts w:asciiTheme="minorHAnsi" w:hAnsiTheme="minorHAnsi" w:cstheme="minorHAnsi"/>
                <w:sz w:val="16"/>
                <w:szCs w:val="16"/>
                <w:vertAlign w:val="superscript"/>
              </w:rPr>
              <w:t>c</w:t>
            </w:r>
            <w:proofErr w:type="spellEnd"/>
          </w:p>
        </w:tc>
        <w:tc>
          <w:tcPr>
            <w:tcW w:w="1276" w:type="dxa"/>
          </w:tcPr>
          <w:p w14:paraId="64E1BF88"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PHQ-9</w:t>
            </w:r>
          </w:p>
        </w:tc>
        <w:tc>
          <w:tcPr>
            <w:tcW w:w="1090" w:type="dxa"/>
          </w:tcPr>
          <w:p w14:paraId="437DC189"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44</w:t>
            </w:r>
          </w:p>
        </w:tc>
        <w:tc>
          <w:tcPr>
            <w:tcW w:w="941" w:type="dxa"/>
          </w:tcPr>
          <w:p w14:paraId="4A768BA5"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15.98</w:t>
            </w:r>
          </w:p>
        </w:tc>
        <w:tc>
          <w:tcPr>
            <w:tcW w:w="967" w:type="dxa"/>
          </w:tcPr>
          <w:p w14:paraId="40D821D7"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6.32</w:t>
            </w:r>
          </w:p>
        </w:tc>
        <w:tc>
          <w:tcPr>
            <w:tcW w:w="1288" w:type="dxa"/>
          </w:tcPr>
          <w:p w14:paraId="3E971A56"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44</w:t>
            </w:r>
          </w:p>
        </w:tc>
        <w:tc>
          <w:tcPr>
            <w:tcW w:w="782" w:type="dxa"/>
          </w:tcPr>
          <w:p w14:paraId="45DA17EE"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9.28</w:t>
            </w:r>
          </w:p>
        </w:tc>
        <w:tc>
          <w:tcPr>
            <w:tcW w:w="1450" w:type="dxa"/>
          </w:tcPr>
          <w:p w14:paraId="5AD4D243"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5.60</w:t>
            </w:r>
          </w:p>
        </w:tc>
        <w:tc>
          <w:tcPr>
            <w:tcW w:w="1988" w:type="dxa"/>
          </w:tcPr>
          <w:p w14:paraId="31933526"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1.29 (0.97, 1.48)</w:t>
            </w:r>
          </w:p>
        </w:tc>
      </w:tr>
      <w:tr w:rsidR="00E154CD" w:rsidRPr="00562D6D" w14:paraId="5B71AE7C" w14:textId="77777777" w:rsidTr="00E154CD">
        <w:tc>
          <w:tcPr>
            <w:tcW w:w="1696" w:type="dxa"/>
          </w:tcPr>
          <w:p w14:paraId="55623CD2"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25-34 years</w:t>
            </w:r>
          </w:p>
        </w:tc>
        <w:tc>
          <w:tcPr>
            <w:tcW w:w="2554" w:type="dxa"/>
          </w:tcPr>
          <w:p w14:paraId="34C43582"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depression</w:t>
            </w:r>
            <w:r w:rsidRPr="00562D6D">
              <w:rPr>
                <w:rFonts w:asciiTheme="minorHAnsi" w:hAnsiTheme="minorHAnsi" w:cstheme="minorHAnsi"/>
                <w:sz w:val="16"/>
                <w:szCs w:val="16"/>
                <w:vertAlign w:val="superscript"/>
              </w:rPr>
              <w:t>c</w:t>
            </w:r>
            <w:proofErr w:type="spellEnd"/>
          </w:p>
        </w:tc>
        <w:tc>
          <w:tcPr>
            <w:tcW w:w="1276" w:type="dxa"/>
          </w:tcPr>
          <w:p w14:paraId="6645814F"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PHQ-9</w:t>
            </w:r>
          </w:p>
        </w:tc>
        <w:tc>
          <w:tcPr>
            <w:tcW w:w="1090" w:type="dxa"/>
          </w:tcPr>
          <w:p w14:paraId="137E9FAD"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105</w:t>
            </w:r>
          </w:p>
        </w:tc>
        <w:tc>
          <w:tcPr>
            <w:tcW w:w="941" w:type="dxa"/>
          </w:tcPr>
          <w:p w14:paraId="7BC05981"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14.68</w:t>
            </w:r>
          </w:p>
        </w:tc>
        <w:tc>
          <w:tcPr>
            <w:tcW w:w="967" w:type="dxa"/>
          </w:tcPr>
          <w:p w14:paraId="1D36A9C5"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6.31</w:t>
            </w:r>
          </w:p>
        </w:tc>
        <w:tc>
          <w:tcPr>
            <w:tcW w:w="1288" w:type="dxa"/>
          </w:tcPr>
          <w:p w14:paraId="551BA070"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105</w:t>
            </w:r>
          </w:p>
        </w:tc>
        <w:tc>
          <w:tcPr>
            <w:tcW w:w="782" w:type="dxa"/>
          </w:tcPr>
          <w:p w14:paraId="1FE6D988"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8.06</w:t>
            </w:r>
          </w:p>
        </w:tc>
        <w:tc>
          <w:tcPr>
            <w:tcW w:w="1450" w:type="dxa"/>
          </w:tcPr>
          <w:p w14:paraId="7633FF02"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5.66</w:t>
            </w:r>
          </w:p>
        </w:tc>
        <w:tc>
          <w:tcPr>
            <w:tcW w:w="1988" w:type="dxa"/>
          </w:tcPr>
          <w:p w14:paraId="43CAF04E"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1.21 (0.90, 1.34)</w:t>
            </w:r>
          </w:p>
        </w:tc>
      </w:tr>
      <w:tr w:rsidR="00E154CD" w:rsidRPr="00562D6D" w14:paraId="58168193" w14:textId="77777777" w:rsidTr="00E154CD">
        <w:tc>
          <w:tcPr>
            <w:tcW w:w="1696" w:type="dxa"/>
          </w:tcPr>
          <w:p w14:paraId="333FB632"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35-44 years</w:t>
            </w:r>
          </w:p>
        </w:tc>
        <w:tc>
          <w:tcPr>
            <w:tcW w:w="2554" w:type="dxa"/>
          </w:tcPr>
          <w:p w14:paraId="2E3D6C44"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depression</w:t>
            </w:r>
            <w:r w:rsidRPr="00562D6D">
              <w:rPr>
                <w:rFonts w:asciiTheme="minorHAnsi" w:hAnsiTheme="minorHAnsi" w:cstheme="minorHAnsi"/>
                <w:sz w:val="16"/>
                <w:szCs w:val="16"/>
                <w:vertAlign w:val="superscript"/>
              </w:rPr>
              <w:t>c</w:t>
            </w:r>
            <w:proofErr w:type="spellEnd"/>
          </w:p>
        </w:tc>
        <w:tc>
          <w:tcPr>
            <w:tcW w:w="1276" w:type="dxa"/>
          </w:tcPr>
          <w:p w14:paraId="056F26DA"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PHQ-9</w:t>
            </w:r>
          </w:p>
        </w:tc>
        <w:tc>
          <w:tcPr>
            <w:tcW w:w="1090" w:type="dxa"/>
          </w:tcPr>
          <w:p w14:paraId="14322AE0"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149</w:t>
            </w:r>
          </w:p>
        </w:tc>
        <w:tc>
          <w:tcPr>
            <w:tcW w:w="941" w:type="dxa"/>
          </w:tcPr>
          <w:p w14:paraId="63A39742"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14.36</w:t>
            </w:r>
          </w:p>
        </w:tc>
        <w:tc>
          <w:tcPr>
            <w:tcW w:w="967" w:type="dxa"/>
          </w:tcPr>
          <w:p w14:paraId="15EEAE8C"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6.31</w:t>
            </w:r>
          </w:p>
        </w:tc>
        <w:tc>
          <w:tcPr>
            <w:tcW w:w="1288" w:type="dxa"/>
          </w:tcPr>
          <w:p w14:paraId="00AAF619"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149</w:t>
            </w:r>
          </w:p>
        </w:tc>
        <w:tc>
          <w:tcPr>
            <w:tcW w:w="782" w:type="dxa"/>
          </w:tcPr>
          <w:p w14:paraId="39AFCA44"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8.26</w:t>
            </w:r>
          </w:p>
        </w:tc>
        <w:tc>
          <w:tcPr>
            <w:tcW w:w="1450" w:type="dxa"/>
          </w:tcPr>
          <w:p w14:paraId="27EF5A7D"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5.75</w:t>
            </w:r>
          </w:p>
        </w:tc>
        <w:tc>
          <w:tcPr>
            <w:tcW w:w="1988" w:type="dxa"/>
          </w:tcPr>
          <w:p w14:paraId="246F2CCD"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0.99 (0.76, 1.15)</w:t>
            </w:r>
          </w:p>
        </w:tc>
      </w:tr>
      <w:tr w:rsidR="00E154CD" w:rsidRPr="00562D6D" w14:paraId="3F42BAC7" w14:textId="77777777" w:rsidTr="00E154CD">
        <w:tc>
          <w:tcPr>
            <w:tcW w:w="1696" w:type="dxa"/>
          </w:tcPr>
          <w:p w14:paraId="7275BAB8"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45-54 years</w:t>
            </w:r>
          </w:p>
        </w:tc>
        <w:tc>
          <w:tcPr>
            <w:tcW w:w="2554" w:type="dxa"/>
          </w:tcPr>
          <w:p w14:paraId="29890846"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depression</w:t>
            </w:r>
            <w:r w:rsidRPr="00562D6D">
              <w:rPr>
                <w:rFonts w:asciiTheme="minorHAnsi" w:hAnsiTheme="minorHAnsi" w:cstheme="minorHAnsi"/>
                <w:sz w:val="16"/>
                <w:szCs w:val="16"/>
                <w:vertAlign w:val="superscript"/>
              </w:rPr>
              <w:t>c</w:t>
            </w:r>
            <w:proofErr w:type="spellEnd"/>
          </w:p>
        </w:tc>
        <w:tc>
          <w:tcPr>
            <w:tcW w:w="1276" w:type="dxa"/>
          </w:tcPr>
          <w:p w14:paraId="090F40C5"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PHQ-9</w:t>
            </w:r>
          </w:p>
        </w:tc>
        <w:tc>
          <w:tcPr>
            <w:tcW w:w="1090" w:type="dxa"/>
          </w:tcPr>
          <w:p w14:paraId="29348927"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135</w:t>
            </w:r>
          </w:p>
        </w:tc>
        <w:tc>
          <w:tcPr>
            <w:tcW w:w="941" w:type="dxa"/>
          </w:tcPr>
          <w:p w14:paraId="5F7E70DC"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14.20</w:t>
            </w:r>
          </w:p>
        </w:tc>
        <w:tc>
          <w:tcPr>
            <w:tcW w:w="967" w:type="dxa"/>
          </w:tcPr>
          <w:p w14:paraId="10BCA402"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6.31</w:t>
            </w:r>
          </w:p>
        </w:tc>
        <w:tc>
          <w:tcPr>
            <w:tcW w:w="1288" w:type="dxa"/>
          </w:tcPr>
          <w:p w14:paraId="2FEC8C69"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135</w:t>
            </w:r>
          </w:p>
        </w:tc>
        <w:tc>
          <w:tcPr>
            <w:tcW w:w="782" w:type="dxa"/>
          </w:tcPr>
          <w:p w14:paraId="20D36E04"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7.86</w:t>
            </w:r>
          </w:p>
        </w:tc>
        <w:tc>
          <w:tcPr>
            <w:tcW w:w="1450" w:type="dxa"/>
          </w:tcPr>
          <w:p w14:paraId="6A304912"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5.77</w:t>
            </w:r>
          </w:p>
        </w:tc>
        <w:tc>
          <w:tcPr>
            <w:tcW w:w="1988" w:type="dxa"/>
          </w:tcPr>
          <w:p w14:paraId="59702B87"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1.05 (0.91, 1.38)</w:t>
            </w:r>
          </w:p>
        </w:tc>
      </w:tr>
      <w:tr w:rsidR="00E154CD" w:rsidRPr="00562D6D" w14:paraId="07469E09" w14:textId="77777777" w:rsidTr="00E154CD">
        <w:tc>
          <w:tcPr>
            <w:tcW w:w="1696" w:type="dxa"/>
          </w:tcPr>
          <w:p w14:paraId="7E042ADF"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55-64 years</w:t>
            </w:r>
          </w:p>
        </w:tc>
        <w:tc>
          <w:tcPr>
            <w:tcW w:w="2554" w:type="dxa"/>
          </w:tcPr>
          <w:p w14:paraId="00EDB144"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depression</w:t>
            </w:r>
            <w:r w:rsidRPr="00562D6D">
              <w:rPr>
                <w:rFonts w:asciiTheme="minorHAnsi" w:hAnsiTheme="minorHAnsi" w:cstheme="minorHAnsi"/>
                <w:sz w:val="16"/>
                <w:szCs w:val="16"/>
                <w:vertAlign w:val="superscript"/>
              </w:rPr>
              <w:t>c</w:t>
            </w:r>
            <w:proofErr w:type="spellEnd"/>
          </w:p>
        </w:tc>
        <w:tc>
          <w:tcPr>
            <w:tcW w:w="1276" w:type="dxa"/>
          </w:tcPr>
          <w:p w14:paraId="39B621BF"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PHQ-9</w:t>
            </w:r>
          </w:p>
        </w:tc>
        <w:tc>
          <w:tcPr>
            <w:tcW w:w="1090" w:type="dxa"/>
          </w:tcPr>
          <w:p w14:paraId="1B395E07"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108</w:t>
            </w:r>
          </w:p>
        </w:tc>
        <w:tc>
          <w:tcPr>
            <w:tcW w:w="941" w:type="dxa"/>
          </w:tcPr>
          <w:p w14:paraId="02D8F5FC"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12.99</w:t>
            </w:r>
          </w:p>
        </w:tc>
        <w:tc>
          <w:tcPr>
            <w:tcW w:w="967" w:type="dxa"/>
          </w:tcPr>
          <w:p w14:paraId="586163F1"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6.32</w:t>
            </w:r>
          </w:p>
        </w:tc>
        <w:tc>
          <w:tcPr>
            <w:tcW w:w="1288" w:type="dxa"/>
          </w:tcPr>
          <w:p w14:paraId="2B43F284"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108</w:t>
            </w:r>
          </w:p>
        </w:tc>
        <w:tc>
          <w:tcPr>
            <w:tcW w:w="782" w:type="dxa"/>
          </w:tcPr>
          <w:p w14:paraId="68BB73E3"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7.61</w:t>
            </w:r>
          </w:p>
        </w:tc>
        <w:tc>
          <w:tcPr>
            <w:tcW w:w="1450" w:type="dxa"/>
          </w:tcPr>
          <w:p w14:paraId="7A59C5AB"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5.89</w:t>
            </w:r>
          </w:p>
        </w:tc>
        <w:tc>
          <w:tcPr>
            <w:tcW w:w="1988" w:type="dxa"/>
          </w:tcPr>
          <w:p w14:paraId="61013B23"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0.91 (0.36, 0.89)</w:t>
            </w:r>
          </w:p>
        </w:tc>
      </w:tr>
      <w:tr w:rsidR="00E154CD" w:rsidRPr="007D3C1E" w14:paraId="2E802594" w14:textId="77777777" w:rsidTr="00E154CD">
        <w:tc>
          <w:tcPr>
            <w:tcW w:w="1696" w:type="dxa"/>
          </w:tcPr>
          <w:p w14:paraId="3B297D76"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65+ years</w:t>
            </w:r>
          </w:p>
        </w:tc>
        <w:tc>
          <w:tcPr>
            <w:tcW w:w="2554" w:type="dxa"/>
          </w:tcPr>
          <w:p w14:paraId="41BEE891" w14:textId="77777777" w:rsidR="00E154CD" w:rsidRPr="00562D6D" w:rsidRDefault="00E154CD"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depression</w:t>
            </w:r>
            <w:r w:rsidRPr="00562D6D">
              <w:rPr>
                <w:rFonts w:asciiTheme="minorHAnsi" w:hAnsiTheme="minorHAnsi" w:cstheme="minorHAnsi"/>
                <w:sz w:val="16"/>
                <w:szCs w:val="16"/>
                <w:vertAlign w:val="superscript"/>
              </w:rPr>
              <w:t>c</w:t>
            </w:r>
            <w:proofErr w:type="spellEnd"/>
          </w:p>
        </w:tc>
        <w:tc>
          <w:tcPr>
            <w:tcW w:w="1276" w:type="dxa"/>
          </w:tcPr>
          <w:p w14:paraId="53ECCE34"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PHQ-9</w:t>
            </w:r>
          </w:p>
        </w:tc>
        <w:tc>
          <w:tcPr>
            <w:tcW w:w="1090" w:type="dxa"/>
          </w:tcPr>
          <w:p w14:paraId="3EAF7E54"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45</w:t>
            </w:r>
          </w:p>
        </w:tc>
        <w:tc>
          <w:tcPr>
            <w:tcW w:w="941" w:type="dxa"/>
          </w:tcPr>
          <w:p w14:paraId="6D8E2365"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11.13</w:t>
            </w:r>
          </w:p>
        </w:tc>
        <w:tc>
          <w:tcPr>
            <w:tcW w:w="967" w:type="dxa"/>
          </w:tcPr>
          <w:p w14:paraId="00F0D374"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6.31</w:t>
            </w:r>
          </w:p>
        </w:tc>
        <w:tc>
          <w:tcPr>
            <w:tcW w:w="1288" w:type="dxa"/>
          </w:tcPr>
          <w:p w14:paraId="31ECC310"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45</w:t>
            </w:r>
          </w:p>
        </w:tc>
        <w:tc>
          <w:tcPr>
            <w:tcW w:w="782" w:type="dxa"/>
          </w:tcPr>
          <w:p w14:paraId="6303FFF3"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6.80</w:t>
            </w:r>
          </w:p>
        </w:tc>
        <w:tc>
          <w:tcPr>
            <w:tcW w:w="1450" w:type="dxa"/>
          </w:tcPr>
          <w:p w14:paraId="2B7EE907" w14:textId="77777777" w:rsidR="00E154CD" w:rsidRPr="00562D6D" w:rsidRDefault="00E154CD" w:rsidP="00D5306E">
            <w:pPr>
              <w:jc w:val="center"/>
              <w:rPr>
                <w:rFonts w:asciiTheme="minorHAnsi" w:hAnsiTheme="minorHAnsi"/>
                <w:sz w:val="16"/>
                <w:szCs w:val="16"/>
              </w:rPr>
            </w:pPr>
            <w:r w:rsidRPr="00562D6D">
              <w:rPr>
                <w:rFonts w:asciiTheme="minorHAnsi" w:hAnsiTheme="minorHAnsi"/>
                <w:sz w:val="16"/>
                <w:szCs w:val="16"/>
              </w:rPr>
              <w:t>5.96</w:t>
            </w:r>
          </w:p>
        </w:tc>
        <w:tc>
          <w:tcPr>
            <w:tcW w:w="1988" w:type="dxa"/>
          </w:tcPr>
          <w:p w14:paraId="3EBE884F" w14:textId="77777777" w:rsidR="00E154CD" w:rsidRPr="00033C5F" w:rsidRDefault="00E154CD" w:rsidP="00D5306E">
            <w:pPr>
              <w:jc w:val="center"/>
              <w:rPr>
                <w:rFonts w:asciiTheme="minorHAnsi" w:hAnsiTheme="minorHAnsi"/>
                <w:sz w:val="16"/>
                <w:szCs w:val="16"/>
              </w:rPr>
            </w:pPr>
            <w:r w:rsidRPr="00562D6D">
              <w:rPr>
                <w:rFonts w:asciiTheme="minorHAnsi" w:hAnsiTheme="minorHAnsi"/>
                <w:sz w:val="16"/>
                <w:szCs w:val="16"/>
              </w:rPr>
              <w:t>0.48 (0.10, 0.86)</w:t>
            </w:r>
          </w:p>
        </w:tc>
      </w:tr>
    </w:tbl>
    <w:p w14:paraId="23A5486F" w14:textId="77777777" w:rsidR="007B4A40" w:rsidRDefault="007B4A40" w:rsidP="003D1CA1">
      <w:pPr>
        <w:pStyle w:val="tableheading"/>
      </w:pPr>
    </w:p>
    <w:p w14:paraId="0B47C8AC" w14:textId="77777777" w:rsidR="007B4A40" w:rsidRDefault="007B4A40" w:rsidP="003D1CA1">
      <w:pPr>
        <w:pStyle w:val="tableheading"/>
      </w:pPr>
    </w:p>
    <w:p w14:paraId="4EFE71F8" w14:textId="16D883DF" w:rsidR="004E5172" w:rsidRPr="003169C8" w:rsidRDefault="004E5172" w:rsidP="003D1CA1">
      <w:pPr>
        <w:pStyle w:val="tableheading"/>
      </w:pPr>
      <w:r w:rsidRPr="003169C8">
        <w:lastRenderedPageBreak/>
        <w:t>Table 1</w:t>
      </w:r>
      <w:r w:rsidR="0090116C">
        <w:t>9</w:t>
      </w:r>
      <w:r w:rsidRPr="003169C8">
        <w:t>. Selected THIS WAY UP mental health outcome data before and after (6 module) treatment by support status</w:t>
      </w:r>
      <w:r>
        <w:t xml:space="preserve"> </w:t>
      </w:r>
      <w:r w:rsidRPr="00E31648">
        <w:t>(continued)</w:t>
      </w:r>
    </w:p>
    <w:tbl>
      <w:tblPr>
        <w:tblStyle w:val="TableGrid"/>
        <w:tblW w:w="14032" w:type="dxa"/>
        <w:tblLook w:val="04A0" w:firstRow="1" w:lastRow="0" w:firstColumn="1" w:lastColumn="0" w:noHBand="0" w:noVBand="1"/>
      </w:tblPr>
      <w:tblGrid>
        <w:gridCol w:w="1696"/>
        <w:gridCol w:w="2554"/>
        <w:gridCol w:w="1276"/>
        <w:gridCol w:w="1090"/>
        <w:gridCol w:w="941"/>
        <w:gridCol w:w="967"/>
        <w:gridCol w:w="1288"/>
        <w:gridCol w:w="782"/>
        <w:gridCol w:w="1450"/>
        <w:gridCol w:w="1988"/>
      </w:tblGrid>
      <w:tr w:rsidR="00F776F6" w:rsidRPr="000345AB" w14:paraId="7170E112" w14:textId="77777777" w:rsidTr="007F3C68">
        <w:tc>
          <w:tcPr>
            <w:tcW w:w="1696" w:type="dxa"/>
            <w:shd w:val="clear" w:color="auto" w:fill="000000" w:themeFill="text1"/>
            <w:vAlign w:val="center"/>
          </w:tcPr>
          <w:p w14:paraId="2D444FBB" w14:textId="77777777" w:rsidR="00F776F6" w:rsidRPr="00B276EB" w:rsidRDefault="00F776F6" w:rsidP="00D5306E">
            <w:pPr>
              <w:ind w:right="37"/>
              <w:jc w:val="center"/>
              <w:rPr>
                <w:rFonts w:asciiTheme="minorHAnsi" w:hAnsiTheme="minorHAnsi" w:cstheme="minorHAnsi"/>
                <w:b/>
                <w:bCs/>
                <w:sz w:val="16"/>
                <w:szCs w:val="16"/>
              </w:rPr>
            </w:pPr>
            <w:r>
              <w:rPr>
                <w:rFonts w:asciiTheme="minorHAnsi" w:hAnsiTheme="minorHAnsi" w:cstheme="minorHAnsi"/>
                <w:b/>
                <w:bCs/>
                <w:sz w:val="16"/>
                <w:szCs w:val="16"/>
              </w:rPr>
              <w:t>Population group</w:t>
            </w:r>
          </w:p>
        </w:tc>
        <w:tc>
          <w:tcPr>
            <w:tcW w:w="2554" w:type="dxa"/>
            <w:shd w:val="clear" w:color="auto" w:fill="000000" w:themeFill="text1"/>
            <w:vAlign w:val="center"/>
          </w:tcPr>
          <w:p w14:paraId="30B37254" w14:textId="77777777" w:rsidR="00F776F6" w:rsidRPr="00B276EB" w:rsidRDefault="00F776F6" w:rsidP="00D5306E">
            <w:pPr>
              <w:ind w:right="37"/>
              <w:jc w:val="center"/>
              <w:rPr>
                <w:rFonts w:asciiTheme="minorHAnsi" w:hAnsiTheme="minorHAnsi" w:cstheme="minorHAnsi"/>
                <w:b/>
                <w:bCs/>
                <w:sz w:val="16"/>
                <w:szCs w:val="16"/>
              </w:rPr>
            </w:pPr>
            <w:r w:rsidRPr="00B276EB">
              <w:rPr>
                <w:rFonts w:asciiTheme="minorHAnsi" w:hAnsiTheme="minorHAnsi" w:cstheme="minorHAnsi"/>
                <w:b/>
                <w:bCs/>
                <w:sz w:val="16"/>
                <w:szCs w:val="16"/>
              </w:rPr>
              <w:t>Treatment</w:t>
            </w:r>
          </w:p>
        </w:tc>
        <w:tc>
          <w:tcPr>
            <w:tcW w:w="1276" w:type="dxa"/>
            <w:shd w:val="clear" w:color="auto" w:fill="000000" w:themeFill="text1"/>
            <w:vAlign w:val="center"/>
          </w:tcPr>
          <w:p w14:paraId="6F35DF99" w14:textId="77777777" w:rsidR="00F776F6" w:rsidRPr="00B276EB" w:rsidRDefault="00F776F6" w:rsidP="00D5306E">
            <w:pPr>
              <w:jc w:val="center"/>
              <w:rPr>
                <w:rFonts w:asciiTheme="minorHAnsi" w:hAnsiTheme="minorHAnsi"/>
                <w:b/>
                <w:bCs/>
                <w:sz w:val="16"/>
                <w:szCs w:val="16"/>
              </w:rPr>
            </w:pPr>
            <w:r w:rsidRPr="00B276EB">
              <w:rPr>
                <w:rFonts w:asciiTheme="minorHAnsi" w:hAnsiTheme="minorHAnsi"/>
                <w:b/>
                <w:bCs/>
                <w:sz w:val="16"/>
                <w:szCs w:val="16"/>
              </w:rPr>
              <w:t>Outcome measure</w:t>
            </w:r>
          </w:p>
        </w:tc>
        <w:tc>
          <w:tcPr>
            <w:tcW w:w="1090" w:type="dxa"/>
            <w:shd w:val="clear" w:color="auto" w:fill="000000" w:themeFill="text1"/>
            <w:vAlign w:val="center"/>
          </w:tcPr>
          <w:p w14:paraId="00CFDDAF" w14:textId="77777777" w:rsidR="00F776F6" w:rsidRPr="00B276EB" w:rsidRDefault="00F776F6" w:rsidP="00D5306E">
            <w:pPr>
              <w:jc w:val="center"/>
              <w:rPr>
                <w:rFonts w:asciiTheme="minorHAnsi" w:hAnsiTheme="minorHAnsi"/>
                <w:b/>
                <w:bCs/>
                <w:sz w:val="16"/>
                <w:szCs w:val="16"/>
              </w:rPr>
            </w:pPr>
            <w:r w:rsidRPr="00B276EB">
              <w:rPr>
                <w:rFonts w:asciiTheme="minorHAnsi" w:hAnsiTheme="minorHAnsi"/>
                <w:b/>
                <w:bCs/>
                <w:sz w:val="16"/>
                <w:szCs w:val="16"/>
              </w:rPr>
              <w:t>Baseline N</w:t>
            </w:r>
          </w:p>
        </w:tc>
        <w:tc>
          <w:tcPr>
            <w:tcW w:w="941" w:type="dxa"/>
            <w:shd w:val="clear" w:color="auto" w:fill="000000" w:themeFill="text1"/>
            <w:vAlign w:val="center"/>
          </w:tcPr>
          <w:p w14:paraId="417821AB" w14:textId="77777777" w:rsidR="00F776F6" w:rsidRPr="00B276EB" w:rsidRDefault="00F776F6" w:rsidP="00D5306E">
            <w:pPr>
              <w:jc w:val="center"/>
              <w:rPr>
                <w:rFonts w:asciiTheme="minorHAnsi" w:hAnsiTheme="minorHAnsi"/>
                <w:b/>
                <w:bCs/>
                <w:sz w:val="16"/>
                <w:szCs w:val="16"/>
              </w:rPr>
            </w:pPr>
            <w:r w:rsidRPr="00B276EB">
              <w:rPr>
                <w:rFonts w:asciiTheme="minorHAnsi" w:hAnsiTheme="minorHAnsi"/>
                <w:b/>
                <w:bCs/>
                <w:sz w:val="16"/>
                <w:szCs w:val="16"/>
              </w:rPr>
              <w:t>Baseline Mean</w:t>
            </w:r>
          </w:p>
        </w:tc>
        <w:tc>
          <w:tcPr>
            <w:tcW w:w="967" w:type="dxa"/>
            <w:shd w:val="clear" w:color="auto" w:fill="000000" w:themeFill="text1"/>
            <w:vAlign w:val="center"/>
          </w:tcPr>
          <w:p w14:paraId="38B08593" w14:textId="77777777" w:rsidR="00F776F6" w:rsidRPr="00B276EB" w:rsidRDefault="00F776F6" w:rsidP="00D5306E">
            <w:pPr>
              <w:jc w:val="center"/>
              <w:rPr>
                <w:rFonts w:asciiTheme="minorHAnsi" w:hAnsiTheme="minorHAnsi"/>
                <w:b/>
                <w:bCs/>
                <w:sz w:val="16"/>
                <w:szCs w:val="16"/>
              </w:rPr>
            </w:pPr>
            <w:r w:rsidRPr="00B276EB">
              <w:rPr>
                <w:rFonts w:asciiTheme="minorHAnsi" w:hAnsiTheme="minorHAnsi"/>
                <w:b/>
                <w:bCs/>
                <w:sz w:val="16"/>
                <w:szCs w:val="16"/>
              </w:rPr>
              <w:t>Baseline SD</w:t>
            </w:r>
          </w:p>
        </w:tc>
        <w:tc>
          <w:tcPr>
            <w:tcW w:w="1288" w:type="dxa"/>
            <w:shd w:val="clear" w:color="auto" w:fill="000000" w:themeFill="text1"/>
            <w:vAlign w:val="center"/>
          </w:tcPr>
          <w:p w14:paraId="67011F48" w14:textId="77777777" w:rsidR="00F776F6" w:rsidRPr="00B276EB" w:rsidRDefault="00F776F6" w:rsidP="00D5306E">
            <w:pPr>
              <w:jc w:val="center"/>
              <w:rPr>
                <w:rFonts w:asciiTheme="minorHAnsi" w:hAnsiTheme="minorHAnsi"/>
                <w:b/>
                <w:bCs/>
                <w:sz w:val="16"/>
                <w:szCs w:val="16"/>
              </w:rPr>
            </w:pPr>
            <w:r w:rsidRPr="00B276EB">
              <w:rPr>
                <w:rFonts w:asciiTheme="minorHAnsi" w:hAnsiTheme="minorHAnsi"/>
                <w:b/>
                <w:bCs/>
                <w:sz w:val="16"/>
                <w:szCs w:val="16"/>
              </w:rPr>
              <w:t>Post</w:t>
            </w:r>
          </w:p>
          <w:p w14:paraId="311A06EA" w14:textId="77777777" w:rsidR="00F776F6" w:rsidRPr="00B276EB" w:rsidRDefault="00F776F6" w:rsidP="00D5306E">
            <w:pPr>
              <w:jc w:val="center"/>
              <w:rPr>
                <w:rFonts w:asciiTheme="minorHAnsi" w:hAnsiTheme="minorHAnsi"/>
                <w:b/>
                <w:bCs/>
                <w:sz w:val="16"/>
                <w:szCs w:val="16"/>
              </w:rPr>
            </w:pPr>
            <w:r w:rsidRPr="00B276EB">
              <w:rPr>
                <w:rFonts w:asciiTheme="minorHAnsi" w:hAnsiTheme="minorHAnsi"/>
                <w:b/>
                <w:bCs/>
                <w:sz w:val="16"/>
                <w:szCs w:val="16"/>
              </w:rPr>
              <w:t>N</w:t>
            </w:r>
          </w:p>
        </w:tc>
        <w:tc>
          <w:tcPr>
            <w:tcW w:w="782" w:type="dxa"/>
            <w:shd w:val="clear" w:color="auto" w:fill="000000" w:themeFill="text1"/>
            <w:vAlign w:val="center"/>
          </w:tcPr>
          <w:p w14:paraId="4E881F37" w14:textId="77777777" w:rsidR="00F776F6" w:rsidRPr="00B276EB" w:rsidRDefault="00F776F6" w:rsidP="00D5306E">
            <w:pPr>
              <w:jc w:val="center"/>
              <w:rPr>
                <w:rFonts w:asciiTheme="minorHAnsi" w:hAnsiTheme="minorHAnsi"/>
                <w:b/>
                <w:bCs/>
                <w:sz w:val="16"/>
                <w:szCs w:val="16"/>
              </w:rPr>
            </w:pPr>
            <w:r w:rsidRPr="00B276EB">
              <w:rPr>
                <w:rFonts w:asciiTheme="minorHAnsi" w:hAnsiTheme="minorHAnsi"/>
                <w:b/>
                <w:bCs/>
                <w:sz w:val="16"/>
                <w:szCs w:val="16"/>
              </w:rPr>
              <w:t>Post M</w:t>
            </w:r>
          </w:p>
        </w:tc>
        <w:tc>
          <w:tcPr>
            <w:tcW w:w="1450" w:type="dxa"/>
            <w:shd w:val="clear" w:color="auto" w:fill="000000" w:themeFill="text1"/>
            <w:vAlign w:val="center"/>
          </w:tcPr>
          <w:p w14:paraId="57226383" w14:textId="77777777" w:rsidR="00F776F6" w:rsidRPr="000345AB" w:rsidRDefault="00F776F6" w:rsidP="00D5306E">
            <w:pPr>
              <w:jc w:val="center"/>
              <w:rPr>
                <w:rFonts w:asciiTheme="minorHAnsi" w:hAnsiTheme="minorHAnsi"/>
                <w:b/>
                <w:bCs/>
                <w:sz w:val="16"/>
                <w:szCs w:val="16"/>
              </w:rPr>
            </w:pPr>
            <w:r w:rsidRPr="000345AB">
              <w:rPr>
                <w:rFonts w:asciiTheme="minorHAnsi" w:hAnsiTheme="minorHAnsi"/>
                <w:b/>
                <w:bCs/>
                <w:sz w:val="16"/>
                <w:szCs w:val="16"/>
              </w:rPr>
              <w:t xml:space="preserve">Post SD </w:t>
            </w:r>
          </w:p>
        </w:tc>
        <w:tc>
          <w:tcPr>
            <w:tcW w:w="1988" w:type="dxa"/>
            <w:shd w:val="clear" w:color="auto" w:fill="000000" w:themeFill="text1"/>
            <w:vAlign w:val="center"/>
          </w:tcPr>
          <w:p w14:paraId="5D506CF5" w14:textId="77777777" w:rsidR="00F776F6" w:rsidRPr="000345AB" w:rsidRDefault="00F776F6" w:rsidP="00D5306E">
            <w:pPr>
              <w:jc w:val="center"/>
              <w:rPr>
                <w:rFonts w:asciiTheme="minorHAnsi" w:hAnsiTheme="minorHAnsi"/>
                <w:b/>
                <w:bCs/>
                <w:sz w:val="16"/>
                <w:szCs w:val="16"/>
              </w:rPr>
            </w:pPr>
            <w:r w:rsidRPr="000345AB">
              <w:rPr>
                <w:rFonts w:asciiTheme="minorHAnsi" w:hAnsiTheme="minorHAnsi"/>
                <w:b/>
                <w:bCs/>
                <w:sz w:val="16"/>
                <w:szCs w:val="16"/>
              </w:rPr>
              <w:t>Effect size</w:t>
            </w:r>
            <w:r>
              <w:rPr>
                <w:rFonts w:asciiTheme="minorHAnsi" w:hAnsiTheme="minorHAnsi"/>
                <w:b/>
                <w:bCs/>
                <w:sz w:val="16"/>
                <w:szCs w:val="16"/>
              </w:rPr>
              <w:t xml:space="preserve"> (g)</w:t>
            </w:r>
          </w:p>
        </w:tc>
      </w:tr>
      <w:tr w:rsidR="00F776F6" w:rsidRPr="00562D6D" w14:paraId="270E3A3C" w14:textId="77777777" w:rsidTr="007F3C68">
        <w:tc>
          <w:tcPr>
            <w:tcW w:w="1696" w:type="dxa"/>
          </w:tcPr>
          <w:p w14:paraId="1277693A" w14:textId="77777777"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All</w:t>
            </w:r>
          </w:p>
        </w:tc>
        <w:tc>
          <w:tcPr>
            <w:tcW w:w="2554" w:type="dxa"/>
          </w:tcPr>
          <w:p w14:paraId="0A0C88F3" w14:textId="3223304E"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depression</w:t>
            </w:r>
            <w:r w:rsidR="00DE0DC4" w:rsidRPr="00562D6D">
              <w:rPr>
                <w:rFonts w:asciiTheme="minorHAnsi" w:hAnsiTheme="minorHAnsi" w:cstheme="minorHAnsi"/>
                <w:sz w:val="16"/>
                <w:szCs w:val="16"/>
                <w:vertAlign w:val="superscript"/>
              </w:rPr>
              <w:t>c</w:t>
            </w:r>
            <w:proofErr w:type="spellEnd"/>
          </w:p>
        </w:tc>
        <w:tc>
          <w:tcPr>
            <w:tcW w:w="1276" w:type="dxa"/>
          </w:tcPr>
          <w:p w14:paraId="1DEE9291"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WHODAS 2.0</w:t>
            </w:r>
          </w:p>
        </w:tc>
        <w:tc>
          <w:tcPr>
            <w:tcW w:w="1090" w:type="dxa"/>
          </w:tcPr>
          <w:p w14:paraId="647998AB"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586</w:t>
            </w:r>
          </w:p>
        </w:tc>
        <w:tc>
          <w:tcPr>
            <w:tcW w:w="941" w:type="dxa"/>
          </w:tcPr>
          <w:p w14:paraId="27E2C9B7"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17.37</w:t>
            </w:r>
          </w:p>
        </w:tc>
        <w:tc>
          <w:tcPr>
            <w:tcW w:w="967" w:type="dxa"/>
          </w:tcPr>
          <w:p w14:paraId="4261330B"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9.01</w:t>
            </w:r>
          </w:p>
        </w:tc>
        <w:tc>
          <w:tcPr>
            <w:tcW w:w="1288" w:type="dxa"/>
          </w:tcPr>
          <w:p w14:paraId="25F0045D"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586</w:t>
            </w:r>
          </w:p>
        </w:tc>
        <w:tc>
          <w:tcPr>
            <w:tcW w:w="782" w:type="dxa"/>
          </w:tcPr>
          <w:p w14:paraId="03E435B0"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12.16</w:t>
            </w:r>
          </w:p>
        </w:tc>
        <w:tc>
          <w:tcPr>
            <w:tcW w:w="1450" w:type="dxa"/>
          </w:tcPr>
          <w:p w14:paraId="64EC4281"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7.84</w:t>
            </w:r>
          </w:p>
        </w:tc>
        <w:tc>
          <w:tcPr>
            <w:tcW w:w="1988" w:type="dxa"/>
          </w:tcPr>
          <w:p w14:paraId="56C03716"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0.61 (0.51, 0.70)</w:t>
            </w:r>
          </w:p>
        </w:tc>
      </w:tr>
      <w:tr w:rsidR="00F776F6" w:rsidRPr="00562D6D" w14:paraId="42CFC299" w14:textId="77777777" w:rsidTr="007F3C68">
        <w:tc>
          <w:tcPr>
            <w:tcW w:w="1696" w:type="dxa"/>
          </w:tcPr>
          <w:p w14:paraId="67DCD135" w14:textId="77777777"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18-24 years</w:t>
            </w:r>
          </w:p>
        </w:tc>
        <w:tc>
          <w:tcPr>
            <w:tcW w:w="2554" w:type="dxa"/>
          </w:tcPr>
          <w:p w14:paraId="1D52CE0D" w14:textId="4033FA64"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depression</w:t>
            </w:r>
            <w:r w:rsidR="00DE0DC4" w:rsidRPr="00562D6D">
              <w:rPr>
                <w:rFonts w:asciiTheme="minorHAnsi" w:hAnsiTheme="minorHAnsi" w:cstheme="minorHAnsi"/>
                <w:sz w:val="16"/>
                <w:szCs w:val="16"/>
                <w:vertAlign w:val="superscript"/>
              </w:rPr>
              <w:t>c</w:t>
            </w:r>
            <w:proofErr w:type="spellEnd"/>
          </w:p>
        </w:tc>
        <w:tc>
          <w:tcPr>
            <w:tcW w:w="1276" w:type="dxa"/>
          </w:tcPr>
          <w:p w14:paraId="0CB77C80"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WHODAS 2.0</w:t>
            </w:r>
          </w:p>
        </w:tc>
        <w:tc>
          <w:tcPr>
            <w:tcW w:w="1090" w:type="dxa"/>
          </w:tcPr>
          <w:p w14:paraId="763001AE"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44</w:t>
            </w:r>
          </w:p>
        </w:tc>
        <w:tc>
          <w:tcPr>
            <w:tcW w:w="941" w:type="dxa"/>
          </w:tcPr>
          <w:p w14:paraId="2ABD5F7B"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19.25</w:t>
            </w:r>
          </w:p>
        </w:tc>
        <w:tc>
          <w:tcPr>
            <w:tcW w:w="967" w:type="dxa"/>
          </w:tcPr>
          <w:p w14:paraId="3E04C17C"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8.97</w:t>
            </w:r>
          </w:p>
        </w:tc>
        <w:tc>
          <w:tcPr>
            <w:tcW w:w="1288" w:type="dxa"/>
          </w:tcPr>
          <w:p w14:paraId="577F76AE"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44</w:t>
            </w:r>
          </w:p>
        </w:tc>
        <w:tc>
          <w:tcPr>
            <w:tcW w:w="782" w:type="dxa"/>
          </w:tcPr>
          <w:p w14:paraId="4FF8D9BC"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14.43</w:t>
            </w:r>
          </w:p>
        </w:tc>
        <w:tc>
          <w:tcPr>
            <w:tcW w:w="1450" w:type="dxa"/>
          </w:tcPr>
          <w:p w14:paraId="18C5EA0D"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7.52</w:t>
            </w:r>
          </w:p>
        </w:tc>
        <w:tc>
          <w:tcPr>
            <w:tcW w:w="1988" w:type="dxa"/>
          </w:tcPr>
          <w:p w14:paraId="7BB0A5A6"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0.48 (0.36 − 0.85)</w:t>
            </w:r>
          </w:p>
        </w:tc>
      </w:tr>
      <w:tr w:rsidR="00F776F6" w:rsidRPr="00562D6D" w14:paraId="6C65399C" w14:textId="77777777" w:rsidTr="007F3C68">
        <w:tc>
          <w:tcPr>
            <w:tcW w:w="1696" w:type="dxa"/>
          </w:tcPr>
          <w:p w14:paraId="376933A3" w14:textId="77777777"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25-34 years</w:t>
            </w:r>
          </w:p>
        </w:tc>
        <w:tc>
          <w:tcPr>
            <w:tcW w:w="2554" w:type="dxa"/>
          </w:tcPr>
          <w:p w14:paraId="59EEB5B3" w14:textId="6252C271"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depression</w:t>
            </w:r>
            <w:r w:rsidR="00DE0DC4" w:rsidRPr="00562D6D">
              <w:rPr>
                <w:rFonts w:asciiTheme="minorHAnsi" w:hAnsiTheme="minorHAnsi" w:cstheme="minorHAnsi"/>
                <w:sz w:val="16"/>
                <w:szCs w:val="16"/>
                <w:vertAlign w:val="superscript"/>
              </w:rPr>
              <w:t>c</w:t>
            </w:r>
            <w:proofErr w:type="spellEnd"/>
          </w:p>
        </w:tc>
        <w:tc>
          <w:tcPr>
            <w:tcW w:w="1276" w:type="dxa"/>
          </w:tcPr>
          <w:p w14:paraId="35BD8ACA"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WHODAS 2.0</w:t>
            </w:r>
          </w:p>
        </w:tc>
        <w:tc>
          <w:tcPr>
            <w:tcW w:w="1090" w:type="dxa"/>
          </w:tcPr>
          <w:p w14:paraId="43823D67"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105</w:t>
            </w:r>
          </w:p>
        </w:tc>
        <w:tc>
          <w:tcPr>
            <w:tcW w:w="941" w:type="dxa"/>
          </w:tcPr>
          <w:p w14:paraId="767A5FF9"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17.27</w:t>
            </w:r>
          </w:p>
        </w:tc>
        <w:tc>
          <w:tcPr>
            <w:tcW w:w="967" w:type="dxa"/>
          </w:tcPr>
          <w:p w14:paraId="4FC0BF34"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8.98</w:t>
            </w:r>
          </w:p>
        </w:tc>
        <w:tc>
          <w:tcPr>
            <w:tcW w:w="1288" w:type="dxa"/>
          </w:tcPr>
          <w:p w14:paraId="30740F86"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105</w:t>
            </w:r>
          </w:p>
        </w:tc>
        <w:tc>
          <w:tcPr>
            <w:tcW w:w="782" w:type="dxa"/>
          </w:tcPr>
          <w:p w14:paraId="6F845527"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11.79</w:t>
            </w:r>
          </w:p>
        </w:tc>
        <w:tc>
          <w:tcPr>
            <w:tcW w:w="1450" w:type="dxa"/>
          </w:tcPr>
          <w:p w14:paraId="42C3B254"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7.63</w:t>
            </w:r>
          </w:p>
        </w:tc>
        <w:tc>
          <w:tcPr>
            <w:tcW w:w="1988" w:type="dxa"/>
          </w:tcPr>
          <w:p w14:paraId="689D0F6A"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0.77 (0.52 − 0.96)</w:t>
            </w:r>
          </w:p>
        </w:tc>
      </w:tr>
      <w:tr w:rsidR="00F776F6" w:rsidRPr="00562D6D" w14:paraId="15C5A68D" w14:textId="77777777" w:rsidTr="007F3C68">
        <w:tc>
          <w:tcPr>
            <w:tcW w:w="1696" w:type="dxa"/>
          </w:tcPr>
          <w:p w14:paraId="0260094A" w14:textId="77777777"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35-44 years</w:t>
            </w:r>
          </w:p>
        </w:tc>
        <w:tc>
          <w:tcPr>
            <w:tcW w:w="2554" w:type="dxa"/>
          </w:tcPr>
          <w:p w14:paraId="395119D9" w14:textId="6C240824"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depression</w:t>
            </w:r>
            <w:r w:rsidR="00DE0DC4" w:rsidRPr="00562D6D">
              <w:rPr>
                <w:rFonts w:asciiTheme="minorHAnsi" w:hAnsiTheme="minorHAnsi" w:cstheme="minorHAnsi"/>
                <w:sz w:val="16"/>
                <w:szCs w:val="16"/>
                <w:vertAlign w:val="superscript"/>
              </w:rPr>
              <w:t>c</w:t>
            </w:r>
            <w:proofErr w:type="spellEnd"/>
          </w:p>
        </w:tc>
        <w:tc>
          <w:tcPr>
            <w:tcW w:w="1276" w:type="dxa"/>
          </w:tcPr>
          <w:p w14:paraId="77597BFD"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WHODAS 2.0</w:t>
            </w:r>
          </w:p>
        </w:tc>
        <w:tc>
          <w:tcPr>
            <w:tcW w:w="1090" w:type="dxa"/>
          </w:tcPr>
          <w:p w14:paraId="3EF687CE"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149</w:t>
            </w:r>
          </w:p>
        </w:tc>
        <w:tc>
          <w:tcPr>
            <w:tcW w:w="941" w:type="dxa"/>
          </w:tcPr>
          <w:p w14:paraId="12C4BD16"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17.30</w:t>
            </w:r>
          </w:p>
        </w:tc>
        <w:tc>
          <w:tcPr>
            <w:tcW w:w="967" w:type="dxa"/>
          </w:tcPr>
          <w:p w14:paraId="2096A0E7"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8.96</w:t>
            </w:r>
          </w:p>
        </w:tc>
        <w:tc>
          <w:tcPr>
            <w:tcW w:w="1288" w:type="dxa"/>
          </w:tcPr>
          <w:p w14:paraId="4DA78254"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149</w:t>
            </w:r>
          </w:p>
        </w:tc>
        <w:tc>
          <w:tcPr>
            <w:tcW w:w="782" w:type="dxa"/>
          </w:tcPr>
          <w:p w14:paraId="2E3FA423"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11.93</w:t>
            </w:r>
          </w:p>
        </w:tc>
        <w:tc>
          <w:tcPr>
            <w:tcW w:w="1450" w:type="dxa"/>
          </w:tcPr>
          <w:p w14:paraId="5A88A177"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7.84</w:t>
            </w:r>
          </w:p>
        </w:tc>
        <w:tc>
          <w:tcPr>
            <w:tcW w:w="1988" w:type="dxa"/>
          </w:tcPr>
          <w:p w14:paraId="46A72866"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0.61 (0.42 − 0.80)</w:t>
            </w:r>
          </w:p>
        </w:tc>
      </w:tr>
      <w:tr w:rsidR="00F776F6" w:rsidRPr="00562D6D" w14:paraId="7D14490B" w14:textId="77777777" w:rsidTr="007F3C68">
        <w:tc>
          <w:tcPr>
            <w:tcW w:w="1696" w:type="dxa"/>
          </w:tcPr>
          <w:p w14:paraId="5A932C5D" w14:textId="77777777"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45-54 years</w:t>
            </w:r>
          </w:p>
        </w:tc>
        <w:tc>
          <w:tcPr>
            <w:tcW w:w="2554" w:type="dxa"/>
          </w:tcPr>
          <w:p w14:paraId="5B19CE04" w14:textId="26557090"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depression</w:t>
            </w:r>
            <w:r w:rsidR="00DE0DC4" w:rsidRPr="00562D6D">
              <w:rPr>
                <w:rFonts w:asciiTheme="minorHAnsi" w:hAnsiTheme="minorHAnsi" w:cstheme="minorHAnsi"/>
                <w:sz w:val="16"/>
                <w:szCs w:val="16"/>
                <w:vertAlign w:val="superscript"/>
              </w:rPr>
              <w:t>c</w:t>
            </w:r>
            <w:proofErr w:type="spellEnd"/>
          </w:p>
        </w:tc>
        <w:tc>
          <w:tcPr>
            <w:tcW w:w="1276" w:type="dxa"/>
          </w:tcPr>
          <w:p w14:paraId="08014E51"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WHODAS 2.0</w:t>
            </w:r>
          </w:p>
        </w:tc>
        <w:tc>
          <w:tcPr>
            <w:tcW w:w="1090" w:type="dxa"/>
          </w:tcPr>
          <w:p w14:paraId="35262B41"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135</w:t>
            </w:r>
          </w:p>
        </w:tc>
        <w:tc>
          <w:tcPr>
            <w:tcW w:w="941" w:type="dxa"/>
          </w:tcPr>
          <w:p w14:paraId="14562E70"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17.54</w:t>
            </w:r>
          </w:p>
        </w:tc>
        <w:tc>
          <w:tcPr>
            <w:tcW w:w="967" w:type="dxa"/>
          </w:tcPr>
          <w:p w14:paraId="49403FA6"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8.98</w:t>
            </w:r>
          </w:p>
        </w:tc>
        <w:tc>
          <w:tcPr>
            <w:tcW w:w="1288" w:type="dxa"/>
          </w:tcPr>
          <w:p w14:paraId="40D6AFA7"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135</w:t>
            </w:r>
          </w:p>
        </w:tc>
        <w:tc>
          <w:tcPr>
            <w:tcW w:w="782" w:type="dxa"/>
          </w:tcPr>
          <w:p w14:paraId="071D662C"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12.14</w:t>
            </w:r>
          </w:p>
        </w:tc>
        <w:tc>
          <w:tcPr>
            <w:tcW w:w="1450" w:type="dxa"/>
          </w:tcPr>
          <w:p w14:paraId="0DE56AEC"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7.87</w:t>
            </w:r>
          </w:p>
        </w:tc>
        <w:tc>
          <w:tcPr>
            <w:tcW w:w="1988" w:type="dxa"/>
          </w:tcPr>
          <w:p w14:paraId="35439768"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0.62 (0.33 − 0.77)</w:t>
            </w:r>
          </w:p>
        </w:tc>
      </w:tr>
      <w:tr w:rsidR="00F776F6" w:rsidRPr="00562D6D" w14:paraId="12865A26" w14:textId="77777777" w:rsidTr="007F3C68">
        <w:tc>
          <w:tcPr>
            <w:tcW w:w="1696" w:type="dxa"/>
          </w:tcPr>
          <w:p w14:paraId="0E432A27" w14:textId="77777777"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55-64 years</w:t>
            </w:r>
          </w:p>
        </w:tc>
        <w:tc>
          <w:tcPr>
            <w:tcW w:w="2554" w:type="dxa"/>
          </w:tcPr>
          <w:p w14:paraId="41B4D716" w14:textId="4C7A54B2"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depression</w:t>
            </w:r>
            <w:r w:rsidR="00DE0DC4" w:rsidRPr="00562D6D">
              <w:rPr>
                <w:rFonts w:asciiTheme="minorHAnsi" w:hAnsiTheme="minorHAnsi" w:cstheme="minorHAnsi"/>
                <w:sz w:val="16"/>
                <w:szCs w:val="16"/>
                <w:vertAlign w:val="superscript"/>
              </w:rPr>
              <w:t>c</w:t>
            </w:r>
            <w:proofErr w:type="spellEnd"/>
          </w:p>
        </w:tc>
        <w:tc>
          <w:tcPr>
            <w:tcW w:w="1276" w:type="dxa"/>
          </w:tcPr>
          <w:p w14:paraId="51AC3451"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WHODAS 2.0</w:t>
            </w:r>
          </w:p>
        </w:tc>
        <w:tc>
          <w:tcPr>
            <w:tcW w:w="1090" w:type="dxa"/>
          </w:tcPr>
          <w:p w14:paraId="565FF2A6"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108</w:t>
            </w:r>
          </w:p>
        </w:tc>
        <w:tc>
          <w:tcPr>
            <w:tcW w:w="941" w:type="dxa"/>
          </w:tcPr>
          <w:p w14:paraId="39ECA15F"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16.69</w:t>
            </w:r>
          </w:p>
        </w:tc>
        <w:tc>
          <w:tcPr>
            <w:tcW w:w="967" w:type="dxa"/>
          </w:tcPr>
          <w:p w14:paraId="45F795E6"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8.96</w:t>
            </w:r>
          </w:p>
        </w:tc>
        <w:tc>
          <w:tcPr>
            <w:tcW w:w="1288" w:type="dxa"/>
          </w:tcPr>
          <w:p w14:paraId="463E70F8"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108</w:t>
            </w:r>
          </w:p>
        </w:tc>
        <w:tc>
          <w:tcPr>
            <w:tcW w:w="782" w:type="dxa"/>
          </w:tcPr>
          <w:p w14:paraId="6480C0D2"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12.43</w:t>
            </w:r>
          </w:p>
        </w:tc>
        <w:tc>
          <w:tcPr>
            <w:tcW w:w="1450" w:type="dxa"/>
          </w:tcPr>
          <w:p w14:paraId="3A721341"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8.13</w:t>
            </w:r>
          </w:p>
        </w:tc>
        <w:tc>
          <w:tcPr>
            <w:tcW w:w="1988" w:type="dxa"/>
          </w:tcPr>
          <w:p w14:paraId="45596BB8"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0.44 (0.21 − 0.74)</w:t>
            </w:r>
          </w:p>
        </w:tc>
      </w:tr>
      <w:tr w:rsidR="00F776F6" w:rsidRPr="00562D6D" w14:paraId="64E5A1DB" w14:textId="77777777" w:rsidTr="007F3C68">
        <w:tc>
          <w:tcPr>
            <w:tcW w:w="1696" w:type="dxa"/>
          </w:tcPr>
          <w:p w14:paraId="473D1149" w14:textId="77777777"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 65+ years</w:t>
            </w:r>
          </w:p>
        </w:tc>
        <w:tc>
          <w:tcPr>
            <w:tcW w:w="2554" w:type="dxa"/>
          </w:tcPr>
          <w:p w14:paraId="0CCD012D" w14:textId="61E80092"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depression</w:t>
            </w:r>
            <w:r w:rsidR="00DE0DC4" w:rsidRPr="00562D6D">
              <w:rPr>
                <w:rFonts w:asciiTheme="minorHAnsi" w:hAnsiTheme="minorHAnsi" w:cstheme="minorHAnsi"/>
                <w:sz w:val="16"/>
                <w:szCs w:val="16"/>
                <w:vertAlign w:val="superscript"/>
              </w:rPr>
              <w:t>c</w:t>
            </w:r>
            <w:proofErr w:type="spellEnd"/>
          </w:p>
        </w:tc>
        <w:tc>
          <w:tcPr>
            <w:tcW w:w="1276" w:type="dxa"/>
          </w:tcPr>
          <w:p w14:paraId="2FB2E527"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WHODAS 2.0</w:t>
            </w:r>
          </w:p>
        </w:tc>
        <w:tc>
          <w:tcPr>
            <w:tcW w:w="1090" w:type="dxa"/>
          </w:tcPr>
          <w:p w14:paraId="7D0DDFC8"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45</w:t>
            </w:r>
          </w:p>
        </w:tc>
        <w:tc>
          <w:tcPr>
            <w:tcW w:w="941" w:type="dxa"/>
          </w:tcPr>
          <w:p w14:paraId="184EFAF6"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15.33</w:t>
            </w:r>
          </w:p>
        </w:tc>
        <w:tc>
          <w:tcPr>
            <w:tcW w:w="967" w:type="dxa"/>
          </w:tcPr>
          <w:p w14:paraId="28FE7A39"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8.97</w:t>
            </w:r>
          </w:p>
        </w:tc>
        <w:tc>
          <w:tcPr>
            <w:tcW w:w="1288" w:type="dxa"/>
          </w:tcPr>
          <w:p w14:paraId="45A3A1CA"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45</w:t>
            </w:r>
          </w:p>
        </w:tc>
        <w:tc>
          <w:tcPr>
            <w:tcW w:w="782" w:type="dxa"/>
          </w:tcPr>
          <w:p w14:paraId="3182AE5B"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9.79</w:t>
            </w:r>
          </w:p>
        </w:tc>
        <w:tc>
          <w:tcPr>
            <w:tcW w:w="1450" w:type="dxa"/>
          </w:tcPr>
          <w:p w14:paraId="7D67A914"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8.26</w:t>
            </w:r>
          </w:p>
        </w:tc>
        <w:tc>
          <w:tcPr>
            <w:tcW w:w="1988" w:type="dxa"/>
          </w:tcPr>
          <w:p w14:paraId="0CCE642C"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0.57 (0.18 − 0.95)</w:t>
            </w:r>
          </w:p>
        </w:tc>
      </w:tr>
      <w:tr w:rsidR="00F776F6" w:rsidRPr="00562D6D" w14:paraId="445A5B43" w14:textId="77777777" w:rsidTr="007F3C68">
        <w:tc>
          <w:tcPr>
            <w:tcW w:w="1696" w:type="dxa"/>
          </w:tcPr>
          <w:p w14:paraId="587F3F66" w14:textId="77777777"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w:t>
            </w:r>
          </w:p>
        </w:tc>
        <w:tc>
          <w:tcPr>
            <w:tcW w:w="2554" w:type="dxa"/>
          </w:tcPr>
          <w:p w14:paraId="24B01B07" w14:textId="18092C86"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SAD</w:t>
            </w:r>
            <w:r w:rsidR="00DE0DC4" w:rsidRPr="00562D6D">
              <w:rPr>
                <w:rFonts w:asciiTheme="minorHAnsi" w:hAnsiTheme="minorHAnsi" w:cstheme="minorHAnsi"/>
                <w:sz w:val="16"/>
                <w:szCs w:val="16"/>
                <w:vertAlign w:val="superscript"/>
              </w:rPr>
              <w:t>d</w:t>
            </w:r>
            <w:proofErr w:type="spellEnd"/>
          </w:p>
        </w:tc>
        <w:tc>
          <w:tcPr>
            <w:tcW w:w="1276" w:type="dxa"/>
          </w:tcPr>
          <w:p w14:paraId="13098F65"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K10</w:t>
            </w:r>
          </w:p>
        </w:tc>
        <w:tc>
          <w:tcPr>
            <w:tcW w:w="1090" w:type="dxa"/>
          </w:tcPr>
          <w:p w14:paraId="70CEE3D7"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368</w:t>
            </w:r>
          </w:p>
        </w:tc>
        <w:tc>
          <w:tcPr>
            <w:tcW w:w="941" w:type="dxa"/>
          </w:tcPr>
          <w:p w14:paraId="4C079A41"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26.98</w:t>
            </w:r>
          </w:p>
        </w:tc>
        <w:tc>
          <w:tcPr>
            <w:tcW w:w="967" w:type="dxa"/>
          </w:tcPr>
          <w:p w14:paraId="5AB57FDC"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SE=.37</w:t>
            </w:r>
          </w:p>
        </w:tc>
        <w:tc>
          <w:tcPr>
            <w:tcW w:w="1288" w:type="dxa"/>
          </w:tcPr>
          <w:p w14:paraId="7FF7095D"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368</w:t>
            </w:r>
          </w:p>
        </w:tc>
        <w:tc>
          <w:tcPr>
            <w:tcW w:w="782" w:type="dxa"/>
          </w:tcPr>
          <w:p w14:paraId="432F2AF2"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20.34</w:t>
            </w:r>
          </w:p>
        </w:tc>
        <w:tc>
          <w:tcPr>
            <w:tcW w:w="1450" w:type="dxa"/>
          </w:tcPr>
          <w:p w14:paraId="038F70FE"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SE=.5</w:t>
            </w:r>
          </w:p>
        </w:tc>
        <w:tc>
          <w:tcPr>
            <w:tcW w:w="1988" w:type="dxa"/>
          </w:tcPr>
          <w:p w14:paraId="30EE630B"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d=.85 (.68, 1.01)</w:t>
            </w:r>
          </w:p>
        </w:tc>
      </w:tr>
      <w:tr w:rsidR="00F776F6" w:rsidRPr="00562D6D" w14:paraId="56435D44" w14:textId="77777777" w:rsidTr="007F3C68">
        <w:tc>
          <w:tcPr>
            <w:tcW w:w="1696" w:type="dxa"/>
          </w:tcPr>
          <w:p w14:paraId="596BF101" w14:textId="77777777"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w:t>
            </w:r>
          </w:p>
        </w:tc>
        <w:tc>
          <w:tcPr>
            <w:tcW w:w="2554" w:type="dxa"/>
          </w:tcPr>
          <w:p w14:paraId="1D09A123" w14:textId="4DEA923A"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SAD</w:t>
            </w:r>
            <w:r w:rsidR="00DE0DC4" w:rsidRPr="00562D6D">
              <w:rPr>
                <w:rFonts w:asciiTheme="minorHAnsi" w:hAnsiTheme="minorHAnsi" w:cstheme="minorHAnsi"/>
                <w:sz w:val="16"/>
                <w:szCs w:val="16"/>
                <w:vertAlign w:val="superscript"/>
              </w:rPr>
              <w:t>d</w:t>
            </w:r>
            <w:proofErr w:type="spellEnd"/>
          </w:p>
        </w:tc>
        <w:tc>
          <w:tcPr>
            <w:tcW w:w="1276" w:type="dxa"/>
          </w:tcPr>
          <w:p w14:paraId="1577732A"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PHQ-9</w:t>
            </w:r>
          </w:p>
        </w:tc>
        <w:tc>
          <w:tcPr>
            <w:tcW w:w="1090" w:type="dxa"/>
          </w:tcPr>
          <w:p w14:paraId="2289D59F"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368</w:t>
            </w:r>
          </w:p>
        </w:tc>
        <w:tc>
          <w:tcPr>
            <w:tcW w:w="941" w:type="dxa"/>
          </w:tcPr>
          <w:p w14:paraId="1CD4F38E"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11.2</w:t>
            </w:r>
          </w:p>
        </w:tc>
        <w:tc>
          <w:tcPr>
            <w:tcW w:w="967" w:type="dxa"/>
          </w:tcPr>
          <w:p w14:paraId="30904A4E"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SE=.47</w:t>
            </w:r>
          </w:p>
        </w:tc>
        <w:tc>
          <w:tcPr>
            <w:tcW w:w="1288" w:type="dxa"/>
          </w:tcPr>
          <w:p w14:paraId="2A7F6343"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368</w:t>
            </w:r>
          </w:p>
        </w:tc>
        <w:tc>
          <w:tcPr>
            <w:tcW w:w="782" w:type="dxa"/>
          </w:tcPr>
          <w:p w14:paraId="740FBB68"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7.86</w:t>
            </w:r>
          </w:p>
        </w:tc>
        <w:tc>
          <w:tcPr>
            <w:tcW w:w="1450" w:type="dxa"/>
          </w:tcPr>
          <w:p w14:paraId="1A957C38"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SE=.54</w:t>
            </w:r>
          </w:p>
        </w:tc>
        <w:tc>
          <w:tcPr>
            <w:tcW w:w="1988" w:type="dxa"/>
          </w:tcPr>
          <w:p w14:paraId="73CB387F"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d=.36 (.19, .52)</w:t>
            </w:r>
          </w:p>
        </w:tc>
      </w:tr>
      <w:tr w:rsidR="00F776F6" w:rsidRPr="00562D6D" w14:paraId="460ABFBD" w14:textId="77777777" w:rsidTr="007F3C68">
        <w:tc>
          <w:tcPr>
            <w:tcW w:w="1696" w:type="dxa"/>
          </w:tcPr>
          <w:p w14:paraId="715DE0BA" w14:textId="77777777"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w:t>
            </w:r>
          </w:p>
        </w:tc>
        <w:tc>
          <w:tcPr>
            <w:tcW w:w="2554" w:type="dxa"/>
          </w:tcPr>
          <w:p w14:paraId="39833668" w14:textId="6DC8DC90"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SAD</w:t>
            </w:r>
            <w:r w:rsidR="00DE0DC4" w:rsidRPr="00562D6D">
              <w:rPr>
                <w:rFonts w:asciiTheme="minorHAnsi" w:hAnsiTheme="minorHAnsi" w:cstheme="minorHAnsi"/>
                <w:sz w:val="16"/>
                <w:szCs w:val="16"/>
                <w:vertAlign w:val="superscript"/>
              </w:rPr>
              <w:t>d</w:t>
            </w:r>
            <w:proofErr w:type="spellEnd"/>
          </w:p>
        </w:tc>
        <w:tc>
          <w:tcPr>
            <w:tcW w:w="1276" w:type="dxa"/>
          </w:tcPr>
          <w:p w14:paraId="79CB10EA"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WHODAS 2.0</w:t>
            </w:r>
          </w:p>
        </w:tc>
        <w:tc>
          <w:tcPr>
            <w:tcW w:w="1090" w:type="dxa"/>
          </w:tcPr>
          <w:p w14:paraId="7E54D8BD"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368</w:t>
            </w:r>
          </w:p>
        </w:tc>
        <w:tc>
          <w:tcPr>
            <w:tcW w:w="941" w:type="dxa"/>
          </w:tcPr>
          <w:p w14:paraId="180BD50E"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28.08</w:t>
            </w:r>
          </w:p>
        </w:tc>
        <w:tc>
          <w:tcPr>
            <w:tcW w:w="967" w:type="dxa"/>
          </w:tcPr>
          <w:p w14:paraId="18F94072"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SE=0.41</w:t>
            </w:r>
          </w:p>
        </w:tc>
        <w:tc>
          <w:tcPr>
            <w:tcW w:w="1288" w:type="dxa"/>
          </w:tcPr>
          <w:p w14:paraId="2D2A1E65"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368</w:t>
            </w:r>
          </w:p>
        </w:tc>
        <w:tc>
          <w:tcPr>
            <w:tcW w:w="782" w:type="dxa"/>
          </w:tcPr>
          <w:p w14:paraId="43DCDF62"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24.22</w:t>
            </w:r>
          </w:p>
        </w:tc>
        <w:tc>
          <w:tcPr>
            <w:tcW w:w="1450" w:type="dxa"/>
          </w:tcPr>
          <w:p w14:paraId="0B729283"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SE=0.50</w:t>
            </w:r>
          </w:p>
        </w:tc>
        <w:tc>
          <w:tcPr>
            <w:tcW w:w="1988" w:type="dxa"/>
          </w:tcPr>
          <w:p w14:paraId="456B723F"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d=0.45 (0.28, 0.61)</w:t>
            </w:r>
          </w:p>
        </w:tc>
      </w:tr>
      <w:tr w:rsidR="00F776F6" w:rsidRPr="00562D6D" w14:paraId="5AFFE213" w14:textId="77777777" w:rsidTr="007F3C68">
        <w:tc>
          <w:tcPr>
            <w:tcW w:w="1696" w:type="dxa"/>
          </w:tcPr>
          <w:p w14:paraId="256AA23C" w14:textId="77777777"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w:t>
            </w:r>
          </w:p>
        </w:tc>
        <w:tc>
          <w:tcPr>
            <w:tcW w:w="2554" w:type="dxa"/>
          </w:tcPr>
          <w:p w14:paraId="06DE92D8" w14:textId="390E422F"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SAD</w:t>
            </w:r>
            <w:r w:rsidR="00DE0DC4" w:rsidRPr="00562D6D">
              <w:rPr>
                <w:rFonts w:asciiTheme="minorHAnsi" w:hAnsiTheme="minorHAnsi" w:cstheme="minorHAnsi"/>
                <w:sz w:val="16"/>
                <w:szCs w:val="16"/>
                <w:vertAlign w:val="superscript"/>
              </w:rPr>
              <w:t>d</w:t>
            </w:r>
            <w:proofErr w:type="spellEnd"/>
          </w:p>
        </w:tc>
        <w:tc>
          <w:tcPr>
            <w:tcW w:w="1276" w:type="dxa"/>
          </w:tcPr>
          <w:p w14:paraId="23B4210B"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Mini-SPIN</w:t>
            </w:r>
          </w:p>
        </w:tc>
        <w:tc>
          <w:tcPr>
            <w:tcW w:w="1090" w:type="dxa"/>
          </w:tcPr>
          <w:p w14:paraId="50645BCB"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368</w:t>
            </w:r>
          </w:p>
        </w:tc>
        <w:tc>
          <w:tcPr>
            <w:tcW w:w="941" w:type="dxa"/>
          </w:tcPr>
          <w:p w14:paraId="35224873"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8.56</w:t>
            </w:r>
          </w:p>
        </w:tc>
        <w:tc>
          <w:tcPr>
            <w:tcW w:w="967" w:type="dxa"/>
          </w:tcPr>
          <w:p w14:paraId="7F42251C"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SE=.13</w:t>
            </w:r>
          </w:p>
        </w:tc>
        <w:tc>
          <w:tcPr>
            <w:tcW w:w="1288" w:type="dxa"/>
          </w:tcPr>
          <w:p w14:paraId="2796B25D"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368</w:t>
            </w:r>
          </w:p>
        </w:tc>
        <w:tc>
          <w:tcPr>
            <w:tcW w:w="782" w:type="dxa"/>
          </w:tcPr>
          <w:p w14:paraId="5B4551C1"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5.7</w:t>
            </w:r>
          </w:p>
        </w:tc>
        <w:tc>
          <w:tcPr>
            <w:tcW w:w="1450" w:type="dxa"/>
          </w:tcPr>
          <w:p w14:paraId="0D5E4D41"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SE=0.2</w:t>
            </w:r>
          </w:p>
        </w:tc>
        <w:tc>
          <w:tcPr>
            <w:tcW w:w="1988" w:type="dxa"/>
          </w:tcPr>
          <w:p w14:paraId="75C67EEB"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d=.99 (.82, 1.15)</w:t>
            </w:r>
          </w:p>
        </w:tc>
      </w:tr>
      <w:tr w:rsidR="00F776F6" w:rsidRPr="00562D6D" w14:paraId="7793DE19" w14:textId="77777777" w:rsidTr="007F3C68">
        <w:tc>
          <w:tcPr>
            <w:tcW w:w="1696" w:type="dxa"/>
          </w:tcPr>
          <w:p w14:paraId="2590D18A" w14:textId="77777777"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w:t>
            </w:r>
          </w:p>
        </w:tc>
        <w:tc>
          <w:tcPr>
            <w:tcW w:w="2554" w:type="dxa"/>
          </w:tcPr>
          <w:p w14:paraId="3FC35E6B" w14:textId="084FE97C"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PD</w:t>
            </w:r>
            <w:r w:rsidR="00C205F2" w:rsidRPr="00562D6D">
              <w:rPr>
                <w:rFonts w:asciiTheme="minorHAnsi" w:hAnsiTheme="minorHAnsi" w:cstheme="minorHAnsi"/>
                <w:sz w:val="16"/>
                <w:szCs w:val="16"/>
                <w:vertAlign w:val="superscript"/>
              </w:rPr>
              <w:t>e</w:t>
            </w:r>
            <w:proofErr w:type="spellEnd"/>
          </w:p>
        </w:tc>
        <w:tc>
          <w:tcPr>
            <w:tcW w:w="1276" w:type="dxa"/>
          </w:tcPr>
          <w:p w14:paraId="450A0D0E"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K10</w:t>
            </w:r>
          </w:p>
        </w:tc>
        <w:tc>
          <w:tcPr>
            <w:tcW w:w="1090" w:type="dxa"/>
          </w:tcPr>
          <w:p w14:paraId="2DA3B84A"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330</w:t>
            </w:r>
          </w:p>
        </w:tc>
        <w:tc>
          <w:tcPr>
            <w:tcW w:w="941" w:type="dxa"/>
          </w:tcPr>
          <w:p w14:paraId="7CE1BF6D"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24.59</w:t>
            </w:r>
          </w:p>
        </w:tc>
        <w:tc>
          <w:tcPr>
            <w:tcW w:w="967" w:type="dxa"/>
          </w:tcPr>
          <w:p w14:paraId="7B79C2E9"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9.26</w:t>
            </w:r>
          </w:p>
        </w:tc>
        <w:tc>
          <w:tcPr>
            <w:tcW w:w="1288" w:type="dxa"/>
          </w:tcPr>
          <w:p w14:paraId="093770D7"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185</w:t>
            </w:r>
          </w:p>
        </w:tc>
        <w:tc>
          <w:tcPr>
            <w:tcW w:w="782" w:type="dxa"/>
          </w:tcPr>
          <w:p w14:paraId="2EF095E3"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17.62</w:t>
            </w:r>
          </w:p>
        </w:tc>
        <w:tc>
          <w:tcPr>
            <w:tcW w:w="1450" w:type="dxa"/>
          </w:tcPr>
          <w:p w14:paraId="5EB2FEA1"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7.89</w:t>
            </w:r>
          </w:p>
        </w:tc>
        <w:tc>
          <w:tcPr>
            <w:tcW w:w="1988" w:type="dxa"/>
          </w:tcPr>
          <w:p w14:paraId="13DF462D"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0.92 (0.73, 1.11)</w:t>
            </w:r>
          </w:p>
        </w:tc>
      </w:tr>
      <w:tr w:rsidR="00F776F6" w:rsidRPr="00562D6D" w14:paraId="1A8049D3" w14:textId="77777777" w:rsidTr="007F3C68">
        <w:tc>
          <w:tcPr>
            <w:tcW w:w="1696" w:type="dxa"/>
          </w:tcPr>
          <w:p w14:paraId="7EBC564C" w14:textId="77777777"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w:t>
            </w:r>
          </w:p>
        </w:tc>
        <w:tc>
          <w:tcPr>
            <w:tcW w:w="2554" w:type="dxa"/>
          </w:tcPr>
          <w:p w14:paraId="1A478D22" w14:textId="79DC5DB9"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PD</w:t>
            </w:r>
            <w:r w:rsidR="00C205F2" w:rsidRPr="00562D6D">
              <w:rPr>
                <w:rFonts w:asciiTheme="minorHAnsi" w:hAnsiTheme="minorHAnsi" w:cstheme="minorHAnsi"/>
                <w:sz w:val="16"/>
                <w:szCs w:val="16"/>
                <w:vertAlign w:val="superscript"/>
              </w:rPr>
              <w:t>e</w:t>
            </w:r>
            <w:proofErr w:type="spellEnd"/>
          </w:p>
        </w:tc>
        <w:tc>
          <w:tcPr>
            <w:tcW w:w="1276" w:type="dxa"/>
          </w:tcPr>
          <w:p w14:paraId="45FE1E01"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PHQ-9</w:t>
            </w:r>
          </w:p>
        </w:tc>
        <w:tc>
          <w:tcPr>
            <w:tcW w:w="1090" w:type="dxa"/>
          </w:tcPr>
          <w:p w14:paraId="40D1DF3C"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330</w:t>
            </w:r>
          </w:p>
        </w:tc>
        <w:tc>
          <w:tcPr>
            <w:tcW w:w="941" w:type="dxa"/>
          </w:tcPr>
          <w:p w14:paraId="4E6DD697"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8.91</w:t>
            </w:r>
          </w:p>
        </w:tc>
        <w:tc>
          <w:tcPr>
            <w:tcW w:w="967" w:type="dxa"/>
          </w:tcPr>
          <w:p w14:paraId="66CE37DE"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7.92</w:t>
            </w:r>
          </w:p>
        </w:tc>
        <w:tc>
          <w:tcPr>
            <w:tcW w:w="1288" w:type="dxa"/>
          </w:tcPr>
          <w:p w14:paraId="104237C3"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185</w:t>
            </w:r>
          </w:p>
        </w:tc>
        <w:tc>
          <w:tcPr>
            <w:tcW w:w="782" w:type="dxa"/>
          </w:tcPr>
          <w:p w14:paraId="5761EDD5"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5.19</w:t>
            </w:r>
          </w:p>
        </w:tc>
        <w:tc>
          <w:tcPr>
            <w:tcW w:w="1450" w:type="dxa"/>
          </w:tcPr>
          <w:p w14:paraId="62EDF4D8"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7.06</w:t>
            </w:r>
          </w:p>
        </w:tc>
        <w:tc>
          <w:tcPr>
            <w:tcW w:w="1988" w:type="dxa"/>
          </w:tcPr>
          <w:p w14:paraId="5DD6F4F5"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0.53 (0.33, 0.73)</w:t>
            </w:r>
          </w:p>
        </w:tc>
      </w:tr>
      <w:tr w:rsidR="00F776F6" w:rsidRPr="00562D6D" w14:paraId="3BCBA6A5" w14:textId="77777777" w:rsidTr="007F3C68">
        <w:tc>
          <w:tcPr>
            <w:tcW w:w="1696" w:type="dxa"/>
          </w:tcPr>
          <w:p w14:paraId="469CEFEE" w14:textId="77777777"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w:t>
            </w:r>
          </w:p>
        </w:tc>
        <w:tc>
          <w:tcPr>
            <w:tcW w:w="2554" w:type="dxa"/>
          </w:tcPr>
          <w:p w14:paraId="0DAD53DB" w14:textId="4667C3C1"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PD</w:t>
            </w:r>
            <w:r w:rsidR="00C205F2" w:rsidRPr="00562D6D">
              <w:rPr>
                <w:rFonts w:asciiTheme="minorHAnsi" w:hAnsiTheme="minorHAnsi" w:cstheme="minorHAnsi"/>
                <w:sz w:val="16"/>
                <w:szCs w:val="16"/>
                <w:vertAlign w:val="superscript"/>
              </w:rPr>
              <w:t>e</w:t>
            </w:r>
            <w:proofErr w:type="spellEnd"/>
          </w:p>
        </w:tc>
        <w:tc>
          <w:tcPr>
            <w:tcW w:w="1276" w:type="dxa"/>
          </w:tcPr>
          <w:p w14:paraId="4D76BC98"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PDSS-SR</w:t>
            </w:r>
          </w:p>
        </w:tc>
        <w:tc>
          <w:tcPr>
            <w:tcW w:w="1090" w:type="dxa"/>
          </w:tcPr>
          <w:p w14:paraId="5F2DEA5C"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330</w:t>
            </w:r>
          </w:p>
        </w:tc>
        <w:tc>
          <w:tcPr>
            <w:tcW w:w="941" w:type="dxa"/>
          </w:tcPr>
          <w:p w14:paraId="7F84AEC6"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 xml:space="preserve">9.83 </w:t>
            </w:r>
          </w:p>
        </w:tc>
        <w:tc>
          <w:tcPr>
            <w:tcW w:w="967" w:type="dxa"/>
          </w:tcPr>
          <w:p w14:paraId="2031DC97"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5.81</w:t>
            </w:r>
          </w:p>
        </w:tc>
        <w:tc>
          <w:tcPr>
            <w:tcW w:w="1288" w:type="dxa"/>
          </w:tcPr>
          <w:p w14:paraId="33E84DAB"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185</w:t>
            </w:r>
          </w:p>
        </w:tc>
        <w:tc>
          <w:tcPr>
            <w:tcW w:w="782" w:type="dxa"/>
          </w:tcPr>
          <w:p w14:paraId="71F87787"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6.29</w:t>
            </w:r>
          </w:p>
        </w:tc>
        <w:tc>
          <w:tcPr>
            <w:tcW w:w="1450" w:type="dxa"/>
          </w:tcPr>
          <w:p w14:paraId="640E7126"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5.85</w:t>
            </w:r>
          </w:p>
        </w:tc>
        <w:tc>
          <w:tcPr>
            <w:tcW w:w="1988" w:type="dxa"/>
          </w:tcPr>
          <w:p w14:paraId="1917A96E"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1.00 (0.81, 1.19)</w:t>
            </w:r>
          </w:p>
        </w:tc>
      </w:tr>
      <w:tr w:rsidR="00F776F6" w:rsidRPr="00562D6D" w14:paraId="39823495" w14:textId="77777777" w:rsidTr="007F3C68">
        <w:tc>
          <w:tcPr>
            <w:tcW w:w="1696" w:type="dxa"/>
          </w:tcPr>
          <w:p w14:paraId="0EC4DEF0" w14:textId="77777777"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Adults</w:t>
            </w:r>
          </w:p>
        </w:tc>
        <w:tc>
          <w:tcPr>
            <w:tcW w:w="2554" w:type="dxa"/>
          </w:tcPr>
          <w:p w14:paraId="31A94C3E" w14:textId="0A814009" w:rsidR="00F776F6" w:rsidRPr="00562D6D" w:rsidRDefault="00F776F6" w:rsidP="00D5306E">
            <w:pPr>
              <w:ind w:right="37"/>
              <w:jc w:val="center"/>
              <w:rPr>
                <w:rFonts w:asciiTheme="minorHAnsi" w:hAnsiTheme="minorHAnsi" w:cstheme="minorHAnsi"/>
                <w:sz w:val="16"/>
                <w:szCs w:val="16"/>
              </w:rPr>
            </w:pPr>
            <w:r w:rsidRPr="00562D6D">
              <w:rPr>
                <w:rFonts w:asciiTheme="minorHAnsi" w:hAnsiTheme="minorHAnsi" w:cstheme="minorHAnsi"/>
                <w:sz w:val="16"/>
                <w:szCs w:val="16"/>
              </w:rPr>
              <w:t xml:space="preserve">Supported </w:t>
            </w:r>
            <w:proofErr w:type="spellStart"/>
            <w:r w:rsidRPr="00562D6D">
              <w:rPr>
                <w:rFonts w:asciiTheme="minorHAnsi" w:hAnsiTheme="minorHAnsi" w:cstheme="minorHAnsi"/>
                <w:sz w:val="16"/>
                <w:szCs w:val="16"/>
              </w:rPr>
              <w:t>iCBT</w:t>
            </w:r>
            <w:proofErr w:type="spellEnd"/>
            <w:r w:rsidRPr="00562D6D">
              <w:rPr>
                <w:rFonts w:asciiTheme="minorHAnsi" w:hAnsiTheme="minorHAnsi" w:cstheme="minorHAnsi"/>
                <w:sz w:val="16"/>
                <w:szCs w:val="16"/>
              </w:rPr>
              <w:t xml:space="preserve"> for </w:t>
            </w:r>
            <w:proofErr w:type="spellStart"/>
            <w:r w:rsidRPr="00562D6D">
              <w:rPr>
                <w:rFonts w:asciiTheme="minorHAnsi" w:hAnsiTheme="minorHAnsi" w:cstheme="minorHAnsi"/>
                <w:sz w:val="16"/>
                <w:szCs w:val="16"/>
              </w:rPr>
              <w:t>PD</w:t>
            </w:r>
            <w:r w:rsidR="00C205F2" w:rsidRPr="00562D6D">
              <w:rPr>
                <w:rFonts w:asciiTheme="minorHAnsi" w:hAnsiTheme="minorHAnsi" w:cstheme="minorHAnsi"/>
                <w:sz w:val="16"/>
                <w:szCs w:val="16"/>
                <w:vertAlign w:val="superscript"/>
              </w:rPr>
              <w:t>e</w:t>
            </w:r>
            <w:proofErr w:type="spellEnd"/>
          </w:p>
        </w:tc>
        <w:tc>
          <w:tcPr>
            <w:tcW w:w="1276" w:type="dxa"/>
          </w:tcPr>
          <w:p w14:paraId="46DEC30F"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WHODAS 2.0</w:t>
            </w:r>
          </w:p>
        </w:tc>
        <w:tc>
          <w:tcPr>
            <w:tcW w:w="1090" w:type="dxa"/>
          </w:tcPr>
          <w:p w14:paraId="6AEDFCCD"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330</w:t>
            </w:r>
          </w:p>
        </w:tc>
        <w:tc>
          <w:tcPr>
            <w:tcW w:w="941" w:type="dxa"/>
          </w:tcPr>
          <w:p w14:paraId="470822F5"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23.98</w:t>
            </w:r>
          </w:p>
        </w:tc>
        <w:tc>
          <w:tcPr>
            <w:tcW w:w="967" w:type="dxa"/>
          </w:tcPr>
          <w:p w14:paraId="1E31ECCB"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10.54</w:t>
            </w:r>
          </w:p>
        </w:tc>
        <w:tc>
          <w:tcPr>
            <w:tcW w:w="1288" w:type="dxa"/>
          </w:tcPr>
          <w:p w14:paraId="7C55EEC6"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185</w:t>
            </w:r>
          </w:p>
        </w:tc>
        <w:tc>
          <w:tcPr>
            <w:tcW w:w="782" w:type="dxa"/>
          </w:tcPr>
          <w:p w14:paraId="07B629A1"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20.93</w:t>
            </w:r>
          </w:p>
        </w:tc>
        <w:tc>
          <w:tcPr>
            <w:tcW w:w="1450" w:type="dxa"/>
          </w:tcPr>
          <w:p w14:paraId="7267B72A"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9.39</w:t>
            </w:r>
          </w:p>
        </w:tc>
        <w:tc>
          <w:tcPr>
            <w:tcW w:w="1988" w:type="dxa"/>
          </w:tcPr>
          <w:p w14:paraId="0FEAB082" w14:textId="77777777" w:rsidR="00F776F6" w:rsidRPr="00562D6D" w:rsidRDefault="00F776F6" w:rsidP="00D5306E">
            <w:pPr>
              <w:jc w:val="center"/>
              <w:rPr>
                <w:rFonts w:asciiTheme="minorHAnsi" w:hAnsiTheme="minorHAnsi"/>
                <w:sz w:val="16"/>
                <w:szCs w:val="16"/>
              </w:rPr>
            </w:pPr>
            <w:r w:rsidRPr="00562D6D">
              <w:rPr>
                <w:rFonts w:asciiTheme="minorHAnsi" w:hAnsiTheme="minorHAnsi"/>
                <w:sz w:val="16"/>
                <w:szCs w:val="16"/>
              </w:rPr>
              <w:t>0.45 (0.27, 0.63)</w:t>
            </w:r>
          </w:p>
        </w:tc>
      </w:tr>
      <w:tr w:rsidR="00F776F6" w:rsidRPr="00562D6D" w14:paraId="53872002" w14:textId="77777777" w:rsidTr="007F3C68">
        <w:tc>
          <w:tcPr>
            <w:tcW w:w="1696" w:type="dxa"/>
          </w:tcPr>
          <w:p w14:paraId="53280B4C" w14:textId="77777777" w:rsidR="00F776F6" w:rsidRPr="00562D6D" w:rsidRDefault="00F776F6" w:rsidP="00D5306E">
            <w:pPr>
              <w:ind w:right="37"/>
              <w:jc w:val="center"/>
              <w:rPr>
                <w:rFonts w:asciiTheme="minorHAnsi" w:hAnsiTheme="minorHAnsi" w:cstheme="minorHAnsi"/>
                <w:color w:val="808080" w:themeColor="background1" w:themeShade="80"/>
                <w:sz w:val="16"/>
                <w:szCs w:val="16"/>
              </w:rPr>
            </w:pPr>
            <w:r w:rsidRPr="00562D6D">
              <w:rPr>
                <w:rFonts w:asciiTheme="minorHAnsi" w:hAnsiTheme="minorHAnsi" w:cstheme="minorHAnsi"/>
                <w:sz w:val="16"/>
                <w:szCs w:val="16"/>
              </w:rPr>
              <w:t>Adults</w:t>
            </w:r>
          </w:p>
        </w:tc>
        <w:tc>
          <w:tcPr>
            <w:tcW w:w="2554" w:type="dxa"/>
          </w:tcPr>
          <w:p w14:paraId="42465447" w14:textId="6F150096" w:rsidR="00F776F6" w:rsidRPr="00562D6D" w:rsidRDefault="00F776F6" w:rsidP="00D5306E">
            <w:pPr>
              <w:ind w:right="37"/>
              <w:jc w:val="center"/>
              <w:rPr>
                <w:rFonts w:asciiTheme="minorHAnsi" w:hAnsiTheme="minorHAnsi" w:cstheme="minorHAnsi"/>
                <w:color w:val="808080" w:themeColor="background1" w:themeShade="80"/>
                <w:sz w:val="16"/>
                <w:szCs w:val="16"/>
              </w:rPr>
            </w:pPr>
            <w:r w:rsidRPr="00562D6D">
              <w:rPr>
                <w:rFonts w:asciiTheme="minorHAnsi" w:hAnsiTheme="minorHAnsi" w:cstheme="minorHAnsi"/>
                <w:sz w:val="16"/>
                <w:szCs w:val="16"/>
              </w:rPr>
              <w:t xml:space="preserve">Supported transdiagnostic </w:t>
            </w:r>
            <w:proofErr w:type="spellStart"/>
            <w:r w:rsidRPr="00562D6D">
              <w:rPr>
                <w:rFonts w:asciiTheme="minorHAnsi" w:hAnsiTheme="minorHAnsi" w:cstheme="minorHAnsi"/>
                <w:sz w:val="16"/>
                <w:szCs w:val="16"/>
              </w:rPr>
              <w:t>iCBT</w:t>
            </w:r>
            <w:r w:rsidR="00C205F2" w:rsidRPr="00562D6D">
              <w:rPr>
                <w:rFonts w:asciiTheme="minorHAnsi" w:hAnsiTheme="minorHAnsi" w:cstheme="minorHAnsi"/>
                <w:color w:val="808080" w:themeColor="background1" w:themeShade="80"/>
                <w:sz w:val="16"/>
                <w:szCs w:val="16"/>
                <w:vertAlign w:val="superscript"/>
              </w:rPr>
              <w:t>f</w:t>
            </w:r>
            <w:proofErr w:type="spellEnd"/>
          </w:p>
        </w:tc>
        <w:tc>
          <w:tcPr>
            <w:tcW w:w="0" w:type="auto"/>
          </w:tcPr>
          <w:p w14:paraId="1F1BF053"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K10</w:t>
            </w:r>
          </w:p>
        </w:tc>
        <w:tc>
          <w:tcPr>
            <w:tcW w:w="0" w:type="auto"/>
          </w:tcPr>
          <w:p w14:paraId="0DDF7367"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1005</w:t>
            </w:r>
          </w:p>
        </w:tc>
        <w:tc>
          <w:tcPr>
            <w:tcW w:w="0" w:type="auto"/>
          </w:tcPr>
          <w:p w14:paraId="505AE253"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30.52</w:t>
            </w:r>
          </w:p>
        </w:tc>
        <w:tc>
          <w:tcPr>
            <w:tcW w:w="0" w:type="auto"/>
          </w:tcPr>
          <w:p w14:paraId="49A974ED"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7.61</w:t>
            </w:r>
          </w:p>
        </w:tc>
        <w:tc>
          <w:tcPr>
            <w:tcW w:w="0" w:type="auto"/>
          </w:tcPr>
          <w:p w14:paraId="04F77BB9"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451</w:t>
            </w:r>
          </w:p>
        </w:tc>
        <w:tc>
          <w:tcPr>
            <w:tcW w:w="0" w:type="auto"/>
          </w:tcPr>
          <w:p w14:paraId="25521098"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21.4</w:t>
            </w:r>
          </w:p>
        </w:tc>
        <w:tc>
          <w:tcPr>
            <w:tcW w:w="0" w:type="auto"/>
          </w:tcPr>
          <w:p w14:paraId="58536D63"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7.01</w:t>
            </w:r>
          </w:p>
        </w:tc>
        <w:tc>
          <w:tcPr>
            <w:tcW w:w="0" w:type="auto"/>
          </w:tcPr>
          <w:p w14:paraId="13984476"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d=1.39 (1.27, 1.51)</w:t>
            </w:r>
          </w:p>
        </w:tc>
      </w:tr>
      <w:tr w:rsidR="00F776F6" w:rsidRPr="00562D6D" w14:paraId="168786C3" w14:textId="77777777" w:rsidTr="007F3C68">
        <w:tc>
          <w:tcPr>
            <w:tcW w:w="1696" w:type="dxa"/>
          </w:tcPr>
          <w:p w14:paraId="01E3CEF6" w14:textId="77777777" w:rsidR="00F776F6" w:rsidRPr="00562D6D" w:rsidRDefault="00F776F6" w:rsidP="00D5306E">
            <w:pPr>
              <w:ind w:right="37"/>
              <w:jc w:val="center"/>
              <w:rPr>
                <w:rFonts w:asciiTheme="minorHAnsi" w:hAnsiTheme="minorHAnsi" w:cstheme="minorHAnsi"/>
                <w:color w:val="808080" w:themeColor="background1" w:themeShade="80"/>
                <w:sz w:val="16"/>
                <w:szCs w:val="16"/>
              </w:rPr>
            </w:pPr>
            <w:r w:rsidRPr="00562D6D">
              <w:rPr>
                <w:rFonts w:asciiTheme="minorHAnsi" w:hAnsiTheme="minorHAnsi" w:cstheme="minorHAnsi"/>
                <w:sz w:val="16"/>
                <w:szCs w:val="16"/>
              </w:rPr>
              <w:t>Adults</w:t>
            </w:r>
          </w:p>
        </w:tc>
        <w:tc>
          <w:tcPr>
            <w:tcW w:w="2554" w:type="dxa"/>
          </w:tcPr>
          <w:p w14:paraId="1B876BDE" w14:textId="6F17A4DC" w:rsidR="00F776F6" w:rsidRPr="00562D6D" w:rsidRDefault="00F776F6" w:rsidP="00D5306E">
            <w:pPr>
              <w:ind w:right="37"/>
              <w:jc w:val="center"/>
              <w:rPr>
                <w:rFonts w:asciiTheme="minorHAnsi" w:hAnsiTheme="minorHAnsi" w:cstheme="minorHAnsi"/>
                <w:color w:val="808080" w:themeColor="background1" w:themeShade="80"/>
                <w:sz w:val="16"/>
                <w:szCs w:val="16"/>
              </w:rPr>
            </w:pPr>
            <w:r w:rsidRPr="00562D6D">
              <w:rPr>
                <w:rFonts w:asciiTheme="minorHAnsi" w:hAnsiTheme="minorHAnsi" w:cstheme="minorHAnsi"/>
                <w:sz w:val="16"/>
                <w:szCs w:val="16"/>
              </w:rPr>
              <w:t xml:space="preserve">Supported transdiagnostic </w:t>
            </w:r>
            <w:proofErr w:type="spellStart"/>
            <w:r w:rsidRPr="00562D6D">
              <w:rPr>
                <w:rFonts w:asciiTheme="minorHAnsi" w:hAnsiTheme="minorHAnsi" w:cstheme="minorHAnsi"/>
                <w:sz w:val="16"/>
                <w:szCs w:val="16"/>
              </w:rPr>
              <w:t>iCBT</w:t>
            </w:r>
            <w:r w:rsidR="00C205F2" w:rsidRPr="00562D6D">
              <w:rPr>
                <w:rFonts w:asciiTheme="minorHAnsi" w:hAnsiTheme="minorHAnsi" w:cstheme="minorHAnsi"/>
                <w:color w:val="808080" w:themeColor="background1" w:themeShade="80"/>
                <w:sz w:val="16"/>
                <w:szCs w:val="16"/>
                <w:vertAlign w:val="superscript"/>
              </w:rPr>
              <w:t>f</w:t>
            </w:r>
            <w:proofErr w:type="spellEnd"/>
          </w:p>
        </w:tc>
        <w:tc>
          <w:tcPr>
            <w:tcW w:w="0" w:type="auto"/>
          </w:tcPr>
          <w:p w14:paraId="3541D57B"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GAD-7</w:t>
            </w:r>
          </w:p>
        </w:tc>
        <w:tc>
          <w:tcPr>
            <w:tcW w:w="0" w:type="auto"/>
          </w:tcPr>
          <w:p w14:paraId="39A79225"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1005</w:t>
            </w:r>
          </w:p>
        </w:tc>
        <w:tc>
          <w:tcPr>
            <w:tcW w:w="0" w:type="auto"/>
          </w:tcPr>
          <w:p w14:paraId="6C9E73B3"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12.09</w:t>
            </w:r>
          </w:p>
        </w:tc>
        <w:tc>
          <w:tcPr>
            <w:tcW w:w="0" w:type="auto"/>
          </w:tcPr>
          <w:p w14:paraId="15C98733"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5.07</w:t>
            </w:r>
          </w:p>
        </w:tc>
        <w:tc>
          <w:tcPr>
            <w:tcW w:w="0" w:type="auto"/>
          </w:tcPr>
          <w:p w14:paraId="6F547C07"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451</w:t>
            </w:r>
          </w:p>
        </w:tc>
        <w:tc>
          <w:tcPr>
            <w:tcW w:w="0" w:type="auto"/>
          </w:tcPr>
          <w:p w14:paraId="172703D8"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 xml:space="preserve">6.34 </w:t>
            </w:r>
          </w:p>
        </w:tc>
        <w:tc>
          <w:tcPr>
            <w:tcW w:w="0" w:type="auto"/>
          </w:tcPr>
          <w:p w14:paraId="4ECB2D24"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4.25</w:t>
            </w:r>
          </w:p>
        </w:tc>
        <w:tc>
          <w:tcPr>
            <w:tcW w:w="0" w:type="auto"/>
          </w:tcPr>
          <w:p w14:paraId="638F9658"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d=1.30 (1.17, 1.42)</w:t>
            </w:r>
          </w:p>
        </w:tc>
      </w:tr>
      <w:tr w:rsidR="00F776F6" w:rsidRPr="00562D6D" w14:paraId="548CB5A8" w14:textId="77777777" w:rsidTr="007F3C68">
        <w:tc>
          <w:tcPr>
            <w:tcW w:w="1696" w:type="dxa"/>
          </w:tcPr>
          <w:p w14:paraId="6849A3AE" w14:textId="77777777" w:rsidR="00F776F6" w:rsidRPr="00562D6D" w:rsidRDefault="00F776F6" w:rsidP="00D5306E">
            <w:pPr>
              <w:ind w:right="37"/>
              <w:jc w:val="center"/>
              <w:rPr>
                <w:rFonts w:asciiTheme="minorHAnsi" w:hAnsiTheme="minorHAnsi" w:cstheme="minorHAnsi"/>
                <w:color w:val="808080" w:themeColor="background1" w:themeShade="80"/>
                <w:sz w:val="16"/>
                <w:szCs w:val="16"/>
              </w:rPr>
            </w:pPr>
            <w:r w:rsidRPr="00562D6D">
              <w:rPr>
                <w:rFonts w:asciiTheme="minorHAnsi" w:hAnsiTheme="minorHAnsi" w:cstheme="minorHAnsi"/>
                <w:sz w:val="16"/>
                <w:szCs w:val="16"/>
              </w:rPr>
              <w:t>Adults</w:t>
            </w:r>
          </w:p>
        </w:tc>
        <w:tc>
          <w:tcPr>
            <w:tcW w:w="2554" w:type="dxa"/>
          </w:tcPr>
          <w:p w14:paraId="6C1936EE" w14:textId="5666A2E3" w:rsidR="00F776F6" w:rsidRPr="00562D6D" w:rsidRDefault="00F776F6" w:rsidP="00D5306E">
            <w:pPr>
              <w:ind w:right="37"/>
              <w:jc w:val="center"/>
              <w:rPr>
                <w:rFonts w:asciiTheme="minorHAnsi" w:hAnsiTheme="minorHAnsi" w:cstheme="minorHAnsi"/>
                <w:color w:val="808080" w:themeColor="background1" w:themeShade="80"/>
                <w:sz w:val="16"/>
                <w:szCs w:val="16"/>
              </w:rPr>
            </w:pPr>
            <w:r w:rsidRPr="00562D6D">
              <w:rPr>
                <w:rFonts w:asciiTheme="minorHAnsi" w:hAnsiTheme="minorHAnsi" w:cstheme="minorHAnsi"/>
                <w:sz w:val="16"/>
                <w:szCs w:val="16"/>
              </w:rPr>
              <w:t xml:space="preserve">Supported transdiagnostic </w:t>
            </w:r>
            <w:proofErr w:type="spellStart"/>
            <w:r w:rsidRPr="00562D6D">
              <w:rPr>
                <w:rFonts w:asciiTheme="minorHAnsi" w:hAnsiTheme="minorHAnsi" w:cstheme="minorHAnsi"/>
                <w:sz w:val="16"/>
                <w:szCs w:val="16"/>
              </w:rPr>
              <w:t>iCBT</w:t>
            </w:r>
            <w:r w:rsidR="00C205F2" w:rsidRPr="00562D6D">
              <w:rPr>
                <w:rFonts w:asciiTheme="minorHAnsi" w:hAnsiTheme="minorHAnsi" w:cstheme="minorHAnsi"/>
                <w:color w:val="808080" w:themeColor="background1" w:themeShade="80"/>
                <w:sz w:val="16"/>
                <w:szCs w:val="16"/>
                <w:vertAlign w:val="superscript"/>
              </w:rPr>
              <w:t>f</w:t>
            </w:r>
            <w:proofErr w:type="spellEnd"/>
          </w:p>
        </w:tc>
        <w:tc>
          <w:tcPr>
            <w:tcW w:w="0" w:type="auto"/>
          </w:tcPr>
          <w:p w14:paraId="1E5D37CF"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PHQ-9</w:t>
            </w:r>
          </w:p>
        </w:tc>
        <w:tc>
          <w:tcPr>
            <w:tcW w:w="0" w:type="auto"/>
          </w:tcPr>
          <w:p w14:paraId="7932B0AD"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1005</w:t>
            </w:r>
          </w:p>
        </w:tc>
        <w:tc>
          <w:tcPr>
            <w:tcW w:w="0" w:type="auto"/>
          </w:tcPr>
          <w:p w14:paraId="28B0CAB2"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14.26</w:t>
            </w:r>
          </w:p>
        </w:tc>
        <w:tc>
          <w:tcPr>
            <w:tcW w:w="0" w:type="auto"/>
          </w:tcPr>
          <w:p w14:paraId="215CCD3B"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6.34</w:t>
            </w:r>
          </w:p>
        </w:tc>
        <w:tc>
          <w:tcPr>
            <w:tcW w:w="0" w:type="auto"/>
          </w:tcPr>
          <w:p w14:paraId="003A1D9D"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451</w:t>
            </w:r>
          </w:p>
        </w:tc>
        <w:tc>
          <w:tcPr>
            <w:tcW w:w="0" w:type="auto"/>
          </w:tcPr>
          <w:p w14:paraId="508EC6F5"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8.06</w:t>
            </w:r>
          </w:p>
        </w:tc>
        <w:tc>
          <w:tcPr>
            <w:tcW w:w="0" w:type="auto"/>
          </w:tcPr>
          <w:p w14:paraId="10738451"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5.52</w:t>
            </w:r>
          </w:p>
        </w:tc>
        <w:tc>
          <w:tcPr>
            <w:tcW w:w="0" w:type="auto"/>
          </w:tcPr>
          <w:p w14:paraId="3AA7DB16"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d=1.15 (1.03, 1.27)</w:t>
            </w:r>
          </w:p>
        </w:tc>
      </w:tr>
      <w:tr w:rsidR="00F776F6" w:rsidRPr="00F77343" w14:paraId="521B8768" w14:textId="77777777" w:rsidTr="007F3C68">
        <w:tc>
          <w:tcPr>
            <w:tcW w:w="1696" w:type="dxa"/>
          </w:tcPr>
          <w:p w14:paraId="3521BFA1" w14:textId="77777777" w:rsidR="00F776F6" w:rsidRPr="00562D6D" w:rsidRDefault="00F776F6" w:rsidP="00D5306E">
            <w:pPr>
              <w:ind w:right="37"/>
              <w:jc w:val="center"/>
              <w:rPr>
                <w:rFonts w:asciiTheme="minorHAnsi" w:hAnsiTheme="minorHAnsi" w:cstheme="minorHAnsi"/>
                <w:color w:val="808080" w:themeColor="background1" w:themeShade="80"/>
                <w:sz w:val="16"/>
                <w:szCs w:val="16"/>
              </w:rPr>
            </w:pPr>
            <w:r w:rsidRPr="00562D6D">
              <w:rPr>
                <w:rFonts w:asciiTheme="minorHAnsi" w:hAnsiTheme="minorHAnsi" w:cstheme="minorHAnsi"/>
                <w:sz w:val="16"/>
                <w:szCs w:val="16"/>
              </w:rPr>
              <w:t>Adults</w:t>
            </w:r>
          </w:p>
        </w:tc>
        <w:tc>
          <w:tcPr>
            <w:tcW w:w="2554" w:type="dxa"/>
          </w:tcPr>
          <w:p w14:paraId="6AC155E8" w14:textId="6B61CD13" w:rsidR="00F776F6" w:rsidRPr="00562D6D" w:rsidRDefault="00F776F6" w:rsidP="00D5306E">
            <w:pPr>
              <w:ind w:right="37"/>
              <w:jc w:val="center"/>
              <w:rPr>
                <w:rFonts w:asciiTheme="minorHAnsi" w:hAnsiTheme="minorHAnsi" w:cstheme="minorHAnsi"/>
                <w:color w:val="808080" w:themeColor="background1" w:themeShade="80"/>
                <w:sz w:val="16"/>
                <w:szCs w:val="16"/>
              </w:rPr>
            </w:pPr>
            <w:r w:rsidRPr="00562D6D">
              <w:rPr>
                <w:rFonts w:asciiTheme="minorHAnsi" w:hAnsiTheme="minorHAnsi" w:cstheme="minorHAnsi"/>
                <w:sz w:val="16"/>
                <w:szCs w:val="16"/>
              </w:rPr>
              <w:t xml:space="preserve">Supported transdiagnostic </w:t>
            </w:r>
            <w:proofErr w:type="spellStart"/>
            <w:r w:rsidRPr="00562D6D">
              <w:rPr>
                <w:rFonts w:asciiTheme="minorHAnsi" w:hAnsiTheme="minorHAnsi" w:cstheme="minorHAnsi"/>
                <w:sz w:val="16"/>
                <w:szCs w:val="16"/>
              </w:rPr>
              <w:t>iCBT</w:t>
            </w:r>
            <w:r w:rsidR="00C205F2" w:rsidRPr="00562D6D">
              <w:rPr>
                <w:rFonts w:asciiTheme="minorHAnsi" w:hAnsiTheme="minorHAnsi" w:cstheme="minorHAnsi"/>
                <w:color w:val="808080" w:themeColor="background1" w:themeShade="80"/>
                <w:sz w:val="16"/>
                <w:szCs w:val="16"/>
                <w:vertAlign w:val="superscript"/>
              </w:rPr>
              <w:t>f</w:t>
            </w:r>
            <w:proofErr w:type="spellEnd"/>
          </w:p>
        </w:tc>
        <w:tc>
          <w:tcPr>
            <w:tcW w:w="0" w:type="auto"/>
          </w:tcPr>
          <w:p w14:paraId="16099DFE"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WHODAS 2.0</w:t>
            </w:r>
          </w:p>
        </w:tc>
        <w:tc>
          <w:tcPr>
            <w:tcW w:w="0" w:type="auto"/>
          </w:tcPr>
          <w:p w14:paraId="09FEE4A8"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1005</w:t>
            </w:r>
          </w:p>
        </w:tc>
        <w:tc>
          <w:tcPr>
            <w:tcW w:w="0" w:type="auto"/>
          </w:tcPr>
          <w:p w14:paraId="1296AA2C"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28.04</w:t>
            </w:r>
          </w:p>
        </w:tc>
        <w:tc>
          <w:tcPr>
            <w:tcW w:w="0" w:type="auto"/>
          </w:tcPr>
          <w:p w14:paraId="390B02BF"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8.94</w:t>
            </w:r>
          </w:p>
        </w:tc>
        <w:tc>
          <w:tcPr>
            <w:tcW w:w="0" w:type="auto"/>
          </w:tcPr>
          <w:p w14:paraId="76752C08"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451</w:t>
            </w:r>
          </w:p>
        </w:tc>
        <w:tc>
          <w:tcPr>
            <w:tcW w:w="0" w:type="auto"/>
          </w:tcPr>
          <w:p w14:paraId="08271629"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23.31</w:t>
            </w:r>
          </w:p>
        </w:tc>
        <w:tc>
          <w:tcPr>
            <w:tcW w:w="0" w:type="auto"/>
          </w:tcPr>
          <w:p w14:paraId="5E89E20F"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8.94</w:t>
            </w:r>
          </w:p>
        </w:tc>
        <w:tc>
          <w:tcPr>
            <w:tcW w:w="0" w:type="auto"/>
          </w:tcPr>
          <w:p w14:paraId="6AB23802" w14:textId="77777777" w:rsidR="00F776F6" w:rsidRPr="00562D6D" w:rsidRDefault="00F776F6" w:rsidP="00D5306E">
            <w:pPr>
              <w:jc w:val="center"/>
              <w:rPr>
                <w:rFonts w:asciiTheme="minorHAnsi" w:hAnsiTheme="minorHAnsi"/>
                <w:color w:val="000000" w:themeColor="text1"/>
                <w:sz w:val="16"/>
                <w:szCs w:val="16"/>
              </w:rPr>
            </w:pPr>
            <w:r w:rsidRPr="00562D6D">
              <w:rPr>
                <w:rFonts w:asciiTheme="minorHAnsi" w:hAnsiTheme="minorHAnsi"/>
                <w:color w:val="000000" w:themeColor="text1"/>
                <w:sz w:val="16"/>
                <w:szCs w:val="16"/>
              </w:rPr>
              <w:t>d=0.63 (0.51, 0.74)</w:t>
            </w:r>
          </w:p>
        </w:tc>
      </w:tr>
    </w:tbl>
    <w:p w14:paraId="73A95F2F" w14:textId="2FA559EC" w:rsidR="00691ADF" w:rsidRPr="008D075E" w:rsidRDefault="00691ADF" w:rsidP="00D5306E">
      <w:pPr>
        <w:pStyle w:val="ANorm"/>
        <w:rPr>
          <w:sz w:val="15"/>
          <w:szCs w:val="15"/>
        </w:rPr>
      </w:pPr>
      <w:r w:rsidRPr="00525B23">
        <w:rPr>
          <w:sz w:val="15"/>
          <w:szCs w:val="15"/>
        </w:rPr>
        <w:t xml:space="preserve">CI, confidence interval; </w:t>
      </w:r>
      <w:r w:rsidR="00D469AC" w:rsidRPr="00525B23">
        <w:rPr>
          <w:sz w:val="15"/>
          <w:szCs w:val="15"/>
        </w:rPr>
        <w:t>GAD, Generalised Anxiety Disorder</w:t>
      </w:r>
      <w:r w:rsidR="00D469AC">
        <w:rPr>
          <w:sz w:val="15"/>
          <w:szCs w:val="15"/>
        </w:rPr>
        <w:t>;</w:t>
      </w:r>
      <w:r w:rsidRPr="00525B23">
        <w:rPr>
          <w:sz w:val="15"/>
          <w:szCs w:val="15"/>
        </w:rPr>
        <w:t xml:space="preserve"> Generalised Anxiety Disorder 7-item Scale; </w:t>
      </w:r>
      <w:proofErr w:type="spellStart"/>
      <w:r w:rsidRPr="00525B23">
        <w:rPr>
          <w:sz w:val="15"/>
          <w:szCs w:val="15"/>
        </w:rPr>
        <w:t>iCBT</w:t>
      </w:r>
      <w:proofErr w:type="spellEnd"/>
      <w:r w:rsidRPr="00525B23">
        <w:rPr>
          <w:sz w:val="15"/>
          <w:szCs w:val="15"/>
        </w:rPr>
        <w:t>, internet cognitive behavioural therapy; K10, Kessler Psychological Distress 10-Item Scale</w:t>
      </w:r>
      <w:r w:rsidRPr="009E369B">
        <w:rPr>
          <w:sz w:val="15"/>
          <w:szCs w:val="15"/>
        </w:rPr>
        <w:t xml:space="preserve">; </w:t>
      </w:r>
      <w:r w:rsidR="00394C39" w:rsidRPr="00DA2DD0">
        <w:rPr>
          <w:rFonts w:asciiTheme="minorHAnsi" w:hAnsiTheme="minorHAnsi"/>
          <w:sz w:val="16"/>
          <w:szCs w:val="16"/>
        </w:rPr>
        <w:t>Mini-SPIN</w:t>
      </w:r>
      <w:r w:rsidR="00A200A0" w:rsidRPr="00DA2DD0">
        <w:rPr>
          <w:rFonts w:asciiTheme="minorHAnsi" w:hAnsiTheme="minorHAnsi"/>
          <w:sz w:val="16"/>
          <w:szCs w:val="16"/>
        </w:rPr>
        <w:t xml:space="preserve">, </w:t>
      </w:r>
      <w:r w:rsidR="00DA2DD0" w:rsidRPr="00DA2DD0">
        <w:rPr>
          <w:rFonts w:asciiTheme="minorHAnsi" w:hAnsiTheme="minorHAnsi"/>
          <w:sz w:val="16"/>
          <w:szCs w:val="16"/>
        </w:rPr>
        <w:t>Mini-Social Phobia Inventory</w:t>
      </w:r>
      <w:r w:rsidR="00A200A0">
        <w:rPr>
          <w:rFonts w:asciiTheme="minorHAnsi" w:hAnsiTheme="minorHAnsi"/>
          <w:sz w:val="16"/>
          <w:szCs w:val="16"/>
        </w:rPr>
        <w:t>;</w:t>
      </w:r>
      <w:r w:rsidR="00394C39">
        <w:rPr>
          <w:sz w:val="15"/>
          <w:szCs w:val="15"/>
        </w:rPr>
        <w:t xml:space="preserve"> </w:t>
      </w:r>
      <w:r w:rsidR="007F23BC">
        <w:rPr>
          <w:sz w:val="15"/>
          <w:szCs w:val="15"/>
        </w:rPr>
        <w:t xml:space="preserve">M, mean; </w:t>
      </w:r>
      <w:r w:rsidR="00665B72">
        <w:rPr>
          <w:sz w:val="15"/>
          <w:szCs w:val="15"/>
        </w:rPr>
        <w:t xml:space="preserve">N, frequency; </w:t>
      </w:r>
      <w:r w:rsidRPr="009E369B">
        <w:rPr>
          <w:sz w:val="15"/>
          <w:szCs w:val="15"/>
        </w:rPr>
        <w:t xml:space="preserve">N/A, not applicable (because post-treatment </w:t>
      </w:r>
      <w:r w:rsidRPr="00C56E44">
        <w:rPr>
          <w:sz w:val="15"/>
          <w:szCs w:val="15"/>
        </w:rPr>
        <w:t xml:space="preserve">score is only for a subset of consumers with baseline scores); </w:t>
      </w:r>
      <w:r w:rsidR="00502D22" w:rsidRPr="00C56E44">
        <w:rPr>
          <w:sz w:val="15"/>
          <w:szCs w:val="15"/>
        </w:rPr>
        <w:t xml:space="preserve">PD, panic disorder; </w:t>
      </w:r>
      <w:r w:rsidR="00BD0DC4">
        <w:rPr>
          <w:sz w:val="15"/>
          <w:szCs w:val="15"/>
        </w:rPr>
        <w:t>PDSS</w:t>
      </w:r>
      <w:r w:rsidR="00DE3445">
        <w:rPr>
          <w:sz w:val="15"/>
          <w:szCs w:val="15"/>
        </w:rPr>
        <w:t xml:space="preserve">-SR, </w:t>
      </w:r>
      <w:r w:rsidRPr="00C56E44">
        <w:rPr>
          <w:sz w:val="15"/>
          <w:szCs w:val="15"/>
        </w:rPr>
        <w:t>PHQ-9, Patient Health Questionnaire-9;</w:t>
      </w:r>
      <w:r w:rsidR="007F23BC" w:rsidRPr="00C56E44">
        <w:rPr>
          <w:sz w:val="15"/>
          <w:szCs w:val="15"/>
        </w:rPr>
        <w:t xml:space="preserve"> </w:t>
      </w:r>
      <w:r w:rsidRPr="00C56E44">
        <w:rPr>
          <w:sz w:val="15"/>
          <w:szCs w:val="15"/>
        </w:rPr>
        <w:t>Post, post-treatment (</w:t>
      </w:r>
      <w:r w:rsidR="008D075E" w:rsidRPr="00C56E44">
        <w:rPr>
          <w:sz w:val="15"/>
          <w:szCs w:val="15"/>
        </w:rPr>
        <w:t>6</w:t>
      </w:r>
      <w:r w:rsidRPr="00C56E44">
        <w:rPr>
          <w:sz w:val="15"/>
          <w:szCs w:val="15"/>
        </w:rPr>
        <w:t xml:space="preserve"> modules); </w:t>
      </w:r>
      <w:r w:rsidR="00394C39" w:rsidRPr="00C56E44">
        <w:rPr>
          <w:sz w:val="15"/>
          <w:szCs w:val="15"/>
        </w:rPr>
        <w:t xml:space="preserve">SAD, social anxiety disorder; </w:t>
      </w:r>
      <w:r w:rsidRPr="00C56E44">
        <w:rPr>
          <w:sz w:val="15"/>
          <w:szCs w:val="15"/>
        </w:rPr>
        <w:t>SD, standard deviation</w:t>
      </w:r>
      <w:r w:rsidR="00665B72" w:rsidRPr="00C56E44">
        <w:rPr>
          <w:sz w:val="15"/>
          <w:szCs w:val="15"/>
        </w:rPr>
        <w:t>; SE, standard error</w:t>
      </w:r>
      <w:r w:rsidR="00394C39" w:rsidRPr="00C56E44">
        <w:rPr>
          <w:sz w:val="15"/>
          <w:szCs w:val="15"/>
        </w:rPr>
        <w:t>; WHODAS</w:t>
      </w:r>
      <w:r w:rsidR="008D2928" w:rsidRPr="00C56E44">
        <w:rPr>
          <w:sz w:val="15"/>
          <w:szCs w:val="15"/>
        </w:rPr>
        <w:t xml:space="preserve"> 2</w:t>
      </w:r>
      <w:r w:rsidR="00394C39" w:rsidRPr="00C56E44">
        <w:rPr>
          <w:sz w:val="15"/>
          <w:szCs w:val="15"/>
        </w:rPr>
        <w:t xml:space="preserve">, </w:t>
      </w:r>
      <w:r w:rsidR="00C56E44" w:rsidRPr="00C56E44">
        <w:rPr>
          <w:sz w:val="15"/>
          <w:szCs w:val="15"/>
        </w:rPr>
        <w:t>World Health Organization Disability Assessment</w:t>
      </w:r>
      <w:r w:rsidR="00FE2E84">
        <w:rPr>
          <w:sz w:val="15"/>
          <w:szCs w:val="15"/>
        </w:rPr>
        <w:t xml:space="preserve"> </w:t>
      </w:r>
      <w:r w:rsidR="00C56E44" w:rsidRPr="00C56E44">
        <w:rPr>
          <w:sz w:val="15"/>
          <w:szCs w:val="15"/>
        </w:rPr>
        <w:t>Schedule-II</w:t>
      </w:r>
      <w:r w:rsidRPr="009E369B">
        <w:rPr>
          <w:sz w:val="15"/>
          <w:szCs w:val="15"/>
        </w:rPr>
        <w:t>.</w:t>
      </w:r>
    </w:p>
    <w:p w14:paraId="05D3EA5C" w14:textId="77777777" w:rsidR="000D226D" w:rsidRPr="003169C8" w:rsidRDefault="000D226D" w:rsidP="00D5306E">
      <w:pPr>
        <w:pStyle w:val="ANorm"/>
        <w:rPr>
          <w:rFonts w:asciiTheme="minorHAnsi" w:hAnsiTheme="minorHAnsi" w:cstheme="minorHAnsi"/>
          <w:sz w:val="16"/>
          <w:szCs w:val="16"/>
        </w:rPr>
      </w:pPr>
      <w:proofErr w:type="spellStart"/>
      <w:r w:rsidRPr="003169C8">
        <w:rPr>
          <w:rFonts w:asciiTheme="minorHAnsi" w:hAnsiTheme="minorHAnsi" w:cstheme="minorHAnsi"/>
          <w:sz w:val="16"/>
          <w:szCs w:val="16"/>
          <w:vertAlign w:val="superscript"/>
        </w:rPr>
        <w:t>a</w:t>
      </w:r>
      <w:r w:rsidRPr="003169C8">
        <w:rPr>
          <w:rFonts w:asciiTheme="minorHAnsi" w:hAnsiTheme="minorHAnsi" w:cstheme="minorHAnsi"/>
          <w:sz w:val="16"/>
          <w:szCs w:val="16"/>
        </w:rPr>
        <w:t>Data</w:t>
      </w:r>
      <w:proofErr w:type="spellEnd"/>
      <w:r w:rsidRPr="003169C8">
        <w:rPr>
          <w:rFonts w:asciiTheme="minorHAnsi" w:hAnsiTheme="minorHAnsi" w:cstheme="minorHAnsi"/>
          <w:sz w:val="16"/>
          <w:szCs w:val="16"/>
        </w:rPr>
        <w:t xml:space="preserve"> directly provided by THIS WAY UP, all treatment courses, July 2015 – December 2021. For each 6-month period, the mean and SD of each outcome were provided, as well as the number of people used to calculate these. We used the 6-month means to calculate a grand (overall) </w:t>
      </w:r>
      <w:r w:rsidRPr="007F70A6">
        <w:rPr>
          <w:rFonts w:asciiTheme="minorHAnsi" w:hAnsiTheme="minorHAnsi" w:cstheme="minorHAnsi"/>
          <w:sz w:val="16"/>
          <w:szCs w:val="16"/>
        </w:rPr>
        <w:t>weighted mean. Using this approach, more weight is given to means from later time periods where there were more people. The SDs for the 6-month periods varied little over the total time available (e.g., for baseline PHQ-9 from a minimum of 5.2 to a maximum of 6.5). The weighted average of the SDs was therefore also estimated to give an indication of the typical SD for a 6-month period.</w:t>
      </w:r>
    </w:p>
    <w:p w14:paraId="2DD27E86" w14:textId="055D46EE" w:rsidR="000D226D" w:rsidRPr="003169C8" w:rsidRDefault="000D226D" w:rsidP="00D5306E">
      <w:pPr>
        <w:autoSpaceDE w:val="0"/>
        <w:autoSpaceDN w:val="0"/>
        <w:adjustRightInd w:val="0"/>
        <w:rPr>
          <w:rFonts w:asciiTheme="minorHAnsi" w:hAnsiTheme="minorHAnsi" w:cstheme="minorHAnsi"/>
          <w:sz w:val="16"/>
          <w:szCs w:val="16"/>
        </w:rPr>
      </w:pPr>
      <w:proofErr w:type="spellStart"/>
      <w:r w:rsidRPr="00D511EE">
        <w:rPr>
          <w:rFonts w:asciiTheme="minorHAnsi" w:hAnsiTheme="minorHAnsi" w:cstheme="minorHAnsi"/>
          <w:sz w:val="16"/>
          <w:szCs w:val="16"/>
          <w:vertAlign w:val="superscript"/>
        </w:rPr>
        <w:t>b</w:t>
      </w:r>
      <w:r w:rsidRPr="00D511EE">
        <w:rPr>
          <w:rFonts w:asciiTheme="minorHAnsi" w:hAnsiTheme="minorHAnsi" w:cstheme="minorHAnsi"/>
          <w:sz w:val="16"/>
          <w:szCs w:val="16"/>
        </w:rPr>
        <w:t>Sourced</w:t>
      </w:r>
      <w:proofErr w:type="spellEnd"/>
      <w:r w:rsidRPr="00D511EE">
        <w:rPr>
          <w:rFonts w:asciiTheme="minorHAnsi" w:hAnsiTheme="minorHAnsi" w:cstheme="minorHAnsi"/>
          <w:sz w:val="16"/>
          <w:szCs w:val="16"/>
        </w:rPr>
        <w:t xml:space="preserve"> from Hobbs </w:t>
      </w:r>
      <w:r w:rsidR="0065750D" w:rsidRPr="00D511EE">
        <w:rPr>
          <w:rFonts w:asciiTheme="minorHAnsi" w:hAnsiTheme="minorHAnsi" w:cstheme="minorHAnsi"/>
          <w:sz w:val="16"/>
          <w:szCs w:val="16"/>
        </w:rPr>
        <w:t>et al</w:t>
      </w:r>
      <w:r w:rsidRPr="00D511EE">
        <w:rPr>
          <w:rFonts w:asciiTheme="minorHAnsi" w:hAnsiTheme="minorHAnsi" w:cstheme="minorHAnsi"/>
          <w:sz w:val="16"/>
          <w:szCs w:val="16"/>
        </w:rPr>
        <w:t xml:space="preserve"> </w:t>
      </w:r>
      <w:r w:rsidRPr="003169C8">
        <w:rPr>
          <w:rFonts w:asciiTheme="minorHAnsi" w:hAnsiTheme="minorHAnsi" w:cstheme="minorHAnsi"/>
          <w:sz w:val="16"/>
          <w:szCs w:val="16"/>
        </w:rPr>
        <w:t xml:space="preserve">(2017) investigation of age-related differences in presentation, adherence and effects of </w:t>
      </w:r>
      <w:proofErr w:type="spellStart"/>
      <w:r w:rsidRPr="003169C8">
        <w:rPr>
          <w:rFonts w:asciiTheme="minorHAnsi" w:hAnsiTheme="minorHAnsi" w:cstheme="minorHAnsi"/>
          <w:sz w:val="16"/>
          <w:szCs w:val="16"/>
        </w:rPr>
        <w:t>iCBT</w:t>
      </w:r>
      <w:proofErr w:type="spellEnd"/>
      <w:r w:rsidRPr="003169C8">
        <w:rPr>
          <w:rFonts w:asciiTheme="minorHAnsi" w:hAnsiTheme="minorHAnsi" w:cstheme="minorHAnsi"/>
          <w:sz w:val="16"/>
          <w:szCs w:val="16"/>
        </w:rPr>
        <w:t xml:space="preserve"> for GAD among patients in routine clinical care.</w:t>
      </w:r>
      <w:r w:rsidR="00B81CB1">
        <w:rPr>
          <w:rFonts w:asciiTheme="minorHAnsi" w:hAnsiTheme="minorHAnsi" w:cstheme="minorHAnsi"/>
          <w:sz w:val="16"/>
          <w:szCs w:val="16"/>
        </w:rPr>
        <w:fldChar w:fldCharType="begin"/>
      </w:r>
      <w:r w:rsidR="004469A2">
        <w:rPr>
          <w:rFonts w:asciiTheme="minorHAnsi" w:hAnsiTheme="minorHAnsi" w:cstheme="minorHAnsi"/>
          <w:sz w:val="16"/>
          <w:szCs w:val="16"/>
        </w:rPr>
        <w:instrText xml:space="preserve"> ADDIN EN.CITE &lt;EndNote&gt;&lt;Cite&gt;&lt;Author&gt;Hobbs&lt;/Author&gt;&lt;Year&gt;2017&lt;/Year&gt;&lt;RecNum&gt;191&lt;/RecNum&gt;&lt;DisplayText&gt;&lt;style face="superscript"&gt;51&lt;/style&gt;&lt;/DisplayText&gt;&lt;record&gt;&lt;rec-number&gt;191&lt;/rec-number&gt;&lt;foreign-keys&gt;&lt;key app="EN" db-id="dawtr0zrkrzfa5edzzlpe2we0xa00t90vvr2" timestamp="1655693350"&gt;191&lt;/key&gt;&lt;/foreign-keys&gt;&lt;ref-type name="Journal Article"&gt;17&lt;/ref-type&gt;&lt;contributors&gt;&lt;authors&gt;&lt;author&gt;Hobbs, Megan J&lt;/author&gt;&lt;author&gt;Mahoney, Alison EJ&lt;/author&gt;&lt;author&gt;Andrews, Gavin&lt;/author&gt;&lt;/authors&gt;&lt;/contributors&gt;&lt;titles&gt;&lt;title&gt;Integrating iCBT for generalized anxiety disorder into routine clinical care: treatment effects across the adult lifespan&lt;/title&gt;&lt;secondary-title&gt;Journal of Anxiety Disorders&lt;/secondary-title&gt;&lt;/titles&gt;&lt;periodical&gt;&lt;full-title&gt;Journal of anxiety disorders&lt;/full-title&gt;&lt;/periodical&gt;&lt;pages&gt;47-54&lt;/pages&gt;&lt;volume&gt;51&lt;/volume&gt;&lt;dates&gt;&lt;year&gt;2017&lt;/year&gt;&lt;/dates&gt;&lt;isbn&gt;0887-6185&lt;/isbn&gt;&lt;urls&gt;&lt;/urls&gt;&lt;/record&gt;&lt;/Cite&gt;&lt;/EndNote&gt;</w:instrText>
      </w:r>
      <w:r w:rsidR="00B81CB1">
        <w:rPr>
          <w:rFonts w:asciiTheme="minorHAnsi" w:hAnsiTheme="minorHAnsi" w:cstheme="minorHAnsi"/>
          <w:sz w:val="16"/>
          <w:szCs w:val="16"/>
        </w:rPr>
        <w:fldChar w:fldCharType="separate"/>
      </w:r>
      <w:r w:rsidR="004469A2" w:rsidRPr="004469A2">
        <w:rPr>
          <w:rFonts w:asciiTheme="minorHAnsi" w:hAnsiTheme="minorHAnsi" w:cstheme="minorHAnsi"/>
          <w:noProof/>
          <w:sz w:val="16"/>
          <w:szCs w:val="16"/>
          <w:vertAlign w:val="superscript"/>
        </w:rPr>
        <w:t>51</w:t>
      </w:r>
      <w:r w:rsidR="00B81CB1">
        <w:rPr>
          <w:rFonts w:asciiTheme="minorHAnsi" w:hAnsiTheme="minorHAnsi" w:cstheme="minorHAnsi"/>
          <w:sz w:val="16"/>
          <w:szCs w:val="16"/>
        </w:rPr>
        <w:fldChar w:fldCharType="end"/>
      </w:r>
    </w:p>
    <w:p w14:paraId="333505D5" w14:textId="56A6570B" w:rsidR="003169C8" w:rsidRPr="003169C8" w:rsidRDefault="004919E6" w:rsidP="00D5306E">
      <w:pPr>
        <w:rPr>
          <w:rFonts w:asciiTheme="minorHAnsi" w:hAnsiTheme="minorHAnsi" w:cstheme="minorHAnsi"/>
          <w:sz w:val="16"/>
          <w:szCs w:val="16"/>
        </w:rPr>
      </w:pPr>
      <w:proofErr w:type="spellStart"/>
      <w:r w:rsidRPr="0066391F">
        <w:rPr>
          <w:rFonts w:asciiTheme="minorHAnsi" w:hAnsiTheme="minorHAnsi" w:cstheme="minorHAnsi"/>
          <w:sz w:val="16"/>
          <w:szCs w:val="16"/>
          <w:vertAlign w:val="superscript"/>
        </w:rPr>
        <w:t>c</w:t>
      </w:r>
      <w:r w:rsidR="003169C8" w:rsidRPr="0066391F">
        <w:rPr>
          <w:rFonts w:asciiTheme="minorHAnsi" w:hAnsiTheme="minorHAnsi" w:cstheme="minorHAnsi"/>
          <w:sz w:val="16"/>
          <w:szCs w:val="16"/>
        </w:rPr>
        <w:t>Sourced</w:t>
      </w:r>
      <w:proofErr w:type="spellEnd"/>
      <w:r w:rsidR="003169C8" w:rsidRPr="0066391F">
        <w:rPr>
          <w:rFonts w:asciiTheme="minorHAnsi" w:hAnsiTheme="minorHAnsi" w:cstheme="minorHAnsi"/>
          <w:sz w:val="16"/>
          <w:szCs w:val="16"/>
        </w:rPr>
        <w:t xml:space="preserve"> from Hobbs </w:t>
      </w:r>
      <w:r w:rsidR="0065750D">
        <w:rPr>
          <w:rFonts w:asciiTheme="minorHAnsi" w:hAnsiTheme="minorHAnsi" w:cstheme="minorHAnsi"/>
          <w:sz w:val="16"/>
          <w:szCs w:val="16"/>
        </w:rPr>
        <w:t>et al</w:t>
      </w:r>
      <w:r w:rsidR="003169C8" w:rsidRPr="0066391F">
        <w:rPr>
          <w:rFonts w:asciiTheme="minorHAnsi" w:hAnsiTheme="minorHAnsi" w:cstheme="minorHAnsi"/>
          <w:sz w:val="16"/>
          <w:szCs w:val="16"/>
        </w:rPr>
        <w:t xml:space="preserve"> </w:t>
      </w:r>
      <w:r w:rsidR="003169C8" w:rsidRPr="003169C8">
        <w:rPr>
          <w:rFonts w:asciiTheme="minorHAnsi" w:hAnsiTheme="minorHAnsi" w:cstheme="minorHAnsi"/>
          <w:sz w:val="16"/>
          <w:szCs w:val="16"/>
        </w:rPr>
        <w:t>(2018) examin</w:t>
      </w:r>
      <w:r w:rsidR="006262CD">
        <w:rPr>
          <w:rFonts w:asciiTheme="minorHAnsi" w:hAnsiTheme="minorHAnsi" w:cstheme="minorHAnsi"/>
          <w:sz w:val="16"/>
          <w:szCs w:val="16"/>
        </w:rPr>
        <w:t>ation of</w:t>
      </w:r>
      <w:r w:rsidR="003169C8" w:rsidRPr="003169C8">
        <w:rPr>
          <w:rFonts w:asciiTheme="minorHAnsi" w:hAnsiTheme="minorHAnsi" w:cstheme="minorHAnsi"/>
          <w:color w:val="000000"/>
          <w:sz w:val="16"/>
          <w:szCs w:val="16"/>
        </w:rPr>
        <w:t xml:space="preserve"> effects of </w:t>
      </w:r>
      <w:proofErr w:type="spellStart"/>
      <w:r w:rsidR="003169C8" w:rsidRPr="003169C8">
        <w:rPr>
          <w:rFonts w:asciiTheme="minorHAnsi" w:hAnsiTheme="minorHAnsi" w:cstheme="minorHAnsi"/>
          <w:color w:val="000000"/>
          <w:sz w:val="16"/>
          <w:szCs w:val="16"/>
        </w:rPr>
        <w:t>iCBT</w:t>
      </w:r>
      <w:proofErr w:type="spellEnd"/>
      <w:r w:rsidR="003169C8" w:rsidRPr="003169C8">
        <w:rPr>
          <w:rFonts w:asciiTheme="minorHAnsi" w:hAnsiTheme="minorHAnsi" w:cstheme="minorHAnsi"/>
          <w:color w:val="000000"/>
          <w:sz w:val="16"/>
          <w:szCs w:val="16"/>
        </w:rPr>
        <w:t xml:space="preserve"> for depression across adult lifespan among patients seeking help in routine clinical care.</w:t>
      </w:r>
      <w:r w:rsidR="00B81CB1">
        <w:rPr>
          <w:rFonts w:asciiTheme="minorHAnsi" w:hAnsiTheme="minorHAnsi" w:cstheme="minorHAnsi"/>
          <w:sz w:val="16"/>
          <w:szCs w:val="16"/>
        </w:rPr>
        <w:fldChar w:fldCharType="begin"/>
      </w:r>
      <w:r w:rsidR="004469A2">
        <w:rPr>
          <w:rFonts w:asciiTheme="minorHAnsi" w:hAnsiTheme="minorHAnsi" w:cstheme="minorHAnsi"/>
          <w:sz w:val="16"/>
          <w:szCs w:val="16"/>
        </w:rPr>
        <w:instrText xml:space="preserve"> ADDIN EN.CITE &lt;EndNote&gt;&lt;Cite&gt;&lt;Author&gt;Hobbs&lt;/Author&gt;&lt;Year&gt;2018&lt;/Year&gt;&lt;RecNum&gt;192&lt;/RecNum&gt;&lt;DisplayText&gt;&lt;style face="superscript"&gt;50&lt;/style&gt;&lt;/DisplayText&gt;&lt;record&gt;&lt;rec-number&gt;192&lt;/rec-number&gt;&lt;foreign-keys&gt;&lt;key app="EN" db-id="dawtr0zrkrzfa5edzzlpe2we0xa00t90vvr2" timestamp="1655693422"&gt;192&lt;/key&gt;&lt;/foreign-keys&gt;&lt;ref-type name="Journal Article"&gt;17&lt;/ref-type&gt;&lt;contributors&gt;&lt;authors&gt;&lt;author&gt;Hobbs, Megan J&lt;/author&gt;&lt;author&gt;Joubert, Amy E&lt;/author&gt;&lt;author&gt;Mahoney, Alison EJ&lt;/author&gt;&lt;author&gt;Andrews, Gavin&lt;/author&gt;&lt;/authors&gt;&lt;/contributors&gt;&lt;titles&gt;&lt;title&gt;Treating late-life depression: Comparing the effects of internet-delivered cognitive behavior therapy across the adult lifespan&lt;/title&gt;&lt;secondary-title&gt;Journal of Affective Disorders&lt;/secondary-title&gt;&lt;/titles&gt;&lt;periodical&gt;&lt;full-title&gt;Journal of Affective Disorders&lt;/full-title&gt;&lt;/periodical&gt;&lt;pages&gt;58-65&lt;/pages&gt;&lt;volume&gt;226&lt;/volume&gt;&lt;dates&gt;&lt;year&gt;2018&lt;/year&gt;&lt;/dates&gt;&lt;isbn&gt;0165-0327&lt;/isbn&gt;&lt;urls&gt;&lt;/urls&gt;&lt;/record&gt;&lt;/Cite&gt;&lt;/EndNote&gt;</w:instrText>
      </w:r>
      <w:r w:rsidR="00B81CB1">
        <w:rPr>
          <w:rFonts w:asciiTheme="minorHAnsi" w:hAnsiTheme="minorHAnsi" w:cstheme="minorHAnsi"/>
          <w:sz w:val="16"/>
          <w:szCs w:val="16"/>
        </w:rPr>
        <w:fldChar w:fldCharType="separate"/>
      </w:r>
      <w:r w:rsidR="004469A2" w:rsidRPr="004469A2">
        <w:rPr>
          <w:rFonts w:asciiTheme="minorHAnsi" w:hAnsiTheme="minorHAnsi" w:cstheme="minorHAnsi"/>
          <w:noProof/>
          <w:sz w:val="16"/>
          <w:szCs w:val="16"/>
          <w:vertAlign w:val="superscript"/>
        </w:rPr>
        <w:t>50</w:t>
      </w:r>
      <w:r w:rsidR="00B81CB1">
        <w:rPr>
          <w:rFonts w:asciiTheme="minorHAnsi" w:hAnsiTheme="minorHAnsi" w:cstheme="minorHAnsi"/>
          <w:sz w:val="16"/>
          <w:szCs w:val="16"/>
        </w:rPr>
        <w:fldChar w:fldCharType="end"/>
      </w:r>
    </w:p>
    <w:p w14:paraId="142D9852" w14:textId="5F9F761D" w:rsidR="003169C8" w:rsidRPr="003169C8" w:rsidRDefault="004919E6" w:rsidP="00D5306E">
      <w:pPr>
        <w:rPr>
          <w:rFonts w:asciiTheme="minorHAnsi" w:hAnsiTheme="minorHAnsi" w:cstheme="minorHAnsi"/>
          <w:color w:val="000000"/>
          <w:sz w:val="16"/>
          <w:szCs w:val="16"/>
        </w:rPr>
      </w:pPr>
      <w:proofErr w:type="spellStart"/>
      <w:r>
        <w:rPr>
          <w:rFonts w:asciiTheme="minorHAnsi" w:hAnsiTheme="minorHAnsi" w:cstheme="minorHAnsi"/>
          <w:sz w:val="16"/>
          <w:szCs w:val="16"/>
          <w:vertAlign w:val="superscript"/>
        </w:rPr>
        <w:t>d</w:t>
      </w:r>
      <w:r w:rsidR="003169C8" w:rsidRPr="003169C8">
        <w:rPr>
          <w:rFonts w:asciiTheme="minorHAnsi" w:hAnsiTheme="minorHAnsi" w:cstheme="minorHAnsi"/>
          <w:sz w:val="16"/>
          <w:szCs w:val="16"/>
        </w:rPr>
        <w:t>Sourced</w:t>
      </w:r>
      <w:proofErr w:type="spellEnd"/>
      <w:r w:rsidR="003169C8" w:rsidRPr="003169C8">
        <w:rPr>
          <w:rFonts w:asciiTheme="minorHAnsi" w:hAnsiTheme="minorHAnsi" w:cstheme="minorHAnsi"/>
          <w:sz w:val="16"/>
          <w:szCs w:val="16"/>
        </w:rPr>
        <w:t xml:space="preserve"> from Williams </w:t>
      </w:r>
      <w:r w:rsidR="0065750D">
        <w:rPr>
          <w:rFonts w:asciiTheme="minorHAnsi" w:hAnsiTheme="minorHAnsi" w:cstheme="minorHAnsi"/>
          <w:sz w:val="16"/>
          <w:szCs w:val="16"/>
        </w:rPr>
        <w:t>et al</w:t>
      </w:r>
      <w:r w:rsidR="003169C8" w:rsidRPr="003169C8">
        <w:rPr>
          <w:rFonts w:asciiTheme="minorHAnsi" w:hAnsiTheme="minorHAnsi" w:cstheme="minorHAnsi"/>
          <w:sz w:val="16"/>
          <w:szCs w:val="16"/>
        </w:rPr>
        <w:t xml:space="preserve"> (2014) evaluation of</w:t>
      </w:r>
      <w:r w:rsidR="003169C8" w:rsidRPr="003169C8">
        <w:rPr>
          <w:rFonts w:asciiTheme="minorHAnsi" w:hAnsiTheme="minorHAnsi" w:cstheme="minorHAnsi"/>
          <w:color w:val="000000"/>
          <w:sz w:val="16"/>
          <w:szCs w:val="16"/>
        </w:rPr>
        <w:t xml:space="preserve"> effectiveness of </w:t>
      </w:r>
      <w:proofErr w:type="spellStart"/>
      <w:r w:rsidR="003169C8" w:rsidRPr="003169C8">
        <w:rPr>
          <w:rFonts w:asciiTheme="minorHAnsi" w:hAnsiTheme="minorHAnsi" w:cstheme="minorHAnsi"/>
          <w:color w:val="000000"/>
          <w:sz w:val="16"/>
          <w:szCs w:val="16"/>
        </w:rPr>
        <w:t>iCBT</w:t>
      </w:r>
      <w:proofErr w:type="spellEnd"/>
      <w:r w:rsidR="003169C8" w:rsidRPr="003169C8">
        <w:rPr>
          <w:rFonts w:asciiTheme="minorHAnsi" w:hAnsiTheme="minorHAnsi" w:cstheme="minorHAnsi"/>
          <w:color w:val="000000"/>
          <w:sz w:val="16"/>
          <w:szCs w:val="16"/>
        </w:rPr>
        <w:t xml:space="preserve"> program for SAD (THIS WAY UP Clinic Shyness Program) delivered in routine practice through two different pathways. Outcome measures </w:t>
      </w:r>
      <w:r w:rsidR="00F43566">
        <w:rPr>
          <w:rFonts w:asciiTheme="minorHAnsi" w:hAnsiTheme="minorHAnsi" w:cstheme="minorHAnsi"/>
          <w:color w:val="000000"/>
          <w:sz w:val="16"/>
          <w:szCs w:val="16"/>
        </w:rPr>
        <w:t>presented</w:t>
      </w:r>
      <w:r w:rsidR="003169C8" w:rsidRPr="003169C8">
        <w:rPr>
          <w:rFonts w:asciiTheme="minorHAnsi" w:hAnsiTheme="minorHAnsi" w:cstheme="minorHAnsi"/>
          <w:color w:val="000000"/>
          <w:sz w:val="16"/>
          <w:szCs w:val="16"/>
        </w:rPr>
        <w:t xml:space="preserve"> for prescription pathway. </w:t>
      </w:r>
      <w:r w:rsidR="00AC16EB">
        <w:rPr>
          <w:rFonts w:asciiTheme="minorHAnsi" w:hAnsiTheme="minorHAnsi" w:cstheme="minorHAnsi"/>
          <w:color w:val="000000"/>
          <w:sz w:val="16"/>
          <w:szCs w:val="16"/>
        </w:rPr>
        <w:t>Williams, 2014 #190}</w:t>
      </w:r>
    </w:p>
    <w:p w14:paraId="34393065" w14:textId="21564FDE" w:rsidR="003169C8" w:rsidRPr="003169C8" w:rsidRDefault="004919E6" w:rsidP="00D5306E">
      <w:pPr>
        <w:rPr>
          <w:rFonts w:asciiTheme="minorHAnsi" w:hAnsiTheme="minorHAnsi" w:cstheme="minorHAnsi"/>
          <w:sz w:val="16"/>
          <w:szCs w:val="16"/>
        </w:rPr>
      </w:pPr>
      <w:proofErr w:type="spellStart"/>
      <w:r w:rsidRPr="0066391F">
        <w:rPr>
          <w:rFonts w:asciiTheme="minorHAnsi" w:hAnsiTheme="minorHAnsi" w:cstheme="minorHAnsi"/>
          <w:sz w:val="16"/>
          <w:szCs w:val="16"/>
          <w:vertAlign w:val="superscript"/>
        </w:rPr>
        <w:t>e</w:t>
      </w:r>
      <w:r w:rsidR="003169C8" w:rsidRPr="0066391F">
        <w:rPr>
          <w:rFonts w:asciiTheme="minorHAnsi" w:hAnsiTheme="minorHAnsi" w:cstheme="minorHAnsi"/>
          <w:sz w:val="16"/>
          <w:szCs w:val="16"/>
        </w:rPr>
        <w:t>Sourced</w:t>
      </w:r>
      <w:proofErr w:type="spellEnd"/>
      <w:r w:rsidR="003169C8" w:rsidRPr="0066391F">
        <w:rPr>
          <w:rFonts w:asciiTheme="minorHAnsi" w:hAnsiTheme="minorHAnsi" w:cstheme="minorHAnsi"/>
          <w:sz w:val="16"/>
          <w:szCs w:val="16"/>
        </w:rPr>
        <w:t xml:space="preserve"> from Allen </w:t>
      </w:r>
      <w:r w:rsidR="0065750D">
        <w:rPr>
          <w:rFonts w:asciiTheme="minorHAnsi" w:hAnsiTheme="minorHAnsi" w:cstheme="minorHAnsi"/>
          <w:sz w:val="16"/>
          <w:szCs w:val="16"/>
        </w:rPr>
        <w:t>et al</w:t>
      </w:r>
      <w:r w:rsidR="003169C8" w:rsidRPr="0066391F">
        <w:rPr>
          <w:rFonts w:asciiTheme="minorHAnsi" w:hAnsiTheme="minorHAnsi" w:cstheme="minorHAnsi"/>
          <w:sz w:val="16"/>
          <w:szCs w:val="16"/>
        </w:rPr>
        <w:t xml:space="preserve"> </w:t>
      </w:r>
      <w:r w:rsidR="003169C8" w:rsidRPr="003169C8">
        <w:rPr>
          <w:rFonts w:asciiTheme="minorHAnsi" w:hAnsiTheme="minorHAnsi" w:cstheme="minorHAnsi"/>
          <w:sz w:val="16"/>
          <w:szCs w:val="16"/>
        </w:rPr>
        <w:t xml:space="preserve">(2016) </w:t>
      </w:r>
      <w:r w:rsidR="00F70322">
        <w:rPr>
          <w:rFonts w:asciiTheme="minorHAnsi" w:hAnsiTheme="minorHAnsi" w:cstheme="minorHAnsi"/>
          <w:sz w:val="16"/>
          <w:szCs w:val="16"/>
        </w:rPr>
        <w:t>evaluation of</w:t>
      </w:r>
      <w:r w:rsidR="003169C8" w:rsidRPr="003169C8">
        <w:rPr>
          <w:rFonts w:asciiTheme="minorHAnsi" w:hAnsiTheme="minorHAnsi" w:cstheme="minorHAnsi"/>
          <w:sz w:val="16"/>
          <w:szCs w:val="16"/>
        </w:rPr>
        <w:t xml:space="preserve"> effectiveness of 5-module </w:t>
      </w:r>
      <w:proofErr w:type="spellStart"/>
      <w:r w:rsidR="003169C8" w:rsidRPr="003169C8">
        <w:rPr>
          <w:rFonts w:asciiTheme="minorHAnsi" w:hAnsiTheme="minorHAnsi" w:cstheme="minorHAnsi"/>
          <w:sz w:val="16"/>
          <w:szCs w:val="16"/>
        </w:rPr>
        <w:t>iCBT</w:t>
      </w:r>
      <w:proofErr w:type="spellEnd"/>
      <w:r w:rsidR="003169C8" w:rsidRPr="003169C8">
        <w:rPr>
          <w:rFonts w:asciiTheme="minorHAnsi" w:hAnsiTheme="minorHAnsi" w:cstheme="minorHAnsi"/>
          <w:sz w:val="16"/>
          <w:szCs w:val="16"/>
        </w:rPr>
        <w:t xml:space="preserve"> for panic disorder when delivered in routine practice through primary care.</w:t>
      </w:r>
      <w:r w:rsidR="00B81CB1">
        <w:rPr>
          <w:rFonts w:asciiTheme="minorHAnsi" w:hAnsiTheme="minorHAnsi" w:cstheme="minorHAnsi"/>
          <w:sz w:val="16"/>
          <w:szCs w:val="16"/>
        </w:rPr>
        <w:fldChar w:fldCharType="begin"/>
      </w:r>
      <w:r w:rsidR="004469A2">
        <w:rPr>
          <w:rFonts w:asciiTheme="minorHAnsi" w:hAnsiTheme="minorHAnsi" w:cstheme="minorHAnsi"/>
          <w:sz w:val="16"/>
          <w:szCs w:val="16"/>
        </w:rPr>
        <w:instrText xml:space="preserve"> ADDIN EN.CITE &lt;EndNote&gt;&lt;Cite&gt;&lt;Author&gt;Allen&lt;/Author&gt;&lt;Year&gt;2016&lt;/Year&gt;&lt;RecNum&gt;189&lt;/RecNum&gt;&lt;DisplayText&gt;&lt;style face="superscript"&gt;53&lt;/style&gt;&lt;/DisplayText&gt;&lt;record&gt;&lt;rec-number&gt;189&lt;/rec-number&gt;&lt;foreign-keys&gt;&lt;key app="EN" db-id="dawtr0zrkrzfa5edzzlpe2we0xa00t90vvr2" timestamp="1655692972"&gt;189&lt;/key&gt;&lt;/foreign-keys&gt;&lt;ref-type name="Journal Article"&gt;17&lt;/ref-type&gt;&lt;contributors&gt;&lt;authors&gt;&lt;author&gt;Allen, Adrian R.&lt;/author&gt;&lt;author&gt;Newby, Jill M.&lt;/author&gt;&lt;author&gt;Mackenzie, Anna&lt;/author&gt;&lt;author&gt;Smith, Jessica&lt;/author&gt;&lt;author&gt;Boulton, Matthew&lt;/author&gt;&lt;author&gt;Loughnan, Siobhan A.&lt;/author&gt;&lt;author&gt;Andrews, Gavin&lt;/author&gt;&lt;/authors&gt;&lt;/contributors&gt;&lt;titles&gt;&lt;title&gt;Internet cognitive-behavioural treatment for panic disorder: randomised controlled trial and evidence of effectiveness in primary care&lt;/title&gt;&lt;secondary-title&gt;BJPsych open&lt;/secondary-title&gt;&lt;alt-title&gt;BJPsych Open&lt;/alt-title&gt;&lt;/titles&gt;&lt;periodical&gt;&lt;full-title&gt;BJPsych open&lt;/full-title&gt;&lt;/periodical&gt;&lt;alt-periodical&gt;&lt;full-title&gt;BJPsych open&lt;/full-title&gt;&lt;/alt-periodical&gt;&lt;pages&gt;154-162&lt;/pages&gt;&lt;volume&gt;2&lt;/volume&gt;&lt;number&gt;2&lt;/number&gt;&lt;dates&gt;&lt;year&gt;2016&lt;/year&gt;&lt;/dates&gt;&lt;publisher&gt;The Royal College of Psychiatrists&lt;/publisher&gt;&lt;isbn&gt;2056-4724&lt;/isbn&gt;&lt;accession-num&gt;27703768&lt;/accession-num&gt;&lt;urls&gt;&lt;related-urls&gt;&lt;url&gt;https://pubmed.ncbi.nlm.nih.gov/27703768&lt;/url&gt;&lt;url&gt;https://www.ncbi.nlm.nih.gov/pmc/articles/PMC4998930/&lt;/url&gt;&lt;/related-urls&gt;&lt;/urls&gt;&lt;electronic-resource-num&gt;10.1192/bjpo.bp.115.001826&lt;/electronic-resource-num&gt;&lt;remote-database-name&gt;PubMed&lt;/remote-database-name&gt;&lt;language&gt;eng&lt;/language&gt;&lt;/record&gt;&lt;/Cite&gt;&lt;/EndNote&gt;</w:instrText>
      </w:r>
      <w:r w:rsidR="00B81CB1">
        <w:rPr>
          <w:rFonts w:asciiTheme="minorHAnsi" w:hAnsiTheme="minorHAnsi" w:cstheme="minorHAnsi"/>
          <w:sz w:val="16"/>
          <w:szCs w:val="16"/>
        </w:rPr>
        <w:fldChar w:fldCharType="separate"/>
      </w:r>
      <w:r w:rsidR="004469A2" w:rsidRPr="004469A2">
        <w:rPr>
          <w:rFonts w:asciiTheme="minorHAnsi" w:hAnsiTheme="minorHAnsi" w:cstheme="minorHAnsi"/>
          <w:noProof/>
          <w:sz w:val="16"/>
          <w:szCs w:val="16"/>
          <w:vertAlign w:val="superscript"/>
        </w:rPr>
        <w:t>53</w:t>
      </w:r>
      <w:r w:rsidR="00B81CB1">
        <w:rPr>
          <w:rFonts w:asciiTheme="minorHAnsi" w:hAnsiTheme="minorHAnsi" w:cstheme="minorHAnsi"/>
          <w:sz w:val="16"/>
          <w:szCs w:val="16"/>
        </w:rPr>
        <w:fldChar w:fldCharType="end"/>
      </w:r>
    </w:p>
    <w:p w14:paraId="11026BC9" w14:textId="302B29BF" w:rsidR="003169C8" w:rsidRPr="003169C8" w:rsidRDefault="004919E6" w:rsidP="003169C8">
      <w:pPr>
        <w:pStyle w:val="ANorm"/>
        <w:rPr>
          <w:rFonts w:asciiTheme="minorHAnsi" w:hAnsiTheme="minorHAnsi" w:cstheme="minorHAnsi"/>
          <w:sz w:val="16"/>
          <w:szCs w:val="16"/>
        </w:rPr>
      </w:pPr>
      <w:proofErr w:type="spellStart"/>
      <w:r>
        <w:rPr>
          <w:rFonts w:asciiTheme="minorHAnsi" w:hAnsiTheme="minorHAnsi" w:cstheme="minorHAnsi"/>
          <w:sz w:val="16"/>
          <w:szCs w:val="16"/>
          <w:vertAlign w:val="superscript"/>
        </w:rPr>
        <w:t>f</w:t>
      </w:r>
      <w:r w:rsidR="003169C8" w:rsidRPr="003169C8">
        <w:rPr>
          <w:rFonts w:asciiTheme="minorHAnsi" w:hAnsiTheme="minorHAnsi" w:cstheme="minorHAnsi"/>
          <w:sz w:val="16"/>
          <w:szCs w:val="16"/>
        </w:rPr>
        <w:t>Sourced</w:t>
      </w:r>
      <w:proofErr w:type="spellEnd"/>
      <w:r w:rsidR="003169C8" w:rsidRPr="003169C8">
        <w:rPr>
          <w:rFonts w:asciiTheme="minorHAnsi" w:hAnsiTheme="minorHAnsi" w:cstheme="minorHAnsi"/>
          <w:sz w:val="16"/>
          <w:szCs w:val="16"/>
        </w:rPr>
        <w:t xml:space="preserve"> from Newby </w:t>
      </w:r>
      <w:r w:rsidR="0065750D">
        <w:rPr>
          <w:rFonts w:asciiTheme="minorHAnsi" w:hAnsiTheme="minorHAnsi" w:cstheme="minorHAnsi"/>
          <w:sz w:val="16"/>
          <w:szCs w:val="16"/>
        </w:rPr>
        <w:t>et al</w:t>
      </w:r>
      <w:r w:rsidR="003169C8" w:rsidRPr="003169C8">
        <w:rPr>
          <w:rFonts w:asciiTheme="minorHAnsi" w:hAnsiTheme="minorHAnsi" w:cstheme="minorHAnsi"/>
          <w:sz w:val="16"/>
          <w:szCs w:val="16"/>
        </w:rPr>
        <w:t xml:space="preserve"> (2017) presents effectiveness of </w:t>
      </w:r>
      <w:proofErr w:type="spellStart"/>
      <w:r w:rsidR="003169C8" w:rsidRPr="003169C8">
        <w:rPr>
          <w:rFonts w:asciiTheme="minorHAnsi" w:hAnsiTheme="minorHAnsi" w:cstheme="minorHAnsi"/>
          <w:sz w:val="16"/>
          <w:szCs w:val="16"/>
        </w:rPr>
        <w:t>iCBT</w:t>
      </w:r>
      <w:proofErr w:type="spellEnd"/>
      <w:r w:rsidR="003169C8" w:rsidRPr="003169C8">
        <w:rPr>
          <w:rFonts w:asciiTheme="minorHAnsi" w:hAnsiTheme="minorHAnsi" w:cstheme="minorHAnsi"/>
          <w:sz w:val="16"/>
          <w:szCs w:val="16"/>
        </w:rPr>
        <w:t xml:space="preserve"> for mixed depression and anxiety delivered in routine practice through primary care. </w:t>
      </w:r>
      <w:r w:rsidR="00F43566">
        <w:rPr>
          <w:rFonts w:asciiTheme="minorHAnsi" w:hAnsiTheme="minorHAnsi" w:cstheme="minorHAnsi"/>
          <w:sz w:val="16"/>
          <w:szCs w:val="16"/>
        </w:rPr>
        <w:t>O</w:t>
      </w:r>
      <w:r w:rsidR="003169C8" w:rsidRPr="003169C8">
        <w:rPr>
          <w:rFonts w:asciiTheme="minorHAnsi" w:hAnsiTheme="minorHAnsi" w:cstheme="minorHAnsi"/>
          <w:sz w:val="16"/>
          <w:szCs w:val="16"/>
        </w:rPr>
        <w:t>utcome measures presented for transdiagnostic program</w:t>
      </w:r>
      <w:r w:rsidR="00F43566">
        <w:rPr>
          <w:rFonts w:asciiTheme="minorHAnsi" w:hAnsiTheme="minorHAnsi" w:cstheme="minorHAnsi"/>
          <w:sz w:val="16"/>
          <w:szCs w:val="16"/>
        </w:rPr>
        <w:t xml:space="preserve"> onl</w:t>
      </w:r>
      <w:r w:rsidR="00C92856">
        <w:rPr>
          <w:rFonts w:asciiTheme="minorHAnsi" w:hAnsiTheme="minorHAnsi" w:cstheme="minorHAnsi"/>
          <w:sz w:val="16"/>
          <w:szCs w:val="16"/>
        </w:rPr>
        <w:t>y</w:t>
      </w:r>
      <w:r w:rsidR="003169C8" w:rsidRPr="003169C8">
        <w:rPr>
          <w:rFonts w:asciiTheme="minorHAnsi" w:hAnsiTheme="minorHAnsi" w:cstheme="minorHAnsi"/>
          <w:sz w:val="16"/>
          <w:szCs w:val="16"/>
        </w:rPr>
        <w:t>.</w:t>
      </w:r>
      <w:r w:rsidR="00B81CB1">
        <w:rPr>
          <w:rFonts w:asciiTheme="minorHAnsi" w:hAnsiTheme="minorHAnsi" w:cstheme="minorHAnsi"/>
          <w:sz w:val="16"/>
          <w:szCs w:val="16"/>
        </w:rPr>
        <w:fldChar w:fldCharType="begin"/>
      </w:r>
      <w:r w:rsidR="004469A2">
        <w:rPr>
          <w:rFonts w:asciiTheme="minorHAnsi" w:hAnsiTheme="minorHAnsi" w:cstheme="minorHAnsi"/>
          <w:sz w:val="16"/>
          <w:szCs w:val="16"/>
        </w:rPr>
        <w:instrText xml:space="preserve"> ADDIN EN.CITE &lt;EndNote&gt;&lt;Cite&gt;&lt;Author&gt;Newby&lt;/Author&gt;&lt;Year&gt;2017&lt;/Year&gt;&lt;RecNum&gt;194&lt;/RecNum&gt;&lt;DisplayText&gt;&lt;style face="superscript"&gt;54&lt;/style&gt;&lt;/DisplayText&gt;&lt;record&gt;&lt;rec-number&gt;194&lt;/rec-number&gt;&lt;foreign-keys&gt;&lt;key app="EN" db-id="dawtr0zrkrzfa5edzzlpe2we0xa00t90vvr2" timestamp="1655693688"&gt;194&lt;/key&gt;&lt;/foreign-keys&gt;&lt;ref-type name="Journal Article"&gt;17&lt;/ref-type&gt;&lt;contributors&gt;&lt;authors&gt;&lt;author&gt;Newby, Jill M&lt;/author&gt;&lt;author&gt;Mewton, Louise&lt;/author&gt;&lt;author&gt;Andrews, Gavin&lt;/author&gt;&lt;/authors&gt;&lt;/contributors&gt;&lt;titles&gt;&lt;title&gt;Transdiagnostic versus disorder-specific internet-delivered cognitive behaviour therapy for anxiety and depression in primary care&lt;/title&gt;&lt;secondary-title&gt;Journal of Anxiety Disorders&lt;/secondary-title&gt;&lt;/titles&gt;&lt;periodical&gt;&lt;full-title&gt;Journal of anxiety disorders&lt;/full-title&gt;&lt;/periodical&gt;&lt;pages&gt;25-34&lt;/pages&gt;&lt;volume&gt;46&lt;/volume&gt;&lt;dates&gt;&lt;year&gt;2017&lt;/year&gt;&lt;/dates&gt;&lt;isbn&gt;0887-6185&lt;/isbn&gt;&lt;urls&gt;&lt;/urls&gt;&lt;/record&gt;&lt;/Cite&gt;&lt;/EndNote&gt;</w:instrText>
      </w:r>
      <w:r w:rsidR="00B81CB1">
        <w:rPr>
          <w:rFonts w:asciiTheme="minorHAnsi" w:hAnsiTheme="minorHAnsi" w:cstheme="minorHAnsi"/>
          <w:sz w:val="16"/>
          <w:szCs w:val="16"/>
        </w:rPr>
        <w:fldChar w:fldCharType="separate"/>
      </w:r>
      <w:r w:rsidR="004469A2" w:rsidRPr="004469A2">
        <w:rPr>
          <w:rFonts w:asciiTheme="minorHAnsi" w:hAnsiTheme="minorHAnsi" w:cstheme="minorHAnsi"/>
          <w:noProof/>
          <w:sz w:val="16"/>
          <w:szCs w:val="16"/>
          <w:vertAlign w:val="superscript"/>
        </w:rPr>
        <w:t>54</w:t>
      </w:r>
      <w:r w:rsidR="00B81CB1">
        <w:rPr>
          <w:rFonts w:asciiTheme="minorHAnsi" w:hAnsiTheme="minorHAnsi" w:cstheme="minorHAnsi"/>
          <w:sz w:val="16"/>
          <w:szCs w:val="16"/>
        </w:rPr>
        <w:fldChar w:fldCharType="end"/>
      </w:r>
    </w:p>
    <w:p w14:paraId="5AC9B054" w14:textId="067E6BF9" w:rsidR="003169C8" w:rsidRDefault="003169C8" w:rsidP="007B3BFB">
      <w:pPr>
        <w:pStyle w:val="ANorm"/>
        <w:sectPr w:rsidR="003169C8" w:rsidSect="003169C8">
          <w:pgSz w:w="16838" w:h="11906" w:orient="landscape"/>
          <w:pgMar w:top="1080" w:right="1440" w:bottom="1080" w:left="1440" w:header="708" w:footer="708" w:gutter="0"/>
          <w:cols w:space="708"/>
          <w:docGrid w:linePitch="360"/>
        </w:sectPr>
      </w:pPr>
    </w:p>
    <w:p w14:paraId="44C9508D" w14:textId="639EA3CF" w:rsidR="003169C8" w:rsidRPr="00C97B43" w:rsidRDefault="00331868" w:rsidP="0064044A">
      <w:pPr>
        <w:pStyle w:val="ANorm"/>
        <w:spacing w:after="200"/>
      </w:pPr>
      <w:r>
        <w:lastRenderedPageBreak/>
        <w:t xml:space="preserve">Effect sizes </w:t>
      </w:r>
      <w:r w:rsidR="0070323D">
        <w:t xml:space="preserve">shown in Table 19 </w:t>
      </w:r>
      <w:r w:rsidR="00E018D2">
        <w:t xml:space="preserve">were extracted from the literature. </w:t>
      </w:r>
      <w:r w:rsidR="001F31C6">
        <w:t>Figure 12 shows the results of effect sizes we</w:t>
      </w:r>
      <w:r w:rsidR="003169C8" w:rsidRPr="00C97B43">
        <w:t xml:space="preserve"> </w:t>
      </w:r>
      <w:r w:rsidR="003169C8" w:rsidRPr="009C4942">
        <w:t xml:space="preserve">calculated (as standardised mean differences) to ensure that the same approach was used for all studies, </w:t>
      </w:r>
      <w:r w:rsidR="005B1600">
        <w:t xml:space="preserve">consequently </w:t>
      </w:r>
      <w:r w:rsidR="003169C8" w:rsidRPr="009C4942">
        <w:t>some of our calculations differ from those presented in Table 1</w:t>
      </w:r>
      <w:r w:rsidR="00823160">
        <w:t>9</w:t>
      </w:r>
      <w:r w:rsidR="003169C8" w:rsidRPr="009C4942">
        <w:t xml:space="preserve">. </w:t>
      </w:r>
    </w:p>
    <w:p w14:paraId="543F112E" w14:textId="48AFBA07" w:rsidR="003169C8" w:rsidRPr="00D5306E" w:rsidRDefault="003169C8" w:rsidP="0064044A">
      <w:pPr>
        <w:pStyle w:val="ANorm"/>
        <w:spacing w:after="200"/>
      </w:pPr>
      <w:r w:rsidRPr="002F5938">
        <w:t xml:space="preserve">Taken together, therapist-supported treatments produced large (d=1.04) improvements in mental health symptom severity for all </w:t>
      </w:r>
      <w:r w:rsidR="00A6574B" w:rsidRPr="002F5938">
        <w:t xml:space="preserve">adult </w:t>
      </w:r>
      <w:r w:rsidRPr="002F5938">
        <w:t xml:space="preserve">consumers, </w:t>
      </w:r>
      <w:r w:rsidR="00B66B9E" w:rsidRPr="002F5938">
        <w:t>acr</w:t>
      </w:r>
      <w:r w:rsidR="00A6574B" w:rsidRPr="002F5938">
        <w:t>o</w:t>
      </w:r>
      <w:r w:rsidR="00B66B9E" w:rsidRPr="002F5938">
        <w:t>ss different age ranges, disorders (depression</w:t>
      </w:r>
      <w:r w:rsidR="002F5938" w:rsidRPr="002F5938">
        <w:t xml:space="preserve"> and </w:t>
      </w:r>
      <w:r w:rsidR="00B66B9E" w:rsidRPr="002F5938">
        <w:t xml:space="preserve">anxiety </w:t>
      </w:r>
      <w:r w:rsidR="002F5938" w:rsidRPr="002F5938">
        <w:t>disorders</w:t>
      </w:r>
      <w:r w:rsidR="00B66B9E" w:rsidRPr="002F5938">
        <w:t>), and outcome measures.</w:t>
      </w:r>
    </w:p>
    <w:p w14:paraId="715C2971" w14:textId="188070BE" w:rsidR="000D6050" w:rsidRDefault="003169C8" w:rsidP="0064044A">
      <w:pPr>
        <w:pStyle w:val="ANorm"/>
        <w:spacing w:after="200"/>
      </w:pPr>
      <w:r w:rsidRPr="002F5938">
        <w:t xml:space="preserve">Therapist-supported treatment produced moderate effect size reductions in disability (d=0.48), which were </w:t>
      </w:r>
      <w:r w:rsidR="00B66B9E" w:rsidRPr="002F5938">
        <w:t>similar</w:t>
      </w:r>
      <w:r w:rsidRPr="002F5938">
        <w:t xml:space="preserve"> across the adult lifespan and </w:t>
      </w:r>
      <w:r w:rsidR="00B66B9E" w:rsidRPr="002F5938">
        <w:t xml:space="preserve">for different </w:t>
      </w:r>
      <w:r w:rsidRPr="002F5938">
        <w:t>disorder type</w:t>
      </w:r>
      <w:r w:rsidR="00B66B9E" w:rsidRPr="002F5938">
        <w:t>s</w:t>
      </w:r>
      <w:r w:rsidRPr="002F5938">
        <w:t xml:space="preserve"> (depression and anxiety).</w:t>
      </w:r>
    </w:p>
    <w:p w14:paraId="6AA3553B" w14:textId="40C8A307" w:rsidR="00641971" w:rsidRPr="0097064C" w:rsidRDefault="00641971" w:rsidP="0064044A">
      <w:pPr>
        <w:pStyle w:val="ANorm"/>
        <w:spacing w:after="200"/>
      </w:pPr>
      <w:r w:rsidRPr="00761407">
        <w:t>There were significant differences in pooled effect sizes between the</w:t>
      </w:r>
      <w:r w:rsidR="00816E90" w:rsidRPr="00761407">
        <w:t xml:space="preserve"> mental health symptoms and </w:t>
      </w:r>
      <w:r w:rsidR="00390437" w:rsidRPr="00761407">
        <w:t>functioning</w:t>
      </w:r>
      <w:r w:rsidRPr="00761407">
        <w:t xml:space="preserve"> subgroups (p &lt; 0.01). There was high heterogeneity between studies reporting on symptoms (I</w:t>
      </w:r>
      <w:r w:rsidRPr="00761407">
        <w:rPr>
          <w:vertAlign w:val="superscript"/>
        </w:rPr>
        <w:t>2</w:t>
      </w:r>
      <w:r w:rsidRPr="00761407">
        <w:t>=96% and p &lt; 0.01)</w:t>
      </w:r>
      <w:r w:rsidR="00B52941" w:rsidRPr="00761407">
        <w:t xml:space="preserve">, which means </w:t>
      </w:r>
      <w:r w:rsidR="003656B2" w:rsidRPr="00761407">
        <w:t>there were differences in</w:t>
      </w:r>
      <w:r w:rsidR="00390437" w:rsidRPr="00761407">
        <w:t xml:space="preserve"> the magnitude of</w:t>
      </w:r>
      <w:r w:rsidR="003656B2" w:rsidRPr="00761407">
        <w:t xml:space="preserve"> outcomes produced in th</w:t>
      </w:r>
      <w:r w:rsidR="00FF3273" w:rsidRPr="00761407">
        <w:t>is</w:t>
      </w:r>
      <w:r w:rsidR="003656B2" w:rsidRPr="00761407">
        <w:t xml:space="preserve"> </w:t>
      </w:r>
      <w:r w:rsidR="00FF3273" w:rsidRPr="00761407">
        <w:t>subgroup of studies</w:t>
      </w:r>
      <w:r w:rsidRPr="00761407">
        <w:t xml:space="preserve">. This </w:t>
      </w:r>
      <w:r w:rsidR="00FF3273" w:rsidRPr="00761407">
        <w:t xml:space="preserve">was </w:t>
      </w:r>
      <w:r w:rsidRPr="00761407">
        <w:t xml:space="preserve">partly due to outcome measure, with larger effect sizes observed for </w:t>
      </w:r>
      <w:r w:rsidR="00FF3273" w:rsidRPr="00761407">
        <w:t xml:space="preserve">the </w:t>
      </w:r>
      <w:r w:rsidRPr="00761407">
        <w:t>K10, but this heterogeneity was not further investigated using meta-regression or other approaches. Heterogeneity was much lower for the disability subgroup (I</w:t>
      </w:r>
      <w:r w:rsidRPr="00761407">
        <w:rPr>
          <w:vertAlign w:val="superscript"/>
        </w:rPr>
        <w:t>2</w:t>
      </w:r>
      <w:r w:rsidRPr="00761407">
        <w:t>=37% and p =0.22)</w:t>
      </w:r>
      <w:r w:rsidR="00390437" w:rsidRPr="00761407">
        <w:t>, which means the studies in this subgroup produced outcomes of a similar magnitude</w:t>
      </w:r>
      <w:r w:rsidR="00940B36" w:rsidRPr="00761407">
        <w:t>.</w:t>
      </w:r>
    </w:p>
    <w:p w14:paraId="3C7DA35C" w14:textId="3AF0E786" w:rsidR="00E1663B" w:rsidRDefault="00B874A8" w:rsidP="00E1663B">
      <w:pPr>
        <w:pStyle w:val="ANorm"/>
      </w:pPr>
      <w:r w:rsidRPr="00B874A8">
        <w:rPr>
          <w:noProof/>
          <w:lang w:eastAsia="en-AU"/>
        </w:rPr>
        <w:lastRenderedPageBreak/>
        <w:drawing>
          <wp:inline distT="0" distB="0" distL="0" distR="0" wp14:anchorId="2D18BF5D" wp14:editId="58BC6AA4">
            <wp:extent cx="6188710" cy="6959600"/>
            <wp:effectExtent l="0" t="0" r="0" b="0"/>
            <wp:docPr id="21" name="Picture 21" descr="Forest plot of THIS WAY UP therapist-supported treatment effects on mental health symptoms and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Forest plot of THIS WAY UP therapist-supported treatment effects on mental health symptoms and disability"/>
                    <pic:cNvPicPr/>
                  </pic:nvPicPr>
                  <pic:blipFill>
                    <a:blip r:embed="rId47"/>
                    <a:stretch>
                      <a:fillRect/>
                    </a:stretch>
                  </pic:blipFill>
                  <pic:spPr>
                    <a:xfrm>
                      <a:off x="0" y="0"/>
                      <a:ext cx="6188710" cy="6959600"/>
                    </a:xfrm>
                    <a:prstGeom prst="rect">
                      <a:avLst/>
                    </a:prstGeom>
                  </pic:spPr>
                </pic:pic>
              </a:graphicData>
            </a:graphic>
          </wp:inline>
        </w:drawing>
      </w:r>
    </w:p>
    <w:p w14:paraId="6340D9FD" w14:textId="152211FA" w:rsidR="00990DBA" w:rsidRDefault="003169C8" w:rsidP="00990DBA">
      <w:pPr>
        <w:pStyle w:val="tableheading"/>
      </w:pPr>
      <w:r w:rsidRPr="009C4942">
        <w:t>Figure</w:t>
      </w:r>
      <w:r w:rsidR="009C4942" w:rsidRPr="009C4942">
        <w:t xml:space="preserve"> 12</w:t>
      </w:r>
      <w:r w:rsidRPr="009C4942">
        <w:t>. Forest</w:t>
      </w:r>
      <w:r w:rsidRPr="00B37A28">
        <w:t xml:space="preserve"> plot of </w:t>
      </w:r>
      <w:r>
        <w:t>THIS WAY UP</w:t>
      </w:r>
      <w:r w:rsidRPr="00B37A28">
        <w:t xml:space="preserve"> therapist-supported treatment effects on mental health symptoms and</w:t>
      </w:r>
      <w:r>
        <w:t xml:space="preserve"> </w:t>
      </w:r>
      <w:r w:rsidR="00D5306E">
        <w:t>disability</w:t>
      </w:r>
    </w:p>
    <w:p w14:paraId="57185DBD" w14:textId="0936EF69" w:rsidR="00990DBA" w:rsidRPr="00990DBA" w:rsidRDefault="00990DBA" w:rsidP="00990DBA">
      <w:pPr>
        <w:pStyle w:val="ANorm"/>
        <w:rPr>
          <w:sz w:val="15"/>
          <w:szCs w:val="15"/>
        </w:rPr>
      </w:pPr>
      <w:r w:rsidRPr="00525B23">
        <w:rPr>
          <w:sz w:val="15"/>
          <w:szCs w:val="15"/>
        </w:rPr>
        <w:t>CI, confidence interval; GAD, Generalised Anxiety Disorder</w:t>
      </w:r>
      <w:r>
        <w:rPr>
          <w:sz w:val="15"/>
          <w:szCs w:val="15"/>
        </w:rPr>
        <w:t>;</w:t>
      </w:r>
      <w:r w:rsidRPr="00525B23">
        <w:rPr>
          <w:sz w:val="15"/>
          <w:szCs w:val="15"/>
        </w:rPr>
        <w:t xml:space="preserve"> Generalised Anxiety Disorder 7-item Scale; </w:t>
      </w:r>
      <w:proofErr w:type="spellStart"/>
      <w:r w:rsidRPr="00525B23">
        <w:rPr>
          <w:sz w:val="15"/>
          <w:szCs w:val="15"/>
        </w:rPr>
        <w:t>iCBT</w:t>
      </w:r>
      <w:proofErr w:type="spellEnd"/>
      <w:r w:rsidRPr="00525B23">
        <w:rPr>
          <w:sz w:val="15"/>
          <w:szCs w:val="15"/>
        </w:rPr>
        <w:t>, internet cognitive behavioural therapy; K10, Kessler Psychological Distress 10-Item Scale</w:t>
      </w:r>
      <w:r w:rsidRPr="009E369B">
        <w:rPr>
          <w:sz w:val="15"/>
          <w:szCs w:val="15"/>
        </w:rPr>
        <w:t xml:space="preserve">; </w:t>
      </w:r>
      <w:r w:rsidRPr="00DA2DD0">
        <w:rPr>
          <w:rFonts w:asciiTheme="minorHAnsi" w:hAnsiTheme="minorHAnsi"/>
          <w:sz w:val="16"/>
          <w:szCs w:val="16"/>
        </w:rPr>
        <w:t>Mini-SPIN, Mini-Social Phobia Inventory</w:t>
      </w:r>
      <w:r>
        <w:rPr>
          <w:rFonts w:asciiTheme="minorHAnsi" w:hAnsiTheme="minorHAnsi"/>
          <w:sz w:val="16"/>
          <w:szCs w:val="16"/>
        </w:rPr>
        <w:t>;</w:t>
      </w:r>
      <w:r>
        <w:rPr>
          <w:sz w:val="15"/>
          <w:szCs w:val="15"/>
        </w:rPr>
        <w:t xml:space="preserve"> M, mean; N, frequency</w:t>
      </w:r>
      <w:r w:rsidRPr="00C56E44">
        <w:rPr>
          <w:sz w:val="15"/>
          <w:szCs w:val="15"/>
        </w:rPr>
        <w:t xml:space="preserve">; PD, panic disorder; </w:t>
      </w:r>
      <w:r>
        <w:rPr>
          <w:sz w:val="15"/>
          <w:szCs w:val="15"/>
        </w:rPr>
        <w:t xml:space="preserve">PDSS-SR, </w:t>
      </w:r>
      <w:r w:rsidRPr="00C56E44">
        <w:rPr>
          <w:sz w:val="15"/>
          <w:szCs w:val="15"/>
        </w:rPr>
        <w:t>PHQ-9, Patient Health Questionnaire-9; Post, post-treatment (6 modules); SAD, social anxiety disorder; SD, standard deviation; SE, standard error; WHODAS 2, World Health Organization Disability Assessment</w:t>
      </w:r>
      <w:r>
        <w:rPr>
          <w:sz w:val="15"/>
          <w:szCs w:val="15"/>
        </w:rPr>
        <w:t xml:space="preserve"> </w:t>
      </w:r>
      <w:r w:rsidRPr="00C56E44">
        <w:rPr>
          <w:sz w:val="15"/>
          <w:szCs w:val="15"/>
        </w:rPr>
        <w:t>Schedule-II</w:t>
      </w:r>
      <w:r w:rsidRPr="009E369B">
        <w:rPr>
          <w:sz w:val="15"/>
          <w:szCs w:val="15"/>
        </w:rPr>
        <w:t>.</w:t>
      </w:r>
    </w:p>
    <w:p w14:paraId="49245B46" w14:textId="77777777" w:rsidR="00D5306E" w:rsidRDefault="00D5306E" w:rsidP="00F84ED2">
      <w:pPr>
        <w:pStyle w:val="Heading3"/>
        <w:numPr>
          <w:ilvl w:val="2"/>
          <w:numId w:val="145"/>
        </w:numPr>
      </w:pPr>
      <w:r>
        <w:br w:type="page"/>
      </w:r>
    </w:p>
    <w:p w14:paraId="7C91245E" w14:textId="53A061D2" w:rsidR="005F0313" w:rsidRPr="006E0DEB" w:rsidRDefault="005158EB" w:rsidP="00990DBA">
      <w:pPr>
        <w:spacing w:after="200"/>
        <w:rPr>
          <w:rFonts w:asciiTheme="minorHAnsi" w:hAnsiTheme="minorHAnsi" w:cstheme="minorHAnsi"/>
          <w:sz w:val="21"/>
          <w:szCs w:val="21"/>
        </w:rPr>
      </w:pPr>
      <w:r w:rsidRPr="009D5661">
        <w:rPr>
          <w:rFonts w:asciiTheme="minorHAnsi" w:hAnsiTheme="minorHAnsi" w:cstheme="minorHAnsi"/>
          <w:sz w:val="21"/>
          <w:szCs w:val="21"/>
        </w:rPr>
        <w:lastRenderedPageBreak/>
        <w:t xml:space="preserve">Table </w:t>
      </w:r>
      <w:r w:rsidR="009D5661" w:rsidRPr="009D5661">
        <w:rPr>
          <w:rFonts w:asciiTheme="minorHAnsi" w:hAnsiTheme="minorHAnsi" w:cstheme="minorHAnsi"/>
          <w:sz w:val="21"/>
          <w:szCs w:val="21"/>
        </w:rPr>
        <w:t>20</w:t>
      </w:r>
      <w:r w:rsidRPr="009D5661">
        <w:rPr>
          <w:rFonts w:asciiTheme="minorHAnsi" w:hAnsiTheme="minorHAnsi" w:cstheme="minorHAnsi"/>
          <w:sz w:val="21"/>
          <w:szCs w:val="21"/>
        </w:rPr>
        <w:t xml:space="preserve"> summarises other treatment outcomes </w:t>
      </w:r>
      <w:r w:rsidR="00E56745" w:rsidRPr="009D5661">
        <w:rPr>
          <w:rFonts w:asciiTheme="minorHAnsi" w:hAnsiTheme="minorHAnsi" w:cstheme="minorHAnsi"/>
          <w:sz w:val="21"/>
          <w:szCs w:val="21"/>
        </w:rPr>
        <w:t xml:space="preserve">we </w:t>
      </w:r>
      <w:r w:rsidRPr="009D5661">
        <w:rPr>
          <w:rFonts w:asciiTheme="minorHAnsi" w:hAnsiTheme="minorHAnsi" w:cstheme="minorHAnsi"/>
          <w:sz w:val="21"/>
          <w:szCs w:val="21"/>
        </w:rPr>
        <w:t xml:space="preserve">extracted from </w:t>
      </w:r>
      <w:r w:rsidR="005F0313" w:rsidRPr="009D5661">
        <w:rPr>
          <w:rFonts w:asciiTheme="minorHAnsi" w:hAnsiTheme="minorHAnsi" w:cstheme="minorHAnsi"/>
          <w:sz w:val="21"/>
          <w:szCs w:val="21"/>
        </w:rPr>
        <w:t xml:space="preserve">the </w:t>
      </w:r>
      <w:r w:rsidR="000C4FE8" w:rsidRPr="009D5661">
        <w:rPr>
          <w:rFonts w:asciiTheme="minorHAnsi" w:hAnsiTheme="minorHAnsi" w:cstheme="minorHAnsi"/>
          <w:sz w:val="21"/>
          <w:szCs w:val="21"/>
        </w:rPr>
        <w:t xml:space="preserve">above </w:t>
      </w:r>
      <w:r w:rsidR="00E56745" w:rsidRPr="009D5661">
        <w:rPr>
          <w:rFonts w:asciiTheme="minorHAnsi" w:hAnsiTheme="minorHAnsi" w:cstheme="minorHAnsi"/>
          <w:sz w:val="21"/>
          <w:szCs w:val="21"/>
        </w:rPr>
        <w:t>selected</w:t>
      </w:r>
      <w:r w:rsidR="005F0313" w:rsidRPr="009D5661">
        <w:rPr>
          <w:rFonts w:asciiTheme="minorHAnsi" w:hAnsiTheme="minorHAnsi" w:cstheme="minorHAnsi"/>
          <w:sz w:val="21"/>
          <w:szCs w:val="21"/>
        </w:rPr>
        <w:t xml:space="preserve"> </w:t>
      </w:r>
      <w:r w:rsidRPr="009D5661">
        <w:rPr>
          <w:rFonts w:asciiTheme="minorHAnsi" w:hAnsiTheme="minorHAnsi" w:cstheme="minorHAnsi"/>
          <w:sz w:val="21"/>
          <w:szCs w:val="21"/>
        </w:rPr>
        <w:t xml:space="preserve">publications </w:t>
      </w:r>
      <w:r w:rsidR="005F0313" w:rsidRPr="009D5661">
        <w:rPr>
          <w:rFonts w:asciiTheme="minorHAnsi" w:hAnsiTheme="minorHAnsi" w:cstheme="minorHAnsi"/>
          <w:sz w:val="21"/>
          <w:szCs w:val="21"/>
        </w:rPr>
        <w:t xml:space="preserve">used </w:t>
      </w:r>
      <w:r w:rsidR="00000EF6" w:rsidRPr="009D5661">
        <w:rPr>
          <w:rFonts w:asciiTheme="minorHAnsi" w:hAnsiTheme="minorHAnsi" w:cstheme="minorHAnsi"/>
          <w:sz w:val="21"/>
          <w:szCs w:val="21"/>
        </w:rPr>
        <w:t>for</w:t>
      </w:r>
      <w:r w:rsidR="005F0313" w:rsidRPr="00956191">
        <w:rPr>
          <w:rFonts w:asciiTheme="minorHAnsi" w:hAnsiTheme="minorHAnsi" w:cstheme="minorHAnsi"/>
          <w:sz w:val="21"/>
          <w:szCs w:val="21"/>
        </w:rPr>
        <w:t xml:space="preserve"> determin</w:t>
      </w:r>
      <w:r w:rsidR="00000EF6">
        <w:rPr>
          <w:rFonts w:asciiTheme="minorHAnsi" w:hAnsiTheme="minorHAnsi" w:cstheme="minorHAnsi"/>
          <w:sz w:val="21"/>
          <w:szCs w:val="21"/>
        </w:rPr>
        <w:t>ing</w:t>
      </w:r>
      <w:r w:rsidR="005F0313" w:rsidRPr="00956191">
        <w:rPr>
          <w:rFonts w:asciiTheme="minorHAnsi" w:hAnsiTheme="minorHAnsi" w:cstheme="minorHAnsi"/>
          <w:sz w:val="21"/>
          <w:szCs w:val="21"/>
        </w:rPr>
        <w:t xml:space="preserve"> </w:t>
      </w:r>
      <w:r w:rsidR="0058666F" w:rsidRPr="00956191">
        <w:rPr>
          <w:rFonts w:asciiTheme="minorHAnsi" w:hAnsiTheme="minorHAnsi" w:cstheme="minorHAnsi"/>
          <w:sz w:val="21"/>
          <w:szCs w:val="21"/>
        </w:rPr>
        <w:t>THIS WAY UP’s</w:t>
      </w:r>
      <w:r w:rsidR="005F0313" w:rsidRPr="00956191">
        <w:rPr>
          <w:rFonts w:asciiTheme="minorHAnsi" w:hAnsiTheme="minorHAnsi" w:cstheme="minorHAnsi"/>
          <w:sz w:val="21"/>
          <w:szCs w:val="21"/>
        </w:rPr>
        <w:t xml:space="preserve"> </w:t>
      </w:r>
      <w:r w:rsidRPr="00956191">
        <w:rPr>
          <w:rFonts w:asciiTheme="minorHAnsi" w:hAnsiTheme="minorHAnsi" w:cstheme="minorHAnsi"/>
          <w:sz w:val="21"/>
          <w:szCs w:val="21"/>
        </w:rPr>
        <w:t>effectiveness.</w:t>
      </w:r>
      <w:r w:rsidR="001F39F5">
        <w:rPr>
          <w:rFonts w:asciiTheme="minorHAnsi" w:hAnsiTheme="minorHAnsi" w:cstheme="minorHAnsi"/>
          <w:sz w:val="21"/>
          <w:szCs w:val="21"/>
        </w:rPr>
        <w:t xml:space="preserve"> </w:t>
      </w:r>
      <w:r w:rsidR="005E1DD8">
        <w:rPr>
          <w:rFonts w:asciiTheme="minorHAnsi" w:hAnsiTheme="minorHAnsi" w:cstheme="minorHAnsi"/>
          <w:sz w:val="21"/>
          <w:szCs w:val="21"/>
        </w:rPr>
        <w:t>Four</w:t>
      </w:r>
      <w:r w:rsidR="001F39F5">
        <w:rPr>
          <w:rFonts w:asciiTheme="minorHAnsi" w:hAnsiTheme="minorHAnsi" w:cstheme="minorHAnsi"/>
          <w:sz w:val="21"/>
          <w:szCs w:val="21"/>
        </w:rPr>
        <w:t xml:space="preserve"> studies involved six</w:t>
      </w:r>
      <w:r w:rsidR="005E1DD8">
        <w:rPr>
          <w:rFonts w:asciiTheme="minorHAnsi" w:hAnsiTheme="minorHAnsi" w:cstheme="minorHAnsi"/>
          <w:sz w:val="21"/>
          <w:szCs w:val="21"/>
        </w:rPr>
        <w:t>,</w:t>
      </w:r>
      <w:r w:rsidR="001F39F5">
        <w:rPr>
          <w:rFonts w:asciiTheme="minorHAnsi" w:hAnsiTheme="minorHAnsi" w:cstheme="minorHAnsi"/>
          <w:sz w:val="21"/>
          <w:szCs w:val="21"/>
        </w:rPr>
        <w:t xml:space="preserve"> </w:t>
      </w:r>
      <w:r w:rsidR="005E1DD8">
        <w:rPr>
          <w:rFonts w:asciiTheme="minorHAnsi" w:hAnsiTheme="minorHAnsi" w:cstheme="minorHAnsi"/>
          <w:sz w:val="21"/>
          <w:szCs w:val="21"/>
        </w:rPr>
        <w:t>and one involved five,</w:t>
      </w:r>
      <w:r w:rsidR="000A1429">
        <w:rPr>
          <w:rFonts w:asciiTheme="minorHAnsi" w:hAnsiTheme="minorHAnsi" w:cstheme="minorHAnsi"/>
          <w:sz w:val="21"/>
          <w:szCs w:val="21"/>
        </w:rPr>
        <w:t xml:space="preserve"> </w:t>
      </w:r>
      <w:r w:rsidR="005E1DD8">
        <w:rPr>
          <w:rFonts w:asciiTheme="minorHAnsi" w:hAnsiTheme="minorHAnsi" w:cstheme="minorHAnsi"/>
          <w:sz w:val="21"/>
          <w:szCs w:val="21"/>
        </w:rPr>
        <w:t>online lessons</w:t>
      </w:r>
      <w:r w:rsidR="00FA189E">
        <w:rPr>
          <w:rFonts w:asciiTheme="minorHAnsi" w:hAnsiTheme="minorHAnsi" w:cstheme="minorHAnsi"/>
          <w:sz w:val="21"/>
          <w:szCs w:val="21"/>
        </w:rPr>
        <w:t xml:space="preserve"> completed independently by consumers</w:t>
      </w:r>
      <w:r w:rsidR="001317E3">
        <w:rPr>
          <w:rFonts w:asciiTheme="minorHAnsi" w:hAnsiTheme="minorHAnsi" w:cstheme="minorHAnsi"/>
          <w:sz w:val="21"/>
          <w:szCs w:val="21"/>
        </w:rPr>
        <w:t xml:space="preserve"> as part of routine care</w:t>
      </w:r>
      <w:r w:rsidR="005E1DD8">
        <w:rPr>
          <w:rFonts w:asciiTheme="minorHAnsi" w:hAnsiTheme="minorHAnsi" w:cstheme="minorHAnsi"/>
          <w:sz w:val="21"/>
          <w:szCs w:val="21"/>
        </w:rPr>
        <w:t xml:space="preserve">. </w:t>
      </w:r>
      <w:r w:rsidR="00BC0BE5">
        <w:rPr>
          <w:rFonts w:asciiTheme="minorHAnsi" w:hAnsiTheme="minorHAnsi" w:cstheme="minorHAnsi"/>
          <w:sz w:val="21"/>
          <w:szCs w:val="21"/>
        </w:rPr>
        <w:t xml:space="preserve">In all five studies, THIS WAY UP </w:t>
      </w:r>
      <w:r w:rsidR="00EE45BE">
        <w:rPr>
          <w:rFonts w:asciiTheme="minorHAnsi" w:hAnsiTheme="minorHAnsi" w:cstheme="minorHAnsi"/>
          <w:sz w:val="21"/>
          <w:szCs w:val="21"/>
        </w:rPr>
        <w:t>recommend</w:t>
      </w:r>
      <w:r w:rsidR="00BC0BE5">
        <w:rPr>
          <w:rFonts w:asciiTheme="minorHAnsi" w:hAnsiTheme="minorHAnsi" w:cstheme="minorHAnsi"/>
          <w:sz w:val="21"/>
          <w:szCs w:val="21"/>
        </w:rPr>
        <w:t>ed that</w:t>
      </w:r>
      <w:r w:rsidR="00EE45BE">
        <w:rPr>
          <w:rFonts w:asciiTheme="minorHAnsi" w:hAnsiTheme="minorHAnsi" w:cstheme="minorHAnsi"/>
          <w:sz w:val="21"/>
          <w:szCs w:val="21"/>
        </w:rPr>
        <w:t xml:space="preserve"> the consumer’s prescribing clinician (</w:t>
      </w:r>
      <w:r w:rsidR="00EE45BE" w:rsidRPr="00EE45BE">
        <w:rPr>
          <w:rFonts w:asciiTheme="minorHAnsi" w:hAnsiTheme="minorHAnsi" w:cstheme="minorHAnsi"/>
          <w:sz w:val="21"/>
          <w:szCs w:val="21"/>
        </w:rPr>
        <w:t xml:space="preserve">GP, psychiatrist, primary health care physician, psychologist, or other mental or allied health </w:t>
      </w:r>
      <w:r w:rsidR="00EE45BE" w:rsidRPr="006E0DEB">
        <w:rPr>
          <w:rFonts w:asciiTheme="minorHAnsi" w:hAnsiTheme="minorHAnsi" w:cstheme="minorHAnsi"/>
          <w:sz w:val="21"/>
          <w:szCs w:val="21"/>
        </w:rPr>
        <w:t>professional)</w:t>
      </w:r>
      <w:r w:rsidR="00BC0BE5" w:rsidRPr="006E0DEB">
        <w:rPr>
          <w:rFonts w:asciiTheme="minorHAnsi" w:hAnsiTheme="minorHAnsi" w:cstheme="minorHAnsi"/>
          <w:sz w:val="21"/>
          <w:szCs w:val="21"/>
        </w:rPr>
        <w:t xml:space="preserve"> provide</w:t>
      </w:r>
      <w:r w:rsidR="00FA189E" w:rsidRPr="006E0DEB">
        <w:rPr>
          <w:rFonts w:asciiTheme="minorHAnsi" w:hAnsiTheme="minorHAnsi" w:cstheme="minorHAnsi"/>
          <w:sz w:val="21"/>
          <w:szCs w:val="21"/>
        </w:rPr>
        <w:t>d support and supervision</w:t>
      </w:r>
      <w:r w:rsidR="00EE45BE" w:rsidRPr="006E0DEB">
        <w:rPr>
          <w:rFonts w:asciiTheme="minorHAnsi" w:hAnsiTheme="minorHAnsi" w:cstheme="minorHAnsi"/>
          <w:sz w:val="21"/>
          <w:szCs w:val="21"/>
        </w:rPr>
        <w:t>.</w:t>
      </w:r>
    </w:p>
    <w:p w14:paraId="4A9809B5" w14:textId="3489893A" w:rsidR="005C05EB" w:rsidRDefault="00C1682D" w:rsidP="00990DBA">
      <w:pPr>
        <w:spacing w:after="200"/>
        <w:rPr>
          <w:rFonts w:asciiTheme="minorHAnsi" w:hAnsiTheme="minorHAnsi" w:cstheme="minorHAnsi"/>
          <w:sz w:val="21"/>
          <w:szCs w:val="21"/>
        </w:rPr>
      </w:pPr>
      <w:r w:rsidRPr="006E0DEB">
        <w:rPr>
          <w:rFonts w:asciiTheme="minorHAnsi" w:hAnsiTheme="minorHAnsi" w:cstheme="minorHAnsi"/>
          <w:sz w:val="21"/>
          <w:szCs w:val="21"/>
        </w:rPr>
        <w:t xml:space="preserve">These studies </w:t>
      </w:r>
      <w:r w:rsidR="001B569D" w:rsidRPr="006E0DEB">
        <w:rPr>
          <w:rFonts w:asciiTheme="minorHAnsi" w:hAnsiTheme="minorHAnsi" w:cstheme="minorHAnsi"/>
          <w:sz w:val="21"/>
          <w:szCs w:val="21"/>
        </w:rPr>
        <w:t>showed</w:t>
      </w:r>
      <w:r w:rsidRPr="006E0DEB">
        <w:rPr>
          <w:rFonts w:asciiTheme="minorHAnsi" w:hAnsiTheme="minorHAnsi" w:cstheme="minorHAnsi"/>
          <w:sz w:val="21"/>
          <w:szCs w:val="21"/>
        </w:rPr>
        <w:t xml:space="preserve"> that 45% to 5</w:t>
      </w:r>
      <w:r w:rsidR="00BA49AD" w:rsidRPr="006E0DEB">
        <w:rPr>
          <w:rFonts w:asciiTheme="minorHAnsi" w:hAnsiTheme="minorHAnsi" w:cstheme="minorHAnsi"/>
          <w:sz w:val="21"/>
          <w:szCs w:val="21"/>
        </w:rPr>
        <w:t>6</w:t>
      </w:r>
      <w:r w:rsidRPr="006E0DEB">
        <w:rPr>
          <w:rFonts w:asciiTheme="minorHAnsi" w:hAnsiTheme="minorHAnsi" w:cstheme="minorHAnsi"/>
          <w:sz w:val="21"/>
          <w:szCs w:val="21"/>
        </w:rPr>
        <w:t xml:space="preserve">% of consumers complete all six </w:t>
      </w:r>
      <w:r w:rsidR="001B569D" w:rsidRPr="006E0DEB">
        <w:rPr>
          <w:rFonts w:asciiTheme="minorHAnsi" w:hAnsiTheme="minorHAnsi" w:cstheme="minorHAnsi"/>
          <w:sz w:val="21"/>
          <w:szCs w:val="21"/>
        </w:rPr>
        <w:t>(or five)</w:t>
      </w:r>
      <w:r w:rsidR="00F95FE8" w:rsidRPr="006E0DEB">
        <w:rPr>
          <w:rFonts w:asciiTheme="minorHAnsi" w:hAnsiTheme="minorHAnsi" w:cstheme="minorHAnsi"/>
          <w:sz w:val="21"/>
          <w:szCs w:val="21"/>
        </w:rPr>
        <w:t>,</w:t>
      </w:r>
      <w:r w:rsidR="001B569D" w:rsidRPr="006E0DEB">
        <w:rPr>
          <w:rFonts w:asciiTheme="minorHAnsi" w:hAnsiTheme="minorHAnsi" w:cstheme="minorHAnsi"/>
          <w:sz w:val="21"/>
          <w:szCs w:val="21"/>
        </w:rPr>
        <w:t xml:space="preserve"> </w:t>
      </w:r>
      <w:r w:rsidR="00F95FE8" w:rsidRPr="006E0DEB">
        <w:rPr>
          <w:rFonts w:asciiTheme="minorHAnsi" w:hAnsiTheme="minorHAnsi" w:cstheme="minorHAnsi"/>
          <w:sz w:val="21"/>
          <w:szCs w:val="21"/>
        </w:rPr>
        <w:t xml:space="preserve">and </w:t>
      </w:r>
      <w:r w:rsidR="00631EC2" w:rsidRPr="006E0DEB">
        <w:rPr>
          <w:rFonts w:asciiTheme="minorHAnsi" w:hAnsiTheme="minorHAnsi" w:cstheme="minorHAnsi"/>
          <w:sz w:val="21"/>
          <w:szCs w:val="21"/>
        </w:rPr>
        <w:t xml:space="preserve">on average </w:t>
      </w:r>
      <w:r w:rsidR="00F95FE8" w:rsidRPr="006E0DEB">
        <w:rPr>
          <w:rFonts w:asciiTheme="minorHAnsi" w:hAnsiTheme="minorHAnsi" w:cstheme="minorHAnsi"/>
          <w:sz w:val="21"/>
          <w:szCs w:val="21"/>
        </w:rPr>
        <w:t xml:space="preserve">they </w:t>
      </w:r>
      <w:r w:rsidR="00631EC2" w:rsidRPr="006E0DEB">
        <w:rPr>
          <w:rFonts w:asciiTheme="minorHAnsi" w:hAnsiTheme="minorHAnsi" w:cstheme="minorHAnsi"/>
          <w:sz w:val="21"/>
          <w:szCs w:val="21"/>
        </w:rPr>
        <w:t xml:space="preserve">complete </w:t>
      </w:r>
      <w:r w:rsidR="004930F2">
        <w:rPr>
          <w:rFonts w:asciiTheme="minorHAnsi" w:hAnsiTheme="minorHAnsi" w:cstheme="minorHAnsi"/>
          <w:sz w:val="21"/>
          <w:szCs w:val="21"/>
        </w:rPr>
        <w:t xml:space="preserve">four </w:t>
      </w:r>
      <w:r w:rsidRPr="006E0DEB">
        <w:rPr>
          <w:rFonts w:asciiTheme="minorHAnsi" w:hAnsiTheme="minorHAnsi" w:cstheme="minorHAnsi"/>
          <w:sz w:val="21"/>
          <w:szCs w:val="21"/>
        </w:rPr>
        <w:t>lessons.</w:t>
      </w:r>
      <w:r w:rsidR="00400F9F">
        <w:rPr>
          <w:rFonts w:asciiTheme="minorHAnsi" w:hAnsiTheme="minorHAnsi" w:cstheme="minorHAnsi"/>
          <w:sz w:val="21"/>
          <w:szCs w:val="21"/>
        </w:rPr>
        <w:t xml:space="preserve"> The studies also </w:t>
      </w:r>
      <w:r w:rsidR="00F6019E">
        <w:rPr>
          <w:rFonts w:asciiTheme="minorHAnsi" w:hAnsiTheme="minorHAnsi" w:cstheme="minorHAnsi"/>
          <w:sz w:val="21"/>
          <w:szCs w:val="21"/>
        </w:rPr>
        <w:t xml:space="preserve">confirm </w:t>
      </w:r>
      <w:r w:rsidR="00045F50">
        <w:rPr>
          <w:rFonts w:asciiTheme="minorHAnsi" w:hAnsiTheme="minorHAnsi" w:cstheme="minorHAnsi"/>
          <w:sz w:val="21"/>
          <w:szCs w:val="21"/>
        </w:rPr>
        <w:t xml:space="preserve">that improvement in mental health was </w:t>
      </w:r>
      <w:r w:rsidR="00F6019E">
        <w:rPr>
          <w:rFonts w:asciiTheme="minorHAnsi" w:hAnsiTheme="minorHAnsi" w:cstheme="minorHAnsi"/>
          <w:sz w:val="21"/>
          <w:szCs w:val="21"/>
        </w:rPr>
        <w:t xml:space="preserve">clinically </w:t>
      </w:r>
      <w:r w:rsidR="00045F50">
        <w:rPr>
          <w:rFonts w:asciiTheme="minorHAnsi" w:hAnsiTheme="minorHAnsi" w:cstheme="minorHAnsi"/>
          <w:sz w:val="21"/>
          <w:szCs w:val="21"/>
        </w:rPr>
        <w:t>significant</w:t>
      </w:r>
      <w:r w:rsidR="00C01DDB">
        <w:rPr>
          <w:rFonts w:asciiTheme="minorHAnsi" w:hAnsiTheme="minorHAnsi" w:cstheme="minorHAnsi"/>
          <w:sz w:val="21"/>
          <w:szCs w:val="21"/>
        </w:rPr>
        <w:t xml:space="preserve"> as measured by recovery rates (44-66%), remission rates</w:t>
      </w:r>
      <w:r w:rsidR="00701961">
        <w:rPr>
          <w:rFonts w:asciiTheme="minorHAnsi" w:hAnsiTheme="minorHAnsi" w:cstheme="minorHAnsi"/>
          <w:sz w:val="21"/>
          <w:szCs w:val="21"/>
        </w:rPr>
        <w:t xml:space="preserve"> (58-70%) and</w:t>
      </w:r>
      <w:r w:rsidR="006B3EB9">
        <w:rPr>
          <w:rFonts w:asciiTheme="minorHAnsi" w:hAnsiTheme="minorHAnsi" w:cstheme="minorHAnsi"/>
          <w:sz w:val="21"/>
          <w:szCs w:val="21"/>
        </w:rPr>
        <w:t>/or reliable improvement</w:t>
      </w:r>
      <w:r w:rsidR="00701961">
        <w:rPr>
          <w:rFonts w:asciiTheme="minorHAnsi" w:hAnsiTheme="minorHAnsi" w:cstheme="minorHAnsi"/>
          <w:sz w:val="21"/>
          <w:szCs w:val="21"/>
        </w:rPr>
        <w:t xml:space="preserve"> </w:t>
      </w:r>
      <w:r w:rsidR="000345BE">
        <w:rPr>
          <w:rFonts w:asciiTheme="minorHAnsi" w:hAnsiTheme="minorHAnsi" w:cstheme="minorHAnsi"/>
          <w:sz w:val="21"/>
          <w:szCs w:val="21"/>
        </w:rPr>
        <w:t>(22-48%).</w:t>
      </w:r>
    </w:p>
    <w:p w14:paraId="65D8FB64" w14:textId="0D42C219" w:rsidR="00DD59EF" w:rsidRDefault="00DD59EF" w:rsidP="00990DBA">
      <w:pPr>
        <w:spacing w:after="200"/>
        <w:rPr>
          <w:rFonts w:asciiTheme="minorHAnsi" w:hAnsiTheme="minorHAnsi" w:cstheme="minorHAnsi"/>
          <w:sz w:val="21"/>
          <w:szCs w:val="21"/>
        </w:rPr>
      </w:pPr>
      <w:r>
        <w:rPr>
          <w:rFonts w:asciiTheme="minorHAnsi" w:hAnsiTheme="minorHAnsi" w:cstheme="minorHAnsi"/>
          <w:sz w:val="21"/>
          <w:szCs w:val="21"/>
        </w:rPr>
        <w:t>THIS WAY UP does not routinely collect follow up data</w:t>
      </w:r>
      <w:r w:rsidR="003978C7">
        <w:rPr>
          <w:rFonts w:asciiTheme="minorHAnsi" w:hAnsiTheme="minorHAnsi" w:cstheme="minorHAnsi"/>
          <w:sz w:val="21"/>
          <w:szCs w:val="21"/>
        </w:rPr>
        <w:t xml:space="preserve">. However, </w:t>
      </w:r>
      <w:r w:rsidR="005702CD">
        <w:rPr>
          <w:rFonts w:asciiTheme="minorHAnsi" w:hAnsiTheme="minorHAnsi" w:cstheme="minorHAnsi"/>
          <w:sz w:val="21"/>
          <w:szCs w:val="21"/>
        </w:rPr>
        <w:t xml:space="preserve">a </w:t>
      </w:r>
      <w:r w:rsidR="008E6325">
        <w:rPr>
          <w:rFonts w:asciiTheme="minorHAnsi" w:hAnsiTheme="minorHAnsi" w:cstheme="minorHAnsi"/>
          <w:sz w:val="21"/>
          <w:szCs w:val="21"/>
        </w:rPr>
        <w:t xml:space="preserve">randomised controlled trial </w:t>
      </w:r>
      <w:r w:rsidR="00A66EAC">
        <w:rPr>
          <w:rFonts w:asciiTheme="minorHAnsi" w:hAnsiTheme="minorHAnsi" w:cstheme="minorHAnsi"/>
          <w:sz w:val="21"/>
          <w:szCs w:val="21"/>
        </w:rPr>
        <w:t xml:space="preserve">component in </w:t>
      </w:r>
      <w:r w:rsidR="00BA13C0">
        <w:rPr>
          <w:rFonts w:asciiTheme="minorHAnsi" w:hAnsiTheme="minorHAnsi" w:cstheme="minorHAnsi"/>
          <w:sz w:val="21"/>
          <w:szCs w:val="21"/>
        </w:rPr>
        <w:t xml:space="preserve">the study </w:t>
      </w:r>
      <w:r w:rsidR="00C56F9C">
        <w:rPr>
          <w:rFonts w:asciiTheme="minorHAnsi" w:hAnsiTheme="minorHAnsi" w:cstheme="minorHAnsi"/>
          <w:sz w:val="21"/>
          <w:szCs w:val="21"/>
        </w:rPr>
        <w:t xml:space="preserve">by </w:t>
      </w:r>
      <w:r w:rsidR="003978C7">
        <w:rPr>
          <w:rFonts w:asciiTheme="minorHAnsi" w:hAnsiTheme="minorHAnsi" w:cstheme="minorHAnsi"/>
          <w:sz w:val="21"/>
          <w:szCs w:val="21"/>
        </w:rPr>
        <w:t xml:space="preserve">Allen </w:t>
      </w:r>
      <w:r w:rsidR="0065750D">
        <w:rPr>
          <w:rFonts w:asciiTheme="minorHAnsi" w:hAnsiTheme="minorHAnsi" w:cstheme="minorHAnsi"/>
          <w:sz w:val="21"/>
          <w:szCs w:val="21"/>
        </w:rPr>
        <w:t>et al</w:t>
      </w:r>
      <w:r w:rsidR="003978C7">
        <w:rPr>
          <w:rFonts w:asciiTheme="minorHAnsi" w:hAnsiTheme="minorHAnsi" w:cstheme="minorHAnsi"/>
          <w:sz w:val="21"/>
          <w:szCs w:val="21"/>
        </w:rPr>
        <w:t xml:space="preserve"> (2016) </w:t>
      </w:r>
      <w:r w:rsidR="00D64E21">
        <w:rPr>
          <w:rFonts w:asciiTheme="minorHAnsi" w:hAnsiTheme="minorHAnsi" w:cstheme="minorHAnsi"/>
          <w:sz w:val="21"/>
          <w:szCs w:val="21"/>
        </w:rPr>
        <w:t xml:space="preserve">found that gains </w:t>
      </w:r>
      <w:r w:rsidR="005702CD">
        <w:rPr>
          <w:rFonts w:asciiTheme="minorHAnsi" w:hAnsiTheme="minorHAnsi" w:cstheme="minorHAnsi"/>
          <w:sz w:val="21"/>
          <w:szCs w:val="21"/>
        </w:rPr>
        <w:t xml:space="preserve">from </w:t>
      </w:r>
      <w:proofErr w:type="spellStart"/>
      <w:r w:rsidR="005702CD">
        <w:rPr>
          <w:rFonts w:asciiTheme="minorHAnsi" w:hAnsiTheme="minorHAnsi" w:cstheme="minorHAnsi"/>
          <w:sz w:val="21"/>
          <w:szCs w:val="21"/>
        </w:rPr>
        <w:t>iCBT</w:t>
      </w:r>
      <w:proofErr w:type="spellEnd"/>
      <w:r w:rsidR="005702CD">
        <w:rPr>
          <w:rFonts w:asciiTheme="minorHAnsi" w:hAnsiTheme="minorHAnsi" w:cstheme="minorHAnsi"/>
          <w:sz w:val="21"/>
          <w:szCs w:val="21"/>
        </w:rPr>
        <w:t xml:space="preserve"> for panic disorder </w:t>
      </w:r>
      <w:r w:rsidR="00D64E21">
        <w:rPr>
          <w:rFonts w:asciiTheme="minorHAnsi" w:hAnsiTheme="minorHAnsi" w:cstheme="minorHAnsi"/>
          <w:sz w:val="21"/>
          <w:szCs w:val="21"/>
        </w:rPr>
        <w:t xml:space="preserve">were maintained at </w:t>
      </w:r>
      <w:r w:rsidR="008E6325">
        <w:rPr>
          <w:rFonts w:asciiTheme="minorHAnsi" w:hAnsiTheme="minorHAnsi" w:cstheme="minorHAnsi"/>
          <w:sz w:val="21"/>
          <w:szCs w:val="21"/>
        </w:rPr>
        <w:t>three months post-treatment.</w:t>
      </w:r>
      <w:r w:rsidR="00A66EAC">
        <w:rPr>
          <w:rFonts w:asciiTheme="minorHAnsi" w:hAnsiTheme="minorHAnsi" w:cstheme="minorHAnsi"/>
          <w:sz w:val="21"/>
          <w:szCs w:val="21"/>
        </w:rPr>
        <w:fldChar w:fldCharType="begin"/>
      </w:r>
      <w:r w:rsidR="004469A2">
        <w:rPr>
          <w:rFonts w:asciiTheme="minorHAnsi" w:hAnsiTheme="minorHAnsi" w:cstheme="minorHAnsi"/>
          <w:sz w:val="21"/>
          <w:szCs w:val="21"/>
        </w:rPr>
        <w:instrText xml:space="preserve"> ADDIN EN.CITE &lt;EndNote&gt;&lt;Cite&gt;&lt;Author&gt;Allen&lt;/Author&gt;&lt;Year&gt;2016&lt;/Year&gt;&lt;RecNum&gt;189&lt;/RecNum&gt;&lt;DisplayText&gt;&lt;style face="superscript"&gt;53&lt;/style&gt;&lt;/DisplayText&gt;&lt;record&gt;&lt;rec-number&gt;189&lt;/rec-number&gt;&lt;foreign-keys&gt;&lt;key app="EN" db-id="dawtr0zrkrzfa5edzzlpe2we0xa00t90vvr2" timestamp="1655692972"&gt;189&lt;/key&gt;&lt;/foreign-keys&gt;&lt;ref-type name="Journal Article"&gt;17&lt;/ref-type&gt;&lt;contributors&gt;&lt;authors&gt;&lt;author&gt;Allen, Adrian R.&lt;/author&gt;&lt;author&gt;Newby, Jill M.&lt;/author&gt;&lt;author&gt;Mackenzie, Anna&lt;/author&gt;&lt;author&gt;Smith, Jessica&lt;/author&gt;&lt;author&gt;Boulton, Matthew&lt;/author&gt;&lt;author&gt;Loughnan, Siobhan A.&lt;/author&gt;&lt;author&gt;Andrews, Gavin&lt;/author&gt;&lt;/authors&gt;&lt;/contributors&gt;&lt;titles&gt;&lt;title&gt;Internet cognitive-behavioural treatment for panic disorder: randomised controlled trial and evidence of effectiveness in primary care&lt;/title&gt;&lt;secondary-title&gt;BJPsych open&lt;/secondary-title&gt;&lt;alt-title&gt;BJPsych Open&lt;/alt-title&gt;&lt;/titles&gt;&lt;periodical&gt;&lt;full-title&gt;BJPsych open&lt;/full-title&gt;&lt;/periodical&gt;&lt;alt-periodical&gt;&lt;full-title&gt;BJPsych open&lt;/full-title&gt;&lt;/alt-periodical&gt;&lt;pages&gt;154-162&lt;/pages&gt;&lt;volume&gt;2&lt;/volume&gt;&lt;number&gt;2&lt;/number&gt;&lt;dates&gt;&lt;year&gt;2016&lt;/year&gt;&lt;/dates&gt;&lt;publisher&gt;The Royal College of Psychiatrists&lt;/publisher&gt;&lt;isbn&gt;2056-4724&lt;/isbn&gt;&lt;accession-num&gt;27703768&lt;/accession-num&gt;&lt;urls&gt;&lt;related-urls&gt;&lt;url&gt;https://pubmed.ncbi.nlm.nih.gov/27703768&lt;/url&gt;&lt;url&gt;https://www.ncbi.nlm.nih.gov/pmc/articles/PMC4998930/&lt;/url&gt;&lt;/related-urls&gt;&lt;/urls&gt;&lt;electronic-resource-num&gt;10.1192/bjpo.bp.115.001826&lt;/electronic-resource-num&gt;&lt;remote-database-name&gt;PubMed&lt;/remote-database-name&gt;&lt;language&gt;eng&lt;/language&gt;&lt;/record&gt;&lt;/Cite&gt;&lt;/EndNote&gt;</w:instrText>
      </w:r>
      <w:r w:rsidR="00A66EAC">
        <w:rPr>
          <w:rFonts w:asciiTheme="minorHAnsi" w:hAnsiTheme="minorHAnsi" w:cstheme="minorHAnsi"/>
          <w:sz w:val="21"/>
          <w:szCs w:val="21"/>
        </w:rPr>
        <w:fldChar w:fldCharType="separate"/>
      </w:r>
      <w:r w:rsidR="004469A2" w:rsidRPr="004469A2">
        <w:rPr>
          <w:rFonts w:asciiTheme="minorHAnsi" w:hAnsiTheme="minorHAnsi" w:cstheme="minorHAnsi"/>
          <w:noProof/>
          <w:sz w:val="21"/>
          <w:szCs w:val="21"/>
          <w:vertAlign w:val="superscript"/>
        </w:rPr>
        <w:t>53</w:t>
      </w:r>
      <w:r w:rsidR="00A66EAC">
        <w:rPr>
          <w:rFonts w:asciiTheme="minorHAnsi" w:hAnsiTheme="minorHAnsi" w:cstheme="minorHAnsi"/>
          <w:sz w:val="21"/>
          <w:szCs w:val="21"/>
        </w:rPr>
        <w:fldChar w:fldCharType="end"/>
      </w:r>
    </w:p>
    <w:p w14:paraId="713EAE46" w14:textId="5DE647AE" w:rsidR="0032507E" w:rsidRDefault="00B94B80" w:rsidP="00990DBA">
      <w:pPr>
        <w:spacing w:after="200"/>
        <w:rPr>
          <w:rFonts w:asciiTheme="minorHAnsi" w:hAnsiTheme="minorHAnsi" w:cstheme="minorHAnsi"/>
          <w:sz w:val="21"/>
          <w:szCs w:val="21"/>
        </w:rPr>
      </w:pPr>
      <w:r>
        <w:rPr>
          <w:rFonts w:asciiTheme="minorHAnsi" w:hAnsiTheme="minorHAnsi" w:cstheme="minorHAnsi"/>
          <w:sz w:val="21"/>
          <w:szCs w:val="21"/>
        </w:rPr>
        <w:t xml:space="preserve">Collectively, the studies indicated that older adults and consumers with </w:t>
      </w:r>
      <w:r w:rsidR="00A51741">
        <w:rPr>
          <w:rFonts w:asciiTheme="minorHAnsi" w:hAnsiTheme="minorHAnsi" w:cstheme="minorHAnsi"/>
          <w:sz w:val="21"/>
          <w:szCs w:val="21"/>
        </w:rPr>
        <w:t>less severe symptoms are more likely to complete treatment.</w:t>
      </w:r>
      <w:r w:rsidR="005571EE">
        <w:rPr>
          <w:rFonts w:asciiTheme="minorHAnsi" w:hAnsiTheme="minorHAnsi" w:cstheme="minorHAnsi"/>
          <w:sz w:val="21"/>
          <w:szCs w:val="21"/>
        </w:rPr>
        <w:t xml:space="preserve"> </w:t>
      </w:r>
      <w:r w:rsidR="007B0275">
        <w:rPr>
          <w:rFonts w:asciiTheme="minorHAnsi" w:hAnsiTheme="minorHAnsi" w:cstheme="minorHAnsi"/>
          <w:sz w:val="21"/>
          <w:szCs w:val="21"/>
        </w:rPr>
        <w:t>Findings from o</w:t>
      </w:r>
      <w:r w:rsidR="005571EE">
        <w:rPr>
          <w:rFonts w:asciiTheme="minorHAnsi" w:hAnsiTheme="minorHAnsi" w:cstheme="minorHAnsi"/>
          <w:sz w:val="21"/>
          <w:szCs w:val="21"/>
        </w:rPr>
        <w:t xml:space="preserve">ne study </w:t>
      </w:r>
      <w:r w:rsidR="007B0275">
        <w:rPr>
          <w:rFonts w:asciiTheme="minorHAnsi" w:hAnsiTheme="minorHAnsi" w:cstheme="minorHAnsi"/>
          <w:sz w:val="21"/>
          <w:szCs w:val="21"/>
        </w:rPr>
        <w:t>suggest</w:t>
      </w:r>
      <w:r w:rsidR="00C56F9C">
        <w:rPr>
          <w:rFonts w:asciiTheme="minorHAnsi" w:hAnsiTheme="minorHAnsi" w:cstheme="minorHAnsi"/>
          <w:sz w:val="21"/>
          <w:szCs w:val="21"/>
        </w:rPr>
        <w:t>ed</w:t>
      </w:r>
      <w:r w:rsidR="007B0275">
        <w:rPr>
          <w:rFonts w:asciiTheme="minorHAnsi" w:hAnsiTheme="minorHAnsi" w:cstheme="minorHAnsi"/>
          <w:sz w:val="21"/>
          <w:szCs w:val="21"/>
        </w:rPr>
        <w:t xml:space="preserve"> that </w:t>
      </w:r>
      <w:r w:rsidR="00791C3B">
        <w:rPr>
          <w:rFonts w:asciiTheme="minorHAnsi" w:hAnsiTheme="minorHAnsi" w:cstheme="minorHAnsi"/>
          <w:sz w:val="21"/>
          <w:szCs w:val="21"/>
        </w:rPr>
        <w:t>more</w:t>
      </w:r>
      <w:r w:rsidR="0007286C">
        <w:rPr>
          <w:rFonts w:asciiTheme="minorHAnsi" w:hAnsiTheme="minorHAnsi" w:cstheme="minorHAnsi"/>
          <w:sz w:val="21"/>
          <w:szCs w:val="21"/>
        </w:rPr>
        <w:t xml:space="preserve"> contact</w:t>
      </w:r>
      <w:r w:rsidR="00791C3B">
        <w:rPr>
          <w:rFonts w:asciiTheme="minorHAnsi" w:hAnsiTheme="minorHAnsi" w:cstheme="minorHAnsi"/>
          <w:sz w:val="21"/>
          <w:szCs w:val="21"/>
        </w:rPr>
        <w:t xml:space="preserve">s from prescribing clinicians during the course </w:t>
      </w:r>
      <w:r w:rsidR="00286D75">
        <w:rPr>
          <w:rFonts w:asciiTheme="minorHAnsi" w:hAnsiTheme="minorHAnsi" w:cstheme="minorHAnsi"/>
          <w:sz w:val="21"/>
          <w:szCs w:val="21"/>
        </w:rPr>
        <w:t>was associated with treatment completion.</w:t>
      </w:r>
      <w:r w:rsidR="00584087">
        <w:rPr>
          <w:rFonts w:asciiTheme="minorHAnsi" w:hAnsiTheme="minorHAnsi" w:cstheme="minorHAnsi"/>
          <w:sz w:val="21"/>
          <w:szCs w:val="21"/>
        </w:rPr>
        <w:fldChar w:fldCharType="begin"/>
      </w:r>
      <w:r w:rsidR="004469A2">
        <w:rPr>
          <w:rFonts w:asciiTheme="minorHAnsi" w:hAnsiTheme="minorHAnsi" w:cstheme="minorHAnsi"/>
          <w:sz w:val="21"/>
          <w:szCs w:val="21"/>
        </w:rPr>
        <w:instrText xml:space="preserve"> ADDIN EN.CITE &lt;EndNote&gt;&lt;Cite&gt;&lt;Author&gt;Allen&lt;/Author&gt;&lt;Year&gt;2016&lt;/Year&gt;&lt;RecNum&gt;189&lt;/RecNum&gt;&lt;DisplayText&gt;&lt;style face="superscript"&gt;53&lt;/style&gt;&lt;/DisplayText&gt;&lt;record&gt;&lt;rec-number&gt;189&lt;/rec-number&gt;&lt;foreign-keys&gt;&lt;key app="EN" db-id="dawtr0zrkrzfa5edzzlpe2we0xa00t90vvr2" timestamp="1655692972"&gt;189&lt;/key&gt;&lt;/foreign-keys&gt;&lt;ref-type name="Journal Article"&gt;17&lt;/ref-type&gt;&lt;contributors&gt;&lt;authors&gt;&lt;author&gt;Allen, Adrian R.&lt;/author&gt;&lt;author&gt;Newby, Jill M.&lt;/author&gt;&lt;author&gt;Mackenzie, Anna&lt;/author&gt;&lt;author&gt;Smith, Jessica&lt;/author&gt;&lt;author&gt;Boulton, Matthew&lt;/author&gt;&lt;author&gt;Loughnan, Siobhan A.&lt;/author&gt;&lt;author&gt;Andrews, Gavin&lt;/author&gt;&lt;/authors&gt;&lt;/contributors&gt;&lt;titles&gt;&lt;title&gt;Internet cognitive-behavioural treatment for panic disorder: randomised controlled trial and evidence of effectiveness in primary care&lt;/title&gt;&lt;secondary-title&gt;BJPsych open&lt;/secondary-title&gt;&lt;alt-title&gt;BJPsych Open&lt;/alt-title&gt;&lt;/titles&gt;&lt;periodical&gt;&lt;full-title&gt;BJPsych open&lt;/full-title&gt;&lt;/periodical&gt;&lt;alt-periodical&gt;&lt;full-title&gt;BJPsych open&lt;/full-title&gt;&lt;/alt-periodical&gt;&lt;pages&gt;154-162&lt;/pages&gt;&lt;volume&gt;2&lt;/volume&gt;&lt;number&gt;2&lt;/number&gt;&lt;dates&gt;&lt;year&gt;2016&lt;/year&gt;&lt;/dates&gt;&lt;publisher&gt;The Royal College of Psychiatrists&lt;/publisher&gt;&lt;isbn&gt;2056-4724&lt;/isbn&gt;&lt;accession-num&gt;27703768&lt;/accession-num&gt;&lt;urls&gt;&lt;related-urls&gt;&lt;url&gt;https://pubmed.ncbi.nlm.nih.gov/27703768&lt;/url&gt;&lt;url&gt;https://www.ncbi.nlm.nih.gov/pmc/articles/PMC4998930/&lt;/url&gt;&lt;/related-urls&gt;&lt;/urls&gt;&lt;electronic-resource-num&gt;10.1192/bjpo.bp.115.001826&lt;/electronic-resource-num&gt;&lt;remote-database-name&gt;PubMed&lt;/remote-database-name&gt;&lt;language&gt;eng&lt;/language&gt;&lt;/record&gt;&lt;/Cite&gt;&lt;/EndNote&gt;</w:instrText>
      </w:r>
      <w:r w:rsidR="00584087">
        <w:rPr>
          <w:rFonts w:asciiTheme="minorHAnsi" w:hAnsiTheme="minorHAnsi" w:cstheme="minorHAnsi"/>
          <w:sz w:val="21"/>
          <w:szCs w:val="21"/>
        </w:rPr>
        <w:fldChar w:fldCharType="separate"/>
      </w:r>
      <w:r w:rsidR="004469A2" w:rsidRPr="004469A2">
        <w:rPr>
          <w:rFonts w:asciiTheme="minorHAnsi" w:hAnsiTheme="minorHAnsi" w:cstheme="minorHAnsi"/>
          <w:noProof/>
          <w:sz w:val="21"/>
          <w:szCs w:val="21"/>
          <w:vertAlign w:val="superscript"/>
        </w:rPr>
        <w:t>53</w:t>
      </w:r>
      <w:r w:rsidR="00584087">
        <w:rPr>
          <w:rFonts w:asciiTheme="minorHAnsi" w:hAnsiTheme="minorHAnsi" w:cstheme="minorHAnsi"/>
          <w:sz w:val="21"/>
          <w:szCs w:val="21"/>
        </w:rPr>
        <w:fldChar w:fldCharType="end"/>
      </w:r>
    </w:p>
    <w:p w14:paraId="6DA07D11" w14:textId="77777777" w:rsidR="0032507E" w:rsidRPr="005F0313" w:rsidRDefault="0032507E" w:rsidP="005F0313">
      <w:pPr>
        <w:pStyle w:val="ANorm"/>
      </w:pPr>
    </w:p>
    <w:p w14:paraId="34F9B089" w14:textId="7D64C0BE" w:rsidR="005F0313" w:rsidRDefault="005F0313" w:rsidP="0094299C">
      <w:pPr>
        <w:pStyle w:val="tableheading"/>
        <w:rPr>
          <w:highlight w:val="yellow"/>
        </w:rPr>
        <w:sectPr w:rsidR="005F0313" w:rsidSect="00E81E3F">
          <w:pgSz w:w="11906" w:h="16838"/>
          <w:pgMar w:top="1440" w:right="1080" w:bottom="1440" w:left="1080" w:header="708" w:footer="708" w:gutter="0"/>
          <w:cols w:space="708"/>
          <w:docGrid w:linePitch="360"/>
        </w:sectPr>
      </w:pPr>
    </w:p>
    <w:p w14:paraId="34F4E570" w14:textId="6B6F7F16" w:rsidR="0094299C" w:rsidRPr="009D5661" w:rsidRDefault="0094299C" w:rsidP="0094299C">
      <w:pPr>
        <w:pStyle w:val="tableheading"/>
        <w:rPr>
          <w:rFonts w:eastAsia="Times New Roman"/>
          <w:lang w:val="en-AU" w:eastAsia="en-GB"/>
        </w:rPr>
      </w:pPr>
      <w:r w:rsidRPr="009D5661">
        <w:lastRenderedPageBreak/>
        <w:t xml:space="preserve">Table </w:t>
      </w:r>
      <w:r w:rsidR="009D5661" w:rsidRPr="009D5661">
        <w:t>20</w:t>
      </w:r>
      <w:r w:rsidR="00C25EDA" w:rsidRPr="009D5661">
        <w:t>. Other outcomes from THIS WAY UP therapist-supported treatment and predictors of adherence</w:t>
      </w:r>
    </w:p>
    <w:tbl>
      <w:tblPr>
        <w:tblStyle w:val="TableGrid"/>
        <w:tblW w:w="5000" w:type="pct"/>
        <w:tblLook w:val="04A0" w:firstRow="1" w:lastRow="0" w:firstColumn="1" w:lastColumn="0" w:noHBand="0" w:noVBand="1"/>
        <w:tblCaption w:val="Other outcomes from THIS WAY UP therapist-supported treatment and predictors of adherence"/>
        <w:tblDescription w:val="Table  summarises other treatment outcomes extracted from the five selected publications used for determining THIS WAY UP’s effectiveness. "/>
      </w:tblPr>
      <w:tblGrid>
        <w:gridCol w:w="985"/>
        <w:gridCol w:w="2160"/>
        <w:gridCol w:w="1169"/>
        <w:gridCol w:w="4860"/>
        <w:gridCol w:w="1711"/>
        <w:gridCol w:w="1530"/>
        <w:gridCol w:w="2973"/>
      </w:tblGrid>
      <w:tr w:rsidR="00BA13C0" w:rsidRPr="00753DE6" w14:paraId="284E2391" w14:textId="210EEFC2" w:rsidTr="009E2A33">
        <w:trPr>
          <w:trHeight w:val="422"/>
          <w:tblHeader/>
        </w:trPr>
        <w:tc>
          <w:tcPr>
            <w:tcW w:w="320" w:type="pct"/>
            <w:shd w:val="clear" w:color="auto" w:fill="000000" w:themeFill="text1"/>
            <w:vAlign w:val="center"/>
          </w:tcPr>
          <w:p w14:paraId="4666B321" w14:textId="77777777" w:rsidR="00BA13C0" w:rsidRPr="00753DE6" w:rsidRDefault="00BA13C0" w:rsidP="005C05EB">
            <w:pPr>
              <w:pStyle w:val="ANorm"/>
              <w:jc w:val="center"/>
              <w:rPr>
                <w:color w:val="FFFFFF" w:themeColor="background1"/>
                <w:sz w:val="16"/>
                <w:szCs w:val="16"/>
              </w:rPr>
            </w:pPr>
            <w:r w:rsidRPr="00753DE6">
              <w:rPr>
                <w:color w:val="FFFFFF" w:themeColor="background1"/>
                <w:sz w:val="16"/>
                <w:szCs w:val="16"/>
              </w:rPr>
              <w:t>Publication</w:t>
            </w:r>
          </w:p>
        </w:tc>
        <w:tc>
          <w:tcPr>
            <w:tcW w:w="702" w:type="pct"/>
            <w:shd w:val="clear" w:color="auto" w:fill="000000" w:themeFill="text1"/>
            <w:vAlign w:val="center"/>
          </w:tcPr>
          <w:p w14:paraId="6CF2D213" w14:textId="77777777" w:rsidR="00BA13C0" w:rsidRPr="00753DE6" w:rsidRDefault="00BA13C0" w:rsidP="005C05EB">
            <w:pPr>
              <w:pStyle w:val="ANorm"/>
              <w:jc w:val="center"/>
              <w:rPr>
                <w:color w:val="FFFFFF" w:themeColor="background1"/>
                <w:sz w:val="16"/>
                <w:szCs w:val="16"/>
              </w:rPr>
            </w:pPr>
            <w:r w:rsidRPr="00753DE6">
              <w:rPr>
                <w:color w:val="FFFFFF" w:themeColor="background1"/>
                <w:sz w:val="16"/>
                <w:szCs w:val="16"/>
              </w:rPr>
              <w:t>Aim</w:t>
            </w:r>
          </w:p>
        </w:tc>
        <w:tc>
          <w:tcPr>
            <w:tcW w:w="380" w:type="pct"/>
            <w:shd w:val="clear" w:color="auto" w:fill="000000" w:themeFill="text1"/>
            <w:vAlign w:val="center"/>
          </w:tcPr>
          <w:p w14:paraId="3A7221FB" w14:textId="6FF08FE3" w:rsidR="00BA13C0" w:rsidRPr="00BE0322" w:rsidRDefault="00BA13C0" w:rsidP="005C05EB">
            <w:pPr>
              <w:pStyle w:val="ANorm"/>
              <w:jc w:val="center"/>
              <w:rPr>
                <w:color w:val="FFFFFF" w:themeColor="background1"/>
                <w:sz w:val="14"/>
                <w:szCs w:val="14"/>
              </w:rPr>
            </w:pPr>
            <w:r w:rsidRPr="00BE0322">
              <w:rPr>
                <w:color w:val="FFFFFF" w:themeColor="background1"/>
                <w:sz w:val="14"/>
                <w:szCs w:val="14"/>
              </w:rPr>
              <w:t>Treatment completion rate</w:t>
            </w:r>
          </w:p>
        </w:tc>
        <w:tc>
          <w:tcPr>
            <w:tcW w:w="1579" w:type="pct"/>
            <w:shd w:val="clear" w:color="auto" w:fill="000000" w:themeFill="text1"/>
            <w:vAlign w:val="center"/>
          </w:tcPr>
          <w:p w14:paraId="478E766C" w14:textId="77777777" w:rsidR="00BA13C0" w:rsidRPr="00753DE6" w:rsidRDefault="00BA13C0" w:rsidP="005C05EB">
            <w:pPr>
              <w:pStyle w:val="ANorm"/>
              <w:jc w:val="center"/>
              <w:rPr>
                <w:color w:val="FFFFFF" w:themeColor="background1"/>
                <w:sz w:val="16"/>
                <w:szCs w:val="16"/>
              </w:rPr>
            </w:pPr>
            <w:r w:rsidRPr="00753DE6">
              <w:rPr>
                <w:color w:val="FFFFFF" w:themeColor="background1"/>
                <w:sz w:val="16"/>
                <w:szCs w:val="16"/>
              </w:rPr>
              <w:t>Predictors of adherence</w:t>
            </w:r>
          </w:p>
        </w:tc>
        <w:tc>
          <w:tcPr>
            <w:tcW w:w="556" w:type="pct"/>
            <w:shd w:val="clear" w:color="auto" w:fill="000000" w:themeFill="text1"/>
            <w:vAlign w:val="center"/>
          </w:tcPr>
          <w:p w14:paraId="3F61D7B7" w14:textId="77777777" w:rsidR="00BA13C0" w:rsidRPr="00753DE6" w:rsidRDefault="00BA13C0" w:rsidP="005C05EB">
            <w:pPr>
              <w:pStyle w:val="ANorm"/>
              <w:jc w:val="center"/>
              <w:rPr>
                <w:color w:val="FFFFFF" w:themeColor="background1"/>
                <w:sz w:val="16"/>
                <w:szCs w:val="16"/>
              </w:rPr>
            </w:pPr>
            <w:r w:rsidRPr="00753DE6">
              <w:rPr>
                <w:color w:val="FFFFFF" w:themeColor="background1"/>
                <w:sz w:val="16"/>
                <w:szCs w:val="16"/>
              </w:rPr>
              <w:t xml:space="preserve">Recovery </w:t>
            </w:r>
            <w:r>
              <w:rPr>
                <w:color w:val="FFFFFF" w:themeColor="background1"/>
                <w:sz w:val="16"/>
                <w:szCs w:val="16"/>
              </w:rPr>
              <w:t>rate</w:t>
            </w:r>
          </w:p>
        </w:tc>
        <w:tc>
          <w:tcPr>
            <w:tcW w:w="497" w:type="pct"/>
            <w:shd w:val="clear" w:color="auto" w:fill="000000" w:themeFill="text1"/>
            <w:vAlign w:val="center"/>
          </w:tcPr>
          <w:p w14:paraId="279D5016" w14:textId="77777777" w:rsidR="00BA13C0" w:rsidRPr="00753DE6" w:rsidRDefault="00BA13C0" w:rsidP="005C05EB">
            <w:pPr>
              <w:pStyle w:val="ANorm"/>
              <w:jc w:val="center"/>
              <w:rPr>
                <w:color w:val="FFFFFF" w:themeColor="background1"/>
                <w:sz w:val="16"/>
                <w:szCs w:val="16"/>
              </w:rPr>
            </w:pPr>
            <w:r w:rsidRPr="00753DE6">
              <w:rPr>
                <w:color w:val="FFFFFF" w:themeColor="background1"/>
                <w:sz w:val="16"/>
                <w:szCs w:val="16"/>
              </w:rPr>
              <w:t>Remission</w:t>
            </w:r>
            <w:r>
              <w:rPr>
                <w:color w:val="FFFFFF" w:themeColor="background1"/>
                <w:sz w:val="16"/>
                <w:szCs w:val="16"/>
              </w:rPr>
              <w:t xml:space="preserve"> rate</w:t>
            </w:r>
          </w:p>
        </w:tc>
        <w:tc>
          <w:tcPr>
            <w:tcW w:w="966" w:type="pct"/>
            <w:shd w:val="clear" w:color="auto" w:fill="000000" w:themeFill="text1"/>
            <w:vAlign w:val="center"/>
          </w:tcPr>
          <w:p w14:paraId="59163634" w14:textId="77777777" w:rsidR="00BA13C0" w:rsidRPr="00753DE6" w:rsidRDefault="00BA13C0" w:rsidP="005C05EB">
            <w:pPr>
              <w:pStyle w:val="ANorm"/>
              <w:jc w:val="center"/>
              <w:rPr>
                <w:color w:val="FFFFFF" w:themeColor="background1"/>
                <w:sz w:val="16"/>
                <w:szCs w:val="16"/>
              </w:rPr>
            </w:pPr>
            <w:r w:rsidRPr="00753DE6">
              <w:rPr>
                <w:color w:val="FFFFFF" w:themeColor="background1"/>
                <w:sz w:val="16"/>
                <w:szCs w:val="16"/>
              </w:rPr>
              <w:t>Reliable change</w:t>
            </w:r>
          </w:p>
        </w:tc>
      </w:tr>
      <w:tr w:rsidR="00BA13C0" w:rsidRPr="00407320" w14:paraId="7336608D" w14:textId="2DF512D7" w:rsidTr="009E2A33">
        <w:tc>
          <w:tcPr>
            <w:tcW w:w="320" w:type="pct"/>
          </w:tcPr>
          <w:p w14:paraId="58B741C6" w14:textId="61A4FA26" w:rsidR="00BA13C0" w:rsidRPr="00407320" w:rsidRDefault="00BA13C0" w:rsidP="007F3C68">
            <w:pPr>
              <w:pStyle w:val="ANorm"/>
              <w:rPr>
                <w:sz w:val="16"/>
                <w:szCs w:val="16"/>
              </w:rPr>
            </w:pPr>
            <w:r w:rsidRPr="00407320">
              <w:rPr>
                <w:sz w:val="16"/>
                <w:szCs w:val="16"/>
              </w:rPr>
              <w:t xml:space="preserve">Hobbs </w:t>
            </w:r>
            <w:r w:rsidR="0065750D">
              <w:rPr>
                <w:sz w:val="16"/>
                <w:szCs w:val="16"/>
              </w:rPr>
              <w:t>et al</w:t>
            </w:r>
            <w:r w:rsidRPr="00407320">
              <w:rPr>
                <w:sz w:val="16"/>
                <w:szCs w:val="16"/>
              </w:rPr>
              <w:t xml:space="preserve"> (2017)</w:t>
            </w:r>
            <w:r>
              <w:rPr>
                <w:sz w:val="16"/>
                <w:szCs w:val="16"/>
              </w:rPr>
              <w:fldChar w:fldCharType="begin"/>
            </w:r>
            <w:r w:rsidR="004469A2">
              <w:rPr>
                <w:sz w:val="16"/>
                <w:szCs w:val="16"/>
              </w:rPr>
              <w:instrText xml:space="preserve"> ADDIN EN.CITE &lt;EndNote&gt;&lt;Cite&gt;&lt;Author&gt;Sunderland&lt;/Author&gt;&lt;Year&gt;2012&lt;/Year&gt;&lt;RecNum&gt;197&lt;/RecNum&gt;&lt;DisplayText&gt;&lt;style face="superscript"&gt;71&lt;/style&gt;&lt;/DisplayText&gt;&lt;record&gt;&lt;rec-number&gt;197&lt;/rec-number&gt;&lt;foreign-keys&gt;&lt;key app="EN" db-id="dawtr0zrkrzfa5edzzlpe2we0xa00t90vvr2" timestamp="1656300728"&gt;197&lt;/key&gt;&lt;/foreign-keys&gt;&lt;ref-type name="Journal Article"&gt;17&lt;/ref-type&gt;&lt;contributors&gt;&lt;authors&gt;&lt;author&gt;Sunderland, M.&lt;/author&gt;&lt;author&gt;Wong, N.&lt;/author&gt;&lt;author&gt;Hilvert-Bruce, Z.&lt;/author&gt;&lt;author&gt;Andrews, G.&lt;/author&gt;&lt;/authors&gt;&lt;/contributors&gt;&lt;auth-address&gt;School of Psychiatry, University of New South Wales, Sydney, Australia. matthews@unsw.edu.au&lt;/auth-address&gt;&lt;titles&gt;&lt;title&gt;Investigating trajectories of change in psychological distress amongst patients with depression and generalised anxiety disorder treated with internet cognitive behavioural therapy&lt;/title&gt;&lt;secondary-title&gt;Behaviour Research and Therapy&lt;/secondary-title&gt;&lt;/titles&gt;&lt;periodical&gt;&lt;full-title&gt;Behaviour research and therapy&lt;/full-title&gt;&lt;/periodical&gt;&lt;pages&gt;374-80&lt;/pages&gt;&lt;volume&gt;50&lt;/volume&gt;&lt;number&gt;6&lt;/number&gt;&lt;edition&gt;2012/04/14&lt;/edition&gt;&lt;keywords&gt;&lt;keyword&gt;Adult&lt;/keyword&gt;&lt;keyword&gt;Anxiety Disorders/psychology/*therapy&lt;/keyword&gt;&lt;keyword&gt;Cognitive Behavioral Therapy/*methods&lt;/keyword&gt;&lt;keyword&gt;Depressive Disorder/psychology/*therapy&lt;/keyword&gt;&lt;keyword&gt;Female&lt;/keyword&gt;&lt;keyword&gt;Humans&lt;/keyword&gt;&lt;keyword&gt;*Internet&lt;/keyword&gt;&lt;keyword&gt;Male&lt;/keyword&gt;&lt;keyword&gt;Remote Consultation/*methods&lt;/keyword&gt;&lt;keyword&gt;Stress, Psychological/etiology/*therapy&lt;/keyword&gt;&lt;keyword&gt;Time Factors&lt;/keyword&gt;&lt;keyword&gt;Treatment Outcome&lt;/keyword&gt;&lt;/keywords&gt;&lt;dates&gt;&lt;year&gt;2012&lt;/year&gt;&lt;pub-dates&gt;&lt;date&gt;Jun&lt;/date&gt;&lt;/pub-dates&gt;&lt;/dates&gt;&lt;isbn&gt;0005-7967&lt;/isbn&gt;&lt;accession-num&gt;22498311&lt;/accession-num&gt;&lt;urls&gt;&lt;/urls&gt;&lt;electronic-resource-num&gt;10.1016/j.brat.2012.03.005&lt;/electronic-resource-num&gt;&lt;remote-database-provider&gt;NLM&lt;/remote-database-provider&gt;&lt;language&gt;eng&lt;/language&gt;&lt;/record&gt;&lt;/Cite&gt;&lt;/EndNote&gt;</w:instrText>
            </w:r>
            <w:r>
              <w:rPr>
                <w:sz w:val="16"/>
                <w:szCs w:val="16"/>
              </w:rPr>
              <w:fldChar w:fldCharType="separate"/>
            </w:r>
            <w:r w:rsidR="004469A2" w:rsidRPr="004469A2">
              <w:rPr>
                <w:noProof/>
                <w:sz w:val="16"/>
                <w:szCs w:val="16"/>
                <w:vertAlign w:val="superscript"/>
              </w:rPr>
              <w:t>71</w:t>
            </w:r>
            <w:r>
              <w:rPr>
                <w:sz w:val="16"/>
                <w:szCs w:val="16"/>
              </w:rPr>
              <w:fldChar w:fldCharType="end"/>
            </w:r>
          </w:p>
        </w:tc>
        <w:tc>
          <w:tcPr>
            <w:tcW w:w="702" w:type="pct"/>
          </w:tcPr>
          <w:p w14:paraId="09632971" w14:textId="77777777" w:rsidR="00BA13C0" w:rsidRPr="00407320" w:rsidRDefault="00BA13C0" w:rsidP="007F3C68">
            <w:pPr>
              <w:pStyle w:val="ANorm"/>
              <w:rPr>
                <w:sz w:val="16"/>
                <w:szCs w:val="16"/>
              </w:rPr>
            </w:pPr>
            <w:r w:rsidRPr="00407320">
              <w:rPr>
                <w:sz w:val="16"/>
                <w:szCs w:val="16"/>
              </w:rPr>
              <w:t xml:space="preserve">Examine age-related differences in presentation, </w:t>
            </w:r>
            <w:proofErr w:type="gramStart"/>
            <w:r w:rsidRPr="00407320">
              <w:rPr>
                <w:sz w:val="16"/>
                <w:szCs w:val="16"/>
              </w:rPr>
              <w:t>adherence</w:t>
            </w:r>
            <w:proofErr w:type="gramEnd"/>
            <w:r w:rsidRPr="00407320">
              <w:rPr>
                <w:sz w:val="16"/>
                <w:szCs w:val="16"/>
              </w:rPr>
              <w:t xml:space="preserve"> and effects of </w:t>
            </w:r>
            <w:proofErr w:type="spellStart"/>
            <w:r w:rsidRPr="00407320">
              <w:rPr>
                <w:sz w:val="16"/>
                <w:szCs w:val="16"/>
              </w:rPr>
              <w:t>iCBT</w:t>
            </w:r>
            <w:proofErr w:type="spellEnd"/>
            <w:r w:rsidRPr="00407320">
              <w:rPr>
                <w:sz w:val="16"/>
                <w:szCs w:val="16"/>
              </w:rPr>
              <w:t xml:space="preserve"> for GAD among</w:t>
            </w:r>
            <w:r>
              <w:rPr>
                <w:sz w:val="16"/>
                <w:szCs w:val="16"/>
              </w:rPr>
              <w:t xml:space="preserve"> </w:t>
            </w:r>
            <w:r w:rsidRPr="00407320">
              <w:rPr>
                <w:sz w:val="16"/>
                <w:szCs w:val="16"/>
              </w:rPr>
              <w:t>patients in routine clinical care (N=942; 18–29 years (n=267); 30–39 years (n=260); 40–49 years(n=180); 50–59 years (n=124); and 60+ years (n=111)</w:t>
            </w:r>
          </w:p>
        </w:tc>
        <w:tc>
          <w:tcPr>
            <w:tcW w:w="380" w:type="pct"/>
          </w:tcPr>
          <w:p w14:paraId="3C3985BB" w14:textId="6E7D3EBD" w:rsidR="00BA13C0" w:rsidRDefault="00BA13C0" w:rsidP="007F3C68">
            <w:pPr>
              <w:pStyle w:val="ANorm"/>
              <w:rPr>
                <w:sz w:val="16"/>
                <w:szCs w:val="16"/>
              </w:rPr>
            </w:pPr>
            <w:r>
              <w:rPr>
                <w:sz w:val="16"/>
                <w:szCs w:val="16"/>
              </w:rPr>
              <w:t>46.8% (441)</w:t>
            </w:r>
          </w:p>
          <w:p w14:paraId="15E1271B" w14:textId="77777777" w:rsidR="00BA13C0" w:rsidRDefault="00BA13C0" w:rsidP="007F3C68">
            <w:pPr>
              <w:pStyle w:val="ANorm"/>
              <w:rPr>
                <w:sz w:val="16"/>
                <w:szCs w:val="16"/>
              </w:rPr>
            </w:pPr>
          </w:p>
          <w:p w14:paraId="05CC1AD3" w14:textId="6ECBA761" w:rsidR="00BA13C0" w:rsidRDefault="00BA13C0" w:rsidP="007F3C68">
            <w:pPr>
              <w:pStyle w:val="ANorm"/>
              <w:rPr>
                <w:sz w:val="16"/>
                <w:szCs w:val="16"/>
              </w:rPr>
            </w:pPr>
            <w:r>
              <w:rPr>
                <w:sz w:val="16"/>
                <w:szCs w:val="16"/>
              </w:rPr>
              <w:t>Mean 4.44 (SD=1.81)</w:t>
            </w:r>
          </w:p>
        </w:tc>
        <w:tc>
          <w:tcPr>
            <w:tcW w:w="1579" w:type="pct"/>
          </w:tcPr>
          <w:p w14:paraId="6633B61D" w14:textId="7737DADF" w:rsidR="00BA13C0" w:rsidRDefault="00BA13C0" w:rsidP="004F7EEF">
            <w:pPr>
              <w:pStyle w:val="ANorm"/>
              <w:rPr>
                <w:sz w:val="16"/>
                <w:szCs w:val="16"/>
              </w:rPr>
            </w:pPr>
            <w:r>
              <w:rPr>
                <w:sz w:val="16"/>
                <w:szCs w:val="16"/>
              </w:rPr>
              <w:t>More likely to complete treatment</w:t>
            </w:r>
          </w:p>
          <w:p w14:paraId="57E828A5" w14:textId="0B01FC2B" w:rsidR="00BA13C0" w:rsidRPr="004F7EEF" w:rsidRDefault="00BA13C0">
            <w:pPr>
              <w:pStyle w:val="ANorm"/>
              <w:numPr>
                <w:ilvl w:val="0"/>
                <w:numId w:val="149"/>
              </w:numPr>
              <w:ind w:left="135" w:hanging="101"/>
              <w:rPr>
                <w:sz w:val="16"/>
                <w:szCs w:val="16"/>
              </w:rPr>
            </w:pPr>
            <w:r>
              <w:rPr>
                <w:sz w:val="16"/>
                <w:szCs w:val="16"/>
              </w:rPr>
              <w:t>aged &gt;</w:t>
            </w:r>
            <w:r w:rsidRPr="004F7EEF">
              <w:rPr>
                <w:sz w:val="16"/>
                <w:szCs w:val="16"/>
              </w:rPr>
              <w:t xml:space="preserve"> 50 years</w:t>
            </w:r>
          </w:p>
          <w:p w14:paraId="73358752" w14:textId="34D48430" w:rsidR="00BA13C0" w:rsidRDefault="00BA13C0">
            <w:pPr>
              <w:pStyle w:val="ANorm"/>
              <w:numPr>
                <w:ilvl w:val="0"/>
                <w:numId w:val="149"/>
              </w:numPr>
              <w:ind w:left="135" w:hanging="101"/>
              <w:rPr>
                <w:sz w:val="16"/>
                <w:szCs w:val="16"/>
              </w:rPr>
            </w:pPr>
            <w:r w:rsidRPr="004F7EEF">
              <w:rPr>
                <w:sz w:val="16"/>
                <w:szCs w:val="16"/>
              </w:rPr>
              <w:t xml:space="preserve">no probable GAD diagnosis </w:t>
            </w:r>
            <w:r>
              <w:rPr>
                <w:sz w:val="16"/>
                <w:szCs w:val="16"/>
              </w:rPr>
              <w:t>at baseline</w:t>
            </w:r>
          </w:p>
          <w:p w14:paraId="57E003EC" w14:textId="48035072" w:rsidR="00BA13C0" w:rsidRDefault="00BA13C0" w:rsidP="004F7EEF">
            <w:pPr>
              <w:pStyle w:val="ANorm"/>
              <w:rPr>
                <w:sz w:val="16"/>
                <w:szCs w:val="16"/>
              </w:rPr>
            </w:pPr>
          </w:p>
          <w:p w14:paraId="42320BD7" w14:textId="006E8693" w:rsidR="00BA13C0" w:rsidRDefault="00BA13C0" w:rsidP="004F7EEF">
            <w:pPr>
              <w:pStyle w:val="ANorm"/>
              <w:rPr>
                <w:sz w:val="16"/>
                <w:szCs w:val="16"/>
              </w:rPr>
            </w:pPr>
            <w:r>
              <w:rPr>
                <w:sz w:val="16"/>
                <w:szCs w:val="16"/>
              </w:rPr>
              <w:t>Unrelated to completion:</w:t>
            </w:r>
          </w:p>
          <w:p w14:paraId="594523FC" w14:textId="41CC0A88" w:rsidR="00BA13C0" w:rsidRDefault="00BA13C0">
            <w:pPr>
              <w:pStyle w:val="ANorm"/>
              <w:numPr>
                <w:ilvl w:val="0"/>
                <w:numId w:val="149"/>
              </w:numPr>
              <w:ind w:left="135" w:hanging="101"/>
              <w:rPr>
                <w:sz w:val="16"/>
                <w:szCs w:val="16"/>
              </w:rPr>
            </w:pPr>
            <w:r w:rsidRPr="004F7EEF">
              <w:rPr>
                <w:sz w:val="16"/>
                <w:szCs w:val="16"/>
              </w:rPr>
              <w:t>probable diagnosis of MDD</w:t>
            </w:r>
          </w:p>
          <w:p w14:paraId="4C89B0B5" w14:textId="77777777" w:rsidR="00BA13C0" w:rsidRDefault="00BA13C0">
            <w:pPr>
              <w:pStyle w:val="ANorm"/>
              <w:numPr>
                <w:ilvl w:val="0"/>
                <w:numId w:val="149"/>
              </w:numPr>
              <w:ind w:left="135" w:hanging="101"/>
              <w:rPr>
                <w:sz w:val="16"/>
                <w:szCs w:val="16"/>
              </w:rPr>
            </w:pPr>
            <w:r w:rsidRPr="004F7EEF">
              <w:rPr>
                <w:sz w:val="16"/>
                <w:szCs w:val="16"/>
              </w:rPr>
              <w:t>sex</w:t>
            </w:r>
          </w:p>
          <w:p w14:paraId="33862AEE" w14:textId="77777777" w:rsidR="00BA13C0" w:rsidRDefault="00BA13C0">
            <w:pPr>
              <w:pStyle w:val="ANorm"/>
              <w:numPr>
                <w:ilvl w:val="0"/>
                <w:numId w:val="149"/>
              </w:numPr>
              <w:ind w:left="135" w:hanging="101"/>
              <w:rPr>
                <w:sz w:val="16"/>
                <w:szCs w:val="16"/>
              </w:rPr>
            </w:pPr>
            <w:r w:rsidRPr="004F7EEF">
              <w:rPr>
                <w:sz w:val="16"/>
                <w:szCs w:val="16"/>
              </w:rPr>
              <w:t xml:space="preserve">rurality </w:t>
            </w:r>
          </w:p>
          <w:p w14:paraId="7B91B4C9" w14:textId="77777777" w:rsidR="00BA13C0" w:rsidRDefault="00BA13C0">
            <w:pPr>
              <w:pStyle w:val="ANorm"/>
              <w:numPr>
                <w:ilvl w:val="0"/>
                <w:numId w:val="149"/>
              </w:numPr>
              <w:ind w:left="135" w:hanging="101"/>
              <w:rPr>
                <w:sz w:val="16"/>
                <w:szCs w:val="16"/>
              </w:rPr>
            </w:pPr>
            <w:r w:rsidRPr="004F7EEF">
              <w:rPr>
                <w:sz w:val="16"/>
                <w:szCs w:val="16"/>
              </w:rPr>
              <w:t>prescribers’ profession</w:t>
            </w:r>
          </w:p>
          <w:p w14:paraId="4FC4F99D" w14:textId="0DBD36F1" w:rsidR="00BA13C0" w:rsidRDefault="00BA13C0">
            <w:pPr>
              <w:pStyle w:val="ANorm"/>
              <w:numPr>
                <w:ilvl w:val="0"/>
                <w:numId w:val="149"/>
              </w:numPr>
              <w:ind w:left="135" w:hanging="101"/>
              <w:rPr>
                <w:sz w:val="16"/>
                <w:szCs w:val="16"/>
              </w:rPr>
            </w:pPr>
            <w:r>
              <w:rPr>
                <w:sz w:val="16"/>
                <w:szCs w:val="16"/>
              </w:rPr>
              <w:t xml:space="preserve">baseline K10 </w:t>
            </w:r>
          </w:p>
          <w:p w14:paraId="022DB380" w14:textId="45021DFC" w:rsidR="00BA13C0" w:rsidRDefault="00BA13C0">
            <w:pPr>
              <w:pStyle w:val="ANorm"/>
              <w:numPr>
                <w:ilvl w:val="0"/>
                <w:numId w:val="149"/>
              </w:numPr>
              <w:ind w:left="135" w:hanging="101"/>
              <w:rPr>
                <w:sz w:val="16"/>
                <w:szCs w:val="16"/>
              </w:rPr>
            </w:pPr>
            <w:r>
              <w:rPr>
                <w:sz w:val="16"/>
                <w:szCs w:val="16"/>
              </w:rPr>
              <w:t>baseline WHODAS 2</w:t>
            </w:r>
          </w:p>
        </w:tc>
        <w:tc>
          <w:tcPr>
            <w:tcW w:w="556" w:type="pct"/>
          </w:tcPr>
          <w:p w14:paraId="5DFD2FC6" w14:textId="77777777" w:rsidR="00BA13C0" w:rsidRDefault="00BA13C0" w:rsidP="00AD22CF">
            <w:pPr>
              <w:pStyle w:val="ANorm"/>
              <w:rPr>
                <w:sz w:val="16"/>
                <w:szCs w:val="16"/>
              </w:rPr>
            </w:pPr>
            <w:r>
              <w:rPr>
                <w:sz w:val="16"/>
                <w:szCs w:val="16"/>
              </w:rPr>
              <w:t>44% (192/441)</w:t>
            </w:r>
          </w:p>
          <w:p w14:paraId="2E1F140F" w14:textId="77777777" w:rsidR="00BA13C0" w:rsidRDefault="00BA13C0" w:rsidP="007F3C68">
            <w:pPr>
              <w:pStyle w:val="ANorm"/>
              <w:rPr>
                <w:sz w:val="16"/>
                <w:szCs w:val="16"/>
              </w:rPr>
            </w:pPr>
          </w:p>
          <w:p w14:paraId="7951623B" w14:textId="77777777" w:rsidR="00BA13C0" w:rsidRPr="00407320" w:rsidRDefault="00BA13C0" w:rsidP="007F3C68">
            <w:pPr>
              <w:pStyle w:val="ANorm"/>
              <w:rPr>
                <w:sz w:val="16"/>
                <w:szCs w:val="16"/>
              </w:rPr>
            </w:pPr>
            <w:r w:rsidRPr="002E56E8">
              <w:rPr>
                <w:sz w:val="16"/>
                <w:szCs w:val="16"/>
              </w:rPr>
              <w:t>GAD-7 total scores reduced by at least 50% from pre-to-post treatment</w:t>
            </w:r>
          </w:p>
        </w:tc>
        <w:tc>
          <w:tcPr>
            <w:tcW w:w="497" w:type="pct"/>
          </w:tcPr>
          <w:p w14:paraId="076DF94E" w14:textId="77777777" w:rsidR="00BA13C0" w:rsidRDefault="00BA13C0" w:rsidP="00AD22CF">
            <w:pPr>
              <w:pStyle w:val="ANorm"/>
              <w:rPr>
                <w:sz w:val="16"/>
                <w:szCs w:val="16"/>
              </w:rPr>
            </w:pPr>
            <w:r>
              <w:rPr>
                <w:sz w:val="16"/>
                <w:szCs w:val="16"/>
              </w:rPr>
              <w:t>70% (178/256)</w:t>
            </w:r>
          </w:p>
          <w:p w14:paraId="22F3BAC3" w14:textId="77777777" w:rsidR="00BA13C0" w:rsidRDefault="00BA13C0" w:rsidP="007F3C68">
            <w:pPr>
              <w:pStyle w:val="ANorm"/>
              <w:rPr>
                <w:sz w:val="16"/>
                <w:szCs w:val="16"/>
              </w:rPr>
            </w:pPr>
          </w:p>
          <w:p w14:paraId="7B508B6D" w14:textId="7F45E217" w:rsidR="00BA13C0" w:rsidRPr="00407320" w:rsidRDefault="00BA13C0" w:rsidP="007F3C68">
            <w:pPr>
              <w:pStyle w:val="ANorm"/>
              <w:rPr>
                <w:sz w:val="16"/>
                <w:szCs w:val="16"/>
              </w:rPr>
            </w:pPr>
            <w:r>
              <w:rPr>
                <w:sz w:val="16"/>
                <w:szCs w:val="16"/>
              </w:rPr>
              <w:t>Those with probable pre-treatment GAD diagnosis who achieved p</w:t>
            </w:r>
            <w:r w:rsidRPr="002E56E8">
              <w:rPr>
                <w:sz w:val="16"/>
                <w:szCs w:val="16"/>
              </w:rPr>
              <w:t>ost-treatment GAD-7</w:t>
            </w:r>
            <w:r w:rsidRPr="002E56E8">
              <w:rPr>
                <w:sz w:val="16"/>
                <w:szCs w:val="16"/>
                <w:u w:val="single"/>
              </w:rPr>
              <w:t>&lt;</w:t>
            </w:r>
            <w:r>
              <w:rPr>
                <w:sz w:val="16"/>
                <w:szCs w:val="16"/>
              </w:rPr>
              <w:t>10 (</w:t>
            </w:r>
            <w:r w:rsidRPr="002E56E8">
              <w:rPr>
                <w:sz w:val="16"/>
                <w:szCs w:val="16"/>
              </w:rPr>
              <w:t>standard threshold for probable GAD diagnosis</w:t>
            </w:r>
            <w:r>
              <w:rPr>
                <w:sz w:val="16"/>
                <w:szCs w:val="16"/>
              </w:rPr>
              <w:t>)</w:t>
            </w:r>
          </w:p>
        </w:tc>
        <w:tc>
          <w:tcPr>
            <w:tcW w:w="966" w:type="pct"/>
          </w:tcPr>
          <w:p w14:paraId="5C01C477" w14:textId="23D8512F" w:rsidR="00BA13C0" w:rsidRPr="00857008" w:rsidRDefault="00BA13C0">
            <w:pPr>
              <w:pStyle w:val="ANorm"/>
              <w:numPr>
                <w:ilvl w:val="0"/>
                <w:numId w:val="148"/>
              </w:numPr>
              <w:ind w:left="115" w:hanging="161"/>
              <w:rPr>
                <w:sz w:val="16"/>
                <w:szCs w:val="16"/>
              </w:rPr>
            </w:pPr>
            <w:r w:rsidRPr="00857008">
              <w:rPr>
                <w:sz w:val="16"/>
                <w:szCs w:val="16"/>
              </w:rPr>
              <w:t xml:space="preserve">39% (171/441) reliable reduction in GAD </w:t>
            </w:r>
            <w:r>
              <w:rPr>
                <w:sz w:val="16"/>
                <w:szCs w:val="16"/>
              </w:rPr>
              <w:t xml:space="preserve">-7 </w:t>
            </w:r>
            <w:r w:rsidRPr="00857008">
              <w:rPr>
                <w:sz w:val="16"/>
                <w:szCs w:val="16"/>
              </w:rPr>
              <w:t>symptom severity</w:t>
            </w:r>
          </w:p>
          <w:p w14:paraId="4ADAEA6A" w14:textId="77777777" w:rsidR="00BA13C0" w:rsidRPr="00857008" w:rsidRDefault="00BA13C0">
            <w:pPr>
              <w:pStyle w:val="ANorm"/>
              <w:numPr>
                <w:ilvl w:val="0"/>
                <w:numId w:val="148"/>
              </w:numPr>
              <w:ind w:left="115" w:hanging="161"/>
              <w:rPr>
                <w:sz w:val="16"/>
                <w:szCs w:val="16"/>
              </w:rPr>
            </w:pPr>
            <w:r w:rsidRPr="00857008">
              <w:rPr>
                <w:sz w:val="16"/>
                <w:szCs w:val="16"/>
              </w:rPr>
              <w:t>&lt; 1% reliable deterioration (2/441)</w:t>
            </w:r>
          </w:p>
          <w:p w14:paraId="4B5FAE89" w14:textId="77777777" w:rsidR="00BA13C0" w:rsidRPr="00857008" w:rsidRDefault="00BA13C0" w:rsidP="007F3C68">
            <w:pPr>
              <w:pStyle w:val="ANorm"/>
              <w:rPr>
                <w:sz w:val="16"/>
                <w:szCs w:val="16"/>
                <w:highlight w:val="yellow"/>
              </w:rPr>
            </w:pPr>
          </w:p>
          <w:p w14:paraId="30B7A94B" w14:textId="77777777" w:rsidR="00BA13C0" w:rsidRPr="00857008" w:rsidRDefault="00BA13C0" w:rsidP="007F3C68">
            <w:pPr>
              <w:pStyle w:val="ANorm"/>
              <w:rPr>
                <w:sz w:val="16"/>
                <w:szCs w:val="16"/>
                <w:highlight w:val="yellow"/>
              </w:rPr>
            </w:pPr>
          </w:p>
        </w:tc>
      </w:tr>
      <w:tr w:rsidR="00BA13C0" w:rsidRPr="00407320" w14:paraId="39512E34" w14:textId="79C366A4" w:rsidTr="009E2A33">
        <w:tc>
          <w:tcPr>
            <w:tcW w:w="320" w:type="pct"/>
          </w:tcPr>
          <w:p w14:paraId="08230181" w14:textId="07B13DF6" w:rsidR="00BA13C0" w:rsidRPr="00407320" w:rsidRDefault="00BA13C0" w:rsidP="007F3C68">
            <w:pPr>
              <w:pStyle w:val="ANorm"/>
              <w:rPr>
                <w:sz w:val="16"/>
                <w:szCs w:val="16"/>
              </w:rPr>
            </w:pPr>
            <w:r w:rsidRPr="00407320">
              <w:rPr>
                <w:sz w:val="16"/>
                <w:szCs w:val="16"/>
              </w:rPr>
              <w:t xml:space="preserve">Hobbs </w:t>
            </w:r>
            <w:r w:rsidR="0065750D">
              <w:rPr>
                <w:sz w:val="16"/>
                <w:szCs w:val="16"/>
              </w:rPr>
              <w:t>et al</w:t>
            </w:r>
            <w:r w:rsidRPr="00407320">
              <w:rPr>
                <w:sz w:val="16"/>
                <w:szCs w:val="16"/>
              </w:rPr>
              <w:t xml:space="preserve"> (2018)</w:t>
            </w:r>
            <w:r>
              <w:rPr>
                <w:sz w:val="16"/>
                <w:szCs w:val="16"/>
              </w:rPr>
              <w:fldChar w:fldCharType="begin"/>
            </w:r>
            <w:r w:rsidR="004469A2">
              <w:rPr>
                <w:sz w:val="16"/>
                <w:szCs w:val="16"/>
              </w:rPr>
              <w:instrText xml:space="preserve"> ADDIN EN.CITE &lt;EndNote&gt;&lt;Cite&gt;&lt;Author&gt;Hobbs&lt;/Author&gt;&lt;Year&gt;2018&lt;/Year&gt;&lt;RecNum&gt;192&lt;/RecNum&gt;&lt;DisplayText&gt;&lt;style face="superscript"&gt;50&lt;/style&gt;&lt;/DisplayText&gt;&lt;record&gt;&lt;rec-number&gt;192&lt;/rec-number&gt;&lt;foreign-keys&gt;&lt;key app="EN" db-id="dawtr0zrkrzfa5edzzlpe2we0xa00t90vvr2" timestamp="1655693422"&gt;192&lt;/key&gt;&lt;/foreign-keys&gt;&lt;ref-type name="Journal Article"&gt;17&lt;/ref-type&gt;&lt;contributors&gt;&lt;authors&gt;&lt;author&gt;Hobbs, Megan J&lt;/author&gt;&lt;author&gt;Joubert, Amy E&lt;/author&gt;&lt;author&gt;Mahoney, Alison EJ&lt;/author&gt;&lt;author&gt;Andrews, Gavin&lt;/author&gt;&lt;/authors&gt;&lt;/contributors&gt;&lt;titles&gt;&lt;title&gt;Treating late-life depression: Comparing the effects of internet-delivered cognitive behavior therapy across the adult lifespan&lt;/title&gt;&lt;secondary-title&gt;Journal of Affective Disorders&lt;/secondary-title&gt;&lt;/titles&gt;&lt;periodical&gt;&lt;full-title&gt;Journal of Affective Disorders&lt;/full-title&gt;&lt;/periodical&gt;&lt;pages&gt;58-65&lt;/pages&gt;&lt;volume&gt;226&lt;/volume&gt;&lt;dates&gt;&lt;year&gt;2018&lt;/year&gt;&lt;/dates&gt;&lt;isbn&gt;0165-0327&lt;/isbn&gt;&lt;urls&gt;&lt;/urls&gt;&lt;/record&gt;&lt;/Cite&gt;&lt;/EndNote&gt;</w:instrText>
            </w:r>
            <w:r>
              <w:rPr>
                <w:sz w:val="16"/>
                <w:szCs w:val="16"/>
              </w:rPr>
              <w:fldChar w:fldCharType="separate"/>
            </w:r>
            <w:r w:rsidR="004469A2" w:rsidRPr="004469A2">
              <w:rPr>
                <w:noProof/>
                <w:sz w:val="16"/>
                <w:szCs w:val="16"/>
                <w:vertAlign w:val="superscript"/>
              </w:rPr>
              <w:t>50</w:t>
            </w:r>
            <w:r>
              <w:rPr>
                <w:sz w:val="16"/>
                <w:szCs w:val="16"/>
              </w:rPr>
              <w:fldChar w:fldCharType="end"/>
            </w:r>
          </w:p>
        </w:tc>
        <w:tc>
          <w:tcPr>
            <w:tcW w:w="702" w:type="pct"/>
          </w:tcPr>
          <w:p w14:paraId="4CA8AF07" w14:textId="77777777" w:rsidR="00BA13C0" w:rsidRDefault="00BA13C0" w:rsidP="007F3C68">
            <w:pPr>
              <w:pStyle w:val="ANorm"/>
              <w:rPr>
                <w:sz w:val="16"/>
                <w:szCs w:val="16"/>
              </w:rPr>
            </w:pPr>
            <w:r>
              <w:rPr>
                <w:sz w:val="16"/>
                <w:szCs w:val="16"/>
              </w:rPr>
              <w:t>E</w:t>
            </w:r>
            <w:r w:rsidRPr="00857008">
              <w:rPr>
                <w:sz w:val="16"/>
                <w:szCs w:val="16"/>
              </w:rPr>
              <w:t xml:space="preserve">xamines effects of </w:t>
            </w:r>
            <w:proofErr w:type="spellStart"/>
            <w:r w:rsidRPr="00857008">
              <w:rPr>
                <w:sz w:val="16"/>
                <w:szCs w:val="16"/>
              </w:rPr>
              <w:t>iCBT</w:t>
            </w:r>
            <w:proofErr w:type="spellEnd"/>
            <w:r w:rsidRPr="00857008">
              <w:rPr>
                <w:sz w:val="16"/>
                <w:szCs w:val="16"/>
              </w:rPr>
              <w:t xml:space="preserve"> for depression across adult lifespan</w:t>
            </w:r>
            <w:r>
              <w:rPr>
                <w:sz w:val="16"/>
                <w:szCs w:val="16"/>
              </w:rPr>
              <w:t xml:space="preserve"> </w:t>
            </w:r>
            <w:r w:rsidRPr="00857008">
              <w:rPr>
                <w:sz w:val="16"/>
                <w:szCs w:val="16"/>
              </w:rPr>
              <w:t>among patients seeking help in routine clinical care (N=1288)</w:t>
            </w:r>
          </w:p>
          <w:p w14:paraId="41FD6424" w14:textId="023A05B1" w:rsidR="00BA13C0" w:rsidRPr="00407320" w:rsidRDefault="00BA13C0" w:rsidP="007304D6">
            <w:pPr>
              <w:pStyle w:val="ANorm"/>
              <w:rPr>
                <w:sz w:val="16"/>
                <w:szCs w:val="16"/>
              </w:rPr>
            </w:pPr>
          </w:p>
        </w:tc>
        <w:tc>
          <w:tcPr>
            <w:tcW w:w="380" w:type="pct"/>
          </w:tcPr>
          <w:p w14:paraId="30F78E59" w14:textId="24B60844" w:rsidR="00BA13C0" w:rsidRDefault="00BA13C0" w:rsidP="007F3C68">
            <w:pPr>
              <w:pStyle w:val="ANorm"/>
              <w:rPr>
                <w:sz w:val="16"/>
                <w:szCs w:val="16"/>
              </w:rPr>
            </w:pPr>
            <w:r>
              <w:rPr>
                <w:sz w:val="16"/>
                <w:szCs w:val="16"/>
              </w:rPr>
              <w:t>45.5% (586)</w:t>
            </w:r>
          </w:p>
          <w:p w14:paraId="241CBAEF" w14:textId="77777777" w:rsidR="00BA13C0" w:rsidRDefault="00BA13C0" w:rsidP="007F3C68">
            <w:pPr>
              <w:pStyle w:val="ANorm"/>
              <w:rPr>
                <w:sz w:val="16"/>
                <w:szCs w:val="16"/>
              </w:rPr>
            </w:pPr>
          </w:p>
          <w:p w14:paraId="7D3C2B0D" w14:textId="77777777" w:rsidR="00BA13C0" w:rsidRDefault="00BA13C0" w:rsidP="007F3C68">
            <w:pPr>
              <w:pStyle w:val="ANorm"/>
              <w:rPr>
                <w:sz w:val="16"/>
                <w:szCs w:val="16"/>
              </w:rPr>
            </w:pPr>
            <w:r>
              <w:rPr>
                <w:sz w:val="16"/>
                <w:szCs w:val="16"/>
              </w:rPr>
              <w:t>Mean: 4.15</w:t>
            </w:r>
          </w:p>
          <w:p w14:paraId="084C95D3" w14:textId="77777777" w:rsidR="00BA13C0" w:rsidRDefault="00BA13C0" w:rsidP="007F3C68">
            <w:pPr>
              <w:pStyle w:val="ANorm"/>
              <w:rPr>
                <w:sz w:val="16"/>
                <w:szCs w:val="16"/>
              </w:rPr>
            </w:pPr>
            <w:r>
              <w:rPr>
                <w:sz w:val="16"/>
                <w:szCs w:val="16"/>
              </w:rPr>
              <w:t>(SD=1.99)</w:t>
            </w:r>
          </w:p>
        </w:tc>
        <w:tc>
          <w:tcPr>
            <w:tcW w:w="1579" w:type="pct"/>
          </w:tcPr>
          <w:p w14:paraId="50D73C7D" w14:textId="726BF586" w:rsidR="00BA13C0" w:rsidRPr="00F31849" w:rsidRDefault="00BA13C0" w:rsidP="00924617">
            <w:pPr>
              <w:pStyle w:val="ANorm"/>
              <w:rPr>
                <w:sz w:val="16"/>
                <w:szCs w:val="16"/>
              </w:rPr>
            </w:pPr>
            <w:r w:rsidRPr="00F31849">
              <w:rPr>
                <w:sz w:val="16"/>
                <w:szCs w:val="16"/>
              </w:rPr>
              <w:t>Age group significantly associated with adherence after controlling for probable MDD diagnosis, rurality, and baseline psychological distress</w:t>
            </w:r>
          </w:p>
          <w:p w14:paraId="4BDA9032" w14:textId="77777777" w:rsidR="00BA13C0" w:rsidRPr="00F31849" w:rsidRDefault="00BA13C0" w:rsidP="00924617">
            <w:pPr>
              <w:pStyle w:val="ANorm"/>
              <w:rPr>
                <w:sz w:val="16"/>
                <w:szCs w:val="16"/>
              </w:rPr>
            </w:pPr>
          </w:p>
          <w:p w14:paraId="7D1C7C1E" w14:textId="783F67F1" w:rsidR="00BA13C0" w:rsidRPr="00FE469B" w:rsidRDefault="00BA13C0" w:rsidP="00FE469B">
            <w:pPr>
              <w:pStyle w:val="ANorm"/>
              <w:rPr>
                <w:sz w:val="16"/>
                <w:szCs w:val="16"/>
                <w:highlight w:val="yellow"/>
              </w:rPr>
            </w:pPr>
            <w:r w:rsidRPr="00F31849">
              <w:rPr>
                <w:sz w:val="16"/>
                <w:szCs w:val="16"/>
              </w:rPr>
              <w:t>Those aged &gt; 65 years more likely to complete treatment compared to those aged 18-54 years, but did not differ from those aged 55-64 years</w:t>
            </w:r>
          </w:p>
        </w:tc>
        <w:tc>
          <w:tcPr>
            <w:tcW w:w="556" w:type="pct"/>
          </w:tcPr>
          <w:p w14:paraId="48D27B24" w14:textId="77777777" w:rsidR="00BA13C0" w:rsidRDefault="00BA13C0" w:rsidP="007F3C68">
            <w:pPr>
              <w:pStyle w:val="ANorm"/>
              <w:rPr>
                <w:sz w:val="16"/>
                <w:szCs w:val="16"/>
              </w:rPr>
            </w:pPr>
            <w:r>
              <w:rPr>
                <w:sz w:val="16"/>
                <w:szCs w:val="16"/>
              </w:rPr>
              <w:t>44.2% (259/586)</w:t>
            </w:r>
          </w:p>
          <w:p w14:paraId="4DCAF1D0" w14:textId="77777777" w:rsidR="00BA13C0" w:rsidRDefault="00BA13C0" w:rsidP="007F3C68">
            <w:pPr>
              <w:pStyle w:val="ANorm"/>
              <w:rPr>
                <w:sz w:val="16"/>
                <w:szCs w:val="16"/>
              </w:rPr>
            </w:pPr>
          </w:p>
          <w:p w14:paraId="7DAB9B51" w14:textId="586B4265" w:rsidR="00BA13C0" w:rsidRPr="00407320" w:rsidRDefault="00BA13C0" w:rsidP="007F3C68">
            <w:pPr>
              <w:pStyle w:val="ANorm"/>
              <w:rPr>
                <w:sz w:val="16"/>
                <w:szCs w:val="16"/>
              </w:rPr>
            </w:pPr>
            <w:r w:rsidRPr="007C4D42">
              <w:rPr>
                <w:sz w:val="16"/>
                <w:szCs w:val="16"/>
              </w:rPr>
              <w:t xml:space="preserve">PHQ9 scores reducing at least 50% pre to post </w:t>
            </w:r>
            <w:r>
              <w:rPr>
                <w:sz w:val="16"/>
                <w:szCs w:val="16"/>
              </w:rPr>
              <w:t xml:space="preserve">among those who </w:t>
            </w:r>
            <w:r w:rsidRPr="007C4D42">
              <w:rPr>
                <w:sz w:val="16"/>
                <w:szCs w:val="16"/>
              </w:rPr>
              <w:t>completed all 6 lessons</w:t>
            </w:r>
          </w:p>
        </w:tc>
        <w:tc>
          <w:tcPr>
            <w:tcW w:w="497" w:type="pct"/>
          </w:tcPr>
          <w:p w14:paraId="3B725BB3" w14:textId="77777777" w:rsidR="00BA13C0" w:rsidRDefault="00BA13C0" w:rsidP="007F3C68">
            <w:pPr>
              <w:pStyle w:val="ANorm"/>
              <w:rPr>
                <w:sz w:val="16"/>
                <w:szCs w:val="16"/>
              </w:rPr>
            </w:pPr>
            <w:r>
              <w:rPr>
                <w:sz w:val="16"/>
                <w:szCs w:val="16"/>
              </w:rPr>
              <w:t>58.8% (241/410)</w:t>
            </w:r>
          </w:p>
          <w:p w14:paraId="2D34C3CF" w14:textId="5FB64486" w:rsidR="00BA13C0" w:rsidRPr="00407320" w:rsidRDefault="00BA13C0" w:rsidP="007F3C68">
            <w:pPr>
              <w:pStyle w:val="ANorm"/>
              <w:rPr>
                <w:sz w:val="16"/>
                <w:szCs w:val="16"/>
              </w:rPr>
            </w:pPr>
            <w:r>
              <w:rPr>
                <w:sz w:val="16"/>
                <w:szCs w:val="16"/>
              </w:rPr>
              <w:t>Baseline PHQ-9</w:t>
            </w:r>
            <w:r w:rsidRPr="00024A08">
              <w:rPr>
                <w:sz w:val="16"/>
                <w:szCs w:val="16"/>
                <w:u w:val="single"/>
              </w:rPr>
              <w:t>&gt;</w:t>
            </w:r>
            <w:r>
              <w:rPr>
                <w:sz w:val="16"/>
                <w:szCs w:val="16"/>
              </w:rPr>
              <w:t xml:space="preserve">10 and post-treatment </w:t>
            </w:r>
            <w:r w:rsidRPr="00446B4E">
              <w:rPr>
                <w:sz w:val="16"/>
                <w:szCs w:val="16"/>
              </w:rPr>
              <w:t>PHQ</w:t>
            </w:r>
            <w:r>
              <w:rPr>
                <w:sz w:val="16"/>
                <w:szCs w:val="16"/>
              </w:rPr>
              <w:t>-</w:t>
            </w:r>
            <w:r w:rsidRPr="00446B4E">
              <w:rPr>
                <w:sz w:val="16"/>
                <w:szCs w:val="16"/>
              </w:rPr>
              <w:t>9&lt;10</w:t>
            </w:r>
            <w:r>
              <w:rPr>
                <w:sz w:val="16"/>
                <w:szCs w:val="16"/>
              </w:rPr>
              <w:t xml:space="preserve"> (</w:t>
            </w:r>
            <w:r w:rsidRPr="002E56E8">
              <w:rPr>
                <w:sz w:val="16"/>
                <w:szCs w:val="16"/>
              </w:rPr>
              <w:t xml:space="preserve">standard threshold for probable </w:t>
            </w:r>
            <w:r>
              <w:rPr>
                <w:sz w:val="16"/>
                <w:szCs w:val="16"/>
              </w:rPr>
              <w:t>MDD</w:t>
            </w:r>
            <w:r w:rsidRPr="002E56E8">
              <w:rPr>
                <w:sz w:val="16"/>
                <w:szCs w:val="16"/>
              </w:rPr>
              <w:t xml:space="preserve"> diagnosis</w:t>
            </w:r>
            <w:r>
              <w:rPr>
                <w:sz w:val="16"/>
                <w:szCs w:val="16"/>
              </w:rPr>
              <w:t>)</w:t>
            </w:r>
          </w:p>
        </w:tc>
        <w:tc>
          <w:tcPr>
            <w:tcW w:w="966" w:type="pct"/>
          </w:tcPr>
          <w:p w14:paraId="5C48B79C" w14:textId="1F6453ED" w:rsidR="00BA13C0" w:rsidRPr="00931C40" w:rsidRDefault="00BA13C0">
            <w:pPr>
              <w:pStyle w:val="ANorm"/>
              <w:numPr>
                <w:ilvl w:val="0"/>
                <w:numId w:val="148"/>
              </w:numPr>
              <w:ind w:left="115" w:hanging="161"/>
              <w:rPr>
                <w:sz w:val="16"/>
                <w:szCs w:val="16"/>
              </w:rPr>
            </w:pPr>
            <w:r w:rsidRPr="00931C40">
              <w:rPr>
                <w:sz w:val="16"/>
                <w:szCs w:val="16"/>
              </w:rPr>
              <w:t>44.97% (210/</w:t>
            </w:r>
            <w:proofErr w:type="gramStart"/>
            <w:r w:rsidRPr="00931C40">
              <w:rPr>
                <w:sz w:val="16"/>
                <w:szCs w:val="16"/>
              </w:rPr>
              <w:t>467)</w:t>
            </w:r>
            <w:r w:rsidR="00940170" w:rsidRPr="00940170">
              <w:rPr>
                <w:sz w:val="16"/>
                <w:szCs w:val="16"/>
                <w:vertAlign w:val="superscript"/>
              </w:rPr>
              <w:t>a</w:t>
            </w:r>
            <w:proofErr w:type="gramEnd"/>
            <w:r w:rsidRPr="00931C40">
              <w:rPr>
                <w:sz w:val="16"/>
                <w:szCs w:val="16"/>
              </w:rPr>
              <w:t xml:space="preserve"> reliable </w:t>
            </w:r>
            <w:r w:rsidR="00AB4ADE">
              <w:rPr>
                <w:sz w:val="16"/>
                <w:szCs w:val="16"/>
              </w:rPr>
              <w:t>improvement</w:t>
            </w:r>
            <w:r w:rsidRPr="00931C40">
              <w:rPr>
                <w:sz w:val="16"/>
                <w:szCs w:val="16"/>
              </w:rPr>
              <w:t xml:space="preserve"> </w:t>
            </w:r>
            <w:r w:rsidR="00AB4ADE">
              <w:rPr>
                <w:sz w:val="16"/>
                <w:szCs w:val="16"/>
              </w:rPr>
              <w:t>o</w:t>
            </w:r>
            <w:r w:rsidRPr="00931C40">
              <w:rPr>
                <w:sz w:val="16"/>
                <w:szCs w:val="16"/>
              </w:rPr>
              <w:t xml:space="preserve">n PHQ-9 (change of </w:t>
            </w:r>
            <w:r w:rsidRPr="00931C40">
              <w:rPr>
                <w:sz w:val="16"/>
                <w:szCs w:val="16"/>
                <w:u w:val="single"/>
              </w:rPr>
              <w:t>&gt;</w:t>
            </w:r>
            <w:r w:rsidRPr="00931C40">
              <w:rPr>
                <w:sz w:val="16"/>
                <w:szCs w:val="16"/>
              </w:rPr>
              <w:t>7.04</w:t>
            </w:r>
            <w:r w:rsidR="00AB4ADE">
              <w:rPr>
                <w:sz w:val="16"/>
                <w:szCs w:val="16"/>
              </w:rPr>
              <w:t>)</w:t>
            </w:r>
          </w:p>
          <w:p w14:paraId="6CB8CC96" w14:textId="4CFBC41A" w:rsidR="00BA13C0" w:rsidRPr="00077E73" w:rsidRDefault="00BA13C0">
            <w:pPr>
              <w:pStyle w:val="ANorm"/>
              <w:numPr>
                <w:ilvl w:val="0"/>
                <w:numId w:val="148"/>
              </w:numPr>
              <w:ind w:left="115" w:hanging="161"/>
              <w:rPr>
                <w:sz w:val="16"/>
                <w:szCs w:val="16"/>
              </w:rPr>
            </w:pPr>
            <w:r w:rsidRPr="00931C40">
              <w:rPr>
                <w:sz w:val="16"/>
                <w:szCs w:val="16"/>
              </w:rPr>
              <w:t>0.34% (2/</w:t>
            </w:r>
            <w:proofErr w:type="gramStart"/>
            <w:r w:rsidRPr="00931C40">
              <w:rPr>
                <w:sz w:val="16"/>
                <w:szCs w:val="16"/>
              </w:rPr>
              <w:t>586)</w:t>
            </w:r>
            <w:r w:rsidR="00AB4ADE" w:rsidRPr="00AB4ADE">
              <w:rPr>
                <w:sz w:val="16"/>
                <w:szCs w:val="16"/>
                <w:vertAlign w:val="superscript"/>
              </w:rPr>
              <w:t>b</w:t>
            </w:r>
            <w:proofErr w:type="gramEnd"/>
            <w:r w:rsidRPr="00AB4ADE">
              <w:rPr>
                <w:sz w:val="16"/>
                <w:szCs w:val="16"/>
                <w:vertAlign w:val="superscript"/>
              </w:rPr>
              <w:t xml:space="preserve"> </w:t>
            </w:r>
            <w:r w:rsidRPr="00931C40">
              <w:rPr>
                <w:sz w:val="16"/>
                <w:szCs w:val="16"/>
              </w:rPr>
              <w:t xml:space="preserve">reliable </w:t>
            </w:r>
            <w:r w:rsidR="00AB4ADE">
              <w:rPr>
                <w:sz w:val="16"/>
                <w:szCs w:val="16"/>
              </w:rPr>
              <w:t>deterioration o</w:t>
            </w:r>
            <w:r w:rsidRPr="00F77030">
              <w:rPr>
                <w:sz w:val="16"/>
                <w:szCs w:val="16"/>
              </w:rPr>
              <w:t>n</w:t>
            </w:r>
            <w:r>
              <w:rPr>
                <w:sz w:val="16"/>
                <w:szCs w:val="16"/>
              </w:rPr>
              <w:t xml:space="preserve"> PHQ-9</w:t>
            </w:r>
          </w:p>
        </w:tc>
      </w:tr>
      <w:tr w:rsidR="00BA13C0" w:rsidRPr="00407320" w14:paraId="44C2C71C" w14:textId="1FF42BCB" w:rsidTr="009E2A33">
        <w:tc>
          <w:tcPr>
            <w:tcW w:w="320" w:type="pct"/>
          </w:tcPr>
          <w:p w14:paraId="7A665D59" w14:textId="29CC68A9" w:rsidR="00BA13C0" w:rsidRPr="00407320" w:rsidRDefault="00BA13C0" w:rsidP="007F3C68">
            <w:pPr>
              <w:pStyle w:val="ANorm"/>
              <w:rPr>
                <w:sz w:val="16"/>
                <w:szCs w:val="16"/>
              </w:rPr>
            </w:pPr>
            <w:r w:rsidRPr="00407320">
              <w:rPr>
                <w:sz w:val="16"/>
                <w:szCs w:val="16"/>
              </w:rPr>
              <w:t xml:space="preserve">Williams </w:t>
            </w:r>
            <w:r w:rsidR="0065750D">
              <w:rPr>
                <w:sz w:val="16"/>
                <w:szCs w:val="16"/>
              </w:rPr>
              <w:t>et al</w:t>
            </w:r>
            <w:r w:rsidRPr="00407320">
              <w:rPr>
                <w:sz w:val="16"/>
                <w:szCs w:val="16"/>
              </w:rPr>
              <w:t xml:space="preserve"> (2014)</w:t>
            </w:r>
            <w:r>
              <w:rPr>
                <w:sz w:val="16"/>
                <w:szCs w:val="16"/>
              </w:rPr>
              <w:fldChar w:fldCharType="begin"/>
            </w:r>
            <w:r w:rsidR="004469A2">
              <w:rPr>
                <w:sz w:val="16"/>
                <w:szCs w:val="16"/>
              </w:rPr>
              <w:instrText xml:space="preserve"> ADDIN EN.CITE &lt;EndNote&gt;&lt;Cite&gt;&lt;Author&gt;Williams&lt;/Author&gt;&lt;Year&gt;2014&lt;/Year&gt;&lt;RecNum&gt;190&lt;/RecNum&gt;&lt;DisplayText&gt;&lt;style face="superscript"&gt;52&lt;/style&gt;&lt;/DisplayText&gt;&lt;record&gt;&lt;rec-number&gt;190&lt;/rec-number&gt;&lt;foreign-keys&gt;&lt;key app="EN" db-id="dawtr0zrkrzfa5edzzlpe2we0xa00t90vvr2" timestamp="1655693095"&gt;190&lt;/key&gt;&lt;/foreign-keys&gt;&lt;ref-type name="Journal Article"&gt;17&lt;/ref-type&gt;&lt;contributors&gt;&lt;authors&gt;&lt;author&gt;Williams, Alishia D&lt;/author&gt;&lt;author&gt;O&amp;apos;Moore, Kathleen&lt;/author&gt;&lt;author&gt;Mason, Elizabeth&lt;/author&gt;&lt;author&gt;Andrews, Gavin&lt;/author&gt;&lt;/authors&gt;&lt;/contributors&gt;&lt;titles&gt;&lt;title&gt;The effectiveness of internet cognitive behaviour therapy (iCBT) for social anxiety disorder across two routine practice pathways&lt;/title&gt;&lt;secondary-title&gt;Internet Interventions&lt;/secondary-title&gt;&lt;/titles&gt;&lt;periodical&gt;&lt;full-title&gt;Internet Interventions&lt;/full-title&gt;&lt;/periodical&gt;&lt;pages&gt;225-229&lt;/pages&gt;&lt;volume&gt;1&lt;/volume&gt;&lt;number&gt;4&lt;/number&gt;&lt;dates&gt;&lt;year&gt;2014&lt;/year&gt;&lt;/dates&gt;&lt;isbn&gt;2214-7829&lt;/isbn&gt;&lt;urls&gt;&lt;/urls&gt;&lt;/record&gt;&lt;/Cite&gt;&lt;/EndNote&gt;</w:instrText>
            </w:r>
            <w:r>
              <w:rPr>
                <w:sz w:val="16"/>
                <w:szCs w:val="16"/>
              </w:rPr>
              <w:fldChar w:fldCharType="separate"/>
            </w:r>
            <w:r w:rsidR="004469A2" w:rsidRPr="004469A2">
              <w:rPr>
                <w:noProof/>
                <w:sz w:val="16"/>
                <w:szCs w:val="16"/>
                <w:vertAlign w:val="superscript"/>
              </w:rPr>
              <w:t>52</w:t>
            </w:r>
            <w:r>
              <w:rPr>
                <w:sz w:val="16"/>
                <w:szCs w:val="16"/>
              </w:rPr>
              <w:fldChar w:fldCharType="end"/>
            </w:r>
          </w:p>
        </w:tc>
        <w:tc>
          <w:tcPr>
            <w:tcW w:w="702" w:type="pct"/>
          </w:tcPr>
          <w:p w14:paraId="44182514" w14:textId="3534D5EC" w:rsidR="00BA13C0" w:rsidRPr="00407320" w:rsidRDefault="00BA13C0" w:rsidP="007F3C68">
            <w:pPr>
              <w:pStyle w:val="ANorm"/>
              <w:rPr>
                <w:sz w:val="16"/>
                <w:szCs w:val="16"/>
              </w:rPr>
            </w:pPr>
            <w:r>
              <w:rPr>
                <w:sz w:val="16"/>
                <w:szCs w:val="16"/>
              </w:rPr>
              <w:t>E</w:t>
            </w:r>
            <w:r w:rsidRPr="00A461A0">
              <w:rPr>
                <w:sz w:val="16"/>
                <w:szCs w:val="16"/>
              </w:rPr>
              <w:t xml:space="preserve">valuate effectiveness of </w:t>
            </w:r>
            <w:proofErr w:type="spellStart"/>
            <w:r w:rsidRPr="00A461A0">
              <w:rPr>
                <w:sz w:val="16"/>
                <w:szCs w:val="16"/>
              </w:rPr>
              <w:t>iCBT</w:t>
            </w:r>
            <w:proofErr w:type="spellEnd"/>
            <w:r w:rsidRPr="00A461A0">
              <w:rPr>
                <w:sz w:val="16"/>
                <w:szCs w:val="16"/>
              </w:rPr>
              <w:t xml:space="preserve"> program for SAD when</w:t>
            </w:r>
            <w:r>
              <w:rPr>
                <w:sz w:val="16"/>
                <w:szCs w:val="16"/>
              </w:rPr>
              <w:t xml:space="preserve"> </w:t>
            </w:r>
            <w:r w:rsidRPr="00A461A0">
              <w:rPr>
                <w:sz w:val="16"/>
                <w:szCs w:val="16"/>
              </w:rPr>
              <w:t>delivered in routine practice</w:t>
            </w:r>
            <w:r>
              <w:rPr>
                <w:sz w:val="16"/>
                <w:szCs w:val="16"/>
              </w:rPr>
              <w:t xml:space="preserve"> (</w:t>
            </w:r>
            <w:r w:rsidRPr="00A461A0">
              <w:rPr>
                <w:sz w:val="16"/>
                <w:szCs w:val="16"/>
              </w:rPr>
              <w:t>N=368</w:t>
            </w:r>
            <w:r>
              <w:rPr>
                <w:sz w:val="16"/>
                <w:szCs w:val="16"/>
              </w:rPr>
              <w:t>)</w:t>
            </w:r>
          </w:p>
        </w:tc>
        <w:tc>
          <w:tcPr>
            <w:tcW w:w="380" w:type="pct"/>
          </w:tcPr>
          <w:p w14:paraId="6D5352F2" w14:textId="77777777" w:rsidR="00BA13C0" w:rsidRDefault="00BA13C0" w:rsidP="007F3C68">
            <w:pPr>
              <w:pStyle w:val="ANorm"/>
              <w:rPr>
                <w:sz w:val="16"/>
                <w:szCs w:val="16"/>
              </w:rPr>
            </w:pPr>
            <w:r>
              <w:rPr>
                <w:sz w:val="16"/>
                <w:szCs w:val="16"/>
              </w:rPr>
              <w:t>52% (191)</w:t>
            </w:r>
          </w:p>
        </w:tc>
        <w:tc>
          <w:tcPr>
            <w:tcW w:w="1579" w:type="pct"/>
          </w:tcPr>
          <w:p w14:paraId="0C806313" w14:textId="1AC6A81B" w:rsidR="00BA13C0" w:rsidRDefault="00BA13C0" w:rsidP="00135A25">
            <w:pPr>
              <w:pStyle w:val="ANorm"/>
              <w:ind w:left="34"/>
              <w:rPr>
                <w:sz w:val="16"/>
                <w:szCs w:val="16"/>
              </w:rPr>
            </w:pPr>
            <w:r>
              <w:rPr>
                <w:sz w:val="16"/>
                <w:szCs w:val="16"/>
              </w:rPr>
              <w:t xml:space="preserve">Age only significant </w:t>
            </w:r>
            <w:proofErr w:type="gramStart"/>
            <w:r>
              <w:rPr>
                <w:sz w:val="16"/>
                <w:szCs w:val="16"/>
              </w:rPr>
              <w:t>predictor;</w:t>
            </w:r>
            <w:proofErr w:type="gramEnd"/>
            <w:r>
              <w:rPr>
                <w:sz w:val="16"/>
                <w:szCs w:val="16"/>
              </w:rPr>
              <w:t xml:space="preserve"> </w:t>
            </w:r>
            <w:r w:rsidRPr="006935BB">
              <w:rPr>
                <w:sz w:val="16"/>
                <w:szCs w:val="16"/>
              </w:rPr>
              <w:t>completers</w:t>
            </w:r>
            <w:r w:rsidRPr="00C51801">
              <w:rPr>
                <w:sz w:val="16"/>
                <w:szCs w:val="16"/>
              </w:rPr>
              <w:t xml:space="preserve"> significantly older (M=36.81, SD=14.21) than non</w:t>
            </w:r>
            <w:r>
              <w:rPr>
                <w:sz w:val="16"/>
                <w:szCs w:val="16"/>
              </w:rPr>
              <w:t>-</w:t>
            </w:r>
            <w:r w:rsidRPr="00C51801">
              <w:rPr>
                <w:sz w:val="16"/>
                <w:szCs w:val="16"/>
              </w:rPr>
              <w:t>completers</w:t>
            </w:r>
            <w:r>
              <w:rPr>
                <w:sz w:val="16"/>
                <w:szCs w:val="16"/>
              </w:rPr>
              <w:t xml:space="preserve"> </w:t>
            </w:r>
            <w:r w:rsidRPr="00C51801">
              <w:rPr>
                <w:sz w:val="16"/>
                <w:szCs w:val="16"/>
              </w:rPr>
              <w:t>(M=32.46, SD=13.07) and drop-outs (M = 28.63,</w:t>
            </w:r>
            <w:r>
              <w:rPr>
                <w:sz w:val="16"/>
                <w:szCs w:val="16"/>
              </w:rPr>
              <w:t xml:space="preserve"> </w:t>
            </w:r>
            <w:r w:rsidRPr="00C51801">
              <w:rPr>
                <w:sz w:val="16"/>
                <w:szCs w:val="16"/>
              </w:rPr>
              <w:t xml:space="preserve">SD=9.85), p </w:t>
            </w:r>
            <w:r>
              <w:rPr>
                <w:sz w:val="16"/>
                <w:szCs w:val="16"/>
              </w:rPr>
              <w:t>&lt;</w:t>
            </w:r>
            <w:r w:rsidRPr="00C51801">
              <w:rPr>
                <w:sz w:val="16"/>
                <w:szCs w:val="16"/>
              </w:rPr>
              <w:t>.001.</w:t>
            </w:r>
          </w:p>
          <w:p w14:paraId="256E03C4" w14:textId="77777777" w:rsidR="00BA13C0" w:rsidRPr="00C51801" w:rsidRDefault="00BA13C0" w:rsidP="00135A25">
            <w:pPr>
              <w:pStyle w:val="ANorm"/>
              <w:ind w:left="34"/>
              <w:rPr>
                <w:sz w:val="16"/>
                <w:szCs w:val="16"/>
              </w:rPr>
            </w:pPr>
          </w:p>
          <w:p w14:paraId="30A1F039" w14:textId="27A9A51F" w:rsidR="00BA13C0" w:rsidRPr="00FE469B" w:rsidRDefault="00BA13C0" w:rsidP="00135A25">
            <w:pPr>
              <w:pStyle w:val="ANorm"/>
              <w:ind w:left="34"/>
              <w:rPr>
                <w:sz w:val="16"/>
                <w:szCs w:val="16"/>
              </w:rPr>
            </w:pPr>
            <w:r w:rsidRPr="006935BB">
              <w:rPr>
                <w:sz w:val="16"/>
                <w:szCs w:val="16"/>
              </w:rPr>
              <w:t xml:space="preserve">Post-hoc comparisons </w:t>
            </w:r>
            <w:r>
              <w:rPr>
                <w:sz w:val="16"/>
                <w:szCs w:val="16"/>
              </w:rPr>
              <w:t xml:space="preserve">on </w:t>
            </w:r>
            <w:r w:rsidRPr="00FE469B">
              <w:rPr>
                <w:sz w:val="16"/>
                <w:szCs w:val="16"/>
              </w:rPr>
              <w:t xml:space="preserve">K10 scores, </w:t>
            </w:r>
            <w:proofErr w:type="gramStart"/>
            <w:r w:rsidRPr="00FE469B">
              <w:rPr>
                <w:sz w:val="16"/>
                <w:szCs w:val="16"/>
              </w:rPr>
              <w:t>F(</w:t>
            </w:r>
            <w:proofErr w:type="gramEnd"/>
            <w:r w:rsidRPr="00FE469B">
              <w:rPr>
                <w:sz w:val="16"/>
                <w:szCs w:val="16"/>
              </w:rPr>
              <w:t>2, 365)=3.98, p</w:t>
            </w:r>
            <w:r>
              <w:rPr>
                <w:sz w:val="16"/>
                <w:szCs w:val="16"/>
              </w:rPr>
              <w:t>&lt;</w:t>
            </w:r>
            <w:r w:rsidRPr="00FE469B">
              <w:rPr>
                <w:sz w:val="16"/>
                <w:szCs w:val="16"/>
              </w:rPr>
              <w:t>.05, η2 = .02</w:t>
            </w:r>
            <w:r>
              <w:rPr>
                <w:sz w:val="16"/>
                <w:szCs w:val="16"/>
              </w:rPr>
              <w:t xml:space="preserve"> </w:t>
            </w:r>
            <w:r w:rsidRPr="00FE469B">
              <w:rPr>
                <w:sz w:val="16"/>
                <w:szCs w:val="16"/>
              </w:rPr>
              <w:t>indicated higher mean baseline scores in non-completers (28.44, SD=6.74) relative to completers (26.05, SD = 7.57), p = .04.</w:t>
            </w:r>
          </w:p>
        </w:tc>
        <w:tc>
          <w:tcPr>
            <w:tcW w:w="556" w:type="pct"/>
          </w:tcPr>
          <w:p w14:paraId="4F897A2C" w14:textId="77777777" w:rsidR="00BA13C0" w:rsidRPr="00407320" w:rsidRDefault="00BA13C0" w:rsidP="007F3C68">
            <w:pPr>
              <w:pStyle w:val="ANorm"/>
              <w:rPr>
                <w:sz w:val="16"/>
                <w:szCs w:val="16"/>
              </w:rPr>
            </w:pPr>
            <w:r>
              <w:rPr>
                <w:sz w:val="16"/>
                <w:szCs w:val="16"/>
              </w:rPr>
              <w:t>Not reported</w:t>
            </w:r>
          </w:p>
        </w:tc>
        <w:tc>
          <w:tcPr>
            <w:tcW w:w="497" w:type="pct"/>
          </w:tcPr>
          <w:p w14:paraId="6820BE0D" w14:textId="77777777" w:rsidR="00BA13C0" w:rsidRPr="00407320" w:rsidRDefault="00BA13C0" w:rsidP="007F3C68">
            <w:pPr>
              <w:pStyle w:val="ANorm"/>
              <w:rPr>
                <w:sz w:val="16"/>
                <w:szCs w:val="16"/>
              </w:rPr>
            </w:pPr>
            <w:r>
              <w:rPr>
                <w:sz w:val="16"/>
                <w:szCs w:val="16"/>
              </w:rPr>
              <w:t>Not reported</w:t>
            </w:r>
          </w:p>
        </w:tc>
        <w:tc>
          <w:tcPr>
            <w:tcW w:w="966" w:type="pct"/>
          </w:tcPr>
          <w:p w14:paraId="4B27F148" w14:textId="77777777" w:rsidR="00BA13C0" w:rsidRPr="00407320" w:rsidRDefault="00BA13C0" w:rsidP="007F3C68">
            <w:pPr>
              <w:pStyle w:val="ANorm"/>
              <w:rPr>
                <w:sz w:val="16"/>
                <w:szCs w:val="16"/>
              </w:rPr>
            </w:pPr>
            <w:r>
              <w:rPr>
                <w:sz w:val="16"/>
                <w:szCs w:val="16"/>
              </w:rPr>
              <w:t>Not reported</w:t>
            </w:r>
          </w:p>
        </w:tc>
      </w:tr>
      <w:tr w:rsidR="00BA13C0" w:rsidRPr="00407320" w14:paraId="6C7773E1" w14:textId="597B0D1C" w:rsidTr="009E2A33">
        <w:tc>
          <w:tcPr>
            <w:tcW w:w="320" w:type="pct"/>
          </w:tcPr>
          <w:p w14:paraId="7F5D4B8B" w14:textId="718ACC57" w:rsidR="00BA13C0" w:rsidRPr="00407320" w:rsidRDefault="00BA13C0" w:rsidP="007F3C68">
            <w:pPr>
              <w:pStyle w:val="ANorm"/>
              <w:rPr>
                <w:sz w:val="16"/>
                <w:szCs w:val="16"/>
              </w:rPr>
            </w:pPr>
            <w:r w:rsidRPr="00407320">
              <w:rPr>
                <w:sz w:val="16"/>
                <w:szCs w:val="16"/>
              </w:rPr>
              <w:t xml:space="preserve">Allen </w:t>
            </w:r>
            <w:r w:rsidR="0065750D">
              <w:rPr>
                <w:sz w:val="16"/>
                <w:szCs w:val="16"/>
              </w:rPr>
              <w:t>et al</w:t>
            </w:r>
            <w:r w:rsidRPr="00407320">
              <w:rPr>
                <w:sz w:val="16"/>
                <w:szCs w:val="16"/>
              </w:rPr>
              <w:t xml:space="preserve"> (2016)</w:t>
            </w:r>
            <w:r>
              <w:rPr>
                <w:sz w:val="16"/>
                <w:szCs w:val="16"/>
              </w:rPr>
              <w:fldChar w:fldCharType="begin"/>
            </w:r>
            <w:r w:rsidR="004469A2">
              <w:rPr>
                <w:sz w:val="16"/>
                <w:szCs w:val="16"/>
              </w:rPr>
              <w:instrText xml:space="preserve"> ADDIN EN.CITE &lt;EndNote&gt;&lt;Cite&gt;&lt;Author&gt;Allen&lt;/Author&gt;&lt;Year&gt;2016&lt;/Year&gt;&lt;RecNum&gt;189&lt;/RecNum&gt;&lt;DisplayText&gt;&lt;style face="superscript"&gt;53&lt;/style&gt;&lt;/DisplayText&gt;&lt;record&gt;&lt;rec-number&gt;189&lt;/rec-number&gt;&lt;foreign-keys&gt;&lt;key app="EN" db-id="dawtr0zrkrzfa5edzzlpe2we0xa00t90vvr2" timestamp="1655692972"&gt;189&lt;/key&gt;&lt;/foreign-keys&gt;&lt;ref-type name="Journal Article"&gt;17&lt;/ref-type&gt;&lt;contributors&gt;&lt;authors&gt;&lt;author&gt;Allen, Adrian R.&lt;/author&gt;&lt;author&gt;Newby, Jill M.&lt;/author&gt;&lt;author&gt;Mackenzie, Anna&lt;/author&gt;&lt;author&gt;Smith, Jessica&lt;/author&gt;&lt;author&gt;Boulton, Matthew&lt;/author&gt;&lt;author&gt;Loughnan, Siobhan A.&lt;/author&gt;&lt;author&gt;Andrews, Gavin&lt;/author&gt;&lt;/authors&gt;&lt;/contributors&gt;&lt;titles&gt;&lt;title&gt;Internet cognitive-behavioural treatment for panic disorder: randomised controlled trial and evidence of effectiveness in primary care&lt;/title&gt;&lt;secondary-title&gt;BJPsych open&lt;/secondary-title&gt;&lt;alt-title&gt;BJPsych Open&lt;/alt-title&gt;&lt;/titles&gt;&lt;periodical&gt;&lt;full-title&gt;BJPsych open&lt;/full-title&gt;&lt;/periodical&gt;&lt;alt-periodical&gt;&lt;full-title&gt;BJPsych open&lt;/full-title&gt;&lt;/alt-periodical&gt;&lt;pages&gt;154-162&lt;/pages&gt;&lt;volume&gt;2&lt;/volume&gt;&lt;number&gt;2&lt;/number&gt;&lt;dates&gt;&lt;year&gt;2016&lt;/year&gt;&lt;/dates&gt;&lt;publisher&gt;The Royal College of Psychiatrists&lt;/publisher&gt;&lt;isbn&gt;2056-4724&lt;/isbn&gt;&lt;accession-num&gt;27703768&lt;/accession-num&gt;&lt;urls&gt;&lt;related-urls&gt;&lt;url&gt;https://pubmed.ncbi.nlm.nih.gov/27703768&lt;/url&gt;&lt;url&gt;https://www.ncbi.nlm.nih.gov/pmc/articles/PMC4998930/&lt;/url&gt;&lt;/related-urls&gt;&lt;/urls&gt;&lt;electronic-resource-num&gt;10.1192/bjpo.bp.115.001826&lt;/electronic-resource-num&gt;&lt;remote-database-name&gt;PubMed&lt;/remote-database-name&gt;&lt;language&gt;eng&lt;/language&gt;&lt;/record&gt;&lt;/Cite&gt;&lt;/EndNote&gt;</w:instrText>
            </w:r>
            <w:r>
              <w:rPr>
                <w:sz w:val="16"/>
                <w:szCs w:val="16"/>
              </w:rPr>
              <w:fldChar w:fldCharType="separate"/>
            </w:r>
            <w:r w:rsidR="004469A2" w:rsidRPr="004469A2">
              <w:rPr>
                <w:noProof/>
                <w:sz w:val="16"/>
                <w:szCs w:val="16"/>
                <w:vertAlign w:val="superscript"/>
              </w:rPr>
              <w:t>53</w:t>
            </w:r>
            <w:r>
              <w:rPr>
                <w:sz w:val="16"/>
                <w:szCs w:val="16"/>
              </w:rPr>
              <w:fldChar w:fldCharType="end"/>
            </w:r>
          </w:p>
        </w:tc>
        <w:tc>
          <w:tcPr>
            <w:tcW w:w="702" w:type="pct"/>
          </w:tcPr>
          <w:p w14:paraId="3928138D" w14:textId="77777777" w:rsidR="00BA13C0" w:rsidRPr="00407320" w:rsidRDefault="00BA13C0" w:rsidP="007F3C68">
            <w:pPr>
              <w:pStyle w:val="ANorm"/>
              <w:rPr>
                <w:sz w:val="16"/>
                <w:szCs w:val="16"/>
              </w:rPr>
            </w:pPr>
            <w:r>
              <w:rPr>
                <w:sz w:val="16"/>
                <w:szCs w:val="16"/>
              </w:rPr>
              <w:t>D</w:t>
            </w:r>
            <w:r w:rsidRPr="00002488">
              <w:rPr>
                <w:sz w:val="16"/>
                <w:szCs w:val="16"/>
              </w:rPr>
              <w:t>etermine effectiveness of a five-lesson</w:t>
            </w:r>
            <w:r>
              <w:rPr>
                <w:sz w:val="16"/>
                <w:szCs w:val="16"/>
              </w:rPr>
              <w:t xml:space="preserve"> </w:t>
            </w:r>
            <w:proofErr w:type="spellStart"/>
            <w:r w:rsidRPr="00002488">
              <w:rPr>
                <w:sz w:val="16"/>
                <w:szCs w:val="16"/>
              </w:rPr>
              <w:t>iCBT</w:t>
            </w:r>
            <w:proofErr w:type="spellEnd"/>
            <w:r w:rsidRPr="00002488">
              <w:rPr>
                <w:sz w:val="16"/>
                <w:szCs w:val="16"/>
              </w:rPr>
              <w:t xml:space="preserve"> programme for panic disorder</w:t>
            </w:r>
            <w:r>
              <w:rPr>
                <w:sz w:val="16"/>
                <w:szCs w:val="16"/>
              </w:rPr>
              <w:t xml:space="preserve"> (N=330)</w:t>
            </w:r>
          </w:p>
        </w:tc>
        <w:tc>
          <w:tcPr>
            <w:tcW w:w="380" w:type="pct"/>
          </w:tcPr>
          <w:p w14:paraId="5182CC08" w14:textId="77777777" w:rsidR="00BA13C0" w:rsidRDefault="00BA13C0" w:rsidP="007F3C68">
            <w:pPr>
              <w:pStyle w:val="ANorm"/>
              <w:rPr>
                <w:sz w:val="16"/>
                <w:szCs w:val="16"/>
              </w:rPr>
            </w:pPr>
            <w:r w:rsidRPr="00574D0E">
              <w:rPr>
                <w:sz w:val="16"/>
                <w:szCs w:val="16"/>
              </w:rPr>
              <w:t>56.1%</w:t>
            </w:r>
            <w:r>
              <w:rPr>
                <w:sz w:val="16"/>
                <w:szCs w:val="16"/>
              </w:rPr>
              <w:t xml:space="preserve"> (185</w:t>
            </w:r>
            <w:r w:rsidRPr="00574D0E">
              <w:rPr>
                <w:sz w:val="16"/>
                <w:szCs w:val="16"/>
              </w:rPr>
              <w:t>)</w:t>
            </w:r>
          </w:p>
          <w:p w14:paraId="21DA3782" w14:textId="77777777" w:rsidR="00BA13C0" w:rsidRDefault="00BA13C0" w:rsidP="007F3C68">
            <w:pPr>
              <w:pStyle w:val="ANorm"/>
              <w:rPr>
                <w:sz w:val="16"/>
                <w:szCs w:val="16"/>
              </w:rPr>
            </w:pPr>
          </w:p>
          <w:p w14:paraId="4B903F95" w14:textId="2BE5B031" w:rsidR="00BA13C0" w:rsidRDefault="00BA13C0" w:rsidP="007F3C68">
            <w:pPr>
              <w:pStyle w:val="ANorm"/>
              <w:rPr>
                <w:sz w:val="16"/>
                <w:szCs w:val="16"/>
              </w:rPr>
            </w:pPr>
            <w:r>
              <w:rPr>
                <w:sz w:val="16"/>
                <w:szCs w:val="16"/>
              </w:rPr>
              <w:t xml:space="preserve">Mean: </w:t>
            </w:r>
            <w:r w:rsidRPr="00574D0E">
              <w:rPr>
                <w:sz w:val="16"/>
                <w:szCs w:val="16"/>
              </w:rPr>
              <w:t>3.94</w:t>
            </w:r>
            <w:r>
              <w:rPr>
                <w:sz w:val="16"/>
                <w:szCs w:val="16"/>
              </w:rPr>
              <w:t xml:space="preserve"> </w:t>
            </w:r>
            <w:r w:rsidRPr="00320150">
              <w:rPr>
                <w:sz w:val="16"/>
                <w:szCs w:val="16"/>
              </w:rPr>
              <w:t>(of 5 lessons)</w:t>
            </w:r>
            <w:r>
              <w:rPr>
                <w:sz w:val="16"/>
                <w:szCs w:val="16"/>
              </w:rPr>
              <w:t xml:space="preserve"> (SD=1.4</w:t>
            </w:r>
            <w:r w:rsidRPr="00574D0E">
              <w:rPr>
                <w:sz w:val="16"/>
                <w:szCs w:val="16"/>
              </w:rPr>
              <w:t>2</w:t>
            </w:r>
            <w:r>
              <w:rPr>
                <w:sz w:val="16"/>
                <w:szCs w:val="16"/>
              </w:rPr>
              <w:t>)</w:t>
            </w:r>
          </w:p>
        </w:tc>
        <w:tc>
          <w:tcPr>
            <w:tcW w:w="1579" w:type="pct"/>
          </w:tcPr>
          <w:p w14:paraId="6D5C718E" w14:textId="54D129E9" w:rsidR="00BA13C0" w:rsidRDefault="00BA13C0" w:rsidP="00F31849">
            <w:pPr>
              <w:pStyle w:val="ANorm"/>
              <w:rPr>
                <w:sz w:val="16"/>
                <w:szCs w:val="16"/>
              </w:rPr>
            </w:pPr>
            <w:r>
              <w:rPr>
                <w:sz w:val="16"/>
                <w:szCs w:val="16"/>
              </w:rPr>
              <w:t>Lesson completion predicted by:</w:t>
            </w:r>
          </w:p>
          <w:p w14:paraId="53B8AE2C" w14:textId="5B6C85F8" w:rsidR="00BA13C0" w:rsidRDefault="00BA13C0">
            <w:pPr>
              <w:pStyle w:val="ANorm"/>
              <w:numPr>
                <w:ilvl w:val="0"/>
                <w:numId w:val="149"/>
              </w:numPr>
              <w:ind w:left="135" w:hanging="101"/>
              <w:rPr>
                <w:sz w:val="16"/>
                <w:szCs w:val="16"/>
              </w:rPr>
            </w:pPr>
            <w:r>
              <w:rPr>
                <w:sz w:val="16"/>
                <w:szCs w:val="16"/>
              </w:rPr>
              <w:t>lower</w:t>
            </w:r>
            <w:r w:rsidRPr="00DF5F06">
              <w:rPr>
                <w:sz w:val="16"/>
                <w:szCs w:val="16"/>
              </w:rPr>
              <w:t xml:space="preserve"> </w:t>
            </w:r>
            <w:r>
              <w:rPr>
                <w:sz w:val="16"/>
                <w:szCs w:val="16"/>
              </w:rPr>
              <w:t>baseline</w:t>
            </w:r>
            <w:r w:rsidRPr="00DF5F06">
              <w:rPr>
                <w:sz w:val="16"/>
                <w:szCs w:val="16"/>
              </w:rPr>
              <w:t xml:space="preserve"> K10 </w:t>
            </w:r>
          </w:p>
          <w:p w14:paraId="7A1CD2D2" w14:textId="0B260EBD" w:rsidR="00BA13C0" w:rsidRPr="00924617" w:rsidRDefault="00BA13C0">
            <w:pPr>
              <w:pStyle w:val="ANorm"/>
              <w:numPr>
                <w:ilvl w:val="0"/>
                <w:numId w:val="149"/>
              </w:numPr>
              <w:ind w:left="135" w:hanging="101"/>
              <w:rPr>
                <w:sz w:val="16"/>
                <w:szCs w:val="16"/>
              </w:rPr>
            </w:pPr>
            <w:r w:rsidRPr="00924617">
              <w:rPr>
                <w:sz w:val="16"/>
                <w:szCs w:val="16"/>
              </w:rPr>
              <w:t>older age</w:t>
            </w:r>
          </w:p>
          <w:p w14:paraId="4545206A" w14:textId="14FD1C90" w:rsidR="00BA13C0" w:rsidRDefault="00BA13C0">
            <w:pPr>
              <w:pStyle w:val="ANorm"/>
              <w:numPr>
                <w:ilvl w:val="0"/>
                <w:numId w:val="149"/>
              </w:numPr>
              <w:ind w:left="135" w:hanging="101"/>
              <w:rPr>
                <w:sz w:val="16"/>
                <w:szCs w:val="16"/>
              </w:rPr>
            </w:pPr>
            <w:r>
              <w:rPr>
                <w:sz w:val="16"/>
                <w:szCs w:val="16"/>
              </w:rPr>
              <w:t xml:space="preserve">more contacts </w:t>
            </w:r>
            <w:r w:rsidRPr="00DF5F06">
              <w:rPr>
                <w:sz w:val="16"/>
                <w:szCs w:val="16"/>
              </w:rPr>
              <w:t>from clinician</w:t>
            </w:r>
          </w:p>
          <w:p w14:paraId="4D3D718A" w14:textId="77777777" w:rsidR="00BA13C0" w:rsidRDefault="00BA13C0" w:rsidP="00F31849">
            <w:pPr>
              <w:pStyle w:val="ANorm"/>
              <w:ind w:left="135"/>
              <w:rPr>
                <w:sz w:val="16"/>
                <w:szCs w:val="16"/>
              </w:rPr>
            </w:pPr>
          </w:p>
          <w:p w14:paraId="2069F6E5" w14:textId="77777777" w:rsidR="00BA13C0" w:rsidRDefault="00BA13C0" w:rsidP="00F31849">
            <w:pPr>
              <w:pStyle w:val="ANorm"/>
              <w:rPr>
                <w:sz w:val="16"/>
                <w:szCs w:val="16"/>
              </w:rPr>
            </w:pPr>
            <w:r>
              <w:rPr>
                <w:sz w:val="16"/>
                <w:szCs w:val="16"/>
              </w:rPr>
              <w:t>Lesson completion not associated with:</w:t>
            </w:r>
          </w:p>
          <w:p w14:paraId="0726E561" w14:textId="77777777" w:rsidR="00BA13C0" w:rsidRDefault="00BA13C0">
            <w:pPr>
              <w:pStyle w:val="ANorm"/>
              <w:numPr>
                <w:ilvl w:val="0"/>
                <w:numId w:val="149"/>
              </w:numPr>
              <w:ind w:left="135" w:hanging="101"/>
              <w:rPr>
                <w:sz w:val="16"/>
                <w:szCs w:val="16"/>
              </w:rPr>
            </w:pPr>
            <w:r w:rsidRPr="00DF5F06">
              <w:rPr>
                <w:sz w:val="16"/>
                <w:szCs w:val="16"/>
              </w:rPr>
              <w:t>baseline panic severity</w:t>
            </w:r>
          </w:p>
          <w:p w14:paraId="55BAD79F" w14:textId="7BEEC719" w:rsidR="00BA13C0" w:rsidRDefault="00BA13C0">
            <w:pPr>
              <w:pStyle w:val="ANorm"/>
              <w:numPr>
                <w:ilvl w:val="0"/>
                <w:numId w:val="149"/>
              </w:numPr>
              <w:ind w:left="135" w:hanging="101"/>
              <w:rPr>
                <w:sz w:val="16"/>
                <w:szCs w:val="16"/>
              </w:rPr>
            </w:pPr>
            <w:r w:rsidRPr="00DF5F06">
              <w:rPr>
                <w:sz w:val="16"/>
                <w:szCs w:val="16"/>
              </w:rPr>
              <w:t>rurality</w:t>
            </w:r>
          </w:p>
          <w:p w14:paraId="77E40A4C" w14:textId="068D60DF" w:rsidR="00BA13C0" w:rsidRDefault="00BA13C0">
            <w:pPr>
              <w:pStyle w:val="ANorm"/>
              <w:numPr>
                <w:ilvl w:val="0"/>
                <w:numId w:val="149"/>
              </w:numPr>
              <w:ind w:left="135" w:hanging="101"/>
              <w:rPr>
                <w:sz w:val="16"/>
                <w:szCs w:val="16"/>
              </w:rPr>
            </w:pPr>
            <w:r w:rsidRPr="00DF5F06">
              <w:rPr>
                <w:sz w:val="16"/>
                <w:szCs w:val="16"/>
              </w:rPr>
              <w:t>gender</w:t>
            </w:r>
          </w:p>
        </w:tc>
        <w:tc>
          <w:tcPr>
            <w:tcW w:w="556" w:type="pct"/>
          </w:tcPr>
          <w:p w14:paraId="7B7634E7" w14:textId="0F218F30" w:rsidR="00BA13C0" w:rsidRPr="000E01AD" w:rsidRDefault="00BA13C0" w:rsidP="000E01AD">
            <w:pPr>
              <w:pStyle w:val="ANorm"/>
              <w:rPr>
                <w:sz w:val="16"/>
                <w:szCs w:val="16"/>
              </w:rPr>
            </w:pPr>
            <w:r w:rsidRPr="00FF27B4">
              <w:rPr>
                <w:sz w:val="16"/>
                <w:szCs w:val="16"/>
              </w:rPr>
              <w:t>65.9% (122/185)</w:t>
            </w:r>
          </w:p>
          <w:p w14:paraId="7EEA69A0" w14:textId="77777777" w:rsidR="00BA13C0" w:rsidRDefault="00BA13C0" w:rsidP="000E01AD">
            <w:pPr>
              <w:pStyle w:val="ANorm"/>
              <w:rPr>
                <w:sz w:val="16"/>
                <w:szCs w:val="16"/>
              </w:rPr>
            </w:pPr>
          </w:p>
          <w:p w14:paraId="00D87589" w14:textId="5BA97605" w:rsidR="00BA13C0" w:rsidRPr="000E01AD" w:rsidRDefault="00BA13C0" w:rsidP="000E01AD">
            <w:pPr>
              <w:pStyle w:val="ANorm"/>
              <w:rPr>
                <w:sz w:val="16"/>
                <w:szCs w:val="16"/>
              </w:rPr>
            </w:pPr>
            <w:r>
              <w:rPr>
                <w:sz w:val="16"/>
                <w:szCs w:val="16"/>
              </w:rPr>
              <w:t>A</w:t>
            </w:r>
            <w:r w:rsidRPr="000E01AD">
              <w:rPr>
                <w:sz w:val="16"/>
                <w:szCs w:val="16"/>
              </w:rPr>
              <w:t xml:space="preserve">chieved normalisation </w:t>
            </w:r>
            <w:r>
              <w:rPr>
                <w:sz w:val="16"/>
                <w:szCs w:val="16"/>
              </w:rPr>
              <w:t xml:space="preserve">of symptoms </w:t>
            </w:r>
            <w:r w:rsidRPr="000E01AD">
              <w:rPr>
                <w:sz w:val="16"/>
                <w:szCs w:val="16"/>
              </w:rPr>
              <w:t>(scores below validated</w:t>
            </w:r>
          </w:p>
          <w:p w14:paraId="026BF748" w14:textId="7BADDFAF" w:rsidR="00BA13C0" w:rsidRPr="00407320" w:rsidRDefault="00BA13C0" w:rsidP="000E01AD">
            <w:pPr>
              <w:pStyle w:val="ANorm"/>
              <w:rPr>
                <w:sz w:val="16"/>
                <w:szCs w:val="16"/>
              </w:rPr>
            </w:pPr>
            <w:r w:rsidRPr="000E01AD">
              <w:rPr>
                <w:sz w:val="16"/>
                <w:szCs w:val="16"/>
              </w:rPr>
              <w:t>clinical cut-off scores) on PDSS-SR</w:t>
            </w:r>
          </w:p>
        </w:tc>
        <w:tc>
          <w:tcPr>
            <w:tcW w:w="497" w:type="pct"/>
          </w:tcPr>
          <w:p w14:paraId="02FA2767" w14:textId="77777777" w:rsidR="00BA13C0" w:rsidRDefault="00BA13C0" w:rsidP="007F3C68">
            <w:pPr>
              <w:pStyle w:val="ANorm"/>
              <w:rPr>
                <w:sz w:val="16"/>
                <w:szCs w:val="16"/>
              </w:rPr>
            </w:pPr>
            <w:r>
              <w:rPr>
                <w:sz w:val="16"/>
                <w:szCs w:val="16"/>
              </w:rPr>
              <w:t>57.9% (88/152)</w:t>
            </w:r>
          </w:p>
          <w:p w14:paraId="51C64E45" w14:textId="77777777" w:rsidR="00BA13C0" w:rsidRDefault="00BA13C0" w:rsidP="007F3C68">
            <w:pPr>
              <w:pStyle w:val="ANorm"/>
              <w:rPr>
                <w:sz w:val="16"/>
                <w:szCs w:val="16"/>
              </w:rPr>
            </w:pPr>
          </w:p>
          <w:p w14:paraId="3FB59237" w14:textId="1560CC75" w:rsidR="00BA13C0" w:rsidRPr="00407320" w:rsidRDefault="00BA13C0" w:rsidP="007F3C68">
            <w:pPr>
              <w:pStyle w:val="ANorm"/>
              <w:rPr>
                <w:sz w:val="16"/>
                <w:szCs w:val="16"/>
              </w:rPr>
            </w:pPr>
            <w:r w:rsidRPr="00F67EC0">
              <w:rPr>
                <w:sz w:val="16"/>
                <w:szCs w:val="16"/>
              </w:rPr>
              <w:t>PDSS-SR &lt;8</w:t>
            </w:r>
            <w:r>
              <w:rPr>
                <w:sz w:val="16"/>
                <w:szCs w:val="16"/>
              </w:rPr>
              <w:t xml:space="preserve">. </w:t>
            </w:r>
            <w:r w:rsidRPr="00F67EC0">
              <w:rPr>
                <w:sz w:val="16"/>
                <w:szCs w:val="16"/>
              </w:rPr>
              <w:t>Calculated on completers only and those who were above the cut</w:t>
            </w:r>
            <w:r>
              <w:rPr>
                <w:sz w:val="16"/>
                <w:szCs w:val="16"/>
              </w:rPr>
              <w:t>-</w:t>
            </w:r>
            <w:r w:rsidRPr="00F67EC0">
              <w:rPr>
                <w:sz w:val="16"/>
                <w:szCs w:val="16"/>
              </w:rPr>
              <w:t>off at baseline</w:t>
            </w:r>
          </w:p>
        </w:tc>
        <w:tc>
          <w:tcPr>
            <w:tcW w:w="966" w:type="pct"/>
          </w:tcPr>
          <w:p w14:paraId="7EAA2EA4" w14:textId="77777777" w:rsidR="00BA13C0" w:rsidRDefault="00BA13C0">
            <w:pPr>
              <w:pStyle w:val="ANorm"/>
              <w:numPr>
                <w:ilvl w:val="0"/>
                <w:numId w:val="148"/>
              </w:numPr>
              <w:ind w:left="115" w:hanging="161"/>
              <w:rPr>
                <w:sz w:val="16"/>
                <w:szCs w:val="16"/>
              </w:rPr>
            </w:pPr>
            <w:r>
              <w:rPr>
                <w:sz w:val="16"/>
                <w:szCs w:val="16"/>
              </w:rPr>
              <w:t>21.9% (41/185) reliable improvement</w:t>
            </w:r>
          </w:p>
          <w:p w14:paraId="33B7226C" w14:textId="2FFA32A5" w:rsidR="00BA13C0" w:rsidRPr="00407320" w:rsidRDefault="00BA13C0">
            <w:pPr>
              <w:pStyle w:val="ANorm"/>
              <w:numPr>
                <w:ilvl w:val="0"/>
                <w:numId w:val="148"/>
              </w:numPr>
              <w:ind w:left="115" w:hanging="161"/>
              <w:rPr>
                <w:sz w:val="16"/>
                <w:szCs w:val="16"/>
              </w:rPr>
            </w:pPr>
            <w:r>
              <w:rPr>
                <w:sz w:val="16"/>
                <w:szCs w:val="16"/>
              </w:rPr>
              <w:t>0% reliable deterioration</w:t>
            </w:r>
          </w:p>
        </w:tc>
      </w:tr>
      <w:tr w:rsidR="00BA13C0" w:rsidRPr="00407320" w14:paraId="01DC42DA" w14:textId="3AE209D2" w:rsidTr="009E2A33">
        <w:tc>
          <w:tcPr>
            <w:tcW w:w="320" w:type="pct"/>
          </w:tcPr>
          <w:p w14:paraId="1B2C6D97" w14:textId="4AFE88F9" w:rsidR="00BA13C0" w:rsidRPr="00407320" w:rsidRDefault="00BA13C0" w:rsidP="007F3C68">
            <w:pPr>
              <w:pStyle w:val="ANorm"/>
              <w:rPr>
                <w:sz w:val="16"/>
                <w:szCs w:val="16"/>
              </w:rPr>
            </w:pPr>
            <w:r w:rsidRPr="00407320">
              <w:rPr>
                <w:sz w:val="16"/>
                <w:szCs w:val="16"/>
              </w:rPr>
              <w:t xml:space="preserve">Newby </w:t>
            </w:r>
            <w:r w:rsidR="0065750D">
              <w:rPr>
                <w:sz w:val="16"/>
                <w:szCs w:val="16"/>
              </w:rPr>
              <w:t>et al</w:t>
            </w:r>
            <w:r w:rsidRPr="00407320">
              <w:rPr>
                <w:sz w:val="16"/>
                <w:szCs w:val="16"/>
              </w:rPr>
              <w:t xml:space="preserve"> (2017)</w:t>
            </w:r>
            <w:r>
              <w:rPr>
                <w:sz w:val="16"/>
                <w:szCs w:val="16"/>
              </w:rPr>
              <w:fldChar w:fldCharType="begin"/>
            </w:r>
            <w:r w:rsidR="004469A2">
              <w:rPr>
                <w:sz w:val="16"/>
                <w:szCs w:val="16"/>
              </w:rPr>
              <w:instrText xml:space="preserve"> ADDIN EN.CITE &lt;EndNote&gt;&lt;Cite&gt;&lt;Author&gt;Newby&lt;/Author&gt;&lt;Year&gt;2017&lt;/Year&gt;&lt;RecNum&gt;194&lt;/RecNum&gt;&lt;DisplayText&gt;&lt;style face="superscript"&gt;54&lt;/style&gt;&lt;/DisplayText&gt;&lt;record&gt;&lt;rec-number&gt;194&lt;/rec-number&gt;&lt;foreign-keys&gt;&lt;key app="EN" db-id="dawtr0zrkrzfa5edzzlpe2we0xa00t90vvr2" timestamp="1655693688"&gt;194&lt;/key&gt;&lt;/foreign-keys&gt;&lt;ref-type name="Journal Article"&gt;17&lt;/ref-type&gt;&lt;contributors&gt;&lt;authors&gt;&lt;author&gt;Newby, Jill M&lt;/author&gt;&lt;author&gt;Mewton, Louise&lt;/author&gt;&lt;author&gt;Andrews, Gavin&lt;/author&gt;&lt;/authors&gt;&lt;/contributors&gt;&lt;titles&gt;&lt;title&gt;Transdiagnostic versus disorder-specific internet-delivered cognitive behaviour therapy for anxiety and depression in primary care&lt;/title&gt;&lt;secondary-title&gt;Journal of Anxiety Disorders&lt;/secondary-title&gt;&lt;/titles&gt;&lt;periodical&gt;&lt;full-title&gt;Journal of anxiety disorders&lt;/full-title&gt;&lt;/periodical&gt;&lt;pages&gt;25-34&lt;/pages&gt;&lt;volume&gt;46&lt;/volume&gt;&lt;dates&gt;&lt;year&gt;2017&lt;/year&gt;&lt;/dates&gt;&lt;isbn&gt;0887-6185&lt;/isbn&gt;&lt;urls&gt;&lt;/urls&gt;&lt;/record&gt;&lt;/Cite&gt;&lt;/EndNote&gt;</w:instrText>
            </w:r>
            <w:r>
              <w:rPr>
                <w:sz w:val="16"/>
                <w:szCs w:val="16"/>
              </w:rPr>
              <w:fldChar w:fldCharType="separate"/>
            </w:r>
            <w:r w:rsidR="004469A2" w:rsidRPr="004469A2">
              <w:rPr>
                <w:noProof/>
                <w:sz w:val="16"/>
                <w:szCs w:val="16"/>
                <w:vertAlign w:val="superscript"/>
              </w:rPr>
              <w:t>54</w:t>
            </w:r>
            <w:r>
              <w:rPr>
                <w:sz w:val="16"/>
                <w:szCs w:val="16"/>
              </w:rPr>
              <w:fldChar w:fldCharType="end"/>
            </w:r>
          </w:p>
        </w:tc>
        <w:tc>
          <w:tcPr>
            <w:tcW w:w="702" w:type="pct"/>
          </w:tcPr>
          <w:p w14:paraId="1274F667" w14:textId="77777777" w:rsidR="00BA13C0" w:rsidRPr="00407320" w:rsidRDefault="00BA13C0" w:rsidP="007F3C68">
            <w:pPr>
              <w:pStyle w:val="ANorm"/>
              <w:rPr>
                <w:sz w:val="16"/>
                <w:szCs w:val="16"/>
              </w:rPr>
            </w:pPr>
            <w:r>
              <w:rPr>
                <w:sz w:val="16"/>
                <w:szCs w:val="16"/>
              </w:rPr>
              <w:t xml:space="preserve">Examine effectiveness of transdiagnostic </w:t>
            </w:r>
            <w:proofErr w:type="spellStart"/>
            <w:r>
              <w:rPr>
                <w:sz w:val="16"/>
                <w:szCs w:val="16"/>
              </w:rPr>
              <w:t>iCBT</w:t>
            </w:r>
            <w:proofErr w:type="spellEnd"/>
            <w:r>
              <w:rPr>
                <w:sz w:val="16"/>
                <w:szCs w:val="16"/>
              </w:rPr>
              <w:t xml:space="preserve"> for anxiety and depression (N=1005)</w:t>
            </w:r>
          </w:p>
        </w:tc>
        <w:tc>
          <w:tcPr>
            <w:tcW w:w="380" w:type="pct"/>
          </w:tcPr>
          <w:p w14:paraId="2C1D77E7" w14:textId="2C4353A3" w:rsidR="00BA13C0" w:rsidRDefault="00BA13C0" w:rsidP="007F3C68">
            <w:pPr>
              <w:pStyle w:val="ANorm"/>
              <w:rPr>
                <w:sz w:val="16"/>
                <w:szCs w:val="16"/>
              </w:rPr>
            </w:pPr>
            <w:r>
              <w:rPr>
                <w:sz w:val="16"/>
                <w:szCs w:val="16"/>
              </w:rPr>
              <w:t>44.9% (451)</w:t>
            </w:r>
          </w:p>
          <w:p w14:paraId="018DB263" w14:textId="77777777" w:rsidR="00BA13C0" w:rsidRDefault="00BA13C0" w:rsidP="007F3C68">
            <w:pPr>
              <w:pStyle w:val="ANorm"/>
              <w:rPr>
                <w:sz w:val="16"/>
                <w:szCs w:val="16"/>
              </w:rPr>
            </w:pPr>
          </w:p>
          <w:p w14:paraId="34012ECC" w14:textId="77777777" w:rsidR="00BA13C0" w:rsidRPr="00407320" w:rsidRDefault="00BA13C0" w:rsidP="007F3C68">
            <w:pPr>
              <w:pStyle w:val="ANorm"/>
              <w:rPr>
                <w:sz w:val="16"/>
                <w:szCs w:val="16"/>
              </w:rPr>
            </w:pPr>
            <w:r>
              <w:rPr>
                <w:sz w:val="16"/>
                <w:szCs w:val="16"/>
              </w:rPr>
              <w:t>Mean: 4.36 (SD=1.81)</w:t>
            </w:r>
          </w:p>
        </w:tc>
        <w:tc>
          <w:tcPr>
            <w:tcW w:w="1579" w:type="pct"/>
          </w:tcPr>
          <w:p w14:paraId="2C6D0FBE" w14:textId="1A5742F7" w:rsidR="00BA13C0" w:rsidRDefault="00BA13C0">
            <w:pPr>
              <w:pStyle w:val="ANorm"/>
              <w:numPr>
                <w:ilvl w:val="0"/>
                <w:numId w:val="149"/>
              </w:numPr>
              <w:ind w:left="135" w:hanging="101"/>
              <w:rPr>
                <w:sz w:val="16"/>
                <w:szCs w:val="16"/>
              </w:rPr>
            </w:pPr>
            <w:r>
              <w:rPr>
                <w:sz w:val="16"/>
                <w:szCs w:val="16"/>
              </w:rPr>
              <w:t>Hi</w:t>
            </w:r>
            <w:r w:rsidRPr="00613702">
              <w:rPr>
                <w:sz w:val="16"/>
                <w:szCs w:val="16"/>
              </w:rPr>
              <w:t>gher baseline distress (K10) less likely to complete</w:t>
            </w:r>
            <w:r>
              <w:rPr>
                <w:sz w:val="16"/>
                <w:szCs w:val="16"/>
              </w:rPr>
              <w:t xml:space="preserve"> treatment</w:t>
            </w:r>
            <w:r w:rsidRPr="00613702">
              <w:rPr>
                <w:sz w:val="16"/>
                <w:szCs w:val="16"/>
              </w:rPr>
              <w:t xml:space="preserve"> than those with lower distress</w:t>
            </w:r>
            <w:r>
              <w:rPr>
                <w:sz w:val="16"/>
                <w:szCs w:val="16"/>
              </w:rPr>
              <w:t xml:space="preserve"> </w:t>
            </w:r>
            <w:r w:rsidRPr="00613702">
              <w:rPr>
                <w:sz w:val="16"/>
                <w:szCs w:val="16"/>
              </w:rPr>
              <w:t>scores</w:t>
            </w:r>
          </w:p>
          <w:p w14:paraId="6F01C3E0" w14:textId="77777777" w:rsidR="00BA13C0" w:rsidRDefault="00BA13C0">
            <w:pPr>
              <w:pStyle w:val="ANorm"/>
              <w:numPr>
                <w:ilvl w:val="0"/>
                <w:numId w:val="149"/>
              </w:numPr>
              <w:ind w:left="135" w:hanging="101"/>
              <w:rPr>
                <w:sz w:val="16"/>
                <w:szCs w:val="16"/>
              </w:rPr>
            </w:pPr>
            <w:r w:rsidRPr="00034F30">
              <w:rPr>
                <w:sz w:val="16"/>
                <w:szCs w:val="16"/>
              </w:rPr>
              <w:t>Older adults more likely to complete all six lessons</w:t>
            </w:r>
            <w:r>
              <w:rPr>
                <w:sz w:val="16"/>
                <w:szCs w:val="16"/>
              </w:rPr>
              <w:t xml:space="preserve"> </w:t>
            </w:r>
            <w:r w:rsidRPr="00034F30">
              <w:rPr>
                <w:sz w:val="16"/>
                <w:szCs w:val="16"/>
              </w:rPr>
              <w:t xml:space="preserve">than their younger counterparts [t (2097) = −9.07, p &lt; 0.001]. </w:t>
            </w:r>
          </w:p>
          <w:p w14:paraId="31C45463" w14:textId="77777777" w:rsidR="00BA13C0" w:rsidRPr="00407320" w:rsidRDefault="00BA13C0">
            <w:pPr>
              <w:pStyle w:val="ANorm"/>
              <w:numPr>
                <w:ilvl w:val="0"/>
                <w:numId w:val="149"/>
              </w:numPr>
              <w:ind w:left="135" w:hanging="101"/>
              <w:rPr>
                <w:sz w:val="16"/>
                <w:szCs w:val="16"/>
              </w:rPr>
            </w:pPr>
            <w:r w:rsidRPr="00034F30">
              <w:rPr>
                <w:sz w:val="16"/>
                <w:szCs w:val="16"/>
              </w:rPr>
              <w:t xml:space="preserve">Gender, </w:t>
            </w:r>
            <w:proofErr w:type="gramStart"/>
            <w:r w:rsidRPr="00034F30">
              <w:rPr>
                <w:sz w:val="16"/>
                <w:szCs w:val="16"/>
              </w:rPr>
              <w:t>rurality</w:t>
            </w:r>
            <w:proofErr w:type="gramEnd"/>
            <w:r w:rsidRPr="00034F30">
              <w:rPr>
                <w:sz w:val="16"/>
                <w:szCs w:val="16"/>
              </w:rPr>
              <w:t xml:space="preserve"> and clinician profession not associated with</w:t>
            </w:r>
            <w:r>
              <w:rPr>
                <w:sz w:val="16"/>
                <w:szCs w:val="16"/>
              </w:rPr>
              <w:t xml:space="preserve"> </w:t>
            </w:r>
            <w:r w:rsidRPr="00034F30">
              <w:rPr>
                <w:sz w:val="16"/>
                <w:szCs w:val="16"/>
              </w:rPr>
              <w:t>course completion (p’s &gt; 0.05).</w:t>
            </w:r>
          </w:p>
        </w:tc>
        <w:tc>
          <w:tcPr>
            <w:tcW w:w="556" w:type="pct"/>
          </w:tcPr>
          <w:p w14:paraId="53E61A54" w14:textId="77777777" w:rsidR="00BA13C0" w:rsidRPr="00407320" w:rsidRDefault="00BA13C0" w:rsidP="007F3C68">
            <w:pPr>
              <w:pStyle w:val="ANorm"/>
              <w:rPr>
                <w:sz w:val="16"/>
                <w:szCs w:val="16"/>
              </w:rPr>
            </w:pPr>
            <w:r>
              <w:rPr>
                <w:sz w:val="16"/>
                <w:szCs w:val="16"/>
              </w:rPr>
              <w:t>Not reported</w:t>
            </w:r>
          </w:p>
        </w:tc>
        <w:tc>
          <w:tcPr>
            <w:tcW w:w="497" w:type="pct"/>
          </w:tcPr>
          <w:p w14:paraId="3D8CE37B" w14:textId="77777777" w:rsidR="00BA13C0" w:rsidRPr="00407320" w:rsidRDefault="00BA13C0" w:rsidP="007F3C68">
            <w:pPr>
              <w:pStyle w:val="ANorm"/>
              <w:rPr>
                <w:sz w:val="16"/>
                <w:szCs w:val="16"/>
              </w:rPr>
            </w:pPr>
            <w:r>
              <w:rPr>
                <w:sz w:val="16"/>
                <w:szCs w:val="16"/>
              </w:rPr>
              <w:t>Not reported</w:t>
            </w:r>
          </w:p>
        </w:tc>
        <w:tc>
          <w:tcPr>
            <w:tcW w:w="966" w:type="pct"/>
          </w:tcPr>
          <w:p w14:paraId="60FFACCA" w14:textId="78ECC1C4" w:rsidR="00BA13C0" w:rsidRPr="00844DA2" w:rsidRDefault="00BA13C0">
            <w:pPr>
              <w:pStyle w:val="ANorm"/>
              <w:numPr>
                <w:ilvl w:val="0"/>
                <w:numId w:val="148"/>
              </w:numPr>
              <w:ind w:left="115" w:hanging="161"/>
              <w:rPr>
                <w:sz w:val="16"/>
                <w:szCs w:val="16"/>
              </w:rPr>
            </w:pPr>
            <w:r w:rsidRPr="00844DA2">
              <w:rPr>
                <w:sz w:val="16"/>
                <w:szCs w:val="16"/>
              </w:rPr>
              <w:t>47.7% (215/451) treatment completers reliable improvement on GAD-7</w:t>
            </w:r>
          </w:p>
          <w:p w14:paraId="4B94A9AF" w14:textId="5AB298A4" w:rsidR="00BA13C0" w:rsidRPr="00844DA2" w:rsidRDefault="00BA13C0">
            <w:pPr>
              <w:pStyle w:val="ANorm"/>
              <w:numPr>
                <w:ilvl w:val="0"/>
                <w:numId w:val="148"/>
              </w:numPr>
              <w:ind w:left="115" w:hanging="161"/>
              <w:rPr>
                <w:sz w:val="16"/>
                <w:szCs w:val="16"/>
              </w:rPr>
            </w:pPr>
            <w:r w:rsidRPr="00844DA2">
              <w:rPr>
                <w:sz w:val="16"/>
                <w:szCs w:val="16"/>
              </w:rPr>
              <w:t>44.3% (200/451) reliable improvement on PHQ-9</w:t>
            </w:r>
          </w:p>
          <w:p w14:paraId="213E726C" w14:textId="349FDE19" w:rsidR="00BA13C0" w:rsidRPr="00844DA2" w:rsidRDefault="00BA13C0">
            <w:pPr>
              <w:pStyle w:val="ANorm"/>
              <w:numPr>
                <w:ilvl w:val="0"/>
                <w:numId w:val="148"/>
              </w:numPr>
              <w:ind w:left="115" w:hanging="161"/>
              <w:rPr>
                <w:sz w:val="16"/>
                <w:szCs w:val="16"/>
              </w:rPr>
            </w:pPr>
            <w:r w:rsidRPr="00844DA2">
              <w:rPr>
                <w:sz w:val="16"/>
                <w:szCs w:val="16"/>
              </w:rPr>
              <w:t>0.4% (2) reliable deterioration on GAD-7</w:t>
            </w:r>
          </w:p>
          <w:p w14:paraId="73B85686" w14:textId="2DD26853" w:rsidR="00BA13C0" w:rsidRPr="00844DA2" w:rsidRDefault="00BA13C0">
            <w:pPr>
              <w:pStyle w:val="ANorm"/>
              <w:numPr>
                <w:ilvl w:val="0"/>
                <w:numId w:val="148"/>
              </w:numPr>
              <w:ind w:left="115" w:hanging="161"/>
              <w:rPr>
                <w:sz w:val="16"/>
                <w:szCs w:val="16"/>
              </w:rPr>
            </w:pPr>
            <w:r w:rsidRPr="00844DA2">
              <w:rPr>
                <w:sz w:val="16"/>
                <w:szCs w:val="16"/>
              </w:rPr>
              <w:t>1.6% (7) reliable deterioration on PHQ-9</w:t>
            </w:r>
          </w:p>
        </w:tc>
      </w:tr>
    </w:tbl>
    <w:p w14:paraId="09B707EE" w14:textId="755D46AB" w:rsidR="00AB4ADE" w:rsidRPr="00AB4ADE" w:rsidRDefault="00AB4ADE" w:rsidP="00AB4ADE">
      <w:pPr>
        <w:pStyle w:val="ANorm"/>
        <w:snapToGrid w:val="0"/>
        <w:rPr>
          <w:sz w:val="15"/>
          <w:szCs w:val="15"/>
        </w:rPr>
      </w:pPr>
      <w:proofErr w:type="spellStart"/>
      <w:r w:rsidRPr="00AB4ADE">
        <w:rPr>
          <w:sz w:val="15"/>
          <w:szCs w:val="15"/>
          <w:vertAlign w:val="superscript"/>
        </w:rPr>
        <w:t>a</w:t>
      </w:r>
      <w:r w:rsidR="00077E73" w:rsidRPr="00AB4ADE">
        <w:rPr>
          <w:sz w:val="15"/>
          <w:szCs w:val="15"/>
        </w:rPr>
        <w:t>improvement</w:t>
      </w:r>
      <w:proofErr w:type="spellEnd"/>
      <w:r w:rsidR="00077E73" w:rsidRPr="00AB4ADE">
        <w:rPr>
          <w:sz w:val="15"/>
          <w:szCs w:val="15"/>
        </w:rPr>
        <w:t xml:space="preserve"> estimates were based on completers who presented to</w:t>
      </w:r>
      <w:r w:rsidR="00931C40" w:rsidRPr="00AB4ADE">
        <w:rPr>
          <w:sz w:val="15"/>
          <w:szCs w:val="15"/>
        </w:rPr>
        <w:t xml:space="preserve"> </w:t>
      </w:r>
      <w:r w:rsidR="00077E73" w:rsidRPr="00AB4ADE">
        <w:rPr>
          <w:sz w:val="15"/>
          <w:szCs w:val="15"/>
        </w:rPr>
        <w:t>treatment with a PHQ-9 total score of 8 or greater (i.e., the group where</w:t>
      </w:r>
      <w:r w:rsidR="00931C40" w:rsidRPr="00AB4ADE">
        <w:rPr>
          <w:sz w:val="15"/>
          <w:szCs w:val="15"/>
        </w:rPr>
        <w:t xml:space="preserve"> </w:t>
      </w:r>
      <w:r w:rsidRPr="00AB4ADE">
        <w:rPr>
          <w:sz w:val="15"/>
          <w:szCs w:val="15"/>
        </w:rPr>
        <w:t>reliable</w:t>
      </w:r>
      <w:r w:rsidR="00077E73" w:rsidRPr="00AB4ADE">
        <w:rPr>
          <w:sz w:val="15"/>
          <w:szCs w:val="15"/>
        </w:rPr>
        <w:t xml:space="preserve"> improvement was possible to measure)</w:t>
      </w:r>
      <w:r w:rsidRPr="00AB4ADE">
        <w:rPr>
          <w:sz w:val="15"/>
          <w:szCs w:val="15"/>
        </w:rPr>
        <w:t>.</w:t>
      </w:r>
    </w:p>
    <w:p w14:paraId="33EF937D" w14:textId="47C252F3" w:rsidR="005F3391" w:rsidRPr="00AB4ADE" w:rsidRDefault="00AB4ADE" w:rsidP="00AB4ADE">
      <w:pPr>
        <w:pStyle w:val="ANorm"/>
        <w:snapToGrid w:val="0"/>
        <w:rPr>
          <w:sz w:val="15"/>
          <w:szCs w:val="15"/>
        </w:rPr>
      </w:pPr>
      <w:proofErr w:type="spellStart"/>
      <w:r w:rsidRPr="00AB4ADE">
        <w:rPr>
          <w:sz w:val="15"/>
          <w:szCs w:val="15"/>
          <w:vertAlign w:val="superscript"/>
        </w:rPr>
        <w:t>b</w:t>
      </w:r>
      <w:r w:rsidR="00077E73" w:rsidRPr="00AB4ADE">
        <w:rPr>
          <w:sz w:val="15"/>
          <w:szCs w:val="15"/>
        </w:rPr>
        <w:t>R</w:t>
      </w:r>
      <w:r w:rsidR="001C792E">
        <w:rPr>
          <w:sz w:val="15"/>
          <w:szCs w:val="15"/>
        </w:rPr>
        <w:t>eliab</w:t>
      </w:r>
      <w:r w:rsidR="0057469E">
        <w:rPr>
          <w:sz w:val="15"/>
          <w:szCs w:val="15"/>
        </w:rPr>
        <w:t>e</w:t>
      </w:r>
      <w:proofErr w:type="spellEnd"/>
      <w:r w:rsidR="00077E73" w:rsidRPr="00AB4ADE">
        <w:rPr>
          <w:sz w:val="15"/>
          <w:szCs w:val="15"/>
        </w:rPr>
        <w:t xml:space="preserve"> deterioration was</w:t>
      </w:r>
      <w:r w:rsidR="00931C40" w:rsidRPr="00AB4ADE">
        <w:rPr>
          <w:sz w:val="15"/>
          <w:szCs w:val="15"/>
        </w:rPr>
        <w:t xml:space="preserve"> </w:t>
      </w:r>
      <w:r w:rsidR="00077E73" w:rsidRPr="00AB4ADE">
        <w:rPr>
          <w:sz w:val="15"/>
          <w:szCs w:val="15"/>
        </w:rPr>
        <w:t>calculated among all completers (i.e., irrespective of pre-treatment total</w:t>
      </w:r>
      <w:r w:rsidRPr="00AB4ADE">
        <w:rPr>
          <w:sz w:val="15"/>
          <w:szCs w:val="15"/>
        </w:rPr>
        <w:t xml:space="preserve"> </w:t>
      </w:r>
      <w:r w:rsidR="00077E73" w:rsidRPr="00AB4ADE">
        <w:rPr>
          <w:sz w:val="15"/>
          <w:szCs w:val="15"/>
        </w:rPr>
        <w:t>score)</w:t>
      </w:r>
      <w:r w:rsidRPr="00AB4ADE">
        <w:rPr>
          <w:sz w:val="15"/>
          <w:szCs w:val="15"/>
        </w:rPr>
        <w:t>.</w:t>
      </w:r>
    </w:p>
    <w:p w14:paraId="56A7132E" w14:textId="42BA3FCC" w:rsidR="00077E73" w:rsidRPr="005F3391" w:rsidRDefault="00E117D0" w:rsidP="00AB4ADE">
      <w:pPr>
        <w:pStyle w:val="ANorm"/>
        <w:snapToGrid w:val="0"/>
        <w:rPr>
          <w:sz w:val="15"/>
          <w:szCs w:val="15"/>
        </w:rPr>
      </w:pPr>
      <w:r w:rsidRPr="00AB4ADE">
        <w:rPr>
          <w:sz w:val="15"/>
          <w:szCs w:val="15"/>
        </w:rPr>
        <w:t xml:space="preserve">GAD, </w:t>
      </w:r>
      <w:r w:rsidR="00A62AF1" w:rsidRPr="00AB4ADE">
        <w:rPr>
          <w:sz w:val="15"/>
          <w:szCs w:val="15"/>
        </w:rPr>
        <w:t xml:space="preserve">generalised anxiety disorder; </w:t>
      </w:r>
      <w:r w:rsidR="00156D69" w:rsidRPr="00AB4ADE">
        <w:rPr>
          <w:sz w:val="15"/>
          <w:szCs w:val="15"/>
        </w:rPr>
        <w:t xml:space="preserve">GAD-7, </w:t>
      </w:r>
      <w:r w:rsidR="00A62AF1" w:rsidRPr="00AB4ADE">
        <w:rPr>
          <w:sz w:val="15"/>
          <w:szCs w:val="15"/>
        </w:rPr>
        <w:t xml:space="preserve">Generalised Anxiety Disorder 7-item Scale; </w:t>
      </w:r>
      <w:proofErr w:type="spellStart"/>
      <w:r w:rsidR="00156D69" w:rsidRPr="00AB4ADE">
        <w:rPr>
          <w:sz w:val="15"/>
          <w:szCs w:val="15"/>
        </w:rPr>
        <w:t>iCBT</w:t>
      </w:r>
      <w:proofErr w:type="spellEnd"/>
      <w:r w:rsidR="00156D69" w:rsidRPr="00AB4ADE">
        <w:rPr>
          <w:sz w:val="15"/>
          <w:szCs w:val="15"/>
        </w:rPr>
        <w:t xml:space="preserve">, </w:t>
      </w:r>
      <w:r w:rsidR="00A62AF1" w:rsidRPr="00AB4ADE">
        <w:rPr>
          <w:sz w:val="15"/>
          <w:szCs w:val="15"/>
        </w:rPr>
        <w:t xml:space="preserve">internet cognitive behavioural therapy; </w:t>
      </w:r>
      <w:r w:rsidR="00FD42A7" w:rsidRPr="00AB4ADE">
        <w:rPr>
          <w:sz w:val="15"/>
          <w:szCs w:val="15"/>
        </w:rPr>
        <w:t xml:space="preserve">K10, </w:t>
      </w:r>
      <w:r w:rsidR="00A62AF1" w:rsidRPr="00AB4ADE">
        <w:rPr>
          <w:sz w:val="15"/>
          <w:szCs w:val="15"/>
        </w:rPr>
        <w:t xml:space="preserve">Kessler Psychological Distress 10-Item Scale; </w:t>
      </w:r>
      <w:r w:rsidRPr="00AB4ADE">
        <w:rPr>
          <w:sz w:val="15"/>
          <w:szCs w:val="15"/>
        </w:rPr>
        <w:t xml:space="preserve">MDD, </w:t>
      </w:r>
      <w:r w:rsidR="00A62AF1" w:rsidRPr="00AB4ADE">
        <w:rPr>
          <w:sz w:val="15"/>
          <w:szCs w:val="15"/>
        </w:rPr>
        <w:t xml:space="preserve">major depressive disorder; </w:t>
      </w:r>
      <w:r w:rsidR="00FD42A7" w:rsidRPr="00AB4ADE">
        <w:rPr>
          <w:sz w:val="15"/>
          <w:szCs w:val="15"/>
        </w:rPr>
        <w:t xml:space="preserve">N, </w:t>
      </w:r>
      <w:r w:rsidR="00A62AF1" w:rsidRPr="00AB4ADE">
        <w:rPr>
          <w:sz w:val="15"/>
          <w:szCs w:val="15"/>
        </w:rPr>
        <w:t xml:space="preserve">frequency; </w:t>
      </w:r>
      <w:r w:rsidR="00156D69" w:rsidRPr="00AB4ADE">
        <w:rPr>
          <w:sz w:val="15"/>
          <w:szCs w:val="15"/>
        </w:rPr>
        <w:t>PHQ-9</w:t>
      </w:r>
      <w:r w:rsidR="00A62AF1" w:rsidRPr="00AB4ADE">
        <w:rPr>
          <w:sz w:val="15"/>
          <w:szCs w:val="15"/>
        </w:rPr>
        <w:t xml:space="preserve"> Patient Health Questionnaire-9</w:t>
      </w:r>
      <w:r w:rsidR="00156D69" w:rsidRPr="00AB4ADE">
        <w:rPr>
          <w:sz w:val="15"/>
          <w:szCs w:val="15"/>
        </w:rPr>
        <w:t>, SD</w:t>
      </w:r>
      <w:r w:rsidRPr="00AB4ADE">
        <w:rPr>
          <w:sz w:val="15"/>
          <w:szCs w:val="15"/>
        </w:rPr>
        <w:t xml:space="preserve">, </w:t>
      </w:r>
      <w:r w:rsidR="00A62AF1" w:rsidRPr="00AB4ADE">
        <w:rPr>
          <w:sz w:val="15"/>
          <w:szCs w:val="15"/>
        </w:rPr>
        <w:t xml:space="preserve">standard deviation; </w:t>
      </w:r>
      <w:r w:rsidRPr="00AB4ADE">
        <w:rPr>
          <w:sz w:val="15"/>
          <w:szCs w:val="15"/>
        </w:rPr>
        <w:t>WHODAS 2</w:t>
      </w:r>
      <w:r w:rsidR="006A373B" w:rsidRPr="00AB4ADE">
        <w:rPr>
          <w:sz w:val="15"/>
          <w:szCs w:val="15"/>
        </w:rPr>
        <w:t>, World Health Organization</w:t>
      </w:r>
      <w:r w:rsidR="008569B9" w:rsidRPr="00AB4ADE">
        <w:rPr>
          <w:sz w:val="15"/>
          <w:szCs w:val="15"/>
        </w:rPr>
        <w:t xml:space="preserve"> Disability Assessment Sc</w:t>
      </w:r>
      <w:r w:rsidR="00257887" w:rsidRPr="00AB4ADE">
        <w:rPr>
          <w:sz w:val="15"/>
          <w:szCs w:val="15"/>
        </w:rPr>
        <w:t>hedule 2</w:t>
      </w:r>
      <w:r w:rsidR="00CF36BE" w:rsidRPr="00AB4ADE">
        <w:rPr>
          <w:sz w:val="15"/>
          <w:szCs w:val="15"/>
        </w:rPr>
        <w:t>.</w:t>
      </w:r>
    </w:p>
    <w:p w14:paraId="69F64458" w14:textId="0BE7CCC3" w:rsidR="009B1A67" w:rsidRDefault="009B1A67" w:rsidP="00AB4ADE">
      <w:pPr>
        <w:snapToGrid w:val="0"/>
        <w:sectPr w:rsidR="009B1A67" w:rsidSect="000A4641">
          <w:pgSz w:w="16838" w:h="11906" w:orient="landscape"/>
          <w:pgMar w:top="720" w:right="720" w:bottom="720" w:left="720" w:header="708" w:footer="708" w:gutter="0"/>
          <w:cols w:space="708"/>
          <w:docGrid w:linePitch="360"/>
        </w:sectPr>
      </w:pPr>
    </w:p>
    <w:p w14:paraId="68E7A3A7" w14:textId="77777777" w:rsidR="00184B36" w:rsidRPr="00184B36" w:rsidRDefault="00184B36" w:rsidP="00184B36">
      <w:pPr>
        <w:pStyle w:val="ListParagraph"/>
        <w:keepNext/>
        <w:keepLines/>
        <w:numPr>
          <w:ilvl w:val="0"/>
          <w:numId w:val="145"/>
        </w:numPr>
        <w:spacing w:after="120"/>
        <w:contextualSpacing w:val="0"/>
        <w:outlineLvl w:val="0"/>
        <w:rPr>
          <w:rFonts w:eastAsiaTheme="majorEastAsia" w:cstheme="minorBidi"/>
          <w:b/>
          <w:vanish/>
          <w:color w:val="2F5496" w:themeColor="accent1" w:themeShade="BF"/>
          <w:sz w:val="40"/>
          <w:szCs w:val="40"/>
        </w:rPr>
      </w:pPr>
      <w:bookmarkStart w:id="59" w:name="_Toc108604352"/>
      <w:bookmarkStart w:id="60" w:name="_Toc108607504"/>
      <w:bookmarkStart w:id="61" w:name="_Toc108607618"/>
      <w:bookmarkStart w:id="62" w:name="_Toc108607733"/>
      <w:bookmarkStart w:id="63" w:name="_Toc108678651"/>
      <w:bookmarkStart w:id="64" w:name="_Toc108678952"/>
      <w:bookmarkStart w:id="65" w:name="_Toc108679067"/>
      <w:bookmarkStart w:id="66" w:name="_Toc108689945"/>
      <w:bookmarkStart w:id="67" w:name="_Toc108708997"/>
      <w:bookmarkStart w:id="68" w:name="_Toc108782804"/>
      <w:bookmarkStart w:id="69" w:name="_Toc108782934"/>
      <w:bookmarkStart w:id="70" w:name="_Toc108784844"/>
      <w:bookmarkEnd w:id="59"/>
      <w:bookmarkEnd w:id="60"/>
      <w:bookmarkEnd w:id="61"/>
      <w:bookmarkEnd w:id="62"/>
      <w:bookmarkEnd w:id="63"/>
      <w:bookmarkEnd w:id="64"/>
      <w:bookmarkEnd w:id="65"/>
      <w:bookmarkEnd w:id="66"/>
      <w:bookmarkEnd w:id="67"/>
      <w:bookmarkEnd w:id="68"/>
      <w:bookmarkEnd w:id="69"/>
      <w:bookmarkEnd w:id="70"/>
    </w:p>
    <w:p w14:paraId="17BFCC3A" w14:textId="77777777" w:rsidR="00184B36" w:rsidRPr="00184B36" w:rsidRDefault="00184B36" w:rsidP="00184B36">
      <w:pPr>
        <w:pStyle w:val="ListParagraph"/>
        <w:keepNext/>
        <w:keepLines/>
        <w:numPr>
          <w:ilvl w:val="0"/>
          <w:numId w:val="145"/>
        </w:numPr>
        <w:spacing w:after="120"/>
        <w:contextualSpacing w:val="0"/>
        <w:outlineLvl w:val="0"/>
        <w:rPr>
          <w:rFonts w:eastAsiaTheme="majorEastAsia" w:cstheme="minorBidi"/>
          <w:b/>
          <w:vanish/>
          <w:color w:val="2F5496" w:themeColor="accent1" w:themeShade="BF"/>
          <w:sz w:val="40"/>
          <w:szCs w:val="40"/>
        </w:rPr>
      </w:pPr>
      <w:bookmarkStart w:id="71" w:name="_Toc108604353"/>
      <w:bookmarkStart w:id="72" w:name="_Toc108607505"/>
      <w:bookmarkStart w:id="73" w:name="_Toc108607619"/>
      <w:bookmarkStart w:id="74" w:name="_Toc108607734"/>
      <w:bookmarkStart w:id="75" w:name="_Toc108678652"/>
      <w:bookmarkStart w:id="76" w:name="_Toc108678953"/>
      <w:bookmarkStart w:id="77" w:name="_Toc108679068"/>
      <w:bookmarkStart w:id="78" w:name="_Toc108689946"/>
      <w:bookmarkStart w:id="79" w:name="_Toc108708998"/>
      <w:bookmarkStart w:id="80" w:name="_Toc108782805"/>
      <w:bookmarkStart w:id="81" w:name="_Toc108782935"/>
      <w:bookmarkStart w:id="82" w:name="_Toc108784845"/>
      <w:bookmarkEnd w:id="71"/>
      <w:bookmarkEnd w:id="72"/>
      <w:bookmarkEnd w:id="73"/>
      <w:bookmarkEnd w:id="74"/>
      <w:bookmarkEnd w:id="75"/>
      <w:bookmarkEnd w:id="76"/>
      <w:bookmarkEnd w:id="77"/>
      <w:bookmarkEnd w:id="78"/>
      <w:bookmarkEnd w:id="79"/>
      <w:bookmarkEnd w:id="80"/>
      <w:bookmarkEnd w:id="81"/>
      <w:bookmarkEnd w:id="82"/>
    </w:p>
    <w:p w14:paraId="11F24C89" w14:textId="77777777" w:rsidR="00184B36" w:rsidRPr="00184B36" w:rsidRDefault="00184B36" w:rsidP="00184B36">
      <w:pPr>
        <w:pStyle w:val="ListParagraph"/>
        <w:keepNext/>
        <w:keepLines/>
        <w:numPr>
          <w:ilvl w:val="1"/>
          <w:numId w:val="145"/>
        </w:numPr>
        <w:spacing w:after="120"/>
        <w:contextualSpacing w:val="0"/>
        <w:outlineLvl w:val="0"/>
        <w:rPr>
          <w:rFonts w:eastAsiaTheme="majorEastAsia" w:cstheme="minorBidi"/>
          <w:b/>
          <w:vanish/>
          <w:color w:val="2F5496" w:themeColor="accent1" w:themeShade="BF"/>
          <w:sz w:val="40"/>
          <w:szCs w:val="40"/>
        </w:rPr>
      </w:pPr>
      <w:bookmarkStart w:id="83" w:name="_Toc108604354"/>
      <w:bookmarkStart w:id="84" w:name="_Toc108607506"/>
      <w:bookmarkStart w:id="85" w:name="_Toc108607620"/>
      <w:bookmarkStart w:id="86" w:name="_Toc108607735"/>
      <w:bookmarkStart w:id="87" w:name="_Toc108678653"/>
      <w:bookmarkStart w:id="88" w:name="_Toc108678954"/>
      <w:bookmarkStart w:id="89" w:name="_Toc108679069"/>
      <w:bookmarkStart w:id="90" w:name="_Toc108689947"/>
      <w:bookmarkStart w:id="91" w:name="_Toc108708999"/>
      <w:bookmarkStart w:id="92" w:name="_Toc108782806"/>
      <w:bookmarkStart w:id="93" w:name="_Toc108782936"/>
      <w:bookmarkStart w:id="94" w:name="_Toc108784846"/>
      <w:bookmarkEnd w:id="83"/>
      <w:bookmarkEnd w:id="84"/>
      <w:bookmarkEnd w:id="85"/>
      <w:bookmarkEnd w:id="86"/>
      <w:bookmarkEnd w:id="87"/>
      <w:bookmarkEnd w:id="88"/>
      <w:bookmarkEnd w:id="89"/>
      <w:bookmarkEnd w:id="90"/>
      <w:bookmarkEnd w:id="91"/>
      <w:bookmarkEnd w:id="92"/>
      <w:bookmarkEnd w:id="93"/>
      <w:bookmarkEnd w:id="94"/>
    </w:p>
    <w:p w14:paraId="12331E56" w14:textId="77777777" w:rsidR="00184B36" w:rsidRPr="00184B36" w:rsidRDefault="00184B36" w:rsidP="00184B36">
      <w:pPr>
        <w:pStyle w:val="ListParagraph"/>
        <w:keepNext/>
        <w:keepLines/>
        <w:numPr>
          <w:ilvl w:val="1"/>
          <w:numId w:val="145"/>
        </w:numPr>
        <w:spacing w:after="120"/>
        <w:contextualSpacing w:val="0"/>
        <w:outlineLvl w:val="0"/>
        <w:rPr>
          <w:rFonts w:eastAsiaTheme="majorEastAsia" w:cstheme="minorBidi"/>
          <w:b/>
          <w:vanish/>
          <w:color w:val="2F5496" w:themeColor="accent1" w:themeShade="BF"/>
          <w:sz w:val="40"/>
          <w:szCs w:val="40"/>
        </w:rPr>
      </w:pPr>
      <w:bookmarkStart w:id="95" w:name="_Toc108604355"/>
      <w:bookmarkStart w:id="96" w:name="_Toc108607507"/>
      <w:bookmarkStart w:id="97" w:name="_Toc108607621"/>
      <w:bookmarkStart w:id="98" w:name="_Toc108607736"/>
      <w:bookmarkStart w:id="99" w:name="_Toc108678654"/>
      <w:bookmarkStart w:id="100" w:name="_Toc108678955"/>
      <w:bookmarkStart w:id="101" w:name="_Toc108679070"/>
      <w:bookmarkStart w:id="102" w:name="_Toc108689948"/>
      <w:bookmarkStart w:id="103" w:name="_Toc108709000"/>
      <w:bookmarkStart w:id="104" w:name="_Toc108782807"/>
      <w:bookmarkStart w:id="105" w:name="_Toc108782937"/>
      <w:bookmarkStart w:id="106" w:name="_Toc108784847"/>
      <w:bookmarkEnd w:id="95"/>
      <w:bookmarkEnd w:id="96"/>
      <w:bookmarkEnd w:id="97"/>
      <w:bookmarkEnd w:id="98"/>
      <w:bookmarkEnd w:id="99"/>
      <w:bookmarkEnd w:id="100"/>
      <w:bookmarkEnd w:id="101"/>
      <w:bookmarkEnd w:id="102"/>
      <w:bookmarkEnd w:id="103"/>
      <w:bookmarkEnd w:id="104"/>
      <w:bookmarkEnd w:id="105"/>
      <w:bookmarkEnd w:id="106"/>
    </w:p>
    <w:p w14:paraId="2CA3C69E" w14:textId="77777777" w:rsidR="00184B36" w:rsidRPr="00184B36" w:rsidRDefault="00184B36" w:rsidP="00184B36">
      <w:pPr>
        <w:pStyle w:val="ListParagraph"/>
        <w:keepNext/>
        <w:keepLines/>
        <w:numPr>
          <w:ilvl w:val="1"/>
          <w:numId w:val="145"/>
        </w:numPr>
        <w:spacing w:after="120"/>
        <w:contextualSpacing w:val="0"/>
        <w:outlineLvl w:val="0"/>
        <w:rPr>
          <w:rFonts w:eastAsiaTheme="majorEastAsia" w:cstheme="minorBidi"/>
          <w:b/>
          <w:vanish/>
          <w:color w:val="2F5496" w:themeColor="accent1" w:themeShade="BF"/>
          <w:sz w:val="40"/>
          <w:szCs w:val="40"/>
        </w:rPr>
      </w:pPr>
      <w:bookmarkStart w:id="107" w:name="_Toc108604356"/>
      <w:bookmarkStart w:id="108" w:name="_Toc108607508"/>
      <w:bookmarkStart w:id="109" w:name="_Toc108607622"/>
      <w:bookmarkStart w:id="110" w:name="_Toc108607737"/>
      <w:bookmarkStart w:id="111" w:name="_Toc108678655"/>
      <w:bookmarkStart w:id="112" w:name="_Toc108678956"/>
      <w:bookmarkStart w:id="113" w:name="_Toc108679071"/>
      <w:bookmarkStart w:id="114" w:name="_Toc108689949"/>
      <w:bookmarkStart w:id="115" w:name="_Toc108709001"/>
      <w:bookmarkStart w:id="116" w:name="_Toc108782808"/>
      <w:bookmarkStart w:id="117" w:name="_Toc108782938"/>
      <w:bookmarkStart w:id="118" w:name="_Toc108784848"/>
      <w:bookmarkEnd w:id="107"/>
      <w:bookmarkEnd w:id="108"/>
      <w:bookmarkEnd w:id="109"/>
      <w:bookmarkEnd w:id="110"/>
      <w:bookmarkEnd w:id="111"/>
      <w:bookmarkEnd w:id="112"/>
      <w:bookmarkEnd w:id="113"/>
      <w:bookmarkEnd w:id="114"/>
      <w:bookmarkEnd w:id="115"/>
      <w:bookmarkEnd w:id="116"/>
      <w:bookmarkEnd w:id="117"/>
      <w:bookmarkEnd w:id="118"/>
    </w:p>
    <w:p w14:paraId="0E77ECE5" w14:textId="77777777" w:rsidR="00184B36" w:rsidRPr="00184B36" w:rsidRDefault="00184B36" w:rsidP="00184B36">
      <w:pPr>
        <w:pStyle w:val="ListParagraph"/>
        <w:keepNext/>
        <w:keepLines/>
        <w:numPr>
          <w:ilvl w:val="1"/>
          <w:numId w:val="145"/>
        </w:numPr>
        <w:spacing w:after="120"/>
        <w:contextualSpacing w:val="0"/>
        <w:outlineLvl w:val="0"/>
        <w:rPr>
          <w:rFonts w:eastAsiaTheme="majorEastAsia" w:cstheme="minorBidi"/>
          <w:b/>
          <w:vanish/>
          <w:color w:val="2F5496" w:themeColor="accent1" w:themeShade="BF"/>
          <w:sz w:val="40"/>
          <w:szCs w:val="40"/>
        </w:rPr>
      </w:pPr>
      <w:bookmarkStart w:id="119" w:name="_Toc108604357"/>
      <w:bookmarkStart w:id="120" w:name="_Toc108607509"/>
      <w:bookmarkStart w:id="121" w:name="_Toc108607623"/>
      <w:bookmarkStart w:id="122" w:name="_Toc108607738"/>
      <w:bookmarkStart w:id="123" w:name="_Toc108678656"/>
      <w:bookmarkStart w:id="124" w:name="_Toc108678957"/>
      <w:bookmarkStart w:id="125" w:name="_Toc108679072"/>
      <w:bookmarkStart w:id="126" w:name="_Toc108689950"/>
      <w:bookmarkStart w:id="127" w:name="_Toc108709002"/>
      <w:bookmarkStart w:id="128" w:name="_Toc108782809"/>
      <w:bookmarkStart w:id="129" w:name="_Toc108782939"/>
      <w:bookmarkStart w:id="130" w:name="_Toc108784849"/>
      <w:bookmarkEnd w:id="119"/>
      <w:bookmarkEnd w:id="120"/>
      <w:bookmarkEnd w:id="121"/>
      <w:bookmarkEnd w:id="122"/>
      <w:bookmarkEnd w:id="123"/>
      <w:bookmarkEnd w:id="124"/>
      <w:bookmarkEnd w:id="125"/>
      <w:bookmarkEnd w:id="126"/>
      <w:bookmarkEnd w:id="127"/>
      <w:bookmarkEnd w:id="128"/>
      <w:bookmarkEnd w:id="129"/>
      <w:bookmarkEnd w:id="130"/>
    </w:p>
    <w:p w14:paraId="6E963908" w14:textId="77777777" w:rsidR="00184B36" w:rsidRPr="00184B36" w:rsidRDefault="00184B36" w:rsidP="00184B36">
      <w:pPr>
        <w:pStyle w:val="ListParagraph"/>
        <w:keepNext/>
        <w:keepLines/>
        <w:numPr>
          <w:ilvl w:val="1"/>
          <w:numId w:val="145"/>
        </w:numPr>
        <w:spacing w:after="120"/>
        <w:contextualSpacing w:val="0"/>
        <w:outlineLvl w:val="0"/>
        <w:rPr>
          <w:rFonts w:eastAsiaTheme="majorEastAsia" w:cstheme="minorBidi"/>
          <w:b/>
          <w:vanish/>
          <w:color w:val="2F5496" w:themeColor="accent1" w:themeShade="BF"/>
          <w:sz w:val="40"/>
          <w:szCs w:val="40"/>
        </w:rPr>
      </w:pPr>
      <w:bookmarkStart w:id="131" w:name="_Toc108604358"/>
      <w:bookmarkStart w:id="132" w:name="_Toc108607510"/>
      <w:bookmarkStart w:id="133" w:name="_Toc108607624"/>
      <w:bookmarkStart w:id="134" w:name="_Toc108607739"/>
      <w:bookmarkStart w:id="135" w:name="_Toc108678657"/>
      <w:bookmarkStart w:id="136" w:name="_Toc108678958"/>
      <w:bookmarkStart w:id="137" w:name="_Toc108679073"/>
      <w:bookmarkStart w:id="138" w:name="_Toc108689951"/>
      <w:bookmarkStart w:id="139" w:name="_Toc108709003"/>
      <w:bookmarkStart w:id="140" w:name="_Toc108782810"/>
      <w:bookmarkStart w:id="141" w:name="_Toc108782940"/>
      <w:bookmarkStart w:id="142" w:name="_Toc108784850"/>
      <w:bookmarkEnd w:id="131"/>
      <w:bookmarkEnd w:id="132"/>
      <w:bookmarkEnd w:id="133"/>
      <w:bookmarkEnd w:id="134"/>
      <w:bookmarkEnd w:id="135"/>
      <w:bookmarkEnd w:id="136"/>
      <w:bookmarkEnd w:id="137"/>
      <w:bookmarkEnd w:id="138"/>
      <w:bookmarkEnd w:id="139"/>
      <w:bookmarkEnd w:id="140"/>
      <w:bookmarkEnd w:id="141"/>
      <w:bookmarkEnd w:id="142"/>
    </w:p>
    <w:p w14:paraId="644C96ED" w14:textId="29C7BC79" w:rsidR="00C84E99" w:rsidRPr="00D5306E" w:rsidRDefault="00F22533" w:rsidP="00184B36">
      <w:pPr>
        <w:pStyle w:val="Heading3"/>
      </w:pPr>
      <w:r>
        <w:t>Trends in mental health o</w:t>
      </w:r>
      <w:r w:rsidR="00C84E99">
        <w:t>utcomes by baseline symptom severity</w:t>
      </w:r>
    </w:p>
    <w:p w14:paraId="4CA91E87" w14:textId="78AA162A" w:rsidR="008162E4" w:rsidRPr="00D5306E" w:rsidRDefault="008162E4" w:rsidP="00990DBA">
      <w:pPr>
        <w:pStyle w:val="ANorm"/>
        <w:spacing w:after="200"/>
      </w:pPr>
      <w:r w:rsidRPr="00F22533">
        <w:t xml:space="preserve">Figure </w:t>
      </w:r>
      <w:r w:rsidR="00A359A6" w:rsidRPr="00F22533">
        <w:t>13</w:t>
      </w:r>
      <w:r w:rsidRPr="00F22533">
        <w:t xml:space="preserve"> shows</w:t>
      </w:r>
      <w:r w:rsidRPr="000A1A63">
        <w:t xml:space="preserve"> the mental health outcomes by baseline symptom severity as assessed using the K10, PHQ-9 and GAD-7, for consumers </w:t>
      </w:r>
      <w:r w:rsidR="00787D6F" w:rsidRPr="000A1A63">
        <w:t xml:space="preserve">THIS WAY UP </w:t>
      </w:r>
      <w:r w:rsidRPr="000A1A63">
        <w:t xml:space="preserve">treatment </w:t>
      </w:r>
      <w:r w:rsidR="00787D6F" w:rsidRPr="000A1A63">
        <w:t>from July 2015 to December 2021, overall and therapist support status.</w:t>
      </w:r>
      <w:r w:rsidRPr="000A1A63">
        <w:t xml:space="preserve"> Across all measures, consumers commenced treatment with varying levels of symptom severity and substantial </w:t>
      </w:r>
      <w:r w:rsidR="008472D4" w:rsidRPr="000A1A63">
        <w:t>numbers</w:t>
      </w:r>
      <w:r w:rsidRPr="000A1A63">
        <w:t xml:space="preserve"> experienced severe symptoms.</w:t>
      </w:r>
    </w:p>
    <w:p w14:paraId="2D1E8FC1" w14:textId="47F20042" w:rsidR="00511393" w:rsidRPr="009A0F5E" w:rsidRDefault="008472D4" w:rsidP="00990DBA">
      <w:pPr>
        <w:pStyle w:val="ANorm"/>
        <w:spacing w:after="200"/>
      </w:pPr>
      <w:r w:rsidRPr="00503DF3">
        <w:t xml:space="preserve">As was the case for </w:t>
      </w:r>
      <w:proofErr w:type="spellStart"/>
      <w:r w:rsidRPr="00503DF3">
        <w:t>MindSpot</w:t>
      </w:r>
      <w:proofErr w:type="spellEnd"/>
      <w:r w:rsidRPr="00503DF3">
        <w:t>, b</w:t>
      </w:r>
      <w:r w:rsidR="008162E4" w:rsidRPr="00503DF3">
        <w:t xml:space="preserve">ecause </w:t>
      </w:r>
      <w:r w:rsidR="005F12B4" w:rsidRPr="00503DF3">
        <w:t>we received pre- and post-treatment mental health outcomes data in</w:t>
      </w:r>
      <w:r w:rsidR="005F12B4" w:rsidRPr="00FF0B21">
        <w:t xml:space="preserve"> aggregate form rather than at the individual consumer level, we used change in symptom severity category (e.g., severe to moderate) in either direction to indicate “significant change”. Therefore, it is possible</w:t>
      </w:r>
      <w:r w:rsidR="002129C2">
        <w:t xml:space="preserve"> </w:t>
      </w:r>
      <w:r w:rsidR="005F12B4" w:rsidRPr="00FF0B21">
        <w:t>that some consumers categorised as not having experienced significant change could have improved or deteriorated within their baseline symptom severity category. Conversely, it is also possible that some consumers who were at the lower (or upper) end of a given symptom severity category at baseline were classified as “significantly improved” (or “significantly deteriorated”) if their score decreased (or increased) by one, respectively.</w:t>
      </w:r>
      <w:r w:rsidR="00511393">
        <w:t xml:space="preserve"> </w:t>
      </w:r>
      <w:r w:rsidR="00511393" w:rsidRPr="003E345B">
        <w:t>Therefore, the trends reported</w:t>
      </w:r>
      <w:r w:rsidR="00511393" w:rsidRPr="009A0F5E">
        <w:t xml:space="preserve"> in this section are more useful than the actual data, which should not be compared to published reliable change data.</w:t>
      </w:r>
    </w:p>
    <w:p w14:paraId="10418BFD" w14:textId="087DAE77" w:rsidR="008162E4" w:rsidRPr="00D83519" w:rsidRDefault="008162E4" w:rsidP="00990DBA">
      <w:pPr>
        <w:pStyle w:val="ANorm"/>
        <w:spacing w:after="200"/>
      </w:pPr>
      <w:r w:rsidRPr="00D83519">
        <w:t xml:space="preserve">Between </w:t>
      </w:r>
      <w:r w:rsidR="008472D4" w:rsidRPr="00D83519">
        <w:t>57</w:t>
      </w:r>
      <w:r w:rsidR="002F7067" w:rsidRPr="00D83519">
        <w:t>%</w:t>
      </w:r>
      <w:r w:rsidR="008472D4" w:rsidRPr="00D83519">
        <w:t xml:space="preserve"> and 70</w:t>
      </w:r>
      <w:r w:rsidRPr="00D83519">
        <w:t xml:space="preserve">% of </w:t>
      </w:r>
      <w:r w:rsidR="001E63CE" w:rsidRPr="00D83519">
        <w:t xml:space="preserve">all </w:t>
      </w:r>
      <w:r w:rsidRPr="00D83519">
        <w:t xml:space="preserve">consumers with medium </w:t>
      </w:r>
      <w:r w:rsidR="003946FE" w:rsidRPr="00D83519">
        <w:t xml:space="preserve">or more </w:t>
      </w:r>
      <w:r w:rsidRPr="00D83519">
        <w:t>sever</w:t>
      </w:r>
      <w:r w:rsidR="003946FE" w:rsidRPr="00D83519">
        <w:t>e</w:t>
      </w:r>
      <w:r w:rsidRPr="00D83519">
        <w:t xml:space="preserve"> K10 scores significantly improved (as indicated by moving to a lower symptom severity category) at the end of treatment (or their last recorded K10 score if they did not complete treatment). K10 symptom severity worsened (as indicated by moving to a higher symptom severity category) for only </w:t>
      </w:r>
      <w:r w:rsidR="008472D4" w:rsidRPr="00D83519">
        <w:t>5</w:t>
      </w:r>
      <w:r w:rsidRPr="00D83519">
        <w:t>-1</w:t>
      </w:r>
      <w:r w:rsidR="008472D4" w:rsidRPr="00D83519">
        <w:t>7</w:t>
      </w:r>
      <w:r w:rsidRPr="00D83519">
        <w:t>% of consumers with low to high K10 baseline symptom severity</w:t>
      </w:r>
      <w:r w:rsidR="008903A1">
        <w:t>,</w:t>
      </w:r>
      <w:r w:rsidR="003946FE" w:rsidRPr="00D83519">
        <w:t xml:space="preserve"> with the proportion worsening decreasing as baseline K10 severity increased</w:t>
      </w:r>
      <w:r w:rsidRPr="00D83519">
        <w:t>.</w:t>
      </w:r>
      <w:r w:rsidR="001E63CE" w:rsidRPr="00D83519">
        <w:t xml:space="preserve"> </w:t>
      </w:r>
      <w:r w:rsidR="00614E9B" w:rsidRPr="00D83519">
        <w:t>A somewhat higher proportion of</w:t>
      </w:r>
      <w:r w:rsidR="001E63CE" w:rsidRPr="00D83519">
        <w:t xml:space="preserve"> consumers of self-directed treatment who </w:t>
      </w:r>
      <w:r w:rsidR="009A10FE" w:rsidRPr="00D83519">
        <w:t>had higher baseline psychological distress</w:t>
      </w:r>
      <w:r w:rsidR="009C4942" w:rsidRPr="00D83519">
        <w:t xml:space="preserve"> (K10)</w:t>
      </w:r>
      <w:r w:rsidR="009A10FE" w:rsidRPr="00D83519">
        <w:t xml:space="preserve"> </w:t>
      </w:r>
      <w:r w:rsidR="001E63CE" w:rsidRPr="00D83519">
        <w:t>improve</w:t>
      </w:r>
      <w:r w:rsidR="00614E9B" w:rsidRPr="00D83519">
        <w:t>d</w:t>
      </w:r>
      <w:r w:rsidR="009A10FE" w:rsidRPr="00D83519">
        <w:t xml:space="preserve"> than their therapist-supported counterparts (73% and 72% vs 68% and 65% with high and very high distress, respectively).</w:t>
      </w:r>
    </w:p>
    <w:p w14:paraId="5270AC6C" w14:textId="78A18428" w:rsidR="008067E5" w:rsidRPr="00D5306E" w:rsidRDefault="00FC6EC9" w:rsidP="00990DBA">
      <w:pPr>
        <w:pStyle w:val="ANorm"/>
        <w:spacing w:after="200"/>
      </w:pPr>
      <w:r>
        <w:t>S</w:t>
      </w:r>
      <w:r w:rsidRPr="00D83519">
        <w:t>imilar trends were observed</w:t>
      </w:r>
      <w:r>
        <w:t xml:space="preserve"> </w:t>
      </w:r>
      <w:r w:rsidR="00630434">
        <w:pgNum/>
      </w:r>
      <w:r w:rsidR="002129C2">
        <w:t xml:space="preserve"> f</w:t>
      </w:r>
      <w:r w:rsidR="00630434">
        <w:t>or</w:t>
      </w:r>
      <w:r w:rsidR="00681E61" w:rsidRPr="00D83519">
        <w:t xml:space="preserve"> both the PHQ-9 and the GAD-7</w:t>
      </w:r>
      <w:r w:rsidR="00630434">
        <w:t>,</w:t>
      </w:r>
      <w:r w:rsidR="00681E61" w:rsidRPr="00D83519">
        <w:t xml:space="preserve"> with 50-78% of all consumers significantly improving and those with more severe baseline scores on either measure being more likely show improvement. As with the K10, 19% or less of consumers with no/minimal to moderately severe symptoms deteriorated</w:t>
      </w:r>
      <w:r w:rsidR="003946FE" w:rsidRPr="00D83519">
        <w:t>, with the proportion worsening decreasing as baseline PHQ-9 and GAD-7 severity increased</w:t>
      </w:r>
      <w:r w:rsidR="00681E61" w:rsidRPr="00D83519">
        <w:t xml:space="preserve">. </w:t>
      </w:r>
      <w:r w:rsidR="00614E9B" w:rsidRPr="00D83519">
        <w:t>Again, a somewhat higher proportion of c</w:t>
      </w:r>
      <w:r w:rsidR="00681E61" w:rsidRPr="00D83519">
        <w:t xml:space="preserve">onsumers of self-directed treatment who had higher baseline </w:t>
      </w:r>
      <w:r w:rsidR="00614E9B" w:rsidRPr="00D83519">
        <w:t xml:space="preserve">depression </w:t>
      </w:r>
      <w:r w:rsidR="00681E61" w:rsidRPr="00D83519">
        <w:t>(PHQ-9) improve</w:t>
      </w:r>
      <w:r w:rsidR="00614E9B" w:rsidRPr="00D83519">
        <w:t>d</w:t>
      </w:r>
      <w:r w:rsidR="00681E61" w:rsidRPr="00D83519">
        <w:t xml:space="preserve"> than their therapist-supported counterparts. However, </w:t>
      </w:r>
      <w:r w:rsidR="00614E9B" w:rsidRPr="00D83519">
        <w:t xml:space="preserve">a slightly higher proportion of </w:t>
      </w:r>
      <w:r w:rsidR="00681E61" w:rsidRPr="00D83519">
        <w:t xml:space="preserve">consumers of therapist-supported treatment with mild </w:t>
      </w:r>
      <w:r w:rsidR="00614E9B" w:rsidRPr="00D83519">
        <w:t xml:space="preserve">baseline </w:t>
      </w:r>
      <w:r w:rsidR="00681E61" w:rsidRPr="00D83519">
        <w:t>anxiety</w:t>
      </w:r>
      <w:r w:rsidR="00614E9B" w:rsidRPr="00D83519">
        <w:t xml:space="preserve"> (GAD-7) improved than those who accessed self-directed treatment (52% vs 48%).</w:t>
      </w:r>
    </w:p>
    <w:p w14:paraId="03000916" w14:textId="33693628" w:rsidR="008067E5" w:rsidRDefault="008067E5" w:rsidP="00681E61">
      <w:pPr>
        <w:pStyle w:val="ANorm"/>
        <w:rPr>
          <w:highlight w:val="green"/>
        </w:rPr>
      </w:pPr>
    </w:p>
    <w:p w14:paraId="41347761" w14:textId="77777777" w:rsidR="00681E61" w:rsidRPr="00332024" w:rsidRDefault="00681E61" w:rsidP="00681E61">
      <w:pPr>
        <w:pStyle w:val="ANorm"/>
        <w:rPr>
          <w:rFonts w:asciiTheme="minorHAnsi" w:hAnsiTheme="minorHAnsi" w:cstheme="minorHAnsi"/>
        </w:rPr>
        <w:sectPr w:rsidR="00681E61" w:rsidRPr="00332024" w:rsidSect="00E81E3F">
          <w:pgSz w:w="11906" w:h="16838"/>
          <w:pgMar w:top="1440" w:right="1080" w:bottom="1440" w:left="1080" w:header="708" w:footer="708" w:gutter="0"/>
          <w:cols w:space="708"/>
          <w:docGrid w:linePitch="360"/>
        </w:sectPr>
      </w:pPr>
    </w:p>
    <w:p w14:paraId="76D6D486" w14:textId="62665FE0" w:rsidR="00DF0F01" w:rsidRPr="00513DDD" w:rsidRDefault="00CE177F" w:rsidP="00B03389">
      <w:pPr>
        <w:pStyle w:val="ANorm"/>
        <w:ind w:left="1134"/>
        <w:rPr>
          <w:b/>
          <w:bCs/>
          <w:sz w:val="13"/>
          <w:szCs w:val="13"/>
        </w:rPr>
      </w:pPr>
      <w:r w:rsidRPr="00513DDD">
        <w:rPr>
          <w:b/>
          <w:bCs/>
          <w:sz w:val="13"/>
          <w:szCs w:val="13"/>
        </w:rPr>
        <w:lastRenderedPageBreak/>
        <w:t>All</w:t>
      </w:r>
      <w:r w:rsidR="00357483" w:rsidRPr="00513DDD">
        <w:rPr>
          <w:b/>
          <w:bCs/>
          <w:sz w:val="13"/>
          <w:szCs w:val="13"/>
        </w:rPr>
        <w:t xml:space="preserve"> </w:t>
      </w:r>
      <w:r w:rsidR="00357483" w:rsidRPr="00B4302B">
        <w:rPr>
          <w:sz w:val="13"/>
          <w:szCs w:val="13"/>
        </w:rPr>
        <w:t>(</w:t>
      </w:r>
      <w:proofErr w:type="gramStart"/>
      <w:r w:rsidR="00357483" w:rsidRPr="00B4302B">
        <w:rPr>
          <w:sz w:val="13"/>
          <w:szCs w:val="13"/>
        </w:rPr>
        <w:t>N</w:t>
      </w:r>
      <w:r w:rsidR="00273C37" w:rsidRPr="00B4302B">
        <w:rPr>
          <w:sz w:val="13"/>
          <w:szCs w:val="13"/>
        </w:rPr>
        <w:t>:</w:t>
      </w:r>
      <w:r w:rsidR="00357483" w:rsidRPr="00B4302B">
        <w:rPr>
          <w:sz w:val="13"/>
          <w:szCs w:val="13"/>
        </w:rPr>
        <w:t>K</w:t>
      </w:r>
      <w:proofErr w:type="gramEnd"/>
      <w:r w:rsidR="00357483" w:rsidRPr="00B4302B">
        <w:rPr>
          <w:sz w:val="13"/>
          <w:szCs w:val="13"/>
        </w:rPr>
        <w:t>10=57</w:t>
      </w:r>
      <w:r w:rsidR="00273C37" w:rsidRPr="00B4302B">
        <w:rPr>
          <w:sz w:val="13"/>
          <w:szCs w:val="13"/>
        </w:rPr>
        <w:t>,</w:t>
      </w:r>
      <w:r w:rsidR="00357483" w:rsidRPr="00B4302B">
        <w:rPr>
          <w:sz w:val="13"/>
          <w:szCs w:val="13"/>
        </w:rPr>
        <w:t>134</w:t>
      </w:r>
      <w:r w:rsidR="005D3863" w:rsidRPr="00B4302B">
        <w:rPr>
          <w:sz w:val="13"/>
          <w:szCs w:val="13"/>
        </w:rPr>
        <w:t>; PHQ-9</w:t>
      </w:r>
      <w:r w:rsidR="00273C37" w:rsidRPr="00B4302B">
        <w:rPr>
          <w:sz w:val="13"/>
          <w:szCs w:val="13"/>
        </w:rPr>
        <w:t>=54,132; GAD-7=37,528</w:t>
      </w:r>
      <w:r w:rsidR="00AB1FFE" w:rsidRPr="00B4302B">
        <w:rPr>
          <w:sz w:val="13"/>
          <w:szCs w:val="13"/>
        </w:rPr>
        <w:t>)</w:t>
      </w:r>
      <w:r w:rsidR="00873EAE" w:rsidRPr="00B4302B">
        <w:rPr>
          <w:sz w:val="13"/>
          <w:szCs w:val="13"/>
        </w:rPr>
        <w:tab/>
      </w:r>
      <w:r w:rsidR="00B03389">
        <w:rPr>
          <w:sz w:val="13"/>
          <w:szCs w:val="13"/>
        </w:rPr>
        <w:tab/>
        <w:t xml:space="preserve">               </w:t>
      </w:r>
      <w:r w:rsidR="005C4349" w:rsidRPr="00513DDD">
        <w:rPr>
          <w:b/>
          <w:bCs/>
          <w:sz w:val="13"/>
          <w:szCs w:val="13"/>
        </w:rPr>
        <w:t>T</w:t>
      </w:r>
      <w:r w:rsidRPr="00513DDD">
        <w:rPr>
          <w:b/>
          <w:bCs/>
          <w:sz w:val="13"/>
          <w:szCs w:val="13"/>
        </w:rPr>
        <w:t>herapist-</w:t>
      </w:r>
      <w:r w:rsidRPr="00B03389">
        <w:rPr>
          <w:b/>
          <w:bCs/>
          <w:sz w:val="13"/>
          <w:szCs w:val="13"/>
        </w:rPr>
        <w:t>supported</w:t>
      </w:r>
      <w:r w:rsidR="00AB1FFE" w:rsidRPr="00B03389">
        <w:rPr>
          <w:b/>
          <w:bCs/>
          <w:sz w:val="13"/>
          <w:szCs w:val="13"/>
        </w:rPr>
        <w:t xml:space="preserve"> </w:t>
      </w:r>
      <w:r w:rsidR="00AB1FFE" w:rsidRPr="00B03389">
        <w:rPr>
          <w:sz w:val="13"/>
          <w:szCs w:val="13"/>
        </w:rPr>
        <w:t>(N:K10=</w:t>
      </w:r>
      <w:r w:rsidR="00C57A41" w:rsidRPr="00B03389">
        <w:rPr>
          <w:sz w:val="13"/>
          <w:szCs w:val="13"/>
        </w:rPr>
        <w:t>29,259</w:t>
      </w:r>
      <w:r w:rsidR="00AB1FFE" w:rsidRPr="00B03389">
        <w:rPr>
          <w:sz w:val="13"/>
          <w:szCs w:val="13"/>
        </w:rPr>
        <w:t>; PHQ-9=</w:t>
      </w:r>
      <w:r w:rsidR="00C57A41" w:rsidRPr="00B03389">
        <w:rPr>
          <w:sz w:val="13"/>
          <w:szCs w:val="13"/>
        </w:rPr>
        <w:t>27,530</w:t>
      </w:r>
      <w:r w:rsidR="00AB1FFE" w:rsidRPr="00B03389">
        <w:rPr>
          <w:sz w:val="13"/>
          <w:szCs w:val="13"/>
        </w:rPr>
        <w:t>; GAD-7=</w:t>
      </w:r>
      <w:r w:rsidR="005667C0" w:rsidRPr="00B03389">
        <w:rPr>
          <w:sz w:val="13"/>
          <w:szCs w:val="13"/>
        </w:rPr>
        <w:t>18,236</w:t>
      </w:r>
      <w:r w:rsidR="00AB1FFE" w:rsidRPr="00B03389">
        <w:rPr>
          <w:sz w:val="13"/>
          <w:szCs w:val="13"/>
        </w:rPr>
        <w:t>)</w:t>
      </w:r>
      <w:r w:rsidR="00B03389">
        <w:rPr>
          <w:b/>
          <w:bCs/>
          <w:sz w:val="13"/>
          <w:szCs w:val="13"/>
        </w:rPr>
        <w:tab/>
        <w:t xml:space="preserve">                 </w:t>
      </w:r>
      <w:r w:rsidRPr="00B03389">
        <w:rPr>
          <w:b/>
          <w:bCs/>
          <w:sz w:val="13"/>
          <w:szCs w:val="13"/>
        </w:rPr>
        <w:t>Self-directed</w:t>
      </w:r>
      <w:r w:rsidR="00DD1EC0" w:rsidRPr="00B03389">
        <w:rPr>
          <w:b/>
          <w:bCs/>
          <w:sz w:val="13"/>
          <w:szCs w:val="13"/>
        </w:rPr>
        <w:t xml:space="preserve"> </w:t>
      </w:r>
      <w:r w:rsidR="00DD1EC0" w:rsidRPr="00B03389">
        <w:rPr>
          <w:sz w:val="13"/>
          <w:szCs w:val="13"/>
        </w:rPr>
        <w:t>(N:K10=</w:t>
      </w:r>
      <w:r w:rsidR="005667C0" w:rsidRPr="00B03389">
        <w:rPr>
          <w:sz w:val="13"/>
          <w:szCs w:val="13"/>
        </w:rPr>
        <w:t>27</w:t>
      </w:r>
      <w:r w:rsidR="00403D27" w:rsidRPr="00B03389">
        <w:rPr>
          <w:sz w:val="13"/>
          <w:szCs w:val="13"/>
        </w:rPr>
        <w:t>,</w:t>
      </w:r>
      <w:r w:rsidR="005667C0" w:rsidRPr="00B03389">
        <w:rPr>
          <w:sz w:val="13"/>
          <w:szCs w:val="13"/>
        </w:rPr>
        <w:t>875</w:t>
      </w:r>
      <w:r w:rsidR="00DD1EC0" w:rsidRPr="00B03389">
        <w:rPr>
          <w:sz w:val="13"/>
          <w:szCs w:val="13"/>
        </w:rPr>
        <w:t>; PHQ-9=</w:t>
      </w:r>
      <w:r w:rsidR="00B03389" w:rsidRPr="00B03389">
        <w:rPr>
          <w:sz w:val="13"/>
          <w:szCs w:val="13"/>
        </w:rPr>
        <w:t>26,602</w:t>
      </w:r>
      <w:r w:rsidR="00DD1EC0" w:rsidRPr="00B03389">
        <w:rPr>
          <w:sz w:val="13"/>
          <w:szCs w:val="13"/>
        </w:rPr>
        <w:t>; GAD-7=</w:t>
      </w:r>
      <w:r w:rsidR="00403D27" w:rsidRPr="00B03389">
        <w:rPr>
          <w:sz w:val="13"/>
          <w:szCs w:val="13"/>
        </w:rPr>
        <w:t>19,292</w:t>
      </w:r>
      <w:r w:rsidR="00DD1EC0" w:rsidRPr="00B03389">
        <w:rPr>
          <w:sz w:val="13"/>
          <w:szCs w:val="13"/>
        </w:rPr>
        <w:t>)</w:t>
      </w:r>
    </w:p>
    <w:p w14:paraId="4B75459C" w14:textId="665FF1DE" w:rsidR="00CE177F" w:rsidRDefault="00CE177F" w:rsidP="00974467">
      <w:pPr>
        <w:pStyle w:val="ANorm"/>
        <w:ind w:left="720"/>
        <w:rPr>
          <w:noProof/>
        </w:rPr>
      </w:pPr>
      <w:r w:rsidRPr="00CE177F">
        <w:rPr>
          <w:noProof/>
        </w:rPr>
        <w:t xml:space="preserve"> </w:t>
      </w:r>
      <w:r w:rsidRPr="00CE177F">
        <w:rPr>
          <w:noProof/>
          <w:lang w:eastAsia="en-AU"/>
        </w:rPr>
        <w:drawing>
          <wp:inline distT="0" distB="0" distL="0" distR="0" wp14:anchorId="6BDCE8C8" wp14:editId="2540A575">
            <wp:extent cx="2787722" cy="1872000"/>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87722" cy="1872000"/>
                    </a:xfrm>
                    <a:prstGeom prst="rect">
                      <a:avLst/>
                    </a:prstGeom>
                  </pic:spPr>
                </pic:pic>
              </a:graphicData>
            </a:graphic>
          </wp:inline>
        </w:drawing>
      </w:r>
      <w:r w:rsidRPr="00CE177F">
        <w:rPr>
          <w:noProof/>
          <w:lang w:eastAsia="en-AU"/>
        </w:rPr>
        <w:drawing>
          <wp:inline distT="0" distB="0" distL="0" distR="0" wp14:anchorId="27572CA9" wp14:editId="2C00E5E1">
            <wp:extent cx="2786400" cy="187111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86400" cy="1871112"/>
                    </a:xfrm>
                    <a:prstGeom prst="rect">
                      <a:avLst/>
                    </a:prstGeom>
                  </pic:spPr>
                </pic:pic>
              </a:graphicData>
            </a:graphic>
          </wp:inline>
        </w:drawing>
      </w:r>
      <w:r w:rsidR="005C4349" w:rsidRPr="005C4349">
        <w:rPr>
          <w:noProof/>
          <w:lang w:eastAsia="en-AU"/>
        </w:rPr>
        <w:drawing>
          <wp:inline distT="0" distB="0" distL="0" distR="0" wp14:anchorId="33EC00BF" wp14:editId="39BB67AB">
            <wp:extent cx="2786400" cy="1871111"/>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86400" cy="1871111"/>
                    </a:xfrm>
                    <a:prstGeom prst="rect">
                      <a:avLst/>
                    </a:prstGeom>
                  </pic:spPr>
                </pic:pic>
              </a:graphicData>
            </a:graphic>
          </wp:inline>
        </w:drawing>
      </w:r>
    </w:p>
    <w:p w14:paraId="58A6CB15" w14:textId="6AE4B70E" w:rsidR="00E00B9D" w:rsidRDefault="005C4349" w:rsidP="00974467">
      <w:pPr>
        <w:pStyle w:val="ANorm"/>
        <w:ind w:left="720"/>
      </w:pPr>
      <w:r w:rsidRPr="005C4349">
        <w:rPr>
          <w:noProof/>
          <w:lang w:eastAsia="en-AU"/>
        </w:rPr>
        <w:drawing>
          <wp:inline distT="0" distB="0" distL="0" distR="0" wp14:anchorId="514FC039" wp14:editId="6E9D2A06">
            <wp:extent cx="2786400" cy="187111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86400" cy="1871112"/>
                    </a:xfrm>
                    <a:prstGeom prst="rect">
                      <a:avLst/>
                    </a:prstGeom>
                  </pic:spPr>
                </pic:pic>
              </a:graphicData>
            </a:graphic>
          </wp:inline>
        </w:drawing>
      </w:r>
      <w:r w:rsidRPr="005C4349">
        <w:rPr>
          <w:noProof/>
          <w:lang w:eastAsia="en-AU"/>
        </w:rPr>
        <w:drawing>
          <wp:inline distT="0" distB="0" distL="0" distR="0" wp14:anchorId="491BBAAA" wp14:editId="799DE788">
            <wp:extent cx="2787723" cy="1872000"/>
            <wp:effectExtent l="0" t="0" r="6350" b="0"/>
            <wp:docPr id="42" name="Picture 42" descr="Charts describing K10, PHQ-9 and GAD-7 outcomes by baseline symptom severity for THIS WAY UP consumers, overall and by support status, July 2015 – December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s describing K10, PHQ-9 and GAD-7 outcomes by baseline symptom severity for THIS WAY UP consumers, overall and by support status, July 2015 – December 2021"/>
                    <pic:cNvPicPr/>
                  </pic:nvPicPr>
                  <pic:blipFill>
                    <a:blip r:embed="rId52"/>
                    <a:stretch>
                      <a:fillRect/>
                    </a:stretch>
                  </pic:blipFill>
                  <pic:spPr>
                    <a:xfrm>
                      <a:off x="0" y="0"/>
                      <a:ext cx="2787723" cy="1872000"/>
                    </a:xfrm>
                    <a:prstGeom prst="rect">
                      <a:avLst/>
                    </a:prstGeom>
                  </pic:spPr>
                </pic:pic>
              </a:graphicData>
            </a:graphic>
          </wp:inline>
        </w:drawing>
      </w:r>
      <w:r w:rsidR="00582CB5" w:rsidRPr="00582CB5">
        <w:rPr>
          <w:noProof/>
          <w:lang w:eastAsia="en-AU"/>
        </w:rPr>
        <w:drawing>
          <wp:inline distT="0" distB="0" distL="0" distR="0" wp14:anchorId="6CD6AB17" wp14:editId="1F51E98B">
            <wp:extent cx="2863647" cy="192298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923573" cy="1963224"/>
                    </a:xfrm>
                    <a:prstGeom prst="rect">
                      <a:avLst/>
                    </a:prstGeom>
                  </pic:spPr>
                </pic:pic>
              </a:graphicData>
            </a:graphic>
          </wp:inline>
        </w:drawing>
      </w:r>
    </w:p>
    <w:p w14:paraId="5C905321" w14:textId="16A9FB5F" w:rsidR="00E00B9D" w:rsidRDefault="00582CB5" w:rsidP="00974467">
      <w:pPr>
        <w:pStyle w:val="tableheading"/>
        <w:spacing w:after="0"/>
        <w:ind w:left="720"/>
      </w:pPr>
      <w:r w:rsidRPr="00582CB5">
        <w:rPr>
          <w:noProof/>
          <w:lang w:val="en-AU" w:eastAsia="en-AU"/>
        </w:rPr>
        <w:drawing>
          <wp:inline distT="0" distB="0" distL="0" distR="0" wp14:anchorId="4C1716D5" wp14:editId="401E2E59">
            <wp:extent cx="2787722" cy="1872000"/>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87722" cy="1872000"/>
                    </a:xfrm>
                    <a:prstGeom prst="rect">
                      <a:avLst/>
                    </a:prstGeom>
                  </pic:spPr>
                </pic:pic>
              </a:graphicData>
            </a:graphic>
          </wp:inline>
        </w:drawing>
      </w:r>
      <w:r w:rsidR="002D0DD5" w:rsidRPr="00582CB5">
        <w:rPr>
          <w:noProof/>
          <w:lang w:val="en-AU" w:eastAsia="en-AU"/>
        </w:rPr>
        <w:drawing>
          <wp:inline distT="0" distB="0" distL="0" distR="0" wp14:anchorId="33425CAB" wp14:editId="39652BB5">
            <wp:extent cx="2787723" cy="1872000"/>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87723" cy="1872000"/>
                    </a:xfrm>
                    <a:prstGeom prst="rect">
                      <a:avLst/>
                    </a:prstGeom>
                  </pic:spPr>
                </pic:pic>
              </a:graphicData>
            </a:graphic>
          </wp:inline>
        </w:drawing>
      </w:r>
      <w:r w:rsidR="002D0DD5" w:rsidRPr="002D0DD5">
        <w:rPr>
          <w:noProof/>
          <w:lang w:val="en-AU" w:eastAsia="en-AU"/>
        </w:rPr>
        <w:drawing>
          <wp:inline distT="0" distB="0" distL="0" distR="0" wp14:anchorId="121D164D" wp14:editId="46DBD694">
            <wp:extent cx="2787723" cy="1872000"/>
            <wp:effectExtent l="0" t="0" r="635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87723" cy="1872000"/>
                    </a:xfrm>
                    <a:prstGeom prst="rect">
                      <a:avLst/>
                    </a:prstGeom>
                  </pic:spPr>
                </pic:pic>
              </a:graphicData>
            </a:graphic>
          </wp:inline>
        </w:drawing>
      </w:r>
    </w:p>
    <w:p w14:paraId="3A6DDA12" w14:textId="2A8A3B99" w:rsidR="00C84E99" w:rsidRDefault="00C84E99" w:rsidP="00D141BB">
      <w:pPr>
        <w:pStyle w:val="tableheading"/>
        <w:spacing w:after="0"/>
      </w:pPr>
      <w:r w:rsidRPr="00F22533">
        <w:t xml:space="preserve">Figure </w:t>
      </w:r>
      <w:r w:rsidR="00A359A6" w:rsidRPr="00F22533">
        <w:t>13</w:t>
      </w:r>
      <w:r w:rsidRPr="00F22533">
        <w:t>.</w:t>
      </w:r>
      <w:r>
        <w:t xml:space="preserve"> K10, PHQ-9 and GAD-7 outcomes by baseline symptom severity for THIS WAY UP</w:t>
      </w:r>
      <w:r w:rsidR="002D0DD5">
        <w:t xml:space="preserve"> consumers</w:t>
      </w:r>
      <w:r>
        <w:t>, overall and by support status, July 2015 – December 2021</w:t>
      </w:r>
    </w:p>
    <w:p w14:paraId="3BC7078E" w14:textId="1035AD11" w:rsidR="00C84E99" w:rsidRDefault="00C84E99" w:rsidP="00332024">
      <w:pPr>
        <w:pStyle w:val="ANorm"/>
        <w:sectPr w:rsidR="00C84E99" w:rsidSect="00974467">
          <w:pgSz w:w="16838" w:h="11906" w:orient="landscape"/>
          <w:pgMar w:top="284" w:right="720" w:bottom="284" w:left="720" w:header="454" w:footer="680" w:gutter="0"/>
          <w:cols w:space="708"/>
          <w:docGrid w:linePitch="360"/>
        </w:sectPr>
      </w:pPr>
    </w:p>
    <w:p w14:paraId="49B01898" w14:textId="08375DD1" w:rsidR="009C4942" w:rsidRPr="00D5306E" w:rsidRDefault="001828E2" w:rsidP="00F84ED2">
      <w:pPr>
        <w:pStyle w:val="Heading3"/>
      </w:pPr>
      <w:r>
        <w:lastRenderedPageBreak/>
        <w:t xml:space="preserve">Trends in </w:t>
      </w:r>
      <w:r w:rsidR="00F22533">
        <w:t xml:space="preserve">mental health </w:t>
      </w:r>
      <w:r>
        <w:t>o</w:t>
      </w:r>
      <w:r w:rsidR="00F9509E" w:rsidRPr="00C84E99">
        <w:t>utcomes by demographic</w:t>
      </w:r>
      <w:r w:rsidR="00F22533">
        <w:t xml:space="preserve"> characteristic</w:t>
      </w:r>
      <w:r w:rsidR="00F9509E" w:rsidRPr="00C84E99">
        <w:t>s</w:t>
      </w:r>
    </w:p>
    <w:p w14:paraId="04E09ACA" w14:textId="587870D4" w:rsidR="002A263A" w:rsidRPr="00D5306E" w:rsidRDefault="00A359A6" w:rsidP="00990DBA">
      <w:pPr>
        <w:pStyle w:val="ANorm"/>
        <w:spacing w:after="200"/>
        <w:rPr>
          <w:lang w:val="en-US"/>
        </w:rPr>
      </w:pPr>
      <w:r w:rsidRPr="00D83519">
        <w:rPr>
          <w:lang w:val="en-US"/>
        </w:rPr>
        <w:t>Figures 14-</w:t>
      </w:r>
      <w:r w:rsidR="002A263A" w:rsidRPr="00D83519">
        <w:rPr>
          <w:lang w:val="en-US"/>
        </w:rPr>
        <w:t>16 show THIS WAY UP consumer before and after treatment symptom severity on the K10, PHQ-9 and GAD-7 by demographic characteristics and therapist-support status from July 2015 to December 2021.</w:t>
      </w:r>
    </w:p>
    <w:p w14:paraId="58CE3372" w14:textId="202C79F4" w:rsidR="00932356" w:rsidRPr="007A3FC4" w:rsidRDefault="00CE313A" w:rsidP="00990DBA">
      <w:pPr>
        <w:pStyle w:val="ANorm"/>
        <w:spacing w:after="200"/>
        <w:rPr>
          <w:lang w:val="en-US"/>
        </w:rPr>
      </w:pPr>
      <w:r w:rsidRPr="007A3FC4">
        <w:rPr>
          <w:lang w:val="en-US"/>
        </w:rPr>
        <w:t>The difference between the pre</w:t>
      </w:r>
      <w:r w:rsidR="007575E8" w:rsidRPr="007A3FC4">
        <w:rPr>
          <w:lang w:val="en-US"/>
        </w:rPr>
        <w:t>-</w:t>
      </w:r>
      <w:r w:rsidRPr="007A3FC4">
        <w:rPr>
          <w:lang w:val="en-US"/>
        </w:rPr>
        <w:t xml:space="preserve"> and post</w:t>
      </w:r>
      <w:r w:rsidR="007575E8" w:rsidRPr="007A3FC4">
        <w:rPr>
          <w:lang w:val="en-US"/>
        </w:rPr>
        <w:t>-treatment</w:t>
      </w:r>
      <w:r w:rsidRPr="007A3FC4">
        <w:rPr>
          <w:lang w:val="en-US"/>
        </w:rPr>
        <w:t xml:space="preserve"> means was very similar for males and females</w:t>
      </w:r>
      <w:r w:rsidR="00891B43" w:rsidRPr="007A3FC4">
        <w:rPr>
          <w:lang w:val="en-US"/>
        </w:rPr>
        <w:t xml:space="preserve"> </w:t>
      </w:r>
      <w:r w:rsidR="00932356" w:rsidRPr="007A3FC4">
        <w:rPr>
          <w:lang w:val="en-US"/>
        </w:rPr>
        <w:t>for all</w:t>
      </w:r>
      <w:r w:rsidR="005D54F6">
        <w:rPr>
          <w:lang w:val="en-US"/>
        </w:rPr>
        <w:t xml:space="preserve"> treatment</w:t>
      </w:r>
      <w:r w:rsidR="00932356" w:rsidRPr="007A3FC4">
        <w:rPr>
          <w:lang w:val="en-US"/>
        </w:rPr>
        <w:t>, therapist-supported, and self-directed treatments; and for all three outcome measures.</w:t>
      </w:r>
    </w:p>
    <w:p w14:paraId="1641D5C1" w14:textId="5A2AD836" w:rsidR="004B0E21" w:rsidRDefault="00CE313A" w:rsidP="00990DBA">
      <w:pPr>
        <w:pStyle w:val="ANorm"/>
        <w:spacing w:after="200"/>
        <w:rPr>
          <w:lang w:val="en-US"/>
        </w:rPr>
      </w:pPr>
      <w:r w:rsidRPr="007A3FC4">
        <w:rPr>
          <w:lang w:val="en-US"/>
        </w:rPr>
        <w:t>The difference between the pre</w:t>
      </w:r>
      <w:r w:rsidR="007575E8" w:rsidRPr="007A3FC4">
        <w:rPr>
          <w:lang w:val="en-US"/>
        </w:rPr>
        <w:t>-</w:t>
      </w:r>
      <w:r w:rsidRPr="007A3FC4">
        <w:rPr>
          <w:lang w:val="en-US"/>
        </w:rPr>
        <w:t xml:space="preserve"> and post</w:t>
      </w:r>
      <w:r w:rsidR="007575E8" w:rsidRPr="007A3FC4">
        <w:rPr>
          <w:lang w:val="en-US"/>
        </w:rPr>
        <w:t>-treatment</w:t>
      </w:r>
      <w:r w:rsidRPr="007A3FC4">
        <w:rPr>
          <w:lang w:val="en-US"/>
        </w:rPr>
        <w:t xml:space="preserve"> means was </w:t>
      </w:r>
      <w:r w:rsidR="00B2604D" w:rsidRPr="007A3FC4">
        <w:rPr>
          <w:lang w:val="en-US"/>
        </w:rPr>
        <w:t xml:space="preserve">also </w:t>
      </w:r>
      <w:r w:rsidR="00EF77E4" w:rsidRPr="007A3FC4">
        <w:rPr>
          <w:lang w:val="en-US"/>
        </w:rPr>
        <w:t>similar</w:t>
      </w:r>
      <w:r w:rsidRPr="007A3FC4">
        <w:rPr>
          <w:lang w:val="en-US"/>
        </w:rPr>
        <w:t xml:space="preserve"> for most age</w:t>
      </w:r>
      <w:r w:rsidR="00250DA5" w:rsidRPr="007A3FC4">
        <w:rPr>
          <w:lang w:val="en-US"/>
        </w:rPr>
        <w:t xml:space="preserve"> </w:t>
      </w:r>
      <w:r w:rsidRPr="007A3FC4">
        <w:rPr>
          <w:lang w:val="en-US"/>
        </w:rPr>
        <w:t>groups, for all</w:t>
      </w:r>
      <w:r w:rsidR="001F03E3">
        <w:rPr>
          <w:lang w:val="en-US"/>
        </w:rPr>
        <w:t xml:space="preserve"> treatment</w:t>
      </w:r>
      <w:r w:rsidRPr="007A3FC4">
        <w:rPr>
          <w:lang w:val="en-US"/>
        </w:rPr>
        <w:t xml:space="preserve">, </w:t>
      </w:r>
      <w:r w:rsidR="007575E8" w:rsidRPr="007A3FC4">
        <w:rPr>
          <w:lang w:val="en-US"/>
        </w:rPr>
        <w:t>therapist-supported, and self-directed treatment</w:t>
      </w:r>
      <w:r w:rsidR="00932356" w:rsidRPr="007A3FC4">
        <w:rPr>
          <w:lang w:val="en-US"/>
        </w:rPr>
        <w:t>s</w:t>
      </w:r>
      <w:r w:rsidR="007575E8" w:rsidRPr="007A3FC4">
        <w:rPr>
          <w:lang w:val="en-US"/>
        </w:rPr>
        <w:t>;</w:t>
      </w:r>
      <w:r w:rsidRPr="007A3FC4">
        <w:rPr>
          <w:lang w:val="en-US"/>
        </w:rPr>
        <w:t xml:space="preserve"> and for all </w:t>
      </w:r>
      <w:r w:rsidR="007575E8" w:rsidRPr="007A3FC4">
        <w:rPr>
          <w:lang w:val="en-US"/>
        </w:rPr>
        <w:t>three</w:t>
      </w:r>
      <w:r w:rsidRPr="007A3FC4">
        <w:rPr>
          <w:lang w:val="en-US"/>
        </w:rPr>
        <w:t xml:space="preserve"> outcome measures. There was a slightly smaller difference for &lt; </w:t>
      </w:r>
      <w:r w:rsidR="00EC0CC8" w:rsidRPr="007A3FC4">
        <w:rPr>
          <w:lang w:val="en-US"/>
        </w:rPr>
        <w:t>18-year-olds</w:t>
      </w:r>
      <w:r w:rsidR="00B2604D" w:rsidRPr="007A3FC4">
        <w:rPr>
          <w:lang w:val="en-US"/>
        </w:rPr>
        <w:t xml:space="preserve"> (</w:t>
      </w:r>
      <w:r w:rsidRPr="007A3FC4">
        <w:rPr>
          <w:lang w:val="en-US"/>
        </w:rPr>
        <w:t xml:space="preserve">all </w:t>
      </w:r>
      <w:r w:rsidR="00D14E6D" w:rsidRPr="007A3FC4">
        <w:rPr>
          <w:lang w:val="en-US"/>
        </w:rPr>
        <w:t xml:space="preserve">treatment </w:t>
      </w:r>
      <w:r w:rsidRPr="007A3FC4">
        <w:rPr>
          <w:lang w:val="en-US"/>
        </w:rPr>
        <w:t>types and outcome</w:t>
      </w:r>
      <w:r w:rsidR="00D14E6D" w:rsidRPr="007A3FC4">
        <w:rPr>
          <w:lang w:val="en-US"/>
        </w:rPr>
        <w:t xml:space="preserve"> measures</w:t>
      </w:r>
      <w:r w:rsidR="00B2604D" w:rsidRPr="007A3FC4">
        <w:rPr>
          <w:lang w:val="en-US"/>
        </w:rPr>
        <w:t>)</w:t>
      </w:r>
      <w:r w:rsidRPr="007A3FC4">
        <w:rPr>
          <w:lang w:val="en-US"/>
        </w:rPr>
        <w:t>, and a slightly larger difference for 18-24</w:t>
      </w:r>
      <w:r w:rsidR="00EF77E4" w:rsidRPr="007A3FC4">
        <w:rPr>
          <w:lang w:val="en-US"/>
        </w:rPr>
        <w:t>-</w:t>
      </w:r>
      <w:r w:rsidRPr="007A3FC4">
        <w:rPr>
          <w:lang w:val="en-US"/>
        </w:rPr>
        <w:t>year</w:t>
      </w:r>
      <w:r w:rsidR="00D14E6D" w:rsidRPr="007A3FC4">
        <w:rPr>
          <w:lang w:val="en-US"/>
        </w:rPr>
        <w:t>-</w:t>
      </w:r>
      <w:r w:rsidRPr="007A3FC4">
        <w:rPr>
          <w:lang w:val="en-US"/>
        </w:rPr>
        <w:t>olds (especially for self-directed</w:t>
      </w:r>
      <w:r w:rsidR="00D14E6D" w:rsidRPr="007A3FC4">
        <w:rPr>
          <w:lang w:val="en-US"/>
        </w:rPr>
        <w:t xml:space="preserve"> treatment</w:t>
      </w:r>
      <w:r w:rsidRPr="007A3FC4">
        <w:rPr>
          <w:lang w:val="en-US"/>
        </w:rPr>
        <w:t>) and for 65-74</w:t>
      </w:r>
      <w:r w:rsidR="00E14F4C" w:rsidRPr="007A3FC4">
        <w:rPr>
          <w:lang w:val="en-US"/>
        </w:rPr>
        <w:t>-</w:t>
      </w:r>
      <w:r w:rsidRPr="007A3FC4">
        <w:rPr>
          <w:lang w:val="en-US"/>
        </w:rPr>
        <w:t>year</w:t>
      </w:r>
      <w:r w:rsidR="007A3FC4" w:rsidRPr="007A3FC4">
        <w:rPr>
          <w:lang w:val="en-US"/>
        </w:rPr>
        <w:t>-</w:t>
      </w:r>
      <w:r w:rsidRPr="007A3FC4">
        <w:rPr>
          <w:lang w:val="en-US"/>
        </w:rPr>
        <w:t>olds.</w:t>
      </w:r>
    </w:p>
    <w:p w14:paraId="5B5A3CE3" w14:textId="77777777" w:rsidR="00510AE9" w:rsidRDefault="00510AE9" w:rsidP="00532662">
      <w:pPr>
        <w:pStyle w:val="ANorm"/>
        <w:rPr>
          <w:lang w:val="en-US"/>
        </w:rPr>
      </w:pPr>
    </w:p>
    <w:p w14:paraId="7E541833" w14:textId="77777777" w:rsidR="00EC0CC8" w:rsidRDefault="00EC0CC8" w:rsidP="00F9509E">
      <w:pPr>
        <w:pStyle w:val="ANorm"/>
        <w:rPr>
          <w:highlight w:val="red"/>
        </w:rPr>
        <w:sectPr w:rsidR="00EC0CC8" w:rsidSect="00E81E3F">
          <w:pgSz w:w="11906" w:h="16838"/>
          <w:pgMar w:top="1440" w:right="1080" w:bottom="1440" w:left="1080" w:header="708" w:footer="708" w:gutter="0"/>
          <w:cols w:space="708"/>
          <w:docGrid w:linePitch="360"/>
        </w:sectPr>
      </w:pPr>
    </w:p>
    <w:p w14:paraId="71C39413" w14:textId="15186EEE" w:rsidR="00BA74F5" w:rsidRPr="002D0DD5" w:rsidRDefault="00BA74F5" w:rsidP="00B65555">
      <w:pPr>
        <w:pStyle w:val="ANorm"/>
        <w:rPr>
          <w:b/>
          <w:bCs/>
          <w:sz w:val="16"/>
          <w:szCs w:val="16"/>
        </w:rPr>
      </w:pPr>
    </w:p>
    <w:p w14:paraId="3FE887E7" w14:textId="57515AF6" w:rsidR="00F9509E" w:rsidRPr="002D0DD5" w:rsidRDefault="009446D2" w:rsidP="004B0E21">
      <w:pPr>
        <w:pStyle w:val="ANorm"/>
        <w:ind w:left="2160"/>
        <w:rPr>
          <w:b/>
          <w:bCs/>
          <w:sz w:val="16"/>
          <w:szCs w:val="16"/>
        </w:rPr>
      </w:pPr>
      <w:r w:rsidRPr="002D0DD5">
        <w:rPr>
          <w:b/>
          <w:bCs/>
          <w:sz w:val="16"/>
          <w:szCs w:val="16"/>
        </w:rPr>
        <w:t xml:space="preserve">   </w:t>
      </w:r>
      <w:r w:rsidR="00F9509E" w:rsidRPr="002D0DD5">
        <w:rPr>
          <w:b/>
          <w:bCs/>
          <w:sz w:val="16"/>
          <w:szCs w:val="16"/>
        </w:rPr>
        <w:t>All</w:t>
      </w:r>
      <w:r w:rsidR="00EE5306" w:rsidRPr="002D0DD5">
        <w:rPr>
          <w:b/>
          <w:bCs/>
          <w:sz w:val="16"/>
          <w:szCs w:val="16"/>
        </w:rPr>
        <w:tab/>
      </w:r>
      <w:r w:rsidR="00EE5306" w:rsidRPr="002D0DD5">
        <w:rPr>
          <w:b/>
          <w:bCs/>
          <w:sz w:val="16"/>
          <w:szCs w:val="16"/>
        </w:rPr>
        <w:tab/>
      </w:r>
      <w:r w:rsidR="00EE5306" w:rsidRPr="002D0DD5">
        <w:rPr>
          <w:b/>
          <w:bCs/>
          <w:sz w:val="16"/>
          <w:szCs w:val="16"/>
        </w:rPr>
        <w:tab/>
      </w:r>
      <w:r w:rsidR="00EE5306" w:rsidRPr="002D0DD5">
        <w:rPr>
          <w:b/>
          <w:bCs/>
          <w:sz w:val="16"/>
          <w:szCs w:val="16"/>
        </w:rPr>
        <w:tab/>
      </w:r>
      <w:r w:rsidR="00EE5306" w:rsidRPr="002D0DD5">
        <w:rPr>
          <w:b/>
          <w:bCs/>
          <w:sz w:val="16"/>
          <w:szCs w:val="16"/>
        </w:rPr>
        <w:tab/>
      </w:r>
      <w:r w:rsidRPr="002D0DD5">
        <w:rPr>
          <w:b/>
          <w:bCs/>
          <w:sz w:val="16"/>
          <w:szCs w:val="16"/>
        </w:rPr>
        <w:tab/>
      </w:r>
      <w:r w:rsidR="00EE5306" w:rsidRPr="002D0DD5">
        <w:rPr>
          <w:b/>
          <w:bCs/>
          <w:sz w:val="16"/>
          <w:szCs w:val="16"/>
        </w:rPr>
        <w:t>Therapist-supported</w:t>
      </w:r>
      <w:r w:rsidR="00EE5306" w:rsidRPr="002D0DD5">
        <w:rPr>
          <w:b/>
          <w:bCs/>
          <w:sz w:val="16"/>
          <w:szCs w:val="16"/>
        </w:rPr>
        <w:tab/>
      </w:r>
      <w:r w:rsidR="00EE5306" w:rsidRPr="002D0DD5">
        <w:rPr>
          <w:b/>
          <w:bCs/>
          <w:sz w:val="16"/>
          <w:szCs w:val="16"/>
        </w:rPr>
        <w:tab/>
      </w:r>
      <w:r w:rsidR="00EE5306" w:rsidRPr="002D0DD5">
        <w:rPr>
          <w:b/>
          <w:bCs/>
          <w:sz w:val="16"/>
          <w:szCs w:val="16"/>
        </w:rPr>
        <w:tab/>
      </w:r>
      <w:r w:rsidR="00EE5306" w:rsidRPr="002D0DD5">
        <w:rPr>
          <w:b/>
          <w:bCs/>
          <w:sz w:val="16"/>
          <w:szCs w:val="16"/>
        </w:rPr>
        <w:tab/>
      </w:r>
      <w:r w:rsidR="00EE5306" w:rsidRPr="002D0DD5">
        <w:rPr>
          <w:b/>
          <w:bCs/>
          <w:sz w:val="16"/>
          <w:szCs w:val="16"/>
        </w:rPr>
        <w:tab/>
      </w:r>
      <w:r w:rsidRPr="002D0DD5">
        <w:rPr>
          <w:b/>
          <w:bCs/>
          <w:sz w:val="16"/>
          <w:szCs w:val="16"/>
        </w:rPr>
        <w:t xml:space="preserve">     </w:t>
      </w:r>
      <w:r w:rsidR="00EE5306" w:rsidRPr="002D0DD5">
        <w:rPr>
          <w:b/>
          <w:bCs/>
          <w:sz w:val="16"/>
          <w:szCs w:val="16"/>
        </w:rPr>
        <w:t>Self-directed</w:t>
      </w:r>
    </w:p>
    <w:p w14:paraId="33AD743D" w14:textId="56EBA281" w:rsidR="00F9509E" w:rsidRDefault="00DA0DC0" w:rsidP="00B65555">
      <w:pPr>
        <w:pStyle w:val="ANorm"/>
      </w:pPr>
      <w:r w:rsidRPr="00DA0DC0">
        <w:rPr>
          <w:noProof/>
          <w:lang w:eastAsia="en-AU"/>
        </w:rPr>
        <w:drawing>
          <wp:inline distT="0" distB="0" distL="0" distR="0" wp14:anchorId="7208CA93" wp14:editId="1F1E8A6C">
            <wp:extent cx="2892477" cy="1942465"/>
            <wp:effectExtent l="0" t="0" r="3175" b="635"/>
            <wp:docPr id="204" name="Picture 20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screenshot of a computer&#10;&#10;Description automatically generated with medium confidence"/>
                    <pic:cNvPicPr/>
                  </pic:nvPicPr>
                  <pic:blipFill>
                    <a:blip r:embed="rId57"/>
                    <a:stretch>
                      <a:fillRect/>
                    </a:stretch>
                  </pic:blipFill>
                  <pic:spPr>
                    <a:xfrm>
                      <a:off x="0" y="0"/>
                      <a:ext cx="2923008" cy="1962968"/>
                    </a:xfrm>
                    <a:prstGeom prst="rect">
                      <a:avLst/>
                    </a:prstGeom>
                  </pic:spPr>
                </pic:pic>
              </a:graphicData>
            </a:graphic>
          </wp:inline>
        </w:drawing>
      </w:r>
      <w:r w:rsidR="00EE5306" w:rsidRPr="008D3A0D">
        <w:rPr>
          <w:noProof/>
          <w:lang w:eastAsia="en-AU"/>
        </w:rPr>
        <w:drawing>
          <wp:inline distT="0" distB="0" distL="0" distR="0" wp14:anchorId="2FC03A5B" wp14:editId="7C8B70A0">
            <wp:extent cx="2910254" cy="1954403"/>
            <wp:effectExtent l="0" t="0" r="0" b="1905"/>
            <wp:docPr id="213" name="Picture 213"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Graphical user interface, chart&#10;&#10;Description automatically generated"/>
                    <pic:cNvPicPr/>
                  </pic:nvPicPr>
                  <pic:blipFill>
                    <a:blip r:embed="rId58"/>
                    <a:stretch>
                      <a:fillRect/>
                    </a:stretch>
                  </pic:blipFill>
                  <pic:spPr>
                    <a:xfrm>
                      <a:off x="0" y="0"/>
                      <a:ext cx="2961058" cy="1988521"/>
                    </a:xfrm>
                    <a:prstGeom prst="rect">
                      <a:avLst/>
                    </a:prstGeom>
                  </pic:spPr>
                </pic:pic>
              </a:graphicData>
            </a:graphic>
          </wp:inline>
        </w:drawing>
      </w:r>
      <w:r w:rsidR="00EE5306" w:rsidRPr="008D3A0D">
        <w:rPr>
          <w:noProof/>
          <w:lang w:eastAsia="en-AU"/>
        </w:rPr>
        <w:drawing>
          <wp:inline distT="0" distB="0" distL="0" distR="0" wp14:anchorId="28C61837" wp14:editId="529BCF4B">
            <wp:extent cx="2892425" cy="1942430"/>
            <wp:effectExtent l="0" t="0" r="3175" b="1270"/>
            <wp:docPr id="216" name="Picture 216"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Chart, box and whisker chart&#10;&#10;Description automatically generated"/>
                    <pic:cNvPicPr/>
                  </pic:nvPicPr>
                  <pic:blipFill>
                    <a:blip r:embed="rId59"/>
                    <a:stretch>
                      <a:fillRect/>
                    </a:stretch>
                  </pic:blipFill>
                  <pic:spPr>
                    <a:xfrm>
                      <a:off x="0" y="0"/>
                      <a:ext cx="2932093" cy="1969069"/>
                    </a:xfrm>
                    <a:prstGeom prst="rect">
                      <a:avLst/>
                    </a:prstGeom>
                  </pic:spPr>
                </pic:pic>
              </a:graphicData>
            </a:graphic>
          </wp:inline>
        </w:drawing>
      </w:r>
    </w:p>
    <w:p w14:paraId="5E430230" w14:textId="63370D8C" w:rsidR="00BA74F5" w:rsidRDefault="005E09E1" w:rsidP="00B65555">
      <w:pPr>
        <w:pStyle w:val="ANorm"/>
      </w:pPr>
      <w:r w:rsidRPr="00BA74F5">
        <w:rPr>
          <w:noProof/>
          <w:lang w:eastAsia="en-AU"/>
        </w:rPr>
        <w:drawing>
          <wp:inline distT="0" distB="0" distL="0" distR="0" wp14:anchorId="0FBC731C" wp14:editId="58629C75">
            <wp:extent cx="2910205" cy="1954370"/>
            <wp:effectExtent l="0" t="0" r="0" b="1905"/>
            <wp:docPr id="179" name="Picture 17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Chart, scatter chart&#10;&#10;Description automatically generated"/>
                    <pic:cNvPicPr/>
                  </pic:nvPicPr>
                  <pic:blipFill>
                    <a:blip r:embed="rId60"/>
                    <a:stretch>
                      <a:fillRect/>
                    </a:stretch>
                  </pic:blipFill>
                  <pic:spPr>
                    <a:xfrm>
                      <a:off x="0" y="0"/>
                      <a:ext cx="2924746" cy="1964135"/>
                    </a:xfrm>
                    <a:prstGeom prst="rect">
                      <a:avLst/>
                    </a:prstGeom>
                  </pic:spPr>
                </pic:pic>
              </a:graphicData>
            </a:graphic>
          </wp:inline>
        </w:drawing>
      </w:r>
      <w:r w:rsidR="00EE5306" w:rsidRPr="005E09E1">
        <w:rPr>
          <w:noProof/>
          <w:lang w:eastAsia="en-AU"/>
        </w:rPr>
        <w:drawing>
          <wp:inline distT="0" distB="0" distL="0" distR="0" wp14:anchorId="7C49EBFB" wp14:editId="1A7AE787">
            <wp:extent cx="2892669" cy="1942595"/>
            <wp:effectExtent l="0" t="0" r="3175" b="635"/>
            <wp:docPr id="191" name="Picture 191" descr="Charts describing THIS WAY UP outcomes on K10 by demographic characteristics and support status, July 2015 – December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Charts describing THIS WAY UP outcomes on K10 by demographic characteristics and support status, July 2015 – December 2021"/>
                    <pic:cNvPicPr/>
                  </pic:nvPicPr>
                  <pic:blipFill>
                    <a:blip r:embed="rId61"/>
                    <a:stretch>
                      <a:fillRect/>
                    </a:stretch>
                  </pic:blipFill>
                  <pic:spPr>
                    <a:xfrm>
                      <a:off x="0" y="0"/>
                      <a:ext cx="2922297" cy="1962492"/>
                    </a:xfrm>
                    <a:prstGeom prst="rect">
                      <a:avLst/>
                    </a:prstGeom>
                  </pic:spPr>
                </pic:pic>
              </a:graphicData>
            </a:graphic>
          </wp:inline>
        </w:drawing>
      </w:r>
      <w:r w:rsidR="00EE5306" w:rsidRPr="005E09E1">
        <w:rPr>
          <w:noProof/>
          <w:lang w:eastAsia="en-AU"/>
        </w:rPr>
        <w:drawing>
          <wp:inline distT="0" distB="0" distL="0" distR="0" wp14:anchorId="520FA7C6" wp14:editId="3DA430B2">
            <wp:extent cx="2892425" cy="1942430"/>
            <wp:effectExtent l="0" t="0" r="3175" b="1270"/>
            <wp:docPr id="195" name="Picture 19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Chart, scatter chart&#10;&#10;Description automatically generated"/>
                    <pic:cNvPicPr/>
                  </pic:nvPicPr>
                  <pic:blipFill>
                    <a:blip r:embed="rId62"/>
                    <a:stretch>
                      <a:fillRect/>
                    </a:stretch>
                  </pic:blipFill>
                  <pic:spPr>
                    <a:xfrm>
                      <a:off x="0" y="0"/>
                      <a:ext cx="2941017" cy="1975062"/>
                    </a:xfrm>
                    <a:prstGeom prst="rect">
                      <a:avLst/>
                    </a:prstGeom>
                  </pic:spPr>
                </pic:pic>
              </a:graphicData>
            </a:graphic>
          </wp:inline>
        </w:drawing>
      </w:r>
    </w:p>
    <w:p w14:paraId="3F383E4E" w14:textId="5702368E" w:rsidR="004B0E21" w:rsidRPr="007B3288" w:rsidRDefault="004B0E21" w:rsidP="007B3288">
      <w:pPr>
        <w:pStyle w:val="tableheading"/>
      </w:pPr>
      <w:r w:rsidRPr="007B3288">
        <w:t>Figure</w:t>
      </w:r>
      <w:r w:rsidR="00A359A6" w:rsidRPr="007B3288">
        <w:t xml:space="preserve"> 14</w:t>
      </w:r>
      <w:r w:rsidRPr="007B3288">
        <w:t xml:space="preserve">. </w:t>
      </w:r>
      <w:r w:rsidR="00990DBA">
        <w:t>THIS WAY UP o</w:t>
      </w:r>
      <w:r w:rsidRPr="007B3288">
        <w:t>utcomes on K10 by demographic</w:t>
      </w:r>
      <w:r w:rsidR="002A263A" w:rsidRPr="007B3288">
        <w:t xml:space="preserve"> characteristics</w:t>
      </w:r>
      <w:r w:rsidRPr="007B3288">
        <w:t xml:space="preserve"> and support</w:t>
      </w:r>
      <w:r w:rsidR="00FC496D" w:rsidRPr="007B3288">
        <w:t xml:space="preserve"> status</w:t>
      </w:r>
      <w:r w:rsidR="002A263A" w:rsidRPr="007B3288">
        <w:t>, July 2015 – December 2021</w:t>
      </w:r>
    </w:p>
    <w:p w14:paraId="68F33CFA" w14:textId="77777777" w:rsidR="004B0E21" w:rsidRDefault="004B0E21" w:rsidP="00B65555">
      <w:pPr>
        <w:pStyle w:val="ANorm"/>
        <w:rPr>
          <w:highlight w:val="yellow"/>
        </w:rPr>
      </w:pPr>
      <w:r>
        <w:rPr>
          <w:highlight w:val="yellow"/>
        </w:rPr>
        <w:br w:type="page"/>
      </w:r>
    </w:p>
    <w:p w14:paraId="20D0F13D" w14:textId="77777777" w:rsidR="009446D2" w:rsidRPr="002D0DD5" w:rsidRDefault="009446D2" w:rsidP="009446D2">
      <w:pPr>
        <w:pStyle w:val="ANorm"/>
        <w:ind w:left="2160"/>
        <w:rPr>
          <w:b/>
          <w:bCs/>
          <w:sz w:val="16"/>
          <w:szCs w:val="16"/>
        </w:rPr>
      </w:pPr>
      <w:r w:rsidRPr="002D0DD5">
        <w:rPr>
          <w:b/>
          <w:bCs/>
          <w:sz w:val="16"/>
          <w:szCs w:val="16"/>
        </w:rPr>
        <w:lastRenderedPageBreak/>
        <w:t xml:space="preserve">   All</w:t>
      </w:r>
      <w:r w:rsidRPr="002D0DD5">
        <w:rPr>
          <w:b/>
          <w:bCs/>
          <w:sz w:val="16"/>
          <w:szCs w:val="16"/>
        </w:rPr>
        <w:tab/>
      </w:r>
      <w:r w:rsidRPr="002D0DD5">
        <w:rPr>
          <w:b/>
          <w:bCs/>
          <w:sz w:val="16"/>
          <w:szCs w:val="16"/>
        </w:rPr>
        <w:tab/>
      </w:r>
      <w:r w:rsidRPr="002D0DD5">
        <w:rPr>
          <w:b/>
          <w:bCs/>
          <w:sz w:val="16"/>
          <w:szCs w:val="16"/>
        </w:rPr>
        <w:tab/>
      </w:r>
      <w:r w:rsidRPr="002D0DD5">
        <w:rPr>
          <w:b/>
          <w:bCs/>
          <w:sz w:val="16"/>
          <w:szCs w:val="16"/>
        </w:rPr>
        <w:tab/>
      </w:r>
      <w:r w:rsidRPr="002D0DD5">
        <w:rPr>
          <w:b/>
          <w:bCs/>
          <w:sz w:val="16"/>
          <w:szCs w:val="16"/>
        </w:rPr>
        <w:tab/>
      </w:r>
      <w:r w:rsidRPr="002D0DD5">
        <w:rPr>
          <w:b/>
          <w:bCs/>
          <w:sz w:val="16"/>
          <w:szCs w:val="16"/>
        </w:rPr>
        <w:tab/>
        <w:t>Therapist-supported</w:t>
      </w:r>
      <w:r w:rsidRPr="002D0DD5">
        <w:rPr>
          <w:b/>
          <w:bCs/>
          <w:sz w:val="16"/>
          <w:szCs w:val="16"/>
        </w:rPr>
        <w:tab/>
      </w:r>
      <w:r w:rsidRPr="002D0DD5">
        <w:rPr>
          <w:b/>
          <w:bCs/>
          <w:sz w:val="16"/>
          <w:szCs w:val="16"/>
        </w:rPr>
        <w:tab/>
      </w:r>
      <w:r w:rsidRPr="002D0DD5">
        <w:rPr>
          <w:b/>
          <w:bCs/>
          <w:sz w:val="16"/>
          <w:szCs w:val="16"/>
        </w:rPr>
        <w:tab/>
      </w:r>
      <w:r w:rsidRPr="002D0DD5">
        <w:rPr>
          <w:b/>
          <w:bCs/>
          <w:sz w:val="16"/>
          <w:szCs w:val="16"/>
        </w:rPr>
        <w:tab/>
      </w:r>
      <w:r w:rsidRPr="002D0DD5">
        <w:rPr>
          <w:b/>
          <w:bCs/>
          <w:sz w:val="16"/>
          <w:szCs w:val="16"/>
        </w:rPr>
        <w:tab/>
        <w:t xml:space="preserve">     Self-directed</w:t>
      </w:r>
    </w:p>
    <w:p w14:paraId="0B11F001" w14:textId="534E7A84" w:rsidR="00BA74F5" w:rsidRDefault="00DA0DC0" w:rsidP="00B65555">
      <w:pPr>
        <w:pStyle w:val="ANorm"/>
      </w:pPr>
      <w:r w:rsidRPr="00DA0DC0">
        <w:rPr>
          <w:noProof/>
          <w:lang w:eastAsia="en-AU"/>
        </w:rPr>
        <w:drawing>
          <wp:inline distT="0" distB="0" distL="0" distR="0" wp14:anchorId="1340AF3A" wp14:editId="24F4DEE2">
            <wp:extent cx="2892425" cy="1942429"/>
            <wp:effectExtent l="0" t="0" r="3175" b="1270"/>
            <wp:docPr id="205" name="Picture 20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A screenshot of a computer&#10;&#10;Description automatically generated with medium confidence"/>
                    <pic:cNvPicPr/>
                  </pic:nvPicPr>
                  <pic:blipFill>
                    <a:blip r:embed="rId63"/>
                    <a:stretch>
                      <a:fillRect/>
                    </a:stretch>
                  </pic:blipFill>
                  <pic:spPr>
                    <a:xfrm>
                      <a:off x="0" y="0"/>
                      <a:ext cx="2916076" cy="1958312"/>
                    </a:xfrm>
                    <a:prstGeom prst="rect">
                      <a:avLst/>
                    </a:prstGeom>
                  </pic:spPr>
                </pic:pic>
              </a:graphicData>
            </a:graphic>
          </wp:inline>
        </w:drawing>
      </w:r>
      <w:r w:rsidR="009446D2" w:rsidRPr="008D3A0D">
        <w:rPr>
          <w:noProof/>
          <w:lang w:eastAsia="en-AU"/>
        </w:rPr>
        <w:drawing>
          <wp:inline distT="0" distB="0" distL="0" distR="0" wp14:anchorId="6E3F7E39" wp14:editId="14DA39D6">
            <wp:extent cx="2901315" cy="1948400"/>
            <wp:effectExtent l="0" t="0" r="0" b="0"/>
            <wp:docPr id="214" name="Picture 21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screenshot of a computer&#10;&#10;Description automatically generated with medium confidence"/>
                    <pic:cNvPicPr/>
                  </pic:nvPicPr>
                  <pic:blipFill>
                    <a:blip r:embed="rId64"/>
                    <a:stretch>
                      <a:fillRect/>
                    </a:stretch>
                  </pic:blipFill>
                  <pic:spPr>
                    <a:xfrm>
                      <a:off x="0" y="0"/>
                      <a:ext cx="2926129" cy="1965064"/>
                    </a:xfrm>
                    <a:prstGeom prst="rect">
                      <a:avLst/>
                    </a:prstGeom>
                  </pic:spPr>
                </pic:pic>
              </a:graphicData>
            </a:graphic>
          </wp:inline>
        </w:drawing>
      </w:r>
      <w:r w:rsidR="009446D2" w:rsidRPr="008D3A0D">
        <w:rPr>
          <w:noProof/>
          <w:lang w:eastAsia="en-AU"/>
        </w:rPr>
        <w:drawing>
          <wp:inline distT="0" distB="0" distL="0" distR="0" wp14:anchorId="04BEFD9D" wp14:editId="2E14137A">
            <wp:extent cx="2892669" cy="1942594"/>
            <wp:effectExtent l="0" t="0" r="3175" b="635"/>
            <wp:docPr id="217" name="Picture 21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Chart&#10;&#10;Description automatically generated"/>
                    <pic:cNvPicPr/>
                  </pic:nvPicPr>
                  <pic:blipFill>
                    <a:blip r:embed="rId65"/>
                    <a:stretch>
                      <a:fillRect/>
                    </a:stretch>
                  </pic:blipFill>
                  <pic:spPr>
                    <a:xfrm>
                      <a:off x="0" y="0"/>
                      <a:ext cx="2927055" cy="1965686"/>
                    </a:xfrm>
                    <a:prstGeom prst="rect">
                      <a:avLst/>
                    </a:prstGeom>
                  </pic:spPr>
                </pic:pic>
              </a:graphicData>
            </a:graphic>
          </wp:inline>
        </w:drawing>
      </w:r>
    </w:p>
    <w:p w14:paraId="30858AE7" w14:textId="1680024A" w:rsidR="00BA74F5" w:rsidRDefault="00BA74F5" w:rsidP="00B65555">
      <w:pPr>
        <w:pStyle w:val="ANorm"/>
      </w:pPr>
    </w:p>
    <w:p w14:paraId="63002ABE" w14:textId="1CBD7C32" w:rsidR="005E09E1" w:rsidRDefault="005E09E1" w:rsidP="00B65555">
      <w:pPr>
        <w:pStyle w:val="ANorm"/>
      </w:pPr>
      <w:r w:rsidRPr="005E09E1">
        <w:rPr>
          <w:noProof/>
          <w:lang w:eastAsia="en-AU"/>
        </w:rPr>
        <w:drawing>
          <wp:inline distT="0" distB="0" distL="0" distR="0" wp14:anchorId="2F09DD7F" wp14:editId="7A281FDC">
            <wp:extent cx="2901462" cy="1948499"/>
            <wp:effectExtent l="0" t="0" r="0" b="0"/>
            <wp:docPr id="189" name="Picture 189" descr="Charts describing THIS WAY UP outcomes on PHQ-9 by demographic characteristics and support status, July 2015 – December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Charts describing THIS WAY UP outcomes on PHQ-9 by demographic characteristics and support status, July 2015 – December 2021"/>
                    <pic:cNvPicPr/>
                  </pic:nvPicPr>
                  <pic:blipFill>
                    <a:blip r:embed="rId66"/>
                    <a:stretch>
                      <a:fillRect/>
                    </a:stretch>
                  </pic:blipFill>
                  <pic:spPr>
                    <a:xfrm>
                      <a:off x="0" y="0"/>
                      <a:ext cx="2935952" cy="1971661"/>
                    </a:xfrm>
                    <a:prstGeom prst="rect">
                      <a:avLst/>
                    </a:prstGeom>
                  </pic:spPr>
                </pic:pic>
              </a:graphicData>
            </a:graphic>
          </wp:inline>
        </w:drawing>
      </w:r>
      <w:r w:rsidR="009446D2" w:rsidRPr="005E09E1">
        <w:rPr>
          <w:noProof/>
          <w:lang w:eastAsia="en-AU"/>
        </w:rPr>
        <w:drawing>
          <wp:inline distT="0" distB="0" distL="0" distR="0" wp14:anchorId="310B7D3F" wp14:editId="20D0BA06">
            <wp:extent cx="2901462" cy="1948499"/>
            <wp:effectExtent l="0" t="0" r="0" b="0"/>
            <wp:docPr id="193" name="Picture 19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Chart, scatter chart&#10;&#10;Description automatically generated"/>
                    <pic:cNvPicPr/>
                  </pic:nvPicPr>
                  <pic:blipFill>
                    <a:blip r:embed="rId67"/>
                    <a:stretch>
                      <a:fillRect/>
                    </a:stretch>
                  </pic:blipFill>
                  <pic:spPr>
                    <a:xfrm>
                      <a:off x="0" y="0"/>
                      <a:ext cx="2926249" cy="1965145"/>
                    </a:xfrm>
                    <a:prstGeom prst="rect">
                      <a:avLst/>
                    </a:prstGeom>
                  </pic:spPr>
                </pic:pic>
              </a:graphicData>
            </a:graphic>
          </wp:inline>
        </w:drawing>
      </w:r>
      <w:r w:rsidR="009446D2" w:rsidRPr="00DA0DC0">
        <w:rPr>
          <w:noProof/>
          <w:lang w:eastAsia="en-AU"/>
        </w:rPr>
        <w:drawing>
          <wp:inline distT="0" distB="0" distL="0" distR="0" wp14:anchorId="2C524BE1" wp14:editId="6C35B5AD">
            <wp:extent cx="2901315" cy="1948400"/>
            <wp:effectExtent l="0" t="0" r="0" b="0"/>
            <wp:docPr id="202" name="Picture 20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Chart, scatter chart&#10;&#10;Description automatically generated"/>
                    <pic:cNvPicPr/>
                  </pic:nvPicPr>
                  <pic:blipFill>
                    <a:blip r:embed="rId68"/>
                    <a:stretch>
                      <a:fillRect/>
                    </a:stretch>
                  </pic:blipFill>
                  <pic:spPr>
                    <a:xfrm>
                      <a:off x="0" y="0"/>
                      <a:ext cx="2928327" cy="1966540"/>
                    </a:xfrm>
                    <a:prstGeom prst="rect">
                      <a:avLst/>
                    </a:prstGeom>
                  </pic:spPr>
                </pic:pic>
              </a:graphicData>
            </a:graphic>
          </wp:inline>
        </w:drawing>
      </w:r>
    </w:p>
    <w:p w14:paraId="38285592" w14:textId="5B3C648E" w:rsidR="009446D2" w:rsidRPr="009446D2" w:rsidRDefault="009446D2" w:rsidP="007B3288">
      <w:pPr>
        <w:pStyle w:val="tableheading"/>
      </w:pPr>
      <w:r w:rsidRPr="007B3288">
        <w:t xml:space="preserve">Figure </w:t>
      </w:r>
      <w:r w:rsidR="00A359A6" w:rsidRPr="007B3288">
        <w:t>15</w:t>
      </w:r>
      <w:r w:rsidRPr="007B3288">
        <w:t xml:space="preserve">. </w:t>
      </w:r>
      <w:r w:rsidR="00990DBA">
        <w:t>THIS WAY UP o</w:t>
      </w:r>
      <w:r w:rsidRPr="007B3288">
        <w:t xml:space="preserve">utcomes on PHQ-9 by </w:t>
      </w:r>
      <w:r w:rsidR="002A263A" w:rsidRPr="007B3288">
        <w:t>demographic characteristics</w:t>
      </w:r>
      <w:r w:rsidRPr="007B3288">
        <w:t xml:space="preserve"> and support</w:t>
      </w:r>
      <w:r w:rsidR="00FC496D" w:rsidRPr="007B3288">
        <w:t xml:space="preserve"> status</w:t>
      </w:r>
      <w:r w:rsidR="002A263A" w:rsidRPr="007B3288">
        <w:t>, July 2015 – December 2021</w:t>
      </w:r>
    </w:p>
    <w:p w14:paraId="5D4B9314" w14:textId="77777777" w:rsidR="009446D2" w:rsidRDefault="009446D2" w:rsidP="00B65555">
      <w:pPr>
        <w:pStyle w:val="ANorm"/>
        <w:rPr>
          <w:lang w:val="en-US"/>
        </w:rPr>
      </w:pPr>
      <w:r>
        <w:rPr>
          <w:lang w:val="en-US"/>
        </w:rPr>
        <w:br w:type="page"/>
      </w:r>
    </w:p>
    <w:p w14:paraId="1C2CAF5A" w14:textId="77777777" w:rsidR="009446D2" w:rsidRPr="002D0DD5" w:rsidRDefault="009446D2" w:rsidP="009446D2">
      <w:pPr>
        <w:pStyle w:val="ANorm"/>
        <w:ind w:left="2160"/>
        <w:rPr>
          <w:b/>
          <w:bCs/>
          <w:sz w:val="16"/>
          <w:szCs w:val="16"/>
        </w:rPr>
      </w:pPr>
      <w:r w:rsidRPr="002D0DD5">
        <w:rPr>
          <w:b/>
          <w:bCs/>
          <w:sz w:val="16"/>
          <w:szCs w:val="16"/>
        </w:rPr>
        <w:lastRenderedPageBreak/>
        <w:t xml:space="preserve">   All</w:t>
      </w:r>
      <w:r w:rsidRPr="002D0DD5">
        <w:rPr>
          <w:b/>
          <w:bCs/>
          <w:sz w:val="16"/>
          <w:szCs w:val="16"/>
        </w:rPr>
        <w:tab/>
      </w:r>
      <w:r w:rsidRPr="002D0DD5">
        <w:rPr>
          <w:b/>
          <w:bCs/>
          <w:sz w:val="16"/>
          <w:szCs w:val="16"/>
        </w:rPr>
        <w:tab/>
      </w:r>
      <w:r w:rsidRPr="002D0DD5">
        <w:rPr>
          <w:b/>
          <w:bCs/>
          <w:sz w:val="16"/>
          <w:szCs w:val="16"/>
        </w:rPr>
        <w:tab/>
      </w:r>
      <w:r w:rsidRPr="002D0DD5">
        <w:rPr>
          <w:b/>
          <w:bCs/>
          <w:sz w:val="16"/>
          <w:szCs w:val="16"/>
        </w:rPr>
        <w:tab/>
      </w:r>
      <w:r w:rsidRPr="002D0DD5">
        <w:rPr>
          <w:b/>
          <w:bCs/>
          <w:sz w:val="16"/>
          <w:szCs w:val="16"/>
        </w:rPr>
        <w:tab/>
      </w:r>
      <w:r w:rsidRPr="002D0DD5">
        <w:rPr>
          <w:b/>
          <w:bCs/>
          <w:sz w:val="16"/>
          <w:szCs w:val="16"/>
        </w:rPr>
        <w:tab/>
        <w:t>Therapist-supported</w:t>
      </w:r>
      <w:r w:rsidRPr="002D0DD5">
        <w:rPr>
          <w:b/>
          <w:bCs/>
          <w:sz w:val="16"/>
          <w:szCs w:val="16"/>
        </w:rPr>
        <w:tab/>
      </w:r>
      <w:r w:rsidRPr="002D0DD5">
        <w:rPr>
          <w:b/>
          <w:bCs/>
          <w:sz w:val="16"/>
          <w:szCs w:val="16"/>
        </w:rPr>
        <w:tab/>
      </w:r>
      <w:r w:rsidRPr="002D0DD5">
        <w:rPr>
          <w:b/>
          <w:bCs/>
          <w:sz w:val="16"/>
          <w:szCs w:val="16"/>
        </w:rPr>
        <w:tab/>
      </w:r>
      <w:r w:rsidRPr="002D0DD5">
        <w:rPr>
          <w:b/>
          <w:bCs/>
          <w:sz w:val="16"/>
          <w:szCs w:val="16"/>
        </w:rPr>
        <w:tab/>
      </w:r>
      <w:r w:rsidRPr="002D0DD5">
        <w:rPr>
          <w:b/>
          <w:bCs/>
          <w:sz w:val="16"/>
          <w:szCs w:val="16"/>
        </w:rPr>
        <w:tab/>
        <w:t xml:space="preserve">     Self-directed</w:t>
      </w:r>
    </w:p>
    <w:p w14:paraId="7F118070" w14:textId="330CA971" w:rsidR="00BA74F5" w:rsidRDefault="00DA0DC0" w:rsidP="009446D2">
      <w:pPr>
        <w:pStyle w:val="ANorm"/>
      </w:pPr>
      <w:r w:rsidRPr="00DA0DC0">
        <w:rPr>
          <w:noProof/>
          <w:lang w:eastAsia="en-AU"/>
        </w:rPr>
        <w:drawing>
          <wp:inline distT="0" distB="0" distL="0" distR="0" wp14:anchorId="3A89D017" wp14:editId="565644D5">
            <wp:extent cx="2901315" cy="1948401"/>
            <wp:effectExtent l="0" t="0" r="0" b="0"/>
            <wp:docPr id="203" name="Picture 203"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Chart&#10;&#10;Description automatically generated with medium confidence"/>
                    <pic:cNvPicPr/>
                  </pic:nvPicPr>
                  <pic:blipFill>
                    <a:blip r:embed="rId69"/>
                    <a:stretch>
                      <a:fillRect/>
                    </a:stretch>
                  </pic:blipFill>
                  <pic:spPr>
                    <a:xfrm>
                      <a:off x="0" y="0"/>
                      <a:ext cx="2918275" cy="1959790"/>
                    </a:xfrm>
                    <a:prstGeom prst="rect">
                      <a:avLst/>
                    </a:prstGeom>
                  </pic:spPr>
                </pic:pic>
              </a:graphicData>
            </a:graphic>
          </wp:inline>
        </w:drawing>
      </w:r>
      <w:r w:rsidR="009446D2" w:rsidRPr="008D3A0D">
        <w:rPr>
          <w:noProof/>
          <w:lang w:eastAsia="en-AU"/>
        </w:rPr>
        <w:drawing>
          <wp:inline distT="0" distB="0" distL="0" distR="0" wp14:anchorId="5AE8CBF4" wp14:editId="2FE530F9">
            <wp:extent cx="2885440" cy="1937739"/>
            <wp:effectExtent l="0" t="0" r="0" b="5715"/>
            <wp:docPr id="212" name="Picture 212" descr="Graphical user interface,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Graphical user interface, chart&#10;&#10;Description automatically generated with medium confidence"/>
                    <pic:cNvPicPr/>
                  </pic:nvPicPr>
                  <pic:blipFill>
                    <a:blip r:embed="rId70"/>
                    <a:stretch>
                      <a:fillRect/>
                    </a:stretch>
                  </pic:blipFill>
                  <pic:spPr>
                    <a:xfrm>
                      <a:off x="0" y="0"/>
                      <a:ext cx="2911608" cy="1955312"/>
                    </a:xfrm>
                    <a:prstGeom prst="rect">
                      <a:avLst/>
                    </a:prstGeom>
                  </pic:spPr>
                </pic:pic>
              </a:graphicData>
            </a:graphic>
          </wp:inline>
        </w:drawing>
      </w:r>
      <w:r w:rsidR="009446D2" w:rsidRPr="008D3A0D">
        <w:rPr>
          <w:noProof/>
          <w:lang w:eastAsia="en-AU"/>
        </w:rPr>
        <w:drawing>
          <wp:inline distT="0" distB="0" distL="0" distR="0" wp14:anchorId="2F15C9EE" wp14:editId="71F08434">
            <wp:extent cx="2901462" cy="1948498"/>
            <wp:effectExtent l="0" t="0" r="0" b="0"/>
            <wp:docPr id="215" name="Picture 215"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Graphical user interface, chart&#10;&#10;Description automatically generated"/>
                    <pic:cNvPicPr/>
                  </pic:nvPicPr>
                  <pic:blipFill>
                    <a:blip r:embed="rId71"/>
                    <a:stretch>
                      <a:fillRect/>
                    </a:stretch>
                  </pic:blipFill>
                  <pic:spPr>
                    <a:xfrm>
                      <a:off x="0" y="0"/>
                      <a:ext cx="2924895" cy="1964235"/>
                    </a:xfrm>
                    <a:prstGeom prst="rect">
                      <a:avLst/>
                    </a:prstGeom>
                  </pic:spPr>
                </pic:pic>
              </a:graphicData>
            </a:graphic>
          </wp:inline>
        </w:drawing>
      </w:r>
    </w:p>
    <w:p w14:paraId="2DA7C5FF" w14:textId="053D12FB" w:rsidR="005E09E1" w:rsidRDefault="00BA74F5" w:rsidP="00B65555">
      <w:pPr>
        <w:pStyle w:val="ANorm"/>
      </w:pPr>
      <w:r w:rsidRPr="00BA74F5">
        <w:rPr>
          <w:noProof/>
          <w:lang w:eastAsia="en-AU"/>
        </w:rPr>
        <w:drawing>
          <wp:inline distT="0" distB="0" distL="0" distR="0" wp14:anchorId="358653E5" wp14:editId="7D4D4357">
            <wp:extent cx="2885616" cy="1937857"/>
            <wp:effectExtent l="0" t="0" r="0" b="5715"/>
            <wp:docPr id="178" name="Picture 17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Chart, scatter chart&#10;&#10;Description automatically generated"/>
                    <pic:cNvPicPr/>
                  </pic:nvPicPr>
                  <pic:blipFill>
                    <a:blip r:embed="rId72"/>
                    <a:stretch>
                      <a:fillRect/>
                    </a:stretch>
                  </pic:blipFill>
                  <pic:spPr>
                    <a:xfrm>
                      <a:off x="0" y="0"/>
                      <a:ext cx="2904361" cy="1950445"/>
                    </a:xfrm>
                    <a:prstGeom prst="rect">
                      <a:avLst/>
                    </a:prstGeom>
                  </pic:spPr>
                </pic:pic>
              </a:graphicData>
            </a:graphic>
          </wp:inline>
        </w:drawing>
      </w:r>
      <w:r w:rsidR="009446D2" w:rsidRPr="005E09E1">
        <w:rPr>
          <w:noProof/>
          <w:lang w:eastAsia="en-AU"/>
        </w:rPr>
        <w:drawing>
          <wp:inline distT="0" distB="0" distL="0" distR="0" wp14:anchorId="3BD558E0" wp14:editId="33D554C7">
            <wp:extent cx="2883877" cy="1936691"/>
            <wp:effectExtent l="0" t="0" r="0" b="0"/>
            <wp:docPr id="190" name="Picture 190" descr="Charts describing Figure 16. THIS WAY UP outcomes on GAD-7 by demographic characteristics and support status, July 2015 – December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Charts describing Figure 16. THIS WAY UP outcomes on GAD-7 by demographic characteristics and support status, July 2015 – December 2021"/>
                    <pic:cNvPicPr/>
                  </pic:nvPicPr>
                  <pic:blipFill>
                    <a:blip r:embed="rId73"/>
                    <a:stretch>
                      <a:fillRect/>
                    </a:stretch>
                  </pic:blipFill>
                  <pic:spPr>
                    <a:xfrm>
                      <a:off x="0" y="0"/>
                      <a:ext cx="2906428" cy="1951836"/>
                    </a:xfrm>
                    <a:prstGeom prst="rect">
                      <a:avLst/>
                    </a:prstGeom>
                  </pic:spPr>
                </pic:pic>
              </a:graphicData>
            </a:graphic>
          </wp:inline>
        </w:drawing>
      </w:r>
      <w:r w:rsidR="009446D2" w:rsidRPr="005E09E1">
        <w:rPr>
          <w:noProof/>
          <w:lang w:eastAsia="en-AU"/>
        </w:rPr>
        <w:drawing>
          <wp:inline distT="0" distB="0" distL="0" distR="0" wp14:anchorId="1713EA80" wp14:editId="7217EE03">
            <wp:extent cx="2883535" cy="1936459"/>
            <wp:effectExtent l="0" t="0" r="0" b="0"/>
            <wp:docPr id="194" name="Picture 194" descr="Chart, scatter 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Chart, scatter chart, box and whisker chart&#10;&#10;Description automatically generated"/>
                    <pic:cNvPicPr/>
                  </pic:nvPicPr>
                  <pic:blipFill>
                    <a:blip r:embed="rId74"/>
                    <a:stretch>
                      <a:fillRect/>
                    </a:stretch>
                  </pic:blipFill>
                  <pic:spPr>
                    <a:xfrm>
                      <a:off x="0" y="0"/>
                      <a:ext cx="2912538" cy="1955936"/>
                    </a:xfrm>
                    <a:prstGeom prst="rect">
                      <a:avLst/>
                    </a:prstGeom>
                  </pic:spPr>
                </pic:pic>
              </a:graphicData>
            </a:graphic>
          </wp:inline>
        </w:drawing>
      </w:r>
    </w:p>
    <w:p w14:paraId="40478B83" w14:textId="4E588823" w:rsidR="009446D2" w:rsidRPr="007B3288" w:rsidRDefault="009446D2" w:rsidP="003D1CA1">
      <w:pPr>
        <w:pStyle w:val="tableheading"/>
      </w:pPr>
      <w:r w:rsidRPr="007B3288">
        <w:t xml:space="preserve">Figure </w:t>
      </w:r>
      <w:r w:rsidR="00A359A6" w:rsidRPr="007B3288">
        <w:t>16</w:t>
      </w:r>
      <w:r w:rsidRPr="007B3288">
        <w:t xml:space="preserve">. </w:t>
      </w:r>
      <w:r w:rsidR="00990DBA">
        <w:t>THIS WAY UP o</w:t>
      </w:r>
      <w:r w:rsidRPr="007B3288">
        <w:t>utcomes on GAD-7 by demographic</w:t>
      </w:r>
      <w:r w:rsidR="002A263A" w:rsidRPr="007B3288">
        <w:t xml:space="preserve"> characteristics</w:t>
      </w:r>
      <w:r w:rsidRPr="007B3288">
        <w:t xml:space="preserve"> and support</w:t>
      </w:r>
      <w:r w:rsidR="00FC496D" w:rsidRPr="007B3288">
        <w:t xml:space="preserve"> status</w:t>
      </w:r>
      <w:r w:rsidR="002A263A" w:rsidRPr="007B3288">
        <w:t>, July 2015 – December 2021</w:t>
      </w:r>
    </w:p>
    <w:p w14:paraId="79CB72E7" w14:textId="77777777" w:rsidR="00D37FFB" w:rsidRPr="009446D2" w:rsidRDefault="00D37FFB" w:rsidP="00B65555">
      <w:pPr>
        <w:pStyle w:val="ANorm"/>
        <w:rPr>
          <w:highlight w:val="red"/>
          <w:lang w:val="en-US"/>
        </w:rPr>
      </w:pPr>
    </w:p>
    <w:p w14:paraId="030CEC1A" w14:textId="59A0683B" w:rsidR="00D37FFB" w:rsidRDefault="00D37FFB" w:rsidP="00F9509E">
      <w:pPr>
        <w:pStyle w:val="ANorm"/>
        <w:rPr>
          <w:highlight w:val="red"/>
        </w:rPr>
        <w:sectPr w:rsidR="00D37FFB" w:rsidSect="000601CA">
          <w:pgSz w:w="16838" w:h="11906" w:orient="landscape"/>
          <w:pgMar w:top="1440" w:right="1440" w:bottom="1440" w:left="1440" w:header="708" w:footer="708" w:gutter="0"/>
          <w:cols w:space="708"/>
          <w:docGrid w:linePitch="360"/>
        </w:sectPr>
      </w:pPr>
    </w:p>
    <w:p w14:paraId="0B92A8D8" w14:textId="32C5C700" w:rsidR="00F9509E" w:rsidRPr="0005462C" w:rsidRDefault="001828E2" w:rsidP="00F84ED2">
      <w:pPr>
        <w:pStyle w:val="Heading3"/>
      </w:pPr>
      <w:r>
        <w:lastRenderedPageBreak/>
        <w:t>Trends in mental health o</w:t>
      </w:r>
      <w:r w:rsidR="00F9509E" w:rsidRPr="00510AE9">
        <w:t>utcomes over time</w:t>
      </w:r>
    </w:p>
    <w:p w14:paraId="1730B0E1" w14:textId="1E9A0D4C" w:rsidR="0005462C" w:rsidRDefault="0005462C" w:rsidP="003E0FFE">
      <w:pPr>
        <w:pStyle w:val="ANorm"/>
      </w:pPr>
      <w:r w:rsidRPr="00380665">
        <w:t>Figure 17 shows</w:t>
      </w:r>
      <w:r w:rsidR="003946FE" w:rsidRPr="00380665">
        <w:t xml:space="preserve"> </w:t>
      </w:r>
      <w:r w:rsidR="003946FE" w:rsidRPr="00D83519">
        <w:t xml:space="preserve">that the </w:t>
      </w:r>
      <w:r w:rsidR="003946FE">
        <w:t xml:space="preserve">baseline </w:t>
      </w:r>
      <w:r w:rsidR="00635508">
        <w:t xml:space="preserve">K10 </w:t>
      </w:r>
      <w:r w:rsidR="003946FE">
        <w:t>scores increased slightly over time</w:t>
      </w:r>
      <w:r w:rsidR="00635508">
        <w:t xml:space="preserve"> (in both the therapist-supported and self-directed groups),</w:t>
      </w:r>
      <w:r w:rsidR="003946FE">
        <w:t xml:space="preserve"> while </w:t>
      </w:r>
      <w:r w:rsidR="00B14EAF">
        <w:t>baseline PHQ9 scores decreased slightly over time</w:t>
      </w:r>
      <w:r w:rsidR="00635508">
        <w:t xml:space="preserve"> (in both the therapist-supported and self-directed groups). Baseline GAD-7 scores were approximately constant over time for the therapist-supported group but decreased slightly over time for the self-directed group.  For all outcomes and groups, post-treatment scores were significantly lower than baseline scores and there appeared to be no consistent trends over time in either post-treatment scores or the differences between baseline and post-treatment scores.</w:t>
      </w:r>
    </w:p>
    <w:p w14:paraId="16FCEF09" w14:textId="77777777" w:rsidR="003E0FFE" w:rsidRPr="0005462C" w:rsidRDefault="003E0FFE" w:rsidP="003E0FFE">
      <w:pPr>
        <w:pStyle w:val="ANorm"/>
        <w:rPr>
          <w:highlight w:val="red"/>
        </w:rPr>
      </w:pPr>
    </w:p>
    <w:p w14:paraId="39F764F7" w14:textId="4C7C34E9" w:rsidR="00BD17CA" w:rsidRPr="003E0FFE" w:rsidRDefault="00C228C4" w:rsidP="003E0FFE">
      <w:pPr>
        <w:pStyle w:val="ANorm"/>
        <w:ind w:left="1440" w:firstLine="720"/>
        <w:rPr>
          <w:b/>
          <w:bCs/>
          <w:sz w:val="18"/>
          <w:szCs w:val="18"/>
        </w:rPr>
      </w:pPr>
      <w:r w:rsidRPr="00575EC6">
        <w:rPr>
          <w:b/>
          <w:bCs/>
          <w:sz w:val="18"/>
          <w:szCs w:val="18"/>
        </w:rPr>
        <w:t>Therapist -supported</w:t>
      </w:r>
      <w:r w:rsidRPr="00575EC6">
        <w:rPr>
          <w:b/>
          <w:bCs/>
          <w:sz w:val="18"/>
          <w:szCs w:val="18"/>
        </w:rPr>
        <w:tab/>
      </w:r>
      <w:r w:rsidRPr="00575EC6">
        <w:rPr>
          <w:b/>
          <w:bCs/>
          <w:sz w:val="18"/>
          <w:szCs w:val="18"/>
        </w:rPr>
        <w:tab/>
      </w:r>
      <w:r w:rsidRPr="00575EC6">
        <w:rPr>
          <w:b/>
          <w:bCs/>
          <w:sz w:val="18"/>
          <w:szCs w:val="18"/>
        </w:rPr>
        <w:tab/>
      </w:r>
      <w:r w:rsidRPr="00575EC6">
        <w:rPr>
          <w:b/>
          <w:bCs/>
          <w:sz w:val="18"/>
          <w:szCs w:val="18"/>
        </w:rPr>
        <w:tab/>
        <w:t>Self-directed</w:t>
      </w:r>
    </w:p>
    <w:p w14:paraId="32C28749" w14:textId="6ACB35D8" w:rsidR="00553F81" w:rsidRDefault="00553F81" w:rsidP="003E0FFE">
      <w:pPr>
        <w:pStyle w:val="ANorm"/>
      </w:pPr>
      <w:r w:rsidRPr="00553F81">
        <w:rPr>
          <w:noProof/>
          <w:lang w:eastAsia="en-AU"/>
        </w:rPr>
        <w:drawing>
          <wp:inline distT="0" distB="0" distL="0" distR="0" wp14:anchorId="34ECC0B5" wp14:editId="144085B3">
            <wp:extent cx="2899410" cy="2108662"/>
            <wp:effectExtent l="0" t="0" r="0" b="0"/>
            <wp:docPr id="235" name="Picture 235"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Chart, box and whisker chart&#10;&#10;Description automatically generated"/>
                    <pic:cNvPicPr/>
                  </pic:nvPicPr>
                  <pic:blipFill>
                    <a:blip r:embed="rId75"/>
                    <a:stretch>
                      <a:fillRect/>
                    </a:stretch>
                  </pic:blipFill>
                  <pic:spPr>
                    <a:xfrm>
                      <a:off x="0" y="0"/>
                      <a:ext cx="2909422" cy="2115944"/>
                    </a:xfrm>
                    <a:prstGeom prst="rect">
                      <a:avLst/>
                    </a:prstGeom>
                  </pic:spPr>
                </pic:pic>
              </a:graphicData>
            </a:graphic>
          </wp:inline>
        </w:drawing>
      </w:r>
      <w:r w:rsidR="00C228C4" w:rsidRPr="00553F81">
        <w:rPr>
          <w:noProof/>
          <w:lang w:eastAsia="en-AU"/>
        </w:rPr>
        <w:drawing>
          <wp:inline distT="0" distB="0" distL="0" distR="0" wp14:anchorId="10DD842D" wp14:editId="1D246A9F">
            <wp:extent cx="2899410" cy="2108662"/>
            <wp:effectExtent l="0" t="0" r="0" b="0"/>
            <wp:docPr id="231" name="Picture 231"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Chart, box and whisker chart&#10;&#10;Description automatically generated"/>
                    <pic:cNvPicPr/>
                  </pic:nvPicPr>
                  <pic:blipFill>
                    <a:blip r:embed="rId76"/>
                    <a:stretch>
                      <a:fillRect/>
                    </a:stretch>
                  </pic:blipFill>
                  <pic:spPr>
                    <a:xfrm>
                      <a:off x="0" y="0"/>
                      <a:ext cx="2912442" cy="2118140"/>
                    </a:xfrm>
                    <a:prstGeom prst="rect">
                      <a:avLst/>
                    </a:prstGeom>
                  </pic:spPr>
                </pic:pic>
              </a:graphicData>
            </a:graphic>
          </wp:inline>
        </w:drawing>
      </w:r>
    </w:p>
    <w:p w14:paraId="3DBBE5FB" w14:textId="1C08AC4D" w:rsidR="00BD17CA" w:rsidRDefault="00553F81" w:rsidP="003E0FFE">
      <w:pPr>
        <w:pStyle w:val="ANorm"/>
      </w:pPr>
      <w:r w:rsidRPr="00553F81">
        <w:rPr>
          <w:noProof/>
          <w:lang w:eastAsia="en-AU"/>
        </w:rPr>
        <w:drawing>
          <wp:inline distT="0" distB="0" distL="0" distR="0" wp14:anchorId="5DD08529" wp14:editId="6E0CF34F">
            <wp:extent cx="2899410" cy="2108660"/>
            <wp:effectExtent l="0" t="0" r="0" b="0"/>
            <wp:docPr id="236" name="Picture 236"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Chart, box and whisker chart&#10;&#10;Description automatically generated"/>
                    <pic:cNvPicPr/>
                  </pic:nvPicPr>
                  <pic:blipFill>
                    <a:blip r:embed="rId77"/>
                    <a:stretch>
                      <a:fillRect/>
                    </a:stretch>
                  </pic:blipFill>
                  <pic:spPr>
                    <a:xfrm>
                      <a:off x="0" y="0"/>
                      <a:ext cx="2951758" cy="2146731"/>
                    </a:xfrm>
                    <a:prstGeom prst="rect">
                      <a:avLst/>
                    </a:prstGeom>
                  </pic:spPr>
                </pic:pic>
              </a:graphicData>
            </a:graphic>
          </wp:inline>
        </w:drawing>
      </w:r>
      <w:r w:rsidR="00C228C4" w:rsidRPr="00553F81">
        <w:rPr>
          <w:noProof/>
          <w:lang w:eastAsia="en-AU"/>
        </w:rPr>
        <w:drawing>
          <wp:inline distT="0" distB="0" distL="0" distR="0" wp14:anchorId="7500D3C6" wp14:editId="4B1C97C4">
            <wp:extent cx="2899410" cy="2108661"/>
            <wp:effectExtent l="0" t="0" r="0" b="0"/>
            <wp:docPr id="233" name="Picture 233"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Chart, box and whisker chart&#10;&#10;Description automatically generated"/>
                    <pic:cNvPicPr/>
                  </pic:nvPicPr>
                  <pic:blipFill>
                    <a:blip r:embed="rId78"/>
                    <a:stretch>
                      <a:fillRect/>
                    </a:stretch>
                  </pic:blipFill>
                  <pic:spPr>
                    <a:xfrm>
                      <a:off x="0" y="0"/>
                      <a:ext cx="2953296" cy="2147851"/>
                    </a:xfrm>
                    <a:prstGeom prst="rect">
                      <a:avLst/>
                    </a:prstGeom>
                  </pic:spPr>
                </pic:pic>
              </a:graphicData>
            </a:graphic>
          </wp:inline>
        </w:drawing>
      </w:r>
    </w:p>
    <w:p w14:paraId="6C423405" w14:textId="095007DC" w:rsidR="00BD17CA" w:rsidRDefault="00553F81" w:rsidP="003E0FFE">
      <w:pPr>
        <w:pStyle w:val="ANorm"/>
      </w:pPr>
      <w:r w:rsidRPr="00553F81">
        <w:rPr>
          <w:noProof/>
          <w:lang w:eastAsia="en-AU"/>
        </w:rPr>
        <w:drawing>
          <wp:inline distT="0" distB="0" distL="0" distR="0" wp14:anchorId="7085B2B1" wp14:editId="7A81BA8E">
            <wp:extent cx="2899410" cy="2108660"/>
            <wp:effectExtent l="0" t="0" r="0" b="0"/>
            <wp:docPr id="234" name="Picture 234" descr="Charts describing Mean K10, PHQ-9 and GAD-7 before and after THIS WAY UP treatment over time, by support status, July 2015 – December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Charts describing Mean K10, PHQ-9 and GAD-7 before and after THIS WAY UP treatment over time, by support status, July 2015 – December 2021"/>
                    <pic:cNvPicPr/>
                  </pic:nvPicPr>
                  <pic:blipFill>
                    <a:blip r:embed="rId79"/>
                    <a:stretch>
                      <a:fillRect/>
                    </a:stretch>
                  </pic:blipFill>
                  <pic:spPr>
                    <a:xfrm>
                      <a:off x="0" y="0"/>
                      <a:ext cx="2934838" cy="2134426"/>
                    </a:xfrm>
                    <a:prstGeom prst="rect">
                      <a:avLst/>
                    </a:prstGeom>
                  </pic:spPr>
                </pic:pic>
              </a:graphicData>
            </a:graphic>
          </wp:inline>
        </w:drawing>
      </w:r>
      <w:r w:rsidR="0040536F" w:rsidRPr="00553F81">
        <w:rPr>
          <w:noProof/>
          <w:lang w:eastAsia="en-AU"/>
        </w:rPr>
        <w:drawing>
          <wp:inline distT="0" distB="0" distL="0" distR="0" wp14:anchorId="5E4A29E2" wp14:editId="5E35AE53">
            <wp:extent cx="2899955" cy="2109058"/>
            <wp:effectExtent l="0" t="0" r="0" b="0"/>
            <wp:docPr id="232" name="Picture 232"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Chart, box and whisker chart&#10;&#10;Description automatically generated"/>
                    <pic:cNvPicPr/>
                  </pic:nvPicPr>
                  <pic:blipFill>
                    <a:blip r:embed="rId80"/>
                    <a:stretch>
                      <a:fillRect/>
                    </a:stretch>
                  </pic:blipFill>
                  <pic:spPr>
                    <a:xfrm>
                      <a:off x="0" y="0"/>
                      <a:ext cx="2913627" cy="2119001"/>
                    </a:xfrm>
                    <a:prstGeom prst="rect">
                      <a:avLst/>
                    </a:prstGeom>
                  </pic:spPr>
                </pic:pic>
              </a:graphicData>
            </a:graphic>
          </wp:inline>
        </w:drawing>
      </w:r>
    </w:p>
    <w:p w14:paraId="226FD845" w14:textId="04F15B05" w:rsidR="003E0FFE" w:rsidRPr="00541297" w:rsidRDefault="0040536F" w:rsidP="003E0FFE">
      <w:pPr>
        <w:pStyle w:val="tableheading"/>
        <w:spacing w:after="0"/>
      </w:pPr>
      <w:r w:rsidRPr="00541297">
        <w:t xml:space="preserve">Figure </w:t>
      </w:r>
      <w:r w:rsidR="0005462C" w:rsidRPr="00541297">
        <w:t>17</w:t>
      </w:r>
      <w:r w:rsidRPr="00541297">
        <w:t xml:space="preserve">. </w:t>
      </w:r>
      <w:r w:rsidR="008067B2" w:rsidRPr="00541297">
        <w:t>Mean</w:t>
      </w:r>
      <w:r w:rsidRPr="00541297">
        <w:t xml:space="preserve"> </w:t>
      </w:r>
      <w:r w:rsidR="008067B2" w:rsidRPr="00541297">
        <w:t xml:space="preserve">K10, PHQ-9 and </w:t>
      </w:r>
      <w:r w:rsidRPr="00541297">
        <w:t xml:space="preserve">GAD-7 </w:t>
      </w:r>
      <w:r w:rsidR="00032C49" w:rsidRPr="00541297">
        <w:t xml:space="preserve">before and after </w:t>
      </w:r>
      <w:r w:rsidR="00990DBA">
        <w:t xml:space="preserve">THIS WAY UP </w:t>
      </w:r>
      <w:r w:rsidR="00032C49" w:rsidRPr="00541297">
        <w:t xml:space="preserve">treatment </w:t>
      </w:r>
      <w:r w:rsidRPr="00541297">
        <w:t>over time, by support</w:t>
      </w:r>
      <w:r w:rsidR="00FC496D" w:rsidRPr="00541297">
        <w:t xml:space="preserve"> status</w:t>
      </w:r>
      <w:r w:rsidR="0005462C" w:rsidRPr="00541297">
        <w:t>, July 2015 – December 2021</w:t>
      </w:r>
      <w:r w:rsidR="003E0FFE" w:rsidRPr="00541297">
        <w:br w:type="page"/>
      </w:r>
    </w:p>
    <w:p w14:paraId="0968D5F6" w14:textId="0CCB37AF" w:rsidR="00DB7DCB" w:rsidRPr="005B478F" w:rsidRDefault="00DB7DCB" w:rsidP="00F84ED2">
      <w:pPr>
        <w:pStyle w:val="Heading3"/>
      </w:pPr>
      <w:r w:rsidRPr="005B478F">
        <w:lastRenderedPageBreak/>
        <w:t>Predictors of outcomes</w:t>
      </w:r>
    </w:p>
    <w:p w14:paraId="7F7CCF08" w14:textId="22027E57" w:rsidR="0036211E" w:rsidRPr="005B478F" w:rsidRDefault="002809A5" w:rsidP="00990DBA">
      <w:pPr>
        <w:pStyle w:val="ANorm"/>
        <w:spacing w:after="200"/>
      </w:pPr>
      <w:r w:rsidRPr="005B478F">
        <w:t xml:space="preserve">Sunderland </w:t>
      </w:r>
      <w:r w:rsidR="0065750D">
        <w:t>et al</w:t>
      </w:r>
      <w:r w:rsidRPr="005B478F">
        <w:t xml:space="preserve"> (2012)</w:t>
      </w:r>
      <w:r w:rsidR="00CF7CD0" w:rsidRPr="005B478F">
        <w:t xml:space="preserve"> </w:t>
      </w:r>
      <w:r w:rsidR="00116623" w:rsidRPr="005B478F">
        <w:t>conducted a study of</w:t>
      </w:r>
      <w:r w:rsidR="00A135E4" w:rsidRPr="005B478F">
        <w:t xml:space="preserve"> </w:t>
      </w:r>
      <w:r w:rsidR="00CF7CD0" w:rsidRPr="005B478F">
        <w:t>302 patients who completed an online CBT course for depression and 361 patients</w:t>
      </w:r>
      <w:r w:rsidRPr="005B478F">
        <w:t xml:space="preserve"> </w:t>
      </w:r>
      <w:r w:rsidR="00CF7CD0" w:rsidRPr="005B478F">
        <w:t>who completed an online CBT course for generalised anxiety disorder</w:t>
      </w:r>
      <w:r w:rsidR="006572F0" w:rsidRPr="005B478F">
        <w:t xml:space="preserve">, </w:t>
      </w:r>
      <w:r w:rsidR="0036211E" w:rsidRPr="005B478F">
        <w:t xml:space="preserve">both through </w:t>
      </w:r>
      <w:r w:rsidR="005F4ADE">
        <w:t xml:space="preserve">the </w:t>
      </w:r>
      <w:r w:rsidR="006572F0" w:rsidRPr="005B478F">
        <w:t>Clinical Research Unit for Anxiety and Depression (</w:t>
      </w:r>
      <w:proofErr w:type="spellStart"/>
      <w:r w:rsidR="006572F0" w:rsidRPr="005B478F">
        <w:t>CRUfAD</w:t>
      </w:r>
      <w:proofErr w:type="spellEnd"/>
      <w:r w:rsidR="0036211E" w:rsidRPr="005B478F">
        <w:t>, now THIS WAY UP</w:t>
      </w:r>
      <w:r w:rsidR="006572F0" w:rsidRPr="005B478F">
        <w:t>)</w:t>
      </w:r>
      <w:r w:rsidR="00116623" w:rsidRPr="005B478F">
        <w:t>.</w:t>
      </w:r>
      <w:r w:rsidR="004D0A0E" w:rsidRPr="005B478F">
        <w:fldChar w:fldCharType="begin"/>
      </w:r>
      <w:r w:rsidR="004469A2">
        <w:instrText xml:space="preserve"> ADDIN EN.CITE &lt;EndNote&gt;&lt;Cite&gt;&lt;Author&gt;Sunderland&lt;/Author&gt;&lt;Year&gt;2012&lt;/Year&gt;&lt;RecNum&gt;197&lt;/RecNum&gt;&lt;DisplayText&gt;&lt;style face="superscript"&gt;71&lt;/style&gt;&lt;/DisplayText&gt;&lt;record&gt;&lt;rec-number&gt;197&lt;/rec-number&gt;&lt;foreign-keys&gt;&lt;key app="EN" db-id="dawtr0zrkrzfa5edzzlpe2we0xa00t90vvr2" timestamp="1656300728"&gt;197&lt;/key&gt;&lt;/foreign-keys&gt;&lt;ref-type name="Journal Article"&gt;17&lt;/ref-type&gt;&lt;contributors&gt;&lt;authors&gt;&lt;author&gt;Sunderland, M.&lt;/author&gt;&lt;author&gt;Wong, N.&lt;/author&gt;&lt;author&gt;Hilvert-Bruce, Z.&lt;/author&gt;&lt;author&gt;Andrews, G.&lt;/author&gt;&lt;/authors&gt;&lt;/contributors&gt;&lt;auth-address&gt;School of Psychiatry, University of New South Wales, Sydney, Australia. matthews@unsw.edu.au&lt;/auth-address&gt;&lt;titles&gt;&lt;title&gt;Investigating trajectories of change in psychological distress amongst patients with depression and generalised anxiety disorder treated with internet cognitive behavioural therapy&lt;/title&gt;&lt;secondary-title&gt;Behaviour Research and Therapy&lt;/secondary-title&gt;&lt;/titles&gt;&lt;periodical&gt;&lt;full-title&gt;Behaviour research and therapy&lt;/full-title&gt;&lt;/periodical&gt;&lt;pages&gt;374-80&lt;/pages&gt;&lt;volume&gt;50&lt;/volume&gt;&lt;number&gt;6&lt;/number&gt;&lt;edition&gt;2012/04/14&lt;/edition&gt;&lt;keywords&gt;&lt;keyword&gt;Adult&lt;/keyword&gt;&lt;keyword&gt;Anxiety Disorders/psychology/*therapy&lt;/keyword&gt;&lt;keyword&gt;Cognitive Behavioral Therapy/*methods&lt;/keyword&gt;&lt;keyword&gt;Depressive Disorder/psychology/*therapy&lt;/keyword&gt;&lt;keyword&gt;Female&lt;/keyword&gt;&lt;keyword&gt;Humans&lt;/keyword&gt;&lt;keyword&gt;*Internet&lt;/keyword&gt;&lt;keyword&gt;Male&lt;/keyword&gt;&lt;keyword&gt;Remote Consultation/*methods&lt;/keyword&gt;&lt;keyword&gt;Stress, Psychological/etiology/*therapy&lt;/keyword&gt;&lt;keyword&gt;Time Factors&lt;/keyword&gt;&lt;keyword&gt;Treatment Outcome&lt;/keyword&gt;&lt;/keywords&gt;&lt;dates&gt;&lt;year&gt;2012&lt;/year&gt;&lt;pub-dates&gt;&lt;date&gt;Jun&lt;/date&gt;&lt;/pub-dates&gt;&lt;/dates&gt;&lt;isbn&gt;0005-7967&lt;/isbn&gt;&lt;accession-num&gt;22498311&lt;/accession-num&gt;&lt;urls&gt;&lt;/urls&gt;&lt;electronic-resource-num&gt;10.1016/j.brat.2012.03.005&lt;/electronic-resource-num&gt;&lt;remote-database-provider&gt;NLM&lt;/remote-database-provider&gt;&lt;language&gt;eng&lt;/language&gt;&lt;/record&gt;&lt;/Cite&gt;&lt;/EndNote&gt;</w:instrText>
      </w:r>
      <w:r w:rsidR="004D0A0E" w:rsidRPr="005B478F">
        <w:fldChar w:fldCharType="separate"/>
      </w:r>
      <w:r w:rsidR="004469A2" w:rsidRPr="004469A2">
        <w:rPr>
          <w:noProof/>
          <w:vertAlign w:val="superscript"/>
        </w:rPr>
        <w:t>71</w:t>
      </w:r>
      <w:r w:rsidR="004D0A0E" w:rsidRPr="005B478F">
        <w:fldChar w:fldCharType="end"/>
      </w:r>
      <w:r w:rsidR="00076C72" w:rsidRPr="005B478F">
        <w:t xml:space="preserve"> </w:t>
      </w:r>
      <w:r w:rsidR="00116623" w:rsidRPr="005B478F">
        <w:t>They found that</w:t>
      </w:r>
      <w:r w:rsidRPr="005B478F">
        <w:t xml:space="preserve"> 75% and 80%, respectively, experienced improvement in psychological distress across all six lesson</w:t>
      </w:r>
      <w:r w:rsidR="00116623" w:rsidRPr="005B478F">
        <w:t>s (responders)</w:t>
      </w:r>
      <w:r w:rsidRPr="005B478F">
        <w:t xml:space="preserve">. </w:t>
      </w:r>
      <w:r w:rsidR="00116623" w:rsidRPr="005B478F">
        <w:t xml:space="preserve">The remainder of participants </w:t>
      </w:r>
      <w:r w:rsidR="0036211E" w:rsidRPr="005B478F">
        <w:t>(</w:t>
      </w:r>
      <w:r w:rsidR="00116623" w:rsidRPr="005B478F">
        <w:t>low responders</w:t>
      </w:r>
      <w:r w:rsidR="0036211E" w:rsidRPr="005B478F">
        <w:t>)</w:t>
      </w:r>
      <w:r w:rsidR="00116623" w:rsidRPr="005B478F">
        <w:t xml:space="preserve"> had similar socio-demographic characteristics but tended to have higher levels of symptom severity and psychological distress at baseline compared t</w:t>
      </w:r>
      <w:r w:rsidR="006572F0" w:rsidRPr="005B478F">
        <w:t xml:space="preserve">o </w:t>
      </w:r>
      <w:r w:rsidR="00116623" w:rsidRPr="005B478F">
        <w:t>the responders.</w:t>
      </w:r>
    </w:p>
    <w:p w14:paraId="51443C67" w14:textId="4D435437" w:rsidR="0013739C" w:rsidRDefault="00CA402E" w:rsidP="00990DBA">
      <w:pPr>
        <w:pStyle w:val="ANorm"/>
        <w:spacing w:after="200"/>
      </w:pPr>
      <w:r w:rsidRPr="00140E15">
        <w:t xml:space="preserve">Based on findings showing </w:t>
      </w:r>
      <w:r w:rsidR="0036211E" w:rsidRPr="00140E15">
        <w:t xml:space="preserve">that consumers </w:t>
      </w:r>
      <w:r w:rsidRPr="00140E15">
        <w:t xml:space="preserve">who drop out of </w:t>
      </w:r>
      <w:proofErr w:type="spellStart"/>
      <w:r w:rsidRPr="00140E15">
        <w:t>CRUfAD</w:t>
      </w:r>
      <w:proofErr w:type="spellEnd"/>
      <w:r w:rsidRPr="00140E15">
        <w:t xml:space="preserve"> (now THIS WAY UP) courses benefit from each successive lesson completed to a similar degree as those who complete the entire course</w:t>
      </w:r>
      <w:r w:rsidR="00140E15" w:rsidRPr="00140E15">
        <w:t>,</w:t>
      </w:r>
      <w:r w:rsidRPr="00140E15">
        <w:t xml:space="preserve"> Hilvert-Bruce </w:t>
      </w:r>
      <w:r w:rsidR="0065750D" w:rsidRPr="00140E15">
        <w:t>et al</w:t>
      </w:r>
      <w:r w:rsidR="00FC2A04" w:rsidRPr="00140E15">
        <w:t xml:space="preserve"> </w:t>
      </w:r>
      <w:r w:rsidRPr="00140E15">
        <w:t>(2012)</w:t>
      </w:r>
      <w:r w:rsidR="00AE5DE9" w:rsidRPr="00140E15">
        <w:t xml:space="preserve"> conclude that treatment adherence is an essential determinant of effectiveness.</w:t>
      </w:r>
      <w:r w:rsidR="00B81CB1" w:rsidRPr="00140E15">
        <w:fldChar w:fldCharType="begin"/>
      </w:r>
      <w:r w:rsidR="004469A2">
        <w:instrText xml:space="preserve"> ADDIN EN.CITE &lt;EndNote&gt;&lt;Cite&gt;&lt;Author&gt;Hilvert-Bruce&lt;/Author&gt;&lt;Year&gt;2012&lt;/Year&gt;&lt;RecNum&gt;196&lt;/RecNum&gt;&lt;DisplayText&gt;&lt;style face="superscript"&gt;10&lt;/style&gt;&lt;/DisplayText&gt;&lt;record&gt;&lt;rec-number&gt;196&lt;/rec-number&gt;&lt;foreign-keys&gt;&lt;key app="EN" db-id="dawtr0zrkrzfa5edzzlpe2we0xa00t90vvr2" timestamp="1655706634"&gt;196&lt;/key&gt;&lt;/foreign-keys&gt;&lt;ref-type name="Journal Article"&gt;17&lt;/ref-type&gt;&lt;contributors&gt;&lt;authors&gt;&lt;author&gt;Hilvert-Bruce, Zita&lt;/author&gt;&lt;author&gt;Rossouw, Pieter J&lt;/author&gt;&lt;author&gt;Wong, Nora&lt;/author&gt;&lt;author&gt;Sunderland, Matthew&lt;/author&gt;&lt;author&gt;Andrews, Gavin&lt;/author&gt;&lt;/authors&gt;&lt;/contributors&gt;&lt;titles&gt;&lt;title&gt;Adherence as a determinant of effectiveness of internet cognitive behavioural therapy for anxiety and depressive disorders&lt;/title&gt;&lt;secondary-title&gt;Behaviour research and therapy&lt;/secondary-title&gt;&lt;/titles&gt;&lt;periodical&gt;&lt;full-title&gt;Behaviour research and therapy&lt;/full-title&gt;&lt;/periodical&gt;&lt;pages&gt;463-468&lt;/pages&gt;&lt;volume&gt;50&lt;/volume&gt;&lt;number&gt;7-8&lt;/number&gt;&lt;dates&gt;&lt;year&gt;2012&lt;/year&gt;&lt;/dates&gt;&lt;isbn&gt;0005-7967&lt;/isbn&gt;&lt;urls&gt;&lt;/urls&gt;&lt;/record&gt;&lt;/Cite&gt;&lt;/EndNote&gt;</w:instrText>
      </w:r>
      <w:r w:rsidR="00B81CB1" w:rsidRPr="00140E15">
        <w:fldChar w:fldCharType="separate"/>
      </w:r>
      <w:r w:rsidR="004469A2" w:rsidRPr="004469A2">
        <w:rPr>
          <w:noProof/>
          <w:vertAlign w:val="superscript"/>
        </w:rPr>
        <w:t>10</w:t>
      </w:r>
      <w:r w:rsidR="00B81CB1" w:rsidRPr="00140E15">
        <w:fldChar w:fldCharType="end"/>
      </w:r>
    </w:p>
    <w:p w14:paraId="4C0D4C14" w14:textId="77777777" w:rsidR="00A33B64" w:rsidRDefault="00A33B64" w:rsidP="00F84ED2">
      <w:pPr>
        <w:pStyle w:val="Heading3"/>
      </w:pPr>
      <w:r>
        <w:t>Consumer experiences</w:t>
      </w:r>
    </w:p>
    <w:p w14:paraId="352C67EB" w14:textId="77777777" w:rsidR="00A33B64" w:rsidRDefault="00A33B64" w:rsidP="00990DBA">
      <w:pPr>
        <w:pStyle w:val="ANorm"/>
        <w:spacing w:after="200"/>
      </w:pPr>
      <w:r>
        <w:t>Consumer experiences of THIS WAY UP are largely positive.</w:t>
      </w:r>
    </w:p>
    <w:p w14:paraId="6FBBAAB7" w14:textId="5DA575B9" w:rsidR="000C7D68" w:rsidRPr="00083C41" w:rsidRDefault="00A33B64" w:rsidP="00990DBA">
      <w:pPr>
        <w:pStyle w:val="ANorm"/>
        <w:spacing w:after="200"/>
      </w:pPr>
      <w:r>
        <w:t>THIS WAY UP has been collecting routine feedback data from all course users via online surveys since 2016. Data from 13,157 course users from 2016 to 2020 and 2,195 course users from 2021 indicates</w:t>
      </w:r>
      <w:r w:rsidRPr="001E5C13">
        <w:t xml:space="preserve"> </w:t>
      </w:r>
      <w:r>
        <w:t>they are 84% and 81%, likely to recommend THIS WAY UP courses to others,</w:t>
      </w:r>
      <w:r w:rsidRPr="002E4B3A">
        <w:t xml:space="preserve"> </w:t>
      </w:r>
      <w:r>
        <w:t>respectively.</w:t>
      </w:r>
      <w:r w:rsidR="000906EB">
        <w:fldChar w:fldCharType="begin"/>
      </w:r>
      <w:r w:rsidR="004469A2">
        <w:instrText xml:space="preserve"> ADDIN EN.CITE &lt;EndNote&gt;&lt;Cite&gt;&lt;Author&gt;THIS WAY UP&lt;/Author&gt;&lt;Year&gt;n.d.&lt;/Year&gt;&lt;RecNum&gt;188&lt;/RecNum&gt;&lt;DisplayText&gt;&lt;style face="superscript"&gt;72&lt;/style&gt;&lt;/DisplayText&gt;&lt;record&gt;&lt;rec-number&gt;188&lt;/rec-number&gt;&lt;foreign-keys&gt;&lt;key app="EN" db-id="dawtr0zrkrzfa5edzzlpe2we0xa00t90vvr2" timestamp="1655628170"&gt;188&lt;/key&gt;&lt;/foreign-keys&gt;&lt;ref-type name="Report"&gt;27&lt;/ref-type&gt;&lt;contributors&gt;&lt;authors&gt;&lt;author&gt;THIS WAY UP,&lt;/author&gt;&lt;/authors&gt;&lt;/contributors&gt;&lt;titles&gt;&lt;title&gt;THIS WAY UP: Consumer engagement and the user experience&lt;/title&gt;&lt;/titles&gt;&lt;dates&gt;&lt;year&gt;n.d.&lt;/year&gt;&lt;/dates&gt;&lt;pub-location&gt;Sydney&lt;/pub-location&gt;&lt;publisher&gt;THIS WAY UP&lt;/publisher&gt;&lt;urls&gt;&lt;/urls&gt;&lt;/record&gt;&lt;/Cite&gt;&lt;/EndNote&gt;</w:instrText>
      </w:r>
      <w:r w:rsidR="000906EB">
        <w:fldChar w:fldCharType="separate"/>
      </w:r>
      <w:r w:rsidR="004469A2" w:rsidRPr="004469A2">
        <w:rPr>
          <w:noProof/>
          <w:vertAlign w:val="superscript"/>
        </w:rPr>
        <w:t>72</w:t>
      </w:r>
      <w:r w:rsidR="000906EB">
        <w:fldChar w:fldCharType="end"/>
      </w:r>
      <w:r w:rsidR="000C7D68">
        <w:br w:type="page"/>
      </w:r>
    </w:p>
    <w:p w14:paraId="1FBE1912" w14:textId="79CCA952" w:rsidR="00394A4C" w:rsidRPr="0023739F" w:rsidRDefault="00EC6530" w:rsidP="005A16C4">
      <w:pPr>
        <w:pStyle w:val="Heading2"/>
        <w:numPr>
          <w:ilvl w:val="1"/>
          <w:numId w:val="165"/>
        </w:numPr>
      </w:pPr>
      <w:bookmarkStart w:id="143" w:name="_Toc108784851"/>
      <w:r w:rsidRPr="00AA6B28">
        <w:lastRenderedPageBreak/>
        <w:t xml:space="preserve">Mental health </w:t>
      </w:r>
      <w:r w:rsidR="00306E08">
        <w:t xml:space="preserve">outcomes </w:t>
      </w:r>
      <w:r w:rsidRPr="00AA6B28">
        <w:t>compared with usual care</w:t>
      </w:r>
      <w:bookmarkEnd w:id="143"/>
    </w:p>
    <w:p w14:paraId="78F36735" w14:textId="144513AF" w:rsidR="00883525" w:rsidRDefault="00883525" w:rsidP="00990DBA">
      <w:pPr>
        <w:pStyle w:val="ANorm"/>
        <w:spacing w:after="200"/>
      </w:pPr>
      <w:r>
        <w:t xml:space="preserve">We extracted data from peer-reviewed and grey literature to compare mental health </w:t>
      </w:r>
      <w:r w:rsidRPr="00141289">
        <w:t xml:space="preserve">outcomes </w:t>
      </w:r>
      <w:r>
        <w:t>produced by the DMHSs and other types of treatment.</w:t>
      </w:r>
      <w:r w:rsidR="00EA2F02">
        <w:t xml:space="preserve"> </w:t>
      </w:r>
      <w:r w:rsidR="00560066">
        <w:t>T</w:t>
      </w:r>
      <w:r w:rsidR="002E41C0">
        <w:t>o do this, we used t</w:t>
      </w:r>
      <w:r w:rsidR="00560066">
        <w:t xml:space="preserve">he </w:t>
      </w:r>
      <w:r w:rsidR="002E41C0">
        <w:t xml:space="preserve">pooled </w:t>
      </w:r>
      <w:r w:rsidR="00560066">
        <w:t xml:space="preserve">mental health </w:t>
      </w:r>
      <w:r w:rsidR="003B5FB8">
        <w:t xml:space="preserve">effect sizes </w:t>
      </w:r>
      <w:r w:rsidR="002E41C0">
        <w:t xml:space="preserve">we </w:t>
      </w:r>
      <w:r w:rsidR="003B5FB8">
        <w:t xml:space="preserve">calculated for </w:t>
      </w:r>
      <w:r w:rsidR="00995370">
        <w:t xml:space="preserve">the DMHSs in Sections 4.3 to 4.5 </w:t>
      </w:r>
      <w:r w:rsidR="00164132">
        <w:t>–</w:t>
      </w:r>
      <w:r w:rsidR="00995370">
        <w:t xml:space="preserve"> </w:t>
      </w:r>
      <w:r w:rsidR="00164132">
        <w:t xml:space="preserve">0.95 </w:t>
      </w:r>
      <w:r w:rsidR="0005302B">
        <w:t>for therapist-supported and 0.59 for self-directed treatment by Mental Health Online</w:t>
      </w:r>
      <w:r w:rsidR="008E4C2B">
        <w:t>,</w:t>
      </w:r>
      <w:r w:rsidR="0005302B">
        <w:t xml:space="preserve"> </w:t>
      </w:r>
      <w:r w:rsidR="00175687">
        <w:t xml:space="preserve">1.42 for therapist-supported treatment by </w:t>
      </w:r>
      <w:proofErr w:type="spellStart"/>
      <w:r w:rsidR="00175687">
        <w:t>MindSpot</w:t>
      </w:r>
      <w:proofErr w:type="spellEnd"/>
      <w:r w:rsidR="008E4C2B">
        <w:t>,</w:t>
      </w:r>
      <w:r w:rsidR="00175687">
        <w:t xml:space="preserve"> and </w:t>
      </w:r>
      <w:r w:rsidR="008E4C2B">
        <w:t>1.04 for therapist-supported treatment by THIS WAY UP.</w:t>
      </w:r>
    </w:p>
    <w:p w14:paraId="2CCB5677" w14:textId="79687AEB" w:rsidR="00883525" w:rsidRDefault="00883525" w:rsidP="00990DBA">
      <w:pPr>
        <w:pStyle w:val="ANorm"/>
        <w:spacing w:after="200"/>
      </w:pPr>
      <w:r w:rsidRPr="009D5661">
        <w:t xml:space="preserve">Table </w:t>
      </w:r>
      <w:r w:rsidR="009D5661" w:rsidRPr="009D5661">
        <w:t>21</w:t>
      </w:r>
      <w:r w:rsidRPr="009D5661">
        <w:t xml:space="preserve"> presents descriptions of five key categories of comparator mental health treatment types and mental</w:t>
      </w:r>
      <w:r>
        <w:t xml:space="preserve"> health outcomes they have produced. Four treatment categories are Australian based</w:t>
      </w:r>
      <w:r w:rsidR="009603A8">
        <w:t>,</w:t>
      </w:r>
      <w:r>
        <w:t xml:space="preserve"> including low intensity mental health care (New Access),</w:t>
      </w:r>
      <w:r w:rsidR="004677C4">
        <w:fldChar w:fldCharType="begin"/>
      </w:r>
      <w:r w:rsidR="004469A2">
        <w:instrText xml:space="preserve"> ADDIN EN.CITE &lt;EndNote&gt;&lt;Cite&gt;&lt;Author&gt;Baigent&lt;/Author&gt;&lt;Year&gt;2020&lt;/Year&gt;&lt;RecNum&gt;186&lt;/RecNum&gt;&lt;DisplayText&gt;&lt;style face="superscript"&gt;73&lt;/style&gt;&lt;/DisplayText&gt;&lt;record&gt;&lt;rec-number&gt;186&lt;/rec-number&gt;&lt;foreign-keys&gt;&lt;key app="EN" db-id="dawtr0zrkrzfa5edzzlpe2we0xa00t90vvr2" timestamp="1655334676"&gt;186&lt;/key&gt;&lt;/foreign-keys&gt;&lt;ref-type name="Journal Article"&gt;17&lt;/ref-type&gt;&lt;contributors&gt;&lt;authors&gt;&lt;author&gt;Baigent, Michael&lt;/author&gt;&lt;author&gt;Smith, David&lt;/author&gt;&lt;author&gt;Battersby, Malcolm&lt;/author&gt;&lt;author&gt;Lawn, Sharon&lt;/author&gt;&lt;author&gt;Redpath, Paula&lt;/author&gt;&lt;author&gt;McCoy, Alicia&lt;/author&gt;&lt;/authors&gt;&lt;/contributors&gt;&lt;titles&gt;&lt;title&gt;The Australian version of IAPT: Clinical outcomes of the multi-site cohort study of NewAccess&lt;/title&gt;&lt;secondary-title&gt;Journal of Mental Health&lt;/secondary-title&gt;&lt;/titles&gt;&lt;periodical&gt;&lt;full-title&gt;Journal of Mental Health&lt;/full-title&gt;&lt;/periodical&gt;&lt;pages&gt;1-10&lt;/pages&gt;&lt;dates&gt;&lt;year&gt;2020&lt;/year&gt;&lt;/dates&gt;&lt;publisher&gt;Routledge&lt;/publisher&gt;&lt;isbn&gt;0963-8237&lt;/isbn&gt;&lt;urls&gt;&lt;related-urls&gt;&lt;url&gt;https://doi.org/10.1080/09638237.2020.1760224&lt;/url&gt;&lt;/related-urls&gt;&lt;/urls&gt;&lt;electronic-resource-num&gt;10.1080/09638237.2020.1760224&lt;/electronic-resource-num&gt;&lt;/record&gt;&lt;/Cite&gt;&lt;/EndNote&gt;</w:instrText>
      </w:r>
      <w:r w:rsidR="004677C4">
        <w:fldChar w:fldCharType="separate"/>
      </w:r>
      <w:r w:rsidR="004469A2" w:rsidRPr="004469A2">
        <w:rPr>
          <w:noProof/>
          <w:vertAlign w:val="superscript"/>
        </w:rPr>
        <w:t>73</w:t>
      </w:r>
      <w:r w:rsidR="004677C4">
        <w:fldChar w:fldCharType="end"/>
      </w:r>
      <w:r>
        <w:t xml:space="preserve"> primary mental health care (Better Access,</w:t>
      </w:r>
      <w:r w:rsidR="004677C4">
        <w:fldChar w:fldCharType="begin"/>
      </w:r>
      <w:r w:rsidR="004469A2">
        <w:instrText xml:space="preserve"> ADDIN EN.CITE &lt;EndNote&gt;&lt;Cite&gt;&lt;Author&gt;Pirkis &lt;/Author&gt;&lt;Year&gt;2011&lt;/Year&gt;&lt;RecNum&gt;10&lt;/RecNum&gt;&lt;DisplayText&gt;&lt;style face="superscript"&gt;74&lt;/style&gt;&lt;/DisplayText&gt;&lt;record&gt;&lt;rec-number&gt;10&lt;/rec-number&gt;&lt;foreign-keys&gt;&lt;key app="EN" db-id="dawtr0zrkrzfa5edzzlpe2we0xa00t90vvr2" timestamp="1622896606"&gt;10&lt;/key&gt;&lt;/foreign-keys&gt;&lt;ref-type name="Journal Article"&gt;17&lt;/ref-type&gt;&lt;contributors&gt;&lt;authors&gt;&lt;author&gt;Pirkis , J.&lt;/author&gt;&lt;author&gt;Ftanou, M.&lt;/author&gt;&lt;author&gt;Williamson, M.&lt;/author&gt;&lt;author&gt;Machlin, A.&lt;/author&gt;&lt;author&gt;Spittal, M.&lt;/author&gt;&lt;author&gt;Bassilios, B.&lt;/author&gt;&lt;author&gt;Harris, M.&lt;/author&gt;&lt;/authors&gt;&lt;/contributors&gt;&lt;titles&gt;&lt;title&gt;Australia&amp;apos;s Better Access initiative: An evaluation&lt;/title&gt;&lt;secondary-title&gt;Australian and New Zealand Journal of Psychiatry&lt;/secondary-title&gt;&lt;/titles&gt;&lt;pages&gt;726-739&lt;/pages&gt;&lt;volume&gt;45&lt;/volume&gt;&lt;dates&gt;&lt;year&gt;2011&lt;/year&gt;&lt;/dates&gt;&lt;urls&gt;&lt;/urls&gt;&lt;/record&gt;&lt;/Cite&gt;&lt;/EndNote&gt;</w:instrText>
      </w:r>
      <w:r w:rsidR="004677C4">
        <w:fldChar w:fldCharType="separate"/>
      </w:r>
      <w:r w:rsidR="004469A2" w:rsidRPr="004469A2">
        <w:rPr>
          <w:noProof/>
          <w:vertAlign w:val="superscript"/>
        </w:rPr>
        <w:t>74</w:t>
      </w:r>
      <w:r w:rsidR="004677C4">
        <w:fldChar w:fldCharType="end"/>
      </w:r>
      <w:r>
        <w:t xml:space="preserve"> Access to Allied Psychological Services</w:t>
      </w:r>
      <w:r w:rsidR="004677C4">
        <w:fldChar w:fldCharType="begin"/>
      </w:r>
      <w:r w:rsidR="004469A2">
        <w:instrText xml:space="preserve"> ADDIN EN.CITE &lt;EndNote&gt;&lt;Cite&gt;&lt;Author&gt;Bassilios&lt;/Author&gt;&lt;Year&gt;2017&lt;/Year&gt;&lt;RecNum&gt;7&lt;/RecNum&gt;&lt;DisplayText&gt;&lt;style face="superscript"&gt;75&lt;/style&gt;&lt;/DisplayText&gt;&lt;record&gt;&lt;rec-number&gt;7&lt;/rec-number&gt;&lt;foreign-keys&gt;&lt;key app="EN" db-id="dawtr0zrkrzfa5edzzlpe2we0xa00t90vvr2" timestamp="1622896177"&gt;7&lt;/key&gt;&lt;/foreign-keys&gt;&lt;ref-type name="Report"&gt;27&lt;/ref-type&gt;&lt;contributors&gt;&lt;authors&gt;&lt;author&gt;Bassilios, B.&lt;/author&gt;&lt;author&gt;Nicholas, A.&lt;/author&gt;&lt;author&gt;King, K.&lt;/author&gt;&lt;author&gt;Reifels, L.&lt;/author&gt;&lt;author&gt;Fletcher, J.&lt;/author&gt;&lt;author&gt;Pirkis, J.&lt;/author&gt;&lt;/authors&gt;&lt;/contributors&gt;&lt;titles&gt;&lt;title&gt;Evaluating the Access to Allied Psychological Services (ATAPS) and Mental Health Services in Rural and Remote Areas (MHSRRA) programs:  Final ATAPS and MHSRRA evaluation report&lt;/title&gt;&lt;/titles&gt;&lt;dates&gt;&lt;year&gt;2017&lt;/year&gt;&lt;/dates&gt;&lt;pub-location&gt;Melbourne&lt;/pub-location&gt;&lt;publisher&gt;Centre for Mental Health, University of Melbourne&lt;/publisher&gt;&lt;urls&gt;&lt;/urls&gt;&lt;/record&gt;&lt;/Cite&gt;&lt;/EndNote&gt;</w:instrText>
      </w:r>
      <w:r w:rsidR="004677C4">
        <w:fldChar w:fldCharType="separate"/>
      </w:r>
      <w:r w:rsidR="004469A2" w:rsidRPr="004469A2">
        <w:rPr>
          <w:noProof/>
          <w:vertAlign w:val="superscript"/>
        </w:rPr>
        <w:t>75</w:t>
      </w:r>
      <w:r w:rsidR="004677C4">
        <w:fldChar w:fldCharType="end"/>
      </w:r>
      <w:r>
        <w:t>), treatment as usual control groups from a randomised controlled trial (Link-me),</w:t>
      </w:r>
      <w:r w:rsidR="004677C4">
        <w:fldChar w:fldCharType="begin">
          <w:fldData xml:space="preserve">PEVuZE5vdGU+PENpdGU+PEF1dGhvcj5GbGV0Y2hlcjwvQXV0aG9yPjxZZWFyPjIwMjE8L1llYXI+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</w:fldData>
        </w:fldChar>
      </w:r>
      <w:r w:rsidR="004469A2">
        <w:instrText xml:space="preserve"> ADDIN EN.CITE </w:instrText>
      </w:r>
      <w:r w:rsidR="004469A2">
        <w:fldChar w:fldCharType="begin">
          <w:fldData xml:space="preserve">PEVuZE5vdGU+PENpdGU+PEF1dGhvcj5GbGV0Y2hlcjwvQXV0aG9yPjxZZWFyPjIwMjE8L1llYXI+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</w:fldData>
        </w:fldChar>
      </w:r>
      <w:r w:rsidR="004469A2">
        <w:instrText xml:space="preserve"> ADDIN EN.CITE.DATA </w:instrText>
      </w:r>
      <w:r w:rsidR="004469A2">
        <w:fldChar w:fldCharType="end"/>
      </w:r>
      <w:r w:rsidR="004677C4">
        <w:fldChar w:fldCharType="separate"/>
      </w:r>
      <w:r w:rsidR="004469A2" w:rsidRPr="004469A2">
        <w:rPr>
          <w:noProof/>
          <w:vertAlign w:val="superscript"/>
        </w:rPr>
        <w:t>76</w:t>
      </w:r>
      <w:r w:rsidR="004677C4">
        <w:fldChar w:fldCharType="end"/>
      </w:r>
      <w:r>
        <w:t xml:space="preserve"> and </w:t>
      </w:r>
      <w:r w:rsidR="00306E08">
        <w:t xml:space="preserve">adult </w:t>
      </w:r>
      <w:r>
        <w:t>ambulatory (outpatient) public mental health care.</w:t>
      </w:r>
      <w:r w:rsidR="004677C4">
        <w:fldChar w:fldCharType="begin"/>
      </w:r>
      <w:r w:rsidR="004469A2">
        <w:instrText xml:space="preserve"> ADDIN EN.CITE &lt;EndNote&gt;&lt;Cite&gt;&lt;Author&gt;Australian Mental Health Outcomes and Classification Network&lt;/Author&gt;&lt;Year&gt;2022&lt;/Year&gt;&lt;RecNum&gt;156&lt;/RecNum&gt;&lt;DisplayText&gt;&lt;style face="superscript"&gt;55&lt;/style&gt;&lt;/DisplayText&gt;&lt;record&gt;&lt;rec-number&gt;156&lt;/rec-number&gt;&lt;foreign-keys&gt;&lt;key app="EN" db-id="dawtr0zrkrzfa5edzzlpe2we0xa00t90vvr2" timestamp="1654329440"&gt;156&lt;/key&gt;&lt;/foreign-keys&gt;&lt;ref-type name="Web Page"&gt;12&lt;/ref-type&gt;&lt;contributors&gt;&lt;authors&gt;&lt;author&gt;Australian Mental Health Outcomes and Classification Network,&lt;/author&gt;&lt;/authors&gt;&lt;/contributors&gt;&lt;titles&gt;&lt;title&gt;Kessler-10+&lt;/title&gt;&lt;/titles&gt;&lt;number&gt;4 June 2022&lt;/number&gt;&lt;dates&gt;&lt;year&gt;2022&lt;/year&gt;&lt;/dates&gt;&lt;publisher&gt;Australian Mental Health Outcomes and Classification Network&lt;/publisher&gt;&lt;urls&gt;&lt;related-urls&gt;&lt;url&gt;https://www.amhocn.org/publications/kessler-10&lt;/url&gt;&lt;/related-urls&gt;&lt;/urls&gt;&lt;/record&gt;&lt;/Cite&gt;&lt;/EndNote&gt;</w:instrText>
      </w:r>
      <w:r w:rsidR="004677C4">
        <w:fldChar w:fldCharType="separate"/>
      </w:r>
      <w:r w:rsidR="004469A2" w:rsidRPr="004469A2">
        <w:rPr>
          <w:noProof/>
          <w:vertAlign w:val="superscript"/>
        </w:rPr>
        <w:t>55</w:t>
      </w:r>
      <w:r w:rsidR="004677C4">
        <w:fldChar w:fldCharType="end"/>
      </w:r>
      <w:r>
        <w:t xml:space="preserve"> The final category is UK based stepped mental health care (Improving Access to Psychological Therapies [IAPT]).</w:t>
      </w:r>
      <w:r w:rsidR="004677C4">
        <w:fldChar w:fldCharType="begin"/>
      </w:r>
      <w:r w:rsidR="004469A2">
        <w:instrText xml:space="preserve"> ADDIN EN.CITE &lt;EndNote&gt;&lt;Cite&gt;&lt;Author&gt;NHS Digital Community and Mental Health team&lt;/Author&gt;&lt;Year&gt;2021&lt;/Year&gt;&lt;RecNum&gt;198&lt;/RecNum&gt;&lt;DisplayText&gt;&lt;style face="superscript"&gt;77&lt;/style&gt;&lt;/DisplayText&gt;&lt;record&gt;&lt;rec-number&gt;198&lt;/rec-number&gt;&lt;foreign-keys&gt;&lt;key app="EN" db-id="dawtr0zrkrzfa5edzzlpe2we0xa00t90vvr2" timestamp="1656397196"&gt;198&lt;/key&gt;&lt;/foreign-keys&gt;&lt;ref-type name="Web Page"&gt;12&lt;/ref-type&gt;&lt;contributors&gt;&lt;authors&gt;&lt;author&gt;NHS Digital Community and Mental Health team,&lt;/author&gt;&lt;/authors&gt;&lt;/contributors&gt;&lt;titles&gt;&lt;title&gt;Psychological Therapies: Annual report on the use of IAPT services Engalnd 2020-21&lt;/title&gt;&lt;/titles&gt;&lt;dates&gt;&lt;year&gt;2021&lt;/year&gt;&lt;/dates&gt;&lt;publisher&gt;Health and Social Care Information Cente&lt;/publisher&gt;&lt;urls&gt;&lt;related-urls&gt;&lt;url&gt;https://digital.nhs.uk/data-and-information/publications/statistical/psychological-therapies-annual-reports-on-the-use-of-iapt-services/annual-report-2020-21&lt;/url&gt;&lt;/related-urls&gt;&lt;/urls&gt;&lt;/record&gt;&lt;/Cite&gt;&lt;/EndNote&gt;</w:instrText>
      </w:r>
      <w:r w:rsidR="004677C4">
        <w:fldChar w:fldCharType="separate"/>
      </w:r>
      <w:r w:rsidR="004469A2" w:rsidRPr="004469A2">
        <w:rPr>
          <w:noProof/>
          <w:vertAlign w:val="superscript"/>
        </w:rPr>
        <w:t>77</w:t>
      </w:r>
      <w:r w:rsidR="004677C4">
        <w:fldChar w:fldCharType="end"/>
      </w:r>
      <w:r>
        <w:t xml:space="preserve"> Two comparators (low intensity mental health care and ambulatory public mental health care) were included because they were specifically requested by key stakeholders. We chose the remaining comparators based on previous relevant evaluations we have conducted and our knowledge of IAPT.</w:t>
      </w:r>
    </w:p>
    <w:p w14:paraId="18BA4F5C" w14:textId="7982AA8A" w:rsidR="00881B18" w:rsidRDefault="00806143" w:rsidP="00990DBA">
      <w:pPr>
        <w:pStyle w:val="ANorm"/>
        <w:spacing w:after="200"/>
      </w:pPr>
      <w:r>
        <w:t>S</w:t>
      </w:r>
      <w:r w:rsidR="00717163">
        <w:t>ome important differences between the comparators should be acknowledged</w:t>
      </w:r>
      <w:r w:rsidR="00C76FC2">
        <w:t>. First, the</w:t>
      </w:r>
      <w:r w:rsidR="00717163">
        <w:t>y</w:t>
      </w:r>
      <w:r w:rsidR="00C76FC2">
        <w:t xml:space="preserve"> vary in terms of </w:t>
      </w:r>
      <w:r w:rsidR="00205554">
        <w:t xml:space="preserve">the </w:t>
      </w:r>
      <w:r w:rsidR="00C76FC2">
        <w:t>severity of mental health problems they target, ranging from milder severity in New Access and low intensity IAPT to mild</w:t>
      </w:r>
      <w:r w:rsidR="00205554">
        <w:t>-</w:t>
      </w:r>
      <w:r w:rsidR="00C76FC2">
        <w:t xml:space="preserve">moderate severity </w:t>
      </w:r>
      <w:r w:rsidR="00717163">
        <w:t xml:space="preserve">in Better Access </w:t>
      </w:r>
      <w:r w:rsidR="00C76FC2">
        <w:t>and more severe in the public mental health system.</w:t>
      </w:r>
    </w:p>
    <w:p w14:paraId="395530F0" w14:textId="0B39DCB0" w:rsidR="004841BA" w:rsidRDefault="00205554" w:rsidP="00990DBA">
      <w:pPr>
        <w:pStyle w:val="ANorm"/>
        <w:spacing w:after="200"/>
      </w:pPr>
      <w:r>
        <w:t xml:space="preserve">Having said that, baseline mean K10 data for the primary care treatments, </w:t>
      </w:r>
      <w:r w:rsidR="001C4F5D">
        <w:t xml:space="preserve">ambulatory </w:t>
      </w:r>
      <w:r>
        <w:t xml:space="preserve">public mental health treatment </w:t>
      </w:r>
      <w:r w:rsidR="001C4F5D">
        <w:t xml:space="preserve">and the Link-me </w:t>
      </w:r>
      <w:r w:rsidR="005D50BE">
        <w:t xml:space="preserve">(treatment as usual) </w:t>
      </w:r>
      <w:r w:rsidR="001C4F5D">
        <w:t>severe control group cohort range from 28.2 (ambulatory public mental health) to 31.9 (Link-me severe control group)</w:t>
      </w:r>
      <w:r w:rsidR="004677C4">
        <w:t xml:space="preserve">. </w:t>
      </w:r>
      <w:r w:rsidR="008C5DAA">
        <w:t xml:space="preserve">These means indicate baseline psychological distress at the upper limit of high and lower limit of very high for these comparators. </w:t>
      </w:r>
      <w:r w:rsidR="005B78B1">
        <w:t xml:space="preserve">This is comparable to </w:t>
      </w:r>
      <w:proofErr w:type="spellStart"/>
      <w:proofErr w:type="gramStart"/>
      <w:r w:rsidR="005B78B1">
        <w:t>MindSpot</w:t>
      </w:r>
      <w:proofErr w:type="spellEnd"/>
      <w:proofErr w:type="gramEnd"/>
      <w:r w:rsidR="005B78B1">
        <w:t xml:space="preserve"> and THIS WAY UP baseline mean K10 data (31.6 and 29.2, respectively); </w:t>
      </w:r>
      <w:r w:rsidR="005B78B1" w:rsidRPr="0026386E">
        <w:t xml:space="preserve">Mental Health Online collects </w:t>
      </w:r>
      <w:r w:rsidR="00F11405" w:rsidRPr="0026386E">
        <w:t xml:space="preserve">the </w:t>
      </w:r>
      <w:r w:rsidR="005B78B1" w:rsidRPr="0026386E">
        <w:t xml:space="preserve">K6 </w:t>
      </w:r>
      <w:r w:rsidR="00F11405" w:rsidRPr="0026386E">
        <w:t>at baseline</w:t>
      </w:r>
      <w:r w:rsidR="001766F5">
        <w:t>,</w:t>
      </w:r>
      <w:r w:rsidR="004C295D" w:rsidRPr="0026386E">
        <w:t xml:space="preserve"> which indicates that around </w:t>
      </w:r>
      <w:r w:rsidR="00F46EA9" w:rsidRPr="0026386E">
        <w:t xml:space="preserve">two thirds of consumers </w:t>
      </w:r>
      <w:r w:rsidR="00FD3332" w:rsidRPr="0026386E">
        <w:t>have a probable serious mental illness at the start of treatment</w:t>
      </w:r>
      <w:r w:rsidR="005B78B1" w:rsidRPr="0026386E">
        <w:t>. In contrast</w:t>
      </w:r>
      <w:r w:rsidR="004841BA" w:rsidRPr="0026386E">
        <w:t xml:space="preserve"> and unsurprisingly, baseline psychological</w:t>
      </w:r>
      <w:r w:rsidR="004841BA">
        <w:t xml:space="preserve"> distress was lower in participants of the Link-me moderate and mild (treatment as usual) control groups.</w:t>
      </w:r>
    </w:p>
    <w:p w14:paraId="5970DC00" w14:textId="4D74F0EF" w:rsidR="00717163" w:rsidRDefault="00224F65" w:rsidP="00990DBA">
      <w:pPr>
        <w:pStyle w:val="ANorm"/>
        <w:spacing w:after="200"/>
      </w:pPr>
      <w:r>
        <w:t xml:space="preserve">Baseline depression </w:t>
      </w:r>
      <w:r w:rsidR="004F7664">
        <w:t>is</w:t>
      </w:r>
      <w:r>
        <w:t xml:space="preserve"> s</w:t>
      </w:r>
      <w:r w:rsidR="004F7664">
        <w:t xml:space="preserve">omewhat </w:t>
      </w:r>
      <w:r>
        <w:t>higher for consumers of IAPT (PHQ-9=15.6; moderately severe) than</w:t>
      </w:r>
      <w:r w:rsidR="008C5DAA">
        <w:t xml:space="preserve"> </w:t>
      </w:r>
      <w:proofErr w:type="spellStart"/>
      <w:r>
        <w:t>MindSpot</w:t>
      </w:r>
      <w:proofErr w:type="spellEnd"/>
      <w:r>
        <w:t xml:space="preserve"> (</w:t>
      </w:r>
      <w:r w:rsidR="004F7664">
        <w:t>PHQ-9=</w:t>
      </w:r>
      <w:r>
        <w:t>14.7; moderate/moderately severe)</w:t>
      </w:r>
      <w:r w:rsidR="00225DB9">
        <w:t>,</w:t>
      </w:r>
      <w:r>
        <w:t xml:space="preserve"> THIS WAY UP (</w:t>
      </w:r>
      <w:r w:rsidR="004F7664">
        <w:t>PHQ-9=</w:t>
      </w:r>
      <w:r>
        <w:t>11.8; moderate)</w:t>
      </w:r>
      <w:r w:rsidR="00225DB9">
        <w:t xml:space="preserve"> and New Access (PHQ-9=12.7; moderate)</w:t>
      </w:r>
      <w:r w:rsidR="004F7664">
        <w:t xml:space="preserve">. Baseline anxiety is also slightly higher for consumers of IAPT (GAD-7=14.3) than </w:t>
      </w:r>
      <w:proofErr w:type="spellStart"/>
      <w:r w:rsidR="004F7664">
        <w:t>MindSpot</w:t>
      </w:r>
      <w:proofErr w:type="spellEnd"/>
      <w:r w:rsidR="004F7664">
        <w:t xml:space="preserve"> (GAD-7=12.3)</w:t>
      </w:r>
      <w:r w:rsidR="00225DB9">
        <w:t xml:space="preserve">, </w:t>
      </w:r>
      <w:r w:rsidR="004F7664">
        <w:t>THIS WAY UP (GAD-7=11.2)</w:t>
      </w:r>
      <w:r w:rsidR="00225DB9">
        <w:t xml:space="preserve"> and New Access (GAD-7=11.5)</w:t>
      </w:r>
      <w:r w:rsidR="004F7664">
        <w:t>, but in all cases</w:t>
      </w:r>
      <w:r w:rsidR="004677C4">
        <w:t>,</w:t>
      </w:r>
      <w:r w:rsidR="004F7664">
        <w:t xml:space="preserve"> indicate probable generalised anxiety disorder (GAD-7</w:t>
      </w:r>
      <w:r w:rsidR="004F7664" w:rsidRPr="004F7664">
        <w:rPr>
          <w:u w:val="single"/>
        </w:rPr>
        <w:t>&gt;</w:t>
      </w:r>
      <w:r w:rsidR="004F7664">
        <w:t>10).</w:t>
      </w:r>
    </w:p>
    <w:p w14:paraId="0DE7EC26" w14:textId="7EA88E55" w:rsidR="00617405" w:rsidRDefault="00617405" w:rsidP="00990DBA">
      <w:pPr>
        <w:pStyle w:val="ANorm"/>
        <w:spacing w:after="200"/>
      </w:pPr>
      <w:r>
        <w:t xml:space="preserve">Second, data for </w:t>
      </w:r>
      <w:proofErr w:type="spellStart"/>
      <w:r w:rsidR="007640E0">
        <w:t>MindSpot</w:t>
      </w:r>
      <w:proofErr w:type="spellEnd"/>
      <w:r w:rsidR="007640E0">
        <w:t xml:space="preserve">, THIS WAY UP and </w:t>
      </w:r>
      <w:r>
        <w:t xml:space="preserve">most comparators were collected as part of routine care. However, </w:t>
      </w:r>
      <w:r w:rsidR="0079745A">
        <w:t xml:space="preserve">because Mental Health Online does not routinely collect outcome data, </w:t>
      </w:r>
      <w:r w:rsidR="00306E08">
        <w:t xml:space="preserve">as mentioned in Section 4.3, </w:t>
      </w:r>
      <w:r w:rsidR="0079745A">
        <w:t xml:space="preserve">we used </w:t>
      </w:r>
      <w:r w:rsidR="004D3102">
        <w:t xml:space="preserve">data </w:t>
      </w:r>
      <w:r w:rsidR="006253BC">
        <w:t xml:space="preserve">they collected for a discrete evaluation and extracted </w:t>
      </w:r>
      <w:r w:rsidR="00952698">
        <w:t xml:space="preserve">data </w:t>
      </w:r>
      <w:r w:rsidR="00F73EFC">
        <w:t xml:space="preserve">from several of their published </w:t>
      </w:r>
      <w:r w:rsidR="00E51CA2">
        <w:t xml:space="preserve">pre-implementation </w:t>
      </w:r>
      <w:r w:rsidR="00F73EFC">
        <w:t>studies (</w:t>
      </w:r>
      <w:r w:rsidR="00E51CA2">
        <w:t>various designs</w:t>
      </w:r>
      <w:r w:rsidR="00F73EFC">
        <w:t>)</w:t>
      </w:r>
      <w:r w:rsidR="0079745A">
        <w:t xml:space="preserve"> to generate pooled effect sizes for </w:t>
      </w:r>
      <w:r w:rsidR="00306E08">
        <w:t xml:space="preserve">their </w:t>
      </w:r>
      <w:r w:rsidR="0079745A">
        <w:t xml:space="preserve">therapist-supported </w:t>
      </w:r>
      <w:r w:rsidR="00306E08">
        <w:t xml:space="preserve">and self-directed </w:t>
      </w:r>
      <w:r w:rsidR="0079745A">
        <w:t>treatments</w:t>
      </w:r>
      <w:r w:rsidR="00D714D3">
        <w:t xml:space="preserve">. The </w:t>
      </w:r>
      <w:r>
        <w:t xml:space="preserve">primary care patients comprising the three Link-me treatment </w:t>
      </w:r>
      <w:r w:rsidR="007640E0">
        <w:t xml:space="preserve">as usual control groups </w:t>
      </w:r>
      <w:r>
        <w:t>were</w:t>
      </w:r>
      <w:r w:rsidR="007640E0">
        <w:t xml:space="preserve"> </w:t>
      </w:r>
      <w:r w:rsidR="00734ADA">
        <w:t>invited</w:t>
      </w:r>
      <w:r w:rsidR="00953DCC">
        <w:t xml:space="preserve"> by </w:t>
      </w:r>
      <w:r w:rsidR="00814C2B">
        <w:t>RCT</w:t>
      </w:r>
      <w:r w:rsidR="00953DCC">
        <w:t xml:space="preserve"> </w:t>
      </w:r>
      <w:r w:rsidR="00734ADA">
        <w:t xml:space="preserve">or practice </w:t>
      </w:r>
      <w:r w:rsidR="00953DCC">
        <w:t>staff</w:t>
      </w:r>
      <w:r w:rsidR="00734ADA">
        <w:t xml:space="preserve"> (while attending </w:t>
      </w:r>
      <w:r w:rsidR="00B526E0">
        <w:t xml:space="preserve">selected </w:t>
      </w:r>
      <w:r w:rsidR="00734ADA">
        <w:t xml:space="preserve">general practices </w:t>
      </w:r>
      <w:r w:rsidR="00B526E0">
        <w:t xml:space="preserve">in NSW, </w:t>
      </w:r>
      <w:proofErr w:type="gramStart"/>
      <w:r w:rsidR="00B526E0">
        <w:t>Victoria</w:t>
      </w:r>
      <w:proofErr w:type="gramEnd"/>
      <w:r w:rsidR="00B526E0">
        <w:t xml:space="preserve"> and Queensland </w:t>
      </w:r>
      <w:r w:rsidR="00734ADA">
        <w:t xml:space="preserve">for any reason) to trial a Decision Support Tool (Link-me) </w:t>
      </w:r>
      <w:r w:rsidR="0004799C">
        <w:t>that</w:t>
      </w:r>
      <w:r w:rsidR="00734ADA">
        <w:t xml:space="preserve"> guide</w:t>
      </w:r>
      <w:r w:rsidR="0004799C">
        <w:t>d</w:t>
      </w:r>
      <w:r w:rsidR="00734ADA">
        <w:t xml:space="preserve"> </w:t>
      </w:r>
      <w:r w:rsidR="000D4C8E">
        <w:t>stepped</w:t>
      </w:r>
      <w:r w:rsidR="00734ADA">
        <w:t xml:space="preserve"> </w:t>
      </w:r>
      <w:r w:rsidR="00DA762B">
        <w:t xml:space="preserve">primary </w:t>
      </w:r>
      <w:r w:rsidR="00734ADA">
        <w:t>mental health care</w:t>
      </w:r>
      <w:r w:rsidR="007640E0">
        <w:t>.</w:t>
      </w:r>
      <w:r w:rsidR="00D714D3" w:rsidRPr="00D714D3">
        <w:t xml:space="preserve"> </w:t>
      </w:r>
      <w:r w:rsidR="00734ADA">
        <w:t xml:space="preserve">They </w:t>
      </w:r>
      <w:r w:rsidR="00D714D3">
        <w:t xml:space="preserve">were eligible for the trial if they reported </w:t>
      </w:r>
      <w:r w:rsidR="00734ADA">
        <w:t>any</w:t>
      </w:r>
      <w:r w:rsidR="00D714D3">
        <w:t xml:space="preserve"> mental health need, indicated by current depressive</w:t>
      </w:r>
      <w:r w:rsidR="00734ADA">
        <w:t xml:space="preserve"> </w:t>
      </w:r>
      <w:r w:rsidR="00D714D3">
        <w:t>or anxiety symptoms (a score of 2 or more on the two-item</w:t>
      </w:r>
      <w:r w:rsidR="00734ADA">
        <w:t xml:space="preserve"> </w:t>
      </w:r>
      <w:r w:rsidR="00D714D3">
        <w:t xml:space="preserve">version of the </w:t>
      </w:r>
      <w:r w:rsidR="00814C2B">
        <w:t>PHQ</w:t>
      </w:r>
      <w:r w:rsidR="00D714D3">
        <w:t xml:space="preserve"> or the two</w:t>
      </w:r>
      <w:r w:rsidR="0079745A">
        <w:t xml:space="preserve"> </w:t>
      </w:r>
      <w:r w:rsidR="00D714D3">
        <w:t>item</w:t>
      </w:r>
      <w:r w:rsidR="0079745A">
        <w:t xml:space="preserve"> </w:t>
      </w:r>
      <w:r w:rsidR="00814C2B">
        <w:t>GAD</w:t>
      </w:r>
      <w:r w:rsidR="00D714D3">
        <w:t xml:space="preserve"> scale) or current use</w:t>
      </w:r>
      <w:r w:rsidR="0079745A">
        <w:t xml:space="preserve"> </w:t>
      </w:r>
      <w:r w:rsidR="00D714D3">
        <w:t>of medication for their mental health.</w:t>
      </w:r>
      <w:r w:rsidR="007640E0">
        <w:t xml:space="preserve"> </w:t>
      </w:r>
      <w:r w:rsidR="00D714D3">
        <w:t>Participants in the Better Access evaluation were recruited</w:t>
      </w:r>
      <w:r w:rsidR="005D0D14">
        <w:t xml:space="preserve"> </w:t>
      </w:r>
      <w:r w:rsidR="00814C2B">
        <w:t xml:space="preserve">using </w:t>
      </w:r>
      <w:r w:rsidR="00814C2B">
        <w:rPr>
          <w:lang w:val="en-GB"/>
        </w:rPr>
        <w:t>t</w:t>
      </w:r>
      <w:r w:rsidR="005D0D14" w:rsidRPr="005D0D14">
        <w:rPr>
          <w:lang w:val="en-GB"/>
        </w:rPr>
        <w:t>he Medical Benefits Division of the Department of</w:t>
      </w:r>
      <w:r w:rsidR="00814C2B">
        <w:t xml:space="preserve"> </w:t>
      </w:r>
      <w:r w:rsidR="005D0D14" w:rsidRPr="005D0D14">
        <w:rPr>
          <w:lang w:val="en-GB"/>
        </w:rPr>
        <w:t>Health and Ageing</w:t>
      </w:r>
      <w:r w:rsidR="00DC60BE">
        <w:rPr>
          <w:lang w:val="en-GB"/>
        </w:rPr>
        <w:t>,</w:t>
      </w:r>
      <w:r w:rsidR="005D0D14" w:rsidRPr="005D0D14">
        <w:rPr>
          <w:lang w:val="en-GB"/>
        </w:rPr>
        <w:t xml:space="preserve"> act</w:t>
      </w:r>
      <w:r w:rsidR="00814C2B">
        <w:rPr>
          <w:lang w:val="en-GB"/>
        </w:rPr>
        <w:t xml:space="preserve">ing </w:t>
      </w:r>
      <w:r w:rsidR="005D0D14" w:rsidRPr="005D0D14">
        <w:rPr>
          <w:lang w:val="en-GB"/>
        </w:rPr>
        <w:t>as an intermediary in the recruitment</w:t>
      </w:r>
      <w:r w:rsidR="00814C2B">
        <w:t xml:space="preserve"> </w:t>
      </w:r>
      <w:r w:rsidR="005D0D14" w:rsidRPr="005D0D14">
        <w:rPr>
          <w:lang w:val="en-GB"/>
        </w:rPr>
        <w:t xml:space="preserve">of </w:t>
      </w:r>
      <w:r w:rsidR="00814C2B">
        <w:rPr>
          <w:lang w:val="en-GB"/>
        </w:rPr>
        <w:t xml:space="preserve">random samples of </w:t>
      </w:r>
      <w:r w:rsidR="005D0D14" w:rsidRPr="005D0D14">
        <w:rPr>
          <w:lang w:val="en-GB"/>
        </w:rPr>
        <w:t>psychologists and GPs</w:t>
      </w:r>
      <w:r w:rsidR="00814C2B">
        <w:rPr>
          <w:lang w:val="en-GB"/>
        </w:rPr>
        <w:t xml:space="preserve"> </w:t>
      </w:r>
      <w:r w:rsidR="00814C2B" w:rsidRPr="005D0D14">
        <w:rPr>
          <w:lang w:val="en-GB"/>
        </w:rPr>
        <w:t>who billed for at least 100 occasions</w:t>
      </w:r>
      <w:r w:rsidR="00814C2B">
        <w:rPr>
          <w:lang w:val="en-GB"/>
        </w:rPr>
        <w:t xml:space="preserve"> </w:t>
      </w:r>
      <w:r w:rsidR="00814C2B" w:rsidRPr="005D0D14">
        <w:rPr>
          <w:lang w:val="en-GB"/>
        </w:rPr>
        <w:t>of service under the Better Access item numbers in 2008.</w:t>
      </w:r>
      <w:r w:rsidR="00A0082A">
        <w:rPr>
          <w:lang w:val="en-GB"/>
        </w:rPr>
        <w:t xml:space="preserve"> </w:t>
      </w:r>
      <w:r w:rsidR="005D0D14" w:rsidRPr="005D0D14">
        <w:rPr>
          <w:lang w:val="en-GB"/>
        </w:rPr>
        <w:t xml:space="preserve">Participating providers </w:t>
      </w:r>
      <w:r w:rsidR="00A0082A">
        <w:rPr>
          <w:lang w:val="en-GB"/>
        </w:rPr>
        <w:t xml:space="preserve">then </w:t>
      </w:r>
      <w:r w:rsidR="005D0D14" w:rsidRPr="005D0D14">
        <w:rPr>
          <w:lang w:val="en-GB"/>
        </w:rPr>
        <w:t>acted as intermediaries and</w:t>
      </w:r>
      <w:r w:rsidR="00A0082A">
        <w:rPr>
          <w:lang w:val="en-GB"/>
        </w:rPr>
        <w:t xml:space="preserve"> </w:t>
      </w:r>
      <w:r w:rsidR="005D0D14" w:rsidRPr="005D0D14">
        <w:rPr>
          <w:lang w:val="en-GB"/>
        </w:rPr>
        <w:t xml:space="preserve">were asked to recruit their </w:t>
      </w:r>
      <w:r w:rsidR="00C5090B">
        <w:rPr>
          <w:lang w:val="en-GB"/>
        </w:rPr>
        <w:t xml:space="preserve">subsequent </w:t>
      </w:r>
      <w:r w:rsidR="005D0D14" w:rsidRPr="005D0D14">
        <w:rPr>
          <w:lang w:val="en-GB"/>
        </w:rPr>
        <w:t>5</w:t>
      </w:r>
      <w:r w:rsidR="00A0082A">
        <w:rPr>
          <w:lang w:val="en-GB"/>
        </w:rPr>
        <w:t>-</w:t>
      </w:r>
      <w:r w:rsidR="005D0D14" w:rsidRPr="005D0D14">
        <w:rPr>
          <w:lang w:val="en-GB"/>
        </w:rPr>
        <w:t>10 English-speaking</w:t>
      </w:r>
      <w:r w:rsidR="00A0082A">
        <w:rPr>
          <w:lang w:val="en-GB"/>
        </w:rPr>
        <w:t xml:space="preserve"> </w:t>
      </w:r>
      <w:r w:rsidR="005D0D14" w:rsidRPr="005D0D14">
        <w:rPr>
          <w:lang w:val="en-GB"/>
        </w:rPr>
        <w:t xml:space="preserve">patients </w:t>
      </w:r>
      <w:r w:rsidR="00A0082A">
        <w:rPr>
          <w:lang w:val="en-GB"/>
        </w:rPr>
        <w:t>at the commencement of</w:t>
      </w:r>
      <w:r w:rsidR="005D0D14" w:rsidRPr="005D0D14">
        <w:rPr>
          <w:lang w:val="en-GB"/>
        </w:rPr>
        <w:t xml:space="preserve"> services partially</w:t>
      </w:r>
      <w:r w:rsidR="00A0082A">
        <w:rPr>
          <w:lang w:val="en-GB"/>
        </w:rPr>
        <w:t xml:space="preserve"> </w:t>
      </w:r>
      <w:r w:rsidR="005D0D14" w:rsidRPr="005D0D14">
        <w:rPr>
          <w:lang w:val="en-GB"/>
        </w:rPr>
        <w:t>or fully funded through the MBS item numbers.</w:t>
      </w:r>
    </w:p>
    <w:p w14:paraId="3D092636" w14:textId="77777777" w:rsidR="001F51B2" w:rsidRDefault="001F51B2" w:rsidP="00883525">
      <w:pPr>
        <w:pStyle w:val="ANorm"/>
        <w:rPr>
          <w:i/>
          <w:iCs/>
        </w:rPr>
      </w:pPr>
    </w:p>
    <w:p w14:paraId="730F4E5A" w14:textId="77777777" w:rsidR="00883525" w:rsidRDefault="00883525" w:rsidP="00883525">
      <w:pPr>
        <w:pStyle w:val="ANorm"/>
        <w:rPr>
          <w:i/>
          <w:iCs/>
        </w:rPr>
        <w:sectPr w:rsidR="00883525" w:rsidSect="00E81E3F">
          <w:pgSz w:w="11906" w:h="16838"/>
          <w:pgMar w:top="1440" w:right="1080" w:bottom="1440" w:left="1080" w:header="708" w:footer="708" w:gutter="0"/>
          <w:cols w:space="708"/>
          <w:docGrid w:linePitch="360"/>
        </w:sectPr>
      </w:pPr>
    </w:p>
    <w:p w14:paraId="2D3DCB8E" w14:textId="513FF8DD" w:rsidR="00883525" w:rsidRPr="00031167" w:rsidRDefault="00883525" w:rsidP="00883525">
      <w:pPr>
        <w:pStyle w:val="tableheading"/>
      </w:pPr>
      <w:r w:rsidRPr="009D5661">
        <w:lastRenderedPageBreak/>
        <w:t xml:space="preserve">Table </w:t>
      </w:r>
      <w:r w:rsidR="009D5661" w:rsidRPr="009D5661">
        <w:t>21</w:t>
      </w:r>
      <w:r w:rsidRPr="009D5661">
        <w:t>. Outcome data for comparator mental health treatments</w:t>
      </w:r>
    </w:p>
    <w:tbl>
      <w:tblPr>
        <w:tblStyle w:val="TableGrid"/>
        <w:tblW w:w="0" w:type="auto"/>
        <w:tblInd w:w="-147" w:type="dxa"/>
        <w:tblLook w:val="04A0" w:firstRow="1" w:lastRow="0" w:firstColumn="1" w:lastColumn="0" w:noHBand="0" w:noVBand="1"/>
        <w:tblCaption w:val="Table 21. Outcome data for comparator mental health treatments"/>
        <w:tblDescription w:val="Table describing Outcome data for comparator mental health treatments"/>
      </w:tblPr>
      <w:tblGrid>
        <w:gridCol w:w="1222"/>
        <w:gridCol w:w="180"/>
        <w:gridCol w:w="7560"/>
        <w:gridCol w:w="810"/>
        <w:gridCol w:w="810"/>
        <w:gridCol w:w="771"/>
        <w:gridCol w:w="759"/>
        <w:gridCol w:w="720"/>
        <w:gridCol w:w="763"/>
        <w:gridCol w:w="500"/>
      </w:tblGrid>
      <w:tr w:rsidR="006D74C1" w:rsidRPr="005723DA" w14:paraId="59232233" w14:textId="77777777" w:rsidTr="007530CA">
        <w:trPr>
          <w:trHeight w:val="395"/>
          <w:tblHeader/>
        </w:trPr>
        <w:tc>
          <w:tcPr>
            <w:tcW w:w="1402" w:type="dxa"/>
            <w:gridSpan w:val="2"/>
            <w:tcBorders>
              <w:bottom w:val="single" w:sz="4" w:space="0" w:color="auto"/>
            </w:tcBorders>
            <w:shd w:val="clear" w:color="auto" w:fill="000000" w:themeFill="text1"/>
            <w:noWrap/>
            <w:vAlign w:val="center"/>
            <w:hideMark/>
          </w:tcPr>
          <w:p w14:paraId="36B6DFFA" w14:textId="77777777" w:rsidR="00883525" w:rsidRPr="007530CA" w:rsidRDefault="00883525">
            <w:pPr>
              <w:pStyle w:val="ANorm"/>
              <w:jc w:val="center"/>
              <w:rPr>
                <w:b/>
                <w:color w:val="FFFFFF" w:themeColor="background1"/>
                <w:sz w:val="14"/>
                <w:szCs w:val="14"/>
              </w:rPr>
            </w:pPr>
            <w:r w:rsidRPr="007530CA">
              <w:rPr>
                <w:b/>
                <w:color w:val="FFFFFF" w:themeColor="background1"/>
                <w:sz w:val="14"/>
                <w:szCs w:val="14"/>
              </w:rPr>
              <w:t>Comparator</w:t>
            </w:r>
          </w:p>
        </w:tc>
        <w:tc>
          <w:tcPr>
            <w:tcW w:w="7560" w:type="dxa"/>
            <w:tcBorders>
              <w:bottom w:val="single" w:sz="4" w:space="0" w:color="auto"/>
            </w:tcBorders>
            <w:shd w:val="clear" w:color="auto" w:fill="000000" w:themeFill="text1"/>
            <w:vAlign w:val="center"/>
          </w:tcPr>
          <w:p w14:paraId="20BB480C" w14:textId="77777777" w:rsidR="00883525" w:rsidRPr="007530CA" w:rsidRDefault="00883525">
            <w:pPr>
              <w:pStyle w:val="ANorm"/>
              <w:jc w:val="center"/>
              <w:rPr>
                <w:color w:val="FFFFFF" w:themeColor="background1"/>
                <w:sz w:val="14"/>
                <w:szCs w:val="14"/>
              </w:rPr>
            </w:pPr>
            <w:r w:rsidRPr="007530CA">
              <w:rPr>
                <w:color w:val="FFFFFF" w:themeColor="background1"/>
                <w:sz w:val="14"/>
                <w:szCs w:val="14"/>
              </w:rPr>
              <w:t>Treatment description and data collection period</w:t>
            </w:r>
          </w:p>
        </w:tc>
        <w:tc>
          <w:tcPr>
            <w:tcW w:w="810" w:type="dxa"/>
            <w:tcBorders>
              <w:bottom w:val="single" w:sz="4" w:space="0" w:color="auto"/>
            </w:tcBorders>
            <w:shd w:val="clear" w:color="auto" w:fill="000000" w:themeFill="text1"/>
            <w:vAlign w:val="center"/>
            <w:hideMark/>
          </w:tcPr>
          <w:p w14:paraId="4BC7C01D" w14:textId="77777777" w:rsidR="00883525" w:rsidRPr="007530CA" w:rsidRDefault="00883525">
            <w:pPr>
              <w:pStyle w:val="ANorm"/>
              <w:jc w:val="center"/>
              <w:rPr>
                <w:color w:val="FFFFFF" w:themeColor="background1"/>
                <w:sz w:val="14"/>
                <w:szCs w:val="14"/>
              </w:rPr>
            </w:pPr>
            <w:r w:rsidRPr="007530CA">
              <w:rPr>
                <w:color w:val="FFFFFF" w:themeColor="background1"/>
                <w:sz w:val="14"/>
                <w:szCs w:val="14"/>
              </w:rPr>
              <w:t>Outcome</w:t>
            </w:r>
          </w:p>
          <w:p w14:paraId="4921E483" w14:textId="77777777" w:rsidR="00883525" w:rsidRPr="007530CA" w:rsidRDefault="00883525">
            <w:pPr>
              <w:pStyle w:val="ANorm"/>
              <w:jc w:val="center"/>
              <w:rPr>
                <w:color w:val="FFFFFF" w:themeColor="background1"/>
                <w:sz w:val="14"/>
                <w:szCs w:val="14"/>
              </w:rPr>
            </w:pPr>
            <w:r w:rsidRPr="007530CA">
              <w:rPr>
                <w:color w:val="FFFFFF" w:themeColor="background1"/>
                <w:sz w:val="14"/>
                <w:szCs w:val="14"/>
              </w:rPr>
              <w:t>measure</w:t>
            </w:r>
          </w:p>
        </w:tc>
        <w:tc>
          <w:tcPr>
            <w:tcW w:w="810" w:type="dxa"/>
            <w:tcBorders>
              <w:bottom w:val="single" w:sz="4" w:space="0" w:color="auto"/>
            </w:tcBorders>
            <w:shd w:val="clear" w:color="auto" w:fill="000000" w:themeFill="text1"/>
            <w:vAlign w:val="center"/>
            <w:hideMark/>
          </w:tcPr>
          <w:p w14:paraId="34485679" w14:textId="77777777" w:rsidR="00883525" w:rsidRPr="007530CA" w:rsidRDefault="00883525">
            <w:pPr>
              <w:pStyle w:val="ANorm"/>
              <w:jc w:val="center"/>
              <w:rPr>
                <w:color w:val="FFFFFF" w:themeColor="background1"/>
                <w:sz w:val="14"/>
                <w:szCs w:val="14"/>
              </w:rPr>
            </w:pPr>
            <w:r w:rsidRPr="007530CA">
              <w:rPr>
                <w:color w:val="FFFFFF" w:themeColor="background1"/>
                <w:sz w:val="14"/>
                <w:szCs w:val="14"/>
              </w:rPr>
              <w:t>Baseline N</w:t>
            </w:r>
          </w:p>
        </w:tc>
        <w:tc>
          <w:tcPr>
            <w:tcW w:w="771" w:type="dxa"/>
            <w:tcBorders>
              <w:bottom w:val="single" w:sz="4" w:space="0" w:color="auto"/>
            </w:tcBorders>
            <w:shd w:val="clear" w:color="auto" w:fill="000000" w:themeFill="text1"/>
            <w:vAlign w:val="center"/>
            <w:hideMark/>
          </w:tcPr>
          <w:p w14:paraId="562A347A" w14:textId="77777777" w:rsidR="00883525" w:rsidRPr="007530CA" w:rsidRDefault="00883525">
            <w:pPr>
              <w:pStyle w:val="ANorm"/>
              <w:jc w:val="center"/>
              <w:rPr>
                <w:color w:val="FFFFFF" w:themeColor="background1"/>
                <w:sz w:val="14"/>
                <w:szCs w:val="14"/>
              </w:rPr>
            </w:pPr>
            <w:r w:rsidRPr="007530CA">
              <w:rPr>
                <w:color w:val="FFFFFF" w:themeColor="background1"/>
                <w:sz w:val="14"/>
                <w:szCs w:val="14"/>
              </w:rPr>
              <w:t>Baseline M</w:t>
            </w:r>
          </w:p>
        </w:tc>
        <w:tc>
          <w:tcPr>
            <w:tcW w:w="759" w:type="dxa"/>
            <w:tcBorders>
              <w:bottom w:val="single" w:sz="4" w:space="0" w:color="auto"/>
            </w:tcBorders>
            <w:shd w:val="clear" w:color="auto" w:fill="000000" w:themeFill="text1"/>
            <w:vAlign w:val="center"/>
            <w:hideMark/>
          </w:tcPr>
          <w:p w14:paraId="2C2C01F7" w14:textId="77777777" w:rsidR="00883525" w:rsidRPr="007530CA" w:rsidRDefault="00883525">
            <w:pPr>
              <w:pStyle w:val="ANorm"/>
              <w:jc w:val="center"/>
              <w:rPr>
                <w:color w:val="FFFFFF" w:themeColor="background1"/>
                <w:sz w:val="14"/>
                <w:szCs w:val="14"/>
              </w:rPr>
            </w:pPr>
            <w:r w:rsidRPr="007530CA">
              <w:rPr>
                <w:color w:val="FFFFFF" w:themeColor="background1"/>
                <w:sz w:val="14"/>
                <w:szCs w:val="14"/>
              </w:rPr>
              <w:t>Baseline SD</w:t>
            </w:r>
          </w:p>
        </w:tc>
        <w:tc>
          <w:tcPr>
            <w:tcW w:w="720" w:type="dxa"/>
            <w:tcBorders>
              <w:bottom w:val="single" w:sz="4" w:space="0" w:color="auto"/>
            </w:tcBorders>
            <w:shd w:val="clear" w:color="auto" w:fill="000000" w:themeFill="text1"/>
            <w:vAlign w:val="center"/>
            <w:hideMark/>
          </w:tcPr>
          <w:p w14:paraId="2F542BCF" w14:textId="77777777" w:rsidR="00883525" w:rsidRPr="007530CA" w:rsidRDefault="00883525">
            <w:pPr>
              <w:pStyle w:val="ANorm"/>
              <w:jc w:val="center"/>
              <w:rPr>
                <w:color w:val="FFFFFF" w:themeColor="background1"/>
                <w:sz w:val="14"/>
                <w:szCs w:val="14"/>
              </w:rPr>
            </w:pPr>
            <w:r w:rsidRPr="007530CA">
              <w:rPr>
                <w:color w:val="FFFFFF" w:themeColor="background1"/>
                <w:sz w:val="14"/>
                <w:szCs w:val="14"/>
              </w:rPr>
              <w:t>Post N</w:t>
            </w:r>
          </w:p>
        </w:tc>
        <w:tc>
          <w:tcPr>
            <w:tcW w:w="763" w:type="dxa"/>
            <w:tcBorders>
              <w:bottom w:val="single" w:sz="4" w:space="0" w:color="auto"/>
            </w:tcBorders>
            <w:shd w:val="clear" w:color="auto" w:fill="000000" w:themeFill="text1"/>
            <w:vAlign w:val="center"/>
            <w:hideMark/>
          </w:tcPr>
          <w:p w14:paraId="4B217E30" w14:textId="77777777" w:rsidR="00883525" w:rsidRPr="007530CA" w:rsidRDefault="00883525">
            <w:pPr>
              <w:pStyle w:val="ANorm"/>
              <w:jc w:val="center"/>
              <w:rPr>
                <w:color w:val="FFFFFF" w:themeColor="background1"/>
                <w:sz w:val="14"/>
                <w:szCs w:val="14"/>
              </w:rPr>
            </w:pPr>
            <w:r w:rsidRPr="007530CA">
              <w:rPr>
                <w:color w:val="FFFFFF" w:themeColor="background1"/>
                <w:sz w:val="14"/>
                <w:szCs w:val="14"/>
              </w:rPr>
              <w:t>Post M</w:t>
            </w:r>
          </w:p>
          <w:p w14:paraId="5EF2D70B" w14:textId="77777777" w:rsidR="00883525" w:rsidRPr="007530CA" w:rsidRDefault="00883525">
            <w:pPr>
              <w:pStyle w:val="ANorm"/>
              <w:jc w:val="center"/>
              <w:rPr>
                <w:color w:val="FFFFFF" w:themeColor="background1"/>
                <w:sz w:val="14"/>
                <w:szCs w:val="14"/>
              </w:rPr>
            </w:pPr>
            <w:r w:rsidRPr="007530CA">
              <w:rPr>
                <w:color w:val="FFFFFF" w:themeColor="background1"/>
                <w:sz w:val="14"/>
                <w:szCs w:val="14"/>
              </w:rPr>
              <w:t>(95% CI)</w:t>
            </w:r>
          </w:p>
        </w:tc>
        <w:tc>
          <w:tcPr>
            <w:tcW w:w="500" w:type="dxa"/>
            <w:tcBorders>
              <w:bottom w:val="single" w:sz="4" w:space="0" w:color="auto"/>
            </w:tcBorders>
            <w:shd w:val="clear" w:color="auto" w:fill="000000" w:themeFill="text1"/>
            <w:vAlign w:val="center"/>
            <w:hideMark/>
          </w:tcPr>
          <w:p w14:paraId="2530B882" w14:textId="77777777" w:rsidR="00883525" w:rsidRPr="007530CA" w:rsidRDefault="00883525">
            <w:pPr>
              <w:pStyle w:val="ANorm"/>
              <w:jc w:val="center"/>
              <w:rPr>
                <w:color w:val="FFFFFF" w:themeColor="background1"/>
                <w:sz w:val="14"/>
                <w:szCs w:val="14"/>
              </w:rPr>
            </w:pPr>
            <w:r w:rsidRPr="007530CA">
              <w:rPr>
                <w:color w:val="FFFFFF" w:themeColor="background1"/>
                <w:sz w:val="14"/>
                <w:szCs w:val="14"/>
              </w:rPr>
              <w:t>Post SD</w:t>
            </w:r>
          </w:p>
        </w:tc>
      </w:tr>
      <w:tr w:rsidR="006D74C1" w:rsidRPr="005723DA" w14:paraId="187B4B6F" w14:textId="77777777" w:rsidTr="00E509E3">
        <w:trPr>
          <w:trHeight w:val="200"/>
        </w:trPr>
        <w:tc>
          <w:tcPr>
            <w:tcW w:w="8962" w:type="dxa"/>
            <w:gridSpan w:val="3"/>
            <w:tcBorders>
              <w:right w:val="nil"/>
            </w:tcBorders>
            <w:shd w:val="clear" w:color="auto" w:fill="D9D9D9" w:themeFill="background1" w:themeFillShade="D9"/>
          </w:tcPr>
          <w:p w14:paraId="33E3E99A" w14:textId="6E913628" w:rsidR="00883525" w:rsidRPr="00CE16E7" w:rsidRDefault="00B526E0">
            <w:pPr>
              <w:pStyle w:val="ANorm"/>
              <w:rPr>
                <w:sz w:val="16"/>
                <w:szCs w:val="16"/>
              </w:rPr>
            </w:pPr>
            <w:r>
              <w:rPr>
                <w:b/>
                <w:bCs/>
                <w:sz w:val="16"/>
                <w:szCs w:val="16"/>
              </w:rPr>
              <w:t>Australian l</w:t>
            </w:r>
            <w:r w:rsidR="00883525" w:rsidRPr="00CE16E7">
              <w:rPr>
                <w:b/>
                <w:bCs/>
                <w:sz w:val="16"/>
                <w:szCs w:val="16"/>
              </w:rPr>
              <w:t>ow intensity mental health care based on low intensity IAPT</w:t>
            </w:r>
          </w:p>
        </w:tc>
        <w:tc>
          <w:tcPr>
            <w:tcW w:w="1620" w:type="dxa"/>
            <w:gridSpan w:val="2"/>
            <w:tcBorders>
              <w:left w:val="nil"/>
              <w:right w:val="nil"/>
            </w:tcBorders>
            <w:shd w:val="clear" w:color="auto" w:fill="D9D9D9" w:themeFill="background1" w:themeFillShade="D9"/>
            <w:noWrap/>
          </w:tcPr>
          <w:p w14:paraId="49858213" w14:textId="77777777" w:rsidR="00883525" w:rsidRPr="005723DA" w:rsidRDefault="00883525">
            <w:pPr>
              <w:pStyle w:val="ANorm"/>
              <w:rPr>
                <w:sz w:val="16"/>
                <w:szCs w:val="16"/>
              </w:rPr>
            </w:pPr>
          </w:p>
        </w:tc>
        <w:tc>
          <w:tcPr>
            <w:tcW w:w="771" w:type="dxa"/>
            <w:tcBorders>
              <w:left w:val="nil"/>
              <w:right w:val="nil"/>
            </w:tcBorders>
            <w:shd w:val="clear" w:color="auto" w:fill="D9D9D9" w:themeFill="background1" w:themeFillShade="D9"/>
            <w:noWrap/>
          </w:tcPr>
          <w:p w14:paraId="21DBF789" w14:textId="77777777" w:rsidR="00883525" w:rsidRPr="005723DA" w:rsidRDefault="00883525">
            <w:pPr>
              <w:pStyle w:val="ANorm"/>
              <w:rPr>
                <w:sz w:val="16"/>
                <w:szCs w:val="16"/>
              </w:rPr>
            </w:pPr>
          </w:p>
        </w:tc>
        <w:tc>
          <w:tcPr>
            <w:tcW w:w="759" w:type="dxa"/>
            <w:tcBorders>
              <w:left w:val="nil"/>
              <w:right w:val="nil"/>
            </w:tcBorders>
            <w:shd w:val="clear" w:color="auto" w:fill="D9D9D9" w:themeFill="background1" w:themeFillShade="D9"/>
            <w:noWrap/>
          </w:tcPr>
          <w:p w14:paraId="0EB3F413" w14:textId="77777777" w:rsidR="00883525" w:rsidRPr="005723DA" w:rsidRDefault="00883525">
            <w:pPr>
              <w:pStyle w:val="ANorm"/>
              <w:rPr>
                <w:sz w:val="16"/>
                <w:szCs w:val="16"/>
              </w:rPr>
            </w:pPr>
          </w:p>
        </w:tc>
        <w:tc>
          <w:tcPr>
            <w:tcW w:w="720" w:type="dxa"/>
            <w:tcBorders>
              <w:left w:val="nil"/>
              <w:right w:val="nil"/>
            </w:tcBorders>
            <w:shd w:val="clear" w:color="auto" w:fill="D9D9D9" w:themeFill="background1" w:themeFillShade="D9"/>
            <w:noWrap/>
          </w:tcPr>
          <w:p w14:paraId="28A74450" w14:textId="77777777" w:rsidR="00883525" w:rsidRPr="005723DA" w:rsidRDefault="00883525">
            <w:pPr>
              <w:pStyle w:val="ANorm"/>
              <w:rPr>
                <w:sz w:val="16"/>
                <w:szCs w:val="16"/>
              </w:rPr>
            </w:pPr>
          </w:p>
        </w:tc>
        <w:tc>
          <w:tcPr>
            <w:tcW w:w="763" w:type="dxa"/>
            <w:tcBorders>
              <w:left w:val="nil"/>
              <w:right w:val="nil"/>
            </w:tcBorders>
            <w:shd w:val="clear" w:color="auto" w:fill="D9D9D9" w:themeFill="background1" w:themeFillShade="D9"/>
            <w:noWrap/>
          </w:tcPr>
          <w:p w14:paraId="33F46883" w14:textId="77777777" w:rsidR="00883525" w:rsidRPr="005723DA" w:rsidRDefault="00883525">
            <w:pPr>
              <w:pStyle w:val="ANorm"/>
              <w:rPr>
                <w:sz w:val="16"/>
                <w:szCs w:val="16"/>
              </w:rPr>
            </w:pPr>
          </w:p>
        </w:tc>
        <w:tc>
          <w:tcPr>
            <w:tcW w:w="500" w:type="dxa"/>
            <w:tcBorders>
              <w:left w:val="nil"/>
              <w:right w:val="single" w:sz="4" w:space="0" w:color="auto"/>
            </w:tcBorders>
            <w:shd w:val="clear" w:color="auto" w:fill="D9D9D9" w:themeFill="background1" w:themeFillShade="D9"/>
            <w:noWrap/>
          </w:tcPr>
          <w:p w14:paraId="425A2CF3" w14:textId="77777777" w:rsidR="00883525" w:rsidRPr="005723DA" w:rsidRDefault="00883525">
            <w:pPr>
              <w:pStyle w:val="ANorm"/>
              <w:rPr>
                <w:sz w:val="16"/>
                <w:szCs w:val="16"/>
              </w:rPr>
            </w:pPr>
          </w:p>
        </w:tc>
      </w:tr>
      <w:tr w:rsidR="00035CCE" w:rsidRPr="005723DA" w14:paraId="1213B8A5" w14:textId="77777777" w:rsidTr="00E509E3">
        <w:trPr>
          <w:trHeight w:val="416"/>
        </w:trPr>
        <w:tc>
          <w:tcPr>
            <w:tcW w:w="1222" w:type="dxa"/>
          </w:tcPr>
          <w:p w14:paraId="4D099D0B" w14:textId="68F7F654" w:rsidR="00883525" w:rsidRPr="005723DA" w:rsidRDefault="00883525">
            <w:pPr>
              <w:pStyle w:val="ANorm"/>
              <w:rPr>
                <w:sz w:val="16"/>
                <w:szCs w:val="16"/>
                <w:highlight w:val="yellow"/>
              </w:rPr>
            </w:pPr>
            <w:r w:rsidRPr="00CE16E7">
              <w:rPr>
                <w:sz w:val="16"/>
                <w:szCs w:val="16"/>
              </w:rPr>
              <w:t xml:space="preserve">New Access (Baigent </w:t>
            </w:r>
            <w:r w:rsidR="0065750D">
              <w:rPr>
                <w:sz w:val="16"/>
                <w:szCs w:val="16"/>
              </w:rPr>
              <w:t>et al</w:t>
            </w:r>
            <w:r w:rsidRPr="00CE16E7">
              <w:rPr>
                <w:sz w:val="16"/>
                <w:szCs w:val="16"/>
              </w:rPr>
              <w:t xml:space="preserve"> 2020)</w:t>
            </w:r>
            <w:r w:rsidRPr="00CE16E7">
              <w:rPr>
                <w:sz w:val="16"/>
                <w:szCs w:val="16"/>
              </w:rPr>
              <w:fldChar w:fldCharType="begin"/>
            </w:r>
            <w:r w:rsidR="004469A2">
              <w:rPr>
                <w:sz w:val="16"/>
                <w:szCs w:val="16"/>
              </w:rPr>
              <w:instrText xml:space="preserve"> ADDIN EN.CITE &lt;EndNote&gt;&lt;Cite&gt;&lt;Author&gt;Baigent&lt;/Author&gt;&lt;Year&gt;2020&lt;/Year&gt;&lt;RecNum&gt;186&lt;/RecNum&gt;&lt;DisplayText&gt;&lt;style face="superscript"&gt;73&lt;/style&gt;&lt;/DisplayText&gt;&lt;record&gt;&lt;rec-number&gt;186&lt;/rec-number&gt;&lt;foreign-keys&gt;&lt;key app="EN" db-id="dawtr0zrkrzfa5edzzlpe2we0xa00t90vvr2" timestamp="1655334676"&gt;186&lt;/key&gt;&lt;/foreign-keys&gt;&lt;ref-type name="Journal Article"&gt;17&lt;/ref-type&gt;&lt;contributors&gt;&lt;authors&gt;&lt;author&gt;Baigent, Michael&lt;/author&gt;&lt;author&gt;Smith, David&lt;/author&gt;&lt;author&gt;Battersby, Malcolm&lt;/author&gt;&lt;author&gt;Lawn, Sharon&lt;/author&gt;&lt;author&gt;Redpath, Paula&lt;/author&gt;&lt;author&gt;McCoy, Alicia&lt;/author&gt;&lt;/authors&gt;&lt;/contributors&gt;&lt;titles&gt;&lt;title&gt;The Australian version of IAPT: Clinical outcomes of the multi-site cohort study of NewAccess&lt;/title&gt;&lt;secondary-title&gt;Journal of Mental Health&lt;/secondary-title&gt;&lt;/titles&gt;&lt;periodical&gt;&lt;full-title&gt;Journal of Mental Health&lt;/full-title&gt;&lt;/periodical&gt;&lt;pages&gt;1-10&lt;/pages&gt;&lt;dates&gt;&lt;year&gt;2020&lt;/year&gt;&lt;/dates&gt;&lt;publisher&gt;Routledge&lt;/publisher&gt;&lt;isbn&gt;0963-8237&lt;/isbn&gt;&lt;urls&gt;&lt;related-urls&gt;&lt;url&gt;https://doi.org/10.1080/09638237.2020.1760224&lt;/url&gt;&lt;/related-urls&gt;&lt;/urls&gt;&lt;electronic-resource-num&gt;10.1080/09638237.2020.1760224&lt;/electronic-resource-num&gt;&lt;/record&gt;&lt;/Cite&gt;&lt;/EndNote&gt;</w:instrText>
            </w:r>
            <w:r w:rsidRPr="00CE16E7">
              <w:rPr>
                <w:sz w:val="16"/>
                <w:szCs w:val="16"/>
              </w:rPr>
              <w:fldChar w:fldCharType="separate"/>
            </w:r>
            <w:r w:rsidR="004469A2" w:rsidRPr="004469A2">
              <w:rPr>
                <w:noProof/>
                <w:sz w:val="16"/>
                <w:szCs w:val="16"/>
                <w:vertAlign w:val="superscript"/>
              </w:rPr>
              <w:t>73</w:t>
            </w:r>
            <w:r w:rsidRPr="00CE16E7">
              <w:rPr>
                <w:sz w:val="16"/>
                <w:szCs w:val="16"/>
              </w:rPr>
              <w:fldChar w:fldCharType="end"/>
            </w:r>
          </w:p>
        </w:tc>
        <w:tc>
          <w:tcPr>
            <w:tcW w:w="7740" w:type="dxa"/>
            <w:gridSpan w:val="2"/>
          </w:tcPr>
          <w:p w14:paraId="04DA7FEC" w14:textId="77777777" w:rsidR="00883525" w:rsidRPr="005723DA" w:rsidRDefault="00883525">
            <w:pPr>
              <w:pStyle w:val="ANorm"/>
              <w:rPr>
                <w:sz w:val="16"/>
                <w:szCs w:val="16"/>
              </w:rPr>
            </w:pPr>
            <w:r w:rsidRPr="005723DA">
              <w:rPr>
                <w:sz w:val="16"/>
                <w:szCs w:val="16"/>
              </w:rPr>
              <w:t>Low intensity psychological interventions for mild to moderate depression and anxiety. Six coaching sessions are provided over the phone but may be face to face in some circumstances.</w:t>
            </w:r>
            <w:r>
              <w:rPr>
                <w:sz w:val="16"/>
                <w:szCs w:val="16"/>
              </w:rPr>
              <w:t xml:space="preserve"> </w:t>
            </w:r>
            <w:r w:rsidRPr="00BF7E76">
              <w:rPr>
                <w:b/>
                <w:bCs/>
                <w:sz w:val="16"/>
                <w:szCs w:val="16"/>
              </w:rPr>
              <w:t>October 2013-October 2016</w:t>
            </w:r>
          </w:p>
        </w:tc>
        <w:tc>
          <w:tcPr>
            <w:tcW w:w="810" w:type="dxa"/>
            <w:noWrap/>
            <w:vAlign w:val="center"/>
          </w:tcPr>
          <w:p w14:paraId="4D6A3ACE" w14:textId="77777777" w:rsidR="00883525" w:rsidRPr="005723DA" w:rsidRDefault="00883525" w:rsidP="00465429">
            <w:pPr>
              <w:pStyle w:val="ANorm"/>
              <w:jc w:val="center"/>
              <w:rPr>
                <w:sz w:val="16"/>
                <w:szCs w:val="16"/>
              </w:rPr>
            </w:pPr>
            <w:r w:rsidRPr="005723DA">
              <w:rPr>
                <w:sz w:val="16"/>
                <w:szCs w:val="16"/>
              </w:rPr>
              <w:t>PHQ</w:t>
            </w:r>
            <w:r>
              <w:rPr>
                <w:sz w:val="16"/>
                <w:szCs w:val="16"/>
              </w:rPr>
              <w:t>-</w:t>
            </w:r>
            <w:r w:rsidRPr="005723DA">
              <w:rPr>
                <w:sz w:val="16"/>
                <w:szCs w:val="16"/>
              </w:rPr>
              <w:t>9</w:t>
            </w:r>
          </w:p>
        </w:tc>
        <w:tc>
          <w:tcPr>
            <w:tcW w:w="810" w:type="dxa"/>
            <w:noWrap/>
            <w:vAlign w:val="center"/>
          </w:tcPr>
          <w:p w14:paraId="7F5EC1E8" w14:textId="77777777" w:rsidR="00883525" w:rsidRPr="005723DA" w:rsidRDefault="00883525" w:rsidP="00465429">
            <w:pPr>
              <w:pStyle w:val="ANorm"/>
              <w:jc w:val="center"/>
              <w:rPr>
                <w:sz w:val="16"/>
                <w:szCs w:val="16"/>
              </w:rPr>
            </w:pPr>
            <w:r w:rsidRPr="005723DA">
              <w:rPr>
                <w:sz w:val="16"/>
                <w:szCs w:val="16"/>
              </w:rPr>
              <w:t>3579</w:t>
            </w:r>
          </w:p>
        </w:tc>
        <w:tc>
          <w:tcPr>
            <w:tcW w:w="771" w:type="dxa"/>
            <w:noWrap/>
            <w:vAlign w:val="center"/>
          </w:tcPr>
          <w:p w14:paraId="7141CFA6" w14:textId="77777777" w:rsidR="00883525" w:rsidRPr="005723DA" w:rsidRDefault="00883525" w:rsidP="00465429">
            <w:pPr>
              <w:pStyle w:val="ANorm"/>
              <w:jc w:val="center"/>
              <w:rPr>
                <w:sz w:val="16"/>
                <w:szCs w:val="16"/>
              </w:rPr>
            </w:pPr>
            <w:r w:rsidRPr="005723DA">
              <w:rPr>
                <w:sz w:val="16"/>
                <w:szCs w:val="16"/>
              </w:rPr>
              <w:t>12.7</w:t>
            </w:r>
          </w:p>
        </w:tc>
        <w:tc>
          <w:tcPr>
            <w:tcW w:w="759" w:type="dxa"/>
            <w:noWrap/>
            <w:vAlign w:val="center"/>
          </w:tcPr>
          <w:p w14:paraId="04C80294" w14:textId="77777777" w:rsidR="00883525" w:rsidRPr="005723DA" w:rsidRDefault="00883525" w:rsidP="00465429">
            <w:pPr>
              <w:pStyle w:val="ANorm"/>
              <w:jc w:val="center"/>
              <w:rPr>
                <w:sz w:val="16"/>
                <w:szCs w:val="16"/>
              </w:rPr>
            </w:pPr>
            <w:r w:rsidRPr="005723DA">
              <w:rPr>
                <w:sz w:val="16"/>
                <w:szCs w:val="16"/>
              </w:rPr>
              <w:t>0.09</w:t>
            </w:r>
          </w:p>
        </w:tc>
        <w:tc>
          <w:tcPr>
            <w:tcW w:w="720" w:type="dxa"/>
            <w:noWrap/>
            <w:vAlign w:val="center"/>
          </w:tcPr>
          <w:p w14:paraId="08179134" w14:textId="77777777" w:rsidR="00883525" w:rsidRPr="005723DA" w:rsidRDefault="00883525" w:rsidP="00465429">
            <w:pPr>
              <w:pStyle w:val="ANorm"/>
              <w:jc w:val="center"/>
              <w:rPr>
                <w:sz w:val="16"/>
                <w:szCs w:val="16"/>
              </w:rPr>
            </w:pPr>
            <w:r w:rsidRPr="005723DA">
              <w:rPr>
                <w:sz w:val="16"/>
                <w:szCs w:val="16"/>
              </w:rPr>
              <w:t>3579</w:t>
            </w:r>
          </w:p>
        </w:tc>
        <w:tc>
          <w:tcPr>
            <w:tcW w:w="763" w:type="dxa"/>
            <w:noWrap/>
            <w:vAlign w:val="center"/>
          </w:tcPr>
          <w:p w14:paraId="0B2A3C87" w14:textId="77777777" w:rsidR="00883525" w:rsidRPr="005723DA" w:rsidRDefault="00883525" w:rsidP="00465429">
            <w:pPr>
              <w:pStyle w:val="ANorm"/>
              <w:jc w:val="center"/>
              <w:rPr>
                <w:sz w:val="16"/>
                <w:szCs w:val="16"/>
              </w:rPr>
            </w:pPr>
            <w:r w:rsidRPr="005723DA">
              <w:rPr>
                <w:sz w:val="16"/>
                <w:szCs w:val="16"/>
              </w:rPr>
              <w:t>5.64</w:t>
            </w:r>
          </w:p>
        </w:tc>
        <w:tc>
          <w:tcPr>
            <w:tcW w:w="500" w:type="dxa"/>
            <w:noWrap/>
            <w:vAlign w:val="center"/>
          </w:tcPr>
          <w:p w14:paraId="6E60C934" w14:textId="2218B769" w:rsidR="00883525" w:rsidRPr="005723DA" w:rsidRDefault="008D4646" w:rsidP="00465429">
            <w:pPr>
              <w:pStyle w:val="ANorm"/>
              <w:jc w:val="center"/>
              <w:rPr>
                <w:sz w:val="16"/>
                <w:szCs w:val="16"/>
              </w:rPr>
            </w:pPr>
            <w:r>
              <w:rPr>
                <w:sz w:val="16"/>
                <w:szCs w:val="16"/>
              </w:rPr>
              <w:t>0</w:t>
            </w:r>
            <w:r w:rsidR="00883525" w:rsidRPr="005723DA">
              <w:rPr>
                <w:sz w:val="16"/>
                <w:szCs w:val="16"/>
              </w:rPr>
              <w:t>.09</w:t>
            </w:r>
          </w:p>
        </w:tc>
      </w:tr>
      <w:tr w:rsidR="00166422" w:rsidRPr="005723DA" w14:paraId="257A32B6" w14:textId="77777777" w:rsidTr="00EC73BE">
        <w:trPr>
          <w:trHeight w:val="260"/>
        </w:trPr>
        <w:tc>
          <w:tcPr>
            <w:tcW w:w="1222" w:type="dxa"/>
            <w:tcBorders>
              <w:bottom w:val="single" w:sz="4" w:space="0" w:color="auto"/>
            </w:tcBorders>
          </w:tcPr>
          <w:p w14:paraId="199F4306" w14:textId="78DE6A56" w:rsidR="00883525" w:rsidRPr="005723DA" w:rsidRDefault="00883525">
            <w:pPr>
              <w:pStyle w:val="ANorm"/>
              <w:rPr>
                <w:sz w:val="16"/>
                <w:szCs w:val="16"/>
                <w:highlight w:val="yellow"/>
              </w:rPr>
            </w:pPr>
            <w:r>
              <w:rPr>
                <w:sz w:val="16"/>
                <w:szCs w:val="16"/>
              </w:rPr>
              <w:t>New Access</w:t>
            </w:r>
            <w:r>
              <w:rPr>
                <w:sz w:val="16"/>
                <w:szCs w:val="16"/>
              </w:rPr>
              <w:fldChar w:fldCharType="begin"/>
            </w:r>
            <w:r w:rsidR="004469A2">
              <w:rPr>
                <w:sz w:val="16"/>
                <w:szCs w:val="16"/>
              </w:rPr>
              <w:instrText xml:space="preserve"> ADDIN EN.CITE &lt;EndNote&gt;&lt;Cite&gt;&lt;Author&gt;Baigent&lt;/Author&gt;&lt;Year&gt;2020&lt;/Year&gt;&lt;RecNum&gt;186&lt;/RecNum&gt;&lt;DisplayText&gt;&lt;style face="superscript"&gt;73&lt;/style&gt;&lt;/DisplayText&gt;&lt;record&gt;&lt;rec-number&gt;186&lt;/rec-number&gt;&lt;foreign-keys&gt;&lt;key app="EN" db-id="dawtr0zrkrzfa5edzzlpe2we0xa00t90vvr2" timestamp="1655334676"&gt;186&lt;/key&gt;&lt;/foreign-keys&gt;&lt;ref-type name="Journal Article"&gt;17&lt;/ref-type&gt;&lt;contributors&gt;&lt;authors&gt;&lt;author&gt;Baigent, Michael&lt;/author&gt;&lt;author&gt;Smith, David&lt;/author&gt;&lt;author&gt;Battersby, Malcolm&lt;/author&gt;&lt;author&gt;Lawn, Sharon&lt;/author&gt;&lt;author&gt;Redpath, Paula&lt;/author&gt;&lt;author&gt;McCoy, Alicia&lt;/author&gt;&lt;/authors&gt;&lt;/contributors&gt;&lt;titles&gt;&lt;title&gt;The Australian version of IAPT: Clinical outcomes of the multi-site cohort study of NewAccess&lt;/title&gt;&lt;secondary-title&gt;Journal of Mental Health&lt;/secondary-title&gt;&lt;/titles&gt;&lt;periodical&gt;&lt;full-title&gt;Journal of Mental Health&lt;/full-title&gt;&lt;/periodical&gt;&lt;pages&gt;1-10&lt;/pages&gt;&lt;dates&gt;&lt;year&gt;2020&lt;/year&gt;&lt;/dates&gt;&lt;publisher&gt;Routledge&lt;/publisher&gt;&lt;isbn&gt;0963-8237&lt;/isbn&gt;&lt;urls&gt;&lt;related-urls&gt;&lt;url&gt;https://doi.org/10.1080/09638237.2020.1760224&lt;/url&gt;&lt;/related-urls&gt;&lt;/urls&gt;&lt;electronic-resource-num&gt;10.1080/09638237.2020.1760224&lt;/electronic-resource-num&gt;&lt;/record&gt;&lt;/Cite&gt;&lt;/EndNote&gt;</w:instrText>
            </w:r>
            <w:r>
              <w:rPr>
                <w:sz w:val="16"/>
                <w:szCs w:val="16"/>
              </w:rPr>
              <w:fldChar w:fldCharType="separate"/>
            </w:r>
            <w:r w:rsidR="004469A2" w:rsidRPr="004469A2">
              <w:rPr>
                <w:noProof/>
                <w:sz w:val="16"/>
                <w:szCs w:val="16"/>
                <w:vertAlign w:val="superscript"/>
              </w:rPr>
              <w:t>73</w:t>
            </w:r>
            <w:r>
              <w:rPr>
                <w:sz w:val="16"/>
                <w:szCs w:val="16"/>
              </w:rPr>
              <w:fldChar w:fldCharType="end"/>
            </w:r>
          </w:p>
        </w:tc>
        <w:tc>
          <w:tcPr>
            <w:tcW w:w="7740" w:type="dxa"/>
            <w:gridSpan w:val="2"/>
            <w:tcBorders>
              <w:bottom w:val="single" w:sz="4" w:space="0" w:color="auto"/>
            </w:tcBorders>
          </w:tcPr>
          <w:p w14:paraId="0DDAEFAF" w14:textId="77777777" w:rsidR="00883525" w:rsidRPr="005723DA" w:rsidRDefault="00883525">
            <w:pPr>
              <w:pStyle w:val="ANorm"/>
              <w:rPr>
                <w:sz w:val="16"/>
                <w:szCs w:val="16"/>
              </w:rPr>
            </w:pPr>
            <w:r w:rsidRPr="005723DA">
              <w:rPr>
                <w:sz w:val="16"/>
                <w:szCs w:val="16"/>
              </w:rPr>
              <w:t>As above</w:t>
            </w:r>
          </w:p>
        </w:tc>
        <w:tc>
          <w:tcPr>
            <w:tcW w:w="810" w:type="dxa"/>
            <w:tcBorders>
              <w:bottom w:val="single" w:sz="4" w:space="0" w:color="auto"/>
            </w:tcBorders>
            <w:noWrap/>
            <w:vAlign w:val="center"/>
          </w:tcPr>
          <w:p w14:paraId="2329D063" w14:textId="77777777" w:rsidR="00883525" w:rsidRPr="005723DA" w:rsidRDefault="00883525" w:rsidP="00465429">
            <w:pPr>
              <w:pStyle w:val="ANorm"/>
              <w:jc w:val="center"/>
              <w:rPr>
                <w:sz w:val="16"/>
                <w:szCs w:val="16"/>
              </w:rPr>
            </w:pPr>
            <w:r w:rsidRPr="005723DA">
              <w:rPr>
                <w:sz w:val="16"/>
                <w:szCs w:val="16"/>
              </w:rPr>
              <w:t>GAD</w:t>
            </w:r>
            <w:r>
              <w:rPr>
                <w:sz w:val="16"/>
                <w:szCs w:val="16"/>
              </w:rPr>
              <w:t>-</w:t>
            </w:r>
            <w:r w:rsidRPr="005723DA">
              <w:rPr>
                <w:sz w:val="16"/>
                <w:szCs w:val="16"/>
              </w:rPr>
              <w:t>7</w:t>
            </w:r>
          </w:p>
        </w:tc>
        <w:tc>
          <w:tcPr>
            <w:tcW w:w="810" w:type="dxa"/>
            <w:tcBorders>
              <w:bottom w:val="single" w:sz="4" w:space="0" w:color="auto"/>
            </w:tcBorders>
            <w:noWrap/>
            <w:vAlign w:val="center"/>
          </w:tcPr>
          <w:p w14:paraId="162C2834" w14:textId="77777777" w:rsidR="00883525" w:rsidRPr="005723DA" w:rsidRDefault="00883525" w:rsidP="00465429">
            <w:pPr>
              <w:pStyle w:val="ANorm"/>
              <w:jc w:val="center"/>
              <w:rPr>
                <w:sz w:val="16"/>
                <w:szCs w:val="16"/>
              </w:rPr>
            </w:pPr>
            <w:r w:rsidRPr="005723DA">
              <w:rPr>
                <w:sz w:val="16"/>
                <w:szCs w:val="16"/>
              </w:rPr>
              <w:t>3579</w:t>
            </w:r>
          </w:p>
        </w:tc>
        <w:tc>
          <w:tcPr>
            <w:tcW w:w="771" w:type="dxa"/>
            <w:tcBorders>
              <w:bottom w:val="single" w:sz="4" w:space="0" w:color="auto"/>
            </w:tcBorders>
            <w:noWrap/>
            <w:vAlign w:val="center"/>
          </w:tcPr>
          <w:p w14:paraId="370F1C3F" w14:textId="0C075A80" w:rsidR="00883525" w:rsidRPr="005723DA" w:rsidRDefault="00883525" w:rsidP="00465429">
            <w:pPr>
              <w:pStyle w:val="ANorm"/>
              <w:jc w:val="center"/>
              <w:rPr>
                <w:sz w:val="16"/>
                <w:szCs w:val="16"/>
              </w:rPr>
            </w:pPr>
            <w:r w:rsidRPr="005723DA">
              <w:rPr>
                <w:sz w:val="16"/>
                <w:szCs w:val="16"/>
              </w:rPr>
              <w:t>11.</w:t>
            </w:r>
            <w:r w:rsidR="001C4F5D">
              <w:rPr>
                <w:sz w:val="16"/>
                <w:szCs w:val="16"/>
              </w:rPr>
              <w:t>5</w:t>
            </w:r>
          </w:p>
        </w:tc>
        <w:tc>
          <w:tcPr>
            <w:tcW w:w="759" w:type="dxa"/>
            <w:tcBorders>
              <w:bottom w:val="single" w:sz="4" w:space="0" w:color="auto"/>
            </w:tcBorders>
            <w:noWrap/>
            <w:vAlign w:val="center"/>
          </w:tcPr>
          <w:p w14:paraId="59BB700E" w14:textId="77777777" w:rsidR="00883525" w:rsidRPr="005723DA" w:rsidRDefault="00883525" w:rsidP="00465429">
            <w:pPr>
              <w:pStyle w:val="ANorm"/>
              <w:jc w:val="center"/>
              <w:rPr>
                <w:sz w:val="16"/>
                <w:szCs w:val="16"/>
              </w:rPr>
            </w:pPr>
            <w:r w:rsidRPr="005723DA">
              <w:rPr>
                <w:sz w:val="16"/>
                <w:szCs w:val="16"/>
              </w:rPr>
              <w:t>0.08</w:t>
            </w:r>
          </w:p>
        </w:tc>
        <w:tc>
          <w:tcPr>
            <w:tcW w:w="720" w:type="dxa"/>
            <w:tcBorders>
              <w:bottom w:val="single" w:sz="4" w:space="0" w:color="auto"/>
            </w:tcBorders>
            <w:noWrap/>
            <w:vAlign w:val="center"/>
          </w:tcPr>
          <w:p w14:paraId="06C6BAC2" w14:textId="77777777" w:rsidR="00883525" w:rsidRPr="005723DA" w:rsidRDefault="00883525" w:rsidP="00465429">
            <w:pPr>
              <w:pStyle w:val="ANorm"/>
              <w:jc w:val="center"/>
              <w:rPr>
                <w:sz w:val="16"/>
                <w:szCs w:val="16"/>
              </w:rPr>
            </w:pPr>
            <w:r w:rsidRPr="005723DA">
              <w:rPr>
                <w:sz w:val="16"/>
                <w:szCs w:val="16"/>
              </w:rPr>
              <w:t>3579</w:t>
            </w:r>
          </w:p>
        </w:tc>
        <w:tc>
          <w:tcPr>
            <w:tcW w:w="763" w:type="dxa"/>
            <w:tcBorders>
              <w:bottom w:val="single" w:sz="4" w:space="0" w:color="auto"/>
            </w:tcBorders>
            <w:noWrap/>
            <w:vAlign w:val="center"/>
          </w:tcPr>
          <w:p w14:paraId="10F746A6" w14:textId="77777777" w:rsidR="00883525" w:rsidRPr="005723DA" w:rsidRDefault="00883525" w:rsidP="00465429">
            <w:pPr>
              <w:pStyle w:val="ANorm"/>
              <w:jc w:val="center"/>
              <w:rPr>
                <w:sz w:val="16"/>
                <w:szCs w:val="16"/>
              </w:rPr>
            </w:pPr>
            <w:r w:rsidRPr="005723DA">
              <w:rPr>
                <w:sz w:val="16"/>
                <w:szCs w:val="16"/>
              </w:rPr>
              <w:t>4.5</w:t>
            </w:r>
          </w:p>
        </w:tc>
        <w:tc>
          <w:tcPr>
            <w:tcW w:w="500" w:type="dxa"/>
            <w:tcBorders>
              <w:bottom w:val="single" w:sz="4" w:space="0" w:color="auto"/>
            </w:tcBorders>
            <w:noWrap/>
            <w:vAlign w:val="center"/>
          </w:tcPr>
          <w:p w14:paraId="795DFB2F" w14:textId="77777777" w:rsidR="00883525" w:rsidRPr="005723DA" w:rsidRDefault="00883525" w:rsidP="00465429">
            <w:pPr>
              <w:pStyle w:val="ANorm"/>
              <w:jc w:val="center"/>
              <w:rPr>
                <w:sz w:val="16"/>
                <w:szCs w:val="16"/>
              </w:rPr>
            </w:pPr>
            <w:r w:rsidRPr="005723DA">
              <w:rPr>
                <w:sz w:val="16"/>
                <w:szCs w:val="16"/>
              </w:rPr>
              <w:t>0.08</w:t>
            </w:r>
          </w:p>
        </w:tc>
      </w:tr>
      <w:tr w:rsidR="006D74C1" w:rsidRPr="005723DA" w14:paraId="7642C315" w14:textId="77777777" w:rsidTr="00E509E3">
        <w:trPr>
          <w:trHeight w:val="193"/>
        </w:trPr>
        <w:tc>
          <w:tcPr>
            <w:tcW w:w="8962" w:type="dxa"/>
            <w:gridSpan w:val="3"/>
            <w:tcBorders>
              <w:right w:val="nil"/>
            </w:tcBorders>
            <w:shd w:val="clear" w:color="auto" w:fill="D9D9D9" w:themeFill="background1" w:themeFillShade="D9"/>
          </w:tcPr>
          <w:p w14:paraId="5BF834AD" w14:textId="77777777" w:rsidR="00883525" w:rsidRPr="005723DA" w:rsidRDefault="00883525">
            <w:pPr>
              <w:pStyle w:val="ANorm"/>
              <w:rPr>
                <w:sz w:val="16"/>
                <w:szCs w:val="16"/>
              </w:rPr>
            </w:pPr>
            <w:r w:rsidRPr="005723DA">
              <w:rPr>
                <w:b/>
                <w:sz w:val="16"/>
                <w:szCs w:val="16"/>
              </w:rPr>
              <w:t>Australian primary mental health care</w:t>
            </w:r>
          </w:p>
        </w:tc>
        <w:tc>
          <w:tcPr>
            <w:tcW w:w="1620" w:type="dxa"/>
            <w:gridSpan w:val="2"/>
            <w:tcBorders>
              <w:left w:val="nil"/>
              <w:right w:val="nil"/>
            </w:tcBorders>
            <w:shd w:val="clear" w:color="auto" w:fill="D9D9D9" w:themeFill="background1" w:themeFillShade="D9"/>
            <w:noWrap/>
          </w:tcPr>
          <w:p w14:paraId="5C09B267" w14:textId="77777777" w:rsidR="00883525" w:rsidRPr="005723DA" w:rsidRDefault="00883525">
            <w:pPr>
              <w:pStyle w:val="ANorm"/>
              <w:rPr>
                <w:sz w:val="16"/>
                <w:szCs w:val="16"/>
              </w:rPr>
            </w:pPr>
          </w:p>
        </w:tc>
        <w:tc>
          <w:tcPr>
            <w:tcW w:w="771" w:type="dxa"/>
            <w:tcBorders>
              <w:left w:val="nil"/>
              <w:right w:val="nil"/>
            </w:tcBorders>
            <w:shd w:val="clear" w:color="auto" w:fill="D9D9D9" w:themeFill="background1" w:themeFillShade="D9"/>
            <w:noWrap/>
          </w:tcPr>
          <w:p w14:paraId="7B0E0649" w14:textId="77777777" w:rsidR="00883525" w:rsidRPr="005723DA" w:rsidRDefault="00883525">
            <w:pPr>
              <w:pStyle w:val="ANorm"/>
              <w:rPr>
                <w:sz w:val="16"/>
                <w:szCs w:val="16"/>
              </w:rPr>
            </w:pPr>
          </w:p>
        </w:tc>
        <w:tc>
          <w:tcPr>
            <w:tcW w:w="759" w:type="dxa"/>
            <w:tcBorders>
              <w:left w:val="nil"/>
              <w:right w:val="nil"/>
            </w:tcBorders>
            <w:shd w:val="clear" w:color="auto" w:fill="D9D9D9" w:themeFill="background1" w:themeFillShade="D9"/>
            <w:noWrap/>
          </w:tcPr>
          <w:p w14:paraId="64141BCC" w14:textId="77777777" w:rsidR="00883525" w:rsidRPr="005723DA" w:rsidRDefault="00883525">
            <w:pPr>
              <w:pStyle w:val="ANorm"/>
              <w:rPr>
                <w:sz w:val="16"/>
                <w:szCs w:val="16"/>
              </w:rPr>
            </w:pPr>
          </w:p>
        </w:tc>
        <w:tc>
          <w:tcPr>
            <w:tcW w:w="720" w:type="dxa"/>
            <w:tcBorders>
              <w:left w:val="nil"/>
              <w:right w:val="nil"/>
            </w:tcBorders>
            <w:shd w:val="clear" w:color="auto" w:fill="D9D9D9" w:themeFill="background1" w:themeFillShade="D9"/>
            <w:noWrap/>
          </w:tcPr>
          <w:p w14:paraId="727B55EB" w14:textId="77777777" w:rsidR="00883525" w:rsidRPr="005723DA" w:rsidRDefault="00883525">
            <w:pPr>
              <w:pStyle w:val="ANorm"/>
              <w:rPr>
                <w:sz w:val="16"/>
                <w:szCs w:val="16"/>
              </w:rPr>
            </w:pPr>
          </w:p>
        </w:tc>
        <w:tc>
          <w:tcPr>
            <w:tcW w:w="763" w:type="dxa"/>
            <w:tcBorders>
              <w:left w:val="nil"/>
              <w:right w:val="nil"/>
            </w:tcBorders>
            <w:shd w:val="clear" w:color="auto" w:fill="D9D9D9" w:themeFill="background1" w:themeFillShade="D9"/>
            <w:noWrap/>
          </w:tcPr>
          <w:p w14:paraId="009C1F65" w14:textId="77777777" w:rsidR="00883525" w:rsidRPr="005723DA" w:rsidRDefault="00883525">
            <w:pPr>
              <w:pStyle w:val="ANorm"/>
              <w:rPr>
                <w:sz w:val="16"/>
                <w:szCs w:val="16"/>
              </w:rPr>
            </w:pPr>
          </w:p>
        </w:tc>
        <w:tc>
          <w:tcPr>
            <w:tcW w:w="500" w:type="dxa"/>
            <w:tcBorders>
              <w:left w:val="nil"/>
              <w:right w:val="single" w:sz="4" w:space="0" w:color="auto"/>
            </w:tcBorders>
            <w:shd w:val="clear" w:color="auto" w:fill="D9D9D9" w:themeFill="background1" w:themeFillShade="D9"/>
            <w:noWrap/>
          </w:tcPr>
          <w:p w14:paraId="006D2576" w14:textId="77777777" w:rsidR="00883525" w:rsidRPr="005723DA" w:rsidRDefault="00883525">
            <w:pPr>
              <w:pStyle w:val="ANorm"/>
              <w:rPr>
                <w:sz w:val="16"/>
                <w:szCs w:val="16"/>
              </w:rPr>
            </w:pPr>
          </w:p>
        </w:tc>
      </w:tr>
      <w:tr w:rsidR="00035CCE" w:rsidRPr="005723DA" w14:paraId="209F90E5" w14:textId="77777777" w:rsidTr="00E509E3">
        <w:trPr>
          <w:trHeight w:val="692"/>
        </w:trPr>
        <w:tc>
          <w:tcPr>
            <w:tcW w:w="1222" w:type="dxa"/>
            <w:hideMark/>
          </w:tcPr>
          <w:p w14:paraId="7A42F033" w14:textId="0BB0C61C" w:rsidR="00883525" w:rsidRPr="00883525" w:rsidRDefault="00883525">
            <w:pPr>
              <w:pStyle w:val="ANorm"/>
              <w:rPr>
                <w:bCs/>
                <w:sz w:val="16"/>
                <w:szCs w:val="16"/>
                <w:lang w:val="fr-FR"/>
              </w:rPr>
            </w:pPr>
            <w:proofErr w:type="spellStart"/>
            <w:r w:rsidRPr="00883525">
              <w:rPr>
                <w:bCs/>
                <w:sz w:val="16"/>
                <w:szCs w:val="16"/>
                <w:lang w:val="fr-FR"/>
              </w:rPr>
              <w:t>Better</w:t>
            </w:r>
            <w:proofErr w:type="spellEnd"/>
            <w:r w:rsidRPr="00883525">
              <w:rPr>
                <w:bCs/>
                <w:sz w:val="16"/>
                <w:szCs w:val="16"/>
                <w:lang w:val="fr-FR"/>
              </w:rPr>
              <w:t xml:space="preserve"> Access, clin </w:t>
            </w:r>
            <w:proofErr w:type="spellStart"/>
            <w:r w:rsidRPr="00883525">
              <w:rPr>
                <w:bCs/>
                <w:sz w:val="16"/>
                <w:szCs w:val="16"/>
                <w:lang w:val="fr-FR"/>
              </w:rPr>
              <w:t>psychs</w:t>
            </w:r>
            <w:proofErr w:type="spellEnd"/>
            <w:r w:rsidRPr="00883525">
              <w:rPr>
                <w:bCs/>
                <w:sz w:val="16"/>
                <w:szCs w:val="16"/>
                <w:lang w:val="fr-FR"/>
              </w:rPr>
              <w:t xml:space="preserve"> (</w:t>
            </w:r>
            <w:proofErr w:type="spellStart"/>
            <w:r w:rsidRPr="00883525">
              <w:rPr>
                <w:bCs/>
                <w:sz w:val="16"/>
                <w:szCs w:val="16"/>
                <w:lang w:val="fr-FR"/>
              </w:rPr>
              <w:t>Pirkis</w:t>
            </w:r>
            <w:proofErr w:type="spellEnd"/>
            <w:r w:rsidRPr="00883525">
              <w:rPr>
                <w:bCs/>
                <w:sz w:val="16"/>
                <w:szCs w:val="16"/>
                <w:lang w:val="fr-FR"/>
              </w:rPr>
              <w:t xml:space="preserve"> </w:t>
            </w:r>
            <w:r w:rsidR="0065750D">
              <w:rPr>
                <w:bCs/>
                <w:sz w:val="16"/>
                <w:szCs w:val="16"/>
                <w:lang w:val="fr-FR"/>
              </w:rPr>
              <w:t>et al</w:t>
            </w:r>
            <w:r w:rsidRPr="00883525">
              <w:rPr>
                <w:bCs/>
                <w:sz w:val="16"/>
                <w:szCs w:val="16"/>
                <w:lang w:val="fr-FR"/>
              </w:rPr>
              <w:t xml:space="preserve"> 2011)</w:t>
            </w:r>
            <w:r w:rsidRPr="00AE35CB">
              <w:rPr>
                <w:bCs/>
                <w:sz w:val="16"/>
                <w:szCs w:val="16"/>
              </w:rPr>
              <w:fldChar w:fldCharType="begin"/>
            </w:r>
            <w:r w:rsidR="004469A2">
              <w:rPr>
                <w:bCs/>
                <w:sz w:val="16"/>
                <w:szCs w:val="16"/>
              </w:rPr>
              <w:instrText xml:space="preserve"> ADDIN EN.CITE &lt;EndNote&gt;&lt;Cite&gt;&lt;Author&gt;Pirkis &lt;/Author&gt;&lt;Year&gt;2011&lt;/Year&gt;&lt;RecNum&gt;10&lt;/RecNum&gt;&lt;DisplayText&gt;&lt;style face="superscript"&gt;74&lt;/style&gt;&lt;/DisplayText&gt;&lt;record&gt;&lt;rec-number&gt;10&lt;/rec-number&gt;&lt;foreign-keys&gt;&lt;key app="EN" db-id="dawtr0zrkrzfa5edzzlpe2we0xa00t90vvr2" timestamp="1622896606"&gt;10&lt;/key&gt;&lt;/foreign-keys&gt;&lt;ref-type name="Journal Article"&gt;17&lt;/ref-type&gt;&lt;contributors&gt;&lt;authors&gt;&lt;author&gt;Pirkis , J.&lt;/author&gt;&lt;author&gt;Ftanou, M.&lt;/author&gt;&lt;author&gt;Williamson, M.&lt;/author&gt;&lt;author&gt;Machlin, A.&lt;/author&gt;&lt;author&gt;Spittal, M.&lt;/author&gt;&lt;author&gt;Bassilios, B.&lt;/author&gt;&lt;author&gt;Harris, M.&lt;/author&gt;&lt;/authors&gt;&lt;/contributors&gt;&lt;titles&gt;&lt;title&gt;Australia&amp;apos;s Better Access initiative: An evaluation&lt;/title&gt;&lt;secondary-title&gt;Australian and New Zealand Journal of Psychiatry&lt;/secondary-title&gt;&lt;/titles&gt;&lt;pages&gt;726-739&lt;/pages&gt;&lt;volume&gt;45&lt;/volume&gt;&lt;dates&gt;&lt;year&gt;2011&lt;/year&gt;&lt;/dates&gt;&lt;urls&gt;&lt;/urls&gt;&lt;/record&gt;&lt;/Cite&gt;&lt;/EndNote&gt;</w:instrText>
            </w:r>
            <w:r w:rsidRPr="00AE35CB">
              <w:rPr>
                <w:bCs/>
                <w:sz w:val="16"/>
                <w:szCs w:val="16"/>
              </w:rPr>
              <w:fldChar w:fldCharType="separate"/>
            </w:r>
            <w:r w:rsidR="004469A2" w:rsidRPr="004469A2">
              <w:rPr>
                <w:bCs/>
                <w:noProof/>
                <w:sz w:val="16"/>
                <w:szCs w:val="16"/>
                <w:vertAlign w:val="superscript"/>
              </w:rPr>
              <w:t>74</w:t>
            </w:r>
            <w:r w:rsidRPr="00AE35CB">
              <w:rPr>
                <w:bCs/>
                <w:sz w:val="16"/>
                <w:szCs w:val="16"/>
              </w:rPr>
              <w:fldChar w:fldCharType="end"/>
            </w:r>
            <w:r w:rsidRPr="00883525">
              <w:rPr>
                <w:bCs/>
                <w:sz w:val="16"/>
                <w:szCs w:val="16"/>
                <w:lang w:val="fr-FR"/>
              </w:rPr>
              <w:t xml:space="preserve"> </w:t>
            </w:r>
          </w:p>
        </w:tc>
        <w:tc>
          <w:tcPr>
            <w:tcW w:w="7740" w:type="dxa"/>
            <w:gridSpan w:val="2"/>
          </w:tcPr>
          <w:p w14:paraId="7505D7E0" w14:textId="77777777" w:rsidR="00883525" w:rsidRPr="005723DA" w:rsidRDefault="00883525">
            <w:pPr>
              <w:pStyle w:val="ANorm"/>
              <w:rPr>
                <w:sz w:val="16"/>
                <w:szCs w:val="16"/>
              </w:rPr>
            </w:pPr>
            <w:r w:rsidRPr="005723DA">
              <w:rPr>
                <w:sz w:val="16"/>
                <w:szCs w:val="16"/>
              </w:rPr>
              <w:t>Access to 12 (18 in exceptional circumstances) of face-to- face psychological intervention, following development of a mental health care plan by a GP and with review by a GP at defined intervals</w:t>
            </w:r>
            <w:r>
              <w:rPr>
                <w:sz w:val="16"/>
                <w:szCs w:val="16"/>
              </w:rPr>
              <w:t xml:space="preserve">. </w:t>
            </w:r>
            <w:r w:rsidRPr="00B57435">
              <w:rPr>
                <w:b/>
                <w:sz w:val="16"/>
                <w:szCs w:val="16"/>
              </w:rPr>
              <w:t>October 2009</w:t>
            </w:r>
            <w:r>
              <w:rPr>
                <w:b/>
                <w:sz w:val="16"/>
                <w:szCs w:val="16"/>
              </w:rPr>
              <w:t>-</w:t>
            </w:r>
            <w:r w:rsidRPr="00B57435">
              <w:rPr>
                <w:b/>
                <w:sz w:val="16"/>
                <w:szCs w:val="16"/>
              </w:rPr>
              <w:t>October 2010</w:t>
            </w:r>
          </w:p>
        </w:tc>
        <w:tc>
          <w:tcPr>
            <w:tcW w:w="810" w:type="dxa"/>
            <w:noWrap/>
            <w:vAlign w:val="center"/>
            <w:hideMark/>
          </w:tcPr>
          <w:p w14:paraId="7C37963F" w14:textId="77777777" w:rsidR="00883525" w:rsidRPr="005723DA" w:rsidRDefault="00883525" w:rsidP="00465429">
            <w:pPr>
              <w:pStyle w:val="ANorm"/>
              <w:jc w:val="center"/>
              <w:rPr>
                <w:sz w:val="16"/>
                <w:szCs w:val="16"/>
              </w:rPr>
            </w:pPr>
            <w:r w:rsidRPr="005723DA">
              <w:rPr>
                <w:sz w:val="16"/>
                <w:szCs w:val="16"/>
              </w:rPr>
              <w:t>K10</w:t>
            </w:r>
          </w:p>
        </w:tc>
        <w:tc>
          <w:tcPr>
            <w:tcW w:w="810" w:type="dxa"/>
            <w:noWrap/>
            <w:vAlign w:val="center"/>
            <w:hideMark/>
          </w:tcPr>
          <w:p w14:paraId="7B8BE20C" w14:textId="77777777" w:rsidR="00883525" w:rsidRPr="005723DA" w:rsidRDefault="00883525" w:rsidP="00465429">
            <w:pPr>
              <w:pStyle w:val="ANorm"/>
              <w:jc w:val="center"/>
              <w:rPr>
                <w:sz w:val="16"/>
                <w:szCs w:val="16"/>
              </w:rPr>
            </w:pPr>
            <w:r w:rsidRPr="005723DA">
              <w:rPr>
                <w:sz w:val="16"/>
                <w:szCs w:val="16"/>
              </w:rPr>
              <w:t>193</w:t>
            </w:r>
          </w:p>
        </w:tc>
        <w:tc>
          <w:tcPr>
            <w:tcW w:w="771" w:type="dxa"/>
            <w:noWrap/>
            <w:vAlign w:val="center"/>
            <w:hideMark/>
          </w:tcPr>
          <w:p w14:paraId="406BED9B" w14:textId="1127A9B5" w:rsidR="00883525" w:rsidRPr="005723DA" w:rsidRDefault="00883525" w:rsidP="00465429">
            <w:pPr>
              <w:pStyle w:val="ANorm"/>
              <w:jc w:val="center"/>
              <w:rPr>
                <w:sz w:val="16"/>
                <w:szCs w:val="16"/>
              </w:rPr>
            </w:pPr>
            <w:r w:rsidRPr="005723DA">
              <w:rPr>
                <w:sz w:val="16"/>
                <w:szCs w:val="16"/>
              </w:rPr>
              <w:t>28.6</w:t>
            </w:r>
          </w:p>
        </w:tc>
        <w:tc>
          <w:tcPr>
            <w:tcW w:w="759" w:type="dxa"/>
            <w:noWrap/>
            <w:vAlign w:val="center"/>
            <w:hideMark/>
          </w:tcPr>
          <w:p w14:paraId="078727E8" w14:textId="77777777" w:rsidR="00883525" w:rsidRPr="005723DA" w:rsidRDefault="00883525" w:rsidP="00465429">
            <w:pPr>
              <w:pStyle w:val="ANorm"/>
              <w:jc w:val="center"/>
              <w:rPr>
                <w:sz w:val="16"/>
                <w:szCs w:val="16"/>
              </w:rPr>
            </w:pPr>
            <w:r w:rsidRPr="005723DA">
              <w:rPr>
                <w:sz w:val="16"/>
                <w:szCs w:val="16"/>
              </w:rPr>
              <w:t>7.57</w:t>
            </w:r>
          </w:p>
        </w:tc>
        <w:tc>
          <w:tcPr>
            <w:tcW w:w="720" w:type="dxa"/>
            <w:noWrap/>
            <w:vAlign w:val="center"/>
            <w:hideMark/>
          </w:tcPr>
          <w:p w14:paraId="6712A587" w14:textId="77777777" w:rsidR="00883525" w:rsidRPr="005723DA" w:rsidRDefault="00883525" w:rsidP="00465429">
            <w:pPr>
              <w:pStyle w:val="ANorm"/>
              <w:jc w:val="center"/>
              <w:rPr>
                <w:sz w:val="16"/>
                <w:szCs w:val="16"/>
              </w:rPr>
            </w:pPr>
            <w:r w:rsidRPr="005723DA">
              <w:rPr>
                <w:sz w:val="16"/>
                <w:szCs w:val="16"/>
              </w:rPr>
              <w:t>193</w:t>
            </w:r>
          </w:p>
        </w:tc>
        <w:tc>
          <w:tcPr>
            <w:tcW w:w="763" w:type="dxa"/>
            <w:noWrap/>
            <w:vAlign w:val="center"/>
            <w:hideMark/>
          </w:tcPr>
          <w:p w14:paraId="5165195D" w14:textId="77777777" w:rsidR="00883525" w:rsidRPr="005723DA" w:rsidRDefault="00883525" w:rsidP="00465429">
            <w:pPr>
              <w:pStyle w:val="ANorm"/>
              <w:jc w:val="center"/>
              <w:rPr>
                <w:sz w:val="16"/>
                <w:szCs w:val="16"/>
              </w:rPr>
            </w:pPr>
            <w:r w:rsidRPr="005723DA">
              <w:rPr>
                <w:sz w:val="16"/>
                <w:szCs w:val="16"/>
              </w:rPr>
              <w:t>19.09</w:t>
            </w:r>
          </w:p>
        </w:tc>
        <w:tc>
          <w:tcPr>
            <w:tcW w:w="500" w:type="dxa"/>
            <w:noWrap/>
            <w:vAlign w:val="center"/>
            <w:hideMark/>
          </w:tcPr>
          <w:p w14:paraId="2E8ADF26" w14:textId="77777777" w:rsidR="00883525" w:rsidRPr="005723DA" w:rsidRDefault="00883525" w:rsidP="00465429">
            <w:pPr>
              <w:pStyle w:val="ANorm"/>
              <w:jc w:val="center"/>
              <w:rPr>
                <w:sz w:val="16"/>
                <w:szCs w:val="16"/>
              </w:rPr>
            </w:pPr>
            <w:r w:rsidRPr="005723DA">
              <w:rPr>
                <w:sz w:val="16"/>
                <w:szCs w:val="16"/>
              </w:rPr>
              <w:t>6.96</w:t>
            </w:r>
          </w:p>
        </w:tc>
      </w:tr>
      <w:tr w:rsidR="00035CCE" w:rsidRPr="005723DA" w14:paraId="6F77D9B2" w14:textId="77777777" w:rsidTr="00E509E3">
        <w:trPr>
          <w:trHeight w:val="407"/>
        </w:trPr>
        <w:tc>
          <w:tcPr>
            <w:tcW w:w="1222" w:type="dxa"/>
            <w:hideMark/>
          </w:tcPr>
          <w:p w14:paraId="24865DBC" w14:textId="0C7197FD" w:rsidR="00883525" w:rsidRPr="00AE35CB" w:rsidRDefault="00883525">
            <w:pPr>
              <w:pStyle w:val="ANorm"/>
              <w:rPr>
                <w:bCs/>
                <w:sz w:val="16"/>
                <w:szCs w:val="16"/>
              </w:rPr>
            </w:pPr>
            <w:r w:rsidRPr="00AE35CB">
              <w:rPr>
                <w:bCs/>
                <w:sz w:val="16"/>
                <w:szCs w:val="16"/>
              </w:rPr>
              <w:t>Better Access, reg psychs</w:t>
            </w:r>
            <w:r w:rsidRPr="00AE35CB">
              <w:rPr>
                <w:bCs/>
                <w:sz w:val="16"/>
                <w:szCs w:val="16"/>
              </w:rPr>
              <w:fldChar w:fldCharType="begin"/>
            </w:r>
            <w:r w:rsidR="004469A2">
              <w:rPr>
                <w:bCs/>
                <w:sz w:val="16"/>
                <w:szCs w:val="16"/>
              </w:rPr>
              <w:instrText xml:space="preserve"> ADDIN EN.CITE &lt;EndNote&gt;&lt;Cite&gt;&lt;Author&gt;Pirkis &lt;/Author&gt;&lt;Year&gt;2011&lt;/Year&gt;&lt;RecNum&gt;10&lt;/RecNum&gt;&lt;DisplayText&gt;&lt;style face="superscript"&gt;74&lt;/style&gt;&lt;/DisplayText&gt;&lt;record&gt;&lt;rec-number&gt;10&lt;/rec-number&gt;&lt;foreign-keys&gt;&lt;key app="EN" db-id="dawtr0zrkrzfa5edzzlpe2we0xa00t90vvr2" timestamp="1622896606"&gt;10&lt;/key&gt;&lt;/foreign-keys&gt;&lt;ref-type name="Journal Article"&gt;17&lt;/ref-type&gt;&lt;contributors&gt;&lt;authors&gt;&lt;author&gt;Pirkis , J.&lt;/author&gt;&lt;author&gt;Ftanou, M.&lt;/author&gt;&lt;author&gt;Williamson, M.&lt;/author&gt;&lt;author&gt;Machlin, A.&lt;/author&gt;&lt;author&gt;Spittal, M.&lt;/author&gt;&lt;author&gt;Bassilios, B.&lt;/author&gt;&lt;author&gt;Harris, M.&lt;/author&gt;&lt;/authors&gt;&lt;/contributors&gt;&lt;titles&gt;&lt;title&gt;Australia&amp;apos;s Better Access initiative: An evaluation&lt;/title&gt;&lt;secondary-title&gt;Australian and New Zealand Journal of Psychiatry&lt;/secondary-title&gt;&lt;/titles&gt;&lt;pages&gt;726-739&lt;/pages&gt;&lt;volume&gt;45&lt;/volume&gt;&lt;dates&gt;&lt;year&gt;2011&lt;/year&gt;&lt;/dates&gt;&lt;urls&gt;&lt;/urls&gt;&lt;/record&gt;&lt;/Cite&gt;&lt;/EndNote&gt;</w:instrText>
            </w:r>
            <w:r w:rsidRPr="00AE35CB">
              <w:rPr>
                <w:bCs/>
                <w:sz w:val="16"/>
                <w:szCs w:val="16"/>
              </w:rPr>
              <w:fldChar w:fldCharType="separate"/>
            </w:r>
            <w:r w:rsidR="004469A2" w:rsidRPr="004469A2">
              <w:rPr>
                <w:bCs/>
                <w:noProof/>
                <w:sz w:val="16"/>
                <w:szCs w:val="16"/>
                <w:vertAlign w:val="superscript"/>
              </w:rPr>
              <w:t>74</w:t>
            </w:r>
            <w:r w:rsidRPr="00AE35CB">
              <w:rPr>
                <w:bCs/>
                <w:sz w:val="16"/>
                <w:szCs w:val="16"/>
              </w:rPr>
              <w:fldChar w:fldCharType="end"/>
            </w:r>
          </w:p>
        </w:tc>
        <w:tc>
          <w:tcPr>
            <w:tcW w:w="7740" w:type="dxa"/>
            <w:gridSpan w:val="2"/>
          </w:tcPr>
          <w:p w14:paraId="51C6C625" w14:textId="77777777" w:rsidR="00883525" w:rsidRPr="005723DA" w:rsidRDefault="00883525">
            <w:pPr>
              <w:pStyle w:val="ANorm"/>
              <w:rPr>
                <w:sz w:val="16"/>
                <w:szCs w:val="16"/>
              </w:rPr>
            </w:pPr>
            <w:r w:rsidRPr="005723DA">
              <w:rPr>
                <w:sz w:val="16"/>
                <w:szCs w:val="16"/>
              </w:rPr>
              <w:t>As above</w:t>
            </w:r>
          </w:p>
        </w:tc>
        <w:tc>
          <w:tcPr>
            <w:tcW w:w="810" w:type="dxa"/>
            <w:noWrap/>
            <w:vAlign w:val="center"/>
            <w:hideMark/>
          </w:tcPr>
          <w:p w14:paraId="51AC52E8" w14:textId="77777777" w:rsidR="00883525" w:rsidRPr="005723DA" w:rsidRDefault="00883525" w:rsidP="00465429">
            <w:pPr>
              <w:pStyle w:val="ANorm"/>
              <w:jc w:val="center"/>
              <w:rPr>
                <w:sz w:val="16"/>
                <w:szCs w:val="16"/>
              </w:rPr>
            </w:pPr>
            <w:r w:rsidRPr="005723DA">
              <w:rPr>
                <w:sz w:val="16"/>
                <w:szCs w:val="16"/>
              </w:rPr>
              <w:t>K10</w:t>
            </w:r>
          </w:p>
        </w:tc>
        <w:tc>
          <w:tcPr>
            <w:tcW w:w="810" w:type="dxa"/>
            <w:noWrap/>
            <w:vAlign w:val="center"/>
            <w:hideMark/>
          </w:tcPr>
          <w:p w14:paraId="5AF56379" w14:textId="77777777" w:rsidR="00883525" w:rsidRPr="005723DA" w:rsidRDefault="00883525" w:rsidP="00465429">
            <w:pPr>
              <w:pStyle w:val="ANorm"/>
              <w:jc w:val="center"/>
              <w:rPr>
                <w:sz w:val="16"/>
                <w:szCs w:val="16"/>
              </w:rPr>
            </w:pPr>
            <w:r w:rsidRPr="005723DA">
              <w:rPr>
                <w:sz w:val="16"/>
                <w:szCs w:val="16"/>
              </w:rPr>
              <w:t>192</w:t>
            </w:r>
          </w:p>
        </w:tc>
        <w:tc>
          <w:tcPr>
            <w:tcW w:w="771" w:type="dxa"/>
            <w:noWrap/>
            <w:vAlign w:val="center"/>
            <w:hideMark/>
          </w:tcPr>
          <w:p w14:paraId="12F606F4" w14:textId="39A649FD" w:rsidR="00883525" w:rsidRPr="005723DA" w:rsidRDefault="00883525" w:rsidP="00465429">
            <w:pPr>
              <w:pStyle w:val="ANorm"/>
              <w:jc w:val="center"/>
              <w:rPr>
                <w:sz w:val="16"/>
                <w:szCs w:val="16"/>
              </w:rPr>
            </w:pPr>
            <w:r w:rsidRPr="005723DA">
              <w:rPr>
                <w:sz w:val="16"/>
                <w:szCs w:val="16"/>
              </w:rPr>
              <w:t>29.4</w:t>
            </w:r>
          </w:p>
        </w:tc>
        <w:tc>
          <w:tcPr>
            <w:tcW w:w="759" w:type="dxa"/>
            <w:noWrap/>
            <w:vAlign w:val="center"/>
            <w:hideMark/>
          </w:tcPr>
          <w:p w14:paraId="03758AFF" w14:textId="77777777" w:rsidR="00883525" w:rsidRPr="005723DA" w:rsidRDefault="00883525" w:rsidP="00465429">
            <w:pPr>
              <w:pStyle w:val="ANorm"/>
              <w:jc w:val="center"/>
              <w:rPr>
                <w:sz w:val="16"/>
                <w:szCs w:val="16"/>
              </w:rPr>
            </w:pPr>
            <w:r w:rsidRPr="005723DA">
              <w:rPr>
                <w:sz w:val="16"/>
                <w:szCs w:val="16"/>
              </w:rPr>
              <w:t>7.33</w:t>
            </w:r>
          </w:p>
        </w:tc>
        <w:tc>
          <w:tcPr>
            <w:tcW w:w="720" w:type="dxa"/>
            <w:noWrap/>
            <w:vAlign w:val="center"/>
            <w:hideMark/>
          </w:tcPr>
          <w:p w14:paraId="4F620FA2" w14:textId="77777777" w:rsidR="00883525" w:rsidRPr="005723DA" w:rsidRDefault="00883525" w:rsidP="00465429">
            <w:pPr>
              <w:pStyle w:val="ANorm"/>
              <w:jc w:val="center"/>
              <w:rPr>
                <w:sz w:val="16"/>
                <w:szCs w:val="16"/>
              </w:rPr>
            </w:pPr>
            <w:r w:rsidRPr="005723DA">
              <w:rPr>
                <w:sz w:val="16"/>
                <w:szCs w:val="16"/>
              </w:rPr>
              <w:t>192</w:t>
            </w:r>
          </w:p>
        </w:tc>
        <w:tc>
          <w:tcPr>
            <w:tcW w:w="763" w:type="dxa"/>
            <w:noWrap/>
            <w:vAlign w:val="center"/>
            <w:hideMark/>
          </w:tcPr>
          <w:p w14:paraId="7FFEA020" w14:textId="77777777" w:rsidR="00883525" w:rsidRPr="005723DA" w:rsidRDefault="00883525" w:rsidP="00465429">
            <w:pPr>
              <w:pStyle w:val="ANorm"/>
              <w:jc w:val="center"/>
              <w:rPr>
                <w:sz w:val="16"/>
                <w:szCs w:val="16"/>
              </w:rPr>
            </w:pPr>
            <w:r w:rsidRPr="005723DA">
              <w:rPr>
                <w:sz w:val="16"/>
                <w:szCs w:val="16"/>
              </w:rPr>
              <w:t>18.86</w:t>
            </w:r>
          </w:p>
        </w:tc>
        <w:tc>
          <w:tcPr>
            <w:tcW w:w="500" w:type="dxa"/>
            <w:noWrap/>
            <w:vAlign w:val="center"/>
            <w:hideMark/>
          </w:tcPr>
          <w:p w14:paraId="6651E981" w14:textId="77777777" w:rsidR="00883525" w:rsidRPr="005723DA" w:rsidRDefault="00883525" w:rsidP="00465429">
            <w:pPr>
              <w:pStyle w:val="ANorm"/>
              <w:jc w:val="center"/>
              <w:rPr>
                <w:sz w:val="16"/>
                <w:szCs w:val="16"/>
              </w:rPr>
            </w:pPr>
            <w:r w:rsidRPr="005723DA">
              <w:rPr>
                <w:sz w:val="16"/>
                <w:szCs w:val="16"/>
              </w:rPr>
              <w:t>7.13</w:t>
            </w:r>
          </w:p>
        </w:tc>
      </w:tr>
      <w:tr w:rsidR="00035CCE" w:rsidRPr="005723DA" w14:paraId="226297C1" w14:textId="77777777" w:rsidTr="00E509E3">
        <w:trPr>
          <w:trHeight w:val="403"/>
        </w:trPr>
        <w:tc>
          <w:tcPr>
            <w:tcW w:w="1222" w:type="dxa"/>
            <w:hideMark/>
          </w:tcPr>
          <w:p w14:paraId="63E767B7" w14:textId="15C20A04" w:rsidR="00883525" w:rsidRPr="00AE35CB" w:rsidRDefault="00883525">
            <w:pPr>
              <w:pStyle w:val="ANorm"/>
              <w:rPr>
                <w:bCs/>
                <w:sz w:val="16"/>
                <w:szCs w:val="16"/>
              </w:rPr>
            </w:pPr>
            <w:r w:rsidRPr="00AE35CB">
              <w:rPr>
                <w:bCs/>
                <w:sz w:val="16"/>
                <w:szCs w:val="16"/>
              </w:rPr>
              <w:t>Better Access, GPs</w:t>
            </w:r>
            <w:r w:rsidRPr="00AE35CB">
              <w:rPr>
                <w:bCs/>
                <w:sz w:val="16"/>
                <w:szCs w:val="16"/>
              </w:rPr>
              <w:fldChar w:fldCharType="begin"/>
            </w:r>
            <w:r w:rsidR="004469A2">
              <w:rPr>
                <w:bCs/>
                <w:sz w:val="16"/>
                <w:szCs w:val="16"/>
              </w:rPr>
              <w:instrText xml:space="preserve"> ADDIN EN.CITE &lt;EndNote&gt;&lt;Cite&gt;&lt;Author&gt;Pirkis &lt;/Author&gt;&lt;Year&gt;2011&lt;/Year&gt;&lt;RecNum&gt;10&lt;/RecNum&gt;&lt;DisplayText&gt;&lt;style face="superscript"&gt;74&lt;/style&gt;&lt;/DisplayText&gt;&lt;record&gt;&lt;rec-number&gt;10&lt;/rec-number&gt;&lt;foreign-keys&gt;&lt;key app="EN" db-id="dawtr0zrkrzfa5edzzlpe2we0xa00t90vvr2" timestamp="1622896606"&gt;10&lt;/key&gt;&lt;/foreign-keys&gt;&lt;ref-type name="Journal Article"&gt;17&lt;/ref-type&gt;&lt;contributors&gt;&lt;authors&gt;&lt;author&gt;Pirkis , J.&lt;/author&gt;&lt;author&gt;Ftanou, M.&lt;/author&gt;&lt;author&gt;Williamson, M.&lt;/author&gt;&lt;author&gt;Machlin, A.&lt;/author&gt;&lt;author&gt;Spittal, M.&lt;/author&gt;&lt;author&gt;Bassilios, B.&lt;/author&gt;&lt;author&gt;Harris, M.&lt;/author&gt;&lt;/authors&gt;&lt;/contributors&gt;&lt;titles&gt;&lt;title&gt;Australia&amp;apos;s Better Access initiative: An evaluation&lt;/title&gt;&lt;secondary-title&gt;Australian and New Zealand Journal of Psychiatry&lt;/secondary-title&gt;&lt;/titles&gt;&lt;pages&gt;726-739&lt;/pages&gt;&lt;volume&gt;45&lt;/volume&gt;&lt;dates&gt;&lt;year&gt;2011&lt;/year&gt;&lt;/dates&gt;&lt;urls&gt;&lt;/urls&gt;&lt;/record&gt;&lt;/Cite&gt;&lt;/EndNote&gt;</w:instrText>
            </w:r>
            <w:r w:rsidRPr="00AE35CB">
              <w:rPr>
                <w:bCs/>
                <w:sz w:val="16"/>
                <w:szCs w:val="16"/>
              </w:rPr>
              <w:fldChar w:fldCharType="separate"/>
            </w:r>
            <w:r w:rsidR="004469A2" w:rsidRPr="004469A2">
              <w:rPr>
                <w:bCs/>
                <w:noProof/>
                <w:sz w:val="16"/>
                <w:szCs w:val="16"/>
                <w:vertAlign w:val="superscript"/>
              </w:rPr>
              <w:t>74</w:t>
            </w:r>
            <w:r w:rsidRPr="00AE35CB">
              <w:rPr>
                <w:bCs/>
                <w:sz w:val="16"/>
                <w:szCs w:val="16"/>
              </w:rPr>
              <w:fldChar w:fldCharType="end"/>
            </w:r>
          </w:p>
        </w:tc>
        <w:tc>
          <w:tcPr>
            <w:tcW w:w="7740" w:type="dxa"/>
            <w:gridSpan w:val="2"/>
          </w:tcPr>
          <w:p w14:paraId="3F82C09B" w14:textId="77777777" w:rsidR="00883525" w:rsidRPr="005723DA" w:rsidRDefault="00883525">
            <w:pPr>
              <w:pStyle w:val="ANorm"/>
              <w:rPr>
                <w:sz w:val="16"/>
                <w:szCs w:val="16"/>
              </w:rPr>
            </w:pPr>
            <w:r w:rsidRPr="005723DA">
              <w:rPr>
                <w:sz w:val="16"/>
                <w:szCs w:val="16"/>
              </w:rPr>
              <w:t>As above</w:t>
            </w:r>
          </w:p>
        </w:tc>
        <w:tc>
          <w:tcPr>
            <w:tcW w:w="810" w:type="dxa"/>
            <w:noWrap/>
            <w:vAlign w:val="center"/>
            <w:hideMark/>
          </w:tcPr>
          <w:p w14:paraId="1623CE15" w14:textId="77777777" w:rsidR="00883525" w:rsidRPr="005723DA" w:rsidRDefault="00883525" w:rsidP="00465429">
            <w:pPr>
              <w:pStyle w:val="ANorm"/>
              <w:jc w:val="center"/>
              <w:rPr>
                <w:sz w:val="16"/>
                <w:szCs w:val="16"/>
              </w:rPr>
            </w:pPr>
            <w:r w:rsidRPr="005723DA">
              <w:rPr>
                <w:sz w:val="16"/>
                <w:szCs w:val="16"/>
              </w:rPr>
              <w:t>K10</w:t>
            </w:r>
          </w:p>
        </w:tc>
        <w:tc>
          <w:tcPr>
            <w:tcW w:w="810" w:type="dxa"/>
            <w:noWrap/>
            <w:vAlign w:val="center"/>
            <w:hideMark/>
          </w:tcPr>
          <w:p w14:paraId="76A5B1F3" w14:textId="77777777" w:rsidR="00883525" w:rsidRPr="005723DA" w:rsidRDefault="00883525" w:rsidP="00465429">
            <w:pPr>
              <w:pStyle w:val="ANorm"/>
              <w:jc w:val="center"/>
              <w:rPr>
                <w:sz w:val="16"/>
                <w:szCs w:val="16"/>
              </w:rPr>
            </w:pPr>
            <w:r w:rsidRPr="005723DA">
              <w:rPr>
                <w:sz w:val="16"/>
                <w:szCs w:val="16"/>
              </w:rPr>
              <w:t>177</w:t>
            </w:r>
          </w:p>
        </w:tc>
        <w:tc>
          <w:tcPr>
            <w:tcW w:w="771" w:type="dxa"/>
            <w:noWrap/>
            <w:vAlign w:val="center"/>
            <w:hideMark/>
          </w:tcPr>
          <w:p w14:paraId="4DA8AB91" w14:textId="3B714275" w:rsidR="00883525" w:rsidRPr="005723DA" w:rsidRDefault="00883525" w:rsidP="00465429">
            <w:pPr>
              <w:pStyle w:val="ANorm"/>
              <w:jc w:val="center"/>
              <w:rPr>
                <w:sz w:val="16"/>
                <w:szCs w:val="16"/>
              </w:rPr>
            </w:pPr>
            <w:r w:rsidRPr="005723DA">
              <w:rPr>
                <w:sz w:val="16"/>
                <w:szCs w:val="16"/>
              </w:rPr>
              <w:t>30.9</w:t>
            </w:r>
          </w:p>
        </w:tc>
        <w:tc>
          <w:tcPr>
            <w:tcW w:w="759" w:type="dxa"/>
            <w:noWrap/>
            <w:vAlign w:val="center"/>
            <w:hideMark/>
          </w:tcPr>
          <w:p w14:paraId="5ACAAFEB" w14:textId="77777777" w:rsidR="00883525" w:rsidRPr="005723DA" w:rsidRDefault="00883525" w:rsidP="00465429">
            <w:pPr>
              <w:pStyle w:val="ANorm"/>
              <w:jc w:val="center"/>
              <w:rPr>
                <w:sz w:val="16"/>
                <w:szCs w:val="16"/>
              </w:rPr>
            </w:pPr>
            <w:r w:rsidRPr="005723DA">
              <w:rPr>
                <w:sz w:val="16"/>
                <w:szCs w:val="16"/>
              </w:rPr>
              <w:t>7.94</w:t>
            </w:r>
          </w:p>
        </w:tc>
        <w:tc>
          <w:tcPr>
            <w:tcW w:w="720" w:type="dxa"/>
            <w:noWrap/>
            <w:vAlign w:val="center"/>
            <w:hideMark/>
          </w:tcPr>
          <w:p w14:paraId="2CCBA6D6" w14:textId="77777777" w:rsidR="00883525" w:rsidRPr="005723DA" w:rsidRDefault="00883525" w:rsidP="00465429">
            <w:pPr>
              <w:pStyle w:val="ANorm"/>
              <w:jc w:val="center"/>
              <w:rPr>
                <w:sz w:val="16"/>
                <w:szCs w:val="16"/>
              </w:rPr>
            </w:pPr>
            <w:r w:rsidRPr="005723DA">
              <w:rPr>
                <w:sz w:val="16"/>
                <w:szCs w:val="16"/>
              </w:rPr>
              <w:t>177</w:t>
            </w:r>
          </w:p>
        </w:tc>
        <w:tc>
          <w:tcPr>
            <w:tcW w:w="763" w:type="dxa"/>
            <w:noWrap/>
            <w:vAlign w:val="center"/>
            <w:hideMark/>
          </w:tcPr>
          <w:p w14:paraId="1BCC18C4" w14:textId="77777777" w:rsidR="00883525" w:rsidRPr="005723DA" w:rsidRDefault="00883525" w:rsidP="00465429">
            <w:pPr>
              <w:pStyle w:val="ANorm"/>
              <w:jc w:val="center"/>
              <w:rPr>
                <w:sz w:val="16"/>
                <w:szCs w:val="16"/>
              </w:rPr>
            </w:pPr>
            <w:r w:rsidRPr="005723DA">
              <w:rPr>
                <w:sz w:val="16"/>
                <w:szCs w:val="16"/>
              </w:rPr>
              <w:t>22.88</w:t>
            </w:r>
          </w:p>
        </w:tc>
        <w:tc>
          <w:tcPr>
            <w:tcW w:w="500" w:type="dxa"/>
            <w:noWrap/>
            <w:vAlign w:val="center"/>
            <w:hideMark/>
          </w:tcPr>
          <w:p w14:paraId="7FDED371" w14:textId="77777777" w:rsidR="00883525" w:rsidRPr="005723DA" w:rsidRDefault="00883525" w:rsidP="00465429">
            <w:pPr>
              <w:pStyle w:val="ANorm"/>
              <w:jc w:val="center"/>
              <w:rPr>
                <w:sz w:val="16"/>
                <w:szCs w:val="16"/>
              </w:rPr>
            </w:pPr>
            <w:r w:rsidRPr="005723DA">
              <w:rPr>
                <w:sz w:val="16"/>
                <w:szCs w:val="16"/>
              </w:rPr>
              <w:t>8.54</w:t>
            </w:r>
          </w:p>
        </w:tc>
      </w:tr>
      <w:tr w:rsidR="00166422" w:rsidRPr="005723DA" w14:paraId="6D295F18" w14:textId="77777777" w:rsidTr="00E509E3">
        <w:trPr>
          <w:trHeight w:val="416"/>
        </w:trPr>
        <w:tc>
          <w:tcPr>
            <w:tcW w:w="1222" w:type="dxa"/>
            <w:tcBorders>
              <w:bottom w:val="single" w:sz="4" w:space="0" w:color="auto"/>
            </w:tcBorders>
            <w:hideMark/>
          </w:tcPr>
          <w:p w14:paraId="3B648AC6" w14:textId="6D2440F2" w:rsidR="00883525" w:rsidRPr="00AE35CB" w:rsidRDefault="00883525">
            <w:pPr>
              <w:pStyle w:val="ANorm"/>
              <w:rPr>
                <w:sz w:val="16"/>
                <w:szCs w:val="16"/>
              </w:rPr>
            </w:pPr>
            <w:r w:rsidRPr="00AE35CB">
              <w:rPr>
                <w:sz w:val="16"/>
                <w:szCs w:val="16"/>
              </w:rPr>
              <w:t xml:space="preserve">Tier 1 </w:t>
            </w:r>
            <w:proofErr w:type="spellStart"/>
            <w:r w:rsidRPr="00AE35CB">
              <w:rPr>
                <w:sz w:val="16"/>
                <w:szCs w:val="16"/>
              </w:rPr>
              <w:t>ATAPS</w:t>
            </w:r>
            <w:r w:rsidR="00741F75" w:rsidRPr="00741F75">
              <w:rPr>
                <w:sz w:val="16"/>
                <w:szCs w:val="16"/>
                <w:vertAlign w:val="superscript"/>
              </w:rPr>
              <w:t>a</w:t>
            </w:r>
            <w:proofErr w:type="spellEnd"/>
            <w:r w:rsidRPr="00AE35CB">
              <w:rPr>
                <w:sz w:val="16"/>
                <w:szCs w:val="16"/>
              </w:rPr>
              <w:t xml:space="preserve"> (</w:t>
            </w:r>
            <w:proofErr w:type="spellStart"/>
            <w:r w:rsidRPr="00AE35CB">
              <w:rPr>
                <w:sz w:val="16"/>
                <w:szCs w:val="16"/>
              </w:rPr>
              <w:t>Bassilios</w:t>
            </w:r>
            <w:proofErr w:type="spellEnd"/>
            <w:r w:rsidRPr="00AE35CB">
              <w:rPr>
                <w:sz w:val="16"/>
                <w:szCs w:val="16"/>
              </w:rPr>
              <w:t xml:space="preserve"> </w:t>
            </w:r>
            <w:r w:rsidR="0065750D">
              <w:rPr>
                <w:sz w:val="16"/>
                <w:szCs w:val="16"/>
              </w:rPr>
              <w:t>et al</w:t>
            </w:r>
            <w:r w:rsidRPr="00AE35CB">
              <w:rPr>
                <w:sz w:val="16"/>
                <w:szCs w:val="16"/>
              </w:rPr>
              <w:t xml:space="preserve"> 2017)</w:t>
            </w:r>
            <w:r w:rsidRPr="00AE35CB">
              <w:rPr>
                <w:sz w:val="16"/>
                <w:szCs w:val="16"/>
              </w:rPr>
              <w:fldChar w:fldCharType="begin"/>
            </w:r>
            <w:r w:rsidR="004469A2">
              <w:rPr>
                <w:sz w:val="16"/>
                <w:szCs w:val="16"/>
              </w:rPr>
              <w:instrText xml:space="preserve"> ADDIN EN.CITE &lt;EndNote&gt;&lt;Cite&gt;&lt;Author&gt;Bassilios&lt;/Author&gt;&lt;Year&gt;2017&lt;/Year&gt;&lt;RecNum&gt;7&lt;/RecNum&gt;&lt;DisplayText&gt;&lt;style face="superscript"&gt;75&lt;/style&gt;&lt;/DisplayText&gt;&lt;record&gt;&lt;rec-number&gt;7&lt;/rec-number&gt;&lt;foreign-keys&gt;&lt;key app="EN" db-id="dawtr0zrkrzfa5edzzlpe2we0xa00t90vvr2" timestamp="1622896177"&gt;7&lt;/key&gt;&lt;/foreign-keys&gt;&lt;ref-type name="Report"&gt;27&lt;/ref-type&gt;&lt;contributors&gt;&lt;authors&gt;&lt;author&gt;Bassilios, B.&lt;/author&gt;&lt;author&gt;Nicholas, A.&lt;/author&gt;&lt;author&gt;King, K.&lt;/author&gt;&lt;author&gt;Reifels, L.&lt;/author&gt;&lt;author&gt;Fletcher, J.&lt;/author&gt;&lt;author&gt;Pirkis, J.&lt;/author&gt;&lt;/authors&gt;&lt;/contributors&gt;&lt;titles&gt;&lt;title&gt;Evaluating the Access to Allied Psychological Services (ATAPS) and Mental Health Services in Rural and Remote Areas (MHSRRA) programs:  Final ATAPS and MHSRRA evaluation report&lt;/title&gt;&lt;/titles&gt;&lt;dates&gt;&lt;year&gt;2017&lt;/year&gt;&lt;/dates&gt;&lt;pub-location&gt;Melbourne&lt;/pub-location&gt;&lt;publisher&gt;Centre for Mental Health, University of Melbourne&lt;/publisher&gt;&lt;urls&gt;&lt;/urls&gt;&lt;/record&gt;&lt;/Cite&gt;&lt;/EndNote&gt;</w:instrText>
            </w:r>
            <w:r w:rsidRPr="00AE35CB">
              <w:rPr>
                <w:sz w:val="16"/>
                <w:szCs w:val="16"/>
              </w:rPr>
              <w:fldChar w:fldCharType="separate"/>
            </w:r>
            <w:r w:rsidR="004469A2" w:rsidRPr="004469A2">
              <w:rPr>
                <w:noProof/>
                <w:sz w:val="16"/>
                <w:szCs w:val="16"/>
                <w:vertAlign w:val="superscript"/>
              </w:rPr>
              <w:t>75</w:t>
            </w:r>
            <w:r w:rsidRPr="00AE35CB">
              <w:rPr>
                <w:sz w:val="16"/>
                <w:szCs w:val="16"/>
              </w:rPr>
              <w:fldChar w:fldCharType="end"/>
            </w:r>
          </w:p>
        </w:tc>
        <w:tc>
          <w:tcPr>
            <w:tcW w:w="7740" w:type="dxa"/>
            <w:gridSpan w:val="2"/>
            <w:tcBorders>
              <w:bottom w:val="single" w:sz="4" w:space="0" w:color="auto"/>
            </w:tcBorders>
          </w:tcPr>
          <w:p w14:paraId="1B2CA898" w14:textId="77777777" w:rsidR="00883525" w:rsidRPr="005723DA" w:rsidRDefault="00883525">
            <w:pPr>
              <w:pStyle w:val="ANorm"/>
              <w:rPr>
                <w:sz w:val="16"/>
                <w:szCs w:val="16"/>
              </w:rPr>
            </w:pPr>
            <w:r w:rsidRPr="005723DA">
              <w:rPr>
                <w:sz w:val="16"/>
                <w:szCs w:val="16"/>
              </w:rPr>
              <w:t>This care was typically delivered in up to 12 (or 18 in exceptional circumstances) individual face to face and/or 12 group sessions. Review by the referring GP was essential after each block of six sessions and/or the final session.</w:t>
            </w:r>
            <w:r>
              <w:rPr>
                <w:sz w:val="16"/>
                <w:szCs w:val="16"/>
              </w:rPr>
              <w:t xml:space="preserve"> </w:t>
            </w:r>
            <w:r w:rsidRPr="003004A3">
              <w:rPr>
                <w:b/>
                <w:bCs/>
                <w:sz w:val="16"/>
                <w:szCs w:val="16"/>
              </w:rPr>
              <w:t>July 2003-June 2016</w:t>
            </w:r>
          </w:p>
        </w:tc>
        <w:tc>
          <w:tcPr>
            <w:tcW w:w="810" w:type="dxa"/>
            <w:tcBorders>
              <w:bottom w:val="single" w:sz="4" w:space="0" w:color="auto"/>
            </w:tcBorders>
            <w:noWrap/>
            <w:vAlign w:val="center"/>
            <w:hideMark/>
          </w:tcPr>
          <w:p w14:paraId="1B4CA0D1" w14:textId="77777777" w:rsidR="00883525" w:rsidRPr="005723DA" w:rsidRDefault="00883525" w:rsidP="00465429">
            <w:pPr>
              <w:pStyle w:val="ANorm"/>
              <w:jc w:val="center"/>
              <w:rPr>
                <w:sz w:val="16"/>
                <w:szCs w:val="16"/>
              </w:rPr>
            </w:pPr>
            <w:r w:rsidRPr="005723DA">
              <w:rPr>
                <w:sz w:val="16"/>
                <w:szCs w:val="16"/>
              </w:rPr>
              <w:t>K10</w:t>
            </w:r>
          </w:p>
        </w:tc>
        <w:tc>
          <w:tcPr>
            <w:tcW w:w="810" w:type="dxa"/>
            <w:tcBorders>
              <w:bottom w:val="single" w:sz="4" w:space="0" w:color="auto"/>
            </w:tcBorders>
            <w:noWrap/>
            <w:vAlign w:val="center"/>
            <w:hideMark/>
          </w:tcPr>
          <w:p w14:paraId="65C24458" w14:textId="77777777" w:rsidR="00883525" w:rsidRPr="005723DA" w:rsidRDefault="00883525" w:rsidP="00465429">
            <w:pPr>
              <w:pStyle w:val="ANorm"/>
              <w:jc w:val="center"/>
              <w:rPr>
                <w:sz w:val="16"/>
                <w:szCs w:val="16"/>
              </w:rPr>
            </w:pPr>
            <w:r w:rsidRPr="005723DA">
              <w:rPr>
                <w:sz w:val="16"/>
                <w:szCs w:val="16"/>
              </w:rPr>
              <w:t>22399</w:t>
            </w:r>
          </w:p>
        </w:tc>
        <w:tc>
          <w:tcPr>
            <w:tcW w:w="771" w:type="dxa"/>
            <w:tcBorders>
              <w:bottom w:val="single" w:sz="4" w:space="0" w:color="auto"/>
            </w:tcBorders>
            <w:noWrap/>
            <w:vAlign w:val="center"/>
            <w:hideMark/>
          </w:tcPr>
          <w:p w14:paraId="68C4DCAD" w14:textId="77777777" w:rsidR="00883525" w:rsidRPr="005723DA" w:rsidRDefault="00883525" w:rsidP="00465429">
            <w:pPr>
              <w:pStyle w:val="ANorm"/>
              <w:jc w:val="center"/>
              <w:rPr>
                <w:sz w:val="16"/>
                <w:szCs w:val="16"/>
              </w:rPr>
            </w:pPr>
            <w:r w:rsidRPr="005723DA">
              <w:rPr>
                <w:sz w:val="16"/>
                <w:szCs w:val="16"/>
              </w:rPr>
              <w:t>30.9</w:t>
            </w:r>
          </w:p>
        </w:tc>
        <w:tc>
          <w:tcPr>
            <w:tcW w:w="759" w:type="dxa"/>
            <w:tcBorders>
              <w:bottom w:val="single" w:sz="4" w:space="0" w:color="auto"/>
            </w:tcBorders>
            <w:noWrap/>
            <w:vAlign w:val="center"/>
            <w:hideMark/>
          </w:tcPr>
          <w:p w14:paraId="6352CA96" w14:textId="77777777" w:rsidR="00883525" w:rsidRPr="005723DA" w:rsidRDefault="00883525" w:rsidP="00465429">
            <w:pPr>
              <w:pStyle w:val="ANorm"/>
              <w:jc w:val="center"/>
              <w:rPr>
                <w:sz w:val="16"/>
                <w:szCs w:val="16"/>
              </w:rPr>
            </w:pPr>
            <w:r w:rsidRPr="005723DA">
              <w:rPr>
                <w:sz w:val="16"/>
                <w:szCs w:val="16"/>
              </w:rPr>
              <w:t>8</w:t>
            </w:r>
          </w:p>
        </w:tc>
        <w:tc>
          <w:tcPr>
            <w:tcW w:w="720" w:type="dxa"/>
            <w:tcBorders>
              <w:bottom w:val="single" w:sz="4" w:space="0" w:color="auto"/>
            </w:tcBorders>
            <w:noWrap/>
            <w:vAlign w:val="center"/>
            <w:hideMark/>
          </w:tcPr>
          <w:p w14:paraId="7A32D25A" w14:textId="77777777" w:rsidR="00883525" w:rsidRPr="005723DA" w:rsidRDefault="00883525" w:rsidP="00465429">
            <w:pPr>
              <w:pStyle w:val="ANorm"/>
              <w:jc w:val="center"/>
              <w:rPr>
                <w:sz w:val="16"/>
                <w:szCs w:val="16"/>
              </w:rPr>
            </w:pPr>
            <w:r w:rsidRPr="005723DA">
              <w:rPr>
                <w:sz w:val="16"/>
                <w:szCs w:val="16"/>
              </w:rPr>
              <w:t>22399</w:t>
            </w:r>
          </w:p>
        </w:tc>
        <w:tc>
          <w:tcPr>
            <w:tcW w:w="763" w:type="dxa"/>
            <w:tcBorders>
              <w:bottom w:val="single" w:sz="4" w:space="0" w:color="auto"/>
            </w:tcBorders>
            <w:noWrap/>
            <w:vAlign w:val="center"/>
            <w:hideMark/>
          </w:tcPr>
          <w:p w14:paraId="0ABCBC30" w14:textId="77777777" w:rsidR="00883525" w:rsidRPr="005723DA" w:rsidRDefault="00883525" w:rsidP="00465429">
            <w:pPr>
              <w:pStyle w:val="ANorm"/>
              <w:jc w:val="center"/>
              <w:rPr>
                <w:sz w:val="16"/>
                <w:szCs w:val="16"/>
              </w:rPr>
            </w:pPr>
            <w:r w:rsidRPr="005723DA">
              <w:rPr>
                <w:sz w:val="16"/>
                <w:szCs w:val="16"/>
              </w:rPr>
              <w:t>23</w:t>
            </w:r>
          </w:p>
        </w:tc>
        <w:tc>
          <w:tcPr>
            <w:tcW w:w="500" w:type="dxa"/>
            <w:tcBorders>
              <w:bottom w:val="single" w:sz="4" w:space="0" w:color="auto"/>
            </w:tcBorders>
            <w:noWrap/>
            <w:vAlign w:val="center"/>
            <w:hideMark/>
          </w:tcPr>
          <w:p w14:paraId="058C29B9" w14:textId="77777777" w:rsidR="00883525" w:rsidRPr="005723DA" w:rsidRDefault="00883525" w:rsidP="00465429">
            <w:pPr>
              <w:pStyle w:val="ANorm"/>
              <w:jc w:val="center"/>
              <w:rPr>
                <w:sz w:val="16"/>
                <w:szCs w:val="16"/>
              </w:rPr>
            </w:pPr>
            <w:r w:rsidRPr="005723DA">
              <w:rPr>
                <w:sz w:val="16"/>
                <w:szCs w:val="16"/>
              </w:rPr>
              <w:t>8.5</w:t>
            </w:r>
          </w:p>
        </w:tc>
      </w:tr>
      <w:tr w:rsidR="006D74C1" w:rsidRPr="005723DA" w14:paraId="0CD33974" w14:textId="77777777" w:rsidTr="00E509E3">
        <w:trPr>
          <w:trHeight w:val="237"/>
        </w:trPr>
        <w:tc>
          <w:tcPr>
            <w:tcW w:w="8962" w:type="dxa"/>
            <w:gridSpan w:val="3"/>
            <w:tcBorders>
              <w:right w:val="nil"/>
            </w:tcBorders>
            <w:shd w:val="clear" w:color="auto" w:fill="D9D9D9" w:themeFill="background1" w:themeFillShade="D9"/>
          </w:tcPr>
          <w:p w14:paraId="67320118" w14:textId="53943F0C" w:rsidR="00883525" w:rsidRPr="005723DA" w:rsidRDefault="00B526E0">
            <w:pPr>
              <w:pStyle w:val="ANorm"/>
              <w:rPr>
                <w:sz w:val="16"/>
                <w:szCs w:val="16"/>
              </w:rPr>
            </w:pPr>
            <w:r>
              <w:rPr>
                <w:b/>
                <w:bCs/>
                <w:sz w:val="16"/>
                <w:szCs w:val="16"/>
              </w:rPr>
              <w:t>Australian t</w:t>
            </w:r>
            <w:r w:rsidR="00883525" w:rsidRPr="005723DA">
              <w:rPr>
                <w:b/>
                <w:bCs/>
                <w:sz w:val="16"/>
                <w:szCs w:val="16"/>
              </w:rPr>
              <w:t>reatment as usual control groups from Link-me RCT</w:t>
            </w:r>
          </w:p>
        </w:tc>
        <w:tc>
          <w:tcPr>
            <w:tcW w:w="1620" w:type="dxa"/>
            <w:gridSpan w:val="2"/>
            <w:tcBorders>
              <w:left w:val="nil"/>
              <w:right w:val="nil"/>
            </w:tcBorders>
            <w:shd w:val="clear" w:color="auto" w:fill="D9D9D9" w:themeFill="background1" w:themeFillShade="D9"/>
            <w:noWrap/>
          </w:tcPr>
          <w:p w14:paraId="0460ECC9" w14:textId="77777777" w:rsidR="00883525" w:rsidRPr="005723DA" w:rsidRDefault="00883525">
            <w:pPr>
              <w:pStyle w:val="ANorm"/>
              <w:rPr>
                <w:sz w:val="16"/>
                <w:szCs w:val="16"/>
              </w:rPr>
            </w:pPr>
          </w:p>
        </w:tc>
        <w:tc>
          <w:tcPr>
            <w:tcW w:w="771" w:type="dxa"/>
            <w:tcBorders>
              <w:left w:val="nil"/>
              <w:right w:val="nil"/>
            </w:tcBorders>
            <w:shd w:val="clear" w:color="auto" w:fill="D9D9D9" w:themeFill="background1" w:themeFillShade="D9"/>
            <w:noWrap/>
          </w:tcPr>
          <w:p w14:paraId="15688030" w14:textId="77777777" w:rsidR="00883525" w:rsidRPr="005723DA" w:rsidRDefault="00883525">
            <w:pPr>
              <w:pStyle w:val="ANorm"/>
              <w:rPr>
                <w:sz w:val="16"/>
                <w:szCs w:val="16"/>
              </w:rPr>
            </w:pPr>
          </w:p>
        </w:tc>
        <w:tc>
          <w:tcPr>
            <w:tcW w:w="759" w:type="dxa"/>
            <w:tcBorders>
              <w:left w:val="nil"/>
              <w:right w:val="nil"/>
            </w:tcBorders>
            <w:shd w:val="clear" w:color="auto" w:fill="D9D9D9" w:themeFill="background1" w:themeFillShade="D9"/>
            <w:noWrap/>
          </w:tcPr>
          <w:p w14:paraId="650A6882" w14:textId="77777777" w:rsidR="00883525" w:rsidRPr="005723DA" w:rsidRDefault="00883525">
            <w:pPr>
              <w:pStyle w:val="ANorm"/>
              <w:rPr>
                <w:sz w:val="16"/>
                <w:szCs w:val="16"/>
              </w:rPr>
            </w:pPr>
          </w:p>
        </w:tc>
        <w:tc>
          <w:tcPr>
            <w:tcW w:w="720" w:type="dxa"/>
            <w:tcBorders>
              <w:left w:val="nil"/>
              <w:right w:val="nil"/>
            </w:tcBorders>
            <w:shd w:val="clear" w:color="auto" w:fill="D9D9D9" w:themeFill="background1" w:themeFillShade="D9"/>
            <w:noWrap/>
          </w:tcPr>
          <w:p w14:paraId="5B583078" w14:textId="77777777" w:rsidR="00883525" w:rsidRPr="005723DA" w:rsidRDefault="00883525">
            <w:pPr>
              <w:pStyle w:val="ANorm"/>
              <w:rPr>
                <w:sz w:val="16"/>
                <w:szCs w:val="16"/>
              </w:rPr>
            </w:pPr>
          </w:p>
        </w:tc>
        <w:tc>
          <w:tcPr>
            <w:tcW w:w="763" w:type="dxa"/>
            <w:tcBorders>
              <w:left w:val="nil"/>
              <w:right w:val="nil"/>
            </w:tcBorders>
            <w:shd w:val="clear" w:color="auto" w:fill="D9D9D9" w:themeFill="background1" w:themeFillShade="D9"/>
            <w:noWrap/>
          </w:tcPr>
          <w:p w14:paraId="6148655A" w14:textId="77777777" w:rsidR="00883525" w:rsidRPr="005723DA" w:rsidRDefault="00883525">
            <w:pPr>
              <w:pStyle w:val="ANorm"/>
              <w:rPr>
                <w:sz w:val="16"/>
                <w:szCs w:val="16"/>
              </w:rPr>
            </w:pPr>
          </w:p>
        </w:tc>
        <w:tc>
          <w:tcPr>
            <w:tcW w:w="500" w:type="dxa"/>
            <w:tcBorders>
              <w:left w:val="nil"/>
              <w:right w:val="single" w:sz="4" w:space="0" w:color="auto"/>
            </w:tcBorders>
            <w:shd w:val="clear" w:color="auto" w:fill="D9D9D9" w:themeFill="background1" w:themeFillShade="D9"/>
            <w:noWrap/>
          </w:tcPr>
          <w:p w14:paraId="31650DE8" w14:textId="77777777" w:rsidR="00883525" w:rsidRPr="005723DA" w:rsidRDefault="00883525">
            <w:pPr>
              <w:pStyle w:val="ANorm"/>
              <w:rPr>
                <w:sz w:val="16"/>
                <w:szCs w:val="16"/>
              </w:rPr>
            </w:pPr>
          </w:p>
        </w:tc>
      </w:tr>
      <w:tr w:rsidR="00035CCE" w:rsidRPr="005723DA" w14:paraId="1ADCFE45" w14:textId="77777777" w:rsidTr="00E509E3">
        <w:trPr>
          <w:trHeight w:val="416"/>
        </w:trPr>
        <w:tc>
          <w:tcPr>
            <w:tcW w:w="1222" w:type="dxa"/>
          </w:tcPr>
          <w:p w14:paraId="1E4FC526" w14:textId="77777777" w:rsidR="00883525" w:rsidRPr="00465429" w:rsidRDefault="00883525">
            <w:pPr>
              <w:pStyle w:val="ANorm"/>
              <w:rPr>
                <w:sz w:val="16"/>
                <w:szCs w:val="16"/>
              </w:rPr>
            </w:pPr>
            <w:r w:rsidRPr="00465429">
              <w:rPr>
                <w:sz w:val="16"/>
                <w:szCs w:val="16"/>
              </w:rPr>
              <w:t>Link-me severe control group</w:t>
            </w:r>
          </w:p>
          <w:p w14:paraId="754B0A82" w14:textId="13E089E9" w:rsidR="00883525" w:rsidRPr="00465429" w:rsidRDefault="00883525">
            <w:pPr>
              <w:pStyle w:val="ANorm"/>
              <w:rPr>
                <w:sz w:val="16"/>
                <w:szCs w:val="16"/>
              </w:rPr>
            </w:pPr>
            <w:r w:rsidRPr="00465429">
              <w:rPr>
                <w:sz w:val="16"/>
                <w:szCs w:val="16"/>
              </w:rPr>
              <w:t xml:space="preserve">(Fletcher </w:t>
            </w:r>
            <w:r w:rsidR="0065750D">
              <w:rPr>
                <w:sz w:val="16"/>
                <w:szCs w:val="16"/>
              </w:rPr>
              <w:t>et al</w:t>
            </w:r>
            <w:r w:rsidRPr="00465429">
              <w:rPr>
                <w:sz w:val="16"/>
                <w:szCs w:val="16"/>
              </w:rPr>
              <w:t xml:space="preserve"> 2021)</w:t>
            </w:r>
            <w:r w:rsidRPr="00465429">
              <w:rPr>
                <w:sz w:val="16"/>
                <w:szCs w:val="16"/>
              </w:rPr>
              <w:fldChar w:fldCharType="begin">
                <w:fldData xml:space="preserve">PEVuZE5vdGU+PENpdGU+PEF1dGhvcj5GbGV0Y2hlcjwvQXV0aG9yPjxZZWFyPjIwMjE8L1llYXI+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</w:fldData>
              </w:fldChar>
            </w:r>
            <w:r w:rsidR="004469A2">
              <w:rPr>
                <w:sz w:val="16"/>
                <w:szCs w:val="16"/>
              </w:rPr>
              <w:instrText xml:space="preserve"> ADDIN EN.CITE </w:instrText>
            </w:r>
            <w:r w:rsidR="004469A2">
              <w:rPr>
                <w:sz w:val="16"/>
                <w:szCs w:val="16"/>
              </w:rPr>
              <w:fldChar w:fldCharType="begin">
                <w:fldData xml:space="preserve">PEVuZE5vdGU+PENpdGU+PEF1dGhvcj5GbGV0Y2hlcjwvQXV0aG9yPjxZZWFyPjIwMjE8L1llYXI+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</w:fldData>
              </w:fldChar>
            </w:r>
            <w:r w:rsidR="004469A2">
              <w:rPr>
                <w:sz w:val="16"/>
                <w:szCs w:val="16"/>
              </w:rPr>
              <w:instrText xml:space="preserve"> ADDIN EN.CITE.DATA </w:instrText>
            </w:r>
            <w:r w:rsidR="004469A2">
              <w:rPr>
                <w:sz w:val="16"/>
                <w:szCs w:val="16"/>
              </w:rPr>
            </w:r>
            <w:r w:rsidR="004469A2">
              <w:rPr>
                <w:sz w:val="16"/>
                <w:szCs w:val="16"/>
              </w:rPr>
              <w:fldChar w:fldCharType="end"/>
            </w:r>
            <w:r w:rsidRPr="00465429">
              <w:rPr>
                <w:sz w:val="16"/>
                <w:szCs w:val="16"/>
              </w:rPr>
            </w:r>
            <w:r w:rsidRPr="00465429">
              <w:rPr>
                <w:sz w:val="16"/>
                <w:szCs w:val="16"/>
              </w:rPr>
              <w:fldChar w:fldCharType="separate"/>
            </w:r>
            <w:r w:rsidR="004469A2" w:rsidRPr="004469A2">
              <w:rPr>
                <w:noProof/>
                <w:sz w:val="16"/>
                <w:szCs w:val="16"/>
                <w:vertAlign w:val="superscript"/>
              </w:rPr>
              <w:t>76</w:t>
            </w:r>
            <w:r w:rsidRPr="00465429">
              <w:rPr>
                <w:sz w:val="16"/>
                <w:szCs w:val="16"/>
              </w:rPr>
              <w:fldChar w:fldCharType="end"/>
            </w:r>
          </w:p>
        </w:tc>
        <w:tc>
          <w:tcPr>
            <w:tcW w:w="7740" w:type="dxa"/>
            <w:gridSpan w:val="2"/>
          </w:tcPr>
          <w:p w14:paraId="5ADF16E9" w14:textId="3164D976" w:rsidR="00883525" w:rsidRPr="00465429" w:rsidRDefault="00883525">
            <w:pPr>
              <w:pStyle w:val="ANorm"/>
              <w:rPr>
                <w:sz w:val="16"/>
                <w:szCs w:val="16"/>
              </w:rPr>
            </w:pPr>
            <w:r w:rsidRPr="00465429">
              <w:rPr>
                <w:rFonts w:asciiTheme="minorHAnsi" w:hAnsiTheme="minorHAnsi" w:cstheme="minorHAnsi"/>
                <w:sz w:val="16"/>
                <w:szCs w:val="16"/>
              </w:rPr>
              <w:t>Control group from RCT involving patient-completed Decision Support Tool (DST) completed via tablet, to predict severity of depression or anxiety. Control group encouraged, on the tablet and via an automated email sent on completion of the Link-me DST, to discuss any mental health concerns with their GP. Participants were free to continue or modify any treatment they were receiving at trial entry, and to commence new or additional treatments at any time.</w:t>
            </w:r>
            <w:r w:rsidR="00C933B9" w:rsidRPr="00465429">
              <w:rPr>
                <w:rFonts w:asciiTheme="minorHAnsi" w:hAnsiTheme="minorHAnsi" w:cstheme="minorHAnsi"/>
                <w:sz w:val="16"/>
                <w:szCs w:val="16"/>
              </w:rPr>
              <w:t xml:space="preserve"> </w:t>
            </w:r>
            <w:r w:rsidR="00C933B9" w:rsidRPr="00465429">
              <w:rPr>
                <w:rFonts w:asciiTheme="minorHAnsi" w:hAnsiTheme="minorHAnsi" w:cstheme="minorHAnsi"/>
                <w:b/>
                <w:bCs/>
                <w:sz w:val="16"/>
                <w:szCs w:val="16"/>
              </w:rPr>
              <w:t>November 2017</w:t>
            </w:r>
            <w:r w:rsidR="00465429" w:rsidRPr="00465429">
              <w:rPr>
                <w:rFonts w:asciiTheme="minorHAnsi" w:hAnsiTheme="minorHAnsi" w:cstheme="minorHAnsi"/>
                <w:b/>
                <w:bCs/>
                <w:sz w:val="16"/>
                <w:szCs w:val="16"/>
              </w:rPr>
              <w:t>-October 2018</w:t>
            </w:r>
          </w:p>
        </w:tc>
        <w:tc>
          <w:tcPr>
            <w:tcW w:w="810" w:type="dxa"/>
            <w:noWrap/>
            <w:vAlign w:val="center"/>
          </w:tcPr>
          <w:p w14:paraId="3B7EC1E2" w14:textId="77777777" w:rsidR="00883525" w:rsidRPr="00465429" w:rsidRDefault="00883525" w:rsidP="00465429">
            <w:pPr>
              <w:pStyle w:val="ANorm"/>
              <w:jc w:val="center"/>
              <w:rPr>
                <w:sz w:val="16"/>
                <w:szCs w:val="16"/>
              </w:rPr>
            </w:pPr>
            <w:r w:rsidRPr="00465429">
              <w:rPr>
                <w:sz w:val="16"/>
                <w:szCs w:val="16"/>
              </w:rPr>
              <w:t>K10</w:t>
            </w:r>
          </w:p>
        </w:tc>
        <w:tc>
          <w:tcPr>
            <w:tcW w:w="810" w:type="dxa"/>
            <w:noWrap/>
            <w:vAlign w:val="center"/>
          </w:tcPr>
          <w:p w14:paraId="08E0E1C2" w14:textId="77777777" w:rsidR="00883525" w:rsidRPr="00465429" w:rsidRDefault="00883525" w:rsidP="00465429">
            <w:pPr>
              <w:pStyle w:val="ANorm"/>
              <w:jc w:val="center"/>
              <w:rPr>
                <w:sz w:val="16"/>
                <w:szCs w:val="16"/>
              </w:rPr>
            </w:pPr>
            <w:r w:rsidRPr="00465429">
              <w:rPr>
                <w:sz w:val="16"/>
                <w:szCs w:val="16"/>
              </w:rPr>
              <w:t>421</w:t>
            </w:r>
          </w:p>
        </w:tc>
        <w:tc>
          <w:tcPr>
            <w:tcW w:w="771" w:type="dxa"/>
            <w:noWrap/>
            <w:vAlign w:val="center"/>
          </w:tcPr>
          <w:p w14:paraId="36417D1C" w14:textId="77777777" w:rsidR="00883525" w:rsidRPr="00465429" w:rsidRDefault="00883525" w:rsidP="00465429">
            <w:pPr>
              <w:pStyle w:val="ANorm"/>
              <w:jc w:val="center"/>
              <w:rPr>
                <w:sz w:val="16"/>
                <w:szCs w:val="16"/>
              </w:rPr>
            </w:pPr>
            <w:r w:rsidRPr="00465429">
              <w:rPr>
                <w:sz w:val="16"/>
                <w:szCs w:val="16"/>
              </w:rPr>
              <w:t>31.9 (31.2, 32.6)</w:t>
            </w:r>
          </w:p>
        </w:tc>
        <w:tc>
          <w:tcPr>
            <w:tcW w:w="759" w:type="dxa"/>
            <w:noWrap/>
            <w:vAlign w:val="center"/>
          </w:tcPr>
          <w:p w14:paraId="09696667" w14:textId="0B3BB1CD" w:rsidR="00883525" w:rsidRPr="00465429" w:rsidRDefault="00465429" w:rsidP="00465429">
            <w:pPr>
              <w:pStyle w:val="ANorm"/>
              <w:jc w:val="center"/>
              <w:rPr>
                <w:sz w:val="16"/>
                <w:szCs w:val="16"/>
              </w:rPr>
            </w:pPr>
            <w:r>
              <w:rPr>
                <w:sz w:val="16"/>
                <w:szCs w:val="16"/>
              </w:rPr>
              <w:t>-</w:t>
            </w:r>
          </w:p>
        </w:tc>
        <w:tc>
          <w:tcPr>
            <w:tcW w:w="720" w:type="dxa"/>
            <w:noWrap/>
            <w:vAlign w:val="center"/>
          </w:tcPr>
          <w:p w14:paraId="2B8A3EFB" w14:textId="77777777" w:rsidR="00883525" w:rsidRPr="00465429" w:rsidRDefault="00883525" w:rsidP="00465429">
            <w:pPr>
              <w:pStyle w:val="ANorm"/>
              <w:jc w:val="center"/>
              <w:rPr>
                <w:sz w:val="16"/>
                <w:szCs w:val="16"/>
              </w:rPr>
            </w:pPr>
            <w:r w:rsidRPr="00465429">
              <w:rPr>
                <w:sz w:val="16"/>
                <w:szCs w:val="16"/>
              </w:rPr>
              <w:t>421</w:t>
            </w:r>
          </w:p>
        </w:tc>
        <w:tc>
          <w:tcPr>
            <w:tcW w:w="763" w:type="dxa"/>
            <w:noWrap/>
            <w:vAlign w:val="center"/>
          </w:tcPr>
          <w:p w14:paraId="719EFA8C" w14:textId="77777777" w:rsidR="00883525" w:rsidRPr="00465429" w:rsidRDefault="00883525" w:rsidP="00465429">
            <w:pPr>
              <w:pStyle w:val="ANorm"/>
              <w:jc w:val="center"/>
              <w:rPr>
                <w:sz w:val="16"/>
                <w:szCs w:val="16"/>
              </w:rPr>
            </w:pPr>
            <w:r w:rsidRPr="00465429">
              <w:rPr>
                <w:sz w:val="16"/>
                <w:szCs w:val="16"/>
              </w:rPr>
              <w:t>29.1 (28.2, 30.0)</w:t>
            </w:r>
          </w:p>
        </w:tc>
        <w:tc>
          <w:tcPr>
            <w:tcW w:w="500" w:type="dxa"/>
            <w:noWrap/>
            <w:vAlign w:val="center"/>
          </w:tcPr>
          <w:p w14:paraId="7AFEC51E" w14:textId="0C20AFC6" w:rsidR="00883525" w:rsidRPr="00465429" w:rsidRDefault="00465429" w:rsidP="00465429">
            <w:pPr>
              <w:pStyle w:val="ANorm"/>
              <w:jc w:val="center"/>
              <w:rPr>
                <w:sz w:val="16"/>
                <w:szCs w:val="16"/>
              </w:rPr>
            </w:pPr>
            <w:r>
              <w:rPr>
                <w:sz w:val="16"/>
                <w:szCs w:val="16"/>
              </w:rPr>
              <w:t>-</w:t>
            </w:r>
          </w:p>
        </w:tc>
      </w:tr>
      <w:tr w:rsidR="00035CCE" w:rsidRPr="005723DA" w14:paraId="1FF32654" w14:textId="77777777" w:rsidTr="00E509E3">
        <w:trPr>
          <w:trHeight w:val="416"/>
        </w:trPr>
        <w:tc>
          <w:tcPr>
            <w:tcW w:w="1222" w:type="dxa"/>
          </w:tcPr>
          <w:p w14:paraId="2B1365F9" w14:textId="5E622157" w:rsidR="00883525" w:rsidRPr="005723DA" w:rsidRDefault="00883525">
            <w:pPr>
              <w:pStyle w:val="ANorm"/>
              <w:rPr>
                <w:sz w:val="16"/>
                <w:szCs w:val="16"/>
              </w:rPr>
            </w:pPr>
            <w:r w:rsidRPr="005723DA">
              <w:rPr>
                <w:sz w:val="16"/>
                <w:szCs w:val="16"/>
              </w:rPr>
              <w:t>Link-me moderate control group</w:t>
            </w:r>
            <w:r>
              <w:rPr>
                <w:sz w:val="16"/>
                <w:szCs w:val="16"/>
              </w:rPr>
              <w:fldChar w:fldCharType="begin">
                <w:fldData xml:space="preserve">PEVuZE5vdGU+PENpdGU+PEF1dGhvcj5GbGV0Y2hlcjwvQXV0aG9yPjxZZWFyPjIwMjE8L1llYXI+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</w:fldData>
              </w:fldChar>
            </w:r>
            <w:r w:rsidR="004469A2">
              <w:rPr>
                <w:sz w:val="16"/>
                <w:szCs w:val="16"/>
              </w:rPr>
              <w:instrText xml:space="preserve"> ADDIN EN.CITE </w:instrText>
            </w:r>
            <w:r w:rsidR="004469A2">
              <w:rPr>
                <w:sz w:val="16"/>
                <w:szCs w:val="16"/>
              </w:rPr>
              <w:fldChar w:fldCharType="begin">
                <w:fldData xml:space="preserve">PEVuZE5vdGU+PENpdGU+PEF1dGhvcj5GbGV0Y2hlcjwvQXV0aG9yPjxZZWFyPjIwMjE8L1llYXI+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</w:fldData>
              </w:fldChar>
            </w:r>
            <w:r w:rsidR="004469A2">
              <w:rPr>
                <w:sz w:val="16"/>
                <w:szCs w:val="16"/>
              </w:rPr>
              <w:instrText xml:space="preserve"> ADDIN EN.CITE.DATA </w:instrText>
            </w:r>
            <w:r w:rsidR="004469A2">
              <w:rPr>
                <w:sz w:val="16"/>
                <w:szCs w:val="16"/>
              </w:rPr>
            </w:r>
            <w:r w:rsidR="004469A2">
              <w:rPr>
                <w:sz w:val="16"/>
                <w:szCs w:val="16"/>
              </w:rPr>
              <w:fldChar w:fldCharType="end"/>
            </w:r>
            <w:r>
              <w:rPr>
                <w:sz w:val="16"/>
                <w:szCs w:val="16"/>
              </w:rPr>
            </w:r>
            <w:r>
              <w:rPr>
                <w:sz w:val="16"/>
                <w:szCs w:val="16"/>
              </w:rPr>
              <w:fldChar w:fldCharType="separate"/>
            </w:r>
            <w:r w:rsidR="004469A2" w:rsidRPr="004469A2">
              <w:rPr>
                <w:noProof/>
                <w:sz w:val="16"/>
                <w:szCs w:val="16"/>
                <w:vertAlign w:val="superscript"/>
              </w:rPr>
              <w:t>76</w:t>
            </w:r>
            <w:r>
              <w:rPr>
                <w:sz w:val="16"/>
                <w:szCs w:val="16"/>
              </w:rPr>
              <w:fldChar w:fldCharType="end"/>
            </w:r>
          </w:p>
        </w:tc>
        <w:tc>
          <w:tcPr>
            <w:tcW w:w="7740" w:type="dxa"/>
            <w:gridSpan w:val="2"/>
          </w:tcPr>
          <w:p w14:paraId="223BD12F" w14:textId="77777777" w:rsidR="00883525" w:rsidRPr="005723DA" w:rsidRDefault="00883525">
            <w:pPr>
              <w:pStyle w:val="ANorm"/>
              <w:rPr>
                <w:sz w:val="16"/>
                <w:szCs w:val="16"/>
              </w:rPr>
            </w:pPr>
            <w:r w:rsidRPr="005723DA">
              <w:rPr>
                <w:sz w:val="16"/>
                <w:szCs w:val="16"/>
              </w:rPr>
              <w:t>As above</w:t>
            </w:r>
          </w:p>
        </w:tc>
        <w:tc>
          <w:tcPr>
            <w:tcW w:w="810" w:type="dxa"/>
            <w:noWrap/>
            <w:vAlign w:val="center"/>
          </w:tcPr>
          <w:p w14:paraId="6BD4B5BD" w14:textId="77777777" w:rsidR="00883525" w:rsidRPr="005723DA" w:rsidRDefault="00883525" w:rsidP="00465429">
            <w:pPr>
              <w:pStyle w:val="ANorm"/>
              <w:jc w:val="center"/>
              <w:rPr>
                <w:sz w:val="16"/>
                <w:szCs w:val="16"/>
              </w:rPr>
            </w:pPr>
            <w:r w:rsidRPr="005723DA">
              <w:rPr>
                <w:sz w:val="16"/>
                <w:szCs w:val="16"/>
              </w:rPr>
              <w:t>K10</w:t>
            </w:r>
          </w:p>
        </w:tc>
        <w:tc>
          <w:tcPr>
            <w:tcW w:w="810" w:type="dxa"/>
            <w:noWrap/>
            <w:vAlign w:val="center"/>
          </w:tcPr>
          <w:p w14:paraId="5A4D004E" w14:textId="77777777" w:rsidR="00883525" w:rsidRPr="005723DA" w:rsidRDefault="00883525" w:rsidP="00465429">
            <w:pPr>
              <w:pStyle w:val="ANorm"/>
              <w:jc w:val="center"/>
              <w:rPr>
                <w:sz w:val="16"/>
                <w:szCs w:val="16"/>
              </w:rPr>
            </w:pPr>
            <w:r w:rsidRPr="005723DA">
              <w:rPr>
                <w:sz w:val="16"/>
                <w:szCs w:val="16"/>
              </w:rPr>
              <w:t>427</w:t>
            </w:r>
          </w:p>
        </w:tc>
        <w:tc>
          <w:tcPr>
            <w:tcW w:w="771" w:type="dxa"/>
            <w:noWrap/>
            <w:vAlign w:val="center"/>
          </w:tcPr>
          <w:p w14:paraId="571198DC" w14:textId="77777777" w:rsidR="00883525" w:rsidRPr="005723DA" w:rsidRDefault="00883525" w:rsidP="00465429">
            <w:pPr>
              <w:pStyle w:val="ANorm"/>
              <w:jc w:val="center"/>
              <w:rPr>
                <w:sz w:val="16"/>
                <w:szCs w:val="16"/>
              </w:rPr>
            </w:pPr>
            <w:r w:rsidRPr="005723DA">
              <w:rPr>
                <w:sz w:val="16"/>
                <w:szCs w:val="16"/>
              </w:rPr>
              <w:t>20.7 (20.1, 21.3)</w:t>
            </w:r>
          </w:p>
        </w:tc>
        <w:tc>
          <w:tcPr>
            <w:tcW w:w="759" w:type="dxa"/>
            <w:noWrap/>
            <w:vAlign w:val="center"/>
          </w:tcPr>
          <w:p w14:paraId="592218AC" w14:textId="5D03F3CA" w:rsidR="00883525" w:rsidRPr="005723DA" w:rsidRDefault="00465429" w:rsidP="00465429">
            <w:pPr>
              <w:pStyle w:val="ANorm"/>
              <w:jc w:val="center"/>
              <w:rPr>
                <w:sz w:val="16"/>
                <w:szCs w:val="16"/>
              </w:rPr>
            </w:pPr>
            <w:r>
              <w:rPr>
                <w:sz w:val="16"/>
                <w:szCs w:val="16"/>
              </w:rPr>
              <w:t>-</w:t>
            </w:r>
          </w:p>
        </w:tc>
        <w:tc>
          <w:tcPr>
            <w:tcW w:w="720" w:type="dxa"/>
            <w:noWrap/>
            <w:vAlign w:val="center"/>
          </w:tcPr>
          <w:p w14:paraId="0C1955C8" w14:textId="77777777" w:rsidR="00883525" w:rsidRPr="005723DA" w:rsidRDefault="00883525" w:rsidP="00465429">
            <w:pPr>
              <w:pStyle w:val="ANorm"/>
              <w:jc w:val="center"/>
              <w:rPr>
                <w:sz w:val="16"/>
                <w:szCs w:val="16"/>
              </w:rPr>
            </w:pPr>
            <w:r w:rsidRPr="005723DA">
              <w:rPr>
                <w:sz w:val="16"/>
                <w:szCs w:val="16"/>
              </w:rPr>
              <w:t>427</w:t>
            </w:r>
          </w:p>
        </w:tc>
        <w:tc>
          <w:tcPr>
            <w:tcW w:w="763" w:type="dxa"/>
            <w:noWrap/>
            <w:vAlign w:val="center"/>
          </w:tcPr>
          <w:p w14:paraId="42FC7E39" w14:textId="77777777" w:rsidR="00883525" w:rsidRPr="005723DA" w:rsidRDefault="00883525" w:rsidP="00465429">
            <w:pPr>
              <w:pStyle w:val="ANorm"/>
              <w:jc w:val="center"/>
              <w:rPr>
                <w:sz w:val="16"/>
                <w:szCs w:val="16"/>
              </w:rPr>
            </w:pPr>
            <w:r w:rsidRPr="005723DA">
              <w:rPr>
                <w:sz w:val="16"/>
                <w:szCs w:val="16"/>
              </w:rPr>
              <w:t>21.3 (20.6, 22.0)</w:t>
            </w:r>
          </w:p>
        </w:tc>
        <w:tc>
          <w:tcPr>
            <w:tcW w:w="500" w:type="dxa"/>
            <w:noWrap/>
            <w:vAlign w:val="center"/>
          </w:tcPr>
          <w:p w14:paraId="6B831CC2" w14:textId="23934F8C" w:rsidR="00883525" w:rsidRPr="005723DA" w:rsidRDefault="00465429" w:rsidP="00465429">
            <w:pPr>
              <w:pStyle w:val="ANorm"/>
              <w:jc w:val="center"/>
              <w:rPr>
                <w:sz w:val="16"/>
                <w:szCs w:val="16"/>
              </w:rPr>
            </w:pPr>
            <w:r>
              <w:rPr>
                <w:sz w:val="16"/>
                <w:szCs w:val="16"/>
              </w:rPr>
              <w:t>-</w:t>
            </w:r>
          </w:p>
        </w:tc>
      </w:tr>
      <w:tr w:rsidR="00166422" w:rsidRPr="005723DA" w14:paraId="6D9DCE74" w14:textId="77777777" w:rsidTr="00E509E3">
        <w:trPr>
          <w:trHeight w:val="512"/>
        </w:trPr>
        <w:tc>
          <w:tcPr>
            <w:tcW w:w="1222" w:type="dxa"/>
            <w:tcBorders>
              <w:bottom w:val="single" w:sz="4" w:space="0" w:color="auto"/>
            </w:tcBorders>
          </w:tcPr>
          <w:p w14:paraId="4E123510" w14:textId="333AE6F4" w:rsidR="00883525" w:rsidRPr="005723DA" w:rsidRDefault="00883525">
            <w:pPr>
              <w:pStyle w:val="ANorm"/>
              <w:rPr>
                <w:sz w:val="16"/>
                <w:szCs w:val="16"/>
              </w:rPr>
            </w:pPr>
            <w:r w:rsidRPr="005723DA">
              <w:rPr>
                <w:sz w:val="16"/>
                <w:szCs w:val="16"/>
              </w:rPr>
              <w:t>Link-me mild control group</w:t>
            </w:r>
            <w:r>
              <w:rPr>
                <w:sz w:val="16"/>
                <w:szCs w:val="16"/>
              </w:rPr>
              <w:fldChar w:fldCharType="begin">
                <w:fldData xml:space="preserve">PEVuZE5vdGU+PENpdGU+PEF1dGhvcj5GbGV0Y2hlcjwvQXV0aG9yPjxZZWFyPjIwMjE8L1llYXI+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</w:fldData>
              </w:fldChar>
            </w:r>
            <w:r w:rsidR="004469A2">
              <w:rPr>
                <w:sz w:val="16"/>
                <w:szCs w:val="16"/>
              </w:rPr>
              <w:instrText xml:space="preserve"> ADDIN EN.CITE </w:instrText>
            </w:r>
            <w:r w:rsidR="004469A2">
              <w:rPr>
                <w:sz w:val="16"/>
                <w:szCs w:val="16"/>
              </w:rPr>
              <w:fldChar w:fldCharType="begin">
                <w:fldData xml:space="preserve">PEVuZE5vdGU+PENpdGU+PEF1dGhvcj5GbGV0Y2hlcjwvQXV0aG9yPjxZZWFyPjIwMjE8L1llYXI+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</w:fldData>
              </w:fldChar>
            </w:r>
            <w:r w:rsidR="004469A2">
              <w:rPr>
                <w:sz w:val="16"/>
                <w:szCs w:val="16"/>
              </w:rPr>
              <w:instrText xml:space="preserve"> ADDIN EN.CITE.DATA </w:instrText>
            </w:r>
            <w:r w:rsidR="004469A2">
              <w:rPr>
                <w:sz w:val="16"/>
                <w:szCs w:val="16"/>
              </w:rPr>
            </w:r>
            <w:r w:rsidR="004469A2">
              <w:rPr>
                <w:sz w:val="16"/>
                <w:szCs w:val="16"/>
              </w:rPr>
              <w:fldChar w:fldCharType="end"/>
            </w:r>
            <w:r>
              <w:rPr>
                <w:sz w:val="16"/>
                <w:szCs w:val="16"/>
              </w:rPr>
            </w:r>
            <w:r>
              <w:rPr>
                <w:sz w:val="16"/>
                <w:szCs w:val="16"/>
              </w:rPr>
              <w:fldChar w:fldCharType="separate"/>
            </w:r>
            <w:r w:rsidR="004469A2" w:rsidRPr="004469A2">
              <w:rPr>
                <w:noProof/>
                <w:sz w:val="16"/>
                <w:szCs w:val="16"/>
                <w:vertAlign w:val="superscript"/>
              </w:rPr>
              <w:t>76</w:t>
            </w:r>
            <w:r>
              <w:rPr>
                <w:sz w:val="16"/>
                <w:szCs w:val="16"/>
              </w:rPr>
              <w:fldChar w:fldCharType="end"/>
            </w:r>
          </w:p>
        </w:tc>
        <w:tc>
          <w:tcPr>
            <w:tcW w:w="7740" w:type="dxa"/>
            <w:gridSpan w:val="2"/>
            <w:tcBorders>
              <w:bottom w:val="single" w:sz="4" w:space="0" w:color="auto"/>
            </w:tcBorders>
          </w:tcPr>
          <w:p w14:paraId="2B8A8AC5" w14:textId="77777777" w:rsidR="00883525" w:rsidRPr="005723DA" w:rsidRDefault="00883525">
            <w:pPr>
              <w:pStyle w:val="ANorm"/>
              <w:rPr>
                <w:sz w:val="16"/>
                <w:szCs w:val="16"/>
              </w:rPr>
            </w:pPr>
            <w:r w:rsidRPr="005723DA">
              <w:rPr>
                <w:sz w:val="16"/>
                <w:szCs w:val="16"/>
              </w:rPr>
              <w:t>As above</w:t>
            </w:r>
          </w:p>
        </w:tc>
        <w:tc>
          <w:tcPr>
            <w:tcW w:w="810" w:type="dxa"/>
            <w:tcBorders>
              <w:bottom w:val="single" w:sz="4" w:space="0" w:color="auto"/>
            </w:tcBorders>
            <w:noWrap/>
            <w:vAlign w:val="center"/>
          </w:tcPr>
          <w:p w14:paraId="7CFA66E1" w14:textId="77777777" w:rsidR="00883525" w:rsidRPr="005723DA" w:rsidRDefault="00883525" w:rsidP="00465429">
            <w:pPr>
              <w:pStyle w:val="ANorm"/>
              <w:jc w:val="center"/>
              <w:rPr>
                <w:sz w:val="16"/>
                <w:szCs w:val="16"/>
              </w:rPr>
            </w:pPr>
            <w:r w:rsidRPr="005723DA">
              <w:rPr>
                <w:sz w:val="16"/>
                <w:szCs w:val="16"/>
              </w:rPr>
              <w:t>K10</w:t>
            </w:r>
          </w:p>
        </w:tc>
        <w:tc>
          <w:tcPr>
            <w:tcW w:w="810" w:type="dxa"/>
            <w:tcBorders>
              <w:bottom w:val="single" w:sz="4" w:space="0" w:color="auto"/>
            </w:tcBorders>
            <w:noWrap/>
            <w:vAlign w:val="center"/>
          </w:tcPr>
          <w:p w14:paraId="2D49B23C" w14:textId="77777777" w:rsidR="00883525" w:rsidRPr="005723DA" w:rsidRDefault="00883525" w:rsidP="00465429">
            <w:pPr>
              <w:pStyle w:val="ANorm"/>
              <w:jc w:val="center"/>
              <w:rPr>
                <w:sz w:val="16"/>
                <w:szCs w:val="16"/>
              </w:rPr>
            </w:pPr>
            <w:r w:rsidRPr="005723DA">
              <w:rPr>
                <w:sz w:val="16"/>
                <w:szCs w:val="16"/>
              </w:rPr>
              <w:t>416</w:t>
            </w:r>
          </w:p>
        </w:tc>
        <w:tc>
          <w:tcPr>
            <w:tcW w:w="771" w:type="dxa"/>
            <w:tcBorders>
              <w:bottom w:val="single" w:sz="4" w:space="0" w:color="auto"/>
            </w:tcBorders>
            <w:noWrap/>
            <w:vAlign w:val="center"/>
          </w:tcPr>
          <w:p w14:paraId="7F47823B" w14:textId="77777777" w:rsidR="00883525" w:rsidRPr="005723DA" w:rsidRDefault="00883525" w:rsidP="00465429">
            <w:pPr>
              <w:pStyle w:val="ANorm"/>
              <w:jc w:val="center"/>
              <w:rPr>
                <w:sz w:val="16"/>
                <w:szCs w:val="16"/>
              </w:rPr>
            </w:pPr>
            <w:r w:rsidRPr="005723DA">
              <w:rPr>
                <w:sz w:val="16"/>
                <w:szCs w:val="16"/>
              </w:rPr>
              <w:t>17.3 (16.8, 17.7)</w:t>
            </w:r>
          </w:p>
        </w:tc>
        <w:tc>
          <w:tcPr>
            <w:tcW w:w="759" w:type="dxa"/>
            <w:tcBorders>
              <w:bottom w:val="single" w:sz="4" w:space="0" w:color="auto"/>
            </w:tcBorders>
            <w:noWrap/>
            <w:vAlign w:val="center"/>
          </w:tcPr>
          <w:p w14:paraId="755C1AD9" w14:textId="7BAC7F0F" w:rsidR="00883525" w:rsidRPr="005723DA" w:rsidRDefault="00465429" w:rsidP="00465429">
            <w:pPr>
              <w:pStyle w:val="ANorm"/>
              <w:jc w:val="center"/>
              <w:rPr>
                <w:sz w:val="16"/>
                <w:szCs w:val="16"/>
              </w:rPr>
            </w:pPr>
            <w:r>
              <w:rPr>
                <w:sz w:val="16"/>
                <w:szCs w:val="16"/>
              </w:rPr>
              <w:t>-</w:t>
            </w:r>
          </w:p>
        </w:tc>
        <w:tc>
          <w:tcPr>
            <w:tcW w:w="720" w:type="dxa"/>
            <w:tcBorders>
              <w:bottom w:val="single" w:sz="4" w:space="0" w:color="auto"/>
            </w:tcBorders>
            <w:noWrap/>
            <w:vAlign w:val="center"/>
          </w:tcPr>
          <w:p w14:paraId="697EFC21" w14:textId="77777777" w:rsidR="00883525" w:rsidRPr="005723DA" w:rsidRDefault="00883525" w:rsidP="00465429">
            <w:pPr>
              <w:pStyle w:val="ANorm"/>
              <w:jc w:val="center"/>
              <w:rPr>
                <w:sz w:val="16"/>
                <w:szCs w:val="16"/>
              </w:rPr>
            </w:pPr>
            <w:r w:rsidRPr="005723DA">
              <w:rPr>
                <w:sz w:val="16"/>
                <w:szCs w:val="16"/>
              </w:rPr>
              <w:t>416</w:t>
            </w:r>
          </w:p>
        </w:tc>
        <w:tc>
          <w:tcPr>
            <w:tcW w:w="763" w:type="dxa"/>
            <w:tcBorders>
              <w:bottom w:val="single" w:sz="4" w:space="0" w:color="auto"/>
            </w:tcBorders>
            <w:noWrap/>
            <w:vAlign w:val="center"/>
          </w:tcPr>
          <w:p w14:paraId="479B5D39" w14:textId="77777777" w:rsidR="00883525" w:rsidRPr="005723DA" w:rsidRDefault="00883525" w:rsidP="00465429">
            <w:pPr>
              <w:pStyle w:val="ANorm"/>
              <w:jc w:val="center"/>
              <w:rPr>
                <w:sz w:val="16"/>
                <w:szCs w:val="16"/>
              </w:rPr>
            </w:pPr>
            <w:r w:rsidRPr="005723DA">
              <w:rPr>
                <w:sz w:val="16"/>
                <w:szCs w:val="16"/>
              </w:rPr>
              <w:t>19.5 (18.8, 20.2)</w:t>
            </w:r>
          </w:p>
        </w:tc>
        <w:tc>
          <w:tcPr>
            <w:tcW w:w="500" w:type="dxa"/>
            <w:tcBorders>
              <w:bottom w:val="single" w:sz="4" w:space="0" w:color="auto"/>
            </w:tcBorders>
            <w:noWrap/>
            <w:vAlign w:val="center"/>
          </w:tcPr>
          <w:p w14:paraId="2E542861" w14:textId="655F7351" w:rsidR="00883525" w:rsidRPr="005723DA" w:rsidRDefault="00465429" w:rsidP="00465429">
            <w:pPr>
              <w:pStyle w:val="ANorm"/>
              <w:jc w:val="center"/>
              <w:rPr>
                <w:sz w:val="16"/>
                <w:szCs w:val="16"/>
              </w:rPr>
            </w:pPr>
            <w:r>
              <w:rPr>
                <w:sz w:val="16"/>
                <w:szCs w:val="16"/>
              </w:rPr>
              <w:t>-</w:t>
            </w:r>
          </w:p>
        </w:tc>
      </w:tr>
      <w:tr w:rsidR="006D74C1" w:rsidRPr="005723DA" w14:paraId="6809953B" w14:textId="77777777" w:rsidTr="00E509E3">
        <w:trPr>
          <w:trHeight w:val="68"/>
        </w:trPr>
        <w:tc>
          <w:tcPr>
            <w:tcW w:w="8962" w:type="dxa"/>
            <w:gridSpan w:val="3"/>
            <w:tcBorders>
              <w:right w:val="nil"/>
            </w:tcBorders>
            <w:shd w:val="clear" w:color="auto" w:fill="D9D9D9" w:themeFill="background1" w:themeFillShade="D9"/>
          </w:tcPr>
          <w:p w14:paraId="5A062157" w14:textId="77777777" w:rsidR="00883525" w:rsidRPr="005723DA" w:rsidRDefault="00883525">
            <w:pPr>
              <w:pStyle w:val="ANorm"/>
              <w:rPr>
                <w:sz w:val="16"/>
                <w:szCs w:val="16"/>
              </w:rPr>
            </w:pPr>
            <w:r w:rsidRPr="005723DA">
              <w:rPr>
                <w:b/>
                <w:bCs/>
                <w:sz w:val="16"/>
                <w:szCs w:val="16"/>
              </w:rPr>
              <w:t>Australian public mental health outpatient care</w:t>
            </w:r>
          </w:p>
        </w:tc>
        <w:tc>
          <w:tcPr>
            <w:tcW w:w="1620" w:type="dxa"/>
            <w:gridSpan w:val="2"/>
            <w:tcBorders>
              <w:left w:val="nil"/>
              <w:right w:val="nil"/>
            </w:tcBorders>
            <w:shd w:val="clear" w:color="auto" w:fill="D9D9D9" w:themeFill="background1" w:themeFillShade="D9"/>
            <w:noWrap/>
          </w:tcPr>
          <w:p w14:paraId="3839E158" w14:textId="77777777" w:rsidR="00883525" w:rsidRPr="005723DA" w:rsidRDefault="00883525">
            <w:pPr>
              <w:pStyle w:val="ANorm"/>
              <w:rPr>
                <w:sz w:val="16"/>
                <w:szCs w:val="16"/>
              </w:rPr>
            </w:pPr>
          </w:p>
        </w:tc>
        <w:tc>
          <w:tcPr>
            <w:tcW w:w="771" w:type="dxa"/>
            <w:tcBorders>
              <w:left w:val="nil"/>
              <w:right w:val="nil"/>
            </w:tcBorders>
            <w:shd w:val="clear" w:color="auto" w:fill="D9D9D9" w:themeFill="background1" w:themeFillShade="D9"/>
            <w:noWrap/>
          </w:tcPr>
          <w:p w14:paraId="1F86C589" w14:textId="77777777" w:rsidR="00883525" w:rsidRPr="005723DA" w:rsidRDefault="00883525">
            <w:pPr>
              <w:pStyle w:val="ANorm"/>
              <w:rPr>
                <w:sz w:val="16"/>
                <w:szCs w:val="16"/>
              </w:rPr>
            </w:pPr>
          </w:p>
        </w:tc>
        <w:tc>
          <w:tcPr>
            <w:tcW w:w="759" w:type="dxa"/>
            <w:tcBorders>
              <w:left w:val="nil"/>
              <w:right w:val="nil"/>
            </w:tcBorders>
            <w:shd w:val="clear" w:color="auto" w:fill="D9D9D9" w:themeFill="background1" w:themeFillShade="D9"/>
            <w:noWrap/>
          </w:tcPr>
          <w:p w14:paraId="1054E713" w14:textId="77777777" w:rsidR="00883525" w:rsidRPr="005723DA" w:rsidRDefault="00883525">
            <w:pPr>
              <w:pStyle w:val="ANorm"/>
              <w:rPr>
                <w:sz w:val="16"/>
                <w:szCs w:val="16"/>
              </w:rPr>
            </w:pPr>
          </w:p>
        </w:tc>
        <w:tc>
          <w:tcPr>
            <w:tcW w:w="720" w:type="dxa"/>
            <w:tcBorders>
              <w:left w:val="nil"/>
              <w:right w:val="nil"/>
            </w:tcBorders>
            <w:shd w:val="clear" w:color="auto" w:fill="D9D9D9" w:themeFill="background1" w:themeFillShade="D9"/>
            <w:noWrap/>
          </w:tcPr>
          <w:p w14:paraId="24317043" w14:textId="77777777" w:rsidR="00883525" w:rsidRPr="005723DA" w:rsidRDefault="00883525">
            <w:pPr>
              <w:pStyle w:val="ANorm"/>
              <w:rPr>
                <w:sz w:val="16"/>
                <w:szCs w:val="16"/>
              </w:rPr>
            </w:pPr>
          </w:p>
        </w:tc>
        <w:tc>
          <w:tcPr>
            <w:tcW w:w="763" w:type="dxa"/>
            <w:tcBorders>
              <w:left w:val="nil"/>
              <w:right w:val="nil"/>
            </w:tcBorders>
            <w:shd w:val="clear" w:color="auto" w:fill="D9D9D9" w:themeFill="background1" w:themeFillShade="D9"/>
            <w:noWrap/>
          </w:tcPr>
          <w:p w14:paraId="17AC8233" w14:textId="77777777" w:rsidR="00883525" w:rsidRPr="005723DA" w:rsidRDefault="00883525">
            <w:pPr>
              <w:pStyle w:val="ANorm"/>
              <w:rPr>
                <w:sz w:val="16"/>
                <w:szCs w:val="16"/>
              </w:rPr>
            </w:pPr>
          </w:p>
        </w:tc>
        <w:tc>
          <w:tcPr>
            <w:tcW w:w="500" w:type="dxa"/>
            <w:tcBorders>
              <w:left w:val="nil"/>
              <w:right w:val="single" w:sz="4" w:space="0" w:color="auto"/>
            </w:tcBorders>
            <w:shd w:val="clear" w:color="auto" w:fill="D9D9D9" w:themeFill="background1" w:themeFillShade="D9"/>
            <w:noWrap/>
          </w:tcPr>
          <w:p w14:paraId="500B996C" w14:textId="77777777" w:rsidR="00883525" w:rsidRPr="005723DA" w:rsidRDefault="00883525">
            <w:pPr>
              <w:pStyle w:val="ANorm"/>
              <w:rPr>
                <w:sz w:val="16"/>
                <w:szCs w:val="16"/>
              </w:rPr>
            </w:pPr>
          </w:p>
        </w:tc>
      </w:tr>
      <w:tr w:rsidR="00166422" w:rsidRPr="005723DA" w14:paraId="083E22E9" w14:textId="77777777" w:rsidTr="00E509E3">
        <w:trPr>
          <w:trHeight w:val="68"/>
        </w:trPr>
        <w:tc>
          <w:tcPr>
            <w:tcW w:w="1222" w:type="dxa"/>
            <w:tcBorders>
              <w:bottom w:val="single" w:sz="4" w:space="0" w:color="auto"/>
            </w:tcBorders>
            <w:hideMark/>
          </w:tcPr>
          <w:p w14:paraId="52AEDFD5" w14:textId="6BE6A6A6" w:rsidR="00883525" w:rsidRPr="005723DA" w:rsidRDefault="00B526E0">
            <w:pPr>
              <w:pStyle w:val="ANorm"/>
              <w:rPr>
                <w:sz w:val="16"/>
                <w:szCs w:val="16"/>
              </w:rPr>
            </w:pPr>
            <w:r>
              <w:rPr>
                <w:sz w:val="16"/>
                <w:szCs w:val="16"/>
              </w:rPr>
              <w:t>Ambulatory adult mental health care</w:t>
            </w:r>
          </w:p>
        </w:tc>
        <w:tc>
          <w:tcPr>
            <w:tcW w:w="7740" w:type="dxa"/>
            <w:gridSpan w:val="2"/>
            <w:tcBorders>
              <w:bottom w:val="single" w:sz="4" w:space="0" w:color="auto"/>
            </w:tcBorders>
          </w:tcPr>
          <w:p w14:paraId="19CDE1B2" w14:textId="6D1D38C5" w:rsidR="00883525" w:rsidRPr="005723DA" w:rsidRDefault="00B526E0">
            <w:pPr>
              <w:pStyle w:val="ANorm"/>
              <w:rPr>
                <w:sz w:val="16"/>
                <w:szCs w:val="16"/>
              </w:rPr>
            </w:pPr>
            <w:r>
              <w:rPr>
                <w:sz w:val="16"/>
                <w:szCs w:val="16"/>
              </w:rPr>
              <w:t>I</w:t>
            </w:r>
            <w:r w:rsidR="00883525" w:rsidRPr="005723DA">
              <w:rPr>
                <w:sz w:val="16"/>
                <w:szCs w:val="16"/>
              </w:rPr>
              <w:t>ncludes all non</w:t>
            </w:r>
            <w:r w:rsidR="00883525">
              <w:rPr>
                <w:sz w:val="16"/>
                <w:szCs w:val="16"/>
              </w:rPr>
              <w:t>-</w:t>
            </w:r>
            <w:r w:rsidR="00883525" w:rsidRPr="005723DA">
              <w:rPr>
                <w:sz w:val="16"/>
                <w:szCs w:val="16"/>
              </w:rPr>
              <w:t>admitted, non</w:t>
            </w:r>
            <w:r w:rsidR="00883525">
              <w:rPr>
                <w:sz w:val="16"/>
                <w:szCs w:val="16"/>
              </w:rPr>
              <w:t>-</w:t>
            </w:r>
            <w:r w:rsidR="00883525" w:rsidRPr="005723DA">
              <w:rPr>
                <w:sz w:val="16"/>
                <w:szCs w:val="16"/>
              </w:rPr>
              <w:t xml:space="preserve">residential services provided by health professionals with specialist mental health qualifications or training. Ambulatory mental health services include community–based crisis assessment and treatment teams, day programs, psychiatric outpatient clinics provided by either hospital or community–based services, child and adolescent outpatient and community teams, social and living skills programs, psychogeriatric assessment services </w:t>
            </w:r>
            <w:r w:rsidR="00883525">
              <w:rPr>
                <w:sz w:val="16"/>
                <w:szCs w:val="16"/>
              </w:rPr>
              <w:t xml:space="preserve">etc. </w:t>
            </w:r>
            <w:r w:rsidR="00883525" w:rsidRPr="00C27145">
              <w:rPr>
                <w:b/>
                <w:bCs/>
                <w:sz w:val="16"/>
                <w:szCs w:val="16"/>
              </w:rPr>
              <w:t>July 2000-June 2020</w:t>
            </w:r>
          </w:p>
        </w:tc>
        <w:tc>
          <w:tcPr>
            <w:tcW w:w="810" w:type="dxa"/>
            <w:tcBorders>
              <w:bottom w:val="single" w:sz="4" w:space="0" w:color="auto"/>
            </w:tcBorders>
            <w:noWrap/>
            <w:vAlign w:val="center"/>
            <w:hideMark/>
          </w:tcPr>
          <w:p w14:paraId="0A58320C" w14:textId="77777777" w:rsidR="00883525" w:rsidRPr="005723DA" w:rsidRDefault="00883525" w:rsidP="00465429">
            <w:pPr>
              <w:pStyle w:val="ANorm"/>
              <w:jc w:val="center"/>
              <w:rPr>
                <w:sz w:val="16"/>
                <w:szCs w:val="16"/>
              </w:rPr>
            </w:pPr>
            <w:r w:rsidRPr="005723DA">
              <w:rPr>
                <w:sz w:val="16"/>
                <w:szCs w:val="16"/>
              </w:rPr>
              <w:t>K10</w:t>
            </w:r>
          </w:p>
        </w:tc>
        <w:tc>
          <w:tcPr>
            <w:tcW w:w="810" w:type="dxa"/>
            <w:tcBorders>
              <w:bottom w:val="single" w:sz="4" w:space="0" w:color="auto"/>
            </w:tcBorders>
            <w:noWrap/>
            <w:vAlign w:val="center"/>
            <w:hideMark/>
          </w:tcPr>
          <w:p w14:paraId="7484BBAA" w14:textId="77777777" w:rsidR="00883525" w:rsidRPr="005723DA" w:rsidRDefault="00883525" w:rsidP="00465429">
            <w:pPr>
              <w:pStyle w:val="ANorm"/>
              <w:jc w:val="center"/>
              <w:rPr>
                <w:sz w:val="16"/>
                <w:szCs w:val="16"/>
              </w:rPr>
            </w:pPr>
            <w:r w:rsidRPr="005723DA">
              <w:rPr>
                <w:sz w:val="16"/>
                <w:szCs w:val="16"/>
              </w:rPr>
              <w:t>144288</w:t>
            </w:r>
          </w:p>
        </w:tc>
        <w:tc>
          <w:tcPr>
            <w:tcW w:w="771" w:type="dxa"/>
            <w:tcBorders>
              <w:bottom w:val="single" w:sz="4" w:space="0" w:color="auto"/>
            </w:tcBorders>
            <w:noWrap/>
            <w:vAlign w:val="center"/>
            <w:hideMark/>
          </w:tcPr>
          <w:p w14:paraId="232069A3" w14:textId="77777777" w:rsidR="00883525" w:rsidRPr="005723DA" w:rsidRDefault="00883525" w:rsidP="00465429">
            <w:pPr>
              <w:pStyle w:val="ANorm"/>
              <w:jc w:val="center"/>
              <w:rPr>
                <w:sz w:val="16"/>
                <w:szCs w:val="16"/>
              </w:rPr>
            </w:pPr>
            <w:r w:rsidRPr="005723DA">
              <w:rPr>
                <w:sz w:val="16"/>
                <w:szCs w:val="16"/>
              </w:rPr>
              <w:t>28.2</w:t>
            </w:r>
          </w:p>
        </w:tc>
        <w:tc>
          <w:tcPr>
            <w:tcW w:w="759" w:type="dxa"/>
            <w:tcBorders>
              <w:bottom w:val="single" w:sz="4" w:space="0" w:color="auto"/>
            </w:tcBorders>
            <w:noWrap/>
            <w:vAlign w:val="center"/>
            <w:hideMark/>
          </w:tcPr>
          <w:p w14:paraId="2D8155E0" w14:textId="77777777" w:rsidR="00883525" w:rsidRPr="005723DA" w:rsidRDefault="00883525" w:rsidP="00465429">
            <w:pPr>
              <w:pStyle w:val="ANorm"/>
              <w:jc w:val="center"/>
              <w:rPr>
                <w:sz w:val="16"/>
                <w:szCs w:val="16"/>
              </w:rPr>
            </w:pPr>
            <w:r w:rsidRPr="005723DA">
              <w:rPr>
                <w:sz w:val="16"/>
                <w:szCs w:val="16"/>
              </w:rPr>
              <w:t>10.3</w:t>
            </w:r>
          </w:p>
        </w:tc>
        <w:tc>
          <w:tcPr>
            <w:tcW w:w="720" w:type="dxa"/>
            <w:tcBorders>
              <w:bottom w:val="single" w:sz="4" w:space="0" w:color="auto"/>
            </w:tcBorders>
            <w:noWrap/>
            <w:vAlign w:val="center"/>
            <w:hideMark/>
          </w:tcPr>
          <w:p w14:paraId="55C84D0A" w14:textId="77777777" w:rsidR="00883525" w:rsidRPr="005723DA" w:rsidRDefault="00883525" w:rsidP="00465429">
            <w:pPr>
              <w:pStyle w:val="ANorm"/>
              <w:jc w:val="center"/>
              <w:rPr>
                <w:sz w:val="16"/>
                <w:szCs w:val="16"/>
              </w:rPr>
            </w:pPr>
            <w:r w:rsidRPr="005723DA">
              <w:rPr>
                <w:sz w:val="16"/>
                <w:szCs w:val="16"/>
              </w:rPr>
              <w:t>25946</w:t>
            </w:r>
          </w:p>
        </w:tc>
        <w:tc>
          <w:tcPr>
            <w:tcW w:w="763" w:type="dxa"/>
            <w:tcBorders>
              <w:bottom w:val="single" w:sz="4" w:space="0" w:color="auto"/>
            </w:tcBorders>
            <w:noWrap/>
            <w:vAlign w:val="center"/>
            <w:hideMark/>
          </w:tcPr>
          <w:p w14:paraId="00404A3C" w14:textId="77777777" w:rsidR="00883525" w:rsidRPr="005723DA" w:rsidRDefault="00883525" w:rsidP="00465429">
            <w:pPr>
              <w:pStyle w:val="ANorm"/>
              <w:jc w:val="center"/>
              <w:rPr>
                <w:sz w:val="16"/>
                <w:szCs w:val="16"/>
              </w:rPr>
            </w:pPr>
            <w:r w:rsidRPr="005723DA">
              <w:rPr>
                <w:sz w:val="16"/>
                <w:szCs w:val="16"/>
              </w:rPr>
              <w:t>18.6</w:t>
            </w:r>
          </w:p>
        </w:tc>
        <w:tc>
          <w:tcPr>
            <w:tcW w:w="500" w:type="dxa"/>
            <w:tcBorders>
              <w:bottom w:val="single" w:sz="4" w:space="0" w:color="auto"/>
            </w:tcBorders>
            <w:noWrap/>
            <w:vAlign w:val="center"/>
            <w:hideMark/>
          </w:tcPr>
          <w:p w14:paraId="3D6C8BDB" w14:textId="77777777" w:rsidR="00883525" w:rsidRPr="005723DA" w:rsidRDefault="00883525" w:rsidP="00465429">
            <w:pPr>
              <w:pStyle w:val="ANorm"/>
              <w:jc w:val="center"/>
              <w:rPr>
                <w:sz w:val="16"/>
                <w:szCs w:val="16"/>
              </w:rPr>
            </w:pPr>
            <w:r w:rsidRPr="005723DA">
              <w:rPr>
                <w:sz w:val="16"/>
                <w:szCs w:val="16"/>
              </w:rPr>
              <w:t>8.2</w:t>
            </w:r>
          </w:p>
        </w:tc>
      </w:tr>
      <w:tr w:rsidR="006D74C1" w:rsidRPr="005723DA" w14:paraId="6FD76C06" w14:textId="77777777" w:rsidTr="00E509E3">
        <w:trPr>
          <w:trHeight w:val="250"/>
        </w:trPr>
        <w:tc>
          <w:tcPr>
            <w:tcW w:w="9772" w:type="dxa"/>
            <w:gridSpan w:val="4"/>
            <w:tcBorders>
              <w:right w:val="nil"/>
            </w:tcBorders>
            <w:shd w:val="clear" w:color="auto" w:fill="D9D9D9" w:themeFill="background1" w:themeFillShade="D9"/>
            <w:vAlign w:val="center"/>
          </w:tcPr>
          <w:p w14:paraId="52CDF80B" w14:textId="02A65020" w:rsidR="00883525" w:rsidRPr="005723DA" w:rsidRDefault="00883525" w:rsidP="00760E5B">
            <w:pPr>
              <w:pStyle w:val="ANorm"/>
              <w:rPr>
                <w:sz w:val="16"/>
                <w:szCs w:val="16"/>
              </w:rPr>
            </w:pPr>
            <w:r w:rsidRPr="005723DA">
              <w:rPr>
                <w:b/>
                <w:bCs/>
                <w:sz w:val="16"/>
                <w:szCs w:val="16"/>
              </w:rPr>
              <w:t>UK stepped mental health care</w:t>
            </w:r>
          </w:p>
        </w:tc>
        <w:tc>
          <w:tcPr>
            <w:tcW w:w="810" w:type="dxa"/>
            <w:tcBorders>
              <w:left w:val="nil"/>
              <w:right w:val="nil"/>
            </w:tcBorders>
            <w:shd w:val="clear" w:color="auto" w:fill="D9D9D9" w:themeFill="background1" w:themeFillShade="D9"/>
            <w:noWrap/>
            <w:vAlign w:val="center"/>
          </w:tcPr>
          <w:p w14:paraId="42B1AF10" w14:textId="77777777" w:rsidR="00883525" w:rsidRPr="005723DA" w:rsidRDefault="00883525" w:rsidP="00465429">
            <w:pPr>
              <w:jc w:val="center"/>
              <w:rPr>
                <w:rFonts w:ascii="Calibri" w:hAnsi="Calibri" w:cs="Calibri"/>
                <w:color w:val="000000"/>
                <w:sz w:val="16"/>
                <w:szCs w:val="16"/>
              </w:rPr>
            </w:pPr>
          </w:p>
        </w:tc>
        <w:tc>
          <w:tcPr>
            <w:tcW w:w="771" w:type="dxa"/>
            <w:tcBorders>
              <w:left w:val="nil"/>
              <w:right w:val="nil"/>
            </w:tcBorders>
            <w:shd w:val="clear" w:color="auto" w:fill="D9D9D9" w:themeFill="background1" w:themeFillShade="D9"/>
            <w:noWrap/>
            <w:vAlign w:val="center"/>
          </w:tcPr>
          <w:p w14:paraId="3595D653" w14:textId="77777777" w:rsidR="00883525" w:rsidRPr="005723DA" w:rsidRDefault="00883525" w:rsidP="00465429">
            <w:pPr>
              <w:pStyle w:val="ANorm"/>
              <w:jc w:val="center"/>
              <w:rPr>
                <w:sz w:val="16"/>
                <w:szCs w:val="16"/>
              </w:rPr>
            </w:pPr>
          </w:p>
        </w:tc>
        <w:tc>
          <w:tcPr>
            <w:tcW w:w="759" w:type="dxa"/>
            <w:tcBorders>
              <w:left w:val="nil"/>
              <w:right w:val="nil"/>
            </w:tcBorders>
            <w:shd w:val="clear" w:color="auto" w:fill="D9D9D9" w:themeFill="background1" w:themeFillShade="D9"/>
            <w:noWrap/>
            <w:vAlign w:val="center"/>
          </w:tcPr>
          <w:p w14:paraId="504BFC01" w14:textId="77777777" w:rsidR="00883525" w:rsidRPr="005723DA" w:rsidRDefault="00883525" w:rsidP="00465429">
            <w:pPr>
              <w:pStyle w:val="ANorm"/>
              <w:jc w:val="center"/>
              <w:rPr>
                <w:sz w:val="16"/>
                <w:szCs w:val="16"/>
              </w:rPr>
            </w:pPr>
          </w:p>
        </w:tc>
        <w:tc>
          <w:tcPr>
            <w:tcW w:w="720" w:type="dxa"/>
            <w:tcBorders>
              <w:left w:val="nil"/>
              <w:right w:val="nil"/>
            </w:tcBorders>
            <w:shd w:val="clear" w:color="auto" w:fill="D9D9D9" w:themeFill="background1" w:themeFillShade="D9"/>
            <w:noWrap/>
            <w:vAlign w:val="center"/>
          </w:tcPr>
          <w:p w14:paraId="0E0F81A4" w14:textId="77777777" w:rsidR="00883525" w:rsidRPr="005723DA" w:rsidRDefault="00883525" w:rsidP="00465429">
            <w:pPr>
              <w:jc w:val="center"/>
              <w:rPr>
                <w:rFonts w:ascii="Calibri" w:hAnsi="Calibri" w:cs="Calibri"/>
                <w:color w:val="000000"/>
                <w:sz w:val="16"/>
                <w:szCs w:val="16"/>
              </w:rPr>
            </w:pPr>
          </w:p>
        </w:tc>
        <w:tc>
          <w:tcPr>
            <w:tcW w:w="763" w:type="dxa"/>
            <w:tcBorders>
              <w:left w:val="nil"/>
              <w:right w:val="nil"/>
            </w:tcBorders>
            <w:shd w:val="clear" w:color="auto" w:fill="D9D9D9" w:themeFill="background1" w:themeFillShade="D9"/>
            <w:noWrap/>
            <w:vAlign w:val="center"/>
          </w:tcPr>
          <w:p w14:paraId="03ED2ACD" w14:textId="77777777" w:rsidR="00883525" w:rsidRPr="005723DA" w:rsidRDefault="00883525" w:rsidP="00465429">
            <w:pPr>
              <w:pStyle w:val="ANorm"/>
              <w:jc w:val="center"/>
              <w:rPr>
                <w:sz w:val="16"/>
                <w:szCs w:val="16"/>
              </w:rPr>
            </w:pPr>
          </w:p>
        </w:tc>
        <w:tc>
          <w:tcPr>
            <w:tcW w:w="500" w:type="dxa"/>
            <w:tcBorders>
              <w:left w:val="nil"/>
              <w:right w:val="single" w:sz="4" w:space="0" w:color="auto"/>
            </w:tcBorders>
            <w:shd w:val="clear" w:color="auto" w:fill="D9D9D9" w:themeFill="background1" w:themeFillShade="D9"/>
            <w:noWrap/>
            <w:vAlign w:val="center"/>
          </w:tcPr>
          <w:p w14:paraId="3C8FB31E" w14:textId="77777777" w:rsidR="00883525" w:rsidRPr="005723DA" w:rsidRDefault="00883525" w:rsidP="00465429">
            <w:pPr>
              <w:pStyle w:val="ANorm"/>
              <w:jc w:val="center"/>
              <w:rPr>
                <w:sz w:val="16"/>
                <w:szCs w:val="16"/>
              </w:rPr>
            </w:pPr>
          </w:p>
        </w:tc>
      </w:tr>
      <w:tr w:rsidR="00035CCE" w:rsidRPr="005723DA" w14:paraId="1E134147" w14:textId="77777777" w:rsidTr="00E509E3">
        <w:trPr>
          <w:trHeight w:val="416"/>
        </w:trPr>
        <w:tc>
          <w:tcPr>
            <w:tcW w:w="1222" w:type="dxa"/>
          </w:tcPr>
          <w:p w14:paraId="36581220" w14:textId="64C3AC22" w:rsidR="00883525" w:rsidRPr="00340605" w:rsidRDefault="00883525">
            <w:pPr>
              <w:pStyle w:val="ANorm"/>
              <w:rPr>
                <w:sz w:val="16"/>
                <w:szCs w:val="16"/>
              </w:rPr>
            </w:pPr>
            <w:r w:rsidRPr="00340605">
              <w:rPr>
                <w:sz w:val="16"/>
                <w:szCs w:val="16"/>
              </w:rPr>
              <w:t>IAPT</w:t>
            </w:r>
            <w:r>
              <w:rPr>
                <w:sz w:val="16"/>
                <w:szCs w:val="16"/>
              </w:rPr>
              <w:t xml:space="preserve"> (NHS Digital, 2021)</w:t>
            </w:r>
            <w:r>
              <w:rPr>
                <w:sz w:val="16"/>
                <w:szCs w:val="16"/>
              </w:rPr>
              <w:fldChar w:fldCharType="begin"/>
            </w:r>
            <w:r w:rsidR="004469A2">
              <w:rPr>
                <w:sz w:val="16"/>
                <w:szCs w:val="16"/>
              </w:rPr>
              <w:instrText xml:space="preserve"> ADDIN EN.CITE &lt;EndNote&gt;&lt;Cite&gt;&lt;Author&gt;NHS Digital Community and Mental Health team&lt;/Author&gt;&lt;Year&gt;2021&lt;/Year&gt;&lt;RecNum&gt;198&lt;/RecNum&gt;&lt;DisplayText&gt;&lt;style face="superscript"&gt;77&lt;/style&gt;&lt;/DisplayText&gt;&lt;record&gt;&lt;rec-number&gt;198&lt;/rec-number&gt;&lt;foreign-keys&gt;&lt;key app="EN" db-id="dawtr0zrkrzfa5edzzlpe2we0xa00t90vvr2" timestamp="1656397196"&gt;198&lt;/key&gt;&lt;/foreign-keys&gt;&lt;ref-type name="Web Page"&gt;12&lt;/ref-type&gt;&lt;contributors&gt;&lt;authors&gt;&lt;author&gt;NHS Digital Community and Mental Health team,&lt;/author&gt;&lt;/authors&gt;&lt;/contributors&gt;&lt;titles&gt;&lt;title&gt;Psychological Therapies: Annual report on the use of IAPT services Engalnd 2020-21&lt;/title&gt;&lt;/titles&gt;&lt;dates&gt;&lt;year&gt;2021&lt;/year&gt;&lt;/dates&gt;&lt;publisher&gt;Health and Social Care Information Cente&lt;/publisher&gt;&lt;urls&gt;&lt;related-urls&gt;&lt;url&gt;https://digital.nhs.uk/data-and-information/publications/statistical/psychological-therapies-annual-reports-on-the-use-of-iapt-services/annual-report-2020-21&lt;/url&gt;&lt;/related-urls&gt;&lt;/urls&gt;&lt;/record&gt;&lt;/Cite&gt;&lt;/EndNote&gt;</w:instrText>
            </w:r>
            <w:r>
              <w:rPr>
                <w:sz w:val="16"/>
                <w:szCs w:val="16"/>
              </w:rPr>
              <w:fldChar w:fldCharType="separate"/>
            </w:r>
            <w:r w:rsidR="004469A2" w:rsidRPr="004469A2">
              <w:rPr>
                <w:noProof/>
                <w:sz w:val="16"/>
                <w:szCs w:val="16"/>
                <w:vertAlign w:val="superscript"/>
              </w:rPr>
              <w:t>77</w:t>
            </w:r>
            <w:r>
              <w:rPr>
                <w:sz w:val="16"/>
                <w:szCs w:val="16"/>
              </w:rPr>
              <w:fldChar w:fldCharType="end"/>
            </w:r>
          </w:p>
        </w:tc>
        <w:tc>
          <w:tcPr>
            <w:tcW w:w="7740" w:type="dxa"/>
            <w:gridSpan w:val="2"/>
          </w:tcPr>
          <w:p w14:paraId="6BBC177C" w14:textId="77777777" w:rsidR="00883525" w:rsidRPr="005723DA" w:rsidRDefault="00883525">
            <w:pPr>
              <w:pStyle w:val="ANorm"/>
              <w:rPr>
                <w:sz w:val="16"/>
                <w:szCs w:val="16"/>
              </w:rPr>
            </w:pPr>
            <w:r w:rsidRPr="005723DA">
              <w:rPr>
                <w:sz w:val="16"/>
                <w:szCs w:val="16"/>
              </w:rPr>
              <w:t>National Institute for Health and Care Excellence approved therapies for treating people with anxiety or depression. Includes face to face services, low intensity services, group services and self-directed computer-based programs</w:t>
            </w:r>
            <w:r>
              <w:rPr>
                <w:sz w:val="16"/>
                <w:szCs w:val="16"/>
              </w:rPr>
              <w:t xml:space="preserve">. </w:t>
            </w:r>
            <w:r w:rsidRPr="00573462">
              <w:rPr>
                <w:b/>
                <w:bCs/>
                <w:sz w:val="16"/>
                <w:szCs w:val="16"/>
              </w:rPr>
              <w:t>April 2020-</w:t>
            </w:r>
            <w:r>
              <w:rPr>
                <w:b/>
                <w:bCs/>
                <w:sz w:val="16"/>
                <w:szCs w:val="16"/>
              </w:rPr>
              <w:t xml:space="preserve">March </w:t>
            </w:r>
            <w:r w:rsidRPr="00340605">
              <w:rPr>
                <w:b/>
                <w:bCs/>
                <w:sz w:val="16"/>
                <w:szCs w:val="16"/>
              </w:rPr>
              <w:t>2021</w:t>
            </w:r>
          </w:p>
        </w:tc>
        <w:tc>
          <w:tcPr>
            <w:tcW w:w="810" w:type="dxa"/>
            <w:noWrap/>
            <w:vAlign w:val="center"/>
          </w:tcPr>
          <w:p w14:paraId="29DDE34A" w14:textId="77777777" w:rsidR="00883525" w:rsidRPr="005723DA" w:rsidRDefault="00883525" w:rsidP="00465429">
            <w:pPr>
              <w:pStyle w:val="ANorm"/>
              <w:jc w:val="center"/>
              <w:rPr>
                <w:sz w:val="16"/>
                <w:szCs w:val="16"/>
              </w:rPr>
            </w:pPr>
            <w:r w:rsidRPr="005723DA">
              <w:rPr>
                <w:sz w:val="16"/>
                <w:szCs w:val="16"/>
              </w:rPr>
              <w:t>PHQ</w:t>
            </w:r>
            <w:r>
              <w:rPr>
                <w:sz w:val="16"/>
                <w:szCs w:val="16"/>
              </w:rPr>
              <w:t>-</w:t>
            </w:r>
            <w:r w:rsidRPr="005723DA">
              <w:rPr>
                <w:sz w:val="16"/>
                <w:szCs w:val="16"/>
              </w:rPr>
              <w:t>9</w:t>
            </w:r>
          </w:p>
        </w:tc>
        <w:tc>
          <w:tcPr>
            <w:tcW w:w="810" w:type="dxa"/>
            <w:noWrap/>
            <w:vAlign w:val="center"/>
          </w:tcPr>
          <w:p w14:paraId="09A59FC9" w14:textId="697ED101" w:rsidR="00883525" w:rsidRPr="00760E5B" w:rsidRDefault="00883525" w:rsidP="00760E5B">
            <w:pPr>
              <w:jc w:val="center"/>
              <w:rPr>
                <w:rFonts w:ascii="Calibri" w:hAnsi="Calibri" w:cs="Calibri"/>
                <w:color w:val="000000"/>
                <w:sz w:val="16"/>
                <w:szCs w:val="16"/>
              </w:rPr>
            </w:pPr>
            <w:r w:rsidRPr="005723DA">
              <w:rPr>
                <w:rFonts w:ascii="Calibri" w:hAnsi="Calibri" w:cs="Calibri"/>
                <w:color w:val="000000"/>
                <w:sz w:val="16"/>
                <w:szCs w:val="16"/>
              </w:rPr>
              <w:t>595840</w:t>
            </w:r>
          </w:p>
        </w:tc>
        <w:tc>
          <w:tcPr>
            <w:tcW w:w="771" w:type="dxa"/>
            <w:noWrap/>
            <w:vAlign w:val="center"/>
          </w:tcPr>
          <w:p w14:paraId="31EF8D8E" w14:textId="77777777" w:rsidR="00883525" w:rsidRPr="005723DA" w:rsidRDefault="00883525" w:rsidP="00465429">
            <w:pPr>
              <w:pStyle w:val="ANorm"/>
              <w:jc w:val="center"/>
              <w:rPr>
                <w:sz w:val="16"/>
                <w:szCs w:val="16"/>
              </w:rPr>
            </w:pPr>
            <w:r w:rsidRPr="005723DA">
              <w:rPr>
                <w:sz w:val="16"/>
                <w:szCs w:val="16"/>
              </w:rPr>
              <w:t>15.6</w:t>
            </w:r>
          </w:p>
        </w:tc>
        <w:tc>
          <w:tcPr>
            <w:tcW w:w="759" w:type="dxa"/>
            <w:noWrap/>
            <w:vAlign w:val="center"/>
          </w:tcPr>
          <w:p w14:paraId="4E164884" w14:textId="77777777" w:rsidR="00883525" w:rsidRPr="005723DA" w:rsidRDefault="00883525" w:rsidP="00465429">
            <w:pPr>
              <w:pStyle w:val="ANorm"/>
              <w:jc w:val="center"/>
              <w:rPr>
                <w:sz w:val="16"/>
                <w:szCs w:val="16"/>
              </w:rPr>
            </w:pPr>
            <w:r w:rsidRPr="005723DA">
              <w:rPr>
                <w:sz w:val="16"/>
                <w:szCs w:val="16"/>
              </w:rPr>
              <w:t>5.5</w:t>
            </w:r>
          </w:p>
        </w:tc>
        <w:tc>
          <w:tcPr>
            <w:tcW w:w="720" w:type="dxa"/>
            <w:noWrap/>
            <w:vAlign w:val="center"/>
          </w:tcPr>
          <w:p w14:paraId="4ABA2996" w14:textId="4124FAFD" w:rsidR="00883525" w:rsidRPr="00760E5B" w:rsidRDefault="00883525" w:rsidP="00760E5B">
            <w:pPr>
              <w:jc w:val="center"/>
              <w:rPr>
                <w:rFonts w:ascii="Calibri" w:hAnsi="Calibri" w:cs="Calibri"/>
                <w:color w:val="000000"/>
                <w:sz w:val="16"/>
                <w:szCs w:val="16"/>
              </w:rPr>
            </w:pPr>
            <w:r w:rsidRPr="005723DA">
              <w:rPr>
                <w:rFonts w:ascii="Calibri" w:hAnsi="Calibri" w:cs="Calibri"/>
                <w:color w:val="000000"/>
                <w:sz w:val="16"/>
                <w:szCs w:val="16"/>
              </w:rPr>
              <w:t>595840</w:t>
            </w:r>
          </w:p>
        </w:tc>
        <w:tc>
          <w:tcPr>
            <w:tcW w:w="763" w:type="dxa"/>
            <w:noWrap/>
            <w:vAlign w:val="center"/>
          </w:tcPr>
          <w:p w14:paraId="62DA4744" w14:textId="77777777" w:rsidR="00883525" w:rsidRPr="005723DA" w:rsidRDefault="00883525" w:rsidP="00465429">
            <w:pPr>
              <w:pStyle w:val="ANorm"/>
              <w:jc w:val="center"/>
              <w:rPr>
                <w:sz w:val="16"/>
                <w:szCs w:val="16"/>
              </w:rPr>
            </w:pPr>
            <w:r w:rsidRPr="005723DA">
              <w:rPr>
                <w:sz w:val="16"/>
                <w:szCs w:val="16"/>
              </w:rPr>
              <w:t>9.2</w:t>
            </w:r>
          </w:p>
        </w:tc>
        <w:tc>
          <w:tcPr>
            <w:tcW w:w="500" w:type="dxa"/>
            <w:noWrap/>
            <w:vAlign w:val="center"/>
          </w:tcPr>
          <w:p w14:paraId="6AECEB7E" w14:textId="77777777" w:rsidR="00883525" w:rsidRPr="005723DA" w:rsidRDefault="00883525" w:rsidP="00465429">
            <w:pPr>
              <w:pStyle w:val="ANorm"/>
              <w:jc w:val="center"/>
              <w:rPr>
                <w:sz w:val="16"/>
                <w:szCs w:val="16"/>
              </w:rPr>
            </w:pPr>
            <w:r w:rsidRPr="005723DA">
              <w:rPr>
                <w:sz w:val="16"/>
                <w:szCs w:val="16"/>
              </w:rPr>
              <w:t>6.4</w:t>
            </w:r>
          </w:p>
        </w:tc>
      </w:tr>
      <w:tr w:rsidR="00035CCE" w:rsidRPr="005723DA" w14:paraId="41E6F3BB" w14:textId="77777777" w:rsidTr="007530CA">
        <w:trPr>
          <w:trHeight w:val="305"/>
        </w:trPr>
        <w:tc>
          <w:tcPr>
            <w:tcW w:w="1222" w:type="dxa"/>
          </w:tcPr>
          <w:p w14:paraId="63BC080C" w14:textId="71CC2329" w:rsidR="00883525" w:rsidRPr="00340605" w:rsidRDefault="00883525">
            <w:pPr>
              <w:pStyle w:val="ANorm"/>
              <w:rPr>
                <w:sz w:val="16"/>
                <w:szCs w:val="16"/>
              </w:rPr>
            </w:pPr>
            <w:r w:rsidRPr="00340605">
              <w:rPr>
                <w:sz w:val="16"/>
                <w:szCs w:val="16"/>
              </w:rPr>
              <w:t>IAPT</w:t>
            </w:r>
            <w:r>
              <w:rPr>
                <w:sz w:val="16"/>
                <w:szCs w:val="16"/>
              </w:rPr>
              <w:fldChar w:fldCharType="begin"/>
            </w:r>
            <w:r w:rsidR="004469A2">
              <w:rPr>
                <w:sz w:val="16"/>
                <w:szCs w:val="16"/>
              </w:rPr>
              <w:instrText xml:space="preserve"> ADDIN EN.CITE &lt;EndNote&gt;&lt;Cite&gt;&lt;Author&gt;NHS Digital Community and Mental Health team&lt;/Author&gt;&lt;Year&gt;2021&lt;/Year&gt;&lt;RecNum&gt;198&lt;/RecNum&gt;&lt;DisplayText&gt;&lt;style face="superscript"&gt;77&lt;/style&gt;&lt;/DisplayText&gt;&lt;record&gt;&lt;rec-number&gt;198&lt;/rec-number&gt;&lt;foreign-keys&gt;&lt;key app="EN" db-id="dawtr0zrkrzfa5edzzlpe2we0xa00t90vvr2" timestamp="1656397196"&gt;198&lt;/key&gt;&lt;/foreign-keys&gt;&lt;ref-type name="Web Page"&gt;12&lt;/ref-type&gt;&lt;contributors&gt;&lt;authors&gt;&lt;author&gt;NHS Digital Community and Mental Health team,&lt;/author&gt;&lt;/authors&gt;&lt;/contributors&gt;&lt;titles&gt;&lt;title&gt;Psychological Therapies: Annual report on the use of IAPT services Engalnd 2020-21&lt;/title&gt;&lt;/titles&gt;&lt;dates&gt;&lt;year&gt;2021&lt;/year&gt;&lt;/dates&gt;&lt;publisher&gt;Health and Social Care Information Cente&lt;/publisher&gt;&lt;urls&gt;&lt;related-urls&gt;&lt;url&gt;https://digital.nhs.uk/data-and-information/publications/statistical/psychological-therapies-annual-reports-on-the-use-of-iapt-services/annual-report-2020-21&lt;/url&gt;&lt;/related-urls&gt;&lt;/urls&gt;&lt;/record&gt;&lt;/Cite&gt;&lt;/EndNote&gt;</w:instrText>
            </w:r>
            <w:r>
              <w:rPr>
                <w:sz w:val="16"/>
                <w:szCs w:val="16"/>
              </w:rPr>
              <w:fldChar w:fldCharType="separate"/>
            </w:r>
            <w:r w:rsidR="004469A2" w:rsidRPr="004469A2">
              <w:rPr>
                <w:noProof/>
                <w:sz w:val="16"/>
                <w:szCs w:val="16"/>
                <w:vertAlign w:val="superscript"/>
              </w:rPr>
              <w:t>77</w:t>
            </w:r>
            <w:r>
              <w:rPr>
                <w:sz w:val="16"/>
                <w:szCs w:val="16"/>
              </w:rPr>
              <w:fldChar w:fldCharType="end"/>
            </w:r>
          </w:p>
        </w:tc>
        <w:tc>
          <w:tcPr>
            <w:tcW w:w="7740" w:type="dxa"/>
            <w:gridSpan w:val="2"/>
          </w:tcPr>
          <w:p w14:paraId="3F8DAA99" w14:textId="77777777" w:rsidR="00883525" w:rsidRPr="005723DA" w:rsidRDefault="00883525">
            <w:pPr>
              <w:pStyle w:val="ANorm"/>
              <w:rPr>
                <w:sz w:val="16"/>
                <w:szCs w:val="16"/>
              </w:rPr>
            </w:pPr>
            <w:r>
              <w:rPr>
                <w:sz w:val="16"/>
                <w:szCs w:val="16"/>
              </w:rPr>
              <w:t xml:space="preserve">As above </w:t>
            </w:r>
          </w:p>
        </w:tc>
        <w:tc>
          <w:tcPr>
            <w:tcW w:w="810" w:type="dxa"/>
            <w:noWrap/>
            <w:vAlign w:val="center"/>
          </w:tcPr>
          <w:p w14:paraId="38D67B2F" w14:textId="77777777" w:rsidR="00883525" w:rsidRPr="005723DA" w:rsidRDefault="00883525" w:rsidP="00465429">
            <w:pPr>
              <w:pStyle w:val="ANorm"/>
              <w:jc w:val="center"/>
              <w:rPr>
                <w:sz w:val="16"/>
                <w:szCs w:val="16"/>
              </w:rPr>
            </w:pPr>
            <w:r w:rsidRPr="005723DA">
              <w:rPr>
                <w:sz w:val="16"/>
                <w:szCs w:val="16"/>
              </w:rPr>
              <w:t>GAD</w:t>
            </w:r>
            <w:r>
              <w:rPr>
                <w:sz w:val="16"/>
                <w:szCs w:val="16"/>
              </w:rPr>
              <w:t>-</w:t>
            </w:r>
            <w:r w:rsidRPr="005723DA">
              <w:rPr>
                <w:sz w:val="16"/>
                <w:szCs w:val="16"/>
              </w:rPr>
              <w:t>7</w:t>
            </w:r>
          </w:p>
        </w:tc>
        <w:tc>
          <w:tcPr>
            <w:tcW w:w="810" w:type="dxa"/>
            <w:noWrap/>
            <w:vAlign w:val="center"/>
          </w:tcPr>
          <w:p w14:paraId="250C9772" w14:textId="45EC22ED" w:rsidR="00883525" w:rsidRPr="00760E5B" w:rsidRDefault="00883525" w:rsidP="00760E5B">
            <w:pPr>
              <w:jc w:val="center"/>
              <w:rPr>
                <w:rFonts w:ascii="Calibri" w:hAnsi="Calibri" w:cs="Calibri"/>
                <w:color w:val="000000"/>
                <w:sz w:val="16"/>
                <w:szCs w:val="16"/>
              </w:rPr>
            </w:pPr>
            <w:r w:rsidRPr="005723DA">
              <w:rPr>
                <w:rFonts w:ascii="Calibri" w:hAnsi="Calibri" w:cs="Calibri"/>
                <w:color w:val="000000"/>
                <w:sz w:val="16"/>
                <w:szCs w:val="16"/>
              </w:rPr>
              <w:t>595840</w:t>
            </w:r>
          </w:p>
        </w:tc>
        <w:tc>
          <w:tcPr>
            <w:tcW w:w="771" w:type="dxa"/>
            <w:noWrap/>
            <w:vAlign w:val="center"/>
          </w:tcPr>
          <w:p w14:paraId="6F1AC42E" w14:textId="77777777" w:rsidR="00883525" w:rsidRPr="005723DA" w:rsidRDefault="00883525" w:rsidP="00465429">
            <w:pPr>
              <w:pStyle w:val="ANorm"/>
              <w:jc w:val="center"/>
              <w:rPr>
                <w:sz w:val="16"/>
                <w:szCs w:val="16"/>
              </w:rPr>
            </w:pPr>
            <w:r w:rsidRPr="005723DA">
              <w:rPr>
                <w:sz w:val="16"/>
                <w:szCs w:val="16"/>
              </w:rPr>
              <w:t>14.3</w:t>
            </w:r>
          </w:p>
        </w:tc>
        <w:tc>
          <w:tcPr>
            <w:tcW w:w="759" w:type="dxa"/>
            <w:noWrap/>
            <w:vAlign w:val="center"/>
          </w:tcPr>
          <w:p w14:paraId="70E51BC2" w14:textId="77777777" w:rsidR="00883525" w:rsidRPr="005723DA" w:rsidRDefault="00883525" w:rsidP="00465429">
            <w:pPr>
              <w:pStyle w:val="ANorm"/>
              <w:jc w:val="center"/>
              <w:rPr>
                <w:sz w:val="16"/>
                <w:szCs w:val="16"/>
              </w:rPr>
            </w:pPr>
            <w:r w:rsidRPr="005723DA">
              <w:rPr>
                <w:sz w:val="16"/>
                <w:szCs w:val="16"/>
              </w:rPr>
              <w:t>4.4</w:t>
            </w:r>
          </w:p>
        </w:tc>
        <w:tc>
          <w:tcPr>
            <w:tcW w:w="720" w:type="dxa"/>
            <w:noWrap/>
            <w:vAlign w:val="center"/>
          </w:tcPr>
          <w:p w14:paraId="24267665" w14:textId="0F04AE0D" w:rsidR="00883525" w:rsidRPr="00760E5B" w:rsidRDefault="00883525" w:rsidP="00760E5B">
            <w:pPr>
              <w:jc w:val="center"/>
              <w:rPr>
                <w:rFonts w:ascii="Calibri" w:hAnsi="Calibri" w:cs="Calibri"/>
                <w:color w:val="000000"/>
                <w:sz w:val="16"/>
                <w:szCs w:val="16"/>
              </w:rPr>
            </w:pPr>
            <w:r w:rsidRPr="005723DA">
              <w:rPr>
                <w:rFonts w:ascii="Calibri" w:hAnsi="Calibri" w:cs="Calibri"/>
                <w:color w:val="000000"/>
                <w:sz w:val="16"/>
                <w:szCs w:val="16"/>
              </w:rPr>
              <w:t>595840</w:t>
            </w:r>
          </w:p>
        </w:tc>
        <w:tc>
          <w:tcPr>
            <w:tcW w:w="763" w:type="dxa"/>
            <w:noWrap/>
            <w:vAlign w:val="center"/>
          </w:tcPr>
          <w:p w14:paraId="7298B9A2" w14:textId="77777777" w:rsidR="00883525" w:rsidRPr="005723DA" w:rsidRDefault="00883525" w:rsidP="00465429">
            <w:pPr>
              <w:pStyle w:val="ANorm"/>
              <w:jc w:val="center"/>
              <w:rPr>
                <w:sz w:val="16"/>
                <w:szCs w:val="16"/>
              </w:rPr>
            </w:pPr>
            <w:r w:rsidRPr="005723DA">
              <w:rPr>
                <w:sz w:val="16"/>
                <w:szCs w:val="16"/>
              </w:rPr>
              <w:t>8.3</w:t>
            </w:r>
          </w:p>
        </w:tc>
        <w:tc>
          <w:tcPr>
            <w:tcW w:w="500" w:type="dxa"/>
            <w:noWrap/>
            <w:vAlign w:val="center"/>
          </w:tcPr>
          <w:p w14:paraId="68167DDA" w14:textId="77777777" w:rsidR="00883525" w:rsidRPr="005723DA" w:rsidRDefault="00883525" w:rsidP="00465429">
            <w:pPr>
              <w:pStyle w:val="ANorm"/>
              <w:jc w:val="center"/>
              <w:rPr>
                <w:sz w:val="16"/>
                <w:szCs w:val="16"/>
              </w:rPr>
            </w:pPr>
            <w:r w:rsidRPr="005723DA">
              <w:rPr>
                <w:sz w:val="16"/>
                <w:szCs w:val="16"/>
              </w:rPr>
              <w:t>5.6</w:t>
            </w:r>
          </w:p>
        </w:tc>
      </w:tr>
    </w:tbl>
    <w:p w14:paraId="148086A2" w14:textId="52C526EA" w:rsidR="00883525" w:rsidRPr="004F35C4" w:rsidRDefault="00883525" w:rsidP="008D4646">
      <w:pPr>
        <w:pStyle w:val="ANorm"/>
        <w:rPr>
          <w:sz w:val="16"/>
          <w:szCs w:val="16"/>
        </w:rPr>
      </w:pPr>
      <w:r w:rsidRPr="003733A6">
        <w:rPr>
          <w:sz w:val="16"/>
          <w:szCs w:val="16"/>
        </w:rPr>
        <w:t xml:space="preserve">ATAPS, </w:t>
      </w:r>
      <w:r w:rsidR="00593E55" w:rsidRPr="003733A6">
        <w:rPr>
          <w:sz w:val="16"/>
          <w:szCs w:val="16"/>
        </w:rPr>
        <w:t xml:space="preserve">Access to Allied Psychological Services; </w:t>
      </w:r>
      <w:r w:rsidR="00465429" w:rsidRPr="003733A6">
        <w:rPr>
          <w:sz w:val="16"/>
          <w:szCs w:val="16"/>
        </w:rPr>
        <w:t xml:space="preserve">clin </w:t>
      </w:r>
      <w:proofErr w:type="spellStart"/>
      <w:r w:rsidR="00465429" w:rsidRPr="003733A6">
        <w:rPr>
          <w:sz w:val="16"/>
          <w:szCs w:val="16"/>
        </w:rPr>
        <w:t>psychs</w:t>
      </w:r>
      <w:proofErr w:type="spellEnd"/>
      <w:r w:rsidR="00465429" w:rsidRPr="003733A6">
        <w:rPr>
          <w:sz w:val="16"/>
          <w:szCs w:val="16"/>
        </w:rPr>
        <w:t xml:space="preserve">, </w:t>
      </w:r>
      <w:r w:rsidR="00593E55" w:rsidRPr="003733A6">
        <w:rPr>
          <w:sz w:val="16"/>
          <w:szCs w:val="16"/>
        </w:rPr>
        <w:t xml:space="preserve">clinical psychologists; </w:t>
      </w:r>
      <w:r w:rsidRPr="003733A6">
        <w:rPr>
          <w:sz w:val="16"/>
          <w:szCs w:val="16"/>
        </w:rPr>
        <w:t xml:space="preserve">GAD-7, </w:t>
      </w:r>
      <w:r w:rsidR="003733A6" w:rsidRPr="003733A6">
        <w:rPr>
          <w:sz w:val="15"/>
          <w:szCs w:val="15"/>
        </w:rPr>
        <w:t>Generalised Anxiety Disorder 7-item Scale;</w:t>
      </w:r>
      <w:r w:rsidR="003733A6" w:rsidRPr="003733A6">
        <w:rPr>
          <w:sz w:val="16"/>
          <w:szCs w:val="16"/>
        </w:rPr>
        <w:t xml:space="preserve"> </w:t>
      </w:r>
      <w:r w:rsidRPr="003733A6">
        <w:rPr>
          <w:sz w:val="16"/>
          <w:szCs w:val="16"/>
        </w:rPr>
        <w:t xml:space="preserve">IAPT, </w:t>
      </w:r>
      <w:r w:rsidR="0007281D" w:rsidRPr="003733A6">
        <w:rPr>
          <w:sz w:val="16"/>
          <w:szCs w:val="16"/>
        </w:rPr>
        <w:t xml:space="preserve">Improving Access to Psychological Therapies; </w:t>
      </w:r>
      <w:r w:rsidRPr="003733A6">
        <w:rPr>
          <w:sz w:val="16"/>
          <w:szCs w:val="16"/>
        </w:rPr>
        <w:t xml:space="preserve">K10, </w:t>
      </w:r>
      <w:r w:rsidR="00780964" w:rsidRPr="003733A6">
        <w:rPr>
          <w:sz w:val="15"/>
          <w:szCs w:val="15"/>
        </w:rPr>
        <w:t>Kessler Psychological Distress 10-Item Scale</w:t>
      </w:r>
      <w:r w:rsidR="003733A6" w:rsidRPr="003733A6">
        <w:rPr>
          <w:sz w:val="15"/>
          <w:szCs w:val="15"/>
        </w:rPr>
        <w:t>;</w:t>
      </w:r>
      <w:r w:rsidR="00780964" w:rsidRPr="003733A6">
        <w:rPr>
          <w:sz w:val="16"/>
          <w:szCs w:val="16"/>
        </w:rPr>
        <w:t xml:space="preserve"> </w:t>
      </w:r>
      <w:r w:rsidRPr="003733A6">
        <w:rPr>
          <w:sz w:val="16"/>
          <w:szCs w:val="16"/>
        </w:rPr>
        <w:t>PHQ-9</w:t>
      </w:r>
      <w:r w:rsidR="00465429" w:rsidRPr="003733A6">
        <w:rPr>
          <w:sz w:val="16"/>
          <w:szCs w:val="16"/>
        </w:rPr>
        <w:t xml:space="preserve">, </w:t>
      </w:r>
      <w:r w:rsidR="003733A6" w:rsidRPr="003733A6">
        <w:rPr>
          <w:sz w:val="15"/>
          <w:szCs w:val="15"/>
        </w:rPr>
        <w:t xml:space="preserve">Patient Health Questionnaire-9; </w:t>
      </w:r>
      <w:r w:rsidR="00760E5B" w:rsidRPr="003733A6">
        <w:rPr>
          <w:sz w:val="16"/>
          <w:szCs w:val="16"/>
        </w:rPr>
        <w:t xml:space="preserve">RCT, </w:t>
      </w:r>
      <w:r w:rsidR="00593E55" w:rsidRPr="003733A6">
        <w:rPr>
          <w:sz w:val="16"/>
          <w:szCs w:val="16"/>
        </w:rPr>
        <w:t xml:space="preserve">randomised controlled trial; </w:t>
      </w:r>
      <w:r w:rsidR="00465429" w:rsidRPr="003733A6">
        <w:rPr>
          <w:sz w:val="16"/>
          <w:szCs w:val="16"/>
        </w:rPr>
        <w:t xml:space="preserve">reg </w:t>
      </w:r>
      <w:proofErr w:type="spellStart"/>
      <w:r w:rsidR="00465429" w:rsidRPr="003733A6">
        <w:rPr>
          <w:sz w:val="16"/>
          <w:szCs w:val="16"/>
        </w:rPr>
        <w:t>psychs</w:t>
      </w:r>
      <w:proofErr w:type="spellEnd"/>
      <w:r w:rsidR="00593E55" w:rsidRPr="003733A6">
        <w:rPr>
          <w:sz w:val="16"/>
          <w:szCs w:val="16"/>
        </w:rPr>
        <w:t>; registered psychologists.</w:t>
      </w:r>
    </w:p>
    <w:p w14:paraId="42C716CD" w14:textId="2DE6F739" w:rsidR="00883525" w:rsidRDefault="00741F75" w:rsidP="00883525">
      <w:pPr>
        <w:pStyle w:val="ANorm"/>
        <w:rPr>
          <w:b/>
          <w:sz w:val="16"/>
          <w:szCs w:val="16"/>
        </w:rPr>
        <w:sectPr w:rsidR="00883525" w:rsidSect="00C64CAA">
          <w:pgSz w:w="16838" w:h="11906" w:orient="landscape"/>
          <w:pgMar w:top="1080" w:right="1440" w:bottom="1080" w:left="1440" w:header="708" w:footer="708" w:gutter="0"/>
          <w:cols w:space="708"/>
          <w:docGrid w:linePitch="360"/>
        </w:sectPr>
      </w:pPr>
      <w:proofErr w:type="spellStart"/>
      <w:r w:rsidRPr="00741F75">
        <w:rPr>
          <w:sz w:val="16"/>
          <w:szCs w:val="16"/>
          <w:vertAlign w:val="superscript"/>
        </w:rPr>
        <w:t>a</w:t>
      </w:r>
      <w:r w:rsidR="00FD702E">
        <w:rPr>
          <w:sz w:val="16"/>
          <w:szCs w:val="16"/>
        </w:rPr>
        <w:t>Base</w:t>
      </w:r>
      <w:proofErr w:type="spellEnd"/>
      <w:r w:rsidR="00FD702E">
        <w:rPr>
          <w:sz w:val="16"/>
          <w:szCs w:val="16"/>
        </w:rPr>
        <w:t xml:space="preserve"> funding, known as general ATAPS (as opposed to Tier 2 funding which target</w:t>
      </w:r>
      <w:r w:rsidR="003E74CD">
        <w:rPr>
          <w:sz w:val="16"/>
          <w:szCs w:val="16"/>
        </w:rPr>
        <w:t xml:space="preserve">s </w:t>
      </w:r>
      <w:r>
        <w:rPr>
          <w:sz w:val="16"/>
          <w:szCs w:val="16"/>
        </w:rPr>
        <w:t>hard-to-reach groups).</w:t>
      </w:r>
    </w:p>
    <w:p w14:paraId="476E8CA1" w14:textId="5BBAEF7D" w:rsidR="0098520A" w:rsidRDefault="00824F17" w:rsidP="00B32E46">
      <w:pPr>
        <w:pStyle w:val="ANorm"/>
        <w:spacing w:after="240"/>
      </w:pPr>
      <w:r w:rsidRPr="00162687">
        <w:lastRenderedPageBreak/>
        <w:t>Finally, the data collection periods, and their recency, vary for each of the comparators. Data collection periods</w:t>
      </w:r>
      <w:r>
        <w:t xml:space="preserve"> range from two decades for adult ambulatory public mental health care and the entire life of ATAPS to one year for Better Access, Link-me and IAPT. Data collection recency ranges from October 2009-October 2010 for Better Access to March 2020-April 2021 for IAPT. </w:t>
      </w:r>
      <w:r w:rsidR="00E458A0">
        <w:t xml:space="preserve">By comparison, </w:t>
      </w:r>
      <w:r w:rsidR="003E1CF8">
        <w:t xml:space="preserve">pooled effect size data for </w:t>
      </w:r>
      <w:r w:rsidR="0098520A">
        <w:t>the DMHSs were derived from:</w:t>
      </w:r>
    </w:p>
    <w:p w14:paraId="6EA0FABD" w14:textId="7ED02988" w:rsidR="00824F17" w:rsidRDefault="00B63DCC" w:rsidP="00B32E46">
      <w:pPr>
        <w:pStyle w:val="ANorm"/>
        <w:numPr>
          <w:ilvl w:val="0"/>
          <w:numId w:val="161"/>
        </w:numPr>
        <w:spacing w:after="240"/>
      </w:pPr>
      <w:r>
        <w:t>Routinely collected data</w:t>
      </w:r>
      <w:r w:rsidR="0078191D">
        <w:t xml:space="preserve"> from September 2021 to February 2022 and three </w:t>
      </w:r>
      <w:r w:rsidR="00314761">
        <w:t>studies</w:t>
      </w:r>
      <w:r w:rsidR="00A36CDC">
        <w:t xml:space="preserve"> of pre-implementation trials</w:t>
      </w:r>
      <w:r w:rsidR="00540195" w:rsidRPr="00540195">
        <w:t xml:space="preserve"> </w:t>
      </w:r>
      <w:r w:rsidR="00314761">
        <w:t xml:space="preserve">(published in 2010, 2011 and 2018) </w:t>
      </w:r>
      <w:r w:rsidR="00540195">
        <w:t>for Mental Health Online</w:t>
      </w:r>
      <w:r w:rsidR="00A36CDC">
        <w:t>;</w:t>
      </w:r>
      <w:r w:rsidR="0061683F">
        <w:fldChar w:fldCharType="begin">
          <w:fldData xml:space="preserve">PEVuZE5vdGU+PENpdGU+PEF1dGhvcj5LeXJpb3M8L0F1dGhvcj48WWVhcj4yMDE4PC9ZZWFyPjxS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=
</w:fldData>
        </w:fldChar>
      </w:r>
      <w:r w:rsidR="004469A2">
        <w:instrText xml:space="preserve"> ADDIN EN.CITE </w:instrText>
      </w:r>
      <w:r w:rsidR="004469A2">
        <w:fldChar w:fldCharType="begin">
          <w:fldData xml:space="preserve">PEVuZE5vdGU+PENpdGU+PEF1dGhvcj5LeXJpb3M8L0F1dGhvcj48WWVhcj4yMDE4PC9ZZWFyPjxS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=
</w:fldData>
        </w:fldChar>
      </w:r>
      <w:r w:rsidR="004469A2">
        <w:instrText xml:space="preserve"> ADDIN EN.CITE.DATA </w:instrText>
      </w:r>
      <w:r w:rsidR="004469A2">
        <w:fldChar w:fldCharType="end"/>
      </w:r>
      <w:r w:rsidR="0061683F">
        <w:fldChar w:fldCharType="separate"/>
      </w:r>
      <w:r w:rsidR="004469A2" w:rsidRPr="004469A2">
        <w:rPr>
          <w:noProof/>
          <w:vertAlign w:val="superscript"/>
        </w:rPr>
        <w:t>45, 46, 62</w:t>
      </w:r>
      <w:r w:rsidR="0061683F">
        <w:fldChar w:fldCharType="end"/>
      </w:r>
    </w:p>
    <w:p w14:paraId="36E11E2F" w14:textId="2757EB34" w:rsidR="0098520A" w:rsidRDefault="747A0A54" w:rsidP="00B32E46">
      <w:pPr>
        <w:pStyle w:val="ANorm"/>
        <w:numPr>
          <w:ilvl w:val="0"/>
          <w:numId w:val="161"/>
        </w:numPr>
        <w:spacing w:after="240"/>
      </w:pPr>
      <w:r>
        <w:t>P</w:t>
      </w:r>
      <w:r w:rsidR="59026F3C">
        <w:t xml:space="preserve">ublished </w:t>
      </w:r>
      <w:r w:rsidR="0C3464E0">
        <w:t xml:space="preserve">routinely collected data </w:t>
      </w:r>
      <w:r w:rsidR="59026F3C">
        <w:t xml:space="preserve">for </w:t>
      </w:r>
      <w:proofErr w:type="spellStart"/>
      <w:r w:rsidR="5E4D1558">
        <w:t>MindSpot</w:t>
      </w:r>
      <w:proofErr w:type="spellEnd"/>
      <w:r w:rsidR="5E4D1558">
        <w:t xml:space="preserve"> </w:t>
      </w:r>
      <w:r w:rsidR="59026F3C">
        <w:t xml:space="preserve">consumers </w:t>
      </w:r>
      <w:r w:rsidR="5E4D1558">
        <w:t>over seven years from January 2013 to December 2019;</w:t>
      </w:r>
      <w:r w:rsidR="00A9693A">
        <w:fldChar w:fldCharType="begin"/>
      </w:r>
      <w:r w:rsidR="004469A2">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00A9693A">
        <w:fldChar w:fldCharType="separate"/>
      </w:r>
      <w:r w:rsidR="004469A2" w:rsidRPr="004469A2">
        <w:rPr>
          <w:noProof/>
          <w:vertAlign w:val="superscript"/>
        </w:rPr>
        <w:t>7</w:t>
      </w:r>
      <w:r w:rsidR="00A9693A">
        <w:fldChar w:fldCharType="end"/>
      </w:r>
      <w:r w:rsidR="5E4D1558">
        <w:t xml:space="preserve"> and </w:t>
      </w:r>
    </w:p>
    <w:p w14:paraId="7DA55989" w14:textId="17C1A832" w:rsidR="004705F8" w:rsidRDefault="00105136" w:rsidP="00B32E46">
      <w:pPr>
        <w:pStyle w:val="ANorm"/>
        <w:numPr>
          <w:ilvl w:val="0"/>
          <w:numId w:val="161"/>
        </w:numPr>
        <w:spacing w:after="240"/>
      </w:pPr>
      <w:r>
        <w:t>Five observation</w:t>
      </w:r>
      <w:r w:rsidR="00B632D5">
        <w:t xml:space="preserve">al studies of </w:t>
      </w:r>
      <w:r w:rsidR="005E2335">
        <w:t xml:space="preserve">discrete periods of </w:t>
      </w:r>
      <w:r w:rsidR="00B632D5">
        <w:t xml:space="preserve">routine care (published </w:t>
      </w:r>
      <w:r w:rsidR="00C55F3A">
        <w:t>between 2014 and 2018) for Mental Health Online.</w:t>
      </w:r>
      <w:r w:rsidR="002949CE">
        <w:fldChar w:fldCharType="begin">
          <w:fldData xml:space="preserve">PEVuZE5vdGU+PENpdGU+PEF1dGhvcj5Ib2JiczwvQXV0aG9yPjxZZWFyPjIwMTg8L1llYXI+PFJl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</w:fldData>
        </w:fldChar>
      </w:r>
      <w:r w:rsidR="004469A2">
        <w:instrText xml:space="preserve"> ADDIN EN.CITE </w:instrText>
      </w:r>
      <w:r w:rsidR="004469A2">
        <w:fldChar w:fldCharType="begin">
          <w:fldData xml:space="preserve">PEVuZE5vdGU+PENpdGU+PEF1dGhvcj5Ib2JiczwvQXV0aG9yPjxZZWFyPjIwMTg8L1llYXI+PFJl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</w:fldData>
        </w:fldChar>
      </w:r>
      <w:r w:rsidR="004469A2">
        <w:instrText xml:space="preserve"> ADDIN EN.CITE.DATA </w:instrText>
      </w:r>
      <w:r w:rsidR="004469A2">
        <w:fldChar w:fldCharType="end"/>
      </w:r>
      <w:r w:rsidR="002949CE">
        <w:fldChar w:fldCharType="separate"/>
      </w:r>
      <w:r w:rsidR="004469A2" w:rsidRPr="004469A2">
        <w:rPr>
          <w:noProof/>
          <w:vertAlign w:val="superscript"/>
        </w:rPr>
        <w:t>50-54</w:t>
      </w:r>
      <w:r w:rsidR="002949CE">
        <w:fldChar w:fldCharType="end"/>
      </w:r>
    </w:p>
    <w:p w14:paraId="6AC295C7" w14:textId="44CD6507" w:rsidR="00883525" w:rsidRPr="00F20850" w:rsidRDefault="00CB7221" w:rsidP="00B32E46">
      <w:pPr>
        <w:pStyle w:val="ANorm"/>
        <w:spacing w:after="240"/>
      </w:pPr>
      <w:r>
        <w:t>To ensure consistency of method, w</w:t>
      </w:r>
      <w:r w:rsidR="00883525" w:rsidRPr="00F20850">
        <w:t xml:space="preserve">e calculated effect sizes for each of </w:t>
      </w:r>
      <w:r w:rsidR="00B31477">
        <w:t xml:space="preserve">the </w:t>
      </w:r>
      <w:r w:rsidR="00883525" w:rsidRPr="00F20850">
        <w:t>comparator treatment</w:t>
      </w:r>
      <w:r w:rsidR="00B31477">
        <w:t>s</w:t>
      </w:r>
      <w:r w:rsidR="00883525" w:rsidRPr="00F20850">
        <w:t xml:space="preserve"> using the data </w:t>
      </w:r>
      <w:r w:rsidR="00883525" w:rsidRPr="005D5278">
        <w:t xml:space="preserve">presented in Table </w:t>
      </w:r>
      <w:r w:rsidR="005D5278" w:rsidRPr="005D5278">
        <w:t>21</w:t>
      </w:r>
      <w:r w:rsidR="00883525" w:rsidRPr="005D5278">
        <w:t xml:space="preserve">. Figure </w:t>
      </w:r>
      <w:r w:rsidR="005D5278" w:rsidRPr="005D5278">
        <w:t>18</w:t>
      </w:r>
      <w:r w:rsidR="00883525" w:rsidRPr="005D5278">
        <w:t xml:space="preserve"> presents</w:t>
      </w:r>
      <w:r w:rsidR="00883525" w:rsidRPr="00F20850">
        <w:t xml:space="preserve"> these effect sizes plotted against the pooled effect sizes we calculated for each of the DMHSs (Sections 4.3-4.5).</w:t>
      </w:r>
    </w:p>
    <w:p w14:paraId="7AE71DB4" w14:textId="4174C756" w:rsidR="00883525" w:rsidRDefault="00624FFE" w:rsidP="0081742B">
      <w:pPr>
        <w:pStyle w:val="ANorm"/>
        <w:jc w:val="center"/>
        <w:rPr>
          <w:b/>
        </w:rPr>
      </w:pPr>
      <w:r w:rsidRPr="00624FFE">
        <w:rPr>
          <w:b/>
          <w:noProof/>
          <w:lang w:eastAsia="en-AU"/>
        </w:rPr>
        <w:drawing>
          <wp:inline distT="0" distB="0" distL="0" distR="0" wp14:anchorId="7477F179" wp14:editId="02F50887">
            <wp:extent cx="4673600" cy="3187700"/>
            <wp:effectExtent l="0" t="0" r="0" b="0"/>
            <wp:docPr id="33" name="Picture 33" descr="Chart describing Forest plot of Cohen’s d (95% confidence interval) in mental health outcomes for DMHSs and compa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describing Forest plot of Cohen’s d (95% confidence interval) in mental health outcomes for DMHSs and comparators"/>
                    <pic:cNvPicPr/>
                  </pic:nvPicPr>
                  <pic:blipFill>
                    <a:blip r:embed="rId81"/>
                    <a:stretch>
                      <a:fillRect/>
                    </a:stretch>
                  </pic:blipFill>
                  <pic:spPr>
                    <a:xfrm>
                      <a:off x="0" y="0"/>
                      <a:ext cx="4673600" cy="3187700"/>
                    </a:xfrm>
                    <a:prstGeom prst="rect">
                      <a:avLst/>
                    </a:prstGeom>
                  </pic:spPr>
                </pic:pic>
              </a:graphicData>
            </a:graphic>
          </wp:inline>
        </w:drawing>
      </w:r>
    </w:p>
    <w:p w14:paraId="0F6B6BF8" w14:textId="365E9C73" w:rsidR="00883525" w:rsidRDefault="00883525" w:rsidP="00E50C1B">
      <w:pPr>
        <w:pStyle w:val="tableheading"/>
        <w:spacing w:after="120"/>
      </w:pPr>
      <w:r w:rsidRPr="00AC1C17">
        <w:t>Fig</w:t>
      </w:r>
      <w:r w:rsidR="00CD043A" w:rsidRPr="00AC1C17">
        <w:t>ure</w:t>
      </w:r>
      <w:r w:rsidRPr="00AC1C17">
        <w:t xml:space="preserve"> </w:t>
      </w:r>
      <w:r w:rsidR="00CD043A" w:rsidRPr="00AC1C17">
        <w:t>18</w:t>
      </w:r>
      <w:r w:rsidRPr="00AC1C17">
        <w:t>. Forest plot of Cohen’s d (95% confidence interval) in mental health outcomes for DMHSs and</w:t>
      </w:r>
      <w:r>
        <w:t xml:space="preserve"> </w:t>
      </w:r>
      <w:r w:rsidRPr="007C4E9B">
        <w:t>comparators</w:t>
      </w:r>
    </w:p>
    <w:p w14:paraId="571C4BBC" w14:textId="52B9BACC" w:rsidR="00B61927" w:rsidRPr="00732EEA" w:rsidRDefault="00A706FC" w:rsidP="00B61927">
      <w:pPr>
        <w:pStyle w:val="ANorm"/>
        <w:rPr>
          <w:sz w:val="16"/>
          <w:szCs w:val="16"/>
        </w:rPr>
      </w:pPr>
      <w:r w:rsidRPr="006A292F">
        <w:rPr>
          <w:sz w:val="16"/>
          <w:szCs w:val="16"/>
        </w:rPr>
        <w:t xml:space="preserve">AMHOCN; </w:t>
      </w:r>
      <w:r w:rsidR="00DC29B5" w:rsidRPr="006A292F">
        <w:rPr>
          <w:sz w:val="16"/>
          <w:szCs w:val="16"/>
        </w:rPr>
        <w:t>Australian Mental Health Outcomes and Classification Network</w:t>
      </w:r>
      <w:r w:rsidRPr="006A292F">
        <w:rPr>
          <w:sz w:val="16"/>
          <w:szCs w:val="16"/>
        </w:rPr>
        <w:t>;</w:t>
      </w:r>
      <w:r w:rsidRPr="00732EEA">
        <w:rPr>
          <w:sz w:val="16"/>
          <w:szCs w:val="16"/>
        </w:rPr>
        <w:t xml:space="preserve"> </w:t>
      </w:r>
      <w:r w:rsidR="00B61927" w:rsidRPr="00732EEA">
        <w:rPr>
          <w:sz w:val="16"/>
          <w:szCs w:val="16"/>
        </w:rPr>
        <w:t xml:space="preserve">ATAPS, Access to Allied Psychological Services; clin </w:t>
      </w:r>
      <w:proofErr w:type="spellStart"/>
      <w:r w:rsidR="00B61927" w:rsidRPr="00732EEA">
        <w:rPr>
          <w:sz w:val="16"/>
          <w:szCs w:val="16"/>
        </w:rPr>
        <w:t>psychs</w:t>
      </w:r>
      <w:proofErr w:type="spellEnd"/>
      <w:r w:rsidR="00B61927" w:rsidRPr="00732EEA">
        <w:rPr>
          <w:sz w:val="16"/>
          <w:szCs w:val="16"/>
        </w:rPr>
        <w:t xml:space="preserve">, clinical psychologists; </w:t>
      </w:r>
      <w:r w:rsidR="00B61927" w:rsidRPr="006A292F">
        <w:rPr>
          <w:sz w:val="16"/>
          <w:szCs w:val="16"/>
        </w:rPr>
        <w:t>GAD-7, Generalised Anxiety Disorder 7-item Scale</w:t>
      </w:r>
      <w:r w:rsidR="00B61927" w:rsidRPr="00732EEA">
        <w:rPr>
          <w:sz w:val="16"/>
          <w:szCs w:val="16"/>
        </w:rPr>
        <w:t xml:space="preserve">; IAPT, Improving Access to Psychological Therapies; </w:t>
      </w:r>
      <w:r w:rsidR="00B61927" w:rsidRPr="006A292F">
        <w:rPr>
          <w:sz w:val="16"/>
          <w:szCs w:val="16"/>
        </w:rPr>
        <w:t>K10, Kessler Psychological Distress 10-Item Scale; PHQ-9, Patient Health Questionnaire-9</w:t>
      </w:r>
      <w:r w:rsidR="00B61927" w:rsidRPr="00732EEA">
        <w:rPr>
          <w:sz w:val="16"/>
          <w:szCs w:val="16"/>
        </w:rPr>
        <w:t xml:space="preserve">; reg </w:t>
      </w:r>
      <w:proofErr w:type="spellStart"/>
      <w:r w:rsidR="00B61927" w:rsidRPr="00732EEA">
        <w:rPr>
          <w:sz w:val="16"/>
          <w:szCs w:val="16"/>
        </w:rPr>
        <w:t>psychs</w:t>
      </w:r>
      <w:proofErr w:type="spellEnd"/>
      <w:r w:rsidR="00B61927" w:rsidRPr="00732EEA">
        <w:rPr>
          <w:sz w:val="16"/>
          <w:szCs w:val="16"/>
        </w:rPr>
        <w:t>; registered psychologists.</w:t>
      </w:r>
    </w:p>
    <w:p w14:paraId="765AE3F7" w14:textId="48CE5DED" w:rsidR="006A292F" w:rsidRDefault="00F6658C" w:rsidP="00B61927">
      <w:pPr>
        <w:pStyle w:val="ANorm"/>
        <w:rPr>
          <w:sz w:val="16"/>
          <w:szCs w:val="16"/>
        </w:rPr>
      </w:pPr>
      <w:r w:rsidRPr="00D60FEF">
        <w:rPr>
          <w:sz w:val="16"/>
          <w:szCs w:val="16"/>
        </w:rPr>
        <w:t xml:space="preserve">Pooled effect sizes </w:t>
      </w:r>
      <w:r w:rsidR="00E02687" w:rsidRPr="00D60FEF">
        <w:rPr>
          <w:sz w:val="16"/>
          <w:szCs w:val="16"/>
        </w:rPr>
        <w:t>for</w:t>
      </w:r>
      <w:r w:rsidR="00500394" w:rsidRPr="00D60FEF">
        <w:rPr>
          <w:sz w:val="16"/>
          <w:szCs w:val="16"/>
        </w:rPr>
        <w:t xml:space="preserve"> </w:t>
      </w:r>
      <w:r w:rsidR="008F1188" w:rsidRPr="00D60FEF">
        <w:rPr>
          <w:sz w:val="16"/>
          <w:szCs w:val="16"/>
        </w:rPr>
        <w:t>Mental</w:t>
      </w:r>
      <w:r w:rsidR="008F1188">
        <w:rPr>
          <w:sz w:val="16"/>
          <w:szCs w:val="16"/>
        </w:rPr>
        <w:t xml:space="preserve"> Health Online </w:t>
      </w:r>
      <w:r w:rsidR="00256669">
        <w:rPr>
          <w:sz w:val="16"/>
          <w:szCs w:val="16"/>
        </w:rPr>
        <w:t>treatment as per Figure 5</w:t>
      </w:r>
      <w:r w:rsidR="00031C80">
        <w:rPr>
          <w:sz w:val="16"/>
          <w:szCs w:val="16"/>
        </w:rPr>
        <w:t xml:space="preserve"> – “Supported (S</w:t>
      </w:r>
      <w:r w:rsidR="00C4074E">
        <w:rPr>
          <w:sz w:val="16"/>
          <w:szCs w:val="16"/>
        </w:rPr>
        <w:t>ymptom</w:t>
      </w:r>
      <w:r w:rsidR="00031C80">
        <w:rPr>
          <w:sz w:val="16"/>
          <w:szCs w:val="16"/>
        </w:rPr>
        <w:t>s</w:t>
      </w:r>
      <w:r w:rsidR="00C4074E">
        <w:rPr>
          <w:sz w:val="16"/>
          <w:szCs w:val="16"/>
        </w:rPr>
        <w:t>)</w:t>
      </w:r>
      <w:r w:rsidR="00031C80">
        <w:rPr>
          <w:sz w:val="16"/>
          <w:szCs w:val="16"/>
        </w:rPr>
        <w:t>” and “Self-directed (Symptoms)”</w:t>
      </w:r>
      <w:r w:rsidR="00500394">
        <w:rPr>
          <w:sz w:val="16"/>
          <w:szCs w:val="16"/>
        </w:rPr>
        <w:t>.</w:t>
      </w:r>
      <w:r w:rsidR="00475A1E">
        <w:rPr>
          <w:sz w:val="16"/>
          <w:szCs w:val="16"/>
        </w:rPr>
        <w:t xml:space="preserve"> Pooled effect size for </w:t>
      </w:r>
      <w:proofErr w:type="spellStart"/>
      <w:r w:rsidR="00475A1E">
        <w:rPr>
          <w:sz w:val="16"/>
          <w:szCs w:val="16"/>
        </w:rPr>
        <w:t>MindSpot</w:t>
      </w:r>
      <w:proofErr w:type="spellEnd"/>
      <w:r w:rsidR="00475A1E">
        <w:rPr>
          <w:sz w:val="16"/>
          <w:szCs w:val="16"/>
        </w:rPr>
        <w:t xml:space="preserve"> therapist-supported </w:t>
      </w:r>
      <w:r w:rsidR="00811FE1">
        <w:rPr>
          <w:sz w:val="16"/>
          <w:szCs w:val="16"/>
        </w:rPr>
        <w:t>treatment as per Figure 6 – “All (Symptoms)”.</w:t>
      </w:r>
      <w:r w:rsidR="001E64F3">
        <w:rPr>
          <w:sz w:val="16"/>
          <w:szCs w:val="16"/>
        </w:rPr>
        <w:t xml:space="preserve"> Pooled effect size for THIS WAY UP </w:t>
      </w:r>
      <w:r w:rsidR="00D60FEF">
        <w:rPr>
          <w:sz w:val="16"/>
          <w:szCs w:val="16"/>
        </w:rPr>
        <w:t xml:space="preserve">therapist-supported treatment </w:t>
      </w:r>
      <w:r w:rsidR="001E64F3">
        <w:rPr>
          <w:sz w:val="16"/>
          <w:szCs w:val="16"/>
        </w:rPr>
        <w:t xml:space="preserve">as per Figure 7 </w:t>
      </w:r>
      <w:r w:rsidR="00D60FEF">
        <w:rPr>
          <w:sz w:val="16"/>
          <w:szCs w:val="16"/>
        </w:rPr>
        <w:t>–</w:t>
      </w:r>
      <w:r w:rsidR="001E64F3">
        <w:rPr>
          <w:sz w:val="16"/>
          <w:szCs w:val="16"/>
        </w:rPr>
        <w:t xml:space="preserve"> </w:t>
      </w:r>
      <w:r w:rsidR="00D60FEF">
        <w:rPr>
          <w:sz w:val="16"/>
          <w:szCs w:val="16"/>
        </w:rPr>
        <w:t>“Symptoms”.</w:t>
      </w:r>
      <w:r w:rsidR="00544195">
        <w:rPr>
          <w:sz w:val="16"/>
          <w:szCs w:val="16"/>
        </w:rPr>
        <w:t xml:space="preserve"> Effect sizes are pooled for PHQ-9 and GAD-7 for New Access and IAPT.</w:t>
      </w:r>
    </w:p>
    <w:p w14:paraId="739257B7" w14:textId="3631995D" w:rsidR="00B61927" w:rsidRPr="00732EEA" w:rsidRDefault="006A292F" w:rsidP="00B61927">
      <w:pPr>
        <w:pStyle w:val="ANorm"/>
        <w:rPr>
          <w:sz w:val="16"/>
          <w:szCs w:val="16"/>
        </w:rPr>
      </w:pPr>
      <w:r>
        <w:rPr>
          <w:sz w:val="16"/>
          <w:szCs w:val="16"/>
        </w:rPr>
        <w:t xml:space="preserve">Tier </w:t>
      </w:r>
      <w:r w:rsidR="00FD1585">
        <w:rPr>
          <w:sz w:val="16"/>
          <w:szCs w:val="16"/>
        </w:rPr>
        <w:t>1 ATAPS refers to b</w:t>
      </w:r>
      <w:r w:rsidR="00B61927" w:rsidRPr="00732EEA">
        <w:rPr>
          <w:sz w:val="16"/>
          <w:szCs w:val="16"/>
        </w:rPr>
        <w:t>ase funding, known as general ATAPS (as opposed to Tier 2 funding which targets hard-to-reach groups).</w:t>
      </w:r>
    </w:p>
    <w:p w14:paraId="34D6FFC7" w14:textId="77777777" w:rsidR="00A706FC" w:rsidRDefault="00A706FC" w:rsidP="00B61927">
      <w:pPr>
        <w:pStyle w:val="ANorm"/>
        <w:rPr>
          <w:sz w:val="16"/>
          <w:szCs w:val="16"/>
        </w:rPr>
      </w:pPr>
    </w:p>
    <w:p w14:paraId="5F19EBB3" w14:textId="503C0150" w:rsidR="003004A3" w:rsidRDefault="003004A3" w:rsidP="00BD22BF">
      <w:pPr>
        <w:pStyle w:val="ANorm"/>
        <w:spacing w:after="240"/>
      </w:pPr>
      <w:proofErr w:type="gramStart"/>
      <w:r w:rsidRPr="00A40032">
        <w:t>The majority of</w:t>
      </w:r>
      <w:proofErr w:type="gramEnd"/>
      <w:r w:rsidRPr="00A40032">
        <w:t xml:space="preserve"> effect sizes were large, ranging from 0.95 (</w:t>
      </w:r>
      <w:r w:rsidR="00CD043A">
        <w:t>Mental Health Online,</w:t>
      </w:r>
      <w:r w:rsidRPr="00A40032">
        <w:t xml:space="preserve"> therapist-supported) to 1.46 (Better Access). Of these, the largest effect sizes (around 1.4) were observed for Better Access (delivered by registered psychologists), </w:t>
      </w:r>
      <w:proofErr w:type="spellStart"/>
      <w:r w:rsidRPr="00A40032">
        <w:t>MindSpot</w:t>
      </w:r>
      <w:proofErr w:type="spellEnd"/>
      <w:r w:rsidRPr="00A40032">
        <w:t xml:space="preserve"> (therapist-supported treatment) and New Access. One effect size was medium (</w:t>
      </w:r>
      <w:r w:rsidR="000639D9">
        <w:t>Mental Health Online</w:t>
      </w:r>
      <w:r w:rsidR="002D0313">
        <w:t>,</w:t>
      </w:r>
      <w:r w:rsidR="000639D9">
        <w:t xml:space="preserve"> </w:t>
      </w:r>
      <w:r w:rsidRPr="00A40032">
        <w:t xml:space="preserve">self-directed, d=0.59) and three (all for Link-me) </w:t>
      </w:r>
      <w:r w:rsidRPr="001C0B51">
        <w:t xml:space="preserve">were </w:t>
      </w:r>
      <w:r w:rsidR="004B1CE4" w:rsidRPr="001C0B51">
        <w:t>small</w:t>
      </w:r>
      <w:r w:rsidRPr="001C0B51">
        <w:t xml:space="preserve"> (ranging from -0.</w:t>
      </w:r>
      <w:r w:rsidR="004B1CE4" w:rsidRPr="001C0B51">
        <w:t>36</w:t>
      </w:r>
      <w:r w:rsidRPr="001C0B51">
        <w:t xml:space="preserve"> to 0.</w:t>
      </w:r>
      <w:r w:rsidR="004B1CE4" w:rsidRPr="001C0B51">
        <w:t>33</w:t>
      </w:r>
      <w:r w:rsidRPr="001C0B51">
        <w:t>). There was significant heterogeneity between these effect sizes (I</w:t>
      </w:r>
      <w:r w:rsidRPr="001C0B51">
        <w:rPr>
          <w:vertAlign w:val="superscript"/>
        </w:rPr>
        <w:t>2</w:t>
      </w:r>
      <w:r w:rsidR="001C0B51" w:rsidRPr="001C0B51">
        <w:t>&gt;</w:t>
      </w:r>
      <w:r w:rsidRPr="001C0B51">
        <w:t>99, p &lt; 0.001) so no attempts</w:t>
      </w:r>
      <w:r w:rsidRPr="00A40032">
        <w:t xml:space="preserve"> to pool these were made.</w:t>
      </w:r>
      <w:r w:rsidR="0044137C">
        <w:t xml:space="preserve"> </w:t>
      </w:r>
      <w:r w:rsidR="000E0740">
        <w:t>Overall, these findings suggest that therapist-supported treatments</w:t>
      </w:r>
      <w:r w:rsidR="00EC21E5">
        <w:t xml:space="preserve"> by all three DMHSs</w:t>
      </w:r>
      <w:r w:rsidR="001866F0">
        <w:t xml:space="preserve"> produce improvements in mental health symptoms that are </w:t>
      </w:r>
      <w:r w:rsidR="00531E38">
        <w:t>close or</w:t>
      </w:r>
      <w:r w:rsidR="001866F0">
        <w:t xml:space="preserve"> equivalent to most comparator treatments </w:t>
      </w:r>
      <w:r w:rsidR="001866F0">
        <w:lastRenderedPageBreak/>
        <w:t>included in our analysis</w:t>
      </w:r>
      <w:r w:rsidR="00F935DC">
        <w:t xml:space="preserve">, and </w:t>
      </w:r>
      <w:r w:rsidR="00EC21E5">
        <w:t xml:space="preserve">both therapist-supported and self-directed </w:t>
      </w:r>
      <w:r w:rsidR="00152363">
        <w:t xml:space="preserve">treatments produce </w:t>
      </w:r>
      <w:r w:rsidR="00E7039B">
        <w:t xml:space="preserve">superior </w:t>
      </w:r>
      <w:r w:rsidR="00F97AEB">
        <w:t xml:space="preserve">outcomes </w:t>
      </w:r>
      <w:r w:rsidR="00E7039B">
        <w:t>to treatment as usual</w:t>
      </w:r>
      <w:r w:rsidR="00152363">
        <w:t xml:space="preserve"> </w:t>
      </w:r>
      <w:r w:rsidR="00CC4545">
        <w:t>in the form of disc</w:t>
      </w:r>
      <w:r w:rsidR="00DE60FC">
        <w:t>ussing mental health concerns with the GP.</w:t>
      </w:r>
    </w:p>
    <w:p w14:paraId="39E94C41" w14:textId="137D9B17" w:rsidR="00426780" w:rsidRPr="00426780" w:rsidRDefault="00426780" w:rsidP="00426780">
      <w:pPr>
        <w:spacing w:after="240"/>
        <w:rPr>
          <w:rFonts w:ascii="Calibri" w:hAnsi="Calibri" w:cs="Arial"/>
          <w:color w:val="000000" w:themeColor="text1"/>
          <w:sz w:val="21"/>
          <w:szCs w:val="21"/>
        </w:rPr>
      </w:pPr>
      <w:r w:rsidRPr="00426780">
        <w:rPr>
          <w:rFonts w:ascii="Calibri" w:hAnsi="Calibri" w:cs="Arial"/>
          <w:color w:val="000000" w:themeColor="text1"/>
          <w:sz w:val="21"/>
          <w:szCs w:val="21"/>
        </w:rPr>
        <w:t>Table 22 summarises a range of clinically significant mental health treatment</w:t>
      </w:r>
      <w:r w:rsidR="00A626F3">
        <w:rPr>
          <w:rFonts w:ascii="Calibri" w:hAnsi="Calibri" w:cs="Arial"/>
          <w:color w:val="000000" w:themeColor="text1"/>
          <w:sz w:val="21"/>
          <w:szCs w:val="21"/>
        </w:rPr>
        <w:t xml:space="preserve"> outcomes</w:t>
      </w:r>
      <w:r w:rsidRPr="00426780">
        <w:rPr>
          <w:rFonts w:ascii="Calibri" w:hAnsi="Calibri" w:cs="Arial"/>
          <w:color w:val="000000" w:themeColor="text1"/>
          <w:sz w:val="21"/>
          <w:szCs w:val="21"/>
        </w:rPr>
        <w:t xml:space="preserve"> by the DMHSs (previously presented in Sections 4.3-4.5) and three comparators with published equivalent data available. On average, the three DMHSs produce improvement rates broadly comparable with IAPT, which treats mild to severe mental health problems. The three DMHSs produce better remission rates than both untreated depression within three months,</w:t>
      </w:r>
      <w:r w:rsidRPr="00426780">
        <w:rPr>
          <w:rFonts w:ascii="Calibri" w:hAnsi="Calibri" w:cs="Arial"/>
          <w:color w:val="000000" w:themeColor="text1"/>
          <w:sz w:val="21"/>
          <w:szCs w:val="21"/>
        </w:rPr>
        <w:fldChar w:fldCharType="begin"/>
      </w:r>
      <w:r w:rsidR="004469A2">
        <w:rPr>
          <w:rFonts w:ascii="Calibri" w:hAnsi="Calibri" w:cs="Arial"/>
          <w:color w:val="000000" w:themeColor="text1"/>
          <w:sz w:val="21"/>
          <w:szCs w:val="21"/>
        </w:rPr>
        <w:instrText xml:space="preserve"> ADDIN EN.CITE &lt;EndNote&gt;&lt;Cite&gt;&lt;Author&gt;Whiteford&lt;/Author&gt;&lt;Year&gt;2013&lt;/Year&gt;&lt;RecNum&gt;146&lt;/RecNum&gt;&lt;DisplayText&gt;&lt;style face="superscript"&gt;78&lt;/style&gt;&lt;/DisplayText&gt;&lt;record&gt;&lt;rec-number&gt;146&lt;/rec-number&gt;&lt;foreign-keys&gt;&lt;key app="EN" db-id="dawtr0zrkrzfa5edzzlpe2we0xa00t90vvr2" timestamp="1651542859"&gt;146&lt;/key&gt;&lt;/foreign-keys&gt;&lt;ref-type name="Journal Article"&gt;17&lt;/ref-type&gt;&lt;contributors&gt;&lt;authors&gt;&lt;author&gt;Whiteford, H. A.&lt;/author&gt;&lt;author&gt;Harris, M. G.&lt;/author&gt;&lt;author&gt;McKeon, G.&lt;/author&gt;&lt;author&gt;Baxter, A.&lt;/author&gt;&lt;author&gt;Pennell, C.&lt;/author&gt;&lt;author&gt;Barendregt, J. J.&lt;/author&gt;&lt;author&gt;Wang, J.&lt;/author&gt;&lt;/authors&gt;&lt;/contributors&gt;&lt;titles&gt;&lt;title&gt;Estimating remission from untreated major depression: a systematic review and meta-analysis&lt;/title&gt;&lt;secondary-title&gt;Psychological Medicine&lt;/secondary-title&gt;&lt;/titles&gt;&lt;periodical&gt;&lt;full-title&gt;Psychological Medicine&lt;/full-title&gt;&lt;/periodical&gt;&lt;pages&gt;1569-1585&lt;/pages&gt;&lt;volume&gt;43&lt;/volume&gt;&lt;number&gt;8&lt;/number&gt;&lt;edition&gt;2012/08/10&lt;/edition&gt;&lt;keywords&gt;&lt;keyword&gt;Major depressive disorder&lt;/keyword&gt;&lt;keyword&gt;meta-analysis&lt;/keyword&gt;&lt;keyword&gt;natural history&lt;/keyword&gt;&lt;keyword&gt;spontaneous remission&lt;/keyword&gt;&lt;keyword&gt;systematic review&lt;/keyword&gt;&lt;/keywords&gt;&lt;dates&gt;&lt;year&gt;2013&lt;/year&gt;&lt;/dates&gt;&lt;publisher&gt;Cambridge University Press&lt;/publisher&gt;&lt;isbn&gt;0033-2917&lt;/isbn&gt;&lt;urls&gt;&lt;related-urls&gt;&lt;url&gt;https://www.cambridge.org/core/article/estimating-remission-from-untreated-major-depression-a-systematic-review-and-metaanalysis/52961032C5AFAB1C3B2C4E06A652B561&lt;/url&gt;&lt;/related-urls&gt;&lt;/urls&gt;&lt;electronic-resource-num&gt;10.1017/S0033291712001717&lt;/electronic-resource-num&gt;&lt;remote-database-name&gt;Cambridge Core&lt;/remote-database-name&gt;&lt;remote-database-provider&gt;Cambridge University Press&lt;/remote-database-provider&gt;&lt;/record&gt;&lt;/Cite&gt;&lt;/EndNote&gt;</w:instrText>
      </w:r>
      <w:r w:rsidRPr="00426780">
        <w:rPr>
          <w:rFonts w:ascii="Calibri" w:hAnsi="Calibri" w:cs="Arial"/>
          <w:color w:val="000000" w:themeColor="text1"/>
          <w:sz w:val="21"/>
          <w:szCs w:val="21"/>
        </w:rPr>
        <w:fldChar w:fldCharType="separate"/>
      </w:r>
      <w:r w:rsidR="004469A2" w:rsidRPr="004469A2">
        <w:rPr>
          <w:rFonts w:ascii="Calibri" w:hAnsi="Calibri" w:cs="Arial"/>
          <w:noProof/>
          <w:color w:val="000000" w:themeColor="text1"/>
          <w:sz w:val="21"/>
          <w:szCs w:val="21"/>
          <w:vertAlign w:val="superscript"/>
        </w:rPr>
        <w:t>78</w:t>
      </w:r>
      <w:r w:rsidRPr="00426780">
        <w:rPr>
          <w:rFonts w:ascii="Calibri" w:hAnsi="Calibri" w:cs="Arial"/>
          <w:color w:val="000000" w:themeColor="text1"/>
          <w:sz w:val="21"/>
          <w:szCs w:val="21"/>
        </w:rPr>
        <w:fldChar w:fldCharType="end"/>
      </w:r>
      <w:r w:rsidRPr="00426780">
        <w:rPr>
          <w:rFonts w:ascii="Calibri" w:hAnsi="Calibri" w:cs="Arial"/>
          <w:color w:val="000000" w:themeColor="text1"/>
          <w:sz w:val="21"/>
          <w:szCs w:val="21"/>
        </w:rPr>
        <w:t xml:space="preserve"> and face-to-face psychotherapies for depression (53-70% vs  23% and 33%).</w:t>
      </w:r>
      <w:r w:rsidRPr="00426780">
        <w:rPr>
          <w:rFonts w:ascii="Calibri" w:hAnsi="Calibri" w:cs="Arial"/>
          <w:color w:val="000000" w:themeColor="text1"/>
          <w:sz w:val="21"/>
          <w:szCs w:val="21"/>
        </w:rPr>
        <w:fldChar w:fldCharType="begin"/>
      </w:r>
      <w:r w:rsidR="004469A2">
        <w:rPr>
          <w:rFonts w:ascii="Calibri" w:hAnsi="Calibri" w:cs="Arial"/>
          <w:color w:val="000000" w:themeColor="text1"/>
          <w:sz w:val="21"/>
          <w:szCs w:val="21"/>
        </w:rPr>
        <w:instrText xml:space="preserve"> ADDIN EN.CITE &lt;EndNote&gt;&lt;Cite&gt;&lt;Author&gt;Cuijpers&lt;/Author&gt;&lt;Year&gt;2021&lt;/Year&gt;&lt;RecNum&gt;110&lt;/RecNum&gt;&lt;DisplayText&gt;&lt;style face="superscript"&gt;79&lt;/style&gt;&lt;/DisplayText&gt;&lt;record&gt;&lt;rec-number&gt;110&lt;/rec-number&gt;&lt;foreign-keys&gt;&lt;key app="EN" db-id="dawtr0zrkrzfa5edzzlpe2we0xa00t90vvr2" timestamp="1630989318"&gt;110&lt;/key&gt;&lt;/foreign-keys&gt;&lt;ref-type name="Journal Article"&gt;17&lt;/ref-type&gt;&lt;contributors&gt;&lt;authors&gt;&lt;author&gt;Cuijpers, Pim&lt;/author&gt;&lt;author&gt;Karyotaki, Eirini&lt;/author&gt;&lt;author&gt;Ciharova, Marketa&lt;/author&gt;&lt;author&gt;Miguel, Clara&lt;/author&gt;&lt;author&gt;Noma, Hisashi&lt;/author&gt;&lt;author&gt;Furukawa, Toshi A.&lt;/author&gt;&lt;/authors&gt;&lt;/contributors&gt;&lt;titles&gt;&lt;title&gt;The effects of psychotherapies for depression on response, remission, reliable change, and deterioration: A meta-analysis&lt;/title&gt;&lt;secondary-title&gt;Acta Psychiatrica Scandinavica&lt;/secondary-title&gt;&lt;/titles&gt;&lt;periodical&gt;&lt;full-title&gt;Acta Psychiatrica Scandinavica&lt;/full-title&gt;&lt;/periodical&gt;&lt;pages&gt;288-299&lt;/pages&gt;&lt;volume&gt;144&lt;/volume&gt;&lt;number&gt;3&lt;/number&gt;&lt;dates&gt;&lt;year&gt;2021&lt;/year&gt;&lt;/dates&gt;&lt;isbn&gt;0001-690X&lt;/isbn&gt;&lt;urls&gt;&lt;related-urls&gt;&lt;url&gt;https://onlinelibrary.wiley.com/doi/abs/10.1111/acps.13335&lt;/url&gt;&lt;/related-urls&gt;&lt;/urls&gt;&lt;electronic-resource-num&gt;https://doi.org/10.1111/acps.13335&lt;/electronic-resource-num&gt;&lt;/record&gt;&lt;/Cite&gt;&lt;/EndNote&gt;</w:instrText>
      </w:r>
      <w:r w:rsidRPr="00426780">
        <w:rPr>
          <w:rFonts w:ascii="Calibri" w:hAnsi="Calibri" w:cs="Arial"/>
          <w:color w:val="000000" w:themeColor="text1"/>
          <w:sz w:val="21"/>
          <w:szCs w:val="21"/>
        </w:rPr>
        <w:fldChar w:fldCharType="separate"/>
      </w:r>
      <w:r w:rsidR="004469A2" w:rsidRPr="004469A2">
        <w:rPr>
          <w:rFonts w:ascii="Calibri" w:hAnsi="Calibri" w:cs="Arial"/>
          <w:noProof/>
          <w:color w:val="000000" w:themeColor="text1"/>
          <w:sz w:val="21"/>
          <w:szCs w:val="21"/>
          <w:vertAlign w:val="superscript"/>
        </w:rPr>
        <w:t>79</w:t>
      </w:r>
      <w:r w:rsidRPr="00426780">
        <w:rPr>
          <w:rFonts w:ascii="Calibri" w:hAnsi="Calibri" w:cs="Arial"/>
          <w:color w:val="000000" w:themeColor="text1"/>
          <w:sz w:val="21"/>
          <w:szCs w:val="21"/>
        </w:rPr>
        <w:fldChar w:fldCharType="end"/>
      </w:r>
      <w:r w:rsidRPr="00426780">
        <w:rPr>
          <w:rFonts w:ascii="Calibri" w:hAnsi="Calibri" w:cs="Arial"/>
          <w:color w:val="000000" w:themeColor="text1"/>
          <w:sz w:val="21"/>
          <w:szCs w:val="21"/>
        </w:rPr>
        <w:t xml:space="preserve"> They also result in lower rates of no reliable change than face-to-face psychotherapies for depression (12-25% vs 54%).</w:t>
      </w:r>
      <w:r w:rsidRPr="00426780">
        <w:rPr>
          <w:rFonts w:ascii="Calibri" w:hAnsi="Calibri" w:cs="Arial"/>
          <w:color w:val="000000" w:themeColor="text1"/>
          <w:sz w:val="21"/>
          <w:szCs w:val="21"/>
        </w:rPr>
        <w:fldChar w:fldCharType="begin"/>
      </w:r>
      <w:r w:rsidR="004469A2">
        <w:rPr>
          <w:rFonts w:ascii="Calibri" w:hAnsi="Calibri" w:cs="Arial"/>
          <w:color w:val="000000" w:themeColor="text1"/>
          <w:sz w:val="21"/>
          <w:szCs w:val="21"/>
        </w:rPr>
        <w:instrText xml:space="preserve"> ADDIN EN.CITE &lt;EndNote&gt;&lt;Cite&gt;&lt;Author&gt;Cuijpers&lt;/Author&gt;&lt;Year&gt;2021&lt;/Year&gt;&lt;RecNum&gt;110&lt;/RecNum&gt;&lt;DisplayText&gt;&lt;style face="superscript"&gt;79&lt;/style&gt;&lt;/DisplayText&gt;&lt;record&gt;&lt;rec-number&gt;110&lt;/rec-number&gt;&lt;foreign-keys&gt;&lt;key app="EN" db-id="dawtr0zrkrzfa5edzzlpe2we0xa00t90vvr2" timestamp="1630989318"&gt;110&lt;/key&gt;&lt;/foreign-keys&gt;&lt;ref-type name="Journal Article"&gt;17&lt;/ref-type&gt;&lt;contributors&gt;&lt;authors&gt;&lt;author&gt;Cuijpers, Pim&lt;/author&gt;&lt;author&gt;Karyotaki, Eirini&lt;/author&gt;&lt;author&gt;Ciharova, Marketa&lt;/author&gt;&lt;author&gt;Miguel, Clara&lt;/author&gt;&lt;author&gt;Noma, Hisashi&lt;/author&gt;&lt;author&gt;Furukawa, Toshi A.&lt;/author&gt;&lt;/authors&gt;&lt;/contributors&gt;&lt;titles&gt;&lt;title&gt;The effects of psychotherapies for depression on response, remission, reliable change, and deterioration: A meta-analysis&lt;/title&gt;&lt;secondary-title&gt;Acta Psychiatrica Scandinavica&lt;/secondary-title&gt;&lt;/titles&gt;&lt;periodical&gt;&lt;full-title&gt;Acta Psychiatrica Scandinavica&lt;/full-title&gt;&lt;/periodical&gt;&lt;pages&gt;288-299&lt;/pages&gt;&lt;volume&gt;144&lt;/volume&gt;&lt;number&gt;3&lt;/number&gt;&lt;dates&gt;&lt;year&gt;2021&lt;/year&gt;&lt;/dates&gt;&lt;isbn&gt;0001-690X&lt;/isbn&gt;&lt;urls&gt;&lt;related-urls&gt;&lt;url&gt;https://onlinelibrary.wiley.com/doi/abs/10.1111/acps.13335&lt;/url&gt;&lt;/related-urls&gt;&lt;/urls&gt;&lt;electronic-resource-num&gt;https://doi.org/10.1111/acps.13335&lt;/electronic-resource-num&gt;&lt;/record&gt;&lt;/Cite&gt;&lt;/EndNote&gt;</w:instrText>
      </w:r>
      <w:r w:rsidRPr="00426780">
        <w:rPr>
          <w:rFonts w:ascii="Calibri" w:hAnsi="Calibri" w:cs="Arial"/>
          <w:color w:val="000000" w:themeColor="text1"/>
          <w:sz w:val="21"/>
          <w:szCs w:val="21"/>
        </w:rPr>
        <w:fldChar w:fldCharType="separate"/>
      </w:r>
      <w:r w:rsidR="004469A2" w:rsidRPr="004469A2">
        <w:rPr>
          <w:rFonts w:ascii="Calibri" w:hAnsi="Calibri" w:cs="Arial"/>
          <w:noProof/>
          <w:color w:val="000000" w:themeColor="text1"/>
          <w:sz w:val="21"/>
          <w:szCs w:val="21"/>
          <w:vertAlign w:val="superscript"/>
        </w:rPr>
        <w:t>79</w:t>
      </w:r>
      <w:r w:rsidRPr="00426780">
        <w:rPr>
          <w:rFonts w:ascii="Calibri" w:hAnsi="Calibri" w:cs="Arial"/>
          <w:color w:val="000000" w:themeColor="text1"/>
          <w:sz w:val="21"/>
          <w:szCs w:val="21"/>
        </w:rPr>
        <w:fldChar w:fldCharType="end"/>
      </w:r>
    </w:p>
    <w:p w14:paraId="461F2D9C" w14:textId="5CA8FBB2" w:rsidR="00426780" w:rsidRPr="00426780" w:rsidRDefault="00426780" w:rsidP="00426780">
      <w:pPr>
        <w:spacing w:after="240"/>
        <w:rPr>
          <w:rFonts w:asciiTheme="minorHAnsi" w:hAnsiTheme="minorHAnsi" w:cstheme="minorHAnsi"/>
          <w:color w:val="000000"/>
          <w:sz w:val="21"/>
          <w:szCs w:val="21"/>
        </w:rPr>
      </w:pPr>
      <w:r w:rsidRPr="00426780">
        <w:rPr>
          <w:rFonts w:ascii="Calibri" w:hAnsi="Calibri" w:cs="Arial"/>
          <w:color w:val="000000" w:themeColor="text1"/>
          <w:sz w:val="21"/>
          <w:szCs w:val="21"/>
        </w:rPr>
        <w:t>However, these comparisons should be interpreted with caution</w:t>
      </w:r>
      <w:r w:rsidR="004D1CEC">
        <w:rPr>
          <w:rFonts w:ascii="Calibri" w:hAnsi="Calibri" w:cs="Arial"/>
          <w:color w:val="000000" w:themeColor="text1"/>
          <w:sz w:val="21"/>
          <w:szCs w:val="21"/>
        </w:rPr>
        <w:t>,</w:t>
      </w:r>
      <w:r w:rsidRPr="00426780">
        <w:rPr>
          <w:rFonts w:ascii="Calibri" w:hAnsi="Calibri" w:cs="Arial"/>
          <w:color w:val="000000" w:themeColor="text1"/>
          <w:sz w:val="21"/>
          <w:szCs w:val="21"/>
        </w:rPr>
        <w:t xml:space="preserve"> given methodological differences. For example, as previously mentioned, DMHS data were sourced from selected publications of routine care and pre-implementation trials, whereas findings on the effects of psychotherapy for, and untreated, depression are based on meta-analyses. Furthermore, </w:t>
      </w:r>
      <w:r w:rsidRPr="00426780">
        <w:rPr>
          <w:rFonts w:asciiTheme="minorHAnsi" w:hAnsiTheme="minorHAnsi" w:cstheme="minorHAnsi"/>
          <w:color w:val="000000"/>
          <w:sz w:val="21"/>
          <w:szCs w:val="21"/>
        </w:rPr>
        <w:t>most change rates were not reported (but were estimated using a validated method) and variability in the direction and magnitude of treatment effects was high in the psychotherapy meta-analysis.</w:t>
      </w:r>
      <w:r w:rsidRPr="00426780">
        <w:rPr>
          <w:rFonts w:asciiTheme="minorHAnsi" w:hAnsiTheme="minorHAnsi" w:cstheme="minorHAnsi"/>
          <w:color w:val="000000"/>
          <w:sz w:val="21"/>
          <w:szCs w:val="21"/>
        </w:rPr>
        <w:fldChar w:fldCharType="begin"/>
      </w:r>
      <w:r w:rsidR="004469A2">
        <w:rPr>
          <w:rFonts w:asciiTheme="minorHAnsi" w:hAnsiTheme="minorHAnsi" w:cstheme="minorHAnsi"/>
          <w:color w:val="000000"/>
          <w:sz w:val="21"/>
          <w:szCs w:val="21"/>
        </w:rPr>
        <w:instrText xml:space="preserve"> ADDIN EN.CITE &lt;EndNote&gt;&lt;Cite&gt;&lt;Author&gt;Cuijpers&lt;/Author&gt;&lt;Year&gt;2021&lt;/Year&gt;&lt;RecNum&gt;110&lt;/RecNum&gt;&lt;DisplayText&gt;&lt;style face="superscript"&gt;79&lt;/style&gt;&lt;/DisplayText&gt;&lt;record&gt;&lt;rec-number&gt;110&lt;/rec-number&gt;&lt;foreign-keys&gt;&lt;key app="EN" db-id="dawtr0zrkrzfa5edzzlpe2we0xa00t90vvr2" timestamp="1630989318"&gt;110&lt;/key&gt;&lt;/foreign-keys&gt;&lt;ref-type name="Journal Article"&gt;17&lt;/ref-type&gt;&lt;contributors&gt;&lt;authors&gt;&lt;author&gt;Cuijpers, Pim&lt;/author&gt;&lt;author&gt;Karyotaki, Eirini&lt;/author&gt;&lt;author&gt;Ciharova, Marketa&lt;/author&gt;&lt;author&gt;Miguel, Clara&lt;/author&gt;&lt;author&gt;Noma, Hisashi&lt;/author&gt;&lt;author&gt;Furukawa, Toshi A.&lt;/author&gt;&lt;/authors&gt;&lt;/contributors&gt;&lt;titles&gt;&lt;title&gt;The effects of psychotherapies for depression on response, remission, reliable change, and deterioration: A meta-analysis&lt;/title&gt;&lt;secondary-title&gt;Acta Psychiatrica Scandinavica&lt;/secondary-title&gt;&lt;/titles&gt;&lt;periodical&gt;&lt;full-title&gt;Acta Psychiatrica Scandinavica&lt;/full-title&gt;&lt;/periodical&gt;&lt;pages&gt;288-299&lt;/pages&gt;&lt;volume&gt;144&lt;/volume&gt;&lt;number&gt;3&lt;/number&gt;&lt;dates&gt;&lt;year&gt;2021&lt;/year&gt;&lt;/dates&gt;&lt;isbn&gt;0001-690X&lt;/isbn&gt;&lt;urls&gt;&lt;related-urls&gt;&lt;url&gt;https://onlinelibrary.wiley.com/doi/abs/10.1111/acps.13335&lt;/url&gt;&lt;/related-urls&gt;&lt;/urls&gt;&lt;electronic-resource-num&gt;https://doi.org/10.1111/acps.13335&lt;/electronic-resource-num&gt;&lt;/record&gt;&lt;/Cite&gt;&lt;/EndNote&gt;</w:instrText>
      </w:r>
      <w:r w:rsidRPr="00426780">
        <w:rPr>
          <w:rFonts w:asciiTheme="minorHAnsi" w:hAnsiTheme="minorHAnsi" w:cstheme="minorHAnsi"/>
          <w:color w:val="000000"/>
          <w:sz w:val="21"/>
          <w:szCs w:val="21"/>
        </w:rPr>
        <w:fldChar w:fldCharType="separate"/>
      </w:r>
      <w:r w:rsidR="004469A2" w:rsidRPr="004469A2">
        <w:rPr>
          <w:rFonts w:asciiTheme="minorHAnsi" w:hAnsiTheme="minorHAnsi" w:cstheme="minorHAnsi"/>
          <w:noProof/>
          <w:color w:val="000000"/>
          <w:sz w:val="21"/>
          <w:szCs w:val="21"/>
          <w:vertAlign w:val="superscript"/>
        </w:rPr>
        <w:t>79</w:t>
      </w:r>
      <w:r w:rsidRPr="00426780">
        <w:rPr>
          <w:rFonts w:asciiTheme="minorHAnsi" w:hAnsiTheme="minorHAnsi" w:cstheme="minorHAnsi"/>
          <w:color w:val="000000"/>
          <w:sz w:val="21"/>
          <w:szCs w:val="21"/>
        </w:rPr>
        <w:fldChar w:fldCharType="end"/>
      </w:r>
      <w:r w:rsidRPr="00426780">
        <w:rPr>
          <w:rFonts w:asciiTheme="minorHAnsi" w:hAnsiTheme="minorHAnsi" w:cstheme="minorHAnsi"/>
          <w:color w:val="000000"/>
          <w:sz w:val="21"/>
          <w:szCs w:val="21"/>
        </w:rPr>
        <w:t xml:space="preserve"> The meta-analysis of untreated depression sourced data from consenting waitlist and primary-care samples, which may have over-represented mild-to-moderate cases of depression.</w:t>
      </w:r>
      <w:r w:rsidRPr="00426780">
        <w:rPr>
          <w:rFonts w:asciiTheme="minorHAnsi" w:hAnsiTheme="minorHAnsi" w:cstheme="minorHAnsi"/>
          <w:color w:val="000000"/>
          <w:sz w:val="21"/>
          <w:szCs w:val="21"/>
        </w:rPr>
        <w:fldChar w:fldCharType="begin"/>
      </w:r>
      <w:r w:rsidR="004469A2">
        <w:rPr>
          <w:rFonts w:asciiTheme="minorHAnsi" w:hAnsiTheme="minorHAnsi" w:cstheme="minorHAnsi"/>
          <w:color w:val="000000"/>
          <w:sz w:val="21"/>
          <w:szCs w:val="21"/>
        </w:rPr>
        <w:instrText xml:space="preserve"> ADDIN EN.CITE &lt;EndNote&gt;&lt;Cite&gt;&lt;Author&gt;Whiteford&lt;/Author&gt;&lt;Year&gt;2013&lt;/Year&gt;&lt;RecNum&gt;146&lt;/RecNum&gt;&lt;DisplayText&gt;&lt;style face="superscript"&gt;78&lt;/style&gt;&lt;/DisplayText&gt;&lt;record&gt;&lt;rec-number&gt;146&lt;/rec-number&gt;&lt;foreign-keys&gt;&lt;key app="EN" db-id="dawtr0zrkrzfa5edzzlpe2we0xa00t90vvr2" timestamp="1651542859"&gt;146&lt;/key&gt;&lt;/foreign-keys&gt;&lt;ref-type name="Journal Article"&gt;17&lt;/ref-type&gt;&lt;contributors&gt;&lt;authors&gt;&lt;author&gt;Whiteford, H. A.&lt;/author&gt;&lt;author&gt;Harris, M. G.&lt;/author&gt;&lt;author&gt;McKeon, G.&lt;/author&gt;&lt;author&gt;Baxter, A.&lt;/author&gt;&lt;author&gt;Pennell, C.&lt;/author&gt;&lt;author&gt;Barendregt, J. J.&lt;/author&gt;&lt;author&gt;Wang, J.&lt;/author&gt;&lt;/authors&gt;&lt;/contributors&gt;&lt;titles&gt;&lt;title&gt;Estimating remission from untreated major depression: a systematic review and meta-analysis&lt;/title&gt;&lt;secondary-title&gt;Psychological Medicine&lt;/secondary-title&gt;&lt;/titles&gt;&lt;periodical&gt;&lt;full-title&gt;Psychological Medicine&lt;/full-title&gt;&lt;/periodical&gt;&lt;pages&gt;1569-1585&lt;/pages&gt;&lt;volume&gt;43&lt;/volume&gt;&lt;number&gt;8&lt;/number&gt;&lt;edition&gt;2012/08/10&lt;/edition&gt;&lt;keywords&gt;&lt;keyword&gt;Major depressive disorder&lt;/keyword&gt;&lt;keyword&gt;meta-analysis&lt;/keyword&gt;&lt;keyword&gt;natural history&lt;/keyword&gt;&lt;keyword&gt;spontaneous remission&lt;/keyword&gt;&lt;keyword&gt;systematic review&lt;/keyword&gt;&lt;/keywords&gt;&lt;dates&gt;&lt;year&gt;2013&lt;/year&gt;&lt;/dates&gt;&lt;publisher&gt;Cambridge University Press&lt;/publisher&gt;&lt;isbn&gt;0033-2917&lt;/isbn&gt;&lt;urls&gt;&lt;related-urls&gt;&lt;url&gt;https://www.cambridge.org/core/article/estimating-remission-from-untreated-major-depression-a-systematic-review-and-metaanalysis/52961032C5AFAB1C3B2C4E06A652B561&lt;/url&gt;&lt;/related-urls&gt;&lt;/urls&gt;&lt;electronic-resource-num&gt;10.1017/S0033291712001717&lt;/electronic-resource-num&gt;&lt;remote-database-name&gt;Cambridge Core&lt;/remote-database-name&gt;&lt;remote-database-provider&gt;Cambridge University Press&lt;/remote-database-provider&gt;&lt;/record&gt;&lt;/Cite&gt;&lt;/EndNote&gt;</w:instrText>
      </w:r>
      <w:r w:rsidRPr="00426780">
        <w:rPr>
          <w:rFonts w:asciiTheme="minorHAnsi" w:hAnsiTheme="minorHAnsi" w:cstheme="minorHAnsi"/>
          <w:color w:val="000000"/>
          <w:sz w:val="21"/>
          <w:szCs w:val="21"/>
        </w:rPr>
        <w:fldChar w:fldCharType="separate"/>
      </w:r>
      <w:r w:rsidR="004469A2" w:rsidRPr="004469A2">
        <w:rPr>
          <w:rFonts w:asciiTheme="minorHAnsi" w:hAnsiTheme="minorHAnsi" w:cstheme="minorHAnsi"/>
          <w:noProof/>
          <w:color w:val="000000"/>
          <w:sz w:val="21"/>
          <w:szCs w:val="21"/>
          <w:vertAlign w:val="superscript"/>
        </w:rPr>
        <w:t>78</w:t>
      </w:r>
      <w:r w:rsidRPr="00426780">
        <w:rPr>
          <w:rFonts w:asciiTheme="minorHAnsi" w:hAnsiTheme="minorHAnsi" w:cstheme="minorHAnsi"/>
          <w:color w:val="000000"/>
          <w:sz w:val="21"/>
          <w:szCs w:val="21"/>
        </w:rPr>
        <w:fldChar w:fldCharType="end"/>
      </w:r>
    </w:p>
    <w:p w14:paraId="6F732C84" w14:textId="5745258F" w:rsidR="00BE64E6" w:rsidRDefault="00EF7614" w:rsidP="00EF7614">
      <w:pPr>
        <w:pStyle w:val="tableheading"/>
      </w:pPr>
      <w:r>
        <w:t xml:space="preserve">Table 22. Clinically significant </w:t>
      </w:r>
      <w:r w:rsidR="00DA0F25">
        <w:t>change</w:t>
      </w:r>
      <w:r>
        <w:t xml:space="preserve"> in mental health </w:t>
      </w:r>
      <w:r w:rsidR="000B36CF">
        <w:t>following treatment by DMHSs and comparators</w:t>
      </w:r>
    </w:p>
    <w:tbl>
      <w:tblPr>
        <w:tblStyle w:val="TableGrid"/>
        <w:tblW w:w="0" w:type="auto"/>
        <w:tblLook w:val="04A0" w:firstRow="1" w:lastRow="0" w:firstColumn="1" w:lastColumn="0" w:noHBand="0" w:noVBand="1"/>
        <w:tblCaption w:val="Table 22. Clinically significant change in mental health following treatment by DMHSs and comparators"/>
        <w:tblDescription w:val="Table describing Clinically significant change in mental health following treatment by DMHSs and comparators"/>
      </w:tblPr>
      <w:tblGrid>
        <w:gridCol w:w="2160"/>
        <w:gridCol w:w="1237"/>
        <w:gridCol w:w="1276"/>
        <w:gridCol w:w="1276"/>
        <w:gridCol w:w="1134"/>
        <w:gridCol w:w="992"/>
        <w:gridCol w:w="1661"/>
      </w:tblGrid>
      <w:tr w:rsidR="002B1B62" w:rsidRPr="002B1B62" w14:paraId="1D86C473" w14:textId="77777777" w:rsidTr="00F20569">
        <w:tc>
          <w:tcPr>
            <w:tcW w:w="2160" w:type="dxa"/>
            <w:shd w:val="clear" w:color="auto" w:fill="000000" w:themeFill="text1"/>
            <w:vAlign w:val="center"/>
          </w:tcPr>
          <w:p w14:paraId="359C66CE" w14:textId="32369F30" w:rsidR="00F051DB" w:rsidRPr="002B1B62" w:rsidRDefault="00F051DB" w:rsidP="002B1B62">
            <w:pPr>
              <w:pStyle w:val="ANorm"/>
              <w:jc w:val="center"/>
              <w:rPr>
                <w:color w:val="FFFFFF" w:themeColor="background1"/>
                <w:sz w:val="18"/>
                <w:szCs w:val="18"/>
              </w:rPr>
            </w:pPr>
            <w:r w:rsidRPr="002B1B62">
              <w:rPr>
                <w:color w:val="FFFFFF" w:themeColor="background1"/>
                <w:sz w:val="18"/>
                <w:szCs w:val="18"/>
              </w:rPr>
              <w:t>Comparator</w:t>
            </w:r>
          </w:p>
        </w:tc>
        <w:tc>
          <w:tcPr>
            <w:tcW w:w="1237" w:type="dxa"/>
            <w:shd w:val="clear" w:color="auto" w:fill="000000" w:themeFill="text1"/>
            <w:vAlign w:val="center"/>
          </w:tcPr>
          <w:p w14:paraId="4C20AA34" w14:textId="067B6840" w:rsidR="00F051DB" w:rsidRPr="002B1B62" w:rsidRDefault="008A7EA3" w:rsidP="002B1B62">
            <w:pPr>
              <w:pStyle w:val="ANorm"/>
              <w:jc w:val="center"/>
              <w:rPr>
                <w:color w:val="FFFFFF" w:themeColor="background1"/>
                <w:sz w:val="18"/>
                <w:szCs w:val="18"/>
              </w:rPr>
            </w:pPr>
            <w:r w:rsidRPr="002B1B62">
              <w:rPr>
                <w:color w:val="FFFFFF" w:themeColor="background1"/>
                <w:sz w:val="18"/>
                <w:szCs w:val="18"/>
              </w:rPr>
              <w:t>Reliable improvement</w:t>
            </w:r>
          </w:p>
        </w:tc>
        <w:tc>
          <w:tcPr>
            <w:tcW w:w="1276" w:type="dxa"/>
            <w:shd w:val="clear" w:color="auto" w:fill="000000" w:themeFill="text1"/>
            <w:vAlign w:val="center"/>
          </w:tcPr>
          <w:p w14:paraId="1C2E5DAA" w14:textId="217A084B" w:rsidR="00F051DB" w:rsidRPr="002B1B62" w:rsidRDefault="008A7EA3" w:rsidP="002B1B62">
            <w:pPr>
              <w:pStyle w:val="ANorm"/>
              <w:jc w:val="center"/>
              <w:rPr>
                <w:color w:val="FFFFFF" w:themeColor="background1"/>
                <w:sz w:val="18"/>
                <w:szCs w:val="18"/>
              </w:rPr>
            </w:pPr>
            <w:r w:rsidRPr="002B1B62">
              <w:rPr>
                <w:color w:val="FFFFFF" w:themeColor="background1"/>
                <w:sz w:val="18"/>
                <w:szCs w:val="18"/>
              </w:rPr>
              <w:t>No reliable change</w:t>
            </w:r>
          </w:p>
        </w:tc>
        <w:tc>
          <w:tcPr>
            <w:tcW w:w="1276" w:type="dxa"/>
            <w:shd w:val="clear" w:color="auto" w:fill="000000" w:themeFill="text1"/>
            <w:vAlign w:val="center"/>
          </w:tcPr>
          <w:p w14:paraId="39CC1541" w14:textId="64ED4068" w:rsidR="00F051DB" w:rsidRPr="002B1B62" w:rsidRDefault="008A7EA3" w:rsidP="002B1B62">
            <w:pPr>
              <w:pStyle w:val="ANorm"/>
              <w:jc w:val="center"/>
              <w:rPr>
                <w:color w:val="FFFFFF" w:themeColor="background1"/>
                <w:sz w:val="18"/>
                <w:szCs w:val="18"/>
              </w:rPr>
            </w:pPr>
            <w:r w:rsidRPr="002B1B62">
              <w:rPr>
                <w:color w:val="FFFFFF" w:themeColor="background1"/>
                <w:sz w:val="18"/>
                <w:szCs w:val="18"/>
              </w:rPr>
              <w:t>Reliable deterioration</w:t>
            </w:r>
          </w:p>
        </w:tc>
        <w:tc>
          <w:tcPr>
            <w:tcW w:w="1134" w:type="dxa"/>
            <w:shd w:val="clear" w:color="auto" w:fill="000000" w:themeFill="text1"/>
            <w:vAlign w:val="center"/>
          </w:tcPr>
          <w:p w14:paraId="655837ED" w14:textId="7F99011F" w:rsidR="00F051DB" w:rsidRPr="002B1B62" w:rsidRDefault="00656847" w:rsidP="002B1B62">
            <w:pPr>
              <w:pStyle w:val="ANorm"/>
              <w:jc w:val="center"/>
              <w:rPr>
                <w:color w:val="FFFFFF" w:themeColor="background1"/>
                <w:sz w:val="18"/>
                <w:szCs w:val="18"/>
              </w:rPr>
            </w:pPr>
            <w:r w:rsidRPr="002B1B62">
              <w:rPr>
                <w:color w:val="FFFFFF" w:themeColor="background1"/>
                <w:sz w:val="18"/>
                <w:szCs w:val="18"/>
              </w:rPr>
              <w:t>Reliable recovery</w:t>
            </w:r>
          </w:p>
        </w:tc>
        <w:tc>
          <w:tcPr>
            <w:tcW w:w="992" w:type="dxa"/>
            <w:shd w:val="clear" w:color="auto" w:fill="000000" w:themeFill="text1"/>
            <w:vAlign w:val="center"/>
          </w:tcPr>
          <w:p w14:paraId="04666CB9" w14:textId="59CD66B0" w:rsidR="00F051DB" w:rsidRPr="002B1B62" w:rsidRDefault="00656847" w:rsidP="002B1B62">
            <w:pPr>
              <w:pStyle w:val="ANorm"/>
              <w:jc w:val="center"/>
              <w:rPr>
                <w:color w:val="FFFFFF" w:themeColor="background1"/>
                <w:sz w:val="18"/>
                <w:szCs w:val="18"/>
              </w:rPr>
            </w:pPr>
            <w:r w:rsidRPr="002B1B62">
              <w:rPr>
                <w:color w:val="FFFFFF" w:themeColor="background1"/>
                <w:sz w:val="18"/>
                <w:szCs w:val="18"/>
              </w:rPr>
              <w:t>Recovery</w:t>
            </w:r>
          </w:p>
        </w:tc>
        <w:tc>
          <w:tcPr>
            <w:tcW w:w="1661" w:type="dxa"/>
            <w:shd w:val="clear" w:color="auto" w:fill="000000" w:themeFill="text1"/>
            <w:vAlign w:val="center"/>
          </w:tcPr>
          <w:p w14:paraId="68659EB7" w14:textId="7B34969F" w:rsidR="00F051DB" w:rsidRPr="002B1B62" w:rsidRDefault="00656847" w:rsidP="002B1B62">
            <w:pPr>
              <w:pStyle w:val="ANorm"/>
              <w:jc w:val="center"/>
              <w:rPr>
                <w:color w:val="FFFFFF" w:themeColor="background1"/>
                <w:sz w:val="18"/>
                <w:szCs w:val="18"/>
              </w:rPr>
            </w:pPr>
            <w:r w:rsidRPr="002B1B62">
              <w:rPr>
                <w:color w:val="FFFFFF" w:themeColor="background1"/>
                <w:sz w:val="18"/>
                <w:szCs w:val="18"/>
              </w:rPr>
              <w:t>Remission</w:t>
            </w:r>
          </w:p>
        </w:tc>
      </w:tr>
      <w:tr w:rsidR="00F051DB" w:rsidRPr="008A7EA3" w14:paraId="1C7D5EE6" w14:textId="77777777" w:rsidTr="00F20569">
        <w:tc>
          <w:tcPr>
            <w:tcW w:w="2160" w:type="dxa"/>
          </w:tcPr>
          <w:p w14:paraId="562B2DD1" w14:textId="250D49D4" w:rsidR="00F051DB" w:rsidRPr="008A7EA3" w:rsidRDefault="00656847" w:rsidP="00F051DB">
            <w:pPr>
              <w:pStyle w:val="ANorm"/>
              <w:rPr>
                <w:sz w:val="18"/>
                <w:szCs w:val="18"/>
              </w:rPr>
            </w:pPr>
            <w:r>
              <w:rPr>
                <w:sz w:val="18"/>
                <w:szCs w:val="18"/>
              </w:rPr>
              <w:t>M</w:t>
            </w:r>
            <w:r w:rsidR="00C01F59">
              <w:rPr>
                <w:sz w:val="18"/>
                <w:szCs w:val="18"/>
              </w:rPr>
              <w:t xml:space="preserve">ental </w:t>
            </w:r>
            <w:r>
              <w:rPr>
                <w:sz w:val="18"/>
                <w:szCs w:val="18"/>
              </w:rPr>
              <w:t>H</w:t>
            </w:r>
            <w:r w:rsidR="00C01F59">
              <w:rPr>
                <w:sz w:val="18"/>
                <w:szCs w:val="18"/>
              </w:rPr>
              <w:t xml:space="preserve">ealth </w:t>
            </w:r>
            <w:r>
              <w:rPr>
                <w:sz w:val="18"/>
                <w:szCs w:val="18"/>
              </w:rPr>
              <w:t>O</w:t>
            </w:r>
            <w:r w:rsidR="00C01F59">
              <w:rPr>
                <w:sz w:val="18"/>
                <w:szCs w:val="18"/>
              </w:rPr>
              <w:t>nline</w:t>
            </w:r>
            <w:r w:rsidR="0077325D">
              <w:rPr>
                <w:sz w:val="18"/>
                <w:szCs w:val="18"/>
              </w:rPr>
              <w:t xml:space="preserve">, therapist-supported </w:t>
            </w:r>
            <w:proofErr w:type="spellStart"/>
            <w:r w:rsidR="0077325D">
              <w:rPr>
                <w:sz w:val="18"/>
                <w:szCs w:val="18"/>
              </w:rPr>
              <w:t>iCBT</w:t>
            </w:r>
            <w:proofErr w:type="spellEnd"/>
          </w:p>
        </w:tc>
        <w:tc>
          <w:tcPr>
            <w:tcW w:w="1237" w:type="dxa"/>
          </w:tcPr>
          <w:p w14:paraId="5189940D" w14:textId="09D60D74" w:rsidR="00F051DB" w:rsidRPr="008A7EA3" w:rsidRDefault="006F0B82" w:rsidP="002B1B62">
            <w:pPr>
              <w:pStyle w:val="ANorm"/>
              <w:jc w:val="center"/>
              <w:rPr>
                <w:sz w:val="18"/>
                <w:szCs w:val="18"/>
              </w:rPr>
            </w:pPr>
            <w:r>
              <w:rPr>
                <w:sz w:val="18"/>
                <w:szCs w:val="18"/>
              </w:rPr>
              <w:t>49%</w:t>
            </w:r>
            <w:r w:rsidR="00C94E54" w:rsidRPr="00C94E54">
              <w:rPr>
                <w:sz w:val="18"/>
                <w:szCs w:val="18"/>
                <w:vertAlign w:val="superscript"/>
              </w:rPr>
              <w:t>a</w:t>
            </w:r>
          </w:p>
        </w:tc>
        <w:tc>
          <w:tcPr>
            <w:tcW w:w="1276" w:type="dxa"/>
          </w:tcPr>
          <w:p w14:paraId="26018A7F" w14:textId="77777777" w:rsidR="00F051DB" w:rsidRPr="008A7EA3" w:rsidRDefault="00F051DB" w:rsidP="002B1B62">
            <w:pPr>
              <w:pStyle w:val="ANorm"/>
              <w:jc w:val="center"/>
              <w:rPr>
                <w:sz w:val="18"/>
                <w:szCs w:val="18"/>
              </w:rPr>
            </w:pPr>
          </w:p>
        </w:tc>
        <w:tc>
          <w:tcPr>
            <w:tcW w:w="1276" w:type="dxa"/>
          </w:tcPr>
          <w:p w14:paraId="242AE076" w14:textId="77777777" w:rsidR="00F051DB" w:rsidRPr="008A7EA3" w:rsidRDefault="00F051DB" w:rsidP="002B1B62">
            <w:pPr>
              <w:pStyle w:val="ANorm"/>
              <w:jc w:val="center"/>
              <w:rPr>
                <w:sz w:val="18"/>
                <w:szCs w:val="18"/>
              </w:rPr>
            </w:pPr>
          </w:p>
        </w:tc>
        <w:tc>
          <w:tcPr>
            <w:tcW w:w="1134" w:type="dxa"/>
          </w:tcPr>
          <w:p w14:paraId="1BF1DCCC" w14:textId="73CEE0E5" w:rsidR="00F051DB" w:rsidRPr="008A7EA3" w:rsidRDefault="0019139D" w:rsidP="002B1B62">
            <w:pPr>
              <w:pStyle w:val="ANorm"/>
              <w:jc w:val="center"/>
              <w:rPr>
                <w:sz w:val="18"/>
                <w:szCs w:val="18"/>
              </w:rPr>
            </w:pPr>
            <w:r>
              <w:rPr>
                <w:sz w:val="18"/>
                <w:szCs w:val="18"/>
              </w:rPr>
              <w:t>33</w:t>
            </w:r>
            <w:r w:rsidR="00E66C62">
              <w:rPr>
                <w:sz w:val="18"/>
                <w:szCs w:val="18"/>
              </w:rPr>
              <w:t>%</w:t>
            </w:r>
            <w:r w:rsidR="00C94E54" w:rsidRPr="00C94E54">
              <w:rPr>
                <w:sz w:val="18"/>
                <w:szCs w:val="18"/>
                <w:vertAlign w:val="superscript"/>
              </w:rPr>
              <w:t>a</w:t>
            </w:r>
          </w:p>
        </w:tc>
        <w:tc>
          <w:tcPr>
            <w:tcW w:w="992" w:type="dxa"/>
          </w:tcPr>
          <w:p w14:paraId="28B02DFE" w14:textId="77777777" w:rsidR="00F051DB" w:rsidRPr="008A7EA3" w:rsidRDefault="00F051DB" w:rsidP="002B1B62">
            <w:pPr>
              <w:pStyle w:val="ANorm"/>
              <w:jc w:val="center"/>
              <w:rPr>
                <w:sz w:val="18"/>
                <w:szCs w:val="18"/>
              </w:rPr>
            </w:pPr>
          </w:p>
        </w:tc>
        <w:tc>
          <w:tcPr>
            <w:tcW w:w="1661" w:type="dxa"/>
          </w:tcPr>
          <w:p w14:paraId="09E11F60" w14:textId="7800EDC3" w:rsidR="00F051DB" w:rsidRPr="008A7EA3" w:rsidRDefault="00E66C62" w:rsidP="002B1B62">
            <w:pPr>
              <w:pStyle w:val="ANorm"/>
              <w:jc w:val="center"/>
              <w:rPr>
                <w:sz w:val="18"/>
                <w:szCs w:val="18"/>
              </w:rPr>
            </w:pPr>
            <w:r>
              <w:rPr>
                <w:sz w:val="18"/>
                <w:szCs w:val="18"/>
              </w:rPr>
              <w:t>69%</w:t>
            </w:r>
            <w:r w:rsidR="00E43D22" w:rsidRPr="00E43D22">
              <w:rPr>
                <w:sz w:val="18"/>
                <w:szCs w:val="18"/>
                <w:vertAlign w:val="superscript"/>
              </w:rPr>
              <w:t>b</w:t>
            </w:r>
          </w:p>
        </w:tc>
      </w:tr>
      <w:tr w:rsidR="00F051DB" w:rsidRPr="008A7EA3" w14:paraId="1D685311" w14:textId="77777777" w:rsidTr="00F20569">
        <w:tc>
          <w:tcPr>
            <w:tcW w:w="2160" w:type="dxa"/>
          </w:tcPr>
          <w:p w14:paraId="10AE59CD" w14:textId="4E043CF8" w:rsidR="00F051DB" w:rsidRPr="009C5547" w:rsidRDefault="00F10CFA" w:rsidP="00F051DB">
            <w:pPr>
              <w:pStyle w:val="ANorm"/>
              <w:rPr>
                <w:sz w:val="18"/>
                <w:szCs w:val="18"/>
                <w:highlight w:val="yellow"/>
              </w:rPr>
            </w:pPr>
            <w:proofErr w:type="spellStart"/>
            <w:r w:rsidRPr="001E67BB">
              <w:rPr>
                <w:sz w:val="18"/>
                <w:szCs w:val="18"/>
              </w:rPr>
              <w:t>MindSpot</w:t>
            </w:r>
            <w:proofErr w:type="spellEnd"/>
            <w:r w:rsidRPr="001E67BB">
              <w:rPr>
                <w:sz w:val="18"/>
                <w:szCs w:val="18"/>
              </w:rPr>
              <w:t xml:space="preserve">, therapist-supported </w:t>
            </w:r>
            <w:proofErr w:type="spellStart"/>
            <w:r w:rsidRPr="001E67BB">
              <w:rPr>
                <w:sz w:val="18"/>
                <w:szCs w:val="18"/>
              </w:rPr>
              <w:t>iCBT</w:t>
            </w:r>
            <w:proofErr w:type="spellEnd"/>
          </w:p>
        </w:tc>
        <w:tc>
          <w:tcPr>
            <w:tcW w:w="1237" w:type="dxa"/>
          </w:tcPr>
          <w:p w14:paraId="4D1F3C48" w14:textId="470ADC3D" w:rsidR="00F051DB" w:rsidRPr="00B60CA7" w:rsidRDefault="00854E86" w:rsidP="002B1B62">
            <w:pPr>
              <w:pStyle w:val="ANorm"/>
              <w:jc w:val="center"/>
              <w:rPr>
                <w:sz w:val="18"/>
                <w:szCs w:val="18"/>
                <w:vertAlign w:val="superscript"/>
              </w:rPr>
            </w:pPr>
            <w:r w:rsidRPr="00B60CA7">
              <w:rPr>
                <w:sz w:val="18"/>
                <w:szCs w:val="18"/>
              </w:rPr>
              <w:t xml:space="preserve">75% </w:t>
            </w:r>
            <w:proofErr w:type="spellStart"/>
            <w:proofErr w:type="gramStart"/>
            <w:r w:rsidRPr="00B60CA7">
              <w:rPr>
                <w:sz w:val="18"/>
                <w:szCs w:val="18"/>
              </w:rPr>
              <w:t>Aus</w:t>
            </w:r>
            <w:r w:rsidR="002642CD" w:rsidRPr="00B60CA7">
              <w:rPr>
                <w:sz w:val="18"/>
                <w:szCs w:val="18"/>
                <w:vertAlign w:val="superscript"/>
              </w:rPr>
              <w:t>c</w:t>
            </w:r>
            <w:r w:rsidR="00FB1B4B" w:rsidRPr="00B60CA7">
              <w:rPr>
                <w:sz w:val="18"/>
                <w:szCs w:val="18"/>
                <w:vertAlign w:val="superscript"/>
              </w:rPr>
              <w:t>,</w:t>
            </w:r>
            <w:r w:rsidR="007D1373" w:rsidRPr="00B60CA7">
              <w:rPr>
                <w:sz w:val="18"/>
                <w:szCs w:val="18"/>
                <w:vertAlign w:val="superscript"/>
              </w:rPr>
              <w:t>d</w:t>
            </w:r>
            <w:proofErr w:type="spellEnd"/>
            <w:proofErr w:type="gramEnd"/>
          </w:p>
          <w:p w14:paraId="0BB7C273" w14:textId="164CF213" w:rsidR="00854E86" w:rsidRPr="009C5547" w:rsidRDefault="00CC4D12" w:rsidP="00B60CA7">
            <w:pPr>
              <w:pStyle w:val="ANorm"/>
              <w:jc w:val="center"/>
              <w:rPr>
                <w:sz w:val="18"/>
                <w:szCs w:val="18"/>
                <w:highlight w:val="yellow"/>
              </w:rPr>
            </w:pPr>
            <w:r w:rsidRPr="00B60CA7">
              <w:rPr>
                <w:sz w:val="18"/>
                <w:szCs w:val="18"/>
              </w:rPr>
              <w:t xml:space="preserve">70-87 </w:t>
            </w:r>
            <w:proofErr w:type="spellStart"/>
            <w:r w:rsidRPr="00B60CA7">
              <w:rPr>
                <w:sz w:val="18"/>
                <w:szCs w:val="18"/>
              </w:rPr>
              <w:t>Mig</w:t>
            </w:r>
            <w:r w:rsidR="007F0BE2" w:rsidRPr="00B60CA7">
              <w:rPr>
                <w:sz w:val="18"/>
                <w:szCs w:val="18"/>
                <w:vertAlign w:val="superscript"/>
              </w:rPr>
              <w:t>e</w:t>
            </w:r>
            <w:proofErr w:type="spellEnd"/>
          </w:p>
        </w:tc>
        <w:tc>
          <w:tcPr>
            <w:tcW w:w="1276" w:type="dxa"/>
          </w:tcPr>
          <w:p w14:paraId="70C898BD" w14:textId="48AFE843" w:rsidR="00DB4268" w:rsidRPr="001E67BB" w:rsidRDefault="00DB4268" w:rsidP="002B1B62">
            <w:pPr>
              <w:pStyle w:val="ANorm"/>
              <w:jc w:val="center"/>
              <w:rPr>
                <w:sz w:val="18"/>
                <w:szCs w:val="18"/>
              </w:rPr>
            </w:pPr>
            <w:r w:rsidRPr="001E67BB">
              <w:rPr>
                <w:sz w:val="18"/>
                <w:szCs w:val="18"/>
              </w:rPr>
              <w:t xml:space="preserve">21% </w:t>
            </w:r>
            <w:proofErr w:type="spellStart"/>
            <w:r w:rsidRPr="001E67BB">
              <w:rPr>
                <w:sz w:val="18"/>
                <w:szCs w:val="18"/>
              </w:rPr>
              <w:t>Aust</w:t>
            </w:r>
            <w:r w:rsidR="00DC2280" w:rsidRPr="001E67BB">
              <w:rPr>
                <w:sz w:val="18"/>
                <w:szCs w:val="18"/>
                <w:vertAlign w:val="superscript"/>
              </w:rPr>
              <w:t>c</w:t>
            </w:r>
            <w:proofErr w:type="spellEnd"/>
          </w:p>
          <w:p w14:paraId="23AB795D" w14:textId="5368217C" w:rsidR="00F051DB" w:rsidRPr="001E67BB" w:rsidRDefault="000B6B35" w:rsidP="002B1B62">
            <w:pPr>
              <w:pStyle w:val="ANorm"/>
              <w:jc w:val="center"/>
              <w:rPr>
                <w:sz w:val="18"/>
                <w:szCs w:val="18"/>
              </w:rPr>
            </w:pPr>
            <w:r w:rsidRPr="001E67BB">
              <w:rPr>
                <w:sz w:val="18"/>
                <w:szCs w:val="18"/>
              </w:rPr>
              <w:t>12-25%</w:t>
            </w:r>
            <w:r w:rsidR="006A16A1" w:rsidRPr="001E67BB">
              <w:rPr>
                <w:sz w:val="18"/>
                <w:szCs w:val="18"/>
              </w:rPr>
              <w:t xml:space="preserve"> </w:t>
            </w:r>
            <w:proofErr w:type="spellStart"/>
            <w:r w:rsidR="006A16A1" w:rsidRPr="001E67BB">
              <w:rPr>
                <w:sz w:val="18"/>
                <w:szCs w:val="18"/>
              </w:rPr>
              <w:t>Mig</w:t>
            </w:r>
            <w:r w:rsidR="00DC2280" w:rsidRPr="001E67BB">
              <w:rPr>
                <w:sz w:val="18"/>
                <w:szCs w:val="18"/>
                <w:vertAlign w:val="superscript"/>
              </w:rPr>
              <w:t>c</w:t>
            </w:r>
            <w:proofErr w:type="spellEnd"/>
          </w:p>
        </w:tc>
        <w:tc>
          <w:tcPr>
            <w:tcW w:w="1276" w:type="dxa"/>
          </w:tcPr>
          <w:p w14:paraId="4130359F" w14:textId="3E709D06" w:rsidR="00F051DB" w:rsidRPr="001E67BB" w:rsidRDefault="00BD00E1" w:rsidP="002B1B62">
            <w:pPr>
              <w:pStyle w:val="ANorm"/>
              <w:jc w:val="center"/>
              <w:rPr>
                <w:sz w:val="18"/>
                <w:szCs w:val="18"/>
              </w:rPr>
            </w:pPr>
            <w:r w:rsidRPr="001E67BB">
              <w:rPr>
                <w:sz w:val="18"/>
                <w:szCs w:val="18"/>
                <w:u w:val="single"/>
              </w:rPr>
              <w:t>&lt;</w:t>
            </w:r>
            <w:r w:rsidRPr="001E67BB">
              <w:rPr>
                <w:sz w:val="18"/>
                <w:szCs w:val="18"/>
              </w:rPr>
              <w:t>2%</w:t>
            </w:r>
            <w:r w:rsidR="00F47C0F" w:rsidRPr="001E67BB">
              <w:rPr>
                <w:sz w:val="18"/>
                <w:szCs w:val="18"/>
              </w:rPr>
              <w:t xml:space="preserve"> all</w:t>
            </w:r>
            <w:r w:rsidR="001E67BB" w:rsidRPr="001E67BB">
              <w:rPr>
                <w:sz w:val="18"/>
                <w:szCs w:val="18"/>
                <w:vertAlign w:val="superscript"/>
              </w:rPr>
              <w:t>e</w:t>
            </w:r>
          </w:p>
          <w:p w14:paraId="045BB87C" w14:textId="5CD96418" w:rsidR="00F47C0F" w:rsidRPr="001E67BB" w:rsidRDefault="00F47C0F" w:rsidP="002B1B62">
            <w:pPr>
              <w:pStyle w:val="ANorm"/>
              <w:jc w:val="center"/>
              <w:rPr>
                <w:sz w:val="18"/>
                <w:szCs w:val="18"/>
              </w:rPr>
            </w:pPr>
            <w:r w:rsidRPr="001E67BB">
              <w:rPr>
                <w:sz w:val="18"/>
                <w:szCs w:val="18"/>
              </w:rPr>
              <w:t xml:space="preserve">0-7% </w:t>
            </w:r>
            <w:proofErr w:type="spellStart"/>
            <w:r w:rsidRPr="001E67BB">
              <w:rPr>
                <w:sz w:val="18"/>
                <w:szCs w:val="18"/>
              </w:rPr>
              <w:t>Mig</w:t>
            </w:r>
            <w:r w:rsidR="00DC2280" w:rsidRPr="001E67BB">
              <w:rPr>
                <w:sz w:val="18"/>
                <w:szCs w:val="18"/>
                <w:vertAlign w:val="superscript"/>
              </w:rPr>
              <w:t>c</w:t>
            </w:r>
            <w:proofErr w:type="spellEnd"/>
          </w:p>
        </w:tc>
        <w:tc>
          <w:tcPr>
            <w:tcW w:w="1134" w:type="dxa"/>
          </w:tcPr>
          <w:p w14:paraId="4DC11C67" w14:textId="1CC0D58A" w:rsidR="00F051DB" w:rsidRPr="001E67BB" w:rsidRDefault="00877FDC" w:rsidP="002B1B62">
            <w:pPr>
              <w:pStyle w:val="ANorm"/>
              <w:jc w:val="center"/>
              <w:rPr>
                <w:sz w:val="18"/>
                <w:szCs w:val="18"/>
              </w:rPr>
            </w:pPr>
            <w:r w:rsidRPr="001E67BB">
              <w:rPr>
                <w:sz w:val="18"/>
                <w:szCs w:val="18"/>
              </w:rPr>
              <w:t>60%</w:t>
            </w:r>
            <w:r w:rsidR="006A16A1" w:rsidRPr="001E67BB">
              <w:rPr>
                <w:sz w:val="18"/>
                <w:szCs w:val="18"/>
              </w:rPr>
              <w:t xml:space="preserve"> all</w:t>
            </w:r>
            <w:r w:rsidR="00006888" w:rsidRPr="001E67BB">
              <w:rPr>
                <w:sz w:val="18"/>
                <w:szCs w:val="18"/>
                <w:vertAlign w:val="superscript"/>
              </w:rPr>
              <w:t>e</w:t>
            </w:r>
          </w:p>
        </w:tc>
        <w:tc>
          <w:tcPr>
            <w:tcW w:w="992" w:type="dxa"/>
          </w:tcPr>
          <w:p w14:paraId="046B6D78" w14:textId="77777777" w:rsidR="00F051DB" w:rsidRPr="001E67BB" w:rsidRDefault="00F051DB" w:rsidP="002B1B62">
            <w:pPr>
              <w:pStyle w:val="ANorm"/>
              <w:jc w:val="center"/>
              <w:rPr>
                <w:sz w:val="18"/>
                <w:szCs w:val="18"/>
              </w:rPr>
            </w:pPr>
          </w:p>
        </w:tc>
        <w:tc>
          <w:tcPr>
            <w:tcW w:w="1661" w:type="dxa"/>
          </w:tcPr>
          <w:p w14:paraId="56564CFF" w14:textId="66D537DE" w:rsidR="007917A1" w:rsidRPr="001E67BB" w:rsidRDefault="007917A1" w:rsidP="002B1B62">
            <w:pPr>
              <w:pStyle w:val="ANorm"/>
              <w:jc w:val="center"/>
              <w:rPr>
                <w:sz w:val="18"/>
                <w:szCs w:val="18"/>
              </w:rPr>
            </w:pPr>
            <w:r w:rsidRPr="001E67BB">
              <w:rPr>
                <w:sz w:val="18"/>
                <w:szCs w:val="18"/>
              </w:rPr>
              <w:t xml:space="preserve">56% </w:t>
            </w:r>
            <w:proofErr w:type="spellStart"/>
            <w:r w:rsidRPr="001E67BB">
              <w:rPr>
                <w:sz w:val="18"/>
                <w:szCs w:val="18"/>
              </w:rPr>
              <w:t>Aus</w:t>
            </w:r>
            <w:r w:rsidR="00D52DB0" w:rsidRPr="001E67BB">
              <w:rPr>
                <w:sz w:val="18"/>
                <w:szCs w:val="18"/>
                <w:vertAlign w:val="superscript"/>
              </w:rPr>
              <w:t>c</w:t>
            </w:r>
            <w:proofErr w:type="spellEnd"/>
          </w:p>
          <w:p w14:paraId="2853441A" w14:textId="1CCD28ED" w:rsidR="00F051DB" w:rsidRPr="001E67BB" w:rsidRDefault="00BC7680" w:rsidP="002B1B62">
            <w:pPr>
              <w:pStyle w:val="ANorm"/>
              <w:jc w:val="center"/>
              <w:rPr>
                <w:sz w:val="18"/>
                <w:szCs w:val="18"/>
              </w:rPr>
            </w:pPr>
            <w:r w:rsidRPr="001E67BB">
              <w:rPr>
                <w:sz w:val="18"/>
                <w:szCs w:val="18"/>
              </w:rPr>
              <w:t>53-70%</w:t>
            </w:r>
            <w:r w:rsidR="007917A1" w:rsidRPr="001E67BB">
              <w:rPr>
                <w:sz w:val="18"/>
                <w:szCs w:val="18"/>
              </w:rPr>
              <w:t xml:space="preserve"> </w:t>
            </w:r>
            <w:proofErr w:type="spellStart"/>
            <w:r w:rsidR="007917A1" w:rsidRPr="001E67BB">
              <w:rPr>
                <w:sz w:val="18"/>
                <w:szCs w:val="18"/>
              </w:rPr>
              <w:t>Mig</w:t>
            </w:r>
            <w:r w:rsidR="00D52DB0" w:rsidRPr="001E67BB">
              <w:rPr>
                <w:sz w:val="18"/>
                <w:szCs w:val="18"/>
                <w:vertAlign w:val="superscript"/>
              </w:rPr>
              <w:t>c</w:t>
            </w:r>
            <w:proofErr w:type="spellEnd"/>
          </w:p>
        </w:tc>
      </w:tr>
      <w:tr w:rsidR="00F051DB" w:rsidRPr="008A7EA3" w14:paraId="0D57E046" w14:textId="77777777" w:rsidTr="00F20569">
        <w:tc>
          <w:tcPr>
            <w:tcW w:w="2160" w:type="dxa"/>
          </w:tcPr>
          <w:p w14:paraId="464780CD" w14:textId="79FD8574" w:rsidR="00F051DB" w:rsidRPr="002642CD" w:rsidRDefault="00F10CFA" w:rsidP="00F051DB">
            <w:pPr>
              <w:pStyle w:val="ANorm"/>
              <w:rPr>
                <w:sz w:val="18"/>
                <w:szCs w:val="18"/>
                <w:vertAlign w:val="superscript"/>
              </w:rPr>
            </w:pPr>
            <w:r>
              <w:rPr>
                <w:sz w:val="18"/>
                <w:szCs w:val="18"/>
              </w:rPr>
              <w:t>THIS WAY UP</w:t>
            </w:r>
            <w:r w:rsidR="00BF79F0">
              <w:rPr>
                <w:sz w:val="18"/>
                <w:szCs w:val="18"/>
              </w:rPr>
              <w:t xml:space="preserve">, therapist-supported </w:t>
            </w:r>
            <w:proofErr w:type="spellStart"/>
            <w:r w:rsidR="00BF79F0">
              <w:rPr>
                <w:sz w:val="18"/>
                <w:szCs w:val="18"/>
              </w:rPr>
              <w:t>iCBT</w:t>
            </w:r>
            <w:r w:rsidR="00D114BC" w:rsidRPr="00D114BC">
              <w:rPr>
                <w:sz w:val="18"/>
                <w:szCs w:val="18"/>
                <w:vertAlign w:val="superscript"/>
              </w:rPr>
              <w:t>f</w:t>
            </w:r>
            <w:proofErr w:type="spellEnd"/>
          </w:p>
        </w:tc>
        <w:tc>
          <w:tcPr>
            <w:tcW w:w="1237" w:type="dxa"/>
          </w:tcPr>
          <w:p w14:paraId="40251935" w14:textId="64DB57F1" w:rsidR="00F051DB" w:rsidRPr="008A7EA3" w:rsidRDefault="008C7528" w:rsidP="002B1B62">
            <w:pPr>
              <w:pStyle w:val="ANorm"/>
              <w:jc w:val="center"/>
              <w:rPr>
                <w:sz w:val="18"/>
                <w:szCs w:val="18"/>
              </w:rPr>
            </w:pPr>
            <w:r>
              <w:rPr>
                <w:sz w:val="18"/>
                <w:szCs w:val="18"/>
              </w:rPr>
              <w:t>22-4</w:t>
            </w:r>
            <w:r w:rsidR="00A03304">
              <w:rPr>
                <w:sz w:val="18"/>
                <w:szCs w:val="18"/>
              </w:rPr>
              <w:t>5</w:t>
            </w:r>
            <w:r w:rsidR="008730ED">
              <w:rPr>
                <w:sz w:val="18"/>
                <w:szCs w:val="18"/>
              </w:rPr>
              <w:t>%</w:t>
            </w:r>
          </w:p>
        </w:tc>
        <w:tc>
          <w:tcPr>
            <w:tcW w:w="1276" w:type="dxa"/>
          </w:tcPr>
          <w:p w14:paraId="6A44CCD6" w14:textId="70D01C3A" w:rsidR="00F051DB" w:rsidRPr="008A7EA3" w:rsidRDefault="00F051DB" w:rsidP="002B1B62">
            <w:pPr>
              <w:pStyle w:val="ANorm"/>
              <w:jc w:val="center"/>
              <w:rPr>
                <w:sz w:val="18"/>
                <w:szCs w:val="18"/>
              </w:rPr>
            </w:pPr>
          </w:p>
        </w:tc>
        <w:tc>
          <w:tcPr>
            <w:tcW w:w="1276" w:type="dxa"/>
          </w:tcPr>
          <w:p w14:paraId="6C730BA0" w14:textId="4DC99F94" w:rsidR="00F051DB" w:rsidRPr="008A7EA3" w:rsidRDefault="00764357" w:rsidP="002B1B62">
            <w:pPr>
              <w:pStyle w:val="ANorm"/>
              <w:jc w:val="center"/>
              <w:rPr>
                <w:sz w:val="18"/>
                <w:szCs w:val="18"/>
              </w:rPr>
            </w:pPr>
            <w:r>
              <w:rPr>
                <w:sz w:val="18"/>
                <w:szCs w:val="18"/>
              </w:rPr>
              <w:t>&lt;1%</w:t>
            </w:r>
          </w:p>
        </w:tc>
        <w:tc>
          <w:tcPr>
            <w:tcW w:w="1134" w:type="dxa"/>
          </w:tcPr>
          <w:p w14:paraId="1491E9D2" w14:textId="77777777" w:rsidR="00F051DB" w:rsidRPr="008A7EA3" w:rsidRDefault="00F051DB" w:rsidP="002B1B62">
            <w:pPr>
              <w:pStyle w:val="ANorm"/>
              <w:jc w:val="center"/>
              <w:rPr>
                <w:sz w:val="18"/>
                <w:szCs w:val="18"/>
              </w:rPr>
            </w:pPr>
          </w:p>
        </w:tc>
        <w:tc>
          <w:tcPr>
            <w:tcW w:w="992" w:type="dxa"/>
          </w:tcPr>
          <w:p w14:paraId="3CC3D7F5" w14:textId="22C9A4C5" w:rsidR="00F051DB" w:rsidRPr="008A7EA3" w:rsidRDefault="00822EE0" w:rsidP="002B1B62">
            <w:pPr>
              <w:pStyle w:val="ANorm"/>
              <w:jc w:val="center"/>
              <w:rPr>
                <w:sz w:val="18"/>
                <w:szCs w:val="18"/>
              </w:rPr>
            </w:pPr>
            <w:r>
              <w:rPr>
                <w:sz w:val="18"/>
                <w:szCs w:val="18"/>
              </w:rPr>
              <w:t>44-</w:t>
            </w:r>
            <w:r w:rsidR="005403EB">
              <w:rPr>
                <w:sz w:val="18"/>
                <w:szCs w:val="18"/>
              </w:rPr>
              <w:t>66</w:t>
            </w:r>
            <w:r w:rsidR="00111F94">
              <w:rPr>
                <w:sz w:val="18"/>
                <w:szCs w:val="18"/>
              </w:rPr>
              <w:t>%</w:t>
            </w:r>
          </w:p>
        </w:tc>
        <w:tc>
          <w:tcPr>
            <w:tcW w:w="1661" w:type="dxa"/>
          </w:tcPr>
          <w:p w14:paraId="4040B476" w14:textId="39EB1140" w:rsidR="00F051DB" w:rsidRPr="008A7EA3" w:rsidRDefault="00111F94" w:rsidP="002B1B62">
            <w:pPr>
              <w:pStyle w:val="ANorm"/>
              <w:jc w:val="center"/>
              <w:rPr>
                <w:sz w:val="18"/>
                <w:szCs w:val="18"/>
              </w:rPr>
            </w:pPr>
            <w:r>
              <w:rPr>
                <w:sz w:val="18"/>
                <w:szCs w:val="18"/>
              </w:rPr>
              <w:t>58-70%</w:t>
            </w:r>
          </w:p>
        </w:tc>
      </w:tr>
      <w:tr w:rsidR="00F051DB" w:rsidRPr="008A7EA3" w14:paraId="271FD659" w14:textId="77777777" w:rsidTr="00F20569">
        <w:tc>
          <w:tcPr>
            <w:tcW w:w="2160" w:type="dxa"/>
          </w:tcPr>
          <w:p w14:paraId="601E86B9" w14:textId="1F80F445" w:rsidR="00F051DB" w:rsidRPr="008A7EA3" w:rsidRDefault="002B1B62" w:rsidP="00F051DB">
            <w:pPr>
              <w:pStyle w:val="ANorm"/>
              <w:rPr>
                <w:sz w:val="18"/>
                <w:szCs w:val="18"/>
              </w:rPr>
            </w:pPr>
            <w:proofErr w:type="spellStart"/>
            <w:r>
              <w:rPr>
                <w:sz w:val="18"/>
                <w:szCs w:val="18"/>
              </w:rPr>
              <w:t>IAPT</w:t>
            </w:r>
            <w:r w:rsidR="002642CD" w:rsidRPr="002642CD">
              <w:rPr>
                <w:sz w:val="18"/>
                <w:szCs w:val="18"/>
                <w:vertAlign w:val="superscript"/>
              </w:rPr>
              <w:t>e</w:t>
            </w:r>
            <w:proofErr w:type="spellEnd"/>
          </w:p>
        </w:tc>
        <w:tc>
          <w:tcPr>
            <w:tcW w:w="1237" w:type="dxa"/>
          </w:tcPr>
          <w:p w14:paraId="0E23543B" w14:textId="25AD65D5" w:rsidR="00F051DB" w:rsidRPr="008A7EA3" w:rsidRDefault="00CC3807" w:rsidP="002B1B62">
            <w:pPr>
              <w:pStyle w:val="ANorm"/>
              <w:jc w:val="center"/>
              <w:rPr>
                <w:sz w:val="18"/>
                <w:szCs w:val="18"/>
              </w:rPr>
            </w:pPr>
            <w:r>
              <w:rPr>
                <w:sz w:val="18"/>
                <w:szCs w:val="18"/>
              </w:rPr>
              <w:t>68%</w:t>
            </w:r>
          </w:p>
        </w:tc>
        <w:tc>
          <w:tcPr>
            <w:tcW w:w="1276" w:type="dxa"/>
          </w:tcPr>
          <w:p w14:paraId="7C6319EC" w14:textId="200AD450" w:rsidR="00F051DB" w:rsidRPr="008A7EA3" w:rsidRDefault="00CC3807" w:rsidP="002B1B62">
            <w:pPr>
              <w:pStyle w:val="ANorm"/>
              <w:jc w:val="center"/>
              <w:rPr>
                <w:sz w:val="18"/>
                <w:szCs w:val="18"/>
              </w:rPr>
            </w:pPr>
            <w:r>
              <w:rPr>
                <w:sz w:val="18"/>
                <w:szCs w:val="18"/>
              </w:rPr>
              <w:t>25%</w:t>
            </w:r>
          </w:p>
        </w:tc>
        <w:tc>
          <w:tcPr>
            <w:tcW w:w="1276" w:type="dxa"/>
          </w:tcPr>
          <w:p w14:paraId="00E65F4F" w14:textId="71ADD340" w:rsidR="00F051DB" w:rsidRPr="008A7EA3" w:rsidRDefault="00CC3807" w:rsidP="002B1B62">
            <w:pPr>
              <w:pStyle w:val="ANorm"/>
              <w:jc w:val="center"/>
              <w:rPr>
                <w:sz w:val="18"/>
                <w:szCs w:val="18"/>
              </w:rPr>
            </w:pPr>
            <w:r>
              <w:rPr>
                <w:sz w:val="18"/>
                <w:szCs w:val="18"/>
              </w:rPr>
              <w:t>5%</w:t>
            </w:r>
          </w:p>
        </w:tc>
        <w:tc>
          <w:tcPr>
            <w:tcW w:w="1134" w:type="dxa"/>
          </w:tcPr>
          <w:p w14:paraId="20E314D2" w14:textId="659E1D7F" w:rsidR="00F051DB" w:rsidRPr="008A7EA3" w:rsidRDefault="006E579F" w:rsidP="002B1B62">
            <w:pPr>
              <w:pStyle w:val="ANorm"/>
              <w:jc w:val="center"/>
              <w:rPr>
                <w:sz w:val="18"/>
                <w:szCs w:val="18"/>
              </w:rPr>
            </w:pPr>
            <w:r>
              <w:rPr>
                <w:sz w:val="18"/>
                <w:szCs w:val="18"/>
              </w:rPr>
              <w:t>49%</w:t>
            </w:r>
          </w:p>
        </w:tc>
        <w:tc>
          <w:tcPr>
            <w:tcW w:w="992" w:type="dxa"/>
          </w:tcPr>
          <w:p w14:paraId="42A27BD4" w14:textId="2767897D" w:rsidR="00F051DB" w:rsidRPr="008A7EA3" w:rsidRDefault="006E579F" w:rsidP="002B1B62">
            <w:pPr>
              <w:pStyle w:val="ANorm"/>
              <w:jc w:val="center"/>
              <w:rPr>
                <w:sz w:val="18"/>
                <w:szCs w:val="18"/>
              </w:rPr>
            </w:pPr>
            <w:r>
              <w:rPr>
                <w:sz w:val="18"/>
                <w:szCs w:val="18"/>
              </w:rPr>
              <w:t>51%</w:t>
            </w:r>
          </w:p>
        </w:tc>
        <w:tc>
          <w:tcPr>
            <w:tcW w:w="1661" w:type="dxa"/>
          </w:tcPr>
          <w:p w14:paraId="6E755A8D" w14:textId="77777777" w:rsidR="00F051DB" w:rsidRPr="008A7EA3" w:rsidRDefault="00F051DB" w:rsidP="002B1B62">
            <w:pPr>
              <w:pStyle w:val="ANorm"/>
              <w:jc w:val="center"/>
              <w:rPr>
                <w:sz w:val="18"/>
                <w:szCs w:val="18"/>
              </w:rPr>
            </w:pPr>
          </w:p>
        </w:tc>
      </w:tr>
      <w:tr w:rsidR="00F051DB" w:rsidRPr="008A7EA3" w14:paraId="63A3CFAD" w14:textId="77777777" w:rsidTr="00F20569">
        <w:tc>
          <w:tcPr>
            <w:tcW w:w="2160" w:type="dxa"/>
          </w:tcPr>
          <w:p w14:paraId="0B6EE961" w14:textId="3127B417" w:rsidR="00F051DB" w:rsidRPr="008A7EA3" w:rsidRDefault="002B1B62" w:rsidP="00F051DB">
            <w:pPr>
              <w:pStyle w:val="ANorm"/>
              <w:rPr>
                <w:sz w:val="18"/>
                <w:szCs w:val="18"/>
              </w:rPr>
            </w:pPr>
            <w:r>
              <w:rPr>
                <w:sz w:val="18"/>
                <w:szCs w:val="18"/>
              </w:rPr>
              <w:t>Any psychotherapy</w:t>
            </w:r>
            <w:r w:rsidR="0034465E">
              <w:rPr>
                <w:sz w:val="18"/>
                <w:szCs w:val="18"/>
              </w:rPr>
              <w:t xml:space="preserve"> for </w:t>
            </w:r>
            <w:proofErr w:type="spellStart"/>
            <w:r w:rsidR="0034465E">
              <w:rPr>
                <w:sz w:val="18"/>
                <w:szCs w:val="18"/>
              </w:rPr>
              <w:t>depression</w:t>
            </w:r>
            <w:r w:rsidR="002642CD" w:rsidRPr="002642CD">
              <w:rPr>
                <w:sz w:val="18"/>
                <w:szCs w:val="18"/>
                <w:vertAlign w:val="superscript"/>
              </w:rPr>
              <w:t>f</w:t>
            </w:r>
            <w:proofErr w:type="spellEnd"/>
          </w:p>
        </w:tc>
        <w:tc>
          <w:tcPr>
            <w:tcW w:w="1237" w:type="dxa"/>
          </w:tcPr>
          <w:p w14:paraId="38FBE7EF" w14:textId="349D9BC5" w:rsidR="00F051DB" w:rsidRPr="008A7EA3" w:rsidRDefault="00C826AD" w:rsidP="002B1B62">
            <w:pPr>
              <w:pStyle w:val="ANorm"/>
              <w:jc w:val="center"/>
              <w:rPr>
                <w:sz w:val="18"/>
                <w:szCs w:val="18"/>
              </w:rPr>
            </w:pPr>
            <w:r>
              <w:rPr>
                <w:sz w:val="18"/>
                <w:szCs w:val="18"/>
              </w:rPr>
              <w:t>41%</w:t>
            </w:r>
          </w:p>
        </w:tc>
        <w:tc>
          <w:tcPr>
            <w:tcW w:w="1276" w:type="dxa"/>
          </w:tcPr>
          <w:p w14:paraId="32FD906B" w14:textId="3F0AF0B7" w:rsidR="00F051DB" w:rsidRPr="008A7EA3" w:rsidRDefault="00BD20E6" w:rsidP="002B1B62">
            <w:pPr>
              <w:pStyle w:val="ANorm"/>
              <w:jc w:val="center"/>
              <w:rPr>
                <w:sz w:val="18"/>
                <w:szCs w:val="18"/>
              </w:rPr>
            </w:pPr>
            <w:r>
              <w:rPr>
                <w:sz w:val="18"/>
                <w:szCs w:val="18"/>
              </w:rPr>
              <w:t>5</w:t>
            </w:r>
            <w:r w:rsidR="00CB23BF">
              <w:rPr>
                <w:sz w:val="18"/>
                <w:szCs w:val="18"/>
              </w:rPr>
              <w:t>4%</w:t>
            </w:r>
          </w:p>
        </w:tc>
        <w:tc>
          <w:tcPr>
            <w:tcW w:w="1276" w:type="dxa"/>
          </w:tcPr>
          <w:p w14:paraId="449A357C" w14:textId="73971B2C" w:rsidR="00252F2D" w:rsidRPr="008A7EA3" w:rsidRDefault="00252F2D" w:rsidP="00252F2D">
            <w:pPr>
              <w:pStyle w:val="ANorm"/>
              <w:jc w:val="center"/>
              <w:rPr>
                <w:sz w:val="18"/>
                <w:szCs w:val="18"/>
              </w:rPr>
            </w:pPr>
            <w:r>
              <w:rPr>
                <w:sz w:val="18"/>
                <w:szCs w:val="18"/>
              </w:rPr>
              <w:t>5%</w:t>
            </w:r>
          </w:p>
        </w:tc>
        <w:tc>
          <w:tcPr>
            <w:tcW w:w="1134" w:type="dxa"/>
          </w:tcPr>
          <w:p w14:paraId="6B029D00" w14:textId="77777777" w:rsidR="00F051DB" w:rsidRPr="008A7EA3" w:rsidRDefault="00F051DB" w:rsidP="002B1B62">
            <w:pPr>
              <w:pStyle w:val="ANorm"/>
              <w:jc w:val="center"/>
              <w:rPr>
                <w:sz w:val="18"/>
                <w:szCs w:val="18"/>
              </w:rPr>
            </w:pPr>
          </w:p>
        </w:tc>
        <w:tc>
          <w:tcPr>
            <w:tcW w:w="992" w:type="dxa"/>
          </w:tcPr>
          <w:p w14:paraId="5E4E09BA" w14:textId="77777777" w:rsidR="00F051DB" w:rsidRPr="008A7EA3" w:rsidRDefault="00F051DB" w:rsidP="002B1B62">
            <w:pPr>
              <w:pStyle w:val="ANorm"/>
              <w:jc w:val="center"/>
              <w:rPr>
                <w:sz w:val="18"/>
                <w:szCs w:val="18"/>
              </w:rPr>
            </w:pPr>
          </w:p>
        </w:tc>
        <w:tc>
          <w:tcPr>
            <w:tcW w:w="1661" w:type="dxa"/>
          </w:tcPr>
          <w:p w14:paraId="72D800CE" w14:textId="7AFF9D12" w:rsidR="00F051DB" w:rsidRPr="008A7EA3" w:rsidRDefault="00297859" w:rsidP="002B1B62">
            <w:pPr>
              <w:pStyle w:val="ANorm"/>
              <w:jc w:val="center"/>
              <w:rPr>
                <w:sz w:val="18"/>
                <w:szCs w:val="18"/>
              </w:rPr>
            </w:pPr>
            <w:r>
              <w:rPr>
                <w:sz w:val="18"/>
                <w:szCs w:val="18"/>
              </w:rPr>
              <w:t>33%</w:t>
            </w:r>
          </w:p>
        </w:tc>
      </w:tr>
      <w:tr w:rsidR="0090573B" w:rsidRPr="005B175D" w14:paraId="43386EE8" w14:textId="77777777" w:rsidTr="00F20569">
        <w:tc>
          <w:tcPr>
            <w:tcW w:w="2160" w:type="dxa"/>
          </w:tcPr>
          <w:p w14:paraId="1C836CEC" w14:textId="5B349299" w:rsidR="0090573B" w:rsidRDefault="00E1281B" w:rsidP="00F051DB">
            <w:pPr>
              <w:pStyle w:val="ANorm"/>
              <w:rPr>
                <w:sz w:val="18"/>
                <w:szCs w:val="18"/>
              </w:rPr>
            </w:pPr>
            <w:r>
              <w:rPr>
                <w:sz w:val="18"/>
                <w:szCs w:val="18"/>
              </w:rPr>
              <w:t xml:space="preserve">Untreated </w:t>
            </w:r>
            <w:proofErr w:type="spellStart"/>
            <w:r>
              <w:rPr>
                <w:sz w:val="18"/>
                <w:szCs w:val="18"/>
              </w:rPr>
              <w:t>depression</w:t>
            </w:r>
            <w:r w:rsidR="002642CD" w:rsidRPr="002642CD">
              <w:rPr>
                <w:sz w:val="18"/>
                <w:szCs w:val="18"/>
                <w:vertAlign w:val="superscript"/>
              </w:rPr>
              <w:t>g</w:t>
            </w:r>
            <w:proofErr w:type="spellEnd"/>
          </w:p>
        </w:tc>
        <w:tc>
          <w:tcPr>
            <w:tcW w:w="1237" w:type="dxa"/>
          </w:tcPr>
          <w:p w14:paraId="78F64F28" w14:textId="77777777" w:rsidR="0090573B" w:rsidRPr="008A7EA3" w:rsidRDefault="0090573B" w:rsidP="002B1B62">
            <w:pPr>
              <w:pStyle w:val="ANorm"/>
              <w:jc w:val="center"/>
              <w:rPr>
                <w:sz w:val="18"/>
                <w:szCs w:val="18"/>
              </w:rPr>
            </w:pPr>
          </w:p>
        </w:tc>
        <w:tc>
          <w:tcPr>
            <w:tcW w:w="1276" w:type="dxa"/>
          </w:tcPr>
          <w:p w14:paraId="1C479EEE" w14:textId="77777777" w:rsidR="0090573B" w:rsidRPr="008A7EA3" w:rsidRDefault="0090573B" w:rsidP="002B1B62">
            <w:pPr>
              <w:pStyle w:val="ANorm"/>
              <w:jc w:val="center"/>
              <w:rPr>
                <w:sz w:val="18"/>
                <w:szCs w:val="18"/>
              </w:rPr>
            </w:pPr>
          </w:p>
        </w:tc>
        <w:tc>
          <w:tcPr>
            <w:tcW w:w="1276" w:type="dxa"/>
          </w:tcPr>
          <w:p w14:paraId="02A8CB6F" w14:textId="77777777" w:rsidR="0090573B" w:rsidRPr="008A7EA3" w:rsidRDefault="0090573B" w:rsidP="002B1B62">
            <w:pPr>
              <w:pStyle w:val="ANorm"/>
              <w:jc w:val="center"/>
              <w:rPr>
                <w:sz w:val="18"/>
                <w:szCs w:val="18"/>
              </w:rPr>
            </w:pPr>
          </w:p>
        </w:tc>
        <w:tc>
          <w:tcPr>
            <w:tcW w:w="1134" w:type="dxa"/>
          </w:tcPr>
          <w:p w14:paraId="209112EE" w14:textId="77777777" w:rsidR="0090573B" w:rsidRPr="008A7EA3" w:rsidRDefault="0090573B" w:rsidP="002B1B62">
            <w:pPr>
              <w:pStyle w:val="ANorm"/>
              <w:jc w:val="center"/>
              <w:rPr>
                <w:sz w:val="18"/>
                <w:szCs w:val="18"/>
              </w:rPr>
            </w:pPr>
          </w:p>
        </w:tc>
        <w:tc>
          <w:tcPr>
            <w:tcW w:w="992" w:type="dxa"/>
          </w:tcPr>
          <w:p w14:paraId="788FF160" w14:textId="77777777" w:rsidR="0090573B" w:rsidRPr="008A7EA3" w:rsidRDefault="0090573B" w:rsidP="002B1B62">
            <w:pPr>
              <w:pStyle w:val="ANorm"/>
              <w:jc w:val="center"/>
              <w:rPr>
                <w:sz w:val="18"/>
                <w:szCs w:val="18"/>
              </w:rPr>
            </w:pPr>
          </w:p>
        </w:tc>
        <w:tc>
          <w:tcPr>
            <w:tcW w:w="1661" w:type="dxa"/>
          </w:tcPr>
          <w:p w14:paraId="4EDE3457" w14:textId="41E01713" w:rsidR="005B175D" w:rsidRDefault="005B175D" w:rsidP="005B175D">
            <w:pPr>
              <w:pStyle w:val="ANorm"/>
              <w:rPr>
                <w:rFonts w:asciiTheme="minorHAnsi" w:hAnsiTheme="minorHAnsi" w:cstheme="minorHAnsi"/>
                <w:color w:val="000000"/>
                <w:sz w:val="18"/>
                <w:szCs w:val="18"/>
              </w:rPr>
            </w:pPr>
            <w:r w:rsidRPr="005B175D">
              <w:rPr>
                <w:rFonts w:asciiTheme="minorHAnsi" w:hAnsiTheme="minorHAnsi" w:cstheme="minorHAnsi"/>
                <w:color w:val="000000"/>
                <w:sz w:val="18"/>
                <w:szCs w:val="18"/>
              </w:rPr>
              <w:t>23% in 3 months</w:t>
            </w:r>
          </w:p>
          <w:p w14:paraId="0DC92A31" w14:textId="2A180586" w:rsidR="005B175D" w:rsidRDefault="005B175D" w:rsidP="005B175D">
            <w:pPr>
              <w:pStyle w:val="ANorm"/>
              <w:rPr>
                <w:rFonts w:asciiTheme="minorHAnsi" w:hAnsiTheme="minorHAnsi" w:cstheme="minorHAnsi"/>
                <w:color w:val="000000"/>
                <w:sz w:val="18"/>
                <w:szCs w:val="18"/>
              </w:rPr>
            </w:pPr>
            <w:r w:rsidRPr="005B175D">
              <w:rPr>
                <w:rFonts w:asciiTheme="minorHAnsi" w:hAnsiTheme="minorHAnsi" w:cstheme="minorHAnsi"/>
                <w:color w:val="000000"/>
                <w:sz w:val="18"/>
                <w:szCs w:val="18"/>
              </w:rPr>
              <w:t>32% in 6 months</w:t>
            </w:r>
          </w:p>
          <w:p w14:paraId="452BFA91" w14:textId="5CC51619" w:rsidR="0090573B" w:rsidRPr="005B175D" w:rsidRDefault="005B175D" w:rsidP="005B175D">
            <w:pPr>
              <w:pStyle w:val="ANorm"/>
              <w:rPr>
                <w:sz w:val="18"/>
                <w:szCs w:val="18"/>
              </w:rPr>
            </w:pPr>
            <w:r w:rsidRPr="005B175D">
              <w:rPr>
                <w:rFonts w:asciiTheme="minorHAnsi" w:hAnsiTheme="minorHAnsi" w:cstheme="minorHAnsi"/>
                <w:color w:val="000000"/>
                <w:sz w:val="18"/>
                <w:szCs w:val="18"/>
              </w:rPr>
              <w:t>53% in 12 months</w:t>
            </w:r>
          </w:p>
        </w:tc>
      </w:tr>
    </w:tbl>
    <w:p w14:paraId="709396E6" w14:textId="6CB6A8F9" w:rsidR="002F3BB9" w:rsidRPr="00C94E54" w:rsidRDefault="00E739FA" w:rsidP="002F3BB9">
      <w:pPr>
        <w:pStyle w:val="ANorm"/>
        <w:snapToGrid w:val="0"/>
        <w:rPr>
          <w:sz w:val="16"/>
          <w:szCs w:val="16"/>
        </w:rPr>
      </w:pPr>
      <w:proofErr w:type="spellStart"/>
      <w:r w:rsidRPr="00C94E54">
        <w:rPr>
          <w:sz w:val="16"/>
          <w:szCs w:val="16"/>
        </w:rPr>
        <w:t>Aus</w:t>
      </w:r>
      <w:proofErr w:type="spellEnd"/>
      <w:r w:rsidRPr="00C94E54">
        <w:rPr>
          <w:sz w:val="16"/>
          <w:szCs w:val="16"/>
        </w:rPr>
        <w:t xml:space="preserve">, </w:t>
      </w:r>
      <w:r w:rsidR="00C01F59" w:rsidRPr="00C94E54">
        <w:rPr>
          <w:sz w:val="16"/>
          <w:szCs w:val="16"/>
        </w:rPr>
        <w:t xml:space="preserve">Australian-born consumers; </w:t>
      </w:r>
      <w:r w:rsidRPr="00C94E54">
        <w:rPr>
          <w:sz w:val="16"/>
          <w:szCs w:val="16"/>
        </w:rPr>
        <w:t xml:space="preserve">IAPT, </w:t>
      </w:r>
      <w:r w:rsidR="0007281D" w:rsidRPr="00C94E54">
        <w:rPr>
          <w:sz w:val="16"/>
          <w:szCs w:val="16"/>
        </w:rPr>
        <w:t xml:space="preserve">Improving Access to Psychological Therapies; </w:t>
      </w:r>
      <w:proofErr w:type="spellStart"/>
      <w:r w:rsidRPr="00C94E54">
        <w:rPr>
          <w:sz w:val="16"/>
          <w:szCs w:val="16"/>
        </w:rPr>
        <w:t>iCBT</w:t>
      </w:r>
      <w:proofErr w:type="spellEnd"/>
      <w:r w:rsidRPr="00C94E54">
        <w:rPr>
          <w:sz w:val="16"/>
          <w:szCs w:val="16"/>
        </w:rPr>
        <w:t xml:space="preserve">, </w:t>
      </w:r>
      <w:r w:rsidR="008628D1" w:rsidRPr="00C94E54">
        <w:rPr>
          <w:sz w:val="16"/>
          <w:szCs w:val="16"/>
        </w:rPr>
        <w:t xml:space="preserve">internet cognitive behavioural therapy; </w:t>
      </w:r>
      <w:proofErr w:type="spellStart"/>
      <w:r w:rsidRPr="00C94E54">
        <w:rPr>
          <w:sz w:val="16"/>
          <w:szCs w:val="16"/>
        </w:rPr>
        <w:t>Mig</w:t>
      </w:r>
      <w:proofErr w:type="spellEnd"/>
      <w:r w:rsidRPr="00C94E54">
        <w:rPr>
          <w:sz w:val="16"/>
          <w:szCs w:val="16"/>
        </w:rPr>
        <w:t xml:space="preserve">, </w:t>
      </w:r>
      <w:r w:rsidR="00C01F59" w:rsidRPr="00C94E54">
        <w:rPr>
          <w:sz w:val="16"/>
          <w:szCs w:val="16"/>
        </w:rPr>
        <w:t>Migrant</w:t>
      </w:r>
      <w:r w:rsidR="00C71EC2" w:rsidRPr="00C94E54">
        <w:rPr>
          <w:sz w:val="16"/>
          <w:szCs w:val="16"/>
        </w:rPr>
        <w:t xml:space="preserve"> (born overseas) consumers.</w:t>
      </w:r>
    </w:p>
    <w:p w14:paraId="173D15B3" w14:textId="69BCC961" w:rsidR="00012816" w:rsidRPr="00494EF4" w:rsidRDefault="002F3BB9" w:rsidP="002F3BB9">
      <w:pPr>
        <w:pStyle w:val="ANorm"/>
        <w:snapToGrid w:val="0"/>
        <w:rPr>
          <w:sz w:val="16"/>
          <w:szCs w:val="16"/>
        </w:rPr>
      </w:pPr>
      <w:r w:rsidRPr="00D511EE">
        <w:rPr>
          <w:sz w:val="16"/>
          <w:szCs w:val="16"/>
          <w:vertAlign w:val="superscript"/>
          <w:lang w:val="da-DK"/>
        </w:rPr>
        <w:t>a</w:t>
      </w:r>
      <w:r w:rsidR="00012816" w:rsidRPr="00D511EE">
        <w:rPr>
          <w:sz w:val="16"/>
          <w:szCs w:val="16"/>
          <w:lang w:val="da-DK"/>
        </w:rPr>
        <w:t xml:space="preserve">Sourced from Kyrios </w:t>
      </w:r>
      <w:r w:rsidR="0065750D" w:rsidRPr="00D511EE">
        <w:rPr>
          <w:sz w:val="16"/>
          <w:szCs w:val="16"/>
          <w:lang w:val="da-DK"/>
        </w:rPr>
        <w:t>et al</w:t>
      </w:r>
      <w:r w:rsidR="00012816" w:rsidRPr="00D511EE">
        <w:rPr>
          <w:sz w:val="16"/>
          <w:szCs w:val="16"/>
          <w:lang w:val="da-DK"/>
        </w:rPr>
        <w:t xml:space="preserve"> (2018).</w:t>
      </w:r>
      <w:r w:rsidR="000524CF" w:rsidRPr="00494EF4">
        <w:rPr>
          <w:sz w:val="16"/>
          <w:szCs w:val="16"/>
        </w:rPr>
        <w:fldChar w:fldCharType="begin">
          <w:fldData xml:space="preserve">PEVuZE5vdGU+PENpdGU+PEF1dGhvcj5LeXJpb3M8L0F1dGhvcj48WWVhcj4yMDE4PC9ZZWFyPjxS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</w:fldData>
        </w:fldChar>
      </w:r>
      <w:r w:rsidR="004469A2">
        <w:rPr>
          <w:sz w:val="16"/>
          <w:szCs w:val="16"/>
        </w:rPr>
        <w:instrText xml:space="preserve"> ADDIN EN.CITE </w:instrText>
      </w:r>
      <w:r w:rsidR="004469A2">
        <w:rPr>
          <w:sz w:val="16"/>
          <w:szCs w:val="16"/>
        </w:rPr>
        <w:fldChar w:fldCharType="begin">
          <w:fldData xml:space="preserve">PEVuZE5vdGU+PENpdGU+PEF1dGhvcj5LeXJpb3M8L0F1dGhvcj48WWVhcj4yMDE4PC9ZZWFyPjxS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</w:fldData>
        </w:fldChar>
      </w:r>
      <w:r w:rsidR="004469A2">
        <w:rPr>
          <w:sz w:val="16"/>
          <w:szCs w:val="16"/>
        </w:rPr>
        <w:instrText xml:space="preserve"> ADDIN EN.CITE.DATA </w:instrText>
      </w:r>
      <w:r w:rsidR="004469A2">
        <w:rPr>
          <w:sz w:val="16"/>
          <w:szCs w:val="16"/>
        </w:rPr>
      </w:r>
      <w:r w:rsidR="004469A2">
        <w:rPr>
          <w:sz w:val="16"/>
          <w:szCs w:val="16"/>
        </w:rPr>
        <w:fldChar w:fldCharType="end"/>
      </w:r>
      <w:r w:rsidR="000524CF" w:rsidRPr="00494EF4">
        <w:rPr>
          <w:sz w:val="16"/>
          <w:szCs w:val="16"/>
        </w:rPr>
      </w:r>
      <w:r w:rsidR="000524CF" w:rsidRPr="00494EF4">
        <w:rPr>
          <w:sz w:val="16"/>
          <w:szCs w:val="16"/>
        </w:rPr>
        <w:fldChar w:fldCharType="separate"/>
      </w:r>
      <w:r w:rsidR="004469A2" w:rsidRPr="004469A2">
        <w:rPr>
          <w:noProof/>
          <w:sz w:val="16"/>
          <w:szCs w:val="16"/>
          <w:vertAlign w:val="superscript"/>
          <w:lang w:val="da-DK"/>
        </w:rPr>
        <w:t>46</w:t>
      </w:r>
      <w:r w:rsidR="000524CF" w:rsidRPr="00494EF4">
        <w:rPr>
          <w:sz w:val="16"/>
          <w:szCs w:val="16"/>
        </w:rPr>
        <w:fldChar w:fldCharType="end"/>
      </w:r>
    </w:p>
    <w:p w14:paraId="77E492CE" w14:textId="01AAE944" w:rsidR="002F3BB9" w:rsidRPr="00494EF4" w:rsidRDefault="002F3BB9" w:rsidP="002F3BB9">
      <w:pPr>
        <w:pStyle w:val="ANorm"/>
        <w:snapToGrid w:val="0"/>
        <w:rPr>
          <w:sz w:val="16"/>
          <w:szCs w:val="16"/>
        </w:rPr>
      </w:pPr>
      <w:proofErr w:type="spellStart"/>
      <w:r w:rsidRPr="00494EF4">
        <w:rPr>
          <w:sz w:val="16"/>
          <w:szCs w:val="16"/>
          <w:vertAlign w:val="superscript"/>
        </w:rPr>
        <w:t>b</w:t>
      </w:r>
      <w:r w:rsidR="00033EE9" w:rsidRPr="00494EF4">
        <w:rPr>
          <w:sz w:val="16"/>
          <w:szCs w:val="16"/>
        </w:rPr>
        <w:t>Sourced</w:t>
      </w:r>
      <w:proofErr w:type="spellEnd"/>
      <w:r w:rsidR="00033EE9" w:rsidRPr="00494EF4">
        <w:rPr>
          <w:sz w:val="16"/>
          <w:szCs w:val="16"/>
        </w:rPr>
        <w:t xml:space="preserve"> from Klein </w:t>
      </w:r>
      <w:r w:rsidR="0065750D" w:rsidRPr="00494EF4">
        <w:rPr>
          <w:sz w:val="16"/>
          <w:szCs w:val="16"/>
        </w:rPr>
        <w:t>et al</w:t>
      </w:r>
      <w:r w:rsidR="00033EE9" w:rsidRPr="00494EF4">
        <w:rPr>
          <w:sz w:val="16"/>
          <w:szCs w:val="16"/>
        </w:rPr>
        <w:t xml:space="preserve"> (2010).</w:t>
      </w:r>
      <w:r w:rsidR="00A4596A" w:rsidRPr="00494EF4">
        <w:rPr>
          <w:sz w:val="16"/>
          <w:szCs w:val="16"/>
        </w:rPr>
        <w:fldChar w:fldCharType="begin">
          <w:fldData xml:space="preserve">PEVuZE5vdGU+PENpdGU+PEF1dGhvcj5LbGVpbjwvQXV0aG9yPjxZZWFyPjIwMTA8L1llYXI+PFJl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</w:fldData>
        </w:fldChar>
      </w:r>
      <w:r w:rsidR="004469A2">
        <w:rPr>
          <w:sz w:val="16"/>
          <w:szCs w:val="16"/>
        </w:rPr>
        <w:instrText xml:space="preserve"> ADDIN EN.CITE </w:instrText>
      </w:r>
      <w:r w:rsidR="004469A2">
        <w:rPr>
          <w:sz w:val="16"/>
          <w:szCs w:val="16"/>
        </w:rPr>
        <w:fldChar w:fldCharType="begin">
          <w:fldData xml:space="preserve">PEVuZE5vdGU+PENpdGU+PEF1dGhvcj5LbGVpbjwvQXV0aG9yPjxZZWFyPjIwMTA8L1llYXI+PFJl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</w:fldData>
        </w:fldChar>
      </w:r>
      <w:r w:rsidR="004469A2">
        <w:rPr>
          <w:sz w:val="16"/>
          <w:szCs w:val="16"/>
        </w:rPr>
        <w:instrText xml:space="preserve"> ADDIN EN.CITE.DATA </w:instrText>
      </w:r>
      <w:r w:rsidR="004469A2">
        <w:rPr>
          <w:sz w:val="16"/>
          <w:szCs w:val="16"/>
        </w:rPr>
      </w:r>
      <w:r w:rsidR="004469A2">
        <w:rPr>
          <w:sz w:val="16"/>
          <w:szCs w:val="16"/>
        </w:rPr>
        <w:fldChar w:fldCharType="end"/>
      </w:r>
      <w:r w:rsidR="00A4596A" w:rsidRPr="00494EF4">
        <w:rPr>
          <w:sz w:val="16"/>
          <w:szCs w:val="16"/>
        </w:rPr>
      </w:r>
      <w:r w:rsidR="00A4596A" w:rsidRPr="00494EF4">
        <w:rPr>
          <w:sz w:val="16"/>
          <w:szCs w:val="16"/>
        </w:rPr>
        <w:fldChar w:fldCharType="separate"/>
      </w:r>
      <w:r w:rsidR="004469A2" w:rsidRPr="004469A2">
        <w:rPr>
          <w:noProof/>
          <w:sz w:val="16"/>
          <w:szCs w:val="16"/>
          <w:vertAlign w:val="superscript"/>
        </w:rPr>
        <w:t>45</w:t>
      </w:r>
      <w:r w:rsidR="00A4596A" w:rsidRPr="00494EF4">
        <w:rPr>
          <w:sz w:val="16"/>
          <w:szCs w:val="16"/>
        </w:rPr>
        <w:fldChar w:fldCharType="end"/>
      </w:r>
    </w:p>
    <w:p w14:paraId="24A57FB3" w14:textId="4C477C16" w:rsidR="007D1373" w:rsidRPr="00494EF4" w:rsidRDefault="002F3BB9" w:rsidP="002F3BB9">
      <w:pPr>
        <w:pStyle w:val="ANorm"/>
        <w:snapToGrid w:val="0"/>
        <w:rPr>
          <w:sz w:val="16"/>
          <w:szCs w:val="16"/>
        </w:rPr>
      </w:pPr>
      <w:proofErr w:type="spellStart"/>
      <w:r w:rsidRPr="00494EF4">
        <w:rPr>
          <w:sz w:val="16"/>
          <w:szCs w:val="16"/>
          <w:vertAlign w:val="superscript"/>
        </w:rPr>
        <w:t>c</w:t>
      </w:r>
      <w:r w:rsidR="007D1373" w:rsidRPr="00494EF4">
        <w:rPr>
          <w:sz w:val="16"/>
          <w:szCs w:val="16"/>
        </w:rPr>
        <w:t>Sourced</w:t>
      </w:r>
      <w:proofErr w:type="spellEnd"/>
      <w:r w:rsidR="007D1373" w:rsidRPr="00494EF4">
        <w:rPr>
          <w:sz w:val="16"/>
          <w:szCs w:val="16"/>
        </w:rPr>
        <w:t xml:space="preserve"> from </w:t>
      </w:r>
      <w:proofErr w:type="spellStart"/>
      <w:r w:rsidR="007C116B" w:rsidRPr="00494EF4">
        <w:rPr>
          <w:sz w:val="16"/>
          <w:szCs w:val="16"/>
        </w:rPr>
        <w:t>Kayrouz</w:t>
      </w:r>
      <w:proofErr w:type="spellEnd"/>
      <w:r w:rsidR="007C116B" w:rsidRPr="00494EF4">
        <w:rPr>
          <w:sz w:val="16"/>
          <w:szCs w:val="16"/>
        </w:rPr>
        <w:t xml:space="preserve"> et al</w:t>
      </w:r>
      <w:r w:rsidR="00006888" w:rsidRPr="00494EF4">
        <w:rPr>
          <w:sz w:val="16"/>
          <w:szCs w:val="16"/>
        </w:rPr>
        <w:t xml:space="preserve"> (2020)</w:t>
      </w:r>
      <w:r w:rsidR="009C5547" w:rsidRPr="00494EF4">
        <w:rPr>
          <w:sz w:val="16"/>
          <w:szCs w:val="16"/>
        </w:rPr>
        <w:t>.</w:t>
      </w:r>
      <w:r w:rsidR="009C5547" w:rsidRPr="00494EF4">
        <w:rPr>
          <w:sz w:val="16"/>
          <w:szCs w:val="16"/>
        </w:rPr>
        <w:fldChar w:fldCharType="begin"/>
      </w:r>
      <w:r w:rsidR="004469A2">
        <w:rPr>
          <w:sz w:val="16"/>
          <w:szCs w:val="16"/>
        </w:rPr>
        <w:instrText xml:space="preserve"> ADDIN EN.CITE &lt;EndNote&gt;&lt;Cite&gt;&lt;Author&gt;Kayrouz&lt;/Author&gt;&lt;Year&gt;2020&lt;/Year&gt;&lt;RecNum&gt;137&lt;/RecNum&gt;&lt;DisplayText&gt;&lt;style face="superscript"&gt;66&lt;/style&gt;&lt;/DisplayText&gt;&lt;record&gt;&lt;rec-number&gt;137&lt;/rec-number&gt;&lt;foreign-keys&gt;&lt;key app="EN" db-id="dawtr0zrkrzfa5edzzlpe2we0xa00t90vvr2" timestamp="1650429449"&gt;137&lt;/key&gt;&lt;/foreign-keys&gt;&lt;ref-type name="Journal Article"&gt;17&lt;/ref-type&gt;&lt;contributors&gt;&lt;authors&gt;&lt;author&gt;Kayrouz, Rony&lt;/author&gt;&lt;author&gt;Karin, Eyal&lt;/author&gt;&lt;author&gt;Staples, Lauren G.&lt;/author&gt;&lt;author&gt;Nielssen, Olav&lt;/author&gt;&lt;author&gt;Dear, Blake F.&lt;/author&gt;&lt;author&gt;Titov, Nickolai&lt;/author&gt;&lt;/authors&gt;&lt;/contributors&gt;&lt;titles&gt;&lt;title&gt;A comparison of the characteristics and treatment outcomes of migrant and Australian-born users of a national digital mental health service&lt;/title&gt;&lt;secondary-title&gt;BMC Psychiatry&lt;/secondary-title&gt;&lt;/titles&gt;&lt;periodical&gt;&lt;full-title&gt;BMC Psychiatry&lt;/full-title&gt;&lt;/periodical&gt;&lt;pages&gt;111&lt;/pages&gt;&lt;volume&gt;20&lt;/volume&gt;&lt;number&gt;1&lt;/number&gt;&lt;dates&gt;&lt;year&gt;2020&lt;/year&gt;&lt;pub-dates&gt;&lt;date&gt;2020/03/11&lt;/date&gt;&lt;/pub-dates&gt;&lt;/dates&gt;&lt;isbn&gt;1471-244X&lt;/isbn&gt;&lt;urls&gt;&lt;related-urls&gt;&lt;url&gt;https://doi.org/10.1186/s12888-020-02486-3&lt;/url&gt;&lt;/related-urls&gt;&lt;/urls&gt;&lt;electronic-resource-num&gt;10.1186/s12888-020-02486-3&lt;/electronic-resource-num&gt;&lt;/record&gt;&lt;/Cite&gt;&lt;/EndNote&gt;</w:instrText>
      </w:r>
      <w:r w:rsidR="009C5547" w:rsidRPr="00494EF4">
        <w:rPr>
          <w:sz w:val="16"/>
          <w:szCs w:val="16"/>
        </w:rPr>
        <w:fldChar w:fldCharType="separate"/>
      </w:r>
      <w:r w:rsidR="004469A2" w:rsidRPr="004469A2">
        <w:rPr>
          <w:noProof/>
          <w:sz w:val="16"/>
          <w:szCs w:val="16"/>
          <w:vertAlign w:val="superscript"/>
        </w:rPr>
        <w:t>66</w:t>
      </w:r>
      <w:r w:rsidR="009C5547" w:rsidRPr="00494EF4">
        <w:rPr>
          <w:sz w:val="16"/>
          <w:szCs w:val="16"/>
        </w:rPr>
        <w:fldChar w:fldCharType="end"/>
      </w:r>
    </w:p>
    <w:p w14:paraId="0527F588" w14:textId="5C14B909" w:rsidR="002F3BB9" w:rsidRPr="00494EF4" w:rsidRDefault="002F3BB9" w:rsidP="00BD22BF">
      <w:pPr>
        <w:pStyle w:val="ANorm"/>
        <w:snapToGrid w:val="0"/>
        <w:rPr>
          <w:sz w:val="16"/>
          <w:szCs w:val="16"/>
        </w:rPr>
      </w:pPr>
      <w:proofErr w:type="spellStart"/>
      <w:r w:rsidRPr="00494EF4">
        <w:rPr>
          <w:sz w:val="16"/>
          <w:szCs w:val="16"/>
          <w:vertAlign w:val="superscript"/>
        </w:rPr>
        <w:t>d</w:t>
      </w:r>
      <w:r w:rsidR="007D1373" w:rsidRPr="00494EF4">
        <w:rPr>
          <w:sz w:val="16"/>
          <w:szCs w:val="16"/>
        </w:rPr>
        <w:t>Comprising</w:t>
      </w:r>
      <w:proofErr w:type="spellEnd"/>
      <w:r w:rsidR="007D1373" w:rsidRPr="00494EF4">
        <w:rPr>
          <w:sz w:val="16"/>
          <w:szCs w:val="16"/>
        </w:rPr>
        <w:t xml:space="preserve"> 56% with &gt;50% improvement and 19% classified as minimal response (30-50% improvement)</w:t>
      </w:r>
      <w:r w:rsidR="00D17E9E" w:rsidRPr="00494EF4">
        <w:rPr>
          <w:sz w:val="16"/>
          <w:szCs w:val="16"/>
        </w:rPr>
        <w:t>.</w:t>
      </w:r>
      <w:r w:rsidR="00D17E9E" w:rsidRPr="00494EF4">
        <w:rPr>
          <w:sz w:val="16"/>
          <w:szCs w:val="16"/>
        </w:rPr>
        <w:fldChar w:fldCharType="begin"/>
      </w:r>
      <w:r w:rsidR="004469A2">
        <w:rPr>
          <w:sz w:val="16"/>
          <w:szCs w:val="16"/>
        </w:rPr>
        <w:instrText xml:space="preserve"> ADDIN EN.CITE &lt;EndNote&gt;&lt;Cite&gt;&lt;Author&gt;Kayrouz&lt;/Author&gt;&lt;Year&gt;2020&lt;/Year&gt;&lt;RecNum&gt;137&lt;/RecNum&gt;&lt;DisplayText&gt;&lt;style face="superscript"&gt;66&lt;/style&gt;&lt;/DisplayText&gt;&lt;record&gt;&lt;rec-number&gt;137&lt;/rec-number&gt;&lt;foreign-keys&gt;&lt;key app="EN" db-id="dawtr0zrkrzfa5edzzlpe2we0xa00t90vvr2" timestamp="1650429449"&gt;137&lt;/key&gt;&lt;/foreign-keys&gt;&lt;ref-type name="Journal Article"&gt;17&lt;/ref-type&gt;&lt;contributors&gt;&lt;authors&gt;&lt;author&gt;Kayrouz, Rony&lt;/author&gt;&lt;author&gt;Karin, Eyal&lt;/author&gt;&lt;author&gt;Staples, Lauren G.&lt;/author&gt;&lt;author&gt;Nielssen, Olav&lt;/author&gt;&lt;author&gt;Dear, Blake F.&lt;/author&gt;&lt;author&gt;Titov, Nickolai&lt;/author&gt;&lt;/authors&gt;&lt;/contributors&gt;&lt;titles&gt;&lt;title&gt;A comparison of the characteristics and treatment outcomes of migrant and Australian-born users of a national digital mental health service&lt;/title&gt;&lt;secondary-title&gt;BMC Psychiatry&lt;/secondary-title&gt;&lt;/titles&gt;&lt;periodical&gt;&lt;full-title&gt;BMC Psychiatry&lt;/full-title&gt;&lt;/periodical&gt;&lt;pages&gt;111&lt;/pages&gt;&lt;volume&gt;20&lt;/volume&gt;&lt;number&gt;1&lt;/number&gt;&lt;dates&gt;&lt;year&gt;2020&lt;/year&gt;&lt;pub-dates&gt;&lt;date&gt;2020/03/11&lt;/date&gt;&lt;/pub-dates&gt;&lt;/dates&gt;&lt;isbn&gt;1471-244X&lt;/isbn&gt;&lt;urls&gt;&lt;related-urls&gt;&lt;url&gt;https://doi.org/10.1186/s12888-020-02486-3&lt;/url&gt;&lt;/related-urls&gt;&lt;/urls&gt;&lt;electronic-resource-num&gt;10.1186/s12888-020-02486-3&lt;/electronic-resource-num&gt;&lt;/record&gt;&lt;/Cite&gt;&lt;/EndNote&gt;</w:instrText>
      </w:r>
      <w:r w:rsidR="00D17E9E" w:rsidRPr="00494EF4">
        <w:rPr>
          <w:sz w:val="16"/>
          <w:szCs w:val="16"/>
        </w:rPr>
        <w:fldChar w:fldCharType="separate"/>
      </w:r>
      <w:r w:rsidR="004469A2" w:rsidRPr="004469A2">
        <w:rPr>
          <w:noProof/>
          <w:sz w:val="16"/>
          <w:szCs w:val="16"/>
          <w:vertAlign w:val="superscript"/>
        </w:rPr>
        <w:t>66</w:t>
      </w:r>
      <w:r w:rsidR="00D17E9E" w:rsidRPr="00494EF4">
        <w:rPr>
          <w:sz w:val="16"/>
          <w:szCs w:val="16"/>
        </w:rPr>
        <w:fldChar w:fldCharType="end"/>
      </w:r>
    </w:p>
    <w:p w14:paraId="4CCBA898" w14:textId="4237B73C" w:rsidR="007F0BE2" w:rsidRPr="007F0BE2" w:rsidRDefault="002F3BB9" w:rsidP="00BD22BF">
      <w:pPr>
        <w:pStyle w:val="ANorm"/>
        <w:snapToGrid w:val="0"/>
        <w:rPr>
          <w:sz w:val="16"/>
          <w:szCs w:val="16"/>
        </w:rPr>
      </w:pPr>
      <w:proofErr w:type="spellStart"/>
      <w:r w:rsidRPr="00494EF4">
        <w:rPr>
          <w:sz w:val="16"/>
          <w:szCs w:val="16"/>
          <w:vertAlign w:val="superscript"/>
        </w:rPr>
        <w:t>e</w:t>
      </w:r>
      <w:r w:rsidR="007F0BE2">
        <w:rPr>
          <w:sz w:val="16"/>
          <w:szCs w:val="16"/>
        </w:rPr>
        <w:t>Includes</w:t>
      </w:r>
      <w:proofErr w:type="spellEnd"/>
      <w:r w:rsidR="007F0BE2">
        <w:rPr>
          <w:sz w:val="16"/>
          <w:szCs w:val="16"/>
        </w:rPr>
        <w:t xml:space="preserve"> </w:t>
      </w:r>
      <w:r w:rsidR="00B60CA7">
        <w:rPr>
          <w:sz w:val="16"/>
          <w:szCs w:val="16"/>
        </w:rPr>
        <w:t>30-100% improvement.</w:t>
      </w:r>
    </w:p>
    <w:p w14:paraId="7B78AA48" w14:textId="03E7BBA2" w:rsidR="002F3BB9" w:rsidRPr="00D511EE" w:rsidRDefault="00006888" w:rsidP="00BD22BF">
      <w:pPr>
        <w:pStyle w:val="ANorm"/>
        <w:snapToGrid w:val="0"/>
        <w:rPr>
          <w:sz w:val="16"/>
          <w:szCs w:val="16"/>
          <w:lang w:val="da-DK"/>
        </w:rPr>
      </w:pPr>
      <w:r w:rsidRPr="004D6004">
        <w:rPr>
          <w:sz w:val="16"/>
          <w:szCs w:val="16"/>
        </w:rPr>
        <w:t xml:space="preserve">Sourced from </w:t>
      </w:r>
      <w:proofErr w:type="spellStart"/>
      <w:r w:rsidRPr="004D6004">
        <w:rPr>
          <w:sz w:val="16"/>
          <w:szCs w:val="16"/>
        </w:rPr>
        <w:t>Titov</w:t>
      </w:r>
      <w:proofErr w:type="spellEnd"/>
      <w:r w:rsidRPr="004D6004">
        <w:rPr>
          <w:sz w:val="16"/>
          <w:szCs w:val="16"/>
        </w:rPr>
        <w:t xml:space="preserve"> et al (2020)</w:t>
      </w:r>
      <w:r w:rsidR="00D17E9E" w:rsidRPr="004D6004">
        <w:rPr>
          <w:sz w:val="16"/>
          <w:szCs w:val="16"/>
        </w:rPr>
        <w:t>.</w:t>
      </w:r>
      <w:r w:rsidR="005303A9" w:rsidRPr="00494EF4">
        <w:rPr>
          <w:sz w:val="16"/>
          <w:szCs w:val="16"/>
        </w:rPr>
        <w:fldChar w:fldCharType="begin"/>
      </w:r>
      <w:r w:rsidR="004469A2">
        <w:rPr>
          <w:sz w:val="16"/>
          <w:szCs w:val="16"/>
        </w:rPr>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005303A9" w:rsidRPr="00494EF4">
        <w:rPr>
          <w:sz w:val="16"/>
          <w:szCs w:val="16"/>
        </w:rPr>
        <w:fldChar w:fldCharType="separate"/>
      </w:r>
      <w:r w:rsidR="004469A2" w:rsidRPr="004469A2">
        <w:rPr>
          <w:noProof/>
          <w:sz w:val="16"/>
          <w:szCs w:val="16"/>
          <w:vertAlign w:val="superscript"/>
        </w:rPr>
        <w:t>7</w:t>
      </w:r>
      <w:r w:rsidR="005303A9" w:rsidRPr="00494EF4">
        <w:rPr>
          <w:sz w:val="16"/>
          <w:szCs w:val="16"/>
        </w:rPr>
        <w:fldChar w:fldCharType="end"/>
      </w:r>
    </w:p>
    <w:p w14:paraId="37311E26" w14:textId="57169372" w:rsidR="00DB4E05" w:rsidRPr="00494EF4" w:rsidRDefault="002F3BB9" w:rsidP="00BD22BF">
      <w:pPr>
        <w:pStyle w:val="ANorm"/>
        <w:snapToGrid w:val="0"/>
        <w:rPr>
          <w:sz w:val="16"/>
          <w:szCs w:val="16"/>
        </w:rPr>
      </w:pPr>
      <w:r w:rsidRPr="00D511EE">
        <w:rPr>
          <w:sz w:val="16"/>
          <w:szCs w:val="16"/>
          <w:vertAlign w:val="superscript"/>
          <w:lang w:val="da-DK"/>
        </w:rPr>
        <w:t>f</w:t>
      </w:r>
      <w:r w:rsidR="00A3681C" w:rsidRPr="00D511EE">
        <w:rPr>
          <w:sz w:val="16"/>
          <w:szCs w:val="16"/>
          <w:lang w:val="da-DK"/>
        </w:rPr>
        <w:t>Sourced from Hobbs et al (20</w:t>
      </w:r>
      <w:r w:rsidR="007E743E" w:rsidRPr="00D511EE">
        <w:rPr>
          <w:sz w:val="16"/>
          <w:szCs w:val="16"/>
          <w:lang w:val="da-DK"/>
        </w:rPr>
        <w:t>17),</w:t>
      </w:r>
      <w:r w:rsidR="00C515C2" w:rsidRPr="00494EF4">
        <w:rPr>
          <w:sz w:val="16"/>
          <w:szCs w:val="16"/>
        </w:rPr>
        <w:fldChar w:fldCharType="begin"/>
      </w:r>
      <w:r w:rsidR="004469A2">
        <w:rPr>
          <w:sz w:val="16"/>
          <w:szCs w:val="16"/>
        </w:rPr>
        <w:instrText xml:space="preserve"> ADDIN EN.CITE &lt;EndNote&gt;&lt;Cite&gt;&lt;Author&gt;Hobbs&lt;/Author&gt;&lt;Year&gt;2017&lt;/Year&gt;&lt;RecNum&gt;191&lt;/RecNum&gt;&lt;DisplayText&gt;&lt;style face="superscript"&gt;51&lt;/style&gt;&lt;/DisplayText&gt;&lt;record&gt;&lt;rec-number&gt;191&lt;/rec-number&gt;&lt;foreign-keys&gt;&lt;key app="EN" db-id="dawtr0zrkrzfa5edzzlpe2we0xa00t90vvr2" timestamp="1655693350"&gt;191&lt;/key&gt;&lt;/foreign-keys&gt;&lt;ref-type name="Journal Article"&gt;17&lt;/ref-type&gt;&lt;contributors&gt;&lt;authors&gt;&lt;author&gt;Hobbs, Megan J&lt;/author&gt;&lt;author&gt;Mahoney, Alison EJ&lt;/author&gt;&lt;author&gt;Andrews, Gavin&lt;/author&gt;&lt;/authors&gt;&lt;/contributors&gt;&lt;titles&gt;&lt;title&gt;Integrating iCBT for generalized anxiety disorder into routine clinical care: treatment effects across the adult lifespan&lt;/title&gt;&lt;secondary-title&gt;Journal of Anxiety Disorders&lt;/secondary-title&gt;&lt;/titles&gt;&lt;periodical&gt;&lt;full-title&gt;Journal of anxiety disorders&lt;/full-title&gt;&lt;/periodical&gt;&lt;pages&gt;47-54&lt;/pages&gt;&lt;volume&gt;51&lt;/volume&gt;&lt;dates&gt;&lt;year&gt;2017&lt;/year&gt;&lt;/dates&gt;&lt;isbn&gt;0887-6185&lt;/isbn&gt;&lt;urls&gt;&lt;/urls&gt;&lt;/record&gt;&lt;/Cite&gt;&lt;/EndNote&gt;</w:instrText>
      </w:r>
      <w:r w:rsidR="00C515C2" w:rsidRPr="00494EF4">
        <w:rPr>
          <w:sz w:val="16"/>
          <w:szCs w:val="16"/>
        </w:rPr>
        <w:fldChar w:fldCharType="separate"/>
      </w:r>
      <w:r w:rsidR="004469A2" w:rsidRPr="004469A2">
        <w:rPr>
          <w:noProof/>
          <w:sz w:val="16"/>
          <w:szCs w:val="16"/>
          <w:vertAlign w:val="superscript"/>
          <w:lang w:val="da-DK"/>
        </w:rPr>
        <w:t>51</w:t>
      </w:r>
      <w:r w:rsidR="00C515C2" w:rsidRPr="00494EF4">
        <w:rPr>
          <w:sz w:val="16"/>
          <w:szCs w:val="16"/>
        </w:rPr>
        <w:fldChar w:fldCharType="end"/>
      </w:r>
      <w:r w:rsidR="007E743E" w:rsidRPr="00D511EE">
        <w:rPr>
          <w:sz w:val="16"/>
          <w:szCs w:val="16"/>
          <w:lang w:val="da-DK"/>
        </w:rPr>
        <w:t xml:space="preserve"> Hobbs et al (2018)</w:t>
      </w:r>
      <w:r w:rsidR="00C515C2" w:rsidRPr="00494EF4">
        <w:rPr>
          <w:sz w:val="16"/>
          <w:szCs w:val="16"/>
        </w:rPr>
        <w:fldChar w:fldCharType="begin"/>
      </w:r>
      <w:r w:rsidR="004469A2">
        <w:rPr>
          <w:sz w:val="16"/>
          <w:szCs w:val="16"/>
        </w:rPr>
        <w:instrText xml:space="preserve"> ADDIN EN.CITE &lt;EndNote&gt;&lt;Cite&gt;&lt;Author&gt;Hobbs&lt;/Author&gt;&lt;Year&gt;2018&lt;/Year&gt;&lt;RecNum&gt;192&lt;/RecNum&gt;&lt;DisplayText&gt;&lt;style face="superscript"&gt;50&lt;/style&gt;&lt;/DisplayText&gt;&lt;record&gt;&lt;rec-number&gt;192&lt;/rec-number&gt;&lt;foreign-keys&gt;&lt;key app="EN" db-id="dawtr0zrkrzfa5edzzlpe2we0xa00t90vvr2" timestamp="1655693422"&gt;192&lt;/key&gt;&lt;/foreign-keys&gt;&lt;ref-type name="Journal Article"&gt;17&lt;/ref-type&gt;&lt;contributors&gt;&lt;authors&gt;&lt;author&gt;Hobbs, Megan J&lt;/author&gt;&lt;author&gt;Joubert, Amy E&lt;/author&gt;&lt;author&gt;Mahoney, Alison EJ&lt;/author&gt;&lt;author&gt;Andrews, Gavin&lt;/author&gt;&lt;/authors&gt;&lt;/contributors&gt;&lt;titles&gt;&lt;title&gt;Treating late-life depression: Comparing the effects of internet-delivered cognitive behavior therapy across the adult lifespan&lt;/title&gt;&lt;secondary-title&gt;Journal of Affective Disorders&lt;/secondary-title&gt;&lt;/titles&gt;&lt;periodical&gt;&lt;full-title&gt;Journal of Affective Disorders&lt;/full-title&gt;&lt;/periodical&gt;&lt;pages&gt;58-65&lt;/pages&gt;&lt;volume&gt;226&lt;/volume&gt;&lt;dates&gt;&lt;year&gt;2018&lt;/year&gt;&lt;/dates&gt;&lt;isbn&gt;0165-0327&lt;/isbn&gt;&lt;urls&gt;&lt;/urls&gt;&lt;/record&gt;&lt;/Cite&gt;&lt;/EndNote&gt;</w:instrText>
      </w:r>
      <w:r w:rsidR="00C515C2" w:rsidRPr="00494EF4">
        <w:rPr>
          <w:sz w:val="16"/>
          <w:szCs w:val="16"/>
        </w:rPr>
        <w:fldChar w:fldCharType="separate"/>
      </w:r>
      <w:r w:rsidR="004469A2" w:rsidRPr="004469A2">
        <w:rPr>
          <w:noProof/>
          <w:sz w:val="16"/>
          <w:szCs w:val="16"/>
          <w:vertAlign w:val="superscript"/>
          <w:lang w:val="da-DK"/>
        </w:rPr>
        <w:t>50</w:t>
      </w:r>
      <w:r w:rsidR="00C515C2" w:rsidRPr="00494EF4">
        <w:rPr>
          <w:sz w:val="16"/>
          <w:szCs w:val="16"/>
        </w:rPr>
        <w:fldChar w:fldCharType="end"/>
      </w:r>
      <w:r w:rsidR="007E743E" w:rsidRPr="00D511EE">
        <w:rPr>
          <w:sz w:val="16"/>
          <w:szCs w:val="16"/>
          <w:lang w:val="da-DK"/>
        </w:rPr>
        <w:t xml:space="preserve"> and Allen et al (2016).</w:t>
      </w:r>
      <w:r w:rsidR="006B29B7" w:rsidRPr="00494EF4">
        <w:rPr>
          <w:sz w:val="16"/>
          <w:szCs w:val="16"/>
        </w:rPr>
        <w:fldChar w:fldCharType="begin"/>
      </w:r>
      <w:r w:rsidR="004469A2">
        <w:rPr>
          <w:sz w:val="16"/>
          <w:szCs w:val="16"/>
        </w:rPr>
        <w:instrText xml:space="preserve"> ADDIN EN.CITE &lt;EndNote&gt;&lt;Cite&gt;&lt;Author&gt;Allen&lt;/Author&gt;&lt;Year&gt;2016&lt;/Year&gt;&lt;RecNum&gt;189&lt;/RecNum&gt;&lt;DisplayText&gt;&lt;style face="superscript"&gt;53&lt;/style&gt;&lt;/DisplayText&gt;&lt;record&gt;&lt;rec-number&gt;189&lt;/rec-number&gt;&lt;foreign-keys&gt;&lt;key app="EN" db-id="dawtr0zrkrzfa5edzzlpe2we0xa00t90vvr2" timestamp="1655692972"&gt;189&lt;/key&gt;&lt;/foreign-keys&gt;&lt;ref-type name="Journal Article"&gt;17&lt;/ref-type&gt;&lt;contributors&gt;&lt;authors&gt;&lt;author&gt;Allen, Adrian R.&lt;/author&gt;&lt;author&gt;Newby, Jill M.&lt;/author&gt;&lt;author&gt;Mackenzie, Anna&lt;/author&gt;&lt;author&gt;Smith, Jessica&lt;/author&gt;&lt;author&gt;Boulton, Matthew&lt;/author&gt;&lt;author&gt;Loughnan, Siobhan A.&lt;/author&gt;&lt;author&gt;Andrews, Gavin&lt;/author&gt;&lt;/authors&gt;&lt;/contributors&gt;&lt;titles&gt;&lt;title&gt;Internet cognitive-behavioural treatment for panic disorder: randomised controlled trial and evidence of effectiveness in primary care&lt;/title&gt;&lt;secondary-title&gt;BJPsych open&lt;/secondary-title&gt;&lt;alt-title&gt;BJPsych Open&lt;/alt-title&gt;&lt;/titles&gt;&lt;periodical&gt;&lt;full-title&gt;BJPsych open&lt;/full-title&gt;&lt;/periodical&gt;&lt;alt-periodical&gt;&lt;full-title&gt;BJPsych open&lt;/full-title&gt;&lt;/alt-periodical&gt;&lt;pages&gt;154-162&lt;/pages&gt;&lt;volume&gt;2&lt;/volume&gt;&lt;number&gt;2&lt;/number&gt;&lt;dates&gt;&lt;year&gt;2016&lt;/year&gt;&lt;/dates&gt;&lt;publisher&gt;The Royal College of Psychiatrists&lt;/publisher&gt;&lt;isbn&gt;2056-4724&lt;/isbn&gt;&lt;accession-num&gt;27703768&lt;/accession-num&gt;&lt;urls&gt;&lt;related-urls&gt;&lt;url&gt;https://pubmed.ncbi.nlm.nih.gov/27703768&lt;/url&gt;&lt;url&gt;https://www.ncbi.nlm.nih.gov/pmc/articles/PMC4998930/&lt;/url&gt;&lt;/related-urls&gt;&lt;/urls&gt;&lt;electronic-resource-num&gt;10.1192/bjpo.bp.115.001826&lt;/electronic-resource-num&gt;&lt;remote-database-name&gt;PubMed&lt;/remote-database-name&gt;&lt;language&gt;eng&lt;/language&gt;&lt;/record&gt;&lt;/Cite&gt;&lt;/EndNote&gt;</w:instrText>
      </w:r>
      <w:r w:rsidR="006B29B7" w:rsidRPr="00494EF4">
        <w:rPr>
          <w:sz w:val="16"/>
          <w:szCs w:val="16"/>
        </w:rPr>
        <w:fldChar w:fldCharType="separate"/>
      </w:r>
      <w:r w:rsidR="004469A2" w:rsidRPr="004469A2">
        <w:rPr>
          <w:noProof/>
          <w:sz w:val="16"/>
          <w:szCs w:val="16"/>
          <w:vertAlign w:val="superscript"/>
          <w:lang w:val="da-DK"/>
        </w:rPr>
        <w:t>53</w:t>
      </w:r>
      <w:r w:rsidR="006B29B7" w:rsidRPr="00494EF4">
        <w:rPr>
          <w:sz w:val="16"/>
          <w:szCs w:val="16"/>
        </w:rPr>
        <w:fldChar w:fldCharType="end"/>
      </w:r>
    </w:p>
    <w:p w14:paraId="6A2980A4" w14:textId="31D42D7C" w:rsidR="002F3BB9" w:rsidRPr="00494EF4" w:rsidRDefault="004B1390" w:rsidP="00BD22BF">
      <w:pPr>
        <w:pStyle w:val="ANorm"/>
        <w:snapToGrid w:val="0"/>
        <w:rPr>
          <w:sz w:val="16"/>
          <w:szCs w:val="16"/>
        </w:rPr>
      </w:pPr>
      <w:r w:rsidRPr="00494EF4">
        <w:rPr>
          <w:sz w:val="16"/>
          <w:szCs w:val="16"/>
        </w:rPr>
        <w:t xml:space="preserve">Sourced from </w:t>
      </w:r>
      <w:proofErr w:type="spellStart"/>
      <w:r w:rsidRPr="00494EF4">
        <w:rPr>
          <w:sz w:val="16"/>
          <w:szCs w:val="16"/>
        </w:rPr>
        <w:t>Cuijpers</w:t>
      </w:r>
      <w:proofErr w:type="spellEnd"/>
      <w:r w:rsidRPr="00494EF4">
        <w:rPr>
          <w:sz w:val="16"/>
          <w:szCs w:val="16"/>
        </w:rPr>
        <w:t xml:space="preserve"> et al (</w:t>
      </w:r>
      <w:r w:rsidR="00087548" w:rsidRPr="00494EF4">
        <w:rPr>
          <w:sz w:val="16"/>
          <w:szCs w:val="16"/>
        </w:rPr>
        <w:t>2021</w:t>
      </w:r>
      <w:r w:rsidRPr="00494EF4">
        <w:rPr>
          <w:sz w:val="16"/>
          <w:szCs w:val="16"/>
        </w:rPr>
        <w:t>).</w:t>
      </w:r>
      <w:r w:rsidR="00087548" w:rsidRPr="00494EF4">
        <w:rPr>
          <w:sz w:val="16"/>
          <w:szCs w:val="16"/>
        </w:rPr>
        <w:fldChar w:fldCharType="begin"/>
      </w:r>
      <w:r w:rsidR="004469A2">
        <w:rPr>
          <w:sz w:val="16"/>
          <w:szCs w:val="16"/>
        </w:rPr>
        <w:instrText xml:space="preserve"> ADDIN EN.CITE &lt;EndNote&gt;&lt;Cite&gt;&lt;Author&gt;Cuijpers&lt;/Author&gt;&lt;Year&gt;2021&lt;/Year&gt;&lt;RecNum&gt;110&lt;/RecNum&gt;&lt;DisplayText&gt;&lt;style face="superscript"&gt;79&lt;/style&gt;&lt;/DisplayText&gt;&lt;record&gt;&lt;rec-number&gt;110&lt;/rec-number&gt;&lt;foreign-keys&gt;&lt;key app="EN" db-id="dawtr0zrkrzfa5edzzlpe2we0xa00t90vvr2" timestamp="1630989318"&gt;110&lt;/key&gt;&lt;/foreign-keys&gt;&lt;ref-type name="Journal Article"&gt;17&lt;/ref-type&gt;&lt;contributors&gt;&lt;authors&gt;&lt;author&gt;Cuijpers, Pim&lt;/author&gt;&lt;author&gt;Karyotaki, Eirini&lt;/author&gt;&lt;author&gt;Ciharova, Marketa&lt;/author&gt;&lt;author&gt;Miguel, Clara&lt;/author&gt;&lt;author&gt;Noma, Hisashi&lt;/author&gt;&lt;author&gt;Furukawa, Toshi A.&lt;/author&gt;&lt;/authors&gt;&lt;/contributors&gt;&lt;titles&gt;&lt;title&gt;The effects of psychotherapies for depression on response, remission, reliable change, and deterioration: A meta-analysis&lt;/title&gt;&lt;secondary-title&gt;Acta Psychiatrica Scandinavica&lt;/secondary-title&gt;&lt;/titles&gt;&lt;periodical&gt;&lt;full-title&gt;Acta Psychiatrica Scandinavica&lt;/full-title&gt;&lt;/periodical&gt;&lt;pages&gt;288-299&lt;/pages&gt;&lt;volume&gt;144&lt;/volume&gt;&lt;number&gt;3&lt;/number&gt;&lt;dates&gt;&lt;year&gt;2021&lt;/year&gt;&lt;/dates&gt;&lt;isbn&gt;0001-690X&lt;/isbn&gt;&lt;urls&gt;&lt;related-urls&gt;&lt;url&gt;https://onlinelibrary.wiley.com/doi/abs/10.1111/acps.13335&lt;/url&gt;&lt;/related-urls&gt;&lt;/urls&gt;&lt;electronic-resource-num&gt;https://doi.org/10.1111/acps.13335&lt;/electronic-resource-num&gt;&lt;/record&gt;&lt;/Cite&gt;&lt;/EndNote&gt;</w:instrText>
      </w:r>
      <w:r w:rsidR="00087548" w:rsidRPr="00494EF4">
        <w:rPr>
          <w:sz w:val="16"/>
          <w:szCs w:val="16"/>
        </w:rPr>
        <w:fldChar w:fldCharType="separate"/>
      </w:r>
      <w:r w:rsidR="004469A2" w:rsidRPr="004469A2">
        <w:rPr>
          <w:noProof/>
          <w:sz w:val="16"/>
          <w:szCs w:val="16"/>
          <w:vertAlign w:val="superscript"/>
        </w:rPr>
        <w:t>79</w:t>
      </w:r>
      <w:r w:rsidR="00087548" w:rsidRPr="00494EF4">
        <w:rPr>
          <w:sz w:val="16"/>
          <w:szCs w:val="16"/>
        </w:rPr>
        <w:fldChar w:fldCharType="end"/>
      </w:r>
    </w:p>
    <w:p w14:paraId="3CBBFA9A" w14:textId="69248B99" w:rsidR="005D1AFB" w:rsidRPr="00B60CA7" w:rsidRDefault="002F3BB9" w:rsidP="00BD22BF">
      <w:pPr>
        <w:pStyle w:val="ANorm"/>
        <w:snapToGrid w:val="0"/>
        <w:spacing w:after="240"/>
        <w:rPr>
          <w:sz w:val="16"/>
          <w:szCs w:val="16"/>
        </w:rPr>
      </w:pPr>
      <w:proofErr w:type="spellStart"/>
      <w:r w:rsidRPr="00494EF4">
        <w:rPr>
          <w:sz w:val="16"/>
          <w:szCs w:val="16"/>
          <w:vertAlign w:val="superscript"/>
        </w:rPr>
        <w:t>g</w:t>
      </w:r>
      <w:r w:rsidR="00A919AB" w:rsidRPr="00494EF4">
        <w:rPr>
          <w:sz w:val="16"/>
          <w:szCs w:val="16"/>
        </w:rPr>
        <w:t>Sourced</w:t>
      </w:r>
      <w:proofErr w:type="spellEnd"/>
      <w:r w:rsidR="00A919AB" w:rsidRPr="00494EF4">
        <w:rPr>
          <w:sz w:val="16"/>
          <w:szCs w:val="16"/>
        </w:rPr>
        <w:t xml:space="preserve"> from Whiteford et al (2013)</w:t>
      </w:r>
      <w:r w:rsidR="00087548" w:rsidRPr="00494EF4">
        <w:rPr>
          <w:sz w:val="16"/>
          <w:szCs w:val="16"/>
        </w:rPr>
        <w:t>.</w:t>
      </w:r>
      <w:r w:rsidR="00494EF4" w:rsidRPr="00494EF4">
        <w:rPr>
          <w:sz w:val="16"/>
          <w:szCs w:val="16"/>
        </w:rPr>
        <w:fldChar w:fldCharType="begin"/>
      </w:r>
      <w:r w:rsidR="004469A2">
        <w:rPr>
          <w:sz w:val="16"/>
          <w:szCs w:val="16"/>
        </w:rPr>
        <w:instrText xml:space="preserve"> ADDIN EN.CITE &lt;EndNote&gt;&lt;Cite&gt;&lt;Author&gt;Whiteford&lt;/Author&gt;&lt;Year&gt;2013&lt;/Year&gt;&lt;RecNum&gt;146&lt;/RecNum&gt;&lt;DisplayText&gt;&lt;style face="superscript"&gt;78&lt;/style&gt;&lt;/DisplayText&gt;&lt;record&gt;&lt;rec-number&gt;146&lt;/rec-number&gt;&lt;foreign-keys&gt;&lt;key app="EN" db-id="dawtr0zrkrzfa5edzzlpe2we0xa00t90vvr2" timestamp="1651542859"&gt;146&lt;/key&gt;&lt;/foreign-keys&gt;&lt;ref-type name="Journal Article"&gt;17&lt;/ref-type&gt;&lt;contributors&gt;&lt;authors&gt;&lt;author&gt;Whiteford, H. A.&lt;/author&gt;&lt;author&gt;Harris, M. G.&lt;/author&gt;&lt;author&gt;McKeon, G.&lt;/author&gt;&lt;author&gt;Baxter, A.&lt;/author&gt;&lt;author&gt;Pennell, C.&lt;/author&gt;&lt;author&gt;Barendregt, J. J.&lt;/author&gt;&lt;author&gt;Wang, J.&lt;/author&gt;&lt;/authors&gt;&lt;/contributors&gt;&lt;titles&gt;&lt;title&gt;Estimating remission from untreated major depression: a systematic review and meta-analysis&lt;/title&gt;&lt;secondary-title&gt;Psychological Medicine&lt;/secondary-title&gt;&lt;/titles&gt;&lt;periodical&gt;&lt;full-title&gt;Psychological Medicine&lt;/full-title&gt;&lt;/periodical&gt;&lt;pages&gt;1569-1585&lt;/pages&gt;&lt;volume&gt;43&lt;/volume&gt;&lt;number&gt;8&lt;/number&gt;&lt;edition&gt;2012/08/10&lt;/edition&gt;&lt;keywords&gt;&lt;keyword&gt;Major depressive disorder&lt;/keyword&gt;&lt;keyword&gt;meta-analysis&lt;/keyword&gt;&lt;keyword&gt;natural history&lt;/keyword&gt;&lt;keyword&gt;spontaneous remission&lt;/keyword&gt;&lt;keyword&gt;systematic review&lt;/keyword&gt;&lt;/keywords&gt;&lt;dates&gt;&lt;year&gt;2013&lt;/year&gt;&lt;/dates&gt;&lt;publisher&gt;Cambridge University Press&lt;/publisher&gt;&lt;isbn&gt;0033-2917&lt;/isbn&gt;&lt;urls&gt;&lt;related-urls&gt;&lt;url&gt;https://www.cambridge.org/core/article/estimating-remission-from-untreated-major-depression-a-systematic-review-and-metaanalysis/52961032C5AFAB1C3B2C4E06A652B561&lt;/url&gt;&lt;/related-urls&gt;&lt;/urls&gt;&lt;electronic-resource-num&gt;10.1017/S0033291712001717&lt;/electronic-resource-num&gt;&lt;remote-database-name&gt;Cambridge Core&lt;/remote-database-name&gt;&lt;remote-database-provider&gt;Cambridge University Press&lt;/remote-database-provider&gt;&lt;/record&gt;&lt;/Cite&gt;&lt;/EndNote&gt;</w:instrText>
      </w:r>
      <w:r w:rsidR="00494EF4" w:rsidRPr="00494EF4">
        <w:rPr>
          <w:sz w:val="16"/>
          <w:szCs w:val="16"/>
        </w:rPr>
        <w:fldChar w:fldCharType="separate"/>
      </w:r>
      <w:r w:rsidR="004469A2" w:rsidRPr="004469A2">
        <w:rPr>
          <w:noProof/>
          <w:sz w:val="16"/>
          <w:szCs w:val="16"/>
          <w:vertAlign w:val="superscript"/>
        </w:rPr>
        <w:t>78</w:t>
      </w:r>
      <w:r w:rsidR="00494EF4" w:rsidRPr="00494EF4">
        <w:rPr>
          <w:sz w:val="16"/>
          <w:szCs w:val="16"/>
        </w:rPr>
        <w:fldChar w:fldCharType="end"/>
      </w:r>
    </w:p>
    <w:p w14:paraId="4AB1A6A1" w14:textId="56A8FBEB" w:rsidR="005D1AFB" w:rsidRPr="00DD0A4C" w:rsidRDefault="005D1AFB" w:rsidP="00157BF4">
      <w:pPr>
        <w:pStyle w:val="Heading2"/>
      </w:pPr>
      <w:r>
        <w:t xml:space="preserve"> </w:t>
      </w:r>
      <w:bookmarkStart w:id="144" w:name="_Toc108784852"/>
      <w:r w:rsidRPr="00DD0A4C">
        <w:t>Summary</w:t>
      </w:r>
      <w:bookmarkEnd w:id="144"/>
    </w:p>
    <w:p w14:paraId="4FCA0AFC" w14:textId="3FD7B34D" w:rsidR="00DD0A4C" w:rsidRPr="00D60FEF" w:rsidRDefault="00DD0A4C" w:rsidP="00D60FEF">
      <w:pPr>
        <w:pStyle w:val="ANorm"/>
        <w:spacing w:after="240"/>
        <w:rPr>
          <w:rFonts w:asciiTheme="minorHAnsi" w:hAnsiTheme="minorHAnsi" w:cstheme="minorHAnsi"/>
          <w:lang w:val="en-US" w:bidi="th-TH"/>
        </w:rPr>
      </w:pPr>
      <w:r w:rsidRPr="003103C8">
        <w:rPr>
          <w:rFonts w:asciiTheme="minorHAnsi" w:hAnsiTheme="minorHAnsi" w:cstheme="minorHAnsi"/>
          <w:lang w:val="en-US" w:bidi="th-TH"/>
        </w:rPr>
        <w:t>The three DMHSs are using a variety of outcome measures to assess mental health and wellbeing outcomes for consumers, most commonly the K10, PHQ-9 and GAD-7 (</w:t>
      </w:r>
      <w:proofErr w:type="spellStart"/>
      <w:r w:rsidRPr="003103C8">
        <w:rPr>
          <w:rFonts w:asciiTheme="minorHAnsi" w:hAnsiTheme="minorHAnsi" w:cstheme="minorHAnsi"/>
          <w:lang w:val="en-US" w:bidi="th-TH"/>
        </w:rPr>
        <w:t>MindSpot</w:t>
      </w:r>
      <w:proofErr w:type="spellEnd"/>
      <w:r w:rsidRPr="003103C8">
        <w:rPr>
          <w:rFonts w:asciiTheme="minorHAnsi" w:hAnsiTheme="minorHAnsi" w:cstheme="minorHAnsi"/>
          <w:lang w:val="en-US" w:bidi="th-TH"/>
        </w:rPr>
        <w:t xml:space="preserve"> and THIS WAY UP) and the K6 at baseline only (Mental Health Online). Therapist-supported online treatment significantly improves the mental health of consumers who use these services (d=0.95, Mental Health Online; d=1.42, </w:t>
      </w:r>
      <w:proofErr w:type="spellStart"/>
      <w:r w:rsidRPr="003103C8">
        <w:rPr>
          <w:rFonts w:asciiTheme="minorHAnsi" w:hAnsiTheme="minorHAnsi" w:cstheme="minorHAnsi"/>
          <w:lang w:val="en-US" w:bidi="th-TH"/>
        </w:rPr>
        <w:t>MindSpot</w:t>
      </w:r>
      <w:proofErr w:type="spellEnd"/>
      <w:r w:rsidRPr="003103C8">
        <w:rPr>
          <w:rFonts w:asciiTheme="minorHAnsi" w:hAnsiTheme="minorHAnsi" w:cstheme="minorHAnsi"/>
          <w:lang w:val="en-US" w:bidi="th-TH"/>
        </w:rPr>
        <w:t>; and d=1.04 THIS WAY UP). Specifically, therapist-supported treatment produced reductions in psychological distress and other symptoms</w:t>
      </w:r>
      <w:r w:rsidR="008E6DDD" w:rsidRPr="003103C8">
        <w:rPr>
          <w:rFonts w:asciiTheme="minorHAnsi" w:hAnsiTheme="minorHAnsi" w:cstheme="minorHAnsi"/>
          <w:lang w:val="en-US" w:bidi="th-TH"/>
        </w:rPr>
        <w:t>,</w:t>
      </w:r>
      <w:r w:rsidRPr="003103C8">
        <w:rPr>
          <w:rFonts w:asciiTheme="minorHAnsi" w:hAnsiTheme="minorHAnsi" w:cstheme="minorHAnsi"/>
          <w:lang w:val="en-US" w:bidi="th-TH"/>
        </w:rPr>
        <w:t xml:space="preserve"> including OCD, PTSD, panic disorder, GAD, social anxiety disorder and depression. T</w:t>
      </w:r>
      <w:proofErr w:type="spellStart"/>
      <w:r w:rsidRPr="003103C8">
        <w:rPr>
          <w:rFonts w:asciiTheme="minorHAnsi" w:hAnsiTheme="minorHAnsi" w:cstheme="minorHAnsi"/>
        </w:rPr>
        <w:t>hese</w:t>
      </w:r>
      <w:proofErr w:type="spellEnd"/>
      <w:r w:rsidRPr="003103C8">
        <w:rPr>
          <w:rFonts w:asciiTheme="minorHAnsi" w:hAnsiTheme="minorHAnsi" w:cstheme="minorHAnsi"/>
        </w:rPr>
        <w:t xml:space="preserve"> positive findings are consistent across different demographic characteristics, including young and older adults, people born overseas, and Indigenous peoples. </w:t>
      </w:r>
      <w:r w:rsidRPr="003103C8">
        <w:rPr>
          <w:rFonts w:asciiTheme="minorHAnsi" w:hAnsiTheme="minorHAnsi" w:cstheme="minorHAnsi"/>
          <w:lang w:val="en-US" w:bidi="th-TH"/>
        </w:rPr>
        <w:t>Therapist-supported treatment by DMHSs also produced positive outcomes on quality of life, functioning (as assessed by days out role) and disability, but the effects on these domains w</w:t>
      </w:r>
      <w:r w:rsidR="00485FD5" w:rsidRPr="003103C8">
        <w:rPr>
          <w:rFonts w:asciiTheme="minorHAnsi" w:hAnsiTheme="minorHAnsi" w:cstheme="minorHAnsi"/>
          <w:lang w:val="en-US" w:bidi="th-TH"/>
        </w:rPr>
        <w:t>ere</w:t>
      </w:r>
      <w:r w:rsidRPr="003103C8">
        <w:rPr>
          <w:rFonts w:asciiTheme="minorHAnsi" w:hAnsiTheme="minorHAnsi" w:cstheme="minorHAnsi"/>
          <w:lang w:val="en-US" w:bidi="th-TH"/>
        </w:rPr>
        <w:t xml:space="preserve"> smaller (e.g., d=0.12, 0.35 and 0.48, respectively).</w:t>
      </w:r>
    </w:p>
    <w:p w14:paraId="4EF567DA" w14:textId="090FA2F8" w:rsidR="000507F9" w:rsidRDefault="000507F9" w:rsidP="00CF6EF3">
      <w:pPr>
        <w:pStyle w:val="ANorm"/>
        <w:sectPr w:rsidR="000507F9" w:rsidSect="001E1869">
          <w:pgSz w:w="11906" w:h="16838"/>
          <w:pgMar w:top="1440" w:right="1080" w:bottom="1440" w:left="1080" w:header="708" w:footer="708" w:gutter="0"/>
          <w:cols w:space="708"/>
          <w:docGrid w:linePitch="360"/>
        </w:sectPr>
      </w:pPr>
    </w:p>
    <w:p w14:paraId="53D08B12" w14:textId="06957764" w:rsidR="008136BF" w:rsidRDefault="00157BF4" w:rsidP="005A16C4">
      <w:pPr>
        <w:pStyle w:val="Heading1"/>
        <w:numPr>
          <w:ilvl w:val="0"/>
          <w:numId w:val="165"/>
        </w:numPr>
        <w:rPr>
          <w:lang w:eastAsia="en-AU"/>
        </w:rPr>
      </w:pPr>
      <w:bookmarkStart w:id="145" w:name="_Toc108784853"/>
      <w:r>
        <w:lastRenderedPageBreak/>
        <w:t>S</w:t>
      </w:r>
      <w:r w:rsidR="00C97C3C" w:rsidRPr="00A467D9">
        <w:t>takeholder</w:t>
      </w:r>
      <w:r w:rsidR="00C97C3C" w:rsidRPr="00AA6B28">
        <w:t xml:space="preserve"> experiences</w:t>
      </w:r>
      <w:r w:rsidR="00EC0A98" w:rsidRPr="00AA6B28">
        <w:t>: Consumers</w:t>
      </w:r>
      <w:r w:rsidR="0049567F" w:rsidRPr="00AA6B28">
        <w:t xml:space="preserve"> of DMHSs</w:t>
      </w:r>
      <w:bookmarkEnd w:id="145"/>
    </w:p>
    <w:p w14:paraId="111F18CC" w14:textId="5A0A2F97" w:rsidR="007D175D" w:rsidRPr="000555CA" w:rsidRDefault="007D175D" w:rsidP="005A16C4">
      <w:pPr>
        <w:pStyle w:val="Heading2"/>
        <w:numPr>
          <w:ilvl w:val="1"/>
          <w:numId w:val="168"/>
        </w:numPr>
        <w:rPr>
          <w:lang w:eastAsia="en-AU"/>
        </w:rPr>
      </w:pPr>
      <w:bookmarkStart w:id="146" w:name="_Toc108784854"/>
      <w:r w:rsidRPr="00864D13">
        <w:t>Our</w:t>
      </w:r>
      <w:r w:rsidRPr="000555CA">
        <w:rPr>
          <w:lang w:eastAsia="en-AU"/>
        </w:rPr>
        <w:t xml:space="preserve"> </w:t>
      </w:r>
      <w:r w:rsidRPr="004B6F01">
        <w:t>approach</w:t>
      </w:r>
      <w:bookmarkEnd w:id="146"/>
    </w:p>
    <w:p w14:paraId="71070201" w14:textId="78441312" w:rsidR="007D175D" w:rsidRPr="007D175D" w:rsidRDefault="007D175D" w:rsidP="00EF1CDC">
      <w:pPr>
        <w:spacing w:after="240"/>
        <w:textAlignment w:val="baseline"/>
        <w:rPr>
          <w:rFonts w:asciiTheme="minorHAnsi" w:hAnsiTheme="minorHAnsi" w:cstheme="minorHAnsi"/>
          <w:sz w:val="21"/>
          <w:szCs w:val="21"/>
          <w:lang w:eastAsia="en-AU"/>
        </w:rPr>
      </w:pPr>
      <w:r w:rsidRPr="007D175D">
        <w:rPr>
          <w:rFonts w:asciiTheme="minorHAnsi" w:hAnsiTheme="minorHAnsi" w:cstheme="minorHAnsi"/>
          <w:color w:val="000000"/>
          <w:sz w:val="21"/>
          <w:szCs w:val="21"/>
          <w:lang w:eastAsia="en-AU"/>
        </w:rPr>
        <w:t>We consulted with consumers accessing DMHSs via purpose-designed online surveys and interviews from December 2021 to March 2022. The survey took approximately 20 minutes to complete. We asked closed and open-ended questions and elicited demographic information in the survey. At the end of the survey, consumers were invited to expand on their thoughts through a telephone interview. DMHSs acted as intermediaries by recruiting consumers on our behalf</w:t>
      </w:r>
      <w:r w:rsidR="00E01F19">
        <w:rPr>
          <w:rFonts w:asciiTheme="minorHAnsi" w:hAnsiTheme="minorHAnsi" w:cstheme="minorHAnsi"/>
          <w:color w:val="000000"/>
          <w:sz w:val="21"/>
          <w:szCs w:val="21"/>
          <w:lang w:eastAsia="en-AU"/>
        </w:rPr>
        <w:t>,</w:t>
      </w:r>
      <w:r w:rsidR="00B342B8">
        <w:rPr>
          <w:rFonts w:asciiTheme="minorHAnsi" w:hAnsiTheme="minorHAnsi" w:cstheme="minorHAnsi"/>
          <w:color w:val="000000"/>
          <w:sz w:val="21"/>
          <w:szCs w:val="21"/>
          <w:lang w:eastAsia="en-AU"/>
        </w:rPr>
        <w:t xml:space="preserve"> and</w:t>
      </w:r>
      <w:r w:rsidR="005B27E9">
        <w:rPr>
          <w:rFonts w:asciiTheme="minorHAnsi" w:hAnsiTheme="minorHAnsi" w:cstheme="minorHAnsi"/>
          <w:color w:val="000000"/>
          <w:sz w:val="21"/>
          <w:szCs w:val="21"/>
          <w:lang w:eastAsia="en-AU"/>
        </w:rPr>
        <w:t xml:space="preserve"> we sent each DMHS a unique link for their consumers to access the online survey</w:t>
      </w:r>
      <w:r w:rsidRPr="007D175D">
        <w:rPr>
          <w:rFonts w:asciiTheme="minorHAnsi" w:hAnsiTheme="minorHAnsi" w:cstheme="minorHAnsi"/>
          <w:color w:val="000000"/>
          <w:sz w:val="21"/>
          <w:szCs w:val="21"/>
          <w:lang w:eastAsia="en-AU"/>
        </w:rPr>
        <w:t>. Appendix B provides more details about our processes for consulting with consumers. Survey and interview questions are in Appendix D.</w:t>
      </w:r>
    </w:p>
    <w:p w14:paraId="6F06DFA3" w14:textId="71CCDDF4" w:rsidR="0061296F" w:rsidRDefault="007D175D" w:rsidP="000A7AB8">
      <w:pPr>
        <w:pStyle w:val="Heading2"/>
        <w:rPr>
          <w:lang w:eastAsia="en-AU"/>
        </w:rPr>
      </w:pPr>
      <w:bookmarkStart w:id="147" w:name="_Toc108784855"/>
      <w:r w:rsidRPr="000A7AB8">
        <w:t>Characteristics</w:t>
      </w:r>
      <w:r w:rsidRPr="007D175D">
        <w:rPr>
          <w:lang w:eastAsia="en-AU"/>
        </w:rPr>
        <w:t xml:space="preserve"> of DMHS consumer</w:t>
      </w:r>
      <w:r w:rsidR="000C3C1E">
        <w:rPr>
          <w:lang w:eastAsia="en-AU"/>
        </w:rPr>
        <w:t xml:space="preserve"> survey and interview participants</w:t>
      </w:r>
      <w:bookmarkEnd w:id="147"/>
    </w:p>
    <w:p w14:paraId="5EC53AD6" w14:textId="77777777" w:rsidR="00B914C4" w:rsidRPr="00B914C4" w:rsidRDefault="00B914C4" w:rsidP="00B914C4">
      <w:pPr>
        <w:pStyle w:val="ListParagraph"/>
        <w:numPr>
          <w:ilvl w:val="0"/>
          <w:numId w:val="146"/>
        </w:numPr>
        <w:spacing w:after="120"/>
        <w:contextualSpacing w:val="0"/>
        <w:outlineLvl w:val="2"/>
        <w:rPr>
          <w:b/>
          <w:bCs/>
          <w:vanish/>
          <w:color w:val="2F5496" w:themeColor="accent1" w:themeShade="BF"/>
          <w:sz w:val="24"/>
          <w:szCs w:val="24"/>
          <w:lang w:eastAsia="en-AU"/>
        </w:rPr>
      </w:pPr>
    </w:p>
    <w:p w14:paraId="74D15772" w14:textId="77777777" w:rsidR="00B914C4" w:rsidRPr="00B914C4" w:rsidRDefault="00B914C4" w:rsidP="00B914C4">
      <w:pPr>
        <w:pStyle w:val="ListParagraph"/>
        <w:numPr>
          <w:ilvl w:val="1"/>
          <w:numId w:val="146"/>
        </w:numPr>
        <w:spacing w:after="120"/>
        <w:contextualSpacing w:val="0"/>
        <w:outlineLvl w:val="2"/>
        <w:rPr>
          <w:b/>
          <w:bCs/>
          <w:vanish/>
          <w:color w:val="2F5496" w:themeColor="accent1" w:themeShade="BF"/>
          <w:sz w:val="24"/>
          <w:szCs w:val="24"/>
          <w:lang w:eastAsia="en-AU"/>
        </w:rPr>
      </w:pPr>
    </w:p>
    <w:p w14:paraId="1AD9AE5F" w14:textId="77777777" w:rsidR="00B914C4" w:rsidRPr="00B914C4" w:rsidRDefault="00B914C4" w:rsidP="00B914C4">
      <w:pPr>
        <w:pStyle w:val="ListParagraph"/>
        <w:numPr>
          <w:ilvl w:val="1"/>
          <w:numId w:val="146"/>
        </w:numPr>
        <w:spacing w:after="120"/>
        <w:contextualSpacing w:val="0"/>
        <w:outlineLvl w:val="2"/>
        <w:rPr>
          <w:b/>
          <w:bCs/>
          <w:vanish/>
          <w:color w:val="2F5496" w:themeColor="accent1" w:themeShade="BF"/>
          <w:sz w:val="24"/>
          <w:szCs w:val="24"/>
          <w:lang w:eastAsia="en-AU"/>
        </w:rPr>
      </w:pPr>
    </w:p>
    <w:p w14:paraId="34E4CD89" w14:textId="1E14B111" w:rsidR="007D175D" w:rsidRPr="007D175D" w:rsidRDefault="000C3C1E" w:rsidP="00B914C4">
      <w:pPr>
        <w:pStyle w:val="Heading3"/>
        <w:rPr>
          <w:lang w:eastAsia="en-AU"/>
        </w:rPr>
      </w:pPr>
      <w:r>
        <w:rPr>
          <w:lang w:eastAsia="en-AU"/>
        </w:rPr>
        <w:t>Consumer s</w:t>
      </w:r>
      <w:r w:rsidR="007D175D" w:rsidRPr="007D175D">
        <w:rPr>
          <w:lang w:eastAsia="en-AU"/>
        </w:rPr>
        <w:t>urvey respondents</w:t>
      </w:r>
    </w:p>
    <w:p w14:paraId="48ADCD45" w14:textId="14C32EE9" w:rsidR="007D175D" w:rsidRPr="00D67D33" w:rsidRDefault="007D175D" w:rsidP="00EF1CDC">
      <w:pPr>
        <w:pStyle w:val="ANorm"/>
        <w:spacing w:after="240"/>
        <w:rPr>
          <w:rFonts w:ascii="Segoe UI" w:hAnsi="Segoe UI" w:cs="Segoe UI"/>
          <w:lang w:eastAsia="en-AU"/>
        </w:rPr>
      </w:pPr>
      <w:r w:rsidRPr="007D175D">
        <w:rPr>
          <w:lang w:val="en-US" w:eastAsia="en-AU"/>
        </w:rPr>
        <w:t xml:space="preserve">After data cleansing (see Appendix B), we included a total of 351 consumers who completed the consent process in our </w:t>
      </w:r>
      <w:r w:rsidRPr="00D67D33">
        <w:rPr>
          <w:lang w:val="en-US" w:eastAsia="en-AU"/>
        </w:rPr>
        <w:t xml:space="preserve">analyses. Most of these consumers (63%) had used THIS WAY UP; 29%, </w:t>
      </w:r>
      <w:proofErr w:type="spellStart"/>
      <w:r w:rsidRPr="00D67D33">
        <w:rPr>
          <w:lang w:val="en-US" w:eastAsia="en-AU"/>
        </w:rPr>
        <w:t>MindSpot</w:t>
      </w:r>
      <w:proofErr w:type="spellEnd"/>
      <w:r w:rsidRPr="00D67D33">
        <w:rPr>
          <w:lang w:val="en-US" w:eastAsia="en-AU"/>
        </w:rPr>
        <w:t xml:space="preserve">; and 9%, Mental Health </w:t>
      </w:r>
      <w:r w:rsidRPr="00D727D9">
        <w:rPr>
          <w:lang w:val="en-US" w:eastAsia="en-AU"/>
        </w:rPr>
        <w:t xml:space="preserve">Online. </w:t>
      </w:r>
      <w:r w:rsidRPr="00D727D9">
        <w:rPr>
          <w:lang w:eastAsia="en-AU"/>
        </w:rPr>
        <w:t xml:space="preserve">Table </w:t>
      </w:r>
      <w:r w:rsidR="00D67D33" w:rsidRPr="00D727D9">
        <w:rPr>
          <w:lang w:eastAsia="en-AU"/>
        </w:rPr>
        <w:t>23</w:t>
      </w:r>
      <w:r w:rsidRPr="00D727D9">
        <w:rPr>
          <w:lang w:eastAsia="en-AU"/>
        </w:rPr>
        <w:t xml:space="preserve"> describes</w:t>
      </w:r>
      <w:r w:rsidRPr="00D67D33">
        <w:rPr>
          <w:lang w:eastAsia="en-AU"/>
        </w:rPr>
        <w:t xml:space="preserve"> their socio-demographic characteristics and internet access. Most consumers across DMHSs were female (73%), under the age of 50 years (75%) and, except for Mental Health Online consumers, resided in New South Wales (NSW). Mental Health Online consumers </w:t>
      </w:r>
      <w:proofErr w:type="gramStart"/>
      <w:r w:rsidRPr="00D67D33">
        <w:rPr>
          <w:lang w:eastAsia="en-AU"/>
        </w:rPr>
        <w:t>most commonly lived</w:t>
      </w:r>
      <w:proofErr w:type="gramEnd"/>
      <w:r w:rsidRPr="00D67D33">
        <w:rPr>
          <w:lang w:eastAsia="en-AU"/>
        </w:rPr>
        <w:t xml:space="preserve"> in Victoria. Consumers primarily used the National Broadband Network to access the internet.</w:t>
      </w:r>
    </w:p>
    <w:p w14:paraId="06C9659C" w14:textId="77777777" w:rsidR="003A6BBD" w:rsidRDefault="003A6BBD">
      <w:pPr>
        <w:rPr>
          <w:rFonts w:asciiTheme="minorHAnsi" w:eastAsiaTheme="majorEastAsia" w:hAnsiTheme="minorHAnsi" w:cstheme="minorHAnsi"/>
          <w:b/>
          <w:color w:val="000000" w:themeColor="text1"/>
          <w:sz w:val="21"/>
          <w:szCs w:val="21"/>
          <w:lang w:val="en-US" w:eastAsia="en-US"/>
        </w:rPr>
      </w:pPr>
      <w:r>
        <w:br w:type="page"/>
      </w:r>
    </w:p>
    <w:p w14:paraId="4EA8BB5D" w14:textId="15CF8FD7" w:rsidR="007D175D" w:rsidRPr="007D175D" w:rsidRDefault="007D175D" w:rsidP="00D67D33">
      <w:pPr>
        <w:pStyle w:val="tableheading"/>
        <w:rPr>
          <w:rFonts w:ascii="Segoe UI" w:hAnsi="Segoe UI" w:cs="Segoe UI"/>
          <w:sz w:val="18"/>
          <w:szCs w:val="18"/>
        </w:rPr>
      </w:pPr>
      <w:r w:rsidRPr="00D727D9">
        <w:lastRenderedPageBreak/>
        <w:t xml:space="preserve">Table </w:t>
      </w:r>
      <w:r w:rsidR="00D67D33" w:rsidRPr="00D727D9">
        <w:t>23</w:t>
      </w:r>
      <w:r w:rsidRPr="00D727D9">
        <w:t>.</w:t>
      </w:r>
      <w:r w:rsidRPr="00D67D33">
        <w:t xml:space="preserve"> DMHS consumer </w:t>
      </w:r>
      <w:r w:rsidR="00DC1DAC">
        <w:t xml:space="preserve">survey respondent </w:t>
      </w:r>
      <w:r w:rsidRPr="00D67D33">
        <w:t>characteristics and internet access, by service and overall</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DMHS consumer survey respondent characteristics and internet access, by service and overall"/>
        <w:tblDescription w:val="Table describes the consumer survey respondents' characteristics in terms of gender, age, indigenous status, state in which they reside and how the access they internet. "/>
      </w:tblPr>
      <w:tblGrid>
        <w:gridCol w:w="4074"/>
        <w:gridCol w:w="718"/>
        <w:gridCol w:w="701"/>
        <w:gridCol w:w="716"/>
        <w:gridCol w:w="701"/>
        <w:gridCol w:w="716"/>
        <w:gridCol w:w="701"/>
        <w:gridCol w:w="716"/>
        <w:gridCol w:w="687"/>
      </w:tblGrid>
      <w:tr w:rsidR="007D175D" w:rsidRPr="007D175D" w14:paraId="2094356D" w14:textId="77777777" w:rsidTr="009A2C7B">
        <w:trPr>
          <w:trHeight w:val="300"/>
          <w:tblHeader/>
        </w:trPr>
        <w:tc>
          <w:tcPr>
            <w:tcW w:w="2094" w:type="pct"/>
            <w:vMerge w:val="restart"/>
            <w:tcBorders>
              <w:top w:val="single" w:sz="6" w:space="0" w:color="000000"/>
              <w:left w:val="single" w:sz="6" w:space="0" w:color="000000"/>
              <w:bottom w:val="nil"/>
              <w:right w:val="nil"/>
            </w:tcBorders>
            <w:shd w:val="clear" w:color="auto" w:fill="000000"/>
            <w:vAlign w:val="center"/>
            <w:hideMark/>
          </w:tcPr>
          <w:p w14:paraId="3A28BCD2"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Characteristics </w:t>
            </w:r>
          </w:p>
        </w:tc>
        <w:tc>
          <w:tcPr>
            <w:tcW w:w="729" w:type="pct"/>
            <w:gridSpan w:val="2"/>
            <w:tcBorders>
              <w:top w:val="single" w:sz="6" w:space="0" w:color="000000"/>
              <w:left w:val="nil"/>
              <w:bottom w:val="nil"/>
              <w:right w:val="nil"/>
            </w:tcBorders>
            <w:shd w:val="clear" w:color="auto" w:fill="000000"/>
            <w:hideMark/>
          </w:tcPr>
          <w:p w14:paraId="47E09C8E"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MHO </w:t>
            </w:r>
          </w:p>
          <w:p w14:paraId="0EE2CC61"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(n=32) </w:t>
            </w:r>
          </w:p>
        </w:tc>
        <w:tc>
          <w:tcPr>
            <w:tcW w:w="728" w:type="pct"/>
            <w:gridSpan w:val="2"/>
            <w:tcBorders>
              <w:top w:val="single" w:sz="6" w:space="0" w:color="000000"/>
              <w:left w:val="nil"/>
              <w:bottom w:val="nil"/>
              <w:right w:val="nil"/>
            </w:tcBorders>
            <w:shd w:val="clear" w:color="auto" w:fill="000000"/>
            <w:hideMark/>
          </w:tcPr>
          <w:p w14:paraId="2DC76215"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MS </w:t>
            </w:r>
          </w:p>
          <w:p w14:paraId="550A85FC"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(n=100) </w:t>
            </w:r>
          </w:p>
        </w:tc>
        <w:tc>
          <w:tcPr>
            <w:tcW w:w="728" w:type="pct"/>
            <w:gridSpan w:val="2"/>
            <w:tcBorders>
              <w:top w:val="single" w:sz="6" w:space="0" w:color="000000"/>
              <w:left w:val="nil"/>
              <w:bottom w:val="nil"/>
              <w:right w:val="nil"/>
            </w:tcBorders>
            <w:shd w:val="clear" w:color="auto" w:fill="000000"/>
            <w:hideMark/>
          </w:tcPr>
          <w:p w14:paraId="0FC303E5"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TWU </w:t>
            </w:r>
          </w:p>
          <w:p w14:paraId="47791885"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(n=219) </w:t>
            </w:r>
          </w:p>
        </w:tc>
        <w:tc>
          <w:tcPr>
            <w:tcW w:w="721" w:type="pct"/>
            <w:gridSpan w:val="2"/>
            <w:tcBorders>
              <w:top w:val="single" w:sz="6" w:space="0" w:color="000000"/>
              <w:left w:val="nil"/>
              <w:bottom w:val="nil"/>
              <w:right w:val="single" w:sz="6" w:space="0" w:color="000000"/>
            </w:tcBorders>
            <w:shd w:val="clear" w:color="auto" w:fill="000000"/>
            <w:hideMark/>
          </w:tcPr>
          <w:p w14:paraId="0BAE863A"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Total </w:t>
            </w:r>
          </w:p>
          <w:p w14:paraId="416025BA"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 351) </w:t>
            </w:r>
          </w:p>
        </w:tc>
      </w:tr>
      <w:tr w:rsidR="009A2C7B" w:rsidRPr="007D175D" w14:paraId="34EBD3FD" w14:textId="77777777" w:rsidTr="009A2C7B">
        <w:trPr>
          <w:trHeight w:val="120"/>
          <w:tblHeader/>
        </w:trPr>
        <w:tc>
          <w:tcPr>
            <w:tcW w:w="2094" w:type="pct"/>
            <w:vMerge/>
            <w:tcBorders>
              <w:top w:val="single" w:sz="6" w:space="0" w:color="000000"/>
              <w:left w:val="single" w:sz="6" w:space="0" w:color="000000"/>
              <w:bottom w:val="nil"/>
              <w:right w:val="nil"/>
            </w:tcBorders>
            <w:shd w:val="clear" w:color="auto" w:fill="auto"/>
            <w:vAlign w:val="center"/>
            <w:hideMark/>
          </w:tcPr>
          <w:p w14:paraId="70D25CCE" w14:textId="77777777" w:rsidR="007D175D" w:rsidRPr="007D175D" w:rsidRDefault="007D175D" w:rsidP="007D175D">
            <w:pPr>
              <w:rPr>
                <w:rFonts w:asciiTheme="minorHAnsi" w:hAnsiTheme="minorHAnsi" w:cstheme="minorHAnsi"/>
                <w:b/>
                <w:bCs/>
                <w:color w:val="FFFFFF"/>
                <w:sz w:val="18"/>
                <w:szCs w:val="18"/>
                <w:lang w:eastAsia="en-AU"/>
              </w:rPr>
            </w:pPr>
          </w:p>
        </w:tc>
        <w:tc>
          <w:tcPr>
            <w:tcW w:w="369" w:type="pct"/>
            <w:tcBorders>
              <w:top w:val="single" w:sz="6" w:space="0" w:color="000000"/>
              <w:left w:val="nil"/>
              <w:bottom w:val="single" w:sz="6" w:space="0" w:color="000000"/>
              <w:right w:val="nil"/>
            </w:tcBorders>
            <w:shd w:val="clear" w:color="auto" w:fill="000000"/>
            <w:hideMark/>
          </w:tcPr>
          <w:p w14:paraId="513F2C3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 </w:t>
            </w:r>
          </w:p>
        </w:tc>
        <w:tc>
          <w:tcPr>
            <w:tcW w:w="360" w:type="pct"/>
            <w:tcBorders>
              <w:top w:val="single" w:sz="6" w:space="0" w:color="000000"/>
              <w:left w:val="nil"/>
              <w:bottom w:val="single" w:sz="6" w:space="0" w:color="000000"/>
              <w:right w:val="nil"/>
            </w:tcBorders>
            <w:shd w:val="clear" w:color="auto" w:fill="000000"/>
            <w:hideMark/>
          </w:tcPr>
          <w:p w14:paraId="7F91257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 </w:t>
            </w:r>
          </w:p>
        </w:tc>
        <w:tc>
          <w:tcPr>
            <w:tcW w:w="368" w:type="pct"/>
            <w:tcBorders>
              <w:top w:val="single" w:sz="6" w:space="0" w:color="000000"/>
              <w:left w:val="nil"/>
              <w:bottom w:val="single" w:sz="6" w:space="0" w:color="000000"/>
              <w:right w:val="nil"/>
            </w:tcBorders>
            <w:shd w:val="clear" w:color="auto" w:fill="000000"/>
            <w:hideMark/>
          </w:tcPr>
          <w:p w14:paraId="7E56D8A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 </w:t>
            </w:r>
          </w:p>
        </w:tc>
        <w:tc>
          <w:tcPr>
            <w:tcW w:w="360" w:type="pct"/>
            <w:tcBorders>
              <w:top w:val="single" w:sz="6" w:space="0" w:color="000000"/>
              <w:left w:val="nil"/>
              <w:bottom w:val="single" w:sz="6" w:space="0" w:color="000000"/>
              <w:right w:val="nil"/>
            </w:tcBorders>
            <w:shd w:val="clear" w:color="auto" w:fill="000000"/>
            <w:hideMark/>
          </w:tcPr>
          <w:p w14:paraId="64C2BF9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 </w:t>
            </w:r>
          </w:p>
        </w:tc>
        <w:tc>
          <w:tcPr>
            <w:tcW w:w="368" w:type="pct"/>
            <w:tcBorders>
              <w:top w:val="single" w:sz="6" w:space="0" w:color="000000"/>
              <w:left w:val="nil"/>
              <w:bottom w:val="single" w:sz="6" w:space="0" w:color="000000"/>
              <w:right w:val="nil"/>
            </w:tcBorders>
            <w:shd w:val="clear" w:color="auto" w:fill="000000"/>
            <w:hideMark/>
          </w:tcPr>
          <w:p w14:paraId="1E3D930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 </w:t>
            </w:r>
          </w:p>
        </w:tc>
        <w:tc>
          <w:tcPr>
            <w:tcW w:w="360" w:type="pct"/>
            <w:tcBorders>
              <w:top w:val="single" w:sz="6" w:space="0" w:color="000000"/>
              <w:left w:val="nil"/>
              <w:bottom w:val="single" w:sz="6" w:space="0" w:color="000000"/>
              <w:right w:val="nil"/>
            </w:tcBorders>
            <w:shd w:val="clear" w:color="auto" w:fill="000000"/>
            <w:hideMark/>
          </w:tcPr>
          <w:p w14:paraId="3B3E0E5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 </w:t>
            </w:r>
          </w:p>
        </w:tc>
        <w:tc>
          <w:tcPr>
            <w:tcW w:w="368" w:type="pct"/>
            <w:tcBorders>
              <w:top w:val="single" w:sz="6" w:space="0" w:color="000000"/>
              <w:left w:val="nil"/>
              <w:bottom w:val="single" w:sz="6" w:space="0" w:color="000000"/>
              <w:right w:val="nil"/>
            </w:tcBorders>
            <w:shd w:val="clear" w:color="auto" w:fill="000000"/>
            <w:hideMark/>
          </w:tcPr>
          <w:p w14:paraId="56BA070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 </w:t>
            </w:r>
          </w:p>
        </w:tc>
        <w:tc>
          <w:tcPr>
            <w:tcW w:w="353" w:type="pct"/>
            <w:tcBorders>
              <w:top w:val="single" w:sz="6" w:space="0" w:color="000000"/>
              <w:left w:val="nil"/>
              <w:bottom w:val="single" w:sz="6" w:space="0" w:color="000000"/>
              <w:right w:val="single" w:sz="6" w:space="0" w:color="000000"/>
            </w:tcBorders>
            <w:shd w:val="clear" w:color="auto" w:fill="000000"/>
            <w:hideMark/>
          </w:tcPr>
          <w:p w14:paraId="39ACCAC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 </w:t>
            </w:r>
          </w:p>
        </w:tc>
      </w:tr>
      <w:tr w:rsidR="007D175D" w:rsidRPr="007D175D" w14:paraId="0031325B" w14:textId="77777777" w:rsidTr="009A2C7B">
        <w:trPr>
          <w:trHeight w:val="881"/>
        </w:trPr>
        <w:tc>
          <w:tcPr>
            <w:tcW w:w="2094" w:type="pct"/>
            <w:tcBorders>
              <w:top w:val="nil"/>
              <w:left w:val="single" w:sz="6" w:space="0" w:color="000000"/>
              <w:bottom w:val="nil"/>
              <w:right w:val="nil"/>
            </w:tcBorders>
            <w:shd w:val="clear" w:color="auto" w:fill="auto"/>
            <w:hideMark/>
          </w:tcPr>
          <w:p w14:paraId="56306461" w14:textId="62672C80"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Gender</w:t>
            </w:r>
          </w:p>
          <w:p w14:paraId="1987C46B" w14:textId="2B230C0F"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Female</w:t>
            </w:r>
          </w:p>
          <w:p w14:paraId="0886F4EC" w14:textId="7A9261F4"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Male</w:t>
            </w:r>
          </w:p>
          <w:p w14:paraId="3C6EB01E" w14:textId="5CC4CAEB"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I do not identify with either term</w:t>
            </w:r>
          </w:p>
        </w:tc>
        <w:tc>
          <w:tcPr>
            <w:tcW w:w="369" w:type="pct"/>
            <w:tcBorders>
              <w:top w:val="nil"/>
              <w:left w:val="nil"/>
              <w:bottom w:val="nil"/>
              <w:right w:val="nil"/>
            </w:tcBorders>
            <w:shd w:val="clear" w:color="auto" w:fill="auto"/>
            <w:hideMark/>
          </w:tcPr>
          <w:p w14:paraId="7D67331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B1F91B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26 </w:t>
            </w:r>
          </w:p>
          <w:p w14:paraId="0525A7F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10A8A4A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w:t>
            </w:r>
          </w:p>
        </w:tc>
        <w:tc>
          <w:tcPr>
            <w:tcW w:w="360" w:type="pct"/>
            <w:tcBorders>
              <w:top w:val="nil"/>
              <w:left w:val="nil"/>
              <w:bottom w:val="nil"/>
              <w:right w:val="nil"/>
            </w:tcBorders>
            <w:shd w:val="clear" w:color="auto" w:fill="auto"/>
            <w:hideMark/>
          </w:tcPr>
          <w:p w14:paraId="30C0E41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2FC4A1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81 </w:t>
            </w:r>
          </w:p>
          <w:p w14:paraId="53B3EDA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16 </w:t>
            </w:r>
          </w:p>
          <w:p w14:paraId="38B05B8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w:t>
            </w:r>
          </w:p>
        </w:tc>
        <w:tc>
          <w:tcPr>
            <w:tcW w:w="368" w:type="pct"/>
            <w:tcBorders>
              <w:top w:val="nil"/>
              <w:left w:val="nil"/>
              <w:bottom w:val="nil"/>
              <w:right w:val="nil"/>
            </w:tcBorders>
            <w:shd w:val="clear" w:color="auto" w:fill="auto"/>
            <w:hideMark/>
          </w:tcPr>
          <w:p w14:paraId="60B5528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72B7C6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68 </w:t>
            </w:r>
          </w:p>
          <w:p w14:paraId="4A513FB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32 </w:t>
            </w:r>
          </w:p>
          <w:p w14:paraId="2A05E1F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w:t>
            </w:r>
          </w:p>
        </w:tc>
        <w:tc>
          <w:tcPr>
            <w:tcW w:w="360" w:type="pct"/>
            <w:tcBorders>
              <w:top w:val="nil"/>
              <w:left w:val="nil"/>
              <w:bottom w:val="nil"/>
              <w:right w:val="nil"/>
            </w:tcBorders>
            <w:shd w:val="clear" w:color="auto" w:fill="auto"/>
            <w:hideMark/>
          </w:tcPr>
          <w:p w14:paraId="3EBB7B9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980C05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68 </w:t>
            </w:r>
          </w:p>
          <w:p w14:paraId="1B5FD92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32 </w:t>
            </w:r>
          </w:p>
          <w:p w14:paraId="471B215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368" w:type="pct"/>
            <w:tcBorders>
              <w:top w:val="nil"/>
              <w:left w:val="nil"/>
              <w:bottom w:val="nil"/>
              <w:right w:val="nil"/>
            </w:tcBorders>
            <w:shd w:val="clear" w:color="auto" w:fill="auto"/>
            <w:hideMark/>
          </w:tcPr>
          <w:p w14:paraId="76DB9EF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26F1E3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161 </w:t>
            </w:r>
          </w:p>
          <w:p w14:paraId="5BE6D06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56 </w:t>
            </w:r>
          </w:p>
          <w:p w14:paraId="40D6415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w:t>
            </w:r>
          </w:p>
        </w:tc>
        <w:tc>
          <w:tcPr>
            <w:tcW w:w="360" w:type="pct"/>
            <w:tcBorders>
              <w:top w:val="nil"/>
              <w:left w:val="nil"/>
              <w:bottom w:val="nil"/>
              <w:right w:val="nil"/>
            </w:tcBorders>
            <w:shd w:val="clear" w:color="auto" w:fill="auto"/>
            <w:hideMark/>
          </w:tcPr>
          <w:p w14:paraId="7695370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56C65D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74</w:t>
            </w:r>
          </w:p>
          <w:p w14:paraId="3A8B33A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26 </w:t>
            </w:r>
          </w:p>
          <w:p w14:paraId="094A86D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w:t>
            </w:r>
          </w:p>
        </w:tc>
        <w:tc>
          <w:tcPr>
            <w:tcW w:w="368" w:type="pct"/>
            <w:tcBorders>
              <w:top w:val="nil"/>
              <w:left w:val="nil"/>
              <w:bottom w:val="nil"/>
              <w:right w:val="nil"/>
            </w:tcBorders>
            <w:shd w:val="clear" w:color="auto" w:fill="auto"/>
            <w:hideMark/>
          </w:tcPr>
          <w:p w14:paraId="0B2467F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EB416A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255 </w:t>
            </w:r>
          </w:p>
          <w:p w14:paraId="2DD54AC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93 </w:t>
            </w:r>
          </w:p>
          <w:p w14:paraId="6AA171E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tc>
        <w:tc>
          <w:tcPr>
            <w:tcW w:w="353" w:type="pct"/>
            <w:tcBorders>
              <w:top w:val="nil"/>
              <w:left w:val="nil"/>
              <w:bottom w:val="nil"/>
              <w:right w:val="single" w:sz="6" w:space="0" w:color="000000"/>
            </w:tcBorders>
            <w:shd w:val="clear" w:color="auto" w:fill="auto"/>
            <w:hideMark/>
          </w:tcPr>
          <w:p w14:paraId="4E9C8A8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67C544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73 </w:t>
            </w:r>
          </w:p>
          <w:p w14:paraId="4ABA412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26 </w:t>
            </w:r>
          </w:p>
          <w:p w14:paraId="666307D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r>
      <w:tr w:rsidR="007D175D" w:rsidRPr="007D175D" w14:paraId="3114A01E" w14:textId="77777777" w:rsidTr="009A2C7B">
        <w:trPr>
          <w:trHeight w:val="2198"/>
        </w:trPr>
        <w:tc>
          <w:tcPr>
            <w:tcW w:w="2094" w:type="pct"/>
            <w:tcBorders>
              <w:top w:val="single" w:sz="6" w:space="0" w:color="000000"/>
              <w:left w:val="single" w:sz="6" w:space="0" w:color="000000"/>
              <w:bottom w:val="single" w:sz="6" w:space="0" w:color="auto"/>
              <w:right w:val="nil"/>
            </w:tcBorders>
            <w:shd w:val="clear" w:color="auto" w:fill="auto"/>
            <w:hideMark/>
          </w:tcPr>
          <w:p w14:paraId="7A657FB5"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Age </w:t>
            </w:r>
          </w:p>
          <w:p w14:paraId="22E13ADE"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16-17 years</w:t>
            </w:r>
            <w:r w:rsidRPr="007D175D">
              <w:rPr>
                <w:rFonts w:asciiTheme="minorHAnsi" w:hAnsiTheme="minorHAnsi" w:cstheme="minorHAnsi"/>
                <w:b/>
                <w:bCs/>
                <w:color w:val="000000"/>
                <w:sz w:val="18"/>
                <w:szCs w:val="18"/>
                <w:lang w:eastAsia="en-AU"/>
              </w:rPr>
              <w:t> </w:t>
            </w:r>
          </w:p>
          <w:p w14:paraId="359C1F1B"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18-19 years</w:t>
            </w:r>
            <w:r w:rsidRPr="007D175D">
              <w:rPr>
                <w:rFonts w:asciiTheme="minorHAnsi" w:hAnsiTheme="minorHAnsi" w:cstheme="minorHAnsi"/>
                <w:b/>
                <w:bCs/>
                <w:color w:val="000000"/>
                <w:sz w:val="18"/>
                <w:szCs w:val="18"/>
                <w:lang w:eastAsia="en-AU"/>
              </w:rPr>
              <w:t> </w:t>
            </w:r>
          </w:p>
          <w:p w14:paraId="41621B16"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20-29 years</w:t>
            </w:r>
            <w:r w:rsidRPr="007D175D">
              <w:rPr>
                <w:rFonts w:asciiTheme="minorHAnsi" w:hAnsiTheme="minorHAnsi" w:cstheme="minorHAnsi"/>
                <w:b/>
                <w:bCs/>
                <w:color w:val="000000"/>
                <w:sz w:val="18"/>
                <w:szCs w:val="18"/>
                <w:lang w:eastAsia="en-AU"/>
              </w:rPr>
              <w:t> </w:t>
            </w:r>
          </w:p>
          <w:p w14:paraId="6BB5F162"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30-39 years</w:t>
            </w:r>
            <w:r w:rsidRPr="007D175D">
              <w:rPr>
                <w:rFonts w:asciiTheme="minorHAnsi" w:hAnsiTheme="minorHAnsi" w:cstheme="minorHAnsi"/>
                <w:b/>
                <w:bCs/>
                <w:color w:val="000000"/>
                <w:sz w:val="18"/>
                <w:szCs w:val="18"/>
                <w:lang w:eastAsia="en-AU"/>
              </w:rPr>
              <w:t> </w:t>
            </w:r>
          </w:p>
          <w:p w14:paraId="3DFA2700"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40-49 years</w:t>
            </w:r>
            <w:r w:rsidRPr="007D175D">
              <w:rPr>
                <w:rFonts w:asciiTheme="minorHAnsi" w:hAnsiTheme="minorHAnsi" w:cstheme="minorHAnsi"/>
                <w:b/>
                <w:bCs/>
                <w:color w:val="000000"/>
                <w:sz w:val="18"/>
                <w:szCs w:val="18"/>
                <w:lang w:eastAsia="en-AU"/>
              </w:rPr>
              <w:t> </w:t>
            </w:r>
          </w:p>
          <w:p w14:paraId="40B70224"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50-59 years</w:t>
            </w:r>
            <w:r w:rsidRPr="007D175D">
              <w:rPr>
                <w:rFonts w:asciiTheme="minorHAnsi" w:hAnsiTheme="minorHAnsi" w:cstheme="minorHAnsi"/>
                <w:b/>
                <w:bCs/>
                <w:color w:val="000000"/>
                <w:sz w:val="18"/>
                <w:szCs w:val="18"/>
                <w:lang w:eastAsia="en-AU"/>
              </w:rPr>
              <w:t> </w:t>
            </w:r>
          </w:p>
          <w:p w14:paraId="47DA026F"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60-69 years</w:t>
            </w:r>
            <w:r w:rsidRPr="007D175D">
              <w:rPr>
                <w:rFonts w:asciiTheme="minorHAnsi" w:hAnsiTheme="minorHAnsi" w:cstheme="minorHAnsi"/>
                <w:b/>
                <w:bCs/>
                <w:color w:val="000000"/>
                <w:sz w:val="18"/>
                <w:szCs w:val="18"/>
                <w:lang w:eastAsia="en-AU"/>
              </w:rPr>
              <w:t> </w:t>
            </w:r>
          </w:p>
          <w:p w14:paraId="119C309F"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70-79 years</w:t>
            </w:r>
            <w:r w:rsidRPr="007D175D">
              <w:rPr>
                <w:rFonts w:asciiTheme="minorHAnsi" w:hAnsiTheme="minorHAnsi" w:cstheme="minorHAnsi"/>
                <w:b/>
                <w:bCs/>
                <w:color w:val="000000"/>
                <w:sz w:val="18"/>
                <w:szCs w:val="18"/>
                <w:lang w:eastAsia="en-AU"/>
              </w:rPr>
              <w:t> </w:t>
            </w:r>
          </w:p>
          <w:p w14:paraId="30020480"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80 years or older</w:t>
            </w:r>
          </w:p>
        </w:tc>
        <w:tc>
          <w:tcPr>
            <w:tcW w:w="369" w:type="pct"/>
            <w:tcBorders>
              <w:top w:val="single" w:sz="6" w:space="0" w:color="000000"/>
              <w:left w:val="nil"/>
              <w:bottom w:val="single" w:sz="6" w:space="0" w:color="auto"/>
              <w:right w:val="nil"/>
            </w:tcBorders>
            <w:shd w:val="clear" w:color="auto" w:fill="auto"/>
            <w:hideMark/>
          </w:tcPr>
          <w:p w14:paraId="587379F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119EB6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3A692BA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6FBD9AC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57E8E6E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1CEF989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2EBEB7A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659905E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3A83F5D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7379FB4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w:t>
            </w:r>
          </w:p>
        </w:tc>
        <w:tc>
          <w:tcPr>
            <w:tcW w:w="360" w:type="pct"/>
            <w:tcBorders>
              <w:top w:val="single" w:sz="6" w:space="0" w:color="000000"/>
              <w:left w:val="nil"/>
              <w:bottom w:val="single" w:sz="6" w:space="0" w:color="auto"/>
              <w:right w:val="nil"/>
            </w:tcBorders>
            <w:shd w:val="clear" w:color="auto" w:fill="auto"/>
            <w:hideMark/>
          </w:tcPr>
          <w:p w14:paraId="29AB023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081671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1F5C355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2F774AF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34 </w:t>
            </w:r>
          </w:p>
          <w:p w14:paraId="0E83789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31 </w:t>
            </w:r>
          </w:p>
          <w:p w14:paraId="64B6F02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59290A0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1673596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623AC07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02F606C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w:t>
            </w:r>
          </w:p>
        </w:tc>
        <w:tc>
          <w:tcPr>
            <w:tcW w:w="368" w:type="pct"/>
            <w:tcBorders>
              <w:top w:val="single" w:sz="6" w:space="0" w:color="000000"/>
              <w:left w:val="nil"/>
              <w:bottom w:val="single" w:sz="6" w:space="0" w:color="auto"/>
              <w:right w:val="nil"/>
            </w:tcBorders>
            <w:shd w:val="clear" w:color="auto" w:fill="auto"/>
            <w:hideMark/>
          </w:tcPr>
          <w:p w14:paraId="336E8B3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2E0443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60A573B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4654A10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25 </w:t>
            </w:r>
          </w:p>
          <w:p w14:paraId="37B32F5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31 </w:t>
            </w:r>
          </w:p>
          <w:p w14:paraId="702BD83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20 </w:t>
            </w:r>
          </w:p>
          <w:p w14:paraId="5D13D93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14 </w:t>
            </w:r>
          </w:p>
          <w:p w14:paraId="5D80848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2668B9F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1AB3BFF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w:t>
            </w:r>
          </w:p>
        </w:tc>
        <w:tc>
          <w:tcPr>
            <w:tcW w:w="360" w:type="pct"/>
            <w:tcBorders>
              <w:top w:val="single" w:sz="6" w:space="0" w:color="000000"/>
              <w:left w:val="nil"/>
              <w:bottom w:val="single" w:sz="6" w:space="0" w:color="auto"/>
              <w:right w:val="nil"/>
            </w:tcBorders>
            <w:shd w:val="clear" w:color="auto" w:fill="auto"/>
            <w:hideMark/>
          </w:tcPr>
          <w:p w14:paraId="7CD7D17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E8B127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38519DB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2E1CD1B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25 </w:t>
            </w:r>
          </w:p>
          <w:p w14:paraId="22A56D7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31 </w:t>
            </w:r>
          </w:p>
          <w:p w14:paraId="3F64180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20 </w:t>
            </w:r>
          </w:p>
          <w:p w14:paraId="7DF9F90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14 </w:t>
            </w:r>
          </w:p>
          <w:p w14:paraId="79D2E4B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2A9C5D3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4BB053F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w:t>
            </w:r>
          </w:p>
        </w:tc>
        <w:tc>
          <w:tcPr>
            <w:tcW w:w="368" w:type="pct"/>
            <w:tcBorders>
              <w:top w:val="single" w:sz="6" w:space="0" w:color="000000"/>
              <w:left w:val="nil"/>
              <w:bottom w:val="single" w:sz="6" w:space="0" w:color="auto"/>
              <w:right w:val="nil"/>
            </w:tcBorders>
            <w:shd w:val="clear" w:color="auto" w:fill="auto"/>
            <w:hideMark/>
          </w:tcPr>
          <w:p w14:paraId="46919D1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B44794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6CEEB28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1C42BA6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48 </w:t>
            </w:r>
          </w:p>
          <w:p w14:paraId="46F6F76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59 </w:t>
            </w:r>
          </w:p>
          <w:p w14:paraId="0B7D5A4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44 </w:t>
            </w:r>
          </w:p>
          <w:p w14:paraId="62FBEF1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37 </w:t>
            </w:r>
          </w:p>
          <w:p w14:paraId="761014C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p w14:paraId="61FA04C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4F97766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w:t>
            </w:r>
          </w:p>
        </w:tc>
        <w:tc>
          <w:tcPr>
            <w:tcW w:w="360" w:type="pct"/>
            <w:tcBorders>
              <w:top w:val="single" w:sz="6" w:space="0" w:color="000000"/>
              <w:left w:val="nil"/>
              <w:bottom w:val="single" w:sz="6" w:space="0" w:color="auto"/>
              <w:right w:val="nil"/>
            </w:tcBorders>
            <w:shd w:val="clear" w:color="auto" w:fill="auto"/>
            <w:hideMark/>
          </w:tcPr>
          <w:p w14:paraId="00A63B4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43C5E1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1AF38A8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0C15418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22 </w:t>
            </w:r>
          </w:p>
          <w:p w14:paraId="267F973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27 </w:t>
            </w:r>
          </w:p>
          <w:p w14:paraId="07DA1AC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20 </w:t>
            </w:r>
          </w:p>
          <w:p w14:paraId="5541053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17 </w:t>
            </w:r>
          </w:p>
          <w:p w14:paraId="3A70E4E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180B629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07D121E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w:t>
            </w:r>
          </w:p>
        </w:tc>
        <w:tc>
          <w:tcPr>
            <w:tcW w:w="368" w:type="pct"/>
            <w:tcBorders>
              <w:top w:val="single" w:sz="6" w:space="0" w:color="000000"/>
              <w:left w:val="nil"/>
              <w:bottom w:val="single" w:sz="6" w:space="0" w:color="auto"/>
              <w:right w:val="nil"/>
            </w:tcBorders>
            <w:shd w:val="clear" w:color="auto" w:fill="auto"/>
            <w:hideMark/>
          </w:tcPr>
          <w:p w14:paraId="7D0F655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2B008E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4651A23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44C7EE5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84 </w:t>
            </w:r>
          </w:p>
          <w:p w14:paraId="450F76D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100 </w:t>
            </w:r>
          </w:p>
          <w:p w14:paraId="7D4E096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68 </w:t>
            </w:r>
          </w:p>
          <w:p w14:paraId="35CB168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54 </w:t>
            </w:r>
          </w:p>
          <w:p w14:paraId="4B2BDA6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24 </w:t>
            </w:r>
          </w:p>
          <w:p w14:paraId="6C65DB4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1A9A58C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w:t>
            </w:r>
          </w:p>
        </w:tc>
        <w:tc>
          <w:tcPr>
            <w:tcW w:w="353" w:type="pct"/>
            <w:tcBorders>
              <w:top w:val="single" w:sz="6" w:space="0" w:color="000000"/>
              <w:left w:val="nil"/>
              <w:bottom w:val="single" w:sz="6" w:space="0" w:color="auto"/>
              <w:right w:val="single" w:sz="6" w:space="0" w:color="000000"/>
            </w:tcBorders>
            <w:shd w:val="clear" w:color="auto" w:fill="auto"/>
            <w:hideMark/>
          </w:tcPr>
          <w:p w14:paraId="2E4BF13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27132D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3BB8C2A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3A10DC0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23 </w:t>
            </w:r>
          </w:p>
          <w:p w14:paraId="33D6FF4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28 </w:t>
            </w:r>
          </w:p>
          <w:p w14:paraId="5A0CC3E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19 </w:t>
            </w:r>
          </w:p>
          <w:p w14:paraId="36C43EB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15 </w:t>
            </w:r>
          </w:p>
          <w:p w14:paraId="21A715D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21FD189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05A54A0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w:t>
            </w:r>
          </w:p>
        </w:tc>
      </w:tr>
      <w:tr w:rsidR="007D175D" w:rsidRPr="007D175D" w14:paraId="3D9D02C2" w14:textId="77777777" w:rsidTr="009A2C7B">
        <w:trPr>
          <w:trHeight w:val="1230"/>
        </w:trPr>
        <w:tc>
          <w:tcPr>
            <w:tcW w:w="2094" w:type="pct"/>
            <w:tcBorders>
              <w:top w:val="single" w:sz="6" w:space="0" w:color="auto"/>
              <w:left w:val="single" w:sz="6" w:space="0" w:color="auto"/>
              <w:bottom w:val="single" w:sz="6" w:space="0" w:color="auto"/>
              <w:right w:val="nil"/>
            </w:tcBorders>
            <w:shd w:val="clear" w:color="auto" w:fill="auto"/>
            <w:hideMark/>
          </w:tcPr>
          <w:p w14:paraId="7F4F68A0"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Indigenous Status </w:t>
            </w:r>
          </w:p>
          <w:p w14:paraId="246DB824"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Aboriginal</w:t>
            </w:r>
            <w:r w:rsidRPr="007D175D">
              <w:rPr>
                <w:rFonts w:asciiTheme="minorHAnsi" w:hAnsiTheme="minorHAnsi" w:cstheme="minorHAnsi"/>
                <w:b/>
                <w:bCs/>
                <w:color w:val="000000"/>
                <w:sz w:val="18"/>
                <w:szCs w:val="18"/>
                <w:lang w:eastAsia="en-AU"/>
              </w:rPr>
              <w:t> </w:t>
            </w:r>
          </w:p>
          <w:p w14:paraId="203DF3DA"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Both Aboriginal/ Torres Strait Islander</w:t>
            </w:r>
            <w:r w:rsidRPr="007D175D">
              <w:rPr>
                <w:rFonts w:asciiTheme="minorHAnsi" w:hAnsiTheme="minorHAnsi" w:cstheme="minorHAnsi"/>
                <w:b/>
                <w:bCs/>
                <w:color w:val="000000"/>
                <w:sz w:val="18"/>
                <w:szCs w:val="18"/>
                <w:lang w:eastAsia="en-AU"/>
              </w:rPr>
              <w:t> </w:t>
            </w:r>
          </w:p>
          <w:p w14:paraId="03C0C392"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Neither Aboriginal/ Torres Strait Islander</w:t>
            </w:r>
            <w:r w:rsidRPr="007D175D">
              <w:rPr>
                <w:rFonts w:asciiTheme="minorHAnsi" w:hAnsiTheme="minorHAnsi" w:cstheme="minorHAnsi"/>
                <w:b/>
                <w:bCs/>
                <w:color w:val="000000"/>
                <w:sz w:val="18"/>
                <w:szCs w:val="18"/>
                <w:lang w:eastAsia="en-AU"/>
              </w:rPr>
              <w:t> </w:t>
            </w:r>
          </w:p>
          <w:p w14:paraId="151B758F"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Torres Strait Islander</w:t>
            </w:r>
            <w:r w:rsidRPr="007D175D">
              <w:rPr>
                <w:rFonts w:asciiTheme="minorHAnsi" w:hAnsiTheme="minorHAnsi" w:cstheme="minorHAnsi"/>
                <w:b/>
                <w:bCs/>
                <w:color w:val="000000"/>
                <w:sz w:val="18"/>
                <w:szCs w:val="18"/>
                <w:lang w:eastAsia="en-AU"/>
              </w:rPr>
              <w:t> </w:t>
            </w:r>
          </w:p>
          <w:p w14:paraId="5979A74B"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Missing</w:t>
            </w:r>
            <w:r w:rsidRPr="007D175D">
              <w:rPr>
                <w:rFonts w:asciiTheme="minorHAnsi" w:hAnsiTheme="minorHAnsi" w:cstheme="minorHAnsi"/>
                <w:b/>
                <w:bCs/>
                <w:color w:val="000000"/>
                <w:sz w:val="18"/>
                <w:szCs w:val="18"/>
                <w:lang w:eastAsia="en-AU"/>
              </w:rPr>
              <w:t> </w:t>
            </w:r>
          </w:p>
        </w:tc>
        <w:tc>
          <w:tcPr>
            <w:tcW w:w="369" w:type="pct"/>
            <w:tcBorders>
              <w:top w:val="single" w:sz="6" w:space="0" w:color="auto"/>
              <w:left w:val="nil"/>
              <w:bottom w:val="single" w:sz="6" w:space="0" w:color="auto"/>
              <w:right w:val="nil"/>
            </w:tcBorders>
            <w:shd w:val="clear" w:color="auto" w:fill="auto"/>
            <w:hideMark/>
          </w:tcPr>
          <w:p w14:paraId="2B13D8D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373705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6EA9ECE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07F273A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29 </w:t>
            </w:r>
          </w:p>
          <w:p w14:paraId="7B4C5CD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3B923EE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w:t>
            </w:r>
          </w:p>
        </w:tc>
        <w:tc>
          <w:tcPr>
            <w:tcW w:w="360" w:type="pct"/>
            <w:tcBorders>
              <w:top w:val="single" w:sz="6" w:space="0" w:color="auto"/>
              <w:left w:val="nil"/>
              <w:bottom w:val="single" w:sz="6" w:space="0" w:color="auto"/>
              <w:right w:val="nil"/>
            </w:tcBorders>
            <w:shd w:val="clear" w:color="auto" w:fill="auto"/>
            <w:hideMark/>
          </w:tcPr>
          <w:p w14:paraId="74850B7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F16FB9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1FBE1AB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5B145A1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91 </w:t>
            </w:r>
          </w:p>
          <w:p w14:paraId="36D0FC3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0A69D93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tc>
        <w:tc>
          <w:tcPr>
            <w:tcW w:w="368" w:type="pct"/>
            <w:tcBorders>
              <w:top w:val="single" w:sz="6" w:space="0" w:color="auto"/>
              <w:left w:val="nil"/>
              <w:bottom w:val="single" w:sz="6" w:space="0" w:color="auto"/>
              <w:right w:val="nil"/>
            </w:tcBorders>
            <w:shd w:val="clear" w:color="auto" w:fill="auto"/>
            <w:hideMark/>
          </w:tcPr>
          <w:p w14:paraId="19BE4AF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44F1D4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5A2413E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351D35B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77 </w:t>
            </w:r>
          </w:p>
          <w:p w14:paraId="3CA2F71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52EEE58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w:t>
            </w:r>
          </w:p>
        </w:tc>
        <w:tc>
          <w:tcPr>
            <w:tcW w:w="360" w:type="pct"/>
            <w:tcBorders>
              <w:top w:val="single" w:sz="6" w:space="0" w:color="auto"/>
              <w:left w:val="nil"/>
              <w:bottom w:val="single" w:sz="6" w:space="0" w:color="auto"/>
              <w:right w:val="nil"/>
            </w:tcBorders>
            <w:shd w:val="clear" w:color="auto" w:fill="auto"/>
            <w:hideMark/>
          </w:tcPr>
          <w:p w14:paraId="31E77B2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86B5EB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6A1DF92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1AED645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77 </w:t>
            </w:r>
          </w:p>
          <w:p w14:paraId="202EC5B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3D63666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368" w:type="pct"/>
            <w:tcBorders>
              <w:top w:val="single" w:sz="6" w:space="0" w:color="auto"/>
              <w:left w:val="nil"/>
              <w:bottom w:val="single" w:sz="6" w:space="0" w:color="auto"/>
              <w:right w:val="nil"/>
            </w:tcBorders>
            <w:shd w:val="clear" w:color="auto" w:fill="auto"/>
            <w:hideMark/>
          </w:tcPr>
          <w:p w14:paraId="295C595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6DCCD0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6FB25EA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28E5459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215 </w:t>
            </w:r>
          </w:p>
          <w:p w14:paraId="7EAAA7E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73F8867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w:t>
            </w:r>
          </w:p>
        </w:tc>
        <w:tc>
          <w:tcPr>
            <w:tcW w:w="360" w:type="pct"/>
            <w:tcBorders>
              <w:top w:val="single" w:sz="6" w:space="0" w:color="auto"/>
              <w:left w:val="nil"/>
              <w:bottom w:val="single" w:sz="6" w:space="0" w:color="auto"/>
              <w:right w:val="nil"/>
            </w:tcBorders>
            <w:shd w:val="clear" w:color="auto" w:fill="auto"/>
            <w:hideMark/>
          </w:tcPr>
          <w:p w14:paraId="204C322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62D5D7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35682AE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7843878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98 </w:t>
            </w:r>
          </w:p>
          <w:p w14:paraId="51B2760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466677F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368" w:type="pct"/>
            <w:tcBorders>
              <w:top w:val="single" w:sz="6" w:space="0" w:color="auto"/>
              <w:left w:val="nil"/>
              <w:bottom w:val="single" w:sz="6" w:space="0" w:color="auto"/>
              <w:right w:val="nil"/>
            </w:tcBorders>
            <w:shd w:val="clear" w:color="auto" w:fill="auto"/>
            <w:hideMark/>
          </w:tcPr>
          <w:p w14:paraId="6414B92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A112F5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12 </w:t>
            </w:r>
          </w:p>
          <w:p w14:paraId="505212B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77A3F45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321 </w:t>
            </w:r>
          </w:p>
          <w:p w14:paraId="67E1272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43A8386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tc>
        <w:tc>
          <w:tcPr>
            <w:tcW w:w="353" w:type="pct"/>
            <w:tcBorders>
              <w:top w:val="single" w:sz="6" w:space="0" w:color="auto"/>
              <w:left w:val="nil"/>
              <w:bottom w:val="single" w:sz="6" w:space="0" w:color="auto"/>
              <w:right w:val="single" w:sz="6" w:space="0" w:color="auto"/>
            </w:tcBorders>
            <w:shd w:val="clear" w:color="auto" w:fill="auto"/>
            <w:hideMark/>
          </w:tcPr>
          <w:p w14:paraId="2789499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8DA300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4572540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4E0DE98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91 </w:t>
            </w:r>
          </w:p>
          <w:p w14:paraId="06C3E1B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23B6F9E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r>
      <w:tr w:rsidR="007D175D" w:rsidRPr="007D175D" w14:paraId="0CBEC36C" w14:textId="77777777" w:rsidTr="009A2C7B">
        <w:trPr>
          <w:trHeight w:val="127"/>
        </w:trPr>
        <w:tc>
          <w:tcPr>
            <w:tcW w:w="2094" w:type="pct"/>
            <w:tcBorders>
              <w:top w:val="single" w:sz="6" w:space="0" w:color="auto"/>
              <w:left w:val="single" w:sz="6" w:space="0" w:color="000000"/>
              <w:bottom w:val="single" w:sz="6" w:space="0" w:color="auto"/>
              <w:right w:val="nil"/>
            </w:tcBorders>
            <w:shd w:val="clear" w:color="auto" w:fill="auto"/>
            <w:hideMark/>
          </w:tcPr>
          <w:p w14:paraId="4B7F9408"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State </w:t>
            </w:r>
          </w:p>
          <w:p w14:paraId="785EE2A6"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Northern Territory</w:t>
            </w:r>
            <w:r w:rsidRPr="007D175D">
              <w:rPr>
                <w:rFonts w:asciiTheme="minorHAnsi" w:hAnsiTheme="minorHAnsi" w:cstheme="minorHAnsi"/>
                <w:b/>
                <w:bCs/>
                <w:color w:val="000000"/>
                <w:sz w:val="18"/>
                <w:szCs w:val="18"/>
                <w:lang w:eastAsia="en-AU"/>
              </w:rPr>
              <w:t> </w:t>
            </w:r>
          </w:p>
          <w:p w14:paraId="6B2A0226"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NSW</w:t>
            </w:r>
            <w:r w:rsidRPr="007D175D">
              <w:rPr>
                <w:rFonts w:asciiTheme="minorHAnsi" w:hAnsiTheme="minorHAnsi" w:cstheme="minorHAnsi"/>
                <w:b/>
                <w:bCs/>
                <w:color w:val="000000"/>
                <w:sz w:val="18"/>
                <w:szCs w:val="18"/>
                <w:lang w:eastAsia="en-AU"/>
              </w:rPr>
              <w:t> </w:t>
            </w:r>
          </w:p>
          <w:p w14:paraId="45A151C8"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Victoria</w:t>
            </w:r>
            <w:r w:rsidRPr="007D175D">
              <w:rPr>
                <w:rFonts w:asciiTheme="minorHAnsi" w:hAnsiTheme="minorHAnsi" w:cstheme="minorHAnsi"/>
                <w:b/>
                <w:bCs/>
                <w:color w:val="000000"/>
                <w:sz w:val="18"/>
                <w:szCs w:val="18"/>
                <w:lang w:eastAsia="en-AU"/>
              </w:rPr>
              <w:t> </w:t>
            </w:r>
          </w:p>
          <w:p w14:paraId="58CB47BC"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Queensland</w:t>
            </w:r>
            <w:r w:rsidRPr="007D175D">
              <w:rPr>
                <w:rFonts w:asciiTheme="minorHAnsi" w:hAnsiTheme="minorHAnsi" w:cstheme="minorHAnsi"/>
                <w:b/>
                <w:bCs/>
                <w:color w:val="000000"/>
                <w:sz w:val="18"/>
                <w:szCs w:val="18"/>
                <w:lang w:eastAsia="en-AU"/>
              </w:rPr>
              <w:t> </w:t>
            </w:r>
          </w:p>
          <w:p w14:paraId="098BEE96"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South Australia</w:t>
            </w:r>
            <w:r w:rsidRPr="007D175D">
              <w:rPr>
                <w:rFonts w:asciiTheme="minorHAnsi" w:hAnsiTheme="minorHAnsi" w:cstheme="minorHAnsi"/>
                <w:b/>
                <w:bCs/>
                <w:color w:val="000000"/>
                <w:sz w:val="18"/>
                <w:szCs w:val="18"/>
                <w:lang w:eastAsia="en-AU"/>
              </w:rPr>
              <w:t> </w:t>
            </w:r>
          </w:p>
          <w:p w14:paraId="584CAA8F"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Western Australia</w:t>
            </w:r>
            <w:r w:rsidRPr="007D175D">
              <w:rPr>
                <w:rFonts w:asciiTheme="minorHAnsi" w:hAnsiTheme="minorHAnsi" w:cstheme="minorHAnsi"/>
                <w:b/>
                <w:bCs/>
                <w:color w:val="000000"/>
                <w:sz w:val="18"/>
                <w:szCs w:val="18"/>
                <w:lang w:eastAsia="en-AU"/>
              </w:rPr>
              <w:t> </w:t>
            </w:r>
          </w:p>
          <w:p w14:paraId="10382763"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Tasmania</w:t>
            </w:r>
            <w:r w:rsidRPr="007D175D">
              <w:rPr>
                <w:rFonts w:asciiTheme="minorHAnsi" w:hAnsiTheme="minorHAnsi" w:cstheme="minorHAnsi"/>
                <w:b/>
                <w:bCs/>
                <w:color w:val="000000"/>
                <w:sz w:val="18"/>
                <w:szCs w:val="18"/>
                <w:lang w:eastAsia="en-AU"/>
              </w:rPr>
              <w:t> </w:t>
            </w:r>
          </w:p>
          <w:p w14:paraId="554BC8F8"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Missing</w:t>
            </w:r>
            <w:r w:rsidRPr="007D175D">
              <w:rPr>
                <w:rFonts w:asciiTheme="minorHAnsi" w:hAnsiTheme="minorHAnsi" w:cstheme="minorHAnsi"/>
                <w:b/>
                <w:bCs/>
                <w:color w:val="000000"/>
                <w:sz w:val="18"/>
                <w:szCs w:val="18"/>
                <w:lang w:eastAsia="en-AU"/>
              </w:rPr>
              <w:t> </w:t>
            </w:r>
          </w:p>
        </w:tc>
        <w:tc>
          <w:tcPr>
            <w:tcW w:w="369" w:type="pct"/>
            <w:tcBorders>
              <w:top w:val="single" w:sz="6" w:space="0" w:color="auto"/>
              <w:left w:val="nil"/>
              <w:bottom w:val="single" w:sz="6" w:space="0" w:color="auto"/>
              <w:right w:val="nil"/>
            </w:tcBorders>
            <w:shd w:val="clear" w:color="auto" w:fill="auto"/>
            <w:hideMark/>
          </w:tcPr>
          <w:p w14:paraId="5769C14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F28FCA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3270E15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2F82990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403699F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09BE219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5E1BEE9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709D8C1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6714621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w:t>
            </w:r>
          </w:p>
        </w:tc>
        <w:tc>
          <w:tcPr>
            <w:tcW w:w="360" w:type="pct"/>
            <w:tcBorders>
              <w:top w:val="single" w:sz="6" w:space="0" w:color="auto"/>
              <w:left w:val="nil"/>
              <w:bottom w:val="single" w:sz="6" w:space="0" w:color="auto"/>
              <w:right w:val="nil"/>
            </w:tcBorders>
            <w:shd w:val="clear" w:color="auto" w:fill="auto"/>
            <w:hideMark/>
          </w:tcPr>
          <w:p w14:paraId="1404D3D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840C39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079D415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25 </w:t>
            </w:r>
          </w:p>
          <w:p w14:paraId="36DF8DC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28 </w:t>
            </w:r>
          </w:p>
          <w:p w14:paraId="394DE9F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22 </w:t>
            </w:r>
          </w:p>
          <w:p w14:paraId="7D15CC8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48540D1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5B861DA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432CF07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tc>
        <w:tc>
          <w:tcPr>
            <w:tcW w:w="368" w:type="pct"/>
            <w:tcBorders>
              <w:top w:val="single" w:sz="6" w:space="0" w:color="auto"/>
              <w:left w:val="nil"/>
              <w:bottom w:val="single" w:sz="6" w:space="0" w:color="auto"/>
              <w:right w:val="nil"/>
            </w:tcBorders>
            <w:shd w:val="clear" w:color="auto" w:fill="auto"/>
            <w:hideMark/>
          </w:tcPr>
          <w:p w14:paraId="2E1168F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CF5530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1A7F185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35 </w:t>
            </w:r>
          </w:p>
          <w:p w14:paraId="18D4E77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30 </w:t>
            </w:r>
          </w:p>
          <w:p w14:paraId="3AC0ACB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19 </w:t>
            </w:r>
          </w:p>
          <w:p w14:paraId="0CAF360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38B7CDC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7E5E507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0340D04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360" w:type="pct"/>
            <w:tcBorders>
              <w:top w:val="single" w:sz="6" w:space="0" w:color="auto"/>
              <w:left w:val="nil"/>
              <w:bottom w:val="single" w:sz="6" w:space="0" w:color="auto"/>
              <w:right w:val="nil"/>
            </w:tcBorders>
            <w:shd w:val="clear" w:color="auto" w:fill="auto"/>
            <w:hideMark/>
          </w:tcPr>
          <w:p w14:paraId="6882E35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0599A7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0887A7B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35 </w:t>
            </w:r>
          </w:p>
          <w:p w14:paraId="573AD5B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30 </w:t>
            </w:r>
          </w:p>
          <w:p w14:paraId="07252CA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19 </w:t>
            </w:r>
          </w:p>
          <w:p w14:paraId="382EDE2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790D760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1476C28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2B11FEA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368" w:type="pct"/>
            <w:tcBorders>
              <w:top w:val="single" w:sz="6" w:space="0" w:color="auto"/>
              <w:left w:val="nil"/>
              <w:bottom w:val="single" w:sz="6" w:space="0" w:color="auto"/>
              <w:right w:val="nil"/>
            </w:tcBorders>
            <w:shd w:val="clear" w:color="auto" w:fill="auto"/>
            <w:hideMark/>
          </w:tcPr>
          <w:p w14:paraId="6C6404D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419BB3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7A2F049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109 </w:t>
            </w:r>
          </w:p>
          <w:p w14:paraId="78D0F59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51 </w:t>
            </w:r>
          </w:p>
          <w:p w14:paraId="036B8E8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24 </w:t>
            </w:r>
          </w:p>
          <w:p w14:paraId="5047D30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6E782C7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w:t>
            </w:r>
          </w:p>
          <w:p w14:paraId="134E47B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3D220EC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w:t>
            </w:r>
          </w:p>
        </w:tc>
        <w:tc>
          <w:tcPr>
            <w:tcW w:w="360" w:type="pct"/>
            <w:tcBorders>
              <w:top w:val="single" w:sz="6" w:space="0" w:color="auto"/>
              <w:left w:val="nil"/>
              <w:bottom w:val="single" w:sz="6" w:space="0" w:color="auto"/>
              <w:right w:val="nil"/>
            </w:tcBorders>
            <w:shd w:val="clear" w:color="auto" w:fill="auto"/>
            <w:hideMark/>
          </w:tcPr>
          <w:p w14:paraId="5E9D8CD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D319FF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53D2FB4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50 </w:t>
            </w:r>
          </w:p>
          <w:p w14:paraId="5FFFD61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23 </w:t>
            </w:r>
          </w:p>
          <w:p w14:paraId="74C5531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5111D40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33FEEFD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564333B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6B24BB7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tc>
        <w:tc>
          <w:tcPr>
            <w:tcW w:w="368" w:type="pct"/>
            <w:tcBorders>
              <w:top w:val="single" w:sz="6" w:space="0" w:color="auto"/>
              <w:left w:val="nil"/>
              <w:bottom w:val="single" w:sz="6" w:space="0" w:color="auto"/>
              <w:right w:val="nil"/>
            </w:tcBorders>
            <w:shd w:val="clear" w:color="auto" w:fill="auto"/>
            <w:hideMark/>
          </w:tcPr>
          <w:p w14:paraId="7B37B97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3D2D4C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6A39F2A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152 </w:t>
            </w:r>
          </w:p>
          <w:p w14:paraId="4C1F672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90 </w:t>
            </w:r>
          </w:p>
          <w:p w14:paraId="6BC6407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50 </w:t>
            </w:r>
          </w:p>
          <w:p w14:paraId="2FA4705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22 </w:t>
            </w:r>
          </w:p>
          <w:p w14:paraId="5275D81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22 </w:t>
            </w:r>
          </w:p>
          <w:p w14:paraId="0DF1116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743564B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w:t>
            </w:r>
          </w:p>
        </w:tc>
        <w:tc>
          <w:tcPr>
            <w:tcW w:w="353" w:type="pct"/>
            <w:tcBorders>
              <w:top w:val="single" w:sz="6" w:space="0" w:color="auto"/>
              <w:left w:val="nil"/>
              <w:bottom w:val="single" w:sz="6" w:space="0" w:color="auto"/>
              <w:right w:val="single" w:sz="6" w:space="0" w:color="000000"/>
            </w:tcBorders>
            <w:shd w:val="clear" w:color="auto" w:fill="auto"/>
            <w:hideMark/>
          </w:tcPr>
          <w:p w14:paraId="3F65F1E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4FE564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6C40CB7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43 </w:t>
            </w:r>
          </w:p>
          <w:p w14:paraId="0CC98C3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26 </w:t>
            </w:r>
          </w:p>
          <w:p w14:paraId="2B15C01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14 </w:t>
            </w:r>
          </w:p>
          <w:p w14:paraId="7C76706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66C398B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78C6178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628112E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tc>
      </w:tr>
      <w:tr w:rsidR="007D175D" w:rsidRPr="007D175D" w14:paraId="6823AE2F" w14:textId="77777777" w:rsidTr="009A2C7B">
        <w:trPr>
          <w:trHeight w:val="1395"/>
        </w:trPr>
        <w:tc>
          <w:tcPr>
            <w:tcW w:w="2094" w:type="pct"/>
            <w:tcBorders>
              <w:top w:val="single" w:sz="6" w:space="0" w:color="auto"/>
              <w:left w:val="single" w:sz="6" w:space="0" w:color="auto"/>
              <w:bottom w:val="single" w:sz="6" w:space="0" w:color="auto"/>
              <w:right w:val="nil"/>
            </w:tcBorders>
            <w:shd w:val="clear" w:color="auto" w:fill="auto"/>
            <w:vAlign w:val="bottom"/>
            <w:hideMark/>
          </w:tcPr>
          <w:p w14:paraId="0D5BACC0"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 xml:space="preserve">Type of </w:t>
            </w:r>
            <w:proofErr w:type="spellStart"/>
            <w:r w:rsidRPr="007D175D">
              <w:rPr>
                <w:rFonts w:asciiTheme="minorHAnsi" w:hAnsiTheme="minorHAnsi" w:cstheme="minorHAnsi"/>
                <w:b/>
                <w:bCs/>
                <w:color w:val="000000"/>
                <w:sz w:val="18"/>
                <w:szCs w:val="18"/>
                <w:lang w:eastAsia="en-AU"/>
              </w:rPr>
              <w:t>internet</w:t>
            </w:r>
            <w:r w:rsidRPr="007D175D">
              <w:rPr>
                <w:rFonts w:asciiTheme="minorHAnsi" w:hAnsiTheme="minorHAnsi" w:cstheme="minorHAnsi"/>
                <w:b/>
                <w:bCs/>
                <w:color w:val="000000"/>
                <w:sz w:val="18"/>
                <w:szCs w:val="18"/>
                <w:vertAlign w:val="superscript"/>
                <w:lang w:eastAsia="en-AU"/>
              </w:rPr>
              <w:t>a</w:t>
            </w:r>
            <w:proofErr w:type="spellEnd"/>
            <w:r w:rsidRPr="007D175D">
              <w:rPr>
                <w:rFonts w:asciiTheme="minorHAnsi" w:hAnsiTheme="minorHAnsi" w:cstheme="minorHAnsi"/>
                <w:b/>
                <w:bCs/>
                <w:color w:val="000000"/>
                <w:sz w:val="18"/>
                <w:szCs w:val="18"/>
                <w:lang w:eastAsia="en-AU"/>
              </w:rPr>
              <w:t> </w:t>
            </w:r>
          </w:p>
          <w:p w14:paraId="10FF032A"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Dial up</w:t>
            </w:r>
            <w:r w:rsidRPr="007D175D">
              <w:rPr>
                <w:rFonts w:asciiTheme="minorHAnsi" w:hAnsiTheme="minorHAnsi" w:cstheme="minorHAnsi"/>
                <w:b/>
                <w:bCs/>
                <w:color w:val="000000"/>
                <w:sz w:val="18"/>
                <w:szCs w:val="18"/>
                <w:lang w:eastAsia="en-AU"/>
              </w:rPr>
              <w:t> </w:t>
            </w:r>
          </w:p>
          <w:p w14:paraId="22292BB1"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ADSL or ADSL2+</w:t>
            </w:r>
            <w:r w:rsidRPr="007D175D">
              <w:rPr>
                <w:rFonts w:asciiTheme="minorHAnsi" w:hAnsiTheme="minorHAnsi" w:cstheme="minorHAnsi"/>
                <w:b/>
                <w:bCs/>
                <w:color w:val="000000"/>
                <w:sz w:val="18"/>
                <w:szCs w:val="18"/>
                <w:lang w:eastAsia="en-AU"/>
              </w:rPr>
              <w:t> </w:t>
            </w:r>
          </w:p>
          <w:p w14:paraId="207DD914"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Cable</w:t>
            </w:r>
            <w:r w:rsidRPr="007D175D">
              <w:rPr>
                <w:rFonts w:asciiTheme="minorHAnsi" w:hAnsiTheme="minorHAnsi" w:cstheme="minorHAnsi"/>
                <w:b/>
                <w:bCs/>
                <w:color w:val="000000"/>
                <w:sz w:val="18"/>
                <w:szCs w:val="18"/>
                <w:lang w:eastAsia="en-AU"/>
              </w:rPr>
              <w:t> </w:t>
            </w:r>
          </w:p>
          <w:p w14:paraId="16FD9B73"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National Broadband Network </w:t>
            </w:r>
            <w:r w:rsidRPr="007D175D">
              <w:rPr>
                <w:rFonts w:asciiTheme="minorHAnsi" w:hAnsiTheme="minorHAnsi" w:cstheme="minorHAnsi"/>
                <w:b/>
                <w:bCs/>
                <w:color w:val="000000"/>
                <w:sz w:val="18"/>
                <w:szCs w:val="18"/>
                <w:lang w:eastAsia="en-AU"/>
              </w:rPr>
              <w:t> </w:t>
            </w:r>
          </w:p>
          <w:p w14:paraId="1A4153AF"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Satellite Connection</w:t>
            </w:r>
            <w:r w:rsidRPr="007D175D">
              <w:rPr>
                <w:rFonts w:asciiTheme="minorHAnsi" w:hAnsiTheme="minorHAnsi" w:cstheme="minorHAnsi"/>
                <w:b/>
                <w:bCs/>
                <w:color w:val="000000"/>
                <w:sz w:val="18"/>
                <w:szCs w:val="18"/>
                <w:lang w:eastAsia="en-AU"/>
              </w:rPr>
              <w:t> </w:t>
            </w:r>
          </w:p>
          <w:p w14:paraId="5734304C"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Wireless Router</w:t>
            </w:r>
            <w:r w:rsidRPr="007D175D">
              <w:rPr>
                <w:rFonts w:asciiTheme="minorHAnsi" w:hAnsiTheme="minorHAnsi" w:cstheme="minorHAnsi"/>
                <w:b/>
                <w:bCs/>
                <w:color w:val="000000"/>
                <w:sz w:val="18"/>
                <w:szCs w:val="18"/>
                <w:lang w:eastAsia="en-AU"/>
              </w:rPr>
              <w:t> </w:t>
            </w:r>
          </w:p>
          <w:p w14:paraId="082DB7A4"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Mobile Broadband </w:t>
            </w:r>
            <w:r w:rsidRPr="007D175D">
              <w:rPr>
                <w:rFonts w:asciiTheme="minorHAnsi" w:hAnsiTheme="minorHAnsi" w:cstheme="minorHAnsi"/>
                <w:b/>
                <w:bCs/>
                <w:color w:val="000000"/>
                <w:sz w:val="18"/>
                <w:szCs w:val="18"/>
                <w:lang w:eastAsia="en-AU"/>
              </w:rPr>
              <w:t> </w:t>
            </w:r>
          </w:p>
          <w:p w14:paraId="5CEAD4DC"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Other</w:t>
            </w:r>
            <w:r w:rsidRPr="007D175D">
              <w:rPr>
                <w:rFonts w:asciiTheme="minorHAnsi" w:hAnsiTheme="minorHAnsi" w:cstheme="minorHAnsi"/>
                <w:b/>
                <w:bCs/>
                <w:color w:val="000000"/>
                <w:sz w:val="18"/>
                <w:szCs w:val="18"/>
                <w:lang w:eastAsia="en-AU"/>
              </w:rPr>
              <w:t> </w:t>
            </w:r>
          </w:p>
        </w:tc>
        <w:tc>
          <w:tcPr>
            <w:tcW w:w="369" w:type="pct"/>
            <w:tcBorders>
              <w:top w:val="single" w:sz="6" w:space="0" w:color="auto"/>
              <w:left w:val="nil"/>
              <w:bottom w:val="single" w:sz="6" w:space="0" w:color="auto"/>
              <w:right w:val="nil"/>
            </w:tcBorders>
            <w:shd w:val="clear" w:color="auto" w:fill="auto"/>
            <w:vAlign w:val="bottom"/>
            <w:hideMark/>
          </w:tcPr>
          <w:p w14:paraId="37F4E44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48E7126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63BA98C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088387C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19 </w:t>
            </w:r>
          </w:p>
          <w:p w14:paraId="38FB7D7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2309C26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4872F64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7D5DEE7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360" w:type="pct"/>
            <w:tcBorders>
              <w:top w:val="single" w:sz="6" w:space="0" w:color="auto"/>
              <w:left w:val="nil"/>
              <w:bottom w:val="single" w:sz="6" w:space="0" w:color="auto"/>
              <w:right w:val="nil"/>
            </w:tcBorders>
            <w:shd w:val="clear" w:color="auto" w:fill="auto"/>
            <w:vAlign w:val="bottom"/>
            <w:hideMark/>
          </w:tcPr>
          <w:p w14:paraId="1792E0D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78C8713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3CAB63E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16238AF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59 </w:t>
            </w:r>
          </w:p>
          <w:p w14:paraId="6C97634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06C9499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25 </w:t>
            </w:r>
          </w:p>
          <w:p w14:paraId="73188D0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19 </w:t>
            </w:r>
          </w:p>
          <w:p w14:paraId="0FE8273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tc>
        <w:tc>
          <w:tcPr>
            <w:tcW w:w="368" w:type="pct"/>
            <w:tcBorders>
              <w:top w:val="single" w:sz="6" w:space="0" w:color="auto"/>
              <w:left w:val="nil"/>
              <w:bottom w:val="single" w:sz="6" w:space="0" w:color="auto"/>
              <w:right w:val="nil"/>
            </w:tcBorders>
            <w:shd w:val="clear" w:color="auto" w:fill="auto"/>
            <w:vAlign w:val="bottom"/>
            <w:hideMark/>
          </w:tcPr>
          <w:p w14:paraId="5834DCE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7F0BF3D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0896827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1117860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53 </w:t>
            </w:r>
          </w:p>
          <w:p w14:paraId="4E7D142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2F7C028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28 </w:t>
            </w:r>
          </w:p>
          <w:p w14:paraId="437AACE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23 </w:t>
            </w:r>
          </w:p>
          <w:p w14:paraId="5447A69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360" w:type="pct"/>
            <w:tcBorders>
              <w:top w:val="single" w:sz="6" w:space="0" w:color="auto"/>
              <w:left w:val="nil"/>
              <w:bottom w:val="single" w:sz="6" w:space="0" w:color="auto"/>
              <w:right w:val="nil"/>
            </w:tcBorders>
            <w:shd w:val="clear" w:color="auto" w:fill="auto"/>
            <w:vAlign w:val="bottom"/>
            <w:hideMark/>
          </w:tcPr>
          <w:p w14:paraId="5BCE705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19B91ED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6DDFDD8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4042D80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53 </w:t>
            </w:r>
          </w:p>
          <w:p w14:paraId="5F65E60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633736F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28 </w:t>
            </w:r>
          </w:p>
          <w:p w14:paraId="5844B56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23 </w:t>
            </w:r>
          </w:p>
          <w:p w14:paraId="5EF07DD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368" w:type="pct"/>
            <w:tcBorders>
              <w:top w:val="single" w:sz="6" w:space="0" w:color="auto"/>
              <w:left w:val="nil"/>
              <w:bottom w:val="single" w:sz="6" w:space="0" w:color="auto"/>
              <w:right w:val="nil"/>
            </w:tcBorders>
            <w:shd w:val="clear" w:color="auto" w:fill="auto"/>
            <w:vAlign w:val="bottom"/>
            <w:hideMark/>
          </w:tcPr>
          <w:p w14:paraId="4B19B01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338591F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263E67C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431F56F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162 </w:t>
            </w:r>
          </w:p>
          <w:p w14:paraId="245730B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3FF5D70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23 </w:t>
            </w:r>
          </w:p>
          <w:p w14:paraId="5546A72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22 </w:t>
            </w:r>
          </w:p>
          <w:p w14:paraId="1287F9F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tc>
        <w:tc>
          <w:tcPr>
            <w:tcW w:w="360" w:type="pct"/>
            <w:tcBorders>
              <w:top w:val="single" w:sz="6" w:space="0" w:color="auto"/>
              <w:left w:val="nil"/>
              <w:bottom w:val="single" w:sz="6" w:space="0" w:color="auto"/>
              <w:right w:val="nil"/>
            </w:tcBorders>
            <w:shd w:val="clear" w:color="auto" w:fill="auto"/>
            <w:vAlign w:val="bottom"/>
            <w:hideMark/>
          </w:tcPr>
          <w:p w14:paraId="058DF87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32819E6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31A5F57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46C5896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74 </w:t>
            </w:r>
          </w:p>
          <w:p w14:paraId="233410D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1F77410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3D068E7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3F94852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tc>
        <w:tc>
          <w:tcPr>
            <w:tcW w:w="368" w:type="pct"/>
            <w:tcBorders>
              <w:top w:val="single" w:sz="6" w:space="0" w:color="auto"/>
              <w:left w:val="nil"/>
              <w:bottom w:val="single" w:sz="6" w:space="0" w:color="auto"/>
              <w:right w:val="nil"/>
            </w:tcBorders>
            <w:shd w:val="clear" w:color="auto" w:fill="auto"/>
            <w:vAlign w:val="bottom"/>
            <w:hideMark/>
          </w:tcPr>
          <w:p w14:paraId="3FC446A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67D6BA8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17 </w:t>
            </w:r>
          </w:p>
          <w:p w14:paraId="33BE825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2E9A3CE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234 </w:t>
            </w:r>
          </w:p>
          <w:p w14:paraId="6E1E93A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26142B1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59 </w:t>
            </w:r>
          </w:p>
          <w:p w14:paraId="6EC4EF2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51 </w:t>
            </w:r>
          </w:p>
          <w:p w14:paraId="1416E1E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tc>
        <w:tc>
          <w:tcPr>
            <w:tcW w:w="353" w:type="pct"/>
            <w:tcBorders>
              <w:top w:val="single" w:sz="6" w:space="0" w:color="auto"/>
              <w:left w:val="nil"/>
              <w:bottom w:val="single" w:sz="6" w:space="0" w:color="auto"/>
              <w:right w:val="single" w:sz="6" w:space="0" w:color="auto"/>
            </w:tcBorders>
            <w:shd w:val="clear" w:color="auto" w:fill="auto"/>
            <w:vAlign w:val="bottom"/>
            <w:hideMark/>
          </w:tcPr>
          <w:p w14:paraId="4CE4A91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7B37B93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23C92F0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781CD98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67 </w:t>
            </w:r>
          </w:p>
          <w:p w14:paraId="05D1272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43D784E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17 </w:t>
            </w:r>
          </w:p>
          <w:p w14:paraId="3E11FF7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15 </w:t>
            </w:r>
          </w:p>
          <w:p w14:paraId="53831E0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tc>
      </w:tr>
    </w:tbl>
    <w:p w14:paraId="3BDE3164" w14:textId="77777777" w:rsidR="007D175D" w:rsidRPr="007D175D" w:rsidRDefault="007D175D" w:rsidP="007D175D">
      <w:pPr>
        <w:textAlignment w:val="baseline"/>
        <w:rPr>
          <w:rFonts w:ascii="Segoe UI" w:hAnsi="Segoe UI" w:cs="Segoe UI"/>
          <w:color w:val="000000"/>
          <w:sz w:val="16"/>
          <w:szCs w:val="16"/>
          <w:lang w:eastAsia="en-AU"/>
        </w:rPr>
      </w:pPr>
      <w:r w:rsidRPr="007D175D">
        <w:rPr>
          <w:rFonts w:ascii="Calibri" w:hAnsi="Calibri" w:cs="Calibri"/>
          <w:color w:val="000000"/>
          <w:sz w:val="16"/>
          <w:szCs w:val="16"/>
          <w:lang w:eastAsia="en-AU"/>
        </w:rPr>
        <w:t xml:space="preserve">MHO, Mental Health Online; MS, </w:t>
      </w:r>
      <w:proofErr w:type="spellStart"/>
      <w:r w:rsidRPr="007D175D">
        <w:rPr>
          <w:rFonts w:ascii="Calibri" w:hAnsi="Calibri" w:cs="Calibri"/>
          <w:color w:val="000000"/>
          <w:sz w:val="16"/>
          <w:szCs w:val="16"/>
          <w:lang w:eastAsia="en-AU"/>
        </w:rPr>
        <w:t>MindSpot</w:t>
      </w:r>
      <w:proofErr w:type="spellEnd"/>
      <w:r w:rsidRPr="007D175D">
        <w:rPr>
          <w:rFonts w:ascii="Calibri" w:hAnsi="Calibri" w:cs="Calibri"/>
          <w:color w:val="000000"/>
          <w:sz w:val="16"/>
          <w:szCs w:val="16"/>
          <w:lang w:eastAsia="en-AU"/>
        </w:rPr>
        <w:t>; TWU, THIS WAY UP. </w:t>
      </w:r>
    </w:p>
    <w:p w14:paraId="5619ADE2" w14:textId="77777777" w:rsidR="007D175D" w:rsidRPr="007D175D" w:rsidRDefault="007D175D" w:rsidP="007D175D">
      <w:pPr>
        <w:spacing w:after="160"/>
        <w:textAlignment w:val="baseline"/>
        <w:rPr>
          <w:rFonts w:ascii="Calibri" w:hAnsi="Calibri" w:cs="Calibri"/>
          <w:color w:val="000000"/>
          <w:sz w:val="16"/>
          <w:szCs w:val="16"/>
          <w:lang w:eastAsia="en-AU"/>
        </w:rPr>
      </w:pPr>
      <w:proofErr w:type="spellStart"/>
      <w:r w:rsidRPr="007D175D">
        <w:rPr>
          <w:rFonts w:ascii="Calibri" w:hAnsi="Calibri" w:cs="Calibri"/>
          <w:color w:val="000000"/>
          <w:sz w:val="16"/>
          <w:szCs w:val="16"/>
          <w:vertAlign w:val="superscript"/>
          <w:lang w:eastAsia="en-AU"/>
        </w:rPr>
        <w:t>a</w:t>
      </w:r>
      <w:r w:rsidRPr="007D175D">
        <w:rPr>
          <w:rFonts w:ascii="Calibri" w:hAnsi="Calibri" w:cs="Calibri"/>
          <w:color w:val="000000"/>
          <w:sz w:val="16"/>
          <w:szCs w:val="16"/>
          <w:lang w:eastAsia="en-AU"/>
        </w:rPr>
        <w:t>Multiple</w:t>
      </w:r>
      <w:proofErr w:type="spellEnd"/>
      <w:r w:rsidRPr="007D175D">
        <w:rPr>
          <w:rFonts w:ascii="Calibri" w:hAnsi="Calibri" w:cs="Calibri"/>
          <w:color w:val="000000"/>
          <w:sz w:val="16"/>
          <w:szCs w:val="16"/>
          <w:lang w:eastAsia="en-AU"/>
        </w:rPr>
        <w:t xml:space="preserve"> responses permitted.</w:t>
      </w:r>
    </w:p>
    <w:p w14:paraId="323087CD" w14:textId="256E80A4" w:rsidR="007D175D" w:rsidRPr="007D175D" w:rsidRDefault="000C3C1E" w:rsidP="00B914C4">
      <w:pPr>
        <w:pStyle w:val="Heading3"/>
        <w:rPr>
          <w:lang w:eastAsia="en-AU"/>
        </w:rPr>
      </w:pPr>
      <w:r>
        <w:rPr>
          <w:lang w:eastAsia="en-AU"/>
        </w:rPr>
        <w:t>C</w:t>
      </w:r>
      <w:r w:rsidR="007D175D" w:rsidRPr="007D175D">
        <w:rPr>
          <w:lang w:eastAsia="en-AU"/>
        </w:rPr>
        <w:t>onsumer interview</w:t>
      </w:r>
      <w:r>
        <w:rPr>
          <w:lang w:eastAsia="en-AU"/>
        </w:rPr>
        <w:t>ees</w:t>
      </w:r>
    </w:p>
    <w:p w14:paraId="0AD68F01" w14:textId="5E2A6F5B" w:rsidR="007D175D" w:rsidRPr="007D175D" w:rsidRDefault="007D175D" w:rsidP="00AE5986">
      <w:pPr>
        <w:textAlignment w:val="baseline"/>
        <w:rPr>
          <w:rFonts w:asciiTheme="minorHAnsi" w:hAnsiTheme="minorHAnsi" w:cstheme="minorHAnsi"/>
          <w:sz w:val="21"/>
          <w:szCs w:val="21"/>
          <w:lang w:eastAsia="en-AU"/>
        </w:rPr>
      </w:pPr>
      <w:r w:rsidRPr="007D175D">
        <w:rPr>
          <w:rFonts w:asciiTheme="minorHAnsi" w:hAnsiTheme="minorHAnsi" w:cstheme="minorHAnsi"/>
          <w:color w:val="000000"/>
          <w:sz w:val="21"/>
          <w:szCs w:val="21"/>
          <w:lang w:val="en-US" w:eastAsia="en-AU"/>
        </w:rPr>
        <w:t xml:space="preserve">Twenty-three of these consumers also completed interviews – 39% were users of </w:t>
      </w:r>
      <w:proofErr w:type="spellStart"/>
      <w:r w:rsidRPr="007D175D">
        <w:rPr>
          <w:rFonts w:asciiTheme="minorHAnsi" w:hAnsiTheme="minorHAnsi" w:cstheme="minorHAnsi"/>
          <w:color w:val="000000"/>
          <w:sz w:val="21"/>
          <w:szCs w:val="21"/>
          <w:lang w:val="en-US" w:eastAsia="en-AU"/>
        </w:rPr>
        <w:t>MindSpot</w:t>
      </w:r>
      <w:proofErr w:type="spellEnd"/>
      <w:r w:rsidRPr="007D175D">
        <w:rPr>
          <w:rFonts w:asciiTheme="minorHAnsi" w:hAnsiTheme="minorHAnsi" w:cstheme="minorHAnsi"/>
          <w:color w:val="000000"/>
          <w:sz w:val="21"/>
          <w:szCs w:val="21"/>
          <w:lang w:val="en-US" w:eastAsia="en-AU"/>
        </w:rPr>
        <w:t xml:space="preserve">; 35%, THIS WAY UP and 26%, Mental Health Online. </w:t>
      </w:r>
      <w:r w:rsidRPr="007D175D">
        <w:rPr>
          <w:rFonts w:asciiTheme="minorHAnsi" w:hAnsiTheme="minorHAnsi" w:cstheme="minorHAnsi"/>
          <w:sz w:val="21"/>
          <w:szCs w:val="21"/>
          <w:lang w:eastAsia="en-AU"/>
        </w:rPr>
        <w:t xml:space="preserve">Table </w:t>
      </w:r>
      <w:r w:rsidR="002A200A" w:rsidRPr="002A200A">
        <w:rPr>
          <w:rFonts w:asciiTheme="minorHAnsi" w:hAnsiTheme="minorHAnsi" w:cstheme="minorHAnsi"/>
          <w:sz w:val="21"/>
          <w:szCs w:val="21"/>
          <w:lang w:eastAsia="en-AU"/>
        </w:rPr>
        <w:t>24</w:t>
      </w:r>
      <w:r w:rsidRPr="007D175D">
        <w:rPr>
          <w:rFonts w:asciiTheme="minorHAnsi" w:hAnsiTheme="minorHAnsi" w:cstheme="minorHAnsi"/>
          <w:sz w:val="21"/>
          <w:szCs w:val="21"/>
          <w:lang w:eastAsia="en-AU"/>
        </w:rPr>
        <w:t xml:space="preserve"> describes their socio-demographic characteristics and internet access. Most </w:t>
      </w:r>
      <w:r w:rsidRPr="007D175D">
        <w:rPr>
          <w:rFonts w:asciiTheme="minorHAnsi" w:hAnsiTheme="minorHAnsi" w:cstheme="minorHAnsi"/>
          <w:color w:val="000000"/>
          <w:sz w:val="21"/>
          <w:szCs w:val="21"/>
          <w:lang w:eastAsia="en-AU"/>
        </w:rPr>
        <w:t>consumers across digital mental health services were female (73%</w:t>
      </w:r>
      <w:proofErr w:type="gramStart"/>
      <w:r w:rsidRPr="007D175D">
        <w:rPr>
          <w:rFonts w:asciiTheme="minorHAnsi" w:hAnsiTheme="minorHAnsi" w:cstheme="minorHAnsi"/>
          <w:color w:val="000000"/>
          <w:sz w:val="21"/>
          <w:szCs w:val="21"/>
          <w:lang w:eastAsia="en-AU"/>
        </w:rPr>
        <w:t>), and</w:t>
      </w:r>
      <w:proofErr w:type="gramEnd"/>
      <w:r w:rsidRPr="007D175D">
        <w:rPr>
          <w:rFonts w:asciiTheme="minorHAnsi" w:hAnsiTheme="minorHAnsi" w:cstheme="minorHAnsi"/>
          <w:color w:val="000000"/>
          <w:sz w:val="21"/>
          <w:szCs w:val="21"/>
          <w:lang w:eastAsia="en-AU"/>
        </w:rPr>
        <w:t xml:space="preserve"> were residing in New South Wales (NSW) or Victoria. Consumers who took part in the interviews appeared to be slightly older than those who took part in the surveys, with approximately 50% of consumers being over the age of 59 years. </w:t>
      </w:r>
      <w:r w:rsidRPr="007D175D">
        <w:rPr>
          <w:rFonts w:asciiTheme="minorHAnsi" w:hAnsiTheme="minorHAnsi" w:cstheme="minorHAnsi"/>
          <w:sz w:val="21"/>
          <w:szCs w:val="21"/>
          <w:lang w:eastAsia="en-AU"/>
        </w:rPr>
        <w:t>Consumers primarily used the National Broadband Network to access the internet.</w:t>
      </w:r>
    </w:p>
    <w:p w14:paraId="32FEFBA6" w14:textId="77777777" w:rsidR="003A6BBD" w:rsidRDefault="003A6BBD">
      <w:pPr>
        <w:rPr>
          <w:rFonts w:ascii="Calibri" w:hAnsi="Calibri" w:cs="Calibri"/>
          <w:b/>
          <w:bCs/>
          <w:color w:val="000000"/>
          <w:sz w:val="21"/>
          <w:szCs w:val="21"/>
          <w:shd w:val="clear" w:color="auto" w:fill="00FF00"/>
          <w:lang w:val="en-US" w:eastAsia="en-AU"/>
        </w:rPr>
      </w:pPr>
      <w:r>
        <w:rPr>
          <w:rFonts w:ascii="Calibri" w:hAnsi="Calibri" w:cs="Calibri"/>
          <w:b/>
          <w:bCs/>
          <w:color w:val="000000"/>
          <w:sz w:val="21"/>
          <w:szCs w:val="21"/>
          <w:shd w:val="clear" w:color="auto" w:fill="00FF00"/>
          <w:lang w:val="en-US" w:eastAsia="en-AU"/>
        </w:rPr>
        <w:br w:type="page"/>
      </w:r>
    </w:p>
    <w:p w14:paraId="042E7161" w14:textId="4C0F9C46" w:rsidR="00DC1DAC" w:rsidRPr="007D175D" w:rsidRDefault="00DC1DAC" w:rsidP="00DC1DAC">
      <w:pPr>
        <w:pStyle w:val="tableheading"/>
        <w:rPr>
          <w:rFonts w:ascii="Segoe UI" w:hAnsi="Segoe UI" w:cs="Segoe UI"/>
          <w:sz w:val="18"/>
          <w:szCs w:val="18"/>
        </w:rPr>
      </w:pPr>
      <w:r w:rsidRPr="00D727D9">
        <w:lastRenderedPageBreak/>
        <w:t>Table 2</w:t>
      </w:r>
      <w:r>
        <w:t>4</w:t>
      </w:r>
      <w:r w:rsidRPr="00D727D9">
        <w:t>.</w:t>
      </w:r>
      <w:r w:rsidRPr="00D67D33">
        <w:t xml:space="preserve"> DMHS </w:t>
      </w:r>
      <w:r>
        <w:t xml:space="preserve">consumer interviewee </w:t>
      </w:r>
      <w:r w:rsidRPr="00D67D33">
        <w:t>characteristics and internet access, by service and overall</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DMHS consumer interviewee characteristics and internet access, by service and overall"/>
        <w:tblDescription w:val="Table describes the consumer interviewee characteristics in terms of gender, age, indigenous status, state in which they reside and how they access the internet."/>
      </w:tblPr>
      <w:tblGrid>
        <w:gridCol w:w="4076"/>
        <w:gridCol w:w="707"/>
        <w:gridCol w:w="709"/>
        <w:gridCol w:w="706"/>
        <w:gridCol w:w="708"/>
        <w:gridCol w:w="706"/>
        <w:gridCol w:w="708"/>
        <w:gridCol w:w="706"/>
        <w:gridCol w:w="704"/>
      </w:tblGrid>
      <w:tr w:rsidR="007D175D" w:rsidRPr="007D175D" w14:paraId="45FE2B21" w14:textId="77777777" w:rsidTr="001A43F9">
        <w:trPr>
          <w:trHeight w:val="300"/>
          <w:tblHeader/>
        </w:trPr>
        <w:tc>
          <w:tcPr>
            <w:tcW w:w="2094" w:type="pct"/>
            <w:vMerge w:val="restart"/>
            <w:tcBorders>
              <w:top w:val="single" w:sz="6" w:space="0" w:color="000000"/>
              <w:left w:val="single" w:sz="6" w:space="0" w:color="000000"/>
              <w:bottom w:val="nil"/>
              <w:right w:val="nil"/>
            </w:tcBorders>
            <w:shd w:val="clear" w:color="auto" w:fill="000000"/>
            <w:vAlign w:val="center"/>
            <w:hideMark/>
          </w:tcPr>
          <w:p w14:paraId="72A11F91"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Characteristics </w:t>
            </w:r>
          </w:p>
        </w:tc>
        <w:tc>
          <w:tcPr>
            <w:tcW w:w="727" w:type="pct"/>
            <w:gridSpan w:val="2"/>
            <w:tcBorders>
              <w:top w:val="single" w:sz="6" w:space="0" w:color="000000"/>
              <w:left w:val="nil"/>
              <w:bottom w:val="nil"/>
              <w:right w:val="nil"/>
            </w:tcBorders>
            <w:shd w:val="clear" w:color="auto" w:fill="000000"/>
            <w:hideMark/>
          </w:tcPr>
          <w:p w14:paraId="2A44F770"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MHO </w:t>
            </w:r>
          </w:p>
          <w:p w14:paraId="32D53D9C"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(n=6) </w:t>
            </w:r>
          </w:p>
        </w:tc>
        <w:tc>
          <w:tcPr>
            <w:tcW w:w="727" w:type="pct"/>
            <w:gridSpan w:val="2"/>
            <w:tcBorders>
              <w:top w:val="single" w:sz="6" w:space="0" w:color="000000"/>
              <w:left w:val="nil"/>
              <w:bottom w:val="nil"/>
              <w:right w:val="nil"/>
            </w:tcBorders>
            <w:shd w:val="clear" w:color="auto" w:fill="000000"/>
            <w:hideMark/>
          </w:tcPr>
          <w:p w14:paraId="39A94CCF"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MS </w:t>
            </w:r>
          </w:p>
          <w:p w14:paraId="2EF47173"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(n=9)</w:t>
            </w:r>
          </w:p>
        </w:tc>
        <w:tc>
          <w:tcPr>
            <w:tcW w:w="727" w:type="pct"/>
            <w:gridSpan w:val="2"/>
            <w:tcBorders>
              <w:top w:val="single" w:sz="6" w:space="0" w:color="000000"/>
              <w:left w:val="nil"/>
              <w:bottom w:val="nil"/>
              <w:right w:val="nil"/>
            </w:tcBorders>
            <w:shd w:val="clear" w:color="auto" w:fill="000000"/>
            <w:hideMark/>
          </w:tcPr>
          <w:p w14:paraId="72B110DB"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TWU </w:t>
            </w:r>
          </w:p>
          <w:p w14:paraId="0DE097B9"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(n=8) </w:t>
            </w:r>
          </w:p>
        </w:tc>
        <w:tc>
          <w:tcPr>
            <w:tcW w:w="727" w:type="pct"/>
            <w:gridSpan w:val="2"/>
            <w:tcBorders>
              <w:top w:val="single" w:sz="6" w:space="0" w:color="000000"/>
              <w:left w:val="nil"/>
              <w:bottom w:val="nil"/>
              <w:right w:val="single" w:sz="6" w:space="0" w:color="000000"/>
            </w:tcBorders>
            <w:shd w:val="clear" w:color="auto" w:fill="000000"/>
            <w:hideMark/>
          </w:tcPr>
          <w:p w14:paraId="7C2958EA"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Total </w:t>
            </w:r>
          </w:p>
          <w:p w14:paraId="5944F880"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 23) </w:t>
            </w:r>
          </w:p>
        </w:tc>
      </w:tr>
      <w:tr w:rsidR="009A2C7B" w:rsidRPr="007D175D" w14:paraId="3C1B3468" w14:textId="77777777" w:rsidTr="001A43F9">
        <w:trPr>
          <w:trHeight w:val="120"/>
          <w:tblHeader/>
        </w:trPr>
        <w:tc>
          <w:tcPr>
            <w:tcW w:w="2094" w:type="pct"/>
            <w:vMerge/>
            <w:tcBorders>
              <w:top w:val="single" w:sz="6" w:space="0" w:color="000000"/>
              <w:left w:val="single" w:sz="6" w:space="0" w:color="000000"/>
              <w:bottom w:val="nil"/>
              <w:right w:val="nil"/>
            </w:tcBorders>
            <w:shd w:val="clear" w:color="auto" w:fill="auto"/>
            <w:vAlign w:val="center"/>
            <w:hideMark/>
          </w:tcPr>
          <w:p w14:paraId="42C968A8" w14:textId="77777777" w:rsidR="007D175D" w:rsidRPr="007D175D" w:rsidRDefault="007D175D" w:rsidP="007D175D">
            <w:pPr>
              <w:rPr>
                <w:rFonts w:asciiTheme="minorHAnsi" w:hAnsiTheme="minorHAnsi" w:cstheme="minorHAnsi"/>
                <w:b/>
                <w:bCs/>
                <w:color w:val="FFFFFF"/>
                <w:sz w:val="18"/>
                <w:szCs w:val="18"/>
                <w:lang w:eastAsia="en-AU"/>
              </w:rPr>
            </w:pPr>
          </w:p>
        </w:tc>
        <w:tc>
          <w:tcPr>
            <w:tcW w:w="363" w:type="pct"/>
            <w:tcBorders>
              <w:top w:val="single" w:sz="6" w:space="0" w:color="000000"/>
              <w:left w:val="nil"/>
              <w:bottom w:val="single" w:sz="6" w:space="0" w:color="000000"/>
              <w:right w:val="nil"/>
            </w:tcBorders>
            <w:shd w:val="clear" w:color="auto" w:fill="000000"/>
            <w:hideMark/>
          </w:tcPr>
          <w:p w14:paraId="43C0BC7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 </w:t>
            </w:r>
          </w:p>
        </w:tc>
        <w:tc>
          <w:tcPr>
            <w:tcW w:w="363" w:type="pct"/>
            <w:tcBorders>
              <w:top w:val="single" w:sz="6" w:space="0" w:color="000000"/>
              <w:left w:val="nil"/>
              <w:bottom w:val="single" w:sz="6" w:space="0" w:color="000000"/>
              <w:right w:val="nil"/>
            </w:tcBorders>
            <w:shd w:val="clear" w:color="auto" w:fill="000000"/>
            <w:hideMark/>
          </w:tcPr>
          <w:p w14:paraId="5409F27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 </w:t>
            </w:r>
          </w:p>
        </w:tc>
        <w:tc>
          <w:tcPr>
            <w:tcW w:w="363" w:type="pct"/>
            <w:tcBorders>
              <w:top w:val="single" w:sz="6" w:space="0" w:color="000000"/>
              <w:left w:val="nil"/>
              <w:bottom w:val="single" w:sz="6" w:space="0" w:color="000000"/>
              <w:right w:val="nil"/>
            </w:tcBorders>
            <w:shd w:val="clear" w:color="auto" w:fill="000000"/>
            <w:hideMark/>
          </w:tcPr>
          <w:p w14:paraId="1CA8DBD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 </w:t>
            </w:r>
          </w:p>
        </w:tc>
        <w:tc>
          <w:tcPr>
            <w:tcW w:w="363" w:type="pct"/>
            <w:tcBorders>
              <w:top w:val="single" w:sz="6" w:space="0" w:color="000000"/>
              <w:left w:val="nil"/>
              <w:bottom w:val="single" w:sz="6" w:space="0" w:color="000000"/>
              <w:right w:val="nil"/>
            </w:tcBorders>
            <w:shd w:val="clear" w:color="auto" w:fill="000000"/>
            <w:hideMark/>
          </w:tcPr>
          <w:p w14:paraId="15076C1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 </w:t>
            </w:r>
          </w:p>
        </w:tc>
        <w:tc>
          <w:tcPr>
            <w:tcW w:w="363" w:type="pct"/>
            <w:tcBorders>
              <w:top w:val="single" w:sz="6" w:space="0" w:color="000000"/>
              <w:left w:val="nil"/>
              <w:bottom w:val="single" w:sz="6" w:space="0" w:color="000000"/>
              <w:right w:val="nil"/>
            </w:tcBorders>
            <w:shd w:val="clear" w:color="auto" w:fill="000000"/>
            <w:hideMark/>
          </w:tcPr>
          <w:p w14:paraId="58C9F6F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 </w:t>
            </w:r>
          </w:p>
        </w:tc>
        <w:tc>
          <w:tcPr>
            <w:tcW w:w="363" w:type="pct"/>
            <w:tcBorders>
              <w:top w:val="single" w:sz="6" w:space="0" w:color="000000"/>
              <w:left w:val="nil"/>
              <w:bottom w:val="single" w:sz="6" w:space="0" w:color="000000"/>
              <w:right w:val="nil"/>
            </w:tcBorders>
            <w:shd w:val="clear" w:color="auto" w:fill="000000"/>
            <w:hideMark/>
          </w:tcPr>
          <w:p w14:paraId="5714F27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 </w:t>
            </w:r>
          </w:p>
        </w:tc>
        <w:tc>
          <w:tcPr>
            <w:tcW w:w="363" w:type="pct"/>
            <w:tcBorders>
              <w:top w:val="single" w:sz="6" w:space="0" w:color="000000"/>
              <w:left w:val="nil"/>
              <w:bottom w:val="single" w:sz="6" w:space="0" w:color="000000"/>
              <w:right w:val="nil"/>
            </w:tcBorders>
            <w:shd w:val="clear" w:color="auto" w:fill="000000"/>
            <w:hideMark/>
          </w:tcPr>
          <w:p w14:paraId="59A6C60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 </w:t>
            </w:r>
          </w:p>
        </w:tc>
        <w:tc>
          <w:tcPr>
            <w:tcW w:w="363" w:type="pct"/>
            <w:tcBorders>
              <w:top w:val="single" w:sz="6" w:space="0" w:color="000000"/>
              <w:left w:val="nil"/>
              <w:bottom w:val="single" w:sz="6" w:space="0" w:color="000000"/>
              <w:right w:val="single" w:sz="6" w:space="0" w:color="000000"/>
            </w:tcBorders>
            <w:shd w:val="clear" w:color="auto" w:fill="000000"/>
            <w:hideMark/>
          </w:tcPr>
          <w:p w14:paraId="6E07CB9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 </w:t>
            </w:r>
          </w:p>
        </w:tc>
      </w:tr>
      <w:tr w:rsidR="007D175D" w:rsidRPr="007D175D" w14:paraId="6C6B0BE7" w14:textId="77777777" w:rsidTr="001A43F9">
        <w:trPr>
          <w:trHeight w:val="865"/>
        </w:trPr>
        <w:tc>
          <w:tcPr>
            <w:tcW w:w="2094" w:type="pct"/>
            <w:tcBorders>
              <w:top w:val="nil"/>
              <w:left w:val="single" w:sz="6" w:space="0" w:color="000000"/>
              <w:bottom w:val="nil"/>
              <w:right w:val="nil"/>
            </w:tcBorders>
            <w:shd w:val="clear" w:color="auto" w:fill="auto"/>
            <w:hideMark/>
          </w:tcPr>
          <w:p w14:paraId="7AB642AF"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Gender </w:t>
            </w:r>
          </w:p>
          <w:p w14:paraId="3D2929A9"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Female</w:t>
            </w:r>
            <w:r w:rsidRPr="007D175D">
              <w:rPr>
                <w:rFonts w:asciiTheme="minorHAnsi" w:hAnsiTheme="minorHAnsi" w:cstheme="minorHAnsi"/>
                <w:b/>
                <w:bCs/>
                <w:color w:val="000000"/>
                <w:sz w:val="18"/>
                <w:szCs w:val="18"/>
                <w:lang w:eastAsia="en-AU"/>
              </w:rPr>
              <w:t> </w:t>
            </w:r>
          </w:p>
          <w:p w14:paraId="6F301C6C"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Male</w:t>
            </w:r>
            <w:r w:rsidRPr="007D175D">
              <w:rPr>
                <w:rFonts w:asciiTheme="minorHAnsi" w:hAnsiTheme="minorHAnsi" w:cstheme="minorHAnsi"/>
                <w:b/>
                <w:bCs/>
                <w:color w:val="000000"/>
                <w:sz w:val="18"/>
                <w:szCs w:val="18"/>
                <w:lang w:eastAsia="en-AU"/>
              </w:rPr>
              <w:t> </w:t>
            </w:r>
          </w:p>
          <w:p w14:paraId="23BF47E2"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I do not identify with either term</w:t>
            </w:r>
          </w:p>
        </w:tc>
        <w:tc>
          <w:tcPr>
            <w:tcW w:w="363" w:type="pct"/>
            <w:tcBorders>
              <w:top w:val="nil"/>
              <w:left w:val="nil"/>
              <w:bottom w:val="nil"/>
              <w:right w:val="nil"/>
            </w:tcBorders>
            <w:shd w:val="clear" w:color="auto" w:fill="auto"/>
            <w:hideMark/>
          </w:tcPr>
          <w:p w14:paraId="7C356B4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860D21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256893C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37FAD1F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w:t>
            </w:r>
          </w:p>
        </w:tc>
        <w:tc>
          <w:tcPr>
            <w:tcW w:w="363" w:type="pct"/>
            <w:tcBorders>
              <w:top w:val="nil"/>
              <w:left w:val="nil"/>
              <w:bottom w:val="nil"/>
              <w:right w:val="nil"/>
            </w:tcBorders>
            <w:shd w:val="clear" w:color="auto" w:fill="auto"/>
            <w:hideMark/>
          </w:tcPr>
          <w:p w14:paraId="2C5627A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03B341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100 </w:t>
            </w:r>
          </w:p>
          <w:p w14:paraId="7A4A1FB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w:t>
            </w:r>
          </w:p>
          <w:p w14:paraId="08AF5C4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w:t>
            </w:r>
          </w:p>
        </w:tc>
        <w:tc>
          <w:tcPr>
            <w:tcW w:w="363" w:type="pct"/>
            <w:tcBorders>
              <w:top w:val="nil"/>
              <w:left w:val="nil"/>
              <w:bottom w:val="nil"/>
              <w:right w:val="nil"/>
            </w:tcBorders>
            <w:shd w:val="clear" w:color="auto" w:fill="auto"/>
            <w:hideMark/>
          </w:tcPr>
          <w:p w14:paraId="4A745C9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D10372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22201B5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w:t>
            </w:r>
          </w:p>
          <w:p w14:paraId="44C5F2E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w:t>
            </w:r>
          </w:p>
        </w:tc>
        <w:tc>
          <w:tcPr>
            <w:tcW w:w="363" w:type="pct"/>
            <w:tcBorders>
              <w:top w:val="nil"/>
              <w:left w:val="nil"/>
              <w:bottom w:val="nil"/>
              <w:right w:val="nil"/>
            </w:tcBorders>
            <w:shd w:val="clear" w:color="auto" w:fill="auto"/>
            <w:hideMark/>
          </w:tcPr>
          <w:p w14:paraId="7903A1D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B658C5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78 </w:t>
            </w:r>
          </w:p>
          <w:p w14:paraId="21C63648" w14:textId="77777777" w:rsidR="007D175D" w:rsidRPr="007D175D" w:rsidRDefault="007D175D" w:rsidP="007D175D">
            <w:pPr>
              <w:jc w:val="center"/>
              <w:textAlignment w:val="baseline"/>
              <w:rPr>
                <w:rFonts w:asciiTheme="minorHAnsi" w:hAnsiTheme="minorHAnsi" w:cstheme="minorHAnsi"/>
                <w:color w:val="000000"/>
                <w:sz w:val="18"/>
                <w:szCs w:val="18"/>
                <w:lang w:eastAsia="en-AU"/>
              </w:rPr>
            </w:pPr>
            <w:r w:rsidRPr="007D175D">
              <w:rPr>
                <w:rFonts w:asciiTheme="minorHAnsi" w:hAnsiTheme="minorHAnsi" w:cstheme="minorHAnsi"/>
                <w:color w:val="000000"/>
                <w:sz w:val="18"/>
                <w:szCs w:val="18"/>
                <w:lang w:eastAsia="en-AU"/>
              </w:rPr>
              <w:t> 22</w:t>
            </w:r>
          </w:p>
          <w:p w14:paraId="4C1D3CF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tc>
        <w:tc>
          <w:tcPr>
            <w:tcW w:w="363" w:type="pct"/>
            <w:tcBorders>
              <w:top w:val="nil"/>
              <w:left w:val="nil"/>
              <w:bottom w:val="nil"/>
              <w:right w:val="nil"/>
            </w:tcBorders>
            <w:shd w:val="clear" w:color="auto" w:fill="auto"/>
            <w:hideMark/>
          </w:tcPr>
          <w:p w14:paraId="18B90DF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E59EA6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2A82BFF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750C6B2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w:t>
            </w:r>
          </w:p>
        </w:tc>
        <w:tc>
          <w:tcPr>
            <w:tcW w:w="363" w:type="pct"/>
            <w:tcBorders>
              <w:top w:val="nil"/>
              <w:left w:val="nil"/>
              <w:bottom w:val="nil"/>
              <w:right w:val="nil"/>
            </w:tcBorders>
            <w:shd w:val="clear" w:color="auto" w:fill="auto"/>
            <w:hideMark/>
          </w:tcPr>
          <w:p w14:paraId="7877CF5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75A5FE0" w14:textId="77777777" w:rsidR="007D175D" w:rsidRPr="007D175D" w:rsidRDefault="007D175D" w:rsidP="007D175D">
            <w:pPr>
              <w:jc w:val="center"/>
              <w:textAlignment w:val="baseline"/>
              <w:rPr>
                <w:rFonts w:asciiTheme="minorHAnsi" w:hAnsiTheme="minorHAnsi" w:cstheme="minorHAnsi"/>
                <w:color w:val="000000"/>
                <w:sz w:val="18"/>
                <w:szCs w:val="18"/>
                <w:lang w:eastAsia="en-AU"/>
              </w:rPr>
            </w:pPr>
            <w:r w:rsidRPr="007D175D">
              <w:rPr>
                <w:rFonts w:asciiTheme="minorHAnsi" w:hAnsiTheme="minorHAnsi" w:cstheme="minorHAnsi"/>
                <w:color w:val="000000"/>
                <w:sz w:val="18"/>
                <w:szCs w:val="18"/>
                <w:lang w:eastAsia="en-AU"/>
              </w:rPr>
              <w:t>63</w:t>
            </w:r>
          </w:p>
          <w:p w14:paraId="511CE66C" w14:textId="77777777" w:rsidR="007D175D" w:rsidRPr="007D175D" w:rsidRDefault="007D175D" w:rsidP="007D175D">
            <w:pPr>
              <w:jc w:val="center"/>
              <w:textAlignment w:val="baseline"/>
              <w:rPr>
                <w:rFonts w:asciiTheme="minorHAnsi" w:hAnsiTheme="minorHAnsi" w:cstheme="minorHAnsi"/>
                <w:color w:val="000000"/>
                <w:sz w:val="18"/>
                <w:szCs w:val="18"/>
                <w:lang w:eastAsia="en-AU"/>
              </w:rPr>
            </w:pPr>
            <w:r w:rsidRPr="007D175D">
              <w:rPr>
                <w:rFonts w:asciiTheme="minorHAnsi" w:hAnsiTheme="minorHAnsi" w:cstheme="minorHAnsi"/>
                <w:color w:val="000000"/>
                <w:sz w:val="18"/>
                <w:szCs w:val="18"/>
                <w:lang w:eastAsia="en-AU"/>
              </w:rPr>
              <w:t>37 </w:t>
            </w:r>
          </w:p>
          <w:p w14:paraId="5CC0931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tc>
        <w:tc>
          <w:tcPr>
            <w:tcW w:w="363" w:type="pct"/>
            <w:tcBorders>
              <w:top w:val="nil"/>
              <w:left w:val="nil"/>
              <w:bottom w:val="nil"/>
              <w:right w:val="nil"/>
            </w:tcBorders>
            <w:shd w:val="clear" w:color="auto" w:fill="auto"/>
            <w:hideMark/>
          </w:tcPr>
          <w:p w14:paraId="62D82C6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A2D459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p w14:paraId="55D36C3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w:t>
            </w:r>
          </w:p>
          <w:p w14:paraId="2AEBB3A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tc>
        <w:tc>
          <w:tcPr>
            <w:tcW w:w="363" w:type="pct"/>
            <w:tcBorders>
              <w:top w:val="nil"/>
              <w:left w:val="nil"/>
              <w:bottom w:val="nil"/>
              <w:right w:val="single" w:sz="6" w:space="0" w:color="000000"/>
            </w:tcBorders>
            <w:shd w:val="clear" w:color="auto" w:fill="auto"/>
            <w:hideMark/>
          </w:tcPr>
          <w:p w14:paraId="2F57EB8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AF470E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78</w:t>
            </w:r>
          </w:p>
          <w:p w14:paraId="6E9CA20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22</w:t>
            </w:r>
          </w:p>
          <w:p w14:paraId="0A013C1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tc>
      </w:tr>
      <w:tr w:rsidR="007D175D" w:rsidRPr="007D175D" w14:paraId="0FB9A24A" w14:textId="77777777" w:rsidTr="001A43F9">
        <w:trPr>
          <w:trHeight w:val="2280"/>
        </w:trPr>
        <w:tc>
          <w:tcPr>
            <w:tcW w:w="2094" w:type="pct"/>
            <w:tcBorders>
              <w:top w:val="single" w:sz="6" w:space="0" w:color="000000"/>
              <w:left w:val="single" w:sz="6" w:space="0" w:color="000000"/>
              <w:bottom w:val="single" w:sz="6" w:space="0" w:color="auto"/>
              <w:right w:val="nil"/>
            </w:tcBorders>
            <w:shd w:val="clear" w:color="auto" w:fill="auto"/>
            <w:hideMark/>
          </w:tcPr>
          <w:p w14:paraId="61B49D0B"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Age </w:t>
            </w:r>
          </w:p>
          <w:p w14:paraId="68F9A036"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16-17 years</w:t>
            </w:r>
            <w:r w:rsidRPr="007D175D">
              <w:rPr>
                <w:rFonts w:asciiTheme="minorHAnsi" w:hAnsiTheme="minorHAnsi" w:cstheme="minorHAnsi"/>
                <w:b/>
                <w:bCs/>
                <w:color w:val="000000"/>
                <w:sz w:val="18"/>
                <w:szCs w:val="18"/>
                <w:lang w:eastAsia="en-AU"/>
              </w:rPr>
              <w:t> </w:t>
            </w:r>
          </w:p>
          <w:p w14:paraId="4B842310"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18-19 years</w:t>
            </w:r>
            <w:r w:rsidRPr="007D175D">
              <w:rPr>
                <w:rFonts w:asciiTheme="minorHAnsi" w:hAnsiTheme="minorHAnsi" w:cstheme="minorHAnsi"/>
                <w:b/>
                <w:bCs/>
                <w:color w:val="000000"/>
                <w:sz w:val="18"/>
                <w:szCs w:val="18"/>
                <w:lang w:eastAsia="en-AU"/>
              </w:rPr>
              <w:t> </w:t>
            </w:r>
          </w:p>
          <w:p w14:paraId="274208C9"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20-29 years</w:t>
            </w:r>
            <w:r w:rsidRPr="007D175D">
              <w:rPr>
                <w:rFonts w:asciiTheme="minorHAnsi" w:hAnsiTheme="minorHAnsi" w:cstheme="minorHAnsi"/>
                <w:b/>
                <w:bCs/>
                <w:color w:val="000000"/>
                <w:sz w:val="18"/>
                <w:szCs w:val="18"/>
                <w:lang w:eastAsia="en-AU"/>
              </w:rPr>
              <w:t> </w:t>
            </w:r>
          </w:p>
          <w:p w14:paraId="2B57D70B"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30-39 years</w:t>
            </w:r>
            <w:r w:rsidRPr="007D175D">
              <w:rPr>
                <w:rFonts w:asciiTheme="minorHAnsi" w:hAnsiTheme="minorHAnsi" w:cstheme="minorHAnsi"/>
                <w:b/>
                <w:bCs/>
                <w:color w:val="000000"/>
                <w:sz w:val="18"/>
                <w:szCs w:val="18"/>
                <w:lang w:eastAsia="en-AU"/>
              </w:rPr>
              <w:t> </w:t>
            </w:r>
          </w:p>
          <w:p w14:paraId="63E19A89"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40-49 years</w:t>
            </w:r>
            <w:r w:rsidRPr="007D175D">
              <w:rPr>
                <w:rFonts w:asciiTheme="minorHAnsi" w:hAnsiTheme="minorHAnsi" w:cstheme="minorHAnsi"/>
                <w:b/>
                <w:bCs/>
                <w:color w:val="000000"/>
                <w:sz w:val="18"/>
                <w:szCs w:val="18"/>
                <w:lang w:eastAsia="en-AU"/>
              </w:rPr>
              <w:t> </w:t>
            </w:r>
          </w:p>
          <w:p w14:paraId="60F255EE"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50-59 years</w:t>
            </w:r>
            <w:r w:rsidRPr="007D175D">
              <w:rPr>
                <w:rFonts w:asciiTheme="minorHAnsi" w:hAnsiTheme="minorHAnsi" w:cstheme="minorHAnsi"/>
                <w:b/>
                <w:bCs/>
                <w:color w:val="000000"/>
                <w:sz w:val="18"/>
                <w:szCs w:val="18"/>
                <w:lang w:eastAsia="en-AU"/>
              </w:rPr>
              <w:t> </w:t>
            </w:r>
          </w:p>
          <w:p w14:paraId="4BD77556"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60-69 years</w:t>
            </w:r>
            <w:r w:rsidRPr="007D175D">
              <w:rPr>
                <w:rFonts w:asciiTheme="minorHAnsi" w:hAnsiTheme="minorHAnsi" w:cstheme="minorHAnsi"/>
                <w:b/>
                <w:bCs/>
                <w:color w:val="000000"/>
                <w:sz w:val="18"/>
                <w:szCs w:val="18"/>
                <w:lang w:eastAsia="en-AU"/>
              </w:rPr>
              <w:t> </w:t>
            </w:r>
          </w:p>
          <w:p w14:paraId="23BD30F9"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70-79 years</w:t>
            </w:r>
            <w:r w:rsidRPr="007D175D">
              <w:rPr>
                <w:rFonts w:asciiTheme="minorHAnsi" w:hAnsiTheme="minorHAnsi" w:cstheme="minorHAnsi"/>
                <w:b/>
                <w:bCs/>
                <w:color w:val="000000"/>
                <w:sz w:val="18"/>
                <w:szCs w:val="18"/>
                <w:lang w:eastAsia="en-AU"/>
              </w:rPr>
              <w:t> </w:t>
            </w:r>
          </w:p>
          <w:p w14:paraId="2C0C73EF"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80 years or older</w:t>
            </w:r>
            <w:r w:rsidRPr="007D175D">
              <w:rPr>
                <w:rFonts w:asciiTheme="minorHAnsi" w:hAnsiTheme="minorHAnsi" w:cstheme="minorHAnsi"/>
                <w:b/>
                <w:bCs/>
                <w:color w:val="000000"/>
                <w:sz w:val="18"/>
                <w:szCs w:val="18"/>
                <w:lang w:eastAsia="en-AU"/>
              </w:rPr>
              <w:t> </w:t>
            </w:r>
          </w:p>
        </w:tc>
        <w:tc>
          <w:tcPr>
            <w:tcW w:w="363" w:type="pct"/>
            <w:tcBorders>
              <w:top w:val="single" w:sz="6" w:space="0" w:color="000000"/>
              <w:left w:val="nil"/>
              <w:bottom w:val="single" w:sz="6" w:space="0" w:color="auto"/>
              <w:right w:val="nil"/>
            </w:tcBorders>
            <w:shd w:val="clear" w:color="auto" w:fill="auto"/>
          </w:tcPr>
          <w:p w14:paraId="74C8697E"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4784068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2EFB375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7686FDB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w:t>
            </w:r>
          </w:p>
          <w:p w14:paraId="33BF372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w:t>
            </w:r>
          </w:p>
          <w:p w14:paraId="49B3DAD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w:t>
            </w:r>
          </w:p>
          <w:p w14:paraId="13E0284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w:t>
            </w:r>
          </w:p>
          <w:p w14:paraId="1975028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38EEE8B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4063392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tc>
        <w:tc>
          <w:tcPr>
            <w:tcW w:w="363" w:type="pct"/>
            <w:tcBorders>
              <w:top w:val="single" w:sz="6" w:space="0" w:color="000000"/>
              <w:left w:val="nil"/>
              <w:bottom w:val="single" w:sz="6" w:space="0" w:color="auto"/>
              <w:right w:val="nil"/>
            </w:tcBorders>
            <w:shd w:val="clear" w:color="auto" w:fill="auto"/>
          </w:tcPr>
          <w:p w14:paraId="39948A99"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1295EBF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1C8A618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03CB9EF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33</w:t>
            </w:r>
          </w:p>
          <w:p w14:paraId="359DD19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17</w:t>
            </w:r>
          </w:p>
          <w:p w14:paraId="027EEE6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33</w:t>
            </w:r>
          </w:p>
          <w:p w14:paraId="5A8D40C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17</w:t>
            </w:r>
          </w:p>
          <w:p w14:paraId="77FC190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1D59B5A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159AAED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tc>
        <w:tc>
          <w:tcPr>
            <w:tcW w:w="363" w:type="pct"/>
            <w:tcBorders>
              <w:top w:val="single" w:sz="6" w:space="0" w:color="000000"/>
              <w:left w:val="nil"/>
              <w:bottom w:val="single" w:sz="6" w:space="0" w:color="auto"/>
              <w:right w:val="nil"/>
            </w:tcBorders>
            <w:shd w:val="clear" w:color="auto" w:fill="auto"/>
          </w:tcPr>
          <w:p w14:paraId="6A3272E0"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2C6DF67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1195B73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37A3378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0B9577B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w:t>
            </w:r>
          </w:p>
          <w:p w14:paraId="001E097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1B5CC76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w:t>
            </w:r>
          </w:p>
          <w:p w14:paraId="5159CF3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w:t>
            </w:r>
          </w:p>
          <w:p w14:paraId="7D6E9C2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w:t>
            </w:r>
          </w:p>
          <w:p w14:paraId="1769B96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tc>
        <w:tc>
          <w:tcPr>
            <w:tcW w:w="363" w:type="pct"/>
            <w:tcBorders>
              <w:top w:val="single" w:sz="6" w:space="0" w:color="000000"/>
              <w:left w:val="nil"/>
              <w:bottom w:val="single" w:sz="6" w:space="0" w:color="auto"/>
              <w:right w:val="nil"/>
            </w:tcBorders>
            <w:shd w:val="clear" w:color="auto" w:fill="auto"/>
          </w:tcPr>
          <w:p w14:paraId="4DFB26B2"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370858E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564842E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2D3B8AB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6045261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22</w:t>
            </w:r>
          </w:p>
          <w:p w14:paraId="57D2D5C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4E6057E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55</w:t>
            </w:r>
          </w:p>
          <w:p w14:paraId="611961F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11</w:t>
            </w:r>
          </w:p>
          <w:p w14:paraId="25CFC57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11</w:t>
            </w:r>
          </w:p>
          <w:p w14:paraId="2ED6B7A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tc>
        <w:tc>
          <w:tcPr>
            <w:tcW w:w="363" w:type="pct"/>
            <w:tcBorders>
              <w:top w:val="single" w:sz="6" w:space="0" w:color="000000"/>
              <w:left w:val="nil"/>
              <w:bottom w:val="single" w:sz="6" w:space="0" w:color="auto"/>
              <w:right w:val="nil"/>
            </w:tcBorders>
            <w:shd w:val="clear" w:color="auto" w:fill="auto"/>
          </w:tcPr>
          <w:p w14:paraId="7E4F4FB6"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43B1EA1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1B6F0AB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w:t>
            </w:r>
          </w:p>
          <w:p w14:paraId="0DFAE07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w:t>
            </w:r>
          </w:p>
          <w:p w14:paraId="6C81910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w:t>
            </w:r>
          </w:p>
          <w:p w14:paraId="41A610B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1ADCEFE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w:t>
            </w:r>
          </w:p>
          <w:p w14:paraId="28ECA1E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w:t>
            </w:r>
          </w:p>
          <w:p w14:paraId="190BCFB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752D880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tc>
        <w:tc>
          <w:tcPr>
            <w:tcW w:w="363" w:type="pct"/>
            <w:tcBorders>
              <w:top w:val="single" w:sz="6" w:space="0" w:color="000000"/>
              <w:left w:val="nil"/>
              <w:bottom w:val="single" w:sz="6" w:space="0" w:color="auto"/>
              <w:right w:val="nil"/>
            </w:tcBorders>
            <w:shd w:val="clear" w:color="auto" w:fill="auto"/>
          </w:tcPr>
          <w:p w14:paraId="6EC89D34"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2143CF4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417476B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12</w:t>
            </w:r>
          </w:p>
          <w:p w14:paraId="2BFC329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12</w:t>
            </w:r>
          </w:p>
          <w:p w14:paraId="052D7CF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38</w:t>
            </w:r>
          </w:p>
          <w:p w14:paraId="3D2096E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26490C9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25</w:t>
            </w:r>
          </w:p>
          <w:p w14:paraId="5B74779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12</w:t>
            </w:r>
          </w:p>
          <w:p w14:paraId="1E1D807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6CD5A16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tc>
        <w:tc>
          <w:tcPr>
            <w:tcW w:w="363" w:type="pct"/>
            <w:tcBorders>
              <w:top w:val="single" w:sz="6" w:space="0" w:color="000000"/>
              <w:left w:val="nil"/>
              <w:bottom w:val="single" w:sz="6" w:space="0" w:color="auto"/>
              <w:right w:val="nil"/>
            </w:tcBorders>
            <w:shd w:val="clear" w:color="auto" w:fill="auto"/>
          </w:tcPr>
          <w:p w14:paraId="5A9CEBC4"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510D9CD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1246A76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w:t>
            </w:r>
          </w:p>
          <w:p w14:paraId="3B90858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w:t>
            </w:r>
          </w:p>
          <w:p w14:paraId="325ED8C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w:t>
            </w:r>
          </w:p>
          <w:p w14:paraId="7BAFB44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w:t>
            </w:r>
          </w:p>
          <w:p w14:paraId="1EA4853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8</w:t>
            </w:r>
          </w:p>
          <w:p w14:paraId="2896DB5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w:t>
            </w:r>
          </w:p>
          <w:p w14:paraId="3E6A062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w:t>
            </w:r>
          </w:p>
          <w:p w14:paraId="0479F23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tc>
        <w:tc>
          <w:tcPr>
            <w:tcW w:w="363" w:type="pct"/>
            <w:tcBorders>
              <w:top w:val="single" w:sz="6" w:space="0" w:color="000000"/>
              <w:left w:val="nil"/>
              <w:bottom w:val="single" w:sz="6" w:space="0" w:color="auto"/>
              <w:right w:val="single" w:sz="6" w:space="0" w:color="000000"/>
            </w:tcBorders>
            <w:shd w:val="clear" w:color="auto" w:fill="auto"/>
          </w:tcPr>
          <w:p w14:paraId="554CD8E1"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0029077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4110C80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w:t>
            </w:r>
          </w:p>
          <w:p w14:paraId="3BD7C12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13</w:t>
            </w:r>
          </w:p>
          <w:p w14:paraId="5F19543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26</w:t>
            </w:r>
          </w:p>
          <w:p w14:paraId="69C0055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8</w:t>
            </w:r>
          </w:p>
          <w:p w14:paraId="069A9CA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35</w:t>
            </w:r>
          </w:p>
          <w:p w14:paraId="74785A4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26</w:t>
            </w:r>
          </w:p>
          <w:p w14:paraId="482D3F8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w:t>
            </w:r>
          </w:p>
          <w:p w14:paraId="0AEBB63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tc>
      </w:tr>
      <w:tr w:rsidR="007D175D" w:rsidRPr="007D175D" w14:paraId="5F2D0A21" w14:textId="77777777" w:rsidTr="001A43F9">
        <w:trPr>
          <w:trHeight w:val="1192"/>
        </w:trPr>
        <w:tc>
          <w:tcPr>
            <w:tcW w:w="2094" w:type="pct"/>
            <w:tcBorders>
              <w:top w:val="single" w:sz="6" w:space="0" w:color="auto"/>
              <w:left w:val="single" w:sz="6" w:space="0" w:color="auto"/>
              <w:bottom w:val="single" w:sz="6" w:space="0" w:color="auto"/>
              <w:right w:val="nil"/>
            </w:tcBorders>
            <w:shd w:val="clear" w:color="auto" w:fill="auto"/>
            <w:hideMark/>
          </w:tcPr>
          <w:p w14:paraId="5F93A99A"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Indigenous Status </w:t>
            </w:r>
          </w:p>
          <w:p w14:paraId="3EDE660B"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Aboriginal</w:t>
            </w:r>
            <w:r w:rsidRPr="007D175D">
              <w:rPr>
                <w:rFonts w:asciiTheme="minorHAnsi" w:hAnsiTheme="minorHAnsi" w:cstheme="minorHAnsi"/>
                <w:b/>
                <w:bCs/>
                <w:color w:val="000000"/>
                <w:sz w:val="18"/>
                <w:szCs w:val="18"/>
                <w:lang w:eastAsia="en-AU"/>
              </w:rPr>
              <w:t> </w:t>
            </w:r>
          </w:p>
          <w:p w14:paraId="74FD7974"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Both Aboriginal/ Torres Strait Islander</w:t>
            </w:r>
            <w:r w:rsidRPr="007D175D">
              <w:rPr>
                <w:rFonts w:asciiTheme="minorHAnsi" w:hAnsiTheme="minorHAnsi" w:cstheme="minorHAnsi"/>
                <w:b/>
                <w:bCs/>
                <w:color w:val="000000"/>
                <w:sz w:val="18"/>
                <w:szCs w:val="18"/>
                <w:lang w:eastAsia="en-AU"/>
              </w:rPr>
              <w:t> </w:t>
            </w:r>
          </w:p>
          <w:p w14:paraId="3B293F97"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Neither Aboriginal/ Torres Strait Islander</w:t>
            </w:r>
            <w:r w:rsidRPr="007D175D">
              <w:rPr>
                <w:rFonts w:asciiTheme="minorHAnsi" w:hAnsiTheme="minorHAnsi" w:cstheme="minorHAnsi"/>
                <w:b/>
                <w:bCs/>
                <w:color w:val="000000"/>
                <w:sz w:val="18"/>
                <w:szCs w:val="18"/>
                <w:lang w:eastAsia="en-AU"/>
              </w:rPr>
              <w:t> </w:t>
            </w:r>
          </w:p>
          <w:p w14:paraId="2442B95F" w14:textId="42A7EF0C" w:rsidR="007D175D" w:rsidRPr="007D175D" w:rsidRDefault="007D175D" w:rsidP="00A56C43">
            <w:pPr>
              <w:textAlignment w:val="baseline"/>
              <w:rPr>
                <w:rFonts w:asciiTheme="minorHAnsi" w:hAnsiTheme="minorHAnsi" w:cstheme="minorHAnsi"/>
                <w:b/>
                <w:bCs/>
                <w:sz w:val="18"/>
                <w:szCs w:val="18"/>
                <w:lang w:eastAsia="en-AU"/>
              </w:rPr>
            </w:pPr>
          </w:p>
        </w:tc>
        <w:tc>
          <w:tcPr>
            <w:tcW w:w="363" w:type="pct"/>
            <w:tcBorders>
              <w:top w:val="single" w:sz="6" w:space="0" w:color="auto"/>
              <w:left w:val="nil"/>
              <w:bottom w:val="single" w:sz="6" w:space="0" w:color="auto"/>
              <w:right w:val="nil"/>
            </w:tcBorders>
            <w:shd w:val="clear" w:color="auto" w:fill="auto"/>
          </w:tcPr>
          <w:p w14:paraId="2ECE33D3"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37A6F5F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1B3746D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32A6A4B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w:t>
            </w:r>
          </w:p>
        </w:tc>
        <w:tc>
          <w:tcPr>
            <w:tcW w:w="363" w:type="pct"/>
            <w:tcBorders>
              <w:top w:val="single" w:sz="6" w:space="0" w:color="auto"/>
              <w:left w:val="nil"/>
              <w:bottom w:val="single" w:sz="6" w:space="0" w:color="auto"/>
              <w:right w:val="nil"/>
            </w:tcBorders>
            <w:shd w:val="clear" w:color="auto" w:fill="auto"/>
          </w:tcPr>
          <w:p w14:paraId="3E08DF4F"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756BBEB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417FD38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5FE3080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100</w:t>
            </w:r>
          </w:p>
          <w:p w14:paraId="23B71B61" w14:textId="77777777" w:rsidR="007D175D" w:rsidRPr="007D175D" w:rsidRDefault="007D175D" w:rsidP="007D175D">
            <w:pPr>
              <w:jc w:val="center"/>
              <w:textAlignment w:val="baseline"/>
              <w:rPr>
                <w:rFonts w:asciiTheme="minorHAnsi" w:hAnsiTheme="minorHAnsi" w:cstheme="minorHAnsi"/>
                <w:sz w:val="18"/>
                <w:szCs w:val="18"/>
                <w:lang w:eastAsia="en-AU"/>
              </w:rPr>
            </w:pPr>
          </w:p>
        </w:tc>
        <w:tc>
          <w:tcPr>
            <w:tcW w:w="363" w:type="pct"/>
            <w:tcBorders>
              <w:top w:val="single" w:sz="6" w:space="0" w:color="auto"/>
              <w:left w:val="nil"/>
              <w:bottom w:val="single" w:sz="6" w:space="0" w:color="auto"/>
              <w:right w:val="nil"/>
            </w:tcBorders>
            <w:shd w:val="clear" w:color="auto" w:fill="auto"/>
          </w:tcPr>
          <w:p w14:paraId="42A22C3C"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6287C50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0D9E5F1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0FB3662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9</w:t>
            </w:r>
          </w:p>
        </w:tc>
        <w:tc>
          <w:tcPr>
            <w:tcW w:w="363" w:type="pct"/>
            <w:tcBorders>
              <w:top w:val="single" w:sz="6" w:space="0" w:color="auto"/>
              <w:left w:val="nil"/>
              <w:bottom w:val="single" w:sz="6" w:space="0" w:color="auto"/>
              <w:right w:val="nil"/>
            </w:tcBorders>
            <w:shd w:val="clear" w:color="auto" w:fill="auto"/>
          </w:tcPr>
          <w:p w14:paraId="70639E3E"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38BA9ED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6A6BA02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3DEBC50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100</w:t>
            </w:r>
          </w:p>
          <w:p w14:paraId="18F31EC6" w14:textId="77777777" w:rsidR="007D175D" w:rsidRPr="007D175D" w:rsidRDefault="007D175D" w:rsidP="007D175D">
            <w:pPr>
              <w:jc w:val="center"/>
              <w:textAlignment w:val="baseline"/>
              <w:rPr>
                <w:rFonts w:asciiTheme="minorHAnsi" w:hAnsiTheme="minorHAnsi" w:cstheme="minorHAnsi"/>
                <w:sz w:val="18"/>
                <w:szCs w:val="18"/>
                <w:lang w:eastAsia="en-AU"/>
              </w:rPr>
            </w:pPr>
          </w:p>
        </w:tc>
        <w:tc>
          <w:tcPr>
            <w:tcW w:w="363" w:type="pct"/>
            <w:tcBorders>
              <w:top w:val="single" w:sz="6" w:space="0" w:color="auto"/>
              <w:left w:val="nil"/>
              <w:bottom w:val="single" w:sz="6" w:space="0" w:color="auto"/>
              <w:right w:val="nil"/>
            </w:tcBorders>
            <w:shd w:val="clear" w:color="auto" w:fill="auto"/>
          </w:tcPr>
          <w:p w14:paraId="41F05B5C"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3CEDB29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05E8058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3127A20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8</w:t>
            </w:r>
          </w:p>
        </w:tc>
        <w:tc>
          <w:tcPr>
            <w:tcW w:w="363" w:type="pct"/>
            <w:tcBorders>
              <w:top w:val="single" w:sz="6" w:space="0" w:color="auto"/>
              <w:left w:val="nil"/>
              <w:bottom w:val="single" w:sz="6" w:space="0" w:color="auto"/>
              <w:right w:val="nil"/>
            </w:tcBorders>
            <w:shd w:val="clear" w:color="auto" w:fill="auto"/>
          </w:tcPr>
          <w:p w14:paraId="58804FB8"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4D7F29D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22763CA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2D01E16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100</w:t>
            </w:r>
          </w:p>
          <w:p w14:paraId="3C312D98" w14:textId="77777777" w:rsidR="007D175D" w:rsidRPr="007D175D" w:rsidRDefault="007D175D" w:rsidP="007D175D">
            <w:pPr>
              <w:jc w:val="center"/>
              <w:textAlignment w:val="baseline"/>
              <w:rPr>
                <w:rFonts w:asciiTheme="minorHAnsi" w:hAnsiTheme="minorHAnsi" w:cstheme="minorHAnsi"/>
                <w:sz w:val="18"/>
                <w:szCs w:val="18"/>
                <w:lang w:eastAsia="en-AU"/>
              </w:rPr>
            </w:pPr>
          </w:p>
        </w:tc>
        <w:tc>
          <w:tcPr>
            <w:tcW w:w="363" w:type="pct"/>
            <w:tcBorders>
              <w:top w:val="single" w:sz="6" w:space="0" w:color="auto"/>
              <w:left w:val="nil"/>
              <w:bottom w:val="single" w:sz="6" w:space="0" w:color="auto"/>
              <w:right w:val="nil"/>
            </w:tcBorders>
            <w:shd w:val="clear" w:color="auto" w:fill="auto"/>
          </w:tcPr>
          <w:p w14:paraId="45AEFFC1"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6596594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53EC655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2EF8A54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23</w:t>
            </w:r>
          </w:p>
        </w:tc>
        <w:tc>
          <w:tcPr>
            <w:tcW w:w="363" w:type="pct"/>
            <w:tcBorders>
              <w:top w:val="single" w:sz="6" w:space="0" w:color="auto"/>
              <w:left w:val="nil"/>
              <w:bottom w:val="single" w:sz="6" w:space="0" w:color="auto"/>
              <w:right w:val="single" w:sz="6" w:space="0" w:color="auto"/>
            </w:tcBorders>
            <w:shd w:val="clear" w:color="auto" w:fill="auto"/>
          </w:tcPr>
          <w:p w14:paraId="13EA6DFE"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238A55C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0D09AF7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5FDDE87E" w14:textId="0F7B2F9A" w:rsidR="007D175D" w:rsidRPr="007D175D" w:rsidRDefault="007D175D" w:rsidP="00A56C43">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100</w:t>
            </w:r>
          </w:p>
        </w:tc>
      </w:tr>
      <w:tr w:rsidR="007D175D" w:rsidRPr="007D175D" w14:paraId="796CC0C5" w14:textId="77777777" w:rsidTr="001A43F9">
        <w:trPr>
          <w:trHeight w:val="127"/>
        </w:trPr>
        <w:tc>
          <w:tcPr>
            <w:tcW w:w="2094" w:type="pct"/>
            <w:tcBorders>
              <w:top w:val="single" w:sz="6" w:space="0" w:color="auto"/>
              <w:left w:val="single" w:sz="6" w:space="0" w:color="000000"/>
              <w:bottom w:val="single" w:sz="6" w:space="0" w:color="auto"/>
              <w:right w:val="nil"/>
            </w:tcBorders>
            <w:shd w:val="clear" w:color="auto" w:fill="auto"/>
            <w:hideMark/>
          </w:tcPr>
          <w:p w14:paraId="5DEA8474"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State</w:t>
            </w:r>
          </w:p>
          <w:p w14:paraId="08E848A2"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Northern Territory</w:t>
            </w:r>
            <w:r w:rsidRPr="007D175D">
              <w:rPr>
                <w:rFonts w:asciiTheme="minorHAnsi" w:hAnsiTheme="minorHAnsi" w:cstheme="minorHAnsi"/>
                <w:b/>
                <w:bCs/>
                <w:color w:val="000000"/>
                <w:sz w:val="18"/>
                <w:szCs w:val="18"/>
                <w:lang w:eastAsia="en-AU"/>
              </w:rPr>
              <w:t> </w:t>
            </w:r>
          </w:p>
          <w:p w14:paraId="5237374E"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NSW</w:t>
            </w:r>
            <w:r w:rsidRPr="007D175D">
              <w:rPr>
                <w:rFonts w:asciiTheme="minorHAnsi" w:hAnsiTheme="minorHAnsi" w:cstheme="minorHAnsi"/>
                <w:b/>
                <w:bCs/>
                <w:color w:val="000000"/>
                <w:sz w:val="18"/>
                <w:szCs w:val="18"/>
                <w:lang w:eastAsia="en-AU"/>
              </w:rPr>
              <w:t> </w:t>
            </w:r>
          </w:p>
          <w:p w14:paraId="2B519DFA"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Victoria</w:t>
            </w:r>
            <w:r w:rsidRPr="007D175D">
              <w:rPr>
                <w:rFonts w:asciiTheme="minorHAnsi" w:hAnsiTheme="minorHAnsi" w:cstheme="minorHAnsi"/>
                <w:b/>
                <w:bCs/>
                <w:color w:val="000000"/>
                <w:sz w:val="18"/>
                <w:szCs w:val="18"/>
                <w:lang w:eastAsia="en-AU"/>
              </w:rPr>
              <w:t> </w:t>
            </w:r>
          </w:p>
          <w:p w14:paraId="75265636"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Queensland</w:t>
            </w:r>
            <w:r w:rsidRPr="007D175D">
              <w:rPr>
                <w:rFonts w:asciiTheme="minorHAnsi" w:hAnsiTheme="minorHAnsi" w:cstheme="minorHAnsi"/>
                <w:b/>
                <w:bCs/>
                <w:color w:val="000000"/>
                <w:sz w:val="18"/>
                <w:szCs w:val="18"/>
                <w:lang w:eastAsia="en-AU"/>
              </w:rPr>
              <w:t> </w:t>
            </w:r>
          </w:p>
          <w:p w14:paraId="5AC64004"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South Australia</w:t>
            </w:r>
            <w:r w:rsidRPr="007D175D">
              <w:rPr>
                <w:rFonts w:asciiTheme="minorHAnsi" w:hAnsiTheme="minorHAnsi" w:cstheme="minorHAnsi"/>
                <w:b/>
                <w:bCs/>
                <w:color w:val="000000"/>
                <w:sz w:val="18"/>
                <w:szCs w:val="18"/>
                <w:lang w:eastAsia="en-AU"/>
              </w:rPr>
              <w:t> </w:t>
            </w:r>
          </w:p>
          <w:p w14:paraId="0292B099"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Western Australia</w:t>
            </w:r>
            <w:r w:rsidRPr="007D175D">
              <w:rPr>
                <w:rFonts w:asciiTheme="minorHAnsi" w:hAnsiTheme="minorHAnsi" w:cstheme="minorHAnsi"/>
                <w:b/>
                <w:bCs/>
                <w:color w:val="000000"/>
                <w:sz w:val="18"/>
                <w:szCs w:val="18"/>
                <w:lang w:eastAsia="en-AU"/>
              </w:rPr>
              <w:t> </w:t>
            </w:r>
          </w:p>
          <w:p w14:paraId="636FCDB2" w14:textId="755794BD" w:rsidR="007D175D" w:rsidRPr="007D175D" w:rsidRDefault="007D175D" w:rsidP="000555CA">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Tasmania</w:t>
            </w:r>
            <w:r w:rsidRPr="007D175D">
              <w:rPr>
                <w:rFonts w:asciiTheme="minorHAnsi" w:hAnsiTheme="minorHAnsi" w:cstheme="minorHAnsi"/>
                <w:b/>
                <w:bCs/>
                <w:color w:val="000000"/>
                <w:sz w:val="18"/>
                <w:szCs w:val="18"/>
                <w:lang w:eastAsia="en-AU"/>
              </w:rPr>
              <w:t> </w:t>
            </w:r>
          </w:p>
        </w:tc>
        <w:tc>
          <w:tcPr>
            <w:tcW w:w="363" w:type="pct"/>
            <w:tcBorders>
              <w:top w:val="single" w:sz="6" w:space="0" w:color="auto"/>
              <w:left w:val="nil"/>
              <w:bottom w:val="single" w:sz="6" w:space="0" w:color="auto"/>
              <w:right w:val="nil"/>
            </w:tcBorders>
            <w:shd w:val="clear" w:color="auto" w:fill="auto"/>
          </w:tcPr>
          <w:p w14:paraId="533323C4"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6BF00AF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72E0993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w:t>
            </w:r>
          </w:p>
          <w:p w14:paraId="2D63A35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w:t>
            </w:r>
          </w:p>
          <w:p w14:paraId="627DDC8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w:t>
            </w:r>
          </w:p>
          <w:p w14:paraId="118303E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6A39D0B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4708085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tc>
        <w:tc>
          <w:tcPr>
            <w:tcW w:w="363" w:type="pct"/>
            <w:tcBorders>
              <w:top w:val="single" w:sz="6" w:space="0" w:color="auto"/>
              <w:left w:val="nil"/>
              <w:bottom w:val="single" w:sz="6" w:space="0" w:color="auto"/>
              <w:right w:val="nil"/>
            </w:tcBorders>
            <w:shd w:val="clear" w:color="auto" w:fill="auto"/>
          </w:tcPr>
          <w:p w14:paraId="1A34DCFB"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790E47D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33E63DC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50</w:t>
            </w:r>
          </w:p>
          <w:p w14:paraId="22DD945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33</w:t>
            </w:r>
          </w:p>
          <w:p w14:paraId="299100F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17</w:t>
            </w:r>
          </w:p>
          <w:p w14:paraId="3ADF978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2EC57AB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6901F32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tc>
        <w:tc>
          <w:tcPr>
            <w:tcW w:w="363" w:type="pct"/>
            <w:tcBorders>
              <w:top w:val="single" w:sz="6" w:space="0" w:color="auto"/>
              <w:left w:val="nil"/>
              <w:bottom w:val="single" w:sz="6" w:space="0" w:color="auto"/>
              <w:right w:val="nil"/>
            </w:tcBorders>
            <w:shd w:val="clear" w:color="auto" w:fill="auto"/>
          </w:tcPr>
          <w:p w14:paraId="0AD936B9"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4A1502B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2316FAF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w:t>
            </w:r>
          </w:p>
          <w:p w14:paraId="43A64AD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w:t>
            </w:r>
          </w:p>
          <w:p w14:paraId="5D92F38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w:t>
            </w:r>
          </w:p>
          <w:p w14:paraId="6995437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w:t>
            </w:r>
          </w:p>
          <w:p w14:paraId="1E49A8F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0AE2B2F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w:t>
            </w:r>
          </w:p>
        </w:tc>
        <w:tc>
          <w:tcPr>
            <w:tcW w:w="363" w:type="pct"/>
            <w:tcBorders>
              <w:top w:val="single" w:sz="6" w:space="0" w:color="auto"/>
              <w:left w:val="nil"/>
              <w:bottom w:val="single" w:sz="6" w:space="0" w:color="auto"/>
              <w:right w:val="nil"/>
            </w:tcBorders>
            <w:shd w:val="clear" w:color="auto" w:fill="auto"/>
          </w:tcPr>
          <w:p w14:paraId="35F874EA"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17A9FDE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6F7EC9B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33</w:t>
            </w:r>
          </w:p>
          <w:p w14:paraId="6E0DEEF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33</w:t>
            </w:r>
          </w:p>
          <w:p w14:paraId="2795401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11</w:t>
            </w:r>
          </w:p>
          <w:p w14:paraId="23C87B6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11</w:t>
            </w:r>
          </w:p>
          <w:p w14:paraId="5D3348C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137CE2A0" w14:textId="77777777" w:rsidR="007D175D" w:rsidRPr="007D175D" w:rsidRDefault="007D175D" w:rsidP="007D175D">
            <w:pPr>
              <w:spacing w:line="360" w:lineRule="auto"/>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11</w:t>
            </w:r>
          </w:p>
        </w:tc>
        <w:tc>
          <w:tcPr>
            <w:tcW w:w="363" w:type="pct"/>
            <w:tcBorders>
              <w:top w:val="single" w:sz="6" w:space="0" w:color="auto"/>
              <w:left w:val="nil"/>
              <w:bottom w:val="single" w:sz="6" w:space="0" w:color="auto"/>
              <w:right w:val="nil"/>
            </w:tcBorders>
            <w:shd w:val="clear" w:color="auto" w:fill="auto"/>
          </w:tcPr>
          <w:p w14:paraId="390EDB28"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09FA6ED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677BEC4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w:t>
            </w:r>
          </w:p>
          <w:p w14:paraId="1823368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w:t>
            </w:r>
          </w:p>
          <w:p w14:paraId="19EFCCB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1F8E0D2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279B8E9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15BA5FF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w:t>
            </w:r>
          </w:p>
        </w:tc>
        <w:tc>
          <w:tcPr>
            <w:tcW w:w="363" w:type="pct"/>
            <w:tcBorders>
              <w:top w:val="single" w:sz="6" w:space="0" w:color="auto"/>
              <w:left w:val="nil"/>
              <w:bottom w:val="single" w:sz="6" w:space="0" w:color="auto"/>
              <w:right w:val="nil"/>
            </w:tcBorders>
            <w:shd w:val="clear" w:color="auto" w:fill="auto"/>
          </w:tcPr>
          <w:p w14:paraId="2A008583"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710EB2F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5BF4159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50</w:t>
            </w:r>
          </w:p>
          <w:p w14:paraId="3DEDA29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37</w:t>
            </w:r>
          </w:p>
          <w:p w14:paraId="6082648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055840D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25BBC30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2F36D93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13</w:t>
            </w:r>
          </w:p>
        </w:tc>
        <w:tc>
          <w:tcPr>
            <w:tcW w:w="363" w:type="pct"/>
            <w:tcBorders>
              <w:top w:val="single" w:sz="6" w:space="0" w:color="auto"/>
              <w:left w:val="nil"/>
              <w:bottom w:val="single" w:sz="6" w:space="0" w:color="auto"/>
              <w:right w:val="nil"/>
            </w:tcBorders>
            <w:shd w:val="clear" w:color="auto" w:fill="auto"/>
          </w:tcPr>
          <w:p w14:paraId="6637C063"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03DC72A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3B273E9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10</w:t>
            </w:r>
          </w:p>
          <w:p w14:paraId="6B99237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8</w:t>
            </w:r>
          </w:p>
          <w:p w14:paraId="6CF2425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w:t>
            </w:r>
          </w:p>
          <w:p w14:paraId="24E7700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w:t>
            </w:r>
          </w:p>
          <w:p w14:paraId="5DC26CF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06DB8CE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w:t>
            </w:r>
          </w:p>
        </w:tc>
        <w:tc>
          <w:tcPr>
            <w:tcW w:w="363" w:type="pct"/>
            <w:tcBorders>
              <w:top w:val="single" w:sz="6" w:space="0" w:color="auto"/>
              <w:left w:val="nil"/>
              <w:bottom w:val="single" w:sz="6" w:space="0" w:color="auto"/>
              <w:right w:val="single" w:sz="6" w:space="0" w:color="000000"/>
            </w:tcBorders>
            <w:shd w:val="clear" w:color="auto" w:fill="auto"/>
          </w:tcPr>
          <w:p w14:paraId="2FB8A0AE"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58F9003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638AF38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43</w:t>
            </w:r>
          </w:p>
          <w:p w14:paraId="64ACA9C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35</w:t>
            </w:r>
          </w:p>
          <w:p w14:paraId="4EFA122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9</w:t>
            </w:r>
          </w:p>
          <w:p w14:paraId="6A98553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w:t>
            </w:r>
          </w:p>
          <w:p w14:paraId="7109E50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23A4841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9</w:t>
            </w:r>
          </w:p>
        </w:tc>
      </w:tr>
      <w:tr w:rsidR="007D175D" w:rsidRPr="007D175D" w14:paraId="2BAF3154" w14:textId="77777777" w:rsidTr="001A43F9">
        <w:trPr>
          <w:trHeight w:val="411"/>
        </w:trPr>
        <w:tc>
          <w:tcPr>
            <w:tcW w:w="2094" w:type="pct"/>
            <w:tcBorders>
              <w:top w:val="single" w:sz="6" w:space="0" w:color="auto"/>
              <w:left w:val="single" w:sz="6" w:space="0" w:color="auto"/>
              <w:bottom w:val="single" w:sz="6" w:space="0" w:color="auto"/>
              <w:right w:val="nil"/>
            </w:tcBorders>
            <w:shd w:val="clear" w:color="auto" w:fill="auto"/>
            <w:vAlign w:val="bottom"/>
            <w:hideMark/>
          </w:tcPr>
          <w:p w14:paraId="5C2C31E9" w14:textId="1CFEE375"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 xml:space="preserve">Type of </w:t>
            </w:r>
            <w:proofErr w:type="spellStart"/>
            <w:r w:rsidRPr="007D175D">
              <w:rPr>
                <w:rFonts w:asciiTheme="minorHAnsi" w:hAnsiTheme="minorHAnsi" w:cstheme="minorHAnsi"/>
                <w:b/>
                <w:bCs/>
                <w:color w:val="000000"/>
                <w:sz w:val="18"/>
                <w:szCs w:val="18"/>
                <w:lang w:eastAsia="en-AU"/>
              </w:rPr>
              <w:t>internet</w:t>
            </w:r>
            <w:r w:rsidRPr="007D175D">
              <w:rPr>
                <w:rFonts w:asciiTheme="minorHAnsi" w:hAnsiTheme="minorHAnsi" w:cstheme="minorHAnsi"/>
                <w:b/>
                <w:bCs/>
                <w:color w:val="000000"/>
                <w:sz w:val="18"/>
                <w:szCs w:val="18"/>
                <w:vertAlign w:val="superscript"/>
                <w:lang w:eastAsia="en-AU"/>
              </w:rPr>
              <w:t>a</w:t>
            </w:r>
            <w:proofErr w:type="spellEnd"/>
            <w:r w:rsidRPr="007D175D">
              <w:rPr>
                <w:rFonts w:asciiTheme="minorHAnsi" w:hAnsiTheme="minorHAnsi" w:cstheme="minorHAnsi"/>
                <w:b/>
                <w:bCs/>
                <w:color w:val="000000"/>
                <w:sz w:val="18"/>
                <w:szCs w:val="18"/>
                <w:lang w:eastAsia="en-AU"/>
              </w:rPr>
              <w:t> </w:t>
            </w:r>
          </w:p>
          <w:p w14:paraId="2683AAA9"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Dial up</w:t>
            </w:r>
            <w:r w:rsidRPr="007D175D">
              <w:rPr>
                <w:rFonts w:asciiTheme="minorHAnsi" w:hAnsiTheme="minorHAnsi" w:cstheme="minorHAnsi"/>
                <w:b/>
                <w:bCs/>
                <w:color w:val="000000"/>
                <w:sz w:val="18"/>
                <w:szCs w:val="18"/>
                <w:lang w:eastAsia="en-AU"/>
              </w:rPr>
              <w:t> </w:t>
            </w:r>
          </w:p>
          <w:p w14:paraId="2436E844"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ADSL or ADSL2+</w:t>
            </w:r>
            <w:r w:rsidRPr="007D175D">
              <w:rPr>
                <w:rFonts w:asciiTheme="minorHAnsi" w:hAnsiTheme="minorHAnsi" w:cstheme="minorHAnsi"/>
                <w:b/>
                <w:bCs/>
                <w:color w:val="000000"/>
                <w:sz w:val="18"/>
                <w:szCs w:val="18"/>
                <w:lang w:eastAsia="en-AU"/>
              </w:rPr>
              <w:t> </w:t>
            </w:r>
          </w:p>
          <w:p w14:paraId="69794E7E"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Cable</w:t>
            </w:r>
            <w:r w:rsidRPr="007D175D">
              <w:rPr>
                <w:rFonts w:asciiTheme="minorHAnsi" w:hAnsiTheme="minorHAnsi" w:cstheme="minorHAnsi"/>
                <w:b/>
                <w:bCs/>
                <w:color w:val="000000"/>
                <w:sz w:val="18"/>
                <w:szCs w:val="18"/>
                <w:lang w:eastAsia="en-AU"/>
              </w:rPr>
              <w:t> </w:t>
            </w:r>
          </w:p>
          <w:p w14:paraId="6DC53726"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National Broadband Network </w:t>
            </w:r>
            <w:r w:rsidRPr="007D175D">
              <w:rPr>
                <w:rFonts w:asciiTheme="minorHAnsi" w:hAnsiTheme="minorHAnsi" w:cstheme="minorHAnsi"/>
                <w:b/>
                <w:bCs/>
                <w:color w:val="000000"/>
                <w:sz w:val="18"/>
                <w:szCs w:val="18"/>
                <w:lang w:eastAsia="en-AU"/>
              </w:rPr>
              <w:t> </w:t>
            </w:r>
          </w:p>
          <w:p w14:paraId="41E1A4EA"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Satellite Connection</w:t>
            </w:r>
            <w:r w:rsidRPr="007D175D">
              <w:rPr>
                <w:rFonts w:asciiTheme="minorHAnsi" w:hAnsiTheme="minorHAnsi" w:cstheme="minorHAnsi"/>
                <w:b/>
                <w:bCs/>
                <w:color w:val="000000"/>
                <w:sz w:val="18"/>
                <w:szCs w:val="18"/>
                <w:lang w:eastAsia="en-AU"/>
              </w:rPr>
              <w:t> </w:t>
            </w:r>
          </w:p>
          <w:p w14:paraId="08808572"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Wireless Router</w:t>
            </w:r>
            <w:r w:rsidRPr="007D175D">
              <w:rPr>
                <w:rFonts w:asciiTheme="minorHAnsi" w:hAnsiTheme="minorHAnsi" w:cstheme="minorHAnsi"/>
                <w:b/>
                <w:bCs/>
                <w:color w:val="000000"/>
                <w:sz w:val="18"/>
                <w:szCs w:val="18"/>
                <w:lang w:eastAsia="en-AU"/>
              </w:rPr>
              <w:t> </w:t>
            </w:r>
          </w:p>
          <w:p w14:paraId="458C1120"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Mobile Broadband </w:t>
            </w:r>
            <w:r w:rsidRPr="007D175D">
              <w:rPr>
                <w:rFonts w:asciiTheme="minorHAnsi" w:hAnsiTheme="minorHAnsi" w:cstheme="minorHAnsi"/>
                <w:b/>
                <w:bCs/>
                <w:color w:val="000000"/>
                <w:sz w:val="18"/>
                <w:szCs w:val="18"/>
                <w:lang w:eastAsia="en-AU"/>
              </w:rPr>
              <w:t> </w:t>
            </w:r>
          </w:p>
          <w:p w14:paraId="2979C0A2" w14:textId="1C5543C6" w:rsidR="007D175D" w:rsidRPr="007D175D" w:rsidRDefault="004F4D04" w:rsidP="007D175D">
            <w:pPr>
              <w:ind w:left="165"/>
              <w:textAlignment w:val="baseline"/>
              <w:rPr>
                <w:rFonts w:asciiTheme="minorHAnsi" w:hAnsiTheme="minorHAnsi" w:cstheme="minorHAnsi"/>
                <w:sz w:val="18"/>
                <w:szCs w:val="18"/>
                <w:lang w:eastAsia="en-AU"/>
              </w:rPr>
            </w:pPr>
            <w:r w:rsidRPr="00A56C43">
              <w:rPr>
                <w:rFonts w:asciiTheme="minorHAnsi" w:hAnsiTheme="minorHAnsi" w:cstheme="minorHAnsi"/>
                <w:sz w:val="18"/>
                <w:szCs w:val="18"/>
                <w:lang w:eastAsia="en-AU"/>
              </w:rPr>
              <w:t>Other</w:t>
            </w:r>
          </w:p>
        </w:tc>
        <w:tc>
          <w:tcPr>
            <w:tcW w:w="363" w:type="pct"/>
            <w:tcBorders>
              <w:top w:val="single" w:sz="6" w:space="0" w:color="auto"/>
              <w:left w:val="nil"/>
              <w:bottom w:val="single" w:sz="6" w:space="0" w:color="auto"/>
              <w:right w:val="nil"/>
            </w:tcBorders>
            <w:shd w:val="clear" w:color="auto" w:fill="auto"/>
            <w:vAlign w:val="bottom"/>
            <w:hideMark/>
          </w:tcPr>
          <w:p w14:paraId="3EDFCFA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2B2F355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4D1DBFA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094EC90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2E82FD7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7241A11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5ACE667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3B3DE58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363" w:type="pct"/>
            <w:tcBorders>
              <w:top w:val="single" w:sz="6" w:space="0" w:color="auto"/>
              <w:left w:val="nil"/>
              <w:bottom w:val="single" w:sz="6" w:space="0" w:color="auto"/>
              <w:right w:val="nil"/>
            </w:tcBorders>
            <w:shd w:val="clear" w:color="auto" w:fill="auto"/>
            <w:vAlign w:val="bottom"/>
            <w:hideMark/>
          </w:tcPr>
          <w:p w14:paraId="509B676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74D9A6F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5CE72A7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2B5433A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50 </w:t>
            </w:r>
          </w:p>
          <w:p w14:paraId="584E582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5098726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036A005D" w14:textId="77777777" w:rsidR="007D175D" w:rsidRPr="007D175D" w:rsidRDefault="007D175D" w:rsidP="007D175D">
            <w:pPr>
              <w:jc w:val="center"/>
              <w:textAlignment w:val="baseline"/>
              <w:rPr>
                <w:rFonts w:asciiTheme="minorHAnsi" w:hAnsiTheme="minorHAnsi" w:cstheme="minorHAnsi"/>
                <w:color w:val="000000"/>
                <w:sz w:val="18"/>
                <w:szCs w:val="18"/>
                <w:lang w:eastAsia="en-AU"/>
              </w:rPr>
            </w:pPr>
            <w:r w:rsidRPr="007D175D">
              <w:rPr>
                <w:rFonts w:asciiTheme="minorHAnsi" w:hAnsiTheme="minorHAnsi" w:cstheme="minorHAnsi"/>
                <w:color w:val="000000"/>
                <w:sz w:val="18"/>
                <w:szCs w:val="18"/>
                <w:lang w:eastAsia="en-AU"/>
              </w:rPr>
              <w:t>33</w:t>
            </w:r>
          </w:p>
          <w:p w14:paraId="149C979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17 </w:t>
            </w:r>
          </w:p>
        </w:tc>
        <w:tc>
          <w:tcPr>
            <w:tcW w:w="363" w:type="pct"/>
            <w:tcBorders>
              <w:top w:val="single" w:sz="6" w:space="0" w:color="auto"/>
              <w:left w:val="nil"/>
              <w:bottom w:val="single" w:sz="6" w:space="0" w:color="auto"/>
              <w:right w:val="nil"/>
            </w:tcBorders>
            <w:shd w:val="clear" w:color="auto" w:fill="auto"/>
            <w:vAlign w:val="bottom"/>
            <w:hideMark/>
          </w:tcPr>
          <w:p w14:paraId="566FA72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w:t>
            </w:r>
          </w:p>
          <w:p w14:paraId="146DAC8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4E80E44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41C24FD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567D88A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28EF51B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001DDEE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14FCF11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tc>
        <w:tc>
          <w:tcPr>
            <w:tcW w:w="363" w:type="pct"/>
            <w:tcBorders>
              <w:top w:val="single" w:sz="6" w:space="0" w:color="auto"/>
              <w:left w:val="nil"/>
              <w:bottom w:val="single" w:sz="6" w:space="0" w:color="auto"/>
              <w:right w:val="nil"/>
            </w:tcBorders>
            <w:shd w:val="clear" w:color="auto" w:fill="auto"/>
            <w:vAlign w:val="bottom"/>
            <w:hideMark/>
          </w:tcPr>
          <w:p w14:paraId="46BA3A3A" w14:textId="77777777" w:rsidR="007D175D" w:rsidRPr="007D175D" w:rsidRDefault="007D175D" w:rsidP="007D175D">
            <w:pPr>
              <w:jc w:val="center"/>
              <w:textAlignment w:val="baseline"/>
              <w:rPr>
                <w:rFonts w:asciiTheme="minorHAnsi" w:hAnsiTheme="minorHAnsi" w:cstheme="minorHAnsi"/>
                <w:color w:val="000000"/>
                <w:sz w:val="18"/>
                <w:szCs w:val="18"/>
                <w:lang w:eastAsia="en-AU"/>
              </w:rPr>
            </w:pPr>
            <w:r w:rsidRPr="007D175D">
              <w:rPr>
                <w:rFonts w:asciiTheme="minorHAnsi" w:hAnsiTheme="minorHAnsi" w:cstheme="minorHAnsi"/>
                <w:color w:val="000000"/>
                <w:sz w:val="18"/>
                <w:szCs w:val="18"/>
                <w:lang w:eastAsia="en-AU"/>
              </w:rPr>
              <w:t>0</w:t>
            </w:r>
          </w:p>
          <w:p w14:paraId="7158ABB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71C0D6C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0DFBC8B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77 </w:t>
            </w:r>
          </w:p>
          <w:p w14:paraId="0F50C2A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2848E2F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11</w:t>
            </w:r>
          </w:p>
          <w:p w14:paraId="0F37736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w:t>
            </w:r>
          </w:p>
          <w:p w14:paraId="5D52D1D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363" w:type="pct"/>
            <w:tcBorders>
              <w:top w:val="single" w:sz="6" w:space="0" w:color="auto"/>
              <w:left w:val="nil"/>
              <w:bottom w:val="single" w:sz="6" w:space="0" w:color="auto"/>
              <w:right w:val="nil"/>
            </w:tcBorders>
            <w:shd w:val="clear" w:color="auto" w:fill="auto"/>
            <w:vAlign w:val="bottom"/>
            <w:hideMark/>
          </w:tcPr>
          <w:p w14:paraId="4D49116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072C7BC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509523F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w:t>
            </w:r>
          </w:p>
          <w:p w14:paraId="0492583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7D4EC50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51E9FE0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w:t>
            </w:r>
          </w:p>
          <w:p w14:paraId="18C333E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13A9F05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tc>
        <w:tc>
          <w:tcPr>
            <w:tcW w:w="363" w:type="pct"/>
            <w:tcBorders>
              <w:top w:val="single" w:sz="6" w:space="0" w:color="auto"/>
              <w:left w:val="nil"/>
              <w:bottom w:val="single" w:sz="6" w:space="0" w:color="auto"/>
              <w:right w:val="nil"/>
            </w:tcBorders>
            <w:shd w:val="clear" w:color="auto" w:fill="auto"/>
            <w:vAlign w:val="bottom"/>
            <w:hideMark/>
          </w:tcPr>
          <w:p w14:paraId="79761CE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433EFDC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629B199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7332265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75 </w:t>
            </w:r>
          </w:p>
          <w:p w14:paraId="65F70D4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51C49BD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7E9B01B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1B9D79F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363" w:type="pct"/>
            <w:tcBorders>
              <w:top w:val="single" w:sz="6" w:space="0" w:color="auto"/>
              <w:left w:val="nil"/>
              <w:bottom w:val="single" w:sz="6" w:space="0" w:color="auto"/>
              <w:right w:val="nil"/>
            </w:tcBorders>
            <w:shd w:val="clear" w:color="auto" w:fill="auto"/>
            <w:vAlign w:val="bottom"/>
            <w:hideMark/>
          </w:tcPr>
          <w:p w14:paraId="035C99E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1289DE7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w:t>
            </w:r>
          </w:p>
          <w:p w14:paraId="4E28F62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14788F2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16</w:t>
            </w:r>
          </w:p>
          <w:p w14:paraId="7018F2E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082C88E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2F8CC3E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4643974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w:t>
            </w:r>
          </w:p>
        </w:tc>
        <w:tc>
          <w:tcPr>
            <w:tcW w:w="363" w:type="pct"/>
            <w:tcBorders>
              <w:top w:val="single" w:sz="6" w:space="0" w:color="auto"/>
              <w:left w:val="nil"/>
              <w:bottom w:val="single" w:sz="6" w:space="0" w:color="auto"/>
              <w:right w:val="single" w:sz="6" w:space="0" w:color="auto"/>
            </w:tcBorders>
            <w:shd w:val="clear" w:color="auto" w:fill="auto"/>
            <w:vAlign w:val="bottom"/>
            <w:hideMark/>
          </w:tcPr>
          <w:p w14:paraId="2A0E96D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0CBE9EF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07E514D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7A5C5A6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70 </w:t>
            </w:r>
          </w:p>
          <w:p w14:paraId="440548B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19C41F0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13E6208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7E7A0F7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tc>
      </w:tr>
    </w:tbl>
    <w:p w14:paraId="67FB540C" w14:textId="77777777" w:rsidR="007D175D" w:rsidRPr="007D175D" w:rsidRDefault="007D175D" w:rsidP="005A16C4">
      <w:pPr>
        <w:pStyle w:val="Heading2"/>
        <w:numPr>
          <w:ilvl w:val="1"/>
          <w:numId w:val="165"/>
        </w:numPr>
        <w:spacing w:before="200" w:after="200"/>
        <w:rPr>
          <w:rFonts w:cs="Calibri"/>
          <w:color w:val="2F5496"/>
          <w:lang w:eastAsia="en-AU"/>
        </w:rPr>
      </w:pPr>
      <w:bookmarkStart w:id="148" w:name="_Toc108784856"/>
      <w:r w:rsidRPr="007D175D">
        <w:rPr>
          <w:rFonts w:asciiTheme="minorHAnsi" w:hAnsiTheme="minorHAnsi" w:cstheme="minorHAnsi"/>
          <w:lang w:eastAsia="en-AU"/>
        </w:rPr>
        <w:t>Consumer</w:t>
      </w:r>
      <w:r w:rsidRPr="007D175D">
        <w:rPr>
          <w:rFonts w:cs="Calibri"/>
          <w:color w:val="2F5496"/>
          <w:lang w:val="en-GB" w:eastAsia="en-AU"/>
        </w:rPr>
        <w:t xml:space="preserve"> experiences of DMHSs</w:t>
      </w:r>
      <w:bookmarkEnd w:id="148"/>
    </w:p>
    <w:p w14:paraId="2FD42E65" w14:textId="61F868CC" w:rsidR="007D175D" w:rsidRPr="007D175D" w:rsidRDefault="007D175D" w:rsidP="00A703AF">
      <w:pPr>
        <w:spacing w:after="240"/>
        <w:textAlignment w:val="baseline"/>
        <w:rPr>
          <w:rFonts w:asciiTheme="minorHAnsi" w:hAnsiTheme="minorHAnsi" w:cstheme="minorHAnsi"/>
          <w:sz w:val="21"/>
          <w:szCs w:val="21"/>
          <w:lang w:eastAsia="en-AU"/>
        </w:rPr>
      </w:pPr>
      <w:r w:rsidRPr="007D175D">
        <w:rPr>
          <w:rFonts w:asciiTheme="minorHAnsi" w:hAnsiTheme="minorHAnsi" w:cstheme="minorHAnsi"/>
          <w:sz w:val="21"/>
          <w:szCs w:val="21"/>
          <w:lang w:eastAsia="en-AU"/>
        </w:rPr>
        <w:t>Consumer survey respondents (N=351) were asked about their experiences of using the DMHS. Their responses are recorded in Table</w:t>
      </w:r>
      <w:r w:rsidR="00CE18D8">
        <w:rPr>
          <w:rFonts w:asciiTheme="minorHAnsi" w:hAnsiTheme="minorHAnsi" w:cstheme="minorHAnsi"/>
          <w:sz w:val="21"/>
          <w:szCs w:val="21"/>
          <w:lang w:eastAsia="en-AU"/>
        </w:rPr>
        <w:t xml:space="preserve"> </w:t>
      </w:r>
      <w:r w:rsidR="007661EE" w:rsidRPr="007661EE">
        <w:rPr>
          <w:rFonts w:asciiTheme="minorHAnsi" w:hAnsiTheme="minorHAnsi" w:cstheme="minorHAnsi"/>
          <w:sz w:val="21"/>
          <w:szCs w:val="21"/>
          <w:lang w:eastAsia="en-AU"/>
        </w:rPr>
        <w:t>25</w:t>
      </w:r>
      <w:r w:rsidRPr="007D175D">
        <w:rPr>
          <w:rFonts w:asciiTheme="minorHAnsi" w:hAnsiTheme="minorHAnsi" w:cstheme="minorHAnsi"/>
          <w:sz w:val="21"/>
          <w:szCs w:val="21"/>
          <w:lang w:eastAsia="en-AU"/>
        </w:rPr>
        <w:t xml:space="preserve">. Most </w:t>
      </w:r>
      <w:r w:rsidRPr="007D175D">
        <w:rPr>
          <w:rFonts w:asciiTheme="minorHAnsi" w:hAnsiTheme="minorHAnsi" w:cstheme="minorHAnsi"/>
          <w:color w:val="000000"/>
          <w:sz w:val="21"/>
          <w:szCs w:val="21"/>
          <w:lang w:eastAsia="en-AU"/>
        </w:rPr>
        <w:t xml:space="preserve">Mental Health Online (78%) </w:t>
      </w:r>
      <w:r w:rsidRPr="007D175D">
        <w:rPr>
          <w:rFonts w:asciiTheme="minorHAnsi" w:hAnsiTheme="minorHAnsi" w:cstheme="minorHAnsi"/>
          <w:sz w:val="21"/>
          <w:szCs w:val="21"/>
          <w:lang w:eastAsia="en-AU"/>
        </w:rPr>
        <w:t xml:space="preserve">and </w:t>
      </w:r>
      <w:proofErr w:type="spellStart"/>
      <w:r w:rsidRPr="007D175D">
        <w:rPr>
          <w:rFonts w:asciiTheme="minorHAnsi" w:hAnsiTheme="minorHAnsi" w:cstheme="minorHAnsi"/>
          <w:sz w:val="21"/>
          <w:szCs w:val="21"/>
          <w:lang w:eastAsia="en-AU"/>
        </w:rPr>
        <w:t>MindSpot</w:t>
      </w:r>
      <w:proofErr w:type="spellEnd"/>
      <w:r w:rsidRPr="007D175D">
        <w:rPr>
          <w:rFonts w:asciiTheme="minorHAnsi" w:hAnsiTheme="minorHAnsi" w:cstheme="minorHAnsi"/>
          <w:sz w:val="21"/>
          <w:szCs w:val="21"/>
          <w:lang w:eastAsia="en-AU"/>
        </w:rPr>
        <w:t xml:space="preserve"> (39%) consumers found out about the DMHS via an online search, whereas most THIS WAY UP (72%) consumers found out about the service through their provider. More than half of the overall number of consumers (61%) indicated that the DMHS was their preferred method of accessing mental health care.</w:t>
      </w:r>
    </w:p>
    <w:p w14:paraId="7A04B0F4" w14:textId="77777777" w:rsidR="007D175D" w:rsidRPr="007D175D" w:rsidRDefault="007D175D" w:rsidP="00A703AF">
      <w:pPr>
        <w:spacing w:after="240"/>
        <w:textAlignment w:val="baseline"/>
        <w:rPr>
          <w:rFonts w:asciiTheme="minorHAnsi" w:hAnsiTheme="minorHAnsi" w:cstheme="minorHAnsi"/>
          <w:sz w:val="21"/>
          <w:szCs w:val="21"/>
          <w:lang w:eastAsia="en-AU"/>
        </w:rPr>
      </w:pPr>
      <w:r w:rsidRPr="007D175D">
        <w:rPr>
          <w:rFonts w:asciiTheme="minorHAnsi" w:hAnsiTheme="minorHAnsi" w:cstheme="minorHAnsi"/>
          <w:sz w:val="21"/>
          <w:szCs w:val="21"/>
          <w:lang w:eastAsia="en-AU"/>
        </w:rPr>
        <w:t xml:space="preserve">Proportionally, more </w:t>
      </w:r>
      <w:r w:rsidRPr="007D175D">
        <w:rPr>
          <w:rFonts w:asciiTheme="minorHAnsi" w:hAnsiTheme="minorHAnsi" w:cstheme="minorHAnsi"/>
          <w:color w:val="000000"/>
          <w:sz w:val="21"/>
          <w:szCs w:val="21"/>
          <w:lang w:eastAsia="en-AU"/>
        </w:rPr>
        <w:t>Mental Health Online</w:t>
      </w:r>
      <w:r w:rsidRPr="007D175D">
        <w:rPr>
          <w:rFonts w:asciiTheme="minorHAnsi" w:hAnsiTheme="minorHAnsi" w:cstheme="minorHAnsi"/>
          <w:sz w:val="21"/>
          <w:szCs w:val="21"/>
          <w:lang w:eastAsia="en-AU"/>
        </w:rPr>
        <w:t xml:space="preserve"> (78%) than </w:t>
      </w:r>
      <w:proofErr w:type="spellStart"/>
      <w:r w:rsidRPr="007D175D">
        <w:rPr>
          <w:rFonts w:asciiTheme="minorHAnsi" w:hAnsiTheme="minorHAnsi" w:cstheme="minorHAnsi"/>
          <w:sz w:val="21"/>
          <w:szCs w:val="21"/>
          <w:lang w:eastAsia="en-AU"/>
        </w:rPr>
        <w:t>MindSpot</w:t>
      </w:r>
      <w:proofErr w:type="spellEnd"/>
      <w:r w:rsidRPr="007D175D">
        <w:rPr>
          <w:rFonts w:asciiTheme="minorHAnsi" w:hAnsiTheme="minorHAnsi" w:cstheme="minorHAnsi"/>
          <w:sz w:val="21"/>
          <w:szCs w:val="21"/>
          <w:lang w:eastAsia="en-AU"/>
        </w:rPr>
        <w:t xml:space="preserve"> (48%) and THIS WAY UP (47%) consumers had experienced previous barriers to seeking care. Consumers experienced a range of previous help seeking barriers, most common among which were thinking symptoms would improve without intervention and/or were not sufficiently severe, the affordability of care and a preference to rely on oneself.</w:t>
      </w:r>
    </w:p>
    <w:p w14:paraId="21057FCC" w14:textId="77777777" w:rsidR="007D175D" w:rsidRPr="007D175D" w:rsidRDefault="007D175D" w:rsidP="00A703AF">
      <w:pPr>
        <w:spacing w:after="240"/>
        <w:textAlignment w:val="baseline"/>
        <w:rPr>
          <w:rFonts w:asciiTheme="minorHAnsi" w:hAnsiTheme="minorHAnsi" w:cstheme="minorHAnsi"/>
          <w:sz w:val="21"/>
          <w:szCs w:val="21"/>
          <w:lang w:eastAsia="en-AU"/>
        </w:rPr>
      </w:pPr>
      <w:proofErr w:type="gramStart"/>
      <w:r w:rsidRPr="007D175D">
        <w:rPr>
          <w:rFonts w:asciiTheme="minorHAnsi" w:hAnsiTheme="minorHAnsi" w:cstheme="minorHAnsi"/>
          <w:sz w:val="21"/>
          <w:szCs w:val="21"/>
          <w:lang w:eastAsia="en-AU"/>
        </w:rPr>
        <w:t>The majority of</w:t>
      </w:r>
      <w:proofErr w:type="gramEnd"/>
      <w:r w:rsidRPr="007D175D">
        <w:rPr>
          <w:rFonts w:asciiTheme="minorHAnsi" w:hAnsiTheme="minorHAnsi" w:cstheme="minorHAnsi"/>
          <w:sz w:val="21"/>
          <w:szCs w:val="21"/>
          <w:lang w:eastAsia="en-AU"/>
        </w:rPr>
        <w:t xml:space="preserve"> all consumers (64%) were first-time users of a DMHS. A variety of reasons prompted consumers to access the DMHS. Most commonly, across services, consumers accessed care because they were struggling to cope, they felt they needed professional help, and they had noticed that their symptoms had worsened. A higher </w:t>
      </w:r>
      <w:r w:rsidRPr="007D175D">
        <w:rPr>
          <w:rFonts w:asciiTheme="minorHAnsi" w:hAnsiTheme="minorHAnsi" w:cstheme="minorHAnsi"/>
          <w:sz w:val="21"/>
          <w:szCs w:val="21"/>
          <w:lang w:eastAsia="en-AU"/>
        </w:rPr>
        <w:lastRenderedPageBreak/>
        <w:t xml:space="preserve">percentage of THIS WAY UP (58%) than </w:t>
      </w:r>
      <w:r w:rsidRPr="007D175D">
        <w:rPr>
          <w:rFonts w:asciiTheme="minorHAnsi" w:hAnsiTheme="minorHAnsi" w:cstheme="minorHAnsi"/>
          <w:color w:val="000000"/>
          <w:sz w:val="21"/>
          <w:szCs w:val="21"/>
          <w:lang w:eastAsia="en-AU"/>
        </w:rPr>
        <w:t>Mental Health Online</w:t>
      </w:r>
      <w:r w:rsidRPr="007D175D">
        <w:rPr>
          <w:rFonts w:asciiTheme="minorHAnsi" w:hAnsiTheme="minorHAnsi" w:cstheme="minorHAnsi"/>
          <w:sz w:val="21"/>
          <w:szCs w:val="21"/>
          <w:lang w:eastAsia="en-AU"/>
        </w:rPr>
        <w:t xml:space="preserve"> (0%) and </w:t>
      </w:r>
      <w:proofErr w:type="spellStart"/>
      <w:r w:rsidRPr="007D175D">
        <w:rPr>
          <w:rFonts w:asciiTheme="minorHAnsi" w:hAnsiTheme="minorHAnsi" w:cstheme="minorHAnsi"/>
          <w:sz w:val="21"/>
          <w:szCs w:val="21"/>
          <w:lang w:eastAsia="en-AU"/>
        </w:rPr>
        <w:t>MindSpot</w:t>
      </w:r>
      <w:proofErr w:type="spellEnd"/>
      <w:r w:rsidRPr="007D175D">
        <w:rPr>
          <w:rFonts w:asciiTheme="minorHAnsi" w:hAnsiTheme="minorHAnsi" w:cstheme="minorHAnsi"/>
          <w:sz w:val="21"/>
          <w:szCs w:val="21"/>
          <w:lang w:eastAsia="en-AU"/>
        </w:rPr>
        <w:t xml:space="preserve"> (19%) consumers had also sought help because a provider had recommended it.</w:t>
      </w:r>
    </w:p>
    <w:p w14:paraId="265FB25C" w14:textId="0CD7D612" w:rsidR="007D175D" w:rsidRPr="007D175D" w:rsidRDefault="007D175D" w:rsidP="00A703AF">
      <w:pPr>
        <w:pStyle w:val="tableheading"/>
        <w:spacing w:after="240"/>
        <w:rPr>
          <w:rFonts w:ascii="Segoe UI" w:hAnsi="Segoe UI" w:cs="Segoe UI"/>
          <w:sz w:val="18"/>
          <w:szCs w:val="18"/>
        </w:rPr>
      </w:pPr>
      <w:r w:rsidRPr="00443352">
        <w:t xml:space="preserve">Table </w:t>
      </w:r>
      <w:r w:rsidR="007661EE" w:rsidRPr="00443352">
        <w:t>25</w:t>
      </w:r>
      <w:r w:rsidRPr="00443352">
        <w:t>.</w:t>
      </w:r>
      <w:r w:rsidRPr="007661EE">
        <w:t xml:space="preserve"> Consumer use of DMHS, by service and overall</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Consumer use of DMHS, by service and overall"/>
        <w:tblDescription w:val="Table describes consumers experince with using  DMHS."/>
      </w:tblPr>
      <w:tblGrid>
        <w:gridCol w:w="3195"/>
        <w:gridCol w:w="825"/>
        <w:gridCol w:w="825"/>
        <w:gridCol w:w="825"/>
        <w:gridCol w:w="840"/>
        <w:gridCol w:w="825"/>
        <w:gridCol w:w="840"/>
        <w:gridCol w:w="825"/>
        <w:gridCol w:w="705"/>
      </w:tblGrid>
      <w:tr w:rsidR="007D175D" w:rsidRPr="007D175D" w14:paraId="2905ADA6" w14:textId="77777777">
        <w:trPr>
          <w:trHeight w:val="300"/>
          <w:tblHeader/>
        </w:trPr>
        <w:tc>
          <w:tcPr>
            <w:tcW w:w="3195" w:type="dxa"/>
            <w:vMerge w:val="restart"/>
            <w:tcBorders>
              <w:top w:val="single" w:sz="6" w:space="0" w:color="000000"/>
              <w:left w:val="single" w:sz="6" w:space="0" w:color="000000"/>
              <w:bottom w:val="single" w:sz="6" w:space="0" w:color="auto"/>
              <w:right w:val="nil"/>
            </w:tcBorders>
            <w:shd w:val="clear" w:color="auto" w:fill="000000"/>
            <w:hideMark/>
          </w:tcPr>
          <w:p w14:paraId="404A2819" w14:textId="77777777" w:rsidR="007D175D" w:rsidRPr="007D175D" w:rsidRDefault="007D175D" w:rsidP="007D175D">
            <w:pP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 </w:t>
            </w:r>
          </w:p>
        </w:tc>
        <w:tc>
          <w:tcPr>
            <w:tcW w:w="1650" w:type="dxa"/>
            <w:gridSpan w:val="2"/>
            <w:tcBorders>
              <w:top w:val="single" w:sz="6" w:space="0" w:color="000000"/>
              <w:left w:val="nil"/>
              <w:bottom w:val="single" w:sz="6" w:space="0" w:color="auto"/>
              <w:right w:val="nil"/>
            </w:tcBorders>
            <w:shd w:val="clear" w:color="auto" w:fill="000000"/>
            <w:hideMark/>
          </w:tcPr>
          <w:p w14:paraId="77F11527"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MHO </w:t>
            </w:r>
          </w:p>
          <w:p w14:paraId="76C583B5"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(n=32) </w:t>
            </w:r>
          </w:p>
        </w:tc>
        <w:tc>
          <w:tcPr>
            <w:tcW w:w="1665" w:type="dxa"/>
            <w:gridSpan w:val="2"/>
            <w:tcBorders>
              <w:top w:val="single" w:sz="6" w:space="0" w:color="000000"/>
              <w:left w:val="nil"/>
              <w:bottom w:val="single" w:sz="6" w:space="0" w:color="auto"/>
              <w:right w:val="nil"/>
            </w:tcBorders>
            <w:shd w:val="clear" w:color="auto" w:fill="000000"/>
            <w:hideMark/>
          </w:tcPr>
          <w:p w14:paraId="125AB16A"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MS </w:t>
            </w:r>
          </w:p>
          <w:p w14:paraId="3C54F052"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(n=100) </w:t>
            </w:r>
          </w:p>
        </w:tc>
        <w:tc>
          <w:tcPr>
            <w:tcW w:w="1665" w:type="dxa"/>
            <w:gridSpan w:val="2"/>
            <w:tcBorders>
              <w:top w:val="single" w:sz="6" w:space="0" w:color="000000"/>
              <w:left w:val="nil"/>
              <w:bottom w:val="single" w:sz="6" w:space="0" w:color="auto"/>
              <w:right w:val="nil"/>
            </w:tcBorders>
            <w:shd w:val="clear" w:color="auto" w:fill="000000"/>
            <w:hideMark/>
          </w:tcPr>
          <w:p w14:paraId="21945833"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TWU </w:t>
            </w:r>
          </w:p>
          <w:p w14:paraId="53087145"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(n=219) </w:t>
            </w:r>
          </w:p>
        </w:tc>
        <w:tc>
          <w:tcPr>
            <w:tcW w:w="1530" w:type="dxa"/>
            <w:gridSpan w:val="2"/>
            <w:tcBorders>
              <w:top w:val="single" w:sz="6" w:space="0" w:color="000000"/>
              <w:left w:val="nil"/>
              <w:bottom w:val="single" w:sz="6" w:space="0" w:color="auto"/>
              <w:right w:val="single" w:sz="6" w:space="0" w:color="000000"/>
            </w:tcBorders>
            <w:shd w:val="clear" w:color="auto" w:fill="000000"/>
            <w:hideMark/>
          </w:tcPr>
          <w:p w14:paraId="05EE4E9E"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Total </w:t>
            </w:r>
          </w:p>
          <w:p w14:paraId="224AC21E"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 351) </w:t>
            </w:r>
          </w:p>
        </w:tc>
      </w:tr>
      <w:tr w:rsidR="007D175D" w:rsidRPr="007D175D" w14:paraId="25FF0751" w14:textId="77777777">
        <w:trPr>
          <w:trHeight w:val="45"/>
          <w:tblHeader/>
        </w:trPr>
        <w:tc>
          <w:tcPr>
            <w:tcW w:w="0" w:type="auto"/>
            <w:vMerge/>
            <w:tcBorders>
              <w:top w:val="single" w:sz="6" w:space="0" w:color="000000"/>
              <w:left w:val="single" w:sz="6" w:space="0" w:color="000000"/>
              <w:bottom w:val="single" w:sz="6" w:space="0" w:color="auto"/>
              <w:right w:val="nil"/>
            </w:tcBorders>
            <w:shd w:val="clear" w:color="auto" w:fill="auto"/>
            <w:vAlign w:val="center"/>
            <w:hideMark/>
          </w:tcPr>
          <w:p w14:paraId="59E38E59" w14:textId="77777777" w:rsidR="007D175D" w:rsidRPr="007D175D" w:rsidRDefault="007D175D" w:rsidP="007D175D">
            <w:pPr>
              <w:rPr>
                <w:rFonts w:asciiTheme="minorHAnsi" w:hAnsiTheme="minorHAnsi" w:cstheme="minorHAnsi"/>
                <w:b/>
                <w:bCs/>
                <w:color w:val="FFFFFF"/>
                <w:sz w:val="18"/>
                <w:szCs w:val="18"/>
                <w:lang w:eastAsia="en-AU"/>
              </w:rPr>
            </w:pPr>
          </w:p>
        </w:tc>
        <w:tc>
          <w:tcPr>
            <w:tcW w:w="825" w:type="dxa"/>
            <w:tcBorders>
              <w:top w:val="single" w:sz="6" w:space="0" w:color="auto"/>
              <w:left w:val="nil"/>
              <w:bottom w:val="single" w:sz="6" w:space="0" w:color="auto"/>
              <w:right w:val="nil"/>
            </w:tcBorders>
            <w:shd w:val="clear" w:color="auto" w:fill="000000"/>
            <w:hideMark/>
          </w:tcPr>
          <w:p w14:paraId="09D8CC6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w:t>
            </w:r>
            <w:r w:rsidRPr="007D175D">
              <w:rPr>
                <w:rFonts w:asciiTheme="minorHAnsi" w:hAnsiTheme="minorHAnsi" w:cstheme="minorHAnsi"/>
                <w:sz w:val="18"/>
                <w:szCs w:val="18"/>
                <w:lang w:eastAsia="en-AU"/>
              </w:rPr>
              <w:t> </w:t>
            </w:r>
          </w:p>
        </w:tc>
        <w:tc>
          <w:tcPr>
            <w:tcW w:w="825" w:type="dxa"/>
            <w:tcBorders>
              <w:top w:val="single" w:sz="6" w:space="0" w:color="auto"/>
              <w:left w:val="nil"/>
              <w:bottom w:val="single" w:sz="6" w:space="0" w:color="auto"/>
              <w:right w:val="nil"/>
            </w:tcBorders>
            <w:shd w:val="clear" w:color="auto" w:fill="000000"/>
            <w:hideMark/>
          </w:tcPr>
          <w:p w14:paraId="5D25ECE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w:t>
            </w:r>
            <w:r w:rsidRPr="007D175D">
              <w:rPr>
                <w:rFonts w:asciiTheme="minorHAnsi" w:hAnsiTheme="minorHAnsi" w:cstheme="minorHAnsi"/>
                <w:sz w:val="18"/>
                <w:szCs w:val="18"/>
                <w:lang w:eastAsia="en-AU"/>
              </w:rPr>
              <w:t> </w:t>
            </w:r>
          </w:p>
        </w:tc>
        <w:tc>
          <w:tcPr>
            <w:tcW w:w="825" w:type="dxa"/>
            <w:tcBorders>
              <w:top w:val="single" w:sz="6" w:space="0" w:color="auto"/>
              <w:left w:val="nil"/>
              <w:bottom w:val="single" w:sz="6" w:space="0" w:color="auto"/>
              <w:right w:val="nil"/>
            </w:tcBorders>
            <w:shd w:val="clear" w:color="auto" w:fill="000000"/>
            <w:hideMark/>
          </w:tcPr>
          <w:p w14:paraId="12FEF65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w:t>
            </w:r>
            <w:r w:rsidRPr="007D175D">
              <w:rPr>
                <w:rFonts w:asciiTheme="minorHAnsi" w:hAnsiTheme="minorHAnsi" w:cstheme="minorHAnsi"/>
                <w:sz w:val="18"/>
                <w:szCs w:val="18"/>
                <w:lang w:eastAsia="en-AU"/>
              </w:rPr>
              <w:t> </w:t>
            </w:r>
          </w:p>
        </w:tc>
        <w:tc>
          <w:tcPr>
            <w:tcW w:w="825" w:type="dxa"/>
            <w:tcBorders>
              <w:top w:val="single" w:sz="6" w:space="0" w:color="auto"/>
              <w:left w:val="nil"/>
              <w:bottom w:val="single" w:sz="6" w:space="0" w:color="auto"/>
              <w:right w:val="nil"/>
            </w:tcBorders>
            <w:shd w:val="clear" w:color="auto" w:fill="000000"/>
            <w:hideMark/>
          </w:tcPr>
          <w:p w14:paraId="5A3D7B4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w:t>
            </w:r>
            <w:r w:rsidRPr="007D175D">
              <w:rPr>
                <w:rFonts w:asciiTheme="minorHAnsi" w:hAnsiTheme="minorHAnsi" w:cstheme="minorHAnsi"/>
                <w:sz w:val="18"/>
                <w:szCs w:val="18"/>
                <w:lang w:eastAsia="en-AU"/>
              </w:rPr>
              <w:t> </w:t>
            </w:r>
          </w:p>
        </w:tc>
        <w:tc>
          <w:tcPr>
            <w:tcW w:w="825" w:type="dxa"/>
            <w:tcBorders>
              <w:top w:val="single" w:sz="6" w:space="0" w:color="auto"/>
              <w:left w:val="nil"/>
              <w:bottom w:val="single" w:sz="6" w:space="0" w:color="auto"/>
              <w:right w:val="nil"/>
            </w:tcBorders>
            <w:shd w:val="clear" w:color="auto" w:fill="000000"/>
            <w:hideMark/>
          </w:tcPr>
          <w:p w14:paraId="03AFA04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w:t>
            </w:r>
            <w:r w:rsidRPr="007D175D">
              <w:rPr>
                <w:rFonts w:asciiTheme="minorHAnsi" w:hAnsiTheme="minorHAnsi" w:cstheme="minorHAnsi"/>
                <w:sz w:val="18"/>
                <w:szCs w:val="18"/>
                <w:lang w:eastAsia="en-AU"/>
              </w:rPr>
              <w:t> </w:t>
            </w:r>
          </w:p>
        </w:tc>
        <w:tc>
          <w:tcPr>
            <w:tcW w:w="825" w:type="dxa"/>
            <w:tcBorders>
              <w:top w:val="single" w:sz="6" w:space="0" w:color="auto"/>
              <w:left w:val="nil"/>
              <w:bottom w:val="single" w:sz="6" w:space="0" w:color="auto"/>
              <w:right w:val="nil"/>
            </w:tcBorders>
            <w:shd w:val="clear" w:color="auto" w:fill="000000"/>
            <w:hideMark/>
          </w:tcPr>
          <w:p w14:paraId="03A36CF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w:t>
            </w:r>
            <w:r w:rsidRPr="007D175D">
              <w:rPr>
                <w:rFonts w:asciiTheme="minorHAnsi" w:hAnsiTheme="minorHAnsi" w:cstheme="minorHAnsi"/>
                <w:sz w:val="18"/>
                <w:szCs w:val="18"/>
                <w:lang w:eastAsia="en-AU"/>
              </w:rPr>
              <w:t> </w:t>
            </w:r>
          </w:p>
        </w:tc>
        <w:tc>
          <w:tcPr>
            <w:tcW w:w="825" w:type="dxa"/>
            <w:tcBorders>
              <w:top w:val="single" w:sz="6" w:space="0" w:color="auto"/>
              <w:left w:val="nil"/>
              <w:bottom w:val="single" w:sz="6" w:space="0" w:color="auto"/>
              <w:right w:val="nil"/>
            </w:tcBorders>
            <w:shd w:val="clear" w:color="auto" w:fill="000000"/>
            <w:hideMark/>
          </w:tcPr>
          <w:p w14:paraId="2F986F5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w:t>
            </w:r>
            <w:r w:rsidRPr="007D175D">
              <w:rPr>
                <w:rFonts w:asciiTheme="minorHAnsi" w:hAnsiTheme="minorHAnsi" w:cstheme="minorHAnsi"/>
                <w:sz w:val="18"/>
                <w:szCs w:val="18"/>
                <w:lang w:eastAsia="en-AU"/>
              </w:rPr>
              <w:t> </w:t>
            </w:r>
          </w:p>
        </w:tc>
        <w:tc>
          <w:tcPr>
            <w:tcW w:w="690" w:type="dxa"/>
            <w:tcBorders>
              <w:top w:val="single" w:sz="6" w:space="0" w:color="auto"/>
              <w:left w:val="nil"/>
              <w:bottom w:val="single" w:sz="6" w:space="0" w:color="auto"/>
              <w:right w:val="single" w:sz="6" w:space="0" w:color="000000"/>
            </w:tcBorders>
            <w:shd w:val="clear" w:color="auto" w:fill="000000"/>
            <w:hideMark/>
          </w:tcPr>
          <w:p w14:paraId="05F513A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w:t>
            </w:r>
            <w:r w:rsidRPr="007D175D">
              <w:rPr>
                <w:rFonts w:asciiTheme="minorHAnsi" w:hAnsiTheme="minorHAnsi" w:cstheme="minorHAnsi"/>
                <w:sz w:val="18"/>
                <w:szCs w:val="18"/>
                <w:lang w:eastAsia="en-AU"/>
              </w:rPr>
              <w:t> </w:t>
            </w:r>
          </w:p>
        </w:tc>
      </w:tr>
      <w:tr w:rsidR="007D175D" w:rsidRPr="007D175D" w14:paraId="7553D726" w14:textId="77777777">
        <w:trPr>
          <w:trHeight w:val="971"/>
        </w:trPr>
        <w:tc>
          <w:tcPr>
            <w:tcW w:w="3195" w:type="dxa"/>
            <w:tcBorders>
              <w:top w:val="single" w:sz="6" w:space="0" w:color="auto"/>
              <w:left w:val="single" w:sz="6" w:space="0" w:color="000000"/>
              <w:bottom w:val="single" w:sz="6" w:space="0" w:color="000000"/>
              <w:right w:val="nil"/>
            </w:tcBorders>
            <w:shd w:val="clear" w:color="auto" w:fill="auto"/>
            <w:hideMark/>
          </w:tcPr>
          <w:p w14:paraId="43C8839F" w14:textId="77777777" w:rsidR="007D175D" w:rsidRPr="007D175D" w:rsidRDefault="007D175D" w:rsidP="007D175D">
            <w:pPr>
              <w:ind w:right="390"/>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Method of finding DMHS </w:t>
            </w:r>
          </w:p>
          <w:p w14:paraId="7E6E3264"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Head to Health Gateway</w:t>
            </w:r>
            <w:r w:rsidRPr="007D175D">
              <w:rPr>
                <w:rFonts w:asciiTheme="minorHAnsi" w:hAnsiTheme="minorHAnsi" w:cstheme="minorHAnsi"/>
                <w:b/>
                <w:bCs/>
                <w:sz w:val="18"/>
                <w:szCs w:val="18"/>
                <w:lang w:eastAsia="en-AU"/>
              </w:rPr>
              <w:t> </w:t>
            </w:r>
          </w:p>
          <w:p w14:paraId="6490190B"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Online search</w:t>
            </w:r>
            <w:r w:rsidRPr="007D175D">
              <w:rPr>
                <w:rFonts w:asciiTheme="minorHAnsi" w:hAnsiTheme="minorHAnsi" w:cstheme="minorHAnsi"/>
                <w:b/>
                <w:bCs/>
                <w:sz w:val="18"/>
                <w:szCs w:val="18"/>
                <w:lang w:eastAsia="en-AU"/>
              </w:rPr>
              <w:t> </w:t>
            </w:r>
          </w:p>
          <w:p w14:paraId="071D986F"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Recommended by a health provider</w:t>
            </w:r>
            <w:r w:rsidRPr="007D175D">
              <w:rPr>
                <w:rFonts w:asciiTheme="minorHAnsi" w:hAnsiTheme="minorHAnsi" w:cstheme="minorHAnsi"/>
                <w:b/>
                <w:bCs/>
                <w:sz w:val="18"/>
                <w:szCs w:val="18"/>
                <w:lang w:eastAsia="en-AU"/>
              </w:rPr>
              <w:t> </w:t>
            </w:r>
          </w:p>
          <w:p w14:paraId="156DA136"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Recommended by friends or family</w:t>
            </w:r>
          </w:p>
        </w:tc>
        <w:tc>
          <w:tcPr>
            <w:tcW w:w="825" w:type="dxa"/>
            <w:tcBorders>
              <w:top w:val="single" w:sz="6" w:space="0" w:color="auto"/>
              <w:left w:val="nil"/>
              <w:bottom w:val="single" w:sz="6" w:space="0" w:color="000000"/>
              <w:right w:val="nil"/>
            </w:tcBorders>
            <w:shd w:val="clear" w:color="auto" w:fill="auto"/>
            <w:hideMark/>
          </w:tcPr>
          <w:p w14:paraId="29CE41A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68B95D8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1 </w:t>
            </w:r>
          </w:p>
          <w:p w14:paraId="2A454D1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25 </w:t>
            </w:r>
          </w:p>
          <w:p w14:paraId="3FAC72A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3 </w:t>
            </w:r>
          </w:p>
          <w:p w14:paraId="55B6788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w:t>
            </w:r>
          </w:p>
        </w:tc>
        <w:tc>
          <w:tcPr>
            <w:tcW w:w="825" w:type="dxa"/>
            <w:tcBorders>
              <w:top w:val="single" w:sz="6" w:space="0" w:color="auto"/>
              <w:left w:val="nil"/>
              <w:bottom w:val="single" w:sz="6" w:space="0" w:color="000000"/>
              <w:right w:val="nil"/>
            </w:tcBorders>
            <w:shd w:val="clear" w:color="auto" w:fill="auto"/>
            <w:hideMark/>
          </w:tcPr>
          <w:p w14:paraId="543BD94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170B054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3 </w:t>
            </w:r>
          </w:p>
          <w:p w14:paraId="1CD767F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78 </w:t>
            </w:r>
          </w:p>
          <w:p w14:paraId="0EBD28E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9 </w:t>
            </w:r>
          </w:p>
          <w:p w14:paraId="09D7178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9</w:t>
            </w:r>
          </w:p>
        </w:tc>
        <w:tc>
          <w:tcPr>
            <w:tcW w:w="825" w:type="dxa"/>
            <w:tcBorders>
              <w:top w:val="single" w:sz="6" w:space="0" w:color="auto"/>
              <w:left w:val="nil"/>
              <w:bottom w:val="single" w:sz="6" w:space="0" w:color="000000"/>
              <w:right w:val="nil"/>
            </w:tcBorders>
            <w:shd w:val="clear" w:color="auto" w:fill="auto"/>
            <w:hideMark/>
          </w:tcPr>
          <w:p w14:paraId="1BADBE2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7364B58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10 </w:t>
            </w:r>
          </w:p>
          <w:p w14:paraId="79951AA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39 </w:t>
            </w:r>
          </w:p>
          <w:p w14:paraId="682CDA2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26 </w:t>
            </w:r>
          </w:p>
          <w:p w14:paraId="1BB8ECE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25</w:t>
            </w:r>
          </w:p>
        </w:tc>
        <w:tc>
          <w:tcPr>
            <w:tcW w:w="825" w:type="dxa"/>
            <w:tcBorders>
              <w:top w:val="single" w:sz="6" w:space="0" w:color="auto"/>
              <w:left w:val="nil"/>
              <w:bottom w:val="single" w:sz="6" w:space="0" w:color="000000"/>
              <w:right w:val="nil"/>
            </w:tcBorders>
            <w:shd w:val="clear" w:color="auto" w:fill="auto"/>
            <w:hideMark/>
          </w:tcPr>
          <w:p w14:paraId="2064DCE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587BE10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10 </w:t>
            </w:r>
          </w:p>
          <w:p w14:paraId="237502E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39 </w:t>
            </w:r>
          </w:p>
          <w:p w14:paraId="5AFDB36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26 </w:t>
            </w:r>
          </w:p>
          <w:p w14:paraId="51D7916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25</w:t>
            </w:r>
          </w:p>
        </w:tc>
        <w:tc>
          <w:tcPr>
            <w:tcW w:w="825" w:type="dxa"/>
            <w:tcBorders>
              <w:top w:val="single" w:sz="6" w:space="0" w:color="auto"/>
              <w:left w:val="nil"/>
              <w:bottom w:val="single" w:sz="6" w:space="0" w:color="000000"/>
              <w:right w:val="nil"/>
            </w:tcBorders>
            <w:shd w:val="clear" w:color="auto" w:fill="auto"/>
            <w:hideMark/>
          </w:tcPr>
          <w:p w14:paraId="55F26F0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509AC32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7 </w:t>
            </w:r>
          </w:p>
          <w:p w14:paraId="5C3E687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43 </w:t>
            </w:r>
          </w:p>
          <w:p w14:paraId="6139A1B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157 </w:t>
            </w:r>
          </w:p>
          <w:p w14:paraId="7AFF0F6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12</w:t>
            </w:r>
          </w:p>
        </w:tc>
        <w:tc>
          <w:tcPr>
            <w:tcW w:w="825" w:type="dxa"/>
            <w:tcBorders>
              <w:top w:val="single" w:sz="6" w:space="0" w:color="auto"/>
              <w:left w:val="nil"/>
              <w:bottom w:val="single" w:sz="6" w:space="0" w:color="000000"/>
              <w:right w:val="nil"/>
            </w:tcBorders>
            <w:shd w:val="clear" w:color="auto" w:fill="auto"/>
            <w:hideMark/>
          </w:tcPr>
          <w:p w14:paraId="25FEB54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377DADD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3 </w:t>
            </w:r>
          </w:p>
          <w:p w14:paraId="6B825E9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20 </w:t>
            </w:r>
          </w:p>
          <w:p w14:paraId="037429D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72 </w:t>
            </w:r>
          </w:p>
          <w:p w14:paraId="1A74F1B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w:t>
            </w:r>
          </w:p>
        </w:tc>
        <w:tc>
          <w:tcPr>
            <w:tcW w:w="825" w:type="dxa"/>
            <w:tcBorders>
              <w:top w:val="single" w:sz="6" w:space="0" w:color="auto"/>
              <w:left w:val="nil"/>
              <w:bottom w:val="single" w:sz="6" w:space="0" w:color="000000"/>
              <w:right w:val="nil"/>
            </w:tcBorders>
            <w:shd w:val="clear" w:color="auto" w:fill="auto"/>
            <w:hideMark/>
          </w:tcPr>
          <w:p w14:paraId="136AF66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097C2C0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18 </w:t>
            </w:r>
          </w:p>
          <w:p w14:paraId="7BB1FB7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107 </w:t>
            </w:r>
          </w:p>
          <w:p w14:paraId="76098FF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186 </w:t>
            </w:r>
          </w:p>
          <w:p w14:paraId="67E4374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40</w:t>
            </w:r>
          </w:p>
        </w:tc>
        <w:tc>
          <w:tcPr>
            <w:tcW w:w="690" w:type="dxa"/>
            <w:tcBorders>
              <w:top w:val="single" w:sz="6" w:space="0" w:color="auto"/>
              <w:left w:val="nil"/>
              <w:bottom w:val="single" w:sz="6" w:space="0" w:color="000000"/>
              <w:right w:val="single" w:sz="6" w:space="0" w:color="000000"/>
            </w:tcBorders>
            <w:shd w:val="clear" w:color="auto" w:fill="auto"/>
            <w:hideMark/>
          </w:tcPr>
          <w:p w14:paraId="39290B6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76A6AD1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5 </w:t>
            </w:r>
          </w:p>
          <w:p w14:paraId="734AC97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30 </w:t>
            </w:r>
          </w:p>
          <w:p w14:paraId="17205F3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53 </w:t>
            </w:r>
          </w:p>
          <w:p w14:paraId="4FF140E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11</w:t>
            </w:r>
          </w:p>
        </w:tc>
      </w:tr>
      <w:tr w:rsidR="007D175D" w:rsidRPr="007D175D" w14:paraId="4694A3C7" w14:textId="77777777">
        <w:trPr>
          <w:trHeight w:val="630"/>
        </w:trPr>
        <w:tc>
          <w:tcPr>
            <w:tcW w:w="3195" w:type="dxa"/>
            <w:tcBorders>
              <w:top w:val="single" w:sz="6" w:space="0" w:color="000000"/>
              <w:left w:val="single" w:sz="6" w:space="0" w:color="000000"/>
              <w:bottom w:val="single" w:sz="6" w:space="0" w:color="000000"/>
              <w:right w:val="nil"/>
            </w:tcBorders>
            <w:shd w:val="clear" w:color="auto" w:fill="auto"/>
            <w:hideMark/>
          </w:tcPr>
          <w:p w14:paraId="2C71C8F6"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sz w:val="18"/>
                <w:szCs w:val="18"/>
                <w:lang w:eastAsia="en-AU"/>
              </w:rPr>
              <w:t>DMHS preferred method </w:t>
            </w:r>
          </w:p>
          <w:p w14:paraId="24375E75"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No</w:t>
            </w:r>
            <w:r w:rsidRPr="007D175D">
              <w:rPr>
                <w:rFonts w:asciiTheme="minorHAnsi" w:hAnsiTheme="minorHAnsi" w:cstheme="minorHAnsi"/>
                <w:b/>
                <w:bCs/>
                <w:sz w:val="18"/>
                <w:szCs w:val="18"/>
                <w:lang w:eastAsia="en-AU"/>
              </w:rPr>
              <w:t> </w:t>
            </w:r>
          </w:p>
          <w:p w14:paraId="7B2F8737"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Yes</w:t>
            </w:r>
            <w:r w:rsidRPr="007D175D">
              <w:rPr>
                <w:rFonts w:asciiTheme="minorHAnsi" w:hAnsiTheme="minorHAnsi" w:cstheme="minorHAnsi"/>
                <w:b/>
                <w:bCs/>
                <w:sz w:val="18"/>
                <w:szCs w:val="18"/>
                <w:lang w:eastAsia="en-AU"/>
              </w:rPr>
              <w:t> </w:t>
            </w:r>
          </w:p>
          <w:p w14:paraId="69634B94"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Missing</w:t>
            </w:r>
            <w:r w:rsidRPr="007D175D">
              <w:rPr>
                <w:rFonts w:asciiTheme="minorHAnsi" w:hAnsiTheme="minorHAnsi" w:cstheme="minorHAnsi"/>
                <w:b/>
                <w:bCs/>
                <w:sz w:val="18"/>
                <w:szCs w:val="18"/>
                <w:lang w:eastAsia="en-AU"/>
              </w:rPr>
              <w:t> </w:t>
            </w:r>
          </w:p>
        </w:tc>
        <w:tc>
          <w:tcPr>
            <w:tcW w:w="825" w:type="dxa"/>
            <w:tcBorders>
              <w:top w:val="single" w:sz="6" w:space="0" w:color="000000"/>
              <w:left w:val="nil"/>
              <w:bottom w:val="single" w:sz="6" w:space="0" w:color="000000"/>
              <w:right w:val="nil"/>
            </w:tcBorders>
            <w:shd w:val="clear" w:color="auto" w:fill="auto"/>
            <w:hideMark/>
          </w:tcPr>
          <w:p w14:paraId="21575DA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2FB1D22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11 </w:t>
            </w:r>
          </w:p>
          <w:p w14:paraId="53D7D1E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21 </w:t>
            </w:r>
          </w:p>
          <w:p w14:paraId="199C331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0</w:t>
            </w:r>
          </w:p>
        </w:tc>
        <w:tc>
          <w:tcPr>
            <w:tcW w:w="825" w:type="dxa"/>
            <w:tcBorders>
              <w:top w:val="single" w:sz="6" w:space="0" w:color="000000"/>
              <w:left w:val="nil"/>
              <w:bottom w:val="single" w:sz="6" w:space="0" w:color="000000"/>
              <w:right w:val="nil"/>
            </w:tcBorders>
            <w:shd w:val="clear" w:color="auto" w:fill="auto"/>
            <w:hideMark/>
          </w:tcPr>
          <w:p w14:paraId="18606DE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4664A5A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34 </w:t>
            </w:r>
          </w:p>
          <w:p w14:paraId="1E350CF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66 </w:t>
            </w:r>
          </w:p>
          <w:p w14:paraId="743ED96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tc>
        <w:tc>
          <w:tcPr>
            <w:tcW w:w="825" w:type="dxa"/>
            <w:tcBorders>
              <w:top w:val="single" w:sz="6" w:space="0" w:color="000000"/>
              <w:left w:val="nil"/>
              <w:bottom w:val="single" w:sz="6" w:space="0" w:color="000000"/>
              <w:right w:val="nil"/>
            </w:tcBorders>
            <w:shd w:val="clear" w:color="auto" w:fill="auto"/>
            <w:hideMark/>
          </w:tcPr>
          <w:p w14:paraId="2A286DA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6C02D8D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32 </w:t>
            </w:r>
          </w:p>
          <w:p w14:paraId="4446572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68 </w:t>
            </w:r>
          </w:p>
          <w:p w14:paraId="598B188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tc>
        <w:tc>
          <w:tcPr>
            <w:tcW w:w="825" w:type="dxa"/>
            <w:tcBorders>
              <w:top w:val="single" w:sz="6" w:space="0" w:color="000000"/>
              <w:left w:val="nil"/>
              <w:bottom w:val="single" w:sz="6" w:space="0" w:color="000000"/>
              <w:right w:val="nil"/>
            </w:tcBorders>
            <w:shd w:val="clear" w:color="auto" w:fill="auto"/>
            <w:hideMark/>
          </w:tcPr>
          <w:p w14:paraId="4838382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2FCEEC7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32 </w:t>
            </w:r>
          </w:p>
          <w:p w14:paraId="3053335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68 </w:t>
            </w:r>
          </w:p>
          <w:p w14:paraId="02E5E98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tc>
        <w:tc>
          <w:tcPr>
            <w:tcW w:w="825" w:type="dxa"/>
            <w:tcBorders>
              <w:top w:val="single" w:sz="6" w:space="0" w:color="000000"/>
              <w:left w:val="nil"/>
              <w:bottom w:val="single" w:sz="6" w:space="0" w:color="000000"/>
              <w:right w:val="nil"/>
            </w:tcBorders>
            <w:shd w:val="clear" w:color="auto" w:fill="auto"/>
            <w:hideMark/>
          </w:tcPr>
          <w:p w14:paraId="493C8DC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3316D0F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92 </w:t>
            </w:r>
          </w:p>
          <w:p w14:paraId="0D5ACEB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126 </w:t>
            </w:r>
          </w:p>
          <w:p w14:paraId="6FB95DE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w:t>
            </w:r>
          </w:p>
        </w:tc>
        <w:tc>
          <w:tcPr>
            <w:tcW w:w="825" w:type="dxa"/>
            <w:tcBorders>
              <w:top w:val="single" w:sz="6" w:space="0" w:color="000000"/>
              <w:left w:val="nil"/>
              <w:bottom w:val="single" w:sz="6" w:space="0" w:color="000000"/>
              <w:right w:val="nil"/>
            </w:tcBorders>
            <w:shd w:val="clear" w:color="auto" w:fill="auto"/>
            <w:hideMark/>
          </w:tcPr>
          <w:p w14:paraId="3553764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5DEE41A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42 </w:t>
            </w:r>
          </w:p>
          <w:p w14:paraId="1859DA7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58 </w:t>
            </w:r>
          </w:p>
          <w:p w14:paraId="4A1FF56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tc>
        <w:tc>
          <w:tcPr>
            <w:tcW w:w="825" w:type="dxa"/>
            <w:tcBorders>
              <w:top w:val="single" w:sz="6" w:space="0" w:color="000000"/>
              <w:left w:val="nil"/>
              <w:bottom w:val="single" w:sz="6" w:space="0" w:color="000000"/>
              <w:right w:val="nil"/>
            </w:tcBorders>
            <w:shd w:val="clear" w:color="auto" w:fill="auto"/>
            <w:hideMark/>
          </w:tcPr>
          <w:p w14:paraId="4716644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41110AC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135 </w:t>
            </w:r>
          </w:p>
          <w:p w14:paraId="45D71CC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215 </w:t>
            </w:r>
          </w:p>
          <w:p w14:paraId="6876F53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1 </w:t>
            </w:r>
          </w:p>
        </w:tc>
        <w:tc>
          <w:tcPr>
            <w:tcW w:w="690" w:type="dxa"/>
            <w:tcBorders>
              <w:top w:val="single" w:sz="6" w:space="0" w:color="000000"/>
              <w:left w:val="nil"/>
              <w:bottom w:val="single" w:sz="6" w:space="0" w:color="000000"/>
              <w:right w:val="single" w:sz="6" w:space="0" w:color="000000"/>
            </w:tcBorders>
            <w:shd w:val="clear" w:color="auto" w:fill="auto"/>
            <w:hideMark/>
          </w:tcPr>
          <w:p w14:paraId="36AB699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68FFDCA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38 </w:t>
            </w:r>
          </w:p>
          <w:p w14:paraId="3AC05E4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61 </w:t>
            </w:r>
          </w:p>
          <w:p w14:paraId="00EE072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w:t>
            </w:r>
          </w:p>
        </w:tc>
      </w:tr>
      <w:tr w:rsidR="007D175D" w:rsidRPr="007D175D" w14:paraId="0CE6B5BD" w14:textId="77777777">
        <w:trPr>
          <w:trHeight w:val="1005"/>
        </w:trPr>
        <w:tc>
          <w:tcPr>
            <w:tcW w:w="3195" w:type="dxa"/>
            <w:tcBorders>
              <w:top w:val="nil"/>
              <w:left w:val="single" w:sz="6" w:space="0" w:color="000000"/>
              <w:bottom w:val="nil"/>
              <w:right w:val="nil"/>
            </w:tcBorders>
            <w:shd w:val="clear" w:color="auto" w:fill="auto"/>
            <w:hideMark/>
          </w:tcPr>
          <w:p w14:paraId="4F5BEFDF"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sz w:val="18"/>
                <w:szCs w:val="18"/>
                <w:lang w:eastAsia="en-AU"/>
              </w:rPr>
              <w:t>Preferred method (n=</w:t>
            </w:r>
            <w:proofErr w:type="gramStart"/>
            <w:r w:rsidRPr="007D175D">
              <w:rPr>
                <w:rFonts w:asciiTheme="minorHAnsi" w:hAnsiTheme="minorHAnsi" w:cstheme="minorHAnsi"/>
                <w:b/>
                <w:bCs/>
                <w:sz w:val="18"/>
                <w:szCs w:val="18"/>
                <w:lang w:eastAsia="en-AU"/>
              </w:rPr>
              <w:t>135)</w:t>
            </w:r>
            <w:r w:rsidRPr="007D175D">
              <w:rPr>
                <w:rFonts w:asciiTheme="minorHAnsi" w:hAnsiTheme="minorHAnsi" w:cstheme="minorHAnsi"/>
                <w:b/>
                <w:bCs/>
                <w:sz w:val="18"/>
                <w:szCs w:val="18"/>
                <w:vertAlign w:val="superscript"/>
                <w:lang w:eastAsia="en-AU"/>
              </w:rPr>
              <w:t>a</w:t>
            </w:r>
            <w:proofErr w:type="gramEnd"/>
            <w:r w:rsidRPr="007D175D">
              <w:rPr>
                <w:rFonts w:asciiTheme="minorHAnsi" w:hAnsiTheme="minorHAnsi" w:cstheme="minorHAnsi"/>
                <w:b/>
                <w:bCs/>
                <w:sz w:val="18"/>
                <w:szCs w:val="18"/>
                <w:lang w:eastAsia="en-AU"/>
              </w:rPr>
              <w:t> </w:t>
            </w:r>
          </w:p>
          <w:p w14:paraId="150E1681"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Face-to-face</w:t>
            </w:r>
            <w:r w:rsidRPr="007D175D">
              <w:rPr>
                <w:rFonts w:asciiTheme="minorHAnsi" w:hAnsiTheme="minorHAnsi" w:cstheme="minorHAnsi"/>
                <w:b/>
                <w:bCs/>
                <w:sz w:val="18"/>
                <w:szCs w:val="18"/>
                <w:lang w:eastAsia="en-AU"/>
              </w:rPr>
              <w:t> </w:t>
            </w:r>
          </w:p>
          <w:p w14:paraId="58821A32"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Phone</w:t>
            </w:r>
            <w:r w:rsidRPr="007D175D">
              <w:rPr>
                <w:rFonts w:asciiTheme="minorHAnsi" w:hAnsiTheme="minorHAnsi" w:cstheme="minorHAnsi"/>
                <w:b/>
                <w:bCs/>
                <w:sz w:val="18"/>
                <w:szCs w:val="18"/>
                <w:lang w:eastAsia="en-AU"/>
              </w:rPr>
              <w:t> </w:t>
            </w:r>
          </w:p>
          <w:p w14:paraId="1233C702"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Video</w:t>
            </w:r>
            <w:r w:rsidRPr="007D175D">
              <w:rPr>
                <w:rFonts w:asciiTheme="minorHAnsi" w:hAnsiTheme="minorHAnsi" w:cstheme="minorHAnsi"/>
                <w:b/>
                <w:bCs/>
                <w:sz w:val="18"/>
                <w:szCs w:val="18"/>
                <w:lang w:eastAsia="en-AU"/>
              </w:rPr>
              <w:t> </w:t>
            </w:r>
          </w:p>
          <w:p w14:paraId="67665F35"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Other</w:t>
            </w:r>
            <w:r w:rsidRPr="007D175D">
              <w:rPr>
                <w:rFonts w:asciiTheme="minorHAnsi" w:hAnsiTheme="minorHAnsi" w:cstheme="minorHAnsi"/>
                <w:b/>
                <w:bCs/>
                <w:sz w:val="18"/>
                <w:szCs w:val="18"/>
                <w:lang w:eastAsia="en-AU"/>
              </w:rPr>
              <w:t> </w:t>
            </w:r>
          </w:p>
        </w:tc>
        <w:tc>
          <w:tcPr>
            <w:tcW w:w="825" w:type="dxa"/>
            <w:tcBorders>
              <w:top w:val="nil"/>
              <w:left w:val="nil"/>
              <w:bottom w:val="nil"/>
              <w:right w:val="nil"/>
            </w:tcBorders>
            <w:shd w:val="clear" w:color="auto" w:fill="auto"/>
            <w:hideMark/>
          </w:tcPr>
          <w:p w14:paraId="5D5F590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2DE76D8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10 </w:t>
            </w:r>
          </w:p>
          <w:p w14:paraId="2260F9C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p w14:paraId="7D5A3FA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2 </w:t>
            </w:r>
          </w:p>
          <w:p w14:paraId="0A498C2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1 </w:t>
            </w:r>
          </w:p>
        </w:tc>
        <w:tc>
          <w:tcPr>
            <w:tcW w:w="825" w:type="dxa"/>
            <w:tcBorders>
              <w:top w:val="nil"/>
              <w:left w:val="nil"/>
              <w:bottom w:val="nil"/>
              <w:right w:val="nil"/>
            </w:tcBorders>
            <w:shd w:val="clear" w:color="auto" w:fill="auto"/>
            <w:hideMark/>
          </w:tcPr>
          <w:p w14:paraId="429309A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1DE59F0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91 </w:t>
            </w:r>
          </w:p>
          <w:p w14:paraId="0D12060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p w14:paraId="077E803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18 </w:t>
            </w:r>
          </w:p>
          <w:p w14:paraId="1B092B2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9 </w:t>
            </w:r>
          </w:p>
        </w:tc>
        <w:tc>
          <w:tcPr>
            <w:tcW w:w="825" w:type="dxa"/>
            <w:tcBorders>
              <w:top w:val="nil"/>
              <w:left w:val="nil"/>
              <w:bottom w:val="nil"/>
              <w:right w:val="nil"/>
            </w:tcBorders>
            <w:shd w:val="clear" w:color="auto" w:fill="auto"/>
            <w:hideMark/>
          </w:tcPr>
          <w:p w14:paraId="49CA207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6A4D054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22 </w:t>
            </w:r>
          </w:p>
          <w:p w14:paraId="27D0FCB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5 </w:t>
            </w:r>
          </w:p>
          <w:p w14:paraId="177AE21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15 </w:t>
            </w:r>
          </w:p>
          <w:p w14:paraId="6040C41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tc>
        <w:tc>
          <w:tcPr>
            <w:tcW w:w="825" w:type="dxa"/>
            <w:tcBorders>
              <w:top w:val="nil"/>
              <w:left w:val="nil"/>
              <w:bottom w:val="nil"/>
              <w:right w:val="nil"/>
            </w:tcBorders>
            <w:shd w:val="clear" w:color="auto" w:fill="auto"/>
            <w:hideMark/>
          </w:tcPr>
          <w:p w14:paraId="2FAF1BC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6BC9FD2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69 </w:t>
            </w:r>
          </w:p>
          <w:p w14:paraId="3F00D8A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16 </w:t>
            </w:r>
          </w:p>
          <w:p w14:paraId="1E83FCF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47 </w:t>
            </w:r>
          </w:p>
          <w:p w14:paraId="488BA2E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tc>
        <w:tc>
          <w:tcPr>
            <w:tcW w:w="825" w:type="dxa"/>
            <w:tcBorders>
              <w:top w:val="nil"/>
              <w:left w:val="nil"/>
              <w:bottom w:val="nil"/>
              <w:right w:val="nil"/>
            </w:tcBorders>
            <w:shd w:val="clear" w:color="auto" w:fill="auto"/>
            <w:hideMark/>
          </w:tcPr>
          <w:p w14:paraId="2FF68E8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20C7AE5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83 </w:t>
            </w:r>
          </w:p>
          <w:p w14:paraId="2778D1E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5 </w:t>
            </w:r>
          </w:p>
          <w:p w14:paraId="6119FDA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27 </w:t>
            </w:r>
          </w:p>
          <w:p w14:paraId="3D26103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5 </w:t>
            </w:r>
          </w:p>
        </w:tc>
        <w:tc>
          <w:tcPr>
            <w:tcW w:w="825" w:type="dxa"/>
            <w:tcBorders>
              <w:top w:val="nil"/>
              <w:left w:val="nil"/>
              <w:bottom w:val="nil"/>
              <w:right w:val="nil"/>
            </w:tcBorders>
            <w:shd w:val="clear" w:color="auto" w:fill="auto"/>
            <w:hideMark/>
          </w:tcPr>
          <w:p w14:paraId="78481E0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01B5313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90 </w:t>
            </w:r>
          </w:p>
          <w:p w14:paraId="1F2EAF4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5 </w:t>
            </w:r>
          </w:p>
          <w:p w14:paraId="5D07008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29 </w:t>
            </w:r>
          </w:p>
          <w:p w14:paraId="70ABFB5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5 </w:t>
            </w:r>
          </w:p>
        </w:tc>
        <w:tc>
          <w:tcPr>
            <w:tcW w:w="825" w:type="dxa"/>
            <w:tcBorders>
              <w:top w:val="nil"/>
              <w:left w:val="nil"/>
              <w:bottom w:val="nil"/>
              <w:right w:val="nil"/>
            </w:tcBorders>
            <w:shd w:val="clear" w:color="auto" w:fill="auto"/>
            <w:hideMark/>
          </w:tcPr>
          <w:p w14:paraId="10D5BFE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732EBFA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115 </w:t>
            </w:r>
          </w:p>
          <w:p w14:paraId="637C3EB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10 </w:t>
            </w:r>
          </w:p>
          <w:p w14:paraId="307FD24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44 </w:t>
            </w:r>
          </w:p>
          <w:p w14:paraId="32B2735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6 </w:t>
            </w:r>
          </w:p>
        </w:tc>
        <w:tc>
          <w:tcPr>
            <w:tcW w:w="690" w:type="dxa"/>
            <w:tcBorders>
              <w:top w:val="nil"/>
              <w:left w:val="nil"/>
              <w:bottom w:val="nil"/>
              <w:right w:val="single" w:sz="6" w:space="0" w:color="000000"/>
            </w:tcBorders>
            <w:shd w:val="clear" w:color="auto" w:fill="auto"/>
            <w:hideMark/>
          </w:tcPr>
          <w:p w14:paraId="02FF950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22048E1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85 </w:t>
            </w:r>
          </w:p>
          <w:p w14:paraId="23CB3DA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7 </w:t>
            </w:r>
          </w:p>
          <w:p w14:paraId="47091CD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33 </w:t>
            </w:r>
          </w:p>
          <w:p w14:paraId="43A4308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4 </w:t>
            </w:r>
          </w:p>
        </w:tc>
      </w:tr>
      <w:tr w:rsidR="007D175D" w:rsidRPr="007D175D" w14:paraId="6DE69F11" w14:textId="77777777">
        <w:trPr>
          <w:trHeight w:val="585"/>
        </w:trPr>
        <w:tc>
          <w:tcPr>
            <w:tcW w:w="3195" w:type="dxa"/>
            <w:tcBorders>
              <w:top w:val="single" w:sz="6" w:space="0" w:color="000000"/>
              <w:left w:val="single" w:sz="6" w:space="0" w:color="000000"/>
              <w:bottom w:val="single" w:sz="6" w:space="0" w:color="000000"/>
              <w:right w:val="nil"/>
            </w:tcBorders>
            <w:shd w:val="clear" w:color="auto" w:fill="auto"/>
            <w:hideMark/>
          </w:tcPr>
          <w:p w14:paraId="09D6CF75"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sz w:val="18"/>
                <w:szCs w:val="18"/>
                <w:lang w:eastAsia="en-AU"/>
              </w:rPr>
              <w:t>Experience barriers </w:t>
            </w:r>
          </w:p>
          <w:p w14:paraId="10E16D09"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No</w:t>
            </w:r>
            <w:r w:rsidRPr="007D175D">
              <w:rPr>
                <w:rFonts w:asciiTheme="minorHAnsi" w:hAnsiTheme="minorHAnsi" w:cstheme="minorHAnsi"/>
                <w:b/>
                <w:bCs/>
                <w:sz w:val="18"/>
                <w:szCs w:val="18"/>
                <w:lang w:eastAsia="en-AU"/>
              </w:rPr>
              <w:t> </w:t>
            </w:r>
          </w:p>
          <w:p w14:paraId="3320A838"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Yes</w:t>
            </w:r>
          </w:p>
        </w:tc>
        <w:tc>
          <w:tcPr>
            <w:tcW w:w="825" w:type="dxa"/>
            <w:tcBorders>
              <w:top w:val="single" w:sz="6" w:space="0" w:color="000000"/>
              <w:left w:val="nil"/>
              <w:bottom w:val="single" w:sz="6" w:space="0" w:color="000000"/>
              <w:right w:val="nil"/>
            </w:tcBorders>
            <w:shd w:val="clear" w:color="auto" w:fill="auto"/>
            <w:hideMark/>
          </w:tcPr>
          <w:p w14:paraId="06E23DC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3069593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7 </w:t>
            </w:r>
          </w:p>
          <w:p w14:paraId="5491070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25</w:t>
            </w:r>
          </w:p>
        </w:tc>
        <w:tc>
          <w:tcPr>
            <w:tcW w:w="825" w:type="dxa"/>
            <w:tcBorders>
              <w:top w:val="single" w:sz="6" w:space="0" w:color="000000"/>
              <w:left w:val="nil"/>
              <w:bottom w:val="single" w:sz="6" w:space="0" w:color="000000"/>
              <w:right w:val="nil"/>
            </w:tcBorders>
            <w:shd w:val="clear" w:color="auto" w:fill="auto"/>
            <w:hideMark/>
          </w:tcPr>
          <w:p w14:paraId="5AC73BC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284E4AB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22 </w:t>
            </w:r>
          </w:p>
          <w:p w14:paraId="5E962CF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78</w:t>
            </w:r>
          </w:p>
        </w:tc>
        <w:tc>
          <w:tcPr>
            <w:tcW w:w="825" w:type="dxa"/>
            <w:tcBorders>
              <w:top w:val="single" w:sz="6" w:space="0" w:color="000000"/>
              <w:left w:val="nil"/>
              <w:bottom w:val="single" w:sz="6" w:space="0" w:color="000000"/>
              <w:right w:val="nil"/>
            </w:tcBorders>
            <w:shd w:val="clear" w:color="auto" w:fill="auto"/>
            <w:hideMark/>
          </w:tcPr>
          <w:p w14:paraId="4249018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05CCC8E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52 </w:t>
            </w:r>
          </w:p>
          <w:p w14:paraId="1C4306A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48</w:t>
            </w:r>
          </w:p>
        </w:tc>
        <w:tc>
          <w:tcPr>
            <w:tcW w:w="825" w:type="dxa"/>
            <w:tcBorders>
              <w:top w:val="single" w:sz="6" w:space="0" w:color="000000"/>
              <w:left w:val="nil"/>
              <w:bottom w:val="single" w:sz="6" w:space="0" w:color="000000"/>
              <w:right w:val="nil"/>
            </w:tcBorders>
            <w:shd w:val="clear" w:color="auto" w:fill="auto"/>
            <w:hideMark/>
          </w:tcPr>
          <w:p w14:paraId="52620C6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1681C06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51 </w:t>
            </w:r>
          </w:p>
          <w:p w14:paraId="0ABFF19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48</w:t>
            </w:r>
          </w:p>
        </w:tc>
        <w:tc>
          <w:tcPr>
            <w:tcW w:w="825" w:type="dxa"/>
            <w:tcBorders>
              <w:top w:val="single" w:sz="6" w:space="0" w:color="000000"/>
              <w:left w:val="nil"/>
              <w:bottom w:val="single" w:sz="6" w:space="0" w:color="000000"/>
              <w:right w:val="nil"/>
            </w:tcBorders>
            <w:shd w:val="clear" w:color="auto" w:fill="auto"/>
            <w:hideMark/>
          </w:tcPr>
          <w:p w14:paraId="00A4C99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4CD73AA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117 </w:t>
            </w:r>
          </w:p>
          <w:p w14:paraId="77F17EA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102</w:t>
            </w:r>
          </w:p>
        </w:tc>
        <w:tc>
          <w:tcPr>
            <w:tcW w:w="825" w:type="dxa"/>
            <w:tcBorders>
              <w:top w:val="single" w:sz="6" w:space="0" w:color="000000"/>
              <w:left w:val="nil"/>
              <w:bottom w:val="single" w:sz="6" w:space="0" w:color="000000"/>
              <w:right w:val="nil"/>
            </w:tcBorders>
            <w:shd w:val="clear" w:color="auto" w:fill="auto"/>
            <w:hideMark/>
          </w:tcPr>
          <w:p w14:paraId="06954A4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2850404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53 </w:t>
            </w:r>
          </w:p>
          <w:p w14:paraId="29BE57C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47</w:t>
            </w:r>
          </w:p>
        </w:tc>
        <w:tc>
          <w:tcPr>
            <w:tcW w:w="825" w:type="dxa"/>
            <w:tcBorders>
              <w:top w:val="single" w:sz="6" w:space="0" w:color="000000"/>
              <w:left w:val="nil"/>
              <w:bottom w:val="single" w:sz="6" w:space="0" w:color="000000"/>
              <w:right w:val="nil"/>
            </w:tcBorders>
            <w:shd w:val="clear" w:color="auto" w:fill="auto"/>
            <w:hideMark/>
          </w:tcPr>
          <w:p w14:paraId="063B514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2CA9E9A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176 </w:t>
            </w:r>
          </w:p>
          <w:p w14:paraId="0D75BC3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175</w:t>
            </w:r>
          </w:p>
        </w:tc>
        <w:tc>
          <w:tcPr>
            <w:tcW w:w="690" w:type="dxa"/>
            <w:tcBorders>
              <w:top w:val="single" w:sz="6" w:space="0" w:color="000000"/>
              <w:left w:val="nil"/>
              <w:bottom w:val="single" w:sz="6" w:space="0" w:color="000000"/>
              <w:right w:val="single" w:sz="6" w:space="0" w:color="000000"/>
            </w:tcBorders>
            <w:shd w:val="clear" w:color="auto" w:fill="auto"/>
            <w:hideMark/>
          </w:tcPr>
          <w:p w14:paraId="78C1FF7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45734E2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50 </w:t>
            </w:r>
          </w:p>
          <w:p w14:paraId="73891B3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50</w:t>
            </w:r>
          </w:p>
        </w:tc>
      </w:tr>
      <w:tr w:rsidR="007D175D" w:rsidRPr="007D175D" w14:paraId="76658825" w14:textId="77777777">
        <w:trPr>
          <w:trHeight w:val="3420"/>
        </w:trPr>
        <w:tc>
          <w:tcPr>
            <w:tcW w:w="3195" w:type="dxa"/>
            <w:tcBorders>
              <w:top w:val="nil"/>
              <w:left w:val="single" w:sz="6" w:space="0" w:color="000000"/>
              <w:bottom w:val="nil"/>
              <w:right w:val="nil"/>
            </w:tcBorders>
            <w:shd w:val="clear" w:color="auto" w:fill="auto"/>
            <w:hideMark/>
          </w:tcPr>
          <w:p w14:paraId="43713A19"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sz w:val="18"/>
                <w:szCs w:val="18"/>
                <w:lang w:eastAsia="en-AU"/>
              </w:rPr>
              <w:t>Types of barriers (n=</w:t>
            </w:r>
            <w:proofErr w:type="gramStart"/>
            <w:r w:rsidRPr="007D175D">
              <w:rPr>
                <w:rFonts w:asciiTheme="minorHAnsi" w:hAnsiTheme="minorHAnsi" w:cstheme="minorHAnsi"/>
                <w:b/>
                <w:bCs/>
                <w:sz w:val="18"/>
                <w:szCs w:val="18"/>
                <w:lang w:eastAsia="en-AU"/>
              </w:rPr>
              <w:t>175)</w:t>
            </w:r>
            <w:r w:rsidRPr="007D175D">
              <w:rPr>
                <w:rFonts w:asciiTheme="minorHAnsi" w:hAnsiTheme="minorHAnsi" w:cstheme="minorHAnsi"/>
                <w:b/>
                <w:bCs/>
                <w:sz w:val="18"/>
                <w:szCs w:val="18"/>
                <w:vertAlign w:val="superscript"/>
                <w:lang w:eastAsia="en-AU"/>
              </w:rPr>
              <w:t>a</w:t>
            </w:r>
            <w:proofErr w:type="gramEnd"/>
            <w:r w:rsidRPr="007D175D">
              <w:rPr>
                <w:rFonts w:asciiTheme="minorHAnsi" w:hAnsiTheme="minorHAnsi" w:cstheme="minorHAnsi"/>
                <w:b/>
                <w:bCs/>
                <w:sz w:val="18"/>
                <w:szCs w:val="18"/>
                <w:lang w:eastAsia="en-AU"/>
              </w:rPr>
              <w:t> </w:t>
            </w:r>
          </w:p>
          <w:p w14:paraId="69CEB2B6"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Thought things would get better</w:t>
            </w:r>
            <w:r w:rsidRPr="007D175D">
              <w:rPr>
                <w:rFonts w:asciiTheme="minorHAnsi" w:hAnsiTheme="minorHAnsi" w:cstheme="minorHAnsi"/>
                <w:b/>
                <w:bCs/>
                <w:color w:val="000000"/>
                <w:sz w:val="18"/>
                <w:szCs w:val="18"/>
                <w:lang w:eastAsia="en-AU"/>
              </w:rPr>
              <w:t> </w:t>
            </w:r>
          </w:p>
          <w:p w14:paraId="39AAE3F5"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Unable to afford mental health care</w:t>
            </w:r>
            <w:r w:rsidRPr="007D175D">
              <w:rPr>
                <w:rFonts w:asciiTheme="minorHAnsi" w:hAnsiTheme="minorHAnsi" w:cstheme="minorHAnsi"/>
                <w:b/>
                <w:bCs/>
                <w:color w:val="000000"/>
                <w:sz w:val="18"/>
                <w:szCs w:val="18"/>
                <w:lang w:eastAsia="en-AU"/>
              </w:rPr>
              <w:t> </w:t>
            </w:r>
          </w:p>
          <w:p w14:paraId="6BF800CC"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My symptoms not severe enough</w:t>
            </w:r>
            <w:r w:rsidRPr="007D175D">
              <w:rPr>
                <w:rFonts w:asciiTheme="minorHAnsi" w:hAnsiTheme="minorHAnsi" w:cstheme="minorHAnsi"/>
                <w:b/>
                <w:bCs/>
                <w:color w:val="000000"/>
                <w:sz w:val="18"/>
                <w:szCs w:val="18"/>
                <w:lang w:eastAsia="en-AU"/>
              </w:rPr>
              <w:t> </w:t>
            </w:r>
          </w:p>
          <w:p w14:paraId="2443874D"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I preferred to rely on myself</w:t>
            </w:r>
            <w:r w:rsidRPr="007D175D">
              <w:rPr>
                <w:rFonts w:asciiTheme="minorHAnsi" w:hAnsiTheme="minorHAnsi" w:cstheme="minorHAnsi"/>
                <w:b/>
                <w:bCs/>
                <w:color w:val="000000"/>
                <w:sz w:val="18"/>
                <w:szCs w:val="18"/>
                <w:lang w:eastAsia="en-AU"/>
              </w:rPr>
              <w:t> </w:t>
            </w:r>
          </w:p>
          <w:p w14:paraId="4DAA4BBF"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My MH was not a priority</w:t>
            </w:r>
            <w:r w:rsidRPr="007D175D">
              <w:rPr>
                <w:rFonts w:asciiTheme="minorHAnsi" w:hAnsiTheme="minorHAnsi" w:cstheme="minorHAnsi"/>
                <w:b/>
                <w:bCs/>
                <w:color w:val="000000"/>
                <w:sz w:val="18"/>
                <w:szCs w:val="18"/>
                <w:lang w:eastAsia="en-AU"/>
              </w:rPr>
              <w:t> </w:t>
            </w:r>
          </w:p>
          <w:p w14:paraId="1928AFC3"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I was embarrassed</w:t>
            </w:r>
            <w:r w:rsidRPr="007D175D">
              <w:rPr>
                <w:rFonts w:asciiTheme="minorHAnsi" w:hAnsiTheme="minorHAnsi" w:cstheme="minorHAnsi"/>
                <w:b/>
                <w:bCs/>
                <w:color w:val="000000"/>
                <w:sz w:val="18"/>
                <w:szCs w:val="18"/>
                <w:lang w:eastAsia="en-AU"/>
              </w:rPr>
              <w:t> </w:t>
            </w:r>
          </w:p>
          <w:p w14:paraId="48EB895B"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I didn’t recognise the MH symptoms </w:t>
            </w:r>
            <w:r w:rsidRPr="007D175D">
              <w:rPr>
                <w:rFonts w:asciiTheme="minorHAnsi" w:hAnsiTheme="minorHAnsi" w:cstheme="minorHAnsi"/>
                <w:b/>
                <w:bCs/>
                <w:color w:val="000000"/>
                <w:sz w:val="18"/>
                <w:szCs w:val="18"/>
                <w:lang w:eastAsia="en-AU"/>
              </w:rPr>
              <w:t> </w:t>
            </w:r>
          </w:p>
          <w:p w14:paraId="0F0146C5"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Didn’t want anyone to know </w:t>
            </w:r>
            <w:r w:rsidRPr="007D175D">
              <w:rPr>
                <w:rFonts w:asciiTheme="minorHAnsi" w:hAnsiTheme="minorHAnsi" w:cstheme="minorHAnsi"/>
                <w:b/>
                <w:bCs/>
                <w:color w:val="000000"/>
                <w:sz w:val="18"/>
                <w:szCs w:val="18"/>
                <w:lang w:eastAsia="en-AU"/>
              </w:rPr>
              <w:t> </w:t>
            </w:r>
          </w:p>
          <w:p w14:paraId="3F04BDD2"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I did not need MH treatment</w:t>
            </w:r>
            <w:r w:rsidRPr="007D175D">
              <w:rPr>
                <w:rFonts w:asciiTheme="minorHAnsi" w:hAnsiTheme="minorHAnsi" w:cstheme="minorHAnsi"/>
                <w:b/>
                <w:bCs/>
                <w:color w:val="000000"/>
                <w:sz w:val="18"/>
                <w:szCs w:val="18"/>
                <w:lang w:eastAsia="en-AU"/>
              </w:rPr>
              <w:t> </w:t>
            </w:r>
          </w:p>
          <w:p w14:paraId="33F2FB5B"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I had limited knowledge options</w:t>
            </w:r>
            <w:r w:rsidRPr="007D175D">
              <w:rPr>
                <w:rFonts w:asciiTheme="minorHAnsi" w:hAnsiTheme="minorHAnsi" w:cstheme="minorHAnsi"/>
                <w:b/>
                <w:bCs/>
                <w:color w:val="000000"/>
                <w:sz w:val="18"/>
                <w:szCs w:val="18"/>
                <w:lang w:eastAsia="en-AU"/>
              </w:rPr>
              <w:t> </w:t>
            </w:r>
          </w:p>
          <w:p w14:paraId="0BA19247"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I was on a long waiting list</w:t>
            </w:r>
            <w:r w:rsidRPr="007D175D">
              <w:rPr>
                <w:rFonts w:asciiTheme="minorHAnsi" w:hAnsiTheme="minorHAnsi" w:cstheme="minorHAnsi"/>
                <w:b/>
                <w:bCs/>
                <w:color w:val="000000"/>
                <w:sz w:val="18"/>
                <w:szCs w:val="18"/>
                <w:lang w:eastAsia="en-AU"/>
              </w:rPr>
              <w:t> </w:t>
            </w:r>
          </w:p>
          <w:p w14:paraId="50755475"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Didn’t think treatment would help</w:t>
            </w:r>
            <w:r w:rsidRPr="007D175D">
              <w:rPr>
                <w:rFonts w:asciiTheme="minorHAnsi" w:hAnsiTheme="minorHAnsi" w:cstheme="minorHAnsi"/>
                <w:b/>
                <w:bCs/>
                <w:color w:val="000000"/>
                <w:sz w:val="18"/>
                <w:szCs w:val="18"/>
                <w:lang w:eastAsia="en-AU"/>
              </w:rPr>
              <w:t> </w:t>
            </w:r>
          </w:p>
          <w:p w14:paraId="4035DBDA"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MH services unavailable in my area</w:t>
            </w:r>
            <w:r w:rsidRPr="007D175D">
              <w:rPr>
                <w:rFonts w:asciiTheme="minorHAnsi" w:hAnsiTheme="minorHAnsi" w:cstheme="minorHAnsi"/>
                <w:b/>
                <w:bCs/>
                <w:color w:val="000000"/>
                <w:sz w:val="18"/>
                <w:szCs w:val="18"/>
                <w:lang w:eastAsia="en-AU"/>
              </w:rPr>
              <w:t> </w:t>
            </w:r>
          </w:p>
          <w:p w14:paraId="6D4021BE"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Getting transport was difficult </w:t>
            </w:r>
            <w:r w:rsidRPr="007D175D">
              <w:rPr>
                <w:rFonts w:asciiTheme="minorHAnsi" w:hAnsiTheme="minorHAnsi" w:cstheme="minorHAnsi"/>
                <w:b/>
                <w:bCs/>
                <w:color w:val="000000"/>
                <w:sz w:val="18"/>
                <w:szCs w:val="18"/>
                <w:lang w:eastAsia="en-AU"/>
              </w:rPr>
              <w:t> </w:t>
            </w:r>
          </w:p>
          <w:p w14:paraId="505B7746"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I preferred to rely on family/friends</w:t>
            </w:r>
            <w:r w:rsidRPr="007D175D">
              <w:rPr>
                <w:rFonts w:asciiTheme="minorHAnsi" w:hAnsiTheme="minorHAnsi" w:cstheme="minorHAnsi"/>
                <w:b/>
                <w:bCs/>
                <w:color w:val="000000"/>
                <w:sz w:val="18"/>
                <w:szCs w:val="18"/>
                <w:lang w:eastAsia="en-AU"/>
              </w:rPr>
              <w:t> </w:t>
            </w:r>
          </w:p>
          <w:p w14:paraId="5FFB9F01"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Other</w:t>
            </w:r>
          </w:p>
        </w:tc>
        <w:tc>
          <w:tcPr>
            <w:tcW w:w="825" w:type="dxa"/>
            <w:tcBorders>
              <w:top w:val="nil"/>
              <w:left w:val="nil"/>
              <w:bottom w:val="nil"/>
              <w:right w:val="nil"/>
            </w:tcBorders>
            <w:shd w:val="clear" w:color="auto" w:fill="auto"/>
            <w:hideMark/>
          </w:tcPr>
          <w:p w14:paraId="530FDCC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294A77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3BE9416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16 </w:t>
            </w:r>
          </w:p>
          <w:p w14:paraId="7E7F80C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7C7B78F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27DCFB3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639F4D1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715C735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02C0EB1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3E07337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354DFD8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0C02FAD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695E77D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6828CD4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0058B40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66002F9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302E77A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tc>
        <w:tc>
          <w:tcPr>
            <w:tcW w:w="825" w:type="dxa"/>
            <w:tcBorders>
              <w:top w:val="nil"/>
              <w:left w:val="nil"/>
              <w:bottom w:val="nil"/>
              <w:right w:val="nil"/>
            </w:tcBorders>
            <w:shd w:val="clear" w:color="auto" w:fill="auto"/>
            <w:hideMark/>
          </w:tcPr>
          <w:p w14:paraId="01B1ABC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81682F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28 </w:t>
            </w:r>
          </w:p>
          <w:p w14:paraId="32AA5F7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64 </w:t>
            </w:r>
          </w:p>
          <w:p w14:paraId="4D1D827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28 </w:t>
            </w:r>
          </w:p>
          <w:p w14:paraId="0023037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24 </w:t>
            </w:r>
          </w:p>
          <w:p w14:paraId="5A47FBB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32 </w:t>
            </w:r>
          </w:p>
          <w:p w14:paraId="168F6F8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36 </w:t>
            </w:r>
          </w:p>
          <w:p w14:paraId="17B62EB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28 </w:t>
            </w:r>
          </w:p>
          <w:p w14:paraId="432ADD7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12 </w:t>
            </w:r>
          </w:p>
          <w:p w14:paraId="5E7E5CB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16 </w:t>
            </w:r>
          </w:p>
          <w:p w14:paraId="30B8C84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28 </w:t>
            </w:r>
          </w:p>
          <w:p w14:paraId="3BE925A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20 </w:t>
            </w:r>
          </w:p>
          <w:p w14:paraId="7A56AF9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16 </w:t>
            </w:r>
          </w:p>
          <w:p w14:paraId="6A9C177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12 </w:t>
            </w:r>
          </w:p>
          <w:p w14:paraId="013D0CC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12 </w:t>
            </w:r>
          </w:p>
          <w:p w14:paraId="1E1FA18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3E85A31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20 </w:t>
            </w:r>
          </w:p>
        </w:tc>
        <w:tc>
          <w:tcPr>
            <w:tcW w:w="825" w:type="dxa"/>
            <w:tcBorders>
              <w:top w:val="nil"/>
              <w:left w:val="nil"/>
              <w:bottom w:val="nil"/>
              <w:right w:val="nil"/>
            </w:tcBorders>
            <w:shd w:val="clear" w:color="auto" w:fill="auto"/>
            <w:hideMark/>
          </w:tcPr>
          <w:p w14:paraId="27CDD0C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DCE4AC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25 </w:t>
            </w:r>
          </w:p>
          <w:p w14:paraId="0E17F69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21 </w:t>
            </w:r>
          </w:p>
          <w:p w14:paraId="485B8BB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p w14:paraId="7B0CDB2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p w14:paraId="37404CE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20 </w:t>
            </w:r>
          </w:p>
          <w:p w14:paraId="38D3C6F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2F8595C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32D0B4A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15 </w:t>
            </w:r>
          </w:p>
          <w:p w14:paraId="0BAF936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69B6D8B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15 </w:t>
            </w:r>
          </w:p>
          <w:p w14:paraId="26A4DFD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1E2B07A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12 </w:t>
            </w:r>
          </w:p>
          <w:p w14:paraId="73D16A6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43EB0DD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2B7EBBA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37F211F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tc>
        <w:tc>
          <w:tcPr>
            <w:tcW w:w="825" w:type="dxa"/>
            <w:tcBorders>
              <w:top w:val="nil"/>
              <w:left w:val="nil"/>
              <w:bottom w:val="nil"/>
              <w:right w:val="nil"/>
            </w:tcBorders>
            <w:shd w:val="clear" w:color="auto" w:fill="auto"/>
            <w:hideMark/>
          </w:tcPr>
          <w:p w14:paraId="5CA82D2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ADA58F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52 </w:t>
            </w:r>
          </w:p>
          <w:p w14:paraId="6593BCF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44 </w:t>
            </w:r>
          </w:p>
          <w:p w14:paraId="6FC63E2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38 </w:t>
            </w:r>
          </w:p>
          <w:p w14:paraId="234A5A5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38 </w:t>
            </w:r>
          </w:p>
          <w:p w14:paraId="7679B50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42 </w:t>
            </w:r>
          </w:p>
          <w:p w14:paraId="362257B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27 </w:t>
            </w:r>
          </w:p>
          <w:p w14:paraId="5E8C95B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19 </w:t>
            </w:r>
          </w:p>
          <w:p w14:paraId="5259A10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31 </w:t>
            </w:r>
          </w:p>
          <w:p w14:paraId="538408F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27 </w:t>
            </w:r>
          </w:p>
          <w:p w14:paraId="0B591A7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31 </w:t>
            </w:r>
          </w:p>
          <w:p w14:paraId="7459112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27 </w:t>
            </w:r>
          </w:p>
          <w:p w14:paraId="17F51CA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25 </w:t>
            </w:r>
          </w:p>
          <w:p w14:paraId="31581D5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15 </w:t>
            </w:r>
          </w:p>
          <w:p w14:paraId="1C6A45B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15 </w:t>
            </w:r>
          </w:p>
          <w:p w14:paraId="340105F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264E02E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15 </w:t>
            </w:r>
          </w:p>
        </w:tc>
        <w:tc>
          <w:tcPr>
            <w:tcW w:w="825" w:type="dxa"/>
            <w:tcBorders>
              <w:top w:val="nil"/>
              <w:left w:val="nil"/>
              <w:bottom w:val="nil"/>
              <w:right w:val="nil"/>
            </w:tcBorders>
            <w:shd w:val="clear" w:color="auto" w:fill="auto"/>
            <w:hideMark/>
          </w:tcPr>
          <w:p w14:paraId="19D2710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945C40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53 </w:t>
            </w:r>
          </w:p>
          <w:p w14:paraId="447CF3E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46 </w:t>
            </w:r>
          </w:p>
          <w:p w14:paraId="08A62F8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50 </w:t>
            </w:r>
          </w:p>
          <w:p w14:paraId="6A7A078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48 </w:t>
            </w:r>
          </w:p>
          <w:p w14:paraId="667F12A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36 </w:t>
            </w:r>
          </w:p>
          <w:p w14:paraId="33FB068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42 </w:t>
            </w:r>
          </w:p>
          <w:p w14:paraId="40373B6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44 </w:t>
            </w:r>
          </w:p>
          <w:p w14:paraId="21EF5CC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36 </w:t>
            </w:r>
          </w:p>
          <w:p w14:paraId="76C7F1A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34 </w:t>
            </w:r>
          </w:p>
          <w:p w14:paraId="6F8E4A9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24 </w:t>
            </w:r>
          </w:p>
          <w:p w14:paraId="40D0623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24 </w:t>
            </w:r>
          </w:p>
          <w:p w14:paraId="1555A0D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19 </w:t>
            </w:r>
          </w:p>
          <w:p w14:paraId="11083A6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03B5B3F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6CC62B8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0980AC3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tc>
        <w:tc>
          <w:tcPr>
            <w:tcW w:w="825" w:type="dxa"/>
            <w:tcBorders>
              <w:top w:val="nil"/>
              <w:left w:val="nil"/>
              <w:bottom w:val="nil"/>
              <w:right w:val="nil"/>
            </w:tcBorders>
            <w:shd w:val="clear" w:color="auto" w:fill="auto"/>
            <w:hideMark/>
          </w:tcPr>
          <w:p w14:paraId="285C840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042525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52 </w:t>
            </w:r>
          </w:p>
          <w:p w14:paraId="0B5DC43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45 </w:t>
            </w:r>
          </w:p>
          <w:p w14:paraId="273D98C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49 </w:t>
            </w:r>
          </w:p>
          <w:p w14:paraId="011AB28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47 </w:t>
            </w:r>
          </w:p>
          <w:p w14:paraId="783F77A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35 </w:t>
            </w:r>
          </w:p>
          <w:p w14:paraId="35DE80B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41 </w:t>
            </w:r>
          </w:p>
          <w:p w14:paraId="33FC28D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43 </w:t>
            </w:r>
          </w:p>
          <w:p w14:paraId="6BB6D94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35 </w:t>
            </w:r>
          </w:p>
          <w:p w14:paraId="60BB571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33 </w:t>
            </w:r>
          </w:p>
          <w:p w14:paraId="0E08A11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24 </w:t>
            </w:r>
          </w:p>
          <w:p w14:paraId="7C17B3E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24 </w:t>
            </w:r>
          </w:p>
          <w:p w14:paraId="345CD37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19 </w:t>
            </w:r>
          </w:p>
          <w:p w14:paraId="682991D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1DCD9B0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73C07FC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3AF1FBC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tc>
        <w:tc>
          <w:tcPr>
            <w:tcW w:w="825" w:type="dxa"/>
            <w:tcBorders>
              <w:top w:val="nil"/>
              <w:left w:val="nil"/>
              <w:bottom w:val="nil"/>
              <w:right w:val="nil"/>
            </w:tcBorders>
            <w:shd w:val="clear" w:color="auto" w:fill="auto"/>
            <w:hideMark/>
          </w:tcPr>
          <w:p w14:paraId="70542A0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7DC2AB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85 </w:t>
            </w:r>
          </w:p>
          <w:p w14:paraId="0460DF3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83 </w:t>
            </w:r>
          </w:p>
          <w:p w14:paraId="135F33A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75 </w:t>
            </w:r>
          </w:p>
          <w:p w14:paraId="464DEAE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72 </w:t>
            </w:r>
          </w:p>
          <w:p w14:paraId="363A951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64 </w:t>
            </w:r>
          </w:p>
          <w:p w14:paraId="0075502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64 </w:t>
            </w:r>
          </w:p>
          <w:p w14:paraId="2F9154C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60 </w:t>
            </w:r>
          </w:p>
          <w:p w14:paraId="756EBB0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54 </w:t>
            </w:r>
          </w:p>
          <w:p w14:paraId="340AB5C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51 </w:t>
            </w:r>
          </w:p>
          <w:p w14:paraId="19EB8F0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46 </w:t>
            </w:r>
          </w:p>
          <w:p w14:paraId="7CDB825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42 </w:t>
            </w:r>
          </w:p>
          <w:p w14:paraId="0C2452A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35 </w:t>
            </w:r>
          </w:p>
          <w:p w14:paraId="6883545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23 </w:t>
            </w:r>
          </w:p>
          <w:p w14:paraId="114763A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21 </w:t>
            </w:r>
          </w:p>
          <w:p w14:paraId="7AC5B8A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0E4AD6F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30 </w:t>
            </w:r>
          </w:p>
        </w:tc>
        <w:tc>
          <w:tcPr>
            <w:tcW w:w="690" w:type="dxa"/>
            <w:tcBorders>
              <w:top w:val="nil"/>
              <w:left w:val="nil"/>
              <w:bottom w:val="nil"/>
              <w:right w:val="single" w:sz="6" w:space="0" w:color="000000"/>
            </w:tcBorders>
            <w:shd w:val="clear" w:color="auto" w:fill="auto"/>
            <w:hideMark/>
          </w:tcPr>
          <w:p w14:paraId="682556A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B7978B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49 </w:t>
            </w:r>
          </w:p>
          <w:p w14:paraId="7E17F11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47 </w:t>
            </w:r>
          </w:p>
          <w:p w14:paraId="77891AF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43 </w:t>
            </w:r>
          </w:p>
          <w:p w14:paraId="61DCF35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41 </w:t>
            </w:r>
          </w:p>
          <w:p w14:paraId="74710B1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37 </w:t>
            </w:r>
          </w:p>
          <w:p w14:paraId="2FC2E55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37 </w:t>
            </w:r>
          </w:p>
          <w:p w14:paraId="62E61E9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34 </w:t>
            </w:r>
          </w:p>
          <w:p w14:paraId="31305FB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31 </w:t>
            </w:r>
          </w:p>
          <w:p w14:paraId="27D5000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29 </w:t>
            </w:r>
          </w:p>
          <w:p w14:paraId="316E820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26 </w:t>
            </w:r>
          </w:p>
          <w:p w14:paraId="77801C7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24 </w:t>
            </w:r>
          </w:p>
          <w:p w14:paraId="08CFEE3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20 </w:t>
            </w:r>
          </w:p>
          <w:p w14:paraId="2BF2CC2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1C8F175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12 </w:t>
            </w:r>
          </w:p>
          <w:p w14:paraId="388015C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24D0B96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17 </w:t>
            </w:r>
          </w:p>
        </w:tc>
      </w:tr>
      <w:tr w:rsidR="007D175D" w:rsidRPr="007D175D" w14:paraId="10ED4EC2" w14:textId="77777777">
        <w:trPr>
          <w:trHeight w:val="1650"/>
        </w:trPr>
        <w:tc>
          <w:tcPr>
            <w:tcW w:w="3195" w:type="dxa"/>
            <w:tcBorders>
              <w:top w:val="single" w:sz="6" w:space="0" w:color="000000"/>
              <w:left w:val="single" w:sz="6" w:space="0" w:color="000000"/>
              <w:bottom w:val="single" w:sz="6" w:space="0" w:color="000000"/>
              <w:right w:val="nil"/>
            </w:tcBorders>
            <w:shd w:val="clear" w:color="auto" w:fill="auto"/>
            <w:hideMark/>
          </w:tcPr>
          <w:p w14:paraId="3024EA94"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sz w:val="18"/>
                <w:szCs w:val="18"/>
                <w:lang w:eastAsia="en-AU"/>
              </w:rPr>
              <w:t xml:space="preserve">Reason for seeking </w:t>
            </w:r>
            <w:proofErr w:type="spellStart"/>
            <w:r w:rsidRPr="007D175D">
              <w:rPr>
                <w:rFonts w:asciiTheme="minorHAnsi" w:hAnsiTheme="minorHAnsi" w:cstheme="minorHAnsi"/>
                <w:b/>
                <w:bCs/>
                <w:sz w:val="18"/>
                <w:szCs w:val="18"/>
                <w:lang w:eastAsia="en-AU"/>
              </w:rPr>
              <w:t>help</w:t>
            </w:r>
            <w:r w:rsidRPr="007D175D">
              <w:rPr>
                <w:rFonts w:asciiTheme="minorHAnsi" w:hAnsiTheme="minorHAnsi" w:cstheme="minorHAnsi"/>
                <w:b/>
                <w:bCs/>
                <w:sz w:val="18"/>
                <w:szCs w:val="18"/>
                <w:vertAlign w:val="superscript"/>
                <w:lang w:eastAsia="en-AU"/>
              </w:rPr>
              <w:t>a</w:t>
            </w:r>
            <w:proofErr w:type="spellEnd"/>
            <w:r w:rsidRPr="007D175D">
              <w:rPr>
                <w:rFonts w:asciiTheme="minorHAnsi" w:hAnsiTheme="minorHAnsi" w:cstheme="minorHAnsi"/>
                <w:b/>
                <w:bCs/>
                <w:sz w:val="18"/>
                <w:szCs w:val="18"/>
                <w:lang w:eastAsia="en-AU"/>
              </w:rPr>
              <w:t> </w:t>
            </w:r>
          </w:p>
          <w:p w14:paraId="1348026A"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I felt I was not coping</w:t>
            </w:r>
            <w:r w:rsidRPr="007D175D">
              <w:rPr>
                <w:rFonts w:asciiTheme="minorHAnsi" w:hAnsiTheme="minorHAnsi" w:cstheme="minorHAnsi"/>
                <w:b/>
                <w:bCs/>
                <w:color w:val="000000"/>
                <w:sz w:val="18"/>
                <w:szCs w:val="18"/>
                <w:lang w:eastAsia="en-AU"/>
              </w:rPr>
              <w:t> </w:t>
            </w:r>
          </w:p>
          <w:p w14:paraId="4C915D65"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I felt I needed professional help</w:t>
            </w:r>
            <w:r w:rsidRPr="007D175D">
              <w:rPr>
                <w:rFonts w:asciiTheme="minorHAnsi" w:hAnsiTheme="minorHAnsi" w:cstheme="minorHAnsi"/>
                <w:b/>
                <w:bCs/>
                <w:color w:val="000000"/>
                <w:sz w:val="18"/>
                <w:szCs w:val="18"/>
                <w:lang w:eastAsia="en-AU"/>
              </w:rPr>
              <w:t> </w:t>
            </w:r>
          </w:p>
          <w:p w14:paraId="7FB8D111"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My symptoms were getting worse</w:t>
            </w:r>
            <w:r w:rsidRPr="007D175D">
              <w:rPr>
                <w:rFonts w:asciiTheme="minorHAnsi" w:hAnsiTheme="minorHAnsi" w:cstheme="minorHAnsi"/>
                <w:b/>
                <w:bCs/>
                <w:color w:val="000000"/>
                <w:sz w:val="18"/>
                <w:szCs w:val="18"/>
                <w:lang w:eastAsia="en-AU"/>
              </w:rPr>
              <w:t> </w:t>
            </w:r>
          </w:p>
          <w:p w14:paraId="70397029"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A health professional referred me</w:t>
            </w:r>
            <w:r w:rsidRPr="007D175D">
              <w:rPr>
                <w:rFonts w:asciiTheme="minorHAnsi" w:hAnsiTheme="minorHAnsi" w:cstheme="minorHAnsi"/>
                <w:b/>
                <w:bCs/>
                <w:color w:val="000000"/>
                <w:sz w:val="18"/>
                <w:szCs w:val="18"/>
                <w:lang w:eastAsia="en-AU"/>
              </w:rPr>
              <w:t> </w:t>
            </w:r>
          </w:p>
          <w:p w14:paraId="6690BFD1"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Experienced a crisis/ traumatic event</w:t>
            </w:r>
            <w:r w:rsidRPr="007D175D">
              <w:rPr>
                <w:rFonts w:asciiTheme="minorHAnsi" w:hAnsiTheme="minorHAnsi" w:cstheme="minorHAnsi"/>
                <w:b/>
                <w:bCs/>
                <w:color w:val="000000"/>
                <w:sz w:val="18"/>
                <w:szCs w:val="18"/>
                <w:lang w:eastAsia="en-AU"/>
              </w:rPr>
              <w:t> </w:t>
            </w:r>
          </w:p>
          <w:p w14:paraId="5A1B968E"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Family member/friend suggested it</w:t>
            </w:r>
            <w:r w:rsidRPr="007D175D">
              <w:rPr>
                <w:rFonts w:asciiTheme="minorHAnsi" w:hAnsiTheme="minorHAnsi" w:cstheme="minorHAnsi"/>
                <w:b/>
                <w:bCs/>
                <w:color w:val="000000"/>
                <w:sz w:val="18"/>
                <w:szCs w:val="18"/>
                <w:lang w:eastAsia="en-AU"/>
              </w:rPr>
              <w:t> </w:t>
            </w:r>
          </w:p>
          <w:p w14:paraId="6F6BB96C"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Other</w:t>
            </w:r>
            <w:r w:rsidRPr="007D175D">
              <w:rPr>
                <w:rFonts w:asciiTheme="minorHAnsi" w:hAnsiTheme="minorHAnsi" w:cstheme="minorHAnsi"/>
                <w:b/>
                <w:bCs/>
                <w:color w:val="000000"/>
                <w:sz w:val="18"/>
                <w:szCs w:val="18"/>
                <w:lang w:eastAsia="en-AU"/>
              </w:rPr>
              <w:t>  </w:t>
            </w:r>
          </w:p>
        </w:tc>
        <w:tc>
          <w:tcPr>
            <w:tcW w:w="825" w:type="dxa"/>
            <w:tcBorders>
              <w:top w:val="single" w:sz="6" w:space="0" w:color="000000"/>
              <w:left w:val="nil"/>
              <w:bottom w:val="single" w:sz="6" w:space="0" w:color="000000"/>
              <w:right w:val="nil"/>
            </w:tcBorders>
            <w:shd w:val="clear" w:color="auto" w:fill="auto"/>
            <w:hideMark/>
          </w:tcPr>
          <w:p w14:paraId="12B55D6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2CCBA9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22 </w:t>
            </w:r>
          </w:p>
          <w:p w14:paraId="131F16F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19 </w:t>
            </w:r>
          </w:p>
          <w:p w14:paraId="2AC0A89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14 </w:t>
            </w:r>
          </w:p>
          <w:p w14:paraId="3C1199A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0A4076D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12 </w:t>
            </w:r>
          </w:p>
          <w:p w14:paraId="661C8B9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70233BF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c>
          <w:tcPr>
            <w:tcW w:w="825" w:type="dxa"/>
            <w:tcBorders>
              <w:top w:val="single" w:sz="6" w:space="0" w:color="000000"/>
              <w:left w:val="nil"/>
              <w:bottom w:val="single" w:sz="6" w:space="0" w:color="000000"/>
              <w:right w:val="nil"/>
            </w:tcBorders>
            <w:shd w:val="clear" w:color="auto" w:fill="auto"/>
            <w:hideMark/>
          </w:tcPr>
          <w:p w14:paraId="12C0BAC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6CAB0A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69 </w:t>
            </w:r>
          </w:p>
          <w:p w14:paraId="28E6AA6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59 </w:t>
            </w:r>
          </w:p>
          <w:p w14:paraId="3424788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41 </w:t>
            </w:r>
          </w:p>
          <w:p w14:paraId="762FB81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1FB6324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38 </w:t>
            </w:r>
          </w:p>
          <w:p w14:paraId="2BB3CB9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2B96857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tc>
        <w:tc>
          <w:tcPr>
            <w:tcW w:w="825" w:type="dxa"/>
            <w:tcBorders>
              <w:top w:val="single" w:sz="6" w:space="0" w:color="000000"/>
              <w:left w:val="nil"/>
              <w:bottom w:val="single" w:sz="6" w:space="0" w:color="000000"/>
              <w:right w:val="nil"/>
            </w:tcBorders>
            <w:shd w:val="clear" w:color="auto" w:fill="auto"/>
            <w:hideMark/>
          </w:tcPr>
          <w:p w14:paraId="488A509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D42731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41 </w:t>
            </w:r>
          </w:p>
          <w:p w14:paraId="7946291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61 </w:t>
            </w:r>
          </w:p>
          <w:p w14:paraId="13A2912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41 </w:t>
            </w:r>
          </w:p>
          <w:p w14:paraId="5EA7312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19 </w:t>
            </w:r>
          </w:p>
          <w:p w14:paraId="4F15708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31 </w:t>
            </w:r>
          </w:p>
          <w:p w14:paraId="048B7A5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25 </w:t>
            </w:r>
          </w:p>
          <w:p w14:paraId="75E1EA8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tc>
        <w:tc>
          <w:tcPr>
            <w:tcW w:w="825" w:type="dxa"/>
            <w:tcBorders>
              <w:top w:val="single" w:sz="6" w:space="0" w:color="000000"/>
              <w:left w:val="nil"/>
              <w:bottom w:val="single" w:sz="6" w:space="0" w:color="000000"/>
              <w:right w:val="nil"/>
            </w:tcBorders>
            <w:shd w:val="clear" w:color="auto" w:fill="auto"/>
            <w:hideMark/>
          </w:tcPr>
          <w:p w14:paraId="76EFCF8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8F86F3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41 </w:t>
            </w:r>
          </w:p>
          <w:p w14:paraId="1DCE70D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61 </w:t>
            </w:r>
          </w:p>
          <w:p w14:paraId="13CC7B6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41 </w:t>
            </w:r>
          </w:p>
          <w:p w14:paraId="26A6928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19 </w:t>
            </w:r>
          </w:p>
          <w:p w14:paraId="5F4F3D4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31 </w:t>
            </w:r>
          </w:p>
          <w:p w14:paraId="7DEE7B2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25 </w:t>
            </w:r>
          </w:p>
          <w:p w14:paraId="40F8318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tc>
        <w:tc>
          <w:tcPr>
            <w:tcW w:w="825" w:type="dxa"/>
            <w:tcBorders>
              <w:top w:val="single" w:sz="6" w:space="0" w:color="000000"/>
              <w:left w:val="nil"/>
              <w:bottom w:val="single" w:sz="6" w:space="0" w:color="000000"/>
              <w:right w:val="nil"/>
            </w:tcBorders>
            <w:shd w:val="clear" w:color="auto" w:fill="auto"/>
            <w:hideMark/>
          </w:tcPr>
          <w:p w14:paraId="0C9113A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4AB16E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125 </w:t>
            </w:r>
          </w:p>
          <w:p w14:paraId="229A68B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103 </w:t>
            </w:r>
          </w:p>
          <w:p w14:paraId="18B03BA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97 </w:t>
            </w:r>
          </w:p>
          <w:p w14:paraId="3BED433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127 </w:t>
            </w:r>
          </w:p>
          <w:p w14:paraId="1838951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47 </w:t>
            </w:r>
          </w:p>
          <w:p w14:paraId="4DBD1DE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17 </w:t>
            </w:r>
          </w:p>
          <w:p w14:paraId="6B2FF7E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16 </w:t>
            </w:r>
          </w:p>
        </w:tc>
        <w:tc>
          <w:tcPr>
            <w:tcW w:w="825" w:type="dxa"/>
            <w:tcBorders>
              <w:top w:val="single" w:sz="6" w:space="0" w:color="000000"/>
              <w:left w:val="nil"/>
              <w:bottom w:val="single" w:sz="6" w:space="0" w:color="000000"/>
              <w:right w:val="nil"/>
            </w:tcBorders>
            <w:shd w:val="clear" w:color="auto" w:fill="auto"/>
            <w:hideMark/>
          </w:tcPr>
          <w:p w14:paraId="2A458D5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94B2BC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57 </w:t>
            </w:r>
          </w:p>
          <w:p w14:paraId="63DB327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47 </w:t>
            </w:r>
          </w:p>
          <w:p w14:paraId="6B2C739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44 </w:t>
            </w:r>
          </w:p>
          <w:p w14:paraId="235A8E8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58 </w:t>
            </w:r>
          </w:p>
          <w:p w14:paraId="641B308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21 </w:t>
            </w:r>
          </w:p>
          <w:p w14:paraId="02228B0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023D7F4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tc>
        <w:tc>
          <w:tcPr>
            <w:tcW w:w="825" w:type="dxa"/>
            <w:tcBorders>
              <w:top w:val="single" w:sz="6" w:space="0" w:color="000000"/>
              <w:left w:val="nil"/>
              <w:bottom w:val="single" w:sz="6" w:space="0" w:color="000000"/>
              <w:right w:val="nil"/>
            </w:tcBorders>
            <w:shd w:val="clear" w:color="auto" w:fill="auto"/>
            <w:hideMark/>
          </w:tcPr>
          <w:p w14:paraId="0C480BC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2F7B07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188 </w:t>
            </w:r>
          </w:p>
          <w:p w14:paraId="333AABA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183 </w:t>
            </w:r>
          </w:p>
          <w:p w14:paraId="6CD72FA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152 </w:t>
            </w:r>
          </w:p>
          <w:p w14:paraId="164C16A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146 </w:t>
            </w:r>
          </w:p>
          <w:p w14:paraId="000DB74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90 </w:t>
            </w:r>
          </w:p>
          <w:p w14:paraId="293BB6A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46 </w:t>
            </w:r>
          </w:p>
          <w:p w14:paraId="72DB7C3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25 </w:t>
            </w:r>
          </w:p>
        </w:tc>
        <w:tc>
          <w:tcPr>
            <w:tcW w:w="690" w:type="dxa"/>
            <w:tcBorders>
              <w:top w:val="single" w:sz="6" w:space="0" w:color="000000"/>
              <w:left w:val="nil"/>
              <w:bottom w:val="single" w:sz="6" w:space="0" w:color="000000"/>
              <w:right w:val="single" w:sz="6" w:space="0" w:color="000000"/>
            </w:tcBorders>
            <w:shd w:val="clear" w:color="auto" w:fill="auto"/>
            <w:hideMark/>
          </w:tcPr>
          <w:p w14:paraId="693A078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23F981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54 </w:t>
            </w:r>
          </w:p>
          <w:p w14:paraId="0CBA803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53 </w:t>
            </w:r>
          </w:p>
          <w:p w14:paraId="69D5EAD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43 </w:t>
            </w:r>
          </w:p>
          <w:p w14:paraId="4E9F15A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42 </w:t>
            </w:r>
          </w:p>
          <w:p w14:paraId="480F199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26 </w:t>
            </w:r>
          </w:p>
          <w:p w14:paraId="0656635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3B2EE3F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tc>
      </w:tr>
      <w:tr w:rsidR="007D175D" w:rsidRPr="007D175D" w14:paraId="728E23D7" w14:textId="77777777">
        <w:trPr>
          <w:trHeight w:val="960"/>
        </w:trPr>
        <w:tc>
          <w:tcPr>
            <w:tcW w:w="3195" w:type="dxa"/>
            <w:tcBorders>
              <w:top w:val="nil"/>
              <w:left w:val="single" w:sz="6" w:space="0" w:color="000000"/>
              <w:bottom w:val="single" w:sz="6" w:space="0" w:color="000000"/>
              <w:right w:val="nil"/>
            </w:tcBorders>
            <w:shd w:val="clear" w:color="auto" w:fill="auto"/>
            <w:hideMark/>
          </w:tcPr>
          <w:p w14:paraId="7AF326E3"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sz w:val="18"/>
                <w:szCs w:val="18"/>
                <w:lang w:eastAsia="en-AU"/>
              </w:rPr>
              <w:t>Frequency of use </w:t>
            </w:r>
          </w:p>
          <w:p w14:paraId="5D27DE6E"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First time I have used DMHS</w:t>
            </w:r>
            <w:r w:rsidRPr="007D175D">
              <w:rPr>
                <w:rFonts w:asciiTheme="minorHAnsi" w:hAnsiTheme="minorHAnsi" w:cstheme="minorHAnsi"/>
                <w:b/>
                <w:bCs/>
                <w:color w:val="000000"/>
                <w:sz w:val="18"/>
                <w:szCs w:val="18"/>
                <w:lang w:eastAsia="en-AU"/>
              </w:rPr>
              <w:t> </w:t>
            </w:r>
          </w:p>
          <w:p w14:paraId="5D8D077D"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I rarely use DMHS</w:t>
            </w:r>
            <w:r w:rsidRPr="007D175D">
              <w:rPr>
                <w:rFonts w:asciiTheme="minorHAnsi" w:hAnsiTheme="minorHAnsi" w:cstheme="minorHAnsi"/>
                <w:b/>
                <w:bCs/>
                <w:color w:val="000000"/>
                <w:sz w:val="18"/>
                <w:szCs w:val="18"/>
                <w:lang w:eastAsia="en-AU"/>
              </w:rPr>
              <w:t> </w:t>
            </w:r>
          </w:p>
          <w:p w14:paraId="066524F9"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I sometimes use DMHS</w:t>
            </w:r>
            <w:r w:rsidRPr="007D175D">
              <w:rPr>
                <w:rFonts w:asciiTheme="minorHAnsi" w:hAnsiTheme="minorHAnsi" w:cstheme="minorHAnsi"/>
                <w:b/>
                <w:bCs/>
                <w:color w:val="000000"/>
                <w:sz w:val="18"/>
                <w:szCs w:val="18"/>
                <w:lang w:eastAsia="en-AU"/>
              </w:rPr>
              <w:t> </w:t>
            </w:r>
          </w:p>
          <w:p w14:paraId="714820C6"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I often use DMHS</w:t>
            </w:r>
          </w:p>
        </w:tc>
        <w:tc>
          <w:tcPr>
            <w:tcW w:w="825" w:type="dxa"/>
            <w:tcBorders>
              <w:top w:val="nil"/>
              <w:left w:val="nil"/>
              <w:bottom w:val="single" w:sz="6" w:space="0" w:color="000000"/>
              <w:right w:val="nil"/>
            </w:tcBorders>
            <w:shd w:val="clear" w:color="auto" w:fill="auto"/>
            <w:hideMark/>
          </w:tcPr>
          <w:p w14:paraId="771E2E3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BE099A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21 </w:t>
            </w:r>
          </w:p>
          <w:p w14:paraId="5272634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0957273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6F88E21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w:t>
            </w:r>
          </w:p>
        </w:tc>
        <w:tc>
          <w:tcPr>
            <w:tcW w:w="825" w:type="dxa"/>
            <w:tcBorders>
              <w:top w:val="nil"/>
              <w:left w:val="nil"/>
              <w:bottom w:val="single" w:sz="6" w:space="0" w:color="000000"/>
              <w:right w:val="nil"/>
            </w:tcBorders>
            <w:shd w:val="clear" w:color="auto" w:fill="auto"/>
            <w:hideMark/>
          </w:tcPr>
          <w:p w14:paraId="7157710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297714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66 </w:t>
            </w:r>
          </w:p>
          <w:p w14:paraId="46E2A8D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0074CC8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28 </w:t>
            </w:r>
          </w:p>
          <w:p w14:paraId="1BD6166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w:t>
            </w:r>
          </w:p>
        </w:tc>
        <w:tc>
          <w:tcPr>
            <w:tcW w:w="825" w:type="dxa"/>
            <w:tcBorders>
              <w:top w:val="nil"/>
              <w:left w:val="nil"/>
              <w:bottom w:val="single" w:sz="6" w:space="0" w:color="000000"/>
              <w:right w:val="nil"/>
            </w:tcBorders>
            <w:shd w:val="clear" w:color="auto" w:fill="auto"/>
            <w:hideMark/>
          </w:tcPr>
          <w:p w14:paraId="7F26475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A8B6C0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43 </w:t>
            </w:r>
          </w:p>
          <w:p w14:paraId="51BBDFD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21 </w:t>
            </w:r>
          </w:p>
          <w:p w14:paraId="2F874E3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24 </w:t>
            </w:r>
          </w:p>
          <w:p w14:paraId="74CF76C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w:t>
            </w:r>
          </w:p>
        </w:tc>
        <w:tc>
          <w:tcPr>
            <w:tcW w:w="825" w:type="dxa"/>
            <w:tcBorders>
              <w:top w:val="nil"/>
              <w:left w:val="nil"/>
              <w:bottom w:val="single" w:sz="6" w:space="0" w:color="000000"/>
              <w:right w:val="nil"/>
            </w:tcBorders>
            <w:shd w:val="clear" w:color="auto" w:fill="auto"/>
            <w:hideMark/>
          </w:tcPr>
          <w:p w14:paraId="560CAD5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F630F5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43 </w:t>
            </w:r>
          </w:p>
          <w:p w14:paraId="564F640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21 </w:t>
            </w:r>
          </w:p>
          <w:p w14:paraId="3EBE277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24 </w:t>
            </w:r>
          </w:p>
          <w:p w14:paraId="1FFC7A1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w:t>
            </w:r>
          </w:p>
        </w:tc>
        <w:tc>
          <w:tcPr>
            <w:tcW w:w="825" w:type="dxa"/>
            <w:tcBorders>
              <w:top w:val="nil"/>
              <w:left w:val="nil"/>
              <w:bottom w:val="single" w:sz="6" w:space="0" w:color="000000"/>
              <w:right w:val="nil"/>
            </w:tcBorders>
            <w:shd w:val="clear" w:color="auto" w:fill="auto"/>
            <w:hideMark/>
          </w:tcPr>
          <w:p w14:paraId="33E47BE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F71311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160 </w:t>
            </w:r>
          </w:p>
          <w:p w14:paraId="14743A3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23 </w:t>
            </w:r>
          </w:p>
          <w:p w14:paraId="49E9E5B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29 </w:t>
            </w:r>
          </w:p>
          <w:p w14:paraId="2D1E448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w:t>
            </w:r>
          </w:p>
        </w:tc>
        <w:tc>
          <w:tcPr>
            <w:tcW w:w="825" w:type="dxa"/>
            <w:tcBorders>
              <w:top w:val="nil"/>
              <w:left w:val="nil"/>
              <w:bottom w:val="single" w:sz="6" w:space="0" w:color="000000"/>
              <w:right w:val="nil"/>
            </w:tcBorders>
            <w:shd w:val="clear" w:color="auto" w:fill="auto"/>
            <w:hideMark/>
          </w:tcPr>
          <w:p w14:paraId="7D376E2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289546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73 </w:t>
            </w:r>
          </w:p>
          <w:p w14:paraId="797736C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6D7E325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1D5DDB6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w:t>
            </w:r>
          </w:p>
        </w:tc>
        <w:tc>
          <w:tcPr>
            <w:tcW w:w="825" w:type="dxa"/>
            <w:tcBorders>
              <w:top w:val="nil"/>
              <w:left w:val="nil"/>
              <w:bottom w:val="single" w:sz="6" w:space="0" w:color="000000"/>
              <w:right w:val="nil"/>
            </w:tcBorders>
            <w:shd w:val="clear" w:color="auto" w:fill="auto"/>
            <w:hideMark/>
          </w:tcPr>
          <w:p w14:paraId="34B6768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6EED64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224 </w:t>
            </w:r>
          </w:p>
          <w:p w14:paraId="239FB14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44 </w:t>
            </w:r>
          </w:p>
          <w:p w14:paraId="40607C7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62 </w:t>
            </w:r>
          </w:p>
          <w:p w14:paraId="5094616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21</w:t>
            </w:r>
          </w:p>
        </w:tc>
        <w:tc>
          <w:tcPr>
            <w:tcW w:w="690" w:type="dxa"/>
            <w:tcBorders>
              <w:top w:val="nil"/>
              <w:left w:val="nil"/>
              <w:bottom w:val="single" w:sz="6" w:space="0" w:color="000000"/>
              <w:right w:val="single" w:sz="6" w:space="0" w:color="000000"/>
            </w:tcBorders>
            <w:shd w:val="clear" w:color="auto" w:fill="auto"/>
            <w:hideMark/>
          </w:tcPr>
          <w:p w14:paraId="6769D41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1FAFD4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64 </w:t>
            </w:r>
          </w:p>
          <w:p w14:paraId="74D3751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6F3FED9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p w14:paraId="0289910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w:t>
            </w:r>
          </w:p>
        </w:tc>
      </w:tr>
    </w:tbl>
    <w:p w14:paraId="5201EEEF" w14:textId="77777777" w:rsidR="007D175D" w:rsidRPr="007D175D" w:rsidRDefault="007D175D" w:rsidP="007D175D">
      <w:pPr>
        <w:textAlignment w:val="baseline"/>
        <w:rPr>
          <w:rFonts w:ascii="Segoe UI" w:hAnsi="Segoe UI" w:cs="Segoe UI"/>
          <w:sz w:val="18"/>
          <w:szCs w:val="18"/>
          <w:lang w:eastAsia="en-AU"/>
        </w:rPr>
      </w:pPr>
      <w:r w:rsidRPr="007D175D">
        <w:rPr>
          <w:rFonts w:ascii="Calibri" w:hAnsi="Calibri" w:cs="Calibri"/>
          <w:sz w:val="16"/>
          <w:szCs w:val="16"/>
          <w:lang w:eastAsia="en-AU"/>
        </w:rPr>
        <w:t>DMHS, digital mental health service; MH, mental health; MHO, Mental Health Online; MS,</w:t>
      </w:r>
      <w:r w:rsidRPr="007D175D">
        <w:rPr>
          <w:rFonts w:ascii="Calibri" w:hAnsi="Calibri" w:cs="Calibri"/>
          <w:color w:val="000000"/>
          <w:sz w:val="16"/>
          <w:szCs w:val="16"/>
          <w:lang w:eastAsia="en-AU"/>
        </w:rPr>
        <w:t xml:space="preserve"> </w:t>
      </w:r>
      <w:proofErr w:type="spellStart"/>
      <w:r w:rsidRPr="007D175D">
        <w:rPr>
          <w:rFonts w:ascii="Calibri" w:hAnsi="Calibri" w:cs="Calibri"/>
          <w:color w:val="000000"/>
          <w:sz w:val="16"/>
          <w:szCs w:val="16"/>
          <w:lang w:eastAsia="en-AU"/>
        </w:rPr>
        <w:t>MindSpot</w:t>
      </w:r>
      <w:proofErr w:type="spellEnd"/>
      <w:r w:rsidRPr="007D175D">
        <w:rPr>
          <w:rFonts w:ascii="Calibri" w:hAnsi="Calibri" w:cs="Calibri"/>
          <w:color w:val="000000"/>
          <w:sz w:val="16"/>
          <w:szCs w:val="16"/>
          <w:lang w:eastAsia="en-AU"/>
        </w:rPr>
        <w:t xml:space="preserve">; </w:t>
      </w:r>
      <w:r w:rsidRPr="007D175D">
        <w:rPr>
          <w:rFonts w:ascii="Calibri" w:hAnsi="Calibri" w:cs="Calibri"/>
          <w:sz w:val="16"/>
          <w:szCs w:val="16"/>
          <w:lang w:eastAsia="en-AU"/>
        </w:rPr>
        <w:t xml:space="preserve">TWU, </w:t>
      </w:r>
      <w:r w:rsidRPr="007D175D">
        <w:rPr>
          <w:rFonts w:ascii="Calibri" w:hAnsi="Calibri" w:cs="Calibri"/>
          <w:color w:val="000000"/>
          <w:sz w:val="16"/>
          <w:szCs w:val="16"/>
          <w:lang w:eastAsia="en-AU"/>
        </w:rPr>
        <w:t>THIS WAY UP. </w:t>
      </w:r>
    </w:p>
    <w:p w14:paraId="2F383319" w14:textId="77777777" w:rsidR="007D175D" w:rsidRDefault="007D175D" w:rsidP="007D175D">
      <w:pPr>
        <w:spacing w:after="160"/>
        <w:textAlignment w:val="baseline"/>
        <w:rPr>
          <w:rFonts w:ascii="Calibri" w:hAnsi="Calibri" w:cs="Calibri"/>
          <w:sz w:val="16"/>
          <w:szCs w:val="16"/>
          <w:lang w:eastAsia="en-AU"/>
        </w:rPr>
      </w:pPr>
      <w:proofErr w:type="spellStart"/>
      <w:r w:rsidRPr="007D175D">
        <w:rPr>
          <w:rFonts w:ascii="Calibri" w:hAnsi="Calibri" w:cs="Calibri"/>
          <w:color w:val="000000"/>
          <w:sz w:val="12"/>
          <w:szCs w:val="12"/>
          <w:vertAlign w:val="superscript"/>
          <w:lang w:eastAsia="en-AU"/>
        </w:rPr>
        <w:t>a</w:t>
      </w:r>
      <w:r w:rsidRPr="007D175D">
        <w:rPr>
          <w:rFonts w:ascii="Calibri" w:hAnsi="Calibri" w:cs="Calibri"/>
          <w:sz w:val="16"/>
          <w:szCs w:val="16"/>
          <w:lang w:eastAsia="en-AU"/>
        </w:rPr>
        <w:t>Multiple</w:t>
      </w:r>
      <w:proofErr w:type="spellEnd"/>
      <w:r w:rsidRPr="007D175D">
        <w:rPr>
          <w:rFonts w:ascii="Calibri" w:hAnsi="Calibri" w:cs="Calibri"/>
          <w:sz w:val="16"/>
          <w:szCs w:val="16"/>
          <w:lang w:eastAsia="en-AU"/>
        </w:rPr>
        <w:t xml:space="preserve"> responses permitted.</w:t>
      </w:r>
    </w:p>
    <w:p w14:paraId="25A7866A" w14:textId="77777777" w:rsidR="007661EE" w:rsidRPr="007D175D" w:rsidRDefault="007661EE" w:rsidP="00BC7CBC">
      <w:pPr>
        <w:spacing w:after="240"/>
        <w:rPr>
          <w:rFonts w:asciiTheme="minorHAnsi" w:eastAsiaTheme="minorHAnsi" w:hAnsiTheme="minorHAnsi" w:cstheme="minorHAnsi"/>
          <w:sz w:val="21"/>
          <w:szCs w:val="21"/>
          <w:lang w:eastAsia="en-US"/>
        </w:rPr>
      </w:pPr>
      <w:r w:rsidRPr="007D175D">
        <w:rPr>
          <w:rFonts w:asciiTheme="minorHAnsi" w:hAnsiTheme="minorHAnsi" w:cstheme="minorHAnsi"/>
          <w:sz w:val="21"/>
          <w:szCs w:val="21"/>
          <w:lang w:eastAsia="en-AU"/>
        </w:rPr>
        <w:t>Consumers who took part in the interview (n=23) were also asked whether DMHSs were their preferred method for accessing treatment and to describe the main reasons for accessing help.</w:t>
      </w:r>
      <w:r w:rsidRPr="007D175D">
        <w:rPr>
          <w:rFonts w:asciiTheme="minorHAnsi" w:eastAsiaTheme="minorHAnsi" w:hAnsiTheme="minorHAnsi" w:cstheme="minorHAnsi"/>
          <w:sz w:val="21"/>
          <w:szCs w:val="21"/>
          <w:lang w:eastAsia="en-US"/>
        </w:rPr>
        <w:t xml:space="preserve"> Sixty percent of consumers (n=14) </w:t>
      </w:r>
      <w:r w:rsidRPr="007D175D">
        <w:rPr>
          <w:rFonts w:asciiTheme="minorHAnsi" w:eastAsiaTheme="minorHAnsi" w:hAnsiTheme="minorHAnsi" w:cstheme="minorHAnsi"/>
          <w:sz w:val="21"/>
          <w:szCs w:val="21"/>
          <w:lang w:eastAsia="en-US"/>
        </w:rPr>
        <w:lastRenderedPageBreak/>
        <w:t>indicated that DMHSs were their preferred method for accessing help. A small portion of consumers preferred face-to-face services or a combination of DMHSs with face-to-face or phone services. One such consumer said:</w:t>
      </w:r>
    </w:p>
    <w:p w14:paraId="26DC69C0" w14:textId="77777777" w:rsidR="007661EE" w:rsidRPr="007D175D" w:rsidRDefault="007661EE" w:rsidP="00BC7CBC">
      <w:pPr>
        <w:spacing w:after="240"/>
        <w:ind w:left="720"/>
        <w:rPr>
          <w:rFonts w:asciiTheme="minorHAnsi" w:eastAsiaTheme="minorHAnsi" w:hAnsiTheme="minorHAnsi" w:cstheme="minorHAnsi"/>
          <w:sz w:val="21"/>
          <w:szCs w:val="21"/>
          <w:lang w:eastAsia="en-US"/>
        </w:rPr>
      </w:pPr>
      <w:r w:rsidRPr="007D175D">
        <w:rPr>
          <w:rFonts w:asciiTheme="minorHAnsi" w:eastAsiaTheme="minorHAnsi" w:hAnsiTheme="minorHAnsi" w:cstheme="minorHAnsi"/>
          <w:sz w:val="21"/>
          <w:szCs w:val="21"/>
          <w:lang w:eastAsia="en-US"/>
        </w:rPr>
        <w:t>‘I actually do think the combination is helpful. Like, I do think having some face to face where you're physically with the person and building that relationship is very valuable.’</w:t>
      </w:r>
    </w:p>
    <w:p w14:paraId="70D1AB09" w14:textId="77777777" w:rsidR="007661EE" w:rsidRPr="007D175D" w:rsidRDefault="007661EE" w:rsidP="00BC7CBC">
      <w:pPr>
        <w:spacing w:after="240"/>
        <w:rPr>
          <w:rFonts w:asciiTheme="minorHAnsi" w:eastAsiaTheme="minorHAnsi" w:hAnsiTheme="minorHAnsi" w:cstheme="minorHAnsi"/>
          <w:sz w:val="21"/>
          <w:szCs w:val="21"/>
          <w:lang w:eastAsia="en-US"/>
        </w:rPr>
      </w:pPr>
      <w:r w:rsidRPr="007D175D">
        <w:rPr>
          <w:rFonts w:asciiTheme="minorHAnsi" w:hAnsiTheme="minorHAnsi" w:cstheme="minorHAnsi"/>
          <w:sz w:val="21"/>
          <w:szCs w:val="21"/>
          <w:lang w:eastAsia="en-AU"/>
        </w:rPr>
        <w:t xml:space="preserve">Consumers reported a variety of reasons for accessing DMHSs. </w:t>
      </w:r>
      <w:r w:rsidRPr="007D175D">
        <w:rPr>
          <w:rFonts w:asciiTheme="minorHAnsi" w:eastAsiaTheme="minorHAnsi" w:hAnsiTheme="minorHAnsi" w:cstheme="minorHAnsi"/>
          <w:sz w:val="21"/>
          <w:szCs w:val="21"/>
          <w:lang w:eastAsia="en-US"/>
        </w:rPr>
        <w:t>One-third of consumers (n=8) cited the accessibility and the option to access the service in their own time as their main reason for using the supported DMHS. These consumers made comments like:</w:t>
      </w:r>
    </w:p>
    <w:p w14:paraId="369B72A1" w14:textId="77777777" w:rsidR="007661EE" w:rsidRPr="007D175D" w:rsidRDefault="007661EE" w:rsidP="00BC7CBC">
      <w:pPr>
        <w:spacing w:after="240"/>
        <w:ind w:left="720" w:firstLine="50"/>
        <w:rPr>
          <w:rFonts w:asciiTheme="minorHAnsi" w:eastAsiaTheme="minorHAnsi" w:hAnsiTheme="minorHAnsi" w:cstheme="minorHAnsi"/>
          <w:sz w:val="21"/>
          <w:szCs w:val="21"/>
          <w:lang w:eastAsia="en-US"/>
        </w:rPr>
      </w:pPr>
      <w:r w:rsidRPr="007D175D">
        <w:rPr>
          <w:rFonts w:asciiTheme="minorHAnsi" w:eastAsiaTheme="minorHAnsi" w:hAnsiTheme="minorHAnsi" w:cstheme="minorHAnsi"/>
          <w:sz w:val="21"/>
          <w:szCs w:val="21"/>
          <w:lang w:eastAsia="en-US"/>
        </w:rPr>
        <w:t>‘I feel I understand my own circumstances, and the digital online allowed me to access what I need quickly.’</w:t>
      </w:r>
    </w:p>
    <w:p w14:paraId="048955CC" w14:textId="77777777" w:rsidR="007661EE" w:rsidRPr="007D175D" w:rsidRDefault="007661EE" w:rsidP="00BC7CBC">
      <w:pPr>
        <w:spacing w:after="240"/>
        <w:ind w:left="720"/>
        <w:rPr>
          <w:rFonts w:asciiTheme="minorHAnsi" w:eastAsiaTheme="minorHAnsi" w:hAnsiTheme="minorHAnsi" w:cstheme="minorHAnsi"/>
          <w:sz w:val="21"/>
          <w:szCs w:val="21"/>
          <w:lang w:eastAsia="en-US"/>
        </w:rPr>
      </w:pPr>
      <w:r w:rsidRPr="007D175D">
        <w:rPr>
          <w:rFonts w:asciiTheme="minorHAnsi" w:eastAsiaTheme="minorHAnsi" w:hAnsiTheme="minorHAnsi" w:cstheme="minorHAnsi"/>
          <w:sz w:val="21"/>
          <w:szCs w:val="21"/>
          <w:lang w:eastAsia="en-US"/>
        </w:rPr>
        <w:t>I got access to the modules quite quickly and I wanted to do something that was self-directed. I wanted to feel like I was taking charge of my own mental health recovery and I thought what the program offered was an ability for me to really be in control of it.</w:t>
      </w:r>
    </w:p>
    <w:p w14:paraId="62C11DF7" w14:textId="318BC89D" w:rsidR="007661EE" w:rsidRPr="007D175D" w:rsidRDefault="007661EE" w:rsidP="00BC7CBC">
      <w:pPr>
        <w:spacing w:after="240"/>
        <w:rPr>
          <w:rFonts w:asciiTheme="minorHAnsi" w:eastAsiaTheme="minorHAnsi" w:hAnsiTheme="minorHAnsi" w:cstheme="minorHAnsi"/>
          <w:sz w:val="21"/>
          <w:szCs w:val="21"/>
          <w:lang w:eastAsia="en-US"/>
        </w:rPr>
      </w:pPr>
      <w:r w:rsidRPr="007D175D">
        <w:rPr>
          <w:rFonts w:asciiTheme="minorHAnsi" w:eastAsiaTheme="minorHAnsi" w:hAnsiTheme="minorHAnsi" w:cstheme="minorHAnsi"/>
          <w:sz w:val="21"/>
          <w:szCs w:val="21"/>
          <w:lang w:eastAsia="en-US"/>
        </w:rPr>
        <w:t>Other consumers who took part in the interview reported that they accessed DMHSs because it was recommended by a health provider (n=5</w:t>
      </w:r>
      <w:proofErr w:type="gramStart"/>
      <w:r w:rsidRPr="007D175D">
        <w:rPr>
          <w:rFonts w:asciiTheme="minorHAnsi" w:eastAsiaTheme="minorHAnsi" w:hAnsiTheme="minorHAnsi" w:cstheme="minorHAnsi"/>
          <w:sz w:val="21"/>
          <w:szCs w:val="21"/>
          <w:lang w:eastAsia="en-US"/>
        </w:rPr>
        <w:t>)</w:t>
      </w:r>
      <w:proofErr w:type="gramEnd"/>
      <w:r w:rsidRPr="007D175D">
        <w:rPr>
          <w:rFonts w:asciiTheme="minorHAnsi" w:eastAsiaTheme="minorHAnsi" w:hAnsiTheme="minorHAnsi" w:cstheme="minorHAnsi"/>
          <w:sz w:val="21"/>
          <w:szCs w:val="21"/>
          <w:lang w:eastAsia="en-US"/>
        </w:rPr>
        <w:t xml:space="preserve"> or they had difficulties accessing other mental health services (n=5) or because an online search led them to the digital mental health services(n=5).</w:t>
      </w:r>
    </w:p>
    <w:p w14:paraId="1A0D0B9E" w14:textId="77777777" w:rsidR="007D175D" w:rsidRPr="007D175D" w:rsidRDefault="007D175D" w:rsidP="008776A4">
      <w:pPr>
        <w:pStyle w:val="Heading2"/>
        <w:rPr>
          <w:rFonts w:ascii="Segoe UI" w:hAnsi="Segoe UI" w:cs="Segoe UI"/>
          <w:lang w:eastAsia="en-AU"/>
        </w:rPr>
      </w:pPr>
      <w:bookmarkStart w:id="149" w:name="_Toc108784857"/>
      <w:r w:rsidRPr="007D175D">
        <w:rPr>
          <w:lang w:val="en-GB" w:eastAsia="en-AU"/>
        </w:rPr>
        <w:t>Consumer experiences of specific aspects of DMHSs</w:t>
      </w:r>
      <w:bookmarkEnd w:id="149"/>
    </w:p>
    <w:p w14:paraId="01837575" w14:textId="7FEB41A9" w:rsidR="007D175D" w:rsidRPr="007D6885" w:rsidRDefault="007D175D" w:rsidP="00BC7CBC">
      <w:pPr>
        <w:pStyle w:val="ANorm"/>
        <w:spacing w:after="240"/>
      </w:pPr>
      <w:r w:rsidRPr="007D6885">
        <w:t xml:space="preserve">Consumer survey respondents were asked about their experiences with specific aspects of the DMHS, including assessment, activities, modules and accessing support through a therapist. Their responses are recorded in Table </w:t>
      </w:r>
      <w:r w:rsidR="00443352" w:rsidRPr="007D6885">
        <w:t>26</w:t>
      </w:r>
      <w:r w:rsidRPr="007D6885">
        <w:t xml:space="preserve"> and discussed below.</w:t>
      </w:r>
    </w:p>
    <w:p w14:paraId="07A3BCFD" w14:textId="77777777" w:rsidR="008776A4" w:rsidRPr="008776A4" w:rsidRDefault="008776A4" w:rsidP="008776A4">
      <w:pPr>
        <w:pStyle w:val="ListParagraph"/>
        <w:numPr>
          <w:ilvl w:val="1"/>
          <w:numId w:val="146"/>
        </w:numPr>
        <w:spacing w:after="120"/>
        <w:contextualSpacing w:val="0"/>
        <w:outlineLvl w:val="2"/>
        <w:rPr>
          <w:b/>
          <w:bCs/>
          <w:vanish/>
          <w:color w:val="2F5496" w:themeColor="accent1" w:themeShade="BF"/>
          <w:sz w:val="24"/>
          <w:szCs w:val="24"/>
        </w:rPr>
      </w:pPr>
    </w:p>
    <w:p w14:paraId="2413590E" w14:textId="77777777" w:rsidR="008776A4" w:rsidRPr="008776A4" w:rsidRDefault="008776A4" w:rsidP="008776A4">
      <w:pPr>
        <w:pStyle w:val="ListParagraph"/>
        <w:numPr>
          <w:ilvl w:val="1"/>
          <w:numId w:val="146"/>
        </w:numPr>
        <w:spacing w:after="120"/>
        <w:contextualSpacing w:val="0"/>
        <w:outlineLvl w:val="2"/>
        <w:rPr>
          <w:b/>
          <w:bCs/>
          <w:vanish/>
          <w:color w:val="2F5496" w:themeColor="accent1" w:themeShade="BF"/>
          <w:sz w:val="24"/>
          <w:szCs w:val="24"/>
        </w:rPr>
      </w:pPr>
    </w:p>
    <w:p w14:paraId="2B3DC0CD" w14:textId="2F95E232" w:rsidR="007D175D" w:rsidRPr="007D175D" w:rsidRDefault="007D175D" w:rsidP="008776A4">
      <w:pPr>
        <w:pStyle w:val="Heading3"/>
        <w:rPr>
          <w:lang w:eastAsia="en-AU"/>
        </w:rPr>
      </w:pPr>
      <w:r w:rsidRPr="00B914C4">
        <w:t>Assessments</w:t>
      </w:r>
    </w:p>
    <w:p w14:paraId="7B1A5442" w14:textId="0601E51A" w:rsidR="007D175D" w:rsidRPr="007D175D" w:rsidRDefault="007D175D" w:rsidP="00BC7CBC">
      <w:pPr>
        <w:pStyle w:val="ANorm"/>
        <w:spacing w:after="240"/>
        <w:rPr>
          <w:lang w:eastAsia="en-AU"/>
        </w:rPr>
      </w:pPr>
      <w:r w:rsidRPr="007D175D">
        <w:rPr>
          <w:lang w:eastAsia="en-AU"/>
        </w:rPr>
        <w:t xml:space="preserve">Approximately 90% of consumers across services completed an assessment. Most Mental Health Online (65%) and </w:t>
      </w:r>
      <w:proofErr w:type="spellStart"/>
      <w:r w:rsidRPr="007D175D">
        <w:rPr>
          <w:lang w:eastAsia="en-AU"/>
        </w:rPr>
        <w:t>MindSpot</w:t>
      </w:r>
      <w:proofErr w:type="spellEnd"/>
      <w:r w:rsidRPr="007D175D">
        <w:rPr>
          <w:lang w:eastAsia="en-AU"/>
        </w:rPr>
        <w:t xml:space="preserve"> (68%) consumers completed the assessment in between 10 and 30 minutes, and most THIS WAY UP (55%) consumers completed their assessment in under 10 minutes. Most consumers described their experience of completing an online assessment as positive. Approximately 80% of consumers across DMHSs “strongly agreed” or “somewhat agreed” that the assessment was appropriate, relevant, accurate, easy to read and understand and that it assisted them in understanding their situations.</w:t>
      </w:r>
    </w:p>
    <w:p w14:paraId="6DB4EE54" w14:textId="77777777" w:rsidR="007661EE" w:rsidRDefault="007661EE" w:rsidP="007D175D">
      <w:pPr>
        <w:spacing w:after="160"/>
        <w:textAlignment w:val="baseline"/>
        <w:rPr>
          <w:rFonts w:ascii="Calibri" w:hAnsi="Calibri" w:cs="Calibri"/>
          <w:b/>
          <w:bCs/>
          <w:color w:val="000000"/>
          <w:sz w:val="21"/>
          <w:szCs w:val="21"/>
          <w:shd w:val="clear" w:color="auto" w:fill="00FF00"/>
          <w:lang w:val="en-US" w:eastAsia="en-AU"/>
        </w:rPr>
      </w:pPr>
      <w:r>
        <w:rPr>
          <w:rFonts w:ascii="Calibri" w:hAnsi="Calibri" w:cs="Calibri"/>
          <w:b/>
          <w:bCs/>
          <w:color w:val="000000"/>
          <w:sz w:val="21"/>
          <w:szCs w:val="21"/>
          <w:shd w:val="clear" w:color="auto" w:fill="00FF00"/>
          <w:lang w:val="en-US" w:eastAsia="en-AU"/>
        </w:rPr>
        <w:br w:type="page"/>
      </w:r>
    </w:p>
    <w:p w14:paraId="3C1F60E0" w14:textId="477221F1" w:rsidR="007D175D" w:rsidRPr="007D175D" w:rsidRDefault="007D175D" w:rsidP="007D6885">
      <w:pPr>
        <w:pStyle w:val="tableheading"/>
        <w:rPr>
          <w:rFonts w:ascii="Segoe UI" w:hAnsi="Segoe UI" w:cs="Segoe UI"/>
          <w:sz w:val="18"/>
          <w:szCs w:val="18"/>
        </w:rPr>
      </w:pPr>
      <w:r w:rsidRPr="007D6885">
        <w:lastRenderedPageBreak/>
        <w:t xml:space="preserve">Table </w:t>
      </w:r>
      <w:r w:rsidR="007D6885" w:rsidRPr="007D6885">
        <w:t>26</w:t>
      </w:r>
      <w:r w:rsidRPr="007D6885">
        <w:t>. Consumer experience of DMHS assessment, by service and overall</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Consumer experience of DMHS assessment, by service and overall"/>
        <w:tblDescription w:val="Table describes the consumers experience with completing DMHS assessments. "/>
      </w:tblPr>
      <w:tblGrid>
        <w:gridCol w:w="3240"/>
        <w:gridCol w:w="855"/>
        <w:gridCol w:w="660"/>
        <w:gridCol w:w="975"/>
        <w:gridCol w:w="660"/>
        <w:gridCol w:w="975"/>
        <w:gridCol w:w="660"/>
        <w:gridCol w:w="1020"/>
        <w:gridCol w:w="660"/>
      </w:tblGrid>
      <w:tr w:rsidR="007D175D" w:rsidRPr="007D175D" w14:paraId="33F6DE2A" w14:textId="77777777">
        <w:trPr>
          <w:trHeight w:val="300"/>
        </w:trPr>
        <w:tc>
          <w:tcPr>
            <w:tcW w:w="3240" w:type="dxa"/>
            <w:tcBorders>
              <w:top w:val="single" w:sz="6" w:space="0" w:color="000000"/>
              <w:left w:val="single" w:sz="6" w:space="0" w:color="000000"/>
              <w:bottom w:val="nil"/>
              <w:right w:val="nil"/>
            </w:tcBorders>
            <w:shd w:val="clear" w:color="auto" w:fill="000000"/>
            <w:hideMark/>
          </w:tcPr>
          <w:p w14:paraId="1AD43B08" w14:textId="77777777" w:rsidR="007D175D" w:rsidRPr="007D175D" w:rsidRDefault="007D175D" w:rsidP="007D175D">
            <w:pP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000000"/>
                <w:sz w:val="18"/>
                <w:szCs w:val="18"/>
                <w:lang w:eastAsia="en-AU"/>
              </w:rPr>
              <w:t> </w:t>
            </w:r>
          </w:p>
        </w:tc>
        <w:tc>
          <w:tcPr>
            <w:tcW w:w="1515" w:type="dxa"/>
            <w:gridSpan w:val="2"/>
            <w:tcBorders>
              <w:top w:val="single" w:sz="6" w:space="0" w:color="000000"/>
              <w:left w:val="nil"/>
              <w:bottom w:val="nil"/>
              <w:right w:val="nil"/>
            </w:tcBorders>
            <w:shd w:val="clear" w:color="auto" w:fill="000000"/>
            <w:hideMark/>
          </w:tcPr>
          <w:p w14:paraId="5AE96A96"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MHO </w:t>
            </w:r>
          </w:p>
          <w:p w14:paraId="47AADDAD"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(n=32) </w:t>
            </w:r>
          </w:p>
        </w:tc>
        <w:tc>
          <w:tcPr>
            <w:tcW w:w="1635" w:type="dxa"/>
            <w:gridSpan w:val="2"/>
            <w:tcBorders>
              <w:top w:val="single" w:sz="6" w:space="0" w:color="000000"/>
              <w:left w:val="nil"/>
              <w:bottom w:val="nil"/>
              <w:right w:val="nil"/>
            </w:tcBorders>
            <w:shd w:val="clear" w:color="auto" w:fill="000000"/>
            <w:hideMark/>
          </w:tcPr>
          <w:p w14:paraId="0106FFE2"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MS </w:t>
            </w:r>
          </w:p>
          <w:p w14:paraId="04931FE7"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(n=100) </w:t>
            </w:r>
          </w:p>
        </w:tc>
        <w:tc>
          <w:tcPr>
            <w:tcW w:w="1635" w:type="dxa"/>
            <w:gridSpan w:val="2"/>
            <w:tcBorders>
              <w:top w:val="single" w:sz="6" w:space="0" w:color="000000"/>
              <w:left w:val="nil"/>
              <w:bottom w:val="nil"/>
              <w:right w:val="nil"/>
            </w:tcBorders>
            <w:shd w:val="clear" w:color="auto" w:fill="000000"/>
            <w:hideMark/>
          </w:tcPr>
          <w:p w14:paraId="1B3B8723"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TWU </w:t>
            </w:r>
          </w:p>
          <w:p w14:paraId="55BBFAC0"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(n=219) </w:t>
            </w:r>
          </w:p>
        </w:tc>
        <w:tc>
          <w:tcPr>
            <w:tcW w:w="1680" w:type="dxa"/>
            <w:gridSpan w:val="2"/>
            <w:tcBorders>
              <w:top w:val="single" w:sz="6" w:space="0" w:color="000000"/>
              <w:left w:val="nil"/>
              <w:bottom w:val="nil"/>
              <w:right w:val="single" w:sz="6" w:space="0" w:color="000000"/>
            </w:tcBorders>
            <w:shd w:val="clear" w:color="auto" w:fill="000000"/>
            <w:hideMark/>
          </w:tcPr>
          <w:p w14:paraId="278F78AC"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Total </w:t>
            </w:r>
          </w:p>
          <w:p w14:paraId="46152345"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(N=351) </w:t>
            </w:r>
          </w:p>
        </w:tc>
      </w:tr>
      <w:tr w:rsidR="007D175D" w:rsidRPr="007D175D" w14:paraId="22DFEE81" w14:textId="77777777">
        <w:trPr>
          <w:trHeight w:val="225"/>
        </w:trPr>
        <w:tc>
          <w:tcPr>
            <w:tcW w:w="3240" w:type="dxa"/>
            <w:tcBorders>
              <w:top w:val="nil"/>
              <w:left w:val="single" w:sz="6" w:space="0" w:color="000000"/>
              <w:bottom w:val="nil"/>
              <w:right w:val="nil"/>
            </w:tcBorders>
            <w:shd w:val="clear" w:color="auto" w:fill="000000"/>
            <w:hideMark/>
          </w:tcPr>
          <w:p w14:paraId="20B5D1C5"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FFFFFF"/>
                <w:sz w:val="18"/>
                <w:szCs w:val="18"/>
                <w:lang w:eastAsia="en-AU"/>
              </w:rPr>
              <w:t> </w:t>
            </w:r>
          </w:p>
        </w:tc>
        <w:tc>
          <w:tcPr>
            <w:tcW w:w="855" w:type="dxa"/>
            <w:tcBorders>
              <w:top w:val="nil"/>
              <w:left w:val="nil"/>
              <w:bottom w:val="nil"/>
              <w:right w:val="nil"/>
            </w:tcBorders>
            <w:shd w:val="clear" w:color="auto" w:fill="000000"/>
            <w:hideMark/>
          </w:tcPr>
          <w:p w14:paraId="7A3D243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 </w:t>
            </w:r>
          </w:p>
        </w:tc>
        <w:tc>
          <w:tcPr>
            <w:tcW w:w="645" w:type="dxa"/>
            <w:tcBorders>
              <w:top w:val="nil"/>
              <w:left w:val="nil"/>
              <w:bottom w:val="nil"/>
              <w:right w:val="nil"/>
            </w:tcBorders>
            <w:shd w:val="clear" w:color="auto" w:fill="000000"/>
            <w:hideMark/>
          </w:tcPr>
          <w:p w14:paraId="16A448C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 </w:t>
            </w:r>
          </w:p>
        </w:tc>
        <w:tc>
          <w:tcPr>
            <w:tcW w:w="975" w:type="dxa"/>
            <w:tcBorders>
              <w:top w:val="nil"/>
              <w:left w:val="nil"/>
              <w:bottom w:val="nil"/>
              <w:right w:val="nil"/>
            </w:tcBorders>
            <w:shd w:val="clear" w:color="auto" w:fill="000000"/>
            <w:hideMark/>
          </w:tcPr>
          <w:p w14:paraId="37889D4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 </w:t>
            </w:r>
          </w:p>
        </w:tc>
        <w:tc>
          <w:tcPr>
            <w:tcW w:w="645" w:type="dxa"/>
            <w:tcBorders>
              <w:top w:val="nil"/>
              <w:left w:val="nil"/>
              <w:bottom w:val="nil"/>
              <w:right w:val="nil"/>
            </w:tcBorders>
            <w:shd w:val="clear" w:color="auto" w:fill="000000"/>
            <w:hideMark/>
          </w:tcPr>
          <w:p w14:paraId="0F06CCB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 </w:t>
            </w:r>
          </w:p>
        </w:tc>
        <w:tc>
          <w:tcPr>
            <w:tcW w:w="975" w:type="dxa"/>
            <w:tcBorders>
              <w:top w:val="nil"/>
              <w:left w:val="nil"/>
              <w:bottom w:val="nil"/>
              <w:right w:val="nil"/>
            </w:tcBorders>
            <w:shd w:val="clear" w:color="auto" w:fill="000000"/>
            <w:hideMark/>
          </w:tcPr>
          <w:p w14:paraId="12E76D9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 </w:t>
            </w:r>
          </w:p>
        </w:tc>
        <w:tc>
          <w:tcPr>
            <w:tcW w:w="645" w:type="dxa"/>
            <w:tcBorders>
              <w:top w:val="nil"/>
              <w:left w:val="nil"/>
              <w:bottom w:val="nil"/>
              <w:right w:val="nil"/>
            </w:tcBorders>
            <w:shd w:val="clear" w:color="auto" w:fill="000000"/>
            <w:hideMark/>
          </w:tcPr>
          <w:p w14:paraId="53649BD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 </w:t>
            </w:r>
          </w:p>
        </w:tc>
        <w:tc>
          <w:tcPr>
            <w:tcW w:w="1020" w:type="dxa"/>
            <w:tcBorders>
              <w:top w:val="nil"/>
              <w:left w:val="nil"/>
              <w:bottom w:val="nil"/>
              <w:right w:val="nil"/>
            </w:tcBorders>
            <w:shd w:val="clear" w:color="auto" w:fill="000000"/>
            <w:hideMark/>
          </w:tcPr>
          <w:p w14:paraId="55BB5A5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 </w:t>
            </w:r>
          </w:p>
        </w:tc>
        <w:tc>
          <w:tcPr>
            <w:tcW w:w="645" w:type="dxa"/>
            <w:tcBorders>
              <w:top w:val="nil"/>
              <w:left w:val="nil"/>
              <w:bottom w:val="nil"/>
              <w:right w:val="single" w:sz="6" w:space="0" w:color="000000"/>
            </w:tcBorders>
            <w:shd w:val="clear" w:color="auto" w:fill="000000"/>
            <w:hideMark/>
          </w:tcPr>
          <w:p w14:paraId="0F8600F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 </w:t>
            </w:r>
          </w:p>
        </w:tc>
      </w:tr>
      <w:tr w:rsidR="007D175D" w:rsidRPr="007D175D" w14:paraId="046D9177" w14:textId="77777777">
        <w:trPr>
          <w:trHeight w:val="270"/>
        </w:trPr>
        <w:tc>
          <w:tcPr>
            <w:tcW w:w="3240" w:type="dxa"/>
            <w:tcBorders>
              <w:top w:val="nil"/>
              <w:left w:val="single" w:sz="6" w:space="0" w:color="000000"/>
              <w:bottom w:val="single" w:sz="6" w:space="0" w:color="000000"/>
              <w:right w:val="nil"/>
            </w:tcBorders>
            <w:shd w:val="clear" w:color="auto" w:fill="auto"/>
            <w:hideMark/>
          </w:tcPr>
          <w:p w14:paraId="03CD9E7D"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Competed assessment </w:t>
            </w:r>
          </w:p>
        </w:tc>
        <w:tc>
          <w:tcPr>
            <w:tcW w:w="855" w:type="dxa"/>
            <w:tcBorders>
              <w:top w:val="nil"/>
              <w:left w:val="nil"/>
              <w:bottom w:val="single" w:sz="6" w:space="0" w:color="000000"/>
              <w:right w:val="nil"/>
            </w:tcBorders>
            <w:shd w:val="clear" w:color="auto" w:fill="auto"/>
            <w:hideMark/>
          </w:tcPr>
          <w:p w14:paraId="0245C9C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31 </w:t>
            </w:r>
          </w:p>
        </w:tc>
        <w:tc>
          <w:tcPr>
            <w:tcW w:w="645" w:type="dxa"/>
            <w:tcBorders>
              <w:top w:val="nil"/>
              <w:left w:val="nil"/>
              <w:bottom w:val="single" w:sz="6" w:space="0" w:color="000000"/>
              <w:right w:val="nil"/>
            </w:tcBorders>
            <w:shd w:val="clear" w:color="auto" w:fill="auto"/>
            <w:hideMark/>
          </w:tcPr>
          <w:p w14:paraId="4A5B6D4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97 </w:t>
            </w:r>
          </w:p>
        </w:tc>
        <w:tc>
          <w:tcPr>
            <w:tcW w:w="975" w:type="dxa"/>
            <w:tcBorders>
              <w:top w:val="nil"/>
              <w:left w:val="nil"/>
              <w:bottom w:val="single" w:sz="6" w:space="0" w:color="000000"/>
              <w:right w:val="nil"/>
            </w:tcBorders>
            <w:shd w:val="clear" w:color="auto" w:fill="auto"/>
            <w:hideMark/>
          </w:tcPr>
          <w:p w14:paraId="307C124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92 </w:t>
            </w:r>
          </w:p>
        </w:tc>
        <w:tc>
          <w:tcPr>
            <w:tcW w:w="645" w:type="dxa"/>
            <w:tcBorders>
              <w:top w:val="nil"/>
              <w:left w:val="nil"/>
              <w:bottom w:val="single" w:sz="6" w:space="0" w:color="000000"/>
              <w:right w:val="nil"/>
            </w:tcBorders>
            <w:shd w:val="clear" w:color="auto" w:fill="auto"/>
            <w:hideMark/>
          </w:tcPr>
          <w:p w14:paraId="22D6750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92 </w:t>
            </w:r>
          </w:p>
        </w:tc>
        <w:tc>
          <w:tcPr>
            <w:tcW w:w="975" w:type="dxa"/>
            <w:tcBorders>
              <w:top w:val="nil"/>
              <w:left w:val="nil"/>
              <w:bottom w:val="single" w:sz="6" w:space="0" w:color="000000"/>
              <w:right w:val="nil"/>
            </w:tcBorders>
            <w:shd w:val="clear" w:color="auto" w:fill="auto"/>
            <w:hideMark/>
          </w:tcPr>
          <w:p w14:paraId="185466B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194 </w:t>
            </w:r>
          </w:p>
        </w:tc>
        <w:tc>
          <w:tcPr>
            <w:tcW w:w="645" w:type="dxa"/>
            <w:tcBorders>
              <w:top w:val="nil"/>
              <w:left w:val="nil"/>
              <w:bottom w:val="single" w:sz="6" w:space="0" w:color="000000"/>
              <w:right w:val="nil"/>
            </w:tcBorders>
            <w:shd w:val="clear" w:color="auto" w:fill="auto"/>
            <w:hideMark/>
          </w:tcPr>
          <w:p w14:paraId="78F50D6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89 </w:t>
            </w:r>
          </w:p>
        </w:tc>
        <w:tc>
          <w:tcPr>
            <w:tcW w:w="1020" w:type="dxa"/>
            <w:tcBorders>
              <w:top w:val="nil"/>
              <w:left w:val="nil"/>
              <w:bottom w:val="single" w:sz="6" w:space="0" w:color="000000"/>
              <w:right w:val="nil"/>
            </w:tcBorders>
            <w:shd w:val="clear" w:color="auto" w:fill="auto"/>
            <w:hideMark/>
          </w:tcPr>
          <w:p w14:paraId="6C1159C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317 </w:t>
            </w:r>
          </w:p>
        </w:tc>
        <w:tc>
          <w:tcPr>
            <w:tcW w:w="645" w:type="dxa"/>
            <w:tcBorders>
              <w:top w:val="nil"/>
              <w:left w:val="nil"/>
              <w:bottom w:val="single" w:sz="6" w:space="0" w:color="000000"/>
              <w:right w:val="single" w:sz="6" w:space="0" w:color="000000"/>
            </w:tcBorders>
            <w:shd w:val="clear" w:color="auto" w:fill="auto"/>
            <w:hideMark/>
          </w:tcPr>
          <w:p w14:paraId="70AEFEB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90 </w:t>
            </w:r>
          </w:p>
        </w:tc>
      </w:tr>
      <w:tr w:rsidR="007D175D" w:rsidRPr="007D175D" w14:paraId="5F32F1C4" w14:textId="77777777">
        <w:trPr>
          <w:trHeight w:val="1245"/>
        </w:trPr>
        <w:tc>
          <w:tcPr>
            <w:tcW w:w="3240" w:type="dxa"/>
            <w:tcBorders>
              <w:top w:val="single" w:sz="6" w:space="0" w:color="000000"/>
              <w:left w:val="single" w:sz="6" w:space="0" w:color="000000"/>
              <w:bottom w:val="single" w:sz="6" w:space="0" w:color="000000"/>
              <w:right w:val="nil"/>
            </w:tcBorders>
            <w:shd w:val="clear" w:color="auto" w:fill="auto"/>
            <w:hideMark/>
          </w:tcPr>
          <w:p w14:paraId="7A722884"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Time taken to complete (n=317) </w:t>
            </w:r>
          </w:p>
          <w:p w14:paraId="08894931"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10 to 20 minutes</w:t>
            </w:r>
            <w:r w:rsidRPr="007D175D">
              <w:rPr>
                <w:rFonts w:asciiTheme="minorHAnsi" w:hAnsiTheme="minorHAnsi" w:cstheme="minorHAnsi"/>
                <w:b/>
                <w:bCs/>
                <w:color w:val="000000"/>
                <w:sz w:val="18"/>
                <w:szCs w:val="18"/>
                <w:lang w:eastAsia="en-AU"/>
              </w:rPr>
              <w:t> </w:t>
            </w:r>
          </w:p>
          <w:p w14:paraId="15C98C62"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21 to 30 minutes</w:t>
            </w:r>
            <w:r w:rsidRPr="007D175D">
              <w:rPr>
                <w:rFonts w:asciiTheme="minorHAnsi" w:hAnsiTheme="minorHAnsi" w:cstheme="minorHAnsi"/>
                <w:b/>
                <w:bCs/>
                <w:color w:val="000000"/>
                <w:sz w:val="18"/>
                <w:szCs w:val="18"/>
                <w:lang w:eastAsia="en-AU"/>
              </w:rPr>
              <w:t> </w:t>
            </w:r>
          </w:p>
          <w:p w14:paraId="701B4C30"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31 to 40 minutes</w:t>
            </w:r>
            <w:r w:rsidRPr="007D175D">
              <w:rPr>
                <w:rFonts w:asciiTheme="minorHAnsi" w:hAnsiTheme="minorHAnsi" w:cstheme="minorHAnsi"/>
                <w:b/>
                <w:bCs/>
                <w:color w:val="000000"/>
                <w:sz w:val="18"/>
                <w:szCs w:val="18"/>
                <w:lang w:eastAsia="en-AU"/>
              </w:rPr>
              <w:t> </w:t>
            </w:r>
          </w:p>
          <w:p w14:paraId="6246BD4E"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Less than 10 minutes</w:t>
            </w:r>
            <w:r w:rsidRPr="007D175D">
              <w:rPr>
                <w:rFonts w:asciiTheme="minorHAnsi" w:hAnsiTheme="minorHAnsi" w:cstheme="minorHAnsi"/>
                <w:b/>
                <w:bCs/>
                <w:color w:val="000000"/>
                <w:sz w:val="18"/>
                <w:szCs w:val="18"/>
                <w:lang w:eastAsia="en-AU"/>
              </w:rPr>
              <w:t> </w:t>
            </w:r>
          </w:p>
          <w:p w14:paraId="4ED93A84"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Over 40 minutes</w:t>
            </w:r>
            <w:r w:rsidRPr="007D175D">
              <w:rPr>
                <w:rFonts w:asciiTheme="minorHAnsi" w:hAnsiTheme="minorHAnsi" w:cstheme="minorHAnsi"/>
                <w:b/>
                <w:bCs/>
                <w:color w:val="000000"/>
                <w:sz w:val="18"/>
                <w:szCs w:val="18"/>
                <w:lang w:eastAsia="en-AU"/>
              </w:rPr>
              <w:t> </w:t>
            </w:r>
          </w:p>
        </w:tc>
        <w:tc>
          <w:tcPr>
            <w:tcW w:w="855" w:type="dxa"/>
            <w:tcBorders>
              <w:top w:val="single" w:sz="6" w:space="0" w:color="000000"/>
              <w:left w:val="nil"/>
              <w:bottom w:val="single" w:sz="6" w:space="0" w:color="000000"/>
              <w:right w:val="nil"/>
            </w:tcBorders>
            <w:shd w:val="clear" w:color="auto" w:fill="auto"/>
            <w:hideMark/>
          </w:tcPr>
          <w:p w14:paraId="7EA6CA5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FAD7D7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16 </w:t>
            </w:r>
          </w:p>
          <w:p w14:paraId="1DB4176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20F3837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3907686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6C3C76F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c>
          <w:tcPr>
            <w:tcW w:w="645" w:type="dxa"/>
            <w:tcBorders>
              <w:top w:val="single" w:sz="6" w:space="0" w:color="000000"/>
              <w:left w:val="nil"/>
              <w:bottom w:val="single" w:sz="6" w:space="0" w:color="000000"/>
              <w:right w:val="nil"/>
            </w:tcBorders>
            <w:shd w:val="clear" w:color="auto" w:fill="auto"/>
            <w:hideMark/>
          </w:tcPr>
          <w:p w14:paraId="66AD4CE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16D26E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52 </w:t>
            </w:r>
          </w:p>
          <w:p w14:paraId="7379F04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280328B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1C3D970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23 </w:t>
            </w:r>
          </w:p>
          <w:p w14:paraId="01D790E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tc>
        <w:tc>
          <w:tcPr>
            <w:tcW w:w="975" w:type="dxa"/>
            <w:tcBorders>
              <w:top w:val="single" w:sz="6" w:space="0" w:color="000000"/>
              <w:left w:val="nil"/>
              <w:bottom w:val="single" w:sz="6" w:space="0" w:color="000000"/>
              <w:right w:val="nil"/>
            </w:tcBorders>
            <w:shd w:val="clear" w:color="auto" w:fill="auto"/>
            <w:hideMark/>
          </w:tcPr>
          <w:p w14:paraId="45DED1F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0291D9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35 </w:t>
            </w:r>
          </w:p>
          <w:p w14:paraId="145FF65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28 </w:t>
            </w:r>
          </w:p>
          <w:p w14:paraId="4079C64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1AB7D8B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22 </w:t>
            </w:r>
          </w:p>
          <w:p w14:paraId="1A01152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645" w:type="dxa"/>
            <w:tcBorders>
              <w:top w:val="single" w:sz="6" w:space="0" w:color="000000"/>
              <w:left w:val="nil"/>
              <w:bottom w:val="single" w:sz="6" w:space="0" w:color="000000"/>
              <w:right w:val="nil"/>
            </w:tcBorders>
            <w:shd w:val="clear" w:color="auto" w:fill="auto"/>
            <w:hideMark/>
          </w:tcPr>
          <w:p w14:paraId="3694857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AD1882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38 </w:t>
            </w:r>
          </w:p>
          <w:p w14:paraId="5360995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30 </w:t>
            </w:r>
          </w:p>
          <w:p w14:paraId="3BE80E9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5084FBE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24 </w:t>
            </w:r>
          </w:p>
          <w:p w14:paraId="18C1354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975" w:type="dxa"/>
            <w:tcBorders>
              <w:top w:val="single" w:sz="6" w:space="0" w:color="000000"/>
              <w:left w:val="nil"/>
              <w:bottom w:val="single" w:sz="6" w:space="0" w:color="000000"/>
              <w:right w:val="nil"/>
            </w:tcBorders>
            <w:shd w:val="clear" w:color="auto" w:fill="auto"/>
            <w:hideMark/>
          </w:tcPr>
          <w:p w14:paraId="47257C2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419713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58 </w:t>
            </w:r>
          </w:p>
          <w:p w14:paraId="5F19EF0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p w14:paraId="00F4A0E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43CDE6A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106 </w:t>
            </w:r>
          </w:p>
          <w:p w14:paraId="4D1696F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tc>
        <w:tc>
          <w:tcPr>
            <w:tcW w:w="645" w:type="dxa"/>
            <w:tcBorders>
              <w:top w:val="single" w:sz="6" w:space="0" w:color="000000"/>
              <w:left w:val="nil"/>
              <w:bottom w:val="single" w:sz="6" w:space="0" w:color="000000"/>
              <w:right w:val="nil"/>
            </w:tcBorders>
            <w:shd w:val="clear" w:color="auto" w:fill="auto"/>
            <w:hideMark/>
          </w:tcPr>
          <w:p w14:paraId="76AA888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744741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30 </w:t>
            </w:r>
          </w:p>
          <w:p w14:paraId="68276B0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4B42CED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5D06681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55 </w:t>
            </w:r>
          </w:p>
          <w:p w14:paraId="59D3637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tc>
        <w:tc>
          <w:tcPr>
            <w:tcW w:w="1020" w:type="dxa"/>
            <w:tcBorders>
              <w:top w:val="single" w:sz="6" w:space="0" w:color="000000"/>
              <w:left w:val="nil"/>
              <w:bottom w:val="single" w:sz="6" w:space="0" w:color="000000"/>
              <w:right w:val="nil"/>
            </w:tcBorders>
            <w:shd w:val="clear" w:color="auto" w:fill="auto"/>
            <w:hideMark/>
          </w:tcPr>
          <w:p w14:paraId="1D9AA4E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0B58E0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109 </w:t>
            </w:r>
          </w:p>
          <w:p w14:paraId="6017A24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50 </w:t>
            </w:r>
          </w:p>
          <w:p w14:paraId="05B8521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15 </w:t>
            </w:r>
          </w:p>
          <w:p w14:paraId="0B30D70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135 </w:t>
            </w:r>
          </w:p>
          <w:p w14:paraId="6BB4F4C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tc>
        <w:tc>
          <w:tcPr>
            <w:tcW w:w="645" w:type="dxa"/>
            <w:tcBorders>
              <w:top w:val="single" w:sz="6" w:space="0" w:color="000000"/>
              <w:left w:val="nil"/>
              <w:bottom w:val="single" w:sz="6" w:space="0" w:color="000000"/>
              <w:right w:val="single" w:sz="6" w:space="0" w:color="000000"/>
            </w:tcBorders>
            <w:shd w:val="clear" w:color="auto" w:fill="auto"/>
            <w:hideMark/>
          </w:tcPr>
          <w:p w14:paraId="181ECDE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0CE1AD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34</w:t>
            </w:r>
          </w:p>
          <w:p w14:paraId="2DE98B7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739845B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w:t>
            </w:r>
          </w:p>
          <w:p w14:paraId="33B8915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43</w:t>
            </w:r>
          </w:p>
          <w:p w14:paraId="4AACB89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w:t>
            </w:r>
          </w:p>
        </w:tc>
      </w:tr>
      <w:tr w:rsidR="007D175D" w:rsidRPr="007D175D" w14:paraId="680A51B9" w14:textId="77777777">
        <w:trPr>
          <w:trHeight w:val="1320"/>
        </w:trPr>
        <w:tc>
          <w:tcPr>
            <w:tcW w:w="3240" w:type="dxa"/>
            <w:tcBorders>
              <w:top w:val="nil"/>
              <w:left w:val="single" w:sz="6" w:space="0" w:color="000000"/>
              <w:bottom w:val="nil"/>
              <w:right w:val="nil"/>
            </w:tcBorders>
            <w:shd w:val="clear" w:color="auto" w:fill="auto"/>
            <w:hideMark/>
          </w:tcPr>
          <w:p w14:paraId="4071D5C7"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Appropriate (n=317) </w:t>
            </w:r>
          </w:p>
          <w:p w14:paraId="6A230A82"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agree</w:t>
            </w:r>
            <w:r w:rsidRPr="007D175D">
              <w:rPr>
                <w:rFonts w:asciiTheme="minorHAnsi" w:hAnsiTheme="minorHAnsi" w:cstheme="minorHAnsi"/>
                <w:b/>
                <w:bCs/>
                <w:color w:val="000000"/>
                <w:sz w:val="18"/>
                <w:szCs w:val="18"/>
                <w:lang w:eastAsia="en-AU"/>
              </w:rPr>
              <w:t> </w:t>
            </w:r>
          </w:p>
          <w:p w14:paraId="5D57078C"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agree</w:t>
            </w:r>
            <w:r w:rsidRPr="007D175D">
              <w:rPr>
                <w:rFonts w:asciiTheme="minorHAnsi" w:hAnsiTheme="minorHAnsi" w:cstheme="minorHAnsi"/>
                <w:b/>
                <w:bCs/>
                <w:color w:val="000000"/>
                <w:sz w:val="18"/>
                <w:szCs w:val="18"/>
                <w:lang w:eastAsia="en-AU"/>
              </w:rPr>
              <w:t> </w:t>
            </w:r>
          </w:p>
          <w:p w14:paraId="6EC97C65"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Neither agree nor disagree</w:t>
            </w:r>
            <w:r w:rsidRPr="007D175D">
              <w:rPr>
                <w:rFonts w:asciiTheme="minorHAnsi" w:hAnsiTheme="minorHAnsi" w:cstheme="minorHAnsi"/>
                <w:b/>
                <w:bCs/>
                <w:color w:val="000000"/>
                <w:sz w:val="18"/>
                <w:szCs w:val="18"/>
                <w:lang w:eastAsia="en-AU"/>
              </w:rPr>
              <w:t> </w:t>
            </w:r>
          </w:p>
          <w:p w14:paraId="42B6162B"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disagree</w:t>
            </w:r>
            <w:r w:rsidRPr="007D175D">
              <w:rPr>
                <w:rFonts w:asciiTheme="minorHAnsi" w:hAnsiTheme="minorHAnsi" w:cstheme="minorHAnsi"/>
                <w:b/>
                <w:bCs/>
                <w:color w:val="000000"/>
                <w:sz w:val="18"/>
                <w:szCs w:val="18"/>
                <w:lang w:eastAsia="en-AU"/>
              </w:rPr>
              <w:t> </w:t>
            </w:r>
          </w:p>
          <w:p w14:paraId="5E7D439D"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disagree</w:t>
            </w:r>
            <w:r w:rsidRPr="007D175D">
              <w:rPr>
                <w:rFonts w:asciiTheme="minorHAnsi" w:hAnsiTheme="minorHAnsi" w:cstheme="minorHAnsi"/>
                <w:b/>
                <w:bCs/>
                <w:color w:val="000000"/>
                <w:sz w:val="18"/>
                <w:szCs w:val="18"/>
                <w:lang w:eastAsia="en-AU"/>
              </w:rPr>
              <w:t> </w:t>
            </w:r>
          </w:p>
        </w:tc>
        <w:tc>
          <w:tcPr>
            <w:tcW w:w="855" w:type="dxa"/>
            <w:tcBorders>
              <w:top w:val="nil"/>
              <w:left w:val="nil"/>
              <w:bottom w:val="nil"/>
              <w:right w:val="nil"/>
            </w:tcBorders>
            <w:shd w:val="clear" w:color="auto" w:fill="auto"/>
            <w:hideMark/>
          </w:tcPr>
          <w:p w14:paraId="0697CFA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905150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p w14:paraId="23056B1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21EA234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2E573C8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63BA88B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645" w:type="dxa"/>
            <w:tcBorders>
              <w:top w:val="nil"/>
              <w:left w:val="nil"/>
              <w:bottom w:val="nil"/>
              <w:right w:val="nil"/>
            </w:tcBorders>
            <w:shd w:val="clear" w:color="auto" w:fill="auto"/>
            <w:hideMark/>
          </w:tcPr>
          <w:p w14:paraId="061BEE1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889836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58 </w:t>
            </w:r>
          </w:p>
          <w:p w14:paraId="4E82F63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29 </w:t>
            </w:r>
          </w:p>
          <w:p w14:paraId="112C4FC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6BFC8CA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52ACF84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tc>
        <w:tc>
          <w:tcPr>
            <w:tcW w:w="975" w:type="dxa"/>
            <w:tcBorders>
              <w:top w:val="nil"/>
              <w:left w:val="nil"/>
              <w:bottom w:val="nil"/>
              <w:right w:val="nil"/>
            </w:tcBorders>
            <w:shd w:val="clear" w:color="auto" w:fill="auto"/>
            <w:hideMark/>
          </w:tcPr>
          <w:p w14:paraId="50BE71C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51F7D9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43 </w:t>
            </w:r>
          </w:p>
          <w:p w14:paraId="1420E5D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38 </w:t>
            </w:r>
          </w:p>
          <w:p w14:paraId="4D1E2B7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1977581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127A4F1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645" w:type="dxa"/>
            <w:tcBorders>
              <w:top w:val="nil"/>
              <w:left w:val="nil"/>
              <w:bottom w:val="nil"/>
              <w:right w:val="nil"/>
            </w:tcBorders>
            <w:shd w:val="clear" w:color="auto" w:fill="auto"/>
            <w:hideMark/>
          </w:tcPr>
          <w:p w14:paraId="79398AD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F9101C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47 </w:t>
            </w:r>
          </w:p>
          <w:p w14:paraId="68FDD97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41 </w:t>
            </w:r>
          </w:p>
          <w:p w14:paraId="6D8D014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5576C01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47B4B86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975" w:type="dxa"/>
            <w:tcBorders>
              <w:top w:val="nil"/>
              <w:left w:val="nil"/>
              <w:bottom w:val="nil"/>
              <w:right w:val="nil"/>
            </w:tcBorders>
            <w:shd w:val="clear" w:color="auto" w:fill="auto"/>
            <w:hideMark/>
          </w:tcPr>
          <w:p w14:paraId="7B1242A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69392E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91 </w:t>
            </w:r>
          </w:p>
          <w:p w14:paraId="66767A9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83 </w:t>
            </w:r>
          </w:p>
          <w:p w14:paraId="6A4A875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15 </w:t>
            </w:r>
          </w:p>
          <w:p w14:paraId="4836F82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7FDC0C4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tc>
        <w:tc>
          <w:tcPr>
            <w:tcW w:w="645" w:type="dxa"/>
            <w:tcBorders>
              <w:top w:val="nil"/>
              <w:left w:val="nil"/>
              <w:bottom w:val="nil"/>
              <w:right w:val="nil"/>
            </w:tcBorders>
            <w:shd w:val="clear" w:color="auto" w:fill="auto"/>
            <w:hideMark/>
          </w:tcPr>
          <w:p w14:paraId="37CFB42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63FAE4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47 </w:t>
            </w:r>
          </w:p>
          <w:p w14:paraId="440D159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43 </w:t>
            </w:r>
          </w:p>
          <w:p w14:paraId="4502D04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17FCD5A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599D922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c>
          <w:tcPr>
            <w:tcW w:w="1020" w:type="dxa"/>
            <w:tcBorders>
              <w:top w:val="nil"/>
              <w:left w:val="nil"/>
              <w:bottom w:val="nil"/>
              <w:right w:val="nil"/>
            </w:tcBorders>
            <w:shd w:val="clear" w:color="auto" w:fill="auto"/>
            <w:hideMark/>
          </w:tcPr>
          <w:p w14:paraId="0CFBDEB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59D084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152 </w:t>
            </w:r>
          </w:p>
          <w:p w14:paraId="64542D5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130 </w:t>
            </w:r>
          </w:p>
          <w:p w14:paraId="0C5B50E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28 </w:t>
            </w:r>
          </w:p>
          <w:p w14:paraId="263A49B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2529B42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tc>
        <w:tc>
          <w:tcPr>
            <w:tcW w:w="645" w:type="dxa"/>
            <w:tcBorders>
              <w:top w:val="nil"/>
              <w:left w:val="nil"/>
              <w:bottom w:val="nil"/>
              <w:right w:val="single" w:sz="6" w:space="0" w:color="000000"/>
            </w:tcBorders>
            <w:shd w:val="clear" w:color="auto" w:fill="auto"/>
            <w:hideMark/>
          </w:tcPr>
          <w:p w14:paraId="4BF07C5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3DE85A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48 </w:t>
            </w:r>
          </w:p>
          <w:p w14:paraId="6AB9F0B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41 </w:t>
            </w:r>
          </w:p>
          <w:p w14:paraId="7A53A9C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76A49A8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23C8C3C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r>
      <w:tr w:rsidR="007D175D" w:rsidRPr="007D175D" w14:paraId="13BBF8B7" w14:textId="77777777">
        <w:trPr>
          <w:trHeight w:val="1260"/>
        </w:trPr>
        <w:tc>
          <w:tcPr>
            <w:tcW w:w="3240" w:type="dxa"/>
            <w:tcBorders>
              <w:top w:val="single" w:sz="6" w:space="0" w:color="000000"/>
              <w:left w:val="single" w:sz="6" w:space="0" w:color="000000"/>
              <w:bottom w:val="single" w:sz="6" w:space="0" w:color="000000"/>
              <w:right w:val="nil"/>
            </w:tcBorders>
            <w:shd w:val="clear" w:color="auto" w:fill="auto"/>
            <w:hideMark/>
          </w:tcPr>
          <w:p w14:paraId="6EEE1027"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Relevant (n=317) </w:t>
            </w:r>
          </w:p>
          <w:p w14:paraId="3DEEA23A"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agree</w:t>
            </w:r>
            <w:r w:rsidRPr="007D175D">
              <w:rPr>
                <w:rFonts w:asciiTheme="minorHAnsi" w:hAnsiTheme="minorHAnsi" w:cstheme="minorHAnsi"/>
                <w:b/>
                <w:bCs/>
                <w:color w:val="000000"/>
                <w:sz w:val="18"/>
                <w:szCs w:val="18"/>
                <w:lang w:eastAsia="en-AU"/>
              </w:rPr>
              <w:t> </w:t>
            </w:r>
          </w:p>
          <w:p w14:paraId="06D260DE"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agree</w:t>
            </w:r>
            <w:r w:rsidRPr="007D175D">
              <w:rPr>
                <w:rFonts w:asciiTheme="minorHAnsi" w:hAnsiTheme="minorHAnsi" w:cstheme="minorHAnsi"/>
                <w:b/>
                <w:bCs/>
                <w:color w:val="000000"/>
                <w:sz w:val="18"/>
                <w:szCs w:val="18"/>
                <w:lang w:eastAsia="en-AU"/>
              </w:rPr>
              <w:t> </w:t>
            </w:r>
          </w:p>
          <w:p w14:paraId="4FDAD74D"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Neither agree nor disagree</w:t>
            </w:r>
            <w:r w:rsidRPr="007D175D">
              <w:rPr>
                <w:rFonts w:asciiTheme="minorHAnsi" w:hAnsiTheme="minorHAnsi" w:cstheme="minorHAnsi"/>
                <w:b/>
                <w:bCs/>
                <w:color w:val="000000"/>
                <w:sz w:val="18"/>
                <w:szCs w:val="18"/>
                <w:lang w:eastAsia="en-AU"/>
              </w:rPr>
              <w:t> </w:t>
            </w:r>
          </w:p>
          <w:p w14:paraId="198276B9"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disagree</w:t>
            </w:r>
            <w:r w:rsidRPr="007D175D">
              <w:rPr>
                <w:rFonts w:asciiTheme="minorHAnsi" w:hAnsiTheme="minorHAnsi" w:cstheme="minorHAnsi"/>
                <w:b/>
                <w:bCs/>
                <w:color w:val="000000"/>
                <w:sz w:val="18"/>
                <w:szCs w:val="18"/>
                <w:lang w:eastAsia="en-AU"/>
              </w:rPr>
              <w:t> </w:t>
            </w:r>
          </w:p>
          <w:p w14:paraId="3D115134"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disagree</w:t>
            </w:r>
            <w:r w:rsidRPr="007D175D">
              <w:rPr>
                <w:rFonts w:asciiTheme="minorHAnsi" w:hAnsiTheme="minorHAnsi" w:cstheme="minorHAnsi"/>
                <w:b/>
                <w:bCs/>
                <w:color w:val="000000"/>
                <w:sz w:val="18"/>
                <w:szCs w:val="18"/>
                <w:lang w:eastAsia="en-AU"/>
              </w:rPr>
              <w:t> </w:t>
            </w:r>
          </w:p>
        </w:tc>
        <w:tc>
          <w:tcPr>
            <w:tcW w:w="855" w:type="dxa"/>
            <w:tcBorders>
              <w:top w:val="single" w:sz="6" w:space="0" w:color="000000"/>
              <w:left w:val="nil"/>
              <w:bottom w:val="single" w:sz="6" w:space="0" w:color="000000"/>
              <w:right w:val="nil"/>
            </w:tcBorders>
            <w:shd w:val="clear" w:color="auto" w:fill="auto"/>
            <w:hideMark/>
          </w:tcPr>
          <w:p w14:paraId="5C6501F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A0A5FC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17 </w:t>
            </w:r>
          </w:p>
          <w:p w14:paraId="6B08AAA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4687E1A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65E95A0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442F908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645" w:type="dxa"/>
            <w:tcBorders>
              <w:top w:val="single" w:sz="6" w:space="0" w:color="000000"/>
              <w:left w:val="nil"/>
              <w:bottom w:val="single" w:sz="6" w:space="0" w:color="000000"/>
              <w:right w:val="nil"/>
            </w:tcBorders>
            <w:shd w:val="clear" w:color="auto" w:fill="auto"/>
            <w:hideMark/>
          </w:tcPr>
          <w:p w14:paraId="6FC7E6D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2F01D4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55 </w:t>
            </w:r>
          </w:p>
          <w:p w14:paraId="30A0E03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32 </w:t>
            </w:r>
          </w:p>
          <w:p w14:paraId="26C6CEF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33FE8E8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47AFB99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975" w:type="dxa"/>
            <w:tcBorders>
              <w:top w:val="single" w:sz="6" w:space="0" w:color="000000"/>
              <w:left w:val="nil"/>
              <w:bottom w:val="single" w:sz="6" w:space="0" w:color="000000"/>
              <w:right w:val="nil"/>
            </w:tcBorders>
            <w:shd w:val="clear" w:color="auto" w:fill="auto"/>
            <w:hideMark/>
          </w:tcPr>
          <w:p w14:paraId="3B6FFE8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284094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46 </w:t>
            </w:r>
          </w:p>
          <w:p w14:paraId="2E650E9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22 </w:t>
            </w:r>
          </w:p>
          <w:p w14:paraId="75EE4F6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p w14:paraId="5268653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09FF467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c>
          <w:tcPr>
            <w:tcW w:w="645" w:type="dxa"/>
            <w:tcBorders>
              <w:top w:val="single" w:sz="6" w:space="0" w:color="000000"/>
              <w:left w:val="nil"/>
              <w:bottom w:val="single" w:sz="6" w:space="0" w:color="000000"/>
              <w:right w:val="nil"/>
            </w:tcBorders>
            <w:shd w:val="clear" w:color="auto" w:fill="auto"/>
            <w:hideMark/>
          </w:tcPr>
          <w:p w14:paraId="213E52F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F028A0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50 </w:t>
            </w:r>
          </w:p>
          <w:p w14:paraId="4F7516E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24 </w:t>
            </w:r>
          </w:p>
          <w:p w14:paraId="59FBEA1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20 </w:t>
            </w:r>
          </w:p>
          <w:p w14:paraId="3050563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1508380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c>
          <w:tcPr>
            <w:tcW w:w="975" w:type="dxa"/>
            <w:tcBorders>
              <w:top w:val="single" w:sz="6" w:space="0" w:color="000000"/>
              <w:left w:val="nil"/>
              <w:bottom w:val="single" w:sz="6" w:space="0" w:color="000000"/>
              <w:right w:val="nil"/>
            </w:tcBorders>
            <w:shd w:val="clear" w:color="auto" w:fill="auto"/>
            <w:hideMark/>
          </w:tcPr>
          <w:p w14:paraId="77591E6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0F1584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79 </w:t>
            </w:r>
          </w:p>
          <w:p w14:paraId="35D4481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89 </w:t>
            </w:r>
          </w:p>
          <w:p w14:paraId="2BDDE82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7B20058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16819C7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tc>
        <w:tc>
          <w:tcPr>
            <w:tcW w:w="645" w:type="dxa"/>
            <w:tcBorders>
              <w:top w:val="single" w:sz="6" w:space="0" w:color="000000"/>
              <w:left w:val="nil"/>
              <w:bottom w:val="single" w:sz="6" w:space="0" w:color="000000"/>
              <w:right w:val="nil"/>
            </w:tcBorders>
            <w:shd w:val="clear" w:color="auto" w:fill="auto"/>
            <w:hideMark/>
          </w:tcPr>
          <w:p w14:paraId="055D059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CACECD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41 </w:t>
            </w:r>
          </w:p>
          <w:p w14:paraId="7107C72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46 </w:t>
            </w:r>
          </w:p>
          <w:p w14:paraId="5270207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3299AA3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4C2453B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c>
          <w:tcPr>
            <w:tcW w:w="1020" w:type="dxa"/>
            <w:tcBorders>
              <w:top w:val="single" w:sz="6" w:space="0" w:color="000000"/>
              <w:left w:val="nil"/>
              <w:bottom w:val="single" w:sz="6" w:space="0" w:color="000000"/>
              <w:right w:val="nil"/>
            </w:tcBorders>
            <w:shd w:val="clear" w:color="auto" w:fill="auto"/>
            <w:hideMark/>
          </w:tcPr>
          <w:p w14:paraId="28ACEC8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CFB98D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142 </w:t>
            </w:r>
          </w:p>
          <w:p w14:paraId="2B24469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121 </w:t>
            </w:r>
          </w:p>
          <w:p w14:paraId="29B5668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32 </w:t>
            </w:r>
          </w:p>
          <w:p w14:paraId="2F2A0D3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14 </w:t>
            </w:r>
          </w:p>
          <w:p w14:paraId="7B49290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tc>
        <w:tc>
          <w:tcPr>
            <w:tcW w:w="645" w:type="dxa"/>
            <w:tcBorders>
              <w:top w:val="single" w:sz="6" w:space="0" w:color="000000"/>
              <w:left w:val="nil"/>
              <w:bottom w:val="single" w:sz="6" w:space="0" w:color="000000"/>
              <w:right w:val="single" w:sz="6" w:space="0" w:color="000000"/>
            </w:tcBorders>
            <w:shd w:val="clear" w:color="auto" w:fill="auto"/>
            <w:hideMark/>
          </w:tcPr>
          <w:p w14:paraId="40B8DB8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ECA6AA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45 </w:t>
            </w:r>
          </w:p>
          <w:p w14:paraId="0669C99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38 </w:t>
            </w:r>
          </w:p>
          <w:p w14:paraId="23670ED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43B1A41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10F14A4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r>
      <w:tr w:rsidR="007D175D" w:rsidRPr="007D175D" w14:paraId="45B8F737" w14:textId="77777777">
        <w:trPr>
          <w:trHeight w:val="1335"/>
        </w:trPr>
        <w:tc>
          <w:tcPr>
            <w:tcW w:w="3240" w:type="dxa"/>
            <w:tcBorders>
              <w:top w:val="nil"/>
              <w:left w:val="single" w:sz="6" w:space="0" w:color="000000"/>
              <w:bottom w:val="nil"/>
              <w:right w:val="nil"/>
            </w:tcBorders>
            <w:shd w:val="clear" w:color="auto" w:fill="auto"/>
            <w:hideMark/>
          </w:tcPr>
          <w:p w14:paraId="2D413350"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Understand situation (n=317) </w:t>
            </w:r>
          </w:p>
          <w:p w14:paraId="395A4BB2"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agree</w:t>
            </w:r>
            <w:r w:rsidRPr="007D175D">
              <w:rPr>
                <w:rFonts w:asciiTheme="minorHAnsi" w:hAnsiTheme="minorHAnsi" w:cstheme="minorHAnsi"/>
                <w:b/>
                <w:bCs/>
                <w:color w:val="000000"/>
                <w:sz w:val="18"/>
                <w:szCs w:val="18"/>
                <w:lang w:eastAsia="en-AU"/>
              </w:rPr>
              <w:t> </w:t>
            </w:r>
          </w:p>
          <w:p w14:paraId="5816B804"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agree</w:t>
            </w:r>
            <w:r w:rsidRPr="007D175D">
              <w:rPr>
                <w:rFonts w:asciiTheme="minorHAnsi" w:hAnsiTheme="minorHAnsi" w:cstheme="minorHAnsi"/>
                <w:b/>
                <w:bCs/>
                <w:color w:val="000000"/>
                <w:sz w:val="18"/>
                <w:szCs w:val="18"/>
                <w:lang w:eastAsia="en-AU"/>
              </w:rPr>
              <w:t> </w:t>
            </w:r>
          </w:p>
          <w:p w14:paraId="7A9E4ECF"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Neither agree nor disagree</w:t>
            </w:r>
            <w:r w:rsidRPr="007D175D">
              <w:rPr>
                <w:rFonts w:asciiTheme="minorHAnsi" w:hAnsiTheme="minorHAnsi" w:cstheme="minorHAnsi"/>
                <w:b/>
                <w:bCs/>
                <w:color w:val="000000"/>
                <w:sz w:val="18"/>
                <w:szCs w:val="18"/>
                <w:lang w:eastAsia="en-AU"/>
              </w:rPr>
              <w:t> </w:t>
            </w:r>
          </w:p>
          <w:p w14:paraId="264267D7"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disagree</w:t>
            </w:r>
            <w:r w:rsidRPr="007D175D">
              <w:rPr>
                <w:rFonts w:asciiTheme="minorHAnsi" w:hAnsiTheme="minorHAnsi" w:cstheme="minorHAnsi"/>
                <w:b/>
                <w:bCs/>
                <w:color w:val="000000"/>
                <w:sz w:val="18"/>
                <w:szCs w:val="18"/>
                <w:lang w:eastAsia="en-AU"/>
              </w:rPr>
              <w:t> </w:t>
            </w:r>
          </w:p>
          <w:p w14:paraId="5C967AB2"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disagree</w:t>
            </w:r>
            <w:r w:rsidRPr="007D175D">
              <w:rPr>
                <w:rFonts w:asciiTheme="minorHAnsi" w:hAnsiTheme="minorHAnsi" w:cstheme="minorHAnsi"/>
                <w:b/>
                <w:bCs/>
                <w:color w:val="000000"/>
                <w:sz w:val="18"/>
                <w:szCs w:val="18"/>
                <w:lang w:eastAsia="en-AU"/>
              </w:rPr>
              <w:t> </w:t>
            </w:r>
          </w:p>
        </w:tc>
        <w:tc>
          <w:tcPr>
            <w:tcW w:w="855" w:type="dxa"/>
            <w:tcBorders>
              <w:top w:val="nil"/>
              <w:left w:val="nil"/>
              <w:bottom w:val="nil"/>
              <w:right w:val="nil"/>
            </w:tcBorders>
            <w:shd w:val="clear" w:color="auto" w:fill="auto"/>
            <w:hideMark/>
          </w:tcPr>
          <w:p w14:paraId="13EDE57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888E82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12 </w:t>
            </w:r>
          </w:p>
          <w:p w14:paraId="273F563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12 </w:t>
            </w:r>
          </w:p>
          <w:p w14:paraId="43DC713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7AEF81D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5155573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645" w:type="dxa"/>
            <w:tcBorders>
              <w:top w:val="nil"/>
              <w:left w:val="nil"/>
              <w:bottom w:val="nil"/>
              <w:right w:val="nil"/>
            </w:tcBorders>
            <w:shd w:val="clear" w:color="auto" w:fill="auto"/>
            <w:hideMark/>
          </w:tcPr>
          <w:p w14:paraId="5200D7A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55D7A8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39 </w:t>
            </w:r>
          </w:p>
          <w:p w14:paraId="6E337A7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39 </w:t>
            </w:r>
          </w:p>
          <w:p w14:paraId="47EE221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16 </w:t>
            </w:r>
          </w:p>
          <w:p w14:paraId="159F882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243817C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975" w:type="dxa"/>
            <w:tcBorders>
              <w:top w:val="nil"/>
              <w:left w:val="nil"/>
              <w:bottom w:val="nil"/>
              <w:right w:val="nil"/>
            </w:tcBorders>
            <w:shd w:val="clear" w:color="auto" w:fill="auto"/>
            <w:hideMark/>
          </w:tcPr>
          <w:p w14:paraId="16F57A6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2646E1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35 </w:t>
            </w:r>
          </w:p>
          <w:p w14:paraId="41E16C6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40 </w:t>
            </w:r>
          </w:p>
          <w:p w14:paraId="0008C72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6BCBB4F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00EA7D9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645" w:type="dxa"/>
            <w:tcBorders>
              <w:top w:val="nil"/>
              <w:left w:val="nil"/>
              <w:bottom w:val="nil"/>
              <w:right w:val="nil"/>
            </w:tcBorders>
            <w:shd w:val="clear" w:color="auto" w:fill="auto"/>
            <w:hideMark/>
          </w:tcPr>
          <w:p w14:paraId="3EE0D5E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27B0D2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38 </w:t>
            </w:r>
          </w:p>
          <w:p w14:paraId="55B3AD3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43 </w:t>
            </w:r>
          </w:p>
          <w:p w14:paraId="6908E4F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14 </w:t>
            </w:r>
          </w:p>
          <w:p w14:paraId="15454E6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1EDD510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975" w:type="dxa"/>
            <w:tcBorders>
              <w:top w:val="nil"/>
              <w:left w:val="nil"/>
              <w:bottom w:val="nil"/>
              <w:right w:val="nil"/>
            </w:tcBorders>
            <w:shd w:val="clear" w:color="auto" w:fill="auto"/>
            <w:hideMark/>
          </w:tcPr>
          <w:p w14:paraId="2B7A7FA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5807BD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75 </w:t>
            </w:r>
          </w:p>
          <w:p w14:paraId="7D1BD43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76 </w:t>
            </w:r>
          </w:p>
          <w:p w14:paraId="2FA8945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24 </w:t>
            </w:r>
          </w:p>
          <w:p w14:paraId="715002D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14 </w:t>
            </w:r>
          </w:p>
          <w:p w14:paraId="258A744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tc>
        <w:tc>
          <w:tcPr>
            <w:tcW w:w="645" w:type="dxa"/>
            <w:tcBorders>
              <w:top w:val="nil"/>
              <w:left w:val="nil"/>
              <w:bottom w:val="nil"/>
              <w:right w:val="nil"/>
            </w:tcBorders>
            <w:shd w:val="clear" w:color="auto" w:fill="auto"/>
            <w:hideMark/>
          </w:tcPr>
          <w:p w14:paraId="4B9CD22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A3687F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39 </w:t>
            </w:r>
          </w:p>
          <w:p w14:paraId="790A12B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39 </w:t>
            </w:r>
          </w:p>
          <w:p w14:paraId="127D2BC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12 </w:t>
            </w:r>
          </w:p>
          <w:p w14:paraId="67066D8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7CA5B3C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c>
          <w:tcPr>
            <w:tcW w:w="1020" w:type="dxa"/>
            <w:tcBorders>
              <w:top w:val="nil"/>
              <w:left w:val="nil"/>
              <w:bottom w:val="nil"/>
              <w:right w:val="nil"/>
            </w:tcBorders>
            <w:shd w:val="clear" w:color="auto" w:fill="auto"/>
            <w:hideMark/>
          </w:tcPr>
          <w:p w14:paraId="7BEDE4C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06E954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122 </w:t>
            </w:r>
          </w:p>
          <w:p w14:paraId="5D6105A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128 </w:t>
            </w:r>
          </w:p>
          <w:p w14:paraId="6E21C6A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42 </w:t>
            </w:r>
          </w:p>
          <w:p w14:paraId="20CFEF3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19 </w:t>
            </w:r>
          </w:p>
          <w:p w14:paraId="6418909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tc>
        <w:tc>
          <w:tcPr>
            <w:tcW w:w="645" w:type="dxa"/>
            <w:tcBorders>
              <w:top w:val="nil"/>
              <w:left w:val="nil"/>
              <w:bottom w:val="nil"/>
              <w:right w:val="single" w:sz="6" w:space="0" w:color="000000"/>
            </w:tcBorders>
            <w:shd w:val="clear" w:color="auto" w:fill="auto"/>
            <w:hideMark/>
          </w:tcPr>
          <w:p w14:paraId="1D7067A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C45F16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38 </w:t>
            </w:r>
          </w:p>
          <w:p w14:paraId="224AAD9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40 </w:t>
            </w:r>
          </w:p>
          <w:p w14:paraId="25F199E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40A8E61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2A8EDCC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r>
      <w:tr w:rsidR="007D175D" w:rsidRPr="007D175D" w14:paraId="203353AA" w14:textId="77777777">
        <w:trPr>
          <w:trHeight w:val="1245"/>
        </w:trPr>
        <w:tc>
          <w:tcPr>
            <w:tcW w:w="3240" w:type="dxa"/>
            <w:tcBorders>
              <w:top w:val="single" w:sz="6" w:space="0" w:color="000000"/>
              <w:left w:val="single" w:sz="6" w:space="0" w:color="000000"/>
              <w:bottom w:val="single" w:sz="6" w:space="0" w:color="000000"/>
              <w:right w:val="nil"/>
            </w:tcBorders>
            <w:shd w:val="clear" w:color="auto" w:fill="auto"/>
            <w:hideMark/>
          </w:tcPr>
          <w:p w14:paraId="63F0DDE8"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Accurate (n=317) </w:t>
            </w:r>
          </w:p>
          <w:p w14:paraId="2A7E00D3"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agree</w:t>
            </w:r>
            <w:r w:rsidRPr="007D175D">
              <w:rPr>
                <w:rFonts w:asciiTheme="minorHAnsi" w:hAnsiTheme="minorHAnsi" w:cstheme="minorHAnsi"/>
                <w:b/>
                <w:bCs/>
                <w:color w:val="000000"/>
                <w:sz w:val="18"/>
                <w:szCs w:val="18"/>
                <w:lang w:eastAsia="en-AU"/>
              </w:rPr>
              <w:t> </w:t>
            </w:r>
          </w:p>
          <w:p w14:paraId="3EF25593"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agree</w:t>
            </w:r>
            <w:r w:rsidRPr="007D175D">
              <w:rPr>
                <w:rFonts w:asciiTheme="minorHAnsi" w:hAnsiTheme="minorHAnsi" w:cstheme="minorHAnsi"/>
                <w:b/>
                <w:bCs/>
                <w:color w:val="000000"/>
                <w:sz w:val="18"/>
                <w:szCs w:val="18"/>
                <w:lang w:eastAsia="en-AU"/>
              </w:rPr>
              <w:t> </w:t>
            </w:r>
          </w:p>
          <w:p w14:paraId="71C9C7B5"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Neither agree nor disagree</w:t>
            </w:r>
            <w:r w:rsidRPr="007D175D">
              <w:rPr>
                <w:rFonts w:asciiTheme="minorHAnsi" w:hAnsiTheme="minorHAnsi" w:cstheme="minorHAnsi"/>
                <w:b/>
                <w:bCs/>
                <w:color w:val="000000"/>
                <w:sz w:val="18"/>
                <w:szCs w:val="18"/>
                <w:lang w:eastAsia="en-AU"/>
              </w:rPr>
              <w:t> </w:t>
            </w:r>
          </w:p>
          <w:p w14:paraId="64FF6CC1"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disagree</w:t>
            </w:r>
            <w:r w:rsidRPr="007D175D">
              <w:rPr>
                <w:rFonts w:asciiTheme="minorHAnsi" w:hAnsiTheme="minorHAnsi" w:cstheme="minorHAnsi"/>
                <w:b/>
                <w:bCs/>
                <w:color w:val="000000"/>
                <w:sz w:val="18"/>
                <w:szCs w:val="18"/>
                <w:lang w:eastAsia="en-AU"/>
              </w:rPr>
              <w:t> </w:t>
            </w:r>
          </w:p>
          <w:p w14:paraId="35FC07A6"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disagree</w:t>
            </w:r>
            <w:r w:rsidRPr="007D175D">
              <w:rPr>
                <w:rFonts w:asciiTheme="minorHAnsi" w:hAnsiTheme="minorHAnsi" w:cstheme="minorHAnsi"/>
                <w:b/>
                <w:bCs/>
                <w:color w:val="000000"/>
                <w:sz w:val="18"/>
                <w:szCs w:val="18"/>
                <w:lang w:eastAsia="en-AU"/>
              </w:rPr>
              <w:t> </w:t>
            </w:r>
          </w:p>
        </w:tc>
        <w:tc>
          <w:tcPr>
            <w:tcW w:w="855" w:type="dxa"/>
            <w:tcBorders>
              <w:top w:val="single" w:sz="6" w:space="0" w:color="000000"/>
              <w:left w:val="nil"/>
              <w:bottom w:val="single" w:sz="6" w:space="0" w:color="000000"/>
              <w:right w:val="nil"/>
            </w:tcBorders>
            <w:shd w:val="clear" w:color="auto" w:fill="auto"/>
            <w:hideMark/>
          </w:tcPr>
          <w:p w14:paraId="20BE357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C16A92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4C63B4C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15 </w:t>
            </w:r>
          </w:p>
          <w:p w14:paraId="281B02F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2F4CD0C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30F284D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645" w:type="dxa"/>
            <w:tcBorders>
              <w:top w:val="single" w:sz="6" w:space="0" w:color="000000"/>
              <w:left w:val="nil"/>
              <w:bottom w:val="single" w:sz="6" w:space="0" w:color="000000"/>
              <w:right w:val="nil"/>
            </w:tcBorders>
            <w:shd w:val="clear" w:color="auto" w:fill="auto"/>
            <w:hideMark/>
          </w:tcPr>
          <w:p w14:paraId="62DDF89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896178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32 </w:t>
            </w:r>
          </w:p>
          <w:p w14:paraId="3110DCF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48 </w:t>
            </w:r>
          </w:p>
          <w:p w14:paraId="6EF9208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6661DB7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532D715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975" w:type="dxa"/>
            <w:tcBorders>
              <w:top w:val="single" w:sz="6" w:space="0" w:color="000000"/>
              <w:left w:val="nil"/>
              <w:bottom w:val="single" w:sz="6" w:space="0" w:color="000000"/>
              <w:right w:val="nil"/>
            </w:tcBorders>
            <w:shd w:val="clear" w:color="auto" w:fill="auto"/>
            <w:hideMark/>
          </w:tcPr>
          <w:p w14:paraId="116131C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8BE803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41 </w:t>
            </w:r>
          </w:p>
          <w:p w14:paraId="1F49CCA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36 </w:t>
            </w:r>
          </w:p>
          <w:p w14:paraId="6D3CA9C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4B4A67A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007821C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645" w:type="dxa"/>
            <w:tcBorders>
              <w:top w:val="single" w:sz="6" w:space="0" w:color="000000"/>
              <w:left w:val="nil"/>
              <w:bottom w:val="single" w:sz="6" w:space="0" w:color="000000"/>
              <w:right w:val="nil"/>
            </w:tcBorders>
            <w:shd w:val="clear" w:color="auto" w:fill="auto"/>
            <w:hideMark/>
          </w:tcPr>
          <w:p w14:paraId="1BB59A0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0E2CF3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45 </w:t>
            </w:r>
          </w:p>
          <w:p w14:paraId="3835548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39 </w:t>
            </w:r>
          </w:p>
          <w:p w14:paraId="70F9914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31484B0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3D7348C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975" w:type="dxa"/>
            <w:tcBorders>
              <w:top w:val="single" w:sz="6" w:space="0" w:color="000000"/>
              <w:left w:val="nil"/>
              <w:bottom w:val="single" w:sz="6" w:space="0" w:color="000000"/>
              <w:right w:val="nil"/>
            </w:tcBorders>
            <w:shd w:val="clear" w:color="auto" w:fill="auto"/>
            <w:hideMark/>
          </w:tcPr>
          <w:p w14:paraId="0ABAB53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7C77D3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69 </w:t>
            </w:r>
          </w:p>
          <w:p w14:paraId="7B1B663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95 </w:t>
            </w:r>
          </w:p>
          <w:p w14:paraId="652D57D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20 </w:t>
            </w:r>
          </w:p>
          <w:p w14:paraId="1790E4A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2CA0779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tc>
        <w:tc>
          <w:tcPr>
            <w:tcW w:w="645" w:type="dxa"/>
            <w:tcBorders>
              <w:top w:val="single" w:sz="6" w:space="0" w:color="000000"/>
              <w:left w:val="nil"/>
              <w:bottom w:val="single" w:sz="6" w:space="0" w:color="000000"/>
              <w:right w:val="nil"/>
            </w:tcBorders>
            <w:shd w:val="clear" w:color="auto" w:fill="auto"/>
            <w:hideMark/>
          </w:tcPr>
          <w:p w14:paraId="2318BA0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6A5F7D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36 </w:t>
            </w:r>
          </w:p>
          <w:p w14:paraId="28219D4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49 </w:t>
            </w:r>
          </w:p>
          <w:p w14:paraId="2C9C03D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784C0E6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18D20B5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c>
          <w:tcPr>
            <w:tcW w:w="1020" w:type="dxa"/>
            <w:tcBorders>
              <w:top w:val="single" w:sz="6" w:space="0" w:color="000000"/>
              <w:left w:val="nil"/>
              <w:bottom w:val="single" w:sz="6" w:space="0" w:color="000000"/>
              <w:right w:val="nil"/>
            </w:tcBorders>
            <w:shd w:val="clear" w:color="auto" w:fill="auto"/>
            <w:hideMark/>
          </w:tcPr>
          <w:p w14:paraId="4D0AEF9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796308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120 </w:t>
            </w:r>
          </w:p>
          <w:p w14:paraId="17D149A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146 </w:t>
            </w:r>
          </w:p>
          <w:p w14:paraId="5303102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31 </w:t>
            </w:r>
          </w:p>
          <w:p w14:paraId="378FF13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2825187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tc>
        <w:tc>
          <w:tcPr>
            <w:tcW w:w="645" w:type="dxa"/>
            <w:tcBorders>
              <w:top w:val="single" w:sz="6" w:space="0" w:color="000000"/>
              <w:left w:val="nil"/>
              <w:bottom w:val="single" w:sz="6" w:space="0" w:color="000000"/>
              <w:right w:val="single" w:sz="6" w:space="0" w:color="000000"/>
            </w:tcBorders>
            <w:shd w:val="clear" w:color="auto" w:fill="auto"/>
            <w:hideMark/>
          </w:tcPr>
          <w:p w14:paraId="3228F03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793428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38 </w:t>
            </w:r>
          </w:p>
          <w:p w14:paraId="176CB7E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46 </w:t>
            </w:r>
          </w:p>
          <w:p w14:paraId="40D8A20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51CC3FA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23B2DF7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r>
      <w:tr w:rsidR="007D175D" w:rsidRPr="007D175D" w14:paraId="7B4CA035" w14:textId="77777777">
        <w:trPr>
          <w:trHeight w:val="1215"/>
        </w:trPr>
        <w:tc>
          <w:tcPr>
            <w:tcW w:w="3240" w:type="dxa"/>
            <w:tcBorders>
              <w:top w:val="nil"/>
              <w:left w:val="single" w:sz="6" w:space="0" w:color="000000"/>
              <w:bottom w:val="nil"/>
              <w:right w:val="nil"/>
            </w:tcBorders>
            <w:shd w:val="clear" w:color="auto" w:fill="auto"/>
            <w:hideMark/>
          </w:tcPr>
          <w:p w14:paraId="6C1D5129"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Easy to read (n=317) </w:t>
            </w:r>
          </w:p>
          <w:p w14:paraId="3BBF78C6"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agree</w:t>
            </w:r>
            <w:r w:rsidRPr="007D175D">
              <w:rPr>
                <w:rFonts w:asciiTheme="minorHAnsi" w:hAnsiTheme="minorHAnsi" w:cstheme="minorHAnsi"/>
                <w:b/>
                <w:bCs/>
                <w:color w:val="000000"/>
                <w:sz w:val="18"/>
                <w:szCs w:val="18"/>
                <w:lang w:eastAsia="en-AU"/>
              </w:rPr>
              <w:t> </w:t>
            </w:r>
          </w:p>
          <w:p w14:paraId="3B89068B"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agree</w:t>
            </w:r>
            <w:r w:rsidRPr="007D175D">
              <w:rPr>
                <w:rFonts w:asciiTheme="minorHAnsi" w:hAnsiTheme="minorHAnsi" w:cstheme="minorHAnsi"/>
                <w:b/>
                <w:bCs/>
                <w:color w:val="000000"/>
                <w:sz w:val="18"/>
                <w:szCs w:val="18"/>
                <w:lang w:eastAsia="en-AU"/>
              </w:rPr>
              <w:t> </w:t>
            </w:r>
          </w:p>
          <w:p w14:paraId="12CCC855"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Neither agree nor disagree</w:t>
            </w:r>
            <w:r w:rsidRPr="007D175D">
              <w:rPr>
                <w:rFonts w:asciiTheme="minorHAnsi" w:hAnsiTheme="minorHAnsi" w:cstheme="minorHAnsi"/>
                <w:b/>
                <w:bCs/>
                <w:color w:val="000000"/>
                <w:sz w:val="18"/>
                <w:szCs w:val="18"/>
                <w:lang w:eastAsia="en-AU"/>
              </w:rPr>
              <w:t> </w:t>
            </w:r>
          </w:p>
          <w:p w14:paraId="552E2371"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disagree</w:t>
            </w:r>
            <w:r w:rsidRPr="007D175D">
              <w:rPr>
                <w:rFonts w:asciiTheme="minorHAnsi" w:hAnsiTheme="minorHAnsi" w:cstheme="minorHAnsi"/>
                <w:b/>
                <w:bCs/>
                <w:color w:val="000000"/>
                <w:sz w:val="18"/>
                <w:szCs w:val="18"/>
                <w:lang w:eastAsia="en-AU"/>
              </w:rPr>
              <w:t> </w:t>
            </w:r>
          </w:p>
          <w:p w14:paraId="66129997"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disagree</w:t>
            </w:r>
            <w:r w:rsidRPr="007D175D">
              <w:rPr>
                <w:rFonts w:asciiTheme="minorHAnsi" w:hAnsiTheme="minorHAnsi" w:cstheme="minorHAnsi"/>
                <w:b/>
                <w:bCs/>
                <w:color w:val="000000"/>
                <w:sz w:val="18"/>
                <w:szCs w:val="18"/>
                <w:lang w:eastAsia="en-AU"/>
              </w:rPr>
              <w:t> </w:t>
            </w:r>
          </w:p>
        </w:tc>
        <w:tc>
          <w:tcPr>
            <w:tcW w:w="855" w:type="dxa"/>
            <w:tcBorders>
              <w:top w:val="nil"/>
              <w:left w:val="nil"/>
              <w:bottom w:val="nil"/>
              <w:right w:val="nil"/>
            </w:tcBorders>
            <w:shd w:val="clear" w:color="auto" w:fill="auto"/>
            <w:hideMark/>
          </w:tcPr>
          <w:p w14:paraId="729B132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23A2B6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22 </w:t>
            </w:r>
          </w:p>
          <w:p w14:paraId="4C9F509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16E4036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44636FF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35CC3A7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645" w:type="dxa"/>
            <w:tcBorders>
              <w:top w:val="nil"/>
              <w:left w:val="nil"/>
              <w:bottom w:val="nil"/>
              <w:right w:val="nil"/>
            </w:tcBorders>
            <w:shd w:val="clear" w:color="auto" w:fill="auto"/>
            <w:hideMark/>
          </w:tcPr>
          <w:p w14:paraId="76ECB7B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251777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71 </w:t>
            </w:r>
          </w:p>
          <w:p w14:paraId="3A611E3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3AD12C4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16 </w:t>
            </w:r>
          </w:p>
          <w:p w14:paraId="059C62C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5B8654F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975" w:type="dxa"/>
            <w:tcBorders>
              <w:top w:val="nil"/>
              <w:left w:val="nil"/>
              <w:bottom w:val="nil"/>
              <w:right w:val="nil"/>
            </w:tcBorders>
            <w:shd w:val="clear" w:color="auto" w:fill="auto"/>
            <w:hideMark/>
          </w:tcPr>
          <w:p w14:paraId="4B767E6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BDC9DE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51 </w:t>
            </w:r>
          </w:p>
          <w:p w14:paraId="79A3326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29 </w:t>
            </w:r>
          </w:p>
          <w:p w14:paraId="04D1D18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005F9A0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6EA5000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645" w:type="dxa"/>
            <w:tcBorders>
              <w:top w:val="nil"/>
              <w:left w:val="nil"/>
              <w:bottom w:val="nil"/>
              <w:right w:val="nil"/>
            </w:tcBorders>
            <w:shd w:val="clear" w:color="auto" w:fill="auto"/>
            <w:hideMark/>
          </w:tcPr>
          <w:p w14:paraId="4AFE94D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3A1AA7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55 </w:t>
            </w:r>
          </w:p>
          <w:p w14:paraId="0C1487D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32 </w:t>
            </w:r>
          </w:p>
          <w:p w14:paraId="0AAB43C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6754F85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41C939B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975" w:type="dxa"/>
            <w:tcBorders>
              <w:top w:val="nil"/>
              <w:left w:val="nil"/>
              <w:bottom w:val="nil"/>
              <w:right w:val="nil"/>
            </w:tcBorders>
            <w:shd w:val="clear" w:color="auto" w:fill="auto"/>
            <w:hideMark/>
          </w:tcPr>
          <w:p w14:paraId="5FB8F0B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4F742E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128 </w:t>
            </w:r>
          </w:p>
          <w:p w14:paraId="2CCF122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56 </w:t>
            </w:r>
          </w:p>
          <w:p w14:paraId="1EF93C4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5A89B01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6F35C68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c>
          <w:tcPr>
            <w:tcW w:w="645" w:type="dxa"/>
            <w:tcBorders>
              <w:top w:val="nil"/>
              <w:left w:val="nil"/>
              <w:bottom w:val="nil"/>
              <w:right w:val="nil"/>
            </w:tcBorders>
            <w:shd w:val="clear" w:color="auto" w:fill="auto"/>
            <w:hideMark/>
          </w:tcPr>
          <w:p w14:paraId="7D0D6D1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71F4C4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66 </w:t>
            </w:r>
          </w:p>
          <w:p w14:paraId="56BECEF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29 </w:t>
            </w:r>
          </w:p>
          <w:p w14:paraId="7116748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0582467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71D6768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1020" w:type="dxa"/>
            <w:tcBorders>
              <w:top w:val="nil"/>
              <w:left w:val="nil"/>
              <w:bottom w:val="nil"/>
              <w:right w:val="nil"/>
            </w:tcBorders>
            <w:shd w:val="clear" w:color="auto" w:fill="auto"/>
            <w:hideMark/>
          </w:tcPr>
          <w:p w14:paraId="4B8E32C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93F8B7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201 </w:t>
            </w:r>
          </w:p>
          <w:p w14:paraId="05D5EF0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88 </w:t>
            </w:r>
          </w:p>
          <w:p w14:paraId="7B40C6F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19 </w:t>
            </w:r>
          </w:p>
          <w:p w14:paraId="7F1E24F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427CB76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tc>
        <w:tc>
          <w:tcPr>
            <w:tcW w:w="645" w:type="dxa"/>
            <w:tcBorders>
              <w:top w:val="nil"/>
              <w:left w:val="nil"/>
              <w:bottom w:val="nil"/>
              <w:right w:val="single" w:sz="6" w:space="0" w:color="000000"/>
            </w:tcBorders>
            <w:shd w:val="clear" w:color="auto" w:fill="auto"/>
            <w:hideMark/>
          </w:tcPr>
          <w:p w14:paraId="4595A42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8C6E73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63 </w:t>
            </w:r>
          </w:p>
          <w:p w14:paraId="21A14FF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28 </w:t>
            </w:r>
          </w:p>
          <w:p w14:paraId="4486BEC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0050D92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38A70A8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r>
      <w:tr w:rsidR="007D175D" w:rsidRPr="007D175D" w14:paraId="6A8A5419" w14:textId="77777777">
        <w:trPr>
          <w:trHeight w:val="1245"/>
        </w:trPr>
        <w:tc>
          <w:tcPr>
            <w:tcW w:w="3240" w:type="dxa"/>
            <w:tcBorders>
              <w:top w:val="single" w:sz="6" w:space="0" w:color="000000"/>
              <w:left w:val="single" w:sz="6" w:space="0" w:color="000000"/>
              <w:bottom w:val="single" w:sz="6" w:space="0" w:color="000000"/>
              <w:right w:val="nil"/>
            </w:tcBorders>
            <w:shd w:val="clear" w:color="auto" w:fill="auto"/>
            <w:hideMark/>
          </w:tcPr>
          <w:p w14:paraId="45AB0970"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Easy to understand (n=317) </w:t>
            </w:r>
          </w:p>
          <w:p w14:paraId="4D95F503"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agree</w:t>
            </w:r>
            <w:r w:rsidRPr="007D175D">
              <w:rPr>
                <w:rFonts w:asciiTheme="minorHAnsi" w:hAnsiTheme="minorHAnsi" w:cstheme="minorHAnsi"/>
                <w:b/>
                <w:bCs/>
                <w:color w:val="000000"/>
                <w:sz w:val="18"/>
                <w:szCs w:val="18"/>
                <w:lang w:eastAsia="en-AU"/>
              </w:rPr>
              <w:t> </w:t>
            </w:r>
          </w:p>
          <w:p w14:paraId="0CE56071"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agree</w:t>
            </w:r>
            <w:r w:rsidRPr="007D175D">
              <w:rPr>
                <w:rFonts w:asciiTheme="minorHAnsi" w:hAnsiTheme="minorHAnsi" w:cstheme="minorHAnsi"/>
                <w:b/>
                <w:bCs/>
                <w:color w:val="000000"/>
                <w:sz w:val="18"/>
                <w:szCs w:val="18"/>
                <w:lang w:eastAsia="en-AU"/>
              </w:rPr>
              <w:t> </w:t>
            </w:r>
          </w:p>
          <w:p w14:paraId="56B17530"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Neither agree nor disagree</w:t>
            </w:r>
            <w:r w:rsidRPr="007D175D">
              <w:rPr>
                <w:rFonts w:asciiTheme="minorHAnsi" w:hAnsiTheme="minorHAnsi" w:cstheme="minorHAnsi"/>
                <w:b/>
                <w:bCs/>
                <w:color w:val="000000"/>
                <w:sz w:val="18"/>
                <w:szCs w:val="18"/>
                <w:lang w:eastAsia="en-AU"/>
              </w:rPr>
              <w:t> </w:t>
            </w:r>
          </w:p>
          <w:p w14:paraId="70E99DBB"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disagree</w:t>
            </w:r>
            <w:r w:rsidRPr="007D175D">
              <w:rPr>
                <w:rFonts w:asciiTheme="minorHAnsi" w:hAnsiTheme="minorHAnsi" w:cstheme="minorHAnsi"/>
                <w:b/>
                <w:bCs/>
                <w:color w:val="000000"/>
                <w:sz w:val="18"/>
                <w:szCs w:val="18"/>
                <w:lang w:eastAsia="en-AU"/>
              </w:rPr>
              <w:t> </w:t>
            </w:r>
          </w:p>
          <w:p w14:paraId="4D551355"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disagree</w:t>
            </w:r>
            <w:r w:rsidRPr="007D175D">
              <w:rPr>
                <w:rFonts w:asciiTheme="minorHAnsi" w:hAnsiTheme="minorHAnsi" w:cstheme="minorHAnsi"/>
                <w:b/>
                <w:bCs/>
                <w:color w:val="000000"/>
                <w:sz w:val="18"/>
                <w:szCs w:val="18"/>
                <w:lang w:eastAsia="en-AU"/>
              </w:rPr>
              <w:t> </w:t>
            </w:r>
          </w:p>
        </w:tc>
        <w:tc>
          <w:tcPr>
            <w:tcW w:w="855" w:type="dxa"/>
            <w:tcBorders>
              <w:top w:val="single" w:sz="6" w:space="0" w:color="000000"/>
              <w:left w:val="nil"/>
              <w:bottom w:val="single" w:sz="6" w:space="0" w:color="000000"/>
              <w:right w:val="nil"/>
            </w:tcBorders>
            <w:shd w:val="clear" w:color="auto" w:fill="auto"/>
            <w:hideMark/>
          </w:tcPr>
          <w:p w14:paraId="53D37C3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351501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23 </w:t>
            </w:r>
          </w:p>
          <w:p w14:paraId="117AD48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30382C3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7605066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39D3A81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645" w:type="dxa"/>
            <w:tcBorders>
              <w:top w:val="single" w:sz="6" w:space="0" w:color="000000"/>
              <w:left w:val="nil"/>
              <w:bottom w:val="single" w:sz="6" w:space="0" w:color="000000"/>
              <w:right w:val="nil"/>
            </w:tcBorders>
            <w:shd w:val="clear" w:color="auto" w:fill="auto"/>
            <w:hideMark/>
          </w:tcPr>
          <w:p w14:paraId="07E51C6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B7F7A4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74 </w:t>
            </w:r>
          </w:p>
          <w:p w14:paraId="6482CDF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09250E7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6DA7F35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5F2F5F3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975" w:type="dxa"/>
            <w:tcBorders>
              <w:top w:val="single" w:sz="6" w:space="0" w:color="000000"/>
              <w:left w:val="nil"/>
              <w:bottom w:val="single" w:sz="6" w:space="0" w:color="000000"/>
              <w:right w:val="nil"/>
            </w:tcBorders>
            <w:shd w:val="clear" w:color="auto" w:fill="auto"/>
            <w:hideMark/>
          </w:tcPr>
          <w:p w14:paraId="3763CE1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AE71D4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50 </w:t>
            </w:r>
          </w:p>
          <w:p w14:paraId="5F5B187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32 </w:t>
            </w:r>
          </w:p>
          <w:p w14:paraId="44C667B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0A86CE0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709B7D0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645" w:type="dxa"/>
            <w:tcBorders>
              <w:top w:val="single" w:sz="6" w:space="0" w:color="000000"/>
              <w:left w:val="nil"/>
              <w:bottom w:val="single" w:sz="6" w:space="0" w:color="000000"/>
              <w:right w:val="nil"/>
            </w:tcBorders>
            <w:shd w:val="clear" w:color="auto" w:fill="auto"/>
            <w:hideMark/>
          </w:tcPr>
          <w:p w14:paraId="181820C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0AE44C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54 </w:t>
            </w:r>
          </w:p>
          <w:p w14:paraId="6891D2B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35 </w:t>
            </w:r>
          </w:p>
          <w:p w14:paraId="3D4CE44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49DE946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7AEFB24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975" w:type="dxa"/>
            <w:tcBorders>
              <w:top w:val="single" w:sz="6" w:space="0" w:color="000000"/>
              <w:left w:val="nil"/>
              <w:bottom w:val="single" w:sz="6" w:space="0" w:color="000000"/>
              <w:right w:val="nil"/>
            </w:tcBorders>
            <w:shd w:val="clear" w:color="auto" w:fill="auto"/>
            <w:hideMark/>
          </w:tcPr>
          <w:p w14:paraId="5897CBA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26C886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129 </w:t>
            </w:r>
          </w:p>
          <w:p w14:paraId="28BAB7B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56 </w:t>
            </w:r>
          </w:p>
          <w:p w14:paraId="1E275D9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673F6AA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06ECB82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c>
          <w:tcPr>
            <w:tcW w:w="645" w:type="dxa"/>
            <w:tcBorders>
              <w:top w:val="single" w:sz="6" w:space="0" w:color="000000"/>
              <w:left w:val="nil"/>
              <w:bottom w:val="single" w:sz="6" w:space="0" w:color="000000"/>
              <w:right w:val="nil"/>
            </w:tcBorders>
            <w:shd w:val="clear" w:color="auto" w:fill="auto"/>
            <w:hideMark/>
          </w:tcPr>
          <w:p w14:paraId="4262992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B9B0C5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66 </w:t>
            </w:r>
          </w:p>
          <w:p w14:paraId="663654C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29 </w:t>
            </w:r>
          </w:p>
          <w:p w14:paraId="4D5E4B7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358164B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4002074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1020" w:type="dxa"/>
            <w:tcBorders>
              <w:top w:val="single" w:sz="6" w:space="0" w:color="000000"/>
              <w:left w:val="nil"/>
              <w:bottom w:val="single" w:sz="6" w:space="0" w:color="000000"/>
              <w:right w:val="nil"/>
            </w:tcBorders>
            <w:shd w:val="clear" w:color="auto" w:fill="auto"/>
            <w:hideMark/>
          </w:tcPr>
          <w:p w14:paraId="28DD916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720AE4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202 </w:t>
            </w:r>
          </w:p>
          <w:p w14:paraId="1BCAD60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92 </w:t>
            </w:r>
          </w:p>
          <w:p w14:paraId="4F81842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15 </w:t>
            </w:r>
          </w:p>
          <w:p w14:paraId="36B80CE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4DD31AD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tc>
        <w:tc>
          <w:tcPr>
            <w:tcW w:w="645" w:type="dxa"/>
            <w:tcBorders>
              <w:top w:val="single" w:sz="6" w:space="0" w:color="000000"/>
              <w:left w:val="nil"/>
              <w:bottom w:val="single" w:sz="6" w:space="0" w:color="000000"/>
              <w:right w:val="single" w:sz="6" w:space="0" w:color="000000"/>
            </w:tcBorders>
            <w:shd w:val="clear" w:color="auto" w:fill="auto"/>
            <w:hideMark/>
          </w:tcPr>
          <w:p w14:paraId="36B94A5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D65300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64 </w:t>
            </w:r>
          </w:p>
          <w:p w14:paraId="2DF0B9F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29 </w:t>
            </w:r>
          </w:p>
          <w:p w14:paraId="071AF36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2FF8728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694DD8F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r>
    </w:tbl>
    <w:p w14:paraId="57C93C64" w14:textId="77777777" w:rsidR="007D175D" w:rsidRPr="007D175D" w:rsidRDefault="007D175D" w:rsidP="007D175D">
      <w:pPr>
        <w:spacing w:after="160"/>
        <w:textAlignment w:val="baseline"/>
        <w:rPr>
          <w:rFonts w:ascii="Segoe UI" w:hAnsi="Segoe UI" w:cs="Segoe UI"/>
          <w:color w:val="000000"/>
          <w:sz w:val="18"/>
          <w:szCs w:val="18"/>
          <w:lang w:eastAsia="en-AU"/>
        </w:rPr>
      </w:pPr>
      <w:r w:rsidRPr="007D175D">
        <w:rPr>
          <w:rFonts w:ascii="Calibri" w:hAnsi="Calibri" w:cs="Calibri"/>
          <w:color w:val="000000"/>
          <w:sz w:val="16"/>
          <w:szCs w:val="16"/>
          <w:lang w:eastAsia="en-AU"/>
        </w:rPr>
        <w:t xml:space="preserve">MHO, Mental Health Online; MS, </w:t>
      </w:r>
      <w:proofErr w:type="spellStart"/>
      <w:r w:rsidRPr="007D175D">
        <w:rPr>
          <w:rFonts w:ascii="Calibri" w:hAnsi="Calibri" w:cs="Calibri"/>
          <w:color w:val="000000"/>
          <w:sz w:val="16"/>
          <w:szCs w:val="16"/>
          <w:lang w:eastAsia="en-AU"/>
        </w:rPr>
        <w:t>MindSpot</w:t>
      </w:r>
      <w:proofErr w:type="spellEnd"/>
      <w:r w:rsidRPr="007D175D">
        <w:rPr>
          <w:rFonts w:ascii="Calibri" w:hAnsi="Calibri" w:cs="Calibri"/>
          <w:color w:val="000000"/>
          <w:sz w:val="16"/>
          <w:szCs w:val="16"/>
          <w:lang w:eastAsia="en-AU"/>
        </w:rPr>
        <w:t>; TWU, THIS WAY UP. </w:t>
      </w:r>
    </w:p>
    <w:p w14:paraId="5E1EA516" w14:textId="77777777" w:rsidR="007D175D" w:rsidRPr="007D175D" w:rsidRDefault="007D175D" w:rsidP="008776A4">
      <w:pPr>
        <w:pStyle w:val="Heading3"/>
        <w:rPr>
          <w:lang w:val="en-GB" w:eastAsia="en-AU"/>
        </w:rPr>
      </w:pPr>
      <w:r w:rsidRPr="007D175D">
        <w:rPr>
          <w:lang w:val="en-GB" w:eastAsia="en-AU"/>
        </w:rPr>
        <w:t>Modules</w:t>
      </w:r>
    </w:p>
    <w:p w14:paraId="58B0383F" w14:textId="1533BB06" w:rsidR="007D175D" w:rsidRDefault="007D175D" w:rsidP="007D175D">
      <w:pPr>
        <w:spacing w:after="160"/>
        <w:textAlignment w:val="baseline"/>
        <w:rPr>
          <w:rFonts w:ascii="Calibri" w:hAnsi="Calibri" w:cs="Calibri"/>
          <w:color w:val="000000"/>
          <w:sz w:val="21"/>
          <w:szCs w:val="21"/>
          <w:lang w:eastAsia="en-AU"/>
        </w:rPr>
      </w:pPr>
      <w:r w:rsidRPr="007D175D">
        <w:rPr>
          <w:rFonts w:ascii="Calibri" w:hAnsi="Calibri" w:cs="Calibri"/>
          <w:color w:val="000000"/>
          <w:sz w:val="21"/>
          <w:szCs w:val="21"/>
          <w:lang w:eastAsia="en-AU"/>
        </w:rPr>
        <w:t xml:space="preserve">Similarly, approximately 97% of consumers across all three services completed modules. Their responses are recorded in Table </w:t>
      </w:r>
      <w:r w:rsidR="007D6885" w:rsidRPr="00981936">
        <w:rPr>
          <w:rFonts w:ascii="Calibri" w:hAnsi="Calibri" w:cs="Calibri"/>
          <w:color w:val="000000"/>
          <w:sz w:val="21"/>
          <w:szCs w:val="21"/>
          <w:lang w:eastAsia="en-AU"/>
        </w:rPr>
        <w:t>27</w:t>
      </w:r>
      <w:r w:rsidRPr="007D175D">
        <w:rPr>
          <w:rFonts w:ascii="Calibri" w:hAnsi="Calibri" w:cs="Calibri"/>
          <w:color w:val="000000"/>
          <w:sz w:val="21"/>
          <w:szCs w:val="21"/>
          <w:lang w:eastAsia="en-AU"/>
        </w:rPr>
        <w:t xml:space="preserve">. About 70% of both </w:t>
      </w:r>
      <w:proofErr w:type="spellStart"/>
      <w:r w:rsidRPr="007D175D">
        <w:rPr>
          <w:rFonts w:ascii="Calibri" w:hAnsi="Calibri" w:cs="Calibri"/>
          <w:color w:val="000000"/>
          <w:sz w:val="21"/>
          <w:szCs w:val="21"/>
          <w:lang w:eastAsia="en-AU"/>
        </w:rPr>
        <w:t>MindSpot</w:t>
      </w:r>
      <w:proofErr w:type="spellEnd"/>
      <w:r w:rsidRPr="007D175D">
        <w:rPr>
          <w:rFonts w:ascii="Calibri" w:hAnsi="Calibri" w:cs="Calibri"/>
          <w:color w:val="000000"/>
          <w:sz w:val="21"/>
          <w:szCs w:val="21"/>
          <w:lang w:eastAsia="en-AU"/>
        </w:rPr>
        <w:t xml:space="preserve"> and THIS WAY UP consumers completed modules in under 31 minutes, and 50% of Mental Health Online consumers took 31 minutes or longer to finish. Most consumers described their experience of using the modules as positive. Over 80% of consumers across DMHSs “strongly agreed” or “somewhat agreed” that the modules were informative, relevant, easy to understand, easy to navigate, made them think and taught them new strategies. Proportionally, fewer Mental Health Online (64%) consumers “strongly agreed” or “somewhat agreed” that the modules were appealing compared to </w:t>
      </w:r>
      <w:proofErr w:type="spellStart"/>
      <w:r w:rsidRPr="007D175D">
        <w:rPr>
          <w:rFonts w:ascii="Calibri" w:hAnsi="Calibri" w:cs="Calibri"/>
          <w:color w:val="000000"/>
          <w:sz w:val="21"/>
          <w:szCs w:val="21"/>
          <w:lang w:eastAsia="en-AU"/>
        </w:rPr>
        <w:t>MindSpot</w:t>
      </w:r>
      <w:proofErr w:type="spellEnd"/>
      <w:r w:rsidRPr="007D175D">
        <w:rPr>
          <w:rFonts w:ascii="Calibri" w:hAnsi="Calibri" w:cs="Calibri"/>
          <w:color w:val="000000"/>
          <w:sz w:val="21"/>
          <w:szCs w:val="21"/>
          <w:lang w:eastAsia="en-AU"/>
        </w:rPr>
        <w:t xml:space="preserve"> (70%) or THIS WAY UP (77%) consumers.</w:t>
      </w:r>
    </w:p>
    <w:p w14:paraId="7C9A89B3" w14:textId="77777777" w:rsidR="00F87F9A" w:rsidRPr="007D175D" w:rsidRDefault="00F87F9A" w:rsidP="007D175D">
      <w:pPr>
        <w:spacing w:after="160"/>
        <w:textAlignment w:val="baseline"/>
        <w:rPr>
          <w:rFonts w:ascii="Calibri" w:hAnsi="Calibri" w:cs="Calibri"/>
          <w:color w:val="000000"/>
          <w:sz w:val="21"/>
          <w:szCs w:val="21"/>
          <w:lang w:eastAsia="en-AU"/>
        </w:rPr>
      </w:pPr>
    </w:p>
    <w:p w14:paraId="3D587532" w14:textId="14C7C0D9" w:rsidR="007D175D" w:rsidRPr="007D175D" w:rsidRDefault="007D175D" w:rsidP="00844AC9">
      <w:pPr>
        <w:pStyle w:val="tableheading"/>
        <w:rPr>
          <w:rFonts w:ascii="Segoe UI" w:hAnsi="Segoe UI" w:cs="Segoe UI"/>
          <w:sz w:val="18"/>
          <w:szCs w:val="18"/>
        </w:rPr>
      </w:pPr>
      <w:r w:rsidRPr="00844AC9">
        <w:lastRenderedPageBreak/>
        <w:t xml:space="preserve">Table </w:t>
      </w:r>
      <w:r w:rsidR="00844AC9" w:rsidRPr="00844AC9">
        <w:t>27</w:t>
      </w:r>
      <w:r w:rsidRPr="00844AC9">
        <w:t>.</w:t>
      </w:r>
      <w:r w:rsidRPr="007D175D">
        <w:t xml:space="preserve"> Consumer experience of DMHS modules, by service and overall</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Consumer experience of DMHS modules, by service and overall"/>
        <w:tblDescription w:val="Table describes consumers' experience with using the modules. "/>
      </w:tblPr>
      <w:tblGrid>
        <w:gridCol w:w="3285"/>
        <w:gridCol w:w="795"/>
        <w:gridCol w:w="795"/>
        <w:gridCol w:w="30"/>
        <w:gridCol w:w="765"/>
        <w:gridCol w:w="795"/>
        <w:gridCol w:w="75"/>
        <w:gridCol w:w="720"/>
        <w:gridCol w:w="795"/>
        <w:gridCol w:w="795"/>
        <w:gridCol w:w="840"/>
      </w:tblGrid>
      <w:tr w:rsidR="007D175D" w:rsidRPr="007D175D" w14:paraId="64CF7508" w14:textId="77777777">
        <w:trPr>
          <w:trHeight w:val="300"/>
          <w:tblHeader/>
        </w:trPr>
        <w:tc>
          <w:tcPr>
            <w:tcW w:w="3285" w:type="dxa"/>
            <w:tcBorders>
              <w:top w:val="single" w:sz="6" w:space="0" w:color="000000"/>
              <w:left w:val="single" w:sz="6" w:space="0" w:color="000000"/>
              <w:bottom w:val="single" w:sz="6" w:space="0" w:color="auto"/>
              <w:right w:val="nil"/>
            </w:tcBorders>
            <w:shd w:val="clear" w:color="auto" w:fill="000000"/>
            <w:hideMark/>
          </w:tcPr>
          <w:p w14:paraId="0594CEBE" w14:textId="77777777" w:rsidR="007D175D" w:rsidRPr="007D175D" w:rsidRDefault="007D175D" w:rsidP="007D175D">
            <w:pP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000000"/>
                <w:sz w:val="18"/>
                <w:szCs w:val="18"/>
                <w:lang w:eastAsia="en-AU"/>
              </w:rPr>
              <w:t> </w:t>
            </w:r>
          </w:p>
        </w:tc>
        <w:tc>
          <w:tcPr>
            <w:tcW w:w="1620" w:type="dxa"/>
            <w:gridSpan w:val="3"/>
            <w:tcBorders>
              <w:top w:val="single" w:sz="6" w:space="0" w:color="000000"/>
              <w:left w:val="nil"/>
              <w:bottom w:val="single" w:sz="6" w:space="0" w:color="auto"/>
              <w:right w:val="nil"/>
            </w:tcBorders>
            <w:shd w:val="clear" w:color="auto" w:fill="000000"/>
            <w:hideMark/>
          </w:tcPr>
          <w:p w14:paraId="38CBFEC1"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MHO </w:t>
            </w:r>
          </w:p>
          <w:p w14:paraId="04F900A4"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(n=32) </w:t>
            </w:r>
          </w:p>
        </w:tc>
        <w:tc>
          <w:tcPr>
            <w:tcW w:w="1635" w:type="dxa"/>
            <w:gridSpan w:val="3"/>
            <w:tcBorders>
              <w:top w:val="single" w:sz="6" w:space="0" w:color="000000"/>
              <w:left w:val="nil"/>
              <w:bottom w:val="single" w:sz="6" w:space="0" w:color="auto"/>
              <w:right w:val="nil"/>
            </w:tcBorders>
            <w:shd w:val="clear" w:color="auto" w:fill="000000"/>
            <w:hideMark/>
          </w:tcPr>
          <w:p w14:paraId="5F9A54D7"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MS </w:t>
            </w:r>
          </w:p>
          <w:p w14:paraId="3EB59DF6"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(n=100) </w:t>
            </w:r>
          </w:p>
        </w:tc>
        <w:tc>
          <w:tcPr>
            <w:tcW w:w="1515" w:type="dxa"/>
            <w:gridSpan w:val="2"/>
            <w:tcBorders>
              <w:top w:val="single" w:sz="6" w:space="0" w:color="000000"/>
              <w:left w:val="nil"/>
              <w:bottom w:val="single" w:sz="6" w:space="0" w:color="auto"/>
              <w:right w:val="nil"/>
            </w:tcBorders>
            <w:shd w:val="clear" w:color="auto" w:fill="000000"/>
            <w:hideMark/>
          </w:tcPr>
          <w:p w14:paraId="5879C8BF"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TWU </w:t>
            </w:r>
          </w:p>
          <w:p w14:paraId="5317342F"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(n=219) </w:t>
            </w:r>
          </w:p>
        </w:tc>
        <w:tc>
          <w:tcPr>
            <w:tcW w:w="1635" w:type="dxa"/>
            <w:gridSpan w:val="2"/>
            <w:tcBorders>
              <w:top w:val="single" w:sz="6" w:space="0" w:color="000000"/>
              <w:left w:val="nil"/>
              <w:bottom w:val="single" w:sz="6" w:space="0" w:color="auto"/>
              <w:right w:val="single" w:sz="6" w:space="0" w:color="000000"/>
            </w:tcBorders>
            <w:shd w:val="clear" w:color="auto" w:fill="000000"/>
            <w:hideMark/>
          </w:tcPr>
          <w:p w14:paraId="3C39BF06"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Total </w:t>
            </w:r>
          </w:p>
          <w:p w14:paraId="0E621BC1"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 351) </w:t>
            </w:r>
          </w:p>
        </w:tc>
      </w:tr>
      <w:tr w:rsidR="007D175D" w:rsidRPr="007D175D" w14:paraId="6198E24C" w14:textId="77777777">
        <w:trPr>
          <w:trHeight w:val="120"/>
          <w:tblHeader/>
        </w:trPr>
        <w:tc>
          <w:tcPr>
            <w:tcW w:w="3285" w:type="dxa"/>
            <w:tcBorders>
              <w:top w:val="single" w:sz="6" w:space="0" w:color="auto"/>
              <w:left w:val="single" w:sz="6" w:space="0" w:color="000000"/>
              <w:bottom w:val="single" w:sz="6" w:space="0" w:color="auto"/>
              <w:right w:val="nil"/>
            </w:tcBorders>
            <w:shd w:val="clear" w:color="auto" w:fill="000000"/>
            <w:hideMark/>
          </w:tcPr>
          <w:p w14:paraId="05C99D69"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FFFFFF"/>
                <w:sz w:val="18"/>
                <w:szCs w:val="18"/>
                <w:lang w:eastAsia="en-AU"/>
              </w:rPr>
              <w:t> </w:t>
            </w:r>
          </w:p>
        </w:tc>
        <w:tc>
          <w:tcPr>
            <w:tcW w:w="795" w:type="dxa"/>
            <w:tcBorders>
              <w:top w:val="single" w:sz="6" w:space="0" w:color="auto"/>
              <w:left w:val="nil"/>
              <w:bottom w:val="single" w:sz="6" w:space="0" w:color="auto"/>
              <w:right w:val="nil"/>
            </w:tcBorders>
            <w:shd w:val="clear" w:color="auto" w:fill="000000"/>
            <w:hideMark/>
          </w:tcPr>
          <w:p w14:paraId="22A86F0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 </w:t>
            </w:r>
          </w:p>
        </w:tc>
        <w:tc>
          <w:tcPr>
            <w:tcW w:w="795" w:type="dxa"/>
            <w:tcBorders>
              <w:top w:val="single" w:sz="6" w:space="0" w:color="auto"/>
              <w:left w:val="nil"/>
              <w:bottom w:val="single" w:sz="6" w:space="0" w:color="auto"/>
              <w:right w:val="nil"/>
            </w:tcBorders>
            <w:shd w:val="clear" w:color="auto" w:fill="000000"/>
            <w:hideMark/>
          </w:tcPr>
          <w:p w14:paraId="32B84DF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 </w:t>
            </w:r>
          </w:p>
        </w:tc>
        <w:tc>
          <w:tcPr>
            <w:tcW w:w="795" w:type="dxa"/>
            <w:gridSpan w:val="2"/>
            <w:tcBorders>
              <w:top w:val="single" w:sz="6" w:space="0" w:color="auto"/>
              <w:left w:val="nil"/>
              <w:bottom w:val="single" w:sz="6" w:space="0" w:color="auto"/>
              <w:right w:val="nil"/>
            </w:tcBorders>
            <w:shd w:val="clear" w:color="auto" w:fill="000000"/>
            <w:hideMark/>
          </w:tcPr>
          <w:p w14:paraId="6394B2B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 </w:t>
            </w:r>
          </w:p>
        </w:tc>
        <w:tc>
          <w:tcPr>
            <w:tcW w:w="795" w:type="dxa"/>
            <w:tcBorders>
              <w:top w:val="single" w:sz="6" w:space="0" w:color="auto"/>
              <w:left w:val="nil"/>
              <w:bottom w:val="single" w:sz="6" w:space="0" w:color="auto"/>
              <w:right w:val="nil"/>
            </w:tcBorders>
            <w:shd w:val="clear" w:color="auto" w:fill="000000"/>
            <w:hideMark/>
          </w:tcPr>
          <w:p w14:paraId="5A98B4C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 </w:t>
            </w:r>
          </w:p>
        </w:tc>
        <w:tc>
          <w:tcPr>
            <w:tcW w:w="795" w:type="dxa"/>
            <w:gridSpan w:val="2"/>
            <w:tcBorders>
              <w:top w:val="single" w:sz="6" w:space="0" w:color="auto"/>
              <w:left w:val="nil"/>
              <w:bottom w:val="single" w:sz="6" w:space="0" w:color="auto"/>
              <w:right w:val="nil"/>
            </w:tcBorders>
            <w:shd w:val="clear" w:color="auto" w:fill="000000"/>
            <w:hideMark/>
          </w:tcPr>
          <w:p w14:paraId="2F5B124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 </w:t>
            </w:r>
          </w:p>
        </w:tc>
        <w:tc>
          <w:tcPr>
            <w:tcW w:w="795" w:type="dxa"/>
            <w:tcBorders>
              <w:top w:val="single" w:sz="6" w:space="0" w:color="auto"/>
              <w:left w:val="nil"/>
              <w:bottom w:val="single" w:sz="6" w:space="0" w:color="auto"/>
              <w:right w:val="nil"/>
            </w:tcBorders>
            <w:shd w:val="clear" w:color="auto" w:fill="000000"/>
            <w:hideMark/>
          </w:tcPr>
          <w:p w14:paraId="53D8F02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 </w:t>
            </w:r>
          </w:p>
        </w:tc>
        <w:tc>
          <w:tcPr>
            <w:tcW w:w="795" w:type="dxa"/>
            <w:tcBorders>
              <w:top w:val="single" w:sz="6" w:space="0" w:color="auto"/>
              <w:left w:val="nil"/>
              <w:bottom w:val="single" w:sz="6" w:space="0" w:color="auto"/>
              <w:right w:val="nil"/>
            </w:tcBorders>
            <w:shd w:val="clear" w:color="auto" w:fill="000000"/>
            <w:hideMark/>
          </w:tcPr>
          <w:p w14:paraId="4482EC0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 </w:t>
            </w:r>
          </w:p>
        </w:tc>
        <w:tc>
          <w:tcPr>
            <w:tcW w:w="795" w:type="dxa"/>
            <w:tcBorders>
              <w:top w:val="single" w:sz="6" w:space="0" w:color="auto"/>
              <w:left w:val="nil"/>
              <w:bottom w:val="single" w:sz="6" w:space="0" w:color="auto"/>
              <w:right w:val="single" w:sz="6" w:space="0" w:color="000000"/>
            </w:tcBorders>
            <w:shd w:val="clear" w:color="auto" w:fill="000000"/>
            <w:hideMark/>
          </w:tcPr>
          <w:p w14:paraId="6DA4AD4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 </w:t>
            </w:r>
          </w:p>
        </w:tc>
      </w:tr>
      <w:tr w:rsidR="007D175D" w:rsidRPr="007D175D" w14:paraId="4E467934" w14:textId="77777777">
        <w:trPr>
          <w:trHeight w:val="165"/>
        </w:trPr>
        <w:tc>
          <w:tcPr>
            <w:tcW w:w="3285" w:type="dxa"/>
            <w:tcBorders>
              <w:top w:val="single" w:sz="6" w:space="0" w:color="auto"/>
              <w:left w:val="single" w:sz="6" w:space="0" w:color="000000"/>
              <w:bottom w:val="single" w:sz="6" w:space="0" w:color="000000"/>
              <w:right w:val="nil"/>
            </w:tcBorders>
            <w:shd w:val="clear" w:color="auto" w:fill="auto"/>
            <w:hideMark/>
          </w:tcPr>
          <w:p w14:paraId="412E6589"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Completed modules </w:t>
            </w:r>
          </w:p>
        </w:tc>
        <w:tc>
          <w:tcPr>
            <w:tcW w:w="795" w:type="dxa"/>
            <w:tcBorders>
              <w:top w:val="single" w:sz="6" w:space="0" w:color="auto"/>
              <w:left w:val="nil"/>
              <w:bottom w:val="single" w:sz="6" w:space="0" w:color="000000"/>
              <w:right w:val="nil"/>
            </w:tcBorders>
            <w:shd w:val="clear" w:color="auto" w:fill="auto"/>
            <w:hideMark/>
          </w:tcPr>
          <w:p w14:paraId="2BFA102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30 </w:t>
            </w:r>
          </w:p>
        </w:tc>
        <w:tc>
          <w:tcPr>
            <w:tcW w:w="795" w:type="dxa"/>
            <w:tcBorders>
              <w:top w:val="single" w:sz="6" w:space="0" w:color="auto"/>
              <w:left w:val="nil"/>
              <w:bottom w:val="single" w:sz="6" w:space="0" w:color="000000"/>
              <w:right w:val="nil"/>
            </w:tcBorders>
            <w:shd w:val="clear" w:color="auto" w:fill="auto"/>
            <w:hideMark/>
          </w:tcPr>
          <w:p w14:paraId="3349E09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94 </w:t>
            </w:r>
          </w:p>
        </w:tc>
        <w:tc>
          <w:tcPr>
            <w:tcW w:w="795" w:type="dxa"/>
            <w:gridSpan w:val="2"/>
            <w:tcBorders>
              <w:top w:val="single" w:sz="6" w:space="0" w:color="auto"/>
              <w:left w:val="nil"/>
              <w:bottom w:val="single" w:sz="6" w:space="0" w:color="000000"/>
              <w:right w:val="nil"/>
            </w:tcBorders>
            <w:shd w:val="clear" w:color="auto" w:fill="auto"/>
            <w:hideMark/>
          </w:tcPr>
          <w:p w14:paraId="343AAEF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92 </w:t>
            </w:r>
          </w:p>
        </w:tc>
        <w:tc>
          <w:tcPr>
            <w:tcW w:w="795" w:type="dxa"/>
            <w:tcBorders>
              <w:top w:val="single" w:sz="6" w:space="0" w:color="auto"/>
              <w:left w:val="nil"/>
              <w:bottom w:val="single" w:sz="6" w:space="0" w:color="000000"/>
              <w:right w:val="nil"/>
            </w:tcBorders>
            <w:shd w:val="clear" w:color="auto" w:fill="auto"/>
            <w:hideMark/>
          </w:tcPr>
          <w:p w14:paraId="4A5721F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92 </w:t>
            </w:r>
          </w:p>
        </w:tc>
        <w:tc>
          <w:tcPr>
            <w:tcW w:w="795" w:type="dxa"/>
            <w:gridSpan w:val="2"/>
            <w:tcBorders>
              <w:top w:val="single" w:sz="6" w:space="0" w:color="auto"/>
              <w:left w:val="nil"/>
              <w:bottom w:val="single" w:sz="6" w:space="0" w:color="000000"/>
              <w:right w:val="nil"/>
            </w:tcBorders>
            <w:shd w:val="clear" w:color="auto" w:fill="auto"/>
            <w:hideMark/>
          </w:tcPr>
          <w:p w14:paraId="0BBE80E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217 </w:t>
            </w:r>
          </w:p>
        </w:tc>
        <w:tc>
          <w:tcPr>
            <w:tcW w:w="795" w:type="dxa"/>
            <w:tcBorders>
              <w:top w:val="single" w:sz="6" w:space="0" w:color="auto"/>
              <w:left w:val="nil"/>
              <w:bottom w:val="single" w:sz="6" w:space="0" w:color="000000"/>
              <w:right w:val="nil"/>
            </w:tcBorders>
            <w:shd w:val="clear" w:color="auto" w:fill="auto"/>
            <w:hideMark/>
          </w:tcPr>
          <w:p w14:paraId="26631F8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99 </w:t>
            </w:r>
          </w:p>
        </w:tc>
        <w:tc>
          <w:tcPr>
            <w:tcW w:w="795" w:type="dxa"/>
            <w:tcBorders>
              <w:top w:val="single" w:sz="6" w:space="0" w:color="auto"/>
              <w:left w:val="nil"/>
              <w:bottom w:val="single" w:sz="6" w:space="0" w:color="000000"/>
              <w:right w:val="nil"/>
            </w:tcBorders>
            <w:shd w:val="clear" w:color="auto" w:fill="auto"/>
            <w:hideMark/>
          </w:tcPr>
          <w:p w14:paraId="43BCD46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339 </w:t>
            </w:r>
          </w:p>
        </w:tc>
        <w:tc>
          <w:tcPr>
            <w:tcW w:w="795" w:type="dxa"/>
            <w:tcBorders>
              <w:top w:val="single" w:sz="6" w:space="0" w:color="auto"/>
              <w:left w:val="nil"/>
              <w:bottom w:val="single" w:sz="6" w:space="0" w:color="000000"/>
              <w:right w:val="single" w:sz="6" w:space="0" w:color="000000"/>
            </w:tcBorders>
            <w:shd w:val="clear" w:color="auto" w:fill="auto"/>
            <w:hideMark/>
          </w:tcPr>
          <w:p w14:paraId="3E2C8DB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97 </w:t>
            </w:r>
          </w:p>
        </w:tc>
      </w:tr>
      <w:tr w:rsidR="007D175D" w:rsidRPr="007D175D" w14:paraId="4ADE3252" w14:textId="77777777">
        <w:trPr>
          <w:trHeight w:val="1215"/>
        </w:trPr>
        <w:tc>
          <w:tcPr>
            <w:tcW w:w="3285" w:type="dxa"/>
            <w:tcBorders>
              <w:top w:val="single" w:sz="6" w:space="0" w:color="000000"/>
              <w:left w:val="single" w:sz="6" w:space="0" w:color="000000"/>
              <w:bottom w:val="single" w:sz="6" w:space="0" w:color="000000"/>
              <w:right w:val="nil"/>
            </w:tcBorders>
            <w:shd w:val="clear" w:color="auto" w:fill="auto"/>
            <w:hideMark/>
          </w:tcPr>
          <w:p w14:paraId="00A4AF2A"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Time (n=339) </w:t>
            </w:r>
          </w:p>
          <w:p w14:paraId="48E0879E"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10 to 20 minutes</w:t>
            </w:r>
            <w:r w:rsidRPr="007D175D">
              <w:rPr>
                <w:rFonts w:asciiTheme="minorHAnsi" w:hAnsiTheme="minorHAnsi" w:cstheme="minorHAnsi"/>
                <w:b/>
                <w:bCs/>
                <w:color w:val="000000"/>
                <w:sz w:val="18"/>
                <w:szCs w:val="18"/>
                <w:lang w:eastAsia="en-AU"/>
              </w:rPr>
              <w:t> </w:t>
            </w:r>
          </w:p>
          <w:p w14:paraId="68BF9C6D"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21 to 30 minutes</w:t>
            </w:r>
            <w:r w:rsidRPr="007D175D">
              <w:rPr>
                <w:rFonts w:asciiTheme="minorHAnsi" w:hAnsiTheme="minorHAnsi" w:cstheme="minorHAnsi"/>
                <w:b/>
                <w:bCs/>
                <w:color w:val="000000"/>
                <w:sz w:val="18"/>
                <w:szCs w:val="18"/>
                <w:lang w:eastAsia="en-AU"/>
              </w:rPr>
              <w:t> </w:t>
            </w:r>
          </w:p>
          <w:p w14:paraId="19E0F9B6"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31 to 40 minutes</w:t>
            </w:r>
            <w:r w:rsidRPr="007D175D">
              <w:rPr>
                <w:rFonts w:asciiTheme="minorHAnsi" w:hAnsiTheme="minorHAnsi" w:cstheme="minorHAnsi"/>
                <w:b/>
                <w:bCs/>
                <w:color w:val="000000"/>
                <w:sz w:val="18"/>
                <w:szCs w:val="18"/>
                <w:lang w:eastAsia="en-AU"/>
              </w:rPr>
              <w:t> </w:t>
            </w:r>
          </w:p>
          <w:p w14:paraId="66D8751C"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Less than 10 minutes</w:t>
            </w:r>
            <w:r w:rsidRPr="007D175D">
              <w:rPr>
                <w:rFonts w:asciiTheme="minorHAnsi" w:hAnsiTheme="minorHAnsi" w:cstheme="minorHAnsi"/>
                <w:b/>
                <w:bCs/>
                <w:color w:val="000000"/>
                <w:sz w:val="18"/>
                <w:szCs w:val="18"/>
                <w:lang w:eastAsia="en-AU"/>
              </w:rPr>
              <w:t> </w:t>
            </w:r>
          </w:p>
          <w:p w14:paraId="1911A3A4"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Over 40 minutes</w:t>
            </w:r>
            <w:r w:rsidRPr="007D175D">
              <w:rPr>
                <w:rFonts w:asciiTheme="minorHAnsi" w:hAnsiTheme="minorHAnsi" w:cstheme="minorHAnsi"/>
                <w:b/>
                <w:bCs/>
                <w:color w:val="000000"/>
                <w:sz w:val="18"/>
                <w:szCs w:val="18"/>
                <w:lang w:eastAsia="en-AU"/>
              </w:rPr>
              <w:t> </w:t>
            </w:r>
          </w:p>
        </w:tc>
        <w:tc>
          <w:tcPr>
            <w:tcW w:w="795" w:type="dxa"/>
            <w:tcBorders>
              <w:top w:val="single" w:sz="6" w:space="0" w:color="000000"/>
              <w:left w:val="nil"/>
              <w:bottom w:val="single" w:sz="6" w:space="0" w:color="000000"/>
              <w:right w:val="nil"/>
            </w:tcBorders>
            <w:shd w:val="clear" w:color="auto" w:fill="auto"/>
            <w:hideMark/>
          </w:tcPr>
          <w:p w14:paraId="54BF96B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505663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4B2EF1E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6302B49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79D6A28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3A25EC2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tc>
        <w:tc>
          <w:tcPr>
            <w:tcW w:w="795" w:type="dxa"/>
            <w:tcBorders>
              <w:top w:val="single" w:sz="6" w:space="0" w:color="000000"/>
              <w:left w:val="nil"/>
              <w:bottom w:val="single" w:sz="6" w:space="0" w:color="000000"/>
              <w:right w:val="nil"/>
            </w:tcBorders>
            <w:shd w:val="clear" w:color="auto" w:fill="auto"/>
            <w:hideMark/>
          </w:tcPr>
          <w:p w14:paraId="5BE2AA8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1B3F22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0F5C989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30 </w:t>
            </w:r>
          </w:p>
          <w:p w14:paraId="6E574A1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17 </w:t>
            </w:r>
          </w:p>
          <w:p w14:paraId="25C382F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588439B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33 </w:t>
            </w:r>
          </w:p>
        </w:tc>
        <w:tc>
          <w:tcPr>
            <w:tcW w:w="795" w:type="dxa"/>
            <w:gridSpan w:val="2"/>
            <w:tcBorders>
              <w:top w:val="single" w:sz="6" w:space="0" w:color="000000"/>
              <w:left w:val="nil"/>
              <w:bottom w:val="single" w:sz="6" w:space="0" w:color="000000"/>
              <w:right w:val="nil"/>
            </w:tcBorders>
            <w:shd w:val="clear" w:color="auto" w:fill="auto"/>
            <w:hideMark/>
          </w:tcPr>
          <w:p w14:paraId="63A7D2B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84C76A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27 </w:t>
            </w:r>
          </w:p>
          <w:p w14:paraId="68709DE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32 </w:t>
            </w:r>
          </w:p>
          <w:p w14:paraId="4366EB2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5E582C8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77B03BE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17 </w:t>
            </w:r>
          </w:p>
        </w:tc>
        <w:tc>
          <w:tcPr>
            <w:tcW w:w="795" w:type="dxa"/>
            <w:tcBorders>
              <w:top w:val="single" w:sz="6" w:space="0" w:color="000000"/>
              <w:left w:val="nil"/>
              <w:bottom w:val="single" w:sz="6" w:space="0" w:color="000000"/>
              <w:right w:val="nil"/>
            </w:tcBorders>
            <w:shd w:val="clear" w:color="auto" w:fill="auto"/>
            <w:hideMark/>
          </w:tcPr>
          <w:p w14:paraId="3EF82F5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23C1B0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29 </w:t>
            </w:r>
          </w:p>
          <w:p w14:paraId="66E6BFC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35 </w:t>
            </w:r>
          </w:p>
          <w:p w14:paraId="3D57168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5107CA2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32E2175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tc>
        <w:tc>
          <w:tcPr>
            <w:tcW w:w="795" w:type="dxa"/>
            <w:gridSpan w:val="2"/>
            <w:tcBorders>
              <w:top w:val="single" w:sz="6" w:space="0" w:color="000000"/>
              <w:left w:val="nil"/>
              <w:bottom w:val="single" w:sz="6" w:space="0" w:color="000000"/>
              <w:right w:val="nil"/>
            </w:tcBorders>
            <w:shd w:val="clear" w:color="auto" w:fill="auto"/>
            <w:hideMark/>
          </w:tcPr>
          <w:p w14:paraId="26A6967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FE7F52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62 </w:t>
            </w:r>
          </w:p>
          <w:p w14:paraId="60B3C3E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65 </w:t>
            </w:r>
          </w:p>
          <w:p w14:paraId="6B6FA21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35 </w:t>
            </w:r>
          </w:p>
          <w:p w14:paraId="34A9AA5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6BF893C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47 </w:t>
            </w:r>
          </w:p>
        </w:tc>
        <w:tc>
          <w:tcPr>
            <w:tcW w:w="795" w:type="dxa"/>
            <w:tcBorders>
              <w:top w:val="single" w:sz="6" w:space="0" w:color="000000"/>
              <w:left w:val="nil"/>
              <w:bottom w:val="single" w:sz="6" w:space="0" w:color="000000"/>
              <w:right w:val="nil"/>
            </w:tcBorders>
            <w:shd w:val="clear" w:color="auto" w:fill="auto"/>
            <w:hideMark/>
          </w:tcPr>
          <w:p w14:paraId="3A49769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F57FF5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29 </w:t>
            </w:r>
          </w:p>
          <w:p w14:paraId="5DEB56B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30 </w:t>
            </w:r>
          </w:p>
          <w:p w14:paraId="286A877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16 </w:t>
            </w:r>
          </w:p>
          <w:p w14:paraId="19DBCA0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1FE25AA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22 </w:t>
            </w:r>
          </w:p>
        </w:tc>
        <w:tc>
          <w:tcPr>
            <w:tcW w:w="795" w:type="dxa"/>
            <w:tcBorders>
              <w:top w:val="single" w:sz="6" w:space="0" w:color="000000"/>
              <w:left w:val="nil"/>
              <w:bottom w:val="single" w:sz="6" w:space="0" w:color="000000"/>
              <w:right w:val="nil"/>
            </w:tcBorders>
            <w:shd w:val="clear" w:color="auto" w:fill="auto"/>
            <w:hideMark/>
          </w:tcPr>
          <w:p w14:paraId="49BD09B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42AA92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92 </w:t>
            </w:r>
          </w:p>
          <w:p w14:paraId="23A7A6F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106 </w:t>
            </w:r>
          </w:p>
          <w:p w14:paraId="71BE1AB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49 </w:t>
            </w:r>
          </w:p>
          <w:p w14:paraId="2514B4E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p w14:paraId="266CDFA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74 </w:t>
            </w:r>
          </w:p>
        </w:tc>
        <w:tc>
          <w:tcPr>
            <w:tcW w:w="795" w:type="dxa"/>
            <w:tcBorders>
              <w:top w:val="single" w:sz="6" w:space="0" w:color="000000"/>
              <w:left w:val="nil"/>
              <w:bottom w:val="single" w:sz="6" w:space="0" w:color="000000"/>
              <w:right w:val="single" w:sz="6" w:space="0" w:color="000000"/>
            </w:tcBorders>
            <w:shd w:val="clear" w:color="auto" w:fill="auto"/>
            <w:hideMark/>
          </w:tcPr>
          <w:p w14:paraId="39CCEC6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596D48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27 </w:t>
            </w:r>
          </w:p>
          <w:p w14:paraId="066360F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31 </w:t>
            </w:r>
          </w:p>
          <w:p w14:paraId="2D8A854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14 </w:t>
            </w:r>
          </w:p>
          <w:p w14:paraId="362776B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2303263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22 </w:t>
            </w:r>
          </w:p>
        </w:tc>
      </w:tr>
      <w:tr w:rsidR="007D175D" w:rsidRPr="007D175D" w14:paraId="250E95B4" w14:textId="77777777">
        <w:trPr>
          <w:trHeight w:val="1290"/>
        </w:trPr>
        <w:tc>
          <w:tcPr>
            <w:tcW w:w="3285" w:type="dxa"/>
            <w:tcBorders>
              <w:top w:val="nil"/>
              <w:left w:val="single" w:sz="6" w:space="0" w:color="000000"/>
              <w:bottom w:val="nil"/>
              <w:right w:val="nil"/>
            </w:tcBorders>
            <w:shd w:val="clear" w:color="auto" w:fill="auto"/>
            <w:hideMark/>
          </w:tcPr>
          <w:p w14:paraId="493D56EB"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Informative (n=339) </w:t>
            </w:r>
          </w:p>
          <w:p w14:paraId="513C5B1F"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agree</w:t>
            </w:r>
            <w:r w:rsidRPr="007D175D">
              <w:rPr>
                <w:rFonts w:asciiTheme="minorHAnsi" w:hAnsiTheme="minorHAnsi" w:cstheme="minorHAnsi"/>
                <w:b/>
                <w:bCs/>
                <w:color w:val="000000"/>
                <w:sz w:val="18"/>
                <w:szCs w:val="18"/>
                <w:lang w:eastAsia="en-AU"/>
              </w:rPr>
              <w:t> </w:t>
            </w:r>
          </w:p>
          <w:p w14:paraId="1380A7BB"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agree</w:t>
            </w:r>
            <w:r w:rsidRPr="007D175D">
              <w:rPr>
                <w:rFonts w:asciiTheme="minorHAnsi" w:hAnsiTheme="minorHAnsi" w:cstheme="minorHAnsi"/>
                <w:b/>
                <w:bCs/>
                <w:color w:val="000000"/>
                <w:sz w:val="18"/>
                <w:szCs w:val="18"/>
                <w:lang w:eastAsia="en-AU"/>
              </w:rPr>
              <w:t> </w:t>
            </w:r>
          </w:p>
          <w:p w14:paraId="49AF60E3"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Neither agree nor disagree</w:t>
            </w:r>
            <w:r w:rsidRPr="007D175D">
              <w:rPr>
                <w:rFonts w:asciiTheme="minorHAnsi" w:hAnsiTheme="minorHAnsi" w:cstheme="minorHAnsi"/>
                <w:b/>
                <w:bCs/>
                <w:color w:val="000000"/>
                <w:sz w:val="18"/>
                <w:szCs w:val="18"/>
                <w:lang w:eastAsia="en-AU"/>
              </w:rPr>
              <w:t> </w:t>
            </w:r>
          </w:p>
          <w:p w14:paraId="6824C7E4"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disagree</w:t>
            </w:r>
            <w:r w:rsidRPr="007D175D">
              <w:rPr>
                <w:rFonts w:asciiTheme="minorHAnsi" w:hAnsiTheme="minorHAnsi" w:cstheme="minorHAnsi"/>
                <w:b/>
                <w:bCs/>
                <w:color w:val="000000"/>
                <w:sz w:val="18"/>
                <w:szCs w:val="18"/>
                <w:lang w:eastAsia="en-AU"/>
              </w:rPr>
              <w:t> </w:t>
            </w:r>
          </w:p>
          <w:p w14:paraId="66157774"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disagree</w:t>
            </w:r>
            <w:r w:rsidRPr="007D175D">
              <w:rPr>
                <w:rFonts w:asciiTheme="minorHAnsi" w:hAnsiTheme="minorHAnsi" w:cstheme="minorHAnsi"/>
                <w:b/>
                <w:bCs/>
                <w:color w:val="000000"/>
                <w:sz w:val="18"/>
                <w:szCs w:val="18"/>
                <w:lang w:eastAsia="en-AU"/>
              </w:rPr>
              <w:t> </w:t>
            </w:r>
          </w:p>
        </w:tc>
        <w:tc>
          <w:tcPr>
            <w:tcW w:w="795" w:type="dxa"/>
            <w:tcBorders>
              <w:top w:val="nil"/>
              <w:left w:val="nil"/>
              <w:bottom w:val="nil"/>
              <w:right w:val="nil"/>
            </w:tcBorders>
            <w:shd w:val="clear" w:color="auto" w:fill="auto"/>
            <w:hideMark/>
          </w:tcPr>
          <w:p w14:paraId="6094801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C03FD1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21 </w:t>
            </w:r>
          </w:p>
          <w:p w14:paraId="0010BD9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1D46DF3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42EF11A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68845F9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95" w:type="dxa"/>
            <w:tcBorders>
              <w:top w:val="nil"/>
              <w:left w:val="nil"/>
              <w:bottom w:val="nil"/>
              <w:right w:val="nil"/>
            </w:tcBorders>
            <w:shd w:val="clear" w:color="auto" w:fill="auto"/>
            <w:hideMark/>
          </w:tcPr>
          <w:p w14:paraId="3954521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2DD15B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70 </w:t>
            </w:r>
          </w:p>
          <w:p w14:paraId="2696E88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23 </w:t>
            </w:r>
          </w:p>
          <w:p w14:paraId="0663047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1FAF346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1F793D5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95" w:type="dxa"/>
            <w:gridSpan w:val="2"/>
            <w:tcBorders>
              <w:top w:val="nil"/>
              <w:left w:val="nil"/>
              <w:bottom w:val="nil"/>
              <w:right w:val="nil"/>
            </w:tcBorders>
            <w:shd w:val="clear" w:color="auto" w:fill="auto"/>
            <w:hideMark/>
          </w:tcPr>
          <w:p w14:paraId="0932ECC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1B159C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41 </w:t>
            </w:r>
          </w:p>
          <w:p w14:paraId="0BCE84A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37 </w:t>
            </w:r>
          </w:p>
          <w:p w14:paraId="0CC3041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12 </w:t>
            </w:r>
          </w:p>
          <w:p w14:paraId="307F8FA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28B7C16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95" w:type="dxa"/>
            <w:tcBorders>
              <w:top w:val="nil"/>
              <w:left w:val="nil"/>
              <w:bottom w:val="nil"/>
              <w:right w:val="nil"/>
            </w:tcBorders>
            <w:shd w:val="clear" w:color="auto" w:fill="auto"/>
            <w:hideMark/>
          </w:tcPr>
          <w:p w14:paraId="2C848D4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42BA67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45 </w:t>
            </w:r>
          </w:p>
          <w:p w14:paraId="499F0C3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40 </w:t>
            </w:r>
          </w:p>
          <w:p w14:paraId="75A5395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5E953C0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1E2DDEB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95" w:type="dxa"/>
            <w:gridSpan w:val="2"/>
            <w:tcBorders>
              <w:top w:val="nil"/>
              <w:left w:val="nil"/>
              <w:bottom w:val="nil"/>
              <w:right w:val="nil"/>
            </w:tcBorders>
            <w:shd w:val="clear" w:color="auto" w:fill="auto"/>
            <w:hideMark/>
          </w:tcPr>
          <w:p w14:paraId="60C524E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626CF9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133 </w:t>
            </w:r>
          </w:p>
          <w:p w14:paraId="19F6F43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76 </w:t>
            </w:r>
          </w:p>
          <w:p w14:paraId="32033DA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416092B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30EA7EE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795" w:type="dxa"/>
            <w:tcBorders>
              <w:top w:val="nil"/>
              <w:left w:val="nil"/>
              <w:bottom w:val="nil"/>
              <w:right w:val="nil"/>
            </w:tcBorders>
            <w:shd w:val="clear" w:color="auto" w:fill="auto"/>
            <w:hideMark/>
          </w:tcPr>
          <w:p w14:paraId="2F12613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F2969C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61 </w:t>
            </w:r>
          </w:p>
          <w:p w14:paraId="22CAEFF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35 </w:t>
            </w:r>
          </w:p>
          <w:p w14:paraId="5E64FBC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631CA0D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5C5443B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95" w:type="dxa"/>
            <w:tcBorders>
              <w:top w:val="nil"/>
              <w:left w:val="nil"/>
              <w:bottom w:val="nil"/>
              <w:right w:val="nil"/>
            </w:tcBorders>
            <w:shd w:val="clear" w:color="auto" w:fill="auto"/>
            <w:hideMark/>
          </w:tcPr>
          <w:p w14:paraId="27B74A0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D9FDA5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195 </w:t>
            </w:r>
          </w:p>
          <w:p w14:paraId="38890A3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120 </w:t>
            </w:r>
          </w:p>
          <w:p w14:paraId="7C5A819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p w14:paraId="3729E62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5D703D4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795" w:type="dxa"/>
            <w:tcBorders>
              <w:top w:val="nil"/>
              <w:left w:val="nil"/>
              <w:bottom w:val="nil"/>
              <w:right w:val="single" w:sz="6" w:space="0" w:color="000000"/>
            </w:tcBorders>
            <w:shd w:val="clear" w:color="auto" w:fill="auto"/>
            <w:hideMark/>
          </w:tcPr>
          <w:p w14:paraId="35EB294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99B5EE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58 </w:t>
            </w:r>
          </w:p>
          <w:p w14:paraId="7893F8F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35 </w:t>
            </w:r>
          </w:p>
          <w:p w14:paraId="5FC3E98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79E30EB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16B7D26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r>
      <w:tr w:rsidR="007D175D" w:rsidRPr="007D175D" w14:paraId="080F7C7A" w14:textId="77777777">
        <w:trPr>
          <w:trHeight w:val="1215"/>
        </w:trPr>
        <w:tc>
          <w:tcPr>
            <w:tcW w:w="3285" w:type="dxa"/>
            <w:tcBorders>
              <w:top w:val="single" w:sz="6" w:space="0" w:color="000000"/>
              <w:left w:val="single" w:sz="6" w:space="0" w:color="000000"/>
              <w:bottom w:val="single" w:sz="6" w:space="0" w:color="000000"/>
              <w:right w:val="nil"/>
            </w:tcBorders>
            <w:shd w:val="clear" w:color="auto" w:fill="auto"/>
            <w:hideMark/>
          </w:tcPr>
          <w:p w14:paraId="3B91D24A"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Relevant (n=339) </w:t>
            </w:r>
          </w:p>
          <w:p w14:paraId="643D27B0"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agree</w:t>
            </w:r>
            <w:r w:rsidRPr="007D175D">
              <w:rPr>
                <w:rFonts w:asciiTheme="minorHAnsi" w:hAnsiTheme="minorHAnsi" w:cstheme="minorHAnsi"/>
                <w:b/>
                <w:bCs/>
                <w:color w:val="000000"/>
                <w:sz w:val="18"/>
                <w:szCs w:val="18"/>
                <w:lang w:eastAsia="en-AU"/>
              </w:rPr>
              <w:t> </w:t>
            </w:r>
          </w:p>
          <w:p w14:paraId="19287DBB"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agree</w:t>
            </w:r>
            <w:r w:rsidRPr="007D175D">
              <w:rPr>
                <w:rFonts w:asciiTheme="minorHAnsi" w:hAnsiTheme="minorHAnsi" w:cstheme="minorHAnsi"/>
                <w:b/>
                <w:bCs/>
                <w:color w:val="000000"/>
                <w:sz w:val="18"/>
                <w:szCs w:val="18"/>
                <w:lang w:eastAsia="en-AU"/>
              </w:rPr>
              <w:t> </w:t>
            </w:r>
          </w:p>
          <w:p w14:paraId="416C2CE6"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Neither agree nor disagree</w:t>
            </w:r>
            <w:r w:rsidRPr="007D175D">
              <w:rPr>
                <w:rFonts w:asciiTheme="minorHAnsi" w:hAnsiTheme="minorHAnsi" w:cstheme="minorHAnsi"/>
                <w:b/>
                <w:bCs/>
                <w:color w:val="000000"/>
                <w:sz w:val="18"/>
                <w:szCs w:val="18"/>
                <w:lang w:eastAsia="en-AU"/>
              </w:rPr>
              <w:t> </w:t>
            </w:r>
          </w:p>
          <w:p w14:paraId="6E0355B5"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disagree</w:t>
            </w:r>
            <w:r w:rsidRPr="007D175D">
              <w:rPr>
                <w:rFonts w:asciiTheme="minorHAnsi" w:hAnsiTheme="minorHAnsi" w:cstheme="minorHAnsi"/>
                <w:b/>
                <w:bCs/>
                <w:color w:val="000000"/>
                <w:sz w:val="18"/>
                <w:szCs w:val="18"/>
                <w:lang w:eastAsia="en-AU"/>
              </w:rPr>
              <w:t> </w:t>
            </w:r>
          </w:p>
          <w:p w14:paraId="10FBFF03"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disagree</w:t>
            </w:r>
            <w:r w:rsidRPr="007D175D">
              <w:rPr>
                <w:rFonts w:asciiTheme="minorHAnsi" w:hAnsiTheme="minorHAnsi" w:cstheme="minorHAnsi"/>
                <w:b/>
                <w:bCs/>
                <w:color w:val="000000"/>
                <w:sz w:val="18"/>
                <w:szCs w:val="18"/>
                <w:lang w:eastAsia="en-AU"/>
              </w:rPr>
              <w:t> </w:t>
            </w:r>
          </w:p>
        </w:tc>
        <w:tc>
          <w:tcPr>
            <w:tcW w:w="795" w:type="dxa"/>
            <w:tcBorders>
              <w:top w:val="single" w:sz="6" w:space="0" w:color="000000"/>
              <w:left w:val="nil"/>
              <w:bottom w:val="single" w:sz="6" w:space="0" w:color="000000"/>
              <w:right w:val="nil"/>
            </w:tcBorders>
            <w:shd w:val="clear" w:color="auto" w:fill="auto"/>
            <w:hideMark/>
          </w:tcPr>
          <w:p w14:paraId="2E72CC1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50D4CF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15 </w:t>
            </w:r>
          </w:p>
          <w:p w14:paraId="6A4DED0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4A8A1A5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2F20CFA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18C9EF1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95" w:type="dxa"/>
            <w:tcBorders>
              <w:top w:val="single" w:sz="6" w:space="0" w:color="000000"/>
              <w:left w:val="nil"/>
              <w:bottom w:val="single" w:sz="6" w:space="0" w:color="000000"/>
              <w:right w:val="nil"/>
            </w:tcBorders>
            <w:shd w:val="clear" w:color="auto" w:fill="auto"/>
            <w:hideMark/>
          </w:tcPr>
          <w:p w14:paraId="15E50CA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F236CB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50 </w:t>
            </w:r>
          </w:p>
          <w:p w14:paraId="5D0D65B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43 </w:t>
            </w:r>
          </w:p>
          <w:p w14:paraId="660500A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68F66C8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50ADF51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95" w:type="dxa"/>
            <w:gridSpan w:val="2"/>
            <w:tcBorders>
              <w:top w:val="single" w:sz="6" w:space="0" w:color="000000"/>
              <w:left w:val="nil"/>
              <w:bottom w:val="single" w:sz="6" w:space="0" w:color="000000"/>
              <w:right w:val="nil"/>
            </w:tcBorders>
            <w:shd w:val="clear" w:color="auto" w:fill="auto"/>
            <w:hideMark/>
          </w:tcPr>
          <w:p w14:paraId="3CA07E3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416344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47 </w:t>
            </w:r>
          </w:p>
          <w:p w14:paraId="12DF97A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24 </w:t>
            </w:r>
          </w:p>
          <w:p w14:paraId="26C8B24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7C6B85B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43F57AF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95" w:type="dxa"/>
            <w:tcBorders>
              <w:top w:val="single" w:sz="6" w:space="0" w:color="000000"/>
              <w:left w:val="nil"/>
              <w:bottom w:val="single" w:sz="6" w:space="0" w:color="000000"/>
              <w:right w:val="nil"/>
            </w:tcBorders>
            <w:shd w:val="clear" w:color="auto" w:fill="auto"/>
            <w:hideMark/>
          </w:tcPr>
          <w:p w14:paraId="3B7C676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E986B7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51 </w:t>
            </w:r>
          </w:p>
          <w:p w14:paraId="285F3D7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26 </w:t>
            </w:r>
          </w:p>
          <w:p w14:paraId="68C5255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14 </w:t>
            </w:r>
          </w:p>
          <w:p w14:paraId="6E3750A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5B1DF7C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95" w:type="dxa"/>
            <w:gridSpan w:val="2"/>
            <w:tcBorders>
              <w:top w:val="single" w:sz="6" w:space="0" w:color="000000"/>
              <w:left w:val="nil"/>
              <w:bottom w:val="single" w:sz="6" w:space="0" w:color="000000"/>
              <w:right w:val="nil"/>
            </w:tcBorders>
            <w:shd w:val="clear" w:color="auto" w:fill="auto"/>
            <w:hideMark/>
          </w:tcPr>
          <w:p w14:paraId="27B7505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E927C5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122 </w:t>
            </w:r>
          </w:p>
          <w:p w14:paraId="14B8E1C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72 </w:t>
            </w:r>
          </w:p>
          <w:p w14:paraId="13BB91A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12 </w:t>
            </w:r>
          </w:p>
          <w:p w14:paraId="1DCE6F4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138FF3E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tc>
        <w:tc>
          <w:tcPr>
            <w:tcW w:w="795" w:type="dxa"/>
            <w:tcBorders>
              <w:top w:val="single" w:sz="6" w:space="0" w:color="000000"/>
              <w:left w:val="nil"/>
              <w:bottom w:val="single" w:sz="6" w:space="0" w:color="000000"/>
              <w:right w:val="nil"/>
            </w:tcBorders>
            <w:shd w:val="clear" w:color="auto" w:fill="auto"/>
            <w:hideMark/>
          </w:tcPr>
          <w:p w14:paraId="148D8B9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531C89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56 </w:t>
            </w:r>
          </w:p>
          <w:p w14:paraId="31E86E4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33 </w:t>
            </w:r>
          </w:p>
          <w:p w14:paraId="3CDB0FC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3AF82BE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5DB990D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c>
          <w:tcPr>
            <w:tcW w:w="795" w:type="dxa"/>
            <w:tcBorders>
              <w:top w:val="single" w:sz="6" w:space="0" w:color="000000"/>
              <w:left w:val="nil"/>
              <w:bottom w:val="single" w:sz="6" w:space="0" w:color="000000"/>
              <w:right w:val="nil"/>
            </w:tcBorders>
            <w:shd w:val="clear" w:color="auto" w:fill="auto"/>
            <w:hideMark/>
          </w:tcPr>
          <w:p w14:paraId="32F56F7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CC2751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184 </w:t>
            </w:r>
          </w:p>
          <w:p w14:paraId="1B1297B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109 </w:t>
            </w:r>
          </w:p>
          <w:p w14:paraId="3352652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26 </w:t>
            </w:r>
          </w:p>
          <w:p w14:paraId="7B003D3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14 </w:t>
            </w:r>
          </w:p>
          <w:p w14:paraId="53389CC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tc>
        <w:tc>
          <w:tcPr>
            <w:tcW w:w="795" w:type="dxa"/>
            <w:tcBorders>
              <w:top w:val="single" w:sz="6" w:space="0" w:color="000000"/>
              <w:left w:val="nil"/>
              <w:bottom w:val="single" w:sz="6" w:space="0" w:color="000000"/>
              <w:right w:val="single" w:sz="6" w:space="0" w:color="000000"/>
            </w:tcBorders>
            <w:shd w:val="clear" w:color="auto" w:fill="auto"/>
            <w:hideMark/>
          </w:tcPr>
          <w:p w14:paraId="3DE4453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93FC8D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54 </w:t>
            </w:r>
          </w:p>
          <w:p w14:paraId="1F0897A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32 </w:t>
            </w:r>
          </w:p>
          <w:p w14:paraId="27ADC5E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508DA3D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64D2DA5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r>
      <w:tr w:rsidR="007D175D" w:rsidRPr="007D175D" w14:paraId="63261DF6" w14:textId="77777777">
        <w:trPr>
          <w:trHeight w:val="1305"/>
        </w:trPr>
        <w:tc>
          <w:tcPr>
            <w:tcW w:w="3285" w:type="dxa"/>
            <w:tcBorders>
              <w:top w:val="nil"/>
              <w:left w:val="single" w:sz="6" w:space="0" w:color="000000"/>
              <w:bottom w:val="nil"/>
              <w:right w:val="nil"/>
            </w:tcBorders>
            <w:shd w:val="clear" w:color="auto" w:fill="auto"/>
            <w:hideMark/>
          </w:tcPr>
          <w:p w14:paraId="5526F643"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Made to think (n=339) </w:t>
            </w:r>
          </w:p>
          <w:p w14:paraId="52C24D0B"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agree</w:t>
            </w:r>
            <w:r w:rsidRPr="007D175D">
              <w:rPr>
                <w:rFonts w:asciiTheme="minorHAnsi" w:hAnsiTheme="minorHAnsi" w:cstheme="minorHAnsi"/>
                <w:b/>
                <w:bCs/>
                <w:color w:val="000000"/>
                <w:sz w:val="18"/>
                <w:szCs w:val="18"/>
                <w:lang w:eastAsia="en-AU"/>
              </w:rPr>
              <w:t> </w:t>
            </w:r>
          </w:p>
          <w:p w14:paraId="03127DA2"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agree</w:t>
            </w:r>
            <w:r w:rsidRPr="007D175D">
              <w:rPr>
                <w:rFonts w:asciiTheme="minorHAnsi" w:hAnsiTheme="minorHAnsi" w:cstheme="minorHAnsi"/>
                <w:b/>
                <w:bCs/>
                <w:color w:val="000000"/>
                <w:sz w:val="18"/>
                <w:szCs w:val="18"/>
                <w:lang w:eastAsia="en-AU"/>
              </w:rPr>
              <w:t> </w:t>
            </w:r>
          </w:p>
          <w:p w14:paraId="776A7322"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Neither agree nor disagree</w:t>
            </w:r>
            <w:r w:rsidRPr="007D175D">
              <w:rPr>
                <w:rFonts w:asciiTheme="minorHAnsi" w:hAnsiTheme="minorHAnsi" w:cstheme="minorHAnsi"/>
                <w:b/>
                <w:bCs/>
                <w:color w:val="000000"/>
                <w:sz w:val="18"/>
                <w:szCs w:val="18"/>
                <w:lang w:eastAsia="en-AU"/>
              </w:rPr>
              <w:t> </w:t>
            </w:r>
          </w:p>
          <w:p w14:paraId="49CFE3E7"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disagree</w:t>
            </w:r>
            <w:r w:rsidRPr="007D175D">
              <w:rPr>
                <w:rFonts w:asciiTheme="minorHAnsi" w:hAnsiTheme="minorHAnsi" w:cstheme="minorHAnsi"/>
                <w:b/>
                <w:bCs/>
                <w:color w:val="000000"/>
                <w:sz w:val="18"/>
                <w:szCs w:val="18"/>
                <w:lang w:eastAsia="en-AU"/>
              </w:rPr>
              <w:t> </w:t>
            </w:r>
          </w:p>
          <w:p w14:paraId="4766EBC2"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disagree</w:t>
            </w:r>
            <w:r w:rsidRPr="007D175D">
              <w:rPr>
                <w:rFonts w:asciiTheme="minorHAnsi" w:hAnsiTheme="minorHAnsi" w:cstheme="minorHAnsi"/>
                <w:b/>
                <w:bCs/>
                <w:color w:val="000000"/>
                <w:sz w:val="18"/>
                <w:szCs w:val="18"/>
                <w:lang w:eastAsia="en-AU"/>
              </w:rPr>
              <w:t> </w:t>
            </w:r>
          </w:p>
        </w:tc>
        <w:tc>
          <w:tcPr>
            <w:tcW w:w="795" w:type="dxa"/>
            <w:tcBorders>
              <w:top w:val="nil"/>
              <w:left w:val="nil"/>
              <w:bottom w:val="nil"/>
              <w:right w:val="nil"/>
            </w:tcBorders>
            <w:shd w:val="clear" w:color="auto" w:fill="auto"/>
            <w:hideMark/>
          </w:tcPr>
          <w:p w14:paraId="526F5F52"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15A8B19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17 </w:t>
            </w:r>
          </w:p>
          <w:p w14:paraId="03B0ED4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358BA25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48DF025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2E69F30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95" w:type="dxa"/>
            <w:tcBorders>
              <w:top w:val="nil"/>
              <w:left w:val="nil"/>
              <w:bottom w:val="nil"/>
              <w:right w:val="nil"/>
            </w:tcBorders>
            <w:shd w:val="clear" w:color="auto" w:fill="auto"/>
            <w:hideMark/>
          </w:tcPr>
          <w:p w14:paraId="319C9C66"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6028B48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57 </w:t>
            </w:r>
          </w:p>
          <w:p w14:paraId="14A2266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33 </w:t>
            </w:r>
          </w:p>
          <w:p w14:paraId="2BA7762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526CE6B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36DB38C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95" w:type="dxa"/>
            <w:gridSpan w:val="2"/>
            <w:tcBorders>
              <w:top w:val="nil"/>
              <w:left w:val="nil"/>
              <w:bottom w:val="nil"/>
              <w:right w:val="nil"/>
            </w:tcBorders>
            <w:shd w:val="clear" w:color="auto" w:fill="auto"/>
            <w:hideMark/>
          </w:tcPr>
          <w:p w14:paraId="131DABF2"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745A163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47 </w:t>
            </w:r>
          </w:p>
          <w:p w14:paraId="3F140C4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32 </w:t>
            </w:r>
          </w:p>
          <w:p w14:paraId="7F27219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1B412B2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2E2123C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795" w:type="dxa"/>
            <w:tcBorders>
              <w:top w:val="nil"/>
              <w:left w:val="nil"/>
              <w:bottom w:val="nil"/>
              <w:right w:val="nil"/>
            </w:tcBorders>
            <w:shd w:val="clear" w:color="auto" w:fill="auto"/>
            <w:hideMark/>
          </w:tcPr>
          <w:p w14:paraId="48655983"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7327CB7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51 </w:t>
            </w:r>
          </w:p>
          <w:p w14:paraId="58B6262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35 </w:t>
            </w:r>
          </w:p>
          <w:p w14:paraId="5EE31C7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49C7905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07FA342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795" w:type="dxa"/>
            <w:gridSpan w:val="2"/>
            <w:tcBorders>
              <w:top w:val="nil"/>
              <w:left w:val="nil"/>
              <w:bottom w:val="nil"/>
              <w:right w:val="nil"/>
            </w:tcBorders>
            <w:shd w:val="clear" w:color="auto" w:fill="auto"/>
            <w:hideMark/>
          </w:tcPr>
          <w:p w14:paraId="24AF7304"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79DC38C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124 </w:t>
            </w:r>
          </w:p>
          <w:p w14:paraId="107BA38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77 </w:t>
            </w:r>
          </w:p>
          <w:p w14:paraId="723C6B1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12E572C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0770137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c>
          <w:tcPr>
            <w:tcW w:w="795" w:type="dxa"/>
            <w:tcBorders>
              <w:top w:val="nil"/>
              <w:left w:val="nil"/>
              <w:bottom w:val="nil"/>
              <w:right w:val="nil"/>
            </w:tcBorders>
            <w:shd w:val="clear" w:color="auto" w:fill="auto"/>
            <w:hideMark/>
          </w:tcPr>
          <w:p w14:paraId="71A82674"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5AD8290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57 </w:t>
            </w:r>
          </w:p>
          <w:p w14:paraId="31A9BE6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35 </w:t>
            </w:r>
          </w:p>
          <w:p w14:paraId="57F9D08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25C2A35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37010C9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795" w:type="dxa"/>
            <w:tcBorders>
              <w:top w:val="nil"/>
              <w:left w:val="nil"/>
              <w:bottom w:val="nil"/>
              <w:right w:val="nil"/>
            </w:tcBorders>
            <w:shd w:val="clear" w:color="auto" w:fill="auto"/>
            <w:hideMark/>
          </w:tcPr>
          <w:p w14:paraId="3E4C9103"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1A63F49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188 </w:t>
            </w:r>
          </w:p>
          <w:p w14:paraId="07ABDA5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119 </w:t>
            </w:r>
          </w:p>
          <w:p w14:paraId="66E3208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21 </w:t>
            </w:r>
          </w:p>
          <w:p w14:paraId="3262CED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13A660C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tc>
        <w:tc>
          <w:tcPr>
            <w:tcW w:w="795" w:type="dxa"/>
            <w:tcBorders>
              <w:top w:val="nil"/>
              <w:left w:val="nil"/>
              <w:bottom w:val="nil"/>
              <w:right w:val="single" w:sz="6" w:space="0" w:color="000000"/>
            </w:tcBorders>
            <w:shd w:val="clear" w:color="auto" w:fill="auto"/>
            <w:hideMark/>
          </w:tcPr>
          <w:p w14:paraId="70DC8FFB"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588C858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55 </w:t>
            </w:r>
          </w:p>
          <w:p w14:paraId="21EB2A8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35 </w:t>
            </w:r>
          </w:p>
          <w:p w14:paraId="55CBC73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05A5CBE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448CA86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r>
      <w:tr w:rsidR="007D175D" w:rsidRPr="007D175D" w14:paraId="5B849F2A" w14:textId="77777777">
        <w:trPr>
          <w:trHeight w:val="1245"/>
        </w:trPr>
        <w:tc>
          <w:tcPr>
            <w:tcW w:w="3285" w:type="dxa"/>
            <w:tcBorders>
              <w:top w:val="single" w:sz="6" w:space="0" w:color="000000"/>
              <w:left w:val="single" w:sz="6" w:space="0" w:color="000000"/>
              <w:bottom w:val="single" w:sz="6" w:space="0" w:color="000000"/>
              <w:right w:val="nil"/>
            </w:tcBorders>
            <w:shd w:val="clear" w:color="auto" w:fill="auto"/>
            <w:hideMark/>
          </w:tcPr>
          <w:p w14:paraId="48584154"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Taught new strategies (n=339) </w:t>
            </w:r>
          </w:p>
          <w:p w14:paraId="7CCF20FC"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agree</w:t>
            </w:r>
            <w:r w:rsidRPr="007D175D">
              <w:rPr>
                <w:rFonts w:asciiTheme="minorHAnsi" w:hAnsiTheme="minorHAnsi" w:cstheme="minorHAnsi"/>
                <w:b/>
                <w:bCs/>
                <w:color w:val="000000"/>
                <w:sz w:val="18"/>
                <w:szCs w:val="18"/>
                <w:lang w:eastAsia="en-AU"/>
              </w:rPr>
              <w:t> </w:t>
            </w:r>
          </w:p>
          <w:p w14:paraId="31314BD9"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agree</w:t>
            </w:r>
            <w:r w:rsidRPr="007D175D">
              <w:rPr>
                <w:rFonts w:asciiTheme="minorHAnsi" w:hAnsiTheme="minorHAnsi" w:cstheme="minorHAnsi"/>
                <w:b/>
                <w:bCs/>
                <w:color w:val="000000"/>
                <w:sz w:val="18"/>
                <w:szCs w:val="18"/>
                <w:lang w:eastAsia="en-AU"/>
              </w:rPr>
              <w:t> </w:t>
            </w:r>
          </w:p>
          <w:p w14:paraId="4B3797AD"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Neither agree nor disagree</w:t>
            </w:r>
            <w:r w:rsidRPr="007D175D">
              <w:rPr>
                <w:rFonts w:asciiTheme="minorHAnsi" w:hAnsiTheme="minorHAnsi" w:cstheme="minorHAnsi"/>
                <w:b/>
                <w:bCs/>
                <w:color w:val="000000"/>
                <w:sz w:val="18"/>
                <w:szCs w:val="18"/>
                <w:lang w:eastAsia="en-AU"/>
              </w:rPr>
              <w:t> </w:t>
            </w:r>
          </w:p>
          <w:p w14:paraId="2EC2AB81"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disagree</w:t>
            </w:r>
            <w:r w:rsidRPr="007D175D">
              <w:rPr>
                <w:rFonts w:asciiTheme="minorHAnsi" w:hAnsiTheme="minorHAnsi" w:cstheme="minorHAnsi"/>
                <w:b/>
                <w:bCs/>
                <w:color w:val="000000"/>
                <w:sz w:val="18"/>
                <w:szCs w:val="18"/>
                <w:lang w:eastAsia="en-AU"/>
              </w:rPr>
              <w:t> </w:t>
            </w:r>
          </w:p>
          <w:p w14:paraId="7D3A3DAA"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disagree</w:t>
            </w:r>
            <w:r w:rsidRPr="007D175D">
              <w:rPr>
                <w:rFonts w:asciiTheme="minorHAnsi" w:hAnsiTheme="minorHAnsi" w:cstheme="minorHAnsi"/>
                <w:b/>
                <w:bCs/>
                <w:color w:val="000000"/>
                <w:sz w:val="18"/>
                <w:szCs w:val="18"/>
                <w:lang w:eastAsia="en-AU"/>
              </w:rPr>
              <w:t> </w:t>
            </w:r>
          </w:p>
        </w:tc>
        <w:tc>
          <w:tcPr>
            <w:tcW w:w="795" w:type="dxa"/>
            <w:tcBorders>
              <w:top w:val="single" w:sz="6" w:space="0" w:color="000000"/>
              <w:left w:val="nil"/>
              <w:bottom w:val="single" w:sz="6" w:space="0" w:color="000000"/>
              <w:right w:val="nil"/>
            </w:tcBorders>
            <w:shd w:val="clear" w:color="auto" w:fill="auto"/>
            <w:hideMark/>
          </w:tcPr>
          <w:p w14:paraId="3E5C9FB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268EE9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17 </w:t>
            </w:r>
          </w:p>
          <w:p w14:paraId="0E9654B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383D21B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1C423DA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3444B61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95" w:type="dxa"/>
            <w:tcBorders>
              <w:top w:val="single" w:sz="6" w:space="0" w:color="000000"/>
              <w:left w:val="nil"/>
              <w:bottom w:val="single" w:sz="6" w:space="0" w:color="000000"/>
              <w:right w:val="nil"/>
            </w:tcBorders>
            <w:shd w:val="clear" w:color="auto" w:fill="auto"/>
            <w:hideMark/>
          </w:tcPr>
          <w:p w14:paraId="4B09881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7B5982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57 </w:t>
            </w:r>
          </w:p>
          <w:p w14:paraId="1C9A7E1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27 </w:t>
            </w:r>
          </w:p>
          <w:p w14:paraId="6DE4DAA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7FA41FE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566839B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95" w:type="dxa"/>
            <w:gridSpan w:val="2"/>
            <w:tcBorders>
              <w:top w:val="single" w:sz="6" w:space="0" w:color="000000"/>
              <w:left w:val="nil"/>
              <w:bottom w:val="single" w:sz="6" w:space="0" w:color="000000"/>
              <w:right w:val="nil"/>
            </w:tcBorders>
            <w:shd w:val="clear" w:color="auto" w:fill="auto"/>
            <w:hideMark/>
          </w:tcPr>
          <w:p w14:paraId="777B94E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B0D015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43 </w:t>
            </w:r>
          </w:p>
          <w:p w14:paraId="1CF95E1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30 </w:t>
            </w:r>
          </w:p>
          <w:p w14:paraId="259C73E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14 </w:t>
            </w:r>
          </w:p>
          <w:p w14:paraId="7E161D1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31669E2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95" w:type="dxa"/>
            <w:tcBorders>
              <w:top w:val="single" w:sz="6" w:space="0" w:color="000000"/>
              <w:left w:val="nil"/>
              <w:bottom w:val="single" w:sz="6" w:space="0" w:color="000000"/>
              <w:right w:val="nil"/>
            </w:tcBorders>
            <w:shd w:val="clear" w:color="auto" w:fill="auto"/>
            <w:hideMark/>
          </w:tcPr>
          <w:p w14:paraId="48CCEFE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91BD57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47 </w:t>
            </w:r>
          </w:p>
          <w:p w14:paraId="3BDA308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33 </w:t>
            </w:r>
          </w:p>
          <w:p w14:paraId="3C85226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15 </w:t>
            </w:r>
          </w:p>
          <w:p w14:paraId="5A84D3E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34C3327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95" w:type="dxa"/>
            <w:gridSpan w:val="2"/>
            <w:tcBorders>
              <w:top w:val="single" w:sz="6" w:space="0" w:color="000000"/>
              <w:left w:val="nil"/>
              <w:bottom w:val="single" w:sz="6" w:space="0" w:color="000000"/>
              <w:right w:val="nil"/>
            </w:tcBorders>
            <w:shd w:val="clear" w:color="auto" w:fill="auto"/>
            <w:hideMark/>
          </w:tcPr>
          <w:p w14:paraId="3F74EE3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3E41AD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120 </w:t>
            </w:r>
          </w:p>
          <w:p w14:paraId="60E64F9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75 </w:t>
            </w:r>
          </w:p>
          <w:p w14:paraId="7E8766F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14 </w:t>
            </w:r>
          </w:p>
          <w:p w14:paraId="2B86AE4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68D9E1B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tc>
        <w:tc>
          <w:tcPr>
            <w:tcW w:w="795" w:type="dxa"/>
            <w:tcBorders>
              <w:top w:val="single" w:sz="6" w:space="0" w:color="000000"/>
              <w:left w:val="nil"/>
              <w:bottom w:val="single" w:sz="6" w:space="0" w:color="000000"/>
              <w:right w:val="nil"/>
            </w:tcBorders>
            <w:shd w:val="clear" w:color="auto" w:fill="auto"/>
            <w:hideMark/>
          </w:tcPr>
          <w:p w14:paraId="09B6161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979F83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55 </w:t>
            </w:r>
          </w:p>
          <w:p w14:paraId="47347F5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35 </w:t>
            </w:r>
          </w:p>
          <w:p w14:paraId="440533B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169F00C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6CECA1D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c>
          <w:tcPr>
            <w:tcW w:w="795" w:type="dxa"/>
            <w:tcBorders>
              <w:top w:val="single" w:sz="6" w:space="0" w:color="000000"/>
              <w:left w:val="nil"/>
              <w:bottom w:val="single" w:sz="6" w:space="0" w:color="000000"/>
              <w:right w:val="nil"/>
            </w:tcBorders>
            <w:shd w:val="clear" w:color="auto" w:fill="auto"/>
            <w:hideMark/>
          </w:tcPr>
          <w:p w14:paraId="4D0971A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E59BE2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180 </w:t>
            </w:r>
          </w:p>
          <w:p w14:paraId="53E0B7A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113 </w:t>
            </w:r>
          </w:p>
          <w:p w14:paraId="6EF1973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31 </w:t>
            </w:r>
          </w:p>
          <w:p w14:paraId="45422EB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1707A68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tc>
        <w:tc>
          <w:tcPr>
            <w:tcW w:w="795" w:type="dxa"/>
            <w:tcBorders>
              <w:top w:val="single" w:sz="6" w:space="0" w:color="000000"/>
              <w:left w:val="nil"/>
              <w:bottom w:val="single" w:sz="6" w:space="0" w:color="000000"/>
              <w:right w:val="single" w:sz="6" w:space="0" w:color="000000"/>
            </w:tcBorders>
            <w:shd w:val="clear" w:color="auto" w:fill="auto"/>
            <w:hideMark/>
          </w:tcPr>
          <w:p w14:paraId="1B8D81A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EB2FAD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53 </w:t>
            </w:r>
          </w:p>
          <w:p w14:paraId="534E05E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33 </w:t>
            </w:r>
          </w:p>
          <w:p w14:paraId="7344B20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2D6D905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5F47AB5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r>
      <w:tr w:rsidR="007D175D" w:rsidRPr="007D175D" w14:paraId="53030389" w14:textId="77777777">
        <w:trPr>
          <w:trHeight w:val="1320"/>
        </w:trPr>
        <w:tc>
          <w:tcPr>
            <w:tcW w:w="3285" w:type="dxa"/>
            <w:tcBorders>
              <w:top w:val="nil"/>
              <w:left w:val="single" w:sz="6" w:space="0" w:color="000000"/>
              <w:bottom w:val="nil"/>
              <w:right w:val="nil"/>
            </w:tcBorders>
            <w:shd w:val="clear" w:color="auto" w:fill="auto"/>
            <w:hideMark/>
          </w:tcPr>
          <w:p w14:paraId="09DAEC72"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Easy to understand (n=339) </w:t>
            </w:r>
          </w:p>
          <w:p w14:paraId="2EAD9141"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agree</w:t>
            </w:r>
            <w:r w:rsidRPr="007D175D">
              <w:rPr>
                <w:rFonts w:asciiTheme="minorHAnsi" w:hAnsiTheme="minorHAnsi" w:cstheme="minorHAnsi"/>
                <w:b/>
                <w:bCs/>
                <w:color w:val="000000"/>
                <w:sz w:val="18"/>
                <w:szCs w:val="18"/>
                <w:lang w:eastAsia="en-AU"/>
              </w:rPr>
              <w:t> </w:t>
            </w:r>
          </w:p>
          <w:p w14:paraId="53AA3B29"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agree</w:t>
            </w:r>
            <w:r w:rsidRPr="007D175D">
              <w:rPr>
                <w:rFonts w:asciiTheme="minorHAnsi" w:hAnsiTheme="minorHAnsi" w:cstheme="minorHAnsi"/>
                <w:b/>
                <w:bCs/>
                <w:color w:val="000000"/>
                <w:sz w:val="18"/>
                <w:szCs w:val="18"/>
                <w:lang w:eastAsia="en-AU"/>
              </w:rPr>
              <w:t> </w:t>
            </w:r>
          </w:p>
          <w:p w14:paraId="44AC77D9"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Neither agree nor disagree</w:t>
            </w:r>
            <w:r w:rsidRPr="007D175D">
              <w:rPr>
                <w:rFonts w:asciiTheme="minorHAnsi" w:hAnsiTheme="minorHAnsi" w:cstheme="minorHAnsi"/>
                <w:b/>
                <w:bCs/>
                <w:color w:val="000000"/>
                <w:sz w:val="18"/>
                <w:szCs w:val="18"/>
                <w:lang w:eastAsia="en-AU"/>
              </w:rPr>
              <w:t> </w:t>
            </w:r>
          </w:p>
          <w:p w14:paraId="277EA583"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disagree</w:t>
            </w:r>
            <w:r w:rsidRPr="007D175D">
              <w:rPr>
                <w:rFonts w:asciiTheme="minorHAnsi" w:hAnsiTheme="minorHAnsi" w:cstheme="minorHAnsi"/>
                <w:b/>
                <w:bCs/>
                <w:color w:val="000000"/>
                <w:sz w:val="18"/>
                <w:szCs w:val="18"/>
                <w:lang w:eastAsia="en-AU"/>
              </w:rPr>
              <w:t> </w:t>
            </w:r>
          </w:p>
          <w:p w14:paraId="40A058B9"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disagree</w:t>
            </w:r>
            <w:r w:rsidRPr="007D175D">
              <w:rPr>
                <w:rFonts w:asciiTheme="minorHAnsi" w:hAnsiTheme="minorHAnsi" w:cstheme="minorHAnsi"/>
                <w:b/>
                <w:bCs/>
                <w:color w:val="000000"/>
                <w:sz w:val="18"/>
                <w:szCs w:val="18"/>
                <w:lang w:eastAsia="en-AU"/>
              </w:rPr>
              <w:t> </w:t>
            </w:r>
          </w:p>
        </w:tc>
        <w:tc>
          <w:tcPr>
            <w:tcW w:w="795" w:type="dxa"/>
            <w:tcBorders>
              <w:top w:val="nil"/>
              <w:left w:val="nil"/>
              <w:bottom w:val="nil"/>
              <w:right w:val="nil"/>
            </w:tcBorders>
            <w:shd w:val="clear" w:color="auto" w:fill="auto"/>
            <w:hideMark/>
          </w:tcPr>
          <w:p w14:paraId="62788BA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5921BF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22 </w:t>
            </w:r>
          </w:p>
          <w:p w14:paraId="1148E46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346FD47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4136627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5E6B965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95" w:type="dxa"/>
            <w:tcBorders>
              <w:top w:val="nil"/>
              <w:left w:val="nil"/>
              <w:bottom w:val="nil"/>
              <w:right w:val="nil"/>
            </w:tcBorders>
            <w:shd w:val="clear" w:color="auto" w:fill="auto"/>
            <w:hideMark/>
          </w:tcPr>
          <w:p w14:paraId="60745DA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B39B0C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73 </w:t>
            </w:r>
          </w:p>
          <w:p w14:paraId="1F3F855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17 </w:t>
            </w:r>
          </w:p>
          <w:p w14:paraId="62EBBD6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08CE5EA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7013048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95" w:type="dxa"/>
            <w:gridSpan w:val="2"/>
            <w:tcBorders>
              <w:top w:val="nil"/>
              <w:left w:val="nil"/>
              <w:bottom w:val="nil"/>
              <w:right w:val="nil"/>
            </w:tcBorders>
            <w:shd w:val="clear" w:color="auto" w:fill="auto"/>
            <w:hideMark/>
          </w:tcPr>
          <w:p w14:paraId="24A1047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035DC4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50 </w:t>
            </w:r>
          </w:p>
          <w:p w14:paraId="3D50FB8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31 </w:t>
            </w:r>
          </w:p>
          <w:p w14:paraId="66CDE1B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0359703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1931D68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c>
          <w:tcPr>
            <w:tcW w:w="795" w:type="dxa"/>
            <w:tcBorders>
              <w:top w:val="nil"/>
              <w:left w:val="nil"/>
              <w:bottom w:val="nil"/>
              <w:right w:val="nil"/>
            </w:tcBorders>
            <w:shd w:val="clear" w:color="auto" w:fill="auto"/>
            <w:hideMark/>
          </w:tcPr>
          <w:p w14:paraId="2800B56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E3B92D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54 </w:t>
            </w:r>
          </w:p>
          <w:p w14:paraId="0E7C65C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34 </w:t>
            </w:r>
          </w:p>
          <w:p w14:paraId="5559FEF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78979BA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6B3C3A6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c>
          <w:tcPr>
            <w:tcW w:w="795" w:type="dxa"/>
            <w:gridSpan w:val="2"/>
            <w:tcBorders>
              <w:top w:val="nil"/>
              <w:left w:val="nil"/>
              <w:bottom w:val="nil"/>
              <w:right w:val="nil"/>
            </w:tcBorders>
            <w:shd w:val="clear" w:color="auto" w:fill="auto"/>
            <w:hideMark/>
          </w:tcPr>
          <w:p w14:paraId="0099535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51E126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155 </w:t>
            </w:r>
          </w:p>
          <w:p w14:paraId="3DB5F52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59 </w:t>
            </w:r>
          </w:p>
          <w:p w14:paraId="088AD3C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50EBBCD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7EB8FA8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795" w:type="dxa"/>
            <w:tcBorders>
              <w:top w:val="nil"/>
              <w:left w:val="nil"/>
              <w:bottom w:val="nil"/>
              <w:right w:val="nil"/>
            </w:tcBorders>
            <w:shd w:val="clear" w:color="auto" w:fill="auto"/>
            <w:hideMark/>
          </w:tcPr>
          <w:p w14:paraId="1970904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E5C795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71 </w:t>
            </w:r>
          </w:p>
          <w:p w14:paraId="0CA8E91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27 </w:t>
            </w:r>
          </w:p>
          <w:p w14:paraId="4703A87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7262E08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564B97B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95" w:type="dxa"/>
            <w:tcBorders>
              <w:top w:val="nil"/>
              <w:left w:val="nil"/>
              <w:bottom w:val="nil"/>
              <w:right w:val="nil"/>
            </w:tcBorders>
            <w:shd w:val="clear" w:color="auto" w:fill="auto"/>
            <w:hideMark/>
          </w:tcPr>
          <w:p w14:paraId="2D07519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CD2FEF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227 </w:t>
            </w:r>
          </w:p>
          <w:p w14:paraId="158BA75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95 </w:t>
            </w:r>
          </w:p>
          <w:p w14:paraId="299F802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670375C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0ACA8D4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tc>
        <w:tc>
          <w:tcPr>
            <w:tcW w:w="795" w:type="dxa"/>
            <w:tcBorders>
              <w:top w:val="nil"/>
              <w:left w:val="nil"/>
              <w:bottom w:val="nil"/>
              <w:right w:val="single" w:sz="6" w:space="0" w:color="000000"/>
            </w:tcBorders>
            <w:shd w:val="clear" w:color="auto" w:fill="auto"/>
            <w:hideMark/>
          </w:tcPr>
          <w:p w14:paraId="179A3D1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326C84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67 </w:t>
            </w:r>
          </w:p>
          <w:p w14:paraId="51DEA16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28 </w:t>
            </w:r>
          </w:p>
          <w:p w14:paraId="64E333E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7B4A067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61E616B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r>
      <w:tr w:rsidR="007D175D" w:rsidRPr="007D175D" w14:paraId="7D871200" w14:textId="77777777">
        <w:trPr>
          <w:trHeight w:val="1245"/>
        </w:trPr>
        <w:tc>
          <w:tcPr>
            <w:tcW w:w="3285" w:type="dxa"/>
            <w:tcBorders>
              <w:top w:val="single" w:sz="6" w:space="0" w:color="000000"/>
              <w:left w:val="single" w:sz="6" w:space="0" w:color="000000"/>
              <w:bottom w:val="single" w:sz="6" w:space="0" w:color="000000"/>
              <w:right w:val="nil"/>
            </w:tcBorders>
            <w:shd w:val="clear" w:color="auto" w:fill="auto"/>
            <w:hideMark/>
          </w:tcPr>
          <w:p w14:paraId="35AB856C"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1A1A1A"/>
                <w:sz w:val="18"/>
                <w:szCs w:val="18"/>
                <w:lang w:eastAsia="en-AU"/>
              </w:rPr>
              <w:t xml:space="preserve">Easy to navigate </w:t>
            </w:r>
            <w:r w:rsidRPr="007D175D">
              <w:rPr>
                <w:rFonts w:asciiTheme="minorHAnsi" w:hAnsiTheme="minorHAnsi" w:cstheme="minorHAnsi"/>
                <w:b/>
                <w:bCs/>
                <w:color w:val="000000"/>
                <w:sz w:val="18"/>
                <w:szCs w:val="18"/>
                <w:lang w:eastAsia="en-AU"/>
              </w:rPr>
              <w:t>(n=339) </w:t>
            </w:r>
          </w:p>
          <w:p w14:paraId="102A543B"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agree</w:t>
            </w:r>
            <w:r w:rsidRPr="007D175D">
              <w:rPr>
                <w:rFonts w:asciiTheme="minorHAnsi" w:hAnsiTheme="minorHAnsi" w:cstheme="minorHAnsi"/>
                <w:b/>
                <w:bCs/>
                <w:color w:val="000000"/>
                <w:sz w:val="18"/>
                <w:szCs w:val="18"/>
                <w:lang w:eastAsia="en-AU"/>
              </w:rPr>
              <w:t> </w:t>
            </w:r>
          </w:p>
          <w:p w14:paraId="42EE26A9"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agree</w:t>
            </w:r>
            <w:r w:rsidRPr="007D175D">
              <w:rPr>
                <w:rFonts w:asciiTheme="minorHAnsi" w:hAnsiTheme="minorHAnsi" w:cstheme="minorHAnsi"/>
                <w:b/>
                <w:bCs/>
                <w:color w:val="000000"/>
                <w:sz w:val="18"/>
                <w:szCs w:val="18"/>
                <w:lang w:eastAsia="en-AU"/>
              </w:rPr>
              <w:t> </w:t>
            </w:r>
          </w:p>
          <w:p w14:paraId="454E0952"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Neither agree nor disagree</w:t>
            </w:r>
            <w:r w:rsidRPr="007D175D">
              <w:rPr>
                <w:rFonts w:asciiTheme="minorHAnsi" w:hAnsiTheme="minorHAnsi" w:cstheme="minorHAnsi"/>
                <w:b/>
                <w:bCs/>
                <w:color w:val="000000"/>
                <w:sz w:val="18"/>
                <w:szCs w:val="18"/>
                <w:lang w:eastAsia="en-AU"/>
              </w:rPr>
              <w:t> </w:t>
            </w:r>
          </w:p>
          <w:p w14:paraId="5DC86627"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disagree</w:t>
            </w:r>
            <w:r w:rsidRPr="007D175D">
              <w:rPr>
                <w:rFonts w:asciiTheme="minorHAnsi" w:hAnsiTheme="minorHAnsi" w:cstheme="minorHAnsi"/>
                <w:b/>
                <w:bCs/>
                <w:color w:val="000000"/>
                <w:sz w:val="18"/>
                <w:szCs w:val="18"/>
                <w:lang w:eastAsia="en-AU"/>
              </w:rPr>
              <w:t> </w:t>
            </w:r>
          </w:p>
          <w:p w14:paraId="6C03DE6D"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disagree</w:t>
            </w:r>
            <w:r w:rsidRPr="007D175D">
              <w:rPr>
                <w:rFonts w:asciiTheme="minorHAnsi" w:hAnsiTheme="minorHAnsi" w:cstheme="minorHAnsi"/>
                <w:b/>
                <w:bCs/>
                <w:color w:val="000000"/>
                <w:sz w:val="18"/>
                <w:szCs w:val="18"/>
                <w:lang w:eastAsia="en-AU"/>
              </w:rPr>
              <w:t> </w:t>
            </w:r>
          </w:p>
        </w:tc>
        <w:tc>
          <w:tcPr>
            <w:tcW w:w="795" w:type="dxa"/>
            <w:tcBorders>
              <w:top w:val="single" w:sz="6" w:space="0" w:color="000000"/>
              <w:left w:val="nil"/>
              <w:bottom w:val="single" w:sz="6" w:space="0" w:color="000000"/>
              <w:right w:val="nil"/>
            </w:tcBorders>
            <w:shd w:val="clear" w:color="auto" w:fill="auto"/>
            <w:hideMark/>
          </w:tcPr>
          <w:p w14:paraId="6B78E9E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8B1B80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15 </w:t>
            </w:r>
          </w:p>
          <w:p w14:paraId="74EEBE0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05FD4E0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61A6B4E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5377371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95" w:type="dxa"/>
            <w:tcBorders>
              <w:top w:val="single" w:sz="6" w:space="0" w:color="000000"/>
              <w:left w:val="nil"/>
              <w:bottom w:val="single" w:sz="6" w:space="0" w:color="000000"/>
              <w:right w:val="nil"/>
            </w:tcBorders>
            <w:shd w:val="clear" w:color="auto" w:fill="auto"/>
            <w:hideMark/>
          </w:tcPr>
          <w:p w14:paraId="1F89758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76D8AE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50 </w:t>
            </w:r>
          </w:p>
          <w:p w14:paraId="4076FD9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23 </w:t>
            </w:r>
          </w:p>
          <w:p w14:paraId="2FEA4CF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4A97566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2ADB845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95" w:type="dxa"/>
            <w:gridSpan w:val="2"/>
            <w:tcBorders>
              <w:top w:val="single" w:sz="6" w:space="0" w:color="000000"/>
              <w:left w:val="nil"/>
              <w:bottom w:val="single" w:sz="6" w:space="0" w:color="000000"/>
              <w:right w:val="nil"/>
            </w:tcBorders>
            <w:shd w:val="clear" w:color="auto" w:fill="auto"/>
            <w:hideMark/>
          </w:tcPr>
          <w:p w14:paraId="4271CBC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2A3BC5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62 </w:t>
            </w:r>
          </w:p>
          <w:p w14:paraId="7E7DBCD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17 </w:t>
            </w:r>
          </w:p>
          <w:p w14:paraId="38C2260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0B3A7F2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5E2C475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95" w:type="dxa"/>
            <w:tcBorders>
              <w:top w:val="single" w:sz="6" w:space="0" w:color="000000"/>
              <w:left w:val="nil"/>
              <w:bottom w:val="single" w:sz="6" w:space="0" w:color="000000"/>
              <w:right w:val="nil"/>
            </w:tcBorders>
            <w:shd w:val="clear" w:color="auto" w:fill="auto"/>
            <w:hideMark/>
          </w:tcPr>
          <w:p w14:paraId="63B8D3F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4A8163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67 </w:t>
            </w:r>
          </w:p>
          <w:p w14:paraId="7F68853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p w14:paraId="67CB248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774667C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6308115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95" w:type="dxa"/>
            <w:gridSpan w:val="2"/>
            <w:tcBorders>
              <w:top w:val="single" w:sz="6" w:space="0" w:color="000000"/>
              <w:left w:val="nil"/>
              <w:bottom w:val="single" w:sz="6" w:space="0" w:color="000000"/>
              <w:right w:val="nil"/>
            </w:tcBorders>
            <w:shd w:val="clear" w:color="auto" w:fill="auto"/>
            <w:hideMark/>
          </w:tcPr>
          <w:p w14:paraId="478EEF2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178B6B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126 </w:t>
            </w:r>
          </w:p>
          <w:p w14:paraId="1F06F36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69 </w:t>
            </w:r>
          </w:p>
          <w:p w14:paraId="68B5B87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1E71E66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12A1A47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795" w:type="dxa"/>
            <w:tcBorders>
              <w:top w:val="single" w:sz="6" w:space="0" w:color="000000"/>
              <w:left w:val="nil"/>
              <w:bottom w:val="single" w:sz="6" w:space="0" w:color="000000"/>
              <w:right w:val="nil"/>
            </w:tcBorders>
            <w:shd w:val="clear" w:color="auto" w:fill="auto"/>
            <w:hideMark/>
          </w:tcPr>
          <w:p w14:paraId="5E300E6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4A63C3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58 </w:t>
            </w:r>
          </w:p>
          <w:p w14:paraId="28611B4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32 </w:t>
            </w:r>
          </w:p>
          <w:p w14:paraId="305FE15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69546DB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6701FEA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95" w:type="dxa"/>
            <w:tcBorders>
              <w:top w:val="single" w:sz="6" w:space="0" w:color="000000"/>
              <w:left w:val="nil"/>
              <w:bottom w:val="single" w:sz="6" w:space="0" w:color="000000"/>
              <w:right w:val="nil"/>
            </w:tcBorders>
            <w:shd w:val="clear" w:color="auto" w:fill="auto"/>
            <w:hideMark/>
          </w:tcPr>
          <w:p w14:paraId="5292A86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F53548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203 </w:t>
            </w:r>
          </w:p>
          <w:p w14:paraId="1ADF9CF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93 </w:t>
            </w:r>
          </w:p>
          <w:p w14:paraId="0F9546E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27 </w:t>
            </w:r>
          </w:p>
          <w:p w14:paraId="6CCD2AC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15F037D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795" w:type="dxa"/>
            <w:tcBorders>
              <w:top w:val="single" w:sz="6" w:space="0" w:color="000000"/>
              <w:left w:val="nil"/>
              <w:bottom w:val="single" w:sz="6" w:space="0" w:color="000000"/>
              <w:right w:val="single" w:sz="6" w:space="0" w:color="000000"/>
            </w:tcBorders>
            <w:shd w:val="clear" w:color="auto" w:fill="auto"/>
            <w:hideMark/>
          </w:tcPr>
          <w:p w14:paraId="3B9A271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3D97E5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60 </w:t>
            </w:r>
          </w:p>
          <w:p w14:paraId="69D1585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27 </w:t>
            </w:r>
          </w:p>
          <w:p w14:paraId="1F365E3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03CA2E3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7E5AD41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r>
      <w:tr w:rsidR="007D175D" w:rsidRPr="007D175D" w14:paraId="7A81E254" w14:textId="77777777">
        <w:trPr>
          <w:trHeight w:val="1335"/>
        </w:trPr>
        <w:tc>
          <w:tcPr>
            <w:tcW w:w="3285" w:type="dxa"/>
            <w:tcBorders>
              <w:top w:val="nil"/>
              <w:left w:val="single" w:sz="6" w:space="0" w:color="000000"/>
              <w:bottom w:val="nil"/>
              <w:right w:val="nil"/>
            </w:tcBorders>
            <w:shd w:val="clear" w:color="auto" w:fill="auto"/>
            <w:hideMark/>
          </w:tcPr>
          <w:p w14:paraId="41CA8B40"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Engaging (n=339) </w:t>
            </w:r>
          </w:p>
          <w:p w14:paraId="124CFCD4"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agree</w:t>
            </w:r>
            <w:r w:rsidRPr="007D175D">
              <w:rPr>
                <w:rFonts w:asciiTheme="minorHAnsi" w:hAnsiTheme="minorHAnsi" w:cstheme="minorHAnsi"/>
                <w:b/>
                <w:bCs/>
                <w:color w:val="000000"/>
                <w:sz w:val="18"/>
                <w:szCs w:val="18"/>
                <w:lang w:eastAsia="en-AU"/>
              </w:rPr>
              <w:t> </w:t>
            </w:r>
          </w:p>
          <w:p w14:paraId="2E8C1E0B"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agree</w:t>
            </w:r>
            <w:r w:rsidRPr="007D175D">
              <w:rPr>
                <w:rFonts w:asciiTheme="minorHAnsi" w:hAnsiTheme="minorHAnsi" w:cstheme="minorHAnsi"/>
                <w:b/>
                <w:bCs/>
                <w:color w:val="000000"/>
                <w:sz w:val="18"/>
                <w:szCs w:val="18"/>
                <w:lang w:eastAsia="en-AU"/>
              </w:rPr>
              <w:t> </w:t>
            </w:r>
          </w:p>
          <w:p w14:paraId="50695B58"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Neither agree nor disagree</w:t>
            </w:r>
            <w:r w:rsidRPr="007D175D">
              <w:rPr>
                <w:rFonts w:asciiTheme="minorHAnsi" w:hAnsiTheme="minorHAnsi" w:cstheme="minorHAnsi"/>
                <w:b/>
                <w:bCs/>
                <w:color w:val="000000"/>
                <w:sz w:val="18"/>
                <w:szCs w:val="18"/>
                <w:lang w:eastAsia="en-AU"/>
              </w:rPr>
              <w:t> </w:t>
            </w:r>
          </w:p>
          <w:p w14:paraId="74E22684"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disagree</w:t>
            </w:r>
            <w:r w:rsidRPr="007D175D">
              <w:rPr>
                <w:rFonts w:asciiTheme="minorHAnsi" w:hAnsiTheme="minorHAnsi" w:cstheme="minorHAnsi"/>
                <w:b/>
                <w:bCs/>
                <w:color w:val="000000"/>
                <w:sz w:val="18"/>
                <w:szCs w:val="18"/>
                <w:lang w:eastAsia="en-AU"/>
              </w:rPr>
              <w:t> </w:t>
            </w:r>
          </w:p>
          <w:p w14:paraId="22EC9735"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disagree</w:t>
            </w:r>
            <w:r w:rsidRPr="007D175D">
              <w:rPr>
                <w:rFonts w:asciiTheme="minorHAnsi" w:hAnsiTheme="minorHAnsi" w:cstheme="minorHAnsi"/>
                <w:b/>
                <w:bCs/>
                <w:color w:val="000000"/>
                <w:sz w:val="18"/>
                <w:szCs w:val="18"/>
                <w:lang w:eastAsia="en-AU"/>
              </w:rPr>
              <w:t> </w:t>
            </w:r>
          </w:p>
        </w:tc>
        <w:tc>
          <w:tcPr>
            <w:tcW w:w="795" w:type="dxa"/>
            <w:tcBorders>
              <w:top w:val="nil"/>
              <w:left w:val="nil"/>
              <w:bottom w:val="nil"/>
              <w:right w:val="nil"/>
            </w:tcBorders>
            <w:shd w:val="clear" w:color="auto" w:fill="auto"/>
            <w:hideMark/>
          </w:tcPr>
          <w:p w14:paraId="69718C7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426A49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12 </w:t>
            </w:r>
          </w:p>
          <w:p w14:paraId="1986371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12 </w:t>
            </w:r>
          </w:p>
          <w:p w14:paraId="4CFD14B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2410D81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353EF73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795" w:type="dxa"/>
            <w:tcBorders>
              <w:top w:val="nil"/>
              <w:left w:val="nil"/>
              <w:bottom w:val="nil"/>
              <w:right w:val="nil"/>
            </w:tcBorders>
            <w:shd w:val="clear" w:color="auto" w:fill="auto"/>
            <w:hideMark/>
          </w:tcPr>
          <w:p w14:paraId="4B9F0BC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F9331A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40 </w:t>
            </w:r>
          </w:p>
          <w:p w14:paraId="3CE57AA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40 </w:t>
            </w:r>
          </w:p>
          <w:p w14:paraId="4A9F83C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64904A9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0E89FA5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tc>
        <w:tc>
          <w:tcPr>
            <w:tcW w:w="795" w:type="dxa"/>
            <w:gridSpan w:val="2"/>
            <w:tcBorders>
              <w:top w:val="nil"/>
              <w:left w:val="nil"/>
              <w:bottom w:val="nil"/>
              <w:right w:val="nil"/>
            </w:tcBorders>
            <w:shd w:val="clear" w:color="auto" w:fill="auto"/>
            <w:hideMark/>
          </w:tcPr>
          <w:p w14:paraId="5E54B42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28FA43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32 </w:t>
            </w:r>
          </w:p>
          <w:p w14:paraId="0B9AC0D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37 </w:t>
            </w:r>
          </w:p>
          <w:p w14:paraId="4AE4FE9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17 </w:t>
            </w:r>
          </w:p>
          <w:p w14:paraId="4E08358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2BF994B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795" w:type="dxa"/>
            <w:tcBorders>
              <w:top w:val="nil"/>
              <w:left w:val="nil"/>
              <w:bottom w:val="nil"/>
              <w:right w:val="nil"/>
            </w:tcBorders>
            <w:shd w:val="clear" w:color="auto" w:fill="auto"/>
            <w:hideMark/>
          </w:tcPr>
          <w:p w14:paraId="20CB1E2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B517B3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35 </w:t>
            </w:r>
          </w:p>
          <w:p w14:paraId="6FEFCE4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40 </w:t>
            </w:r>
          </w:p>
          <w:p w14:paraId="5DC984E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p w14:paraId="16FDAA8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1C82DD0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795" w:type="dxa"/>
            <w:gridSpan w:val="2"/>
            <w:tcBorders>
              <w:top w:val="nil"/>
              <w:left w:val="nil"/>
              <w:bottom w:val="nil"/>
              <w:right w:val="nil"/>
            </w:tcBorders>
            <w:shd w:val="clear" w:color="auto" w:fill="auto"/>
            <w:hideMark/>
          </w:tcPr>
          <w:p w14:paraId="6364FD1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44DA4F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84 </w:t>
            </w:r>
          </w:p>
          <w:p w14:paraId="21BE29C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93 </w:t>
            </w:r>
          </w:p>
          <w:p w14:paraId="1755FB9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25 </w:t>
            </w:r>
          </w:p>
          <w:p w14:paraId="58A23F4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6361613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tc>
        <w:tc>
          <w:tcPr>
            <w:tcW w:w="795" w:type="dxa"/>
            <w:tcBorders>
              <w:top w:val="nil"/>
              <w:left w:val="nil"/>
              <w:bottom w:val="nil"/>
              <w:right w:val="nil"/>
            </w:tcBorders>
            <w:shd w:val="clear" w:color="auto" w:fill="auto"/>
            <w:hideMark/>
          </w:tcPr>
          <w:p w14:paraId="29DAD16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A9FF0C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39 </w:t>
            </w:r>
          </w:p>
          <w:p w14:paraId="74E5AB8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43 </w:t>
            </w:r>
          </w:p>
          <w:p w14:paraId="29F2700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12 </w:t>
            </w:r>
          </w:p>
          <w:p w14:paraId="54C16F1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1BCF094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795" w:type="dxa"/>
            <w:tcBorders>
              <w:top w:val="nil"/>
              <w:left w:val="nil"/>
              <w:bottom w:val="nil"/>
              <w:right w:val="nil"/>
            </w:tcBorders>
            <w:shd w:val="clear" w:color="auto" w:fill="auto"/>
            <w:hideMark/>
          </w:tcPr>
          <w:p w14:paraId="70A3359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04CC5E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128 </w:t>
            </w:r>
          </w:p>
          <w:p w14:paraId="5C5181D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142 </w:t>
            </w:r>
          </w:p>
          <w:p w14:paraId="3DEEFB2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46 </w:t>
            </w:r>
          </w:p>
          <w:p w14:paraId="1426168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17 </w:t>
            </w:r>
          </w:p>
          <w:p w14:paraId="143A3F1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tc>
        <w:tc>
          <w:tcPr>
            <w:tcW w:w="795" w:type="dxa"/>
            <w:tcBorders>
              <w:top w:val="nil"/>
              <w:left w:val="nil"/>
              <w:bottom w:val="nil"/>
              <w:right w:val="single" w:sz="6" w:space="0" w:color="000000"/>
            </w:tcBorders>
            <w:shd w:val="clear" w:color="auto" w:fill="auto"/>
            <w:hideMark/>
          </w:tcPr>
          <w:p w14:paraId="1992076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231E16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38 </w:t>
            </w:r>
          </w:p>
          <w:p w14:paraId="1EA17CC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42 </w:t>
            </w:r>
          </w:p>
          <w:p w14:paraId="343D570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14 </w:t>
            </w:r>
          </w:p>
          <w:p w14:paraId="30418FB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5E338BA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r>
      <w:tr w:rsidR="007D175D" w:rsidRPr="007D175D" w14:paraId="202C6D73" w14:textId="77777777">
        <w:trPr>
          <w:trHeight w:val="1260"/>
        </w:trPr>
        <w:tc>
          <w:tcPr>
            <w:tcW w:w="3285" w:type="dxa"/>
            <w:tcBorders>
              <w:top w:val="single" w:sz="6" w:space="0" w:color="000000"/>
              <w:left w:val="single" w:sz="6" w:space="0" w:color="000000"/>
              <w:bottom w:val="single" w:sz="6" w:space="0" w:color="000000"/>
              <w:right w:val="nil"/>
            </w:tcBorders>
            <w:shd w:val="clear" w:color="auto" w:fill="auto"/>
            <w:hideMark/>
          </w:tcPr>
          <w:p w14:paraId="63D4AE18"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Visually appealing (n=339) </w:t>
            </w:r>
          </w:p>
          <w:p w14:paraId="7127B90A"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agree</w:t>
            </w:r>
            <w:r w:rsidRPr="007D175D">
              <w:rPr>
                <w:rFonts w:asciiTheme="minorHAnsi" w:hAnsiTheme="minorHAnsi" w:cstheme="minorHAnsi"/>
                <w:b/>
                <w:bCs/>
                <w:color w:val="000000"/>
                <w:sz w:val="18"/>
                <w:szCs w:val="18"/>
                <w:lang w:eastAsia="en-AU"/>
              </w:rPr>
              <w:t> </w:t>
            </w:r>
          </w:p>
          <w:p w14:paraId="1BF2AB2C"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agree</w:t>
            </w:r>
            <w:r w:rsidRPr="007D175D">
              <w:rPr>
                <w:rFonts w:asciiTheme="minorHAnsi" w:hAnsiTheme="minorHAnsi" w:cstheme="minorHAnsi"/>
                <w:b/>
                <w:bCs/>
                <w:color w:val="000000"/>
                <w:sz w:val="18"/>
                <w:szCs w:val="18"/>
                <w:lang w:eastAsia="en-AU"/>
              </w:rPr>
              <w:t> </w:t>
            </w:r>
          </w:p>
          <w:p w14:paraId="479D783F"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Neither agree nor disagree</w:t>
            </w:r>
            <w:r w:rsidRPr="007D175D">
              <w:rPr>
                <w:rFonts w:asciiTheme="minorHAnsi" w:hAnsiTheme="minorHAnsi" w:cstheme="minorHAnsi"/>
                <w:b/>
                <w:bCs/>
                <w:color w:val="000000"/>
                <w:sz w:val="18"/>
                <w:szCs w:val="18"/>
                <w:lang w:eastAsia="en-AU"/>
              </w:rPr>
              <w:t> </w:t>
            </w:r>
          </w:p>
          <w:p w14:paraId="7F1AEABD"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disagree</w:t>
            </w:r>
            <w:r w:rsidRPr="007D175D">
              <w:rPr>
                <w:rFonts w:asciiTheme="minorHAnsi" w:hAnsiTheme="minorHAnsi" w:cstheme="minorHAnsi"/>
                <w:b/>
                <w:bCs/>
                <w:color w:val="000000"/>
                <w:sz w:val="18"/>
                <w:szCs w:val="18"/>
                <w:lang w:eastAsia="en-AU"/>
              </w:rPr>
              <w:t> </w:t>
            </w:r>
          </w:p>
          <w:p w14:paraId="46AC5D67"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disagree</w:t>
            </w:r>
            <w:r w:rsidRPr="007D175D">
              <w:rPr>
                <w:rFonts w:asciiTheme="minorHAnsi" w:hAnsiTheme="minorHAnsi" w:cstheme="minorHAnsi"/>
                <w:b/>
                <w:bCs/>
                <w:color w:val="000000"/>
                <w:sz w:val="18"/>
                <w:szCs w:val="18"/>
                <w:lang w:eastAsia="en-AU"/>
              </w:rPr>
              <w:t> </w:t>
            </w:r>
          </w:p>
        </w:tc>
        <w:tc>
          <w:tcPr>
            <w:tcW w:w="795" w:type="dxa"/>
            <w:tcBorders>
              <w:top w:val="single" w:sz="6" w:space="0" w:color="000000"/>
              <w:left w:val="nil"/>
              <w:bottom w:val="single" w:sz="6" w:space="0" w:color="000000"/>
              <w:right w:val="nil"/>
            </w:tcBorders>
            <w:shd w:val="clear" w:color="auto" w:fill="auto"/>
            <w:hideMark/>
          </w:tcPr>
          <w:p w14:paraId="5D88254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B0B5EC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0E40ACE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6236BA6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6899744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620FB65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795" w:type="dxa"/>
            <w:tcBorders>
              <w:top w:val="single" w:sz="6" w:space="0" w:color="000000"/>
              <w:left w:val="nil"/>
              <w:bottom w:val="single" w:sz="6" w:space="0" w:color="000000"/>
              <w:right w:val="nil"/>
            </w:tcBorders>
            <w:shd w:val="clear" w:color="auto" w:fill="auto"/>
            <w:hideMark/>
          </w:tcPr>
          <w:p w14:paraId="0FD317E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0499D4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27 </w:t>
            </w:r>
          </w:p>
          <w:p w14:paraId="1323F09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37 </w:t>
            </w:r>
          </w:p>
          <w:p w14:paraId="64D14FA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17 </w:t>
            </w:r>
          </w:p>
          <w:p w14:paraId="4CE9BD7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17 </w:t>
            </w:r>
          </w:p>
          <w:p w14:paraId="3E166B7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tc>
        <w:tc>
          <w:tcPr>
            <w:tcW w:w="795" w:type="dxa"/>
            <w:gridSpan w:val="2"/>
            <w:tcBorders>
              <w:top w:val="single" w:sz="6" w:space="0" w:color="000000"/>
              <w:left w:val="nil"/>
              <w:bottom w:val="single" w:sz="6" w:space="0" w:color="000000"/>
              <w:right w:val="nil"/>
            </w:tcBorders>
            <w:shd w:val="clear" w:color="auto" w:fill="auto"/>
            <w:hideMark/>
          </w:tcPr>
          <w:p w14:paraId="7D25FAB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5101EB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26 </w:t>
            </w:r>
          </w:p>
          <w:p w14:paraId="4676287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39 </w:t>
            </w:r>
          </w:p>
          <w:p w14:paraId="3DFB57F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17 </w:t>
            </w:r>
          </w:p>
          <w:p w14:paraId="6E6A666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02E8AA0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c>
          <w:tcPr>
            <w:tcW w:w="795" w:type="dxa"/>
            <w:tcBorders>
              <w:top w:val="single" w:sz="6" w:space="0" w:color="000000"/>
              <w:left w:val="nil"/>
              <w:bottom w:val="single" w:sz="6" w:space="0" w:color="000000"/>
              <w:right w:val="nil"/>
            </w:tcBorders>
            <w:shd w:val="clear" w:color="auto" w:fill="auto"/>
            <w:hideMark/>
          </w:tcPr>
          <w:p w14:paraId="32CEE7F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6A5D56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28 </w:t>
            </w:r>
          </w:p>
          <w:p w14:paraId="62F7FB9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42 </w:t>
            </w:r>
          </w:p>
          <w:p w14:paraId="5E7C051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p w14:paraId="56DCC58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6E93D63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c>
          <w:tcPr>
            <w:tcW w:w="795" w:type="dxa"/>
            <w:gridSpan w:val="2"/>
            <w:tcBorders>
              <w:top w:val="single" w:sz="6" w:space="0" w:color="000000"/>
              <w:left w:val="nil"/>
              <w:bottom w:val="single" w:sz="6" w:space="0" w:color="000000"/>
              <w:right w:val="nil"/>
            </w:tcBorders>
            <w:shd w:val="clear" w:color="auto" w:fill="auto"/>
            <w:hideMark/>
          </w:tcPr>
          <w:p w14:paraId="388ED37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A52D53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84 </w:t>
            </w:r>
          </w:p>
          <w:p w14:paraId="36C9A0A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82 </w:t>
            </w:r>
          </w:p>
          <w:p w14:paraId="7024F71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34 </w:t>
            </w:r>
          </w:p>
          <w:p w14:paraId="55271D3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5897CEB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tc>
        <w:tc>
          <w:tcPr>
            <w:tcW w:w="795" w:type="dxa"/>
            <w:tcBorders>
              <w:top w:val="single" w:sz="6" w:space="0" w:color="000000"/>
              <w:left w:val="nil"/>
              <w:bottom w:val="single" w:sz="6" w:space="0" w:color="000000"/>
              <w:right w:val="nil"/>
            </w:tcBorders>
            <w:shd w:val="clear" w:color="auto" w:fill="auto"/>
            <w:hideMark/>
          </w:tcPr>
          <w:p w14:paraId="52E2549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FD4065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39 </w:t>
            </w:r>
          </w:p>
          <w:p w14:paraId="1403F72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38 </w:t>
            </w:r>
          </w:p>
          <w:p w14:paraId="772D217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16 </w:t>
            </w:r>
          </w:p>
          <w:p w14:paraId="196A39C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1B36ABC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c>
          <w:tcPr>
            <w:tcW w:w="795" w:type="dxa"/>
            <w:tcBorders>
              <w:top w:val="single" w:sz="6" w:space="0" w:color="000000"/>
              <w:left w:val="nil"/>
              <w:bottom w:val="single" w:sz="6" w:space="0" w:color="000000"/>
              <w:right w:val="nil"/>
            </w:tcBorders>
            <w:shd w:val="clear" w:color="auto" w:fill="auto"/>
            <w:hideMark/>
          </w:tcPr>
          <w:p w14:paraId="1B69DFF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7C2EB2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118 </w:t>
            </w:r>
          </w:p>
          <w:p w14:paraId="1BC4869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132 </w:t>
            </w:r>
          </w:p>
          <w:p w14:paraId="5D6B607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56 </w:t>
            </w:r>
          </w:p>
          <w:p w14:paraId="7B615FE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26 </w:t>
            </w:r>
          </w:p>
          <w:p w14:paraId="61A8AEC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tc>
        <w:tc>
          <w:tcPr>
            <w:tcW w:w="795" w:type="dxa"/>
            <w:tcBorders>
              <w:top w:val="single" w:sz="6" w:space="0" w:color="000000"/>
              <w:left w:val="nil"/>
              <w:bottom w:val="single" w:sz="6" w:space="0" w:color="000000"/>
              <w:right w:val="single" w:sz="6" w:space="0" w:color="000000"/>
            </w:tcBorders>
            <w:shd w:val="clear" w:color="auto" w:fill="auto"/>
            <w:hideMark/>
          </w:tcPr>
          <w:p w14:paraId="1F45F95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A7C1BE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35 </w:t>
            </w:r>
          </w:p>
          <w:p w14:paraId="66486DA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39 </w:t>
            </w:r>
          </w:p>
          <w:p w14:paraId="03A4552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17 </w:t>
            </w:r>
          </w:p>
          <w:p w14:paraId="526266D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24104B7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r>
    </w:tbl>
    <w:p w14:paraId="636F9E5B" w14:textId="77777777" w:rsidR="007D175D" w:rsidRPr="007D175D" w:rsidRDefault="007D175D" w:rsidP="007D175D">
      <w:pPr>
        <w:spacing w:after="160"/>
        <w:textAlignment w:val="baseline"/>
        <w:rPr>
          <w:rFonts w:ascii="Segoe UI" w:hAnsi="Segoe UI" w:cs="Segoe UI"/>
          <w:sz w:val="18"/>
          <w:szCs w:val="18"/>
          <w:lang w:eastAsia="en-AU"/>
        </w:rPr>
      </w:pPr>
      <w:r w:rsidRPr="007D175D">
        <w:rPr>
          <w:rFonts w:ascii="Calibri" w:hAnsi="Calibri" w:cs="Calibri"/>
          <w:sz w:val="16"/>
          <w:szCs w:val="16"/>
          <w:lang w:eastAsia="en-AU"/>
        </w:rPr>
        <w:t xml:space="preserve">MHO, Mental Health Online; MS, </w:t>
      </w:r>
      <w:proofErr w:type="spellStart"/>
      <w:r w:rsidRPr="007D175D">
        <w:rPr>
          <w:rFonts w:ascii="Calibri" w:hAnsi="Calibri" w:cs="Calibri"/>
          <w:color w:val="000000"/>
          <w:sz w:val="16"/>
          <w:szCs w:val="16"/>
          <w:lang w:eastAsia="en-AU"/>
        </w:rPr>
        <w:t>MindSpot</w:t>
      </w:r>
      <w:proofErr w:type="spellEnd"/>
      <w:r w:rsidRPr="007D175D">
        <w:rPr>
          <w:rFonts w:ascii="Calibri" w:hAnsi="Calibri" w:cs="Calibri"/>
          <w:color w:val="000000"/>
          <w:sz w:val="16"/>
          <w:szCs w:val="16"/>
          <w:lang w:eastAsia="en-AU"/>
        </w:rPr>
        <w:t xml:space="preserve">; </w:t>
      </w:r>
      <w:r w:rsidRPr="007D175D">
        <w:rPr>
          <w:rFonts w:ascii="Calibri" w:hAnsi="Calibri" w:cs="Calibri"/>
          <w:sz w:val="16"/>
          <w:szCs w:val="16"/>
          <w:lang w:eastAsia="en-AU"/>
        </w:rPr>
        <w:t xml:space="preserve">TWU, </w:t>
      </w:r>
      <w:r w:rsidRPr="007D175D">
        <w:rPr>
          <w:rFonts w:ascii="Calibri" w:hAnsi="Calibri" w:cs="Calibri"/>
          <w:color w:val="000000"/>
          <w:sz w:val="16"/>
          <w:szCs w:val="16"/>
          <w:lang w:eastAsia="en-AU"/>
        </w:rPr>
        <w:t>THIS WAY UP</w:t>
      </w:r>
      <w:r w:rsidRPr="007D175D">
        <w:rPr>
          <w:rFonts w:ascii="Calibri" w:hAnsi="Calibri" w:cs="Calibri"/>
          <w:sz w:val="16"/>
          <w:szCs w:val="16"/>
          <w:lang w:eastAsia="en-AU"/>
        </w:rPr>
        <w:t>. </w:t>
      </w:r>
    </w:p>
    <w:p w14:paraId="226FA649" w14:textId="77777777" w:rsidR="0020779B" w:rsidRPr="007D175D" w:rsidRDefault="0020779B" w:rsidP="00476909">
      <w:pPr>
        <w:spacing w:after="24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lastRenderedPageBreak/>
        <w:t>These beneficial outcomes are also supported by consumers who took part in the interviews. Three-quarters (n=18) of these consumers discussed the modules in a positive light. Fifty percent (n=9) of these consumers indicated that the structure of the modules was good, with 46% of interviewees indicating that the modules were easy and “logical” to use and navigate. One consumer commented:</w:t>
      </w:r>
    </w:p>
    <w:p w14:paraId="304AFA77" w14:textId="77777777" w:rsidR="0020779B" w:rsidRPr="007D175D" w:rsidRDefault="0020779B" w:rsidP="00476909">
      <w:pPr>
        <w:spacing w:after="240"/>
        <w:ind w:left="72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t>I thought they were all very well structured, like they were all quite similar in the way they presented the information so it was the background stuff and then it moved into the experiences … of how the material worked for real people in real life, so I found that it was kind of good that they were all following a similar structure so you kind of knew what to expect and yeah and it was a good mix of theory and practical in there.</w:t>
      </w:r>
    </w:p>
    <w:p w14:paraId="477766B2" w14:textId="77777777" w:rsidR="0020779B" w:rsidRPr="007D175D" w:rsidRDefault="0020779B" w:rsidP="00476909">
      <w:pPr>
        <w:spacing w:after="24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t xml:space="preserve">Forty-three percent (n=10) also found the content of the modules to be informative, with consumers indicating the information was relevant, accessible, </w:t>
      </w:r>
      <w:proofErr w:type="gramStart"/>
      <w:r w:rsidRPr="007D175D">
        <w:rPr>
          <w:rFonts w:asciiTheme="minorHAnsi" w:eastAsiaTheme="minorHAnsi" w:hAnsiTheme="minorHAnsi" w:cstheme="minorBidi"/>
          <w:sz w:val="21"/>
          <w:szCs w:val="21"/>
          <w:lang w:eastAsia="en-US"/>
        </w:rPr>
        <w:t>engaging</w:t>
      </w:r>
      <w:proofErr w:type="gramEnd"/>
      <w:r w:rsidRPr="007D175D">
        <w:rPr>
          <w:rFonts w:asciiTheme="minorHAnsi" w:eastAsiaTheme="minorHAnsi" w:hAnsiTheme="minorHAnsi" w:cstheme="minorBidi"/>
          <w:sz w:val="21"/>
          <w:szCs w:val="21"/>
          <w:lang w:eastAsia="en-US"/>
        </w:rPr>
        <w:t xml:space="preserve"> and easy to understand. These consumers made comments such as: </w:t>
      </w:r>
    </w:p>
    <w:p w14:paraId="4AAB8EBC" w14:textId="77777777" w:rsidR="0020779B" w:rsidRPr="007D175D" w:rsidRDefault="0020779B" w:rsidP="00476909">
      <w:pPr>
        <w:spacing w:after="240"/>
        <w:ind w:left="720"/>
        <w:rPr>
          <w:rFonts w:asciiTheme="minorHAnsi" w:eastAsiaTheme="minorHAnsi" w:hAnsiTheme="minorHAnsi" w:cstheme="minorBidi"/>
          <w:sz w:val="21"/>
          <w:szCs w:val="21"/>
          <w:lang w:eastAsia="en-US"/>
        </w:rPr>
      </w:pPr>
      <w:proofErr w:type="gramStart"/>
      <w:r w:rsidRPr="007D175D">
        <w:rPr>
          <w:rFonts w:asciiTheme="minorHAnsi" w:eastAsiaTheme="minorHAnsi" w:hAnsiTheme="minorHAnsi" w:cstheme="minorBidi"/>
          <w:sz w:val="21"/>
          <w:szCs w:val="21"/>
          <w:lang w:eastAsia="en-US"/>
        </w:rPr>
        <w:t>So</w:t>
      </w:r>
      <w:proofErr w:type="gramEnd"/>
      <w:r w:rsidRPr="007D175D">
        <w:rPr>
          <w:rFonts w:asciiTheme="minorHAnsi" w:eastAsiaTheme="minorHAnsi" w:hAnsiTheme="minorHAnsi" w:cstheme="minorBidi"/>
          <w:sz w:val="21"/>
          <w:szCs w:val="21"/>
          <w:lang w:eastAsia="en-US"/>
        </w:rPr>
        <w:t xml:space="preserve"> it was actually for me helpful because it was stuff that I’d never encountered and enabled me to evaluate my mental health and why I thought the way I thought and that type of stuff – so for me, it was all new stuff.</w:t>
      </w:r>
    </w:p>
    <w:p w14:paraId="328F947F" w14:textId="77777777" w:rsidR="0020779B" w:rsidRPr="007D175D" w:rsidRDefault="0020779B" w:rsidP="00476909">
      <w:pPr>
        <w:spacing w:after="240"/>
        <w:ind w:left="72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t>‘I like that they were broken up into sessions; the modules you could do every week were broken up and, then you could basically take it step by step.’</w:t>
      </w:r>
    </w:p>
    <w:p w14:paraId="49408994" w14:textId="77777777" w:rsidR="0020779B" w:rsidRPr="007D175D" w:rsidRDefault="0020779B" w:rsidP="00476909">
      <w:pPr>
        <w:spacing w:after="24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t>On the other hand, 21% (n=5) of consumers interviewed voiced that there was too much information in the modules. One such consumer commented:</w:t>
      </w:r>
    </w:p>
    <w:p w14:paraId="2CBB2463" w14:textId="7DA2BED3" w:rsidR="0020779B" w:rsidRPr="0020779B" w:rsidRDefault="0020779B" w:rsidP="00476909">
      <w:pPr>
        <w:spacing w:after="240"/>
        <w:ind w:left="72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t>‘It's not really negative but is that there was a lot of content in some, like really, really packed full of different topics some of them.’</w:t>
      </w:r>
    </w:p>
    <w:p w14:paraId="4C1AF122" w14:textId="2582F9F0" w:rsidR="007D175D" w:rsidRPr="007D175D" w:rsidRDefault="007D175D" w:rsidP="008776A4">
      <w:pPr>
        <w:pStyle w:val="Heading3"/>
        <w:rPr>
          <w:rFonts w:ascii="Calibri" w:hAnsi="Calibri" w:cs="Calibri"/>
          <w:color w:val="2F5496"/>
          <w:lang w:eastAsia="en-AU"/>
        </w:rPr>
      </w:pPr>
      <w:r w:rsidRPr="007D175D">
        <w:rPr>
          <w:lang w:val="en-GB" w:eastAsia="en-AU"/>
        </w:rPr>
        <w:t>Activities</w:t>
      </w:r>
    </w:p>
    <w:p w14:paraId="40A18AA8" w14:textId="0D24CFFF" w:rsidR="007D175D" w:rsidRPr="007D175D" w:rsidRDefault="007D175D" w:rsidP="00476909">
      <w:pPr>
        <w:pStyle w:val="ANorm"/>
        <w:spacing w:after="240"/>
        <w:rPr>
          <w:lang w:eastAsia="en-AU"/>
        </w:rPr>
      </w:pPr>
      <w:r w:rsidRPr="007D175D">
        <w:rPr>
          <w:lang w:eastAsia="en-AU"/>
        </w:rPr>
        <w:t xml:space="preserve">In total, 87% (n=307) consumers across all services completed activities. Their responses are recorded in </w:t>
      </w:r>
      <w:r w:rsidRPr="00844AC9">
        <w:rPr>
          <w:lang w:eastAsia="en-AU"/>
        </w:rPr>
        <w:t xml:space="preserve">Table </w:t>
      </w:r>
      <w:r w:rsidR="00844AC9" w:rsidRPr="00844AC9">
        <w:rPr>
          <w:lang w:eastAsia="en-AU"/>
        </w:rPr>
        <w:t>28</w:t>
      </w:r>
      <w:r w:rsidRPr="007D175D">
        <w:rPr>
          <w:lang w:eastAsia="en-AU"/>
        </w:rPr>
        <w:t xml:space="preserve"> Over 70% of consumers across services completed activities in under 31 minutes. As with the assessments and modules, most consumers described their experience of using the activities as positive. Over 80% of consumers across DMHSs “strongly agreed” or “somewhat agreed” that the activities were informative, relevant, easy to understand, engaging, made them think and taught them new strategies. Proportionally, fewer Mental Health Online (75%) consumers “strongly agreed” or “somewhat agreed” that the activities were easy to navigate compared to </w:t>
      </w:r>
      <w:proofErr w:type="spellStart"/>
      <w:r w:rsidRPr="007D175D">
        <w:rPr>
          <w:lang w:eastAsia="en-AU"/>
        </w:rPr>
        <w:t>MindSpot</w:t>
      </w:r>
      <w:proofErr w:type="spellEnd"/>
      <w:r w:rsidRPr="007D175D">
        <w:rPr>
          <w:lang w:eastAsia="en-AU"/>
        </w:rPr>
        <w:t xml:space="preserve"> (87%) and THIS WAY UP (87%) consumers. Proportionally fewer consumers across all services (approximately 70%) “strongly agreed” or “somewhat agreed” that the activities were visually appealing.</w:t>
      </w:r>
    </w:p>
    <w:p w14:paraId="3AE4B6B1" w14:textId="77777777" w:rsidR="00844AC9" w:rsidRDefault="00844AC9" w:rsidP="00844AC9">
      <w:pPr>
        <w:pStyle w:val="tableheading"/>
      </w:pPr>
      <w:r>
        <w:br w:type="page"/>
      </w:r>
    </w:p>
    <w:p w14:paraId="105118B0" w14:textId="49C58DFB" w:rsidR="007D175D" w:rsidRPr="007D175D" w:rsidRDefault="007D175D" w:rsidP="00844AC9">
      <w:pPr>
        <w:pStyle w:val="tableheading"/>
        <w:rPr>
          <w:rFonts w:ascii="Segoe UI" w:hAnsi="Segoe UI" w:cs="Segoe UI"/>
          <w:sz w:val="18"/>
          <w:szCs w:val="18"/>
        </w:rPr>
      </w:pPr>
      <w:r w:rsidRPr="00844AC9">
        <w:lastRenderedPageBreak/>
        <w:t xml:space="preserve">Table </w:t>
      </w:r>
      <w:r w:rsidR="00844AC9" w:rsidRPr="00844AC9">
        <w:t>28</w:t>
      </w:r>
      <w:r w:rsidRPr="007D175D">
        <w:t>. Consumer experience of DMHS activities, by service and overall</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Consumer experience of DMHS activities, by service and overall"/>
        <w:tblDescription w:val="Table describing consumers experience with using the activities  "/>
      </w:tblPr>
      <w:tblGrid>
        <w:gridCol w:w="3555"/>
        <w:gridCol w:w="780"/>
        <w:gridCol w:w="750"/>
        <w:gridCol w:w="780"/>
        <w:gridCol w:w="750"/>
        <w:gridCol w:w="780"/>
        <w:gridCol w:w="750"/>
        <w:gridCol w:w="780"/>
        <w:gridCol w:w="750"/>
      </w:tblGrid>
      <w:tr w:rsidR="007D175D" w:rsidRPr="007D175D" w14:paraId="00D79C20" w14:textId="77777777">
        <w:trPr>
          <w:trHeight w:val="570"/>
          <w:tblHeader/>
        </w:trPr>
        <w:tc>
          <w:tcPr>
            <w:tcW w:w="3555" w:type="dxa"/>
            <w:tcBorders>
              <w:top w:val="single" w:sz="6" w:space="0" w:color="000000"/>
              <w:left w:val="single" w:sz="6" w:space="0" w:color="000000"/>
              <w:bottom w:val="single" w:sz="6" w:space="0" w:color="auto"/>
              <w:right w:val="nil"/>
            </w:tcBorders>
            <w:shd w:val="clear" w:color="auto" w:fill="000000"/>
            <w:hideMark/>
          </w:tcPr>
          <w:p w14:paraId="122CE09F" w14:textId="77777777" w:rsidR="007D175D" w:rsidRPr="007D175D" w:rsidRDefault="007D175D" w:rsidP="007D175D">
            <w:pP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 </w:t>
            </w:r>
          </w:p>
        </w:tc>
        <w:tc>
          <w:tcPr>
            <w:tcW w:w="1530" w:type="dxa"/>
            <w:gridSpan w:val="2"/>
            <w:tcBorders>
              <w:top w:val="single" w:sz="6" w:space="0" w:color="000000"/>
              <w:left w:val="nil"/>
              <w:bottom w:val="single" w:sz="6" w:space="0" w:color="auto"/>
              <w:right w:val="nil"/>
            </w:tcBorders>
            <w:shd w:val="clear" w:color="auto" w:fill="000000"/>
            <w:hideMark/>
          </w:tcPr>
          <w:p w14:paraId="5EB1EE94"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MHO </w:t>
            </w:r>
          </w:p>
          <w:p w14:paraId="6B1A9428"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(n=32) </w:t>
            </w:r>
          </w:p>
        </w:tc>
        <w:tc>
          <w:tcPr>
            <w:tcW w:w="1530" w:type="dxa"/>
            <w:gridSpan w:val="2"/>
            <w:tcBorders>
              <w:top w:val="single" w:sz="6" w:space="0" w:color="000000"/>
              <w:left w:val="nil"/>
              <w:bottom w:val="single" w:sz="6" w:space="0" w:color="auto"/>
              <w:right w:val="nil"/>
            </w:tcBorders>
            <w:shd w:val="clear" w:color="auto" w:fill="000000"/>
            <w:hideMark/>
          </w:tcPr>
          <w:p w14:paraId="75B2AE0D"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MS </w:t>
            </w:r>
          </w:p>
          <w:p w14:paraId="62CC1BBC"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(n=100) </w:t>
            </w:r>
          </w:p>
        </w:tc>
        <w:tc>
          <w:tcPr>
            <w:tcW w:w="1530" w:type="dxa"/>
            <w:gridSpan w:val="2"/>
            <w:tcBorders>
              <w:top w:val="single" w:sz="6" w:space="0" w:color="000000"/>
              <w:left w:val="nil"/>
              <w:bottom w:val="single" w:sz="6" w:space="0" w:color="auto"/>
              <w:right w:val="nil"/>
            </w:tcBorders>
            <w:shd w:val="clear" w:color="auto" w:fill="000000"/>
            <w:hideMark/>
          </w:tcPr>
          <w:p w14:paraId="4B50F49B"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TWU </w:t>
            </w:r>
          </w:p>
          <w:p w14:paraId="7BC4BB11"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(n=219) </w:t>
            </w:r>
          </w:p>
        </w:tc>
        <w:tc>
          <w:tcPr>
            <w:tcW w:w="1530" w:type="dxa"/>
            <w:gridSpan w:val="2"/>
            <w:tcBorders>
              <w:top w:val="single" w:sz="6" w:space="0" w:color="000000"/>
              <w:left w:val="nil"/>
              <w:bottom w:val="single" w:sz="6" w:space="0" w:color="auto"/>
              <w:right w:val="single" w:sz="6" w:space="0" w:color="000000"/>
            </w:tcBorders>
            <w:shd w:val="clear" w:color="auto" w:fill="000000"/>
            <w:hideMark/>
          </w:tcPr>
          <w:p w14:paraId="4549766F"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Total </w:t>
            </w:r>
          </w:p>
          <w:p w14:paraId="2E515286"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 351) </w:t>
            </w:r>
          </w:p>
        </w:tc>
      </w:tr>
      <w:tr w:rsidR="007D175D" w:rsidRPr="007D175D" w14:paraId="71E21C92" w14:textId="77777777">
        <w:trPr>
          <w:trHeight w:val="135"/>
          <w:tblHeader/>
        </w:trPr>
        <w:tc>
          <w:tcPr>
            <w:tcW w:w="3555" w:type="dxa"/>
            <w:tcBorders>
              <w:top w:val="single" w:sz="6" w:space="0" w:color="auto"/>
              <w:left w:val="single" w:sz="6" w:space="0" w:color="000000"/>
              <w:bottom w:val="single" w:sz="6" w:space="0" w:color="auto"/>
              <w:right w:val="nil"/>
            </w:tcBorders>
            <w:shd w:val="clear" w:color="auto" w:fill="000000"/>
            <w:hideMark/>
          </w:tcPr>
          <w:p w14:paraId="6A8D2900"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FFFFFF"/>
                <w:sz w:val="18"/>
                <w:szCs w:val="18"/>
                <w:lang w:eastAsia="en-AU"/>
              </w:rPr>
              <w:t> </w:t>
            </w:r>
          </w:p>
        </w:tc>
        <w:tc>
          <w:tcPr>
            <w:tcW w:w="780" w:type="dxa"/>
            <w:tcBorders>
              <w:top w:val="single" w:sz="6" w:space="0" w:color="auto"/>
              <w:left w:val="nil"/>
              <w:bottom w:val="single" w:sz="6" w:space="0" w:color="auto"/>
              <w:right w:val="nil"/>
            </w:tcBorders>
            <w:shd w:val="clear" w:color="auto" w:fill="000000"/>
            <w:hideMark/>
          </w:tcPr>
          <w:p w14:paraId="446AD9B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 </w:t>
            </w:r>
          </w:p>
        </w:tc>
        <w:tc>
          <w:tcPr>
            <w:tcW w:w="750" w:type="dxa"/>
            <w:tcBorders>
              <w:top w:val="single" w:sz="6" w:space="0" w:color="auto"/>
              <w:left w:val="nil"/>
              <w:bottom w:val="single" w:sz="6" w:space="0" w:color="auto"/>
              <w:right w:val="nil"/>
            </w:tcBorders>
            <w:shd w:val="clear" w:color="auto" w:fill="000000"/>
            <w:hideMark/>
          </w:tcPr>
          <w:p w14:paraId="52300CD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 </w:t>
            </w:r>
          </w:p>
        </w:tc>
        <w:tc>
          <w:tcPr>
            <w:tcW w:w="780" w:type="dxa"/>
            <w:tcBorders>
              <w:top w:val="single" w:sz="6" w:space="0" w:color="auto"/>
              <w:left w:val="nil"/>
              <w:bottom w:val="single" w:sz="6" w:space="0" w:color="auto"/>
              <w:right w:val="nil"/>
            </w:tcBorders>
            <w:shd w:val="clear" w:color="auto" w:fill="000000"/>
            <w:hideMark/>
          </w:tcPr>
          <w:p w14:paraId="186869A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 </w:t>
            </w:r>
          </w:p>
        </w:tc>
        <w:tc>
          <w:tcPr>
            <w:tcW w:w="750" w:type="dxa"/>
            <w:tcBorders>
              <w:top w:val="single" w:sz="6" w:space="0" w:color="auto"/>
              <w:left w:val="nil"/>
              <w:bottom w:val="single" w:sz="6" w:space="0" w:color="auto"/>
              <w:right w:val="nil"/>
            </w:tcBorders>
            <w:shd w:val="clear" w:color="auto" w:fill="000000"/>
            <w:hideMark/>
          </w:tcPr>
          <w:p w14:paraId="78A9AFD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 </w:t>
            </w:r>
          </w:p>
        </w:tc>
        <w:tc>
          <w:tcPr>
            <w:tcW w:w="780" w:type="dxa"/>
            <w:tcBorders>
              <w:top w:val="single" w:sz="6" w:space="0" w:color="auto"/>
              <w:left w:val="nil"/>
              <w:bottom w:val="single" w:sz="6" w:space="0" w:color="auto"/>
              <w:right w:val="nil"/>
            </w:tcBorders>
            <w:shd w:val="clear" w:color="auto" w:fill="000000"/>
            <w:hideMark/>
          </w:tcPr>
          <w:p w14:paraId="20CC91B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 </w:t>
            </w:r>
          </w:p>
        </w:tc>
        <w:tc>
          <w:tcPr>
            <w:tcW w:w="750" w:type="dxa"/>
            <w:tcBorders>
              <w:top w:val="single" w:sz="6" w:space="0" w:color="auto"/>
              <w:left w:val="nil"/>
              <w:bottom w:val="single" w:sz="6" w:space="0" w:color="auto"/>
              <w:right w:val="nil"/>
            </w:tcBorders>
            <w:shd w:val="clear" w:color="auto" w:fill="000000"/>
            <w:hideMark/>
          </w:tcPr>
          <w:p w14:paraId="62FF10F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 </w:t>
            </w:r>
          </w:p>
        </w:tc>
        <w:tc>
          <w:tcPr>
            <w:tcW w:w="780" w:type="dxa"/>
            <w:tcBorders>
              <w:top w:val="single" w:sz="6" w:space="0" w:color="auto"/>
              <w:left w:val="nil"/>
              <w:bottom w:val="single" w:sz="6" w:space="0" w:color="auto"/>
              <w:right w:val="nil"/>
            </w:tcBorders>
            <w:shd w:val="clear" w:color="auto" w:fill="000000"/>
            <w:hideMark/>
          </w:tcPr>
          <w:p w14:paraId="6E3BAF3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 </w:t>
            </w:r>
          </w:p>
        </w:tc>
        <w:tc>
          <w:tcPr>
            <w:tcW w:w="750" w:type="dxa"/>
            <w:tcBorders>
              <w:top w:val="single" w:sz="6" w:space="0" w:color="auto"/>
              <w:left w:val="nil"/>
              <w:bottom w:val="single" w:sz="6" w:space="0" w:color="auto"/>
              <w:right w:val="single" w:sz="6" w:space="0" w:color="000000"/>
            </w:tcBorders>
            <w:shd w:val="clear" w:color="auto" w:fill="000000"/>
            <w:hideMark/>
          </w:tcPr>
          <w:p w14:paraId="02BEEEF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 </w:t>
            </w:r>
          </w:p>
        </w:tc>
      </w:tr>
      <w:tr w:rsidR="007D175D" w:rsidRPr="007D175D" w14:paraId="4F066EF1" w14:textId="77777777">
        <w:trPr>
          <w:trHeight w:val="270"/>
        </w:trPr>
        <w:tc>
          <w:tcPr>
            <w:tcW w:w="3555" w:type="dxa"/>
            <w:tcBorders>
              <w:top w:val="single" w:sz="6" w:space="0" w:color="auto"/>
              <w:left w:val="single" w:sz="6" w:space="0" w:color="000000"/>
              <w:bottom w:val="single" w:sz="6" w:space="0" w:color="000000"/>
              <w:right w:val="nil"/>
            </w:tcBorders>
            <w:shd w:val="clear" w:color="auto" w:fill="auto"/>
            <w:hideMark/>
          </w:tcPr>
          <w:p w14:paraId="0A6EF8A4"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Complete activities </w:t>
            </w:r>
          </w:p>
        </w:tc>
        <w:tc>
          <w:tcPr>
            <w:tcW w:w="780" w:type="dxa"/>
            <w:tcBorders>
              <w:top w:val="single" w:sz="6" w:space="0" w:color="auto"/>
              <w:left w:val="nil"/>
              <w:bottom w:val="single" w:sz="6" w:space="0" w:color="000000"/>
              <w:right w:val="nil"/>
            </w:tcBorders>
            <w:shd w:val="clear" w:color="auto" w:fill="auto"/>
            <w:hideMark/>
          </w:tcPr>
          <w:p w14:paraId="5E456FD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28 </w:t>
            </w:r>
          </w:p>
        </w:tc>
        <w:tc>
          <w:tcPr>
            <w:tcW w:w="750" w:type="dxa"/>
            <w:tcBorders>
              <w:top w:val="single" w:sz="6" w:space="0" w:color="auto"/>
              <w:left w:val="nil"/>
              <w:bottom w:val="single" w:sz="6" w:space="0" w:color="000000"/>
              <w:right w:val="nil"/>
            </w:tcBorders>
            <w:shd w:val="clear" w:color="auto" w:fill="auto"/>
            <w:hideMark/>
          </w:tcPr>
          <w:p w14:paraId="28E050C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88 </w:t>
            </w:r>
          </w:p>
        </w:tc>
        <w:tc>
          <w:tcPr>
            <w:tcW w:w="780" w:type="dxa"/>
            <w:tcBorders>
              <w:top w:val="single" w:sz="6" w:space="0" w:color="auto"/>
              <w:left w:val="nil"/>
              <w:bottom w:val="single" w:sz="6" w:space="0" w:color="000000"/>
              <w:right w:val="nil"/>
            </w:tcBorders>
            <w:shd w:val="clear" w:color="auto" w:fill="auto"/>
            <w:hideMark/>
          </w:tcPr>
          <w:p w14:paraId="40882C6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77 </w:t>
            </w:r>
          </w:p>
        </w:tc>
        <w:tc>
          <w:tcPr>
            <w:tcW w:w="750" w:type="dxa"/>
            <w:tcBorders>
              <w:top w:val="single" w:sz="6" w:space="0" w:color="auto"/>
              <w:left w:val="nil"/>
              <w:bottom w:val="single" w:sz="6" w:space="0" w:color="000000"/>
              <w:right w:val="nil"/>
            </w:tcBorders>
            <w:shd w:val="clear" w:color="auto" w:fill="auto"/>
            <w:hideMark/>
          </w:tcPr>
          <w:p w14:paraId="431B344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77 </w:t>
            </w:r>
          </w:p>
        </w:tc>
        <w:tc>
          <w:tcPr>
            <w:tcW w:w="780" w:type="dxa"/>
            <w:tcBorders>
              <w:top w:val="single" w:sz="6" w:space="0" w:color="auto"/>
              <w:left w:val="nil"/>
              <w:bottom w:val="single" w:sz="6" w:space="0" w:color="000000"/>
              <w:right w:val="nil"/>
            </w:tcBorders>
            <w:shd w:val="clear" w:color="auto" w:fill="auto"/>
            <w:hideMark/>
          </w:tcPr>
          <w:p w14:paraId="05B1FDC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202 </w:t>
            </w:r>
          </w:p>
        </w:tc>
        <w:tc>
          <w:tcPr>
            <w:tcW w:w="750" w:type="dxa"/>
            <w:tcBorders>
              <w:top w:val="single" w:sz="6" w:space="0" w:color="auto"/>
              <w:left w:val="nil"/>
              <w:bottom w:val="single" w:sz="6" w:space="0" w:color="000000"/>
              <w:right w:val="nil"/>
            </w:tcBorders>
            <w:shd w:val="clear" w:color="auto" w:fill="auto"/>
            <w:hideMark/>
          </w:tcPr>
          <w:p w14:paraId="1861C80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92 </w:t>
            </w:r>
          </w:p>
        </w:tc>
        <w:tc>
          <w:tcPr>
            <w:tcW w:w="780" w:type="dxa"/>
            <w:tcBorders>
              <w:top w:val="single" w:sz="6" w:space="0" w:color="auto"/>
              <w:left w:val="nil"/>
              <w:bottom w:val="single" w:sz="6" w:space="0" w:color="000000"/>
              <w:right w:val="nil"/>
            </w:tcBorders>
            <w:shd w:val="clear" w:color="auto" w:fill="auto"/>
            <w:hideMark/>
          </w:tcPr>
          <w:p w14:paraId="7A42D33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307 </w:t>
            </w:r>
          </w:p>
        </w:tc>
        <w:tc>
          <w:tcPr>
            <w:tcW w:w="750" w:type="dxa"/>
            <w:tcBorders>
              <w:top w:val="single" w:sz="6" w:space="0" w:color="auto"/>
              <w:left w:val="nil"/>
              <w:bottom w:val="single" w:sz="6" w:space="0" w:color="000000"/>
              <w:right w:val="single" w:sz="6" w:space="0" w:color="000000"/>
            </w:tcBorders>
            <w:shd w:val="clear" w:color="auto" w:fill="auto"/>
            <w:hideMark/>
          </w:tcPr>
          <w:p w14:paraId="70AD9A5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87 </w:t>
            </w:r>
          </w:p>
        </w:tc>
      </w:tr>
      <w:tr w:rsidR="007D175D" w:rsidRPr="007D175D" w14:paraId="7D08E129" w14:textId="77777777">
        <w:trPr>
          <w:trHeight w:val="1245"/>
        </w:trPr>
        <w:tc>
          <w:tcPr>
            <w:tcW w:w="3555" w:type="dxa"/>
            <w:tcBorders>
              <w:top w:val="single" w:sz="6" w:space="0" w:color="000000"/>
              <w:left w:val="single" w:sz="6" w:space="0" w:color="000000"/>
              <w:bottom w:val="single" w:sz="6" w:space="0" w:color="000000"/>
              <w:right w:val="nil"/>
            </w:tcBorders>
            <w:shd w:val="clear" w:color="auto" w:fill="auto"/>
            <w:hideMark/>
          </w:tcPr>
          <w:p w14:paraId="44DAF914"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Time to complete (n=307) </w:t>
            </w:r>
          </w:p>
          <w:p w14:paraId="1F9252D4"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10 to 20 minutes</w:t>
            </w:r>
            <w:r w:rsidRPr="007D175D">
              <w:rPr>
                <w:rFonts w:asciiTheme="minorHAnsi" w:hAnsiTheme="minorHAnsi" w:cstheme="minorHAnsi"/>
                <w:b/>
                <w:bCs/>
                <w:color w:val="000000"/>
                <w:sz w:val="18"/>
                <w:szCs w:val="18"/>
                <w:lang w:eastAsia="en-AU"/>
              </w:rPr>
              <w:t> </w:t>
            </w:r>
          </w:p>
          <w:p w14:paraId="4B804B55"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21 to 30 minutes</w:t>
            </w:r>
            <w:r w:rsidRPr="007D175D">
              <w:rPr>
                <w:rFonts w:asciiTheme="minorHAnsi" w:hAnsiTheme="minorHAnsi" w:cstheme="minorHAnsi"/>
                <w:b/>
                <w:bCs/>
                <w:color w:val="000000"/>
                <w:sz w:val="18"/>
                <w:szCs w:val="18"/>
                <w:lang w:eastAsia="en-AU"/>
              </w:rPr>
              <w:t> </w:t>
            </w:r>
          </w:p>
          <w:p w14:paraId="13D6DE30"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31 to 40 minutes</w:t>
            </w:r>
            <w:r w:rsidRPr="007D175D">
              <w:rPr>
                <w:rFonts w:asciiTheme="minorHAnsi" w:hAnsiTheme="minorHAnsi" w:cstheme="minorHAnsi"/>
                <w:b/>
                <w:bCs/>
                <w:color w:val="000000"/>
                <w:sz w:val="18"/>
                <w:szCs w:val="18"/>
                <w:lang w:eastAsia="en-AU"/>
              </w:rPr>
              <w:t> </w:t>
            </w:r>
          </w:p>
          <w:p w14:paraId="351696E7"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Less than 10 minutes</w:t>
            </w:r>
            <w:r w:rsidRPr="007D175D">
              <w:rPr>
                <w:rFonts w:asciiTheme="minorHAnsi" w:hAnsiTheme="minorHAnsi" w:cstheme="minorHAnsi"/>
                <w:b/>
                <w:bCs/>
                <w:color w:val="000000"/>
                <w:sz w:val="18"/>
                <w:szCs w:val="18"/>
                <w:lang w:eastAsia="en-AU"/>
              </w:rPr>
              <w:t> </w:t>
            </w:r>
          </w:p>
          <w:p w14:paraId="3EA7EFFD"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Over 40 minutes</w:t>
            </w:r>
            <w:r w:rsidRPr="007D175D">
              <w:rPr>
                <w:rFonts w:asciiTheme="minorHAnsi" w:hAnsiTheme="minorHAnsi" w:cstheme="minorHAnsi"/>
                <w:b/>
                <w:bCs/>
                <w:color w:val="000000"/>
                <w:sz w:val="18"/>
                <w:szCs w:val="18"/>
                <w:lang w:eastAsia="en-AU"/>
              </w:rPr>
              <w:t> </w:t>
            </w:r>
          </w:p>
        </w:tc>
        <w:tc>
          <w:tcPr>
            <w:tcW w:w="780" w:type="dxa"/>
            <w:tcBorders>
              <w:top w:val="single" w:sz="6" w:space="0" w:color="000000"/>
              <w:left w:val="nil"/>
              <w:bottom w:val="single" w:sz="6" w:space="0" w:color="000000"/>
              <w:right w:val="nil"/>
            </w:tcBorders>
            <w:shd w:val="clear" w:color="auto" w:fill="auto"/>
            <w:hideMark/>
          </w:tcPr>
          <w:p w14:paraId="4BAE8F1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2B4E29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706678C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263438A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3C6EE8E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05E9347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tc>
        <w:tc>
          <w:tcPr>
            <w:tcW w:w="750" w:type="dxa"/>
            <w:tcBorders>
              <w:top w:val="single" w:sz="6" w:space="0" w:color="000000"/>
              <w:left w:val="nil"/>
              <w:bottom w:val="single" w:sz="6" w:space="0" w:color="000000"/>
              <w:right w:val="nil"/>
            </w:tcBorders>
            <w:shd w:val="clear" w:color="auto" w:fill="auto"/>
            <w:hideMark/>
          </w:tcPr>
          <w:p w14:paraId="5E8E979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F59637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29 </w:t>
            </w:r>
          </w:p>
          <w:p w14:paraId="4349217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21 </w:t>
            </w:r>
          </w:p>
          <w:p w14:paraId="6794F71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58D9188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21 </w:t>
            </w:r>
          </w:p>
          <w:p w14:paraId="1B8F030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21 </w:t>
            </w:r>
          </w:p>
        </w:tc>
        <w:tc>
          <w:tcPr>
            <w:tcW w:w="780" w:type="dxa"/>
            <w:tcBorders>
              <w:top w:val="single" w:sz="6" w:space="0" w:color="000000"/>
              <w:left w:val="nil"/>
              <w:bottom w:val="single" w:sz="6" w:space="0" w:color="000000"/>
              <w:right w:val="nil"/>
            </w:tcBorders>
            <w:shd w:val="clear" w:color="auto" w:fill="auto"/>
            <w:hideMark/>
          </w:tcPr>
          <w:p w14:paraId="58750E4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DB1534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25 </w:t>
            </w:r>
          </w:p>
          <w:p w14:paraId="36D44E9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21 </w:t>
            </w:r>
          </w:p>
          <w:p w14:paraId="09D8C0F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5B708F9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084159F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16 </w:t>
            </w:r>
          </w:p>
        </w:tc>
        <w:tc>
          <w:tcPr>
            <w:tcW w:w="750" w:type="dxa"/>
            <w:tcBorders>
              <w:top w:val="single" w:sz="6" w:space="0" w:color="000000"/>
              <w:left w:val="nil"/>
              <w:bottom w:val="single" w:sz="6" w:space="0" w:color="000000"/>
              <w:right w:val="nil"/>
            </w:tcBorders>
            <w:shd w:val="clear" w:color="auto" w:fill="auto"/>
            <w:hideMark/>
          </w:tcPr>
          <w:p w14:paraId="4E26195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6A74E6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32 </w:t>
            </w:r>
          </w:p>
          <w:p w14:paraId="7B770AB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27 </w:t>
            </w:r>
          </w:p>
          <w:p w14:paraId="20E438F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6E6A7E6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14 </w:t>
            </w:r>
          </w:p>
          <w:p w14:paraId="067FF60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21 </w:t>
            </w:r>
          </w:p>
        </w:tc>
        <w:tc>
          <w:tcPr>
            <w:tcW w:w="780" w:type="dxa"/>
            <w:tcBorders>
              <w:top w:val="single" w:sz="6" w:space="0" w:color="000000"/>
              <w:left w:val="nil"/>
              <w:bottom w:val="single" w:sz="6" w:space="0" w:color="000000"/>
              <w:right w:val="nil"/>
            </w:tcBorders>
            <w:shd w:val="clear" w:color="auto" w:fill="auto"/>
            <w:hideMark/>
          </w:tcPr>
          <w:p w14:paraId="760D746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D369C4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87 </w:t>
            </w:r>
          </w:p>
          <w:p w14:paraId="3316577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39 </w:t>
            </w:r>
          </w:p>
          <w:p w14:paraId="7B272E7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22 </w:t>
            </w:r>
          </w:p>
          <w:p w14:paraId="292DDC0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37 </w:t>
            </w:r>
          </w:p>
          <w:p w14:paraId="5F5EC1E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17 </w:t>
            </w:r>
          </w:p>
        </w:tc>
        <w:tc>
          <w:tcPr>
            <w:tcW w:w="750" w:type="dxa"/>
            <w:tcBorders>
              <w:top w:val="single" w:sz="6" w:space="0" w:color="000000"/>
              <w:left w:val="nil"/>
              <w:bottom w:val="single" w:sz="6" w:space="0" w:color="000000"/>
              <w:right w:val="nil"/>
            </w:tcBorders>
            <w:shd w:val="clear" w:color="auto" w:fill="auto"/>
            <w:hideMark/>
          </w:tcPr>
          <w:p w14:paraId="514167B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53515D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43 </w:t>
            </w:r>
          </w:p>
          <w:p w14:paraId="7094FAE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19 </w:t>
            </w:r>
          </w:p>
          <w:p w14:paraId="1E6A698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735F326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p w14:paraId="261CF1B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tc>
        <w:tc>
          <w:tcPr>
            <w:tcW w:w="780" w:type="dxa"/>
            <w:tcBorders>
              <w:top w:val="single" w:sz="6" w:space="0" w:color="000000"/>
              <w:left w:val="nil"/>
              <w:bottom w:val="single" w:sz="6" w:space="0" w:color="000000"/>
              <w:right w:val="nil"/>
            </w:tcBorders>
            <w:shd w:val="clear" w:color="auto" w:fill="auto"/>
            <w:hideMark/>
          </w:tcPr>
          <w:p w14:paraId="3F717C6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FBE587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120 </w:t>
            </w:r>
          </w:p>
          <w:p w14:paraId="4455311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66 </w:t>
            </w:r>
          </w:p>
          <w:p w14:paraId="1349011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28 </w:t>
            </w:r>
          </w:p>
          <w:p w14:paraId="72BACE7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54 </w:t>
            </w:r>
          </w:p>
          <w:p w14:paraId="03900E5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39 </w:t>
            </w:r>
          </w:p>
        </w:tc>
        <w:tc>
          <w:tcPr>
            <w:tcW w:w="750" w:type="dxa"/>
            <w:tcBorders>
              <w:top w:val="single" w:sz="6" w:space="0" w:color="000000"/>
              <w:left w:val="nil"/>
              <w:bottom w:val="single" w:sz="6" w:space="0" w:color="000000"/>
              <w:right w:val="single" w:sz="6" w:space="0" w:color="000000"/>
            </w:tcBorders>
            <w:shd w:val="clear" w:color="auto" w:fill="auto"/>
            <w:hideMark/>
          </w:tcPr>
          <w:p w14:paraId="4882E85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118F99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39 </w:t>
            </w:r>
          </w:p>
          <w:p w14:paraId="162B425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21 </w:t>
            </w:r>
          </w:p>
          <w:p w14:paraId="149BBC9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359F02A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p w14:paraId="303504E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tc>
      </w:tr>
      <w:tr w:rsidR="007D175D" w:rsidRPr="007D175D" w14:paraId="3C1FA4B3" w14:textId="77777777">
        <w:trPr>
          <w:trHeight w:val="1320"/>
        </w:trPr>
        <w:tc>
          <w:tcPr>
            <w:tcW w:w="3555" w:type="dxa"/>
            <w:tcBorders>
              <w:top w:val="nil"/>
              <w:left w:val="single" w:sz="6" w:space="0" w:color="000000"/>
              <w:bottom w:val="nil"/>
              <w:right w:val="nil"/>
            </w:tcBorders>
            <w:shd w:val="clear" w:color="auto" w:fill="auto"/>
            <w:hideMark/>
          </w:tcPr>
          <w:p w14:paraId="58B2CF4A"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Informative (n=307) </w:t>
            </w:r>
          </w:p>
          <w:p w14:paraId="5EC72B37"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agree</w:t>
            </w:r>
            <w:r w:rsidRPr="007D175D">
              <w:rPr>
                <w:rFonts w:asciiTheme="minorHAnsi" w:hAnsiTheme="minorHAnsi" w:cstheme="minorHAnsi"/>
                <w:b/>
                <w:bCs/>
                <w:color w:val="000000"/>
                <w:sz w:val="18"/>
                <w:szCs w:val="18"/>
                <w:lang w:eastAsia="en-AU"/>
              </w:rPr>
              <w:t> </w:t>
            </w:r>
          </w:p>
          <w:p w14:paraId="19D1B4F3"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agree</w:t>
            </w:r>
            <w:r w:rsidRPr="007D175D">
              <w:rPr>
                <w:rFonts w:asciiTheme="minorHAnsi" w:hAnsiTheme="minorHAnsi" w:cstheme="minorHAnsi"/>
                <w:b/>
                <w:bCs/>
                <w:color w:val="000000"/>
                <w:sz w:val="18"/>
                <w:szCs w:val="18"/>
                <w:lang w:eastAsia="en-AU"/>
              </w:rPr>
              <w:t> </w:t>
            </w:r>
          </w:p>
          <w:p w14:paraId="1D178B32"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Neither agree nor disagree</w:t>
            </w:r>
            <w:r w:rsidRPr="007D175D">
              <w:rPr>
                <w:rFonts w:asciiTheme="minorHAnsi" w:hAnsiTheme="minorHAnsi" w:cstheme="minorHAnsi"/>
                <w:b/>
                <w:bCs/>
                <w:color w:val="000000"/>
                <w:sz w:val="18"/>
                <w:szCs w:val="18"/>
                <w:lang w:eastAsia="en-AU"/>
              </w:rPr>
              <w:t> </w:t>
            </w:r>
          </w:p>
          <w:p w14:paraId="2B43CA7E"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disagree</w:t>
            </w:r>
            <w:r w:rsidRPr="007D175D">
              <w:rPr>
                <w:rFonts w:asciiTheme="minorHAnsi" w:hAnsiTheme="minorHAnsi" w:cstheme="minorHAnsi"/>
                <w:b/>
                <w:bCs/>
                <w:color w:val="000000"/>
                <w:sz w:val="18"/>
                <w:szCs w:val="18"/>
                <w:lang w:eastAsia="en-AU"/>
              </w:rPr>
              <w:t> </w:t>
            </w:r>
          </w:p>
          <w:p w14:paraId="62BC08A1"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disagree</w:t>
            </w:r>
            <w:r w:rsidRPr="007D175D">
              <w:rPr>
                <w:rFonts w:asciiTheme="minorHAnsi" w:hAnsiTheme="minorHAnsi" w:cstheme="minorHAnsi"/>
                <w:b/>
                <w:bCs/>
                <w:color w:val="000000"/>
                <w:sz w:val="18"/>
                <w:szCs w:val="18"/>
                <w:lang w:eastAsia="en-AU"/>
              </w:rPr>
              <w:t> </w:t>
            </w:r>
          </w:p>
        </w:tc>
        <w:tc>
          <w:tcPr>
            <w:tcW w:w="780" w:type="dxa"/>
            <w:tcBorders>
              <w:top w:val="nil"/>
              <w:left w:val="nil"/>
              <w:bottom w:val="nil"/>
              <w:right w:val="nil"/>
            </w:tcBorders>
            <w:shd w:val="clear" w:color="auto" w:fill="auto"/>
            <w:hideMark/>
          </w:tcPr>
          <w:p w14:paraId="62A405E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983E4C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p w14:paraId="63EBBEE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6607178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391F7D8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0820515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50" w:type="dxa"/>
            <w:tcBorders>
              <w:top w:val="nil"/>
              <w:left w:val="nil"/>
              <w:bottom w:val="nil"/>
              <w:right w:val="nil"/>
            </w:tcBorders>
            <w:shd w:val="clear" w:color="auto" w:fill="auto"/>
            <w:hideMark/>
          </w:tcPr>
          <w:p w14:paraId="5ADCEBD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84F84C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64 </w:t>
            </w:r>
          </w:p>
          <w:p w14:paraId="4DA55D3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25 </w:t>
            </w:r>
          </w:p>
          <w:p w14:paraId="5BF61D8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0BD7013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5256273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80" w:type="dxa"/>
            <w:tcBorders>
              <w:top w:val="nil"/>
              <w:left w:val="nil"/>
              <w:bottom w:val="nil"/>
              <w:right w:val="nil"/>
            </w:tcBorders>
            <w:shd w:val="clear" w:color="auto" w:fill="auto"/>
            <w:hideMark/>
          </w:tcPr>
          <w:p w14:paraId="4E2A73F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DAEC90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33 </w:t>
            </w:r>
          </w:p>
          <w:p w14:paraId="456301A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35 </w:t>
            </w:r>
          </w:p>
          <w:p w14:paraId="024299D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5015905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664F70B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50" w:type="dxa"/>
            <w:tcBorders>
              <w:top w:val="nil"/>
              <w:left w:val="nil"/>
              <w:bottom w:val="nil"/>
              <w:right w:val="nil"/>
            </w:tcBorders>
            <w:shd w:val="clear" w:color="auto" w:fill="auto"/>
            <w:hideMark/>
          </w:tcPr>
          <w:p w14:paraId="10A4DB4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F7DEE3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43 </w:t>
            </w:r>
          </w:p>
          <w:p w14:paraId="3D298F2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45 </w:t>
            </w:r>
          </w:p>
          <w:p w14:paraId="7E6486D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71965D4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3085E91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80" w:type="dxa"/>
            <w:tcBorders>
              <w:top w:val="nil"/>
              <w:left w:val="nil"/>
              <w:bottom w:val="nil"/>
              <w:right w:val="nil"/>
            </w:tcBorders>
            <w:shd w:val="clear" w:color="auto" w:fill="auto"/>
            <w:hideMark/>
          </w:tcPr>
          <w:p w14:paraId="1C4B6E3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4D03EE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99 </w:t>
            </w:r>
          </w:p>
          <w:p w14:paraId="1409CE4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90 </w:t>
            </w:r>
          </w:p>
          <w:p w14:paraId="573A5F2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7560C58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1C861FD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50" w:type="dxa"/>
            <w:tcBorders>
              <w:top w:val="nil"/>
              <w:left w:val="nil"/>
              <w:bottom w:val="nil"/>
              <w:right w:val="nil"/>
            </w:tcBorders>
            <w:shd w:val="clear" w:color="auto" w:fill="auto"/>
            <w:hideMark/>
          </w:tcPr>
          <w:p w14:paraId="6080284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F9666A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49 </w:t>
            </w:r>
          </w:p>
          <w:p w14:paraId="37ED620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45 </w:t>
            </w:r>
          </w:p>
          <w:p w14:paraId="28D73B7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64119E5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12F48CC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80" w:type="dxa"/>
            <w:tcBorders>
              <w:top w:val="nil"/>
              <w:left w:val="nil"/>
              <w:bottom w:val="nil"/>
              <w:right w:val="nil"/>
            </w:tcBorders>
            <w:shd w:val="clear" w:color="auto" w:fill="auto"/>
            <w:hideMark/>
          </w:tcPr>
          <w:p w14:paraId="4ACA97D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92F3D1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150 </w:t>
            </w:r>
          </w:p>
          <w:p w14:paraId="0447611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132 </w:t>
            </w:r>
          </w:p>
          <w:p w14:paraId="4165737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21 </w:t>
            </w:r>
          </w:p>
          <w:p w14:paraId="6C0CA06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3B739F3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50" w:type="dxa"/>
            <w:tcBorders>
              <w:top w:val="nil"/>
              <w:left w:val="nil"/>
              <w:bottom w:val="nil"/>
              <w:right w:val="single" w:sz="6" w:space="0" w:color="000000"/>
            </w:tcBorders>
            <w:shd w:val="clear" w:color="auto" w:fill="auto"/>
            <w:hideMark/>
          </w:tcPr>
          <w:p w14:paraId="5DB0A3A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C82215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49 </w:t>
            </w:r>
          </w:p>
          <w:p w14:paraId="0746F0B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43 </w:t>
            </w:r>
          </w:p>
          <w:p w14:paraId="478E311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34FF170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39242EA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r>
      <w:tr w:rsidR="007D175D" w:rsidRPr="007D175D" w14:paraId="215ED2D4" w14:textId="77777777">
        <w:trPr>
          <w:trHeight w:val="1260"/>
        </w:trPr>
        <w:tc>
          <w:tcPr>
            <w:tcW w:w="3555" w:type="dxa"/>
            <w:tcBorders>
              <w:top w:val="single" w:sz="6" w:space="0" w:color="000000"/>
              <w:left w:val="single" w:sz="6" w:space="0" w:color="000000"/>
              <w:bottom w:val="single" w:sz="6" w:space="0" w:color="000000"/>
              <w:right w:val="nil"/>
            </w:tcBorders>
            <w:shd w:val="clear" w:color="auto" w:fill="auto"/>
            <w:hideMark/>
          </w:tcPr>
          <w:p w14:paraId="24FE388D"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Relevant (n=307) </w:t>
            </w:r>
          </w:p>
          <w:p w14:paraId="47CC44AD"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agree</w:t>
            </w:r>
            <w:r w:rsidRPr="007D175D">
              <w:rPr>
                <w:rFonts w:asciiTheme="minorHAnsi" w:hAnsiTheme="minorHAnsi" w:cstheme="minorHAnsi"/>
                <w:b/>
                <w:bCs/>
                <w:color w:val="000000"/>
                <w:sz w:val="18"/>
                <w:szCs w:val="18"/>
                <w:lang w:eastAsia="en-AU"/>
              </w:rPr>
              <w:t> </w:t>
            </w:r>
          </w:p>
          <w:p w14:paraId="02737752"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agree</w:t>
            </w:r>
            <w:r w:rsidRPr="007D175D">
              <w:rPr>
                <w:rFonts w:asciiTheme="minorHAnsi" w:hAnsiTheme="minorHAnsi" w:cstheme="minorHAnsi"/>
                <w:b/>
                <w:bCs/>
                <w:color w:val="000000"/>
                <w:sz w:val="18"/>
                <w:szCs w:val="18"/>
                <w:lang w:eastAsia="en-AU"/>
              </w:rPr>
              <w:t> </w:t>
            </w:r>
          </w:p>
          <w:p w14:paraId="22B5296E"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Neither agree nor disagree</w:t>
            </w:r>
            <w:r w:rsidRPr="007D175D">
              <w:rPr>
                <w:rFonts w:asciiTheme="minorHAnsi" w:hAnsiTheme="minorHAnsi" w:cstheme="minorHAnsi"/>
                <w:b/>
                <w:bCs/>
                <w:color w:val="000000"/>
                <w:sz w:val="18"/>
                <w:szCs w:val="18"/>
                <w:lang w:eastAsia="en-AU"/>
              </w:rPr>
              <w:t> </w:t>
            </w:r>
          </w:p>
          <w:p w14:paraId="1B0333FD"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disagree</w:t>
            </w:r>
            <w:r w:rsidRPr="007D175D">
              <w:rPr>
                <w:rFonts w:asciiTheme="minorHAnsi" w:hAnsiTheme="minorHAnsi" w:cstheme="minorHAnsi"/>
                <w:b/>
                <w:bCs/>
                <w:color w:val="000000"/>
                <w:sz w:val="18"/>
                <w:szCs w:val="18"/>
                <w:lang w:eastAsia="en-AU"/>
              </w:rPr>
              <w:t> </w:t>
            </w:r>
          </w:p>
          <w:p w14:paraId="64EE1EEA"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disagree</w:t>
            </w:r>
            <w:r w:rsidRPr="007D175D">
              <w:rPr>
                <w:rFonts w:asciiTheme="minorHAnsi" w:hAnsiTheme="minorHAnsi" w:cstheme="minorHAnsi"/>
                <w:b/>
                <w:bCs/>
                <w:color w:val="000000"/>
                <w:sz w:val="18"/>
                <w:szCs w:val="18"/>
                <w:lang w:eastAsia="en-AU"/>
              </w:rPr>
              <w:t> </w:t>
            </w:r>
          </w:p>
        </w:tc>
        <w:tc>
          <w:tcPr>
            <w:tcW w:w="780" w:type="dxa"/>
            <w:tcBorders>
              <w:top w:val="single" w:sz="6" w:space="0" w:color="000000"/>
              <w:left w:val="nil"/>
              <w:bottom w:val="single" w:sz="6" w:space="0" w:color="000000"/>
              <w:right w:val="nil"/>
            </w:tcBorders>
            <w:shd w:val="clear" w:color="auto" w:fill="auto"/>
            <w:hideMark/>
          </w:tcPr>
          <w:p w14:paraId="1E24E51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875039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12 </w:t>
            </w:r>
          </w:p>
          <w:p w14:paraId="0C176AB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14 </w:t>
            </w:r>
          </w:p>
          <w:p w14:paraId="79666E9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69AD447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37293AB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50" w:type="dxa"/>
            <w:tcBorders>
              <w:top w:val="single" w:sz="6" w:space="0" w:color="000000"/>
              <w:left w:val="nil"/>
              <w:bottom w:val="single" w:sz="6" w:space="0" w:color="000000"/>
              <w:right w:val="nil"/>
            </w:tcBorders>
            <w:shd w:val="clear" w:color="auto" w:fill="auto"/>
            <w:hideMark/>
          </w:tcPr>
          <w:p w14:paraId="43BE470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5B7115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43 </w:t>
            </w:r>
          </w:p>
          <w:p w14:paraId="0B20E28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50 </w:t>
            </w:r>
          </w:p>
          <w:p w14:paraId="079EA68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6C66D12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3F72655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80" w:type="dxa"/>
            <w:tcBorders>
              <w:top w:val="single" w:sz="6" w:space="0" w:color="000000"/>
              <w:left w:val="nil"/>
              <w:bottom w:val="single" w:sz="6" w:space="0" w:color="000000"/>
              <w:right w:val="nil"/>
            </w:tcBorders>
            <w:shd w:val="clear" w:color="auto" w:fill="auto"/>
            <w:hideMark/>
          </w:tcPr>
          <w:p w14:paraId="22A5850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2EE3F8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34 </w:t>
            </w:r>
          </w:p>
          <w:p w14:paraId="4907146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28 </w:t>
            </w:r>
          </w:p>
          <w:p w14:paraId="2FA6736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1FA63B4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473C7B6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c>
          <w:tcPr>
            <w:tcW w:w="750" w:type="dxa"/>
            <w:tcBorders>
              <w:top w:val="single" w:sz="6" w:space="0" w:color="000000"/>
              <w:left w:val="nil"/>
              <w:bottom w:val="single" w:sz="6" w:space="0" w:color="000000"/>
              <w:right w:val="nil"/>
            </w:tcBorders>
            <w:shd w:val="clear" w:color="auto" w:fill="auto"/>
            <w:hideMark/>
          </w:tcPr>
          <w:p w14:paraId="765777E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4A0F14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44 </w:t>
            </w:r>
          </w:p>
          <w:p w14:paraId="7D55088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36 </w:t>
            </w:r>
          </w:p>
          <w:p w14:paraId="42353E2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0F9DEB4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3857FAD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tc>
        <w:tc>
          <w:tcPr>
            <w:tcW w:w="780" w:type="dxa"/>
            <w:tcBorders>
              <w:top w:val="single" w:sz="6" w:space="0" w:color="000000"/>
              <w:left w:val="nil"/>
              <w:bottom w:val="single" w:sz="6" w:space="0" w:color="000000"/>
              <w:right w:val="nil"/>
            </w:tcBorders>
            <w:shd w:val="clear" w:color="auto" w:fill="auto"/>
            <w:hideMark/>
          </w:tcPr>
          <w:p w14:paraId="223E706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06B140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84 </w:t>
            </w:r>
          </w:p>
          <w:p w14:paraId="36EB5C7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100 </w:t>
            </w:r>
          </w:p>
          <w:p w14:paraId="7E47A6A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1DD1824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097FB26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750" w:type="dxa"/>
            <w:tcBorders>
              <w:top w:val="single" w:sz="6" w:space="0" w:color="000000"/>
              <w:left w:val="nil"/>
              <w:bottom w:val="single" w:sz="6" w:space="0" w:color="000000"/>
              <w:right w:val="nil"/>
            </w:tcBorders>
            <w:shd w:val="clear" w:color="auto" w:fill="auto"/>
            <w:hideMark/>
          </w:tcPr>
          <w:p w14:paraId="02EB5C9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A4B60B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42 </w:t>
            </w:r>
          </w:p>
          <w:p w14:paraId="58CA739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50 </w:t>
            </w:r>
          </w:p>
          <w:p w14:paraId="69C09B2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1D0C1AD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746E08A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80" w:type="dxa"/>
            <w:tcBorders>
              <w:top w:val="single" w:sz="6" w:space="0" w:color="000000"/>
              <w:left w:val="nil"/>
              <w:bottom w:val="single" w:sz="6" w:space="0" w:color="000000"/>
              <w:right w:val="nil"/>
            </w:tcBorders>
            <w:shd w:val="clear" w:color="auto" w:fill="auto"/>
            <w:hideMark/>
          </w:tcPr>
          <w:p w14:paraId="3C50215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91B61D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130 </w:t>
            </w:r>
          </w:p>
          <w:p w14:paraId="5A8461A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142 </w:t>
            </w:r>
          </w:p>
          <w:p w14:paraId="23A2E52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21 </w:t>
            </w:r>
          </w:p>
          <w:p w14:paraId="3B3E372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5CD6A42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tc>
        <w:tc>
          <w:tcPr>
            <w:tcW w:w="750" w:type="dxa"/>
            <w:tcBorders>
              <w:top w:val="single" w:sz="6" w:space="0" w:color="000000"/>
              <w:left w:val="nil"/>
              <w:bottom w:val="single" w:sz="6" w:space="0" w:color="000000"/>
              <w:right w:val="single" w:sz="6" w:space="0" w:color="000000"/>
            </w:tcBorders>
            <w:shd w:val="clear" w:color="auto" w:fill="auto"/>
            <w:hideMark/>
          </w:tcPr>
          <w:p w14:paraId="3164C6A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2260E5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42 </w:t>
            </w:r>
          </w:p>
          <w:p w14:paraId="090134B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46 </w:t>
            </w:r>
          </w:p>
          <w:p w14:paraId="0E5015C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3160D7E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6B47178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r>
      <w:tr w:rsidR="007D175D" w:rsidRPr="007D175D" w14:paraId="7047C1F5" w14:textId="77777777">
        <w:trPr>
          <w:trHeight w:val="1335"/>
        </w:trPr>
        <w:tc>
          <w:tcPr>
            <w:tcW w:w="3555" w:type="dxa"/>
            <w:tcBorders>
              <w:top w:val="nil"/>
              <w:left w:val="single" w:sz="6" w:space="0" w:color="000000"/>
              <w:bottom w:val="nil"/>
              <w:right w:val="nil"/>
            </w:tcBorders>
            <w:shd w:val="clear" w:color="auto" w:fill="auto"/>
            <w:hideMark/>
          </w:tcPr>
          <w:p w14:paraId="4DCAC809"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Made to think (n=307) </w:t>
            </w:r>
          </w:p>
          <w:p w14:paraId="7768E3DF"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agree</w:t>
            </w:r>
            <w:r w:rsidRPr="007D175D">
              <w:rPr>
                <w:rFonts w:asciiTheme="minorHAnsi" w:hAnsiTheme="minorHAnsi" w:cstheme="minorHAnsi"/>
                <w:b/>
                <w:bCs/>
                <w:color w:val="000000"/>
                <w:sz w:val="18"/>
                <w:szCs w:val="18"/>
                <w:lang w:eastAsia="en-AU"/>
              </w:rPr>
              <w:t> </w:t>
            </w:r>
          </w:p>
          <w:p w14:paraId="0DFAE3B7"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agree</w:t>
            </w:r>
            <w:r w:rsidRPr="007D175D">
              <w:rPr>
                <w:rFonts w:asciiTheme="minorHAnsi" w:hAnsiTheme="minorHAnsi" w:cstheme="minorHAnsi"/>
                <w:b/>
                <w:bCs/>
                <w:color w:val="000000"/>
                <w:sz w:val="18"/>
                <w:szCs w:val="18"/>
                <w:lang w:eastAsia="en-AU"/>
              </w:rPr>
              <w:t> </w:t>
            </w:r>
          </w:p>
          <w:p w14:paraId="6CFEA723"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Neither agree nor disagree</w:t>
            </w:r>
            <w:r w:rsidRPr="007D175D">
              <w:rPr>
                <w:rFonts w:asciiTheme="minorHAnsi" w:hAnsiTheme="minorHAnsi" w:cstheme="minorHAnsi"/>
                <w:b/>
                <w:bCs/>
                <w:color w:val="000000"/>
                <w:sz w:val="18"/>
                <w:szCs w:val="18"/>
                <w:lang w:eastAsia="en-AU"/>
              </w:rPr>
              <w:t> </w:t>
            </w:r>
          </w:p>
          <w:p w14:paraId="005EEABF"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disagree</w:t>
            </w:r>
            <w:r w:rsidRPr="007D175D">
              <w:rPr>
                <w:rFonts w:asciiTheme="minorHAnsi" w:hAnsiTheme="minorHAnsi" w:cstheme="minorHAnsi"/>
                <w:b/>
                <w:bCs/>
                <w:color w:val="000000"/>
                <w:sz w:val="18"/>
                <w:szCs w:val="18"/>
                <w:lang w:eastAsia="en-AU"/>
              </w:rPr>
              <w:t> </w:t>
            </w:r>
          </w:p>
          <w:p w14:paraId="54604CC5"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disagree</w:t>
            </w:r>
            <w:r w:rsidRPr="007D175D">
              <w:rPr>
                <w:rFonts w:asciiTheme="minorHAnsi" w:hAnsiTheme="minorHAnsi" w:cstheme="minorHAnsi"/>
                <w:b/>
                <w:bCs/>
                <w:color w:val="000000"/>
                <w:sz w:val="18"/>
                <w:szCs w:val="18"/>
                <w:lang w:eastAsia="en-AU"/>
              </w:rPr>
              <w:t> </w:t>
            </w:r>
          </w:p>
        </w:tc>
        <w:tc>
          <w:tcPr>
            <w:tcW w:w="780" w:type="dxa"/>
            <w:tcBorders>
              <w:top w:val="nil"/>
              <w:left w:val="nil"/>
              <w:bottom w:val="nil"/>
              <w:right w:val="nil"/>
            </w:tcBorders>
            <w:shd w:val="clear" w:color="auto" w:fill="auto"/>
            <w:hideMark/>
          </w:tcPr>
          <w:p w14:paraId="0D6E01E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04CB99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2A789D3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12 </w:t>
            </w:r>
          </w:p>
          <w:p w14:paraId="7033114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722ABEA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6CE0582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50" w:type="dxa"/>
            <w:tcBorders>
              <w:top w:val="nil"/>
              <w:left w:val="nil"/>
              <w:bottom w:val="nil"/>
              <w:right w:val="nil"/>
            </w:tcBorders>
            <w:shd w:val="clear" w:color="auto" w:fill="auto"/>
            <w:hideMark/>
          </w:tcPr>
          <w:p w14:paraId="75A250B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EFE7AA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46 </w:t>
            </w:r>
          </w:p>
          <w:p w14:paraId="33B354B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43 </w:t>
            </w:r>
          </w:p>
          <w:p w14:paraId="01C5F5C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2272B27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2534D9D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80" w:type="dxa"/>
            <w:tcBorders>
              <w:top w:val="nil"/>
              <w:left w:val="nil"/>
              <w:bottom w:val="nil"/>
              <w:right w:val="nil"/>
            </w:tcBorders>
            <w:shd w:val="clear" w:color="auto" w:fill="auto"/>
            <w:hideMark/>
          </w:tcPr>
          <w:p w14:paraId="77960BC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24FE3F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39 </w:t>
            </w:r>
          </w:p>
          <w:p w14:paraId="5DE90D3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28 </w:t>
            </w:r>
          </w:p>
          <w:p w14:paraId="50ADB1D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328BF59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3E59B16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50" w:type="dxa"/>
            <w:tcBorders>
              <w:top w:val="nil"/>
              <w:left w:val="nil"/>
              <w:bottom w:val="nil"/>
              <w:right w:val="nil"/>
            </w:tcBorders>
            <w:shd w:val="clear" w:color="auto" w:fill="auto"/>
            <w:hideMark/>
          </w:tcPr>
          <w:p w14:paraId="11F8309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96DA93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51 </w:t>
            </w:r>
          </w:p>
          <w:p w14:paraId="7F02577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36 </w:t>
            </w:r>
          </w:p>
          <w:p w14:paraId="17E21CA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587274A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39F2352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80" w:type="dxa"/>
            <w:tcBorders>
              <w:top w:val="nil"/>
              <w:left w:val="nil"/>
              <w:bottom w:val="nil"/>
              <w:right w:val="nil"/>
            </w:tcBorders>
            <w:shd w:val="clear" w:color="auto" w:fill="auto"/>
            <w:hideMark/>
          </w:tcPr>
          <w:p w14:paraId="1BED4CF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9AE83F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104 </w:t>
            </w:r>
          </w:p>
          <w:p w14:paraId="370A35B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83 </w:t>
            </w:r>
          </w:p>
          <w:p w14:paraId="1DBC496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5B58178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5D8AA71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50" w:type="dxa"/>
            <w:tcBorders>
              <w:top w:val="nil"/>
              <w:left w:val="nil"/>
              <w:bottom w:val="nil"/>
              <w:right w:val="nil"/>
            </w:tcBorders>
            <w:shd w:val="clear" w:color="auto" w:fill="auto"/>
            <w:hideMark/>
          </w:tcPr>
          <w:p w14:paraId="2B385D5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C62B45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51 </w:t>
            </w:r>
          </w:p>
          <w:p w14:paraId="61AD5B9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41 </w:t>
            </w:r>
          </w:p>
          <w:p w14:paraId="529FEF4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5CAC13F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5086F75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80" w:type="dxa"/>
            <w:tcBorders>
              <w:top w:val="nil"/>
              <w:left w:val="nil"/>
              <w:bottom w:val="nil"/>
              <w:right w:val="nil"/>
            </w:tcBorders>
            <w:shd w:val="clear" w:color="auto" w:fill="auto"/>
            <w:hideMark/>
          </w:tcPr>
          <w:p w14:paraId="64CCCF0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02F1F6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156 </w:t>
            </w:r>
          </w:p>
          <w:p w14:paraId="4AD38BE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123 </w:t>
            </w:r>
          </w:p>
          <w:p w14:paraId="30ABEC1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17 </w:t>
            </w:r>
          </w:p>
          <w:p w14:paraId="4E8C5AB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7981C33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50" w:type="dxa"/>
            <w:tcBorders>
              <w:top w:val="nil"/>
              <w:left w:val="nil"/>
              <w:bottom w:val="nil"/>
              <w:right w:val="single" w:sz="6" w:space="0" w:color="000000"/>
            </w:tcBorders>
            <w:shd w:val="clear" w:color="auto" w:fill="auto"/>
            <w:hideMark/>
          </w:tcPr>
          <w:p w14:paraId="022B554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3722F5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51 </w:t>
            </w:r>
          </w:p>
          <w:p w14:paraId="5E8E4A0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40 </w:t>
            </w:r>
          </w:p>
          <w:p w14:paraId="13BB25A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0DA0E84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70FB35B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r>
      <w:tr w:rsidR="007D175D" w:rsidRPr="007D175D" w14:paraId="273C9170" w14:textId="77777777">
        <w:trPr>
          <w:trHeight w:val="1275"/>
        </w:trPr>
        <w:tc>
          <w:tcPr>
            <w:tcW w:w="3555" w:type="dxa"/>
            <w:tcBorders>
              <w:top w:val="single" w:sz="6" w:space="0" w:color="000000"/>
              <w:left w:val="single" w:sz="6" w:space="0" w:color="000000"/>
              <w:bottom w:val="single" w:sz="6" w:space="0" w:color="000000"/>
              <w:right w:val="nil"/>
            </w:tcBorders>
            <w:shd w:val="clear" w:color="auto" w:fill="auto"/>
            <w:hideMark/>
          </w:tcPr>
          <w:p w14:paraId="0BE8BB2F"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Taught new strategies (n=307) </w:t>
            </w:r>
          </w:p>
          <w:p w14:paraId="7A61B231"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agree</w:t>
            </w:r>
            <w:r w:rsidRPr="007D175D">
              <w:rPr>
                <w:rFonts w:asciiTheme="minorHAnsi" w:hAnsiTheme="minorHAnsi" w:cstheme="minorHAnsi"/>
                <w:b/>
                <w:bCs/>
                <w:color w:val="000000"/>
                <w:sz w:val="18"/>
                <w:szCs w:val="18"/>
                <w:lang w:eastAsia="en-AU"/>
              </w:rPr>
              <w:t> </w:t>
            </w:r>
          </w:p>
          <w:p w14:paraId="10FE03E1"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agree</w:t>
            </w:r>
            <w:r w:rsidRPr="007D175D">
              <w:rPr>
                <w:rFonts w:asciiTheme="minorHAnsi" w:hAnsiTheme="minorHAnsi" w:cstheme="minorHAnsi"/>
                <w:b/>
                <w:bCs/>
                <w:color w:val="000000"/>
                <w:sz w:val="18"/>
                <w:szCs w:val="18"/>
                <w:lang w:eastAsia="en-AU"/>
              </w:rPr>
              <w:t> </w:t>
            </w:r>
          </w:p>
          <w:p w14:paraId="7BE78ECC"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Neither agree nor disagree</w:t>
            </w:r>
            <w:r w:rsidRPr="007D175D">
              <w:rPr>
                <w:rFonts w:asciiTheme="minorHAnsi" w:hAnsiTheme="minorHAnsi" w:cstheme="minorHAnsi"/>
                <w:b/>
                <w:bCs/>
                <w:color w:val="000000"/>
                <w:sz w:val="18"/>
                <w:szCs w:val="18"/>
                <w:lang w:eastAsia="en-AU"/>
              </w:rPr>
              <w:t> </w:t>
            </w:r>
          </w:p>
          <w:p w14:paraId="7D5E33EC"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disagree</w:t>
            </w:r>
            <w:r w:rsidRPr="007D175D">
              <w:rPr>
                <w:rFonts w:asciiTheme="minorHAnsi" w:hAnsiTheme="minorHAnsi" w:cstheme="minorHAnsi"/>
                <w:b/>
                <w:bCs/>
                <w:color w:val="000000"/>
                <w:sz w:val="18"/>
                <w:szCs w:val="18"/>
                <w:lang w:eastAsia="en-AU"/>
              </w:rPr>
              <w:t> </w:t>
            </w:r>
          </w:p>
          <w:p w14:paraId="21FAE2D7"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disagree</w:t>
            </w:r>
            <w:r w:rsidRPr="007D175D">
              <w:rPr>
                <w:rFonts w:asciiTheme="minorHAnsi" w:hAnsiTheme="minorHAnsi" w:cstheme="minorHAnsi"/>
                <w:b/>
                <w:bCs/>
                <w:color w:val="000000"/>
                <w:sz w:val="18"/>
                <w:szCs w:val="18"/>
                <w:lang w:eastAsia="en-AU"/>
              </w:rPr>
              <w:t> </w:t>
            </w:r>
          </w:p>
        </w:tc>
        <w:tc>
          <w:tcPr>
            <w:tcW w:w="780" w:type="dxa"/>
            <w:tcBorders>
              <w:top w:val="single" w:sz="6" w:space="0" w:color="000000"/>
              <w:left w:val="nil"/>
              <w:bottom w:val="single" w:sz="6" w:space="0" w:color="000000"/>
              <w:right w:val="nil"/>
            </w:tcBorders>
            <w:shd w:val="clear" w:color="auto" w:fill="auto"/>
            <w:hideMark/>
          </w:tcPr>
          <w:p w14:paraId="30DD208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E36C83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14 </w:t>
            </w:r>
          </w:p>
          <w:p w14:paraId="06ACD88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2FFA888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3953AD2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5A27A24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50" w:type="dxa"/>
            <w:tcBorders>
              <w:top w:val="single" w:sz="6" w:space="0" w:color="000000"/>
              <w:left w:val="nil"/>
              <w:bottom w:val="single" w:sz="6" w:space="0" w:color="000000"/>
              <w:right w:val="nil"/>
            </w:tcBorders>
            <w:shd w:val="clear" w:color="auto" w:fill="auto"/>
            <w:hideMark/>
          </w:tcPr>
          <w:p w14:paraId="3D88DB6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655C9F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50 </w:t>
            </w:r>
          </w:p>
          <w:p w14:paraId="6431265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39 </w:t>
            </w:r>
          </w:p>
          <w:p w14:paraId="4C99119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27442E2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7DABBB1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80" w:type="dxa"/>
            <w:tcBorders>
              <w:top w:val="single" w:sz="6" w:space="0" w:color="000000"/>
              <w:left w:val="nil"/>
              <w:bottom w:val="single" w:sz="6" w:space="0" w:color="000000"/>
              <w:right w:val="nil"/>
            </w:tcBorders>
            <w:shd w:val="clear" w:color="auto" w:fill="auto"/>
            <w:hideMark/>
          </w:tcPr>
          <w:p w14:paraId="4035B6F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7B9694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38 </w:t>
            </w:r>
          </w:p>
          <w:p w14:paraId="4F08246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29 </w:t>
            </w:r>
          </w:p>
          <w:p w14:paraId="06686C7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6F14DE4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0EA1131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50" w:type="dxa"/>
            <w:tcBorders>
              <w:top w:val="single" w:sz="6" w:space="0" w:color="000000"/>
              <w:left w:val="nil"/>
              <w:bottom w:val="single" w:sz="6" w:space="0" w:color="000000"/>
              <w:right w:val="nil"/>
            </w:tcBorders>
            <w:shd w:val="clear" w:color="auto" w:fill="auto"/>
            <w:hideMark/>
          </w:tcPr>
          <w:p w14:paraId="5466B24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2D1FB8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49 </w:t>
            </w:r>
          </w:p>
          <w:p w14:paraId="4CAA2FB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38 </w:t>
            </w:r>
          </w:p>
          <w:p w14:paraId="37F4A37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3F30215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347BCBE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80" w:type="dxa"/>
            <w:tcBorders>
              <w:top w:val="single" w:sz="6" w:space="0" w:color="000000"/>
              <w:left w:val="nil"/>
              <w:bottom w:val="single" w:sz="6" w:space="0" w:color="000000"/>
              <w:right w:val="nil"/>
            </w:tcBorders>
            <w:shd w:val="clear" w:color="auto" w:fill="auto"/>
            <w:hideMark/>
          </w:tcPr>
          <w:p w14:paraId="0C4AAA8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77C9A5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95 </w:t>
            </w:r>
          </w:p>
          <w:p w14:paraId="7239D64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88 </w:t>
            </w:r>
          </w:p>
          <w:p w14:paraId="2FDDE6A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6EE6DA4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294FC8E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tc>
        <w:tc>
          <w:tcPr>
            <w:tcW w:w="750" w:type="dxa"/>
            <w:tcBorders>
              <w:top w:val="single" w:sz="6" w:space="0" w:color="000000"/>
              <w:left w:val="nil"/>
              <w:bottom w:val="single" w:sz="6" w:space="0" w:color="000000"/>
              <w:right w:val="nil"/>
            </w:tcBorders>
            <w:shd w:val="clear" w:color="auto" w:fill="auto"/>
            <w:hideMark/>
          </w:tcPr>
          <w:p w14:paraId="74DC19B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AD377B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47 </w:t>
            </w:r>
          </w:p>
          <w:p w14:paraId="5DA4999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44 </w:t>
            </w:r>
          </w:p>
          <w:p w14:paraId="0EA54E9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76C3A4D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4A9753E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780" w:type="dxa"/>
            <w:tcBorders>
              <w:top w:val="single" w:sz="6" w:space="0" w:color="000000"/>
              <w:left w:val="nil"/>
              <w:bottom w:val="single" w:sz="6" w:space="0" w:color="000000"/>
              <w:right w:val="nil"/>
            </w:tcBorders>
            <w:shd w:val="clear" w:color="auto" w:fill="auto"/>
            <w:hideMark/>
          </w:tcPr>
          <w:p w14:paraId="2A7A743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6C8939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147 </w:t>
            </w:r>
          </w:p>
          <w:p w14:paraId="47D37B4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128 </w:t>
            </w:r>
          </w:p>
          <w:p w14:paraId="172DF23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21 </w:t>
            </w:r>
          </w:p>
          <w:p w14:paraId="58B21F7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446EF3B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tc>
        <w:tc>
          <w:tcPr>
            <w:tcW w:w="750" w:type="dxa"/>
            <w:tcBorders>
              <w:top w:val="single" w:sz="6" w:space="0" w:color="000000"/>
              <w:left w:val="nil"/>
              <w:bottom w:val="single" w:sz="6" w:space="0" w:color="000000"/>
              <w:right w:val="single" w:sz="6" w:space="0" w:color="000000"/>
            </w:tcBorders>
            <w:shd w:val="clear" w:color="auto" w:fill="auto"/>
            <w:hideMark/>
          </w:tcPr>
          <w:p w14:paraId="6F89D17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535650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48 </w:t>
            </w:r>
          </w:p>
          <w:p w14:paraId="3C706F4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42 </w:t>
            </w:r>
          </w:p>
          <w:p w14:paraId="40695B5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24E312E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36599F2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r>
      <w:tr w:rsidR="007D175D" w:rsidRPr="007D175D" w14:paraId="7769A233" w14:textId="77777777">
        <w:trPr>
          <w:trHeight w:val="1335"/>
        </w:trPr>
        <w:tc>
          <w:tcPr>
            <w:tcW w:w="3555" w:type="dxa"/>
            <w:tcBorders>
              <w:top w:val="nil"/>
              <w:left w:val="single" w:sz="6" w:space="0" w:color="000000"/>
              <w:bottom w:val="nil"/>
              <w:right w:val="nil"/>
            </w:tcBorders>
            <w:shd w:val="clear" w:color="auto" w:fill="auto"/>
            <w:hideMark/>
          </w:tcPr>
          <w:p w14:paraId="59A4347A"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Easy to understand (n=307) </w:t>
            </w:r>
          </w:p>
          <w:p w14:paraId="0B7E0E68"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agree</w:t>
            </w:r>
            <w:r w:rsidRPr="007D175D">
              <w:rPr>
                <w:rFonts w:asciiTheme="minorHAnsi" w:hAnsiTheme="minorHAnsi" w:cstheme="minorHAnsi"/>
                <w:b/>
                <w:bCs/>
                <w:color w:val="000000"/>
                <w:sz w:val="18"/>
                <w:szCs w:val="18"/>
                <w:lang w:eastAsia="en-AU"/>
              </w:rPr>
              <w:t> </w:t>
            </w:r>
          </w:p>
          <w:p w14:paraId="7DFB5656"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agree</w:t>
            </w:r>
            <w:r w:rsidRPr="007D175D">
              <w:rPr>
                <w:rFonts w:asciiTheme="minorHAnsi" w:hAnsiTheme="minorHAnsi" w:cstheme="minorHAnsi"/>
                <w:b/>
                <w:bCs/>
                <w:color w:val="000000"/>
                <w:sz w:val="18"/>
                <w:szCs w:val="18"/>
                <w:lang w:eastAsia="en-AU"/>
              </w:rPr>
              <w:t> </w:t>
            </w:r>
          </w:p>
          <w:p w14:paraId="2E2C280A"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Neither agree nor disagree</w:t>
            </w:r>
            <w:r w:rsidRPr="007D175D">
              <w:rPr>
                <w:rFonts w:asciiTheme="minorHAnsi" w:hAnsiTheme="minorHAnsi" w:cstheme="minorHAnsi"/>
                <w:b/>
                <w:bCs/>
                <w:color w:val="000000"/>
                <w:sz w:val="18"/>
                <w:szCs w:val="18"/>
                <w:lang w:eastAsia="en-AU"/>
              </w:rPr>
              <w:t> </w:t>
            </w:r>
          </w:p>
          <w:p w14:paraId="6F08D8C7"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disagree</w:t>
            </w:r>
            <w:r w:rsidRPr="007D175D">
              <w:rPr>
                <w:rFonts w:asciiTheme="minorHAnsi" w:hAnsiTheme="minorHAnsi" w:cstheme="minorHAnsi"/>
                <w:b/>
                <w:bCs/>
                <w:color w:val="000000"/>
                <w:sz w:val="18"/>
                <w:szCs w:val="18"/>
                <w:lang w:eastAsia="en-AU"/>
              </w:rPr>
              <w:t> </w:t>
            </w:r>
          </w:p>
          <w:p w14:paraId="41713FA2"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disagree</w:t>
            </w:r>
            <w:r w:rsidRPr="007D175D">
              <w:rPr>
                <w:rFonts w:asciiTheme="minorHAnsi" w:hAnsiTheme="minorHAnsi" w:cstheme="minorHAnsi"/>
                <w:b/>
                <w:bCs/>
                <w:color w:val="000000"/>
                <w:sz w:val="18"/>
                <w:szCs w:val="18"/>
                <w:lang w:eastAsia="en-AU"/>
              </w:rPr>
              <w:t> </w:t>
            </w:r>
          </w:p>
        </w:tc>
        <w:tc>
          <w:tcPr>
            <w:tcW w:w="780" w:type="dxa"/>
            <w:tcBorders>
              <w:top w:val="nil"/>
              <w:left w:val="nil"/>
              <w:bottom w:val="nil"/>
              <w:right w:val="nil"/>
            </w:tcBorders>
            <w:shd w:val="clear" w:color="auto" w:fill="auto"/>
            <w:hideMark/>
          </w:tcPr>
          <w:p w14:paraId="30A2EEB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5AC932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p w14:paraId="78974E7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5FA9DD5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129DD9D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4CBA77D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50" w:type="dxa"/>
            <w:tcBorders>
              <w:top w:val="nil"/>
              <w:left w:val="nil"/>
              <w:bottom w:val="nil"/>
              <w:right w:val="nil"/>
            </w:tcBorders>
            <w:shd w:val="clear" w:color="auto" w:fill="auto"/>
            <w:hideMark/>
          </w:tcPr>
          <w:p w14:paraId="2893C36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7BB1F0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64 </w:t>
            </w:r>
          </w:p>
          <w:p w14:paraId="70A2319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29 </w:t>
            </w:r>
          </w:p>
          <w:p w14:paraId="1956980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2A13E4C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583D10D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80" w:type="dxa"/>
            <w:tcBorders>
              <w:top w:val="nil"/>
              <w:left w:val="nil"/>
              <w:bottom w:val="nil"/>
              <w:right w:val="nil"/>
            </w:tcBorders>
            <w:shd w:val="clear" w:color="auto" w:fill="auto"/>
            <w:hideMark/>
          </w:tcPr>
          <w:p w14:paraId="39BB104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86CFC7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48 </w:t>
            </w:r>
          </w:p>
          <w:p w14:paraId="681D43C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20 </w:t>
            </w:r>
          </w:p>
          <w:p w14:paraId="45BF1DF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4FEE38D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010695D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50" w:type="dxa"/>
            <w:tcBorders>
              <w:top w:val="nil"/>
              <w:left w:val="nil"/>
              <w:bottom w:val="nil"/>
              <w:right w:val="nil"/>
            </w:tcBorders>
            <w:shd w:val="clear" w:color="auto" w:fill="auto"/>
            <w:hideMark/>
          </w:tcPr>
          <w:p w14:paraId="74AE88B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6BF656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62 </w:t>
            </w:r>
          </w:p>
          <w:p w14:paraId="57A27AD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26 </w:t>
            </w:r>
          </w:p>
          <w:p w14:paraId="0F4F29B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6B00911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0FCA4AD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80" w:type="dxa"/>
            <w:tcBorders>
              <w:top w:val="nil"/>
              <w:left w:val="nil"/>
              <w:bottom w:val="nil"/>
              <w:right w:val="nil"/>
            </w:tcBorders>
            <w:shd w:val="clear" w:color="auto" w:fill="auto"/>
            <w:hideMark/>
          </w:tcPr>
          <w:p w14:paraId="5EA5D1C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A6D979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114 </w:t>
            </w:r>
          </w:p>
          <w:p w14:paraId="795C21B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82 </w:t>
            </w:r>
          </w:p>
          <w:p w14:paraId="5E8732D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03B7350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267956B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750" w:type="dxa"/>
            <w:tcBorders>
              <w:top w:val="nil"/>
              <w:left w:val="nil"/>
              <w:bottom w:val="nil"/>
              <w:right w:val="nil"/>
            </w:tcBorders>
            <w:shd w:val="clear" w:color="auto" w:fill="auto"/>
            <w:hideMark/>
          </w:tcPr>
          <w:p w14:paraId="1800347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AE8D95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56 </w:t>
            </w:r>
          </w:p>
          <w:p w14:paraId="31E60BD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41 </w:t>
            </w:r>
          </w:p>
          <w:p w14:paraId="615FE90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377C844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3EEC12A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80" w:type="dxa"/>
            <w:tcBorders>
              <w:top w:val="nil"/>
              <w:left w:val="nil"/>
              <w:bottom w:val="nil"/>
              <w:right w:val="nil"/>
            </w:tcBorders>
            <w:shd w:val="clear" w:color="auto" w:fill="auto"/>
            <w:hideMark/>
          </w:tcPr>
          <w:p w14:paraId="01946F9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68A461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180 </w:t>
            </w:r>
          </w:p>
          <w:p w14:paraId="71B0478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110 </w:t>
            </w:r>
          </w:p>
          <w:p w14:paraId="12B4396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270A923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5B97F62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750" w:type="dxa"/>
            <w:tcBorders>
              <w:top w:val="nil"/>
              <w:left w:val="nil"/>
              <w:bottom w:val="nil"/>
              <w:right w:val="single" w:sz="6" w:space="0" w:color="000000"/>
            </w:tcBorders>
            <w:shd w:val="clear" w:color="auto" w:fill="auto"/>
            <w:hideMark/>
          </w:tcPr>
          <w:p w14:paraId="6FCA725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491FE8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59 </w:t>
            </w:r>
          </w:p>
          <w:p w14:paraId="2FDD4EA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36 </w:t>
            </w:r>
          </w:p>
          <w:p w14:paraId="581EB0C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2C6FF1B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5D99FC1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r>
      <w:tr w:rsidR="007D175D" w:rsidRPr="007D175D" w14:paraId="6A6EF0D6" w14:textId="77777777">
        <w:trPr>
          <w:trHeight w:val="1245"/>
        </w:trPr>
        <w:tc>
          <w:tcPr>
            <w:tcW w:w="3555" w:type="dxa"/>
            <w:tcBorders>
              <w:top w:val="single" w:sz="6" w:space="0" w:color="000000"/>
              <w:left w:val="single" w:sz="6" w:space="0" w:color="000000"/>
              <w:bottom w:val="single" w:sz="6" w:space="0" w:color="000000"/>
              <w:right w:val="nil"/>
            </w:tcBorders>
            <w:shd w:val="clear" w:color="auto" w:fill="auto"/>
            <w:hideMark/>
          </w:tcPr>
          <w:p w14:paraId="2A806B2D"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Easy to navigate (n=307) </w:t>
            </w:r>
          </w:p>
          <w:p w14:paraId="1B9C5F83"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agree</w:t>
            </w:r>
            <w:r w:rsidRPr="007D175D">
              <w:rPr>
                <w:rFonts w:asciiTheme="minorHAnsi" w:hAnsiTheme="minorHAnsi" w:cstheme="minorHAnsi"/>
                <w:b/>
                <w:bCs/>
                <w:color w:val="000000"/>
                <w:sz w:val="18"/>
                <w:szCs w:val="18"/>
                <w:lang w:eastAsia="en-AU"/>
              </w:rPr>
              <w:t> </w:t>
            </w:r>
          </w:p>
          <w:p w14:paraId="5908E6FA"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agree</w:t>
            </w:r>
            <w:r w:rsidRPr="007D175D">
              <w:rPr>
                <w:rFonts w:asciiTheme="minorHAnsi" w:hAnsiTheme="minorHAnsi" w:cstheme="minorHAnsi"/>
                <w:b/>
                <w:bCs/>
                <w:color w:val="000000"/>
                <w:sz w:val="18"/>
                <w:szCs w:val="18"/>
                <w:lang w:eastAsia="en-AU"/>
              </w:rPr>
              <w:t> </w:t>
            </w:r>
          </w:p>
          <w:p w14:paraId="4591DC1D"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Neither agree nor disagree</w:t>
            </w:r>
            <w:r w:rsidRPr="007D175D">
              <w:rPr>
                <w:rFonts w:asciiTheme="minorHAnsi" w:hAnsiTheme="minorHAnsi" w:cstheme="minorHAnsi"/>
                <w:b/>
                <w:bCs/>
                <w:color w:val="000000"/>
                <w:sz w:val="18"/>
                <w:szCs w:val="18"/>
                <w:lang w:eastAsia="en-AU"/>
              </w:rPr>
              <w:t> </w:t>
            </w:r>
          </w:p>
          <w:p w14:paraId="07B60F78"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disagree</w:t>
            </w:r>
            <w:r w:rsidRPr="007D175D">
              <w:rPr>
                <w:rFonts w:asciiTheme="minorHAnsi" w:hAnsiTheme="minorHAnsi" w:cstheme="minorHAnsi"/>
                <w:b/>
                <w:bCs/>
                <w:color w:val="000000"/>
                <w:sz w:val="18"/>
                <w:szCs w:val="18"/>
                <w:lang w:eastAsia="en-AU"/>
              </w:rPr>
              <w:t> </w:t>
            </w:r>
          </w:p>
          <w:p w14:paraId="6E7C1448"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disagree</w:t>
            </w:r>
            <w:r w:rsidRPr="007D175D">
              <w:rPr>
                <w:rFonts w:asciiTheme="minorHAnsi" w:hAnsiTheme="minorHAnsi" w:cstheme="minorHAnsi"/>
                <w:b/>
                <w:bCs/>
                <w:color w:val="000000"/>
                <w:sz w:val="18"/>
                <w:szCs w:val="18"/>
                <w:lang w:eastAsia="en-AU"/>
              </w:rPr>
              <w:t> </w:t>
            </w:r>
          </w:p>
        </w:tc>
        <w:tc>
          <w:tcPr>
            <w:tcW w:w="780" w:type="dxa"/>
            <w:tcBorders>
              <w:top w:val="single" w:sz="6" w:space="0" w:color="000000"/>
              <w:left w:val="nil"/>
              <w:bottom w:val="single" w:sz="6" w:space="0" w:color="000000"/>
              <w:right w:val="nil"/>
            </w:tcBorders>
            <w:shd w:val="clear" w:color="auto" w:fill="auto"/>
            <w:hideMark/>
          </w:tcPr>
          <w:p w14:paraId="2922F60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D447B4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15 </w:t>
            </w:r>
          </w:p>
          <w:p w14:paraId="073A106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5993654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06A1414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73528E5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50" w:type="dxa"/>
            <w:tcBorders>
              <w:top w:val="single" w:sz="6" w:space="0" w:color="000000"/>
              <w:left w:val="nil"/>
              <w:bottom w:val="single" w:sz="6" w:space="0" w:color="000000"/>
              <w:right w:val="nil"/>
            </w:tcBorders>
            <w:shd w:val="clear" w:color="auto" w:fill="auto"/>
            <w:hideMark/>
          </w:tcPr>
          <w:p w14:paraId="412AC2D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081B76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54 </w:t>
            </w:r>
          </w:p>
          <w:p w14:paraId="2B65C99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21 </w:t>
            </w:r>
          </w:p>
          <w:p w14:paraId="7AF3007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p w14:paraId="5765BCE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750DDF4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80" w:type="dxa"/>
            <w:tcBorders>
              <w:top w:val="single" w:sz="6" w:space="0" w:color="000000"/>
              <w:left w:val="nil"/>
              <w:bottom w:val="single" w:sz="6" w:space="0" w:color="000000"/>
              <w:right w:val="nil"/>
            </w:tcBorders>
            <w:shd w:val="clear" w:color="auto" w:fill="auto"/>
            <w:hideMark/>
          </w:tcPr>
          <w:p w14:paraId="303BD1C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1EBAC9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44 </w:t>
            </w:r>
          </w:p>
          <w:p w14:paraId="4949DD6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23 </w:t>
            </w:r>
          </w:p>
          <w:p w14:paraId="31BF6E2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17F154F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205635B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50" w:type="dxa"/>
            <w:tcBorders>
              <w:top w:val="single" w:sz="6" w:space="0" w:color="000000"/>
              <w:left w:val="nil"/>
              <w:bottom w:val="single" w:sz="6" w:space="0" w:color="000000"/>
              <w:right w:val="nil"/>
            </w:tcBorders>
            <w:shd w:val="clear" w:color="auto" w:fill="auto"/>
            <w:hideMark/>
          </w:tcPr>
          <w:p w14:paraId="2656A19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481F2F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57 </w:t>
            </w:r>
          </w:p>
          <w:p w14:paraId="6853217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30 </w:t>
            </w:r>
          </w:p>
          <w:p w14:paraId="5838628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0628654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56C324C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80" w:type="dxa"/>
            <w:tcBorders>
              <w:top w:val="single" w:sz="6" w:space="0" w:color="000000"/>
              <w:left w:val="nil"/>
              <w:bottom w:val="single" w:sz="6" w:space="0" w:color="000000"/>
              <w:right w:val="nil"/>
            </w:tcBorders>
            <w:shd w:val="clear" w:color="auto" w:fill="auto"/>
            <w:hideMark/>
          </w:tcPr>
          <w:p w14:paraId="176685B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3238EE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102 </w:t>
            </w:r>
          </w:p>
          <w:p w14:paraId="162DDED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74 </w:t>
            </w:r>
          </w:p>
          <w:p w14:paraId="78CB2E1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p w14:paraId="25B4A4A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1E1CF18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750" w:type="dxa"/>
            <w:tcBorders>
              <w:top w:val="single" w:sz="6" w:space="0" w:color="000000"/>
              <w:left w:val="nil"/>
              <w:bottom w:val="single" w:sz="6" w:space="0" w:color="000000"/>
              <w:right w:val="nil"/>
            </w:tcBorders>
            <w:shd w:val="clear" w:color="auto" w:fill="auto"/>
            <w:hideMark/>
          </w:tcPr>
          <w:p w14:paraId="576AD2F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82BF81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50 </w:t>
            </w:r>
          </w:p>
          <w:p w14:paraId="09D86FB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37 </w:t>
            </w:r>
          </w:p>
          <w:p w14:paraId="4F4229D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384B70E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4136FAF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80" w:type="dxa"/>
            <w:tcBorders>
              <w:top w:val="single" w:sz="6" w:space="0" w:color="000000"/>
              <w:left w:val="nil"/>
              <w:bottom w:val="single" w:sz="6" w:space="0" w:color="000000"/>
              <w:right w:val="nil"/>
            </w:tcBorders>
            <w:shd w:val="clear" w:color="auto" w:fill="auto"/>
            <w:hideMark/>
          </w:tcPr>
          <w:p w14:paraId="75461C7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DBFA39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161 </w:t>
            </w:r>
          </w:p>
          <w:p w14:paraId="5BF3393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103 </w:t>
            </w:r>
          </w:p>
          <w:p w14:paraId="1CE69B4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30 </w:t>
            </w:r>
          </w:p>
          <w:p w14:paraId="55E05B7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1B20FE0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750" w:type="dxa"/>
            <w:tcBorders>
              <w:top w:val="single" w:sz="6" w:space="0" w:color="000000"/>
              <w:left w:val="nil"/>
              <w:bottom w:val="single" w:sz="6" w:space="0" w:color="000000"/>
              <w:right w:val="single" w:sz="6" w:space="0" w:color="000000"/>
            </w:tcBorders>
            <w:shd w:val="clear" w:color="auto" w:fill="auto"/>
            <w:hideMark/>
          </w:tcPr>
          <w:p w14:paraId="5BBE35A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B1DED3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52 </w:t>
            </w:r>
          </w:p>
          <w:p w14:paraId="36230A4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34 </w:t>
            </w:r>
          </w:p>
          <w:p w14:paraId="794D82A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2D9A4A7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13276C3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r>
      <w:tr w:rsidR="007D175D" w:rsidRPr="007D175D" w14:paraId="678682F7" w14:textId="77777777">
        <w:trPr>
          <w:trHeight w:val="1320"/>
        </w:trPr>
        <w:tc>
          <w:tcPr>
            <w:tcW w:w="3555" w:type="dxa"/>
            <w:tcBorders>
              <w:top w:val="nil"/>
              <w:left w:val="single" w:sz="6" w:space="0" w:color="000000"/>
              <w:bottom w:val="single" w:sz="6" w:space="0" w:color="000000"/>
              <w:right w:val="nil"/>
            </w:tcBorders>
            <w:shd w:val="clear" w:color="auto" w:fill="auto"/>
            <w:hideMark/>
          </w:tcPr>
          <w:p w14:paraId="3D1A3BCD"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Engaging (n=307) </w:t>
            </w:r>
          </w:p>
          <w:p w14:paraId="3274FD31"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agree</w:t>
            </w:r>
            <w:r w:rsidRPr="007D175D">
              <w:rPr>
                <w:rFonts w:asciiTheme="minorHAnsi" w:hAnsiTheme="minorHAnsi" w:cstheme="minorHAnsi"/>
                <w:b/>
                <w:bCs/>
                <w:color w:val="000000"/>
                <w:sz w:val="18"/>
                <w:szCs w:val="18"/>
                <w:lang w:eastAsia="en-AU"/>
              </w:rPr>
              <w:t> </w:t>
            </w:r>
          </w:p>
          <w:p w14:paraId="4D2212D9"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agree</w:t>
            </w:r>
            <w:r w:rsidRPr="007D175D">
              <w:rPr>
                <w:rFonts w:asciiTheme="minorHAnsi" w:hAnsiTheme="minorHAnsi" w:cstheme="minorHAnsi"/>
                <w:b/>
                <w:bCs/>
                <w:color w:val="000000"/>
                <w:sz w:val="18"/>
                <w:szCs w:val="18"/>
                <w:lang w:eastAsia="en-AU"/>
              </w:rPr>
              <w:t> </w:t>
            </w:r>
          </w:p>
          <w:p w14:paraId="2F39E4B4"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Neither agree nor disagree</w:t>
            </w:r>
            <w:r w:rsidRPr="007D175D">
              <w:rPr>
                <w:rFonts w:asciiTheme="minorHAnsi" w:hAnsiTheme="minorHAnsi" w:cstheme="minorHAnsi"/>
                <w:b/>
                <w:bCs/>
                <w:color w:val="000000"/>
                <w:sz w:val="18"/>
                <w:szCs w:val="18"/>
                <w:lang w:eastAsia="en-AU"/>
              </w:rPr>
              <w:t> </w:t>
            </w:r>
          </w:p>
          <w:p w14:paraId="5B078702"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disagree</w:t>
            </w:r>
            <w:r w:rsidRPr="007D175D">
              <w:rPr>
                <w:rFonts w:asciiTheme="minorHAnsi" w:hAnsiTheme="minorHAnsi" w:cstheme="minorHAnsi"/>
                <w:b/>
                <w:bCs/>
                <w:color w:val="000000"/>
                <w:sz w:val="18"/>
                <w:szCs w:val="18"/>
                <w:lang w:eastAsia="en-AU"/>
              </w:rPr>
              <w:t> </w:t>
            </w:r>
          </w:p>
          <w:p w14:paraId="4AD34BB7"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disagree</w:t>
            </w:r>
            <w:r w:rsidRPr="007D175D">
              <w:rPr>
                <w:rFonts w:asciiTheme="minorHAnsi" w:hAnsiTheme="minorHAnsi" w:cstheme="minorHAnsi"/>
                <w:b/>
                <w:bCs/>
                <w:color w:val="000000"/>
                <w:sz w:val="18"/>
                <w:szCs w:val="18"/>
                <w:lang w:eastAsia="en-AU"/>
              </w:rPr>
              <w:t> </w:t>
            </w:r>
          </w:p>
        </w:tc>
        <w:tc>
          <w:tcPr>
            <w:tcW w:w="780" w:type="dxa"/>
            <w:tcBorders>
              <w:top w:val="nil"/>
              <w:left w:val="nil"/>
              <w:bottom w:val="single" w:sz="6" w:space="0" w:color="000000"/>
              <w:right w:val="nil"/>
            </w:tcBorders>
            <w:shd w:val="clear" w:color="auto" w:fill="auto"/>
            <w:hideMark/>
          </w:tcPr>
          <w:p w14:paraId="270C8C3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76BE09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7092D23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4B96B8D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703E8A9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2A57A55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750" w:type="dxa"/>
            <w:tcBorders>
              <w:top w:val="nil"/>
              <w:left w:val="nil"/>
              <w:bottom w:val="single" w:sz="6" w:space="0" w:color="000000"/>
              <w:right w:val="nil"/>
            </w:tcBorders>
            <w:shd w:val="clear" w:color="auto" w:fill="auto"/>
            <w:hideMark/>
          </w:tcPr>
          <w:p w14:paraId="7F6DBB9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FC34FC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39 </w:t>
            </w:r>
          </w:p>
          <w:p w14:paraId="72D9365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46 </w:t>
            </w:r>
          </w:p>
          <w:p w14:paraId="1205F99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0A454EB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1FE92D5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tc>
        <w:tc>
          <w:tcPr>
            <w:tcW w:w="780" w:type="dxa"/>
            <w:tcBorders>
              <w:top w:val="nil"/>
              <w:left w:val="nil"/>
              <w:bottom w:val="single" w:sz="6" w:space="0" w:color="000000"/>
              <w:right w:val="nil"/>
            </w:tcBorders>
            <w:shd w:val="clear" w:color="auto" w:fill="auto"/>
            <w:hideMark/>
          </w:tcPr>
          <w:p w14:paraId="4F7DA6F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27C3B3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33 </w:t>
            </w:r>
          </w:p>
          <w:p w14:paraId="12F75CE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33 </w:t>
            </w:r>
          </w:p>
          <w:p w14:paraId="36B3FA2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3190D47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1C34478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c>
          <w:tcPr>
            <w:tcW w:w="750" w:type="dxa"/>
            <w:tcBorders>
              <w:top w:val="nil"/>
              <w:left w:val="nil"/>
              <w:bottom w:val="single" w:sz="6" w:space="0" w:color="000000"/>
              <w:right w:val="nil"/>
            </w:tcBorders>
            <w:shd w:val="clear" w:color="auto" w:fill="auto"/>
            <w:hideMark/>
          </w:tcPr>
          <w:p w14:paraId="1CA7EB0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0EFD96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43 </w:t>
            </w:r>
          </w:p>
          <w:p w14:paraId="3C746CA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43 </w:t>
            </w:r>
          </w:p>
          <w:p w14:paraId="5978547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784C923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2C9180E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tc>
        <w:tc>
          <w:tcPr>
            <w:tcW w:w="780" w:type="dxa"/>
            <w:tcBorders>
              <w:top w:val="nil"/>
              <w:left w:val="nil"/>
              <w:bottom w:val="single" w:sz="6" w:space="0" w:color="000000"/>
              <w:right w:val="nil"/>
            </w:tcBorders>
            <w:shd w:val="clear" w:color="auto" w:fill="auto"/>
            <w:hideMark/>
          </w:tcPr>
          <w:p w14:paraId="6509DCD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669877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80 </w:t>
            </w:r>
          </w:p>
          <w:p w14:paraId="597F6B0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78 </w:t>
            </w:r>
          </w:p>
          <w:p w14:paraId="083AA4B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28 </w:t>
            </w:r>
          </w:p>
          <w:p w14:paraId="4CCEF0C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39F6ECE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tc>
        <w:tc>
          <w:tcPr>
            <w:tcW w:w="750" w:type="dxa"/>
            <w:tcBorders>
              <w:top w:val="nil"/>
              <w:left w:val="nil"/>
              <w:bottom w:val="single" w:sz="6" w:space="0" w:color="000000"/>
              <w:right w:val="nil"/>
            </w:tcBorders>
            <w:shd w:val="clear" w:color="auto" w:fill="auto"/>
            <w:hideMark/>
          </w:tcPr>
          <w:p w14:paraId="50EA92F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214C0A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40 </w:t>
            </w:r>
          </w:p>
          <w:p w14:paraId="0130C0D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39 </w:t>
            </w:r>
          </w:p>
          <w:p w14:paraId="46627B4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14 </w:t>
            </w:r>
          </w:p>
          <w:p w14:paraId="4B1F383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07BC85D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c>
          <w:tcPr>
            <w:tcW w:w="780" w:type="dxa"/>
            <w:tcBorders>
              <w:top w:val="nil"/>
              <w:left w:val="nil"/>
              <w:bottom w:val="single" w:sz="6" w:space="0" w:color="000000"/>
              <w:right w:val="nil"/>
            </w:tcBorders>
            <w:shd w:val="clear" w:color="auto" w:fill="auto"/>
            <w:hideMark/>
          </w:tcPr>
          <w:p w14:paraId="6667B6F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3E1FE9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124 </w:t>
            </w:r>
          </w:p>
          <w:p w14:paraId="7FF1965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124 </w:t>
            </w:r>
          </w:p>
          <w:p w14:paraId="72206DA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35 </w:t>
            </w:r>
          </w:p>
          <w:p w14:paraId="611A88F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5206211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tc>
        <w:tc>
          <w:tcPr>
            <w:tcW w:w="750" w:type="dxa"/>
            <w:tcBorders>
              <w:top w:val="nil"/>
              <w:left w:val="nil"/>
              <w:bottom w:val="single" w:sz="6" w:space="0" w:color="000000"/>
              <w:right w:val="single" w:sz="6" w:space="0" w:color="000000"/>
            </w:tcBorders>
            <w:shd w:val="clear" w:color="auto" w:fill="auto"/>
            <w:hideMark/>
          </w:tcPr>
          <w:p w14:paraId="503108C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42AEA2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40 </w:t>
            </w:r>
          </w:p>
          <w:p w14:paraId="7D65998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40 </w:t>
            </w:r>
          </w:p>
          <w:p w14:paraId="3DC0D00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28FA591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273997E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tc>
      </w:tr>
      <w:tr w:rsidR="007D175D" w:rsidRPr="007D175D" w14:paraId="2B2C46EC" w14:textId="77777777">
        <w:trPr>
          <w:trHeight w:val="1245"/>
        </w:trPr>
        <w:tc>
          <w:tcPr>
            <w:tcW w:w="3555" w:type="dxa"/>
            <w:tcBorders>
              <w:top w:val="single" w:sz="6" w:space="0" w:color="000000"/>
              <w:left w:val="single" w:sz="6" w:space="0" w:color="000000"/>
              <w:bottom w:val="single" w:sz="6" w:space="0" w:color="auto"/>
              <w:right w:val="nil"/>
            </w:tcBorders>
            <w:shd w:val="clear" w:color="auto" w:fill="auto"/>
            <w:hideMark/>
          </w:tcPr>
          <w:p w14:paraId="2E5B2116"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Appealing (n=307) </w:t>
            </w:r>
          </w:p>
          <w:p w14:paraId="79111D49"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agree</w:t>
            </w:r>
            <w:r w:rsidRPr="007D175D">
              <w:rPr>
                <w:rFonts w:asciiTheme="minorHAnsi" w:hAnsiTheme="minorHAnsi" w:cstheme="minorHAnsi"/>
                <w:b/>
                <w:bCs/>
                <w:color w:val="000000"/>
                <w:sz w:val="18"/>
                <w:szCs w:val="18"/>
                <w:lang w:eastAsia="en-AU"/>
              </w:rPr>
              <w:t> </w:t>
            </w:r>
          </w:p>
          <w:p w14:paraId="209D60A0"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agree</w:t>
            </w:r>
            <w:r w:rsidRPr="007D175D">
              <w:rPr>
                <w:rFonts w:asciiTheme="minorHAnsi" w:hAnsiTheme="minorHAnsi" w:cstheme="minorHAnsi"/>
                <w:b/>
                <w:bCs/>
                <w:color w:val="000000"/>
                <w:sz w:val="18"/>
                <w:szCs w:val="18"/>
                <w:lang w:eastAsia="en-AU"/>
              </w:rPr>
              <w:t> </w:t>
            </w:r>
          </w:p>
          <w:p w14:paraId="50908B34"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Neither agree nor disagree</w:t>
            </w:r>
            <w:r w:rsidRPr="007D175D">
              <w:rPr>
                <w:rFonts w:asciiTheme="minorHAnsi" w:hAnsiTheme="minorHAnsi" w:cstheme="minorHAnsi"/>
                <w:b/>
                <w:bCs/>
                <w:color w:val="000000"/>
                <w:sz w:val="18"/>
                <w:szCs w:val="18"/>
                <w:lang w:eastAsia="en-AU"/>
              </w:rPr>
              <w:t> </w:t>
            </w:r>
          </w:p>
          <w:p w14:paraId="543922C1"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disagree</w:t>
            </w:r>
            <w:r w:rsidRPr="007D175D">
              <w:rPr>
                <w:rFonts w:asciiTheme="minorHAnsi" w:hAnsiTheme="minorHAnsi" w:cstheme="minorHAnsi"/>
                <w:b/>
                <w:bCs/>
                <w:color w:val="000000"/>
                <w:sz w:val="18"/>
                <w:szCs w:val="18"/>
                <w:lang w:eastAsia="en-AU"/>
              </w:rPr>
              <w:t> </w:t>
            </w:r>
          </w:p>
          <w:p w14:paraId="2EF7304A"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Strongly disagree</w:t>
            </w:r>
            <w:r w:rsidRPr="007D175D">
              <w:rPr>
                <w:rFonts w:asciiTheme="minorHAnsi" w:hAnsiTheme="minorHAnsi" w:cstheme="minorHAnsi"/>
                <w:b/>
                <w:bCs/>
                <w:color w:val="000000"/>
                <w:sz w:val="18"/>
                <w:szCs w:val="18"/>
                <w:lang w:eastAsia="en-AU"/>
              </w:rPr>
              <w:t> </w:t>
            </w:r>
          </w:p>
        </w:tc>
        <w:tc>
          <w:tcPr>
            <w:tcW w:w="780" w:type="dxa"/>
            <w:tcBorders>
              <w:top w:val="single" w:sz="6" w:space="0" w:color="000000"/>
              <w:left w:val="nil"/>
              <w:bottom w:val="single" w:sz="6" w:space="0" w:color="auto"/>
              <w:right w:val="nil"/>
            </w:tcBorders>
            <w:shd w:val="clear" w:color="auto" w:fill="auto"/>
            <w:hideMark/>
          </w:tcPr>
          <w:p w14:paraId="5C04491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B75F39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670FC79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6367F75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2688B38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655B08B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750" w:type="dxa"/>
            <w:tcBorders>
              <w:top w:val="single" w:sz="6" w:space="0" w:color="000000"/>
              <w:left w:val="nil"/>
              <w:bottom w:val="single" w:sz="6" w:space="0" w:color="auto"/>
              <w:right w:val="nil"/>
            </w:tcBorders>
            <w:shd w:val="clear" w:color="auto" w:fill="auto"/>
            <w:hideMark/>
          </w:tcPr>
          <w:p w14:paraId="706B59A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15B6CC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29 </w:t>
            </w:r>
          </w:p>
          <w:p w14:paraId="0B69EE8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39 </w:t>
            </w:r>
          </w:p>
          <w:p w14:paraId="79F0AD1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21 </w:t>
            </w:r>
          </w:p>
          <w:p w14:paraId="212E76A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7 </w:t>
            </w:r>
          </w:p>
          <w:p w14:paraId="0E8B7A6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tc>
        <w:tc>
          <w:tcPr>
            <w:tcW w:w="780" w:type="dxa"/>
            <w:tcBorders>
              <w:top w:val="single" w:sz="6" w:space="0" w:color="000000"/>
              <w:left w:val="nil"/>
              <w:bottom w:val="single" w:sz="6" w:space="0" w:color="auto"/>
              <w:right w:val="nil"/>
            </w:tcBorders>
            <w:shd w:val="clear" w:color="auto" w:fill="auto"/>
            <w:hideMark/>
          </w:tcPr>
          <w:p w14:paraId="17E48E8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63D80B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28 </w:t>
            </w:r>
          </w:p>
          <w:p w14:paraId="708040A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26 </w:t>
            </w:r>
          </w:p>
          <w:p w14:paraId="033E164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17 </w:t>
            </w:r>
          </w:p>
          <w:p w14:paraId="7FE944C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3300A63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50" w:type="dxa"/>
            <w:tcBorders>
              <w:top w:val="single" w:sz="6" w:space="0" w:color="000000"/>
              <w:left w:val="nil"/>
              <w:bottom w:val="single" w:sz="6" w:space="0" w:color="auto"/>
              <w:right w:val="nil"/>
            </w:tcBorders>
            <w:shd w:val="clear" w:color="auto" w:fill="auto"/>
            <w:hideMark/>
          </w:tcPr>
          <w:p w14:paraId="3AF4882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219398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36 </w:t>
            </w:r>
          </w:p>
          <w:p w14:paraId="2CC0002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34 </w:t>
            </w:r>
          </w:p>
          <w:p w14:paraId="5CD390E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22 </w:t>
            </w:r>
          </w:p>
          <w:p w14:paraId="3B6B67A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22745B2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780" w:type="dxa"/>
            <w:tcBorders>
              <w:top w:val="single" w:sz="6" w:space="0" w:color="000000"/>
              <w:left w:val="nil"/>
              <w:bottom w:val="single" w:sz="6" w:space="0" w:color="auto"/>
              <w:right w:val="nil"/>
            </w:tcBorders>
            <w:shd w:val="clear" w:color="auto" w:fill="auto"/>
            <w:hideMark/>
          </w:tcPr>
          <w:p w14:paraId="64DA50D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65D431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65 </w:t>
            </w:r>
          </w:p>
          <w:p w14:paraId="62E3BF8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82 </w:t>
            </w:r>
          </w:p>
          <w:p w14:paraId="563715F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38 </w:t>
            </w:r>
          </w:p>
          <w:p w14:paraId="1A51F3C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5502E83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tc>
        <w:tc>
          <w:tcPr>
            <w:tcW w:w="750" w:type="dxa"/>
            <w:tcBorders>
              <w:top w:val="single" w:sz="6" w:space="0" w:color="000000"/>
              <w:left w:val="nil"/>
              <w:bottom w:val="single" w:sz="6" w:space="0" w:color="auto"/>
              <w:right w:val="nil"/>
            </w:tcBorders>
            <w:shd w:val="clear" w:color="auto" w:fill="auto"/>
            <w:hideMark/>
          </w:tcPr>
          <w:p w14:paraId="6B93A9F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AED8CE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32 </w:t>
            </w:r>
          </w:p>
          <w:p w14:paraId="2644528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41 </w:t>
            </w:r>
          </w:p>
          <w:p w14:paraId="261E537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19 </w:t>
            </w:r>
          </w:p>
          <w:p w14:paraId="7473E67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1D5C9FC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780" w:type="dxa"/>
            <w:tcBorders>
              <w:top w:val="single" w:sz="6" w:space="0" w:color="000000"/>
              <w:left w:val="nil"/>
              <w:bottom w:val="single" w:sz="6" w:space="0" w:color="auto"/>
              <w:right w:val="nil"/>
            </w:tcBorders>
            <w:shd w:val="clear" w:color="auto" w:fill="auto"/>
            <w:hideMark/>
          </w:tcPr>
          <w:p w14:paraId="056B1CA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937918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101 </w:t>
            </w:r>
          </w:p>
          <w:p w14:paraId="63D5E35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119 </w:t>
            </w:r>
          </w:p>
          <w:p w14:paraId="1F7F8CF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61 </w:t>
            </w:r>
          </w:p>
          <w:p w14:paraId="7B4F01E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19 </w:t>
            </w:r>
          </w:p>
          <w:p w14:paraId="210984B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tc>
        <w:tc>
          <w:tcPr>
            <w:tcW w:w="750" w:type="dxa"/>
            <w:tcBorders>
              <w:top w:val="single" w:sz="6" w:space="0" w:color="000000"/>
              <w:left w:val="nil"/>
              <w:bottom w:val="single" w:sz="6" w:space="0" w:color="auto"/>
              <w:right w:val="single" w:sz="6" w:space="0" w:color="000000"/>
            </w:tcBorders>
            <w:shd w:val="clear" w:color="auto" w:fill="auto"/>
            <w:hideMark/>
          </w:tcPr>
          <w:p w14:paraId="0534389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F6AEA5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33 </w:t>
            </w:r>
          </w:p>
          <w:p w14:paraId="03ACF96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39 </w:t>
            </w:r>
          </w:p>
          <w:p w14:paraId="1DE7B5B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20 </w:t>
            </w:r>
          </w:p>
          <w:p w14:paraId="5D31E44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5E101CC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r>
    </w:tbl>
    <w:p w14:paraId="5CA99CA8" w14:textId="77777777" w:rsidR="007D175D" w:rsidRPr="007D175D" w:rsidRDefault="007D175D" w:rsidP="007D175D">
      <w:pPr>
        <w:spacing w:after="160"/>
        <w:textAlignment w:val="baseline"/>
        <w:rPr>
          <w:rFonts w:ascii="Segoe UI" w:hAnsi="Segoe UI" w:cs="Segoe UI"/>
          <w:sz w:val="18"/>
          <w:szCs w:val="18"/>
          <w:lang w:eastAsia="en-AU"/>
        </w:rPr>
      </w:pPr>
      <w:r w:rsidRPr="007D175D">
        <w:rPr>
          <w:rFonts w:ascii="Calibri" w:hAnsi="Calibri" w:cs="Calibri"/>
          <w:sz w:val="16"/>
          <w:szCs w:val="16"/>
          <w:lang w:eastAsia="en-AU"/>
        </w:rPr>
        <w:t xml:space="preserve">MHO, Mental Health Online; MS, </w:t>
      </w:r>
      <w:proofErr w:type="spellStart"/>
      <w:r w:rsidRPr="007D175D">
        <w:rPr>
          <w:rFonts w:ascii="Calibri" w:hAnsi="Calibri" w:cs="Calibri"/>
          <w:color w:val="000000"/>
          <w:sz w:val="16"/>
          <w:szCs w:val="16"/>
          <w:lang w:eastAsia="en-AU"/>
        </w:rPr>
        <w:t>MindSpot</w:t>
      </w:r>
      <w:proofErr w:type="spellEnd"/>
      <w:r w:rsidRPr="007D175D">
        <w:rPr>
          <w:rFonts w:ascii="Calibri" w:hAnsi="Calibri" w:cs="Calibri"/>
          <w:color w:val="000000"/>
          <w:sz w:val="16"/>
          <w:szCs w:val="16"/>
          <w:lang w:eastAsia="en-AU"/>
        </w:rPr>
        <w:t xml:space="preserve">; </w:t>
      </w:r>
      <w:r w:rsidRPr="007D175D">
        <w:rPr>
          <w:rFonts w:ascii="Calibri" w:hAnsi="Calibri" w:cs="Calibri"/>
          <w:sz w:val="16"/>
          <w:szCs w:val="16"/>
          <w:lang w:eastAsia="en-AU"/>
        </w:rPr>
        <w:t xml:space="preserve">TWU, </w:t>
      </w:r>
      <w:r w:rsidRPr="007D175D">
        <w:rPr>
          <w:rFonts w:ascii="Calibri" w:hAnsi="Calibri" w:cs="Calibri"/>
          <w:color w:val="000000"/>
          <w:sz w:val="16"/>
          <w:szCs w:val="16"/>
          <w:lang w:eastAsia="en-AU"/>
        </w:rPr>
        <w:t>THIS WAY UP</w:t>
      </w:r>
      <w:r w:rsidRPr="007D175D">
        <w:rPr>
          <w:rFonts w:ascii="Calibri" w:hAnsi="Calibri" w:cs="Calibri"/>
          <w:sz w:val="16"/>
          <w:szCs w:val="16"/>
          <w:lang w:eastAsia="en-AU"/>
        </w:rPr>
        <w:t>. </w:t>
      </w:r>
    </w:p>
    <w:p w14:paraId="71EBB976" w14:textId="77777777" w:rsidR="007D175D" w:rsidRPr="007D175D" w:rsidRDefault="007D175D" w:rsidP="00476909">
      <w:pPr>
        <w:spacing w:after="240"/>
        <w:rPr>
          <w:rFonts w:asciiTheme="minorHAnsi" w:eastAsiaTheme="minorHAnsi" w:hAnsiTheme="minorHAnsi" w:cstheme="minorBidi"/>
          <w:sz w:val="21"/>
          <w:szCs w:val="21"/>
          <w:lang w:eastAsia="en-US"/>
        </w:rPr>
      </w:pPr>
      <w:r w:rsidRPr="007D175D">
        <w:rPr>
          <w:rFonts w:ascii="Calibri" w:hAnsi="Calibri" w:cs="Calibri"/>
          <w:color w:val="000000"/>
          <w:sz w:val="21"/>
          <w:szCs w:val="21"/>
          <w:lang w:eastAsia="en-AU"/>
        </w:rPr>
        <w:lastRenderedPageBreak/>
        <w:t xml:space="preserve">Consumers who took part in the interviews were also asked about their experience with the activities. </w:t>
      </w:r>
      <w:r w:rsidRPr="007D175D">
        <w:rPr>
          <w:rFonts w:asciiTheme="minorHAnsi" w:eastAsiaTheme="minorHAnsi" w:hAnsiTheme="minorHAnsi" w:cstheme="minorBidi"/>
          <w:sz w:val="21"/>
          <w:szCs w:val="21"/>
          <w:lang w:eastAsia="en-US"/>
        </w:rPr>
        <w:t>Seventy-two percent (n=17) of these consumers again discussed the activities in a positive light. One said:</w:t>
      </w:r>
    </w:p>
    <w:p w14:paraId="7B36DB4D" w14:textId="77777777" w:rsidR="007D175D" w:rsidRPr="007D175D" w:rsidRDefault="007D175D" w:rsidP="00476909">
      <w:pPr>
        <w:spacing w:after="240"/>
        <w:ind w:firstLine="72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t>‘On the whole, a lot of the stuff they recommend is really… valuable advice.’</w:t>
      </w:r>
    </w:p>
    <w:p w14:paraId="0288077F" w14:textId="77777777" w:rsidR="007D175D" w:rsidRPr="007D175D" w:rsidRDefault="007D175D" w:rsidP="00476909">
      <w:pPr>
        <w:spacing w:after="24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t>Approximately 50% (n=12) of consumers cited that the content was relevant and that they learnt new strategies and were able to apply the content and strategy to their situations. These consumers made comments like:</w:t>
      </w:r>
    </w:p>
    <w:p w14:paraId="3794439E" w14:textId="77777777" w:rsidR="007D175D" w:rsidRPr="007D175D" w:rsidRDefault="007D175D" w:rsidP="00476909">
      <w:pPr>
        <w:spacing w:after="240"/>
        <w:ind w:left="72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t>The practising and the reinforcing that these activities may give you to try over the week and so on – yeah, I found them very useful yeah – I can't recall all of them but some of the ones that have stuck in my mind I still use today.</w:t>
      </w:r>
    </w:p>
    <w:p w14:paraId="4DF2CBE2" w14:textId="77777777" w:rsidR="007D175D" w:rsidRPr="007D175D" w:rsidRDefault="007D175D" w:rsidP="00476909">
      <w:pPr>
        <w:spacing w:after="240"/>
        <w:ind w:left="72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t xml:space="preserve">Even the other day, I was anxious about something, and I got out the worksheet and used it; it helped me. So, I don’t </w:t>
      </w:r>
      <w:proofErr w:type="gramStart"/>
      <w:r w:rsidRPr="007D175D">
        <w:rPr>
          <w:rFonts w:asciiTheme="minorHAnsi" w:eastAsiaTheme="minorHAnsi" w:hAnsiTheme="minorHAnsi" w:cstheme="minorBidi"/>
          <w:sz w:val="21"/>
          <w:szCs w:val="21"/>
          <w:lang w:eastAsia="en-US"/>
        </w:rPr>
        <w:t>actually worry</w:t>
      </w:r>
      <w:proofErr w:type="gramEnd"/>
      <w:r w:rsidRPr="007D175D">
        <w:rPr>
          <w:rFonts w:asciiTheme="minorHAnsi" w:eastAsiaTheme="minorHAnsi" w:hAnsiTheme="minorHAnsi" w:cstheme="minorBidi"/>
          <w:sz w:val="21"/>
          <w:szCs w:val="21"/>
          <w:lang w:eastAsia="en-US"/>
        </w:rPr>
        <w:t xml:space="preserve"> anymore like I used to. So, it's just showing that that practical format and the templates, so I think it's the actual templates that you can </w:t>
      </w:r>
      <w:proofErr w:type="gramStart"/>
      <w:r w:rsidRPr="007D175D">
        <w:rPr>
          <w:rFonts w:asciiTheme="minorHAnsi" w:eastAsiaTheme="minorHAnsi" w:hAnsiTheme="minorHAnsi" w:cstheme="minorBidi"/>
          <w:sz w:val="21"/>
          <w:szCs w:val="21"/>
          <w:lang w:eastAsia="en-US"/>
        </w:rPr>
        <w:t>refer back</w:t>
      </w:r>
      <w:proofErr w:type="gramEnd"/>
      <w:r w:rsidRPr="007D175D">
        <w:rPr>
          <w:rFonts w:asciiTheme="minorHAnsi" w:eastAsiaTheme="minorHAnsi" w:hAnsiTheme="minorHAnsi" w:cstheme="minorBidi"/>
          <w:sz w:val="21"/>
          <w:szCs w:val="21"/>
          <w:lang w:eastAsia="en-US"/>
        </w:rPr>
        <w:t xml:space="preserve"> to and keep.</w:t>
      </w:r>
    </w:p>
    <w:p w14:paraId="76847284" w14:textId="77777777" w:rsidR="007D175D" w:rsidRPr="007D175D" w:rsidRDefault="007D175D" w:rsidP="00476909">
      <w:pPr>
        <w:spacing w:after="24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t>Other positive elements of the activities included that they were easy to understand, informative and caused consumers to reflect and think about their situation. However, a small percentage (17%) of interview participants did not complete the activities and reported that the activities were not all relevant to their situation.</w:t>
      </w:r>
    </w:p>
    <w:p w14:paraId="522A34DA" w14:textId="77777777" w:rsidR="007D175D" w:rsidRPr="007D175D" w:rsidRDefault="007D175D" w:rsidP="008776A4">
      <w:pPr>
        <w:pStyle w:val="Heading3"/>
        <w:rPr>
          <w:lang w:val="en-GB" w:eastAsia="en-AU"/>
        </w:rPr>
      </w:pPr>
      <w:r w:rsidRPr="007D175D">
        <w:rPr>
          <w:lang w:val="en-GB" w:eastAsia="en-AU"/>
        </w:rPr>
        <w:t>Therapist support</w:t>
      </w:r>
    </w:p>
    <w:p w14:paraId="6E7DAA68" w14:textId="586C4143" w:rsidR="008E7A9E" w:rsidRDefault="007D175D" w:rsidP="00F65D52">
      <w:pPr>
        <w:spacing w:after="240"/>
        <w:textAlignment w:val="baseline"/>
        <w:rPr>
          <w:rFonts w:asciiTheme="minorHAnsi" w:eastAsiaTheme="majorEastAsia" w:hAnsiTheme="minorHAnsi" w:cstheme="minorHAnsi"/>
          <w:b/>
          <w:color w:val="000000" w:themeColor="text1"/>
          <w:sz w:val="21"/>
          <w:szCs w:val="21"/>
          <w:lang w:val="en-US" w:eastAsia="en-US"/>
        </w:rPr>
      </w:pPr>
      <w:r w:rsidRPr="007D175D">
        <w:rPr>
          <w:rFonts w:ascii="Calibri" w:hAnsi="Calibri" w:cs="Calibri"/>
          <w:color w:val="000000"/>
          <w:sz w:val="21"/>
          <w:szCs w:val="21"/>
          <w:lang w:eastAsia="en-AU"/>
        </w:rPr>
        <w:t xml:space="preserve">In total, one-third (n=117) of all consumers had accessed a therapist as part of their DMHS experience. Their responses are recorded in Table </w:t>
      </w:r>
      <w:r w:rsidR="00844AC9" w:rsidRPr="00844AC9">
        <w:rPr>
          <w:rFonts w:ascii="Calibri" w:hAnsi="Calibri" w:cs="Calibri"/>
          <w:color w:val="000000"/>
          <w:sz w:val="21"/>
          <w:szCs w:val="21"/>
          <w:lang w:eastAsia="en-AU"/>
        </w:rPr>
        <w:t>29</w:t>
      </w:r>
      <w:r w:rsidRPr="007D175D">
        <w:rPr>
          <w:rFonts w:ascii="Calibri" w:hAnsi="Calibri" w:cs="Calibri"/>
          <w:color w:val="000000"/>
          <w:sz w:val="21"/>
          <w:szCs w:val="21"/>
          <w:lang w:eastAsia="en-AU"/>
        </w:rPr>
        <w:t xml:space="preserve">. Approximately 80% of Mental Health Online and </w:t>
      </w:r>
      <w:proofErr w:type="spellStart"/>
      <w:r w:rsidRPr="007D175D">
        <w:rPr>
          <w:rFonts w:ascii="Calibri" w:hAnsi="Calibri" w:cs="Calibri"/>
          <w:color w:val="000000"/>
          <w:sz w:val="21"/>
          <w:szCs w:val="21"/>
          <w:lang w:eastAsia="en-AU"/>
        </w:rPr>
        <w:t>MindSpot</w:t>
      </w:r>
      <w:proofErr w:type="spellEnd"/>
      <w:r w:rsidRPr="007D175D">
        <w:rPr>
          <w:rFonts w:ascii="Calibri" w:hAnsi="Calibri" w:cs="Calibri"/>
          <w:color w:val="000000"/>
          <w:sz w:val="21"/>
          <w:szCs w:val="21"/>
          <w:lang w:eastAsia="en-AU"/>
        </w:rPr>
        <w:t xml:space="preserve"> consumers accessed a therapist, whereas only 33% of THIS WAY UP consumers had received support from a therapist while working through the modules and activities. The number of times consumers accessed therapist supported services varied. Over one-third of consumers had accessed therapist support between three to four sessions. No consumers of Mental Health Online and THIS WAY UP, and 14% of </w:t>
      </w:r>
      <w:proofErr w:type="spellStart"/>
      <w:r w:rsidRPr="007D175D">
        <w:rPr>
          <w:rFonts w:ascii="Calibri" w:hAnsi="Calibri" w:cs="Calibri"/>
          <w:color w:val="000000"/>
          <w:sz w:val="21"/>
          <w:szCs w:val="21"/>
          <w:lang w:eastAsia="en-AU"/>
        </w:rPr>
        <w:t>MindSpot</w:t>
      </w:r>
      <w:proofErr w:type="spellEnd"/>
      <w:r w:rsidRPr="007D175D">
        <w:rPr>
          <w:rFonts w:ascii="Calibri" w:hAnsi="Calibri" w:cs="Calibri"/>
          <w:color w:val="000000"/>
          <w:sz w:val="21"/>
          <w:szCs w:val="21"/>
          <w:lang w:eastAsia="en-AU"/>
        </w:rPr>
        <w:t xml:space="preserve"> consumers, attended only one session with a therapist. One-third of Mental Health Online consumers had accessed a therapist more than 10 times compared to 1% of </w:t>
      </w:r>
      <w:proofErr w:type="spellStart"/>
      <w:r w:rsidRPr="007D175D">
        <w:rPr>
          <w:rFonts w:ascii="Calibri" w:hAnsi="Calibri" w:cs="Calibri"/>
          <w:color w:val="000000"/>
          <w:sz w:val="21"/>
          <w:szCs w:val="21"/>
          <w:lang w:eastAsia="en-AU"/>
        </w:rPr>
        <w:t>MindSpot</w:t>
      </w:r>
      <w:proofErr w:type="spellEnd"/>
      <w:r w:rsidRPr="007D175D">
        <w:rPr>
          <w:rFonts w:ascii="Calibri" w:hAnsi="Calibri" w:cs="Calibri"/>
          <w:color w:val="000000"/>
          <w:sz w:val="21"/>
          <w:szCs w:val="21"/>
          <w:lang w:eastAsia="en-AU"/>
        </w:rPr>
        <w:t xml:space="preserve"> and 4% of THIS WAY UP consumers. Consumers across groups reported that therapists commonly provided them with counselling, explained online information, and supported working through the activities. Proportionally, more THIS WAY UP (96%) consumers endorsed that the therapist was helpful than Mental Health Online (86%) and </w:t>
      </w:r>
      <w:proofErr w:type="spellStart"/>
      <w:r w:rsidRPr="007D175D">
        <w:rPr>
          <w:rFonts w:ascii="Calibri" w:hAnsi="Calibri" w:cs="Calibri"/>
          <w:color w:val="000000"/>
          <w:sz w:val="21"/>
          <w:szCs w:val="21"/>
          <w:lang w:eastAsia="en-AU"/>
        </w:rPr>
        <w:t>MindSpot</w:t>
      </w:r>
      <w:proofErr w:type="spellEnd"/>
      <w:r w:rsidRPr="007D175D">
        <w:rPr>
          <w:rFonts w:ascii="Calibri" w:hAnsi="Calibri" w:cs="Calibri"/>
          <w:color w:val="000000"/>
          <w:sz w:val="21"/>
          <w:szCs w:val="21"/>
          <w:lang w:eastAsia="en-AU"/>
        </w:rPr>
        <w:t xml:space="preserve"> (77%) consumers. Nearly all THIS WAY UP consumers “strongly agreed” or “somewhat agreed that the therapist addressed their needs compared to 80% of Mental Health Online and </w:t>
      </w:r>
      <w:proofErr w:type="spellStart"/>
      <w:r w:rsidRPr="007D175D">
        <w:rPr>
          <w:rFonts w:ascii="Calibri" w:hAnsi="Calibri" w:cs="Calibri"/>
          <w:color w:val="000000"/>
          <w:sz w:val="21"/>
          <w:szCs w:val="21"/>
          <w:lang w:eastAsia="en-AU"/>
        </w:rPr>
        <w:t>MindSpot</w:t>
      </w:r>
      <w:proofErr w:type="spellEnd"/>
      <w:r w:rsidRPr="007D175D">
        <w:rPr>
          <w:rFonts w:ascii="Calibri" w:hAnsi="Calibri" w:cs="Calibri"/>
          <w:color w:val="000000"/>
          <w:sz w:val="21"/>
          <w:szCs w:val="21"/>
          <w:lang w:eastAsia="en-AU"/>
        </w:rPr>
        <w:t xml:space="preserve"> users. Over 70% of all consumers across groups strongly agreed” or “somewhat agreed” that the therapist taught them new strategies or motivated them.</w:t>
      </w:r>
      <w:r w:rsidR="008E7A9E">
        <w:br w:type="page"/>
      </w:r>
    </w:p>
    <w:p w14:paraId="35BF3A37" w14:textId="3DEDFFDE" w:rsidR="007D175D" w:rsidRPr="007D175D" w:rsidRDefault="007D175D" w:rsidP="008E7A9E">
      <w:pPr>
        <w:pStyle w:val="tableheading"/>
        <w:rPr>
          <w:rFonts w:ascii="Segoe UI" w:hAnsi="Segoe UI" w:cs="Segoe UI"/>
          <w:sz w:val="18"/>
          <w:szCs w:val="18"/>
        </w:rPr>
      </w:pPr>
      <w:r w:rsidRPr="008E7A9E">
        <w:lastRenderedPageBreak/>
        <w:t xml:space="preserve">Table </w:t>
      </w:r>
      <w:r w:rsidR="008E7A9E" w:rsidRPr="008E7A9E">
        <w:t>29</w:t>
      </w:r>
      <w:r w:rsidRPr="007D175D">
        <w:t>. Consumer experience of DMHS therapist support, by service and overall</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Consumer experience of DMHS therapist support, by service and overall"/>
        <w:tblDescription w:val="Table describing consumers experience with accessing therapist support "/>
      </w:tblPr>
      <w:tblGrid>
        <w:gridCol w:w="3555"/>
        <w:gridCol w:w="765"/>
        <w:gridCol w:w="765"/>
        <w:gridCol w:w="45"/>
        <w:gridCol w:w="705"/>
        <w:gridCol w:w="600"/>
        <w:gridCol w:w="150"/>
        <w:gridCol w:w="765"/>
        <w:gridCol w:w="645"/>
        <w:gridCol w:w="105"/>
        <w:gridCol w:w="765"/>
        <w:gridCol w:w="825"/>
      </w:tblGrid>
      <w:tr w:rsidR="007D175D" w:rsidRPr="007D175D" w14:paraId="19129114" w14:textId="77777777">
        <w:trPr>
          <w:trHeight w:val="300"/>
          <w:tblHeader/>
        </w:trPr>
        <w:tc>
          <w:tcPr>
            <w:tcW w:w="3555" w:type="dxa"/>
            <w:tcBorders>
              <w:top w:val="single" w:sz="6" w:space="0" w:color="000000"/>
              <w:left w:val="single" w:sz="6" w:space="0" w:color="000000"/>
              <w:bottom w:val="single" w:sz="6" w:space="0" w:color="auto"/>
              <w:right w:val="nil"/>
            </w:tcBorders>
            <w:shd w:val="clear" w:color="auto" w:fill="000000"/>
            <w:hideMark/>
          </w:tcPr>
          <w:p w14:paraId="04292793" w14:textId="77777777" w:rsidR="007D175D" w:rsidRPr="007D175D" w:rsidRDefault="007D175D" w:rsidP="007D175D">
            <w:pP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 </w:t>
            </w:r>
          </w:p>
        </w:tc>
        <w:tc>
          <w:tcPr>
            <w:tcW w:w="1575" w:type="dxa"/>
            <w:gridSpan w:val="3"/>
            <w:tcBorders>
              <w:top w:val="single" w:sz="6" w:space="0" w:color="000000"/>
              <w:left w:val="nil"/>
              <w:bottom w:val="single" w:sz="6" w:space="0" w:color="auto"/>
              <w:right w:val="nil"/>
            </w:tcBorders>
            <w:shd w:val="clear" w:color="auto" w:fill="000000"/>
            <w:hideMark/>
          </w:tcPr>
          <w:p w14:paraId="39DFF2D7"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MHO</w:t>
            </w:r>
          </w:p>
          <w:p w14:paraId="5F740409"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(n=32)</w:t>
            </w:r>
          </w:p>
        </w:tc>
        <w:tc>
          <w:tcPr>
            <w:tcW w:w="1305" w:type="dxa"/>
            <w:gridSpan w:val="2"/>
            <w:tcBorders>
              <w:top w:val="single" w:sz="6" w:space="0" w:color="000000"/>
              <w:left w:val="nil"/>
              <w:bottom w:val="single" w:sz="6" w:space="0" w:color="auto"/>
              <w:right w:val="nil"/>
            </w:tcBorders>
            <w:shd w:val="clear" w:color="auto" w:fill="000000"/>
            <w:hideMark/>
          </w:tcPr>
          <w:p w14:paraId="00CBB69F"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MS</w:t>
            </w:r>
          </w:p>
          <w:p w14:paraId="2229B413"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(n=100)</w:t>
            </w:r>
          </w:p>
        </w:tc>
        <w:tc>
          <w:tcPr>
            <w:tcW w:w="1560" w:type="dxa"/>
            <w:gridSpan w:val="3"/>
            <w:tcBorders>
              <w:top w:val="single" w:sz="6" w:space="0" w:color="000000"/>
              <w:left w:val="nil"/>
              <w:bottom w:val="single" w:sz="6" w:space="0" w:color="auto"/>
              <w:right w:val="nil"/>
            </w:tcBorders>
            <w:shd w:val="clear" w:color="auto" w:fill="000000"/>
            <w:hideMark/>
          </w:tcPr>
          <w:p w14:paraId="34EE0D3A"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TWU</w:t>
            </w:r>
          </w:p>
          <w:p w14:paraId="2B7E449F"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(n=219)</w:t>
            </w:r>
          </w:p>
        </w:tc>
        <w:tc>
          <w:tcPr>
            <w:tcW w:w="1695" w:type="dxa"/>
            <w:gridSpan w:val="3"/>
            <w:tcBorders>
              <w:top w:val="single" w:sz="6" w:space="0" w:color="000000"/>
              <w:left w:val="nil"/>
              <w:bottom w:val="single" w:sz="6" w:space="0" w:color="auto"/>
              <w:right w:val="single" w:sz="6" w:space="0" w:color="000000"/>
            </w:tcBorders>
            <w:shd w:val="clear" w:color="auto" w:fill="000000"/>
            <w:hideMark/>
          </w:tcPr>
          <w:p w14:paraId="261B6217"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Total</w:t>
            </w:r>
          </w:p>
          <w:p w14:paraId="038ED1C8"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(N=351)</w:t>
            </w:r>
          </w:p>
        </w:tc>
      </w:tr>
      <w:tr w:rsidR="007D175D" w:rsidRPr="007D175D" w14:paraId="648DBFF9" w14:textId="77777777">
        <w:trPr>
          <w:trHeight w:val="120"/>
        </w:trPr>
        <w:tc>
          <w:tcPr>
            <w:tcW w:w="3555" w:type="dxa"/>
            <w:tcBorders>
              <w:top w:val="single" w:sz="6" w:space="0" w:color="auto"/>
              <w:left w:val="single" w:sz="6" w:space="0" w:color="000000"/>
              <w:bottom w:val="single" w:sz="6" w:space="0" w:color="auto"/>
              <w:right w:val="nil"/>
            </w:tcBorders>
            <w:shd w:val="clear" w:color="auto" w:fill="000000"/>
            <w:hideMark/>
          </w:tcPr>
          <w:p w14:paraId="78547CEC"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sz w:val="18"/>
                <w:szCs w:val="18"/>
                <w:lang w:eastAsia="en-AU"/>
              </w:rPr>
              <w:t> </w:t>
            </w:r>
          </w:p>
        </w:tc>
        <w:tc>
          <w:tcPr>
            <w:tcW w:w="765" w:type="dxa"/>
            <w:tcBorders>
              <w:top w:val="single" w:sz="6" w:space="0" w:color="auto"/>
              <w:left w:val="nil"/>
              <w:bottom w:val="single" w:sz="6" w:space="0" w:color="auto"/>
              <w:right w:val="nil"/>
            </w:tcBorders>
            <w:shd w:val="clear" w:color="auto" w:fill="000000"/>
            <w:hideMark/>
          </w:tcPr>
          <w:p w14:paraId="5C496B5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w:t>
            </w:r>
          </w:p>
        </w:tc>
        <w:tc>
          <w:tcPr>
            <w:tcW w:w="765" w:type="dxa"/>
            <w:tcBorders>
              <w:top w:val="single" w:sz="6" w:space="0" w:color="auto"/>
              <w:left w:val="nil"/>
              <w:bottom w:val="single" w:sz="6" w:space="0" w:color="auto"/>
              <w:right w:val="nil"/>
            </w:tcBorders>
            <w:shd w:val="clear" w:color="auto" w:fill="000000"/>
            <w:hideMark/>
          </w:tcPr>
          <w:p w14:paraId="07A71B8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w:t>
            </w:r>
          </w:p>
        </w:tc>
        <w:tc>
          <w:tcPr>
            <w:tcW w:w="750" w:type="dxa"/>
            <w:gridSpan w:val="2"/>
            <w:tcBorders>
              <w:top w:val="single" w:sz="6" w:space="0" w:color="auto"/>
              <w:left w:val="nil"/>
              <w:bottom w:val="single" w:sz="6" w:space="0" w:color="auto"/>
              <w:right w:val="nil"/>
            </w:tcBorders>
            <w:shd w:val="clear" w:color="auto" w:fill="000000"/>
            <w:hideMark/>
          </w:tcPr>
          <w:p w14:paraId="30D7013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w:t>
            </w:r>
          </w:p>
        </w:tc>
        <w:tc>
          <w:tcPr>
            <w:tcW w:w="750" w:type="dxa"/>
            <w:gridSpan w:val="2"/>
            <w:tcBorders>
              <w:top w:val="single" w:sz="6" w:space="0" w:color="auto"/>
              <w:left w:val="nil"/>
              <w:bottom w:val="single" w:sz="6" w:space="0" w:color="auto"/>
              <w:right w:val="nil"/>
            </w:tcBorders>
            <w:shd w:val="clear" w:color="auto" w:fill="000000"/>
            <w:hideMark/>
          </w:tcPr>
          <w:p w14:paraId="4356CDF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w:t>
            </w:r>
          </w:p>
        </w:tc>
        <w:tc>
          <w:tcPr>
            <w:tcW w:w="765" w:type="dxa"/>
            <w:tcBorders>
              <w:top w:val="single" w:sz="6" w:space="0" w:color="auto"/>
              <w:left w:val="nil"/>
              <w:bottom w:val="single" w:sz="6" w:space="0" w:color="auto"/>
              <w:right w:val="nil"/>
            </w:tcBorders>
            <w:shd w:val="clear" w:color="auto" w:fill="000000"/>
            <w:hideMark/>
          </w:tcPr>
          <w:p w14:paraId="7429140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w:t>
            </w:r>
          </w:p>
        </w:tc>
        <w:tc>
          <w:tcPr>
            <w:tcW w:w="750" w:type="dxa"/>
            <w:gridSpan w:val="2"/>
            <w:tcBorders>
              <w:top w:val="single" w:sz="6" w:space="0" w:color="auto"/>
              <w:left w:val="nil"/>
              <w:bottom w:val="single" w:sz="6" w:space="0" w:color="auto"/>
              <w:right w:val="nil"/>
            </w:tcBorders>
            <w:shd w:val="clear" w:color="auto" w:fill="000000"/>
            <w:hideMark/>
          </w:tcPr>
          <w:p w14:paraId="66F389A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w:t>
            </w:r>
          </w:p>
        </w:tc>
        <w:tc>
          <w:tcPr>
            <w:tcW w:w="765" w:type="dxa"/>
            <w:tcBorders>
              <w:top w:val="single" w:sz="6" w:space="0" w:color="auto"/>
              <w:left w:val="nil"/>
              <w:bottom w:val="single" w:sz="6" w:space="0" w:color="auto"/>
              <w:right w:val="nil"/>
            </w:tcBorders>
            <w:shd w:val="clear" w:color="auto" w:fill="000000"/>
            <w:hideMark/>
          </w:tcPr>
          <w:p w14:paraId="27F4651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w:t>
            </w:r>
          </w:p>
        </w:tc>
        <w:tc>
          <w:tcPr>
            <w:tcW w:w="765" w:type="dxa"/>
            <w:tcBorders>
              <w:top w:val="single" w:sz="6" w:space="0" w:color="auto"/>
              <w:left w:val="nil"/>
              <w:bottom w:val="single" w:sz="6" w:space="0" w:color="auto"/>
              <w:right w:val="single" w:sz="6" w:space="0" w:color="000000"/>
            </w:tcBorders>
            <w:shd w:val="clear" w:color="auto" w:fill="000000"/>
            <w:hideMark/>
          </w:tcPr>
          <w:p w14:paraId="65D62D1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w:t>
            </w:r>
          </w:p>
        </w:tc>
      </w:tr>
      <w:tr w:rsidR="007D175D" w:rsidRPr="007D175D" w14:paraId="55CBA786" w14:textId="77777777">
        <w:trPr>
          <w:trHeight w:val="165"/>
        </w:trPr>
        <w:tc>
          <w:tcPr>
            <w:tcW w:w="3555" w:type="dxa"/>
            <w:tcBorders>
              <w:top w:val="single" w:sz="6" w:space="0" w:color="auto"/>
              <w:left w:val="single" w:sz="6" w:space="0" w:color="000000"/>
              <w:bottom w:val="single" w:sz="6" w:space="0" w:color="000000"/>
              <w:right w:val="nil"/>
            </w:tcBorders>
            <w:shd w:val="clear" w:color="auto" w:fill="auto"/>
            <w:hideMark/>
          </w:tcPr>
          <w:p w14:paraId="2D0A98C3"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sz w:val="18"/>
                <w:szCs w:val="18"/>
                <w:lang w:eastAsia="en-AU"/>
              </w:rPr>
              <w:t>Accessed a therapist </w:t>
            </w:r>
          </w:p>
        </w:tc>
        <w:tc>
          <w:tcPr>
            <w:tcW w:w="765" w:type="dxa"/>
            <w:tcBorders>
              <w:top w:val="single" w:sz="6" w:space="0" w:color="auto"/>
              <w:left w:val="nil"/>
              <w:bottom w:val="single" w:sz="6" w:space="0" w:color="000000"/>
              <w:right w:val="nil"/>
            </w:tcBorders>
            <w:shd w:val="clear" w:color="auto" w:fill="auto"/>
            <w:hideMark/>
          </w:tcPr>
          <w:p w14:paraId="0A933A7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27 </w:t>
            </w:r>
          </w:p>
        </w:tc>
        <w:tc>
          <w:tcPr>
            <w:tcW w:w="765" w:type="dxa"/>
            <w:tcBorders>
              <w:top w:val="single" w:sz="6" w:space="0" w:color="auto"/>
              <w:left w:val="nil"/>
              <w:bottom w:val="single" w:sz="6" w:space="0" w:color="000000"/>
              <w:right w:val="nil"/>
            </w:tcBorders>
            <w:shd w:val="clear" w:color="auto" w:fill="auto"/>
            <w:hideMark/>
          </w:tcPr>
          <w:p w14:paraId="4D37E2D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84 </w:t>
            </w:r>
          </w:p>
        </w:tc>
        <w:tc>
          <w:tcPr>
            <w:tcW w:w="750" w:type="dxa"/>
            <w:gridSpan w:val="2"/>
            <w:tcBorders>
              <w:top w:val="single" w:sz="6" w:space="0" w:color="auto"/>
              <w:left w:val="nil"/>
              <w:bottom w:val="single" w:sz="6" w:space="0" w:color="000000"/>
              <w:right w:val="nil"/>
            </w:tcBorders>
            <w:shd w:val="clear" w:color="auto" w:fill="auto"/>
            <w:hideMark/>
          </w:tcPr>
          <w:p w14:paraId="74054D1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66 </w:t>
            </w:r>
          </w:p>
        </w:tc>
        <w:tc>
          <w:tcPr>
            <w:tcW w:w="750" w:type="dxa"/>
            <w:gridSpan w:val="2"/>
            <w:tcBorders>
              <w:top w:val="single" w:sz="6" w:space="0" w:color="auto"/>
              <w:left w:val="nil"/>
              <w:bottom w:val="single" w:sz="6" w:space="0" w:color="000000"/>
              <w:right w:val="nil"/>
            </w:tcBorders>
            <w:shd w:val="clear" w:color="auto" w:fill="auto"/>
            <w:hideMark/>
          </w:tcPr>
          <w:p w14:paraId="0A6BF53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66 </w:t>
            </w:r>
          </w:p>
        </w:tc>
        <w:tc>
          <w:tcPr>
            <w:tcW w:w="765" w:type="dxa"/>
            <w:tcBorders>
              <w:top w:val="single" w:sz="6" w:space="0" w:color="auto"/>
              <w:left w:val="nil"/>
              <w:bottom w:val="single" w:sz="6" w:space="0" w:color="000000"/>
              <w:right w:val="nil"/>
            </w:tcBorders>
            <w:shd w:val="clear" w:color="auto" w:fill="auto"/>
            <w:hideMark/>
          </w:tcPr>
          <w:p w14:paraId="6AAA910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24 </w:t>
            </w:r>
          </w:p>
        </w:tc>
        <w:tc>
          <w:tcPr>
            <w:tcW w:w="750" w:type="dxa"/>
            <w:gridSpan w:val="2"/>
            <w:tcBorders>
              <w:top w:val="single" w:sz="6" w:space="0" w:color="auto"/>
              <w:left w:val="nil"/>
              <w:bottom w:val="single" w:sz="6" w:space="0" w:color="000000"/>
              <w:right w:val="nil"/>
            </w:tcBorders>
            <w:shd w:val="clear" w:color="auto" w:fill="auto"/>
            <w:hideMark/>
          </w:tcPr>
          <w:p w14:paraId="2C8B6C4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11 </w:t>
            </w:r>
          </w:p>
        </w:tc>
        <w:tc>
          <w:tcPr>
            <w:tcW w:w="765" w:type="dxa"/>
            <w:tcBorders>
              <w:top w:val="single" w:sz="6" w:space="0" w:color="auto"/>
              <w:left w:val="nil"/>
              <w:bottom w:val="single" w:sz="6" w:space="0" w:color="000000"/>
              <w:right w:val="nil"/>
            </w:tcBorders>
            <w:shd w:val="clear" w:color="auto" w:fill="auto"/>
            <w:hideMark/>
          </w:tcPr>
          <w:p w14:paraId="7BC691D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117 </w:t>
            </w:r>
          </w:p>
        </w:tc>
        <w:tc>
          <w:tcPr>
            <w:tcW w:w="765" w:type="dxa"/>
            <w:tcBorders>
              <w:top w:val="single" w:sz="6" w:space="0" w:color="auto"/>
              <w:left w:val="nil"/>
              <w:bottom w:val="single" w:sz="6" w:space="0" w:color="000000"/>
              <w:right w:val="single" w:sz="6" w:space="0" w:color="000000"/>
            </w:tcBorders>
            <w:shd w:val="clear" w:color="auto" w:fill="auto"/>
            <w:hideMark/>
          </w:tcPr>
          <w:p w14:paraId="0BD7184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33 </w:t>
            </w:r>
          </w:p>
        </w:tc>
      </w:tr>
      <w:tr w:rsidR="007D175D" w:rsidRPr="007D175D" w14:paraId="70E40546" w14:textId="77777777">
        <w:trPr>
          <w:trHeight w:val="1920"/>
        </w:trPr>
        <w:tc>
          <w:tcPr>
            <w:tcW w:w="3555" w:type="dxa"/>
            <w:tcBorders>
              <w:top w:val="single" w:sz="6" w:space="0" w:color="000000"/>
              <w:left w:val="single" w:sz="6" w:space="0" w:color="000000"/>
              <w:bottom w:val="single" w:sz="6" w:space="0" w:color="000000"/>
              <w:right w:val="nil"/>
            </w:tcBorders>
            <w:shd w:val="clear" w:color="auto" w:fill="auto"/>
            <w:hideMark/>
          </w:tcPr>
          <w:p w14:paraId="00E694F4"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sz w:val="18"/>
                <w:szCs w:val="18"/>
                <w:lang w:eastAsia="en-AU"/>
              </w:rPr>
              <w:t>Number of times seen (n=117) </w:t>
            </w:r>
          </w:p>
          <w:p w14:paraId="28ECFCE1"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Once</w:t>
            </w:r>
            <w:r w:rsidRPr="007D175D">
              <w:rPr>
                <w:rFonts w:asciiTheme="minorHAnsi" w:hAnsiTheme="minorHAnsi" w:cstheme="minorHAnsi"/>
                <w:b/>
                <w:bCs/>
                <w:sz w:val="18"/>
                <w:szCs w:val="18"/>
                <w:lang w:eastAsia="en-AU"/>
              </w:rPr>
              <w:t> </w:t>
            </w:r>
          </w:p>
          <w:p w14:paraId="26AE0BF9"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Twice</w:t>
            </w:r>
            <w:r w:rsidRPr="007D175D">
              <w:rPr>
                <w:rFonts w:asciiTheme="minorHAnsi" w:hAnsiTheme="minorHAnsi" w:cstheme="minorHAnsi"/>
                <w:b/>
                <w:bCs/>
                <w:sz w:val="18"/>
                <w:szCs w:val="18"/>
                <w:lang w:eastAsia="en-AU"/>
              </w:rPr>
              <w:t> </w:t>
            </w:r>
          </w:p>
          <w:p w14:paraId="7E0E1254"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Three times</w:t>
            </w:r>
            <w:r w:rsidRPr="007D175D">
              <w:rPr>
                <w:rFonts w:asciiTheme="minorHAnsi" w:hAnsiTheme="minorHAnsi" w:cstheme="minorHAnsi"/>
                <w:b/>
                <w:bCs/>
                <w:sz w:val="18"/>
                <w:szCs w:val="18"/>
                <w:lang w:eastAsia="en-AU"/>
              </w:rPr>
              <w:t> </w:t>
            </w:r>
          </w:p>
          <w:p w14:paraId="7CE211EB"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Four times</w:t>
            </w:r>
            <w:r w:rsidRPr="007D175D">
              <w:rPr>
                <w:rFonts w:asciiTheme="minorHAnsi" w:hAnsiTheme="minorHAnsi" w:cstheme="minorHAnsi"/>
                <w:b/>
                <w:bCs/>
                <w:sz w:val="18"/>
                <w:szCs w:val="18"/>
                <w:lang w:eastAsia="en-AU"/>
              </w:rPr>
              <w:t> </w:t>
            </w:r>
          </w:p>
          <w:p w14:paraId="07D64E19"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Five times</w:t>
            </w:r>
            <w:r w:rsidRPr="007D175D">
              <w:rPr>
                <w:rFonts w:asciiTheme="minorHAnsi" w:hAnsiTheme="minorHAnsi" w:cstheme="minorHAnsi"/>
                <w:b/>
                <w:bCs/>
                <w:sz w:val="18"/>
                <w:szCs w:val="18"/>
                <w:lang w:eastAsia="en-AU"/>
              </w:rPr>
              <w:t> </w:t>
            </w:r>
          </w:p>
          <w:p w14:paraId="437ED3F2"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Six times</w:t>
            </w:r>
            <w:r w:rsidRPr="007D175D">
              <w:rPr>
                <w:rFonts w:asciiTheme="minorHAnsi" w:hAnsiTheme="minorHAnsi" w:cstheme="minorHAnsi"/>
                <w:b/>
                <w:bCs/>
                <w:sz w:val="18"/>
                <w:szCs w:val="18"/>
                <w:lang w:eastAsia="en-AU"/>
              </w:rPr>
              <w:t> </w:t>
            </w:r>
          </w:p>
          <w:p w14:paraId="7395D3F6"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7-10 times</w:t>
            </w:r>
            <w:r w:rsidRPr="007D175D">
              <w:rPr>
                <w:rFonts w:asciiTheme="minorHAnsi" w:hAnsiTheme="minorHAnsi" w:cstheme="minorHAnsi"/>
                <w:b/>
                <w:bCs/>
                <w:sz w:val="18"/>
                <w:szCs w:val="18"/>
                <w:lang w:eastAsia="en-AU"/>
              </w:rPr>
              <w:t> </w:t>
            </w:r>
          </w:p>
          <w:p w14:paraId="55F17788"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More than 10 times</w:t>
            </w:r>
            <w:r w:rsidRPr="007D175D">
              <w:rPr>
                <w:rFonts w:asciiTheme="minorHAnsi" w:hAnsiTheme="minorHAnsi" w:cstheme="minorHAnsi"/>
                <w:b/>
                <w:bCs/>
                <w:sz w:val="18"/>
                <w:szCs w:val="18"/>
                <w:lang w:eastAsia="en-AU"/>
              </w:rPr>
              <w:t> </w:t>
            </w:r>
          </w:p>
        </w:tc>
        <w:tc>
          <w:tcPr>
            <w:tcW w:w="765" w:type="dxa"/>
            <w:tcBorders>
              <w:top w:val="single" w:sz="6" w:space="0" w:color="000000"/>
              <w:left w:val="nil"/>
              <w:bottom w:val="single" w:sz="6" w:space="0" w:color="000000"/>
              <w:right w:val="nil"/>
            </w:tcBorders>
            <w:shd w:val="clear" w:color="auto" w:fill="auto"/>
            <w:hideMark/>
          </w:tcPr>
          <w:p w14:paraId="2B837D4A" w14:textId="77777777" w:rsidR="007D175D" w:rsidRPr="007D175D" w:rsidRDefault="007D175D" w:rsidP="007D175D">
            <w:pPr>
              <w:jc w:val="center"/>
              <w:textAlignment w:val="baseline"/>
              <w:rPr>
                <w:rFonts w:asciiTheme="minorHAnsi" w:hAnsiTheme="minorHAnsi" w:cstheme="minorHAnsi"/>
                <w:sz w:val="18"/>
                <w:szCs w:val="18"/>
                <w:lang w:eastAsia="en-AU"/>
              </w:rPr>
            </w:pPr>
          </w:p>
          <w:p w14:paraId="6E6A546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p w14:paraId="0034C91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w:t>
            </w:r>
          </w:p>
          <w:p w14:paraId="041235F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w:t>
            </w:r>
          </w:p>
          <w:p w14:paraId="49AD25B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w:t>
            </w:r>
          </w:p>
          <w:p w14:paraId="128BBAC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w:t>
            </w:r>
          </w:p>
          <w:p w14:paraId="158A005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w:t>
            </w:r>
          </w:p>
          <w:p w14:paraId="6A3C20C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w:t>
            </w:r>
          </w:p>
          <w:p w14:paraId="1FC3942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7</w:t>
            </w:r>
          </w:p>
        </w:tc>
        <w:tc>
          <w:tcPr>
            <w:tcW w:w="765" w:type="dxa"/>
            <w:tcBorders>
              <w:top w:val="single" w:sz="6" w:space="0" w:color="000000"/>
              <w:left w:val="nil"/>
              <w:bottom w:val="single" w:sz="6" w:space="0" w:color="000000"/>
              <w:right w:val="nil"/>
            </w:tcBorders>
            <w:shd w:val="clear" w:color="auto" w:fill="auto"/>
            <w:hideMark/>
          </w:tcPr>
          <w:p w14:paraId="2D180FD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0F2452E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p w14:paraId="7F8CDFF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15 </w:t>
            </w:r>
          </w:p>
          <w:p w14:paraId="5A7949E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19 </w:t>
            </w:r>
          </w:p>
          <w:p w14:paraId="7A159CF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11 </w:t>
            </w:r>
          </w:p>
          <w:p w14:paraId="2A331BA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11 </w:t>
            </w:r>
          </w:p>
          <w:p w14:paraId="05B8957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4 </w:t>
            </w:r>
          </w:p>
          <w:p w14:paraId="15498CE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15 </w:t>
            </w:r>
          </w:p>
          <w:p w14:paraId="41AF61F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26 </w:t>
            </w:r>
          </w:p>
        </w:tc>
        <w:tc>
          <w:tcPr>
            <w:tcW w:w="750" w:type="dxa"/>
            <w:gridSpan w:val="2"/>
            <w:tcBorders>
              <w:top w:val="single" w:sz="6" w:space="0" w:color="000000"/>
              <w:left w:val="nil"/>
              <w:bottom w:val="single" w:sz="6" w:space="0" w:color="000000"/>
              <w:right w:val="nil"/>
            </w:tcBorders>
            <w:shd w:val="clear" w:color="auto" w:fill="auto"/>
            <w:hideMark/>
          </w:tcPr>
          <w:p w14:paraId="004F329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7954216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9 </w:t>
            </w:r>
          </w:p>
          <w:p w14:paraId="2B92F4E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8 </w:t>
            </w:r>
          </w:p>
          <w:p w14:paraId="3FCAA49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18 </w:t>
            </w:r>
          </w:p>
          <w:p w14:paraId="5C1886F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16 </w:t>
            </w:r>
          </w:p>
          <w:p w14:paraId="33FFDE8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4 </w:t>
            </w:r>
          </w:p>
          <w:p w14:paraId="7A0968A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6 </w:t>
            </w:r>
          </w:p>
          <w:p w14:paraId="560035D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4 </w:t>
            </w:r>
          </w:p>
          <w:p w14:paraId="611F5AD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1 </w:t>
            </w:r>
          </w:p>
        </w:tc>
        <w:tc>
          <w:tcPr>
            <w:tcW w:w="750" w:type="dxa"/>
            <w:gridSpan w:val="2"/>
            <w:tcBorders>
              <w:top w:val="single" w:sz="6" w:space="0" w:color="000000"/>
              <w:left w:val="nil"/>
              <w:bottom w:val="single" w:sz="6" w:space="0" w:color="000000"/>
              <w:right w:val="nil"/>
            </w:tcBorders>
            <w:shd w:val="clear" w:color="auto" w:fill="auto"/>
            <w:hideMark/>
          </w:tcPr>
          <w:p w14:paraId="0AECD81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3B2B29C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14 </w:t>
            </w:r>
          </w:p>
          <w:p w14:paraId="01EF547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12 </w:t>
            </w:r>
          </w:p>
          <w:p w14:paraId="558865D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27 </w:t>
            </w:r>
          </w:p>
          <w:p w14:paraId="6CB8F38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24 </w:t>
            </w:r>
          </w:p>
          <w:p w14:paraId="0E6378E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6 </w:t>
            </w:r>
          </w:p>
          <w:p w14:paraId="19212CE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9 </w:t>
            </w:r>
          </w:p>
          <w:p w14:paraId="28C35EC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6 </w:t>
            </w:r>
          </w:p>
          <w:p w14:paraId="6A16A94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2 </w:t>
            </w:r>
          </w:p>
        </w:tc>
        <w:tc>
          <w:tcPr>
            <w:tcW w:w="765" w:type="dxa"/>
            <w:tcBorders>
              <w:top w:val="single" w:sz="6" w:space="0" w:color="000000"/>
              <w:left w:val="nil"/>
              <w:bottom w:val="single" w:sz="6" w:space="0" w:color="000000"/>
              <w:right w:val="nil"/>
            </w:tcBorders>
            <w:shd w:val="clear" w:color="auto" w:fill="auto"/>
            <w:hideMark/>
          </w:tcPr>
          <w:p w14:paraId="0268746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7C46D0C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p w14:paraId="43C3A2E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5 </w:t>
            </w:r>
          </w:p>
          <w:p w14:paraId="434D759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2 </w:t>
            </w:r>
          </w:p>
          <w:p w14:paraId="0DA4535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4 </w:t>
            </w:r>
          </w:p>
          <w:p w14:paraId="741DAFE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4 </w:t>
            </w:r>
          </w:p>
          <w:p w14:paraId="31F3255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3 </w:t>
            </w:r>
          </w:p>
          <w:p w14:paraId="57EB3E9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5 </w:t>
            </w:r>
          </w:p>
          <w:p w14:paraId="76CDCAA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1 </w:t>
            </w:r>
          </w:p>
        </w:tc>
        <w:tc>
          <w:tcPr>
            <w:tcW w:w="750" w:type="dxa"/>
            <w:gridSpan w:val="2"/>
            <w:tcBorders>
              <w:top w:val="single" w:sz="6" w:space="0" w:color="000000"/>
              <w:left w:val="nil"/>
              <w:bottom w:val="single" w:sz="6" w:space="0" w:color="000000"/>
              <w:right w:val="nil"/>
            </w:tcBorders>
            <w:shd w:val="clear" w:color="auto" w:fill="auto"/>
            <w:hideMark/>
          </w:tcPr>
          <w:p w14:paraId="4FE341C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5C60420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p w14:paraId="73D2816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21 </w:t>
            </w:r>
          </w:p>
          <w:p w14:paraId="6DBB2B5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8 </w:t>
            </w:r>
          </w:p>
          <w:p w14:paraId="407AFAE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17 </w:t>
            </w:r>
          </w:p>
          <w:p w14:paraId="48F9513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17 </w:t>
            </w:r>
          </w:p>
          <w:p w14:paraId="1FAD227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13 </w:t>
            </w:r>
          </w:p>
          <w:p w14:paraId="500F07C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21 </w:t>
            </w:r>
          </w:p>
          <w:p w14:paraId="6BA9C55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4 </w:t>
            </w:r>
          </w:p>
        </w:tc>
        <w:tc>
          <w:tcPr>
            <w:tcW w:w="765" w:type="dxa"/>
            <w:tcBorders>
              <w:top w:val="single" w:sz="6" w:space="0" w:color="000000"/>
              <w:left w:val="nil"/>
              <w:bottom w:val="single" w:sz="6" w:space="0" w:color="000000"/>
              <w:right w:val="nil"/>
            </w:tcBorders>
            <w:shd w:val="clear" w:color="auto" w:fill="auto"/>
            <w:hideMark/>
          </w:tcPr>
          <w:p w14:paraId="6B03897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01BDA0B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9 </w:t>
            </w:r>
          </w:p>
          <w:p w14:paraId="62CBDB3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17 </w:t>
            </w:r>
          </w:p>
          <w:p w14:paraId="41A55FB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25 </w:t>
            </w:r>
          </w:p>
          <w:p w14:paraId="0055C9B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23 </w:t>
            </w:r>
          </w:p>
          <w:p w14:paraId="76277FD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11 </w:t>
            </w:r>
          </w:p>
          <w:p w14:paraId="645F39B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10 </w:t>
            </w:r>
          </w:p>
          <w:p w14:paraId="3435D99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13 </w:t>
            </w:r>
          </w:p>
          <w:p w14:paraId="10E9C4A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9 </w:t>
            </w:r>
          </w:p>
        </w:tc>
        <w:tc>
          <w:tcPr>
            <w:tcW w:w="765" w:type="dxa"/>
            <w:tcBorders>
              <w:top w:val="single" w:sz="6" w:space="0" w:color="000000"/>
              <w:left w:val="nil"/>
              <w:bottom w:val="single" w:sz="6" w:space="0" w:color="000000"/>
              <w:right w:val="single" w:sz="6" w:space="0" w:color="000000"/>
            </w:tcBorders>
            <w:shd w:val="clear" w:color="auto" w:fill="auto"/>
            <w:hideMark/>
          </w:tcPr>
          <w:p w14:paraId="732A477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380438F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8 </w:t>
            </w:r>
          </w:p>
          <w:p w14:paraId="1509E6B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15 </w:t>
            </w:r>
          </w:p>
          <w:p w14:paraId="37E5FBC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22 </w:t>
            </w:r>
          </w:p>
          <w:p w14:paraId="0CF8418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20 </w:t>
            </w:r>
          </w:p>
          <w:p w14:paraId="2AF6C22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9 </w:t>
            </w:r>
          </w:p>
          <w:p w14:paraId="5782C0B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9 </w:t>
            </w:r>
          </w:p>
          <w:p w14:paraId="4E27D39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11 </w:t>
            </w:r>
          </w:p>
          <w:p w14:paraId="68ED410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8 </w:t>
            </w:r>
          </w:p>
        </w:tc>
      </w:tr>
      <w:tr w:rsidR="007D175D" w:rsidRPr="007D175D" w14:paraId="7A451420" w14:textId="77777777">
        <w:trPr>
          <w:trHeight w:val="1335"/>
        </w:trPr>
        <w:tc>
          <w:tcPr>
            <w:tcW w:w="3555" w:type="dxa"/>
            <w:tcBorders>
              <w:top w:val="nil"/>
              <w:left w:val="single" w:sz="6" w:space="0" w:color="000000"/>
              <w:bottom w:val="nil"/>
              <w:right w:val="nil"/>
            </w:tcBorders>
            <w:shd w:val="clear" w:color="auto" w:fill="auto"/>
            <w:hideMark/>
          </w:tcPr>
          <w:p w14:paraId="76AB51ED" w14:textId="65FF51EA"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sz w:val="18"/>
                <w:szCs w:val="18"/>
                <w:lang w:eastAsia="en-AU"/>
              </w:rPr>
              <w:t>Supports received from therapist (n=117)</w:t>
            </w:r>
          </w:p>
          <w:p w14:paraId="2572E8E9" w14:textId="1C07EC55"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Counselling</w:t>
            </w:r>
          </w:p>
          <w:p w14:paraId="445DF734" w14:textId="0EF65AD9"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Explained online information</w:t>
            </w:r>
            <w:r w:rsidRPr="007D175D">
              <w:rPr>
                <w:rFonts w:asciiTheme="minorHAnsi" w:hAnsiTheme="minorHAnsi" w:cstheme="minorHAnsi"/>
                <w:b/>
                <w:bCs/>
                <w:sz w:val="18"/>
                <w:szCs w:val="18"/>
                <w:lang w:eastAsia="en-AU"/>
              </w:rPr>
              <w:t> </w:t>
            </w:r>
          </w:p>
          <w:p w14:paraId="63E16772"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Helped with the activities</w:t>
            </w:r>
            <w:r w:rsidRPr="007D175D">
              <w:rPr>
                <w:rFonts w:asciiTheme="minorHAnsi" w:hAnsiTheme="minorHAnsi" w:cstheme="minorHAnsi"/>
                <w:b/>
                <w:bCs/>
                <w:sz w:val="18"/>
                <w:szCs w:val="18"/>
                <w:lang w:eastAsia="en-AU"/>
              </w:rPr>
              <w:t> </w:t>
            </w:r>
          </w:p>
          <w:p w14:paraId="594A6D49"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Provided other resources</w:t>
            </w:r>
            <w:r w:rsidRPr="007D175D">
              <w:rPr>
                <w:rFonts w:asciiTheme="minorHAnsi" w:hAnsiTheme="minorHAnsi" w:cstheme="minorHAnsi"/>
                <w:b/>
                <w:bCs/>
                <w:sz w:val="18"/>
                <w:szCs w:val="18"/>
                <w:lang w:eastAsia="en-AU"/>
              </w:rPr>
              <w:t> </w:t>
            </w:r>
          </w:p>
          <w:p w14:paraId="174F6070"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Other</w:t>
            </w:r>
            <w:r w:rsidRPr="007D175D">
              <w:rPr>
                <w:rFonts w:asciiTheme="minorHAnsi" w:hAnsiTheme="minorHAnsi" w:cstheme="minorHAnsi"/>
                <w:b/>
                <w:bCs/>
                <w:sz w:val="18"/>
                <w:szCs w:val="18"/>
                <w:lang w:eastAsia="en-AU"/>
              </w:rPr>
              <w:t> </w:t>
            </w:r>
          </w:p>
        </w:tc>
        <w:tc>
          <w:tcPr>
            <w:tcW w:w="765" w:type="dxa"/>
            <w:tcBorders>
              <w:top w:val="nil"/>
              <w:left w:val="nil"/>
              <w:bottom w:val="nil"/>
              <w:right w:val="nil"/>
            </w:tcBorders>
            <w:shd w:val="clear" w:color="auto" w:fill="auto"/>
            <w:hideMark/>
          </w:tcPr>
          <w:p w14:paraId="5B33772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606E5A5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17 </w:t>
            </w:r>
          </w:p>
          <w:p w14:paraId="048DD47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12 </w:t>
            </w:r>
          </w:p>
          <w:p w14:paraId="501DA16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12 </w:t>
            </w:r>
          </w:p>
          <w:p w14:paraId="1BC64FD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9 </w:t>
            </w:r>
          </w:p>
          <w:p w14:paraId="21F1363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4 </w:t>
            </w:r>
          </w:p>
        </w:tc>
        <w:tc>
          <w:tcPr>
            <w:tcW w:w="765" w:type="dxa"/>
            <w:tcBorders>
              <w:top w:val="nil"/>
              <w:left w:val="nil"/>
              <w:bottom w:val="nil"/>
              <w:right w:val="nil"/>
            </w:tcBorders>
            <w:shd w:val="clear" w:color="auto" w:fill="auto"/>
            <w:hideMark/>
          </w:tcPr>
          <w:p w14:paraId="3DB95FF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0BA2DF2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63 </w:t>
            </w:r>
          </w:p>
          <w:p w14:paraId="0258521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44 </w:t>
            </w:r>
          </w:p>
          <w:p w14:paraId="1150D05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44 </w:t>
            </w:r>
          </w:p>
          <w:p w14:paraId="6455204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33 </w:t>
            </w:r>
          </w:p>
          <w:p w14:paraId="30C414A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15 </w:t>
            </w:r>
          </w:p>
        </w:tc>
        <w:tc>
          <w:tcPr>
            <w:tcW w:w="750" w:type="dxa"/>
            <w:gridSpan w:val="2"/>
            <w:tcBorders>
              <w:top w:val="nil"/>
              <w:left w:val="nil"/>
              <w:bottom w:val="nil"/>
              <w:right w:val="nil"/>
            </w:tcBorders>
            <w:shd w:val="clear" w:color="auto" w:fill="auto"/>
            <w:hideMark/>
          </w:tcPr>
          <w:p w14:paraId="6D58B10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7E8CC83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29 </w:t>
            </w:r>
          </w:p>
          <w:p w14:paraId="79E8C78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35 </w:t>
            </w:r>
          </w:p>
          <w:p w14:paraId="723A999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27 </w:t>
            </w:r>
          </w:p>
          <w:p w14:paraId="4D24490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21 </w:t>
            </w:r>
          </w:p>
          <w:p w14:paraId="0413149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11 </w:t>
            </w:r>
          </w:p>
        </w:tc>
        <w:tc>
          <w:tcPr>
            <w:tcW w:w="750" w:type="dxa"/>
            <w:gridSpan w:val="2"/>
            <w:tcBorders>
              <w:top w:val="nil"/>
              <w:left w:val="nil"/>
              <w:bottom w:val="nil"/>
              <w:right w:val="nil"/>
            </w:tcBorders>
            <w:shd w:val="clear" w:color="auto" w:fill="auto"/>
            <w:hideMark/>
          </w:tcPr>
          <w:p w14:paraId="6B08FC4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52C233F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44 </w:t>
            </w:r>
          </w:p>
          <w:p w14:paraId="7F4F4E6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53 </w:t>
            </w:r>
          </w:p>
          <w:p w14:paraId="2080E6C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41 </w:t>
            </w:r>
          </w:p>
          <w:p w14:paraId="0C21E38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32 </w:t>
            </w:r>
          </w:p>
          <w:p w14:paraId="0B22118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17 </w:t>
            </w:r>
          </w:p>
        </w:tc>
        <w:tc>
          <w:tcPr>
            <w:tcW w:w="765" w:type="dxa"/>
            <w:tcBorders>
              <w:top w:val="nil"/>
              <w:left w:val="nil"/>
              <w:bottom w:val="nil"/>
              <w:right w:val="nil"/>
            </w:tcBorders>
            <w:shd w:val="clear" w:color="auto" w:fill="auto"/>
            <w:hideMark/>
          </w:tcPr>
          <w:p w14:paraId="350721F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6DAEC3D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18 </w:t>
            </w:r>
          </w:p>
          <w:p w14:paraId="649CEBE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7 </w:t>
            </w:r>
          </w:p>
          <w:p w14:paraId="73129EB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4 </w:t>
            </w:r>
          </w:p>
          <w:p w14:paraId="2C5F82E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4 </w:t>
            </w:r>
          </w:p>
          <w:p w14:paraId="672CFF2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2 </w:t>
            </w:r>
          </w:p>
        </w:tc>
        <w:tc>
          <w:tcPr>
            <w:tcW w:w="750" w:type="dxa"/>
            <w:gridSpan w:val="2"/>
            <w:tcBorders>
              <w:top w:val="nil"/>
              <w:left w:val="nil"/>
              <w:bottom w:val="nil"/>
              <w:right w:val="nil"/>
            </w:tcBorders>
            <w:shd w:val="clear" w:color="auto" w:fill="auto"/>
            <w:hideMark/>
          </w:tcPr>
          <w:p w14:paraId="4444657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0EF53CD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75 </w:t>
            </w:r>
          </w:p>
          <w:p w14:paraId="712C60F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29 </w:t>
            </w:r>
          </w:p>
          <w:p w14:paraId="4E91DC6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17 </w:t>
            </w:r>
          </w:p>
          <w:p w14:paraId="4CC0ECB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17 </w:t>
            </w:r>
          </w:p>
          <w:p w14:paraId="204673D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8 </w:t>
            </w:r>
          </w:p>
        </w:tc>
        <w:tc>
          <w:tcPr>
            <w:tcW w:w="765" w:type="dxa"/>
            <w:tcBorders>
              <w:top w:val="nil"/>
              <w:left w:val="nil"/>
              <w:bottom w:val="nil"/>
              <w:right w:val="nil"/>
            </w:tcBorders>
            <w:shd w:val="clear" w:color="auto" w:fill="auto"/>
            <w:hideMark/>
          </w:tcPr>
          <w:p w14:paraId="49D6B18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4C65919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64 </w:t>
            </w:r>
          </w:p>
          <w:p w14:paraId="6F8FFA6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54 </w:t>
            </w:r>
          </w:p>
          <w:p w14:paraId="0185BDA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43 </w:t>
            </w:r>
          </w:p>
          <w:p w14:paraId="02CA465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34 </w:t>
            </w:r>
          </w:p>
          <w:p w14:paraId="24F8CC0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17 </w:t>
            </w:r>
          </w:p>
        </w:tc>
        <w:tc>
          <w:tcPr>
            <w:tcW w:w="765" w:type="dxa"/>
            <w:tcBorders>
              <w:top w:val="nil"/>
              <w:left w:val="nil"/>
              <w:bottom w:val="nil"/>
              <w:right w:val="single" w:sz="6" w:space="0" w:color="000000"/>
            </w:tcBorders>
            <w:shd w:val="clear" w:color="auto" w:fill="auto"/>
            <w:hideMark/>
          </w:tcPr>
          <w:p w14:paraId="77B6E5E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3E9F1F4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55 </w:t>
            </w:r>
          </w:p>
          <w:p w14:paraId="797EEFB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46 </w:t>
            </w:r>
          </w:p>
          <w:p w14:paraId="15BFC11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37 </w:t>
            </w:r>
          </w:p>
          <w:p w14:paraId="785F2F0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29 </w:t>
            </w:r>
          </w:p>
          <w:p w14:paraId="769CD93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15 </w:t>
            </w:r>
          </w:p>
        </w:tc>
      </w:tr>
      <w:tr w:rsidR="007D175D" w:rsidRPr="007D175D" w14:paraId="41B7D003" w14:textId="77777777">
        <w:trPr>
          <w:trHeight w:val="1245"/>
        </w:trPr>
        <w:tc>
          <w:tcPr>
            <w:tcW w:w="3555" w:type="dxa"/>
            <w:tcBorders>
              <w:top w:val="single" w:sz="6" w:space="0" w:color="000000"/>
              <w:left w:val="single" w:sz="6" w:space="0" w:color="000000"/>
              <w:bottom w:val="single" w:sz="6" w:space="0" w:color="000000"/>
              <w:right w:val="nil"/>
            </w:tcBorders>
            <w:shd w:val="clear" w:color="auto" w:fill="auto"/>
            <w:hideMark/>
          </w:tcPr>
          <w:p w14:paraId="4721FC0C"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sz w:val="18"/>
                <w:szCs w:val="18"/>
                <w:lang w:eastAsia="en-AU"/>
              </w:rPr>
              <w:t>Helpful (n=117) </w:t>
            </w:r>
          </w:p>
          <w:p w14:paraId="7DCF2BE7"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Strongly agree</w:t>
            </w:r>
            <w:r w:rsidRPr="007D175D">
              <w:rPr>
                <w:rFonts w:asciiTheme="minorHAnsi" w:hAnsiTheme="minorHAnsi" w:cstheme="minorHAnsi"/>
                <w:b/>
                <w:bCs/>
                <w:sz w:val="18"/>
                <w:szCs w:val="18"/>
                <w:lang w:eastAsia="en-AU"/>
              </w:rPr>
              <w:t> </w:t>
            </w:r>
          </w:p>
          <w:p w14:paraId="0FD42B11"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Somewhat agree</w:t>
            </w:r>
            <w:r w:rsidRPr="007D175D">
              <w:rPr>
                <w:rFonts w:asciiTheme="minorHAnsi" w:hAnsiTheme="minorHAnsi" w:cstheme="minorHAnsi"/>
                <w:b/>
                <w:bCs/>
                <w:sz w:val="18"/>
                <w:szCs w:val="18"/>
                <w:lang w:eastAsia="en-AU"/>
              </w:rPr>
              <w:t> </w:t>
            </w:r>
          </w:p>
          <w:p w14:paraId="5984DF40"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Neither agree nor disagree</w:t>
            </w:r>
            <w:r w:rsidRPr="007D175D">
              <w:rPr>
                <w:rFonts w:asciiTheme="minorHAnsi" w:hAnsiTheme="minorHAnsi" w:cstheme="minorHAnsi"/>
                <w:b/>
                <w:bCs/>
                <w:sz w:val="18"/>
                <w:szCs w:val="18"/>
                <w:lang w:eastAsia="en-AU"/>
              </w:rPr>
              <w:t> </w:t>
            </w:r>
          </w:p>
          <w:p w14:paraId="59757D4E"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Somewhat disagree</w:t>
            </w:r>
            <w:r w:rsidRPr="007D175D">
              <w:rPr>
                <w:rFonts w:asciiTheme="minorHAnsi" w:hAnsiTheme="minorHAnsi" w:cstheme="minorHAnsi"/>
                <w:b/>
                <w:bCs/>
                <w:sz w:val="18"/>
                <w:szCs w:val="18"/>
                <w:lang w:eastAsia="en-AU"/>
              </w:rPr>
              <w:t> </w:t>
            </w:r>
          </w:p>
          <w:p w14:paraId="0B54F820"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Strongly disagree</w:t>
            </w:r>
            <w:r w:rsidRPr="007D175D">
              <w:rPr>
                <w:rFonts w:asciiTheme="minorHAnsi" w:hAnsiTheme="minorHAnsi" w:cstheme="minorHAnsi"/>
                <w:b/>
                <w:bCs/>
                <w:sz w:val="18"/>
                <w:szCs w:val="18"/>
                <w:lang w:eastAsia="en-AU"/>
              </w:rPr>
              <w:t> </w:t>
            </w:r>
          </w:p>
        </w:tc>
        <w:tc>
          <w:tcPr>
            <w:tcW w:w="765" w:type="dxa"/>
            <w:tcBorders>
              <w:top w:val="single" w:sz="6" w:space="0" w:color="000000"/>
              <w:left w:val="nil"/>
              <w:bottom w:val="single" w:sz="6" w:space="0" w:color="000000"/>
              <w:right w:val="nil"/>
            </w:tcBorders>
            <w:shd w:val="clear" w:color="auto" w:fill="auto"/>
            <w:hideMark/>
          </w:tcPr>
          <w:p w14:paraId="55BF8E7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30CA00F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18 </w:t>
            </w:r>
          </w:p>
          <w:p w14:paraId="5094D0D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5 </w:t>
            </w:r>
          </w:p>
          <w:p w14:paraId="781D77C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2 </w:t>
            </w:r>
          </w:p>
          <w:p w14:paraId="1D89617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p w14:paraId="3A6DE1D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2 </w:t>
            </w:r>
          </w:p>
        </w:tc>
        <w:tc>
          <w:tcPr>
            <w:tcW w:w="765" w:type="dxa"/>
            <w:tcBorders>
              <w:top w:val="single" w:sz="6" w:space="0" w:color="000000"/>
              <w:left w:val="nil"/>
              <w:bottom w:val="single" w:sz="6" w:space="0" w:color="000000"/>
              <w:right w:val="nil"/>
            </w:tcBorders>
            <w:shd w:val="clear" w:color="auto" w:fill="auto"/>
            <w:hideMark/>
          </w:tcPr>
          <w:p w14:paraId="247D980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013DEA6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67 </w:t>
            </w:r>
          </w:p>
          <w:p w14:paraId="3F55810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19 </w:t>
            </w:r>
          </w:p>
          <w:p w14:paraId="4E43B1B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7 </w:t>
            </w:r>
          </w:p>
          <w:p w14:paraId="1605024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p w14:paraId="59347CD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7 </w:t>
            </w:r>
          </w:p>
        </w:tc>
        <w:tc>
          <w:tcPr>
            <w:tcW w:w="750" w:type="dxa"/>
            <w:gridSpan w:val="2"/>
            <w:tcBorders>
              <w:top w:val="single" w:sz="6" w:space="0" w:color="000000"/>
              <w:left w:val="nil"/>
              <w:bottom w:val="single" w:sz="6" w:space="0" w:color="000000"/>
              <w:right w:val="nil"/>
            </w:tcBorders>
            <w:shd w:val="clear" w:color="auto" w:fill="auto"/>
            <w:hideMark/>
          </w:tcPr>
          <w:p w14:paraId="4DA5F5E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72D8A3A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31 </w:t>
            </w:r>
          </w:p>
          <w:p w14:paraId="7C0AD84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20 </w:t>
            </w:r>
          </w:p>
          <w:p w14:paraId="4717952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10 </w:t>
            </w:r>
          </w:p>
          <w:p w14:paraId="6EC0C02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5 </w:t>
            </w:r>
          </w:p>
          <w:p w14:paraId="73991FC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tc>
        <w:tc>
          <w:tcPr>
            <w:tcW w:w="750" w:type="dxa"/>
            <w:gridSpan w:val="2"/>
            <w:tcBorders>
              <w:top w:val="single" w:sz="6" w:space="0" w:color="000000"/>
              <w:left w:val="nil"/>
              <w:bottom w:val="single" w:sz="6" w:space="0" w:color="000000"/>
              <w:right w:val="nil"/>
            </w:tcBorders>
            <w:shd w:val="clear" w:color="auto" w:fill="auto"/>
            <w:hideMark/>
          </w:tcPr>
          <w:p w14:paraId="54647CA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2E0E82B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47 </w:t>
            </w:r>
          </w:p>
          <w:p w14:paraId="7DB93F8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30 </w:t>
            </w:r>
          </w:p>
          <w:p w14:paraId="46C62B5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15 </w:t>
            </w:r>
          </w:p>
          <w:p w14:paraId="3B790BE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8 </w:t>
            </w:r>
          </w:p>
          <w:p w14:paraId="2DCAADA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tc>
        <w:tc>
          <w:tcPr>
            <w:tcW w:w="765" w:type="dxa"/>
            <w:tcBorders>
              <w:top w:val="single" w:sz="6" w:space="0" w:color="000000"/>
              <w:left w:val="nil"/>
              <w:bottom w:val="single" w:sz="6" w:space="0" w:color="000000"/>
              <w:right w:val="nil"/>
            </w:tcBorders>
            <w:shd w:val="clear" w:color="auto" w:fill="auto"/>
            <w:hideMark/>
          </w:tcPr>
          <w:p w14:paraId="5375C35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67D4370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18 </w:t>
            </w:r>
          </w:p>
          <w:p w14:paraId="5350C20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5 </w:t>
            </w:r>
          </w:p>
          <w:p w14:paraId="5C2FFA8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1 </w:t>
            </w:r>
          </w:p>
          <w:p w14:paraId="37ABF10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p w14:paraId="5A4A726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tc>
        <w:tc>
          <w:tcPr>
            <w:tcW w:w="750" w:type="dxa"/>
            <w:gridSpan w:val="2"/>
            <w:tcBorders>
              <w:top w:val="single" w:sz="6" w:space="0" w:color="000000"/>
              <w:left w:val="nil"/>
              <w:bottom w:val="single" w:sz="6" w:space="0" w:color="000000"/>
              <w:right w:val="nil"/>
            </w:tcBorders>
            <w:shd w:val="clear" w:color="auto" w:fill="auto"/>
            <w:hideMark/>
          </w:tcPr>
          <w:p w14:paraId="7513E9F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18031E3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75 </w:t>
            </w:r>
          </w:p>
          <w:p w14:paraId="4AABF9E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21 </w:t>
            </w:r>
          </w:p>
          <w:p w14:paraId="429DFFE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4 </w:t>
            </w:r>
          </w:p>
          <w:p w14:paraId="426F58F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p w14:paraId="44B42AC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tc>
        <w:tc>
          <w:tcPr>
            <w:tcW w:w="765" w:type="dxa"/>
            <w:tcBorders>
              <w:top w:val="single" w:sz="6" w:space="0" w:color="000000"/>
              <w:left w:val="nil"/>
              <w:bottom w:val="single" w:sz="6" w:space="0" w:color="000000"/>
              <w:right w:val="nil"/>
            </w:tcBorders>
            <w:shd w:val="clear" w:color="auto" w:fill="auto"/>
            <w:hideMark/>
          </w:tcPr>
          <w:p w14:paraId="4EDB1A7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469259A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67 </w:t>
            </w:r>
          </w:p>
          <w:p w14:paraId="7787795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30 </w:t>
            </w:r>
          </w:p>
          <w:p w14:paraId="23471EF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13 </w:t>
            </w:r>
          </w:p>
          <w:p w14:paraId="7A7B456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5 </w:t>
            </w:r>
          </w:p>
          <w:p w14:paraId="6621E37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2 </w:t>
            </w:r>
          </w:p>
        </w:tc>
        <w:tc>
          <w:tcPr>
            <w:tcW w:w="765" w:type="dxa"/>
            <w:tcBorders>
              <w:top w:val="single" w:sz="6" w:space="0" w:color="000000"/>
              <w:left w:val="nil"/>
              <w:bottom w:val="single" w:sz="6" w:space="0" w:color="000000"/>
              <w:right w:val="single" w:sz="6" w:space="0" w:color="000000"/>
            </w:tcBorders>
            <w:shd w:val="clear" w:color="auto" w:fill="auto"/>
            <w:hideMark/>
          </w:tcPr>
          <w:p w14:paraId="3D2154C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42BE47B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57 </w:t>
            </w:r>
          </w:p>
          <w:p w14:paraId="18D2D14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26 </w:t>
            </w:r>
          </w:p>
          <w:p w14:paraId="6AB3BD2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11 </w:t>
            </w:r>
          </w:p>
          <w:p w14:paraId="0C6B6C2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4 </w:t>
            </w:r>
          </w:p>
          <w:p w14:paraId="102049B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2 </w:t>
            </w:r>
          </w:p>
        </w:tc>
      </w:tr>
      <w:tr w:rsidR="007D175D" w:rsidRPr="007D175D" w14:paraId="4245C337" w14:textId="77777777">
        <w:trPr>
          <w:trHeight w:val="1185"/>
        </w:trPr>
        <w:tc>
          <w:tcPr>
            <w:tcW w:w="3555" w:type="dxa"/>
            <w:tcBorders>
              <w:top w:val="nil"/>
              <w:left w:val="single" w:sz="6" w:space="0" w:color="000000"/>
              <w:bottom w:val="nil"/>
              <w:right w:val="nil"/>
            </w:tcBorders>
            <w:shd w:val="clear" w:color="auto" w:fill="auto"/>
            <w:hideMark/>
          </w:tcPr>
          <w:p w14:paraId="43B3CC38"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sz w:val="18"/>
                <w:szCs w:val="18"/>
                <w:lang w:eastAsia="en-AU"/>
              </w:rPr>
              <w:t>Addressed needs (n=117) </w:t>
            </w:r>
          </w:p>
          <w:p w14:paraId="63AE64F8"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Strongly agree</w:t>
            </w:r>
            <w:r w:rsidRPr="007D175D">
              <w:rPr>
                <w:rFonts w:asciiTheme="minorHAnsi" w:hAnsiTheme="minorHAnsi" w:cstheme="minorHAnsi"/>
                <w:b/>
                <w:bCs/>
                <w:sz w:val="18"/>
                <w:szCs w:val="18"/>
                <w:lang w:eastAsia="en-AU"/>
              </w:rPr>
              <w:t> </w:t>
            </w:r>
          </w:p>
          <w:p w14:paraId="34647C20"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Somewhat agree</w:t>
            </w:r>
            <w:r w:rsidRPr="007D175D">
              <w:rPr>
                <w:rFonts w:asciiTheme="minorHAnsi" w:hAnsiTheme="minorHAnsi" w:cstheme="minorHAnsi"/>
                <w:b/>
                <w:bCs/>
                <w:sz w:val="18"/>
                <w:szCs w:val="18"/>
                <w:lang w:eastAsia="en-AU"/>
              </w:rPr>
              <w:t> </w:t>
            </w:r>
          </w:p>
          <w:p w14:paraId="0DFA9F09"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Neither agree nor disagree</w:t>
            </w:r>
            <w:r w:rsidRPr="007D175D">
              <w:rPr>
                <w:rFonts w:asciiTheme="minorHAnsi" w:hAnsiTheme="minorHAnsi" w:cstheme="minorHAnsi"/>
                <w:b/>
                <w:bCs/>
                <w:sz w:val="18"/>
                <w:szCs w:val="18"/>
                <w:lang w:eastAsia="en-AU"/>
              </w:rPr>
              <w:t> </w:t>
            </w:r>
          </w:p>
          <w:p w14:paraId="62B3D3B7"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Somewhat disagree</w:t>
            </w:r>
            <w:r w:rsidRPr="007D175D">
              <w:rPr>
                <w:rFonts w:asciiTheme="minorHAnsi" w:hAnsiTheme="minorHAnsi" w:cstheme="minorHAnsi"/>
                <w:b/>
                <w:bCs/>
                <w:sz w:val="18"/>
                <w:szCs w:val="18"/>
                <w:lang w:eastAsia="en-AU"/>
              </w:rPr>
              <w:t> </w:t>
            </w:r>
          </w:p>
          <w:p w14:paraId="27CDFD35"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Strongly disagree</w:t>
            </w:r>
            <w:r w:rsidRPr="007D175D">
              <w:rPr>
                <w:rFonts w:asciiTheme="minorHAnsi" w:hAnsiTheme="minorHAnsi" w:cstheme="minorHAnsi"/>
                <w:b/>
                <w:bCs/>
                <w:sz w:val="18"/>
                <w:szCs w:val="18"/>
                <w:lang w:eastAsia="en-AU"/>
              </w:rPr>
              <w:t> </w:t>
            </w:r>
          </w:p>
        </w:tc>
        <w:tc>
          <w:tcPr>
            <w:tcW w:w="765" w:type="dxa"/>
            <w:tcBorders>
              <w:top w:val="nil"/>
              <w:left w:val="nil"/>
              <w:bottom w:val="nil"/>
              <w:right w:val="nil"/>
            </w:tcBorders>
            <w:shd w:val="clear" w:color="auto" w:fill="auto"/>
            <w:hideMark/>
          </w:tcPr>
          <w:p w14:paraId="2477990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1B371D1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15 </w:t>
            </w:r>
          </w:p>
          <w:p w14:paraId="2C63593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6 </w:t>
            </w:r>
          </w:p>
          <w:p w14:paraId="7A6166D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1 </w:t>
            </w:r>
          </w:p>
          <w:p w14:paraId="05B44A1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2 </w:t>
            </w:r>
          </w:p>
          <w:p w14:paraId="708AF62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3 </w:t>
            </w:r>
          </w:p>
        </w:tc>
        <w:tc>
          <w:tcPr>
            <w:tcW w:w="765" w:type="dxa"/>
            <w:tcBorders>
              <w:top w:val="nil"/>
              <w:left w:val="nil"/>
              <w:bottom w:val="nil"/>
              <w:right w:val="nil"/>
            </w:tcBorders>
            <w:shd w:val="clear" w:color="auto" w:fill="auto"/>
            <w:hideMark/>
          </w:tcPr>
          <w:p w14:paraId="1E11E69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2FC7561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56 </w:t>
            </w:r>
          </w:p>
          <w:p w14:paraId="0D3D9AA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22 </w:t>
            </w:r>
          </w:p>
          <w:p w14:paraId="0F62AF4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4 </w:t>
            </w:r>
          </w:p>
          <w:p w14:paraId="57EB93A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7 </w:t>
            </w:r>
          </w:p>
          <w:p w14:paraId="038D665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11 </w:t>
            </w:r>
          </w:p>
        </w:tc>
        <w:tc>
          <w:tcPr>
            <w:tcW w:w="750" w:type="dxa"/>
            <w:gridSpan w:val="2"/>
            <w:tcBorders>
              <w:top w:val="nil"/>
              <w:left w:val="nil"/>
              <w:bottom w:val="nil"/>
              <w:right w:val="nil"/>
            </w:tcBorders>
            <w:shd w:val="clear" w:color="auto" w:fill="auto"/>
            <w:hideMark/>
          </w:tcPr>
          <w:p w14:paraId="629BA8D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08A9116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34 </w:t>
            </w:r>
          </w:p>
          <w:p w14:paraId="590D795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16 </w:t>
            </w:r>
          </w:p>
          <w:p w14:paraId="74F46E5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10 </w:t>
            </w:r>
          </w:p>
          <w:p w14:paraId="603A163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3 </w:t>
            </w:r>
          </w:p>
          <w:p w14:paraId="2F72F35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3 </w:t>
            </w:r>
          </w:p>
        </w:tc>
        <w:tc>
          <w:tcPr>
            <w:tcW w:w="750" w:type="dxa"/>
            <w:gridSpan w:val="2"/>
            <w:tcBorders>
              <w:top w:val="nil"/>
              <w:left w:val="nil"/>
              <w:bottom w:val="nil"/>
              <w:right w:val="nil"/>
            </w:tcBorders>
            <w:shd w:val="clear" w:color="auto" w:fill="auto"/>
            <w:hideMark/>
          </w:tcPr>
          <w:p w14:paraId="67EEA67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4974730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52 </w:t>
            </w:r>
          </w:p>
          <w:p w14:paraId="136E9B6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24 </w:t>
            </w:r>
          </w:p>
          <w:p w14:paraId="154D9F6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15 </w:t>
            </w:r>
          </w:p>
          <w:p w14:paraId="5DE9277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5 </w:t>
            </w:r>
          </w:p>
          <w:p w14:paraId="549B82B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5 </w:t>
            </w:r>
          </w:p>
        </w:tc>
        <w:tc>
          <w:tcPr>
            <w:tcW w:w="765" w:type="dxa"/>
            <w:tcBorders>
              <w:top w:val="nil"/>
              <w:left w:val="nil"/>
              <w:bottom w:val="nil"/>
              <w:right w:val="nil"/>
            </w:tcBorders>
            <w:shd w:val="clear" w:color="auto" w:fill="auto"/>
            <w:hideMark/>
          </w:tcPr>
          <w:p w14:paraId="6CF20D0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1CE9C27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15 </w:t>
            </w:r>
          </w:p>
          <w:p w14:paraId="4ED7419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8 </w:t>
            </w:r>
          </w:p>
          <w:p w14:paraId="32FC850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1 </w:t>
            </w:r>
          </w:p>
          <w:p w14:paraId="1C87BCA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p w14:paraId="1E5D101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tc>
        <w:tc>
          <w:tcPr>
            <w:tcW w:w="750" w:type="dxa"/>
            <w:gridSpan w:val="2"/>
            <w:tcBorders>
              <w:top w:val="nil"/>
              <w:left w:val="nil"/>
              <w:bottom w:val="nil"/>
              <w:right w:val="nil"/>
            </w:tcBorders>
            <w:shd w:val="clear" w:color="auto" w:fill="auto"/>
            <w:hideMark/>
          </w:tcPr>
          <w:p w14:paraId="733FD9E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7397B46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63 </w:t>
            </w:r>
          </w:p>
          <w:p w14:paraId="1DEFED7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33 </w:t>
            </w:r>
          </w:p>
          <w:p w14:paraId="1874D9C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4 </w:t>
            </w:r>
          </w:p>
          <w:p w14:paraId="55D4477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p w14:paraId="4BC690B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tc>
        <w:tc>
          <w:tcPr>
            <w:tcW w:w="765" w:type="dxa"/>
            <w:tcBorders>
              <w:top w:val="nil"/>
              <w:left w:val="nil"/>
              <w:bottom w:val="nil"/>
              <w:right w:val="nil"/>
            </w:tcBorders>
            <w:shd w:val="clear" w:color="auto" w:fill="auto"/>
            <w:hideMark/>
          </w:tcPr>
          <w:p w14:paraId="1BA9EF2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614899F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64 </w:t>
            </w:r>
          </w:p>
          <w:p w14:paraId="39484B3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30 </w:t>
            </w:r>
          </w:p>
          <w:p w14:paraId="257946D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12 </w:t>
            </w:r>
          </w:p>
          <w:p w14:paraId="389F1D6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5 </w:t>
            </w:r>
          </w:p>
          <w:p w14:paraId="4B3842A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6 </w:t>
            </w:r>
          </w:p>
        </w:tc>
        <w:tc>
          <w:tcPr>
            <w:tcW w:w="765" w:type="dxa"/>
            <w:tcBorders>
              <w:top w:val="nil"/>
              <w:left w:val="nil"/>
              <w:bottom w:val="nil"/>
              <w:right w:val="single" w:sz="6" w:space="0" w:color="000000"/>
            </w:tcBorders>
            <w:shd w:val="clear" w:color="auto" w:fill="auto"/>
            <w:hideMark/>
          </w:tcPr>
          <w:p w14:paraId="4861BDA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68B5D0B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55 </w:t>
            </w:r>
          </w:p>
          <w:p w14:paraId="2213D70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26 </w:t>
            </w:r>
          </w:p>
          <w:p w14:paraId="6E2D721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10 </w:t>
            </w:r>
          </w:p>
          <w:p w14:paraId="607E1BC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4 </w:t>
            </w:r>
          </w:p>
          <w:p w14:paraId="60FC188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5 </w:t>
            </w:r>
          </w:p>
        </w:tc>
      </w:tr>
      <w:tr w:rsidR="007D175D" w:rsidRPr="007D175D" w14:paraId="409FE1AB" w14:textId="77777777">
        <w:trPr>
          <w:trHeight w:val="1260"/>
        </w:trPr>
        <w:tc>
          <w:tcPr>
            <w:tcW w:w="3555" w:type="dxa"/>
            <w:tcBorders>
              <w:top w:val="single" w:sz="6" w:space="0" w:color="000000"/>
              <w:left w:val="single" w:sz="6" w:space="0" w:color="000000"/>
              <w:bottom w:val="single" w:sz="6" w:space="0" w:color="000000"/>
              <w:right w:val="nil"/>
            </w:tcBorders>
            <w:shd w:val="clear" w:color="auto" w:fill="auto"/>
            <w:hideMark/>
          </w:tcPr>
          <w:p w14:paraId="095EFC76"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sz w:val="18"/>
                <w:szCs w:val="18"/>
                <w:lang w:eastAsia="en-AU"/>
              </w:rPr>
              <w:t>Taught new strategies (n=117) </w:t>
            </w:r>
          </w:p>
          <w:p w14:paraId="1C07E86D"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Strongly agree</w:t>
            </w:r>
            <w:r w:rsidRPr="007D175D">
              <w:rPr>
                <w:rFonts w:asciiTheme="minorHAnsi" w:hAnsiTheme="minorHAnsi" w:cstheme="minorHAnsi"/>
                <w:b/>
                <w:bCs/>
                <w:sz w:val="18"/>
                <w:szCs w:val="18"/>
                <w:lang w:eastAsia="en-AU"/>
              </w:rPr>
              <w:t> </w:t>
            </w:r>
          </w:p>
          <w:p w14:paraId="766C61DB"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Somewhat agree</w:t>
            </w:r>
            <w:r w:rsidRPr="007D175D">
              <w:rPr>
                <w:rFonts w:asciiTheme="minorHAnsi" w:hAnsiTheme="minorHAnsi" w:cstheme="minorHAnsi"/>
                <w:b/>
                <w:bCs/>
                <w:sz w:val="18"/>
                <w:szCs w:val="18"/>
                <w:lang w:eastAsia="en-AU"/>
              </w:rPr>
              <w:t> </w:t>
            </w:r>
          </w:p>
          <w:p w14:paraId="36F2FA9B"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Neither agree nor disagree</w:t>
            </w:r>
            <w:r w:rsidRPr="007D175D">
              <w:rPr>
                <w:rFonts w:asciiTheme="minorHAnsi" w:hAnsiTheme="minorHAnsi" w:cstheme="minorHAnsi"/>
                <w:b/>
                <w:bCs/>
                <w:sz w:val="18"/>
                <w:szCs w:val="18"/>
                <w:lang w:eastAsia="en-AU"/>
              </w:rPr>
              <w:t> </w:t>
            </w:r>
          </w:p>
          <w:p w14:paraId="2284E374"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Somewhat disagree</w:t>
            </w:r>
            <w:r w:rsidRPr="007D175D">
              <w:rPr>
                <w:rFonts w:asciiTheme="minorHAnsi" w:hAnsiTheme="minorHAnsi" w:cstheme="minorHAnsi"/>
                <w:b/>
                <w:bCs/>
                <w:sz w:val="18"/>
                <w:szCs w:val="18"/>
                <w:lang w:eastAsia="en-AU"/>
              </w:rPr>
              <w:t> </w:t>
            </w:r>
          </w:p>
          <w:p w14:paraId="5F169621"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Strongly disagree</w:t>
            </w:r>
            <w:r w:rsidRPr="007D175D">
              <w:rPr>
                <w:rFonts w:asciiTheme="minorHAnsi" w:hAnsiTheme="minorHAnsi" w:cstheme="minorHAnsi"/>
                <w:b/>
                <w:bCs/>
                <w:sz w:val="18"/>
                <w:szCs w:val="18"/>
                <w:lang w:eastAsia="en-AU"/>
              </w:rPr>
              <w:t> </w:t>
            </w:r>
          </w:p>
        </w:tc>
        <w:tc>
          <w:tcPr>
            <w:tcW w:w="765" w:type="dxa"/>
            <w:tcBorders>
              <w:top w:val="single" w:sz="6" w:space="0" w:color="000000"/>
              <w:left w:val="nil"/>
              <w:bottom w:val="single" w:sz="6" w:space="0" w:color="000000"/>
              <w:right w:val="nil"/>
            </w:tcBorders>
            <w:shd w:val="clear" w:color="auto" w:fill="auto"/>
            <w:hideMark/>
          </w:tcPr>
          <w:p w14:paraId="008A6AA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592A230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15 </w:t>
            </w:r>
          </w:p>
          <w:p w14:paraId="408F347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5 </w:t>
            </w:r>
          </w:p>
          <w:p w14:paraId="50DB910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2 </w:t>
            </w:r>
          </w:p>
          <w:p w14:paraId="1257289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2 </w:t>
            </w:r>
          </w:p>
          <w:p w14:paraId="34BDC09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2 </w:t>
            </w:r>
          </w:p>
        </w:tc>
        <w:tc>
          <w:tcPr>
            <w:tcW w:w="765" w:type="dxa"/>
            <w:tcBorders>
              <w:top w:val="single" w:sz="6" w:space="0" w:color="000000"/>
              <w:left w:val="nil"/>
              <w:bottom w:val="single" w:sz="6" w:space="0" w:color="000000"/>
              <w:right w:val="nil"/>
            </w:tcBorders>
            <w:shd w:val="clear" w:color="auto" w:fill="auto"/>
            <w:hideMark/>
          </w:tcPr>
          <w:p w14:paraId="6E91309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53033B9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56 </w:t>
            </w:r>
          </w:p>
          <w:p w14:paraId="3E113AF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19 </w:t>
            </w:r>
          </w:p>
          <w:p w14:paraId="360FD0E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7 </w:t>
            </w:r>
          </w:p>
          <w:p w14:paraId="17CEDA9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7 </w:t>
            </w:r>
          </w:p>
          <w:p w14:paraId="75A5433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7 </w:t>
            </w:r>
          </w:p>
        </w:tc>
        <w:tc>
          <w:tcPr>
            <w:tcW w:w="750" w:type="dxa"/>
            <w:gridSpan w:val="2"/>
            <w:tcBorders>
              <w:top w:val="single" w:sz="6" w:space="0" w:color="000000"/>
              <w:left w:val="nil"/>
              <w:bottom w:val="single" w:sz="6" w:space="0" w:color="000000"/>
              <w:right w:val="nil"/>
            </w:tcBorders>
            <w:shd w:val="clear" w:color="auto" w:fill="auto"/>
            <w:hideMark/>
          </w:tcPr>
          <w:p w14:paraId="6010D68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01028D0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24 </w:t>
            </w:r>
          </w:p>
          <w:p w14:paraId="59E9F24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23 </w:t>
            </w:r>
          </w:p>
          <w:p w14:paraId="7F01783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14 </w:t>
            </w:r>
          </w:p>
          <w:p w14:paraId="766DF87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3 </w:t>
            </w:r>
          </w:p>
          <w:p w14:paraId="73E31F9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2 </w:t>
            </w:r>
          </w:p>
        </w:tc>
        <w:tc>
          <w:tcPr>
            <w:tcW w:w="750" w:type="dxa"/>
            <w:gridSpan w:val="2"/>
            <w:tcBorders>
              <w:top w:val="single" w:sz="6" w:space="0" w:color="000000"/>
              <w:left w:val="nil"/>
              <w:bottom w:val="single" w:sz="6" w:space="0" w:color="000000"/>
              <w:right w:val="nil"/>
            </w:tcBorders>
            <w:shd w:val="clear" w:color="auto" w:fill="auto"/>
            <w:hideMark/>
          </w:tcPr>
          <w:p w14:paraId="6B3FBCA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0734E93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36 </w:t>
            </w:r>
          </w:p>
          <w:p w14:paraId="13E3FD1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35 </w:t>
            </w:r>
          </w:p>
          <w:p w14:paraId="2C71E70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21 </w:t>
            </w:r>
          </w:p>
          <w:p w14:paraId="28B7BDF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5 </w:t>
            </w:r>
          </w:p>
          <w:p w14:paraId="2BFEC9A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3 </w:t>
            </w:r>
          </w:p>
        </w:tc>
        <w:tc>
          <w:tcPr>
            <w:tcW w:w="765" w:type="dxa"/>
            <w:tcBorders>
              <w:top w:val="single" w:sz="6" w:space="0" w:color="000000"/>
              <w:left w:val="nil"/>
              <w:bottom w:val="single" w:sz="6" w:space="0" w:color="000000"/>
              <w:right w:val="nil"/>
            </w:tcBorders>
            <w:shd w:val="clear" w:color="auto" w:fill="auto"/>
            <w:hideMark/>
          </w:tcPr>
          <w:p w14:paraId="688BC6B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5554392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16 </w:t>
            </w:r>
          </w:p>
          <w:p w14:paraId="1B211D4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4 </w:t>
            </w:r>
          </w:p>
          <w:p w14:paraId="606D08A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2 </w:t>
            </w:r>
          </w:p>
          <w:p w14:paraId="51F1E30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1 </w:t>
            </w:r>
          </w:p>
          <w:p w14:paraId="479F871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tc>
        <w:tc>
          <w:tcPr>
            <w:tcW w:w="750" w:type="dxa"/>
            <w:gridSpan w:val="2"/>
            <w:tcBorders>
              <w:top w:val="single" w:sz="6" w:space="0" w:color="000000"/>
              <w:left w:val="nil"/>
              <w:bottom w:val="single" w:sz="6" w:space="0" w:color="000000"/>
              <w:right w:val="nil"/>
            </w:tcBorders>
            <w:shd w:val="clear" w:color="auto" w:fill="auto"/>
            <w:hideMark/>
          </w:tcPr>
          <w:p w14:paraId="4E0F623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3F389DE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67 </w:t>
            </w:r>
          </w:p>
          <w:p w14:paraId="7A0F1F7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17 </w:t>
            </w:r>
          </w:p>
          <w:p w14:paraId="3136923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8 </w:t>
            </w:r>
          </w:p>
          <w:p w14:paraId="1594F39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4 </w:t>
            </w:r>
          </w:p>
          <w:p w14:paraId="0E52DCD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tc>
        <w:tc>
          <w:tcPr>
            <w:tcW w:w="765" w:type="dxa"/>
            <w:tcBorders>
              <w:top w:val="single" w:sz="6" w:space="0" w:color="000000"/>
              <w:left w:val="nil"/>
              <w:bottom w:val="single" w:sz="6" w:space="0" w:color="000000"/>
              <w:right w:val="nil"/>
            </w:tcBorders>
            <w:shd w:val="clear" w:color="auto" w:fill="auto"/>
            <w:hideMark/>
          </w:tcPr>
          <w:p w14:paraId="1BEF529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47412C7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55 </w:t>
            </w:r>
          </w:p>
          <w:p w14:paraId="2A53025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32 </w:t>
            </w:r>
          </w:p>
          <w:p w14:paraId="4D8D467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18 </w:t>
            </w:r>
          </w:p>
          <w:p w14:paraId="3FD4A63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6 </w:t>
            </w:r>
          </w:p>
          <w:p w14:paraId="5BFA1A5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4 </w:t>
            </w:r>
          </w:p>
        </w:tc>
        <w:tc>
          <w:tcPr>
            <w:tcW w:w="765" w:type="dxa"/>
            <w:tcBorders>
              <w:top w:val="single" w:sz="6" w:space="0" w:color="000000"/>
              <w:left w:val="nil"/>
              <w:bottom w:val="single" w:sz="6" w:space="0" w:color="000000"/>
              <w:right w:val="single" w:sz="6" w:space="0" w:color="000000"/>
            </w:tcBorders>
            <w:shd w:val="clear" w:color="auto" w:fill="auto"/>
            <w:hideMark/>
          </w:tcPr>
          <w:p w14:paraId="24D0A36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7319FB5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47 </w:t>
            </w:r>
          </w:p>
          <w:p w14:paraId="46CD012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27 </w:t>
            </w:r>
          </w:p>
          <w:p w14:paraId="41B2952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15 </w:t>
            </w:r>
          </w:p>
          <w:p w14:paraId="7B0FE9E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5 </w:t>
            </w:r>
          </w:p>
          <w:p w14:paraId="2C8D37B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3 </w:t>
            </w:r>
          </w:p>
        </w:tc>
      </w:tr>
      <w:tr w:rsidR="007D175D" w:rsidRPr="007D175D" w14:paraId="52C92A7B" w14:textId="77777777">
        <w:trPr>
          <w:trHeight w:val="1395"/>
        </w:trPr>
        <w:tc>
          <w:tcPr>
            <w:tcW w:w="3555" w:type="dxa"/>
            <w:tcBorders>
              <w:top w:val="nil"/>
              <w:left w:val="single" w:sz="6" w:space="0" w:color="000000"/>
              <w:bottom w:val="single" w:sz="6" w:space="0" w:color="000000"/>
              <w:right w:val="nil"/>
            </w:tcBorders>
            <w:shd w:val="clear" w:color="auto" w:fill="auto"/>
            <w:hideMark/>
          </w:tcPr>
          <w:p w14:paraId="50A123B4"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sz w:val="18"/>
                <w:szCs w:val="18"/>
                <w:lang w:eastAsia="en-AU"/>
              </w:rPr>
              <w:t>Motivated to complete program(n=117) </w:t>
            </w:r>
          </w:p>
          <w:p w14:paraId="50E38E46"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Strongly agree</w:t>
            </w:r>
            <w:r w:rsidRPr="007D175D">
              <w:rPr>
                <w:rFonts w:asciiTheme="minorHAnsi" w:hAnsiTheme="minorHAnsi" w:cstheme="minorHAnsi"/>
                <w:b/>
                <w:bCs/>
                <w:sz w:val="18"/>
                <w:szCs w:val="18"/>
                <w:lang w:eastAsia="en-AU"/>
              </w:rPr>
              <w:t> </w:t>
            </w:r>
          </w:p>
          <w:p w14:paraId="44D6041F"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Somewhat agree</w:t>
            </w:r>
            <w:r w:rsidRPr="007D175D">
              <w:rPr>
                <w:rFonts w:asciiTheme="minorHAnsi" w:hAnsiTheme="minorHAnsi" w:cstheme="minorHAnsi"/>
                <w:b/>
                <w:bCs/>
                <w:sz w:val="18"/>
                <w:szCs w:val="18"/>
                <w:lang w:eastAsia="en-AU"/>
              </w:rPr>
              <w:t> </w:t>
            </w:r>
          </w:p>
          <w:p w14:paraId="6168FA4B"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Neither agree nor disagree</w:t>
            </w:r>
            <w:r w:rsidRPr="007D175D">
              <w:rPr>
                <w:rFonts w:asciiTheme="minorHAnsi" w:hAnsiTheme="minorHAnsi" w:cstheme="minorHAnsi"/>
                <w:b/>
                <w:bCs/>
                <w:sz w:val="18"/>
                <w:szCs w:val="18"/>
                <w:lang w:eastAsia="en-AU"/>
              </w:rPr>
              <w:t> </w:t>
            </w:r>
          </w:p>
          <w:p w14:paraId="1356F1B4"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Somewhat disagree</w:t>
            </w:r>
            <w:r w:rsidRPr="007D175D">
              <w:rPr>
                <w:rFonts w:asciiTheme="minorHAnsi" w:hAnsiTheme="minorHAnsi" w:cstheme="minorHAnsi"/>
                <w:b/>
                <w:bCs/>
                <w:sz w:val="18"/>
                <w:szCs w:val="18"/>
                <w:lang w:eastAsia="en-AU"/>
              </w:rPr>
              <w:t> </w:t>
            </w:r>
          </w:p>
          <w:p w14:paraId="098353CC"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sz w:val="18"/>
                <w:szCs w:val="18"/>
                <w:lang w:eastAsia="en-AU"/>
              </w:rPr>
              <w:t>Strongly disagree</w:t>
            </w:r>
            <w:r w:rsidRPr="007D175D">
              <w:rPr>
                <w:rFonts w:asciiTheme="minorHAnsi" w:hAnsiTheme="minorHAnsi" w:cstheme="minorHAnsi"/>
                <w:b/>
                <w:bCs/>
                <w:sz w:val="18"/>
                <w:szCs w:val="18"/>
                <w:lang w:eastAsia="en-AU"/>
              </w:rPr>
              <w:t> </w:t>
            </w:r>
          </w:p>
        </w:tc>
        <w:tc>
          <w:tcPr>
            <w:tcW w:w="765" w:type="dxa"/>
            <w:tcBorders>
              <w:top w:val="nil"/>
              <w:left w:val="nil"/>
              <w:bottom w:val="single" w:sz="6" w:space="0" w:color="000000"/>
              <w:right w:val="nil"/>
            </w:tcBorders>
            <w:shd w:val="clear" w:color="auto" w:fill="auto"/>
            <w:hideMark/>
          </w:tcPr>
          <w:p w14:paraId="0E325E9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3D63005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15 </w:t>
            </w:r>
          </w:p>
          <w:p w14:paraId="1A11331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7 </w:t>
            </w:r>
          </w:p>
          <w:p w14:paraId="20E1F49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2 </w:t>
            </w:r>
          </w:p>
          <w:p w14:paraId="1771FD2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1 </w:t>
            </w:r>
          </w:p>
          <w:p w14:paraId="0B09C45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2 </w:t>
            </w:r>
          </w:p>
        </w:tc>
        <w:tc>
          <w:tcPr>
            <w:tcW w:w="765" w:type="dxa"/>
            <w:tcBorders>
              <w:top w:val="nil"/>
              <w:left w:val="nil"/>
              <w:bottom w:val="single" w:sz="6" w:space="0" w:color="000000"/>
              <w:right w:val="nil"/>
            </w:tcBorders>
            <w:shd w:val="clear" w:color="auto" w:fill="auto"/>
            <w:hideMark/>
          </w:tcPr>
          <w:p w14:paraId="10BF260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10220F1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56 </w:t>
            </w:r>
          </w:p>
          <w:p w14:paraId="05A9C29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26 </w:t>
            </w:r>
          </w:p>
          <w:p w14:paraId="5C9A0D0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7 </w:t>
            </w:r>
          </w:p>
          <w:p w14:paraId="1CF2323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4 </w:t>
            </w:r>
          </w:p>
          <w:p w14:paraId="127D20B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7 </w:t>
            </w:r>
          </w:p>
        </w:tc>
        <w:tc>
          <w:tcPr>
            <w:tcW w:w="750" w:type="dxa"/>
            <w:gridSpan w:val="2"/>
            <w:tcBorders>
              <w:top w:val="nil"/>
              <w:left w:val="nil"/>
              <w:bottom w:val="single" w:sz="6" w:space="0" w:color="000000"/>
              <w:right w:val="nil"/>
            </w:tcBorders>
            <w:shd w:val="clear" w:color="auto" w:fill="auto"/>
            <w:hideMark/>
          </w:tcPr>
          <w:p w14:paraId="655C601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23E0711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35 </w:t>
            </w:r>
          </w:p>
          <w:p w14:paraId="745F1B1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27 </w:t>
            </w:r>
          </w:p>
          <w:p w14:paraId="7F9EB00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3 </w:t>
            </w:r>
          </w:p>
          <w:p w14:paraId="05D497D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p w14:paraId="47D2316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1 </w:t>
            </w:r>
          </w:p>
        </w:tc>
        <w:tc>
          <w:tcPr>
            <w:tcW w:w="750" w:type="dxa"/>
            <w:gridSpan w:val="2"/>
            <w:tcBorders>
              <w:top w:val="nil"/>
              <w:left w:val="nil"/>
              <w:bottom w:val="single" w:sz="6" w:space="0" w:color="000000"/>
              <w:right w:val="nil"/>
            </w:tcBorders>
            <w:shd w:val="clear" w:color="auto" w:fill="auto"/>
            <w:hideMark/>
          </w:tcPr>
          <w:p w14:paraId="65BF1B6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6F8A50F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53 </w:t>
            </w:r>
          </w:p>
          <w:p w14:paraId="285045A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41 </w:t>
            </w:r>
          </w:p>
          <w:p w14:paraId="2A8D0DA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5 </w:t>
            </w:r>
          </w:p>
          <w:p w14:paraId="0052A94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p w14:paraId="7E34ACD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2 </w:t>
            </w:r>
          </w:p>
        </w:tc>
        <w:tc>
          <w:tcPr>
            <w:tcW w:w="765" w:type="dxa"/>
            <w:tcBorders>
              <w:top w:val="nil"/>
              <w:left w:val="nil"/>
              <w:bottom w:val="single" w:sz="6" w:space="0" w:color="000000"/>
              <w:right w:val="nil"/>
            </w:tcBorders>
            <w:shd w:val="clear" w:color="auto" w:fill="auto"/>
            <w:hideMark/>
          </w:tcPr>
          <w:p w14:paraId="45D74F6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700D28F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17 </w:t>
            </w:r>
          </w:p>
          <w:p w14:paraId="43E92E5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6 </w:t>
            </w:r>
          </w:p>
          <w:p w14:paraId="63A3E32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p w14:paraId="214EFCD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1 </w:t>
            </w:r>
          </w:p>
          <w:p w14:paraId="6E4635C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tc>
        <w:tc>
          <w:tcPr>
            <w:tcW w:w="750" w:type="dxa"/>
            <w:gridSpan w:val="2"/>
            <w:tcBorders>
              <w:top w:val="nil"/>
              <w:left w:val="nil"/>
              <w:bottom w:val="single" w:sz="6" w:space="0" w:color="000000"/>
              <w:right w:val="nil"/>
            </w:tcBorders>
            <w:shd w:val="clear" w:color="auto" w:fill="auto"/>
            <w:hideMark/>
          </w:tcPr>
          <w:p w14:paraId="168A925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5D1D45D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71 </w:t>
            </w:r>
          </w:p>
          <w:p w14:paraId="470DE77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25 </w:t>
            </w:r>
          </w:p>
          <w:p w14:paraId="7B763C5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p w14:paraId="01F69E1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4 </w:t>
            </w:r>
          </w:p>
          <w:p w14:paraId="6D1BBE2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0 </w:t>
            </w:r>
          </w:p>
        </w:tc>
        <w:tc>
          <w:tcPr>
            <w:tcW w:w="765" w:type="dxa"/>
            <w:tcBorders>
              <w:top w:val="nil"/>
              <w:left w:val="nil"/>
              <w:bottom w:val="single" w:sz="6" w:space="0" w:color="000000"/>
              <w:right w:val="nil"/>
            </w:tcBorders>
            <w:shd w:val="clear" w:color="auto" w:fill="auto"/>
            <w:hideMark/>
          </w:tcPr>
          <w:p w14:paraId="5C5BE52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4C72A5B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67 </w:t>
            </w:r>
          </w:p>
          <w:p w14:paraId="654C3F2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40 </w:t>
            </w:r>
          </w:p>
          <w:p w14:paraId="3920E8E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5 </w:t>
            </w:r>
          </w:p>
          <w:p w14:paraId="3E92F4C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2 </w:t>
            </w:r>
          </w:p>
          <w:p w14:paraId="26C5457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3 </w:t>
            </w:r>
          </w:p>
        </w:tc>
        <w:tc>
          <w:tcPr>
            <w:tcW w:w="765" w:type="dxa"/>
            <w:tcBorders>
              <w:top w:val="nil"/>
              <w:left w:val="nil"/>
              <w:bottom w:val="single" w:sz="6" w:space="0" w:color="000000"/>
              <w:right w:val="single" w:sz="6" w:space="0" w:color="000000"/>
            </w:tcBorders>
            <w:shd w:val="clear" w:color="auto" w:fill="auto"/>
            <w:hideMark/>
          </w:tcPr>
          <w:p w14:paraId="7907CC6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 </w:t>
            </w:r>
          </w:p>
          <w:p w14:paraId="3B38D51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57 </w:t>
            </w:r>
          </w:p>
          <w:p w14:paraId="0E53DF8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34 </w:t>
            </w:r>
          </w:p>
          <w:p w14:paraId="42B3D1E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4 </w:t>
            </w:r>
          </w:p>
          <w:p w14:paraId="078969A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2 </w:t>
            </w:r>
          </w:p>
          <w:p w14:paraId="3DA735D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3 </w:t>
            </w:r>
          </w:p>
        </w:tc>
      </w:tr>
    </w:tbl>
    <w:p w14:paraId="7829F9EC" w14:textId="58CA235C" w:rsidR="007D175D" w:rsidRPr="007D175D" w:rsidRDefault="007D175D" w:rsidP="00476909">
      <w:pPr>
        <w:spacing w:after="240"/>
        <w:textAlignment w:val="baseline"/>
        <w:rPr>
          <w:rFonts w:ascii="Segoe UI" w:hAnsi="Segoe UI" w:cs="Segoe UI"/>
          <w:sz w:val="18"/>
          <w:szCs w:val="18"/>
          <w:lang w:eastAsia="en-AU"/>
        </w:rPr>
      </w:pPr>
      <w:r w:rsidRPr="007D175D">
        <w:rPr>
          <w:rFonts w:ascii="Calibri" w:hAnsi="Calibri" w:cs="Calibri"/>
          <w:sz w:val="16"/>
          <w:szCs w:val="16"/>
          <w:lang w:eastAsia="en-AU"/>
        </w:rPr>
        <w:t xml:space="preserve">MHO, Mental Health Online; MS, </w:t>
      </w:r>
      <w:proofErr w:type="spellStart"/>
      <w:r w:rsidRPr="007D175D">
        <w:rPr>
          <w:rFonts w:ascii="Calibri" w:hAnsi="Calibri" w:cs="Calibri"/>
          <w:color w:val="000000"/>
          <w:sz w:val="16"/>
          <w:szCs w:val="16"/>
          <w:lang w:eastAsia="en-AU"/>
        </w:rPr>
        <w:t>MindSpot</w:t>
      </w:r>
      <w:proofErr w:type="spellEnd"/>
      <w:r w:rsidRPr="007D175D">
        <w:rPr>
          <w:rFonts w:ascii="Calibri" w:hAnsi="Calibri" w:cs="Calibri"/>
          <w:color w:val="000000"/>
          <w:sz w:val="16"/>
          <w:szCs w:val="16"/>
          <w:lang w:eastAsia="en-AU"/>
        </w:rPr>
        <w:t xml:space="preserve">; </w:t>
      </w:r>
      <w:r w:rsidRPr="007D175D">
        <w:rPr>
          <w:rFonts w:ascii="Calibri" w:hAnsi="Calibri" w:cs="Calibri"/>
          <w:sz w:val="16"/>
          <w:szCs w:val="16"/>
          <w:lang w:eastAsia="en-AU"/>
        </w:rPr>
        <w:t xml:space="preserve">TWU, </w:t>
      </w:r>
      <w:r w:rsidRPr="007D175D">
        <w:rPr>
          <w:rFonts w:ascii="Calibri" w:hAnsi="Calibri" w:cs="Calibri"/>
          <w:color w:val="000000"/>
          <w:sz w:val="16"/>
          <w:szCs w:val="16"/>
          <w:lang w:eastAsia="en-AU"/>
        </w:rPr>
        <w:t>THIS WAY UP</w:t>
      </w:r>
      <w:r w:rsidRPr="007D175D">
        <w:rPr>
          <w:rFonts w:ascii="Calibri" w:hAnsi="Calibri" w:cs="Calibri"/>
          <w:sz w:val="16"/>
          <w:szCs w:val="16"/>
          <w:lang w:eastAsia="en-AU"/>
        </w:rPr>
        <w:t>.</w:t>
      </w:r>
    </w:p>
    <w:p w14:paraId="7D65BCD4" w14:textId="77777777" w:rsidR="007D175D" w:rsidRPr="007D175D" w:rsidRDefault="007D175D" w:rsidP="00476909">
      <w:pPr>
        <w:spacing w:after="240"/>
        <w:rPr>
          <w:rFonts w:asciiTheme="minorHAnsi" w:eastAsiaTheme="minorHAnsi" w:hAnsiTheme="minorHAnsi" w:cstheme="minorBidi"/>
          <w:sz w:val="21"/>
          <w:szCs w:val="21"/>
          <w:lang w:eastAsia="en-US"/>
        </w:rPr>
      </w:pPr>
      <w:r w:rsidRPr="007D175D">
        <w:rPr>
          <w:rFonts w:ascii="Calibri" w:hAnsi="Calibri" w:cs="Calibri"/>
          <w:color w:val="000000"/>
          <w:sz w:val="21"/>
          <w:szCs w:val="21"/>
          <w:lang w:eastAsia="en-AU"/>
        </w:rPr>
        <w:t xml:space="preserve">Consumers who took part in the interviews were also asked about their experience with the support received from a therapist. </w:t>
      </w:r>
      <w:r w:rsidRPr="007D175D">
        <w:rPr>
          <w:rFonts w:asciiTheme="minorHAnsi" w:eastAsiaTheme="minorHAnsi" w:hAnsiTheme="minorHAnsi" w:cstheme="minorBidi"/>
          <w:sz w:val="21"/>
          <w:szCs w:val="21"/>
          <w:lang w:eastAsia="en-US"/>
        </w:rPr>
        <w:t>Over 60% (n=15) of those interviewed indicated that a therapist was available as part of the supported DMHS they accessed, with 25% indicating there was no therapist involved and 12.5% indicating they received support from their GP.</w:t>
      </w:r>
    </w:p>
    <w:p w14:paraId="430A1903" w14:textId="77777777" w:rsidR="007D175D" w:rsidRPr="007D175D" w:rsidRDefault="007D175D" w:rsidP="00476909">
      <w:pPr>
        <w:spacing w:after="24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t>Of those who received support from a therapist or their GP, 72% found the experience worthwhile and positive, with half of these consumers indicating that their needs were addressed. Consumers commonly identified that the therapist reinforced online content or provided counselling. The following comments highlight consumer views about therapists’ beneficial roles in supporting them using DMHSs.</w:t>
      </w:r>
    </w:p>
    <w:p w14:paraId="756E55A3" w14:textId="77777777" w:rsidR="007D175D" w:rsidRPr="007D175D" w:rsidRDefault="007D175D" w:rsidP="00476909">
      <w:pPr>
        <w:spacing w:after="240"/>
        <w:ind w:left="720" w:firstLine="5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t xml:space="preserve">So, it’s just talking through somebody supportive and listening on the other end, </w:t>
      </w:r>
      <w:proofErr w:type="gramStart"/>
      <w:r w:rsidRPr="007D175D">
        <w:rPr>
          <w:rFonts w:asciiTheme="minorHAnsi" w:eastAsiaTheme="minorHAnsi" w:hAnsiTheme="minorHAnsi" w:cstheme="minorBidi"/>
          <w:sz w:val="21"/>
          <w:szCs w:val="21"/>
          <w:lang w:eastAsia="en-US"/>
        </w:rPr>
        <w:t>and also</w:t>
      </w:r>
      <w:proofErr w:type="gramEnd"/>
      <w:r w:rsidRPr="007D175D">
        <w:rPr>
          <w:rFonts w:asciiTheme="minorHAnsi" w:eastAsiaTheme="minorHAnsi" w:hAnsiTheme="minorHAnsi" w:cstheme="minorBidi"/>
          <w:sz w:val="21"/>
          <w:szCs w:val="21"/>
          <w:lang w:eastAsia="en-US"/>
        </w:rPr>
        <w:t xml:space="preserve"> someone can get back to say the skill that you’re learning this week or this fortnight, so …it encourages you to apply the skills.</w:t>
      </w:r>
    </w:p>
    <w:p w14:paraId="24D84E58" w14:textId="77777777" w:rsidR="007D175D" w:rsidRPr="007D175D" w:rsidRDefault="007D175D" w:rsidP="00476909">
      <w:pPr>
        <w:spacing w:after="240"/>
        <w:ind w:left="720" w:firstLine="5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lastRenderedPageBreak/>
        <w:t xml:space="preserve">So, the therapist was good. </w:t>
      </w:r>
      <w:proofErr w:type="gramStart"/>
      <w:r w:rsidRPr="007D175D">
        <w:rPr>
          <w:rFonts w:asciiTheme="minorHAnsi" w:eastAsiaTheme="minorHAnsi" w:hAnsiTheme="minorHAnsi" w:cstheme="minorBidi"/>
          <w:sz w:val="21"/>
          <w:szCs w:val="21"/>
          <w:lang w:eastAsia="en-US"/>
        </w:rPr>
        <w:t>Actually, I</w:t>
      </w:r>
      <w:proofErr w:type="gramEnd"/>
      <w:r w:rsidRPr="007D175D">
        <w:rPr>
          <w:rFonts w:asciiTheme="minorHAnsi" w:eastAsiaTheme="minorHAnsi" w:hAnsiTheme="minorHAnsi" w:cstheme="minorBidi"/>
          <w:sz w:val="21"/>
          <w:szCs w:val="21"/>
          <w:lang w:eastAsia="en-US"/>
        </w:rPr>
        <w:t xml:space="preserve"> had two meetings with her, and most of them were via email, so they were always there to help me to understand what my modules meant, if I needed any help, and what should I do for the week or what part that I should start working on.</w:t>
      </w:r>
    </w:p>
    <w:p w14:paraId="194250D3" w14:textId="77777777" w:rsidR="007D175D" w:rsidRPr="007D175D" w:rsidRDefault="007D175D" w:rsidP="005A16C4">
      <w:pPr>
        <w:pStyle w:val="Heading2"/>
        <w:numPr>
          <w:ilvl w:val="1"/>
          <w:numId w:val="165"/>
        </w:numPr>
        <w:spacing w:after="240"/>
        <w:rPr>
          <w:rFonts w:cs="Calibri"/>
          <w:color w:val="2F5496"/>
          <w:lang w:val="en-GB" w:eastAsia="en-AU"/>
        </w:rPr>
      </w:pPr>
      <w:bookmarkStart w:id="150" w:name="_Toc108784858"/>
      <w:r w:rsidRPr="007D175D">
        <w:rPr>
          <w:rFonts w:cs="Calibri"/>
          <w:color w:val="2F5496"/>
          <w:lang w:val="en-GB" w:eastAsia="en-AU"/>
        </w:rPr>
        <w:t>Consumer wellbeing and satisfaction</w:t>
      </w:r>
      <w:bookmarkEnd w:id="150"/>
    </w:p>
    <w:p w14:paraId="0B1BDF46" w14:textId="66E272C5" w:rsidR="007D175D" w:rsidRPr="007D175D" w:rsidRDefault="007D175D" w:rsidP="00476909">
      <w:pPr>
        <w:spacing w:after="240"/>
        <w:textAlignment w:val="baseline"/>
        <w:rPr>
          <w:rFonts w:ascii="Segoe UI" w:hAnsi="Segoe UI" w:cs="Segoe UI"/>
          <w:color w:val="000000"/>
          <w:sz w:val="18"/>
          <w:szCs w:val="18"/>
          <w:lang w:eastAsia="en-AU"/>
        </w:rPr>
      </w:pPr>
      <w:r w:rsidRPr="007D175D">
        <w:rPr>
          <w:rFonts w:ascii="Calibri" w:hAnsi="Calibri" w:cs="Calibri"/>
          <w:color w:val="000000"/>
          <w:sz w:val="21"/>
          <w:szCs w:val="21"/>
          <w:lang w:eastAsia="en-AU"/>
        </w:rPr>
        <w:t>Consumers were asked about the extent DMHSs improved their health and wellbeing. Approximately 82% of consumers indicated that they had experienced improvements in health and wellbeing, and approximately 80% of consumers attributed these changes to the support they had received through the DMHS.</w:t>
      </w:r>
    </w:p>
    <w:p w14:paraId="0FC88DE6" w14:textId="2F3CD92C" w:rsidR="007D175D" w:rsidRPr="007D175D" w:rsidRDefault="007D175D" w:rsidP="00476909">
      <w:pPr>
        <w:spacing w:after="240"/>
        <w:textAlignment w:val="baseline"/>
        <w:rPr>
          <w:rFonts w:ascii="Segoe UI" w:hAnsi="Segoe UI" w:cs="Segoe UI"/>
          <w:color w:val="000000"/>
          <w:sz w:val="18"/>
          <w:szCs w:val="18"/>
          <w:lang w:eastAsia="en-AU"/>
        </w:rPr>
      </w:pPr>
      <w:r w:rsidRPr="007D175D">
        <w:rPr>
          <w:rFonts w:ascii="Calibri" w:hAnsi="Calibri" w:cs="Calibri"/>
          <w:color w:val="000000"/>
          <w:sz w:val="21"/>
          <w:szCs w:val="21"/>
          <w:lang w:eastAsia="en-AU"/>
        </w:rPr>
        <w:t>Consumers were also asked whether DMHSs were worthy of their time and the extent of their satisfaction with the service. Over 85% of consumers in each service endorsed that the DMHS was worthy of their time, very worthy of their time or completely worthy of their time. Approximately 85% of consumers across services were satisfied with their care</w:t>
      </w:r>
      <w:r w:rsidRPr="007D175D">
        <w:rPr>
          <w:rFonts w:ascii="Calibri" w:hAnsi="Calibri" w:cs="Calibri"/>
          <w:b/>
          <w:bCs/>
          <w:color w:val="000000"/>
          <w:sz w:val="21"/>
          <w:szCs w:val="21"/>
          <w:lang w:eastAsia="en-AU"/>
        </w:rPr>
        <w:t>.</w:t>
      </w:r>
    </w:p>
    <w:p w14:paraId="237B7492" w14:textId="0BCD72E6" w:rsidR="007D175D" w:rsidRPr="007D175D" w:rsidRDefault="007D175D" w:rsidP="00476909">
      <w:pPr>
        <w:spacing w:after="240"/>
        <w:textAlignment w:val="baseline"/>
        <w:rPr>
          <w:rFonts w:ascii="Calibri" w:hAnsi="Calibri" w:cs="Calibri"/>
          <w:color w:val="000000"/>
          <w:sz w:val="21"/>
          <w:szCs w:val="21"/>
          <w:lang w:eastAsia="en-AU"/>
        </w:rPr>
      </w:pPr>
      <w:r w:rsidRPr="007D175D">
        <w:rPr>
          <w:rFonts w:ascii="Calibri" w:hAnsi="Calibri" w:cs="Calibri"/>
          <w:color w:val="000000"/>
          <w:sz w:val="21"/>
          <w:szCs w:val="21"/>
          <w:lang w:eastAsia="en-AU"/>
        </w:rPr>
        <w:t xml:space="preserve">Table </w:t>
      </w:r>
      <w:r w:rsidR="00787EA4" w:rsidRPr="00787EA4">
        <w:rPr>
          <w:rFonts w:ascii="Calibri" w:hAnsi="Calibri" w:cs="Calibri"/>
          <w:color w:val="000000"/>
          <w:sz w:val="21"/>
          <w:szCs w:val="21"/>
          <w:lang w:eastAsia="en-AU"/>
        </w:rPr>
        <w:t>30</w:t>
      </w:r>
      <w:r w:rsidRPr="007D175D">
        <w:rPr>
          <w:rFonts w:ascii="Calibri" w:hAnsi="Calibri" w:cs="Calibri"/>
          <w:color w:val="000000"/>
          <w:sz w:val="21"/>
          <w:szCs w:val="21"/>
          <w:lang w:eastAsia="en-AU"/>
        </w:rPr>
        <w:t xml:space="preserve"> shows consumer</w:t>
      </w:r>
      <w:r w:rsidRPr="007D175D">
        <w:rPr>
          <w:rFonts w:ascii="Calibri" w:hAnsi="Calibri" w:cs="Calibri"/>
          <w:b/>
          <w:bCs/>
          <w:color w:val="000000"/>
          <w:sz w:val="21"/>
          <w:szCs w:val="21"/>
          <w:lang w:eastAsia="en-AU"/>
        </w:rPr>
        <w:t xml:space="preserve"> </w:t>
      </w:r>
      <w:r w:rsidRPr="007D175D">
        <w:rPr>
          <w:rFonts w:ascii="Calibri" w:hAnsi="Calibri" w:cs="Calibri"/>
          <w:color w:val="000000"/>
          <w:sz w:val="21"/>
          <w:szCs w:val="21"/>
          <w:lang w:eastAsia="en-AU"/>
        </w:rPr>
        <w:t>responses regarding wellbeing and satisfaction with DMHSs.</w:t>
      </w:r>
    </w:p>
    <w:p w14:paraId="5233D1C4" w14:textId="28F6A980" w:rsidR="007D175D" w:rsidRPr="007D175D" w:rsidRDefault="007D175D" w:rsidP="00787EA4">
      <w:pPr>
        <w:pStyle w:val="tableheading"/>
        <w:rPr>
          <w:rFonts w:ascii="Segoe UI" w:hAnsi="Segoe UI" w:cs="Segoe UI"/>
          <w:sz w:val="18"/>
          <w:szCs w:val="18"/>
        </w:rPr>
      </w:pPr>
      <w:r w:rsidRPr="00787EA4">
        <w:t xml:space="preserve">Table </w:t>
      </w:r>
      <w:r w:rsidR="00787EA4" w:rsidRPr="00787EA4">
        <w:t>30</w:t>
      </w:r>
      <w:r w:rsidRPr="00787EA4">
        <w:t xml:space="preserve">. </w:t>
      </w:r>
      <w:r w:rsidRPr="007D175D">
        <w:t>Consumer changes in wellbeing and satisfaction with DMHSs, by service and overall</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Consumer Consumer changes in wellbeing and satisfaction with DMHSs, by service and overall"/>
        <w:tblDescription w:val="Table describing consumer changes in wellbeing and level of  satisfaction with DMHS"/>
      </w:tblPr>
      <w:tblGrid>
        <w:gridCol w:w="3819"/>
        <w:gridCol w:w="739"/>
        <w:gridCol w:w="739"/>
        <w:gridCol w:w="739"/>
        <w:gridCol w:w="739"/>
        <w:gridCol w:w="739"/>
        <w:gridCol w:w="739"/>
        <w:gridCol w:w="739"/>
        <w:gridCol w:w="738"/>
      </w:tblGrid>
      <w:tr w:rsidR="007D175D" w:rsidRPr="007D175D" w14:paraId="7B134AA0" w14:textId="77777777" w:rsidTr="00E037ED">
        <w:trPr>
          <w:trHeight w:val="315"/>
        </w:trPr>
        <w:tc>
          <w:tcPr>
            <w:tcW w:w="1962" w:type="pct"/>
            <w:tcBorders>
              <w:top w:val="single" w:sz="6" w:space="0" w:color="000000"/>
              <w:left w:val="single" w:sz="6" w:space="0" w:color="000000"/>
              <w:bottom w:val="single" w:sz="6" w:space="0" w:color="auto"/>
              <w:right w:val="nil"/>
            </w:tcBorders>
            <w:shd w:val="clear" w:color="auto" w:fill="000000"/>
            <w:hideMark/>
          </w:tcPr>
          <w:p w14:paraId="2903260B" w14:textId="77777777" w:rsidR="007D175D" w:rsidRPr="007D175D" w:rsidRDefault="007D175D" w:rsidP="007D175D">
            <w:pP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000000"/>
                <w:sz w:val="18"/>
                <w:szCs w:val="18"/>
                <w:lang w:eastAsia="en-AU"/>
              </w:rPr>
              <w:t> </w:t>
            </w:r>
          </w:p>
        </w:tc>
        <w:tc>
          <w:tcPr>
            <w:tcW w:w="759" w:type="pct"/>
            <w:gridSpan w:val="2"/>
            <w:tcBorders>
              <w:top w:val="single" w:sz="6" w:space="0" w:color="000000"/>
              <w:left w:val="nil"/>
              <w:bottom w:val="single" w:sz="6" w:space="0" w:color="auto"/>
              <w:right w:val="nil"/>
            </w:tcBorders>
            <w:shd w:val="clear" w:color="auto" w:fill="000000"/>
            <w:hideMark/>
          </w:tcPr>
          <w:p w14:paraId="78D745AA"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MHO </w:t>
            </w:r>
          </w:p>
          <w:p w14:paraId="75988A82"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(n=32) </w:t>
            </w:r>
          </w:p>
        </w:tc>
        <w:tc>
          <w:tcPr>
            <w:tcW w:w="760" w:type="pct"/>
            <w:gridSpan w:val="2"/>
            <w:tcBorders>
              <w:top w:val="single" w:sz="6" w:space="0" w:color="000000"/>
              <w:left w:val="nil"/>
              <w:bottom w:val="single" w:sz="6" w:space="0" w:color="auto"/>
              <w:right w:val="nil"/>
            </w:tcBorders>
            <w:shd w:val="clear" w:color="auto" w:fill="000000"/>
            <w:hideMark/>
          </w:tcPr>
          <w:p w14:paraId="780691E3"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MS </w:t>
            </w:r>
          </w:p>
          <w:p w14:paraId="2F17AAA0"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(n=100) </w:t>
            </w:r>
          </w:p>
        </w:tc>
        <w:tc>
          <w:tcPr>
            <w:tcW w:w="760" w:type="pct"/>
            <w:gridSpan w:val="2"/>
            <w:tcBorders>
              <w:top w:val="single" w:sz="6" w:space="0" w:color="000000"/>
              <w:left w:val="nil"/>
              <w:bottom w:val="single" w:sz="6" w:space="0" w:color="auto"/>
              <w:right w:val="nil"/>
            </w:tcBorders>
            <w:shd w:val="clear" w:color="auto" w:fill="000000"/>
            <w:hideMark/>
          </w:tcPr>
          <w:p w14:paraId="39F98B06"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TWU </w:t>
            </w:r>
          </w:p>
          <w:p w14:paraId="35574949"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(n=219) </w:t>
            </w:r>
          </w:p>
        </w:tc>
        <w:tc>
          <w:tcPr>
            <w:tcW w:w="760" w:type="pct"/>
            <w:gridSpan w:val="2"/>
            <w:tcBorders>
              <w:top w:val="single" w:sz="6" w:space="0" w:color="000000"/>
              <w:left w:val="nil"/>
              <w:bottom w:val="single" w:sz="6" w:space="0" w:color="auto"/>
              <w:right w:val="single" w:sz="6" w:space="0" w:color="000000"/>
            </w:tcBorders>
            <w:shd w:val="clear" w:color="auto" w:fill="000000"/>
            <w:hideMark/>
          </w:tcPr>
          <w:p w14:paraId="70A342C5"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Total </w:t>
            </w:r>
          </w:p>
          <w:p w14:paraId="424563D2" w14:textId="77777777" w:rsidR="007D175D" w:rsidRPr="007D175D" w:rsidRDefault="007D175D" w:rsidP="007D175D">
            <w:pPr>
              <w:jc w:val="center"/>
              <w:textAlignment w:val="baseline"/>
              <w:rPr>
                <w:rFonts w:asciiTheme="minorHAnsi" w:hAnsiTheme="minorHAnsi" w:cstheme="minorHAnsi"/>
                <w:b/>
                <w:bCs/>
                <w:color w:val="FFFFFF"/>
                <w:sz w:val="18"/>
                <w:szCs w:val="18"/>
                <w:lang w:eastAsia="en-AU"/>
              </w:rPr>
            </w:pPr>
            <w:r w:rsidRPr="007D175D">
              <w:rPr>
                <w:rFonts w:asciiTheme="minorHAnsi" w:hAnsiTheme="minorHAnsi" w:cstheme="minorHAnsi"/>
                <w:b/>
                <w:bCs/>
                <w:color w:val="FFFFFF"/>
                <w:sz w:val="18"/>
                <w:szCs w:val="18"/>
                <w:lang w:eastAsia="en-AU"/>
              </w:rPr>
              <w:t>(N= 351) </w:t>
            </w:r>
          </w:p>
        </w:tc>
      </w:tr>
      <w:tr w:rsidR="00E037ED" w:rsidRPr="007D175D" w14:paraId="694B5C17" w14:textId="77777777" w:rsidTr="00E037ED">
        <w:trPr>
          <w:trHeight w:val="150"/>
        </w:trPr>
        <w:tc>
          <w:tcPr>
            <w:tcW w:w="1962" w:type="pct"/>
            <w:tcBorders>
              <w:top w:val="single" w:sz="6" w:space="0" w:color="auto"/>
              <w:left w:val="single" w:sz="6" w:space="0" w:color="000000"/>
              <w:bottom w:val="nil"/>
              <w:right w:val="nil"/>
            </w:tcBorders>
            <w:shd w:val="clear" w:color="auto" w:fill="000000"/>
            <w:hideMark/>
          </w:tcPr>
          <w:p w14:paraId="2E22C613"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sz w:val="18"/>
                <w:szCs w:val="18"/>
                <w:lang w:eastAsia="en-AU"/>
              </w:rPr>
              <w:t> </w:t>
            </w:r>
          </w:p>
        </w:tc>
        <w:tc>
          <w:tcPr>
            <w:tcW w:w="379" w:type="pct"/>
            <w:tcBorders>
              <w:top w:val="single" w:sz="6" w:space="0" w:color="auto"/>
              <w:left w:val="nil"/>
              <w:bottom w:val="nil"/>
              <w:right w:val="nil"/>
            </w:tcBorders>
            <w:shd w:val="clear" w:color="auto" w:fill="000000"/>
            <w:hideMark/>
          </w:tcPr>
          <w:p w14:paraId="07159AC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w:t>
            </w:r>
            <w:r w:rsidRPr="007D175D">
              <w:rPr>
                <w:rFonts w:asciiTheme="minorHAnsi" w:hAnsiTheme="minorHAnsi" w:cstheme="minorHAnsi"/>
                <w:sz w:val="18"/>
                <w:szCs w:val="18"/>
                <w:lang w:eastAsia="en-AU"/>
              </w:rPr>
              <w:t> </w:t>
            </w:r>
          </w:p>
        </w:tc>
        <w:tc>
          <w:tcPr>
            <w:tcW w:w="380" w:type="pct"/>
            <w:tcBorders>
              <w:top w:val="single" w:sz="6" w:space="0" w:color="auto"/>
              <w:left w:val="nil"/>
              <w:bottom w:val="nil"/>
              <w:right w:val="nil"/>
            </w:tcBorders>
            <w:shd w:val="clear" w:color="auto" w:fill="000000"/>
            <w:hideMark/>
          </w:tcPr>
          <w:p w14:paraId="62DE750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w:t>
            </w:r>
            <w:r w:rsidRPr="007D175D">
              <w:rPr>
                <w:rFonts w:asciiTheme="minorHAnsi" w:hAnsiTheme="minorHAnsi" w:cstheme="minorHAnsi"/>
                <w:sz w:val="18"/>
                <w:szCs w:val="18"/>
                <w:lang w:eastAsia="en-AU"/>
              </w:rPr>
              <w:t> </w:t>
            </w:r>
          </w:p>
        </w:tc>
        <w:tc>
          <w:tcPr>
            <w:tcW w:w="380" w:type="pct"/>
            <w:tcBorders>
              <w:top w:val="single" w:sz="6" w:space="0" w:color="auto"/>
              <w:left w:val="nil"/>
              <w:bottom w:val="nil"/>
              <w:right w:val="nil"/>
            </w:tcBorders>
            <w:shd w:val="clear" w:color="auto" w:fill="000000"/>
            <w:hideMark/>
          </w:tcPr>
          <w:p w14:paraId="0B3CF0C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w:t>
            </w:r>
            <w:r w:rsidRPr="007D175D">
              <w:rPr>
                <w:rFonts w:asciiTheme="minorHAnsi" w:hAnsiTheme="minorHAnsi" w:cstheme="minorHAnsi"/>
                <w:sz w:val="18"/>
                <w:szCs w:val="18"/>
                <w:lang w:eastAsia="en-AU"/>
              </w:rPr>
              <w:t> </w:t>
            </w:r>
          </w:p>
        </w:tc>
        <w:tc>
          <w:tcPr>
            <w:tcW w:w="380" w:type="pct"/>
            <w:tcBorders>
              <w:top w:val="single" w:sz="6" w:space="0" w:color="auto"/>
              <w:left w:val="nil"/>
              <w:bottom w:val="nil"/>
              <w:right w:val="nil"/>
            </w:tcBorders>
            <w:shd w:val="clear" w:color="auto" w:fill="000000"/>
            <w:hideMark/>
          </w:tcPr>
          <w:p w14:paraId="3BEEBF1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w:t>
            </w:r>
            <w:r w:rsidRPr="007D175D">
              <w:rPr>
                <w:rFonts w:asciiTheme="minorHAnsi" w:hAnsiTheme="minorHAnsi" w:cstheme="minorHAnsi"/>
                <w:sz w:val="18"/>
                <w:szCs w:val="18"/>
                <w:lang w:eastAsia="en-AU"/>
              </w:rPr>
              <w:t> </w:t>
            </w:r>
          </w:p>
        </w:tc>
        <w:tc>
          <w:tcPr>
            <w:tcW w:w="380" w:type="pct"/>
            <w:tcBorders>
              <w:top w:val="single" w:sz="6" w:space="0" w:color="auto"/>
              <w:left w:val="nil"/>
              <w:bottom w:val="nil"/>
              <w:right w:val="nil"/>
            </w:tcBorders>
            <w:shd w:val="clear" w:color="auto" w:fill="000000"/>
            <w:hideMark/>
          </w:tcPr>
          <w:p w14:paraId="5125AE4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w:t>
            </w:r>
            <w:r w:rsidRPr="007D175D">
              <w:rPr>
                <w:rFonts w:asciiTheme="minorHAnsi" w:hAnsiTheme="minorHAnsi" w:cstheme="minorHAnsi"/>
                <w:sz w:val="18"/>
                <w:szCs w:val="18"/>
                <w:lang w:eastAsia="en-AU"/>
              </w:rPr>
              <w:t> </w:t>
            </w:r>
          </w:p>
        </w:tc>
        <w:tc>
          <w:tcPr>
            <w:tcW w:w="380" w:type="pct"/>
            <w:tcBorders>
              <w:top w:val="single" w:sz="6" w:space="0" w:color="auto"/>
              <w:left w:val="nil"/>
              <w:bottom w:val="nil"/>
              <w:right w:val="nil"/>
            </w:tcBorders>
            <w:shd w:val="clear" w:color="auto" w:fill="000000"/>
            <w:hideMark/>
          </w:tcPr>
          <w:p w14:paraId="2D9C646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w:t>
            </w:r>
            <w:r w:rsidRPr="007D175D">
              <w:rPr>
                <w:rFonts w:asciiTheme="minorHAnsi" w:hAnsiTheme="minorHAnsi" w:cstheme="minorHAnsi"/>
                <w:sz w:val="18"/>
                <w:szCs w:val="18"/>
                <w:lang w:eastAsia="en-AU"/>
              </w:rPr>
              <w:t> </w:t>
            </w:r>
          </w:p>
        </w:tc>
        <w:tc>
          <w:tcPr>
            <w:tcW w:w="380" w:type="pct"/>
            <w:tcBorders>
              <w:top w:val="single" w:sz="6" w:space="0" w:color="auto"/>
              <w:left w:val="nil"/>
              <w:bottom w:val="nil"/>
              <w:right w:val="nil"/>
            </w:tcBorders>
            <w:shd w:val="clear" w:color="auto" w:fill="000000"/>
            <w:hideMark/>
          </w:tcPr>
          <w:p w14:paraId="63C40E7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Freq</w:t>
            </w:r>
            <w:r w:rsidRPr="007D175D">
              <w:rPr>
                <w:rFonts w:asciiTheme="minorHAnsi" w:hAnsiTheme="minorHAnsi" w:cstheme="minorHAnsi"/>
                <w:sz w:val="18"/>
                <w:szCs w:val="18"/>
                <w:lang w:eastAsia="en-AU"/>
              </w:rPr>
              <w:t> </w:t>
            </w:r>
          </w:p>
        </w:tc>
        <w:tc>
          <w:tcPr>
            <w:tcW w:w="380" w:type="pct"/>
            <w:tcBorders>
              <w:top w:val="single" w:sz="6" w:space="0" w:color="000000"/>
              <w:left w:val="nil"/>
              <w:bottom w:val="nil"/>
              <w:right w:val="single" w:sz="6" w:space="0" w:color="000000"/>
            </w:tcBorders>
            <w:shd w:val="clear" w:color="auto" w:fill="000000"/>
            <w:hideMark/>
          </w:tcPr>
          <w:p w14:paraId="736AF52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FFFFFF"/>
                <w:sz w:val="18"/>
                <w:szCs w:val="18"/>
                <w:lang w:eastAsia="en-AU"/>
              </w:rPr>
              <w:t>%</w:t>
            </w:r>
            <w:r w:rsidRPr="007D175D">
              <w:rPr>
                <w:rFonts w:asciiTheme="minorHAnsi" w:hAnsiTheme="minorHAnsi" w:cstheme="minorHAnsi"/>
                <w:sz w:val="18"/>
                <w:szCs w:val="18"/>
                <w:lang w:eastAsia="en-AU"/>
              </w:rPr>
              <w:t> </w:t>
            </w:r>
          </w:p>
        </w:tc>
      </w:tr>
      <w:tr w:rsidR="00E037ED" w:rsidRPr="007D175D" w14:paraId="6465F5DA" w14:textId="77777777" w:rsidTr="00E037ED">
        <w:trPr>
          <w:trHeight w:val="1277"/>
        </w:trPr>
        <w:tc>
          <w:tcPr>
            <w:tcW w:w="1962" w:type="pct"/>
            <w:tcBorders>
              <w:top w:val="nil"/>
              <w:left w:val="single" w:sz="6" w:space="0" w:color="000000"/>
              <w:bottom w:val="single" w:sz="6" w:space="0" w:color="000000"/>
              <w:right w:val="nil"/>
            </w:tcBorders>
            <w:shd w:val="clear" w:color="auto" w:fill="auto"/>
            <w:hideMark/>
          </w:tcPr>
          <w:p w14:paraId="0B18BB7F"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Changes in health and wellbeing  </w:t>
            </w:r>
          </w:p>
          <w:p w14:paraId="4EDDA225"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 xml:space="preserve">My health and wellbeing </w:t>
            </w:r>
            <w:proofErr w:type="gramStart"/>
            <w:r w:rsidRPr="007D175D">
              <w:rPr>
                <w:rFonts w:asciiTheme="minorHAnsi" w:hAnsiTheme="minorHAnsi" w:cstheme="minorHAnsi"/>
                <w:color w:val="000000"/>
                <w:sz w:val="18"/>
                <w:szCs w:val="18"/>
                <w:lang w:eastAsia="en-AU"/>
              </w:rPr>
              <w:t>is</w:t>
            </w:r>
            <w:proofErr w:type="gramEnd"/>
            <w:r w:rsidRPr="007D175D">
              <w:rPr>
                <w:rFonts w:asciiTheme="minorHAnsi" w:hAnsiTheme="minorHAnsi" w:cstheme="minorHAnsi"/>
                <w:color w:val="000000"/>
                <w:sz w:val="18"/>
                <w:szCs w:val="18"/>
                <w:lang w:eastAsia="en-AU"/>
              </w:rPr>
              <w:t xml:space="preserve"> much better </w:t>
            </w:r>
            <w:r w:rsidRPr="007D175D">
              <w:rPr>
                <w:rFonts w:asciiTheme="minorHAnsi" w:hAnsiTheme="minorHAnsi" w:cstheme="minorHAnsi"/>
                <w:b/>
                <w:bCs/>
                <w:color w:val="000000"/>
                <w:sz w:val="18"/>
                <w:szCs w:val="18"/>
                <w:lang w:eastAsia="en-AU"/>
              </w:rPr>
              <w:t> </w:t>
            </w:r>
          </w:p>
          <w:p w14:paraId="27A24953"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 xml:space="preserve">My health and wellbeing </w:t>
            </w:r>
            <w:proofErr w:type="gramStart"/>
            <w:r w:rsidRPr="007D175D">
              <w:rPr>
                <w:rFonts w:asciiTheme="minorHAnsi" w:hAnsiTheme="minorHAnsi" w:cstheme="minorHAnsi"/>
                <w:color w:val="000000"/>
                <w:sz w:val="18"/>
                <w:szCs w:val="18"/>
                <w:lang w:eastAsia="en-AU"/>
              </w:rPr>
              <w:t>is</w:t>
            </w:r>
            <w:proofErr w:type="gramEnd"/>
            <w:r w:rsidRPr="007D175D">
              <w:rPr>
                <w:rFonts w:asciiTheme="minorHAnsi" w:hAnsiTheme="minorHAnsi" w:cstheme="minorHAnsi"/>
                <w:color w:val="000000"/>
                <w:sz w:val="18"/>
                <w:szCs w:val="18"/>
                <w:lang w:eastAsia="en-AU"/>
              </w:rPr>
              <w:t xml:space="preserve"> somewhat </w:t>
            </w:r>
            <w:r w:rsidRPr="007D175D">
              <w:rPr>
                <w:rFonts w:asciiTheme="minorHAnsi" w:hAnsiTheme="minorHAnsi" w:cstheme="minorHAnsi"/>
                <w:b/>
                <w:bCs/>
                <w:color w:val="000000"/>
                <w:sz w:val="18"/>
                <w:szCs w:val="18"/>
                <w:lang w:eastAsia="en-AU"/>
              </w:rPr>
              <w:t> </w:t>
            </w:r>
          </w:p>
          <w:p w14:paraId="17E3AD80"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 xml:space="preserve">My health and wellbeing </w:t>
            </w:r>
            <w:proofErr w:type="gramStart"/>
            <w:r w:rsidRPr="007D175D">
              <w:rPr>
                <w:rFonts w:asciiTheme="minorHAnsi" w:hAnsiTheme="minorHAnsi" w:cstheme="minorHAnsi"/>
                <w:color w:val="000000"/>
                <w:sz w:val="18"/>
                <w:szCs w:val="18"/>
                <w:lang w:eastAsia="en-AU"/>
              </w:rPr>
              <w:t>has</w:t>
            </w:r>
            <w:proofErr w:type="gramEnd"/>
            <w:r w:rsidRPr="007D175D">
              <w:rPr>
                <w:rFonts w:asciiTheme="minorHAnsi" w:hAnsiTheme="minorHAnsi" w:cstheme="minorHAnsi"/>
                <w:color w:val="000000"/>
                <w:sz w:val="18"/>
                <w:szCs w:val="18"/>
                <w:lang w:eastAsia="en-AU"/>
              </w:rPr>
              <w:t xml:space="preserve"> not changed </w:t>
            </w:r>
            <w:r w:rsidRPr="007D175D">
              <w:rPr>
                <w:rFonts w:asciiTheme="minorHAnsi" w:hAnsiTheme="minorHAnsi" w:cstheme="minorHAnsi"/>
                <w:b/>
                <w:bCs/>
                <w:color w:val="000000"/>
                <w:sz w:val="18"/>
                <w:szCs w:val="18"/>
                <w:lang w:eastAsia="en-AU"/>
              </w:rPr>
              <w:t> </w:t>
            </w:r>
          </w:p>
          <w:p w14:paraId="1483D1C2"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 xml:space="preserve">My health and wellbeing </w:t>
            </w:r>
            <w:proofErr w:type="gramStart"/>
            <w:r w:rsidRPr="007D175D">
              <w:rPr>
                <w:rFonts w:asciiTheme="minorHAnsi" w:hAnsiTheme="minorHAnsi" w:cstheme="minorHAnsi"/>
                <w:color w:val="000000"/>
                <w:sz w:val="18"/>
                <w:szCs w:val="18"/>
                <w:lang w:eastAsia="en-AU"/>
              </w:rPr>
              <w:t>is</w:t>
            </w:r>
            <w:proofErr w:type="gramEnd"/>
            <w:r w:rsidRPr="007D175D">
              <w:rPr>
                <w:rFonts w:asciiTheme="minorHAnsi" w:hAnsiTheme="minorHAnsi" w:cstheme="minorHAnsi"/>
                <w:color w:val="000000"/>
                <w:sz w:val="18"/>
                <w:szCs w:val="18"/>
                <w:lang w:eastAsia="en-AU"/>
              </w:rPr>
              <w:t xml:space="preserve"> somewhat worse </w:t>
            </w:r>
            <w:r w:rsidRPr="007D175D">
              <w:rPr>
                <w:rFonts w:asciiTheme="minorHAnsi" w:hAnsiTheme="minorHAnsi" w:cstheme="minorHAnsi"/>
                <w:b/>
                <w:bCs/>
                <w:color w:val="000000"/>
                <w:sz w:val="18"/>
                <w:szCs w:val="18"/>
                <w:lang w:eastAsia="en-AU"/>
              </w:rPr>
              <w:t> </w:t>
            </w:r>
          </w:p>
          <w:p w14:paraId="2012B32E"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 xml:space="preserve">My health and wellbeing </w:t>
            </w:r>
            <w:proofErr w:type="gramStart"/>
            <w:r w:rsidRPr="007D175D">
              <w:rPr>
                <w:rFonts w:asciiTheme="minorHAnsi" w:hAnsiTheme="minorHAnsi" w:cstheme="minorHAnsi"/>
                <w:color w:val="000000"/>
                <w:sz w:val="18"/>
                <w:szCs w:val="18"/>
                <w:lang w:eastAsia="en-AU"/>
              </w:rPr>
              <w:t>is</w:t>
            </w:r>
            <w:proofErr w:type="gramEnd"/>
            <w:r w:rsidRPr="007D175D">
              <w:rPr>
                <w:rFonts w:asciiTheme="minorHAnsi" w:hAnsiTheme="minorHAnsi" w:cstheme="minorHAnsi"/>
                <w:color w:val="000000"/>
                <w:sz w:val="18"/>
                <w:szCs w:val="18"/>
                <w:lang w:eastAsia="en-AU"/>
              </w:rPr>
              <w:t xml:space="preserve"> much worse</w:t>
            </w:r>
          </w:p>
        </w:tc>
        <w:tc>
          <w:tcPr>
            <w:tcW w:w="379" w:type="pct"/>
            <w:tcBorders>
              <w:top w:val="nil"/>
              <w:left w:val="nil"/>
              <w:bottom w:val="single" w:sz="6" w:space="0" w:color="000000"/>
              <w:right w:val="nil"/>
            </w:tcBorders>
            <w:shd w:val="clear" w:color="auto" w:fill="auto"/>
            <w:hideMark/>
          </w:tcPr>
          <w:p w14:paraId="0870ABEE" w14:textId="77777777" w:rsidR="007D175D" w:rsidRPr="007D175D" w:rsidRDefault="007D175D" w:rsidP="007D175D">
            <w:pP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580701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10 </w:t>
            </w:r>
          </w:p>
          <w:p w14:paraId="0B5A4AF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p w14:paraId="21FB1A0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3921999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590F028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w:t>
            </w:r>
          </w:p>
        </w:tc>
        <w:tc>
          <w:tcPr>
            <w:tcW w:w="380" w:type="pct"/>
            <w:tcBorders>
              <w:top w:val="nil"/>
              <w:left w:val="nil"/>
              <w:bottom w:val="single" w:sz="6" w:space="0" w:color="000000"/>
              <w:right w:val="nil"/>
            </w:tcBorders>
            <w:shd w:val="clear" w:color="auto" w:fill="auto"/>
            <w:hideMark/>
          </w:tcPr>
          <w:p w14:paraId="2FE12E31" w14:textId="77777777" w:rsidR="007D175D" w:rsidRPr="007D175D" w:rsidRDefault="007D175D" w:rsidP="007D175D">
            <w:pP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CB5E14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31 </w:t>
            </w:r>
          </w:p>
          <w:p w14:paraId="188FFB3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57 </w:t>
            </w:r>
          </w:p>
          <w:p w14:paraId="66A6580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168B207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p w14:paraId="72684F1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w:t>
            </w:r>
          </w:p>
        </w:tc>
        <w:tc>
          <w:tcPr>
            <w:tcW w:w="380" w:type="pct"/>
            <w:tcBorders>
              <w:top w:val="nil"/>
              <w:left w:val="nil"/>
              <w:bottom w:val="single" w:sz="6" w:space="0" w:color="000000"/>
              <w:right w:val="nil"/>
            </w:tcBorders>
            <w:shd w:val="clear" w:color="auto" w:fill="auto"/>
            <w:hideMark/>
          </w:tcPr>
          <w:p w14:paraId="26AFF0FD" w14:textId="77777777" w:rsidR="007D175D" w:rsidRPr="007D175D" w:rsidRDefault="007D175D" w:rsidP="007D175D">
            <w:pP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6BCF1A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30 </w:t>
            </w:r>
          </w:p>
          <w:p w14:paraId="598F620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47 </w:t>
            </w:r>
          </w:p>
          <w:p w14:paraId="6CB119A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15 </w:t>
            </w:r>
          </w:p>
          <w:p w14:paraId="613338A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0512001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w:t>
            </w:r>
          </w:p>
        </w:tc>
        <w:tc>
          <w:tcPr>
            <w:tcW w:w="380" w:type="pct"/>
            <w:tcBorders>
              <w:top w:val="nil"/>
              <w:left w:val="nil"/>
              <w:bottom w:val="single" w:sz="6" w:space="0" w:color="000000"/>
              <w:right w:val="nil"/>
            </w:tcBorders>
            <w:shd w:val="clear" w:color="auto" w:fill="auto"/>
            <w:hideMark/>
          </w:tcPr>
          <w:p w14:paraId="1E9B4C60" w14:textId="77777777" w:rsidR="007D175D" w:rsidRPr="007D175D" w:rsidRDefault="007D175D" w:rsidP="007D175D">
            <w:pP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6CDD1A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30 </w:t>
            </w:r>
          </w:p>
          <w:p w14:paraId="60F1824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47 </w:t>
            </w:r>
          </w:p>
          <w:p w14:paraId="2C20EDD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15 </w:t>
            </w:r>
          </w:p>
          <w:p w14:paraId="0650FC1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6BE4C86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w:t>
            </w:r>
          </w:p>
        </w:tc>
        <w:tc>
          <w:tcPr>
            <w:tcW w:w="380" w:type="pct"/>
            <w:tcBorders>
              <w:top w:val="nil"/>
              <w:left w:val="nil"/>
              <w:bottom w:val="single" w:sz="6" w:space="0" w:color="000000"/>
              <w:right w:val="nil"/>
            </w:tcBorders>
            <w:shd w:val="clear" w:color="auto" w:fill="auto"/>
            <w:hideMark/>
          </w:tcPr>
          <w:p w14:paraId="42E96938" w14:textId="77777777" w:rsidR="007D175D" w:rsidRPr="007D175D" w:rsidRDefault="007D175D" w:rsidP="007D175D">
            <w:pP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F76539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66 </w:t>
            </w:r>
          </w:p>
          <w:p w14:paraId="4971EEA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122 </w:t>
            </w:r>
          </w:p>
          <w:p w14:paraId="32DD168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28 </w:t>
            </w:r>
          </w:p>
          <w:p w14:paraId="66B5B95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6494345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w:t>
            </w:r>
          </w:p>
        </w:tc>
        <w:tc>
          <w:tcPr>
            <w:tcW w:w="380" w:type="pct"/>
            <w:tcBorders>
              <w:top w:val="nil"/>
              <w:left w:val="nil"/>
              <w:bottom w:val="single" w:sz="6" w:space="0" w:color="000000"/>
              <w:right w:val="nil"/>
            </w:tcBorders>
            <w:shd w:val="clear" w:color="auto" w:fill="auto"/>
            <w:hideMark/>
          </w:tcPr>
          <w:p w14:paraId="24A7EEFB" w14:textId="77777777" w:rsidR="007D175D" w:rsidRPr="007D175D" w:rsidRDefault="007D175D" w:rsidP="007D175D">
            <w:pP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987C7B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30 </w:t>
            </w:r>
          </w:p>
          <w:p w14:paraId="4905514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56 </w:t>
            </w:r>
          </w:p>
          <w:p w14:paraId="6C0B170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007F87B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378744F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w:t>
            </w:r>
          </w:p>
        </w:tc>
        <w:tc>
          <w:tcPr>
            <w:tcW w:w="380" w:type="pct"/>
            <w:tcBorders>
              <w:top w:val="nil"/>
              <w:left w:val="nil"/>
              <w:bottom w:val="single" w:sz="6" w:space="0" w:color="000000"/>
              <w:right w:val="nil"/>
            </w:tcBorders>
            <w:shd w:val="clear" w:color="auto" w:fill="auto"/>
            <w:hideMark/>
          </w:tcPr>
          <w:p w14:paraId="5B6E63E5" w14:textId="77777777" w:rsidR="007D175D" w:rsidRPr="007D175D" w:rsidRDefault="007D175D" w:rsidP="007D175D">
            <w:pP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4FB202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106 </w:t>
            </w:r>
          </w:p>
          <w:p w14:paraId="210D81D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187 </w:t>
            </w:r>
          </w:p>
          <w:p w14:paraId="1E39D5E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47 </w:t>
            </w:r>
          </w:p>
          <w:p w14:paraId="2BCF50B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4B57470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w:t>
            </w:r>
          </w:p>
        </w:tc>
        <w:tc>
          <w:tcPr>
            <w:tcW w:w="380" w:type="pct"/>
            <w:tcBorders>
              <w:top w:val="nil"/>
              <w:left w:val="nil"/>
              <w:bottom w:val="single" w:sz="6" w:space="0" w:color="000000"/>
              <w:right w:val="single" w:sz="6" w:space="0" w:color="000000"/>
            </w:tcBorders>
            <w:shd w:val="clear" w:color="auto" w:fill="auto"/>
            <w:hideMark/>
          </w:tcPr>
          <w:p w14:paraId="6E4BCDBF" w14:textId="77777777" w:rsidR="007D175D" w:rsidRPr="007D175D" w:rsidRDefault="007D175D" w:rsidP="007D175D">
            <w:pP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D21172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30 </w:t>
            </w:r>
          </w:p>
          <w:p w14:paraId="29828CF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52 </w:t>
            </w:r>
          </w:p>
          <w:p w14:paraId="10677A9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6CD69A9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7FF490D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w:t>
            </w:r>
          </w:p>
        </w:tc>
      </w:tr>
      <w:tr w:rsidR="00E037ED" w:rsidRPr="007D175D" w14:paraId="0AC16F5F" w14:textId="77777777" w:rsidTr="00E037ED">
        <w:trPr>
          <w:trHeight w:val="1228"/>
        </w:trPr>
        <w:tc>
          <w:tcPr>
            <w:tcW w:w="1962" w:type="pct"/>
            <w:tcBorders>
              <w:top w:val="single" w:sz="6" w:space="0" w:color="000000"/>
              <w:left w:val="single" w:sz="6" w:space="0" w:color="000000"/>
              <w:bottom w:val="single" w:sz="6" w:space="0" w:color="000000"/>
              <w:right w:val="nil"/>
            </w:tcBorders>
            <w:shd w:val="clear" w:color="auto" w:fill="auto"/>
            <w:hideMark/>
          </w:tcPr>
          <w:p w14:paraId="3695935F"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Changes related to DMHSs </w:t>
            </w:r>
          </w:p>
          <w:p w14:paraId="234381EC"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Completely related</w:t>
            </w:r>
            <w:r w:rsidRPr="007D175D">
              <w:rPr>
                <w:rFonts w:asciiTheme="minorHAnsi" w:hAnsiTheme="minorHAnsi" w:cstheme="minorHAnsi"/>
                <w:b/>
                <w:bCs/>
                <w:color w:val="000000"/>
                <w:sz w:val="18"/>
                <w:szCs w:val="18"/>
                <w:lang w:eastAsia="en-AU"/>
              </w:rPr>
              <w:t> </w:t>
            </w:r>
          </w:p>
          <w:p w14:paraId="6FDC0F7A"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Very related</w:t>
            </w:r>
            <w:r w:rsidRPr="007D175D">
              <w:rPr>
                <w:rFonts w:asciiTheme="minorHAnsi" w:hAnsiTheme="minorHAnsi" w:cstheme="minorHAnsi"/>
                <w:b/>
                <w:bCs/>
                <w:color w:val="000000"/>
                <w:sz w:val="18"/>
                <w:szCs w:val="18"/>
                <w:lang w:eastAsia="en-AU"/>
              </w:rPr>
              <w:t> </w:t>
            </w:r>
          </w:p>
          <w:p w14:paraId="684AA5DE"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Related</w:t>
            </w:r>
            <w:r w:rsidRPr="007D175D">
              <w:rPr>
                <w:rFonts w:asciiTheme="minorHAnsi" w:hAnsiTheme="minorHAnsi" w:cstheme="minorHAnsi"/>
                <w:b/>
                <w:bCs/>
                <w:color w:val="000000"/>
                <w:sz w:val="18"/>
                <w:szCs w:val="18"/>
                <w:lang w:eastAsia="en-AU"/>
              </w:rPr>
              <w:t> </w:t>
            </w:r>
          </w:p>
          <w:p w14:paraId="12CA1AE1"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Partly related</w:t>
            </w:r>
            <w:r w:rsidRPr="007D175D">
              <w:rPr>
                <w:rFonts w:asciiTheme="minorHAnsi" w:hAnsiTheme="minorHAnsi" w:cstheme="minorHAnsi"/>
                <w:b/>
                <w:bCs/>
                <w:color w:val="000000"/>
                <w:sz w:val="18"/>
                <w:szCs w:val="18"/>
                <w:lang w:eastAsia="en-AU"/>
              </w:rPr>
              <w:t> </w:t>
            </w:r>
          </w:p>
          <w:p w14:paraId="6E75EC6C"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Not at all related</w:t>
            </w:r>
          </w:p>
        </w:tc>
        <w:tc>
          <w:tcPr>
            <w:tcW w:w="379" w:type="pct"/>
            <w:tcBorders>
              <w:top w:val="single" w:sz="6" w:space="0" w:color="000000"/>
              <w:left w:val="nil"/>
              <w:bottom w:val="single" w:sz="6" w:space="0" w:color="000000"/>
              <w:right w:val="nil"/>
            </w:tcBorders>
            <w:shd w:val="clear" w:color="auto" w:fill="auto"/>
            <w:hideMark/>
          </w:tcPr>
          <w:p w14:paraId="3CFBDE6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58FCFF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5 </w:t>
            </w:r>
          </w:p>
          <w:p w14:paraId="1928FEB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54C03B6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6DB3832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1ABA895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w:t>
            </w:r>
          </w:p>
        </w:tc>
        <w:tc>
          <w:tcPr>
            <w:tcW w:w="380" w:type="pct"/>
            <w:tcBorders>
              <w:top w:val="single" w:sz="6" w:space="0" w:color="000000"/>
              <w:left w:val="nil"/>
              <w:bottom w:val="single" w:sz="6" w:space="0" w:color="000000"/>
              <w:right w:val="nil"/>
            </w:tcBorders>
            <w:shd w:val="clear" w:color="auto" w:fill="auto"/>
            <w:hideMark/>
          </w:tcPr>
          <w:p w14:paraId="0133AE4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6B2250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16 </w:t>
            </w:r>
          </w:p>
          <w:p w14:paraId="6B423BD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41 </w:t>
            </w:r>
          </w:p>
          <w:p w14:paraId="66FF111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25 </w:t>
            </w:r>
          </w:p>
          <w:p w14:paraId="62401CD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509F2A6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w:t>
            </w:r>
          </w:p>
        </w:tc>
        <w:tc>
          <w:tcPr>
            <w:tcW w:w="380" w:type="pct"/>
            <w:tcBorders>
              <w:top w:val="single" w:sz="6" w:space="0" w:color="000000"/>
              <w:left w:val="nil"/>
              <w:bottom w:val="single" w:sz="6" w:space="0" w:color="000000"/>
              <w:right w:val="nil"/>
            </w:tcBorders>
            <w:shd w:val="clear" w:color="auto" w:fill="auto"/>
            <w:hideMark/>
          </w:tcPr>
          <w:p w14:paraId="052A005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75BE46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19 </w:t>
            </w:r>
          </w:p>
          <w:p w14:paraId="5B56BC6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38 </w:t>
            </w:r>
          </w:p>
          <w:p w14:paraId="2986ABF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26 </w:t>
            </w:r>
          </w:p>
          <w:p w14:paraId="2E7FCF7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14 </w:t>
            </w:r>
          </w:p>
          <w:p w14:paraId="7846CC9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w:t>
            </w:r>
          </w:p>
        </w:tc>
        <w:tc>
          <w:tcPr>
            <w:tcW w:w="380" w:type="pct"/>
            <w:tcBorders>
              <w:top w:val="single" w:sz="6" w:space="0" w:color="000000"/>
              <w:left w:val="nil"/>
              <w:bottom w:val="single" w:sz="6" w:space="0" w:color="000000"/>
              <w:right w:val="nil"/>
            </w:tcBorders>
            <w:shd w:val="clear" w:color="auto" w:fill="auto"/>
            <w:hideMark/>
          </w:tcPr>
          <w:p w14:paraId="4F22A35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7EE0A07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19 </w:t>
            </w:r>
          </w:p>
          <w:p w14:paraId="0A78ABA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38 </w:t>
            </w:r>
          </w:p>
          <w:p w14:paraId="525D148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26 </w:t>
            </w:r>
          </w:p>
          <w:p w14:paraId="57E9857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14 </w:t>
            </w:r>
          </w:p>
          <w:p w14:paraId="34B1FAD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w:t>
            </w:r>
          </w:p>
        </w:tc>
        <w:tc>
          <w:tcPr>
            <w:tcW w:w="380" w:type="pct"/>
            <w:tcBorders>
              <w:top w:val="single" w:sz="6" w:space="0" w:color="000000"/>
              <w:left w:val="nil"/>
              <w:bottom w:val="single" w:sz="6" w:space="0" w:color="000000"/>
              <w:right w:val="nil"/>
            </w:tcBorders>
            <w:shd w:val="clear" w:color="auto" w:fill="auto"/>
            <w:hideMark/>
          </w:tcPr>
          <w:p w14:paraId="2AF04D4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FD0F0A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23 </w:t>
            </w:r>
          </w:p>
          <w:p w14:paraId="6DAD5DC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65 </w:t>
            </w:r>
          </w:p>
          <w:p w14:paraId="2EF2B79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62 </w:t>
            </w:r>
          </w:p>
          <w:p w14:paraId="3078F24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50 </w:t>
            </w:r>
          </w:p>
          <w:p w14:paraId="2AF3FF1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19</w:t>
            </w:r>
          </w:p>
        </w:tc>
        <w:tc>
          <w:tcPr>
            <w:tcW w:w="380" w:type="pct"/>
            <w:tcBorders>
              <w:top w:val="single" w:sz="6" w:space="0" w:color="000000"/>
              <w:left w:val="nil"/>
              <w:bottom w:val="single" w:sz="6" w:space="0" w:color="000000"/>
              <w:right w:val="nil"/>
            </w:tcBorders>
            <w:shd w:val="clear" w:color="auto" w:fill="auto"/>
            <w:hideMark/>
          </w:tcPr>
          <w:p w14:paraId="6D8CDE2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0337A1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61DFFBB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30 </w:t>
            </w:r>
          </w:p>
          <w:p w14:paraId="68C8146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28 </w:t>
            </w:r>
          </w:p>
          <w:p w14:paraId="5EC4E3A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22 </w:t>
            </w:r>
          </w:p>
          <w:p w14:paraId="425F5FA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w:t>
            </w:r>
          </w:p>
        </w:tc>
        <w:tc>
          <w:tcPr>
            <w:tcW w:w="380" w:type="pct"/>
            <w:tcBorders>
              <w:top w:val="single" w:sz="6" w:space="0" w:color="000000"/>
              <w:left w:val="nil"/>
              <w:bottom w:val="single" w:sz="6" w:space="0" w:color="000000"/>
              <w:right w:val="nil"/>
            </w:tcBorders>
            <w:shd w:val="clear" w:color="auto" w:fill="auto"/>
            <w:hideMark/>
          </w:tcPr>
          <w:p w14:paraId="5FE4800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5C104C8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47 </w:t>
            </w:r>
          </w:p>
          <w:p w14:paraId="7854DBE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116 </w:t>
            </w:r>
          </w:p>
          <w:p w14:paraId="6A84958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96 </w:t>
            </w:r>
          </w:p>
          <w:p w14:paraId="7B69B58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68 </w:t>
            </w:r>
          </w:p>
          <w:p w14:paraId="2167146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24</w:t>
            </w:r>
          </w:p>
        </w:tc>
        <w:tc>
          <w:tcPr>
            <w:tcW w:w="380" w:type="pct"/>
            <w:tcBorders>
              <w:top w:val="single" w:sz="6" w:space="0" w:color="000000"/>
              <w:left w:val="nil"/>
              <w:bottom w:val="single" w:sz="6" w:space="0" w:color="000000"/>
              <w:right w:val="single" w:sz="6" w:space="0" w:color="000000"/>
            </w:tcBorders>
            <w:shd w:val="clear" w:color="auto" w:fill="auto"/>
            <w:hideMark/>
          </w:tcPr>
          <w:p w14:paraId="0A868B2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695724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0E4D9AC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33 </w:t>
            </w:r>
          </w:p>
          <w:p w14:paraId="5236C83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27 </w:t>
            </w:r>
          </w:p>
          <w:p w14:paraId="1AABA14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19 </w:t>
            </w:r>
          </w:p>
          <w:p w14:paraId="4555E1B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w:t>
            </w:r>
          </w:p>
        </w:tc>
      </w:tr>
      <w:tr w:rsidR="00E037ED" w:rsidRPr="007D175D" w14:paraId="30768BE0" w14:textId="77777777" w:rsidTr="00E037ED">
        <w:trPr>
          <w:trHeight w:val="1505"/>
        </w:trPr>
        <w:tc>
          <w:tcPr>
            <w:tcW w:w="1962" w:type="pct"/>
            <w:tcBorders>
              <w:top w:val="nil"/>
              <w:left w:val="single" w:sz="6" w:space="0" w:color="000000"/>
              <w:bottom w:val="nil"/>
              <w:right w:val="nil"/>
            </w:tcBorders>
            <w:shd w:val="clear" w:color="auto" w:fill="auto"/>
            <w:hideMark/>
          </w:tcPr>
          <w:p w14:paraId="39DA37F9"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DMHS worthy of time </w:t>
            </w:r>
          </w:p>
          <w:p w14:paraId="03A22899"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Completely worth my time</w:t>
            </w:r>
            <w:r w:rsidRPr="007D175D">
              <w:rPr>
                <w:rFonts w:asciiTheme="minorHAnsi" w:hAnsiTheme="minorHAnsi" w:cstheme="minorHAnsi"/>
                <w:b/>
                <w:bCs/>
                <w:color w:val="000000"/>
                <w:sz w:val="18"/>
                <w:szCs w:val="18"/>
                <w:lang w:eastAsia="en-AU"/>
              </w:rPr>
              <w:t> </w:t>
            </w:r>
          </w:p>
          <w:p w14:paraId="7EFC2096"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Very worth my time</w:t>
            </w:r>
            <w:r w:rsidRPr="007D175D">
              <w:rPr>
                <w:rFonts w:asciiTheme="minorHAnsi" w:hAnsiTheme="minorHAnsi" w:cstheme="minorHAnsi"/>
                <w:b/>
                <w:bCs/>
                <w:color w:val="000000"/>
                <w:sz w:val="18"/>
                <w:szCs w:val="18"/>
                <w:lang w:eastAsia="en-AU"/>
              </w:rPr>
              <w:t> </w:t>
            </w:r>
          </w:p>
          <w:p w14:paraId="297B24BD"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Worth my time</w:t>
            </w:r>
            <w:r w:rsidRPr="007D175D">
              <w:rPr>
                <w:rFonts w:asciiTheme="minorHAnsi" w:hAnsiTheme="minorHAnsi" w:cstheme="minorHAnsi"/>
                <w:b/>
                <w:bCs/>
                <w:color w:val="000000"/>
                <w:sz w:val="18"/>
                <w:szCs w:val="18"/>
                <w:lang w:eastAsia="en-AU"/>
              </w:rPr>
              <w:t> </w:t>
            </w:r>
          </w:p>
          <w:p w14:paraId="743D1F14"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Partly worth my time</w:t>
            </w:r>
            <w:r w:rsidRPr="007D175D">
              <w:rPr>
                <w:rFonts w:asciiTheme="minorHAnsi" w:hAnsiTheme="minorHAnsi" w:cstheme="minorHAnsi"/>
                <w:b/>
                <w:bCs/>
                <w:color w:val="000000"/>
                <w:sz w:val="18"/>
                <w:szCs w:val="18"/>
                <w:lang w:eastAsia="en-AU"/>
              </w:rPr>
              <w:t> </w:t>
            </w:r>
          </w:p>
          <w:p w14:paraId="67DE39D9"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Not at all</w:t>
            </w:r>
            <w:r w:rsidRPr="007D175D">
              <w:rPr>
                <w:rFonts w:asciiTheme="minorHAnsi" w:hAnsiTheme="minorHAnsi" w:cstheme="minorHAnsi"/>
                <w:b/>
                <w:bCs/>
                <w:color w:val="000000"/>
                <w:sz w:val="18"/>
                <w:szCs w:val="18"/>
                <w:lang w:eastAsia="en-AU"/>
              </w:rPr>
              <w:t> </w:t>
            </w:r>
          </w:p>
          <w:p w14:paraId="535E3623"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Missing</w:t>
            </w:r>
          </w:p>
        </w:tc>
        <w:tc>
          <w:tcPr>
            <w:tcW w:w="379" w:type="pct"/>
            <w:tcBorders>
              <w:top w:val="nil"/>
              <w:left w:val="nil"/>
              <w:bottom w:val="nil"/>
              <w:right w:val="nil"/>
            </w:tcBorders>
            <w:shd w:val="clear" w:color="auto" w:fill="auto"/>
            <w:hideMark/>
          </w:tcPr>
          <w:p w14:paraId="604FC3A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F1240A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17 </w:t>
            </w:r>
          </w:p>
          <w:p w14:paraId="2A461B3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5E8F8FD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448EB43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31A3FB1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7AE4972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tc>
        <w:tc>
          <w:tcPr>
            <w:tcW w:w="380" w:type="pct"/>
            <w:tcBorders>
              <w:top w:val="nil"/>
              <w:left w:val="nil"/>
              <w:bottom w:val="nil"/>
              <w:right w:val="nil"/>
            </w:tcBorders>
            <w:shd w:val="clear" w:color="auto" w:fill="auto"/>
            <w:hideMark/>
          </w:tcPr>
          <w:p w14:paraId="2E872E9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3137A6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53 </w:t>
            </w:r>
          </w:p>
          <w:p w14:paraId="6D4C6F1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284E370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25 </w:t>
            </w:r>
          </w:p>
          <w:p w14:paraId="5BA286A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051560F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203657A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0</w:t>
            </w:r>
          </w:p>
        </w:tc>
        <w:tc>
          <w:tcPr>
            <w:tcW w:w="380" w:type="pct"/>
            <w:tcBorders>
              <w:top w:val="nil"/>
              <w:left w:val="nil"/>
              <w:bottom w:val="nil"/>
              <w:right w:val="nil"/>
            </w:tcBorders>
            <w:shd w:val="clear" w:color="auto" w:fill="auto"/>
            <w:hideMark/>
          </w:tcPr>
          <w:p w14:paraId="5FCC51D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C6B9DB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37 </w:t>
            </w:r>
          </w:p>
          <w:p w14:paraId="078E205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24 </w:t>
            </w:r>
          </w:p>
          <w:p w14:paraId="727B7F8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32 </w:t>
            </w:r>
          </w:p>
          <w:p w14:paraId="06D904D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4E9A693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14C3520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w:t>
            </w:r>
          </w:p>
        </w:tc>
        <w:tc>
          <w:tcPr>
            <w:tcW w:w="380" w:type="pct"/>
            <w:tcBorders>
              <w:top w:val="nil"/>
              <w:left w:val="nil"/>
              <w:bottom w:val="nil"/>
              <w:right w:val="nil"/>
            </w:tcBorders>
            <w:shd w:val="clear" w:color="auto" w:fill="auto"/>
            <w:hideMark/>
          </w:tcPr>
          <w:p w14:paraId="242E915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98B66D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37 </w:t>
            </w:r>
          </w:p>
          <w:p w14:paraId="63F4251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24 </w:t>
            </w:r>
          </w:p>
          <w:p w14:paraId="283F899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32 </w:t>
            </w:r>
          </w:p>
          <w:p w14:paraId="288D71F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55590477" w14:textId="77777777" w:rsidR="007D175D" w:rsidRPr="007D175D" w:rsidRDefault="007D175D" w:rsidP="007D175D">
            <w:pPr>
              <w:jc w:val="center"/>
              <w:textAlignment w:val="baseline"/>
              <w:rPr>
                <w:rFonts w:asciiTheme="minorHAnsi" w:hAnsiTheme="minorHAnsi" w:cstheme="minorHAnsi"/>
                <w:color w:val="000000"/>
                <w:sz w:val="18"/>
                <w:szCs w:val="18"/>
                <w:lang w:eastAsia="en-AU"/>
              </w:rPr>
            </w:pPr>
            <w:r w:rsidRPr="007D175D">
              <w:rPr>
                <w:rFonts w:asciiTheme="minorHAnsi" w:hAnsiTheme="minorHAnsi" w:cstheme="minorHAnsi"/>
                <w:color w:val="000000"/>
                <w:sz w:val="18"/>
                <w:szCs w:val="18"/>
                <w:lang w:eastAsia="en-AU"/>
              </w:rPr>
              <w:t>1</w:t>
            </w:r>
          </w:p>
          <w:p w14:paraId="39D93D48" w14:textId="4B56BCA2" w:rsidR="007D175D" w:rsidRPr="007D175D" w:rsidRDefault="007D175D" w:rsidP="0065498E">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380" w:type="pct"/>
            <w:tcBorders>
              <w:top w:val="nil"/>
              <w:left w:val="nil"/>
              <w:bottom w:val="nil"/>
              <w:right w:val="nil"/>
            </w:tcBorders>
            <w:shd w:val="clear" w:color="auto" w:fill="auto"/>
            <w:hideMark/>
          </w:tcPr>
          <w:p w14:paraId="5E10C1C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3E5F7B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83 </w:t>
            </w:r>
          </w:p>
          <w:p w14:paraId="685CB87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57 </w:t>
            </w:r>
          </w:p>
          <w:p w14:paraId="481E762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52 </w:t>
            </w:r>
          </w:p>
          <w:p w14:paraId="53A8128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24 </w:t>
            </w:r>
          </w:p>
          <w:p w14:paraId="71DBCD1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2 </w:t>
            </w:r>
          </w:p>
          <w:p w14:paraId="1858A5F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sz w:val="18"/>
                <w:szCs w:val="18"/>
                <w:lang w:eastAsia="en-AU"/>
              </w:rPr>
              <w:t>1</w:t>
            </w:r>
          </w:p>
        </w:tc>
        <w:tc>
          <w:tcPr>
            <w:tcW w:w="380" w:type="pct"/>
            <w:tcBorders>
              <w:top w:val="nil"/>
              <w:left w:val="nil"/>
              <w:bottom w:val="nil"/>
              <w:right w:val="nil"/>
            </w:tcBorders>
            <w:shd w:val="clear" w:color="auto" w:fill="auto"/>
            <w:hideMark/>
          </w:tcPr>
          <w:p w14:paraId="1BE45CF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22CE12F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38 </w:t>
            </w:r>
          </w:p>
          <w:p w14:paraId="56BB6FC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26 </w:t>
            </w:r>
          </w:p>
          <w:p w14:paraId="6FBB95B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24 </w:t>
            </w:r>
          </w:p>
          <w:p w14:paraId="0A6B22F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11 </w:t>
            </w:r>
          </w:p>
          <w:p w14:paraId="4B29FC7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24C7D9D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c>
          <w:tcPr>
            <w:tcW w:w="380" w:type="pct"/>
            <w:tcBorders>
              <w:top w:val="nil"/>
              <w:left w:val="nil"/>
              <w:bottom w:val="nil"/>
              <w:right w:val="nil"/>
            </w:tcBorders>
            <w:shd w:val="clear" w:color="auto" w:fill="auto"/>
            <w:hideMark/>
          </w:tcPr>
          <w:p w14:paraId="21FD012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222B65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137 </w:t>
            </w:r>
          </w:p>
          <w:p w14:paraId="08B9509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85 </w:t>
            </w:r>
          </w:p>
          <w:p w14:paraId="4856754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92 </w:t>
            </w:r>
          </w:p>
          <w:p w14:paraId="37DEC26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32 </w:t>
            </w:r>
          </w:p>
          <w:p w14:paraId="77D5109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4 </w:t>
            </w:r>
          </w:p>
          <w:p w14:paraId="43EA072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tc>
        <w:tc>
          <w:tcPr>
            <w:tcW w:w="380" w:type="pct"/>
            <w:tcBorders>
              <w:top w:val="nil"/>
              <w:left w:val="nil"/>
              <w:bottom w:val="nil"/>
              <w:right w:val="single" w:sz="6" w:space="0" w:color="000000"/>
            </w:tcBorders>
            <w:shd w:val="clear" w:color="auto" w:fill="auto"/>
            <w:hideMark/>
          </w:tcPr>
          <w:p w14:paraId="0422750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8EFACE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39 </w:t>
            </w:r>
          </w:p>
          <w:p w14:paraId="5DC84E2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24 </w:t>
            </w:r>
          </w:p>
          <w:p w14:paraId="686B88F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26 </w:t>
            </w:r>
          </w:p>
          <w:p w14:paraId="007207D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31A32E4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1 </w:t>
            </w:r>
          </w:p>
          <w:p w14:paraId="5C33209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0 </w:t>
            </w:r>
          </w:p>
        </w:tc>
      </w:tr>
      <w:tr w:rsidR="00E037ED" w:rsidRPr="007D175D" w14:paraId="55356C0B" w14:textId="77777777" w:rsidTr="00E037ED">
        <w:trPr>
          <w:trHeight w:val="1260"/>
        </w:trPr>
        <w:tc>
          <w:tcPr>
            <w:tcW w:w="1962" w:type="pct"/>
            <w:tcBorders>
              <w:top w:val="single" w:sz="6" w:space="0" w:color="000000"/>
              <w:left w:val="single" w:sz="6" w:space="0" w:color="000000"/>
              <w:bottom w:val="single" w:sz="6" w:space="0" w:color="000000"/>
              <w:right w:val="nil"/>
            </w:tcBorders>
            <w:shd w:val="clear" w:color="auto" w:fill="auto"/>
            <w:hideMark/>
          </w:tcPr>
          <w:p w14:paraId="4EE0DCF3" w14:textId="77777777" w:rsidR="007D175D" w:rsidRPr="007D175D" w:rsidRDefault="007D175D" w:rsidP="007D175D">
            <w:pPr>
              <w:textAlignment w:val="baseline"/>
              <w:rPr>
                <w:rFonts w:asciiTheme="minorHAnsi" w:hAnsiTheme="minorHAnsi" w:cstheme="minorHAnsi"/>
                <w:b/>
                <w:bCs/>
                <w:sz w:val="18"/>
                <w:szCs w:val="18"/>
                <w:lang w:eastAsia="en-AU"/>
              </w:rPr>
            </w:pPr>
            <w:r w:rsidRPr="007D175D">
              <w:rPr>
                <w:rFonts w:asciiTheme="minorHAnsi" w:hAnsiTheme="minorHAnsi" w:cstheme="minorHAnsi"/>
                <w:b/>
                <w:bCs/>
                <w:color w:val="000000"/>
                <w:sz w:val="18"/>
                <w:szCs w:val="18"/>
                <w:lang w:eastAsia="en-AU"/>
              </w:rPr>
              <w:t>Satisfaction with DMHSs </w:t>
            </w:r>
          </w:p>
          <w:p w14:paraId="2389488C"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Very satisfied</w:t>
            </w:r>
            <w:r w:rsidRPr="007D175D">
              <w:rPr>
                <w:rFonts w:asciiTheme="minorHAnsi" w:hAnsiTheme="minorHAnsi" w:cstheme="minorHAnsi"/>
                <w:b/>
                <w:bCs/>
                <w:color w:val="000000"/>
                <w:sz w:val="18"/>
                <w:szCs w:val="18"/>
                <w:lang w:eastAsia="en-AU"/>
              </w:rPr>
              <w:t> </w:t>
            </w:r>
          </w:p>
          <w:p w14:paraId="64B0D668"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Completely satisfied</w:t>
            </w:r>
            <w:r w:rsidRPr="007D175D">
              <w:rPr>
                <w:rFonts w:asciiTheme="minorHAnsi" w:hAnsiTheme="minorHAnsi" w:cstheme="minorHAnsi"/>
                <w:b/>
                <w:bCs/>
                <w:color w:val="000000"/>
                <w:sz w:val="18"/>
                <w:szCs w:val="18"/>
                <w:lang w:eastAsia="en-AU"/>
              </w:rPr>
              <w:t> </w:t>
            </w:r>
          </w:p>
          <w:p w14:paraId="6F1E52C8"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Satisfied</w:t>
            </w:r>
            <w:r w:rsidRPr="007D175D">
              <w:rPr>
                <w:rFonts w:asciiTheme="minorHAnsi" w:hAnsiTheme="minorHAnsi" w:cstheme="minorHAnsi"/>
                <w:b/>
                <w:bCs/>
                <w:color w:val="000000"/>
                <w:sz w:val="18"/>
                <w:szCs w:val="18"/>
                <w:lang w:eastAsia="en-AU"/>
              </w:rPr>
              <w:t> </w:t>
            </w:r>
          </w:p>
          <w:p w14:paraId="795ABE49"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Somewhat satisfied</w:t>
            </w:r>
            <w:r w:rsidRPr="007D175D">
              <w:rPr>
                <w:rFonts w:asciiTheme="minorHAnsi" w:hAnsiTheme="minorHAnsi" w:cstheme="minorHAnsi"/>
                <w:b/>
                <w:bCs/>
                <w:color w:val="000000"/>
                <w:sz w:val="18"/>
                <w:szCs w:val="18"/>
                <w:lang w:eastAsia="en-AU"/>
              </w:rPr>
              <w:t> </w:t>
            </w:r>
          </w:p>
          <w:p w14:paraId="2942EBA2" w14:textId="77777777" w:rsidR="007D175D" w:rsidRPr="007D175D" w:rsidRDefault="007D175D" w:rsidP="007D175D">
            <w:pPr>
              <w:ind w:left="165"/>
              <w:textAlignment w:val="baseline"/>
              <w:rPr>
                <w:rFonts w:asciiTheme="minorHAnsi" w:hAnsiTheme="minorHAnsi" w:cstheme="minorHAnsi"/>
                <w:b/>
                <w:bCs/>
                <w:sz w:val="18"/>
                <w:szCs w:val="18"/>
                <w:lang w:eastAsia="en-AU"/>
              </w:rPr>
            </w:pPr>
            <w:r w:rsidRPr="007D175D">
              <w:rPr>
                <w:rFonts w:asciiTheme="minorHAnsi" w:hAnsiTheme="minorHAnsi" w:cstheme="minorHAnsi"/>
                <w:color w:val="000000"/>
                <w:sz w:val="18"/>
                <w:szCs w:val="18"/>
                <w:lang w:eastAsia="en-AU"/>
              </w:rPr>
              <w:t>Not at all satisfied</w:t>
            </w:r>
          </w:p>
        </w:tc>
        <w:tc>
          <w:tcPr>
            <w:tcW w:w="379" w:type="pct"/>
            <w:tcBorders>
              <w:top w:val="single" w:sz="6" w:space="0" w:color="000000"/>
              <w:left w:val="nil"/>
              <w:bottom w:val="single" w:sz="6" w:space="0" w:color="000000"/>
              <w:right w:val="nil"/>
            </w:tcBorders>
            <w:shd w:val="clear" w:color="auto" w:fill="auto"/>
            <w:hideMark/>
          </w:tcPr>
          <w:p w14:paraId="07567C1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BE3812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8 </w:t>
            </w:r>
          </w:p>
          <w:p w14:paraId="01DFA11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14 </w:t>
            </w:r>
          </w:p>
          <w:p w14:paraId="7B33F85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6 </w:t>
            </w:r>
          </w:p>
          <w:p w14:paraId="13CA637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3 </w:t>
            </w:r>
          </w:p>
          <w:p w14:paraId="5657B35C"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w:t>
            </w:r>
          </w:p>
        </w:tc>
        <w:tc>
          <w:tcPr>
            <w:tcW w:w="380" w:type="pct"/>
            <w:tcBorders>
              <w:top w:val="single" w:sz="6" w:space="0" w:color="000000"/>
              <w:left w:val="nil"/>
              <w:bottom w:val="single" w:sz="6" w:space="0" w:color="000000"/>
              <w:right w:val="nil"/>
            </w:tcBorders>
            <w:shd w:val="clear" w:color="auto" w:fill="auto"/>
            <w:hideMark/>
          </w:tcPr>
          <w:p w14:paraId="7D88C16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270D60E"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25 </w:t>
            </w:r>
          </w:p>
          <w:p w14:paraId="3DD082C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44 </w:t>
            </w:r>
          </w:p>
          <w:p w14:paraId="0335957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19 </w:t>
            </w:r>
          </w:p>
          <w:p w14:paraId="39B2BA5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18A253A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w:t>
            </w:r>
          </w:p>
        </w:tc>
        <w:tc>
          <w:tcPr>
            <w:tcW w:w="380" w:type="pct"/>
            <w:tcBorders>
              <w:top w:val="single" w:sz="6" w:space="0" w:color="000000"/>
              <w:left w:val="nil"/>
              <w:bottom w:val="single" w:sz="6" w:space="0" w:color="000000"/>
              <w:right w:val="nil"/>
            </w:tcBorders>
            <w:shd w:val="clear" w:color="auto" w:fill="auto"/>
            <w:hideMark/>
          </w:tcPr>
          <w:p w14:paraId="266EF35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979749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48 </w:t>
            </w:r>
          </w:p>
          <w:p w14:paraId="137AC2F6"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24 </w:t>
            </w:r>
          </w:p>
          <w:p w14:paraId="679625B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p w14:paraId="0632C3B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648B073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w:t>
            </w:r>
          </w:p>
        </w:tc>
        <w:tc>
          <w:tcPr>
            <w:tcW w:w="380" w:type="pct"/>
            <w:tcBorders>
              <w:top w:val="single" w:sz="6" w:space="0" w:color="000000"/>
              <w:left w:val="nil"/>
              <w:bottom w:val="single" w:sz="6" w:space="0" w:color="000000"/>
              <w:right w:val="nil"/>
            </w:tcBorders>
            <w:shd w:val="clear" w:color="auto" w:fill="auto"/>
            <w:hideMark/>
          </w:tcPr>
          <w:p w14:paraId="44A0AA9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62BE168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48 </w:t>
            </w:r>
          </w:p>
          <w:p w14:paraId="3172726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24 </w:t>
            </w:r>
          </w:p>
          <w:p w14:paraId="0E9B0ECB"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p w14:paraId="6D93388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9 </w:t>
            </w:r>
          </w:p>
          <w:p w14:paraId="43EC17B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w:t>
            </w:r>
          </w:p>
        </w:tc>
        <w:tc>
          <w:tcPr>
            <w:tcW w:w="380" w:type="pct"/>
            <w:tcBorders>
              <w:top w:val="single" w:sz="6" w:space="0" w:color="000000"/>
              <w:left w:val="nil"/>
              <w:bottom w:val="single" w:sz="6" w:space="0" w:color="000000"/>
              <w:right w:val="nil"/>
            </w:tcBorders>
            <w:shd w:val="clear" w:color="auto" w:fill="auto"/>
            <w:hideMark/>
          </w:tcPr>
          <w:p w14:paraId="53559EF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16C0566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92 </w:t>
            </w:r>
          </w:p>
          <w:p w14:paraId="6BBE893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54 </w:t>
            </w:r>
          </w:p>
          <w:p w14:paraId="07A4371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39 </w:t>
            </w:r>
          </w:p>
          <w:p w14:paraId="41E1405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29 </w:t>
            </w:r>
          </w:p>
          <w:p w14:paraId="796E6082"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5</w:t>
            </w:r>
          </w:p>
        </w:tc>
        <w:tc>
          <w:tcPr>
            <w:tcW w:w="380" w:type="pct"/>
            <w:tcBorders>
              <w:top w:val="single" w:sz="6" w:space="0" w:color="000000"/>
              <w:left w:val="nil"/>
              <w:bottom w:val="single" w:sz="6" w:space="0" w:color="000000"/>
              <w:right w:val="nil"/>
            </w:tcBorders>
            <w:shd w:val="clear" w:color="auto" w:fill="auto"/>
            <w:hideMark/>
          </w:tcPr>
          <w:p w14:paraId="1A7954B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3BB2A85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42 </w:t>
            </w:r>
          </w:p>
          <w:p w14:paraId="4FF131F4"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25 </w:t>
            </w:r>
          </w:p>
          <w:p w14:paraId="73162C6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p w14:paraId="34B1CE7F"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13 </w:t>
            </w:r>
          </w:p>
          <w:p w14:paraId="244BB3C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w:t>
            </w:r>
          </w:p>
        </w:tc>
        <w:tc>
          <w:tcPr>
            <w:tcW w:w="380" w:type="pct"/>
            <w:tcBorders>
              <w:top w:val="single" w:sz="6" w:space="0" w:color="000000"/>
              <w:left w:val="nil"/>
              <w:bottom w:val="single" w:sz="6" w:space="0" w:color="000000"/>
              <w:right w:val="nil"/>
            </w:tcBorders>
            <w:shd w:val="clear" w:color="auto" w:fill="auto"/>
            <w:hideMark/>
          </w:tcPr>
          <w:p w14:paraId="073CCABD"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423A6849"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148 </w:t>
            </w:r>
          </w:p>
          <w:p w14:paraId="55BF982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92 </w:t>
            </w:r>
          </w:p>
          <w:p w14:paraId="323BFB2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63 </w:t>
            </w:r>
          </w:p>
          <w:p w14:paraId="421E3CB1"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41 </w:t>
            </w:r>
          </w:p>
          <w:p w14:paraId="1D0B1703"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7</w:t>
            </w:r>
          </w:p>
        </w:tc>
        <w:tc>
          <w:tcPr>
            <w:tcW w:w="380" w:type="pct"/>
            <w:tcBorders>
              <w:top w:val="single" w:sz="6" w:space="0" w:color="000000"/>
              <w:left w:val="nil"/>
              <w:bottom w:val="single" w:sz="6" w:space="0" w:color="000000"/>
              <w:right w:val="single" w:sz="6" w:space="0" w:color="000000"/>
            </w:tcBorders>
            <w:shd w:val="clear" w:color="auto" w:fill="auto"/>
            <w:hideMark/>
          </w:tcPr>
          <w:p w14:paraId="4D7E9738"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 </w:t>
            </w:r>
          </w:p>
          <w:p w14:paraId="0C7C23FA"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42 </w:t>
            </w:r>
          </w:p>
          <w:p w14:paraId="117CDF20"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26 </w:t>
            </w:r>
          </w:p>
          <w:p w14:paraId="7E88960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18 </w:t>
            </w:r>
          </w:p>
          <w:p w14:paraId="58F08EB7"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12 </w:t>
            </w:r>
          </w:p>
          <w:p w14:paraId="1F9FEC35" w14:textId="77777777" w:rsidR="007D175D" w:rsidRPr="007D175D" w:rsidRDefault="007D175D" w:rsidP="007D175D">
            <w:pPr>
              <w:jc w:val="center"/>
              <w:textAlignment w:val="baseline"/>
              <w:rPr>
                <w:rFonts w:asciiTheme="minorHAnsi" w:hAnsiTheme="minorHAnsi" w:cstheme="minorHAnsi"/>
                <w:sz w:val="18"/>
                <w:szCs w:val="18"/>
                <w:lang w:eastAsia="en-AU"/>
              </w:rPr>
            </w:pPr>
            <w:r w:rsidRPr="007D175D">
              <w:rPr>
                <w:rFonts w:asciiTheme="minorHAnsi" w:hAnsiTheme="minorHAnsi" w:cstheme="minorHAnsi"/>
                <w:color w:val="000000"/>
                <w:sz w:val="18"/>
                <w:szCs w:val="18"/>
                <w:lang w:eastAsia="en-AU"/>
              </w:rPr>
              <w:t>2</w:t>
            </w:r>
          </w:p>
        </w:tc>
      </w:tr>
    </w:tbl>
    <w:p w14:paraId="7D7EC413" w14:textId="598F6C04" w:rsidR="007D175D" w:rsidRPr="007D175D" w:rsidRDefault="007D175D" w:rsidP="007D175D">
      <w:pPr>
        <w:spacing w:after="160"/>
        <w:textAlignment w:val="baseline"/>
        <w:rPr>
          <w:rFonts w:ascii="Calibri" w:hAnsi="Calibri" w:cs="Calibri"/>
          <w:sz w:val="16"/>
          <w:szCs w:val="16"/>
          <w:lang w:eastAsia="en-AU"/>
        </w:rPr>
      </w:pPr>
      <w:r w:rsidRPr="007D175D">
        <w:rPr>
          <w:rFonts w:ascii="Calibri" w:hAnsi="Calibri" w:cs="Calibri"/>
          <w:sz w:val="16"/>
          <w:szCs w:val="16"/>
          <w:lang w:eastAsia="en-AU"/>
        </w:rPr>
        <w:t xml:space="preserve">MHO, Mental Health Online; MS, </w:t>
      </w:r>
      <w:proofErr w:type="spellStart"/>
      <w:r w:rsidRPr="007D175D">
        <w:rPr>
          <w:rFonts w:ascii="Calibri" w:hAnsi="Calibri" w:cs="Calibri"/>
          <w:color w:val="000000"/>
          <w:sz w:val="16"/>
          <w:szCs w:val="16"/>
          <w:lang w:eastAsia="en-AU"/>
        </w:rPr>
        <w:t>MindSpot</w:t>
      </w:r>
      <w:proofErr w:type="spellEnd"/>
      <w:r w:rsidRPr="007D175D">
        <w:rPr>
          <w:rFonts w:ascii="Calibri" w:hAnsi="Calibri" w:cs="Calibri"/>
          <w:color w:val="000000"/>
          <w:sz w:val="16"/>
          <w:szCs w:val="16"/>
          <w:lang w:eastAsia="en-AU"/>
        </w:rPr>
        <w:t xml:space="preserve">; </w:t>
      </w:r>
      <w:r w:rsidRPr="007D175D">
        <w:rPr>
          <w:rFonts w:ascii="Calibri" w:hAnsi="Calibri" w:cs="Calibri"/>
          <w:sz w:val="16"/>
          <w:szCs w:val="16"/>
          <w:lang w:eastAsia="en-AU"/>
        </w:rPr>
        <w:t xml:space="preserve">TWU, </w:t>
      </w:r>
      <w:r w:rsidRPr="007D175D">
        <w:rPr>
          <w:rFonts w:ascii="Calibri" w:hAnsi="Calibri" w:cs="Calibri"/>
          <w:color w:val="000000"/>
          <w:sz w:val="16"/>
          <w:szCs w:val="16"/>
          <w:lang w:eastAsia="en-AU"/>
        </w:rPr>
        <w:t>THIS WAY UP</w:t>
      </w:r>
      <w:r w:rsidRPr="007D175D">
        <w:rPr>
          <w:rFonts w:ascii="Calibri" w:hAnsi="Calibri" w:cs="Calibri"/>
          <w:sz w:val="16"/>
          <w:szCs w:val="16"/>
          <w:lang w:eastAsia="en-AU"/>
        </w:rPr>
        <w:t>.</w:t>
      </w:r>
    </w:p>
    <w:p w14:paraId="03350431" w14:textId="77777777" w:rsidR="007D175D" w:rsidRPr="007D175D" w:rsidRDefault="007D175D" w:rsidP="00476909">
      <w:pPr>
        <w:spacing w:after="24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t>Consumers who took part in the interviews were also asked about their satisfaction with DMHSs and their benefits.</w:t>
      </w:r>
    </w:p>
    <w:p w14:paraId="23EE85DF" w14:textId="77777777" w:rsidR="007D175D" w:rsidRPr="007D175D" w:rsidRDefault="007D175D" w:rsidP="00476909">
      <w:pPr>
        <w:spacing w:after="24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t>All consumers interviewed (n=23) indicated that they were satisfied with the care they received and would recommend DMHSs to others. In terms of benefits, two-thirds of respondents (n=16) cited helpful content, and 50% (n=12) of consumers mentioned the self-paced nature of the service. Respondents also mentioned the benefits of accessibility and privacy of supported DMHSs. Interviewees made the following comments:</w:t>
      </w:r>
    </w:p>
    <w:p w14:paraId="10928D17" w14:textId="77777777" w:rsidR="007D175D" w:rsidRPr="007D175D" w:rsidRDefault="007D175D" w:rsidP="00476909">
      <w:pPr>
        <w:spacing w:after="240"/>
        <w:ind w:left="72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t>‘I learnt a lot about myself and at least how to, if I am sometimes feeling very depressed … to channel my energy in better ways to make something.’</w:t>
      </w:r>
    </w:p>
    <w:p w14:paraId="613B6400" w14:textId="77777777" w:rsidR="007D175D" w:rsidRPr="007D175D" w:rsidRDefault="007D175D" w:rsidP="00476909">
      <w:pPr>
        <w:spacing w:after="240"/>
        <w:ind w:left="72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lastRenderedPageBreak/>
        <w:t>I think it’s helped to clarify things for me – what I was feeling – it wasn’t just me, there were plenty of other people around with similar sorts of problems, and … I don’t know confronting them is the right word, perhaps understanding what you’re going through and that you can get help if you can know where to find it – because I spent quite some time – they say you should spend 3 or 4 hours a week doing it because I wasn’t doing anything else I was spending probably twice that just going backwards and forwards over it and just clarifying things in my mind and getting out of crisis mode if you like – you know calming myself down is the way to describe it.</w:t>
      </w:r>
    </w:p>
    <w:p w14:paraId="3E783A21" w14:textId="77777777" w:rsidR="007D175D" w:rsidRPr="007D175D" w:rsidRDefault="007D175D" w:rsidP="00476909">
      <w:pPr>
        <w:spacing w:after="240"/>
        <w:ind w:left="720"/>
        <w:rPr>
          <w:rFonts w:asciiTheme="minorHAnsi" w:eastAsiaTheme="minorHAnsi" w:hAnsiTheme="minorHAnsi" w:cstheme="minorBidi"/>
          <w:sz w:val="22"/>
          <w:szCs w:val="22"/>
          <w:lang w:eastAsia="en-US"/>
        </w:rPr>
      </w:pPr>
      <w:r w:rsidRPr="007D175D">
        <w:rPr>
          <w:rFonts w:asciiTheme="minorHAnsi" w:eastAsiaTheme="minorHAnsi" w:hAnsiTheme="minorHAnsi" w:cstheme="minorBidi"/>
          <w:sz w:val="22"/>
          <w:szCs w:val="22"/>
          <w:lang w:eastAsia="en-US"/>
        </w:rPr>
        <w:t>‘Yeah, yes, I already have recommended it to the others, just because it's like you can access it at your own pace …  it's free, and yeah, it's an excellent service.’</w:t>
      </w:r>
    </w:p>
    <w:p w14:paraId="255ACD92" w14:textId="77777777" w:rsidR="007D175D" w:rsidRPr="007D175D" w:rsidRDefault="007D175D" w:rsidP="00476909">
      <w:pPr>
        <w:spacing w:after="240"/>
        <w:ind w:left="720"/>
        <w:rPr>
          <w:rFonts w:asciiTheme="minorHAnsi" w:eastAsiaTheme="minorHAnsi" w:hAnsiTheme="minorHAnsi" w:cstheme="minorBidi"/>
          <w:sz w:val="22"/>
          <w:szCs w:val="22"/>
          <w:lang w:eastAsia="en-US"/>
        </w:rPr>
      </w:pPr>
      <w:r w:rsidRPr="007D175D">
        <w:rPr>
          <w:rFonts w:asciiTheme="minorHAnsi" w:eastAsiaTheme="minorHAnsi" w:hAnsiTheme="minorHAnsi" w:cstheme="minorBidi"/>
          <w:sz w:val="22"/>
          <w:szCs w:val="22"/>
          <w:lang w:eastAsia="en-US"/>
        </w:rPr>
        <w:t>‘Because it’s confidential and your own and I’m in the country and time – mental health services are pretty thin on the ground in the country areas.’</w:t>
      </w:r>
    </w:p>
    <w:p w14:paraId="278D1BC1" w14:textId="77777777" w:rsidR="007D175D" w:rsidRPr="007D175D" w:rsidRDefault="007D175D" w:rsidP="00476909">
      <w:pPr>
        <w:spacing w:after="240"/>
        <w:rPr>
          <w:rFonts w:asciiTheme="minorHAnsi" w:eastAsiaTheme="minorHAnsi" w:hAnsiTheme="minorHAnsi" w:cstheme="minorBidi"/>
          <w:b/>
          <w:bCs/>
          <w:sz w:val="22"/>
          <w:szCs w:val="22"/>
          <w:lang w:eastAsia="en-US"/>
        </w:rPr>
      </w:pPr>
      <w:r w:rsidRPr="007D175D">
        <w:rPr>
          <w:rFonts w:ascii="Calibri" w:eastAsiaTheme="minorHAnsi" w:hAnsi="Calibri" w:cs="Arial"/>
          <w:sz w:val="21"/>
          <w:szCs w:val="21"/>
          <w:lang w:eastAsia="en-US"/>
        </w:rPr>
        <w:t>Nearly all the consumers (n=22) interviewed also indicated that treatment via DMHSs led to positive changes. These changes were associated with developing insight and understanding of their situation, experiencing improvements in their sleep, mood, and physical health, and improved coping through learning new skills. Some of these sentiments are captured in the following quotes:</w:t>
      </w:r>
    </w:p>
    <w:p w14:paraId="6B6E7A0D" w14:textId="77777777" w:rsidR="007D175D" w:rsidRPr="007D175D" w:rsidRDefault="007D175D" w:rsidP="00476909">
      <w:pPr>
        <w:spacing w:after="240"/>
        <w:ind w:firstLine="72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t>‘There has just been a bit of a deeper understanding, so it has been a positive change.’</w:t>
      </w:r>
    </w:p>
    <w:p w14:paraId="084D34BF" w14:textId="77777777" w:rsidR="007D175D" w:rsidRPr="007D175D" w:rsidRDefault="007D175D" w:rsidP="00476909">
      <w:pPr>
        <w:spacing w:after="240"/>
        <w:ind w:left="72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t>‘I’ve literally got no insomnia anymore, and to me, that’s probably like the best thing in the world, like I’m sleeping now, so it's like wow.’</w:t>
      </w:r>
    </w:p>
    <w:p w14:paraId="14ED25C8" w14:textId="77777777" w:rsidR="007D175D" w:rsidRPr="007D175D" w:rsidRDefault="007D175D" w:rsidP="00476909">
      <w:pPr>
        <w:spacing w:after="24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t xml:space="preserve">Consumer interviewees were asked about any difficulties they experienced with DMHSs and the types of changes that </w:t>
      </w:r>
      <w:r w:rsidRPr="007D175D">
        <w:rPr>
          <w:rFonts w:asciiTheme="minorHAnsi" w:eastAsiaTheme="minorHAnsi" w:hAnsiTheme="minorHAnsi" w:cstheme="minorBidi"/>
          <w:sz w:val="22"/>
          <w:szCs w:val="22"/>
          <w:lang w:eastAsia="en-US"/>
        </w:rPr>
        <w:t>needed to be made to improve their use and functionality</w:t>
      </w:r>
      <w:r w:rsidRPr="007D175D">
        <w:rPr>
          <w:rFonts w:asciiTheme="minorHAnsi" w:eastAsiaTheme="minorHAnsi" w:hAnsiTheme="minorHAnsi" w:cstheme="minorBidi"/>
          <w:sz w:val="21"/>
          <w:szCs w:val="21"/>
          <w:lang w:eastAsia="en-US"/>
        </w:rPr>
        <w:t>. A variety of difficulties associated with using supported DMHSs were raised. One-third (n=8) of respondents mentioned personal motivation as a difficulty. For example, one consumer said:</w:t>
      </w:r>
    </w:p>
    <w:p w14:paraId="68CF2B71" w14:textId="77777777" w:rsidR="007D175D" w:rsidRPr="007D175D" w:rsidRDefault="007D175D" w:rsidP="00476909">
      <w:pPr>
        <w:spacing w:after="240"/>
        <w:ind w:left="72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t>‘The difficulty is maintaining the exercises and making time for it, you know, as you’re getting better.’</w:t>
      </w:r>
    </w:p>
    <w:p w14:paraId="6EC27A52" w14:textId="77777777" w:rsidR="007D175D" w:rsidRPr="007D175D" w:rsidRDefault="007D175D" w:rsidP="00476909">
      <w:pPr>
        <w:spacing w:after="24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t>One-fifth (n=5) of respondents indicated time constraints on the content as a source of the difficulty. For example, one said:</w:t>
      </w:r>
    </w:p>
    <w:p w14:paraId="35DB87B0" w14:textId="77777777" w:rsidR="007D175D" w:rsidRPr="007D175D" w:rsidRDefault="007D175D" w:rsidP="00476909">
      <w:pPr>
        <w:spacing w:after="240"/>
        <w:ind w:left="720" w:firstLine="50"/>
        <w:rPr>
          <w:rFonts w:asciiTheme="minorHAnsi" w:eastAsiaTheme="minorHAnsi" w:hAnsiTheme="minorHAnsi" w:cstheme="minorBidi"/>
          <w:i/>
          <w:iCs/>
          <w:sz w:val="21"/>
          <w:szCs w:val="21"/>
          <w:lang w:eastAsia="en-US"/>
        </w:rPr>
      </w:pPr>
      <w:r w:rsidRPr="007D175D">
        <w:rPr>
          <w:rFonts w:asciiTheme="minorHAnsi" w:eastAsiaTheme="minorHAnsi" w:hAnsiTheme="minorHAnsi" w:cstheme="minorBidi"/>
          <w:sz w:val="21"/>
          <w:szCs w:val="21"/>
          <w:lang w:eastAsia="en-US"/>
        </w:rPr>
        <w:t>I think the only thing I would consider changing would be to allow the psychology support to draw out a little bit longer, so maybe it was fortnightly, so you could have two weeks to do a module</w:t>
      </w:r>
      <w:r w:rsidRPr="007D175D">
        <w:rPr>
          <w:rFonts w:asciiTheme="minorHAnsi" w:eastAsiaTheme="minorHAnsi" w:hAnsiTheme="minorHAnsi" w:cstheme="minorBidi"/>
          <w:i/>
          <w:iCs/>
          <w:sz w:val="21"/>
          <w:szCs w:val="21"/>
          <w:lang w:eastAsia="en-US"/>
        </w:rPr>
        <w:t>.</w:t>
      </w:r>
    </w:p>
    <w:p w14:paraId="41F133FE" w14:textId="77777777" w:rsidR="007D175D" w:rsidRPr="007D175D" w:rsidRDefault="007D175D" w:rsidP="00476909">
      <w:pPr>
        <w:spacing w:after="24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t>Respondents also mentioned technical difficulties, needing more time with a therapist, finding the content not being individualised and being locked out of the modules as difficulties they faced. Close to 30% (n=7) of respondents did not identify any problems.</w:t>
      </w:r>
    </w:p>
    <w:p w14:paraId="5D6474EF" w14:textId="77777777" w:rsidR="007D175D" w:rsidRPr="007D175D" w:rsidRDefault="007D175D" w:rsidP="00476909">
      <w:pPr>
        <w:spacing w:after="24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t>Regarding the types of changes needed to improve DMHSs, most commonly, consumers highlighted that the promotion and awareness of DMHSs need to be boosted. One such consumer said:</w:t>
      </w:r>
    </w:p>
    <w:p w14:paraId="71E6D09C" w14:textId="77777777" w:rsidR="007D175D" w:rsidRPr="007D175D" w:rsidRDefault="007D175D" w:rsidP="00476909">
      <w:pPr>
        <w:spacing w:after="240"/>
        <w:ind w:left="72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t>It took about five years before I received proper help…I think that it should be advertised more because – the other thing as well is that it doesn’t cost money if you don’t go through your GP, if you just had an advertisement, you know how like when you see flyers in the doctor’s office, I feel like you see all these other ones but you never see anything really about mental health or online services aren’t there… You need to know about it.</w:t>
      </w:r>
    </w:p>
    <w:p w14:paraId="3EDDDE11" w14:textId="77777777" w:rsidR="007D175D" w:rsidRPr="007D175D" w:rsidRDefault="007D175D" w:rsidP="00476909">
      <w:pPr>
        <w:spacing w:after="240"/>
        <w:rPr>
          <w:rFonts w:asciiTheme="minorHAnsi" w:eastAsiaTheme="minorHAnsi" w:hAnsiTheme="minorHAnsi" w:cstheme="minorBidi"/>
          <w:sz w:val="21"/>
          <w:szCs w:val="21"/>
          <w:lang w:eastAsia="en-US"/>
        </w:rPr>
      </w:pPr>
      <w:r w:rsidRPr="007D175D">
        <w:rPr>
          <w:rFonts w:asciiTheme="minorHAnsi" w:eastAsiaTheme="minorHAnsi" w:hAnsiTheme="minorHAnsi" w:cstheme="minorBidi"/>
          <w:sz w:val="21"/>
          <w:szCs w:val="21"/>
          <w:lang w:eastAsia="en-US"/>
        </w:rPr>
        <w:t>In line with the difficulties they experienced, a minority of consumers indicated that the programs could be simplified, easier to navigate, have more interactive activities, utilise innovative technologies (e.g., apps) and be supported by a clinician or therapist telehealth. One consumer also highlighted that funding DMHSs is an ongoing need.</w:t>
      </w:r>
    </w:p>
    <w:p w14:paraId="609D1382" w14:textId="77777777" w:rsidR="007D175D" w:rsidRPr="007D175D" w:rsidRDefault="007D175D" w:rsidP="00476909">
      <w:pPr>
        <w:spacing w:after="240"/>
        <w:rPr>
          <w:rFonts w:asciiTheme="minorHAnsi" w:eastAsiaTheme="minorHAnsi" w:hAnsiTheme="minorHAnsi" w:cstheme="minorBidi"/>
          <w:color w:val="000000"/>
          <w:sz w:val="21"/>
          <w:szCs w:val="21"/>
          <w:lang w:eastAsia="en-US"/>
        </w:rPr>
      </w:pPr>
      <w:r w:rsidRPr="007D175D">
        <w:rPr>
          <w:rFonts w:asciiTheme="minorHAnsi" w:eastAsiaTheme="minorHAnsi" w:hAnsiTheme="minorHAnsi" w:cstheme="minorBidi"/>
          <w:sz w:val="21"/>
          <w:szCs w:val="21"/>
          <w:lang w:eastAsia="en-US"/>
        </w:rPr>
        <w:lastRenderedPageBreak/>
        <w:t xml:space="preserve">Finally, consumers who were interviewed were provided with the opportunity to make additional comments about DMHSs, and 13 consumers took up the opportunity. Consumers tended to reiterate and emphasise the benefits of, and their satisfaction with, supported DMHSs. </w:t>
      </w:r>
      <w:r w:rsidRPr="007D175D">
        <w:rPr>
          <w:rFonts w:asciiTheme="minorHAnsi" w:eastAsiaTheme="minorHAnsi" w:hAnsiTheme="minorHAnsi" w:cstheme="minorBidi"/>
          <w:color w:val="000000"/>
          <w:sz w:val="21"/>
          <w:szCs w:val="21"/>
          <w:lang w:eastAsia="en-US"/>
        </w:rPr>
        <w:t>Typical comments included:</w:t>
      </w:r>
    </w:p>
    <w:p w14:paraId="05023A32" w14:textId="77777777" w:rsidR="007D175D" w:rsidRPr="007D175D" w:rsidRDefault="007D175D" w:rsidP="00476909">
      <w:pPr>
        <w:spacing w:after="240"/>
        <w:ind w:left="720"/>
        <w:rPr>
          <w:rFonts w:ascii="Calibri" w:eastAsiaTheme="minorHAnsi" w:hAnsi="Calibri" w:cs="Calibri"/>
          <w:color w:val="000000" w:themeColor="text1"/>
          <w:sz w:val="21"/>
          <w:szCs w:val="21"/>
          <w:shd w:val="clear" w:color="auto" w:fill="FFFFFF"/>
          <w:lang w:eastAsia="en-US"/>
        </w:rPr>
      </w:pPr>
      <w:r w:rsidRPr="007D175D">
        <w:rPr>
          <w:rFonts w:ascii="Calibri" w:eastAsiaTheme="minorHAnsi" w:hAnsi="Calibri" w:cs="Calibri"/>
          <w:color w:val="000000"/>
          <w:sz w:val="21"/>
          <w:szCs w:val="21"/>
          <w:shd w:val="clear" w:color="auto" w:fill="FFFFFF"/>
          <w:lang w:eastAsia="en-US"/>
        </w:rPr>
        <w:t xml:space="preserve">Digital mental health services drastically increase accessibility for people not necessarily in rural or remote settings, but even people who live in metro settings because of the chronic </w:t>
      </w:r>
      <w:r w:rsidRPr="007D175D">
        <w:rPr>
          <w:rFonts w:ascii="Calibri" w:eastAsiaTheme="minorHAnsi" w:hAnsi="Calibri" w:cs="Calibri"/>
          <w:color w:val="000000" w:themeColor="text1"/>
          <w:sz w:val="21"/>
          <w:szCs w:val="21"/>
          <w:shd w:val="clear" w:color="auto" w:fill="FFFFFF"/>
          <w:lang w:eastAsia="en-US"/>
        </w:rPr>
        <w:t>under-funding of mental health services and regular pain services in Australia, and I think that digital online mental health services are an incredibly cost-effective way to increase accessibility for all people.</w:t>
      </w:r>
    </w:p>
    <w:p w14:paraId="417F4D15" w14:textId="77777777" w:rsidR="007D175D" w:rsidRPr="007D175D" w:rsidRDefault="007D175D" w:rsidP="00476909">
      <w:pPr>
        <w:spacing w:after="240"/>
        <w:ind w:left="720"/>
        <w:rPr>
          <w:rFonts w:ascii="Calibri" w:eastAsiaTheme="minorHAnsi" w:hAnsi="Calibri" w:cs="Calibri"/>
          <w:color w:val="000000" w:themeColor="text1"/>
          <w:sz w:val="21"/>
          <w:szCs w:val="21"/>
          <w:shd w:val="clear" w:color="auto" w:fill="FFFFFF"/>
          <w:lang w:eastAsia="en-US"/>
        </w:rPr>
      </w:pPr>
      <w:r w:rsidRPr="007D175D">
        <w:rPr>
          <w:rFonts w:ascii="Calibri" w:eastAsiaTheme="minorHAnsi" w:hAnsi="Calibri" w:cs="Calibri"/>
          <w:color w:val="000000" w:themeColor="text1"/>
          <w:sz w:val="21"/>
          <w:szCs w:val="21"/>
          <w:shd w:val="clear" w:color="auto" w:fill="FFFFFF"/>
          <w:lang w:eastAsia="en-US"/>
        </w:rPr>
        <w:t>‘Just that it's an amazing program, and I’m so glad I did it, and one of the best things I’ve ever done.’</w:t>
      </w:r>
    </w:p>
    <w:p w14:paraId="4BBCEBF4" w14:textId="77777777" w:rsidR="007D175D" w:rsidRPr="007D175D" w:rsidRDefault="007D175D" w:rsidP="00476909">
      <w:pPr>
        <w:spacing w:after="240"/>
        <w:ind w:left="720"/>
        <w:rPr>
          <w:rFonts w:ascii="Calibri" w:eastAsiaTheme="minorHAnsi" w:hAnsi="Calibri" w:cs="Calibri"/>
          <w:b/>
          <w:bCs/>
          <w:color w:val="000000"/>
          <w:sz w:val="21"/>
          <w:szCs w:val="21"/>
          <w:shd w:val="clear" w:color="auto" w:fill="FFFFFF"/>
          <w:lang w:eastAsia="en-US"/>
        </w:rPr>
      </w:pPr>
      <w:r w:rsidRPr="007D175D">
        <w:rPr>
          <w:rFonts w:ascii="Calibri" w:eastAsiaTheme="minorHAnsi" w:hAnsi="Calibri" w:cs="Calibri"/>
          <w:color w:val="000000" w:themeColor="text1"/>
          <w:sz w:val="21"/>
          <w:szCs w:val="21"/>
          <w:shd w:val="clear" w:color="auto" w:fill="FFFFFF"/>
          <w:lang w:eastAsia="en-US"/>
        </w:rPr>
        <w:t>I j</w:t>
      </w:r>
      <w:r w:rsidRPr="007D175D">
        <w:rPr>
          <w:rFonts w:ascii="Calibri" w:eastAsiaTheme="minorHAnsi" w:hAnsi="Calibri" w:cs="Calibri"/>
          <w:color w:val="000000"/>
          <w:sz w:val="21"/>
          <w:szCs w:val="21"/>
          <w:shd w:val="clear" w:color="auto" w:fill="FFFFFF"/>
          <w:lang w:eastAsia="en-US"/>
        </w:rPr>
        <w:t>ust really want to reiterate how much of a benefit this was for me and just about how inaccessible other services were and that this really came at a moment where I was having a lot of difficulties trying to find a service, and I had a real need for a service so just being able to get access to something like this when even my work couldn’t find a service to have me access I think you know really it was almost lifesaving in a way to be able to have access to something like this.</w:t>
      </w:r>
    </w:p>
    <w:p w14:paraId="29B4DADD" w14:textId="77777777" w:rsidR="007D175D" w:rsidRPr="007D175D" w:rsidRDefault="007D175D" w:rsidP="007276B6">
      <w:pPr>
        <w:pStyle w:val="Heading2"/>
        <w:rPr>
          <w:rFonts w:asciiTheme="minorHAnsi" w:eastAsiaTheme="minorHAnsi" w:hAnsiTheme="minorHAnsi" w:cstheme="minorBidi"/>
          <w:lang w:eastAsia="en-US"/>
        </w:rPr>
      </w:pPr>
      <w:bookmarkStart w:id="151" w:name="_Toc108784859"/>
      <w:r w:rsidRPr="007276B6">
        <w:t>Summary</w:t>
      </w:r>
      <w:bookmarkEnd w:id="151"/>
    </w:p>
    <w:p w14:paraId="054F06EA" w14:textId="2280F542" w:rsidR="007D175D" w:rsidRPr="00221189" w:rsidRDefault="00147E5B" w:rsidP="00476909">
      <w:pPr>
        <w:spacing w:after="240"/>
        <w:rPr>
          <w:rFonts w:asciiTheme="minorHAnsi" w:eastAsiaTheme="minorHAnsi" w:hAnsiTheme="minorHAnsi" w:cstheme="minorBidi"/>
          <w:sz w:val="21"/>
          <w:szCs w:val="21"/>
          <w:lang w:eastAsia="en-US"/>
        </w:rPr>
      </w:pPr>
      <w:r>
        <w:rPr>
          <w:rFonts w:asciiTheme="minorHAnsi" w:eastAsiaTheme="minorHAnsi" w:hAnsiTheme="minorHAnsi" w:cstheme="minorBidi"/>
          <w:sz w:val="21"/>
          <w:szCs w:val="21"/>
          <w:lang w:eastAsia="en-US"/>
        </w:rPr>
        <w:t>Overall, c</w:t>
      </w:r>
      <w:r w:rsidR="007D175D" w:rsidRPr="007D175D">
        <w:rPr>
          <w:rFonts w:asciiTheme="minorHAnsi" w:eastAsiaTheme="minorHAnsi" w:hAnsiTheme="minorHAnsi" w:cstheme="minorBidi"/>
          <w:sz w:val="21"/>
          <w:szCs w:val="21"/>
          <w:lang w:eastAsia="en-US"/>
        </w:rPr>
        <w:t xml:space="preserve">onsumers were very positive about their experience with using DMHSs. They appreciated the accessibility, convenience, self-paced nature, therapeutic </w:t>
      </w:r>
      <w:proofErr w:type="gramStart"/>
      <w:r w:rsidR="007D175D" w:rsidRPr="007D175D">
        <w:rPr>
          <w:rFonts w:asciiTheme="minorHAnsi" w:eastAsiaTheme="minorHAnsi" w:hAnsiTheme="minorHAnsi" w:cstheme="minorBidi"/>
          <w:sz w:val="21"/>
          <w:szCs w:val="21"/>
          <w:lang w:eastAsia="en-US"/>
        </w:rPr>
        <w:t>support</w:t>
      </w:r>
      <w:proofErr w:type="gramEnd"/>
      <w:r w:rsidR="007D175D" w:rsidRPr="007D175D">
        <w:rPr>
          <w:rFonts w:asciiTheme="minorHAnsi" w:eastAsiaTheme="minorHAnsi" w:hAnsiTheme="minorHAnsi" w:cstheme="minorBidi"/>
          <w:sz w:val="21"/>
          <w:szCs w:val="21"/>
          <w:lang w:eastAsia="en-US"/>
        </w:rPr>
        <w:t xml:space="preserve"> and guidance. Most found the services user-friendly, easy to use and navigate and were satisfied with their experience. A small number of consumers experienced difficulties with the technology and internet connections. Most consumers would recommend services to their peers and recommend that DMHSs be better promoted to improve awareness.</w:t>
      </w:r>
    </w:p>
    <w:p w14:paraId="6422E05A" w14:textId="5BA5B287" w:rsidR="00A10317" w:rsidRDefault="006C16BE" w:rsidP="00A10317">
      <w:pPr>
        <w:pStyle w:val="Heading1"/>
      </w:pPr>
      <w:r>
        <w:br w:type="page"/>
      </w:r>
    </w:p>
    <w:p w14:paraId="1777B043" w14:textId="7C79F3C6" w:rsidR="00564DF2" w:rsidRPr="00E257CD" w:rsidRDefault="0049567F" w:rsidP="00600F7C">
      <w:pPr>
        <w:pStyle w:val="Heading1"/>
        <w:numPr>
          <w:ilvl w:val="0"/>
          <w:numId w:val="176"/>
        </w:numPr>
        <w:rPr>
          <w:rFonts w:ascii="Calibri" w:hAnsi="Calibri" w:cs="Arial"/>
          <w:bCs/>
          <w:iCs/>
          <w:vanish/>
          <w:sz w:val="28"/>
          <w:szCs w:val="28"/>
        </w:rPr>
      </w:pPr>
      <w:bookmarkStart w:id="152" w:name="_Toc108784860"/>
      <w:r w:rsidRPr="00872FA4">
        <w:lastRenderedPageBreak/>
        <w:t>Stakeholder experiences: Providers</w:t>
      </w:r>
      <w:r w:rsidR="001C5C46" w:rsidRPr="00872FA4">
        <w:t xml:space="preserve"> of DMHS</w:t>
      </w:r>
      <w:r w:rsidR="009B2370">
        <w:t>s</w:t>
      </w:r>
      <w:bookmarkEnd w:id="152"/>
    </w:p>
    <w:p w14:paraId="65C9AFF8" w14:textId="77777777" w:rsidR="005A5CDE" w:rsidRDefault="005A5CDE" w:rsidP="005A16C4">
      <w:pPr>
        <w:pStyle w:val="Heading2"/>
        <w:numPr>
          <w:ilvl w:val="1"/>
          <w:numId w:val="165"/>
        </w:numPr>
      </w:pPr>
      <w:bookmarkStart w:id="153" w:name="_Toc108607750"/>
      <w:bookmarkStart w:id="154" w:name="_Toc108678668"/>
      <w:bookmarkStart w:id="155" w:name="_Toc108678969"/>
      <w:bookmarkStart w:id="156" w:name="_Toc108679084"/>
      <w:bookmarkStart w:id="157" w:name="_Toc108689962"/>
      <w:bookmarkStart w:id="158" w:name="_Toc108782951"/>
      <w:bookmarkStart w:id="159" w:name="_Toc108784861"/>
      <w:bookmarkEnd w:id="153"/>
      <w:bookmarkEnd w:id="154"/>
      <w:bookmarkEnd w:id="155"/>
      <w:bookmarkEnd w:id="156"/>
      <w:bookmarkEnd w:id="157"/>
      <w:bookmarkEnd w:id="158"/>
      <w:bookmarkEnd w:id="159"/>
    </w:p>
    <w:p w14:paraId="5F241B82" w14:textId="69FB3914" w:rsidR="00BD530B" w:rsidRPr="00E257CD" w:rsidRDefault="00BD530B" w:rsidP="00BD3A11">
      <w:pPr>
        <w:pStyle w:val="Heading2"/>
        <w:numPr>
          <w:ilvl w:val="1"/>
          <w:numId w:val="177"/>
        </w:numPr>
      </w:pPr>
      <w:bookmarkStart w:id="160" w:name="_Toc108784862"/>
      <w:r w:rsidRPr="00E257CD">
        <w:t>Our approach</w:t>
      </w:r>
      <w:bookmarkEnd w:id="160"/>
    </w:p>
    <w:p w14:paraId="07404530" w14:textId="77777777" w:rsidR="00BD530B" w:rsidRPr="00476909" w:rsidRDefault="00BD530B" w:rsidP="00476909">
      <w:pPr>
        <w:spacing w:after="120"/>
        <w:textAlignment w:val="baseline"/>
        <w:rPr>
          <w:rFonts w:asciiTheme="minorHAnsi" w:hAnsiTheme="minorHAnsi" w:cstheme="minorHAnsi"/>
          <w:sz w:val="21"/>
          <w:szCs w:val="21"/>
          <w:lang w:eastAsia="en-AU"/>
        </w:rPr>
      </w:pPr>
      <w:r w:rsidRPr="00476909">
        <w:rPr>
          <w:rFonts w:asciiTheme="minorHAnsi" w:hAnsiTheme="minorHAnsi" w:cstheme="minorHAnsi"/>
          <w:color w:val="000000"/>
          <w:sz w:val="21"/>
          <w:szCs w:val="21"/>
          <w:lang w:eastAsia="en-AU"/>
        </w:rPr>
        <w:t>We consulted with providers delivering DMHSs via purpose-designed online surveys and interviews from December 2021 to March 2022. The survey took approximately 15 minutes to complete. We asked closed and open-ended questions and elicited demographic information in the survey. At the end of the survey, providers were also invited to expand on their thoughts through a telephone interview. DMHSs acted as intermediaries by recruiting providers on our behalf. Appendix B provides more details about our method for consulting with DMHS providers and the survey and interview questions we asked them are in Appendix E.</w:t>
      </w:r>
    </w:p>
    <w:p w14:paraId="47AAF8AF" w14:textId="77777777" w:rsidR="00BD530B" w:rsidRPr="003F6A26" w:rsidRDefault="00BD530B" w:rsidP="00BD3A11">
      <w:pPr>
        <w:pStyle w:val="Heading2"/>
        <w:rPr>
          <w:sz w:val="18"/>
          <w:szCs w:val="18"/>
          <w:lang w:eastAsia="en-AU"/>
        </w:rPr>
      </w:pPr>
      <w:bookmarkStart w:id="161" w:name="_Toc108784863"/>
      <w:r w:rsidRPr="00BD3A11">
        <w:t>Characteristics</w:t>
      </w:r>
      <w:r w:rsidRPr="00476909">
        <w:rPr>
          <w:lang w:val="en-GB" w:eastAsia="en-AU"/>
        </w:rPr>
        <w:t xml:space="preserve"> of DMHS </w:t>
      </w:r>
      <w:r w:rsidRPr="003F6A26">
        <w:rPr>
          <w:lang w:val="en-GB" w:eastAsia="en-AU"/>
        </w:rPr>
        <w:t>provider survey respondents</w:t>
      </w:r>
      <w:bookmarkEnd w:id="161"/>
    </w:p>
    <w:p w14:paraId="05133EE6" w14:textId="6E5C9060" w:rsidR="00BD530B" w:rsidRPr="00476909" w:rsidRDefault="00BD530B" w:rsidP="00476909">
      <w:pPr>
        <w:spacing w:after="120"/>
        <w:textAlignment w:val="baseline"/>
        <w:rPr>
          <w:rFonts w:asciiTheme="minorHAnsi" w:hAnsiTheme="minorHAnsi" w:cstheme="minorHAnsi"/>
          <w:sz w:val="21"/>
          <w:szCs w:val="21"/>
          <w:lang w:eastAsia="en-AU"/>
        </w:rPr>
      </w:pPr>
      <w:r w:rsidRPr="003F6A26">
        <w:rPr>
          <w:rFonts w:asciiTheme="minorHAnsi" w:hAnsiTheme="minorHAnsi" w:cstheme="minorHAnsi"/>
          <w:sz w:val="21"/>
          <w:szCs w:val="21"/>
          <w:lang w:eastAsia="en-AU"/>
        </w:rPr>
        <w:t xml:space="preserve">In total, 30 providers completed the survey. Table </w:t>
      </w:r>
      <w:r w:rsidR="003F6A26" w:rsidRPr="003F6A26">
        <w:rPr>
          <w:rFonts w:asciiTheme="minorHAnsi" w:hAnsiTheme="minorHAnsi" w:cstheme="minorHAnsi"/>
          <w:sz w:val="21"/>
          <w:szCs w:val="21"/>
          <w:lang w:eastAsia="en-AU"/>
        </w:rPr>
        <w:t>31</w:t>
      </w:r>
      <w:r w:rsidRPr="003F6A26">
        <w:rPr>
          <w:rFonts w:asciiTheme="minorHAnsi" w:hAnsiTheme="minorHAnsi" w:cstheme="minorHAnsi"/>
          <w:sz w:val="21"/>
          <w:szCs w:val="21"/>
          <w:lang w:eastAsia="en-AU"/>
        </w:rPr>
        <w:t xml:space="preserve"> describes</w:t>
      </w:r>
      <w:r w:rsidRPr="00476909">
        <w:rPr>
          <w:rFonts w:asciiTheme="minorHAnsi" w:hAnsiTheme="minorHAnsi" w:cstheme="minorHAnsi"/>
          <w:sz w:val="21"/>
          <w:szCs w:val="21"/>
          <w:lang w:eastAsia="en-AU"/>
        </w:rPr>
        <w:t xml:space="preserve"> their demographic and professional characteristics by DMHS and overall.</w:t>
      </w:r>
    </w:p>
    <w:p w14:paraId="4E60B18E" w14:textId="77777777" w:rsidR="00BD530B" w:rsidRPr="00476909" w:rsidRDefault="00BD530B" w:rsidP="00476909">
      <w:pPr>
        <w:spacing w:after="120"/>
        <w:textAlignment w:val="baseline"/>
        <w:rPr>
          <w:rFonts w:asciiTheme="minorHAnsi" w:hAnsiTheme="minorHAnsi" w:cstheme="minorHAnsi"/>
          <w:sz w:val="21"/>
          <w:szCs w:val="21"/>
          <w:lang w:eastAsia="en-AU"/>
        </w:rPr>
      </w:pPr>
      <w:r w:rsidRPr="00476909">
        <w:rPr>
          <w:rFonts w:asciiTheme="minorHAnsi" w:hAnsiTheme="minorHAnsi" w:cstheme="minorHAnsi"/>
          <w:sz w:val="21"/>
          <w:szCs w:val="21"/>
          <w:lang w:eastAsia="en-AU"/>
        </w:rPr>
        <w:t xml:space="preserve">Most providers across DMHSs were female (83%), with only two males (7%) from the THIS WAY UP completing the survey. Generally, providers across services were 39 years or younger (73%). One provider (3%) from </w:t>
      </w:r>
      <w:proofErr w:type="spellStart"/>
      <w:r w:rsidRPr="00476909">
        <w:rPr>
          <w:rFonts w:asciiTheme="minorHAnsi" w:hAnsiTheme="minorHAnsi" w:cstheme="minorHAnsi"/>
          <w:sz w:val="21"/>
          <w:szCs w:val="21"/>
          <w:lang w:eastAsia="en-AU"/>
        </w:rPr>
        <w:t>MindSpot</w:t>
      </w:r>
      <w:proofErr w:type="spellEnd"/>
      <w:r w:rsidRPr="00476909">
        <w:rPr>
          <w:rFonts w:asciiTheme="minorHAnsi" w:hAnsiTheme="minorHAnsi" w:cstheme="minorHAnsi"/>
          <w:sz w:val="21"/>
          <w:szCs w:val="21"/>
          <w:lang w:eastAsia="en-AU"/>
        </w:rPr>
        <w:t xml:space="preserve"> was </w:t>
      </w:r>
      <w:r w:rsidRPr="00476909">
        <w:rPr>
          <w:rFonts w:asciiTheme="minorHAnsi" w:hAnsiTheme="minorHAnsi" w:cstheme="minorHAnsi"/>
          <w:color w:val="000000"/>
          <w:sz w:val="21"/>
          <w:szCs w:val="21"/>
          <w:lang w:eastAsia="en-AU"/>
        </w:rPr>
        <w:t>Aboriginal.</w:t>
      </w:r>
    </w:p>
    <w:p w14:paraId="6E8870AC" w14:textId="77777777" w:rsidR="00BD530B" w:rsidRPr="008756F5" w:rsidRDefault="00BD530B" w:rsidP="00476909">
      <w:pPr>
        <w:spacing w:after="120"/>
        <w:textAlignment w:val="baseline"/>
        <w:rPr>
          <w:rFonts w:asciiTheme="minorHAnsi" w:hAnsiTheme="minorHAnsi" w:cstheme="minorHAnsi"/>
          <w:sz w:val="21"/>
          <w:szCs w:val="21"/>
          <w:lang w:eastAsia="en-AU"/>
        </w:rPr>
      </w:pPr>
      <w:r w:rsidRPr="00476909">
        <w:rPr>
          <w:rFonts w:asciiTheme="minorHAnsi" w:hAnsiTheme="minorHAnsi" w:cstheme="minorHAnsi"/>
          <w:color w:val="000000"/>
          <w:sz w:val="21"/>
          <w:szCs w:val="21"/>
          <w:lang w:eastAsia="en-AU"/>
        </w:rPr>
        <w:t xml:space="preserve">Unsurprisingly, providers who delivered services through Mental Health Online (63%) were from Victoria, whereas most </w:t>
      </w:r>
      <w:proofErr w:type="spellStart"/>
      <w:r w:rsidRPr="00476909">
        <w:rPr>
          <w:rFonts w:asciiTheme="minorHAnsi" w:hAnsiTheme="minorHAnsi" w:cstheme="minorHAnsi"/>
          <w:color w:val="000000"/>
          <w:sz w:val="21"/>
          <w:szCs w:val="21"/>
          <w:lang w:eastAsia="en-AU"/>
        </w:rPr>
        <w:t>MindSpot</w:t>
      </w:r>
      <w:proofErr w:type="spellEnd"/>
      <w:r w:rsidRPr="00476909">
        <w:rPr>
          <w:rFonts w:asciiTheme="minorHAnsi" w:hAnsiTheme="minorHAnsi" w:cstheme="minorHAnsi"/>
          <w:color w:val="000000"/>
          <w:sz w:val="21"/>
          <w:szCs w:val="21"/>
          <w:lang w:eastAsia="en-AU"/>
        </w:rPr>
        <w:t xml:space="preserve"> (71%) and THIS WAY UP (67%) providers were from NSW. In terms of profession, most </w:t>
      </w:r>
      <w:proofErr w:type="spellStart"/>
      <w:r w:rsidRPr="00476909">
        <w:rPr>
          <w:rFonts w:asciiTheme="minorHAnsi" w:hAnsiTheme="minorHAnsi" w:cstheme="minorHAnsi"/>
          <w:color w:val="000000"/>
          <w:sz w:val="21"/>
          <w:szCs w:val="21"/>
          <w:lang w:eastAsia="en-AU"/>
        </w:rPr>
        <w:t>MindSpot</w:t>
      </w:r>
      <w:proofErr w:type="spellEnd"/>
      <w:r w:rsidRPr="00476909">
        <w:rPr>
          <w:rFonts w:asciiTheme="minorHAnsi" w:hAnsiTheme="minorHAnsi" w:cstheme="minorHAnsi"/>
          <w:color w:val="000000"/>
          <w:sz w:val="21"/>
          <w:szCs w:val="21"/>
          <w:lang w:eastAsia="en-AU"/>
        </w:rPr>
        <w:t xml:space="preserve"> (86%) and THIS WAY UP (73%) providers were psychologists, whereas Mental Health Online providers were provisional psychologists (75%). Years of experience varied across services. As expected, given their professions and stage of training, </w:t>
      </w:r>
      <w:proofErr w:type="gramStart"/>
      <w:r w:rsidRPr="00476909">
        <w:rPr>
          <w:rFonts w:asciiTheme="minorHAnsi" w:hAnsiTheme="minorHAnsi" w:cstheme="minorHAnsi"/>
          <w:color w:val="000000"/>
          <w:sz w:val="21"/>
          <w:szCs w:val="21"/>
          <w:lang w:eastAsia="en-AU"/>
        </w:rPr>
        <w:t>the majority of</w:t>
      </w:r>
      <w:proofErr w:type="gramEnd"/>
      <w:r w:rsidRPr="00476909">
        <w:rPr>
          <w:rFonts w:asciiTheme="minorHAnsi" w:hAnsiTheme="minorHAnsi" w:cstheme="minorHAnsi"/>
          <w:color w:val="000000"/>
          <w:sz w:val="21"/>
          <w:szCs w:val="21"/>
          <w:lang w:eastAsia="en-AU"/>
        </w:rPr>
        <w:t xml:space="preserve"> Mental Health Online providers had five years or less experience, whereas 85% of </w:t>
      </w:r>
      <w:proofErr w:type="spellStart"/>
      <w:r w:rsidRPr="00476909">
        <w:rPr>
          <w:rFonts w:asciiTheme="minorHAnsi" w:hAnsiTheme="minorHAnsi" w:cstheme="minorHAnsi"/>
          <w:sz w:val="21"/>
          <w:szCs w:val="21"/>
          <w:lang w:eastAsia="en-AU"/>
        </w:rPr>
        <w:t>MindSpot</w:t>
      </w:r>
      <w:proofErr w:type="spellEnd"/>
      <w:r w:rsidRPr="00476909">
        <w:rPr>
          <w:rFonts w:asciiTheme="minorHAnsi" w:hAnsiTheme="minorHAnsi" w:cstheme="minorHAnsi"/>
          <w:color w:val="000000"/>
          <w:sz w:val="21"/>
          <w:szCs w:val="21"/>
          <w:lang w:eastAsia="en-AU"/>
        </w:rPr>
        <w:t xml:space="preserve"> and 47% of THIS WAY UP providers had between 6 and 20 years of experience.</w:t>
      </w:r>
    </w:p>
    <w:p w14:paraId="03575965" w14:textId="0C26B633" w:rsidR="00F65D52" w:rsidRDefault="00BD530B" w:rsidP="00476909">
      <w:pPr>
        <w:spacing w:after="120"/>
        <w:textAlignment w:val="baseline"/>
        <w:rPr>
          <w:rFonts w:asciiTheme="minorHAnsi" w:hAnsiTheme="minorHAnsi" w:cstheme="minorHAnsi"/>
          <w:sz w:val="21"/>
          <w:szCs w:val="21"/>
          <w:lang w:eastAsia="en-AU"/>
        </w:rPr>
      </w:pPr>
      <w:r w:rsidRPr="55EF0B07">
        <w:rPr>
          <w:rFonts w:asciiTheme="minorHAnsi" w:hAnsiTheme="minorHAnsi" w:cstheme="minorBidi"/>
          <w:color w:val="000000" w:themeColor="text1"/>
          <w:sz w:val="21"/>
          <w:szCs w:val="21"/>
          <w:lang w:eastAsia="en-AU"/>
        </w:rPr>
        <w:t xml:space="preserve">Among all 30 providers, it was most common to support DMHS consumers by providing cognitive behaviour therapy (97%) and psychoeducation (90%). More providers from </w:t>
      </w:r>
      <w:proofErr w:type="spellStart"/>
      <w:r w:rsidRPr="008756F5">
        <w:rPr>
          <w:rFonts w:asciiTheme="minorHAnsi" w:hAnsiTheme="minorHAnsi" w:cstheme="minorHAnsi"/>
          <w:sz w:val="21"/>
          <w:szCs w:val="21"/>
          <w:lang w:eastAsia="en-AU"/>
        </w:rPr>
        <w:t>MindSpot</w:t>
      </w:r>
      <w:proofErr w:type="spellEnd"/>
      <w:r w:rsidRPr="55EF0B07">
        <w:rPr>
          <w:rFonts w:asciiTheme="minorHAnsi" w:hAnsiTheme="minorHAnsi" w:cstheme="minorBidi"/>
          <w:color w:val="000000" w:themeColor="text1"/>
          <w:sz w:val="21"/>
          <w:szCs w:val="21"/>
          <w:lang w:eastAsia="en-AU"/>
        </w:rPr>
        <w:t xml:space="preserve"> (86%) and THIS </w:t>
      </w:r>
      <w:r w:rsidRPr="008756F5">
        <w:rPr>
          <w:rFonts w:asciiTheme="minorHAnsi" w:hAnsiTheme="minorHAnsi" w:cstheme="minorHAnsi"/>
          <w:sz w:val="21"/>
          <w:szCs w:val="21"/>
          <w:lang w:eastAsia="en-AU"/>
        </w:rPr>
        <w:t>WAY UP (80%) conducted risk assessments compared to Mental Health Online (50%).</w:t>
      </w:r>
    </w:p>
    <w:p w14:paraId="44287CD2" w14:textId="77777777" w:rsidR="00F65D52" w:rsidRDefault="00F65D52">
      <w:pPr>
        <w:spacing w:after="200"/>
        <w:rPr>
          <w:rFonts w:asciiTheme="minorHAnsi" w:hAnsiTheme="minorHAnsi" w:cstheme="minorHAnsi"/>
          <w:sz w:val="21"/>
          <w:szCs w:val="21"/>
          <w:lang w:eastAsia="en-AU"/>
        </w:rPr>
      </w:pPr>
      <w:r>
        <w:rPr>
          <w:rFonts w:asciiTheme="minorHAnsi" w:hAnsiTheme="minorHAnsi" w:cstheme="minorHAnsi"/>
          <w:sz w:val="21"/>
          <w:szCs w:val="21"/>
          <w:lang w:eastAsia="en-AU"/>
        </w:rPr>
        <w:br w:type="page"/>
      </w:r>
    </w:p>
    <w:p w14:paraId="490D222D" w14:textId="43D91E82" w:rsidR="00BD530B" w:rsidRPr="008756F5" w:rsidRDefault="00BD530B" w:rsidP="00BD530B">
      <w:pPr>
        <w:textAlignment w:val="baseline"/>
        <w:rPr>
          <w:rFonts w:asciiTheme="minorHAnsi" w:hAnsiTheme="minorHAnsi" w:cstheme="minorHAnsi"/>
          <w:b/>
          <w:bCs/>
          <w:color w:val="000000"/>
          <w:sz w:val="18"/>
          <w:szCs w:val="18"/>
          <w:lang w:eastAsia="en-AU"/>
        </w:rPr>
      </w:pPr>
      <w:r w:rsidRPr="008756F5">
        <w:rPr>
          <w:rFonts w:asciiTheme="minorHAnsi" w:hAnsiTheme="minorHAnsi" w:cstheme="minorHAnsi"/>
          <w:b/>
          <w:bCs/>
          <w:color w:val="000000"/>
          <w:sz w:val="21"/>
          <w:szCs w:val="21"/>
          <w:lang w:val="en-US" w:eastAsia="en-AU"/>
        </w:rPr>
        <w:lastRenderedPageBreak/>
        <w:t xml:space="preserve">Table </w:t>
      </w:r>
      <w:r w:rsidR="003F6A26">
        <w:rPr>
          <w:rFonts w:asciiTheme="minorHAnsi" w:hAnsiTheme="minorHAnsi" w:cstheme="minorHAnsi"/>
          <w:b/>
          <w:bCs/>
          <w:color w:val="000000"/>
          <w:sz w:val="21"/>
          <w:szCs w:val="21"/>
          <w:lang w:val="en-US" w:eastAsia="en-AU"/>
        </w:rPr>
        <w:t>31</w:t>
      </w:r>
      <w:r w:rsidRPr="008756F5">
        <w:rPr>
          <w:rFonts w:asciiTheme="minorHAnsi" w:hAnsiTheme="minorHAnsi" w:cstheme="minorHAnsi"/>
          <w:b/>
          <w:bCs/>
          <w:color w:val="000000"/>
          <w:sz w:val="21"/>
          <w:szCs w:val="21"/>
          <w:lang w:val="en-US" w:eastAsia="en-AU"/>
        </w:rPr>
        <w:t>. Provider characteristics by DMHS (N = 30)</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 Provider characteristics by DMHS "/>
        <w:tblDescription w:val="Table describes the provider survey respondents' characteristics "/>
      </w:tblPr>
      <w:tblGrid>
        <w:gridCol w:w="3555"/>
        <w:gridCol w:w="765"/>
        <w:gridCol w:w="765"/>
        <w:gridCol w:w="765"/>
        <w:gridCol w:w="765"/>
        <w:gridCol w:w="765"/>
        <w:gridCol w:w="765"/>
        <w:gridCol w:w="765"/>
        <w:gridCol w:w="765"/>
      </w:tblGrid>
      <w:tr w:rsidR="00BD530B" w:rsidRPr="008756F5" w14:paraId="63C152D3" w14:textId="77777777" w:rsidTr="00A56C43">
        <w:trPr>
          <w:trHeight w:val="300"/>
          <w:tblHeader/>
        </w:trPr>
        <w:tc>
          <w:tcPr>
            <w:tcW w:w="3555" w:type="dxa"/>
            <w:tcBorders>
              <w:top w:val="single" w:sz="6" w:space="0" w:color="000000"/>
              <w:left w:val="single" w:sz="6" w:space="0" w:color="000000"/>
              <w:bottom w:val="nil"/>
              <w:right w:val="nil"/>
            </w:tcBorders>
            <w:shd w:val="clear" w:color="auto" w:fill="000000"/>
            <w:hideMark/>
          </w:tcPr>
          <w:p w14:paraId="17E4F1D1" w14:textId="77777777" w:rsidR="00BD530B" w:rsidRPr="008756F5" w:rsidRDefault="00BD530B" w:rsidP="00A56C43">
            <w:pP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Characteristics </w:t>
            </w:r>
          </w:p>
        </w:tc>
        <w:tc>
          <w:tcPr>
            <w:tcW w:w="1530" w:type="dxa"/>
            <w:gridSpan w:val="2"/>
            <w:tcBorders>
              <w:top w:val="single" w:sz="6" w:space="0" w:color="000000"/>
              <w:left w:val="nil"/>
              <w:bottom w:val="nil"/>
              <w:right w:val="nil"/>
            </w:tcBorders>
            <w:shd w:val="clear" w:color="auto" w:fill="000000"/>
            <w:hideMark/>
          </w:tcPr>
          <w:p w14:paraId="451D8DC2" w14:textId="77777777" w:rsidR="00BD530B" w:rsidRPr="008756F5" w:rsidRDefault="00BD530B" w:rsidP="00A56C43">
            <w:pPr>
              <w:jc w:val="cente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MHO </w:t>
            </w:r>
          </w:p>
          <w:p w14:paraId="19D4131C" w14:textId="77777777" w:rsidR="00BD530B" w:rsidRPr="008756F5" w:rsidRDefault="00BD530B" w:rsidP="00A56C43">
            <w:pPr>
              <w:jc w:val="cente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(n=8) </w:t>
            </w:r>
          </w:p>
        </w:tc>
        <w:tc>
          <w:tcPr>
            <w:tcW w:w="1530" w:type="dxa"/>
            <w:gridSpan w:val="2"/>
            <w:tcBorders>
              <w:top w:val="single" w:sz="6" w:space="0" w:color="000000"/>
              <w:left w:val="nil"/>
              <w:bottom w:val="nil"/>
              <w:right w:val="nil"/>
            </w:tcBorders>
            <w:shd w:val="clear" w:color="auto" w:fill="000000"/>
            <w:hideMark/>
          </w:tcPr>
          <w:p w14:paraId="77EDE585" w14:textId="77777777" w:rsidR="00BD530B" w:rsidRPr="008756F5" w:rsidRDefault="00BD530B" w:rsidP="00A56C43">
            <w:pPr>
              <w:jc w:val="cente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MS </w:t>
            </w:r>
          </w:p>
          <w:p w14:paraId="7C8B2309" w14:textId="77777777" w:rsidR="00BD530B" w:rsidRPr="008756F5" w:rsidRDefault="00BD530B" w:rsidP="00A56C43">
            <w:pPr>
              <w:jc w:val="cente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(n=7) </w:t>
            </w:r>
          </w:p>
        </w:tc>
        <w:tc>
          <w:tcPr>
            <w:tcW w:w="1530" w:type="dxa"/>
            <w:gridSpan w:val="2"/>
            <w:tcBorders>
              <w:top w:val="single" w:sz="6" w:space="0" w:color="000000"/>
              <w:left w:val="nil"/>
              <w:bottom w:val="nil"/>
              <w:right w:val="nil"/>
            </w:tcBorders>
            <w:shd w:val="clear" w:color="auto" w:fill="000000"/>
            <w:hideMark/>
          </w:tcPr>
          <w:p w14:paraId="00CC1D10" w14:textId="77777777" w:rsidR="00BD530B" w:rsidRPr="008756F5" w:rsidRDefault="00BD530B" w:rsidP="00A56C43">
            <w:pPr>
              <w:jc w:val="cente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TWU </w:t>
            </w:r>
          </w:p>
          <w:p w14:paraId="3183ADFA" w14:textId="77777777" w:rsidR="00BD530B" w:rsidRPr="008756F5" w:rsidRDefault="00BD530B" w:rsidP="00A56C43">
            <w:pPr>
              <w:jc w:val="cente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(n=15) </w:t>
            </w:r>
          </w:p>
        </w:tc>
        <w:tc>
          <w:tcPr>
            <w:tcW w:w="1530" w:type="dxa"/>
            <w:gridSpan w:val="2"/>
            <w:tcBorders>
              <w:top w:val="single" w:sz="6" w:space="0" w:color="000000"/>
              <w:left w:val="nil"/>
              <w:bottom w:val="nil"/>
              <w:right w:val="single" w:sz="6" w:space="0" w:color="000000"/>
            </w:tcBorders>
            <w:shd w:val="clear" w:color="auto" w:fill="000000"/>
            <w:hideMark/>
          </w:tcPr>
          <w:p w14:paraId="23B62E62" w14:textId="77777777" w:rsidR="00BD530B" w:rsidRPr="008756F5" w:rsidRDefault="00BD530B" w:rsidP="00A56C43">
            <w:pPr>
              <w:jc w:val="cente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Total </w:t>
            </w:r>
          </w:p>
          <w:p w14:paraId="1F1E2D6C" w14:textId="77777777" w:rsidR="00BD530B" w:rsidRPr="008756F5" w:rsidRDefault="00BD530B" w:rsidP="00A56C43">
            <w:pPr>
              <w:jc w:val="cente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(N=30) </w:t>
            </w:r>
          </w:p>
        </w:tc>
      </w:tr>
      <w:tr w:rsidR="00BD530B" w:rsidRPr="008756F5" w14:paraId="10CA6030" w14:textId="77777777" w:rsidTr="00A56C43">
        <w:trPr>
          <w:trHeight w:val="270"/>
          <w:tblHeader/>
        </w:trPr>
        <w:tc>
          <w:tcPr>
            <w:tcW w:w="3555" w:type="dxa"/>
            <w:tcBorders>
              <w:top w:val="single" w:sz="6" w:space="0" w:color="000000"/>
              <w:left w:val="single" w:sz="6" w:space="0" w:color="000000"/>
              <w:bottom w:val="single" w:sz="6" w:space="0" w:color="000000"/>
              <w:right w:val="nil"/>
            </w:tcBorders>
            <w:shd w:val="clear" w:color="auto" w:fill="000000"/>
            <w:hideMark/>
          </w:tcPr>
          <w:p w14:paraId="0A934EE5" w14:textId="77777777" w:rsidR="00BD530B" w:rsidRPr="008756F5" w:rsidRDefault="00BD530B" w:rsidP="00A56C43">
            <w:pPr>
              <w:textAlignment w:val="baseline"/>
              <w:rPr>
                <w:rFonts w:asciiTheme="minorHAnsi" w:hAnsiTheme="minorHAnsi" w:cstheme="minorHAnsi"/>
                <w:b/>
                <w:bCs/>
                <w:lang w:eastAsia="en-AU"/>
              </w:rPr>
            </w:pPr>
            <w:r w:rsidRPr="008756F5">
              <w:rPr>
                <w:rFonts w:asciiTheme="minorHAnsi" w:hAnsiTheme="minorHAnsi" w:cstheme="minorHAnsi"/>
                <w:b/>
                <w:bCs/>
                <w:color w:val="FFFFFF"/>
                <w:sz w:val="18"/>
                <w:szCs w:val="18"/>
                <w:lang w:eastAsia="en-AU"/>
              </w:rPr>
              <w:t> </w:t>
            </w:r>
          </w:p>
        </w:tc>
        <w:tc>
          <w:tcPr>
            <w:tcW w:w="765" w:type="dxa"/>
            <w:tcBorders>
              <w:top w:val="single" w:sz="6" w:space="0" w:color="000000"/>
              <w:left w:val="nil"/>
              <w:bottom w:val="single" w:sz="6" w:space="0" w:color="000000"/>
              <w:right w:val="nil"/>
            </w:tcBorders>
            <w:shd w:val="clear" w:color="auto" w:fill="000000"/>
            <w:hideMark/>
          </w:tcPr>
          <w:p w14:paraId="5046681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b/>
                <w:bCs/>
                <w:color w:val="FFFFFF"/>
                <w:sz w:val="18"/>
                <w:szCs w:val="18"/>
                <w:lang w:eastAsia="en-AU"/>
              </w:rPr>
              <w:t>n</w:t>
            </w:r>
            <w:r w:rsidRPr="008756F5">
              <w:rPr>
                <w:rFonts w:asciiTheme="minorHAnsi" w:hAnsiTheme="minorHAnsi" w:cstheme="minorHAnsi"/>
                <w:color w:val="FFFFFF"/>
                <w:sz w:val="18"/>
                <w:szCs w:val="18"/>
                <w:lang w:eastAsia="en-AU"/>
              </w:rPr>
              <w:t> </w:t>
            </w:r>
          </w:p>
        </w:tc>
        <w:tc>
          <w:tcPr>
            <w:tcW w:w="765" w:type="dxa"/>
            <w:tcBorders>
              <w:top w:val="single" w:sz="6" w:space="0" w:color="000000"/>
              <w:left w:val="nil"/>
              <w:bottom w:val="single" w:sz="6" w:space="0" w:color="000000"/>
              <w:right w:val="nil"/>
            </w:tcBorders>
            <w:shd w:val="clear" w:color="auto" w:fill="000000"/>
            <w:hideMark/>
          </w:tcPr>
          <w:p w14:paraId="3813ACA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b/>
                <w:bCs/>
                <w:color w:val="FFFFFF"/>
                <w:sz w:val="18"/>
                <w:szCs w:val="18"/>
                <w:lang w:eastAsia="en-AU"/>
              </w:rPr>
              <w:t>%</w:t>
            </w:r>
            <w:r w:rsidRPr="008756F5">
              <w:rPr>
                <w:rFonts w:asciiTheme="minorHAnsi" w:hAnsiTheme="minorHAnsi" w:cstheme="minorHAnsi"/>
                <w:color w:val="FFFFFF"/>
                <w:sz w:val="18"/>
                <w:szCs w:val="18"/>
                <w:lang w:eastAsia="en-AU"/>
              </w:rPr>
              <w:t> </w:t>
            </w:r>
          </w:p>
        </w:tc>
        <w:tc>
          <w:tcPr>
            <w:tcW w:w="765" w:type="dxa"/>
            <w:tcBorders>
              <w:top w:val="single" w:sz="6" w:space="0" w:color="000000"/>
              <w:left w:val="nil"/>
              <w:bottom w:val="single" w:sz="6" w:space="0" w:color="000000"/>
              <w:right w:val="nil"/>
            </w:tcBorders>
            <w:shd w:val="clear" w:color="auto" w:fill="000000"/>
            <w:hideMark/>
          </w:tcPr>
          <w:p w14:paraId="65D3069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b/>
                <w:bCs/>
                <w:color w:val="FFFFFF"/>
                <w:sz w:val="18"/>
                <w:szCs w:val="18"/>
                <w:lang w:eastAsia="en-AU"/>
              </w:rPr>
              <w:t>n</w:t>
            </w:r>
            <w:r w:rsidRPr="008756F5">
              <w:rPr>
                <w:rFonts w:asciiTheme="minorHAnsi" w:hAnsiTheme="minorHAnsi" w:cstheme="minorHAnsi"/>
                <w:color w:val="FFFFFF"/>
                <w:sz w:val="18"/>
                <w:szCs w:val="18"/>
                <w:lang w:eastAsia="en-AU"/>
              </w:rPr>
              <w:t> </w:t>
            </w:r>
          </w:p>
        </w:tc>
        <w:tc>
          <w:tcPr>
            <w:tcW w:w="765" w:type="dxa"/>
            <w:tcBorders>
              <w:top w:val="single" w:sz="6" w:space="0" w:color="000000"/>
              <w:left w:val="nil"/>
              <w:bottom w:val="single" w:sz="6" w:space="0" w:color="000000"/>
              <w:right w:val="nil"/>
            </w:tcBorders>
            <w:shd w:val="clear" w:color="auto" w:fill="000000"/>
            <w:hideMark/>
          </w:tcPr>
          <w:p w14:paraId="6BAFAD3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b/>
                <w:bCs/>
                <w:color w:val="FFFFFF"/>
                <w:sz w:val="18"/>
                <w:szCs w:val="18"/>
                <w:lang w:eastAsia="en-AU"/>
              </w:rPr>
              <w:t>%</w:t>
            </w:r>
            <w:r w:rsidRPr="008756F5">
              <w:rPr>
                <w:rFonts w:asciiTheme="minorHAnsi" w:hAnsiTheme="minorHAnsi" w:cstheme="minorHAnsi"/>
                <w:color w:val="FFFFFF"/>
                <w:sz w:val="18"/>
                <w:szCs w:val="18"/>
                <w:lang w:eastAsia="en-AU"/>
              </w:rPr>
              <w:t> </w:t>
            </w:r>
          </w:p>
        </w:tc>
        <w:tc>
          <w:tcPr>
            <w:tcW w:w="765" w:type="dxa"/>
            <w:tcBorders>
              <w:top w:val="single" w:sz="6" w:space="0" w:color="000000"/>
              <w:left w:val="nil"/>
              <w:bottom w:val="single" w:sz="6" w:space="0" w:color="000000"/>
              <w:right w:val="nil"/>
            </w:tcBorders>
            <w:shd w:val="clear" w:color="auto" w:fill="000000"/>
            <w:hideMark/>
          </w:tcPr>
          <w:p w14:paraId="4D95B85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b/>
                <w:bCs/>
                <w:color w:val="FFFFFF"/>
                <w:sz w:val="18"/>
                <w:szCs w:val="18"/>
                <w:lang w:eastAsia="en-AU"/>
              </w:rPr>
              <w:t>n</w:t>
            </w:r>
            <w:r w:rsidRPr="008756F5">
              <w:rPr>
                <w:rFonts w:asciiTheme="minorHAnsi" w:hAnsiTheme="minorHAnsi" w:cstheme="minorHAnsi"/>
                <w:color w:val="FFFFFF"/>
                <w:sz w:val="18"/>
                <w:szCs w:val="18"/>
                <w:lang w:eastAsia="en-AU"/>
              </w:rPr>
              <w:t> </w:t>
            </w:r>
          </w:p>
        </w:tc>
        <w:tc>
          <w:tcPr>
            <w:tcW w:w="765" w:type="dxa"/>
            <w:tcBorders>
              <w:top w:val="single" w:sz="6" w:space="0" w:color="000000"/>
              <w:left w:val="nil"/>
              <w:bottom w:val="single" w:sz="6" w:space="0" w:color="000000"/>
              <w:right w:val="nil"/>
            </w:tcBorders>
            <w:shd w:val="clear" w:color="auto" w:fill="000000"/>
            <w:hideMark/>
          </w:tcPr>
          <w:p w14:paraId="03CE41B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b/>
                <w:bCs/>
                <w:color w:val="FFFFFF"/>
                <w:sz w:val="18"/>
                <w:szCs w:val="18"/>
                <w:lang w:eastAsia="en-AU"/>
              </w:rPr>
              <w:t>%</w:t>
            </w:r>
            <w:r w:rsidRPr="008756F5">
              <w:rPr>
                <w:rFonts w:asciiTheme="minorHAnsi" w:hAnsiTheme="minorHAnsi" w:cstheme="minorHAnsi"/>
                <w:color w:val="FFFFFF"/>
                <w:sz w:val="18"/>
                <w:szCs w:val="18"/>
                <w:lang w:eastAsia="en-AU"/>
              </w:rPr>
              <w:t> </w:t>
            </w:r>
          </w:p>
        </w:tc>
        <w:tc>
          <w:tcPr>
            <w:tcW w:w="765" w:type="dxa"/>
            <w:tcBorders>
              <w:top w:val="single" w:sz="6" w:space="0" w:color="000000"/>
              <w:left w:val="nil"/>
              <w:bottom w:val="single" w:sz="6" w:space="0" w:color="000000"/>
              <w:right w:val="nil"/>
            </w:tcBorders>
            <w:shd w:val="clear" w:color="auto" w:fill="000000"/>
            <w:hideMark/>
          </w:tcPr>
          <w:p w14:paraId="1ABBEE5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b/>
                <w:bCs/>
                <w:color w:val="FFFFFF"/>
                <w:sz w:val="18"/>
                <w:szCs w:val="18"/>
                <w:lang w:eastAsia="en-AU"/>
              </w:rPr>
              <w:t>n</w:t>
            </w:r>
            <w:r w:rsidRPr="008756F5">
              <w:rPr>
                <w:rFonts w:asciiTheme="minorHAnsi" w:hAnsiTheme="minorHAnsi" w:cstheme="minorHAnsi"/>
                <w:color w:val="FFFFFF"/>
                <w:sz w:val="18"/>
                <w:szCs w:val="18"/>
                <w:lang w:eastAsia="en-AU"/>
              </w:rPr>
              <w:t> </w:t>
            </w:r>
          </w:p>
        </w:tc>
        <w:tc>
          <w:tcPr>
            <w:tcW w:w="765" w:type="dxa"/>
            <w:tcBorders>
              <w:top w:val="single" w:sz="6" w:space="0" w:color="000000"/>
              <w:left w:val="nil"/>
              <w:bottom w:val="single" w:sz="6" w:space="0" w:color="000000"/>
              <w:right w:val="single" w:sz="6" w:space="0" w:color="000000"/>
            </w:tcBorders>
            <w:shd w:val="clear" w:color="auto" w:fill="000000"/>
            <w:hideMark/>
          </w:tcPr>
          <w:p w14:paraId="36B31F7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b/>
                <w:bCs/>
                <w:color w:val="FFFFFF"/>
                <w:sz w:val="18"/>
                <w:szCs w:val="18"/>
                <w:lang w:eastAsia="en-AU"/>
              </w:rPr>
              <w:t>%</w:t>
            </w:r>
            <w:r w:rsidRPr="008756F5">
              <w:rPr>
                <w:rFonts w:asciiTheme="minorHAnsi" w:hAnsiTheme="minorHAnsi" w:cstheme="minorHAnsi"/>
                <w:color w:val="FFFFFF"/>
                <w:sz w:val="18"/>
                <w:szCs w:val="18"/>
                <w:lang w:eastAsia="en-AU"/>
              </w:rPr>
              <w:t> </w:t>
            </w:r>
          </w:p>
        </w:tc>
      </w:tr>
      <w:tr w:rsidR="00BD530B" w:rsidRPr="008756F5" w14:paraId="6C1A1D6D" w14:textId="77777777" w:rsidTr="00A56C43">
        <w:trPr>
          <w:trHeight w:val="795"/>
        </w:trPr>
        <w:tc>
          <w:tcPr>
            <w:tcW w:w="3555" w:type="dxa"/>
            <w:tcBorders>
              <w:top w:val="nil"/>
              <w:left w:val="single" w:sz="6" w:space="0" w:color="000000"/>
              <w:bottom w:val="nil"/>
              <w:right w:val="nil"/>
            </w:tcBorders>
            <w:shd w:val="clear" w:color="auto" w:fill="auto"/>
            <w:hideMark/>
          </w:tcPr>
          <w:p w14:paraId="3ED8CA02" w14:textId="77777777" w:rsidR="00BD530B" w:rsidRPr="008756F5" w:rsidRDefault="00BD530B" w:rsidP="00A56C43">
            <w:pPr>
              <w:textAlignment w:val="baseline"/>
              <w:rPr>
                <w:rFonts w:asciiTheme="minorHAnsi" w:hAnsiTheme="minorHAnsi" w:cstheme="minorHAnsi"/>
                <w:b/>
                <w:bCs/>
                <w:lang w:eastAsia="en-AU"/>
              </w:rPr>
            </w:pPr>
            <w:r w:rsidRPr="008756F5">
              <w:rPr>
                <w:rFonts w:asciiTheme="minorHAnsi" w:hAnsiTheme="minorHAnsi" w:cstheme="minorHAnsi"/>
                <w:b/>
                <w:bCs/>
                <w:color w:val="000000"/>
                <w:sz w:val="18"/>
                <w:szCs w:val="18"/>
                <w:lang w:eastAsia="en-AU"/>
              </w:rPr>
              <w:t>Gender </w:t>
            </w:r>
          </w:p>
          <w:p w14:paraId="1DCA8DE3" w14:textId="77777777" w:rsidR="00BD530B" w:rsidRPr="008756F5" w:rsidRDefault="00BD530B" w:rsidP="00A56C43">
            <w:pPr>
              <w:ind w:left="300" w:hanging="135"/>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Female</w:t>
            </w:r>
            <w:r w:rsidRPr="008756F5">
              <w:rPr>
                <w:rFonts w:asciiTheme="minorHAnsi" w:hAnsiTheme="minorHAnsi" w:cstheme="minorHAnsi"/>
                <w:b/>
                <w:bCs/>
                <w:color w:val="000000"/>
                <w:sz w:val="18"/>
                <w:szCs w:val="18"/>
                <w:lang w:eastAsia="en-AU"/>
              </w:rPr>
              <w:t> </w:t>
            </w:r>
          </w:p>
          <w:p w14:paraId="7EB20B29" w14:textId="77777777" w:rsidR="00BD530B" w:rsidRPr="008756F5" w:rsidRDefault="00BD530B" w:rsidP="00A56C43">
            <w:pPr>
              <w:ind w:left="300" w:hanging="135"/>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Male</w:t>
            </w:r>
            <w:r w:rsidRPr="008756F5">
              <w:rPr>
                <w:rFonts w:asciiTheme="minorHAnsi" w:hAnsiTheme="minorHAnsi" w:cstheme="minorHAnsi"/>
                <w:b/>
                <w:bCs/>
                <w:color w:val="000000"/>
                <w:sz w:val="18"/>
                <w:szCs w:val="18"/>
                <w:lang w:eastAsia="en-AU"/>
              </w:rPr>
              <w:t> </w:t>
            </w:r>
          </w:p>
          <w:p w14:paraId="0F6331F6" w14:textId="77777777" w:rsidR="00BD530B" w:rsidRPr="008756F5" w:rsidRDefault="00BD530B" w:rsidP="00A56C43">
            <w:pPr>
              <w:ind w:left="300" w:hanging="135"/>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Missing</w:t>
            </w:r>
            <w:r w:rsidRPr="008756F5">
              <w:rPr>
                <w:rFonts w:asciiTheme="minorHAnsi" w:hAnsiTheme="minorHAnsi" w:cstheme="minorHAnsi"/>
                <w:b/>
                <w:bCs/>
                <w:color w:val="000000"/>
                <w:sz w:val="18"/>
                <w:szCs w:val="18"/>
                <w:lang w:eastAsia="en-AU"/>
              </w:rPr>
              <w:t> </w:t>
            </w:r>
          </w:p>
        </w:tc>
        <w:tc>
          <w:tcPr>
            <w:tcW w:w="765" w:type="dxa"/>
            <w:tcBorders>
              <w:top w:val="nil"/>
              <w:left w:val="nil"/>
              <w:bottom w:val="nil"/>
              <w:right w:val="nil"/>
            </w:tcBorders>
            <w:shd w:val="clear" w:color="auto" w:fill="auto"/>
            <w:hideMark/>
          </w:tcPr>
          <w:p w14:paraId="6B806CD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38DBDF4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66116DC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45AC391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tc>
        <w:tc>
          <w:tcPr>
            <w:tcW w:w="765" w:type="dxa"/>
            <w:tcBorders>
              <w:top w:val="nil"/>
              <w:left w:val="nil"/>
              <w:bottom w:val="nil"/>
              <w:right w:val="nil"/>
            </w:tcBorders>
            <w:shd w:val="clear" w:color="auto" w:fill="auto"/>
            <w:hideMark/>
          </w:tcPr>
          <w:p w14:paraId="7B17E99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5F6A5BA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88 </w:t>
            </w:r>
          </w:p>
          <w:p w14:paraId="0E4B7FF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0179269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tc>
        <w:tc>
          <w:tcPr>
            <w:tcW w:w="765" w:type="dxa"/>
            <w:tcBorders>
              <w:top w:val="nil"/>
              <w:left w:val="nil"/>
              <w:bottom w:val="nil"/>
              <w:right w:val="nil"/>
            </w:tcBorders>
            <w:shd w:val="clear" w:color="auto" w:fill="auto"/>
            <w:hideMark/>
          </w:tcPr>
          <w:p w14:paraId="1FC9112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7FA3801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3E7530C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30DC483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65" w:type="dxa"/>
            <w:tcBorders>
              <w:top w:val="nil"/>
              <w:left w:val="nil"/>
              <w:bottom w:val="nil"/>
              <w:right w:val="nil"/>
            </w:tcBorders>
            <w:shd w:val="clear" w:color="auto" w:fill="auto"/>
            <w:hideMark/>
          </w:tcPr>
          <w:p w14:paraId="0DCC03C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66B8FAC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100 </w:t>
            </w:r>
          </w:p>
          <w:p w14:paraId="61795AD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079ECCF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65" w:type="dxa"/>
            <w:tcBorders>
              <w:top w:val="nil"/>
              <w:left w:val="nil"/>
              <w:bottom w:val="nil"/>
              <w:right w:val="nil"/>
            </w:tcBorders>
            <w:shd w:val="clear" w:color="auto" w:fill="auto"/>
            <w:hideMark/>
          </w:tcPr>
          <w:p w14:paraId="7228DD1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24B5B2C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11 </w:t>
            </w:r>
          </w:p>
          <w:p w14:paraId="6997B7B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2 </w:t>
            </w:r>
          </w:p>
          <w:p w14:paraId="7C70796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2 </w:t>
            </w:r>
          </w:p>
        </w:tc>
        <w:tc>
          <w:tcPr>
            <w:tcW w:w="765" w:type="dxa"/>
            <w:tcBorders>
              <w:top w:val="nil"/>
              <w:left w:val="nil"/>
              <w:bottom w:val="nil"/>
              <w:right w:val="nil"/>
            </w:tcBorders>
            <w:shd w:val="clear" w:color="auto" w:fill="auto"/>
            <w:hideMark/>
          </w:tcPr>
          <w:p w14:paraId="01EEDAB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43492DB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73 </w:t>
            </w:r>
          </w:p>
          <w:p w14:paraId="696AB44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p w14:paraId="3D92AB2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tc>
        <w:tc>
          <w:tcPr>
            <w:tcW w:w="765" w:type="dxa"/>
            <w:tcBorders>
              <w:top w:val="nil"/>
              <w:left w:val="nil"/>
              <w:bottom w:val="nil"/>
              <w:right w:val="nil"/>
            </w:tcBorders>
            <w:shd w:val="clear" w:color="auto" w:fill="auto"/>
            <w:hideMark/>
          </w:tcPr>
          <w:p w14:paraId="3EBD138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76A3988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25 </w:t>
            </w:r>
          </w:p>
          <w:p w14:paraId="7D20705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2 </w:t>
            </w:r>
          </w:p>
          <w:p w14:paraId="608314C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tc>
        <w:tc>
          <w:tcPr>
            <w:tcW w:w="765" w:type="dxa"/>
            <w:tcBorders>
              <w:top w:val="nil"/>
              <w:left w:val="nil"/>
              <w:bottom w:val="nil"/>
              <w:right w:val="single" w:sz="6" w:space="0" w:color="000000"/>
            </w:tcBorders>
            <w:shd w:val="clear" w:color="auto" w:fill="auto"/>
            <w:hideMark/>
          </w:tcPr>
          <w:p w14:paraId="1FC0AEF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3E044A8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83 </w:t>
            </w:r>
          </w:p>
          <w:p w14:paraId="45AC54B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7F39EBD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10 </w:t>
            </w:r>
          </w:p>
        </w:tc>
      </w:tr>
      <w:tr w:rsidR="00BD530B" w:rsidRPr="008756F5" w14:paraId="71B5FA60" w14:textId="77777777" w:rsidTr="00A56C43">
        <w:trPr>
          <w:trHeight w:val="1305"/>
        </w:trPr>
        <w:tc>
          <w:tcPr>
            <w:tcW w:w="3555" w:type="dxa"/>
            <w:tcBorders>
              <w:top w:val="single" w:sz="6" w:space="0" w:color="000000"/>
              <w:left w:val="single" w:sz="6" w:space="0" w:color="000000"/>
              <w:bottom w:val="single" w:sz="6" w:space="0" w:color="000000"/>
              <w:right w:val="nil"/>
            </w:tcBorders>
            <w:shd w:val="clear" w:color="auto" w:fill="auto"/>
            <w:hideMark/>
          </w:tcPr>
          <w:p w14:paraId="40E7DBF4" w14:textId="77777777" w:rsidR="00BD530B" w:rsidRPr="008756F5" w:rsidRDefault="00BD530B" w:rsidP="00A56C43">
            <w:pPr>
              <w:textAlignment w:val="baseline"/>
              <w:rPr>
                <w:rFonts w:asciiTheme="minorHAnsi" w:hAnsiTheme="minorHAnsi" w:cstheme="minorHAnsi"/>
                <w:b/>
                <w:bCs/>
                <w:lang w:eastAsia="en-AU"/>
              </w:rPr>
            </w:pPr>
            <w:r w:rsidRPr="008756F5">
              <w:rPr>
                <w:rFonts w:asciiTheme="minorHAnsi" w:hAnsiTheme="minorHAnsi" w:cstheme="minorHAnsi"/>
                <w:b/>
                <w:bCs/>
                <w:color w:val="000000"/>
                <w:sz w:val="18"/>
                <w:szCs w:val="18"/>
                <w:lang w:eastAsia="en-AU"/>
              </w:rPr>
              <w:t>Age </w:t>
            </w:r>
          </w:p>
          <w:p w14:paraId="19EDF523"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20-29 years</w:t>
            </w:r>
            <w:r w:rsidRPr="008756F5">
              <w:rPr>
                <w:rFonts w:asciiTheme="minorHAnsi" w:hAnsiTheme="minorHAnsi" w:cstheme="minorHAnsi"/>
                <w:b/>
                <w:bCs/>
                <w:color w:val="000000"/>
                <w:sz w:val="18"/>
                <w:szCs w:val="18"/>
                <w:lang w:eastAsia="en-AU"/>
              </w:rPr>
              <w:t> </w:t>
            </w:r>
          </w:p>
          <w:p w14:paraId="58E1FCDB"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30-39 years</w:t>
            </w:r>
            <w:r w:rsidRPr="008756F5">
              <w:rPr>
                <w:rFonts w:asciiTheme="minorHAnsi" w:hAnsiTheme="minorHAnsi" w:cstheme="minorHAnsi"/>
                <w:b/>
                <w:bCs/>
                <w:color w:val="000000"/>
                <w:sz w:val="18"/>
                <w:szCs w:val="18"/>
                <w:lang w:eastAsia="en-AU"/>
              </w:rPr>
              <w:t> </w:t>
            </w:r>
          </w:p>
          <w:p w14:paraId="70AE3FC9"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40-49 years</w:t>
            </w:r>
            <w:r w:rsidRPr="008756F5">
              <w:rPr>
                <w:rFonts w:asciiTheme="minorHAnsi" w:hAnsiTheme="minorHAnsi" w:cstheme="minorHAnsi"/>
                <w:b/>
                <w:bCs/>
                <w:color w:val="000000"/>
                <w:sz w:val="18"/>
                <w:szCs w:val="18"/>
                <w:lang w:eastAsia="en-AU"/>
              </w:rPr>
              <w:t> </w:t>
            </w:r>
          </w:p>
          <w:p w14:paraId="67D2073D"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50-59 years</w:t>
            </w:r>
            <w:r w:rsidRPr="008756F5">
              <w:rPr>
                <w:rFonts w:asciiTheme="minorHAnsi" w:hAnsiTheme="minorHAnsi" w:cstheme="minorHAnsi"/>
                <w:b/>
                <w:bCs/>
                <w:color w:val="000000"/>
                <w:sz w:val="18"/>
                <w:szCs w:val="18"/>
                <w:lang w:eastAsia="en-AU"/>
              </w:rPr>
              <w:t> </w:t>
            </w:r>
          </w:p>
          <w:p w14:paraId="7F6CADDC"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Missing</w:t>
            </w:r>
            <w:r w:rsidRPr="008756F5">
              <w:rPr>
                <w:rFonts w:asciiTheme="minorHAnsi" w:hAnsiTheme="minorHAnsi" w:cstheme="minorHAnsi"/>
                <w:b/>
                <w:bCs/>
                <w:color w:val="000000"/>
                <w:sz w:val="18"/>
                <w:szCs w:val="18"/>
                <w:lang w:eastAsia="en-AU"/>
              </w:rPr>
              <w:t> </w:t>
            </w:r>
          </w:p>
        </w:tc>
        <w:tc>
          <w:tcPr>
            <w:tcW w:w="765" w:type="dxa"/>
            <w:tcBorders>
              <w:top w:val="single" w:sz="6" w:space="0" w:color="000000"/>
              <w:left w:val="nil"/>
              <w:bottom w:val="single" w:sz="6" w:space="0" w:color="000000"/>
              <w:right w:val="nil"/>
            </w:tcBorders>
            <w:shd w:val="clear" w:color="auto" w:fill="auto"/>
            <w:hideMark/>
          </w:tcPr>
          <w:p w14:paraId="0756D70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2984A03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6003CC1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0CB9E50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5294006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12DF63F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tc>
        <w:tc>
          <w:tcPr>
            <w:tcW w:w="765" w:type="dxa"/>
            <w:tcBorders>
              <w:top w:val="single" w:sz="6" w:space="0" w:color="000000"/>
              <w:left w:val="nil"/>
              <w:bottom w:val="single" w:sz="6" w:space="0" w:color="000000"/>
              <w:right w:val="nil"/>
            </w:tcBorders>
            <w:shd w:val="clear" w:color="auto" w:fill="auto"/>
            <w:hideMark/>
          </w:tcPr>
          <w:p w14:paraId="1F0B466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0E98124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88 </w:t>
            </w:r>
          </w:p>
          <w:p w14:paraId="7B018D6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059B567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3350817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3283D6E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tc>
        <w:tc>
          <w:tcPr>
            <w:tcW w:w="765" w:type="dxa"/>
            <w:tcBorders>
              <w:top w:val="single" w:sz="6" w:space="0" w:color="000000"/>
              <w:left w:val="nil"/>
              <w:bottom w:val="single" w:sz="6" w:space="0" w:color="000000"/>
              <w:right w:val="nil"/>
            </w:tcBorders>
            <w:shd w:val="clear" w:color="auto" w:fill="auto"/>
            <w:hideMark/>
          </w:tcPr>
          <w:p w14:paraId="06D8FF0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4DBC09C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2 </w:t>
            </w:r>
          </w:p>
          <w:p w14:paraId="41D0028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4 </w:t>
            </w:r>
          </w:p>
          <w:p w14:paraId="63FD590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094CF13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67CE304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65" w:type="dxa"/>
            <w:tcBorders>
              <w:top w:val="single" w:sz="6" w:space="0" w:color="000000"/>
              <w:left w:val="nil"/>
              <w:bottom w:val="single" w:sz="6" w:space="0" w:color="000000"/>
              <w:right w:val="nil"/>
            </w:tcBorders>
            <w:shd w:val="clear" w:color="auto" w:fill="auto"/>
            <w:hideMark/>
          </w:tcPr>
          <w:p w14:paraId="6C20070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23BBCBC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29 </w:t>
            </w:r>
          </w:p>
          <w:p w14:paraId="7685588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57 </w:t>
            </w:r>
          </w:p>
          <w:p w14:paraId="74A2E91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28D52FD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14 </w:t>
            </w:r>
          </w:p>
          <w:p w14:paraId="1598F0C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65" w:type="dxa"/>
            <w:tcBorders>
              <w:top w:val="single" w:sz="6" w:space="0" w:color="000000"/>
              <w:left w:val="nil"/>
              <w:bottom w:val="single" w:sz="6" w:space="0" w:color="000000"/>
              <w:right w:val="nil"/>
            </w:tcBorders>
            <w:shd w:val="clear" w:color="auto" w:fill="auto"/>
            <w:hideMark/>
          </w:tcPr>
          <w:p w14:paraId="275A839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567754F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6 </w:t>
            </w:r>
          </w:p>
          <w:p w14:paraId="3B03F73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p w14:paraId="222F4D7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4 </w:t>
            </w:r>
          </w:p>
          <w:p w14:paraId="0BBAFA2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1F1BD86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2 </w:t>
            </w:r>
          </w:p>
        </w:tc>
        <w:tc>
          <w:tcPr>
            <w:tcW w:w="765" w:type="dxa"/>
            <w:tcBorders>
              <w:top w:val="single" w:sz="6" w:space="0" w:color="000000"/>
              <w:left w:val="nil"/>
              <w:bottom w:val="single" w:sz="6" w:space="0" w:color="000000"/>
              <w:right w:val="nil"/>
            </w:tcBorders>
            <w:shd w:val="clear" w:color="auto" w:fill="auto"/>
            <w:hideMark/>
          </w:tcPr>
          <w:p w14:paraId="0A48C0C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24186D5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40 </w:t>
            </w:r>
          </w:p>
          <w:p w14:paraId="582723F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20 </w:t>
            </w:r>
          </w:p>
          <w:p w14:paraId="709B2BD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27 </w:t>
            </w:r>
          </w:p>
          <w:p w14:paraId="0BECEB8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1B13BA5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tc>
        <w:tc>
          <w:tcPr>
            <w:tcW w:w="765" w:type="dxa"/>
            <w:tcBorders>
              <w:top w:val="single" w:sz="6" w:space="0" w:color="000000"/>
              <w:left w:val="nil"/>
              <w:bottom w:val="single" w:sz="6" w:space="0" w:color="000000"/>
              <w:right w:val="nil"/>
            </w:tcBorders>
            <w:shd w:val="clear" w:color="auto" w:fill="auto"/>
            <w:hideMark/>
          </w:tcPr>
          <w:p w14:paraId="5EE136F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01073A0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15 </w:t>
            </w:r>
          </w:p>
          <w:p w14:paraId="0D4A58F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7843D29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4 </w:t>
            </w:r>
          </w:p>
          <w:p w14:paraId="5CF2246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506AB71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tc>
        <w:tc>
          <w:tcPr>
            <w:tcW w:w="765" w:type="dxa"/>
            <w:tcBorders>
              <w:top w:val="single" w:sz="6" w:space="0" w:color="000000"/>
              <w:left w:val="nil"/>
              <w:bottom w:val="single" w:sz="6" w:space="0" w:color="000000"/>
              <w:right w:val="single" w:sz="6" w:space="0" w:color="000000"/>
            </w:tcBorders>
            <w:shd w:val="clear" w:color="auto" w:fill="auto"/>
            <w:hideMark/>
          </w:tcPr>
          <w:p w14:paraId="28FDDD7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2E270E3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50 </w:t>
            </w:r>
          </w:p>
          <w:p w14:paraId="2B58BC2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23 </w:t>
            </w:r>
          </w:p>
          <w:p w14:paraId="0637072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p w14:paraId="081A14A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p w14:paraId="6B95ED1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10 </w:t>
            </w:r>
          </w:p>
        </w:tc>
      </w:tr>
      <w:tr w:rsidR="00BD530B" w:rsidRPr="008756F5" w14:paraId="60CBF519" w14:textId="77777777" w:rsidTr="00A56C43">
        <w:trPr>
          <w:trHeight w:val="1095"/>
        </w:trPr>
        <w:tc>
          <w:tcPr>
            <w:tcW w:w="3555" w:type="dxa"/>
            <w:tcBorders>
              <w:top w:val="nil"/>
              <w:left w:val="single" w:sz="6" w:space="0" w:color="000000"/>
              <w:bottom w:val="nil"/>
              <w:right w:val="nil"/>
            </w:tcBorders>
            <w:shd w:val="clear" w:color="auto" w:fill="auto"/>
            <w:hideMark/>
          </w:tcPr>
          <w:p w14:paraId="6D531F7F" w14:textId="77777777" w:rsidR="00BD530B" w:rsidRPr="008756F5" w:rsidRDefault="00BD530B" w:rsidP="00A56C43">
            <w:pPr>
              <w:textAlignment w:val="baseline"/>
              <w:rPr>
                <w:rFonts w:asciiTheme="minorHAnsi" w:hAnsiTheme="minorHAnsi" w:cstheme="minorHAnsi"/>
                <w:b/>
                <w:bCs/>
                <w:lang w:eastAsia="en-AU"/>
              </w:rPr>
            </w:pPr>
            <w:r w:rsidRPr="008756F5">
              <w:rPr>
                <w:rFonts w:asciiTheme="minorHAnsi" w:hAnsiTheme="minorHAnsi" w:cstheme="minorHAnsi"/>
                <w:b/>
                <w:bCs/>
                <w:color w:val="000000"/>
                <w:sz w:val="18"/>
                <w:szCs w:val="18"/>
                <w:lang w:eastAsia="en-AU"/>
              </w:rPr>
              <w:t>Indigenous status </w:t>
            </w:r>
          </w:p>
          <w:p w14:paraId="28EC3743"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Aboriginal</w:t>
            </w:r>
            <w:r w:rsidRPr="008756F5">
              <w:rPr>
                <w:rFonts w:asciiTheme="minorHAnsi" w:hAnsiTheme="minorHAnsi" w:cstheme="minorHAnsi"/>
                <w:b/>
                <w:bCs/>
                <w:color w:val="000000"/>
                <w:sz w:val="18"/>
                <w:szCs w:val="18"/>
                <w:lang w:eastAsia="en-AU"/>
              </w:rPr>
              <w:t> </w:t>
            </w:r>
          </w:p>
          <w:p w14:paraId="0910BD04"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Neither Aboriginal/Torres Strait Islander</w:t>
            </w:r>
            <w:r w:rsidRPr="008756F5">
              <w:rPr>
                <w:rFonts w:asciiTheme="minorHAnsi" w:hAnsiTheme="minorHAnsi" w:cstheme="minorHAnsi"/>
                <w:b/>
                <w:bCs/>
                <w:color w:val="000000"/>
                <w:sz w:val="18"/>
                <w:szCs w:val="18"/>
                <w:lang w:eastAsia="en-AU"/>
              </w:rPr>
              <w:t> </w:t>
            </w:r>
          </w:p>
          <w:p w14:paraId="622FF45B"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Prefer not to say</w:t>
            </w:r>
            <w:r w:rsidRPr="008756F5">
              <w:rPr>
                <w:rFonts w:asciiTheme="minorHAnsi" w:hAnsiTheme="minorHAnsi" w:cstheme="minorHAnsi"/>
                <w:b/>
                <w:bCs/>
                <w:color w:val="000000"/>
                <w:sz w:val="18"/>
                <w:szCs w:val="18"/>
                <w:lang w:eastAsia="en-AU"/>
              </w:rPr>
              <w:t> </w:t>
            </w:r>
          </w:p>
          <w:p w14:paraId="64BE1FD9"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Missing</w:t>
            </w:r>
            <w:r w:rsidRPr="008756F5">
              <w:rPr>
                <w:rFonts w:asciiTheme="minorHAnsi" w:hAnsiTheme="minorHAnsi" w:cstheme="minorHAnsi"/>
                <w:b/>
                <w:bCs/>
                <w:color w:val="000000"/>
                <w:sz w:val="18"/>
                <w:szCs w:val="18"/>
                <w:lang w:eastAsia="en-AU"/>
              </w:rPr>
              <w:t> </w:t>
            </w:r>
          </w:p>
        </w:tc>
        <w:tc>
          <w:tcPr>
            <w:tcW w:w="765" w:type="dxa"/>
            <w:tcBorders>
              <w:top w:val="nil"/>
              <w:left w:val="nil"/>
              <w:bottom w:val="nil"/>
              <w:right w:val="nil"/>
            </w:tcBorders>
            <w:shd w:val="clear" w:color="auto" w:fill="auto"/>
            <w:hideMark/>
          </w:tcPr>
          <w:p w14:paraId="6CD8AB0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4F2664F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0EFD2D5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21C0CD2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7C8C132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tc>
        <w:tc>
          <w:tcPr>
            <w:tcW w:w="765" w:type="dxa"/>
            <w:tcBorders>
              <w:top w:val="nil"/>
              <w:left w:val="nil"/>
              <w:bottom w:val="nil"/>
              <w:right w:val="nil"/>
            </w:tcBorders>
            <w:shd w:val="clear" w:color="auto" w:fill="auto"/>
            <w:hideMark/>
          </w:tcPr>
          <w:p w14:paraId="24C6ECC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7E753CB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72A736C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88 </w:t>
            </w:r>
          </w:p>
          <w:p w14:paraId="13EE86A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40AFA9D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tc>
        <w:tc>
          <w:tcPr>
            <w:tcW w:w="765" w:type="dxa"/>
            <w:tcBorders>
              <w:top w:val="nil"/>
              <w:left w:val="nil"/>
              <w:bottom w:val="nil"/>
              <w:right w:val="nil"/>
            </w:tcBorders>
            <w:shd w:val="clear" w:color="auto" w:fill="auto"/>
            <w:hideMark/>
          </w:tcPr>
          <w:p w14:paraId="2E12ED9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273200A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444F694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5 </w:t>
            </w:r>
          </w:p>
          <w:p w14:paraId="35875AA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24ADB4E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65" w:type="dxa"/>
            <w:tcBorders>
              <w:top w:val="nil"/>
              <w:left w:val="nil"/>
              <w:bottom w:val="nil"/>
              <w:right w:val="nil"/>
            </w:tcBorders>
            <w:shd w:val="clear" w:color="auto" w:fill="auto"/>
            <w:hideMark/>
          </w:tcPr>
          <w:p w14:paraId="3701BB8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58846AC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14 </w:t>
            </w:r>
          </w:p>
          <w:p w14:paraId="6B00753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71 </w:t>
            </w:r>
          </w:p>
          <w:p w14:paraId="0B9D5F3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14 </w:t>
            </w:r>
          </w:p>
          <w:p w14:paraId="2F5A059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65" w:type="dxa"/>
            <w:tcBorders>
              <w:top w:val="nil"/>
              <w:left w:val="nil"/>
              <w:bottom w:val="nil"/>
              <w:right w:val="nil"/>
            </w:tcBorders>
            <w:shd w:val="clear" w:color="auto" w:fill="auto"/>
            <w:hideMark/>
          </w:tcPr>
          <w:p w14:paraId="2B943D9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710B2F8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552C3DC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p w14:paraId="1D4B5B1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6EF2E3C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2 </w:t>
            </w:r>
          </w:p>
        </w:tc>
        <w:tc>
          <w:tcPr>
            <w:tcW w:w="765" w:type="dxa"/>
            <w:tcBorders>
              <w:top w:val="nil"/>
              <w:left w:val="nil"/>
              <w:bottom w:val="nil"/>
              <w:right w:val="nil"/>
            </w:tcBorders>
            <w:shd w:val="clear" w:color="auto" w:fill="auto"/>
            <w:hideMark/>
          </w:tcPr>
          <w:p w14:paraId="7719931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2B2C1FE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56D0152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87 </w:t>
            </w:r>
          </w:p>
          <w:p w14:paraId="07C8D3F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3E7846D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tc>
        <w:tc>
          <w:tcPr>
            <w:tcW w:w="765" w:type="dxa"/>
            <w:tcBorders>
              <w:top w:val="nil"/>
              <w:left w:val="nil"/>
              <w:bottom w:val="nil"/>
              <w:right w:val="nil"/>
            </w:tcBorders>
            <w:shd w:val="clear" w:color="auto" w:fill="auto"/>
            <w:hideMark/>
          </w:tcPr>
          <w:p w14:paraId="2742114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2C9D979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34CDBB6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25 </w:t>
            </w:r>
          </w:p>
          <w:p w14:paraId="539A0FD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585E8D4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tc>
        <w:tc>
          <w:tcPr>
            <w:tcW w:w="765" w:type="dxa"/>
            <w:tcBorders>
              <w:top w:val="nil"/>
              <w:left w:val="nil"/>
              <w:bottom w:val="nil"/>
              <w:right w:val="single" w:sz="6" w:space="0" w:color="000000"/>
            </w:tcBorders>
            <w:shd w:val="clear" w:color="auto" w:fill="auto"/>
            <w:hideMark/>
          </w:tcPr>
          <w:p w14:paraId="3E5E1B3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3B4782B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p w14:paraId="416FAAD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83 </w:t>
            </w:r>
          </w:p>
          <w:p w14:paraId="73F9983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p w14:paraId="4951C3A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10 </w:t>
            </w:r>
          </w:p>
        </w:tc>
      </w:tr>
      <w:tr w:rsidR="00BD530B" w:rsidRPr="008756F5" w14:paraId="1F940691" w14:textId="77777777" w:rsidTr="00A56C43">
        <w:trPr>
          <w:trHeight w:val="825"/>
        </w:trPr>
        <w:tc>
          <w:tcPr>
            <w:tcW w:w="3555" w:type="dxa"/>
            <w:tcBorders>
              <w:top w:val="single" w:sz="6" w:space="0" w:color="000000"/>
              <w:left w:val="single" w:sz="6" w:space="0" w:color="000000"/>
              <w:bottom w:val="single" w:sz="6" w:space="0" w:color="000000"/>
              <w:right w:val="nil"/>
            </w:tcBorders>
            <w:shd w:val="clear" w:color="auto" w:fill="auto"/>
            <w:hideMark/>
          </w:tcPr>
          <w:p w14:paraId="0B869D99" w14:textId="77777777" w:rsidR="00BD530B" w:rsidRPr="008756F5" w:rsidRDefault="00BD530B" w:rsidP="00A56C43">
            <w:pPr>
              <w:textAlignment w:val="baseline"/>
              <w:rPr>
                <w:rFonts w:asciiTheme="minorHAnsi" w:hAnsiTheme="minorHAnsi" w:cstheme="minorHAnsi"/>
                <w:b/>
                <w:bCs/>
                <w:lang w:eastAsia="en-AU"/>
              </w:rPr>
            </w:pPr>
            <w:r w:rsidRPr="008756F5">
              <w:rPr>
                <w:rFonts w:asciiTheme="minorHAnsi" w:hAnsiTheme="minorHAnsi" w:cstheme="minorHAnsi"/>
                <w:b/>
                <w:bCs/>
                <w:color w:val="000000"/>
                <w:sz w:val="18"/>
                <w:szCs w:val="18"/>
                <w:lang w:eastAsia="en-AU"/>
              </w:rPr>
              <w:t>State </w:t>
            </w:r>
          </w:p>
          <w:p w14:paraId="46589E12"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Victoria</w:t>
            </w:r>
            <w:r w:rsidRPr="008756F5">
              <w:rPr>
                <w:rFonts w:asciiTheme="minorHAnsi" w:hAnsiTheme="minorHAnsi" w:cstheme="minorHAnsi"/>
                <w:b/>
                <w:bCs/>
                <w:color w:val="000000"/>
                <w:sz w:val="18"/>
                <w:szCs w:val="18"/>
                <w:lang w:eastAsia="en-AU"/>
              </w:rPr>
              <w:t> </w:t>
            </w:r>
          </w:p>
          <w:p w14:paraId="50B4E7D0"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NSW</w:t>
            </w:r>
            <w:r w:rsidRPr="008756F5">
              <w:rPr>
                <w:rFonts w:asciiTheme="minorHAnsi" w:hAnsiTheme="minorHAnsi" w:cstheme="minorHAnsi"/>
                <w:b/>
                <w:bCs/>
                <w:color w:val="000000"/>
                <w:sz w:val="18"/>
                <w:szCs w:val="18"/>
                <w:lang w:eastAsia="en-AU"/>
              </w:rPr>
              <w:t> </w:t>
            </w:r>
          </w:p>
          <w:p w14:paraId="472DF725"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Missing</w:t>
            </w:r>
            <w:r w:rsidRPr="008756F5">
              <w:rPr>
                <w:rFonts w:asciiTheme="minorHAnsi" w:hAnsiTheme="minorHAnsi" w:cstheme="minorHAnsi"/>
                <w:b/>
                <w:bCs/>
                <w:color w:val="000000"/>
                <w:sz w:val="18"/>
                <w:szCs w:val="18"/>
                <w:lang w:eastAsia="en-AU"/>
              </w:rPr>
              <w:t> </w:t>
            </w:r>
          </w:p>
        </w:tc>
        <w:tc>
          <w:tcPr>
            <w:tcW w:w="765" w:type="dxa"/>
            <w:tcBorders>
              <w:top w:val="single" w:sz="6" w:space="0" w:color="000000"/>
              <w:left w:val="nil"/>
              <w:bottom w:val="single" w:sz="6" w:space="0" w:color="000000"/>
              <w:right w:val="nil"/>
            </w:tcBorders>
            <w:shd w:val="clear" w:color="auto" w:fill="auto"/>
            <w:hideMark/>
          </w:tcPr>
          <w:p w14:paraId="496F257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47FC92E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5 </w:t>
            </w:r>
          </w:p>
          <w:p w14:paraId="3F9C97D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757ABAF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tc>
        <w:tc>
          <w:tcPr>
            <w:tcW w:w="765" w:type="dxa"/>
            <w:tcBorders>
              <w:top w:val="single" w:sz="6" w:space="0" w:color="000000"/>
              <w:left w:val="nil"/>
              <w:bottom w:val="single" w:sz="6" w:space="0" w:color="000000"/>
              <w:right w:val="nil"/>
            </w:tcBorders>
            <w:shd w:val="clear" w:color="auto" w:fill="auto"/>
            <w:hideMark/>
          </w:tcPr>
          <w:p w14:paraId="0064ADF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3171C03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63 </w:t>
            </w:r>
          </w:p>
          <w:p w14:paraId="73E779E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123DB56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38 </w:t>
            </w:r>
          </w:p>
        </w:tc>
        <w:tc>
          <w:tcPr>
            <w:tcW w:w="765" w:type="dxa"/>
            <w:tcBorders>
              <w:top w:val="single" w:sz="6" w:space="0" w:color="000000"/>
              <w:left w:val="nil"/>
              <w:bottom w:val="single" w:sz="6" w:space="0" w:color="000000"/>
              <w:right w:val="nil"/>
            </w:tcBorders>
            <w:shd w:val="clear" w:color="auto" w:fill="auto"/>
            <w:hideMark/>
          </w:tcPr>
          <w:p w14:paraId="6464A90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04B43F8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11F56E9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5 </w:t>
            </w:r>
          </w:p>
          <w:p w14:paraId="0FA157B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2 </w:t>
            </w:r>
          </w:p>
        </w:tc>
        <w:tc>
          <w:tcPr>
            <w:tcW w:w="765" w:type="dxa"/>
            <w:tcBorders>
              <w:top w:val="single" w:sz="6" w:space="0" w:color="000000"/>
              <w:left w:val="nil"/>
              <w:bottom w:val="single" w:sz="6" w:space="0" w:color="000000"/>
              <w:right w:val="nil"/>
            </w:tcBorders>
            <w:shd w:val="clear" w:color="auto" w:fill="auto"/>
            <w:hideMark/>
          </w:tcPr>
          <w:p w14:paraId="3BAE3FA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26CBAF8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6F1A603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71 </w:t>
            </w:r>
          </w:p>
          <w:p w14:paraId="61E99CA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29 </w:t>
            </w:r>
          </w:p>
        </w:tc>
        <w:tc>
          <w:tcPr>
            <w:tcW w:w="765" w:type="dxa"/>
            <w:tcBorders>
              <w:top w:val="single" w:sz="6" w:space="0" w:color="000000"/>
              <w:left w:val="nil"/>
              <w:bottom w:val="single" w:sz="6" w:space="0" w:color="000000"/>
              <w:right w:val="nil"/>
            </w:tcBorders>
            <w:shd w:val="clear" w:color="auto" w:fill="auto"/>
            <w:hideMark/>
          </w:tcPr>
          <w:p w14:paraId="5A2AC28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3574859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5234AFB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10 </w:t>
            </w:r>
          </w:p>
          <w:p w14:paraId="4A45E77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5 </w:t>
            </w:r>
          </w:p>
        </w:tc>
        <w:tc>
          <w:tcPr>
            <w:tcW w:w="765" w:type="dxa"/>
            <w:tcBorders>
              <w:top w:val="single" w:sz="6" w:space="0" w:color="000000"/>
              <w:left w:val="nil"/>
              <w:bottom w:val="single" w:sz="6" w:space="0" w:color="000000"/>
              <w:right w:val="nil"/>
            </w:tcBorders>
            <w:shd w:val="clear" w:color="auto" w:fill="auto"/>
            <w:hideMark/>
          </w:tcPr>
          <w:p w14:paraId="76CE380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6047E59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413FC0A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67 </w:t>
            </w:r>
          </w:p>
          <w:p w14:paraId="45CF792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33 </w:t>
            </w:r>
          </w:p>
        </w:tc>
        <w:tc>
          <w:tcPr>
            <w:tcW w:w="765" w:type="dxa"/>
            <w:tcBorders>
              <w:top w:val="single" w:sz="6" w:space="0" w:color="000000"/>
              <w:left w:val="nil"/>
              <w:bottom w:val="single" w:sz="6" w:space="0" w:color="000000"/>
              <w:right w:val="nil"/>
            </w:tcBorders>
            <w:shd w:val="clear" w:color="auto" w:fill="auto"/>
            <w:hideMark/>
          </w:tcPr>
          <w:p w14:paraId="4366970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51BC5ED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5 </w:t>
            </w:r>
          </w:p>
          <w:p w14:paraId="428FA85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15 </w:t>
            </w:r>
          </w:p>
          <w:p w14:paraId="1C39CE9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10 </w:t>
            </w:r>
          </w:p>
        </w:tc>
        <w:tc>
          <w:tcPr>
            <w:tcW w:w="765" w:type="dxa"/>
            <w:tcBorders>
              <w:top w:val="single" w:sz="6" w:space="0" w:color="000000"/>
              <w:left w:val="nil"/>
              <w:bottom w:val="single" w:sz="6" w:space="0" w:color="000000"/>
              <w:right w:val="single" w:sz="6" w:space="0" w:color="000000"/>
            </w:tcBorders>
            <w:shd w:val="clear" w:color="auto" w:fill="auto"/>
            <w:hideMark/>
          </w:tcPr>
          <w:p w14:paraId="70B797E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4E4A537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17 </w:t>
            </w:r>
          </w:p>
          <w:p w14:paraId="147146C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50 </w:t>
            </w:r>
          </w:p>
          <w:p w14:paraId="58B47FB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33 </w:t>
            </w:r>
          </w:p>
        </w:tc>
      </w:tr>
      <w:tr w:rsidR="00BD530B" w:rsidRPr="008756F5" w14:paraId="33E0EEE3" w14:textId="77777777" w:rsidTr="00A56C43">
        <w:trPr>
          <w:trHeight w:val="1500"/>
        </w:trPr>
        <w:tc>
          <w:tcPr>
            <w:tcW w:w="3555" w:type="dxa"/>
            <w:tcBorders>
              <w:top w:val="nil"/>
              <w:left w:val="single" w:sz="6" w:space="0" w:color="000000"/>
              <w:bottom w:val="nil"/>
              <w:right w:val="nil"/>
            </w:tcBorders>
            <w:shd w:val="clear" w:color="auto" w:fill="auto"/>
            <w:vAlign w:val="bottom"/>
            <w:hideMark/>
          </w:tcPr>
          <w:p w14:paraId="0CCCAAEA" w14:textId="77777777" w:rsidR="00BD530B" w:rsidRPr="008756F5" w:rsidRDefault="00BD530B" w:rsidP="00A56C43">
            <w:pPr>
              <w:textAlignment w:val="baseline"/>
              <w:rPr>
                <w:rFonts w:asciiTheme="minorHAnsi" w:hAnsiTheme="minorHAnsi" w:cstheme="minorHAnsi"/>
                <w:b/>
                <w:bCs/>
                <w:lang w:eastAsia="en-AU"/>
              </w:rPr>
            </w:pPr>
            <w:r w:rsidRPr="008756F5">
              <w:rPr>
                <w:rFonts w:asciiTheme="minorHAnsi" w:hAnsiTheme="minorHAnsi" w:cstheme="minorHAnsi"/>
                <w:b/>
                <w:bCs/>
                <w:color w:val="000000"/>
                <w:sz w:val="18"/>
                <w:szCs w:val="18"/>
                <w:lang w:eastAsia="en-AU"/>
              </w:rPr>
              <w:t>Profession </w:t>
            </w:r>
          </w:p>
          <w:p w14:paraId="22C59C5D"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General psychologist</w:t>
            </w:r>
            <w:r w:rsidRPr="008756F5">
              <w:rPr>
                <w:rFonts w:asciiTheme="minorHAnsi" w:hAnsiTheme="minorHAnsi" w:cstheme="minorHAnsi"/>
                <w:b/>
                <w:bCs/>
                <w:color w:val="000000"/>
                <w:sz w:val="18"/>
                <w:szCs w:val="18"/>
                <w:lang w:eastAsia="en-AU"/>
              </w:rPr>
              <w:t> </w:t>
            </w:r>
          </w:p>
          <w:p w14:paraId="120C6EF5"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Clinical psychologist</w:t>
            </w:r>
            <w:r w:rsidRPr="008756F5">
              <w:rPr>
                <w:rFonts w:asciiTheme="minorHAnsi" w:hAnsiTheme="minorHAnsi" w:cstheme="minorHAnsi"/>
                <w:b/>
                <w:bCs/>
                <w:color w:val="000000"/>
                <w:sz w:val="18"/>
                <w:szCs w:val="18"/>
                <w:lang w:eastAsia="en-AU"/>
              </w:rPr>
              <w:t> </w:t>
            </w:r>
          </w:p>
          <w:p w14:paraId="02097850"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Provisional psychologist</w:t>
            </w:r>
            <w:r w:rsidRPr="008756F5">
              <w:rPr>
                <w:rFonts w:asciiTheme="minorHAnsi" w:hAnsiTheme="minorHAnsi" w:cstheme="minorHAnsi"/>
                <w:b/>
                <w:bCs/>
                <w:color w:val="000000"/>
                <w:sz w:val="18"/>
                <w:szCs w:val="18"/>
                <w:lang w:eastAsia="en-AU"/>
              </w:rPr>
              <w:t> </w:t>
            </w:r>
          </w:p>
          <w:p w14:paraId="4059373B"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Occupational therapist</w:t>
            </w:r>
            <w:r w:rsidRPr="008756F5">
              <w:rPr>
                <w:rFonts w:asciiTheme="minorHAnsi" w:hAnsiTheme="minorHAnsi" w:cstheme="minorHAnsi"/>
                <w:b/>
                <w:bCs/>
                <w:color w:val="000000"/>
                <w:sz w:val="18"/>
                <w:szCs w:val="18"/>
                <w:lang w:eastAsia="en-AU"/>
              </w:rPr>
              <w:t> </w:t>
            </w:r>
          </w:p>
          <w:p w14:paraId="39A8A5AF"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Aboriginal /Torres Strait Islander worker</w:t>
            </w:r>
            <w:r w:rsidRPr="008756F5">
              <w:rPr>
                <w:rFonts w:asciiTheme="minorHAnsi" w:hAnsiTheme="minorHAnsi" w:cstheme="minorHAnsi"/>
                <w:b/>
                <w:bCs/>
                <w:color w:val="000000"/>
                <w:sz w:val="18"/>
                <w:szCs w:val="18"/>
                <w:lang w:eastAsia="en-AU"/>
              </w:rPr>
              <w:t> </w:t>
            </w:r>
          </w:p>
          <w:p w14:paraId="15E8ED7D"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Other</w:t>
            </w:r>
            <w:r w:rsidRPr="008756F5">
              <w:rPr>
                <w:rFonts w:asciiTheme="minorHAnsi" w:hAnsiTheme="minorHAnsi" w:cstheme="minorHAnsi"/>
                <w:b/>
                <w:bCs/>
                <w:color w:val="000000"/>
                <w:sz w:val="18"/>
                <w:szCs w:val="18"/>
                <w:lang w:eastAsia="en-AU"/>
              </w:rPr>
              <w:t> </w:t>
            </w:r>
          </w:p>
          <w:p w14:paraId="23EB8FC1"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Missing</w:t>
            </w:r>
            <w:r w:rsidRPr="008756F5">
              <w:rPr>
                <w:rFonts w:asciiTheme="minorHAnsi" w:hAnsiTheme="minorHAnsi" w:cstheme="minorHAnsi"/>
                <w:b/>
                <w:bCs/>
                <w:color w:val="000000"/>
                <w:sz w:val="18"/>
                <w:szCs w:val="18"/>
                <w:lang w:eastAsia="en-AU"/>
              </w:rPr>
              <w:t> </w:t>
            </w:r>
          </w:p>
        </w:tc>
        <w:tc>
          <w:tcPr>
            <w:tcW w:w="765" w:type="dxa"/>
            <w:tcBorders>
              <w:top w:val="nil"/>
              <w:left w:val="nil"/>
              <w:bottom w:val="nil"/>
              <w:right w:val="nil"/>
            </w:tcBorders>
            <w:shd w:val="clear" w:color="auto" w:fill="auto"/>
            <w:vAlign w:val="bottom"/>
            <w:hideMark/>
          </w:tcPr>
          <w:p w14:paraId="1EF6B38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7953439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0A56205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6 </w:t>
            </w:r>
          </w:p>
          <w:p w14:paraId="2522E9D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4771C73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72F3F78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146B9D2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tc>
        <w:tc>
          <w:tcPr>
            <w:tcW w:w="765" w:type="dxa"/>
            <w:tcBorders>
              <w:top w:val="nil"/>
              <w:left w:val="nil"/>
              <w:bottom w:val="nil"/>
              <w:right w:val="nil"/>
            </w:tcBorders>
            <w:shd w:val="clear" w:color="auto" w:fill="auto"/>
            <w:vAlign w:val="bottom"/>
            <w:hideMark/>
          </w:tcPr>
          <w:p w14:paraId="7F78DA7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5A62571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09B395A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75 </w:t>
            </w:r>
          </w:p>
          <w:p w14:paraId="4981C78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p w14:paraId="12D0F41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7530F2F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71E5DB0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tc>
        <w:tc>
          <w:tcPr>
            <w:tcW w:w="765" w:type="dxa"/>
            <w:tcBorders>
              <w:top w:val="nil"/>
              <w:left w:val="nil"/>
              <w:bottom w:val="nil"/>
              <w:right w:val="nil"/>
            </w:tcBorders>
            <w:shd w:val="clear" w:color="auto" w:fill="auto"/>
            <w:vAlign w:val="bottom"/>
            <w:hideMark/>
          </w:tcPr>
          <w:p w14:paraId="1A115C2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p w14:paraId="2709740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p w14:paraId="30B4EFE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286570E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56AA0A6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545E67F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44C63D7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65" w:type="dxa"/>
            <w:tcBorders>
              <w:top w:val="nil"/>
              <w:left w:val="nil"/>
              <w:bottom w:val="nil"/>
              <w:right w:val="nil"/>
            </w:tcBorders>
            <w:shd w:val="clear" w:color="auto" w:fill="auto"/>
            <w:vAlign w:val="bottom"/>
            <w:hideMark/>
          </w:tcPr>
          <w:p w14:paraId="043047C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43 </w:t>
            </w:r>
          </w:p>
          <w:p w14:paraId="4B3DB54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43 </w:t>
            </w:r>
          </w:p>
          <w:p w14:paraId="1960D39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32A21D6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104FA2B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14 </w:t>
            </w:r>
          </w:p>
          <w:p w14:paraId="5A21D7D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5F63188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65" w:type="dxa"/>
            <w:tcBorders>
              <w:top w:val="nil"/>
              <w:left w:val="nil"/>
              <w:bottom w:val="nil"/>
              <w:right w:val="nil"/>
            </w:tcBorders>
            <w:shd w:val="clear" w:color="auto" w:fill="auto"/>
            <w:vAlign w:val="bottom"/>
            <w:hideMark/>
          </w:tcPr>
          <w:p w14:paraId="77B07AF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p w14:paraId="486AF92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8 </w:t>
            </w:r>
          </w:p>
          <w:p w14:paraId="4AE429E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2E283E4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58E964C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0CCC41B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130118D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2 </w:t>
            </w:r>
          </w:p>
        </w:tc>
        <w:tc>
          <w:tcPr>
            <w:tcW w:w="765" w:type="dxa"/>
            <w:tcBorders>
              <w:top w:val="nil"/>
              <w:left w:val="nil"/>
              <w:bottom w:val="nil"/>
              <w:right w:val="nil"/>
            </w:tcBorders>
            <w:shd w:val="clear" w:color="auto" w:fill="auto"/>
            <w:vAlign w:val="bottom"/>
            <w:hideMark/>
          </w:tcPr>
          <w:p w14:paraId="2C23AFE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20 </w:t>
            </w:r>
          </w:p>
          <w:p w14:paraId="701FEDA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53 </w:t>
            </w:r>
          </w:p>
          <w:p w14:paraId="13EE385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34F3BBC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0577327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48D78DB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10639B5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tc>
        <w:tc>
          <w:tcPr>
            <w:tcW w:w="765" w:type="dxa"/>
            <w:tcBorders>
              <w:top w:val="nil"/>
              <w:left w:val="nil"/>
              <w:bottom w:val="nil"/>
              <w:right w:val="nil"/>
            </w:tcBorders>
            <w:shd w:val="clear" w:color="auto" w:fill="auto"/>
            <w:vAlign w:val="bottom"/>
            <w:hideMark/>
          </w:tcPr>
          <w:p w14:paraId="584A280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6 </w:t>
            </w:r>
          </w:p>
          <w:p w14:paraId="2FED5CF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11 </w:t>
            </w:r>
          </w:p>
          <w:p w14:paraId="40146F2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6 </w:t>
            </w:r>
          </w:p>
          <w:p w14:paraId="6AFA36C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1C14BF9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6308015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4527500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tc>
        <w:tc>
          <w:tcPr>
            <w:tcW w:w="765" w:type="dxa"/>
            <w:tcBorders>
              <w:top w:val="nil"/>
              <w:left w:val="nil"/>
              <w:bottom w:val="nil"/>
              <w:right w:val="single" w:sz="6" w:space="0" w:color="000000"/>
            </w:tcBorders>
            <w:shd w:val="clear" w:color="auto" w:fill="auto"/>
            <w:vAlign w:val="bottom"/>
            <w:hideMark/>
          </w:tcPr>
          <w:p w14:paraId="1034E61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20 </w:t>
            </w:r>
          </w:p>
          <w:p w14:paraId="586BF53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37 </w:t>
            </w:r>
          </w:p>
          <w:p w14:paraId="40AC332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20 </w:t>
            </w:r>
          </w:p>
          <w:p w14:paraId="29331AA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p w14:paraId="2892A7C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p w14:paraId="1D3B43B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p w14:paraId="05A2068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10 </w:t>
            </w:r>
          </w:p>
        </w:tc>
      </w:tr>
      <w:tr w:rsidR="00BD530B" w:rsidRPr="008756F5" w14:paraId="6D2616DD" w14:textId="77777777" w:rsidTr="00A56C43">
        <w:trPr>
          <w:trHeight w:val="1755"/>
        </w:trPr>
        <w:tc>
          <w:tcPr>
            <w:tcW w:w="3555" w:type="dxa"/>
            <w:tcBorders>
              <w:top w:val="single" w:sz="6" w:space="0" w:color="000000"/>
              <w:left w:val="single" w:sz="6" w:space="0" w:color="000000"/>
              <w:bottom w:val="single" w:sz="6" w:space="0" w:color="000000"/>
              <w:right w:val="nil"/>
            </w:tcBorders>
            <w:shd w:val="clear" w:color="auto" w:fill="auto"/>
            <w:hideMark/>
          </w:tcPr>
          <w:p w14:paraId="57395ABF" w14:textId="77777777" w:rsidR="00BD530B" w:rsidRPr="008756F5" w:rsidRDefault="00BD530B" w:rsidP="00A56C43">
            <w:pPr>
              <w:textAlignment w:val="baseline"/>
              <w:rPr>
                <w:rFonts w:asciiTheme="minorHAnsi" w:hAnsiTheme="minorHAnsi" w:cstheme="minorHAnsi"/>
                <w:b/>
                <w:bCs/>
                <w:lang w:eastAsia="en-AU"/>
              </w:rPr>
            </w:pPr>
            <w:r w:rsidRPr="008756F5">
              <w:rPr>
                <w:rFonts w:asciiTheme="minorHAnsi" w:hAnsiTheme="minorHAnsi" w:cstheme="minorHAnsi"/>
                <w:b/>
                <w:bCs/>
                <w:color w:val="000000"/>
                <w:sz w:val="18"/>
                <w:szCs w:val="18"/>
                <w:lang w:eastAsia="en-AU"/>
              </w:rPr>
              <w:t>Years of experience </w:t>
            </w:r>
          </w:p>
          <w:p w14:paraId="4E5B3AE3"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Less than 1 year</w:t>
            </w:r>
            <w:r w:rsidRPr="008756F5">
              <w:rPr>
                <w:rFonts w:asciiTheme="minorHAnsi" w:hAnsiTheme="minorHAnsi" w:cstheme="minorHAnsi"/>
                <w:b/>
                <w:bCs/>
                <w:color w:val="000000"/>
                <w:sz w:val="18"/>
                <w:szCs w:val="18"/>
                <w:lang w:eastAsia="en-AU"/>
              </w:rPr>
              <w:t> </w:t>
            </w:r>
          </w:p>
          <w:p w14:paraId="1CEEE6B7"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1-5 years</w:t>
            </w:r>
            <w:r w:rsidRPr="008756F5">
              <w:rPr>
                <w:rFonts w:asciiTheme="minorHAnsi" w:hAnsiTheme="minorHAnsi" w:cstheme="minorHAnsi"/>
                <w:b/>
                <w:bCs/>
                <w:color w:val="000000"/>
                <w:sz w:val="18"/>
                <w:szCs w:val="18"/>
                <w:lang w:eastAsia="en-AU"/>
              </w:rPr>
              <w:t> </w:t>
            </w:r>
          </w:p>
          <w:p w14:paraId="1415C291"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6-10 years</w:t>
            </w:r>
            <w:r w:rsidRPr="008756F5">
              <w:rPr>
                <w:rFonts w:asciiTheme="minorHAnsi" w:hAnsiTheme="minorHAnsi" w:cstheme="minorHAnsi"/>
                <w:b/>
                <w:bCs/>
                <w:color w:val="000000"/>
                <w:sz w:val="18"/>
                <w:szCs w:val="18"/>
                <w:lang w:eastAsia="en-AU"/>
              </w:rPr>
              <w:t> </w:t>
            </w:r>
          </w:p>
          <w:p w14:paraId="21D5DE1D"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11-15 years</w:t>
            </w:r>
            <w:r w:rsidRPr="008756F5">
              <w:rPr>
                <w:rFonts w:asciiTheme="minorHAnsi" w:hAnsiTheme="minorHAnsi" w:cstheme="minorHAnsi"/>
                <w:b/>
                <w:bCs/>
                <w:color w:val="000000"/>
                <w:sz w:val="18"/>
                <w:szCs w:val="18"/>
                <w:lang w:eastAsia="en-AU"/>
              </w:rPr>
              <w:t> </w:t>
            </w:r>
          </w:p>
          <w:p w14:paraId="24B6C32C"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16-20 years</w:t>
            </w:r>
            <w:r w:rsidRPr="008756F5">
              <w:rPr>
                <w:rFonts w:asciiTheme="minorHAnsi" w:hAnsiTheme="minorHAnsi" w:cstheme="minorHAnsi"/>
                <w:b/>
                <w:bCs/>
                <w:color w:val="000000"/>
                <w:sz w:val="18"/>
                <w:szCs w:val="18"/>
                <w:lang w:eastAsia="en-AU"/>
              </w:rPr>
              <w:t> </w:t>
            </w:r>
          </w:p>
          <w:p w14:paraId="126A3126"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More than 20 years</w:t>
            </w:r>
            <w:r w:rsidRPr="008756F5">
              <w:rPr>
                <w:rFonts w:asciiTheme="minorHAnsi" w:hAnsiTheme="minorHAnsi" w:cstheme="minorHAnsi"/>
                <w:b/>
                <w:bCs/>
                <w:color w:val="000000"/>
                <w:sz w:val="18"/>
                <w:szCs w:val="18"/>
                <w:lang w:eastAsia="en-AU"/>
              </w:rPr>
              <w:t> </w:t>
            </w:r>
          </w:p>
          <w:p w14:paraId="0EEC4132"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Missing</w:t>
            </w:r>
            <w:r w:rsidRPr="008756F5">
              <w:rPr>
                <w:rFonts w:asciiTheme="minorHAnsi" w:hAnsiTheme="minorHAnsi" w:cstheme="minorHAnsi"/>
                <w:b/>
                <w:bCs/>
                <w:color w:val="000000"/>
                <w:sz w:val="18"/>
                <w:szCs w:val="18"/>
                <w:lang w:eastAsia="en-AU"/>
              </w:rPr>
              <w:t> </w:t>
            </w:r>
          </w:p>
        </w:tc>
        <w:tc>
          <w:tcPr>
            <w:tcW w:w="765" w:type="dxa"/>
            <w:tcBorders>
              <w:top w:val="single" w:sz="6" w:space="0" w:color="000000"/>
              <w:left w:val="nil"/>
              <w:bottom w:val="single" w:sz="6" w:space="0" w:color="000000"/>
              <w:right w:val="nil"/>
            </w:tcBorders>
            <w:shd w:val="clear" w:color="auto" w:fill="auto"/>
            <w:hideMark/>
          </w:tcPr>
          <w:p w14:paraId="188DCC1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12DB7FA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2 </w:t>
            </w:r>
          </w:p>
          <w:p w14:paraId="09BCCF5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5 </w:t>
            </w:r>
          </w:p>
          <w:p w14:paraId="2B6BBDE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5F61640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3647D00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7C03F10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3E41C57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tc>
        <w:tc>
          <w:tcPr>
            <w:tcW w:w="765" w:type="dxa"/>
            <w:tcBorders>
              <w:top w:val="single" w:sz="6" w:space="0" w:color="000000"/>
              <w:left w:val="nil"/>
              <w:bottom w:val="single" w:sz="6" w:space="0" w:color="000000"/>
              <w:right w:val="nil"/>
            </w:tcBorders>
            <w:shd w:val="clear" w:color="auto" w:fill="auto"/>
            <w:hideMark/>
          </w:tcPr>
          <w:p w14:paraId="7C41949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7AEE325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25 </w:t>
            </w:r>
          </w:p>
          <w:p w14:paraId="1F0DB9D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63 </w:t>
            </w:r>
          </w:p>
          <w:p w14:paraId="6C9EB07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1EE5874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6683569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579D56E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4A1C1F1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tc>
        <w:tc>
          <w:tcPr>
            <w:tcW w:w="765" w:type="dxa"/>
            <w:tcBorders>
              <w:top w:val="single" w:sz="6" w:space="0" w:color="000000"/>
              <w:left w:val="nil"/>
              <w:bottom w:val="single" w:sz="6" w:space="0" w:color="000000"/>
              <w:right w:val="nil"/>
            </w:tcBorders>
            <w:shd w:val="clear" w:color="auto" w:fill="auto"/>
            <w:hideMark/>
          </w:tcPr>
          <w:p w14:paraId="33E22F5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073E0E7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72BDD57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77B398E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3FFD282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4 </w:t>
            </w:r>
          </w:p>
          <w:p w14:paraId="6DF9A14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1CADF7F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590E954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65" w:type="dxa"/>
            <w:tcBorders>
              <w:top w:val="single" w:sz="6" w:space="0" w:color="000000"/>
              <w:left w:val="nil"/>
              <w:bottom w:val="single" w:sz="6" w:space="0" w:color="000000"/>
              <w:right w:val="nil"/>
            </w:tcBorders>
            <w:shd w:val="clear" w:color="auto" w:fill="auto"/>
            <w:hideMark/>
          </w:tcPr>
          <w:p w14:paraId="1F81706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43C1EE5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01E07D8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14 </w:t>
            </w:r>
          </w:p>
          <w:p w14:paraId="1C3C97A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14 </w:t>
            </w:r>
          </w:p>
          <w:p w14:paraId="5B92EC4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57 </w:t>
            </w:r>
          </w:p>
          <w:p w14:paraId="2E7F9EB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70F87F0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14 </w:t>
            </w:r>
          </w:p>
          <w:p w14:paraId="082F659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65" w:type="dxa"/>
            <w:tcBorders>
              <w:top w:val="single" w:sz="6" w:space="0" w:color="000000"/>
              <w:left w:val="nil"/>
              <w:bottom w:val="single" w:sz="6" w:space="0" w:color="000000"/>
              <w:right w:val="nil"/>
            </w:tcBorders>
            <w:shd w:val="clear" w:color="auto" w:fill="auto"/>
            <w:hideMark/>
          </w:tcPr>
          <w:p w14:paraId="1D588D7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69372E7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04FEAC8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5 </w:t>
            </w:r>
          </w:p>
          <w:p w14:paraId="392E79D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p w14:paraId="4704CDB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p w14:paraId="1E54266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1D51A66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606A136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2 </w:t>
            </w:r>
          </w:p>
        </w:tc>
        <w:tc>
          <w:tcPr>
            <w:tcW w:w="765" w:type="dxa"/>
            <w:tcBorders>
              <w:top w:val="single" w:sz="6" w:space="0" w:color="000000"/>
              <w:left w:val="nil"/>
              <w:bottom w:val="single" w:sz="6" w:space="0" w:color="000000"/>
              <w:right w:val="nil"/>
            </w:tcBorders>
            <w:shd w:val="clear" w:color="auto" w:fill="auto"/>
            <w:hideMark/>
          </w:tcPr>
          <w:p w14:paraId="60779A5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67696E8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52C1DFD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33 </w:t>
            </w:r>
          </w:p>
          <w:p w14:paraId="72B65C0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20 </w:t>
            </w:r>
          </w:p>
          <w:p w14:paraId="58F4851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20 </w:t>
            </w:r>
          </w:p>
          <w:p w14:paraId="37A22DB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63C0194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5B9665D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tc>
        <w:tc>
          <w:tcPr>
            <w:tcW w:w="765" w:type="dxa"/>
            <w:tcBorders>
              <w:top w:val="single" w:sz="6" w:space="0" w:color="000000"/>
              <w:left w:val="nil"/>
              <w:bottom w:val="single" w:sz="6" w:space="0" w:color="000000"/>
              <w:right w:val="nil"/>
            </w:tcBorders>
            <w:shd w:val="clear" w:color="auto" w:fill="auto"/>
            <w:hideMark/>
          </w:tcPr>
          <w:p w14:paraId="33CD2FD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61B1ED7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p w14:paraId="01EF4F8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11 </w:t>
            </w:r>
          </w:p>
          <w:p w14:paraId="54CA1C4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4 </w:t>
            </w:r>
          </w:p>
          <w:p w14:paraId="68AC62E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385C34B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445EBAF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0137DDA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tc>
        <w:tc>
          <w:tcPr>
            <w:tcW w:w="765" w:type="dxa"/>
            <w:tcBorders>
              <w:top w:val="single" w:sz="6" w:space="0" w:color="000000"/>
              <w:left w:val="nil"/>
              <w:bottom w:val="single" w:sz="6" w:space="0" w:color="000000"/>
              <w:right w:val="single" w:sz="6" w:space="0" w:color="000000"/>
            </w:tcBorders>
            <w:shd w:val="clear" w:color="auto" w:fill="auto"/>
            <w:hideMark/>
          </w:tcPr>
          <w:p w14:paraId="573EA7B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19B591E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10 </w:t>
            </w:r>
          </w:p>
          <w:p w14:paraId="65AABEC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37 </w:t>
            </w:r>
          </w:p>
          <w:p w14:paraId="6265C82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p w14:paraId="75BCAE0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23 </w:t>
            </w:r>
          </w:p>
          <w:p w14:paraId="626C1F6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p w14:paraId="68FE61F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p w14:paraId="0200A0D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10 </w:t>
            </w:r>
          </w:p>
        </w:tc>
      </w:tr>
      <w:tr w:rsidR="00BD530B" w:rsidRPr="008756F5" w14:paraId="00180CE4" w14:textId="77777777" w:rsidTr="00A56C43">
        <w:trPr>
          <w:trHeight w:val="2100"/>
        </w:trPr>
        <w:tc>
          <w:tcPr>
            <w:tcW w:w="3555" w:type="dxa"/>
            <w:tcBorders>
              <w:top w:val="nil"/>
              <w:left w:val="single" w:sz="6" w:space="0" w:color="000000"/>
              <w:bottom w:val="single" w:sz="6" w:space="0" w:color="000000"/>
              <w:right w:val="nil"/>
            </w:tcBorders>
            <w:shd w:val="clear" w:color="auto" w:fill="auto"/>
            <w:hideMark/>
          </w:tcPr>
          <w:p w14:paraId="69480B2E" w14:textId="77777777" w:rsidR="00BD530B" w:rsidRPr="008756F5" w:rsidRDefault="00BD530B" w:rsidP="00A56C43">
            <w:pPr>
              <w:textAlignment w:val="baseline"/>
              <w:rPr>
                <w:rFonts w:asciiTheme="minorHAnsi" w:hAnsiTheme="minorHAnsi" w:cstheme="minorHAnsi"/>
                <w:b/>
                <w:bCs/>
                <w:lang w:eastAsia="en-AU"/>
              </w:rPr>
            </w:pPr>
            <w:r w:rsidRPr="008756F5">
              <w:rPr>
                <w:rFonts w:asciiTheme="minorHAnsi" w:hAnsiTheme="minorHAnsi" w:cstheme="minorHAnsi"/>
                <w:b/>
                <w:bCs/>
                <w:color w:val="000000"/>
                <w:sz w:val="18"/>
                <w:szCs w:val="18"/>
                <w:lang w:eastAsia="en-AU"/>
              </w:rPr>
              <w:t xml:space="preserve">Support services </w:t>
            </w:r>
            <w:proofErr w:type="spellStart"/>
            <w:r w:rsidRPr="008756F5">
              <w:rPr>
                <w:rFonts w:asciiTheme="minorHAnsi" w:hAnsiTheme="minorHAnsi" w:cstheme="minorHAnsi"/>
                <w:b/>
                <w:bCs/>
                <w:color w:val="000000"/>
                <w:sz w:val="18"/>
                <w:szCs w:val="18"/>
                <w:lang w:eastAsia="en-AU"/>
              </w:rPr>
              <w:t>provided</w:t>
            </w:r>
            <w:r w:rsidRPr="008756F5">
              <w:rPr>
                <w:rFonts w:asciiTheme="minorHAnsi" w:hAnsiTheme="minorHAnsi" w:cstheme="minorHAnsi"/>
                <w:b/>
                <w:bCs/>
                <w:color w:val="000000"/>
                <w:sz w:val="14"/>
                <w:szCs w:val="14"/>
                <w:vertAlign w:val="superscript"/>
                <w:lang w:eastAsia="en-AU"/>
              </w:rPr>
              <w:t>a</w:t>
            </w:r>
            <w:proofErr w:type="spellEnd"/>
            <w:r w:rsidRPr="008756F5">
              <w:rPr>
                <w:rFonts w:asciiTheme="minorHAnsi" w:hAnsiTheme="minorHAnsi" w:cstheme="minorHAnsi"/>
                <w:b/>
                <w:bCs/>
                <w:color w:val="000000"/>
                <w:sz w:val="14"/>
                <w:szCs w:val="14"/>
                <w:lang w:eastAsia="en-AU"/>
              </w:rPr>
              <w:t> </w:t>
            </w:r>
          </w:p>
          <w:p w14:paraId="0BE1CE0A"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Cognitive behavioural therapy</w:t>
            </w:r>
            <w:r w:rsidRPr="008756F5">
              <w:rPr>
                <w:rFonts w:asciiTheme="minorHAnsi" w:hAnsiTheme="minorHAnsi" w:cstheme="minorHAnsi"/>
                <w:b/>
                <w:bCs/>
                <w:color w:val="000000"/>
                <w:sz w:val="18"/>
                <w:szCs w:val="18"/>
                <w:lang w:eastAsia="en-AU"/>
              </w:rPr>
              <w:t> </w:t>
            </w:r>
          </w:p>
          <w:p w14:paraId="70A9FF71" w14:textId="77777777" w:rsidR="00BD530B" w:rsidRPr="008756F5" w:rsidRDefault="00BD530B" w:rsidP="00A56C43">
            <w:pPr>
              <w:ind w:left="150"/>
              <w:textAlignment w:val="baseline"/>
              <w:rPr>
                <w:rFonts w:asciiTheme="minorHAnsi" w:hAnsiTheme="minorHAnsi" w:cstheme="minorHAnsi"/>
                <w:b/>
                <w:bCs/>
                <w:lang w:eastAsia="en-AU"/>
              </w:rPr>
            </w:pPr>
            <w:proofErr w:type="gramStart"/>
            <w:r w:rsidRPr="008756F5">
              <w:rPr>
                <w:rFonts w:asciiTheme="minorHAnsi" w:hAnsiTheme="minorHAnsi" w:cstheme="minorHAnsi"/>
                <w:color w:val="000000"/>
                <w:sz w:val="18"/>
                <w:szCs w:val="18"/>
                <w:lang w:eastAsia="en-AU"/>
              </w:rPr>
              <w:t>Psycho-education</w:t>
            </w:r>
            <w:proofErr w:type="gramEnd"/>
            <w:r w:rsidRPr="008756F5">
              <w:rPr>
                <w:rFonts w:asciiTheme="minorHAnsi" w:hAnsiTheme="minorHAnsi" w:cstheme="minorHAnsi"/>
                <w:b/>
                <w:bCs/>
                <w:color w:val="000000"/>
                <w:sz w:val="18"/>
                <w:szCs w:val="18"/>
                <w:lang w:eastAsia="en-AU"/>
              </w:rPr>
              <w:t> </w:t>
            </w:r>
          </w:p>
          <w:p w14:paraId="44B97987"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Reinforce strategies </w:t>
            </w:r>
            <w:r w:rsidRPr="008756F5">
              <w:rPr>
                <w:rFonts w:asciiTheme="minorHAnsi" w:hAnsiTheme="minorHAnsi" w:cstheme="minorHAnsi"/>
                <w:b/>
                <w:bCs/>
                <w:color w:val="000000"/>
                <w:sz w:val="18"/>
                <w:szCs w:val="18"/>
                <w:lang w:eastAsia="en-AU"/>
              </w:rPr>
              <w:t> </w:t>
            </w:r>
          </w:p>
          <w:p w14:paraId="1A78040A"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Risk assessments</w:t>
            </w:r>
            <w:r w:rsidRPr="008756F5">
              <w:rPr>
                <w:rFonts w:asciiTheme="minorHAnsi" w:hAnsiTheme="minorHAnsi" w:cstheme="minorHAnsi"/>
                <w:b/>
                <w:bCs/>
                <w:color w:val="000000"/>
                <w:sz w:val="18"/>
                <w:szCs w:val="18"/>
                <w:lang w:eastAsia="en-AU"/>
              </w:rPr>
              <w:t> </w:t>
            </w:r>
          </w:p>
          <w:p w14:paraId="093FBEDD"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Referrals to other services</w:t>
            </w:r>
            <w:r w:rsidRPr="008756F5">
              <w:rPr>
                <w:rFonts w:asciiTheme="minorHAnsi" w:hAnsiTheme="minorHAnsi" w:cstheme="minorHAnsi"/>
                <w:b/>
                <w:bCs/>
                <w:color w:val="000000"/>
                <w:sz w:val="18"/>
                <w:szCs w:val="18"/>
                <w:lang w:eastAsia="en-AU"/>
              </w:rPr>
              <w:t> </w:t>
            </w:r>
          </w:p>
          <w:p w14:paraId="6D89E5D8"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Mindfulness and relaxation interventions</w:t>
            </w:r>
            <w:r w:rsidRPr="008756F5">
              <w:rPr>
                <w:rFonts w:asciiTheme="minorHAnsi" w:hAnsiTheme="minorHAnsi" w:cstheme="minorHAnsi"/>
                <w:b/>
                <w:bCs/>
                <w:color w:val="000000"/>
                <w:sz w:val="18"/>
                <w:szCs w:val="18"/>
                <w:lang w:eastAsia="en-AU"/>
              </w:rPr>
              <w:t> </w:t>
            </w:r>
          </w:p>
          <w:p w14:paraId="5E438D32"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Counselling</w:t>
            </w:r>
            <w:r w:rsidRPr="008756F5">
              <w:rPr>
                <w:rFonts w:asciiTheme="minorHAnsi" w:hAnsiTheme="minorHAnsi" w:cstheme="minorHAnsi"/>
                <w:b/>
                <w:bCs/>
                <w:color w:val="000000"/>
                <w:sz w:val="18"/>
                <w:szCs w:val="18"/>
                <w:lang w:eastAsia="en-AU"/>
              </w:rPr>
              <w:t> </w:t>
            </w:r>
          </w:p>
          <w:p w14:paraId="608CAF92"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Carer supports</w:t>
            </w:r>
            <w:r w:rsidRPr="008756F5">
              <w:rPr>
                <w:rFonts w:asciiTheme="minorHAnsi" w:hAnsiTheme="minorHAnsi" w:cstheme="minorHAnsi"/>
                <w:b/>
                <w:bCs/>
                <w:color w:val="000000"/>
                <w:sz w:val="18"/>
                <w:szCs w:val="18"/>
                <w:lang w:eastAsia="en-AU"/>
              </w:rPr>
              <w:t> </w:t>
            </w:r>
          </w:p>
          <w:p w14:paraId="10387046"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Other</w:t>
            </w:r>
            <w:r w:rsidRPr="008756F5">
              <w:rPr>
                <w:rFonts w:asciiTheme="minorHAnsi" w:hAnsiTheme="minorHAnsi" w:cstheme="minorHAnsi"/>
                <w:b/>
                <w:bCs/>
                <w:color w:val="000000"/>
                <w:sz w:val="18"/>
                <w:szCs w:val="18"/>
                <w:lang w:eastAsia="en-AU"/>
              </w:rPr>
              <w:t> </w:t>
            </w:r>
          </w:p>
        </w:tc>
        <w:tc>
          <w:tcPr>
            <w:tcW w:w="765" w:type="dxa"/>
            <w:tcBorders>
              <w:top w:val="nil"/>
              <w:left w:val="nil"/>
              <w:bottom w:val="single" w:sz="6" w:space="0" w:color="000000"/>
              <w:right w:val="nil"/>
            </w:tcBorders>
            <w:shd w:val="clear" w:color="auto" w:fill="auto"/>
            <w:hideMark/>
          </w:tcPr>
          <w:p w14:paraId="6037E70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5BA7AB5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8 </w:t>
            </w:r>
          </w:p>
          <w:p w14:paraId="4A65561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8 </w:t>
            </w:r>
          </w:p>
          <w:p w14:paraId="2CA390C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19F5405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4 </w:t>
            </w:r>
          </w:p>
          <w:p w14:paraId="70B2FA1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4 </w:t>
            </w:r>
          </w:p>
          <w:p w14:paraId="1D320B9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5 </w:t>
            </w:r>
          </w:p>
          <w:p w14:paraId="23F29C3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6 </w:t>
            </w:r>
          </w:p>
          <w:p w14:paraId="2D5F71A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4196CED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65" w:type="dxa"/>
            <w:tcBorders>
              <w:top w:val="nil"/>
              <w:left w:val="nil"/>
              <w:bottom w:val="single" w:sz="6" w:space="0" w:color="000000"/>
              <w:right w:val="nil"/>
            </w:tcBorders>
            <w:shd w:val="clear" w:color="auto" w:fill="auto"/>
            <w:hideMark/>
          </w:tcPr>
          <w:p w14:paraId="518994B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261A704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100 </w:t>
            </w:r>
          </w:p>
          <w:p w14:paraId="5F51C75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100 </w:t>
            </w:r>
          </w:p>
          <w:p w14:paraId="5F59C20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88 </w:t>
            </w:r>
          </w:p>
          <w:p w14:paraId="11765E5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50 </w:t>
            </w:r>
          </w:p>
          <w:p w14:paraId="050D0AF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50 </w:t>
            </w:r>
          </w:p>
          <w:p w14:paraId="606B634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63 </w:t>
            </w:r>
          </w:p>
          <w:p w14:paraId="12CC6CB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75 </w:t>
            </w:r>
          </w:p>
          <w:p w14:paraId="47728A3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102DE1A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65" w:type="dxa"/>
            <w:tcBorders>
              <w:top w:val="nil"/>
              <w:left w:val="nil"/>
              <w:bottom w:val="single" w:sz="6" w:space="0" w:color="000000"/>
              <w:right w:val="nil"/>
            </w:tcBorders>
            <w:shd w:val="clear" w:color="auto" w:fill="auto"/>
            <w:hideMark/>
          </w:tcPr>
          <w:p w14:paraId="4B36DD4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12D387D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580F32E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6 </w:t>
            </w:r>
          </w:p>
          <w:p w14:paraId="5A207BB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6 </w:t>
            </w:r>
          </w:p>
          <w:p w14:paraId="2B3622D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6 </w:t>
            </w:r>
          </w:p>
          <w:p w14:paraId="56E3A7B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6 </w:t>
            </w:r>
          </w:p>
          <w:p w14:paraId="78220CA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5 </w:t>
            </w:r>
          </w:p>
          <w:p w14:paraId="4D4B693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4 </w:t>
            </w:r>
          </w:p>
          <w:p w14:paraId="611005A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2 </w:t>
            </w:r>
          </w:p>
          <w:p w14:paraId="3EB6752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2 </w:t>
            </w:r>
          </w:p>
        </w:tc>
        <w:tc>
          <w:tcPr>
            <w:tcW w:w="765" w:type="dxa"/>
            <w:tcBorders>
              <w:top w:val="nil"/>
              <w:left w:val="nil"/>
              <w:bottom w:val="single" w:sz="6" w:space="0" w:color="000000"/>
              <w:right w:val="nil"/>
            </w:tcBorders>
            <w:shd w:val="clear" w:color="auto" w:fill="auto"/>
            <w:hideMark/>
          </w:tcPr>
          <w:p w14:paraId="78B8E83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68B1E67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100 </w:t>
            </w:r>
          </w:p>
          <w:p w14:paraId="0BE3449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86 </w:t>
            </w:r>
          </w:p>
          <w:p w14:paraId="28CA204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86 </w:t>
            </w:r>
          </w:p>
          <w:p w14:paraId="6D45271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86 </w:t>
            </w:r>
          </w:p>
          <w:p w14:paraId="10F8D13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86 </w:t>
            </w:r>
          </w:p>
          <w:p w14:paraId="347F894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71 </w:t>
            </w:r>
          </w:p>
          <w:p w14:paraId="1BC2D95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57 </w:t>
            </w:r>
          </w:p>
          <w:p w14:paraId="1D17AE7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29 </w:t>
            </w:r>
          </w:p>
          <w:p w14:paraId="308C4A3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29 </w:t>
            </w:r>
          </w:p>
        </w:tc>
        <w:tc>
          <w:tcPr>
            <w:tcW w:w="765" w:type="dxa"/>
            <w:tcBorders>
              <w:top w:val="nil"/>
              <w:left w:val="nil"/>
              <w:bottom w:val="single" w:sz="6" w:space="0" w:color="000000"/>
              <w:right w:val="nil"/>
            </w:tcBorders>
            <w:shd w:val="clear" w:color="auto" w:fill="auto"/>
            <w:hideMark/>
          </w:tcPr>
          <w:p w14:paraId="1107208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5977B60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14 </w:t>
            </w:r>
          </w:p>
          <w:p w14:paraId="608E31D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p w14:paraId="4A1AA0A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11 </w:t>
            </w:r>
          </w:p>
          <w:p w14:paraId="7A93070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12 </w:t>
            </w:r>
          </w:p>
          <w:p w14:paraId="758287B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9 </w:t>
            </w:r>
          </w:p>
          <w:p w14:paraId="2B9E4DF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7322547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6 </w:t>
            </w:r>
          </w:p>
          <w:p w14:paraId="070E977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2 </w:t>
            </w:r>
          </w:p>
          <w:p w14:paraId="55D4B7F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2 </w:t>
            </w:r>
          </w:p>
        </w:tc>
        <w:tc>
          <w:tcPr>
            <w:tcW w:w="765" w:type="dxa"/>
            <w:tcBorders>
              <w:top w:val="nil"/>
              <w:left w:val="nil"/>
              <w:bottom w:val="single" w:sz="6" w:space="0" w:color="000000"/>
              <w:right w:val="nil"/>
            </w:tcBorders>
            <w:shd w:val="clear" w:color="auto" w:fill="auto"/>
            <w:hideMark/>
          </w:tcPr>
          <w:p w14:paraId="5CA290D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639B699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93 </w:t>
            </w:r>
          </w:p>
          <w:p w14:paraId="5C2E856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87 </w:t>
            </w:r>
          </w:p>
          <w:p w14:paraId="7FC04EB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73 </w:t>
            </w:r>
          </w:p>
          <w:p w14:paraId="0F992A0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80 </w:t>
            </w:r>
          </w:p>
          <w:p w14:paraId="01ED730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60 </w:t>
            </w:r>
          </w:p>
          <w:p w14:paraId="0D63C23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47 </w:t>
            </w:r>
          </w:p>
          <w:p w14:paraId="471F9C6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40 </w:t>
            </w:r>
          </w:p>
          <w:p w14:paraId="22C081D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p w14:paraId="4E41440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tc>
        <w:tc>
          <w:tcPr>
            <w:tcW w:w="765" w:type="dxa"/>
            <w:tcBorders>
              <w:top w:val="nil"/>
              <w:left w:val="nil"/>
              <w:bottom w:val="single" w:sz="6" w:space="0" w:color="000000"/>
              <w:right w:val="nil"/>
            </w:tcBorders>
            <w:shd w:val="clear" w:color="auto" w:fill="auto"/>
            <w:hideMark/>
          </w:tcPr>
          <w:p w14:paraId="38DBD29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642A524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29 </w:t>
            </w:r>
          </w:p>
          <w:p w14:paraId="46A357D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27 </w:t>
            </w:r>
          </w:p>
          <w:p w14:paraId="036CC79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24 </w:t>
            </w:r>
          </w:p>
          <w:p w14:paraId="7F31BD7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22 </w:t>
            </w:r>
          </w:p>
          <w:p w14:paraId="323DDD9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19 </w:t>
            </w:r>
          </w:p>
          <w:p w14:paraId="0A69AFA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17 </w:t>
            </w:r>
          </w:p>
          <w:p w14:paraId="1384B1C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16 </w:t>
            </w:r>
          </w:p>
          <w:p w14:paraId="64A4C86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4 </w:t>
            </w:r>
          </w:p>
          <w:p w14:paraId="20A9F31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4 </w:t>
            </w:r>
          </w:p>
        </w:tc>
        <w:tc>
          <w:tcPr>
            <w:tcW w:w="765" w:type="dxa"/>
            <w:tcBorders>
              <w:top w:val="nil"/>
              <w:left w:val="nil"/>
              <w:bottom w:val="single" w:sz="6" w:space="0" w:color="000000"/>
              <w:right w:val="single" w:sz="6" w:space="0" w:color="000000"/>
            </w:tcBorders>
            <w:shd w:val="clear" w:color="auto" w:fill="auto"/>
            <w:hideMark/>
          </w:tcPr>
          <w:p w14:paraId="32DF65A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3F4B057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97 </w:t>
            </w:r>
          </w:p>
          <w:p w14:paraId="3C1D8B9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90 </w:t>
            </w:r>
          </w:p>
          <w:p w14:paraId="5481B04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80 </w:t>
            </w:r>
          </w:p>
          <w:p w14:paraId="0E55182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73 </w:t>
            </w:r>
          </w:p>
          <w:p w14:paraId="718D0B2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63 </w:t>
            </w:r>
          </w:p>
          <w:p w14:paraId="4AF2AA3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57 </w:t>
            </w:r>
          </w:p>
          <w:p w14:paraId="5A78FD5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53 </w:t>
            </w:r>
          </w:p>
          <w:p w14:paraId="6E9BA1A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p w14:paraId="6395ACE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tc>
      </w:tr>
    </w:tbl>
    <w:p w14:paraId="35B345EB" w14:textId="77777777" w:rsidR="00BD530B" w:rsidRPr="008756F5" w:rsidRDefault="00BD530B" w:rsidP="00BD530B">
      <w:pPr>
        <w:textAlignment w:val="baseline"/>
        <w:rPr>
          <w:rFonts w:asciiTheme="minorHAnsi" w:hAnsiTheme="minorHAnsi" w:cstheme="minorHAnsi"/>
          <w:sz w:val="16"/>
          <w:szCs w:val="16"/>
          <w:lang w:eastAsia="en-AU"/>
        </w:rPr>
      </w:pPr>
      <w:r w:rsidRPr="008756F5">
        <w:rPr>
          <w:rFonts w:asciiTheme="minorHAnsi" w:hAnsiTheme="minorHAnsi" w:cstheme="minorHAnsi"/>
          <w:sz w:val="16"/>
          <w:szCs w:val="16"/>
          <w:lang w:eastAsia="en-AU"/>
        </w:rPr>
        <w:t xml:space="preserve">MHO, Mental Health Online; MS, </w:t>
      </w:r>
      <w:proofErr w:type="spellStart"/>
      <w:r w:rsidRPr="008756F5">
        <w:rPr>
          <w:rFonts w:asciiTheme="minorHAnsi" w:hAnsiTheme="minorHAnsi" w:cstheme="minorHAnsi"/>
          <w:color w:val="000000"/>
          <w:sz w:val="16"/>
          <w:szCs w:val="16"/>
          <w:lang w:eastAsia="en-AU"/>
        </w:rPr>
        <w:t>MindSpot</w:t>
      </w:r>
      <w:proofErr w:type="spellEnd"/>
      <w:r w:rsidRPr="008756F5">
        <w:rPr>
          <w:rFonts w:asciiTheme="minorHAnsi" w:hAnsiTheme="minorHAnsi" w:cstheme="minorHAnsi"/>
          <w:color w:val="000000"/>
          <w:sz w:val="16"/>
          <w:szCs w:val="16"/>
          <w:lang w:eastAsia="en-AU"/>
        </w:rPr>
        <w:t xml:space="preserve">; </w:t>
      </w:r>
      <w:r w:rsidRPr="008756F5">
        <w:rPr>
          <w:rFonts w:asciiTheme="minorHAnsi" w:hAnsiTheme="minorHAnsi" w:cstheme="minorHAnsi"/>
          <w:sz w:val="16"/>
          <w:szCs w:val="16"/>
          <w:lang w:eastAsia="en-AU"/>
        </w:rPr>
        <w:t xml:space="preserve">TWU, </w:t>
      </w:r>
      <w:r w:rsidRPr="008756F5">
        <w:rPr>
          <w:rFonts w:asciiTheme="minorHAnsi" w:hAnsiTheme="minorHAnsi" w:cstheme="minorHAnsi"/>
          <w:color w:val="000000"/>
          <w:sz w:val="16"/>
          <w:szCs w:val="16"/>
          <w:lang w:eastAsia="en-AU"/>
        </w:rPr>
        <w:t>THIS WAY UP.</w:t>
      </w:r>
    </w:p>
    <w:p w14:paraId="398E1FF7" w14:textId="77777777" w:rsidR="00BD530B" w:rsidRPr="008756F5" w:rsidRDefault="00BD530B" w:rsidP="008756F5">
      <w:pPr>
        <w:spacing w:after="240"/>
        <w:textAlignment w:val="baseline"/>
        <w:rPr>
          <w:rFonts w:asciiTheme="minorHAnsi" w:hAnsiTheme="minorHAnsi" w:cstheme="minorHAnsi"/>
          <w:sz w:val="16"/>
          <w:szCs w:val="16"/>
          <w:lang w:eastAsia="en-AU"/>
        </w:rPr>
      </w:pPr>
      <w:proofErr w:type="spellStart"/>
      <w:r w:rsidRPr="008756F5">
        <w:rPr>
          <w:rFonts w:asciiTheme="minorHAnsi" w:hAnsiTheme="minorHAnsi" w:cstheme="minorHAnsi"/>
          <w:color w:val="000000"/>
          <w:sz w:val="16"/>
          <w:szCs w:val="16"/>
          <w:vertAlign w:val="superscript"/>
          <w:lang w:eastAsia="en-AU"/>
        </w:rPr>
        <w:t>a</w:t>
      </w:r>
      <w:r w:rsidRPr="008756F5">
        <w:rPr>
          <w:rFonts w:asciiTheme="minorHAnsi" w:hAnsiTheme="minorHAnsi" w:cstheme="minorHAnsi"/>
          <w:sz w:val="16"/>
          <w:szCs w:val="16"/>
          <w:lang w:eastAsia="en-AU"/>
        </w:rPr>
        <w:t>Multiple</w:t>
      </w:r>
      <w:proofErr w:type="spellEnd"/>
      <w:r w:rsidRPr="008756F5">
        <w:rPr>
          <w:rFonts w:asciiTheme="minorHAnsi" w:hAnsiTheme="minorHAnsi" w:cstheme="minorHAnsi"/>
          <w:sz w:val="16"/>
          <w:szCs w:val="16"/>
          <w:lang w:eastAsia="en-AU"/>
        </w:rPr>
        <w:t xml:space="preserve"> responses permitted.</w:t>
      </w:r>
    </w:p>
    <w:p w14:paraId="1C6D14CF" w14:textId="77777777" w:rsidR="00BD530B" w:rsidRPr="008756F5" w:rsidRDefault="00BD530B" w:rsidP="00F83BCE">
      <w:pPr>
        <w:pStyle w:val="Heading2"/>
        <w:rPr>
          <w:sz w:val="18"/>
          <w:szCs w:val="18"/>
          <w:lang w:eastAsia="en-AU"/>
        </w:rPr>
      </w:pPr>
      <w:bookmarkStart w:id="162" w:name="_Toc108784864"/>
      <w:r w:rsidRPr="008756F5">
        <w:rPr>
          <w:lang w:val="en-GB" w:eastAsia="en-AU"/>
        </w:rPr>
        <w:t>Characteristics of DMHS provider interview respondents</w:t>
      </w:r>
      <w:bookmarkEnd w:id="162"/>
    </w:p>
    <w:p w14:paraId="1FC40704" w14:textId="77777777" w:rsidR="00BD530B" w:rsidRPr="008756F5" w:rsidRDefault="00BD530B" w:rsidP="008756F5">
      <w:pPr>
        <w:spacing w:after="240"/>
        <w:textAlignment w:val="baseline"/>
        <w:rPr>
          <w:rFonts w:asciiTheme="minorHAnsi" w:hAnsiTheme="minorHAnsi" w:cstheme="minorHAnsi"/>
          <w:sz w:val="21"/>
          <w:szCs w:val="21"/>
          <w:lang w:eastAsia="en-AU"/>
        </w:rPr>
      </w:pPr>
      <w:r w:rsidRPr="008756F5">
        <w:rPr>
          <w:rFonts w:asciiTheme="minorHAnsi" w:hAnsiTheme="minorHAnsi" w:cstheme="minorHAnsi"/>
          <w:sz w:val="21"/>
          <w:szCs w:val="21"/>
          <w:lang w:eastAsia="en-AU"/>
        </w:rPr>
        <w:t xml:space="preserve">Six providers also took part in an interview about DMHSs. Four providers were from THIS WAY UP and two providers from </w:t>
      </w:r>
      <w:proofErr w:type="spellStart"/>
      <w:r w:rsidRPr="008756F5">
        <w:rPr>
          <w:rFonts w:asciiTheme="minorHAnsi" w:hAnsiTheme="minorHAnsi" w:cstheme="minorHAnsi"/>
          <w:sz w:val="21"/>
          <w:szCs w:val="21"/>
          <w:lang w:eastAsia="en-AU"/>
        </w:rPr>
        <w:t>MindSpot</w:t>
      </w:r>
      <w:proofErr w:type="spellEnd"/>
      <w:r w:rsidRPr="008756F5">
        <w:rPr>
          <w:rFonts w:asciiTheme="minorHAnsi" w:hAnsiTheme="minorHAnsi" w:cstheme="minorHAnsi"/>
          <w:sz w:val="21"/>
          <w:szCs w:val="21"/>
          <w:lang w:eastAsia="en-AU"/>
        </w:rPr>
        <w:t>. No providers from Mental Health Online took part in an interview. Because of the small number of providers who took part in interviews, results are described for the total group rather than by service to protect privacy and anonymity.</w:t>
      </w:r>
    </w:p>
    <w:p w14:paraId="3E4DF8AC" w14:textId="77777777" w:rsidR="00BD530B" w:rsidRPr="008756F5" w:rsidRDefault="00BD530B" w:rsidP="008756F5">
      <w:pPr>
        <w:spacing w:after="240"/>
        <w:textAlignment w:val="baseline"/>
        <w:rPr>
          <w:rFonts w:asciiTheme="minorHAnsi" w:hAnsiTheme="minorHAnsi" w:cstheme="minorHAnsi"/>
          <w:sz w:val="21"/>
          <w:szCs w:val="21"/>
        </w:rPr>
      </w:pPr>
      <w:r w:rsidRPr="008756F5">
        <w:rPr>
          <w:rFonts w:asciiTheme="minorHAnsi" w:hAnsiTheme="minorHAnsi" w:cstheme="minorHAnsi"/>
          <w:sz w:val="21"/>
          <w:szCs w:val="21"/>
          <w:lang w:eastAsia="en-AU"/>
        </w:rPr>
        <w:t xml:space="preserve">All six providers were from New South Wales, five were female, one was male and five were under the age of 50 years. Five were trained as clinical psychologists and one was a general practitioner. Four of the six providers had </w:t>
      </w:r>
      <w:r w:rsidRPr="008756F5">
        <w:rPr>
          <w:rFonts w:asciiTheme="minorHAnsi" w:hAnsiTheme="minorHAnsi" w:cstheme="minorHAnsi"/>
          <w:sz w:val="21"/>
          <w:szCs w:val="21"/>
          <w:lang w:eastAsia="en-AU"/>
        </w:rPr>
        <w:lastRenderedPageBreak/>
        <w:t xml:space="preserve">under 10 years’ experience. </w:t>
      </w:r>
      <w:r w:rsidRPr="008756F5">
        <w:rPr>
          <w:rFonts w:asciiTheme="minorHAnsi" w:hAnsiTheme="minorHAnsi" w:cstheme="minorHAnsi"/>
          <w:sz w:val="21"/>
          <w:szCs w:val="21"/>
        </w:rPr>
        <w:t>All six providers had multiple roles within the DMHS. Some were involved in supporting consumers with using resources, others were also involved in research, the development of the online modules, supervising or supporting clinicians through the delivery of the intervention or had operational or managerial responsibilities. The number of consumers that providers supported through the program each week varied from 4 to 40. Three providers did not directly support consumers due to managerial responsibilities.</w:t>
      </w:r>
    </w:p>
    <w:p w14:paraId="5049BE9E" w14:textId="77777777" w:rsidR="00BD530B" w:rsidRPr="008756F5" w:rsidRDefault="00BD530B" w:rsidP="00F83BCE">
      <w:pPr>
        <w:pStyle w:val="Heading2"/>
        <w:rPr>
          <w:lang w:eastAsia="en-AU"/>
        </w:rPr>
      </w:pPr>
      <w:bookmarkStart w:id="163" w:name="_Toc108784865"/>
      <w:r w:rsidRPr="008756F5">
        <w:rPr>
          <w:lang w:eastAsia="en-AU"/>
        </w:rPr>
        <w:t>Provider views about suitability of DMHSs</w:t>
      </w:r>
      <w:bookmarkEnd w:id="163"/>
    </w:p>
    <w:p w14:paraId="38228EF6" w14:textId="398EB1A8" w:rsidR="00BD530B" w:rsidRDefault="00BD530B" w:rsidP="008756F5">
      <w:pPr>
        <w:spacing w:after="240"/>
        <w:textAlignment w:val="baseline"/>
        <w:rPr>
          <w:rFonts w:asciiTheme="minorHAnsi" w:hAnsiTheme="minorHAnsi" w:cstheme="minorHAnsi"/>
          <w:sz w:val="21"/>
          <w:szCs w:val="21"/>
          <w:lang w:eastAsia="en-AU"/>
        </w:rPr>
      </w:pPr>
      <w:r w:rsidRPr="008756F5">
        <w:rPr>
          <w:rFonts w:asciiTheme="minorHAnsi" w:hAnsiTheme="minorHAnsi" w:cstheme="minorHAnsi"/>
          <w:sz w:val="21"/>
          <w:szCs w:val="21"/>
          <w:lang w:eastAsia="en-AU"/>
        </w:rPr>
        <w:t xml:space="preserve">Table </w:t>
      </w:r>
      <w:r w:rsidR="003F6A26">
        <w:rPr>
          <w:rFonts w:asciiTheme="minorHAnsi" w:hAnsiTheme="minorHAnsi" w:cstheme="minorHAnsi"/>
          <w:sz w:val="21"/>
          <w:szCs w:val="21"/>
          <w:lang w:eastAsia="en-AU"/>
        </w:rPr>
        <w:t>32</w:t>
      </w:r>
      <w:r w:rsidRPr="008756F5">
        <w:rPr>
          <w:rFonts w:asciiTheme="minorHAnsi" w:hAnsiTheme="minorHAnsi" w:cstheme="minorHAnsi"/>
          <w:sz w:val="21"/>
          <w:szCs w:val="21"/>
          <w:lang w:eastAsia="en-AU"/>
        </w:rPr>
        <w:t xml:space="preserve"> highlights which consumer groups providers perceived DMHSs to be most suitable for and whether </w:t>
      </w:r>
      <w:proofErr w:type="gramStart"/>
      <w:r w:rsidRPr="008756F5">
        <w:rPr>
          <w:rFonts w:asciiTheme="minorHAnsi" w:hAnsiTheme="minorHAnsi" w:cstheme="minorHAnsi"/>
          <w:sz w:val="21"/>
          <w:szCs w:val="21"/>
          <w:lang w:eastAsia="en-AU"/>
        </w:rPr>
        <w:t>particular groups</w:t>
      </w:r>
      <w:proofErr w:type="gramEnd"/>
      <w:r w:rsidRPr="008756F5">
        <w:rPr>
          <w:rFonts w:asciiTheme="minorHAnsi" w:hAnsiTheme="minorHAnsi" w:cstheme="minorHAnsi"/>
          <w:sz w:val="21"/>
          <w:szCs w:val="21"/>
          <w:lang w:eastAsia="en-AU"/>
        </w:rPr>
        <w:t xml:space="preserve"> would benefit from tailored DMHSs. Overall, providers specified that DMHSs were ideal for those with mild (97%) and moderate (90%) symptomology. Across services, providers specified that DMHSs were most suitable for the following five mental health problems:</w:t>
      </w:r>
      <w:r w:rsidRPr="008756F5">
        <w:rPr>
          <w:rFonts w:asciiTheme="minorHAnsi" w:hAnsiTheme="minorHAnsi" w:cstheme="minorHAnsi"/>
          <w:lang w:eastAsia="en-AU"/>
        </w:rPr>
        <w:t xml:space="preserve"> </w:t>
      </w:r>
      <w:r w:rsidRPr="008756F5">
        <w:rPr>
          <w:rFonts w:asciiTheme="minorHAnsi" w:hAnsiTheme="minorHAnsi" w:cstheme="minorHAnsi"/>
          <w:sz w:val="21"/>
          <w:szCs w:val="21"/>
          <w:lang w:eastAsia="en-AU"/>
        </w:rPr>
        <w:t>anxiety, depression, OCD, PTSD, and substance use disorders; and least suitable for psychotic disorders. Sixty-seven percent of providers also indicated that there were consumer groups who would benefit from tailored DMHSs. These groups included people from CALD populations, LGBTQIA+ populations, Aboriginal or Torres Strait Islander populations and people living in rural or remote locations.</w:t>
      </w:r>
    </w:p>
    <w:p w14:paraId="71F081FC" w14:textId="018797E0" w:rsidR="00BD530B" w:rsidRPr="008756F5" w:rsidRDefault="00BD530B" w:rsidP="00BD530B">
      <w:pPr>
        <w:rPr>
          <w:rFonts w:asciiTheme="minorHAnsi" w:eastAsia="Calibri" w:hAnsiTheme="minorHAnsi" w:cstheme="minorHAnsi"/>
          <w:color w:val="000000" w:themeColor="text1"/>
          <w:sz w:val="21"/>
          <w:szCs w:val="21"/>
          <w:lang w:val="en-US"/>
        </w:rPr>
      </w:pPr>
      <w:r w:rsidRPr="008756F5">
        <w:rPr>
          <w:rFonts w:asciiTheme="minorHAnsi" w:eastAsia="Calibri" w:hAnsiTheme="minorHAnsi" w:cstheme="minorHAnsi"/>
          <w:b/>
          <w:bCs/>
          <w:color w:val="000000" w:themeColor="text1"/>
          <w:sz w:val="21"/>
          <w:szCs w:val="21"/>
          <w:lang w:val="en-US"/>
        </w:rPr>
        <w:t xml:space="preserve">Table </w:t>
      </w:r>
      <w:r w:rsidR="003F6A26">
        <w:rPr>
          <w:rFonts w:asciiTheme="minorHAnsi" w:eastAsia="Calibri" w:hAnsiTheme="minorHAnsi" w:cstheme="minorHAnsi"/>
          <w:b/>
          <w:bCs/>
          <w:color w:val="000000" w:themeColor="text1"/>
          <w:sz w:val="21"/>
          <w:szCs w:val="21"/>
          <w:lang w:val="en-US"/>
        </w:rPr>
        <w:t>32</w:t>
      </w:r>
      <w:r w:rsidRPr="008756F5">
        <w:rPr>
          <w:rFonts w:asciiTheme="minorHAnsi" w:eastAsia="Calibri" w:hAnsiTheme="minorHAnsi" w:cstheme="minorHAnsi"/>
          <w:b/>
          <w:bCs/>
          <w:color w:val="000000" w:themeColor="text1"/>
          <w:sz w:val="21"/>
          <w:szCs w:val="21"/>
          <w:lang w:val="en-US"/>
        </w:rPr>
        <w:t>. Suitability of DMHSs (N = 30)</w:t>
      </w:r>
    </w:p>
    <w:tbl>
      <w:tblPr>
        <w:tblW w:w="0" w:type="auto"/>
        <w:tblLayout w:type="fixed"/>
        <w:tblLook w:val="04A0" w:firstRow="1" w:lastRow="0" w:firstColumn="1" w:lastColumn="0" w:noHBand="0" w:noVBand="1"/>
        <w:tblCaption w:val="Suitability of DMHSs "/>
        <w:tblDescription w:val="Table describes providers perspectives regarding the suitability of DMHSs for consumer populations"/>
      </w:tblPr>
      <w:tblGrid>
        <w:gridCol w:w="3285"/>
        <w:gridCol w:w="690"/>
        <w:gridCol w:w="720"/>
        <w:gridCol w:w="690"/>
        <w:gridCol w:w="720"/>
        <w:gridCol w:w="690"/>
        <w:gridCol w:w="720"/>
        <w:gridCol w:w="690"/>
        <w:gridCol w:w="720"/>
      </w:tblGrid>
      <w:tr w:rsidR="00BD530B" w:rsidRPr="008756F5" w14:paraId="509C4B60" w14:textId="77777777" w:rsidTr="00A56C43">
        <w:trPr>
          <w:trHeight w:val="450"/>
        </w:trPr>
        <w:tc>
          <w:tcPr>
            <w:tcW w:w="3285" w:type="dxa"/>
            <w:tcBorders>
              <w:top w:val="single" w:sz="6" w:space="0" w:color="000000" w:themeColor="text1"/>
              <w:left w:val="single" w:sz="6" w:space="0" w:color="000000" w:themeColor="text1"/>
              <w:bottom w:val="nil"/>
              <w:right w:val="nil"/>
            </w:tcBorders>
            <w:shd w:val="clear" w:color="auto" w:fill="000000" w:themeFill="text1"/>
          </w:tcPr>
          <w:p w14:paraId="32B7857A" w14:textId="77777777" w:rsidR="00BD530B" w:rsidRPr="008756F5" w:rsidRDefault="00BD530B" w:rsidP="00A56C43">
            <w:pPr>
              <w:rPr>
                <w:rFonts w:asciiTheme="minorHAnsi" w:eastAsia="Calibri" w:hAnsiTheme="minorHAnsi" w:cstheme="minorHAnsi"/>
                <w:color w:val="FFFFFF" w:themeColor="background1"/>
                <w:sz w:val="18"/>
                <w:szCs w:val="18"/>
              </w:rPr>
            </w:pPr>
            <w:r w:rsidRPr="008756F5">
              <w:rPr>
                <w:rFonts w:asciiTheme="minorHAnsi" w:eastAsia="Calibri" w:hAnsiTheme="minorHAnsi" w:cstheme="minorHAnsi"/>
                <w:b/>
                <w:bCs/>
                <w:color w:val="FFFFFF" w:themeColor="background1"/>
                <w:sz w:val="18"/>
                <w:szCs w:val="18"/>
              </w:rPr>
              <w:t>Suitability </w:t>
            </w:r>
          </w:p>
        </w:tc>
        <w:tc>
          <w:tcPr>
            <w:tcW w:w="1410" w:type="dxa"/>
            <w:gridSpan w:val="2"/>
            <w:tcBorders>
              <w:top w:val="single" w:sz="6" w:space="0" w:color="000000" w:themeColor="text1"/>
              <w:left w:val="nil"/>
              <w:bottom w:val="nil"/>
              <w:right w:val="nil"/>
            </w:tcBorders>
            <w:shd w:val="clear" w:color="auto" w:fill="000000" w:themeFill="text1"/>
          </w:tcPr>
          <w:p w14:paraId="45886692" w14:textId="77777777" w:rsidR="00BD530B" w:rsidRPr="008756F5" w:rsidRDefault="00BD530B" w:rsidP="00A56C43">
            <w:pPr>
              <w:jc w:val="center"/>
              <w:rPr>
                <w:rFonts w:asciiTheme="minorHAnsi" w:eastAsia="Calibri" w:hAnsiTheme="minorHAnsi" w:cstheme="minorHAnsi"/>
                <w:color w:val="FFFFFF" w:themeColor="background1"/>
                <w:sz w:val="18"/>
                <w:szCs w:val="18"/>
              </w:rPr>
            </w:pPr>
            <w:r w:rsidRPr="008756F5">
              <w:rPr>
                <w:rFonts w:asciiTheme="minorHAnsi" w:eastAsia="Calibri" w:hAnsiTheme="minorHAnsi" w:cstheme="minorHAnsi"/>
                <w:b/>
                <w:bCs/>
                <w:color w:val="FFFFFF" w:themeColor="background1"/>
                <w:sz w:val="18"/>
                <w:szCs w:val="18"/>
              </w:rPr>
              <w:t>MHO </w:t>
            </w:r>
          </w:p>
          <w:p w14:paraId="1CD3D34C" w14:textId="77777777" w:rsidR="00BD530B" w:rsidRPr="008756F5" w:rsidRDefault="00BD530B" w:rsidP="00A56C43">
            <w:pPr>
              <w:jc w:val="center"/>
              <w:rPr>
                <w:rFonts w:asciiTheme="minorHAnsi" w:eastAsia="Calibri" w:hAnsiTheme="minorHAnsi" w:cstheme="minorHAnsi"/>
                <w:color w:val="FFFFFF" w:themeColor="background1"/>
                <w:sz w:val="18"/>
                <w:szCs w:val="18"/>
              </w:rPr>
            </w:pPr>
            <w:r w:rsidRPr="008756F5">
              <w:rPr>
                <w:rFonts w:asciiTheme="minorHAnsi" w:eastAsia="Calibri" w:hAnsiTheme="minorHAnsi" w:cstheme="minorHAnsi"/>
                <w:b/>
                <w:bCs/>
                <w:color w:val="FFFFFF" w:themeColor="background1"/>
                <w:sz w:val="18"/>
                <w:szCs w:val="18"/>
              </w:rPr>
              <w:t>(n=8) </w:t>
            </w:r>
          </w:p>
        </w:tc>
        <w:tc>
          <w:tcPr>
            <w:tcW w:w="1410" w:type="dxa"/>
            <w:gridSpan w:val="2"/>
            <w:tcBorders>
              <w:top w:val="single" w:sz="6" w:space="0" w:color="000000" w:themeColor="text1"/>
              <w:left w:val="nil"/>
              <w:bottom w:val="nil"/>
              <w:right w:val="nil"/>
            </w:tcBorders>
            <w:shd w:val="clear" w:color="auto" w:fill="000000" w:themeFill="text1"/>
          </w:tcPr>
          <w:p w14:paraId="055DBF70" w14:textId="77777777" w:rsidR="00BD530B" w:rsidRPr="008756F5" w:rsidRDefault="00BD530B" w:rsidP="00A56C43">
            <w:pPr>
              <w:jc w:val="center"/>
              <w:rPr>
                <w:rFonts w:asciiTheme="minorHAnsi" w:eastAsia="Calibri" w:hAnsiTheme="minorHAnsi" w:cstheme="minorHAnsi"/>
                <w:color w:val="FFFFFF" w:themeColor="background1"/>
                <w:sz w:val="18"/>
                <w:szCs w:val="18"/>
              </w:rPr>
            </w:pPr>
            <w:r w:rsidRPr="008756F5">
              <w:rPr>
                <w:rFonts w:asciiTheme="minorHAnsi" w:eastAsia="Calibri" w:hAnsiTheme="minorHAnsi" w:cstheme="minorHAnsi"/>
                <w:b/>
                <w:bCs/>
                <w:color w:val="FFFFFF" w:themeColor="background1"/>
                <w:sz w:val="18"/>
                <w:szCs w:val="18"/>
              </w:rPr>
              <w:t>MS </w:t>
            </w:r>
          </w:p>
          <w:p w14:paraId="7885E155" w14:textId="77777777" w:rsidR="00BD530B" w:rsidRPr="008756F5" w:rsidRDefault="00BD530B" w:rsidP="00A56C43">
            <w:pPr>
              <w:jc w:val="center"/>
              <w:rPr>
                <w:rFonts w:asciiTheme="minorHAnsi" w:eastAsia="Calibri" w:hAnsiTheme="minorHAnsi" w:cstheme="minorHAnsi"/>
                <w:color w:val="FFFFFF" w:themeColor="background1"/>
                <w:sz w:val="18"/>
                <w:szCs w:val="18"/>
              </w:rPr>
            </w:pPr>
            <w:r w:rsidRPr="008756F5">
              <w:rPr>
                <w:rFonts w:asciiTheme="minorHAnsi" w:eastAsia="Calibri" w:hAnsiTheme="minorHAnsi" w:cstheme="minorHAnsi"/>
                <w:b/>
                <w:bCs/>
                <w:color w:val="FFFFFF" w:themeColor="background1"/>
                <w:sz w:val="18"/>
                <w:szCs w:val="18"/>
              </w:rPr>
              <w:t>(n=7) </w:t>
            </w:r>
          </w:p>
        </w:tc>
        <w:tc>
          <w:tcPr>
            <w:tcW w:w="1410" w:type="dxa"/>
            <w:gridSpan w:val="2"/>
            <w:tcBorders>
              <w:top w:val="single" w:sz="6" w:space="0" w:color="000000" w:themeColor="text1"/>
              <w:left w:val="nil"/>
              <w:bottom w:val="nil"/>
              <w:right w:val="nil"/>
            </w:tcBorders>
            <w:shd w:val="clear" w:color="auto" w:fill="000000" w:themeFill="text1"/>
          </w:tcPr>
          <w:p w14:paraId="43227C2E" w14:textId="77777777" w:rsidR="00BD530B" w:rsidRPr="008756F5" w:rsidRDefault="00BD530B" w:rsidP="00A56C43">
            <w:pPr>
              <w:jc w:val="center"/>
              <w:rPr>
                <w:rFonts w:asciiTheme="minorHAnsi" w:eastAsia="Calibri" w:hAnsiTheme="minorHAnsi" w:cstheme="minorHAnsi"/>
                <w:color w:val="FFFFFF" w:themeColor="background1"/>
                <w:sz w:val="18"/>
                <w:szCs w:val="18"/>
              </w:rPr>
            </w:pPr>
            <w:r w:rsidRPr="008756F5">
              <w:rPr>
                <w:rFonts w:asciiTheme="minorHAnsi" w:eastAsia="Calibri" w:hAnsiTheme="minorHAnsi" w:cstheme="minorHAnsi"/>
                <w:b/>
                <w:bCs/>
                <w:color w:val="FFFFFF" w:themeColor="background1"/>
                <w:sz w:val="18"/>
                <w:szCs w:val="18"/>
              </w:rPr>
              <w:t>TWU </w:t>
            </w:r>
          </w:p>
          <w:p w14:paraId="1D02C5C2" w14:textId="77777777" w:rsidR="00BD530B" w:rsidRPr="008756F5" w:rsidRDefault="00BD530B" w:rsidP="00A56C43">
            <w:pPr>
              <w:jc w:val="center"/>
              <w:rPr>
                <w:rFonts w:asciiTheme="minorHAnsi" w:eastAsia="Calibri" w:hAnsiTheme="minorHAnsi" w:cstheme="minorHAnsi"/>
                <w:color w:val="FFFFFF" w:themeColor="background1"/>
                <w:sz w:val="18"/>
                <w:szCs w:val="18"/>
              </w:rPr>
            </w:pPr>
            <w:r w:rsidRPr="008756F5">
              <w:rPr>
                <w:rFonts w:asciiTheme="minorHAnsi" w:eastAsia="Calibri" w:hAnsiTheme="minorHAnsi" w:cstheme="minorHAnsi"/>
                <w:b/>
                <w:bCs/>
                <w:color w:val="FFFFFF" w:themeColor="background1"/>
                <w:sz w:val="18"/>
                <w:szCs w:val="18"/>
              </w:rPr>
              <w:t>(n=15) </w:t>
            </w:r>
          </w:p>
        </w:tc>
        <w:tc>
          <w:tcPr>
            <w:tcW w:w="1410" w:type="dxa"/>
            <w:gridSpan w:val="2"/>
            <w:tcBorders>
              <w:top w:val="single" w:sz="6" w:space="0" w:color="000000" w:themeColor="text1"/>
              <w:left w:val="nil"/>
              <w:bottom w:val="nil"/>
              <w:right w:val="single" w:sz="6" w:space="0" w:color="000000" w:themeColor="text1"/>
            </w:tcBorders>
            <w:shd w:val="clear" w:color="auto" w:fill="000000" w:themeFill="text1"/>
          </w:tcPr>
          <w:p w14:paraId="0E695D2D" w14:textId="77777777" w:rsidR="00BD530B" w:rsidRPr="008756F5" w:rsidRDefault="00BD530B" w:rsidP="00A56C43">
            <w:pPr>
              <w:jc w:val="center"/>
              <w:rPr>
                <w:rFonts w:asciiTheme="minorHAnsi" w:eastAsia="Calibri" w:hAnsiTheme="minorHAnsi" w:cstheme="minorHAnsi"/>
                <w:color w:val="FFFFFF" w:themeColor="background1"/>
                <w:sz w:val="18"/>
                <w:szCs w:val="18"/>
              </w:rPr>
            </w:pPr>
            <w:r w:rsidRPr="008756F5">
              <w:rPr>
                <w:rFonts w:asciiTheme="minorHAnsi" w:eastAsia="Calibri" w:hAnsiTheme="minorHAnsi" w:cstheme="minorHAnsi"/>
                <w:b/>
                <w:bCs/>
                <w:color w:val="FFFFFF" w:themeColor="background1"/>
                <w:sz w:val="18"/>
                <w:szCs w:val="18"/>
              </w:rPr>
              <w:t>Total </w:t>
            </w:r>
          </w:p>
          <w:p w14:paraId="7B283593" w14:textId="77777777" w:rsidR="00BD530B" w:rsidRPr="008756F5" w:rsidRDefault="00BD530B" w:rsidP="00A56C43">
            <w:pPr>
              <w:jc w:val="center"/>
              <w:rPr>
                <w:rFonts w:asciiTheme="minorHAnsi" w:eastAsia="Calibri" w:hAnsiTheme="minorHAnsi" w:cstheme="minorHAnsi"/>
                <w:color w:val="FFFFFF" w:themeColor="background1"/>
                <w:sz w:val="18"/>
                <w:szCs w:val="18"/>
              </w:rPr>
            </w:pPr>
            <w:r w:rsidRPr="008756F5">
              <w:rPr>
                <w:rFonts w:asciiTheme="minorHAnsi" w:eastAsia="Calibri" w:hAnsiTheme="minorHAnsi" w:cstheme="minorHAnsi"/>
                <w:b/>
                <w:bCs/>
                <w:color w:val="FFFFFF" w:themeColor="background1"/>
                <w:sz w:val="18"/>
                <w:szCs w:val="18"/>
              </w:rPr>
              <w:t>N=30) </w:t>
            </w:r>
          </w:p>
        </w:tc>
      </w:tr>
      <w:tr w:rsidR="00BD530B" w:rsidRPr="008756F5" w14:paraId="5FB4B10B" w14:textId="77777777" w:rsidTr="00A56C43">
        <w:trPr>
          <w:trHeight w:val="180"/>
        </w:trPr>
        <w:tc>
          <w:tcPr>
            <w:tcW w:w="3285" w:type="dxa"/>
            <w:tcBorders>
              <w:top w:val="single" w:sz="6" w:space="0" w:color="000000" w:themeColor="text1"/>
              <w:left w:val="single" w:sz="6" w:space="0" w:color="000000" w:themeColor="text1"/>
              <w:bottom w:val="single" w:sz="6" w:space="0" w:color="000000" w:themeColor="text1"/>
              <w:right w:val="nil"/>
            </w:tcBorders>
            <w:shd w:val="clear" w:color="auto" w:fill="000000" w:themeFill="text1"/>
          </w:tcPr>
          <w:p w14:paraId="17048F33" w14:textId="77777777" w:rsidR="00BD530B" w:rsidRPr="008756F5" w:rsidRDefault="00BD530B" w:rsidP="00A56C43">
            <w:pPr>
              <w:rPr>
                <w:rFonts w:asciiTheme="minorHAnsi" w:eastAsia="Calibri" w:hAnsiTheme="minorHAnsi" w:cstheme="minorHAnsi"/>
                <w:color w:val="FFFFFF" w:themeColor="background1"/>
                <w:sz w:val="18"/>
                <w:szCs w:val="18"/>
              </w:rPr>
            </w:pPr>
            <w:r w:rsidRPr="008756F5">
              <w:rPr>
                <w:rFonts w:asciiTheme="minorHAnsi" w:eastAsia="Calibri" w:hAnsiTheme="minorHAnsi" w:cstheme="minorHAnsi"/>
                <w:b/>
                <w:bCs/>
                <w:color w:val="FFFFFF" w:themeColor="background1"/>
                <w:sz w:val="18"/>
                <w:szCs w:val="18"/>
              </w:rPr>
              <w:t> </w:t>
            </w:r>
          </w:p>
        </w:tc>
        <w:tc>
          <w:tcPr>
            <w:tcW w:w="690" w:type="dxa"/>
            <w:tcBorders>
              <w:top w:val="single" w:sz="6" w:space="0" w:color="000000" w:themeColor="text1"/>
              <w:left w:val="nil"/>
              <w:bottom w:val="single" w:sz="6" w:space="0" w:color="000000" w:themeColor="text1"/>
              <w:right w:val="nil"/>
            </w:tcBorders>
            <w:shd w:val="clear" w:color="auto" w:fill="000000" w:themeFill="text1"/>
          </w:tcPr>
          <w:p w14:paraId="24F64B88" w14:textId="77777777" w:rsidR="00BD530B" w:rsidRPr="008756F5" w:rsidRDefault="00BD530B" w:rsidP="00A56C43">
            <w:pPr>
              <w:jc w:val="center"/>
              <w:rPr>
                <w:rFonts w:asciiTheme="minorHAnsi" w:eastAsia="Calibri" w:hAnsiTheme="minorHAnsi" w:cstheme="minorHAnsi"/>
                <w:color w:val="FFFFFF" w:themeColor="background1"/>
                <w:sz w:val="18"/>
                <w:szCs w:val="18"/>
              </w:rPr>
            </w:pPr>
            <w:r w:rsidRPr="008756F5">
              <w:rPr>
                <w:rFonts w:asciiTheme="minorHAnsi" w:eastAsia="Calibri" w:hAnsiTheme="minorHAnsi" w:cstheme="minorHAnsi"/>
                <w:b/>
                <w:bCs/>
                <w:color w:val="FFFFFF" w:themeColor="background1"/>
                <w:sz w:val="18"/>
                <w:szCs w:val="18"/>
              </w:rPr>
              <w:t>n</w:t>
            </w:r>
            <w:r w:rsidRPr="008756F5">
              <w:rPr>
                <w:rFonts w:asciiTheme="minorHAnsi" w:eastAsia="Calibri" w:hAnsiTheme="minorHAnsi" w:cstheme="minorHAnsi"/>
                <w:color w:val="FFFFFF" w:themeColor="background1"/>
                <w:sz w:val="18"/>
                <w:szCs w:val="18"/>
              </w:rPr>
              <w:t> </w:t>
            </w:r>
          </w:p>
        </w:tc>
        <w:tc>
          <w:tcPr>
            <w:tcW w:w="720" w:type="dxa"/>
            <w:tcBorders>
              <w:top w:val="single" w:sz="6" w:space="0" w:color="000000" w:themeColor="text1"/>
              <w:left w:val="nil"/>
              <w:bottom w:val="single" w:sz="6" w:space="0" w:color="000000" w:themeColor="text1"/>
              <w:right w:val="nil"/>
            </w:tcBorders>
            <w:shd w:val="clear" w:color="auto" w:fill="000000" w:themeFill="text1"/>
          </w:tcPr>
          <w:p w14:paraId="17BC5622" w14:textId="77777777" w:rsidR="00BD530B" w:rsidRPr="008756F5" w:rsidRDefault="00BD530B" w:rsidP="00A56C43">
            <w:pPr>
              <w:jc w:val="center"/>
              <w:rPr>
                <w:rFonts w:asciiTheme="minorHAnsi" w:eastAsia="Calibri" w:hAnsiTheme="minorHAnsi" w:cstheme="minorHAnsi"/>
                <w:color w:val="FFFFFF" w:themeColor="background1"/>
                <w:sz w:val="18"/>
                <w:szCs w:val="18"/>
              </w:rPr>
            </w:pPr>
            <w:r w:rsidRPr="008756F5">
              <w:rPr>
                <w:rFonts w:asciiTheme="minorHAnsi" w:eastAsia="Calibri" w:hAnsiTheme="minorHAnsi" w:cstheme="minorHAnsi"/>
                <w:b/>
                <w:bCs/>
                <w:color w:val="FFFFFF" w:themeColor="background1"/>
                <w:sz w:val="18"/>
                <w:szCs w:val="18"/>
              </w:rPr>
              <w:t>%</w:t>
            </w:r>
            <w:r w:rsidRPr="008756F5">
              <w:rPr>
                <w:rFonts w:asciiTheme="minorHAnsi" w:eastAsia="Calibri" w:hAnsiTheme="minorHAnsi" w:cstheme="minorHAnsi"/>
                <w:color w:val="FFFFFF" w:themeColor="background1"/>
                <w:sz w:val="18"/>
                <w:szCs w:val="18"/>
              </w:rPr>
              <w:t> </w:t>
            </w:r>
          </w:p>
        </w:tc>
        <w:tc>
          <w:tcPr>
            <w:tcW w:w="690" w:type="dxa"/>
            <w:tcBorders>
              <w:top w:val="single" w:sz="6" w:space="0" w:color="000000" w:themeColor="text1"/>
              <w:left w:val="nil"/>
              <w:bottom w:val="single" w:sz="6" w:space="0" w:color="000000" w:themeColor="text1"/>
              <w:right w:val="nil"/>
            </w:tcBorders>
            <w:shd w:val="clear" w:color="auto" w:fill="000000" w:themeFill="text1"/>
          </w:tcPr>
          <w:p w14:paraId="2F4112E5" w14:textId="77777777" w:rsidR="00BD530B" w:rsidRPr="008756F5" w:rsidRDefault="00BD530B" w:rsidP="00A56C43">
            <w:pPr>
              <w:jc w:val="center"/>
              <w:rPr>
                <w:rFonts w:asciiTheme="minorHAnsi" w:eastAsia="Calibri" w:hAnsiTheme="minorHAnsi" w:cstheme="minorHAnsi"/>
                <w:color w:val="FFFFFF" w:themeColor="background1"/>
                <w:sz w:val="18"/>
                <w:szCs w:val="18"/>
              </w:rPr>
            </w:pPr>
            <w:r w:rsidRPr="008756F5">
              <w:rPr>
                <w:rFonts w:asciiTheme="minorHAnsi" w:eastAsia="Calibri" w:hAnsiTheme="minorHAnsi" w:cstheme="minorHAnsi"/>
                <w:b/>
                <w:bCs/>
                <w:color w:val="FFFFFF" w:themeColor="background1"/>
                <w:sz w:val="18"/>
                <w:szCs w:val="18"/>
              </w:rPr>
              <w:t>n</w:t>
            </w:r>
            <w:r w:rsidRPr="008756F5">
              <w:rPr>
                <w:rFonts w:asciiTheme="minorHAnsi" w:eastAsia="Calibri" w:hAnsiTheme="minorHAnsi" w:cstheme="minorHAnsi"/>
                <w:color w:val="FFFFFF" w:themeColor="background1"/>
                <w:sz w:val="18"/>
                <w:szCs w:val="18"/>
              </w:rPr>
              <w:t> </w:t>
            </w:r>
          </w:p>
        </w:tc>
        <w:tc>
          <w:tcPr>
            <w:tcW w:w="720" w:type="dxa"/>
            <w:tcBorders>
              <w:top w:val="single" w:sz="6" w:space="0" w:color="000000" w:themeColor="text1"/>
              <w:left w:val="nil"/>
              <w:bottom w:val="single" w:sz="6" w:space="0" w:color="000000" w:themeColor="text1"/>
              <w:right w:val="nil"/>
            </w:tcBorders>
            <w:shd w:val="clear" w:color="auto" w:fill="000000" w:themeFill="text1"/>
          </w:tcPr>
          <w:p w14:paraId="6E7EAC09" w14:textId="77777777" w:rsidR="00BD530B" w:rsidRPr="008756F5" w:rsidRDefault="00BD530B" w:rsidP="00A56C43">
            <w:pPr>
              <w:jc w:val="center"/>
              <w:rPr>
                <w:rFonts w:asciiTheme="minorHAnsi" w:eastAsia="Calibri" w:hAnsiTheme="minorHAnsi" w:cstheme="minorHAnsi"/>
                <w:color w:val="FFFFFF" w:themeColor="background1"/>
                <w:sz w:val="18"/>
                <w:szCs w:val="18"/>
              </w:rPr>
            </w:pPr>
            <w:r w:rsidRPr="008756F5">
              <w:rPr>
                <w:rFonts w:asciiTheme="minorHAnsi" w:eastAsia="Calibri" w:hAnsiTheme="minorHAnsi" w:cstheme="minorHAnsi"/>
                <w:b/>
                <w:bCs/>
                <w:color w:val="FFFFFF" w:themeColor="background1"/>
                <w:sz w:val="18"/>
                <w:szCs w:val="18"/>
              </w:rPr>
              <w:t>%</w:t>
            </w:r>
            <w:r w:rsidRPr="008756F5">
              <w:rPr>
                <w:rFonts w:asciiTheme="minorHAnsi" w:eastAsia="Calibri" w:hAnsiTheme="minorHAnsi" w:cstheme="minorHAnsi"/>
                <w:color w:val="FFFFFF" w:themeColor="background1"/>
                <w:sz w:val="18"/>
                <w:szCs w:val="18"/>
              </w:rPr>
              <w:t> </w:t>
            </w:r>
          </w:p>
        </w:tc>
        <w:tc>
          <w:tcPr>
            <w:tcW w:w="690" w:type="dxa"/>
            <w:tcBorders>
              <w:top w:val="single" w:sz="6" w:space="0" w:color="000000" w:themeColor="text1"/>
              <w:left w:val="nil"/>
              <w:bottom w:val="single" w:sz="6" w:space="0" w:color="000000" w:themeColor="text1"/>
              <w:right w:val="nil"/>
            </w:tcBorders>
            <w:shd w:val="clear" w:color="auto" w:fill="000000" w:themeFill="text1"/>
          </w:tcPr>
          <w:p w14:paraId="0C9AD51A" w14:textId="77777777" w:rsidR="00BD530B" w:rsidRPr="008756F5" w:rsidRDefault="00BD530B" w:rsidP="00A56C43">
            <w:pPr>
              <w:jc w:val="center"/>
              <w:rPr>
                <w:rFonts w:asciiTheme="minorHAnsi" w:eastAsia="Calibri" w:hAnsiTheme="minorHAnsi" w:cstheme="minorHAnsi"/>
                <w:color w:val="FFFFFF" w:themeColor="background1"/>
                <w:sz w:val="18"/>
                <w:szCs w:val="18"/>
              </w:rPr>
            </w:pPr>
            <w:r w:rsidRPr="008756F5">
              <w:rPr>
                <w:rFonts w:asciiTheme="minorHAnsi" w:eastAsia="Calibri" w:hAnsiTheme="minorHAnsi" w:cstheme="minorHAnsi"/>
                <w:b/>
                <w:bCs/>
                <w:color w:val="FFFFFF" w:themeColor="background1"/>
                <w:sz w:val="18"/>
                <w:szCs w:val="18"/>
              </w:rPr>
              <w:t>n</w:t>
            </w:r>
            <w:r w:rsidRPr="008756F5">
              <w:rPr>
                <w:rFonts w:asciiTheme="minorHAnsi" w:eastAsia="Calibri" w:hAnsiTheme="minorHAnsi" w:cstheme="minorHAnsi"/>
                <w:color w:val="FFFFFF" w:themeColor="background1"/>
                <w:sz w:val="18"/>
                <w:szCs w:val="18"/>
              </w:rPr>
              <w:t> </w:t>
            </w:r>
          </w:p>
        </w:tc>
        <w:tc>
          <w:tcPr>
            <w:tcW w:w="720" w:type="dxa"/>
            <w:tcBorders>
              <w:top w:val="single" w:sz="6" w:space="0" w:color="000000" w:themeColor="text1"/>
              <w:left w:val="nil"/>
              <w:bottom w:val="single" w:sz="6" w:space="0" w:color="000000" w:themeColor="text1"/>
              <w:right w:val="nil"/>
            </w:tcBorders>
            <w:shd w:val="clear" w:color="auto" w:fill="000000" w:themeFill="text1"/>
          </w:tcPr>
          <w:p w14:paraId="2AEDF56D" w14:textId="77777777" w:rsidR="00BD530B" w:rsidRPr="008756F5" w:rsidRDefault="00BD530B" w:rsidP="00A56C43">
            <w:pPr>
              <w:jc w:val="center"/>
              <w:rPr>
                <w:rFonts w:asciiTheme="minorHAnsi" w:eastAsia="Calibri" w:hAnsiTheme="minorHAnsi" w:cstheme="minorHAnsi"/>
                <w:color w:val="FFFFFF" w:themeColor="background1"/>
                <w:sz w:val="18"/>
                <w:szCs w:val="18"/>
              </w:rPr>
            </w:pPr>
            <w:r w:rsidRPr="008756F5">
              <w:rPr>
                <w:rFonts w:asciiTheme="minorHAnsi" w:eastAsia="Calibri" w:hAnsiTheme="minorHAnsi" w:cstheme="minorHAnsi"/>
                <w:b/>
                <w:bCs/>
                <w:color w:val="FFFFFF" w:themeColor="background1"/>
                <w:sz w:val="18"/>
                <w:szCs w:val="18"/>
              </w:rPr>
              <w:t>%</w:t>
            </w:r>
            <w:r w:rsidRPr="008756F5">
              <w:rPr>
                <w:rFonts w:asciiTheme="minorHAnsi" w:eastAsia="Calibri" w:hAnsiTheme="minorHAnsi" w:cstheme="minorHAnsi"/>
                <w:color w:val="FFFFFF" w:themeColor="background1"/>
                <w:sz w:val="18"/>
                <w:szCs w:val="18"/>
              </w:rPr>
              <w:t> </w:t>
            </w:r>
          </w:p>
        </w:tc>
        <w:tc>
          <w:tcPr>
            <w:tcW w:w="690" w:type="dxa"/>
            <w:tcBorders>
              <w:top w:val="single" w:sz="6" w:space="0" w:color="000000" w:themeColor="text1"/>
              <w:left w:val="nil"/>
              <w:bottom w:val="single" w:sz="6" w:space="0" w:color="000000" w:themeColor="text1"/>
              <w:right w:val="nil"/>
            </w:tcBorders>
            <w:shd w:val="clear" w:color="auto" w:fill="000000" w:themeFill="text1"/>
          </w:tcPr>
          <w:p w14:paraId="05ED2C2B" w14:textId="77777777" w:rsidR="00BD530B" w:rsidRPr="008756F5" w:rsidRDefault="00BD530B" w:rsidP="00A56C43">
            <w:pPr>
              <w:jc w:val="center"/>
              <w:rPr>
                <w:rFonts w:asciiTheme="minorHAnsi" w:eastAsia="Calibri" w:hAnsiTheme="minorHAnsi" w:cstheme="minorHAnsi"/>
                <w:color w:val="FFFFFF" w:themeColor="background1"/>
                <w:sz w:val="18"/>
                <w:szCs w:val="18"/>
              </w:rPr>
            </w:pPr>
            <w:r w:rsidRPr="008756F5">
              <w:rPr>
                <w:rFonts w:asciiTheme="minorHAnsi" w:eastAsia="Calibri" w:hAnsiTheme="minorHAnsi" w:cstheme="minorHAnsi"/>
                <w:b/>
                <w:bCs/>
                <w:color w:val="FFFFFF" w:themeColor="background1"/>
                <w:sz w:val="18"/>
                <w:szCs w:val="18"/>
              </w:rPr>
              <w:t>n</w:t>
            </w:r>
            <w:r w:rsidRPr="008756F5">
              <w:rPr>
                <w:rFonts w:asciiTheme="minorHAnsi" w:eastAsia="Calibri" w:hAnsiTheme="minorHAnsi" w:cstheme="minorHAnsi"/>
                <w:color w:val="FFFFFF" w:themeColor="background1"/>
                <w:sz w:val="18"/>
                <w:szCs w:val="18"/>
              </w:rPr>
              <w:t> </w:t>
            </w:r>
          </w:p>
        </w:tc>
        <w:tc>
          <w:tcPr>
            <w:tcW w:w="720" w:type="dxa"/>
            <w:tcBorders>
              <w:top w:val="single" w:sz="6" w:space="0" w:color="000000" w:themeColor="text1"/>
              <w:left w:val="nil"/>
              <w:bottom w:val="single" w:sz="6" w:space="0" w:color="000000" w:themeColor="text1"/>
              <w:right w:val="single" w:sz="6" w:space="0" w:color="000000" w:themeColor="text1"/>
            </w:tcBorders>
            <w:shd w:val="clear" w:color="auto" w:fill="000000" w:themeFill="text1"/>
          </w:tcPr>
          <w:p w14:paraId="76C431BA" w14:textId="77777777" w:rsidR="00BD530B" w:rsidRPr="008756F5" w:rsidRDefault="00BD530B" w:rsidP="00A56C43">
            <w:pPr>
              <w:jc w:val="center"/>
              <w:rPr>
                <w:rFonts w:asciiTheme="minorHAnsi" w:eastAsia="Calibri" w:hAnsiTheme="minorHAnsi" w:cstheme="minorHAnsi"/>
                <w:color w:val="FFFFFF" w:themeColor="background1"/>
                <w:sz w:val="18"/>
                <w:szCs w:val="18"/>
              </w:rPr>
            </w:pPr>
            <w:r w:rsidRPr="008756F5">
              <w:rPr>
                <w:rFonts w:asciiTheme="minorHAnsi" w:eastAsia="Calibri" w:hAnsiTheme="minorHAnsi" w:cstheme="minorHAnsi"/>
                <w:b/>
                <w:bCs/>
                <w:color w:val="FFFFFF" w:themeColor="background1"/>
                <w:sz w:val="18"/>
                <w:szCs w:val="18"/>
              </w:rPr>
              <w:t>%</w:t>
            </w:r>
            <w:r w:rsidRPr="008756F5">
              <w:rPr>
                <w:rFonts w:asciiTheme="minorHAnsi" w:eastAsia="Calibri" w:hAnsiTheme="minorHAnsi" w:cstheme="minorHAnsi"/>
                <w:color w:val="FFFFFF" w:themeColor="background1"/>
                <w:sz w:val="18"/>
                <w:szCs w:val="18"/>
              </w:rPr>
              <w:t> </w:t>
            </w:r>
          </w:p>
        </w:tc>
      </w:tr>
      <w:tr w:rsidR="00BD530B" w:rsidRPr="008756F5" w14:paraId="67C07C4D" w14:textId="77777777" w:rsidTr="00A56C43">
        <w:trPr>
          <w:trHeight w:val="810"/>
        </w:trPr>
        <w:tc>
          <w:tcPr>
            <w:tcW w:w="3285" w:type="dxa"/>
            <w:tcBorders>
              <w:top w:val="single" w:sz="6" w:space="0" w:color="000000" w:themeColor="text1"/>
              <w:left w:val="single" w:sz="6" w:space="0" w:color="000000" w:themeColor="text1"/>
              <w:bottom w:val="nil"/>
              <w:right w:val="nil"/>
            </w:tcBorders>
            <w:vAlign w:val="bottom"/>
          </w:tcPr>
          <w:p w14:paraId="31F8D23B" w14:textId="77777777" w:rsidR="00BD530B" w:rsidRPr="008756F5" w:rsidRDefault="00BD530B" w:rsidP="00A56C43">
            <w:pPr>
              <w:rPr>
                <w:rFonts w:asciiTheme="minorHAnsi" w:eastAsia="Calibri" w:hAnsiTheme="minorHAnsi" w:cstheme="minorHAnsi"/>
                <w:color w:val="000000" w:themeColor="text1"/>
                <w:sz w:val="18"/>
                <w:szCs w:val="18"/>
              </w:rPr>
            </w:pPr>
            <w:r w:rsidRPr="008756F5">
              <w:rPr>
                <w:rFonts w:asciiTheme="minorHAnsi" w:eastAsia="Calibri" w:hAnsiTheme="minorHAnsi" w:cstheme="minorHAnsi"/>
                <w:b/>
                <w:bCs/>
                <w:color w:val="000000" w:themeColor="text1"/>
                <w:sz w:val="18"/>
                <w:szCs w:val="18"/>
              </w:rPr>
              <w:t>Severity suitability </w:t>
            </w:r>
          </w:p>
          <w:p w14:paraId="31A5F61B"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Mild</w:t>
            </w:r>
            <w:r w:rsidRPr="008756F5">
              <w:rPr>
                <w:rFonts w:asciiTheme="minorHAnsi" w:eastAsia="Calibri" w:hAnsiTheme="minorHAnsi" w:cstheme="minorHAnsi"/>
                <w:b/>
                <w:bCs/>
                <w:color w:val="000000" w:themeColor="text1"/>
                <w:sz w:val="18"/>
                <w:szCs w:val="18"/>
              </w:rPr>
              <w:t> </w:t>
            </w:r>
          </w:p>
          <w:p w14:paraId="46DF2706"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Moderate</w:t>
            </w:r>
            <w:r w:rsidRPr="008756F5">
              <w:rPr>
                <w:rFonts w:asciiTheme="minorHAnsi" w:eastAsia="Calibri" w:hAnsiTheme="minorHAnsi" w:cstheme="minorHAnsi"/>
                <w:b/>
                <w:bCs/>
                <w:color w:val="000000" w:themeColor="text1"/>
                <w:sz w:val="18"/>
                <w:szCs w:val="18"/>
              </w:rPr>
              <w:t> </w:t>
            </w:r>
          </w:p>
          <w:p w14:paraId="79E8FA60"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Severe</w:t>
            </w:r>
            <w:r w:rsidRPr="008756F5">
              <w:rPr>
                <w:rFonts w:asciiTheme="minorHAnsi" w:eastAsia="Calibri" w:hAnsiTheme="minorHAnsi" w:cstheme="minorHAnsi"/>
                <w:b/>
                <w:bCs/>
                <w:color w:val="000000" w:themeColor="text1"/>
                <w:sz w:val="18"/>
                <w:szCs w:val="18"/>
              </w:rPr>
              <w:t> </w:t>
            </w:r>
          </w:p>
        </w:tc>
        <w:tc>
          <w:tcPr>
            <w:tcW w:w="690" w:type="dxa"/>
            <w:tcBorders>
              <w:top w:val="single" w:sz="6" w:space="0" w:color="000000" w:themeColor="text1"/>
              <w:left w:val="nil"/>
              <w:bottom w:val="nil"/>
              <w:right w:val="nil"/>
            </w:tcBorders>
            <w:vAlign w:val="bottom"/>
          </w:tcPr>
          <w:p w14:paraId="79DA35F9"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7 </w:t>
            </w:r>
          </w:p>
          <w:p w14:paraId="43559076"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6 </w:t>
            </w:r>
          </w:p>
          <w:p w14:paraId="4493D436"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1 </w:t>
            </w:r>
          </w:p>
        </w:tc>
        <w:tc>
          <w:tcPr>
            <w:tcW w:w="720" w:type="dxa"/>
            <w:tcBorders>
              <w:top w:val="single" w:sz="6" w:space="0" w:color="000000" w:themeColor="text1"/>
              <w:left w:val="nil"/>
              <w:bottom w:val="nil"/>
              <w:right w:val="nil"/>
            </w:tcBorders>
            <w:vAlign w:val="bottom"/>
          </w:tcPr>
          <w:p w14:paraId="7640F12F"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88</w:t>
            </w:r>
          </w:p>
          <w:p w14:paraId="3471828C"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75 </w:t>
            </w:r>
          </w:p>
          <w:p w14:paraId="01AA130C"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13 </w:t>
            </w:r>
          </w:p>
        </w:tc>
        <w:tc>
          <w:tcPr>
            <w:tcW w:w="690" w:type="dxa"/>
            <w:tcBorders>
              <w:top w:val="single" w:sz="6" w:space="0" w:color="000000" w:themeColor="text1"/>
              <w:left w:val="nil"/>
              <w:bottom w:val="nil"/>
              <w:right w:val="nil"/>
            </w:tcBorders>
            <w:vAlign w:val="bottom"/>
          </w:tcPr>
          <w:p w14:paraId="74A97332"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7 </w:t>
            </w:r>
          </w:p>
          <w:p w14:paraId="23B53C14"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6 </w:t>
            </w:r>
          </w:p>
          <w:p w14:paraId="7ACE9478"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5 </w:t>
            </w:r>
          </w:p>
        </w:tc>
        <w:tc>
          <w:tcPr>
            <w:tcW w:w="720" w:type="dxa"/>
            <w:tcBorders>
              <w:top w:val="single" w:sz="6" w:space="0" w:color="000000" w:themeColor="text1"/>
              <w:left w:val="nil"/>
              <w:bottom w:val="nil"/>
              <w:right w:val="nil"/>
            </w:tcBorders>
            <w:vAlign w:val="bottom"/>
          </w:tcPr>
          <w:p w14:paraId="6222AB30"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100</w:t>
            </w:r>
          </w:p>
          <w:p w14:paraId="670E4A58"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86 </w:t>
            </w:r>
          </w:p>
          <w:p w14:paraId="2A47001D"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71 </w:t>
            </w:r>
          </w:p>
        </w:tc>
        <w:tc>
          <w:tcPr>
            <w:tcW w:w="690" w:type="dxa"/>
            <w:tcBorders>
              <w:top w:val="single" w:sz="6" w:space="0" w:color="000000" w:themeColor="text1"/>
              <w:left w:val="nil"/>
              <w:bottom w:val="nil"/>
              <w:right w:val="nil"/>
            </w:tcBorders>
            <w:vAlign w:val="bottom"/>
          </w:tcPr>
          <w:p w14:paraId="00DC32D4"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15 </w:t>
            </w:r>
          </w:p>
          <w:p w14:paraId="1A969DC6"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15 </w:t>
            </w:r>
          </w:p>
          <w:p w14:paraId="1F2F7599"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1 </w:t>
            </w:r>
          </w:p>
        </w:tc>
        <w:tc>
          <w:tcPr>
            <w:tcW w:w="720" w:type="dxa"/>
            <w:tcBorders>
              <w:top w:val="single" w:sz="6" w:space="0" w:color="000000" w:themeColor="text1"/>
              <w:left w:val="nil"/>
              <w:bottom w:val="nil"/>
              <w:right w:val="nil"/>
            </w:tcBorders>
            <w:vAlign w:val="bottom"/>
          </w:tcPr>
          <w:p w14:paraId="7ABF2431"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100</w:t>
            </w:r>
          </w:p>
          <w:p w14:paraId="11DC5770"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100 </w:t>
            </w:r>
          </w:p>
          <w:p w14:paraId="4D1327A6"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7</w:t>
            </w:r>
          </w:p>
        </w:tc>
        <w:tc>
          <w:tcPr>
            <w:tcW w:w="690" w:type="dxa"/>
            <w:tcBorders>
              <w:top w:val="single" w:sz="6" w:space="0" w:color="000000" w:themeColor="text1"/>
              <w:left w:val="nil"/>
              <w:bottom w:val="nil"/>
              <w:right w:val="nil"/>
            </w:tcBorders>
            <w:vAlign w:val="bottom"/>
          </w:tcPr>
          <w:p w14:paraId="72E4DB7A"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29 </w:t>
            </w:r>
          </w:p>
          <w:p w14:paraId="50C4BECC"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27 </w:t>
            </w:r>
          </w:p>
          <w:p w14:paraId="26D86C1B"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7 </w:t>
            </w:r>
          </w:p>
        </w:tc>
        <w:tc>
          <w:tcPr>
            <w:tcW w:w="720" w:type="dxa"/>
            <w:tcBorders>
              <w:top w:val="single" w:sz="6" w:space="0" w:color="000000" w:themeColor="text1"/>
              <w:left w:val="nil"/>
              <w:bottom w:val="nil"/>
              <w:right w:val="single" w:sz="6" w:space="0" w:color="000000" w:themeColor="text1"/>
            </w:tcBorders>
            <w:vAlign w:val="bottom"/>
          </w:tcPr>
          <w:p w14:paraId="57B81309"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97 </w:t>
            </w:r>
          </w:p>
          <w:p w14:paraId="4BBF2832"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90 </w:t>
            </w:r>
          </w:p>
          <w:p w14:paraId="7F75DD87"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23</w:t>
            </w:r>
          </w:p>
        </w:tc>
      </w:tr>
      <w:tr w:rsidR="00BD530B" w:rsidRPr="008756F5" w14:paraId="059D271A" w14:textId="77777777" w:rsidTr="00A56C43">
        <w:trPr>
          <w:trHeight w:val="2835"/>
        </w:trPr>
        <w:tc>
          <w:tcPr>
            <w:tcW w:w="3285" w:type="dxa"/>
            <w:tcBorders>
              <w:top w:val="single" w:sz="6" w:space="0" w:color="000000" w:themeColor="text1"/>
              <w:left w:val="single" w:sz="6" w:space="0" w:color="000000" w:themeColor="text1"/>
              <w:bottom w:val="single" w:sz="6" w:space="0" w:color="000000" w:themeColor="text1"/>
              <w:right w:val="nil"/>
            </w:tcBorders>
          </w:tcPr>
          <w:p w14:paraId="5E6D8457" w14:textId="77777777" w:rsidR="00BD530B" w:rsidRPr="008756F5" w:rsidRDefault="00BD530B" w:rsidP="00A56C43">
            <w:pPr>
              <w:rPr>
                <w:rFonts w:asciiTheme="minorHAnsi" w:eastAsia="Calibri" w:hAnsiTheme="minorHAnsi" w:cstheme="minorHAnsi"/>
                <w:color w:val="000000" w:themeColor="text1"/>
                <w:sz w:val="18"/>
                <w:szCs w:val="18"/>
              </w:rPr>
            </w:pPr>
            <w:r w:rsidRPr="008756F5">
              <w:rPr>
                <w:rFonts w:asciiTheme="minorHAnsi" w:eastAsia="Calibri" w:hAnsiTheme="minorHAnsi" w:cstheme="minorHAnsi"/>
                <w:b/>
                <w:bCs/>
                <w:color w:val="000000" w:themeColor="text1"/>
                <w:sz w:val="18"/>
                <w:szCs w:val="18"/>
              </w:rPr>
              <w:t xml:space="preserve">Diagnostic </w:t>
            </w:r>
            <w:proofErr w:type="spellStart"/>
            <w:r w:rsidRPr="008756F5">
              <w:rPr>
                <w:rFonts w:asciiTheme="minorHAnsi" w:eastAsia="Calibri" w:hAnsiTheme="minorHAnsi" w:cstheme="minorHAnsi"/>
                <w:b/>
                <w:bCs/>
                <w:color w:val="000000" w:themeColor="text1"/>
                <w:sz w:val="18"/>
                <w:szCs w:val="18"/>
              </w:rPr>
              <w:t>suitability</w:t>
            </w:r>
            <w:r w:rsidRPr="008756F5">
              <w:rPr>
                <w:rFonts w:asciiTheme="minorHAnsi" w:eastAsia="Calibri" w:hAnsiTheme="minorHAnsi" w:cstheme="minorHAnsi"/>
                <w:b/>
                <w:bCs/>
                <w:color w:val="000000" w:themeColor="text1"/>
                <w:sz w:val="18"/>
                <w:szCs w:val="18"/>
                <w:vertAlign w:val="superscript"/>
              </w:rPr>
              <w:t>d</w:t>
            </w:r>
            <w:proofErr w:type="spellEnd"/>
            <w:r w:rsidRPr="008756F5">
              <w:rPr>
                <w:rFonts w:asciiTheme="minorHAnsi" w:eastAsia="Calibri" w:hAnsiTheme="minorHAnsi" w:cstheme="minorHAnsi"/>
                <w:b/>
                <w:bCs/>
                <w:color w:val="000000" w:themeColor="text1"/>
                <w:sz w:val="18"/>
                <w:szCs w:val="18"/>
              </w:rPr>
              <w:t> </w:t>
            </w:r>
          </w:p>
          <w:p w14:paraId="2A7AECCD"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Anxiety</w:t>
            </w:r>
            <w:r w:rsidRPr="008756F5">
              <w:rPr>
                <w:rFonts w:asciiTheme="minorHAnsi" w:eastAsia="Calibri" w:hAnsiTheme="minorHAnsi" w:cstheme="minorHAnsi"/>
                <w:b/>
                <w:bCs/>
                <w:color w:val="000000" w:themeColor="text1"/>
                <w:sz w:val="18"/>
                <w:szCs w:val="18"/>
              </w:rPr>
              <w:t> </w:t>
            </w:r>
          </w:p>
          <w:p w14:paraId="48DB3D3A"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Depression</w:t>
            </w:r>
            <w:r w:rsidRPr="008756F5">
              <w:rPr>
                <w:rFonts w:asciiTheme="minorHAnsi" w:eastAsia="Calibri" w:hAnsiTheme="minorHAnsi" w:cstheme="minorHAnsi"/>
                <w:b/>
                <w:bCs/>
                <w:color w:val="000000" w:themeColor="text1"/>
                <w:sz w:val="18"/>
                <w:szCs w:val="18"/>
              </w:rPr>
              <w:t> </w:t>
            </w:r>
          </w:p>
          <w:p w14:paraId="1DC8C239"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OCD</w:t>
            </w:r>
            <w:r w:rsidRPr="008756F5">
              <w:rPr>
                <w:rFonts w:asciiTheme="minorHAnsi" w:eastAsia="Calibri" w:hAnsiTheme="minorHAnsi" w:cstheme="minorHAnsi"/>
                <w:b/>
                <w:bCs/>
                <w:color w:val="000000" w:themeColor="text1"/>
                <w:sz w:val="18"/>
                <w:szCs w:val="18"/>
              </w:rPr>
              <w:t> </w:t>
            </w:r>
          </w:p>
          <w:p w14:paraId="39CFCA9E"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PTSD</w:t>
            </w:r>
            <w:r w:rsidRPr="008756F5">
              <w:rPr>
                <w:rFonts w:asciiTheme="minorHAnsi" w:eastAsia="Calibri" w:hAnsiTheme="minorHAnsi" w:cstheme="minorHAnsi"/>
                <w:b/>
                <w:bCs/>
                <w:color w:val="000000" w:themeColor="text1"/>
                <w:sz w:val="18"/>
                <w:szCs w:val="18"/>
              </w:rPr>
              <w:t> </w:t>
            </w:r>
          </w:p>
          <w:p w14:paraId="739CD4EE"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Substance use disorders</w:t>
            </w:r>
            <w:r w:rsidRPr="008756F5">
              <w:rPr>
                <w:rFonts w:asciiTheme="minorHAnsi" w:eastAsia="Calibri" w:hAnsiTheme="minorHAnsi" w:cstheme="minorHAnsi"/>
                <w:b/>
                <w:bCs/>
                <w:color w:val="000000" w:themeColor="text1"/>
                <w:sz w:val="18"/>
                <w:szCs w:val="18"/>
              </w:rPr>
              <w:t> </w:t>
            </w:r>
          </w:p>
          <w:p w14:paraId="62A19DE1"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Self-harm</w:t>
            </w:r>
            <w:r w:rsidRPr="008756F5">
              <w:rPr>
                <w:rFonts w:asciiTheme="minorHAnsi" w:eastAsia="Calibri" w:hAnsiTheme="minorHAnsi" w:cstheme="minorHAnsi"/>
                <w:b/>
                <w:bCs/>
                <w:color w:val="000000" w:themeColor="text1"/>
                <w:sz w:val="18"/>
                <w:szCs w:val="18"/>
              </w:rPr>
              <w:t> </w:t>
            </w:r>
          </w:p>
          <w:p w14:paraId="6D329E79"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Suicidal ideation</w:t>
            </w:r>
            <w:r w:rsidRPr="008756F5">
              <w:rPr>
                <w:rFonts w:asciiTheme="minorHAnsi" w:eastAsia="Calibri" w:hAnsiTheme="minorHAnsi" w:cstheme="minorHAnsi"/>
                <w:b/>
                <w:bCs/>
                <w:color w:val="000000" w:themeColor="text1"/>
                <w:sz w:val="18"/>
                <w:szCs w:val="18"/>
              </w:rPr>
              <w:t> </w:t>
            </w:r>
          </w:p>
          <w:p w14:paraId="49F66AB6"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Personality disorders</w:t>
            </w:r>
            <w:r w:rsidRPr="008756F5">
              <w:rPr>
                <w:rFonts w:asciiTheme="minorHAnsi" w:eastAsia="Calibri" w:hAnsiTheme="minorHAnsi" w:cstheme="minorHAnsi"/>
                <w:b/>
                <w:bCs/>
                <w:color w:val="000000" w:themeColor="text1"/>
                <w:sz w:val="18"/>
                <w:szCs w:val="18"/>
              </w:rPr>
              <w:t> </w:t>
            </w:r>
          </w:p>
          <w:p w14:paraId="0D68B18B"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Eating disorders</w:t>
            </w:r>
            <w:r w:rsidRPr="008756F5">
              <w:rPr>
                <w:rFonts w:asciiTheme="minorHAnsi" w:eastAsia="Calibri" w:hAnsiTheme="minorHAnsi" w:cstheme="minorHAnsi"/>
                <w:b/>
                <w:bCs/>
                <w:color w:val="000000" w:themeColor="text1"/>
                <w:sz w:val="18"/>
                <w:szCs w:val="18"/>
              </w:rPr>
              <w:t> </w:t>
            </w:r>
          </w:p>
          <w:p w14:paraId="046FEAC8"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Bipolar disorders</w:t>
            </w:r>
            <w:r w:rsidRPr="008756F5">
              <w:rPr>
                <w:rFonts w:asciiTheme="minorHAnsi" w:eastAsia="Calibri" w:hAnsiTheme="minorHAnsi" w:cstheme="minorHAnsi"/>
                <w:b/>
                <w:bCs/>
                <w:color w:val="000000" w:themeColor="text1"/>
                <w:sz w:val="18"/>
                <w:szCs w:val="18"/>
              </w:rPr>
              <w:t> </w:t>
            </w:r>
          </w:p>
          <w:p w14:paraId="548EA07E"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Psychotic disorders </w:t>
            </w:r>
            <w:r w:rsidRPr="008756F5">
              <w:rPr>
                <w:rFonts w:asciiTheme="minorHAnsi" w:eastAsia="Calibri" w:hAnsiTheme="minorHAnsi" w:cstheme="minorHAnsi"/>
                <w:b/>
                <w:bCs/>
                <w:color w:val="000000" w:themeColor="text1"/>
                <w:sz w:val="18"/>
                <w:szCs w:val="18"/>
              </w:rPr>
              <w:t> </w:t>
            </w:r>
          </w:p>
          <w:p w14:paraId="7EAFF78F"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Other</w:t>
            </w:r>
            <w:r w:rsidRPr="008756F5">
              <w:rPr>
                <w:rFonts w:asciiTheme="minorHAnsi" w:eastAsia="Calibri" w:hAnsiTheme="minorHAnsi" w:cstheme="minorHAnsi"/>
                <w:b/>
                <w:bCs/>
                <w:color w:val="000000" w:themeColor="text1"/>
                <w:sz w:val="18"/>
                <w:szCs w:val="18"/>
              </w:rPr>
              <w:t> </w:t>
            </w:r>
          </w:p>
        </w:tc>
        <w:tc>
          <w:tcPr>
            <w:tcW w:w="690" w:type="dxa"/>
            <w:tcBorders>
              <w:top w:val="single" w:sz="6" w:space="0" w:color="000000" w:themeColor="text1"/>
              <w:left w:val="nil"/>
              <w:bottom w:val="single" w:sz="6" w:space="0" w:color="000000" w:themeColor="text1"/>
              <w:right w:val="nil"/>
            </w:tcBorders>
          </w:tcPr>
          <w:p w14:paraId="3FB91778"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 </w:t>
            </w:r>
          </w:p>
          <w:p w14:paraId="3AC62D70"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8 </w:t>
            </w:r>
          </w:p>
          <w:p w14:paraId="5FC9E92B"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7 </w:t>
            </w:r>
          </w:p>
          <w:p w14:paraId="6002FB66"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3 </w:t>
            </w:r>
          </w:p>
          <w:p w14:paraId="6D735DA8"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2 </w:t>
            </w:r>
          </w:p>
          <w:p w14:paraId="7DDCDB8E"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2 </w:t>
            </w:r>
          </w:p>
          <w:p w14:paraId="1CDFDB96"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1 </w:t>
            </w:r>
          </w:p>
          <w:p w14:paraId="52F7CCDA"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1 </w:t>
            </w:r>
          </w:p>
          <w:p w14:paraId="077AAC5A"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2 </w:t>
            </w:r>
          </w:p>
          <w:p w14:paraId="0832B46B"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2 </w:t>
            </w:r>
          </w:p>
          <w:p w14:paraId="1C40176F"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1 </w:t>
            </w:r>
          </w:p>
          <w:p w14:paraId="61CFB764"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1 </w:t>
            </w:r>
          </w:p>
          <w:p w14:paraId="78BB6EC3"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1 </w:t>
            </w:r>
          </w:p>
        </w:tc>
        <w:tc>
          <w:tcPr>
            <w:tcW w:w="720" w:type="dxa"/>
            <w:tcBorders>
              <w:top w:val="single" w:sz="6" w:space="0" w:color="000000" w:themeColor="text1"/>
              <w:left w:val="nil"/>
              <w:bottom w:val="single" w:sz="6" w:space="0" w:color="000000" w:themeColor="text1"/>
              <w:right w:val="nil"/>
            </w:tcBorders>
          </w:tcPr>
          <w:p w14:paraId="49951D35"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 </w:t>
            </w:r>
          </w:p>
          <w:p w14:paraId="788E6985"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100 </w:t>
            </w:r>
          </w:p>
          <w:p w14:paraId="0A730968"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88</w:t>
            </w:r>
          </w:p>
          <w:p w14:paraId="7A3C9872"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38</w:t>
            </w:r>
          </w:p>
          <w:p w14:paraId="01B13A10"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25</w:t>
            </w:r>
          </w:p>
          <w:p w14:paraId="070D39FA"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25 </w:t>
            </w:r>
          </w:p>
          <w:p w14:paraId="2175EE36"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13</w:t>
            </w:r>
          </w:p>
          <w:p w14:paraId="4440558A"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13 </w:t>
            </w:r>
          </w:p>
          <w:p w14:paraId="731E681B"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25 </w:t>
            </w:r>
          </w:p>
          <w:p w14:paraId="708CDB93"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25 </w:t>
            </w:r>
          </w:p>
          <w:p w14:paraId="66D09BB3"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13 </w:t>
            </w:r>
          </w:p>
          <w:p w14:paraId="6BF20142"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13 </w:t>
            </w:r>
          </w:p>
          <w:p w14:paraId="3E273C02"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13 </w:t>
            </w:r>
          </w:p>
        </w:tc>
        <w:tc>
          <w:tcPr>
            <w:tcW w:w="690" w:type="dxa"/>
            <w:tcBorders>
              <w:top w:val="single" w:sz="6" w:space="0" w:color="000000" w:themeColor="text1"/>
              <w:left w:val="nil"/>
              <w:bottom w:val="single" w:sz="6" w:space="0" w:color="000000" w:themeColor="text1"/>
              <w:right w:val="nil"/>
            </w:tcBorders>
          </w:tcPr>
          <w:p w14:paraId="0235FC76"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 </w:t>
            </w:r>
          </w:p>
          <w:p w14:paraId="6C22E546"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7 </w:t>
            </w:r>
          </w:p>
          <w:p w14:paraId="11C2A74B"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7 </w:t>
            </w:r>
          </w:p>
          <w:p w14:paraId="7398B233"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7 </w:t>
            </w:r>
          </w:p>
          <w:p w14:paraId="43F93315"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7 </w:t>
            </w:r>
          </w:p>
          <w:p w14:paraId="4A297D7A"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4 </w:t>
            </w:r>
          </w:p>
          <w:p w14:paraId="34BF8AC9"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4 </w:t>
            </w:r>
          </w:p>
          <w:p w14:paraId="333C1637"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5 </w:t>
            </w:r>
          </w:p>
          <w:p w14:paraId="232D039D"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4 </w:t>
            </w:r>
          </w:p>
          <w:p w14:paraId="10F06A64"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4 </w:t>
            </w:r>
          </w:p>
          <w:p w14:paraId="722E3553"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5 </w:t>
            </w:r>
          </w:p>
          <w:p w14:paraId="71C0976D"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1 </w:t>
            </w:r>
          </w:p>
          <w:p w14:paraId="047E2E8E"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2 </w:t>
            </w:r>
          </w:p>
        </w:tc>
        <w:tc>
          <w:tcPr>
            <w:tcW w:w="720" w:type="dxa"/>
            <w:tcBorders>
              <w:top w:val="single" w:sz="6" w:space="0" w:color="000000" w:themeColor="text1"/>
              <w:left w:val="nil"/>
              <w:bottom w:val="single" w:sz="6" w:space="0" w:color="000000" w:themeColor="text1"/>
              <w:right w:val="nil"/>
            </w:tcBorders>
          </w:tcPr>
          <w:p w14:paraId="77CCBE19"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 </w:t>
            </w:r>
          </w:p>
          <w:p w14:paraId="04A5ADFC"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100 </w:t>
            </w:r>
          </w:p>
          <w:p w14:paraId="63105B69"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100 </w:t>
            </w:r>
          </w:p>
          <w:p w14:paraId="058FB433"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100 </w:t>
            </w:r>
          </w:p>
          <w:p w14:paraId="7500AEF6"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100 </w:t>
            </w:r>
          </w:p>
          <w:p w14:paraId="36451A8A"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57 </w:t>
            </w:r>
          </w:p>
          <w:p w14:paraId="1417EDB0"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57 </w:t>
            </w:r>
          </w:p>
          <w:p w14:paraId="75062C56"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71 </w:t>
            </w:r>
          </w:p>
          <w:p w14:paraId="08DFD050"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57 </w:t>
            </w:r>
          </w:p>
          <w:p w14:paraId="0D47444A"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57 </w:t>
            </w:r>
          </w:p>
          <w:p w14:paraId="02137958"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71 </w:t>
            </w:r>
          </w:p>
          <w:p w14:paraId="4022C9C2"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14 </w:t>
            </w:r>
          </w:p>
          <w:p w14:paraId="11A2F870"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29 </w:t>
            </w:r>
          </w:p>
        </w:tc>
        <w:tc>
          <w:tcPr>
            <w:tcW w:w="690" w:type="dxa"/>
            <w:tcBorders>
              <w:top w:val="single" w:sz="6" w:space="0" w:color="000000" w:themeColor="text1"/>
              <w:left w:val="nil"/>
              <w:bottom w:val="single" w:sz="6" w:space="0" w:color="000000" w:themeColor="text1"/>
              <w:right w:val="nil"/>
            </w:tcBorders>
          </w:tcPr>
          <w:p w14:paraId="3421ACD1"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 </w:t>
            </w:r>
          </w:p>
          <w:p w14:paraId="0AEF9663"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15 </w:t>
            </w:r>
          </w:p>
          <w:p w14:paraId="2468F9E1"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15 </w:t>
            </w:r>
          </w:p>
          <w:p w14:paraId="6A470321"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13 </w:t>
            </w:r>
          </w:p>
          <w:p w14:paraId="414FF363"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9 </w:t>
            </w:r>
          </w:p>
          <w:p w14:paraId="3338F41C"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9 </w:t>
            </w:r>
          </w:p>
          <w:p w14:paraId="2AF9932A"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6 </w:t>
            </w:r>
          </w:p>
          <w:p w14:paraId="438F868D"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5 </w:t>
            </w:r>
          </w:p>
          <w:p w14:paraId="7429B652"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4 </w:t>
            </w:r>
          </w:p>
          <w:p w14:paraId="7F446597"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3 </w:t>
            </w:r>
          </w:p>
          <w:p w14:paraId="7DFA5128"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3 </w:t>
            </w:r>
          </w:p>
          <w:p w14:paraId="07085CC0"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66DAF6E8"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2 </w:t>
            </w:r>
          </w:p>
        </w:tc>
        <w:tc>
          <w:tcPr>
            <w:tcW w:w="720" w:type="dxa"/>
            <w:tcBorders>
              <w:top w:val="single" w:sz="6" w:space="0" w:color="000000" w:themeColor="text1"/>
              <w:left w:val="nil"/>
              <w:bottom w:val="single" w:sz="6" w:space="0" w:color="000000" w:themeColor="text1"/>
              <w:right w:val="nil"/>
            </w:tcBorders>
          </w:tcPr>
          <w:p w14:paraId="793F1538"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 </w:t>
            </w:r>
          </w:p>
          <w:p w14:paraId="041DF79D"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100 </w:t>
            </w:r>
          </w:p>
          <w:p w14:paraId="0CB0F5AA"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100 </w:t>
            </w:r>
          </w:p>
          <w:p w14:paraId="7BCD3400"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87 </w:t>
            </w:r>
          </w:p>
          <w:p w14:paraId="0A50DB84"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60 </w:t>
            </w:r>
          </w:p>
          <w:p w14:paraId="5B01FFA3"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60 </w:t>
            </w:r>
          </w:p>
          <w:p w14:paraId="76B90241"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40 </w:t>
            </w:r>
          </w:p>
          <w:p w14:paraId="329862FD"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33 </w:t>
            </w:r>
          </w:p>
          <w:p w14:paraId="1B1A42A1"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27 </w:t>
            </w:r>
          </w:p>
          <w:p w14:paraId="597ACF3D"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20 </w:t>
            </w:r>
          </w:p>
          <w:p w14:paraId="576D2C34"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20 </w:t>
            </w:r>
          </w:p>
          <w:p w14:paraId="1245A6F4"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15228CE0"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13 </w:t>
            </w:r>
          </w:p>
        </w:tc>
        <w:tc>
          <w:tcPr>
            <w:tcW w:w="690" w:type="dxa"/>
            <w:tcBorders>
              <w:top w:val="single" w:sz="6" w:space="0" w:color="000000" w:themeColor="text1"/>
              <w:left w:val="nil"/>
              <w:bottom w:val="single" w:sz="6" w:space="0" w:color="000000" w:themeColor="text1"/>
              <w:right w:val="nil"/>
            </w:tcBorders>
          </w:tcPr>
          <w:p w14:paraId="6983239F"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 </w:t>
            </w:r>
          </w:p>
          <w:p w14:paraId="66FA7814"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30 </w:t>
            </w:r>
          </w:p>
          <w:p w14:paraId="31DD97FE"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29 </w:t>
            </w:r>
          </w:p>
          <w:p w14:paraId="1D1CC75D"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23 </w:t>
            </w:r>
          </w:p>
          <w:p w14:paraId="7418F753"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18 </w:t>
            </w:r>
          </w:p>
          <w:p w14:paraId="7CD5225C"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15 </w:t>
            </w:r>
          </w:p>
          <w:p w14:paraId="17942354"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11 </w:t>
            </w:r>
          </w:p>
          <w:p w14:paraId="291C0364"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11 </w:t>
            </w:r>
          </w:p>
          <w:p w14:paraId="32BADDCF"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10 </w:t>
            </w:r>
          </w:p>
          <w:p w14:paraId="45DC16CE"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9 </w:t>
            </w:r>
          </w:p>
          <w:p w14:paraId="2763B70D"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9 </w:t>
            </w:r>
          </w:p>
          <w:p w14:paraId="37723BE0"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2 </w:t>
            </w:r>
          </w:p>
          <w:p w14:paraId="346FC529"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5 </w:t>
            </w:r>
          </w:p>
        </w:tc>
        <w:tc>
          <w:tcPr>
            <w:tcW w:w="720" w:type="dxa"/>
            <w:tcBorders>
              <w:top w:val="single" w:sz="6" w:space="0" w:color="000000" w:themeColor="text1"/>
              <w:left w:val="nil"/>
              <w:bottom w:val="single" w:sz="6" w:space="0" w:color="000000" w:themeColor="text1"/>
              <w:right w:val="single" w:sz="6" w:space="0" w:color="000000" w:themeColor="text1"/>
            </w:tcBorders>
          </w:tcPr>
          <w:p w14:paraId="3EEB85FE"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 </w:t>
            </w:r>
          </w:p>
          <w:p w14:paraId="6C8041C7"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100 </w:t>
            </w:r>
          </w:p>
          <w:p w14:paraId="0F686DB3"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97 </w:t>
            </w:r>
          </w:p>
          <w:p w14:paraId="34452FFD"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77 </w:t>
            </w:r>
          </w:p>
          <w:p w14:paraId="5D4ECD15"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60 </w:t>
            </w:r>
          </w:p>
          <w:p w14:paraId="331E861B"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50 </w:t>
            </w:r>
          </w:p>
          <w:p w14:paraId="350B8DBB"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37 </w:t>
            </w:r>
          </w:p>
          <w:p w14:paraId="17490332"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37 </w:t>
            </w:r>
          </w:p>
          <w:p w14:paraId="670C5AD8"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33 </w:t>
            </w:r>
          </w:p>
          <w:p w14:paraId="60060DD2"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30 </w:t>
            </w:r>
          </w:p>
          <w:p w14:paraId="634D2D12"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30 </w:t>
            </w:r>
          </w:p>
          <w:p w14:paraId="22C6E814"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7 </w:t>
            </w:r>
          </w:p>
          <w:p w14:paraId="43C20741"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17 </w:t>
            </w:r>
          </w:p>
        </w:tc>
      </w:tr>
      <w:tr w:rsidR="00BD530B" w:rsidRPr="008756F5" w14:paraId="598C225A" w14:textId="77777777" w:rsidTr="00A56C43">
        <w:trPr>
          <w:trHeight w:val="2370"/>
        </w:trPr>
        <w:tc>
          <w:tcPr>
            <w:tcW w:w="3285" w:type="dxa"/>
            <w:tcBorders>
              <w:top w:val="single" w:sz="6" w:space="0" w:color="000000" w:themeColor="text1"/>
              <w:left w:val="single" w:sz="6" w:space="0" w:color="000000" w:themeColor="text1"/>
              <w:bottom w:val="nil"/>
              <w:right w:val="nil"/>
            </w:tcBorders>
          </w:tcPr>
          <w:p w14:paraId="78F1C5CB" w14:textId="77777777" w:rsidR="00BD530B" w:rsidRPr="008756F5" w:rsidRDefault="00BD530B" w:rsidP="00A56C43">
            <w:pPr>
              <w:rPr>
                <w:rFonts w:asciiTheme="minorHAnsi" w:eastAsia="Calibri" w:hAnsiTheme="minorHAnsi" w:cstheme="minorHAnsi"/>
                <w:color w:val="000000" w:themeColor="text1"/>
                <w:sz w:val="18"/>
                <w:szCs w:val="18"/>
              </w:rPr>
            </w:pPr>
            <w:r w:rsidRPr="008756F5">
              <w:rPr>
                <w:rFonts w:asciiTheme="minorHAnsi" w:eastAsia="Calibri" w:hAnsiTheme="minorHAnsi" w:cstheme="minorHAnsi"/>
                <w:b/>
                <w:bCs/>
                <w:color w:val="000000" w:themeColor="text1"/>
                <w:sz w:val="18"/>
                <w:szCs w:val="18"/>
              </w:rPr>
              <w:t xml:space="preserve">Diagnostic </w:t>
            </w:r>
            <w:proofErr w:type="spellStart"/>
            <w:r w:rsidRPr="008756F5">
              <w:rPr>
                <w:rFonts w:asciiTheme="minorHAnsi" w:eastAsia="Calibri" w:hAnsiTheme="minorHAnsi" w:cstheme="minorHAnsi"/>
                <w:b/>
                <w:bCs/>
                <w:color w:val="000000" w:themeColor="text1"/>
                <w:sz w:val="18"/>
                <w:szCs w:val="18"/>
              </w:rPr>
              <w:t>unsuitability</w:t>
            </w:r>
            <w:r w:rsidRPr="008756F5">
              <w:rPr>
                <w:rFonts w:asciiTheme="minorHAnsi" w:eastAsia="Calibri" w:hAnsiTheme="minorHAnsi" w:cstheme="minorHAnsi"/>
                <w:b/>
                <w:bCs/>
                <w:color w:val="000000" w:themeColor="text1"/>
                <w:sz w:val="18"/>
                <w:szCs w:val="18"/>
                <w:vertAlign w:val="superscript"/>
              </w:rPr>
              <w:t>a</w:t>
            </w:r>
            <w:proofErr w:type="spellEnd"/>
            <w:r w:rsidRPr="008756F5">
              <w:rPr>
                <w:rFonts w:asciiTheme="minorHAnsi" w:eastAsia="Calibri" w:hAnsiTheme="minorHAnsi" w:cstheme="minorHAnsi"/>
                <w:b/>
                <w:bCs/>
                <w:color w:val="000000" w:themeColor="text1"/>
                <w:sz w:val="18"/>
                <w:szCs w:val="18"/>
              </w:rPr>
              <w:t> </w:t>
            </w:r>
          </w:p>
          <w:p w14:paraId="6E3DE32C" w14:textId="77777777" w:rsidR="00BD530B" w:rsidRPr="008756F5" w:rsidRDefault="00BD530B" w:rsidP="00A56C43">
            <w:pPr>
              <w:ind w:left="150"/>
              <w:rPr>
                <w:rFonts w:asciiTheme="minorHAnsi" w:eastAsia="Calibri" w:hAnsiTheme="minorHAnsi" w:cstheme="minorHAnsi"/>
                <w:color w:val="000000" w:themeColor="text1"/>
                <w:sz w:val="18"/>
                <w:szCs w:val="18"/>
              </w:rPr>
            </w:pPr>
            <w:r w:rsidRPr="008756F5">
              <w:rPr>
                <w:rFonts w:asciiTheme="minorHAnsi" w:eastAsia="Calibri" w:hAnsiTheme="minorHAnsi" w:cstheme="minorHAnsi"/>
                <w:b/>
                <w:bCs/>
                <w:color w:val="000000" w:themeColor="text1"/>
                <w:sz w:val="18"/>
                <w:szCs w:val="18"/>
                <w:vertAlign w:val="superscript"/>
              </w:rPr>
              <w:t> </w:t>
            </w:r>
            <w:r w:rsidRPr="008756F5">
              <w:rPr>
                <w:rFonts w:asciiTheme="minorHAnsi" w:eastAsia="Calibri" w:hAnsiTheme="minorHAnsi" w:cstheme="minorHAnsi"/>
                <w:color w:val="000000" w:themeColor="text1"/>
                <w:sz w:val="18"/>
                <w:szCs w:val="18"/>
              </w:rPr>
              <w:t xml:space="preserve">Psychotic disorders   </w:t>
            </w:r>
            <w:r w:rsidRPr="008756F5">
              <w:rPr>
                <w:rFonts w:asciiTheme="minorHAnsi" w:hAnsiTheme="minorHAnsi" w:cstheme="minorHAnsi"/>
              </w:rPr>
              <w:tab/>
            </w:r>
            <w:r w:rsidRPr="008756F5">
              <w:rPr>
                <w:rFonts w:asciiTheme="minorHAnsi" w:hAnsiTheme="minorHAnsi" w:cstheme="minorHAnsi"/>
              </w:rPr>
              <w:tab/>
            </w:r>
            <w:r w:rsidRPr="008756F5">
              <w:rPr>
                <w:rFonts w:asciiTheme="minorHAnsi" w:eastAsia="Calibri" w:hAnsiTheme="minorHAnsi" w:cstheme="minorHAnsi"/>
                <w:color w:val="000000" w:themeColor="text1"/>
                <w:sz w:val="18"/>
                <w:szCs w:val="18"/>
              </w:rPr>
              <w:t> </w:t>
            </w:r>
          </w:p>
          <w:p w14:paraId="5740F483"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Suicidal ideation</w:t>
            </w:r>
            <w:r w:rsidRPr="008756F5">
              <w:rPr>
                <w:rFonts w:asciiTheme="minorHAnsi" w:eastAsia="Calibri" w:hAnsiTheme="minorHAnsi" w:cstheme="minorHAnsi"/>
                <w:b/>
                <w:bCs/>
                <w:color w:val="000000" w:themeColor="text1"/>
                <w:sz w:val="18"/>
                <w:szCs w:val="18"/>
              </w:rPr>
              <w:t> </w:t>
            </w:r>
          </w:p>
          <w:p w14:paraId="71F12439"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Eating disorders</w:t>
            </w:r>
            <w:r w:rsidRPr="008756F5">
              <w:rPr>
                <w:rFonts w:asciiTheme="minorHAnsi" w:eastAsia="Calibri" w:hAnsiTheme="minorHAnsi" w:cstheme="minorHAnsi"/>
                <w:b/>
                <w:bCs/>
                <w:color w:val="000000" w:themeColor="text1"/>
                <w:sz w:val="18"/>
                <w:szCs w:val="18"/>
              </w:rPr>
              <w:t> </w:t>
            </w:r>
          </w:p>
          <w:p w14:paraId="4B07885B"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Self-harm</w:t>
            </w:r>
            <w:r w:rsidRPr="008756F5">
              <w:rPr>
                <w:rFonts w:asciiTheme="minorHAnsi" w:eastAsia="Calibri" w:hAnsiTheme="minorHAnsi" w:cstheme="minorHAnsi"/>
                <w:b/>
                <w:bCs/>
                <w:color w:val="000000" w:themeColor="text1"/>
                <w:sz w:val="18"/>
                <w:szCs w:val="18"/>
              </w:rPr>
              <w:t> </w:t>
            </w:r>
          </w:p>
          <w:p w14:paraId="7B06E964"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Bipolar disorders</w:t>
            </w:r>
            <w:r w:rsidRPr="008756F5">
              <w:rPr>
                <w:rFonts w:asciiTheme="minorHAnsi" w:eastAsia="Calibri" w:hAnsiTheme="minorHAnsi" w:cstheme="minorHAnsi"/>
                <w:b/>
                <w:bCs/>
                <w:color w:val="000000" w:themeColor="text1"/>
                <w:sz w:val="18"/>
                <w:szCs w:val="18"/>
              </w:rPr>
              <w:t> </w:t>
            </w:r>
          </w:p>
          <w:p w14:paraId="53349577"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PTSD</w:t>
            </w:r>
            <w:r w:rsidRPr="008756F5">
              <w:rPr>
                <w:rFonts w:asciiTheme="minorHAnsi" w:eastAsia="Calibri" w:hAnsiTheme="minorHAnsi" w:cstheme="minorHAnsi"/>
                <w:b/>
                <w:bCs/>
                <w:color w:val="000000" w:themeColor="text1"/>
                <w:sz w:val="18"/>
                <w:szCs w:val="18"/>
              </w:rPr>
              <w:t> </w:t>
            </w:r>
          </w:p>
          <w:p w14:paraId="2356E50D"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Substance use disorders</w:t>
            </w:r>
            <w:r w:rsidRPr="008756F5">
              <w:rPr>
                <w:rFonts w:asciiTheme="minorHAnsi" w:eastAsia="Calibri" w:hAnsiTheme="minorHAnsi" w:cstheme="minorHAnsi"/>
                <w:b/>
                <w:bCs/>
                <w:color w:val="000000" w:themeColor="text1"/>
                <w:sz w:val="18"/>
                <w:szCs w:val="18"/>
              </w:rPr>
              <w:t> </w:t>
            </w:r>
          </w:p>
          <w:p w14:paraId="579DF000"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OCD</w:t>
            </w:r>
            <w:r w:rsidRPr="008756F5">
              <w:rPr>
                <w:rFonts w:asciiTheme="minorHAnsi" w:eastAsia="Calibri" w:hAnsiTheme="minorHAnsi" w:cstheme="minorHAnsi"/>
                <w:b/>
                <w:bCs/>
                <w:color w:val="000000" w:themeColor="text1"/>
                <w:sz w:val="18"/>
                <w:szCs w:val="18"/>
              </w:rPr>
              <w:t> </w:t>
            </w:r>
          </w:p>
          <w:p w14:paraId="610D0664"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Personality disorders</w:t>
            </w:r>
            <w:r w:rsidRPr="008756F5">
              <w:rPr>
                <w:rFonts w:asciiTheme="minorHAnsi" w:eastAsia="Calibri" w:hAnsiTheme="minorHAnsi" w:cstheme="minorHAnsi"/>
                <w:b/>
                <w:bCs/>
                <w:color w:val="000000" w:themeColor="text1"/>
                <w:sz w:val="18"/>
                <w:szCs w:val="18"/>
              </w:rPr>
              <w:t> </w:t>
            </w:r>
          </w:p>
          <w:p w14:paraId="4BBB14BA"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Other</w:t>
            </w:r>
            <w:r w:rsidRPr="008756F5">
              <w:rPr>
                <w:rFonts w:asciiTheme="minorHAnsi" w:eastAsia="Calibri" w:hAnsiTheme="minorHAnsi" w:cstheme="minorHAnsi"/>
                <w:b/>
                <w:bCs/>
                <w:color w:val="000000" w:themeColor="text1"/>
                <w:sz w:val="18"/>
                <w:szCs w:val="18"/>
              </w:rPr>
              <w:t> </w:t>
            </w:r>
          </w:p>
        </w:tc>
        <w:tc>
          <w:tcPr>
            <w:tcW w:w="690" w:type="dxa"/>
            <w:tcBorders>
              <w:top w:val="single" w:sz="6" w:space="0" w:color="000000" w:themeColor="text1"/>
              <w:left w:val="nil"/>
              <w:bottom w:val="nil"/>
              <w:right w:val="nil"/>
            </w:tcBorders>
          </w:tcPr>
          <w:p w14:paraId="6316FAB6"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 </w:t>
            </w:r>
          </w:p>
          <w:p w14:paraId="039CFB7A"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5 </w:t>
            </w:r>
          </w:p>
          <w:p w14:paraId="38682541"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4 </w:t>
            </w:r>
          </w:p>
          <w:p w14:paraId="0E69EF5B"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2 </w:t>
            </w:r>
          </w:p>
          <w:p w14:paraId="11102724"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3 </w:t>
            </w:r>
          </w:p>
          <w:p w14:paraId="33BA4295"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1 </w:t>
            </w:r>
          </w:p>
          <w:p w14:paraId="0B9911F1"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2 </w:t>
            </w:r>
          </w:p>
          <w:p w14:paraId="0A520CCA"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2 </w:t>
            </w:r>
          </w:p>
          <w:p w14:paraId="08C16ABE"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1 </w:t>
            </w:r>
          </w:p>
          <w:p w14:paraId="7F28A7D4"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1 </w:t>
            </w:r>
          </w:p>
          <w:p w14:paraId="55BB61AE"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tc>
        <w:tc>
          <w:tcPr>
            <w:tcW w:w="720" w:type="dxa"/>
            <w:tcBorders>
              <w:top w:val="single" w:sz="6" w:space="0" w:color="000000" w:themeColor="text1"/>
              <w:left w:val="nil"/>
              <w:bottom w:val="nil"/>
              <w:right w:val="nil"/>
            </w:tcBorders>
          </w:tcPr>
          <w:p w14:paraId="109F3F2F"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 </w:t>
            </w:r>
          </w:p>
          <w:p w14:paraId="4847A1ED"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63 </w:t>
            </w:r>
          </w:p>
          <w:p w14:paraId="7F1BCF3F"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50 </w:t>
            </w:r>
          </w:p>
          <w:p w14:paraId="68EA8F08"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25 </w:t>
            </w:r>
          </w:p>
          <w:p w14:paraId="097E1C85"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38 </w:t>
            </w:r>
          </w:p>
          <w:p w14:paraId="4618E266"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13 </w:t>
            </w:r>
          </w:p>
          <w:p w14:paraId="43B232DA"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25 </w:t>
            </w:r>
          </w:p>
          <w:p w14:paraId="2655C032"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25 </w:t>
            </w:r>
          </w:p>
          <w:p w14:paraId="42BB0053"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13 </w:t>
            </w:r>
          </w:p>
          <w:p w14:paraId="1B0858E8"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13 </w:t>
            </w:r>
          </w:p>
          <w:p w14:paraId="2A476D36"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w:t>
            </w:r>
          </w:p>
        </w:tc>
        <w:tc>
          <w:tcPr>
            <w:tcW w:w="690" w:type="dxa"/>
            <w:tcBorders>
              <w:top w:val="single" w:sz="6" w:space="0" w:color="000000" w:themeColor="text1"/>
              <w:left w:val="nil"/>
              <w:bottom w:val="nil"/>
              <w:right w:val="nil"/>
            </w:tcBorders>
          </w:tcPr>
          <w:p w14:paraId="11357B8C"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 </w:t>
            </w:r>
          </w:p>
          <w:p w14:paraId="4BD175E9"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5 </w:t>
            </w:r>
          </w:p>
          <w:p w14:paraId="3DA5537F"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0A80FF8A"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11D800CA"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26A30CF1"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58343EEF"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675F384E"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4AFFEE3D"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57637532"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1D93F39B"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1 </w:t>
            </w:r>
          </w:p>
        </w:tc>
        <w:tc>
          <w:tcPr>
            <w:tcW w:w="720" w:type="dxa"/>
            <w:tcBorders>
              <w:top w:val="single" w:sz="6" w:space="0" w:color="000000" w:themeColor="text1"/>
              <w:left w:val="nil"/>
              <w:bottom w:val="nil"/>
              <w:right w:val="nil"/>
            </w:tcBorders>
          </w:tcPr>
          <w:p w14:paraId="4FF53F20"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 </w:t>
            </w:r>
          </w:p>
          <w:p w14:paraId="0E8382D9"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71 </w:t>
            </w:r>
          </w:p>
          <w:p w14:paraId="663F789A"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2C028782"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78155EB7"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66DF802C"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27451531"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204AC049"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6EBF6EEF"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410FAC6D"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1156B721"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14 </w:t>
            </w:r>
          </w:p>
        </w:tc>
        <w:tc>
          <w:tcPr>
            <w:tcW w:w="690" w:type="dxa"/>
            <w:tcBorders>
              <w:top w:val="single" w:sz="6" w:space="0" w:color="000000" w:themeColor="text1"/>
              <w:left w:val="nil"/>
              <w:bottom w:val="nil"/>
              <w:right w:val="nil"/>
            </w:tcBorders>
          </w:tcPr>
          <w:p w14:paraId="46BC252F"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 </w:t>
            </w:r>
          </w:p>
          <w:p w14:paraId="3AEB5EC1"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7 </w:t>
            </w:r>
          </w:p>
          <w:p w14:paraId="729EF46B"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3 </w:t>
            </w:r>
          </w:p>
          <w:p w14:paraId="571392B3"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4 </w:t>
            </w:r>
          </w:p>
          <w:p w14:paraId="24EFB12C"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3 </w:t>
            </w:r>
          </w:p>
          <w:p w14:paraId="1A6CBE27"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4 </w:t>
            </w:r>
          </w:p>
          <w:p w14:paraId="58C7977D"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2 </w:t>
            </w:r>
          </w:p>
          <w:p w14:paraId="7C0B6E86"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1 </w:t>
            </w:r>
          </w:p>
          <w:p w14:paraId="5D9BFBE5"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441B6BB7"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6B00180E"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1 </w:t>
            </w:r>
          </w:p>
        </w:tc>
        <w:tc>
          <w:tcPr>
            <w:tcW w:w="720" w:type="dxa"/>
            <w:tcBorders>
              <w:top w:val="single" w:sz="6" w:space="0" w:color="000000" w:themeColor="text1"/>
              <w:left w:val="nil"/>
              <w:bottom w:val="nil"/>
              <w:right w:val="nil"/>
            </w:tcBorders>
          </w:tcPr>
          <w:p w14:paraId="7DA7C359"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 </w:t>
            </w:r>
          </w:p>
          <w:p w14:paraId="27FE2DB0"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47</w:t>
            </w:r>
          </w:p>
          <w:p w14:paraId="5D2B7242"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20 </w:t>
            </w:r>
          </w:p>
          <w:p w14:paraId="66CB2617"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27 </w:t>
            </w:r>
          </w:p>
          <w:p w14:paraId="1A813193"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20 </w:t>
            </w:r>
          </w:p>
          <w:p w14:paraId="6957997C"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27 </w:t>
            </w:r>
          </w:p>
          <w:p w14:paraId="60A81604"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13 </w:t>
            </w:r>
          </w:p>
          <w:p w14:paraId="2B618DD7"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7 </w:t>
            </w:r>
          </w:p>
          <w:p w14:paraId="588B4AA5"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72BB781A"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1CFB6752"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7 </w:t>
            </w:r>
          </w:p>
        </w:tc>
        <w:tc>
          <w:tcPr>
            <w:tcW w:w="690" w:type="dxa"/>
            <w:tcBorders>
              <w:top w:val="single" w:sz="6" w:space="0" w:color="000000" w:themeColor="text1"/>
              <w:left w:val="nil"/>
              <w:bottom w:val="nil"/>
              <w:right w:val="nil"/>
            </w:tcBorders>
          </w:tcPr>
          <w:p w14:paraId="73B78196"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 </w:t>
            </w:r>
          </w:p>
          <w:p w14:paraId="61F35EA9"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17 </w:t>
            </w:r>
          </w:p>
          <w:p w14:paraId="50836D4F"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7 </w:t>
            </w:r>
          </w:p>
          <w:p w14:paraId="5D054976"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6 </w:t>
            </w:r>
          </w:p>
          <w:p w14:paraId="2EE024EF"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6 </w:t>
            </w:r>
          </w:p>
          <w:p w14:paraId="67F5C255"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5 </w:t>
            </w:r>
          </w:p>
          <w:p w14:paraId="5A2D2B17"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4 </w:t>
            </w:r>
          </w:p>
          <w:p w14:paraId="11DB06FF"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3 </w:t>
            </w:r>
          </w:p>
          <w:p w14:paraId="1AA81EDC"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1 </w:t>
            </w:r>
          </w:p>
          <w:p w14:paraId="3EB49691"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1 </w:t>
            </w:r>
          </w:p>
          <w:p w14:paraId="31011ECE"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2 </w:t>
            </w:r>
          </w:p>
        </w:tc>
        <w:tc>
          <w:tcPr>
            <w:tcW w:w="720" w:type="dxa"/>
            <w:tcBorders>
              <w:top w:val="single" w:sz="6" w:space="0" w:color="000000" w:themeColor="text1"/>
              <w:left w:val="nil"/>
              <w:bottom w:val="nil"/>
              <w:right w:val="single" w:sz="6" w:space="0" w:color="000000" w:themeColor="text1"/>
            </w:tcBorders>
          </w:tcPr>
          <w:p w14:paraId="13078E6B"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 </w:t>
            </w:r>
          </w:p>
          <w:p w14:paraId="23EF6096"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57</w:t>
            </w:r>
          </w:p>
          <w:p w14:paraId="3159196F"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23 </w:t>
            </w:r>
          </w:p>
          <w:p w14:paraId="423180FB"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20 </w:t>
            </w:r>
          </w:p>
          <w:p w14:paraId="002DE5DE"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20 </w:t>
            </w:r>
          </w:p>
          <w:p w14:paraId="7BD83077"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17 </w:t>
            </w:r>
          </w:p>
          <w:p w14:paraId="2FC835A0"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13 </w:t>
            </w:r>
          </w:p>
          <w:p w14:paraId="2EBE0EAC"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10 </w:t>
            </w:r>
          </w:p>
          <w:p w14:paraId="4C45A444"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3 </w:t>
            </w:r>
          </w:p>
          <w:p w14:paraId="26BB9EFE"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3 </w:t>
            </w:r>
          </w:p>
          <w:p w14:paraId="06CF4B65"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7 </w:t>
            </w:r>
          </w:p>
        </w:tc>
      </w:tr>
      <w:tr w:rsidR="00BD530B" w:rsidRPr="008756F5" w14:paraId="305A82A7" w14:textId="77777777" w:rsidTr="00A56C43">
        <w:trPr>
          <w:trHeight w:val="1200"/>
        </w:trPr>
        <w:tc>
          <w:tcPr>
            <w:tcW w:w="3285" w:type="dxa"/>
            <w:tcBorders>
              <w:top w:val="single" w:sz="6" w:space="0" w:color="000000" w:themeColor="text1"/>
              <w:left w:val="single" w:sz="6" w:space="0" w:color="000000" w:themeColor="text1"/>
              <w:bottom w:val="single" w:sz="6" w:space="0" w:color="000000" w:themeColor="text1"/>
              <w:right w:val="nil"/>
            </w:tcBorders>
          </w:tcPr>
          <w:p w14:paraId="700ECD87" w14:textId="77777777" w:rsidR="00BD530B" w:rsidRPr="008756F5" w:rsidRDefault="00BD530B" w:rsidP="00A56C43">
            <w:pPr>
              <w:rPr>
                <w:rFonts w:asciiTheme="minorHAnsi" w:eastAsia="Calibri" w:hAnsiTheme="minorHAnsi" w:cstheme="minorHAnsi"/>
                <w:color w:val="000000" w:themeColor="text1"/>
                <w:sz w:val="18"/>
                <w:szCs w:val="18"/>
              </w:rPr>
            </w:pPr>
            <w:r w:rsidRPr="008756F5">
              <w:rPr>
                <w:rFonts w:asciiTheme="minorHAnsi" w:eastAsia="Calibri" w:hAnsiTheme="minorHAnsi" w:cstheme="minorHAnsi"/>
                <w:b/>
                <w:bCs/>
                <w:color w:val="000000" w:themeColor="text1"/>
                <w:sz w:val="18"/>
                <w:szCs w:val="18"/>
              </w:rPr>
              <w:t xml:space="preserve">Adaption of </w:t>
            </w:r>
            <w:proofErr w:type="spellStart"/>
            <w:r w:rsidRPr="008756F5">
              <w:rPr>
                <w:rFonts w:asciiTheme="minorHAnsi" w:eastAsia="Calibri" w:hAnsiTheme="minorHAnsi" w:cstheme="minorHAnsi"/>
                <w:b/>
                <w:bCs/>
                <w:color w:val="000000" w:themeColor="text1"/>
                <w:sz w:val="18"/>
                <w:szCs w:val="18"/>
              </w:rPr>
              <w:t>DMHSs</w:t>
            </w:r>
            <w:r w:rsidRPr="008756F5">
              <w:rPr>
                <w:rFonts w:asciiTheme="minorHAnsi" w:eastAsia="Calibri" w:hAnsiTheme="minorHAnsi" w:cstheme="minorHAnsi"/>
                <w:b/>
                <w:bCs/>
                <w:color w:val="000000" w:themeColor="text1"/>
                <w:sz w:val="18"/>
                <w:szCs w:val="18"/>
                <w:vertAlign w:val="superscript"/>
              </w:rPr>
              <w:t>a</w:t>
            </w:r>
            <w:proofErr w:type="spellEnd"/>
            <w:r w:rsidRPr="008756F5">
              <w:rPr>
                <w:rFonts w:asciiTheme="minorHAnsi" w:eastAsia="Calibri" w:hAnsiTheme="minorHAnsi" w:cstheme="minorHAnsi"/>
                <w:b/>
                <w:bCs/>
                <w:color w:val="000000" w:themeColor="text1"/>
                <w:sz w:val="18"/>
                <w:szCs w:val="18"/>
              </w:rPr>
              <w:t> </w:t>
            </w:r>
          </w:p>
          <w:p w14:paraId="02EFB765"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CALD populations </w:t>
            </w:r>
            <w:r w:rsidRPr="008756F5">
              <w:rPr>
                <w:rFonts w:asciiTheme="minorHAnsi" w:eastAsia="Calibri" w:hAnsiTheme="minorHAnsi" w:cstheme="minorHAnsi"/>
                <w:b/>
                <w:bCs/>
                <w:color w:val="000000" w:themeColor="text1"/>
                <w:sz w:val="18"/>
                <w:szCs w:val="18"/>
              </w:rPr>
              <w:t> </w:t>
            </w:r>
          </w:p>
          <w:p w14:paraId="415B6134"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LGBTQIA+ populations</w:t>
            </w:r>
            <w:r w:rsidRPr="008756F5">
              <w:rPr>
                <w:rFonts w:asciiTheme="minorHAnsi" w:eastAsia="Calibri" w:hAnsiTheme="minorHAnsi" w:cstheme="minorHAnsi"/>
                <w:b/>
                <w:bCs/>
                <w:color w:val="000000" w:themeColor="text1"/>
                <w:sz w:val="18"/>
                <w:szCs w:val="18"/>
              </w:rPr>
              <w:t> </w:t>
            </w:r>
          </w:p>
          <w:p w14:paraId="69ACD49E"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Aboriginal /Torres Strait Islander </w:t>
            </w:r>
            <w:r w:rsidRPr="008756F5">
              <w:rPr>
                <w:rFonts w:asciiTheme="minorHAnsi" w:eastAsia="Calibri" w:hAnsiTheme="minorHAnsi" w:cstheme="minorHAnsi"/>
                <w:b/>
                <w:bCs/>
                <w:color w:val="000000" w:themeColor="text1"/>
                <w:sz w:val="18"/>
                <w:szCs w:val="18"/>
              </w:rPr>
              <w:t> </w:t>
            </w:r>
          </w:p>
          <w:p w14:paraId="2665A23E"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Rural or remote populations</w:t>
            </w:r>
            <w:r w:rsidRPr="008756F5">
              <w:rPr>
                <w:rFonts w:asciiTheme="minorHAnsi" w:eastAsia="Calibri" w:hAnsiTheme="minorHAnsi" w:cstheme="minorHAnsi"/>
                <w:b/>
                <w:bCs/>
                <w:color w:val="000000" w:themeColor="text1"/>
                <w:sz w:val="18"/>
                <w:szCs w:val="18"/>
              </w:rPr>
              <w:t> </w:t>
            </w:r>
          </w:p>
          <w:p w14:paraId="240DED22" w14:textId="77777777" w:rsidR="00BD530B" w:rsidRPr="008756F5" w:rsidRDefault="00BD530B" w:rsidP="00A56C43">
            <w:pPr>
              <w:ind w:left="165"/>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Other</w:t>
            </w:r>
            <w:r w:rsidRPr="008756F5">
              <w:rPr>
                <w:rFonts w:asciiTheme="minorHAnsi" w:eastAsia="Calibri" w:hAnsiTheme="minorHAnsi" w:cstheme="minorHAnsi"/>
                <w:b/>
                <w:bCs/>
                <w:color w:val="000000" w:themeColor="text1"/>
                <w:sz w:val="18"/>
                <w:szCs w:val="18"/>
              </w:rPr>
              <w:t> </w:t>
            </w:r>
          </w:p>
        </w:tc>
        <w:tc>
          <w:tcPr>
            <w:tcW w:w="690" w:type="dxa"/>
            <w:tcBorders>
              <w:top w:val="single" w:sz="6" w:space="0" w:color="000000" w:themeColor="text1"/>
              <w:left w:val="nil"/>
              <w:bottom w:val="single" w:sz="6" w:space="0" w:color="000000" w:themeColor="text1"/>
              <w:right w:val="nil"/>
            </w:tcBorders>
          </w:tcPr>
          <w:p w14:paraId="454EE534"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 </w:t>
            </w:r>
          </w:p>
          <w:p w14:paraId="7EBBCA0A"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3 </w:t>
            </w:r>
          </w:p>
          <w:p w14:paraId="0542CCC9"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2 </w:t>
            </w:r>
          </w:p>
          <w:p w14:paraId="6EB6E4E7"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2 </w:t>
            </w:r>
          </w:p>
          <w:p w14:paraId="7978605C"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2 </w:t>
            </w:r>
          </w:p>
          <w:p w14:paraId="1A159FBC"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1 </w:t>
            </w:r>
          </w:p>
        </w:tc>
        <w:tc>
          <w:tcPr>
            <w:tcW w:w="720" w:type="dxa"/>
            <w:tcBorders>
              <w:top w:val="single" w:sz="6" w:space="0" w:color="000000" w:themeColor="text1"/>
              <w:left w:val="nil"/>
              <w:bottom w:val="single" w:sz="6" w:space="0" w:color="000000" w:themeColor="text1"/>
              <w:right w:val="nil"/>
            </w:tcBorders>
          </w:tcPr>
          <w:p w14:paraId="4A9DC1F1"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 </w:t>
            </w:r>
          </w:p>
          <w:p w14:paraId="212621CE"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38</w:t>
            </w:r>
          </w:p>
          <w:p w14:paraId="4EEB9ADA"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25 </w:t>
            </w:r>
          </w:p>
          <w:p w14:paraId="3FA06DD2"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25 </w:t>
            </w:r>
          </w:p>
          <w:p w14:paraId="08A1D5DA"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25 </w:t>
            </w:r>
          </w:p>
          <w:p w14:paraId="4395C764"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13 </w:t>
            </w:r>
          </w:p>
        </w:tc>
        <w:tc>
          <w:tcPr>
            <w:tcW w:w="690" w:type="dxa"/>
            <w:tcBorders>
              <w:top w:val="single" w:sz="6" w:space="0" w:color="000000" w:themeColor="text1"/>
              <w:left w:val="nil"/>
              <w:bottom w:val="single" w:sz="6" w:space="0" w:color="000000" w:themeColor="text1"/>
              <w:right w:val="nil"/>
            </w:tcBorders>
          </w:tcPr>
          <w:p w14:paraId="640F0DD5"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 </w:t>
            </w:r>
          </w:p>
          <w:p w14:paraId="3092A1A9"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6 </w:t>
            </w:r>
          </w:p>
          <w:p w14:paraId="04509ED9"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2 </w:t>
            </w:r>
          </w:p>
          <w:p w14:paraId="23EAA521"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7BCDA299"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1AE3CFF4"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tc>
        <w:tc>
          <w:tcPr>
            <w:tcW w:w="720" w:type="dxa"/>
            <w:tcBorders>
              <w:top w:val="single" w:sz="6" w:space="0" w:color="000000" w:themeColor="text1"/>
              <w:left w:val="nil"/>
              <w:bottom w:val="single" w:sz="6" w:space="0" w:color="000000" w:themeColor="text1"/>
              <w:right w:val="nil"/>
            </w:tcBorders>
          </w:tcPr>
          <w:p w14:paraId="30AD8D99"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 </w:t>
            </w:r>
          </w:p>
          <w:p w14:paraId="0D1DE4C7"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86 </w:t>
            </w:r>
          </w:p>
          <w:p w14:paraId="4EDE50A0"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29 </w:t>
            </w:r>
          </w:p>
          <w:p w14:paraId="41C7FC04"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301C02E4"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p w14:paraId="3DA7ABB6"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0 </w:t>
            </w:r>
          </w:p>
        </w:tc>
        <w:tc>
          <w:tcPr>
            <w:tcW w:w="690" w:type="dxa"/>
            <w:tcBorders>
              <w:top w:val="single" w:sz="6" w:space="0" w:color="000000" w:themeColor="text1"/>
              <w:left w:val="nil"/>
              <w:bottom w:val="single" w:sz="6" w:space="0" w:color="000000" w:themeColor="text1"/>
              <w:right w:val="nil"/>
            </w:tcBorders>
          </w:tcPr>
          <w:p w14:paraId="64733883"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 </w:t>
            </w:r>
          </w:p>
          <w:p w14:paraId="334BD9CD"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7 </w:t>
            </w:r>
          </w:p>
          <w:p w14:paraId="7FEF49A3"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4 </w:t>
            </w:r>
          </w:p>
          <w:p w14:paraId="19E8ECF3"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3 </w:t>
            </w:r>
          </w:p>
          <w:p w14:paraId="17D6EE23"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2 </w:t>
            </w:r>
          </w:p>
          <w:p w14:paraId="2B7A6F9C"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6 </w:t>
            </w:r>
          </w:p>
        </w:tc>
        <w:tc>
          <w:tcPr>
            <w:tcW w:w="720" w:type="dxa"/>
            <w:tcBorders>
              <w:top w:val="single" w:sz="6" w:space="0" w:color="000000" w:themeColor="text1"/>
              <w:left w:val="nil"/>
              <w:bottom w:val="single" w:sz="6" w:space="0" w:color="000000" w:themeColor="text1"/>
              <w:right w:val="nil"/>
            </w:tcBorders>
          </w:tcPr>
          <w:p w14:paraId="131884AC"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 </w:t>
            </w:r>
          </w:p>
          <w:p w14:paraId="2EA67B86"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47 </w:t>
            </w:r>
          </w:p>
          <w:p w14:paraId="43DD90A2"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27 </w:t>
            </w:r>
          </w:p>
          <w:p w14:paraId="26025F3C"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20 </w:t>
            </w:r>
          </w:p>
          <w:p w14:paraId="440C461B"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13 </w:t>
            </w:r>
          </w:p>
          <w:p w14:paraId="25EA5453"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40 </w:t>
            </w:r>
          </w:p>
        </w:tc>
        <w:tc>
          <w:tcPr>
            <w:tcW w:w="690" w:type="dxa"/>
            <w:tcBorders>
              <w:top w:val="single" w:sz="6" w:space="0" w:color="000000" w:themeColor="text1"/>
              <w:left w:val="nil"/>
              <w:bottom w:val="single" w:sz="6" w:space="0" w:color="000000" w:themeColor="text1"/>
              <w:right w:val="nil"/>
            </w:tcBorders>
          </w:tcPr>
          <w:p w14:paraId="29B1B7D0"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 </w:t>
            </w:r>
          </w:p>
          <w:p w14:paraId="21E5813A"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16 </w:t>
            </w:r>
          </w:p>
          <w:p w14:paraId="7C9B5FAA"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8 </w:t>
            </w:r>
          </w:p>
          <w:p w14:paraId="6FB1F58A"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5 </w:t>
            </w:r>
          </w:p>
          <w:p w14:paraId="1925A7D8"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2 </w:t>
            </w:r>
          </w:p>
          <w:p w14:paraId="54A4D4EC"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7 </w:t>
            </w:r>
          </w:p>
        </w:tc>
        <w:tc>
          <w:tcPr>
            <w:tcW w:w="720" w:type="dxa"/>
            <w:tcBorders>
              <w:top w:val="single" w:sz="6" w:space="0" w:color="000000" w:themeColor="text1"/>
              <w:left w:val="nil"/>
              <w:bottom w:val="single" w:sz="6" w:space="0" w:color="000000" w:themeColor="text1"/>
              <w:right w:val="single" w:sz="6" w:space="0" w:color="000000" w:themeColor="text1"/>
            </w:tcBorders>
          </w:tcPr>
          <w:p w14:paraId="52893833"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 </w:t>
            </w:r>
          </w:p>
          <w:p w14:paraId="753DEDE4"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53 </w:t>
            </w:r>
          </w:p>
          <w:p w14:paraId="63DC3D36"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27 </w:t>
            </w:r>
          </w:p>
          <w:p w14:paraId="1325245A"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17 </w:t>
            </w:r>
          </w:p>
          <w:p w14:paraId="12F03B1C"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7 </w:t>
            </w:r>
          </w:p>
          <w:p w14:paraId="25184D4E" w14:textId="77777777" w:rsidR="00BD530B" w:rsidRPr="008756F5" w:rsidRDefault="00BD530B" w:rsidP="00A56C43">
            <w:pPr>
              <w:jc w:val="center"/>
              <w:rPr>
                <w:rFonts w:asciiTheme="minorHAnsi" w:eastAsia="Calibri" w:hAnsiTheme="minorHAnsi" w:cstheme="minorHAnsi"/>
                <w:color w:val="000000" w:themeColor="text1"/>
                <w:sz w:val="18"/>
                <w:szCs w:val="18"/>
              </w:rPr>
            </w:pPr>
            <w:r w:rsidRPr="008756F5">
              <w:rPr>
                <w:rFonts w:asciiTheme="minorHAnsi" w:eastAsia="Calibri" w:hAnsiTheme="minorHAnsi" w:cstheme="minorHAnsi"/>
                <w:color w:val="000000" w:themeColor="text1"/>
                <w:sz w:val="18"/>
                <w:szCs w:val="18"/>
              </w:rPr>
              <w:t>23 </w:t>
            </w:r>
          </w:p>
        </w:tc>
      </w:tr>
    </w:tbl>
    <w:p w14:paraId="1B5307ED" w14:textId="77777777" w:rsidR="00BD530B" w:rsidRPr="008756F5" w:rsidRDefault="00BD530B" w:rsidP="00BD530B">
      <w:pPr>
        <w:textAlignment w:val="baseline"/>
        <w:rPr>
          <w:rFonts w:asciiTheme="minorHAnsi" w:hAnsiTheme="minorHAnsi" w:cstheme="minorHAnsi"/>
          <w:sz w:val="16"/>
          <w:szCs w:val="16"/>
          <w:lang w:eastAsia="en-AU"/>
        </w:rPr>
      </w:pPr>
      <w:r w:rsidRPr="008756F5">
        <w:rPr>
          <w:rFonts w:asciiTheme="minorHAnsi" w:hAnsiTheme="minorHAnsi" w:cstheme="minorHAnsi"/>
          <w:sz w:val="16"/>
          <w:szCs w:val="16"/>
          <w:lang w:eastAsia="en-AU"/>
        </w:rPr>
        <w:t xml:space="preserve">MHO, Mental Health Online; MS, </w:t>
      </w:r>
      <w:proofErr w:type="spellStart"/>
      <w:r w:rsidRPr="008756F5">
        <w:rPr>
          <w:rFonts w:asciiTheme="minorHAnsi" w:hAnsiTheme="minorHAnsi" w:cstheme="minorHAnsi"/>
          <w:color w:val="000000"/>
          <w:sz w:val="16"/>
          <w:szCs w:val="16"/>
          <w:lang w:eastAsia="en-AU"/>
        </w:rPr>
        <w:t>MindSpot</w:t>
      </w:r>
      <w:proofErr w:type="spellEnd"/>
      <w:r w:rsidRPr="008756F5">
        <w:rPr>
          <w:rFonts w:asciiTheme="minorHAnsi" w:hAnsiTheme="minorHAnsi" w:cstheme="minorHAnsi"/>
          <w:color w:val="000000"/>
          <w:sz w:val="16"/>
          <w:szCs w:val="16"/>
          <w:lang w:eastAsia="en-AU"/>
        </w:rPr>
        <w:t xml:space="preserve">; </w:t>
      </w:r>
      <w:r w:rsidRPr="008756F5">
        <w:rPr>
          <w:rFonts w:asciiTheme="minorHAnsi" w:hAnsiTheme="minorHAnsi" w:cstheme="minorHAnsi"/>
          <w:sz w:val="16"/>
          <w:szCs w:val="16"/>
          <w:lang w:eastAsia="en-AU"/>
        </w:rPr>
        <w:t xml:space="preserve">TWU, </w:t>
      </w:r>
      <w:r w:rsidRPr="008756F5">
        <w:rPr>
          <w:rFonts w:asciiTheme="minorHAnsi" w:hAnsiTheme="minorHAnsi" w:cstheme="minorHAnsi"/>
          <w:color w:val="000000"/>
          <w:sz w:val="16"/>
          <w:szCs w:val="16"/>
          <w:lang w:eastAsia="en-AU"/>
        </w:rPr>
        <w:t>THIS WAY UP. </w:t>
      </w:r>
    </w:p>
    <w:p w14:paraId="5B63DEF8" w14:textId="77777777" w:rsidR="00BD530B" w:rsidRPr="008756F5" w:rsidRDefault="00BD530B" w:rsidP="008756F5">
      <w:pPr>
        <w:spacing w:after="240"/>
        <w:textAlignment w:val="baseline"/>
        <w:rPr>
          <w:rFonts w:asciiTheme="minorHAnsi" w:hAnsiTheme="minorHAnsi" w:cstheme="minorHAnsi"/>
          <w:sz w:val="16"/>
          <w:szCs w:val="16"/>
          <w:lang w:eastAsia="en-AU"/>
        </w:rPr>
      </w:pPr>
      <w:proofErr w:type="spellStart"/>
      <w:r w:rsidRPr="008756F5">
        <w:rPr>
          <w:rFonts w:asciiTheme="minorHAnsi" w:hAnsiTheme="minorHAnsi" w:cstheme="minorHAnsi"/>
          <w:color w:val="000000"/>
          <w:sz w:val="16"/>
          <w:szCs w:val="16"/>
          <w:vertAlign w:val="superscript"/>
          <w:lang w:eastAsia="en-AU"/>
        </w:rPr>
        <w:t>a</w:t>
      </w:r>
      <w:r w:rsidRPr="008756F5">
        <w:rPr>
          <w:rFonts w:asciiTheme="minorHAnsi" w:hAnsiTheme="minorHAnsi" w:cstheme="minorHAnsi"/>
          <w:sz w:val="16"/>
          <w:szCs w:val="16"/>
          <w:lang w:eastAsia="en-AU"/>
        </w:rPr>
        <w:t>Multiple</w:t>
      </w:r>
      <w:proofErr w:type="spellEnd"/>
      <w:r w:rsidRPr="008756F5">
        <w:rPr>
          <w:rFonts w:asciiTheme="minorHAnsi" w:hAnsiTheme="minorHAnsi" w:cstheme="minorHAnsi"/>
          <w:sz w:val="16"/>
          <w:szCs w:val="16"/>
          <w:lang w:eastAsia="en-AU"/>
        </w:rPr>
        <w:t xml:space="preserve"> responses permitted.</w:t>
      </w:r>
    </w:p>
    <w:p w14:paraId="216DC210" w14:textId="77777777" w:rsidR="00BD530B" w:rsidRPr="008756F5" w:rsidRDefault="00BD530B" w:rsidP="00F83BCE">
      <w:pPr>
        <w:pStyle w:val="Heading2"/>
        <w:rPr>
          <w:sz w:val="18"/>
          <w:szCs w:val="18"/>
          <w:lang w:eastAsia="en-AU"/>
        </w:rPr>
      </w:pPr>
      <w:bookmarkStart w:id="164" w:name="_Toc108784866"/>
      <w:r w:rsidRPr="008756F5">
        <w:rPr>
          <w:lang w:val="en-US" w:eastAsia="en-AU"/>
        </w:rPr>
        <w:lastRenderedPageBreak/>
        <w:t>Provider experiences of using DMHSs</w:t>
      </w:r>
      <w:bookmarkEnd w:id="164"/>
    </w:p>
    <w:p w14:paraId="0ABA9DDB" w14:textId="77777777" w:rsidR="00BD530B" w:rsidRPr="008756F5" w:rsidRDefault="00BD530B" w:rsidP="008756F5">
      <w:pPr>
        <w:spacing w:after="240"/>
        <w:textAlignment w:val="baseline"/>
        <w:rPr>
          <w:rFonts w:asciiTheme="minorHAnsi" w:hAnsiTheme="minorHAnsi" w:cstheme="minorHAnsi"/>
          <w:b/>
          <w:bCs/>
          <w:sz w:val="21"/>
          <w:szCs w:val="21"/>
          <w:lang w:eastAsia="en-AU"/>
        </w:rPr>
      </w:pPr>
      <w:r w:rsidRPr="008756F5">
        <w:rPr>
          <w:rFonts w:asciiTheme="minorHAnsi" w:hAnsiTheme="minorHAnsi" w:cstheme="minorHAnsi"/>
          <w:b/>
          <w:bCs/>
          <w:sz w:val="21"/>
          <w:szCs w:val="21"/>
          <w:lang w:eastAsia="en-AU"/>
        </w:rPr>
        <w:t>Survey respondents experience with using DMHSs</w:t>
      </w:r>
    </w:p>
    <w:p w14:paraId="34469D52" w14:textId="0B2070FC" w:rsidR="00BD530B" w:rsidRDefault="00BD530B" w:rsidP="008756F5">
      <w:pPr>
        <w:spacing w:after="240"/>
        <w:textAlignment w:val="baseline"/>
        <w:rPr>
          <w:rFonts w:asciiTheme="minorHAnsi" w:hAnsiTheme="minorHAnsi" w:cstheme="minorHAnsi"/>
          <w:sz w:val="21"/>
          <w:szCs w:val="21"/>
          <w:lang w:eastAsia="en-AU"/>
        </w:rPr>
      </w:pPr>
      <w:r w:rsidRPr="008756F5">
        <w:rPr>
          <w:rFonts w:asciiTheme="minorHAnsi" w:hAnsiTheme="minorHAnsi" w:cstheme="minorHAnsi"/>
          <w:sz w:val="21"/>
          <w:szCs w:val="21"/>
          <w:lang w:eastAsia="en-AU"/>
        </w:rPr>
        <w:t xml:space="preserve">Survey respondent providers were asked about their experiences of using the DMHSs. All providers indicated that their DMHS was very easy, easy, or somewhat easy to use. Fifty-seven percent of providers indicated that they had experienced some difficulty using the DMHS. </w:t>
      </w:r>
      <w:r w:rsidRPr="003F6A26">
        <w:rPr>
          <w:rFonts w:asciiTheme="minorHAnsi" w:hAnsiTheme="minorHAnsi" w:cstheme="minorHAnsi"/>
          <w:sz w:val="21"/>
          <w:szCs w:val="21"/>
          <w:lang w:eastAsia="en-AU"/>
        </w:rPr>
        <w:t xml:space="preserve">Table </w:t>
      </w:r>
      <w:r w:rsidR="003F6A26" w:rsidRPr="003F6A26">
        <w:rPr>
          <w:rFonts w:asciiTheme="minorHAnsi" w:hAnsiTheme="minorHAnsi" w:cstheme="minorHAnsi"/>
          <w:sz w:val="21"/>
          <w:szCs w:val="21"/>
          <w:lang w:eastAsia="en-AU"/>
        </w:rPr>
        <w:t>33</w:t>
      </w:r>
      <w:r w:rsidRPr="008756F5">
        <w:rPr>
          <w:rFonts w:asciiTheme="minorHAnsi" w:hAnsiTheme="minorHAnsi" w:cstheme="minorHAnsi"/>
          <w:sz w:val="21"/>
          <w:szCs w:val="21"/>
          <w:lang w:eastAsia="en-AU"/>
        </w:rPr>
        <w:t xml:space="preserve"> shows the types of problems experienced by providers. Commonly experienced difficulties across DMHSs include internet connection, technical problems and the online program not being suitable for the consumers’ needs. Fifty percent of Mental Health Online providers also highlighted difficulties in building rapport.</w:t>
      </w:r>
    </w:p>
    <w:p w14:paraId="140E2690" w14:textId="39571396" w:rsidR="00BD530B" w:rsidRPr="008756F5" w:rsidRDefault="00BD530B" w:rsidP="008756F5">
      <w:pPr>
        <w:spacing w:after="240"/>
        <w:textAlignment w:val="baseline"/>
        <w:rPr>
          <w:rFonts w:asciiTheme="minorHAnsi" w:hAnsiTheme="minorHAnsi" w:cstheme="minorHAnsi"/>
          <w:b/>
          <w:bCs/>
          <w:color w:val="000000"/>
          <w:sz w:val="18"/>
          <w:szCs w:val="18"/>
          <w:lang w:eastAsia="en-AU"/>
        </w:rPr>
      </w:pPr>
      <w:r w:rsidRPr="5DF98574">
        <w:rPr>
          <w:rFonts w:asciiTheme="minorHAnsi" w:hAnsiTheme="minorHAnsi" w:cstheme="minorBidi"/>
          <w:b/>
          <w:color w:val="000000" w:themeColor="text1"/>
          <w:sz w:val="21"/>
          <w:szCs w:val="21"/>
          <w:lang w:val="en-US" w:eastAsia="en-AU"/>
        </w:rPr>
        <w:t>Table</w:t>
      </w:r>
      <w:r w:rsidR="003F6A26" w:rsidRPr="5DF98574">
        <w:rPr>
          <w:rFonts w:asciiTheme="minorHAnsi" w:hAnsiTheme="minorHAnsi" w:cstheme="minorBidi"/>
          <w:b/>
          <w:color w:val="000000" w:themeColor="text1"/>
          <w:sz w:val="21"/>
          <w:szCs w:val="21"/>
          <w:lang w:val="en-US" w:eastAsia="en-AU"/>
        </w:rPr>
        <w:t xml:space="preserve"> 33</w:t>
      </w:r>
      <w:r w:rsidRPr="5DF98574">
        <w:rPr>
          <w:rFonts w:asciiTheme="minorHAnsi" w:hAnsiTheme="minorHAnsi" w:cstheme="minorBidi"/>
          <w:b/>
          <w:color w:val="000000" w:themeColor="text1"/>
          <w:sz w:val="21"/>
          <w:szCs w:val="21"/>
          <w:lang w:val="en-US" w:eastAsia="en-AU"/>
        </w:rPr>
        <w:t>. Types of difficulties providers experienced using DMHSs (N = 30)</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Types of difficulties providers experienced using DMHSs"/>
        <w:tblDescription w:val="Table describes difficulties providers experienced with DMHS"/>
      </w:tblPr>
      <w:tblGrid>
        <w:gridCol w:w="3885"/>
        <w:gridCol w:w="780"/>
        <w:gridCol w:w="795"/>
        <w:gridCol w:w="645"/>
        <w:gridCol w:w="795"/>
        <w:gridCol w:w="735"/>
        <w:gridCol w:w="660"/>
        <w:gridCol w:w="735"/>
        <w:gridCol w:w="660"/>
      </w:tblGrid>
      <w:tr w:rsidR="00BD530B" w:rsidRPr="008756F5" w14:paraId="3A294260" w14:textId="77777777" w:rsidTr="00A56C43">
        <w:trPr>
          <w:trHeight w:val="270"/>
          <w:tblHeader/>
        </w:trPr>
        <w:tc>
          <w:tcPr>
            <w:tcW w:w="3885" w:type="dxa"/>
            <w:vMerge w:val="restart"/>
            <w:tcBorders>
              <w:top w:val="single" w:sz="6" w:space="0" w:color="000000"/>
              <w:left w:val="single" w:sz="6" w:space="0" w:color="000000"/>
              <w:bottom w:val="nil"/>
              <w:right w:val="nil"/>
            </w:tcBorders>
            <w:shd w:val="clear" w:color="auto" w:fill="000000"/>
            <w:vAlign w:val="center"/>
            <w:hideMark/>
          </w:tcPr>
          <w:p w14:paraId="7DEA18A2" w14:textId="77777777" w:rsidR="00BD530B" w:rsidRPr="008756F5" w:rsidRDefault="00BD530B" w:rsidP="00A56C43">
            <w:pPr>
              <w:jc w:val="center"/>
              <w:textAlignment w:val="baseline"/>
              <w:rPr>
                <w:rFonts w:asciiTheme="minorHAnsi" w:hAnsiTheme="minorHAnsi" w:cstheme="minorHAnsi"/>
                <w:b/>
                <w:bCs/>
                <w:color w:val="FFFFFF"/>
                <w:sz w:val="18"/>
                <w:szCs w:val="18"/>
                <w:lang w:eastAsia="en-AU"/>
              </w:rPr>
            </w:pPr>
            <w:r w:rsidRPr="008756F5">
              <w:rPr>
                <w:rFonts w:asciiTheme="minorHAnsi" w:hAnsiTheme="minorHAnsi" w:cstheme="minorHAnsi"/>
                <w:b/>
                <w:bCs/>
                <w:color w:val="FFFFFF"/>
                <w:sz w:val="18"/>
                <w:szCs w:val="18"/>
                <w:lang w:eastAsia="en-AU"/>
              </w:rPr>
              <w:t xml:space="preserve">Types of </w:t>
            </w:r>
            <w:proofErr w:type="spellStart"/>
            <w:r w:rsidRPr="008756F5">
              <w:rPr>
                <w:rFonts w:asciiTheme="minorHAnsi" w:hAnsiTheme="minorHAnsi" w:cstheme="minorHAnsi"/>
                <w:b/>
                <w:bCs/>
                <w:color w:val="FFFFFF"/>
                <w:sz w:val="18"/>
                <w:szCs w:val="18"/>
                <w:lang w:eastAsia="en-AU"/>
              </w:rPr>
              <w:t>difficulties</w:t>
            </w:r>
            <w:r w:rsidRPr="008756F5">
              <w:rPr>
                <w:rFonts w:asciiTheme="minorHAnsi" w:hAnsiTheme="minorHAnsi" w:cstheme="minorHAnsi"/>
                <w:b/>
                <w:bCs/>
                <w:color w:val="FFFFFF"/>
                <w:sz w:val="18"/>
                <w:szCs w:val="18"/>
                <w:vertAlign w:val="superscript"/>
                <w:lang w:eastAsia="en-AU"/>
              </w:rPr>
              <w:t>a</w:t>
            </w:r>
            <w:proofErr w:type="spellEnd"/>
            <w:r w:rsidRPr="008756F5">
              <w:rPr>
                <w:rFonts w:asciiTheme="minorHAnsi" w:hAnsiTheme="minorHAnsi" w:cstheme="minorHAnsi"/>
                <w:b/>
                <w:bCs/>
                <w:color w:val="FFFFFF"/>
                <w:sz w:val="18"/>
                <w:szCs w:val="18"/>
                <w:lang w:eastAsia="en-AU"/>
              </w:rPr>
              <w:t> </w:t>
            </w:r>
          </w:p>
        </w:tc>
        <w:tc>
          <w:tcPr>
            <w:tcW w:w="1575" w:type="dxa"/>
            <w:gridSpan w:val="2"/>
            <w:tcBorders>
              <w:top w:val="single" w:sz="6" w:space="0" w:color="000000"/>
              <w:left w:val="nil"/>
              <w:bottom w:val="single" w:sz="6" w:space="0" w:color="000000"/>
              <w:right w:val="nil"/>
            </w:tcBorders>
            <w:shd w:val="clear" w:color="auto" w:fill="000000"/>
            <w:hideMark/>
          </w:tcPr>
          <w:p w14:paraId="18BFF325" w14:textId="77777777" w:rsidR="00BD530B" w:rsidRPr="008756F5" w:rsidRDefault="00BD530B" w:rsidP="00A56C43">
            <w:pPr>
              <w:jc w:val="center"/>
              <w:textAlignment w:val="baseline"/>
              <w:rPr>
                <w:rFonts w:asciiTheme="minorHAnsi" w:hAnsiTheme="minorHAnsi" w:cstheme="minorHAnsi"/>
                <w:b/>
                <w:bCs/>
                <w:color w:val="FFFFFF"/>
                <w:sz w:val="18"/>
                <w:szCs w:val="18"/>
                <w:lang w:eastAsia="en-AU"/>
              </w:rPr>
            </w:pPr>
            <w:r w:rsidRPr="008756F5">
              <w:rPr>
                <w:rFonts w:asciiTheme="minorHAnsi" w:hAnsiTheme="minorHAnsi" w:cstheme="minorHAnsi"/>
                <w:b/>
                <w:bCs/>
                <w:color w:val="FFFFFF"/>
                <w:sz w:val="18"/>
                <w:szCs w:val="18"/>
                <w:lang w:eastAsia="en-AU"/>
              </w:rPr>
              <w:t>MHO </w:t>
            </w:r>
          </w:p>
          <w:p w14:paraId="16DF8253" w14:textId="77777777" w:rsidR="00BD530B" w:rsidRPr="008756F5" w:rsidRDefault="00BD530B" w:rsidP="00A56C43">
            <w:pPr>
              <w:jc w:val="center"/>
              <w:textAlignment w:val="baseline"/>
              <w:rPr>
                <w:rFonts w:asciiTheme="minorHAnsi" w:hAnsiTheme="minorHAnsi" w:cstheme="minorHAnsi"/>
                <w:b/>
                <w:bCs/>
                <w:color w:val="FFFFFF"/>
                <w:sz w:val="18"/>
                <w:szCs w:val="18"/>
                <w:lang w:eastAsia="en-AU"/>
              </w:rPr>
            </w:pPr>
            <w:r w:rsidRPr="008756F5">
              <w:rPr>
                <w:rFonts w:asciiTheme="minorHAnsi" w:hAnsiTheme="minorHAnsi" w:cstheme="minorHAnsi"/>
                <w:b/>
                <w:bCs/>
                <w:color w:val="FFFFFF"/>
                <w:sz w:val="18"/>
                <w:szCs w:val="18"/>
                <w:lang w:eastAsia="en-AU"/>
              </w:rPr>
              <w:t>(n=8) </w:t>
            </w:r>
          </w:p>
        </w:tc>
        <w:tc>
          <w:tcPr>
            <w:tcW w:w="1440" w:type="dxa"/>
            <w:gridSpan w:val="2"/>
            <w:tcBorders>
              <w:top w:val="single" w:sz="6" w:space="0" w:color="000000"/>
              <w:left w:val="nil"/>
              <w:bottom w:val="single" w:sz="6" w:space="0" w:color="000000"/>
              <w:right w:val="nil"/>
            </w:tcBorders>
            <w:shd w:val="clear" w:color="auto" w:fill="000000"/>
            <w:hideMark/>
          </w:tcPr>
          <w:p w14:paraId="17976041" w14:textId="77777777" w:rsidR="00BD530B" w:rsidRPr="008756F5" w:rsidRDefault="00BD530B" w:rsidP="00A56C43">
            <w:pPr>
              <w:jc w:val="center"/>
              <w:textAlignment w:val="baseline"/>
              <w:rPr>
                <w:rFonts w:asciiTheme="minorHAnsi" w:hAnsiTheme="minorHAnsi" w:cstheme="minorHAnsi"/>
                <w:b/>
                <w:bCs/>
                <w:color w:val="FFFFFF"/>
                <w:sz w:val="18"/>
                <w:szCs w:val="18"/>
                <w:lang w:eastAsia="en-AU"/>
              </w:rPr>
            </w:pPr>
            <w:r w:rsidRPr="008756F5">
              <w:rPr>
                <w:rFonts w:asciiTheme="minorHAnsi" w:hAnsiTheme="minorHAnsi" w:cstheme="minorHAnsi"/>
                <w:b/>
                <w:bCs/>
                <w:color w:val="FFFFFF"/>
                <w:sz w:val="18"/>
                <w:szCs w:val="18"/>
                <w:lang w:eastAsia="en-AU"/>
              </w:rPr>
              <w:t>MS </w:t>
            </w:r>
          </w:p>
          <w:p w14:paraId="255456A3" w14:textId="77777777" w:rsidR="00BD530B" w:rsidRPr="008756F5" w:rsidRDefault="00BD530B" w:rsidP="00A56C43">
            <w:pPr>
              <w:jc w:val="center"/>
              <w:textAlignment w:val="baseline"/>
              <w:rPr>
                <w:rFonts w:asciiTheme="minorHAnsi" w:hAnsiTheme="minorHAnsi" w:cstheme="minorHAnsi"/>
                <w:b/>
                <w:bCs/>
                <w:color w:val="FFFFFF"/>
                <w:sz w:val="18"/>
                <w:szCs w:val="18"/>
                <w:lang w:eastAsia="en-AU"/>
              </w:rPr>
            </w:pPr>
            <w:r w:rsidRPr="008756F5">
              <w:rPr>
                <w:rFonts w:asciiTheme="minorHAnsi" w:hAnsiTheme="minorHAnsi" w:cstheme="minorHAnsi"/>
                <w:b/>
                <w:bCs/>
                <w:color w:val="FFFFFF"/>
                <w:sz w:val="18"/>
                <w:szCs w:val="18"/>
                <w:lang w:eastAsia="en-AU"/>
              </w:rPr>
              <w:t>(n=7) </w:t>
            </w:r>
          </w:p>
        </w:tc>
        <w:tc>
          <w:tcPr>
            <w:tcW w:w="1395" w:type="dxa"/>
            <w:gridSpan w:val="2"/>
            <w:tcBorders>
              <w:top w:val="single" w:sz="6" w:space="0" w:color="000000"/>
              <w:left w:val="nil"/>
              <w:bottom w:val="single" w:sz="6" w:space="0" w:color="000000"/>
              <w:right w:val="nil"/>
            </w:tcBorders>
            <w:shd w:val="clear" w:color="auto" w:fill="000000"/>
            <w:hideMark/>
          </w:tcPr>
          <w:p w14:paraId="2F8C6775" w14:textId="77777777" w:rsidR="00BD530B" w:rsidRPr="008756F5" w:rsidRDefault="00BD530B" w:rsidP="00A56C43">
            <w:pPr>
              <w:jc w:val="center"/>
              <w:textAlignment w:val="baseline"/>
              <w:rPr>
                <w:rFonts w:asciiTheme="minorHAnsi" w:hAnsiTheme="minorHAnsi" w:cstheme="minorHAnsi"/>
                <w:b/>
                <w:bCs/>
                <w:color w:val="FFFFFF"/>
                <w:sz w:val="18"/>
                <w:szCs w:val="18"/>
                <w:lang w:eastAsia="en-AU"/>
              </w:rPr>
            </w:pPr>
            <w:r w:rsidRPr="008756F5">
              <w:rPr>
                <w:rFonts w:asciiTheme="minorHAnsi" w:hAnsiTheme="minorHAnsi" w:cstheme="minorHAnsi"/>
                <w:b/>
                <w:bCs/>
                <w:color w:val="FFFFFF"/>
                <w:sz w:val="18"/>
                <w:szCs w:val="18"/>
                <w:lang w:eastAsia="en-AU"/>
              </w:rPr>
              <w:t>TWU </w:t>
            </w:r>
          </w:p>
          <w:p w14:paraId="3869CED8" w14:textId="77777777" w:rsidR="00BD530B" w:rsidRPr="008756F5" w:rsidRDefault="00BD530B" w:rsidP="00A56C43">
            <w:pPr>
              <w:jc w:val="center"/>
              <w:textAlignment w:val="baseline"/>
              <w:rPr>
                <w:rFonts w:asciiTheme="minorHAnsi" w:hAnsiTheme="minorHAnsi" w:cstheme="minorHAnsi"/>
                <w:b/>
                <w:bCs/>
                <w:color w:val="FFFFFF"/>
                <w:sz w:val="18"/>
                <w:szCs w:val="18"/>
                <w:lang w:eastAsia="en-AU"/>
              </w:rPr>
            </w:pPr>
            <w:r w:rsidRPr="008756F5">
              <w:rPr>
                <w:rFonts w:asciiTheme="minorHAnsi" w:hAnsiTheme="minorHAnsi" w:cstheme="minorHAnsi"/>
                <w:b/>
                <w:bCs/>
                <w:color w:val="FFFFFF"/>
                <w:sz w:val="18"/>
                <w:szCs w:val="18"/>
                <w:lang w:eastAsia="en-AU"/>
              </w:rPr>
              <w:t>(n=15) </w:t>
            </w:r>
          </w:p>
        </w:tc>
        <w:tc>
          <w:tcPr>
            <w:tcW w:w="1395" w:type="dxa"/>
            <w:gridSpan w:val="2"/>
            <w:tcBorders>
              <w:top w:val="single" w:sz="6" w:space="0" w:color="000000"/>
              <w:left w:val="nil"/>
              <w:bottom w:val="single" w:sz="6" w:space="0" w:color="000000"/>
              <w:right w:val="single" w:sz="6" w:space="0" w:color="000000"/>
            </w:tcBorders>
            <w:shd w:val="clear" w:color="auto" w:fill="000000"/>
            <w:hideMark/>
          </w:tcPr>
          <w:p w14:paraId="4E30F80E" w14:textId="77777777" w:rsidR="00BD530B" w:rsidRPr="008756F5" w:rsidRDefault="00BD530B" w:rsidP="00A56C43">
            <w:pPr>
              <w:jc w:val="center"/>
              <w:textAlignment w:val="baseline"/>
              <w:rPr>
                <w:rFonts w:asciiTheme="minorHAnsi" w:hAnsiTheme="minorHAnsi" w:cstheme="minorHAnsi"/>
                <w:b/>
                <w:bCs/>
                <w:color w:val="FFFFFF"/>
                <w:sz w:val="18"/>
                <w:szCs w:val="18"/>
                <w:lang w:eastAsia="en-AU"/>
              </w:rPr>
            </w:pPr>
            <w:r w:rsidRPr="008756F5">
              <w:rPr>
                <w:rFonts w:asciiTheme="minorHAnsi" w:hAnsiTheme="minorHAnsi" w:cstheme="minorHAnsi"/>
                <w:b/>
                <w:bCs/>
                <w:color w:val="FFFFFF"/>
                <w:sz w:val="18"/>
                <w:szCs w:val="18"/>
                <w:lang w:eastAsia="en-AU"/>
              </w:rPr>
              <w:t>Total </w:t>
            </w:r>
          </w:p>
          <w:p w14:paraId="47A904C8" w14:textId="77777777" w:rsidR="00BD530B" w:rsidRPr="008756F5" w:rsidRDefault="00BD530B" w:rsidP="00A56C43">
            <w:pPr>
              <w:jc w:val="center"/>
              <w:textAlignment w:val="baseline"/>
              <w:rPr>
                <w:rFonts w:asciiTheme="minorHAnsi" w:hAnsiTheme="minorHAnsi" w:cstheme="minorHAnsi"/>
                <w:b/>
                <w:bCs/>
                <w:color w:val="FFFFFF"/>
                <w:sz w:val="18"/>
                <w:szCs w:val="18"/>
                <w:lang w:eastAsia="en-AU"/>
              </w:rPr>
            </w:pPr>
            <w:r w:rsidRPr="008756F5">
              <w:rPr>
                <w:rFonts w:asciiTheme="minorHAnsi" w:hAnsiTheme="minorHAnsi" w:cstheme="minorHAnsi"/>
                <w:b/>
                <w:bCs/>
                <w:color w:val="FFFFFF"/>
                <w:sz w:val="18"/>
                <w:szCs w:val="18"/>
                <w:lang w:eastAsia="en-AU"/>
              </w:rPr>
              <w:t>(N=30) </w:t>
            </w:r>
          </w:p>
        </w:tc>
      </w:tr>
      <w:tr w:rsidR="00BD530B" w:rsidRPr="008756F5" w14:paraId="1DDBA2AA" w14:textId="77777777" w:rsidTr="00A56C43">
        <w:trPr>
          <w:trHeight w:val="270"/>
          <w:tblHeader/>
        </w:trPr>
        <w:tc>
          <w:tcPr>
            <w:tcW w:w="0" w:type="auto"/>
            <w:vMerge/>
            <w:tcBorders>
              <w:top w:val="single" w:sz="6" w:space="0" w:color="000000"/>
              <w:left w:val="single" w:sz="6" w:space="0" w:color="000000"/>
              <w:bottom w:val="nil"/>
              <w:right w:val="nil"/>
            </w:tcBorders>
            <w:shd w:val="clear" w:color="auto" w:fill="auto"/>
            <w:vAlign w:val="center"/>
            <w:hideMark/>
          </w:tcPr>
          <w:p w14:paraId="5BE42EEC" w14:textId="77777777" w:rsidR="00BD530B" w:rsidRPr="008756F5" w:rsidRDefault="00BD530B" w:rsidP="00A56C43">
            <w:pPr>
              <w:rPr>
                <w:rFonts w:asciiTheme="minorHAnsi" w:hAnsiTheme="minorHAnsi" w:cstheme="minorHAnsi"/>
                <w:b/>
                <w:bCs/>
                <w:color w:val="FFFFFF"/>
                <w:sz w:val="18"/>
                <w:szCs w:val="18"/>
                <w:lang w:eastAsia="en-AU"/>
              </w:rPr>
            </w:pPr>
          </w:p>
        </w:tc>
        <w:tc>
          <w:tcPr>
            <w:tcW w:w="780" w:type="dxa"/>
            <w:tcBorders>
              <w:top w:val="single" w:sz="6" w:space="0" w:color="000000"/>
              <w:left w:val="nil"/>
              <w:bottom w:val="nil"/>
              <w:right w:val="nil"/>
            </w:tcBorders>
            <w:shd w:val="clear" w:color="auto" w:fill="000000"/>
            <w:hideMark/>
          </w:tcPr>
          <w:p w14:paraId="5BE8E99A"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b/>
                <w:bCs/>
                <w:color w:val="FFFFFF"/>
                <w:sz w:val="18"/>
                <w:szCs w:val="18"/>
                <w:lang w:eastAsia="en-AU"/>
              </w:rPr>
              <w:t>n</w:t>
            </w:r>
            <w:r w:rsidRPr="008756F5">
              <w:rPr>
                <w:rFonts w:asciiTheme="minorHAnsi" w:hAnsiTheme="minorHAnsi" w:cstheme="minorHAnsi"/>
                <w:color w:val="FFFFFF"/>
                <w:sz w:val="18"/>
                <w:szCs w:val="18"/>
                <w:lang w:eastAsia="en-AU"/>
              </w:rPr>
              <w:t> </w:t>
            </w:r>
          </w:p>
        </w:tc>
        <w:tc>
          <w:tcPr>
            <w:tcW w:w="780" w:type="dxa"/>
            <w:tcBorders>
              <w:top w:val="single" w:sz="6" w:space="0" w:color="000000"/>
              <w:left w:val="nil"/>
              <w:bottom w:val="nil"/>
              <w:right w:val="nil"/>
            </w:tcBorders>
            <w:shd w:val="clear" w:color="auto" w:fill="000000"/>
            <w:hideMark/>
          </w:tcPr>
          <w:p w14:paraId="115698EE"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b/>
                <w:bCs/>
                <w:color w:val="FFFFFF"/>
                <w:sz w:val="18"/>
                <w:szCs w:val="18"/>
                <w:lang w:eastAsia="en-AU"/>
              </w:rPr>
              <w:t>%</w:t>
            </w:r>
            <w:r w:rsidRPr="008756F5">
              <w:rPr>
                <w:rFonts w:asciiTheme="minorHAnsi" w:hAnsiTheme="minorHAnsi" w:cstheme="minorHAnsi"/>
                <w:color w:val="FFFFFF"/>
                <w:sz w:val="18"/>
                <w:szCs w:val="18"/>
                <w:lang w:eastAsia="en-AU"/>
              </w:rPr>
              <w:t> </w:t>
            </w:r>
          </w:p>
        </w:tc>
        <w:tc>
          <w:tcPr>
            <w:tcW w:w="645" w:type="dxa"/>
            <w:tcBorders>
              <w:top w:val="single" w:sz="6" w:space="0" w:color="000000"/>
              <w:left w:val="nil"/>
              <w:bottom w:val="nil"/>
              <w:right w:val="nil"/>
            </w:tcBorders>
            <w:shd w:val="clear" w:color="auto" w:fill="000000"/>
            <w:hideMark/>
          </w:tcPr>
          <w:p w14:paraId="4235B016"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b/>
                <w:bCs/>
                <w:color w:val="FFFFFF"/>
                <w:sz w:val="18"/>
                <w:szCs w:val="18"/>
                <w:lang w:eastAsia="en-AU"/>
              </w:rPr>
              <w:t>n</w:t>
            </w:r>
            <w:r w:rsidRPr="008756F5">
              <w:rPr>
                <w:rFonts w:asciiTheme="minorHAnsi" w:hAnsiTheme="minorHAnsi" w:cstheme="minorHAnsi"/>
                <w:color w:val="FFFFFF"/>
                <w:sz w:val="18"/>
                <w:szCs w:val="18"/>
                <w:lang w:eastAsia="en-AU"/>
              </w:rPr>
              <w:t> </w:t>
            </w:r>
          </w:p>
        </w:tc>
        <w:tc>
          <w:tcPr>
            <w:tcW w:w="780" w:type="dxa"/>
            <w:tcBorders>
              <w:top w:val="single" w:sz="6" w:space="0" w:color="000000"/>
              <w:left w:val="nil"/>
              <w:bottom w:val="nil"/>
              <w:right w:val="nil"/>
            </w:tcBorders>
            <w:shd w:val="clear" w:color="auto" w:fill="000000"/>
            <w:hideMark/>
          </w:tcPr>
          <w:p w14:paraId="20B11CBA"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b/>
                <w:bCs/>
                <w:color w:val="FFFFFF"/>
                <w:sz w:val="18"/>
                <w:szCs w:val="18"/>
                <w:lang w:eastAsia="en-AU"/>
              </w:rPr>
              <w:t>%</w:t>
            </w:r>
            <w:r w:rsidRPr="008756F5">
              <w:rPr>
                <w:rFonts w:asciiTheme="minorHAnsi" w:hAnsiTheme="minorHAnsi" w:cstheme="minorHAnsi"/>
                <w:color w:val="FFFFFF"/>
                <w:sz w:val="18"/>
                <w:szCs w:val="18"/>
                <w:lang w:eastAsia="en-AU"/>
              </w:rPr>
              <w:t> </w:t>
            </w:r>
          </w:p>
        </w:tc>
        <w:tc>
          <w:tcPr>
            <w:tcW w:w="735" w:type="dxa"/>
            <w:tcBorders>
              <w:top w:val="single" w:sz="6" w:space="0" w:color="000000"/>
              <w:left w:val="nil"/>
              <w:bottom w:val="nil"/>
              <w:right w:val="nil"/>
            </w:tcBorders>
            <w:shd w:val="clear" w:color="auto" w:fill="000000"/>
            <w:hideMark/>
          </w:tcPr>
          <w:p w14:paraId="45A7D227"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b/>
                <w:bCs/>
                <w:color w:val="FFFFFF"/>
                <w:sz w:val="18"/>
                <w:szCs w:val="18"/>
                <w:lang w:eastAsia="en-AU"/>
              </w:rPr>
              <w:t>n</w:t>
            </w:r>
            <w:r w:rsidRPr="008756F5">
              <w:rPr>
                <w:rFonts w:asciiTheme="minorHAnsi" w:hAnsiTheme="minorHAnsi" w:cstheme="minorHAnsi"/>
                <w:color w:val="FFFFFF"/>
                <w:sz w:val="18"/>
                <w:szCs w:val="18"/>
                <w:lang w:eastAsia="en-AU"/>
              </w:rPr>
              <w:t> </w:t>
            </w:r>
          </w:p>
        </w:tc>
        <w:tc>
          <w:tcPr>
            <w:tcW w:w="645" w:type="dxa"/>
            <w:tcBorders>
              <w:top w:val="single" w:sz="6" w:space="0" w:color="000000"/>
              <w:left w:val="nil"/>
              <w:bottom w:val="nil"/>
              <w:right w:val="nil"/>
            </w:tcBorders>
            <w:shd w:val="clear" w:color="auto" w:fill="000000"/>
            <w:hideMark/>
          </w:tcPr>
          <w:p w14:paraId="5236000D"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b/>
                <w:bCs/>
                <w:color w:val="FFFFFF"/>
                <w:sz w:val="18"/>
                <w:szCs w:val="18"/>
                <w:lang w:eastAsia="en-AU"/>
              </w:rPr>
              <w:t>%</w:t>
            </w:r>
            <w:r w:rsidRPr="008756F5">
              <w:rPr>
                <w:rFonts w:asciiTheme="minorHAnsi" w:hAnsiTheme="minorHAnsi" w:cstheme="minorHAnsi"/>
                <w:color w:val="FFFFFF"/>
                <w:sz w:val="18"/>
                <w:szCs w:val="18"/>
                <w:lang w:eastAsia="en-AU"/>
              </w:rPr>
              <w:t> </w:t>
            </w:r>
          </w:p>
        </w:tc>
        <w:tc>
          <w:tcPr>
            <w:tcW w:w="735" w:type="dxa"/>
            <w:tcBorders>
              <w:top w:val="single" w:sz="6" w:space="0" w:color="000000"/>
              <w:left w:val="nil"/>
              <w:bottom w:val="nil"/>
              <w:right w:val="nil"/>
            </w:tcBorders>
            <w:shd w:val="clear" w:color="auto" w:fill="000000"/>
            <w:hideMark/>
          </w:tcPr>
          <w:p w14:paraId="7CACE369"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b/>
                <w:bCs/>
                <w:color w:val="FFFFFF"/>
                <w:sz w:val="18"/>
                <w:szCs w:val="18"/>
                <w:lang w:eastAsia="en-AU"/>
              </w:rPr>
              <w:t>n</w:t>
            </w:r>
            <w:r w:rsidRPr="008756F5">
              <w:rPr>
                <w:rFonts w:asciiTheme="minorHAnsi" w:hAnsiTheme="minorHAnsi" w:cstheme="minorHAnsi"/>
                <w:color w:val="FFFFFF"/>
                <w:sz w:val="18"/>
                <w:szCs w:val="18"/>
                <w:lang w:eastAsia="en-AU"/>
              </w:rPr>
              <w:t> </w:t>
            </w:r>
          </w:p>
        </w:tc>
        <w:tc>
          <w:tcPr>
            <w:tcW w:w="645" w:type="dxa"/>
            <w:tcBorders>
              <w:top w:val="single" w:sz="6" w:space="0" w:color="000000"/>
              <w:left w:val="nil"/>
              <w:bottom w:val="nil"/>
              <w:right w:val="single" w:sz="6" w:space="0" w:color="000000"/>
            </w:tcBorders>
            <w:shd w:val="clear" w:color="auto" w:fill="000000"/>
            <w:hideMark/>
          </w:tcPr>
          <w:p w14:paraId="0F9D3A8B"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b/>
                <w:bCs/>
                <w:color w:val="FFFFFF"/>
                <w:sz w:val="18"/>
                <w:szCs w:val="18"/>
                <w:lang w:eastAsia="en-AU"/>
              </w:rPr>
              <w:t>%</w:t>
            </w:r>
            <w:r w:rsidRPr="008756F5">
              <w:rPr>
                <w:rFonts w:asciiTheme="minorHAnsi" w:hAnsiTheme="minorHAnsi" w:cstheme="minorHAnsi"/>
                <w:color w:val="FFFFFF"/>
                <w:sz w:val="18"/>
                <w:szCs w:val="18"/>
                <w:lang w:eastAsia="en-AU"/>
              </w:rPr>
              <w:t> </w:t>
            </w:r>
          </w:p>
        </w:tc>
      </w:tr>
      <w:tr w:rsidR="00BD530B" w:rsidRPr="008756F5" w14:paraId="4D8CE05C" w14:textId="77777777" w:rsidTr="00A56C43">
        <w:trPr>
          <w:trHeight w:val="270"/>
        </w:trPr>
        <w:tc>
          <w:tcPr>
            <w:tcW w:w="3885" w:type="dxa"/>
            <w:tcBorders>
              <w:top w:val="nil"/>
              <w:left w:val="single" w:sz="6" w:space="0" w:color="000000"/>
              <w:bottom w:val="nil"/>
              <w:right w:val="nil"/>
            </w:tcBorders>
            <w:shd w:val="clear" w:color="auto" w:fill="auto"/>
            <w:hideMark/>
          </w:tcPr>
          <w:p w14:paraId="0DFC2821" w14:textId="77777777" w:rsidR="00BD530B" w:rsidRPr="008756F5" w:rsidRDefault="00BD530B" w:rsidP="00A56C43">
            <w:pPr>
              <w:textAlignment w:val="baseline"/>
              <w:rPr>
                <w:rFonts w:asciiTheme="minorHAnsi" w:hAnsiTheme="minorHAnsi" w:cstheme="minorHAnsi"/>
                <w:b/>
                <w:bCs/>
                <w:sz w:val="18"/>
                <w:szCs w:val="18"/>
                <w:lang w:eastAsia="en-AU"/>
              </w:rPr>
            </w:pPr>
            <w:r w:rsidRPr="008756F5">
              <w:rPr>
                <w:rFonts w:asciiTheme="minorHAnsi" w:hAnsiTheme="minorHAnsi" w:cstheme="minorHAnsi"/>
                <w:color w:val="000000"/>
                <w:sz w:val="18"/>
                <w:szCs w:val="18"/>
                <w:lang w:eastAsia="en-AU"/>
              </w:rPr>
              <w:t>Problems with connections</w:t>
            </w:r>
          </w:p>
        </w:tc>
        <w:tc>
          <w:tcPr>
            <w:tcW w:w="780" w:type="dxa"/>
            <w:tcBorders>
              <w:top w:val="nil"/>
              <w:left w:val="nil"/>
              <w:bottom w:val="nil"/>
              <w:right w:val="nil"/>
            </w:tcBorders>
            <w:shd w:val="clear" w:color="auto" w:fill="auto"/>
            <w:hideMark/>
          </w:tcPr>
          <w:p w14:paraId="1D9C41B2"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3 </w:t>
            </w:r>
          </w:p>
        </w:tc>
        <w:tc>
          <w:tcPr>
            <w:tcW w:w="780" w:type="dxa"/>
            <w:tcBorders>
              <w:top w:val="nil"/>
              <w:left w:val="nil"/>
              <w:bottom w:val="nil"/>
              <w:right w:val="nil"/>
            </w:tcBorders>
            <w:shd w:val="clear" w:color="auto" w:fill="auto"/>
            <w:hideMark/>
          </w:tcPr>
          <w:p w14:paraId="0E911CFD"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38 </w:t>
            </w:r>
          </w:p>
        </w:tc>
        <w:tc>
          <w:tcPr>
            <w:tcW w:w="645" w:type="dxa"/>
            <w:tcBorders>
              <w:top w:val="nil"/>
              <w:left w:val="nil"/>
              <w:bottom w:val="nil"/>
              <w:right w:val="nil"/>
            </w:tcBorders>
            <w:shd w:val="clear" w:color="auto" w:fill="auto"/>
            <w:hideMark/>
          </w:tcPr>
          <w:p w14:paraId="7011C8C9"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2 </w:t>
            </w:r>
          </w:p>
        </w:tc>
        <w:tc>
          <w:tcPr>
            <w:tcW w:w="780" w:type="dxa"/>
            <w:tcBorders>
              <w:top w:val="nil"/>
              <w:left w:val="nil"/>
              <w:bottom w:val="nil"/>
              <w:right w:val="nil"/>
            </w:tcBorders>
            <w:shd w:val="clear" w:color="auto" w:fill="auto"/>
            <w:hideMark/>
          </w:tcPr>
          <w:p w14:paraId="7550ADAB"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29 </w:t>
            </w:r>
          </w:p>
        </w:tc>
        <w:tc>
          <w:tcPr>
            <w:tcW w:w="735" w:type="dxa"/>
            <w:tcBorders>
              <w:top w:val="nil"/>
              <w:left w:val="nil"/>
              <w:bottom w:val="nil"/>
              <w:right w:val="nil"/>
            </w:tcBorders>
            <w:shd w:val="clear" w:color="auto" w:fill="auto"/>
            <w:hideMark/>
          </w:tcPr>
          <w:p w14:paraId="332373A1"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3 </w:t>
            </w:r>
          </w:p>
        </w:tc>
        <w:tc>
          <w:tcPr>
            <w:tcW w:w="645" w:type="dxa"/>
            <w:tcBorders>
              <w:top w:val="nil"/>
              <w:left w:val="nil"/>
              <w:bottom w:val="nil"/>
              <w:right w:val="nil"/>
            </w:tcBorders>
            <w:shd w:val="clear" w:color="auto" w:fill="auto"/>
            <w:hideMark/>
          </w:tcPr>
          <w:p w14:paraId="7217C0BA"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20 </w:t>
            </w:r>
          </w:p>
        </w:tc>
        <w:tc>
          <w:tcPr>
            <w:tcW w:w="735" w:type="dxa"/>
            <w:tcBorders>
              <w:top w:val="nil"/>
              <w:left w:val="nil"/>
              <w:bottom w:val="nil"/>
              <w:right w:val="nil"/>
            </w:tcBorders>
            <w:shd w:val="clear" w:color="auto" w:fill="auto"/>
            <w:hideMark/>
          </w:tcPr>
          <w:p w14:paraId="1449863A"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8 </w:t>
            </w:r>
          </w:p>
        </w:tc>
        <w:tc>
          <w:tcPr>
            <w:tcW w:w="645" w:type="dxa"/>
            <w:tcBorders>
              <w:top w:val="nil"/>
              <w:left w:val="nil"/>
              <w:bottom w:val="nil"/>
              <w:right w:val="single" w:sz="6" w:space="0" w:color="000000"/>
            </w:tcBorders>
            <w:shd w:val="clear" w:color="auto" w:fill="auto"/>
            <w:hideMark/>
          </w:tcPr>
          <w:p w14:paraId="63AF0CDA"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27 </w:t>
            </w:r>
          </w:p>
        </w:tc>
      </w:tr>
      <w:tr w:rsidR="00BD530B" w:rsidRPr="008756F5" w14:paraId="0BA5C1A1" w14:textId="77777777" w:rsidTr="00A56C43">
        <w:trPr>
          <w:trHeight w:val="270"/>
        </w:trPr>
        <w:tc>
          <w:tcPr>
            <w:tcW w:w="3885" w:type="dxa"/>
            <w:tcBorders>
              <w:top w:val="nil"/>
              <w:left w:val="single" w:sz="6" w:space="0" w:color="000000"/>
              <w:bottom w:val="nil"/>
              <w:right w:val="nil"/>
            </w:tcBorders>
            <w:shd w:val="clear" w:color="auto" w:fill="auto"/>
            <w:hideMark/>
          </w:tcPr>
          <w:p w14:paraId="3088091B" w14:textId="77777777" w:rsidR="00BD530B" w:rsidRPr="008756F5" w:rsidRDefault="00BD530B" w:rsidP="00A56C43">
            <w:pPr>
              <w:textAlignment w:val="baseline"/>
              <w:rPr>
                <w:rFonts w:asciiTheme="minorHAnsi" w:hAnsiTheme="minorHAnsi" w:cstheme="minorHAnsi"/>
                <w:b/>
                <w:bCs/>
                <w:sz w:val="18"/>
                <w:szCs w:val="18"/>
                <w:lang w:eastAsia="en-AU"/>
              </w:rPr>
            </w:pPr>
            <w:r w:rsidRPr="008756F5">
              <w:rPr>
                <w:rFonts w:asciiTheme="minorHAnsi" w:hAnsiTheme="minorHAnsi" w:cstheme="minorHAnsi"/>
                <w:color w:val="000000"/>
                <w:sz w:val="18"/>
                <w:szCs w:val="18"/>
                <w:lang w:eastAsia="en-AU"/>
              </w:rPr>
              <w:t>Technical problems</w:t>
            </w:r>
            <w:r w:rsidRPr="008756F5">
              <w:rPr>
                <w:rFonts w:asciiTheme="minorHAnsi" w:hAnsiTheme="minorHAnsi" w:cstheme="minorHAnsi"/>
                <w:b/>
                <w:bCs/>
                <w:color w:val="000000"/>
                <w:sz w:val="18"/>
                <w:szCs w:val="18"/>
                <w:lang w:eastAsia="en-AU"/>
              </w:rPr>
              <w:t> </w:t>
            </w:r>
          </w:p>
        </w:tc>
        <w:tc>
          <w:tcPr>
            <w:tcW w:w="780" w:type="dxa"/>
            <w:tcBorders>
              <w:top w:val="nil"/>
              <w:left w:val="nil"/>
              <w:bottom w:val="nil"/>
              <w:right w:val="nil"/>
            </w:tcBorders>
            <w:shd w:val="clear" w:color="auto" w:fill="auto"/>
            <w:hideMark/>
          </w:tcPr>
          <w:p w14:paraId="6DD228EC"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3 </w:t>
            </w:r>
          </w:p>
        </w:tc>
        <w:tc>
          <w:tcPr>
            <w:tcW w:w="780" w:type="dxa"/>
            <w:tcBorders>
              <w:top w:val="nil"/>
              <w:left w:val="nil"/>
              <w:bottom w:val="nil"/>
              <w:right w:val="nil"/>
            </w:tcBorders>
            <w:shd w:val="clear" w:color="auto" w:fill="auto"/>
            <w:hideMark/>
          </w:tcPr>
          <w:p w14:paraId="3278D6F4"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38 </w:t>
            </w:r>
          </w:p>
        </w:tc>
        <w:tc>
          <w:tcPr>
            <w:tcW w:w="645" w:type="dxa"/>
            <w:tcBorders>
              <w:top w:val="nil"/>
              <w:left w:val="nil"/>
              <w:bottom w:val="nil"/>
              <w:right w:val="nil"/>
            </w:tcBorders>
            <w:shd w:val="clear" w:color="auto" w:fill="auto"/>
            <w:hideMark/>
          </w:tcPr>
          <w:p w14:paraId="60DB13CC"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2 </w:t>
            </w:r>
          </w:p>
        </w:tc>
        <w:tc>
          <w:tcPr>
            <w:tcW w:w="780" w:type="dxa"/>
            <w:tcBorders>
              <w:top w:val="nil"/>
              <w:left w:val="nil"/>
              <w:bottom w:val="nil"/>
              <w:right w:val="nil"/>
            </w:tcBorders>
            <w:shd w:val="clear" w:color="auto" w:fill="auto"/>
            <w:hideMark/>
          </w:tcPr>
          <w:p w14:paraId="4F936C0C"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29 </w:t>
            </w:r>
          </w:p>
        </w:tc>
        <w:tc>
          <w:tcPr>
            <w:tcW w:w="735" w:type="dxa"/>
            <w:tcBorders>
              <w:top w:val="nil"/>
              <w:left w:val="nil"/>
              <w:bottom w:val="nil"/>
              <w:right w:val="nil"/>
            </w:tcBorders>
            <w:shd w:val="clear" w:color="auto" w:fill="auto"/>
            <w:hideMark/>
          </w:tcPr>
          <w:p w14:paraId="65A4FA9F"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3 </w:t>
            </w:r>
          </w:p>
        </w:tc>
        <w:tc>
          <w:tcPr>
            <w:tcW w:w="645" w:type="dxa"/>
            <w:tcBorders>
              <w:top w:val="nil"/>
              <w:left w:val="nil"/>
              <w:bottom w:val="nil"/>
              <w:right w:val="nil"/>
            </w:tcBorders>
            <w:shd w:val="clear" w:color="auto" w:fill="auto"/>
            <w:hideMark/>
          </w:tcPr>
          <w:p w14:paraId="052FA60B"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20 </w:t>
            </w:r>
          </w:p>
        </w:tc>
        <w:tc>
          <w:tcPr>
            <w:tcW w:w="735" w:type="dxa"/>
            <w:tcBorders>
              <w:top w:val="nil"/>
              <w:left w:val="nil"/>
              <w:bottom w:val="nil"/>
              <w:right w:val="nil"/>
            </w:tcBorders>
            <w:shd w:val="clear" w:color="auto" w:fill="auto"/>
            <w:hideMark/>
          </w:tcPr>
          <w:p w14:paraId="1001A647"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8 </w:t>
            </w:r>
          </w:p>
        </w:tc>
        <w:tc>
          <w:tcPr>
            <w:tcW w:w="645" w:type="dxa"/>
            <w:tcBorders>
              <w:top w:val="nil"/>
              <w:left w:val="nil"/>
              <w:bottom w:val="nil"/>
              <w:right w:val="single" w:sz="6" w:space="0" w:color="000000"/>
            </w:tcBorders>
            <w:shd w:val="clear" w:color="auto" w:fill="auto"/>
            <w:hideMark/>
          </w:tcPr>
          <w:p w14:paraId="2A54A0B3"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27 </w:t>
            </w:r>
          </w:p>
        </w:tc>
      </w:tr>
      <w:tr w:rsidR="00BD530B" w:rsidRPr="008756F5" w14:paraId="715F94F4" w14:textId="77777777" w:rsidTr="00A56C43">
        <w:trPr>
          <w:trHeight w:val="270"/>
        </w:trPr>
        <w:tc>
          <w:tcPr>
            <w:tcW w:w="3885" w:type="dxa"/>
            <w:tcBorders>
              <w:top w:val="nil"/>
              <w:left w:val="single" w:sz="6" w:space="0" w:color="000000"/>
              <w:bottom w:val="nil"/>
              <w:right w:val="nil"/>
            </w:tcBorders>
            <w:shd w:val="clear" w:color="auto" w:fill="auto"/>
            <w:hideMark/>
          </w:tcPr>
          <w:p w14:paraId="710205B7" w14:textId="77777777" w:rsidR="00BD530B" w:rsidRPr="008756F5" w:rsidRDefault="00BD530B" w:rsidP="00A56C43">
            <w:pPr>
              <w:textAlignment w:val="baseline"/>
              <w:rPr>
                <w:rFonts w:asciiTheme="minorHAnsi" w:hAnsiTheme="minorHAnsi" w:cstheme="minorHAnsi"/>
                <w:b/>
                <w:bCs/>
                <w:sz w:val="18"/>
                <w:szCs w:val="18"/>
                <w:lang w:eastAsia="en-AU"/>
              </w:rPr>
            </w:pPr>
            <w:r w:rsidRPr="008756F5">
              <w:rPr>
                <w:rFonts w:asciiTheme="minorHAnsi" w:hAnsiTheme="minorHAnsi" w:cstheme="minorHAnsi"/>
                <w:color w:val="000000"/>
                <w:sz w:val="18"/>
                <w:szCs w:val="18"/>
                <w:lang w:eastAsia="en-AU"/>
              </w:rPr>
              <w:t>DMHSs are not suitable for consumer’s needs</w:t>
            </w:r>
            <w:r w:rsidRPr="008756F5">
              <w:rPr>
                <w:rFonts w:asciiTheme="minorHAnsi" w:hAnsiTheme="minorHAnsi" w:cstheme="minorHAnsi"/>
                <w:b/>
                <w:bCs/>
                <w:color w:val="000000"/>
                <w:sz w:val="18"/>
                <w:szCs w:val="18"/>
                <w:lang w:eastAsia="en-AU"/>
              </w:rPr>
              <w:t> </w:t>
            </w:r>
          </w:p>
        </w:tc>
        <w:tc>
          <w:tcPr>
            <w:tcW w:w="780" w:type="dxa"/>
            <w:tcBorders>
              <w:top w:val="nil"/>
              <w:left w:val="nil"/>
              <w:bottom w:val="nil"/>
              <w:right w:val="nil"/>
            </w:tcBorders>
            <w:shd w:val="clear" w:color="auto" w:fill="auto"/>
            <w:hideMark/>
          </w:tcPr>
          <w:p w14:paraId="75A24193"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3 </w:t>
            </w:r>
          </w:p>
        </w:tc>
        <w:tc>
          <w:tcPr>
            <w:tcW w:w="780" w:type="dxa"/>
            <w:tcBorders>
              <w:top w:val="nil"/>
              <w:left w:val="nil"/>
              <w:bottom w:val="nil"/>
              <w:right w:val="nil"/>
            </w:tcBorders>
            <w:shd w:val="clear" w:color="auto" w:fill="auto"/>
            <w:hideMark/>
          </w:tcPr>
          <w:p w14:paraId="6CBAAD98"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38 </w:t>
            </w:r>
          </w:p>
        </w:tc>
        <w:tc>
          <w:tcPr>
            <w:tcW w:w="645" w:type="dxa"/>
            <w:tcBorders>
              <w:top w:val="nil"/>
              <w:left w:val="nil"/>
              <w:bottom w:val="nil"/>
              <w:right w:val="nil"/>
            </w:tcBorders>
            <w:shd w:val="clear" w:color="auto" w:fill="auto"/>
            <w:hideMark/>
          </w:tcPr>
          <w:p w14:paraId="50A29089"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1 </w:t>
            </w:r>
          </w:p>
        </w:tc>
        <w:tc>
          <w:tcPr>
            <w:tcW w:w="780" w:type="dxa"/>
            <w:tcBorders>
              <w:top w:val="nil"/>
              <w:left w:val="nil"/>
              <w:bottom w:val="nil"/>
              <w:right w:val="nil"/>
            </w:tcBorders>
            <w:shd w:val="clear" w:color="auto" w:fill="auto"/>
            <w:hideMark/>
          </w:tcPr>
          <w:p w14:paraId="078FBC67"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14 </w:t>
            </w:r>
          </w:p>
        </w:tc>
        <w:tc>
          <w:tcPr>
            <w:tcW w:w="735" w:type="dxa"/>
            <w:tcBorders>
              <w:top w:val="nil"/>
              <w:left w:val="nil"/>
              <w:bottom w:val="nil"/>
              <w:right w:val="nil"/>
            </w:tcBorders>
            <w:shd w:val="clear" w:color="auto" w:fill="auto"/>
            <w:hideMark/>
          </w:tcPr>
          <w:p w14:paraId="303B6CB9"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3 </w:t>
            </w:r>
          </w:p>
        </w:tc>
        <w:tc>
          <w:tcPr>
            <w:tcW w:w="645" w:type="dxa"/>
            <w:tcBorders>
              <w:top w:val="nil"/>
              <w:left w:val="nil"/>
              <w:bottom w:val="nil"/>
              <w:right w:val="nil"/>
            </w:tcBorders>
            <w:shd w:val="clear" w:color="auto" w:fill="auto"/>
            <w:hideMark/>
          </w:tcPr>
          <w:p w14:paraId="72C6BC9C"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20 </w:t>
            </w:r>
          </w:p>
        </w:tc>
        <w:tc>
          <w:tcPr>
            <w:tcW w:w="735" w:type="dxa"/>
            <w:tcBorders>
              <w:top w:val="nil"/>
              <w:left w:val="nil"/>
              <w:bottom w:val="nil"/>
              <w:right w:val="nil"/>
            </w:tcBorders>
            <w:shd w:val="clear" w:color="auto" w:fill="auto"/>
            <w:hideMark/>
          </w:tcPr>
          <w:p w14:paraId="4D3EB0D8"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7 </w:t>
            </w:r>
          </w:p>
        </w:tc>
        <w:tc>
          <w:tcPr>
            <w:tcW w:w="645" w:type="dxa"/>
            <w:tcBorders>
              <w:top w:val="nil"/>
              <w:left w:val="nil"/>
              <w:bottom w:val="nil"/>
              <w:right w:val="single" w:sz="6" w:space="0" w:color="000000"/>
            </w:tcBorders>
            <w:shd w:val="clear" w:color="auto" w:fill="auto"/>
            <w:hideMark/>
          </w:tcPr>
          <w:p w14:paraId="79133830"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23 </w:t>
            </w:r>
          </w:p>
        </w:tc>
      </w:tr>
      <w:tr w:rsidR="00BD530B" w:rsidRPr="008756F5" w14:paraId="4C4716B3" w14:textId="77777777" w:rsidTr="00A56C43">
        <w:trPr>
          <w:trHeight w:val="270"/>
        </w:trPr>
        <w:tc>
          <w:tcPr>
            <w:tcW w:w="3885" w:type="dxa"/>
            <w:tcBorders>
              <w:top w:val="nil"/>
              <w:left w:val="single" w:sz="6" w:space="0" w:color="000000"/>
              <w:bottom w:val="nil"/>
              <w:right w:val="nil"/>
            </w:tcBorders>
            <w:shd w:val="clear" w:color="auto" w:fill="auto"/>
            <w:hideMark/>
          </w:tcPr>
          <w:p w14:paraId="7AE236DE" w14:textId="77777777" w:rsidR="00BD530B" w:rsidRPr="008756F5" w:rsidRDefault="00BD530B" w:rsidP="00A56C43">
            <w:pPr>
              <w:textAlignment w:val="baseline"/>
              <w:rPr>
                <w:rFonts w:asciiTheme="minorHAnsi" w:hAnsiTheme="minorHAnsi" w:cstheme="minorHAnsi"/>
                <w:b/>
                <w:bCs/>
                <w:sz w:val="18"/>
                <w:szCs w:val="18"/>
                <w:lang w:eastAsia="en-AU"/>
              </w:rPr>
            </w:pPr>
            <w:r w:rsidRPr="008756F5">
              <w:rPr>
                <w:rFonts w:asciiTheme="minorHAnsi" w:hAnsiTheme="minorHAnsi" w:cstheme="minorHAnsi"/>
                <w:color w:val="000000"/>
                <w:sz w:val="18"/>
                <w:szCs w:val="18"/>
                <w:lang w:eastAsia="en-AU"/>
              </w:rPr>
              <w:t>Difficulties with rapport building</w:t>
            </w:r>
            <w:r w:rsidRPr="008756F5">
              <w:rPr>
                <w:rFonts w:asciiTheme="minorHAnsi" w:hAnsiTheme="minorHAnsi" w:cstheme="minorHAnsi"/>
                <w:b/>
                <w:bCs/>
                <w:color w:val="000000"/>
                <w:sz w:val="18"/>
                <w:szCs w:val="18"/>
                <w:lang w:eastAsia="en-AU"/>
              </w:rPr>
              <w:t> </w:t>
            </w:r>
          </w:p>
        </w:tc>
        <w:tc>
          <w:tcPr>
            <w:tcW w:w="780" w:type="dxa"/>
            <w:tcBorders>
              <w:top w:val="nil"/>
              <w:left w:val="nil"/>
              <w:bottom w:val="nil"/>
              <w:right w:val="nil"/>
            </w:tcBorders>
            <w:shd w:val="clear" w:color="auto" w:fill="auto"/>
            <w:hideMark/>
          </w:tcPr>
          <w:p w14:paraId="535FE7F2"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4 </w:t>
            </w:r>
          </w:p>
        </w:tc>
        <w:tc>
          <w:tcPr>
            <w:tcW w:w="780" w:type="dxa"/>
            <w:tcBorders>
              <w:top w:val="nil"/>
              <w:left w:val="nil"/>
              <w:bottom w:val="nil"/>
              <w:right w:val="nil"/>
            </w:tcBorders>
            <w:shd w:val="clear" w:color="auto" w:fill="auto"/>
            <w:hideMark/>
          </w:tcPr>
          <w:p w14:paraId="21520E26"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50 </w:t>
            </w:r>
          </w:p>
        </w:tc>
        <w:tc>
          <w:tcPr>
            <w:tcW w:w="645" w:type="dxa"/>
            <w:tcBorders>
              <w:top w:val="nil"/>
              <w:left w:val="nil"/>
              <w:bottom w:val="nil"/>
              <w:right w:val="nil"/>
            </w:tcBorders>
            <w:shd w:val="clear" w:color="auto" w:fill="auto"/>
            <w:hideMark/>
          </w:tcPr>
          <w:p w14:paraId="63F59C79"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 </w:t>
            </w:r>
          </w:p>
        </w:tc>
        <w:tc>
          <w:tcPr>
            <w:tcW w:w="780" w:type="dxa"/>
            <w:tcBorders>
              <w:top w:val="nil"/>
              <w:left w:val="nil"/>
              <w:bottom w:val="nil"/>
              <w:right w:val="nil"/>
            </w:tcBorders>
            <w:shd w:val="clear" w:color="auto" w:fill="auto"/>
            <w:hideMark/>
          </w:tcPr>
          <w:p w14:paraId="6080B189"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0 </w:t>
            </w:r>
          </w:p>
        </w:tc>
        <w:tc>
          <w:tcPr>
            <w:tcW w:w="735" w:type="dxa"/>
            <w:tcBorders>
              <w:top w:val="nil"/>
              <w:left w:val="nil"/>
              <w:bottom w:val="nil"/>
              <w:right w:val="nil"/>
            </w:tcBorders>
            <w:shd w:val="clear" w:color="auto" w:fill="auto"/>
            <w:hideMark/>
          </w:tcPr>
          <w:p w14:paraId="4427BDF8"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1 </w:t>
            </w:r>
          </w:p>
        </w:tc>
        <w:tc>
          <w:tcPr>
            <w:tcW w:w="645" w:type="dxa"/>
            <w:tcBorders>
              <w:top w:val="nil"/>
              <w:left w:val="nil"/>
              <w:bottom w:val="nil"/>
              <w:right w:val="nil"/>
            </w:tcBorders>
            <w:shd w:val="clear" w:color="auto" w:fill="auto"/>
            <w:hideMark/>
          </w:tcPr>
          <w:p w14:paraId="43AFADD5"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7 </w:t>
            </w:r>
          </w:p>
        </w:tc>
        <w:tc>
          <w:tcPr>
            <w:tcW w:w="735" w:type="dxa"/>
            <w:tcBorders>
              <w:top w:val="nil"/>
              <w:left w:val="nil"/>
              <w:bottom w:val="nil"/>
              <w:right w:val="nil"/>
            </w:tcBorders>
            <w:shd w:val="clear" w:color="auto" w:fill="auto"/>
            <w:hideMark/>
          </w:tcPr>
          <w:p w14:paraId="45AC9CF2"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5 </w:t>
            </w:r>
          </w:p>
        </w:tc>
        <w:tc>
          <w:tcPr>
            <w:tcW w:w="645" w:type="dxa"/>
            <w:tcBorders>
              <w:top w:val="nil"/>
              <w:left w:val="nil"/>
              <w:bottom w:val="nil"/>
              <w:right w:val="single" w:sz="6" w:space="0" w:color="000000"/>
            </w:tcBorders>
            <w:shd w:val="clear" w:color="auto" w:fill="auto"/>
            <w:hideMark/>
          </w:tcPr>
          <w:p w14:paraId="0A0DBE38"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17 </w:t>
            </w:r>
          </w:p>
        </w:tc>
      </w:tr>
      <w:tr w:rsidR="00BD530B" w:rsidRPr="008756F5" w14:paraId="745774CA" w14:textId="77777777" w:rsidTr="00A56C43">
        <w:trPr>
          <w:trHeight w:val="270"/>
        </w:trPr>
        <w:tc>
          <w:tcPr>
            <w:tcW w:w="3885" w:type="dxa"/>
            <w:tcBorders>
              <w:top w:val="nil"/>
              <w:left w:val="single" w:sz="6" w:space="0" w:color="000000"/>
              <w:bottom w:val="nil"/>
              <w:right w:val="nil"/>
            </w:tcBorders>
            <w:shd w:val="clear" w:color="auto" w:fill="auto"/>
            <w:hideMark/>
          </w:tcPr>
          <w:p w14:paraId="5E3EBF3F" w14:textId="77777777" w:rsidR="00BD530B" w:rsidRPr="008756F5" w:rsidRDefault="00BD530B" w:rsidP="00A56C43">
            <w:pPr>
              <w:textAlignment w:val="baseline"/>
              <w:rPr>
                <w:rFonts w:asciiTheme="minorHAnsi" w:hAnsiTheme="minorHAnsi" w:cstheme="minorHAnsi"/>
                <w:b/>
                <w:bCs/>
                <w:sz w:val="18"/>
                <w:szCs w:val="18"/>
                <w:lang w:eastAsia="en-AU"/>
              </w:rPr>
            </w:pPr>
            <w:r w:rsidRPr="008756F5">
              <w:rPr>
                <w:rFonts w:asciiTheme="minorHAnsi" w:hAnsiTheme="minorHAnsi" w:cstheme="minorHAnsi"/>
                <w:color w:val="000000"/>
                <w:sz w:val="18"/>
                <w:szCs w:val="18"/>
                <w:lang w:eastAsia="en-AU"/>
              </w:rPr>
              <w:t>Lack of user background information</w:t>
            </w:r>
            <w:r w:rsidRPr="008756F5">
              <w:rPr>
                <w:rFonts w:asciiTheme="minorHAnsi" w:hAnsiTheme="minorHAnsi" w:cstheme="minorHAnsi"/>
                <w:b/>
                <w:bCs/>
                <w:color w:val="000000"/>
                <w:sz w:val="18"/>
                <w:szCs w:val="18"/>
                <w:lang w:eastAsia="en-AU"/>
              </w:rPr>
              <w:t> </w:t>
            </w:r>
          </w:p>
        </w:tc>
        <w:tc>
          <w:tcPr>
            <w:tcW w:w="780" w:type="dxa"/>
            <w:tcBorders>
              <w:top w:val="nil"/>
              <w:left w:val="nil"/>
              <w:bottom w:val="nil"/>
              <w:right w:val="nil"/>
            </w:tcBorders>
            <w:shd w:val="clear" w:color="auto" w:fill="auto"/>
            <w:hideMark/>
          </w:tcPr>
          <w:p w14:paraId="283BB525"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2 </w:t>
            </w:r>
          </w:p>
        </w:tc>
        <w:tc>
          <w:tcPr>
            <w:tcW w:w="780" w:type="dxa"/>
            <w:tcBorders>
              <w:top w:val="nil"/>
              <w:left w:val="nil"/>
              <w:bottom w:val="nil"/>
              <w:right w:val="nil"/>
            </w:tcBorders>
            <w:shd w:val="clear" w:color="auto" w:fill="auto"/>
            <w:hideMark/>
          </w:tcPr>
          <w:p w14:paraId="15A11D71"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25 </w:t>
            </w:r>
          </w:p>
        </w:tc>
        <w:tc>
          <w:tcPr>
            <w:tcW w:w="645" w:type="dxa"/>
            <w:tcBorders>
              <w:top w:val="nil"/>
              <w:left w:val="nil"/>
              <w:bottom w:val="nil"/>
              <w:right w:val="nil"/>
            </w:tcBorders>
            <w:shd w:val="clear" w:color="auto" w:fill="auto"/>
            <w:hideMark/>
          </w:tcPr>
          <w:p w14:paraId="60F33916"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1 </w:t>
            </w:r>
          </w:p>
        </w:tc>
        <w:tc>
          <w:tcPr>
            <w:tcW w:w="780" w:type="dxa"/>
            <w:tcBorders>
              <w:top w:val="nil"/>
              <w:left w:val="nil"/>
              <w:bottom w:val="nil"/>
              <w:right w:val="nil"/>
            </w:tcBorders>
            <w:shd w:val="clear" w:color="auto" w:fill="auto"/>
            <w:hideMark/>
          </w:tcPr>
          <w:p w14:paraId="6DE1F44E"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14 </w:t>
            </w:r>
          </w:p>
        </w:tc>
        <w:tc>
          <w:tcPr>
            <w:tcW w:w="735" w:type="dxa"/>
            <w:tcBorders>
              <w:top w:val="nil"/>
              <w:left w:val="nil"/>
              <w:bottom w:val="nil"/>
              <w:right w:val="nil"/>
            </w:tcBorders>
            <w:shd w:val="clear" w:color="auto" w:fill="auto"/>
            <w:hideMark/>
          </w:tcPr>
          <w:p w14:paraId="10664315"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1 </w:t>
            </w:r>
          </w:p>
        </w:tc>
        <w:tc>
          <w:tcPr>
            <w:tcW w:w="645" w:type="dxa"/>
            <w:tcBorders>
              <w:top w:val="nil"/>
              <w:left w:val="nil"/>
              <w:bottom w:val="nil"/>
              <w:right w:val="nil"/>
            </w:tcBorders>
            <w:shd w:val="clear" w:color="auto" w:fill="auto"/>
            <w:hideMark/>
          </w:tcPr>
          <w:p w14:paraId="3E284216"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7 </w:t>
            </w:r>
          </w:p>
        </w:tc>
        <w:tc>
          <w:tcPr>
            <w:tcW w:w="735" w:type="dxa"/>
            <w:tcBorders>
              <w:top w:val="nil"/>
              <w:left w:val="nil"/>
              <w:bottom w:val="nil"/>
              <w:right w:val="nil"/>
            </w:tcBorders>
            <w:shd w:val="clear" w:color="auto" w:fill="auto"/>
            <w:hideMark/>
          </w:tcPr>
          <w:p w14:paraId="297C2E72"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4 </w:t>
            </w:r>
          </w:p>
        </w:tc>
        <w:tc>
          <w:tcPr>
            <w:tcW w:w="645" w:type="dxa"/>
            <w:tcBorders>
              <w:top w:val="nil"/>
              <w:left w:val="nil"/>
              <w:bottom w:val="nil"/>
              <w:right w:val="single" w:sz="6" w:space="0" w:color="000000"/>
            </w:tcBorders>
            <w:shd w:val="clear" w:color="auto" w:fill="auto"/>
            <w:hideMark/>
          </w:tcPr>
          <w:p w14:paraId="1C0E86D6"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13 </w:t>
            </w:r>
          </w:p>
        </w:tc>
      </w:tr>
      <w:tr w:rsidR="00BD530B" w:rsidRPr="008756F5" w14:paraId="57B2E7BB" w14:textId="77777777" w:rsidTr="00A56C43">
        <w:trPr>
          <w:trHeight w:val="270"/>
        </w:trPr>
        <w:tc>
          <w:tcPr>
            <w:tcW w:w="3885" w:type="dxa"/>
            <w:tcBorders>
              <w:top w:val="nil"/>
              <w:left w:val="single" w:sz="6" w:space="0" w:color="000000"/>
              <w:bottom w:val="nil"/>
              <w:right w:val="nil"/>
            </w:tcBorders>
            <w:shd w:val="clear" w:color="auto" w:fill="auto"/>
            <w:hideMark/>
          </w:tcPr>
          <w:p w14:paraId="5A285A4C" w14:textId="77777777" w:rsidR="00BD530B" w:rsidRPr="008756F5" w:rsidRDefault="00BD530B" w:rsidP="00A56C43">
            <w:pPr>
              <w:textAlignment w:val="baseline"/>
              <w:rPr>
                <w:rFonts w:asciiTheme="minorHAnsi" w:hAnsiTheme="minorHAnsi" w:cstheme="minorHAnsi"/>
                <w:b/>
                <w:bCs/>
                <w:sz w:val="18"/>
                <w:szCs w:val="18"/>
                <w:lang w:eastAsia="en-AU"/>
              </w:rPr>
            </w:pPr>
            <w:r w:rsidRPr="008756F5">
              <w:rPr>
                <w:rFonts w:asciiTheme="minorHAnsi" w:hAnsiTheme="minorHAnsi" w:cstheme="minorHAnsi"/>
                <w:color w:val="000000"/>
                <w:sz w:val="18"/>
                <w:szCs w:val="18"/>
                <w:lang w:eastAsia="en-AU"/>
              </w:rPr>
              <w:t xml:space="preserve">Unfamiliar with resources close to </w:t>
            </w:r>
            <w:proofErr w:type="gramStart"/>
            <w:r w:rsidRPr="008756F5">
              <w:rPr>
                <w:rFonts w:asciiTheme="minorHAnsi" w:hAnsiTheme="minorHAnsi" w:cstheme="minorHAnsi"/>
                <w:color w:val="000000"/>
                <w:sz w:val="18"/>
                <w:szCs w:val="18"/>
                <w:lang w:eastAsia="en-AU"/>
              </w:rPr>
              <w:t>users</w:t>
            </w:r>
            <w:proofErr w:type="gramEnd"/>
            <w:r w:rsidRPr="008756F5">
              <w:rPr>
                <w:rFonts w:asciiTheme="minorHAnsi" w:hAnsiTheme="minorHAnsi" w:cstheme="minorHAnsi"/>
                <w:color w:val="000000"/>
                <w:sz w:val="18"/>
                <w:szCs w:val="18"/>
                <w:lang w:eastAsia="en-AU"/>
              </w:rPr>
              <w:t xml:space="preserve"> home</w:t>
            </w:r>
            <w:r w:rsidRPr="008756F5">
              <w:rPr>
                <w:rFonts w:asciiTheme="minorHAnsi" w:hAnsiTheme="minorHAnsi" w:cstheme="minorHAnsi"/>
                <w:b/>
                <w:bCs/>
                <w:color w:val="000000"/>
                <w:sz w:val="18"/>
                <w:szCs w:val="18"/>
                <w:lang w:eastAsia="en-AU"/>
              </w:rPr>
              <w:t> </w:t>
            </w:r>
          </w:p>
        </w:tc>
        <w:tc>
          <w:tcPr>
            <w:tcW w:w="780" w:type="dxa"/>
            <w:tcBorders>
              <w:top w:val="nil"/>
              <w:left w:val="nil"/>
              <w:bottom w:val="nil"/>
              <w:right w:val="nil"/>
            </w:tcBorders>
            <w:shd w:val="clear" w:color="auto" w:fill="auto"/>
            <w:hideMark/>
          </w:tcPr>
          <w:p w14:paraId="591D0B9F"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2 </w:t>
            </w:r>
          </w:p>
        </w:tc>
        <w:tc>
          <w:tcPr>
            <w:tcW w:w="780" w:type="dxa"/>
            <w:tcBorders>
              <w:top w:val="nil"/>
              <w:left w:val="nil"/>
              <w:bottom w:val="nil"/>
              <w:right w:val="nil"/>
            </w:tcBorders>
            <w:shd w:val="clear" w:color="auto" w:fill="auto"/>
            <w:hideMark/>
          </w:tcPr>
          <w:p w14:paraId="4A53AFD3"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25 </w:t>
            </w:r>
          </w:p>
        </w:tc>
        <w:tc>
          <w:tcPr>
            <w:tcW w:w="645" w:type="dxa"/>
            <w:tcBorders>
              <w:top w:val="nil"/>
              <w:left w:val="nil"/>
              <w:bottom w:val="nil"/>
              <w:right w:val="nil"/>
            </w:tcBorders>
            <w:shd w:val="clear" w:color="auto" w:fill="auto"/>
            <w:hideMark/>
          </w:tcPr>
          <w:p w14:paraId="078CFC0F"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1 </w:t>
            </w:r>
          </w:p>
        </w:tc>
        <w:tc>
          <w:tcPr>
            <w:tcW w:w="780" w:type="dxa"/>
            <w:tcBorders>
              <w:top w:val="nil"/>
              <w:left w:val="nil"/>
              <w:bottom w:val="nil"/>
              <w:right w:val="nil"/>
            </w:tcBorders>
            <w:shd w:val="clear" w:color="auto" w:fill="auto"/>
            <w:hideMark/>
          </w:tcPr>
          <w:p w14:paraId="46AE8D16"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14 </w:t>
            </w:r>
          </w:p>
        </w:tc>
        <w:tc>
          <w:tcPr>
            <w:tcW w:w="735" w:type="dxa"/>
            <w:tcBorders>
              <w:top w:val="nil"/>
              <w:left w:val="nil"/>
              <w:bottom w:val="nil"/>
              <w:right w:val="nil"/>
            </w:tcBorders>
            <w:shd w:val="clear" w:color="auto" w:fill="auto"/>
            <w:hideMark/>
          </w:tcPr>
          <w:p w14:paraId="31676354"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1 </w:t>
            </w:r>
          </w:p>
        </w:tc>
        <w:tc>
          <w:tcPr>
            <w:tcW w:w="645" w:type="dxa"/>
            <w:tcBorders>
              <w:top w:val="nil"/>
              <w:left w:val="nil"/>
              <w:bottom w:val="nil"/>
              <w:right w:val="nil"/>
            </w:tcBorders>
            <w:shd w:val="clear" w:color="auto" w:fill="auto"/>
            <w:hideMark/>
          </w:tcPr>
          <w:p w14:paraId="665A5B4A"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7 </w:t>
            </w:r>
          </w:p>
        </w:tc>
        <w:tc>
          <w:tcPr>
            <w:tcW w:w="735" w:type="dxa"/>
            <w:tcBorders>
              <w:top w:val="nil"/>
              <w:left w:val="nil"/>
              <w:bottom w:val="nil"/>
              <w:right w:val="nil"/>
            </w:tcBorders>
            <w:shd w:val="clear" w:color="auto" w:fill="auto"/>
            <w:hideMark/>
          </w:tcPr>
          <w:p w14:paraId="336D148E"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4 </w:t>
            </w:r>
          </w:p>
        </w:tc>
        <w:tc>
          <w:tcPr>
            <w:tcW w:w="645" w:type="dxa"/>
            <w:tcBorders>
              <w:top w:val="nil"/>
              <w:left w:val="nil"/>
              <w:bottom w:val="nil"/>
              <w:right w:val="single" w:sz="6" w:space="0" w:color="000000"/>
            </w:tcBorders>
            <w:shd w:val="clear" w:color="auto" w:fill="auto"/>
            <w:hideMark/>
          </w:tcPr>
          <w:p w14:paraId="7ABA49EC"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13 </w:t>
            </w:r>
          </w:p>
        </w:tc>
      </w:tr>
      <w:tr w:rsidR="00BD530B" w:rsidRPr="008756F5" w14:paraId="619E3C24" w14:textId="77777777" w:rsidTr="00A56C43">
        <w:trPr>
          <w:trHeight w:val="270"/>
        </w:trPr>
        <w:tc>
          <w:tcPr>
            <w:tcW w:w="3885" w:type="dxa"/>
            <w:tcBorders>
              <w:top w:val="nil"/>
              <w:left w:val="single" w:sz="6" w:space="0" w:color="000000"/>
              <w:bottom w:val="single" w:sz="6" w:space="0" w:color="auto"/>
              <w:right w:val="nil"/>
            </w:tcBorders>
            <w:shd w:val="clear" w:color="auto" w:fill="auto"/>
            <w:hideMark/>
          </w:tcPr>
          <w:p w14:paraId="0570DAA9" w14:textId="77777777" w:rsidR="00BD530B" w:rsidRPr="008756F5" w:rsidRDefault="00BD530B" w:rsidP="00A56C43">
            <w:pPr>
              <w:textAlignment w:val="baseline"/>
              <w:rPr>
                <w:rFonts w:asciiTheme="minorHAnsi" w:hAnsiTheme="minorHAnsi" w:cstheme="minorHAnsi"/>
                <w:b/>
                <w:bCs/>
                <w:sz w:val="18"/>
                <w:szCs w:val="18"/>
                <w:lang w:eastAsia="en-AU"/>
              </w:rPr>
            </w:pPr>
            <w:r w:rsidRPr="008756F5">
              <w:rPr>
                <w:rFonts w:asciiTheme="minorHAnsi" w:hAnsiTheme="minorHAnsi" w:cstheme="minorHAnsi"/>
                <w:color w:val="000000"/>
                <w:sz w:val="18"/>
                <w:szCs w:val="18"/>
                <w:lang w:eastAsia="en-AU"/>
              </w:rPr>
              <w:t>Other </w:t>
            </w:r>
            <w:r w:rsidRPr="008756F5">
              <w:rPr>
                <w:rFonts w:asciiTheme="minorHAnsi" w:hAnsiTheme="minorHAnsi" w:cstheme="minorHAnsi"/>
                <w:b/>
                <w:bCs/>
                <w:color w:val="000000"/>
                <w:sz w:val="18"/>
                <w:szCs w:val="18"/>
                <w:lang w:eastAsia="en-AU"/>
              </w:rPr>
              <w:t> </w:t>
            </w:r>
          </w:p>
        </w:tc>
        <w:tc>
          <w:tcPr>
            <w:tcW w:w="780" w:type="dxa"/>
            <w:tcBorders>
              <w:top w:val="nil"/>
              <w:left w:val="nil"/>
              <w:bottom w:val="single" w:sz="6" w:space="0" w:color="auto"/>
              <w:right w:val="nil"/>
            </w:tcBorders>
            <w:shd w:val="clear" w:color="auto" w:fill="auto"/>
            <w:hideMark/>
          </w:tcPr>
          <w:p w14:paraId="5581442F"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2 </w:t>
            </w:r>
          </w:p>
        </w:tc>
        <w:tc>
          <w:tcPr>
            <w:tcW w:w="780" w:type="dxa"/>
            <w:tcBorders>
              <w:top w:val="nil"/>
              <w:left w:val="nil"/>
              <w:bottom w:val="single" w:sz="6" w:space="0" w:color="auto"/>
              <w:right w:val="nil"/>
            </w:tcBorders>
            <w:shd w:val="clear" w:color="auto" w:fill="auto"/>
            <w:hideMark/>
          </w:tcPr>
          <w:p w14:paraId="5B21A127"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25 </w:t>
            </w:r>
          </w:p>
        </w:tc>
        <w:tc>
          <w:tcPr>
            <w:tcW w:w="645" w:type="dxa"/>
            <w:tcBorders>
              <w:top w:val="nil"/>
              <w:left w:val="nil"/>
              <w:bottom w:val="single" w:sz="6" w:space="0" w:color="auto"/>
              <w:right w:val="nil"/>
            </w:tcBorders>
            <w:shd w:val="clear" w:color="auto" w:fill="auto"/>
            <w:hideMark/>
          </w:tcPr>
          <w:p w14:paraId="34304C74"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2 </w:t>
            </w:r>
          </w:p>
        </w:tc>
        <w:tc>
          <w:tcPr>
            <w:tcW w:w="780" w:type="dxa"/>
            <w:tcBorders>
              <w:top w:val="nil"/>
              <w:left w:val="nil"/>
              <w:bottom w:val="single" w:sz="6" w:space="0" w:color="auto"/>
              <w:right w:val="nil"/>
            </w:tcBorders>
            <w:shd w:val="clear" w:color="auto" w:fill="auto"/>
            <w:hideMark/>
          </w:tcPr>
          <w:p w14:paraId="3BF1DE93"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29 </w:t>
            </w:r>
          </w:p>
        </w:tc>
        <w:tc>
          <w:tcPr>
            <w:tcW w:w="735" w:type="dxa"/>
            <w:tcBorders>
              <w:top w:val="nil"/>
              <w:left w:val="nil"/>
              <w:bottom w:val="single" w:sz="6" w:space="0" w:color="auto"/>
              <w:right w:val="nil"/>
            </w:tcBorders>
            <w:shd w:val="clear" w:color="auto" w:fill="auto"/>
            <w:hideMark/>
          </w:tcPr>
          <w:p w14:paraId="48F47E79"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2 </w:t>
            </w:r>
          </w:p>
        </w:tc>
        <w:tc>
          <w:tcPr>
            <w:tcW w:w="645" w:type="dxa"/>
            <w:tcBorders>
              <w:top w:val="nil"/>
              <w:left w:val="nil"/>
              <w:bottom w:val="single" w:sz="6" w:space="0" w:color="auto"/>
              <w:right w:val="nil"/>
            </w:tcBorders>
            <w:shd w:val="clear" w:color="auto" w:fill="auto"/>
            <w:hideMark/>
          </w:tcPr>
          <w:p w14:paraId="66A4D653"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13 </w:t>
            </w:r>
          </w:p>
        </w:tc>
        <w:tc>
          <w:tcPr>
            <w:tcW w:w="735" w:type="dxa"/>
            <w:tcBorders>
              <w:top w:val="nil"/>
              <w:left w:val="nil"/>
              <w:bottom w:val="single" w:sz="6" w:space="0" w:color="auto"/>
              <w:right w:val="nil"/>
            </w:tcBorders>
            <w:shd w:val="clear" w:color="auto" w:fill="auto"/>
            <w:hideMark/>
          </w:tcPr>
          <w:p w14:paraId="5CBF1D58"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6 </w:t>
            </w:r>
          </w:p>
        </w:tc>
        <w:tc>
          <w:tcPr>
            <w:tcW w:w="645" w:type="dxa"/>
            <w:tcBorders>
              <w:top w:val="nil"/>
              <w:left w:val="nil"/>
              <w:bottom w:val="single" w:sz="6" w:space="0" w:color="auto"/>
              <w:right w:val="single" w:sz="6" w:space="0" w:color="000000"/>
            </w:tcBorders>
            <w:shd w:val="clear" w:color="auto" w:fill="auto"/>
            <w:hideMark/>
          </w:tcPr>
          <w:p w14:paraId="2AD5A817" w14:textId="77777777" w:rsidR="00BD530B" w:rsidRPr="008756F5" w:rsidRDefault="00BD530B" w:rsidP="00A56C43">
            <w:pPr>
              <w:jc w:val="center"/>
              <w:textAlignment w:val="baseline"/>
              <w:rPr>
                <w:rFonts w:asciiTheme="minorHAnsi" w:hAnsiTheme="minorHAnsi" w:cstheme="minorHAnsi"/>
                <w:sz w:val="18"/>
                <w:szCs w:val="18"/>
                <w:lang w:eastAsia="en-AU"/>
              </w:rPr>
            </w:pPr>
            <w:r w:rsidRPr="008756F5">
              <w:rPr>
                <w:rFonts w:asciiTheme="minorHAnsi" w:hAnsiTheme="minorHAnsi" w:cstheme="minorHAnsi"/>
                <w:color w:val="000000"/>
                <w:sz w:val="18"/>
                <w:szCs w:val="18"/>
                <w:lang w:eastAsia="en-AU"/>
              </w:rPr>
              <w:t>20 </w:t>
            </w:r>
          </w:p>
        </w:tc>
      </w:tr>
    </w:tbl>
    <w:p w14:paraId="0E761D5A" w14:textId="77777777" w:rsidR="00BD530B" w:rsidRPr="008756F5" w:rsidRDefault="00BD530B" w:rsidP="00BD530B">
      <w:pPr>
        <w:textAlignment w:val="baseline"/>
        <w:rPr>
          <w:rFonts w:asciiTheme="minorHAnsi" w:hAnsiTheme="minorHAnsi" w:cstheme="minorHAnsi"/>
          <w:sz w:val="16"/>
          <w:szCs w:val="16"/>
          <w:lang w:eastAsia="en-AU"/>
        </w:rPr>
      </w:pPr>
      <w:r w:rsidRPr="008756F5">
        <w:rPr>
          <w:rFonts w:asciiTheme="minorHAnsi" w:hAnsiTheme="minorHAnsi" w:cstheme="minorHAnsi"/>
          <w:sz w:val="16"/>
          <w:szCs w:val="16"/>
          <w:lang w:eastAsia="en-AU"/>
        </w:rPr>
        <w:t xml:space="preserve">MHO, Mental Health Online; MS, </w:t>
      </w:r>
      <w:proofErr w:type="spellStart"/>
      <w:r w:rsidRPr="008756F5">
        <w:rPr>
          <w:rFonts w:asciiTheme="minorHAnsi" w:hAnsiTheme="minorHAnsi" w:cstheme="minorHAnsi"/>
          <w:color w:val="000000"/>
          <w:sz w:val="16"/>
          <w:szCs w:val="16"/>
          <w:lang w:eastAsia="en-AU"/>
        </w:rPr>
        <w:t>MindSpot</w:t>
      </w:r>
      <w:proofErr w:type="spellEnd"/>
      <w:r w:rsidRPr="008756F5">
        <w:rPr>
          <w:rFonts w:asciiTheme="minorHAnsi" w:hAnsiTheme="minorHAnsi" w:cstheme="minorHAnsi"/>
          <w:color w:val="000000"/>
          <w:sz w:val="16"/>
          <w:szCs w:val="16"/>
          <w:lang w:eastAsia="en-AU"/>
        </w:rPr>
        <w:t xml:space="preserve">; </w:t>
      </w:r>
      <w:r w:rsidRPr="008756F5">
        <w:rPr>
          <w:rFonts w:asciiTheme="minorHAnsi" w:hAnsiTheme="minorHAnsi" w:cstheme="minorHAnsi"/>
          <w:sz w:val="16"/>
          <w:szCs w:val="16"/>
          <w:lang w:eastAsia="en-AU"/>
        </w:rPr>
        <w:t xml:space="preserve">TWU, </w:t>
      </w:r>
      <w:r w:rsidRPr="008756F5">
        <w:rPr>
          <w:rFonts w:asciiTheme="minorHAnsi" w:hAnsiTheme="minorHAnsi" w:cstheme="minorHAnsi"/>
          <w:color w:val="000000"/>
          <w:sz w:val="16"/>
          <w:szCs w:val="16"/>
          <w:lang w:eastAsia="en-AU"/>
        </w:rPr>
        <w:t>THIS WAY UP.</w:t>
      </w:r>
    </w:p>
    <w:p w14:paraId="6450CB3A" w14:textId="77777777" w:rsidR="00BD530B" w:rsidRPr="008756F5" w:rsidRDefault="00BD530B" w:rsidP="00812B63">
      <w:pPr>
        <w:spacing w:after="240"/>
        <w:textAlignment w:val="baseline"/>
        <w:rPr>
          <w:rFonts w:asciiTheme="minorHAnsi" w:hAnsiTheme="minorHAnsi" w:cstheme="minorHAnsi"/>
          <w:sz w:val="16"/>
          <w:szCs w:val="16"/>
          <w:lang w:eastAsia="en-AU"/>
        </w:rPr>
      </w:pPr>
      <w:proofErr w:type="spellStart"/>
      <w:r w:rsidRPr="008756F5">
        <w:rPr>
          <w:rFonts w:asciiTheme="minorHAnsi" w:hAnsiTheme="minorHAnsi" w:cstheme="minorHAnsi"/>
          <w:color w:val="000000"/>
          <w:sz w:val="16"/>
          <w:szCs w:val="16"/>
          <w:vertAlign w:val="superscript"/>
          <w:lang w:eastAsia="en-AU"/>
        </w:rPr>
        <w:t>a</w:t>
      </w:r>
      <w:r w:rsidRPr="008756F5">
        <w:rPr>
          <w:rFonts w:asciiTheme="minorHAnsi" w:hAnsiTheme="minorHAnsi" w:cstheme="minorHAnsi"/>
          <w:sz w:val="16"/>
          <w:szCs w:val="16"/>
          <w:lang w:eastAsia="en-AU"/>
        </w:rPr>
        <w:t>Multiple</w:t>
      </w:r>
      <w:proofErr w:type="spellEnd"/>
      <w:r w:rsidRPr="008756F5">
        <w:rPr>
          <w:rFonts w:asciiTheme="minorHAnsi" w:hAnsiTheme="minorHAnsi" w:cstheme="minorHAnsi"/>
          <w:sz w:val="16"/>
          <w:szCs w:val="16"/>
          <w:lang w:eastAsia="en-AU"/>
        </w:rPr>
        <w:t xml:space="preserve"> responses permitted.</w:t>
      </w:r>
    </w:p>
    <w:p w14:paraId="0A915F7E" w14:textId="77777777" w:rsidR="00BD530B" w:rsidRPr="008756F5" w:rsidRDefault="00BD530B" w:rsidP="00812B63">
      <w:pPr>
        <w:spacing w:after="240"/>
        <w:rPr>
          <w:rFonts w:asciiTheme="minorHAnsi" w:hAnsiTheme="minorHAnsi" w:cstheme="minorHAnsi"/>
          <w:sz w:val="21"/>
          <w:szCs w:val="21"/>
          <w:lang w:eastAsia="en-AU"/>
        </w:rPr>
      </w:pPr>
      <w:r w:rsidRPr="008756F5">
        <w:rPr>
          <w:rFonts w:asciiTheme="minorHAnsi" w:hAnsiTheme="minorHAnsi" w:cstheme="minorHAnsi"/>
          <w:sz w:val="21"/>
          <w:szCs w:val="21"/>
          <w:lang w:eastAsia="en-AU"/>
        </w:rPr>
        <w:t>Interview respondents experience with using DMHSs</w:t>
      </w:r>
    </w:p>
    <w:p w14:paraId="06091C13" w14:textId="77777777" w:rsidR="00BD530B" w:rsidRPr="008756F5" w:rsidRDefault="00BD530B" w:rsidP="00812B63">
      <w:pPr>
        <w:spacing w:after="240"/>
        <w:rPr>
          <w:rFonts w:asciiTheme="minorHAnsi" w:hAnsiTheme="minorHAnsi" w:cstheme="minorHAnsi"/>
          <w:sz w:val="21"/>
          <w:szCs w:val="21"/>
          <w:lang w:eastAsia="en-AU"/>
        </w:rPr>
      </w:pPr>
      <w:r w:rsidRPr="008756F5">
        <w:rPr>
          <w:rFonts w:asciiTheme="minorHAnsi" w:hAnsiTheme="minorHAnsi" w:cstheme="minorHAnsi"/>
          <w:sz w:val="21"/>
          <w:szCs w:val="21"/>
          <w:lang w:eastAsia="en-AU"/>
        </w:rPr>
        <w:t xml:space="preserve">The six providers who took part in the interview were also asked about whether DMHSs had an impact on their consultations, rapport with consumers, </w:t>
      </w:r>
      <w:proofErr w:type="gramStart"/>
      <w:r w:rsidRPr="008756F5">
        <w:rPr>
          <w:rFonts w:asciiTheme="minorHAnsi" w:hAnsiTheme="minorHAnsi" w:cstheme="minorHAnsi"/>
          <w:sz w:val="21"/>
          <w:szCs w:val="21"/>
          <w:lang w:eastAsia="en-AU"/>
        </w:rPr>
        <w:t>caseload</w:t>
      </w:r>
      <w:proofErr w:type="gramEnd"/>
      <w:r w:rsidRPr="008756F5">
        <w:rPr>
          <w:rFonts w:asciiTheme="minorHAnsi" w:hAnsiTheme="minorHAnsi" w:cstheme="minorHAnsi"/>
          <w:sz w:val="21"/>
          <w:szCs w:val="21"/>
          <w:lang w:eastAsia="en-AU"/>
        </w:rPr>
        <w:t xml:space="preserve"> and multidisciplinary planning.</w:t>
      </w:r>
    </w:p>
    <w:p w14:paraId="2686BA54" w14:textId="77777777" w:rsidR="00BD530B" w:rsidRPr="008756F5" w:rsidRDefault="00BD530B" w:rsidP="00812B63">
      <w:pPr>
        <w:spacing w:after="240"/>
        <w:rPr>
          <w:rFonts w:asciiTheme="minorHAnsi" w:hAnsiTheme="minorHAnsi" w:cstheme="minorHAnsi"/>
          <w:sz w:val="21"/>
          <w:szCs w:val="21"/>
        </w:rPr>
      </w:pPr>
      <w:r w:rsidRPr="008756F5">
        <w:rPr>
          <w:rFonts w:asciiTheme="minorHAnsi" w:hAnsiTheme="minorHAnsi" w:cstheme="minorHAnsi"/>
          <w:sz w:val="21"/>
          <w:szCs w:val="21"/>
        </w:rPr>
        <w:t xml:space="preserve">All six providers indicated that DMHSs led to positive changes with their consultations. Providers reported that DMHSs </w:t>
      </w:r>
      <w:proofErr w:type="gramStart"/>
      <w:r w:rsidRPr="008756F5">
        <w:rPr>
          <w:rFonts w:asciiTheme="minorHAnsi" w:hAnsiTheme="minorHAnsi" w:cstheme="minorHAnsi"/>
          <w:sz w:val="21"/>
          <w:szCs w:val="21"/>
        </w:rPr>
        <w:t>provide:</w:t>
      </w:r>
      <w:proofErr w:type="gramEnd"/>
      <w:r w:rsidRPr="008756F5">
        <w:rPr>
          <w:rFonts w:asciiTheme="minorHAnsi" w:hAnsiTheme="minorHAnsi" w:cstheme="minorHAnsi"/>
          <w:sz w:val="21"/>
          <w:szCs w:val="21"/>
        </w:rPr>
        <w:t xml:space="preserve"> greater choices, access, convenience and flexibility for consumers, improved progress monitoring, discharge and relapse prevention planning and helped reinforce new strategies and coping strategies. The comments below capture the sentiments of these positive changes:</w:t>
      </w:r>
    </w:p>
    <w:p w14:paraId="19A6EF8D" w14:textId="60A74D69" w:rsidR="00BD530B" w:rsidRPr="00C1006A" w:rsidRDefault="00BD530B" w:rsidP="00812B63">
      <w:pPr>
        <w:spacing w:after="240"/>
        <w:ind w:left="720"/>
        <w:rPr>
          <w:rFonts w:asciiTheme="minorHAnsi" w:hAnsiTheme="minorHAnsi" w:cstheme="minorHAnsi"/>
          <w:sz w:val="21"/>
          <w:szCs w:val="21"/>
        </w:rPr>
      </w:pPr>
      <w:r w:rsidRPr="00C1006A">
        <w:rPr>
          <w:rFonts w:asciiTheme="minorHAnsi" w:hAnsiTheme="minorHAnsi" w:cstheme="minorHAnsi"/>
          <w:sz w:val="21"/>
          <w:szCs w:val="21"/>
        </w:rPr>
        <w:t>It helps in a few different ways in allowing progress tracking, so, being able to check in on both their safety and their symptom severity across time so we can measure how well they’re doing and respond early if needed, like, if either they’re deteriorating or have had an increase in distress.</w:t>
      </w:r>
    </w:p>
    <w:p w14:paraId="3440AF31" w14:textId="77777777" w:rsidR="00BD530B" w:rsidRPr="00C1006A" w:rsidRDefault="00BD530B" w:rsidP="00812B63">
      <w:pPr>
        <w:spacing w:after="240"/>
        <w:ind w:left="720"/>
        <w:rPr>
          <w:rFonts w:asciiTheme="minorHAnsi" w:hAnsiTheme="minorHAnsi" w:cstheme="minorHAnsi"/>
          <w:sz w:val="21"/>
          <w:szCs w:val="21"/>
        </w:rPr>
      </w:pPr>
      <w:r w:rsidRPr="00C1006A">
        <w:rPr>
          <w:rFonts w:asciiTheme="minorHAnsi" w:hAnsiTheme="minorHAnsi" w:cstheme="minorHAnsi"/>
          <w:sz w:val="21"/>
          <w:szCs w:val="21"/>
        </w:rPr>
        <w:t xml:space="preserve">It’s also slightly changed the way, so, we have a practice in that we use the online program to provide foundational skills and information and then use the in-person treatment sessions or telehealth treatment sessions to … troubleshoot the skills and do more … modelling and in-session practice as opposed to focusing </w:t>
      </w:r>
      <w:proofErr w:type="gramStart"/>
      <w:r w:rsidRPr="00C1006A">
        <w:rPr>
          <w:rFonts w:asciiTheme="minorHAnsi" w:hAnsiTheme="minorHAnsi" w:cstheme="minorHAnsi"/>
          <w:sz w:val="21"/>
          <w:szCs w:val="21"/>
        </w:rPr>
        <w:t>all of</w:t>
      </w:r>
      <w:proofErr w:type="gramEnd"/>
      <w:r w:rsidRPr="00C1006A">
        <w:rPr>
          <w:rFonts w:asciiTheme="minorHAnsi" w:hAnsiTheme="minorHAnsi" w:cstheme="minorHAnsi"/>
          <w:sz w:val="21"/>
          <w:szCs w:val="21"/>
        </w:rPr>
        <w:t xml:space="preserve"> that session on the psychoeducation.</w:t>
      </w:r>
    </w:p>
    <w:p w14:paraId="308DC2C5" w14:textId="77777777" w:rsidR="00BD530B" w:rsidRPr="00C1006A" w:rsidRDefault="00BD530B" w:rsidP="00812B63">
      <w:pPr>
        <w:spacing w:after="240"/>
        <w:ind w:left="720"/>
        <w:rPr>
          <w:rFonts w:asciiTheme="minorHAnsi" w:hAnsiTheme="minorHAnsi" w:cstheme="minorHAnsi"/>
          <w:sz w:val="21"/>
          <w:szCs w:val="21"/>
        </w:rPr>
      </w:pPr>
      <w:r w:rsidRPr="00C1006A">
        <w:rPr>
          <w:rFonts w:asciiTheme="minorHAnsi" w:hAnsiTheme="minorHAnsi" w:cstheme="minorHAnsi"/>
          <w:sz w:val="21"/>
          <w:szCs w:val="21"/>
        </w:rPr>
        <w:t>‘I think it’s definitely enhanced the …  flexibility of the interventions that I can tell people about and offer to them.’</w:t>
      </w:r>
    </w:p>
    <w:p w14:paraId="4975BC7C" w14:textId="44407A70" w:rsidR="00BD530B" w:rsidRPr="008756F5" w:rsidRDefault="00BD530B" w:rsidP="00812B63">
      <w:pPr>
        <w:spacing w:after="240"/>
        <w:rPr>
          <w:rFonts w:asciiTheme="minorHAnsi" w:hAnsiTheme="minorHAnsi" w:cstheme="minorHAnsi"/>
          <w:sz w:val="21"/>
          <w:szCs w:val="21"/>
        </w:rPr>
      </w:pPr>
      <w:r w:rsidRPr="008756F5">
        <w:rPr>
          <w:rFonts w:asciiTheme="minorHAnsi" w:hAnsiTheme="minorHAnsi" w:cstheme="minorHAnsi"/>
          <w:sz w:val="21"/>
          <w:szCs w:val="21"/>
        </w:rPr>
        <w:t xml:space="preserve">Providers also did not perceive that DMHSs changed their rapport with patients. They generally reported that both face-to-face and digital interactions were </w:t>
      </w:r>
      <w:r w:rsidR="00331283" w:rsidRPr="008756F5">
        <w:rPr>
          <w:rFonts w:asciiTheme="minorHAnsi" w:hAnsiTheme="minorHAnsi" w:cstheme="minorHAnsi"/>
          <w:sz w:val="21"/>
          <w:szCs w:val="21"/>
        </w:rPr>
        <w:t xml:space="preserve">positive </w:t>
      </w:r>
      <w:r w:rsidRPr="008756F5">
        <w:rPr>
          <w:rFonts w:asciiTheme="minorHAnsi" w:hAnsiTheme="minorHAnsi" w:cstheme="minorHAnsi"/>
          <w:sz w:val="21"/>
          <w:szCs w:val="21"/>
        </w:rPr>
        <w:t>and beneficial.</w:t>
      </w:r>
    </w:p>
    <w:p w14:paraId="44CCAE5F" w14:textId="77777777" w:rsidR="00BD530B" w:rsidRPr="008756F5" w:rsidRDefault="00BD530B" w:rsidP="00812B63">
      <w:pPr>
        <w:spacing w:after="240"/>
        <w:rPr>
          <w:rFonts w:asciiTheme="minorHAnsi" w:hAnsiTheme="minorHAnsi" w:cstheme="minorHAnsi"/>
          <w:sz w:val="21"/>
          <w:szCs w:val="21"/>
        </w:rPr>
      </w:pPr>
      <w:r w:rsidRPr="008756F5">
        <w:rPr>
          <w:rFonts w:asciiTheme="minorHAnsi" w:hAnsiTheme="minorHAnsi" w:cstheme="minorHAnsi"/>
          <w:sz w:val="21"/>
          <w:szCs w:val="21"/>
        </w:rPr>
        <w:t>Most providers expressed that DMHSs enabled them to see more patients. One such provider said:</w:t>
      </w:r>
    </w:p>
    <w:p w14:paraId="7B4A5DBB" w14:textId="77777777" w:rsidR="00BD530B" w:rsidRPr="00C1006A" w:rsidRDefault="00BD530B" w:rsidP="00812B63">
      <w:pPr>
        <w:spacing w:after="240"/>
        <w:ind w:left="720"/>
        <w:rPr>
          <w:rFonts w:asciiTheme="minorHAnsi" w:hAnsiTheme="minorHAnsi" w:cstheme="minorHAnsi"/>
          <w:sz w:val="21"/>
          <w:szCs w:val="21"/>
        </w:rPr>
      </w:pPr>
      <w:r w:rsidRPr="00C1006A">
        <w:rPr>
          <w:rFonts w:asciiTheme="minorHAnsi" w:hAnsiTheme="minorHAnsi" w:cstheme="minorHAnsi"/>
          <w:sz w:val="21"/>
          <w:szCs w:val="21"/>
        </w:rPr>
        <w:lastRenderedPageBreak/>
        <w:t xml:space="preserve">It </w:t>
      </w:r>
      <w:proofErr w:type="gramStart"/>
      <w:r w:rsidRPr="00C1006A">
        <w:rPr>
          <w:rFonts w:asciiTheme="minorHAnsi" w:hAnsiTheme="minorHAnsi" w:cstheme="minorHAnsi"/>
          <w:sz w:val="21"/>
          <w:szCs w:val="21"/>
        </w:rPr>
        <w:t>actually increased</w:t>
      </w:r>
      <w:proofErr w:type="gramEnd"/>
      <w:r w:rsidRPr="00C1006A">
        <w:rPr>
          <w:rFonts w:asciiTheme="minorHAnsi" w:hAnsiTheme="minorHAnsi" w:cstheme="minorHAnsi"/>
          <w:sz w:val="21"/>
          <w:szCs w:val="21"/>
        </w:rPr>
        <w:t xml:space="preserve"> my caseload. So, on top of a client load of face-to-face clients, I’d have you know anywhere between 20 or 30 online participants as well that I was guiding through their online program. So, I sort of treated more people as opposed to when I just worked face to face.</w:t>
      </w:r>
    </w:p>
    <w:p w14:paraId="6EFACC5C" w14:textId="77777777" w:rsidR="00BD530B" w:rsidRPr="008756F5" w:rsidRDefault="00BD530B" w:rsidP="00812B63">
      <w:pPr>
        <w:spacing w:after="240"/>
        <w:rPr>
          <w:rFonts w:asciiTheme="minorHAnsi" w:hAnsiTheme="minorHAnsi" w:cstheme="minorHAnsi"/>
          <w:sz w:val="21"/>
          <w:szCs w:val="21"/>
        </w:rPr>
      </w:pPr>
      <w:r w:rsidRPr="008756F5">
        <w:rPr>
          <w:rFonts w:asciiTheme="minorHAnsi" w:hAnsiTheme="minorHAnsi" w:cstheme="minorHAnsi"/>
          <w:sz w:val="21"/>
          <w:szCs w:val="21"/>
        </w:rPr>
        <w:t>One provider also observed that DMHSs helped consumers improve quickly because they were getting more support in between appointment times. They said:</w:t>
      </w:r>
    </w:p>
    <w:p w14:paraId="267EE853" w14:textId="77777777" w:rsidR="00BD530B" w:rsidRPr="00C1006A" w:rsidRDefault="00BD530B" w:rsidP="00812B63">
      <w:pPr>
        <w:spacing w:after="240"/>
        <w:ind w:left="720" w:firstLine="50"/>
        <w:rPr>
          <w:rFonts w:asciiTheme="minorHAnsi" w:hAnsiTheme="minorHAnsi" w:cstheme="minorHAnsi"/>
          <w:sz w:val="21"/>
          <w:szCs w:val="21"/>
        </w:rPr>
      </w:pPr>
      <w:r w:rsidRPr="00C1006A">
        <w:rPr>
          <w:rFonts w:asciiTheme="minorHAnsi" w:hAnsiTheme="minorHAnsi" w:cstheme="minorHAnsi"/>
          <w:sz w:val="21"/>
          <w:szCs w:val="21"/>
        </w:rPr>
        <w:t>I would say more I guess through things like my private practice work it does mean that people can reach treatment goals a bit quicker because they’re learning, they’re not just getting the one hour a week with me they’re also getting the extra time and learning therapeutic skills outside of sessions so, I think in that role it has more had an effect on being able to kind of see people for slightly shorter amounts of time and being able to engage with a new client.</w:t>
      </w:r>
    </w:p>
    <w:p w14:paraId="6DA37837" w14:textId="77777777" w:rsidR="00BD530B" w:rsidRPr="008756F5" w:rsidRDefault="00BD530B" w:rsidP="00812B63">
      <w:pPr>
        <w:spacing w:after="240"/>
        <w:rPr>
          <w:rFonts w:asciiTheme="minorHAnsi" w:hAnsiTheme="minorHAnsi" w:cstheme="minorHAnsi"/>
          <w:sz w:val="21"/>
          <w:szCs w:val="21"/>
        </w:rPr>
      </w:pPr>
      <w:r w:rsidRPr="008756F5">
        <w:rPr>
          <w:rFonts w:asciiTheme="minorHAnsi" w:hAnsiTheme="minorHAnsi" w:cstheme="minorHAnsi"/>
          <w:sz w:val="21"/>
          <w:szCs w:val="21"/>
        </w:rPr>
        <w:t>On the other hand, one provider reported that their caseload had not change because they did not promote or advertise that they were providing DMHSs.</w:t>
      </w:r>
    </w:p>
    <w:p w14:paraId="3347BB6F" w14:textId="77777777" w:rsidR="00BD530B" w:rsidRPr="008756F5" w:rsidRDefault="00BD530B" w:rsidP="00812B63">
      <w:pPr>
        <w:spacing w:after="240"/>
        <w:rPr>
          <w:rFonts w:asciiTheme="minorHAnsi" w:hAnsiTheme="minorHAnsi" w:cstheme="minorHAnsi"/>
          <w:sz w:val="21"/>
          <w:szCs w:val="21"/>
        </w:rPr>
      </w:pPr>
      <w:r w:rsidRPr="008756F5">
        <w:rPr>
          <w:rFonts w:asciiTheme="minorHAnsi" w:hAnsiTheme="minorHAnsi" w:cstheme="minorHAnsi"/>
          <w:sz w:val="21"/>
          <w:szCs w:val="21"/>
        </w:rPr>
        <w:t>Most of the providers indicated DMHSs did not impact on multidisciplinary communication. Two providers highlighted that DMHSs improved communication and helped with discharge planning. These providers said:</w:t>
      </w:r>
    </w:p>
    <w:p w14:paraId="61EE6910" w14:textId="77777777" w:rsidR="00BD530B" w:rsidRPr="00C1006A" w:rsidRDefault="00BD530B" w:rsidP="00812B63">
      <w:pPr>
        <w:spacing w:after="240"/>
        <w:ind w:left="720"/>
        <w:rPr>
          <w:rFonts w:asciiTheme="minorHAnsi" w:hAnsiTheme="minorHAnsi" w:cstheme="minorHAnsi"/>
          <w:sz w:val="21"/>
          <w:szCs w:val="21"/>
        </w:rPr>
      </w:pPr>
      <w:r w:rsidRPr="00C1006A">
        <w:rPr>
          <w:rFonts w:asciiTheme="minorHAnsi" w:hAnsiTheme="minorHAnsi" w:cstheme="minorHAnsi"/>
          <w:sz w:val="21"/>
          <w:szCs w:val="21"/>
        </w:rPr>
        <w:t xml:space="preserve">I could communicate, say, with GPs or the referring clinician with recommending certain programs, or can provide more specifics from that, I guess inform them of the screening tools or measures they were doing </w:t>
      </w:r>
      <w:proofErr w:type="gramStart"/>
      <w:r w:rsidRPr="00C1006A">
        <w:rPr>
          <w:rFonts w:asciiTheme="minorHAnsi" w:hAnsiTheme="minorHAnsi" w:cstheme="minorHAnsi"/>
          <w:sz w:val="21"/>
          <w:szCs w:val="21"/>
        </w:rPr>
        <w:t>fairly regularly</w:t>
      </w:r>
      <w:proofErr w:type="gramEnd"/>
      <w:r w:rsidRPr="00C1006A">
        <w:rPr>
          <w:rFonts w:asciiTheme="minorHAnsi" w:hAnsiTheme="minorHAnsi" w:cstheme="minorHAnsi"/>
          <w:sz w:val="21"/>
          <w:szCs w:val="21"/>
        </w:rPr>
        <w:t>.</w:t>
      </w:r>
    </w:p>
    <w:p w14:paraId="12417F8E" w14:textId="77777777" w:rsidR="00BD530B" w:rsidRPr="00C1006A" w:rsidRDefault="00BD530B" w:rsidP="00812B63">
      <w:pPr>
        <w:spacing w:after="240"/>
        <w:ind w:left="720"/>
        <w:rPr>
          <w:rFonts w:asciiTheme="minorHAnsi" w:hAnsiTheme="minorHAnsi" w:cstheme="minorHAnsi"/>
          <w:sz w:val="21"/>
          <w:szCs w:val="21"/>
        </w:rPr>
      </w:pPr>
      <w:r w:rsidRPr="00C1006A">
        <w:rPr>
          <w:rFonts w:asciiTheme="minorHAnsi" w:hAnsiTheme="minorHAnsi" w:cstheme="minorHAnsi"/>
          <w:sz w:val="21"/>
          <w:szCs w:val="21"/>
        </w:rPr>
        <w:t xml:space="preserve">When I liaise with GP’s now, I also mention </w:t>
      </w:r>
      <w:proofErr w:type="gramStart"/>
      <w:r w:rsidRPr="00C1006A">
        <w:rPr>
          <w:rFonts w:asciiTheme="minorHAnsi" w:hAnsiTheme="minorHAnsi" w:cstheme="minorHAnsi"/>
          <w:sz w:val="21"/>
          <w:szCs w:val="21"/>
        </w:rPr>
        <w:t>whether or not</w:t>
      </w:r>
      <w:proofErr w:type="gramEnd"/>
      <w:r w:rsidRPr="00C1006A">
        <w:rPr>
          <w:rFonts w:asciiTheme="minorHAnsi" w:hAnsiTheme="minorHAnsi" w:cstheme="minorHAnsi"/>
          <w:sz w:val="21"/>
          <w:szCs w:val="21"/>
        </w:rPr>
        <w:t xml:space="preserve"> the client has done a digital mental health program, has that been helpful or if they relapse in the future, they could consider a digital mental health program, that kind of thing.</w:t>
      </w:r>
    </w:p>
    <w:p w14:paraId="75C71DE9" w14:textId="77777777" w:rsidR="00BD530B" w:rsidRPr="008756F5" w:rsidRDefault="00BD530B" w:rsidP="00F83BCE">
      <w:pPr>
        <w:pStyle w:val="Heading2"/>
        <w:rPr>
          <w:lang w:eastAsia="en-AU"/>
        </w:rPr>
      </w:pPr>
      <w:bookmarkStart w:id="165" w:name="_Toc108784867"/>
      <w:r w:rsidRPr="008756F5">
        <w:rPr>
          <w:lang w:eastAsia="en-AU"/>
        </w:rPr>
        <w:t>Provider perceptions about impact of DMHSs on consumers</w:t>
      </w:r>
      <w:bookmarkEnd w:id="165"/>
    </w:p>
    <w:p w14:paraId="7564BDBA" w14:textId="77777777" w:rsidR="00761E16" w:rsidRPr="00761E16" w:rsidRDefault="00761E16" w:rsidP="00761E16">
      <w:pPr>
        <w:pStyle w:val="ListParagraph"/>
        <w:numPr>
          <w:ilvl w:val="0"/>
          <w:numId w:val="146"/>
        </w:numPr>
        <w:spacing w:after="120"/>
        <w:contextualSpacing w:val="0"/>
        <w:outlineLvl w:val="2"/>
        <w:rPr>
          <w:b/>
          <w:bCs/>
          <w:vanish/>
          <w:color w:val="2F5496" w:themeColor="accent1" w:themeShade="BF"/>
          <w:sz w:val="24"/>
          <w:szCs w:val="24"/>
          <w:lang w:eastAsia="en-AU"/>
        </w:rPr>
      </w:pPr>
    </w:p>
    <w:p w14:paraId="19DB78F3" w14:textId="77777777" w:rsidR="00761E16" w:rsidRPr="00761E16" w:rsidRDefault="00761E16" w:rsidP="00761E16">
      <w:pPr>
        <w:pStyle w:val="ListParagraph"/>
        <w:numPr>
          <w:ilvl w:val="1"/>
          <w:numId w:val="146"/>
        </w:numPr>
        <w:spacing w:after="120"/>
        <w:contextualSpacing w:val="0"/>
        <w:outlineLvl w:val="2"/>
        <w:rPr>
          <w:b/>
          <w:bCs/>
          <w:vanish/>
          <w:color w:val="2F5496" w:themeColor="accent1" w:themeShade="BF"/>
          <w:sz w:val="24"/>
          <w:szCs w:val="24"/>
          <w:lang w:eastAsia="en-AU"/>
        </w:rPr>
      </w:pPr>
    </w:p>
    <w:p w14:paraId="27576F53" w14:textId="77777777" w:rsidR="00761E16" w:rsidRPr="00761E16" w:rsidRDefault="00761E16" w:rsidP="00761E16">
      <w:pPr>
        <w:pStyle w:val="ListParagraph"/>
        <w:numPr>
          <w:ilvl w:val="1"/>
          <w:numId w:val="146"/>
        </w:numPr>
        <w:spacing w:after="120"/>
        <w:contextualSpacing w:val="0"/>
        <w:outlineLvl w:val="2"/>
        <w:rPr>
          <w:b/>
          <w:bCs/>
          <w:vanish/>
          <w:color w:val="2F5496" w:themeColor="accent1" w:themeShade="BF"/>
          <w:sz w:val="24"/>
          <w:szCs w:val="24"/>
          <w:lang w:eastAsia="en-AU"/>
        </w:rPr>
      </w:pPr>
    </w:p>
    <w:p w14:paraId="73508AC8" w14:textId="77777777" w:rsidR="00761E16" w:rsidRPr="00761E16" w:rsidRDefault="00761E16" w:rsidP="00761E16">
      <w:pPr>
        <w:pStyle w:val="ListParagraph"/>
        <w:numPr>
          <w:ilvl w:val="1"/>
          <w:numId w:val="146"/>
        </w:numPr>
        <w:spacing w:after="120"/>
        <w:contextualSpacing w:val="0"/>
        <w:outlineLvl w:val="2"/>
        <w:rPr>
          <w:b/>
          <w:bCs/>
          <w:vanish/>
          <w:color w:val="2F5496" w:themeColor="accent1" w:themeShade="BF"/>
          <w:sz w:val="24"/>
          <w:szCs w:val="24"/>
          <w:lang w:eastAsia="en-AU"/>
        </w:rPr>
      </w:pPr>
    </w:p>
    <w:p w14:paraId="5064DF7E" w14:textId="77777777" w:rsidR="00761E16" w:rsidRPr="00761E16" w:rsidRDefault="00761E16" w:rsidP="00761E16">
      <w:pPr>
        <w:pStyle w:val="ListParagraph"/>
        <w:numPr>
          <w:ilvl w:val="1"/>
          <w:numId w:val="146"/>
        </w:numPr>
        <w:spacing w:after="120"/>
        <w:contextualSpacing w:val="0"/>
        <w:outlineLvl w:val="2"/>
        <w:rPr>
          <w:b/>
          <w:bCs/>
          <w:vanish/>
          <w:color w:val="2F5496" w:themeColor="accent1" w:themeShade="BF"/>
          <w:sz w:val="24"/>
          <w:szCs w:val="24"/>
          <w:lang w:eastAsia="en-AU"/>
        </w:rPr>
      </w:pPr>
    </w:p>
    <w:p w14:paraId="26F53FAC" w14:textId="77777777" w:rsidR="00761E16" w:rsidRPr="00761E16" w:rsidRDefault="00761E16" w:rsidP="00761E16">
      <w:pPr>
        <w:pStyle w:val="ListParagraph"/>
        <w:numPr>
          <w:ilvl w:val="1"/>
          <w:numId w:val="146"/>
        </w:numPr>
        <w:spacing w:after="120"/>
        <w:contextualSpacing w:val="0"/>
        <w:outlineLvl w:val="2"/>
        <w:rPr>
          <w:b/>
          <w:bCs/>
          <w:vanish/>
          <w:color w:val="2F5496" w:themeColor="accent1" w:themeShade="BF"/>
          <w:sz w:val="24"/>
          <w:szCs w:val="24"/>
          <w:lang w:eastAsia="en-AU"/>
        </w:rPr>
      </w:pPr>
    </w:p>
    <w:p w14:paraId="5663CD54" w14:textId="77777777" w:rsidR="00761E16" w:rsidRPr="00761E16" w:rsidRDefault="00761E16" w:rsidP="00761E16">
      <w:pPr>
        <w:pStyle w:val="ListParagraph"/>
        <w:numPr>
          <w:ilvl w:val="1"/>
          <w:numId w:val="146"/>
        </w:numPr>
        <w:spacing w:after="120"/>
        <w:contextualSpacing w:val="0"/>
        <w:outlineLvl w:val="2"/>
        <w:rPr>
          <w:b/>
          <w:bCs/>
          <w:vanish/>
          <w:color w:val="2F5496" w:themeColor="accent1" w:themeShade="BF"/>
          <w:sz w:val="24"/>
          <w:szCs w:val="24"/>
          <w:lang w:eastAsia="en-AU"/>
        </w:rPr>
      </w:pPr>
    </w:p>
    <w:p w14:paraId="72D35DBD" w14:textId="299864E7" w:rsidR="00BD530B" w:rsidRPr="008756F5" w:rsidRDefault="00BD530B" w:rsidP="00761E16">
      <w:pPr>
        <w:pStyle w:val="Heading3"/>
        <w:rPr>
          <w:sz w:val="18"/>
          <w:szCs w:val="18"/>
          <w:lang w:eastAsia="en-AU"/>
        </w:rPr>
      </w:pPr>
      <w:r w:rsidRPr="008756F5">
        <w:rPr>
          <w:lang w:eastAsia="en-AU"/>
        </w:rPr>
        <w:t>Survey respondents’ perceptions about impact of DMHSs on consumers</w:t>
      </w:r>
    </w:p>
    <w:p w14:paraId="31C023A8" w14:textId="3663E09B" w:rsidR="00A565FC" w:rsidRDefault="00BD530B" w:rsidP="00812B63">
      <w:pPr>
        <w:spacing w:after="240"/>
        <w:textAlignment w:val="baseline"/>
        <w:rPr>
          <w:rFonts w:asciiTheme="minorHAnsi" w:hAnsiTheme="minorHAnsi" w:cstheme="minorHAnsi"/>
          <w:sz w:val="21"/>
          <w:szCs w:val="21"/>
          <w:lang w:eastAsia="en-AU"/>
        </w:rPr>
      </w:pPr>
      <w:r w:rsidRPr="008756F5">
        <w:rPr>
          <w:rFonts w:asciiTheme="minorHAnsi" w:hAnsiTheme="minorHAnsi" w:cstheme="minorHAnsi"/>
          <w:sz w:val="21"/>
          <w:szCs w:val="21"/>
          <w:lang w:eastAsia="en-AU"/>
        </w:rPr>
        <w:t xml:space="preserve">Providers were asked about the extent to which DMHSs met consumers’ needs and how DMHSs benefited consumers. Their responses are reported in </w:t>
      </w:r>
      <w:r w:rsidRPr="003F6A26">
        <w:rPr>
          <w:rFonts w:asciiTheme="minorHAnsi" w:hAnsiTheme="minorHAnsi" w:cstheme="minorHAnsi"/>
          <w:sz w:val="21"/>
          <w:szCs w:val="21"/>
          <w:lang w:eastAsia="en-AU"/>
        </w:rPr>
        <w:t xml:space="preserve">Table </w:t>
      </w:r>
      <w:r w:rsidR="003F6A26" w:rsidRPr="003F6A26">
        <w:rPr>
          <w:rFonts w:asciiTheme="minorHAnsi" w:hAnsiTheme="minorHAnsi" w:cstheme="minorHAnsi"/>
          <w:sz w:val="21"/>
          <w:szCs w:val="21"/>
          <w:lang w:eastAsia="en-AU"/>
        </w:rPr>
        <w:t>34</w:t>
      </w:r>
      <w:r w:rsidRPr="008756F5">
        <w:rPr>
          <w:rFonts w:asciiTheme="minorHAnsi" w:hAnsiTheme="minorHAnsi" w:cstheme="minorHAnsi"/>
          <w:sz w:val="21"/>
          <w:szCs w:val="21"/>
          <w:lang w:eastAsia="en-AU"/>
        </w:rPr>
        <w:t xml:space="preserve">. Over 70% of providers indicated that DMHSs mostly met consumers’ needs, and 100% of both Mental Health Online and </w:t>
      </w:r>
      <w:proofErr w:type="spellStart"/>
      <w:r w:rsidRPr="008756F5">
        <w:rPr>
          <w:rFonts w:asciiTheme="minorHAnsi" w:hAnsiTheme="minorHAnsi" w:cstheme="minorHAnsi"/>
          <w:sz w:val="21"/>
          <w:szCs w:val="21"/>
          <w:lang w:eastAsia="en-AU"/>
        </w:rPr>
        <w:t>MindSpot</w:t>
      </w:r>
      <w:proofErr w:type="spellEnd"/>
      <w:r w:rsidRPr="008756F5">
        <w:rPr>
          <w:rFonts w:asciiTheme="minorHAnsi" w:hAnsiTheme="minorHAnsi" w:cstheme="minorHAnsi"/>
          <w:sz w:val="21"/>
          <w:szCs w:val="21"/>
          <w:lang w:eastAsia="en-AU"/>
        </w:rPr>
        <w:t xml:space="preserve"> providers and 93% of THIS WAY UP providers indicated that DMHSs benefited consumers. The three most endorsed benefits were improved: convenience of care, mental health and wellbeing, and access. Twenty-five percent of Mental Health Online and 20% of THIS WAY UP providers indicated that DMHSs had had negative impacts on consumers; however, no </w:t>
      </w:r>
      <w:proofErr w:type="spellStart"/>
      <w:r w:rsidRPr="008756F5">
        <w:rPr>
          <w:rFonts w:asciiTheme="minorHAnsi" w:hAnsiTheme="minorHAnsi" w:cstheme="minorHAnsi"/>
          <w:sz w:val="21"/>
          <w:szCs w:val="21"/>
          <w:lang w:eastAsia="en-AU"/>
        </w:rPr>
        <w:t>MindSpot</w:t>
      </w:r>
      <w:proofErr w:type="spellEnd"/>
      <w:r w:rsidRPr="008756F5">
        <w:rPr>
          <w:rFonts w:asciiTheme="minorHAnsi" w:hAnsiTheme="minorHAnsi" w:cstheme="minorHAnsi"/>
          <w:sz w:val="21"/>
          <w:szCs w:val="21"/>
          <w:lang w:eastAsia="en-AU"/>
        </w:rPr>
        <w:t xml:space="preserve"> providers indicated any such impacts. Three endorsed negative impacts included consumers not getting the level of care they need, DMHSs being isolating for consumers and consumers dropping out of care.</w:t>
      </w:r>
    </w:p>
    <w:p w14:paraId="07B20E5C" w14:textId="77777777" w:rsidR="00A565FC" w:rsidRDefault="00A565FC">
      <w:pPr>
        <w:spacing w:after="200"/>
        <w:rPr>
          <w:rFonts w:asciiTheme="minorHAnsi" w:hAnsiTheme="minorHAnsi" w:cstheme="minorHAnsi"/>
          <w:sz w:val="21"/>
          <w:szCs w:val="21"/>
          <w:lang w:eastAsia="en-AU"/>
        </w:rPr>
      </w:pPr>
      <w:r>
        <w:rPr>
          <w:rFonts w:asciiTheme="minorHAnsi" w:hAnsiTheme="minorHAnsi" w:cstheme="minorHAnsi"/>
          <w:sz w:val="21"/>
          <w:szCs w:val="21"/>
          <w:lang w:eastAsia="en-AU"/>
        </w:rPr>
        <w:br w:type="page"/>
      </w:r>
    </w:p>
    <w:p w14:paraId="3324B195" w14:textId="2201BD9A" w:rsidR="00BD530B" w:rsidRPr="008756F5" w:rsidRDefault="00BD530B" w:rsidP="00BD530B">
      <w:pPr>
        <w:textAlignment w:val="baseline"/>
        <w:rPr>
          <w:rFonts w:asciiTheme="minorHAnsi" w:hAnsiTheme="minorHAnsi" w:cstheme="minorHAnsi"/>
          <w:b/>
          <w:bCs/>
          <w:color w:val="000000"/>
          <w:sz w:val="18"/>
          <w:szCs w:val="18"/>
          <w:lang w:eastAsia="en-AU"/>
        </w:rPr>
      </w:pPr>
      <w:r w:rsidRPr="003F6A26">
        <w:rPr>
          <w:rFonts w:asciiTheme="minorHAnsi" w:hAnsiTheme="minorHAnsi" w:cstheme="minorHAnsi"/>
          <w:b/>
          <w:bCs/>
          <w:color w:val="000000"/>
          <w:sz w:val="21"/>
          <w:szCs w:val="21"/>
          <w:lang w:val="en-US" w:eastAsia="en-AU"/>
        </w:rPr>
        <w:lastRenderedPageBreak/>
        <w:t>Table</w:t>
      </w:r>
      <w:r w:rsidR="003F6A26" w:rsidRPr="003F6A26">
        <w:rPr>
          <w:rFonts w:asciiTheme="minorHAnsi" w:hAnsiTheme="minorHAnsi" w:cstheme="minorHAnsi"/>
          <w:b/>
          <w:bCs/>
          <w:color w:val="000000"/>
          <w:sz w:val="21"/>
          <w:szCs w:val="21"/>
          <w:lang w:val="en-US" w:eastAsia="en-AU"/>
        </w:rPr>
        <w:t xml:space="preserve"> 34</w:t>
      </w:r>
      <w:r w:rsidRPr="003F6A26">
        <w:rPr>
          <w:rFonts w:asciiTheme="minorHAnsi" w:hAnsiTheme="minorHAnsi" w:cstheme="minorHAnsi"/>
          <w:b/>
          <w:bCs/>
          <w:color w:val="000000"/>
          <w:sz w:val="21"/>
          <w:szCs w:val="21"/>
          <w:lang w:val="en-US" w:eastAsia="en-AU"/>
        </w:rPr>
        <w:t>. Impact</w:t>
      </w:r>
      <w:r w:rsidRPr="008756F5">
        <w:rPr>
          <w:rFonts w:asciiTheme="minorHAnsi" w:hAnsiTheme="minorHAnsi" w:cstheme="minorHAnsi"/>
          <w:b/>
          <w:bCs/>
          <w:color w:val="000000"/>
          <w:sz w:val="21"/>
          <w:szCs w:val="21"/>
          <w:lang w:val="en-US" w:eastAsia="en-AU"/>
        </w:rPr>
        <w:t xml:space="preserve"> of DMHSs on consumers by service (N = 30)</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Impact of DMHSs on consumers by service "/>
        <w:tblDescription w:val="Table describes providers perceptions about the impacts of DMHSs on consumers"/>
      </w:tblPr>
      <w:tblGrid>
        <w:gridCol w:w="3450"/>
        <w:gridCol w:w="780"/>
        <w:gridCol w:w="780"/>
        <w:gridCol w:w="780"/>
        <w:gridCol w:w="780"/>
        <w:gridCol w:w="780"/>
        <w:gridCol w:w="780"/>
        <w:gridCol w:w="780"/>
        <w:gridCol w:w="780"/>
      </w:tblGrid>
      <w:tr w:rsidR="00BD530B" w:rsidRPr="008756F5" w14:paraId="500691FA" w14:textId="77777777" w:rsidTr="00A56C43">
        <w:trPr>
          <w:trHeight w:val="300"/>
          <w:tblHeader/>
        </w:trPr>
        <w:tc>
          <w:tcPr>
            <w:tcW w:w="3450" w:type="dxa"/>
            <w:tcBorders>
              <w:top w:val="single" w:sz="6" w:space="0" w:color="000000"/>
              <w:left w:val="single" w:sz="6" w:space="0" w:color="000000"/>
              <w:bottom w:val="nil"/>
              <w:right w:val="nil"/>
            </w:tcBorders>
            <w:shd w:val="clear" w:color="auto" w:fill="000000"/>
            <w:hideMark/>
          </w:tcPr>
          <w:p w14:paraId="21BD7AE5" w14:textId="77777777" w:rsidR="00BD530B" w:rsidRPr="008756F5" w:rsidRDefault="00BD530B" w:rsidP="00A56C43">
            <w:pP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 </w:t>
            </w:r>
          </w:p>
        </w:tc>
        <w:tc>
          <w:tcPr>
            <w:tcW w:w="1560" w:type="dxa"/>
            <w:gridSpan w:val="2"/>
            <w:tcBorders>
              <w:top w:val="single" w:sz="6" w:space="0" w:color="000000"/>
              <w:left w:val="nil"/>
              <w:bottom w:val="nil"/>
              <w:right w:val="nil"/>
            </w:tcBorders>
            <w:shd w:val="clear" w:color="auto" w:fill="000000"/>
            <w:hideMark/>
          </w:tcPr>
          <w:p w14:paraId="7D206DE4" w14:textId="77777777" w:rsidR="00BD530B" w:rsidRPr="008756F5" w:rsidRDefault="00BD530B" w:rsidP="00A56C43">
            <w:pPr>
              <w:jc w:val="cente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MHO </w:t>
            </w:r>
          </w:p>
          <w:p w14:paraId="6024C7B3" w14:textId="77777777" w:rsidR="00BD530B" w:rsidRPr="008756F5" w:rsidRDefault="00BD530B" w:rsidP="00A56C43">
            <w:pPr>
              <w:jc w:val="cente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n=8 </w:t>
            </w:r>
          </w:p>
        </w:tc>
        <w:tc>
          <w:tcPr>
            <w:tcW w:w="1560" w:type="dxa"/>
            <w:gridSpan w:val="2"/>
            <w:tcBorders>
              <w:top w:val="single" w:sz="6" w:space="0" w:color="000000"/>
              <w:left w:val="nil"/>
              <w:bottom w:val="nil"/>
              <w:right w:val="nil"/>
            </w:tcBorders>
            <w:shd w:val="clear" w:color="auto" w:fill="000000"/>
            <w:hideMark/>
          </w:tcPr>
          <w:p w14:paraId="7E0E123D" w14:textId="77777777" w:rsidR="00BD530B" w:rsidRPr="008756F5" w:rsidRDefault="00BD530B" w:rsidP="00A56C43">
            <w:pPr>
              <w:jc w:val="cente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MS </w:t>
            </w:r>
          </w:p>
          <w:p w14:paraId="7CDEA3CB" w14:textId="77777777" w:rsidR="00BD530B" w:rsidRPr="008756F5" w:rsidRDefault="00BD530B" w:rsidP="00A56C43">
            <w:pPr>
              <w:jc w:val="cente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(n=7) </w:t>
            </w:r>
          </w:p>
        </w:tc>
        <w:tc>
          <w:tcPr>
            <w:tcW w:w="1560" w:type="dxa"/>
            <w:gridSpan w:val="2"/>
            <w:tcBorders>
              <w:top w:val="single" w:sz="6" w:space="0" w:color="000000"/>
              <w:left w:val="nil"/>
              <w:bottom w:val="nil"/>
              <w:right w:val="nil"/>
            </w:tcBorders>
            <w:shd w:val="clear" w:color="auto" w:fill="000000"/>
            <w:hideMark/>
          </w:tcPr>
          <w:p w14:paraId="043EA9D9" w14:textId="77777777" w:rsidR="00BD530B" w:rsidRPr="008756F5" w:rsidRDefault="00BD530B" w:rsidP="00A56C43">
            <w:pPr>
              <w:jc w:val="cente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TWU </w:t>
            </w:r>
          </w:p>
          <w:p w14:paraId="73068A20" w14:textId="77777777" w:rsidR="00BD530B" w:rsidRPr="008756F5" w:rsidRDefault="00BD530B" w:rsidP="00A56C43">
            <w:pPr>
              <w:jc w:val="cente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(n=15) </w:t>
            </w:r>
          </w:p>
        </w:tc>
        <w:tc>
          <w:tcPr>
            <w:tcW w:w="1560" w:type="dxa"/>
            <w:gridSpan w:val="2"/>
            <w:tcBorders>
              <w:top w:val="single" w:sz="6" w:space="0" w:color="000000"/>
              <w:left w:val="nil"/>
              <w:bottom w:val="nil"/>
              <w:right w:val="single" w:sz="6" w:space="0" w:color="000000"/>
            </w:tcBorders>
            <w:shd w:val="clear" w:color="auto" w:fill="000000"/>
            <w:hideMark/>
          </w:tcPr>
          <w:p w14:paraId="5CEDD27A" w14:textId="77777777" w:rsidR="00BD530B" w:rsidRPr="008756F5" w:rsidRDefault="00BD530B" w:rsidP="00A56C43">
            <w:pPr>
              <w:jc w:val="cente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Total </w:t>
            </w:r>
          </w:p>
          <w:p w14:paraId="2AB07F0B" w14:textId="77777777" w:rsidR="00BD530B" w:rsidRPr="008756F5" w:rsidRDefault="00BD530B" w:rsidP="00A56C43">
            <w:pPr>
              <w:jc w:val="cente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(N=30) </w:t>
            </w:r>
          </w:p>
        </w:tc>
      </w:tr>
      <w:tr w:rsidR="00BD530B" w:rsidRPr="008756F5" w14:paraId="41A8821E" w14:textId="77777777" w:rsidTr="00A56C43">
        <w:trPr>
          <w:trHeight w:val="210"/>
          <w:tblHeader/>
        </w:trPr>
        <w:tc>
          <w:tcPr>
            <w:tcW w:w="3450" w:type="dxa"/>
            <w:tcBorders>
              <w:top w:val="single" w:sz="6" w:space="0" w:color="000000"/>
              <w:left w:val="single" w:sz="6" w:space="0" w:color="000000"/>
              <w:bottom w:val="single" w:sz="6" w:space="0" w:color="000000"/>
              <w:right w:val="nil"/>
            </w:tcBorders>
            <w:shd w:val="clear" w:color="auto" w:fill="000000"/>
            <w:hideMark/>
          </w:tcPr>
          <w:p w14:paraId="271AFA84" w14:textId="77777777" w:rsidR="00BD530B" w:rsidRPr="008756F5" w:rsidRDefault="00BD530B" w:rsidP="00A56C43">
            <w:pPr>
              <w:textAlignment w:val="baseline"/>
              <w:rPr>
                <w:rFonts w:asciiTheme="minorHAnsi" w:hAnsiTheme="minorHAnsi" w:cstheme="minorHAnsi"/>
                <w:b/>
                <w:bCs/>
                <w:lang w:eastAsia="en-AU"/>
              </w:rPr>
            </w:pPr>
            <w:r w:rsidRPr="008756F5">
              <w:rPr>
                <w:rFonts w:asciiTheme="minorHAnsi" w:hAnsiTheme="minorHAnsi" w:cstheme="minorHAnsi"/>
                <w:b/>
                <w:bCs/>
                <w:color w:val="FFFFFF"/>
                <w:sz w:val="18"/>
                <w:szCs w:val="18"/>
                <w:lang w:eastAsia="en-AU"/>
              </w:rPr>
              <w:t> </w:t>
            </w:r>
          </w:p>
        </w:tc>
        <w:tc>
          <w:tcPr>
            <w:tcW w:w="780" w:type="dxa"/>
            <w:tcBorders>
              <w:top w:val="single" w:sz="6" w:space="0" w:color="000000"/>
              <w:left w:val="nil"/>
              <w:bottom w:val="single" w:sz="6" w:space="0" w:color="000000"/>
              <w:right w:val="nil"/>
            </w:tcBorders>
            <w:shd w:val="clear" w:color="auto" w:fill="000000"/>
            <w:hideMark/>
          </w:tcPr>
          <w:p w14:paraId="5109537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b/>
                <w:bCs/>
                <w:color w:val="FFFFFF"/>
                <w:sz w:val="18"/>
                <w:szCs w:val="18"/>
                <w:lang w:eastAsia="en-AU"/>
              </w:rPr>
              <w:t>n</w:t>
            </w:r>
            <w:r w:rsidRPr="008756F5">
              <w:rPr>
                <w:rFonts w:asciiTheme="minorHAnsi" w:hAnsiTheme="minorHAnsi" w:cstheme="minorHAnsi"/>
                <w:color w:val="FFFFFF"/>
                <w:sz w:val="18"/>
                <w:szCs w:val="18"/>
                <w:lang w:eastAsia="en-AU"/>
              </w:rPr>
              <w:t> </w:t>
            </w:r>
          </w:p>
        </w:tc>
        <w:tc>
          <w:tcPr>
            <w:tcW w:w="780" w:type="dxa"/>
            <w:tcBorders>
              <w:top w:val="single" w:sz="6" w:space="0" w:color="000000"/>
              <w:left w:val="nil"/>
              <w:bottom w:val="single" w:sz="6" w:space="0" w:color="000000"/>
              <w:right w:val="nil"/>
            </w:tcBorders>
            <w:shd w:val="clear" w:color="auto" w:fill="000000"/>
            <w:hideMark/>
          </w:tcPr>
          <w:p w14:paraId="6DD51C2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b/>
                <w:bCs/>
                <w:color w:val="FFFFFF"/>
                <w:sz w:val="18"/>
                <w:szCs w:val="18"/>
                <w:lang w:eastAsia="en-AU"/>
              </w:rPr>
              <w:t>%</w:t>
            </w:r>
            <w:r w:rsidRPr="008756F5">
              <w:rPr>
                <w:rFonts w:asciiTheme="minorHAnsi" w:hAnsiTheme="minorHAnsi" w:cstheme="minorHAnsi"/>
                <w:color w:val="FFFFFF"/>
                <w:sz w:val="18"/>
                <w:szCs w:val="18"/>
                <w:lang w:eastAsia="en-AU"/>
              </w:rPr>
              <w:t> </w:t>
            </w:r>
          </w:p>
        </w:tc>
        <w:tc>
          <w:tcPr>
            <w:tcW w:w="780" w:type="dxa"/>
            <w:tcBorders>
              <w:top w:val="single" w:sz="6" w:space="0" w:color="000000"/>
              <w:left w:val="nil"/>
              <w:bottom w:val="single" w:sz="6" w:space="0" w:color="000000"/>
              <w:right w:val="nil"/>
            </w:tcBorders>
            <w:shd w:val="clear" w:color="auto" w:fill="000000"/>
            <w:hideMark/>
          </w:tcPr>
          <w:p w14:paraId="23A60F6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b/>
                <w:bCs/>
                <w:color w:val="FFFFFF"/>
                <w:sz w:val="18"/>
                <w:szCs w:val="18"/>
                <w:lang w:eastAsia="en-AU"/>
              </w:rPr>
              <w:t>n</w:t>
            </w:r>
            <w:r w:rsidRPr="008756F5">
              <w:rPr>
                <w:rFonts w:asciiTheme="minorHAnsi" w:hAnsiTheme="minorHAnsi" w:cstheme="minorHAnsi"/>
                <w:color w:val="FFFFFF"/>
                <w:sz w:val="18"/>
                <w:szCs w:val="18"/>
                <w:lang w:eastAsia="en-AU"/>
              </w:rPr>
              <w:t> </w:t>
            </w:r>
          </w:p>
        </w:tc>
        <w:tc>
          <w:tcPr>
            <w:tcW w:w="780" w:type="dxa"/>
            <w:tcBorders>
              <w:top w:val="single" w:sz="6" w:space="0" w:color="000000"/>
              <w:left w:val="nil"/>
              <w:bottom w:val="single" w:sz="6" w:space="0" w:color="000000"/>
              <w:right w:val="nil"/>
            </w:tcBorders>
            <w:shd w:val="clear" w:color="auto" w:fill="000000"/>
            <w:hideMark/>
          </w:tcPr>
          <w:p w14:paraId="34A90F5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b/>
                <w:bCs/>
                <w:color w:val="FFFFFF"/>
                <w:sz w:val="18"/>
                <w:szCs w:val="18"/>
                <w:lang w:eastAsia="en-AU"/>
              </w:rPr>
              <w:t>%</w:t>
            </w:r>
            <w:r w:rsidRPr="008756F5">
              <w:rPr>
                <w:rFonts w:asciiTheme="minorHAnsi" w:hAnsiTheme="minorHAnsi" w:cstheme="minorHAnsi"/>
                <w:color w:val="FFFFFF"/>
                <w:sz w:val="18"/>
                <w:szCs w:val="18"/>
                <w:lang w:eastAsia="en-AU"/>
              </w:rPr>
              <w:t> </w:t>
            </w:r>
          </w:p>
        </w:tc>
        <w:tc>
          <w:tcPr>
            <w:tcW w:w="780" w:type="dxa"/>
            <w:tcBorders>
              <w:top w:val="single" w:sz="6" w:space="0" w:color="000000"/>
              <w:left w:val="nil"/>
              <w:bottom w:val="single" w:sz="6" w:space="0" w:color="000000"/>
              <w:right w:val="nil"/>
            </w:tcBorders>
            <w:shd w:val="clear" w:color="auto" w:fill="000000"/>
            <w:hideMark/>
          </w:tcPr>
          <w:p w14:paraId="54BDAC2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b/>
                <w:bCs/>
                <w:color w:val="FFFFFF"/>
                <w:sz w:val="18"/>
                <w:szCs w:val="18"/>
                <w:lang w:eastAsia="en-AU"/>
              </w:rPr>
              <w:t>n</w:t>
            </w:r>
            <w:r w:rsidRPr="008756F5">
              <w:rPr>
                <w:rFonts w:asciiTheme="minorHAnsi" w:hAnsiTheme="minorHAnsi" w:cstheme="minorHAnsi"/>
                <w:color w:val="FFFFFF"/>
                <w:sz w:val="18"/>
                <w:szCs w:val="18"/>
                <w:lang w:eastAsia="en-AU"/>
              </w:rPr>
              <w:t> </w:t>
            </w:r>
          </w:p>
        </w:tc>
        <w:tc>
          <w:tcPr>
            <w:tcW w:w="780" w:type="dxa"/>
            <w:tcBorders>
              <w:top w:val="single" w:sz="6" w:space="0" w:color="000000"/>
              <w:left w:val="nil"/>
              <w:bottom w:val="single" w:sz="6" w:space="0" w:color="000000"/>
              <w:right w:val="nil"/>
            </w:tcBorders>
            <w:shd w:val="clear" w:color="auto" w:fill="000000"/>
            <w:hideMark/>
          </w:tcPr>
          <w:p w14:paraId="0B816B0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b/>
                <w:bCs/>
                <w:color w:val="FFFFFF"/>
                <w:sz w:val="18"/>
                <w:szCs w:val="18"/>
                <w:lang w:eastAsia="en-AU"/>
              </w:rPr>
              <w:t>%</w:t>
            </w:r>
            <w:r w:rsidRPr="008756F5">
              <w:rPr>
                <w:rFonts w:asciiTheme="minorHAnsi" w:hAnsiTheme="minorHAnsi" w:cstheme="minorHAnsi"/>
                <w:color w:val="FFFFFF"/>
                <w:sz w:val="18"/>
                <w:szCs w:val="18"/>
                <w:lang w:eastAsia="en-AU"/>
              </w:rPr>
              <w:t> </w:t>
            </w:r>
          </w:p>
        </w:tc>
        <w:tc>
          <w:tcPr>
            <w:tcW w:w="780" w:type="dxa"/>
            <w:tcBorders>
              <w:top w:val="single" w:sz="6" w:space="0" w:color="000000"/>
              <w:left w:val="nil"/>
              <w:bottom w:val="single" w:sz="6" w:space="0" w:color="000000"/>
              <w:right w:val="nil"/>
            </w:tcBorders>
            <w:shd w:val="clear" w:color="auto" w:fill="000000"/>
            <w:hideMark/>
          </w:tcPr>
          <w:p w14:paraId="7EF464E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b/>
                <w:bCs/>
                <w:color w:val="FFFFFF"/>
                <w:sz w:val="18"/>
                <w:szCs w:val="18"/>
                <w:lang w:eastAsia="en-AU"/>
              </w:rPr>
              <w:t>n</w:t>
            </w:r>
            <w:r w:rsidRPr="008756F5">
              <w:rPr>
                <w:rFonts w:asciiTheme="minorHAnsi" w:hAnsiTheme="minorHAnsi" w:cstheme="minorHAnsi"/>
                <w:color w:val="FFFFFF"/>
                <w:sz w:val="18"/>
                <w:szCs w:val="18"/>
                <w:lang w:eastAsia="en-AU"/>
              </w:rPr>
              <w:t> </w:t>
            </w:r>
          </w:p>
        </w:tc>
        <w:tc>
          <w:tcPr>
            <w:tcW w:w="765" w:type="dxa"/>
            <w:tcBorders>
              <w:top w:val="single" w:sz="6" w:space="0" w:color="000000"/>
              <w:left w:val="nil"/>
              <w:bottom w:val="single" w:sz="6" w:space="0" w:color="000000"/>
              <w:right w:val="single" w:sz="6" w:space="0" w:color="000000"/>
            </w:tcBorders>
            <w:shd w:val="clear" w:color="auto" w:fill="000000"/>
            <w:hideMark/>
          </w:tcPr>
          <w:p w14:paraId="00CFDEF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b/>
                <w:bCs/>
                <w:color w:val="FFFFFF"/>
                <w:sz w:val="18"/>
                <w:szCs w:val="18"/>
                <w:lang w:eastAsia="en-AU"/>
              </w:rPr>
              <w:t>%</w:t>
            </w:r>
            <w:r w:rsidRPr="008756F5">
              <w:rPr>
                <w:rFonts w:asciiTheme="minorHAnsi" w:hAnsiTheme="minorHAnsi" w:cstheme="minorHAnsi"/>
                <w:color w:val="FFFFFF"/>
                <w:sz w:val="18"/>
                <w:szCs w:val="18"/>
                <w:lang w:eastAsia="en-AU"/>
              </w:rPr>
              <w:t> </w:t>
            </w:r>
          </w:p>
        </w:tc>
      </w:tr>
      <w:tr w:rsidR="00BD530B" w:rsidRPr="008756F5" w14:paraId="58B054A7" w14:textId="77777777" w:rsidTr="00A56C43">
        <w:trPr>
          <w:trHeight w:val="540"/>
        </w:trPr>
        <w:tc>
          <w:tcPr>
            <w:tcW w:w="3450" w:type="dxa"/>
            <w:tcBorders>
              <w:top w:val="nil"/>
              <w:left w:val="single" w:sz="6" w:space="0" w:color="000000"/>
              <w:bottom w:val="nil"/>
              <w:right w:val="nil"/>
            </w:tcBorders>
            <w:shd w:val="clear" w:color="auto" w:fill="auto"/>
            <w:hideMark/>
          </w:tcPr>
          <w:p w14:paraId="78948613" w14:textId="77777777" w:rsidR="00BD530B" w:rsidRPr="008756F5" w:rsidRDefault="00BD530B" w:rsidP="00A56C43">
            <w:pPr>
              <w:textAlignment w:val="baseline"/>
              <w:rPr>
                <w:rFonts w:asciiTheme="minorHAnsi" w:hAnsiTheme="minorHAnsi" w:cstheme="minorHAnsi"/>
                <w:b/>
                <w:bCs/>
                <w:lang w:eastAsia="en-AU"/>
              </w:rPr>
            </w:pPr>
            <w:r w:rsidRPr="008756F5">
              <w:rPr>
                <w:rFonts w:asciiTheme="minorHAnsi" w:hAnsiTheme="minorHAnsi" w:cstheme="minorHAnsi"/>
                <w:b/>
                <w:bCs/>
                <w:color w:val="000000"/>
                <w:sz w:val="18"/>
                <w:szCs w:val="18"/>
                <w:lang w:eastAsia="en-AU"/>
              </w:rPr>
              <w:t>Extent DMHS meet needs </w:t>
            </w:r>
          </w:p>
          <w:p w14:paraId="74E86FA6" w14:textId="77777777" w:rsidR="00BD530B" w:rsidRPr="008756F5" w:rsidRDefault="00BD530B" w:rsidP="00A56C43">
            <w:pPr>
              <w:ind w:left="165"/>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Somewhat</w:t>
            </w:r>
            <w:r w:rsidRPr="008756F5">
              <w:rPr>
                <w:rFonts w:asciiTheme="minorHAnsi" w:hAnsiTheme="minorHAnsi" w:cstheme="minorHAnsi"/>
                <w:b/>
                <w:bCs/>
                <w:color w:val="000000"/>
                <w:sz w:val="18"/>
                <w:szCs w:val="18"/>
                <w:lang w:eastAsia="en-AU"/>
              </w:rPr>
              <w:t> </w:t>
            </w:r>
          </w:p>
          <w:p w14:paraId="1410311D" w14:textId="77777777" w:rsidR="00BD530B" w:rsidRPr="008756F5" w:rsidRDefault="00BD530B" w:rsidP="00A56C43">
            <w:pPr>
              <w:ind w:left="165"/>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Mostly</w:t>
            </w:r>
            <w:r w:rsidRPr="008756F5">
              <w:rPr>
                <w:rFonts w:asciiTheme="minorHAnsi" w:hAnsiTheme="minorHAnsi" w:cstheme="minorHAnsi"/>
                <w:b/>
                <w:bCs/>
                <w:color w:val="000000"/>
                <w:sz w:val="18"/>
                <w:szCs w:val="18"/>
                <w:lang w:eastAsia="en-AU"/>
              </w:rPr>
              <w:t> </w:t>
            </w:r>
          </w:p>
        </w:tc>
        <w:tc>
          <w:tcPr>
            <w:tcW w:w="780" w:type="dxa"/>
            <w:tcBorders>
              <w:top w:val="nil"/>
              <w:left w:val="nil"/>
              <w:bottom w:val="nil"/>
              <w:right w:val="nil"/>
            </w:tcBorders>
            <w:shd w:val="clear" w:color="auto" w:fill="auto"/>
            <w:hideMark/>
          </w:tcPr>
          <w:p w14:paraId="4C38D81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sz w:val="18"/>
                <w:szCs w:val="18"/>
                <w:lang w:eastAsia="en-AU"/>
              </w:rPr>
              <w:t> </w:t>
            </w:r>
          </w:p>
          <w:p w14:paraId="3BC79B5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sz w:val="18"/>
                <w:szCs w:val="18"/>
                <w:lang w:eastAsia="en-AU"/>
              </w:rPr>
              <w:t>2 </w:t>
            </w:r>
          </w:p>
          <w:p w14:paraId="739E308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6 </w:t>
            </w:r>
          </w:p>
        </w:tc>
        <w:tc>
          <w:tcPr>
            <w:tcW w:w="780" w:type="dxa"/>
            <w:tcBorders>
              <w:top w:val="nil"/>
              <w:left w:val="nil"/>
              <w:bottom w:val="nil"/>
              <w:right w:val="nil"/>
            </w:tcBorders>
            <w:shd w:val="clear" w:color="auto" w:fill="auto"/>
            <w:hideMark/>
          </w:tcPr>
          <w:p w14:paraId="16B90E3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sz w:val="18"/>
                <w:szCs w:val="18"/>
                <w:lang w:eastAsia="en-AU"/>
              </w:rPr>
              <w:t> </w:t>
            </w:r>
          </w:p>
          <w:p w14:paraId="546396B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sz w:val="18"/>
                <w:szCs w:val="18"/>
                <w:lang w:eastAsia="en-AU"/>
              </w:rPr>
              <w:t>25 </w:t>
            </w:r>
          </w:p>
          <w:p w14:paraId="0B99EDE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75 </w:t>
            </w:r>
          </w:p>
        </w:tc>
        <w:tc>
          <w:tcPr>
            <w:tcW w:w="780" w:type="dxa"/>
            <w:tcBorders>
              <w:top w:val="nil"/>
              <w:left w:val="nil"/>
              <w:bottom w:val="nil"/>
              <w:right w:val="nil"/>
            </w:tcBorders>
            <w:shd w:val="clear" w:color="auto" w:fill="auto"/>
            <w:hideMark/>
          </w:tcPr>
          <w:p w14:paraId="2B48A7B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sz w:val="18"/>
                <w:szCs w:val="18"/>
                <w:lang w:eastAsia="en-AU"/>
              </w:rPr>
              <w:t> </w:t>
            </w:r>
          </w:p>
          <w:p w14:paraId="1D55CC9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sz w:val="18"/>
                <w:szCs w:val="18"/>
                <w:lang w:eastAsia="en-AU"/>
              </w:rPr>
              <w:t>1 </w:t>
            </w:r>
          </w:p>
          <w:p w14:paraId="7F9601B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6 </w:t>
            </w:r>
          </w:p>
        </w:tc>
        <w:tc>
          <w:tcPr>
            <w:tcW w:w="780" w:type="dxa"/>
            <w:tcBorders>
              <w:top w:val="nil"/>
              <w:left w:val="nil"/>
              <w:bottom w:val="nil"/>
              <w:right w:val="nil"/>
            </w:tcBorders>
            <w:shd w:val="clear" w:color="auto" w:fill="auto"/>
            <w:hideMark/>
          </w:tcPr>
          <w:p w14:paraId="38CD7D7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sz w:val="18"/>
                <w:szCs w:val="18"/>
                <w:lang w:eastAsia="en-AU"/>
              </w:rPr>
              <w:t> </w:t>
            </w:r>
          </w:p>
          <w:p w14:paraId="3E51FA2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sz w:val="18"/>
                <w:szCs w:val="18"/>
                <w:lang w:eastAsia="en-AU"/>
              </w:rPr>
              <w:t>14 </w:t>
            </w:r>
          </w:p>
          <w:p w14:paraId="69F629B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86 </w:t>
            </w:r>
          </w:p>
        </w:tc>
        <w:tc>
          <w:tcPr>
            <w:tcW w:w="780" w:type="dxa"/>
            <w:tcBorders>
              <w:top w:val="nil"/>
              <w:left w:val="nil"/>
              <w:bottom w:val="nil"/>
              <w:right w:val="nil"/>
            </w:tcBorders>
            <w:shd w:val="clear" w:color="auto" w:fill="auto"/>
            <w:hideMark/>
          </w:tcPr>
          <w:p w14:paraId="23AB4E3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sz w:val="18"/>
                <w:szCs w:val="18"/>
                <w:lang w:eastAsia="en-AU"/>
              </w:rPr>
              <w:t> </w:t>
            </w:r>
          </w:p>
          <w:p w14:paraId="7DE53E3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sz w:val="18"/>
                <w:szCs w:val="18"/>
                <w:lang w:eastAsia="en-AU"/>
              </w:rPr>
              <w:t>4 </w:t>
            </w:r>
          </w:p>
          <w:p w14:paraId="5E8FDB4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11 </w:t>
            </w:r>
          </w:p>
        </w:tc>
        <w:tc>
          <w:tcPr>
            <w:tcW w:w="780" w:type="dxa"/>
            <w:tcBorders>
              <w:top w:val="nil"/>
              <w:left w:val="nil"/>
              <w:bottom w:val="nil"/>
              <w:right w:val="nil"/>
            </w:tcBorders>
            <w:shd w:val="clear" w:color="auto" w:fill="auto"/>
            <w:hideMark/>
          </w:tcPr>
          <w:p w14:paraId="4FDD22C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sz w:val="18"/>
                <w:szCs w:val="18"/>
                <w:lang w:eastAsia="en-AU"/>
              </w:rPr>
              <w:t> </w:t>
            </w:r>
          </w:p>
          <w:p w14:paraId="718B947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sz w:val="18"/>
                <w:szCs w:val="18"/>
                <w:lang w:eastAsia="en-AU"/>
              </w:rPr>
              <w:t>27 </w:t>
            </w:r>
          </w:p>
          <w:p w14:paraId="12CB7C3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73 </w:t>
            </w:r>
          </w:p>
        </w:tc>
        <w:tc>
          <w:tcPr>
            <w:tcW w:w="780" w:type="dxa"/>
            <w:tcBorders>
              <w:top w:val="nil"/>
              <w:left w:val="nil"/>
              <w:bottom w:val="nil"/>
              <w:right w:val="nil"/>
            </w:tcBorders>
            <w:shd w:val="clear" w:color="auto" w:fill="auto"/>
            <w:hideMark/>
          </w:tcPr>
          <w:p w14:paraId="2368FB8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sz w:val="18"/>
                <w:szCs w:val="18"/>
                <w:lang w:eastAsia="en-AU"/>
              </w:rPr>
              <w:t> </w:t>
            </w:r>
          </w:p>
          <w:p w14:paraId="0D85868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sz w:val="18"/>
                <w:szCs w:val="18"/>
                <w:lang w:eastAsia="en-AU"/>
              </w:rPr>
              <w:t>7 </w:t>
            </w:r>
          </w:p>
          <w:p w14:paraId="56872D9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23 </w:t>
            </w:r>
          </w:p>
        </w:tc>
        <w:tc>
          <w:tcPr>
            <w:tcW w:w="765" w:type="dxa"/>
            <w:tcBorders>
              <w:top w:val="nil"/>
              <w:left w:val="nil"/>
              <w:bottom w:val="nil"/>
              <w:right w:val="single" w:sz="6" w:space="0" w:color="000000"/>
            </w:tcBorders>
            <w:shd w:val="clear" w:color="auto" w:fill="auto"/>
            <w:hideMark/>
          </w:tcPr>
          <w:p w14:paraId="1AEC719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sz w:val="18"/>
                <w:szCs w:val="18"/>
                <w:lang w:eastAsia="en-AU"/>
              </w:rPr>
              <w:t> </w:t>
            </w:r>
          </w:p>
          <w:p w14:paraId="7BCF6E9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sz w:val="18"/>
                <w:szCs w:val="18"/>
                <w:lang w:eastAsia="en-AU"/>
              </w:rPr>
              <w:t>23 </w:t>
            </w:r>
          </w:p>
          <w:p w14:paraId="5FD3BAC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77 </w:t>
            </w:r>
          </w:p>
        </w:tc>
      </w:tr>
      <w:tr w:rsidR="00BD530B" w:rsidRPr="008756F5" w14:paraId="61B76CD2" w14:textId="77777777" w:rsidTr="00A56C43">
        <w:trPr>
          <w:trHeight w:val="570"/>
        </w:trPr>
        <w:tc>
          <w:tcPr>
            <w:tcW w:w="3450" w:type="dxa"/>
            <w:tcBorders>
              <w:top w:val="single" w:sz="6" w:space="0" w:color="000000"/>
              <w:left w:val="single" w:sz="6" w:space="0" w:color="000000"/>
              <w:bottom w:val="single" w:sz="6" w:space="0" w:color="000000"/>
              <w:right w:val="nil"/>
            </w:tcBorders>
            <w:shd w:val="clear" w:color="auto" w:fill="auto"/>
            <w:hideMark/>
          </w:tcPr>
          <w:p w14:paraId="7FAC8300" w14:textId="77777777" w:rsidR="00BD530B" w:rsidRPr="008756F5" w:rsidRDefault="00BD530B" w:rsidP="00A56C43">
            <w:pPr>
              <w:textAlignment w:val="baseline"/>
              <w:rPr>
                <w:rFonts w:asciiTheme="minorHAnsi" w:hAnsiTheme="minorHAnsi" w:cstheme="minorHAnsi"/>
                <w:b/>
                <w:bCs/>
                <w:lang w:eastAsia="en-AU"/>
              </w:rPr>
            </w:pPr>
            <w:r w:rsidRPr="008756F5">
              <w:rPr>
                <w:rFonts w:asciiTheme="minorHAnsi" w:hAnsiTheme="minorHAnsi" w:cstheme="minorHAnsi"/>
                <w:b/>
                <w:bCs/>
                <w:color w:val="000000"/>
                <w:sz w:val="18"/>
                <w:szCs w:val="18"/>
                <w:lang w:eastAsia="en-AU"/>
              </w:rPr>
              <w:t>Benefits for consumers </w:t>
            </w:r>
          </w:p>
          <w:p w14:paraId="182A8C44" w14:textId="77777777" w:rsidR="00BD530B" w:rsidRPr="008756F5" w:rsidRDefault="00BD530B" w:rsidP="00A56C43">
            <w:pPr>
              <w:ind w:left="165"/>
              <w:textAlignment w:val="baseline"/>
              <w:rPr>
                <w:rFonts w:asciiTheme="minorHAnsi" w:hAnsiTheme="minorHAnsi" w:cstheme="minorHAnsi"/>
                <w:b/>
                <w:bCs/>
                <w:lang w:eastAsia="en-AU"/>
              </w:rPr>
            </w:pPr>
            <w:r w:rsidRPr="008756F5">
              <w:rPr>
                <w:rFonts w:asciiTheme="minorHAnsi" w:hAnsiTheme="minorHAnsi" w:cstheme="minorHAnsi"/>
                <w:sz w:val="18"/>
                <w:szCs w:val="18"/>
                <w:lang w:eastAsia="en-AU"/>
              </w:rPr>
              <w:t>Yes</w:t>
            </w:r>
            <w:r w:rsidRPr="008756F5">
              <w:rPr>
                <w:rFonts w:asciiTheme="minorHAnsi" w:hAnsiTheme="minorHAnsi" w:cstheme="minorHAnsi"/>
                <w:b/>
                <w:bCs/>
                <w:sz w:val="18"/>
                <w:szCs w:val="18"/>
                <w:lang w:eastAsia="en-AU"/>
              </w:rPr>
              <w:t> </w:t>
            </w:r>
          </w:p>
          <w:p w14:paraId="3353CA85" w14:textId="77777777" w:rsidR="00BD530B" w:rsidRPr="008756F5" w:rsidRDefault="00BD530B" w:rsidP="00A56C43">
            <w:pPr>
              <w:ind w:left="165"/>
              <w:textAlignment w:val="baseline"/>
              <w:rPr>
                <w:rFonts w:asciiTheme="minorHAnsi" w:hAnsiTheme="minorHAnsi" w:cstheme="minorHAnsi"/>
                <w:b/>
                <w:bCs/>
                <w:lang w:eastAsia="en-AU"/>
              </w:rPr>
            </w:pPr>
            <w:r w:rsidRPr="008756F5">
              <w:rPr>
                <w:rFonts w:asciiTheme="minorHAnsi" w:hAnsiTheme="minorHAnsi" w:cstheme="minorHAnsi"/>
                <w:sz w:val="18"/>
                <w:szCs w:val="18"/>
                <w:lang w:eastAsia="en-AU"/>
              </w:rPr>
              <w:t>No</w:t>
            </w:r>
            <w:r w:rsidRPr="008756F5">
              <w:rPr>
                <w:rFonts w:asciiTheme="minorHAnsi" w:hAnsiTheme="minorHAnsi" w:cstheme="minorHAnsi"/>
                <w:b/>
                <w:bCs/>
                <w:sz w:val="18"/>
                <w:szCs w:val="18"/>
                <w:lang w:eastAsia="en-AU"/>
              </w:rPr>
              <w:t> </w:t>
            </w:r>
          </w:p>
        </w:tc>
        <w:tc>
          <w:tcPr>
            <w:tcW w:w="780" w:type="dxa"/>
            <w:tcBorders>
              <w:top w:val="single" w:sz="6" w:space="0" w:color="000000"/>
              <w:left w:val="nil"/>
              <w:bottom w:val="single" w:sz="6" w:space="0" w:color="000000"/>
              <w:right w:val="nil"/>
            </w:tcBorders>
            <w:shd w:val="clear" w:color="auto" w:fill="auto"/>
            <w:hideMark/>
          </w:tcPr>
          <w:p w14:paraId="308D248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31BF7BE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8 </w:t>
            </w:r>
          </w:p>
          <w:p w14:paraId="1A01287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80" w:type="dxa"/>
            <w:tcBorders>
              <w:top w:val="single" w:sz="6" w:space="0" w:color="000000"/>
              <w:left w:val="nil"/>
              <w:bottom w:val="single" w:sz="6" w:space="0" w:color="000000"/>
              <w:right w:val="nil"/>
            </w:tcBorders>
            <w:shd w:val="clear" w:color="auto" w:fill="auto"/>
            <w:hideMark/>
          </w:tcPr>
          <w:p w14:paraId="397ACF2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376AB8A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100 </w:t>
            </w:r>
          </w:p>
          <w:p w14:paraId="143BC20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80" w:type="dxa"/>
            <w:tcBorders>
              <w:top w:val="single" w:sz="6" w:space="0" w:color="000000"/>
              <w:left w:val="nil"/>
              <w:bottom w:val="single" w:sz="6" w:space="0" w:color="000000"/>
              <w:right w:val="nil"/>
            </w:tcBorders>
            <w:shd w:val="clear" w:color="auto" w:fill="auto"/>
            <w:hideMark/>
          </w:tcPr>
          <w:p w14:paraId="53905A9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63EF517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6F14B4B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80" w:type="dxa"/>
            <w:tcBorders>
              <w:top w:val="single" w:sz="6" w:space="0" w:color="000000"/>
              <w:left w:val="nil"/>
              <w:bottom w:val="single" w:sz="6" w:space="0" w:color="000000"/>
              <w:right w:val="nil"/>
            </w:tcBorders>
            <w:shd w:val="clear" w:color="auto" w:fill="auto"/>
            <w:hideMark/>
          </w:tcPr>
          <w:p w14:paraId="0866C28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694279D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100 </w:t>
            </w:r>
          </w:p>
          <w:p w14:paraId="3649B03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80" w:type="dxa"/>
            <w:tcBorders>
              <w:top w:val="single" w:sz="6" w:space="0" w:color="000000"/>
              <w:left w:val="nil"/>
              <w:bottom w:val="single" w:sz="6" w:space="0" w:color="000000"/>
              <w:right w:val="nil"/>
            </w:tcBorders>
            <w:shd w:val="clear" w:color="auto" w:fill="auto"/>
            <w:hideMark/>
          </w:tcPr>
          <w:p w14:paraId="43F9BF7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5F3211E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14 </w:t>
            </w:r>
          </w:p>
          <w:p w14:paraId="1EE5286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tc>
        <w:tc>
          <w:tcPr>
            <w:tcW w:w="780" w:type="dxa"/>
            <w:tcBorders>
              <w:top w:val="single" w:sz="6" w:space="0" w:color="000000"/>
              <w:left w:val="nil"/>
              <w:bottom w:val="single" w:sz="6" w:space="0" w:color="000000"/>
              <w:right w:val="nil"/>
            </w:tcBorders>
            <w:shd w:val="clear" w:color="auto" w:fill="auto"/>
            <w:hideMark/>
          </w:tcPr>
          <w:p w14:paraId="584ACED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48ED80B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93 </w:t>
            </w:r>
          </w:p>
          <w:p w14:paraId="5A6EF2C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tc>
        <w:tc>
          <w:tcPr>
            <w:tcW w:w="780" w:type="dxa"/>
            <w:tcBorders>
              <w:top w:val="single" w:sz="6" w:space="0" w:color="000000"/>
              <w:left w:val="nil"/>
              <w:bottom w:val="single" w:sz="6" w:space="0" w:color="000000"/>
              <w:right w:val="nil"/>
            </w:tcBorders>
            <w:shd w:val="clear" w:color="auto" w:fill="auto"/>
            <w:hideMark/>
          </w:tcPr>
          <w:p w14:paraId="6D65568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63B61BE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29 </w:t>
            </w:r>
          </w:p>
          <w:p w14:paraId="5C59BEF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tc>
        <w:tc>
          <w:tcPr>
            <w:tcW w:w="765" w:type="dxa"/>
            <w:tcBorders>
              <w:top w:val="single" w:sz="6" w:space="0" w:color="000000"/>
              <w:left w:val="nil"/>
              <w:bottom w:val="single" w:sz="6" w:space="0" w:color="000000"/>
              <w:right w:val="single" w:sz="6" w:space="0" w:color="000000"/>
            </w:tcBorders>
            <w:shd w:val="clear" w:color="auto" w:fill="auto"/>
            <w:hideMark/>
          </w:tcPr>
          <w:p w14:paraId="79FF02B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4717CDD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97 </w:t>
            </w:r>
          </w:p>
          <w:p w14:paraId="773FB2B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tc>
      </w:tr>
      <w:tr w:rsidR="00BD530B" w:rsidRPr="008756F5" w14:paraId="1F29D00C" w14:textId="77777777" w:rsidTr="00A56C43">
        <w:trPr>
          <w:trHeight w:val="1725"/>
        </w:trPr>
        <w:tc>
          <w:tcPr>
            <w:tcW w:w="3450" w:type="dxa"/>
            <w:tcBorders>
              <w:top w:val="nil"/>
              <w:left w:val="single" w:sz="6" w:space="0" w:color="000000"/>
              <w:bottom w:val="nil"/>
              <w:right w:val="nil"/>
            </w:tcBorders>
            <w:shd w:val="clear" w:color="auto" w:fill="auto"/>
            <w:hideMark/>
          </w:tcPr>
          <w:p w14:paraId="54D68E6D" w14:textId="77777777" w:rsidR="00BD530B" w:rsidRPr="008756F5" w:rsidRDefault="00BD530B" w:rsidP="00A56C43">
            <w:pPr>
              <w:textAlignment w:val="baseline"/>
              <w:rPr>
                <w:rFonts w:asciiTheme="minorHAnsi" w:hAnsiTheme="minorHAnsi" w:cstheme="minorHAnsi"/>
                <w:b/>
                <w:bCs/>
                <w:lang w:eastAsia="en-AU"/>
              </w:rPr>
            </w:pPr>
            <w:r w:rsidRPr="008756F5">
              <w:rPr>
                <w:rFonts w:asciiTheme="minorHAnsi" w:hAnsiTheme="minorHAnsi" w:cstheme="minorHAnsi"/>
                <w:b/>
                <w:bCs/>
                <w:color w:val="000000"/>
                <w:sz w:val="18"/>
                <w:szCs w:val="18"/>
                <w:lang w:eastAsia="en-AU"/>
              </w:rPr>
              <w:t xml:space="preserve">Type of </w:t>
            </w:r>
            <w:proofErr w:type="spellStart"/>
            <w:r w:rsidRPr="008756F5">
              <w:rPr>
                <w:rFonts w:asciiTheme="minorHAnsi" w:hAnsiTheme="minorHAnsi" w:cstheme="minorHAnsi"/>
                <w:b/>
                <w:bCs/>
                <w:color w:val="000000"/>
                <w:sz w:val="18"/>
                <w:szCs w:val="18"/>
                <w:lang w:eastAsia="en-AU"/>
              </w:rPr>
              <w:t>benefits</w:t>
            </w:r>
            <w:r w:rsidRPr="008756F5">
              <w:rPr>
                <w:rFonts w:asciiTheme="minorHAnsi" w:hAnsiTheme="minorHAnsi" w:cstheme="minorHAnsi"/>
                <w:b/>
                <w:bCs/>
                <w:color w:val="000000"/>
                <w:sz w:val="14"/>
                <w:szCs w:val="14"/>
                <w:vertAlign w:val="superscript"/>
                <w:lang w:eastAsia="en-AU"/>
              </w:rPr>
              <w:t>a</w:t>
            </w:r>
            <w:proofErr w:type="spellEnd"/>
            <w:r w:rsidRPr="008756F5">
              <w:rPr>
                <w:rFonts w:asciiTheme="minorHAnsi" w:hAnsiTheme="minorHAnsi" w:cstheme="minorHAnsi"/>
                <w:b/>
                <w:bCs/>
                <w:color w:val="000000"/>
                <w:sz w:val="14"/>
                <w:szCs w:val="14"/>
                <w:lang w:eastAsia="en-AU"/>
              </w:rPr>
              <w:t> </w:t>
            </w:r>
          </w:p>
          <w:p w14:paraId="4622D925" w14:textId="77777777" w:rsidR="00BD530B" w:rsidRPr="008756F5" w:rsidRDefault="00BD530B" w:rsidP="00A56C43">
            <w:pPr>
              <w:ind w:left="165"/>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Improved convenience of care </w:t>
            </w:r>
            <w:r w:rsidRPr="008756F5">
              <w:rPr>
                <w:rFonts w:asciiTheme="minorHAnsi" w:hAnsiTheme="minorHAnsi" w:cstheme="minorHAnsi"/>
                <w:b/>
                <w:bCs/>
                <w:color w:val="000000"/>
                <w:sz w:val="18"/>
                <w:szCs w:val="18"/>
                <w:lang w:eastAsia="en-AU"/>
              </w:rPr>
              <w:t> </w:t>
            </w:r>
          </w:p>
          <w:p w14:paraId="41F12959" w14:textId="77777777" w:rsidR="00BD530B" w:rsidRPr="008756F5" w:rsidRDefault="00BD530B" w:rsidP="00A56C43">
            <w:pPr>
              <w:ind w:left="165"/>
              <w:textAlignment w:val="baseline"/>
              <w:rPr>
                <w:rFonts w:asciiTheme="minorHAnsi" w:hAnsiTheme="minorHAnsi" w:cstheme="minorHAnsi"/>
                <w:b/>
                <w:bCs/>
                <w:lang w:eastAsia="en-AU"/>
              </w:rPr>
            </w:pPr>
            <w:r w:rsidRPr="008756F5">
              <w:rPr>
                <w:rFonts w:asciiTheme="minorHAnsi" w:hAnsiTheme="minorHAnsi" w:cstheme="minorHAnsi"/>
                <w:sz w:val="18"/>
                <w:szCs w:val="18"/>
                <w:lang w:eastAsia="en-AU"/>
              </w:rPr>
              <w:t>Improved mental health wellbeing</w:t>
            </w:r>
            <w:r w:rsidRPr="008756F5">
              <w:rPr>
                <w:rFonts w:asciiTheme="minorHAnsi" w:hAnsiTheme="minorHAnsi" w:cstheme="minorHAnsi"/>
                <w:b/>
                <w:bCs/>
                <w:sz w:val="18"/>
                <w:szCs w:val="18"/>
                <w:lang w:eastAsia="en-AU"/>
              </w:rPr>
              <w:t> </w:t>
            </w:r>
          </w:p>
          <w:p w14:paraId="5BCC0B0E" w14:textId="77777777" w:rsidR="00BD530B" w:rsidRPr="008756F5" w:rsidRDefault="00BD530B" w:rsidP="00A56C43">
            <w:pPr>
              <w:ind w:left="165"/>
              <w:textAlignment w:val="baseline"/>
              <w:rPr>
                <w:rFonts w:asciiTheme="minorHAnsi" w:hAnsiTheme="minorHAnsi" w:cstheme="minorHAnsi"/>
                <w:b/>
                <w:bCs/>
                <w:lang w:eastAsia="en-AU"/>
              </w:rPr>
            </w:pPr>
            <w:r w:rsidRPr="008756F5">
              <w:rPr>
                <w:rFonts w:asciiTheme="minorHAnsi" w:hAnsiTheme="minorHAnsi" w:cstheme="minorHAnsi"/>
                <w:sz w:val="18"/>
                <w:szCs w:val="18"/>
                <w:lang w:eastAsia="en-AU"/>
              </w:rPr>
              <w:t>Improved access to care</w:t>
            </w:r>
            <w:r w:rsidRPr="008756F5">
              <w:rPr>
                <w:rFonts w:asciiTheme="minorHAnsi" w:hAnsiTheme="minorHAnsi" w:cstheme="minorHAnsi"/>
                <w:b/>
                <w:bCs/>
                <w:sz w:val="18"/>
                <w:szCs w:val="18"/>
                <w:lang w:eastAsia="en-AU"/>
              </w:rPr>
              <w:t> </w:t>
            </w:r>
          </w:p>
          <w:p w14:paraId="3DD0FC1E" w14:textId="77777777" w:rsidR="00BD530B" w:rsidRPr="008756F5" w:rsidRDefault="00BD530B" w:rsidP="00A56C43">
            <w:pPr>
              <w:ind w:left="165"/>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Reduced costs associated with care </w:t>
            </w:r>
            <w:r w:rsidRPr="008756F5">
              <w:rPr>
                <w:rFonts w:asciiTheme="minorHAnsi" w:hAnsiTheme="minorHAnsi" w:cstheme="minorHAnsi"/>
                <w:b/>
                <w:bCs/>
                <w:color w:val="000000"/>
                <w:sz w:val="18"/>
                <w:szCs w:val="18"/>
                <w:lang w:eastAsia="en-AU"/>
              </w:rPr>
              <w:t> </w:t>
            </w:r>
          </w:p>
          <w:p w14:paraId="1564D12F" w14:textId="77777777" w:rsidR="00BD530B" w:rsidRPr="008756F5" w:rsidRDefault="00BD530B" w:rsidP="00A56C43">
            <w:pPr>
              <w:ind w:left="165"/>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Improved waiting times for services</w:t>
            </w:r>
            <w:r w:rsidRPr="008756F5">
              <w:rPr>
                <w:rFonts w:asciiTheme="minorHAnsi" w:hAnsiTheme="minorHAnsi" w:cstheme="minorHAnsi"/>
                <w:b/>
                <w:bCs/>
                <w:color w:val="000000"/>
                <w:sz w:val="18"/>
                <w:szCs w:val="18"/>
                <w:lang w:eastAsia="en-AU"/>
              </w:rPr>
              <w:t> </w:t>
            </w:r>
          </w:p>
          <w:p w14:paraId="57B9BA16" w14:textId="77777777" w:rsidR="00BD530B" w:rsidRPr="008756F5" w:rsidRDefault="00BD530B" w:rsidP="00A56C43">
            <w:pPr>
              <w:ind w:left="165"/>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Improved privacy</w:t>
            </w:r>
            <w:r w:rsidRPr="008756F5">
              <w:rPr>
                <w:rFonts w:asciiTheme="minorHAnsi" w:hAnsiTheme="minorHAnsi" w:cstheme="minorHAnsi"/>
                <w:b/>
                <w:bCs/>
                <w:color w:val="000000"/>
                <w:sz w:val="18"/>
                <w:szCs w:val="18"/>
                <w:lang w:eastAsia="en-AU"/>
              </w:rPr>
              <w:t> </w:t>
            </w:r>
          </w:p>
          <w:p w14:paraId="0B24B8CF" w14:textId="77777777" w:rsidR="00BD530B" w:rsidRPr="008756F5" w:rsidRDefault="00BD530B" w:rsidP="00A56C43">
            <w:pPr>
              <w:ind w:left="165"/>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Other</w:t>
            </w:r>
            <w:r w:rsidRPr="008756F5">
              <w:rPr>
                <w:rFonts w:asciiTheme="minorHAnsi" w:hAnsiTheme="minorHAnsi" w:cstheme="minorHAnsi"/>
                <w:b/>
                <w:bCs/>
                <w:color w:val="000000"/>
                <w:sz w:val="18"/>
                <w:szCs w:val="18"/>
                <w:lang w:eastAsia="en-AU"/>
              </w:rPr>
              <w:t> </w:t>
            </w:r>
          </w:p>
        </w:tc>
        <w:tc>
          <w:tcPr>
            <w:tcW w:w="780" w:type="dxa"/>
            <w:tcBorders>
              <w:top w:val="nil"/>
              <w:left w:val="nil"/>
              <w:bottom w:val="nil"/>
              <w:right w:val="nil"/>
            </w:tcBorders>
            <w:shd w:val="clear" w:color="auto" w:fill="auto"/>
            <w:hideMark/>
          </w:tcPr>
          <w:p w14:paraId="1AD2965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1BDF84B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68F24D6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3290066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6 </w:t>
            </w:r>
          </w:p>
          <w:p w14:paraId="5A51F6F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6 </w:t>
            </w:r>
          </w:p>
          <w:p w14:paraId="157CCE0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5 </w:t>
            </w:r>
          </w:p>
          <w:p w14:paraId="6FF9C4E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5C02C4C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80" w:type="dxa"/>
            <w:tcBorders>
              <w:top w:val="nil"/>
              <w:left w:val="nil"/>
              <w:bottom w:val="nil"/>
              <w:right w:val="nil"/>
            </w:tcBorders>
            <w:shd w:val="clear" w:color="auto" w:fill="auto"/>
            <w:hideMark/>
          </w:tcPr>
          <w:p w14:paraId="7142F1D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3045654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88 </w:t>
            </w:r>
          </w:p>
          <w:p w14:paraId="714B456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88 </w:t>
            </w:r>
          </w:p>
          <w:p w14:paraId="6FB2A73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75 </w:t>
            </w:r>
          </w:p>
          <w:p w14:paraId="33C582F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75 </w:t>
            </w:r>
          </w:p>
          <w:p w14:paraId="3B3EB23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63 </w:t>
            </w:r>
          </w:p>
          <w:p w14:paraId="6F4802C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389F96D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80" w:type="dxa"/>
            <w:tcBorders>
              <w:top w:val="nil"/>
              <w:left w:val="nil"/>
              <w:bottom w:val="nil"/>
              <w:right w:val="nil"/>
            </w:tcBorders>
            <w:shd w:val="clear" w:color="auto" w:fill="auto"/>
            <w:hideMark/>
          </w:tcPr>
          <w:p w14:paraId="5D6A640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558C945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0D24D7F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597D848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6 </w:t>
            </w:r>
          </w:p>
          <w:p w14:paraId="3F51330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291FC8D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4369DC5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6 </w:t>
            </w:r>
          </w:p>
          <w:p w14:paraId="4F37D55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80" w:type="dxa"/>
            <w:tcBorders>
              <w:top w:val="nil"/>
              <w:left w:val="nil"/>
              <w:bottom w:val="nil"/>
              <w:right w:val="nil"/>
            </w:tcBorders>
            <w:shd w:val="clear" w:color="auto" w:fill="auto"/>
            <w:hideMark/>
          </w:tcPr>
          <w:p w14:paraId="2BFF761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02623F4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100 </w:t>
            </w:r>
          </w:p>
          <w:p w14:paraId="0E214D8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100 </w:t>
            </w:r>
          </w:p>
          <w:p w14:paraId="2EA6D36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86 </w:t>
            </w:r>
          </w:p>
          <w:p w14:paraId="51093E8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100 </w:t>
            </w:r>
          </w:p>
          <w:p w14:paraId="6AB1BE8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100 </w:t>
            </w:r>
          </w:p>
          <w:p w14:paraId="3FE62A7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86 </w:t>
            </w:r>
          </w:p>
          <w:p w14:paraId="7BF6E0C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80" w:type="dxa"/>
            <w:tcBorders>
              <w:top w:val="nil"/>
              <w:left w:val="nil"/>
              <w:bottom w:val="nil"/>
              <w:right w:val="nil"/>
            </w:tcBorders>
            <w:shd w:val="clear" w:color="auto" w:fill="auto"/>
            <w:hideMark/>
          </w:tcPr>
          <w:p w14:paraId="491A272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0B5DF75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14 </w:t>
            </w:r>
          </w:p>
          <w:p w14:paraId="2EE6801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p w14:paraId="5BCD217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p w14:paraId="678998A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12 </w:t>
            </w:r>
          </w:p>
          <w:p w14:paraId="24B281B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10 </w:t>
            </w:r>
          </w:p>
          <w:p w14:paraId="6F26CF5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8 </w:t>
            </w:r>
          </w:p>
          <w:p w14:paraId="3EEC837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5 </w:t>
            </w:r>
          </w:p>
        </w:tc>
        <w:tc>
          <w:tcPr>
            <w:tcW w:w="780" w:type="dxa"/>
            <w:tcBorders>
              <w:top w:val="nil"/>
              <w:left w:val="nil"/>
              <w:bottom w:val="nil"/>
              <w:right w:val="nil"/>
            </w:tcBorders>
            <w:shd w:val="clear" w:color="auto" w:fill="auto"/>
            <w:hideMark/>
          </w:tcPr>
          <w:p w14:paraId="127B22E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18F6A8C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93 </w:t>
            </w:r>
          </w:p>
          <w:p w14:paraId="49B577E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87 </w:t>
            </w:r>
          </w:p>
          <w:p w14:paraId="51C5360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87 </w:t>
            </w:r>
          </w:p>
          <w:p w14:paraId="15B5857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80 </w:t>
            </w:r>
          </w:p>
          <w:p w14:paraId="6FCE6D3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67 </w:t>
            </w:r>
          </w:p>
          <w:p w14:paraId="5D41A7C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53 </w:t>
            </w:r>
          </w:p>
          <w:p w14:paraId="3ACE8FC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33 </w:t>
            </w:r>
          </w:p>
        </w:tc>
        <w:tc>
          <w:tcPr>
            <w:tcW w:w="780" w:type="dxa"/>
            <w:tcBorders>
              <w:top w:val="nil"/>
              <w:left w:val="nil"/>
              <w:bottom w:val="nil"/>
              <w:right w:val="nil"/>
            </w:tcBorders>
            <w:shd w:val="clear" w:color="auto" w:fill="auto"/>
            <w:hideMark/>
          </w:tcPr>
          <w:p w14:paraId="216EA34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2C79C5E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28 </w:t>
            </w:r>
          </w:p>
          <w:p w14:paraId="56AA588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27 </w:t>
            </w:r>
          </w:p>
          <w:p w14:paraId="6014226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25 </w:t>
            </w:r>
          </w:p>
          <w:p w14:paraId="7F792CB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25 </w:t>
            </w:r>
          </w:p>
          <w:p w14:paraId="66B69F5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22 </w:t>
            </w:r>
          </w:p>
          <w:p w14:paraId="070B7B2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14 </w:t>
            </w:r>
          </w:p>
          <w:p w14:paraId="5E7FBFD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5 </w:t>
            </w:r>
          </w:p>
        </w:tc>
        <w:tc>
          <w:tcPr>
            <w:tcW w:w="765" w:type="dxa"/>
            <w:tcBorders>
              <w:top w:val="nil"/>
              <w:left w:val="nil"/>
              <w:bottom w:val="nil"/>
              <w:right w:val="single" w:sz="6" w:space="0" w:color="000000"/>
            </w:tcBorders>
            <w:shd w:val="clear" w:color="auto" w:fill="auto"/>
            <w:hideMark/>
          </w:tcPr>
          <w:p w14:paraId="65EF519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291976A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93 </w:t>
            </w:r>
          </w:p>
          <w:p w14:paraId="50E8CC7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90 </w:t>
            </w:r>
          </w:p>
          <w:p w14:paraId="0DF9B4A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83 </w:t>
            </w:r>
          </w:p>
          <w:p w14:paraId="3F93101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83 </w:t>
            </w:r>
          </w:p>
          <w:p w14:paraId="07DD953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73 </w:t>
            </w:r>
          </w:p>
          <w:p w14:paraId="5AB1CAF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47 </w:t>
            </w:r>
          </w:p>
          <w:p w14:paraId="71C49F8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17 </w:t>
            </w:r>
          </w:p>
        </w:tc>
      </w:tr>
      <w:tr w:rsidR="00BD530B" w:rsidRPr="008756F5" w14:paraId="73D42E51" w14:textId="77777777" w:rsidTr="00A56C43">
        <w:trPr>
          <w:trHeight w:val="660"/>
        </w:trPr>
        <w:tc>
          <w:tcPr>
            <w:tcW w:w="3450" w:type="dxa"/>
            <w:tcBorders>
              <w:top w:val="single" w:sz="6" w:space="0" w:color="000000"/>
              <w:left w:val="single" w:sz="6" w:space="0" w:color="000000"/>
              <w:bottom w:val="single" w:sz="6" w:space="0" w:color="000000"/>
              <w:right w:val="nil"/>
            </w:tcBorders>
            <w:shd w:val="clear" w:color="auto" w:fill="auto"/>
            <w:hideMark/>
          </w:tcPr>
          <w:p w14:paraId="221F1E86" w14:textId="77777777" w:rsidR="00BD530B" w:rsidRPr="008756F5" w:rsidRDefault="00BD530B" w:rsidP="00A56C43">
            <w:pPr>
              <w:textAlignment w:val="baseline"/>
              <w:rPr>
                <w:rFonts w:asciiTheme="minorHAnsi" w:hAnsiTheme="minorHAnsi" w:cstheme="minorHAnsi"/>
                <w:b/>
                <w:bCs/>
                <w:lang w:eastAsia="en-AU"/>
              </w:rPr>
            </w:pPr>
            <w:r w:rsidRPr="008756F5">
              <w:rPr>
                <w:rFonts w:asciiTheme="minorHAnsi" w:hAnsiTheme="minorHAnsi" w:cstheme="minorHAnsi"/>
                <w:b/>
                <w:bCs/>
                <w:color w:val="000000"/>
                <w:sz w:val="18"/>
                <w:szCs w:val="18"/>
                <w:lang w:eastAsia="en-AU"/>
              </w:rPr>
              <w:t>Negative impacts on consumers </w:t>
            </w:r>
          </w:p>
          <w:p w14:paraId="1EE2BD12" w14:textId="77777777" w:rsidR="00BD530B" w:rsidRPr="008756F5" w:rsidRDefault="00BD530B" w:rsidP="00A56C43">
            <w:pPr>
              <w:ind w:left="165"/>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Yes</w:t>
            </w:r>
            <w:r w:rsidRPr="008756F5">
              <w:rPr>
                <w:rFonts w:asciiTheme="minorHAnsi" w:hAnsiTheme="minorHAnsi" w:cstheme="minorHAnsi"/>
                <w:b/>
                <w:bCs/>
                <w:color w:val="000000"/>
                <w:sz w:val="18"/>
                <w:szCs w:val="18"/>
                <w:lang w:eastAsia="en-AU"/>
              </w:rPr>
              <w:t> </w:t>
            </w:r>
          </w:p>
          <w:p w14:paraId="7B7C0C77" w14:textId="77777777" w:rsidR="00BD530B" w:rsidRPr="008756F5" w:rsidRDefault="00BD530B" w:rsidP="00A56C43">
            <w:pPr>
              <w:ind w:left="165"/>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No</w:t>
            </w:r>
            <w:r w:rsidRPr="008756F5">
              <w:rPr>
                <w:rFonts w:asciiTheme="minorHAnsi" w:hAnsiTheme="minorHAnsi" w:cstheme="minorHAnsi"/>
                <w:b/>
                <w:bCs/>
                <w:color w:val="000000"/>
                <w:sz w:val="18"/>
                <w:szCs w:val="18"/>
                <w:lang w:eastAsia="en-AU"/>
              </w:rPr>
              <w:t> </w:t>
            </w:r>
          </w:p>
        </w:tc>
        <w:tc>
          <w:tcPr>
            <w:tcW w:w="780" w:type="dxa"/>
            <w:tcBorders>
              <w:top w:val="single" w:sz="6" w:space="0" w:color="000000"/>
              <w:left w:val="nil"/>
              <w:bottom w:val="single" w:sz="6" w:space="0" w:color="000000"/>
              <w:right w:val="nil"/>
            </w:tcBorders>
            <w:shd w:val="clear" w:color="auto" w:fill="auto"/>
            <w:hideMark/>
          </w:tcPr>
          <w:p w14:paraId="60F7228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03F43AB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2 </w:t>
            </w:r>
          </w:p>
          <w:p w14:paraId="4B7DFFC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6 </w:t>
            </w:r>
          </w:p>
        </w:tc>
        <w:tc>
          <w:tcPr>
            <w:tcW w:w="780" w:type="dxa"/>
            <w:tcBorders>
              <w:top w:val="single" w:sz="6" w:space="0" w:color="000000"/>
              <w:left w:val="nil"/>
              <w:bottom w:val="single" w:sz="6" w:space="0" w:color="000000"/>
              <w:right w:val="nil"/>
            </w:tcBorders>
            <w:shd w:val="clear" w:color="auto" w:fill="auto"/>
            <w:hideMark/>
          </w:tcPr>
          <w:p w14:paraId="3BCA926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655FE8E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25 </w:t>
            </w:r>
          </w:p>
          <w:p w14:paraId="2B763A6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75 </w:t>
            </w:r>
          </w:p>
        </w:tc>
        <w:tc>
          <w:tcPr>
            <w:tcW w:w="780" w:type="dxa"/>
            <w:tcBorders>
              <w:top w:val="single" w:sz="6" w:space="0" w:color="000000"/>
              <w:left w:val="nil"/>
              <w:bottom w:val="single" w:sz="6" w:space="0" w:color="000000"/>
              <w:right w:val="nil"/>
            </w:tcBorders>
            <w:shd w:val="clear" w:color="auto" w:fill="auto"/>
            <w:hideMark/>
          </w:tcPr>
          <w:p w14:paraId="71AAAD5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3BC910D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2B96E18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tc>
        <w:tc>
          <w:tcPr>
            <w:tcW w:w="780" w:type="dxa"/>
            <w:tcBorders>
              <w:top w:val="single" w:sz="6" w:space="0" w:color="000000"/>
              <w:left w:val="nil"/>
              <w:bottom w:val="single" w:sz="6" w:space="0" w:color="000000"/>
              <w:right w:val="nil"/>
            </w:tcBorders>
            <w:shd w:val="clear" w:color="auto" w:fill="auto"/>
            <w:hideMark/>
          </w:tcPr>
          <w:p w14:paraId="56574D2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6E37280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55079F7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tc>
        <w:tc>
          <w:tcPr>
            <w:tcW w:w="780" w:type="dxa"/>
            <w:tcBorders>
              <w:top w:val="single" w:sz="6" w:space="0" w:color="000000"/>
              <w:left w:val="nil"/>
              <w:bottom w:val="single" w:sz="6" w:space="0" w:color="000000"/>
              <w:right w:val="nil"/>
            </w:tcBorders>
            <w:shd w:val="clear" w:color="auto" w:fill="auto"/>
            <w:hideMark/>
          </w:tcPr>
          <w:p w14:paraId="207D42B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00753FF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p w14:paraId="2D22FC1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12 </w:t>
            </w:r>
          </w:p>
        </w:tc>
        <w:tc>
          <w:tcPr>
            <w:tcW w:w="780" w:type="dxa"/>
            <w:tcBorders>
              <w:top w:val="single" w:sz="6" w:space="0" w:color="000000"/>
              <w:left w:val="nil"/>
              <w:bottom w:val="single" w:sz="6" w:space="0" w:color="000000"/>
              <w:right w:val="nil"/>
            </w:tcBorders>
            <w:shd w:val="clear" w:color="auto" w:fill="auto"/>
            <w:hideMark/>
          </w:tcPr>
          <w:p w14:paraId="322E85C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3DD007B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20 </w:t>
            </w:r>
          </w:p>
          <w:p w14:paraId="70C3D6F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80 </w:t>
            </w:r>
          </w:p>
        </w:tc>
        <w:tc>
          <w:tcPr>
            <w:tcW w:w="780" w:type="dxa"/>
            <w:tcBorders>
              <w:top w:val="single" w:sz="6" w:space="0" w:color="000000"/>
              <w:left w:val="nil"/>
              <w:bottom w:val="single" w:sz="6" w:space="0" w:color="000000"/>
              <w:right w:val="nil"/>
            </w:tcBorders>
            <w:shd w:val="clear" w:color="auto" w:fill="auto"/>
            <w:hideMark/>
          </w:tcPr>
          <w:p w14:paraId="2419E89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10FBD6D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5 </w:t>
            </w:r>
          </w:p>
          <w:p w14:paraId="286D0F7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25 </w:t>
            </w:r>
          </w:p>
        </w:tc>
        <w:tc>
          <w:tcPr>
            <w:tcW w:w="765" w:type="dxa"/>
            <w:tcBorders>
              <w:top w:val="single" w:sz="6" w:space="0" w:color="000000"/>
              <w:left w:val="nil"/>
              <w:bottom w:val="single" w:sz="6" w:space="0" w:color="000000"/>
              <w:right w:val="single" w:sz="6" w:space="0" w:color="000000"/>
            </w:tcBorders>
            <w:shd w:val="clear" w:color="auto" w:fill="auto"/>
            <w:hideMark/>
          </w:tcPr>
          <w:p w14:paraId="7AF6B4D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6583DAC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17 </w:t>
            </w:r>
          </w:p>
          <w:p w14:paraId="0E6C826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83 </w:t>
            </w:r>
          </w:p>
        </w:tc>
      </w:tr>
      <w:tr w:rsidR="00BD530B" w:rsidRPr="008756F5" w14:paraId="787E88C9" w14:textId="77777777" w:rsidTr="00A56C43">
        <w:trPr>
          <w:trHeight w:val="1125"/>
        </w:trPr>
        <w:tc>
          <w:tcPr>
            <w:tcW w:w="3450" w:type="dxa"/>
            <w:tcBorders>
              <w:top w:val="single" w:sz="6" w:space="0" w:color="000000"/>
              <w:left w:val="single" w:sz="6" w:space="0" w:color="000000"/>
              <w:bottom w:val="single" w:sz="4" w:space="0" w:color="auto"/>
              <w:right w:val="nil"/>
            </w:tcBorders>
            <w:shd w:val="clear" w:color="auto" w:fill="auto"/>
            <w:hideMark/>
          </w:tcPr>
          <w:p w14:paraId="2E01C566" w14:textId="77777777" w:rsidR="00BD530B" w:rsidRPr="008756F5" w:rsidRDefault="00BD530B" w:rsidP="00A56C43">
            <w:pPr>
              <w:textAlignment w:val="baseline"/>
              <w:rPr>
                <w:rFonts w:asciiTheme="minorHAnsi" w:hAnsiTheme="minorHAnsi" w:cstheme="minorHAnsi"/>
                <w:b/>
                <w:bCs/>
                <w:lang w:eastAsia="en-AU"/>
              </w:rPr>
            </w:pPr>
            <w:r w:rsidRPr="008756F5">
              <w:rPr>
                <w:rFonts w:asciiTheme="minorHAnsi" w:hAnsiTheme="minorHAnsi" w:cstheme="minorHAnsi"/>
                <w:b/>
                <w:bCs/>
                <w:color w:val="000000"/>
                <w:sz w:val="18"/>
                <w:szCs w:val="18"/>
                <w:lang w:eastAsia="en-AU"/>
              </w:rPr>
              <w:t xml:space="preserve">Types of negative </w:t>
            </w:r>
            <w:proofErr w:type="spellStart"/>
            <w:r w:rsidRPr="008756F5">
              <w:rPr>
                <w:rFonts w:asciiTheme="minorHAnsi" w:hAnsiTheme="minorHAnsi" w:cstheme="minorHAnsi"/>
                <w:b/>
                <w:bCs/>
                <w:color w:val="000000"/>
                <w:sz w:val="18"/>
                <w:szCs w:val="18"/>
                <w:lang w:eastAsia="en-AU"/>
              </w:rPr>
              <w:t>impacts</w:t>
            </w:r>
            <w:r w:rsidRPr="008756F5">
              <w:rPr>
                <w:rFonts w:asciiTheme="minorHAnsi" w:hAnsiTheme="minorHAnsi" w:cstheme="minorHAnsi"/>
                <w:b/>
                <w:bCs/>
                <w:color w:val="000000"/>
                <w:sz w:val="14"/>
                <w:szCs w:val="14"/>
                <w:vertAlign w:val="superscript"/>
                <w:lang w:eastAsia="en-AU"/>
              </w:rPr>
              <w:t>a</w:t>
            </w:r>
            <w:proofErr w:type="spellEnd"/>
            <w:r w:rsidRPr="008756F5">
              <w:rPr>
                <w:rFonts w:asciiTheme="minorHAnsi" w:hAnsiTheme="minorHAnsi" w:cstheme="minorHAnsi"/>
                <w:b/>
                <w:bCs/>
                <w:color w:val="000000"/>
                <w:sz w:val="14"/>
                <w:szCs w:val="14"/>
                <w:lang w:eastAsia="en-AU"/>
              </w:rPr>
              <w:t> </w:t>
            </w:r>
          </w:p>
          <w:p w14:paraId="14FEAA28" w14:textId="77777777" w:rsidR="00BD530B" w:rsidRPr="008756F5" w:rsidRDefault="00BD530B" w:rsidP="00A56C43">
            <w:pPr>
              <w:ind w:left="165"/>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Not getting the level of care they need</w:t>
            </w:r>
            <w:r w:rsidRPr="008756F5">
              <w:rPr>
                <w:rFonts w:asciiTheme="minorHAnsi" w:hAnsiTheme="minorHAnsi" w:cstheme="minorHAnsi"/>
                <w:b/>
                <w:bCs/>
                <w:color w:val="000000"/>
                <w:sz w:val="18"/>
                <w:szCs w:val="18"/>
                <w:lang w:eastAsia="en-AU"/>
              </w:rPr>
              <w:t> </w:t>
            </w:r>
          </w:p>
          <w:p w14:paraId="08D27AAE" w14:textId="77777777" w:rsidR="00BD530B" w:rsidRPr="008756F5" w:rsidRDefault="00BD530B" w:rsidP="00A56C43">
            <w:pPr>
              <w:ind w:left="165"/>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DMHS isolating for consumers</w:t>
            </w:r>
            <w:r w:rsidRPr="008756F5">
              <w:rPr>
                <w:rFonts w:asciiTheme="minorHAnsi" w:hAnsiTheme="minorHAnsi" w:cstheme="minorHAnsi"/>
                <w:b/>
                <w:bCs/>
                <w:color w:val="000000"/>
                <w:sz w:val="18"/>
                <w:szCs w:val="18"/>
                <w:lang w:eastAsia="en-AU"/>
              </w:rPr>
              <w:t> </w:t>
            </w:r>
          </w:p>
          <w:p w14:paraId="0DB916E4" w14:textId="77777777" w:rsidR="00BD530B" w:rsidRPr="008756F5" w:rsidRDefault="00BD530B" w:rsidP="00A56C43">
            <w:pPr>
              <w:ind w:left="165"/>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Dropping out of care</w:t>
            </w:r>
            <w:r w:rsidRPr="008756F5">
              <w:rPr>
                <w:rFonts w:asciiTheme="minorHAnsi" w:hAnsiTheme="minorHAnsi" w:cstheme="minorHAnsi"/>
                <w:b/>
                <w:bCs/>
                <w:color w:val="000000"/>
                <w:sz w:val="18"/>
                <w:szCs w:val="18"/>
                <w:lang w:eastAsia="en-AU"/>
              </w:rPr>
              <w:t> </w:t>
            </w:r>
          </w:p>
          <w:p w14:paraId="10AFECB7" w14:textId="77777777" w:rsidR="00BD530B" w:rsidRPr="008756F5" w:rsidRDefault="00BD530B" w:rsidP="00A56C43">
            <w:pPr>
              <w:ind w:left="165"/>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Other</w:t>
            </w:r>
            <w:r w:rsidRPr="008756F5">
              <w:rPr>
                <w:rFonts w:asciiTheme="minorHAnsi" w:hAnsiTheme="minorHAnsi" w:cstheme="minorHAnsi"/>
                <w:b/>
                <w:bCs/>
                <w:color w:val="000000"/>
                <w:sz w:val="18"/>
                <w:szCs w:val="18"/>
                <w:lang w:eastAsia="en-AU"/>
              </w:rPr>
              <w:t>  </w:t>
            </w:r>
          </w:p>
        </w:tc>
        <w:tc>
          <w:tcPr>
            <w:tcW w:w="780" w:type="dxa"/>
            <w:tcBorders>
              <w:top w:val="single" w:sz="6" w:space="0" w:color="000000"/>
              <w:left w:val="nil"/>
              <w:bottom w:val="single" w:sz="4" w:space="0" w:color="auto"/>
              <w:right w:val="nil"/>
            </w:tcBorders>
            <w:shd w:val="clear" w:color="auto" w:fill="auto"/>
            <w:hideMark/>
          </w:tcPr>
          <w:p w14:paraId="4818F1A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7FFCB22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2 </w:t>
            </w:r>
          </w:p>
          <w:p w14:paraId="1C4C158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2DE2CA4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2 </w:t>
            </w:r>
          </w:p>
          <w:p w14:paraId="70764D9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80" w:type="dxa"/>
            <w:tcBorders>
              <w:top w:val="single" w:sz="6" w:space="0" w:color="000000"/>
              <w:left w:val="nil"/>
              <w:bottom w:val="single" w:sz="4" w:space="0" w:color="auto"/>
              <w:right w:val="nil"/>
            </w:tcBorders>
            <w:shd w:val="clear" w:color="auto" w:fill="auto"/>
            <w:hideMark/>
          </w:tcPr>
          <w:p w14:paraId="058BB79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5C0E903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25 </w:t>
            </w:r>
          </w:p>
          <w:p w14:paraId="35C06E7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p w14:paraId="3259CFA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25 </w:t>
            </w:r>
          </w:p>
          <w:p w14:paraId="3A80E58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80" w:type="dxa"/>
            <w:tcBorders>
              <w:top w:val="single" w:sz="6" w:space="0" w:color="000000"/>
              <w:left w:val="nil"/>
              <w:bottom w:val="single" w:sz="4" w:space="0" w:color="auto"/>
              <w:right w:val="nil"/>
            </w:tcBorders>
            <w:shd w:val="clear" w:color="auto" w:fill="auto"/>
            <w:hideMark/>
          </w:tcPr>
          <w:p w14:paraId="7DF2696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57C2437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52A3557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5F13A92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104C0F1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80" w:type="dxa"/>
            <w:tcBorders>
              <w:top w:val="single" w:sz="6" w:space="0" w:color="000000"/>
              <w:left w:val="nil"/>
              <w:bottom w:val="single" w:sz="4" w:space="0" w:color="auto"/>
              <w:right w:val="nil"/>
            </w:tcBorders>
            <w:shd w:val="clear" w:color="auto" w:fill="auto"/>
            <w:hideMark/>
          </w:tcPr>
          <w:p w14:paraId="50EC80E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1C19448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1066D48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53F2E3B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28173D6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80" w:type="dxa"/>
            <w:tcBorders>
              <w:top w:val="single" w:sz="6" w:space="0" w:color="000000"/>
              <w:left w:val="nil"/>
              <w:bottom w:val="single" w:sz="4" w:space="0" w:color="auto"/>
              <w:right w:val="nil"/>
            </w:tcBorders>
            <w:shd w:val="clear" w:color="auto" w:fill="auto"/>
            <w:hideMark/>
          </w:tcPr>
          <w:p w14:paraId="1E9A477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1FB3A36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499068B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440E9E4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7FDA190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tc>
        <w:tc>
          <w:tcPr>
            <w:tcW w:w="780" w:type="dxa"/>
            <w:tcBorders>
              <w:top w:val="single" w:sz="6" w:space="0" w:color="000000"/>
              <w:left w:val="nil"/>
              <w:bottom w:val="single" w:sz="4" w:space="0" w:color="auto"/>
              <w:right w:val="nil"/>
            </w:tcBorders>
            <w:shd w:val="clear" w:color="auto" w:fill="auto"/>
            <w:hideMark/>
          </w:tcPr>
          <w:p w14:paraId="6CFEED3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0ADF68D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37C6D94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628B31D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1104014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20 </w:t>
            </w:r>
          </w:p>
        </w:tc>
        <w:tc>
          <w:tcPr>
            <w:tcW w:w="780" w:type="dxa"/>
            <w:tcBorders>
              <w:top w:val="single" w:sz="6" w:space="0" w:color="000000"/>
              <w:left w:val="nil"/>
              <w:bottom w:val="single" w:sz="4" w:space="0" w:color="auto"/>
              <w:right w:val="nil"/>
            </w:tcBorders>
            <w:shd w:val="clear" w:color="auto" w:fill="auto"/>
            <w:hideMark/>
          </w:tcPr>
          <w:p w14:paraId="61B1405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67FEB4C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2 </w:t>
            </w:r>
          </w:p>
          <w:p w14:paraId="316B233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2 </w:t>
            </w:r>
          </w:p>
          <w:p w14:paraId="7631FF4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p w14:paraId="771AC63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tc>
        <w:tc>
          <w:tcPr>
            <w:tcW w:w="765" w:type="dxa"/>
            <w:tcBorders>
              <w:top w:val="single" w:sz="6" w:space="0" w:color="000000"/>
              <w:left w:val="nil"/>
              <w:bottom w:val="single" w:sz="4" w:space="0" w:color="auto"/>
              <w:right w:val="single" w:sz="6" w:space="0" w:color="000000"/>
            </w:tcBorders>
            <w:shd w:val="clear" w:color="auto" w:fill="auto"/>
            <w:hideMark/>
          </w:tcPr>
          <w:p w14:paraId="5932349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7619841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4BEE29E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0ACA1C9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10 </w:t>
            </w:r>
          </w:p>
          <w:p w14:paraId="06B8BED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10 </w:t>
            </w:r>
          </w:p>
        </w:tc>
      </w:tr>
    </w:tbl>
    <w:p w14:paraId="29526DD3" w14:textId="77777777" w:rsidR="00BD530B" w:rsidRPr="008756F5" w:rsidRDefault="00BD530B" w:rsidP="00BD530B">
      <w:pPr>
        <w:textAlignment w:val="baseline"/>
        <w:rPr>
          <w:rFonts w:asciiTheme="minorHAnsi" w:hAnsiTheme="minorHAnsi" w:cstheme="minorHAnsi"/>
          <w:sz w:val="16"/>
          <w:szCs w:val="16"/>
          <w:lang w:eastAsia="en-AU"/>
        </w:rPr>
      </w:pPr>
      <w:r w:rsidRPr="008756F5">
        <w:rPr>
          <w:rFonts w:asciiTheme="minorHAnsi" w:hAnsiTheme="minorHAnsi" w:cstheme="minorHAnsi"/>
          <w:sz w:val="16"/>
          <w:szCs w:val="16"/>
          <w:lang w:eastAsia="en-AU"/>
        </w:rPr>
        <w:t xml:space="preserve">MHO, Mental Health Online; MS, </w:t>
      </w:r>
      <w:proofErr w:type="spellStart"/>
      <w:r w:rsidRPr="008756F5">
        <w:rPr>
          <w:rFonts w:asciiTheme="minorHAnsi" w:hAnsiTheme="minorHAnsi" w:cstheme="minorHAnsi"/>
          <w:color w:val="000000"/>
          <w:sz w:val="16"/>
          <w:szCs w:val="16"/>
          <w:lang w:eastAsia="en-AU"/>
        </w:rPr>
        <w:t>MindSpot</w:t>
      </w:r>
      <w:proofErr w:type="spellEnd"/>
      <w:r w:rsidRPr="008756F5">
        <w:rPr>
          <w:rFonts w:asciiTheme="minorHAnsi" w:hAnsiTheme="minorHAnsi" w:cstheme="minorHAnsi"/>
          <w:color w:val="000000"/>
          <w:sz w:val="16"/>
          <w:szCs w:val="16"/>
          <w:lang w:eastAsia="en-AU"/>
        </w:rPr>
        <w:t xml:space="preserve">; </w:t>
      </w:r>
      <w:r w:rsidRPr="008756F5">
        <w:rPr>
          <w:rFonts w:asciiTheme="minorHAnsi" w:hAnsiTheme="minorHAnsi" w:cstheme="minorHAnsi"/>
          <w:sz w:val="16"/>
          <w:szCs w:val="16"/>
          <w:lang w:eastAsia="en-AU"/>
        </w:rPr>
        <w:t xml:space="preserve">TWU, </w:t>
      </w:r>
      <w:r w:rsidRPr="008756F5">
        <w:rPr>
          <w:rFonts w:asciiTheme="minorHAnsi" w:hAnsiTheme="minorHAnsi" w:cstheme="minorHAnsi"/>
          <w:color w:val="000000"/>
          <w:sz w:val="16"/>
          <w:szCs w:val="16"/>
          <w:lang w:eastAsia="en-AU"/>
        </w:rPr>
        <w:t>THIS WAY UP.</w:t>
      </w:r>
    </w:p>
    <w:p w14:paraId="5A4BF338" w14:textId="77777777" w:rsidR="00BD530B" w:rsidRPr="008756F5" w:rsidRDefault="00BD530B" w:rsidP="00812B63">
      <w:pPr>
        <w:spacing w:after="240"/>
        <w:textAlignment w:val="baseline"/>
        <w:rPr>
          <w:rFonts w:asciiTheme="minorHAnsi" w:hAnsiTheme="minorHAnsi" w:cstheme="minorHAnsi"/>
          <w:sz w:val="16"/>
          <w:szCs w:val="16"/>
          <w:lang w:eastAsia="en-AU"/>
        </w:rPr>
      </w:pPr>
      <w:proofErr w:type="spellStart"/>
      <w:r w:rsidRPr="008756F5">
        <w:rPr>
          <w:rFonts w:asciiTheme="minorHAnsi" w:hAnsiTheme="minorHAnsi" w:cstheme="minorHAnsi"/>
          <w:color w:val="000000"/>
          <w:sz w:val="16"/>
          <w:szCs w:val="16"/>
          <w:vertAlign w:val="superscript"/>
          <w:lang w:eastAsia="en-AU"/>
        </w:rPr>
        <w:t>a</w:t>
      </w:r>
      <w:r w:rsidRPr="008756F5">
        <w:rPr>
          <w:rFonts w:asciiTheme="minorHAnsi" w:hAnsiTheme="minorHAnsi" w:cstheme="minorHAnsi"/>
          <w:sz w:val="16"/>
          <w:szCs w:val="16"/>
          <w:lang w:eastAsia="en-AU"/>
        </w:rPr>
        <w:t>Multiple</w:t>
      </w:r>
      <w:proofErr w:type="spellEnd"/>
      <w:r w:rsidRPr="008756F5">
        <w:rPr>
          <w:rFonts w:asciiTheme="minorHAnsi" w:hAnsiTheme="minorHAnsi" w:cstheme="minorHAnsi"/>
          <w:sz w:val="16"/>
          <w:szCs w:val="16"/>
          <w:lang w:eastAsia="en-AU"/>
        </w:rPr>
        <w:t xml:space="preserve"> responses permitted.</w:t>
      </w:r>
    </w:p>
    <w:p w14:paraId="2EBE94B2" w14:textId="77777777" w:rsidR="00BD530B" w:rsidRPr="00C1006A" w:rsidRDefault="00BD530B" w:rsidP="00761E16">
      <w:pPr>
        <w:pStyle w:val="Heading3"/>
        <w:rPr>
          <w:sz w:val="21"/>
          <w:szCs w:val="21"/>
          <w:lang w:eastAsia="en-AU"/>
        </w:rPr>
      </w:pPr>
      <w:r w:rsidRPr="008756F5">
        <w:rPr>
          <w:lang w:eastAsia="en-AU"/>
        </w:rPr>
        <w:t>Interview respondents’ perceptions about impact of DMHSs on consumers</w:t>
      </w:r>
    </w:p>
    <w:p w14:paraId="605B32F9" w14:textId="77777777" w:rsidR="00BD530B" w:rsidRPr="008756F5" w:rsidRDefault="00BD530B" w:rsidP="00812B63">
      <w:pPr>
        <w:spacing w:after="240"/>
        <w:textAlignment w:val="baseline"/>
        <w:rPr>
          <w:rFonts w:asciiTheme="minorHAnsi" w:hAnsiTheme="minorHAnsi" w:cstheme="minorHAnsi"/>
          <w:sz w:val="21"/>
          <w:szCs w:val="21"/>
          <w:lang w:eastAsia="en-AU"/>
        </w:rPr>
      </w:pPr>
      <w:r w:rsidRPr="008756F5">
        <w:rPr>
          <w:rFonts w:asciiTheme="minorHAnsi" w:hAnsiTheme="minorHAnsi" w:cstheme="minorHAnsi"/>
          <w:sz w:val="21"/>
          <w:szCs w:val="21"/>
          <w:lang w:eastAsia="en-AU"/>
        </w:rPr>
        <w:t>Providers who took part in the interview were also asked about whether DMHSs had benefited, or had any negative impacts on, consumers under their care.</w:t>
      </w:r>
    </w:p>
    <w:p w14:paraId="25BF7125" w14:textId="77777777" w:rsidR="00BD530B" w:rsidRPr="008756F5" w:rsidRDefault="00BD530B" w:rsidP="00812B63">
      <w:pPr>
        <w:spacing w:after="240"/>
        <w:textAlignment w:val="baseline"/>
        <w:rPr>
          <w:rFonts w:asciiTheme="minorHAnsi" w:hAnsiTheme="minorHAnsi" w:cstheme="minorHAnsi"/>
          <w:sz w:val="21"/>
          <w:szCs w:val="21"/>
          <w:lang w:eastAsia="en-AU"/>
        </w:rPr>
      </w:pPr>
      <w:r w:rsidRPr="008756F5">
        <w:rPr>
          <w:rFonts w:asciiTheme="minorHAnsi" w:hAnsiTheme="minorHAnsi" w:cstheme="minorHAnsi"/>
          <w:sz w:val="21"/>
          <w:szCs w:val="21"/>
          <w:lang w:eastAsia="en-AU"/>
        </w:rPr>
        <w:t>Most providers reported that DMHSs had benefited consumers. As described in the survey findings, benefits included improved access, affordability, convenience and anonymity of care, improved mood and wellbeing, improved relationship functioning, skills, coping, self-efficacy and confidence. One provider also reported that DMHSs normalised mental health and help-seeking behaviours. The sentiments of these benefits are captured by the following remarks:</w:t>
      </w:r>
    </w:p>
    <w:p w14:paraId="3C64677E" w14:textId="77777777" w:rsidR="00BD530B" w:rsidRPr="00C1006A" w:rsidRDefault="00BD530B" w:rsidP="00812B63">
      <w:pPr>
        <w:spacing w:after="240"/>
        <w:ind w:left="720"/>
        <w:textAlignment w:val="baseline"/>
        <w:rPr>
          <w:rFonts w:asciiTheme="minorHAnsi" w:hAnsiTheme="minorHAnsi" w:cstheme="minorHAnsi"/>
          <w:sz w:val="21"/>
          <w:szCs w:val="21"/>
          <w:lang w:eastAsia="en-AU"/>
        </w:rPr>
      </w:pPr>
      <w:r w:rsidRPr="00C1006A">
        <w:rPr>
          <w:rFonts w:asciiTheme="minorHAnsi" w:hAnsiTheme="minorHAnsi" w:cstheme="minorHAnsi"/>
          <w:sz w:val="21"/>
          <w:szCs w:val="21"/>
          <w:lang w:eastAsia="en-AU"/>
        </w:rPr>
        <w:t>Stronger normalisation of mental health conditions so it’s not just me, one person saying you know lots of people struggle with anxiety they’re also hearing this from a program that they know lots of other people have used and its very normalising which can be validating for people.</w:t>
      </w:r>
    </w:p>
    <w:p w14:paraId="72E31873" w14:textId="77777777" w:rsidR="00BD530B" w:rsidRPr="00C1006A" w:rsidRDefault="00BD530B" w:rsidP="00812B63">
      <w:pPr>
        <w:spacing w:after="240"/>
        <w:ind w:left="720"/>
        <w:textAlignment w:val="baseline"/>
        <w:rPr>
          <w:rFonts w:asciiTheme="minorHAnsi" w:hAnsiTheme="minorHAnsi" w:cstheme="minorHAnsi"/>
          <w:sz w:val="21"/>
          <w:szCs w:val="21"/>
          <w:lang w:eastAsia="en-AU"/>
        </w:rPr>
      </w:pPr>
      <w:r w:rsidRPr="00C1006A">
        <w:rPr>
          <w:rFonts w:asciiTheme="minorHAnsi" w:hAnsiTheme="minorHAnsi" w:cstheme="minorHAnsi"/>
          <w:sz w:val="21"/>
          <w:szCs w:val="21"/>
          <w:lang w:eastAsia="en-AU"/>
        </w:rPr>
        <w:t>They’re improving in their symptoms, for example, that they never thought that they are going to be able to do it themselves, so they’ve had a lot of therapies, a lot of counselling before and they’ve never had any improvement and they start to see the symptom reduction and they start to see self-efficacy in how they are improving so feedback like that.</w:t>
      </w:r>
    </w:p>
    <w:p w14:paraId="0D2DDF27" w14:textId="77777777" w:rsidR="00BD530B" w:rsidRPr="008756F5" w:rsidRDefault="00BD530B" w:rsidP="00812B63">
      <w:pPr>
        <w:spacing w:after="240"/>
        <w:ind w:left="720"/>
        <w:textAlignment w:val="baseline"/>
        <w:rPr>
          <w:rFonts w:asciiTheme="minorHAnsi" w:hAnsiTheme="minorHAnsi" w:cstheme="minorHAnsi"/>
          <w:sz w:val="21"/>
          <w:szCs w:val="21"/>
          <w:lang w:eastAsia="en-AU"/>
        </w:rPr>
      </w:pPr>
      <w:r w:rsidRPr="00C1006A">
        <w:rPr>
          <w:rFonts w:asciiTheme="minorHAnsi" w:hAnsiTheme="minorHAnsi" w:cstheme="minorHAnsi"/>
          <w:sz w:val="21"/>
          <w:szCs w:val="21"/>
          <w:lang w:eastAsia="en-AU"/>
        </w:rPr>
        <w:t>People that improve, you know, you can see life-changing improvements and that could be in their depression and anxiety symptom severity, in reduced suicidal thinking like reduced risk of suicide, improved quality of life like better relationships, having the confidence to manage their symptoms on their own and stay well over the long term or even if they have relapses in the future they have a place to go back to refresh their skills. I’ve seen a huge benefit.</w:t>
      </w:r>
    </w:p>
    <w:p w14:paraId="33D699E2" w14:textId="77777777" w:rsidR="00BD530B" w:rsidRPr="008756F5" w:rsidRDefault="00BD530B" w:rsidP="00812B63">
      <w:pPr>
        <w:spacing w:after="240"/>
        <w:textAlignment w:val="baseline"/>
        <w:rPr>
          <w:rFonts w:asciiTheme="minorHAnsi" w:hAnsiTheme="minorHAnsi" w:cstheme="minorHAnsi"/>
          <w:sz w:val="21"/>
          <w:szCs w:val="21"/>
          <w:lang w:eastAsia="en-AU"/>
        </w:rPr>
      </w:pPr>
      <w:r w:rsidRPr="008756F5">
        <w:rPr>
          <w:rFonts w:asciiTheme="minorHAnsi" w:hAnsiTheme="minorHAnsi" w:cstheme="minorHAnsi"/>
          <w:sz w:val="21"/>
          <w:szCs w:val="21"/>
          <w:lang w:eastAsia="en-AU"/>
        </w:rPr>
        <w:t>In terms of negative impacts on consumers, three providers described such impacts. Specifically, these providers worried that, for some consumers, DMHSs could lead to deterioration in mental health or might not address the consumer’s concern effectively. These providers said:</w:t>
      </w:r>
    </w:p>
    <w:p w14:paraId="4ADA4E37" w14:textId="77777777" w:rsidR="00BD530B" w:rsidRPr="00C1006A" w:rsidRDefault="00BD530B" w:rsidP="00812B63">
      <w:pPr>
        <w:spacing w:after="240"/>
        <w:ind w:left="720"/>
        <w:textAlignment w:val="baseline"/>
        <w:rPr>
          <w:rFonts w:asciiTheme="minorHAnsi" w:hAnsiTheme="minorHAnsi" w:cstheme="minorHAnsi"/>
          <w:sz w:val="21"/>
          <w:szCs w:val="21"/>
          <w:lang w:eastAsia="en-AU"/>
        </w:rPr>
      </w:pPr>
      <w:r w:rsidRPr="00C1006A">
        <w:rPr>
          <w:rFonts w:asciiTheme="minorHAnsi" w:hAnsiTheme="minorHAnsi" w:cstheme="minorHAnsi"/>
          <w:sz w:val="21"/>
          <w:szCs w:val="21"/>
          <w:lang w:eastAsia="en-AU"/>
        </w:rPr>
        <w:lastRenderedPageBreak/>
        <w:t>If consumers have anxiety about stepping out of the house, or anxiety to practise social skills, we haven’t evolved to an extent where we can have, say, a supported group where we know other clients participate in that group. Where they can practise those skills. Because you really need to be in that behavioural experiment, experimentation phase to practise.</w:t>
      </w:r>
    </w:p>
    <w:p w14:paraId="33F76906" w14:textId="77777777" w:rsidR="00BD530B" w:rsidRPr="008756F5" w:rsidRDefault="00BD530B" w:rsidP="00812B63">
      <w:pPr>
        <w:spacing w:after="240"/>
        <w:ind w:left="720"/>
        <w:textAlignment w:val="baseline"/>
        <w:rPr>
          <w:rFonts w:asciiTheme="minorHAnsi" w:hAnsiTheme="minorHAnsi" w:cstheme="minorHAnsi"/>
          <w:sz w:val="21"/>
          <w:szCs w:val="21"/>
          <w:lang w:eastAsia="en-AU"/>
        </w:rPr>
      </w:pPr>
      <w:r w:rsidRPr="00C1006A">
        <w:rPr>
          <w:rFonts w:asciiTheme="minorHAnsi" w:hAnsiTheme="minorHAnsi" w:cstheme="minorHAnsi"/>
          <w:sz w:val="21"/>
          <w:szCs w:val="21"/>
          <w:lang w:eastAsia="en-AU"/>
        </w:rPr>
        <w:t xml:space="preserve">I think it’s 1 in 20 patients experience like deterioration of symptoms and, so, I don’t know whether that’s because of the online program or because of something else related to their experience or profile or diagnosis or comorbidity, but I think with any psychological therapy some people will deteriorate and I’ve seen that in online programs as well. </w:t>
      </w:r>
      <w:proofErr w:type="gramStart"/>
      <w:r w:rsidRPr="00C1006A">
        <w:rPr>
          <w:rFonts w:asciiTheme="minorHAnsi" w:hAnsiTheme="minorHAnsi" w:cstheme="minorHAnsi"/>
          <w:sz w:val="21"/>
          <w:szCs w:val="21"/>
          <w:lang w:eastAsia="en-AU"/>
        </w:rPr>
        <w:t>There’s</w:t>
      </w:r>
      <w:proofErr w:type="gramEnd"/>
      <w:r w:rsidRPr="00C1006A">
        <w:rPr>
          <w:rFonts w:asciiTheme="minorHAnsi" w:hAnsiTheme="minorHAnsi" w:cstheme="minorHAnsi"/>
          <w:sz w:val="21"/>
          <w:szCs w:val="21"/>
          <w:lang w:eastAsia="en-AU"/>
        </w:rPr>
        <w:t xml:space="preserve"> other side effects I think of any treatment as well, so, you know when we’ve asked our clients about how they felt some people can experience like elevated anxiety at the start of an online</w:t>
      </w:r>
      <w:r w:rsidRPr="008756F5">
        <w:rPr>
          <w:rFonts w:asciiTheme="minorHAnsi" w:hAnsiTheme="minorHAnsi" w:cstheme="minorHAnsi"/>
          <w:sz w:val="21"/>
          <w:szCs w:val="21"/>
          <w:lang w:eastAsia="en-AU"/>
        </w:rPr>
        <w:t xml:space="preserve"> </w:t>
      </w:r>
      <w:r w:rsidRPr="00C1006A">
        <w:rPr>
          <w:rFonts w:asciiTheme="minorHAnsi" w:hAnsiTheme="minorHAnsi" w:cstheme="minorHAnsi"/>
          <w:sz w:val="21"/>
          <w:szCs w:val="21"/>
          <w:lang w:eastAsia="en-AU"/>
        </w:rPr>
        <w:t>program.</w:t>
      </w:r>
    </w:p>
    <w:p w14:paraId="3584EB3D" w14:textId="77777777" w:rsidR="00BD530B" w:rsidRPr="008756F5" w:rsidRDefault="00BD530B" w:rsidP="00812B63">
      <w:pPr>
        <w:spacing w:after="240"/>
        <w:textAlignment w:val="baseline"/>
        <w:rPr>
          <w:rFonts w:asciiTheme="minorHAnsi" w:hAnsiTheme="minorHAnsi" w:cstheme="minorHAnsi"/>
          <w:sz w:val="21"/>
          <w:szCs w:val="21"/>
          <w:lang w:eastAsia="en-AU"/>
        </w:rPr>
      </w:pPr>
      <w:r w:rsidRPr="008756F5">
        <w:rPr>
          <w:rFonts w:asciiTheme="minorHAnsi" w:hAnsiTheme="minorHAnsi" w:cstheme="minorHAnsi"/>
          <w:sz w:val="21"/>
          <w:szCs w:val="21"/>
          <w:lang w:eastAsia="en-AU"/>
        </w:rPr>
        <w:t>One provided was also concerned that DMHSs might not be the consumers’ preferred treatment option or that consumers might not benefit if they are not self-motivated.</w:t>
      </w:r>
    </w:p>
    <w:p w14:paraId="474157C1" w14:textId="77777777" w:rsidR="00BD530B" w:rsidRPr="008756F5" w:rsidRDefault="00BD530B" w:rsidP="00761E16">
      <w:pPr>
        <w:pStyle w:val="Heading2"/>
        <w:rPr>
          <w:lang w:eastAsia="en-AU"/>
        </w:rPr>
      </w:pPr>
      <w:bookmarkStart w:id="166" w:name="_Toc108784868"/>
      <w:r w:rsidRPr="008756F5">
        <w:rPr>
          <w:lang w:eastAsia="en-AU"/>
        </w:rPr>
        <w:t>Provider satisfaction with DMHSs</w:t>
      </w:r>
      <w:bookmarkEnd w:id="166"/>
    </w:p>
    <w:p w14:paraId="16E72012" w14:textId="77777777" w:rsidR="00761E16" w:rsidRPr="00761E16" w:rsidRDefault="00761E16" w:rsidP="00761E16">
      <w:pPr>
        <w:pStyle w:val="ListParagraph"/>
        <w:numPr>
          <w:ilvl w:val="1"/>
          <w:numId w:val="146"/>
        </w:numPr>
        <w:spacing w:after="120"/>
        <w:contextualSpacing w:val="0"/>
        <w:outlineLvl w:val="2"/>
        <w:rPr>
          <w:b/>
          <w:bCs/>
          <w:vanish/>
          <w:color w:val="2F5496" w:themeColor="accent1" w:themeShade="BF"/>
          <w:sz w:val="24"/>
          <w:szCs w:val="24"/>
          <w:lang w:eastAsia="en-AU"/>
        </w:rPr>
      </w:pPr>
    </w:p>
    <w:p w14:paraId="30D063BA" w14:textId="36E5547D" w:rsidR="00BD530B" w:rsidRPr="008756F5" w:rsidRDefault="00BD530B" w:rsidP="00761E16">
      <w:pPr>
        <w:pStyle w:val="Heading3"/>
        <w:rPr>
          <w:lang w:eastAsia="en-AU"/>
        </w:rPr>
      </w:pPr>
      <w:r w:rsidRPr="008756F5">
        <w:rPr>
          <w:lang w:eastAsia="en-AU"/>
        </w:rPr>
        <w:t>Survey respondents’ satisfaction with DMHSs</w:t>
      </w:r>
    </w:p>
    <w:p w14:paraId="458E9D87" w14:textId="164E3646" w:rsidR="00BD530B" w:rsidRPr="008756F5" w:rsidRDefault="00BD530B" w:rsidP="00812B63">
      <w:pPr>
        <w:spacing w:after="240"/>
        <w:textAlignment w:val="baseline"/>
        <w:rPr>
          <w:rFonts w:asciiTheme="minorHAnsi" w:hAnsiTheme="minorHAnsi" w:cstheme="minorHAnsi"/>
          <w:sz w:val="18"/>
          <w:szCs w:val="18"/>
          <w:lang w:eastAsia="en-AU"/>
        </w:rPr>
      </w:pPr>
      <w:r w:rsidRPr="008756F5">
        <w:rPr>
          <w:rFonts w:asciiTheme="minorHAnsi" w:hAnsiTheme="minorHAnsi" w:cstheme="minorHAnsi"/>
          <w:sz w:val="21"/>
          <w:szCs w:val="21"/>
          <w:lang w:eastAsia="en-AU"/>
        </w:rPr>
        <w:t xml:space="preserve">Providers were asked about their satisfaction with delivering digital mental health care. Their responses are summarised in </w:t>
      </w:r>
      <w:r w:rsidRPr="003F6A26">
        <w:rPr>
          <w:rFonts w:asciiTheme="minorHAnsi" w:hAnsiTheme="minorHAnsi" w:cstheme="minorHAnsi"/>
          <w:sz w:val="21"/>
          <w:szCs w:val="21"/>
          <w:lang w:eastAsia="en-AU"/>
        </w:rPr>
        <w:t xml:space="preserve">Table </w:t>
      </w:r>
      <w:r w:rsidR="003F6A26" w:rsidRPr="003F6A26">
        <w:rPr>
          <w:rFonts w:asciiTheme="minorHAnsi" w:hAnsiTheme="minorHAnsi" w:cstheme="minorHAnsi"/>
          <w:sz w:val="21"/>
          <w:szCs w:val="21"/>
          <w:lang w:eastAsia="en-AU"/>
        </w:rPr>
        <w:t>35</w:t>
      </w:r>
      <w:r w:rsidRPr="003F6A26">
        <w:rPr>
          <w:rFonts w:asciiTheme="minorHAnsi" w:hAnsiTheme="minorHAnsi" w:cstheme="minorHAnsi"/>
          <w:sz w:val="21"/>
          <w:szCs w:val="21"/>
          <w:lang w:eastAsia="en-AU"/>
        </w:rPr>
        <w:t xml:space="preserve">. </w:t>
      </w:r>
      <w:r w:rsidRPr="008756F5">
        <w:rPr>
          <w:rFonts w:asciiTheme="minorHAnsi" w:hAnsiTheme="minorHAnsi" w:cstheme="minorHAnsi"/>
          <w:sz w:val="21"/>
          <w:szCs w:val="21"/>
          <w:lang w:eastAsia="en-AU"/>
        </w:rPr>
        <w:t xml:space="preserve">All </w:t>
      </w:r>
      <w:proofErr w:type="spellStart"/>
      <w:r w:rsidRPr="008756F5">
        <w:rPr>
          <w:rFonts w:asciiTheme="minorHAnsi" w:hAnsiTheme="minorHAnsi" w:cstheme="minorHAnsi"/>
          <w:sz w:val="21"/>
          <w:szCs w:val="21"/>
          <w:lang w:eastAsia="en-AU"/>
        </w:rPr>
        <w:t>MindSpot</w:t>
      </w:r>
      <w:proofErr w:type="spellEnd"/>
      <w:r w:rsidRPr="008756F5">
        <w:rPr>
          <w:rFonts w:asciiTheme="minorHAnsi" w:hAnsiTheme="minorHAnsi" w:cstheme="minorHAnsi"/>
          <w:sz w:val="21"/>
          <w:szCs w:val="21"/>
          <w:lang w:eastAsia="en-AU"/>
        </w:rPr>
        <w:t xml:space="preserve"> and 40% of THIS WAY UP providers indicated that the DMHS was their preferred method of delivering mental health care. All Mental Health Online and 60% of THIS WAY UP providers revealed that DMHSs were not their preferred method. One hundred percent of Mental Health Online and 88% of THIS WAY UP providers indicated that their preferred methods were </w:t>
      </w:r>
      <w:proofErr w:type="gramStart"/>
      <w:r w:rsidRPr="008756F5">
        <w:rPr>
          <w:rFonts w:asciiTheme="minorHAnsi" w:hAnsiTheme="minorHAnsi" w:cstheme="minorHAnsi"/>
          <w:sz w:val="21"/>
          <w:szCs w:val="21"/>
          <w:lang w:eastAsia="en-AU"/>
        </w:rPr>
        <w:t>face</w:t>
      </w:r>
      <w:proofErr w:type="gramEnd"/>
      <w:r w:rsidRPr="008756F5">
        <w:rPr>
          <w:rFonts w:asciiTheme="minorHAnsi" w:hAnsiTheme="minorHAnsi" w:cstheme="minorHAnsi"/>
          <w:sz w:val="21"/>
          <w:szCs w:val="21"/>
          <w:lang w:eastAsia="en-AU"/>
        </w:rPr>
        <w:t xml:space="preserve"> to face or video. The majority of </w:t>
      </w:r>
      <w:proofErr w:type="spellStart"/>
      <w:r w:rsidRPr="008756F5">
        <w:rPr>
          <w:rFonts w:asciiTheme="minorHAnsi" w:hAnsiTheme="minorHAnsi" w:cstheme="minorHAnsi"/>
          <w:sz w:val="21"/>
          <w:szCs w:val="21"/>
          <w:lang w:eastAsia="en-AU"/>
        </w:rPr>
        <w:t>MindSpot</w:t>
      </w:r>
      <w:proofErr w:type="spellEnd"/>
      <w:r w:rsidRPr="008756F5">
        <w:rPr>
          <w:rFonts w:asciiTheme="minorHAnsi" w:hAnsiTheme="minorHAnsi" w:cstheme="minorHAnsi"/>
          <w:sz w:val="21"/>
          <w:szCs w:val="21"/>
          <w:lang w:eastAsia="en-AU"/>
        </w:rPr>
        <w:t xml:space="preserve"> (71%) and THIS WAY UP (60%) providers were ‘very satisfied’ with delivering digital mental health care and the majority of Mental Health Online (63%) providers were ‘satisfied’ with the DMHS.</w:t>
      </w:r>
    </w:p>
    <w:p w14:paraId="0B3E1E69" w14:textId="745A5BA7" w:rsidR="00BD530B" w:rsidRPr="008756F5" w:rsidRDefault="00BD530B" w:rsidP="00BD530B">
      <w:pPr>
        <w:textAlignment w:val="baseline"/>
        <w:rPr>
          <w:rFonts w:asciiTheme="minorHAnsi" w:hAnsiTheme="minorHAnsi" w:cstheme="minorHAnsi"/>
          <w:b/>
          <w:bCs/>
          <w:color w:val="000000"/>
          <w:sz w:val="18"/>
          <w:szCs w:val="18"/>
          <w:lang w:eastAsia="en-AU"/>
        </w:rPr>
      </w:pPr>
      <w:r w:rsidRPr="003F6A26">
        <w:rPr>
          <w:rFonts w:asciiTheme="minorHAnsi" w:hAnsiTheme="minorHAnsi" w:cstheme="minorHAnsi"/>
          <w:b/>
          <w:bCs/>
          <w:color w:val="000000"/>
          <w:sz w:val="21"/>
          <w:szCs w:val="21"/>
          <w:lang w:val="en-US" w:eastAsia="en-AU"/>
        </w:rPr>
        <w:t>Table</w:t>
      </w:r>
      <w:r w:rsidR="003F6A26" w:rsidRPr="003F6A26">
        <w:rPr>
          <w:rFonts w:asciiTheme="minorHAnsi" w:hAnsiTheme="minorHAnsi" w:cstheme="minorHAnsi"/>
          <w:b/>
          <w:bCs/>
          <w:color w:val="000000"/>
          <w:sz w:val="21"/>
          <w:szCs w:val="21"/>
          <w:lang w:val="en-US" w:eastAsia="en-AU"/>
        </w:rPr>
        <w:t xml:space="preserve"> 35</w:t>
      </w:r>
      <w:r w:rsidRPr="008756F5">
        <w:rPr>
          <w:rFonts w:asciiTheme="minorHAnsi" w:hAnsiTheme="minorHAnsi" w:cstheme="minorHAnsi"/>
          <w:b/>
          <w:bCs/>
          <w:color w:val="000000"/>
          <w:sz w:val="21"/>
          <w:szCs w:val="21"/>
          <w:lang w:val="en-US" w:eastAsia="en-AU"/>
        </w:rPr>
        <w:t>. Provider satisfaction with delivering DMH by service (N=30)</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Provider satisfaction with delivering DMH by service"/>
        <w:tblDescription w:val="Table describes providers satisfaction with delivering DMHSs"/>
      </w:tblPr>
      <w:tblGrid>
        <w:gridCol w:w="3465"/>
        <w:gridCol w:w="975"/>
        <w:gridCol w:w="615"/>
        <w:gridCol w:w="735"/>
        <w:gridCol w:w="780"/>
        <w:gridCol w:w="780"/>
        <w:gridCol w:w="690"/>
        <w:gridCol w:w="870"/>
        <w:gridCol w:w="780"/>
      </w:tblGrid>
      <w:tr w:rsidR="00BD530B" w:rsidRPr="008756F5" w14:paraId="4E128193" w14:textId="77777777" w:rsidTr="00A56C43">
        <w:trPr>
          <w:trHeight w:val="300"/>
          <w:tblHeader/>
        </w:trPr>
        <w:tc>
          <w:tcPr>
            <w:tcW w:w="3465" w:type="dxa"/>
            <w:tcBorders>
              <w:top w:val="single" w:sz="6" w:space="0" w:color="000000" w:themeColor="text1"/>
              <w:left w:val="single" w:sz="6" w:space="0" w:color="000000" w:themeColor="text1"/>
              <w:bottom w:val="nil"/>
              <w:right w:val="nil"/>
            </w:tcBorders>
            <w:shd w:val="clear" w:color="auto" w:fill="000000" w:themeFill="text1"/>
            <w:hideMark/>
          </w:tcPr>
          <w:p w14:paraId="692157DE" w14:textId="77777777" w:rsidR="00BD530B" w:rsidRPr="008756F5" w:rsidRDefault="00BD530B" w:rsidP="00A56C43">
            <w:pP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 </w:t>
            </w:r>
          </w:p>
        </w:tc>
        <w:tc>
          <w:tcPr>
            <w:tcW w:w="1590" w:type="dxa"/>
            <w:gridSpan w:val="2"/>
            <w:tcBorders>
              <w:top w:val="single" w:sz="6" w:space="0" w:color="000000" w:themeColor="text1"/>
              <w:left w:val="nil"/>
              <w:bottom w:val="nil"/>
              <w:right w:val="nil"/>
            </w:tcBorders>
            <w:shd w:val="clear" w:color="auto" w:fill="000000" w:themeFill="text1"/>
            <w:hideMark/>
          </w:tcPr>
          <w:p w14:paraId="3F34C28E" w14:textId="77777777" w:rsidR="00BD530B" w:rsidRPr="008756F5" w:rsidRDefault="00BD530B" w:rsidP="00A56C43">
            <w:pPr>
              <w:jc w:val="cente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MHO </w:t>
            </w:r>
          </w:p>
          <w:p w14:paraId="6618926E" w14:textId="77777777" w:rsidR="00BD530B" w:rsidRPr="008756F5" w:rsidRDefault="00BD530B" w:rsidP="00A56C43">
            <w:pPr>
              <w:jc w:val="cente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n=8 </w:t>
            </w:r>
          </w:p>
        </w:tc>
        <w:tc>
          <w:tcPr>
            <w:tcW w:w="1515" w:type="dxa"/>
            <w:gridSpan w:val="2"/>
            <w:tcBorders>
              <w:top w:val="single" w:sz="6" w:space="0" w:color="000000" w:themeColor="text1"/>
              <w:left w:val="nil"/>
              <w:bottom w:val="nil"/>
              <w:right w:val="nil"/>
            </w:tcBorders>
            <w:shd w:val="clear" w:color="auto" w:fill="000000" w:themeFill="text1"/>
            <w:hideMark/>
          </w:tcPr>
          <w:p w14:paraId="57B685CA" w14:textId="77777777" w:rsidR="00BD530B" w:rsidRPr="008756F5" w:rsidRDefault="00BD530B" w:rsidP="00A56C43">
            <w:pPr>
              <w:jc w:val="cente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MS </w:t>
            </w:r>
          </w:p>
          <w:p w14:paraId="10376B94" w14:textId="77777777" w:rsidR="00BD530B" w:rsidRPr="008756F5" w:rsidRDefault="00BD530B" w:rsidP="00A56C43">
            <w:pPr>
              <w:jc w:val="cente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(n=7) </w:t>
            </w:r>
          </w:p>
        </w:tc>
        <w:tc>
          <w:tcPr>
            <w:tcW w:w="1470" w:type="dxa"/>
            <w:gridSpan w:val="2"/>
            <w:tcBorders>
              <w:top w:val="single" w:sz="6" w:space="0" w:color="000000" w:themeColor="text1"/>
              <w:left w:val="nil"/>
              <w:bottom w:val="nil"/>
              <w:right w:val="nil"/>
            </w:tcBorders>
            <w:shd w:val="clear" w:color="auto" w:fill="000000" w:themeFill="text1"/>
            <w:hideMark/>
          </w:tcPr>
          <w:p w14:paraId="3926D466" w14:textId="77777777" w:rsidR="00BD530B" w:rsidRPr="008756F5" w:rsidRDefault="00BD530B" w:rsidP="00A56C43">
            <w:pPr>
              <w:jc w:val="cente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TWU </w:t>
            </w:r>
          </w:p>
          <w:p w14:paraId="21AF1969" w14:textId="77777777" w:rsidR="00BD530B" w:rsidRPr="008756F5" w:rsidRDefault="00BD530B" w:rsidP="00A56C43">
            <w:pPr>
              <w:jc w:val="cente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(n=15) </w:t>
            </w:r>
          </w:p>
        </w:tc>
        <w:tc>
          <w:tcPr>
            <w:tcW w:w="1650" w:type="dxa"/>
            <w:gridSpan w:val="2"/>
            <w:tcBorders>
              <w:top w:val="single" w:sz="6" w:space="0" w:color="000000" w:themeColor="text1"/>
              <w:left w:val="nil"/>
              <w:bottom w:val="nil"/>
              <w:right w:val="single" w:sz="6" w:space="0" w:color="000000" w:themeColor="text1"/>
            </w:tcBorders>
            <w:shd w:val="clear" w:color="auto" w:fill="000000" w:themeFill="text1"/>
            <w:hideMark/>
          </w:tcPr>
          <w:p w14:paraId="556E8824" w14:textId="77777777" w:rsidR="00BD530B" w:rsidRPr="008756F5" w:rsidRDefault="00BD530B" w:rsidP="00A56C43">
            <w:pPr>
              <w:jc w:val="cente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Total </w:t>
            </w:r>
          </w:p>
          <w:p w14:paraId="0C69B35C" w14:textId="77777777" w:rsidR="00BD530B" w:rsidRPr="008756F5" w:rsidRDefault="00BD530B" w:rsidP="00A56C43">
            <w:pPr>
              <w:jc w:val="center"/>
              <w:textAlignment w:val="baseline"/>
              <w:rPr>
                <w:rFonts w:asciiTheme="minorHAnsi" w:hAnsiTheme="minorHAnsi" w:cstheme="minorHAnsi"/>
                <w:b/>
                <w:bCs/>
                <w:color w:val="FFFFFF"/>
                <w:lang w:eastAsia="en-AU"/>
              </w:rPr>
            </w:pPr>
            <w:r w:rsidRPr="008756F5">
              <w:rPr>
                <w:rFonts w:asciiTheme="minorHAnsi" w:hAnsiTheme="minorHAnsi" w:cstheme="minorHAnsi"/>
                <w:b/>
                <w:bCs/>
                <w:color w:val="FFFFFF"/>
                <w:sz w:val="18"/>
                <w:szCs w:val="18"/>
                <w:lang w:eastAsia="en-AU"/>
              </w:rPr>
              <w:t>(N=30) </w:t>
            </w:r>
          </w:p>
        </w:tc>
      </w:tr>
      <w:tr w:rsidR="00BD530B" w:rsidRPr="008756F5" w14:paraId="6B872BA5" w14:textId="77777777" w:rsidTr="00A56C43">
        <w:trPr>
          <w:trHeight w:val="270"/>
          <w:tblHeader/>
        </w:trPr>
        <w:tc>
          <w:tcPr>
            <w:tcW w:w="3465" w:type="dxa"/>
            <w:tcBorders>
              <w:top w:val="single" w:sz="6" w:space="0" w:color="000000" w:themeColor="text1"/>
              <w:left w:val="single" w:sz="6" w:space="0" w:color="000000" w:themeColor="text1"/>
              <w:bottom w:val="single" w:sz="6" w:space="0" w:color="000000" w:themeColor="text1"/>
              <w:right w:val="nil"/>
            </w:tcBorders>
            <w:shd w:val="clear" w:color="auto" w:fill="000000" w:themeFill="text1"/>
            <w:hideMark/>
          </w:tcPr>
          <w:p w14:paraId="3701C43D" w14:textId="77777777" w:rsidR="00BD530B" w:rsidRPr="008756F5" w:rsidRDefault="00BD530B" w:rsidP="00A56C43">
            <w:pPr>
              <w:textAlignment w:val="baseline"/>
              <w:rPr>
                <w:rFonts w:asciiTheme="minorHAnsi" w:hAnsiTheme="minorHAnsi" w:cstheme="minorHAnsi"/>
                <w:b/>
                <w:bCs/>
                <w:lang w:eastAsia="en-AU"/>
              </w:rPr>
            </w:pPr>
            <w:r w:rsidRPr="008756F5">
              <w:rPr>
                <w:rFonts w:asciiTheme="minorHAnsi" w:hAnsiTheme="minorHAnsi" w:cstheme="minorHAnsi"/>
                <w:b/>
                <w:bCs/>
                <w:color w:val="FFFFFF"/>
                <w:sz w:val="18"/>
                <w:szCs w:val="18"/>
                <w:lang w:eastAsia="en-AU"/>
              </w:rPr>
              <w:t> </w:t>
            </w:r>
          </w:p>
        </w:tc>
        <w:tc>
          <w:tcPr>
            <w:tcW w:w="975" w:type="dxa"/>
            <w:tcBorders>
              <w:top w:val="single" w:sz="6" w:space="0" w:color="000000" w:themeColor="text1"/>
              <w:left w:val="nil"/>
              <w:bottom w:val="single" w:sz="6" w:space="0" w:color="000000" w:themeColor="text1"/>
              <w:right w:val="nil"/>
            </w:tcBorders>
            <w:shd w:val="clear" w:color="auto" w:fill="000000" w:themeFill="text1"/>
            <w:hideMark/>
          </w:tcPr>
          <w:p w14:paraId="59D217D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b/>
                <w:bCs/>
                <w:color w:val="FFFFFF"/>
                <w:sz w:val="18"/>
                <w:szCs w:val="18"/>
                <w:lang w:eastAsia="en-AU"/>
              </w:rPr>
              <w:t>n</w:t>
            </w:r>
            <w:r w:rsidRPr="008756F5">
              <w:rPr>
                <w:rFonts w:asciiTheme="minorHAnsi" w:hAnsiTheme="minorHAnsi" w:cstheme="minorHAnsi"/>
                <w:color w:val="FFFFFF"/>
                <w:sz w:val="18"/>
                <w:szCs w:val="18"/>
                <w:lang w:eastAsia="en-AU"/>
              </w:rPr>
              <w:t> </w:t>
            </w:r>
          </w:p>
        </w:tc>
        <w:tc>
          <w:tcPr>
            <w:tcW w:w="615" w:type="dxa"/>
            <w:tcBorders>
              <w:top w:val="single" w:sz="6" w:space="0" w:color="000000" w:themeColor="text1"/>
              <w:left w:val="nil"/>
              <w:bottom w:val="single" w:sz="6" w:space="0" w:color="000000" w:themeColor="text1"/>
              <w:right w:val="nil"/>
            </w:tcBorders>
            <w:shd w:val="clear" w:color="auto" w:fill="000000" w:themeFill="text1"/>
            <w:hideMark/>
          </w:tcPr>
          <w:p w14:paraId="6BE9C8C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b/>
                <w:bCs/>
                <w:color w:val="FFFFFF"/>
                <w:sz w:val="18"/>
                <w:szCs w:val="18"/>
                <w:lang w:eastAsia="en-AU"/>
              </w:rPr>
              <w:t>%</w:t>
            </w:r>
            <w:r w:rsidRPr="008756F5">
              <w:rPr>
                <w:rFonts w:asciiTheme="minorHAnsi" w:hAnsiTheme="minorHAnsi" w:cstheme="minorHAnsi"/>
                <w:color w:val="FFFFFF"/>
                <w:sz w:val="18"/>
                <w:szCs w:val="18"/>
                <w:lang w:eastAsia="en-AU"/>
              </w:rPr>
              <w:t> </w:t>
            </w:r>
          </w:p>
        </w:tc>
        <w:tc>
          <w:tcPr>
            <w:tcW w:w="735" w:type="dxa"/>
            <w:tcBorders>
              <w:top w:val="single" w:sz="6" w:space="0" w:color="000000" w:themeColor="text1"/>
              <w:left w:val="nil"/>
              <w:bottom w:val="single" w:sz="6" w:space="0" w:color="000000" w:themeColor="text1"/>
              <w:right w:val="nil"/>
            </w:tcBorders>
            <w:shd w:val="clear" w:color="auto" w:fill="000000" w:themeFill="text1"/>
            <w:hideMark/>
          </w:tcPr>
          <w:p w14:paraId="02C9730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b/>
                <w:bCs/>
                <w:color w:val="FFFFFF"/>
                <w:sz w:val="18"/>
                <w:szCs w:val="18"/>
                <w:lang w:eastAsia="en-AU"/>
              </w:rPr>
              <w:t>n</w:t>
            </w:r>
            <w:r w:rsidRPr="008756F5">
              <w:rPr>
                <w:rFonts w:asciiTheme="minorHAnsi" w:hAnsiTheme="minorHAnsi" w:cstheme="minorHAnsi"/>
                <w:color w:val="FFFFFF"/>
                <w:sz w:val="18"/>
                <w:szCs w:val="18"/>
                <w:lang w:eastAsia="en-AU"/>
              </w:rPr>
              <w:t> </w:t>
            </w:r>
          </w:p>
        </w:tc>
        <w:tc>
          <w:tcPr>
            <w:tcW w:w="780" w:type="dxa"/>
            <w:tcBorders>
              <w:top w:val="single" w:sz="6" w:space="0" w:color="000000" w:themeColor="text1"/>
              <w:left w:val="nil"/>
              <w:bottom w:val="single" w:sz="6" w:space="0" w:color="000000" w:themeColor="text1"/>
              <w:right w:val="nil"/>
            </w:tcBorders>
            <w:shd w:val="clear" w:color="auto" w:fill="000000" w:themeFill="text1"/>
            <w:hideMark/>
          </w:tcPr>
          <w:p w14:paraId="054EDED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b/>
                <w:bCs/>
                <w:color w:val="FFFFFF"/>
                <w:sz w:val="18"/>
                <w:szCs w:val="18"/>
                <w:lang w:eastAsia="en-AU"/>
              </w:rPr>
              <w:t>%</w:t>
            </w:r>
            <w:r w:rsidRPr="008756F5">
              <w:rPr>
                <w:rFonts w:asciiTheme="minorHAnsi" w:hAnsiTheme="minorHAnsi" w:cstheme="minorHAnsi"/>
                <w:color w:val="FFFFFF"/>
                <w:sz w:val="18"/>
                <w:szCs w:val="18"/>
                <w:lang w:eastAsia="en-AU"/>
              </w:rPr>
              <w:t> </w:t>
            </w:r>
          </w:p>
        </w:tc>
        <w:tc>
          <w:tcPr>
            <w:tcW w:w="780" w:type="dxa"/>
            <w:tcBorders>
              <w:top w:val="single" w:sz="6" w:space="0" w:color="000000" w:themeColor="text1"/>
              <w:left w:val="nil"/>
              <w:bottom w:val="single" w:sz="6" w:space="0" w:color="000000" w:themeColor="text1"/>
              <w:right w:val="nil"/>
            </w:tcBorders>
            <w:shd w:val="clear" w:color="auto" w:fill="000000" w:themeFill="text1"/>
            <w:hideMark/>
          </w:tcPr>
          <w:p w14:paraId="3DC784E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b/>
                <w:bCs/>
                <w:color w:val="FFFFFF"/>
                <w:sz w:val="18"/>
                <w:szCs w:val="18"/>
                <w:lang w:eastAsia="en-AU"/>
              </w:rPr>
              <w:t>n</w:t>
            </w:r>
            <w:r w:rsidRPr="008756F5">
              <w:rPr>
                <w:rFonts w:asciiTheme="minorHAnsi" w:hAnsiTheme="minorHAnsi" w:cstheme="minorHAnsi"/>
                <w:color w:val="FFFFFF"/>
                <w:sz w:val="18"/>
                <w:szCs w:val="18"/>
                <w:lang w:eastAsia="en-AU"/>
              </w:rPr>
              <w:t> </w:t>
            </w:r>
          </w:p>
        </w:tc>
        <w:tc>
          <w:tcPr>
            <w:tcW w:w="690" w:type="dxa"/>
            <w:tcBorders>
              <w:top w:val="single" w:sz="6" w:space="0" w:color="000000" w:themeColor="text1"/>
              <w:left w:val="nil"/>
              <w:bottom w:val="single" w:sz="6" w:space="0" w:color="000000" w:themeColor="text1"/>
              <w:right w:val="nil"/>
            </w:tcBorders>
            <w:shd w:val="clear" w:color="auto" w:fill="000000" w:themeFill="text1"/>
            <w:hideMark/>
          </w:tcPr>
          <w:p w14:paraId="2A431FA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b/>
                <w:bCs/>
                <w:color w:val="FFFFFF"/>
                <w:sz w:val="18"/>
                <w:szCs w:val="18"/>
                <w:lang w:eastAsia="en-AU"/>
              </w:rPr>
              <w:t>%</w:t>
            </w:r>
            <w:r w:rsidRPr="008756F5">
              <w:rPr>
                <w:rFonts w:asciiTheme="minorHAnsi" w:hAnsiTheme="minorHAnsi" w:cstheme="minorHAnsi"/>
                <w:color w:val="FFFFFF"/>
                <w:sz w:val="18"/>
                <w:szCs w:val="18"/>
                <w:lang w:eastAsia="en-AU"/>
              </w:rPr>
              <w:t> </w:t>
            </w:r>
          </w:p>
        </w:tc>
        <w:tc>
          <w:tcPr>
            <w:tcW w:w="870" w:type="dxa"/>
            <w:tcBorders>
              <w:top w:val="single" w:sz="6" w:space="0" w:color="000000" w:themeColor="text1"/>
              <w:left w:val="nil"/>
              <w:bottom w:val="single" w:sz="6" w:space="0" w:color="000000" w:themeColor="text1"/>
              <w:right w:val="nil"/>
            </w:tcBorders>
            <w:shd w:val="clear" w:color="auto" w:fill="000000" w:themeFill="text1"/>
            <w:hideMark/>
          </w:tcPr>
          <w:p w14:paraId="6C22109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b/>
                <w:bCs/>
                <w:color w:val="FFFFFF"/>
                <w:sz w:val="18"/>
                <w:szCs w:val="18"/>
                <w:lang w:eastAsia="en-AU"/>
              </w:rPr>
              <w:t>n</w:t>
            </w:r>
            <w:r w:rsidRPr="008756F5">
              <w:rPr>
                <w:rFonts w:asciiTheme="minorHAnsi" w:hAnsiTheme="minorHAnsi" w:cstheme="minorHAnsi"/>
                <w:color w:val="FFFFFF"/>
                <w:sz w:val="18"/>
                <w:szCs w:val="18"/>
                <w:lang w:eastAsia="en-AU"/>
              </w:rPr>
              <w:t> </w:t>
            </w:r>
          </w:p>
        </w:tc>
        <w:tc>
          <w:tcPr>
            <w:tcW w:w="780" w:type="dxa"/>
            <w:tcBorders>
              <w:top w:val="single" w:sz="6" w:space="0" w:color="000000" w:themeColor="text1"/>
              <w:left w:val="nil"/>
              <w:bottom w:val="single" w:sz="6" w:space="0" w:color="000000" w:themeColor="text1"/>
              <w:right w:val="single" w:sz="6" w:space="0" w:color="000000" w:themeColor="text1"/>
            </w:tcBorders>
            <w:shd w:val="clear" w:color="auto" w:fill="000000" w:themeFill="text1"/>
            <w:hideMark/>
          </w:tcPr>
          <w:p w14:paraId="71E4A47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b/>
                <w:bCs/>
                <w:color w:val="FFFFFF"/>
                <w:sz w:val="18"/>
                <w:szCs w:val="18"/>
                <w:lang w:eastAsia="en-AU"/>
              </w:rPr>
              <w:t>%</w:t>
            </w:r>
            <w:r w:rsidRPr="008756F5">
              <w:rPr>
                <w:rFonts w:asciiTheme="minorHAnsi" w:hAnsiTheme="minorHAnsi" w:cstheme="minorHAnsi"/>
                <w:color w:val="FFFFFF"/>
                <w:sz w:val="18"/>
                <w:szCs w:val="18"/>
                <w:lang w:eastAsia="en-AU"/>
              </w:rPr>
              <w:t> </w:t>
            </w:r>
          </w:p>
        </w:tc>
      </w:tr>
      <w:tr w:rsidR="00BD530B" w:rsidRPr="008756F5" w14:paraId="3B182A56" w14:textId="77777777" w:rsidTr="00A56C43">
        <w:trPr>
          <w:trHeight w:val="630"/>
        </w:trPr>
        <w:tc>
          <w:tcPr>
            <w:tcW w:w="3465" w:type="dxa"/>
            <w:tcBorders>
              <w:top w:val="nil"/>
              <w:left w:val="single" w:sz="6" w:space="0" w:color="000000" w:themeColor="text1"/>
              <w:bottom w:val="nil"/>
              <w:right w:val="nil"/>
            </w:tcBorders>
            <w:shd w:val="clear" w:color="auto" w:fill="auto"/>
            <w:hideMark/>
          </w:tcPr>
          <w:p w14:paraId="3BA249DC" w14:textId="77777777" w:rsidR="00BD530B" w:rsidRPr="008756F5" w:rsidRDefault="00BD530B" w:rsidP="00A56C43">
            <w:pPr>
              <w:textAlignment w:val="baseline"/>
              <w:rPr>
                <w:rFonts w:asciiTheme="minorHAnsi" w:hAnsiTheme="minorHAnsi" w:cstheme="minorHAnsi"/>
                <w:b/>
                <w:bCs/>
                <w:lang w:eastAsia="en-AU"/>
              </w:rPr>
            </w:pPr>
            <w:r w:rsidRPr="008756F5">
              <w:rPr>
                <w:rFonts w:asciiTheme="minorHAnsi" w:hAnsiTheme="minorHAnsi" w:cstheme="minorHAnsi"/>
                <w:b/>
                <w:bCs/>
                <w:color w:val="000000"/>
                <w:sz w:val="18"/>
                <w:szCs w:val="18"/>
                <w:lang w:eastAsia="en-AU"/>
              </w:rPr>
              <w:t>DHMS preferred method of service delivery </w:t>
            </w:r>
          </w:p>
          <w:p w14:paraId="5BF84C92"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Yes</w:t>
            </w:r>
            <w:r w:rsidRPr="008756F5">
              <w:rPr>
                <w:rFonts w:asciiTheme="minorHAnsi" w:hAnsiTheme="minorHAnsi" w:cstheme="minorHAnsi"/>
                <w:b/>
                <w:bCs/>
                <w:color w:val="000000"/>
                <w:sz w:val="18"/>
                <w:szCs w:val="18"/>
                <w:lang w:eastAsia="en-AU"/>
              </w:rPr>
              <w:t> </w:t>
            </w:r>
          </w:p>
          <w:p w14:paraId="5F9E5A19"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No</w:t>
            </w:r>
            <w:r w:rsidRPr="008756F5">
              <w:rPr>
                <w:rFonts w:asciiTheme="minorHAnsi" w:hAnsiTheme="minorHAnsi" w:cstheme="minorHAnsi"/>
                <w:b/>
                <w:bCs/>
                <w:color w:val="000000"/>
                <w:sz w:val="18"/>
                <w:szCs w:val="18"/>
                <w:lang w:eastAsia="en-AU"/>
              </w:rPr>
              <w:t> </w:t>
            </w:r>
          </w:p>
        </w:tc>
        <w:tc>
          <w:tcPr>
            <w:tcW w:w="975" w:type="dxa"/>
            <w:tcBorders>
              <w:top w:val="nil"/>
              <w:left w:val="nil"/>
              <w:bottom w:val="nil"/>
              <w:right w:val="nil"/>
            </w:tcBorders>
            <w:shd w:val="clear" w:color="auto" w:fill="auto"/>
            <w:hideMark/>
          </w:tcPr>
          <w:p w14:paraId="58F361D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0BFDA9D6" w14:textId="77777777" w:rsidR="00BD530B" w:rsidRPr="008756F5" w:rsidRDefault="00BD530B" w:rsidP="00A56C43">
            <w:pPr>
              <w:jc w:val="center"/>
              <w:textAlignment w:val="baseline"/>
              <w:rPr>
                <w:rFonts w:asciiTheme="minorHAnsi" w:hAnsiTheme="minorHAnsi" w:cstheme="minorHAnsi"/>
                <w:color w:val="000000"/>
                <w:sz w:val="18"/>
                <w:szCs w:val="18"/>
                <w:lang w:eastAsia="en-AU"/>
              </w:rPr>
            </w:pPr>
          </w:p>
          <w:p w14:paraId="1D692EB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6731F04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8 </w:t>
            </w:r>
          </w:p>
        </w:tc>
        <w:tc>
          <w:tcPr>
            <w:tcW w:w="615" w:type="dxa"/>
            <w:tcBorders>
              <w:top w:val="nil"/>
              <w:left w:val="nil"/>
              <w:bottom w:val="nil"/>
              <w:right w:val="nil"/>
            </w:tcBorders>
            <w:shd w:val="clear" w:color="auto" w:fill="auto"/>
            <w:hideMark/>
          </w:tcPr>
          <w:p w14:paraId="01DADC4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44419ADC" w14:textId="77777777" w:rsidR="00BD530B" w:rsidRPr="008756F5" w:rsidRDefault="00BD530B" w:rsidP="00A56C43">
            <w:pPr>
              <w:jc w:val="center"/>
              <w:textAlignment w:val="baseline"/>
              <w:rPr>
                <w:rFonts w:asciiTheme="minorHAnsi" w:hAnsiTheme="minorHAnsi" w:cstheme="minorHAnsi"/>
                <w:color w:val="000000"/>
                <w:sz w:val="18"/>
                <w:szCs w:val="18"/>
                <w:lang w:eastAsia="en-AU"/>
              </w:rPr>
            </w:pPr>
          </w:p>
          <w:p w14:paraId="23DEC89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34C0F03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100 </w:t>
            </w:r>
          </w:p>
        </w:tc>
        <w:tc>
          <w:tcPr>
            <w:tcW w:w="735" w:type="dxa"/>
            <w:tcBorders>
              <w:top w:val="nil"/>
              <w:left w:val="nil"/>
              <w:bottom w:val="nil"/>
              <w:right w:val="nil"/>
            </w:tcBorders>
            <w:shd w:val="clear" w:color="auto" w:fill="auto"/>
            <w:hideMark/>
          </w:tcPr>
          <w:p w14:paraId="68CD294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21B56FD2" w14:textId="77777777" w:rsidR="00BD530B" w:rsidRPr="008756F5" w:rsidRDefault="00BD530B" w:rsidP="00A56C43">
            <w:pPr>
              <w:jc w:val="center"/>
              <w:textAlignment w:val="baseline"/>
              <w:rPr>
                <w:rFonts w:asciiTheme="minorHAnsi" w:hAnsiTheme="minorHAnsi" w:cstheme="minorHAnsi"/>
                <w:color w:val="000000"/>
                <w:sz w:val="18"/>
                <w:szCs w:val="18"/>
                <w:lang w:eastAsia="en-AU"/>
              </w:rPr>
            </w:pPr>
          </w:p>
          <w:p w14:paraId="488F9BC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485764D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80" w:type="dxa"/>
            <w:tcBorders>
              <w:top w:val="nil"/>
              <w:left w:val="nil"/>
              <w:bottom w:val="nil"/>
              <w:right w:val="nil"/>
            </w:tcBorders>
            <w:shd w:val="clear" w:color="auto" w:fill="auto"/>
            <w:hideMark/>
          </w:tcPr>
          <w:p w14:paraId="5BC3DC7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03ED13E7" w14:textId="77777777" w:rsidR="00BD530B" w:rsidRPr="008756F5" w:rsidRDefault="00BD530B" w:rsidP="00A56C43">
            <w:pPr>
              <w:jc w:val="center"/>
              <w:textAlignment w:val="baseline"/>
              <w:rPr>
                <w:rFonts w:asciiTheme="minorHAnsi" w:hAnsiTheme="minorHAnsi" w:cstheme="minorHAnsi"/>
                <w:color w:val="000000"/>
                <w:sz w:val="18"/>
                <w:szCs w:val="18"/>
                <w:lang w:eastAsia="en-AU"/>
              </w:rPr>
            </w:pPr>
          </w:p>
          <w:p w14:paraId="39213C8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100 </w:t>
            </w:r>
          </w:p>
          <w:p w14:paraId="4B1B654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80" w:type="dxa"/>
            <w:tcBorders>
              <w:top w:val="nil"/>
              <w:left w:val="nil"/>
              <w:bottom w:val="nil"/>
              <w:right w:val="nil"/>
            </w:tcBorders>
            <w:shd w:val="clear" w:color="auto" w:fill="auto"/>
            <w:hideMark/>
          </w:tcPr>
          <w:p w14:paraId="7508252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548678B9" w14:textId="77777777" w:rsidR="00BD530B" w:rsidRPr="008756F5" w:rsidRDefault="00BD530B" w:rsidP="00A56C43">
            <w:pPr>
              <w:jc w:val="center"/>
              <w:textAlignment w:val="baseline"/>
              <w:rPr>
                <w:rFonts w:asciiTheme="minorHAnsi" w:hAnsiTheme="minorHAnsi" w:cstheme="minorHAnsi"/>
                <w:color w:val="000000"/>
                <w:sz w:val="18"/>
                <w:szCs w:val="18"/>
                <w:lang w:eastAsia="en-AU"/>
              </w:rPr>
            </w:pPr>
          </w:p>
          <w:p w14:paraId="45D2418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6 </w:t>
            </w:r>
          </w:p>
          <w:p w14:paraId="2E28963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9 </w:t>
            </w:r>
          </w:p>
        </w:tc>
        <w:tc>
          <w:tcPr>
            <w:tcW w:w="690" w:type="dxa"/>
            <w:tcBorders>
              <w:top w:val="nil"/>
              <w:left w:val="nil"/>
              <w:bottom w:val="nil"/>
              <w:right w:val="nil"/>
            </w:tcBorders>
            <w:shd w:val="clear" w:color="auto" w:fill="auto"/>
            <w:hideMark/>
          </w:tcPr>
          <w:p w14:paraId="66184C7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4D3B6FAA" w14:textId="77777777" w:rsidR="00BD530B" w:rsidRPr="008756F5" w:rsidRDefault="00BD530B" w:rsidP="00A56C43">
            <w:pPr>
              <w:jc w:val="center"/>
              <w:textAlignment w:val="baseline"/>
              <w:rPr>
                <w:rFonts w:asciiTheme="minorHAnsi" w:hAnsiTheme="minorHAnsi" w:cstheme="minorHAnsi"/>
                <w:color w:val="000000"/>
                <w:sz w:val="18"/>
                <w:szCs w:val="18"/>
                <w:lang w:eastAsia="en-AU"/>
              </w:rPr>
            </w:pPr>
          </w:p>
          <w:p w14:paraId="7C37AA3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40 </w:t>
            </w:r>
          </w:p>
          <w:p w14:paraId="7E89070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60 </w:t>
            </w:r>
          </w:p>
        </w:tc>
        <w:tc>
          <w:tcPr>
            <w:tcW w:w="870" w:type="dxa"/>
            <w:tcBorders>
              <w:top w:val="nil"/>
              <w:left w:val="nil"/>
              <w:bottom w:val="nil"/>
              <w:right w:val="nil"/>
            </w:tcBorders>
            <w:shd w:val="clear" w:color="auto" w:fill="auto"/>
            <w:hideMark/>
          </w:tcPr>
          <w:p w14:paraId="69E02AE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57DACE23" w14:textId="77777777" w:rsidR="00BD530B" w:rsidRPr="008756F5" w:rsidRDefault="00BD530B" w:rsidP="00A56C43">
            <w:pPr>
              <w:jc w:val="center"/>
              <w:textAlignment w:val="baseline"/>
              <w:rPr>
                <w:rFonts w:asciiTheme="minorHAnsi" w:hAnsiTheme="minorHAnsi" w:cstheme="minorHAnsi"/>
                <w:color w:val="000000"/>
                <w:sz w:val="18"/>
                <w:szCs w:val="18"/>
                <w:lang w:eastAsia="en-AU"/>
              </w:rPr>
            </w:pPr>
          </w:p>
          <w:p w14:paraId="0022F5F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p w14:paraId="5843227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17 </w:t>
            </w:r>
          </w:p>
        </w:tc>
        <w:tc>
          <w:tcPr>
            <w:tcW w:w="780" w:type="dxa"/>
            <w:tcBorders>
              <w:top w:val="nil"/>
              <w:left w:val="nil"/>
              <w:bottom w:val="nil"/>
              <w:right w:val="single" w:sz="6" w:space="0" w:color="000000" w:themeColor="text1"/>
            </w:tcBorders>
            <w:shd w:val="clear" w:color="auto" w:fill="auto"/>
            <w:hideMark/>
          </w:tcPr>
          <w:p w14:paraId="228DA38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2EC7E6D6" w14:textId="77777777" w:rsidR="00BD530B" w:rsidRPr="008756F5" w:rsidRDefault="00BD530B" w:rsidP="00A56C43">
            <w:pPr>
              <w:jc w:val="center"/>
              <w:textAlignment w:val="baseline"/>
              <w:rPr>
                <w:rFonts w:asciiTheme="minorHAnsi" w:hAnsiTheme="minorHAnsi" w:cstheme="minorHAnsi"/>
                <w:color w:val="000000"/>
                <w:sz w:val="18"/>
                <w:szCs w:val="18"/>
                <w:lang w:eastAsia="en-AU"/>
              </w:rPr>
            </w:pPr>
          </w:p>
          <w:p w14:paraId="45EF635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43 </w:t>
            </w:r>
          </w:p>
          <w:p w14:paraId="0BC2613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57 </w:t>
            </w:r>
          </w:p>
        </w:tc>
      </w:tr>
      <w:tr w:rsidR="00BD530B" w:rsidRPr="008756F5" w14:paraId="5357C3A8" w14:textId="77777777" w:rsidTr="00A56C43">
        <w:trPr>
          <w:trHeight w:val="1080"/>
        </w:trPr>
        <w:tc>
          <w:tcPr>
            <w:tcW w:w="3465" w:type="dxa"/>
            <w:tcBorders>
              <w:top w:val="single" w:sz="6" w:space="0" w:color="000000" w:themeColor="text1"/>
              <w:left w:val="single" w:sz="6" w:space="0" w:color="000000" w:themeColor="text1"/>
              <w:bottom w:val="single" w:sz="6" w:space="0" w:color="000000" w:themeColor="text1"/>
              <w:right w:val="nil"/>
            </w:tcBorders>
            <w:shd w:val="clear" w:color="auto" w:fill="auto"/>
            <w:hideMark/>
          </w:tcPr>
          <w:p w14:paraId="291CF74A" w14:textId="77777777" w:rsidR="00BD530B" w:rsidRPr="008756F5" w:rsidRDefault="00BD530B" w:rsidP="00A56C43">
            <w:pPr>
              <w:textAlignment w:val="baseline"/>
              <w:rPr>
                <w:rFonts w:asciiTheme="minorHAnsi" w:hAnsiTheme="minorHAnsi" w:cstheme="minorHAnsi"/>
                <w:b/>
                <w:bCs/>
                <w:lang w:eastAsia="en-AU"/>
              </w:rPr>
            </w:pPr>
            <w:r w:rsidRPr="008756F5">
              <w:rPr>
                <w:rFonts w:asciiTheme="minorHAnsi" w:hAnsiTheme="minorHAnsi" w:cstheme="minorHAnsi"/>
                <w:b/>
                <w:bCs/>
                <w:color w:val="000000"/>
                <w:sz w:val="18"/>
                <w:szCs w:val="18"/>
                <w:lang w:eastAsia="en-AU"/>
              </w:rPr>
              <w:t xml:space="preserve">Preferred </w:t>
            </w:r>
            <w:proofErr w:type="spellStart"/>
            <w:r w:rsidRPr="008756F5">
              <w:rPr>
                <w:rFonts w:asciiTheme="minorHAnsi" w:hAnsiTheme="minorHAnsi" w:cstheme="minorHAnsi"/>
                <w:b/>
                <w:bCs/>
                <w:color w:val="000000"/>
                <w:sz w:val="18"/>
                <w:szCs w:val="18"/>
                <w:lang w:eastAsia="en-AU"/>
              </w:rPr>
              <w:t>method</w:t>
            </w:r>
            <w:r w:rsidRPr="008756F5">
              <w:rPr>
                <w:rFonts w:asciiTheme="minorHAnsi" w:hAnsiTheme="minorHAnsi" w:cstheme="minorHAnsi"/>
                <w:b/>
                <w:bCs/>
                <w:color w:val="000000"/>
                <w:sz w:val="14"/>
                <w:szCs w:val="14"/>
                <w:vertAlign w:val="superscript"/>
                <w:lang w:eastAsia="en-AU"/>
              </w:rPr>
              <w:t>a</w:t>
            </w:r>
            <w:proofErr w:type="spellEnd"/>
            <w:r w:rsidRPr="008756F5">
              <w:rPr>
                <w:rFonts w:asciiTheme="minorHAnsi" w:hAnsiTheme="minorHAnsi" w:cstheme="minorHAnsi"/>
                <w:b/>
                <w:bCs/>
                <w:color w:val="000000"/>
                <w:sz w:val="18"/>
                <w:szCs w:val="18"/>
                <w:lang w:eastAsia="en-AU"/>
              </w:rPr>
              <w:t xml:space="preserve"> (n=17) </w:t>
            </w:r>
          </w:p>
          <w:p w14:paraId="5747A7C0"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Face-to-face</w:t>
            </w:r>
            <w:r w:rsidRPr="008756F5">
              <w:rPr>
                <w:rFonts w:asciiTheme="minorHAnsi" w:hAnsiTheme="minorHAnsi" w:cstheme="minorHAnsi"/>
                <w:b/>
                <w:bCs/>
                <w:color w:val="000000"/>
                <w:sz w:val="18"/>
                <w:szCs w:val="18"/>
                <w:lang w:eastAsia="en-AU"/>
              </w:rPr>
              <w:t> </w:t>
            </w:r>
          </w:p>
          <w:p w14:paraId="72FB50BB"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Phone</w:t>
            </w:r>
            <w:r w:rsidRPr="008756F5">
              <w:rPr>
                <w:rFonts w:asciiTheme="minorHAnsi" w:hAnsiTheme="minorHAnsi" w:cstheme="minorHAnsi"/>
                <w:b/>
                <w:bCs/>
                <w:color w:val="000000"/>
                <w:sz w:val="18"/>
                <w:szCs w:val="18"/>
                <w:lang w:eastAsia="en-AU"/>
              </w:rPr>
              <w:t> </w:t>
            </w:r>
          </w:p>
          <w:p w14:paraId="2E5509ED"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Video</w:t>
            </w:r>
            <w:r w:rsidRPr="008756F5">
              <w:rPr>
                <w:rFonts w:asciiTheme="minorHAnsi" w:hAnsiTheme="minorHAnsi" w:cstheme="minorHAnsi"/>
                <w:b/>
                <w:bCs/>
                <w:color w:val="000000"/>
                <w:sz w:val="18"/>
                <w:szCs w:val="18"/>
                <w:lang w:eastAsia="en-AU"/>
              </w:rPr>
              <w:t> </w:t>
            </w:r>
          </w:p>
          <w:p w14:paraId="0F6A8378"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Other</w:t>
            </w:r>
            <w:r w:rsidRPr="008756F5">
              <w:rPr>
                <w:rFonts w:asciiTheme="minorHAnsi" w:hAnsiTheme="minorHAnsi" w:cstheme="minorHAnsi"/>
                <w:b/>
                <w:bCs/>
                <w:color w:val="000000"/>
                <w:sz w:val="18"/>
                <w:szCs w:val="18"/>
                <w:lang w:eastAsia="en-AU"/>
              </w:rPr>
              <w:t> </w:t>
            </w:r>
          </w:p>
        </w:tc>
        <w:tc>
          <w:tcPr>
            <w:tcW w:w="975" w:type="dxa"/>
            <w:tcBorders>
              <w:top w:val="single" w:sz="6" w:space="0" w:color="000000" w:themeColor="text1"/>
              <w:left w:val="nil"/>
              <w:bottom w:val="single" w:sz="6" w:space="0" w:color="000000" w:themeColor="text1"/>
              <w:right w:val="nil"/>
            </w:tcBorders>
            <w:shd w:val="clear" w:color="auto" w:fill="auto"/>
            <w:hideMark/>
          </w:tcPr>
          <w:p w14:paraId="0442592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0063F13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8 </w:t>
            </w:r>
          </w:p>
          <w:p w14:paraId="152A552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14108DA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2 </w:t>
            </w:r>
          </w:p>
          <w:p w14:paraId="5A1756D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615" w:type="dxa"/>
            <w:tcBorders>
              <w:top w:val="single" w:sz="6" w:space="0" w:color="000000" w:themeColor="text1"/>
              <w:left w:val="nil"/>
              <w:bottom w:val="single" w:sz="6" w:space="0" w:color="000000" w:themeColor="text1"/>
              <w:right w:val="nil"/>
            </w:tcBorders>
            <w:shd w:val="clear" w:color="auto" w:fill="auto"/>
            <w:hideMark/>
          </w:tcPr>
          <w:p w14:paraId="4C6BE00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617DB7F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100 </w:t>
            </w:r>
          </w:p>
          <w:p w14:paraId="2F06852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282DD7A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25 </w:t>
            </w:r>
          </w:p>
          <w:p w14:paraId="01B79A0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35" w:type="dxa"/>
            <w:tcBorders>
              <w:top w:val="single" w:sz="6" w:space="0" w:color="000000" w:themeColor="text1"/>
              <w:left w:val="nil"/>
              <w:bottom w:val="single" w:sz="6" w:space="0" w:color="000000" w:themeColor="text1"/>
              <w:right w:val="nil"/>
            </w:tcBorders>
            <w:shd w:val="clear" w:color="auto" w:fill="auto"/>
            <w:hideMark/>
          </w:tcPr>
          <w:p w14:paraId="7B9DEA3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7430409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7A2AB93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540F92F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748726C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80" w:type="dxa"/>
            <w:tcBorders>
              <w:top w:val="single" w:sz="6" w:space="0" w:color="000000" w:themeColor="text1"/>
              <w:left w:val="nil"/>
              <w:bottom w:val="single" w:sz="6" w:space="0" w:color="000000" w:themeColor="text1"/>
              <w:right w:val="nil"/>
            </w:tcBorders>
            <w:shd w:val="clear" w:color="auto" w:fill="auto"/>
            <w:hideMark/>
          </w:tcPr>
          <w:p w14:paraId="7FE6F6C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5A963EE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50F7310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3621AE7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452EF6E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80" w:type="dxa"/>
            <w:tcBorders>
              <w:top w:val="single" w:sz="6" w:space="0" w:color="000000" w:themeColor="text1"/>
              <w:left w:val="nil"/>
              <w:bottom w:val="single" w:sz="6" w:space="0" w:color="000000" w:themeColor="text1"/>
              <w:right w:val="nil"/>
            </w:tcBorders>
            <w:shd w:val="clear" w:color="auto" w:fill="auto"/>
            <w:hideMark/>
          </w:tcPr>
          <w:p w14:paraId="35C2D66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0EA923F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8 </w:t>
            </w:r>
          </w:p>
          <w:p w14:paraId="09D6553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p w14:paraId="7E8FCA3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6 </w:t>
            </w:r>
          </w:p>
          <w:p w14:paraId="6D4D726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tc>
        <w:tc>
          <w:tcPr>
            <w:tcW w:w="690" w:type="dxa"/>
            <w:tcBorders>
              <w:top w:val="single" w:sz="6" w:space="0" w:color="000000" w:themeColor="text1"/>
              <w:left w:val="nil"/>
              <w:bottom w:val="single" w:sz="6" w:space="0" w:color="000000" w:themeColor="text1"/>
              <w:right w:val="nil"/>
            </w:tcBorders>
            <w:shd w:val="clear" w:color="auto" w:fill="auto"/>
            <w:hideMark/>
          </w:tcPr>
          <w:p w14:paraId="4F2AABC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330C49A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88 </w:t>
            </w:r>
          </w:p>
          <w:p w14:paraId="7972887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33 </w:t>
            </w:r>
          </w:p>
          <w:p w14:paraId="39EB618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66 </w:t>
            </w:r>
          </w:p>
          <w:p w14:paraId="160864F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11 </w:t>
            </w:r>
          </w:p>
        </w:tc>
        <w:tc>
          <w:tcPr>
            <w:tcW w:w="870" w:type="dxa"/>
            <w:tcBorders>
              <w:top w:val="single" w:sz="6" w:space="0" w:color="000000" w:themeColor="text1"/>
              <w:left w:val="nil"/>
              <w:bottom w:val="single" w:sz="6" w:space="0" w:color="000000" w:themeColor="text1"/>
              <w:right w:val="nil"/>
            </w:tcBorders>
            <w:shd w:val="clear" w:color="auto" w:fill="auto"/>
            <w:hideMark/>
          </w:tcPr>
          <w:p w14:paraId="5B15F5B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747FC70A"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16 </w:t>
            </w:r>
          </w:p>
          <w:p w14:paraId="6503C3D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p w14:paraId="5C7DF19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8 </w:t>
            </w:r>
          </w:p>
          <w:p w14:paraId="66AA14C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tc>
        <w:tc>
          <w:tcPr>
            <w:tcW w:w="780" w:type="dxa"/>
            <w:tcBorders>
              <w:top w:val="single" w:sz="6" w:space="0" w:color="000000" w:themeColor="text1"/>
              <w:left w:val="nil"/>
              <w:bottom w:val="single" w:sz="6" w:space="0" w:color="000000" w:themeColor="text1"/>
              <w:right w:val="single" w:sz="6" w:space="0" w:color="000000" w:themeColor="text1"/>
            </w:tcBorders>
            <w:shd w:val="clear" w:color="auto" w:fill="auto"/>
            <w:hideMark/>
          </w:tcPr>
          <w:p w14:paraId="25ED12B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12F3648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94 </w:t>
            </w:r>
          </w:p>
          <w:p w14:paraId="1E63459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18 </w:t>
            </w:r>
          </w:p>
          <w:p w14:paraId="61706E9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47 </w:t>
            </w:r>
          </w:p>
          <w:p w14:paraId="314F896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19 </w:t>
            </w:r>
          </w:p>
        </w:tc>
      </w:tr>
      <w:tr w:rsidR="00BD530B" w:rsidRPr="008756F5" w14:paraId="178F40C3" w14:textId="77777777" w:rsidTr="00A56C43">
        <w:trPr>
          <w:trHeight w:val="1335"/>
        </w:trPr>
        <w:tc>
          <w:tcPr>
            <w:tcW w:w="3465" w:type="dxa"/>
            <w:tcBorders>
              <w:top w:val="nil"/>
              <w:left w:val="single" w:sz="6" w:space="0" w:color="000000" w:themeColor="text1"/>
              <w:bottom w:val="single" w:sz="6" w:space="0" w:color="000000" w:themeColor="text1"/>
              <w:right w:val="nil"/>
            </w:tcBorders>
            <w:shd w:val="clear" w:color="auto" w:fill="auto"/>
            <w:hideMark/>
          </w:tcPr>
          <w:p w14:paraId="68F9F28C" w14:textId="77777777" w:rsidR="00BD530B" w:rsidRPr="008756F5" w:rsidRDefault="00BD530B" w:rsidP="00A56C43">
            <w:pPr>
              <w:textAlignment w:val="baseline"/>
              <w:rPr>
                <w:rFonts w:asciiTheme="minorHAnsi" w:hAnsiTheme="minorHAnsi" w:cstheme="minorHAnsi"/>
                <w:b/>
                <w:bCs/>
                <w:lang w:eastAsia="en-AU"/>
              </w:rPr>
            </w:pPr>
            <w:r w:rsidRPr="008756F5">
              <w:rPr>
                <w:rFonts w:asciiTheme="minorHAnsi" w:hAnsiTheme="minorHAnsi" w:cstheme="minorHAnsi"/>
                <w:b/>
                <w:bCs/>
                <w:color w:val="000000"/>
                <w:sz w:val="18"/>
                <w:szCs w:val="18"/>
                <w:lang w:eastAsia="en-AU"/>
              </w:rPr>
              <w:t>Satisfaction with DMHS</w:t>
            </w:r>
          </w:p>
          <w:p w14:paraId="57DAE1FD" w14:textId="77777777" w:rsidR="00BD530B" w:rsidRPr="008756F5" w:rsidRDefault="00BD530B" w:rsidP="00A56C43">
            <w:pPr>
              <w:ind w:left="150"/>
              <w:textAlignment w:val="baseline"/>
              <w:rPr>
                <w:rFonts w:asciiTheme="minorHAnsi" w:hAnsiTheme="minorHAnsi" w:cstheme="minorHAnsi"/>
                <w:color w:val="000000"/>
                <w:sz w:val="18"/>
                <w:szCs w:val="18"/>
                <w:lang w:eastAsia="en-AU"/>
              </w:rPr>
            </w:pPr>
            <w:r w:rsidRPr="008756F5">
              <w:rPr>
                <w:rFonts w:asciiTheme="minorHAnsi" w:hAnsiTheme="minorHAnsi" w:cstheme="minorHAnsi"/>
                <w:color w:val="000000" w:themeColor="text1"/>
                <w:sz w:val="18"/>
                <w:szCs w:val="18"/>
                <w:lang w:eastAsia="en-AU"/>
              </w:rPr>
              <w:t>Not at all satisfied</w:t>
            </w:r>
          </w:p>
          <w:p w14:paraId="031C8DCA"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Somewhat satisfied</w:t>
            </w:r>
            <w:r w:rsidRPr="008756F5">
              <w:rPr>
                <w:rFonts w:asciiTheme="minorHAnsi" w:hAnsiTheme="minorHAnsi" w:cstheme="minorHAnsi"/>
                <w:b/>
                <w:bCs/>
                <w:color w:val="000000"/>
                <w:sz w:val="18"/>
                <w:szCs w:val="18"/>
                <w:lang w:eastAsia="en-AU"/>
              </w:rPr>
              <w:t> </w:t>
            </w:r>
          </w:p>
          <w:p w14:paraId="797840EA"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Satisfied</w:t>
            </w:r>
            <w:r w:rsidRPr="008756F5">
              <w:rPr>
                <w:rFonts w:asciiTheme="minorHAnsi" w:hAnsiTheme="minorHAnsi" w:cstheme="minorHAnsi"/>
                <w:b/>
                <w:bCs/>
                <w:color w:val="000000"/>
                <w:sz w:val="18"/>
                <w:szCs w:val="18"/>
                <w:lang w:eastAsia="en-AU"/>
              </w:rPr>
              <w:t> </w:t>
            </w:r>
          </w:p>
          <w:p w14:paraId="155F5C9B"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Very satisfied</w:t>
            </w:r>
            <w:r w:rsidRPr="008756F5">
              <w:rPr>
                <w:rFonts w:asciiTheme="minorHAnsi" w:hAnsiTheme="minorHAnsi" w:cstheme="minorHAnsi"/>
                <w:b/>
                <w:bCs/>
                <w:color w:val="000000"/>
                <w:sz w:val="18"/>
                <w:szCs w:val="18"/>
                <w:lang w:eastAsia="en-AU"/>
              </w:rPr>
              <w:t> </w:t>
            </w:r>
          </w:p>
          <w:p w14:paraId="067059A3"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Completely satisfied</w:t>
            </w:r>
            <w:r w:rsidRPr="008756F5">
              <w:rPr>
                <w:rFonts w:asciiTheme="minorHAnsi" w:hAnsiTheme="minorHAnsi" w:cstheme="minorHAnsi"/>
                <w:b/>
                <w:bCs/>
                <w:color w:val="000000"/>
                <w:sz w:val="18"/>
                <w:szCs w:val="18"/>
                <w:lang w:eastAsia="en-AU"/>
              </w:rPr>
              <w:t> </w:t>
            </w:r>
          </w:p>
          <w:p w14:paraId="1F2B85F4" w14:textId="77777777" w:rsidR="00BD530B" w:rsidRPr="008756F5" w:rsidRDefault="00BD530B" w:rsidP="00A56C43">
            <w:pPr>
              <w:ind w:left="150"/>
              <w:textAlignment w:val="baseline"/>
              <w:rPr>
                <w:rFonts w:asciiTheme="minorHAnsi" w:hAnsiTheme="minorHAnsi" w:cstheme="minorHAnsi"/>
                <w:b/>
                <w:bCs/>
                <w:lang w:eastAsia="en-AU"/>
              </w:rPr>
            </w:pPr>
            <w:r w:rsidRPr="008756F5">
              <w:rPr>
                <w:rFonts w:asciiTheme="minorHAnsi" w:hAnsiTheme="minorHAnsi" w:cstheme="minorHAnsi"/>
                <w:color w:val="000000"/>
                <w:sz w:val="18"/>
                <w:szCs w:val="18"/>
                <w:lang w:eastAsia="en-AU"/>
              </w:rPr>
              <w:t>Missing</w:t>
            </w:r>
            <w:r w:rsidRPr="008756F5">
              <w:rPr>
                <w:rFonts w:asciiTheme="minorHAnsi" w:hAnsiTheme="minorHAnsi" w:cstheme="minorHAnsi"/>
                <w:b/>
                <w:bCs/>
                <w:color w:val="000000"/>
                <w:sz w:val="18"/>
                <w:szCs w:val="18"/>
                <w:lang w:eastAsia="en-AU"/>
              </w:rPr>
              <w:t> </w:t>
            </w:r>
          </w:p>
        </w:tc>
        <w:tc>
          <w:tcPr>
            <w:tcW w:w="975" w:type="dxa"/>
            <w:tcBorders>
              <w:top w:val="nil"/>
              <w:left w:val="nil"/>
              <w:bottom w:val="single" w:sz="6" w:space="0" w:color="000000" w:themeColor="text1"/>
              <w:right w:val="nil"/>
            </w:tcBorders>
            <w:shd w:val="clear" w:color="auto" w:fill="auto"/>
            <w:hideMark/>
          </w:tcPr>
          <w:p w14:paraId="63BE9CE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2296641F" w14:textId="77777777" w:rsidR="00BD530B" w:rsidRPr="008756F5" w:rsidRDefault="00BD530B" w:rsidP="00A56C43">
            <w:pPr>
              <w:jc w:val="center"/>
              <w:textAlignment w:val="baseline"/>
              <w:rPr>
                <w:rFonts w:asciiTheme="minorHAnsi" w:hAnsiTheme="minorHAnsi" w:cstheme="minorHAnsi"/>
                <w:color w:val="000000"/>
                <w:sz w:val="18"/>
                <w:szCs w:val="18"/>
                <w:lang w:eastAsia="en-AU"/>
              </w:rPr>
            </w:pPr>
            <w:r w:rsidRPr="008756F5">
              <w:rPr>
                <w:rFonts w:asciiTheme="minorHAnsi" w:hAnsiTheme="minorHAnsi" w:cstheme="minorHAnsi"/>
                <w:color w:val="000000"/>
                <w:sz w:val="18"/>
                <w:szCs w:val="18"/>
                <w:lang w:eastAsia="en-AU"/>
              </w:rPr>
              <w:t>0</w:t>
            </w:r>
          </w:p>
          <w:p w14:paraId="7E8BCC0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54202A4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5 </w:t>
            </w:r>
          </w:p>
          <w:p w14:paraId="71029C9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2 </w:t>
            </w:r>
          </w:p>
          <w:p w14:paraId="0C3D380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239C086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tc>
        <w:tc>
          <w:tcPr>
            <w:tcW w:w="615" w:type="dxa"/>
            <w:tcBorders>
              <w:top w:val="nil"/>
              <w:left w:val="nil"/>
              <w:bottom w:val="single" w:sz="6" w:space="0" w:color="000000" w:themeColor="text1"/>
              <w:right w:val="nil"/>
            </w:tcBorders>
            <w:shd w:val="clear" w:color="auto" w:fill="auto"/>
            <w:hideMark/>
          </w:tcPr>
          <w:p w14:paraId="33FAAA9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32700B0C" w14:textId="77777777" w:rsidR="00BD530B" w:rsidRPr="008756F5" w:rsidRDefault="00BD530B" w:rsidP="00A56C43">
            <w:pPr>
              <w:jc w:val="center"/>
              <w:textAlignment w:val="baseline"/>
              <w:rPr>
                <w:rFonts w:asciiTheme="minorHAnsi" w:hAnsiTheme="minorHAnsi" w:cstheme="minorHAnsi"/>
                <w:color w:val="000000"/>
                <w:sz w:val="18"/>
                <w:szCs w:val="18"/>
                <w:lang w:eastAsia="en-AU"/>
              </w:rPr>
            </w:pPr>
            <w:r w:rsidRPr="008756F5">
              <w:rPr>
                <w:rFonts w:asciiTheme="minorHAnsi" w:hAnsiTheme="minorHAnsi" w:cstheme="minorHAnsi"/>
                <w:color w:val="000000"/>
                <w:sz w:val="18"/>
                <w:szCs w:val="18"/>
                <w:lang w:eastAsia="en-AU"/>
              </w:rPr>
              <w:t>0</w:t>
            </w:r>
          </w:p>
          <w:p w14:paraId="0F64A62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2347C58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63 </w:t>
            </w:r>
          </w:p>
          <w:p w14:paraId="1371498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25 </w:t>
            </w:r>
          </w:p>
          <w:p w14:paraId="7C1D603B"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0E01A22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tc>
        <w:tc>
          <w:tcPr>
            <w:tcW w:w="735" w:type="dxa"/>
            <w:tcBorders>
              <w:top w:val="nil"/>
              <w:left w:val="nil"/>
              <w:bottom w:val="single" w:sz="6" w:space="0" w:color="000000" w:themeColor="text1"/>
              <w:right w:val="nil"/>
            </w:tcBorders>
            <w:shd w:val="clear" w:color="auto" w:fill="auto"/>
            <w:hideMark/>
          </w:tcPr>
          <w:p w14:paraId="6FB5BF00"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2A6D5C3C" w14:textId="77777777" w:rsidR="00BD530B" w:rsidRPr="008756F5" w:rsidRDefault="00BD530B" w:rsidP="00A56C43">
            <w:pPr>
              <w:jc w:val="center"/>
              <w:textAlignment w:val="baseline"/>
              <w:rPr>
                <w:rFonts w:asciiTheme="minorHAnsi" w:hAnsiTheme="minorHAnsi" w:cstheme="minorHAnsi"/>
                <w:color w:val="000000"/>
                <w:sz w:val="18"/>
                <w:szCs w:val="18"/>
                <w:lang w:eastAsia="en-AU"/>
              </w:rPr>
            </w:pPr>
            <w:r w:rsidRPr="008756F5">
              <w:rPr>
                <w:rFonts w:asciiTheme="minorHAnsi" w:hAnsiTheme="minorHAnsi" w:cstheme="minorHAnsi"/>
                <w:color w:val="000000"/>
                <w:sz w:val="18"/>
                <w:szCs w:val="18"/>
                <w:lang w:eastAsia="en-AU"/>
              </w:rPr>
              <w:t>0</w:t>
            </w:r>
          </w:p>
          <w:p w14:paraId="40783FB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60321C9C"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7D807C8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5 </w:t>
            </w:r>
          </w:p>
          <w:p w14:paraId="45369B3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2 </w:t>
            </w:r>
          </w:p>
          <w:p w14:paraId="5AEE5C9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80" w:type="dxa"/>
            <w:tcBorders>
              <w:top w:val="nil"/>
              <w:left w:val="nil"/>
              <w:bottom w:val="single" w:sz="6" w:space="0" w:color="000000" w:themeColor="text1"/>
              <w:right w:val="nil"/>
            </w:tcBorders>
            <w:shd w:val="clear" w:color="auto" w:fill="auto"/>
            <w:hideMark/>
          </w:tcPr>
          <w:p w14:paraId="0562AFC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35FE0B22" w14:textId="77777777" w:rsidR="00BD530B" w:rsidRPr="008756F5" w:rsidRDefault="00BD530B" w:rsidP="00A56C43">
            <w:pPr>
              <w:jc w:val="center"/>
              <w:textAlignment w:val="baseline"/>
              <w:rPr>
                <w:rFonts w:asciiTheme="minorHAnsi" w:hAnsiTheme="minorHAnsi" w:cstheme="minorHAnsi"/>
                <w:color w:val="000000"/>
                <w:sz w:val="18"/>
                <w:szCs w:val="18"/>
                <w:lang w:eastAsia="en-AU"/>
              </w:rPr>
            </w:pPr>
            <w:r w:rsidRPr="008756F5">
              <w:rPr>
                <w:rFonts w:asciiTheme="minorHAnsi" w:hAnsiTheme="minorHAnsi" w:cstheme="minorHAnsi"/>
                <w:color w:val="000000"/>
                <w:sz w:val="18"/>
                <w:szCs w:val="18"/>
                <w:lang w:eastAsia="en-AU"/>
              </w:rPr>
              <w:t>0</w:t>
            </w:r>
          </w:p>
          <w:p w14:paraId="6DFDE6C6"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408B287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p w14:paraId="359B9A9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71 </w:t>
            </w:r>
          </w:p>
          <w:p w14:paraId="2D878D3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29 </w:t>
            </w:r>
          </w:p>
          <w:p w14:paraId="4442684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0 </w:t>
            </w:r>
          </w:p>
        </w:tc>
        <w:tc>
          <w:tcPr>
            <w:tcW w:w="780" w:type="dxa"/>
            <w:tcBorders>
              <w:top w:val="nil"/>
              <w:left w:val="nil"/>
              <w:bottom w:val="single" w:sz="6" w:space="0" w:color="000000" w:themeColor="text1"/>
              <w:right w:val="nil"/>
            </w:tcBorders>
            <w:shd w:val="clear" w:color="auto" w:fill="auto"/>
            <w:hideMark/>
          </w:tcPr>
          <w:p w14:paraId="42A83793"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4A68E7EE" w14:textId="77777777" w:rsidR="00BD530B" w:rsidRPr="008756F5" w:rsidRDefault="00BD530B" w:rsidP="00A56C43">
            <w:pPr>
              <w:jc w:val="center"/>
              <w:textAlignment w:val="baseline"/>
              <w:rPr>
                <w:rFonts w:asciiTheme="minorHAnsi" w:hAnsiTheme="minorHAnsi" w:cstheme="minorHAnsi"/>
                <w:color w:val="000000"/>
                <w:sz w:val="18"/>
                <w:szCs w:val="18"/>
                <w:lang w:eastAsia="en-AU"/>
              </w:rPr>
            </w:pPr>
            <w:r w:rsidRPr="008756F5">
              <w:rPr>
                <w:rFonts w:asciiTheme="minorHAnsi" w:hAnsiTheme="minorHAnsi" w:cstheme="minorHAnsi"/>
                <w:color w:val="000000"/>
                <w:sz w:val="18"/>
                <w:szCs w:val="18"/>
                <w:lang w:eastAsia="en-AU"/>
              </w:rPr>
              <w:t>0</w:t>
            </w:r>
          </w:p>
          <w:p w14:paraId="3596740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67EDC67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2 </w:t>
            </w:r>
          </w:p>
          <w:p w14:paraId="27E4D87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9 </w:t>
            </w:r>
          </w:p>
          <w:p w14:paraId="11504CE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50A227C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2 </w:t>
            </w:r>
          </w:p>
        </w:tc>
        <w:tc>
          <w:tcPr>
            <w:tcW w:w="690" w:type="dxa"/>
            <w:tcBorders>
              <w:top w:val="nil"/>
              <w:left w:val="nil"/>
              <w:bottom w:val="single" w:sz="6" w:space="0" w:color="000000" w:themeColor="text1"/>
              <w:right w:val="nil"/>
            </w:tcBorders>
            <w:shd w:val="clear" w:color="auto" w:fill="auto"/>
            <w:hideMark/>
          </w:tcPr>
          <w:p w14:paraId="77DE0264"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1B0EC080" w14:textId="77777777" w:rsidR="00BD530B" w:rsidRPr="008756F5" w:rsidRDefault="00BD530B" w:rsidP="00A56C43">
            <w:pPr>
              <w:jc w:val="center"/>
              <w:textAlignment w:val="baseline"/>
              <w:rPr>
                <w:rFonts w:asciiTheme="minorHAnsi" w:hAnsiTheme="minorHAnsi" w:cstheme="minorHAnsi"/>
                <w:color w:val="000000"/>
                <w:sz w:val="18"/>
                <w:szCs w:val="18"/>
                <w:lang w:eastAsia="en-AU"/>
              </w:rPr>
            </w:pPr>
            <w:r w:rsidRPr="008756F5">
              <w:rPr>
                <w:rFonts w:asciiTheme="minorHAnsi" w:hAnsiTheme="minorHAnsi" w:cstheme="minorHAnsi"/>
                <w:color w:val="000000"/>
                <w:sz w:val="18"/>
                <w:szCs w:val="18"/>
                <w:lang w:eastAsia="en-AU"/>
              </w:rPr>
              <w:t>0</w:t>
            </w:r>
          </w:p>
          <w:p w14:paraId="1FFB9FE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1331491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p w14:paraId="64CEB739"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60 </w:t>
            </w:r>
          </w:p>
          <w:p w14:paraId="6957EFCE"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6D97937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13 </w:t>
            </w:r>
          </w:p>
        </w:tc>
        <w:tc>
          <w:tcPr>
            <w:tcW w:w="870" w:type="dxa"/>
            <w:tcBorders>
              <w:top w:val="nil"/>
              <w:left w:val="nil"/>
              <w:bottom w:val="single" w:sz="6" w:space="0" w:color="000000" w:themeColor="text1"/>
              <w:right w:val="nil"/>
            </w:tcBorders>
            <w:shd w:val="clear" w:color="auto" w:fill="auto"/>
            <w:hideMark/>
          </w:tcPr>
          <w:p w14:paraId="6B01301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279DF57D" w14:textId="77777777" w:rsidR="00BD530B" w:rsidRPr="008756F5" w:rsidRDefault="00BD530B" w:rsidP="00A56C43">
            <w:pPr>
              <w:jc w:val="center"/>
              <w:textAlignment w:val="baseline"/>
              <w:rPr>
                <w:rFonts w:asciiTheme="minorHAnsi" w:hAnsiTheme="minorHAnsi" w:cstheme="minorHAnsi"/>
                <w:color w:val="000000"/>
                <w:sz w:val="18"/>
                <w:szCs w:val="18"/>
                <w:lang w:eastAsia="en-AU"/>
              </w:rPr>
            </w:pPr>
            <w:r w:rsidRPr="008756F5">
              <w:rPr>
                <w:rFonts w:asciiTheme="minorHAnsi" w:hAnsiTheme="minorHAnsi" w:cstheme="minorHAnsi"/>
                <w:color w:val="000000"/>
                <w:sz w:val="18"/>
                <w:szCs w:val="18"/>
                <w:lang w:eastAsia="en-AU"/>
              </w:rPr>
              <w:t>0</w:t>
            </w:r>
          </w:p>
          <w:p w14:paraId="71DF72E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1 </w:t>
            </w:r>
          </w:p>
          <w:p w14:paraId="244723F7"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7 </w:t>
            </w:r>
          </w:p>
          <w:p w14:paraId="583B88E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16 </w:t>
            </w:r>
          </w:p>
          <w:p w14:paraId="7EFF0AE2"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p w14:paraId="19517691"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tc>
        <w:tc>
          <w:tcPr>
            <w:tcW w:w="780" w:type="dxa"/>
            <w:tcBorders>
              <w:top w:val="nil"/>
              <w:left w:val="nil"/>
              <w:bottom w:val="single" w:sz="6" w:space="0" w:color="000000" w:themeColor="text1"/>
              <w:right w:val="single" w:sz="6" w:space="0" w:color="000000" w:themeColor="text1"/>
            </w:tcBorders>
            <w:shd w:val="clear" w:color="auto" w:fill="auto"/>
            <w:hideMark/>
          </w:tcPr>
          <w:p w14:paraId="653E52E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 </w:t>
            </w:r>
          </w:p>
          <w:p w14:paraId="22FEFA34" w14:textId="77777777" w:rsidR="00BD530B" w:rsidRPr="008756F5" w:rsidRDefault="00BD530B" w:rsidP="00A56C43">
            <w:pPr>
              <w:jc w:val="center"/>
              <w:textAlignment w:val="baseline"/>
              <w:rPr>
                <w:rFonts w:asciiTheme="minorHAnsi" w:hAnsiTheme="minorHAnsi" w:cstheme="minorHAnsi"/>
                <w:color w:val="000000"/>
                <w:sz w:val="18"/>
                <w:szCs w:val="18"/>
                <w:lang w:eastAsia="en-AU"/>
              </w:rPr>
            </w:pPr>
            <w:r w:rsidRPr="008756F5">
              <w:rPr>
                <w:rFonts w:asciiTheme="minorHAnsi" w:hAnsiTheme="minorHAnsi" w:cstheme="minorHAnsi"/>
                <w:color w:val="000000"/>
                <w:sz w:val="18"/>
                <w:szCs w:val="18"/>
                <w:lang w:eastAsia="en-AU"/>
              </w:rPr>
              <w:t>0</w:t>
            </w:r>
          </w:p>
          <w:p w14:paraId="2AD15CA8"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3 </w:t>
            </w:r>
          </w:p>
          <w:p w14:paraId="3CDC629D"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23 </w:t>
            </w:r>
          </w:p>
          <w:p w14:paraId="6DBFE2BF"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53 </w:t>
            </w:r>
          </w:p>
          <w:p w14:paraId="756A9EB0" w14:textId="77777777" w:rsidR="00BD530B" w:rsidRPr="008756F5" w:rsidRDefault="00BD530B" w:rsidP="00A56C43">
            <w:pPr>
              <w:jc w:val="center"/>
              <w:textAlignment w:val="baseline"/>
              <w:rPr>
                <w:rFonts w:asciiTheme="minorHAnsi" w:hAnsiTheme="minorHAnsi" w:cstheme="minorHAnsi"/>
                <w:color w:val="000000"/>
                <w:sz w:val="18"/>
                <w:szCs w:val="18"/>
                <w:lang w:eastAsia="en-AU"/>
              </w:rPr>
            </w:pPr>
            <w:r w:rsidRPr="008756F5">
              <w:rPr>
                <w:rFonts w:asciiTheme="minorHAnsi" w:hAnsiTheme="minorHAnsi" w:cstheme="minorHAnsi"/>
                <w:color w:val="000000"/>
                <w:sz w:val="18"/>
                <w:szCs w:val="18"/>
                <w:lang w:eastAsia="en-AU"/>
              </w:rPr>
              <w:t>10 </w:t>
            </w:r>
          </w:p>
          <w:p w14:paraId="1656B5F5" w14:textId="77777777" w:rsidR="00BD530B" w:rsidRPr="008756F5" w:rsidRDefault="00BD530B" w:rsidP="00A56C43">
            <w:pPr>
              <w:jc w:val="center"/>
              <w:textAlignment w:val="baseline"/>
              <w:rPr>
                <w:rFonts w:asciiTheme="minorHAnsi" w:hAnsiTheme="minorHAnsi" w:cstheme="minorHAnsi"/>
                <w:lang w:eastAsia="en-AU"/>
              </w:rPr>
            </w:pPr>
            <w:r w:rsidRPr="008756F5">
              <w:rPr>
                <w:rFonts w:asciiTheme="minorHAnsi" w:hAnsiTheme="minorHAnsi" w:cstheme="minorHAnsi"/>
                <w:color w:val="000000"/>
                <w:sz w:val="18"/>
                <w:szCs w:val="18"/>
                <w:lang w:eastAsia="en-AU"/>
              </w:rPr>
              <w:t>10 </w:t>
            </w:r>
          </w:p>
        </w:tc>
      </w:tr>
    </w:tbl>
    <w:p w14:paraId="6DB43AA0" w14:textId="77777777" w:rsidR="00BD530B" w:rsidRPr="008756F5" w:rsidRDefault="00BD530B" w:rsidP="00BD530B">
      <w:pPr>
        <w:textAlignment w:val="baseline"/>
        <w:rPr>
          <w:rFonts w:asciiTheme="minorHAnsi" w:hAnsiTheme="minorHAnsi" w:cstheme="minorHAnsi"/>
          <w:sz w:val="16"/>
          <w:szCs w:val="16"/>
          <w:lang w:eastAsia="en-AU"/>
        </w:rPr>
      </w:pPr>
      <w:r w:rsidRPr="008756F5">
        <w:rPr>
          <w:rFonts w:asciiTheme="minorHAnsi" w:hAnsiTheme="minorHAnsi" w:cstheme="minorHAnsi"/>
          <w:sz w:val="16"/>
          <w:szCs w:val="16"/>
          <w:lang w:eastAsia="en-AU"/>
        </w:rPr>
        <w:t xml:space="preserve">MHO, Mental Health Online; MS, </w:t>
      </w:r>
      <w:proofErr w:type="spellStart"/>
      <w:r w:rsidRPr="008756F5">
        <w:rPr>
          <w:rFonts w:asciiTheme="minorHAnsi" w:hAnsiTheme="minorHAnsi" w:cstheme="minorHAnsi"/>
          <w:color w:val="000000"/>
          <w:sz w:val="16"/>
          <w:szCs w:val="16"/>
          <w:lang w:eastAsia="en-AU"/>
        </w:rPr>
        <w:t>MindSpot</w:t>
      </w:r>
      <w:proofErr w:type="spellEnd"/>
      <w:r w:rsidRPr="008756F5">
        <w:rPr>
          <w:rFonts w:asciiTheme="minorHAnsi" w:hAnsiTheme="minorHAnsi" w:cstheme="minorHAnsi"/>
          <w:color w:val="000000"/>
          <w:sz w:val="16"/>
          <w:szCs w:val="16"/>
          <w:lang w:eastAsia="en-AU"/>
        </w:rPr>
        <w:t xml:space="preserve">; </w:t>
      </w:r>
      <w:r w:rsidRPr="008756F5">
        <w:rPr>
          <w:rFonts w:asciiTheme="minorHAnsi" w:hAnsiTheme="minorHAnsi" w:cstheme="minorHAnsi"/>
          <w:sz w:val="16"/>
          <w:szCs w:val="16"/>
          <w:lang w:eastAsia="en-AU"/>
        </w:rPr>
        <w:t xml:space="preserve">TWU, </w:t>
      </w:r>
      <w:r w:rsidRPr="008756F5">
        <w:rPr>
          <w:rFonts w:asciiTheme="minorHAnsi" w:hAnsiTheme="minorHAnsi" w:cstheme="minorHAnsi"/>
          <w:color w:val="000000"/>
          <w:sz w:val="16"/>
          <w:szCs w:val="16"/>
          <w:lang w:eastAsia="en-AU"/>
        </w:rPr>
        <w:t>THIS WAY UP. </w:t>
      </w:r>
    </w:p>
    <w:p w14:paraId="3639F866" w14:textId="77777777" w:rsidR="00BD530B" w:rsidRPr="008756F5" w:rsidRDefault="00BD530B" w:rsidP="00812B63">
      <w:pPr>
        <w:spacing w:after="240"/>
        <w:textAlignment w:val="baseline"/>
        <w:rPr>
          <w:rFonts w:asciiTheme="minorHAnsi" w:hAnsiTheme="minorHAnsi" w:cstheme="minorHAnsi"/>
          <w:sz w:val="16"/>
          <w:szCs w:val="16"/>
          <w:lang w:eastAsia="en-AU"/>
        </w:rPr>
      </w:pPr>
      <w:proofErr w:type="spellStart"/>
      <w:r w:rsidRPr="008756F5">
        <w:rPr>
          <w:rFonts w:asciiTheme="minorHAnsi" w:hAnsiTheme="minorHAnsi" w:cstheme="minorHAnsi"/>
          <w:color w:val="000000"/>
          <w:sz w:val="16"/>
          <w:szCs w:val="16"/>
          <w:vertAlign w:val="superscript"/>
          <w:lang w:eastAsia="en-AU"/>
        </w:rPr>
        <w:t>a</w:t>
      </w:r>
      <w:r w:rsidRPr="008756F5">
        <w:rPr>
          <w:rFonts w:asciiTheme="minorHAnsi" w:hAnsiTheme="minorHAnsi" w:cstheme="minorHAnsi"/>
          <w:sz w:val="16"/>
          <w:szCs w:val="16"/>
          <w:lang w:eastAsia="en-AU"/>
        </w:rPr>
        <w:t>Multiple</w:t>
      </w:r>
      <w:proofErr w:type="spellEnd"/>
      <w:r w:rsidRPr="008756F5">
        <w:rPr>
          <w:rFonts w:asciiTheme="minorHAnsi" w:hAnsiTheme="minorHAnsi" w:cstheme="minorHAnsi"/>
          <w:sz w:val="16"/>
          <w:szCs w:val="16"/>
          <w:lang w:eastAsia="en-AU"/>
        </w:rPr>
        <w:t xml:space="preserve"> responses permitted.</w:t>
      </w:r>
    </w:p>
    <w:p w14:paraId="68FB26A9" w14:textId="77777777" w:rsidR="00BD530B" w:rsidRPr="00C1006A" w:rsidRDefault="00BD530B" w:rsidP="00761E16">
      <w:pPr>
        <w:pStyle w:val="Heading3"/>
        <w:rPr>
          <w:sz w:val="21"/>
          <w:szCs w:val="21"/>
          <w:lang w:eastAsia="en-AU"/>
        </w:rPr>
      </w:pPr>
      <w:r w:rsidRPr="008756F5">
        <w:rPr>
          <w:lang w:eastAsia="en-AU"/>
        </w:rPr>
        <w:t>Survey respondents’ satisfaction with DMHSs</w:t>
      </w:r>
    </w:p>
    <w:p w14:paraId="060717C9" w14:textId="77777777" w:rsidR="00BD530B" w:rsidRPr="008756F5" w:rsidRDefault="00BD530B" w:rsidP="00812B63">
      <w:pPr>
        <w:spacing w:after="240"/>
        <w:rPr>
          <w:rFonts w:asciiTheme="minorHAnsi" w:hAnsiTheme="minorHAnsi" w:cstheme="minorHAnsi"/>
          <w:sz w:val="21"/>
          <w:szCs w:val="21"/>
        </w:rPr>
      </w:pPr>
      <w:r w:rsidRPr="008756F5">
        <w:rPr>
          <w:rFonts w:asciiTheme="minorHAnsi" w:hAnsiTheme="minorHAnsi" w:cstheme="minorHAnsi"/>
          <w:sz w:val="21"/>
          <w:szCs w:val="21"/>
        </w:rPr>
        <w:t xml:space="preserve">The six providers who took part in the interviews were also asked whether DMHSs had had any benefits or negative impact on themselves. All six highlighted that DMHSs benefited their clinical and teaching practices. Providers reported that DMHSs complemented clinical and face-to-face intervention, helped reinforce </w:t>
      </w:r>
      <w:r w:rsidRPr="008756F5">
        <w:rPr>
          <w:rFonts w:asciiTheme="minorHAnsi" w:hAnsiTheme="minorHAnsi" w:cstheme="minorHAnsi"/>
          <w:sz w:val="21"/>
          <w:szCs w:val="21"/>
        </w:rPr>
        <w:lastRenderedPageBreak/>
        <w:t xml:space="preserve">therapeutic interventions and strategies, assisted with training junior clinicians, reduced waitlist and helped to triage and prioritise consumers, and assisted with reaching consumers in rural and regional areas. </w:t>
      </w:r>
    </w:p>
    <w:p w14:paraId="59282D32" w14:textId="77777777" w:rsidR="00BD530B" w:rsidRPr="008756F5" w:rsidRDefault="00BD530B" w:rsidP="00812B63">
      <w:pPr>
        <w:spacing w:after="240"/>
        <w:rPr>
          <w:rFonts w:asciiTheme="minorHAnsi" w:hAnsiTheme="minorHAnsi" w:cstheme="minorHAnsi"/>
          <w:sz w:val="21"/>
          <w:szCs w:val="21"/>
        </w:rPr>
      </w:pPr>
      <w:r w:rsidRPr="008756F5">
        <w:rPr>
          <w:rFonts w:asciiTheme="minorHAnsi" w:hAnsiTheme="minorHAnsi" w:cstheme="minorHAnsi"/>
          <w:sz w:val="21"/>
          <w:szCs w:val="21"/>
        </w:rPr>
        <w:t>These benefits are highlighted by the following quotes:</w:t>
      </w:r>
    </w:p>
    <w:p w14:paraId="755AB353" w14:textId="77777777" w:rsidR="00BD530B" w:rsidRPr="00C1006A" w:rsidRDefault="00BD530B" w:rsidP="00812B63">
      <w:pPr>
        <w:spacing w:after="240"/>
        <w:ind w:left="720" w:firstLine="50"/>
        <w:rPr>
          <w:rFonts w:asciiTheme="minorHAnsi" w:hAnsiTheme="minorHAnsi" w:cstheme="minorHAnsi"/>
          <w:sz w:val="21"/>
          <w:szCs w:val="21"/>
        </w:rPr>
      </w:pPr>
      <w:r w:rsidRPr="00C1006A">
        <w:rPr>
          <w:rFonts w:asciiTheme="minorHAnsi" w:hAnsiTheme="minorHAnsi" w:cstheme="minorHAnsi"/>
          <w:sz w:val="21"/>
          <w:szCs w:val="21"/>
        </w:rPr>
        <w:t>‘I think they’re really helpful for me in the psychoeducation aspect and really being clear on the step-by-step process of different skills.’</w:t>
      </w:r>
    </w:p>
    <w:p w14:paraId="339E6107" w14:textId="77777777" w:rsidR="00BD530B" w:rsidRPr="00C1006A" w:rsidRDefault="00BD530B" w:rsidP="00812B63">
      <w:pPr>
        <w:spacing w:after="240"/>
        <w:ind w:left="720"/>
        <w:rPr>
          <w:rFonts w:asciiTheme="minorHAnsi" w:hAnsiTheme="minorHAnsi" w:cstheme="minorHAnsi"/>
          <w:sz w:val="21"/>
          <w:szCs w:val="21"/>
        </w:rPr>
      </w:pPr>
      <w:r w:rsidRPr="00C1006A">
        <w:rPr>
          <w:rFonts w:asciiTheme="minorHAnsi" w:hAnsiTheme="minorHAnsi" w:cstheme="minorHAnsi"/>
          <w:sz w:val="21"/>
          <w:szCs w:val="21"/>
        </w:rPr>
        <w:t>I teach other trainees as well and it helps as a teaching tool because you know the trainees come and learn through experience, but understanding, like having a better understanding, or empathy for what the client’s going through different stories and examples through the online programs, but also have a better like experiential understanding of what those skills look like and feel like when they’re doing them.</w:t>
      </w:r>
    </w:p>
    <w:p w14:paraId="5DFD1658" w14:textId="77777777" w:rsidR="00BD530B" w:rsidRPr="00C1006A" w:rsidRDefault="00BD530B" w:rsidP="00812B63">
      <w:pPr>
        <w:spacing w:after="240"/>
        <w:ind w:left="720"/>
        <w:rPr>
          <w:rFonts w:asciiTheme="minorHAnsi" w:hAnsiTheme="minorHAnsi" w:cstheme="minorHAnsi"/>
          <w:sz w:val="21"/>
          <w:szCs w:val="21"/>
        </w:rPr>
      </w:pPr>
      <w:r w:rsidRPr="00C1006A">
        <w:rPr>
          <w:rFonts w:asciiTheme="minorHAnsi" w:hAnsiTheme="minorHAnsi" w:cstheme="minorHAnsi"/>
          <w:sz w:val="21"/>
          <w:szCs w:val="21"/>
        </w:rPr>
        <w:t>It’s had a big positive impact for me in that my clients are getting better, are getting more … and better support because it’s not just in that one hour a week or a fortnight that they’re able to get therapeutic support, it’s also outside of hours at times that are suitable to them that they can learn new skills or reiterate the skills that we’ve been going over together.</w:t>
      </w:r>
    </w:p>
    <w:p w14:paraId="514F0EC6" w14:textId="77777777" w:rsidR="00BD530B" w:rsidRPr="00C1006A" w:rsidRDefault="00BD530B" w:rsidP="00812B63">
      <w:pPr>
        <w:spacing w:after="240"/>
        <w:ind w:left="720"/>
        <w:rPr>
          <w:rFonts w:asciiTheme="minorHAnsi" w:hAnsiTheme="minorHAnsi" w:cstheme="minorHAnsi"/>
          <w:sz w:val="21"/>
          <w:szCs w:val="21"/>
        </w:rPr>
      </w:pPr>
      <w:r w:rsidRPr="00C1006A">
        <w:rPr>
          <w:rFonts w:asciiTheme="minorHAnsi" w:hAnsiTheme="minorHAnsi" w:cstheme="minorHAnsi"/>
          <w:sz w:val="21"/>
          <w:szCs w:val="21"/>
        </w:rPr>
        <w:t>Another huge benefit for me has been the exposure I’ve had to clients across the country, which otherwise I wouldn’t. I mean, if I was in private practice, I’d only see people around my area or certain areas. But this has given me much wider exposure. And seeing them in their home setting as well.</w:t>
      </w:r>
    </w:p>
    <w:p w14:paraId="60F6B5D8" w14:textId="77777777" w:rsidR="00BD530B" w:rsidRPr="008756F5" w:rsidRDefault="00BD530B" w:rsidP="00812B63">
      <w:pPr>
        <w:spacing w:after="240"/>
        <w:rPr>
          <w:rFonts w:asciiTheme="minorHAnsi" w:hAnsiTheme="minorHAnsi" w:cstheme="minorHAnsi"/>
          <w:sz w:val="21"/>
          <w:szCs w:val="21"/>
        </w:rPr>
      </w:pPr>
      <w:r w:rsidRPr="008756F5">
        <w:rPr>
          <w:rFonts w:asciiTheme="minorHAnsi" w:hAnsiTheme="minorHAnsi" w:cstheme="minorHAnsi"/>
          <w:sz w:val="21"/>
          <w:szCs w:val="21"/>
        </w:rPr>
        <w:t>Providers did not report that DMHSs had had negative impacts on themselves.</w:t>
      </w:r>
    </w:p>
    <w:p w14:paraId="73AAF93B" w14:textId="77777777" w:rsidR="00BD530B" w:rsidRPr="008756F5" w:rsidRDefault="00BD530B" w:rsidP="00812B63">
      <w:pPr>
        <w:spacing w:after="240"/>
        <w:rPr>
          <w:rFonts w:asciiTheme="minorHAnsi" w:hAnsiTheme="minorHAnsi" w:cstheme="minorHAnsi"/>
          <w:sz w:val="21"/>
          <w:szCs w:val="21"/>
        </w:rPr>
      </w:pPr>
      <w:r w:rsidRPr="008756F5">
        <w:rPr>
          <w:rFonts w:asciiTheme="minorHAnsi" w:hAnsiTheme="minorHAnsi" w:cstheme="minorHAnsi"/>
          <w:sz w:val="21"/>
          <w:szCs w:val="21"/>
        </w:rPr>
        <w:t xml:space="preserve">Lastly, providers were asked about how DMHSs can be better integrated into the mental health system. </w:t>
      </w:r>
    </w:p>
    <w:p w14:paraId="01283D81" w14:textId="77777777" w:rsidR="00BD530B" w:rsidRPr="008756F5" w:rsidRDefault="00BD530B" w:rsidP="00812B63">
      <w:pPr>
        <w:spacing w:after="240"/>
        <w:rPr>
          <w:rFonts w:asciiTheme="minorHAnsi" w:hAnsiTheme="minorHAnsi" w:cstheme="minorHAnsi"/>
          <w:sz w:val="21"/>
          <w:szCs w:val="21"/>
        </w:rPr>
      </w:pPr>
      <w:r w:rsidRPr="008756F5">
        <w:rPr>
          <w:rFonts w:asciiTheme="minorHAnsi" w:hAnsiTheme="minorHAnsi" w:cstheme="minorHAnsi"/>
          <w:sz w:val="21"/>
          <w:szCs w:val="21"/>
        </w:rPr>
        <w:t xml:space="preserve">The six providers made several recommendations including implementing a funding structure associated with DMHS care delivery, co-designing DMHSs with providers so that they remain relatable and feasible to use in routine care, improving awareness and promotion of DMHSs, centralising </w:t>
      </w:r>
      <w:proofErr w:type="gramStart"/>
      <w:r w:rsidRPr="008756F5">
        <w:rPr>
          <w:rFonts w:asciiTheme="minorHAnsi" w:hAnsiTheme="minorHAnsi" w:cstheme="minorHAnsi"/>
          <w:sz w:val="21"/>
          <w:szCs w:val="21"/>
        </w:rPr>
        <w:t>programs</w:t>
      </w:r>
      <w:proofErr w:type="gramEnd"/>
      <w:r w:rsidRPr="008756F5">
        <w:rPr>
          <w:rFonts w:asciiTheme="minorHAnsi" w:hAnsiTheme="minorHAnsi" w:cstheme="minorHAnsi"/>
          <w:sz w:val="21"/>
          <w:szCs w:val="21"/>
        </w:rPr>
        <w:t xml:space="preserve"> and providing consumers with access to relevant technology to ensure equity of care. These recommendations are reflected in the quotes below:</w:t>
      </w:r>
    </w:p>
    <w:p w14:paraId="7FCC3515" w14:textId="77777777" w:rsidR="00BD530B" w:rsidRPr="00C1006A" w:rsidRDefault="00BD530B" w:rsidP="00812B63">
      <w:pPr>
        <w:spacing w:after="240"/>
        <w:ind w:left="720"/>
        <w:rPr>
          <w:rFonts w:asciiTheme="minorHAnsi" w:hAnsiTheme="minorHAnsi" w:cstheme="minorHAnsi"/>
          <w:sz w:val="21"/>
          <w:szCs w:val="21"/>
        </w:rPr>
      </w:pPr>
      <w:r w:rsidRPr="00C1006A">
        <w:rPr>
          <w:rFonts w:asciiTheme="minorHAnsi" w:hAnsiTheme="minorHAnsi" w:cstheme="minorHAnsi"/>
          <w:sz w:val="21"/>
          <w:szCs w:val="21"/>
        </w:rPr>
        <w:t>‘First of all, I think having Medicare rebates for guiding clients through these programs is one great facilitator of integrations.’</w:t>
      </w:r>
    </w:p>
    <w:p w14:paraId="581D61D0" w14:textId="77777777" w:rsidR="00BD530B" w:rsidRPr="00C1006A" w:rsidRDefault="00BD530B" w:rsidP="00812B63">
      <w:pPr>
        <w:spacing w:after="240"/>
        <w:ind w:left="720"/>
        <w:rPr>
          <w:rFonts w:asciiTheme="minorHAnsi" w:hAnsiTheme="minorHAnsi" w:cstheme="minorHAnsi"/>
          <w:sz w:val="21"/>
          <w:szCs w:val="21"/>
        </w:rPr>
      </w:pPr>
      <w:r w:rsidRPr="00C1006A">
        <w:rPr>
          <w:rFonts w:asciiTheme="minorHAnsi" w:hAnsiTheme="minorHAnsi" w:cstheme="minorHAnsi"/>
          <w:sz w:val="21"/>
          <w:szCs w:val="21"/>
        </w:rPr>
        <w:t>I think people who don’t have access to a computer or the internet or a smart phone app or tablet or can’t afford it or people who just have no computer literacy or who don’t have internet access wherever they live, I think there’s a gap there.</w:t>
      </w:r>
    </w:p>
    <w:p w14:paraId="7A3E3F40" w14:textId="77777777" w:rsidR="00BD530B" w:rsidRPr="00C1006A" w:rsidRDefault="00BD530B" w:rsidP="00812B63">
      <w:pPr>
        <w:spacing w:after="240"/>
        <w:ind w:left="720"/>
        <w:rPr>
          <w:rFonts w:asciiTheme="minorHAnsi" w:hAnsiTheme="minorHAnsi" w:cstheme="minorHAnsi"/>
          <w:sz w:val="21"/>
          <w:szCs w:val="21"/>
        </w:rPr>
      </w:pPr>
      <w:r w:rsidRPr="00C1006A">
        <w:rPr>
          <w:rFonts w:asciiTheme="minorHAnsi" w:hAnsiTheme="minorHAnsi" w:cstheme="minorHAnsi"/>
          <w:sz w:val="21"/>
          <w:szCs w:val="21"/>
        </w:rPr>
        <w:t>Another way is to design programs from the very beginning, like together, with the health professionals that are going to be using it to make sure they’re fit for purpose and to really think about the practitioner’s workflow and how this might fit or not fit within their actual routine care and services that they provide to clients.</w:t>
      </w:r>
    </w:p>
    <w:p w14:paraId="410D8086" w14:textId="77777777" w:rsidR="00BD530B" w:rsidRPr="00C1006A" w:rsidRDefault="00BD530B" w:rsidP="00812B63">
      <w:pPr>
        <w:spacing w:after="240"/>
        <w:ind w:left="720"/>
        <w:rPr>
          <w:rFonts w:asciiTheme="minorHAnsi" w:hAnsiTheme="minorHAnsi" w:cstheme="minorHAnsi"/>
          <w:sz w:val="21"/>
          <w:szCs w:val="21"/>
        </w:rPr>
      </w:pPr>
      <w:r w:rsidRPr="00C1006A">
        <w:rPr>
          <w:rFonts w:asciiTheme="minorHAnsi" w:hAnsiTheme="minorHAnsi" w:cstheme="minorHAnsi"/>
          <w:sz w:val="21"/>
          <w:szCs w:val="21"/>
        </w:rPr>
        <w:t xml:space="preserve">We had some kind of like a flow system where there is a dashboard and the person comes and they can choose the area of concern and then they can have a flow effect </w:t>
      </w:r>
      <w:proofErr w:type="gramStart"/>
      <w:r w:rsidRPr="00C1006A">
        <w:rPr>
          <w:rFonts w:asciiTheme="minorHAnsi" w:hAnsiTheme="minorHAnsi" w:cstheme="minorHAnsi"/>
          <w:sz w:val="21"/>
          <w:szCs w:val="21"/>
        </w:rPr>
        <w:t>of,</w:t>
      </w:r>
      <w:proofErr w:type="gramEnd"/>
      <w:r w:rsidRPr="00C1006A">
        <w:rPr>
          <w:rFonts w:asciiTheme="minorHAnsi" w:hAnsiTheme="minorHAnsi" w:cstheme="minorHAnsi"/>
          <w:sz w:val="21"/>
          <w:szCs w:val="21"/>
        </w:rPr>
        <w:t xml:space="preserve"> you know, those are the services and this is what they’re doing to educate them along the way and show them how to navigate that, but I suppose that would be really good.</w:t>
      </w:r>
    </w:p>
    <w:p w14:paraId="3E085B56" w14:textId="77777777" w:rsidR="00BD530B" w:rsidRPr="00C1006A" w:rsidRDefault="00BD530B" w:rsidP="00812B63">
      <w:pPr>
        <w:spacing w:after="240"/>
        <w:ind w:left="720"/>
        <w:rPr>
          <w:rFonts w:asciiTheme="minorHAnsi" w:hAnsiTheme="minorHAnsi" w:cstheme="minorHAnsi"/>
          <w:sz w:val="21"/>
          <w:szCs w:val="21"/>
        </w:rPr>
      </w:pPr>
      <w:r w:rsidRPr="00C1006A">
        <w:rPr>
          <w:rFonts w:asciiTheme="minorHAnsi" w:hAnsiTheme="minorHAnsi" w:cstheme="minorHAnsi"/>
          <w:sz w:val="21"/>
          <w:szCs w:val="21"/>
        </w:rPr>
        <w:t>I think there needs to be a culture change and a culture shift, which is going to take a huge time again between, you know, the GPs and allied health as well, physiotherapists and broader sort of health care practitioners as a first step, and then to look at where are the gaps and what are the possibilities to potentially centralise.</w:t>
      </w:r>
    </w:p>
    <w:p w14:paraId="61A4D718" w14:textId="77777777" w:rsidR="00BD530B" w:rsidRPr="00C1006A" w:rsidRDefault="00BD530B" w:rsidP="00812B63">
      <w:pPr>
        <w:spacing w:after="240"/>
        <w:ind w:left="720"/>
        <w:rPr>
          <w:rFonts w:asciiTheme="minorHAnsi" w:hAnsiTheme="minorHAnsi" w:cstheme="minorHAnsi"/>
          <w:sz w:val="21"/>
          <w:szCs w:val="21"/>
        </w:rPr>
      </w:pPr>
      <w:r w:rsidRPr="00C1006A">
        <w:rPr>
          <w:rFonts w:asciiTheme="minorHAnsi" w:hAnsiTheme="minorHAnsi" w:cstheme="minorHAnsi"/>
          <w:sz w:val="21"/>
          <w:szCs w:val="21"/>
        </w:rPr>
        <w:lastRenderedPageBreak/>
        <w:t xml:space="preserve">I think just more knowledge of them, and the ones that are available, because it's a </w:t>
      </w:r>
      <w:proofErr w:type="gramStart"/>
      <w:r w:rsidRPr="00C1006A">
        <w:rPr>
          <w:rFonts w:asciiTheme="minorHAnsi" w:hAnsiTheme="minorHAnsi" w:cstheme="minorHAnsi"/>
          <w:sz w:val="21"/>
          <w:szCs w:val="21"/>
        </w:rPr>
        <w:t>really great</w:t>
      </w:r>
      <w:proofErr w:type="gramEnd"/>
      <w:r w:rsidRPr="00C1006A">
        <w:rPr>
          <w:rFonts w:asciiTheme="minorHAnsi" w:hAnsiTheme="minorHAnsi" w:cstheme="minorHAnsi"/>
          <w:sz w:val="21"/>
          <w:szCs w:val="21"/>
        </w:rPr>
        <w:t xml:space="preserve"> option, resource, alternative but also an adjunct to other treatments, particularly at the moment. And I just feel like not enough even GPs know about it.</w:t>
      </w:r>
    </w:p>
    <w:p w14:paraId="0BDCA04B" w14:textId="77777777" w:rsidR="00BD530B" w:rsidRPr="008756F5" w:rsidRDefault="00BD530B" w:rsidP="00761E16">
      <w:pPr>
        <w:pStyle w:val="Heading2"/>
      </w:pPr>
      <w:bookmarkStart w:id="167" w:name="_Toc108784869"/>
      <w:r w:rsidRPr="008756F5">
        <w:t>Summary</w:t>
      </w:r>
      <w:bookmarkEnd w:id="167"/>
    </w:p>
    <w:p w14:paraId="29FE184B" w14:textId="77777777" w:rsidR="00BD530B" w:rsidRPr="008756F5" w:rsidRDefault="00BD530B" w:rsidP="00812B63">
      <w:pPr>
        <w:spacing w:after="240"/>
        <w:rPr>
          <w:rFonts w:asciiTheme="minorHAnsi" w:hAnsiTheme="minorHAnsi" w:cstheme="minorHAnsi"/>
          <w:sz w:val="21"/>
          <w:szCs w:val="21"/>
        </w:rPr>
      </w:pPr>
      <w:r w:rsidRPr="008756F5">
        <w:rPr>
          <w:rFonts w:asciiTheme="minorHAnsi" w:hAnsiTheme="minorHAnsi" w:cstheme="minorHAnsi"/>
          <w:sz w:val="21"/>
          <w:szCs w:val="21"/>
        </w:rPr>
        <w:t xml:space="preserve">Providers were overall very positive about the impacts of DMHSs for both consumers and </w:t>
      </w:r>
      <w:proofErr w:type="gramStart"/>
      <w:r w:rsidRPr="008756F5">
        <w:rPr>
          <w:rFonts w:asciiTheme="minorHAnsi" w:hAnsiTheme="minorHAnsi" w:cstheme="minorHAnsi"/>
          <w:sz w:val="21"/>
          <w:szCs w:val="21"/>
        </w:rPr>
        <w:t>themselves</w:t>
      </w:r>
      <w:proofErr w:type="gramEnd"/>
      <w:r w:rsidRPr="008756F5">
        <w:rPr>
          <w:rFonts w:asciiTheme="minorHAnsi" w:hAnsiTheme="minorHAnsi" w:cstheme="minorHAnsi"/>
          <w:sz w:val="21"/>
          <w:szCs w:val="21"/>
        </w:rPr>
        <w:t xml:space="preserve">. Providers highlighted that DMHSs improved access to care, </w:t>
      </w:r>
      <w:proofErr w:type="gramStart"/>
      <w:r w:rsidRPr="008756F5">
        <w:rPr>
          <w:rFonts w:asciiTheme="minorHAnsi" w:hAnsiTheme="minorHAnsi" w:cstheme="minorHAnsi"/>
          <w:sz w:val="21"/>
          <w:szCs w:val="21"/>
        </w:rPr>
        <w:t>convenience</w:t>
      </w:r>
      <w:proofErr w:type="gramEnd"/>
      <w:r w:rsidRPr="008756F5">
        <w:rPr>
          <w:rFonts w:asciiTheme="minorHAnsi" w:hAnsiTheme="minorHAnsi" w:cstheme="minorHAnsi"/>
          <w:sz w:val="21"/>
          <w:szCs w:val="21"/>
        </w:rPr>
        <w:t xml:space="preserve"> and affordability of care. Providers observed that consumers receiving DMHSs improved and learnt new skills. For a minority of consumers, providers were concerned that DMHSs might not be able to meet their needs. Providers recommended the services be better integrated into the broader mental health landscape by offering funding incentives, increased promotion, and co-designing programs.</w:t>
      </w:r>
    </w:p>
    <w:p w14:paraId="50AF9338" w14:textId="77777777" w:rsidR="00085187" w:rsidRPr="008756F5" w:rsidRDefault="00085187" w:rsidP="004F6098">
      <w:pPr>
        <w:pStyle w:val="ANorm"/>
        <w:rPr>
          <w:rFonts w:asciiTheme="minorHAnsi" w:hAnsiTheme="minorHAnsi" w:cstheme="minorHAnsi"/>
        </w:rPr>
      </w:pPr>
    </w:p>
    <w:p w14:paraId="520A8196" w14:textId="77777777" w:rsidR="004739F5" w:rsidRPr="008756F5" w:rsidRDefault="004739F5" w:rsidP="007949A9">
      <w:pPr>
        <w:rPr>
          <w:rFonts w:asciiTheme="minorHAnsi" w:eastAsiaTheme="majorEastAsia" w:hAnsiTheme="minorHAnsi" w:cstheme="minorHAnsi"/>
          <w:color w:val="2F5496" w:themeColor="accent1" w:themeShade="BF"/>
          <w:sz w:val="40"/>
          <w:szCs w:val="40"/>
        </w:rPr>
      </w:pPr>
      <w:r w:rsidRPr="008756F5">
        <w:rPr>
          <w:rFonts w:asciiTheme="minorHAnsi" w:hAnsiTheme="minorHAnsi" w:cstheme="minorHAnsi"/>
        </w:rPr>
        <w:br w:type="page"/>
      </w:r>
    </w:p>
    <w:p w14:paraId="4A7C2313" w14:textId="7318E890" w:rsidR="0044323E" w:rsidRPr="0012644F" w:rsidRDefault="0049567F" w:rsidP="00871583">
      <w:pPr>
        <w:pStyle w:val="Heading1"/>
        <w:numPr>
          <w:ilvl w:val="0"/>
          <w:numId w:val="146"/>
        </w:numPr>
      </w:pPr>
      <w:bookmarkStart w:id="168" w:name="_Toc108784870"/>
      <w:r w:rsidRPr="00AA6B28">
        <w:lastRenderedPageBreak/>
        <w:t>Stakeholder experiences: People with lived experience of mental health problems</w:t>
      </w:r>
      <w:bookmarkEnd w:id="168"/>
    </w:p>
    <w:p w14:paraId="0FCF2501" w14:textId="64EF88EF" w:rsidR="008A55E2" w:rsidRPr="00860FA0" w:rsidRDefault="000C775A" w:rsidP="00480B66">
      <w:pPr>
        <w:pStyle w:val="Heading2"/>
        <w:numPr>
          <w:ilvl w:val="1"/>
          <w:numId w:val="146"/>
        </w:numPr>
      </w:pPr>
      <w:bookmarkStart w:id="169" w:name="_Toc102047073"/>
      <w:bookmarkStart w:id="170" w:name="_Toc102047159"/>
      <w:bookmarkStart w:id="171" w:name="_Toc108784871"/>
      <w:bookmarkEnd w:id="169"/>
      <w:bookmarkEnd w:id="170"/>
      <w:r w:rsidRPr="00860FA0">
        <w:t>Our a</w:t>
      </w:r>
      <w:r w:rsidR="00486EE7" w:rsidRPr="00860FA0">
        <w:t>pproach</w:t>
      </w:r>
      <w:bookmarkEnd w:id="171"/>
    </w:p>
    <w:p w14:paraId="4332D3F5" w14:textId="68C0AC2C" w:rsidR="00B533A0" w:rsidRPr="00D5306E" w:rsidRDefault="00486EE7" w:rsidP="009257BB">
      <w:pPr>
        <w:spacing w:after="120"/>
        <w:rPr>
          <w:rFonts w:asciiTheme="minorHAnsi" w:eastAsia="Calibri" w:hAnsiTheme="minorHAnsi" w:cstheme="minorHAnsi"/>
          <w:sz w:val="21"/>
          <w:szCs w:val="21"/>
        </w:rPr>
      </w:pPr>
      <w:r w:rsidRPr="00486EE7">
        <w:rPr>
          <w:rFonts w:asciiTheme="minorHAnsi" w:hAnsiTheme="minorHAnsi" w:cstheme="minorHAnsi"/>
          <w:sz w:val="21"/>
          <w:szCs w:val="21"/>
        </w:rPr>
        <w:t xml:space="preserve">To investigate the awareness, content and usefulness of </w:t>
      </w:r>
      <w:r w:rsidRPr="00FB3B36">
        <w:rPr>
          <w:rFonts w:asciiTheme="minorHAnsi" w:hAnsiTheme="minorHAnsi" w:cstheme="minorHAnsi"/>
          <w:sz w:val="21"/>
          <w:szCs w:val="21"/>
        </w:rPr>
        <w:t>supported DMHSs</w:t>
      </w:r>
      <w:r>
        <w:rPr>
          <w:rFonts w:asciiTheme="minorHAnsi" w:hAnsiTheme="minorHAnsi" w:cstheme="minorHAnsi"/>
          <w:sz w:val="21"/>
          <w:szCs w:val="21"/>
        </w:rPr>
        <w:t>,</w:t>
      </w:r>
      <w:r>
        <w:t xml:space="preserve"> </w:t>
      </w:r>
      <w:r>
        <w:rPr>
          <w:rFonts w:asciiTheme="minorHAnsi" w:hAnsiTheme="minorHAnsi" w:cstheme="minorHAnsi"/>
          <w:sz w:val="21"/>
          <w:szCs w:val="21"/>
        </w:rPr>
        <w:t>w</w:t>
      </w:r>
      <w:r w:rsidR="00B533A0" w:rsidRPr="002742D8">
        <w:rPr>
          <w:rFonts w:asciiTheme="minorHAnsi" w:hAnsiTheme="minorHAnsi" w:cstheme="minorHAnsi"/>
          <w:sz w:val="21"/>
          <w:szCs w:val="21"/>
        </w:rPr>
        <w:t xml:space="preserve">e conducted three online community conversations </w:t>
      </w:r>
      <w:r w:rsidR="00B533A0" w:rsidRPr="002742D8">
        <w:rPr>
          <w:rFonts w:ascii="Calibri" w:hAnsi="Calibri" w:cs="Arial"/>
          <w:color w:val="000000" w:themeColor="text1"/>
          <w:sz w:val="21"/>
          <w:szCs w:val="21"/>
        </w:rPr>
        <w:t>using a modified World Café method.</w:t>
      </w:r>
      <w:r w:rsidR="00B81CB1">
        <w:rPr>
          <w:rFonts w:ascii="Calibri" w:hAnsi="Calibri" w:cs="Arial"/>
          <w:color w:val="000000" w:themeColor="text1"/>
          <w:sz w:val="21"/>
          <w:szCs w:val="21"/>
        </w:rPr>
        <w:fldChar w:fldCharType="begin"/>
      </w:r>
      <w:r w:rsidR="004469A2">
        <w:rPr>
          <w:rFonts w:ascii="Calibri" w:hAnsi="Calibri" w:cs="Arial"/>
          <w:color w:val="000000" w:themeColor="text1"/>
          <w:sz w:val="21"/>
          <w:szCs w:val="21"/>
        </w:rPr>
        <w:instrText xml:space="preserve"> ADDIN EN.CITE &lt;EndNote&gt;&lt;Cite&gt;&lt;Author&gt;Consumer and Community Involvement Program&lt;/Author&gt;&lt;Year&gt;2020&lt;/Year&gt;&lt;RecNum&gt;29&lt;/RecNum&gt;&lt;DisplayText&gt;&lt;style face="superscript"&gt;80&lt;/style&gt;&lt;/DisplayText&gt;&lt;record&gt;&lt;rec-number&gt;29&lt;/rec-number&gt;&lt;foreign-keys&gt;&lt;key app="EN" db-id="dawtr0zrkrzfa5edzzlpe2we0xa00t90vvr2" timestamp="1623153088"&gt;29&lt;/key&gt;&lt;/foreign-keys&gt;&lt;ref-type name="Web Page"&gt;12&lt;/ref-type&gt;&lt;contributors&gt;&lt;authors&gt;&lt;author&gt;Consumer and Community Involvement Program,&lt;/author&gt;&lt;/authors&gt;&lt;/contributors&gt;&lt;titles&gt;&lt;title&gt;Types of Consumer and Community Involvement&lt;/title&gt;&lt;/titles&gt;&lt;volume&gt;2021&lt;/volume&gt;&lt;number&gt;23 April&lt;/number&gt;&lt;dates&gt;&lt;year&gt;2020&lt;/year&gt;&lt;/dates&gt;&lt;urls&gt;&lt;related-urls&gt;&lt;url&gt; https://cciprogram.org/researcher-services/types-of-community-involvement/&lt;/url&gt;&lt;/related-urls&gt;&lt;/urls&gt;&lt;/record&gt;&lt;/Cite&gt;&lt;/EndNote&gt;</w:instrText>
      </w:r>
      <w:r w:rsidR="00B81CB1">
        <w:rPr>
          <w:rFonts w:ascii="Calibri" w:hAnsi="Calibri" w:cs="Arial"/>
          <w:color w:val="000000" w:themeColor="text1"/>
          <w:sz w:val="21"/>
          <w:szCs w:val="21"/>
        </w:rPr>
        <w:fldChar w:fldCharType="separate"/>
      </w:r>
      <w:r w:rsidR="004469A2" w:rsidRPr="004469A2">
        <w:rPr>
          <w:rFonts w:ascii="Calibri" w:hAnsi="Calibri" w:cs="Arial"/>
          <w:noProof/>
          <w:color w:val="000000" w:themeColor="text1"/>
          <w:sz w:val="21"/>
          <w:szCs w:val="21"/>
          <w:vertAlign w:val="superscript"/>
        </w:rPr>
        <w:t>80</w:t>
      </w:r>
      <w:r w:rsidR="00B81CB1">
        <w:rPr>
          <w:rFonts w:ascii="Calibri" w:hAnsi="Calibri" w:cs="Arial"/>
          <w:color w:val="000000" w:themeColor="text1"/>
          <w:sz w:val="21"/>
          <w:szCs w:val="21"/>
        </w:rPr>
        <w:fldChar w:fldCharType="end"/>
      </w:r>
      <w:r w:rsidR="00B533A0">
        <w:rPr>
          <w:rFonts w:ascii="Calibri" w:hAnsi="Calibri" w:cs="Arial"/>
          <w:color w:val="000000" w:themeColor="text1"/>
          <w:sz w:val="21"/>
          <w:szCs w:val="21"/>
        </w:rPr>
        <w:t xml:space="preserve"> </w:t>
      </w:r>
      <w:r w:rsidR="00B533A0">
        <w:rPr>
          <w:rFonts w:asciiTheme="minorHAnsi" w:hAnsiTheme="minorHAnsi" w:cstheme="minorHAnsi"/>
          <w:sz w:val="21"/>
          <w:szCs w:val="21"/>
        </w:rPr>
        <w:t xml:space="preserve">Each conversation involved 4-8 </w:t>
      </w:r>
      <w:r w:rsidR="00B533A0" w:rsidRPr="002742D8">
        <w:rPr>
          <w:rFonts w:asciiTheme="minorHAnsi" w:hAnsiTheme="minorHAnsi" w:cstheme="minorHAnsi"/>
          <w:sz w:val="21"/>
          <w:szCs w:val="21"/>
        </w:rPr>
        <w:t>people who identified as consumers or carers</w:t>
      </w:r>
      <w:r w:rsidR="00B533A0">
        <w:rPr>
          <w:rFonts w:asciiTheme="minorHAnsi" w:hAnsiTheme="minorHAnsi" w:cstheme="minorHAnsi"/>
          <w:sz w:val="21"/>
          <w:szCs w:val="21"/>
        </w:rPr>
        <w:t>, and was</w:t>
      </w:r>
      <w:r w:rsidR="00B533A0" w:rsidRPr="00662F9C">
        <w:rPr>
          <w:rFonts w:asciiTheme="minorHAnsi" w:eastAsia="Calibri" w:hAnsiTheme="minorHAnsi" w:cstheme="minorHAnsi"/>
          <w:sz w:val="21"/>
          <w:szCs w:val="21"/>
        </w:rPr>
        <w:t xml:space="preserve"> held during November 2021, using Zoom.</w:t>
      </w:r>
    </w:p>
    <w:p w14:paraId="0FFA3812" w14:textId="20FDC42E" w:rsidR="00B533A0" w:rsidRPr="00662F9C" w:rsidRDefault="00B533A0" w:rsidP="005840CB">
      <w:pPr>
        <w:spacing w:after="240"/>
        <w:rPr>
          <w:rFonts w:asciiTheme="minorHAnsi" w:hAnsiTheme="minorHAnsi" w:cstheme="minorHAnsi"/>
          <w:sz w:val="21"/>
          <w:szCs w:val="21"/>
        </w:rPr>
      </w:pPr>
      <w:r w:rsidRPr="00662F9C">
        <w:rPr>
          <w:rFonts w:asciiTheme="minorHAnsi" w:hAnsiTheme="minorHAnsi" w:cstheme="minorHAnsi"/>
          <w:sz w:val="21"/>
          <w:szCs w:val="21"/>
        </w:rPr>
        <w:t xml:space="preserve">These community conversations were combined with discussion of </w:t>
      </w:r>
      <w:r w:rsidR="00070C33">
        <w:rPr>
          <w:rFonts w:asciiTheme="minorHAnsi" w:hAnsiTheme="minorHAnsi" w:cstheme="minorHAnsi"/>
          <w:sz w:val="21"/>
          <w:szCs w:val="21"/>
        </w:rPr>
        <w:t>the Head to Health national digital mental health gateway</w:t>
      </w:r>
      <w:r w:rsidRPr="00662F9C">
        <w:rPr>
          <w:rFonts w:asciiTheme="minorHAnsi" w:hAnsiTheme="minorHAnsi" w:cstheme="minorHAnsi"/>
          <w:sz w:val="21"/>
          <w:szCs w:val="21"/>
        </w:rPr>
        <w:t xml:space="preserve"> to reduce participant burden. The conversations focused on four areas:</w:t>
      </w:r>
    </w:p>
    <w:p w14:paraId="0D45CAC2" w14:textId="01870241" w:rsidR="00B533A0" w:rsidRPr="008D0FD0" w:rsidRDefault="00B533A0" w:rsidP="005840CB">
      <w:pPr>
        <w:numPr>
          <w:ilvl w:val="0"/>
          <w:numId w:val="14"/>
        </w:numPr>
        <w:spacing w:after="240"/>
        <w:ind w:left="720"/>
        <w:contextualSpacing/>
        <w:rPr>
          <w:rFonts w:asciiTheme="minorHAnsi" w:eastAsia="Calibri" w:hAnsiTheme="minorHAnsi" w:cstheme="minorHAnsi"/>
          <w:bCs/>
          <w:sz w:val="21"/>
          <w:szCs w:val="21"/>
        </w:rPr>
      </w:pPr>
      <w:r w:rsidRPr="008D0FD0">
        <w:rPr>
          <w:rFonts w:asciiTheme="minorHAnsi" w:eastAsia="Calibri" w:hAnsiTheme="minorHAnsi" w:cstheme="minorHAnsi"/>
          <w:bCs/>
          <w:sz w:val="21"/>
          <w:szCs w:val="21"/>
        </w:rPr>
        <w:t xml:space="preserve">What are the strengths or enablers for use of </w:t>
      </w:r>
      <w:r w:rsidR="009A625D">
        <w:rPr>
          <w:rFonts w:asciiTheme="minorHAnsi" w:eastAsia="Calibri" w:hAnsiTheme="minorHAnsi" w:cstheme="minorHAnsi"/>
          <w:bCs/>
          <w:sz w:val="21"/>
          <w:szCs w:val="21"/>
        </w:rPr>
        <w:t>supported DMHSs</w:t>
      </w:r>
      <w:r w:rsidRPr="008D0FD0">
        <w:rPr>
          <w:rFonts w:asciiTheme="minorHAnsi" w:eastAsia="Calibri" w:hAnsiTheme="minorHAnsi" w:cstheme="minorHAnsi"/>
          <w:bCs/>
          <w:sz w:val="21"/>
          <w:szCs w:val="21"/>
        </w:rPr>
        <w:t>?</w:t>
      </w:r>
    </w:p>
    <w:p w14:paraId="49801B24" w14:textId="24300643" w:rsidR="00B533A0" w:rsidRPr="008D0FD0" w:rsidRDefault="00B533A0" w:rsidP="005840CB">
      <w:pPr>
        <w:numPr>
          <w:ilvl w:val="0"/>
          <w:numId w:val="14"/>
        </w:numPr>
        <w:spacing w:after="240"/>
        <w:ind w:left="720"/>
        <w:contextualSpacing/>
        <w:rPr>
          <w:rFonts w:asciiTheme="minorHAnsi" w:eastAsia="Calibri" w:hAnsiTheme="minorHAnsi" w:cstheme="minorHAnsi"/>
          <w:bCs/>
          <w:sz w:val="21"/>
          <w:szCs w:val="21"/>
        </w:rPr>
      </w:pPr>
      <w:r w:rsidRPr="008D0FD0">
        <w:rPr>
          <w:rFonts w:asciiTheme="minorHAnsi" w:eastAsia="Calibri" w:hAnsiTheme="minorHAnsi" w:cstheme="minorHAnsi"/>
          <w:bCs/>
          <w:sz w:val="21"/>
          <w:szCs w:val="21"/>
        </w:rPr>
        <w:t xml:space="preserve">What are the weaknesses or barriers for use of </w:t>
      </w:r>
      <w:r w:rsidR="009A625D">
        <w:rPr>
          <w:rFonts w:asciiTheme="minorHAnsi" w:eastAsia="Calibri" w:hAnsiTheme="minorHAnsi" w:cstheme="minorHAnsi"/>
          <w:bCs/>
          <w:sz w:val="21"/>
          <w:szCs w:val="21"/>
        </w:rPr>
        <w:t>supported DMHSs</w:t>
      </w:r>
      <w:r w:rsidRPr="008D0FD0">
        <w:rPr>
          <w:rFonts w:asciiTheme="minorHAnsi" w:eastAsia="Calibri" w:hAnsiTheme="minorHAnsi" w:cstheme="minorHAnsi"/>
          <w:bCs/>
          <w:sz w:val="21"/>
          <w:szCs w:val="21"/>
        </w:rPr>
        <w:t>?</w:t>
      </w:r>
    </w:p>
    <w:p w14:paraId="529E036D" w14:textId="22353DF5" w:rsidR="00B533A0" w:rsidRPr="008D0FD0" w:rsidRDefault="00B533A0" w:rsidP="005840CB">
      <w:pPr>
        <w:numPr>
          <w:ilvl w:val="0"/>
          <w:numId w:val="14"/>
        </w:numPr>
        <w:spacing w:after="240"/>
        <w:ind w:left="720"/>
        <w:contextualSpacing/>
        <w:rPr>
          <w:rFonts w:asciiTheme="minorHAnsi" w:eastAsia="Calibri" w:hAnsiTheme="minorHAnsi" w:cstheme="minorHAnsi"/>
          <w:bCs/>
          <w:sz w:val="21"/>
          <w:szCs w:val="21"/>
        </w:rPr>
      </w:pPr>
      <w:r w:rsidRPr="008D0FD0">
        <w:rPr>
          <w:rFonts w:asciiTheme="minorHAnsi" w:eastAsia="Calibri" w:hAnsiTheme="minorHAnsi" w:cstheme="minorHAnsi"/>
          <w:bCs/>
          <w:sz w:val="21"/>
          <w:szCs w:val="21"/>
        </w:rPr>
        <w:t xml:space="preserve">How effective </w:t>
      </w:r>
      <w:r w:rsidR="009A625D">
        <w:rPr>
          <w:rFonts w:asciiTheme="minorHAnsi" w:eastAsia="Calibri" w:hAnsiTheme="minorHAnsi" w:cstheme="minorHAnsi"/>
          <w:bCs/>
          <w:sz w:val="21"/>
          <w:szCs w:val="21"/>
        </w:rPr>
        <w:t>are supported DMHSs</w:t>
      </w:r>
      <w:r w:rsidRPr="008D0FD0">
        <w:rPr>
          <w:rFonts w:asciiTheme="minorHAnsi" w:eastAsia="Calibri" w:hAnsiTheme="minorHAnsi" w:cstheme="minorHAnsi"/>
          <w:bCs/>
          <w:sz w:val="21"/>
          <w:szCs w:val="21"/>
        </w:rPr>
        <w:t>, particularly for different groups e.g., symptom severity, cultural diversity, socioeconomic background etc</w:t>
      </w:r>
      <w:r>
        <w:rPr>
          <w:rFonts w:asciiTheme="minorHAnsi" w:eastAsia="Calibri" w:hAnsiTheme="minorHAnsi" w:cstheme="minorHAnsi"/>
          <w:bCs/>
          <w:sz w:val="21"/>
          <w:szCs w:val="21"/>
        </w:rPr>
        <w:t>.</w:t>
      </w:r>
      <w:r w:rsidRPr="008D0FD0">
        <w:rPr>
          <w:rFonts w:asciiTheme="minorHAnsi" w:eastAsia="Calibri" w:hAnsiTheme="minorHAnsi" w:cstheme="minorHAnsi"/>
          <w:bCs/>
          <w:sz w:val="21"/>
          <w:szCs w:val="21"/>
        </w:rPr>
        <w:t>?</w:t>
      </w:r>
    </w:p>
    <w:p w14:paraId="12F65427" w14:textId="77777777" w:rsidR="00B533A0" w:rsidRPr="008D0FD0" w:rsidRDefault="00B533A0" w:rsidP="005840CB">
      <w:pPr>
        <w:numPr>
          <w:ilvl w:val="0"/>
          <w:numId w:val="14"/>
        </w:numPr>
        <w:spacing w:after="240"/>
        <w:ind w:left="720"/>
        <w:contextualSpacing/>
        <w:rPr>
          <w:rFonts w:asciiTheme="minorHAnsi" w:eastAsia="Calibri" w:hAnsiTheme="minorHAnsi" w:cstheme="minorHAnsi"/>
          <w:bCs/>
          <w:sz w:val="21"/>
          <w:szCs w:val="21"/>
        </w:rPr>
      </w:pPr>
      <w:r w:rsidRPr="008D0FD0">
        <w:rPr>
          <w:rFonts w:asciiTheme="minorHAnsi" w:eastAsia="Calibri" w:hAnsiTheme="minorHAnsi" w:cstheme="minorHAnsi"/>
          <w:bCs/>
          <w:sz w:val="21"/>
          <w:szCs w:val="21"/>
        </w:rPr>
        <w:t>What are the:</w:t>
      </w:r>
    </w:p>
    <w:p w14:paraId="0F0710B2" w14:textId="2299970C" w:rsidR="00B533A0" w:rsidRPr="008D0FD0" w:rsidRDefault="00B533A0" w:rsidP="005840CB">
      <w:pPr>
        <w:numPr>
          <w:ilvl w:val="1"/>
          <w:numId w:val="14"/>
        </w:numPr>
        <w:spacing w:after="240"/>
        <w:ind w:left="1080"/>
        <w:contextualSpacing/>
        <w:rPr>
          <w:rFonts w:asciiTheme="minorHAnsi" w:eastAsia="Calibri" w:hAnsiTheme="minorHAnsi" w:cstheme="minorHAnsi"/>
          <w:bCs/>
          <w:sz w:val="21"/>
          <w:szCs w:val="21"/>
        </w:rPr>
      </w:pPr>
      <w:r w:rsidRPr="008D0FD0">
        <w:rPr>
          <w:rFonts w:asciiTheme="minorHAnsi" w:eastAsia="Calibri" w:hAnsiTheme="minorHAnsi" w:cstheme="minorHAnsi"/>
          <w:bCs/>
          <w:sz w:val="21"/>
          <w:szCs w:val="21"/>
        </w:rPr>
        <w:t xml:space="preserve">Most important features to create the optimal </w:t>
      </w:r>
      <w:r w:rsidR="009A625D">
        <w:rPr>
          <w:rFonts w:asciiTheme="minorHAnsi" w:eastAsia="Calibri" w:hAnsiTheme="minorHAnsi" w:cstheme="minorHAnsi"/>
          <w:bCs/>
          <w:sz w:val="21"/>
          <w:szCs w:val="21"/>
        </w:rPr>
        <w:t>supported DMHSs?</w:t>
      </w:r>
    </w:p>
    <w:p w14:paraId="45E170E5" w14:textId="4944407D" w:rsidR="00B533A0" w:rsidRPr="00D5306E" w:rsidRDefault="00B533A0" w:rsidP="005840CB">
      <w:pPr>
        <w:numPr>
          <w:ilvl w:val="1"/>
          <w:numId w:val="14"/>
        </w:numPr>
        <w:spacing w:after="240"/>
        <w:ind w:left="1080"/>
        <w:contextualSpacing/>
        <w:rPr>
          <w:rFonts w:asciiTheme="minorHAnsi" w:eastAsia="Calibri" w:hAnsiTheme="minorHAnsi" w:cstheme="minorHAnsi"/>
          <w:bCs/>
          <w:sz w:val="21"/>
          <w:szCs w:val="21"/>
        </w:rPr>
      </w:pPr>
      <w:r w:rsidRPr="008D0FD0">
        <w:rPr>
          <w:rFonts w:asciiTheme="minorHAnsi" w:eastAsia="Calibri" w:hAnsiTheme="minorHAnsi" w:cstheme="minorHAnsi"/>
          <w:bCs/>
          <w:sz w:val="21"/>
          <w:szCs w:val="21"/>
        </w:rPr>
        <w:t xml:space="preserve">Least important features to create the optimal </w:t>
      </w:r>
      <w:r w:rsidR="009A625D">
        <w:rPr>
          <w:rFonts w:asciiTheme="minorHAnsi" w:eastAsia="Calibri" w:hAnsiTheme="minorHAnsi" w:cstheme="minorHAnsi"/>
          <w:bCs/>
          <w:sz w:val="21"/>
          <w:szCs w:val="21"/>
        </w:rPr>
        <w:t>supported DMHSs?</w:t>
      </w:r>
    </w:p>
    <w:p w14:paraId="0C479E91" w14:textId="77777777" w:rsidR="00634290" w:rsidRDefault="00B533A0" w:rsidP="005840CB">
      <w:pPr>
        <w:spacing w:before="240" w:after="240"/>
        <w:contextualSpacing/>
        <w:rPr>
          <w:rFonts w:asciiTheme="minorHAnsi" w:eastAsiaTheme="minorHAnsi" w:hAnsiTheme="minorHAnsi" w:cstheme="minorBidi"/>
          <w:sz w:val="21"/>
          <w:szCs w:val="21"/>
          <w:lang w:val="en-US" w:eastAsia="en-US"/>
        </w:rPr>
      </w:pPr>
      <w:r>
        <w:rPr>
          <w:rFonts w:asciiTheme="minorHAnsi" w:eastAsiaTheme="minorHAnsi" w:hAnsiTheme="minorHAnsi" w:cstheme="minorBidi"/>
          <w:sz w:val="21"/>
          <w:szCs w:val="21"/>
          <w:lang w:val="en-US" w:eastAsia="en-US"/>
        </w:rPr>
        <w:t>M</w:t>
      </w:r>
      <w:r w:rsidRPr="00330E9D">
        <w:rPr>
          <w:rFonts w:asciiTheme="minorHAnsi" w:eastAsiaTheme="minorHAnsi" w:hAnsiTheme="minorHAnsi" w:cstheme="minorBidi"/>
          <w:sz w:val="21"/>
          <w:szCs w:val="21"/>
          <w:lang w:val="en-US" w:eastAsia="en-US"/>
        </w:rPr>
        <w:t xml:space="preserve">ethods </w:t>
      </w:r>
      <w:r>
        <w:rPr>
          <w:rFonts w:asciiTheme="minorHAnsi" w:eastAsiaTheme="minorHAnsi" w:hAnsiTheme="minorHAnsi" w:cstheme="minorBidi"/>
          <w:sz w:val="21"/>
          <w:szCs w:val="21"/>
          <w:lang w:val="en-US" w:eastAsia="en-US"/>
        </w:rPr>
        <w:t xml:space="preserve">and analysis details </w:t>
      </w:r>
      <w:r w:rsidRPr="00330E9D">
        <w:rPr>
          <w:rFonts w:asciiTheme="minorHAnsi" w:eastAsiaTheme="minorHAnsi" w:hAnsiTheme="minorHAnsi" w:cstheme="minorBidi"/>
          <w:sz w:val="21"/>
          <w:szCs w:val="21"/>
          <w:lang w:val="en-US" w:eastAsia="en-US"/>
        </w:rPr>
        <w:t xml:space="preserve">are provided in </w:t>
      </w:r>
      <w:r w:rsidRPr="00513E96">
        <w:rPr>
          <w:rFonts w:asciiTheme="minorHAnsi" w:eastAsiaTheme="minorHAnsi" w:hAnsiTheme="minorHAnsi" w:cstheme="minorBidi"/>
          <w:sz w:val="21"/>
          <w:szCs w:val="21"/>
          <w:lang w:val="en-US" w:eastAsia="en-US"/>
        </w:rPr>
        <w:t>Appendix</w:t>
      </w:r>
      <w:r w:rsidR="00206028">
        <w:rPr>
          <w:rFonts w:asciiTheme="minorHAnsi" w:eastAsiaTheme="minorHAnsi" w:hAnsiTheme="minorHAnsi" w:cstheme="minorBidi"/>
          <w:sz w:val="21"/>
          <w:szCs w:val="21"/>
          <w:lang w:val="en-US" w:eastAsia="en-US"/>
        </w:rPr>
        <w:t xml:space="preserve"> </w:t>
      </w:r>
      <w:r w:rsidR="00852821">
        <w:rPr>
          <w:rFonts w:asciiTheme="minorHAnsi" w:eastAsiaTheme="minorHAnsi" w:hAnsiTheme="minorHAnsi" w:cstheme="minorBidi"/>
          <w:sz w:val="21"/>
          <w:szCs w:val="21"/>
          <w:lang w:val="en-US" w:eastAsia="en-US"/>
        </w:rPr>
        <w:t>B</w:t>
      </w:r>
      <w:r w:rsidRPr="00513E96">
        <w:rPr>
          <w:rFonts w:asciiTheme="minorHAnsi" w:eastAsiaTheme="minorHAnsi" w:hAnsiTheme="minorHAnsi" w:cstheme="minorBidi"/>
          <w:sz w:val="21"/>
          <w:szCs w:val="21"/>
          <w:lang w:val="en-US" w:eastAsia="en-US"/>
        </w:rPr>
        <w:t>.</w:t>
      </w:r>
    </w:p>
    <w:p w14:paraId="21C214F1" w14:textId="77777777" w:rsidR="0089117D" w:rsidRPr="0089117D" w:rsidRDefault="0089117D" w:rsidP="0089117D">
      <w:pPr>
        <w:pStyle w:val="ListParagraph"/>
        <w:keepNext/>
        <w:numPr>
          <w:ilvl w:val="0"/>
          <w:numId w:val="178"/>
        </w:numPr>
        <w:spacing w:after="120"/>
        <w:contextualSpacing w:val="0"/>
        <w:outlineLvl w:val="1"/>
        <w:rPr>
          <w:rFonts w:ascii="Calibri" w:hAnsi="Calibri" w:cs="Arial"/>
          <w:b/>
          <w:bCs/>
          <w:iCs/>
          <w:vanish/>
          <w:color w:val="2F5496" w:themeColor="accent1" w:themeShade="BF"/>
          <w:sz w:val="28"/>
          <w:szCs w:val="28"/>
        </w:rPr>
      </w:pPr>
      <w:bookmarkStart w:id="172" w:name="_Toc108604380"/>
      <w:bookmarkStart w:id="173" w:name="_Toc108607532"/>
      <w:bookmarkStart w:id="174" w:name="_Toc108607646"/>
      <w:bookmarkStart w:id="175" w:name="_Toc108607761"/>
      <w:bookmarkStart w:id="176" w:name="_Toc108678679"/>
      <w:bookmarkStart w:id="177" w:name="_Toc108678980"/>
      <w:bookmarkStart w:id="178" w:name="_Toc108679095"/>
      <w:bookmarkStart w:id="179" w:name="_Toc108689973"/>
      <w:bookmarkStart w:id="180" w:name="_Toc108709025"/>
      <w:bookmarkStart w:id="181" w:name="_Toc108782832"/>
      <w:bookmarkStart w:id="182" w:name="_Toc108782962"/>
      <w:bookmarkStart w:id="183" w:name="_Toc108784872"/>
      <w:bookmarkEnd w:id="172"/>
      <w:bookmarkEnd w:id="173"/>
      <w:bookmarkEnd w:id="174"/>
      <w:bookmarkEnd w:id="175"/>
      <w:bookmarkEnd w:id="176"/>
      <w:bookmarkEnd w:id="177"/>
      <w:bookmarkEnd w:id="178"/>
      <w:bookmarkEnd w:id="179"/>
      <w:bookmarkEnd w:id="180"/>
      <w:bookmarkEnd w:id="181"/>
      <w:bookmarkEnd w:id="182"/>
      <w:bookmarkEnd w:id="183"/>
    </w:p>
    <w:p w14:paraId="423B4F57" w14:textId="77777777" w:rsidR="0089117D" w:rsidRPr="0089117D" w:rsidRDefault="0089117D" w:rsidP="0089117D">
      <w:pPr>
        <w:pStyle w:val="ListParagraph"/>
        <w:keepNext/>
        <w:numPr>
          <w:ilvl w:val="1"/>
          <w:numId w:val="178"/>
        </w:numPr>
        <w:spacing w:after="120"/>
        <w:contextualSpacing w:val="0"/>
        <w:outlineLvl w:val="1"/>
        <w:rPr>
          <w:rFonts w:ascii="Calibri" w:hAnsi="Calibri" w:cs="Arial"/>
          <w:b/>
          <w:bCs/>
          <w:iCs/>
          <w:vanish/>
          <w:color w:val="2F5496" w:themeColor="accent1" w:themeShade="BF"/>
          <w:sz w:val="28"/>
          <w:szCs w:val="28"/>
        </w:rPr>
      </w:pPr>
      <w:bookmarkStart w:id="184" w:name="_Toc108678981"/>
      <w:bookmarkStart w:id="185" w:name="_Toc108679096"/>
      <w:bookmarkStart w:id="186" w:name="_Toc108689974"/>
      <w:bookmarkStart w:id="187" w:name="_Toc108709026"/>
      <w:bookmarkStart w:id="188" w:name="_Toc108782833"/>
      <w:bookmarkStart w:id="189" w:name="_Toc108782963"/>
      <w:bookmarkStart w:id="190" w:name="_Toc108784873"/>
      <w:bookmarkEnd w:id="184"/>
      <w:bookmarkEnd w:id="185"/>
      <w:bookmarkEnd w:id="186"/>
      <w:bookmarkEnd w:id="187"/>
      <w:bookmarkEnd w:id="188"/>
      <w:bookmarkEnd w:id="189"/>
      <w:bookmarkEnd w:id="190"/>
    </w:p>
    <w:p w14:paraId="43D425F5" w14:textId="4FF5FDC1" w:rsidR="008A55E2" w:rsidRPr="00F00FCC" w:rsidRDefault="008A55E2" w:rsidP="00B7061E">
      <w:pPr>
        <w:pStyle w:val="Heading2"/>
        <w:numPr>
          <w:ilvl w:val="1"/>
          <w:numId w:val="146"/>
        </w:numPr>
      </w:pPr>
      <w:bookmarkStart w:id="191" w:name="_Toc108784874"/>
      <w:r w:rsidRPr="00F00FCC">
        <w:t>Participant characteristics</w:t>
      </w:r>
      <w:bookmarkEnd w:id="191"/>
    </w:p>
    <w:p w14:paraId="572A0D40" w14:textId="0B6393B1" w:rsidR="00380EB0" w:rsidRDefault="008A55E2" w:rsidP="009257BB">
      <w:pPr>
        <w:pStyle w:val="ANorm"/>
        <w:spacing w:after="120"/>
      </w:pPr>
      <w:r w:rsidRPr="003F6A26">
        <w:t xml:space="preserve">Table </w:t>
      </w:r>
      <w:r w:rsidR="003F6A26">
        <w:t>36</w:t>
      </w:r>
      <w:r>
        <w:t xml:space="preserve"> presents the demographic characteristics of participants in the three community conversations. Of the 16 participants, one did not provide any demographic or service use data, and one did not provide an age.</w:t>
      </w:r>
    </w:p>
    <w:p w14:paraId="1E9950E4" w14:textId="276AE7B2" w:rsidR="00380EB0" w:rsidRDefault="00380EB0" w:rsidP="009257BB">
      <w:pPr>
        <w:pStyle w:val="ANorm"/>
        <w:spacing w:after="120"/>
      </w:pPr>
      <w:r>
        <w:t xml:space="preserve">The demographics demonstrate participation by a range of people, including good representation of multiple genders and age groups. However, </w:t>
      </w:r>
      <w:r w:rsidR="00521A9E">
        <w:t>most</w:t>
      </w:r>
      <w:r>
        <w:t xml:space="preserve"> participants </w:t>
      </w:r>
      <w:r w:rsidR="001058A0">
        <w:t>resided</w:t>
      </w:r>
      <w:r>
        <w:t xml:space="preserve"> in major cities, with only four participants in regional areas and none in remote locations</w:t>
      </w:r>
      <w:r w:rsidR="002C538B">
        <w:t>;</w:t>
      </w:r>
      <w:r>
        <w:t xml:space="preserve"> and all but two used the NBN to access the internet. None of the community conversation participants identified as Aboriginal or Torres Strait Islander, but during discussions, several identified strongly as Culturally and Linguistically Diverse or reported disabilities.</w:t>
      </w:r>
    </w:p>
    <w:p w14:paraId="7AC0EAB4" w14:textId="47A350B9" w:rsidR="00380EB0" w:rsidRDefault="00380EB0" w:rsidP="00380EB0">
      <w:pPr>
        <w:pStyle w:val="ANorm"/>
      </w:pPr>
      <w:r>
        <w:t xml:space="preserve">Participants’ familiarity with </w:t>
      </w:r>
      <w:r w:rsidR="004D2D2C">
        <w:t>DMHSs</w:t>
      </w:r>
      <w:r>
        <w:t xml:space="preserve"> was mixed. </w:t>
      </w:r>
      <w:r w:rsidR="004D2D2C">
        <w:t>Although</w:t>
      </w:r>
      <w:r>
        <w:t xml:space="preserve"> only three reported that they had not used </w:t>
      </w:r>
      <w:r w:rsidR="004D2D2C">
        <w:t>DMHSs</w:t>
      </w:r>
      <w:r>
        <w:t>, half reported that they had not heard of the Head to Health website and only four of the 16 reported ever using it. This provided a good mix of knowledge and experience about these services, to understand questions from multiple perspectives.</w:t>
      </w:r>
    </w:p>
    <w:p w14:paraId="2DD136FA" w14:textId="77777777" w:rsidR="00380EB0" w:rsidRDefault="00380EB0">
      <w:pPr>
        <w:rPr>
          <w:rFonts w:asciiTheme="minorHAnsi" w:eastAsiaTheme="majorEastAsia" w:hAnsiTheme="minorHAnsi" w:cstheme="majorBidi"/>
          <w:b/>
          <w:color w:val="000000" w:themeColor="text1"/>
          <w:sz w:val="21"/>
          <w:szCs w:val="21"/>
          <w:lang w:val="en-US" w:eastAsia="en-US"/>
        </w:rPr>
      </w:pPr>
      <w:r>
        <w:br w:type="page"/>
      </w:r>
    </w:p>
    <w:p w14:paraId="56DD2B34" w14:textId="0AA7D6DC" w:rsidR="004F7FAB" w:rsidRDefault="004F7FAB" w:rsidP="003D1CA1">
      <w:pPr>
        <w:pStyle w:val="tableheading"/>
      </w:pPr>
      <w:r w:rsidRPr="003F6A26">
        <w:lastRenderedPageBreak/>
        <w:t xml:space="preserve">Table </w:t>
      </w:r>
      <w:r w:rsidR="003F6A26" w:rsidRPr="003F6A26">
        <w:t>36</w:t>
      </w:r>
      <w:r w:rsidRPr="003F6A26">
        <w:t>.</w:t>
      </w:r>
      <w:r>
        <w:t xml:space="preserve"> </w:t>
      </w:r>
      <w:r w:rsidR="00380EB0">
        <w:t>Participant characteristics</w:t>
      </w:r>
      <w:r w:rsidR="00307CD2">
        <w:t xml:space="preserve"> (n=15)</w:t>
      </w:r>
    </w:p>
    <w:tbl>
      <w:tblPr>
        <w:tblStyle w:val="ListTable3"/>
        <w:tblW w:w="2827" w:type="pct"/>
        <w:jc w:val="center"/>
        <w:tblLook w:val="04A0" w:firstRow="1" w:lastRow="0" w:firstColumn="1" w:lastColumn="0" w:noHBand="0" w:noVBand="1"/>
        <w:tblDescription w:val="Table describing Participant characteristics (n=15)"/>
      </w:tblPr>
      <w:tblGrid>
        <w:gridCol w:w="4129"/>
        <w:gridCol w:w="1376"/>
      </w:tblGrid>
      <w:tr w:rsidR="008A55E2" w:rsidRPr="00F750E8" w14:paraId="1C9289CD" w14:textId="77777777" w:rsidTr="008A689E">
        <w:trPr>
          <w:cnfStyle w:val="100000000000" w:firstRow="1" w:lastRow="0" w:firstColumn="0" w:lastColumn="0" w:oddVBand="0" w:evenVBand="0" w:oddHBand="0" w:evenHBand="0" w:firstRowFirstColumn="0" w:firstRowLastColumn="0" w:lastRowFirstColumn="0" w:lastRowLastColumn="0"/>
          <w:trHeight w:val="170"/>
          <w:jc w:val="center"/>
        </w:trPr>
        <w:tc>
          <w:tcPr>
            <w:cnfStyle w:val="001000000100" w:firstRow="0" w:lastRow="0" w:firstColumn="1" w:lastColumn="0" w:oddVBand="0" w:evenVBand="0" w:oddHBand="0" w:evenHBand="0" w:firstRowFirstColumn="1" w:firstRowLastColumn="0" w:lastRowFirstColumn="0" w:lastRowLastColumn="0"/>
            <w:tcW w:w="3750" w:type="pct"/>
            <w:tcBorders>
              <w:bottom w:val="single" w:sz="4" w:space="0" w:color="000000" w:themeColor="text1"/>
            </w:tcBorders>
          </w:tcPr>
          <w:p w14:paraId="4E17B233" w14:textId="77777777" w:rsidR="008A55E2" w:rsidRPr="00F750E8" w:rsidRDefault="008A55E2" w:rsidP="008A689E">
            <w:pPr>
              <w:rPr>
                <w:rFonts w:asciiTheme="minorHAnsi" w:hAnsiTheme="minorHAnsi" w:cstheme="minorHAnsi"/>
                <w:sz w:val="18"/>
                <w:szCs w:val="18"/>
              </w:rPr>
            </w:pPr>
            <w:r w:rsidRPr="00F750E8">
              <w:rPr>
                <w:rFonts w:asciiTheme="minorHAnsi" w:hAnsiTheme="minorHAnsi" w:cstheme="minorHAnsi"/>
                <w:sz w:val="18"/>
                <w:szCs w:val="18"/>
              </w:rPr>
              <w:t>Characteristic</w:t>
            </w:r>
          </w:p>
        </w:tc>
        <w:tc>
          <w:tcPr>
            <w:tcW w:w="1250" w:type="pct"/>
            <w:tcBorders>
              <w:bottom w:val="single" w:sz="4" w:space="0" w:color="000000" w:themeColor="text1"/>
            </w:tcBorders>
          </w:tcPr>
          <w:p w14:paraId="7E1C3E64" w14:textId="528F2649" w:rsidR="008A55E2" w:rsidRPr="00F750E8" w:rsidRDefault="004F7FAB" w:rsidP="008A689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Frequency</w:t>
            </w:r>
          </w:p>
        </w:tc>
      </w:tr>
      <w:tr w:rsidR="008A55E2" w:rsidRPr="00F750E8" w14:paraId="11066BEE" w14:textId="77777777" w:rsidTr="008A689E">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bottom w:val="nil"/>
            </w:tcBorders>
          </w:tcPr>
          <w:p w14:paraId="3CBD4089" w14:textId="77777777" w:rsidR="008A55E2" w:rsidRPr="00F750E8" w:rsidRDefault="008A55E2" w:rsidP="008A689E">
            <w:pPr>
              <w:rPr>
                <w:rFonts w:asciiTheme="minorHAnsi" w:hAnsiTheme="minorHAnsi" w:cstheme="minorHAnsi"/>
                <w:sz w:val="18"/>
                <w:szCs w:val="18"/>
              </w:rPr>
            </w:pPr>
            <w:r w:rsidRPr="00F750E8">
              <w:rPr>
                <w:rFonts w:asciiTheme="minorHAnsi" w:hAnsiTheme="minorHAnsi" w:cstheme="minorHAnsi"/>
                <w:sz w:val="18"/>
                <w:szCs w:val="18"/>
              </w:rPr>
              <w:t>Gender</w:t>
            </w:r>
          </w:p>
        </w:tc>
        <w:tc>
          <w:tcPr>
            <w:tcW w:w="1250" w:type="pct"/>
            <w:tcBorders>
              <w:bottom w:val="nil"/>
            </w:tcBorders>
          </w:tcPr>
          <w:p w14:paraId="4361910D" w14:textId="77777777" w:rsidR="008A55E2" w:rsidRPr="00F750E8" w:rsidRDefault="008A55E2" w:rsidP="008A68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8A55E2" w:rsidRPr="00F750E8" w14:paraId="53B51682" w14:textId="77777777" w:rsidTr="008A689E">
        <w:trPr>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nil"/>
              <w:bottom w:val="nil"/>
            </w:tcBorders>
          </w:tcPr>
          <w:p w14:paraId="3E673286" w14:textId="77777777" w:rsidR="008A55E2" w:rsidRPr="00F750E8" w:rsidRDefault="008A55E2" w:rsidP="008A689E">
            <w:pPr>
              <w:ind w:left="308"/>
              <w:rPr>
                <w:rFonts w:asciiTheme="minorHAnsi" w:hAnsiTheme="minorHAnsi" w:cstheme="minorHAnsi"/>
                <w:b w:val="0"/>
                <w:sz w:val="18"/>
                <w:szCs w:val="18"/>
              </w:rPr>
            </w:pPr>
            <w:r w:rsidRPr="00F750E8">
              <w:rPr>
                <w:rFonts w:asciiTheme="minorHAnsi" w:hAnsiTheme="minorHAnsi" w:cstheme="minorHAnsi"/>
                <w:b w:val="0"/>
                <w:sz w:val="18"/>
                <w:szCs w:val="18"/>
              </w:rPr>
              <w:t>Male</w:t>
            </w:r>
          </w:p>
        </w:tc>
        <w:tc>
          <w:tcPr>
            <w:tcW w:w="1250" w:type="pct"/>
            <w:tcBorders>
              <w:top w:val="nil"/>
              <w:bottom w:val="nil"/>
            </w:tcBorders>
          </w:tcPr>
          <w:p w14:paraId="180A06D7" w14:textId="77777777" w:rsidR="008A55E2" w:rsidRPr="00F750E8" w:rsidRDefault="008A55E2" w:rsidP="008A68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750E8">
              <w:rPr>
                <w:rFonts w:asciiTheme="minorHAnsi" w:hAnsiTheme="minorHAnsi" w:cstheme="minorHAnsi"/>
                <w:sz w:val="18"/>
                <w:szCs w:val="18"/>
              </w:rPr>
              <w:t>7</w:t>
            </w:r>
          </w:p>
        </w:tc>
      </w:tr>
      <w:tr w:rsidR="008A55E2" w:rsidRPr="00F750E8" w14:paraId="7F494B31" w14:textId="77777777" w:rsidTr="008A689E">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nil"/>
              <w:bottom w:val="nil"/>
            </w:tcBorders>
          </w:tcPr>
          <w:p w14:paraId="652D601A" w14:textId="77777777" w:rsidR="008A55E2" w:rsidRPr="00F750E8" w:rsidRDefault="008A55E2" w:rsidP="008A689E">
            <w:pPr>
              <w:ind w:left="308"/>
              <w:rPr>
                <w:rFonts w:asciiTheme="minorHAnsi" w:hAnsiTheme="minorHAnsi" w:cstheme="minorHAnsi"/>
                <w:b w:val="0"/>
                <w:sz w:val="18"/>
                <w:szCs w:val="18"/>
              </w:rPr>
            </w:pPr>
            <w:r w:rsidRPr="00F750E8">
              <w:rPr>
                <w:rFonts w:asciiTheme="minorHAnsi" w:hAnsiTheme="minorHAnsi" w:cstheme="minorHAnsi"/>
                <w:b w:val="0"/>
                <w:sz w:val="18"/>
                <w:szCs w:val="18"/>
              </w:rPr>
              <w:t>Female</w:t>
            </w:r>
          </w:p>
        </w:tc>
        <w:tc>
          <w:tcPr>
            <w:tcW w:w="1250" w:type="pct"/>
            <w:tcBorders>
              <w:top w:val="nil"/>
              <w:bottom w:val="nil"/>
            </w:tcBorders>
          </w:tcPr>
          <w:p w14:paraId="18CCAE59" w14:textId="77777777" w:rsidR="008A55E2" w:rsidRPr="00F750E8" w:rsidRDefault="008A55E2" w:rsidP="008A68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750E8">
              <w:rPr>
                <w:rFonts w:asciiTheme="minorHAnsi" w:hAnsiTheme="minorHAnsi" w:cstheme="minorHAnsi"/>
                <w:sz w:val="18"/>
                <w:szCs w:val="18"/>
              </w:rPr>
              <w:t>5</w:t>
            </w:r>
          </w:p>
        </w:tc>
      </w:tr>
      <w:tr w:rsidR="008A55E2" w:rsidRPr="00F750E8" w14:paraId="4D679134" w14:textId="77777777" w:rsidTr="008A689E">
        <w:trPr>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nil"/>
              <w:bottom w:val="single" w:sz="4" w:space="0" w:color="000000" w:themeColor="text1"/>
            </w:tcBorders>
          </w:tcPr>
          <w:p w14:paraId="39D6A637" w14:textId="77777777" w:rsidR="008A55E2" w:rsidRPr="00F750E8" w:rsidRDefault="008A55E2" w:rsidP="008A689E">
            <w:pPr>
              <w:ind w:left="308"/>
              <w:rPr>
                <w:rFonts w:asciiTheme="minorHAnsi" w:hAnsiTheme="minorHAnsi" w:cstheme="minorHAnsi"/>
                <w:b w:val="0"/>
                <w:sz w:val="18"/>
                <w:szCs w:val="18"/>
              </w:rPr>
            </w:pPr>
            <w:r w:rsidRPr="00F750E8">
              <w:rPr>
                <w:rFonts w:asciiTheme="minorHAnsi" w:hAnsiTheme="minorHAnsi" w:cstheme="minorHAnsi"/>
                <w:b w:val="0"/>
                <w:sz w:val="18"/>
                <w:szCs w:val="18"/>
              </w:rPr>
              <w:t>Non-binary</w:t>
            </w:r>
          </w:p>
        </w:tc>
        <w:tc>
          <w:tcPr>
            <w:tcW w:w="1250" w:type="pct"/>
            <w:tcBorders>
              <w:top w:val="nil"/>
              <w:bottom w:val="single" w:sz="4" w:space="0" w:color="000000" w:themeColor="text1"/>
            </w:tcBorders>
          </w:tcPr>
          <w:p w14:paraId="7AB358EE" w14:textId="77777777" w:rsidR="008A55E2" w:rsidRPr="00F750E8" w:rsidRDefault="008A55E2" w:rsidP="008A68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750E8">
              <w:rPr>
                <w:rFonts w:asciiTheme="minorHAnsi" w:hAnsiTheme="minorHAnsi" w:cstheme="minorHAnsi"/>
                <w:sz w:val="18"/>
                <w:szCs w:val="18"/>
              </w:rPr>
              <w:t>3</w:t>
            </w:r>
          </w:p>
        </w:tc>
      </w:tr>
      <w:tr w:rsidR="008A55E2" w:rsidRPr="00F750E8" w14:paraId="367E0D75" w14:textId="77777777" w:rsidTr="008A689E">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bottom w:val="nil"/>
            </w:tcBorders>
          </w:tcPr>
          <w:p w14:paraId="193A63B7" w14:textId="77777777" w:rsidR="008A55E2" w:rsidRPr="00F750E8" w:rsidRDefault="008A55E2" w:rsidP="008A689E">
            <w:pPr>
              <w:ind w:left="24"/>
              <w:rPr>
                <w:rFonts w:asciiTheme="minorHAnsi" w:hAnsiTheme="minorHAnsi" w:cstheme="minorHAnsi"/>
                <w:sz w:val="18"/>
                <w:szCs w:val="18"/>
              </w:rPr>
            </w:pPr>
            <w:r w:rsidRPr="00F750E8">
              <w:rPr>
                <w:rFonts w:asciiTheme="minorHAnsi" w:hAnsiTheme="minorHAnsi" w:cstheme="minorHAnsi"/>
                <w:sz w:val="18"/>
                <w:szCs w:val="18"/>
              </w:rPr>
              <w:t>Age</w:t>
            </w:r>
          </w:p>
        </w:tc>
        <w:tc>
          <w:tcPr>
            <w:tcW w:w="1250" w:type="pct"/>
            <w:tcBorders>
              <w:bottom w:val="nil"/>
            </w:tcBorders>
          </w:tcPr>
          <w:p w14:paraId="70102591" w14:textId="77777777" w:rsidR="008A55E2" w:rsidRPr="00F750E8" w:rsidRDefault="008A55E2" w:rsidP="008A68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8A55E2" w:rsidRPr="00F750E8" w14:paraId="629E168F" w14:textId="77777777" w:rsidTr="008A689E">
        <w:trPr>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nil"/>
              <w:bottom w:val="nil"/>
            </w:tcBorders>
          </w:tcPr>
          <w:p w14:paraId="1CD71CFE" w14:textId="77777777" w:rsidR="008A55E2" w:rsidRPr="00F750E8" w:rsidRDefault="008A55E2" w:rsidP="008A689E">
            <w:pPr>
              <w:ind w:left="308"/>
              <w:rPr>
                <w:rFonts w:asciiTheme="minorHAnsi" w:hAnsiTheme="minorHAnsi" w:cstheme="minorHAnsi"/>
                <w:b w:val="0"/>
                <w:sz w:val="18"/>
                <w:szCs w:val="18"/>
              </w:rPr>
            </w:pPr>
            <w:r w:rsidRPr="00F750E8">
              <w:rPr>
                <w:rFonts w:asciiTheme="minorHAnsi" w:hAnsiTheme="minorHAnsi" w:cstheme="minorHAnsi"/>
                <w:b w:val="0"/>
                <w:sz w:val="18"/>
                <w:szCs w:val="18"/>
              </w:rPr>
              <w:t>&lt;20</w:t>
            </w:r>
          </w:p>
        </w:tc>
        <w:tc>
          <w:tcPr>
            <w:tcW w:w="1250" w:type="pct"/>
            <w:tcBorders>
              <w:top w:val="nil"/>
              <w:bottom w:val="nil"/>
            </w:tcBorders>
          </w:tcPr>
          <w:p w14:paraId="03800DCD" w14:textId="77777777" w:rsidR="008A55E2" w:rsidRPr="00F750E8" w:rsidRDefault="008A55E2" w:rsidP="008A68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750E8">
              <w:rPr>
                <w:rFonts w:asciiTheme="minorHAnsi" w:hAnsiTheme="minorHAnsi" w:cstheme="minorHAnsi"/>
                <w:sz w:val="18"/>
                <w:szCs w:val="18"/>
              </w:rPr>
              <w:t>2</w:t>
            </w:r>
          </w:p>
        </w:tc>
      </w:tr>
      <w:tr w:rsidR="008A55E2" w:rsidRPr="00F750E8" w14:paraId="2F2EA56B" w14:textId="77777777" w:rsidTr="008A689E">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nil"/>
              <w:bottom w:val="nil"/>
            </w:tcBorders>
          </w:tcPr>
          <w:p w14:paraId="65D468C7" w14:textId="77777777" w:rsidR="008A55E2" w:rsidRPr="00F750E8" w:rsidRDefault="008A55E2" w:rsidP="008A689E">
            <w:pPr>
              <w:ind w:left="308"/>
              <w:rPr>
                <w:rFonts w:asciiTheme="minorHAnsi" w:hAnsiTheme="minorHAnsi" w:cstheme="minorHAnsi"/>
                <w:b w:val="0"/>
                <w:sz w:val="18"/>
                <w:szCs w:val="18"/>
              </w:rPr>
            </w:pPr>
            <w:r w:rsidRPr="00F750E8">
              <w:rPr>
                <w:rFonts w:asciiTheme="minorHAnsi" w:hAnsiTheme="minorHAnsi" w:cstheme="minorHAnsi"/>
                <w:b w:val="0"/>
                <w:sz w:val="18"/>
                <w:szCs w:val="18"/>
              </w:rPr>
              <w:t>20-29</w:t>
            </w:r>
          </w:p>
        </w:tc>
        <w:tc>
          <w:tcPr>
            <w:tcW w:w="1250" w:type="pct"/>
            <w:tcBorders>
              <w:top w:val="nil"/>
              <w:bottom w:val="nil"/>
            </w:tcBorders>
          </w:tcPr>
          <w:p w14:paraId="20C48BA9" w14:textId="77777777" w:rsidR="008A55E2" w:rsidRPr="00F750E8" w:rsidRDefault="008A55E2" w:rsidP="008A68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750E8">
              <w:rPr>
                <w:rFonts w:asciiTheme="minorHAnsi" w:hAnsiTheme="minorHAnsi" w:cstheme="minorHAnsi"/>
                <w:sz w:val="18"/>
                <w:szCs w:val="18"/>
              </w:rPr>
              <w:t>5</w:t>
            </w:r>
          </w:p>
        </w:tc>
      </w:tr>
      <w:tr w:rsidR="008A55E2" w:rsidRPr="00F750E8" w14:paraId="51F8F652" w14:textId="77777777" w:rsidTr="008A689E">
        <w:trPr>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nil"/>
              <w:bottom w:val="nil"/>
            </w:tcBorders>
          </w:tcPr>
          <w:p w14:paraId="2B8CB73D" w14:textId="77777777" w:rsidR="008A55E2" w:rsidRPr="00F750E8" w:rsidRDefault="008A55E2" w:rsidP="008A689E">
            <w:pPr>
              <w:ind w:left="308"/>
              <w:rPr>
                <w:rFonts w:asciiTheme="minorHAnsi" w:hAnsiTheme="minorHAnsi" w:cstheme="minorHAnsi"/>
                <w:b w:val="0"/>
                <w:sz w:val="18"/>
                <w:szCs w:val="18"/>
              </w:rPr>
            </w:pPr>
            <w:r w:rsidRPr="00F750E8">
              <w:rPr>
                <w:rFonts w:asciiTheme="minorHAnsi" w:hAnsiTheme="minorHAnsi" w:cstheme="minorHAnsi"/>
                <w:b w:val="0"/>
                <w:sz w:val="18"/>
                <w:szCs w:val="18"/>
              </w:rPr>
              <w:t>30-39</w:t>
            </w:r>
          </w:p>
        </w:tc>
        <w:tc>
          <w:tcPr>
            <w:tcW w:w="1250" w:type="pct"/>
            <w:tcBorders>
              <w:top w:val="nil"/>
              <w:bottom w:val="nil"/>
            </w:tcBorders>
          </w:tcPr>
          <w:p w14:paraId="505E6FEF" w14:textId="77777777" w:rsidR="008A55E2" w:rsidRPr="00F750E8" w:rsidRDefault="008A55E2" w:rsidP="008A68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750E8">
              <w:rPr>
                <w:rFonts w:asciiTheme="minorHAnsi" w:hAnsiTheme="minorHAnsi" w:cstheme="minorHAnsi"/>
                <w:sz w:val="18"/>
                <w:szCs w:val="18"/>
              </w:rPr>
              <w:t>3</w:t>
            </w:r>
          </w:p>
        </w:tc>
      </w:tr>
      <w:tr w:rsidR="008A55E2" w:rsidRPr="00F750E8" w14:paraId="3E1E4C0D" w14:textId="77777777" w:rsidTr="008A689E">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nil"/>
              <w:bottom w:val="nil"/>
            </w:tcBorders>
          </w:tcPr>
          <w:p w14:paraId="570E811A" w14:textId="77777777" w:rsidR="008A55E2" w:rsidRPr="00F750E8" w:rsidRDefault="008A55E2" w:rsidP="008A689E">
            <w:pPr>
              <w:ind w:left="308"/>
              <w:rPr>
                <w:rFonts w:asciiTheme="minorHAnsi" w:hAnsiTheme="minorHAnsi" w:cstheme="minorHAnsi"/>
                <w:b w:val="0"/>
                <w:sz w:val="18"/>
                <w:szCs w:val="18"/>
              </w:rPr>
            </w:pPr>
            <w:r w:rsidRPr="00F750E8">
              <w:rPr>
                <w:rFonts w:asciiTheme="minorHAnsi" w:hAnsiTheme="minorHAnsi" w:cstheme="minorHAnsi"/>
                <w:b w:val="0"/>
                <w:sz w:val="18"/>
                <w:szCs w:val="18"/>
              </w:rPr>
              <w:t>40-49</w:t>
            </w:r>
          </w:p>
        </w:tc>
        <w:tc>
          <w:tcPr>
            <w:tcW w:w="1250" w:type="pct"/>
            <w:tcBorders>
              <w:top w:val="nil"/>
              <w:bottom w:val="nil"/>
            </w:tcBorders>
          </w:tcPr>
          <w:p w14:paraId="627BB010" w14:textId="77777777" w:rsidR="008A55E2" w:rsidRPr="00F750E8" w:rsidRDefault="008A55E2" w:rsidP="008A68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750E8">
              <w:rPr>
                <w:rFonts w:asciiTheme="minorHAnsi" w:hAnsiTheme="minorHAnsi" w:cstheme="minorHAnsi"/>
                <w:sz w:val="18"/>
                <w:szCs w:val="18"/>
              </w:rPr>
              <w:t>2</w:t>
            </w:r>
          </w:p>
        </w:tc>
      </w:tr>
      <w:tr w:rsidR="008A55E2" w:rsidRPr="00F750E8" w14:paraId="1E9E5EB6" w14:textId="77777777" w:rsidTr="008A689E">
        <w:trPr>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nil"/>
              <w:bottom w:val="nil"/>
            </w:tcBorders>
          </w:tcPr>
          <w:p w14:paraId="2B585A54" w14:textId="77777777" w:rsidR="008A55E2" w:rsidRPr="00F750E8" w:rsidRDefault="008A55E2" w:rsidP="008A689E">
            <w:pPr>
              <w:ind w:left="308"/>
              <w:rPr>
                <w:rFonts w:asciiTheme="minorHAnsi" w:hAnsiTheme="minorHAnsi" w:cstheme="minorHAnsi"/>
                <w:b w:val="0"/>
                <w:sz w:val="18"/>
                <w:szCs w:val="18"/>
              </w:rPr>
            </w:pPr>
            <w:r w:rsidRPr="00F750E8">
              <w:rPr>
                <w:rFonts w:asciiTheme="minorHAnsi" w:hAnsiTheme="minorHAnsi" w:cstheme="minorHAnsi"/>
                <w:b w:val="0"/>
                <w:sz w:val="18"/>
                <w:szCs w:val="18"/>
              </w:rPr>
              <w:t>50-59</w:t>
            </w:r>
          </w:p>
        </w:tc>
        <w:tc>
          <w:tcPr>
            <w:tcW w:w="1250" w:type="pct"/>
            <w:tcBorders>
              <w:top w:val="nil"/>
              <w:bottom w:val="nil"/>
            </w:tcBorders>
          </w:tcPr>
          <w:p w14:paraId="778E068E" w14:textId="77777777" w:rsidR="008A55E2" w:rsidRPr="00F750E8" w:rsidRDefault="008A55E2" w:rsidP="008A68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750E8">
              <w:rPr>
                <w:rFonts w:asciiTheme="minorHAnsi" w:hAnsiTheme="minorHAnsi" w:cstheme="minorHAnsi"/>
                <w:sz w:val="18"/>
                <w:szCs w:val="18"/>
              </w:rPr>
              <w:t>1</w:t>
            </w:r>
          </w:p>
        </w:tc>
      </w:tr>
      <w:tr w:rsidR="008A55E2" w:rsidRPr="00F750E8" w14:paraId="3F3F43FC" w14:textId="77777777" w:rsidTr="008A689E">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nil"/>
            </w:tcBorders>
          </w:tcPr>
          <w:p w14:paraId="3CA43FF6" w14:textId="77777777" w:rsidR="008A55E2" w:rsidRPr="00F750E8" w:rsidRDefault="008A55E2" w:rsidP="008A689E">
            <w:pPr>
              <w:ind w:left="308"/>
              <w:rPr>
                <w:rFonts w:asciiTheme="minorHAnsi" w:hAnsiTheme="minorHAnsi" w:cstheme="minorHAnsi"/>
                <w:b w:val="0"/>
                <w:sz w:val="18"/>
                <w:szCs w:val="18"/>
              </w:rPr>
            </w:pPr>
            <w:r w:rsidRPr="00F750E8">
              <w:rPr>
                <w:rFonts w:asciiTheme="minorHAnsi" w:hAnsiTheme="minorHAnsi" w:cstheme="minorHAnsi"/>
                <w:b w:val="0"/>
                <w:sz w:val="18"/>
                <w:szCs w:val="18"/>
              </w:rPr>
              <w:t>60-69</w:t>
            </w:r>
          </w:p>
        </w:tc>
        <w:tc>
          <w:tcPr>
            <w:tcW w:w="1250" w:type="pct"/>
            <w:tcBorders>
              <w:top w:val="nil"/>
            </w:tcBorders>
          </w:tcPr>
          <w:p w14:paraId="0436A407" w14:textId="77777777" w:rsidR="008A55E2" w:rsidRPr="00F750E8" w:rsidRDefault="008A55E2" w:rsidP="008A68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750E8">
              <w:rPr>
                <w:rFonts w:asciiTheme="minorHAnsi" w:hAnsiTheme="minorHAnsi" w:cstheme="minorHAnsi"/>
                <w:sz w:val="18"/>
                <w:szCs w:val="18"/>
              </w:rPr>
              <w:t>1</w:t>
            </w:r>
          </w:p>
        </w:tc>
      </w:tr>
      <w:tr w:rsidR="008A55E2" w:rsidRPr="00F750E8" w14:paraId="4661BC61" w14:textId="77777777" w:rsidTr="008A689E">
        <w:trPr>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single" w:sz="4" w:space="0" w:color="000000" w:themeColor="text1"/>
              <w:bottom w:val="nil"/>
            </w:tcBorders>
          </w:tcPr>
          <w:p w14:paraId="791FF129" w14:textId="77777777" w:rsidR="008A55E2" w:rsidRPr="00F750E8" w:rsidRDefault="008A55E2" w:rsidP="008A689E">
            <w:pPr>
              <w:ind w:left="24"/>
              <w:rPr>
                <w:rFonts w:asciiTheme="minorHAnsi" w:hAnsiTheme="minorHAnsi" w:cstheme="minorHAnsi"/>
                <w:sz w:val="18"/>
                <w:szCs w:val="18"/>
              </w:rPr>
            </w:pPr>
            <w:r w:rsidRPr="00F750E8">
              <w:rPr>
                <w:rFonts w:asciiTheme="minorHAnsi" w:hAnsiTheme="minorHAnsi" w:cstheme="minorHAnsi"/>
                <w:sz w:val="18"/>
                <w:szCs w:val="18"/>
              </w:rPr>
              <w:t>Location</w:t>
            </w:r>
          </w:p>
        </w:tc>
        <w:tc>
          <w:tcPr>
            <w:tcW w:w="1250" w:type="pct"/>
            <w:tcBorders>
              <w:top w:val="single" w:sz="4" w:space="0" w:color="000000" w:themeColor="text1"/>
              <w:bottom w:val="nil"/>
            </w:tcBorders>
          </w:tcPr>
          <w:p w14:paraId="5973B132" w14:textId="77777777" w:rsidR="008A55E2" w:rsidRPr="00F750E8" w:rsidRDefault="008A55E2" w:rsidP="008A68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8A55E2" w:rsidRPr="00F750E8" w14:paraId="0FD2FBE3" w14:textId="77777777" w:rsidTr="008A689E">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nil"/>
              <w:bottom w:val="nil"/>
            </w:tcBorders>
          </w:tcPr>
          <w:p w14:paraId="2E84C0B0" w14:textId="77777777" w:rsidR="008A55E2" w:rsidRPr="00F750E8" w:rsidRDefault="008A55E2" w:rsidP="008A689E">
            <w:pPr>
              <w:ind w:left="308"/>
              <w:rPr>
                <w:rFonts w:asciiTheme="minorHAnsi" w:hAnsiTheme="minorHAnsi" w:cstheme="minorHAnsi"/>
                <w:b w:val="0"/>
                <w:sz w:val="18"/>
                <w:szCs w:val="18"/>
              </w:rPr>
            </w:pPr>
            <w:r w:rsidRPr="00F750E8">
              <w:rPr>
                <w:rFonts w:asciiTheme="minorHAnsi" w:hAnsiTheme="minorHAnsi" w:cstheme="minorHAnsi"/>
                <w:b w:val="0"/>
                <w:sz w:val="18"/>
                <w:szCs w:val="18"/>
              </w:rPr>
              <w:t>Major cities</w:t>
            </w:r>
          </w:p>
        </w:tc>
        <w:tc>
          <w:tcPr>
            <w:tcW w:w="1250" w:type="pct"/>
            <w:tcBorders>
              <w:top w:val="nil"/>
              <w:bottom w:val="nil"/>
            </w:tcBorders>
          </w:tcPr>
          <w:p w14:paraId="35E0E58C" w14:textId="77777777" w:rsidR="008A55E2" w:rsidRPr="00F750E8" w:rsidRDefault="008A55E2" w:rsidP="008A68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750E8">
              <w:rPr>
                <w:rFonts w:asciiTheme="minorHAnsi" w:hAnsiTheme="minorHAnsi" w:cstheme="minorHAnsi"/>
                <w:sz w:val="18"/>
                <w:szCs w:val="18"/>
              </w:rPr>
              <w:t>11</w:t>
            </w:r>
          </w:p>
        </w:tc>
      </w:tr>
      <w:tr w:rsidR="008A55E2" w:rsidRPr="00F750E8" w14:paraId="683C2588" w14:textId="77777777" w:rsidTr="008A689E">
        <w:trPr>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nil"/>
              <w:bottom w:val="nil"/>
            </w:tcBorders>
          </w:tcPr>
          <w:p w14:paraId="2C15E6A4" w14:textId="77777777" w:rsidR="008A55E2" w:rsidRPr="00F750E8" w:rsidRDefault="008A55E2" w:rsidP="008A689E">
            <w:pPr>
              <w:ind w:left="308"/>
              <w:rPr>
                <w:rFonts w:asciiTheme="minorHAnsi" w:hAnsiTheme="minorHAnsi" w:cstheme="minorHAnsi"/>
                <w:b w:val="0"/>
                <w:sz w:val="18"/>
                <w:szCs w:val="18"/>
              </w:rPr>
            </w:pPr>
            <w:r w:rsidRPr="00F750E8">
              <w:rPr>
                <w:rFonts w:asciiTheme="minorHAnsi" w:hAnsiTheme="minorHAnsi" w:cstheme="minorHAnsi"/>
                <w:b w:val="0"/>
                <w:sz w:val="18"/>
                <w:szCs w:val="18"/>
              </w:rPr>
              <w:t>Inner regional</w:t>
            </w:r>
          </w:p>
        </w:tc>
        <w:tc>
          <w:tcPr>
            <w:tcW w:w="1250" w:type="pct"/>
            <w:tcBorders>
              <w:top w:val="nil"/>
              <w:bottom w:val="nil"/>
            </w:tcBorders>
          </w:tcPr>
          <w:p w14:paraId="5F3DFDBD" w14:textId="77777777" w:rsidR="008A55E2" w:rsidRPr="00F750E8" w:rsidRDefault="008A55E2" w:rsidP="008A68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750E8">
              <w:rPr>
                <w:rFonts w:asciiTheme="minorHAnsi" w:hAnsiTheme="minorHAnsi" w:cstheme="minorHAnsi"/>
                <w:sz w:val="18"/>
                <w:szCs w:val="18"/>
              </w:rPr>
              <w:t>2</w:t>
            </w:r>
          </w:p>
        </w:tc>
      </w:tr>
      <w:tr w:rsidR="008A55E2" w:rsidRPr="00F750E8" w14:paraId="4A70B27E" w14:textId="77777777" w:rsidTr="008A689E">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nil"/>
            </w:tcBorders>
          </w:tcPr>
          <w:p w14:paraId="6678C57E" w14:textId="77777777" w:rsidR="008A55E2" w:rsidRPr="00F750E8" w:rsidRDefault="008A55E2" w:rsidP="008A689E">
            <w:pPr>
              <w:ind w:left="308"/>
              <w:rPr>
                <w:rFonts w:asciiTheme="minorHAnsi" w:hAnsiTheme="minorHAnsi" w:cstheme="minorHAnsi"/>
                <w:b w:val="0"/>
                <w:sz w:val="18"/>
                <w:szCs w:val="18"/>
              </w:rPr>
            </w:pPr>
            <w:r w:rsidRPr="00F750E8">
              <w:rPr>
                <w:rFonts w:asciiTheme="minorHAnsi" w:hAnsiTheme="minorHAnsi" w:cstheme="minorHAnsi"/>
                <w:b w:val="0"/>
                <w:sz w:val="18"/>
                <w:szCs w:val="18"/>
              </w:rPr>
              <w:t>Outer regional</w:t>
            </w:r>
          </w:p>
        </w:tc>
        <w:tc>
          <w:tcPr>
            <w:tcW w:w="1250" w:type="pct"/>
            <w:tcBorders>
              <w:top w:val="nil"/>
            </w:tcBorders>
          </w:tcPr>
          <w:p w14:paraId="423D72FA" w14:textId="77777777" w:rsidR="008A55E2" w:rsidRPr="00F750E8" w:rsidRDefault="008A55E2" w:rsidP="008A68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750E8">
              <w:rPr>
                <w:rFonts w:asciiTheme="minorHAnsi" w:hAnsiTheme="minorHAnsi" w:cstheme="minorHAnsi"/>
                <w:sz w:val="18"/>
                <w:szCs w:val="18"/>
              </w:rPr>
              <w:t>2</w:t>
            </w:r>
          </w:p>
        </w:tc>
      </w:tr>
      <w:tr w:rsidR="008A55E2" w:rsidRPr="00F750E8" w14:paraId="3A01C2CD" w14:textId="77777777" w:rsidTr="008A689E">
        <w:trPr>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single" w:sz="4" w:space="0" w:color="000000" w:themeColor="text1"/>
              <w:bottom w:val="nil"/>
            </w:tcBorders>
          </w:tcPr>
          <w:p w14:paraId="607C6529" w14:textId="77777777" w:rsidR="008A55E2" w:rsidRPr="00F750E8" w:rsidRDefault="008A55E2" w:rsidP="008A689E">
            <w:pPr>
              <w:ind w:left="24"/>
              <w:rPr>
                <w:rFonts w:asciiTheme="minorHAnsi" w:hAnsiTheme="minorHAnsi" w:cstheme="minorHAnsi"/>
                <w:sz w:val="18"/>
                <w:szCs w:val="18"/>
              </w:rPr>
            </w:pPr>
            <w:r w:rsidRPr="00F750E8">
              <w:rPr>
                <w:rFonts w:asciiTheme="minorHAnsi" w:hAnsiTheme="minorHAnsi" w:cstheme="minorHAnsi"/>
                <w:sz w:val="18"/>
                <w:szCs w:val="18"/>
              </w:rPr>
              <w:t>Type of internet</w:t>
            </w:r>
          </w:p>
        </w:tc>
        <w:tc>
          <w:tcPr>
            <w:tcW w:w="1250" w:type="pct"/>
            <w:tcBorders>
              <w:top w:val="single" w:sz="4" w:space="0" w:color="000000" w:themeColor="text1"/>
              <w:bottom w:val="nil"/>
            </w:tcBorders>
          </w:tcPr>
          <w:p w14:paraId="1F41CA7C" w14:textId="77777777" w:rsidR="008A55E2" w:rsidRPr="00F750E8" w:rsidRDefault="008A55E2" w:rsidP="008A68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8A55E2" w:rsidRPr="00F750E8" w14:paraId="4675C1FD" w14:textId="77777777" w:rsidTr="008A689E">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nil"/>
              <w:bottom w:val="nil"/>
            </w:tcBorders>
          </w:tcPr>
          <w:p w14:paraId="709AFE73" w14:textId="77777777" w:rsidR="008A55E2" w:rsidRPr="00F750E8" w:rsidRDefault="008A55E2" w:rsidP="008A689E">
            <w:pPr>
              <w:ind w:left="308"/>
              <w:rPr>
                <w:rFonts w:asciiTheme="minorHAnsi" w:hAnsiTheme="minorHAnsi" w:cstheme="minorHAnsi"/>
                <w:b w:val="0"/>
                <w:sz w:val="18"/>
                <w:szCs w:val="18"/>
              </w:rPr>
            </w:pPr>
            <w:r w:rsidRPr="00F750E8">
              <w:rPr>
                <w:rFonts w:asciiTheme="minorHAnsi" w:hAnsiTheme="minorHAnsi" w:cstheme="minorHAnsi"/>
                <w:b w:val="0"/>
                <w:sz w:val="18"/>
                <w:szCs w:val="18"/>
              </w:rPr>
              <w:t>NBN</w:t>
            </w:r>
          </w:p>
        </w:tc>
        <w:tc>
          <w:tcPr>
            <w:tcW w:w="1250" w:type="pct"/>
            <w:tcBorders>
              <w:top w:val="nil"/>
              <w:bottom w:val="nil"/>
            </w:tcBorders>
          </w:tcPr>
          <w:p w14:paraId="052062AA" w14:textId="77777777" w:rsidR="008A55E2" w:rsidRPr="00F750E8" w:rsidRDefault="008A55E2" w:rsidP="008A68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750E8">
              <w:rPr>
                <w:rFonts w:asciiTheme="minorHAnsi" w:hAnsiTheme="minorHAnsi" w:cstheme="minorHAnsi"/>
                <w:sz w:val="18"/>
                <w:szCs w:val="18"/>
              </w:rPr>
              <w:t>13</w:t>
            </w:r>
          </w:p>
        </w:tc>
      </w:tr>
      <w:tr w:rsidR="008A55E2" w:rsidRPr="00F750E8" w14:paraId="59B71194" w14:textId="77777777" w:rsidTr="008A689E">
        <w:trPr>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nil"/>
              <w:bottom w:val="nil"/>
            </w:tcBorders>
          </w:tcPr>
          <w:p w14:paraId="2E9FE386" w14:textId="77777777" w:rsidR="008A55E2" w:rsidRPr="00F750E8" w:rsidRDefault="008A55E2" w:rsidP="008A689E">
            <w:pPr>
              <w:ind w:left="308"/>
              <w:rPr>
                <w:rFonts w:asciiTheme="minorHAnsi" w:hAnsiTheme="minorHAnsi" w:cstheme="minorHAnsi"/>
                <w:b w:val="0"/>
                <w:sz w:val="18"/>
                <w:szCs w:val="18"/>
              </w:rPr>
            </w:pPr>
            <w:r w:rsidRPr="00F750E8">
              <w:rPr>
                <w:rFonts w:asciiTheme="minorHAnsi" w:hAnsiTheme="minorHAnsi" w:cstheme="minorHAnsi"/>
                <w:b w:val="0"/>
                <w:sz w:val="18"/>
                <w:szCs w:val="18"/>
              </w:rPr>
              <w:t>Wireless</w:t>
            </w:r>
          </w:p>
        </w:tc>
        <w:tc>
          <w:tcPr>
            <w:tcW w:w="1250" w:type="pct"/>
            <w:tcBorders>
              <w:top w:val="nil"/>
              <w:bottom w:val="nil"/>
            </w:tcBorders>
          </w:tcPr>
          <w:p w14:paraId="46E852A3" w14:textId="77777777" w:rsidR="008A55E2" w:rsidRPr="00F750E8" w:rsidRDefault="008A55E2" w:rsidP="008A68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750E8">
              <w:rPr>
                <w:rFonts w:asciiTheme="minorHAnsi" w:hAnsiTheme="minorHAnsi" w:cstheme="minorHAnsi"/>
                <w:sz w:val="18"/>
                <w:szCs w:val="18"/>
              </w:rPr>
              <w:t>1</w:t>
            </w:r>
          </w:p>
        </w:tc>
      </w:tr>
      <w:tr w:rsidR="008A55E2" w:rsidRPr="00F750E8" w14:paraId="69B3B24A" w14:textId="77777777" w:rsidTr="008A689E">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nil"/>
            </w:tcBorders>
          </w:tcPr>
          <w:p w14:paraId="5F2A36DA" w14:textId="77777777" w:rsidR="008A55E2" w:rsidRPr="00F750E8" w:rsidRDefault="008A55E2" w:rsidP="008A689E">
            <w:pPr>
              <w:ind w:left="308"/>
              <w:rPr>
                <w:rFonts w:asciiTheme="minorHAnsi" w:hAnsiTheme="minorHAnsi" w:cstheme="minorHAnsi"/>
                <w:b w:val="0"/>
                <w:sz w:val="18"/>
                <w:szCs w:val="18"/>
              </w:rPr>
            </w:pPr>
            <w:r w:rsidRPr="00F750E8">
              <w:rPr>
                <w:rFonts w:asciiTheme="minorHAnsi" w:hAnsiTheme="minorHAnsi" w:cstheme="minorHAnsi"/>
                <w:b w:val="0"/>
                <w:sz w:val="18"/>
                <w:szCs w:val="18"/>
              </w:rPr>
              <w:t>Mobile</w:t>
            </w:r>
          </w:p>
        </w:tc>
        <w:tc>
          <w:tcPr>
            <w:tcW w:w="1250" w:type="pct"/>
            <w:tcBorders>
              <w:top w:val="nil"/>
            </w:tcBorders>
          </w:tcPr>
          <w:p w14:paraId="71872C19" w14:textId="77777777" w:rsidR="008A55E2" w:rsidRPr="00F750E8" w:rsidRDefault="008A55E2" w:rsidP="008A68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750E8">
              <w:rPr>
                <w:rFonts w:asciiTheme="minorHAnsi" w:hAnsiTheme="minorHAnsi" w:cstheme="minorHAnsi"/>
                <w:sz w:val="18"/>
                <w:szCs w:val="18"/>
              </w:rPr>
              <w:t>1</w:t>
            </w:r>
          </w:p>
        </w:tc>
      </w:tr>
      <w:tr w:rsidR="008A55E2" w:rsidRPr="00F750E8" w14:paraId="7CACBD95" w14:textId="77777777" w:rsidTr="008A689E">
        <w:trPr>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single" w:sz="4" w:space="0" w:color="000000" w:themeColor="text1"/>
              <w:bottom w:val="nil"/>
            </w:tcBorders>
          </w:tcPr>
          <w:p w14:paraId="2DCBC0C9" w14:textId="77777777" w:rsidR="008A55E2" w:rsidRPr="00F750E8" w:rsidRDefault="008A55E2" w:rsidP="008A689E">
            <w:pPr>
              <w:ind w:left="24"/>
              <w:rPr>
                <w:rFonts w:asciiTheme="minorHAnsi" w:hAnsiTheme="minorHAnsi" w:cstheme="minorHAnsi"/>
                <w:sz w:val="18"/>
                <w:szCs w:val="18"/>
              </w:rPr>
            </w:pPr>
            <w:r w:rsidRPr="00F750E8">
              <w:rPr>
                <w:rFonts w:asciiTheme="minorHAnsi" w:hAnsiTheme="minorHAnsi" w:cstheme="minorHAnsi"/>
                <w:sz w:val="18"/>
                <w:szCs w:val="18"/>
              </w:rPr>
              <w:t>Used digital services</w:t>
            </w:r>
          </w:p>
        </w:tc>
        <w:tc>
          <w:tcPr>
            <w:tcW w:w="1250" w:type="pct"/>
            <w:tcBorders>
              <w:top w:val="single" w:sz="4" w:space="0" w:color="000000" w:themeColor="text1"/>
              <w:bottom w:val="nil"/>
            </w:tcBorders>
          </w:tcPr>
          <w:p w14:paraId="7CAFBB2E" w14:textId="77777777" w:rsidR="008A55E2" w:rsidRPr="00F750E8" w:rsidRDefault="008A55E2" w:rsidP="008A68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8A55E2" w:rsidRPr="00F750E8" w14:paraId="046E1C83" w14:textId="77777777" w:rsidTr="008A689E">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nil"/>
              <w:bottom w:val="nil"/>
            </w:tcBorders>
          </w:tcPr>
          <w:p w14:paraId="09F1F04C" w14:textId="77777777" w:rsidR="008A55E2" w:rsidRPr="00F750E8" w:rsidRDefault="008A55E2" w:rsidP="008A689E">
            <w:pPr>
              <w:ind w:left="308"/>
              <w:rPr>
                <w:rFonts w:asciiTheme="minorHAnsi" w:hAnsiTheme="minorHAnsi" w:cstheme="minorHAnsi"/>
                <w:b w:val="0"/>
                <w:sz w:val="18"/>
                <w:szCs w:val="18"/>
              </w:rPr>
            </w:pPr>
            <w:r w:rsidRPr="00F750E8">
              <w:rPr>
                <w:rFonts w:asciiTheme="minorHAnsi" w:hAnsiTheme="minorHAnsi" w:cstheme="minorHAnsi"/>
                <w:b w:val="0"/>
                <w:sz w:val="18"/>
                <w:szCs w:val="18"/>
              </w:rPr>
              <w:t>Yes</w:t>
            </w:r>
          </w:p>
        </w:tc>
        <w:tc>
          <w:tcPr>
            <w:tcW w:w="1250" w:type="pct"/>
            <w:tcBorders>
              <w:top w:val="nil"/>
              <w:bottom w:val="nil"/>
            </w:tcBorders>
          </w:tcPr>
          <w:p w14:paraId="219C4E21" w14:textId="77777777" w:rsidR="008A55E2" w:rsidRPr="00F750E8" w:rsidRDefault="008A55E2" w:rsidP="008A68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750E8">
              <w:rPr>
                <w:rFonts w:asciiTheme="minorHAnsi" w:hAnsiTheme="minorHAnsi" w:cstheme="minorHAnsi"/>
                <w:sz w:val="18"/>
                <w:szCs w:val="18"/>
              </w:rPr>
              <w:t>12</w:t>
            </w:r>
          </w:p>
        </w:tc>
      </w:tr>
      <w:tr w:rsidR="008A55E2" w:rsidRPr="00F750E8" w14:paraId="5E534658" w14:textId="77777777" w:rsidTr="008A689E">
        <w:trPr>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nil"/>
              <w:bottom w:val="single" w:sz="4" w:space="0" w:color="000000" w:themeColor="text1"/>
            </w:tcBorders>
          </w:tcPr>
          <w:p w14:paraId="0F487CDF" w14:textId="77777777" w:rsidR="008A55E2" w:rsidRPr="00F750E8" w:rsidRDefault="008A55E2" w:rsidP="008A689E">
            <w:pPr>
              <w:ind w:left="308"/>
              <w:rPr>
                <w:rFonts w:asciiTheme="minorHAnsi" w:hAnsiTheme="minorHAnsi" w:cstheme="minorHAnsi"/>
                <w:b w:val="0"/>
                <w:sz w:val="18"/>
                <w:szCs w:val="18"/>
              </w:rPr>
            </w:pPr>
            <w:r w:rsidRPr="00F750E8">
              <w:rPr>
                <w:rFonts w:asciiTheme="minorHAnsi" w:hAnsiTheme="minorHAnsi" w:cstheme="minorHAnsi"/>
                <w:b w:val="0"/>
                <w:sz w:val="18"/>
                <w:szCs w:val="18"/>
              </w:rPr>
              <w:t>No</w:t>
            </w:r>
          </w:p>
        </w:tc>
        <w:tc>
          <w:tcPr>
            <w:tcW w:w="1250" w:type="pct"/>
            <w:tcBorders>
              <w:top w:val="nil"/>
              <w:bottom w:val="single" w:sz="4" w:space="0" w:color="000000" w:themeColor="text1"/>
            </w:tcBorders>
          </w:tcPr>
          <w:p w14:paraId="6AEB4216" w14:textId="77777777" w:rsidR="008A55E2" w:rsidRPr="00F750E8" w:rsidRDefault="008A55E2" w:rsidP="008A68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750E8">
              <w:rPr>
                <w:rFonts w:asciiTheme="minorHAnsi" w:hAnsiTheme="minorHAnsi" w:cstheme="minorHAnsi"/>
                <w:sz w:val="18"/>
                <w:szCs w:val="18"/>
              </w:rPr>
              <w:t>3</w:t>
            </w:r>
          </w:p>
        </w:tc>
      </w:tr>
      <w:tr w:rsidR="008A55E2" w:rsidRPr="00F750E8" w14:paraId="64B9B4DF" w14:textId="77777777" w:rsidTr="008A689E">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bottom w:val="nil"/>
            </w:tcBorders>
          </w:tcPr>
          <w:p w14:paraId="3BBE7DA7" w14:textId="77777777" w:rsidR="008A55E2" w:rsidRPr="00F750E8" w:rsidRDefault="008A55E2" w:rsidP="008A689E">
            <w:pPr>
              <w:ind w:left="24"/>
              <w:rPr>
                <w:rFonts w:asciiTheme="minorHAnsi" w:hAnsiTheme="minorHAnsi" w:cstheme="minorHAnsi"/>
                <w:sz w:val="18"/>
                <w:szCs w:val="18"/>
              </w:rPr>
            </w:pPr>
            <w:r w:rsidRPr="00F750E8">
              <w:rPr>
                <w:rFonts w:asciiTheme="minorHAnsi" w:hAnsiTheme="minorHAnsi" w:cstheme="minorHAnsi"/>
                <w:sz w:val="18"/>
                <w:szCs w:val="18"/>
              </w:rPr>
              <w:t>Heard of Head to Health Digital Gateway</w:t>
            </w:r>
          </w:p>
        </w:tc>
        <w:tc>
          <w:tcPr>
            <w:tcW w:w="1250" w:type="pct"/>
            <w:tcBorders>
              <w:bottom w:val="nil"/>
            </w:tcBorders>
          </w:tcPr>
          <w:p w14:paraId="15E747C9" w14:textId="77777777" w:rsidR="008A55E2" w:rsidRPr="00F750E8" w:rsidRDefault="008A55E2" w:rsidP="008A68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8A55E2" w:rsidRPr="00F750E8" w14:paraId="19874659" w14:textId="77777777" w:rsidTr="008A689E">
        <w:trPr>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nil"/>
              <w:bottom w:val="nil"/>
            </w:tcBorders>
          </w:tcPr>
          <w:p w14:paraId="435CBA76" w14:textId="77777777" w:rsidR="008A55E2" w:rsidRPr="00F750E8" w:rsidRDefault="008A55E2" w:rsidP="008A689E">
            <w:pPr>
              <w:ind w:left="308"/>
              <w:rPr>
                <w:rFonts w:asciiTheme="minorHAnsi" w:hAnsiTheme="minorHAnsi" w:cstheme="minorHAnsi"/>
                <w:b w:val="0"/>
                <w:sz w:val="18"/>
                <w:szCs w:val="18"/>
              </w:rPr>
            </w:pPr>
            <w:r w:rsidRPr="00F750E8">
              <w:rPr>
                <w:rFonts w:asciiTheme="minorHAnsi" w:hAnsiTheme="minorHAnsi" w:cstheme="minorHAnsi"/>
                <w:b w:val="0"/>
                <w:sz w:val="18"/>
                <w:szCs w:val="18"/>
              </w:rPr>
              <w:t>Yes</w:t>
            </w:r>
          </w:p>
        </w:tc>
        <w:tc>
          <w:tcPr>
            <w:tcW w:w="1250" w:type="pct"/>
            <w:tcBorders>
              <w:top w:val="nil"/>
              <w:bottom w:val="nil"/>
            </w:tcBorders>
          </w:tcPr>
          <w:p w14:paraId="576A0679" w14:textId="77777777" w:rsidR="008A55E2" w:rsidRPr="00F750E8" w:rsidRDefault="008A55E2" w:rsidP="008A68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750E8">
              <w:rPr>
                <w:rFonts w:asciiTheme="minorHAnsi" w:hAnsiTheme="minorHAnsi" w:cstheme="minorHAnsi"/>
                <w:sz w:val="18"/>
                <w:szCs w:val="18"/>
              </w:rPr>
              <w:t>7</w:t>
            </w:r>
          </w:p>
        </w:tc>
      </w:tr>
      <w:tr w:rsidR="008A55E2" w:rsidRPr="00F750E8" w14:paraId="5A2FC9FD" w14:textId="77777777" w:rsidTr="008A689E">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nil"/>
            </w:tcBorders>
          </w:tcPr>
          <w:p w14:paraId="75A27781" w14:textId="77777777" w:rsidR="008A55E2" w:rsidRPr="00F750E8" w:rsidRDefault="008A55E2" w:rsidP="008A689E">
            <w:pPr>
              <w:ind w:left="308"/>
              <w:rPr>
                <w:rFonts w:asciiTheme="minorHAnsi" w:hAnsiTheme="minorHAnsi" w:cstheme="minorHAnsi"/>
                <w:b w:val="0"/>
                <w:sz w:val="18"/>
                <w:szCs w:val="18"/>
              </w:rPr>
            </w:pPr>
            <w:r w:rsidRPr="00F750E8">
              <w:rPr>
                <w:rFonts w:asciiTheme="minorHAnsi" w:hAnsiTheme="minorHAnsi" w:cstheme="minorHAnsi"/>
                <w:b w:val="0"/>
                <w:sz w:val="18"/>
                <w:szCs w:val="18"/>
              </w:rPr>
              <w:t>No</w:t>
            </w:r>
          </w:p>
        </w:tc>
        <w:tc>
          <w:tcPr>
            <w:tcW w:w="1250" w:type="pct"/>
            <w:tcBorders>
              <w:top w:val="nil"/>
            </w:tcBorders>
          </w:tcPr>
          <w:p w14:paraId="74CF9263" w14:textId="77777777" w:rsidR="008A55E2" w:rsidRPr="00F750E8" w:rsidRDefault="008A55E2" w:rsidP="008A68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750E8">
              <w:rPr>
                <w:rFonts w:asciiTheme="minorHAnsi" w:hAnsiTheme="minorHAnsi" w:cstheme="minorHAnsi"/>
                <w:sz w:val="18"/>
                <w:szCs w:val="18"/>
              </w:rPr>
              <w:t>8</w:t>
            </w:r>
          </w:p>
        </w:tc>
      </w:tr>
      <w:tr w:rsidR="008A55E2" w:rsidRPr="00F750E8" w14:paraId="65B8E276" w14:textId="77777777" w:rsidTr="008A689E">
        <w:trPr>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single" w:sz="4" w:space="0" w:color="000000" w:themeColor="text1"/>
              <w:bottom w:val="nil"/>
            </w:tcBorders>
          </w:tcPr>
          <w:p w14:paraId="7664C9A5" w14:textId="77777777" w:rsidR="008A55E2" w:rsidRPr="00F750E8" w:rsidRDefault="008A55E2" w:rsidP="008A689E">
            <w:pPr>
              <w:ind w:left="24"/>
              <w:rPr>
                <w:rFonts w:asciiTheme="minorHAnsi" w:hAnsiTheme="minorHAnsi" w:cstheme="minorHAnsi"/>
                <w:sz w:val="18"/>
                <w:szCs w:val="18"/>
              </w:rPr>
            </w:pPr>
            <w:r w:rsidRPr="00F750E8">
              <w:rPr>
                <w:rFonts w:asciiTheme="minorHAnsi" w:hAnsiTheme="minorHAnsi" w:cstheme="minorHAnsi"/>
                <w:sz w:val="18"/>
                <w:szCs w:val="18"/>
              </w:rPr>
              <w:t>Used Head to Health Digital Gateway</w:t>
            </w:r>
          </w:p>
        </w:tc>
        <w:tc>
          <w:tcPr>
            <w:tcW w:w="1250" w:type="pct"/>
            <w:tcBorders>
              <w:top w:val="single" w:sz="4" w:space="0" w:color="000000" w:themeColor="text1"/>
              <w:bottom w:val="nil"/>
            </w:tcBorders>
          </w:tcPr>
          <w:p w14:paraId="1398BDDF" w14:textId="77777777" w:rsidR="008A55E2" w:rsidRPr="00F750E8" w:rsidRDefault="008A55E2" w:rsidP="008A68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8A55E2" w:rsidRPr="00F750E8" w14:paraId="19FA920B" w14:textId="77777777" w:rsidTr="008A689E">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nil"/>
              <w:bottom w:val="nil"/>
            </w:tcBorders>
          </w:tcPr>
          <w:p w14:paraId="00D4A987" w14:textId="77777777" w:rsidR="008A55E2" w:rsidRPr="00F750E8" w:rsidRDefault="008A55E2" w:rsidP="008A689E">
            <w:pPr>
              <w:ind w:left="308"/>
              <w:rPr>
                <w:rFonts w:asciiTheme="minorHAnsi" w:hAnsiTheme="minorHAnsi" w:cstheme="minorHAnsi"/>
                <w:b w:val="0"/>
                <w:sz w:val="18"/>
                <w:szCs w:val="18"/>
              </w:rPr>
            </w:pPr>
            <w:r w:rsidRPr="00F750E8">
              <w:rPr>
                <w:rFonts w:asciiTheme="minorHAnsi" w:hAnsiTheme="minorHAnsi" w:cstheme="minorHAnsi"/>
                <w:b w:val="0"/>
                <w:sz w:val="18"/>
                <w:szCs w:val="18"/>
              </w:rPr>
              <w:t>Yes</w:t>
            </w:r>
          </w:p>
        </w:tc>
        <w:tc>
          <w:tcPr>
            <w:tcW w:w="1250" w:type="pct"/>
            <w:tcBorders>
              <w:top w:val="nil"/>
              <w:bottom w:val="nil"/>
            </w:tcBorders>
          </w:tcPr>
          <w:p w14:paraId="79785FA7" w14:textId="77777777" w:rsidR="008A55E2" w:rsidRPr="00F750E8" w:rsidRDefault="008A55E2" w:rsidP="008A689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750E8">
              <w:rPr>
                <w:rFonts w:asciiTheme="minorHAnsi" w:hAnsiTheme="minorHAnsi" w:cstheme="minorHAnsi"/>
                <w:sz w:val="18"/>
                <w:szCs w:val="18"/>
              </w:rPr>
              <w:t>4</w:t>
            </w:r>
          </w:p>
        </w:tc>
      </w:tr>
      <w:tr w:rsidR="008A55E2" w:rsidRPr="00F750E8" w14:paraId="686EFE38" w14:textId="77777777" w:rsidTr="008A689E">
        <w:trPr>
          <w:trHeight w:val="170"/>
          <w:jc w:val="center"/>
        </w:trPr>
        <w:tc>
          <w:tcPr>
            <w:cnfStyle w:val="001000000000" w:firstRow="0" w:lastRow="0" w:firstColumn="1" w:lastColumn="0" w:oddVBand="0" w:evenVBand="0" w:oddHBand="0" w:evenHBand="0" w:firstRowFirstColumn="0" w:firstRowLastColumn="0" w:lastRowFirstColumn="0" w:lastRowLastColumn="0"/>
            <w:tcW w:w="3750" w:type="pct"/>
            <w:tcBorders>
              <w:top w:val="nil"/>
              <w:bottom w:val="single" w:sz="4" w:space="0" w:color="000000" w:themeColor="text1"/>
            </w:tcBorders>
          </w:tcPr>
          <w:p w14:paraId="3CC15F20" w14:textId="77777777" w:rsidR="008A55E2" w:rsidRPr="00F750E8" w:rsidRDefault="008A55E2" w:rsidP="008A689E">
            <w:pPr>
              <w:ind w:left="308"/>
              <w:rPr>
                <w:rFonts w:asciiTheme="minorHAnsi" w:hAnsiTheme="minorHAnsi" w:cstheme="minorHAnsi"/>
                <w:b w:val="0"/>
                <w:sz w:val="18"/>
                <w:szCs w:val="18"/>
              </w:rPr>
            </w:pPr>
            <w:r w:rsidRPr="00F750E8">
              <w:rPr>
                <w:rFonts w:asciiTheme="minorHAnsi" w:hAnsiTheme="minorHAnsi" w:cstheme="minorHAnsi"/>
                <w:b w:val="0"/>
                <w:sz w:val="18"/>
                <w:szCs w:val="18"/>
              </w:rPr>
              <w:t>No</w:t>
            </w:r>
          </w:p>
        </w:tc>
        <w:tc>
          <w:tcPr>
            <w:tcW w:w="1250" w:type="pct"/>
            <w:tcBorders>
              <w:top w:val="nil"/>
              <w:bottom w:val="single" w:sz="4" w:space="0" w:color="000000" w:themeColor="text1"/>
            </w:tcBorders>
          </w:tcPr>
          <w:p w14:paraId="616B3221" w14:textId="77777777" w:rsidR="008A55E2" w:rsidRPr="00F750E8" w:rsidRDefault="008A55E2" w:rsidP="008A689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750E8">
              <w:rPr>
                <w:rFonts w:asciiTheme="minorHAnsi" w:hAnsiTheme="minorHAnsi" w:cstheme="minorHAnsi"/>
                <w:sz w:val="18"/>
                <w:szCs w:val="18"/>
              </w:rPr>
              <w:t>11</w:t>
            </w:r>
          </w:p>
        </w:tc>
      </w:tr>
    </w:tbl>
    <w:p w14:paraId="051B8935" w14:textId="77777777" w:rsidR="008A55E2" w:rsidRDefault="008A55E2" w:rsidP="00380EB0">
      <w:pPr>
        <w:pStyle w:val="ANorm"/>
      </w:pPr>
    </w:p>
    <w:p w14:paraId="0C6B6816" w14:textId="10FC7A89" w:rsidR="008A55E2" w:rsidRDefault="008A55E2" w:rsidP="00B7061E">
      <w:pPr>
        <w:pStyle w:val="Heading2"/>
        <w:numPr>
          <w:ilvl w:val="1"/>
          <w:numId w:val="146"/>
        </w:numPr>
      </w:pPr>
      <w:bookmarkStart w:id="192" w:name="_Toc108784875"/>
      <w:r>
        <w:t xml:space="preserve">Strengths of supported </w:t>
      </w:r>
      <w:r w:rsidR="005863A6">
        <w:t>DMHS</w:t>
      </w:r>
      <w:r>
        <w:t>s</w:t>
      </w:r>
      <w:bookmarkEnd w:id="192"/>
    </w:p>
    <w:p w14:paraId="470471CE" w14:textId="57D6D49D" w:rsidR="00715578" w:rsidRDefault="008A55E2" w:rsidP="009257BB">
      <w:pPr>
        <w:pStyle w:val="ANorm"/>
        <w:spacing w:after="240"/>
      </w:pPr>
      <w:r w:rsidRPr="00273E2F">
        <w:t xml:space="preserve">The main strengths of supported </w:t>
      </w:r>
      <w:r w:rsidR="000F47FB">
        <w:t>DMHSs</w:t>
      </w:r>
      <w:r w:rsidRPr="00273E2F">
        <w:t xml:space="preserve"> were, unsurprisingly, focused on accessibility and the benefits of the supported aspects. Participants described the services as providing more timely access, reducing waitlists for face-to-face services, and particularly useful for groups who may struggle to access other services, such as people with disabilities or people in rural areas with </w:t>
      </w:r>
      <w:proofErr w:type="gramStart"/>
      <w:r w:rsidRPr="00273E2F">
        <w:t>limited service</w:t>
      </w:r>
      <w:proofErr w:type="gramEnd"/>
      <w:r w:rsidRPr="00273E2F">
        <w:t xml:space="preserve"> availability. Not needing to travel to appointments, and the additional layer of safety during the COVID-19 pandemic were also mentioned as key to the accessibility </w:t>
      </w:r>
      <w:r w:rsidR="00D963EA">
        <w:t>DMHSs</w:t>
      </w:r>
      <w:r w:rsidRPr="00273E2F">
        <w:t xml:space="preserve"> offered. Participants also described </w:t>
      </w:r>
      <w:proofErr w:type="gramStart"/>
      <w:r w:rsidR="001336D4">
        <w:t>therapist-</w:t>
      </w:r>
      <w:r w:rsidRPr="00273E2F">
        <w:t>supported</w:t>
      </w:r>
      <w:proofErr w:type="gramEnd"/>
      <w:r w:rsidRPr="00273E2F">
        <w:t xml:space="preserve"> </w:t>
      </w:r>
      <w:r w:rsidR="00334ADB">
        <w:t>DMHSs</w:t>
      </w:r>
      <w:r w:rsidRPr="00273E2F">
        <w:t xml:space="preserve"> as good for motivation and adherence to the program. They felt that having a therapist helped with comprehension of material, personalisation of content to their own needs, validation of their progress and greater accountability than self-directed programs. Some people also commented that they found the support offered through </w:t>
      </w:r>
      <w:r w:rsidR="00334ADB">
        <w:t>DMHSs</w:t>
      </w:r>
      <w:r w:rsidRPr="00273E2F">
        <w:t xml:space="preserve"> to be less judgemental than what they had experienced face</w:t>
      </w:r>
      <w:r w:rsidR="003E2220">
        <w:t xml:space="preserve"> </w:t>
      </w:r>
      <w:r w:rsidRPr="00273E2F">
        <w:t>to</w:t>
      </w:r>
      <w:r w:rsidR="003E2220">
        <w:t xml:space="preserve"> </w:t>
      </w:r>
      <w:r w:rsidRPr="00273E2F">
        <w:t xml:space="preserve">face, increasing their comfort with seeking help. They suggested that supported </w:t>
      </w:r>
      <w:r w:rsidR="003E2220">
        <w:t>DMHSs</w:t>
      </w:r>
      <w:r w:rsidRPr="00273E2F">
        <w:t xml:space="preserve"> may therefore be more appealing to people who would not normally seek help from face-to-face services. </w:t>
      </w:r>
    </w:p>
    <w:p w14:paraId="2333F0BC" w14:textId="67A760E7" w:rsidR="00273E2F" w:rsidRPr="00273E2F" w:rsidRDefault="008A55E2" w:rsidP="009257BB">
      <w:pPr>
        <w:pStyle w:val="ANorm"/>
        <w:spacing w:after="240"/>
      </w:pPr>
      <w:r w:rsidRPr="00273E2F">
        <w:t xml:space="preserve">The full word clouds created in each conversation are </w:t>
      </w:r>
      <w:r w:rsidR="00B451F4">
        <w:t>presented</w:t>
      </w:r>
      <w:r w:rsidRPr="00273E2F">
        <w:t xml:space="preserve"> in Appendix </w:t>
      </w:r>
      <w:r w:rsidR="00D749A0">
        <w:t>F</w:t>
      </w:r>
      <w:r w:rsidRPr="00273E2F">
        <w:t>.</w:t>
      </w:r>
    </w:p>
    <w:p w14:paraId="72B1861A" w14:textId="5FB326FB" w:rsidR="008A55E2" w:rsidRDefault="008A55E2" w:rsidP="00B7061E">
      <w:pPr>
        <w:pStyle w:val="Heading2"/>
        <w:numPr>
          <w:ilvl w:val="1"/>
          <w:numId w:val="146"/>
        </w:numPr>
      </w:pPr>
      <w:bookmarkStart w:id="193" w:name="_Toc108784876"/>
      <w:r>
        <w:t xml:space="preserve">Barriers to supported </w:t>
      </w:r>
      <w:r w:rsidR="0090433F">
        <w:t>DMHSs</w:t>
      </w:r>
      <w:bookmarkEnd w:id="193"/>
    </w:p>
    <w:p w14:paraId="7977F0E0" w14:textId="1B3D5DE7" w:rsidR="00715578" w:rsidRDefault="008A55E2" w:rsidP="009257BB">
      <w:pPr>
        <w:pStyle w:val="ANorm"/>
        <w:spacing w:after="240"/>
      </w:pPr>
      <w:r>
        <w:t xml:space="preserve">The main barriers to use of supported </w:t>
      </w:r>
      <w:r w:rsidR="00D963EA">
        <w:t>DMHSs</w:t>
      </w:r>
      <w:r>
        <w:t xml:space="preserve"> were the “flip side” of the strengths. The biggest barrier </w:t>
      </w:r>
      <w:r w:rsidR="00374AA4">
        <w:t xml:space="preserve">to people using supported </w:t>
      </w:r>
      <w:r w:rsidR="00A03E59">
        <w:t>DMHSs</w:t>
      </w:r>
      <w:r w:rsidR="00374AA4">
        <w:t xml:space="preserve"> </w:t>
      </w:r>
      <w:proofErr w:type="gramStart"/>
      <w:r>
        <w:t>was considered to be</w:t>
      </w:r>
      <w:proofErr w:type="gramEnd"/>
      <w:r>
        <w:t xml:space="preserve"> accessibility: a lack of technology and/or internet access, and challenges in digital or internet literacy. Some people also thought that, compared with face-to-face services, supported online services were impersonal, made it difficult to establish rapport, and felt too much like talking to a stranger. This was particularly thought to be an issue for marginalised communities for whom strong relationships may be core to success, and the lack of peer-led services was noted here. Although it was clear that participants valued the professional support as a strength of these services, some were nonetheless unsure that the quality of the relationships developed digitally were equivalent to what they experienced with face-to-face services. The other major barrier discussed was the complexity of the sites. Participants expressed concern about </w:t>
      </w:r>
      <w:r>
        <w:lastRenderedPageBreak/>
        <w:t xml:space="preserve">the amount of text on the sites, and challenges with navigation, particularly for people with low literacy or English as a second language. </w:t>
      </w:r>
      <w:r w:rsidR="00037965">
        <w:t xml:space="preserve">Although </w:t>
      </w:r>
      <w:r>
        <w:t>the support to access the sites and understand material was one of the main strengths, there was discussion of whether service users with literacy or language challenges would also be th</w:t>
      </w:r>
      <w:r w:rsidR="00852942">
        <w:t>e</w:t>
      </w:r>
      <w:r>
        <w:t xml:space="preserve"> most likely to experience the technology and relationship barriers, and therefore less likely to benefit from the supported aspect of the sites. </w:t>
      </w:r>
    </w:p>
    <w:p w14:paraId="5BC64736" w14:textId="1C48348C" w:rsidR="00273E2F" w:rsidRDefault="008A55E2" w:rsidP="009257BB">
      <w:pPr>
        <w:pStyle w:val="ANorm"/>
        <w:spacing w:after="240"/>
      </w:pPr>
      <w:r>
        <w:t xml:space="preserve">Appendix </w:t>
      </w:r>
      <w:r w:rsidR="00D749A0">
        <w:t>G</w:t>
      </w:r>
      <w:r>
        <w:t xml:space="preserve"> contains the word clouds for barriers.</w:t>
      </w:r>
    </w:p>
    <w:p w14:paraId="069D5B67" w14:textId="03C2D0A8" w:rsidR="008A55E2" w:rsidRDefault="008A55E2" w:rsidP="00B7061E">
      <w:pPr>
        <w:pStyle w:val="Heading2"/>
        <w:numPr>
          <w:ilvl w:val="1"/>
          <w:numId w:val="146"/>
        </w:numPr>
        <w:spacing w:after="240"/>
      </w:pPr>
      <w:bookmarkStart w:id="194" w:name="_Toc108784877"/>
      <w:r>
        <w:t xml:space="preserve">Effectiveness of supported </w:t>
      </w:r>
      <w:r w:rsidR="0090433F">
        <w:t>DMHSs</w:t>
      </w:r>
      <w:bookmarkEnd w:id="194"/>
    </w:p>
    <w:p w14:paraId="16E1DC9D" w14:textId="1914993B" w:rsidR="00715578" w:rsidRDefault="008A55E2" w:rsidP="009257BB">
      <w:pPr>
        <w:pStyle w:val="ANorm"/>
        <w:spacing w:after="240"/>
      </w:pPr>
      <w:r>
        <w:t xml:space="preserve">Consistent with the phrasing of the question, discussions of effectiveness focused on whether supported </w:t>
      </w:r>
      <w:r w:rsidR="00972772">
        <w:t>DMHSs</w:t>
      </w:r>
      <w:r>
        <w:t xml:space="preserve"> worked for various groups. Community conversation participants thought that supported </w:t>
      </w:r>
      <w:r w:rsidR="00972772">
        <w:t xml:space="preserve">DMHSs </w:t>
      </w:r>
      <w:r>
        <w:t xml:space="preserve">were more likely to be suitable for young </w:t>
      </w:r>
      <w:proofErr w:type="gramStart"/>
      <w:r>
        <w:t>people, and</w:t>
      </w:r>
      <w:proofErr w:type="gramEnd"/>
      <w:r>
        <w:t xml:space="preserve"> were possibly an effective solution for groups facing access issues such as where there may be a shortage of other specialist help, or for those with stigma for help-seeking. However, as discussed in barriers, they thought that </w:t>
      </w:r>
      <w:r w:rsidR="00F21500">
        <w:t>DMHSs</w:t>
      </w:r>
      <w:r>
        <w:t xml:space="preserve"> may be less effective for people facing literacy or language challenges, and those who experience poor internet coverage. All three groups were clear in discussions that they did not think that supported </w:t>
      </w:r>
      <w:r w:rsidR="00F50C57">
        <w:t>DMHS</w:t>
      </w:r>
      <w:r>
        <w:t xml:space="preserve">s were </w:t>
      </w:r>
      <w:r w:rsidR="00E21A68">
        <w:t xml:space="preserve">suitable </w:t>
      </w:r>
      <w:r>
        <w:t>for people with severe symptoms</w:t>
      </w:r>
      <w:r w:rsidR="004A713C">
        <w:t xml:space="preserve"> or</w:t>
      </w:r>
      <w:r>
        <w:t xml:space="preserve"> complex needs, </w:t>
      </w:r>
      <w:r w:rsidR="004A713C">
        <w:t>nor</w:t>
      </w:r>
      <w:r>
        <w:t xml:space="preserve"> </w:t>
      </w:r>
      <w:r w:rsidR="0027327E">
        <w:t xml:space="preserve">were </w:t>
      </w:r>
      <w:r>
        <w:t xml:space="preserve">these services </w:t>
      </w:r>
      <w:r w:rsidR="0027327E">
        <w:t>suitable</w:t>
      </w:r>
      <w:r>
        <w:t xml:space="preserve"> for crisis support. Although </w:t>
      </w:r>
      <w:r w:rsidR="0027327E">
        <w:t>DMHSs</w:t>
      </w:r>
      <w:r>
        <w:t xml:space="preserve"> were seen as an effective part of the system, participants thought that these sites often have a “static, fix-it approach” that does not allow exploration of context and causal factors needed for people with more complex histories.</w:t>
      </w:r>
      <w:r w:rsidR="00572656">
        <w:t xml:space="preserve"> </w:t>
      </w:r>
    </w:p>
    <w:p w14:paraId="6A75088C" w14:textId="46473304" w:rsidR="00FD759C" w:rsidRDefault="008A55E2" w:rsidP="009257BB">
      <w:pPr>
        <w:pStyle w:val="ANorm"/>
        <w:spacing w:after="240"/>
      </w:pPr>
      <w:r>
        <w:t xml:space="preserve">The word clouds containing all suggestions for effectiveness are included in Appendix </w:t>
      </w:r>
      <w:r w:rsidR="00D749A0">
        <w:t>H</w:t>
      </w:r>
      <w:r>
        <w:t>.</w:t>
      </w:r>
    </w:p>
    <w:p w14:paraId="682052D7" w14:textId="287116EE" w:rsidR="008A55E2" w:rsidRPr="0012300F" w:rsidRDefault="008A55E2" w:rsidP="00B7061E">
      <w:pPr>
        <w:pStyle w:val="Heading2"/>
        <w:numPr>
          <w:ilvl w:val="1"/>
          <w:numId w:val="146"/>
        </w:numPr>
        <w:spacing w:after="240"/>
      </w:pPr>
      <w:bookmarkStart w:id="195" w:name="_Toc108784878"/>
      <w:r>
        <w:t xml:space="preserve">What would an optimal supported </w:t>
      </w:r>
      <w:r w:rsidR="0090433F">
        <w:t>DMHS</w:t>
      </w:r>
      <w:r>
        <w:t xml:space="preserve"> look like?</w:t>
      </w:r>
      <w:bookmarkEnd w:id="195"/>
    </w:p>
    <w:p w14:paraId="0D0320F4" w14:textId="347CFE57" w:rsidR="00FD759C" w:rsidRDefault="008A55E2" w:rsidP="009257BB">
      <w:pPr>
        <w:pStyle w:val="ANorm"/>
        <w:spacing w:after="240"/>
      </w:pPr>
      <w:r>
        <w:t xml:space="preserve">In the final session of each community conversation, participants were asked to consider what the most and least important features of an optimal supported </w:t>
      </w:r>
      <w:r w:rsidR="00A01870">
        <w:t>DMHS</w:t>
      </w:r>
      <w:r>
        <w:t xml:space="preserve"> would be, based on their previous discussions of strengths, </w:t>
      </w:r>
      <w:proofErr w:type="gramStart"/>
      <w:r>
        <w:t>barriers</w:t>
      </w:r>
      <w:proofErr w:type="gramEnd"/>
      <w:r>
        <w:t xml:space="preserve"> and effectiveness. Suggestions fell into three main areas: accessibility, navigation and the nature of support offered. Participants emphasised the importance of these sites being visually accessible and attractive, written in clear language that was easy to understand, with a variety of content including videos and other visuals to accompany text. As one participant described it, sites need to be “comprehensive without being too overwhelming.” They wanted to see branding, medical jargon and confusing language reduced to improve clarity. This extended to navigation options: participants wanted the ability to narrow content to what was most relevant to them, track their own progress and perhaps have peer support to find and use content. They thought that co-production with people with lived experience could improve design and language, reduce the deficit </w:t>
      </w:r>
      <w:proofErr w:type="gramStart"/>
      <w:r>
        <w:t>focus</w:t>
      </w:r>
      <w:proofErr w:type="gramEnd"/>
      <w:r>
        <w:t xml:space="preserve"> and offer hope, and assist with creating links to online and in-person communities to improve the support the sites offer. The human element was noted as important for making the sites more relevant and engaging, but participants cautioned against referring service users back to face-to-face professionals instead of providing adequate support within the </w:t>
      </w:r>
      <w:r w:rsidR="00715578">
        <w:t>DMHS</w:t>
      </w:r>
      <w:r>
        <w:t>.</w:t>
      </w:r>
    </w:p>
    <w:p w14:paraId="0A2D7B73" w14:textId="77777777" w:rsidR="00846CD3" w:rsidRDefault="008A55E2" w:rsidP="009257BB">
      <w:pPr>
        <w:pStyle w:val="ANorm"/>
        <w:spacing w:after="240"/>
      </w:pPr>
      <w:r>
        <w:t xml:space="preserve">The full list of most and least important features is included in Appendix </w:t>
      </w:r>
      <w:r w:rsidR="00D749A0">
        <w:t>I</w:t>
      </w:r>
      <w:r>
        <w:t xml:space="preserve">. </w:t>
      </w:r>
    </w:p>
    <w:p w14:paraId="46899F73" w14:textId="77777777" w:rsidR="00846CD3" w:rsidRDefault="00846CD3" w:rsidP="00D05A08">
      <w:pPr>
        <w:pStyle w:val="Heading2"/>
        <w:numPr>
          <w:ilvl w:val="1"/>
          <w:numId w:val="142"/>
        </w:numPr>
        <w:spacing w:after="240"/>
      </w:pPr>
      <w:bookmarkStart w:id="196" w:name="_Toc108784879"/>
      <w:r>
        <w:t>Summary</w:t>
      </w:r>
      <w:bookmarkEnd w:id="196"/>
    </w:p>
    <w:p w14:paraId="7EA36C56" w14:textId="2A7AD450" w:rsidR="00D05A08" w:rsidRPr="009F570E" w:rsidRDefault="00D05A08" w:rsidP="00D05A08">
      <w:pPr>
        <w:pStyle w:val="ANorm"/>
        <w:spacing w:after="240"/>
        <w:rPr>
          <w:rFonts w:asciiTheme="minorHAnsi" w:hAnsiTheme="minorHAnsi" w:cstheme="minorHAnsi"/>
          <w:lang w:bidi="th-TH"/>
        </w:rPr>
      </w:pPr>
      <w:r>
        <w:rPr>
          <w:rFonts w:asciiTheme="minorHAnsi" w:hAnsiTheme="minorHAnsi" w:cstheme="minorHAnsi"/>
          <w:lang w:bidi="th-TH"/>
        </w:rPr>
        <w:t>Lived experience participants identified</w:t>
      </w:r>
      <w:r w:rsidRPr="009F570E">
        <w:rPr>
          <w:rFonts w:asciiTheme="minorHAnsi" w:hAnsiTheme="minorHAnsi" w:cstheme="minorHAnsi"/>
          <w:lang w:bidi="th-TH"/>
        </w:rPr>
        <w:t xml:space="preserve"> strengths of supported DMHS</w:t>
      </w:r>
      <w:r>
        <w:rPr>
          <w:rFonts w:asciiTheme="minorHAnsi" w:hAnsiTheme="minorHAnsi" w:cstheme="minorHAnsi"/>
          <w:lang w:bidi="th-TH"/>
        </w:rPr>
        <w:t xml:space="preserve">s that were associated with the increased </w:t>
      </w:r>
      <w:r w:rsidRPr="009F570E">
        <w:rPr>
          <w:rFonts w:asciiTheme="minorHAnsi" w:hAnsiTheme="minorHAnsi" w:cstheme="minorHAnsi"/>
          <w:lang w:bidi="th-TH"/>
        </w:rPr>
        <w:t xml:space="preserve">accessibility </w:t>
      </w:r>
      <w:r>
        <w:rPr>
          <w:rFonts w:asciiTheme="minorHAnsi" w:hAnsiTheme="minorHAnsi" w:cstheme="minorHAnsi"/>
          <w:lang w:bidi="th-TH"/>
        </w:rPr>
        <w:t xml:space="preserve">conferred by the digital modality of service delivery </w:t>
      </w:r>
      <w:r w:rsidRPr="009F570E">
        <w:rPr>
          <w:rFonts w:asciiTheme="minorHAnsi" w:hAnsiTheme="minorHAnsi" w:cstheme="minorHAnsi"/>
          <w:lang w:bidi="th-TH"/>
        </w:rPr>
        <w:t xml:space="preserve">for groups who may struggle to access other services, </w:t>
      </w:r>
      <w:r>
        <w:rPr>
          <w:rFonts w:asciiTheme="minorHAnsi" w:hAnsiTheme="minorHAnsi" w:cstheme="minorHAnsi"/>
          <w:lang w:bidi="th-TH"/>
        </w:rPr>
        <w:t xml:space="preserve">and </w:t>
      </w:r>
      <w:r w:rsidRPr="009F570E">
        <w:rPr>
          <w:rFonts w:asciiTheme="minorHAnsi" w:hAnsiTheme="minorHAnsi" w:cstheme="minorHAnsi"/>
          <w:lang w:bidi="th-TH"/>
        </w:rPr>
        <w:t>therapist</w:t>
      </w:r>
      <w:r>
        <w:rPr>
          <w:rFonts w:asciiTheme="minorHAnsi" w:hAnsiTheme="minorHAnsi" w:cstheme="minorHAnsi"/>
          <w:lang w:bidi="th-TH"/>
        </w:rPr>
        <w:t xml:space="preserve"> </w:t>
      </w:r>
      <w:r w:rsidRPr="009F570E">
        <w:rPr>
          <w:rFonts w:asciiTheme="minorHAnsi" w:hAnsiTheme="minorHAnsi" w:cstheme="minorHAnsi"/>
          <w:lang w:bidi="th-TH"/>
        </w:rPr>
        <w:t xml:space="preserve">support for </w:t>
      </w:r>
      <w:r>
        <w:rPr>
          <w:rFonts w:asciiTheme="minorHAnsi" w:hAnsiTheme="minorHAnsi" w:cstheme="minorHAnsi"/>
          <w:lang w:bidi="th-TH"/>
        </w:rPr>
        <w:t xml:space="preserve">increasing </w:t>
      </w:r>
      <w:r w:rsidRPr="009F570E">
        <w:rPr>
          <w:rFonts w:asciiTheme="minorHAnsi" w:hAnsiTheme="minorHAnsi" w:cstheme="minorHAnsi"/>
          <w:lang w:bidi="th-TH"/>
        </w:rPr>
        <w:t xml:space="preserve">motivation and </w:t>
      </w:r>
      <w:r>
        <w:rPr>
          <w:rFonts w:asciiTheme="minorHAnsi" w:hAnsiTheme="minorHAnsi" w:cstheme="minorHAnsi"/>
          <w:lang w:bidi="th-TH"/>
        </w:rPr>
        <w:t xml:space="preserve">treatment </w:t>
      </w:r>
      <w:r w:rsidRPr="009F570E">
        <w:rPr>
          <w:rFonts w:asciiTheme="minorHAnsi" w:hAnsiTheme="minorHAnsi" w:cstheme="minorHAnsi"/>
          <w:lang w:bidi="th-TH"/>
        </w:rPr>
        <w:t>adherence. The</w:t>
      </w:r>
      <w:r>
        <w:rPr>
          <w:rFonts w:asciiTheme="minorHAnsi" w:hAnsiTheme="minorHAnsi" w:cstheme="minorHAnsi"/>
          <w:lang w:bidi="th-TH"/>
        </w:rPr>
        <w:t xml:space="preserve">y noted </w:t>
      </w:r>
      <w:r w:rsidRPr="009F570E">
        <w:rPr>
          <w:rFonts w:asciiTheme="minorHAnsi" w:hAnsiTheme="minorHAnsi" w:cstheme="minorHAnsi"/>
          <w:lang w:bidi="th-TH"/>
        </w:rPr>
        <w:t>lack of technology/internet access and digital or internet literacy</w:t>
      </w:r>
      <w:r>
        <w:rPr>
          <w:rFonts w:asciiTheme="minorHAnsi" w:hAnsiTheme="minorHAnsi" w:cstheme="minorHAnsi"/>
          <w:lang w:bidi="th-TH"/>
        </w:rPr>
        <w:t>, and impersonality as key barriers</w:t>
      </w:r>
      <w:r w:rsidRPr="009F570E">
        <w:rPr>
          <w:rFonts w:asciiTheme="minorHAnsi" w:hAnsiTheme="minorHAnsi" w:cstheme="minorHAnsi"/>
          <w:lang w:bidi="th-TH"/>
        </w:rPr>
        <w:t xml:space="preserve">. </w:t>
      </w:r>
      <w:r>
        <w:rPr>
          <w:rFonts w:asciiTheme="minorHAnsi" w:hAnsiTheme="minorHAnsi" w:cstheme="minorHAnsi"/>
          <w:lang w:bidi="th-TH"/>
        </w:rPr>
        <w:t>They</w:t>
      </w:r>
      <w:r w:rsidRPr="009F570E">
        <w:rPr>
          <w:rFonts w:asciiTheme="minorHAnsi" w:hAnsiTheme="minorHAnsi" w:cstheme="minorHAnsi"/>
          <w:lang w:bidi="th-TH"/>
        </w:rPr>
        <w:t xml:space="preserve"> thought that supported DMHSs were more likely to be suitable for young people, </w:t>
      </w:r>
      <w:r>
        <w:rPr>
          <w:rFonts w:asciiTheme="minorHAnsi" w:hAnsiTheme="minorHAnsi" w:cstheme="minorHAnsi"/>
          <w:lang w:bidi="th-TH"/>
        </w:rPr>
        <w:t>and</w:t>
      </w:r>
      <w:r w:rsidRPr="009F570E">
        <w:rPr>
          <w:rFonts w:asciiTheme="minorHAnsi" w:hAnsiTheme="minorHAnsi" w:cstheme="minorHAnsi"/>
          <w:lang w:bidi="th-TH"/>
        </w:rPr>
        <w:t xml:space="preserve"> less</w:t>
      </w:r>
      <w:r>
        <w:rPr>
          <w:rFonts w:asciiTheme="minorHAnsi" w:hAnsiTheme="minorHAnsi" w:cstheme="minorHAnsi"/>
          <w:lang w:bidi="th-TH"/>
        </w:rPr>
        <w:t xml:space="preserve"> likely to</w:t>
      </w:r>
      <w:r w:rsidRPr="009F570E">
        <w:rPr>
          <w:rFonts w:asciiTheme="minorHAnsi" w:hAnsiTheme="minorHAnsi" w:cstheme="minorHAnsi"/>
          <w:lang w:bidi="th-TH"/>
        </w:rPr>
        <w:t xml:space="preserve"> effective for people facing literacy or language challenges</w:t>
      </w:r>
      <w:r>
        <w:rPr>
          <w:rFonts w:asciiTheme="minorHAnsi" w:hAnsiTheme="minorHAnsi" w:cstheme="minorHAnsi"/>
          <w:lang w:bidi="th-TH"/>
        </w:rPr>
        <w:t>; and</w:t>
      </w:r>
      <w:r w:rsidRPr="009F570E">
        <w:rPr>
          <w:rFonts w:asciiTheme="minorHAnsi" w:hAnsiTheme="minorHAnsi" w:cstheme="minorHAnsi"/>
          <w:lang w:bidi="th-TH"/>
        </w:rPr>
        <w:t xml:space="preserve"> people with severe symptoms</w:t>
      </w:r>
      <w:r>
        <w:rPr>
          <w:rFonts w:asciiTheme="minorHAnsi" w:hAnsiTheme="minorHAnsi" w:cstheme="minorHAnsi"/>
          <w:lang w:bidi="th-TH"/>
        </w:rPr>
        <w:t>,</w:t>
      </w:r>
      <w:r w:rsidRPr="009F570E">
        <w:rPr>
          <w:rFonts w:asciiTheme="minorHAnsi" w:hAnsiTheme="minorHAnsi" w:cstheme="minorHAnsi"/>
          <w:lang w:bidi="th-TH"/>
        </w:rPr>
        <w:t xml:space="preserve"> complex needs, </w:t>
      </w:r>
      <w:r>
        <w:rPr>
          <w:rFonts w:asciiTheme="minorHAnsi" w:hAnsiTheme="minorHAnsi" w:cstheme="minorHAnsi"/>
          <w:lang w:bidi="th-TH"/>
        </w:rPr>
        <w:t>or those in need of</w:t>
      </w:r>
      <w:r w:rsidRPr="009F570E">
        <w:rPr>
          <w:rFonts w:asciiTheme="minorHAnsi" w:hAnsiTheme="minorHAnsi" w:cstheme="minorHAnsi"/>
          <w:lang w:bidi="th-TH"/>
        </w:rPr>
        <w:t xml:space="preserve"> crisis support. Participants emphasised the importance of </w:t>
      </w:r>
      <w:r>
        <w:rPr>
          <w:rFonts w:asciiTheme="minorHAnsi" w:hAnsiTheme="minorHAnsi" w:cstheme="minorHAnsi"/>
          <w:lang w:bidi="th-TH"/>
        </w:rPr>
        <w:t>DMHS</w:t>
      </w:r>
      <w:r w:rsidRPr="009F570E">
        <w:rPr>
          <w:rFonts w:asciiTheme="minorHAnsi" w:hAnsiTheme="minorHAnsi" w:cstheme="minorHAnsi"/>
          <w:lang w:bidi="th-TH"/>
        </w:rPr>
        <w:t xml:space="preserve"> sites being visually </w:t>
      </w:r>
      <w:r>
        <w:rPr>
          <w:rFonts w:asciiTheme="minorHAnsi" w:hAnsiTheme="minorHAnsi" w:cstheme="minorHAnsi"/>
          <w:lang w:bidi="th-TH"/>
        </w:rPr>
        <w:t>appealing,</w:t>
      </w:r>
      <w:r w:rsidRPr="009F570E">
        <w:rPr>
          <w:rFonts w:asciiTheme="minorHAnsi" w:hAnsiTheme="minorHAnsi" w:cstheme="minorHAnsi"/>
          <w:lang w:bidi="th-TH"/>
        </w:rPr>
        <w:t xml:space="preserve"> written in clear language that was easy to understand, with </w:t>
      </w:r>
      <w:r>
        <w:rPr>
          <w:rFonts w:asciiTheme="minorHAnsi" w:hAnsiTheme="minorHAnsi" w:cstheme="minorHAnsi"/>
          <w:lang w:bidi="th-TH"/>
        </w:rPr>
        <w:t xml:space="preserve">limited branding and medical jargon and </w:t>
      </w:r>
      <w:r w:rsidRPr="009F570E">
        <w:rPr>
          <w:rFonts w:asciiTheme="minorHAnsi" w:hAnsiTheme="minorHAnsi" w:cstheme="minorHAnsi"/>
          <w:lang w:bidi="th-TH"/>
        </w:rPr>
        <w:t xml:space="preserve">a variety of content including videos and other visuals. </w:t>
      </w:r>
      <w:r>
        <w:rPr>
          <w:rFonts w:asciiTheme="minorHAnsi" w:hAnsiTheme="minorHAnsi" w:cstheme="minorHAnsi"/>
          <w:lang w:bidi="th-TH"/>
        </w:rPr>
        <w:t>They also described the importance of easy navigation to content</w:t>
      </w:r>
      <w:r w:rsidRPr="009F570E">
        <w:rPr>
          <w:rFonts w:asciiTheme="minorHAnsi" w:hAnsiTheme="minorHAnsi" w:cstheme="minorHAnsi"/>
          <w:lang w:bidi="th-TH"/>
        </w:rPr>
        <w:t xml:space="preserve"> most relevant to </w:t>
      </w:r>
      <w:r>
        <w:rPr>
          <w:rFonts w:asciiTheme="minorHAnsi" w:hAnsiTheme="minorHAnsi" w:cstheme="minorHAnsi"/>
          <w:lang w:bidi="th-TH"/>
        </w:rPr>
        <w:t>users</w:t>
      </w:r>
      <w:r w:rsidR="00382F28">
        <w:rPr>
          <w:rFonts w:asciiTheme="minorHAnsi" w:hAnsiTheme="minorHAnsi" w:cstheme="minorHAnsi"/>
          <w:lang w:bidi="th-TH"/>
        </w:rPr>
        <w:t>.</w:t>
      </w:r>
    </w:p>
    <w:p w14:paraId="76DCAEA6" w14:textId="0586A117" w:rsidR="0049567F" w:rsidRPr="00AA6B28" w:rsidRDefault="0049567F" w:rsidP="004E2ED0">
      <w:pPr>
        <w:pStyle w:val="Heading1"/>
        <w:numPr>
          <w:ilvl w:val="0"/>
          <w:numId w:val="146"/>
        </w:numPr>
      </w:pPr>
      <w:bookmarkStart w:id="197" w:name="_Toc108784880"/>
      <w:r w:rsidRPr="00AA6B28">
        <w:lastRenderedPageBreak/>
        <w:t>Stakeholder experiences: Additional health professionals</w:t>
      </w:r>
      <w:bookmarkEnd w:id="197"/>
    </w:p>
    <w:p w14:paraId="4A50FB9A" w14:textId="4703550A" w:rsidR="0085268A" w:rsidRDefault="0085268A" w:rsidP="005A16C4">
      <w:pPr>
        <w:pStyle w:val="Heading2"/>
        <w:numPr>
          <w:ilvl w:val="1"/>
          <w:numId w:val="163"/>
        </w:numPr>
        <w:spacing w:after="240"/>
      </w:pPr>
      <w:bookmarkStart w:id="198" w:name="_Toc102131994"/>
      <w:bookmarkStart w:id="199" w:name="_Toc108784881"/>
      <w:r>
        <w:t>Our approach</w:t>
      </w:r>
      <w:bookmarkEnd w:id="198"/>
      <w:bookmarkEnd w:id="199"/>
    </w:p>
    <w:p w14:paraId="1FD1100C" w14:textId="6EDAC468" w:rsidR="0085268A" w:rsidRDefault="0085268A" w:rsidP="0085268A">
      <w:pPr>
        <w:pStyle w:val="ANorm"/>
        <w:spacing w:after="240"/>
      </w:pPr>
      <w:r w:rsidRPr="00557457">
        <w:t xml:space="preserve">We </w:t>
      </w:r>
      <w:r>
        <w:t xml:space="preserve">consulted with additional health professionals (who did not necessarily have direct experience with DMHSs) via purpose-designed online </w:t>
      </w:r>
      <w:r w:rsidRPr="00557457">
        <w:t>survey</w:t>
      </w:r>
      <w:r>
        <w:t xml:space="preserve">s from December 2021 to April 2022. The survey took approximately 10-15 minutes to complete. We asked </w:t>
      </w:r>
      <w:r w:rsidRPr="00557457">
        <w:t xml:space="preserve">closed and open-ended questions </w:t>
      </w:r>
      <w:r>
        <w:t xml:space="preserve">and elicited demographic information in the survey (see Appendix </w:t>
      </w:r>
      <w:r w:rsidRPr="00D749A0">
        <w:t>J).</w:t>
      </w:r>
      <w:r w:rsidRPr="00812B93">
        <w:t xml:space="preserve"> </w:t>
      </w:r>
      <w:r>
        <w:t>Survey content related to health professionals’ experiences with, and views of, DMHSs. The survey also included questions for our complementary evaluation of the Head to Health national digital mental health gateway</w:t>
      </w:r>
      <w:r w:rsidRPr="00662F9C">
        <w:t xml:space="preserve"> to reduce participant burden</w:t>
      </w:r>
      <w:r>
        <w:t xml:space="preserve"> (reported elsewhere</w:t>
      </w:r>
      <w:r w:rsidRPr="000C650C">
        <w:t>).</w:t>
      </w:r>
      <w:r w:rsidR="000C650C" w:rsidRPr="000C650C">
        <w:fldChar w:fldCharType="begin"/>
      </w:r>
      <w:r w:rsidR="004469A2">
        <w:instrText xml:space="preserve"> ADDIN EN.CITE &lt;EndNote&gt;&lt;Cite&gt;&lt;Author&gt;Bassilios&lt;/Author&gt;&lt;Year&gt;2022&lt;/Year&gt;&lt;RecNum&gt;212&lt;/RecNum&gt;&lt;DisplayText&gt;&lt;style face="superscript"&gt;81&lt;/style&gt;&lt;/DisplayText&gt;&lt;record&gt;&lt;rec-number&gt;212&lt;/rec-number&gt;&lt;foreign-keys&gt;&lt;key app="EN" db-id="dawtr0zrkrzfa5edzzlpe2we0xa00t90vvr2" timestamp="1657772032"&gt;212&lt;/key&gt;&lt;/foreign-keys&gt;&lt;ref-type name="Report"&gt;27&lt;/ref-type&gt;&lt;contributors&gt;&lt;authors&gt;&lt;author&gt;Bassilios, B.&lt;/author&gt;&lt;author&gt;Ftanou, M.&lt;/author&gt;&lt;author&gt;Mangelsdorf, S.&lt;/author&gt;&lt;author&gt;Machlin, A.&lt;/author&gt;&lt;author&gt;Banfield, M.&lt;/author&gt;&lt;author&gt;Tan, A.&lt;/author&gt;&lt;author&gt;Roberts, L.&lt;/author&gt;&lt;author&gt;Scurrah, K.&lt;/author&gt;&lt;author&gt;Le, L.&lt;/author&gt;&lt;author&gt;Spittal, M.&lt;/author&gt;&lt;author&gt;Mihalopoulos, C.&lt;/author&gt;&lt;author&gt;Pirkis, J.&lt;/author&gt;&lt;/authors&gt;&lt;/contributors&gt;&lt;titles&gt;&lt;title&gt;Independent evaluation of the Head to Health Digital Mental Health Gateway: Final Report&lt;/title&gt;&lt;/titles&gt;&lt;dates&gt;&lt;year&gt;2022&lt;/year&gt;&lt;/dates&gt;&lt;pub-location&gt;Melbourne&lt;/pub-location&gt;&lt;publisher&gt;Centre for Mental Health, University of Melbourne&lt;/publisher&gt;&lt;urls&gt;&lt;/urls&gt;&lt;/record&gt;&lt;/Cite&gt;&lt;/EndNote&gt;</w:instrText>
      </w:r>
      <w:r w:rsidR="000C650C" w:rsidRPr="000C650C">
        <w:fldChar w:fldCharType="separate"/>
      </w:r>
      <w:r w:rsidR="004469A2" w:rsidRPr="004469A2">
        <w:rPr>
          <w:noProof/>
          <w:vertAlign w:val="superscript"/>
        </w:rPr>
        <w:t>81</w:t>
      </w:r>
      <w:r w:rsidR="000C650C" w:rsidRPr="000C650C">
        <w:fldChar w:fldCharType="end"/>
      </w:r>
      <w:r w:rsidRPr="00662F9C">
        <w:t xml:space="preserve"> </w:t>
      </w:r>
      <w:r>
        <w:t xml:space="preserve">Health professional associations acted as intermediaries by recruiting providers on our behalf. Appendix B </w:t>
      </w:r>
      <w:r w:rsidRPr="005E4A95">
        <w:t xml:space="preserve">provides further details about </w:t>
      </w:r>
      <w:r>
        <w:t>the methods</w:t>
      </w:r>
      <w:r w:rsidRPr="005E4A95">
        <w:t xml:space="preserve"> we used</w:t>
      </w:r>
      <w:r>
        <w:t>.</w:t>
      </w:r>
    </w:p>
    <w:p w14:paraId="67AC8F3B" w14:textId="77777777" w:rsidR="00F125A3" w:rsidRPr="00F125A3" w:rsidRDefault="00F125A3" w:rsidP="005A16C4">
      <w:pPr>
        <w:pStyle w:val="ListParagraph"/>
        <w:keepNext/>
        <w:numPr>
          <w:ilvl w:val="0"/>
          <w:numId w:val="172"/>
        </w:numPr>
        <w:spacing w:after="120"/>
        <w:contextualSpacing w:val="0"/>
        <w:outlineLvl w:val="1"/>
        <w:rPr>
          <w:rFonts w:ascii="Calibri" w:hAnsi="Calibri" w:cs="Arial"/>
          <w:b/>
          <w:bCs/>
          <w:iCs/>
          <w:vanish/>
          <w:color w:val="2F5496" w:themeColor="accent1" w:themeShade="BF"/>
          <w:sz w:val="28"/>
          <w:szCs w:val="28"/>
        </w:rPr>
      </w:pPr>
      <w:bookmarkStart w:id="200" w:name="_Toc108604389"/>
      <w:bookmarkStart w:id="201" w:name="_Toc108607541"/>
      <w:bookmarkStart w:id="202" w:name="_Toc108607655"/>
      <w:bookmarkStart w:id="203" w:name="_Toc108607770"/>
      <w:bookmarkStart w:id="204" w:name="_Toc108678688"/>
      <w:bookmarkStart w:id="205" w:name="_Toc108678989"/>
      <w:bookmarkStart w:id="206" w:name="_Toc108679104"/>
      <w:bookmarkStart w:id="207" w:name="_Toc108689982"/>
      <w:bookmarkStart w:id="208" w:name="_Toc108709035"/>
      <w:bookmarkStart w:id="209" w:name="_Toc108782842"/>
      <w:bookmarkStart w:id="210" w:name="_Toc108782972"/>
      <w:bookmarkStart w:id="211" w:name="_Toc108784882"/>
      <w:bookmarkStart w:id="212" w:name="_Toc102131995"/>
      <w:bookmarkEnd w:id="200"/>
      <w:bookmarkEnd w:id="201"/>
      <w:bookmarkEnd w:id="202"/>
      <w:bookmarkEnd w:id="203"/>
      <w:bookmarkEnd w:id="204"/>
      <w:bookmarkEnd w:id="205"/>
      <w:bookmarkEnd w:id="206"/>
      <w:bookmarkEnd w:id="207"/>
      <w:bookmarkEnd w:id="208"/>
      <w:bookmarkEnd w:id="209"/>
      <w:bookmarkEnd w:id="210"/>
      <w:bookmarkEnd w:id="211"/>
    </w:p>
    <w:p w14:paraId="2B4A5531" w14:textId="77777777" w:rsidR="00F125A3" w:rsidRPr="00F125A3" w:rsidRDefault="00F125A3" w:rsidP="005A16C4">
      <w:pPr>
        <w:pStyle w:val="ListParagraph"/>
        <w:keepNext/>
        <w:numPr>
          <w:ilvl w:val="0"/>
          <w:numId w:val="172"/>
        </w:numPr>
        <w:spacing w:after="120"/>
        <w:contextualSpacing w:val="0"/>
        <w:outlineLvl w:val="1"/>
        <w:rPr>
          <w:rFonts w:ascii="Calibri" w:hAnsi="Calibri" w:cs="Arial"/>
          <w:b/>
          <w:bCs/>
          <w:iCs/>
          <w:vanish/>
          <w:color w:val="2F5496" w:themeColor="accent1" w:themeShade="BF"/>
          <w:sz w:val="28"/>
          <w:szCs w:val="28"/>
        </w:rPr>
      </w:pPr>
      <w:bookmarkStart w:id="213" w:name="_Toc108604390"/>
      <w:bookmarkStart w:id="214" w:name="_Toc108607542"/>
      <w:bookmarkStart w:id="215" w:name="_Toc108607656"/>
      <w:bookmarkStart w:id="216" w:name="_Toc108607771"/>
      <w:bookmarkStart w:id="217" w:name="_Toc108678689"/>
      <w:bookmarkStart w:id="218" w:name="_Toc108678990"/>
      <w:bookmarkStart w:id="219" w:name="_Toc108679105"/>
      <w:bookmarkStart w:id="220" w:name="_Toc108689983"/>
      <w:bookmarkStart w:id="221" w:name="_Toc108709036"/>
      <w:bookmarkStart w:id="222" w:name="_Toc108782843"/>
      <w:bookmarkStart w:id="223" w:name="_Toc108782973"/>
      <w:bookmarkStart w:id="224" w:name="_Toc108784883"/>
      <w:bookmarkEnd w:id="213"/>
      <w:bookmarkEnd w:id="214"/>
      <w:bookmarkEnd w:id="215"/>
      <w:bookmarkEnd w:id="216"/>
      <w:bookmarkEnd w:id="217"/>
      <w:bookmarkEnd w:id="218"/>
      <w:bookmarkEnd w:id="219"/>
      <w:bookmarkEnd w:id="220"/>
      <w:bookmarkEnd w:id="221"/>
      <w:bookmarkEnd w:id="222"/>
      <w:bookmarkEnd w:id="223"/>
      <w:bookmarkEnd w:id="224"/>
    </w:p>
    <w:p w14:paraId="326172AE" w14:textId="4EA3E00C" w:rsidR="0085268A" w:rsidRDefault="0085268A" w:rsidP="00D509F3">
      <w:pPr>
        <w:pStyle w:val="Heading2"/>
        <w:numPr>
          <w:ilvl w:val="1"/>
          <w:numId w:val="163"/>
        </w:numPr>
      </w:pPr>
      <w:bookmarkStart w:id="225" w:name="_Toc108784884"/>
      <w:r>
        <w:t xml:space="preserve">Socio-demographic and professional characteristics, and internet access, </w:t>
      </w:r>
      <w:r w:rsidRPr="00566911">
        <w:t xml:space="preserve">of </w:t>
      </w:r>
      <w:bookmarkEnd w:id="212"/>
      <w:r w:rsidR="00C3169C">
        <w:t>survey respondents</w:t>
      </w:r>
      <w:bookmarkEnd w:id="225"/>
    </w:p>
    <w:p w14:paraId="5F793A47" w14:textId="129C9B40" w:rsidR="0085268A" w:rsidRPr="00D9103E" w:rsidRDefault="0085268A" w:rsidP="0085268A">
      <w:pPr>
        <w:pStyle w:val="ANorm"/>
        <w:spacing w:after="240"/>
      </w:pPr>
      <w:r w:rsidRPr="00D9103E">
        <w:t>Ninety</w:t>
      </w:r>
      <w:r>
        <w:t>-</w:t>
      </w:r>
      <w:r w:rsidRPr="00D9103E">
        <w:t xml:space="preserve">four health professionals participated in the survey after seeing a notice distributed by their health professional association. Table </w:t>
      </w:r>
      <w:r w:rsidR="00A567EE">
        <w:t>37</w:t>
      </w:r>
      <w:r w:rsidRPr="00D9103E">
        <w:t xml:space="preserve"> summarises their socio-demographic characteristics. </w:t>
      </w:r>
      <w:r>
        <w:t>Most</w:t>
      </w:r>
      <w:r w:rsidRPr="00D9103E">
        <w:t xml:space="preserve"> respondents were female (84%), 30% were aged 50-59 and 43% aged 30-49 years, and two participants identified as Aboriginal. Thirty percent of respondents were from NSW and an additional 30% were from Victoria (see Table </w:t>
      </w:r>
      <w:r w:rsidR="0061217B">
        <w:t>37</w:t>
      </w:r>
      <w:r w:rsidRPr="00D9103E">
        <w:t>).</w:t>
      </w:r>
    </w:p>
    <w:p w14:paraId="48BD910E" w14:textId="19C96BFC" w:rsidR="0085268A" w:rsidRPr="00977C46" w:rsidRDefault="0085268A" w:rsidP="00977C46">
      <w:pPr>
        <w:pStyle w:val="tableheading"/>
      </w:pPr>
      <w:r w:rsidRPr="00977C46">
        <w:t>Table</w:t>
      </w:r>
      <w:r w:rsidR="00A567EE">
        <w:t xml:space="preserve"> 37</w:t>
      </w:r>
      <w:r w:rsidRPr="00977C46">
        <w:t>. Socio-demographic characteristics of survey respondents (N=94)</w:t>
      </w:r>
    </w:p>
    <w:tbl>
      <w:tblPr>
        <w:tblStyle w:val="TableGrid"/>
        <w:tblW w:w="0" w:type="auto"/>
        <w:tblBorders>
          <w:insideH w:val="none" w:sz="0" w:space="0" w:color="auto"/>
          <w:insideV w:val="none" w:sz="0" w:space="0" w:color="auto"/>
        </w:tblBorders>
        <w:tblLook w:val="04A0" w:firstRow="1" w:lastRow="0" w:firstColumn="1" w:lastColumn="0" w:noHBand="0" w:noVBand="1"/>
        <w:tblDescription w:val="Table presents demographic characteristics of survey respondents: gender, age, Indigneous status and geographic state."/>
      </w:tblPr>
      <w:tblGrid>
        <w:gridCol w:w="4023"/>
        <w:gridCol w:w="2402"/>
        <w:gridCol w:w="2402"/>
      </w:tblGrid>
      <w:tr w:rsidR="0085268A" w:rsidRPr="00586267" w14:paraId="3B10BBF8" w14:textId="77777777">
        <w:trPr>
          <w:trHeight w:val="206"/>
          <w:tblHeader/>
        </w:trPr>
        <w:tc>
          <w:tcPr>
            <w:tcW w:w="4023" w:type="dxa"/>
            <w:shd w:val="clear" w:color="auto" w:fill="000000" w:themeFill="text1"/>
          </w:tcPr>
          <w:p w14:paraId="2B72A911" w14:textId="77777777" w:rsidR="0085268A" w:rsidRPr="00586267" w:rsidRDefault="0085268A" w:rsidP="00977C46">
            <w:pPr>
              <w:pStyle w:val="ANorm"/>
              <w:rPr>
                <w:rFonts w:asciiTheme="minorHAnsi" w:hAnsiTheme="minorHAnsi" w:cstheme="minorHAnsi"/>
                <w:color w:val="FFFFFF" w:themeColor="background1"/>
                <w:sz w:val="18"/>
                <w:szCs w:val="18"/>
              </w:rPr>
            </w:pPr>
          </w:p>
        </w:tc>
        <w:tc>
          <w:tcPr>
            <w:tcW w:w="2402" w:type="dxa"/>
            <w:shd w:val="clear" w:color="auto" w:fill="000000" w:themeFill="text1"/>
          </w:tcPr>
          <w:p w14:paraId="68CCC8FD" w14:textId="77777777" w:rsidR="0085268A" w:rsidRPr="00586267" w:rsidRDefault="0085268A" w:rsidP="00977C46">
            <w:pPr>
              <w:pStyle w:val="ANorm"/>
              <w:jc w:val="center"/>
              <w:rPr>
                <w:rFonts w:asciiTheme="minorHAnsi" w:hAnsiTheme="minorHAnsi" w:cstheme="minorHAnsi"/>
                <w:color w:val="FFFFFF" w:themeColor="background1"/>
                <w:sz w:val="18"/>
                <w:szCs w:val="18"/>
              </w:rPr>
            </w:pPr>
            <w:r w:rsidRPr="00586267">
              <w:rPr>
                <w:rFonts w:asciiTheme="minorHAnsi" w:hAnsiTheme="minorHAnsi" w:cstheme="minorHAnsi"/>
                <w:color w:val="FFFFFF" w:themeColor="background1"/>
                <w:sz w:val="18"/>
                <w:szCs w:val="18"/>
              </w:rPr>
              <w:t>Frequency</w:t>
            </w:r>
          </w:p>
        </w:tc>
        <w:tc>
          <w:tcPr>
            <w:tcW w:w="2402" w:type="dxa"/>
            <w:shd w:val="clear" w:color="auto" w:fill="000000" w:themeFill="text1"/>
          </w:tcPr>
          <w:p w14:paraId="13478D9F" w14:textId="77777777" w:rsidR="0085268A" w:rsidRPr="00586267" w:rsidRDefault="0085268A" w:rsidP="00977C46">
            <w:pPr>
              <w:pStyle w:val="ANorm"/>
              <w:jc w:val="center"/>
              <w:rPr>
                <w:rFonts w:asciiTheme="minorHAnsi" w:hAnsiTheme="minorHAnsi" w:cstheme="minorHAnsi"/>
                <w:color w:val="FFFFFF" w:themeColor="background1"/>
                <w:sz w:val="18"/>
                <w:szCs w:val="18"/>
              </w:rPr>
            </w:pPr>
            <w:r w:rsidRPr="00586267">
              <w:rPr>
                <w:rFonts w:asciiTheme="minorHAnsi" w:hAnsiTheme="minorHAnsi" w:cstheme="minorHAnsi"/>
                <w:color w:val="FFFFFF" w:themeColor="background1"/>
                <w:sz w:val="18"/>
                <w:szCs w:val="18"/>
              </w:rPr>
              <w:t>%</w:t>
            </w:r>
          </w:p>
        </w:tc>
      </w:tr>
      <w:tr w:rsidR="0085268A" w:rsidRPr="00586267" w14:paraId="7AA9D776" w14:textId="77777777">
        <w:trPr>
          <w:trHeight w:val="206"/>
        </w:trPr>
        <w:tc>
          <w:tcPr>
            <w:tcW w:w="4023" w:type="dxa"/>
            <w:vAlign w:val="bottom"/>
          </w:tcPr>
          <w:p w14:paraId="0C07DD35" w14:textId="77777777" w:rsidR="0085268A" w:rsidRPr="00586267" w:rsidRDefault="0085268A" w:rsidP="00977C46">
            <w:pPr>
              <w:pStyle w:val="ANorm"/>
              <w:rPr>
                <w:rFonts w:asciiTheme="minorHAnsi" w:hAnsiTheme="minorHAnsi" w:cstheme="minorHAnsi"/>
                <w:b/>
                <w:bCs/>
                <w:sz w:val="18"/>
                <w:szCs w:val="18"/>
              </w:rPr>
            </w:pPr>
            <w:r w:rsidRPr="00586267">
              <w:rPr>
                <w:rFonts w:asciiTheme="minorHAnsi" w:hAnsiTheme="minorHAnsi" w:cstheme="minorHAnsi"/>
                <w:b/>
                <w:bCs/>
                <w:sz w:val="18"/>
                <w:szCs w:val="18"/>
              </w:rPr>
              <w:t>Gender</w:t>
            </w:r>
          </w:p>
        </w:tc>
        <w:tc>
          <w:tcPr>
            <w:tcW w:w="2402" w:type="dxa"/>
          </w:tcPr>
          <w:p w14:paraId="24BDF201" w14:textId="77777777" w:rsidR="0085268A" w:rsidRPr="00586267" w:rsidRDefault="0085268A" w:rsidP="00977C46">
            <w:pPr>
              <w:jc w:val="center"/>
              <w:rPr>
                <w:rFonts w:asciiTheme="minorHAnsi" w:hAnsiTheme="minorHAnsi" w:cstheme="minorHAnsi"/>
                <w:color w:val="000000" w:themeColor="text1"/>
                <w:sz w:val="18"/>
                <w:szCs w:val="18"/>
              </w:rPr>
            </w:pPr>
          </w:p>
        </w:tc>
        <w:tc>
          <w:tcPr>
            <w:tcW w:w="2402" w:type="dxa"/>
          </w:tcPr>
          <w:p w14:paraId="25F9C93C" w14:textId="77777777" w:rsidR="0085268A" w:rsidRPr="00586267" w:rsidRDefault="0085268A" w:rsidP="00977C46">
            <w:pPr>
              <w:jc w:val="center"/>
              <w:rPr>
                <w:rFonts w:asciiTheme="minorHAnsi" w:hAnsiTheme="minorHAnsi" w:cstheme="minorHAnsi"/>
                <w:color w:val="000000" w:themeColor="text1"/>
                <w:sz w:val="18"/>
                <w:szCs w:val="18"/>
              </w:rPr>
            </w:pPr>
          </w:p>
        </w:tc>
      </w:tr>
      <w:tr w:rsidR="0085268A" w:rsidRPr="00586267" w14:paraId="6F936233" w14:textId="77777777">
        <w:trPr>
          <w:trHeight w:val="206"/>
        </w:trPr>
        <w:tc>
          <w:tcPr>
            <w:tcW w:w="4023" w:type="dxa"/>
            <w:vAlign w:val="bottom"/>
          </w:tcPr>
          <w:p w14:paraId="60BBD3CF" w14:textId="77777777" w:rsidR="0085268A" w:rsidRPr="00586267" w:rsidRDefault="0085268A" w:rsidP="00977C46">
            <w:pPr>
              <w:pStyle w:val="ANorm"/>
              <w:ind w:firstLine="243"/>
              <w:rPr>
                <w:rFonts w:asciiTheme="minorHAnsi" w:hAnsiTheme="minorHAnsi" w:cstheme="minorHAnsi"/>
                <w:sz w:val="18"/>
                <w:szCs w:val="18"/>
              </w:rPr>
            </w:pPr>
            <w:r w:rsidRPr="00586267">
              <w:rPr>
                <w:rFonts w:asciiTheme="minorHAnsi" w:hAnsiTheme="minorHAnsi" w:cstheme="minorHAnsi"/>
                <w:sz w:val="18"/>
                <w:szCs w:val="18"/>
              </w:rPr>
              <w:t>Male</w:t>
            </w:r>
          </w:p>
        </w:tc>
        <w:tc>
          <w:tcPr>
            <w:tcW w:w="2402" w:type="dxa"/>
            <w:vAlign w:val="bottom"/>
          </w:tcPr>
          <w:p w14:paraId="20B9957A"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13</w:t>
            </w:r>
          </w:p>
        </w:tc>
        <w:tc>
          <w:tcPr>
            <w:tcW w:w="2402" w:type="dxa"/>
            <w:vAlign w:val="bottom"/>
          </w:tcPr>
          <w:p w14:paraId="0AA824AB"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13.8</w:t>
            </w:r>
          </w:p>
        </w:tc>
      </w:tr>
      <w:tr w:rsidR="0085268A" w:rsidRPr="00586267" w14:paraId="1D4AB2D3" w14:textId="77777777">
        <w:trPr>
          <w:trHeight w:val="206"/>
        </w:trPr>
        <w:tc>
          <w:tcPr>
            <w:tcW w:w="4023" w:type="dxa"/>
            <w:vAlign w:val="bottom"/>
          </w:tcPr>
          <w:p w14:paraId="042B3392" w14:textId="77777777" w:rsidR="0085268A" w:rsidRPr="00586267" w:rsidRDefault="0085268A" w:rsidP="00977C46">
            <w:pPr>
              <w:pStyle w:val="ANorm"/>
              <w:ind w:firstLine="243"/>
              <w:rPr>
                <w:rFonts w:asciiTheme="minorHAnsi" w:hAnsiTheme="minorHAnsi" w:cstheme="minorHAnsi"/>
                <w:sz w:val="18"/>
                <w:szCs w:val="18"/>
              </w:rPr>
            </w:pPr>
            <w:r w:rsidRPr="00586267">
              <w:rPr>
                <w:rFonts w:asciiTheme="minorHAnsi" w:hAnsiTheme="minorHAnsi" w:cstheme="minorHAnsi"/>
                <w:sz w:val="18"/>
                <w:szCs w:val="18"/>
              </w:rPr>
              <w:t>Female</w:t>
            </w:r>
          </w:p>
        </w:tc>
        <w:tc>
          <w:tcPr>
            <w:tcW w:w="2402" w:type="dxa"/>
            <w:vAlign w:val="bottom"/>
          </w:tcPr>
          <w:p w14:paraId="08661107"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79</w:t>
            </w:r>
          </w:p>
        </w:tc>
        <w:tc>
          <w:tcPr>
            <w:tcW w:w="2402" w:type="dxa"/>
            <w:vAlign w:val="bottom"/>
          </w:tcPr>
          <w:p w14:paraId="4EA7FABB"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84.0</w:t>
            </w:r>
          </w:p>
        </w:tc>
      </w:tr>
      <w:tr w:rsidR="0085268A" w:rsidRPr="00586267" w14:paraId="2061E284" w14:textId="77777777">
        <w:trPr>
          <w:trHeight w:val="194"/>
        </w:trPr>
        <w:tc>
          <w:tcPr>
            <w:tcW w:w="4023" w:type="dxa"/>
            <w:vAlign w:val="bottom"/>
          </w:tcPr>
          <w:p w14:paraId="55BB08CA" w14:textId="77777777" w:rsidR="0085268A" w:rsidRPr="00586267" w:rsidRDefault="0085268A" w:rsidP="00977C46">
            <w:pPr>
              <w:pStyle w:val="ANorm"/>
              <w:ind w:firstLine="243"/>
              <w:rPr>
                <w:rFonts w:asciiTheme="minorHAnsi" w:hAnsiTheme="minorHAnsi" w:cstheme="minorHAnsi"/>
                <w:sz w:val="18"/>
                <w:szCs w:val="18"/>
              </w:rPr>
            </w:pPr>
            <w:r w:rsidRPr="00586267">
              <w:rPr>
                <w:rFonts w:asciiTheme="minorHAnsi" w:hAnsiTheme="minorHAnsi" w:cstheme="minorHAnsi"/>
                <w:sz w:val="18"/>
                <w:szCs w:val="18"/>
              </w:rPr>
              <w:t>I do not identify with either term</w:t>
            </w:r>
          </w:p>
        </w:tc>
        <w:tc>
          <w:tcPr>
            <w:tcW w:w="2402" w:type="dxa"/>
            <w:vAlign w:val="bottom"/>
          </w:tcPr>
          <w:p w14:paraId="034D19CF"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1</w:t>
            </w:r>
          </w:p>
        </w:tc>
        <w:tc>
          <w:tcPr>
            <w:tcW w:w="2402" w:type="dxa"/>
            <w:vAlign w:val="bottom"/>
          </w:tcPr>
          <w:p w14:paraId="3FE3C74E"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1.1</w:t>
            </w:r>
          </w:p>
        </w:tc>
      </w:tr>
      <w:tr w:rsidR="0085268A" w:rsidRPr="00586267" w14:paraId="7172615D" w14:textId="77777777" w:rsidTr="00FD7E7A">
        <w:trPr>
          <w:trHeight w:val="206"/>
        </w:trPr>
        <w:tc>
          <w:tcPr>
            <w:tcW w:w="4023" w:type="dxa"/>
            <w:tcBorders>
              <w:bottom w:val="single" w:sz="4" w:space="0" w:color="auto"/>
            </w:tcBorders>
            <w:vAlign w:val="bottom"/>
          </w:tcPr>
          <w:p w14:paraId="663BB100" w14:textId="77777777" w:rsidR="0085268A" w:rsidRPr="00586267" w:rsidRDefault="0085268A" w:rsidP="00977C46">
            <w:pPr>
              <w:pStyle w:val="ANorm"/>
              <w:ind w:firstLine="243"/>
              <w:rPr>
                <w:rFonts w:asciiTheme="minorHAnsi" w:hAnsiTheme="minorHAnsi" w:cstheme="minorHAnsi"/>
                <w:sz w:val="18"/>
                <w:szCs w:val="18"/>
              </w:rPr>
            </w:pPr>
            <w:r w:rsidRPr="00586267">
              <w:rPr>
                <w:rFonts w:asciiTheme="minorHAnsi" w:hAnsiTheme="minorHAnsi" w:cstheme="minorHAnsi"/>
                <w:sz w:val="18"/>
                <w:szCs w:val="18"/>
              </w:rPr>
              <w:t>Missing</w:t>
            </w:r>
          </w:p>
        </w:tc>
        <w:tc>
          <w:tcPr>
            <w:tcW w:w="2402" w:type="dxa"/>
            <w:tcBorders>
              <w:bottom w:val="single" w:sz="4" w:space="0" w:color="auto"/>
            </w:tcBorders>
            <w:vAlign w:val="bottom"/>
          </w:tcPr>
          <w:p w14:paraId="1B023F0B"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1</w:t>
            </w:r>
          </w:p>
        </w:tc>
        <w:tc>
          <w:tcPr>
            <w:tcW w:w="2402" w:type="dxa"/>
            <w:tcBorders>
              <w:bottom w:val="single" w:sz="4" w:space="0" w:color="auto"/>
            </w:tcBorders>
            <w:vAlign w:val="bottom"/>
          </w:tcPr>
          <w:p w14:paraId="40394E01"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1.1</w:t>
            </w:r>
          </w:p>
        </w:tc>
      </w:tr>
      <w:tr w:rsidR="0085268A" w:rsidRPr="00586267" w14:paraId="49BF5F06" w14:textId="77777777" w:rsidTr="00FD7E7A">
        <w:trPr>
          <w:trHeight w:val="206"/>
        </w:trPr>
        <w:tc>
          <w:tcPr>
            <w:tcW w:w="4023" w:type="dxa"/>
            <w:tcBorders>
              <w:top w:val="single" w:sz="4" w:space="0" w:color="auto"/>
              <w:bottom w:val="nil"/>
            </w:tcBorders>
            <w:vAlign w:val="bottom"/>
          </w:tcPr>
          <w:p w14:paraId="4C0E274B" w14:textId="77777777" w:rsidR="0085268A" w:rsidRPr="00586267" w:rsidRDefault="0085268A" w:rsidP="00977C46">
            <w:pPr>
              <w:rPr>
                <w:rFonts w:asciiTheme="minorHAnsi" w:hAnsiTheme="minorHAnsi" w:cstheme="minorHAnsi"/>
                <w:b/>
                <w:bCs/>
                <w:color w:val="000000" w:themeColor="text1"/>
                <w:sz w:val="18"/>
                <w:szCs w:val="18"/>
              </w:rPr>
            </w:pPr>
            <w:r w:rsidRPr="00586267">
              <w:rPr>
                <w:rFonts w:asciiTheme="minorHAnsi" w:hAnsiTheme="minorHAnsi" w:cstheme="minorHAnsi"/>
                <w:b/>
                <w:bCs/>
                <w:color w:val="000000" w:themeColor="text1"/>
                <w:sz w:val="18"/>
                <w:szCs w:val="18"/>
              </w:rPr>
              <w:t>Age</w:t>
            </w:r>
          </w:p>
        </w:tc>
        <w:tc>
          <w:tcPr>
            <w:tcW w:w="2402" w:type="dxa"/>
            <w:tcBorders>
              <w:top w:val="single" w:sz="4" w:space="0" w:color="auto"/>
              <w:bottom w:val="nil"/>
            </w:tcBorders>
          </w:tcPr>
          <w:p w14:paraId="5606417C" w14:textId="77777777" w:rsidR="0085268A" w:rsidRPr="00586267" w:rsidRDefault="0085268A" w:rsidP="00977C46">
            <w:pPr>
              <w:jc w:val="center"/>
              <w:rPr>
                <w:rFonts w:asciiTheme="minorHAnsi" w:hAnsiTheme="minorHAnsi" w:cstheme="minorHAnsi"/>
                <w:color w:val="000000" w:themeColor="text1"/>
                <w:sz w:val="18"/>
                <w:szCs w:val="18"/>
              </w:rPr>
            </w:pPr>
          </w:p>
        </w:tc>
        <w:tc>
          <w:tcPr>
            <w:tcW w:w="2402" w:type="dxa"/>
            <w:tcBorders>
              <w:top w:val="single" w:sz="4" w:space="0" w:color="auto"/>
              <w:bottom w:val="nil"/>
            </w:tcBorders>
          </w:tcPr>
          <w:p w14:paraId="490B18B3" w14:textId="77777777" w:rsidR="0085268A" w:rsidRPr="00586267" w:rsidRDefault="0085268A" w:rsidP="00977C46">
            <w:pPr>
              <w:jc w:val="center"/>
              <w:rPr>
                <w:rFonts w:asciiTheme="minorHAnsi" w:hAnsiTheme="minorHAnsi" w:cstheme="minorHAnsi"/>
                <w:color w:val="000000" w:themeColor="text1"/>
                <w:sz w:val="18"/>
                <w:szCs w:val="18"/>
              </w:rPr>
            </w:pPr>
          </w:p>
        </w:tc>
      </w:tr>
      <w:tr w:rsidR="0085268A" w:rsidRPr="00586267" w14:paraId="2CE95B29" w14:textId="77777777" w:rsidTr="00FD7E7A">
        <w:trPr>
          <w:trHeight w:val="206"/>
        </w:trPr>
        <w:tc>
          <w:tcPr>
            <w:tcW w:w="4023" w:type="dxa"/>
            <w:tcBorders>
              <w:top w:val="nil"/>
              <w:bottom w:val="nil"/>
            </w:tcBorders>
            <w:vAlign w:val="bottom"/>
          </w:tcPr>
          <w:p w14:paraId="4DAD3468" w14:textId="77777777" w:rsidR="0085268A" w:rsidRPr="00586267" w:rsidRDefault="0085268A" w:rsidP="00977C46">
            <w:pPr>
              <w:ind w:firstLine="243"/>
              <w:rPr>
                <w:rFonts w:asciiTheme="minorHAnsi" w:hAnsiTheme="minorHAnsi" w:cstheme="minorHAnsi"/>
                <w:color w:val="000000" w:themeColor="text1"/>
                <w:sz w:val="18"/>
                <w:szCs w:val="18"/>
              </w:rPr>
            </w:pPr>
            <w:r w:rsidRPr="00586267">
              <w:rPr>
                <w:rFonts w:asciiTheme="minorHAnsi" w:hAnsiTheme="minorHAnsi" w:cstheme="minorHAnsi"/>
                <w:color w:val="000000" w:themeColor="text1"/>
                <w:sz w:val="18"/>
                <w:szCs w:val="18"/>
              </w:rPr>
              <w:t>20-29 years</w:t>
            </w:r>
          </w:p>
        </w:tc>
        <w:tc>
          <w:tcPr>
            <w:tcW w:w="2402" w:type="dxa"/>
            <w:tcBorders>
              <w:top w:val="nil"/>
              <w:bottom w:val="nil"/>
            </w:tcBorders>
            <w:vAlign w:val="bottom"/>
          </w:tcPr>
          <w:p w14:paraId="08C061B6"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6</w:t>
            </w:r>
          </w:p>
        </w:tc>
        <w:tc>
          <w:tcPr>
            <w:tcW w:w="2402" w:type="dxa"/>
            <w:tcBorders>
              <w:top w:val="nil"/>
              <w:bottom w:val="nil"/>
            </w:tcBorders>
            <w:vAlign w:val="bottom"/>
          </w:tcPr>
          <w:p w14:paraId="5771341F"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6.4</w:t>
            </w:r>
          </w:p>
        </w:tc>
      </w:tr>
      <w:tr w:rsidR="0085268A" w:rsidRPr="00586267" w14:paraId="53647FCF" w14:textId="77777777" w:rsidTr="00FD7E7A">
        <w:trPr>
          <w:trHeight w:val="206"/>
        </w:trPr>
        <w:tc>
          <w:tcPr>
            <w:tcW w:w="4023" w:type="dxa"/>
            <w:tcBorders>
              <w:top w:val="nil"/>
              <w:bottom w:val="nil"/>
            </w:tcBorders>
            <w:vAlign w:val="bottom"/>
          </w:tcPr>
          <w:p w14:paraId="0F5AFBD4" w14:textId="77777777" w:rsidR="0085268A" w:rsidRPr="00586267" w:rsidRDefault="0085268A" w:rsidP="00977C46">
            <w:pPr>
              <w:ind w:firstLine="243"/>
              <w:rPr>
                <w:rFonts w:asciiTheme="minorHAnsi" w:hAnsiTheme="minorHAnsi" w:cstheme="minorHAnsi"/>
                <w:color w:val="000000" w:themeColor="text1"/>
                <w:sz w:val="18"/>
                <w:szCs w:val="18"/>
              </w:rPr>
            </w:pPr>
            <w:r w:rsidRPr="00586267">
              <w:rPr>
                <w:rFonts w:asciiTheme="minorHAnsi" w:hAnsiTheme="minorHAnsi" w:cstheme="minorHAnsi"/>
                <w:color w:val="000000" w:themeColor="text1"/>
                <w:sz w:val="18"/>
                <w:szCs w:val="18"/>
              </w:rPr>
              <w:t>30-39 years</w:t>
            </w:r>
          </w:p>
        </w:tc>
        <w:tc>
          <w:tcPr>
            <w:tcW w:w="2402" w:type="dxa"/>
            <w:tcBorders>
              <w:top w:val="nil"/>
              <w:bottom w:val="nil"/>
            </w:tcBorders>
            <w:vAlign w:val="bottom"/>
          </w:tcPr>
          <w:p w14:paraId="307BB5E1"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20</w:t>
            </w:r>
          </w:p>
        </w:tc>
        <w:tc>
          <w:tcPr>
            <w:tcW w:w="2402" w:type="dxa"/>
            <w:tcBorders>
              <w:top w:val="nil"/>
              <w:bottom w:val="nil"/>
            </w:tcBorders>
            <w:vAlign w:val="bottom"/>
          </w:tcPr>
          <w:p w14:paraId="14FD459E"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21.3</w:t>
            </w:r>
          </w:p>
        </w:tc>
      </w:tr>
      <w:tr w:rsidR="0085268A" w:rsidRPr="00586267" w14:paraId="1C02E15C" w14:textId="77777777" w:rsidTr="00FD7E7A">
        <w:trPr>
          <w:trHeight w:val="206"/>
        </w:trPr>
        <w:tc>
          <w:tcPr>
            <w:tcW w:w="4023" w:type="dxa"/>
            <w:tcBorders>
              <w:top w:val="nil"/>
              <w:bottom w:val="nil"/>
            </w:tcBorders>
            <w:vAlign w:val="bottom"/>
          </w:tcPr>
          <w:p w14:paraId="518817FE" w14:textId="77777777" w:rsidR="0085268A" w:rsidRPr="00586267" w:rsidRDefault="0085268A" w:rsidP="00977C46">
            <w:pPr>
              <w:ind w:firstLine="243"/>
              <w:rPr>
                <w:rFonts w:asciiTheme="minorHAnsi" w:hAnsiTheme="minorHAnsi" w:cstheme="minorHAnsi"/>
                <w:color w:val="000000" w:themeColor="text1"/>
                <w:sz w:val="18"/>
                <w:szCs w:val="18"/>
              </w:rPr>
            </w:pPr>
            <w:r w:rsidRPr="00586267">
              <w:rPr>
                <w:rFonts w:asciiTheme="minorHAnsi" w:hAnsiTheme="minorHAnsi" w:cstheme="minorHAnsi"/>
                <w:color w:val="000000" w:themeColor="text1"/>
                <w:sz w:val="18"/>
                <w:szCs w:val="18"/>
              </w:rPr>
              <w:t>40-49 years</w:t>
            </w:r>
          </w:p>
        </w:tc>
        <w:tc>
          <w:tcPr>
            <w:tcW w:w="2402" w:type="dxa"/>
            <w:tcBorders>
              <w:top w:val="nil"/>
              <w:bottom w:val="nil"/>
            </w:tcBorders>
            <w:vAlign w:val="bottom"/>
          </w:tcPr>
          <w:p w14:paraId="6D0D4569"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21</w:t>
            </w:r>
          </w:p>
        </w:tc>
        <w:tc>
          <w:tcPr>
            <w:tcW w:w="2402" w:type="dxa"/>
            <w:tcBorders>
              <w:top w:val="nil"/>
              <w:bottom w:val="nil"/>
            </w:tcBorders>
            <w:vAlign w:val="bottom"/>
          </w:tcPr>
          <w:p w14:paraId="312CBAB1"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22.3</w:t>
            </w:r>
          </w:p>
        </w:tc>
      </w:tr>
      <w:tr w:rsidR="0085268A" w:rsidRPr="00586267" w14:paraId="17EC0770" w14:textId="77777777" w:rsidTr="00FD7E7A">
        <w:trPr>
          <w:trHeight w:val="206"/>
        </w:trPr>
        <w:tc>
          <w:tcPr>
            <w:tcW w:w="4023" w:type="dxa"/>
            <w:tcBorders>
              <w:top w:val="nil"/>
              <w:bottom w:val="nil"/>
            </w:tcBorders>
            <w:vAlign w:val="bottom"/>
          </w:tcPr>
          <w:p w14:paraId="358C3DB8" w14:textId="77777777" w:rsidR="0085268A" w:rsidRPr="00586267" w:rsidRDefault="0085268A" w:rsidP="00977C46">
            <w:pPr>
              <w:ind w:firstLine="243"/>
              <w:rPr>
                <w:rFonts w:asciiTheme="minorHAnsi" w:hAnsiTheme="minorHAnsi" w:cstheme="minorHAnsi"/>
                <w:color w:val="000000" w:themeColor="text1"/>
                <w:sz w:val="18"/>
                <w:szCs w:val="18"/>
              </w:rPr>
            </w:pPr>
            <w:r w:rsidRPr="00586267">
              <w:rPr>
                <w:rFonts w:asciiTheme="minorHAnsi" w:hAnsiTheme="minorHAnsi" w:cstheme="minorHAnsi"/>
                <w:color w:val="000000" w:themeColor="text1"/>
                <w:sz w:val="18"/>
                <w:szCs w:val="18"/>
              </w:rPr>
              <w:t>50-59 years</w:t>
            </w:r>
          </w:p>
        </w:tc>
        <w:tc>
          <w:tcPr>
            <w:tcW w:w="2402" w:type="dxa"/>
            <w:tcBorders>
              <w:top w:val="nil"/>
              <w:bottom w:val="nil"/>
            </w:tcBorders>
            <w:vAlign w:val="bottom"/>
          </w:tcPr>
          <w:p w14:paraId="602897A1"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28</w:t>
            </w:r>
          </w:p>
        </w:tc>
        <w:tc>
          <w:tcPr>
            <w:tcW w:w="2402" w:type="dxa"/>
            <w:tcBorders>
              <w:top w:val="nil"/>
              <w:bottom w:val="nil"/>
            </w:tcBorders>
            <w:vAlign w:val="bottom"/>
          </w:tcPr>
          <w:p w14:paraId="104DE8E3"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29.8</w:t>
            </w:r>
          </w:p>
        </w:tc>
      </w:tr>
      <w:tr w:rsidR="0085268A" w:rsidRPr="00586267" w14:paraId="416E5A5A" w14:textId="77777777" w:rsidTr="00FD7E7A">
        <w:trPr>
          <w:trHeight w:val="206"/>
        </w:trPr>
        <w:tc>
          <w:tcPr>
            <w:tcW w:w="4023" w:type="dxa"/>
            <w:tcBorders>
              <w:top w:val="nil"/>
              <w:bottom w:val="nil"/>
            </w:tcBorders>
            <w:vAlign w:val="bottom"/>
          </w:tcPr>
          <w:p w14:paraId="54E6054A" w14:textId="77777777" w:rsidR="0085268A" w:rsidRPr="00586267" w:rsidRDefault="0085268A" w:rsidP="00977C46">
            <w:pPr>
              <w:ind w:firstLine="243"/>
              <w:rPr>
                <w:rFonts w:asciiTheme="minorHAnsi" w:hAnsiTheme="minorHAnsi" w:cstheme="minorHAnsi"/>
                <w:color w:val="000000" w:themeColor="text1"/>
                <w:sz w:val="18"/>
                <w:szCs w:val="18"/>
              </w:rPr>
            </w:pPr>
            <w:r w:rsidRPr="00586267">
              <w:rPr>
                <w:rFonts w:asciiTheme="minorHAnsi" w:hAnsiTheme="minorHAnsi" w:cstheme="minorHAnsi"/>
                <w:color w:val="000000" w:themeColor="text1"/>
                <w:sz w:val="18"/>
                <w:szCs w:val="18"/>
              </w:rPr>
              <w:t>60-69 years</w:t>
            </w:r>
          </w:p>
        </w:tc>
        <w:tc>
          <w:tcPr>
            <w:tcW w:w="2402" w:type="dxa"/>
            <w:tcBorders>
              <w:top w:val="nil"/>
              <w:bottom w:val="nil"/>
            </w:tcBorders>
            <w:vAlign w:val="bottom"/>
          </w:tcPr>
          <w:p w14:paraId="1765CB2A"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13</w:t>
            </w:r>
          </w:p>
        </w:tc>
        <w:tc>
          <w:tcPr>
            <w:tcW w:w="2402" w:type="dxa"/>
            <w:tcBorders>
              <w:top w:val="nil"/>
              <w:bottom w:val="nil"/>
            </w:tcBorders>
            <w:vAlign w:val="bottom"/>
          </w:tcPr>
          <w:p w14:paraId="372FD796"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13.8</w:t>
            </w:r>
          </w:p>
        </w:tc>
      </w:tr>
      <w:tr w:rsidR="0085268A" w:rsidRPr="00586267" w14:paraId="477CD6C6" w14:textId="77777777" w:rsidTr="00FD7E7A">
        <w:trPr>
          <w:trHeight w:val="206"/>
        </w:trPr>
        <w:tc>
          <w:tcPr>
            <w:tcW w:w="4023" w:type="dxa"/>
            <w:tcBorders>
              <w:top w:val="nil"/>
              <w:bottom w:val="nil"/>
            </w:tcBorders>
            <w:vAlign w:val="bottom"/>
          </w:tcPr>
          <w:p w14:paraId="418D05C3" w14:textId="77777777" w:rsidR="0085268A" w:rsidRPr="00586267" w:rsidRDefault="0085268A" w:rsidP="00977C46">
            <w:pPr>
              <w:ind w:firstLine="243"/>
              <w:rPr>
                <w:rFonts w:asciiTheme="minorHAnsi" w:hAnsiTheme="minorHAnsi" w:cstheme="minorHAnsi"/>
                <w:color w:val="000000" w:themeColor="text1"/>
                <w:sz w:val="18"/>
                <w:szCs w:val="18"/>
              </w:rPr>
            </w:pPr>
            <w:r w:rsidRPr="00586267">
              <w:rPr>
                <w:rFonts w:asciiTheme="minorHAnsi" w:hAnsiTheme="minorHAnsi" w:cstheme="minorHAnsi"/>
                <w:color w:val="000000" w:themeColor="text1"/>
                <w:sz w:val="18"/>
                <w:szCs w:val="18"/>
              </w:rPr>
              <w:t>70-79 years</w:t>
            </w:r>
          </w:p>
        </w:tc>
        <w:tc>
          <w:tcPr>
            <w:tcW w:w="2402" w:type="dxa"/>
            <w:tcBorders>
              <w:top w:val="nil"/>
              <w:bottom w:val="nil"/>
            </w:tcBorders>
            <w:vAlign w:val="bottom"/>
          </w:tcPr>
          <w:p w14:paraId="5A22E63A"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4</w:t>
            </w:r>
          </w:p>
        </w:tc>
        <w:tc>
          <w:tcPr>
            <w:tcW w:w="2402" w:type="dxa"/>
            <w:tcBorders>
              <w:top w:val="nil"/>
              <w:bottom w:val="nil"/>
            </w:tcBorders>
            <w:vAlign w:val="bottom"/>
          </w:tcPr>
          <w:p w14:paraId="07E7177D"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4.3</w:t>
            </w:r>
          </w:p>
        </w:tc>
      </w:tr>
      <w:tr w:rsidR="0085268A" w:rsidRPr="00586267" w14:paraId="1C60297E" w14:textId="77777777" w:rsidTr="00FD7E7A">
        <w:trPr>
          <w:trHeight w:val="206"/>
        </w:trPr>
        <w:tc>
          <w:tcPr>
            <w:tcW w:w="4023" w:type="dxa"/>
            <w:tcBorders>
              <w:top w:val="nil"/>
              <w:bottom w:val="nil"/>
            </w:tcBorders>
            <w:vAlign w:val="bottom"/>
          </w:tcPr>
          <w:p w14:paraId="1B4844E5" w14:textId="77777777" w:rsidR="0085268A" w:rsidRPr="00586267" w:rsidRDefault="0085268A" w:rsidP="00977C46">
            <w:pPr>
              <w:ind w:firstLine="243"/>
              <w:rPr>
                <w:rFonts w:asciiTheme="minorHAnsi" w:hAnsiTheme="minorHAnsi" w:cstheme="minorHAnsi"/>
                <w:color w:val="000000" w:themeColor="text1"/>
                <w:sz w:val="18"/>
                <w:szCs w:val="18"/>
              </w:rPr>
            </w:pPr>
            <w:r w:rsidRPr="00586267">
              <w:rPr>
                <w:rFonts w:asciiTheme="minorHAnsi" w:hAnsiTheme="minorHAnsi" w:cstheme="minorHAnsi"/>
                <w:color w:val="000000" w:themeColor="text1"/>
                <w:sz w:val="18"/>
                <w:szCs w:val="18"/>
              </w:rPr>
              <w:t>80 years or older</w:t>
            </w:r>
          </w:p>
        </w:tc>
        <w:tc>
          <w:tcPr>
            <w:tcW w:w="2402" w:type="dxa"/>
            <w:tcBorders>
              <w:top w:val="nil"/>
              <w:bottom w:val="nil"/>
            </w:tcBorders>
            <w:vAlign w:val="bottom"/>
          </w:tcPr>
          <w:p w14:paraId="3E87CC4C"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1</w:t>
            </w:r>
          </w:p>
        </w:tc>
        <w:tc>
          <w:tcPr>
            <w:tcW w:w="2402" w:type="dxa"/>
            <w:tcBorders>
              <w:top w:val="nil"/>
              <w:bottom w:val="nil"/>
            </w:tcBorders>
            <w:vAlign w:val="bottom"/>
          </w:tcPr>
          <w:p w14:paraId="7AB567E8"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1.1</w:t>
            </w:r>
          </w:p>
        </w:tc>
      </w:tr>
      <w:tr w:rsidR="0085268A" w:rsidRPr="00586267" w14:paraId="3C7EF99E" w14:textId="77777777" w:rsidTr="00FD7E7A">
        <w:trPr>
          <w:trHeight w:val="206"/>
        </w:trPr>
        <w:tc>
          <w:tcPr>
            <w:tcW w:w="4023" w:type="dxa"/>
            <w:tcBorders>
              <w:top w:val="nil"/>
              <w:bottom w:val="single" w:sz="4" w:space="0" w:color="auto"/>
            </w:tcBorders>
            <w:vAlign w:val="bottom"/>
          </w:tcPr>
          <w:p w14:paraId="30248424" w14:textId="77777777" w:rsidR="0085268A" w:rsidRPr="00586267" w:rsidRDefault="0085268A" w:rsidP="00977C46">
            <w:pPr>
              <w:ind w:firstLine="243"/>
              <w:rPr>
                <w:rFonts w:asciiTheme="minorHAnsi" w:hAnsiTheme="minorHAnsi" w:cstheme="minorHAnsi"/>
                <w:color w:val="000000" w:themeColor="text1"/>
                <w:sz w:val="18"/>
                <w:szCs w:val="18"/>
              </w:rPr>
            </w:pPr>
            <w:r w:rsidRPr="00586267">
              <w:rPr>
                <w:rFonts w:asciiTheme="minorHAnsi" w:hAnsiTheme="minorHAnsi" w:cstheme="minorHAnsi"/>
                <w:color w:val="000000" w:themeColor="text1"/>
                <w:sz w:val="18"/>
                <w:szCs w:val="18"/>
              </w:rPr>
              <w:t>Missing</w:t>
            </w:r>
          </w:p>
        </w:tc>
        <w:tc>
          <w:tcPr>
            <w:tcW w:w="2402" w:type="dxa"/>
            <w:tcBorders>
              <w:top w:val="nil"/>
              <w:bottom w:val="single" w:sz="4" w:space="0" w:color="auto"/>
            </w:tcBorders>
            <w:vAlign w:val="bottom"/>
          </w:tcPr>
          <w:p w14:paraId="03EE29DB"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1</w:t>
            </w:r>
          </w:p>
        </w:tc>
        <w:tc>
          <w:tcPr>
            <w:tcW w:w="2402" w:type="dxa"/>
            <w:tcBorders>
              <w:top w:val="nil"/>
              <w:bottom w:val="single" w:sz="4" w:space="0" w:color="auto"/>
            </w:tcBorders>
            <w:vAlign w:val="bottom"/>
          </w:tcPr>
          <w:p w14:paraId="62C862B1"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1.1</w:t>
            </w:r>
          </w:p>
        </w:tc>
      </w:tr>
      <w:tr w:rsidR="0085268A" w:rsidRPr="00586267" w14:paraId="22C2DE40" w14:textId="77777777" w:rsidTr="00FD7E7A">
        <w:trPr>
          <w:trHeight w:val="206"/>
        </w:trPr>
        <w:tc>
          <w:tcPr>
            <w:tcW w:w="4023" w:type="dxa"/>
            <w:tcBorders>
              <w:top w:val="single" w:sz="4" w:space="0" w:color="auto"/>
            </w:tcBorders>
            <w:vAlign w:val="bottom"/>
          </w:tcPr>
          <w:p w14:paraId="6E3AE9A7" w14:textId="77777777" w:rsidR="0085268A" w:rsidRPr="00586267" w:rsidRDefault="0085268A" w:rsidP="00977C46">
            <w:pPr>
              <w:rPr>
                <w:rFonts w:asciiTheme="minorHAnsi" w:hAnsiTheme="minorHAnsi" w:cstheme="minorHAnsi"/>
                <w:b/>
                <w:bCs/>
                <w:color w:val="000000" w:themeColor="text1"/>
                <w:sz w:val="18"/>
                <w:szCs w:val="18"/>
              </w:rPr>
            </w:pPr>
            <w:r w:rsidRPr="00586267">
              <w:rPr>
                <w:rFonts w:asciiTheme="minorHAnsi" w:hAnsiTheme="minorHAnsi" w:cstheme="minorHAnsi"/>
                <w:b/>
                <w:bCs/>
                <w:color w:val="000000" w:themeColor="text1"/>
                <w:sz w:val="18"/>
                <w:szCs w:val="18"/>
              </w:rPr>
              <w:t xml:space="preserve">Indigenous status </w:t>
            </w:r>
          </w:p>
        </w:tc>
        <w:tc>
          <w:tcPr>
            <w:tcW w:w="2402" w:type="dxa"/>
            <w:tcBorders>
              <w:top w:val="single" w:sz="4" w:space="0" w:color="auto"/>
            </w:tcBorders>
          </w:tcPr>
          <w:p w14:paraId="6522A1E7" w14:textId="77777777" w:rsidR="0085268A" w:rsidRPr="00586267" w:rsidRDefault="0085268A" w:rsidP="00977C46">
            <w:pPr>
              <w:jc w:val="center"/>
              <w:rPr>
                <w:rFonts w:asciiTheme="minorHAnsi" w:hAnsiTheme="minorHAnsi" w:cstheme="minorHAnsi"/>
                <w:color w:val="000000" w:themeColor="text1"/>
                <w:sz w:val="18"/>
                <w:szCs w:val="18"/>
              </w:rPr>
            </w:pPr>
          </w:p>
        </w:tc>
        <w:tc>
          <w:tcPr>
            <w:tcW w:w="2402" w:type="dxa"/>
            <w:tcBorders>
              <w:top w:val="single" w:sz="4" w:space="0" w:color="auto"/>
            </w:tcBorders>
          </w:tcPr>
          <w:p w14:paraId="7CAA0D08" w14:textId="77777777" w:rsidR="0085268A" w:rsidRPr="00586267" w:rsidRDefault="0085268A" w:rsidP="00977C46">
            <w:pPr>
              <w:jc w:val="center"/>
              <w:rPr>
                <w:rFonts w:asciiTheme="minorHAnsi" w:hAnsiTheme="minorHAnsi" w:cstheme="minorHAnsi"/>
                <w:color w:val="000000" w:themeColor="text1"/>
                <w:sz w:val="18"/>
                <w:szCs w:val="18"/>
              </w:rPr>
            </w:pPr>
          </w:p>
        </w:tc>
      </w:tr>
      <w:tr w:rsidR="0085268A" w:rsidRPr="00586267" w14:paraId="5C5352B2" w14:textId="77777777">
        <w:trPr>
          <w:trHeight w:val="206"/>
        </w:trPr>
        <w:tc>
          <w:tcPr>
            <w:tcW w:w="4023" w:type="dxa"/>
            <w:vAlign w:val="bottom"/>
          </w:tcPr>
          <w:p w14:paraId="28D4F7EC" w14:textId="77777777" w:rsidR="0085268A" w:rsidRPr="00586267" w:rsidRDefault="0085268A" w:rsidP="00977C46">
            <w:pPr>
              <w:ind w:firstLine="243"/>
              <w:rPr>
                <w:rFonts w:asciiTheme="minorHAnsi" w:hAnsiTheme="minorHAnsi" w:cstheme="minorHAnsi"/>
                <w:color w:val="000000" w:themeColor="text1"/>
                <w:sz w:val="18"/>
                <w:szCs w:val="18"/>
              </w:rPr>
            </w:pPr>
            <w:r w:rsidRPr="00586267">
              <w:rPr>
                <w:rFonts w:asciiTheme="minorHAnsi" w:hAnsiTheme="minorHAnsi" w:cstheme="minorHAnsi"/>
                <w:color w:val="000000" w:themeColor="text1"/>
                <w:sz w:val="18"/>
                <w:szCs w:val="18"/>
              </w:rPr>
              <w:t>Aboriginal</w:t>
            </w:r>
          </w:p>
        </w:tc>
        <w:tc>
          <w:tcPr>
            <w:tcW w:w="2402" w:type="dxa"/>
            <w:vAlign w:val="bottom"/>
          </w:tcPr>
          <w:p w14:paraId="0D37D4D5"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2</w:t>
            </w:r>
          </w:p>
        </w:tc>
        <w:tc>
          <w:tcPr>
            <w:tcW w:w="2402" w:type="dxa"/>
            <w:vAlign w:val="bottom"/>
          </w:tcPr>
          <w:p w14:paraId="31EC966B"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2.1</w:t>
            </w:r>
          </w:p>
        </w:tc>
      </w:tr>
      <w:tr w:rsidR="0085268A" w:rsidRPr="00586267" w14:paraId="36922B48" w14:textId="77777777">
        <w:trPr>
          <w:trHeight w:val="206"/>
        </w:trPr>
        <w:tc>
          <w:tcPr>
            <w:tcW w:w="4023" w:type="dxa"/>
            <w:vAlign w:val="bottom"/>
          </w:tcPr>
          <w:p w14:paraId="03986FFA" w14:textId="77777777" w:rsidR="0085268A" w:rsidRPr="00586267" w:rsidRDefault="0085268A" w:rsidP="00977C46">
            <w:pPr>
              <w:ind w:firstLine="243"/>
              <w:rPr>
                <w:rFonts w:asciiTheme="minorHAnsi" w:hAnsiTheme="minorHAnsi" w:cstheme="minorHAnsi"/>
                <w:color w:val="000000" w:themeColor="text1"/>
                <w:sz w:val="18"/>
                <w:szCs w:val="18"/>
              </w:rPr>
            </w:pPr>
            <w:r w:rsidRPr="00586267">
              <w:rPr>
                <w:rFonts w:asciiTheme="minorHAnsi" w:hAnsiTheme="minorHAnsi" w:cstheme="minorHAnsi"/>
                <w:color w:val="000000" w:themeColor="text1"/>
                <w:sz w:val="18"/>
                <w:szCs w:val="18"/>
              </w:rPr>
              <w:t>Torres Strait Islander</w:t>
            </w:r>
          </w:p>
        </w:tc>
        <w:tc>
          <w:tcPr>
            <w:tcW w:w="2402" w:type="dxa"/>
            <w:vAlign w:val="bottom"/>
          </w:tcPr>
          <w:p w14:paraId="0A0C8039"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00000"/>
                <w:sz w:val="18"/>
                <w:szCs w:val="18"/>
              </w:rPr>
              <w:t>0</w:t>
            </w:r>
          </w:p>
        </w:tc>
        <w:tc>
          <w:tcPr>
            <w:tcW w:w="2402" w:type="dxa"/>
            <w:vAlign w:val="bottom"/>
          </w:tcPr>
          <w:p w14:paraId="1C9FB93D"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0.0</w:t>
            </w:r>
          </w:p>
        </w:tc>
      </w:tr>
      <w:tr w:rsidR="0085268A" w:rsidRPr="00586267" w14:paraId="357E4AB1" w14:textId="77777777">
        <w:trPr>
          <w:trHeight w:val="206"/>
        </w:trPr>
        <w:tc>
          <w:tcPr>
            <w:tcW w:w="4023" w:type="dxa"/>
            <w:vAlign w:val="bottom"/>
          </w:tcPr>
          <w:p w14:paraId="209345FF" w14:textId="77777777" w:rsidR="0085268A" w:rsidRPr="00586267" w:rsidRDefault="0085268A" w:rsidP="00977C46">
            <w:pPr>
              <w:ind w:firstLine="243"/>
              <w:rPr>
                <w:rFonts w:asciiTheme="minorHAnsi" w:hAnsiTheme="minorHAnsi" w:cstheme="minorHAnsi"/>
                <w:color w:val="000000" w:themeColor="text1"/>
                <w:sz w:val="18"/>
                <w:szCs w:val="18"/>
              </w:rPr>
            </w:pPr>
            <w:r w:rsidRPr="00586267">
              <w:rPr>
                <w:rFonts w:asciiTheme="minorHAnsi" w:hAnsiTheme="minorHAnsi" w:cstheme="minorHAnsi"/>
                <w:color w:val="000000" w:themeColor="text1"/>
                <w:sz w:val="18"/>
                <w:szCs w:val="18"/>
              </w:rPr>
              <w:t>Both Aboriginal and Torres Strait Islander</w:t>
            </w:r>
          </w:p>
        </w:tc>
        <w:tc>
          <w:tcPr>
            <w:tcW w:w="2402" w:type="dxa"/>
            <w:vAlign w:val="bottom"/>
          </w:tcPr>
          <w:p w14:paraId="4CF0FD23"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00000"/>
                <w:sz w:val="18"/>
                <w:szCs w:val="18"/>
              </w:rPr>
              <w:t>0</w:t>
            </w:r>
          </w:p>
        </w:tc>
        <w:tc>
          <w:tcPr>
            <w:tcW w:w="2402" w:type="dxa"/>
            <w:vAlign w:val="bottom"/>
          </w:tcPr>
          <w:p w14:paraId="542BF5B7"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0.0</w:t>
            </w:r>
          </w:p>
        </w:tc>
      </w:tr>
      <w:tr w:rsidR="0085268A" w:rsidRPr="00586267" w14:paraId="08A46240" w14:textId="77777777" w:rsidTr="00FD7E7A">
        <w:trPr>
          <w:trHeight w:val="206"/>
        </w:trPr>
        <w:tc>
          <w:tcPr>
            <w:tcW w:w="4023" w:type="dxa"/>
            <w:tcBorders>
              <w:bottom w:val="nil"/>
            </w:tcBorders>
            <w:vAlign w:val="bottom"/>
          </w:tcPr>
          <w:p w14:paraId="490440A4" w14:textId="77777777" w:rsidR="0085268A" w:rsidRPr="00586267" w:rsidRDefault="0085268A" w:rsidP="00977C46">
            <w:pPr>
              <w:ind w:firstLine="243"/>
              <w:rPr>
                <w:rFonts w:asciiTheme="minorHAnsi" w:hAnsiTheme="minorHAnsi" w:cstheme="minorHAnsi"/>
                <w:color w:val="000000" w:themeColor="text1"/>
                <w:sz w:val="18"/>
                <w:szCs w:val="18"/>
              </w:rPr>
            </w:pPr>
            <w:r w:rsidRPr="00586267">
              <w:rPr>
                <w:rFonts w:asciiTheme="minorHAnsi" w:hAnsiTheme="minorHAnsi" w:cstheme="minorHAnsi"/>
                <w:color w:val="000000" w:themeColor="text1"/>
                <w:sz w:val="18"/>
                <w:szCs w:val="18"/>
              </w:rPr>
              <w:t>Neither Aboriginal nor Torres Strait Islander</w:t>
            </w:r>
          </w:p>
        </w:tc>
        <w:tc>
          <w:tcPr>
            <w:tcW w:w="2402" w:type="dxa"/>
            <w:tcBorders>
              <w:bottom w:val="nil"/>
            </w:tcBorders>
            <w:vAlign w:val="bottom"/>
          </w:tcPr>
          <w:p w14:paraId="4330B356"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88</w:t>
            </w:r>
          </w:p>
        </w:tc>
        <w:tc>
          <w:tcPr>
            <w:tcW w:w="2402" w:type="dxa"/>
            <w:tcBorders>
              <w:bottom w:val="nil"/>
            </w:tcBorders>
            <w:vAlign w:val="bottom"/>
          </w:tcPr>
          <w:p w14:paraId="3E5CC954"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93.6</w:t>
            </w:r>
          </w:p>
        </w:tc>
      </w:tr>
      <w:tr w:rsidR="0085268A" w:rsidRPr="00586267" w14:paraId="207933E6" w14:textId="77777777" w:rsidTr="00FD7E7A">
        <w:trPr>
          <w:trHeight w:val="194"/>
        </w:trPr>
        <w:tc>
          <w:tcPr>
            <w:tcW w:w="4023" w:type="dxa"/>
            <w:tcBorders>
              <w:top w:val="nil"/>
              <w:bottom w:val="single" w:sz="4" w:space="0" w:color="auto"/>
            </w:tcBorders>
            <w:vAlign w:val="bottom"/>
          </w:tcPr>
          <w:p w14:paraId="2559F6B6" w14:textId="77777777" w:rsidR="0085268A" w:rsidRPr="00586267" w:rsidRDefault="0085268A" w:rsidP="00977C46">
            <w:pPr>
              <w:ind w:firstLine="243"/>
              <w:rPr>
                <w:rFonts w:asciiTheme="minorHAnsi" w:hAnsiTheme="minorHAnsi" w:cstheme="minorHAnsi"/>
                <w:color w:val="000000" w:themeColor="text1"/>
                <w:sz w:val="18"/>
                <w:szCs w:val="18"/>
              </w:rPr>
            </w:pPr>
            <w:r w:rsidRPr="00586267">
              <w:rPr>
                <w:rFonts w:asciiTheme="minorHAnsi" w:hAnsiTheme="minorHAnsi" w:cstheme="minorHAnsi"/>
                <w:color w:val="000000" w:themeColor="text1"/>
                <w:sz w:val="18"/>
                <w:szCs w:val="18"/>
              </w:rPr>
              <w:t>Missing</w:t>
            </w:r>
          </w:p>
        </w:tc>
        <w:tc>
          <w:tcPr>
            <w:tcW w:w="2402" w:type="dxa"/>
            <w:tcBorders>
              <w:top w:val="nil"/>
              <w:bottom w:val="single" w:sz="4" w:space="0" w:color="auto"/>
            </w:tcBorders>
            <w:vAlign w:val="bottom"/>
          </w:tcPr>
          <w:p w14:paraId="075A6635"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4</w:t>
            </w:r>
          </w:p>
        </w:tc>
        <w:tc>
          <w:tcPr>
            <w:tcW w:w="2402" w:type="dxa"/>
            <w:tcBorders>
              <w:top w:val="nil"/>
              <w:bottom w:val="single" w:sz="4" w:space="0" w:color="auto"/>
            </w:tcBorders>
            <w:vAlign w:val="bottom"/>
          </w:tcPr>
          <w:p w14:paraId="320FBAAC"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4.3</w:t>
            </w:r>
          </w:p>
        </w:tc>
      </w:tr>
      <w:tr w:rsidR="0085268A" w:rsidRPr="00586267" w14:paraId="2D977436" w14:textId="77777777" w:rsidTr="00FD7E7A">
        <w:trPr>
          <w:trHeight w:val="206"/>
        </w:trPr>
        <w:tc>
          <w:tcPr>
            <w:tcW w:w="4023" w:type="dxa"/>
            <w:tcBorders>
              <w:top w:val="single" w:sz="4" w:space="0" w:color="auto"/>
            </w:tcBorders>
            <w:vAlign w:val="bottom"/>
          </w:tcPr>
          <w:p w14:paraId="64C8C91B" w14:textId="77777777" w:rsidR="0085268A" w:rsidRPr="00586267" w:rsidRDefault="0085268A" w:rsidP="00977C46">
            <w:pPr>
              <w:rPr>
                <w:rFonts w:asciiTheme="minorHAnsi" w:hAnsiTheme="minorHAnsi" w:cstheme="minorHAnsi"/>
                <w:b/>
                <w:bCs/>
                <w:color w:val="000000" w:themeColor="text1"/>
                <w:sz w:val="18"/>
                <w:szCs w:val="18"/>
              </w:rPr>
            </w:pPr>
            <w:r w:rsidRPr="00586267">
              <w:rPr>
                <w:rFonts w:asciiTheme="minorHAnsi" w:hAnsiTheme="minorHAnsi" w:cstheme="minorHAnsi"/>
                <w:b/>
                <w:bCs/>
                <w:color w:val="000000" w:themeColor="text1"/>
                <w:sz w:val="18"/>
                <w:szCs w:val="18"/>
              </w:rPr>
              <w:t>State</w:t>
            </w:r>
          </w:p>
        </w:tc>
        <w:tc>
          <w:tcPr>
            <w:tcW w:w="2402" w:type="dxa"/>
            <w:tcBorders>
              <w:top w:val="single" w:sz="4" w:space="0" w:color="auto"/>
            </w:tcBorders>
          </w:tcPr>
          <w:p w14:paraId="05D806C0" w14:textId="77777777" w:rsidR="0085268A" w:rsidRPr="00586267" w:rsidRDefault="0085268A" w:rsidP="00977C46">
            <w:pPr>
              <w:jc w:val="center"/>
              <w:rPr>
                <w:rFonts w:asciiTheme="minorHAnsi" w:hAnsiTheme="minorHAnsi" w:cstheme="minorHAnsi"/>
                <w:color w:val="000000" w:themeColor="text1"/>
                <w:sz w:val="18"/>
                <w:szCs w:val="18"/>
              </w:rPr>
            </w:pPr>
          </w:p>
        </w:tc>
        <w:tc>
          <w:tcPr>
            <w:tcW w:w="2402" w:type="dxa"/>
            <w:tcBorders>
              <w:top w:val="single" w:sz="4" w:space="0" w:color="auto"/>
            </w:tcBorders>
          </w:tcPr>
          <w:p w14:paraId="4B87A37B" w14:textId="77777777" w:rsidR="0085268A" w:rsidRPr="00586267" w:rsidRDefault="0085268A" w:rsidP="00977C46">
            <w:pPr>
              <w:jc w:val="center"/>
              <w:rPr>
                <w:rFonts w:asciiTheme="minorHAnsi" w:hAnsiTheme="minorHAnsi" w:cstheme="minorHAnsi"/>
                <w:color w:val="000000" w:themeColor="text1"/>
                <w:sz w:val="18"/>
                <w:szCs w:val="18"/>
              </w:rPr>
            </w:pPr>
          </w:p>
        </w:tc>
      </w:tr>
      <w:tr w:rsidR="0085268A" w:rsidRPr="00586267" w14:paraId="28334C61" w14:textId="77777777">
        <w:trPr>
          <w:trHeight w:val="206"/>
        </w:trPr>
        <w:tc>
          <w:tcPr>
            <w:tcW w:w="4023" w:type="dxa"/>
            <w:vAlign w:val="bottom"/>
          </w:tcPr>
          <w:p w14:paraId="2651FCE2" w14:textId="77777777" w:rsidR="0085268A" w:rsidRPr="00586267" w:rsidRDefault="0085268A" w:rsidP="00977C46">
            <w:pPr>
              <w:ind w:firstLine="243"/>
              <w:rPr>
                <w:rFonts w:asciiTheme="minorHAnsi" w:hAnsiTheme="minorHAnsi" w:cstheme="minorHAnsi"/>
                <w:color w:val="000000" w:themeColor="text1"/>
                <w:sz w:val="18"/>
                <w:szCs w:val="18"/>
              </w:rPr>
            </w:pPr>
            <w:r w:rsidRPr="00586267">
              <w:rPr>
                <w:rFonts w:asciiTheme="minorHAnsi" w:hAnsiTheme="minorHAnsi" w:cstheme="minorHAnsi"/>
                <w:color w:val="000000"/>
                <w:sz w:val="18"/>
                <w:szCs w:val="18"/>
              </w:rPr>
              <w:t>Northern Territory</w:t>
            </w:r>
          </w:p>
        </w:tc>
        <w:tc>
          <w:tcPr>
            <w:tcW w:w="2402" w:type="dxa"/>
            <w:vAlign w:val="bottom"/>
          </w:tcPr>
          <w:p w14:paraId="325F2599"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00000"/>
                <w:sz w:val="18"/>
                <w:szCs w:val="18"/>
              </w:rPr>
              <w:t>1</w:t>
            </w:r>
          </w:p>
        </w:tc>
        <w:tc>
          <w:tcPr>
            <w:tcW w:w="2402" w:type="dxa"/>
            <w:vAlign w:val="bottom"/>
          </w:tcPr>
          <w:p w14:paraId="07321A9A"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1.1</w:t>
            </w:r>
          </w:p>
        </w:tc>
      </w:tr>
      <w:tr w:rsidR="0085268A" w:rsidRPr="00586267" w14:paraId="1EB57C3A" w14:textId="77777777">
        <w:trPr>
          <w:trHeight w:val="206"/>
        </w:trPr>
        <w:tc>
          <w:tcPr>
            <w:tcW w:w="4023" w:type="dxa"/>
            <w:vAlign w:val="bottom"/>
          </w:tcPr>
          <w:p w14:paraId="5305F530" w14:textId="77777777" w:rsidR="0085268A" w:rsidRPr="00586267" w:rsidRDefault="0085268A" w:rsidP="00977C46">
            <w:pPr>
              <w:ind w:firstLine="243"/>
              <w:rPr>
                <w:rFonts w:asciiTheme="minorHAnsi" w:hAnsiTheme="minorHAnsi" w:cstheme="minorHAnsi"/>
                <w:color w:val="000000" w:themeColor="text1"/>
                <w:sz w:val="18"/>
                <w:szCs w:val="18"/>
              </w:rPr>
            </w:pPr>
            <w:r w:rsidRPr="00586267">
              <w:rPr>
                <w:rFonts w:asciiTheme="minorHAnsi" w:hAnsiTheme="minorHAnsi" w:cstheme="minorHAnsi"/>
                <w:color w:val="000000"/>
                <w:sz w:val="18"/>
                <w:szCs w:val="18"/>
              </w:rPr>
              <w:t>Australian Capital Territory</w:t>
            </w:r>
          </w:p>
        </w:tc>
        <w:tc>
          <w:tcPr>
            <w:tcW w:w="2402" w:type="dxa"/>
            <w:vAlign w:val="bottom"/>
          </w:tcPr>
          <w:p w14:paraId="269C0503"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00000"/>
                <w:sz w:val="18"/>
                <w:szCs w:val="18"/>
              </w:rPr>
              <w:t>1</w:t>
            </w:r>
          </w:p>
        </w:tc>
        <w:tc>
          <w:tcPr>
            <w:tcW w:w="2402" w:type="dxa"/>
            <w:vAlign w:val="bottom"/>
          </w:tcPr>
          <w:p w14:paraId="4A78FE02"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1.1</w:t>
            </w:r>
          </w:p>
        </w:tc>
      </w:tr>
      <w:tr w:rsidR="0085268A" w:rsidRPr="00586267" w14:paraId="0D101C33" w14:textId="77777777">
        <w:trPr>
          <w:trHeight w:val="206"/>
        </w:trPr>
        <w:tc>
          <w:tcPr>
            <w:tcW w:w="4023" w:type="dxa"/>
            <w:vAlign w:val="bottom"/>
          </w:tcPr>
          <w:p w14:paraId="336B8D52" w14:textId="77777777" w:rsidR="0085268A" w:rsidRPr="00586267" w:rsidRDefault="0085268A" w:rsidP="00977C46">
            <w:pPr>
              <w:ind w:firstLine="243"/>
              <w:rPr>
                <w:rFonts w:asciiTheme="minorHAnsi" w:hAnsiTheme="minorHAnsi" w:cstheme="minorHAnsi"/>
                <w:color w:val="000000" w:themeColor="text1"/>
                <w:sz w:val="18"/>
                <w:szCs w:val="18"/>
              </w:rPr>
            </w:pPr>
            <w:r w:rsidRPr="00586267">
              <w:rPr>
                <w:rFonts w:asciiTheme="minorHAnsi" w:hAnsiTheme="minorHAnsi" w:cstheme="minorHAnsi"/>
                <w:color w:val="000000"/>
                <w:sz w:val="18"/>
                <w:szCs w:val="18"/>
              </w:rPr>
              <w:t>New South Wales</w:t>
            </w:r>
          </w:p>
        </w:tc>
        <w:tc>
          <w:tcPr>
            <w:tcW w:w="2402" w:type="dxa"/>
            <w:vAlign w:val="bottom"/>
          </w:tcPr>
          <w:p w14:paraId="40194ADF"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00000"/>
                <w:sz w:val="18"/>
                <w:szCs w:val="18"/>
              </w:rPr>
              <w:t>28</w:t>
            </w:r>
          </w:p>
        </w:tc>
        <w:tc>
          <w:tcPr>
            <w:tcW w:w="2402" w:type="dxa"/>
            <w:vAlign w:val="bottom"/>
          </w:tcPr>
          <w:p w14:paraId="255A1CD0"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29.8</w:t>
            </w:r>
          </w:p>
        </w:tc>
      </w:tr>
      <w:tr w:rsidR="0085268A" w:rsidRPr="00586267" w14:paraId="02FEFF5E" w14:textId="77777777">
        <w:trPr>
          <w:trHeight w:val="206"/>
        </w:trPr>
        <w:tc>
          <w:tcPr>
            <w:tcW w:w="4023" w:type="dxa"/>
            <w:vAlign w:val="bottom"/>
          </w:tcPr>
          <w:p w14:paraId="3E1692B1" w14:textId="77777777" w:rsidR="0085268A" w:rsidRPr="00586267" w:rsidRDefault="0085268A" w:rsidP="00977C46">
            <w:pPr>
              <w:ind w:firstLine="243"/>
              <w:rPr>
                <w:rFonts w:asciiTheme="minorHAnsi" w:hAnsiTheme="minorHAnsi" w:cstheme="minorHAnsi"/>
                <w:color w:val="000000" w:themeColor="text1"/>
                <w:sz w:val="18"/>
                <w:szCs w:val="18"/>
              </w:rPr>
            </w:pPr>
            <w:r w:rsidRPr="00586267">
              <w:rPr>
                <w:rFonts w:asciiTheme="minorHAnsi" w:hAnsiTheme="minorHAnsi" w:cstheme="minorHAnsi"/>
                <w:color w:val="000000"/>
                <w:sz w:val="18"/>
                <w:szCs w:val="18"/>
              </w:rPr>
              <w:t>Victoria</w:t>
            </w:r>
          </w:p>
        </w:tc>
        <w:tc>
          <w:tcPr>
            <w:tcW w:w="2402" w:type="dxa"/>
            <w:vAlign w:val="bottom"/>
          </w:tcPr>
          <w:p w14:paraId="030652B1"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00000"/>
                <w:sz w:val="18"/>
                <w:szCs w:val="18"/>
              </w:rPr>
              <w:t>28</w:t>
            </w:r>
          </w:p>
        </w:tc>
        <w:tc>
          <w:tcPr>
            <w:tcW w:w="2402" w:type="dxa"/>
            <w:vAlign w:val="bottom"/>
          </w:tcPr>
          <w:p w14:paraId="249F013B"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29.8</w:t>
            </w:r>
          </w:p>
        </w:tc>
      </w:tr>
      <w:tr w:rsidR="0085268A" w:rsidRPr="00586267" w14:paraId="7DFBFFF2" w14:textId="77777777">
        <w:trPr>
          <w:trHeight w:val="206"/>
        </w:trPr>
        <w:tc>
          <w:tcPr>
            <w:tcW w:w="4023" w:type="dxa"/>
            <w:vAlign w:val="bottom"/>
          </w:tcPr>
          <w:p w14:paraId="0B9775D8" w14:textId="77777777" w:rsidR="0085268A" w:rsidRPr="00586267" w:rsidRDefault="0085268A" w:rsidP="00977C46">
            <w:pPr>
              <w:ind w:firstLine="243"/>
              <w:rPr>
                <w:rFonts w:asciiTheme="minorHAnsi" w:hAnsiTheme="minorHAnsi" w:cstheme="minorHAnsi"/>
                <w:color w:val="000000" w:themeColor="text1"/>
                <w:sz w:val="18"/>
                <w:szCs w:val="18"/>
              </w:rPr>
            </w:pPr>
            <w:r w:rsidRPr="00586267">
              <w:rPr>
                <w:rFonts w:asciiTheme="minorHAnsi" w:hAnsiTheme="minorHAnsi" w:cstheme="minorHAnsi"/>
                <w:color w:val="000000"/>
                <w:sz w:val="18"/>
                <w:szCs w:val="18"/>
              </w:rPr>
              <w:t>Queensland</w:t>
            </w:r>
          </w:p>
        </w:tc>
        <w:tc>
          <w:tcPr>
            <w:tcW w:w="2402" w:type="dxa"/>
            <w:vAlign w:val="bottom"/>
          </w:tcPr>
          <w:p w14:paraId="4C9097E4"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00000"/>
                <w:sz w:val="18"/>
                <w:szCs w:val="18"/>
              </w:rPr>
              <w:t>11</w:t>
            </w:r>
          </w:p>
        </w:tc>
        <w:tc>
          <w:tcPr>
            <w:tcW w:w="2402" w:type="dxa"/>
            <w:vAlign w:val="bottom"/>
          </w:tcPr>
          <w:p w14:paraId="621FEE0B"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11.7</w:t>
            </w:r>
          </w:p>
        </w:tc>
      </w:tr>
      <w:tr w:rsidR="0085268A" w:rsidRPr="00586267" w14:paraId="7DC9191C" w14:textId="77777777">
        <w:trPr>
          <w:trHeight w:val="206"/>
        </w:trPr>
        <w:tc>
          <w:tcPr>
            <w:tcW w:w="4023" w:type="dxa"/>
            <w:vAlign w:val="bottom"/>
          </w:tcPr>
          <w:p w14:paraId="4796F2F4" w14:textId="77777777" w:rsidR="0085268A" w:rsidRPr="00586267" w:rsidRDefault="0085268A" w:rsidP="00977C46">
            <w:pPr>
              <w:ind w:firstLine="243"/>
              <w:rPr>
                <w:rFonts w:asciiTheme="minorHAnsi" w:hAnsiTheme="minorHAnsi" w:cstheme="minorHAnsi"/>
                <w:color w:val="000000" w:themeColor="text1"/>
                <w:sz w:val="18"/>
                <w:szCs w:val="18"/>
              </w:rPr>
            </w:pPr>
            <w:r w:rsidRPr="00586267">
              <w:rPr>
                <w:rFonts w:asciiTheme="minorHAnsi" w:hAnsiTheme="minorHAnsi" w:cstheme="minorHAnsi"/>
                <w:color w:val="000000"/>
                <w:sz w:val="18"/>
                <w:szCs w:val="18"/>
              </w:rPr>
              <w:t>South Australia</w:t>
            </w:r>
          </w:p>
        </w:tc>
        <w:tc>
          <w:tcPr>
            <w:tcW w:w="2402" w:type="dxa"/>
            <w:vAlign w:val="bottom"/>
          </w:tcPr>
          <w:p w14:paraId="04F36737"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00000"/>
                <w:sz w:val="18"/>
                <w:szCs w:val="18"/>
              </w:rPr>
              <w:t>5</w:t>
            </w:r>
          </w:p>
        </w:tc>
        <w:tc>
          <w:tcPr>
            <w:tcW w:w="2402" w:type="dxa"/>
            <w:vAlign w:val="bottom"/>
          </w:tcPr>
          <w:p w14:paraId="08CB6407"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5.3</w:t>
            </w:r>
          </w:p>
        </w:tc>
      </w:tr>
      <w:tr w:rsidR="0085268A" w:rsidRPr="00586267" w14:paraId="52F1B2A7" w14:textId="77777777">
        <w:trPr>
          <w:trHeight w:val="206"/>
        </w:trPr>
        <w:tc>
          <w:tcPr>
            <w:tcW w:w="4023" w:type="dxa"/>
            <w:vAlign w:val="bottom"/>
          </w:tcPr>
          <w:p w14:paraId="26D54CB2" w14:textId="77777777" w:rsidR="0085268A" w:rsidRPr="00586267" w:rsidRDefault="0085268A" w:rsidP="00977C46">
            <w:pPr>
              <w:ind w:firstLine="243"/>
              <w:rPr>
                <w:rFonts w:asciiTheme="minorHAnsi" w:hAnsiTheme="minorHAnsi" w:cstheme="minorHAnsi"/>
                <w:color w:val="000000" w:themeColor="text1"/>
                <w:sz w:val="18"/>
                <w:szCs w:val="18"/>
              </w:rPr>
            </w:pPr>
            <w:r w:rsidRPr="00586267">
              <w:rPr>
                <w:rFonts w:asciiTheme="minorHAnsi" w:hAnsiTheme="minorHAnsi" w:cstheme="minorHAnsi"/>
                <w:color w:val="000000"/>
                <w:sz w:val="18"/>
                <w:szCs w:val="18"/>
              </w:rPr>
              <w:t>Western Australia</w:t>
            </w:r>
          </w:p>
        </w:tc>
        <w:tc>
          <w:tcPr>
            <w:tcW w:w="2402" w:type="dxa"/>
            <w:vAlign w:val="bottom"/>
          </w:tcPr>
          <w:p w14:paraId="5FEC1683"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00000"/>
                <w:sz w:val="18"/>
                <w:szCs w:val="18"/>
              </w:rPr>
              <w:t>15</w:t>
            </w:r>
          </w:p>
        </w:tc>
        <w:tc>
          <w:tcPr>
            <w:tcW w:w="2402" w:type="dxa"/>
            <w:vAlign w:val="bottom"/>
          </w:tcPr>
          <w:p w14:paraId="7F289539" w14:textId="77777777" w:rsidR="0085268A" w:rsidRPr="00586267" w:rsidRDefault="0085268A" w:rsidP="00977C46">
            <w:pPr>
              <w:jc w:val="center"/>
              <w:rPr>
                <w:rFonts w:asciiTheme="minorHAnsi" w:hAnsiTheme="minorHAnsi" w:cstheme="minorHAnsi"/>
                <w:color w:val="000000" w:themeColor="text1"/>
                <w:sz w:val="18"/>
                <w:szCs w:val="18"/>
              </w:rPr>
            </w:pPr>
            <w:r w:rsidRPr="00586267">
              <w:rPr>
                <w:rFonts w:asciiTheme="minorHAnsi" w:hAnsiTheme="minorHAnsi" w:cstheme="minorHAnsi"/>
                <w:color w:val="010205"/>
                <w:sz w:val="18"/>
                <w:szCs w:val="18"/>
              </w:rPr>
              <w:t>16.0</w:t>
            </w:r>
          </w:p>
        </w:tc>
      </w:tr>
      <w:tr w:rsidR="0085268A" w:rsidRPr="00586267" w14:paraId="517A73D8" w14:textId="77777777">
        <w:trPr>
          <w:trHeight w:val="206"/>
        </w:trPr>
        <w:tc>
          <w:tcPr>
            <w:tcW w:w="4023" w:type="dxa"/>
            <w:vAlign w:val="bottom"/>
          </w:tcPr>
          <w:p w14:paraId="1D5F8FC1" w14:textId="77777777" w:rsidR="0085268A" w:rsidRDefault="0085268A" w:rsidP="00977C46">
            <w:pPr>
              <w:ind w:firstLine="243"/>
              <w:rPr>
                <w:rFonts w:asciiTheme="minorHAnsi" w:hAnsiTheme="minorHAnsi" w:cstheme="minorHAnsi"/>
                <w:color w:val="000000"/>
                <w:sz w:val="18"/>
                <w:szCs w:val="18"/>
              </w:rPr>
            </w:pPr>
            <w:r w:rsidRPr="00586267">
              <w:rPr>
                <w:rFonts w:asciiTheme="minorHAnsi" w:hAnsiTheme="minorHAnsi" w:cstheme="minorHAnsi"/>
                <w:color w:val="000000"/>
                <w:sz w:val="18"/>
                <w:szCs w:val="18"/>
              </w:rPr>
              <w:t>Tasmania</w:t>
            </w:r>
          </w:p>
          <w:p w14:paraId="761AA5D8" w14:textId="77777777" w:rsidR="0085268A" w:rsidRPr="00586267" w:rsidRDefault="0085268A" w:rsidP="00977C46">
            <w:pPr>
              <w:ind w:firstLine="243"/>
              <w:rPr>
                <w:rFonts w:asciiTheme="minorHAnsi" w:hAnsiTheme="minorHAnsi" w:cstheme="minorHAnsi"/>
                <w:color w:val="000000" w:themeColor="text1"/>
                <w:sz w:val="18"/>
                <w:szCs w:val="18"/>
              </w:rPr>
            </w:pPr>
            <w:r>
              <w:rPr>
                <w:rFonts w:asciiTheme="minorHAnsi" w:hAnsiTheme="minorHAnsi" w:cstheme="minorHAnsi"/>
                <w:color w:val="000000"/>
                <w:sz w:val="18"/>
                <w:szCs w:val="18"/>
              </w:rPr>
              <w:lastRenderedPageBreak/>
              <w:t>Missing</w:t>
            </w:r>
          </w:p>
        </w:tc>
        <w:tc>
          <w:tcPr>
            <w:tcW w:w="2402" w:type="dxa"/>
            <w:vAlign w:val="bottom"/>
          </w:tcPr>
          <w:p w14:paraId="77593B4A" w14:textId="77777777" w:rsidR="0085268A" w:rsidRDefault="0085268A" w:rsidP="00977C46">
            <w:pPr>
              <w:jc w:val="center"/>
              <w:rPr>
                <w:rFonts w:asciiTheme="minorHAnsi" w:hAnsiTheme="minorHAnsi" w:cstheme="minorHAnsi"/>
                <w:color w:val="000000"/>
                <w:sz w:val="18"/>
                <w:szCs w:val="18"/>
              </w:rPr>
            </w:pPr>
            <w:r w:rsidRPr="00586267">
              <w:rPr>
                <w:rFonts w:asciiTheme="minorHAnsi" w:hAnsiTheme="minorHAnsi" w:cstheme="minorHAnsi"/>
                <w:color w:val="000000"/>
                <w:sz w:val="18"/>
                <w:szCs w:val="18"/>
              </w:rPr>
              <w:lastRenderedPageBreak/>
              <w:t>3</w:t>
            </w:r>
          </w:p>
          <w:p w14:paraId="35446E69" w14:textId="77777777" w:rsidR="0085268A" w:rsidRPr="00586267" w:rsidRDefault="0085268A" w:rsidP="00977C46">
            <w:pPr>
              <w:jc w:val="center"/>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lastRenderedPageBreak/>
              <w:t>2</w:t>
            </w:r>
          </w:p>
        </w:tc>
        <w:tc>
          <w:tcPr>
            <w:tcW w:w="2402" w:type="dxa"/>
            <w:vAlign w:val="bottom"/>
          </w:tcPr>
          <w:p w14:paraId="1D4C749C" w14:textId="77777777" w:rsidR="0085268A" w:rsidRDefault="0085268A" w:rsidP="00977C46">
            <w:pPr>
              <w:jc w:val="center"/>
              <w:rPr>
                <w:rFonts w:asciiTheme="minorHAnsi" w:hAnsiTheme="minorHAnsi" w:cstheme="minorHAnsi"/>
                <w:color w:val="010205"/>
                <w:sz w:val="18"/>
                <w:szCs w:val="18"/>
              </w:rPr>
            </w:pPr>
            <w:r w:rsidRPr="00586267">
              <w:rPr>
                <w:rFonts w:asciiTheme="minorHAnsi" w:hAnsiTheme="minorHAnsi" w:cstheme="minorHAnsi"/>
                <w:color w:val="010205"/>
                <w:sz w:val="18"/>
                <w:szCs w:val="18"/>
              </w:rPr>
              <w:lastRenderedPageBreak/>
              <w:t>3.2</w:t>
            </w:r>
          </w:p>
          <w:p w14:paraId="19223C92" w14:textId="77777777" w:rsidR="0085268A" w:rsidRPr="00586267" w:rsidRDefault="0085268A" w:rsidP="00977C46">
            <w:pPr>
              <w:jc w:val="center"/>
              <w:rPr>
                <w:rFonts w:asciiTheme="minorHAnsi" w:hAnsiTheme="minorHAnsi" w:cstheme="minorHAnsi"/>
                <w:color w:val="000000" w:themeColor="text1"/>
                <w:sz w:val="18"/>
                <w:szCs w:val="18"/>
              </w:rPr>
            </w:pPr>
            <w:r>
              <w:rPr>
                <w:rFonts w:asciiTheme="minorHAnsi" w:hAnsiTheme="minorHAnsi" w:cstheme="minorHAnsi"/>
                <w:color w:val="010205"/>
                <w:sz w:val="18"/>
                <w:szCs w:val="18"/>
              </w:rPr>
              <w:lastRenderedPageBreak/>
              <w:t>2.1</w:t>
            </w:r>
          </w:p>
        </w:tc>
      </w:tr>
    </w:tbl>
    <w:p w14:paraId="61BB1842" w14:textId="1E5C29A3" w:rsidR="0085268A" w:rsidRPr="007557E8" w:rsidRDefault="0085268A" w:rsidP="0085268A">
      <w:pPr>
        <w:pStyle w:val="ANorm"/>
        <w:spacing w:before="240" w:after="240"/>
      </w:pPr>
      <w:r w:rsidRPr="00DB6ABA">
        <w:lastRenderedPageBreak/>
        <w:t xml:space="preserve">Table </w:t>
      </w:r>
      <w:r w:rsidR="00A567EE">
        <w:t>38</w:t>
      </w:r>
      <w:r w:rsidRPr="00DB6ABA">
        <w:t xml:space="preserve"> shows the professional characteristics of survey respondents. Twenty</w:t>
      </w:r>
      <w:r>
        <w:t>-</w:t>
      </w:r>
      <w:r w:rsidRPr="00DB6ABA">
        <w:t xml:space="preserve">nine percent of respondents were social workers and 25.5% were clinical psychologists. Occupational therapists, general psychologists, </w:t>
      </w:r>
      <w:proofErr w:type="gramStart"/>
      <w:r w:rsidRPr="00DB6ABA">
        <w:t>GPs</w:t>
      </w:r>
      <w:proofErr w:type="gramEnd"/>
      <w:r w:rsidRPr="00DB6ABA">
        <w:t xml:space="preserve"> and mental health nurses also participated. One</w:t>
      </w:r>
      <w:r>
        <w:t>-</w:t>
      </w:r>
      <w:r w:rsidRPr="00DB6ABA">
        <w:t>third of respondents had more than 20 years</w:t>
      </w:r>
      <w:r>
        <w:t>’</w:t>
      </w:r>
      <w:r w:rsidRPr="00DB6ABA">
        <w:t xml:space="preserve"> experience working in their profession and close to one</w:t>
      </w:r>
      <w:r>
        <w:t>-</w:t>
      </w:r>
      <w:r w:rsidRPr="00DB6ABA">
        <w:t>quarter indicated they had worked 5 years or less in their profession. Forty</w:t>
      </w:r>
      <w:r>
        <w:t>-</w:t>
      </w:r>
      <w:r w:rsidRPr="00DB6ABA">
        <w:t xml:space="preserve">one percent of respondents indicated they worked in a private practice </w:t>
      </w:r>
      <w:r w:rsidRPr="007557E8">
        <w:t>setting, 39% worked in a face-to-face mental health service, 13% worked in a not-for-profit community organisation, 12% worked in a digital or online mental health service and 11% in general practice. In terms of their role in the organisation, 2</w:t>
      </w:r>
      <w:r>
        <w:t>1</w:t>
      </w:r>
      <w:r w:rsidRPr="007557E8">
        <w:t>% of respondents indicated they were directors, team leaders or managers, 2</w:t>
      </w:r>
      <w:r>
        <w:t>4.5</w:t>
      </w:r>
      <w:r w:rsidRPr="007557E8">
        <w:t>% were psychologists (including clinical), 1</w:t>
      </w:r>
      <w:r>
        <w:t>7</w:t>
      </w:r>
      <w:r w:rsidRPr="007557E8">
        <w:t>% were mental health clinicians</w:t>
      </w:r>
      <w:r>
        <w:t xml:space="preserve"> or therapists and </w:t>
      </w:r>
      <w:r w:rsidRPr="007557E8">
        <w:t>1</w:t>
      </w:r>
      <w:r>
        <w:t>0.6</w:t>
      </w:r>
      <w:r w:rsidRPr="007557E8">
        <w:t xml:space="preserve">% were </w:t>
      </w:r>
      <w:r>
        <w:t>General practitioners</w:t>
      </w:r>
      <w:r w:rsidRPr="007557E8">
        <w:t>.</w:t>
      </w:r>
    </w:p>
    <w:p w14:paraId="619E804E" w14:textId="0585C90D" w:rsidR="0085268A" w:rsidRPr="00977C46" w:rsidRDefault="0085268A" w:rsidP="00977C46">
      <w:pPr>
        <w:pStyle w:val="tableheading"/>
      </w:pPr>
      <w:r w:rsidRPr="00977C46">
        <w:t xml:space="preserve">Table </w:t>
      </w:r>
      <w:r w:rsidR="00A567EE">
        <w:t>38</w:t>
      </w:r>
      <w:r w:rsidRPr="00977C46">
        <w:t>. Professional characteristics of survey respondents (N=94)</w:t>
      </w:r>
    </w:p>
    <w:tbl>
      <w:tblPr>
        <w:tblStyle w:val="TableGrid"/>
        <w:tblW w:w="0" w:type="auto"/>
        <w:tblBorders>
          <w:insideH w:val="none" w:sz="0" w:space="0" w:color="auto"/>
          <w:insideV w:val="none" w:sz="0" w:space="0" w:color="auto"/>
        </w:tblBorders>
        <w:tblLook w:val="04A0" w:firstRow="1" w:lastRow="0" w:firstColumn="1" w:lastColumn="0" w:noHBand="0" w:noVBand="1"/>
        <w:tblCaption w:val="professional characteristics"/>
        <w:tblDescription w:val="this table presents professional characteristics: profession, length of time working in profession, type of organisation work within and role within the organisation"/>
      </w:tblPr>
      <w:tblGrid>
        <w:gridCol w:w="4106"/>
        <w:gridCol w:w="2452"/>
        <w:gridCol w:w="2452"/>
      </w:tblGrid>
      <w:tr w:rsidR="0085268A" w:rsidRPr="00AA732D" w14:paraId="6EAF5CFC" w14:textId="77777777">
        <w:tc>
          <w:tcPr>
            <w:tcW w:w="4106" w:type="dxa"/>
            <w:shd w:val="clear" w:color="auto" w:fill="000000" w:themeFill="text1"/>
          </w:tcPr>
          <w:p w14:paraId="18AD127F" w14:textId="77777777" w:rsidR="0085268A" w:rsidRPr="00AA732D" w:rsidRDefault="0085268A" w:rsidP="00977C46">
            <w:pPr>
              <w:pStyle w:val="ANorm"/>
              <w:jc w:val="center"/>
              <w:rPr>
                <w:rFonts w:asciiTheme="minorHAnsi" w:hAnsiTheme="minorHAnsi" w:cstheme="minorHAnsi"/>
                <w:color w:val="FFFFFF" w:themeColor="background1"/>
                <w:sz w:val="18"/>
                <w:szCs w:val="18"/>
              </w:rPr>
            </w:pPr>
          </w:p>
        </w:tc>
        <w:tc>
          <w:tcPr>
            <w:tcW w:w="2452" w:type="dxa"/>
            <w:shd w:val="clear" w:color="auto" w:fill="000000" w:themeFill="text1"/>
          </w:tcPr>
          <w:p w14:paraId="42AB43AA" w14:textId="77777777" w:rsidR="0085268A" w:rsidRPr="00AA732D" w:rsidRDefault="0085268A" w:rsidP="00977C46">
            <w:pPr>
              <w:pStyle w:val="ANorm"/>
              <w:jc w:val="center"/>
              <w:rPr>
                <w:rFonts w:asciiTheme="minorHAnsi" w:hAnsiTheme="minorHAnsi" w:cstheme="minorHAnsi"/>
                <w:color w:val="FFFFFF" w:themeColor="background1"/>
                <w:sz w:val="18"/>
                <w:szCs w:val="18"/>
                <w:highlight w:val="black"/>
              </w:rPr>
            </w:pPr>
            <w:r w:rsidRPr="00AA732D">
              <w:rPr>
                <w:rFonts w:asciiTheme="minorHAnsi" w:hAnsiTheme="minorHAnsi" w:cstheme="minorHAnsi"/>
                <w:color w:val="FFFFFF" w:themeColor="background1"/>
                <w:sz w:val="18"/>
                <w:szCs w:val="18"/>
                <w:highlight w:val="black"/>
              </w:rPr>
              <w:t>Frequency</w:t>
            </w:r>
          </w:p>
        </w:tc>
        <w:tc>
          <w:tcPr>
            <w:tcW w:w="2452" w:type="dxa"/>
            <w:shd w:val="clear" w:color="auto" w:fill="000000" w:themeFill="text1"/>
          </w:tcPr>
          <w:p w14:paraId="3F4FAD12" w14:textId="77777777" w:rsidR="0085268A" w:rsidRPr="00AA732D" w:rsidRDefault="0085268A" w:rsidP="00977C46">
            <w:pPr>
              <w:pStyle w:val="ANorm"/>
              <w:jc w:val="center"/>
              <w:rPr>
                <w:rFonts w:asciiTheme="minorHAnsi" w:hAnsiTheme="minorHAnsi" w:cstheme="minorHAnsi"/>
                <w:color w:val="FFFFFF" w:themeColor="background1"/>
                <w:sz w:val="18"/>
                <w:szCs w:val="18"/>
              </w:rPr>
            </w:pPr>
            <w:r w:rsidRPr="00AA732D">
              <w:rPr>
                <w:rFonts w:asciiTheme="minorHAnsi" w:hAnsiTheme="minorHAnsi" w:cstheme="minorHAnsi"/>
                <w:color w:val="FFFFFF" w:themeColor="background1"/>
                <w:sz w:val="18"/>
                <w:szCs w:val="18"/>
                <w:highlight w:val="black"/>
              </w:rPr>
              <w:t>%</w:t>
            </w:r>
          </w:p>
        </w:tc>
      </w:tr>
      <w:tr w:rsidR="0085268A" w:rsidRPr="00AA732D" w14:paraId="7A1EB457" w14:textId="77777777">
        <w:tc>
          <w:tcPr>
            <w:tcW w:w="4106" w:type="dxa"/>
            <w:vAlign w:val="bottom"/>
          </w:tcPr>
          <w:p w14:paraId="588F1A65" w14:textId="77777777" w:rsidR="0085268A" w:rsidRPr="00A41A26" w:rsidRDefault="0085268A" w:rsidP="00977C46">
            <w:pPr>
              <w:rPr>
                <w:rFonts w:asciiTheme="minorHAnsi" w:hAnsiTheme="minorHAnsi"/>
                <w:b/>
                <w:bCs/>
                <w:color w:val="000000" w:themeColor="text1"/>
                <w:sz w:val="18"/>
                <w:szCs w:val="18"/>
              </w:rPr>
            </w:pPr>
            <w:r w:rsidRPr="00A41A26">
              <w:rPr>
                <w:rFonts w:asciiTheme="minorHAnsi" w:hAnsiTheme="minorHAnsi"/>
                <w:b/>
                <w:bCs/>
                <w:color w:val="000000" w:themeColor="text1"/>
                <w:sz w:val="18"/>
                <w:szCs w:val="18"/>
              </w:rPr>
              <w:t>Profession</w:t>
            </w:r>
          </w:p>
        </w:tc>
        <w:tc>
          <w:tcPr>
            <w:tcW w:w="2452" w:type="dxa"/>
          </w:tcPr>
          <w:p w14:paraId="04F46F6F" w14:textId="77777777" w:rsidR="0085268A" w:rsidRPr="008F79E5" w:rsidRDefault="0085268A" w:rsidP="00977C46">
            <w:pPr>
              <w:jc w:val="center"/>
              <w:rPr>
                <w:color w:val="000000" w:themeColor="text1"/>
                <w:sz w:val="18"/>
                <w:szCs w:val="18"/>
              </w:rPr>
            </w:pPr>
          </w:p>
        </w:tc>
        <w:tc>
          <w:tcPr>
            <w:tcW w:w="2452" w:type="dxa"/>
          </w:tcPr>
          <w:p w14:paraId="3063A787" w14:textId="77777777" w:rsidR="0085268A" w:rsidRPr="008F79E5" w:rsidRDefault="0085268A" w:rsidP="00977C46">
            <w:pPr>
              <w:jc w:val="center"/>
              <w:rPr>
                <w:color w:val="000000" w:themeColor="text1"/>
                <w:sz w:val="18"/>
                <w:szCs w:val="18"/>
              </w:rPr>
            </w:pPr>
          </w:p>
        </w:tc>
      </w:tr>
      <w:tr w:rsidR="0085268A" w:rsidRPr="00AA732D" w14:paraId="53215561" w14:textId="77777777">
        <w:tc>
          <w:tcPr>
            <w:tcW w:w="4106" w:type="dxa"/>
            <w:vAlign w:val="bottom"/>
          </w:tcPr>
          <w:p w14:paraId="06F966B2"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G</w:t>
            </w:r>
            <w:r>
              <w:rPr>
                <w:rFonts w:asciiTheme="minorHAnsi" w:hAnsiTheme="minorHAnsi"/>
                <w:color w:val="000000" w:themeColor="text1"/>
                <w:sz w:val="18"/>
                <w:szCs w:val="18"/>
              </w:rPr>
              <w:t>eneral practitioner</w:t>
            </w:r>
          </w:p>
        </w:tc>
        <w:tc>
          <w:tcPr>
            <w:tcW w:w="2452" w:type="dxa"/>
            <w:vAlign w:val="bottom"/>
          </w:tcPr>
          <w:p w14:paraId="28E55C29" w14:textId="77777777" w:rsidR="0085268A" w:rsidRPr="00E1710B" w:rsidRDefault="0085268A" w:rsidP="00977C46">
            <w:pPr>
              <w:jc w:val="center"/>
              <w:rPr>
                <w:rFonts w:asciiTheme="minorHAnsi" w:hAnsiTheme="minorHAnsi" w:cstheme="minorHAnsi"/>
                <w:color w:val="000000" w:themeColor="text1"/>
                <w:sz w:val="18"/>
                <w:szCs w:val="18"/>
                <w:highlight w:val="cyan"/>
              </w:rPr>
            </w:pPr>
            <w:r w:rsidRPr="00E1710B">
              <w:rPr>
                <w:rFonts w:asciiTheme="minorHAnsi" w:hAnsiTheme="minorHAnsi" w:cstheme="minorHAnsi"/>
                <w:color w:val="010205"/>
                <w:sz w:val="18"/>
                <w:szCs w:val="18"/>
              </w:rPr>
              <w:t>10</w:t>
            </w:r>
          </w:p>
        </w:tc>
        <w:tc>
          <w:tcPr>
            <w:tcW w:w="2452" w:type="dxa"/>
            <w:vAlign w:val="bottom"/>
          </w:tcPr>
          <w:p w14:paraId="020D4BCB" w14:textId="77777777" w:rsidR="0085268A" w:rsidRPr="00E1710B" w:rsidRDefault="0085268A" w:rsidP="00977C46">
            <w:pPr>
              <w:jc w:val="center"/>
              <w:rPr>
                <w:rFonts w:asciiTheme="minorHAnsi" w:hAnsiTheme="minorHAnsi" w:cstheme="minorHAnsi"/>
                <w:color w:val="000000" w:themeColor="text1"/>
                <w:sz w:val="18"/>
                <w:szCs w:val="18"/>
                <w:highlight w:val="cyan"/>
              </w:rPr>
            </w:pPr>
            <w:r w:rsidRPr="00E1710B">
              <w:rPr>
                <w:rFonts w:asciiTheme="minorHAnsi" w:hAnsiTheme="minorHAnsi" w:cstheme="minorHAnsi"/>
                <w:color w:val="010205"/>
                <w:sz w:val="18"/>
                <w:szCs w:val="18"/>
              </w:rPr>
              <w:t>10.6</w:t>
            </w:r>
          </w:p>
        </w:tc>
      </w:tr>
      <w:tr w:rsidR="0085268A" w:rsidRPr="00AA732D" w14:paraId="5768E120" w14:textId="77777777">
        <w:tc>
          <w:tcPr>
            <w:tcW w:w="4106" w:type="dxa"/>
            <w:vAlign w:val="bottom"/>
          </w:tcPr>
          <w:p w14:paraId="40D551A4"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General psychologist</w:t>
            </w:r>
          </w:p>
        </w:tc>
        <w:tc>
          <w:tcPr>
            <w:tcW w:w="2452" w:type="dxa"/>
            <w:vAlign w:val="bottom"/>
          </w:tcPr>
          <w:p w14:paraId="52A9E488" w14:textId="77777777" w:rsidR="0085268A" w:rsidRPr="00E1710B" w:rsidRDefault="0085268A" w:rsidP="00977C46">
            <w:pPr>
              <w:jc w:val="center"/>
              <w:rPr>
                <w:rFonts w:asciiTheme="minorHAnsi" w:hAnsiTheme="minorHAnsi" w:cstheme="minorHAnsi"/>
                <w:color w:val="000000" w:themeColor="text1"/>
                <w:sz w:val="18"/>
                <w:szCs w:val="18"/>
                <w:highlight w:val="cyan"/>
              </w:rPr>
            </w:pPr>
            <w:r w:rsidRPr="00E1710B">
              <w:rPr>
                <w:rFonts w:asciiTheme="minorHAnsi" w:hAnsiTheme="minorHAnsi" w:cstheme="minorHAnsi"/>
                <w:color w:val="010205"/>
                <w:sz w:val="18"/>
                <w:szCs w:val="18"/>
              </w:rPr>
              <w:t>11</w:t>
            </w:r>
          </w:p>
        </w:tc>
        <w:tc>
          <w:tcPr>
            <w:tcW w:w="2452" w:type="dxa"/>
            <w:vAlign w:val="bottom"/>
          </w:tcPr>
          <w:p w14:paraId="5AB11B15" w14:textId="77777777" w:rsidR="0085268A" w:rsidRPr="00E1710B" w:rsidRDefault="0085268A" w:rsidP="00977C46">
            <w:pPr>
              <w:jc w:val="center"/>
              <w:rPr>
                <w:rFonts w:asciiTheme="minorHAnsi" w:hAnsiTheme="minorHAnsi" w:cstheme="minorHAnsi"/>
                <w:color w:val="000000" w:themeColor="text1"/>
                <w:sz w:val="18"/>
                <w:szCs w:val="18"/>
                <w:highlight w:val="cyan"/>
              </w:rPr>
            </w:pPr>
            <w:r w:rsidRPr="00E1710B">
              <w:rPr>
                <w:rFonts w:asciiTheme="minorHAnsi" w:hAnsiTheme="minorHAnsi" w:cstheme="minorHAnsi"/>
                <w:color w:val="010205"/>
                <w:sz w:val="18"/>
                <w:szCs w:val="18"/>
              </w:rPr>
              <w:t>11.7</w:t>
            </w:r>
          </w:p>
        </w:tc>
      </w:tr>
      <w:tr w:rsidR="0085268A" w:rsidRPr="00AA732D" w14:paraId="656E615C" w14:textId="77777777">
        <w:tc>
          <w:tcPr>
            <w:tcW w:w="4106" w:type="dxa"/>
            <w:vAlign w:val="bottom"/>
          </w:tcPr>
          <w:p w14:paraId="6D916310"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Clinical psychologist</w:t>
            </w:r>
          </w:p>
        </w:tc>
        <w:tc>
          <w:tcPr>
            <w:tcW w:w="2452" w:type="dxa"/>
            <w:vAlign w:val="bottom"/>
          </w:tcPr>
          <w:p w14:paraId="7D923FDD" w14:textId="77777777" w:rsidR="0085268A" w:rsidRPr="00E1710B" w:rsidRDefault="0085268A" w:rsidP="00977C46">
            <w:pPr>
              <w:jc w:val="center"/>
              <w:rPr>
                <w:rFonts w:asciiTheme="minorHAnsi" w:hAnsiTheme="minorHAnsi" w:cstheme="minorHAnsi"/>
                <w:color w:val="000000" w:themeColor="text1"/>
                <w:sz w:val="18"/>
                <w:szCs w:val="18"/>
                <w:highlight w:val="cyan"/>
              </w:rPr>
            </w:pPr>
            <w:r w:rsidRPr="00E1710B">
              <w:rPr>
                <w:rFonts w:asciiTheme="minorHAnsi" w:hAnsiTheme="minorHAnsi" w:cstheme="minorHAnsi"/>
                <w:color w:val="010205"/>
                <w:sz w:val="18"/>
                <w:szCs w:val="18"/>
              </w:rPr>
              <w:t>24</w:t>
            </w:r>
          </w:p>
        </w:tc>
        <w:tc>
          <w:tcPr>
            <w:tcW w:w="2452" w:type="dxa"/>
            <w:vAlign w:val="bottom"/>
          </w:tcPr>
          <w:p w14:paraId="6EA90694" w14:textId="77777777" w:rsidR="0085268A" w:rsidRPr="00E1710B" w:rsidRDefault="0085268A" w:rsidP="00977C46">
            <w:pPr>
              <w:jc w:val="center"/>
              <w:rPr>
                <w:rFonts w:asciiTheme="minorHAnsi" w:hAnsiTheme="minorHAnsi" w:cstheme="minorHAnsi"/>
                <w:color w:val="000000" w:themeColor="text1"/>
                <w:sz w:val="18"/>
                <w:szCs w:val="18"/>
                <w:highlight w:val="cyan"/>
              </w:rPr>
            </w:pPr>
            <w:r w:rsidRPr="00E1710B">
              <w:rPr>
                <w:rFonts w:asciiTheme="minorHAnsi" w:hAnsiTheme="minorHAnsi" w:cstheme="minorHAnsi"/>
                <w:color w:val="010205"/>
                <w:sz w:val="18"/>
                <w:szCs w:val="18"/>
              </w:rPr>
              <w:t>25.5</w:t>
            </w:r>
          </w:p>
        </w:tc>
      </w:tr>
      <w:tr w:rsidR="0085268A" w:rsidRPr="00AA732D" w14:paraId="71F70F02" w14:textId="77777777">
        <w:tc>
          <w:tcPr>
            <w:tcW w:w="4106" w:type="dxa"/>
            <w:vAlign w:val="bottom"/>
          </w:tcPr>
          <w:p w14:paraId="569A0187"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Mental health nurse</w:t>
            </w:r>
          </w:p>
        </w:tc>
        <w:tc>
          <w:tcPr>
            <w:tcW w:w="2452" w:type="dxa"/>
            <w:vAlign w:val="bottom"/>
          </w:tcPr>
          <w:p w14:paraId="6D398297" w14:textId="77777777" w:rsidR="0085268A" w:rsidRPr="00E1710B" w:rsidRDefault="0085268A" w:rsidP="00977C46">
            <w:pPr>
              <w:jc w:val="center"/>
              <w:rPr>
                <w:rFonts w:asciiTheme="minorHAnsi" w:hAnsiTheme="minorHAnsi" w:cstheme="minorHAnsi"/>
                <w:color w:val="000000" w:themeColor="text1"/>
                <w:sz w:val="18"/>
                <w:szCs w:val="18"/>
                <w:highlight w:val="cyan"/>
              </w:rPr>
            </w:pPr>
            <w:r w:rsidRPr="00E1710B">
              <w:rPr>
                <w:rFonts w:asciiTheme="minorHAnsi" w:hAnsiTheme="minorHAnsi" w:cstheme="minorHAnsi"/>
                <w:color w:val="010205"/>
                <w:sz w:val="18"/>
                <w:szCs w:val="18"/>
              </w:rPr>
              <w:t>4</w:t>
            </w:r>
          </w:p>
        </w:tc>
        <w:tc>
          <w:tcPr>
            <w:tcW w:w="2452" w:type="dxa"/>
            <w:vAlign w:val="bottom"/>
          </w:tcPr>
          <w:p w14:paraId="5253BFEF" w14:textId="77777777" w:rsidR="0085268A" w:rsidRPr="00E1710B" w:rsidRDefault="0085268A" w:rsidP="00977C46">
            <w:pPr>
              <w:jc w:val="center"/>
              <w:rPr>
                <w:rFonts w:asciiTheme="minorHAnsi" w:hAnsiTheme="minorHAnsi" w:cstheme="minorHAnsi"/>
                <w:color w:val="000000" w:themeColor="text1"/>
                <w:sz w:val="18"/>
                <w:szCs w:val="18"/>
                <w:highlight w:val="cyan"/>
              </w:rPr>
            </w:pPr>
            <w:r w:rsidRPr="00E1710B">
              <w:rPr>
                <w:rFonts w:asciiTheme="minorHAnsi" w:hAnsiTheme="minorHAnsi" w:cstheme="minorHAnsi"/>
                <w:color w:val="010205"/>
                <w:sz w:val="18"/>
                <w:szCs w:val="18"/>
              </w:rPr>
              <w:t>4.3</w:t>
            </w:r>
          </w:p>
        </w:tc>
      </w:tr>
      <w:tr w:rsidR="0085268A" w:rsidRPr="00AA732D" w14:paraId="03150148" w14:textId="77777777">
        <w:tc>
          <w:tcPr>
            <w:tcW w:w="4106" w:type="dxa"/>
            <w:vAlign w:val="bottom"/>
          </w:tcPr>
          <w:p w14:paraId="2E07C21A"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Social worker</w:t>
            </w:r>
          </w:p>
        </w:tc>
        <w:tc>
          <w:tcPr>
            <w:tcW w:w="2452" w:type="dxa"/>
            <w:vAlign w:val="bottom"/>
          </w:tcPr>
          <w:p w14:paraId="7AAE3B61" w14:textId="77777777" w:rsidR="0085268A" w:rsidRPr="00E1710B" w:rsidRDefault="0085268A" w:rsidP="00977C46">
            <w:pPr>
              <w:jc w:val="center"/>
              <w:rPr>
                <w:rFonts w:asciiTheme="minorHAnsi" w:hAnsiTheme="minorHAnsi" w:cstheme="minorHAnsi"/>
                <w:color w:val="000000" w:themeColor="text1"/>
                <w:sz w:val="18"/>
                <w:szCs w:val="18"/>
                <w:highlight w:val="cyan"/>
              </w:rPr>
            </w:pPr>
            <w:r w:rsidRPr="00E1710B">
              <w:rPr>
                <w:rFonts w:asciiTheme="minorHAnsi" w:hAnsiTheme="minorHAnsi" w:cstheme="minorHAnsi"/>
                <w:color w:val="010205"/>
                <w:sz w:val="18"/>
                <w:szCs w:val="18"/>
              </w:rPr>
              <w:t>27</w:t>
            </w:r>
          </w:p>
        </w:tc>
        <w:tc>
          <w:tcPr>
            <w:tcW w:w="2452" w:type="dxa"/>
            <w:vAlign w:val="bottom"/>
          </w:tcPr>
          <w:p w14:paraId="0928F393" w14:textId="77777777" w:rsidR="0085268A" w:rsidRPr="00E1710B" w:rsidRDefault="0085268A" w:rsidP="00977C46">
            <w:pPr>
              <w:jc w:val="center"/>
              <w:rPr>
                <w:rFonts w:asciiTheme="minorHAnsi" w:hAnsiTheme="minorHAnsi" w:cstheme="minorHAnsi"/>
                <w:color w:val="000000" w:themeColor="text1"/>
                <w:sz w:val="18"/>
                <w:szCs w:val="18"/>
                <w:highlight w:val="cyan"/>
              </w:rPr>
            </w:pPr>
            <w:r w:rsidRPr="00E1710B">
              <w:rPr>
                <w:rFonts w:asciiTheme="minorHAnsi" w:hAnsiTheme="minorHAnsi" w:cstheme="minorHAnsi"/>
                <w:color w:val="010205"/>
                <w:sz w:val="18"/>
                <w:szCs w:val="18"/>
              </w:rPr>
              <w:t>28.7</w:t>
            </w:r>
          </w:p>
        </w:tc>
      </w:tr>
      <w:tr w:rsidR="0085268A" w:rsidRPr="00AA732D" w14:paraId="2B481BBC" w14:textId="77777777">
        <w:tc>
          <w:tcPr>
            <w:tcW w:w="4106" w:type="dxa"/>
            <w:vAlign w:val="bottom"/>
          </w:tcPr>
          <w:p w14:paraId="57DEE772"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Occupational therapist</w:t>
            </w:r>
          </w:p>
        </w:tc>
        <w:tc>
          <w:tcPr>
            <w:tcW w:w="2452" w:type="dxa"/>
            <w:vAlign w:val="bottom"/>
          </w:tcPr>
          <w:p w14:paraId="1D61D46A" w14:textId="77777777" w:rsidR="0085268A" w:rsidRPr="00E1710B" w:rsidRDefault="0085268A" w:rsidP="00977C46">
            <w:pPr>
              <w:jc w:val="center"/>
              <w:rPr>
                <w:rFonts w:asciiTheme="minorHAnsi" w:hAnsiTheme="minorHAnsi" w:cstheme="minorHAnsi"/>
                <w:color w:val="000000" w:themeColor="text1"/>
                <w:sz w:val="18"/>
                <w:szCs w:val="18"/>
                <w:highlight w:val="cyan"/>
              </w:rPr>
            </w:pPr>
            <w:r w:rsidRPr="00E1710B">
              <w:rPr>
                <w:rFonts w:asciiTheme="minorHAnsi" w:hAnsiTheme="minorHAnsi" w:cstheme="minorHAnsi"/>
                <w:color w:val="010205"/>
                <w:sz w:val="18"/>
                <w:szCs w:val="18"/>
              </w:rPr>
              <w:t>14</w:t>
            </w:r>
          </w:p>
        </w:tc>
        <w:tc>
          <w:tcPr>
            <w:tcW w:w="2452" w:type="dxa"/>
            <w:vAlign w:val="bottom"/>
          </w:tcPr>
          <w:p w14:paraId="4D1EA260" w14:textId="77777777" w:rsidR="0085268A" w:rsidRPr="00E1710B" w:rsidRDefault="0085268A" w:rsidP="00977C46">
            <w:pPr>
              <w:jc w:val="center"/>
              <w:rPr>
                <w:rFonts w:asciiTheme="minorHAnsi" w:hAnsiTheme="minorHAnsi" w:cstheme="minorHAnsi"/>
                <w:color w:val="000000" w:themeColor="text1"/>
                <w:sz w:val="18"/>
                <w:szCs w:val="18"/>
                <w:highlight w:val="cyan"/>
              </w:rPr>
            </w:pPr>
            <w:r w:rsidRPr="00E1710B">
              <w:rPr>
                <w:rFonts w:asciiTheme="minorHAnsi" w:hAnsiTheme="minorHAnsi" w:cstheme="minorHAnsi"/>
                <w:color w:val="010205"/>
                <w:sz w:val="18"/>
                <w:szCs w:val="18"/>
              </w:rPr>
              <w:t>14.9</w:t>
            </w:r>
          </w:p>
        </w:tc>
      </w:tr>
      <w:tr w:rsidR="0085268A" w:rsidRPr="00AA732D" w14:paraId="0DCAD8E7" w14:textId="77777777">
        <w:tc>
          <w:tcPr>
            <w:tcW w:w="4106" w:type="dxa"/>
            <w:vAlign w:val="bottom"/>
          </w:tcPr>
          <w:p w14:paraId="085CD37E"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Other</w:t>
            </w:r>
          </w:p>
        </w:tc>
        <w:tc>
          <w:tcPr>
            <w:tcW w:w="2452" w:type="dxa"/>
            <w:vAlign w:val="bottom"/>
          </w:tcPr>
          <w:p w14:paraId="6C2A343B" w14:textId="77777777" w:rsidR="0085268A" w:rsidRPr="00E1710B" w:rsidRDefault="0085268A" w:rsidP="00977C46">
            <w:pPr>
              <w:jc w:val="center"/>
              <w:rPr>
                <w:rFonts w:asciiTheme="minorHAnsi" w:hAnsiTheme="minorHAnsi" w:cstheme="minorHAnsi"/>
                <w:color w:val="000000" w:themeColor="text1"/>
                <w:sz w:val="18"/>
                <w:szCs w:val="18"/>
                <w:highlight w:val="cyan"/>
              </w:rPr>
            </w:pPr>
            <w:r w:rsidRPr="00E1710B">
              <w:rPr>
                <w:rFonts w:asciiTheme="minorHAnsi" w:hAnsiTheme="minorHAnsi" w:cstheme="minorHAnsi"/>
                <w:color w:val="010205"/>
                <w:sz w:val="18"/>
                <w:szCs w:val="18"/>
              </w:rPr>
              <w:t>3</w:t>
            </w:r>
          </w:p>
        </w:tc>
        <w:tc>
          <w:tcPr>
            <w:tcW w:w="2452" w:type="dxa"/>
            <w:vAlign w:val="bottom"/>
          </w:tcPr>
          <w:p w14:paraId="2A22A2C3" w14:textId="77777777" w:rsidR="0085268A" w:rsidRPr="00E1710B" w:rsidRDefault="0085268A" w:rsidP="00977C46">
            <w:pPr>
              <w:jc w:val="center"/>
              <w:rPr>
                <w:rFonts w:asciiTheme="minorHAnsi" w:hAnsiTheme="minorHAnsi" w:cstheme="minorHAnsi"/>
                <w:color w:val="000000" w:themeColor="text1"/>
                <w:sz w:val="18"/>
                <w:szCs w:val="18"/>
                <w:highlight w:val="cyan"/>
              </w:rPr>
            </w:pPr>
            <w:r w:rsidRPr="00E1710B">
              <w:rPr>
                <w:rFonts w:asciiTheme="minorHAnsi" w:hAnsiTheme="minorHAnsi" w:cstheme="minorHAnsi"/>
                <w:color w:val="010205"/>
                <w:sz w:val="18"/>
                <w:szCs w:val="18"/>
              </w:rPr>
              <w:t>3.2</w:t>
            </w:r>
          </w:p>
        </w:tc>
      </w:tr>
      <w:tr w:rsidR="0085268A" w:rsidRPr="00AA732D" w14:paraId="6F1B7156" w14:textId="77777777" w:rsidTr="00FD7E7A">
        <w:tc>
          <w:tcPr>
            <w:tcW w:w="4106" w:type="dxa"/>
            <w:tcBorders>
              <w:bottom w:val="single" w:sz="4" w:space="0" w:color="auto"/>
            </w:tcBorders>
            <w:vAlign w:val="bottom"/>
          </w:tcPr>
          <w:p w14:paraId="39EFC307"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Missing</w:t>
            </w:r>
          </w:p>
        </w:tc>
        <w:tc>
          <w:tcPr>
            <w:tcW w:w="2452" w:type="dxa"/>
            <w:tcBorders>
              <w:bottom w:val="single" w:sz="4" w:space="0" w:color="auto"/>
            </w:tcBorders>
            <w:vAlign w:val="bottom"/>
          </w:tcPr>
          <w:p w14:paraId="3E19A45B" w14:textId="77777777" w:rsidR="0085268A" w:rsidRPr="00E1710B" w:rsidRDefault="0085268A" w:rsidP="00977C46">
            <w:pPr>
              <w:jc w:val="center"/>
              <w:rPr>
                <w:rFonts w:asciiTheme="minorHAnsi" w:hAnsiTheme="minorHAnsi" w:cstheme="minorHAnsi"/>
                <w:color w:val="000000" w:themeColor="text1"/>
                <w:sz w:val="18"/>
                <w:szCs w:val="18"/>
                <w:highlight w:val="cyan"/>
              </w:rPr>
            </w:pPr>
            <w:r w:rsidRPr="00E1710B">
              <w:rPr>
                <w:rFonts w:asciiTheme="minorHAnsi" w:hAnsiTheme="minorHAnsi" w:cstheme="minorHAnsi"/>
                <w:color w:val="010205"/>
                <w:sz w:val="18"/>
                <w:szCs w:val="18"/>
              </w:rPr>
              <w:t>1</w:t>
            </w:r>
          </w:p>
        </w:tc>
        <w:tc>
          <w:tcPr>
            <w:tcW w:w="2452" w:type="dxa"/>
            <w:tcBorders>
              <w:bottom w:val="single" w:sz="4" w:space="0" w:color="auto"/>
            </w:tcBorders>
            <w:vAlign w:val="bottom"/>
          </w:tcPr>
          <w:p w14:paraId="78C31577" w14:textId="77777777" w:rsidR="0085268A" w:rsidRPr="00E1710B" w:rsidRDefault="0085268A" w:rsidP="00977C46">
            <w:pPr>
              <w:jc w:val="center"/>
              <w:rPr>
                <w:rFonts w:asciiTheme="minorHAnsi" w:hAnsiTheme="minorHAnsi" w:cstheme="minorHAnsi"/>
                <w:color w:val="000000" w:themeColor="text1"/>
                <w:sz w:val="18"/>
                <w:szCs w:val="18"/>
                <w:highlight w:val="cyan"/>
              </w:rPr>
            </w:pPr>
            <w:r w:rsidRPr="00E1710B">
              <w:rPr>
                <w:rFonts w:asciiTheme="minorHAnsi" w:hAnsiTheme="minorHAnsi" w:cstheme="minorHAnsi"/>
                <w:color w:val="010205"/>
                <w:sz w:val="18"/>
                <w:szCs w:val="18"/>
              </w:rPr>
              <w:t>1.1</w:t>
            </w:r>
          </w:p>
        </w:tc>
      </w:tr>
      <w:tr w:rsidR="0085268A" w:rsidRPr="00AA732D" w14:paraId="7EA02D51" w14:textId="77777777" w:rsidTr="00FD7E7A">
        <w:tc>
          <w:tcPr>
            <w:tcW w:w="4106" w:type="dxa"/>
            <w:tcBorders>
              <w:top w:val="single" w:sz="4" w:space="0" w:color="auto"/>
              <w:bottom w:val="nil"/>
            </w:tcBorders>
          </w:tcPr>
          <w:p w14:paraId="0AD7DADE" w14:textId="77777777" w:rsidR="0085268A" w:rsidRPr="00A41A26" w:rsidRDefault="0085268A" w:rsidP="00977C46">
            <w:pPr>
              <w:rPr>
                <w:rFonts w:asciiTheme="minorHAnsi" w:hAnsiTheme="minorHAnsi"/>
                <w:b/>
                <w:bCs/>
                <w:color w:val="000000" w:themeColor="text1"/>
                <w:sz w:val="18"/>
                <w:szCs w:val="18"/>
              </w:rPr>
            </w:pPr>
            <w:r w:rsidRPr="00A41A26">
              <w:rPr>
                <w:rFonts w:asciiTheme="minorHAnsi" w:hAnsiTheme="minorHAnsi"/>
                <w:b/>
                <w:bCs/>
                <w:color w:val="000000" w:themeColor="text1"/>
                <w:sz w:val="18"/>
                <w:szCs w:val="18"/>
              </w:rPr>
              <w:t>Length of time working in profession</w:t>
            </w:r>
          </w:p>
        </w:tc>
        <w:tc>
          <w:tcPr>
            <w:tcW w:w="2452" w:type="dxa"/>
            <w:tcBorders>
              <w:top w:val="single" w:sz="4" w:space="0" w:color="auto"/>
              <w:bottom w:val="nil"/>
            </w:tcBorders>
          </w:tcPr>
          <w:p w14:paraId="15F43C69" w14:textId="77777777" w:rsidR="0085268A" w:rsidRPr="005509C0" w:rsidRDefault="0085268A" w:rsidP="00977C46">
            <w:pPr>
              <w:jc w:val="center"/>
              <w:rPr>
                <w:rFonts w:asciiTheme="minorHAnsi" w:hAnsiTheme="minorHAnsi"/>
                <w:color w:val="000000" w:themeColor="text1"/>
                <w:sz w:val="18"/>
                <w:szCs w:val="18"/>
                <w:highlight w:val="cyan"/>
              </w:rPr>
            </w:pPr>
          </w:p>
        </w:tc>
        <w:tc>
          <w:tcPr>
            <w:tcW w:w="2452" w:type="dxa"/>
            <w:tcBorders>
              <w:top w:val="single" w:sz="4" w:space="0" w:color="auto"/>
              <w:bottom w:val="nil"/>
            </w:tcBorders>
          </w:tcPr>
          <w:p w14:paraId="55BE3FBE" w14:textId="77777777" w:rsidR="0085268A" w:rsidRPr="005509C0" w:rsidRDefault="0085268A" w:rsidP="00977C46">
            <w:pPr>
              <w:jc w:val="center"/>
              <w:rPr>
                <w:rFonts w:asciiTheme="minorHAnsi" w:hAnsiTheme="minorHAnsi"/>
                <w:color w:val="000000" w:themeColor="text1"/>
                <w:sz w:val="18"/>
                <w:szCs w:val="18"/>
                <w:highlight w:val="cyan"/>
              </w:rPr>
            </w:pPr>
          </w:p>
        </w:tc>
      </w:tr>
      <w:tr w:rsidR="0085268A" w:rsidRPr="00AA732D" w14:paraId="654C4B35" w14:textId="77777777" w:rsidTr="00FD7E7A">
        <w:tc>
          <w:tcPr>
            <w:tcW w:w="4106" w:type="dxa"/>
            <w:tcBorders>
              <w:top w:val="nil"/>
              <w:bottom w:val="nil"/>
            </w:tcBorders>
            <w:vAlign w:val="bottom"/>
          </w:tcPr>
          <w:p w14:paraId="61F77FB3"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Less than 1 year</w:t>
            </w:r>
          </w:p>
        </w:tc>
        <w:tc>
          <w:tcPr>
            <w:tcW w:w="2452" w:type="dxa"/>
            <w:tcBorders>
              <w:top w:val="nil"/>
              <w:bottom w:val="nil"/>
            </w:tcBorders>
            <w:vAlign w:val="bottom"/>
          </w:tcPr>
          <w:p w14:paraId="6EEAD8DB" w14:textId="77777777" w:rsidR="0085268A" w:rsidRPr="00DA406B" w:rsidRDefault="0085268A" w:rsidP="00977C46">
            <w:pPr>
              <w:jc w:val="center"/>
              <w:rPr>
                <w:rFonts w:asciiTheme="minorHAnsi" w:hAnsiTheme="minorHAnsi" w:cstheme="minorHAnsi"/>
                <w:color w:val="000000" w:themeColor="text1"/>
                <w:sz w:val="18"/>
                <w:szCs w:val="18"/>
                <w:highlight w:val="cyan"/>
              </w:rPr>
            </w:pPr>
            <w:r w:rsidRPr="00DA406B">
              <w:rPr>
                <w:rFonts w:asciiTheme="minorHAnsi" w:hAnsiTheme="minorHAnsi" w:cstheme="minorHAnsi"/>
                <w:color w:val="010205"/>
                <w:sz w:val="18"/>
                <w:szCs w:val="18"/>
              </w:rPr>
              <w:t>2</w:t>
            </w:r>
          </w:p>
        </w:tc>
        <w:tc>
          <w:tcPr>
            <w:tcW w:w="2452" w:type="dxa"/>
            <w:tcBorders>
              <w:top w:val="nil"/>
              <w:bottom w:val="nil"/>
            </w:tcBorders>
            <w:vAlign w:val="bottom"/>
          </w:tcPr>
          <w:p w14:paraId="428E39CD" w14:textId="77777777" w:rsidR="0085268A" w:rsidRPr="00DA406B" w:rsidRDefault="0085268A" w:rsidP="00977C46">
            <w:pPr>
              <w:jc w:val="center"/>
              <w:rPr>
                <w:rFonts w:asciiTheme="minorHAnsi" w:hAnsiTheme="minorHAnsi" w:cstheme="minorHAnsi"/>
                <w:color w:val="000000" w:themeColor="text1"/>
                <w:sz w:val="18"/>
                <w:szCs w:val="18"/>
                <w:highlight w:val="cyan"/>
              </w:rPr>
            </w:pPr>
            <w:r w:rsidRPr="00DA406B">
              <w:rPr>
                <w:rFonts w:asciiTheme="minorHAnsi" w:hAnsiTheme="minorHAnsi" w:cstheme="minorHAnsi"/>
                <w:color w:val="010205"/>
                <w:sz w:val="18"/>
                <w:szCs w:val="18"/>
              </w:rPr>
              <w:t>2.1</w:t>
            </w:r>
          </w:p>
        </w:tc>
      </w:tr>
      <w:tr w:rsidR="0085268A" w:rsidRPr="00AA732D" w14:paraId="6EF77632" w14:textId="77777777" w:rsidTr="00FD7E7A">
        <w:tc>
          <w:tcPr>
            <w:tcW w:w="4106" w:type="dxa"/>
            <w:tcBorders>
              <w:top w:val="nil"/>
              <w:bottom w:val="nil"/>
            </w:tcBorders>
            <w:vAlign w:val="bottom"/>
          </w:tcPr>
          <w:p w14:paraId="3AEE1303"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1-5 years</w:t>
            </w:r>
          </w:p>
        </w:tc>
        <w:tc>
          <w:tcPr>
            <w:tcW w:w="2452" w:type="dxa"/>
            <w:tcBorders>
              <w:top w:val="nil"/>
              <w:bottom w:val="nil"/>
            </w:tcBorders>
            <w:vAlign w:val="bottom"/>
          </w:tcPr>
          <w:p w14:paraId="5A5C1D00" w14:textId="77777777" w:rsidR="0085268A" w:rsidRPr="00DA406B" w:rsidRDefault="0085268A" w:rsidP="00977C46">
            <w:pPr>
              <w:jc w:val="center"/>
              <w:rPr>
                <w:rFonts w:asciiTheme="minorHAnsi" w:hAnsiTheme="minorHAnsi" w:cstheme="minorHAnsi"/>
                <w:color w:val="000000" w:themeColor="text1"/>
                <w:sz w:val="18"/>
                <w:szCs w:val="18"/>
                <w:highlight w:val="cyan"/>
              </w:rPr>
            </w:pPr>
            <w:r w:rsidRPr="00DA406B">
              <w:rPr>
                <w:rFonts w:asciiTheme="minorHAnsi" w:hAnsiTheme="minorHAnsi" w:cstheme="minorHAnsi"/>
                <w:color w:val="010205"/>
                <w:sz w:val="18"/>
                <w:szCs w:val="18"/>
              </w:rPr>
              <w:t>21</w:t>
            </w:r>
          </w:p>
        </w:tc>
        <w:tc>
          <w:tcPr>
            <w:tcW w:w="2452" w:type="dxa"/>
            <w:tcBorders>
              <w:top w:val="nil"/>
              <w:bottom w:val="nil"/>
            </w:tcBorders>
            <w:vAlign w:val="bottom"/>
          </w:tcPr>
          <w:p w14:paraId="1AD16AB6" w14:textId="77777777" w:rsidR="0085268A" w:rsidRPr="00DA406B" w:rsidRDefault="0085268A" w:rsidP="00977C46">
            <w:pPr>
              <w:jc w:val="center"/>
              <w:rPr>
                <w:rFonts w:asciiTheme="minorHAnsi" w:hAnsiTheme="minorHAnsi" w:cstheme="minorHAnsi"/>
                <w:color w:val="000000" w:themeColor="text1"/>
                <w:sz w:val="18"/>
                <w:szCs w:val="18"/>
                <w:highlight w:val="cyan"/>
              </w:rPr>
            </w:pPr>
            <w:r w:rsidRPr="00DA406B">
              <w:rPr>
                <w:rFonts w:asciiTheme="minorHAnsi" w:hAnsiTheme="minorHAnsi" w:cstheme="minorHAnsi"/>
                <w:color w:val="010205"/>
                <w:sz w:val="18"/>
                <w:szCs w:val="18"/>
              </w:rPr>
              <w:t>22.3</w:t>
            </w:r>
          </w:p>
        </w:tc>
      </w:tr>
      <w:tr w:rsidR="0085268A" w:rsidRPr="00AA732D" w14:paraId="496A9F01" w14:textId="77777777" w:rsidTr="00FD7E7A">
        <w:tc>
          <w:tcPr>
            <w:tcW w:w="4106" w:type="dxa"/>
            <w:tcBorders>
              <w:top w:val="nil"/>
              <w:bottom w:val="nil"/>
            </w:tcBorders>
            <w:vAlign w:val="bottom"/>
          </w:tcPr>
          <w:p w14:paraId="267E5134"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6-10 years</w:t>
            </w:r>
          </w:p>
        </w:tc>
        <w:tc>
          <w:tcPr>
            <w:tcW w:w="2452" w:type="dxa"/>
            <w:tcBorders>
              <w:top w:val="nil"/>
              <w:bottom w:val="nil"/>
            </w:tcBorders>
            <w:vAlign w:val="bottom"/>
          </w:tcPr>
          <w:p w14:paraId="56FE073D" w14:textId="77777777" w:rsidR="0085268A" w:rsidRPr="00DA406B" w:rsidRDefault="0085268A" w:rsidP="00977C46">
            <w:pPr>
              <w:jc w:val="center"/>
              <w:rPr>
                <w:rFonts w:asciiTheme="minorHAnsi" w:hAnsiTheme="minorHAnsi" w:cstheme="minorHAnsi"/>
                <w:color w:val="000000" w:themeColor="text1"/>
                <w:sz w:val="18"/>
                <w:szCs w:val="18"/>
                <w:highlight w:val="cyan"/>
              </w:rPr>
            </w:pPr>
            <w:r w:rsidRPr="00DA406B">
              <w:rPr>
                <w:rFonts w:asciiTheme="minorHAnsi" w:hAnsiTheme="minorHAnsi" w:cstheme="minorHAnsi"/>
                <w:color w:val="010205"/>
                <w:sz w:val="18"/>
                <w:szCs w:val="18"/>
              </w:rPr>
              <w:t>13</w:t>
            </w:r>
          </w:p>
        </w:tc>
        <w:tc>
          <w:tcPr>
            <w:tcW w:w="2452" w:type="dxa"/>
            <w:tcBorders>
              <w:top w:val="nil"/>
              <w:bottom w:val="nil"/>
            </w:tcBorders>
            <w:vAlign w:val="bottom"/>
          </w:tcPr>
          <w:p w14:paraId="6A6896B5" w14:textId="77777777" w:rsidR="0085268A" w:rsidRPr="00DA406B" w:rsidRDefault="0085268A" w:rsidP="00977C46">
            <w:pPr>
              <w:jc w:val="center"/>
              <w:rPr>
                <w:rFonts w:asciiTheme="minorHAnsi" w:hAnsiTheme="minorHAnsi" w:cstheme="minorHAnsi"/>
                <w:color w:val="000000" w:themeColor="text1"/>
                <w:sz w:val="18"/>
                <w:szCs w:val="18"/>
                <w:highlight w:val="cyan"/>
              </w:rPr>
            </w:pPr>
            <w:r w:rsidRPr="00DA406B">
              <w:rPr>
                <w:rFonts w:asciiTheme="minorHAnsi" w:hAnsiTheme="minorHAnsi" w:cstheme="minorHAnsi"/>
                <w:color w:val="010205"/>
                <w:sz w:val="18"/>
                <w:szCs w:val="18"/>
              </w:rPr>
              <w:t>13.8</w:t>
            </w:r>
          </w:p>
        </w:tc>
      </w:tr>
      <w:tr w:rsidR="0085268A" w:rsidRPr="00AA732D" w14:paraId="03D89DE3" w14:textId="77777777" w:rsidTr="00FD7E7A">
        <w:tc>
          <w:tcPr>
            <w:tcW w:w="4106" w:type="dxa"/>
            <w:tcBorders>
              <w:top w:val="nil"/>
              <w:bottom w:val="nil"/>
            </w:tcBorders>
            <w:vAlign w:val="bottom"/>
          </w:tcPr>
          <w:p w14:paraId="1A62CFDE"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11-15 years</w:t>
            </w:r>
          </w:p>
        </w:tc>
        <w:tc>
          <w:tcPr>
            <w:tcW w:w="2452" w:type="dxa"/>
            <w:tcBorders>
              <w:top w:val="nil"/>
              <w:bottom w:val="nil"/>
            </w:tcBorders>
            <w:vAlign w:val="bottom"/>
          </w:tcPr>
          <w:p w14:paraId="5BCD3DB4" w14:textId="77777777" w:rsidR="0085268A" w:rsidRPr="00DA406B" w:rsidRDefault="0085268A" w:rsidP="00977C46">
            <w:pPr>
              <w:jc w:val="center"/>
              <w:rPr>
                <w:rFonts w:asciiTheme="minorHAnsi" w:hAnsiTheme="minorHAnsi" w:cstheme="minorHAnsi"/>
                <w:color w:val="000000" w:themeColor="text1"/>
                <w:sz w:val="18"/>
                <w:szCs w:val="18"/>
                <w:highlight w:val="cyan"/>
              </w:rPr>
            </w:pPr>
            <w:r w:rsidRPr="00DA406B">
              <w:rPr>
                <w:rFonts w:asciiTheme="minorHAnsi" w:hAnsiTheme="minorHAnsi" w:cstheme="minorHAnsi"/>
                <w:color w:val="010205"/>
                <w:sz w:val="18"/>
                <w:szCs w:val="18"/>
              </w:rPr>
              <w:t>13</w:t>
            </w:r>
          </w:p>
        </w:tc>
        <w:tc>
          <w:tcPr>
            <w:tcW w:w="2452" w:type="dxa"/>
            <w:tcBorders>
              <w:top w:val="nil"/>
              <w:bottom w:val="nil"/>
            </w:tcBorders>
            <w:vAlign w:val="bottom"/>
          </w:tcPr>
          <w:p w14:paraId="6BC51C39" w14:textId="77777777" w:rsidR="0085268A" w:rsidRPr="00DA406B" w:rsidRDefault="0085268A" w:rsidP="00977C46">
            <w:pPr>
              <w:jc w:val="center"/>
              <w:rPr>
                <w:rFonts w:asciiTheme="minorHAnsi" w:hAnsiTheme="minorHAnsi" w:cstheme="minorHAnsi"/>
                <w:color w:val="000000" w:themeColor="text1"/>
                <w:sz w:val="18"/>
                <w:szCs w:val="18"/>
                <w:highlight w:val="cyan"/>
              </w:rPr>
            </w:pPr>
            <w:r w:rsidRPr="00DA406B">
              <w:rPr>
                <w:rFonts w:asciiTheme="minorHAnsi" w:hAnsiTheme="minorHAnsi" w:cstheme="minorHAnsi"/>
                <w:color w:val="010205"/>
                <w:sz w:val="18"/>
                <w:szCs w:val="18"/>
              </w:rPr>
              <w:t>13.8</w:t>
            </w:r>
          </w:p>
        </w:tc>
      </w:tr>
      <w:tr w:rsidR="0085268A" w:rsidRPr="00AA732D" w14:paraId="7CECB4F3" w14:textId="77777777" w:rsidTr="00FD7E7A">
        <w:tc>
          <w:tcPr>
            <w:tcW w:w="4106" w:type="dxa"/>
            <w:tcBorders>
              <w:top w:val="nil"/>
              <w:bottom w:val="nil"/>
            </w:tcBorders>
            <w:vAlign w:val="bottom"/>
          </w:tcPr>
          <w:p w14:paraId="282DC597"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16-20 years</w:t>
            </w:r>
          </w:p>
        </w:tc>
        <w:tc>
          <w:tcPr>
            <w:tcW w:w="2452" w:type="dxa"/>
            <w:tcBorders>
              <w:top w:val="nil"/>
              <w:bottom w:val="nil"/>
            </w:tcBorders>
            <w:vAlign w:val="bottom"/>
          </w:tcPr>
          <w:p w14:paraId="7F01E733" w14:textId="77777777" w:rsidR="0085268A" w:rsidRPr="00DA406B" w:rsidRDefault="0085268A" w:rsidP="00977C46">
            <w:pPr>
              <w:jc w:val="center"/>
              <w:rPr>
                <w:rFonts w:asciiTheme="minorHAnsi" w:hAnsiTheme="minorHAnsi" w:cstheme="minorHAnsi"/>
                <w:color w:val="000000" w:themeColor="text1"/>
                <w:sz w:val="18"/>
                <w:szCs w:val="18"/>
                <w:highlight w:val="cyan"/>
              </w:rPr>
            </w:pPr>
            <w:r w:rsidRPr="00DA406B">
              <w:rPr>
                <w:rFonts w:asciiTheme="minorHAnsi" w:hAnsiTheme="minorHAnsi" w:cstheme="minorHAnsi"/>
                <w:color w:val="010205"/>
                <w:sz w:val="18"/>
                <w:szCs w:val="18"/>
              </w:rPr>
              <w:t>13</w:t>
            </w:r>
          </w:p>
        </w:tc>
        <w:tc>
          <w:tcPr>
            <w:tcW w:w="2452" w:type="dxa"/>
            <w:tcBorders>
              <w:top w:val="nil"/>
              <w:bottom w:val="nil"/>
            </w:tcBorders>
            <w:vAlign w:val="bottom"/>
          </w:tcPr>
          <w:p w14:paraId="070F9C52" w14:textId="77777777" w:rsidR="0085268A" w:rsidRPr="00DA406B" w:rsidRDefault="0085268A" w:rsidP="00977C46">
            <w:pPr>
              <w:jc w:val="center"/>
              <w:rPr>
                <w:rFonts w:asciiTheme="minorHAnsi" w:hAnsiTheme="minorHAnsi" w:cstheme="minorHAnsi"/>
                <w:color w:val="000000" w:themeColor="text1"/>
                <w:sz w:val="18"/>
                <w:szCs w:val="18"/>
                <w:highlight w:val="cyan"/>
              </w:rPr>
            </w:pPr>
            <w:r w:rsidRPr="00DA406B">
              <w:rPr>
                <w:rFonts w:asciiTheme="minorHAnsi" w:hAnsiTheme="minorHAnsi" w:cstheme="minorHAnsi"/>
                <w:color w:val="010205"/>
                <w:sz w:val="18"/>
                <w:szCs w:val="18"/>
              </w:rPr>
              <w:t>13.8</w:t>
            </w:r>
          </w:p>
        </w:tc>
      </w:tr>
      <w:tr w:rsidR="0085268A" w:rsidRPr="00AA732D" w14:paraId="66B4ECB5" w14:textId="77777777" w:rsidTr="00FD7E7A">
        <w:tc>
          <w:tcPr>
            <w:tcW w:w="4106" w:type="dxa"/>
            <w:tcBorders>
              <w:top w:val="nil"/>
              <w:bottom w:val="nil"/>
            </w:tcBorders>
            <w:vAlign w:val="bottom"/>
          </w:tcPr>
          <w:p w14:paraId="1FE6D334"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More than 20 years</w:t>
            </w:r>
          </w:p>
        </w:tc>
        <w:tc>
          <w:tcPr>
            <w:tcW w:w="2452" w:type="dxa"/>
            <w:tcBorders>
              <w:top w:val="nil"/>
              <w:bottom w:val="nil"/>
            </w:tcBorders>
            <w:vAlign w:val="bottom"/>
          </w:tcPr>
          <w:p w14:paraId="75412E5B" w14:textId="77777777" w:rsidR="0085268A" w:rsidRPr="00DA406B" w:rsidRDefault="0085268A" w:rsidP="00977C46">
            <w:pPr>
              <w:jc w:val="center"/>
              <w:rPr>
                <w:rFonts w:asciiTheme="minorHAnsi" w:hAnsiTheme="minorHAnsi" w:cstheme="minorHAnsi"/>
                <w:color w:val="000000" w:themeColor="text1"/>
                <w:sz w:val="18"/>
                <w:szCs w:val="18"/>
                <w:highlight w:val="cyan"/>
              </w:rPr>
            </w:pPr>
            <w:r w:rsidRPr="00DA406B">
              <w:rPr>
                <w:rFonts w:asciiTheme="minorHAnsi" w:hAnsiTheme="minorHAnsi" w:cstheme="minorHAnsi"/>
                <w:color w:val="010205"/>
                <w:sz w:val="18"/>
                <w:szCs w:val="18"/>
              </w:rPr>
              <w:t>31</w:t>
            </w:r>
          </w:p>
        </w:tc>
        <w:tc>
          <w:tcPr>
            <w:tcW w:w="2452" w:type="dxa"/>
            <w:tcBorders>
              <w:top w:val="nil"/>
              <w:bottom w:val="nil"/>
            </w:tcBorders>
            <w:vAlign w:val="bottom"/>
          </w:tcPr>
          <w:p w14:paraId="609C494D" w14:textId="77777777" w:rsidR="0085268A" w:rsidRPr="00DA406B" w:rsidRDefault="0085268A" w:rsidP="00977C46">
            <w:pPr>
              <w:jc w:val="center"/>
              <w:rPr>
                <w:rFonts w:asciiTheme="minorHAnsi" w:hAnsiTheme="minorHAnsi" w:cstheme="minorHAnsi"/>
                <w:color w:val="000000" w:themeColor="text1"/>
                <w:sz w:val="18"/>
                <w:szCs w:val="18"/>
                <w:highlight w:val="cyan"/>
              </w:rPr>
            </w:pPr>
            <w:r w:rsidRPr="00DA406B">
              <w:rPr>
                <w:rFonts w:asciiTheme="minorHAnsi" w:hAnsiTheme="minorHAnsi" w:cstheme="minorHAnsi"/>
                <w:color w:val="010205"/>
                <w:sz w:val="18"/>
                <w:szCs w:val="18"/>
              </w:rPr>
              <w:t>33.0</w:t>
            </w:r>
          </w:p>
        </w:tc>
      </w:tr>
      <w:tr w:rsidR="0085268A" w:rsidRPr="00AA732D" w14:paraId="1E5DCFB3" w14:textId="77777777" w:rsidTr="00FD7E7A">
        <w:tc>
          <w:tcPr>
            <w:tcW w:w="4106" w:type="dxa"/>
            <w:tcBorders>
              <w:top w:val="nil"/>
              <w:bottom w:val="single" w:sz="4" w:space="0" w:color="auto"/>
            </w:tcBorders>
            <w:vAlign w:val="bottom"/>
          </w:tcPr>
          <w:p w14:paraId="45E9BE82"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Missing</w:t>
            </w:r>
          </w:p>
        </w:tc>
        <w:tc>
          <w:tcPr>
            <w:tcW w:w="2452" w:type="dxa"/>
            <w:tcBorders>
              <w:top w:val="nil"/>
              <w:bottom w:val="single" w:sz="4" w:space="0" w:color="auto"/>
            </w:tcBorders>
            <w:vAlign w:val="bottom"/>
          </w:tcPr>
          <w:p w14:paraId="333E6A80" w14:textId="77777777" w:rsidR="0085268A" w:rsidRPr="00DA406B" w:rsidRDefault="0085268A" w:rsidP="00977C46">
            <w:pPr>
              <w:jc w:val="center"/>
              <w:rPr>
                <w:rFonts w:asciiTheme="minorHAnsi" w:hAnsiTheme="minorHAnsi" w:cstheme="minorHAnsi"/>
                <w:color w:val="000000" w:themeColor="text1"/>
                <w:sz w:val="18"/>
                <w:szCs w:val="18"/>
                <w:highlight w:val="cyan"/>
              </w:rPr>
            </w:pPr>
            <w:r w:rsidRPr="00DA406B">
              <w:rPr>
                <w:rFonts w:asciiTheme="minorHAnsi" w:hAnsiTheme="minorHAnsi" w:cstheme="minorHAnsi"/>
                <w:color w:val="010205"/>
                <w:sz w:val="18"/>
                <w:szCs w:val="18"/>
              </w:rPr>
              <w:t>1</w:t>
            </w:r>
          </w:p>
        </w:tc>
        <w:tc>
          <w:tcPr>
            <w:tcW w:w="2452" w:type="dxa"/>
            <w:tcBorders>
              <w:top w:val="nil"/>
              <w:bottom w:val="single" w:sz="4" w:space="0" w:color="auto"/>
            </w:tcBorders>
            <w:vAlign w:val="bottom"/>
          </w:tcPr>
          <w:p w14:paraId="7C889234" w14:textId="77777777" w:rsidR="0085268A" w:rsidRPr="00DA406B" w:rsidRDefault="0085268A" w:rsidP="00977C46">
            <w:pPr>
              <w:jc w:val="center"/>
              <w:rPr>
                <w:rFonts w:asciiTheme="minorHAnsi" w:hAnsiTheme="minorHAnsi" w:cstheme="minorHAnsi"/>
                <w:color w:val="000000" w:themeColor="text1"/>
                <w:sz w:val="18"/>
                <w:szCs w:val="18"/>
                <w:highlight w:val="cyan"/>
              </w:rPr>
            </w:pPr>
            <w:r w:rsidRPr="00DA406B">
              <w:rPr>
                <w:rFonts w:asciiTheme="minorHAnsi" w:hAnsiTheme="minorHAnsi" w:cstheme="minorHAnsi"/>
                <w:color w:val="010205"/>
                <w:sz w:val="18"/>
                <w:szCs w:val="18"/>
              </w:rPr>
              <w:t>1.1</w:t>
            </w:r>
          </w:p>
        </w:tc>
      </w:tr>
      <w:tr w:rsidR="0085268A" w:rsidRPr="00AA732D" w14:paraId="40BBACED" w14:textId="77777777" w:rsidTr="00FD7E7A">
        <w:tc>
          <w:tcPr>
            <w:tcW w:w="4106" w:type="dxa"/>
            <w:tcBorders>
              <w:top w:val="single" w:sz="4" w:space="0" w:color="auto"/>
            </w:tcBorders>
            <w:vAlign w:val="bottom"/>
          </w:tcPr>
          <w:p w14:paraId="0FF5D4C8" w14:textId="77777777" w:rsidR="0085268A" w:rsidRPr="00A41A26" w:rsidRDefault="0085268A" w:rsidP="00977C46">
            <w:pPr>
              <w:rPr>
                <w:rFonts w:asciiTheme="minorHAnsi" w:hAnsiTheme="minorHAnsi"/>
                <w:b/>
                <w:color w:val="000000" w:themeColor="text1"/>
                <w:sz w:val="18"/>
                <w:szCs w:val="18"/>
              </w:rPr>
            </w:pPr>
            <w:r w:rsidRPr="00A41A26">
              <w:rPr>
                <w:rFonts w:asciiTheme="minorHAnsi" w:hAnsiTheme="minorHAnsi"/>
                <w:b/>
                <w:bCs/>
                <w:color w:val="000000" w:themeColor="text1"/>
                <w:sz w:val="18"/>
                <w:szCs w:val="18"/>
              </w:rPr>
              <w:t xml:space="preserve">Type of organisation work </w:t>
            </w:r>
            <w:proofErr w:type="spellStart"/>
            <w:r w:rsidRPr="00A41A26">
              <w:rPr>
                <w:rFonts w:asciiTheme="minorHAnsi" w:hAnsiTheme="minorHAnsi"/>
                <w:b/>
                <w:bCs/>
                <w:color w:val="000000" w:themeColor="text1"/>
                <w:sz w:val="18"/>
                <w:szCs w:val="18"/>
              </w:rPr>
              <w:t>in</w:t>
            </w:r>
            <w:r w:rsidRPr="00A41A26">
              <w:rPr>
                <w:rFonts w:asciiTheme="minorHAnsi" w:hAnsiTheme="minorHAnsi"/>
                <w:b/>
                <w:bCs/>
                <w:color w:val="000000" w:themeColor="text1"/>
                <w:sz w:val="18"/>
                <w:szCs w:val="18"/>
                <w:vertAlign w:val="superscript"/>
              </w:rPr>
              <w:t>a</w:t>
            </w:r>
            <w:proofErr w:type="spellEnd"/>
            <w:r w:rsidRPr="00A41A26">
              <w:rPr>
                <w:rFonts w:asciiTheme="minorHAnsi" w:hAnsiTheme="minorHAnsi"/>
                <w:b/>
                <w:bCs/>
                <w:color w:val="000000" w:themeColor="text1"/>
                <w:sz w:val="18"/>
                <w:szCs w:val="18"/>
              </w:rPr>
              <w:t xml:space="preserve"> </w:t>
            </w:r>
          </w:p>
        </w:tc>
        <w:tc>
          <w:tcPr>
            <w:tcW w:w="2452" w:type="dxa"/>
            <w:tcBorders>
              <w:top w:val="single" w:sz="4" w:space="0" w:color="auto"/>
            </w:tcBorders>
          </w:tcPr>
          <w:p w14:paraId="64F0AC75" w14:textId="77777777" w:rsidR="0085268A" w:rsidRPr="005509C0" w:rsidRDefault="0085268A" w:rsidP="00977C46">
            <w:pPr>
              <w:jc w:val="center"/>
              <w:rPr>
                <w:rFonts w:asciiTheme="minorHAnsi" w:hAnsiTheme="minorHAnsi"/>
                <w:color w:val="000000" w:themeColor="text1"/>
                <w:sz w:val="18"/>
                <w:szCs w:val="18"/>
                <w:highlight w:val="cyan"/>
              </w:rPr>
            </w:pPr>
          </w:p>
        </w:tc>
        <w:tc>
          <w:tcPr>
            <w:tcW w:w="2452" w:type="dxa"/>
            <w:tcBorders>
              <w:top w:val="single" w:sz="4" w:space="0" w:color="auto"/>
            </w:tcBorders>
          </w:tcPr>
          <w:p w14:paraId="0015005D" w14:textId="77777777" w:rsidR="0085268A" w:rsidRPr="005509C0" w:rsidRDefault="0085268A" w:rsidP="00977C46">
            <w:pPr>
              <w:jc w:val="center"/>
              <w:rPr>
                <w:rFonts w:asciiTheme="minorHAnsi" w:hAnsiTheme="minorHAnsi"/>
                <w:color w:val="000000" w:themeColor="text1"/>
                <w:sz w:val="18"/>
                <w:szCs w:val="18"/>
                <w:highlight w:val="cyan"/>
              </w:rPr>
            </w:pPr>
          </w:p>
        </w:tc>
      </w:tr>
      <w:tr w:rsidR="0085268A" w:rsidRPr="00AA732D" w14:paraId="07305C1A" w14:textId="77777777">
        <w:tc>
          <w:tcPr>
            <w:tcW w:w="4106" w:type="dxa"/>
            <w:vAlign w:val="bottom"/>
          </w:tcPr>
          <w:p w14:paraId="7AE5E254"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Digital/online mental health service</w:t>
            </w:r>
          </w:p>
        </w:tc>
        <w:tc>
          <w:tcPr>
            <w:tcW w:w="2452" w:type="dxa"/>
          </w:tcPr>
          <w:p w14:paraId="60289D03"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11</w:t>
            </w:r>
          </w:p>
        </w:tc>
        <w:tc>
          <w:tcPr>
            <w:tcW w:w="2452" w:type="dxa"/>
          </w:tcPr>
          <w:p w14:paraId="111C5688"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12.2</w:t>
            </w:r>
          </w:p>
        </w:tc>
      </w:tr>
      <w:tr w:rsidR="0085268A" w:rsidRPr="00AA732D" w14:paraId="1CA86198" w14:textId="77777777">
        <w:tc>
          <w:tcPr>
            <w:tcW w:w="4106" w:type="dxa"/>
            <w:vAlign w:val="bottom"/>
          </w:tcPr>
          <w:p w14:paraId="654A09DD"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Face-to-face mental health service</w:t>
            </w:r>
          </w:p>
        </w:tc>
        <w:tc>
          <w:tcPr>
            <w:tcW w:w="2452" w:type="dxa"/>
          </w:tcPr>
          <w:p w14:paraId="64695ADE"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35</w:t>
            </w:r>
          </w:p>
        </w:tc>
        <w:tc>
          <w:tcPr>
            <w:tcW w:w="2452" w:type="dxa"/>
          </w:tcPr>
          <w:p w14:paraId="38CFF2F5"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38.9</w:t>
            </w:r>
          </w:p>
        </w:tc>
      </w:tr>
      <w:tr w:rsidR="0085268A" w:rsidRPr="00AA732D" w14:paraId="1C9214B2" w14:textId="77777777">
        <w:tc>
          <w:tcPr>
            <w:tcW w:w="4106" w:type="dxa"/>
            <w:vAlign w:val="bottom"/>
          </w:tcPr>
          <w:p w14:paraId="02B4CDBA"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Telephone mental health service</w:t>
            </w:r>
          </w:p>
        </w:tc>
        <w:tc>
          <w:tcPr>
            <w:tcW w:w="2452" w:type="dxa"/>
          </w:tcPr>
          <w:p w14:paraId="6D451350"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6</w:t>
            </w:r>
          </w:p>
        </w:tc>
        <w:tc>
          <w:tcPr>
            <w:tcW w:w="2452" w:type="dxa"/>
          </w:tcPr>
          <w:p w14:paraId="0E02CD7E"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6.7</w:t>
            </w:r>
          </w:p>
        </w:tc>
      </w:tr>
      <w:tr w:rsidR="0085268A" w:rsidRPr="00AA732D" w14:paraId="59560AAE" w14:textId="77777777">
        <w:tc>
          <w:tcPr>
            <w:tcW w:w="4106" w:type="dxa"/>
            <w:vAlign w:val="bottom"/>
          </w:tcPr>
          <w:p w14:paraId="2B30B3CD"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Private practice – mental health</w:t>
            </w:r>
          </w:p>
        </w:tc>
        <w:tc>
          <w:tcPr>
            <w:tcW w:w="2452" w:type="dxa"/>
          </w:tcPr>
          <w:p w14:paraId="066E8FBA"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37</w:t>
            </w:r>
          </w:p>
        </w:tc>
        <w:tc>
          <w:tcPr>
            <w:tcW w:w="2452" w:type="dxa"/>
          </w:tcPr>
          <w:p w14:paraId="5A8C7449"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41.1</w:t>
            </w:r>
          </w:p>
        </w:tc>
      </w:tr>
      <w:tr w:rsidR="0085268A" w:rsidRPr="00AA732D" w14:paraId="0560ED4B" w14:textId="77777777">
        <w:tc>
          <w:tcPr>
            <w:tcW w:w="4106" w:type="dxa"/>
            <w:vAlign w:val="bottom"/>
          </w:tcPr>
          <w:p w14:paraId="54E4A035"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General practice</w:t>
            </w:r>
          </w:p>
        </w:tc>
        <w:tc>
          <w:tcPr>
            <w:tcW w:w="2452" w:type="dxa"/>
          </w:tcPr>
          <w:p w14:paraId="61E2F9C7"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10</w:t>
            </w:r>
          </w:p>
        </w:tc>
        <w:tc>
          <w:tcPr>
            <w:tcW w:w="2452" w:type="dxa"/>
          </w:tcPr>
          <w:p w14:paraId="5B95300B"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11.1</w:t>
            </w:r>
          </w:p>
        </w:tc>
      </w:tr>
      <w:tr w:rsidR="0085268A" w:rsidRPr="00AA732D" w14:paraId="195D7BBC" w14:textId="77777777">
        <w:tc>
          <w:tcPr>
            <w:tcW w:w="4106" w:type="dxa"/>
            <w:vAlign w:val="bottom"/>
          </w:tcPr>
          <w:p w14:paraId="727BFACF"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Private hospital</w:t>
            </w:r>
          </w:p>
        </w:tc>
        <w:tc>
          <w:tcPr>
            <w:tcW w:w="2452" w:type="dxa"/>
          </w:tcPr>
          <w:p w14:paraId="1951C99E"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0</w:t>
            </w:r>
          </w:p>
        </w:tc>
        <w:tc>
          <w:tcPr>
            <w:tcW w:w="2452" w:type="dxa"/>
          </w:tcPr>
          <w:p w14:paraId="71B073F5"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0</w:t>
            </w:r>
          </w:p>
        </w:tc>
      </w:tr>
      <w:tr w:rsidR="0085268A" w:rsidRPr="00AA732D" w14:paraId="786C8831" w14:textId="77777777">
        <w:tc>
          <w:tcPr>
            <w:tcW w:w="4106" w:type="dxa"/>
            <w:vAlign w:val="bottom"/>
          </w:tcPr>
          <w:p w14:paraId="3260AD58"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Public hospital</w:t>
            </w:r>
          </w:p>
        </w:tc>
        <w:tc>
          <w:tcPr>
            <w:tcW w:w="2452" w:type="dxa"/>
          </w:tcPr>
          <w:p w14:paraId="41E6DED6"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3</w:t>
            </w:r>
          </w:p>
        </w:tc>
        <w:tc>
          <w:tcPr>
            <w:tcW w:w="2452" w:type="dxa"/>
          </w:tcPr>
          <w:p w14:paraId="50FF97BA"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3.3</w:t>
            </w:r>
          </w:p>
        </w:tc>
      </w:tr>
      <w:tr w:rsidR="0085268A" w:rsidRPr="00AA732D" w14:paraId="702FE008" w14:textId="77777777">
        <w:tc>
          <w:tcPr>
            <w:tcW w:w="4106" w:type="dxa"/>
            <w:vAlign w:val="bottom"/>
          </w:tcPr>
          <w:p w14:paraId="76B1C6E5"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Not-for-profit community organization</w:t>
            </w:r>
          </w:p>
        </w:tc>
        <w:tc>
          <w:tcPr>
            <w:tcW w:w="2452" w:type="dxa"/>
          </w:tcPr>
          <w:p w14:paraId="1D282C37"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12</w:t>
            </w:r>
          </w:p>
        </w:tc>
        <w:tc>
          <w:tcPr>
            <w:tcW w:w="2452" w:type="dxa"/>
          </w:tcPr>
          <w:p w14:paraId="2934F88C"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13.3</w:t>
            </w:r>
          </w:p>
        </w:tc>
      </w:tr>
      <w:tr w:rsidR="0085268A" w:rsidRPr="00AA732D" w14:paraId="45ABAE3C" w14:textId="77777777">
        <w:tc>
          <w:tcPr>
            <w:tcW w:w="4106" w:type="dxa"/>
            <w:vAlign w:val="bottom"/>
          </w:tcPr>
          <w:p w14:paraId="77B2968D"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P</w:t>
            </w:r>
            <w:r>
              <w:rPr>
                <w:rFonts w:asciiTheme="minorHAnsi" w:hAnsiTheme="minorHAnsi"/>
                <w:color w:val="000000" w:themeColor="text1"/>
                <w:sz w:val="18"/>
                <w:szCs w:val="18"/>
              </w:rPr>
              <w:t>rimary Health Network</w:t>
            </w:r>
          </w:p>
        </w:tc>
        <w:tc>
          <w:tcPr>
            <w:tcW w:w="2452" w:type="dxa"/>
          </w:tcPr>
          <w:p w14:paraId="1946A4F9"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1</w:t>
            </w:r>
          </w:p>
        </w:tc>
        <w:tc>
          <w:tcPr>
            <w:tcW w:w="2452" w:type="dxa"/>
          </w:tcPr>
          <w:p w14:paraId="4633A0C6"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1.1</w:t>
            </w:r>
          </w:p>
        </w:tc>
      </w:tr>
      <w:tr w:rsidR="0085268A" w:rsidRPr="00AA732D" w14:paraId="1147F84E" w14:textId="77777777">
        <w:tc>
          <w:tcPr>
            <w:tcW w:w="4106" w:type="dxa"/>
            <w:vAlign w:val="bottom"/>
          </w:tcPr>
          <w:p w14:paraId="6648199F"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 xml:space="preserve">Aboriginal Health </w:t>
            </w:r>
          </w:p>
        </w:tc>
        <w:tc>
          <w:tcPr>
            <w:tcW w:w="2452" w:type="dxa"/>
          </w:tcPr>
          <w:p w14:paraId="770BE331"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2</w:t>
            </w:r>
          </w:p>
        </w:tc>
        <w:tc>
          <w:tcPr>
            <w:tcW w:w="2452" w:type="dxa"/>
          </w:tcPr>
          <w:p w14:paraId="1E17C75D"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2.2</w:t>
            </w:r>
          </w:p>
        </w:tc>
      </w:tr>
      <w:tr w:rsidR="0085268A" w:rsidRPr="00AA732D" w14:paraId="56FB83D7" w14:textId="77777777">
        <w:tc>
          <w:tcPr>
            <w:tcW w:w="4106" w:type="dxa"/>
            <w:vAlign w:val="bottom"/>
          </w:tcPr>
          <w:p w14:paraId="110D80AF"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Careers consultant</w:t>
            </w:r>
          </w:p>
        </w:tc>
        <w:tc>
          <w:tcPr>
            <w:tcW w:w="2452" w:type="dxa"/>
          </w:tcPr>
          <w:p w14:paraId="4E0E83D4"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1</w:t>
            </w:r>
          </w:p>
        </w:tc>
        <w:tc>
          <w:tcPr>
            <w:tcW w:w="2452" w:type="dxa"/>
          </w:tcPr>
          <w:p w14:paraId="1DE43615"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1.1</w:t>
            </w:r>
          </w:p>
        </w:tc>
      </w:tr>
      <w:tr w:rsidR="0085268A" w:rsidRPr="00AA732D" w14:paraId="303B6D79" w14:textId="77777777">
        <w:tc>
          <w:tcPr>
            <w:tcW w:w="4106" w:type="dxa"/>
            <w:vAlign w:val="bottom"/>
          </w:tcPr>
          <w:p w14:paraId="09FDC280"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Community Mental Health</w:t>
            </w:r>
          </w:p>
        </w:tc>
        <w:tc>
          <w:tcPr>
            <w:tcW w:w="2452" w:type="dxa"/>
          </w:tcPr>
          <w:p w14:paraId="671B517C"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2</w:t>
            </w:r>
          </w:p>
        </w:tc>
        <w:tc>
          <w:tcPr>
            <w:tcW w:w="2452" w:type="dxa"/>
          </w:tcPr>
          <w:p w14:paraId="1E11E99A"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2.2</w:t>
            </w:r>
          </w:p>
        </w:tc>
      </w:tr>
      <w:tr w:rsidR="0085268A" w:rsidRPr="00AA732D" w14:paraId="29C5EDE8" w14:textId="77777777">
        <w:tc>
          <w:tcPr>
            <w:tcW w:w="4106" w:type="dxa"/>
            <w:vAlign w:val="bottom"/>
          </w:tcPr>
          <w:p w14:paraId="72E37B18"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 xml:space="preserve">Government </w:t>
            </w:r>
          </w:p>
        </w:tc>
        <w:tc>
          <w:tcPr>
            <w:tcW w:w="2452" w:type="dxa"/>
          </w:tcPr>
          <w:p w14:paraId="1BF63424"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2</w:t>
            </w:r>
          </w:p>
        </w:tc>
        <w:tc>
          <w:tcPr>
            <w:tcW w:w="2452" w:type="dxa"/>
          </w:tcPr>
          <w:p w14:paraId="4F3B1C9F"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2.2</w:t>
            </w:r>
          </w:p>
        </w:tc>
      </w:tr>
      <w:tr w:rsidR="0085268A" w:rsidRPr="00AA732D" w14:paraId="49EBE86C" w14:textId="77777777">
        <w:tc>
          <w:tcPr>
            <w:tcW w:w="4106" w:type="dxa"/>
            <w:vAlign w:val="bottom"/>
          </w:tcPr>
          <w:p w14:paraId="2944B792"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Disability Support</w:t>
            </w:r>
          </w:p>
        </w:tc>
        <w:tc>
          <w:tcPr>
            <w:tcW w:w="2452" w:type="dxa"/>
          </w:tcPr>
          <w:p w14:paraId="4C433128"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1</w:t>
            </w:r>
          </w:p>
        </w:tc>
        <w:tc>
          <w:tcPr>
            <w:tcW w:w="2452" w:type="dxa"/>
          </w:tcPr>
          <w:p w14:paraId="48C1B28F"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1.1</w:t>
            </w:r>
          </w:p>
        </w:tc>
      </w:tr>
      <w:tr w:rsidR="0085268A" w:rsidRPr="00AA732D" w14:paraId="39F3D17D" w14:textId="77777777">
        <w:tc>
          <w:tcPr>
            <w:tcW w:w="4106" w:type="dxa"/>
            <w:vAlign w:val="bottom"/>
          </w:tcPr>
          <w:p w14:paraId="7A405438"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Education</w:t>
            </w:r>
          </w:p>
        </w:tc>
        <w:tc>
          <w:tcPr>
            <w:tcW w:w="2452" w:type="dxa"/>
          </w:tcPr>
          <w:p w14:paraId="10EBD225"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4</w:t>
            </w:r>
          </w:p>
        </w:tc>
        <w:tc>
          <w:tcPr>
            <w:tcW w:w="2452" w:type="dxa"/>
          </w:tcPr>
          <w:p w14:paraId="41E99B33"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4.4</w:t>
            </w:r>
          </w:p>
        </w:tc>
      </w:tr>
      <w:tr w:rsidR="0085268A" w:rsidRPr="00AA732D" w14:paraId="1F4E0FBD" w14:textId="77777777" w:rsidTr="00FD7E7A">
        <w:tc>
          <w:tcPr>
            <w:tcW w:w="4106" w:type="dxa"/>
            <w:tcBorders>
              <w:bottom w:val="single" w:sz="4" w:space="0" w:color="auto"/>
            </w:tcBorders>
            <w:vAlign w:val="bottom"/>
          </w:tcPr>
          <w:p w14:paraId="59B879B5" w14:textId="77777777" w:rsidR="0085268A" w:rsidRPr="00A41A26" w:rsidRDefault="0085268A" w:rsidP="00977C46">
            <w:pPr>
              <w:ind w:firstLine="243"/>
              <w:rPr>
                <w:rFonts w:asciiTheme="minorHAnsi" w:hAnsiTheme="minorHAnsi"/>
                <w:color w:val="000000" w:themeColor="text1"/>
                <w:sz w:val="18"/>
                <w:szCs w:val="18"/>
              </w:rPr>
            </w:pPr>
            <w:r w:rsidRPr="00A41A26">
              <w:rPr>
                <w:rFonts w:asciiTheme="minorHAnsi" w:hAnsiTheme="minorHAnsi"/>
                <w:color w:val="000000" w:themeColor="text1"/>
                <w:sz w:val="18"/>
                <w:szCs w:val="18"/>
              </w:rPr>
              <w:t xml:space="preserve">Research </w:t>
            </w:r>
          </w:p>
        </w:tc>
        <w:tc>
          <w:tcPr>
            <w:tcW w:w="2452" w:type="dxa"/>
            <w:tcBorders>
              <w:bottom w:val="single" w:sz="4" w:space="0" w:color="auto"/>
            </w:tcBorders>
          </w:tcPr>
          <w:p w14:paraId="1521F1AB"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1</w:t>
            </w:r>
          </w:p>
        </w:tc>
        <w:tc>
          <w:tcPr>
            <w:tcW w:w="2452" w:type="dxa"/>
            <w:tcBorders>
              <w:bottom w:val="single" w:sz="4" w:space="0" w:color="auto"/>
            </w:tcBorders>
          </w:tcPr>
          <w:p w14:paraId="5240E996" w14:textId="77777777" w:rsidR="0085268A" w:rsidRPr="005D0525" w:rsidRDefault="0085268A" w:rsidP="00977C46">
            <w:pPr>
              <w:jc w:val="center"/>
              <w:rPr>
                <w:rFonts w:asciiTheme="minorHAnsi" w:hAnsiTheme="minorHAnsi"/>
                <w:color w:val="000000" w:themeColor="text1"/>
                <w:sz w:val="18"/>
                <w:szCs w:val="18"/>
              </w:rPr>
            </w:pPr>
            <w:r w:rsidRPr="005D0525">
              <w:rPr>
                <w:rFonts w:asciiTheme="minorHAnsi" w:hAnsiTheme="minorHAnsi"/>
                <w:color w:val="000000" w:themeColor="text1"/>
                <w:sz w:val="18"/>
                <w:szCs w:val="18"/>
              </w:rPr>
              <w:t>1.1</w:t>
            </w:r>
          </w:p>
        </w:tc>
      </w:tr>
      <w:tr w:rsidR="0085268A" w:rsidRPr="00AA732D" w14:paraId="19499B80" w14:textId="77777777" w:rsidTr="00FD7E7A">
        <w:tc>
          <w:tcPr>
            <w:tcW w:w="4106" w:type="dxa"/>
            <w:tcBorders>
              <w:top w:val="single" w:sz="4" w:space="0" w:color="auto"/>
              <w:bottom w:val="nil"/>
            </w:tcBorders>
            <w:vAlign w:val="bottom"/>
          </w:tcPr>
          <w:p w14:paraId="10BE7CE3" w14:textId="77777777" w:rsidR="0085268A" w:rsidRPr="00AB4FAD" w:rsidRDefault="0085268A" w:rsidP="00977C46">
            <w:pPr>
              <w:rPr>
                <w:rFonts w:asciiTheme="minorHAnsi" w:hAnsiTheme="minorHAnsi"/>
                <w:b/>
                <w:bCs/>
                <w:color w:val="000000" w:themeColor="text1"/>
                <w:sz w:val="18"/>
                <w:szCs w:val="18"/>
                <w:vertAlign w:val="superscript"/>
              </w:rPr>
            </w:pPr>
            <w:r>
              <w:rPr>
                <w:rFonts w:asciiTheme="minorHAnsi" w:hAnsiTheme="minorHAnsi"/>
                <w:b/>
                <w:bCs/>
                <w:color w:val="000000" w:themeColor="text1"/>
                <w:sz w:val="18"/>
                <w:szCs w:val="18"/>
              </w:rPr>
              <w:t xml:space="preserve">Role within </w:t>
            </w:r>
            <w:proofErr w:type="spellStart"/>
            <w:r>
              <w:rPr>
                <w:rFonts w:asciiTheme="minorHAnsi" w:hAnsiTheme="minorHAnsi"/>
                <w:b/>
                <w:bCs/>
                <w:color w:val="000000" w:themeColor="text1"/>
                <w:sz w:val="18"/>
                <w:szCs w:val="18"/>
              </w:rPr>
              <w:t>organisation</w:t>
            </w:r>
            <w:r>
              <w:rPr>
                <w:rFonts w:asciiTheme="minorHAnsi" w:hAnsiTheme="minorHAnsi"/>
                <w:b/>
                <w:bCs/>
                <w:color w:val="000000" w:themeColor="text1"/>
                <w:sz w:val="18"/>
                <w:szCs w:val="18"/>
                <w:vertAlign w:val="superscript"/>
              </w:rPr>
              <w:t>a</w:t>
            </w:r>
            <w:proofErr w:type="spellEnd"/>
          </w:p>
        </w:tc>
        <w:tc>
          <w:tcPr>
            <w:tcW w:w="2452" w:type="dxa"/>
            <w:tcBorders>
              <w:top w:val="single" w:sz="4" w:space="0" w:color="auto"/>
              <w:bottom w:val="nil"/>
            </w:tcBorders>
          </w:tcPr>
          <w:p w14:paraId="76C9BEEB" w14:textId="77777777" w:rsidR="0085268A" w:rsidRPr="005D0525" w:rsidRDefault="0085268A" w:rsidP="00977C46">
            <w:pPr>
              <w:jc w:val="center"/>
              <w:rPr>
                <w:rFonts w:asciiTheme="minorHAnsi" w:hAnsiTheme="minorHAnsi"/>
                <w:color w:val="000000" w:themeColor="text1"/>
                <w:sz w:val="18"/>
                <w:szCs w:val="18"/>
              </w:rPr>
            </w:pPr>
          </w:p>
        </w:tc>
        <w:tc>
          <w:tcPr>
            <w:tcW w:w="2452" w:type="dxa"/>
            <w:tcBorders>
              <w:top w:val="single" w:sz="4" w:space="0" w:color="auto"/>
              <w:bottom w:val="nil"/>
            </w:tcBorders>
          </w:tcPr>
          <w:p w14:paraId="34AE2EE3" w14:textId="77777777" w:rsidR="0085268A" w:rsidRPr="005D0525" w:rsidRDefault="0085268A" w:rsidP="00977C46">
            <w:pPr>
              <w:jc w:val="center"/>
              <w:rPr>
                <w:rFonts w:asciiTheme="minorHAnsi" w:hAnsiTheme="minorHAnsi"/>
                <w:color w:val="000000" w:themeColor="text1"/>
                <w:sz w:val="18"/>
                <w:szCs w:val="18"/>
              </w:rPr>
            </w:pPr>
          </w:p>
        </w:tc>
      </w:tr>
      <w:tr w:rsidR="0085268A" w:rsidRPr="00AA732D" w14:paraId="5D2287CD" w14:textId="77777777" w:rsidTr="00FD7E7A">
        <w:tc>
          <w:tcPr>
            <w:tcW w:w="4106" w:type="dxa"/>
            <w:tcBorders>
              <w:top w:val="nil"/>
            </w:tcBorders>
            <w:vAlign w:val="bottom"/>
          </w:tcPr>
          <w:p w14:paraId="37DF3998" w14:textId="77777777" w:rsidR="0085268A" w:rsidRPr="00530C15" w:rsidRDefault="0085268A" w:rsidP="00977C46">
            <w:pPr>
              <w:ind w:firstLine="243"/>
              <w:rPr>
                <w:rFonts w:asciiTheme="minorHAnsi" w:hAnsiTheme="minorHAnsi"/>
                <w:color w:val="000000" w:themeColor="text1"/>
                <w:sz w:val="18"/>
                <w:szCs w:val="18"/>
              </w:rPr>
            </w:pPr>
            <w:r w:rsidRPr="00530C15">
              <w:rPr>
                <w:rFonts w:ascii="Calibri" w:hAnsi="Calibri" w:cs="Calibri"/>
                <w:color w:val="000000"/>
                <w:sz w:val="18"/>
                <w:szCs w:val="18"/>
              </w:rPr>
              <w:t xml:space="preserve">Clinical psychologist </w:t>
            </w:r>
          </w:p>
        </w:tc>
        <w:tc>
          <w:tcPr>
            <w:tcW w:w="2452" w:type="dxa"/>
            <w:tcBorders>
              <w:top w:val="nil"/>
            </w:tcBorders>
            <w:vAlign w:val="bottom"/>
          </w:tcPr>
          <w:p w14:paraId="09B149A0" w14:textId="77777777" w:rsidR="0085268A" w:rsidRPr="00530C15" w:rsidRDefault="0085268A" w:rsidP="00977C46">
            <w:pPr>
              <w:jc w:val="center"/>
              <w:rPr>
                <w:rFonts w:asciiTheme="minorHAnsi" w:hAnsiTheme="minorHAnsi"/>
                <w:color w:val="000000" w:themeColor="text1"/>
                <w:sz w:val="18"/>
                <w:szCs w:val="18"/>
              </w:rPr>
            </w:pPr>
            <w:r w:rsidRPr="00530C15">
              <w:rPr>
                <w:rFonts w:ascii="Calibri" w:hAnsi="Calibri" w:cs="Calibri"/>
                <w:color w:val="000000"/>
                <w:sz w:val="18"/>
                <w:szCs w:val="18"/>
              </w:rPr>
              <w:t>15</w:t>
            </w:r>
          </w:p>
        </w:tc>
        <w:tc>
          <w:tcPr>
            <w:tcW w:w="2452" w:type="dxa"/>
            <w:tcBorders>
              <w:top w:val="nil"/>
            </w:tcBorders>
            <w:vAlign w:val="bottom"/>
          </w:tcPr>
          <w:p w14:paraId="71622496" w14:textId="77777777" w:rsidR="0085268A" w:rsidRPr="00530C15" w:rsidRDefault="0085268A" w:rsidP="00977C46">
            <w:pPr>
              <w:jc w:val="center"/>
              <w:rPr>
                <w:rFonts w:asciiTheme="minorHAnsi" w:hAnsiTheme="minorHAnsi"/>
                <w:color w:val="000000" w:themeColor="text1"/>
                <w:sz w:val="18"/>
                <w:szCs w:val="18"/>
              </w:rPr>
            </w:pPr>
            <w:r w:rsidRPr="00530C15">
              <w:rPr>
                <w:rFonts w:ascii="Calibri" w:hAnsi="Calibri" w:cs="Calibri"/>
                <w:color w:val="000000"/>
                <w:sz w:val="18"/>
                <w:szCs w:val="18"/>
              </w:rPr>
              <w:t>16.0</w:t>
            </w:r>
          </w:p>
        </w:tc>
      </w:tr>
      <w:tr w:rsidR="0085268A" w:rsidRPr="00AA732D" w14:paraId="11B35647" w14:textId="77777777">
        <w:tc>
          <w:tcPr>
            <w:tcW w:w="4106" w:type="dxa"/>
            <w:vAlign w:val="bottom"/>
          </w:tcPr>
          <w:p w14:paraId="10C0A050" w14:textId="77777777" w:rsidR="0085268A" w:rsidRPr="00530C15" w:rsidRDefault="0085268A" w:rsidP="00977C46">
            <w:pPr>
              <w:ind w:firstLine="243"/>
              <w:rPr>
                <w:rFonts w:asciiTheme="minorHAnsi" w:hAnsiTheme="minorHAnsi"/>
                <w:color w:val="000000" w:themeColor="text1"/>
                <w:sz w:val="18"/>
                <w:szCs w:val="18"/>
              </w:rPr>
            </w:pPr>
            <w:r w:rsidRPr="00530C15">
              <w:rPr>
                <w:rFonts w:ascii="Calibri" w:hAnsi="Calibri" w:cs="Calibri"/>
                <w:color w:val="000000"/>
                <w:sz w:val="18"/>
                <w:szCs w:val="18"/>
              </w:rPr>
              <w:t>Counsellor</w:t>
            </w:r>
          </w:p>
        </w:tc>
        <w:tc>
          <w:tcPr>
            <w:tcW w:w="2452" w:type="dxa"/>
            <w:vAlign w:val="bottom"/>
          </w:tcPr>
          <w:p w14:paraId="48D2D290" w14:textId="77777777" w:rsidR="0085268A" w:rsidRPr="00530C15" w:rsidRDefault="0085268A" w:rsidP="00977C46">
            <w:pPr>
              <w:jc w:val="center"/>
              <w:rPr>
                <w:rFonts w:asciiTheme="minorHAnsi" w:hAnsiTheme="minorHAnsi"/>
                <w:color w:val="000000" w:themeColor="text1"/>
                <w:sz w:val="18"/>
                <w:szCs w:val="18"/>
              </w:rPr>
            </w:pPr>
            <w:r w:rsidRPr="00530C15">
              <w:rPr>
                <w:rFonts w:ascii="Calibri" w:hAnsi="Calibri" w:cs="Calibri"/>
                <w:color w:val="000000"/>
                <w:sz w:val="18"/>
                <w:szCs w:val="18"/>
              </w:rPr>
              <w:t>6</w:t>
            </w:r>
          </w:p>
        </w:tc>
        <w:tc>
          <w:tcPr>
            <w:tcW w:w="2452" w:type="dxa"/>
            <w:vAlign w:val="bottom"/>
          </w:tcPr>
          <w:p w14:paraId="5AE4AC50" w14:textId="77777777" w:rsidR="0085268A" w:rsidRPr="00530C15" w:rsidRDefault="0085268A" w:rsidP="00977C46">
            <w:pPr>
              <w:jc w:val="center"/>
              <w:rPr>
                <w:rFonts w:asciiTheme="minorHAnsi" w:hAnsiTheme="minorHAnsi"/>
                <w:color w:val="000000" w:themeColor="text1"/>
                <w:sz w:val="18"/>
                <w:szCs w:val="18"/>
              </w:rPr>
            </w:pPr>
            <w:r w:rsidRPr="00530C15">
              <w:rPr>
                <w:rFonts w:ascii="Calibri" w:hAnsi="Calibri" w:cs="Calibri"/>
                <w:color w:val="000000"/>
                <w:sz w:val="18"/>
                <w:szCs w:val="18"/>
              </w:rPr>
              <w:t>6.4</w:t>
            </w:r>
          </w:p>
        </w:tc>
      </w:tr>
      <w:tr w:rsidR="0085268A" w:rsidRPr="00AA732D" w14:paraId="5CBBC9E4" w14:textId="77777777">
        <w:tc>
          <w:tcPr>
            <w:tcW w:w="4106" w:type="dxa"/>
            <w:vAlign w:val="bottom"/>
          </w:tcPr>
          <w:p w14:paraId="280193C6" w14:textId="77777777" w:rsidR="0085268A" w:rsidRPr="00530C15" w:rsidRDefault="0085268A" w:rsidP="00977C46">
            <w:pPr>
              <w:ind w:firstLine="243"/>
              <w:rPr>
                <w:rFonts w:asciiTheme="minorHAnsi" w:hAnsiTheme="minorHAnsi"/>
                <w:color w:val="000000" w:themeColor="text1"/>
                <w:sz w:val="18"/>
                <w:szCs w:val="18"/>
              </w:rPr>
            </w:pPr>
            <w:r w:rsidRPr="00530C15">
              <w:rPr>
                <w:rFonts w:ascii="Calibri" w:hAnsi="Calibri" w:cs="Calibri"/>
                <w:color w:val="000000"/>
                <w:sz w:val="18"/>
                <w:szCs w:val="18"/>
              </w:rPr>
              <w:t>Director/manager/ leader/ owner</w:t>
            </w:r>
          </w:p>
        </w:tc>
        <w:tc>
          <w:tcPr>
            <w:tcW w:w="2452" w:type="dxa"/>
            <w:vAlign w:val="bottom"/>
          </w:tcPr>
          <w:p w14:paraId="5F8ECC53" w14:textId="77777777" w:rsidR="0085268A" w:rsidRPr="00530C15" w:rsidRDefault="0085268A" w:rsidP="00977C46">
            <w:pPr>
              <w:jc w:val="center"/>
              <w:rPr>
                <w:rFonts w:asciiTheme="minorHAnsi" w:hAnsiTheme="minorHAnsi"/>
                <w:color w:val="000000" w:themeColor="text1"/>
                <w:sz w:val="18"/>
                <w:szCs w:val="18"/>
              </w:rPr>
            </w:pPr>
            <w:r w:rsidRPr="00530C15">
              <w:rPr>
                <w:rFonts w:ascii="Calibri" w:hAnsi="Calibri" w:cs="Calibri"/>
                <w:color w:val="000000"/>
                <w:sz w:val="18"/>
                <w:szCs w:val="18"/>
              </w:rPr>
              <w:t>20</w:t>
            </w:r>
          </w:p>
        </w:tc>
        <w:tc>
          <w:tcPr>
            <w:tcW w:w="2452" w:type="dxa"/>
            <w:vAlign w:val="bottom"/>
          </w:tcPr>
          <w:p w14:paraId="04416B3E" w14:textId="77777777" w:rsidR="0085268A" w:rsidRPr="00530C15" w:rsidRDefault="0085268A" w:rsidP="00977C46">
            <w:pPr>
              <w:jc w:val="center"/>
              <w:rPr>
                <w:rFonts w:asciiTheme="minorHAnsi" w:hAnsiTheme="minorHAnsi"/>
                <w:color w:val="000000" w:themeColor="text1"/>
                <w:sz w:val="18"/>
                <w:szCs w:val="18"/>
              </w:rPr>
            </w:pPr>
            <w:r w:rsidRPr="00530C15">
              <w:rPr>
                <w:rFonts w:ascii="Calibri" w:hAnsi="Calibri" w:cs="Calibri"/>
                <w:color w:val="000000"/>
                <w:sz w:val="18"/>
                <w:szCs w:val="18"/>
              </w:rPr>
              <w:t>21.3</w:t>
            </w:r>
          </w:p>
        </w:tc>
      </w:tr>
      <w:tr w:rsidR="0085268A" w:rsidRPr="00AA732D" w14:paraId="7168349A" w14:textId="77777777">
        <w:tc>
          <w:tcPr>
            <w:tcW w:w="4106" w:type="dxa"/>
            <w:vAlign w:val="bottom"/>
          </w:tcPr>
          <w:p w14:paraId="2B3D1BA7" w14:textId="77777777" w:rsidR="0085268A" w:rsidRPr="00530C15" w:rsidRDefault="0085268A" w:rsidP="00977C46">
            <w:pPr>
              <w:ind w:firstLine="243"/>
              <w:rPr>
                <w:rFonts w:asciiTheme="minorHAnsi" w:hAnsiTheme="minorHAnsi"/>
                <w:color w:val="000000" w:themeColor="text1"/>
                <w:sz w:val="18"/>
                <w:szCs w:val="18"/>
              </w:rPr>
            </w:pPr>
            <w:r w:rsidRPr="00530C15">
              <w:rPr>
                <w:rFonts w:ascii="Calibri" w:hAnsi="Calibri" w:cs="Calibri"/>
                <w:color w:val="000000"/>
                <w:sz w:val="18"/>
                <w:szCs w:val="18"/>
              </w:rPr>
              <w:t>Mental health nurse</w:t>
            </w:r>
          </w:p>
        </w:tc>
        <w:tc>
          <w:tcPr>
            <w:tcW w:w="2452" w:type="dxa"/>
            <w:vAlign w:val="bottom"/>
          </w:tcPr>
          <w:p w14:paraId="625A97C1" w14:textId="77777777" w:rsidR="0085268A" w:rsidRPr="00530C15" w:rsidRDefault="0085268A" w:rsidP="00977C46">
            <w:pPr>
              <w:jc w:val="center"/>
              <w:rPr>
                <w:rFonts w:asciiTheme="minorHAnsi" w:hAnsiTheme="minorHAnsi"/>
                <w:color w:val="000000" w:themeColor="text1"/>
                <w:sz w:val="18"/>
                <w:szCs w:val="18"/>
              </w:rPr>
            </w:pPr>
            <w:r w:rsidRPr="00530C15">
              <w:rPr>
                <w:rFonts w:ascii="Calibri" w:hAnsi="Calibri" w:cs="Calibri"/>
                <w:color w:val="000000"/>
                <w:sz w:val="18"/>
                <w:szCs w:val="18"/>
              </w:rPr>
              <w:t>3</w:t>
            </w:r>
          </w:p>
        </w:tc>
        <w:tc>
          <w:tcPr>
            <w:tcW w:w="2452" w:type="dxa"/>
            <w:vAlign w:val="bottom"/>
          </w:tcPr>
          <w:p w14:paraId="487CA8E5" w14:textId="77777777" w:rsidR="0085268A" w:rsidRPr="00530C15" w:rsidRDefault="0085268A" w:rsidP="00977C46">
            <w:pPr>
              <w:jc w:val="center"/>
              <w:rPr>
                <w:rFonts w:asciiTheme="minorHAnsi" w:hAnsiTheme="minorHAnsi"/>
                <w:color w:val="000000" w:themeColor="text1"/>
                <w:sz w:val="18"/>
                <w:szCs w:val="18"/>
              </w:rPr>
            </w:pPr>
            <w:r w:rsidRPr="00530C15">
              <w:rPr>
                <w:rFonts w:ascii="Calibri" w:hAnsi="Calibri" w:cs="Calibri"/>
                <w:color w:val="000000"/>
                <w:sz w:val="18"/>
                <w:szCs w:val="18"/>
              </w:rPr>
              <w:t>3.2</w:t>
            </w:r>
          </w:p>
        </w:tc>
      </w:tr>
      <w:tr w:rsidR="0085268A" w:rsidRPr="00AA732D" w14:paraId="416644DE" w14:textId="77777777">
        <w:tc>
          <w:tcPr>
            <w:tcW w:w="4106" w:type="dxa"/>
            <w:vAlign w:val="bottom"/>
          </w:tcPr>
          <w:p w14:paraId="45B6E8DD" w14:textId="77777777" w:rsidR="0085268A" w:rsidRPr="00530C15" w:rsidRDefault="0085268A" w:rsidP="00977C46">
            <w:pPr>
              <w:ind w:firstLine="243"/>
              <w:rPr>
                <w:rFonts w:asciiTheme="minorHAnsi" w:hAnsiTheme="minorHAnsi"/>
                <w:color w:val="000000" w:themeColor="text1"/>
                <w:sz w:val="18"/>
                <w:szCs w:val="18"/>
              </w:rPr>
            </w:pPr>
            <w:r w:rsidRPr="00530C15">
              <w:rPr>
                <w:rFonts w:ascii="Calibri" w:hAnsi="Calibri" w:cs="Calibri"/>
                <w:color w:val="000000"/>
                <w:sz w:val="18"/>
                <w:szCs w:val="18"/>
              </w:rPr>
              <w:t xml:space="preserve">Mental </w:t>
            </w:r>
            <w:r>
              <w:rPr>
                <w:rFonts w:ascii="Calibri" w:hAnsi="Calibri" w:cs="Calibri"/>
                <w:color w:val="000000"/>
                <w:sz w:val="18"/>
                <w:szCs w:val="18"/>
              </w:rPr>
              <w:t>h</w:t>
            </w:r>
            <w:r w:rsidRPr="00530C15">
              <w:rPr>
                <w:rFonts w:ascii="Calibri" w:hAnsi="Calibri" w:cs="Calibri"/>
                <w:color w:val="000000"/>
                <w:sz w:val="18"/>
                <w:szCs w:val="18"/>
              </w:rPr>
              <w:t>ealth clinician/ therapist</w:t>
            </w:r>
          </w:p>
        </w:tc>
        <w:tc>
          <w:tcPr>
            <w:tcW w:w="2452" w:type="dxa"/>
            <w:vAlign w:val="bottom"/>
          </w:tcPr>
          <w:p w14:paraId="151035F0" w14:textId="77777777" w:rsidR="0085268A" w:rsidRPr="00530C15" w:rsidRDefault="0085268A" w:rsidP="00977C46">
            <w:pPr>
              <w:jc w:val="center"/>
              <w:rPr>
                <w:rFonts w:asciiTheme="minorHAnsi" w:hAnsiTheme="minorHAnsi"/>
                <w:color w:val="000000" w:themeColor="text1"/>
                <w:sz w:val="18"/>
                <w:szCs w:val="18"/>
              </w:rPr>
            </w:pPr>
            <w:r w:rsidRPr="00530C15">
              <w:rPr>
                <w:rFonts w:ascii="Calibri" w:hAnsi="Calibri" w:cs="Calibri"/>
                <w:color w:val="000000"/>
                <w:sz w:val="18"/>
                <w:szCs w:val="18"/>
              </w:rPr>
              <w:t>16</w:t>
            </w:r>
          </w:p>
        </w:tc>
        <w:tc>
          <w:tcPr>
            <w:tcW w:w="2452" w:type="dxa"/>
            <w:vAlign w:val="bottom"/>
          </w:tcPr>
          <w:p w14:paraId="29F1EEE3" w14:textId="77777777" w:rsidR="0085268A" w:rsidRPr="00530C15" w:rsidRDefault="0085268A" w:rsidP="00977C46">
            <w:pPr>
              <w:jc w:val="center"/>
              <w:rPr>
                <w:rFonts w:asciiTheme="minorHAnsi" w:hAnsiTheme="minorHAnsi"/>
                <w:color w:val="000000" w:themeColor="text1"/>
                <w:sz w:val="18"/>
                <w:szCs w:val="18"/>
              </w:rPr>
            </w:pPr>
            <w:r w:rsidRPr="00530C15">
              <w:rPr>
                <w:rFonts w:ascii="Calibri" w:hAnsi="Calibri" w:cs="Calibri"/>
                <w:color w:val="000000"/>
                <w:sz w:val="18"/>
                <w:szCs w:val="18"/>
              </w:rPr>
              <w:t>17.0</w:t>
            </w:r>
          </w:p>
        </w:tc>
      </w:tr>
      <w:tr w:rsidR="0085268A" w:rsidRPr="00AA732D" w14:paraId="5C1D3683" w14:textId="77777777">
        <w:tc>
          <w:tcPr>
            <w:tcW w:w="4106" w:type="dxa"/>
            <w:vAlign w:val="bottom"/>
          </w:tcPr>
          <w:p w14:paraId="0B6CE0A7" w14:textId="77777777" w:rsidR="0085268A" w:rsidRPr="00530C15" w:rsidRDefault="0085268A" w:rsidP="00977C46">
            <w:pPr>
              <w:ind w:firstLine="243"/>
              <w:rPr>
                <w:rFonts w:asciiTheme="minorHAnsi" w:hAnsiTheme="minorHAnsi"/>
                <w:color w:val="000000" w:themeColor="text1"/>
                <w:sz w:val="18"/>
                <w:szCs w:val="18"/>
              </w:rPr>
            </w:pPr>
            <w:r w:rsidRPr="00530C15">
              <w:rPr>
                <w:rFonts w:ascii="Calibri" w:hAnsi="Calibri" w:cs="Calibri"/>
                <w:color w:val="000000"/>
                <w:sz w:val="18"/>
                <w:szCs w:val="18"/>
              </w:rPr>
              <w:t>G</w:t>
            </w:r>
            <w:r>
              <w:rPr>
                <w:rFonts w:ascii="Calibri" w:hAnsi="Calibri" w:cs="Calibri"/>
                <w:color w:val="000000"/>
                <w:sz w:val="18"/>
                <w:szCs w:val="18"/>
              </w:rPr>
              <w:t>eneral practitioner</w:t>
            </w:r>
          </w:p>
        </w:tc>
        <w:tc>
          <w:tcPr>
            <w:tcW w:w="2452" w:type="dxa"/>
            <w:vAlign w:val="bottom"/>
          </w:tcPr>
          <w:p w14:paraId="6AF31EA3" w14:textId="77777777" w:rsidR="0085268A" w:rsidRPr="00530C15" w:rsidRDefault="0085268A" w:rsidP="00977C46">
            <w:pPr>
              <w:jc w:val="center"/>
              <w:rPr>
                <w:rFonts w:asciiTheme="minorHAnsi" w:hAnsiTheme="minorHAnsi"/>
                <w:color w:val="000000" w:themeColor="text1"/>
                <w:sz w:val="18"/>
                <w:szCs w:val="18"/>
              </w:rPr>
            </w:pPr>
            <w:r w:rsidRPr="00530C15">
              <w:rPr>
                <w:rFonts w:ascii="Calibri" w:hAnsi="Calibri" w:cs="Calibri"/>
                <w:color w:val="000000"/>
                <w:sz w:val="18"/>
                <w:szCs w:val="18"/>
              </w:rPr>
              <w:t>10</w:t>
            </w:r>
          </w:p>
        </w:tc>
        <w:tc>
          <w:tcPr>
            <w:tcW w:w="2452" w:type="dxa"/>
            <w:vAlign w:val="bottom"/>
          </w:tcPr>
          <w:p w14:paraId="0BEB475B" w14:textId="77777777" w:rsidR="0085268A" w:rsidRPr="00530C15" w:rsidRDefault="0085268A" w:rsidP="00977C46">
            <w:pPr>
              <w:jc w:val="center"/>
              <w:rPr>
                <w:rFonts w:asciiTheme="minorHAnsi" w:hAnsiTheme="minorHAnsi"/>
                <w:color w:val="000000" w:themeColor="text1"/>
                <w:sz w:val="18"/>
                <w:szCs w:val="18"/>
              </w:rPr>
            </w:pPr>
            <w:r w:rsidRPr="00530C15">
              <w:rPr>
                <w:rFonts w:ascii="Calibri" w:hAnsi="Calibri" w:cs="Calibri"/>
                <w:color w:val="000000"/>
                <w:sz w:val="18"/>
                <w:szCs w:val="18"/>
              </w:rPr>
              <w:t>10.6</w:t>
            </w:r>
          </w:p>
        </w:tc>
      </w:tr>
      <w:tr w:rsidR="0085268A" w:rsidRPr="00AA732D" w14:paraId="1A265DDE" w14:textId="77777777">
        <w:tc>
          <w:tcPr>
            <w:tcW w:w="4106" w:type="dxa"/>
            <w:vAlign w:val="bottom"/>
          </w:tcPr>
          <w:p w14:paraId="67C1323A" w14:textId="77777777" w:rsidR="0085268A" w:rsidRPr="00530C15" w:rsidRDefault="0085268A" w:rsidP="00977C46">
            <w:pPr>
              <w:ind w:firstLine="243"/>
              <w:rPr>
                <w:rFonts w:asciiTheme="minorHAnsi" w:hAnsiTheme="minorHAnsi"/>
                <w:color w:val="000000" w:themeColor="text1"/>
                <w:sz w:val="18"/>
                <w:szCs w:val="18"/>
              </w:rPr>
            </w:pPr>
            <w:r w:rsidRPr="00530C15">
              <w:rPr>
                <w:rFonts w:ascii="Calibri" w:hAnsi="Calibri" w:cs="Calibri"/>
                <w:color w:val="000000"/>
                <w:sz w:val="18"/>
                <w:szCs w:val="18"/>
              </w:rPr>
              <w:t>O</w:t>
            </w:r>
            <w:r>
              <w:rPr>
                <w:rFonts w:ascii="Calibri" w:hAnsi="Calibri" w:cs="Calibri"/>
                <w:color w:val="000000"/>
                <w:sz w:val="18"/>
                <w:szCs w:val="18"/>
              </w:rPr>
              <w:t>ccupational therapist</w:t>
            </w:r>
          </w:p>
        </w:tc>
        <w:tc>
          <w:tcPr>
            <w:tcW w:w="2452" w:type="dxa"/>
            <w:vAlign w:val="bottom"/>
          </w:tcPr>
          <w:p w14:paraId="79B0D7D3" w14:textId="77777777" w:rsidR="0085268A" w:rsidRPr="00530C15" w:rsidRDefault="0085268A" w:rsidP="00977C46">
            <w:pPr>
              <w:jc w:val="center"/>
              <w:rPr>
                <w:rFonts w:asciiTheme="minorHAnsi" w:hAnsiTheme="minorHAnsi"/>
                <w:color w:val="000000" w:themeColor="text1"/>
                <w:sz w:val="18"/>
                <w:szCs w:val="18"/>
              </w:rPr>
            </w:pPr>
            <w:r w:rsidRPr="00530C15">
              <w:rPr>
                <w:rFonts w:ascii="Calibri" w:hAnsi="Calibri" w:cs="Calibri"/>
                <w:color w:val="000000"/>
                <w:sz w:val="18"/>
                <w:szCs w:val="18"/>
              </w:rPr>
              <w:t>8</w:t>
            </w:r>
          </w:p>
        </w:tc>
        <w:tc>
          <w:tcPr>
            <w:tcW w:w="2452" w:type="dxa"/>
            <w:vAlign w:val="bottom"/>
          </w:tcPr>
          <w:p w14:paraId="1054A40E" w14:textId="77777777" w:rsidR="0085268A" w:rsidRPr="00530C15" w:rsidRDefault="0085268A" w:rsidP="00977C46">
            <w:pPr>
              <w:jc w:val="center"/>
              <w:rPr>
                <w:rFonts w:asciiTheme="minorHAnsi" w:hAnsiTheme="minorHAnsi"/>
                <w:color w:val="000000" w:themeColor="text1"/>
                <w:sz w:val="18"/>
                <w:szCs w:val="18"/>
              </w:rPr>
            </w:pPr>
            <w:r w:rsidRPr="00530C15">
              <w:rPr>
                <w:rFonts w:ascii="Calibri" w:hAnsi="Calibri" w:cs="Calibri"/>
                <w:color w:val="000000"/>
                <w:sz w:val="18"/>
                <w:szCs w:val="18"/>
              </w:rPr>
              <w:t>8.5</w:t>
            </w:r>
          </w:p>
        </w:tc>
      </w:tr>
      <w:tr w:rsidR="0085268A" w:rsidRPr="00AA732D" w14:paraId="55E4CAFA" w14:textId="77777777">
        <w:tc>
          <w:tcPr>
            <w:tcW w:w="4106" w:type="dxa"/>
            <w:vAlign w:val="bottom"/>
          </w:tcPr>
          <w:p w14:paraId="4CEBCAA4" w14:textId="77777777" w:rsidR="0085268A" w:rsidRPr="00530C15" w:rsidRDefault="0085268A" w:rsidP="00977C46">
            <w:pPr>
              <w:ind w:firstLine="243"/>
              <w:rPr>
                <w:rFonts w:asciiTheme="minorHAnsi" w:hAnsiTheme="minorHAnsi"/>
                <w:color w:val="000000" w:themeColor="text1"/>
                <w:sz w:val="18"/>
                <w:szCs w:val="18"/>
              </w:rPr>
            </w:pPr>
            <w:r w:rsidRPr="00530C15">
              <w:rPr>
                <w:rFonts w:ascii="Calibri" w:hAnsi="Calibri" w:cs="Calibri"/>
                <w:color w:val="000000"/>
                <w:sz w:val="18"/>
                <w:szCs w:val="18"/>
              </w:rPr>
              <w:t>Psychologist</w:t>
            </w:r>
          </w:p>
        </w:tc>
        <w:tc>
          <w:tcPr>
            <w:tcW w:w="2452" w:type="dxa"/>
            <w:vAlign w:val="bottom"/>
          </w:tcPr>
          <w:p w14:paraId="0CC9C9E0" w14:textId="77777777" w:rsidR="0085268A" w:rsidRPr="00530C15" w:rsidRDefault="0085268A" w:rsidP="00977C46">
            <w:pPr>
              <w:jc w:val="center"/>
              <w:rPr>
                <w:rFonts w:asciiTheme="minorHAnsi" w:hAnsiTheme="minorHAnsi"/>
                <w:color w:val="000000" w:themeColor="text1"/>
                <w:sz w:val="18"/>
                <w:szCs w:val="18"/>
              </w:rPr>
            </w:pPr>
            <w:r w:rsidRPr="00530C15">
              <w:rPr>
                <w:rFonts w:ascii="Calibri" w:hAnsi="Calibri" w:cs="Calibri"/>
                <w:color w:val="000000"/>
                <w:sz w:val="18"/>
                <w:szCs w:val="18"/>
              </w:rPr>
              <w:t>9</w:t>
            </w:r>
          </w:p>
        </w:tc>
        <w:tc>
          <w:tcPr>
            <w:tcW w:w="2452" w:type="dxa"/>
            <w:vAlign w:val="bottom"/>
          </w:tcPr>
          <w:p w14:paraId="3452571D" w14:textId="77777777" w:rsidR="0085268A" w:rsidRPr="00530C15" w:rsidRDefault="0085268A" w:rsidP="00977C46">
            <w:pPr>
              <w:jc w:val="center"/>
              <w:rPr>
                <w:rFonts w:asciiTheme="minorHAnsi" w:hAnsiTheme="minorHAnsi"/>
                <w:color w:val="000000" w:themeColor="text1"/>
                <w:sz w:val="18"/>
                <w:szCs w:val="18"/>
              </w:rPr>
            </w:pPr>
            <w:r w:rsidRPr="00530C15">
              <w:rPr>
                <w:rFonts w:ascii="Calibri" w:hAnsi="Calibri" w:cs="Calibri"/>
                <w:color w:val="000000"/>
                <w:sz w:val="18"/>
                <w:szCs w:val="18"/>
              </w:rPr>
              <w:t>9.6</w:t>
            </w:r>
          </w:p>
        </w:tc>
      </w:tr>
      <w:tr w:rsidR="0085268A" w:rsidRPr="00AA732D" w14:paraId="56A6AE44" w14:textId="77777777">
        <w:tc>
          <w:tcPr>
            <w:tcW w:w="4106" w:type="dxa"/>
            <w:vAlign w:val="bottom"/>
          </w:tcPr>
          <w:p w14:paraId="454BB1AF" w14:textId="77777777" w:rsidR="0085268A" w:rsidRPr="00530C15" w:rsidRDefault="0085268A" w:rsidP="00977C46">
            <w:pPr>
              <w:ind w:firstLine="243"/>
              <w:rPr>
                <w:rFonts w:asciiTheme="minorHAnsi" w:hAnsiTheme="minorHAnsi"/>
                <w:color w:val="000000" w:themeColor="text1"/>
                <w:sz w:val="18"/>
                <w:szCs w:val="18"/>
              </w:rPr>
            </w:pPr>
            <w:r w:rsidRPr="00530C15">
              <w:rPr>
                <w:rFonts w:ascii="Calibri" w:hAnsi="Calibri" w:cs="Calibri"/>
                <w:color w:val="000000"/>
                <w:sz w:val="18"/>
                <w:szCs w:val="18"/>
              </w:rPr>
              <w:t>Social worker</w:t>
            </w:r>
          </w:p>
        </w:tc>
        <w:tc>
          <w:tcPr>
            <w:tcW w:w="2452" w:type="dxa"/>
            <w:vAlign w:val="bottom"/>
          </w:tcPr>
          <w:p w14:paraId="03EC70C0" w14:textId="77777777" w:rsidR="0085268A" w:rsidRPr="00530C15" w:rsidRDefault="0085268A" w:rsidP="00977C46">
            <w:pPr>
              <w:jc w:val="center"/>
              <w:rPr>
                <w:rFonts w:asciiTheme="minorHAnsi" w:hAnsiTheme="minorHAnsi"/>
                <w:color w:val="000000" w:themeColor="text1"/>
                <w:sz w:val="18"/>
                <w:szCs w:val="18"/>
              </w:rPr>
            </w:pPr>
            <w:r w:rsidRPr="00530C15">
              <w:rPr>
                <w:rFonts w:ascii="Calibri" w:hAnsi="Calibri" w:cs="Calibri"/>
                <w:color w:val="000000"/>
                <w:sz w:val="18"/>
                <w:szCs w:val="18"/>
              </w:rPr>
              <w:t>5</w:t>
            </w:r>
          </w:p>
        </w:tc>
        <w:tc>
          <w:tcPr>
            <w:tcW w:w="2452" w:type="dxa"/>
            <w:vAlign w:val="bottom"/>
          </w:tcPr>
          <w:p w14:paraId="20AE37FD" w14:textId="77777777" w:rsidR="0085268A" w:rsidRPr="00530C15" w:rsidRDefault="0085268A" w:rsidP="00977C46">
            <w:pPr>
              <w:jc w:val="center"/>
              <w:rPr>
                <w:rFonts w:asciiTheme="minorHAnsi" w:hAnsiTheme="minorHAnsi"/>
                <w:color w:val="000000" w:themeColor="text1"/>
                <w:sz w:val="18"/>
                <w:szCs w:val="18"/>
              </w:rPr>
            </w:pPr>
            <w:r w:rsidRPr="00530C15">
              <w:rPr>
                <w:rFonts w:ascii="Calibri" w:hAnsi="Calibri" w:cs="Calibri"/>
                <w:color w:val="000000"/>
                <w:sz w:val="18"/>
                <w:szCs w:val="18"/>
              </w:rPr>
              <w:t>5.3</w:t>
            </w:r>
          </w:p>
        </w:tc>
      </w:tr>
      <w:tr w:rsidR="0085268A" w:rsidRPr="00AA732D" w14:paraId="7AFC3444" w14:textId="77777777">
        <w:tc>
          <w:tcPr>
            <w:tcW w:w="4106" w:type="dxa"/>
            <w:vAlign w:val="bottom"/>
          </w:tcPr>
          <w:p w14:paraId="537839DF" w14:textId="77777777" w:rsidR="0085268A" w:rsidRPr="00530C15" w:rsidRDefault="0085268A" w:rsidP="00977C46">
            <w:pPr>
              <w:ind w:firstLine="243"/>
              <w:rPr>
                <w:rFonts w:asciiTheme="minorHAnsi" w:hAnsiTheme="minorHAnsi"/>
                <w:color w:val="000000" w:themeColor="text1"/>
                <w:sz w:val="18"/>
                <w:szCs w:val="18"/>
              </w:rPr>
            </w:pPr>
            <w:r w:rsidRPr="00530C15">
              <w:rPr>
                <w:rFonts w:ascii="Calibri" w:hAnsi="Calibri" w:cs="Calibri"/>
                <w:color w:val="000000"/>
                <w:sz w:val="18"/>
                <w:szCs w:val="18"/>
              </w:rPr>
              <w:t>Other</w:t>
            </w:r>
          </w:p>
        </w:tc>
        <w:tc>
          <w:tcPr>
            <w:tcW w:w="2452" w:type="dxa"/>
            <w:vAlign w:val="bottom"/>
          </w:tcPr>
          <w:p w14:paraId="465111AE" w14:textId="77777777" w:rsidR="0085268A" w:rsidRPr="00530C15" w:rsidRDefault="0085268A" w:rsidP="00977C46">
            <w:pPr>
              <w:jc w:val="center"/>
              <w:rPr>
                <w:rFonts w:asciiTheme="minorHAnsi" w:hAnsiTheme="minorHAnsi"/>
                <w:color w:val="000000" w:themeColor="text1"/>
                <w:sz w:val="18"/>
                <w:szCs w:val="18"/>
              </w:rPr>
            </w:pPr>
            <w:r w:rsidRPr="00530C15">
              <w:rPr>
                <w:rFonts w:ascii="Calibri" w:hAnsi="Calibri" w:cs="Calibri"/>
                <w:color w:val="000000"/>
                <w:sz w:val="18"/>
                <w:szCs w:val="18"/>
              </w:rPr>
              <w:t>6</w:t>
            </w:r>
          </w:p>
        </w:tc>
        <w:tc>
          <w:tcPr>
            <w:tcW w:w="2452" w:type="dxa"/>
            <w:vAlign w:val="bottom"/>
          </w:tcPr>
          <w:p w14:paraId="2F2008BE" w14:textId="77777777" w:rsidR="0085268A" w:rsidRPr="00530C15" w:rsidRDefault="0085268A" w:rsidP="00977C46">
            <w:pPr>
              <w:jc w:val="center"/>
              <w:rPr>
                <w:rFonts w:asciiTheme="minorHAnsi" w:hAnsiTheme="minorHAnsi"/>
                <w:color w:val="000000" w:themeColor="text1"/>
                <w:sz w:val="18"/>
                <w:szCs w:val="18"/>
              </w:rPr>
            </w:pPr>
            <w:r w:rsidRPr="00530C15">
              <w:rPr>
                <w:rFonts w:ascii="Calibri" w:hAnsi="Calibri" w:cs="Calibri"/>
                <w:color w:val="000000"/>
                <w:sz w:val="18"/>
                <w:szCs w:val="18"/>
              </w:rPr>
              <w:t>6.4</w:t>
            </w:r>
          </w:p>
        </w:tc>
      </w:tr>
    </w:tbl>
    <w:p w14:paraId="386E0D57" w14:textId="77777777" w:rsidR="0085268A" w:rsidRPr="00351FE0" w:rsidRDefault="0085268A" w:rsidP="0085268A">
      <w:pPr>
        <w:spacing w:after="240"/>
        <w:rPr>
          <w:rFonts w:asciiTheme="minorHAnsi" w:hAnsiTheme="minorHAnsi" w:cstheme="minorHAnsi"/>
          <w:sz w:val="16"/>
          <w:szCs w:val="16"/>
        </w:rPr>
      </w:pPr>
      <w:proofErr w:type="gramStart"/>
      <w:r w:rsidRPr="00B301D5">
        <w:rPr>
          <w:rFonts w:asciiTheme="minorHAnsi" w:hAnsiTheme="minorHAnsi" w:cstheme="minorHAnsi"/>
          <w:sz w:val="16"/>
          <w:szCs w:val="16"/>
          <w:vertAlign w:val="superscript"/>
        </w:rPr>
        <w:t xml:space="preserve">a </w:t>
      </w:r>
      <w:r w:rsidRPr="00B301D5">
        <w:rPr>
          <w:rFonts w:asciiTheme="minorHAnsi" w:hAnsiTheme="minorHAnsi" w:cstheme="minorHAnsi"/>
          <w:sz w:val="16"/>
          <w:szCs w:val="16"/>
        </w:rPr>
        <w:t>Multiple responses</w:t>
      </w:r>
      <w:proofErr w:type="gramEnd"/>
      <w:r w:rsidRPr="00B301D5">
        <w:rPr>
          <w:rFonts w:asciiTheme="minorHAnsi" w:hAnsiTheme="minorHAnsi" w:cstheme="minorHAnsi"/>
          <w:sz w:val="16"/>
          <w:szCs w:val="16"/>
        </w:rPr>
        <w:t xml:space="preserve"> permitted.</w:t>
      </w:r>
    </w:p>
    <w:p w14:paraId="7102872A" w14:textId="041E3F00" w:rsidR="0085268A" w:rsidRPr="003C4038" w:rsidRDefault="0085268A" w:rsidP="0085268A">
      <w:pPr>
        <w:pStyle w:val="ANorm"/>
        <w:spacing w:after="240"/>
      </w:pPr>
      <w:r w:rsidRPr="003C4038">
        <w:lastRenderedPageBreak/>
        <w:t>More than two</w:t>
      </w:r>
      <w:r>
        <w:t>-</w:t>
      </w:r>
      <w:r w:rsidRPr="003C4038">
        <w:t xml:space="preserve">thirds of respondents indicated that the type of internet they used was NBN and that it was reliable most of the time (see Table </w:t>
      </w:r>
      <w:r w:rsidR="00A567EE">
        <w:t>39</w:t>
      </w:r>
      <w:r w:rsidRPr="003C4038">
        <w:t xml:space="preserve">). </w:t>
      </w:r>
      <w:r>
        <w:t>Most</w:t>
      </w:r>
      <w:r w:rsidRPr="003C4038">
        <w:t xml:space="preserve"> respondents</w:t>
      </w:r>
      <w:r>
        <w:t xml:space="preserve"> </w:t>
      </w:r>
      <w:r w:rsidRPr="003C4038">
        <w:t>(71.3%) did not provide an onsite space for clients or patients to access DMHS</w:t>
      </w:r>
      <w:r>
        <w:t>s</w:t>
      </w:r>
      <w:r w:rsidRPr="003C4038">
        <w:t xml:space="preserve"> (see Table </w:t>
      </w:r>
      <w:r w:rsidR="00A567EE" w:rsidRPr="00A567EE">
        <w:t>39</w:t>
      </w:r>
      <w:r w:rsidRPr="00A567EE">
        <w:t>)</w:t>
      </w:r>
      <w:r w:rsidRPr="003C4038">
        <w:t>.</w:t>
      </w:r>
    </w:p>
    <w:p w14:paraId="090837D1" w14:textId="234F886C" w:rsidR="0085268A" w:rsidRPr="00A31F1A" w:rsidRDefault="0085268A" w:rsidP="0085268A">
      <w:pPr>
        <w:pStyle w:val="tableheading"/>
      </w:pPr>
      <w:r w:rsidRPr="00A31F1A">
        <w:t xml:space="preserve">Table </w:t>
      </w:r>
      <w:r w:rsidR="00A567EE">
        <w:t>39</w:t>
      </w:r>
      <w:r w:rsidRPr="00A31F1A">
        <w:t xml:space="preserve">. </w:t>
      </w:r>
      <w:r>
        <w:t>Survey respondents’ i</w:t>
      </w:r>
      <w:r w:rsidRPr="00A31F1A">
        <w:t xml:space="preserve">nternet </w:t>
      </w:r>
      <w:r>
        <w:t>access</w:t>
      </w:r>
      <w:r w:rsidRPr="00A31F1A">
        <w:t xml:space="preserve"> </w:t>
      </w:r>
      <w:r>
        <w:t>and onsite space for consumer DMHS access</w:t>
      </w:r>
      <w:r w:rsidRPr="00A31F1A">
        <w:t xml:space="preserve"> (</w:t>
      </w:r>
      <w:r>
        <w:t>N</w:t>
      </w:r>
      <w:r w:rsidRPr="00A31F1A">
        <w:t>=9</w:t>
      </w:r>
      <w:r>
        <w:t>4</w:t>
      </w:r>
      <w:r w:rsidRPr="00A31F1A">
        <w:t>)</w:t>
      </w:r>
    </w:p>
    <w:tbl>
      <w:tblPr>
        <w:tblStyle w:val="TableGrid"/>
        <w:tblW w:w="0" w:type="auto"/>
        <w:tblBorders>
          <w:insideH w:val="none" w:sz="0" w:space="0" w:color="auto"/>
          <w:insideV w:val="none" w:sz="0" w:space="0" w:color="auto"/>
        </w:tblBorders>
        <w:tblLook w:val="04A0" w:firstRow="1" w:lastRow="0" w:firstColumn="1" w:lastColumn="0" w:noHBand="0" w:noVBand="1"/>
        <w:tblCaption w:val="accessibility of technoglogy"/>
        <w:tblDescription w:val="This table presents type of internet (e.g., NBN), reliability of internet and whether there is an onsite space for DMHS access"/>
      </w:tblPr>
      <w:tblGrid>
        <w:gridCol w:w="4106"/>
        <w:gridCol w:w="142"/>
        <w:gridCol w:w="2310"/>
        <w:gridCol w:w="71"/>
        <w:gridCol w:w="2381"/>
      </w:tblGrid>
      <w:tr w:rsidR="0085268A" w:rsidRPr="005F7657" w14:paraId="644CE985" w14:textId="77777777">
        <w:tc>
          <w:tcPr>
            <w:tcW w:w="4106" w:type="dxa"/>
            <w:shd w:val="clear" w:color="auto" w:fill="000000" w:themeFill="text1"/>
          </w:tcPr>
          <w:p w14:paraId="1B521396" w14:textId="77777777" w:rsidR="0085268A" w:rsidRPr="00AA732D" w:rsidRDefault="0085268A" w:rsidP="00977C46">
            <w:pPr>
              <w:pStyle w:val="ANorm"/>
              <w:jc w:val="center"/>
              <w:rPr>
                <w:rFonts w:asciiTheme="minorHAnsi" w:hAnsiTheme="minorHAnsi" w:cstheme="minorHAnsi"/>
                <w:color w:val="FFFFFF" w:themeColor="background1"/>
                <w:sz w:val="18"/>
                <w:szCs w:val="18"/>
              </w:rPr>
            </w:pPr>
          </w:p>
        </w:tc>
        <w:tc>
          <w:tcPr>
            <w:tcW w:w="2452" w:type="dxa"/>
            <w:gridSpan w:val="2"/>
            <w:shd w:val="clear" w:color="auto" w:fill="000000" w:themeFill="text1"/>
          </w:tcPr>
          <w:p w14:paraId="36C61FFC" w14:textId="77777777" w:rsidR="0085268A" w:rsidRPr="005F7657" w:rsidRDefault="0085268A" w:rsidP="00977C46">
            <w:pPr>
              <w:pStyle w:val="ANorm"/>
              <w:jc w:val="center"/>
              <w:rPr>
                <w:rFonts w:asciiTheme="minorHAnsi" w:hAnsiTheme="minorHAnsi" w:cstheme="minorHAnsi"/>
                <w:color w:val="FFFFFF" w:themeColor="background1"/>
                <w:sz w:val="18"/>
                <w:szCs w:val="18"/>
              </w:rPr>
            </w:pPr>
            <w:r w:rsidRPr="005F7657">
              <w:rPr>
                <w:rFonts w:asciiTheme="minorHAnsi" w:hAnsiTheme="minorHAnsi" w:cstheme="minorHAnsi"/>
                <w:color w:val="FFFFFF" w:themeColor="background1"/>
                <w:sz w:val="18"/>
                <w:szCs w:val="18"/>
              </w:rPr>
              <w:t>Frequency</w:t>
            </w:r>
          </w:p>
        </w:tc>
        <w:tc>
          <w:tcPr>
            <w:tcW w:w="2452" w:type="dxa"/>
            <w:gridSpan w:val="2"/>
            <w:shd w:val="clear" w:color="auto" w:fill="000000" w:themeFill="text1"/>
          </w:tcPr>
          <w:p w14:paraId="69C5CCC1" w14:textId="77777777" w:rsidR="0085268A" w:rsidRPr="005F7657" w:rsidRDefault="0085268A" w:rsidP="00977C46">
            <w:pPr>
              <w:pStyle w:val="ANorm"/>
              <w:jc w:val="center"/>
              <w:rPr>
                <w:rFonts w:asciiTheme="minorHAnsi" w:hAnsiTheme="minorHAnsi" w:cstheme="minorHAnsi"/>
                <w:color w:val="FFFFFF" w:themeColor="background1"/>
                <w:sz w:val="18"/>
                <w:szCs w:val="18"/>
              </w:rPr>
            </w:pPr>
            <w:r w:rsidRPr="005F7657">
              <w:rPr>
                <w:rFonts w:asciiTheme="minorHAnsi" w:hAnsiTheme="minorHAnsi" w:cstheme="minorHAnsi"/>
                <w:color w:val="FFFFFF" w:themeColor="background1"/>
                <w:sz w:val="18"/>
                <w:szCs w:val="18"/>
              </w:rPr>
              <w:t>%</w:t>
            </w:r>
          </w:p>
        </w:tc>
      </w:tr>
      <w:tr w:rsidR="0085268A" w:rsidRPr="005F7657" w14:paraId="27FCAAEA" w14:textId="77777777">
        <w:tc>
          <w:tcPr>
            <w:tcW w:w="4248" w:type="dxa"/>
            <w:gridSpan w:val="2"/>
          </w:tcPr>
          <w:p w14:paraId="75A7723F" w14:textId="77777777" w:rsidR="0085268A" w:rsidRPr="005F7657" w:rsidRDefault="0085268A" w:rsidP="00977C46">
            <w:pPr>
              <w:rPr>
                <w:rFonts w:asciiTheme="minorHAnsi" w:hAnsiTheme="minorHAnsi"/>
                <w:b/>
                <w:bCs/>
                <w:color w:val="000000" w:themeColor="text1"/>
                <w:sz w:val="18"/>
                <w:szCs w:val="18"/>
              </w:rPr>
            </w:pPr>
            <w:r w:rsidRPr="005F7657">
              <w:rPr>
                <w:rFonts w:asciiTheme="minorHAnsi" w:hAnsiTheme="minorHAnsi"/>
                <w:b/>
                <w:bCs/>
                <w:color w:val="000000" w:themeColor="text1"/>
                <w:sz w:val="18"/>
                <w:szCs w:val="18"/>
              </w:rPr>
              <w:t>Type of Internet</w:t>
            </w:r>
          </w:p>
        </w:tc>
        <w:tc>
          <w:tcPr>
            <w:tcW w:w="2381" w:type="dxa"/>
            <w:gridSpan w:val="2"/>
          </w:tcPr>
          <w:p w14:paraId="33D6E069" w14:textId="77777777" w:rsidR="0085268A" w:rsidRPr="005F7657" w:rsidRDefault="0085268A" w:rsidP="00977C46">
            <w:pPr>
              <w:rPr>
                <w:rFonts w:asciiTheme="minorHAnsi" w:hAnsiTheme="minorHAnsi"/>
                <w:color w:val="000000" w:themeColor="text1"/>
                <w:sz w:val="18"/>
                <w:szCs w:val="18"/>
              </w:rPr>
            </w:pPr>
          </w:p>
        </w:tc>
        <w:tc>
          <w:tcPr>
            <w:tcW w:w="2381" w:type="dxa"/>
          </w:tcPr>
          <w:p w14:paraId="556BE9FE" w14:textId="77777777" w:rsidR="0085268A" w:rsidRPr="005F7657" w:rsidRDefault="0085268A" w:rsidP="00977C46">
            <w:pPr>
              <w:rPr>
                <w:rFonts w:asciiTheme="minorHAnsi" w:hAnsiTheme="minorHAnsi"/>
                <w:color w:val="000000" w:themeColor="text1"/>
                <w:sz w:val="18"/>
                <w:szCs w:val="18"/>
              </w:rPr>
            </w:pPr>
          </w:p>
        </w:tc>
      </w:tr>
      <w:tr w:rsidR="0085268A" w:rsidRPr="005F7657" w14:paraId="2851EE46" w14:textId="77777777">
        <w:tc>
          <w:tcPr>
            <w:tcW w:w="4248" w:type="dxa"/>
            <w:gridSpan w:val="2"/>
            <w:vAlign w:val="bottom"/>
          </w:tcPr>
          <w:p w14:paraId="23358D3B" w14:textId="77777777" w:rsidR="0085268A" w:rsidRPr="005F7657" w:rsidRDefault="0085268A" w:rsidP="00977C46">
            <w:pPr>
              <w:ind w:firstLine="243"/>
              <w:rPr>
                <w:rFonts w:asciiTheme="minorHAnsi" w:hAnsiTheme="minorHAnsi"/>
                <w:color w:val="000000" w:themeColor="text1"/>
                <w:sz w:val="18"/>
                <w:szCs w:val="18"/>
              </w:rPr>
            </w:pPr>
            <w:r w:rsidRPr="005F7657">
              <w:rPr>
                <w:rFonts w:asciiTheme="minorHAnsi" w:hAnsiTheme="minorHAnsi"/>
                <w:color w:val="000000" w:themeColor="text1"/>
                <w:sz w:val="18"/>
                <w:szCs w:val="18"/>
              </w:rPr>
              <w:t>ADSL or ADSL2+</w:t>
            </w:r>
          </w:p>
        </w:tc>
        <w:tc>
          <w:tcPr>
            <w:tcW w:w="2381" w:type="dxa"/>
            <w:gridSpan w:val="2"/>
            <w:vAlign w:val="bottom"/>
          </w:tcPr>
          <w:p w14:paraId="5877C914"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10</w:t>
            </w:r>
          </w:p>
        </w:tc>
        <w:tc>
          <w:tcPr>
            <w:tcW w:w="2381" w:type="dxa"/>
            <w:vAlign w:val="bottom"/>
          </w:tcPr>
          <w:p w14:paraId="0669EA66"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10.6</w:t>
            </w:r>
          </w:p>
        </w:tc>
      </w:tr>
      <w:tr w:rsidR="0085268A" w:rsidRPr="005F7657" w14:paraId="3F5744A8" w14:textId="77777777">
        <w:tc>
          <w:tcPr>
            <w:tcW w:w="4248" w:type="dxa"/>
            <w:gridSpan w:val="2"/>
            <w:vAlign w:val="bottom"/>
          </w:tcPr>
          <w:p w14:paraId="6A2EB524" w14:textId="77777777" w:rsidR="0085268A" w:rsidRPr="005F7657" w:rsidRDefault="0085268A" w:rsidP="00977C46">
            <w:pPr>
              <w:ind w:firstLine="243"/>
              <w:rPr>
                <w:rFonts w:asciiTheme="minorHAnsi" w:hAnsiTheme="minorHAnsi"/>
                <w:color w:val="000000" w:themeColor="text1"/>
                <w:sz w:val="18"/>
                <w:szCs w:val="18"/>
              </w:rPr>
            </w:pPr>
            <w:r w:rsidRPr="005F7657">
              <w:rPr>
                <w:rFonts w:asciiTheme="minorHAnsi" w:hAnsiTheme="minorHAnsi"/>
                <w:color w:val="000000" w:themeColor="text1"/>
                <w:sz w:val="18"/>
                <w:szCs w:val="18"/>
              </w:rPr>
              <w:t>Cable</w:t>
            </w:r>
          </w:p>
        </w:tc>
        <w:tc>
          <w:tcPr>
            <w:tcW w:w="2381" w:type="dxa"/>
            <w:gridSpan w:val="2"/>
            <w:vAlign w:val="bottom"/>
          </w:tcPr>
          <w:p w14:paraId="1CE80B62"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1</w:t>
            </w:r>
          </w:p>
        </w:tc>
        <w:tc>
          <w:tcPr>
            <w:tcW w:w="2381" w:type="dxa"/>
            <w:vAlign w:val="bottom"/>
          </w:tcPr>
          <w:p w14:paraId="0D097842"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1.1</w:t>
            </w:r>
          </w:p>
        </w:tc>
      </w:tr>
      <w:tr w:rsidR="0085268A" w:rsidRPr="005F7657" w14:paraId="46E7CDD4" w14:textId="77777777">
        <w:tc>
          <w:tcPr>
            <w:tcW w:w="4248" w:type="dxa"/>
            <w:gridSpan w:val="2"/>
            <w:vAlign w:val="bottom"/>
          </w:tcPr>
          <w:p w14:paraId="11F1C237" w14:textId="77777777" w:rsidR="0085268A" w:rsidRPr="005F7657" w:rsidRDefault="0085268A" w:rsidP="00977C46">
            <w:pPr>
              <w:ind w:firstLine="243"/>
              <w:rPr>
                <w:rFonts w:asciiTheme="minorHAnsi" w:hAnsiTheme="minorHAnsi"/>
                <w:color w:val="000000" w:themeColor="text1"/>
                <w:sz w:val="18"/>
                <w:szCs w:val="18"/>
              </w:rPr>
            </w:pPr>
            <w:r>
              <w:rPr>
                <w:rFonts w:asciiTheme="minorHAnsi" w:hAnsiTheme="minorHAnsi"/>
                <w:color w:val="000000" w:themeColor="text1"/>
                <w:sz w:val="18"/>
                <w:szCs w:val="18"/>
              </w:rPr>
              <w:t>NBN</w:t>
            </w:r>
            <w:r w:rsidRPr="005F7657">
              <w:rPr>
                <w:rFonts w:asciiTheme="minorHAnsi" w:hAnsiTheme="minorHAnsi"/>
                <w:color w:val="000000" w:themeColor="text1"/>
                <w:sz w:val="18"/>
                <w:szCs w:val="18"/>
              </w:rPr>
              <w:t xml:space="preserve"> </w:t>
            </w:r>
          </w:p>
        </w:tc>
        <w:tc>
          <w:tcPr>
            <w:tcW w:w="2381" w:type="dxa"/>
            <w:gridSpan w:val="2"/>
            <w:vAlign w:val="bottom"/>
          </w:tcPr>
          <w:p w14:paraId="02B48204"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64</w:t>
            </w:r>
          </w:p>
        </w:tc>
        <w:tc>
          <w:tcPr>
            <w:tcW w:w="2381" w:type="dxa"/>
            <w:vAlign w:val="bottom"/>
          </w:tcPr>
          <w:p w14:paraId="61EC723F"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68.1</w:t>
            </w:r>
          </w:p>
        </w:tc>
      </w:tr>
      <w:tr w:rsidR="0085268A" w:rsidRPr="005F7657" w14:paraId="4273B36A" w14:textId="77777777">
        <w:tc>
          <w:tcPr>
            <w:tcW w:w="4248" w:type="dxa"/>
            <w:gridSpan w:val="2"/>
            <w:vAlign w:val="bottom"/>
          </w:tcPr>
          <w:p w14:paraId="45D020EC" w14:textId="77777777" w:rsidR="0085268A" w:rsidRPr="005F7657" w:rsidRDefault="0085268A" w:rsidP="00977C46">
            <w:pPr>
              <w:ind w:firstLine="243"/>
              <w:rPr>
                <w:rFonts w:asciiTheme="minorHAnsi" w:hAnsiTheme="minorHAnsi"/>
                <w:color w:val="000000" w:themeColor="text1"/>
                <w:sz w:val="18"/>
                <w:szCs w:val="18"/>
              </w:rPr>
            </w:pPr>
            <w:r w:rsidRPr="005F7657">
              <w:rPr>
                <w:rFonts w:asciiTheme="minorHAnsi" w:hAnsiTheme="minorHAnsi"/>
                <w:color w:val="000000" w:themeColor="text1"/>
                <w:sz w:val="18"/>
                <w:szCs w:val="18"/>
              </w:rPr>
              <w:t>Satellite Connection</w:t>
            </w:r>
          </w:p>
        </w:tc>
        <w:tc>
          <w:tcPr>
            <w:tcW w:w="2381" w:type="dxa"/>
            <w:gridSpan w:val="2"/>
            <w:vAlign w:val="bottom"/>
          </w:tcPr>
          <w:p w14:paraId="5C8BCE95"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2</w:t>
            </w:r>
          </w:p>
        </w:tc>
        <w:tc>
          <w:tcPr>
            <w:tcW w:w="2381" w:type="dxa"/>
            <w:vAlign w:val="bottom"/>
          </w:tcPr>
          <w:p w14:paraId="7A810397"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2.1</w:t>
            </w:r>
          </w:p>
        </w:tc>
      </w:tr>
      <w:tr w:rsidR="0085268A" w:rsidRPr="005F7657" w14:paraId="4993C345" w14:textId="77777777">
        <w:tc>
          <w:tcPr>
            <w:tcW w:w="4248" w:type="dxa"/>
            <w:gridSpan w:val="2"/>
            <w:vAlign w:val="bottom"/>
          </w:tcPr>
          <w:p w14:paraId="6BB6B136" w14:textId="77777777" w:rsidR="0085268A" w:rsidRPr="005F7657" w:rsidRDefault="0085268A" w:rsidP="00977C46">
            <w:pPr>
              <w:ind w:firstLine="243"/>
              <w:rPr>
                <w:rFonts w:asciiTheme="minorHAnsi" w:hAnsiTheme="minorHAnsi"/>
                <w:color w:val="000000" w:themeColor="text1"/>
                <w:sz w:val="18"/>
                <w:szCs w:val="18"/>
              </w:rPr>
            </w:pPr>
            <w:r w:rsidRPr="005F7657">
              <w:rPr>
                <w:rFonts w:asciiTheme="minorHAnsi" w:hAnsiTheme="minorHAnsi"/>
                <w:color w:val="000000" w:themeColor="text1"/>
                <w:sz w:val="18"/>
                <w:szCs w:val="18"/>
              </w:rPr>
              <w:t>Wireless Router</w:t>
            </w:r>
          </w:p>
        </w:tc>
        <w:tc>
          <w:tcPr>
            <w:tcW w:w="2381" w:type="dxa"/>
            <w:gridSpan w:val="2"/>
            <w:vAlign w:val="bottom"/>
          </w:tcPr>
          <w:p w14:paraId="5AB95E4D"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7</w:t>
            </w:r>
          </w:p>
        </w:tc>
        <w:tc>
          <w:tcPr>
            <w:tcW w:w="2381" w:type="dxa"/>
            <w:vAlign w:val="bottom"/>
          </w:tcPr>
          <w:p w14:paraId="14638937"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7.4</w:t>
            </w:r>
          </w:p>
        </w:tc>
      </w:tr>
      <w:tr w:rsidR="0085268A" w:rsidRPr="005F7657" w14:paraId="0EE53352" w14:textId="77777777">
        <w:tc>
          <w:tcPr>
            <w:tcW w:w="4248" w:type="dxa"/>
            <w:gridSpan w:val="2"/>
            <w:vAlign w:val="bottom"/>
          </w:tcPr>
          <w:p w14:paraId="44B70210" w14:textId="77777777" w:rsidR="0085268A" w:rsidRPr="005F7657" w:rsidRDefault="0085268A" w:rsidP="00977C46">
            <w:pPr>
              <w:ind w:firstLine="243"/>
              <w:rPr>
                <w:rFonts w:asciiTheme="minorHAnsi" w:hAnsiTheme="minorHAnsi"/>
                <w:color w:val="000000" w:themeColor="text1"/>
                <w:sz w:val="18"/>
                <w:szCs w:val="18"/>
              </w:rPr>
            </w:pPr>
            <w:r w:rsidRPr="005F7657">
              <w:rPr>
                <w:rFonts w:asciiTheme="minorHAnsi" w:hAnsiTheme="minorHAnsi"/>
                <w:color w:val="000000" w:themeColor="text1"/>
                <w:sz w:val="18"/>
                <w:szCs w:val="18"/>
              </w:rPr>
              <w:t>Mobile Broadband (e.g., hot spot, dongle)</w:t>
            </w:r>
          </w:p>
        </w:tc>
        <w:tc>
          <w:tcPr>
            <w:tcW w:w="2381" w:type="dxa"/>
            <w:gridSpan w:val="2"/>
            <w:vAlign w:val="bottom"/>
          </w:tcPr>
          <w:p w14:paraId="3BD6EB0B"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6</w:t>
            </w:r>
          </w:p>
        </w:tc>
        <w:tc>
          <w:tcPr>
            <w:tcW w:w="2381" w:type="dxa"/>
            <w:vAlign w:val="bottom"/>
          </w:tcPr>
          <w:p w14:paraId="3F03C68F"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6.4</w:t>
            </w:r>
          </w:p>
        </w:tc>
      </w:tr>
      <w:tr w:rsidR="0085268A" w:rsidRPr="005F7657" w14:paraId="359DBB70" w14:textId="77777777">
        <w:tc>
          <w:tcPr>
            <w:tcW w:w="4248" w:type="dxa"/>
            <w:gridSpan w:val="2"/>
            <w:vAlign w:val="bottom"/>
          </w:tcPr>
          <w:p w14:paraId="09EE7C53" w14:textId="77777777" w:rsidR="0085268A" w:rsidRPr="005F7657" w:rsidRDefault="0085268A" w:rsidP="00977C46">
            <w:pPr>
              <w:ind w:firstLine="243"/>
              <w:rPr>
                <w:rFonts w:asciiTheme="minorHAnsi" w:hAnsiTheme="minorHAnsi"/>
                <w:color w:val="000000" w:themeColor="text1"/>
                <w:sz w:val="18"/>
                <w:szCs w:val="18"/>
              </w:rPr>
            </w:pPr>
            <w:r w:rsidRPr="005F7657">
              <w:rPr>
                <w:rFonts w:asciiTheme="minorHAnsi" w:hAnsiTheme="minorHAnsi"/>
                <w:color w:val="000000" w:themeColor="text1"/>
                <w:sz w:val="18"/>
                <w:szCs w:val="18"/>
              </w:rPr>
              <w:t>Other</w:t>
            </w:r>
          </w:p>
        </w:tc>
        <w:tc>
          <w:tcPr>
            <w:tcW w:w="2381" w:type="dxa"/>
            <w:gridSpan w:val="2"/>
            <w:vAlign w:val="bottom"/>
          </w:tcPr>
          <w:p w14:paraId="1D244416"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3</w:t>
            </w:r>
          </w:p>
        </w:tc>
        <w:tc>
          <w:tcPr>
            <w:tcW w:w="2381" w:type="dxa"/>
            <w:vAlign w:val="bottom"/>
          </w:tcPr>
          <w:p w14:paraId="1354C1DB"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3.2</w:t>
            </w:r>
          </w:p>
        </w:tc>
      </w:tr>
      <w:tr w:rsidR="0085268A" w:rsidRPr="005F7657" w14:paraId="36D46923" w14:textId="77777777" w:rsidTr="00FD7E7A">
        <w:tc>
          <w:tcPr>
            <w:tcW w:w="4248" w:type="dxa"/>
            <w:gridSpan w:val="2"/>
            <w:tcBorders>
              <w:bottom w:val="single" w:sz="4" w:space="0" w:color="auto"/>
            </w:tcBorders>
            <w:vAlign w:val="bottom"/>
          </w:tcPr>
          <w:p w14:paraId="7F2C7919" w14:textId="77777777" w:rsidR="0085268A" w:rsidRPr="005F7657" w:rsidRDefault="0085268A" w:rsidP="00977C46">
            <w:pPr>
              <w:ind w:firstLine="243"/>
              <w:rPr>
                <w:rFonts w:asciiTheme="minorHAnsi" w:hAnsiTheme="minorHAnsi"/>
                <w:color w:val="000000" w:themeColor="text1"/>
                <w:sz w:val="18"/>
                <w:szCs w:val="18"/>
              </w:rPr>
            </w:pPr>
            <w:r w:rsidRPr="005F7657">
              <w:rPr>
                <w:rFonts w:asciiTheme="minorHAnsi" w:hAnsiTheme="minorHAnsi"/>
                <w:color w:val="000000" w:themeColor="text1"/>
                <w:sz w:val="18"/>
                <w:szCs w:val="18"/>
              </w:rPr>
              <w:t>Missing</w:t>
            </w:r>
          </w:p>
        </w:tc>
        <w:tc>
          <w:tcPr>
            <w:tcW w:w="2381" w:type="dxa"/>
            <w:gridSpan w:val="2"/>
            <w:tcBorders>
              <w:bottom w:val="single" w:sz="4" w:space="0" w:color="auto"/>
            </w:tcBorders>
            <w:vAlign w:val="bottom"/>
          </w:tcPr>
          <w:p w14:paraId="682EA3DF"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1</w:t>
            </w:r>
          </w:p>
        </w:tc>
        <w:tc>
          <w:tcPr>
            <w:tcW w:w="2381" w:type="dxa"/>
            <w:tcBorders>
              <w:bottom w:val="single" w:sz="4" w:space="0" w:color="auto"/>
            </w:tcBorders>
            <w:vAlign w:val="bottom"/>
          </w:tcPr>
          <w:p w14:paraId="6051A283"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1.1</w:t>
            </w:r>
          </w:p>
        </w:tc>
      </w:tr>
      <w:tr w:rsidR="0085268A" w:rsidRPr="005F7657" w14:paraId="560A918C" w14:textId="77777777" w:rsidTr="00FD7E7A">
        <w:tc>
          <w:tcPr>
            <w:tcW w:w="4248" w:type="dxa"/>
            <w:gridSpan w:val="2"/>
            <w:tcBorders>
              <w:top w:val="single" w:sz="4" w:space="0" w:color="auto"/>
              <w:bottom w:val="nil"/>
            </w:tcBorders>
          </w:tcPr>
          <w:p w14:paraId="0DD22CA0" w14:textId="77777777" w:rsidR="0085268A" w:rsidRPr="005F7657" w:rsidRDefault="0085268A" w:rsidP="00977C46">
            <w:pPr>
              <w:rPr>
                <w:rFonts w:asciiTheme="minorHAnsi" w:hAnsiTheme="minorHAnsi"/>
                <w:b/>
                <w:bCs/>
                <w:color w:val="000000" w:themeColor="text1"/>
                <w:sz w:val="18"/>
                <w:szCs w:val="18"/>
              </w:rPr>
            </w:pPr>
            <w:r w:rsidRPr="005F7657">
              <w:rPr>
                <w:rFonts w:asciiTheme="minorHAnsi" w:hAnsiTheme="minorHAnsi"/>
                <w:b/>
                <w:bCs/>
                <w:color w:val="000000" w:themeColor="text1"/>
                <w:sz w:val="18"/>
                <w:szCs w:val="18"/>
              </w:rPr>
              <w:t>Reliability of Internet</w:t>
            </w:r>
          </w:p>
        </w:tc>
        <w:tc>
          <w:tcPr>
            <w:tcW w:w="2381" w:type="dxa"/>
            <w:gridSpan w:val="2"/>
            <w:tcBorders>
              <w:top w:val="single" w:sz="4" w:space="0" w:color="auto"/>
              <w:bottom w:val="nil"/>
            </w:tcBorders>
          </w:tcPr>
          <w:p w14:paraId="53069F7C" w14:textId="77777777" w:rsidR="0085268A" w:rsidRPr="005F7657" w:rsidRDefault="0085268A" w:rsidP="00977C46">
            <w:pPr>
              <w:jc w:val="center"/>
              <w:rPr>
                <w:rFonts w:asciiTheme="minorHAnsi" w:hAnsiTheme="minorHAnsi" w:cstheme="minorHAnsi"/>
                <w:color w:val="000000" w:themeColor="text1"/>
                <w:sz w:val="18"/>
                <w:szCs w:val="18"/>
              </w:rPr>
            </w:pPr>
          </w:p>
        </w:tc>
        <w:tc>
          <w:tcPr>
            <w:tcW w:w="2381" w:type="dxa"/>
            <w:tcBorders>
              <w:top w:val="single" w:sz="4" w:space="0" w:color="auto"/>
              <w:bottom w:val="nil"/>
            </w:tcBorders>
          </w:tcPr>
          <w:p w14:paraId="40213C14" w14:textId="77777777" w:rsidR="0085268A" w:rsidRPr="005F7657" w:rsidRDefault="0085268A" w:rsidP="00977C46">
            <w:pPr>
              <w:jc w:val="center"/>
              <w:rPr>
                <w:rFonts w:asciiTheme="minorHAnsi" w:hAnsiTheme="minorHAnsi" w:cstheme="minorHAnsi"/>
                <w:color w:val="000000" w:themeColor="text1"/>
                <w:sz w:val="18"/>
                <w:szCs w:val="18"/>
              </w:rPr>
            </w:pPr>
          </w:p>
        </w:tc>
      </w:tr>
      <w:tr w:rsidR="0085268A" w:rsidRPr="005F7657" w14:paraId="1E57636F" w14:textId="77777777" w:rsidTr="00FD7E7A">
        <w:tc>
          <w:tcPr>
            <w:tcW w:w="4248" w:type="dxa"/>
            <w:gridSpan w:val="2"/>
            <w:tcBorders>
              <w:top w:val="nil"/>
              <w:bottom w:val="nil"/>
            </w:tcBorders>
            <w:vAlign w:val="bottom"/>
          </w:tcPr>
          <w:p w14:paraId="6E7E903B" w14:textId="77777777" w:rsidR="0085268A" w:rsidRPr="005F7657" w:rsidRDefault="0085268A" w:rsidP="00977C46">
            <w:pPr>
              <w:ind w:firstLine="243"/>
              <w:rPr>
                <w:rFonts w:asciiTheme="minorHAnsi" w:hAnsiTheme="minorHAnsi"/>
                <w:color w:val="000000" w:themeColor="text1"/>
                <w:sz w:val="18"/>
                <w:szCs w:val="18"/>
              </w:rPr>
            </w:pPr>
            <w:r w:rsidRPr="005F7657">
              <w:rPr>
                <w:rFonts w:asciiTheme="minorHAnsi" w:hAnsiTheme="minorHAnsi"/>
                <w:color w:val="000000" w:themeColor="text1"/>
                <w:sz w:val="18"/>
                <w:szCs w:val="18"/>
              </w:rPr>
              <w:t>Unreliable most of the time</w:t>
            </w:r>
          </w:p>
        </w:tc>
        <w:tc>
          <w:tcPr>
            <w:tcW w:w="2381" w:type="dxa"/>
            <w:gridSpan w:val="2"/>
            <w:tcBorders>
              <w:top w:val="nil"/>
              <w:bottom w:val="nil"/>
            </w:tcBorders>
            <w:vAlign w:val="bottom"/>
          </w:tcPr>
          <w:p w14:paraId="0870289D"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1</w:t>
            </w:r>
          </w:p>
        </w:tc>
        <w:tc>
          <w:tcPr>
            <w:tcW w:w="2381" w:type="dxa"/>
            <w:tcBorders>
              <w:top w:val="nil"/>
              <w:bottom w:val="nil"/>
            </w:tcBorders>
            <w:vAlign w:val="bottom"/>
          </w:tcPr>
          <w:p w14:paraId="51D2C834"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1.1</w:t>
            </w:r>
          </w:p>
        </w:tc>
      </w:tr>
      <w:tr w:rsidR="0085268A" w:rsidRPr="005F7657" w14:paraId="5AB8192C" w14:textId="77777777" w:rsidTr="00FD7E7A">
        <w:tc>
          <w:tcPr>
            <w:tcW w:w="4248" w:type="dxa"/>
            <w:gridSpan w:val="2"/>
            <w:tcBorders>
              <w:top w:val="nil"/>
              <w:bottom w:val="nil"/>
            </w:tcBorders>
            <w:vAlign w:val="bottom"/>
          </w:tcPr>
          <w:p w14:paraId="198E6C6C" w14:textId="77777777" w:rsidR="0085268A" w:rsidRPr="005F7657" w:rsidRDefault="0085268A" w:rsidP="00977C46">
            <w:pPr>
              <w:ind w:firstLine="243"/>
              <w:rPr>
                <w:rFonts w:asciiTheme="minorHAnsi" w:hAnsiTheme="minorHAnsi"/>
                <w:color w:val="000000" w:themeColor="text1"/>
                <w:sz w:val="18"/>
                <w:szCs w:val="18"/>
              </w:rPr>
            </w:pPr>
            <w:r w:rsidRPr="005F7657">
              <w:rPr>
                <w:rFonts w:asciiTheme="minorHAnsi" w:hAnsiTheme="minorHAnsi"/>
                <w:color w:val="000000" w:themeColor="text1"/>
                <w:sz w:val="18"/>
                <w:szCs w:val="18"/>
              </w:rPr>
              <w:t>Unreliable/reliable some of the time</w:t>
            </w:r>
          </w:p>
        </w:tc>
        <w:tc>
          <w:tcPr>
            <w:tcW w:w="2381" w:type="dxa"/>
            <w:gridSpan w:val="2"/>
            <w:tcBorders>
              <w:top w:val="nil"/>
              <w:bottom w:val="nil"/>
            </w:tcBorders>
            <w:vAlign w:val="bottom"/>
          </w:tcPr>
          <w:p w14:paraId="07E22F93"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12</w:t>
            </w:r>
          </w:p>
        </w:tc>
        <w:tc>
          <w:tcPr>
            <w:tcW w:w="2381" w:type="dxa"/>
            <w:tcBorders>
              <w:top w:val="nil"/>
              <w:bottom w:val="nil"/>
            </w:tcBorders>
            <w:vAlign w:val="bottom"/>
          </w:tcPr>
          <w:p w14:paraId="0B47C0B2"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12.8</w:t>
            </w:r>
          </w:p>
        </w:tc>
      </w:tr>
      <w:tr w:rsidR="0085268A" w:rsidRPr="005F7657" w14:paraId="53A6CAC5" w14:textId="77777777" w:rsidTr="00FD7E7A">
        <w:tc>
          <w:tcPr>
            <w:tcW w:w="4248" w:type="dxa"/>
            <w:gridSpan w:val="2"/>
            <w:tcBorders>
              <w:top w:val="nil"/>
              <w:bottom w:val="nil"/>
            </w:tcBorders>
            <w:vAlign w:val="bottom"/>
          </w:tcPr>
          <w:p w14:paraId="63AA82C7" w14:textId="77777777" w:rsidR="0085268A" w:rsidRPr="005F7657" w:rsidRDefault="0085268A" w:rsidP="00977C46">
            <w:pPr>
              <w:ind w:firstLine="243"/>
              <w:rPr>
                <w:rFonts w:asciiTheme="minorHAnsi" w:hAnsiTheme="minorHAnsi"/>
                <w:color w:val="000000" w:themeColor="text1"/>
                <w:sz w:val="18"/>
                <w:szCs w:val="18"/>
              </w:rPr>
            </w:pPr>
            <w:r w:rsidRPr="005F7657">
              <w:rPr>
                <w:rFonts w:asciiTheme="minorHAnsi" w:hAnsiTheme="minorHAnsi"/>
                <w:color w:val="000000" w:themeColor="text1"/>
                <w:sz w:val="18"/>
                <w:szCs w:val="18"/>
              </w:rPr>
              <w:t>Reliable most of the time</w:t>
            </w:r>
          </w:p>
        </w:tc>
        <w:tc>
          <w:tcPr>
            <w:tcW w:w="2381" w:type="dxa"/>
            <w:gridSpan w:val="2"/>
            <w:tcBorders>
              <w:top w:val="nil"/>
              <w:bottom w:val="nil"/>
            </w:tcBorders>
            <w:vAlign w:val="bottom"/>
          </w:tcPr>
          <w:p w14:paraId="1F67E54F"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62</w:t>
            </w:r>
          </w:p>
        </w:tc>
        <w:tc>
          <w:tcPr>
            <w:tcW w:w="2381" w:type="dxa"/>
            <w:tcBorders>
              <w:top w:val="nil"/>
              <w:bottom w:val="nil"/>
            </w:tcBorders>
            <w:vAlign w:val="bottom"/>
          </w:tcPr>
          <w:p w14:paraId="6FD4D972"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66.0</w:t>
            </w:r>
          </w:p>
        </w:tc>
      </w:tr>
      <w:tr w:rsidR="0085268A" w:rsidRPr="005F7657" w14:paraId="0C528047" w14:textId="77777777" w:rsidTr="00FD7E7A">
        <w:tc>
          <w:tcPr>
            <w:tcW w:w="4248" w:type="dxa"/>
            <w:gridSpan w:val="2"/>
            <w:tcBorders>
              <w:top w:val="nil"/>
              <w:bottom w:val="nil"/>
            </w:tcBorders>
            <w:vAlign w:val="bottom"/>
          </w:tcPr>
          <w:p w14:paraId="40BDD82F" w14:textId="77777777" w:rsidR="0085268A" w:rsidRPr="005F7657" w:rsidRDefault="0085268A" w:rsidP="00977C46">
            <w:pPr>
              <w:ind w:firstLine="243"/>
              <w:rPr>
                <w:rFonts w:asciiTheme="minorHAnsi" w:hAnsiTheme="minorHAnsi"/>
                <w:color w:val="000000" w:themeColor="text1"/>
                <w:sz w:val="18"/>
                <w:szCs w:val="18"/>
              </w:rPr>
            </w:pPr>
            <w:r w:rsidRPr="005F7657">
              <w:rPr>
                <w:rFonts w:asciiTheme="minorHAnsi" w:hAnsiTheme="minorHAnsi"/>
                <w:color w:val="000000" w:themeColor="text1"/>
                <w:sz w:val="18"/>
                <w:szCs w:val="18"/>
              </w:rPr>
              <w:t>Reliable all the time</w:t>
            </w:r>
          </w:p>
        </w:tc>
        <w:tc>
          <w:tcPr>
            <w:tcW w:w="2381" w:type="dxa"/>
            <w:gridSpan w:val="2"/>
            <w:tcBorders>
              <w:top w:val="nil"/>
              <w:bottom w:val="nil"/>
            </w:tcBorders>
            <w:vAlign w:val="bottom"/>
          </w:tcPr>
          <w:p w14:paraId="4E1B5D23"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18</w:t>
            </w:r>
          </w:p>
        </w:tc>
        <w:tc>
          <w:tcPr>
            <w:tcW w:w="2381" w:type="dxa"/>
            <w:tcBorders>
              <w:top w:val="nil"/>
              <w:bottom w:val="nil"/>
            </w:tcBorders>
            <w:vAlign w:val="bottom"/>
          </w:tcPr>
          <w:p w14:paraId="0AD0EE4C"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19.1</w:t>
            </w:r>
          </w:p>
        </w:tc>
      </w:tr>
      <w:tr w:rsidR="0085268A" w:rsidRPr="005F7657" w14:paraId="36CD7BA3" w14:textId="77777777" w:rsidTr="00FD7E7A">
        <w:tc>
          <w:tcPr>
            <w:tcW w:w="4248" w:type="dxa"/>
            <w:gridSpan w:val="2"/>
            <w:tcBorders>
              <w:top w:val="nil"/>
              <w:bottom w:val="single" w:sz="4" w:space="0" w:color="auto"/>
            </w:tcBorders>
            <w:vAlign w:val="bottom"/>
          </w:tcPr>
          <w:p w14:paraId="540FCCC7" w14:textId="77777777" w:rsidR="0085268A" w:rsidRPr="005F7657" w:rsidRDefault="0085268A" w:rsidP="00977C46">
            <w:pPr>
              <w:ind w:firstLine="243"/>
              <w:rPr>
                <w:rFonts w:asciiTheme="minorHAnsi" w:hAnsiTheme="minorHAnsi"/>
                <w:color w:val="000000" w:themeColor="text1"/>
                <w:sz w:val="18"/>
                <w:szCs w:val="18"/>
              </w:rPr>
            </w:pPr>
            <w:r w:rsidRPr="005F7657">
              <w:rPr>
                <w:rFonts w:asciiTheme="minorHAnsi" w:hAnsiTheme="minorHAnsi"/>
                <w:color w:val="000000" w:themeColor="text1"/>
                <w:sz w:val="18"/>
                <w:szCs w:val="18"/>
              </w:rPr>
              <w:t>Missing</w:t>
            </w:r>
          </w:p>
        </w:tc>
        <w:tc>
          <w:tcPr>
            <w:tcW w:w="2381" w:type="dxa"/>
            <w:gridSpan w:val="2"/>
            <w:tcBorders>
              <w:top w:val="nil"/>
              <w:bottom w:val="single" w:sz="4" w:space="0" w:color="auto"/>
            </w:tcBorders>
            <w:vAlign w:val="bottom"/>
          </w:tcPr>
          <w:p w14:paraId="7D2FD5D7"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1</w:t>
            </w:r>
          </w:p>
        </w:tc>
        <w:tc>
          <w:tcPr>
            <w:tcW w:w="2381" w:type="dxa"/>
            <w:tcBorders>
              <w:top w:val="nil"/>
              <w:bottom w:val="single" w:sz="4" w:space="0" w:color="auto"/>
            </w:tcBorders>
            <w:vAlign w:val="bottom"/>
          </w:tcPr>
          <w:p w14:paraId="2F2B9A5C"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1.1</w:t>
            </w:r>
          </w:p>
        </w:tc>
      </w:tr>
      <w:tr w:rsidR="0085268A" w:rsidRPr="005F7657" w14:paraId="4C39675A" w14:textId="77777777" w:rsidTr="00FD7E7A">
        <w:tc>
          <w:tcPr>
            <w:tcW w:w="4248" w:type="dxa"/>
            <w:gridSpan w:val="2"/>
            <w:tcBorders>
              <w:top w:val="single" w:sz="4" w:space="0" w:color="auto"/>
            </w:tcBorders>
            <w:vAlign w:val="bottom"/>
          </w:tcPr>
          <w:p w14:paraId="040CE93F" w14:textId="77777777" w:rsidR="0085268A" w:rsidRPr="005F7657" w:rsidRDefault="0085268A" w:rsidP="00977C46">
            <w:pPr>
              <w:rPr>
                <w:rFonts w:asciiTheme="minorHAnsi" w:hAnsiTheme="minorHAnsi"/>
                <w:b/>
                <w:color w:val="000000" w:themeColor="text1"/>
                <w:sz w:val="18"/>
                <w:szCs w:val="18"/>
              </w:rPr>
            </w:pPr>
            <w:r w:rsidRPr="005F7657">
              <w:rPr>
                <w:rFonts w:asciiTheme="minorHAnsi" w:hAnsiTheme="minorHAnsi"/>
                <w:b/>
                <w:bCs/>
                <w:color w:val="000000" w:themeColor="text1"/>
                <w:sz w:val="18"/>
                <w:szCs w:val="18"/>
              </w:rPr>
              <w:t xml:space="preserve">Onsite space for </w:t>
            </w:r>
            <w:r>
              <w:rPr>
                <w:rFonts w:asciiTheme="minorHAnsi" w:hAnsiTheme="minorHAnsi"/>
                <w:b/>
                <w:bCs/>
                <w:color w:val="000000" w:themeColor="text1"/>
                <w:sz w:val="18"/>
                <w:szCs w:val="18"/>
              </w:rPr>
              <w:t>DMHS</w:t>
            </w:r>
            <w:r w:rsidRPr="005F7657">
              <w:rPr>
                <w:rFonts w:asciiTheme="minorHAnsi" w:hAnsiTheme="minorHAnsi"/>
                <w:b/>
                <w:bCs/>
                <w:color w:val="000000" w:themeColor="text1"/>
                <w:sz w:val="18"/>
                <w:szCs w:val="18"/>
              </w:rPr>
              <w:t xml:space="preserve"> access</w:t>
            </w:r>
          </w:p>
        </w:tc>
        <w:tc>
          <w:tcPr>
            <w:tcW w:w="2381" w:type="dxa"/>
            <w:gridSpan w:val="2"/>
            <w:tcBorders>
              <w:top w:val="single" w:sz="4" w:space="0" w:color="auto"/>
            </w:tcBorders>
            <w:vAlign w:val="bottom"/>
          </w:tcPr>
          <w:p w14:paraId="7E5CBEDE" w14:textId="77777777" w:rsidR="0085268A" w:rsidRPr="005F7657" w:rsidRDefault="0085268A" w:rsidP="00977C46">
            <w:pPr>
              <w:jc w:val="center"/>
              <w:rPr>
                <w:rFonts w:asciiTheme="minorHAnsi" w:hAnsiTheme="minorHAnsi" w:cstheme="minorHAnsi"/>
                <w:color w:val="000000" w:themeColor="text1"/>
                <w:sz w:val="18"/>
                <w:szCs w:val="18"/>
              </w:rPr>
            </w:pPr>
          </w:p>
        </w:tc>
        <w:tc>
          <w:tcPr>
            <w:tcW w:w="2381" w:type="dxa"/>
            <w:tcBorders>
              <w:top w:val="single" w:sz="4" w:space="0" w:color="auto"/>
            </w:tcBorders>
            <w:vAlign w:val="bottom"/>
          </w:tcPr>
          <w:p w14:paraId="47135890" w14:textId="77777777" w:rsidR="0085268A" w:rsidRPr="005F7657" w:rsidRDefault="0085268A" w:rsidP="00977C46">
            <w:pPr>
              <w:jc w:val="center"/>
              <w:rPr>
                <w:rFonts w:asciiTheme="minorHAnsi" w:hAnsiTheme="minorHAnsi" w:cstheme="minorHAnsi"/>
                <w:color w:val="000000" w:themeColor="text1"/>
                <w:sz w:val="18"/>
                <w:szCs w:val="18"/>
              </w:rPr>
            </w:pPr>
          </w:p>
        </w:tc>
      </w:tr>
      <w:tr w:rsidR="0085268A" w:rsidRPr="005F7657" w14:paraId="5DB7DB71" w14:textId="77777777">
        <w:tc>
          <w:tcPr>
            <w:tcW w:w="4248" w:type="dxa"/>
            <w:gridSpan w:val="2"/>
            <w:vAlign w:val="bottom"/>
          </w:tcPr>
          <w:p w14:paraId="513EB5C5" w14:textId="77777777" w:rsidR="0085268A" w:rsidRPr="005F7657" w:rsidRDefault="0085268A" w:rsidP="00977C46">
            <w:pPr>
              <w:ind w:firstLine="243"/>
              <w:rPr>
                <w:rFonts w:asciiTheme="minorHAnsi" w:hAnsiTheme="minorHAnsi"/>
                <w:color w:val="000000" w:themeColor="text1"/>
                <w:sz w:val="18"/>
                <w:szCs w:val="18"/>
              </w:rPr>
            </w:pPr>
            <w:r w:rsidRPr="005F7657">
              <w:rPr>
                <w:rFonts w:asciiTheme="minorHAnsi" w:hAnsiTheme="minorHAnsi"/>
                <w:color w:val="000000" w:themeColor="text1"/>
                <w:sz w:val="18"/>
                <w:szCs w:val="18"/>
              </w:rPr>
              <w:t>Yes</w:t>
            </w:r>
          </w:p>
        </w:tc>
        <w:tc>
          <w:tcPr>
            <w:tcW w:w="2381" w:type="dxa"/>
            <w:gridSpan w:val="2"/>
            <w:vAlign w:val="bottom"/>
          </w:tcPr>
          <w:p w14:paraId="6DD02ABE"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26</w:t>
            </w:r>
          </w:p>
        </w:tc>
        <w:tc>
          <w:tcPr>
            <w:tcW w:w="2381" w:type="dxa"/>
            <w:vAlign w:val="bottom"/>
          </w:tcPr>
          <w:p w14:paraId="6604B59B"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27.7</w:t>
            </w:r>
          </w:p>
        </w:tc>
      </w:tr>
      <w:tr w:rsidR="0085268A" w:rsidRPr="005F7657" w14:paraId="0EB52797" w14:textId="77777777">
        <w:tc>
          <w:tcPr>
            <w:tcW w:w="4248" w:type="dxa"/>
            <w:gridSpan w:val="2"/>
            <w:vAlign w:val="bottom"/>
          </w:tcPr>
          <w:p w14:paraId="716A599C" w14:textId="77777777" w:rsidR="0085268A" w:rsidRPr="005F7657" w:rsidRDefault="0085268A" w:rsidP="00977C46">
            <w:pPr>
              <w:ind w:firstLine="243"/>
              <w:rPr>
                <w:rFonts w:asciiTheme="minorHAnsi" w:hAnsiTheme="minorHAnsi"/>
                <w:color w:val="000000" w:themeColor="text1"/>
                <w:sz w:val="18"/>
                <w:szCs w:val="18"/>
              </w:rPr>
            </w:pPr>
            <w:r w:rsidRPr="005F7657">
              <w:rPr>
                <w:rFonts w:asciiTheme="minorHAnsi" w:hAnsiTheme="minorHAnsi"/>
                <w:color w:val="000000" w:themeColor="text1"/>
                <w:sz w:val="18"/>
                <w:szCs w:val="18"/>
              </w:rPr>
              <w:t>No</w:t>
            </w:r>
          </w:p>
        </w:tc>
        <w:tc>
          <w:tcPr>
            <w:tcW w:w="2381" w:type="dxa"/>
            <w:gridSpan w:val="2"/>
            <w:vAlign w:val="bottom"/>
          </w:tcPr>
          <w:p w14:paraId="17FCB487"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67</w:t>
            </w:r>
          </w:p>
        </w:tc>
        <w:tc>
          <w:tcPr>
            <w:tcW w:w="2381" w:type="dxa"/>
            <w:vAlign w:val="bottom"/>
          </w:tcPr>
          <w:p w14:paraId="54A66673"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71.3</w:t>
            </w:r>
          </w:p>
        </w:tc>
      </w:tr>
      <w:tr w:rsidR="0085268A" w14:paraId="75978B3E" w14:textId="77777777">
        <w:tc>
          <w:tcPr>
            <w:tcW w:w="4248" w:type="dxa"/>
            <w:gridSpan w:val="2"/>
            <w:vAlign w:val="bottom"/>
          </w:tcPr>
          <w:p w14:paraId="56BC8F37" w14:textId="77777777" w:rsidR="0085268A" w:rsidRPr="005F7657" w:rsidRDefault="0085268A" w:rsidP="00977C46">
            <w:pPr>
              <w:ind w:firstLine="243"/>
              <w:rPr>
                <w:rFonts w:asciiTheme="minorHAnsi" w:hAnsiTheme="minorHAnsi"/>
                <w:color w:val="000000" w:themeColor="text1"/>
                <w:sz w:val="18"/>
                <w:szCs w:val="18"/>
              </w:rPr>
            </w:pPr>
            <w:r w:rsidRPr="005F7657">
              <w:rPr>
                <w:rFonts w:asciiTheme="minorHAnsi" w:hAnsiTheme="minorHAnsi"/>
                <w:color w:val="000000" w:themeColor="text1"/>
                <w:sz w:val="18"/>
                <w:szCs w:val="18"/>
              </w:rPr>
              <w:t>Missing</w:t>
            </w:r>
          </w:p>
        </w:tc>
        <w:tc>
          <w:tcPr>
            <w:tcW w:w="2381" w:type="dxa"/>
            <w:gridSpan w:val="2"/>
            <w:vAlign w:val="bottom"/>
          </w:tcPr>
          <w:p w14:paraId="1ACF1623"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1</w:t>
            </w:r>
          </w:p>
        </w:tc>
        <w:tc>
          <w:tcPr>
            <w:tcW w:w="2381" w:type="dxa"/>
            <w:vAlign w:val="bottom"/>
          </w:tcPr>
          <w:p w14:paraId="1590F870" w14:textId="77777777" w:rsidR="0085268A" w:rsidRPr="005F7657" w:rsidRDefault="0085268A" w:rsidP="00977C46">
            <w:pPr>
              <w:jc w:val="center"/>
              <w:rPr>
                <w:rFonts w:asciiTheme="minorHAnsi" w:hAnsiTheme="minorHAnsi" w:cstheme="minorHAnsi"/>
                <w:color w:val="000000" w:themeColor="text1"/>
                <w:sz w:val="18"/>
                <w:szCs w:val="18"/>
              </w:rPr>
            </w:pPr>
            <w:r w:rsidRPr="005F7657">
              <w:rPr>
                <w:rFonts w:asciiTheme="minorHAnsi" w:hAnsiTheme="minorHAnsi" w:cstheme="minorHAnsi"/>
                <w:color w:val="010205"/>
                <w:sz w:val="18"/>
                <w:szCs w:val="18"/>
              </w:rPr>
              <w:t>1.1</w:t>
            </w:r>
          </w:p>
        </w:tc>
      </w:tr>
    </w:tbl>
    <w:p w14:paraId="51C5D052" w14:textId="77777777" w:rsidR="0085268A" w:rsidRPr="006909D7" w:rsidRDefault="0085268A" w:rsidP="0085268A">
      <w:pPr>
        <w:pStyle w:val="ANorm"/>
        <w:spacing w:after="240"/>
        <w:rPr>
          <w:sz w:val="16"/>
          <w:szCs w:val="16"/>
        </w:rPr>
      </w:pPr>
      <w:r w:rsidRPr="006909D7">
        <w:rPr>
          <w:sz w:val="16"/>
          <w:szCs w:val="16"/>
        </w:rPr>
        <w:t>ADSL,</w:t>
      </w:r>
      <w:r w:rsidRPr="00182277">
        <w:rPr>
          <w:sz w:val="16"/>
          <w:szCs w:val="16"/>
        </w:rPr>
        <w:t xml:space="preserve"> </w:t>
      </w:r>
      <w:r w:rsidRPr="006909D7">
        <w:rPr>
          <w:sz w:val="16"/>
          <w:szCs w:val="16"/>
        </w:rPr>
        <w:t xml:space="preserve">Asymmetric Digital Subscriber </w:t>
      </w:r>
      <w:proofErr w:type="gramStart"/>
      <w:r w:rsidRPr="006909D7">
        <w:rPr>
          <w:sz w:val="16"/>
          <w:szCs w:val="16"/>
        </w:rPr>
        <w:t>Line</w:t>
      </w:r>
      <w:r w:rsidRPr="00182277" w:rsidDel="00182277">
        <w:rPr>
          <w:sz w:val="16"/>
          <w:szCs w:val="16"/>
        </w:rPr>
        <w:t xml:space="preserve"> </w:t>
      </w:r>
      <w:r w:rsidRPr="006909D7">
        <w:rPr>
          <w:sz w:val="16"/>
          <w:szCs w:val="16"/>
        </w:rPr>
        <w:t>;</w:t>
      </w:r>
      <w:proofErr w:type="gramEnd"/>
      <w:r w:rsidRPr="006909D7">
        <w:rPr>
          <w:sz w:val="16"/>
          <w:szCs w:val="16"/>
        </w:rPr>
        <w:t xml:space="preserve"> DMHS, digital mental health service; NBN, National Broadband Network.</w:t>
      </w:r>
    </w:p>
    <w:p w14:paraId="2CD5AAF0" w14:textId="40607C4B" w:rsidR="0085268A" w:rsidRDefault="0085268A" w:rsidP="00D509F3">
      <w:pPr>
        <w:pStyle w:val="Heading2"/>
        <w:numPr>
          <w:ilvl w:val="1"/>
          <w:numId w:val="163"/>
        </w:numPr>
      </w:pPr>
      <w:bookmarkStart w:id="226" w:name="_Toc102131996"/>
      <w:bookmarkStart w:id="227" w:name="_Toc108784885"/>
      <w:r>
        <w:t>Views</w:t>
      </w:r>
      <w:r w:rsidRPr="00626A83">
        <w:t xml:space="preserve"> </w:t>
      </w:r>
      <w:r>
        <w:t>on</w:t>
      </w:r>
      <w:r w:rsidRPr="00626A83">
        <w:t xml:space="preserve"> DMHSs for different </w:t>
      </w:r>
      <w:r>
        <w:t>consumer</w:t>
      </w:r>
      <w:r w:rsidRPr="00626A83">
        <w:t xml:space="preserve"> groups and improving use of DMHS</w:t>
      </w:r>
      <w:r>
        <w:t>s</w:t>
      </w:r>
      <w:bookmarkEnd w:id="226"/>
      <w:bookmarkEnd w:id="227"/>
    </w:p>
    <w:p w14:paraId="1C0B882A" w14:textId="3C9CAF8E" w:rsidR="0085268A" w:rsidRPr="00440F86" w:rsidRDefault="0085268A" w:rsidP="0085268A">
      <w:pPr>
        <w:pStyle w:val="ANorm"/>
        <w:spacing w:after="240"/>
      </w:pPr>
      <w:r w:rsidRPr="00440F86">
        <w:t>All respondents were asked about the suitability of DMHSs for people with specific mental health problems. Three</w:t>
      </w:r>
      <w:r>
        <w:t>-</w:t>
      </w:r>
      <w:r w:rsidRPr="00440F86">
        <w:t>quarters of respondents thought DMHSs were suitable for people with mild mental problems with half of respondents indicating they were suitable for people with moderate mental health problems. Close to three</w:t>
      </w:r>
      <w:r>
        <w:t>-</w:t>
      </w:r>
      <w:r w:rsidRPr="00440F86">
        <w:t xml:space="preserve">quarters of respondents indicated that DMHSs were suitable for those with anxiety and depression, with respondents also indicating suitability for OCD (45.7%), substance use disorders (40.4%), PTSD (39.4%), suicidal ideation, </w:t>
      </w:r>
      <w:proofErr w:type="spellStart"/>
      <w:r w:rsidRPr="00440F86">
        <w:t xml:space="preserve">self </w:t>
      </w:r>
      <w:proofErr w:type="gramStart"/>
      <w:r w:rsidRPr="00440F86">
        <w:t>harm</w:t>
      </w:r>
      <w:proofErr w:type="spellEnd"/>
      <w:proofErr w:type="gramEnd"/>
      <w:r w:rsidRPr="00440F86">
        <w:t xml:space="preserve"> and personality disorders (35.1% of respondents for each problem), and bipolar disorders (33%) (see Table </w:t>
      </w:r>
      <w:r w:rsidR="009A1A4E">
        <w:t>40</w:t>
      </w:r>
      <w:r w:rsidRPr="00440F86">
        <w:t xml:space="preserve">). When asked whether DMHSs were not suitable for people with specific mental health problems, psychotic disorders (58.5%) followed by PTSD, suicidal ideation, personality disorders, eating disorders and </w:t>
      </w:r>
      <w:proofErr w:type="spellStart"/>
      <w:r w:rsidRPr="00440F86">
        <w:t>self harm</w:t>
      </w:r>
      <w:proofErr w:type="spellEnd"/>
      <w:r w:rsidRPr="00440F86">
        <w:t xml:space="preserve"> were identified (see Table </w:t>
      </w:r>
      <w:r w:rsidR="009A1A4E">
        <w:t>40</w:t>
      </w:r>
      <w:r w:rsidRPr="00440F86">
        <w:t>).</w:t>
      </w:r>
    </w:p>
    <w:p w14:paraId="75B8B65A" w14:textId="77777777" w:rsidR="00977C46" w:rsidRDefault="00977C46">
      <w:pPr>
        <w:rPr>
          <w:rFonts w:asciiTheme="minorHAnsi" w:eastAsiaTheme="majorEastAsia" w:hAnsiTheme="minorHAnsi" w:cstheme="minorHAnsi"/>
          <w:b/>
          <w:color w:val="000000" w:themeColor="text1"/>
          <w:sz w:val="21"/>
          <w:szCs w:val="21"/>
          <w:lang w:val="en-US" w:eastAsia="en-US"/>
        </w:rPr>
      </w:pPr>
      <w:r>
        <w:br w:type="page"/>
      </w:r>
    </w:p>
    <w:p w14:paraId="017377F9" w14:textId="0B28D25E" w:rsidR="0085268A" w:rsidRPr="00DD0857" w:rsidRDefault="0085268A" w:rsidP="0085268A">
      <w:pPr>
        <w:pStyle w:val="tableheading"/>
      </w:pPr>
      <w:r w:rsidRPr="00DD0857">
        <w:lastRenderedPageBreak/>
        <w:t xml:space="preserve">Table </w:t>
      </w:r>
      <w:r w:rsidR="009A1A4E">
        <w:t>40</w:t>
      </w:r>
      <w:r w:rsidRPr="00DD0857">
        <w:t xml:space="preserve">. </w:t>
      </w:r>
      <w:r>
        <w:t xml:space="preserve">Suitability of DMHSs by severity and type of </w:t>
      </w:r>
      <w:r w:rsidRPr="00DD0857">
        <w:t>mental health problems</w:t>
      </w:r>
      <w:r>
        <w:t xml:space="preserve"> </w:t>
      </w:r>
      <w:r w:rsidRPr="00DD0857">
        <w:t>(</w:t>
      </w:r>
      <w:r>
        <w:t>N</w:t>
      </w:r>
      <w:r w:rsidRPr="00DD0857">
        <w:t>=</w:t>
      </w:r>
      <w:proofErr w:type="gramStart"/>
      <w:r w:rsidRPr="00DD0857">
        <w:t>9</w:t>
      </w:r>
      <w:r>
        <w:t>4</w:t>
      </w:r>
      <w:r w:rsidRPr="00DD0857">
        <w:t>)</w:t>
      </w:r>
      <w:r>
        <w:rPr>
          <w:vertAlign w:val="superscript"/>
        </w:rPr>
        <w:t>a</w:t>
      </w:r>
      <w:proofErr w:type="gramEnd"/>
    </w:p>
    <w:tbl>
      <w:tblPr>
        <w:tblStyle w:val="TableGrid"/>
        <w:tblW w:w="5000" w:type="pct"/>
        <w:tblBorders>
          <w:insideH w:val="none" w:sz="0" w:space="0" w:color="auto"/>
          <w:insideV w:val="none" w:sz="0" w:space="0" w:color="auto"/>
        </w:tblBorders>
        <w:tblLook w:val="04A0" w:firstRow="1" w:lastRow="0" w:firstColumn="1" w:lastColumn="0" w:noHBand="0" w:noVBand="1"/>
        <w:tblCaption w:val="suitability of DMHS"/>
        <w:tblDescription w:val="This table presents whether DMHS are viewed to be suitable for different severities of mental illness as well as different mental illnesses. It also reports on whether DMHSs are considered to be not suitable for people with specific mental illnesses"/>
      </w:tblPr>
      <w:tblGrid>
        <w:gridCol w:w="5202"/>
        <w:gridCol w:w="888"/>
        <w:gridCol w:w="1379"/>
        <w:gridCol w:w="2267"/>
      </w:tblGrid>
      <w:tr w:rsidR="0085268A" w:rsidRPr="0015629E" w14:paraId="099A1D45" w14:textId="77777777" w:rsidTr="0098021D">
        <w:tc>
          <w:tcPr>
            <w:tcW w:w="3128" w:type="pct"/>
            <w:gridSpan w:val="2"/>
            <w:shd w:val="clear" w:color="auto" w:fill="000000" w:themeFill="text1"/>
          </w:tcPr>
          <w:p w14:paraId="45CE2E39" w14:textId="77777777" w:rsidR="0085268A" w:rsidRPr="00FE0E8A" w:rsidRDefault="0085268A" w:rsidP="00977C46">
            <w:pPr>
              <w:rPr>
                <w:rFonts w:asciiTheme="minorHAnsi" w:hAnsiTheme="minorHAnsi"/>
                <w:color w:val="FFFFFF" w:themeColor="background1"/>
                <w:sz w:val="18"/>
                <w:szCs w:val="18"/>
              </w:rPr>
            </w:pPr>
          </w:p>
        </w:tc>
        <w:tc>
          <w:tcPr>
            <w:tcW w:w="708" w:type="pct"/>
            <w:shd w:val="clear" w:color="auto" w:fill="000000" w:themeFill="text1"/>
          </w:tcPr>
          <w:p w14:paraId="11D02557" w14:textId="77777777" w:rsidR="0085268A" w:rsidRPr="0015629E" w:rsidRDefault="0085268A" w:rsidP="00977C46">
            <w:pPr>
              <w:jc w:val="center"/>
              <w:rPr>
                <w:rFonts w:asciiTheme="minorHAnsi" w:hAnsiTheme="minorHAnsi"/>
                <w:color w:val="FFFFFF" w:themeColor="background1"/>
                <w:sz w:val="18"/>
                <w:szCs w:val="18"/>
              </w:rPr>
            </w:pPr>
            <w:r w:rsidRPr="0015629E">
              <w:rPr>
                <w:rFonts w:asciiTheme="minorHAnsi" w:hAnsiTheme="minorHAnsi"/>
                <w:color w:val="FFFFFF" w:themeColor="background1"/>
                <w:sz w:val="18"/>
                <w:szCs w:val="18"/>
              </w:rPr>
              <w:t>Frequency</w:t>
            </w:r>
          </w:p>
        </w:tc>
        <w:tc>
          <w:tcPr>
            <w:tcW w:w="1164" w:type="pct"/>
            <w:shd w:val="clear" w:color="auto" w:fill="000000" w:themeFill="text1"/>
          </w:tcPr>
          <w:p w14:paraId="7935375F" w14:textId="77777777" w:rsidR="0085268A" w:rsidRPr="0015629E" w:rsidRDefault="0085268A" w:rsidP="00977C46">
            <w:pPr>
              <w:jc w:val="center"/>
              <w:rPr>
                <w:rFonts w:asciiTheme="minorHAnsi" w:hAnsiTheme="minorHAnsi"/>
                <w:color w:val="FFFFFF" w:themeColor="background1"/>
                <w:sz w:val="18"/>
                <w:szCs w:val="18"/>
              </w:rPr>
            </w:pPr>
            <w:r w:rsidRPr="0015629E">
              <w:rPr>
                <w:rFonts w:asciiTheme="minorHAnsi" w:hAnsiTheme="minorHAnsi"/>
                <w:color w:val="FFFFFF" w:themeColor="background1"/>
                <w:sz w:val="18"/>
                <w:szCs w:val="18"/>
              </w:rPr>
              <w:t>%</w:t>
            </w:r>
          </w:p>
        </w:tc>
      </w:tr>
      <w:tr w:rsidR="0085268A" w:rsidRPr="0015629E" w14:paraId="60DBD2FD" w14:textId="77777777" w:rsidTr="0098021D">
        <w:tc>
          <w:tcPr>
            <w:tcW w:w="3128" w:type="pct"/>
            <w:gridSpan w:val="2"/>
            <w:vAlign w:val="bottom"/>
          </w:tcPr>
          <w:p w14:paraId="786186F3" w14:textId="77777777" w:rsidR="0085268A" w:rsidRPr="0015629E" w:rsidRDefault="0085268A" w:rsidP="00977C46">
            <w:pPr>
              <w:rPr>
                <w:rFonts w:asciiTheme="minorHAnsi" w:hAnsiTheme="minorHAnsi"/>
                <w:b/>
                <w:bCs/>
                <w:color w:val="000000" w:themeColor="text1"/>
                <w:sz w:val="18"/>
                <w:szCs w:val="18"/>
              </w:rPr>
            </w:pPr>
            <w:r w:rsidRPr="0015629E">
              <w:rPr>
                <w:rFonts w:asciiTheme="minorHAnsi" w:hAnsiTheme="minorHAnsi"/>
                <w:b/>
                <w:bCs/>
                <w:color w:val="000000" w:themeColor="text1"/>
                <w:sz w:val="18"/>
                <w:szCs w:val="18"/>
              </w:rPr>
              <w:t xml:space="preserve">Severity of </w:t>
            </w:r>
            <w:r>
              <w:rPr>
                <w:rFonts w:asciiTheme="minorHAnsi" w:hAnsiTheme="minorHAnsi"/>
                <w:b/>
                <w:bCs/>
                <w:color w:val="000000" w:themeColor="text1"/>
                <w:sz w:val="18"/>
                <w:szCs w:val="18"/>
              </w:rPr>
              <w:t>mental health problems</w:t>
            </w:r>
            <w:r w:rsidRPr="0015629E">
              <w:rPr>
                <w:rFonts w:asciiTheme="minorHAnsi" w:hAnsiTheme="minorHAnsi"/>
                <w:b/>
                <w:bCs/>
                <w:color w:val="000000" w:themeColor="text1"/>
                <w:sz w:val="18"/>
                <w:szCs w:val="18"/>
              </w:rPr>
              <w:t xml:space="preserve"> DMHSs most suitable for</w:t>
            </w:r>
            <w:r>
              <w:rPr>
                <w:rFonts w:asciiTheme="minorHAnsi" w:hAnsiTheme="minorHAnsi"/>
                <w:b/>
                <w:bCs/>
                <w:color w:val="000000" w:themeColor="text1"/>
                <w:sz w:val="18"/>
                <w:szCs w:val="18"/>
              </w:rPr>
              <w:t>:</w:t>
            </w:r>
            <w:r w:rsidRPr="0015629E">
              <w:rPr>
                <w:rFonts w:asciiTheme="minorHAnsi" w:hAnsiTheme="minorHAnsi"/>
                <w:b/>
                <w:bCs/>
                <w:color w:val="000000" w:themeColor="text1"/>
                <w:sz w:val="18"/>
                <w:szCs w:val="18"/>
              </w:rPr>
              <w:t xml:space="preserve"> </w:t>
            </w:r>
          </w:p>
        </w:tc>
        <w:tc>
          <w:tcPr>
            <w:tcW w:w="708" w:type="pct"/>
            <w:vAlign w:val="bottom"/>
          </w:tcPr>
          <w:p w14:paraId="508322E5" w14:textId="77777777" w:rsidR="0085268A" w:rsidRPr="0015629E" w:rsidRDefault="0085268A" w:rsidP="00977C46">
            <w:pPr>
              <w:jc w:val="center"/>
              <w:rPr>
                <w:color w:val="000000" w:themeColor="text1"/>
                <w:sz w:val="18"/>
                <w:szCs w:val="18"/>
              </w:rPr>
            </w:pPr>
          </w:p>
        </w:tc>
        <w:tc>
          <w:tcPr>
            <w:tcW w:w="1164" w:type="pct"/>
            <w:vAlign w:val="bottom"/>
          </w:tcPr>
          <w:p w14:paraId="51DE8687" w14:textId="77777777" w:rsidR="0085268A" w:rsidRPr="0015629E" w:rsidRDefault="0085268A" w:rsidP="00977C46">
            <w:pPr>
              <w:jc w:val="center"/>
              <w:rPr>
                <w:color w:val="000000" w:themeColor="text1"/>
                <w:sz w:val="18"/>
                <w:szCs w:val="18"/>
              </w:rPr>
            </w:pPr>
          </w:p>
        </w:tc>
      </w:tr>
      <w:tr w:rsidR="0085268A" w:rsidRPr="0015629E" w14:paraId="2D7C378B" w14:textId="77777777" w:rsidTr="0098021D">
        <w:tc>
          <w:tcPr>
            <w:tcW w:w="3128" w:type="pct"/>
            <w:gridSpan w:val="2"/>
            <w:vAlign w:val="bottom"/>
          </w:tcPr>
          <w:p w14:paraId="6C3A2DF7" w14:textId="77777777" w:rsidR="0085268A" w:rsidRPr="0015629E" w:rsidRDefault="0085268A" w:rsidP="00977C46">
            <w:pPr>
              <w:ind w:firstLine="243"/>
              <w:rPr>
                <w:rFonts w:asciiTheme="minorHAnsi" w:hAnsiTheme="minorHAnsi"/>
                <w:color w:val="000000" w:themeColor="text1"/>
                <w:sz w:val="18"/>
                <w:szCs w:val="18"/>
              </w:rPr>
            </w:pPr>
            <w:r>
              <w:rPr>
                <w:rFonts w:asciiTheme="minorHAnsi" w:hAnsiTheme="minorHAnsi"/>
                <w:color w:val="000000" w:themeColor="text1"/>
                <w:sz w:val="18"/>
                <w:szCs w:val="18"/>
              </w:rPr>
              <w:t>M</w:t>
            </w:r>
            <w:r w:rsidRPr="0015629E">
              <w:rPr>
                <w:rFonts w:asciiTheme="minorHAnsi" w:hAnsiTheme="minorHAnsi"/>
                <w:color w:val="000000" w:themeColor="text1"/>
                <w:sz w:val="18"/>
                <w:szCs w:val="18"/>
              </w:rPr>
              <w:t>ild</w:t>
            </w:r>
          </w:p>
        </w:tc>
        <w:tc>
          <w:tcPr>
            <w:tcW w:w="708" w:type="pct"/>
            <w:vAlign w:val="bottom"/>
          </w:tcPr>
          <w:p w14:paraId="0F0258D1"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72</w:t>
            </w:r>
          </w:p>
        </w:tc>
        <w:tc>
          <w:tcPr>
            <w:tcW w:w="1164" w:type="pct"/>
            <w:vAlign w:val="bottom"/>
          </w:tcPr>
          <w:p w14:paraId="6815F59B"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76.6</w:t>
            </w:r>
          </w:p>
        </w:tc>
      </w:tr>
      <w:tr w:rsidR="0085268A" w:rsidRPr="0015629E" w14:paraId="59460317" w14:textId="77777777" w:rsidTr="0098021D">
        <w:tc>
          <w:tcPr>
            <w:tcW w:w="3128" w:type="pct"/>
            <w:gridSpan w:val="2"/>
            <w:vAlign w:val="bottom"/>
          </w:tcPr>
          <w:p w14:paraId="116B891E" w14:textId="77777777" w:rsidR="0085268A" w:rsidRPr="0015629E" w:rsidRDefault="0085268A" w:rsidP="00977C46">
            <w:pPr>
              <w:ind w:firstLine="243"/>
              <w:rPr>
                <w:rFonts w:asciiTheme="minorHAnsi" w:hAnsiTheme="minorHAnsi"/>
                <w:color w:val="000000" w:themeColor="text1"/>
                <w:sz w:val="18"/>
                <w:szCs w:val="18"/>
              </w:rPr>
            </w:pPr>
            <w:r w:rsidRPr="0015629E">
              <w:rPr>
                <w:rFonts w:asciiTheme="minorHAnsi" w:hAnsiTheme="minorHAnsi"/>
                <w:color w:val="000000" w:themeColor="text1"/>
                <w:sz w:val="18"/>
                <w:szCs w:val="18"/>
              </w:rPr>
              <w:t>Moderate</w:t>
            </w:r>
          </w:p>
        </w:tc>
        <w:tc>
          <w:tcPr>
            <w:tcW w:w="708" w:type="pct"/>
            <w:vAlign w:val="bottom"/>
          </w:tcPr>
          <w:p w14:paraId="65781186"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48</w:t>
            </w:r>
          </w:p>
        </w:tc>
        <w:tc>
          <w:tcPr>
            <w:tcW w:w="1164" w:type="pct"/>
            <w:vAlign w:val="bottom"/>
          </w:tcPr>
          <w:p w14:paraId="4A452269"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51.1</w:t>
            </w:r>
          </w:p>
        </w:tc>
      </w:tr>
      <w:tr w:rsidR="0085268A" w:rsidRPr="0015629E" w14:paraId="5DB22686" w14:textId="77777777" w:rsidTr="0098021D">
        <w:tc>
          <w:tcPr>
            <w:tcW w:w="3128" w:type="pct"/>
            <w:gridSpan w:val="2"/>
            <w:tcBorders>
              <w:bottom w:val="single" w:sz="4" w:space="0" w:color="auto"/>
            </w:tcBorders>
            <w:vAlign w:val="bottom"/>
          </w:tcPr>
          <w:p w14:paraId="6DF1673D" w14:textId="77777777" w:rsidR="0085268A" w:rsidRPr="0015629E" w:rsidRDefault="0085268A" w:rsidP="00977C46">
            <w:pPr>
              <w:ind w:firstLine="243"/>
              <w:rPr>
                <w:rFonts w:asciiTheme="minorHAnsi" w:hAnsiTheme="minorHAnsi"/>
                <w:color w:val="000000" w:themeColor="text1"/>
                <w:sz w:val="18"/>
                <w:szCs w:val="18"/>
              </w:rPr>
            </w:pPr>
            <w:r w:rsidRPr="0015629E">
              <w:rPr>
                <w:rFonts w:asciiTheme="minorHAnsi" w:hAnsiTheme="minorHAnsi"/>
                <w:color w:val="000000" w:themeColor="text1"/>
                <w:sz w:val="18"/>
                <w:szCs w:val="18"/>
              </w:rPr>
              <w:t>Severe</w:t>
            </w:r>
          </w:p>
        </w:tc>
        <w:tc>
          <w:tcPr>
            <w:tcW w:w="708" w:type="pct"/>
            <w:tcBorders>
              <w:bottom w:val="single" w:sz="4" w:space="0" w:color="auto"/>
            </w:tcBorders>
            <w:vAlign w:val="bottom"/>
          </w:tcPr>
          <w:p w14:paraId="61127FDA"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13</w:t>
            </w:r>
          </w:p>
        </w:tc>
        <w:tc>
          <w:tcPr>
            <w:tcW w:w="1164" w:type="pct"/>
            <w:tcBorders>
              <w:bottom w:val="single" w:sz="4" w:space="0" w:color="auto"/>
            </w:tcBorders>
            <w:vAlign w:val="bottom"/>
          </w:tcPr>
          <w:p w14:paraId="1DBFAF3B"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13.8</w:t>
            </w:r>
          </w:p>
        </w:tc>
      </w:tr>
      <w:tr w:rsidR="0085268A" w:rsidRPr="0015629E" w14:paraId="4CA8385B" w14:textId="77777777" w:rsidTr="0098021D">
        <w:tc>
          <w:tcPr>
            <w:tcW w:w="3128" w:type="pct"/>
            <w:gridSpan w:val="2"/>
            <w:tcBorders>
              <w:top w:val="single" w:sz="4" w:space="0" w:color="auto"/>
              <w:bottom w:val="nil"/>
            </w:tcBorders>
            <w:vAlign w:val="bottom"/>
          </w:tcPr>
          <w:p w14:paraId="167CD672" w14:textId="77777777" w:rsidR="0085268A" w:rsidRPr="0015629E" w:rsidRDefault="0085268A" w:rsidP="00977C46">
            <w:pPr>
              <w:rPr>
                <w:rFonts w:asciiTheme="minorHAnsi" w:hAnsiTheme="minorHAnsi"/>
                <w:b/>
                <w:bCs/>
                <w:color w:val="000000" w:themeColor="text1"/>
                <w:sz w:val="18"/>
                <w:szCs w:val="18"/>
              </w:rPr>
            </w:pPr>
            <w:r w:rsidRPr="0015629E">
              <w:rPr>
                <w:rFonts w:asciiTheme="minorHAnsi" w:hAnsiTheme="minorHAnsi"/>
                <w:b/>
                <w:bCs/>
                <w:color w:val="000000" w:themeColor="text1"/>
                <w:sz w:val="18"/>
                <w:szCs w:val="18"/>
              </w:rPr>
              <w:t>DMHSs suitable for people with:</w:t>
            </w:r>
          </w:p>
        </w:tc>
        <w:tc>
          <w:tcPr>
            <w:tcW w:w="708" w:type="pct"/>
            <w:tcBorders>
              <w:top w:val="single" w:sz="4" w:space="0" w:color="auto"/>
              <w:bottom w:val="nil"/>
            </w:tcBorders>
            <w:vAlign w:val="bottom"/>
          </w:tcPr>
          <w:p w14:paraId="4E3B9F3E" w14:textId="77777777" w:rsidR="0085268A" w:rsidRPr="0015629E" w:rsidRDefault="0085268A" w:rsidP="00977C46">
            <w:pPr>
              <w:jc w:val="center"/>
              <w:rPr>
                <w:color w:val="000000" w:themeColor="text1"/>
                <w:sz w:val="18"/>
                <w:szCs w:val="18"/>
              </w:rPr>
            </w:pPr>
          </w:p>
        </w:tc>
        <w:tc>
          <w:tcPr>
            <w:tcW w:w="1164" w:type="pct"/>
            <w:tcBorders>
              <w:top w:val="single" w:sz="4" w:space="0" w:color="auto"/>
              <w:bottom w:val="nil"/>
            </w:tcBorders>
            <w:vAlign w:val="bottom"/>
          </w:tcPr>
          <w:p w14:paraId="6058E078" w14:textId="77777777" w:rsidR="0085268A" w:rsidRPr="0015629E" w:rsidRDefault="0085268A" w:rsidP="00977C46">
            <w:pPr>
              <w:jc w:val="center"/>
              <w:rPr>
                <w:color w:val="000000" w:themeColor="text1"/>
                <w:sz w:val="18"/>
                <w:szCs w:val="18"/>
              </w:rPr>
            </w:pPr>
          </w:p>
        </w:tc>
      </w:tr>
      <w:tr w:rsidR="0085268A" w:rsidRPr="0015629E" w14:paraId="330866B6" w14:textId="77777777" w:rsidTr="0098021D">
        <w:tc>
          <w:tcPr>
            <w:tcW w:w="3128" w:type="pct"/>
            <w:gridSpan w:val="2"/>
            <w:tcBorders>
              <w:top w:val="nil"/>
              <w:bottom w:val="nil"/>
            </w:tcBorders>
            <w:vAlign w:val="bottom"/>
          </w:tcPr>
          <w:p w14:paraId="6C86CFF3" w14:textId="77777777" w:rsidR="0085268A" w:rsidRPr="0015629E" w:rsidRDefault="0085268A" w:rsidP="00977C46">
            <w:pPr>
              <w:ind w:firstLine="243"/>
              <w:rPr>
                <w:rFonts w:asciiTheme="minorHAnsi" w:hAnsiTheme="minorHAnsi"/>
                <w:color w:val="000000" w:themeColor="text1"/>
                <w:sz w:val="18"/>
                <w:szCs w:val="18"/>
              </w:rPr>
            </w:pPr>
            <w:r w:rsidRPr="0015629E">
              <w:rPr>
                <w:rFonts w:asciiTheme="minorHAnsi" w:hAnsiTheme="minorHAnsi"/>
                <w:color w:val="000000" w:themeColor="text1"/>
                <w:sz w:val="18"/>
                <w:szCs w:val="18"/>
              </w:rPr>
              <w:t>Depression</w:t>
            </w:r>
          </w:p>
        </w:tc>
        <w:tc>
          <w:tcPr>
            <w:tcW w:w="708" w:type="pct"/>
            <w:tcBorders>
              <w:top w:val="nil"/>
              <w:bottom w:val="nil"/>
            </w:tcBorders>
            <w:vAlign w:val="bottom"/>
          </w:tcPr>
          <w:p w14:paraId="0AE495C4"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70</w:t>
            </w:r>
          </w:p>
        </w:tc>
        <w:tc>
          <w:tcPr>
            <w:tcW w:w="1164" w:type="pct"/>
            <w:tcBorders>
              <w:top w:val="nil"/>
              <w:bottom w:val="nil"/>
            </w:tcBorders>
            <w:vAlign w:val="bottom"/>
          </w:tcPr>
          <w:p w14:paraId="7E5236AC" w14:textId="77777777" w:rsidR="0085268A" w:rsidRPr="00D52E73" w:rsidRDefault="0085268A" w:rsidP="00977C46">
            <w:pPr>
              <w:jc w:val="center"/>
              <w:rPr>
                <w:rFonts w:asciiTheme="minorHAnsi" w:hAnsiTheme="minorHAnsi" w:cstheme="minorHAnsi"/>
                <w:color w:val="000000" w:themeColor="text1"/>
                <w:sz w:val="18"/>
                <w:szCs w:val="18"/>
              </w:rPr>
            </w:pPr>
            <w:r w:rsidRPr="00D52E73">
              <w:rPr>
                <w:rFonts w:asciiTheme="minorHAnsi" w:hAnsiTheme="minorHAnsi" w:cstheme="minorHAnsi"/>
                <w:color w:val="010205"/>
                <w:sz w:val="18"/>
                <w:szCs w:val="18"/>
              </w:rPr>
              <w:t>74.5</w:t>
            </w:r>
          </w:p>
        </w:tc>
      </w:tr>
      <w:tr w:rsidR="0085268A" w:rsidRPr="0015629E" w14:paraId="5240A9C1" w14:textId="77777777" w:rsidTr="0098021D">
        <w:tc>
          <w:tcPr>
            <w:tcW w:w="3128" w:type="pct"/>
            <w:gridSpan w:val="2"/>
            <w:tcBorders>
              <w:top w:val="nil"/>
              <w:bottom w:val="nil"/>
            </w:tcBorders>
            <w:vAlign w:val="bottom"/>
          </w:tcPr>
          <w:p w14:paraId="64592244" w14:textId="77777777" w:rsidR="0085268A" w:rsidRPr="0015629E" w:rsidRDefault="0085268A" w:rsidP="00977C46">
            <w:pPr>
              <w:ind w:firstLine="243"/>
              <w:rPr>
                <w:rFonts w:asciiTheme="minorHAnsi" w:hAnsiTheme="minorHAnsi"/>
                <w:color w:val="000000" w:themeColor="text1"/>
                <w:sz w:val="18"/>
                <w:szCs w:val="18"/>
              </w:rPr>
            </w:pPr>
            <w:r w:rsidRPr="0015629E">
              <w:rPr>
                <w:rFonts w:asciiTheme="minorHAnsi" w:hAnsiTheme="minorHAnsi"/>
                <w:color w:val="000000" w:themeColor="text1"/>
                <w:sz w:val="18"/>
                <w:szCs w:val="18"/>
              </w:rPr>
              <w:t>Anxiety</w:t>
            </w:r>
          </w:p>
        </w:tc>
        <w:tc>
          <w:tcPr>
            <w:tcW w:w="708" w:type="pct"/>
            <w:tcBorders>
              <w:top w:val="nil"/>
              <w:bottom w:val="nil"/>
            </w:tcBorders>
            <w:vAlign w:val="bottom"/>
          </w:tcPr>
          <w:p w14:paraId="4A8475DA"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74</w:t>
            </w:r>
          </w:p>
        </w:tc>
        <w:tc>
          <w:tcPr>
            <w:tcW w:w="1164" w:type="pct"/>
            <w:tcBorders>
              <w:top w:val="nil"/>
              <w:bottom w:val="nil"/>
            </w:tcBorders>
            <w:vAlign w:val="bottom"/>
          </w:tcPr>
          <w:p w14:paraId="56A9FC4B" w14:textId="77777777" w:rsidR="0085268A" w:rsidRPr="00D52E73" w:rsidRDefault="0085268A" w:rsidP="00977C46">
            <w:pPr>
              <w:jc w:val="center"/>
              <w:rPr>
                <w:rFonts w:asciiTheme="minorHAnsi" w:hAnsiTheme="minorHAnsi" w:cstheme="minorHAnsi"/>
                <w:color w:val="000000" w:themeColor="text1"/>
                <w:sz w:val="18"/>
                <w:szCs w:val="18"/>
              </w:rPr>
            </w:pPr>
            <w:r w:rsidRPr="00D52E73">
              <w:rPr>
                <w:rFonts w:asciiTheme="minorHAnsi" w:hAnsiTheme="minorHAnsi" w:cstheme="minorHAnsi"/>
                <w:color w:val="010205"/>
                <w:sz w:val="18"/>
                <w:szCs w:val="18"/>
              </w:rPr>
              <w:t>78.7</w:t>
            </w:r>
          </w:p>
        </w:tc>
      </w:tr>
      <w:tr w:rsidR="0085268A" w:rsidRPr="0015629E" w14:paraId="14622D81" w14:textId="77777777" w:rsidTr="0098021D">
        <w:tc>
          <w:tcPr>
            <w:tcW w:w="3128" w:type="pct"/>
            <w:gridSpan w:val="2"/>
            <w:tcBorders>
              <w:top w:val="nil"/>
              <w:bottom w:val="nil"/>
            </w:tcBorders>
            <w:vAlign w:val="bottom"/>
          </w:tcPr>
          <w:p w14:paraId="15BD2928" w14:textId="77777777" w:rsidR="0085268A" w:rsidRPr="0015629E" w:rsidRDefault="0085268A" w:rsidP="00977C46">
            <w:pPr>
              <w:ind w:firstLine="243"/>
              <w:rPr>
                <w:rFonts w:asciiTheme="minorHAnsi" w:hAnsiTheme="minorHAnsi"/>
                <w:color w:val="000000" w:themeColor="text1"/>
                <w:sz w:val="18"/>
                <w:szCs w:val="18"/>
              </w:rPr>
            </w:pPr>
            <w:r w:rsidRPr="0015629E">
              <w:rPr>
                <w:rFonts w:asciiTheme="minorHAnsi" w:hAnsiTheme="minorHAnsi"/>
                <w:color w:val="000000" w:themeColor="text1"/>
                <w:sz w:val="18"/>
                <w:szCs w:val="18"/>
              </w:rPr>
              <w:t>PTSD</w:t>
            </w:r>
          </w:p>
        </w:tc>
        <w:tc>
          <w:tcPr>
            <w:tcW w:w="708" w:type="pct"/>
            <w:tcBorders>
              <w:top w:val="nil"/>
              <w:bottom w:val="nil"/>
            </w:tcBorders>
            <w:vAlign w:val="bottom"/>
          </w:tcPr>
          <w:p w14:paraId="14E0A76B"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37</w:t>
            </w:r>
          </w:p>
        </w:tc>
        <w:tc>
          <w:tcPr>
            <w:tcW w:w="1164" w:type="pct"/>
            <w:tcBorders>
              <w:top w:val="nil"/>
              <w:bottom w:val="nil"/>
            </w:tcBorders>
            <w:vAlign w:val="bottom"/>
          </w:tcPr>
          <w:p w14:paraId="09837D14" w14:textId="77777777" w:rsidR="0085268A" w:rsidRPr="00D52E73" w:rsidRDefault="0085268A" w:rsidP="00977C46">
            <w:pPr>
              <w:jc w:val="center"/>
              <w:rPr>
                <w:rFonts w:asciiTheme="minorHAnsi" w:hAnsiTheme="minorHAnsi" w:cstheme="minorHAnsi"/>
                <w:color w:val="000000" w:themeColor="text1"/>
                <w:sz w:val="18"/>
                <w:szCs w:val="18"/>
              </w:rPr>
            </w:pPr>
            <w:r w:rsidRPr="00D52E73">
              <w:rPr>
                <w:rFonts w:asciiTheme="minorHAnsi" w:hAnsiTheme="minorHAnsi" w:cstheme="minorHAnsi"/>
                <w:color w:val="010205"/>
                <w:sz w:val="18"/>
                <w:szCs w:val="18"/>
              </w:rPr>
              <w:t>39.4</w:t>
            </w:r>
          </w:p>
        </w:tc>
      </w:tr>
      <w:tr w:rsidR="0085268A" w:rsidRPr="0015629E" w14:paraId="073DC945" w14:textId="77777777" w:rsidTr="0098021D">
        <w:tc>
          <w:tcPr>
            <w:tcW w:w="3128" w:type="pct"/>
            <w:gridSpan w:val="2"/>
            <w:tcBorders>
              <w:top w:val="nil"/>
              <w:bottom w:val="nil"/>
            </w:tcBorders>
            <w:vAlign w:val="bottom"/>
          </w:tcPr>
          <w:p w14:paraId="15785B0C" w14:textId="77777777" w:rsidR="0085268A" w:rsidRPr="0015629E" w:rsidRDefault="0085268A" w:rsidP="00977C46">
            <w:pPr>
              <w:ind w:firstLine="243"/>
              <w:rPr>
                <w:rFonts w:asciiTheme="minorHAnsi" w:hAnsiTheme="minorHAnsi"/>
                <w:color w:val="000000" w:themeColor="text1"/>
                <w:sz w:val="18"/>
                <w:szCs w:val="18"/>
              </w:rPr>
            </w:pPr>
            <w:r w:rsidRPr="0015629E">
              <w:rPr>
                <w:rFonts w:asciiTheme="minorHAnsi" w:hAnsiTheme="minorHAnsi"/>
                <w:color w:val="000000" w:themeColor="text1"/>
                <w:sz w:val="18"/>
                <w:szCs w:val="18"/>
              </w:rPr>
              <w:t>OCD</w:t>
            </w:r>
          </w:p>
        </w:tc>
        <w:tc>
          <w:tcPr>
            <w:tcW w:w="708" w:type="pct"/>
            <w:tcBorders>
              <w:top w:val="nil"/>
              <w:bottom w:val="nil"/>
            </w:tcBorders>
            <w:vAlign w:val="bottom"/>
          </w:tcPr>
          <w:p w14:paraId="4549A324"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43</w:t>
            </w:r>
          </w:p>
        </w:tc>
        <w:tc>
          <w:tcPr>
            <w:tcW w:w="1164" w:type="pct"/>
            <w:tcBorders>
              <w:top w:val="nil"/>
              <w:bottom w:val="nil"/>
            </w:tcBorders>
            <w:vAlign w:val="bottom"/>
          </w:tcPr>
          <w:p w14:paraId="3504765E" w14:textId="77777777" w:rsidR="0085268A" w:rsidRPr="00D52E73" w:rsidRDefault="0085268A" w:rsidP="00977C46">
            <w:pPr>
              <w:jc w:val="center"/>
              <w:rPr>
                <w:rFonts w:asciiTheme="minorHAnsi" w:hAnsiTheme="minorHAnsi" w:cstheme="minorHAnsi"/>
                <w:color w:val="000000" w:themeColor="text1"/>
                <w:sz w:val="18"/>
                <w:szCs w:val="18"/>
              </w:rPr>
            </w:pPr>
            <w:r w:rsidRPr="00D52E73">
              <w:rPr>
                <w:rFonts w:asciiTheme="minorHAnsi" w:hAnsiTheme="minorHAnsi" w:cstheme="minorHAnsi"/>
                <w:color w:val="010205"/>
                <w:sz w:val="18"/>
                <w:szCs w:val="18"/>
              </w:rPr>
              <w:t>45.7</w:t>
            </w:r>
          </w:p>
        </w:tc>
      </w:tr>
      <w:tr w:rsidR="0085268A" w:rsidRPr="0015629E" w14:paraId="3C354501" w14:textId="77777777" w:rsidTr="0098021D">
        <w:tc>
          <w:tcPr>
            <w:tcW w:w="3128" w:type="pct"/>
            <w:gridSpan w:val="2"/>
            <w:tcBorders>
              <w:top w:val="nil"/>
              <w:bottom w:val="nil"/>
            </w:tcBorders>
            <w:vAlign w:val="bottom"/>
          </w:tcPr>
          <w:p w14:paraId="685F1CBA" w14:textId="77777777" w:rsidR="0085268A" w:rsidRPr="0015629E" w:rsidRDefault="0085268A" w:rsidP="00977C46">
            <w:pPr>
              <w:ind w:firstLine="243"/>
              <w:rPr>
                <w:rFonts w:asciiTheme="minorHAnsi" w:hAnsiTheme="minorHAnsi"/>
                <w:color w:val="000000" w:themeColor="text1"/>
                <w:sz w:val="18"/>
                <w:szCs w:val="18"/>
              </w:rPr>
            </w:pPr>
            <w:r w:rsidRPr="0015629E">
              <w:rPr>
                <w:rFonts w:asciiTheme="minorHAnsi" w:hAnsiTheme="minorHAnsi"/>
                <w:color w:val="000000" w:themeColor="text1"/>
                <w:sz w:val="18"/>
                <w:szCs w:val="18"/>
              </w:rPr>
              <w:t>Eating disorders</w:t>
            </w:r>
          </w:p>
        </w:tc>
        <w:tc>
          <w:tcPr>
            <w:tcW w:w="708" w:type="pct"/>
            <w:tcBorders>
              <w:top w:val="nil"/>
              <w:bottom w:val="nil"/>
            </w:tcBorders>
            <w:vAlign w:val="bottom"/>
          </w:tcPr>
          <w:p w14:paraId="23DE0269"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28</w:t>
            </w:r>
          </w:p>
        </w:tc>
        <w:tc>
          <w:tcPr>
            <w:tcW w:w="1164" w:type="pct"/>
            <w:tcBorders>
              <w:top w:val="nil"/>
              <w:bottom w:val="nil"/>
            </w:tcBorders>
            <w:vAlign w:val="bottom"/>
          </w:tcPr>
          <w:p w14:paraId="170F2CC5" w14:textId="77777777" w:rsidR="0085268A" w:rsidRPr="00D52E73" w:rsidRDefault="0085268A" w:rsidP="00977C46">
            <w:pPr>
              <w:jc w:val="center"/>
              <w:rPr>
                <w:rFonts w:asciiTheme="minorHAnsi" w:hAnsiTheme="minorHAnsi" w:cstheme="minorHAnsi"/>
                <w:color w:val="000000" w:themeColor="text1"/>
                <w:sz w:val="18"/>
                <w:szCs w:val="18"/>
              </w:rPr>
            </w:pPr>
            <w:r w:rsidRPr="00D52E73">
              <w:rPr>
                <w:rFonts w:asciiTheme="minorHAnsi" w:hAnsiTheme="minorHAnsi" w:cstheme="minorHAnsi"/>
                <w:color w:val="010205"/>
                <w:sz w:val="18"/>
                <w:szCs w:val="18"/>
              </w:rPr>
              <w:t>29.8</w:t>
            </w:r>
          </w:p>
        </w:tc>
      </w:tr>
      <w:tr w:rsidR="0085268A" w:rsidRPr="0015629E" w14:paraId="62CF3B59" w14:textId="77777777" w:rsidTr="0098021D">
        <w:tc>
          <w:tcPr>
            <w:tcW w:w="3128" w:type="pct"/>
            <w:gridSpan w:val="2"/>
            <w:tcBorders>
              <w:top w:val="nil"/>
              <w:bottom w:val="nil"/>
            </w:tcBorders>
            <w:vAlign w:val="bottom"/>
          </w:tcPr>
          <w:p w14:paraId="62A4FD1F" w14:textId="77777777" w:rsidR="0085268A" w:rsidRPr="0015629E" w:rsidRDefault="0085268A" w:rsidP="00977C46">
            <w:pPr>
              <w:ind w:firstLine="243"/>
              <w:rPr>
                <w:rFonts w:asciiTheme="minorHAnsi" w:hAnsiTheme="minorHAnsi"/>
                <w:color w:val="000000" w:themeColor="text1"/>
                <w:sz w:val="18"/>
                <w:szCs w:val="18"/>
              </w:rPr>
            </w:pPr>
            <w:r w:rsidRPr="0015629E">
              <w:rPr>
                <w:rFonts w:asciiTheme="minorHAnsi" w:hAnsiTheme="minorHAnsi"/>
                <w:color w:val="000000" w:themeColor="text1"/>
                <w:sz w:val="18"/>
                <w:szCs w:val="18"/>
              </w:rPr>
              <w:t>Bipolar disorders</w:t>
            </w:r>
          </w:p>
        </w:tc>
        <w:tc>
          <w:tcPr>
            <w:tcW w:w="708" w:type="pct"/>
            <w:tcBorders>
              <w:top w:val="nil"/>
              <w:bottom w:val="nil"/>
            </w:tcBorders>
            <w:vAlign w:val="bottom"/>
          </w:tcPr>
          <w:p w14:paraId="6E8F6C38"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31</w:t>
            </w:r>
          </w:p>
        </w:tc>
        <w:tc>
          <w:tcPr>
            <w:tcW w:w="1164" w:type="pct"/>
            <w:tcBorders>
              <w:top w:val="nil"/>
              <w:bottom w:val="nil"/>
            </w:tcBorders>
            <w:vAlign w:val="bottom"/>
          </w:tcPr>
          <w:p w14:paraId="0F379802" w14:textId="77777777" w:rsidR="0085268A" w:rsidRPr="00D52E73" w:rsidRDefault="0085268A" w:rsidP="00977C46">
            <w:pPr>
              <w:jc w:val="center"/>
              <w:rPr>
                <w:rFonts w:asciiTheme="minorHAnsi" w:hAnsiTheme="minorHAnsi" w:cstheme="minorHAnsi"/>
                <w:color w:val="000000" w:themeColor="text1"/>
                <w:sz w:val="18"/>
                <w:szCs w:val="18"/>
              </w:rPr>
            </w:pPr>
            <w:r w:rsidRPr="00D52E73">
              <w:rPr>
                <w:rFonts w:asciiTheme="minorHAnsi" w:hAnsiTheme="minorHAnsi" w:cstheme="minorHAnsi"/>
                <w:color w:val="010205"/>
                <w:sz w:val="18"/>
                <w:szCs w:val="18"/>
              </w:rPr>
              <w:t>33.0</w:t>
            </w:r>
          </w:p>
        </w:tc>
      </w:tr>
      <w:tr w:rsidR="0085268A" w:rsidRPr="0015629E" w14:paraId="420172CC" w14:textId="77777777" w:rsidTr="0098021D">
        <w:tc>
          <w:tcPr>
            <w:tcW w:w="3128" w:type="pct"/>
            <w:gridSpan w:val="2"/>
            <w:tcBorders>
              <w:top w:val="nil"/>
              <w:bottom w:val="nil"/>
            </w:tcBorders>
            <w:vAlign w:val="bottom"/>
          </w:tcPr>
          <w:p w14:paraId="4324AF22" w14:textId="77777777" w:rsidR="0085268A" w:rsidRPr="0015629E" w:rsidRDefault="0085268A" w:rsidP="00977C46">
            <w:pPr>
              <w:ind w:firstLine="243"/>
              <w:rPr>
                <w:rFonts w:asciiTheme="minorHAnsi" w:hAnsiTheme="minorHAnsi"/>
                <w:color w:val="000000" w:themeColor="text1"/>
                <w:sz w:val="18"/>
                <w:szCs w:val="18"/>
              </w:rPr>
            </w:pPr>
            <w:r w:rsidRPr="0015629E">
              <w:rPr>
                <w:rFonts w:asciiTheme="minorHAnsi" w:hAnsiTheme="minorHAnsi"/>
                <w:color w:val="000000" w:themeColor="text1"/>
                <w:sz w:val="18"/>
                <w:szCs w:val="18"/>
              </w:rPr>
              <w:t>Psychotic disorders (</w:t>
            </w:r>
            <w:r w:rsidRPr="006632A1">
              <w:rPr>
                <w:rFonts w:asciiTheme="minorHAnsi" w:hAnsiTheme="minorHAnsi" w:cstheme="minorHAnsi"/>
                <w:color w:val="000000" w:themeColor="text1"/>
                <w:sz w:val="18"/>
                <w:szCs w:val="18"/>
              </w:rPr>
              <w:t>e.g., schizophreni</w:t>
            </w:r>
            <w:r w:rsidRPr="00521397">
              <w:rPr>
                <w:rFonts w:asciiTheme="minorHAnsi" w:hAnsiTheme="minorHAnsi" w:cstheme="minorHAnsi"/>
                <w:color w:val="000000" w:themeColor="text1"/>
                <w:sz w:val="18"/>
                <w:szCs w:val="18"/>
              </w:rPr>
              <w:t>a</w:t>
            </w:r>
            <w:r w:rsidRPr="006632A1">
              <w:rPr>
                <w:rFonts w:asciiTheme="minorHAnsi" w:hAnsiTheme="minorHAnsi" w:cstheme="minorHAnsi"/>
                <w:color w:val="000000" w:themeColor="text1"/>
                <w:sz w:val="18"/>
                <w:szCs w:val="18"/>
              </w:rPr>
              <w:t>)</w:t>
            </w:r>
          </w:p>
        </w:tc>
        <w:tc>
          <w:tcPr>
            <w:tcW w:w="708" w:type="pct"/>
            <w:tcBorders>
              <w:top w:val="nil"/>
              <w:bottom w:val="nil"/>
            </w:tcBorders>
            <w:vAlign w:val="bottom"/>
          </w:tcPr>
          <w:p w14:paraId="715F711B"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16</w:t>
            </w:r>
          </w:p>
        </w:tc>
        <w:tc>
          <w:tcPr>
            <w:tcW w:w="1164" w:type="pct"/>
            <w:tcBorders>
              <w:top w:val="nil"/>
              <w:bottom w:val="nil"/>
            </w:tcBorders>
            <w:vAlign w:val="bottom"/>
          </w:tcPr>
          <w:p w14:paraId="75831D21" w14:textId="77777777" w:rsidR="0085268A" w:rsidRPr="00D52E73" w:rsidRDefault="0085268A" w:rsidP="00977C46">
            <w:pPr>
              <w:jc w:val="center"/>
              <w:rPr>
                <w:rFonts w:asciiTheme="minorHAnsi" w:hAnsiTheme="minorHAnsi" w:cstheme="minorHAnsi"/>
                <w:color w:val="000000" w:themeColor="text1"/>
                <w:sz w:val="18"/>
                <w:szCs w:val="18"/>
              </w:rPr>
            </w:pPr>
            <w:r w:rsidRPr="00D52E73">
              <w:rPr>
                <w:rFonts w:asciiTheme="minorHAnsi" w:hAnsiTheme="minorHAnsi" w:cstheme="minorHAnsi"/>
                <w:color w:val="010205"/>
                <w:sz w:val="18"/>
                <w:szCs w:val="18"/>
              </w:rPr>
              <w:t>17.0</w:t>
            </w:r>
          </w:p>
        </w:tc>
      </w:tr>
      <w:tr w:rsidR="0085268A" w:rsidRPr="0015629E" w14:paraId="4FA8AF94" w14:textId="77777777" w:rsidTr="0098021D">
        <w:tc>
          <w:tcPr>
            <w:tcW w:w="3128" w:type="pct"/>
            <w:gridSpan w:val="2"/>
            <w:tcBorders>
              <w:top w:val="nil"/>
              <w:bottom w:val="nil"/>
            </w:tcBorders>
            <w:vAlign w:val="bottom"/>
          </w:tcPr>
          <w:p w14:paraId="4C9DE708" w14:textId="77777777" w:rsidR="0085268A" w:rsidRPr="0015629E" w:rsidRDefault="0085268A" w:rsidP="00977C46">
            <w:pPr>
              <w:ind w:firstLine="243"/>
              <w:rPr>
                <w:rFonts w:asciiTheme="minorHAnsi" w:hAnsiTheme="minorHAnsi"/>
                <w:color w:val="000000" w:themeColor="text1"/>
                <w:sz w:val="18"/>
                <w:szCs w:val="18"/>
              </w:rPr>
            </w:pPr>
            <w:r w:rsidRPr="0015629E">
              <w:rPr>
                <w:rFonts w:asciiTheme="minorHAnsi" w:hAnsiTheme="minorHAnsi"/>
                <w:color w:val="000000" w:themeColor="text1"/>
                <w:sz w:val="18"/>
                <w:szCs w:val="18"/>
              </w:rPr>
              <w:t>Personality disorders</w:t>
            </w:r>
          </w:p>
        </w:tc>
        <w:tc>
          <w:tcPr>
            <w:tcW w:w="708" w:type="pct"/>
            <w:tcBorders>
              <w:top w:val="nil"/>
              <w:bottom w:val="nil"/>
            </w:tcBorders>
            <w:vAlign w:val="bottom"/>
          </w:tcPr>
          <w:p w14:paraId="60B4FF76"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33</w:t>
            </w:r>
          </w:p>
        </w:tc>
        <w:tc>
          <w:tcPr>
            <w:tcW w:w="1164" w:type="pct"/>
            <w:tcBorders>
              <w:top w:val="nil"/>
              <w:bottom w:val="nil"/>
            </w:tcBorders>
            <w:vAlign w:val="bottom"/>
          </w:tcPr>
          <w:p w14:paraId="1AB93EBE" w14:textId="77777777" w:rsidR="0085268A" w:rsidRPr="00D52E73" w:rsidRDefault="0085268A" w:rsidP="00977C46">
            <w:pPr>
              <w:jc w:val="center"/>
              <w:rPr>
                <w:rFonts w:asciiTheme="minorHAnsi" w:hAnsiTheme="minorHAnsi" w:cstheme="minorHAnsi"/>
                <w:color w:val="000000" w:themeColor="text1"/>
                <w:sz w:val="18"/>
                <w:szCs w:val="18"/>
              </w:rPr>
            </w:pPr>
            <w:r w:rsidRPr="00D52E73">
              <w:rPr>
                <w:rFonts w:asciiTheme="minorHAnsi" w:hAnsiTheme="minorHAnsi" w:cstheme="minorHAnsi"/>
                <w:color w:val="010205"/>
                <w:sz w:val="18"/>
                <w:szCs w:val="18"/>
              </w:rPr>
              <w:t>35.1</w:t>
            </w:r>
          </w:p>
        </w:tc>
      </w:tr>
      <w:tr w:rsidR="0085268A" w:rsidRPr="0015629E" w14:paraId="165EB9CF" w14:textId="77777777" w:rsidTr="0098021D">
        <w:tc>
          <w:tcPr>
            <w:tcW w:w="3128" w:type="pct"/>
            <w:gridSpan w:val="2"/>
            <w:tcBorders>
              <w:top w:val="nil"/>
              <w:bottom w:val="nil"/>
            </w:tcBorders>
            <w:vAlign w:val="bottom"/>
          </w:tcPr>
          <w:p w14:paraId="15648F38" w14:textId="77777777" w:rsidR="0085268A" w:rsidRPr="0015629E" w:rsidRDefault="0085268A" w:rsidP="00977C46">
            <w:pPr>
              <w:ind w:firstLine="243"/>
              <w:rPr>
                <w:rFonts w:asciiTheme="minorHAnsi" w:hAnsiTheme="minorHAnsi"/>
                <w:color w:val="000000" w:themeColor="text1"/>
                <w:sz w:val="18"/>
                <w:szCs w:val="18"/>
              </w:rPr>
            </w:pPr>
            <w:r w:rsidRPr="0015629E">
              <w:rPr>
                <w:rFonts w:asciiTheme="minorHAnsi" w:hAnsiTheme="minorHAnsi"/>
                <w:color w:val="000000" w:themeColor="text1"/>
                <w:sz w:val="18"/>
                <w:szCs w:val="18"/>
              </w:rPr>
              <w:t>Self-harm</w:t>
            </w:r>
          </w:p>
        </w:tc>
        <w:tc>
          <w:tcPr>
            <w:tcW w:w="708" w:type="pct"/>
            <w:tcBorders>
              <w:top w:val="nil"/>
              <w:bottom w:val="nil"/>
            </w:tcBorders>
            <w:vAlign w:val="bottom"/>
          </w:tcPr>
          <w:p w14:paraId="4DD711A3"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33</w:t>
            </w:r>
          </w:p>
        </w:tc>
        <w:tc>
          <w:tcPr>
            <w:tcW w:w="1164" w:type="pct"/>
            <w:tcBorders>
              <w:top w:val="nil"/>
              <w:bottom w:val="nil"/>
            </w:tcBorders>
            <w:vAlign w:val="bottom"/>
          </w:tcPr>
          <w:p w14:paraId="4ECC8031" w14:textId="77777777" w:rsidR="0085268A" w:rsidRPr="00D52E73" w:rsidRDefault="0085268A" w:rsidP="00977C46">
            <w:pPr>
              <w:jc w:val="center"/>
              <w:rPr>
                <w:rFonts w:asciiTheme="minorHAnsi" w:hAnsiTheme="minorHAnsi" w:cstheme="minorHAnsi"/>
                <w:color w:val="000000" w:themeColor="text1"/>
                <w:sz w:val="18"/>
                <w:szCs w:val="18"/>
              </w:rPr>
            </w:pPr>
            <w:r w:rsidRPr="00D52E73">
              <w:rPr>
                <w:rFonts w:asciiTheme="minorHAnsi" w:hAnsiTheme="minorHAnsi" w:cstheme="minorHAnsi"/>
                <w:color w:val="010205"/>
                <w:sz w:val="18"/>
                <w:szCs w:val="18"/>
              </w:rPr>
              <w:t>35.1</w:t>
            </w:r>
          </w:p>
        </w:tc>
      </w:tr>
      <w:tr w:rsidR="0085268A" w:rsidRPr="0015629E" w14:paraId="361804D0" w14:textId="77777777" w:rsidTr="0098021D">
        <w:tc>
          <w:tcPr>
            <w:tcW w:w="3128" w:type="pct"/>
            <w:gridSpan w:val="2"/>
            <w:tcBorders>
              <w:top w:val="nil"/>
              <w:bottom w:val="nil"/>
            </w:tcBorders>
            <w:vAlign w:val="bottom"/>
          </w:tcPr>
          <w:p w14:paraId="4B0B0427" w14:textId="77777777" w:rsidR="0085268A" w:rsidRPr="0015629E" w:rsidRDefault="0085268A" w:rsidP="00977C46">
            <w:pPr>
              <w:ind w:firstLine="243"/>
              <w:rPr>
                <w:rFonts w:asciiTheme="minorHAnsi" w:hAnsiTheme="minorHAnsi"/>
                <w:color w:val="000000" w:themeColor="text1"/>
                <w:sz w:val="18"/>
                <w:szCs w:val="18"/>
              </w:rPr>
            </w:pPr>
            <w:r w:rsidRPr="0015629E">
              <w:rPr>
                <w:rFonts w:asciiTheme="minorHAnsi" w:hAnsiTheme="minorHAnsi"/>
                <w:color w:val="000000" w:themeColor="text1"/>
                <w:sz w:val="18"/>
                <w:szCs w:val="18"/>
              </w:rPr>
              <w:t>Suicidal ideation</w:t>
            </w:r>
          </w:p>
        </w:tc>
        <w:tc>
          <w:tcPr>
            <w:tcW w:w="708" w:type="pct"/>
            <w:tcBorders>
              <w:top w:val="nil"/>
              <w:bottom w:val="nil"/>
            </w:tcBorders>
            <w:vAlign w:val="bottom"/>
          </w:tcPr>
          <w:p w14:paraId="00AB30BA"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33</w:t>
            </w:r>
          </w:p>
        </w:tc>
        <w:tc>
          <w:tcPr>
            <w:tcW w:w="1164" w:type="pct"/>
            <w:tcBorders>
              <w:top w:val="nil"/>
              <w:bottom w:val="nil"/>
            </w:tcBorders>
            <w:vAlign w:val="bottom"/>
          </w:tcPr>
          <w:p w14:paraId="4278F9E8" w14:textId="77777777" w:rsidR="0085268A" w:rsidRPr="00D52E73" w:rsidRDefault="0085268A" w:rsidP="00977C46">
            <w:pPr>
              <w:jc w:val="center"/>
              <w:rPr>
                <w:rFonts w:asciiTheme="minorHAnsi" w:hAnsiTheme="minorHAnsi" w:cstheme="minorHAnsi"/>
                <w:color w:val="000000" w:themeColor="text1"/>
                <w:sz w:val="18"/>
                <w:szCs w:val="18"/>
              </w:rPr>
            </w:pPr>
            <w:r w:rsidRPr="00D52E73">
              <w:rPr>
                <w:rFonts w:asciiTheme="minorHAnsi" w:hAnsiTheme="minorHAnsi" w:cstheme="minorHAnsi"/>
                <w:color w:val="010205"/>
                <w:sz w:val="18"/>
                <w:szCs w:val="18"/>
              </w:rPr>
              <w:t>35.1</w:t>
            </w:r>
          </w:p>
        </w:tc>
      </w:tr>
      <w:tr w:rsidR="0085268A" w:rsidRPr="0015629E" w14:paraId="5BA8A38D" w14:textId="77777777" w:rsidTr="0098021D">
        <w:tc>
          <w:tcPr>
            <w:tcW w:w="3128" w:type="pct"/>
            <w:gridSpan w:val="2"/>
            <w:tcBorders>
              <w:top w:val="nil"/>
              <w:bottom w:val="nil"/>
            </w:tcBorders>
            <w:vAlign w:val="bottom"/>
          </w:tcPr>
          <w:p w14:paraId="527D6219" w14:textId="77777777" w:rsidR="0085268A" w:rsidRPr="0015629E" w:rsidRDefault="0085268A" w:rsidP="00977C46">
            <w:pPr>
              <w:ind w:firstLine="243"/>
              <w:rPr>
                <w:rFonts w:asciiTheme="minorHAnsi" w:hAnsiTheme="minorHAnsi"/>
                <w:color w:val="000000" w:themeColor="text1"/>
                <w:sz w:val="18"/>
                <w:szCs w:val="18"/>
              </w:rPr>
            </w:pPr>
            <w:r w:rsidRPr="0015629E">
              <w:rPr>
                <w:rFonts w:asciiTheme="minorHAnsi" w:hAnsiTheme="minorHAnsi"/>
                <w:color w:val="000000" w:themeColor="text1"/>
                <w:sz w:val="18"/>
                <w:szCs w:val="18"/>
              </w:rPr>
              <w:t>Substance use disorders</w:t>
            </w:r>
          </w:p>
        </w:tc>
        <w:tc>
          <w:tcPr>
            <w:tcW w:w="708" w:type="pct"/>
            <w:tcBorders>
              <w:top w:val="nil"/>
              <w:bottom w:val="nil"/>
            </w:tcBorders>
            <w:vAlign w:val="bottom"/>
          </w:tcPr>
          <w:p w14:paraId="2F293E50"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38</w:t>
            </w:r>
          </w:p>
        </w:tc>
        <w:tc>
          <w:tcPr>
            <w:tcW w:w="1164" w:type="pct"/>
            <w:tcBorders>
              <w:top w:val="nil"/>
              <w:bottom w:val="nil"/>
            </w:tcBorders>
            <w:vAlign w:val="bottom"/>
          </w:tcPr>
          <w:p w14:paraId="5C4845BF" w14:textId="77777777" w:rsidR="0085268A" w:rsidRPr="00D52E73" w:rsidRDefault="0085268A" w:rsidP="00977C46">
            <w:pPr>
              <w:jc w:val="center"/>
              <w:rPr>
                <w:rFonts w:asciiTheme="minorHAnsi" w:hAnsiTheme="minorHAnsi" w:cstheme="minorHAnsi"/>
                <w:color w:val="000000" w:themeColor="text1"/>
                <w:sz w:val="18"/>
                <w:szCs w:val="18"/>
              </w:rPr>
            </w:pPr>
            <w:r w:rsidRPr="00D52E73">
              <w:rPr>
                <w:rFonts w:asciiTheme="minorHAnsi" w:hAnsiTheme="minorHAnsi" w:cstheme="minorHAnsi"/>
                <w:color w:val="010205"/>
                <w:sz w:val="18"/>
                <w:szCs w:val="18"/>
              </w:rPr>
              <w:t>40.4</w:t>
            </w:r>
          </w:p>
        </w:tc>
      </w:tr>
      <w:tr w:rsidR="0085268A" w:rsidRPr="0015629E" w14:paraId="5929B8A4" w14:textId="77777777" w:rsidTr="0098021D">
        <w:tc>
          <w:tcPr>
            <w:tcW w:w="3128" w:type="pct"/>
            <w:gridSpan w:val="2"/>
            <w:tcBorders>
              <w:top w:val="nil"/>
              <w:bottom w:val="nil"/>
            </w:tcBorders>
            <w:vAlign w:val="bottom"/>
          </w:tcPr>
          <w:p w14:paraId="6F973907" w14:textId="77777777" w:rsidR="0085268A" w:rsidRPr="0015629E" w:rsidRDefault="0085268A" w:rsidP="00977C46">
            <w:pPr>
              <w:ind w:firstLine="243"/>
              <w:rPr>
                <w:rFonts w:asciiTheme="minorHAnsi" w:hAnsiTheme="minorHAnsi"/>
                <w:color w:val="000000" w:themeColor="text1"/>
                <w:sz w:val="18"/>
                <w:szCs w:val="18"/>
              </w:rPr>
            </w:pPr>
            <w:r w:rsidRPr="0015629E">
              <w:rPr>
                <w:rFonts w:asciiTheme="minorHAnsi" w:hAnsiTheme="minorHAnsi"/>
                <w:color w:val="000000" w:themeColor="text1"/>
                <w:sz w:val="18"/>
                <w:szCs w:val="18"/>
              </w:rPr>
              <w:t>Other, specify:</w:t>
            </w:r>
          </w:p>
        </w:tc>
        <w:tc>
          <w:tcPr>
            <w:tcW w:w="708" w:type="pct"/>
            <w:tcBorders>
              <w:top w:val="nil"/>
              <w:bottom w:val="nil"/>
            </w:tcBorders>
            <w:vAlign w:val="bottom"/>
          </w:tcPr>
          <w:p w14:paraId="1773B576"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14</w:t>
            </w:r>
          </w:p>
        </w:tc>
        <w:tc>
          <w:tcPr>
            <w:tcW w:w="1164" w:type="pct"/>
            <w:tcBorders>
              <w:top w:val="nil"/>
              <w:bottom w:val="nil"/>
            </w:tcBorders>
            <w:vAlign w:val="bottom"/>
          </w:tcPr>
          <w:p w14:paraId="4D052358" w14:textId="77777777" w:rsidR="0085268A" w:rsidRPr="00D52E73" w:rsidRDefault="0085268A" w:rsidP="00977C46">
            <w:pPr>
              <w:jc w:val="center"/>
              <w:rPr>
                <w:rFonts w:asciiTheme="minorHAnsi" w:hAnsiTheme="minorHAnsi" w:cstheme="minorHAnsi"/>
                <w:color w:val="000000" w:themeColor="text1"/>
                <w:sz w:val="18"/>
                <w:szCs w:val="18"/>
              </w:rPr>
            </w:pPr>
            <w:r w:rsidRPr="00D52E73">
              <w:rPr>
                <w:rFonts w:asciiTheme="minorHAnsi" w:hAnsiTheme="minorHAnsi" w:cstheme="minorHAnsi"/>
                <w:color w:val="010205"/>
                <w:sz w:val="18"/>
                <w:szCs w:val="18"/>
              </w:rPr>
              <w:t>14.9</w:t>
            </w:r>
          </w:p>
        </w:tc>
      </w:tr>
      <w:tr w:rsidR="0085268A" w:rsidRPr="0015629E" w14:paraId="4EE24D79" w14:textId="77777777" w:rsidTr="0098021D">
        <w:tc>
          <w:tcPr>
            <w:tcW w:w="3128" w:type="pct"/>
            <w:gridSpan w:val="2"/>
            <w:tcBorders>
              <w:top w:val="nil"/>
              <w:bottom w:val="single" w:sz="4" w:space="0" w:color="auto"/>
            </w:tcBorders>
            <w:vAlign w:val="bottom"/>
          </w:tcPr>
          <w:p w14:paraId="309D44F8" w14:textId="77777777" w:rsidR="0085268A" w:rsidRPr="0015629E" w:rsidRDefault="0085268A" w:rsidP="00977C46">
            <w:pPr>
              <w:ind w:firstLine="243"/>
              <w:rPr>
                <w:rFonts w:asciiTheme="minorHAnsi" w:hAnsiTheme="minorHAnsi"/>
                <w:color w:val="000000" w:themeColor="text1"/>
                <w:sz w:val="18"/>
                <w:szCs w:val="18"/>
              </w:rPr>
            </w:pPr>
            <w:r w:rsidRPr="0015629E">
              <w:rPr>
                <w:rFonts w:asciiTheme="minorHAnsi" w:hAnsiTheme="minorHAnsi"/>
                <w:color w:val="000000" w:themeColor="text1"/>
                <w:sz w:val="18"/>
                <w:szCs w:val="18"/>
              </w:rPr>
              <w:t>Unsure</w:t>
            </w:r>
          </w:p>
        </w:tc>
        <w:tc>
          <w:tcPr>
            <w:tcW w:w="708" w:type="pct"/>
            <w:tcBorders>
              <w:top w:val="nil"/>
              <w:bottom w:val="single" w:sz="4" w:space="0" w:color="auto"/>
            </w:tcBorders>
            <w:vAlign w:val="bottom"/>
          </w:tcPr>
          <w:p w14:paraId="1C6BAC52"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6</w:t>
            </w:r>
          </w:p>
        </w:tc>
        <w:tc>
          <w:tcPr>
            <w:tcW w:w="1164" w:type="pct"/>
            <w:tcBorders>
              <w:top w:val="nil"/>
              <w:bottom w:val="single" w:sz="4" w:space="0" w:color="auto"/>
            </w:tcBorders>
            <w:vAlign w:val="bottom"/>
          </w:tcPr>
          <w:p w14:paraId="69BE918A" w14:textId="77777777" w:rsidR="0085268A" w:rsidRPr="00D52E73" w:rsidRDefault="0085268A" w:rsidP="00977C46">
            <w:pPr>
              <w:jc w:val="center"/>
              <w:rPr>
                <w:rFonts w:asciiTheme="minorHAnsi" w:hAnsiTheme="minorHAnsi" w:cstheme="minorHAnsi"/>
                <w:color w:val="000000" w:themeColor="text1"/>
                <w:sz w:val="18"/>
                <w:szCs w:val="18"/>
              </w:rPr>
            </w:pPr>
            <w:r w:rsidRPr="00D52E73">
              <w:rPr>
                <w:rFonts w:asciiTheme="minorHAnsi" w:hAnsiTheme="minorHAnsi" w:cstheme="minorHAnsi"/>
                <w:color w:val="010205"/>
                <w:sz w:val="18"/>
                <w:szCs w:val="18"/>
              </w:rPr>
              <w:t>6.4</w:t>
            </w:r>
          </w:p>
        </w:tc>
      </w:tr>
      <w:tr w:rsidR="0085268A" w:rsidRPr="0015629E" w14:paraId="7564D6A4" w14:textId="77777777" w:rsidTr="0098021D">
        <w:tc>
          <w:tcPr>
            <w:tcW w:w="3128" w:type="pct"/>
            <w:gridSpan w:val="2"/>
            <w:tcBorders>
              <w:top w:val="single" w:sz="4" w:space="0" w:color="auto"/>
            </w:tcBorders>
            <w:vAlign w:val="bottom"/>
          </w:tcPr>
          <w:p w14:paraId="5AC2FBD7" w14:textId="77777777" w:rsidR="0085268A" w:rsidRPr="0015629E" w:rsidRDefault="0085268A" w:rsidP="00977C46">
            <w:pPr>
              <w:rPr>
                <w:rFonts w:asciiTheme="minorHAnsi" w:hAnsiTheme="minorHAnsi"/>
                <w:b/>
                <w:bCs/>
                <w:color w:val="000000" w:themeColor="text1"/>
                <w:sz w:val="18"/>
                <w:szCs w:val="18"/>
              </w:rPr>
            </w:pPr>
            <w:r w:rsidRPr="0015629E">
              <w:rPr>
                <w:rFonts w:asciiTheme="minorHAnsi" w:hAnsiTheme="minorHAnsi"/>
                <w:b/>
                <w:bCs/>
                <w:color w:val="000000" w:themeColor="text1"/>
                <w:sz w:val="18"/>
                <w:szCs w:val="18"/>
              </w:rPr>
              <w:t>DMHSs not suitable for people with:</w:t>
            </w:r>
          </w:p>
        </w:tc>
        <w:tc>
          <w:tcPr>
            <w:tcW w:w="708" w:type="pct"/>
            <w:tcBorders>
              <w:top w:val="single" w:sz="4" w:space="0" w:color="auto"/>
            </w:tcBorders>
            <w:vAlign w:val="bottom"/>
          </w:tcPr>
          <w:p w14:paraId="05443BA1" w14:textId="77777777" w:rsidR="0085268A" w:rsidRPr="0015629E" w:rsidRDefault="0085268A" w:rsidP="00977C46">
            <w:pPr>
              <w:jc w:val="center"/>
              <w:rPr>
                <w:rFonts w:asciiTheme="minorHAnsi" w:hAnsiTheme="minorHAnsi" w:cstheme="minorHAnsi"/>
                <w:color w:val="000000" w:themeColor="text1"/>
                <w:sz w:val="18"/>
                <w:szCs w:val="18"/>
              </w:rPr>
            </w:pPr>
          </w:p>
        </w:tc>
        <w:tc>
          <w:tcPr>
            <w:tcW w:w="1164" w:type="pct"/>
            <w:tcBorders>
              <w:top w:val="single" w:sz="4" w:space="0" w:color="auto"/>
            </w:tcBorders>
            <w:vAlign w:val="bottom"/>
          </w:tcPr>
          <w:p w14:paraId="25B03EC5" w14:textId="77777777" w:rsidR="0085268A" w:rsidRPr="0015629E" w:rsidRDefault="0085268A" w:rsidP="00977C46">
            <w:pPr>
              <w:jc w:val="center"/>
              <w:rPr>
                <w:rFonts w:asciiTheme="minorHAnsi" w:hAnsiTheme="minorHAnsi" w:cstheme="minorHAnsi"/>
                <w:color w:val="000000" w:themeColor="text1"/>
                <w:sz w:val="18"/>
                <w:szCs w:val="18"/>
              </w:rPr>
            </w:pPr>
          </w:p>
        </w:tc>
      </w:tr>
      <w:tr w:rsidR="0085268A" w:rsidRPr="0015629E" w14:paraId="05811ECE" w14:textId="77777777" w:rsidTr="0098021D">
        <w:tc>
          <w:tcPr>
            <w:tcW w:w="3128" w:type="pct"/>
            <w:gridSpan w:val="2"/>
            <w:vAlign w:val="bottom"/>
          </w:tcPr>
          <w:p w14:paraId="388B51EE" w14:textId="77777777" w:rsidR="0085268A" w:rsidRPr="0015629E" w:rsidRDefault="0085268A" w:rsidP="00977C46">
            <w:pPr>
              <w:ind w:firstLine="243"/>
              <w:rPr>
                <w:color w:val="000000" w:themeColor="text1"/>
                <w:sz w:val="18"/>
                <w:szCs w:val="18"/>
              </w:rPr>
            </w:pPr>
            <w:r w:rsidRPr="0015629E">
              <w:rPr>
                <w:rFonts w:asciiTheme="minorHAnsi" w:hAnsiTheme="minorHAnsi"/>
                <w:color w:val="000000" w:themeColor="text1"/>
                <w:sz w:val="18"/>
                <w:szCs w:val="18"/>
              </w:rPr>
              <w:t>Depression</w:t>
            </w:r>
          </w:p>
        </w:tc>
        <w:tc>
          <w:tcPr>
            <w:tcW w:w="708" w:type="pct"/>
            <w:vAlign w:val="bottom"/>
          </w:tcPr>
          <w:p w14:paraId="53D2F725"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6</w:t>
            </w:r>
          </w:p>
        </w:tc>
        <w:tc>
          <w:tcPr>
            <w:tcW w:w="1164" w:type="pct"/>
            <w:vAlign w:val="bottom"/>
          </w:tcPr>
          <w:p w14:paraId="5F601E8E"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6.4</w:t>
            </w:r>
          </w:p>
        </w:tc>
      </w:tr>
      <w:tr w:rsidR="0085268A" w:rsidRPr="0015629E" w14:paraId="78CEB4CF" w14:textId="77777777" w:rsidTr="0098021D">
        <w:tc>
          <w:tcPr>
            <w:tcW w:w="3128" w:type="pct"/>
            <w:gridSpan w:val="2"/>
            <w:vAlign w:val="bottom"/>
          </w:tcPr>
          <w:p w14:paraId="458789EB" w14:textId="77777777" w:rsidR="0085268A" w:rsidRPr="0015629E" w:rsidRDefault="0085268A" w:rsidP="00977C46">
            <w:pPr>
              <w:ind w:firstLine="243"/>
              <w:rPr>
                <w:color w:val="000000" w:themeColor="text1"/>
                <w:sz w:val="18"/>
                <w:szCs w:val="18"/>
              </w:rPr>
            </w:pPr>
            <w:r w:rsidRPr="0015629E">
              <w:rPr>
                <w:rFonts w:asciiTheme="minorHAnsi" w:hAnsiTheme="minorHAnsi"/>
                <w:color w:val="000000" w:themeColor="text1"/>
                <w:sz w:val="18"/>
                <w:szCs w:val="18"/>
              </w:rPr>
              <w:t>Anxiety</w:t>
            </w:r>
          </w:p>
        </w:tc>
        <w:tc>
          <w:tcPr>
            <w:tcW w:w="708" w:type="pct"/>
            <w:vAlign w:val="bottom"/>
          </w:tcPr>
          <w:p w14:paraId="7BC2E857"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6</w:t>
            </w:r>
          </w:p>
        </w:tc>
        <w:tc>
          <w:tcPr>
            <w:tcW w:w="1164" w:type="pct"/>
            <w:vAlign w:val="bottom"/>
          </w:tcPr>
          <w:p w14:paraId="7F5847FD"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6.4</w:t>
            </w:r>
          </w:p>
        </w:tc>
      </w:tr>
      <w:tr w:rsidR="0085268A" w:rsidRPr="0015629E" w14:paraId="2D2432FE" w14:textId="77777777" w:rsidTr="0098021D">
        <w:tc>
          <w:tcPr>
            <w:tcW w:w="3128" w:type="pct"/>
            <w:gridSpan w:val="2"/>
            <w:vAlign w:val="bottom"/>
          </w:tcPr>
          <w:p w14:paraId="2CFB6BCD" w14:textId="77777777" w:rsidR="0085268A" w:rsidRPr="0015629E" w:rsidRDefault="0085268A" w:rsidP="00977C46">
            <w:pPr>
              <w:ind w:firstLine="243"/>
              <w:rPr>
                <w:color w:val="000000" w:themeColor="text1"/>
                <w:sz w:val="18"/>
                <w:szCs w:val="18"/>
              </w:rPr>
            </w:pPr>
            <w:r w:rsidRPr="0015629E">
              <w:rPr>
                <w:rFonts w:asciiTheme="minorHAnsi" w:hAnsiTheme="minorHAnsi"/>
                <w:color w:val="000000" w:themeColor="text1"/>
                <w:sz w:val="18"/>
                <w:szCs w:val="18"/>
              </w:rPr>
              <w:t>PTSD</w:t>
            </w:r>
          </w:p>
        </w:tc>
        <w:tc>
          <w:tcPr>
            <w:tcW w:w="708" w:type="pct"/>
            <w:vAlign w:val="bottom"/>
          </w:tcPr>
          <w:p w14:paraId="44636207"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34</w:t>
            </w:r>
          </w:p>
        </w:tc>
        <w:tc>
          <w:tcPr>
            <w:tcW w:w="1164" w:type="pct"/>
            <w:vAlign w:val="bottom"/>
          </w:tcPr>
          <w:p w14:paraId="33B4761E"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36.2</w:t>
            </w:r>
          </w:p>
        </w:tc>
      </w:tr>
      <w:tr w:rsidR="0085268A" w:rsidRPr="0015629E" w14:paraId="2FA0F98D" w14:textId="77777777" w:rsidTr="0098021D">
        <w:tc>
          <w:tcPr>
            <w:tcW w:w="3128" w:type="pct"/>
            <w:gridSpan w:val="2"/>
            <w:vAlign w:val="bottom"/>
          </w:tcPr>
          <w:p w14:paraId="60C508CC" w14:textId="77777777" w:rsidR="0085268A" w:rsidRPr="0015629E" w:rsidRDefault="0085268A" w:rsidP="00977C46">
            <w:pPr>
              <w:ind w:firstLine="243"/>
              <w:rPr>
                <w:color w:val="000000" w:themeColor="text1"/>
                <w:sz w:val="18"/>
                <w:szCs w:val="18"/>
              </w:rPr>
            </w:pPr>
            <w:r w:rsidRPr="0015629E">
              <w:rPr>
                <w:rFonts w:asciiTheme="minorHAnsi" w:hAnsiTheme="minorHAnsi"/>
                <w:color w:val="000000" w:themeColor="text1"/>
                <w:sz w:val="18"/>
                <w:szCs w:val="18"/>
              </w:rPr>
              <w:t>OCD</w:t>
            </w:r>
          </w:p>
        </w:tc>
        <w:tc>
          <w:tcPr>
            <w:tcW w:w="708" w:type="pct"/>
            <w:vAlign w:val="bottom"/>
          </w:tcPr>
          <w:p w14:paraId="01EF61BD"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20</w:t>
            </w:r>
          </w:p>
        </w:tc>
        <w:tc>
          <w:tcPr>
            <w:tcW w:w="1164" w:type="pct"/>
            <w:vAlign w:val="bottom"/>
          </w:tcPr>
          <w:p w14:paraId="57854B27"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21.3</w:t>
            </w:r>
          </w:p>
        </w:tc>
      </w:tr>
      <w:tr w:rsidR="0085268A" w:rsidRPr="0015629E" w14:paraId="7D14F5A4" w14:textId="77777777" w:rsidTr="0098021D">
        <w:tc>
          <w:tcPr>
            <w:tcW w:w="3128" w:type="pct"/>
            <w:gridSpan w:val="2"/>
            <w:vAlign w:val="bottom"/>
          </w:tcPr>
          <w:p w14:paraId="4D9273A8" w14:textId="77777777" w:rsidR="0085268A" w:rsidRPr="0015629E" w:rsidRDefault="0085268A" w:rsidP="00977C46">
            <w:pPr>
              <w:ind w:firstLine="243"/>
              <w:rPr>
                <w:color w:val="000000" w:themeColor="text1"/>
                <w:sz w:val="18"/>
                <w:szCs w:val="18"/>
              </w:rPr>
            </w:pPr>
            <w:r w:rsidRPr="0015629E">
              <w:rPr>
                <w:rFonts w:asciiTheme="minorHAnsi" w:hAnsiTheme="minorHAnsi"/>
                <w:color w:val="000000" w:themeColor="text1"/>
                <w:sz w:val="18"/>
                <w:szCs w:val="18"/>
              </w:rPr>
              <w:t>Eating disorders</w:t>
            </w:r>
          </w:p>
        </w:tc>
        <w:tc>
          <w:tcPr>
            <w:tcW w:w="708" w:type="pct"/>
            <w:vAlign w:val="bottom"/>
          </w:tcPr>
          <w:p w14:paraId="066BE148"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32</w:t>
            </w:r>
          </w:p>
        </w:tc>
        <w:tc>
          <w:tcPr>
            <w:tcW w:w="1164" w:type="pct"/>
            <w:vAlign w:val="bottom"/>
          </w:tcPr>
          <w:p w14:paraId="73AE342F"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34.0</w:t>
            </w:r>
          </w:p>
        </w:tc>
      </w:tr>
      <w:tr w:rsidR="0085268A" w:rsidRPr="0015629E" w14:paraId="00BF24EC" w14:textId="77777777" w:rsidTr="0098021D">
        <w:tc>
          <w:tcPr>
            <w:tcW w:w="3128" w:type="pct"/>
            <w:gridSpan w:val="2"/>
            <w:vAlign w:val="bottom"/>
          </w:tcPr>
          <w:p w14:paraId="28209D79" w14:textId="77777777" w:rsidR="0085268A" w:rsidRPr="0015629E" w:rsidRDefault="0085268A" w:rsidP="00977C46">
            <w:pPr>
              <w:ind w:firstLine="243"/>
              <w:rPr>
                <w:color w:val="000000" w:themeColor="text1"/>
                <w:sz w:val="18"/>
                <w:szCs w:val="18"/>
              </w:rPr>
            </w:pPr>
            <w:r w:rsidRPr="0015629E">
              <w:rPr>
                <w:rFonts w:asciiTheme="minorHAnsi" w:hAnsiTheme="minorHAnsi"/>
                <w:color w:val="000000" w:themeColor="text1"/>
                <w:sz w:val="18"/>
                <w:szCs w:val="18"/>
              </w:rPr>
              <w:t>Bipolar disorders</w:t>
            </w:r>
          </w:p>
        </w:tc>
        <w:tc>
          <w:tcPr>
            <w:tcW w:w="708" w:type="pct"/>
            <w:vAlign w:val="bottom"/>
          </w:tcPr>
          <w:p w14:paraId="0645FF68"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28</w:t>
            </w:r>
          </w:p>
        </w:tc>
        <w:tc>
          <w:tcPr>
            <w:tcW w:w="1164" w:type="pct"/>
            <w:vAlign w:val="bottom"/>
          </w:tcPr>
          <w:p w14:paraId="4663E118"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29.8</w:t>
            </w:r>
          </w:p>
        </w:tc>
      </w:tr>
      <w:tr w:rsidR="0085268A" w:rsidRPr="0015629E" w14:paraId="1E6D0143" w14:textId="77777777" w:rsidTr="0098021D">
        <w:tc>
          <w:tcPr>
            <w:tcW w:w="3128" w:type="pct"/>
            <w:gridSpan w:val="2"/>
            <w:vAlign w:val="bottom"/>
          </w:tcPr>
          <w:p w14:paraId="3FF824FC" w14:textId="77777777" w:rsidR="0085268A" w:rsidRPr="0015629E" w:rsidRDefault="0085268A" w:rsidP="00977C46">
            <w:pPr>
              <w:ind w:firstLine="243"/>
              <w:rPr>
                <w:color w:val="000000" w:themeColor="text1"/>
                <w:sz w:val="18"/>
                <w:szCs w:val="18"/>
              </w:rPr>
            </w:pPr>
            <w:r w:rsidRPr="0015629E">
              <w:rPr>
                <w:rFonts w:asciiTheme="minorHAnsi" w:hAnsiTheme="minorHAnsi"/>
                <w:color w:val="000000" w:themeColor="text1"/>
                <w:sz w:val="18"/>
                <w:szCs w:val="18"/>
              </w:rPr>
              <w:t xml:space="preserve">Psychotic disorders (e.g., </w:t>
            </w:r>
            <w:r>
              <w:rPr>
                <w:rFonts w:asciiTheme="minorHAnsi" w:hAnsiTheme="minorHAnsi" w:cstheme="minorHAnsi"/>
                <w:color w:val="000000" w:themeColor="text1"/>
                <w:sz w:val="18"/>
                <w:szCs w:val="18"/>
              </w:rPr>
              <w:t>s</w:t>
            </w:r>
            <w:r w:rsidRPr="006632A1">
              <w:rPr>
                <w:rFonts w:asciiTheme="minorHAnsi" w:hAnsiTheme="minorHAnsi" w:cstheme="minorHAnsi"/>
                <w:color w:val="000000" w:themeColor="text1"/>
                <w:sz w:val="18"/>
                <w:szCs w:val="18"/>
              </w:rPr>
              <w:t>chizophreni</w:t>
            </w:r>
            <w:r w:rsidRPr="006909D7">
              <w:rPr>
                <w:rFonts w:asciiTheme="minorHAnsi" w:hAnsiTheme="minorHAnsi" w:cstheme="minorHAnsi"/>
                <w:color w:val="000000" w:themeColor="text1"/>
                <w:sz w:val="18"/>
                <w:szCs w:val="18"/>
              </w:rPr>
              <w:t>a</w:t>
            </w:r>
            <w:r w:rsidRPr="006632A1">
              <w:rPr>
                <w:rFonts w:asciiTheme="minorHAnsi" w:hAnsiTheme="minorHAnsi" w:cstheme="minorHAnsi"/>
                <w:color w:val="000000" w:themeColor="text1"/>
                <w:sz w:val="18"/>
                <w:szCs w:val="18"/>
              </w:rPr>
              <w:t>)</w:t>
            </w:r>
          </w:p>
        </w:tc>
        <w:tc>
          <w:tcPr>
            <w:tcW w:w="708" w:type="pct"/>
            <w:vAlign w:val="bottom"/>
          </w:tcPr>
          <w:p w14:paraId="2DAFBAAE"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55</w:t>
            </w:r>
          </w:p>
        </w:tc>
        <w:tc>
          <w:tcPr>
            <w:tcW w:w="1164" w:type="pct"/>
            <w:vAlign w:val="bottom"/>
          </w:tcPr>
          <w:p w14:paraId="49997010"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58.5</w:t>
            </w:r>
          </w:p>
        </w:tc>
      </w:tr>
      <w:tr w:rsidR="0085268A" w:rsidRPr="0015629E" w14:paraId="51B5DAD3" w14:textId="77777777" w:rsidTr="0098021D">
        <w:tc>
          <w:tcPr>
            <w:tcW w:w="3128" w:type="pct"/>
            <w:gridSpan w:val="2"/>
            <w:vAlign w:val="bottom"/>
          </w:tcPr>
          <w:p w14:paraId="56D62CF2" w14:textId="77777777" w:rsidR="0085268A" w:rsidRPr="0015629E" w:rsidRDefault="0085268A" w:rsidP="00977C46">
            <w:pPr>
              <w:ind w:firstLine="243"/>
              <w:rPr>
                <w:color w:val="000000" w:themeColor="text1"/>
                <w:sz w:val="18"/>
                <w:szCs w:val="18"/>
              </w:rPr>
            </w:pPr>
            <w:r w:rsidRPr="0015629E">
              <w:rPr>
                <w:rFonts w:asciiTheme="minorHAnsi" w:hAnsiTheme="minorHAnsi"/>
                <w:color w:val="000000" w:themeColor="text1"/>
                <w:sz w:val="18"/>
                <w:szCs w:val="18"/>
              </w:rPr>
              <w:t>Personality disorders</w:t>
            </w:r>
          </w:p>
        </w:tc>
        <w:tc>
          <w:tcPr>
            <w:tcW w:w="708" w:type="pct"/>
            <w:vAlign w:val="bottom"/>
          </w:tcPr>
          <w:p w14:paraId="7187364C"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33</w:t>
            </w:r>
          </w:p>
        </w:tc>
        <w:tc>
          <w:tcPr>
            <w:tcW w:w="1164" w:type="pct"/>
            <w:vAlign w:val="bottom"/>
          </w:tcPr>
          <w:p w14:paraId="6B3B0182"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35.1</w:t>
            </w:r>
          </w:p>
        </w:tc>
      </w:tr>
      <w:tr w:rsidR="0085268A" w:rsidRPr="0015629E" w14:paraId="6C057E83" w14:textId="77777777" w:rsidTr="0098021D">
        <w:tc>
          <w:tcPr>
            <w:tcW w:w="3128" w:type="pct"/>
            <w:gridSpan w:val="2"/>
            <w:vAlign w:val="bottom"/>
          </w:tcPr>
          <w:p w14:paraId="4898C192" w14:textId="77777777" w:rsidR="0085268A" w:rsidRPr="0015629E" w:rsidRDefault="0085268A" w:rsidP="00977C46">
            <w:pPr>
              <w:ind w:firstLine="243"/>
              <w:rPr>
                <w:color w:val="000000" w:themeColor="text1"/>
                <w:sz w:val="18"/>
                <w:szCs w:val="18"/>
              </w:rPr>
            </w:pPr>
            <w:r w:rsidRPr="0015629E">
              <w:rPr>
                <w:rFonts w:asciiTheme="minorHAnsi" w:hAnsiTheme="minorHAnsi"/>
                <w:color w:val="000000" w:themeColor="text1"/>
                <w:sz w:val="18"/>
                <w:szCs w:val="18"/>
              </w:rPr>
              <w:t>Self-harm</w:t>
            </w:r>
          </w:p>
        </w:tc>
        <w:tc>
          <w:tcPr>
            <w:tcW w:w="708" w:type="pct"/>
            <w:vAlign w:val="bottom"/>
          </w:tcPr>
          <w:p w14:paraId="2746CD9D"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31</w:t>
            </w:r>
          </w:p>
        </w:tc>
        <w:tc>
          <w:tcPr>
            <w:tcW w:w="1164" w:type="pct"/>
            <w:vAlign w:val="bottom"/>
          </w:tcPr>
          <w:p w14:paraId="624AD620"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33.0</w:t>
            </w:r>
          </w:p>
        </w:tc>
      </w:tr>
      <w:tr w:rsidR="0085268A" w:rsidRPr="0015629E" w14:paraId="153581F4" w14:textId="77777777" w:rsidTr="0098021D">
        <w:tc>
          <w:tcPr>
            <w:tcW w:w="3128" w:type="pct"/>
            <w:gridSpan w:val="2"/>
            <w:vAlign w:val="bottom"/>
          </w:tcPr>
          <w:p w14:paraId="29D34F38" w14:textId="77777777" w:rsidR="0085268A" w:rsidRPr="0015629E" w:rsidRDefault="0085268A" w:rsidP="00977C46">
            <w:pPr>
              <w:ind w:firstLine="243"/>
              <w:rPr>
                <w:color w:val="000000" w:themeColor="text1"/>
                <w:sz w:val="18"/>
                <w:szCs w:val="18"/>
              </w:rPr>
            </w:pPr>
            <w:r w:rsidRPr="0015629E">
              <w:rPr>
                <w:rFonts w:asciiTheme="minorHAnsi" w:hAnsiTheme="minorHAnsi"/>
                <w:color w:val="000000" w:themeColor="text1"/>
                <w:sz w:val="18"/>
                <w:szCs w:val="18"/>
              </w:rPr>
              <w:t>Suicidal ideation</w:t>
            </w:r>
          </w:p>
        </w:tc>
        <w:tc>
          <w:tcPr>
            <w:tcW w:w="708" w:type="pct"/>
            <w:vAlign w:val="bottom"/>
          </w:tcPr>
          <w:p w14:paraId="2A92D2EA"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38</w:t>
            </w:r>
          </w:p>
        </w:tc>
        <w:tc>
          <w:tcPr>
            <w:tcW w:w="1164" w:type="pct"/>
            <w:vAlign w:val="bottom"/>
          </w:tcPr>
          <w:p w14:paraId="5DB21DFE"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40.4</w:t>
            </w:r>
          </w:p>
        </w:tc>
      </w:tr>
      <w:tr w:rsidR="0085268A" w:rsidRPr="0015629E" w14:paraId="3CCE876F" w14:textId="77777777" w:rsidTr="0098021D">
        <w:tc>
          <w:tcPr>
            <w:tcW w:w="3128" w:type="pct"/>
            <w:gridSpan w:val="2"/>
            <w:vAlign w:val="bottom"/>
          </w:tcPr>
          <w:p w14:paraId="40C7179A" w14:textId="77777777" w:rsidR="0085268A" w:rsidRPr="0015629E" w:rsidRDefault="0085268A" w:rsidP="00977C46">
            <w:pPr>
              <w:ind w:firstLine="243"/>
              <w:rPr>
                <w:color w:val="000000" w:themeColor="text1"/>
                <w:sz w:val="18"/>
                <w:szCs w:val="18"/>
              </w:rPr>
            </w:pPr>
            <w:r w:rsidRPr="0015629E">
              <w:rPr>
                <w:rFonts w:asciiTheme="minorHAnsi" w:hAnsiTheme="minorHAnsi"/>
                <w:color w:val="000000" w:themeColor="text1"/>
                <w:sz w:val="18"/>
                <w:szCs w:val="18"/>
              </w:rPr>
              <w:t>Substance use disorders</w:t>
            </w:r>
          </w:p>
        </w:tc>
        <w:tc>
          <w:tcPr>
            <w:tcW w:w="708" w:type="pct"/>
            <w:vAlign w:val="bottom"/>
          </w:tcPr>
          <w:p w14:paraId="30E13DFF"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23</w:t>
            </w:r>
          </w:p>
        </w:tc>
        <w:tc>
          <w:tcPr>
            <w:tcW w:w="1164" w:type="pct"/>
            <w:vAlign w:val="bottom"/>
          </w:tcPr>
          <w:p w14:paraId="4C142B50"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24.5</w:t>
            </w:r>
          </w:p>
        </w:tc>
      </w:tr>
      <w:tr w:rsidR="0085268A" w:rsidRPr="0015629E" w14:paraId="3DB75DA2" w14:textId="77777777" w:rsidTr="0098021D">
        <w:tc>
          <w:tcPr>
            <w:tcW w:w="3128" w:type="pct"/>
            <w:gridSpan w:val="2"/>
            <w:vAlign w:val="bottom"/>
          </w:tcPr>
          <w:p w14:paraId="5A2E9254" w14:textId="77777777" w:rsidR="0085268A" w:rsidRPr="0015629E" w:rsidRDefault="0085268A" w:rsidP="00977C46">
            <w:pPr>
              <w:ind w:firstLine="243"/>
              <w:rPr>
                <w:color w:val="000000" w:themeColor="text1"/>
                <w:sz w:val="18"/>
                <w:szCs w:val="18"/>
              </w:rPr>
            </w:pPr>
            <w:r w:rsidRPr="0015629E">
              <w:rPr>
                <w:rFonts w:asciiTheme="minorHAnsi" w:hAnsiTheme="minorHAnsi"/>
                <w:color w:val="000000" w:themeColor="text1"/>
                <w:sz w:val="18"/>
                <w:szCs w:val="18"/>
              </w:rPr>
              <w:t>Other, specify:</w:t>
            </w:r>
          </w:p>
        </w:tc>
        <w:tc>
          <w:tcPr>
            <w:tcW w:w="708" w:type="pct"/>
            <w:vAlign w:val="bottom"/>
          </w:tcPr>
          <w:p w14:paraId="47B074A9"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7</w:t>
            </w:r>
          </w:p>
        </w:tc>
        <w:tc>
          <w:tcPr>
            <w:tcW w:w="1164" w:type="pct"/>
            <w:vAlign w:val="bottom"/>
          </w:tcPr>
          <w:p w14:paraId="5778508F"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7.4</w:t>
            </w:r>
          </w:p>
        </w:tc>
      </w:tr>
      <w:tr w:rsidR="0085268A" w:rsidRPr="0015629E" w14:paraId="1A96DF65" w14:textId="77777777" w:rsidTr="0098021D">
        <w:tc>
          <w:tcPr>
            <w:tcW w:w="2672" w:type="pct"/>
            <w:vAlign w:val="bottom"/>
          </w:tcPr>
          <w:p w14:paraId="3E8FE7F8" w14:textId="77777777" w:rsidR="0085268A" w:rsidRPr="0015629E" w:rsidRDefault="0085268A" w:rsidP="00977C46">
            <w:pPr>
              <w:ind w:firstLine="243"/>
              <w:rPr>
                <w:color w:val="000000" w:themeColor="text1"/>
                <w:sz w:val="18"/>
                <w:szCs w:val="18"/>
              </w:rPr>
            </w:pPr>
            <w:r w:rsidRPr="0015629E">
              <w:rPr>
                <w:rFonts w:asciiTheme="minorHAnsi" w:hAnsiTheme="minorHAnsi"/>
                <w:color w:val="000000" w:themeColor="text1"/>
                <w:sz w:val="18"/>
                <w:szCs w:val="18"/>
              </w:rPr>
              <w:t>Unsure</w:t>
            </w:r>
          </w:p>
        </w:tc>
        <w:tc>
          <w:tcPr>
            <w:tcW w:w="1164" w:type="pct"/>
            <w:gridSpan w:val="2"/>
            <w:vAlign w:val="bottom"/>
          </w:tcPr>
          <w:p w14:paraId="31C2DFF3" w14:textId="77777777" w:rsidR="0085268A" w:rsidRPr="0015629E" w:rsidRDefault="0085268A" w:rsidP="0098021D">
            <w:pPr>
              <w:ind w:left="929"/>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13</w:t>
            </w:r>
          </w:p>
        </w:tc>
        <w:tc>
          <w:tcPr>
            <w:tcW w:w="1164" w:type="pct"/>
            <w:vAlign w:val="bottom"/>
          </w:tcPr>
          <w:p w14:paraId="1C16325D" w14:textId="77777777" w:rsidR="0085268A" w:rsidRPr="0015629E" w:rsidRDefault="0085268A" w:rsidP="00977C46">
            <w:pPr>
              <w:jc w:val="center"/>
              <w:rPr>
                <w:rFonts w:asciiTheme="minorHAnsi" w:hAnsiTheme="minorHAnsi" w:cstheme="minorHAnsi"/>
                <w:color w:val="000000" w:themeColor="text1"/>
                <w:sz w:val="18"/>
                <w:szCs w:val="18"/>
              </w:rPr>
            </w:pPr>
            <w:r w:rsidRPr="0015629E">
              <w:rPr>
                <w:rFonts w:asciiTheme="minorHAnsi" w:hAnsiTheme="minorHAnsi" w:cstheme="minorHAnsi"/>
                <w:color w:val="010205"/>
                <w:sz w:val="18"/>
                <w:szCs w:val="18"/>
              </w:rPr>
              <w:t>13.8</w:t>
            </w:r>
          </w:p>
        </w:tc>
      </w:tr>
    </w:tbl>
    <w:p w14:paraId="2904F5B7" w14:textId="77777777" w:rsidR="0085268A" w:rsidRPr="006909D7" w:rsidRDefault="0085268A" w:rsidP="00977C46">
      <w:pPr>
        <w:rPr>
          <w:rFonts w:asciiTheme="minorHAnsi" w:hAnsiTheme="minorHAnsi" w:cstheme="minorHAnsi"/>
          <w:sz w:val="16"/>
          <w:szCs w:val="16"/>
        </w:rPr>
      </w:pPr>
      <w:r>
        <w:rPr>
          <w:rFonts w:asciiTheme="minorHAnsi" w:hAnsiTheme="minorHAnsi" w:cstheme="minorHAnsi"/>
          <w:sz w:val="16"/>
          <w:szCs w:val="16"/>
        </w:rPr>
        <w:t>DMHS, digital mental health service; OCD, obsessive compulsive disorder; PTSD, post-traumatic stress disorder.</w:t>
      </w:r>
    </w:p>
    <w:p w14:paraId="3E534705" w14:textId="77777777" w:rsidR="0085268A" w:rsidRPr="00DB3E4C" w:rsidRDefault="0085268A" w:rsidP="0085268A">
      <w:pPr>
        <w:spacing w:after="240"/>
        <w:rPr>
          <w:rFonts w:asciiTheme="minorHAnsi" w:hAnsiTheme="minorHAnsi" w:cstheme="minorHAnsi"/>
          <w:sz w:val="16"/>
          <w:szCs w:val="16"/>
        </w:rPr>
      </w:pPr>
      <w:proofErr w:type="gramStart"/>
      <w:r w:rsidRPr="00E31C04">
        <w:rPr>
          <w:rFonts w:asciiTheme="minorHAnsi" w:hAnsiTheme="minorHAnsi" w:cstheme="minorHAnsi"/>
          <w:sz w:val="16"/>
          <w:szCs w:val="16"/>
          <w:vertAlign w:val="superscript"/>
        </w:rPr>
        <w:t xml:space="preserve">a </w:t>
      </w:r>
      <w:r w:rsidRPr="00E31C04">
        <w:rPr>
          <w:rFonts w:asciiTheme="minorHAnsi" w:hAnsiTheme="minorHAnsi" w:cstheme="minorHAnsi"/>
          <w:sz w:val="16"/>
          <w:szCs w:val="16"/>
        </w:rPr>
        <w:t>Multiple responses</w:t>
      </w:r>
      <w:proofErr w:type="gramEnd"/>
      <w:r w:rsidRPr="00E31C04">
        <w:rPr>
          <w:rFonts w:asciiTheme="minorHAnsi" w:hAnsiTheme="minorHAnsi" w:cstheme="minorHAnsi"/>
          <w:sz w:val="16"/>
          <w:szCs w:val="16"/>
        </w:rPr>
        <w:t xml:space="preserve"> permitted.</w:t>
      </w:r>
    </w:p>
    <w:p w14:paraId="1BD866FB" w14:textId="6A12A6FA" w:rsidR="0085268A" w:rsidRPr="00440F86" w:rsidRDefault="0085268A" w:rsidP="0085268A">
      <w:pPr>
        <w:pStyle w:val="ANorm"/>
        <w:spacing w:after="240"/>
      </w:pPr>
      <w:r w:rsidRPr="00440F86">
        <w:t xml:space="preserve">Respondents were asked if </w:t>
      </w:r>
      <w:r>
        <w:t xml:space="preserve">they thought </w:t>
      </w:r>
      <w:r w:rsidRPr="00440F86">
        <w:t xml:space="preserve">there were any groups who would benefit from DMHSs but </w:t>
      </w:r>
      <w:r>
        <w:t xml:space="preserve">for whom </w:t>
      </w:r>
      <w:r w:rsidRPr="00440F86">
        <w:t xml:space="preserve">programs </w:t>
      </w:r>
      <w:r>
        <w:t>were not</w:t>
      </w:r>
      <w:r w:rsidRPr="00440F86">
        <w:t xml:space="preserve"> yet tailored. Although </w:t>
      </w:r>
      <w:proofErr w:type="gramStart"/>
      <w:r w:rsidRPr="00440F86">
        <w:t>the majority of</w:t>
      </w:r>
      <w:proofErr w:type="gramEnd"/>
      <w:r w:rsidRPr="00440F86">
        <w:t xml:space="preserve"> respondents could not identify groups that were not catered for (51.1%), 36.2% of respondents identified groups that would benefit but who were not catered for (see Table </w:t>
      </w:r>
      <w:r w:rsidR="009A1A4E">
        <w:t>41</w:t>
      </w:r>
      <w:r w:rsidRPr="00440F86">
        <w:t>). Most commonly, people from culturally or linguistically diverse backgrounds (58.8%), followed by people in rural or remote areas (41.2%) were identified as likely to benefit, but not catered for.</w:t>
      </w:r>
    </w:p>
    <w:p w14:paraId="57F36EB1" w14:textId="775CFB2A" w:rsidR="0085268A" w:rsidRPr="00977C46" w:rsidRDefault="0085268A" w:rsidP="00977C46">
      <w:pPr>
        <w:pStyle w:val="tableheading"/>
      </w:pPr>
      <w:r w:rsidRPr="00977C46">
        <w:t xml:space="preserve">Table </w:t>
      </w:r>
      <w:r w:rsidR="009A1A4E">
        <w:t>41</w:t>
      </w:r>
      <w:r w:rsidRPr="00977C46">
        <w:t>. Consumers who would benefit from DMHSs but for whom programs were not yet tailored</w:t>
      </w:r>
    </w:p>
    <w:tbl>
      <w:tblPr>
        <w:tblStyle w:val="TableGrid"/>
        <w:tblW w:w="5000" w:type="pct"/>
        <w:tblBorders>
          <w:insideH w:val="none" w:sz="0" w:space="0" w:color="auto"/>
          <w:insideV w:val="none" w:sz="0" w:space="0" w:color="auto"/>
        </w:tblBorders>
        <w:tblLook w:val="04A0" w:firstRow="1" w:lastRow="0" w:firstColumn="1" w:lastColumn="0" w:noHBand="0" w:noVBand="1"/>
        <w:tblCaption w:val="Consumers who would benefit from DMHS but they are not yet catered"/>
        <w:tblDescription w:val="This tables reports on whether respondents identified a benefit of DMHS for consumers and whether specific consumer groups were not yet catered for by current DMHSs."/>
      </w:tblPr>
      <w:tblGrid>
        <w:gridCol w:w="7509"/>
        <w:gridCol w:w="1275"/>
        <w:gridCol w:w="952"/>
      </w:tblGrid>
      <w:tr w:rsidR="0085268A" w:rsidRPr="00F5764D" w14:paraId="652E9EA2" w14:textId="77777777" w:rsidTr="009A2C7B">
        <w:tc>
          <w:tcPr>
            <w:tcW w:w="3856" w:type="pct"/>
            <w:shd w:val="clear" w:color="auto" w:fill="000000" w:themeFill="text1"/>
            <w:vAlign w:val="bottom"/>
          </w:tcPr>
          <w:p w14:paraId="30EA6F64" w14:textId="77777777" w:rsidR="0085268A" w:rsidRPr="00F5764D" w:rsidRDefault="0085268A" w:rsidP="00977C46">
            <w:pPr>
              <w:rPr>
                <w:rFonts w:asciiTheme="minorHAnsi" w:hAnsiTheme="minorHAnsi"/>
                <w:color w:val="FFFFFF" w:themeColor="background1"/>
                <w:sz w:val="18"/>
                <w:szCs w:val="18"/>
              </w:rPr>
            </w:pPr>
          </w:p>
        </w:tc>
        <w:tc>
          <w:tcPr>
            <w:tcW w:w="655" w:type="pct"/>
            <w:shd w:val="clear" w:color="auto" w:fill="000000" w:themeFill="text1"/>
            <w:vAlign w:val="bottom"/>
          </w:tcPr>
          <w:p w14:paraId="2CC0292B" w14:textId="77777777" w:rsidR="0085268A" w:rsidRPr="00F5764D" w:rsidRDefault="0085268A" w:rsidP="00977C46">
            <w:pPr>
              <w:jc w:val="center"/>
              <w:rPr>
                <w:rFonts w:asciiTheme="minorHAnsi" w:hAnsiTheme="minorHAnsi"/>
                <w:color w:val="FFFFFF" w:themeColor="background1"/>
                <w:sz w:val="18"/>
                <w:szCs w:val="18"/>
              </w:rPr>
            </w:pPr>
            <w:r w:rsidRPr="00F5764D">
              <w:rPr>
                <w:rFonts w:asciiTheme="minorHAnsi" w:hAnsiTheme="minorHAnsi"/>
                <w:color w:val="FFFFFF" w:themeColor="background1"/>
                <w:sz w:val="18"/>
                <w:szCs w:val="18"/>
              </w:rPr>
              <w:t>Frequency</w:t>
            </w:r>
          </w:p>
        </w:tc>
        <w:tc>
          <w:tcPr>
            <w:tcW w:w="489" w:type="pct"/>
            <w:shd w:val="clear" w:color="auto" w:fill="000000" w:themeFill="text1"/>
            <w:vAlign w:val="bottom"/>
          </w:tcPr>
          <w:p w14:paraId="62F8284B" w14:textId="77777777" w:rsidR="0085268A" w:rsidRPr="00F5764D" w:rsidRDefault="0085268A" w:rsidP="00977C46">
            <w:pPr>
              <w:jc w:val="center"/>
              <w:rPr>
                <w:rFonts w:asciiTheme="minorHAnsi" w:hAnsiTheme="minorHAnsi"/>
                <w:color w:val="FFFFFF" w:themeColor="background1"/>
                <w:sz w:val="18"/>
                <w:szCs w:val="18"/>
              </w:rPr>
            </w:pPr>
            <w:r w:rsidRPr="00F5764D">
              <w:rPr>
                <w:rFonts w:asciiTheme="minorHAnsi" w:hAnsiTheme="minorHAnsi"/>
                <w:color w:val="FFFFFF" w:themeColor="background1"/>
                <w:sz w:val="18"/>
                <w:szCs w:val="18"/>
              </w:rPr>
              <w:t>%</w:t>
            </w:r>
          </w:p>
        </w:tc>
      </w:tr>
      <w:tr w:rsidR="0085268A" w:rsidRPr="0033574E" w14:paraId="5360FD72" w14:textId="77777777" w:rsidTr="009A2C7B">
        <w:tc>
          <w:tcPr>
            <w:tcW w:w="3856" w:type="pct"/>
            <w:vAlign w:val="bottom"/>
          </w:tcPr>
          <w:p w14:paraId="4888A171" w14:textId="77777777" w:rsidR="0085268A" w:rsidRPr="00155527" w:rsidRDefault="0085268A" w:rsidP="00977C46">
            <w:pPr>
              <w:rPr>
                <w:rFonts w:asciiTheme="minorHAnsi" w:hAnsiTheme="minorHAnsi"/>
                <w:b/>
                <w:bCs/>
                <w:color w:val="000000" w:themeColor="text1"/>
                <w:sz w:val="18"/>
                <w:szCs w:val="18"/>
              </w:rPr>
            </w:pPr>
            <w:r w:rsidRPr="00155527">
              <w:rPr>
                <w:rFonts w:asciiTheme="minorHAnsi" w:hAnsiTheme="minorHAnsi"/>
                <w:b/>
                <w:bCs/>
                <w:color w:val="000000" w:themeColor="text1"/>
                <w:sz w:val="18"/>
                <w:szCs w:val="18"/>
              </w:rPr>
              <w:t>Benefit (N=94)</w:t>
            </w:r>
          </w:p>
        </w:tc>
        <w:tc>
          <w:tcPr>
            <w:tcW w:w="655" w:type="pct"/>
            <w:vAlign w:val="bottom"/>
          </w:tcPr>
          <w:p w14:paraId="3CA637CE" w14:textId="77777777" w:rsidR="0085268A" w:rsidRPr="0033574E" w:rsidRDefault="0085268A" w:rsidP="00977C46">
            <w:pPr>
              <w:jc w:val="center"/>
              <w:rPr>
                <w:rFonts w:asciiTheme="minorHAnsi" w:hAnsiTheme="minorHAnsi"/>
                <w:color w:val="000000" w:themeColor="text1"/>
                <w:sz w:val="18"/>
                <w:szCs w:val="18"/>
              </w:rPr>
            </w:pPr>
          </w:p>
        </w:tc>
        <w:tc>
          <w:tcPr>
            <w:tcW w:w="489" w:type="pct"/>
            <w:vAlign w:val="bottom"/>
          </w:tcPr>
          <w:p w14:paraId="4FB7A5D0" w14:textId="77777777" w:rsidR="0085268A" w:rsidRPr="0033574E" w:rsidRDefault="0085268A" w:rsidP="00977C46">
            <w:pPr>
              <w:jc w:val="center"/>
              <w:rPr>
                <w:rFonts w:asciiTheme="minorHAnsi" w:hAnsiTheme="minorHAnsi"/>
                <w:color w:val="000000" w:themeColor="text1"/>
                <w:sz w:val="18"/>
                <w:szCs w:val="18"/>
              </w:rPr>
            </w:pPr>
          </w:p>
        </w:tc>
      </w:tr>
      <w:tr w:rsidR="0085268A" w14:paraId="4D0FFE79" w14:textId="77777777" w:rsidTr="009A2C7B">
        <w:tc>
          <w:tcPr>
            <w:tcW w:w="3856" w:type="pct"/>
            <w:vAlign w:val="bottom"/>
          </w:tcPr>
          <w:p w14:paraId="4AE7D2EF" w14:textId="77777777" w:rsidR="0085268A" w:rsidRPr="00155527" w:rsidRDefault="0085268A" w:rsidP="00977C46">
            <w:pPr>
              <w:ind w:left="170" w:firstLine="73"/>
              <w:rPr>
                <w:rFonts w:asciiTheme="minorHAnsi" w:hAnsiTheme="minorHAnsi"/>
                <w:color w:val="000000" w:themeColor="text1"/>
                <w:sz w:val="18"/>
                <w:szCs w:val="18"/>
              </w:rPr>
            </w:pPr>
            <w:r w:rsidRPr="00155527">
              <w:rPr>
                <w:rFonts w:asciiTheme="minorHAnsi" w:hAnsiTheme="minorHAnsi"/>
                <w:color w:val="000000" w:themeColor="text1"/>
                <w:sz w:val="18"/>
                <w:szCs w:val="18"/>
              </w:rPr>
              <w:t>Yes</w:t>
            </w:r>
          </w:p>
        </w:tc>
        <w:tc>
          <w:tcPr>
            <w:tcW w:w="655" w:type="pct"/>
            <w:vAlign w:val="bottom"/>
          </w:tcPr>
          <w:p w14:paraId="3A93F078" w14:textId="77777777" w:rsidR="0085268A" w:rsidRPr="0076352E" w:rsidRDefault="0085268A" w:rsidP="00977C46">
            <w:pPr>
              <w:jc w:val="center"/>
              <w:rPr>
                <w:rFonts w:asciiTheme="minorHAnsi" w:hAnsiTheme="minorHAnsi" w:cstheme="minorHAnsi"/>
                <w:color w:val="000000" w:themeColor="text1"/>
                <w:sz w:val="18"/>
                <w:szCs w:val="18"/>
                <w:highlight w:val="cyan"/>
              </w:rPr>
            </w:pPr>
            <w:r w:rsidRPr="0076352E">
              <w:rPr>
                <w:rFonts w:asciiTheme="minorHAnsi" w:hAnsiTheme="minorHAnsi" w:cstheme="minorHAnsi"/>
                <w:color w:val="010205"/>
                <w:sz w:val="18"/>
                <w:szCs w:val="18"/>
              </w:rPr>
              <w:t>34</w:t>
            </w:r>
          </w:p>
        </w:tc>
        <w:tc>
          <w:tcPr>
            <w:tcW w:w="489" w:type="pct"/>
            <w:vAlign w:val="bottom"/>
          </w:tcPr>
          <w:p w14:paraId="587CF6AC" w14:textId="77777777" w:rsidR="0085268A" w:rsidRPr="0076352E" w:rsidRDefault="0085268A" w:rsidP="00977C46">
            <w:pPr>
              <w:jc w:val="center"/>
              <w:rPr>
                <w:rFonts w:asciiTheme="minorHAnsi" w:hAnsiTheme="minorHAnsi" w:cstheme="minorHAnsi"/>
                <w:color w:val="000000" w:themeColor="text1"/>
                <w:sz w:val="18"/>
                <w:szCs w:val="18"/>
                <w:highlight w:val="cyan"/>
              </w:rPr>
            </w:pPr>
            <w:r w:rsidRPr="0076352E">
              <w:rPr>
                <w:rFonts w:asciiTheme="minorHAnsi" w:hAnsiTheme="minorHAnsi" w:cstheme="minorHAnsi"/>
                <w:color w:val="010205"/>
                <w:sz w:val="18"/>
                <w:szCs w:val="18"/>
              </w:rPr>
              <w:t>36.2</w:t>
            </w:r>
          </w:p>
        </w:tc>
      </w:tr>
      <w:tr w:rsidR="0085268A" w14:paraId="42DAE411" w14:textId="77777777" w:rsidTr="009A2C7B">
        <w:tc>
          <w:tcPr>
            <w:tcW w:w="3856" w:type="pct"/>
            <w:tcBorders>
              <w:bottom w:val="nil"/>
            </w:tcBorders>
            <w:vAlign w:val="bottom"/>
          </w:tcPr>
          <w:p w14:paraId="79A24790" w14:textId="77777777" w:rsidR="0085268A" w:rsidRPr="00155527" w:rsidRDefault="0085268A" w:rsidP="00977C46">
            <w:pPr>
              <w:ind w:left="170" w:firstLine="73"/>
              <w:rPr>
                <w:rFonts w:asciiTheme="minorHAnsi" w:hAnsiTheme="minorHAnsi"/>
                <w:color w:val="000000" w:themeColor="text1"/>
                <w:sz w:val="18"/>
                <w:szCs w:val="18"/>
              </w:rPr>
            </w:pPr>
            <w:r w:rsidRPr="00155527">
              <w:rPr>
                <w:rFonts w:asciiTheme="minorHAnsi" w:hAnsiTheme="minorHAnsi"/>
                <w:color w:val="000000" w:themeColor="text1"/>
                <w:sz w:val="18"/>
                <w:szCs w:val="18"/>
              </w:rPr>
              <w:t>No</w:t>
            </w:r>
          </w:p>
        </w:tc>
        <w:tc>
          <w:tcPr>
            <w:tcW w:w="655" w:type="pct"/>
            <w:tcBorders>
              <w:bottom w:val="nil"/>
            </w:tcBorders>
            <w:vAlign w:val="bottom"/>
          </w:tcPr>
          <w:p w14:paraId="61A056D2" w14:textId="77777777" w:rsidR="0085268A" w:rsidRPr="0076352E" w:rsidRDefault="0085268A" w:rsidP="00977C46">
            <w:pPr>
              <w:jc w:val="center"/>
              <w:rPr>
                <w:rFonts w:asciiTheme="minorHAnsi" w:hAnsiTheme="minorHAnsi" w:cstheme="minorHAnsi"/>
                <w:color w:val="000000" w:themeColor="text1"/>
                <w:sz w:val="18"/>
                <w:szCs w:val="18"/>
                <w:highlight w:val="cyan"/>
              </w:rPr>
            </w:pPr>
            <w:r w:rsidRPr="0076352E">
              <w:rPr>
                <w:rFonts w:asciiTheme="minorHAnsi" w:hAnsiTheme="minorHAnsi" w:cstheme="minorHAnsi"/>
                <w:color w:val="010205"/>
                <w:sz w:val="18"/>
                <w:szCs w:val="18"/>
              </w:rPr>
              <w:t>48</w:t>
            </w:r>
          </w:p>
        </w:tc>
        <w:tc>
          <w:tcPr>
            <w:tcW w:w="489" w:type="pct"/>
            <w:tcBorders>
              <w:bottom w:val="nil"/>
            </w:tcBorders>
            <w:vAlign w:val="bottom"/>
          </w:tcPr>
          <w:p w14:paraId="5F2FABB3" w14:textId="77777777" w:rsidR="0085268A" w:rsidRPr="0076352E" w:rsidRDefault="0085268A" w:rsidP="00977C46">
            <w:pPr>
              <w:jc w:val="center"/>
              <w:rPr>
                <w:rFonts w:asciiTheme="minorHAnsi" w:hAnsiTheme="minorHAnsi" w:cstheme="minorHAnsi"/>
                <w:color w:val="000000" w:themeColor="text1"/>
                <w:sz w:val="18"/>
                <w:szCs w:val="18"/>
                <w:highlight w:val="cyan"/>
              </w:rPr>
            </w:pPr>
            <w:r w:rsidRPr="0076352E">
              <w:rPr>
                <w:rFonts w:asciiTheme="minorHAnsi" w:hAnsiTheme="minorHAnsi" w:cstheme="minorHAnsi"/>
                <w:color w:val="010205"/>
                <w:sz w:val="18"/>
                <w:szCs w:val="18"/>
              </w:rPr>
              <w:t>51.1</w:t>
            </w:r>
          </w:p>
        </w:tc>
      </w:tr>
      <w:tr w:rsidR="0085268A" w14:paraId="54AACD33" w14:textId="77777777" w:rsidTr="009A2C7B">
        <w:tc>
          <w:tcPr>
            <w:tcW w:w="3856" w:type="pct"/>
            <w:tcBorders>
              <w:top w:val="nil"/>
              <w:bottom w:val="single" w:sz="4" w:space="0" w:color="auto"/>
            </w:tcBorders>
            <w:vAlign w:val="bottom"/>
          </w:tcPr>
          <w:p w14:paraId="626C4B8C" w14:textId="77777777" w:rsidR="0085268A" w:rsidRPr="00155527" w:rsidRDefault="0085268A" w:rsidP="00977C46">
            <w:pPr>
              <w:ind w:left="170" w:firstLine="73"/>
              <w:rPr>
                <w:rFonts w:asciiTheme="minorHAnsi" w:hAnsiTheme="minorHAnsi"/>
                <w:color w:val="000000" w:themeColor="text1"/>
                <w:sz w:val="18"/>
                <w:szCs w:val="18"/>
              </w:rPr>
            </w:pPr>
            <w:r w:rsidRPr="00155527">
              <w:rPr>
                <w:rFonts w:asciiTheme="minorHAnsi" w:hAnsiTheme="minorHAnsi"/>
                <w:color w:val="000000" w:themeColor="text1"/>
                <w:sz w:val="18"/>
                <w:szCs w:val="18"/>
              </w:rPr>
              <w:t>Missing</w:t>
            </w:r>
          </w:p>
        </w:tc>
        <w:tc>
          <w:tcPr>
            <w:tcW w:w="655" w:type="pct"/>
            <w:tcBorders>
              <w:top w:val="nil"/>
              <w:bottom w:val="single" w:sz="4" w:space="0" w:color="auto"/>
            </w:tcBorders>
            <w:vAlign w:val="bottom"/>
          </w:tcPr>
          <w:p w14:paraId="6F9B1EDC" w14:textId="77777777" w:rsidR="0085268A" w:rsidRPr="0076352E" w:rsidRDefault="0085268A" w:rsidP="00977C46">
            <w:pPr>
              <w:jc w:val="center"/>
              <w:rPr>
                <w:rFonts w:asciiTheme="minorHAnsi" w:hAnsiTheme="minorHAnsi" w:cstheme="minorHAnsi"/>
                <w:color w:val="000000" w:themeColor="text1"/>
                <w:sz w:val="18"/>
                <w:szCs w:val="18"/>
                <w:highlight w:val="cyan"/>
              </w:rPr>
            </w:pPr>
            <w:r w:rsidRPr="0076352E">
              <w:rPr>
                <w:rFonts w:asciiTheme="minorHAnsi" w:hAnsiTheme="minorHAnsi" w:cstheme="minorHAnsi"/>
                <w:color w:val="010205"/>
                <w:sz w:val="18"/>
                <w:szCs w:val="18"/>
              </w:rPr>
              <w:t>12</w:t>
            </w:r>
          </w:p>
        </w:tc>
        <w:tc>
          <w:tcPr>
            <w:tcW w:w="489" w:type="pct"/>
            <w:tcBorders>
              <w:top w:val="nil"/>
              <w:bottom w:val="single" w:sz="4" w:space="0" w:color="auto"/>
            </w:tcBorders>
            <w:vAlign w:val="bottom"/>
          </w:tcPr>
          <w:p w14:paraId="2CFBD86E" w14:textId="77777777" w:rsidR="0085268A" w:rsidRPr="0076352E" w:rsidRDefault="0085268A" w:rsidP="00977C46">
            <w:pPr>
              <w:jc w:val="center"/>
              <w:rPr>
                <w:rFonts w:asciiTheme="minorHAnsi" w:hAnsiTheme="minorHAnsi" w:cstheme="minorHAnsi"/>
                <w:color w:val="000000" w:themeColor="text1"/>
                <w:sz w:val="18"/>
                <w:szCs w:val="18"/>
                <w:highlight w:val="cyan"/>
              </w:rPr>
            </w:pPr>
            <w:r w:rsidRPr="0076352E">
              <w:rPr>
                <w:rFonts w:asciiTheme="minorHAnsi" w:hAnsiTheme="minorHAnsi" w:cstheme="minorHAnsi"/>
                <w:color w:val="010205"/>
                <w:sz w:val="18"/>
                <w:szCs w:val="18"/>
              </w:rPr>
              <w:t>12.8</w:t>
            </w:r>
          </w:p>
        </w:tc>
      </w:tr>
      <w:tr w:rsidR="0085268A" w:rsidRPr="001A2E59" w14:paraId="1BAD131D" w14:textId="77777777" w:rsidTr="009A2C7B">
        <w:tc>
          <w:tcPr>
            <w:tcW w:w="3856" w:type="pct"/>
            <w:tcBorders>
              <w:top w:val="single" w:sz="4" w:space="0" w:color="auto"/>
            </w:tcBorders>
            <w:vAlign w:val="bottom"/>
          </w:tcPr>
          <w:p w14:paraId="378F042E" w14:textId="3E2E402C" w:rsidR="0085268A" w:rsidRPr="00155527" w:rsidRDefault="0085268A" w:rsidP="00977C46">
            <w:pPr>
              <w:rPr>
                <w:rFonts w:asciiTheme="minorHAnsi" w:hAnsiTheme="minorHAnsi"/>
                <w:color w:val="000000" w:themeColor="text1"/>
                <w:sz w:val="18"/>
                <w:szCs w:val="18"/>
              </w:rPr>
            </w:pPr>
            <w:r w:rsidRPr="00155527">
              <w:rPr>
                <w:rFonts w:asciiTheme="minorHAnsi" w:hAnsiTheme="minorHAnsi"/>
                <w:b/>
                <w:bCs/>
                <w:color w:val="000000" w:themeColor="text1"/>
                <w:sz w:val="18"/>
                <w:szCs w:val="18"/>
              </w:rPr>
              <w:t xml:space="preserve">Consumer </w:t>
            </w:r>
            <w:proofErr w:type="spellStart"/>
            <w:r w:rsidR="000455C7">
              <w:rPr>
                <w:rFonts w:asciiTheme="minorHAnsi" w:hAnsiTheme="minorHAnsi"/>
                <w:b/>
                <w:bCs/>
                <w:color w:val="000000" w:themeColor="text1"/>
                <w:sz w:val="18"/>
                <w:szCs w:val="18"/>
              </w:rPr>
              <w:t>g</w:t>
            </w:r>
            <w:r w:rsidRPr="00155527">
              <w:rPr>
                <w:rFonts w:asciiTheme="minorHAnsi" w:hAnsiTheme="minorHAnsi"/>
                <w:b/>
                <w:bCs/>
                <w:color w:val="000000" w:themeColor="text1"/>
                <w:sz w:val="18"/>
                <w:szCs w:val="18"/>
              </w:rPr>
              <w:t>roup</w:t>
            </w:r>
            <w:r w:rsidRPr="00155527">
              <w:rPr>
                <w:rFonts w:asciiTheme="minorHAnsi" w:hAnsiTheme="minorHAnsi"/>
                <w:b/>
                <w:bCs/>
                <w:vertAlign w:val="superscript"/>
              </w:rPr>
              <w:t>a</w:t>
            </w:r>
            <w:proofErr w:type="spellEnd"/>
            <w:r w:rsidRPr="00155527">
              <w:rPr>
                <w:rFonts w:asciiTheme="minorHAnsi" w:hAnsiTheme="minorHAnsi"/>
                <w:b/>
                <w:bCs/>
                <w:vertAlign w:val="superscript"/>
              </w:rPr>
              <w:t xml:space="preserve"> </w:t>
            </w:r>
            <w:r w:rsidRPr="00155527">
              <w:rPr>
                <w:rFonts w:asciiTheme="minorHAnsi" w:hAnsiTheme="minorHAnsi"/>
                <w:b/>
                <w:bCs/>
                <w:color w:val="000000" w:themeColor="text1"/>
                <w:sz w:val="18"/>
                <w:szCs w:val="18"/>
              </w:rPr>
              <w:t>(n=34)</w:t>
            </w:r>
          </w:p>
        </w:tc>
        <w:tc>
          <w:tcPr>
            <w:tcW w:w="655" w:type="pct"/>
            <w:tcBorders>
              <w:top w:val="single" w:sz="4" w:space="0" w:color="auto"/>
            </w:tcBorders>
            <w:vAlign w:val="bottom"/>
          </w:tcPr>
          <w:p w14:paraId="04A02CB6" w14:textId="77777777" w:rsidR="0085268A" w:rsidRPr="005509C0" w:rsidRDefault="0085268A" w:rsidP="00977C46">
            <w:pPr>
              <w:jc w:val="center"/>
              <w:rPr>
                <w:rFonts w:asciiTheme="minorHAnsi" w:hAnsiTheme="minorHAnsi"/>
                <w:color w:val="000000" w:themeColor="text1"/>
                <w:sz w:val="18"/>
                <w:szCs w:val="18"/>
                <w:highlight w:val="cyan"/>
              </w:rPr>
            </w:pPr>
          </w:p>
        </w:tc>
        <w:tc>
          <w:tcPr>
            <w:tcW w:w="489" w:type="pct"/>
            <w:tcBorders>
              <w:top w:val="single" w:sz="4" w:space="0" w:color="auto"/>
            </w:tcBorders>
            <w:vAlign w:val="bottom"/>
          </w:tcPr>
          <w:p w14:paraId="0FDFE6FC" w14:textId="77777777" w:rsidR="0085268A" w:rsidRPr="005509C0" w:rsidRDefault="0085268A" w:rsidP="00977C46">
            <w:pPr>
              <w:jc w:val="center"/>
              <w:rPr>
                <w:rFonts w:asciiTheme="minorHAnsi" w:hAnsiTheme="minorHAnsi"/>
                <w:color w:val="000000" w:themeColor="text1"/>
                <w:sz w:val="18"/>
                <w:szCs w:val="18"/>
                <w:highlight w:val="cyan"/>
              </w:rPr>
            </w:pPr>
          </w:p>
        </w:tc>
      </w:tr>
      <w:tr w:rsidR="0085268A" w14:paraId="6778FBF7" w14:textId="77777777" w:rsidTr="009A2C7B">
        <w:tc>
          <w:tcPr>
            <w:tcW w:w="3856" w:type="pct"/>
            <w:tcBorders>
              <w:bottom w:val="nil"/>
            </w:tcBorders>
            <w:vAlign w:val="bottom"/>
          </w:tcPr>
          <w:p w14:paraId="59C2F089" w14:textId="77777777" w:rsidR="0085268A" w:rsidRPr="00155527" w:rsidRDefault="0085268A" w:rsidP="00977C46">
            <w:pPr>
              <w:ind w:left="170" w:firstLine="73"/>
              <w:rPr>
                <w:color w:val="000000" w:themeColor="text1"/>
                <w:sz w:val="18"/>
                <w:szCs w:val="18"/>
              </w:rPr>
            </w:pPr>
            <w:r w:rsidRPr="00155527">
              <w:rPr>
                <w:rFonts w:asciiTheme="minorHAnsi" w:hAnsiTheme="minorHAnsi"/>
                <w:color w:val="000000" w:themeColor="text1"/>
                <w:sz w:val="18"/>
                <w:szCs w:val="18"/>
              </w:rPr>
              <w:t>Aboriginal and/or Torres Strait Islander peoples</w:t>
            </w:r>
          </w:p>
        </w:tc>
        <w:tc>
          <w:tcPr>
            <w:tcW w:w="655" w:type="pct"/>
            <w:tcBorders>
              <w:bottom w:val="nil"/>
            </w:tcBorders>
            <w:vAlign w:val="bottom"/>
          </w:tcPr>
          <w:p w14:paraId="2692B008" w14:textId="77777777" w:rsidR="0085268A" w:rsidRPr="00155527" w:rsidRDefault="0085268A" w:rsidP="00977C46">
            <w:pPr>
              <w:jc w:val="center"/>
              <w:rPr>
                <w:rFonts w:asciiTheme="minorHAnsi" w:hAnsiTheme="minorHAnsi" w:cstheme="minorHAnsi"/>
                <w:color w:val="000000" w:themeColor="text1"/>
                <w:sz w:val="18"/>
                <w:szCs w:val="18"/>
                <w:highlight w:val="cyan"/>
              </w:rPr>
            </w:pPr>
            <w:r w:rsidRPr="00155527">
              <w:rPr>
                <w:rFonts w:asciiTheme="minorHAnsi" w:hAnsiTheme="minorHAnsi" w:cstheme="minorHAnsi"/>
                <w:color w:val="010205"/>
                <w:sz w:val="18"/>
                <w:szCs w:val="18"/>
              </w:rPr>
              <w:t>12</w:t>
            </w:r>
          </w:p>
        </w:tc>
        <w:tc>
          <w:tcPr>
            <w:tcW w:w="489" w:type="pct"/>
            <w:tcBorders>
              <w:bottom w:val="nil"/>
            </w:tcBorders>
            <w:vAlign w:val="bottom"/>
          </w:tcPr>
          <w:p w14:paraId="6477EAD6" w14:textId="77777777" w:rsidR="0085268A" w:rsidRPr="00155527" w:rsidRDefault="0085268A" w:rsidP="00977C46">
            <w:pPr>
              <w:jc w:val="center"/>
              <w:rPr>
                <w:rFonts w:asciiTheme="minorHAnsi" w:hAnsiTheme="minorHAnsi" w:cstheme="minorHAnsi"/>
                <w:color w:val="000000" w:themeColor="text1"/>
                <w:sz w:val="18"/>
                <w:szCs w:val="18"/>
                <w:highlight w:val="cyan"/>
              </w:rPr>
            </w:pPr>
            <w:r w:rsidRPr="00155527">
              <w:rPr>
                <w:rFonts w:asciiTheme="minorHAnsi" w:hAnsiTheme="minorHAnsi" w:cstheme="minorHAnsi"/>
                <w:color w:val="010205"/>
                <w:sz w:val="18"/>
                <w:szCs w:val="18"/>
              </w:rPr>
              <w:t>35.3</w:t>
            </w:r>
          </w:p>
        </w:tc>
      </w:tr>
      <w:tr w:rsidR="009A2C7B" w14:paraId="2F66BF31" w14:textId="77777777" w:rsidTr="009A2C7B">
        <w:tc>
          <w:tcPr>
            <w:tcW w:w="3856" w:type="pct"/>
            <w:tcBorders>
              <w:top w:val="nil"/>
              <w:left w:val="single" w:sz="4" w:space="0" w:color="auto"/>
              <w:bottom w:val="nil"/>
              <w:right w:val="nil"/>
            </w:tcBorders>
            <w:vAlign w:val="bottom"/>
          </w:tcPr>
          <w:p w14:paraId="276725F9" w14:textId="463BD0AD" w:rsidR="0085268A" w:rsidRPr="00155527" w:rsidRDefault="0085268A" w:rsidP="00977C46">
            <w:pPr>
              <w:ind w:left="312" w:hanging="69"/>
              <w:rPr>
                <w:color w:val="000000" w:themeColor="text1"/>
                <w:sz w:val="18"/>
                <w:szCs w:val="18"/>
              </w:rPr>
            </w:pPr>
            <w:r w:rsidRPr="00155527">
              <w:rPr>
                <w:rFonts w:asciiTheme="minorHAnsi" w:hAnsiTheme="minorHAnsi"/>
                <w:color w:val="000000" w:themeColor="text1"/>
                <w:sz w:val="18"/>
                <w:szCs w:val="18"/>
              </w:rPr>
              <w:t xml:space="preserve">People who are from </w:t>
            </w:r>
            <w:r w:rsidR="000455C7">
              <w:rPr>
                <w:rFonts w:asciiTheme="minorHAnsi" w:hAnsiTheme="minorHAnsi"/>
                <w:color w:val="000000" w:themeColor="text1"/>
                <w:sz w:val="18"/>
                <w:szCs w:val="18"/>
              </w:rPr>
              <w:t>CALD</w:t>
            </w:r>
            <w:r w:rsidRPr="00155527">
              <w:rPr>
                <w:rFonts w:asciiTheme="minorHAnsi" w:hAnsiTheme="minorHAnsi"/>
                <w:color w:val="000000" w:themeColor="text1"/>
                <w:sz w:val="18"/>
                <w:szCs w:val="18"/>
              </w:rPr>
              <w:t xml:space="preserve"> backgrounds or whose main language spoken at home is not English</w:t>
            </w:r>
          </w:p>
        </w:tc>
        <w:tc>
          <w:tcPr>
            <w:tcW w:w="655" w:type="pct"/>
            <w:tcBorders>
              <w:top w:val="nil"/>
              <w:left w:val="nil"/>
              <w:bottom w:val="nil"/>
              <w:right w:val="nil"/>
            </w:tcBorders>
            <w:vAlign w:val="bottom"/>
          </w:tcPr>
          <w:p w14:paraId="3B2882DF" w14:textId="77777777" w:rsidR="0085268A" w:rsidRPr="00155527" w:rsidRDefault="0085268A" w:rsidP="00977C46">
            <w:pPr>
              <w:jc w:val="center"/>
              <w:rPr>
                <w:rFonts w:asciiTheme="minorHAnsi" w:hAnsiTheme="minorHAnsi" w:cstheme="minorHAnsi"/>
                <w:color w:val="000000" w:themeColor="text1"/>
                <w:sz w:val="18"/>
                <w:szCs w:val="18"/>
                <w:highlight w:val="cyan"/>
              </w:rPr>
            </w:pPr>
            <w:r w:rsidRPr="00155527">
              <w:rPr>
                <w:rFonts w:asciiTheme="minorHAnsi" w:hAnsiTheme="minorHAnsi" w:cstheme="minorHAnsi"/>
                <w:color w:val="010205"/>
                <w:sz w:val="18"/>
                <w:szCs w:val="18"/>
              </w:rPr>
              <w:t>20</w:t>
            </w:r>
          </w:p>
        </w:tc>
        <w:tc>
          <w:tcPr>
            <w:tcW w:w="489" w:type="pct"/>
            <w:tcBorders>
              <w:top w:val="nil"/>
              <w:left w:val="nil"/>
              <w:bottom w:val="nil"/>
              <w:right w:val="single" w:sz="4" w:space="0" w:color="auto"/>
            </w:tcBorders>
            <w:vAlign w:val="bottom"/>
          </w:tcPr>
          <w:p w14:paraId="1C316E72" w14:textId="77777777" w:rsidR="0085268A" w:rsidRPr="00155527" w:rsidRDefault="0085268A" w:rsidP="00977C46">
            <w:pPr>
              <w:jc w:val="center"/>
              <w:rPr>
                <w:rFonts w:asciiTheme="minorHAnsi" w:hAnsiTheme="minorHAnsi" w:cstheme="minorHAnsi"/>
                <w:color w:val="000000" w:themeColor="text1"/>
                <w:sz w:val="18"/>
                <w:szCs w:val="18"/>
                <w:highlight w:val="cyan"/>
              </w:rPr>
            </w:pPr>
            <w:r w:rsidRPr="00155527">
              <w:rPr>
                <w:rFonts w:asciiTheme="minorHAnsi" w:hAnsiTheme="minorHAnsi" w:cstheme="minorHAnsi"/>
                <w:color w:val="010205"/>
                <w:sz w:val="18"/>
                <w:szCs w:val="18"/>
              </w:rPr>
              <w:t>58.8</w:t>
            </w:r>
          </w:p>
        </w:tc>
      </w:tr>
      <w:tr w:rsidR="0085268A" w14:paraId="73074050" w14:textId="77777777" w:rsidTr="009A2C7B">
        <w:tc>
          <w:tcPr>
            <w:tcW w:w="3856" w:type="pct"/>
            <w:tcBorders>
              <w:top w:val="nil"/>
            </w:tcBorders>
            <w:vAlign w:val="bottom"/>
          </w:tcPr>
          <w:p w14:paraId="13C181FC" w14:textId="77777777" w:rsidR="0085268A" w:rsidRPr="00155527" w:rsidRDefault="0085268A" w:rsidP="00977C46">
            <w:pPr>
              <w:ind w:left="170" w:firstLine="73"/>
              <w:rPr>
                <w:color w:val="000000" w:themeColor="text1"/>
                <w:sz w:val="18"/>
                <w:szCs w:val="18"/>
              </w:rPr>
            </w:pPr>
            <w:r w:rsidRPr="00155527">
              <w:rPr>
                <w:rFonts w:asciiTheme="minorHAnsi" w:hAnsiTheme="minorHAnsi"/>
                <w:color w:val="000000" w:themeColor="text1"/>
                <w:sz w:val="18"/>
                <w:szCs w:val="18"/>
              </w:rPr>
              <w:t>People living in a rural or remote location</w:t>
            </w:r>
          </w:p>
        </w:tc>
        <w:tc>
          <w:tcPr>
            <w:tcW w:w="655" w:type="pct"/>
            <w:tcBorders>
              <w:top w:val="nil"/>
            </w:tcBorders>
            <w:vAlign w:val="bottom"/>
          </w:tcPr>
          <w:p w14:paraId="01A46975" w14:textId="77777777" w:rsidR="0085268A" w:rsidRPr="00155527" w:rsidRDefault="0085268A" w:rsidP="00977C46">
            <w:pPr>
              <w:jc w:val="center"/>
              <w:rPr>
                <w:rFonts w:asciiTheme="minorHAnsi" w:hAnsiTheme="minorHAnsi" w:cstheme="minorHAnsi"/>
                <w:color w:val="000000" w:themeColor="text1"/>
                <w:sz w:val="18"/>
                <w:szCs w:val="18"/>
                <w:highlight w:val="cyan"/>
              </w:rPr>
            </w:pPr>
            <w:r w:rsidRPr="00155527">
              <w:rPr>
                <w:rFonts w:asciiTheme="minorHAnsi" w:hAnsiTheme="minorHAnsi" w:cstheme="minorHAnsi"/>
                <w:color w:val="010205"/>
                <w:sz w:val="18"/>
                <w:szCs w:val="18"/>
              </w:rPr>
              <w:t>14</w:t>
            </w:r>
          </w:p>
        </w:tc>
        <w:tc>
          <w:tcPr>
            <w:tcW w:w="489" w:type="pct"/>
            <w:tcBorders>
              <w:top w:val="nil"/>
            </w:tcBorders>
            <w:vAlign w:val="bottom"/>
          </w:tcPr>
          <w:p w14:paraId="1B6E56DE" w14:textId="77777777" w:rsidR="0085268A" w:rsidRPr="00155527" w:rsidRDefault="0085268A" w:rsidP="00977C46">
            <w:pPr>
              <w:jc w:val="center"/>
              <w:rPr>
                <w:rFonts w:asciiTheme="minorHAnsi" w:hAnsiTheme="minorHAnsi" w:cstheme="minorHAnsi"/>
                <w:color w:val="000000" w:themeColor="text1"/>
                <w:sz w:val="18"/>
                <w:szCs w:val="18"/>
                <w:highlight w:val="cyan"/>
              </w:rPr>
            </w:pPr>
            <w:r w:rsidRPr="00155527">
              <w:rPr>
                <w:rFonts w:asciiTheme="minorHAnsi" w:hAnsiTheme="minorHAnsi" w:cstheme="minorHAnsi"/>
                <w:color w:val="010205"/>
                <w:sz w:val="18"/>
                <w:szCs w:val="18"/>
              </w:rPr>
              <w:t>41.2</w:t>
            </w:r>
          </w:p>
        </w:tc>
      </w:tr>
      <w:tr w:rsidR="0085268A" w14:paraId="3AD8F4F3" w14:textId="77777777" w:rsidTr="009A2C7B">
        <w:tc>
          <w:tcPr>
            <w:tcW w:w="3856" w:type="pct"/>
            <w:vAlign w:val="bottom"/>
          </w:tcPr>
          <w:p w14:paraId="783B3535" w14:textId="77777777" w:rsidR="0085268A" w:rsidRPr="00155527" w:rsidRDefault="0085268A" w:rsidP="00977C46">
            <w:pPr>
              <w:ind w:left="170" w:firstLine="73"/>
              <w:rPr>
                <w:color w:val="000000" w:themeColor="text1"/>
                <w:sz w:val="18"/>
                <w:szCs w:val="18"/>
              </w:rPr>
            </w:pPr>
            <w:r w:rsidRPr="00155527">
              <w:rPr>
                <w:rFonts w:asciiTheme="minorHAnsi" w:hAnsiTheme="minorHAnsi"/>
                <w:color w:val="000000" w:themeColor="text1"/>
                <w:sz w:val="18"/>
                <w:szCs w:val="18"/>
              </w:rPr>
              <w:t>People who identify as LGBTQIA+</w:t>
            </w:r>
          </w:p>
        </w:tc>
        <w:tc>
          <w:tcPr>
            <w:tcW w:w="655" w:type="pct"/>
            <w:vAlign w:val="bottom"/>
          </w:tcPr>
          <w:p w14:paraId="12752951" w14:textId="77777777" w:rsidR="0085268A" w:rsidRPr="00155527" w:rsidRDefault="0085268A" w:rsidP="00977C46">
            <w:pPr>
              <w:jc w:val="center"/>
              <w:rPr>
                <w:rFonts w:asciiTheme="minorHAnsi" w:hAnsiTheme="minorHAnsi" w:cstheme="minorHAnsi"/>
                <w:color w:val="000000" w:themeColor="text1"/>
                <w:sz w:val="18"/>
                <w:szCs w:val="18"/>
                <w:highlight w:val="cyan"/>
              </w:rPr>
            </w:pPr>
            <w:r w:rsidRPr="00155527">
              <w:rPr>
                <w:rFonts w:asciiTheme="minorHAnsi" w:hAnsiTheme="minorHAnsi" w:cstheme="minorHAnsi"/>
                <w:color w:val="010205"/>
                <w:sz w:val="18"/>
                <w:szCs w:val="18"/>
              </w:rPr>
              <w:t>11</w:t>
            </w:r>
          </w:p>
        </w:tc>
        <w:tc>
          <w:tcPr>
            <w:tcW w:w="489" w:type="pct"/>
            <w:vAlign w:val="bottom"/>
          </w:tcPr>
          <w:p w14:paraId="33BED408" w14:textId="77777777" w:rsidR="0085268A" w:rsidRPr="00155527" w:rsidRDefault="0085268A" w:rsidP="00977C46">
            <w:pPr>
              <w:jc w:val="center"/>
              <w:rPr>
                <w:rFonts w:asciiTheme="minorHAnsi" w:hAnsiTheme="minorHAnsi" w:cstheme="minorHAnsi"/>
                <w:color w:val="000000" w:themeColor="text1"/>
                <w:sz w:val="18"/>
                <w:szCs w:val="18"/>
                <w:highlight w:val="cyan"/>
              </w:rPr>
            </w:pPr>
            <w:r w:rsidRPr="00155527">
              <w:rPr>
                <w:rFonts w:asciiTheme="minorHAnsi" w:hAnsiTheme="minorHAnsi" w:cstheme="minorHAnsi"/>
                <w:color w:val="010205"/>
                <w:sz w:val="18"/>
                <w:szCs w:val="18"/>
              </w:rPr>
              <w:t>32.4</w:t>
            </w:r>
          </w:p>
        </w:tc>
      </w:tr>
      <w:tr w:rsidR="0085268A" w14:paraId="458FB5BC" w14:textId="77777777" w:rsidTr="009A2C7B">
        <w:tc>
          <w:tcPr>
            <w:tcW w:w="3856" w:type="pct"/>
            <w:vAlign w:val="bottom"/>
          </w:tcPr>
          <w:p w14:paraId="3039D10A" w14:textId="77777777" w:rsidR="0085268A" w:rsidRPr="0046451E" w:rsidRDefault="0085268A" w:rsidP="00977C46">
            <w:pPr>
              <w:ind w:left="170" w:firstLine="73"/>
              <w:rPr>
                <w:color w:val="000000" w:themeColor="text1"/>
                <w:sz w:val="18"/>
                <w:szCs w:val="18"/>
                <w:vertAlign w:val="superscript"/>
              </w:rPr>
            </w:pPr>
            <w:proofErr w:type="spellStart"/>
            <w:r w:rsidRPr="00155527">
              <w:rPr>
                <w:rFonts w:asciiTheme="minorHAnsi" w:hAnsiTheme="minorHAnsi"/>
                <w:color w:val="000000" w:themeColor="text1"/>
                <w:sz w:val="18"/>
                <w:szCs w:val="18"/>
              </w:rPr>
              <w:t>Other</w:t>
            </w:r>
            <w:r>
              <w:rPr>
                <w:rFonts w:asciiTheme="minorHAnsi" w:hAnsiTheme="minorHAnsi"/>
                <w:color w:val="000000" w:themeColor="text1"/>
                <w:sz w:val="18"/>
                <w:szCs w:val="18"/>
                <w:vertAlign w:val="superscript"/>
              </w:rPr>
              <w:t>b</w:t>
            </w:r>
            <w:proofErr w:type="spellEnd"/>
          </w:p>
        </w:tc>
        <w:tc>
          <w:tcPr>
            <w:tcW w:w="655" w:type="pct"/>
            <w:vAlign w:val="bottom"/>
          </w:tcPr>
          <w:p w14:paraId="35154067" w14:textId="77777777" w:rsidR="0085268A" w:rsidRPr="00155527" w:rsidRDefault="0085268A" w:rsidP="00977C46">
            <w:pPr>
              <w:jc w:val="center"/>
              <w:rPr>
                <w:rFonts w:asciiTheme="minorHAnsi" w:hAnsiTheme="minorHAnsi" w:cstheme="minorHAnsi"/>
                <w:color w:val="000000" w:themeColor="text1"/>
                <w:sz w:val="18"/>
                <w:szCs w:val="18"/>
                <w:highlight w:val="cyan"/>
              </w:rPr>
            </w:pPr>
            <w:r w:rsidRPr="00155527">
              <w:rPr>
                <w:rFonts w:asciiTheme="minorHAnsi" w:hAnsiTheme="minorHAnsi" w:cstheme="minorHAnsi"/>
                <w:color w:val="010205"/>
                <w:sz w:val="18"/>
                <w:szCs w:val="18"/>
              </w:rPr>
              <w:t>19</w:t>
            </w:r>
          </w:p>
        </w:tc>
        <w:tc>
          <w:tcPr>
            <w:tcW w:w="489" w:type="pct"/>
            <w:vAlign w:val="bottom"/>
          </w:tcPr>
          <w:p w14:paraId="0B548C1C" w14:textId="77777777" w:rsidR="0085268A" w:rsidRPr="00155527" w:rsidRDefault="0085268A" w:rsidP="00977C46">
            <w:pPr>
              <w:jc w:val="center"/>
              <w:rPr>
                <w:rFonts w:asciiTheme="minorHAnsi" w:hAnsiTheme="minorHAnsi" w:cstheme="minorHAnsi"/>
                <w:color w:val="000000" w:themeColor="text1"/>
                <w:sz w:val="18"/>
                <w:szCs w:val="18"/>
                <w:highlight w:val="cyan"/>
              </w:rPr>
            </w:pPr>
            <w:r w:rsidRPr="00155527">
              <w:rPr>
                <w:rFonts w:asciiTheme="minorHAnsi" w:hAnsiTheme="minorHAnsi" w:cstheme="minorHAnsi"/>
                <w:color w:val="010205"/>
                <w:sz w:val="18"/>
                <w:szCs w:val="18"/>
              </w:rPr>
              <w:t>55.9</w:t>
            </w:r>
          </w:p>
        </w:tc>
      </w:tr>
    </w:tbl>
    <w:p w14:paraId="4BBE1893" w14:textId="66B8376E" w:rsidR="00E22220" w:rsidRPr="009A2C7B" w:rsidRDefault="00E22220" w:rsidP="009A2C7B">
      <w:pPr>
        <w:rPr>
          <w:rFonts w:asciiTheme="minorHAnsi" w:hAnsiTheme="minorHAnsi" w:cstheme="minorHAnsi"/>
          <w:sz w:val="16"/>
          <w:szCs w:val="16"/>
        </w:rPr>
      </w:pPr>
      <w:r w:rsidRPr="009A2C7B">
        <w:rPr>
          <w:rFonts w:asciiTheme="minorHAnsi" w:hAnsiTheme="minorHAnsi" w:cstheme="minorHAnsi"/>
          <w:sz w:val="16"/>
          <w:szCs w:val="16"/>
        </w:rPr>
        <w:t xml:space="preserve">CALD, culturally and linguistically diverse; LBTQIA+, </w:t>
      </w:r>
      <w:r w:rsidR="00DF7BE3" w:rsidRPr="009A2C7B">
        <w:rPr>
          <w:rFonts w:asciiTheme="minorHAnsi" w:hAnsiTheme="minorHAnsi" w:cstheme="minorHAnsi"/>
          <w:sz w:val="16"/>
          <w:szCs w:val="16"/>
        </w:rPr>
        <w:t>lesbian, gay, bisexual, transgender, queer, intersex, and asexual.</w:t>
      </w:r>
    </w:p>
    <w:p w14:paraId="353BC38A" w14:textId="5433367C" w:rsidR="0085268A" w:rsidRDefault="0085268A" w:rsidP="009A2C7B">
      <w:pPr>
        <w:rPr>
          <w:rFonts w:asciiTheme="minorHAnsi" w:hAnsiTheme="minorHAnsi" w:cstheme="minorHAnsi"/>
          <w:sz w:val="16"/>
          <w:szCs w:val="16"/>
        </w:rPr>
      </w:pPr>
      <w:proofErr w:type="spellStart"/>
      <w:r w:rsidRPr="009A2C7B">
        <w:rPr>
          <w:rFonts w:asciiTheme="minorHAnsi" w:hAnsiTheme="minorHAnsi" w:cstheme="minorHAnsi"/>
          <w:sz w:val="16"/>
          <w:szCs w:val="16"/>
        </w:rPr>
        <w:t>aMultiple</w:t>
      </w:r>
      <w:proofErr w:type="spellEnd"/>
      <w:r w:rsidRPr="009A2C7B">
        <w:rPr>
          <w:rFonts w:asciiTheme="minorHAnsi" w:hAnsiTheme="minorHAnsi" w:cstheme="minorHAnsi"/>
          <w:sz w:val="16"/>
          <w:szCs w:val="16"/>
        </w:rPr>
        <w:t xml:space="preserve"> responses permitted.</w:t>
      </w:r>
    </w:p>
    <w:p w14:paraId="50C96198" w14:textId="0013803B" w:rsidR="0085268A" w:rsidRPr="0046451E" w:rsidRDefault="0085268A" w:rsidP="009A2C7B">
      <w:pPr>
        <w:rPr>
          <w:rFonts w:asciiTheme="minorHAnsi" w:hAnsiTheme="minorHAnsi" w:cstheme="minorHAnsi"/>
          <w:sz w:val="16"/>
          <w:szCs w:val="16"/>
        </w:rPr>
      </w:pPr>
      <w:r w:rsidRPr="009A2C7B">
        <w:rPr>
          <w:rFonts w:asciiTheme="minorHAnsi" w:hAnsiTheme="minorHAnsi" w:cstheme="minorHAnsi"/>
          <w:sz w:val="16"/>
          <w:szCs w:val="16"/>
        </w:rPr>
        <w:t xml:space="preserve">b </w:t>
      </w:r>
      <w:r>
        <w:rPr>
          <w:rFonts w:asciiTheme="minorHAnsi" w:hAnsiTheme="minorHAnsi" w:cstheme="minorHAnsi"/>
          <w:sz w:val="16"/>
          <w:szCs w:val="16"/>
        </w:rPr>
        <w:t xml:space="preserve">Includes parents, older adults, children, people with a disability, neurological diverse </w:t>
      </w:r>
      <w:proofErr w:type="gramStart"/>
      <w:r>
        <w:rPr>
          <w:rFonts w:asciiTheme="minorHAnsi" w:hAnsiTheme="minorHAnsi" w:cstheme="minorHAnsi"/>
          <w:sz w:val="16"/>
          <w:szCs w:val="16"/>
        </w:rPr>
        <w:t>individuals</w:t>
      </w:r>
      <w:proofErr w:type="gramEnd"/>
      <w:r>
        <w:rPr>
          <w:rFonts w:asciiTheme="minorHAnsi" w:hAnsiTheme="minorHAnsi" w:cstheme="minorHAnsi"/>
          <w:sz w:val="16"/>
          <w:szCs w:val="16"/>
        </w:rPr>
        <w:t xml:space="preserve"> and people with chronic pain.</w:t>
      </w:r>
    </w:p>
    <w:p w14:paraId="1BF8A192" w14:textId="77777777" w:rsidR="000161B5" w:rsidRDefault="000161B5">
      <w:pPr>
        <w:spacing w:after="200"/>
        <w:rPr>
          <w:rFonts w:ascii="Calibri" w:hAnsi="Calibri" w:cs="Arial"/>
          <w:color w:val="000000" w:themeColor="text1"/>
          <w:sz w:val="21"/>
          <w:szCs w:val="21"/>
        </w:rPr>
      </w:pPr>
      <w:r>
        <w:br w:type="page"/>
      </w:r>
    </w:p>
    <w:p w14:paraId="58B1E39A" w14:textId="2091FF37" w:rsidR="0085268A" w:rsidRPr="009F4E90" w:rsidRDefault="0085268A" w:rsidP="005C6BAA">
      <w:pPr>
        <w:pStyle w:val="ANorm"/>
        <w:spacing w:before="200" w:after="240"/>
      </w:pPr>
      <w:r w:rsidRPr="009F4E90">
        <w:lastRenderedPageBreak/>
        <w:t>Seventy-eight respondents commented on barriers to the use of DMHSs, with two</w:t>
      </w:r>
      <w:r>
        <w:t>-</w:t>
      </w:r>
      <w:r w:rsidRPr="009F4E90">
        <w:t>thirds of these respondents identifying technology access and connectivity issues as barriers. Other barriers that were mentioned were: problems with rapport building and a preference for face-to-face service delivery (client or provider) (37.2%), access, cost of services, demographic characteristics impeding use (e.g., age and language) and concerns about privacy and safety.</w:t>
      </w:r>
    </w:p>
    <w:p w14:paraId="3B756D8D" w14:textId="77777777" w:rsidR="0085268A" w:rsidRPr="009F4E90" w:rsidRDefault="0085268A" w:rsidP="005C6BAA">
      <w:pPr>
        <w:pStyle w:val="ANorm"/>
        <w:spacing w:after="240"/>
      </w:pPr>
      <w:r w:rsidRPr="009F4E90">
        <w:t>Seventy</w:t>
      </w:r>
      <w:r>
        <w:t>-</w:t>
      </w:r>
      <w:r w:rsidRPr="009F4E90">
        <w:t xml:space="preserve">one respondents mentioned changes that were needed to improve use of DMHSs. The </w:t>
      </w:r>
      <w:proofErr w:type="gramStart"/>
      <w:r w:rsidRPr="009F4E90">
        <w:t>most commonly identified</w:t>
      </w:r>
      <w:proofErr w:type="gramEnd"/>
      <w:r w:rsidRPr="009F4E90">
        <w:t xml:space="preserve"> change was access to technology to use DMHS</w:t>
      </w:r>
      <w:r>
        <w:t>s</w:t>
      </w:r>
      <w:r w:rsidRPr="009F4E90">
        <w:t xml:space="preserve"> with respondents suggesting provision of smart devices or access to a public computer </w:t>
      </w:r>
      <w:r>
        <w:t>a</w:t>
      </w:r>
      <w:r w:rsidRPr="009F4E90">
        <w:t>re required. Respondents also identified provider and consumer training and education about services (17%)</w:t>
      </w:r>
      <w:r>
        <w:t xml:space="preserve"> for example, more promotion and advertising to increase awareness and normalise service use. Changes to </w:t>
      </w:r>
      <w:r w:rsidRPr="009F4E90">
        <w:t xml:space="preserve">course content </w:t>
      </w:r>
      <w:r>
        <w:t xml:space="preserve">were also viewed </w:t>
      </w:r>
      <w:r w:rsidRPr="009F4E90">
        <w:t>as requiring change</w:t>
      </w:r>
      <w:r>
        <w:t xml:space="preserve"> </w:t>
      </w:r>
      <w:r w:rsidRPr="009F4E90">
        <w:t>(14 % of respondents)</w:t>
      </w:r>
      <w:r>
        <w:t>, for example, to make it more user friendly, flexible and include more therapeutic options</w:t>
      </w:r>
      <w:r w:rsidRPr="009F4E90">
        <w:t>.</w:t>
      </w:r>
    </w:p>
    <w:p w14:paraId="22F89590" w14:textId="741DFDF6" w:rsidR="0085268A" w:rsidRPr="009F4E90" w:rsidRDefault="0085268A" w:rsidP="005C6BAA">
      <w:pPr>
        <w:pStyle w:val="ANorm"/>
        <w:spacing w:after="240"/>
      </w:pPr>
      <w:r w:rsidRPr="009F4E90">
        <w:t>Sixty-five respondents provided suggestions for how DMHSs could be better integrated within the mental health system. Twenty-nine percent of these respondents cited better education and awareness of DMHSs for both providers and consumers of mental health care as beneficial for integration. Respondents also mentioned needing to better link DMHSs with health care, for example with face-to-face mental health care or with care provided by a GP or other medical specialist. Additional comments about DMHSs were provided by 32 respondents, 25% (n=8) of whom described how they found DMHSs effective or useful and 22% mentioning provider preference for face-to-face service provision and changes required to DMHS content</w:t>
      </w:r>
      <w:r w:rsidR="00707CF4">
        <w:t>,</w:t>
      </w:r>
      <w:r>
        <w:t xml:space="preserve"> for example</w:t>
      </w:r>
      <w:r w:rsidR="00707CF4">
        <w:t>,</w:t>
      </w:r>
      <w:r>
        <w:t xml:space="preserve"> to emphasis</w:t>
      </w:r>
      <w:r w:rsidR="00707CF4">
        <w:t>e</w:t>
      </w:r>
      <w:r>
        <w:t xml:space="preserve"> </w:t>
      </w:r>
      <w:r w:rsidR="003B38BB">
        <w:t>research-based</w:t>
      </w:r>
      <w:r>
        <w:t xml:space="preserve"> content and to increase flexibility of service (e.g., length of course)</w:t>
      </w:r>
      <w:r w:rsidRPr="009F4E90">
        <w:t>.</w:t>
      </w:r>
    </w:p>
    <w:p w14:paraId="358E78E6" w14:textId="648C3AE7" w:rsidR="0085268A" w:rsidRDefault="0085268A" w:rsidP="00D509F3">
      <w:pPr>
        <w:pStyle w:val="Heading2"/>
        <w:numPr>
          <w:ilvl w:val="1"/>
          <w:numId w:val="163"/>
        </w:numPr>
        <w:spacing w:after="240"/>
      </w:pPr>
      <w:bookmarkStart w:id="228" w:name="_Toc102131997"/>
      <w:bookmarkStart w:id="229" w:name="_Toc108784886"/>
      <w:r>
        <w:t>Experiences and views of professionals delivering DMHSs (n=55)</w:t>
      </w:r>
      <w:bookmarkEnd w:id="228"/>
      <w:bookmarkEnd w:id="229"/>
    </w:p>
    <w:p w14:paraId="35C0E340" w14:textId="3A4A729B" w:rsidR="0085268A" w:rsidRPr="00500097" w:rsidRDefault="0085268A" w:rsidP="0085268A">
      <w:pPr>
        <w:pStyle w:val="ANorm"/>
        <w:spacing w:after="240"/>
      </w:pPr>
      <w:r w:rsidRPr="00500097">
        <w:t>Over half of respondents indicated that they delivered DMHSs (58.5%</w:t>
      </w:r>
      <w:r>
        <w:t>,</w:t>
      </w:r>
      <w:r w:rsidRPr="00500097">
        <w:t xml:space="preserve"> n=55). When asked about how they supported users of DMHSs, 87.3% of respondents indicated they provided </w:t>
      </w:r>
      <w:proofErr w:type="gramStart"/>
      <w:r w:rsidRPr="00500097">
        <w:t>psycho-education</w:t>
      </w:r>
      <w:proofErr w:type="gramEnd"/>
      <w:r w:rsidRPr="00500097">
        <w:t xml:space="preserve">, 83.6% provided counselling and 78.2% provided mindfulness and relaxation interventions (see Table </w:t>
      </w:r>
      <w:r w:rsidR="009A1A4E" w:rsidRPr="009A1A4E">
        <w:t>42</w:t>
      </w:r>
      <w:r w:rsidRPr="009A1A4E">
        <w:t>)</w:t>
      </w:r>
      <w:r w:rsidRPr="00500097">
        <w:t>. Two</w:t>
      </w:r>
      <w:r>
        <w:t>-</w:t>
      </w:r>
      <w:r w:rsidRPr="00500097">
        <w:t>thirds of respondents indicated they provided cognitive behavioural therapy to support users of DMHSs and a further two</w:t>
      </w:r>
      <w:r>
        <w:t>-</w:t>
      </w:r>
      <w:r w:rsidRPr="00500097">
        <w:t>thirds conducted risk assessment</w:t>
      </w:r>
      <w:r>
        <w:t>s</w:t>
      </w:r>
      <w:r w:rsidRPr="00500097">
        <w:t>, with over half making referrals to other services and close to half providing carer support.</w:t>
      </w:r>
    </w:p>
    <w:p w14:paraId="43E322DD" w14:textId="77777777" w:rsidR="00977C46" w:rsidRDefault="00977C46" w:rsidP="00977C46">
      <w:pPr>
        <w:pStyle w:val="tableheading"/>
      </w:pPr>
      <w:r>
        <w:br w:type="page"/>
      </w:r>
    </w:p>
    <w:p w14:paraId="43DAE3F8" w14:textId="5612E123" w:rsidR="0085268A" w:rsidRPr="00977C46" w:rsidRDefault="0085268A" w:rsidP="00977C46">
      <w:pPr>
        <w:pStyle w:val="tableheading"/>
      </w:pPr>
      <w:r w:rsidRPr="00977C46">
        <w:lastRenderedPageBreak/>
        <w:t xml:space="preserve">Table </w:t>
      </w:r>
      <w:r w:rsidR="009A1A4E">
        <w:t>42</w:t>
      </w:r>
      <w:r w:rsidRPr="00977C46">
        <w:t xml:space="preserve">. Experience supporting users of DMHSs </w:t>
      </w:r>
    </w:p>
    <w:tbl>
      <w:tblPr>
        <w:tblStyle w:val="TableGrid"/>
        <w:tblW w:w="0" w:type="auto"/>
        <w:tblBorders>
          <w:insideH w:val="none" w:sz="0" w:space="0" w:color="auto"/>
          <w:insideV w:val="none" w:sz="0" w:space="0" w:color="auto"/>
        </w:tblBorders>
        <w:tblLook w:val="04A0" w:firstRow="1" w:lastRow="0" w:firstColumn="1" w:lastColumn="0" w:noHBand="0" w:noVBand="1"/>
        <w:tblCaption w:val="experience supporting users of DMHS"/>
        <w:tblDescription w:val="This table reports on the support provided to users of DMHS, the ease of the process of supporting users of DMHS and the difficulties associated with supporting users of DMHSs"/>
      </w:tblPr>
      <w:tblGrid>
        <w:gridCol w:w="4957"/>
        <w:gridCol w:w="1813"/>
        <w:gridCol w:w="2240"/>
      </w:tblGrid>
      <w:tr w:rsidR="0085268A" w:rsidRPr="00856F83" w14:paraId="633EC52E" w14:textId="77777777">
        <w:tc>
          <w:tcPr>
            <w:tcW w:w="4957" w:type="dxa"/>
            <w:shd w:val="clear" w:color="auto" w:fill="000000" w:themeFill="text1"/>
            <w:vAlign w:val="bottom"/>
          </w:tcPr>
          <w:p w14:paraId="3F687324" w14:textId="77777777" w:rsidR="0085268A" w:rsidRPr="00A24413" w:rsidRDefault="0085268A" w:rsidP="00977C46">
            <w:pPr>
              <w:rPr>
                <w:rFonts w:asciiTheme="minorHAnsi" w:hAnsiTheme="minorHAnsi" w:cstheme="minorHAnsi"/>
                <w:color w:val="FFFFFF" w:themeColor="background1"/>
                <w:sz w:val="18"/>
                <w:szCs w:val="18"/>
              </w:rPr>
            </w:pPr>
          </w:p>
        </w:tc>
        <w:tc>
          <w:tcPr>
            <w:tcW w:w="1813" w:type="dxa"/>
            <w:shd w:val="clear" w:color="auto" w:fill="000000" w:themeFill="text1"/>
          </w:tcPr>
          <w:p w14:paraId="251601F3" w14:textId="77777777" w:rsidR="0085268A" w:rsidRPr="00856F83" w:rsidRDefault="0085268A" w:rsidP="00977C46">
            <w:pPr>
              <w:jc w:val="center"/>
              <w:rPr>
                <w:rFonts w:asciiTheme="minorHAnsi" w:hAnsiTheme="minorHAnsi" w:cstheme="minorHAnsi"/>
                <w:color w:val="FFFFFF" w:themeColor="background1"/>
                <w:sz w:val="18"/>
                <w:szCs w:val="18"/>
              </w:rPr>
            </w:pPr>
            <w:r w:rsidRPr="00856F83">
              <w:rPr>
                <w:rFonts w:asciiTheme="minorHAnsi" w:hAnsiTheme="minorHAnsi" w:cstheme="minorHAnsi"/>
                <w:color w:val="FFFFFF" w:themeColor="background1"/>
                <w:sz w:val="18"/>
                <w:szCs w:val="18"/>
              </w:rPr>
              <w:t>Frequency</w:t>
            </w:r>
          </w:p>
        </w:tc>
        <w:tc>
          <w:tcPr>
            <w:tcW w:w="2240" w:type="dxa"/>
            <w:shd w:val="clear" w:color="auto" w:fill="000000" w:themeFill="text1"/>
          </w:tcPr>
          <w:p w14:paraId="585580E5" w14:textId="77777777" w:rsidR="0085268A" w:rsidRPr="00856F83" w:rsidRDefault="0085268A" w:rsidP="00977C46">
            <w:pPr>
              <w:jc w:val="center"/>
              <w:rPr>
                <w:rFonts w:asciiTheme="minorHAnsi" w:hAnsiTheme="minorHAnsi" w:cstheme="minorHAnsi"/>
                <w:color w:val="FFFFFF" w:themeColor="background1"/>
                <w:sz w:val="18"/>
                <w:szCs w:val="18"/>
              </w:rPr>
            </w:pPr>
            <w:r w:rsidRPr="00856F83">
              <w:rPr>
                <w:rFonts w:asciiTheme="minorHAnsi" w:hAnsiTheme="minorHAnsi" w:cstheme="minorHAnsi"/>
                <w:color w:val="FFFFFF" w:themeColor="background1"/>
                <w:sz w:val="18"/>
                <w:szCs w:val="18"/>
              </w:rPr>
              <w:t>%</w:t>
            </w:r>
          </w:p>
        </w:tc>
      </w:tr>
      <w:tr w:rsidR="0085268A" w:rsidRPr="00856F83" w14:paraId="0B9983C1" w14:textId="77777777">
        <w:tc>
          <w:tcPr>
            <w:tcW w:w="4957" w:type="dxa"/>
            <w:vAlign w:val="bottom"/>
          </w:tcPr>
          <w:p w14:paraId="7A1F5671" w14:textId="77777777" w:rsidR="0085268A" w:rsidRPr="00856F83" w:rsidRDefault="0085268A" w:rsidP="00977C46">
            <w:pPr>
              <w:rPr>
                <w:rFonts w:asciiTheme="minorHAnsi" w:hAnsiTheme="minorHAnsi" w:cstheme="minorHAnsi"/>
                <w:b/>
                <w:bCs/>
                <w:color w:val="000000" w:themeColor="text1"/>
                <w:sz w:val="18"/>
                <w:szCs w:val="18"/>
              </w:rPr>
            </w:pPr>
            <w:r w:rsidRPr="00856F83">
              <w:rPr>
                <w:rFonts w:asciiTheme="minorHAnsi" w:hAnsiTheme="minorHAnsi" w:cstheme="minorHAnsi"/>
                <w:b/>
                <w:bCs/>
                <w:color w:val="000000" w:themeColor="text1"/>
                <w:sz w:val="18"/>
                <w:szCs w:val="18"/>
              </w:rPr>
              <w:t>Support provided to users of DMHSs (n=</w:t>
            </w:r>
            <w:proofErr w:type="gramStart"/>
            <w:r w:rsidRPr="00856F83">
              <w:rPr>
                <w:rFonts w:asciiTheme="minorHAnsi" w:hAnsiTheme="minorHAnsi" w:cstheme="minorHAnsi"/>
                <w:b/>
                <w:bCs/>
                <w:color w:val="000000" w:themeColor="text1"/>
                <w:sz w:val="18"/>
                <w:szCs w:val="18"/>
              </w:rPr>
              <w:t>55)</w:t>
            </w:r>
            <w:r w:rsidRPr="00856F83">
              <w:rPr>
                <w:rFonts w:asciiTheme="minorHAnsi" w:hAnsiTheme="minorHAnsi" w:cstheme="minorHAnsi"/>
                <w:sz w:val="18"/>
                <w:szCs w:val="18"/>
                <w:vertAlign w:val="superscript"/>
              </w:rPr>
              <w:t>a</w:t>
            </w:r>
            <w:proofErr w:type="gramEnd"/>
          </w:p>
        </w:tc>
        <w:tc>
          <w:tcPr>
            <w:tcW w:w="1813" w:type="dxa"/>
          </w:tcPr>
          <w:p w14:paraId="1F441A00" w14:textId="77777777" w:rsidR="0085268A" w:rsidRPr="00856F83" w:rsidRDefault="0085268A" w:rsidP="00977C46">
            <w:pPr>
              <w:jc w:val="center"/>
              <w:rPr>
                <w:rFonts w:asciiTheme="minorHAnsi" w:hAnsiTheme="minorHAnsi" w:cstheme="minorHAnsi"/>
                <w:color w:val="000000" w:themeColor="text1"/>
                <w:sz w:val="18"/>
                <w:szCs w:val="18"/>
              </w:rPr>
            </w:pPr>
          </w:p>
        </w:tc>
        <w:tc>
          <w:tcPr>
            <w:tcW w:w="2240" w:type="dxa"/>
          </w:tcPr>
          <w:p w14:paraId="12A629AD" w14:textId="77777777" w:rsidR="0085268A" w:rsidRPr="00856F83" w:rsidRDefault="0085268A" w:rsidP="00977C46">
            <w:pPr>
              <w:jc w:val="center"/>
              <w:rPr>
                <w:rFonts w:asciiTheme="minorHAnsi" w:hAnsiTheme="minorHAnsi" w:cstheme="minorHAnsi"/>
                <w:color w:val="000000" w:themeColor="text1"/>
                <w:sz w:val="18"/>
                <w:szCs w:val="18"/>
              </w:rPr>
            </w:pPr>
          </w:p>
        </w:tc>
      </w:tr>
      <w:tr w:rsidR="0085268A" w:rsidRPr="00856F83" w14:paraId="6DFCE1B5" w14:textId="77777777">
        <w:tc>
          <w:tcPr>
            <w:tcW w:w="4957" w:type="dxa"/>
            <w:vAlign w:val="bottom"/>
          </w:tcPr>
          <w:p w14:paraId="1B60358B" w14:textId="77777777" w:rsidR="0085268A" w:rsidRPr="00856F83" w:rsidRDefault="0085268A" w:rsidP="00977C46">
            <w:pPr>
              <w:ind w:firstLine="243"/>
              <w:rPr>
                <w:rFonts w:asciiTheme="minorHAnsi" w:hAnsiTheme="minorHAnsi" w:cstheme="minorHAnsi"/>
                <w:color w:val="000000" w:themeColor="text1"/>
                <w:sz w:val="18"/>
                <w:szCs w:val="18"/>
              </w:rPr>
            </w:pPr>
            <w:r w:rsidRPr="00856F83">
              <w:rPr>
                <w:rFonts w:asciiTheme="minorHAnsi" w:hAnsiTheme="minorHAnsi" w:cstheme="minorHAnsi"/>
                <w:color w:val="000000" w:themeColor="text1"/>
                <w:sz w:val="18"/>
                <w:szCs w:val="18"/>
              </w:rPr>
              <w:t>I provide counselling</w:t>
            </w:r>
          </w:p>
        </w:tc>
        <w:tc>
          <w:tcPr>
            <w:tcW w:w="1813" w:type="dxa"/>
            <w:vAlign w:val="bottom"/>
          </w:tcPr>
          <w:p w14:paraId="54F2D256"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46</w:t>
            </w:r>
          </w:p>
        </w:tc>
        <w:tc>
          <w:tcPr>
            <w:tcW w:w="2240" w:type="dxa"/>
            <w:vAlign w:val="bottom"/>
          </w:tcPr>
          <w:p w14:paraId="027C19F8"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83.6</w:t>
            </w:r>
          </w:p>
        </w:tc>
      </w:tr>
      <w:tr w:rsidR="0085268A" w:rsidRPr="00856F83" w14:paraId="67C2C84D" w14:textId="77777777">
        <w:tc>
          <w:tcPr>
            <w:tcW w:w="4957" w:type="dxa"/>
            <w:vAlign w:val="bottom"/>
          </w:tcPr>
          <w:p w14:paraId="196BD9D0" w14:textId="77777777" w:rsidR="0085268A" w:rsidRPr="00856F83" w:rsidRDefault="0085268A" w:rsidP="00977C46">
            <w:pPr>
              <w:ind w:firstLine="243"/>
              <w:rPr>
                <w:rFonts w:asciiTheme="minorHAnsi" w:hAnsiTheme="minorHAnsi" w:cstheme="minorHAnsi"/>
                <w:color w:val="000000" w:themeColor="text1"/>
                <w:sz w:val="18"/>
                <w:szCs w:val="18"/>
              </w:rPr>
            </w:pPr>
            <w:r w:rsidRPr="00856F83">
              <w:rPr>
                <w:rFonts w:asciiTheme="minorHAnsi" w:hAnsiTheme="minorHAnsi" w:cstheme="minorHAnsi"/>
                <w:color w:val="000000" w:themeColor="text1"/>
                <w:sz w:val="18"/>
                <w:szCs w:val="18"/>
              </w:rPr>
              <w:t>I reinforce strategies learnt through the online modules</w:t>
            </w:r>
          </w:p>
        </w:tc>
        <w:tc>
          <w:tcPr>
            <w:tcW w:w="1813" w:type="dxa"/>
            <w:vAlign w:val="bottom"/>
          </w:tcPr>
          <w:p w14:paraId="598FD11C"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18</w:t>
            </w:r>
          </w:p>
        </w:tc>
        <w:tc>
          <w:tcPr>
            <w:tcW w:w="2240" w:type="dxa"/>
            <w:vAlign w:val="bottom"/>
          </w:tcPr>
          <w:p w14:paraId="7D56031F"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32.7</w:t>
            </w:r>
          </w:p>
        </w:tc>
      </w:tr>
      <w:tr w:rsidR="0085268A" w:rsidRPr="00856F83" w14:paraId="3D15495B" w14:textId="77777777">
        <w:tc>
          <w:tcPr>
            <w:tcW w:w="4957" w:type="dxa"/>
            <w:vAlign w:val="bottom"/>
          </w:tcPr>
          <w:p w14:paraId="368B1E8B" w14:textId="77777777" w:rsidR="0085268A" w:rsidRPr="00856F83" w:rsidRDefault="0085268A" w:rsidP="00977C46">
            <w:pPr>
              <w:ind w:firstLine="243"/>
              <w:rPr>
                <w:rFonts w:asciiTheme="minorHAnsi" w:hAnsiTheme="minorHAnsi" w:cstheme="minorHAnsi"/>
                <w:color w:val="000000" w:themeColor="text1"/>
                <w:sz w:val="18"/>
                <w:szCs w:val="18"/>
              </w:rPr>
            </w:pPr>
            <w:r w:rsidRPr="00856F83">
              <w:rPr>
                <w:rFonts w:asciiTheme="minorHAnsi" w:hAnsiTheme="minorHAnsi" w:cstheme="minorHAnsi"/>
                <w:color w:val="000000" w:themeColor="text1"/>
                <w:sz w:val="18"/>
                <w:szCs w:val="18"/>
              </w:rPr>
              <w:t xml:space="preserve">I provide </w:t>
            </w:r>
            <w:proofErr w:type="gramStart"/>
            <w:r w:rsidRPr="00856F83">
              <w:rPr>
                <w:rFonts w:asciiTheme="minorHAnsi" w:hAnsiTheme="minorHAnsi" w:cstheme="minorHAnsi"/>
                <w:color w:val="000000" w:themeColor="text1"/>
                <w:sz w:val="18"/>
                <w:szCs w:val="18"/>
              </w:rPr>
              <w:t>psycho-education</w:t>
            </w:r>
            <w:proofErr w:type="gramEnd"/>
          </w:p>
        </w:tc>
        <w:tc>
          <w:tcPr>
            <w:tcW w:w="1813" w:type="dxa"/>
            <w:vAlign w:val="bottom"/>
          </w:tcPr>
          <w:p w14:paraId="121F9BE8"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48</w:t>
            </w:r>
          </w:p>
        </w:tc>
        <w:tc>
          <w:tcPr>
            <w:tcW w:w="2240" w:type="dxa"/>
            <w:vAlign w:val="bottom"/>
          </w:tcPr>
          <w:p w14:paraId="61ACCBDA"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87.3</w:t>
            </w:r>
          </w:p>
        </w:tc>
      </w:tr>
      <w:tr w:rsidR="0085268A" w:rsidRPr="00856F83" w14:paraId="414C343F" w14:textId="77777777">
        <w:tc>
          <w:tcPr>
            <w:tcW w:w="4957" w:type="dxa"/>
            <w:vAlign w:val="bottom"/>
          </w:tcPr>
          <w:p w14:paraId="74ABF5C2" w14:textId="77777777" w:rsidR="0085268A" w:rsidRPr="00856F83" w:rsidRDefault="0085268A" w:rsidP="00977C46">
            <w:pPr>
              <w:ind w:firstLine="243"/>
              <w:rPr>
                <w:rFonts w:asciiTheme="minorHAnsi" w:hAnsiTheme="minorHAnsi" w:cstheme="minorHAnsi"/>
                <w:color w:val="000000" w:themeColor="text1"/>
                <w:sz w:val="18"/>
                <w:szCs w:val="18"/>
              </w:rPr>
            </w:pPr>
            <w:r w:rsidRPr="00856F83">
              <w:rPr>
                <w:rFonts w:asciiTheme="minorHAnsi" w:hAnsiTheme="minorHAnsi" w:cstheme="minorHAnsi"/>
                <w:color w:val="000000" w:themeColor="text1"/>
                <w:sz w:val="18"/>
                <w:szCs w:val="18"/>
              </w:rPr>
              <w:t>I provide cognitive behavioural therapy</w:t>
            </w:r>
          </w:p>
        </w:tc>
        <w:tc>
          <w:tcPr>
            <w:tcW w:w="1813" w:type="dxa"/>
            <w:vAlign w:val="bottom"/>
          </w:tcPr>
          <w:p w14:paraId="03FFFB2E"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37</w:t>
            </w:r>
          </w:p>
        </w:tc>
        <w:tc>
          <w:tcPr>
            <w:tcW w:w="2240" w:type="dxa"/>
            <w:vAlign w:val="bottom"/>
          </w:tcPr>
          <w:p w14:paraId="0E53D62D"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67.3</w:t>
            </w:r>
          </w:p>
        </w:tc>
      </w:tr>
      <w:tr w:rsidR="0085268A" w:rsidRPr="00856F83" w14:paraId="49B6E1BB" w14:textId="77777777">
        <w:tc>
          <w:tcPr>
            <w:tcW w:w="4957" w:type="dxa"/>
            <w:vAlign w:val="bottom"/>
          </w:tcPr>
          <w:p w14:paraId="237D1BB2" w14:textId="77777777" w:rsidR="0085268A" w:rsidRPr="00856F83" w:rsidRDefault="0085268A" w:rsidP="00977C46">
            <w:pPr>
              <w:ind w:firstLine="243"/>
              <w:rPr>
                <w:rFonts w:asciiTheme="minorHAnsi" w:hAnsiTheme="minorHAnsi" w:cstheme="minorHAnsi"/>
                <w:color w:val="000000" w:themeColor="text1"/>
                <w:sz w:val="18"/>
                <w:szCs w:val="18"/>
              </w:rPr>
            </w:pPr>
            <w:r w:rsidRPr="00856F83">
              <w:rPr>
                <w:rFonts w:asciiTheme="minorHAnsi" w:hAnsiTheme="minorHAnsi" w:cstheme="minorHAnsi"/>
                <w:color w:val="000000" w:themeColor="text1"/>
                <w:sz w:val="18"/>
                <w:szCs w:val="18"/>
              </w:rPr>
              <w:t>I provide mindfulness and relaxation interventions</w:t>
            </w:r>
          </w:p>
        </w:tc>
        <w:tc>
          <w:tcPr>
            <w:tcW w:w="1813" w:type="dxa"/>
            <w:vAlign w:val="bottom"/>
          </w:tcPr>
          <w:p w14:paraId="119C4818"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43</w:t>
            </w:r>
          </w:p>
        </w:tc>
        <w:tc>
          <w:tcPr>
            <w:tcW w:w="2240" w:type="dxa"/>
            <w:vAlign w:val="bottom"/>
          </w:tcPr>
          <w:p w14:paraId="33867EAF"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78.2</w:t>
            </w:r>
          </w:p>
        </w:tc>
      </w:tr>
      <w:tr w:rsidR="0085268A" w:rsidRPr="00856F83" w14:paraId="1212D633" w14:textId="77777777">
        <w:tc>
          <w:tcPr>
            <w:tcW w:w="4957" w:type="dxa"/>
            <w:vAlign w:val="bottom"/>
          </w:tcPr>
          <w:p w14:paraId="07FE9AD4" w14:textId="77777777" w:rsidR="0085268A" w:rsidRPr="00856F83" w:rsidRDefault="0085268A" w:rsidP="00977C46">
            <w:pPr>
              <w:ind w:firstLine="243"/>
              <w:rPr>
                <w:rFonts w:asciiTheme="minorHAnsi" w:hAnsiTheme="minorHAnsi" w:cstheme="minorHAnsi"/>
                <w:color w:val="000000" w:themeColor="text1"/>
                <w:sz w:val="18"/>
                <w:szCs w:val="18"/>
              </w:rPr>
            </w:pPr>
            <w:r w:rsidRPr="00856F83">
              <w:rPr>
                <w:rFonts w:asciiTheme="minorHAnsi" w:hAnsiTheme="minorHAnsi" w:cstheme="minorHAnsi"/>
                <w:color w:val="000000" w:themeColor="text1"/>
                <w:sz w:val="18"/>
                <w:szCs w:val="18"/>
              </w:rPr>
              <w:t>I provide carer supports</w:t>
            </w:r>
          </w:p>
        </w:tc>
        <w:tc>
          <w:tcPr>
            <w:tcW w:w="1813" w:type="dxa"/>
            <w:vAlign w:val="bottom"/>
          </w:tcPr>
          <w:p w14:paraId="4D866CF7"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27</w:t>
            </w:r>
          </w:p>
        </w:tc>
        <w:tc>
          <w:tcPr>
            <w:tcW w:w="2240" w:type="dxa"/>
            <w:vAlign w:val="bottom"/>
          </w:tcPr>
          <w:p w14:paraId="390F112E"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49.1</w:t>
            </w:r>
          </w:p>
        </w:tc>
      </w:tr>
      <w:tr w:rsidR="0085268A" w:rsidRPr="00856F83" w14:paraId="0D9C93A7" w14:textId="77777777">
        <w:tc>
          <w:tcPr>
            <w:tcW w:w="4957" w:type="dxa"/>
            <w:vAlign w:val="bottom"/>
          </w:tcPr>
          <w:p w14:paraId="77B016C0" w14:textId="77777777" w:rsidR="0085268A" w:rsidRPr="00856F83" w:rsidRDefault="0085268A" w:rsidP="00977C46">
            <w:pPr>
              <w:ind w:firstLine="243"/>
              <w:rPr>
                <w:rFonts w:asciiTheme="minorHAnsi" w:hAnsiTheme="minorHAnsi" w:cstheme="minorHAnsi"/>
                <w:color w:val="000000" w:themeColor="text1"/>
                <w:sz w:val="18"/>
                <w:szCs w:val="18"/>
              </w:rPr>
            </w:pPr>
            <w:r w:rsidRPr="00856F83">
              <w:rPr>
                <w:rFonts w:asciiTheme="minorHAnsi" w:hAnsiTheme="minorHAnsi" w:cstheme="minorHAnsi"/>
                <w:color w:val="000000" w:themeColor="text1"/>
                <w:sz w:val="18"/>
                <w:szCs w:val="18"/>
              </w:rPr>
              <w:t>I conduct risk assessments</w:t>
            </w:r>
          </w:p>
        </w:tc>
        <w:tc>
          <w:tcPr>
            <w:tcW w:w="1813" w:type="dxa"/>
            <w:vAlign w:val="bottom"/>
          </w:tcPr>
          <w:p w14:paraId="3965B4BE"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37</w:t>
            </w:r>
          </w:p>
        </w:tc>
        <w:tc>
          <w:tcPr>
            <w:tcW w:w="2240" w:type="dxa"/>
            <w:vAlign w:val="bottom"/>
          </w:tcPr>
          <w:p w14:paraId="0DD3B392"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67.3</w:t>
            </w:r>
          </w:p>
        </w:tc>
      </w:tr>
      <w:tr w:rsidR="0085268A" w:rsidRPr="00856F83" w14:paraId="1A490BB9" w14:textId="77777777">
        <w:tc>
          <w:tcPr>
            <w:tcW w:w="4957" w:type="dxa"/>
            <w:vAlign w:val="bottom"/>
          </w:tcPr>
          <w:p w14:paraId="4AD91634" w14:textId="77777777" w:rsidR="0085268A" w:rsidRPr="00856F83" w:rsidRDefault="0085268A" w:rsidP="00977C46">
            <w:pPr>
              <w:ind w:firstLine="243"/>
              <w:rPr>
                <w:rFonts w:asciiTheme="minorHAnsi" w:hAnsiTheme="minorHAnsi" w:cstheme="minorHAnsi"/>
                <w:color w:val="000000" w:themeColor="text1"/>
                <w:sz w:val="18"/>
                <w:szCs w:val="18"/>
              </w:rPr>
            </w:pPr>
            <w:r w:rsidRPr="00856F83">
              <w:rPr>
                <w:rFonts w:asciiTheme="minorHAnsi" w:hAnsiTheme="minorHAnsi" w:cstheme="minorHAnsi"/>
                <w:color w:val="000000" w:themeColor="text1"/>
                <w:sz w:val="18"/>
                <w:szCs w:val="18"/>
              </w:rPr>
              <w:t>I make referrals to other services</w:t>
            </w:r>
          </w:p>
        </w:tc>
        <w:tc>
          <w:tcPr>
            <w:tcW w:w="1813" w:type="dxa"/>
            <w:vAlign w:val="bottom"/>
          </w:tcPr>
          <w:p w14:paraId="0535AD00"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31</w:t>
            </w:r>
          </w:p>
        </w:tc>
        <w:tc>
          <w:tcPr>
            <w:tcW w:w="2240" w:type="dxa"/>
            <w:vAlign w:val="bottom"/>
          </w:tcPr>
          <w:p w14:paraId="773A7FE2"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56.4</w:t>
            </w:r>
          </w:p>
        </w:tc>
      </w:tr>
      <w:tr w:rsidR="0085268A" w:rsidRPr="00856F83" w14:paraId="362811D1" w14:textId="77777777" w:rsidTr="00FD7E7A">
        <w:tc>
          <w:tcPr>
            <w:tcW w:w="4957" w:type="dxa"/>
            <w:tcBorders>
              <w:bottom w:val="single" w:sz="4" w:space="0" w:color="auto"/>
            </w:tcBorders>
            <w:vAlign w:val="bottom"/>
          </w:tcPr>
          <w:p w14:paraId="7F536D2E" w14:textId="77777777" w:rsidR="0085268A" w:rsidRPr="00856F83" w:rsidRDefault="0085268A" w:rsidP="00977C46">
            <w:pPr>
              <w:ind w:firstLine="243"/>
              <w:rPr>
                <w:rFonts w:asciiTheme="minorHAnsi" w:hAnsiTheme="minorHAnsi" w:cstheme="minorHAnsi"/>
                <w:color w:val="000000" w:themeColor="text1"/>
                <w:sz w:val="18"/>
                <w:szCs w:val="18"/>
                <w:vertAlign w:val="superscript"/>
              </w:rPr>
            </w:pPr>
            <w:proofErr w:type="spellStart"/>
            <w:r w:rsidRPr="00856F83">
              <w:rPr>
                <w:rFonts w:asciiTheme="minorHAnsi" w:hAnsiTheme="minorHAnsi" w:cstheme="minorHAnsi"/>
                <w:color w:val="000000" w:themeColor="text1"/>
                <w:sz w:val="18"/>
                <w:szCs w:val="18"/>
              </w:rPr>
              <w:t>Other</w:t>
            </w:r>
            <w:r w:rsidRPr="00856F83">
              <w:rPr>
                <w:rFonts w:asciiTheme="minorHAnsi" w:hAnsiTheme="minorHAnsi" w:cstheme="minorHAnsi"/>
                <w:color w:val="000000" w:themeColor="text1"/>
                <w:sz w:val="18"/>
                <w:szCs w:val="18"/>
                <w:vertAlign w:val="superscript"/>
              </w:rPr>
              <w:t>b</w:t>
            </w:r>
            <w:proofErr w:type="spellEnd"/>
          </w:p>
        </w:tc>
        <w:tc>
          <w:tcPr>
            <w:tcW w:w="1813" w:type="dxa"/>
            <w:tcBorders>
              <w:bottom w:val="single" w:sz="4" w:space="0" w:color="auto"/>
            </w:tcBorders>
            <w:vAlign w:val="bottom"/>
          </w:tcPr>
          <w:p w14:paraId="3E9067A9"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11</w:t>
            </w:r>
          </w:p>
        </w:tc>
        <w:tc>
          <w:tcPr>
            <w:tcW w:w="2240" w:type="dxa"/>
            <w:tcBorders>
              <w:bottom w:val="single" w:sz="4" w:space="0" w:color="auto"/>
            </w:tcBorders>
            <w:vAlign w:val="bottom"/>
          </w:tcPr>
          <w:p w14:paraId="44E5923D"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20.0</w:t>
            </w:r>
          </w:p>
        </w:tc>
      </w:tr>
      <w:tr w:rsidR="0085268A" w:rsidRPr="00856F83" w14:paraId="56890C09" w14:textId="77777777" w:rsidTr="00FD7E7A">
        <w:tc>
          <w:tcPr>
            <w:tcW w:w="4957" w:type="dxa"/>
            <w:tcBorders>
              <w:top w:val="single" w:sz="4" w:space="0" w:color="auto"/>
              <w:bottom w:val="nil"/>
            </w:tcBorders>
            <w:vAlign w:val="bottom"/>
          </w:tcPr>
          <w:p w14:paraId="3A4048BB" w14:textId="77777777" w:rsidR="0085268A" w:rsidRPr="00856F83" w:rsidRDefault="0085268A" w:rsidP="00977C46">
            <w:pPr>
              <w:rPr>
                <w:rFonts w:asciiTheme="minorHAnsi" w:hAnsiTheme="minorHAnsi" w:cstheme="minorHAnsi"/>
                <w:b/>
                <w:bCs/>
                <w:color w:val="000000" w:themeColor="text1"/>
                <w:sz w:val="18"/>
                <w:szCs w:val="18"/>
              </w:rPr>
            </w:pPr>
            <w:r w:rsidRPr="00856F83">
              <w:rPr>
                <w:rFonts w:asciiTheme="minorHAnsi" w:hAnsiTheme="minorHAnsi" w:cstheme="minorHAnsi"/>
                <w:b/>
                <w:bCs/>
                <w:color w:val="000000" w:themeColor="text1"/>
                <w:sz w:val="18"/>
                <w:szCs w:val="18"/>
              </w:rPr>
              <w:t>Ease of process of supporting DMHS users (n=55)</w:t>
            </w:r>
          </w:p>
        </w:tc>
        <w:tc>
          <w:tcPr>
            <w:tcW w:w="1813" w:type="dxa"/>
            <w:tcBorders>
              <w:top w:val="single" w:sz="4" w:space="0" w:color="auto"/>
              <w:bottom w:val="nil"/>
            </w:tcBorders>
          </w:tcPr>
          <w:p w14:paraId="4F33048D" w14:textId="77777777" w:rsidR="0085268A" w:rsidRPr="00856F83" w:rsidRDefault="0085268A" w:rsidP="00977C46">
            <w:pPr>
              <w:jc w:val="center"/>
              <w:rPr>
                <w:rFonts w:asciiTheme="minorHAnsi" w:hAnsiTheme="minorHAnsi" w:cstheme="minorHAnsi"/>
                <w:color w:val="000000" w:themeColor="text1"/>
                <w:sz w:val="18"/>
                <w:szCs w:val="18"/>
              </w:rPr>
            </w:pPr>
          </w:p>
        </w:tc>
        <w:tc>
          <w:tcPr>
            <w:tcW w:w="2240" w:type="dxa"/>
            <w:tcBorders>
              <w:top w:val="single" w:sz="4" w:space="0" w:color="auto"/>
              <w:bottom w:val="nil"/>
            </w:tcBorders>
          </w:tcPr>
          <w:p w14:paraId="73426E29" w14:textId="77777777" w:rsidR="0085268A" w:rsidRPr="00856F83" w:rsidRDefault="0085268A" w:rsidP="00977C46">
            <w:pPr>
              <w:jc w:val="center"/>
              <w:rPr>
                <w:rFonts w:asciiTheme="minorHAnsi" w:hAnsiTheme="minorHAnsi" w:cstheme="minorHAnsi"/>
                <w:color w:val="000000" w:themeColor="text1"/>
                <w:sz w:val="18"/>
                <w:szCs w:val="18"/>
              </w:rPr>
            </w:pPr>
          </w:p>
        </w:tc>
      </w:tr>
      <w:tr w:rsidR="0085268A" w:rsidRPr="00856F83" w14:paraId="0A1A0459" w14:textId="77777777" w:rsidTr="00FD7E7A">
        <w:tc>
          <w:tcPr>
            <w:tcW w:w="4957" w:type="dxa"/>
            <w:tcBorders>
              <w:top w:val="nil"/>
              <w:bottom w:val="nil"/>
            </w:tcBorders>
            <w:vAlign w:val="bottom"/>
          </w:tcPr>
          <w:p w14:paraId="629F99E5" w14:textId="77777777" w:rsidR="0085268A" w:rsidRPr="00856F83" w:rsidRDefault="0085268A" w:rsidP="00977C46">
            <w:pPr>
              <w:ind w:firstLine="243"/>
              <w:rPr>
                <w:rFonts w:asciiTheme="minorHAnsi" w:hAnsiTheme="minorHAnsi" w:cstheme="minorHAnsi"/>
                <w:color w:val="000000" w:themeColor="text1"/>
                <w:sz w:val="18"/>
                <w:szCs w:val="18"/>
              </w:rPr>
            </w:pPr>
            <w:r w:rsidRPr="00856F83">
              <w:rPr>
                <w:rFonts w:asciiTheme="minorHAnsi" w:hAnsiTheme="minorHAnsi" w:cstheme="minorHAnsi"/>
                <w:color w:val="000000" w:themeColor="text1"/>
                <w:sz w:val="18"/>
                <w:szCs w:val="18"/>
              </w:rPr>
              <w:t>Very easy</w:t>
            </w:r>
          </w:p>
        </w:tc>
        <w:tc>
          <w:tcPr>
            <w:tcW w:w="1813" w:type="dxa"/>
            <w:tcBorders>
              <w:top w:val="nil"/>
              <w:bottom w:val="nil"/>
            </w:tcBorders>
            <w:vAlign w:val="bottom"/>
          </w:tcPr>
          <w:p w14:paraId="1FDFE439"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16</w:t>
            </w:r>
          </w:p>
        </w:tc>
        <w:tc>
          <w:tcPr>
            <w:tcW w:w="2240" w:type="dxa"/>
            <w:tcBorders>
              <w:top w:val="nil"/>
              <w:bottom w:val="nil"/>
            </w:tcBorders>
            <w:vAlign w:val="bottom"/>
          </w:tcPr>
          <w:p w14:paraId="6B43261D"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00000"/>
                <w:sz w:val="18"/>
                <w:szCs w:val="18"/>
              </w:rPr>
              <w:t>29.1</w:t>
            </w:r>
          </w:p>
        </w:tc>
      </w:tr>
      <w:tr w:rsidR="0085268A" w:rsidRPr="00856F83" w14:paraId="7101D3B4" w14:textId="77777777" w:rsidTr="00FD7E7A">
        <w:tc>
          <w:tcPr>
            <w:tcW w:w="4957" w:type="dxa"/>
            <w:tcBorders>
              <w:top w:val="nil"/>
              <w:bottom w:val="nil"/>
            </w:tcBorders>
            <w:vAlign w:val="bottom"/>
          </w:tcPr>
          <w:p w14:paraId="23258DB2" w14:textId="77777777" w:rsidR="0085268A" w:rsidRPr="00856F83" w:rsidRDefault="0085268A" w:rsidP="00977C46">
            <w:pPr>
              <w:ind w:firstLine="243"/>
              <w:rPr>
                <w:rFonts w:asciiTheme="minorHAnsi" w:hAnsiTheme="minorHAnsi" w:cstheme="minorHAnsi"/>
                <w:color w:val="000000" w:themeColor="text1"/>
                <w:sz w:val="18"/>
                <w:szCs w:val="18"/>
              </w:rPr>
            </w:pPr>
            <w:r w:rsidRPr="00856F83">
              <w:rPr>
                <w:rFonts w:asciiTheme="minorHAnsi" w:hAnsiTheme="minorHAnsi" w:cstheme="minorHAnsi"/>
                <w:color w:val="000000" w:themeColor="text1"/>
                <w:sz w:val="18"/>
                <w:szCs w:val="18"/>
              </w:rPr>
              <w:t>Easy</w:t>
            </w:r>
          </w:p>
        </w:tc>
        <w:tc>
          <w:tcPr>
            <w:tcW w:w="1813" w:type="dxa"/>
            <w:tcBorders>
              <w:top w:val="nil"/>
              <w:bottom w:val="nil"/>
            </w:tcBorders>
            <w:vAlign w:val="bottom"/>
          </w:tcPr>
          <w:p w14:paraId="72B9A474"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14</w:t>
            </w:r>
          </w:p>
        </w:tc>
        <w:tc>
          <w:tcPr>
            <w:tcW w:w="2240" w:type="dxa"/>
            <w:tcBorders>
              <w:top w:val="nil"/>
              <w:bottom w:val="nil"/>
            </w:tcBorders>
            <w:vAlign w:val="bottom"/>
          </w:tcPr>
          <w:p w14:paraId="56E6D838"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00000"/>
                <w:sz w:val="18"/>
                <w:szCs w:val="18"/>
              </w:rPr>
              <w:t>25.5</w:t>
            </w:r>
          </w:p>
        </w:tc>
      </w:tr>
      <w:tr w:rsidR="0085268A" w:rsidRPr="00856F83" w14:paraId="0BF54B54" w14:textId="77777777" w:rsidTr="00FD7E7A">
        <w:tc>
          <w:tcPr>
            <w:tcW w:w="4957" w:type="dxa"/>
            <w:tcBorders>
              <w:top w:val="nil"/>
              <w:bottom w:val="nil"/>
            </w:tcBorders>
            <w:vAlign w:val="bottom"/>
          </w:tcPr>
          <w:p w14:paraId="6E2387CA" w14:textId="77777777" w:rsidR="0085268A" w:rsidRPr="00856F83" w:rsidRDefault="0085268A" w:rsidP="00977C46">
            <w:pPr>
              <w:ind w:firstLine="243"/>
              <w:rPr>
                <w:rFonts w:asciiTheme="minorHAnsi" w:hAnsiTheme="minorHAnsi" w:cstheme="minorHAnsi"/>
                <w:color w:val="000000" w:themeColor="text1"/>
                <w:sz w:val="18"/>
                <w:szCs w:val="18"/>
              </w:rPr>
            </w:pPr>
            <w:r w:rsidRPr="00856F83">
              <w:rPr>
                <w:rFonts w:asciiTheme="minorHAnsi" w:hAnsiTheme="minorHAnsi" w:cstheme="minorHAnsi"/>
                <w:color w:val="000000" w:themeColor="text1"/>
                <w:sz w:val="18"/>
                <w:szCs w:val="18"/>
              </w:rPr>
              <w:t>Somewhat easy</w:t>
            </w:r>
          </w:p>
        </w:tc>
        <w:tc>
          <w:tcPr>
            <w:tcW w:w="1813" w:type="dxa"/>
            <w:tcBorders>
              <w:top w:val="nil"/>
              <w:bottom w:val="nil"/>
            </w:tcBorders>
            <w:vAlign w:val="bottom"/>
          </w:tcPr>
          <w:p w14:paraId="641D43B2"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17</w:t>
            </w:r>
          </w:p>
        </w:tc>
        <w:tc>
          <w:tcPr>
            <w:tcW w:w="2240" w:type="dxa"/>
            <w:tcBorders>
              <w:top w:val="nil"/>
              <w:bottom w:val="nil"/>
            </w:tcBorders>
            <w:vAlign w:val="bottom"/>
          </w:tcPr>
          <w:p w14:paraId="51BAF27B"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00000"/>
                <w:sz w:val="18"/>
                <w:szCs w:val="18"/>
              </w:rPr>
              <w:t>30.9</w:t>
            </w:r>
          </w:p>
        </w:tc>
      </w:tr>
      <w:tr w:rsidR="0085268A" w:rsidRPr="00856F83" w14:paraId="408CEF3C" w14:textId="77777777" w:rsidTr="00FD7E7A">
        <w:tc>
          <w:tcPr>
            <w:tcW w:w="4957" w:type="dxa"/>
            <w:tcBorders>
              <w:top w:val="nil"/>
              <w:bottom w:val="nil"/>
            </w:tcBorders>
            <w:vAlign w:val="bottom"/>
          </w:tcPr>
          <w:p w14:paraId="5C57858B" w14:textId="77777777" w:rsidR="0085268A" w:rsidRPr="00856F83" w:rsidRDefault="0085268A" w:rsidP="00977C46">
            <w:pPr>
              <w:ind w:firstLine="243"/>
              <w:rPr>
                <w:rFonts w:asciiTheme="minorHAnsi" w:hAnsiTheme="minorHAnsi" w:cstheme="minorHAnsi"/>
                <w:color w:val="000000" w:themeColor="text1"/>
                <w:sz w:val="18"/>
                <w:szCs w:val="18"/>
              </w:rPr>
            </w:pPr>
            <w:r w:rsidRPr="00856F83">
              <w:rPr>
                <w:rFonts w:asciiTheme="minorHAnsi" w:hAnsiTheme="minorHAnsi" w:cstheme="minorHAnsi"/>
                <w:color w:val="000000" w:themeColor="text1"/>
                <w:sz w:val="18"/>
                <w:szCs w:val="18"/>
              </w:rPr>
              <w:t>Difficult</w:t>
            </w:r>
          </w:p>
        </w:tc>
        <w:tc>
          <w:tcPr>
            <w:tcW w:w="1813" w:type="dxa"/>
            <w:tcBorders>
              <w:top w:val="nil"/>
              <w:bottom w:val="nil"/>
            </w:tcBorders>
            <w:vAlign w:val="bottom"/>
          </w:tcPr>
          <w:p w14:paraId="24AB0FE5"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6</w:t>
            </w:r>
          </w:p>
        </w:tc>
        <w:tc>
          <w:tcPr>
            <w:tcW w:w="2240" w:type="dxa"/>
            <w:tcBorders>
              <w:top w:val="nil"/>
              <w:bottom w:val="nil"/>
            </w:tcBorders>
            <w:vAlign w:val="bottom"/>
          </w:tcPr>
          <w:p w14:paraId="518D9B55"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00000"/>
                <w:sz w:val="18"/>
                <w:szCs w:val="18"/>
              </w:rPr>
              <w:t>10.9</w:t>
            </w:r>
          </w:p>
        </w:tc>
      </w:tr>
      <w:tr w:rsidR="0085268A" w:rsidRPr="00856F83" w14:paraId="2093B9C8" w14:textId="77777777" w:rsidTr="00FD7E7A">
        <w:tc>
          <w:tcPr>
            <w:tcW w:w="4957" w:type="dxa"/>
            <w:tcBorders>
              <w:top w:val="nil"/>
              <w:bottom w:val="single" w:sz="4" w:space="0" w:color="auto"/>
            </w:tcBorders>
            <w:vAlign w:val="bottom"/>
          </w:tcPr>
          <w:p w14:paraId="79C2A517" w14:textId="77777777" w:rsidR="0085268A" w:rsidRPr="00856F83" w:rsidRDefault="0085268A" w:rsidP="00977C46">
            <w:pPr>
              <w:ind w:firstLine="243"/>
              <w:rPr>
                <w:rFonts w:asciiTheme="minorHAnsi" w:hAnsiTheme="minorHAnsi" w:cstheme="minorHAnsi"/>
                <w:color w:val="000000" w:themeColor="text1"/>
                <w:sz w:val="18"/>
                <w:szCs w:val="18"/>
              </w:rPr>
            </w:pPr>
            <w:r w:rsidRPr="00856F83">
              <w:rPr>
                <w:rFonts w:asciiTheme="minorHAnsi" w:hAnsiTheme="minorHAnsi" w:cstheme="minorHAnsi"/>
                <w:color w:val="000000" w:themeColor="text1"/>
                <w:sz w:val="18"/>
                <w:szCs w:val="18"/>
              </w:rPr>
              <w:t>Very difficult</w:t>
            </w:r>
          </w:p>
        </w:tc>
        <w:tc>
          <w:tcPr>
            <w:tcW w:w="1813" w:type="dxa"/>
            <w:tcBorders>
              <w:top w:val="nil"/>
              <w:bottom w:val="single" w:sz="4" w:space="0" w:color="auto"/>
            </w:tcBorders>
            <w:vAlign w:val="bottom"/>
          </w:tcPr>
          <w:p w14:paraId="3B444A75"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2</w:t>
            </w:r>
          </w:p>
        </w:tc>
        <w:tc>
          <w:tcPr>
            <w:tcW w:w="2240" w:type="dxa"/>
            <w:tcBorders>
              <w:top w:val="nil"/>
              <w:bottom w:val="single" w:sz="4" w:space="0" w:color="auto"/>
            </w:tcBorders>
            <w:vAlign w:val="bottom"/>
          </w:tcPr>
          <w:p w14:paraId="45E941F2"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00000"/>
                <w:sz w:val="18"/>
                <w:szCs w:val="18"/>
              </w:rPr>
              <w:t>3.6</w:t>
            </w:r>
          </w:p>
        </w:tc>
      </w:tr>
      <w:tr w:rsidR="0085268A" w:rsidRPr="00856F83" w14:paraId="23887D8B" w14:textId="77777777" w:rsidTr="00FD7E7A">
        <w:tc>
          <w:tcPr>
            <w:tcW w:w="4957" w:type="dxa"/>
            <w:tcBorders>
              <w:top w:val="single" w:sz="4" w:space="0" w:color="auto"/>
            </w:tcBorders>
            <w:vAlign w:val="bottom"/>
          </w:tcPr>
          <w:p w14:paraId="5E4AF177" w14:textId="77777777" w:rsidR="0085268A" w:rsidRPr="00856F83" w:rsidRDefault="0085268A" w:rsidP="00977C46">
            <w:pPr>
              <w:rPr>
                <w:rFonts w:asciiTheme="minorHAnsi" w:hAnsiTheme="minorHAnsi" w:cstheme="minorHAnsi"/>
                <w:b/>
                <w:bCs/>
                <w:color w:val="000000" w:themeColor="text1"/>
                <w:sz w:val="18"/>
                <w:szCs w:val="18"/>
              </w:rPr>
            </w:pPr>
            <w:r w:rsidRPr="00856F83">
              <w:rPr>
                <w:rFonts w:asciiTheme="minorHAnsi" w:hAnsiTheme="minorHAnsi" w:cstheme="minorHAnsi"/>
                <w:b/>
                <w:bCs/>
                <w:color w:val="000000" w:themeColor="text1"/>
                <w:sz w:val="18"/>
                <w:szCs w:val="18"/>
              </w:rPr>
              <w:t>Difficulties associated with supporting users of DMHSs (n=</w:t>
            </w:r>
            <w:proofErr w:type="gramStart"/>
            <w:r w:rsidRPr="00856F83">
              <w:rPr>
                <w:rFonts w:asciiTheme="minorHAnsi" w:hAnsiTheme="minorHAnsi" w:cstheme="minorHAnsi"/>
                <w:b/>
                <w:bCs/>
                <w:color w:val="000000" w:themeColor="text1"/>
                <w:sz w:val="18"/>
                <w:szCs w:val="18"/>
              </w:rPr>
              <w:t>37)</w:t>
            </w:r>
            <w:r w:rsidRPr="00856F83">
              <w:rPr>
                <w:rFonts w:asciiTheme="minorHAnsi" w:hAnsiTheme="minorHAnsi" w:cstheme="minorHAnsi"/>
                <w:sz w:val="18"/>
                <w:szCs w:val="18"/>
                <w:vertAlign w:val="superscript"/>
              </w:rPr>
              <w:t>a</w:t>
            </w:r>
            <w:proofErr w:type="gramEnd"/>
          </w:p>
        </w:tc>
        <w:tc>
          <w:tcPr>
            <w:tcW w:w="1813" w:type="dxa"/>
            <w:tcBorders>
              <w:top w:val="single" w:sz="4" w:space="0" w:color="auto"/>
            </w:tcBorders>
            <w:vAlign w:val="bottom"/>
          </w:tcPr>
          <w:p w14:paraId="7C1E4AD4" w14:textId="77777777" w:rsidR="0085268A" w:rsidRPr="00856F83" w:rsidRDefault="0085268A" w:rsidP="00977C46">
            <w:pPr>
              <w:jc w:val="center"/>
              <w:rPr>
                <w:rFonts w:asciiTheme="minorHAnsi" w:hAnsiTheme="minorHAnsi" w:cstheme="minorHAnsi"/>
                <w:color w:val="000000" w:themeColor="text1"/>
                <w:sz w:val="18"/>
                <w:szCs w:val="18"/>
              </w:rPr>
            </w:pPr>
          </w:p>
        </w:tc>
        <w:tc>
          <w:tcPr>
            <w:tcW w:w="2240" w:type="dxa"/>
            <w:tcBorders>
              <w:top w:val="single" w:sz="4" w:space="0" w:color="auto"/>
            </w:tcBorders>
            <w:vAlign w:val="bottom"/>
          </w:tcPr>
          <w:p w14:paraId="312996BC" w14:textId="77777777" w:rsidR="0085268A" w:rsidRPr="00856F83" w:rsidRDefault="0085268A" w:rsidP="00977C46">
            <w:pPr>
              <w:jc w:val="center"/>
              <w:rPr>
                <w:rFonts w:asciiTheme="minorHAnsi" w:hAnsiTheme="minorHAnsi" w:cstheme="minorHAnsi"/>
                <w:color w:val="000000" w:themeColor="text1"/>
                <w:sz w:val="18"/>
                <w:szCs w:val="18"/>
              </w:rPr>
            </w:pPr>
          </w:p>
        </w:tc>
      </w:tr>
      <w:tr w:rsidR="0085268A" w:rsidRPr="00856F83" w14:paraId="26883BCD" w14:textId="77777777">
        <w:tc>
          <w:tcPr>
            <w:tcW w:w="4957" w:type="dxa"/>
            <w:vAlign w:val="bottom"/>
          </w:tcPr>
          <w:p w14:paraId="46450FC4" w14:textId="77777777" w:rsidR="0085268A" w:rsidRPr="00856F83" w:rsidRDefault="0085268A" w:rsidP="00977C46">
            <w:pPr>
              <w:ind w:firstLine="243"/>
              <w:rPr>
                <w:rFonts w:asciiTheme="minorHAnsi" w:hAnsiTheme="minorHAnsi" w:cstheme="minorHAnsi"/>
                <w:color w:val="000000" w:themeColor="text1"/>
                <w:sz w:val="18"/>
                <w:szCs w:val="18"/>
              </w:rPr>
            </w:pPr>
            <w:r w:rsidRPr="00856F83">
              <w:rPr>
                <w:rFonts w:asciiTheme="minorHAnsi" w:hAnsiTheme="minorHAnsi" w:cstheme="minorHAnsi"/>
                <w:color w:val="000000" w:themeColor="text1"/>
                <w:sz w:val="18"/>
                <w:szCs w:val="18"/>
              </w:rPr>
              <w:t>Lack of user background information</w:t>
            </w:r>
          </w:p>
        </w:tc>
        <w:tc>
          <w:tcPr>
            <w:tcW w:w="1813" w:type="dxa"/>
            <w:vAlign w:val="bottom"/>
          </w:tcPr>
          <w:p w14:paraId="627ABCF9"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9</w:t>
            </w:r>
          </w:p>
        </w:tc>
        <w:tc>
          <w:tcPr>
            <w:tcW w:w="2240" w:type="dxa"/>
            <w:vAlign w:val="bottom"/>
          </w:tcPr>
          <w:p w14:paraId="19B09671"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24.3</w:t>
            </w:r>
          </w:p>
        </w:tc>
      </w:tr>
      <w:tr w:rsidR="0085268A" w:rsidRPr="00856F83" w14:paraId="439F683A" w14:textId="77777777">
        <w:tc>
          <w:tcPr>
            <w:tcW w:w="4957" w:type="dxa"/>
            <w:vAlign w:val="bottom"/>
          </w:tcPr>
          <w:p w14:paraId="536AFDA4" w14:textId="77777777" w:rsidR="0085268A" w:rsidRPr="00856F83" w:rsidRDefault="0085268A" w:rsidP="00977C46">
            <w:pPr>
              <w:ind w:firstLine="243"/>
              <w:rPr>
                <w:rFonts w:asciiTheme="minorHAnsi" w:hAnsiTheme="minorHAnsi" w:cstheme="minorHAnsi"/>
                <w:color w:val="000000" w:themeColor="text1"/>
                <w:sz w:val="18"/>
                <w:szCs w:val="18"/>
              </w:rPr>
            </w:pPr>
            <w:r w:rsidRPr="00856F83">
              <w:rPr>
                <w:rFonts w:asciiTheme="minorHAnsi" w:hAnsiTheme="minorHAnsi" w:cstheme="minorHAnsi"/>
                <w:color w:val="000000" w:themeColor="text1"/>
                <w:sz w:val="18"/>
                <w:szCs w:val="18"/>
              </w:rPr>
              <w:t>Difficulties with rapport building</w:t>
            </w:r>
          </w:p>
        </w:tc>
        <w:tc>
          <w:tcPr>
            <w:tcW w:w="1813" w:type="dxa"/>
            <w:vAlign w:val="bottom"/>
          </w:tcPr>
          <w:p w14:paraId="4A915212"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18</w:t>
            </w:r>
          </w:p>
        </w:tc>
        <w:tc>
          <w:tcPr>
            <w:tcW w:w="2240" w:type="dxa"/>
            <w:vAlign w:val="bottom"/>
          </w:tcPr>
          <w:p w14:paraId="4406600B"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48.6</w:t>
            </w:r>
          </w:p>
        </w:tc>
      </w:tr>
      <w:tr w:rsidR="0085268A" w:rsidRPr="00856F83" w14:paraId="511EDFBC" w14:textId="77777777">
        <w:tc>
          <w:tcPr>
            <w:tcW w:w="4957" w:type="dxa"/>
            <w:vAlign w:val="bottom"/>
          </w:tcPr>
          <w:p w14:paraId="556E57EE" w14:textId="77777777" w:rsidR="0085268A" w:rsidRPr="00856F83" w:rsidRDefault="0085268A" w:rsidP="00977C46">
            <w:pPr>
              <w:ind w:firstLine="243"/>
              <w:rPr>
                <w:rFonts w:asciiTheme="minorHAnsi" w:hAnsiTheme="minorHAnsi" w:cstheme="minorHAnsi"/>
                <w:color w:val="000000" w:themeColor="text1"/>
                <w:sz w:val="18"/>
                <w:szCs w:val="18"/>
              </w:rPr>
            </w:pPr>
            <w:r w:rsidRPr="00856F83">
              <w:rPr>
                <w:rFonts w:asciiTheme="minorHAnsi" w:hAnsiTheme="minorHAnsi" w:cstheme="minorHAnsi"/>
                <w:color w:val="000000" w:themeColor="text1"/>
                <w:sz w:val="18"/>
                <w:szCs w:val="18"/>
              </w:rPr>
              <w:t>Unfamiliar with resources close to users' home</w:t>
            </w:r>
          </w:p>
        </w:tc>
        <w:tc>
          <w:tcPr>
            <w:tcW w:w="1813" w:type="dxa"/>
            <w:vAlign w:val="bottom"/>
          </w:tcPr>
          <w:p w14:paraId="05301DA8"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9</w:t>
            </w:r>
          </w:p>
        </w:tc>
        <w:tc>
          <w:tcPr>
            <w:tcW w:w="2240" w:type="dxa"/>
            <w:vAlign w:val="bottom"/>
          </w:tcPr>
          <w:p w14:paraId="21EE617E"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24.3</w:t>
            </w:r>
          </w:p>
        </w:tc>
      </w:tr>
      <w:tr w:rsidR="0085268A" w:rsidRPr="00856F83" w14:paraId="522D235E" w14:textId="77777777">
        <w:tc>
          <w:tcPr>
            <w:tcW w:w="4957" w:type="dxa"/>
            <w:vAlign w:val="bottom"/>
          </w:tcPr>
          <w:p w14:paraId="287A1BA5" w14:textId="77777777" w:rsidR="0085268A" w:rsidRPr="00856F83" w:rsidRDefault="0085268A" w:rsidP="00977C46">
            <w:pPr>
              <w:ind w:firstLine="243"/>
              <w:rPr>
                <w:rFonts w:asciiTheme="minorHAnsi" w:hAnsiTheme="minorHAnsi" w:cstheme="minorHAnsi"/>
                <w:color w:val="000000" w:themeColor="text1"/>
                <w:sz w:val="18"/>
                <w:szCs w:val="18"/>
              </w:rPr>
            </w:pPr>
            <w:r w:rsidRPr="00856F83">
              <w:rPr>
                <w:rFonts w:asciiTheme="minorHAnsi" w:hAnsiTheme="minorHAnsi" w:cstheme="minorHAnsi"/>
                <w:color w:val="000000" w:themeColor="text1"/>
                <w:sz w:val="18"/>
                <w:szCs w:val="18"/>
              </w:rPr>
              <w:t>Problems with connections</w:t>
            </w:r>
          </w:p>
        </w:tc>
        <w:tc>
          <w:tcPr>
            <w:tcW w:w="1813" w:type="dxa"/>
            <w:vAlign w:val="bottom"/>
          </w:tcPr>
          <w:p w14:paraId="6F835571"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30</w:t>
            </w:r>
          </w:p>
        </w:tc>
        <w:tc>
          <w:tcPr>
            <w:tcW w:w="2240" w:type="dxa"/>
            <w:vAlign w:val="bottom"/>
          </w:tcPr>
          <w:p w14:paraId="1C71BB5A"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81.1</w:t>
            </w:r>
          </w:p>
        </w:tc>
      </w:tr>
      <w:tr w:rsidR="0085268A" w:rsidRPr="00856F83" w14:paraId="6D649248" w14:textId="77777777">
        <w:tc>
          <w:tcPr>
            <w:tcW w:w="4957" w:type="dxa"/>
            <w:vAlign w:val="bottom"/>
          </w:tcPr>
          <w:p w14:paraId="28B2A56A" w14:textId="77777777" w:rsidR="0085268A" w:rsidRPr="00856F83" w:rsidRDefault="0085268A" w:rsidP="00977C46">
            <w:pPr>
              <w:ind w:firstLine="243"/>
              <w:rPr>
                <w:rFonts w:asciiTheme="minorHAnsi" w:hAnsiTheme="minorHAnsi" w:cstheme="minorHAnsi"/>
                <w:color w:val="000000" w:themeColor="text1"/>
                <w:sz w:val="18"/>
                <w:szCs w:val="18"/>
              </w:rPr>
            </w:pPr>
            <w:r w:rsidRPr="00856F83">
              <w:rPr>
                <w:rFonts w:asciiTheme="minorHAnsi" w:hAnsiTheme="minorHAnsi" w:cstheme="minorHAnsi"/>
                <w:color w:val="000000" w:themeColor="text1"/>
                <w:sz w:val="18"/>
                <w:szCs w:val="18"/>
              </w:rPr>
              <w:t>Lack of multidisciplinary care planning</w:t>
            </w:r>
          </w:p>
        </w:tc>
        <w:tc>
          <w:tcPr>
            <w:tcW w:w="1813" w:type="dxa"/>
            <w:vAlign w:val="bottom"/>
          </w:tcPr>
          <w:p w14:paraId="6880AC4C"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5</w:t>
            </w:r>
          </w:p>
        </w:tc>
        <w:tc>
          <w:tcPr>
            <w:tcW w:w="2240" w:type="dxa"/>
            <w:vAlign w:val="bottom"/>
          </w:tcPr>
          <w:p w14:paraId="2B5EC2D1"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13.5</w:t>
            </w:r>
          </w:p>
        </w:tc>
      </w:tr>
      <w:tr w:rsidR="0085268A" w:rsidRPr="00856F83" w14:paraId="09E3978F" w14:textId="77777777">
        <w:tc>
          <w:tcPr>
            <w:tcW w:w="4957" w:type="dxa"/>
            <w:vAlign w:val="bottom"/>
          </w:tcPr>
          <w:p w14:paraId="464CC380" w14:textId="77777777" w:rsidR="0085268A" w:rsidRPr="00856F83" w:rsidRDefault="0085268A" w:rsidP="00977C46">
            <w:pPr>
              <w:ind w:firstLine="243"/>
              <w:rPr>
                <w:rFonts w:asciiTheme="minorHAnsi" w:hAnsiTheme="minorHAnsi" w:cstheme="minorHAnsi"/>
                <w:color w:val="000000" w:themeColor="text1"/>
                <w:sz w:val="18"/>
                <w:szCs w:val="18"/>
              </w:rPr>
            </w:pPr>
            <w:r w:rsidRPr="00856F83">
              <w:rPr>
                <w:rFonts w:asciiTheme="minorHAnsi" w:hAnsiTheme="minorHAnsi" w:cstheme="minorHAnsi"/>
                <w:color w:val="000000" w:themeColor="text1"/>
                <w:sz w:val="18"/>
                <w:szCs w:val="18"/>
              </w:rPr>
              <w:t>Lack of communication with other health professionals</w:t>
            </w:r>
          </w:p>
        </w:tc>
        <w:tc>
          <w:tcPr>
            <w:tcW w:w="1813" w:type="dxa"/>
            <w:vAlign w:val="bottom"/>
          </w:tcPr>
          <w:p w14:paraId="09F4DC58"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8</w:t>
            </w:r>
          </w:p>
        </w:tc>
        <w:tc>
          <w:tcPr>
            <w:tcW w:w="2240" w:type="dxa"/>
            <w:vAlign w:val="bottom"/>
          </w:tcPr>
          <w:p w14:paraId="11B5E374"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21.6</w:t>
            </w:r>
          </w:p>
        </w:tc>
      </w:tr>
      <w:tr w:rsidR="0085268A" w:rsidRPr="00856F83" w14:paraId="3B2B6182" w14:textId="77777777">
        <w:tc>
          <w:tcPr>
            <w:tcW w:w="4957" w:type="dxa"/>
            <w:vAlign w:val="bottom"/>
          </w:tcPr>
          <w:p w14:paraId="7B3A082F" w14:textId="77777777" w:rsidR="0085268A" w:rsidRPr="00856F83" w:rsidRDefault="0085268A" w:rsidP="00977C46">
            <w:pPr>
              <w:ind w:firstLine="243"/>
              <w:rPr>
                <w:rFonts w:asciiTheme="minorHAnsi" w:hAnsiTheme="minorHAnsi" w:cstheme="minorHAnsi"/>
                <w:color w:val="000000" w:themeColor="text1"/>
                <w:sz w:val="18"/>
                <w:szCs w:val="18"/>
              </w:rPr>
            </w:pPr>
            <w:r w:rsidRPr="00856F83">
              <w:rPr>
                <w:rFonts w:asciiTheme="minorHAnsi" w:hAnsiTheme="minorHAnsi" w:cstheme="minorHAnsi"/>
                <w:color w:val="000000" w:themeColor="text1"/>
                <w:sz w:val="18"/>
                <w:szCs w:val="18"/>
              </w:rPr>
              <w:t>Online program not suitable for consumer’s needs</w:t>
            </w:r>
          </w:p>
        </w:tc>
        <w:tc>
          <w:tcPr>
            <w:tcW w:w="1813" w:type="dxa"/>
            <w:vAlign w:val="bottom"/>
          </w:tcPr>
          <w:p w14:paraId="7C58FEF6"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13</w:t>
            </w:r>
          </w:p>
        </w:tc>
        <w:tc>
          <w:tcPr>
            <w:tcW w:w="2240" w:type="dxa"/>
            <w:vAlign w:val="bottom"/>
          </w:tcPr>
          <w:p w14:paraId="7D3A285D"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35.1</w:t>
            </w:r>
          </w:p>
        </w:tc>
      </w:tr>
      <w:tr w:rsidR="0085268A" w:rsidRPr="00856F83" w14:paraId="6107FCC0" w14:textId="77777777">
        <w:tc>
          <w:tcPr>
            <w:tcW w:w="4957" w:type="dxa"/>
            <w:vAlign w:val="bottom"/>
          </w:tcPr>
          <w:p w14:paraId="0A489D75" w14:textId="77777777" w:rsidR="0085268A" w:rsidRPr="00856F83" w:rsidRDefault="0085268A" w:rsidP="00977C46">
            <w:pPr>
              <w:ind w:firstLine="243"/>
              <w:rPr>
                <w:rFonts w:asciiTheme="minorHAnsi" w:hAnsiTheme="minorHAnsi" w:cstheme="minorHAnsi"/>
                <w:color w:val="000000" w:themeColor="text1"/>
                <w:sz w:val="18"/>
                <w:szCs w:val="18"/>
              </w:rPr>
            </w:pPr>
            <w:r w:rsidRPr="00856F83">
              <w:rPr>
                <w:rFonts w:asciiTheme="minorHAnsi" w:hAnsiTheme="minorHAnsi" w:cstheme="minorHAnsi"/>
                <w:color w:val="000000" w:themeColor="text1"/>
                <w:sz w:val="18"/>
                <w:szCs w:val="18"/>
              </w:rPr>
              <w:t>Technical problems</w:t>
            </w:r>
          </w:p>
        </w:tc>
        <w:tc>
          <w:tcPr>
            <w:tcW w:w="1813" w:type="dxa"/>
            <w:vAlign w:val="bottom"/>
          </w:tcPr>
          <w:p w14:paraId="1ECD5431"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23</w:t>
            </w:r>
          </w:p>
        </w:tc>
        <w:tc>
          <w:tcPr>
            <w:tcW w:w="2240" w:type="dxa"/>
            <w:vAlign w:val="bottom"/>
          </w:tcPr>
          <w:p w14:paraId="4623A89A"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62.2</w:t>
            </w:r>
          </w:p>
        </w:tc>
      </w:tr>
      <w:tr w:rsidR="0085268A" w:rsidRPr="00A24413" w14:paraId="69C6141C" w14:textId="77777777">
        <w:tc>
          <w:tcPr>
            <w:tcW w:w="4957" w:type="dxa"/>
            <w:vAlign w:val="bottom"/>
          </w:tcPr>
          <w:p w14:paraId="0A7845AB" w14:textId="77777777" w:rsidR="0085268A" w:rsidRPr="00856F83" w:rsidRDefault="0085268A" w:rsidP="00977C46">
            <w:pPr>
              <w:ind w:firstLine="243"/>
              <w:rPr>
                <w:rFonts w:asciiTheme="minorHAnsi" w:hAnsiTheme="minorHAnsi" w:cstheme="minorHAnsi"/>
                <w:color w:val="000000" w:themeColor="text1"/>
                <w:sz w:val="18"/>
                <w:szCs w:val="18"/>
              </w:rPr>
            </w:pPr>
            <w:proofErr w:type="spellStart"/>
            <w:r w:rsidRPr="00856F83">
              <w:rPr>
                <w:rFonts w:asciiTheme="minorHAnsi" w:hAnsiTheme="minorHAnsi" w:cstheme="minorHAnsi"/>
                <w:color w:val="000000" w:themeColor="text1"/>
                <w:sz w:val="18"/>
                <w:szCs w:val="18"/>
              </w:rPr>
              <w:t>Other</w:t>
            </w:r>
            <w:r w:rsidRPr="00856F83">
              <w:rPr>
                <w:rFonts w:asciiTheme="minorHAnsi" w:hAnsiTheme="minorHAnsi" w:cstheme="minorHAnsi"/>
                <w:color w:val="000000" w:themeColor="text1"/>
                <w:sz w:val="18"/>
                <w:szCs w:val="18"/>
                <w:vertAlign w:val="superscript"/>
              </w:rPr>
              <w:t>c</w:t>
            </w:r>
            <w:proofErr w:type="spellEnd"/>
          </w:p>
        </w:tc>
        <w:tc>
          <w:tcPr>
            <w:tcW w:w="1813" w:type="dxa"/>
            <w:vAlign w:val="bottom"/>
          </w:tcPr>
          <w:p w14:paraId="43156486"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7</w:t>
            </w:r>
          </w:p>
        </w:tc>
        <w:tc>
          <w:tcPr>
            <w:tcW w:w="2240" w:type="dxa"/>
            <w:vAlign w:val="bottom"/>
          </w:tcPr>
          <w:p w14:paraId="26BE3363" w14:textId="77777777" w:rsidR="0085268A" w:rsidRPr="00856F83" w:rsidRDefault="0085268A" w:rsidP="00977C46">
            <w:pPr>
              <w:jc w:val="center"/>
              <w:rPr>
                <w:rFonts w:asciiTheme="minorHAnsi" w:hAnsiTheme="minorHAnsi" w:cstheme="minorHAnsi"/>
                <w:color w:val="000000" w:themeColor="text1"/>
                <w:sz w:val="18"/>
                <w:szCs w:val="18"/>
              </w:rPr>
            </w:pPr>
            <w:r w:rsidRPr="00856F83">
              <w:rPr>
                <w:rFonts w:asciiTheme="minorHAnsi" w:hAnsiTheme="minorHAnsi" w:cstheme="minorHAnsi"/>
                <w:color w:val="010205"/>
                <w:sz w:val="18"/>
                <w:szCs w:val="18"/>
              </w:rPr>
              <w:t>18.9</w:t>
            </w:r>
          </w:p>
        </w:tc>
      </w:tr>
    </w:tbl>
    <w:p w14:paraId="6EFE6A62" w14:textId="77777777" w:rsidR="0085268A" w:rsidRPr="00EA311F" w:rsidRDefault="0085268A" w:rsidP="00977C46">
      <w:pPr>
        <w:rPr>
          <w:rFonts w:asciiTheme="minorHAnsi" w:hAnsiTheme="minorHAnsi" w:cstheme="minorHAnsi"/>
          <w:sz w:val="16"/>
          <w:szCs w:val="16"/>
        </w:rPr>
      </w:pPr>
      <w:proofErr w:type="spellStart"/>
      <w:r w:rsidRPr="000B3857">
        <w:rPr>
          <w:rFonts w:asciiTheme="minorHAnsi" w:hAnsiTheme="minorHAnsi" w:cstheme="minorHAnsi"/>
          <w:sz w:val="16"/>
          <w:szCs w:val="16"/>
          <w:vertAlign w:val="superscript"/>
        </w:rPr>
        <w:t>a</w:t>
      </w:r>
      <w:r w:rsidRPr="000B3857">
        <w:rPr>
          <w:rFonts w:asciiTheme="minorHAnsi" w:hAnsiTheme="minorHAnsi" w:cstheme="minorHAnsi"/>
          <w:sz w:val="16"/>
          <w:szCs w:val="16"/>
        </w:rPr>
        <w:t>Multiple</w:t>
      </w:r>
      <w:proofErr w:type="spellEnd"/>
      <w:r w:rsidRPr="000B3857">
        <w:rPr>
          <w:rFonts w:asciiTheme="minorHAnsi" w:hAnsiTheme="minorHAnsi" w:cstheme="minorHAnsi"/>
          <w:sz w:val="16"/>
          <w:szCs w:val="16"/>
        </w:rPr>
        <w:t xml:space="preserve"> responses permitted.</w:t>
      </w:r>
    </w:p>
    <w:p w14:paraId="3144273D" w14:textId="77777777" w:rsidR="0085268A" w:rsidRPr="00EA311F" w:rsidRDefault="0085268A" w:rsidP="00977C46">
      <w:pPr>
        <w:rPr>
          <w:rFonts w:asciiTheme="minorHAnsi" w:hAnsiTheme="minorHAnsi" w:cstheme="minorHAnsi"/>
          <w:sz w:val="16"/>
          <w:szCs w:val="16"/>
        </w:rPr>
      </w:pPr>
      <w:proofErr w:type="spellStart"/>
      <w:r w:rsidRPr="00EA311F">
        <w:rPr>
          <w:rFonts w:asciiTheme="minorHAnsi" w:hAnsiTheme="minorHAnsi" w:cstheme="minorHAnsi"/>
          <w:sz w:val="16"/>
          <w:szCs w:val="16"/>
          <w:vertAlign w:val="superscript"/>
        </w:rPr>
        <w:t>b</w:t>
      </w:r>
      <w:r>
        <w:rPr>
          <w:rFonts w:asciiTheme="minorHAnsi" w:hAnsiTheme="minorHAnsi" w:cstheme="minorHAnsi"/>
          <w:sz w:val="16"/>
          <w:szCs w:val="16"/>
        </w:rPr>
        <w:t>I</w:t>
      </w:r>
      <w:r w:rsidRPr="00EA311F">
        <w:rPr>
          <w:rFonts w:asciiTheme="minorHAnsi" w:hAnsiTheme="minorHAnsi" w:cstheme="minorHAnsi"/>
          <w:sz w:val="16"/>
          <w:szCs w:val="16"/>
        </w:rPr>
        <w:t>nclude</w:t>
      </w:r>
      <w:r>
        <w:rPr>
          <w:rFonts w:asciiTheme="minorHAnsi" w:hAnsiTheme="minorHAnsi" w:cstheme="minorHAnsi"/>
          <w:sz w:val="16"/>
          <w:szCs w:val="16"/>
        </w:rPr>
        <w:t>s</w:t>
      </w:r>
      <w:proofErr w:type="spellEnd"/>
      <w:r w:rsidRPr="00EA311F">
        <w:rPr>
          <w:rFonts w:asciiTheme="minorHAnsi" w:hAnsiTheme="minorHAnsi" w:cstheme="minorHAnsi"/>
          <w:sz w:val="16"/>
          <w:szCs w:val="16"/>
        </w:rPr>
        <w:t xml:space="preserve"> provision of psychiatric services (n=2), referral to Head to Health (n=1), assessments</w:t>
      </w:r>
      <w:r>
        <w:rPr>
          <w:rFonts w:asciiTheme="minorHAnsi" w:hAnsiTheme="minorHAnsi" w:cstheme="minorHAnsi"/>
          <w:sz w:val="16"/>
          <w:szCs w:val="16"/>
        </w:rPr>
        <w:t xml:space="preserve"> </w:t>
      </w:r>
      <w:r w:rsidRPr="00EA311F">
        <w:rPr>
          <w:rFonts w:asciiTheme="minorHAnsi" w:hAnsiTheme="minorHAnsi" w:cstheme="minorHAnsi"/>
          <w:sz w:val="16"/>
          <w:szCs w:val="16"/>
        </w:rPr>
        <w:t>(n=1) and reporting (n=1).</w:t>
      </w:r>
    </w:p>
    <w:p w14:paraId="1EA22FE5" w14:textId="77777777" w:rsidR="0085268A" w:rsidRPr="00EA311F" w:rsidRDefault="0085268A" w:rsidP="0085268A">
      <w:pPr>
        <w:spacing w:after="240"/>
        <w:rPr>
          <w:rFonts w:asciiTheme="minorHAnsi" w:hAnsiTheme="minorHAnsi" w:cstheme="minorHAnsi"/>
          <w:sz w:val="16"/>
          <w:szCs w:val="16"/>
        </w:rPr>
      </w:pPr>
      <w:proofErr w:type="spellStart"/>
      <w:r w:rsidRPr="00EA311F">
        <w:rPr>
          <w:rFonts w:asciiTheme="minorHAnsi" w:hAnsiTheme="minorHAnsi" w:cstheme="minorHAnsi"/>
          <w:sz w:val="16"/>
          <w:szCs w:val="16"/>
          <w:vertAlign w:val="superscript"/>
        </w:rPr>
        <w:t>c</w:t>
      </w:r>
      <w:r>
        <w:rPr>
          <w:rFonts w:asciiTheme="minorHAnsi" w:hAnsiTheme="minorHAnsi" w:cstheme="minorHAnsi"/>
          <w:sz w:val="16"/>
          <w:szCs w:val="16"/>
        </w:rPr>
        <w:t>I</w:t>
      </w:r>
      <w:r w:rsidRPr="00EA311F">
        <w:rPr>
          <w:rFonts w:asciiTheme="minorHAnsi" w:hAnsiTheme="minorHAnsi" w:cstheme="minorHAnsi"/>
          <w:sz w:val="16"/>
          <w:szCs w:val="16"/>
        </w:rPr>
        <w:t>nclude</w:t>
      </w:r>
      <w:r>
        <w:rPr>
          <w:rFonts w:asciiTheme="minorHAnsi" w:hAnsiTheme="minorHAnsi" w:cstheme="minorHAnsi"/>
          <w:sz w:val="16"/>
          <w:szCs w:val="16"/>
        </w:rPr>
        <w:t>s</w:t>
      </w:r>
      <w:proofErr w:type="spellEnd"/>
      <w:r w:rsidRPr="00EA311F">
        <w:rPr>
          <w:rFonts w:asciiTheme="minorHAnsi" w:hAnsiTheme="minorHAnsi" w:cstheme="minorHAnsi"/>
          <w:sz w:val="16"/>
          <w:szCs w:val="16"/>
        </w:rPr>
        <w:t xml:space="preserve"> client motivation (n=2), managing expectations (n=1), individualised support (n=1) and receipt of payment (n=1).</w:t>
      </w:r>
    </w:p>
    <w:p w14:paraId="4F142AC6" w14:textId="265066B1" w:rsidR="0085268A" w:rsidRDefault="0085268A" w:rsidP="005C6BAA">
      <w:pPr>
        <w:pStyle w:val="ANorm"/>
        <w:spacing w:after="240"/>
      </w:pPr>
      <w:r w:rsidRPr="00315E14">
        <w:t xml:space="preserve">As shown in Table </w:t>
      </w:r>
      <w:r w:rsidR="009A1A4E">
        <w:t>42</w:t>
      </w:r>
      <w:r w:rsidRPr="00315E14">
        <w:t xml:space="preserve">, over half of respondents found the process of supporting users of DMHSs easy or </w:t>
      </w:r>
      <w:r w:rsidRPr="00EE006C">
        <w:t xml:space="preserve">very easy. However, of those who delivered DMHSs, 67.3% (n=37) indicated that they experienced difficulties. The </w:t>
      </w:r>
      <w:proofErr w:type="gramStart"/>
      <w:r w:rsidRPr="00EE006C">
        <w:t>most commonly identified</w:t>
      </w:r>
      <w:proofErr w:type="gramEnd"/>
      <w:r w:rsidRPr="00EE006C">
        <w:t xml:space="preserve"> difficulty was problems with connections (81.1%)</w:t>
      </w:r>
      <w:r>
        <w:t>,</w:t>
      </w:r>
      <w:r w:rsidRPr="00EE006C">
        <w:t xml:space="preserve"> followed by technical problems (62.2%) and difficulties with rapport building (48.6%) (see Table </w:t>
      </w:r>
      <w:r w:rsidR="009A1A4E">
        <w:t>4</w:t>
      </w:r>
      <w:r w:rsidR="00002D1F">
        <w:t>2</w:t>
      </w:r>
      <w:r w:rsidRPr="00EE006C">
        <w:t>).</w:t>
      </w:r>
    </w:p>
    <w:p w14:paraId="53B9CBD0" w14:textId="30FEE947" w:rsidR="0085268A" w:rsidRPr="00EE006C" w:rsidRDefault="0085268A" w:rsidP="005C6BAA">
      <w:pPr>
        <w:pStyle w:val="ANorm"/>
        <w:spacing w:after="240"/>
      </w:pPr>
      <w:r w:rsidRPr="00EE006C">
        <w:t xml:space="preserve">Close to half of respondents that provided DMHS (45.5%) felt that DMHS were somewhat meeting users’ needs with 43.6% felt that users’ needs were mostly met (see Table </w:t>
      </w:r>
      <w:r w:rsidR="00002D1F">
        <w:t>43</w:t>
      </w:r>
      <w:r w:rsidRPr="00EE006C">
        <w:t>).</w:t>
      </w:r>
    </w:p>
    <w:p w14:paraId="19CCDB42" w14:textId="00ED593E" w:rsidR="0085268A" w:rsidRPr="00977C46" w:rsidRDefault="0085268A" w:rsidP="00977C46">
      <w:pPr>
        <w:pStyle w:val="tableheading"/>
      </w:pPr>
      <w:r w:rsidRPr="00977C46">
        <w:t xml:space="preserve">Table </w:t>
      </w:r>
      <w:r w:rsidR="00002D1F">
        <w:t>43</w:t>
      </w:r>
      <w:r w:rsidRPr="00977C46">
        <w:t>. Extent DMHSs are meeting consumer needs (n=55)</w:t>
      </w:r>
    </w:p>
    <w:tbl>
      <w:tblPr>
        <w:tblStyle w:val="TableGrid"/>
        <w:tblW w:w="0" w:type="auto"/>
        <w:tblBorders>
          <w:insideH w:val="none" w:sz="0" w:space="0" w:color="auto"/>
          <w:insideV w:val="none" w:sz="0" w:space="0" w:color="auto"/>
        </w:tblBorders>
        <w:tblLook w:val="04A0" w:firstRow="1" w:lastRow="0" w:firstColumn="1" w:lastColumn="0" w:noHBand="0" w:noVBand="1"/>
        <w:tblDescription w:val="This table presents the extent to which DMHSs are viewed to be meeting consumers needs"/>
      </w:tblPr>
      <w:tblGrid>
        <w:gridCol w:w="4531"/>
        <w:gridCol w:w="1814"/>
        <w:gridCol w:w="2665"/>
      </w:tblGrid>
      <w:tr w:rsidR="0085268A" w:rsidRPr="00FD1B00" w14:paraId="6186AF54" w14:textId="77777777">
        <w:tc>
          <w:tcPr>
            <w:tcW w:w="4531" w:type="dxa"/>
            <w:shd w:val="clear" w:color="auto" w:fill="000000" w:themeFill="text1"/>
          </w:tcPr>
          <w:p w14:paraId="63042DA5" w14:textId="77777777" w:rsidR="0085268A" w:rsidRPr="00FD1B00" w:rsidRDefault="0085268A" w:rsidP="00977C46">
            <w:pPr>
              <w:rPr>
                <w:rFonts w:asciiTheme="minorHAnsi" w:hAnsiTheme="minorHAnsi"/>
                <w:color w:val="FFFFFF" w:themeColor="background1"/>
                <w:sz w:val="18"/>
                <w:szCs w:val="18"/>
              </w:rPr>
            </w:pPr>
          </w:p>
        </w:tc>
        <w:tc>
          <w:tcPr>
            <w:tcW w:w="1814" w:type="dxa"/>
            <w:shd w:val="clear" w:color="auto" w:fill="000000" w:themeFill="text1"/>
          </w:tcPr>
          <w:p w14:paraId="3257F566" w14:textId="77777777" w:rsidR="0085268A" w:rsidRPr="00FD1B00" w:rsidRDefault="0085268A" w:rsidP="00977C46">
            <w:pPr>
              <w:jc w:val="center"/>
              <w:rPr>
                <w:rFonts w:asciiTheme="minorHAnsi" w:hAnsiTheme="minorHAnsi"/>
                <w:color w:val="FFFFFF" w:themeColor="background1"/>
                <w:sz w:val="18"/>
                <w:szCs w:val="18"/>
              </w:rPr>
            </w:pPr>
            <w:r w:rsidRPr="00FD1B00">
              <w:rPr>
                <w:rFonts w:asciiTheme="minorHAnsi" w:hAnsiTheme="minorHAnsi"/>
                <w:color w:val="FFFFFF" w:themeColor="background1"/>
                <w:sz w:val="18"/>
                <w:szCs w:val="18"/>
              </w:rPr>
              <w:t>Frequency</w:t>
            </w:r>
          </w:p>
        </w:tc>
        <w:tc>
          <w:tcPr>
            <w:tcW w:w="2665" w:type="dxa"/>
            <w:shd w:val="clear" w:color="auto" w:fill="000000" w:themeFill="text1"/>
          </w:tcPr>
          <w:p w14:paraId="736E1774" w14:textId="77777777" w:rsidR="0085268A" w:rsidRPr="00FD1B00" w:rsidRDefault="0085268A" w:rsidP="00977C46">
            <w:pPr>
              <w:jc w:val="center"/>
              <w:rPr>
                <w:rFonts w:asciiTheme="minorHAnsi" w:hAnsiTheme="minorHAnsi"/>
                <w:color w:val="FFFFFF" w:themeColor="background1"/>
                <w:sz w:val="18"/>
                <w:szCs w:val="18"/>
              </w:rPr>
            </w:pPr>
            <w:r w:rsidRPr="00FD1B00">
              <w:rPr>
                <w:rFonts w:asciiTheme="minorHAnsi" w:hAnsiTheme="minorHAnsi"/>
                <w:color w:val="FFFFFF" w:themeColor="background1"/>
                <w:sz w:val="18"/>
                <w:szCs w:val="18"/>
              </w:rPr>
              <w:t>%</w:t>
            </w:r>
          </w:p>
        </w:tc>
      </w:tr>
      <w:tr w:rsidR="0085268A" w14:paraId="3505F98A" w14:textId="77777777">
        <w:tc>
          <w:tcPr>
            <w:tcW w:w="4531" w:type="dxa"/>
            <w:vAlign w:val="bottom"/>
          </w:tcPr>
          <w:p w14:paraId="070122D4" w14:textId="77777777" w:rsidR="0085268A" w:rsidRPr="001E302E" w:rsidRDefault="0085268A" w:rsidP="00977C46">
            <w:pPr>
              <w:rPr>
                <w:rFonts w:asciiTheme="minorHAnsi" w:hAnsiTheme="minorHAnsi"/>
                <w:color w:val="000000" w:themeColor="text1"/>
                <w:sz w:val="18"/>
                <w:szCs w:val="18"/>
              </w:rPr>
            </w:pPr>
            <w:r w:rsidRPr="001E302E">
              <w:rPr>
                <w:rFonts w:asciiTheme="minorHAnsi" w:hAnsiTheme="minorHAnsi"/>
                <w:color w:val="000000" w:themeColor="text1"/>
                <w:sz w:val="18"/>
                <w:szCs w:val="18"/>
              </w:rPr>
              <w:t>Not at all</w:t>
            </w:r>
          </w:p>
        </w:tc>
        <w:tc>
          <w:tcPr>
            <w:tcW w:w="1814" w:type="dxa"/>
            <w:vAlign w:val="bottom"/>
          </w:tcPr>
          <w:p w14:paraId="51A1D56A" w14:textId="77777777" w:rsidR="0085268A" w:rsidRPr="001E302E" w:rsidRDefault="0085268A" w:rsidP="00977C46">
            <w:pPr>
              <w:jc w:val="center"/>
              <w:rPr>
                <w:rFonts w:asciiTheme="minorHAnsi" w:hAnsiTheme="minorHAnsi" w:cstheme="minorHAnsi"/>
                <w:color w:val="000000" w:themeColor="text1"/>
                <w:sz w:val="18"/>
                <w:szCs w:val="18"/>
                <w:highlight w:val="cyan"/>
              </w:rPr>
            </w:pPr>
            <w:r w:rsidRPr="001E302E">
              <w:rPr>
                <w:rFonts w:asciiTheme="minorHAnsi" w:hAnsiTheme="minorHAnsi" w:cstheme="minorHAnsi"/>
                <w:color w:val="010205"/>
                <w:sz w:val="18"/>
                <w:szCs w:val="18"/>
              </w:rPr>
              <w:t>1</w:t>
            </w:r>
          </w:p>
        </w:tc>
        <w:tc>
          <w:tcPr>
            <w:tcW w:w="2665" w:type="dxa"/>
            <w:vAlign w:val="bottom"/>
          </w:tcPr>
          <w:p w14:paraId="48851867" w14:textId="77777777" w:rsidR="0085268A" w:rsidRPr="001E302E" w:rsidRDefault="0085268A" w:rsidP="00977C46">
            <w:pPr>
              <w:jc w:val="center"/>
              <w:rPr>
                <w:rFonts w:asciiTheme="minorHAnsi" w:hAnsiTheme="minorHAnsi" w:cstheme="minorHAnsi"/>
                <w:color w:val="000000" w:themeColor="text1"/>
                <w:sz w:val="18"/>
                <w:szCs w:val="18"/>
                <w:highlight w:val="cyan"/>
              </w:rPr>
            </w:pPr>
            <w:r w:rsidRPr="001E302E">
              <w:rPr>
                <w:rFonts w:asciiTheme="minorHAnsi" w:hAnsiTheme="minorHAnsi" w:cstheme="minorHAnsi"/>
                <w:color w:val="010205"/>
                <w:sz w:val="18"/>
                <w:szCs w:val="18"/>
              </w:rPr>
              <w:t>1.8</w:t>
            </w:r>
          </w:p>
        </w:tc>
      </w:tr>
      <w:tr w:rsidR="0085268A" w14:paraId="23463C93" w14:textId="77777777">
        <w:tc>
          <w:tcPr>
            <w:tcW w:w="4531" w:type="dxa"/>
            <w:vAlign w:val="bottom"/>
          </w:tcPr>
          <w:p w14:paraId="4142FFF8" w14:textId="77777777" w:rsidR="0085268A" w:rsidRPr="001E302E" w:rsidRDefault="0085268A" w:rsidP="00977C46">
            <w:pPr>
              <w:rPr>
                <w:rFonts w:asciiTheme="minorHAnsi" w:hAnsiTheme="minorHAnsi"/>
                <w:color w:val="000000" w:themeColor="text1"/>
                <w:sz w:val="18"/>
                <w:szCs w:val="18"/>
              </w:rPr>
            </w:pPr>
            <w:r w:rsidRPr="001E302E">
              <w:rPr>
                <w:rFonts w:asciiTheme="minorHAnsi" w:hAnsiTheme="minorHAnsi"/>
                <w:color w:val="000000" w:themeColor="text1"/>
                <w:sz w:val="18"/>
                <w:szCs w:val="18"/>
              </w:rPr>
              <w:t>Somewhat</w:t>
            </w:r>
          </w:p>
        </w:tc>
        <w:tc>
          <w:tcPr>
            <w:tcW w:w="1814" w:type="dxa"/>
            <w:vAlign w:val="bottom"/>
          </w:tcPr>
          <w:p w14:paraId="4262A8F5" w14:textId="77777777" w:rsidR="0085268A" w:rsidRPr="001E302E" w:rsidRDefault="0085268A" w:rsidP="00977C46">
            <w:pPr>
              <w:jc w:val="center"/>
              <w:rPr>
                <w:rFonts w:asciiTheme="minorHAnsi" w:hAnsiTheme="minorHAnsi" w:cstheme="minorHAnsi"/>
                <w:color w:val="000000" w:themeColor="text1"/>
                <w:sz w:val="18"/>
                <w:szCs w:val="18"/>
                <w:highlight w:val="cyan"/>
              </w:rPr>
            </w:pPr>
            <w:r w:rsidRPr="001E302E">
              <w:rPr>
                <w:rFonts w:asciiTheme="minorHAnsi" w:hAnsiTheme="minorHAnsi" w:cstheme="minorHAnsi"/>
                <w:color w:val="010205"/>
                <w:sz w:val="18"/>
                <w:szCs w:val="18"/>
              </w:rPr>
              <w:t>25</w:t>
            </w:r>
          </w:p>
        </w:tc>
        <w:tc>
          <w:tcPr>
            <w:tcW w:w="2665" w:type="dxa"/>
            <w:vAlign w:val="bottom"/>
          </w:tcPr>
          <w:p w14:paraId="5DF88D01" w14:textId="77777777" w:rsidR="0085268A" w:rsidRPr="001E302E" w:rsidRDefault="0085268A" w:rsidP="00977C46">
            <w:pPr>
              <w:jc w:val="center"/>
              <w:rPr>
                <w:rFonts w:asciiTheme="minorHAnsi" w:hAnsiTheme="minorHAnsi" w:cstheme="minorHAnsi"/>
                <w:color w:val="000000" w:themeColor="text1"/>
                <w:sz w:val="18"/>
                <w:szCs w:val="18"/>
                <w:highlight w:val="cyan"/>
              </w:rPr>
            </w:pPr>
            <w:r w:rsidRPr="001E302E">
              <w:rPr>
                <w:rFonts w:asciiTheme="minorHAnsi" w:hAnsiTheme="minorHAnsi" w:cstheme="minorHAnsi"/>
                <w:color w:val="010205"/>
                <w:sz w:val="18"/>
                <w:szCs w:val="18"/>
              </w:rPr>
              <w:t>45.5</w:t>
            </w:r>
          </w:p>
        </w:tc>
      </w:tr>
      <w:tr w:rsidR="0085268A" w14:paraId="7872C9D4" w14:textId="77777777">
        <w:tc>
          <w:tcPr>
            <w:tcW w:w="4531" w:type="dxa"/>
            <w:vAlign w:val="bottom"/>
          </w:tcPr>
          <w:p w14:paraId="588EABBE" w14:textId="77777777" w:rsidR="0085268A" w:rsidRPr="001E302E" w:rsidRDefault="0085268A" w:rsidP="00977C46">
            <w:pPr>
              <w:rPr>
                <w:rFonts w:asciiTheme="minorHAnsi" w:hAnsiTheme="minorHAnsi"/>
                <w:color w:val="000000" w:themeColor="text1"/>
                <w:sz w:val="18"/>
                <w:szCs w:val="18"/>
              </w:rPr>
            </w:pPr>
            <w:r w:rsidRPr="001E302E">
              <w:rPr>
                <w:rFonts w:asciiTheme="minorHAnsi" w:hAnsiTheme="minorHAnsi"/>
                <w:color w:val="000000" w:themeColor="text1"/>
                <w:sz w:val="18"/>
                <w:szCs w:val="18"/>
              </w:rPr>
              <w:t>Mostly</w:t>
            </w:r>
          </w:p>
        </w:tc>
        <w:tc>
          <w:tcPr>
            <w:tcW w:w="1814" w:type="dxa"/>
            <w:vAlign w:val="bottom"/>
          </w:tcPr>
          <w:p w14:paraId="745F77C7" w14:textId="77777777" w:rsidR="0085268A" w:rsidRPr="001E302E" w:rsidRDefault="0085268A" w:rsidP="00977C46">
            <w:pPr>
              <w:jc w:val="center"/>
              <w:rPr>
                <w:rFonts w:asciiTheme="minorHAnsi" w:hAnsiTheme="minorHAnsi" w:cstheme="minorHAnsi"/>
                <w:color w:val="000000" w:themeColor="text1"/>
                <w:sz w:val="18"/>
                <w:szCs w:val="18"/>
                <w:highlight w:val="cyan"/>
              </w:rPr>
            </w:pPr>
            <w:r w:rsidRPr="001E302E">
              <w:rPr>
                <w:rFonts w:asciiTheme="minorHAnsi" w:hAnsiTheme="minorHAnsi" w:cstheme="minorHAnsi"/>
                <w:color w:val="010205"/>
                <w:sz w:val="18"/>
                <w:szCs w:val="18"/>
              </w:rPr>
              <w:t>24</w:t>
            </w:r>
          </w:p>
        </w:tc>
        <w:tc>
          <w:tcPr>
            <w:tcW w:w="2665" w:type="dxa"/>
            <w:vAlign w:val="bottom"/>
          </w:tcPr>
          <w:p w14:paraId="0D8312BE" w14:textId="77777777" w:rsidR="0085268A" w:rsidRPr="001E302E" w:rsidRDefault="0085268A" w:rsidP="00977C46">
            <w:pPr>
              <w:jc w:val="center"/>
              <w:rPr>
                <w:rFonts w:asciiTheme="minorHAnsi" w:hAnsiTheme="minorHAnsi" w:cstheme="minorHAnsi"/>
                <w:color w:val="000000" w:themeColor="text1"/>
                <w:sz w:val="18"/>
                <w:szCs w:val="18"/>
                <w:highlight w:val="cyan"/>
              </w:rPr>
            </w:pPr>
            <w:r w:rsidRPr="001E302E">
              <w:rPr>
                <w:rFonts w:asciiTheme="minorHAnsi" w:hAnsiTheme="minorHAnsi" w:cstheme="minorHAnsi"/>
                <w:color w:val="010205"/>
                <w:sz w:val="18"/>
                <w:szCs w:val="18"/>
              </w:rPr>
              <w:t>43.6</w:t>
            </w:r>
          </w:p>
        </w:tc>
      </w:tr>
      <w:tr w:rsidR="0085268A" w14:paraId="5B81DA66" w14:textId="77777777">
        <w:tc>
          <w:tcPr>
            <w:tcW w:w="4531" w:type="dxa"/>
            <w:vAlign w:val="bottom"/>
          </w:tcPr>
          <w:p w14:paraId="66B5BCCE" w14:textId="77777777" w:rsidR="0085268A" w:rsidRPr="001E302E" w:rsidRDefault="0085268A" w:rsidP="00977C46">
            <w:pPr>
              <w:rPr>
                <w:rFonts w:asciiTheme="minorHAnsi" w:hAnsiTheme="minorHAnsi"/>
                <w:color w:val="000000" w:themeColor="text1"/>
                <w:sz w:val="18"/>
                <w:szCs w:val="18"/>
              </w:rPr>
            </w:pPr>
            <w:r w:rsidRPr="001E302E">
              <w:rPr>
                <w:rFonts w:asciiTheme="minorHAnsi" w:hAnsiTheme="minorHAnsi"/>
                <w:color w:val="000000" w:themeColor="text1"/>
                <w:sz w:val="18"/>
                <w:szCs w:val="18"/>
              </w:rPr>
              <w:t>Completely</w:t>
            </w:r>
          </w:p>
        </w:tc>
        <w:tc>
          <w:tcPr>
            <w:tcW w:w="1814" w:type="dxa"/>
            <w:vAlign w:val="bottom"/>
          </w:tcPr>
          <w:p w14:paraId="65190F2A" w14:textId="77777777" w:rsidR="0085268A" w:rsidRPr="001E302E" w:rsidRDefault="0085268A" w:rsidP="00977C46">
            <w:pPr>
              <w:jc w:val="center"/>
              <w:rPr>
                <w:rFonts w:asciiTheme="minorHAnsi" w:hAnsiTheme="minorHAnsi" w:cstheme="minorHAnsi"/>
                <w:color w:val="000000" w:themeColor="text1"/>
                <w:sz w:val="18"/>
                <w:szCs w:val="18"/>
                <w:highlight w:val="cyan"/>
              </w:rPr>
            </w:pPr>
            <w:r w:rsidRPr="001E302E">
              <w:rPr>
                <w:rFonts w:asciiTheme="minorHAnsi" w:hAnsiTheme="minorHAnsi" w:cstheme="minorHAnsi"/>
                <w:color w:val="010205"/>
                <w:sz w:val="18"/>
                <w:szCs w:val="18"/>
              </w:rPr>
              <w:t>3</w:t>
            </w:r>
          </w:p>
        </w:tc>
        <w:tc>
          <w:tcPr>
            <w:tcW w:w="2665" w:type="dxa"/>
            <w:vAlign w:val="bottom"/>
          </w:tcPr>
          <w:p w14:paraId="0D67A06B" w14:textId="77777777" w:rsidR="0085268A" w:rsidRPr="001E302E" w:rsidRDefault="0085268A" w:rsidP="00977C46">
            <w:pPr>
              <w:jc w:val="center"/>
              <w:rPr>
                <w:rFonts w:asciiTheme="minorHAnsi" w:hAnsiTheme="minorHAnsi" w:cstheme="minorHAnsi"/>
                <w:color w:val="000000" w:themeColor="text1"/>
                <w:sz w:val="18"/>
                <w:szCs w:val="18"/>
                <w:highlight w:val="cyan"/>
              </w:rPr>
            </w:pPr>
            <w:r w:rsidRPr="001E302E">
              <w:rPr>
                <w:rFonts w:asciiTheme="minorHAnsi" w:hAnsiTheme="minorHAnsi" w:cstheme="minorHAnsi"/>
                <w:color w:val="010205"/>
                <w:sz w:val="18"/>
                <w:szCs w:val="18"/>
              </w:rPr>
              <w:t>5.5</w:t>
            </w:r>
          </w:p>
        </w:tc>
      </w:tr>
      <w:tr w:rsidR="0085268A" w14:paraId="784B22E9" w14:textId="77777777">
        <w:tc>
          <w:tcPr>
            <w:tcW w:w="4531" w:type="dxa"/>
            <w:vAlign w:val="bottom"/>
          </w:tcPr>
          <w:p w14:paraId="1FA4575E" w14:textId="77777777" w:rsidR="0085268A" w:rsidRPr="001E302E" w:rsidRDefault="0085268A" w:rsidP="00977C46">
            <w:pPr>
              <w:rPr>
                <w:rFonts w:asciiTheme="minorHAnsi" w:hAnsiTheme="minorHAnsi"/>
                <w:color w:val="000000" w:themeColor="text1"/>
                <w:sz w:val="18"/>
                <w:szCs w:val="18"/>
              </w:rPr>
            </w:pPr>
            <w:r w:rsidRPr="001E302E">
              <w:rPr>
                <w:rFonts w:asciiTheme="minorHAnsi" w:hAnsiTheme="minorHAnsi"/>
                <w:color w:val="000000" w:themeColor="text1"/>
                <w:sz w:val="18"/>
                <w:szCs w:val="18"/>
              </w:rPr>
              <w:t>Missing</w:t>
            </w:r>
          </w:p>
        </w:tc>
        <w:tc>
          <w:tcPr>
            <w:tcW w:w="1814" w:type="dxa"/>
            <w:vAlign w:val="bottom"/>
          </w:tcPr>
          <w:p w14:paraId="7EB88298" w14:textId="77777777" w:rsidR="0085268A" w:rsidRPr="001E302E" w:rsidRDefault="0085268A" w:rsidP="00977C46">
            <w:pPr>
              <w:jc w:val="center"/>
              <w:rPr>
                <w:rFonts w:asciiTheme="minorHAnsi" w:hAnsiTheme="minorHAnsi" w:cstheme="minorHAnsi"/>
                <w:color w:val="000000" w:themeColor="text1"/>
                <w:sz w:val="18"/>
                <w:szCs w:val="18"/>
                <w:highlight w:val="cyan"/>
              </w:rPr>
            </w:pPr>
            <w:r w:rsidRPr="001E302E">
              <w:rPr>
                <w:rFonts w:asciiTheme="minorHAnsi" w:hAnsiTheme="minorHAnsi" w:cstheme="minorHAnsi"/>
                <w:color w:val="010205"/>
                <w:sz w:val="18"/>
                <w:szCs w:val="18"/>
              </w:rPr>
              <w:t>2</w:t>
            </w:r>
          </w:p>
        </w:tc>
        <w:tc>
          <w:tcPr>
            <w:tcW w:w="2665" w:type="dxa"/>
            <w:vAlign w:val="bottom"/>
          </w:tcPr>
          <w:p w14:paraId="0776EC12" w14:textId="77777777" w:rsidR="0085268A" w:rsidRPr="001E302E" w:rsidRDefault="0085268A" w:rsidP="00977C46">
            <w:pPr>
              <w:jc w:val="center"/>
              <w:rPr>
                <w:rFonts w:asciiTheme="minorHAnsi" w:hAnsiTheme="minorHAnsi" w:cstheme="minorHAnsi"/>
                <w:color w:val="000000" w:themeColor="text1"/>
                <w:sz w:val="18"/>
                <w:szCs w:val="18"/>
                <w:highlight w:val="cyan"/>
              </w:rPr>
            </w:pPr>
            <w:r w:rsidRPr="001E302E">
              <w:rPr>
                <w:rFonts w:asciiTheme="minorHAnsi" w:hAnsiTheme="minorHAnsi" w:cstheme="minorHAnsi"/>
                <w:color w:val="010205"/>
                <w:sz w:val="18"/>
                <w:szCs w:val="18"/>
              </w:rPr>
              <w:t>3.6</w:t>
            </w:r>
          </w:p>
        </w:tc>
      </w:tr>
    </w:tbl>
    <w:p w14:paraId="75874392" w14:textId="333E8527" w:rsidR="0085268A" w:rsidRPr="007B7BE3" w:rsidRDefault="0085268A" w:rsidP="0085268A">
      <w:pPr>
        <w:pStyle w:val="ANorm"/>
        <w:spacing w:before="240" w:after="240"/>
      </w:pPr>
      <w:r>
        <w:t>Most</w:t>
      </w:r>
      <w:r w:rsidRPr="00B72CD8">
        <w:t xml:space="preserve"> </w:t>
      </w:r>
      <w:r w:rsidRPr="007B7BE3">
        <w:t xml:space="preserve">survey respondents who provided DMHSs indicated that supported DMHSs had benefitted consumers under their care (n=50, 90.9%). The </w:t>
      </w:r>
      <w:proofErr w:type="gramStart"/>
      <w:r w:rsidRPr="007B7BE3">
        <w:t>most commonly identified</w:t>
      </w:r>
      <w:proofErr w:type="gramEnd"/>
      <w:r w:rsidRPr="007B7BE3">
        <w:t xml:space="preserve"> benefit</w:t>
      </w:r>
      <w:r>
        <w:t>s</w:t>
      </w:r>
      <w:r w:rsidRPr="007B7BE3">
        <w:t xml:space="preserve"> w</w:t>
      </w:r>
      <w:r>
        <w:t>ere</w:t>
      </w:r>
      <w:r w:rsidRPr="007B7BE3">
        <w:t xml:space="preserve"> improved access to care (86%) followed by reduced costs associated with care (80%), improved mental health and wellbeing (80%) and improved convenience of care (76%</w:t>
      </w:r>
      <w:r w:rsidR="002A5B54">
        <w:t xml:space="preserve">; </w:t>
      </w:r>
      <w:r w:rsidRPr="007B7BE3">
        <w:t>see Table</w:t>
      </w:r>
      <w:r w:rsidR="00002D1F">
        <w:t xml:space="preserve"> 44</w:t>
      </w:r>
      <w:r w:rsidRPr="007B7BE3">
        <w:t>).</w:t>
      </w:r>
    </w:p>
    <w:p w14:paraId="3E889786" w14:textId="77777777" w:rsidR="00977C46" w:rsidRDefault="00977C46" w:rsidP="00977C46">
      <w:pPr>
        <w:pStyle w:val="tableheading"/>
      </w:pPr>
      <w:r>
        <w:br w:type="page"/>
      </w:r>
    </w:p>
    <w:p w14:paraId="61382CDA" w14:textId="150B9C14" w:rsidR="0085268A" w:rsidRPr="00977C46" w:rsidRDefault="0085268A" w:rsidP="00977C46">
      <w:pPr>
        <w:pStyle w:val="tableheading"/>
      </w:pPr>
      <w:r w:rsidRPr="00977C46">
        <w:lastRenderedPageBreak/>
        <w:t xml:space="preserve">Table </w:t>
      </w:r>
      <w:r w:rsidR="00002D1F">
        <w:t>44</w:t>
      </w:r>
      <w:r w:rsidRPr="00977C46">
        <w:t>. Benefits to consumers (n=50) a</w:t>
      </w:r>
    </w:p>
    <w:tbl>
      <w:tblPr>
        <w:tblStyle w:val="TableGrid"/>
        <w:tblW w:w="0" w:type="auto"/>
        <w:tblBorders>
          <w:insideH w:val="none" w:sz="0" w:space="0" w:color="auto"/>
          <w:insideV w:val="none" w:sz="0" w:space="0" w:color="auto"/>
        </w:tblBorders>
        <w:tblLook w:val="04A0" w:firstRow="1" w:lastRow="0" w:firstColumn="1" w:lastColumn="0" w:noHBand="0" w:noVBand="1"/>
        <w:tblDescription w:val="This table presents the extent to which DMHSs are viewed to be benefitting consumers"/>
      </w:tblPr>
      <w:tblGrid>
        <w:gridCol w:w="4957"/>
        <w:gridCol w:w="2026"/>
        <w:gridCol w:w="2027"/>
      </w:tblGrid>
      <w:tr w:rsidR="0085268A" w:rsidRPr="004A65F9" w14:paraId="28679B6F" w14:textId="77777777">
        <w:tc>
          <w:tcPr>
            <w:tcW w:w="4957" w:type="dxa"/>
            <w:shd w:val="clear" w:color="auto" w:fill="000000" w:themeFill="text1"/>
          </w:tcPr>
          <w:p w14:paraId="431D87EE" w14:textId="77777777" w:rsidR="0085268A" w:rsidRPr="00FD1B00" w:rsidRDefault="0085268A" w:rsidP="00977C46">
            <w:pPr>
              <w:rPr>
                <w:rFonts w:asciiTheme="minorHAnsi" w:hAnsiTheme="minorHAnsi"/>
                <w:color w:val="FFFFFF" w:themeColor="background1"/>
                <w:sz w:val="18"/>
                <w:szCs w:val="18"/>
              </w:rPr>
            </w:pPr>
          </w:p>
        </w:tc>
        <w:tc>
          <w:tcPr>
            <w:tcW w:w="2026" w:type="dxa"/>
            <w:shd w:val="clear" w:color="auto" w:fill="000000" w:themeFill="text1"/>
          </w:tcPr>
          <w:p w14:paraId="5EF47C0B" w14:textId="77777777" w:rsidR="0085268A" w:rsidRPr="004A65F9" w:rsidRDefault="0085268A" w:rsidP="00977C46">
            <w:pPr>
              <w:jc w:val="center"/>
              <w:rPr>
                <w:rFonts w:asciiTheme="minorHAnsi" w:hAnsiTheme="minorHAnsi"/>
                <w:color w:val="FFFFFF" w:themeColor="background1"/>
                <w:sz w:val="18"/>
                <w:szCs w:val="18"/>
              </w:rPr>
            </w:pPr>
            <w:r w:rsidRPr="004A65F9">
              <w:rPr>
                <w:rFonts w:asciiTheme="minorHAnsi" w:hAnsiTheme="minorHAnsi"/>
                <w:color w:val="FFFFFF" w:themeColor="background1"/>
                <w:sz w:val="18"/>
                <w:szCs w:val="18"/>
              </w:rPr>
              <w:t>Frequency</w:t>
            </w:r>
          </w:p>
        </w:tc>
        <w:tc>
          <w:tcPr>
            <w:tcW w:w="2027" w:type="dxa"/>
            <w:shd w:val="clear" w:color="auto" w:fill="000000" w:themeFill="text1"/>
          </w:tcPr>
          <w:p w14:paraId="64478FE1" w14:textId="77777777" w:rsidR="0085268A" w:rsidRPr="004A65F9" w:rsidRDefault="0085268A" w:rsidP="00977C46">
            <w:pPr>
              <w:jc w:val="center"/>
              <w:rPr>
                <w:rFonts w:asciiTheme="minorHAnsi" w:hAnsiTheme="minorHAnsi"/>
                <w:color w:val="FFFFFF" w:themeColor="background1"/>
                <w:sz w:val="18"/>
                <w:szCs w:val="18"/>
              </w:rPr>
            </w:pPr>
            <w:r w:rsidRPr="004A65F9">
              <w:rPr>
                <w:rFonts w:asciiTheme="minorHAnsi" w:hAnsiTheme="minorHAnsi"/>
                <w:color w:val="FFFFFF" w:themeColor="background1"/>
                <w:sz w:val="18"/>
                <w:szCs w:val="18"/>
              </w:rPr>
              <w:t>%</w:t>
            </w:r>
          </w:p>
        </w:tc>
      </w:tr>
      <w:tr w:rsidR="0085268A" w:rsidRPr="004A65F9" w14:paraId="654FAF11" w14:textId="77777777">
        <w:tc>
          <w:tcPr>
            <w:tcW w:w="4957" w:type="dxa"/>
            <w:vAlign w:val="bottom"/>
          </w:tcPr>
          <w:p w14:paraId="29C2ABFF" w14:textId="77777777" w:rsidR="0085268A" w:rsidRPr="004A65F9" w:rsidRDefault="0085268A" w:rsidP="00977C46">
            <w:pPr>
              <w:rPr>
                <w:rFonts w:asciiTheme="minorHAnsi" w:hAnsiTheme="minorHAnsi"/>
                <w:color w:val="000000" w:themeColor="text1"/>
                <w:sz w:val="18"/>
                <w:szCs w:val="18"/>
              </w:rPr>
            </w:pPr>
            <w:r w:rsidRPr="004A65F9">
              <w:rPr>
                <w:rFonts w:asciiTheme="minorHAnsi" w:hAnsiTheme="minorHAnsi"/>
                <w:color w:val="000000" w:themeColor="text1"/>
                <w:sz w:val="18"/>
                <w:szCs w:val="18"/>
              </w:rPr>
              <w:t>Improved mental health and wellbeing</w:t>
            </w:r>
          </w:p>
        </w:tc>
        <w:tc>
          <w:tcPr>
            <w:tcW w:w="2026" w:type="dxa"/>
            <w:vAlign w:val="bottom"/>
          </w:tcPr>
          <w:p w14:paraId="2C4D11BB" w14:textId="77777777" w:rsidR="0085268A" w:rsidRPr="004A65F9" w:rsidRDefault="0085268A" w:rsidP="00977C46">
            <w:pPr>
              <w:jc w:val="center"/>
              <w:rPr>
                <w:rFonts w:ascii="Calibri" w:hAnsi="Calibri" w:cs="Calibri"/>
                <w:color w:val="000000" w:themeColor="text1"/>
                <w:sz w:val="18"/>
                <w:szCs w:val="18"/>
              </w:rPr>
            </w:pPr>
            <w:r w:rsidRPr="004A65F9">
              <w:rPr>
                <w:rFonts w:ascii="Calibri" w:hAnsi="Calibri" w:cs="Calibri"/>
                <w:color w:val="010205"/>
                <w:sz w:val="18"/>
                <w:szCs w:val="18"/>
              </w:rPr>
              <w:t>39</w:t>
            </w:r>
          </w:p>
        </w:tc>
        <w:tc>
          <w:tcPr>
            <w:tcW w:w="2027" w:type="dxa"/>
            <w:vAlign w:val="bottom"/>
          </w:tcPr>
          <w:p w14:paraId="23AE0056" w14:textId="77777777" w:rsidR="0085268A" w:rsidRPr="004A65F9" w:rsidRDefault="0085268A" w:rsidP="00977C46">
            <w:pPr>
              <w:jc w:val="center"/>
              <w:rPr>
                <w:rFonts w:ascii="Calibri" w:hAnsi="Calibri" w:cs="Calibri"/>
                <w:color w:val="000000" w:themeColor="text1"/>
                <w:sz w:val="18"/>
                <w:szCs w:val="18"/>
              </w:rPr>
            </w:pPr>
            <w:r w:rsidRPr="004A65F9">
              <w:rPr>
                <w:rFonts w:ascii="Calibri" w:hAnsi="Calibri" w:cs="Calibri"/>
                <w:color w:val="010205"/>
                <w:sz w:val="18"/>
                <w:szCs w:val="18"/>
              </w:rPr>
              <w:t>78.0</w:t>
            </w:r>
          </w:p>
        </w:tc>
      </w:tr>
      <w:tr w:rsidR="0085268A" w:rsidRPr="004A65F9" w14:paraId="3923CDD7" w14:textId="77777777">
        <w:tc>
          <w:tcPr>
            <w:tcW w:w="4957" w:type="dxa"/>
            <w:vAlign w:val="bottom"/>
          </w:tcPr>
          <w:p w14:paraId="3CFC187C" w14:textId="77777777" w:rsidR="0085268A" w:rsidRPr="004A65F9" w:rsidRDefault="0085268A" w:rsidP="00977C46">
            <w:pPr>
              <w:rPr>
                <w:rFonts w:asciiTheme="minorHAnsi" w:hAnsiTheme="minorHAnsi"/>
                <w:color w:val="000000" w:themeColor="text1"/>
                <w:sz w:val="18"/>
                <w:szCs w:val="18"/>
              </w:rPr>
            </w:pPr>
            <w:r w:rsidRPr="004A65F9">
              <w:rPr>
                <w:rFonts w:asciiTheme="minorHAnsi" w:hAnsiTheme="minorHAnsi"/>
                <w:color w:val="000000" w:themeColor="text1"/>
                <w:sz w:val="18"/>
                <w:szCs w:val="18"/>
              </w:rPr>
              <w:t>Improved access to care</w:t>
            </w:r>
          </w:p>
        </w:tc>
        <w:tc>
          <w:tcPr>
            <w:tcW w:w="2026" w:type="dxa"/>
            <w:vAlign w:val="bottom"/>
          </w:tcPr>
          <w:p w14:paraId="2E4429CF" w14:textId="77777777" w:rsidR="0085268A" w:rsidRPr="004A65F9" w:rsidRDefault="0085268A" w:rsidP="00977C46">
            <w:pPr>
              <w:jc w:val="center"/>
              <w:rPr>
                <w:rFonts w:ascii="Calibri" w:hAnsi="Calibri" w:cs="Calibri"/>
                <w:color w:val="000000" w:themeColor="text1"/>
                <w:sz w:val="18"/>
                <w:szCs w:val="18"/>
              </w:rPr>
            </w:pPr>
            <w:r w:rsidRPr="004A65F9">
              <w:rPr>
                <w:rFonts w:ascii="Calibri" w:hAnsi="Calibri" w:cs="Calibri"/>
                <w:color w:val="010205"/>
                <w:sz w:val="18"/>
                <w:szCs w:val="18"/>
              </w:rPr>
              <w:t>43</w:t>
            </w:r>
          </w:p>
        </w:tc>
        <w:tc>
          <w:tcPr>
            <w:tcW w:w="2027" w:type="dxa"/>
            <w:vAlign w:val="bottom"/>
          </w:tcPr>
          <w:p w14:paraId="0804BF19" w14:textId="77777777" w:rsidR="0085268A" w:rsidRPr="004A65F9" w:rsidRDefault="0085268A" w:rsidP="00977C46">
            <w:pPr>
              <w:jc w:val="center"/>
              <w:rPr>
                <w:rFonts w:ascii="Calibri" w:hAnsi="Calibri" w:cs="Calibri"/>
                <w:color w:val="000000" w:themeColor="text1"/>
                <w:sz w:val="18"/>
                <w:szCs w:val="18"/>
              </w:rPr>
            </w:pPr>
            <w:r w:rsidRPr="004A65F9">
              <w:rPr>
                <w:rFonts w:ascii="Calibri" w:hAnsi="Calibri" w:cs="Calibri"/>
                <w:color w:val="010205"/>
                <w:sz w:val="18"/>
                <w:szCs w:val="18"/>
              </w:rPr>
              <w:t>86.0</w:t>
            </w:r>
          </w:p>
        </w:tc>
      </w:tr>
      <w:tr w:rsidR="0085268A" w:rsidRPr="004A65F9" w14:paraId="682B8A6F" w14:textId="77777777">
        <w:tc>
          <w:tcPr>
            <w:tcW w:w="4957" w:type="dxa"/>
            <w:vAlign w:val="bottom"/>
          </w:tcPr>
          <w:p w14:paraId="2D9C8DF1" w14:textId="77777777" w:rsidR="0085268A" w:rsidRPr="004A65F9" w:rsidRDefault="0085268A" w:rsidP="00977C46">
            <w:pPr>
              <w:rPr>
                <w:rFonts w:asciiTheme="minorHAnsi" w:hAnsiTheme="minorHAnsi"/>
                <w:color w:val="000000" w:themeColor="text1"/>
                <w:sz w:val="18"/>
                <w:szCs w:val="18"/>
              </w:rPr>
            </w:pPr>
            <w:r w:rsidRPr="004A65F9">
              <w:rPr>
                <w:rFonts w:asciiTheme="minorHAnsi" w:hAnsiTheme="minorHAnsi"/>
                <w:color w:val="000000" w:themeColor="text1"/>
                <w:sz w:val="18"/>
                <w:szCs w:val="18"/>
              </w:rPr>
              <w:t>Improved privacy</w:t>
            </w:r>
          </w:p>
        </w:tc>
        <w:tc>
          <w:tcPr>
            <w:tcW w:w="2026" w:type="dxa"/>
            <w:vAlign w:val="bottom"/>
          </w:tcPr>
          <w:p w14:paraId="69FE3269" w14:textId="77777777" w:rsidR="0085268A" w:rsidRPr="004A65F9" w:rsidRDefault="0085268A" w:rsidP="00977C46">
            <w:pPr>
              <w:jc w:val="center"/>
              <w:rPr>
                <w:rFonts w:ascii="Calibri" w:hAnsi="Calibri" w:cs="Calibri"/>
                <w:color w:val="000000" w:themeColor="text1"/>
                <w:sz w:val="18"/>
                <w:szCs w:val="18"/>
              </w:rPr>
            </w:pPr>
            <w:r w:rsidRPr="004A65F9">
              <w:rPr>
                <w:rFonts w:ascii="Calibri" w:hAnsi="Calibri" w:cs="Calibri"/>
                <w:color w:val="010205"/>
                <w:sz w:val="18"/>
                <w:szCs w:val="18"/>
              </w:rPr>
              <w:t>14</w:t>
            </w:r>
          </w:p>
        </w:tc>
        <w:tc>
          <w:tcPr>
            <w:tcW w:w="2027" w:type="dxa"/>
            <w:vAlign w:val="bottom"/>
          </w:tcPr>
          <w:p w14:paraId="57E0DA82" w14:textId="77777777" w:rsidR="0085268A" w:rsidRPr="004A65F9" w:rsidRDefault="0085268A" w:rsidP="00977C46">
            <w:pPr>
              <w:jc w:val="center"/>
              <w:rPr>
                <w:rFonts w:ascii="Calibri" w:hAnsi="Calibri" w:cs="Calibri"/>
                <w:color w:val="000000" w:themeColor="text1"/>
                <w:sz w:val="18"/>
                <w:szCs w:val="18"/>
              </w:rPr>
            </w:pPr>
            <w:r w:rsidRPr="004A65F9">
              <w:rPr>
                <w:rFonts w:ascii="Calibri" w:hAnsi="Calibri" w:cs="Calibri"/>
                <w:color w:val="010205"/>
                <w:sz w:val="18"/>
                <w:szCs w:val="18"/>
              </w:rPr>
              <w:t>28.0</w:t>
            </w:r>
          </w:p>
        </w:tc>
      </w:tr>
      <w:tr w:rsidR="0085268A" w:rsidRPr="004A65F9" w14:paraId="5C1B462E" w14:textId="77777777">
        <w:tc>
          <w:tcPr>
            <w:tcW w:w="4957" w:type="dxa"/>
            <w:vAlign w:val="bottom"/>
          </w:tcPr>
          <w:p w14:paraId="696AC307" w14:textId="77777777" w:rsidR="0085268A" w:rsidRPr="004A65F9" w:rsidRDefault="0085268A" w:rsidP="00977C46">
            <w:pPr>
              <w:rPr>
                <w:rFonts w:asciiTheme="minorHAnsi" w:hAnsiTheme="minorHAnsi"/>
                <w:color w:val="000000" w:themeColor="text1"/>
                <w:sz w:val="18"/>
                <w:szCs w:val="18"/>
              </w:rPr>
            </w:pPr>
            <w:r w:rsidRPr="004A65F9">
              <w:rPr>
                <w:rFonts w:asciiTheme="minorHAnsi" w:hAnsiTheme="minorHAnsi"/>
                <w:color w:val="000000" w:themeColor="text1"/>
                <w:sz w:val="18"/>
                <w:szCs w:val="18"/>
              </w:rPr>
              <w:t>Improved waiting times for services</w:t>
            </w:r>
          </w:p>
        </w:tc>
        <w:tc>
          <w:tcPr>
            <w:tcW w:w="2026" w:type="dxa"/>
            <w:vAlign w:val="bottom"/>
          </w:tcPr>
          <w:p w14:paraId="3FC8C34D" w14:textId="77777777" w:rsidR="0085268A" w:rsidRPr="004A65F9" w:rsidRDefault="0085268A" w:rsidP="00977C46">
            <w:pPr>
              <w:jc w:val="center"/>
              <w:rPr>
                <w:rFonts w:ascii="Calibri" w:hAnsi="Calibri" w:cs="Calibri"/>
                <w:color w:val="000000" w:themeColor="text1"/>
                <w:sz w:val="18"/>
                <w:szCs w:val="18"/>
              </w:rPr>
            </w:pPr>
            <w:r w:rsidRPr="004A65F9">
              <w:rPr>
                <w:rFonts w:ascii="Calibri" w:hAnsi="Calibri" w:cs="Calibri"/>
                <w:color w:val="010205"/>
                <w:sz w:val="18"/>
                <w:szCs w:val="18"/>
              </w:rPr>
              <w:t>25</w:t>
            </w:r>
          </w:p>
        </w:tc>
        <w:tc>
          <w:tcPr>
            <w:tcW w:w="2027" w:type="dxa"/>
            <w:vAlign w:val="bottom"/>
          </w:tcPr>
          <w:p w14:paraId="13F9400F" w14:textId="77777777" w:rsidR="0085268A" w:rsidRPr="004A65F9" w:rsidRDefault="0085268A" w:rsidP="00977C46">
            <w:pPr>
              <w:jc w:val="center"/>
              <w:rPr>
                <w:rFonts w:ascii="Calibri" w:hAnsi="Calibri" w:cs="Calibri"/>
                <w:color w:val="000000" w:themeColor="text1"/>
                <w:sz w:val="18"/>
                <w:szCs w:val="18"/>
              </w:rPr>
            </w:pPr>
            <w:r w:rsidRPr="004A65F9">
              <w:rPr>
                <w:rFonts w:ascii="Calibri" w:hAnsi="Calibri" w:cs="Calibri"/>
                <w:color w:val="010205"/>
                <w:sz w:val="18"/>
                <w:szCs w:val="18"/>
              </w:rPr>
              <w:t>50.0</w:t>
            </w:r>
          </w:p>
        </w:tc>
      </w:tr>
      <w:tr w:rsidR="0085268A" w:rsidRPr="004A65F9" w14:paraId="779E7304" w14:textId="77777777">
        <w:tc>
          <w:tcPr>
            <w:tcW w:w="4957" w:type="dxa"/>
            <w:vAlign w:val="bottom"/>
          </w:tcPr>
          <w:p w14:paraId="1D603E89" w14:textId="77777777" w:rsidR="0085268A" w:rsidRPr="004A65F9" w:rsidRDefault="0085268A" w:rsidP="00977C46">
            <w:pPr>
              <w:rPr>
                <w:rFonts w:asciiTheme="minorHAnsi" w:hAnsiTheme="minorHAnsi"/>
                <w:color w:val="000000" w:themeColor="text1"/>
                <w:sz w:val="18"/>
                <w:szCs w:val="18"/>
              </w:rPr>
            </w:pPr>
            <w:r w:rsidRPr="004A65F9">
              <w:rPr>
                <w:rFonts w:asciiTheme="minorHAnsi" w:hAnsiTheme="minorHAnsi"/>
                <w:color w:val="000000" w:themeColor="text1"/>
                <w:sz w:val="18"/>
                <w:szCs w:val="18"/>
              </w:rPr>
              <w:t>Reduced costs associated with care (travel and cost of sessions)</w:t>
            </w:r>
          </w:p>
        </w:tc>
        <w:tc>
          <w:tcPr>
            <w:tcW w:w="2026" w:type="dxa"/>
            <w:vAlign w:val="bottom"/>
          </w:tcPr>
          <w:p w14:paraId="104BCFDC" w14:textId="77777777" w:rsidR="0085268A" w:rsidRPr="004A65F9" w:rsidRDefault="0085268A" w:rsidP="00977C46">
            <w:pPr>
              <w:jc w:val="center"/>
              <w:rPr>
                <w:rFonts w:ascii="Calibri" w:hAnsi="Calibri" w:cs="Calibri"/>
                <w:color w:val="000000" w:themeColor="text1"/>
                <w:sz w:val="18"/>
                <w:szCs w:val="18"/>
              </w:rPr>
            </w:pPr>
            <w:r w:rsidRPr="004A65F9">
              <w:rPr>
                <w:rFonts w:ascii="Calibri" w:hAnsi="Calibri" w:cs="Calibri"/>
                <w:color w:val="010205"/>
                <w:sz w:val="18"/>
                <w:szCs w:val="18"/>
              </w:rPr>
              <w:t>40</w:t>
            </w:r>
          </w:p>
        </w:tc>
        <w:tc>
          <w:tcPr>
            <w:tcW w:w="2027" w:type="dxa"/>
            <w:vAlign w:val="bottom"/>
          </w:tcPr>
          <w:p w14:paraId="4771E657" w14:textId="77777777" w:rsidR="0085268A" w:rsidRPr="004A65F9" w:rsidRDefault="0085268A" w:rsidP="00977C46">
            <w:pPr>
              <w:jc w:val="center"/>
              <w:rPr>
                <w:rFonts w:ascii="Calibri" w:hAnsi="Calibri" w:cs="Calibri"/>
                <w:color w:val="000000" w:themeColor="text1"/>
                <w:sz w:val="18"/>
                <w:szCs w:val="18"/>
              </w:rPr>
            </w:pPr>
            <w:r w:rsidRPr="004A65F9">
              <w:rPr>
                <w:rFonts w:ascii="Calibri" w:hAnsi="Calibri" w:cs="Calibri"/>
                <w:color w:val="010205"/>
                <w:sz w:val="18"/>
                <w:szCs w:val="18"/>
              </w:rPr>
              <w:t>80.0</w:t>
            </w:r>
          </w:p>
        </w:tc>
      </w:tr>
      <w:tr w:rsidR="0085268A" w:rsidRPr="004A65F9" w14:paraId="190BDF69" w14:textId="77777777">
        <w:tc>
          <w:tcPr>
            <w:tcW w:w="4957" w:type="dxa"/>
            <w:vAlign w:val="bottom"/>
          </w:tcPr>
          <w:p w14:paraId="14AF515F" w14:textId="77777777" w:rsidR="0085268A" w:rsidRPr="004A65F9" w:rsidRDefault="0085268A" w:rsidP="00977C46">
            <w:pPr>
              <w:rPr>
                <w:rFonts w:asciiTheme="minorHAnsi" w:hAnsiTheme="minorHAnsi"/>
                <w:color w:val="000000" w:themeColor="text1"/>
                <w:sz w:val="18"/>
                <w:szCs w:val="18"/>
              </w:rPr>
            </w:pPr>
            <w:r w:rsidRPr="004A65F9">
              <w:rPr>
                <w:rFonts w:asciiTheme="minorHAnsi" w:hAnsiTheme="minorHAnsi"/>
                <w:color w:val="000000" w:themeColor="text1"/>
                <w:sz w:val="18"/>
                <w:szCs w:val="18"/>
              </w:rPr>
              <w:t>Improved convenience of care (access from own home 24/7)</w:t>
            </w:r>
          </w:p>
        </w:tc>
        <w:tc>
          <w:tcPr>
            <w:tcW w:w="2026" w:type="dxa"/>
            <w:vAlign w:val="bottom"/>
          </w:tcPr>
          <w:p w14:paraId="24D1792A" w14:textId="77777777" w:rsidR="0085268A" w:rsidRPr="004A65F9" w:rsidRDefault="0085268A" w:rsidP="00977C46">
            <w:pPr>
              <w:jc w:val="center"/>
              <w:rPr>
                <w:rFonts w:ascii="Calibri" w:hAnsi="Calibri" w:cs="Calibri"/>
                <w:color w:val="000000" w:themeColor="text1"/>
                <w:sz w:val="18"/>
                <w:szCs w:val="18"/>
              </w:rPr>
            </w:pPr>
            <w:r w:rsidRPr="004A65F9">
              <w:rPr>
                <w:rFonts w:ascii="Calibri" w:hAnsi="Calibri" w:cs="Calibri"/>
                <w:color w:val="010205"/>
                <w:sz w:val="18"/>
                <w:szCs w:val="18"/>
              </w:rPr>
              <w:t>38</w:t>
            </w:r>
          </w:p>
        </w:tc>
        <w:tc>
          <w:tcPr>
            <w:tcW w:w="2027" w:type="dxa"/>
            <w:vAlign w:val="bottom"/>
          </w:tcPr>
          <w:p w14:paraId="1321F6F5" w14:textId="77777777" w:rsidR="0085268A" w:rsidRPr="004A65F9" w:rsidRDefault="0085268A" w:rsidP="00977C46">
            <w:pPr>
              <w:jc w:val="center"/>
              <w:rPr>
                <w:rFonts w:ascii="Calibri" w:hAnsi="Calibri" w:cs="Calibri"/>
                <w:color w:val="000000" w:themeColor="text1"/>
                <w:sz w:val="18"/>
                <w:szCs w:val="18"/>
              </w:rPr>
            </w:pPr>
            <w:r w:rsidRPr="004A65F9">
              <w:rPr>
                <w:rFonts w:ascii="Calibri" w:hAnsi="Calibri" w:cs="Calibri"/>
                <w:color w:val="010205"/>
                <w:sz w:val="18"/>
                <w:szCs w:val="18"/>
              </w:rPr>
              <w:t>76.0</w:t>
            </w:r>
          </w:p>
        </w:tc>
      </w:tr>
      <w:tr w:rsidR="0085268A" w14:paraId="11C0C6FA" w14:textId="77777777">
        <w:tc>
          <w:tcPr>
            <w:tcW w:w="4957" w:type="dxa"/>
            <w:vAlign w:val="bottom"/>
          </w:tcPr>
          <w:p w14:paraId="778680C7" w14:textId="77777777" w:rsidR="0085268A" w:rsidRPr="004A65F9" w:rsidRDefault="0085268A" w:rsidP="00977C46">
            <w:pPr>
              <w:rPr>
                <w:rFonts w:asciiTheme="minorHAnsi" w:hAnsiTheme="minorHAnsi"/>
                <w:color w:val="000000" w:themeColor="text1"/>
                <w:sz w:val="18"/>
                <w:szCs w:val="18"/>
                <w:vertAlign w:val="superscript"/>
              </w:rPr>
            </w:pPr>
            <w:proofErr w:type="spellStart"/>
            <w:r w:rsidRPr="004A65F9">
              <w:rPr>
                <w:rFonts w:asciiTheme="minorHAnsi" w:hAnsiTheme="minorHAnsi"/>
                <w:color w:val="000000" w:themeColor="text1"/>
                <w:sz w:val="18"/>
                <w:szCs w:val="18"/>
              </w:rPr>
              <w:t>Other</w:t>
            </w:r>
            <w:r w:rsidRPr="004A65F9">
              <w:rPr>
                <w:rFonts w:asciiTheme="minorHAnsi" w:hAnsiTheme="minorHAnsi"/>
                <w:color w:val="000000" w:themeColor="text1"/>
                <w:sz w:val="18"/>
                <w:szCs w:val="18"/>
                <w:vertAlign w:val="superscript"/>
              </w:rPr>
              <w:t>b</w:t>
            </w:r>
            <w:proofErr w:type="spellEnd"/>
          </w:p>
        </w:tc>
        <w:tc>
          <w:tcPr>
            <w:tcW w:w="2026" w:type="dxa"/>
            <w:vAlign w:val="bottom"/>
          </w:tcPr>
          <w:p w14:paraId="7E0756FD" w14:textId="77777777" w:rsidR="0085268A" w:rsidRPr="004A65F9" w:rsidRDefault="0085268A" w:rsidP="00977C46">
            <w:pPr>
              <w:jc w:val="center"/>
              <w:rPr>
                <w:rFonts w:ascii="Calibri" w:hAnsi="Calibri" w:cs="Calibri"/>
                <w:color w:val="000000" w:themeColor="text1"/>
                <w:sz w:val="18"/>
                <w:szCs w:val="18"/>
              </w:rPr>
            </w:pPr>
            <w:r w:rsidRPr="004A65F9">
              <w:rPr>
                <w:rFonts w:ascii="Calibri" w:hAnsi="Calibri" w:cs="Calibri"/>
                <w:color w:val="010205"/>
                <w:sz w:val="18"/>
                <w:szCs w:val="18"/>
              </w:rPr>
              <w:t>7</w:t>
            </w:r>
          </w:p>
        </w:tc>
        <w:tc>
          <w:tcPr>
            <w:tcW w:w="2027" w:type="dxa"/>
            <w:vAlign w:val="bottom"/>
          </w:tcPr>
          <w:p w14:paraId="7AA11C1F" w14:textId="77777777" w:rsidR="0085268A" w:rsidRPr="004A65F9" w:rsidRDefault="0085268A" w:rsidP="00977C46">
            <w:pPr>
              <w:jc w:val="center"/>
              <w:rPr>
                <w:rFonts w:ascii="Calibri" w:hAnsi="Calibri" w:cs="Calibri"/>
                <w:color w:val="000000" w:themeColor="text1"/>
                <w:sz w:val="18"/>
                <w:szCs w:val="18"/>
              </w:rPr>
            </w:pPr>
            <w:r w:rsidRPr="004A65F9">
              <w:rPr>
                <w:rFonts w:ascii="Calibri" w:hAnsi="Calibri" w:cs="Calibri"/>
                <w:color w:val="010205"/>
                <w:sz w:val="18"/>
                <w:szCs w:val="18"/>
              </w:rPr>
              <w:t>14.0</w:t>
            </w:r>
          </w:p>
        </w:tc>
      </w:tr>
    </w:tbl>
    <w:p w14:paraId="2B9E2616" w14:textId="77777777" w:rsidR="0085268A" w:rsidRDefault="0085268A" w:rsidP="00977C46">
      <w:pPr>
        <w:rPr>
          <w:rFonts w:asciiTheme="minorHAnsi" w:hAnsiTheme="minorHAnsi" w:cstheme="minorHAnsi"/>
          <w:sz w:val="16"/>
          <w:szCs w:val="16"/>
        </w:rPr>
      </w:pPr>
      <w:proofErr w:type="spellStart"/>
      <w:r w:rsidRPr="002570B8">
        <w:rPr>
          <w:rFonts w:asciiTheme="minorHAnsi" w:hAnsiTheme="minorHAnsi" w:cstheme="minorHAnsi"/>
          <w:sz w:val="16"/>
          <w:szCs w:val="16"/>
          <w:vertAlign w:val="superscript"/>
        </w:rPr>
        <w:t>a</w:t>
      </w:r>
      <w:r w:rsidRPr="002570B8">
        <w:rPr>
          <w:rFonts w:asciiTheme="minorHAnsi" w:hAnsiTheme="minorHAnsi" w:cstheme="minorHAnsi"/>
          <w:sz w:val="16"/>
          <w:szCs w:val="16"/>
        </w:rPr>
        <w:t>Multiple</w:t>
      </w:r>
      <w:proofErr w:type="spellEnd"/>
      <w:r w:rsidRPr="002570B8">
        <w:rPr>
          <w:rFonts w:asciiTheme="minorHAnsi" w:hAnsiTheme="minorHAnsi" w:cstheme="minorHAnsi"/>
          <w:sz w:val="16"/>
          <w:szCs w:val="16"/>
        </w:rPr>
        <w:t xml:space="preserve"> responses permitted.</w:t>
      </w:r>
    </w:p>
    <w:p w14:paraId="6D27D57C" w14:textId="77777777" w:rsidR="0085268A" w:rsidRPr="002570B8" w:rsidRDefault="0085268A" w:rsidP="0085268A">
      <w:pPr>
        <w:spacing w:after="240"/>
        <w:rPr>
          <w:rFonts w:asciiTheme="minorHAnsi" w:hAnsiTheme="minorHAnsi" w:cstheme="minorHAnsi"/>
          <w:b/>
          <w:bCs/>
          <w:sz w:val="16"/>
          <w:szCs w:val="16"/>
        </w:rPr>
      </w:pPr>
      <w:proofErr w:type="spellStart"/>
      <w:r w:rsidRPr="002570B8">
        <w:rPr>
          <w:rFonts w:asciiTheme="minorHAnsi" w:hAnsiTheme="minorHAnsi" w:cstheme="minorHAnsi"/>
          <w:color w:val="000000" w:themeColor="text1"/>
          <w:sz w:val="16"/>
          <w:szCs w:val="16"/>
          <w:vertAlign w:val="superscript"/>
        </w:rPr>
        <w:t>b</w:t>
      </w:r>
      <w:r>
        <w:rPr>
          <w:rFonts w:asciiTheme="minorHAnsi" w:hAnsiTheme="minorHAnsi" w:cstheme="minorHAnsi"/>
          <w:color w:val="000000" w:themeColor="text1"/>
          <w:sz w:val="16"/>
          <w:szCs w:val="16"/>
        </w:rPr>
        <w:t>Includes</w:t>
      </w:r>
      <w:proofErr w:type="spellEnd"/>
      <w:r>
        <w:rPr>
          <w:rFonts w:asciiTheme="minorHAnsi" w:hAnsiTheme="minorHAnsi" w:cstheme="minorHAnsi"/>
          <w:color w:val="000000" w:themeColor="text1"/>
          <w:sz w:val="16"/>
          <w:szCs w:val="16"/>
        </w:rPr>
        <w:t xml:space="preserve"> </w:t>
      </w:r>
      <w:r w:rsidRPr="002570B8">
        <w:rPr>
          <w:rFonts w:asciiTheme="minorHAnsi" w:hAnsiTheme="minorHAnsi" w:cstheme="minorHAnsi"/>
          <w:color w:val="000000" w:themeColor="text1"/>
          <w:sz w:val="16"/>
          <w:szCs w:val="16"/>
        </w:rPr>
        <w:t>accessing services when face to face unavailable (n=3), decreased stress (n=1), convenience for families (n=1) and reduced clinician cost (n=1).</w:t>
      </w:r>
    </w:p>
    <w:p w14:paraId="2C35D86E" w14:textId="32EAE283" w:rsidR="0085268A" w:rsidRPr="007B7BE3" w:rsidRDefault="0085268A" w:rsidP="0085268A">
      <w:pPr>
        <w:pStyle w:val="ANorm"/>
        <w:spacing w:after="240"/>
      </w:pPr>
      <w:r w:rsidRPr="00CA0884">
        <w:t>When asked about negative impacts on consumer under their care, 38.2% (n=21)</w:t>
      </w:r>
      <w:r>
        <w:t xml:space="preserve"> of respondents who provide DMHSs</w:t>
      </w:r>
      <w:r w:rsidRPr="00CA0884">
        <w:t xml:space="preserve"> identified negative </w:t>
      </w:r>
      <w:r w:rsidRPr="007B7BE3">
        <w:t>impacts</w:t>
      </w:r>
      <w:r>
        <w:t xml:space="preserve"> (Table </w:t>
      </w:r>
      <w:r w:rsidR="0035502F">
        <w:t>45</w:t>
      </w:r>
      <w:r>
        <w:t>)</w:t>
      </w:r>
      <w:r w:rsidRPr="007B7BE3">
        <w:t xml:space="preserve">. The </w:t>
      </w:r>
      <w:proofErr w:type="gramStart"/>
      <w:r w:rsidRPr="007B7BE3">
        <w:t>most commonly identified</w:t>
      </w:r>
      <w:proofErr w:type="gramEnd"/>
      <w:r w:rsidRPr="007B7BE3">
        <w:t xml:space="preserve"> negative impacts were consumers not getting the level of care they need (57.1%) and digital mental health care being isolating for consumers (57.1%), followed by consumers dropping out of care (47.6%).</w:t>
      </w:r>
    </w:p>
    <w:p w14:paraId="28BCBA78" w14:textId="7D9E81AF" w:rsidR="0085268A" w:rsidRPr="00977C46" w:rsidRDefault="0085268A" w:rsidP="00977C46">
      <w:pPr>
        <w:pStyle w:val="tableheading"/>
      </w:pPr>
      <w:r w:rsidRPr="00977C46">
        <w:t xml:space="preserve">Table </w:t>
      </w:r>
      <w:r w:rsidR="00002D1F">
        <w:t>45</w:t>
      </w:r>
      <w:r w:rsidRPr="00977C46">
        <w:t>. Negative impacts on consumers (n=21) a</w:t>
      </w:r>
    </w:p>
    <w:tbl>
      <w:tblPr>
        <w:tblStyle w:val="TableGrid"/>
        <w:tblW w:w="9019" w:type="dxa"/>
        <w:tblBorders>
          <w:insideH w:val="none" w:sz="0" w:space="0" w:color="auto"/>
          <w:insideV w:val="none" w:sz="0" w:space="0" w:color="auto"/>
        </w:tblBorders>
        <w:tblLook w:val="04A0" w:firstRow="1" w:lastRow="0" w:firstColumn="1" w:lastColumn="0" w:noHBand="0" w:noVBand="1"/>
        <w:tblDescription w:val="This table presents the negative impacts of DMHSs on consumers"/>
      </w:tblPr>
      <w:tblGrid>
        <w:gridCol w:w="5288"/>
        <w:gridCol w:w="1865"/>
        <w:gridCol w:w="1866"/>
      </w:tblGrid>
      <w:tr w:rsidR="0085268A" w:rsidRPr="00B028AC" w14:paraId="034FA0BC" w14:textId="77777777">
        <w:trPr>
          <w:trHeight w:val="90"/>
        </w:trPr>
        <w:tc>
          <w:tcPr>
            <w:tcW w:w="5288" w:type="dxa"/>
            <w:shd w:val="clear" w:color="auto" w:fill="000000" w:themeFill="text1"/>
          </w:tcPr>
          <w:p w14:paraId="6B4A6482" w14:textId="77777777" w:rsidR="0085268A" w:rsidRPr="00A94CE8" w:rsidRDefault="0085268A" w:rsidP="00977C46">
            <w:pPr>
              <w:rPr>
                <w:rFonts w:asciiTheme="minorHAnsi" w:hAnsiTheme="minorHAnsi"/>
                <w:color w:val="FFFFFF" w:themeColor="background1"/>
                <w:sz w:val="18"/>
                <w:szCs w:val="18"/>
              </w:rPr>
            </w:pPr>
          </w:p>
        </w:tc>
        <w:tc>
          <w:tcPr>
            <w:tcW w:w="1865" w:type="dxa"/>
            <w:shd w:val="clear" w:color="auto" w:fill="000000" w:themeFill="text1"/>
          </w:tcPr>
          <w:p w14:paraId="1FFEC40B" w14:textId="77777777" w:rsidR="0085268A" w:rsidRPr="00B028AC" w:rsidRDefault="0085268A" w:rsidP="00977C46">
            <w:pPr>
              <w:jc w:val="center"/>
              <w:rPr>
                <w:rFonts w:asciiTheme="minorHAnsi" w:hAnsiTheme="minorHAnsi"/>
                <w:color w:val="FFFFFF" w:themeColor="background1"/>
                <w:sz w:val="18"/>
                <w:szCs w:val="18"/>
              </w:rPr>
            </w:pPr>
            <w:r w:rsidRPr="00B028AC">
              <w:rPr>
                <w:rFonts w:asciiTheme="minorHAnsi" w:hAnsiTheme="minorHAnsi"/>
                <w:color w:val="FFFFFF" w:themeColor="background1"/>
                <w:sz w:val="18"/>
                <w:szCs w:val="18"/>
              </w:rPr>
              <w:t>Frequency</w:t>
            </w:r>
          </w:p>
        </w:tc>
        <w:tc>
          <w:tcPr>
            <w:tcW w:w="1866" w:type="dxa"/>
            <w:shd w:val="clear" w:color="auto" w:fill="000000" w:themeFill="text1"/>
          </w:tcPr>
          <w:p w14:paraId="0BB3945E" w14:textId="77777777" w:rsidR="0085268A" w:rsidRPr="00B028AC" w:rsidRDefault="0085268A" w:rsidP="00977C46">
            <w:pPr>
              <w:jc w:val="center"/>
              <w:rPr>
                <w:rFonts w:asciiTheme="minorHAnsi" w:hAnsiTheme="minorHAnsi"/>
                <w:color w:val="FFFFFF" w:themeColor="background1"/>
                <w:sz w:val="18"/>
                <w:szCs w:val="18"/>
              </w:rPr>
            </w:pPr>
            <w:r w:rsidRPr="00B028AC">
              <w:rPr>
                <w:rFonts w:asciiTheme="minorHAnsi" w:hAnsiTheme="minorHAnsi"/>
                <w:color w:val="FFFFFF" w:themeColor="background1"/>
                <w:sz w:val="18"/>
                <w:szCs w:val="18"/>
              </w:rPr>
              <w:t>%</w:t>
            </w:r>
          </w:p>
        </w:tc>
      </w:tr>
      <w:tr w:rsidR="0085268A" w:rsidRPr="00B028AC" w14:paraId="77EB4DB6" w14:textId="77777777">
        <w:tc>
          <w:tcPr>
            <w:tcW w:w="5288" w:type="dxa"/>
            <w:vAlign w:val="bottom"/>
          </w:tcPr>
          <w:p w14:paraId="20D603D2" w14:textId="77777777" w:rsidR="0085268A" w:rsidRPr="00B028AC" w:rsidRDefault="0085268A" w:rsidP="00977C46">
            <w:pPr>
              <w:rPr>
                <w:rFonts w:asciiTheme="minorHAnsi" w:hAnsiTheme="minorHAnsi"/>
                <w:color w:val="000000" w:themeColor="text1"/>
                <w:sz w:val="18"/>
                <w:szCs w:val="18"/>
              </w:rPr>
            </w:pPr>
            <w:r w:rsidRPr="00B028AC">
              <w:rPr>
                <w:rFonts w:asciiTheme="minorHAnsi" w:hAnsiTheme="minorHAnsi"/>
                <w:color w:val="000000" w:themeColor="text1"/>
                <w:sz w:val="18"/>
                <w:szCs w:val="18"/>
              </w:rPr>
              <w:t>Consumers are not getting the level of care they need</w:t>
            </w:r>
          </w:p>
        </w:tc>
        <w:tc>
          <w:tcPr>
            <w:tcW w:w="1865" w:type="dxa"/>
            <w:vAlign w:val="bottom"/>
          </w:tcPr>
          <w:p w14:paraId="4D5D599F" w14:textId="77777777" w:rsidR="0085268A" w:rsidRPr="00B028AC" w:rsidRDefault="0085268A" w:rsidP="00977C46">
            <w:pPr>
              <w:jc w:val="center"/>
              <w:rPr>
                <w:rFonts w:asciiTheme="minorHAnsi" w:hAnsiTheme="minorHAnsi"/>
                <w:color w:val="000000" w:themeColor="text1"/>
                <w:sz w:val="18"/>
                <w:szCs w:val="18"/>
              </w:rPr>
            </w:pPr>
            <w:r w:rsidRPr="00B028AC">
              <w:rPr>
                <w:rFonts w:asciiTheme="minorHAnsi" w:hAnsiTheme="minorHAnsi"/>
                <w:color w:val="000000" w:themeColor="text1"/>
                <w:sz w:val="18"/>
                <w:szCs w:val="18"/>
              </w:rPr>
              <w:t>12</w:t>
            </w:r>
          </w:p>
        </w:tc>
        <w:tc>
          <w:tcPr>
            <w:tcW w:w="1866" w:type="dxa"/>
            <w:vAlign w:val="bottom"/>
          </w:tcPr>
          <w:p w14:paraId="1143FA70" w14:textId="77777777" w:rsidR="0085268A" w:rsidRPr="00B028AC" w:rsidRDefault="0085268A" w:rsidP="00977C46">
            <w:pPr>
              <w:jc w:val="center"/>
              <w:rPr>
                <w:rFonts w:asciiTheme="minorHAnsi" w:hAnsiTheme="minorHAnsi"/>
                <w:color w:val="000000" w:themeColor="text1"/>
                <w:sz w:val="18"/>
                <w:szCs w:val="18"/>
              </w:rPr>
            </w:pPr>
            <w:r w:rsidRPr="00B028AC">
              <w:rPr>
                <w:rFonts w:asciiTheme="minorHAnsi" w:hAnsiTheme="minorHAnsi"/>
                <w:color w:val="000000" w:themeColor="text1"/>
                <w:sz w:val="18"/>
                <w:szCs w:val="18"/>
              </w:rPr>
              <w:t>57.1</w:t>
            </w:r>
          </w:p>
        </w:tc>
      </w:tr>
      <w:tr w:rsidR="0085268A" w:rsidRPr="00B028AC" w14:paraId="565CF8C6" w14:textId="77777777">
        <w:tc>
          <w:tcPr>
            <w:tcW w:w="5288" w:type="dxa"/>
            <w:vAlign w:val="bottom"/>
          </w:tcPr>
          <w:p w14:paraId="191133B5" w14:textId="77777777" w:rsidR="0085268A" w:rsidRPr="00B028AC" w:rsidRDefault="0085268A" w:rsidP="00977C46">
            <w:pPr>
              <w:rPr>
                <w:rFonts w:asciiTheme="minorHAnsi" w:hAnsiTheme="minorHAnsi"/>
                <w:color w:val="000000" w:themeColor="text1"/>
                <w:sz w:val="18"/>
                <w:szCs w:val="18"/>
              </w:rPr>
            </w:pPr>
            <w:r w:rsidRPr="00B028AC">
              <w:rPr>
                <w:rFonts w:asciiTheme="minorHAnsi" w:hAnsiTheme="minorHAnsi"/>
                <w:color w:val="000000" w:themeColor="text1"/>
                <w:sz w:val="18"/>
                <w:szCs w:val="18"/>
              </w:rPr>
              <w:t>Digital mental health is isolating for consumers</w:t>
            </w:r>
          </w:p>
        </w:tc>
        <w:tc>
          <w:tcPr>
            <w:tcW w:w="1865" w:type="dxa"/>
            <w:vAlign w:val="bottom"/>
          </w:tcPr>
          <w:p w14:paraId="43F97282" w14:textId="77777777" w:rsidR="0085268A" w:rsidRPr="00B028AC" w:rsidRDefault="0085268A" w:rsidP="00977C46">
            <w:pPr>
              <w:jc w:val="center"/>
              <w:rPr>
                <w:rFonts w:asciiTheme="minorHAnsi" w:hAnsiTheme="minorHAnsi"/>
                <w:color w:val="000000" w:themeColor="text1"/>
                <w:sz w:val="18"/>
                <w:szCs w:val="18"/>
              </w:rPr>
            </w:pPr>
            <w:r w:rsidRPr="00B028AC">
              <w:rPr>
                <w:rFonts w:asciiTheme="minorHAnsi" w:hAnsiTheme="minorHAnsi"/>
                <w:color w:val="000000" w:themeColor="text1"/>
                <w:sz w:val="18"/>
                <w:szCs w:val="18"/>
              </w:rPr>
              <w:t>12</w:t>
            </w:r>
          </w:p>
        </w:tc>
        <w:tc>
          <w:tcPr>
            <w:tcW w:w="1866" w:type="dxa"/>
            <w:vAlign w:val="bottom"/>
          </w:tcPr>
          <w:p w14:paraId="53AAB134" w14:textId="77777777" w:rsidR="0085268A" w:rsidRPr="00B028AC" w:rsidRDefault="0085268A" w:rsidP="00977C46">
            <w:pPr>
              <w:jc w:val="center"/>
              <w:rPr>
                <w:rFonts w:asciiTheme="minorHAnsi" w:hAnsiTheme="minorHAnsi"/>
                <w:color w:val="000000" w:themeColor="text1"/>
                <w:sz w:val="18"/>
                <w:szCs w:val="18"/>
              </w:rPr>
            </w:pPr>
            <w:r w:rsidRPr="00B028AC">
              <w:rPr>
                <w:rFonts w:asciiTheme="minorHAnsi" w:hAnsiTheme="minorHAnsi"/>
                <w:color w:val="000000" w:themeColor="text1"/>
                <w:sz w:val="18"/>
                <w:szCs w:val="18"/>
              </w:rPr>
              <w:t>57.1</w:t>
            </w:r>
          </w:p>
        </w:tc>
      </w:tr>
      <w:tr w:rsidR="0085268A" w:rsidRPr="00B028AC" w14:paraId="1366FA0E" w14:textId="77777777">
        <w:tc>
          <w:tcPr>
            <w:tcW w:w="5288" w:type="dxa"/>
            <w:vAlign w:val="bottom"/>
          </w:tcPr>
          <w:p w14:paraId="47C09873" w14:textId="77777777" w:rsidR="0085268A" w:rsidRPr="00B028AC" w:rsidRDefault="0085268A" w:rsidP="00977C46">
            <w:pPr>
              <w:rPr>
                <w:rFonts w:asciiTheme="minorHAnsi" w:hAnsiTheme="minorHAnsi"/>
                <w:color w:val="000000" w:themeColor="text1"/>
                <w:sz w:val="18"/>
                <w:szCs w:val="18"/>
              </w:rPr>
            </w:pPr>
            <w:r w:rsidRPr="00B028AC">
              <w:rPr>
                <w:rFonts w:asciiTheme="minorHAnsi" w:hAnsiTheme="minorHAnsi"/>
                <w:color w:val="000000" w:themeColor="text1"/>
                <w:sz w:val="18"/>
                <w:szCs w:val="18"/>
              </w:rPr>
              <w:t>Consumers are dropping out of care</w:t>
            </w:r>
          </w:p>
        </w:tc>
        <w:tc>
          <w:tcPr>
            <w:tcW w:w="1865" w:type="dxa"/>
            <w:vAlign w:val="bottom"/>
          </w:tcPr>
          <w:p w14:paraId="42A5496C" w14:textId="77777777" w:rsidR="0085268A" w:rsidRPr="00B028AC" w:rsidRDefault="0085268A" w:rsidP="00977C46">
            <w:pPr>
              <w:jc w:val="center"/>
              <w:rPr>
                <w:rFonts w:asciiTheme="minorHAnsi" w:hAnsiTheme="minorHAnsi"/>
                <w:color w:val="000000" w:themeColor="text1"/>
                <w:sz w:val="18"/>
                <w:szCs w:val="18"/>
              </w:rPr>
            </w:pPr>
            <w:r w:rsidRPr="00B028AC">
              <w:rPr>
                <w:rFonts w:asciiTheme="minorHAnsi" w:hAnsiTheme="minorHAnsi"/>
                <w:color w:val="000000" w:themeColor="text1"/>
                <w:sz w:val="18"/>
                <w:szCs w:val="18"/>
              </w:rPr>
              <w:t>10</w:t>
            </w:r>
          </w:p>
        </w:tc>
        <w:tc>
          <w:tcPr>
            <w:tcW w:w="1866" w:type="dxa"/>
            <w:vAlign w:val="bottom"/>
          </w:tcPr>
          <w:p w14:paraId="59FE7F50" w14:textId="77777777" w:rsidR="0085268A" w:rsidRPr="00B028AC" w:rsidRDefault="0085268A" w:rsidP="00977C46">
            <w:pPr>
              <w:jc w:val="center"/>
              <w:rPr>
                <w:rFonts w:asciiTheme="minorHAnsi" w:hAnsiTheme="minorHAnsi"/>
                <w:color w:val="000000" w:themeColor="text1"/>
                <w:sz w:val="18"/>
                <w:szCs w:val="18"/>
              </w:rPr>
            </w:pPr>
            <w:r w:rsidRPr="00B028AC">
              <w:rPr>
                <w:rFonts w:asciiTheme="minorHAnsi" w:hAnsiTheme="minorHAnsi"/>
                <w:color w:val="000000" w:themeColor="text1"/>
                <w:sz w:val="18"/>
                <w:szCs w:val="18"/>
              </w:rPr>
              <w:t>47.6</w:t>
            </w:r>
          </w:p>
        </w:tc>
      </w:tr>
      <w:tr w:rsidR="0085268A" w14:paraId="4B96D3F9" w14:textId="77777777">
        <w:tc>
          <w:tcPr>
            <w:tcW w:w="5288" w:type="dxa"/>
            <w:vAlign w:val="bottom"/>
          </w:tcPr>
          <w:p w14:paraId="7093A454" w14:textId="77777777" w:rsidR="0085268A" w:rsidRPr="00B028AC" w:rsidRDefault="0085268A" w:rsidP="00977C46">
            <w:pPr>
              <w:rPr>
                <w:rFonts w:asciiTheme="minorHAnsi" w:hAnsiTheme="minorHAnsi"/>
                <w:color w:val="000000" w:themeColor="text1"/>
                <w:sz w:val="18"/>
                <w:szCs w:val="18"/>
                <w:vertAlign w:val="superscript"/>
              </w:rPr>
            </w:pPr>
            <w:proofErr w:type="spellStart"/>
            <w:r w:rsidRPr="00B028AC">
              <w:rPr>
                <w:rFonts w:asciiTheme="minorHAnsi" w:hAnsiTheme="minorHAnsi"/>
                <w:color w:val="000000" w:themeColor="text1"/>
                <w:sz w:val="18"/>
                <w:szCs w:val="18"/>
              </w:rPr>
              <w:t>Other</w:t>
            </w:r>
            <w:r w:rsidRPr="00B028AC">
              <w:rPr>
                <w:rFonts w:asciiTheme="minorHAnsi" w:hAnsiTheme="minorHAnsi"/>
                <w:color w:val="000000" w:themeColor="text1"/>
                <w:sz w:val="18"/>
                <w:szCs w:val="18"/>
                <w:vertAlign w:val="superscript"/>
              </w:rPr>
              <w:t>b</w:t>
            </w:r>
            <w:proofErr w:type="spellEnd"/>
          </w:p>
        </w:tc>
        <w:tc>
          <w:tcPr>
            <w:tcW w:w="1865" w:type="dxa"/>
            <w:vAlign w:val="bottom"/>
          </w:tcPr>
          <w:p w14:paraId="6B142206" w14:textId="77777777" w:rsidR="0085268A" w:rsidRPr="00B028AC" w:rsidRDefault="0085268A" w:rsidP="00977C46">
            <w:pPr>
              <w:jc w:val="center"/>
              <w:rPr>
                <w:rFonts w:asciiTheme="minorHAnsi" w:hAnsiTheme="minorHAnsi"/>
                <w:color w:val="000000" w:themeColor="text1"/>
                <w:sz w:val="18"/>
                <w:szCs w:val="18"/>
              </w:rPr>
            </w:pPr>
            <w:r w:rsidRPr="00B028AC">
              <w:rPr>
                <w:rFonts w:asciiTheme="minorHAnsi" w:hAnsiTheme="minorHAnsi"/>
                <w:color w:val="000000" w:themeColor="text1"/>
                <w:sz w:val="18"/>
                <w:szCs w:val="18"/>
              </w:rPr>
              <w:t>7</w:t>
            </w:r>
          </w:p>
        </w:tc>
        <w:tc>
          <w:tcPr>
            <w:tcW w:w="1866" w:type="dxa"/>
            <w:vAlign w:val="bottom"/>
          </w:tcPr>
          <w:p w14:paraId="7E6A3597" w14:textId="77777777" w:rsidR="0085268A" w:rsidRPr="00B028AC" w:rsidRDefault="0085268A" w:rsidP="00977C46">
            <w:pPr>
              <w:jc w:val="center"/>
              <w:rPr>
                <w:rFonts w:asciiTheme="minorHAnsi" w:hAnsiTheme="minorHAnsi"/>
                <w:color w:val="000000" w:themeColor="text1"/>
                <w:sz w:val="18"/>
                <w:szCs w:val="18"/>
              </w:rPr>
            </w:pPr>
            <w:r w:rsidRPr="00B028AC">
              <w:rPr>
                <w:rFonts w:asciiTheme="minorHAnsi" w:hAnsiTheme="minorHAnsi"/>
                <w:color w:val="000000" w:themeColor="text1"/>
                <w:sz w:val="18"/>
                <w:szCs w:val="18"/>
              </w:rPr>
              <w:t>33.3</w:t>
            </w:r>
          </w:p>
        </w:tc>
      </w:tr>
    </w:tbl>
    <w:p w14:paraId="744EC382" w14:textId="77777777" w:rsidR="0085268A" w:rsidRDefault="0085268A" w:rsidP="00977C46">
      <w:pPr>
        <w:rPr>
          <w:rFonts w:asciiTheme="minorHAnsi" w:hAnsiTheme="minorHAnsi" w:cstheme="minorHAnsi"/>
          <w:sz w:val="16"/>
          <w:szCs w:val="16"/>
        </w:rPr>
      </w:pPr>
      <w:proofErr w:type="gramStart"/>
      <w:r w:rsidRPr="009539A9">
        <w:rPr>
          <w:rFonts w:asciiTheme="minorHAnsi" w:hAnsiTheme="minorHAnsi" w:cstheme="minorHAnsi"/>
          <w:sz w:val="16"/>
          <w:szCs w:val="16"/>
          <w:vertAlign w:val="superscript"/>
        </w:rPr>
        <w:t xml:space="preserve">a </w:t>
      </w:r>
      <w:r w:rsidRPr="009539A9">
        <w:rPr>
          <w:rFonts w:asciiTheme="minorHAnsi" w:hAnsiTheme="minorHAnsi" w:cstheme="minorHAnsi"/>
          <w:sz w:val="16"/>
          <w:szCs w:val="16"/>
        </w:rPr>
        <w:t>Multiple responses</w:t>
      </w:r>
      <w:proofErr w:type="gramEnd"/>
      <w:r w:rsidRPr="009539A9">
        <w:rPr>
          <w:rFonts w:asciiTheme="minorHAnsi" w:hAnsiTheme="minorHAnsi" w:cstheme="minorHAnsi"/>
          <w:sz w:val="16"/>
          <w:szCs w:val="16"/>
        </w:rPr>
        <w:t xml:space="preserve"> permitted.</w:t>
      </w:r>
    </w:p>
    <w:p w14:paraId="0CAF3A15" w14:textId="77777777" w:rsidR="0085268A" w:rsidRPr="009539A9" w:rsidRDefault="0085268A" w:rsidP="0085268A">
      <w:pPr>
        <w:spacing w:after="240"/>
        <w:rPr>
          <w:rFonts w:asciiTheme="minorHAnsi" w:hAnsiTheme="minorHAnsi" w:cstheme="minorHAnsi"/>
          <w:sz w:val="16"/>
          <w:szCs w:val="16"/>
        </w:rPr>
      </w:pPr>
      <w:proofErr w:type="spellStart"/>
      <w:r>
        <w:rPr>
          <w:rFonts w:asciiTheme="minorHAnsi" w:hAnsiTheme="minorHAnsi" w:cstheme="minorHAnsi"/>
          <w:sz w:val="16"/>
          <w:szCs w:val="16"/>
          <w:vertAlign w:val="superscript"/>
        </w:rPr>
        <w:t>b</w:t>
      </w:r>
      <w:r>
        <w:rPr>
          <w:rFonts w:asciiTheme="minorHAnsi" w:hAnsiTheme="minorHAnsi" w:cstheme="minorHAnsi"/>
          <w:sz w:val="16"/>
          <w:szCs w:val="16"/>
        </w:rPr>
        <w:t>Includes</w:t>
      </w:r>
      <w:proofErr w:type="spellEnd"/>
      <w:r w:rsidRPr="009539A9">
        <w:rPr>
          <w:rFonts w:asciiTheme="minorHAnsi" w:hAnsiTheme="minorHAnsi" w:cstheme="minorHAnsi"/>
          <w:sz w:val="16"/>
          <w:szCs w:val="16"/>
        </w:rPr>
        <w:t xml:space="preserve"> preference for face</w:t>
      </w:r>
      <w:r>
        <w:rPr>
          <w:rFonts w:asciiTheme="minorHAnsi" w:hAnsiTheme="minorHAnsi" w:cstheme="minorHAnsi"/>
          <w:sz w:val="16"/>
          <w:szCs w:val="16"/>
        </w:rPr>
        <w:t>-</w:t>
      </w:r>
      <w:r w:rsidRPr="009539A9">
        <w:rPr>
          <w:rFonts w:asciiTheme="minorHAnsi" w:hAnsiTheme="minorHAnsi" w:cstheme="minorHAnsi"/>
          <w:sz w:val="16"/>
          <w:szCs w:val="16"/>
        </w:rPr>
        <w:t>to</w:t>
      </w:r>
      <w:r>
        <w:rPr>
          <w:rFonts w:asciiTheme="minorHAnsi" w:hAnsiTheme="minorHAnsi" w:cstheme="minorHAnsi"/>
          <w:sz w:val="16"/>
          <w:szCs w:val="16"/>
        </w:rPr>
        <w:t>-</w:t>
      </w:r>
      <w:r w:rsidRPr="009539A9">
        <w:rPr>
          <w:rFonts w:asciiTheme="minorHAnsi" w:hAnsiTheme="minorHAnsi" w:cstheme="minorHAnsi"/>
          <w:sz w:val="16"/>
          <w:szCs w:val="16"/>
        </w:rPr>
        <w:t>face</w:t>
      </w:r>
      <w:r>
        <w:rPr>
          <w:rFonts w:asciiTheme="minorHAnsi" w:hAnsiTheme="minorHAnsi" w:cstheme="minorHAnsi"/>
          <w:sz w:val="16"/>
          <w:szCs w:val="16"/>
        </w:rPr>
        <w:t xml:space="preserve"> services</w:t>
      </w:r>
      <w:r w:rsidRPr="009539A9">
        <w:rPr>
          <w:rFonts w:asciiTheme="minorHAnsi" w:hAnsiTheme="minorHAnsi" w:cstheme="minorHAnsi"/>
          <w:sz w:val="16"/>
          <w:szCs w:val="16"/>
        </w:rPr>
        <w:t xml:space="preserve"> (n=4), delays receiving medication (n=1), rapport building difficult (n=1), patient misdiagnosis (n=1).</w:t>
      </w:r>
    </w:p>
    <w:p w14:paraId="3953E1D0" w14:textId="2816AC8C" w:rsidR="0085268A" w:rsidRPr="00D101A5" w:rsidRDefault="0085268A" w:rsidP="0085268A">
      <w:pPr>
        <w:pStyle w:val="ANorm"/>
        <w:spacing w:after="240"/>
      </w:pPr>
      <w:r w:rsidRPr="00D51B47">
        <w:t xml:space="preserve">Most respondents who provided DMHSs indicated that this was not their preferred way to deliver mental </w:t>
      </w:r>
      <w:r w:rsidRPr="00D101A5">
        <w:t xml:space="preserve">health care (72.7%). Almost all of those who did not prefer DMHSs indicated that their preferred way of delivering care was </w:t>
      </w:r>
      <w:proofErr w:type="gramStart"/>
      <w:r w:rsidRPr="00D101A5">
        <w:t>face</w:t>
      </w:r>
      <w:proofErr w:type="gramEnd"/>
      <w:r w:rsidRPr="00D101A5">
        <w:t xml:space="preserve"> to face (95%) (see Table </w:t>
      </w:r>
      <w:r w:rsidR="00785A15">
        <w:t>46</w:t>
      </w:r>
      <w:r w:rsidRPr="00D101A5">
        <w:t>).</w:t>
      </w:r>
    </w:p>
    <w:p w14:paraId="620ACC84" w14:textId="69A8CD81" w:rsidR="0085268A" w:rsidRPr="00977C46" w:rsidRDefault="0085268A" w:rsidP="00977C46">
      <w:pPr>
        <w:pStyle w:val="tableheading"/>
      </w:pPr>
      <w:r w:rsidRPr="00977C46">
        <w:t xml:space="preserve">Table </w:t>
      </w:r>
      <w:r w:rsidR="00785A15" w:rsidRPr="00785A15">
        <w:t>46</w:t>
      </w:r>
      <w:r w:rsidRPr="00785A15">
        <w:t>.</w:t>
      </w:r>
      <w:r w:rsidRPr="00977C46">
        <w:t xml:space="preserve"> Preferred way to deliver mental health services (n=</w:t>
      </w:r>
      <w:proofErr w:type="gramStart"/>
      <w:r w:rsidRPr="00977C46">
        <w:t>40)a</w:t>
      </w:r>
      <w:proofErr w:type="gramEnd"/>
    </w:p>
    <w:tbl>
      <w:tblPr>
        <w:tblStyle w:val="TableGrid"/>
        <w:tblW w:w="9019" w:type="dxa"/>
        <w:tblBorders>
          <w:insideH w:val="none" w:sz="0" w:space="0" w:color="auto"/>
          <w:insideV w:val="none" w:sz="0" w:space="0" w:color="auto"/>
        </w:tblBorders>
        <w:tblLook w:val="04A0" w:firstRow="1" w:lastRow="0" w:firstColumn="1" w:lastColumn="0" w:noHBand="0" w:noVBand="1"/>
        <w:tblDescription w:val="This table presents the preferred way to deliver mental health care"/>
      </w:tblPr>
      <w:tblGrid>
        <w:gridCol w:w="5283"/>
        <w:gridCol w:w="1868"/>
        <w:gridCol w:w="1868"/>
      </w:tblGrid>
      <w:tr w:rsidR="0085268A" w:rsidRPr="004759C2" w14:paraId="268608AE" w14:textId="77777777">
        <w:tc>
          <w:tcPr>
            <w:tcW w:w="5283" w:type="dxa"/>
            <w:shd w:val="clear" w:color="auto" w:fill="000000" w:themeFill="text1"/>
          </w:tcPr>
          <w:p w14:paraId="5354C9A1" w14:textId="77777777" w:rsidR="0085268A" w:rsidRPr="004759C2" w:rsidRDefault="0085268A" w:rsidP="00977C46">
            <w:pPr>
              <w:rPr>
                <w:rFonts w:asciiTheme="minorHAnsi" w:hAnsiTheme="minorHAnsi"/>
                <w:color w:val="FFFFFF" w:themeColor="background1"/>
                <w:sz w:val="18"/>
                <w:szCs w:val="18"/>
              </w:rPr>
            </w:pPr>
          </w:p>
        </w:tc>
        <w:tc>
          <w:tcPr>
            <w:tcW w:w="1868" w:type="dxa"/>
            <w:shd w:val="clear" w:color="auto" w:fill="000000" w:themeFill="text1"/>
          </w:tcPr>
          <w:p w14:paraId="76C811FB" w14:textId="77777777" w:rsidR="0085268A" w:rsidRPr="004759C2" w:rsidRDefault="0085268A" w:rsidP="00977C46">
            <w:pPr>
              <w:jc w:val="center"/>
              <w:rPr>
                <w:rFonts w:asciiTheme="minorHAnsi" w:hAnsiTheme="minorHAnsi"/>
                <w:color w:val="FFFFFF" w:themeColor="background1"/>
                <w:sz w:val="18"/>
                <w:szCs w:val="18"/>
              </w:rPr>
            </w:pPr>
            <w:r w:rsidRPr="004759C2">
              <w:rPr>
                <w:rFonts w:asciiTheme="minorHAnsi" w:hAnsiTheme="minorHAnsi"/>
                <w:color w:val="FFFFFF" w:themeColor="background1"/>
                <w:sz w:val="18"/>
                <w:szCs w:val="18"/>
              </w:rPr>
              <w:t>Frequency</w:t>
            </w:r>
          </w:p>
        </w:tc>
        <w:tc>
          <w:tcPr>
            <w:tcW w:w="1868" w:type="dxa"/>
            <w:shd w:val="clear" w:color="auto" w:fill="000000" w:themeFill="text1"/>
          </w:tcPr>
          <w:p w14:paraId="7466CAFC" w14:textId="77777777" w:rsidR="0085268A" w:rsidRPr="004759C2" w:rsidRDefault="0085268A" w:rsidP="00977C46">
            <w:pPr>
              <w:jc w:val="center"/>
              <w:rPr>
                <w:rFonts w:asciiTheme="minorHAnsi" w:hAnsiTheme="minorHAnsi"/>
                <w:color w:val="FFFFFF" w:themeColor="background1"/>
                <w:sz w:val="18"/>
                <w:szCs w:val="18"/>
              </w:rPr>
            </w:pPr>
            <w:r w:rsidRPr="004759C2">
              <w:rPr>
                <w:rFonts w:asciiTheme="minorHAnsi" w:hAnsiTheme="minorHAnsi"/>
                <w:color w:val="FFFFFF" w:themeColor="background1"/>
                <w:sz w:val="18"/>
                <w:szCs w:val="18"/>
              </w:rPr>
              <w:t>%</w:t>
            </w:r>
          </w:p>
        </w:tc>
      </w:tr>
      <w:tr w:rsidR="0085268A" w14:paraId="1C950539" w14:textId="77777777">
        <w:tc>
          <w:tcPr>
            <w:tcW w:w="5283" w:type="dxa"/>
            <w:vAlign w:val="bottom"/>
          </w:tcPr>
          <w:p w14:paraId="7F07BAAC" w14:textId="77777777" w:rsidR="0085268A" w:rsidRPr="00BA01BF" w:rsidRDefault="0085268A" w:rsidP="00977C46">
            <w:pPr>
              <w:rPr>
                <w:rFonts w:asciiTheme="minorHAnsi" w:hAnsiTheme="minorHAnsi"/>
                <w:color w:val="000000" w:themeColor="text1"/>
                <w:sz w:val="18"/>
                <w:szCs w:val="18"/>
              </w:rPr>
            </w:pPr>
            <w:r w:rsidRPr="00BA01BF">
              <w:rPr>
                <w:rFonts w:asciiTheme="minorHAnsi" w:hAnsiTheme="minorHAnsi"/>
                <w:color w:val="000000" w:themeColor="text1"/>
                <w:sz w:val="18"/>
                <w:szCs w:val="18"/>
              </w:rPr>
              <w:t>Face-to-face</w:t>
            </w:r>
          </w:p>
        </w:tc>
        <w:tc>
          <w:tcPr>
            <w:tcW w:w="1868" w:type="dxa"/>
            <w:vAlign w:val="bottom"/>
          </w:tcPr>
          <w:p w14:paraId="669152EA" w14:textId="77777777" w:rsidR="0085268A" w:rsidRPr="00D51B47" w:rsidRDefault="0085268A" w:rsidP="00977C46">
            <w:pPr>
              <w:jc w:val="center"/>
              <w:rPr>
                <w:rFonts w:asciiTheme="minorHAnsi" w:hAnsiTheme="minorHAnsi" w:cstheme="minorHAnsi"/>
                <w:color w:val="000000" w:themeColor="text1"/>
                <w:sz w:val="18"/>
                <w:szCs w:val="18"/>
                <w:highlight w:val="cyan"/>
              </w:rPr>
            </w:pPr>
            <w:r w:rsidRPr="00D51B47">
              <w:rPr>
                <w:rFonts w:asciiTheme="minorHAnsi" w:hAnsiTheme="minorHAnsi" w:cstheme="minorHAnsi"/>
                <w:color w:val="010205"/>
                <w:sz w:val="18"/>
                <w:szCs w:val="18"/>
              </w:rPr>
              <w:t>38</w:t>
            </w:r>
          </w:p>
        </w:tc>
        <w:tc>
          <w:tcPr>
            <w:tcW w:w="1868" w:type="dxa"/>
            <w:vAlign w:val="bottom"/>
          </w:tcPr>
          <w:p w14:paraId="7026D3B7" w14:textId="77777777" w:rsidR="0085268A" w:rsidRPr="00D51B47" w:rsidRDefault="0085268A" w:rsidP="00977C46">
            <w:pPr>
              <w:jc w:val="center"/>
              <w:rPr>
                <w:rFonts w:asciiTheme="minorHAnsi" w:hAnsiTheme="minorHAnsi" w:cstheme="minorHAnsi"/>
                <w:color w:val="000000" w:themeColor="text1"/>
                <w:sz w:val="18"/>
                <w:szCs w:val="18"/>
                <w:highlight w:val="cyan"/>
              </w:rPr>
            </w:pPr>
            <w:r w:rsidRPr="00D51B47">
              <w:rPr>
                <w:rFonts w:asciiTheme="minorHAnsi" w:hAnsiTheme="minorHAnsi" w:cstheme="minorHAnsi"/>
                <w:color w:val="010205"/>
                <w:sz w:val="18"/>
                <w:szCs w:val="18"/>
              </w:rPr>
              <w:t>95.0</w:t>
            </w:r>
          </w:p>
        </w:tc>
      </w:tr>
      <w:tr w:rsidR="0085268A" w14:paraId="2DAB0BC2" w14:textId="77777777">
        <w:tc>
          <w:tcPr>
            <w:tcW w:w="5283" w:type="dxa"/>
            <w:vAlign w:val="bottom"/>
          </w:tcPr>
          <w:p w14:paraId="1BF62B5C" w14:textId="77777777" w:rsidR="0085268A" w:rsidRPr="00BA01BF" w:rsidRDefault="0085268A" w:rsidP="00977C46">
            <w:pPr>
              <w:rPr>
                <w:rFonts w:asciiTheme="minorHAnsi" w:hAnsiTheme="minorHAnsi"/>
                <w:color w:val="000000" w:themeColor="text1"/>
                <w:sz w:val="18"/>
                <w:szCs w:val="18"/>
              </w:rPr>
            </w:pPr>
            <w:r w:rsidRPr="00BA01BF">
              <w:rPr>
                <w:rFonts w:asciiTheme="minorHAnsi" w:hAnsiTheme="minorHAnsi"/>
                <w:color w:val="000000" w:themeColor="text1"/>
                <w:sz w:val="18"/>
                <w:szCs w:val="18"/>
              </w:rPr>
              <w:t>Phone</w:t>
            </w:r>
          </w:p>
        </w:tc>
        <w:tc>
          <w:tcPr>
            <w:tcW w:w="1868" w:type="dxa"/>
            <w:vAlign w:val="bottom"/>
          </w:tcPr>
          <w:p w14:paraId="4DEA1F1E" w14:textId="77777777" w:rsidR="0085268A" w:rsidRPr="00D51B47" w:rsidRDefault="0085268A" w:rsidP="00977C46">
            <w:pPr>
              <w:jc w:val="center"/>
              <w:rPr>
                <w:rFonts w:asciiTheme="minorHAnsi" w:hAnsiTheme="minorHAnsi" w:cstheme="minorHAnsi"/>
                <w:color w:val="000000" w:themeColor="text1"/>
                <w:sz w:val="18"/>
                <w:szCs w:val="18"/>
                <w:highlight w:val="cyan"/>
              </w:rPr>
            </w:pPr>
            <w:r w:rsidRPr="00D51B47">
              <w:rPr>
                <w:rFonts w:asciiTheme="minorHAnsi" w:hAnsiTheme="minorHAnsi" w:cstheme="minorHAnsi"/>
                <w:color w:val="010205"/>
                <w:sz w:val="18"/>
                <w:szCs w:val="18"/>
              </w:rPr>
              <w:t>6</w:t>
            </w:r>
          </w:p>
        </w:tc>
        <w:tc>
          <w:tcPr>
            <w:tcW w:w="1868" w:type="dxa"/>
            <w:vAlign w:val="bottom"/>
          </w:tcPr>
          <w:p w14:paraId="29B8B2AB" w14:textId="77777777" w:rsidR="0085268A" w:rsidRPr="00D51B47" w:rsidRDefault="0085268A" w:rsidP="00977C46">
            <w:pPr>
              <w:jc w:val="center"/>
              <w:rPr>
                <w:rFonts w:asciiTheme="minorHAnsi" w:hAnsiTheme="minorHAnsi" w:cstheme="minorHAnsi"/>
                <w:color w:val="000000" w:themeColor="text1"/>
                <w:sz w:val="18"/>
                <w:szCs w:val="18"/>
                <w:highlight w:val="cyan"/>
              </w:rPr>
            </w:pPr>
            <w:r w:rsidRPr="00D51B47">
              <w:rPr>
                <w:rFonts w:asciiTheme="minorHAnsi" w:hAnsiTheme="minorHAnsi" w:cstheme="minorHAnsi"/>
                <w:color w:val="010205"/>
                <w:sz w:val="18"/>
                <w:szCs w:val="18"/>
              </w:rPr>
              <w:t>15.0</w:t>
            </w:r>
          </w:p>
        </w:tc>
      </w:tr>
      <w:tr w:rsidR="0085268A" w14:paraId="7154E858" w14:textId="77777777">
        <w:tc>
          <w:tcPr>
            <w:tcW w:w="5283" w:type="dxa"/>
            <w:vAlign w:val="bottom"/>
          </w:tcPr>
          <w:p w14:paraId="15EEEFD0" w14:textId="77777777" w:rsidR="0085268A" w:rsidRPr="00BA01BF" w:rsidRDefault="0085268A" w:rsidP="00977C46">
            <w:pPr>
              <w:rPr>
                <w:rFonts w:asciiTheme="minorHAnsi" w:hAnsiTheme="minorHAnsi"/>
                <w:color w:val="000000" w:themeColor="text1"/>
                <w:sz w:val="18"/>
                <w:szCs w:val="18"/>
              </w:rPr>
            </w:pPr>
            <w:r w:rsidRPr="00BA01BF">
              <w:rPr>
                <w:rFonts w:asciiTheme="minorHAnsi" w:hAnsiTheme="minorHAnsi"/>
                <w:color w:val="000000" w:themeColor="text1"/>
                <w:sz w:val="18"/>
                <w:szCs w:val="18"/>
              </w:rPr>
              <w:t>Video</w:t>
            </w:r>
          </w:p>
        </w:tc>
        <w:tc>
          <w:tcPr>
            <w:tcW w:w="1868" w:type="dxa"/>
            <w:vAlign w:val="bottom"/>
          </w:tcPr>
          <w:p w14:paraId="0A72CC57" w14:textId="77777777" w:rsidR="0085268A" w:rsidRPr="00D51B47" w:rsidRDefault="0085268A" w:rsidP="00977C46">
            <w:pPr>
              <w:jc w:val="center"/>
              <w:rPr>
                <w:rFonts w:asciiTheme="minorHAnsi" w:hAnsiTheme="minorHAnsi" w:cstheme="minorHAnsi"/>
                <w:color w:val="000000" w:themeColor="text1"/>
                <w:sz w:val="18"/>
                <w:szCs w:val="18"/>
                <w:highlight w:val="cyan"/>
              </w:rPr>
            </w:pPr>
            <w:r w:rsidRPr="00D51B47">
              <w:rPr>
                <w:rFonts w:asciiTheme="minorHAnsi" w:hAnsiTheme="minorHAnsi" w:cstheme="minorHAnsi"/>
                <w:color w:val="010205"/>
                <w:sz w:val="18"/>
                <w:szCs w:val="18"/>
              </w:rPr>
              <w:t>5</w:t>
            </w:r>
          </w:p>
        </w:tc>
        <w:tc>
          <w:tcPr>
            <w:tcW w:w="1868" w:type="dxa"/>
            <w:vAlign w:val="bottom"/>
          </w:tcPr>
          <w:p w14:paraId="7115EDE9" w14:textId="77777777" w:rsidR="0085268A" w:rsidRPr="00D51B47" w:rsidRDefault="0085268A" w:rsidP="00977C46">
            <w:pPr>
              <w:jc w:val="center"/>
              <w:rPr>
                <w:rFonts w:asciiTheme="minorHAnsi" w:hAnsiTheme="minorHAnsi" w:cstheme="minorHAnsi"/>
                <w:color w:val="000000" w:themeColor="text1"/>
                <w:sz w:val="18"/>
                <w:szCs w:val="18"/>
                <w:highlight w:val="cyan"/>
              </w:rPr>
            </w:pPr>
            <w:r w:rsidRPr="00D51B47">
              <w:rPr>
                <w:rFonts w:asciiTheme="minorHAnsi" w:hAnsiTheme="minorHAnsi" w:cstheme="minorHAnsi"/>
                <w:color w:val="010205"/>
                <w:sz w:val="18"/>
                <w:szCs w:val="18"/>
              </w:rPr>
              <w:t>12.5</w:t>
            </w:r>
          </w:p>
        </w:tc>
      </w:tr>
      <w:tr w:rsidR="0085268A" w14:paraId="089A6B55" w14:textId="77777777">
        <w:tc>
          <w:tcPr>
            <w:tcW w:w="5283" w:type="dxa"/>
            <w:vAlign w:val="bottom"/>
          </w:tcPr>
          <w:p w14:paraId="61627CF7" w14:textId="77777777" w:rsidR="0085268A" w:rsidRPr="00BA01BF" w:rsidRDefault="0085268A" w:rsidP="00977C46">
            <w:pPr>
              <w:rPr>
                <w:rFonts w:asciiTheme="minorHAnsi" w:hAnsiTheme="minorHAnsi"/>
                <w:color w:val="000000" w:themeColor="text1"/>
                <w:sz w:val="18"/>
                <w:szCs w:val="18"/>
              </w:rPr>
            </w:pPr>
            <w:r w:rsidRPr="00BA01BF">
              <w:rPr>
                <w:rFonts w:asciiTheme="minorHAnsi" w:hAnsiTheme="minorHAnsi"/>
                <w:color w:val="000000" w:themeColor="text1"/>
                <w:sz w:val="18"/>
                <w:szCs w:val="18"/>
              </w:rPr>
              <w:t>Other (specify):</w:t>
            </w:r>
          </w:p>
        </w:tc>
        <w:tc>
          <w:tcPr>
            <w:tcW w:w="1868" w:type="dxa"/>
            <w:vAlign w:val="bottom"/>
          </w:tcPr>
          <w:p w14:paraId="1A60F975" w14:textId="77777777" w:rsidR="0085268A" w:rsidRPr="00D51B47" w:rsidRDefault="0085268A" w:rsidP="00977C46">
            <w:pPr>
              <w:jc w:val="center"/>
              <w:rPr>
                <w:rFonts w:asciiTheme="minorHAnsi" w:hAnsiTheme="minorHAnsi" w:cstheme="minorHAnsi"/>
                <w:color w:val="000000" w:themeColor="text1"/>
                <w:sz w:val="18"/>
                <w:szCs w:val="18"/>
                <w:highlight w:val="cyan"/>
              </w:rPr>
            </w:pPr>
            <w:r w:rsidRPr="00D51B47">
              <w:rPr>
                <w:rFonts w:asciiTheme="minorHAnsi" w:hAnsiTheme="minorHAnsi" w:cstheme="minorHAnsi"/>
                <w:color w:val="010205"/>
                <w:sz w:val="18"/>
                <w:szCs w:val="18"/>
              </w:rPr>
              <w:t>5</w:t>
            </w:r>
          </w:p>
        </w:tc>
        <w:tc>
          <w:tcPr>
            <w:tcW w:w="1868" w:type="dxa"/>
            <w:vAlign w:val="bottom"/>
          </w:tcPr>
          <w:p w14:paraId="154EBC4C" w14:textId="77777777" w:rsidR="0085268A" w:rsidRPr="00D51B47" w:rsidRDefault="0085268A" w:rsidP="00977C46">
            <w:pPr>
              <w:jc w:val="center"/>
              <w:rPr>
                <w:rFonts w:asciiTheme="minorHAnsi" w:hAnsiTheme="minorHAnsi" w:cstheme="minorHAnsi"/>
                <w:color w:val="000000" w:themeColor="text1"/>
                <w:sz w:val="18"/>
                <w:szCs w:val="18"/>
                <w:highlight w:val="cyan"/>
              </w:rPr>
            </w:pPr>
            <w:r w:rsidRPr="00D51B47">
              <w:rPr>
                <w:rFonts w:asciiTheme="minorHAnsi" w:hAnsiTheme="minorHAnsi" w:cstheme="minorHAnsi"/>
                <w:color w:val="010205"/>
                <w:sz w:val="18"/>
                <w:szCs w:val="18"/>
              </w:rPr>
              <w:t>12.5</w:t>
            </w:r>
          </w:p>
        </w:tc>
      </w:tr>
    </w:tbl>
    <w:p w14:paraId="27144671" w14:textId="77777777" w:rsidR="0085268A" w:rsidRDefault="0085268A" w:rsidP="0085268A">
      <w:pPr>
        <w:spacing w:after="240"/>
        <w:rPr>
          <w:rFonts w:asciiTheme="minorHAnsi" w:hAnsiTheme="minorHAnsi" w:cstheme="minorHAnsi"/>
          <w:sz w:val="16"/>
          <w:szCs w:val="16"/>
        </w:rPr>
      </w:pPr>
      <w:proofErr w:type="gramStart"/>
      <w:r w:rsidRPr="0024503F">
        <w:rPr>
          <w:rFonts w:asciiTheme="minorHAnsi" w:hAnsiTheme="minorHAnsi" w:cstheme="minorHAnsi"/>
          <w:sz w:val="16"/>
          <w:szCs w:val="16"/>
          <w:vertAlign w:val="superscript"/>
        </w:rPr>
        <w:t xml:space="preserve">a </w:t>
      </w:r>
      <w:r w:rsidRPr="0024503F">
        <w:rPr>
          <w:rFonts w:asciiTheme="minorHAnsi" w:hAnsiTheme="minorHAnsi" w:cstheme="minorHAnsi"/>
          <w:sz w:val="16"/>
          <w:szCs w:val="16"/>
        </w:rPr>
        <w:t>Multiple responses</w:t>
      </w:r>
      <w:proofErr w:type="gramEnd"/>
      <w:r w:rsidRPr="0024503F">
        <w:rPr>
          <w:rFonts w:asciiTheme="minorHAnsi" w:hAnsiTheme="minorHAnsi" w:cstheme="minorHAnsi"/>
          <w:sz w:val="16"/>
          <w:szCs w:val="16"/>
        </w:rPr>
        <w:t xml:space="preserve"> permitted.</w:t>
      </w:r>
    </w:p>
    <w:p w14:paraId="4FDF171F" w14:textId="10199E7D" w:rsidR="0085268A" w:rsidRPr="0024503F" w:rsidRDefault="0085268A" w:rsidP="0085268A">
      <w:pPr>
        <w:pStyle w:val="ANorm"/>
        <w:spacing w:after="240"/>
      </w:pPr>
      <w:r>
        <w:t xml:space="preserve">As shown in Table </w:t>
      </w:r>
      <w:r w:rsidR="0035502F">
        <w:t>47</w:t>
      </w:r>
      <w:r>
        <w:t>, 31%</w:t>
      </w:r>
      <w:r w:rsidRPr="00D101A5">
        <w:t xml:space="preserve"> of respondents who delivered DMHSs indicated that, overall, they were somewhat satisfied with providing this care and a further 30%, were very satisfied with delivering mental health care in this format.</w:t>
      </w:r>
    </w:p>
    <w:p w14:paraId="3C86D156" w14:textId="50461E8F" w:rsidR="0085268A" w:rsidRPr="00977C46" w:rsidRDefault="0085268A" w:rsidP="00977C46">
      <w:pPr>
        <w:pStyle w:val="tableheading"/>
      </w:pPr>
      <w:r w:rsidRPr="00977C46">
        <w:t xml:space="preserve">Table </w:t>
      </w:r>
      <w:r w:rsidR="00785A15">
        <w:t>47</w:t>
      </w:r>
      <w:r w:rsidRPr="00977C46">
        <w:t>. Overall satisfaction with providing supported DMHSs (n=55)</w:t>
      </w:r>
    </w:p>
    <w:tbl>
      <w:tblPr>
        <w:tblStyle w:val="TableGrid"/>
        <w:tblW w:w="9019" w:type="dxa"/>
        <w:tblBorders>
          <w:insideH w:val="none" w:sz="0" w:space="0" w:color="auto"/>
          <w:insideV w:val="none" w:sz="0" w:space="0" w:color="auto"/>
        </w:tblBorders>
        <w:tblLook w:val="04A0" w:firstRow="1" w:lastRow="0" w:firstColumn="1" w:lastColumn="0" w:noHBand="0" w:noVBand="1"/>
        <w:tblDescription w:val="This table presents overall satisfaction with supported DMHSs"/>
      </w:tblPr>
      <w:tblGrid>
        <w:gridCol w:w="5289"/>
        <w:gridCol w:w="1865"/>
        <w:gridCol w:w="1865"/>
      </w:tblGrid>
      <w:tr w:rsidR="0085268A" w:rsidRPr="006E26EA" w14:paraId="04EA65C1" w14:textId="77777777">
        <w:tc>
          <w:tcPr>
            <w:tcW w:w="5289" w:type="dxa"/>
            <w:shd w:val="clear" w:color="auto" w:fill="000000" w:themeFill="text1"/>
            <w:vAlign w:val="bottom"/>
          </w:tcPr>
          <w:p w14:paraId="1B199840" w14:textId="77777777" w:rsidR="0085268A" w:rsidRPr="004759C2" w:rsidRDefault="0085268A" w:rsidP="00977C46">
            <w:pPr>
              <w:rPr>
                <w:rFonts w:asciiTheme="minorHAnsi" w:hAnsiTheme="minorHAnsi"/>
                <w:color w:val="FFFFFF" w:themeColor="background1"/>
                <w:sz w:val="18"/>
                <w:szCs w:val="18"/>
              </w:rPr>
            </w:pPr>
          </w:p>
        </w:tc>
        <w:tc>
          <w:tcPr>
            <w:tcW w:w="1865" w:type="dxa"/>
            <w:shd w:val="clear" w:color="auto" w:fill="000000" w:themeFill="text1"/>
            <w:vAlign w:val="bottom"/>
          </w:tcPr>
          <w:p w14:paraId="3FF29815" w14:textId="77777777" w:rsidR="0085268A" w:rsidRPr="006E26EA" w:rsidRDefault="0085268A" w:rsidP="00977C46">
            <w:pPr>
              <w:jc w:val="center"/>
              <w:rPr>
                <w:rFonts w:asciiTheme="minorHAnsi" w:hAnsiTheme="minorHAnsi"/>
                <w:color w:val="FFFFFF" w:themeColor="background1"/>
                <w:sz w:val="18"/>
                <w:szCs w:val="18"/>
              </w:rPr>
            </w:pPr>
            <w:r w:rsidRPr="006E26EA">
              <w:rPr>
                <w:rFonts w:asciiTheme="minorHAnsi" w:hAnsiTheme="minorHAnsi"/>
                <w:color w:val="FFFFFF" w:themeColor="background1"/>
                <w:sz w:val="18"/>
                <w:szCs w:val="18"/>
              </w:rPr>
              <w:t>Frequency</w:t>
            </w:r>
          </w:p>
        </w:tc>
        <w:tc>
          <w:tcPr>
            <w:tcW w:w="1865" w:type="dxa"/>
            <w:shd w:val="clear" w:color="auto" w:fill="000000" w:themeFill="text1"/>
            <w:vAlign w:val="bottom"/>
          </w:tcPr>
          <w:p w14:paraId="58C12662" w14:textId="77777777" w:rsidR="0085268A" w:rsidRPr="006E26EA" w:rsidRDefault="0085268A" w:rsidP="00977C46">
            <w:pPr>
              <w:jc w:val="center"/>
              <w:rPr>
                <w:rFonts w:asciiTheme="minorHAnsi" w:hAnsiTheme="minorHAnsi"/>
                <w:color w:val="FFFFFF" w:themeColor="background1"/>
                <w:sz w:val="18"/>
                <w:szCs w:val="18"/>
              </w:rPr>
            </w:pPr>
            <w:r w:rsidRPr="006E26EA">
              <w:rPr>
                <w:rFonts w:asciiTheme="minorHAnsi" w:hAnsiTheme="minorHAnsi"/>
                <w:color w:val="FFFFFF" w:themeColor="background1"/>
                <w:sz w:val="18"/>
                <w:szCs w:val="18"/>
              </w:rPr>
              <w:t>%</w:t>
            </w:r>
          </w:p>
        </w:tc>
      </w:tr>
      <w:tr w:rsidR="0085268A" w:rsidRPr="006E26EA" w14:paraId="1D74D882" w14:textId="77777777">
        <w:tc>
          <w:tcPr>
            <w:tcW w:w="5289" w:type="dxa"/>
            <w:vAlign w:val="bottom"/>
          </w:tcPr>
          <w:p w14:paraId="2F4E6306" w14:textId="77777777" w:rsidR="0085268A" w:rsidRPr="006E26EA" w:rsidRDefault="0085268A" w:rsidP="00977C46">
            <w:pPr>
              <w:rPr>
                <w:rFonts w:asciiTheme="minorHAnsi" w:hAnsiTheme="minorHAnsi"/>
                <w:color w:val="000000" w:themeColor="text1"/>
                <w:sz w:val="18"/>
                <w:szCs w:val="18"/>
              </w:rPr>
            </w:pPr>
            <w:r w:rsidRPr="006E26EA">
              <w:rPr>
                <w:rFonts w:asciiTheme="minorHAnsi" w:hAnsiTheme="minorHAnsi"/>
                <w:color w:val="000000" w:themeColor="text1"/>
                <w:sz w:val="18"/>
                <w:szCs w:val="18"/>
              </w:rPr>
              <w:t>Not at all satisfied</w:t>
            </w:r>
          </w:p>
        </w:tc>
        <w:tc>
          <w:tcPr>
            <w:tcW w:w="1865" w:type="dxa"/>
            <w:vAlign w:val="bottom"/>
          </w:tcPr>
          <w:p w14:paraId="6D39A2B6" w14:textId="77777777" w:rsidR="0085268A" w:rsidRPr="006E26EA" w:rsidRDefault="0085268A" w:rsidP="00977C46">
            <w:pPr>
              <w:jc w:val="center"/>
              <w:rPr>
                <w:rFonts w:asciiTheme="minorHAnsi" w:hAnsiTheme="minorHAnsi" w:cstheme="minorHAnsi"/>
                <w:color w:val="000000" w:themeColor="text1"/>
                <w:sz w:val="18"/>
                <w:szCs w:val="18"/>
              </w:rPr>
            </w:pPr>
            <w:r w:rsidRPr="006E26EA">
              <w:rPr>
                <w:rFonts w:asciiTheme="minorHAnsi" w:hAnsiTheme="minorHAnsi" w:cstheme="minorHAnsi"/>
                <w:color w:val="010205"/>
                <w:sz w:val="18"/>
                <w:szCs w:val="18"/>
              </w:rPr>
              <w:t>4</w:t>
            </w:r>
          </w:p>
        </w:tc>
        <w:tc>
          <w:tcPr>
            <w:tcW w:w="1865" w:type="dxa"/>
            <w:vAlign w:val="bottom"/>
          </w:tcPr>
          <w:p w14:paraId="57240F89" w14:textId="77777777" w:rsidR="0085268A" w:rsidRPr="006E26EA" w:rsidRDefault="0085268A" w:rsidP="00977C46">
            <w:pPr>
              <w:jc w:val="center"/>
              <w:rPr>
                <w:rFonts w:asciiTheme="minorHAnsi" w:hAnsiTheme="minorHAnsi" w:cstheme="minorHAnsi"/>
                <w:color w:val="000000" w:themeColor="text1"/>
                <w:sz w:val="18"/>
                <w:szCs w:val="18"/>
              </w:rPr>
            </w:pPr>
            <w:r w:rsidRPr="006E26EA">
              <w:rPr>
                <w:rFonts w:asciiTheme="minorHAnsi" w:hAnsiTheme="minorHAnsi" w:cstheme="minorHAnsi"/>
                <w:color w:val="010205"/>
                <w:sz w:val="18"/>
                <w:szCs w:val="18"/>
              </w:rPr>
              <w:t>7.3</w:t>
            </w:r>
          </w:p>
        </w:tc>
      </w:tr>
      <w:tr w:rsidR="0085268A" w:rsidRPr="006E26EA" w14:paraId="086C6540" w14:textId="77777777">
        <w:tc>
          <w:tcPr>
            <w:tcW w:w="5289" w:type="dxa"/>
            <w:vAlign w:val="bottom"/>
          </w:tcPr>
          <w:p w14:paraId="26A2AF9F" w14:textId="77777777" w:rsidR="0085268A" w:rsidRPr="006E26EA" w:rsidRDefault="0085268A" w:rsidP="00977C46">
            <w:pPr>
              <w:rPr>
                <w:rFonts w:asciiTheme="minorHAnsi" w:hAnsiTheme="minorHAnsi"/>
                <w:color w:val="000000" w:themeColor="text1"/>
                <w:sz w:val="18"/>
                <w:szCs w:val="18"/>
              </w:rPr>
            </w:pPr>
            <w:r w:rsidRPr="006E26EA">
              <w:rPr>
                <w:rFonts w:asciiTheme="minorHAnsi" w:hAnsiTheme="minorHAnsi"/>
                <w:color w:val="000000" w:themeColor="text1"/>
                <w:sz w:val="18"/>
                <w:szCs w:val="18"/>
              </w:rPr>
              <w:t>Somewhat satisfied</w:t>
            </w:r>
          </w:p>
        </w:tc>
        <w:tc>
          <w:tcPr>
            <w:tcW w:w="1865" w:type="dxa"/>
            <w:vAlign w:val="bottom"/>
          </w:tcPr>
          <w:p w14:paraId="4A3829AC" w14:textId="77777777" w:rsidR="0085268A" w:rsidRPr="006E26EA" w:rsidRDefault="0085268A" w:rsidP="00977C46">
            <w:pPr>
              <w:jc w:val="center"/>
              <w:rPr>
                <w:rFonts w:asciiTheme="minorHAnsi" w:hAnsiTheme="minorHAnsi" w:cstheme="minorHAnsi"/>
                <w:color w:val="000000" w:themeColor="text1"/>
                <w:sz w:val="18"/>
                <w:szCs w:val="18"/>
              </w:rPr>
            </w:pPr>
            <w:r w:rsidRPr="006E26EA">
              <w:rPr>
                <w:rFonts w:asciiTheme="minorHAnsi" w:hAnsiTheme="minorHAnsi" w:cstheme="minorHAnsi"/>
                <w:color w:val="010205"/>
                <w:sz w:val="18"/>
                <w:szCs w:val="18"/>
              </w:rPr>
              <w:t>17</w:t>
            </w:r>
          </w:p>
        </w:tc>
        <w:tc>
          <w:tcPr>
            <w:tcW w:w="1865" w:type="dxa"/>
            <w:vAlign w:val="bottom"/>
          </w:tcPr>
          <w:p w14:paraId="67A38D30" w14:textId="77777777" w:rsidR="0085268A" w:rsidRPr="006E26EA" w:rsidRDefault="0085268A" w:rsidP="00977C46">
            <w:pPr>
              <w:jc w:val="center"/>
              <w:rPr>
                <w:rFonts w:asciiTheme="minorHAnsi" w:hAnsiTheme="minorHAnsi" w:cstheme="minorHAnsi"/>
                <w:color w:val="000000" w:themeColor="text1"/>
                <w:sz w:val="18"/>
                <w:szCs w:val="18"/>
              </w:rPr>
            </w:pPr>
            <w:r w:rsidRPr="006E26EA">
              <w:rPr>
                <w:rFonts w:asciiTheme="minorHAnsi" w:hAnsiTheme="minorHAnsi" w:cstheme="minorHAnsi"/>
                <w:color w:val="010205"/>
                <w:sz w:val="18"/>
                <w:szCs w:val="18"/>
              </w:rPr>
              <w:t>30.9</w:t>
            </w:r>
          </w:p>
        </w:tc>
      </w:tr>
      <w:tr w:rsidR="0085268A" w:rsidRPr="006E26EA" w14:paraId="4902C805" w14:textId="77777777">
        <w:tc>
          <w:tcPr>
            <w:tcW w:w="5289" w:type="dxa"/>
            <w:vAlign w:val="bottom"/>
          </w:tcPr>
          <w:p w14:paraId="4174F090" w14:textId="77777777" w:rsidR="0085268A" w:rsidRPr="006E26EA" w:rsidRDefault="0085268A" w:rsidP="00977C46">
            <w:pPr>
              <w:rPr>
                <w:rFonts w:asciiTheme="minorHAnsi" w:hAnsiTheme="minorHAnsi"/>
                <w:color w:val="000000" w:themeColor="text1"/>
                <w:sz w:val="18"/>
                <w:szCs w:val="18"/>
              </w:rPr>
            </w:pPr>
            <w:r w:rsidRPr="006E26EA">
              <w:rPr>
                <w:rFonts w:asciiTheme="minorHAnsi" w:hAnsiTheme="minorHAnsi"/>
                <w:color w:val="000000" w:themeColor="text1"/>
                <w:sz w:val="18"/>
                <w:szCs w:val="18"/>
              </w:rPr>
              <w:t>Satisfied</w:t>
            </w:r>
          </w:p>
        </w:tc>
        <w:tc>
          <w:tcPr>
            <w:tcW w:w="1865" w:type="dxa"/>
            <w:vAlign w:val="bottom"/>
          </w:tcPr>
          <w:p w14:paraId="3E3D9383" w14:textId="77777777" w:rsidR="0085268A" w:rsidRPr="006E26EA" w:rsidRDefault="0085268A" w:rsidP="00977C46">
            <w:pPr>
              <w:jc w:val="center"/>
              <w:rPr>
                <w:rFonts w:asciiTheme="minorHAnsi" w:hAnsiTheme="minorHAnsi" w:cstheme="minorHAnsi"/>
                <w:color w:val="000000" w:themeColor="text1"/>
                <w:sz w:val="18"/>
                <w:szCs w:val="18"/>
              </w:rPr>
            </w:pPr>
            <w:r w:rsidRPr="006E26EA">
              <w:rPr>
                <w:rFonts w:asciiTheme="minorHAnsi" w:hAnsiTheme="minorHAnsi" w:cstheme="minorHAnsi"/>
                <w:color w:val="010205"/>
                <w:sz w:val="18"/>
                <w:szCs w:val="18"/>
              </w:rPr>
              <w:t>10</w:t>
            </w:r>
          </w:p>
        </w:tc>
        <w:tc>
          <w:tcPr>
            <w:tcW w:w="1865" w:type="dxa"/>
            <w:vAlign w:val="bottom"/>
          </w:tcPr>
          <w:p w14:paraId="5B50E234" w14:textId="77777777" w:rsidR="0085268A" w:rsidRPr="006E26EA" w:rsidRDefault="0085268A" w:rsidP="00977C46">
            <w:pPr>
              <w:jc w:val="center"/>
              <w:rPr>
                <w:rFonts w:asciiTheme="minorHAnsi" w:hAnsiTheme="minorHAnsi" w:cstheme="minorHAnsi"/>
                <w:color w:val="000000" w:themeColor="text1"/>
                <w:sz w:val="18"/>
                <w:szCs w:val="18"/>
              </w:rPr>
            </w:pPr>
            <w:r w:rsidRPr="006E26EA">
              <w:rPr>
                <w:rFonts w:asciiTheme="minorHAnsi" w:hAnsiTheme="minorHAnsi" w:cstheme="minorHAnsi"/>
                <w:color w:val="010205"/>
                <w:sz w:val="18"/>
                <w:szCs w:val="18"/>
              </w:rPr>
              <w:t>18.2</w:t>
            </w:r>
          </w:p>
        </w:tc>
      </w:tr>
      <w:tr w:rsidR="0085268A" w:rsidRPr="006E26EA" w14:paraId="4917941F" w14:textId="77777777">
        <w:tc>
          <w:tcPr>
            <w:tcW w:w="5289" w:type="dxa"/>
            <w:vAlign w:val="bottom"/>
          </w:tcPr>
          <w:p w14:paraId="0AC04D93" w14:textId="77777777" w:rsidR="0085268A" w:rsidRPr="006E26EA" w:rsidRDefault="0085268A" w:rsidP="00977C46">
            <w:pPr>
              <w:rPr>
                <w:rFonts w:asciiTheme="minorHAnsi" w:hAnsiTheme="minorHAnsi"/>
                <w:color w:val="000000" w:themeColor="text1"/>
                <w:sz w:val="18"/>
                <w:szCs w:val="18"/>
              </w:rPr>
            </w:pPr>
            <w:r w:rsidRPr="006E26EA">
              <w:rPr>
                <w:rFonts w:asciiTheme="minorHAnsi" w:hAnsiTheme="minorHAnsi"/>
                <w:color w:val="000000" w:themeColor="text1"/>
                <w:sz w:val="18"/>
                <w:szCs w:val="18"/>
              </w:rPr>
              <w:t>Very satisfied</w:t>
            </w:r>
          </w:p>
        </w:tc>
        <w:tc>
          <w:tcPr>
            <w:tcW w:w="1865" w:type="dxa"/>
            <w:vAlign w:val="bottom"/>
          </w:tcPr>
          <w:p w14:paraId="0E6CA725" w14:textId="77777777" w:rsidR="0085268A" w:rsidRPr="006E26EA" w:rsidRDefault="0085268A" w:rsidP="00977C46">
            <w:pPr>
              <w:jc w:val="center"/>
              <w:rPr>
                <w:rFonts w:asciiTheme="minorHAnsi" w:hAnsiTheme="minorHAnsi" w:cstheme="minorHAnsi"/>
                <w:color w:val="000000" w:themeColor="text1"/>
                <w:sz w:val="18"/>
                <w:szCs w:val="18"/>
              </w:rPr>
            </w:pPr>
            <w:r w:rsidRPr="006E26EA">
              <w:rPr>
                <w:rFonts w:asciiTheme="minorHAnsi" w:hAnsiTheme="minorHAnsi" w:cstheme="minorHAnsi"/>
                <w:color w:val="010205"/>
                <w:sz w:val="18"/>
                <w:szCs w:val="18"/>
              </w:rPr>
              <w:t>16</w:t>
            </w:r>
          </w:p>
        </w:tc>
        <w:tc>
          <w:tcPr>
            <w:tcW w:w="1865" w:type="dxa"/>
            <w:vAlign w:val="bottom"/>
          </w:tcPr>
          <w:p w14:paraId="7954E664" w14:textId="77777777" w:rsidR="0085268A" w:rsidRPr="006E26EA" w:rsidRDefault="0085268A" w:rsidP="00977C46">
            <w:pPr>
              <w:jc w:val="center"/>
              <w:rPr>
                <w:rFonts w:asciiTheme="minorHAnsi" w:hAnsiTheme="minorHAnsi" w:cstheme="minorHAnsi"/>
                <w:color w:val="000000" w:themeColor="text1"/>
                <w:sz w:val="18"/>
                <w:szCs w:val="18"/>
              </w:rPr>
            </w:pPr>
            <w:r w:rsidRPr="006E26EA">
              <w:rPr>
                <w:rFonts w:asciiTheme="minorHAnsi" w:hAnsiTheme="minorHAnsi" w:cstheme="minorHAnsi"/>
                <w:color w:val="010205"/>
                <w:sz w:val="18"/>
                <w:szCs w:val="18"/>
              </w:rPr>
              <w:t>29.1</w:t>
            </w:r>
          </w:p>
        </w:tc>
      </w:tr>
      <w:tr w:rsidR="0085268A" w:rsidRPr="006E26EA" w14:paraId="6E011F29" w14:textId="77777777">
        <w:tc>
          <w:tcPr>
            <w:tcW w:w="5289" w:type="dxa"/>
            <w:vAlign w:val="bottom"/>
          </w:tcPr>
          <w:p w14:paraId="289A449A" w14:textId="77777777" w:rsidR="0085268A" w:rsidRPr="006E26EA" w:rsidRDefault="0085268A" w:rsidP="00977C46">
            <w:pPr>
              <w:rPr>
                <w:rFonts w:asciiTheme="minorHAnsi" w:hAnsiTheme="minorHAnsi"/>
                <w:color w:val="000000" w:themeColor="text1"/>
                <w:sz w:val="18"/>
                <w:szCs w:val="18"/>
              </w:rPr>
            </w:pPr>
            <w:r w:rsidRPr="006E26EA">
              <w:rPr>
                <w:rFonts w:asciiTheme="minorHAnsi" w:hAnsiTheme="minorHAnsi"/>
                <w:color w:val="000000" w:themeColor="text1"/>
                <w:sz w:val="18"/>
                <w:szCs w:val="18"/>
              </w:rPr>
              <w:t>Completely satisfied</w:t>
            </w:r>
          </w:p>
        </w:tc>
        <w:tc>
          <w:tcPr>
            <w:tcW w:w="1865" w:type="dxa"/>
            <w:vAlign w:val="bottom"/>
          </w:tcPr>
          <w:p w14:paraId="41468B88" w14:textId="77777777" w:rsidR="0085268A" w:rsidRPr="006E26EA" w:rsidRDefault="0085268A" w:rsidP="00977C46">
            <w:pPr>
              <w:jc w:val="center"/>
              <w:rPr>
                <w:rFonts w:asciiTheme="minorHAnsi" w:hAnsiTheme="minorHAnsi" w:cstheme="minorHAnsi"/>
                <w:color w:val="000000" w:themeColor="text1"/>
                <w:sz w:val="18"/>
                <w:szCs w:val="18"/>
              </w:rPr>
            </w:pPr>
            <w:r w:rsidRPr="006E26EA">
              <w:rPr>
                <w:rFonts w:asciiTheme="minorHAnsi" w:hAnsiTheme="minorHAnsi" w:cstheme="minorHAnsi"/>
                <w:color w:val="010205"/>
                <w:sz w:val="18"/>
                <w:szCs w:val="18"/>
              </w:rPr>
              <w:t>6</w:t>
            </w:r>
          </w:p>
        </w:tc>
        <w:tc>
          <w:tcPr>
            <w:tcW w:w="1865" w:type="dxa"/>
            <w:vAlign w:val="bottom"/>
          </w:tcPr>
          <w:p w14:paraId="4A63B41A" w14:textId="77777777" w:rsidR="0085268A" w:rsidRPr="006E26EA" w:rsidRDefault="0085268A" w:rsidP="00977C46">
            <w:pPr>
              <w:jc w:val="center"/>
              <w:rPr>
                <w:rFonts w:asciiTheme="minorHAnsi" w:hAnsiTheme="minorHAnsi" w:cstheme="minorHAnsi"/>
                <w:color w:val="000000" w:themeColor="text1"/>
                <w:sz w:val="18"/>
                <w:szCs w:val="18"/>
              </w:rPr>
            </w:pPr>
            <w:r w:rsidRPr="006E26EA">
              <w:rPr>
                <w:rFonts w:asciiTheme="minorHAnsi" w:hAnsiTheme="minorHAnsi" w:cstheme="minorHAnsi"/>
                <w:color w:val="010205"/>
                <w:sz w:val="18"/>
                <w:szCs w:val="18"/>
              </w:rPr>
              <w:t>10.9</w:t>
            </w:r>
          </w:p>
        </w:tc>
      </w:tr>
      <w:tr w:rsidR="0085268A" w:rsidRPr="006E26EA" w14:paraId="4BCCA0E4" w14:textId="77777777">
        <w:tc>
          <w:tcPr>
            <w:tcW w:w="5289" w:type="dxa"/>
            <w:vAlign w:val="bottom"/>
          </w:tcPr>
          <w:p w14:paraId="3C15604E" w14:textId="77777777" w:rsidR="0085268A" w:rsidRPr="006E26EA" w:rsidRDefault="0085268A" w:rsidP="00977C46">
            <w:pPr>
              <w:rPr>
                <w:rFonts w:asciiTheme="minorHAnsi" w:hAnsiTheme="minorHAnsi"/>
                <w:color w:val="000000" w:themeColor="text1"/>
                <w:sz w:val="18"/>
                <w:szCs w:val="18"/>
              </w:rPr>
            </w:pPr>
            <w:r>
              <w:rPr>
                <w:rFonts w:asciiTheme="minorHAnsi" w:hAnsiTheme="minorHAnsi"/>
                <w:color w:val="000000" w:themeColor="text1"/>
                <w:sz w:val="18"/>
                <w:szCs w:val="18"/>
              </w:rPr>
              <w:t>Missing</w:t>
            </w:r>
          </w:p>
        </w:tc>
        <w:tc>
          <w:tcPr>
            <w:tcW w:w="1865" w:type="dxa"/>
            <w:vAlign w:val="bottom"/>
          </w:tcPr>
          <w:p w14:paraId="1B1C6648" w14:textId="77777777" w:rsidR="0085268A" w:rsidRPr="006E26EA" w:rsidRDefault="0085268A" w:rsidP="00977C46">
            <w:pPr>
              <w:jc w:val="center"/>
              <w:rPr>
                <w:rFonts w:asciiTheme="minorHAnsi" w:hAnsiTheme="minorHAnsi" w:cstheme="minorHAnsi"/>
                <w:color w:val="010205"/>
                <w:sz w:val="18"/>
                <w:szCs w:val="18"/>
              </w:rPr>
            </w:pPr>
            <w:r>
              <w:rPr>
                <w:rFonts w:asciiTheme="minorHAnsi" w:hAnsiTheme="minorHAnsi" w:cstheme="minorHAnsi"/>
                <w:color w:val="010205"/>
                <w:sz w:val="18"/>
                <w:szCs w:val="18"/>
              </w:rPr>
              <w:t>2</w:t>
            </w:r>
          </w:p>
        </w:tc>
        <w:tc>
          <w:tcPr>
            <w:tcW w:w="1865" w:type="dxa"/>
            <w:vAlign w:val="bottom"/>
          </w:tcPr>
          <w:p w14:paraId="2B8C98BF" w14:textId="77777777" w:rsidR="0085268A" w:rsidRPr="006E26EA" w:rsidRDefault="0085268A" w:rsidP="00977C46">
            <w:pPr>
              <w:jc w:val="center"/>
              <w:rPr>
                <w:rFonts w:asciiTheme="minorHAnsi" w:hAnsiTheme="minorHAnsi" w:cstheme="minorHAnsi"/>
                <w:color w:val="010205"/>
                <w:sz w:val="18"/>
                <w:szCs w:val="18"/>
              </w:rPr>
            </w:pPr>
            <w:r>
              <w:rPr>
                <w:rFonts w:asciiTheme="minorHAnsi" w:hAnsiTheme="minorHAnsi" w:cstheme="minorHAnsi"/>
                <w:color w:val="010205"/>
                <w:sz w:val="18"/>
                <w:szCs w:val="18"/>
              </w:rPr>
              <w:t>3.6</w:t>
            </w:r>
          </w:p>
        </w:tc>
      </w:tr>
    </w:tbl>
    <w:p w14:paraId="6083FD29" w14:textId="77777777" w:rsidR="00977C46" w:rsidRDefault="00977C46" w:rsidP="00977C46">
      <w:pPr>
        <w:pStyle w:val="ANorm"/>
      </w:pPr>
    </w:p>
    <w:p w14:paraId="3F5EC6C5" w14:textId="77777777" w:rsidR="00977C46" w:rsidRDefault="00977C46">
      <w:pPr>
        <w:rPr>
          <w:rFonts w:ascii="Calibri" w:hAnsi="Calibri" w:cs="Arial"/>
          <w:b/>
          <w:bCs/>
          <w:iCs/>
          <w:color w:val="2F5496" w:themeColor="accent1" w:themeShade="BF"/>
          <w:sz w:val="28"/>
          <w:szCs w:val="28"/>
        </w:rPr>
      </w:pPr>
      <w:r>
        <w:br w:type="page"/>
      </w:r>
    </w:p>
    <w:p w14:paraId="04452BF0" w14:textId="5E27EB2E" w:rsidR="0085268A" w:rsidRDefault="0085268A" w:rsidP="00D509F3">
      <w:pPr>
        <w:pStyle w:val="Heading2"/>
        <w:numPr>
          <w:ilvl w:val="1"/>
          <w:numId w:val="163"/>
        </w:numPr>
        <w:spacing w:before="240"/>
      </w:pPr>
      <w:bookmarkStart w:id="230" w:name="_Toc102131998"/>
      <w:bookmarkStart w:id="231" w:name="_Toc108784887"/>
      <w:r>
        <w:lastRenderedPageBreak/>
        <w:t>Experiences and v</w:t>
      </w:r>
      <w:r w:rsidRPr="00EC06B4">
        <w:t xml:space="preserve">iews of </w:t>
      </w:r>
      <w:r>
        <w:t>professionals</w:t>
      </w:r>
      <w:r w:rsidRPr="00EC06B4">
        <w:t xml:space="preserve"> who do not </w:t>
      </w:r>
      <w:r>
        <w:t xml:space="preserve">deliver </w:t>
      </w:r>
      <w:r w:rsidRPr="00EC06B4">
        <w:t>DMHS</w:t>
      </w:r>
      <w:r>
        <w:t>s (n=38)</w:t>
      </w:r>
      <w:bookmarkEnd w:id="230"/>
      <w:bookmarkEnd w:id="231"/>
    </w:p>
    <w:p w14:paraId="6CB3593F" w14:textId="051E8434" w:rsidR="0085268A" w:rsidRPr="00DE536E" w:rsidRDefault="0085268A" w:rsidP="0085268A">
      <w:pPr>
        <w:pStyle w:val="ANorm"/>
        <w:spacing w:after="120"/>
      </w:pPr>
      <w:r>
        <w:t>Most</w:t>
      </w:r>
      <w:r w:rsidRPr="00DE536E">
        <w:t xml:space="preserve"> of the 38 respondents who did not provide DMHSs indicated that they recommended DMHSs to their clients/patients (n=32, 84.2%), with 59.4% of those who recommend them indicating they provide some benefit to their clients/patients (see Table </w:t>
      </w:r>
      <w:r w:rsidR="00785A15">
        <w:t>48</w:t>
      </w:r>
      <w:r w:rsidRPr="00DE536E">
        <w:t>). Close to one</w:t>
      </w:r>
      <w:r>
        <w:t>-</w:t>
      </w:r>
      <w:r w:rsidRPr="00DE536E">
        <w:t>third of respondents who recommend DMHS were unsure if a therapist was a feature of the DMHS,</w:t>
      </w:r>
      <w:r>
        <w:t xml:space="preserve"> and </w:t>
      </w:r>
      <w:r w:rsidRPr="00DE536E">
        <w:t>40.6% indicated a therapist was a feature of the DMHS.</w:t>
      </w:r>
    </w:p>
    <w:p w14:paraId="3773B588" w14:textId="38E2424B" w:rsidR="0085268A" w:rsidRPr="004759C2" w:rsidRDefault="0085268A" w:rsidP="0085268A">
      <w:pPr>
        <w:pStyle w:val="tableheading"/>
      </w:pPr>
      <w:r w:rsidRPr="004759C2">
        <w:t xml:space="preserve">Table </w:t>
      </w:r>
      <w:r w:rsidR="00785A15" w:rsidRPr="00785A15">
        <w:t>48</w:t>
      </w:r>
      <w:r w:rsidRPr="00785A15">
        <w:t>.</w:t>
      </w:r>
      <w:r w:rsidRPr="004759C2">
        <w:t xml:space="preserve"> Extent DMHS</w:t>
      </w:r>
      <w:r>
        <w:t>s</w:t>
      </w:r>
      <w:r w:rsidRPr="004759C2">
        <w:t xml:space="preserve"> benefit clients’/patients</w:t>
      </w:r>
      <w:r>
        <w:t>’</w:t>
      </w:r>
      <w:r w:rsidRPr="004759C2">
        <w:t xml:space="preserve"> mental health </w:t>
      </w:r>
      <w:r>
        <w:t xml:space="preserve">and provision of therapist as feature of DMHS </w:t>
      </w:r>
      <w:r w:rsidRPr="004759C2">
        <w:t>(n=3</w:t>
      </w:r>
      <w:r>
        <w:t>2</w:t>
      </w:r>
      <w:r w:rsidRPr="004759C2">
        <w:t>)</w:t>
      </w:r>
    </w:p>
    <w:tbl>
      <w:tblPr>
        <w:tblStyle w:val="TableGrid"/>
        <w:tblW w:w="9019" w:type="dxa"/>
        <w:tblBorders>
          <w:insideH w:val="none" w:sz="0" w:space="0" w:color="auto"/>
          <w:insideV w:val="none" w:sz="0" w:space="0" w:color="auto"/>
        </w:tblBorders>
        <w:tblLook w:val="04A0" w:firstRow="1" w:lastRow="0" w:firstColumn="1" w:lastColumn="0" w:noHBand="0" w:noVBand="1"/>
        <w:tblDescription w:val="This table presents extent of perceived benefit to consumers and whether a therapist was provided as a feature of the DMHS"/>
      </w:tblPr>
      <w:tblGrid>
        <w:gridCol w:w="5279"/>
        <w:gridCol w:w="1870"/>
        <w:gridCol w:w="1870"/>
      </w:tblGrid>
      <w:tr w:rsidR="0085268A" w:rsidRPr="004759C2" w14:paraId="3EB0BC13" w14:textId="77777777">
        <w:tc>
          <w:tcPr>
            <w:tcW w:w="5279" w:type="dxa"/>
            <w:shd w:val="clear" w:color="auto" w:fill="000000" w:themeFill="text1"/>
          </w:tcPr>
          <w:p w14:paraId="6D07EEC1" w14:textId="77777777" w:rsidR="0085268A" w:rsidRPr="004759C2" w:rsidRDefault="0085268A" w:rsidP="00977C46">
            <w:pPr>
              <w:rPr>
                <w:rFonts w:asciiTheme="minorHAnsi" w:hAnsiTheme="minorHAnsi"/>
                <w:color w:val="FFFFFF" w:themeColor="background1"/>
                <w:sz w:val="18"/>
                <w:szCs w:val="18"/>
              </w:rPr>
            </w:pPr>
          </w:p>
        </w:tc>
        <w:tc>
          <w:tcPr>
            <w:tcW w:w="1870" w:type="dxa"/>
            <w:shd w:val="clear" w:color="auto" w:fill="000000" w:themeFill="text1"/>
          </w:tcPr>
          <w:p w14:paraId="645F65D6" w14:textId="77777777" w:rsidR="0085268A" w:rsidRPr="004759C2" w:rsidRDefault="0085268A" w:rsidP="00977C46">
            <w:pPr>
              <w:jc w:val="center"/>
              <w:rPr>
                <w:rFonts w:asciiTheme="minorHAnsi" w:hAnsiTheme="minorHAnsi"/>
                <w:color w:val="FFFFFF" w:themeColor="background1"/>
                <w:sz w:val="18"/>
                <w:szCs w:val="18"/>
              </w:rPr>
            </w:pPr>
            <w:r w:rsidRPr="004759C2">
              <w:rPr>
                <w:rFonts w:asciiTheme="minorHAnsi" w:hAnsiTheme="minorHAnsi"/>
                <w:color w:val="FFFFFF" w:themeColor="background1"/>
                <w:sz w:val="18"/>
                <w:szCs w:val="18"/>
              </w:rPr>
              <w:t>Frequency</w:t>
            </w:r>
          </w:p>
        </w:tc>
        <w:tc>
          <w:tcPr>
            <w:tcW w:w="1870" w:type="dxa"/>
            <w:shd w:val="clear" w:color="auto" w:fill="000000" w:themeFill="text1"/>
          </w:tcPr>
          <w:p w14:paraId="3AD2A92B" w14:textId="77777777" w:rsidR="0085268A" w:rsidRPr="004759C2" w:rsidRDefault="0085268A" w:rsidP="00977C46">
            <w:pPr>
              <w:jc w:val="center"/>
              <w:rPr>
                <w:rFonts w:asciiTheme="minorHAnsi" w:hAnsiTheme="minorHAnsi"/>
                <w:color w:val="FFFFFF" w:themeColor="background1"/>
                <w:sz w:val="18"/>
                <w:szCs w:val="18"/>
              </w:rPr>
            </w:pPr>
            <w:r w:rsidRPr="004759C2">
              <w:rPr>
                <w:rFonts w:asciiTheme="minorHAnsi" w:hAnsiTheme="minorHAnsi"/>
                <w:color w:val="FFFFFF" w:themeColor="background1"/>
                <w:sz w:val="18"/>
                <w:szCs w:val="18"/>
              </w:rPr>
              <w:t>%</w:t>
            </w:r>
          </w:p>
        </w:tc>
      </w:tr>
      <w:tr w:rsidR="0085268A" w14:paraId="42B63F3A" w14:textId="77777777" w:rsidTr="00AC15B4">
        <w:tc>
          <w:tcPr>
            <w:tcW w:w="5279" w:type="dxa"/>
          </w:tcPr>
          <w:p w14:paraId="1D2BFC7F" w14:textId="77777777" w:rsidR="0085268A" w:rsidRPr="00FD7E7A" w:rsidRDefault="0085268A" w:rsidP="00977C46">
            <w:pPr>
              <w:rPr>
                <w:rFonts w:asciiTheme="minorHAnsi" w:hAnsiTheme="minorHAnsi"/>
                <w:b/>
                <w:bCs/>
                <w:color w:val="000000" w:themeColor="text1"/>
                <w:sz w:val="18"/>
                <w:szCs w:val="18"/>
              </w:rPr>
            </w:pPr>
            <w:r w:rsidRPr="00FD7E7A">
              <w:rPr>
                <w:rFonts w:asciiTheme="minorHAnsi" w:hAnsiTheme="minorHAnsi"/>
                <w:b/>
                <w:bCs/>
                <w:sz w:val="18"/>
                <w:szCs w:val="18"/>
              </w:rPr>
              <w:t>Extent DMHSs benefit clients’/patients’ mental health</w:t>
            </w:r>
          </w:p>
        </w:tc>
        <w:tc>
          <w:tcPr>
            <w:tcW w:w="1870" w:type="dxa"/>
          </w:tcPr>
          <w:p w14:paraId="3B825493" w14:textId="77777777" w:rsidR="0085268A" w:rsidRPr="009811CE" w:rsidRDefault="0085268A" w:rsidP="00977C46">
            <w:pPr>
              <w:jc w:val="center"/>
              <w:rPr>
                <w:rFonts w:asciiTheme="minorHAnsi" w:hAnsiTheme="minorHAnsi" w:cstheme="minorHAnsi"/>
                <w:color w:val="000000" w:themeColor="text1"/>
                <w:sz w:val="18"/>
                <w:szCs w:val="18"/>
                <w:highlight w:val="cyan"/>
              </w:rPr>
            </w:pPr>
          </w:p>
        </w:tc>
        <w:tc>
          <w:tcPr>
            <w:tcW w:w="1870" w:type="dxa"/>
          </w:tcPr>
          <w:p w14:paraId="11F36D56" w14:textId="77777777" w:rsidR="0085268A" w:rsidRPr="009811CE" w:rsidRDefault="0085268A" w:rsidP="00977C46">
            <w:pPr>
              <w:jc w:val="center"/>
              <w:rPr>
                <w:rFonts w:asciiTheme="minorHAnsi" w:hAnsiTheme="minorHAnsi" w:cstheme="minorHAnsi"/>
                <w:color w:val="000000" w:themeColor="text1"/>
                <w:sz w:val="18"/>
                <w:szCs w:val="18"/>
                <w:highlight w:val="cyan"/>
              </w:rPr>
            </w:pPr>
          </w:p>
        </w:tc>
      </w:tr>
      <w:tr w:rsidR="0085268A" w14:paraId="5352714C" w14:textId="77777777" w:rsidTr="00AC15B4">
        <w:tc>
          <w:tcPr>
            <w:tcW w:w="5279" w:type="dxa"/>
          </w:tcPr>
          <w:p w14:paraId="64A47CBE" w14:textId="77777777" w:rsidR="0085268A" w:rsidRPr="009811CE" w:rsidRDefault="0085268A" w:rsidP="00977C46">
            <w:pPr>
              <w:ind w:firstLine="243"/>
              <w:rPr>
                <w:rFonts w:asciiTheme="minorHAnsi" w:hAnsiTheme="minorHAnsi"/>
                <w:color w:val="000000" w:themeColor="text1"/>
                <w:sz w:val="18"/>
                <w:szCs w:val="18"/>
              </w:rPr>
            </w:pPr>
            <w:r w:rsidRPr="009811CE">
              <w:rPr>
                <w:rFonts w:asciiTheme="minorHAnsi" w:hAnsiTheme="minorHAnsi"/>
                <w:color w:val="000000" w:themeColor="text1"/>
                <w:sz w:val="18"/>
                <w:szCs w:val="18"/>
              </w:rPr>
              <w:t>No benefit</w:t>
            </w:r>
          </w:p>
        </w:tc>
        <w:tc>
          <w:tcPr>
            <w:tcW w:w="1870" w:type="dxa"/>
          </w:tcPr>
          <w:p w14:paraId="15527BB6" w14:textId="77777777" w:rsidR="0085268A" w:rsidRPr="009811CE" w:rsidRDefault="0085268A" w:rsidP="00977C46">
            <w:pPr>
              <w:jc w:val="center"/>
              <w:rPr>
                <w:rFonts w:asciiTheme="minorHAnsi" w:hAnsiTheme="minorHAnsi" w:cstheme="minorHAnsi"/>
                <w:color w:val="000000" w:themeColor="text1"/>
                <w:sz w:val="18"/>
                <w:szCs w:val="18"/>
                <w:highlight w:val="cyan"/>
              </w:rPr>
            </w:pPr>
            <w:r w:rsidRPr="009811CE">
              <w:rPr>
                <w:rFonts w:asciiTheme="minorHAnsi" w:hAnsiTheme="minorHAnsi" w:cstheme="minorHAnsi"/>
                <w:color w:val="010205"/>
                <w:sz w:val="18"/>
                <w:szCs w:val="18"/>
              </w:rPr>
              <w:t>3</w:t>
            </w:r>
          </w:p>
        </w:tc>
        <w:tc>
          <w:tcPr>
            <w:tcW w:w="1870" w:type="dxa"/>
          </w:tcPr>
          <w:p w14:paraId="1860C42B" w14:textId="77777777" w:rsidR="0085268A" w:rsidRPr="009811CE" w:rsidRDefault="0085268A" w:rsidP="00977C46">
            <w:pPr>
              <w:jc w:val="center"/>
              <w:rPr>
                <w:rFonts w:asciiTheme="minorHAnsi" w:hAnsiTheme="minorHAnsi" w:cstheme="minorHAnsi"/>
                <w:color w:val="000000" w:themeColor="text1"/>
                <w:sz w:val="18"/>
                <w:szCs w:val="18"/>
                <w:highlight w:val="cyan"/>
              </w:rPr>
            </w:pPr>
            <w:r w:rsidRPr="009811CE">
              <w:rPr>
                <w:rFonts w:asciiTheme="minorHAnsi" w:hAnsiTheme="minorHAnsi" w:cstheme="minorHAnsi"/>
                <w:color w:val="010205"/>
                <w:sz w:val="18"/>
                <w:szCs w:val="18"/>
              </w:rPr>
              <w:t>9.4</w:t>
            </w:r>
          </w:p>
        </w:tc>
      </w:tr>
      <w:tr w:rsidR="0085268A" w14:paraId="2CF7D74C" w14:textId="77777777" w:rsidTr="00AC15B4">
        <w:tc>
          <w:tcPr>
            <w:tcW w:w="5279" w:type="dxa"/>
          </w:tcPr>
          <w:p w14:paraId="1CD15BFC" w14:textId="77777777" w:rsidR="0085268A" w:rsidRPr="009811CE" w:rsidRDefault="0085268A" w:rsidP="00977C46">
            <w:pPr>
              <w:ind w:firstLine="243"/>
              <w:rPr>
                <w:rFonts w:asciiTheme="minorHAnsi" w:hAnsiTheme="minorHAnsi"/>
                <w:color w:val="000000" w:themeColor="text1"/>
                <w:sz w:val="18"/>
                <w:szCs w:val="18"/>
              </w:rPr>
            </w:pPr>
            <w:r w:rsidRPr="009811CE">
              <w:rPr>
                <w:rFonts w:asciiTheme="minorHAnsi" w:hAnsiTheme="minorHAnsi"/>
                <w:color w:val="000000" w:themeColor="text1"/>
                <w:sz w:val="18"/>
                <w:szCs w:val="18"/>
              </w:rPr>
              <w:t>Some benefit</w:t>
            </w:r>
          </w:p>
        </w:tc>
        <w:tc>
          <w:tcPr>
            <w:tcW w:w="1870" w:type="dxa"/>
          </w:tcPr>
          <w:p w14:paraId="26C29130" w14:textId="77777777" w:rsidR="0085268A" w:rsidRPr="009811CE" w:rsidRDefault="0085268A" w:rsidP="00977C46">
            <w:pPr>
              <w:jc w:val="center"/>
              <w:rPr>
                <w:rFonts w:asciiTheme="minorHAnsi" w:hAnsiTheme="minorHAnsi" w:cstheme="minorHAnsi"/>
                <w:color w:val="000000" w:themeColor="text1"/>
                <w:sz w:val="18"/>
                <w:szCs w:val="18"/>
                <w:highlight w:val="cyan"/>
              </w:rPr>
            </w:pPr>
            <w:r w:rsidRPr="009811CE">
              <w:rPr>
                <w:rFonts w:asciiTheme="minorHAnsi" w:hAnsiTheme="minorHAnsi" w:cstheme="minorHAnsi"/>
                <w:color w:val="010205"/>
                <w:sz w:val="18"/>
                <w:szCs w:val="18"/>
              </w:rPr>
              <w:t>19</w:t>
            </w:r>
          </w:p>
        </w:tc>
        <w:tc>
          <w:tcPr>
            <w:tcW w:w="1870" w:type="dxa"/>
          </w:tcPr>
          <w:p w14:paraId="1148B296" w14:textId="77777777" w:rsidR="0085268A" w:rsidRPr="009811CE" w:rsidRDefault="0085268A" w:rsidP="00977C46">
            <w:pPr>
              <w:jc w:val="center"/>
              <w:rPr>
                <w:rFonts w:asciiTheme="minorHAnsi" w:hAnsiTheme="minorHAnsi" w:cstheme="minorHAnsi"/>
                <w:color w:val="000000" w:themeColor="text1"/>
                <w:sz w:val="18"/>
                <w:szCs w:val="18"/>
                <w:highlight w:val="cyan"/>
              </w:rPr>
            </w:pPr>
            <w:r w:rsidRPr="009811CE">
              <w:rPr>
                <w:rFonts w:asciiTheme="minorHAnsi" w:hAnsiTheme="minorHAnsi" w:cstheme="minorHAnsi"/>
                <w:color w:val="010205"/>
                <w:sz w:val="18"/>
                <w:szCs w:val="18"/>
              </w:rPr>
              <w:t>59.4</w:t>
            </w:r>
          </w:p>
        </w:tc>
      </w:tr>
      <w:tr w:rsidR="0085268A" w14:paraId="0DE8D5D9" w14:textId="77777777" w:rsidTr="00AC15B4">
        <w:tc>
          <w:tcPr>
            <w:tcW w:w="5279" w:type="dxa"/>
          </w:tcPr>
          <w:p w14:paraId="3B0B37EE" w14:textId="77777777" w:rsidR="0085268A" w:rsidRPr="009811CE" w:rsidRDefault="0085268A" w:rsidP="00977C46">
            <w:pPr>
              <w:ind w:firstLine="243"/>
              <w:rPr>
                <w:rFonts w:asciiTheme="minorHAnsi" w:hAnsiTheme="minorHAnsi"/>
                <w:color w:val="000000" w:themeColor="text1"/>
                <w:sz w:val="18"/>
                <w:szCs w:val="18"/>
              </w:rPr>
            </w:pPr>
            <w:r w:rsidRPr="009811CE">
              <w:rPr>
                <w:rFonts w:asciiTheme="minorHAnsi" w:hAnsiTheme="minorHAnsi"/>
                <w:color w:val="000000" w:themeColor="text1"/>
                <w:sz w:val="18"/>
                <w:szCs w:val="18"/>
              </w:rPr>
              <w:t>Much benefit</w:t>
            </w:r>
          </w:p>
        </w:tc>
        <w:tc>
          <w:tcPr>
            <w:tcW w:w="1870" w:type="dxa"/>
          </w:tcPr>
          <w:p w14:paraId="386D7D94" w14:textId="77777777" w:rsidR="0085268A" w:rsidRPr="009811CE" w:rsidRDefault="0085268A" w:rsidP="00977C46">
            <w:pPr>
              <w:jc w:val="center"/>
              <w:rPr>
                <w:rFonts w:asciiTheme="minorHAnsi" w:hAnsiTheme="minorHAnsi" w:cstheme="minorHAnsi"/>
                <w:color w:val="000000" w:themeColor="text1"/>
                <w:sz w:val="18"/>
                <w:szCs w:val="18"/>
                <w:highlight w:val="cyan"/>
              </w:rPr>
            </w:pPr>
            <w:r w:rsidRPr="009811CE">
              <w:rPr>
                <w:rFonts w:asciiTheme="minorHAnsi" w:hAnsiTheme="minorHAnsi" w:cstheme="minorHAnsi"/>
                <w:color w:val="010205"/>
                <w:sz w:val="18"/>
                <w:szCs w:val="18"/>
              </w:rPr>
              <w:t>4</w:t>
            </w:r>
          </w:p>
        </w:tc>
        <w:tc>
          <w:tcPr>
            <w:tcW w:w="1870" w:type="dxa"/>
          </w:tcPr>
          <w:p w14:paraId="5B77619E" w14:textId="77777777" w:rsidR="0085268A" w:rsidRPr="009811CE" w:rsidRDefault="0085268A" w:rsidP="00977C46">
            <w:pPr>
              <w:jc w:val="center"/>
              <w:rPr>
                <w:rFonts w:asciiTheme="minorHAnsi" w:hAnsiTheme="minorHAnsi" w:cstheme="minorHAnsi"/>
                <w:color w:val="000000" w:themeColor="text1"/>
                <w:sz w:val="18"/>
                <w:szCs w:val="18"/>
                <w:highlight w:val="cyan"/>
              </w:rPr>
            </w:pPr>
            <w:r w:rsidRPr="009811CE">
              <w:rPr>
                <w:rFonts w:asciiTheme="minorHAnsi" w:hAnsiTheme="minorHAnsi" w:cstheme="minorHAnsi"/>
                <w:color w:val="010205"/>
                <w:sz w:val="18"/>
                <w:szCs w:val="18"/>
              </w:rPr>
              <w:t>12.5</w:t>
            </w:r>
          </w:p>
        </w:tc>
      </w:tr>
      <w:tr w:rsidR="0085268A" w14:paraId="1616C34A" w14:textId="77777777" w:rsidTr="00AC15B4">
        <w:tc>
          <w:tcPr>
            <w:tcW w:w="5279" w:type="dxa"/>
            <w:tcBorders>
              <w:bottom w:val="single" w:sz="4" w:space="0" w:color="auto"/>
            </w:tcBorders>
          </w:tcPr>
          <w:p w14:paraId="3860AB71" w14:textId="77777777" w:rsidR="0085268A" w:rsidRPr="009811CE" w:rsidRDefault="0085268A" w:rsidP="00977C46">
            <w:pPr>
              <w:ind w:firstLine="243"/>
              <w:rPr>
                <w:rFonts w:asciiTheme="minorHAnsi" w:hAnsiTheme="minorHAnsi"/>
                <w:color w:val="000000" w:themeColor="text1"/>
                <w:sz w:val="18"/>
                <w:szCs w:val="18"/>
              </w:rPr>
            </w:pPr>
            <w:r w:rsidRPr="009811CE">
              <w:rPr>
                <w:rFonts w:asciiTheme="minorHAnsi" w:hAnsiTheme="minorHAnsi"/>
                <w:color w:val="000000" w:themeColor="text1"/>
                <w:sz w:val="18"/>
                <w:szCs w:val="18"/>
              </w:rPr>
              <w:t>Missing</w:t>
            </w:r>
          </w:p>
        </w:tc>
        <w:tc>
          <w:tcPr>
            <w:tcW w:w="1870" w:type="dxa"/>
            <w:tcBorders>
              <w:bottom w:val="single" w:sz="4" w:space="0" w:color="auto"/>
            </w:tcBorders>
          </w:tcPr>
          <w:p w14:paraId="6F9DDE12" w14:textId="77777777" w:rsidR="0085268A" w:rsidRPr="009811CE" w:rsidRDefault="0085268A" w:rsidP="00977C46">
            <w:pPr>
              <w:jc w:val="center"/>
              <w:rPr>
                <w:rFonts w:asciiTheme="minorHAnsi" w:hAnsiTheme="minorHAnsi" w:cstheme="minorHAnsi"/>
                <w:color w:val="000000" w:themeColor="text1"/>
                <w:sz w:val="18"/>
                <w:szCs w:val="18"/>
                <w:highlight w:val="cyan"/>
              </w:rPr>
            </w:pPr>
            <w:r w:rsidRPr="009811CE">
              <w:rPr>
                <w:rFonts w:asciiTheme="minorHAnsi" w:hAnsiTheme="minorHAnsi" w:cstheme="minorHAnsi"/>
                <w:color w:val="010205"/>
                <w:sz w:val="18"/>
                <w:szCs w:val="18"/>
              </w:rPr>
              <w:t>6</w:t>
            </w:r>
          </w:p>
        </w:tc>
        <w:tc>
          <w:tcPr>
            <w:tcW w:w="1870" w:type="dxa"/>
            <w:tcBorders>
              <w:bottom w:val="single" w:sz="4" w:space="0" w:color="auto"/>
            </w:tcBorders>
          </w:tcPr>
          <w:p w14:paraId="165D5872" w14:textId="77777777" w:rsidR="0085268A" w:rsidRPr="009811CE" w:rsidRDefault="0085268A" w:rsidP="00977C46">
            <w:pPr>
              <w:jc w:val="center"/>
              <w:rPr>
                <w:rFonts w:asciiTheme="minorHAnsi" w:hAnsiTheme="minorHAnsi" w:cstheme="minorHAnsi"/>
                <w:color w:val="000000" w:themeColor="text1"/>
                <w:sz w:val="18"/>
                <w:szCs w:val="18"/>
                <w:highlight w:val="cyan"/>
              </w:rPr>
            </w:pPr>
            <w:r w:rsidRPr="009811CE">
              <w:rPr>
                <w:rFonts w:asciiTheme="minorHAnsi" w:hAnsiTheme="minorHAnsi" w:cstheme="minorHAnsi"/>
                <w:color w:val="010205"/>
                <w:sz w:val="18"/>
                <w:szCs w:val="18"/>
              </w:rPr>
              <w:t>18.8</w:t>
            </w:r>
          </w:p>
        </w:tc>
      </w:tr>
      <w:tr w:rsidR="0085268A" w14:paraId="131E87A7" w14:textId="77777777" w:rsidTr="00AC15B4">
        <w:tc>
          <w:tcPr>
            <w:tcW w:w="5279" w:type="dxa"/>
            <w:tcBorders>
              <w:top w:val="single" w:sz="4" w:space="0" w:color="auto"/>
              <w:bottom w:val="nil"/>
            </w:tcBorders>
          </w:tcPr>
          <w:p w14:paraId="024EB85E" w14:textId="77777777" w:rsidR="0085268A" w:rsidRPr="00FD7E7A" w:rsidRDefault="0085268A" w:rsidP="00977C46">
            <w:pPr>
              <w:rPr>
                <w:rFonts w:asciiTheme="minorHAnsi" w:hAnsiTheme="minorHAnsi"/>
                <w:b/>
                <w:bCs/>
                <w:color w:val="000000" w:themeColor="text1"/>
                <w:sz w:val="18"/>
                <w:szCs w:val="18"/>
              </w:rPr>
            </w:pPr>
            <w:r w:rsidRPr="00FD7E7A">
              <w:rPr>
                <w:rFonts w:asciiTheme="minorHAnsi" w:hAnsiTheme="minorHAnsi"/>
                <w:b/>
                <w:bCs/>
                <w:color w:val="000000" w:themeColor="text1"/>
                <w:sz w:val="18"/>
                <w:szCs w:val="18"/>
              </w:rPr>
              <w:t>Therapist provided as a feature of the DMHS</w:t>
            </w:r>
          </w:p>
        </w:tc>
        <w:tc>
          <w:tcPr>
            <w:tcW w:w="1870" w:type="dxa"/>
            <w:tcBorders>
              <w:top w:val="single" w:sz="4" w:space="0" w:color="auto"/>
              <w:bottom w:val="nil"/>
            </w:tcBorders>
          </w:tcPr>
          <w:p w14:paraId="21039065" w14:textId="77777777" w:rsidR="0085268A" w:rsidRPr="009811CE" w:rsidRDefault="0085268A" w:rsidP="00977C46">
            <w:pPr>
              <w:jc w:val="center"/>
              <w:rPr>
                <w:rFonts w:asciiTheme="minorHAnsi" w:hAnsiTheme="minorHAnsi" w:cstheme="minorHAnsi"/>
                <w:color w:val="000000" w:themeColor="text1"/>
                <w:sz w:val="18"/>
                <w:szCs w:val="18"/>
                <w:highlight w:val="cyan"/>
              </w:rPr>
            </w:pPr>
          </w:p>
        </w:tc>
        <w:tc>
          <w:tcPr>
            <w:tcW w:w="1870" w:type="dxa"/>
            <w:tcBorders>
              <w:top w:val="single" w:sz="4" w:space="0" w:color="auto"/>
              <w:bottom w:val="nil"/>
            </w:tcBorders>
          </w:tcPr>
          <w:p w14:paraId="20C7268C" w14:textId="77777777" w:rsidR="0085268A" w:rsidRPr="009811CE" w:rsidRDefault="0085268A" w:rsidP="00977C46">
            <w:pPr>
              <w:jc w:val="center"/>
              <w:rPr>
                <w:rFonts w:asciiTheme="minorHAnsi" w:hAnsiTheme="minorHAnsi" w:cstheme="minorHAnsi"/>
                <w:color w:val="000000" w:themeColor="text1"/>
                <w:sz w:val="18"/>
                <w:szCs w:val="18"/>
                <w:highlight w:val="cyan"/>
              </w:rPr>
            </w:pPr>
          </w:p>
        </w:tc>
      </w:tr>
      <w:tr w:rsidR="0085268A" w14:paraId="2EDD73A1" w14:textId="77777777" w:rsidTr="00AC15B4">
        <w:tc>
          <w:tcPr>
            <w:tcW w:w="5279" w:type="dxa"/>
            <w:tcBorders>
              <w:top w:val="nil"/>
            </w:tcBorders>
          </w:tcPr>
          <w:p w14:paraId="1546CD64" w14:textId="77777777" w:rsidR="0085268A" w:rsidRPr="00FD7E7A" w:rsidRDefault="0085268A" w:rsidP="00977C46">
            <w:pPr>
              <w:ind w:firstLine="243"/>
              <w:rPr>
                <w:b/>
                <w:bCs/>
                <w:color w:val="000000" w:themeColor="text1"/>
                <w:sz w:val="18"/>
                <w:szCs w:val="18"/>
              </w:rPr>
            </w:pPr>
            <w:r w:rsidRPr="00FD7E7A">
              <w:rPr>
                <w:rFonts w:asciiTheme="minorHAnsi" w:hAnsiTheme="minorHAnsi"/>
                <w:b/>
                <w:bCs/>
                <w:color w:val="000000" w:themeColor="text1"/>
                <w:sz w:val="18"/>
                <w:szCs w:val="18"/>
              </w:rPr>
              <w:t>Yes</w:t>
            </w:r>
          </w:p>
        </w:tc>
        <w:tc>
          <w:tcPr>
            <w:tcW w:w="1870" w:type="dxa"/>
            <w:tcBorders>
              <w:top w:val="nil"/>
            </w:tcBorders>
          </w:tcPr>
          <w:p w14:paraId="58421FE3" w14:textId="77777777" w:rsidR="0085268A" w:rsidRPr="009811CE" w:rsidRDefault="0085268A" w:rsidP="00977C46">
            <w:pPr>
              <w:jc w:val="center"/>
              <w:rPr>
                <w:rFonts w:asciiTheme="minorHAnsi" w:hAnsiTheme="minorHAnsi" w:cstheme="minorHAnsi"/>
                <w:color w:val="000000" w:themeColor="text1"/>
                <w:sz w:val="18"/>
                <w:szCs w:val="18"/>
                <w:highlight w:val="cyan"/>
              </w:rPr>
            </w:pPr>
            <w:r w:rsidRPr="009811CE">
              <w:rPr>
                <w:rFonts w:asciiTheme="minorHAnsi" w:hAnsiTheme="minorHAnsi" w:cstheme="minorHAnsi"/>
                <w:color w:val="010205"/>
                <w:sz w:val="18"/>
                <w:szCs w:val="18"/>
              </w:rPr>
              <w:t>13</w:t>
            </w:r>
          </w:p>
        </w:tc>
        <w:tc>
          <w:tcPr>
            <w:tcW w:w="1870" w:type="dxa"/>
            <w:tcBorders>
              <w:top w:val="nil"/>
            </w:tcBorders>
          </w:tcPr>
          <w:p w14:paraId="7BCE27E5" w14:textId="77777777" w:rsidR="0085268A" w:rsidRPr="009811CE" w:rsidRDefault="0085268A" w:rsidP="00977C46">
            <w:pPr>
              <w:jc w:val="center"/>
              <w:rPr>
                <w:rFonts w:asciiTheme="minorHAnsi" w:hAnsiTheme="minorHAnsi" w:cstheme="minorHAnsi"/>
                <w:color w:val="000000" w:themeColor="text1"/>
                <w:sz w:val="18"/>
                <w:szCs w:val="18"/>
                <w:highlight w:val="cyan"/>
              </w:rPr>
            </w:pPr>
            <w:r w:rsidRPr="009811CE">
              <w:rPr>
                <w:rFonts w:asciiTheme="minorHAnsi" w:hAnsiTheme="minorHAnsi" w:cstheme="minorHAnsi"/>
                <w:color w:val="010205"/>
                <w:sz w:val="18"/>
                <w:szCs w:val="18"/>
              </w:rPr>
              <w:t>40.6</w:t>
            </w:r>
          </w:p>
        </w:tc>
      </w:tr>
      <w:tr w:rsidR="0085268A" w14:paraId="3669BDE4" w14:textId="77777777" w:rsidTr="00AC15B4">
        <w:tc>
          <w:tcPr>
            <w:tcW w:w="5279" w:type="dxa"/>
          </w:tcPr>
          <w:p w14:paraId="00A9AFA6" w14:textId="77777777" w:rsidR="0085268A" w:rsidRPr="009811CE" w:rsidRDefault="0085268A" w:rsidP="00977C46">
            <w:pPr>
              <w:ind w:firstLine="243"/>
              <w:rPr>
                <w:color w:val="000000" w:themeColor="text1"/>
                <w:sz w:val="18"/>
                <w:szCs w:val="18"/>
              </w:rPr>
            </w:pPr>
            <w:r w:rsidRPr="009811CE">
              <w:rPr>
                <w:rFonts w:asciiTheme="minorHAnsi" w:hAnsiTheme="minorHAnsi"/>
                <w:color w:val="000000" w:themeColor="text1"/>
                <w:sz w:val="18"/>
                <w:szCs w:val="18"/>
              </w:rPr>
              <w:t>No</w:t>
            </w:r>
          </w:p>
        </w:tc>
        <w:tc>
          <w:tcPr>
            <w:tcW w:w="1870" w:type="dxa"/>
          </w:tcPr>
          <w:p w14:paraId="08C423B6" w14:textId="77777777" w:rsidR="0085268A" w:rsidRPr="009811CE" w:rsidRDefault="0085268A" w:rsidP="00977C46">
            <w:pPr>
              <w:jc w:val="center"/>
              <w:rPr>
                <w:rFonts w:asciiTheme="minorHAnsi" w:hAnsiTheme="minorHAnsi" w:cstheme="minorHAnsi"/>
                <w:color w:val="000000" w:themeColor="text1"/>
                <w:sz w:val="18"/>
                <w:szCs w:val="18"/>
                <w:highlight w:val="cyan"/>
              </w:rPr>
            </w:pPr>
            <w:r w:rsidRPr="009811CE">
              <w:rPr>
                <w:rFonts w:asciiTheme="minorHAnsi" w:hAnsiTheme="minorHAnsi" w:cstheme="minorHAnsi"/>
                <w:color w:val="010205"/>
                <w:sz w:val="18"/>
                <w:szCs w:val="18"/>
              </w:rPr>
              <w:t>4</w:t>
            </w:r>
          </w:p>
        </w:tc>
        <w:tc>
          <w:tcPr>
            <w:tcW w:w="1870" w:type="dxa"/>
          </w:tcPr>
          <w:p w14:paraId="679ABDA1" w14:textId="77777777" w:rsidR="0085268A" w:rsidRPr="009811CE" w:rsidRDefault="0085268A" w:rsidP="00977C46">
            <w:pPr>
              <w:jc w:val="center"/>
              <w:rPr>
                <w:rFonts w:asciiTheme="minorHAnsi" w:hAnsiTheme="minorHAnsi" w:cstheme="minorHAnsi"/>
                <w:color w:val="000000" w:themeColor="text1"/>
                <w:sz w:val="18"/>
                <w:szCs w:val="18"/>
                <w:highlight w:val="cyan"/>
              </w:rPr>
            </w:pPr>
            <w:r w:rsidRPr="009811CE">
              <w:rPr>
                <w:rFonts w:asciiTheme="minorHAnsi" w:hAnsiTheme="minorHAnsi" w:cstheme="minorHAnsi"/>
                <w:color w:val="010205"/>
                <w:sz w:val="18"/>
                <w:szCs w:val="18"/>
              </w:rPr>
              <w:t>12.5</w:t>
            </w:r>
          </w:p>
        </w:tc>
      </w:tr>
      <w:tr w:rsidR="0085268A" w14:paraId="6DDD867B" w14:textId="77777777" w:rsidTr="00AC15B4">
        <w:tc>
          <w:tcPr>
            <w:tcW w:w="5279" w:type="dxa"/>
          </w:tcPr>
          <w:p w14:paraId="11A6A14F" w14:textId="77777777" w:rsidR="0085268A" w:rsidRPr="009811CE" w:rsidRDefault="0085268A" w:rsidP="00977C46">
            <w:pPr>
              <w:ind w:firstLine="243"/>
              <w:rPr>
                <w:color w:val="000000" w:themeColor="text1"/>
                <w:sz w:val="18"/>
                <w:szCs w:val="18"/>
              </w:rPr>
            </w:pPr>
            <w:r w:rsidRPr="009811CE">
              <w:rPr>
                <w:rFonts w:asciiTheme="minorHAnsi" w:hAnsiTheme="minorHAnsi"/>
                <w:color w:val="000000" w:themeColor="text1"/>
                <w:sz w:val="18"/>
                <w:szCs w:val="18"/>
              </w:rPr>
              <w:t>Unsure</w:t>
            </w:r>
          </w:p>
        </w:tc>
        <w:tc>
          <w:tcPr>
            <w:tcW w:w="1870" w:type="dxa"/>
          </w:tcPr>
          <w:p w14:paraId="40870022" w14:textId="77777777" w:rsidR="0085268A" w:rsidRPr="009811CE" w:rsidRDefault="0085268A" w:rsidP="00977C46">
            <w:pPr>
              <w:jc w:val="center"/>
              <w:rPr>
                <w:rFonts w:asciiTheme="minorHAnsi" w:hAnsiTheme="minorHAnsi" w:cstheme="minorHAnsi"/>
                <w:color w:val="000000" w:themeColor="text1"/>
                <w:sz w:val="18"/>
                <w:szCs w:val="18"/>
                <w:highlight w:val="cyan"/>
              </w:rPr>
            </w:pPr>
            <w:r w:rsidRPr="009811CE">
              <w:rPr>
                <w:rFonts w:asciiTheme="minorHAnsi" w:hAnsiTheme="minorHAnsi" w:cstheme="minorHAnsi"/>
                <w:color w:val="010205"/>
                <w:sz w:val="18"/>
                <w:szCs w:val="18"/>
              </w:rPr>
              <w:t>10</w:t>
            </w:r>
          </w:p>
        </w:tc>
        <w:tc>
          <w:tcPr>
            <w:tcW w:w="1870" w:type="dxa"/>
          </w:tcPr>
          <w:p w14:paraId="161CE72E" w14:textId="77777777" w:rsidR="0085268A" w:rsidRPr="009811CE" w:rsidRDefault="0085268A" w:rsidP="00977C46">
            <w:pPr>
              <w:jc w:val="center"/>
              <w:rPr>
                <w:rFonts w:asciiTheme="minorHAnsi" w:hAnsiTheme="minorHAnsi" w:cstheme="minorHAnsi"/>
                <w:color w:val="000000" w:themeColor="text1"/>
                <w:sz w:val="18"/>
                <w:szCs w:val="18"/>
                <w:highlight w:val="cyan"/>
              </w:rPr>
            </w:pPr>
            <w:r w:rsidRPr="009811CE">
              <w:rPr>
                <w:rFonts w:asciiTheme="minorHAnsi" w:hAnsiTheme="minorHAnsi" w:cstheme="minorHAnsi"/>
                <w:color w:val="010205"/>
                <w:sz w:val="18"/>
                <w:szCs w:val="18"/>
              </w:rPr>
              <w:t>31.3</w:t>
            </w:r>
          </w:p>
        </w:tc>
      </w:tr>
      <w:tr w:rsidR="0085268A" w14:paraId="702690E6" w14:textId="77777777" w:rsidTr="00AC15B4">
        <w:tc>
          <w:tcPr>
            <w:tcW w:w="5279" w:type="dxa"/>
          </w:tcPr>
          <w:p w14:paraId="667D146B" w14:textId="77777777" w:rsidR="0085268A" w:rsidRPr="009811CE" w:rsidRDefault="0085268A" w:rsidP="00977C46">
            <w:pPr>
              <w:ind w:firstLine="243"/>
              <w:rPr>
                <w:color w:val="000000" w:themeColor="text1"/>
                <w:sz w:val="18"/>
                <w:szCs w:val="18"/>
              </w:rPr>
            </w:pPr>
            <w:r w:rsidRPr="009811CE">
              <w:rPr>
                <w:rFonts w:asciiTheme="minorHAnsi" w:hAnsiTheme="minorHAnsi"/>
                <w:color w:val="000000" w:themeColor="text1"/>
                <w:sz w:val="18"/>
                <w:szCs w:val="18"/>
              </w:rPr>
              <w:t>Missing</w:t>
            </w:r>
          </w:p>
        </w:tc>
        <w:tc>
          <w:tcPr>
            <w:tcW w:w="1870" w:type="dxa"/>
          </w:tcPr>
          <w:p w14:paraId="678530E6" w14:textId="77777777" w:rsidR="0085268A" w:rsidRPr="009811CE" w:rsidRDefault="0085268A" w:rsidP="00977C46">
            <w:pPr>
              <w:jc w:val="center"/>
              <w:rPr>
                <w:rFonts w:asciiTheme="minorHAnsi" w:hAnsiTheme="minorHAnsi" w:cstheme="minorHAnsi"/>
                <w:color w:val="000000" w:themeColor="text1"/>
                <w:sz w:val="18"/>
                <w:szCs w:val="18"/>
                <w:highlight w:val="cyan"/>
              </w:rPr>
            </w:pPr>
            <w:r w:rsidRPr="009811CE">
              <w:rPr>
                <w:rFonts w:asciiTheme="minorHAnsi" w:hAnsiTheme="minorHAnsi" w:cstheme="minorHAnsi"/>
                <w:color w:val="010205"/>
                <w:sz w:val="18"/>
                <w:szCs w:val="18"/>
              </w:rPr>
              <w:t>5</w:t>
            </w:r>
          </w:p>
        </w:tc>
        <w:tc>
          <w:tcPr>
            <w:tcW w:w="1870" w:type="dxa"/>
          </w:tcPr>
          <w:p w14:paraId="7BB1D433" w14:textId="77777777" w:rsidR="0085268A" w:rsidRPr="009811CE" w:rsidRDefault="0085268A" w:rsidP="00977C46">
            <w:pPr>
              <w:jc w:val="center"/>
              <w:rPr>
                <w:rFonts w:asciiTheme="minorHAnsi" w:hAnsiTheme="minorHAnsi" w:cstheme="minorHAnsi"/>
                <w:color w:val="000000" w:themeColor="text1"/>
                <w:sz w:val="18"/>
                <w:szCs w:val="18"/>
                <w:highlight w:val="cyan"/>
              </w:rPr>
            </w:pPr>
            <w:r w:rsidRPr="009811CE">
              <w:rPr>
                <w:rFonts w:asciiTheme="minorHAnsi" w:hAnsiTheme="minorHAnsi" w:cstheme="minorHAnsi"/>
                <w:color w:val="010205"/>
                <w:sz w:val="18"/>
                <w:szCs w:val="18"/>
              </w:rPr>
              <w:t>15.6</w:t>
            </w:r>
          </w:p>
        </w:tc>
      </w:tr>
    </w:tbl>
    <w:p w14:paraId="1291C8CF" w14:textId="77777777" w:rsidR="0085268A" w:rsidRPr="00977C46" w:rsidRDefault="0085268A" w:rsidP="00D509F3">
      <w:pPr>
        <w:pStyle w:val="Heading2"/>
        <w:numPr>
          <w:ilvl w:val="1"/>
          <w:numId w:val="163"/>
        </w:numPr>
        <w:spacing w:before="240"/>
      </w:pPr>
      <w:bookmarkStart w:id="232" w:name="_Toc108784888"/>
      <w:r w:rsidRPr="00977C46">
        <w:t>Summary</w:t>
      </w:r>
      <w:bookmarkEnd w:id="232"/>
    </w:p>
    <w:p w14:paraId="0180FEF5" w14:textId="1AE3464F" w:rsidR="008D41BB" w:rsidRPr="00977C46" w:rsidRDefault="0085268A" w:rsidP="00977C46">
      <w:pPr>
        <w:spacing w:after="240"/>
        <w:rPr>
          <w:rFonts w:ascii="Calibri" w:hAnsi="Calibri" w:cs="Arial"/>
          <w:color w:val="000000" w:themeColor="text1"/>
          <w:sz w:val="21"/>
          <w:szCs w:val="21"/>
        </w:rPr>
      </w:pPr>
      <w:r w:rsidRPr="005B7C16">
        <w:rPr>
          <w:rFonts w:ascii="Calibri" w:hAnsi="Calibri" w:cs="Arial"/>
          <w:color w:val="000000" w:themeColor="text1"/>
          <w:sz w:val="21"/>
          <w:szCs w:val="21"/>
        </w:rPr>
        <w:t>Three</w:t>
      </w:r>
      <w:r>
        <w:rPr>
          <w:rFonts w:ascii="Calibri" w:hAnsi="Calibri" w:cs="Arial"/>
          <w:color w:val="000000" w:themeColor="text1"/>
          <w:sz w:val="21"/>
          <w:szCs w:val="21"/>
        </w:rPr>
        <w:t>-</w:t>
      </w:r>
      <w:r w:rsidRPr="005B7C16">
        <w:rPr>
          <w:rFonts w:ascii="Calibri" w:hAnsi="Calibri" w:cs="Arial"/>
          <w:color w:val="000000" w:themeColor="text1"/>
          <w:sz w:val="21"/>
          <w:szCs w:val="21"/>
        </w:rPr>
        <w:t>quarters</w:t>
      </w:r>
      <w:r>
        <w:rPr>
          <w:rFonts w:ascii="Calibri" w:hAnsi="Calibri" w:cs="Arial"/>
          <w:color w:val="000000" w:themeColor="text1"/>
          <w:sz w:val="21"/>
          <w:szCs w:val="21"/>
        </w:rPr>
        <w:t xml:space="preserve"> of all respondents thought DMHSs were suitable for people with mild mental health problems and half of respondents thought they were suitable for moderate mental health problems. Three-quarters of respondents also indicated that DMHSs were suitable for people with anxiety or depression. The </w:t>
      </w:r>
      <w:proofErr w:type="gramStart"/>
      <w:r>
        <w:rPr>
          <w:rFonts w:ascii="Calibri" w:hAnsi="Calibri" w:cs="Arial"/>
          <w:color w:val="000000" w:themeColor="text1"/>
          <w:sz w:val="21"/>
          <w:szCs w:val="21"/>
        </w:rPr>
        <w:t>most commonly identified</w:t>
      </w:r>
      <w:proofErr w:type="gramEnd"/>
      <w:r>
        <w:rPr>
          <w:rFonts w:ascii="Calibri" w:hAnsi="Calibri" w:cs="Arial"/>
          <w:color w:val="000000" w:themeColor="text1"/>
          <w:sz w:val="21"/>
          <w:szCs w:val="21"/>
        </w:rPr>
        <w:t xml:space="preserve"> barriers to the use of DMHSs and opportunities for improving the use of DMHS was access to technology. Over half of survey respondents delivered DMHSs, with the majority of those delivering DMHS identifying the process as easy or very easy, however it was not their preferred method of delivering mental health care (face to face was the preference). The benefits to consumers of DMHSs were indicated to be improved convenience, reduced costs, improved access and improved mental health and wellbeing. Most respondents who did not deliver DMHSs, indicated that they recommended DMHS to their clients or patients.</w:t>
      </w:r>
    </w:p>
    <w:p w14:paraId="0220FBBD" w14:textId="77777777" w:rsidR="0069278F" w:rsidRDefault="0069278F">
      <w:pPr>
        <w:rPr>
          <w:rFonts w:asciiTheme="minorHAnsi" w:eastAsiaTheme="majorEastAsia" w:hAnsiTheme="minorHAnsi" w:cstheme="minorBidi"/>
          <w:b/>
          <w:color w:val="2F5496" w:themeColor="accent1" w:themeShade="BF"/>
          <w:sz w:val="40"/>
          <w:szCs w:val="40"/>
        </w:rPr>
      </w:pPr>
      <w:bookmarkStart w:id="233" w:name="_Toc102047083"/>
      <w:bookmarkStart w:id="234" w:name="_Toc102047169"/>
      <w:bookmarkEnd w:id="233"/>
      <w:bookmarkEnd w:id="234"/>
      <w:r>
        <w:br w:type="page"/>
      </w:r>
    </w:p>
    <w:p w14:paraId="1005DC19" w14:textId="65517C78" w:rsidR="00C97C3C" w:rsidRPr="00AA6B28" w:rsidRDefault="0049567F" w:rsidP="004E2ED0">
      <w:pPr>
        <w:pStyle w:val="Heading1"/>
        <w:numPr>
          <w:ilvl w:val="0"/>
          <w:numId w:val="146"/>
        </w:numPr>
      </w:pPr>
      <w:bookmarkStart w:id="235" w:name="_Toc108784889"/>
      <w:r w:rsidRPr="00AA6B28">
        <w:lastRenderedPageBreak/>
        <w:t>Stakeholder experiences: Other key stakeholders</w:t>
      </w:r>
      <w:bookmarkEnd w:id="235"/>
    </w:p>
    <w:p w14:paraId="6D21E829" w14:textId="257641D8" w:rsidR="00692F44" w:rsidRPr="00692F44" w:rsidRDefault="00692F44" w:rsidP="00311BF5">
      <w:pPr>
        <w:pStyle w:val="Heading2"/>
        <w:numPr>
          <w:ilvl w:val="1"/>
          <w:numId w:val="146"/>
        </w:numPr>
        <w:rPr>
          <w:rFonts w:eastAsiaTheme="minorHAnsi"/>
        </w:rPr>
      </w:pPr>
      <w:bookmarkStart w:id="236" w:name="_Toc102132000"/>
      <w:bookmarkStart w:id="237" w:name="_Toc107508816"/>
      <w:bookmarkStart w:id="238" w:name="_Toc108784890"/>
      <w:r w:rsidRPr="00692F44">
        <w:rPr>
          <w:rFonts w:eastAsiaTheme="minorHAnsi"/>
        </w:rPr>
        <w:t>Our approach</w:t>
      </w:r>
      <w:bookmarkEnd w:id="236"/>
      <w:bookmarkEnd w:id="237"/>
      <w:bookmarkEnd w:id="238"/>
    </w:p>
    <w:p w14:paraId="48D459FD" w14:textId="1421F78C" w:rsidR="00692F44" w:rsidRPr="00692F44" w:rsidRDefault="00692F44" w:rsidP="00311BF5">
      <w:pPr>
        <w:spacing w:after="12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 xml:space="preserve">This stakeholder group included management staff from the DMHSs, funders, partners, Head to Health (and the new </w:t>
      </w:r>
      <w:r w:rsidRPr="00692F44">
        <w:rPr>
          <w:rFonts w:ascii="Calibri" w:eastAsiaTheme="minorHAnsi" w:hAnsi="Calibri" w:cs="Arial"/>
          <w:color w:val="000000" w:themeColor="text1"/>
          <w:sz w:val="21"/>
          <w:szCs w:val="21"/>
          <w:lang w:eastAsia="zh-CN"/>
        </w:rPr>
        <w:t>national mental health platform) website developers, and others in the mental health sector (e.g., representatives from relevant health professions and peak bodies for people with lived experience). We purposively selected organisations</w:t>
      </w:r>
      <w:r w:rsidRPr="00692F44">
        <w:rPr>
          <w:rFonts w:ascii="Calibri" w:eastAsiaTheme="minorHAnsi" w:hAnsi="Calibri" w:cs="Arial"/>
          <w:color w:val="000000" w:themeColor="text1"/>
          <w:sz w:val="21"/>
          <w:szCs w:val="21"/>
          <w:lang w:eastAsia="en-US"/>
        </w:rPr>
        <w:t xml:space="preserve"> based on their relevance to both the supported DMHS and complementary Head to Health evaluations. Representatives were invited to participate via either a survey or interview. See Appendix </w:t>
      </w:r>
      <w:r w:rsidRPr="005F56C6">
        <w:rPr>
          <w:rFonts w:ascii="Calibri" w:eastAsiaTheme="minorHAnsi" w:hAnsi="Calibri" w:cs="Arial"/>
          <w:color w:val="000000" w:themeColor="text1"/>
          <w:sz w:val="21"/>
          <w:szCs w:val="21"/>
          <w:lang w:eastAsia="en-US"/>
        </w:rPr>
        <w:t>B</w:t>
      </w:r>
      <w:r w:rsidRPr="00692F44">
        <w:rPr>
          <w:rFonts w:ascii="Calibri" w:eastAsiaTheme="minorHAnsi" w:hAnsi="Calibri" w:cs="Arial"/>
          <w:color w:val="000000" w:themeColor="text1"/>
          <w:sz w:val="21"/>
          <w:szCs w:val="21"/>
          <w:lang w:eastAsia="en-US"/>
        </w:rPr>
        <w:t xml:space="preserve"> for further details on recruitment, data collection and analysis and Appendix </w:t>
      </w:r>
      <w:r w:rsidRPr="005F56C6">
        <w:rPr>
          <w:rFonts w:ascii="Calibri" w:eastAsiaTheme="minorHAnsi" w:hAnsi="Calibri" w:cs="Arial"/>
          <w:color w:val="000000" w:themeColor="text1"/>
          <w:sz w:val="21"/>
          <w:szCs w:val="21"/>
          <w:lang w:eastAsia="en-US"/>
        </w:rPr>
        <w:t>K</w:t>
      </w:r>
      <w:r w:rsidRPr="00692F44">
        <w:rPr>
          <w:rFonts w:ascii="Calibri" w:eastAsiaTheme="minorHAnsi" w:hAnsi="Calibri" w:cs="Arial"/>
          <w:color w:val="000000" w:themeColor="text1"/>
          <w:sz w:val="21"/>
          <w:szCs w:val="21"/>
          <w:lang w:eastAsia="en-US"/>
        </w:rPr>
        <w:t xml:space="preserve"> for the questions we asked this group of stakeholders.</w:t>
      </w:r>
    </w:p>
    <w:p w14:paraId="63AD3062" w14:textId="77777777" w:rsidR="00692F44" w:rsidRPr="00692F44" w:rsidRDefault="00692F44" w:rsidP="00311BF5">
      <w:pPr>
        <w:spacing w:after="120"/>
        <w:rPr>
          <w:rFonts w:ascii="Calibri" w:eastAsiaTheme="minorHAnsi" w:hAnsi="Calibri" w:cstheme="minorHAnsi"/>
          <w:color w:val="000000" w:themeColor="text1"/>
          <w:sz w:val="21"/>
          <w:szCs w:val="21"/>
          <w:lang w:eastAsia="en-US"/>
        </w:rPr>
      </w:pPr>
      <w:r w:rsidRPr="00692F44">
        <w:rPr>
          <w:rFonts w:ascii="Calibri" w:eastAsiaTheme="minorHAnsi" w:hAnsi="Calibri" w:cs="Arial"/>
          <w:color w:val="000000" w:themeColor="text1"/>
          <w:sz w:val="21"/>
          <w:szCs w:val="21"/>
          <w:lang w:eastAsia="en-US"/>
        </w:rPr>
        <w:t>The number of analysed responses is reported with the preliminary findings for each question as not every respondent answered every question. T</w:t>
      </w:r>
      <w:r w:rsidRPr="00692F44">
        <w:rPr>
          <w:rFonts w:ascii="Calibri" w:eastAsiaTheme="minorHAnsi" w:hAnsi="Calibri" w:cstheme="minorHAnsi"/>
          <w:color w:val="000000" w:themeColor="text1"/>
          <w:sz w:val="21"/>
          <w:szCs w:val="21"/>
          <w:lang w:eastAsia="en-US"/>
        </w:rPr>
        <w:t>he themes are presented in order of decreasing frequency for each question</w:t>
      </w:r>
      <w:r w:rsidRPr="00692F44">
        <w:rPr>
          <w:rFonts w:ascii="Calibri" w:eastAsiaTheme="minorHAnsi" w:hAnsi="Calibri" w:cs="Arial"/>
          <w:color w:val="000000" w:themeColor="text1"/>
          <w:sz w:val="21"/>
          <w:szCs w:val="21"/>
          <w:lang w:eastAsia="en-US"/>
        </w:rPr>
        <w:t>. Survey responses are denoted by a three-digit ID code, and interview responses, a two-digit ID code.</w:t>
      </w:r>
    </w:p>
    <w:p w14:paraId="7B0FE803" w14:textId="46F12057" w:rsidR="00692F44" w:rsidRPr="00692F44" w:rsidRDefault="00692F44" w:rsidP="00311BF5">
      <w:pPr>
        <w:pStyle w:val="Heading2"/>
        <w:numPr>
          <w:ilvl w:val="1"/>
          <w:numId w:val="146"/>
        </w:numPr>
        <w:rPr>
          <w:rFonts w:eastAsiaTheme="minorHAnsi"/>
        </w:rPr>
      </w:pPr>
      <w:bookmarkStart w:id="239" w:name="_Toc102132001"/>
      <w:bookmarkStart w:id="240" w:name="_Toc107508817"/>
      <w:bookmarkStart w:id="241" w:name="_Toc108784891"/>
      <w:r w:rsidRPr="00692F44">
        <w:rPr>
          <w:rFonts w:eastAsiaTheme="minorHAnsi"/>
        </w:rPr>
        <w:t>Characteristics of key stakeholders</w:t>
      </w:r>
      <w:bookmarkEnd w:id="239"/>
      <w:bookmarkEnd w:id="240"/>
      <w:bookmarkEnd w:id="241"/>
    </w:p>
    <w:p w14:paraId="2C44AC02" w14:textId="77777777" w:rsidR="00692F44" w:rsidRPr="00692F44" w:rsidRDefault="00692F44" w:rsidP="00311BF5">
      <w:pPr>
        <w:spacing w:after="12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In total, 68 individuals representing 44 organisations participated in this part of the evaluation and provided sufficient data to be included in our analysis. Twenty-eight individuals participated in 16 interviews and 40 individuals completed 36 survey responses, leading to a total of 52 individual or group responses.</w:t>
      </w:r>
    </w:p>
    <w:p w14:paraId="29ED77F0" w14:textId="32E6F293" w:rsidR="00692F44" w:rsidRPr="00692F44" w:rsidRDefault="00692F44" w:rsidP="00311BF5">
      <w:pPr>
        <w:spacing w:after="120"/>
        <w:rPr>
          <w:rFonts w:ascii="Calibri" w:eastAsiaTheme="minorHAnsi" w:hAnsi="Calibri" w:cs="Arial"/>
          <w:color w:val="000000" w:themeColor="text1"/>
          <w:sz w:val="21"/>
          <w:szCs w:val="21"/>
          <w:lang w:eastAsia="en-US"/>
        </w:rPr>
      </w:pPr>
      <w:r w:rsidRPr="00381F76">
        <w:rPr>
          <w:rFonts w:ascii="Calibri" w:eastAsiaTheme="minorHAnsi" w:hAnsi="Calibri" w:cs="Arial"/>
          <w:color w:val="000000" w:themeColor="text1"/>
          <w:sz w:val="21"/>
          <w:szCs w:val="21"/>
          <w:lang w:eastAsia="en-US"/>
        </w:rPr>
        <w:t xml:space="preserve">Table </w:t>
      </w:r>
      <w:r w:rsidR="00381F76">
        <w:rPr>
          <w:rFonts w:ascii="Calibri" w:eastAsiaTheme="minorHAnsi" w:hAnsi="Calibri" w:cs="Arial"/>
          <w:color w:val="000000" w:themeColor="text1"/>
          <w:sz w:val="21"/>
          <w:szCs w:val="21"/>
          <w:lang w:eastAsia="en-US"/>
        </w:rPr>
        <w:t>49</w:t>
      </w:r>
      <w:r w:rsidRPr="00692F44">
        <w:rPr>
          <w:rFonts w:ascii="Calibri" w:eastAsiaTheme="minorHAnsi" w:hAnsi="Calibri" w:cs="Arial"/>
          <w:color w:val="000000" w:themeColor="text1"/>
          <w:sz w:val="21"/>
          <w:szCs w:val="21"/>
          <w:lang w:eastAsia="en-US"/>
        </w:rPr>
        <w:t xml:space="preserve"> shows the socio-demographic characteristics of stakeholder participants (N=68), and the organisations that were represented. Over half of participants were female (n=37, 54.4%), and/or aged 40-59 years (n=39, 57.4%). All states and territories of Australia were represented, and two participants were from overseas. Overseas participants were included to present an international perspective, based on the recommendation of one of the DMHSs. Four participants (5.9%) identified as Aboriginal and most respondents had internet access via the National Broadband Network (NBN; n=47, 69.1%). Most participants were from mental health provider organisations (n=27; 39.7%) and others were from Primary Health Networks, peak bodies, professional associations, universities, government organisations and a website development agency.</w:t>
      </w:r>
    </w:p>
    <w:p w14:paraId="3DCD14DB" w14:textId="77777777" w:rsidR="00692F44" w:rsidRPr="00692F44" w:rsidRDefault="00692F44" w:rsidP="00692F44">
      <w:pPr>
        <w:spacing w:after="160" w:line="259" w:lineRule="auto"/>
        <w:rPr>
          <w:rFonts w:ascii="Calibri" w:eastAsiaTheme="majorEastAsia" w:hAnsi="Calibri" w:cstheme="majorBidi"/>
          <w:color w:val="000000"/>
          <w:sz w:val="21"/>
          <w:szCs w:val="21"/>
          <w:lang w:val="en-US" w:eastAsia="en-US"/>
        </w:rPr>
      </w:pPr>
      <w:r w:rsidRPr="00692F44">
        <w:rPr>
          <w:rFonts w:ascii="Calibri" w:eastAsiaTheme="minorHAnsi" w:hAnsi="Calibri" w:cstheme="minorBidi"/>
          <w:b/>
          <w:color w:val="000000"/>
          <w:sz w:val="22"/>
          <w:szCs w:val="22"/>
          <w:lang w:eastAsia="en-US"/>
        </w:rPr>
        <w:br w:type="page"/>
      </w:r>
    </w:p>
    <w:p w14:paraId="7FA5F3E4" w14:textId="7C37F6DA" w:rsidR="00692F44" w:rsidRPr="00692F44" w:rsidRDefault="00692F44" w:rsidP="0098021D">
      <w:pPr>
        <w:keepLines/>
        <w:spacing w:after="120"/>
        <w:outlineLvl w:val="2"/>
        <w:rPr>
          <w:rFonts w:asciiTheme="minorHAnsi" w:eastAsiaTheme="majorEastAsia" w:hAnsiTheme="minorHAnsi" w:cstheme="minorHAnsi"/>
          <w:b/>
          <w:color w:val="000000" w:themeColor="text1"/>
          <w:sz w:val="21"/>
          <w:szCs w:val="21"/>
          <w:lang w:val="en-US" w:eastAsia="en-US"/>
        </w:rPr>
      </w:pPr>
      <w:bookmarkStart w:id="242" w:name="_Toc107508818"/>
      <w:r w:rsidRPr="00381F76">
        <w:rPr>
          <w:rFonts w:asciiTheme="minorHAnsi" w:eastAsiaTheme="majorEastAsia" w:hAnsiTheme="minorHAnsi" w:cstheme="minorHAnsi"/>
          <w:b/>
          <w:color w:val="000000" w:themeColor="text1"/>
          <w:sz w:val="21"/>
          <w:szCs w:val="21"/>
          <w:lang w:val="en-US" w:eastAsia="en-US"/>
        </w:rPr>
        <w:lastRenderedPageBreak/>
        <w:t xml:space="preserve">Table </w:t>
      </w:r>
      <w:r w:rsidR="00381F76">
        <w:rPr>
          <w:rFonts w:asciiTheme="minorHAnsi" w:eastAsiaTheme="majorEastAsia" w:hAnsiTheme="minorHAnsi" w:cstheme="minorHAnsi"/>
          <w:b/>
          <w:color w:val="000000" w:themeColor="text1"/>
          <w:sz w:val="21"/>
          <w:szCs w:val="21"/>
          <w:lang w:val="en-US" w:eastAsia="en-US"/>
        </w:rPr>
        <w:t>49</w:t>
      </w:r>
      <w:r w:rsidRPr="00692F44">
        <w:rPr>
          <w:rFonts w:asciiTheme="minorHAnsi" w:eastAsiaTheme="majorEastAsia" w:hAnsiTheme="minorHAnsi" w:cstheme="minorHAnsi"/>
          <w:b/>
          <w:color w:val="000000" w:themeColor="text1"/>
          <w:sz w:val="21"/>
          <w:szCs w:val="21"/>
          <w:lang w:val="en-US" w:eastAsia="en-US"/>
        </w:rPr>
        <w:t>. Characteristics of key stakeholders (N=68)</w:t>
      </w:r>
      <w:bookmarkEnd w:id="242"/>
    </w:p>
    <w:tbl>
      <w:tblPr>
        <w:tblStyle w:val="TableGrid11"/>
        <w:tblW w:w="5000" w:type="pct"/>
        <w:jc w:val="center"/>
        <w:tblInd w:w="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presenting characteristics of key stakeholders consulted including demographic profile, type of internet access and organisation they represented"/>
      </w:tblPr>
      <w:tblGrid>
        <w:gridCol w:w="6914"/>
        <w:gridCol w:w="1840"/>
        <w:gridCol w:w="992"/>
      </w:tblGrid>
      <w:tr w:rsidR="00692F44" w:rsidRPr="00692F44" w14:paraId="341E18E5" w14:textId="77777777" w:rsidTr="0098021D">
        <w:trPr>
          <w:trHeight w:val="227"/>
          <w:jc w:val="center"/>
        </w:trPr>
        <w:tc>
          <w:tcPr>
            <w:tcW w:w="3547" w:type="pct"/>
            <w:tcBorders>
              <w:top w:val="single" w:sz="4" w:space="0" w:color="auto"/>
              <w:left w:val="nil"/>
              <w:bottom w:val="single" w:sz="4" w:space="0" w:color="auto"/>
              <w:right w:val="nil"/>
            </w:tcBorders>
            <w:shd w:val="clear" w:color="auto" w:fill="000000" w:themeFill="text1"/>
            <w:hideMark/>
          </w:tcPr>
          <w:p w14:paraId="1C8A65F8" w14:textId="77777777" w:rsidR="00692F44" w:rsidRPr="00692F44" w:rsidRDefault="00692F44" w:rsidP="00692F44">
            <w:pPr>
              <w:snapToGrid w:val="0"/>
              <w:rPr>
                <w:rFonts w:asciiTheme="minorHAnsi" w:hAnsiTheme="minorHAnsi" w:cstheme="minorHAnsi"/>
                <w:b/>
                <w:color w:val="FFFFFF" w:themeColor="background1"/>
                <w:sz w:val="18"/>
                <w:szCs w:val="18"/>
                <w:lang w:eastAsia="en-AU"/>
              </w:rPr>
            </w:pPr>
            <w:r w:rsidRPr="00692F44">
              <w:rPr>
                <w:rFonts w:asciiTheme="minorHAnsi" w:hAnsiTheme="minorHAnsi" w:cstheme="minorHAnsi"/>
                <w:b/>
                <w:color w:val="FFFFFF" w:themeColor="background1"/>
                <w:sz w:val="18"/>
                <w:szCs w:val="18"/>
                <w:lang w:eastAsia="en-AU"/>
              </w:rPr>
              <w:t>Characteristic</w:t>
            </w:r>
          </w:p>
        </w:tc>
        <w:tc>
          <w:tcPr>
            <w:tcW w:w="944" w:type="pct"/>
            <w:tcBorders>
              <w:top w:val="single" w:sz="4" w:space="0" w:color="auto"/>
              <w:left w:val="nil"/>
              <w:bottom w:val="single" w:sz="4" w:space="0" w:color="auto"/>
              <w:right w:val="nil"/>
            </w:tcBorders>
            <w:shd w:val="clear" w:color="auto" w:fill="000000" w:themeFill="text1"/>
            <w:hideMark/>
          </w:tcPr>
          <w:p w14:paraId="0476A38E" w14:textId="77777777" w:rsidR="00692F44" w:rsidRPr="00692F44" w:rsidRDefault="00692F44" w:rsidP="00692F44">
            <w:pPr>
              <w:snapToGrid w:val="0"/>
              <w:jc w:val="center"/>
              <w:rPr>
                <w:rFonts w:asciiTheme="minorHAnsi" w:hAnsiTheme="minorHAnsi" w:cstheme="minorHAnsi"/>
                <w:b/>
                <w:color w:val="FFFFFF" w:themeColor="background1"/>
                <w:sz w:val="18"/>
                <w:szCs w:val="18"/>
                <w:lang w:eastAsia="en-AU"/>
              </w:rPr>
            </w:pPr>
            <w:r w:rsidRPr="00692F44">
              <w:rPr>
                <w:rFonts w:asciiTheme="minorHAnsi" w:hAnsiTheme="minorHAnsi" w:cstheme="minorHAnsi"/>
                <w:b/>
                <w:color w:val="FFFFFF" w:themeColor="background1"/>
                <w:sz w:val="18"/>
                <w:szCs w:val="18"/>
                <w:lang w:eastAsia="en-AU"/>
              </w:rPr>
              <w:t>Frequency</w:t>
            </w:r>
          </w:p>
        </w:tc>
        <w:tc>
          <w:tcPr>
            <w:tcW w:w="509" w:type="pct"/>
            <w:tcBorders>
              <w:top w:val="single" w:sz="4" w:space="0" w:color="auto"/>
              <w:left w:val="nil"/>
              <w:bottom w:val="single" w:sz="4" w:space="0" w:color="auto"/>
              <w:right w:val="nil"/>
            </w:tcBorders>
            <w:shd w:val="clear" w:color="auto" w:fill="000000" w:themeFill="text1"/>
            <w:hideMark/>
          </w:tcPr>
          <w:p w14:paraId="566D2480" w14:textId="77777777" w:rsidR="00692F44" w:rsidRPr="00692F44" w:rsidRDefault="00692F44" w:rsidP="00692F44">
            <w:pPr>
              <w:snapToGrid w:val="0"/>
              <w:jc w:val="center"/>
              <w:rPr>
                <w:rFonts w:asciiTheme="minorHAnsi" w:hAnsiTheme="minorHAnsi" w:cstheme="minorHAnsi"/>
                <w:b/>
                <w:color w:val="FFFFFF" w:themeColor="background1"/>
                <w:sz w:val="18"/>
                <w:szCs w:val="18"/>
                <w:lang w:eastAsia="en-AU"/>
              </w:rPr>
            </w:pPr>
            <w:r w:rsidRPr="00692F44">
              <w:rPr>
                <w:rFonts w:asciiTheme="minorHAnsi" w:hAnsiTheme="minorHAnsi" w:cstheme="minorHAnsi"/>
                <w:b/>
                <w:color w:val="FFFFFF" w:themeColor="background1"/>
                <w:sz w:val="18"/>
                <w:szCs w:val="18"/>
                <w:lang w:eastAsia="en-AU"/>
              </w:rPr>
              <w:t>%</w:t>
            </w:r>
          </w:p>
        </w:tc>
      </w:tr>
      <w:tr w:rsidR="00692F44" w:rsidRPr="00692F44" w14:paraId="77C9D6BE" w14:textId="77777777" w:rsidTr="0098021D">
        <w:trPr>
          <w:trHeight w:val="227"/>
          <w:jc w:val="center"/>
        </w:trPr>
        <w:tc>
          <w:tcPr>
            <w:tcW w:w="3547" w:type="pct"/>
            <w:tcBorders>
              <w:top w:val="single" w:sz="4" w:space="0" w:color="auto"/>
              <w:left w:val="single" w:sz="4" w:space="0" w:color="auto"/>
              <w:bottom w:val="nil"/>
              <w:right w:val="nil"/>
            </w:tcBorders>
            <w:hideMark/>
          </w:tcPr>
          <w:p w14:paraId="01ADCD3B" w14:textId="77777777" w:rsidR="00692F44" w:rsidRPr="00692F44" w:rsidRDefault="00692F44" w:rsidP="00692F44">
            <w:pPr>
              <w:snapToGrid w:val="0"/>
              <w:rPr>
                <w:rFonts w:asciiTheme="minorHAnsi" w:hAnsiTheme="minorHAnsi" w:cstheme="minorHAnsi"/>
                <w:b/>
                <w:sz w:val="18"/>
                <w:szCs w:val="18"/>
                <w:lang w:eastAsia="en-AU"/>
              </w:rPr>
            </w:pPr>
            <w:r w:rsidRPr="00692F44">
              <w:rPr>
                <w:rFonts w:asciiTheme="minorHAnsi" w:hAnsiTheme="minorHAnsi" w:cstheme="minorHAnsi"/>
                <w:b/>
                <w:sz w:val="18"/>
                <w:szCs w:val="18"/>
                <w:lang w:eastAsia="en-AU"/>
              </w:rPr>
              <w:t>Gender</w:t>
            </w:r>
          </w:p>
        </w:tc>
        <w:tc>
          <w:tcPr>
            <w:tcW w:w="944" w:type="pct"/>
            <w:tcBorders>
              <w:top w:val="single" w:sz="4" w:space="0" w:color="auto"/>
              <w:left w:val="nil"/>
              <w:bottom w:val="nil"/>
              <w:right w:val="nil"/>
            </w:tcBorders>
          </w:tcPr>
          <w:p w14:paraId="03A70137" w14:textId="77777777" w:rsidR="00692F44" w:rsidRPr="00692F44" w:rsidRDefault="00692F44" w:rsidP="00692F44">
            <w:pPr>
              <w:snapToGrid w:val="0"/>
              <w:jc w:val="center"/>
              <w:rPr>
                <w:rFonts w:asciiTheme="minorHAnsi" w:hAnsiTheme="minorHAnsi" w:cstheme="minorHAnsi"/>
                <w:b/>
                <w:sz w:val="18"/>
                <w:szCs w:val="18"/>
                <w:lang w:eastAsia="en-AU"/>
              </w:rPr>
            </w:pPr>
          </w:p>
        </w:tc>
        <w:tc>
          <w:tcPr>
            <w:tcW w:w="509" w:type="pct"/>
            <w:tcBorders>
              <w:top w:val="single" w:sz="4" w:space="0" w:color="auto"/>
              <w:left w:val="nil"/>
              <w:bottom w:val="nil"/>
              <w:right w:val="single" w:sz="4" w:space="0" w:color="auto"/>
            </w:tcBorders>
          </w:tcPr>
          <w:p w14:paraId="38E657FA" w14:textId="77777777" w:rsidR="00692F44" w:rsidRPr="00692F44" w:rsidRDefault="00692F44" w:rsidP="00692F44">
            <w:pPr>
              <w:snapToGrid w:val="0"/>
              <w:jc w:val="center"/>
              <w:rPr>
                <w:rFonts w:asciiTheme="minorHAnsi" w:hAnsiTheme="minorHAnsi" w:cstheme="minorHAnsi"/>
                <w:b/>
                <w:sz w:val="18"/>
                <w:szCs w:val="18"/>
                <w:highlight w:val="yellow"/>
                <w:lang w:eastAsia="en-AU"/>
              </w:rPr>
            </w:pPr>
          </w:p>
        </w:tc>
      </w:tr>
      <w:tr w:rsidR="00692F44" w:rsidRPr="00692F44" w14:paraId="2E89AB9E" w14:textId="77777777" w:rsidTr="00AC15B4">
        <w:trPr>
          <w:trHeight w:val="227"/>
          <w:jc w:val="center"/>
        </w:trPr>
        <w:tc>
          <w:tcPr>
            <w:tcW w:w="3547" w:type="pct"/>
            <w:tcBorders>
              <w:top w:val="nil"/>
              <w:left w:val="single" w:sz="4" w:space="0" w:color="auto"/>
              <w:bottom w:val="nil"/>
              <w:right w:val="nil"/>
            </w:tcBorders>
            <w:hideMark/>
          </w:tcPr>
          <w:p w14:paraId="15402C24"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Theme="minorHAnsi" w:hAnsiTheme="minorHAnsi" w:cstheme="minorHAnsi"/>
                <w:sz w:val="18"/>
                <w:szCs w:val="18"/>
                <w:lang w:eastAsia="en-AU"/>
              </w:rPr>
              <w:t>Female</w:t>
            </w:r>
          </w:p>
        </w:tc>
        <w:tc>
          <w:tcPr>
            <w:tcW w:w="944" w:type="pct"/>
            <w:tcBorders>
              <w:top w:val="nil"/>
              <w:left w:val="nil"/>
              <w:bottom w:val="nil"/>
              <w:right w:val="nil"/>
            </w:tcBorders>
            <w:hideMark/>
          </w:tcPr>
          <w:p w14:paraId="59EA10F5"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37</w:t>
            </w:r>
          </w:p>
        </w:tc>
        <w:tc>
          <w:tcPr>
            <w:tcW w:w="509" w:type="pct"/>
            <w:tcBorders>
              <w:top w:val="nil"/>
              <w:left w:val="nil"/>
              <w:bottom w:val="nil"/>
              <w:right w:val="single" w:sz="4" w:space="0" w:color="auto"/>
            </w:tcBorders>
            <w:hideMark/>
          </w:tcPr>
          <w:p w14:paraId="03996378"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54.4</w:t>
            </w:r>
          </w:p>
        </w:tc>
      </w:tr>
      <w:tr w:rsidR="00692F44" w:rsidRPr="00692F44" w14:paraId="66474291" w14:textId="77777777" w:rsidTr="00AC15B4">
        <w:trPr>
          <w:trHeight w:val="227"/>
          <w:jc w:val="center"/>
        </w:trPr>
        <w:tc>
          <w:tcPr>
            <w:tcW w:w="3547" w:type="pct"/>
            <w:tcBorders>
              <w:top w:val="nil"/>
              <w:left w:val="single" w:sz="4" w:space="0" w:color="auto"/>
              <w:bottom w:val="nil"/>
              <w:right w:val="nil"/>
            </w:tcBorders>
            <w:hideMark/>
          </w:tcPr>
          <w:p w14:paraId="728988A3"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Theme="minorHAnsi" w:hAnsiTheme="minorHAnsi" w:cstheme="minorHAnsi"/>
                <w:sz w:val="18"/>
                <w:szCs w:val="18"/>
                <w:lang w:eastAsia="en-AU"/>
              </w:rPr>
              <w:t>Male</w:t>
            </w:r>
          </w:p>
        </w:tc>
        <w:tc>
          <w:tcPr>
            <w:tcW w:w="944" w:type="pct"/>
            <w:tcBorders>
              <w:top w:val="nil"/>
              <w:left w:val="nil"/>
              <w:bottom w:val="nil"/>
              <w:right w:val="nil"/>
            </w:tcBorders>
            <w:hideMark/>
          </w:tcPr>
          <w:p w14:paraId="214BD6EB"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21</w:t>
            </w:r>
          </w:p>
        </w:tc>
        <w:tc>
          <w:tcPr>
            <w:tcW w:w="509" w:type="pct"/>
            <w:tcBorders>
              <w:top w:val="nil"/>
              <w:left w:val="nil"/>
              <w:bottom w:val="nil"/>
              <w:right w:val="single" w:sz="4" w:space="0" w:color="auto"/>
            </w:tcBorders>
            <w:hideMark/>
          </w:tcPr>
          <w:p w14:paraId="7580B907"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30.9</w:t>
            </w:r>
          </w:p>
        </w:tc>
      </w:tr>
      <w:tr w:rsidR="00692F44" w:rsidRPr="00692F44" w14:paraId="1AD6B619" w14:textId="77777777" w:rsidTr="00AC15B4">
        <w:trPr>
          <w:trHeight w:val="227"/>
          <w:jc w:val="center"/>
        </w:trPr>
        <w:tc>
          <w:tcPr>
            <w:tcW w:w="3547" w:type="pct"/>
            <w:tcBorders>
              <w:top w:val="nil"/>
              <w:left w:val="single" w:sz="4" w:space="0" w:color="auto"/>
              <w:bottom w:val="nil"/>
              <w:right w:val="nil"/>
            </w:tcBorders>
            <w:hideMark/>
          </w:tcPr>
          <w:p w14:paraId="56D1ACC9"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Theme="minorHAnsi" w:hAnsiTheme="minorHAnsi" w:cstheme="minorHAnsi"/>
                <w:sz w:val="18"/>
                <w:szCs w:val="18"/>
                <w:lang w:eastAsia="en-AU"/>
              </w:rPr>
              <w:t>Did not identify with either term</w:t>
            </w:r>
          </w:p>
        </w:tc>
        <w:tc>
          <w:tcPr>
            <w:tcW w:w="944" w:type="pct"/>
            <w:tcBorders>
              <w:top w:val="nil"/>
              <w:left w:val="nil"/>
              <w:bottom w:val="nil"/>
              <w:right w:val="nil"/>
            </w:tcBorders>
            <w:hideMark/>
          </w:tcPr>
          <w:p w14:paraId="44DE7B61" w14:textId="77777777" w:rsidR="00692F44" w:rsidRPr="00692F44" w:rsidRDefault="00692F44" w:rsidP="00692F44">
            <w:pPr>
              <w:snapToGrid w:val="0"/>
              <w:jc w:val="center"/>
              <w:rPr>
                <w:rFonts w:cstheme="minorHAnsi"/>
                <w:sz w:val="18"/>
                <w:szCs w:val="18"/>
                <w:lang w:eastAsia="en-AU"/>
              </w:rPr>
            </w:pPr>
            <w:r w:rsidRPr="00692F44">
              <w:rPr>
                <w:rFonts w:ascii="Calibri" w:hAnsi="Calibri" w:cs="Calibri"/>
                <w:color w:val="000000"/>
                <w:sz w:val="18"/>
                <w:szCs w:val="18"/>
                <w:lang w:eastAsia="en-AU"/>
              </w:rPr>
              <w:t>1</w:t>
            </w:r>
          </w:p>
        </w:tc>
        <w:tc>
          <w:tcPr>
            <w:tcW w:w="509" w:type="pct"/>
            <w:tcBorders>
              <w:top w:val="nil"/>
              <w:left w:val="nil"/>
              <w:bottom w:val="nil"/>
              <w:right w:val="single" w:sz="4" w:space="0" w:color="auto"/>
            </w:tcBorders>
            <w:hideMark/>
          </w:tcPr>
          <w:p w14:paraId="26300258"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1.5</w:t>
            </w:r>
          </w:p>
        </w:tc>
      </w:tr>
      <w:tr w:rsidR="00692F44" w:rsidRPr="00692F44" w14:paraId="7ED87F2A" w14:textId="77777777" w:rsidTr="00AC15B4">
        <w:trPr>
          <w:trHeight w:val="227"/>
          <w:jc w:val="center"/>
        </w:trPr>
        <w:tc>
          <w:tcPr>
            <w:tcW w:w="3547" w:type="pct"/>
            <w:tcBorders>
              <w:top w:val="nil"/>
              <w:left w:val="single" w:sz="4" w:space="0" w:color="auto"/>
              <w:bottom w:val="single" w:sz="4" w:space="0" w:color="auto"/>
              <w:right w:val="nil"/>
            </w:tcBorders>
            <w:hideMark/>
          </w:tcPr>
          <w:p w14:paraId="3A14A58A"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Theme="minorHAnsi" w:hAnsiTheme="minorHAnsi" w:cstheme="minorHAnsi"/>
                <w:sz w:val="18"/>
                <w:szCs w:val="18"/>
                <w:lang w:eastAsia="en-AU"/>
              </w:rPr>
              <w:t>Not answered</w:t>
            </w:r>
          </w:p>
        </w:tc>
        <w:tc>
          <w:tcPr>
            <w:tcW w:w="944" w:type="pct"/>
            <w:tcBorders>
              <w:top w:val="nil"/>
              <w:left w:val="nil"/>
              <w:bottom w:val="single" w:sz="4" w:space="0" w:color="auto"/>
              <w:right w:val="nil"/>
            </w:tcBorders>
            <w:hideMark/>
          </w:tcPr>
          <w:p w14:paraId="451F6B69"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9</w:t>
            </w:r>
          </w:p>
        </w:tc>
        <w:tc>
          <w:tcPr>
            <w:tcW w:w="509" w:type="pct"/>
            <w:tcBorders>
              <w:top w:val="nil"/>
              <w:left w:val="nil"/>
              <w:bottom w:val="single" w:sz="4" w:space="0" w:color="auto"/>
              <w:right w:val="single" w:sz="4" w:space="0" w:color="auto"/>
            </w:tcBorders>
            <w:hideMark/>
          </w:tcPr>
          <w:p w14:paraId="61687189"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13.2</w:t>
            </w:r>
          </w:p>
        </w:tc>
      </w:tr>
      <w:tr w:rsidR="00692F44" w:rsidRPr="00692F44" w14:paraId="2C27B6A6" w14:textId="77777777" w:rsidTr="0098021D">
        <w:trPr>
          <w:trHeight w:val="227"/>
          <w:jc w:val="center"/>
        </w:trPr>
        <w:tc>
          <w:tcPr>
            <w:tcW w:w="3547" w:type="pct"/>
            <w:tcBorders>
              <w:top w:val="single" w:sz="4" w:space="0" w:color="auto"/>
              <w:left w:val="single" w:sz="4" w:space="0" w:color="auto"/>
              <w:bottom w:val="nil"/>
              <w:right w:val="nil"/>
            </w:tcBorders>
            <w:hideMark/>
          </w:tcPr>
          <w:p w14:paraId="52936BC3" w14:textId="77777777" w:rsidR="00692F44" w:rsidRPr="00692F44" w:rsidRDefault="00692F44" w:rsidP="00692F44">
            <w:pPr>
              <w:snapToGrid w:val="0"/>
              <w:rPr>
                <w:rFonts w:asciiTheme="minorHAnsi" w:hAnsiTheme="minorHAnsi" w:cstheme="minorHAnsi"/>
                <w:b/>
                <w:sz w:val="18"/>
                <w:szCs w:val="18"/>
                <w:lang w:eastAsia="en-AU"/>
              </w:rPr>
            </w:pPr>
            <w:r w:rsidRPr="00692F44">
              <w:rPr>
                <w:rFonts w:asciiTheme="minorHAnsi" w:hAnsiTheme="minorHAnsi" w:cstheme="minorHAnsi"/>
                <w:b/>
                <w:sz w:val="18"/>
                <w:szCs w:val="18"/>
                <w:lang w:eastAsia="en-AU"/>
              </w:rPr>
              <w:t>Age range</w:t>
            </w:r>
          </w:p>
        </w:tc>
        <w:tc>
          <w:tcPr>
            <w:tcW w:w="944" w:type="pct"/>
            <w:tcBorders>
              <w:top w:val="single" w:sz="4" w:space="0" w:color="auto"/>
              <w:left w:val="nil"/>
              <w:bottom w:val="nil"/>
              <w:right w:val="nil"/>
            </w:tcBorders>
          </w:tcPr>
          <w:p w14:paraId="7C99FB44" w14:textId="77777777" w:rsidR="00692F44" w:rsidRPr="00692F44" w:rsidRDefault="00692F44" w:rsidP="00692F44">
            <w:pPr>
              <w:snapToGrid w:val="0"/>
              <w:jc w:val="center"/>
              <w:rPr>
                <w:rFonts w:asciiTheme="minorHAnsi" w:hAnsiTheme="minorHAnsi" w:cstheme="minorHAnsi"/>
                <w:b/>
                <w:sz w:val="18"/>
                <w:szCs w:val="18"/>
                <w:lang w:eastAsia="en-AU"/>
              </w:rPr>
            </w:pPr>
          </w:p>
        </w:tc>
        <w:tc>
          <w:tcPr>
            <w:tcW w:w="509" w:type="pct"/>
            <w:tcBorders>
              <w:top w:val="single" w:sz="4" w:space="0" w:color="auto"/>
              <w:left w:val="nil"/>
              <w:bottom w:val="nil"/>
              <w:right w:val="single" w:sz="4" w:space="0" w:color="auto"/>
            </w:tcBorders>
          </w:tcPr>
          <w:p w14:paraId="3A496154" w14:textId="77777777" w:rsidR="00692F44" w:rsidRPr="00692F44" w:rsidRDefault="00692F44" w:rsidP="00692F44">
            <w:pPr>
              <w:snapToGrid w:val="0"/>
              <w:jc w:val="center"/>
              <w:rPr>
                <w:rFonts w:asciiTheme="minorHAnsi" w:hAnsiTheme="minorHAnsi" w:cstheme="minorHAnsi"/>
                <w:b/>
                <w:sz w:val="18"/>
                <w:szCs w:val="18"/>
                <w:highlight w:val="yellow"/>
                <w:lang w:eastAsia="en-AU"/>
              </w:rPr>
            </w:pPr>
          </w:p>
        </w:tc>
      </w:tr>
      <w:tr w:rsidR="00692F44" w:rsidRPr="00692F44" w14:paraId="3A40C4BF" w14:textId="77777777" w:rsidTr="00AC15B4">
        <w:trPr>
          <w:trHeight w:val="227"/>
          <w:jc w:val="center"/>
        </w:trPr>
        <w:tc>
          <w:tcPr>
            <w:tcW w:w="3547" w:type="pct"/>
            <w:tcBorders>
              <w:top w:val="nil"/>
              <w:left w:val="single" w:sz="4" w:space="0" w:color="auto"/>
              <w:bottom w:val="nil"/>
              <w:right w:val="nil"/>
            </w:tcBorders>
            <w:hideMark/>
          </w:tcPr>
          <w:p w14:paraId="0A96BDB3"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Theme="minorHAnsi" w:hAnsiTheme="minorHAnsi" w:cstheme="minorHAnsi"/>
                <w:sz w:val="18"/>
                <w:szCs w:val="18"/>
                <w:lang w:eastAsia="en-AU"/>
              </w:rPr>
              <w:t>20-29 years</w:t>
            </w:r>
          </w:p>
        </w:tc>
        <w:tc>
          <w:tcPr>
            <w:tcW w:w="944" w:type="pct"/>
            <w:tcBorders>
              <w:top w:val="nil"/>
              <w:left w:val="nil"/>
              <w:bottom w:val="nil"/>
              <w:right w:val="nil"/>
            </w:tcBorders>
            <w:hideMark/>
          </w:tcPr>
          <w:p w14:paraId="53F822C4"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1</w:t>
            </w:r>
          </w:p>
        </w:tc>
        <w:tc>
          <w:tcPr>
            <w:tcW w:w="509" w:type="pct"/>
            <w:tcBorders>
              <w:top w:val="nil"/>
              <w:left w:val="nil"/>
              <w:bottom w:val="nil"/>
              <w:right w:val="single" w:sz="4" w:space="0" w:color="auto"/>
            </w:tcBorders>
            <w:hideMark/>
          </w:tcPr>
          <w:p w14:paraId="715A8F85"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1.5</w:t>
            </w:r>
          </w:p>
        </w:tc>
      </w:tr>
      <w:tr w:rsidR="00692F44" w:rsidRPr="00692F44" w14:paraId="473231DD" w14:textId="77777777" w:rsidTr="00AC15B4">
        <w:trPr>
          <w:trHeight w:val="227"/>
          <w:jc w:val="center"/>
        </w:trPr>
        <w:tc>
          <w:tcPr>
            <w:tcW w:w="3547" w:type="pct"/>
            <w:tcBorders>
              <w:top w:val="nil"/>
              <w:left w:val="single" w:sz="4" w:space="0" w:color="auto"/>
              <w:bottom w:val="nil"/>
              <w:right w:val="nil"/>
            </w:tcBorders>
            <w:hideMark/>
          </w:tcPr>
          <w:p w14:paraId="61C8AEB9"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Theme="minorHAnsi" w:hAnsiTheme="minorHAnsi" w:cstheme="minorHAnsi"/>
                <w:sz w:val="18"/>
                <w:szCs w:val="18"/>
                <w:lang w:eastAsia="en-AU"/>
              </w:rPr>
              <w:t>30-39 years</w:t>
            </w:r>
          </w:p>
        </w:tc>
        <w:tc>
          <w:tcPr>
            <w:tcW w:w="944" w:type="pct"/>
            <w:tcBorders>
              <w:top w:val="nil"/>
              <w:left w:val="nil"/>
              <w:bottom w:val="nil"/>
              <w:right w:val="nil"/>
            </w:tcBorders>
            <w:hideMark/>
          </w:tcPr>
          <w:p w14:paraId="6AE3D927"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14</w:t>
            </w:r>
          </w:p>
        </w:tc>
        <w:tc>
          <w:tcPr>
            <w:tcW w:w="509" w:type="pct"/>
            <w:tcBorders>
              <w:top w:val="nil"/>
              <w:left w:val="nil"/>
              <w:bottom w:val="nil"/>
              <w:right w:val="single" w:sz="4" w:space="0" w:color="auto"/>
            </w:tcBorders>
            <w:hideMark/>
          </w:tcPr>
          <w:p w14:paraId="420EA73A"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20.6</w:t>
            </w:r>
          </w:p>
        </w:tc>
      </w:tr>
      <w:tr w:rsidR="00692F44" w:rsidRPr="00692F44" w14:paraId="17B882DE" w14:textId="77777777" w:rsidTr="00AC15B4">
        <w:trPr>
          <w:trHeight w:val="227"/>
          <w:jc w:val="center"/>
        </w:trPr>
        <w:tc>
          <w:tcPr>
            <w:tcW w:w="3547" w:type="pct"/>
            <w:tcBorders>
              <w:top w:val="nil"/>
              <w:left w:val="single" w:sz="4" w:space="0" w:color="auto"/>
              <w:bottom w:val="nil"/>
              <w:right w:val="nil"/>
            </w:tcBorders>
            <w:hideMark/>
          </w:tcPr>
          <w:p w14:paraId="6BAFC44C"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Theme="minorHAnsi" w:hAnsiTheme="minorHAnsi" w:cstheme="minorHAnsi"/>
                <w:sz w:val="18"/>
                <w:szCs w:val="18"/>
                <w:lang w:eastAsia="en-AU"/>
              </w:rPr>
              <w:t>40-49 years</w:t>
            </w:r>
          </w:p>
        </w:tc>
        <w:tc>
          <w:tcPr>
            <w:tcW w:w="944" w:type="pct"/>
            <w:tcBorders>
              <w:top w:val="nil"/>
              <w:left w:val="nil"/>
              <w:bottom w:val="nil"/>
              <w:right w:val="nil"/>
            </w:tcBorders>
            <w:hideMark/>
          </w:tcPr>
          <w:p w14:paraId="510A8FB8"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20</w:t>
            </w:r>
          </w:p>
        </w:tc>
        <w:tc>
          <w:tcPr>
            <w:tcW w:w="509" w:type="pct"/>
            <w:tcBorders>
              <w:top w:val="nil"/>
              <w:left w:val="nil"/>
              <w:bottom w:val="nil"/>
              <w:right w:val="single" w:sz="4" w:space="0" w:color="auto"/>
            </w:tcBorders>
            <w:hideMark/>
          </w:tcPr>
          <w:p w14:paraId="1D386647"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29.4</w:t>
            </w:r>
          </w:p>
        </w:tc>
      </w:tr>
      <w:tr w:rsidR="00692F44" w:rsidRPr="00692F44" w14:paraId="2BEA0DC9" w14:textId="77777777" w:rsidTr="00AC15B4">
        <w:trPr>
          <w:trHeight w:val="227"/>
          <w:jc w:val="center"/>
        </w:trPr>
        <w:tc>
          <w:tcPr>
            <w:tcW w:w="3547" w:type="pct"/>
            <w:tcBorders>
              <w:top w:val="nil"/>
              <w:left w:val="single" w:sz="4" w:space="0" w:color="auto"/>
              <w:bottom w:val="nil"/>
              <w:right w:val="nil"/>
            </w:tcBorders>
            <w:hideMark/>
          </w:tcPr>
          <w:p w14:paraId="1C8146A8"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Theme="minorHAnsi" w:hAnsiTheme="minorHAnsi" w:cstheme="minorHAnsi"/>
                <w:sz w:val="18"/>
                <w:szCs w:val="18"/>
                <w:lang w:eastAsia="en-AU"/>
              </w:rPr>
              <w:t>50-59 years</w:t>
            </w:r>
          </w:p>
        </w:tc>
        <w:tc>
          <w:tcPr>
            <w:tcW w:w="944" w:type="pct"/>
            <w:tcBorders>
              <w:top w:val="nil"/>
              <w:left w:val="nil"/>
              <w:bottom w:val="nil"/>
              <w:right w:val="nil"/>
            </w:tcBorders>
            <w:hideMark/>
          </w:tcPr>
          <w:p w14:paraId="268063DD"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19</w:t>
            </w:r>
          </w:p>
        </w:tc>
        <w:tc>
          <w:tcPr>
            <w:tcW w:w="509" w:type="pct"/>
            <w:tcBorders>
              <w:top w:val="nil"/>
              <w:left w:val="nil"/>
              <w:bottom w:val="nil"/>
              <w:right w:val="single" w:sz="4" w:space="0" w:color="auto"/>
            </w:tcBorders>
            <w:hideMark/>
          </w:tcPr>
          <w:p w14:paraId="2683DE0B"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27.9</w:t>
            </w:r>
          </w:p>
        </w:tc>
      </w:tr>
      <w:tr w:rsidR="00692F44" w:rsidRPr="00692F44" w14:paraId="15C83EF7" w14:textId="77777777" w:rsidTr="00AC15B4">
        <w:trPr>
          <w:trHeight w:val="227"/>
          <w:jc w:val="center"/>
        </w:trPr>
        <w:tc>
          <w:tcPr>
            <w:tcW w:w="3547" w:type="pct"/>
            <w:tcBorders>
              <w:top w:val="nil"/>
              <w:left w:val="single" w:sz="4" w:space="0" w:color="auto"/>
              <w:bottom w:val="nil"/>
              <w:right w:val="nil"/>
            </w:tcBorders>
            <w:hideMark/>
          </w:tcPr>
          <w:p w14:paraId="4D1F9DED"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Theme="minorHAnsi" w:hAnsiTheme="minorHAnsi" w:cstheme="minorHAnsi"/>
                <w:sz w:val="18"/>
                <w:szCs w:val="18"/>
                <w:lang w:eastAsia="en-AU"/>
              </w:rPr>
              <w:t>60-69 years</w:t>
            </w:r>
          </w:p>
        </w:tc>
        <w:tc>
          <w:tcPr>
            <w:tcW w:w="944" w:type="pct"/>
            <w:tcBorders>
              <w:top w:val="nil"/>
              <w:left w:val="nil"/>
              <w:bottom w:val="nil"/>
              <w:right w:val="nil"/>
            </w:tcBorders>
            <w:hideMark/>
          </w:tcPr>
          <w:p w14:paraId="50FA78FE"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6</w:t>
            </w:r>
          </w:p>
        </w:tc>
        <w:tc>
          <w:tcPr>
            <w:tcW w:w="509" w:type="pct"/>
            <w:tcBorders>
              <w:top w:val="nil"/>
              <w:left w:val="nil"/>
              <w:bottom w:val="nil"/>
              <w:right w:val="single" w:sz="4" w:space="0" w:color="auto"/>
            </w:tcBorders>
            <w:hideMark/>
          </w:tcPr>
          <w:p w14:paraId="340097B1"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8.8</w:t>
            </w:r>
          </w:p>
        </w:tc>
      </w:tr>
      <w:tr w:rsidR="00692F44" w:rsidRPr="00692F44" w14:paraId="2122FAE9" w14:textId="77777777" w:rsidTr="00AC15B4">
        <w:trPr>
          <w:trHeight w:val="227"/>
          <w:jc w:val="center"/>
        </w:trPr>
        <w:tc>
          <w:tcPr>
            <w:tcW w:w="3547" w:type="pct"/>
            <w:tcBorders>
              <w:top w:val="nil"/>
              <w:left w:val="single" w:sz="4" w:space="0" w:color="auto"/>
              <w:bottom w:val="single" w:sz="4" w:space="0" w:color="auto"/>
              <w:right w:val="nil"/>
            </w:tcBorders>
            <w:hideMark/>
          </w:tcPr>
          <w:p w14:paraId="3E243F28" w14:textId="77777777" w:rsidR="00692F44" w:rsidRPr="00692F44" w:rsidRDefault="00692F44" w:rsidP="00692F44">
            <w:pPr>
              <w:snapToGrid w:val="0"/>
              <w:ind w:left="348" w:hanging="90"/>
              <w:rPr>
                <w:rFonts w:asciiTheme="minorHAnsi" w:hAnsiTheme="minorHAnsi" w:cstheme="minorHAnsi"/>
                <w:sz w:val="18"/>
                <w:szCs w:val="18"/>
                <w:lang w:eastAsia="en-AU"/>
              </w:rPr>
            </w:pPr>
            <w:r w:rsidRPr="00692F44">
              <w:rPr>
                <w:rFonts w:asciiTheme="minorHAnsi" w:hAnsiTheme="minorHAnsi" w:cstheme="minorHAnsi"/>
                <w:sz w:val="18"/>
                <w:szCs w:val="18"/>
                <w:lang w:eastAsia="en-AU"/>
              </w:rPr>
              <w:t>Not answered</w:t>
            </w:r>
          </w:p>
        </w:tc>
        <w:tc>
          <w:tcPr>
            <w:tcW w:w="944" w:type="pct"/>
            <w:tcBorders>
              <w:top w:val="nil"/>
              <w:left w:val="nil"/>
              <w:bottom w:val="single" w:sz="4" w:space="0" w:color="auto"/>
              <w:right w:val="nil"/>
            </w:tcBorders>
            <w:hideMark/>
          </w:tcPr>
          <w:p w14:paraId="0F97A891"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8</w:t>
            </w:r>
          </w:p>
        </w:tc>
        <w:tc>
          <w:tcPr>
            <w:tcW w:w="509" w:type="pct"/>
            <w:tcBorders>
              <w:top w:val="nil"/>
              <w:left w:val="nil"/>
              <w:bottom w:val="single" w:sz="4" w:space="0" w:color="auto"/>
              <w:right w:val="single" w:sz="4" w:space="0" w:color="auto"/>
            </w:tcBorders>
            <w:hideMark/>
          </w:tcPr>
          <w:p w14:paraId="482A7DA5"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11.8</w:t>
            </w:r>
          </w:p>
        </w:tc>
      </w:tr>
      <w:tr w:rsidR="00692F44" w:rsidRPr="00692F44" w14:paraId="58E41DD4" w14:textId="77777777" w:rsidTr="0098021D">
        <w:trPr>
          <w:trHeight w:val="227"/>
          <w:jc w:val="center"/>
        </w:trPr>
        <w:tc>
          <w:tcPr>
            <w:tcW w:w="3547" w:type="pct"/>
            <w:tcBorders>
              <w:top w:val="nil"/>
              <w:left w:val="single" w:sz="4" w:space="0" w:color="auto"/>
              <w:bottom w:val="nil"/>
              <w:right w:val="nil"/>
            </w:tcBorders>
            <w:hideMark/>
          </w:tcPr>
          <w:p w14:paraId="5600798F" w14:textId="77777777" w:rsidR="00692F44" w:rsidRPr="00692F44" w:rsidRDefault="00692F44" w:rsidP="00692F44">
            <w:pPr>
              <w:snapToGrid w:val="0"/>
              <w:rPr>
                <w:rFonts w:asciiTheme="minorHAnsi" w:hAnsiTheme="minorHAnsi" w:cstheme="minorHAnsi"/>
                <w:b/>
                <w:bCs/>
                <w:sz w:val="18"/>
                <w:szCs w:val="18"/>
                <w:lang w:eastAsia="en-AU"/>
              </w:rPr>
            </w:pPr>
            <w:r w:rsidRPr="00692F44">
              <w:rPr>
                <w:rFonts w:asciiTheme="minorHAnsi" w:hAnsiTheme="minorHAnsi" w:cstheme="minorHAnsi"/>
                <w:b/>
                <w:bCs/>
                <w:sz w:val="18"/>
                <w:szCs w:val="18"/>
                <w:lang w:eastAsia="en-AU"/>
              </w:rPr>
              <w:t>State</w:t>
            </w:r>
          </w:p>
        </w:tc>
        <w:tc>
          <w:tcPr>
            <w:tcW w:w="944" w:type="pct"/>
            <w:tcBorders>
              <w:top w:val="nil"/>
              <w:left w:val="nil"/>
              <w:bottom w:val="nil"/>
              <w:right w:val="nil"/>
            </w:tcBorders>
          </w:tcPr>
          <w:p w14:paraId="6B4456A3" w14:textId="77777777" w:rsidR="00692F44" w:rsidRPr="00692F44" w:rsidRDefault="00692F44" w:rsidP="00692F44">
            <w:pPr>
              <w:snapToGrid w:val="0"/>
              <w:jc w:val="center"/>
              <w:rPr>
                <w:rFonts w:asciiTheme="minorHAnsi" w:hAnsiTheme="minorHAnsi" w:cstheme="minorHAnsi"/>
                <w:sz w:val="18"/>
                <w:szCs w:val="18"/>
                <w:lang w:eastAsia="en-AU"/>
              </w:rPr>
            </w:pPr>
          </w:p>
        </w:tc>
        <w:tc>
          <w:tcPr>
            <w:tcW w:w="509" w:type="pct"/>
            <w:tcBorders>
              <w:top w:val="nil"/>
              <w:left w:val="nil"/>
              <w:bottom w:val="nil"/>
              <w:right w:val="single" w:sz="4" w:space="0" w:color="auto"/>
            </w:tcBorders>
          </w:tcPr>
          <w:p w14:paraId="37BC9670" w14:textId="77777777" w:rsidR="00692F44" w:rsidRPr="00692F44" w:rsidRDefault="00692F44" w:rsidP="00692F44">
            <w:pPr>
              <w:snapToGrid w:val="0"/>
              <w:jc w:val="center"/>
              <w:rPr>
                <w:rFonts w:asciiTheme="minorHAnsi" w:hAnsiTheme="minorHAnsi" w:cstheme="minorHAnsi"/>
                <w:sz w:val="18"/>
                <w:szCs w:val="18"/>
                <w:highlight w:val="yellow"/>
                <w:lang w:eastAsia="en-AU"/>
              </w:rPr>
            </w:pPr>
          </w:p>
        </w:tc>
      </w:tr>
      <w:tr w:rsidR="00692F44" w:rsidRPr="00692F44" w14:paraId="096AE4A2" w14:textId="77777777" w:rsidTr="00AC15B4">
        <w:trPr>
          <w:trHeight w:val="227"/>
          <w:jc w:val="center"/>
        </w:trPr>
        <w:tc>
          <w:tcPr>
            <w:tcW w:w="3547" w:type="pct"/>
            <w:tcBorders>
              <w:top w:val="nil"/>
              <w:left w:val="single" w:sz="4" w:space="0" w:color="auto"/>
              <w:bottom w:val="nil"/>
              <w:right w:val="nil"/>
            </w:tcBorders>
            <w:hideMark/>
          </w:tcPr>
          <w:p w14:paraId="4259315F"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Theme="minorHAnsi" w:hAnsiTheme="minorHAnsi" w:cstheme="minorHAnsi"/>
                <w:sz w:val="18"/>
                <w:szCs w:val="18"/>
                <w:lang w:eastAsia="en-AU"/>
              </w:rPr>
              <w:t>Australian Capital Territory</w:t>
            </w:r>
          </w:p>
        </w:tc>
        <w:tc>
          <w:tcPr>
            <w:tcW w:w="944" w:type="pct"/>
            <w:tcBorders>
              <w:top w:val="nil"/>
              <w:left w:val="nil"/>
              <w:bottom w:val="nil"/>
              <w:right w:val="nil"/>
            </w:tcBorders>
            <w:hideMark/>
          </w:tcPr>
          <w:p w14:paraId="72C7DDCE"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3</w:t>
            </w:r>
          </w:p>
        </w:tc>
        <w:tc>
          <w:tcPr>
            <w:tcW w:w="509" w:type="pct"/>
            <w:tcBorders>
              <w:top w:val="nil"/>
              <w:left w:val="nil"/>
              <w:bottom w:val="nil"/>
              <w:right w:val="single" w:sz="4" w:space="0" w:color="auto"/>
            </w:tcBorders>
            <w:hideMark/>
          </w:tcPr>
          <w:p w14:paraId="78950EEF"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4.4</w:t>
            </w:r>
          </w:p>
        </w:tc>
      </w:tr>
      <w:tr w:rsidR="00692F44" w:rsidRPr="00692F44" w14:paraId="0F2020D0" w14:textId="77777777" w:rsidTr="00AC15B4">
        <w:trPr>
          <w:trHeight w:val="227"/>
          <w:jc w:val="center"/>
        </w:trPr>
        <w:tc>
          <w:tcPr>
            <w:tcW w:w="3547" w:type="pct"/>
            <w:tcBorders>
              <w:top w:val="nil"/>
              <w:left w:val="single" w:sz="4" w:space="0" w:color="auto"/>
              <w:bottom w:val="nil"/>
              <w:right w:val="nil"/>
            </w:tcBorders>
            <w:hideMark/>
          </w:tcPr>
          <w:p w14:paraId="64D1CD6D"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Theme="minorHAnsi" w:hAnsiTheme="minorHAnsi" w:cstheme="minorHAnsi"/>
                <w:sz w:val="18"/>
                <w:szCs w:val="18"/>
                <w:lang w:eastAsia="en-AU"/>
              </w:rPr>
              <w:t>New South Wales</w:t>
            </w:r>
          </w:p>
        </w:tc>
        <w:tc>
          <w:tcPr>
            <w:tcW w:w="944" w:type="pct"/>
            <w:tcBorders>
              <w:top w:val="nil"/>
              <w:left w:val="nil"/>
              <w:bottom w:val="nil"/>
              <w:right w:val="nil"/>
            </w:tcBorders>
            <w:hideMark/>
          </w:tcPr>
          <w:p w14:paraId="5FC2BFBD"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13</w:t>
            </w:r>
          </w:p>
        </w:tc>
        <w:tc>
          <w:tcPr>
            <w:tcW w:w="509" w:type="pct"/>
            <w:tcBorders>
              <w:top w:val="nil"/>
              <w:left w:val="nil"/>
              <w:bottom w:val="nil"/>
              <w:right w:val="single" w:sz="4" w:space="0" w:color="auto"/>
            </w:tcBorders>
            <w:hideMark/>
          </w:tcPr>
          <w:p w14:paraId="4D429A23"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19.1</w:t>
            </w:r>
          </w:p>
        </w:tc>
      </w:tr>
      <w:tr w:rsidR="00692F44" w:rsidRPr="00692F44" w14:paraId="7715EB4B" w14:textId="77777777" w:rsidTr="00AC15B4">
        <w:trPr>
          <w:trHeight w:val="227"/>
          <w:jc w:val="center"/>
        </w:trPr>
        <w:tc>
          <w:tcPr>
            <w:tcW w:w="3547" w:type="pct"/>
            <w:tcBorders>
              <w:top w:val="nil"/>
              <w:left w:val="single" w:sz="4" w:space="0" w:color="auto"/>
              <w:bottom w:val="nil"/>
              <w:right w:val="nil"/>
            </w:tcBorders>
            <w:hideMark/>
          </w:tcPr>
          <w:p w14:paraId="5E9774D9"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Theme="minorHAnsi" w:hAnsiTheme="minorHAnsi" w:cstheme="minorHAnsi"/>
                <w:sz w:val="18"/>
                <w:szCs w:val="18"/>
                <w:lang w:eastAsia="en-AU"/>
              </w:rPr>
              <w:t>Northern Territory</w:t>
            </w:r>
          </w:p>
        </w:tc>
        <w:tc>
          <w:tcPr>
            <w:tcW w:w="944" w:type="pct"/>
            <w:tcBorders>
              <w:top w:val="nil"/>
              <w:left w:val="nil"/>
              <w:bottom w:val="nil"/>
              <w:right w:val="nil"/>
            </w:tcBorders>
            <w:hideMark/>
          </w:tcPr>
          <w:p w14:paraId="736A85E4"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3</w:t>
            </w:r>
          </w:p>
        </w:tc>
        <w:tc>
          <w:tcPr>
            <w:tcW w:w="509" w:type="pct"/>
            <w:tcBorders>
              <w:top w:val="nil"/>
              <w:left w:val="nil"/>
              <w:bottom w:val="nil"/>
              <w:right w:val="single" w:sz="4" w:space="0" w:color="auto"/>
            </w:tcBorders>
            <w:hideMark/>
          </w:tcPr>
          <w:p w14:paraId="589F6C98"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4.4</w:t>
            </w:r>
          </w:p>
        </w:tc>
      </w:tr>
      <w:tr w:rsidR="00692F44" w:rsidRPr="00692F44" w14:paraId="21DEA90E" w14:textId="77777777" w:rsidTr="00AC15B4">
        <w:trPr>
          <w:trHeight w:val="227"/>
          <w:jc w:val="center"/>
        </w:trPr>
        <w:tc>
          <w:tcPr>
            <w:tcW w:w="3547" w:type="pct"/>
            <w:tcBorders>
              <w:top w:val="nil"/>
              <w:left w:val="single" w:sz="4" w:space="0" w:color="auto"/>
              <w:bottom w:val="nil"/>
              <w:right w:val="nil"/>
            </w:tcBorders>
            <w:hideMark/>
          </w:tcPr>
          <w:p w14:paraId="1EF0818D"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Theme="minorHAnsi" w:hAnsiTheme="minorHAnsi" w:cstheme="minorHAnsi"/>
                <w:sz w:val="18"/>
                <w:szCs w:val="18"/>
                <w:lang w:eastAsia="en-AU"/>
              </w:rPr>
              <w:t>Queensland</w:t>
            </w:r>
          </w:p>
        </w:tc>
        <w:tc>
          <w:tcPr>
            <w:tcW w:w="944" w:type="pct"/>
            <w:tcBorders>
              <w:top w:val="nil"/>
              <w:left w:val="nil"/>
              <w:bottom w:val="nil"/>
              <w:right w:val="nil"/>
            </w:tcBorders>
            <w:hideMark/>
          </w:tcPr>
          <w:p w14:paraId="0BA6C7E1"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10</w:t>
            </w:r>
          </w:p>
        </w:tc>
        <w:tc>
          <w:tcPr>
            <w:tcW w:w="509" w:type="pct"/>
            <w:tcBorders>
              <w:top w:val="nil"/>
              <w:left w:val="nil"/>
              <w:bottom w:val="nil"/>
              <w:right w:val="single" w:sz="4" w:space="0" w:color="auto"/>
            </w:tcBorders>
            <w:hideMark/>
          </w:tcPr>
          <w:p w14:paraId="184ECB6C"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14.7</w:t>
            </w:r>
          </w:p>
        </w:tc>
      </w:tr>
      <w:tr w:rsidR="00692F44" w:rsidRPr="00692F44" w14:paraId="057BE052" w14:textId="77777777" w:rsidTr="00AC15B4">
        <w:trPr>
          <w:trHeight w:val="227"/>
          <w:jc w:val="center"/>
        </w:trPr>
        <w:tc>
          <w:tcPr>
            <w:tcW w:w="3547" w:type="pct"/>
            <w:tcBorders>
              <w:top w:val="nil"/>
              <w:left w:val="single" w:sz="4" w:space="0" w:color="auto"/>
              <w:bottom w:val="nil"/>
              <w:right w:val="nil"/>
            </w:tcBorders>
            <w:hideMark/>
          </w:tcPr>
          <w:p w14:paraId="7608481D"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Theme="minorHAnsi" w:hAnsiTheme="minorHAnsi" w:cstheme="minorHAnsi"/>
                <w:sz w:val="18"/>
                <w:szCs w:val="18"/>
                <w:lang w:eastAsia="en-AU"/>
              </w:rPr>
              <w:t>South Australia</w:t>
            </w:r>
          </w:p>
        </w:tc>
        <w:tc>
          <w:tcPr>
            <w:tcW w:w="944" w:type="pct"/>
            <w:tcBorders>
              <w:top w:val="nil"/>
              <w:left w:val="nil"/>
              <w:bottom w:val="nil"/>
              <w:right w:val="nil"/>
            </w:tcBorders>
            <w:hideMark/>
          </w:tcPr>
          <w:p w14:paraId="36C36C0F"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3</w:t>
            </w:r>
          </w:p>
        </w:tc>
        <w:tc>
          <w:tcPr>
            <w:tcW w:w="509" w:type="pct"/>
            <w:tcBorders>
              <w:top w:val="nil"/>
              <w:left w:val="nil"/>
              <w:bottom w:val="nil"/>
              <w:right w:val="single" w:sz="4" w:space="0" w:color="auto"/>
            </w:tcBorders>
            <w:hideMark/>
          </w:tcPr>
          <w:p w14:paraId="0215481B"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4.4</w:t>
            </w:r>
          </w:p>
        </w:tc>
      </w:tr>
      <w:tr w:rsidR="00692F44" w:rsidRPr="00692F44" w14:paraId="22663E19" w14:textId="77777777" w:rsidTr="00AC15B4">
        <w:trPr>
          <w:trHeight w:val="227"/>
          <w:jc w:val="center"/>
        </w:trPr>
        <w:tc>
          <w:tcPr>
            <w:tcW w:w="3547" w:type="pct"/>
            <w:tcBorders>
              <w:top w:val="nil"/>
              <w:left w:val="single" w:sz="4" w:space="0" w:color="auto"/>
              <w:bottom w:val="nil"/>
              <w:right w:val="nil"/>
            </w:tcBorders>
            <w:hideMark/>
          </w:tcPr>
          <w:p w14:paraId="7C595938"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Theme="minorHAnsi" w:hAnsiTheme="minorHAnsi" w:cstheme="minorHAnsi"/>
                <w:sz w:val="18"/>
                <w:szCs w:val="18"/>
                <w:lang w:eastAsia="en-AU"/>
              </w:rPr>
              <w:t>Tasmania</w:t>
            </w:r>
          </w:p>
        </w:tc>
        <w:tc>
          <w:tcPr>
            <w:tcW w:w="944" w:type="pct"/>
            <w:tcBorders>
              <w:top w:val="nil"/>
              <w:left w:val="nil"/>
              <w:bottom w:val="nil"/>
              <w:right w:val="nil"/>
            </w:tcBorders>
            <w:hideMark/>
          </w:tcPr>
          <w:p w14:paraId="0AC0A95B"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6</w:t>
            </w:r>
          </w:p>
        </w:tc>
        <w:tc>
          <w:tcPr>
            <w:tcW w:w="509" w:type="pct"/>
            <w:tcBorders>
              <w:top w:val="nil"/>
              <w:left w:val="nil"/>
              <w:bottom w:val="nil"/>
              <w:right w:val="single" w:sz="4" w:space="0" w:color="auto"/>
            </w:tcBorders>
            <w:hideMark/>
          </w:tcPr>
          <w:p w14:paraId="1C2DC188"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8.8</w:t>
            </w:r>
          </w:p>
        </w:tc>
      </w:tr>
      <w:tr w:rsidR="00692F44" w:rsidRPr="00692F44" w14:paraId="697E175A" w14:textId="77777777" w:rsidTr="00AC15B4">
        <w:trPr>
          <w:trHeight w:val="227"/>
          <w:jc w:val="center"/>
        </w:trPr>
        <w:tc>
          <w:tcPr>
            <w:tcW w:w="3547" w:type="pct"/>
            <w:tcBorders>
              <w:top w:val="nil"/>
              <w:left w:val="single" w:sz="4" w:space="0" w:color="auto"/>
              <w:bottom w:val="nil"/>
              <w:right w:val="nil"/>
            </w:tcBorders>
            <w:hideMark/>
          </w:tcPr>
          <w:p w14:paraId="476907B1"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Theme="minorHAnsi" w:hAnsiTheme="minorHAnsi" w:cstheme="minorHAnsi"/>
                <w:sz w:val="18"/>
                <w:szCs w:val="18"/>
                <w:lang w:eastAsia="en-AU"/>
              </w:rPr>
              <w:t>Victoria</w:t>
            </w:r>
          </w:p>
        </w:tc>
        <w:tc>
          <w:tcPr>
            <w:tcW w:w="944" w:type="pct"/>
            <w:tcBorders>
              <w:top w:val="nil"/>
              <w:left w:val="nil"/>
              <w:bottom w:val="nil"/>
              <w:right w:val="nil"/>
            </w:tcBorders>
            <w:hideMark/>
          </w:tcPr>
          <w:p w14:paraId="2358FD80"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18</w:t>
            </w:r>
          </w:p>
        </w:tc>
        <w:tc>
          <w:tcPr>
            <w:tcW w:w="509" w:type="pct"/>
            <w:tcBorders>
              <w:top w:val="nil"/>
              <w:left w:val="nil"/>
              <w:bottom w:val="nil"/>
              <w:right w:val="single" w:sz="4" w:space="0" w:color="auto"/>
            </w:tcBorders>
            <w:hideMark/>
          </w:tcPr>
          <w:p w14:paraId="2801D611"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26.5</w:t>
            </w:r>
          </w:p>
        </w:tc>
      </w:tr>
      <w:tr w:rsidR="00692F44" w:rsidRPr="00692F44" w14:paraId="031F24AF" w14:textId="77777777" w:rsidTr="00AC15B4">
        <w:trPr>
          <w:trHeight w:val="227"/>
          <w:jc w:val="center"/>
        </w:trPr>
        <w:tc>
          <w:tcPr>
            <w:tcW w:w="3547" w:type="pct"/>
            <w:tcBorders>
              <w:top w:val="nil"/>
              <w:left w:val="single" w:sz="4" w:space="0" w:color="auto"/>
              <w:bottom w:val="nil"/>
              <w:right w:val="nil"/>
            </w:tcBorders>
            <w:hideMark/>
          </w:tcPr>
          <w:p w14:paraId="2552B4FC"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Theme="minorHAnsi" w:hAnsiTheme="minorHAnsi" w:cstheme="minorHAnsi"/>
                <w:sz w:val="18"/>
                <w:szCs w:val="18"/>
                <w:lang w:eastAsia="en-AU"/>
              </w:rPr>
              <w:t>Western Australia</w:t>
            </w:r>
          </w:p>
        </w:tc>
        <w:tc>
          <w:tcPr>
            <w:tcW w:w="944" w:type="pct"/>
            <w:tcBorders>
              <w:top w:val="nil"/>
              <w:left w:val="nil"/>
              <w:bottom w:val="nil"/>
              <w:right w:val="nil"/>
            </w:tcBorders>
            <w:hideMark/>
          </w:tcPr>
          <w:p w14:paraId="70F5E07D"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1</w:t>
            </w:r>
          </w:p>
        </w:tc>
        <w:tc>
          <w:tcPr>
            <w:tcW w:w="509" w:type="pct"/>
            <w:tcBorders>
              <w:top w:val="nil"/>
              <w:left w:val="nil"/>
              <w:bottom w:val="nil"/>
              <w:right w:val="single" w:sz="4" w:space="0" w:color="auto"/>
            </w:tcBorders>
            <w:hideMark/>
          </w:tcPr>
          <w:p w14:paraId="23B21D6A"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1.5</w:t>
            </w:r>
          </w:p>
        </w:tc>
      </w:tr>
      <w:tr w:rsidR="00692F44" w:rsidRPr="00692F44" w14:paraId="2AE666C6" w14:textId="77777777" w:rsidTr="00AC15B4">
        <w:trPr>
          <w:trHeight w:val="227"/>
          <w:jc w:val="center"/>
        </w:trPr>
        <w:tc>
          <w:tcPr>
            <w:tcW w:w="3547" w:type="pct"/>
            <w:tcBorders>
              <w:top w:val="nil"/>
              <w:left w:val="single" w:sz="4" w:space="0" w:color="auto"/>
              <w:bottom w:val="nil"/>
              <w:right w:val="nil"/>
            </w:tcBorders>
            <w:hideMark/>
          </w:tcPr>
          <w:p w14:paraId="5CCEF163"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Theme="minorHAnsi" w:hAnsiTheme="minorHAnsi" w:cstheme="minorHAnsi"/>
                <w:sz w:val="18"/>
                <w:szCs w:val="18"/>
                <w:lang w:eastAsia="en-AU"/>
              </w:rPr>
              <w:t>Overseas</w:t>
            </w:r>
          </w:p>
        </w:tc>
        <w:tc>
          <w:tcPr>
            <w:tcW w:w="944" w:type="pct"/>
            <w:tcBorders>
              <w:top w:val="nil"/>
              <w:left w:val="nil"/>
              <w:bottom w:val="nil"/>
              <w:right w:val="nil"/>
            </w:tcBorders>
            <w:hideMark/>
          </w:tcPr>
          <w:p w14:paraId="0A0F5C6E" w14:textId="77777777" w:rsidR="00692F44" w:rsidRPr="00692F44" w:rsidRDefault="00692F44" w:rsidP="00692F44">
            <w:pPr>
              <w:snapToGrid w:val="0"/>
              <w:jc w:val="center"/>
              <w:rPr>
                <w:rFonts w:ascii="Calibri" w:hAnsi="Calibri" w:cs="Calibri"/>
                <w:color w:val="000000"/>
                <w:sz w:val="18"/>
                <w:szCs w:val="18"/>
                <w:lang w:eastAsia="en-AU"/>
              </w:rPr>
            </w:pPr>
            <w:r w:rsidRPr="00692F44">
              <w:rPr>
                <w:rFonts w:ascii="Calibri" w:hAnsi="Calibri" w:cs="Calibri"/>
                <w:color w:val="000000"/>
                <w:sz w:val="18"/>
                <w:szCs w:val="18"/>
                <w:lang w:eastAsia="en-AU"/>
              </w:rPr>
              <w:t>2</w:t>
            </w:r>
          </w:p>
        </w:tc>
        <w:tc>
          <w:tcPr>
            <w:tcW w:w="509" w:type="pct"/>
            <w:tcBorders>
              <w:top w:val="nil"/>
              <w:left w:val="nil"/>
              <w:bottom w:val="nil"/>
              <w:right w:val="single" w:sz="4" w:space="0" w:color="auto"/>
            </w:tcBorders>
            <w:hideMark/>
          </w:tcPr>
          <w:p w14:paraId="0A599CF0" w14:textId="77777777" w:rsidR="00692F44" w:rsidRPr="00692F44" w:rsidRDefault="00692F44" w:rsidP="00692F44">
            <w:pPr>
              <w:snapToGrid w:val="0"/>
              <w:jc w:val="center"/>
              <w:rPr>
                <w:rFonts w:asciiTheme="minorHAnsi" w:hAnsiTheme="minorHAnsi" w:cstheme="minorHAnsi"/>
                <w:color w:val="000000"/>
                <w:sz w:val="18"/>
                <w:szCs w:val="18"/>
                <w:highlight w:val="yellow"/>
                <w:lang w:eastAsia="en-AU"/>
              </w:rPr>
            </w:pPr>
            <w:r w:rsidRPr="00692F44">
              <w:rPr>
                <w:rFonts w:asciiTheme="minorHAnsi" w:hAnsiTheme="minorHAnsi" w:cstheme="minorHAnsi"/>
                <w:sz w:val="18"/>
                <w:szCs w:val="18"/>
                <w:lang w:eastAsia="en-US"/>
              </w:rPr>
              <w:t>2.9</w:t>
            </w:r>
          </w:p>
        </w:tc>
      </w:tr>
      <w:tr w:rsidR="00692F44" w:rsidRPr="00692F44" w14:paraId="7E9455D1" w14:textId="77777777" w:rsidTr="00AC15B4">
        <w:trPr>
          <w:trHeight w:val="227"/>
          <w:jc w:val="center"/>
        </w:trPr>
        <w:tc>
          <w:tcPr>
            <w:tcW w:w="3547" w:type="pct"/>
            <w:tcBorders>
              <w:top w:val="nil"/>
              <w:left w:val="single" w:sz="4" w:space="0" w:color="auto"/>
              <w:bottom w:val="nil"/>
              <w:right w:val="nil"/>
            </w:tcBorders>
            <w:hideMark/>
          </w:tcPr>
          <w:p w14:paraId="64018D9F"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Theme="minorHAnsi" w:hAnsiTheme="minorHAnsi" w:cstheme="minorHAnsi"/>
                <w:sz w:val="18"/>
                <w:szCs w:val="18"/>
                <w:lang w:eastAsia="en-AU"/>
              </w:rPr>
              <w:t>Not answered</w:t>
            </w:r>
          </w:p>
        </w:tc>
        <w:tc>
          <w:tcPr>
            <w:tcW w:w="944" w:type="pct"/>
            <w:tcBorders>
              <w:top w:val="nil"/>
              <w:left w:val="nil"/>
              <w:bottom w:val="nil"/>
              <w:right w:val="nil"/>
            </w:tcBorders>
            <w:hideMark/>
          </w:tcPr>
          <w:p w14:paraId="2AA308D8"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9</w:t>
            </w:r>
          </w:p>
        </w:tc>
        <w:tc>
          <w:tcPr>
            <w:tcW w:w="509" w:type="pct"/>
            <w:tcBorders>
              <w:top w:val="nil"/>
              <w:left w:val="nil"/>
              <w:bottom w:val="nil"/>
              <w:right w:val="single" w:sz="4" w:space="0" w:color="auto"/>
            </w:tcBorders>
            <w:hideMark/>
          </w:tcPr>
          <w:p w14:paraId="4B971884"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13.2</w:t>
            </w:r>
          </w:p>
        </w:tc>
      </w:tr>
      <w:tr w:rsidR="00692F44" w:rsidRPr="00692F44" w14:paraId="5D6C1DC3" w14:textId="77777777" w:rsidTr="0098021D">
        <w:trPr>
          <w:trHeight w:val="227"/>
          <w:jc w:val="center"/>
        </w:trPr>
        <w:tc>
          <w:tcPr>
            <w:tcW w:w="3547" w:type="pct"/>
            <w:tcBorders>
              <w:top w:val="single" w:sz="4" w:space="0" w:color="auto"/>
              <w:left w:val="single" w:sz="4" w:space="0" w:color="auto"/>
              <w:bottom w:val="nil"/>
              <w:right w:val="nil"/>
            </w:tcBorders>
            <w:hideMark/>
          </w:tcPr>
          <w:p w14:paraId="1BAD3946" w14:textId="77777777" w:rsidR="00692F44" w:rsidRPr="00692F44" w:rsidRDefault="00692F44" w:rsidP="00692F44">
            <w:pPr>
              <w:snapToGrid w:val="0"/>
              <w:rPr>
                <w:rFonts w:asciiTheme="minorHAnsi" w:hAnsiTheme="minorHAnsi" w:cstheme="minorHAnsi"/>
                <w:b/>
                <w:bCs/>
                <w:sz w:val="18"/>
                <w:szCs w:val="18"/>
                <w:lang w:eastAsia="en-AU"/>
              </w:rPr>
            </w:pPr>
            <w:r w:rsidRPr="00692F44">
              <w:rPr>
                <w:rFonts w:asciiTheme="minorHAnsi" w:hAnsiTheme="minorHAnsi" w:cstheme="minorHAnsi"/>
                <w:b/>
                <w:bCs/>
                <w:sz w:val="18"/>
                <w:szCs w:val="18"/>
                <w:lang w:eastAsia="en-AU"/>
              </w:rPr>
              <w:t>Indigenous status</w:t>
            </w:r>
          </w:p>
        </w:tc>
        <w:tc>
          <w:tcPr>
            <w:tcW w:w="944" w:type="pct"/>
            <w:tcBorders>
              <w:top w:val="single" w:sz="4" w:space="0" w:color="auto"/>
              <w:left w:val="nil"/>
              <w:bottom w:val="nil"/>
              <w:right w:val="nil"/>
            </w:tcBorders>
          </w:tcPr>
          <w:p w14:paraId="5F7B0021" w14:textId="77777777" w:rsidR="00692F44" w:rsidRPr="00692F44" w:rsidRDefault="00692F44" w:rsidP="00692F44">
            <w:pPr>
              <w:snapToGrid w:val="0"/>
              <w:jc w:val="center"/>
              <w:rPr>
                <w:rFonts w:asciiTheme="minorHAnsi" w:hAnsiTheme="minorHAnsi" w:cstheme="minorHAnsi"/>
                <w:b/>
                <w:bCs/>
                <w:sz w:val="18"/>
                <w:szCs w:val="18"/>
                <w:lang w:eastAsia="en-AU"/>
              </w:rPr>
            </w:pPr>
          </w:p>
        </w:tc>
        <w:tc>
          <w:tcPr>
            <w:tcW w:w="509" w:type="pct"/>
            <w:tcBorders>
              <w:top w:val="single" w:sz="4" w:space="0" w:color="auto"/>
              <w:left w:val="nil"/>
              <w:bottom w:val="nil"/>
              <w:right w:val="single" w:sz="4" w:space="0" w:color="auto"/>
            </w:tcBorders>
          </w:tcPr>
          <w:p w14:paraId="0CC0D9B1" w14:textId="77777777" w:rsidR="00692F44" w:rsidRPr="00692F44" w:rsidRDefault="00692F44" w:rsidP="00692F44">
            <w:pPr>
              <w:snapToGrid w:val="0"/>
              <w:jc w:val="center"/>
              <w:rPr>
                <w:rFonts w:asciiTheme="minorHAnsi" w:hAnsiTheme="minorHAnsi" w:cstheme="minorHAnsi"/>
                <w:b/>
                <w:bCs/>
                <w:sz w:val="18"/>
                <w:szCs w:val="18"/>
                <w:lang w:eastAsia="en-AU"/>
              </w:rPr>
            </w:pPr>
          </w:p>
        </w:tc>
      </w:tr>
      <w:tr w:rsidR="00692F44" w:rsidRPr="00692F44" w14:paraId="7186B1F6" w14:textId="77777777" w:rsidTr="00AC15B4">
        <w:trPr>
          <w:trHeight w:val="227"/>
          <w:jc w:val="center"/>
        </w:trPr>
        <w:tc>
          <w:tcPr>
            <w:tcW w:w="3547" w:type="pct"/>
            <w:tcBorders>
              <w:top w:val="nil"/>
              <w:left w:val="single" w:sz="4" w:space="0" w:color="auto"/>
              <w:bottom w:val="nil"/>
              <w:right w:val="nil"/>
            </w:tcBorders>
            <w:hideMark/>
          </w:tcPr>
          <w:p w14:paraId="17BEA01A"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Theme="minorHAnsi" w:hAnsiTheme="minorHAnsi" w:cstheme="minorHAnsi"/>
                <w:sz w:val="18"/>
                <w:szCs w:val="18"/>
                <w:lang w:eastAsia="en-AU"/>
              </w:rPr>
              <w:t>Aboriginal</w:t>
            </w:r>
          </w:p>
        </w:tc>
        <w:tc>
          <w:tcPr>
            <w:tcW w:w="944" w:type="pct"/>
            <w:tcBorders>
              <w:top w:val="nil"/>
              <w:left w:val="nil"/>
              <w:bottom w:val="nil"/>
              <w:right w:val="nil"/>
            </w:tcBorders>
            <w:hideMark/>
          </w:tcPr>
          <w:p w14:paraId="0710CC42"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4</w:t>
            </w:r>
          </w:p>
        </w:tc>
        <w:tc>
          <w:tcPr>
            <w:tcW w:w="509" w:type="pct"/>
            <w:tcBorders>
              <w:top w:val="nil"/>
              <w:left w:val="nil"/>
              <w:bottom w:val="nil"/>
              <w:right w:val="single" w:sz="4" w:space="0" w:color="auto"/>
            </w:tcBorders>
            <w:hideMark/>
          </w:tcPr>
          <w:p w14:paraId="2A78A60B"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5.9</w:t>
            </w:r>
          </w:p>
        </w:tc>
      </w:tr>
      <w:tr w:rsidR="00692F44" w:rsidRPr="00692F44" w14:paraId="7CC752EC" w14:textId="77777777" w:rsidTr="0098021D">
        <w:trPr>
          <w:trHeight w:val="227"/>
          <w:jc w:val="center"/>
        </w:trPr>
        <w:tc>
          <w:tcPr>
            <w:tcW w:w="3547" w:type="pct"/>
            <w:tcBorders>
              <w:top w:val="nil"/>
              <w:left w:val="single" w:sz="4" w:space="0" w:color="auto"/>
              <w:bottom w:val="nil"/>
              <w:right w:val="nil"/>
            </w:tcBorders>
            <w:hideMark/>
          </w:tcPr>
          <w:p w14:paraId="57660C86"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Theme="minorHAnsi" w:hAnsiTheme="minorHAnsi" w:cstheme="minorHAnsi"/>
                <w:sz w:val="18"/>
                <w:szCs w:val="18"/>
                <w:lang w:eastAsia="en-AU"/>
              </w:rPr>
              <w:t>Torres Strait Islander</w:t>
            </w:r>
          </w:p>
        </w:tc>
        <w:tc>
          <w:tcPr>
            <w:tcW w:w="944" w:type="pct"/>
            <w:tcBorders>
              <w:top w:val="nil"/>
              <w:left w:val="nil"/>
              <w:bottom w:val="nil"/>
              <w:right w:val="nil"/>
            </w:tcBorders>
            <w:hideMark/>
          </w:tcPr>
          <w:p w14:paraId="00FB48B9"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Theme="minorHAnsi" w:hAnsiTheme="minorHAnsi" w:cstheme="minorHAnsi"/>
                <w:sz w:val="18"/>
                <w:szCs w:val="18"/>
                <w:lang w:eastAsia="en-AU"/>
              </w:rPr>
              <w:t>0</w:t>
            </w:r>
          </w:p>
        </w:tc>
        <w:tc>
          <w:tcPr>
            <w:tcW w:w="509" w:type="pct"/>
            <w:tcBorders>
              <w:top w:val="nil"/>
              <w:left w:val="nil"/>
              <w:bottom w:val="nil"/>
              <w:right w:val="single" w:sz="4" w:space="0" w:color="auto"/>
            </w:tcBorders>
            <w:hideMark/>
          </w:tcPr>
          <w:p w14:paraId="4321A518"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Theme="minorHAnsi" w:hAnsiTheme="minorHAnsi" w:cstheme="minorHAnsi"/>
                <w:sz w:val="18"/>
                <w:szCs w:val="18"/>
                <w:lang w:eastAsia="en-AU"/>
              </w:rPr>
              <w:t>0</w:t>
            </w:r>
          </w:p>
        </w:tc>
      </w:tr>
      <w:tr w:rsidR="00692F44" w:rsidRPr="00692F44" w14:paraId="00F2B472" w14:textId="77777777" w:rsidTr="0098021D">
        <w:trPr>
          <w:trHeight w:val="227"/>
          <w:jc w:val="center"/>
        </w:trPr>
        <w:tc>
          <w:tcPr>
            <w:tcW w:w="3547" w:type="pct"/>
            <w:tcBorders>
              <w:top w:val="nil"/>
              <w:left w:val="single" w:sz="4" w:space="0" w:color="auto"/>
              <w:bottom w:val="nil"/>
              <w:right w:val="nil"/>
            </w:tcBorders>
            <w:hideMark/>
          </w:tcPr>
          <w:p w14:paraId="05C51ECD"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Theme="minorHAnsi" w:hAnsiTheme="minorHAnsi" w:cstheme="minorHAnsi"/>
                <w:sz w:val="18"/>
                <w:szCs w:val="18"/>
                <w:lang w:eastAsia="en-AU"/>
              </w:rPr>
              <w:t>Both Aboriginal and Torres Strait Islander</w:t>
            </w:r>
          </w:p>
        </w:tc>
        <w:tc>
          <w:tcPr>
            <w:tcW w:w="944" w:type="pct"/>
            <w:tcBorders>
              <w:top w:val="nil"/>
              <w:left w:val="nil"/>
              <w:bottom w:val="nil"/>
              <w:right w:val="nil"/>
            </w:tcBorders>
            <w:hideMark/>
          </w:tcPr>
          <w:p w14:paraId="763B43B6"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Theme="minorHAnsi" w:hAnsiTheme="minorHAnsi" w:cstheme="minorHAnsi"/>
                <w:sz w:val="18"/>
                <w:szCs w:val="18"/>
                <w:lang w:eastAsia="en-AU"/>
              </w:rPr>
              <w:t>0</w:t>
            </w:r>
          </w:p>
        </w:tc>
        <w:tc>
          <w:tcPr>
            <w:tcW w:w="509" w:type="pct"/>
            <w:tcBorders>
              <w:top w:val="nil"/>
              <w:left w:val="nil"/>
              <w:bottom w:val="nil"/>
              <w:right w:val="single" w:sz="4" w:space="0" w:color="auto"/>
            </w:tcBorders>
            <w:hideMark/>
          </w:tcPr>
          <w:p w14:paraId="5AA18185"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Theme="minorHAnsi" w:hAnsiTheme="minorHAnsi" w:cstheme="minorHAnsi"/>
                <w:sz w:val="18"/>
                <w:szCs w:val="18"/>
                <w:lang w:eastAsia="en-AU"/>
              </w:rPr>
              <w:t>0</w:t>
            </w:r>
          </w:p>
        </w:tc>
      </w:tr>
      <w:tr w:rsidR="00692F44" w:rsidRPr="00692F44" w14:paraId="49C96795" w14:textId="77777777" w:rsidTr="00AC15B4">
        <w:trPr>
          <w:trHeight w:val="227"/>
          <w:jc w:val="center"/>
        </w:trPr>
        <w:tc>
          <w:tcPr>
            <w:tcW w:w="3547" w:type="pct"/>
            <w:tcBorders>
              <w:top w:val="nil"/>
              <w:left w:val="single" w:sz="4" w:space="0" w:color="auto"/>
              <w:bottom w:val="nil"/>
              <w:right w:val="nil"/>
            </w:tcBorders>
            <w:hideMark/>
          </w:tcPr>
          <w:p w14:paraId="7A0126D1"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Theme="minorHAnsi" w:hAnsiTheme="minorHAnsi" w:cstheme="minorHAnsi"/>
                <w:sz w:val="18"/>
                <w:szCs w:val="18"/>
                <w:lang w:eastAsia="en-AU"/>
              </w:rPr>
              <w:t>Neither Aboriginal nor Torres Strait Islander</w:t>
            </w:r>
          </w:p>
        </w:tc>
        <w:tc>
          <w:tcPr>
            <w:tcW w:w="944" w:type="pct"/>
            <w:tcBorders>
              <w:top w:val="nil"/>
              <w:left w:val="nil"/>
              <w:bottom w:val="nil"/>
              <w:right w:val="nil"/>
            </w:tcBorders>
            <w:hideMark/>
          </w:tcPr>
          <w:p w14:paraId="193B22FB"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55</w:t>
            </w:r>
          </w:p>
        </w:tc>
        <w:tc>
          <w:tcPr>
            <w:tcW w:w="509" w:type="pct"/>
            <w:tcBorders>
              <w:top w:val="nil"/>
              <w:left w:val="nil"/>
              <w:bottom w:val="nil"/>
              <w:right w:val="single" w:sz="4" w:space="0" w:color="auto"/>
            </w:tcBorders>
            <w:hideMark/>
          </w:tcPr>
          <w:p w14:paraId="0CB9AA5D"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80.9</w:t>
            </w:r>
          </w:p>
        </w:tc>
      </w:tr>
      <w:tr w:rsidR="00692F44" w:rsidRPr="00692F44" w14:paraId="44D803D6" w14:textId="77777777" w:rsidTr="00AC15B4">
        <w:trPr>
          <w:trHeight w:val="227"/>
          <w:jc w:val="center"/>
        </w:trPr>
        <w:tc>
          <w:tcPr>
            <w:tcW w:w="3547" w:type="pct"/>
            <w:tcBorders>
              <w:top w:val="nil"/>
              <w:left w:val="single" w:sz="4" w:space="0" w:color="auto"/>
              <w:bottom w:val="single" w:sz="4" w:space="0" w:color="auto"/>
              <w:right w:val="nil"/>
            </w:tcBorders>
            <w:hideMark/>
          </w:tcPr>
          <w:p w14:paraId="4E97A901" w14:textId="77777777" w:rsidR="00692F44" w:rsidRPr="00692F44" w:rsidRDefault="00692F44" w:rsidP="00692F44">
            <w:pPr>
              <w:snapToGrid w:val="0"/>
              <w:ind w:left="321"/>
              <w:rPr>
                <w:rFonts w:asciiTheme="minorHAnsi" w:hAnsiTheme="minorHAnsi" w:cstheme="minorHAnsi"/>
                <w:sz w:val="18"/>
                <w:szCs w:val="18"/>
                <w:lang w:eastAsia="en-AU"/>
              </w:rPr>
            </w:pPr>
            <w:r w:rsidRPr="00692F44">
              <w:rPr>
                <w:rFonts w:asciiTheme="minorHAnsi" w:hAnsiTheme="minorHAnsi" w:cstheme="minorHAnsi"/>
                <w:sz w:val="18"/>
                <w:szCs w:val="18"/>
                <w:lang w:eastAsia="en-AU"/>
              </w:rPr>
              <w:t>Not answered</w:t>
            </w:r>
          </w:p>
        </w:tc>
        <w:tc>
          <w:tcPr>
            <w:tcW w:w="944" w:type="pct"/>
            <w:tcBorders>
              <w:top w:val="nil"/>
              <w:left w:val="nil"/>
              <w:bottom w:val="single" w:sz="4" w:space="0" w:color="auto"/>
              <w:right w:val="nil"/>
            </w:tcBorders>
            <w:hideMark/>
          </w:tcPr>
          <w:p w14:paraId="2B3B5817"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9</w:t>
            </w:r>
          </w:p>
        </w:tc>
        <w:tc>
          <w:tcPr>
            <w:tcW w:w="509" w:type="pct"/>
            <w:tcBorders>
              <w:top w:val="nil"/>
              <w:left w:val="nil"/>
              <w:bottom w:val="single" w:sz="4" w:space="0" w:color="auto"/>
              <w:right w:val="single" w:sz="4" w:space="0" w:color="auto"/>
            </w:tcBorders>
            <w:hideMark/>
          </w:tcPr>
          <w:p w14:paraId="1EAF4432"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13.2</w:t>
            </w:r>
          </w:p>
        </w:tc>
      </w:tr>
      <w:tr w:rsidR="00692F44" w:rsidRPr="00692F44" w14:paraId="07AECF4C" w14:textId="77777777" w:rsidTr="0098021D">
        <w:trPr>
          <w:trHeight w:val="227"/>
          <w:jc w:val="center"/>
        </w:trPr>
        <w:tc>
          <w:tcPr>
            <w:tcW w:w="3547" w:type="pct"/>
            <w:tcBorders>
              <w:top w:val="single" w:sz="4" w:space="0" w:color="auto"/>
              <w:left w:val="single" w:sz="4" w:space="0" w:color="auto"/>
              <w:bottom w:val="nil"/>
              <w:right w:val="nil"/>
            </w:tcBorders>
            <w:hideMark/>
          </w:tcPr>
          <w:p w14:paraId="2E180222" w14:textId="77777777" w:rsidR="00692F44" w:rsidRPr="00692F44" w:rsidRDefault="00692F44" w:rsidP="00692F44">
            <w:pPr>
              <w:snapToGrid w:val="0"/>
              <w:rPr>
                <w:rFonts w:asciiTheme="minorHAnsi" w:hAnsiTheme="minorHAnsi" w:cstheme="minorHAnsi"/>
                <w:b/>
                <w:bCs/>
                <w:sz w:val="18"/>
                <w:szCs w:val="18"/>
                <w:lang w:eastAsia="en-AU"/>
              </w:rPr>
            </w:pPr>
            <w:r w:rsidRPr="00692F44">
              <w:rPr>
                <w:rFonts w:asciiTheme="minorHAnsi" w:hAnsiTheme="minorHAnsi" w:cstheme="minorHAnsi"/>
                <w:b/>
                <w:bCs/>
                <w:sz w:val="18"/>
                <w:szCs w:val="18"/>
                <w:lang w:eastAsia="en-AU"/>
              </w:rPr>
              <w:t>Internet</w:t>
            </w:r>
          </w:p>
        </w:tc>
        <w:tc>
          <w:tcPr>
            <w:tcW w:w="944" w:type="pct"/>
            <w:tcBorders>
              <w:top w:val="single" w:sz="4" w:space="0" w:color="auto"/>
              <w:left w:val="nil"/>
              <w:bottom w:val="nil"/>
              <w:right w:val="nil"/>
            </w:tcBorders>
          </w:tcPr>
          <w:p w14:paraId="6A16A093" w14:textId="77777777" w:rsidR="00692F44" w:rsidRPr="00692F44" w:rsidRDefault="00692F44" w:rsidP="00692F44">
            <w:pPr>
              <w:snapToGrid w:val="0"/>
              <w:jc w:val="center"/>
              <w:rPr>
                <w:rFonts w:asciiTheme="minorHAnsi" w:hAnsiTheme="minorHAnsi" w:cstheme="minorHAnsi"/>
                <w:b/>
                <w:bCs/>
                <w:sz w:val="18"/>
                <w:szCs w:val="18"/>
                <w:lang w:eastAsia="en-AU"/>
              </w:rPr>
            </w:pPr>
          </w:p>
        </w:tc>
        <w:tc>
          <w:tcPr>
            <w:tcW w:w="509" w:type="pct"/>
            <w:tcBorders>
              <w:top w:val="single" w:sz="4" w:space="0" w:color="auto"/>
              <w:left w:val="nil"/>
              <w:bottom w:val="nil"/>
              <w:right w:val="single" w:sz="4" w:space="0" w:color="auto"/>
            </w:tcBorders>
          </w:tcPr>
          <w:p w14:paraId="011B1986" w14:textId="77777777" w:rsidR="00692F44" w:rsidRPr="00692F44" w:rsidRDefault="00692F44" w:rsidP="00692F44">
            <w:pPr>
              <w:snapToGrid w:val="0"/>
              <w:jc w:val="center"/>
              <w:rPr>
                <w:rFonts w:asciiTheme="minorHAnsi" w:hAnsiTheme="minorHAnsi" w:cstheme="minorHAnsi"/>
                <w:b/>
                <w:bCs/>
                <w:sz w:val="18"/>
                <w:szCs w:val="18"/>
                <w:highlight w:val="yellow"/>
                <w:lang w:eastAsia="en-AU"/>
              </w:rPr>
            </w:pPr>
          </w:p>
        </w:tc>
      </w:tr>
      <w:tr w:rsidR="00692F44" w:rsidRPr="00692F44" w14:paraId="0F0D5F60" w14:textId="77777777" w:rsidTr="00AC15B4">
        <w:trPr>
          <w:trHeight w:val="227"/>
          <w:jc w:val="center"/>
        </w:trPr>
        <w:tc>
          <w:tcPr>
            <w:tcW w:w="3547" w:type="pct"/>
            <w:tcBorders>
              <w:top w:val="nil"/>
              <w:left w:val="single" w:sz="4" w:space="0" w:color="auto"/>
              <w:bottom w:val="nil"/>
              <w:right w:val="nil"/>
            </w:tcBorders>
            <w:hideMark/>
          </w:tcPr>
          <w:p w14:paraId="58535121"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Calibri" w:hAnsi="Calibri" w:cs="Calibri"/>
                <w:color w:val="000000"/>
                <w:sz w:val="18"/>
                <w:szCs w:val="18"/>
                <w:lang w:eastAsia="en-AU"/>
              </w:rPr>
              <w:t>ADSL or ADSL2+</w:t>
            </w:r>
          </w:p>
        </w:tc>
        <w:tc>
          <w:tcPr>
            <w:tcW w:w="944" w:type="pct"/>
            <w:tcBorders>
              <w:top w:val="nil"/>
              <w:left w:val="nil"/>
              <w:bottom w:val="nil"/>
              <w:right w:val="nil"/>
            </w:tcBorders>
            <w:hideMark/>
          </w:tcPr>
          <w:p w14:paraId="0F5C3F03"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4</w:t>
            </w:r>
          </w:p>
        </w:tc>
        <w:tc>
          <w:tcPr>
            <w:tcW w:w="509" w:type="pct"/>
            <w:tcBorders>
              <w:top w:val="nil"/>
              <w:left w:val="nil"/>
              <w:bottom w:val="nil"/>
              <w:right w:val="single" w:sz="4" w:space="0" w:color="auto"/>
            </w:tcBorders>
            <w:hideMark/>
          </w:tcPr>
          <w:p w14:paraId="60EA13FB"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5.9</w:t>
            </w:r>
          </w:p>
        </w:tc>
      </w:tr>
      <w:tr w:rsidR="00692F44" w:rsidRPr="00692F44" w14:paraId="1621A03E" w14:textId="77777777" w:rsidTr="00AC15B4">
        <w:trPr>
          <w:trHeight w:val="227"/>
          <w:jc w:val="center"/>
        </w:trPr>
        <w:tc>
          <w:tcPr>
            <w:tcW w:w="3547" w:type="pct"/>
            <w:tcBorders>
              <w:top w:val="nil"/>
              <w:left w:val="single" w:sz="4" w:space="0" w:color="auto"/>
              <w:bottom w:val="nil"/>
              <w:right w:val="nil"/>
            </w:tcBorders>
            <w:hideMark/>
          </w:tcPr>
          <w:p w14:paraId="0F109B87"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Calibri" w:hAnsi="Calibri" w:cs="Calibri"/>
                <w:color w:val="000000"/>
                <w:sz w:val="18"/>
                <w:szCs w:val="18"/>
                <w:lang w:eastAsia="en-AU"/>
              </w:rPr>
              <w:t>Cable</w:t>
            </w:r>
          </w:p>
        </w:tc>
        <w:tc>
          <w:tcPr>
            <w:tcW w:w="944" w:type="pct"/>
            <w:tcBorders>
              <w:top w:val="nil"/>
              <w:left w:val="nil"/>
              <w:bottom w:val="nil"/>
              <w:right w:val="nil"/>
            </w:tcBorders>
            <w:hideMark/>
          </w:tcPr>
          <w:p w14:paraId="0B2B3F9F"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1</w:t>
            </w:r>
          </w:p>
        </w:tc>
        <w:tc>
          <w:tcPr>
            <w:tcW w:w="509" w:type="pct"/>
            <w:tcBorders>
              <w:top w:val="nil"/>
              <w:left w:val="nil"/>
              <w:bottom w:val="nil"/>
              <w:right w:val="single" w:sz="4" w:space="0" w:color="auto"/>
            </w:tcBorders>
            <w:hideMark/>
          </w:tcPr>
          <w:p w14:paraId="1534655F"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1.5</w:t>
            </w:r>
          </w:p>
        </w:tc>
      </w:tr>
      <w:tr w:rsidR="00692F44" w:rsidRPr="00692F44" w14:paraId="4D661E8F" w14:textId="77777777" w:rsidTr="00AC15B4">
        <w:trPr>
          <w:trHeight w:val="227"/>
          <w:jc w:val="center"/>
        </w:trPr>
        <w:tc>
          <w:tcPr>
            <w:tcW w:w="3547" w:type="pct"/>
            <w:tcBorders>
              <w:top w:val="nil"/>
              <w:left w:val="single" w:sz="4" w:space="0" w:color="auto"/>
              <w:bottom w:val="nil"/>
              <w:right w:val="nil"/>
            </w:tcBorders>
            <w:hideMark/>
          </w:tcPr>
          <w:p w14:paraId="230D1CE1"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Calibri" w:hAnsi="Calibri" w:cs="Calibri"/>
                <w:color w:val="000000"/>
                <w:sz w:val="18"/>
                <w:szCs w:val="18"/>
                <w:lang w:eastAsia="en-AU"/>
              </w:rPr>
              <w:t>Mobile Broadband (e.g., hot spot, dongle)</w:t>
            </w:r>
          </w:p>
        </w:tc>
        <w:tc>
          <w:tcPr>
            <w:tcW w:w="944" w:type="pct"/>
            <w:tcBorders>
              <w:top w:val="nil"/>
              <w:left w:val="nil"/>
              <w:bottom w:val="nil"/>
              <w:right w:val="nil"/>
            </w:tcBorders>
            <w:hideMark/>
          </w:tcPr>
          <w:p w14:paraId="4919999D"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2</w:t>
            </w:r>
          </w:p>
        </w:tc>
        <w:tc>
          <w:tcPr>
            <w:tcW w:w="509" w:type="pct"/>
            <w:tcBorders>
              <w:top w:val="nil"/>
              <w:left w:val="nil"/>
              <w:bottom w:val="nil"/>
              <w:right w:val="single" w:sz="4" w:space="0" w:color="auto"/>
            </w:tcBorders>
            <w:hideMark/>
          </w:tcPr>
          <w:p w14:paraId="7626E683"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color w:val="000000"/>
                <w:sz w:val="18"/>
                <w:szCs w:val="18"/>
                <w:lang w:eastAsia="en-AU"/>
              </w:rPr>
              <w:t>2.9</w:t>
            </w:r>
          </w:p>
        </w:tc>
      </w:tr>
      <w:tr w:rsidR="00692F44" w:rsidRPr="00692F44" w14:paraId="63A6D1C3" w14:textId="77777777" w:rsidTr="00AC15B4">
        <w:trPr>
          <w:trHeight w:val="227"/>
          <w:jc w:val="center"/>
        </w:trPr>
        <w:tc>
          <w:tcPr>
            <w:tcW w:w="3547" w:type="pct"/>
            <w:tcBorders>
              <w:top w:val="nil"/>
              <w:left w:val="single" w:sz="4" w:space="0" w:color="auto"/>
              <w:bottom w:val="nil"/>
              <w:right w:val="nil"/>
            </w:tcBorders>
            <w:hideMark/>
          </w:tcPr>
          <w:p w14:paraId="61AF2E3C"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Calibri" w:hAnsi="Calibri" w:cs="Calibri"/>
                <w:color w:val="000000"/>
                <w:sz w:val="18"/>
                <w:szCs w:val="18"/>
                <w:lang w:eastAsia="en-AU"/>
              </w:rPr>
              <w:t>NBN</w:t>
            </w:r>
          </w:p>
        </w:tc>
        <w:tc>
          <w:tcPr>
            <w:tcW w:w="944" w:type="pct"/>
            <w:tcBorders>
              <w:top w:val="nil"/>
              <w:left w:val="nil"/>
              <w:bottom w:val="nil"/>
              <w:right w:val="nil"/>
            </w:tcBorders>
            <w:hideMark/>
          </w:tcPr>
          <w:p w14:paraId="188DAF48"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47</w:t>
            </w:r>
          </w:p>
        </w:tc>
        <w:tc>
          <w:tcPr>
            <w:tcW w:w="509" w:type="pct"/>
            <w:tcBorders>
              <w:top w:val="nil"/>
              <w:left w:val="nil"/>
              <w:bottom w:val="nil"/>
              <w:right w:val="single" w:sz="4" w:space="0" w:color="auto"/>
            </w:tcBorders>
            <w:hideMark/>
          </w:tcPr>
          <w:p w14:paraId="0E8A1DD3"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69.1</w:t>
            </w:r>
          </w:p>
        </w:tc>
      </w:tr>
      <w:tr w:rsidR="00692F44" w:rsidRPr="00692F44" w14:paraId="6DCE5283" w14:textId="77777777" w:rsidTr="00AC15B4">
        <w:trPr>
          <w:trHeight w:val="227"/>
          <w:jc w:val="center"/>
        </w:trPr>
        <w:tc>
          <w:tcPr>
            <w:tcW w:w="3547" w:type="pct"/>
            <w:tcBorders>
              <w:top w:val="nil"/>
              <w:left w:val="single" w:sz="4" w:space="0" w:color="auto"/>
              <w:bottom w:val="nil"/>
              <w:right w:val="nil"/>
            </w:tcBorders>
            <w:hideMark/>
          </w:tcPr>
          <w:p w14:paraId="11CA02D4"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Calibri" w:hAnsi="Calibri" w:cs="Calibri"/>
                <w:color w:val="000000"/>
                <w:sz w:val="18"/>
                <w:szCs w:val="18"/>
                <w:lang w:eastAsia="en-AU"/>
              </w:rPr>
              <w:t>Wireless Router</w:t>
            </w:r>
          </w:p>
        </w:tc>
        <w:tc>
          <w:tcPr>
            <w:tcW w:w="944" w:type="pct"/>
            <w:tcBorders>
              <w:top w:val="nil"/>
              <w:left w:val="nil"/>
              <w:bottom w:val="nil"/>
              <w:right w:val="nil"/>
            </w:tcBorders>
            <w:hideMark/>
          </w:tcPr>
          <w:p w14:paraId="0DDB4274"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4</w:t>
            </w:r>
          </w:p>
        </w:tc>
        <w:tc>
          <w:tcPr>
            <w:tcW w:w="509" w:type="pct"/>
            <w:tcBorders>
              <w:top w:val="nil"/>
              <w:left w:val="nil"/>
              <w:bottom w:val="nil"/>
              <w:right w:val="single" w:sz="4" w:space="0" w:color="auto"/>
            </w:tcBorders>
            <w:hideMark/>
          </w:tcPr>
          <w:p w14:paraId="2F9121E6"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5.9</w:t>
            </w:r>
          </w:p>
        </w:tc>
      </w:tr>
      <w:tr w:rsidR="00692F44" w:rsidRPr="00692F44" w14:paraId="1941A158" w14:textId="77777777" w:rsidTr="00AC15B4">
        <w:trPr>
          <w:trHeight w:val="227"/>
          <w:jc w:val="center"/>
        </w:trPr>
        <w:tc>
          <w:tcPr>
            <w:tcW w:w="3547" w:type="pct"/>
            <w:tcBorders>
              <w:top w:val="nil"/>
              <w:left w:val="single" w:sz="4" w:space="0" w:color="auto"/>
              <w:bottom w:val="nil"/>
              <w:right w:val="nil"/>
            </w:tcBorders>
            <w:hideMark/>
          </w:tcPr>
          <w:p w14:paraId="1F406341"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Calibri" w:hAnsi="Calibri" w:cs="Calibri"/>
                <w:color w:val="000000"/>
                <w:sz w:val="18"/>
                <w:szCs w:val="18"/>
                <w:lang w:eastAsia="en-AU"/>
              </w:rPr>
              <w:t>Other</w:t>
            </w:r>
          </w:p>
        </w:tc>
        <w:tc>
          <w:tcPr>
            <w:tcW w:w="944" w:type="pct"/>
            <w:tcBorders>
              <w:top w:val="nil"/>
              <w:left w:val="nil"/>
              <w:bottom w:val="nil"/>
              <w:right w:val="nil"/>
            </w:tcBorders>
            <w:hideMark/>
          </w:tcPr>
          <w:p w14:paraId="042C6B3D"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2</w:t>
            </w:r>
          </w:p>
        </w:tc>
        <w:tc>
          <w:tcPr>
            <w:tcW w:w="509" w:type="pct"/>
            <w:tcBorders>
              <w:top w:val="nil"/>
              <w:left w:val="nil"/>
              <w:bottom w:val="nil"/>
              <w:right w:val="single" w:sz="4" w:space="0" w:color="auto"/>
            </w:tcBorders>
            <w:hideMark/>
          </w:tcPr>
          <w:p w14:paraId="371AC699"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2.9</w:t>
            </w:r>
          </w:p>
        </w:tc>
      </w:tr>
      <w:tr w:rsidR="00692F44" w:rsidRPr="00692F44" w14:paraId="421668FB" w14:textId="77777777" w:rsidTr="00AC15B4">
        <w:trPr>
          <w:trHeight w:val="227"/>
          <w:jc w:val="center"/>
        </w:trPr>
        <w:tc>
          <w:tcPr>
            <w:tcW w:w="3547" w:type="pct"/>
            <w:tcBorders>
              <w:top w:val="nil"/>
              <w:left w:val="single" w:sz="4" w:space="0" w:color="auto"/>
              <w:bottom w:val="single" w:sz="4" w:space="0" w:color="auto"/>
              <w:right w:val="nil"/>
            </w:tcBorders>
            <w:hideMark/>
          </w:tcPr>
          <w:p w14:paraId="05D76492" w14:textId="77777777" w:rsidR="00692F44" w:rsidRPr="00692F44" w:rsidRDefault="00692F44" w:rsidP="00692F44">
            <w:pPr>
              <w:snapToGrid w:val="0"/>
              <w:ind w:left="321"/>
              <w:rPr>
                <w:rFonts w:asciiTheme="minorHAnsi" w:hAnsiTheme="minorHAnsi" w:cstheme="minorHAnsi"/>
                <w:sz w:val="18"/>
                <w:szCs w:val="18"/>
                <w:lang w:eastAsia="en-AU"/>
              </w:rPr>
            </w:pPr>
            <w:r w:rsidRPr="00692F44">
              <w:rPr>
                <w:rFonts w:asciiTheme="minorHAnsi" w:hAnsiTheme="minorHAnsi" w:cstheme="minorHAnsi"/>
                <w:sz w:val="18"/>
                <w:szCs w:val="18"/>
                <w:lang w:eastAsia="en-AU"/>
              </w:rPr>
              <w:t>Not answered</w:t>
            </w:r>
          </w:p>
        </w:tc>
        <w:tc>
          <w:tcPr>
            <w:tcW w:w="944" w:type="pct"/>
            <w:tcBorders>
              <w:top w:val="nil"/>
              <w:left w:val="nil"/>
              <w:bottom w:val="single" w:sz="4" w:space="0" w:color="auto"/>
              <w:right w:val="nil"/>
            </w:tcBorders>
            <w:hideMark/>
          </w:tcPr>
          <w:p w14:paraId="3339DFF9"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8</w:t>
            </w:r>
          </w:p>
        </w:tc>
        <w:tc>
          <w:tcPr>
            <w:tcW w:w="509" w:type="pct"/>
            <w:tcBorders>
              <w:top w:val="nil"/>
              <w:left w:val="nil"/>
              <w:bottom w:val="single" w:sz="4" w:space="0" w:color="auto"/>
              <w:right w:val="single" w:sz="4" w:space="0" w:color="auto"/>
            </w:tcBorders>
            <w:hideMark/>
          </w:tcPr>
          <w:p w14:paraId="4E52305E" w14:textId="77777777" w:rsidR="00692F44" w:rsidRPr="00692F44" w:rsidRDefault="00692F44" w:rsidP="00692F44">
            <w:pPr>
              <w:snapToGrid w:val="0"/>
              <w:jc w:val="center"/>
              <w:rPr>
                <w:rFonts w:asciiTheme="minorHAnsi" w:hAnsiTheme="minorHAnsi" w:cstheme="minorHAnsi"/>
                <w:sz w:val="18"/>
                <w:szCs w:val="18"/>
                <w:highlight w:val="yellow"/>
                <w:lang w:eastAsia="en-AU"/>
              </w:rPr>
            </w:pPr>
            <w:r w:rsidRPr="00692F44">
              <w:rPr>
                <w:rFonts w:asciiTheme="minorHAnsi" w:hAnsiTheme="minorHAnsi" w:cstheme="minorHAnsi"/>
                <w:sz w:val="18"/>
                <w:szCs w:val="18"/>
                <w:lang w:eastAsia="en-US"/>
              </w:rPr>
              <w:t>11.8</w:t>
            </w:r>
          </w:p>
        </w:tc>
      </w:tr>
      <w:tr w:rsidR="00692F44" w:rsidRPr="00692F44" w14:paraId="66BF4B79" w14:textId="77777777" w:rsidTr="0098021D">
        <w:trPr>
          <w:trHeight w:val="227"/>
          <w:jc w:val="center"/>
        </w:trPr>
        <w:tc>
          <w:tcPr>
            <w:tcW w:w="3547" w:type="pct"/>
            <w:tcBorders>
              <w:top w:val="single" w:sz="4" w:space="0" w:color="auto"/>
              <w:left w:val="single" w:sz="4" w:space="0" w:color="auto"/>
              <w:bottom w:val="nil"/>
              <w:right w:val="nil"/>
            </w:tcBorders>
            <w:hideMark/>
          </w:tcPr>
          <w:p w14:paraId="70C62F0F" w14:textId="77777777" w:rsidR="00692F44" w:rsidRPr="00692F44" w:rsidRDefault="00692F44" w:rsidP="00692F44">
            <w:pPr>
              <w:snapToGrid w:val="0"/>
              <w:rPr>
                <w:rFonts w:asciiTheme="minorHAnsi" w:hAnsiTheme="minorHAnsi" w:cstheme="minorHAnsi"/>
                <w:b/>
                <w:sz w:val="18"/>
                <w:szCs w:val="18"/>
                <w:lang w:eastAsia="en-AU"/>
              </w:rPr>
            </w:pPr>
            <w:r w:rsidRPr="00692F44">
              <w:rPr>
                <w:rFonts w:asciiTheme="minorHAnsi" w:hAnsiTheme="minorHAnsi" w:cstheme="minorHAnsi"/>
                <w:b/>
                <w:bCs/>
                <w:sz w:val="18"/>
                <w:szCs w:val="18"/>
                <w:lang w:eastAsia="en-AU"/>
              </w:rPr>
              <w:t xml:space="preserve">Organisation </w:t>
            </w:r>
            <w:proofErr w:type="spellStart"/>
            <w:r w:rsidRPr="00692F44">
              <w:rPr>
                <w:rFonts w:asciiTheme="minorHAnsi" w:hAnsiTheme="minorHAnsi" w:cstheme="minorHAnsi"/>
                <w:b/>
                <w:bCs/>
                <w:sz w:val="18"/>
                <w:szCs w:val="18"/>
                <w:lang w:eastAsia="en-AU"/>
              </w:rPr>
              <w:t>type</w:t>
            </w:r>
            <w:r w:rsidRPr="00692F44">
              <w:rPr>
                <w:rFonts w:ascii="Calibri" w:eastAsia="Calibri" w:hAnsi="Calibri" w:cs="Calibri"/>
                <w:sz w:val="18"/>
                <w:szCs w:val="18"/>
                <w:vertAlign w:val="superscript"/>
                <w:lang w:eastAsia="en-AU"/>
              </w:rPr>
              <w:t>a</w:t>
            </w:r>
            <w:proofErr w:type="spellEnd"/>
          </w:p>
        </w:tc>
        <w:tc>
          <w:tcPr>
            <w:tcW w:w="944" w:type="pct"/>
            <w:tcBorders>
              <w:top w:val="single" w:sz="4" w:space="0" w:color="auto"/>
              <w:left w:val="nil"/>
              <w:bottom w:val="nil"/>
              <w:right w:val="nil"/>
            </w:tcBorders>
          </w:tcPr>
          <w:p w14:paraId="7E085665" w14:textId="77777777" w:rsidR="00692F44" w:rsidRPr="00692F44" w:rsidRDefault="00692F44" w:rsidP="00692F44">
            <w:pPr>
              <w:snapToGrid w:val="0"/>
              <w:jc w:val="center"/>
              <w:rPr>
                <w:rFonts w:asciiTheme="minorHAnsi" w:hAnsiTheme="minorHAnsi" w:cstheme="minorHAnsi"/>
                <w:b/>
                <w:sz w:val="18"/>
                <w:szCs w:val="18"/>
                <w:lang w:eastAsia="en-AU"/>
              </w:rPr>
            </w:pPr>
          </w:p>
        </w:tc>
        <w:tc>
          <w:tcPr>
            <w:tcW w:w="509" w:type="pct"/>
            <w:tcBorders>
              <w:top w:val="single" w:sz="4" w:space="0" w:color="auto"/>
              <w:left w:val="nil"/>
              <w:bottom w:val="nil"/>
              <w:right w:val="single" w:sz="4" w:space="0" w:color="auto"/>
            </w:tcBorders>
          </w:tcPr>
          <w:p w14:paraId="20E75BF3" w14:textId="77777777" w:rsidR="00692F44" w:rsidRPr="00692F44" w:rsidRDefault="00692F44" w:rsidP="00692F44">
            <w:pPr>
              <w:snapToGrid w:val="0"/>
              <w:jc w:val="center"/>
              <w:rPr>
                <w:rFonts w:asciiTheme="minorHAnsi" w:hAnsiTheme="minorHAnsi" w:cstheme="minorHAnsi"/>
                <w:b/>
                <w:sz w:val="18"/>
                <w:szCs w:val="18"/>
                <w:lang w:eastAsia="en-AU"/>
              </w:rPr>
            </w:pPr>
          </w:p>
        </w:tc>
      </w:tr>
      <w:tr w:rsidR="00692F44" w:rsidRPr="00692F44" w14:paraId="1BA26CB4" w14:textId="77777777" w:rsidTr="00AC15B4">
        <w:trPr>
          <w:trHeight w:val="227"/>
          <w:jc w:val="center"/>
        </w:trPr>
        <w:tc>
          <w:tcPr>
            <w:tcW w:w="3547" w:type="pct"/>
            <w:tcBorders>
              <w:top w:val="nil"/>
              <w:left w:val="single" w:sz="4" w:space="0" w:color="auto"/>
              <w:bottom w:val="nil"/>
              <w:right w:val="nil"/>
            </w:tcBorders>
            <w:hideMark/>
          </w:tcPr>
          <w:p w14:paraId="53BF44C3"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Calibri" w:hAnsi="Calibri" w:cs="Calibri"/>
                <w:color w:val="000000"/>
                <w:sz w:val="18"/>
                <w:szCs w:val="18"/>
                <w:lang w:eastAsia="en-AU"/>
              </w:rPr>
              <w:t>Government organisation</w:t>
            </w:r>
          </w:p>
        </w:tc>
        <w:tc>
          <w:tcPr>
            <w:tcW w:w="944" w:type="pct"/>
            <w:tcBorders>
              <w:top w:val="nil"/>
              <w:left w:val="nil"/>
              <w:bottom w:val="nil"/>
              <w:right w:val="nil"/>
            </w:tcBorders>
            <w:hideMark/>
          </w:tcPr>
          <w:p w14:paraId="6BBDC494"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3</w:t>
            </w:r>
          </w:p>
        </w:tc>
        <w:tc>
          <w:tcPr>
            <w:tcW w:w="509" w:type="pct"/>
            <w:tcBorders>
              <w:top w:val="nil"/>
              <w:left w:val="nil"/>
              <w:bottom w:val="nil"/>
              <w:right w:val="single" w:sz="4" w:space="0" w:color="auto"/>
            </w:tcBorders>
            <w:hideMark/>
          </w:tcPr>
          <w:p w14:paraId="6A2B5680"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4.4</w:t>
            </w:r>
          </w:p>
        </w:tc>
      </w:tr>
      <w:tr w:rsidR="00692F44" w:rsidRPr="00692F44" w14:paraId="5A2B79A6" w14:textId="77777777" w:rsidTr="00AC15B4">
        <w:trPr>
          <w:trHeight w:val="227"/>
          <w:jc w:val="center"/>
        </w:trPr>
        <w:tc>
          <w:tcPr>
            <w:tcW w:w="3547" w:type="pct"/>
            <w:tcBorders>
              <w:top w:val="nil"/>
              <w:left w:val="single" w:sz="4" w:space="0" w:color="auto"/>
              <w:bottom w:val="nil"/>
              <w:right w:val="nil"/>
            </w:tcBorders>
            <w:hideMark/>
          </w:tcPr>
          <w:p w14:paraId="41310710" w14:textId="77777777" w:rsidR="00692F44" w:rsidRPr="00692F44" w:rsidRDefault="00692F44" w:rsidP="00692F44">
            <w:pPr>
              <w:snapToGrid w:val="0"/>
              <w:ind w:left="318"/>
              <w:rPr>
                <w:rFonts w:asciiTheme="minorHAnsi" w:hAnsiTheme="minorHAnsi" w:cstheme="minorHAnsi"/>
                <w:sz w:val="18"/>
                <w:szCs w:val="18"/>
                <w:lang w:eastAsia="en-AU"/>
              </w:rPr>
            </w:pPr>
            <w:r w:rsidRPr="00692F44">
              <w:rPr>
                <w:rFonts w:ascii="Calibri" w:hAnsi="Calibri" w:cs="Calibri"/>
                <w:color w:val="000000"/>
                <w:sz w:val="18"/>
                <w:szCs w:val="18"/>
                <w:lang w:eastAsia="en-AU"/>
              </w:rPr>
              <w:t>Mental health provider organisation</w:t>
            </w:r>
          </w:p>
        </w:tc>
        <w:tc>
          <w:tcPr>
            <w:tcW w:w="944" w:type="pct"/>
            <w:tcBorders>
              <w:top w:val="nil"/>
              <w:left w:val="nil"/>
              <w:bottom w:val="nil"/>
              <w:right w:val="nil"/>
            </w:tcBorders>
            <w:hideMark/>
          </w:tcPr>
          <w:p w14:paraId="10E8CA35"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27</w:t>
            </w:r>
          </w:p>
        </w:tc>
        <w:tc>
          <w:tcPr>
            <w:tcW w:w="509" w:type="pct"/>
            <w:tcBorders>
              <w:top w:val="nil"/>
              <w:left w:val="nil"/>
              <w:bottom w:val="nil"/>
              <w:right w:val="single" w:sz="4" w:space="0" w:color="auto"/>
            </w:tcBorders>
            <w:hideMark/>
          </w:tcPr>
          <w:p w14:paraId="4DA1FB1E" w14:textId="77777777" w:rsidR="00692F44" w:rsidRPr="00692F44" w:rsidRDefault="00692F44" w:rsidP="00692F44">
            <w:pPr>
              <w:snapToGrid w:val="0"/>
              <w:jc w:val="center"/>
              <w:rPr>
                <w:rFonts w:asciiTheme="minorHAnsi" w:hAnsiTheme="minorHAnsi" w:cstheme="minorHAnsi"/>
                <w:sz w:val="18"/>
                <w:szCs w:val="18"/>
                <w:lang w:eastAsia="en-AU"/>
              </w:rPr>
            </w:pPr>
            <w:r w:rsidRPr="00692F44">
              <w:rPr>
                <w:rFonts w:ascii="Calibri" w:hAnsi="Calibri" w:cs="Calibri"/>
                <w:color w:val="000000"/>
                <w:sz w:val="18"/>
                <w:szCs w:val="18"/>
                <w:lang w:eastAsia="en-AU"/>
              </w:rPr>
              <w:t>39.7</w:t>
            </w:r>
          </w:p>
        </w:tc>
      </w:tr>
      <w:tr w:rsidR="00692F44" w:rsidRPr="00692F44" w14:paraId="717D01A0" w14:textId="77777777" w:rsidTr="00AC15B4">
        <w:trPr>
          <w:trHeight w:val="227"/>
          <w:jc w:val="center"/>
        </w:trPr>
        <w:tc>
          <w:tcPr>
            <w:tcW w:w="3547" w:type="pct"/>
            <w:tcBorders>
              <w:top w:val="nil"/>
              <w:left w:val="single" w:sz="4" w:space="0" w:color="auto"/>
              <w:bottom w:val="nil"/>
              <w:right w:val="nil"/>
            </w:tcBorders>
            <w:hideMark/>
          </w:tcPr>
          <w:p w14:paraId="50E6C7A5" w14:textId="77777777" w:rsidR="00692F44" w:rsidRPr="00692F44" w:rsidRDefault="00692F44" w:rsidP="00692F44">
            <w:pPr>
              <w:snapToGrid w:val="0"/>
              <w:ind w:left="318"/>
              <w:rPr>
                <w:rFonts w:ascii="Calibri" w:hAnsi="Calibri" w:cs="Calibri"/>
                <w:color w:val="000000"/>
                <w:kern w:val="24"/>
                <w:sz w:val="18"/>
                <w:szCs w:val="18"/>
                <w:lang w:eastAsia="en-AU"/>
              </w:rPr>
            </w:pPr>
            <w:r w:rsidRPr="00692F44">
              <w:rPr>
                <w:rFonts w:ascii="Calibri" w:hAnsi="Calibri" w:cs="Calibri"/>
                <w:color w:val="000000"/>
                <w:sz w:val="18"/>
                <w:szCs w:val="18"/>
                <w:lang w:eastAsia="en-AU"/>
              </w:rPr>
              <w:t>Peak body</w:t>
            </w:r>
          </w:p>
        </w:tc>
        <w:tc>
          <w:tcPr>
            <w:tcW w:w="944" w:type="pct"/>
            <w:tcBorders>
              <w:top w:val="nil"/>
              <w:left w:val="nil"/>
              <w:bottom w:val="nil"/>
              <w:right w:val="nil"/>
            </w:tcBorders>
            <w:hideMark/>
          </w:tcPr>
          <w:p w14:paraId="4085E5D3" w14:textId="77777777" w:rsidR="00692F44" w:rsidRPr="00692F44" w:rsidRDefault="00692F44" w:rsidP="00692F44">
            <w:pPr>
              <w:snapToGrid w:val="0"/>
              <w:jc w:val="center"/>
              <w:rPr>
                <w:rFonts w:ascii="Calibri" w:hAnsi="Calibri" w:cs="Calibri"/>
                <w:color w:val="000000"/>
                <w:kern w:val="24"/>
                <w:sz w:val="18"/>
                <w:szCs w:val="18"/>
                <w:lang w:eastAsia="en-AU"/>
              </w:rPr>
            </w:pPr>
            <w:r w:rsidRPr="00692F44">
              <w:rPr>
                <w:rFonts w:ascii="Calibri" w:hAnsi="Calibri" w:cs="Calibri"/>
                <w:color w:val="000000"/>
                <w:sz w:val="18"/>
                <w:szCs w:val="18"/>
                <w:lang w:eastAsia="en-AU"/>
              </w:rPr>
              <w:t>10</w:t>
            </w:r>
          </w:p>
        </w:tc>
        <w:tc>
          <w:tcPr>
            <w:tcW w:w="509" w:type="pct"/>
            <w:tcBorders>
              <w:top w:val="nil"/>
              <w:left w:val="nil"/>
              <w:bottom w:val="nil"/>
              <w:right w:val="single" w:sz="4" w:space="0" w:color="auto"/>
            </w:tcBorders>
            <w:hideMark/>
          </w:tcPr>
          <w:p w14:paraId="6BCEA42B" w14:textId="77777777" w:rsidR="00692F44" w:rsidRPr="00692F44" w:rsidRDefault="00692F44" w:rsidP="00692F44">
            <w:pPr>
              <w:snapToGrid w:val="0"/>
              <w:jc w:val="center"/>
              <w:rPr>
                <w:rFonts w:ascii="Calibri" w:hAnsi="Calibri" w:cs="Calibri"/>
                <w:color w:val="000000"/>
                <w:kern w:val="24"/>
                <w:sz w:val="18"/>
                <w:szCs w:val="18"/>
                <w:lang w:eastAsia="en-AU"/>
              </w:rPr>
            </w:pPr>
            <w:r w:rsidRPr="00692F44">
              <w:rPr>
                <w:rFonts w:ascii="Calibri" w:hAnsi="Calibri" w:cs="Calibri"/>
                <w:color w:val="000000"/>
                <w:sz w:val="18"/>
                <w:szCs w:val="18"/>
                <w:lang w:eastAsia="en-AU"/>
              </w:rPr>
              <w:t>14.7</w:t>
            </w:r>
          </w:p>
        </w:tc>
      </w:tr>
      <w:tr w:rsidR="00692F44" w:rsidRPr="00692F44" w14:paraId="7F019263" w14:textId="77777777" w:rsidTr="00AC15B4">
        <w:trPr>
          <w:trHeight w:val="227"/>
          <w:jc w:val="center"/>
        </w:trPr>
        <w:tc>
          <w:tcPr>
            <w:tcW w:w="3547" w:type="pct"/>
            <w:tcBorders>
              <w:top w:val="nil"/>
              <w:left w:val="single" w:sz="4" w:space="0" w:color="auto"/>
              <w:bottom w:val="nil"/>
              <w:right w:val="nil"/>
            </w:tcBorders>
            <w:hideMark/>
          </w:tcPr>
          <w:p w14:paraId="63B448A4" w14:textId="77777777" w:rsidR="00692F44" w:rsidRPr="00692F44" w:rsidRDefault="00692F44" w:rsidP="00692F44">
            <w:pPr>
              <w:snapToGrid w:val="0"/>
              <w:ind w:left="318"/>
              <w:rPr>
                <w:rFonts w:ascii="Calibri" w:hAnsi="Calibri" w:cs="Calibri"/>
                <w:color w:val="000000"/>
                <w:kern w:val="24"/>
                <w:sz w:val="18"/>
                <w:szCs w:val="18"/>
                <w:lang w:eastAsia="en-AU"/>
              </w:rPr>
            </w:pPr>
            <w:r w:rsidRPr="00692F44">
              <w:rPr>
                <w:rFonts w:ascii="Calibri" w:hAnsi="Calibri" w:cs="Calibri"/>
                <w:color w:val="000000"/>
                <w:sz w:val="18"/>
                <w:szCs w:val="18"/>
                <w:lang w:eastAsia="en-AU"/>
              </w:rPr>
              <w:t>PHN</w:t>
            </w:r>
          </w:p>
        </w:tc>
        <w:tc>
          <w:tcPr>
            <w:tcW w:w="944" w:type="pct"/>
            <w:tcBorders>
              <w:top w:val="nil"/>
              <w:left w:val="nil"/>
              <w:bottom w:val="nil"/>
              <w:right w:val="nil"/>
            </w:tcBorders>
            <w:hideMark/>
          </w:tcPr>
          <w:p w14:paraId="16539C9D" w14:textId="77777777" w:rsidR="00692F44" w:rsidRPr="00692F44" w:rsidRDefault="00692F44" w:rsidP="00692F44">
            <w:pPr>
              <w:snapToGrid w:val="0"/>
              <w:jc w:val="center"/>
              <w:rPr>
                <w:rFonts w:ascii="Calibri" w:hAnsi="Calibri" w:cs="Calibri"/>
                <w:color w:val="000000"/>
                <w:kern w:val="24"/>
                <w:sz w:val="18"/>
                <w:szCs w:val="18"/>
                <w:lang w:eastAsia="en-AU"/>
              </w:rPr>
            </w:pPr>
            <w:r w:rsidRPr="00692F44">
              <w:rPr>
                <w:rFonts w:ascii="Calibri" w:hAnsi="Calibri" w:cs="Calibri"/>
                <w:color w:val="000000"/>
                <w:sz w:val="18"/>
                <w:szCs w:val="18"/>
                <w:lang w:eastAsia="en-AU"/>
              </w:rPr>
              <w:t>14</w:t>
            </w:r>
          </w:p>
        </w:tc>
        <w:tc>
          <w:tcPr>
            <w:tcW w:w="509" w:type="pct"/>
            <w:tcBorders>
              <w:top w:val="nil"/>
              <w:left w:val="nil"/>
              <w:bottom w:val="nil"/>
              <w:right w:val="single" w:sz="4" w:space="0" w:color="auto"/>
            </w:tcBorders>
            <w:hideMark/>
          </w:tcPr>
          <w:p w14:paraId="20ABEF21" w14:textId="77777777" w:rsidR="00692F44" w:rsidRPr="00692F44" w:rsidRDefault="00692F44" w:rsidP="00692F44">
            <w:pPr>
              <w:snapToGrid w:val="0"/>
              <w:jc w:val="center"/>
              <w:rPr>
                <w:rFonts w:ascii="Calibri" w:hAnsi="Calibri" w:cs="Calibri"/>
                <w:color w:val="000000"/>
                <w:kern w:val="24"/>
                <w:sz w:val="18"/>
                <w:szCs w:val="18"/>
                <w:lang w:eastAsia="en-AU"/>
              </w:rPr>
            </w:pPr>
            <w:r w:rsidRPr="00692F44">
              <w:rPr>
                <w:rFonts w:ascii="Calibri" w:hAnsi="Calibri" w:cs="Calibri"/>
                <w:color w:val="000000"/>
                <w:sz w:val="18"/>
                <w:szCs w:val="18"/>
                <w:lang w:eastAsia="en-AU"/>
              </w:rPr>
              <w:t>20.6</w:t>
            </w:r>
          </w:p>
        </w:tc>
      </w:tr>
      <w:tr w:rsidR="00692F44" w:rsidRPr="00692F44" w14:paraId="4FC57E65" w14:textId="77777777" w:rsidTr="00AC15B4">
        <w:trPr>
          <w:trHeight w:val="227"/>
          <w:jc w:val="center"/>
        </w:trPr>
        <w:tc>
          <w:tcPr>
            <w:tcW w:w="3547" w:type="pct"/>
            <w:tcBorders>
              <w:top w:val="nil"/>
              <w:left w:val="single" w:sz="4" w:space="0" w:color="auto"/>
              <w:bottom w:val="nil"/>
              <w:right w:val="nil"/>
            </w:tcBorders>
            <w:hideMark/>
          </w:tcPr>
          <w:p w14:paraId="7A59D227" w14:textId="77777777" w:rsidR="00692F44" w:rsidRPr="00692F44" w:rsidRDefault="00692F44" w:rsidP="00692F44">
            <w:pPr>
              <w:snapToGrid w:val="0"/>
              <w:ind w:left="318"/>
              <w:rPr>
                <w:rFonts w:ascii="Calibri" w:hAnsi="Calibri" w:cs="Calibri"/>
                <w:color w:val="000000"/>
                <w:kern w:val="24"/>
                <w:sz w:val="18"/>
                <w:szCs w:val="18"/>
                <w:lang w:eastAsia="en-AU"/>
              </w:rPr>
            </w:pPr>
            <w:r w:rsidRPr="00692F44">
              <w:rPr>
                <w:rFonts w:ascii="Calibri" w:hAnsi="Calibri" w:cs="Calibri"/>
                <w:color w:val="000000"/>
                <w:sz w:val="18"/>
                <w:szCs w:val="18"/>
                <w:lang w:eastAsia="en-AU"/>
              </w:rPr>
              <w:t>Professional association</w:t>
            </w:r>
          </w:p>
        </w:tc>
        <w:tc>
          <w:tcPr>
            <w:tcW w:w="944" w:type="pct"/>
            <w:tcBorders>
              <w:top w:val="nil"/>
              <w:left w:val="nil"/>
              <w:bottom w:val="nil"/>
              <w:right w:val="nil"/>
            </w:tcBorders>
            <w:hideMark/>
          </w:tcPr>
          <w:p w14:paraId="62E01B7A" w14:textId="77777777" w:rsidR="00692F44" w:rsidRPr="00692F44" w:rsidRDefault="00692F44" w:rsidP="00692F44">
            <w:pPr>
              <w:snapToGrid w:val="0"/>
              <w:jc w:val="center"/>
              <w:rPr>
                <w:rFonts w:ascii="Calibri" w:hAnsi="Calibri" w:cs="Calibri"/>
                <w:color w:val="000000"/>
                <w:kern w:val="24"/>
                <w:sz w:val="18"/>
                <w:szCs w:val="18"/>
                <w:lang w:eastAsia="en-AU"/>
              </w:rPr>
            </w:pPr>
            <w:r w:rsidRPr="00692F44">
              <w:rPr>
                <w:rFonts w:ascii="Calibri" w:hAnsi="Calibri" w:cs="Calibri"/>
                <w:color w:val="000000"/>
                <w:sz w:val="18"/>
                <w:szCs w:val="18"/>
                <w:lang w:eastAsia="en-AU"/>
              </w:rPr>
              <w:t>9</w:t>
            </w:r>
          </w:p>
        </w:tc>
        <w:tc>
          <w:tcPr>
            <w:tcW w:w="509" w:type="pct"/>
            <w:tcBorders>
              <w:top w:val="nil"/>
              <w:left w:val="nil"/>
              <w:bottom w:val="nil"/>
              <w:right w:val="single" w:sz="4" w:space="0" w:color="auto"/>
            </w:tcBorders>
            <w:hideMark/>
          </w:tcPr>
          <w:p w14:paraId="4A8AF428" w14:textId="77777777" w:rsidR="00692F44" w:rsidRPr="00692F44" w:rsidRDefault="00692F44" w:rsidP="00692F44">
            <w:pPr>
              <w:snapToGrid w:val="0"/>
              <w:jc w:val="center"/>
              <w:rPr>
                <w:rFonts w:ascii="Calibri" w:hAnsi="Calibri" w:cs="Calibri"/>
                <w:color w:val="000000"/>
                <w:kern w:val="24"/>
                <w:sz w:val="18"/>
                <w:szCs w:val="18"/>
                <w:lang w:eastAsia="en-AU"/>
              </w:rPr>
            </w:pPr>
            <w:r w:rsidRPr="00692F44">
              <w:rPr>
                <w:rFonts w:ascii="Calibri" w:hAnsi="Calibri" w:cs="Calibri"/>
                <w:color w:val="000000"/>
                <w:sz w:val="18"/>
                <w:szCs w:val="18"/>
                <w:lang w:eastAsia="en-AU"/>
              </w:rPr>
              <w:t>13.2</w:t>
            </w:r>
          </w:p>
        </w:tc>
      </w:tr>
      <w:tr w:rsidR="00692F44" w:rsidRPr="00692F44" w14:paraId="0BEFC839" w14:textId="77777777" w:rsidTr="00AC15B4">
        <w:trPr>
          <w:trHeight w:val="227"/>
          <w:jc w:val="center"/>
        </w:trPr>
        <w:tc>
          <w:tcPr>
            <w:tcW w:w="3547" w:type="pct"/>
            <w:tcBorders>
              <w:top w:val="nil"/>
              <w:left w:val="single" w:sz="4" w:space="0" w:color="auto"/>
              <w:bottom w:val="nil"/>
              <w:right w:val="nil"/>
            </w:tcBorders>
            <w:hideMark/>
          </w:tcPr>
          <w:p w14:paraId="668EB6B1" w14:textId="77777777" w:rsidR="00692F44" w:rsidRPr="00692F44" w:rsidRDefault="00692F44" w:rsidP="00692F44">
            <w:pPr>
              <w:snapToGrid w:val="0"/>
              <w:ind w:left="318"/>
              <w:rPr>
                <w:rFonts w:ascii="Calibri" w:hAnsi="Calibri" w:cs="Calibri"/>
                <w:color w:val="000000"/>
                <w:kern w:val="24"/>
                <w:sz w:val="18"/>
                <w:szCs w:val="18"/>
                <w:lang w:eastAsia="en-AU"/>
              </w:rPr>
            </w:pPr>
            <w:r w:rsidRPr="00692F44">
              <w:rPr>
                <w:rFonts w:ascii="Calibri" w:hAnsi="Calibri" w:cs="Calibri"/>
                <w:color w:val="000000"/>
                <w:sz w:val="18"/>
                <w:szCs w:val="18"/>
                <w:lang w:eastAsia="en-AU"/>
              </w:rPr>
              <w:t>University</w:t>
            </w:r>
          </w:p>
        </w:tc>
        <w:tc>
          <w:tcPr>
            <w:tcW w:w="944" w:type="pct"/>
            <w:tcBorders>
              <w:top w:val="nil"/>
              <w:left w:val="nil"/>
              <w:bottom w:val="nil"/>
              <w:right w:val="nil"/>
            </w:tcBorders>
            <w:hideMark/>
          </w:tcPr>
          <w:p w14:paraId="0C038184" w14:textId="77777777" w:rsidR="00692F44" w:rsidRPr="00692F44" w:rsidRDefault="00692F44" w:rsidP="00692F44">
            <w:pPr>
              <w:snapToGrid w:val="0"/>
              <w:jc w:val="center"/>
              <w:rPr>
                <w:rFonts w:ascii="Calibri" w:hAnsi="Calibri" w:cs="Calibri"/>
                <w:color w:val="000000"/>
                <w:kern w:val="24"/>
                <w:sz w:val="18"/>
                <w:szCs w:val="18"/>
                <w:lang w:eastAsia="en-AU"/>
              </w:rPr>
            </w:pPr>
            <w:r w:rsidRPr="00692F44">
              <w:rPr>
                <w:rFonts w:ascii="Calibri" w:hAnsi="Calibri" w:cs="Calibri"/>
                <w:color w:val="000000"/>
                <w:sz w:val="18"/>
                <w:szCs w:val="18"/>
                <w:lang w:eastAsia="en-AU"/>
              </w:rPr>
              <w:t>6</w:t>
            </w:r>
          </w:p>
        </w:tc>
        <w:tc>
          <w:tcPr>
            <w:tcW w:w="509" w:type="pct"/>
            <w:tcBorders>
              <w:top w:val="nil"/>
              <w:left w:val="nil"/>
              <w:bottom w:val="nil"/>
              <w:right w:val="single" w:sz="4" w:space="0" w:color="auto"/>
            </w:tcBorders>
            <w:hideMark/>
          </w:tcPr>
          <w:p w14:paraId="7D8C56ED" w14:textId="77777777" w:rsidR="00692F44" w:rsidRPr="00692F44" w:rsidRDefault="00692F44" w:rsidP="00692F44">
            <w:pPr>
              <w:snapToGrid w:val="0"/>
              <w:jc w:val="center"/>
              <w:rPr>
                <w:rFonts w:ascii="Calibri" w:hAnsi="Calibri" w:cs="Calibri"/>
                <w:color w:val="000000"/>
                <w:kern w:val="24"/>
                <w:sz w:val="18"/>
                <w:szCs w:val="18"/>
                <w:lang w:eastAsia="en-AU"/>
              </w:rPr>
            </w:pPr>
            <w:r w:rsidRPr="00692F44">
              <w:rPr>
                <w:rFonts w:ascii="Calibri" w:hAnsi="Calibri" w:cs="Calibri"/>
                <w:color w:val="000000"/>
                <w:sz w:val="18"/>
                <w:szCs w:val="18"/>
                <w:lang w:eastAsia="en-AU"/>
              </w:rPr>
              <w:t>8.8</w:t>
            </w:r>
          </w:p>
        </w:tc>
      </w:tr>
      <w:tr w:rsidR="00692F44" w:rsidRPr="00692F44" w14:paraId="109A011F" w14:textId="77777777" w:rsidTr="00AC15B4">
        <w:trPr>
          <w:trHeight w:val="227"/>
          <w:jc w:val="center"/>
        </w:trPr>
        <w:tc>
          <w:tcPr>
            <w:tcW w:w="3547" w:type="pct"/>
            <w:tcBorders>
              <w:top w:val="nil"/>
              <w:left w:val="single" w:sz="4" w:space="0" w:color="auto"/>
              <w:bottom w:val="single" w:sz="4" w:space="0" w:color="auto"/>
              <w:right w:val="nil"/>
            </w:tcBorders>
            <w:hideMark/>
          </w:tcPr>
          <w:p w14:paraId="08E0EB95" w14:textId="77777777" w:rsidR="00692F44" w:rsidRPr="00692F44" w:rsidRDefault="00692F44" w:rsidP="00692F44">
            <w:pPr>
              <w:snapToGrid w:val="0"/>
              <w:ind w:left="318"/>
              <w:rPr>
                <w:rFonts w:ascii="Calibri" w:hAnsi="Calibri" w:cs="Calibri"/>
                <w:color w:val="000000"/>
                <w:sz w:val="18"/>
                <w:szCs w:val="18"/>
                <w:lang w:eastAsia="en-AU"/>
              </w:rPr>
            </w:pPr>
            <w:r w:rsidRPr="00692F44">
              <w:rPr>
                <w:rFonts w:ascii="Calibri" w:hAnsi="Calibri" w:cs="Calibri"/>
                <w:color w:val="000000"/>
                <w:sz w:val="18"/>
                <w:szCs w:val="18"/>
                <w:lang w:eastAsia="en-AU"/>
              </w:rPr>
              <w:t>Website development agency</w:t>
            </w:r>
          </w:p>
        </w:tc>
        <w:tc>
          <w:tcPr>
            <w:tcW w:w="944" w:type="pct"/>
            <w:tcBorders>
              <w:top w:val="nil"/>
              <w:left w:val="nil"/>
              <w:bottom w:val="single" w:sz="4" w:space="0" w:color="auto"/>
              <w:right w:val="nil"/>
            </w:tcBorders>
            <w:hideMark/>
          </w:tcPr>
          <w:p w14:paraId="37BA616F" w14:textId="77777777" w:rsidR="00692F44" w:rsidRPr="00692F44" w:rsidRDefault="00692F44" w:rsidP="00692F44">
            <w:pPr>
              <w:snapToGrid w:val="0"/>
              <w:jc w:val="center"/>
              <w:rPr>
                <w:rFonts w:ascii="Calibri" w:hAnsi="Calibri" w:cs="Calibri"/>
                <w:color w:val="000000"/>
                <w:sz w:val="18"/>
                <w:szCs w:val="18"/>
                <w:lang w:eastAsia="en-AU"/>
              </w:rPr>
            </w:pPr>
            <w:r w:rsidRPr="00692F44">
              <w:rPr>
                <w:rFonts w:ascii="Calibri" w:hAnsi="Calibri" w:cs="Calibri"/>
                <w:color w:val="000000"/>
                <w:sz w:val="18"/>
                <w:szCs w:val="18"/>
                <w:lang w:eastAsia="en-AU"/>
              </w:rPr>
              <w:t>2</w:t>
            </w:r>
          </w:p>
        </w:tc>
        <w:tc>
          <w:tcPr>
            <w:tcW w:w="509" w:type="pct"/>
            <w:tcBorders>
              <w:top w:val="nil"/>
              <w:left w:val="nil"/>
              <w:bottom w:val="single" w:sz="4" w:space="0" w:color="auto"/>
              <w:right w:val="single" w:sz="4" w:space="0" w:color="auto"/>
            </w:tcBorders>
            <w:hideMark/>
          </w:tcPr>
          <w:p w14:paraId="0438C2E8" w14:textId="77777777" w:rsidR="00692F44" w:rsidRPr="00692F44" w:rsidRDefault="00692F44" w:rsidP="00692F44">
            <w:pPr>
              <w:snapToGrid w:val="0"/>
              <w:jc w:val="center"/>
              <w:rPr>
                <w:rFonts w:ascii="Calibri" w:hAnsi="Calibri" w:cs="Calibri"/>
                <w:color w:val="000000"/>
                <w:sz w:val="18"/>
                <w:szCs w:val="18"/>
                <w:lang w:eastAsia="en-AU"/>
              </w:rPr>
            </w:pPr>
            <w:r w:rsidRPr="00692F44">
              <w:rPr>
                <w:rFonts w:ascii="Calibri" w:hAnsi="Calibri" w:cs="Calibri"/>
                <w:color w:val="000000"/>
                <w:sz w:val="18"/>
                <w:szCs w:val="18"/>
                <w:lang w:eastAsia="en-AU"/>
              </w:rPr>
              <w:t>2.9</w:t>
            </w:r>
          </w:p>
        </w:tc>
      </w:tr>
    </w:tbl>
    <w:p w14:paraId="7F29B6A2" w14:textId="77777777" w:rsidR="00692F44" w:rsidRPr="00692F44" w:rsidRDefault="00692F44" w:rsidP="0098021D">
      <w:pPr>
        <w:spacing w:line="259" w:lineRule="auto"/>
        <w:rPr>
          <w:rFonts w:ascii="Calibri" w:eastAsia="Calibri" w:hAnsi="Calibri" w:cs="Calibri"/>
          <w:sz w:val="16"/>
          <w:szCs w:val="16"/>
          <w:lang w:eastAsia="en-US"/>
        </w:rPr>
      </w:pPr>
      <w:r w:rsidRPr="00692F44">
        <w:rPr>
          <w:rFonts w:ascii="Calibri" w:eastAsiaTheme="minorHAnsi" w:hAnsi="Calibri" w:cs="Calibri"/>
          <w:color w:val="000000"/>
          <w:sz w:val="16"/>
          <w:szCs w:val="16"/>
          <w:lang w:eastAsia="en-AU"/>
        </w:rPr>
        <w:t xml:space="preserve">NBN, National Broadband Network; </w:t>
      </w:r>
      <w:r w:rsidRPr="00692F44">
        <w:rPr>
          <w:rFonts w:ascii="Calibri" w:eastAsia="Calibri" w:hAnsi="Calibri" w:cs="Calibri"/>
          <w:sz w:val="16"/>
          <w:szCs w:val="16"/>
          <w:lang w:eastAsia="en-US"/>
        </w:rPr>
        <w:t>PHN, Primary Health Network</w:t>
      </w:r>
    </w:p>
    <w:p w14:paraId="6D10BE1B" w14:textId="0544354E" w:rsidR="00692F44" w:rsidRPr="00692F44" w:rsidRDefault="00692F44" w:rsidP="0098021D">
      <w:pPr>
        <w:spacing w:line="259" w:lineRule="auto"/>
        <w:rPr>
          <w:rFonts w:ascii="Calibri" w:eastAsia="Calibri" w:hAnsi="Calibri" w:cs="Calibri"/>
          <w:sz w:val="16"/>
          <w:szCs w:val="16"/>
          <w:lang w:eastAsia="en-US"/>
        </w:rPr>
      </w:pPr>
      <w:proofErr w:type="spellStart"/>
      <w:r w:rsidRPr="00692F44">
        <w:rPr>
          <w:rFonts w:ascii="Calibri" w:eastAsia="Calibri" w:hAnsi="Calibri" w:cs="Calibri"/>
          <w:sz w:val="16"/>
          <w:szCs w:val="16"/>
          <w:vertAlign w:val="superscript"/>
          <w:lang w:eastAsia="en-US"/>
        </w:rPr>
        <w:t>a</w:t>
      </w:r>
      <w:r w:rsidRPr="00692F44">
        <w:rPr>
          <w:rFonts w:ascii="Calibri" w:eastAsia="Calibri" w:hAnsi="Calibri" w:cs="Calibri"/>
          <w:sz w:val="16"/>
          <w:szCs w:val="16"/>
          <w:lang w:eastAsia="en-US"/>
        </w:rPr>
        <w:t>Multiple</w:t>
      </w:r>
      <w:proofErr w:type="spellEnd"/>
      <w:r w:rsidRPr="00692F44">
        <w:rPr>
          <w:rFonts w:ascii="Calibri" w:eastAsia="Calibri" w:hAnsi="Calibri" w:cs="Calibri"/>
          <w:sz w:val="16"/>
          <w:szCs w:val="16"/>
          <w:lang w:eastAsia="en-US"/>
        </w:rPr>
        <w:t xml:space="preserve"> responses permitted.</w:t>
      </w:r>
    </w:p>
    <w:p w14:paraId="3C4DE7D6" w14:textId="77777777" w:rsidR="00EB388A" w:rsidRDefault="00EB388A">
      <w:pPr>
        <w:rPr>
          <w:rFonts w:ascii="Calibri" w:eastAsiaTheme="minorHAnsi" w:hAnsi="Calibri" w:cs="Arial"/>
          <w:b/>
          <w:bCs/>
          <w:iCs/>
          <w:color w:val="2F5496" w:themeColor="accent1" w:themeShade="BF"/>
          <w:sz w:val="28"/>
          <w:szCs w:val="28"/>
        </w:rPr>
      </w:pPr>
      <w:bookmarkStart w:id="243" w:name="_Toc107508819"/>
      <w:r>
        <w:rPr>
          <w:rFonts w:eastAsiaTheme="minorHAnsi"/>
        </w:rPr>
        <w:br w:type="page"/>
      </w:r>
    </w:p>
    <w:p w14:paraId="3659F28B" w14:textId="554C882C" w:rsidR="00692F44" w:rsidRPr="00692F44" w:rsidRDefault="00692F44" w:rsidP="00AD19DB">
      <w:pPr>
        <w:pStyle w:val="Heading2"/>
        <w:numPr>
          <w:ilvl w:val="1"/>
          <w:numId w:val="146"/>
        </w:numPr>
        <w:rPr>
          <w:rFonts w:eastAsiaTheme="minorHAnsi"/>
        </w:rPr>
      </w:pPr>
      <w:bookmarkStart w:id="244" w:name="_Toc108784892"/>
      <w:r w:rsidRPr="00692F44">
        <w:rPr>
          <w:rFonts w:eastAsiaTheme="minorHAnsi"/>
        </w:rPr>
        <w:lastRenderedPageBreak/>
        <w:t>Perceived suitability of DMHS</w:t>
      </w:r>
      <w:r w:rsidR="00BA49AE">
        <w:rPr>
          <w:rFonts w:eastAsiaTheme="minorHAnsi"/>
        </w:rPr>
        <w:t>s</w:t>
      </w:r>
      <w:r w:rsidRPr="00692F44">
        <w:rPr>
          <w:rFonts w:eastAsiaTheme="minorHAnsi"/>
        </w:rPr>
        <w:t xml:space="preserve"> for mental health problems</w:t>
      </w:r>
      <w:bookmarkEnd w:id="243"/>
      <w:bookmarkEnd w:id="244"/>
    </w:p>
    <w:p w14:paraId="15930E06" w14:textId="7410D493" w:rsidR="00692F44" w:rsidRPr="00692F44" w:rsidRDefault="00692F44" w:rsidP="00AD19DB">
      <w:pPr>
        <w:pStyle w:val="Heading3"/>
      </w:pPr>
      <w:bookmarkStart w:id="245" w:name="_Toc107508820"/>
      <w:r w:rsidRPr="00692F44">
        <w:t>Overall suitability of DMHS</w:t>
      </w:r>
      <w:r w:rsidR="00BA49AE">
        <w:t>s</w:t>
      </w:r>
      <w:r w:rsidRPr="00692F44">
        <w:t xml:space="preserve"> for mental health problems</w:t>
      </w:r>
      <w:bookmarkEnd w:id="245"/>
    </w:p>
    <w:p w14:paraId="458DC263" w14:textId="1345EC17" w:rsidR="00692F44" w:rsidRPr="00692F44" w:rsidRDefault="00692F44" w:rsidP="00692F44">
      <w:pPr>
        <w:spacing w:after="160" w:line="259" w:lineRule="auto"/>
        <w:rPr>
          <w:rFonts w:asciiTheme="minorHAnsi" w:hAnsiTheme="minorHAnsi" w:cstheme="minorBidi"/>
          <w:sz w:val="21"/>
          <w:szCs w:val="21"/>
          <w:lang w:eastAsia="zh-CN"/>
        </w:rPr>
      </w:pPr>
      <w:r w:rsidRPr="00692F44">
        <w:rPr>
          <w:rFonts w:asciiTheme="minorHAnsi" w:hAnsiTheme="minorHAnsi" w:cstheme="minorBidi"/>
          <w:sz w:val="21"/>
          <w:szCs w:val="21"/>
          <w:lang w:eastAsia="zh-CN"/>
        </w:rPr>
        <w:t xml:space="preserve">As seen in Table </w:t>
      </w:r>
      <w:r w:rsidR="00D90294">
        <w:rPr>
          <w:rFonts w:asciiTheme="minorHAnsi" w:hAnsiTheme="minorHAnsi" w:cstheme="minorBidi"/>
          <w:sz w:val="21"/>
          <w:szCs w:val="21"/>
          <w:lang w:eastAsia="zh-CN"/>
        </w:rPr>
        <w:t>50</w:t>
      </w:r>
      <w:r w:rsidRPr="00692F44">
        <w:rPr>
          <w:rFonts w:asciiTheme="minorHAnsi" w:hAnsiTheme="minorHAnsi" w:cstheme="minorBidi"/>
          <w:sz w:val="21"/>
          <w:szCs w:val="21"/>
          <w:lang w:eastAsia="zh-CN"/>
        </w:rPr>
        <w:t xml:space="preserve">, most respondents indicated that both </w:t>
      </w:r>
      <w:proofErr w:type="gramStart"/>
      <w:r w:rsidRPr="00692F44">
        <w:rPr>
          <w:rFonts w:asciiTheme="minorHAnsi" w:hAnsiTheme="minorHAnsi" w:cstheme="minorBidi"/>
          <w:sz w:val="21"/>
          <w:szCs w:val="21"/>
          <w:lang w:eastAsia="zh-CN"/>
        </w:rPr>
        <w:t>therapist-supported</w:t>
      </w:r>
      <w:proofErr w:type="gramEnd"/>
      <w:r w:rsidRPr="00692F44">
        <w:rPr>
          <w:rFonts w:asciiTheme="minorHAnsi" w:hAnsiTheme="minorHAnsi" w:cstheme="minorBidi"/>
          <w:sz w:val="21"/>
          <w:szCs w:val="21"/>
          <w:lang w:eastAsia="zh-CN"/>
        </w:rPr>
        <w:t xml:space="preserve"> and self-directed DMHSs are suitable for mild to moderate mental health problems. Therapist-supported DMHSs were also endorsed as suitable for severe mental health problems by over half of respondents (n=28; 53.8%).</w:t>
      </w:r>
    </w:p>
    <w:p w14:paraId="13DDE873" w14:textId="47D90963" w:rsidR="00692F44" w:rsidRPr="00692F44" w:rsidRDefault="00692F44" w:rsidP="00692F44">
      <w:pPr>
        <w:spacing w:after="160" w:line="259" w:lineRule="auto"/>
        <w:rPr>
          <w:rFonts w:asciiTheme="minorHAnsi" w:hAnsiTheme="minorHAnsi" w:cstheme="minorBidi"/>
          <w:sz w:val="21"/>
          <w:szCs w:val="21"/>
          <w:lang w:eastAsia="zh-CN"/>
        </w:rPr>
      </w:pPr>
      <w:r w:rsidRPr="00692F44">
        <w:rPr>
          <w:rFonts w:asciiTheme="minorHAnsi" w:hAnsiTheme="minorHAnsi" w:cstheme="minorBidi"/>
          <w:sz w:val="21"/>
          <w:szCs w:val="21"/>
          <w:lang w:eastAsia="zh-CN"/>
        </w:rPr>
        <w:t xml:space="preserve">Regarding specific mental health problems, depression and anxiety were most commonly selected as suitable for both self-directed and </w:t>
      </w:r>
      <w:proofErr w:type="gramStart"/>
      <w:r w:rsidRPr="00692F44">
        <w:rPr>
          <w:rFonts w:asciiTheme="minorHAnsi" w:hAnsiTheme="minorHAnsi" w:cstheme="minorBidi"/>
          <w:sz w:val="21"/>
          <w:szCs w:val="21"/>
          <w:lang w:eastAsia="zh-CN"/>
        </w:rPr>
        <w:t>therapist-supported</w:t>
      </w:r>
      <w:proofErr w:type="gramEnd"/>
      <w:r w:rsidRPr="00692F44">
        <w:rPr>
          <w:rFonts w:asciiTheme="minorHAnsi" w:hAnsiTheme="minorHAnsi" w:cstheme="minorBidi"/>
          <w:sz w:val="21"/>
          <w:szCs w:val="21"/>
          <w:lang w:eastAsia="zh-CN"/>
        </w:rPr>
        <w:t xml:space="preserve"> DMHSs. P</w:t>
      </w:r>
      <w:r w:rsidR="00950742">
        <w:rPr>
          <w:rFonts w:asciiTheme="minorHAnsi" w:hAnsiTheme="minorHAnsi" w:cstheme="minorBidi"/>
          <w:sz w:val="21"/>
          <w:szCs w:val="21"/>
          <w:lang w:eastAsia="zh-CN"/>
        </w:rPr>
        <w:t>sychotic</w:t>
      </w:r>
      <w:r w:rsidRPr="00692F44">
        <w:rPr>
          <w:rFonts w:asciiTheme="minorHAnsi" w:hAnsiTheme="minorHAnsi" w:cstheme="minorBidi"/>
          <w:sz w:val="21"/>
          <w:szCs w:val="21"/>
          <w:lang w:eastAsia="zh-CN"/>
        </w:rPr>
        <w:t xml:space="preserve"> disorders were the </w:t>
      </w:r>
      <w:proofErr w:type="gramStart"/>
      <w:r w:rsidRPr="00692F44">
        <w:rPr>
          <w:rFonts w:asciiTheme="minorHAnsi" w:hAnsiTheme="minorHAnsi" w:cstheme="minorBidi"/>
          <w:sz w:val="21"/>
          <w:szCs w:val="21"/>
          <w:lang w:eastAsia="zh-CN"/>
        </w:rPr>
        <w:t>most commonly selected</w:t>
      </w:r>
      <w:proofErr w:type="gramEnd"/>
      <w:r w:rsidRPr="00692F44">
        <w:rPr>
          <w:rFonts w:asciiTheme="minorHAnsi" w:hAnsiTheme="minorHAnsi" w:cstheme="minorBidi"/>
          <w:sz w:val="21"/>
          <w:szCs w:val="21"/>
          <w:lang w:eastAsia="zh-CN"/>
        </w:rPr>
        <w:t xml:space="preserve"> as unsuitable for both types of DMHSs.</w:t>
      </w:r>
    </w:p>
    <w:p w14:paraId="432B3C93" w14:textId="3981EB05" w:rsidR="00692F44" w:rsidRPr="00692F44" w:rsidRDefault="00692F44" w:rsidP="00EB388A">
      <w:pPr>
        <w:pStyle w:val="tableheading"/>
      </w:pPr>
      <w:bookmarkStart w:id="246" w:name="_Toc107508821"/>
      <w:bookmarkStart w:id="247" w:name="_Hlk103864621"/>
      <w:r w:rsidRPr="00692F44">
        <w:t xml:space="preserve">Table </w:t>
      </w:r>
      <w:r w:rsidR="00D90294" w:rsidRPr="00D90294">
        <w:t>50</w:t>
      </w:r>
      <w:r w:rsidRPr="00D90294">
        <w:t>.</w:t>
      </w:r>
      <w:r w:rsidRPr="00692F44">
        <w:t xml:space="preserve"> Perceived suitability of self-directed and </w:t>
      </w:r>
      <w:proofErr w:type="gramStart"/>
      <w:r w:rsidRPr="00692F44">
        <w:t>therapist-supported</w:t>
      </w:r>
      <w:proofErr w:type="gramEnd"/>
      <w:r w:rsidRPr="00692F44">
        <w:t xml:space="preserve"> DMHSs for mental health problems (N=52)</w:t>
      </w:r>
      <w:bookmarkEnd w:id="246"/>
    </w:p>
    <w:tbl>
      <w:tblPr>
        <w:tblStyle w:val="LightList2"/>
        <w:tblW w:w="4947" w:type="pct"/>
        <w:tblLook w:val="04A0" w:firstRow="1" w:lastRow="0" w:firstColumn="1" w:lastColumn="0" w:noHBand="0" w:noVBand="1"/>
        <w:tblDescription w:val="Table describing Perceived suitability of self-directed and therapist-supported DMHSs for mental health problems (N=52)"/>
      </w:tblPr>
      <w:tblGrid>
        <w:gridCol w:w="4770"/>
        <w:gridCol w:w="1238"/>
        <w:gridCol w:w="1242"/>
        <w:gridCol w:w="1242"/>
        <w:gridCol w:w="1136"/>
      </w:tblGrid>
      <w:tr w:rsidR="00692F44" w:rsidRPr="00692F44" w14:paraId="51134CF6" w14:textId="777777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77" w:type="pct"/>
            <w:vMerge w:val="restart"/>
            <w:tcBorders>
              <w:top w:val="single" w:sz="8" w:space="0" w:color="000000" w:themeColor="text1"/>
              <w:left w:val="single" w:sz="8" w:space="0" w:color="000000" w:themeColor="text1"/>
              <w:bottom w:val="single" w:sz="4" w:space="0" w:color="auto"/>
              <w:right w:val="nil"/>
            </w:tcBorders>
            <w:noWrap/>
            <w:hideMark/>
          </w:tcPr>
          <w:p w14:paraId="6CBFA11A" w14:textId="77777777" w:rsidR="00692F44" w:rsidRPr="00692F44" w:rsidRDefault="00692F44" w:rsidP="00692F44">
            <w:pPr>
              <w:snapToGrid w:val="0"/>
              <w:rPr>
                <w:rFonts w:asciiTheme="minorHAnsi" w:eastAsiaTheme="minorHAnsi" w:hAnsiTheme="minorHAnsi" w:cstheme="minorHAnsi"/>
                <w:sz w:val="17"/>
                <w:szCs w:val="17"/>
                <w:lang w:eastAsia="en-US"/>
              </w:rPr>
            </w:pPr>
          </w:p>
        </w:tc>
        <w:tc>
          <w:tcPr>
            <w:tcW w:w="1287" w:type="pct"/>
            <w:gridSpan w:val="2"/>
            <w:tcBorders>
              <w:top w:val="single" w:sz="8" w:space="0" w:color="000000" w:themeColor="text1"/>
              <w:left w:val="nil"/>
              <w:bottom w:val="single" w:sz="4" w:space="0" w:color="auto"/>
              <w:right w:val="nil"/>
            </w:tcBorders>
            <w:noWrap/>
            <w:hideMark/>
          </w:tcPr>
          <w:p w14:paraId="0E944A26" w14:textId="77777777" w:rsidR="00692F44" w:rsidRPr="00692F44" w:rsidRDefault="00692F44" w:rsidP="00692F44">
            <w:pPr>
              <w:snapToGrid w:val="0"/>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Self-directed DMHSs</w:t>
            </w:r>
          </w:p>
        </w:tc>
        <w:tc>
          <w:tcPr>
            <w:tcW w:w="1235" w:type="pct"/>
            <w:gridSpan w:val="2"/>
            <w:tcBorders>
              <w:top w:val="single" w:sz="8" w:space="0" w:color="000000" w:themeColor="text1"/>
              <w:left w:val="nil"/>
              <w:bottom w:val="single" w:sz="4" w:space="0" w:color="auto"/>
              <w:right w:val="single" w:sz="4" w:space="0" w:color="auto"/>
            </w:tcBorders>
            <w:noWrap/>
            <w:hideMark/>
          </w:tcPr>
          <w:p w14:paraId="69ED5644" w14:textId="77777777" w:rsidR="00692F44" w:rsidRPr="00692F44" w:rsidRDefault="00692F44" w:rsidP="00692F44">
            <w:pPr>
              <w:snapToGrid w:val="0"/>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Supported DMHS</w:t>
            </w:r>
          </w:p>
        </w:tc>
      </w:tr>
      <w:tr w:rsidR="00692F44" w:rsidRPr="00692F44" w14:paraId="01EBC0FA" w14:textId="77777777">
        <w:trPr>
          <w:cnfStyle w:val="000000100000" w:firstRow="0" w:lastRow="0" w:firstColumn="0" w:lastColumn="0" w:oddVBand="0" w:evenVBand="0" w:oddHBand="1" w:evenHBand="0" w:firstRowFirstColumn="0" w:firstRowLastColumn="0" w:lastRowFirstColumn="0" w:lastRowLastColumn="0"/>
          <w:trHeight w:val="55"/>
        </w:trPr>
        <w:tc>
          <w:tcPr>
            <w:cnfStyle w:val="001000000000" w:firstRow="0" w:lastRow="0" w:firstColumn="1" w:lastColumn="0" w:oddVBand="0" w:evenVBand="0" w:oddHBand="0" w:evenHBand="0" w:firstRowFirstColumn="0" w:firstRowLastColumn="0" w:lastRowFirstColumn="0" w:lastRowLastColumn="0"/>
            <w:tcW w:w="2477" w:type="pct"/>
            <w:vMerge/>
            <w:tcBorders>
              <w:top w:val="single" w:sz="4" w:space="0" w:color="auto"/>
              <w:bottom w:val="single" w:sz="4" w:space="0" w:color="auto"/>
              <w:right w:val="nil"/>
            </w:tcBorders>
            <w:shd w:val="clear" w:color="auto" w:fill="000000" w:themeFill="text1"/>
            <w:noWrap/>
            <w:hideMark/>
          </w:tcPr>
          <w:p w14:paraId="6C7C6689" w14:textId="77777777" w:rsidR="00692F44" w:rsidRPr="00692F44" w:rsidRDefault="00692F44" w:rsidP="00692F44">
            <w:pPr>
              <w:rPr>
                <w:rFonts w:asciiTheme="minorHAnsi" w:eastAsiaTheme="minorHAnsi" w:hAnsiTheme="minorHAnsi" w:cstheme="minorHAnsi"/>
                <w:sz w:val="17"/>
                <w:szCs w:val="17"/>
                <w:lang w:eastAsia="en-US"/>
              </w:rPr>
            </w:pPr>
          </w:p>
        </w:tc>
        <w:tc>
          <w:tcPr>
            <w:tcW w:w="643" w:type="pct"/>
            <w:tcBorders>
              <w:top w:val="single" w:sz="4" w:space="0" w:color="auto"/>
              <w:left w:val="nil"/>
              <w:bottom w:val="single" w:sz="4" w:space="0" w:color="auto"/>
              <w:right w:val="nil"/>
            </w:tcBorders>
            <w:shd w:val="clear" w:color="auto" w:fill="000000" w:themeFill="text1"/>
            <w:noWrap/>
            <w:hideMark/>
          </w:tcPr>
          <w:p w14:paraId="7B76888E"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Freq</w:t>
            </w:r>
          </w:p>
        </w:tc>
        <w:tc>
          <w:tcPr>
            <w:tcW w:w="645" w:type="pct"/>
            <w:tcBorders>
              <w:top w:val="single" w:sz="4" w:space="0" w:color="auto"/>
              <w:left w:val="nil"/>
              <w:bottom w:val="single" w:sz="4" w:space="0" w:color="auto"/>
              <w:right w:val="nil"/>
            </w:tcBorders>
            <w:shd w:val="clear" w:color="auto" w:fill="000000" w:themeFill="text1"/>
            <w:noWrap/>
            <w:hideMark/>
          </w:tcPr>
          <w:p w14:paraId="0D61BA48"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w:t>
            </w:r>
          </w:p>
        </w:tc>
        <w:tc>
          <w:tcPr>
            <w:tcW w:w="645" w:type="pct"/>
            <w:tcBorders>
              <w:top w:val="single" w:sz="4" w:space="0" w:color="auto"/>
              <w:left w:val="nil"/>
              <w:bottom w:val="single" w:sz="4" w:space="0" w:color="auto"/>
              <w:right w:val="nil"/>
            </w:tcBorders>
            <w:shd w:val="clear" w:color="auto" w:fill="000000" w:themeFill="text1"/>
            <w:noWrap/>
            <w:hideMark/>
          </w:tcPr>
          <w:p w14:paraId="79341805"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Freq</w:t>
            </w:r>
          </w:p>
        </w:tc>
        <w:tc>
          <w:tcPr>
            <w:tcW w:w="591" w:type="pct"/>
            <w:tcBorders>
              <w:top w:val="single" w:sz="4" w:space="0" w:color="auto"/>
              <w:left w:val="nil"/>
              <w:bottom w:val="single" w:sz="4" w:space="0" w:color="auto"/>
              <w:right w:val="single" w:sz="4" w:space="0" w:color="auto"/>
            </w:tcBorders>
            <w:shd w:val="clear" w:color="auto" w:fill="000000" w:themeFill="text1"/>
            <w:noWrap/>
            <w:hideMark/>
          </w:tcPr>
          <w:p w14:paraId="5E8A7D0A"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w:t>
            </w:r>
          </w:p>
        </w:tc>
      </w:tr>
      <w:tr w:rsidR="00692F44" w:rsidRPr="00692F44" w14:paraId="54FA0434" w14:textId="77777777">
        <w:trPr>
          <w:trHeight w:val="1003"/>
        </w:trPr>
        <w:tc>
          <w:tcPr>
            <w:cnfStyle w:val="001000000000" w:firstRow="0" w:lastRow="0" w:firstColumn="1" w:lastColumn="0" w:oddVBand="0" w:evenVBand="0" w:oddHBand="0" w:evenHBand="0" w:firstRowFirstColumn="0" w:firstRowLastColumn="0" w:lastRowFirstColumn="0" w:lastRowLastColumn="0"/>
            <w:tcW w:w="2477" w:type="pct"/>
            <w:tcBorders>
              <w:top w:val="single" w:sz="4" w:space="0" w:color="auto"/>
              <w:left w:val="single" w:sz="8" w:space="0" w:color="000000" w:themeColor="text1"/>
              <w:bottom w:val="single" w:sz="8" w:space="0" w:color="000000" w:themeColor="text1"/>
              <w:right w:val="nil"/>
            </w:tcBorders>
            <w:noWrap/>
            <w:hideMark/>
          </w:tcPr>
          <w:p w14:paraId="4C56F037" w14:textId="77777777" w:rsidR="00692F44" w:rsidRPr="00354407" w:rsidRDefault="00692F44" w:rsidP="00692F44">
            <w:pPr>
              <w:ind w:right="390"/>
              <w:textAlignment w:val="baseline"/>
              <w:rPr>
                <w:rFonts w:asciiTheme="minorHAnsi" w:eastAsiaTheme="minorHAnsi" w:hAnsiTheme="minorHAnsi" w:cstheme="minorHAnsi"/>
                <w:sz w:val="18"/>
                <w:szCs w:val="18"/>
                <w:lang w:eastAsia="en-AU"/>
              </w:rPr>
            </w:pPr>
            <w:r w:rsidRPr="00354407">
              <w:rPr>
                <w:rFonts w:asciiTheme="minorHAnsi" w:eastAsiaTheme="minorHAnsi" w:hAnsiTheme="minorHAnsi" w:cstheme="minorHAnsi"/>
                <w:color w:val="000000"/>
                <w:sz w:val="18"/>
                <w:szCs w:val="18"/>
                <w:lang w:eastAsia="en-AU"/>
              </w:rPr>
              <w:t>Suitable severity of mental health problems</w:t>
            </w:r>
          </w:p>
          <w:p w14:paraId="3E4A4D11"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Mild</w:t>
            </w:r>
          </w:p>
          <w:p w14:paraId="437B62E9"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Moderate</w:t>
            </w:r>
          </w:p>
          <w:p w14:paraId="6F8E6766"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Severe</w:t>
            </w:r>
          </w:p>
          <w:p w14:paraId="45219D54" w14:textId="77777777" w:rsidR="00692F44" w:rsidRPr="00354407" w:rsidRDefault="00692F44" w:rsidP="00692F44">
            <w:pPr>
              <w:ind w:left="167"/>
              <w:rPr>
                <w:rFonts w:asciiTheme="minorHAnsi" w:eastAsiaTheme="minorHAnsi" w:hAnsiTheme="minorHAnsi" w:cstheme="minorHAnsi"/>
                <w:sz w:val="18"/>
                <w:szCs w:val="18"/>
                <w:lang w:eastAsia="en-US"/>
              </w:rPr>
            </w:pPr>
            <w:r w:rsidRPr="00354407">
              <w:rPr>
                <w:rFonts w:asciiTheme="minorHAnsi" w:eastAsiaTheme="minorHAnsi" w:hAnsiTheme="minorHAnsi" w:cstheme="minorHAnsi"/>
                <w:b w:val="0"/>
                <w:bCs w:val="0"/>
                <w:sz w:val="18"/>
                <w:szCs w:val="18"/>
                <w:lang w:eastAsia="en-US"/>
              </w:rPr>
              <w:t>Missing</w:t>
            </w:r>
          </w:p>
        </w:tc>
        <w:tc>
          <w:tcPr>
            <w:tcW w:w="643" w:type="pct"/>
            <w:tcBorders>
              <w:top w:val="single" w:sz="4" w:space="0" w:color="auto"/>
              <w:left w:val="nil"/>
              <w:bottom w:val="single" w:sz="8" w:space="0" w:color="000000" w:themeColor="text1"/>
              <w:right w:val="nil"/>
            </w:tcBorders>
            <w:noWrap/>
          </w:tcPr>
          <w:p w14:paraId="359D814C"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p>
          <w:p w14:paraId="76761C05"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45</w:t>
            </w:r>
          </w:p>
          <w:p w14:paraId="2C1DDCBC"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36</w:t>
            </w:r>
          </w:p>
          <w:p w14:paraId="10A9E7F3"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17</w:t>
            </w:r>
          </w:p>
          <w:p w14:paraId="61340BF9"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7</w:t>
            </w:r>
          </w:p>
        </w:tc>
        <w:tc>
          <w:tcPr>
            <w:tcW w:w="645" w:type="pct"/>
            <w:tcBorders>
              <w:top w:val="single" w:sz="4" w:space="0" w:color="auto"/>
              <w:left w:val="nil"/>
              <w:bottom w:val="single" w:sz="8" w:space="0" w:color="000000" w:themeColor="text1"/>
              <w:right w:val="nil"/>
            </w:tcBorders>
            <w:noWrap/>
          </w:tcPr>
          <w:p w14:paraId="24BC403A"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p>
          <w:p w14:paraId="64F8B2B5"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86.5</w:t>
            </w:r>
          </w:p>
          <w:p w14:paraId="33ECA817"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69.2</w:t>
            </w:r>
          </w:p>
          <w:p w14:paraId="18F94822"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32.7</w:t>
            </w:r>
          </w:p>
          <w:p w14:paraId="2E5108A9"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13.5</w:t>
            </w:r>
          </w:p>
        </w:tc>
        <w:tc>
          <w:tcPr>
            <w:tcW w:w="645" w:type="pct"/>
            <w:tcBorders>
              <w:top w:val="single" w:sz="4" w:space="0" w:color="auto"/>
              <w:left w:val="nil"/>
              <w:bottom w:val="single" w:sz="8" w:space="0" w:color="000000" w:themeColor="text1"/>
              <w:right w:val="nil"/>
            </w:tcBorders>
            <w:noWrap/>
          </w:tcPr>
          <w:p w14:paraId="75C5F9BB"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p>
          <w:p w14:paraId="470A7FEE"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44</w:t>
            </w:r>
          </w:p>
          <w:p w14:paraId="78DAB72E"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43</w:t>
            </w:r>
          </w:p>
          <w:p w14:paraId="79B26B39"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28</w:t>
            </w:r>
          </w:p>
          <w:p w14:paraId="4CC8724D"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7</w:t>
            </w:r>
          </w:p>
        </w:tc>
        <w:tc>
          <w:tcPr>
            <w:tcW w:w="591" w:type="pct"/>
            <w:tcBorders>
              <w:top w:val="single" w:sz="4" w:space="0" w:color="auto"/>
              <w:left w:val="nil"/>
              <w:bottom w:val="single" w:sz="8" w:space="0" w:color="000000" w:themeColor="text1"/>
              <w:right w:val="single" w:sz="4" w:space="0" w:color="auto"/>
            </w:tcBorders>
            <w:noWrap/>
          </w:tcPr>
          <w:p w14:paraId="40D5D2E8"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p>
          <w:p w14:paraId="6608ED70"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84.6</w:t>
            </w:r>
          </w:p>
          <w:p w14:paraId="7F89D5BF"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82.7</w:t>
            </w:r>
          </w:p>
          <w:p w14:paraId="65DA0E73"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53.8</w:t>
            </w:r>
          </w:p>
          <w:p w14:paraId="79693A99"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13.5</w:t>
            </w:r>
          </w:p>
        </w:tc>
      </w:tr>
      <w:tr w:rsidR="00692F44" w:rsidRPr="00692F44" w14:paraId="28E9469A" w14:textId="77777777">
        <w:trPr>
          <w:cnfStyle w:val="000000100000" w:firstRow="0" w:lastRow="0" w:firstColumn="0" w:lastColumn="0" w:oddVBand="0" w:evenVBand="0" w:oddHBand="1" w:evenHBand="0" w:firstRowFirstColumn="0" w:firstRowLastColumn="0" w:lastRowFirstColumn="0" w:lastRowLastColumn="0"/>
          <w:trHeight w:val="643"/>
        </w:trPr>
        <w:tc>
          <w:tcPr>
            <w:cnfStyle w:val="001000000000" w:firstRow="0" w:lastRow="0" w:firstColumn="1" w:lastColumn="0" w:oddVBand="0" w:evenVBand="0" w:oddHBand="0" w:evenHBand="0" w:firstRowFirstColumn="0" w:firstRowLastColumn="0" w:lastRowFirstColumn="0" w:lastRowLastColumn="0"/>
            <w:tcW w:w="2477" w:type="pct"/>
            <w:tcBorders>
              <w:right w:val="nil"/>
            </w:tcBorders>
            <w:noWrap/>
            <w:hideMark/>
          </w:tcPr>
          <w:p w14:paraId="16802C37" w14:textId="77777777" w:rsidR="00692F44" w:rsidRPr="00354407" w:rsidRDefault="00692F44" w:rsidP="00692F44">
            <w:pPr>
              <w:rPr>
                <w:rFonts w:asciiTheme="minorHAnsi" w:eastAsiaTheme="minorHAnsi" w:hAnsiTheme="minorHAnsi" w:cstheme="minorHAnsi"/>
                <w:sz w:val="18"/>
                <w:szCs w:val="18"/>
                <w:lang w:eastAsia="en-US"/>
              </w:rPr>
            </w:pPr>
            <w:r w:rsidRPr="00354407">
              <w:rPr>
                <w:rFonts w:asciiTheme="minorHAnsi" w:eastAsiaTheme="minorHAnsi" w:hAnsiTheme="minorHAnsi" w:cstheme="minorHAnsi"/>
                <w:sz w:val="18"/>
                <w:szCs w:val="18"/>
                <w:lang w:eastAsia="en-US"/>
              </w:rPr>
              <w:t>Suitable</w:t>
            </w:r>
          </w:p>
          <w:p w14:paraId="4E2CEDFB"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Depression</w:t>
            </w:r>
          </w:p>
          <w:p w14:paraId="2CB29246"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Anxiety</w:t>
            </w:r>
          </w:p>
          <w:p w14:paraId="59A243F8"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PTSD</w:t>
            </w:r>
          </w:p>
          <w:p w14:paraId="4116784E"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OCD</w:t>
            </w:r>
          </w:p>
          <w:p w14:paraId="161221CE"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Eating disorders</w:t>
            </w:r>
          </w:p>
          <w:p w14:paraId="50A78AAA"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Bipolar disorders</w:t>
            </w:r>
          </w:p>
          <w:p w14:paraId="467F89C1" w14:textId="3F170A9C"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Psychotic disorders (e.g.,</w:t>
            </w:r>
            <w:r w:rsidR="009F1927" w:rsidRPr="00354407">
              <w:rPr>
                <w:rFonts w:asciiTheme="minorHAnsi" w:eastAsiaTheme="minorHAnsi" w:hAnsiTheme="minorHAnsi" w:cstheme="minorHAnsi"/>
                <w:b w:val="0"/>
                <w:bCs w:val="0"/>
                <w:sz w:val="18"/>
                <w:szCs w:val="18"/>
                <w:lang w:eastAsia="en-US"/>
              </w:rPr>
              <w:t xml:space="preserve"> </w:t>
            </w:r>
            <w:r w:rsidRPr="00354407">
              <w:rPr>
                <w:rFonts w:asciiTheme="minorHAnsi" w:eastAsiaTheme="minorHAnsi" w:hAnsiTheme="minorHAnsi" w:cstheme="minorHAnsi"/>
                <w:b w:val="0"/>
                <w:bCs w:val="0"/>
                <w:sz w:val="18"/>
                <w:szCs w:val="18"/>
                <w:lang w:eastAsia="en-US"/>
              </w:rPr>
              <w:t>Schizophreni</w:t>
            </w:r>
            <w:r w:rsidRPr="00354407">
              <w:rPr>
                <w:rFonts w:asciiTheme="minorHAnsi" w:eastAsiaTheme="minorHAnsi" w:hAnsiTheme="minorHAnsi" w:cstheme="minorHAnsi"/>
                <w:sz w:val="18"/>
                <w:szCs w:val="18"/>
                <w:lang w:eastAsia="en-US"/>
              </w:rPr>
              <w:t>a</w:t>
            </w:r>
            <w:r w:rsidRPr="00354407">
              <w:rPr>
                <w:rFonts w:asciiTheme="minorHAnsi" w:eastAsiaTheme="minorHAnsi" w:hAnsiTheme="minorHAnsi" w:cstheme="minorHAnsi"/>
                <w:b w:val="0"/>
                <w:bCs w:val="0"/>
                <w:sz w:val="18"/>
                <w:szCs w:val="18"/>
                <w:lang w:eastAsia="en-US"/>
              </w:rPr>
              <w:t>)</w:t>
            </w:r>
          </w:p>
          <w:p w14:paraId="25D47D78"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Personality disorders</w:t>
            </w:r>
          </w:p>
          <w:p w14:paraId="63DE1B97"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Self-harm</w:t>
            </w:r>
          </w:p>
          <w:p w14:paraId="5AD55622"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Suicidal ideation</w:t>
            </w:r>
          </w:p>
          <w:p w14:paraId="45562DDE"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Substance use disorders</w:t>
            </w:r>
          </w:p>
          <w:p w14:paraId="162A7D7C"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proofErr w:type="spellStart"/>
            <w:r w:rsidRPr="00354407">
              <w:rPr>
                <w:rFonts w:asciiTheme="minorHAnsi" w:eastAsiaTheme="minorHAnsi" w:hAnsiTheme="minorHAnsi" w:cstheme="minorHAnsi"/>
                <w:b w:val="0"/>
                <w:bCs w:val="0"/>
                <w:sz w:val="18"/>
                <w:szCs w:val="18"/>
                <w:lang w:eastAsia="en-US"/>
              </w:rPr>
              <w:t>Other</w:t>
            </w:r>
            <w:r w:rsidRPr="00354407">
              <w:rPr>
                <w:rFonts w:asciiTheme="minorHAnsi" w:eastAsiaTheme="minorHAnsi" w:hAnsiTheme="minorHAnsi" w:cstheme="minorHAnsi"/>
                <w:b w:val="0"/>
                <w:bCs w:val="0"/>
                <w:sz w:val="18"/>
                <w:szCs w:val="18"/>
                <w:vertAlign w:val="superscript"/>
                <w:lang w:eastAsia="en-US"/>
              </w:rPr>
              <w:t>a</w:t>
            </w:r>
            <w:proofErr w:type="spellEnd"/>
          </w:p>
          <w:p w14:paraId="771CBDBC"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Unsure</w:t>
            </w:r>
          </w:p>
          <w:p w14:paraId="24A7BE46" w14:textId="77777777" w:rsidR="00692F44" w:rsidRPr="00354407" w:rsidRDefault="00692F44" w:rsidP="00692F44">
            <w:pPr>
              <w:ind w:left="167"/>
              <w:rPr>
                <w:rFonts w:asciiTheme="minorHAnsi" w:eastAsiaTheme="minorHAnsi" w:hAnsiTheme="minorHAnsi" w:cstheme="minorHAnsi"/>
                <w:sz w:val="18"/>
                <w:szCs w:val="18"/>
                <w:lang w:eastAsia="en-US"/>
              </w:rPr>
            </w:pPr>
            <w:r w:rsidRPr="00354407">
              <w:rPr>
                <w:rFonts w:asciiTheme="minorHAnsi" w:eastAsiaTheme="minorHAnsi" w:hAnsiTheme="minorHAnsi" w:cstheme="minorHAnsi"/>
                <w:b w:val="0"/>
                <w:bCs w:val="0"/>
                <w:sz w:val="18"/>
                <w:szCs w:val="18"/>
                <w:lang w:eastAsia="en-US"/>
              </w:rPr>
              <w:t>Did not select a response</w:t>
            </w:r>
          </w:p>
        </w:tc>
        <w:tc>
          <w:tcPr>
            <w:tcW w:w="643" w:type="pct"/>
            <w:tcBorders>
              <w:left w:val="nil"/>
              <w:right w:val="nil"/>
            </w:tcBorders>
            <w:noWrap/>
          </w:tcPr>
          <w:p w14:paraId="523B4956"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p>
          <w:p w14:paraId="47795424"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39</w:t>
            </w:r>
          </w:p>
          <w:p w14:paraId="149DB223"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40</w:t>
            </w:r>
          </w:p>
          <w:p w14:paraId="00C7A004"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25</w:t>
            </w:r>
          </w:p>
          <w:p w14:paraId="05526EE2"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30</w:t>
            </w:r>
          </w:p>
          <w:p w14:paraId="467474C5"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22</w:t>
            </w:r>
          </w:p>
          <w:p w14:paraId="7CB09664"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20</w:t>
            </w:r>
          </w:p>
          <w:p w14:paraId="1D867FB4"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13</w:t>
            </w:r>
          </w:p>
          <w:p w14:paraId="4BDDDC27"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23</w:t>
            </w:r>
          </w:p>
          <w:p w14:paraId="1953B41D"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23</w:t>
            </w:r>
          </w:p>
          <w:p w14:paraId="3B317E3F"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23</w:t>
            </w:r>
          </w:p>
          <w:p w14:paraId="74C51C30"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25</w:t>
            </w:r>
          </w:p>
          <w:p w14:paraId="48D74D75"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8</w:t>
            </w:r>
          </w:p>
          <w:p w14:paraId="06C34A43"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5</w:t>
            </w:r>
          </w:p>
          <w:p w14:paraId="0D04AE21"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7</w:t>
            </w:r>
          </w:p>
        </w:tc>
        <w:tc>
          <w:tcPr>
            <w:tcW w:w="645" w:type="pct"/>
            <w:tcBorders>
              <w:left w:val="nil"/>
              <w:right w:val="nil"/>
            </w:tcBorders>
            <w:noWrap/>
          </w:tcPr>
          <w:p w14:paraId="0798EDE6"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p>
          <w:p w14:paraId="10EB5617"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75.0</w:t>
            </w:r>
          </w:p>
          <w:p w14:paraId="2F527969"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76.9</w:t>
            </w:r>
          </w:p>
          <w:p w14:paraId="0A088ECF"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48.1</w:t>
            </w:r>
          </w:p>
          <w:p w14:paraId="055B50A1"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57.7</w:t>
            </w:r>
          </w:p>
          <w:p w14:paraId="1B30D129"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42.3</w:t>
            </w:r>
          </w:p>
          <w:p w14:paraId="3AD4CCDD"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38.5</w:t>
            </w:r>
          </w:p>
          <w:p w14:paraId="10C41241"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25.0</w:t>
            </w:r>
          </w:p>
          <w:p w14:paraId="4CFD0488"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44.2</w:t>
            </w:r>
          </w:p>
          <w:p w14:paraId="21A3A2BC"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44.2</w:t>
            </w:r>
          </w:p>
          <w:p w14:paraId="1DA6CB29"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44.2</w:t>
            </w:r>
          </w:p>
          <w:p w14:paraId="22CC949A"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48.1</w:t>
            </w:r>
          </w:p>
          <w:p w14:paraId="1D6D8DF9"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15.4</w:t>
            </w:r>
          </w:p>
          <w:p w14:paraId="0EEC3B83"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9.6</w:t>
            </w:r>
          </w:p>
          <w:p w14:paraId="17B3D0F5"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13.5</w:t>
            </w:r>
          </w:p>
        </w:tc>
        <w:tc>
          <w:tcPr>
            <w:tcW w:w="645" w:type="pct"/>
            <w:tcBorders>
              <w:left w:val="nil"/>
              <w:right w:val="nil"/>
            </w:tcBorders>
            <w:noWrap/>
          </w:tcPr>
          <w:p w14:paraId="6863FB9A"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p>
          <w:p w14:paraId="5EB8306A"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40</w:t>
            </w:r>
          </w:p>
          <w:p w14:paraId="5B263ACF"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40</w:t>
            </w:r>
          </w:p>
          <w:p w14:paraId="64AAEB0B"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33</w:t>
            </w:r>
          </w:p>
          <w:p w14:paraId="0C07E8A7"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34</w:t>
            </w:r>
          </w:p>
          <w:p w14:paraId="26751879"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33</w:t>
            </w:r>
          </w:p>
          <w:p w14:paraId="7538B092"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29</w:t>
            </w:r>
          </w:p>
          <w:p w14:paraId="1ADAD058"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25</w:t>
            </w:r>
          </w:p>
          <w:p w14:paraId="57778AD2"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32</w:t>
            </w:r>
          </w:p>
          <w:p w14:paraId="201585BD"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31</w:t>
            </w:r>
          </w:p>
          <w:p w14:paraId="74B86944"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35</w:t>
            </w:r>
          </w:p>
          <w:p w14:paraId="61AB4C17"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32</w:t>
            </w:r>
          </w:p>
          <w:p w14:paraId="0392E7E6"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9</w:t>
            </w:r>
          </w:p>
          <w:p w14:paraId="35D7185B"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5</w:t>
            </w:r>
          </w:p>
          <w:p w14:paraId="17CE1E92"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8</w:t>
            </w:r>
          </w:p>
        </w:tc>
        <w:tc>
          <w:tcPr>
            <w:tcW w:w="591" w:type="pct"/>
            <w:tcBorders>
              <w:left w:val="nil"/>
              <w:right w:val="single" w:sz="4" w:space="0" w:color="auto"/>
            </w:tcBorders>
            <w:noWrap/>
          </w:tcPr>
          <w:p w14:paraId="597793C4"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p>
          <w:p w14:paraId="5B6CA00A"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76.9</w:t>
            </w:r>
          </w:p>
          <w:p w14:paraId="714497AA"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76.9</w:t>
            </w:r>
          </w:p>
          <w:p w14:paraId="6F7B5482"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63.5</w:t>
            </w:r>
          </w:p>
          <w:p w14:paraId="6965F3E3"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65.4</w:t>
            </w:r>
          </w:p>
          <w:p w14:paraId="074A44A1"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63.5</w:t>
            </w:r>
          </w:p>
          <w:p w14:paraId="47377CF3"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55.8</w:t>
            </w:r>
          </w:p>
          <w:p w14:paraId="36C1536A"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48.1</w:t>
            </w:r>
          </w:p>
          <w:p w14:paraId="31A9DAE2"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61.5</w:t>
            </w:r>
          </w:p>
          <w:p w14:paraId="5C3ECD9E"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59.6</w:t>
            </w:r>
          </w:p>
          <w:p w14:paraId="7063051B"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67.3</w:t>
            </w:r>
          </w:p>
          <w:p w14:paraId="21C7CD6E"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61.5</w:t>
            </w:r>
          </w:p>
          <w:p w14:paraId="0920A8BD"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17.3</w:t>
            </w:r>
          </w:p>
          <w:p w14:paraId="44F621D8"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9.6</w:t>
            </w:r>
          </w:p>
          <w:p w14:paraId="317D2460"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15.4</w:t>
            </w:r>
          </w:p>
        </w:tc>
      </w:tr>
      <w:tr w:rsidR="00692F44" w:rsidRPr="00692F44" w14:paraId="5D0EA056" w14:textId="77777777">
        <w:trPr>
          <w:trHeight w:val="600"/>
        </w:trPr>
        <w:tc>
          <w:tcPr>
            <w:cnfStyle w:val="001000000000" w:firstRow="0" w:lastRow="0" w:firstColumn="1" w:lastColumn="0" w:oddVBand="0" w:evenVBand="0" w:oddHBand="0" w:evenHBand="0" w:firstRowFirstColumn="0" w:firstRowLastColumn="0" w:lastRowFirstColumn="0" w:lastRowLastColumn="0"/>
            <w:tcW w:w="2477" w:type="pct"/>
            <w:tcBorders>
              <w:right w:val="nil"/>
            </w:tcBorders>
            <w:noWrap/>
            <w:hideMark/>
          </w:tcPr>
          <w:p w14:paraId="18463F9D" w14:textId="77777777" w:rsidR="00692F44" w:rsidRPr="00354407" w:rsidRDefault="00692F44" w:rsidP="00692F44">
            <w:pPr>
              <w:rPr>
                <w:rFonts w:asciiTheme="minorHAnsi" w:eastAsiaTheme="minorHAnsi" w:hAnsiTheme="minorHAnsi" w:cstheme="minorHAnsi"/>
                <w:sz w:val="18"/>
                <w:szCs w:val="18"/>
                <w:lang w:eastAsia="en-US"/>
              </w:rPr>
            </w:pPr>
            <w:r w:rsidRPr="00354407">
              <w:rPr>
                <w:rFonts w:asciiTheme="minorHAnsi" w:eastAsiaTheme="minorHAnsi" w:hAnsiTheme="minorHAnsi" w:cstheme="minorHAnsi"/>
                <w:sz w:val="18"/>
                <w:szCs w:val="18"/>
                <w:lang w:eastAsia="en-US"/>
              </w:rPr>
              <w:t>Unsuitable</w:t>
            </w:r>
          </w:p>
          <w:p w14:paraId="5A033051"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Depression</w:t>
            </w:r>
          </w:p>
          <w:p w14:paraId="47617BCD"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Anxiety</w:t>
            </w:r>
          </w:p>
          <w:p w14:paraId="01D7424A"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PTSD</w:t>
            </w:r>
          </w:p>
          <w:p w14:paraId="3A16CA0E"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OCD</w:t>
            </w:r>
          </w:p>
          <w:p w14:paraId="17524545"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Eating disorders</w:t>
            </w:r>
          </w:p>
          <w:p w14:paraId="4A382BCD"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Bipolar disorders</w:t>
            </w:r>
          </w:p>
          <w:p w14:paraId="67F5391A" w14:textId="12B19FDA"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Psychotic disorders (e.g.,</w:t>
            </w:r>
            <w:r w:rsidR="009F1927" w:rsidRPr="00354407">
              <w:rPr>
                <w:rFonts w:asciiTheme="minorHAnsi" w:eastAsiaTheme="minorHAnsi" w:hAnsiTheme="minorHAnsi" w:cstheme="minorHAnsi"/>
                <w:b w:val="0"/>
                <w:bCs w:val="0"/>
                <w:sz w:val="18"/>
                <w:szCs w:val="18"/>
                <w:lang w:eastAsia="en-US"/>
              </w:rPr>
              <w:t xml:space="preserve"> </w:t>
            </w:r>
            <w:r w:rsidRPr="00354407">
              <w:rPr>
                <w:rFonts w:asciiTheme="minorHAnsi" w:eastAsiaTheme="minorHAnsi" w:hAnsiTheme="minorHAnsi" w:cstheme="minorHAnsi"/>
                <w:b w:val="0"/>
                <w:bCs w:val="0"/>
                <w:sz w:val="18"/>
                <w:szCs w:val="18"/>
                <w:lang w:eastAsia="en-US"/>
              </w:rPr>
              <w:t>Schizophreni</w:t>
            </w:r>
            <w:r w:rsidRPr="00354407">
              <w:rPr>
                <w:rFonts w:asciiTheme="minorHAnsi" w:eastAsiaTheme="minorHAnsi" w:hAnsiTheme="minorHAnsi" w:cstheme="minorHAnsi"/>
                <w:sz w:val="18"/>
                <w:szCs w:val="18"/>
                <w:lang w:eastAsia="en-US"/>
              </w:rPr>
              <w:t>a</w:t>
            </w:r>
            <w:r w:rsidRPr="00354407">
              <w:rPr>
                <w:rFonts w:asciiTheme="minorHAnsi" w:eastAsiaTheme="minorHAnsi" w:hAnsiTheme="minorHAnsi" w:cstheme="minorHAnsi"/>
                <w:b w:val="0"/>
                <w:bCs w:val="0"/>
                <w:sz w:val="18"/>
                <w:szCs w:val="18"/>
                <w:lang w:eastAsia="en-US"/>
              </w:rPr>
              <w:t>)</w:t>
            </w:r>
          </w:p>
          <w:p w14:paraId="459C8E49"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Personality disorders</w:t>
            </w:r>
          </w:p>
          <w:p w14:paraId="220B5951"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Self-harm</w:t>
            </w:r>
          </w:p>
          <w:p w14:paraId="286E4741"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Suicidal ideation</w:t>
            </w:r>
          </w:p>
          <w:p w14:paraId="29B03F63"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Substance use disorders</w:t>
            </w:r>
          </w:p>
          <w:p w14:paraId="697C8A56"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proofErr w:type="spellStart"/>
            <w:r w:rsidRPr="00354407">
              <w:rPr>
                <w:rFonts w:asciiTheme="minorHAnsi" w:eastAsiaTheme="minorHAnsi" w:hAnsiTheme="minorHAnsi" w:cstheme="minorHAnsi"/>
                <w:b w:val="0"/>
                <w:bCs w:val="0"/>
                <w:sz w:val="18"/>
                <w:szCs w:val="18"/>
                <w:lang w:eastAsia="en-US"/>
              </w:rPr>
              <w:t>Other</w:t>
            </w:r>
            <w:r w:rsidRPr="00354407">
              <w:rPr>
                <w:rFonts w:asciiTheme="minorHAnsi" w:eastAsiaTheme="minorHAnsi" w:hAnsiTheme="minorHAnsi" w:cstheme="minorHAnsi"/>
                <w:b w:val="0"/>
                <w:bCs w:val="0"/>
                <w:sz w:val="18"/>
                <w:szCs w:val="18"/>
                <w:vertAlign w:val="superscript"/>
                <w:lang w:eastAsia="en-US"/>
              </w:rPr>
              <w:t>a</w:t>
            </w:r>
            <w:proofErr w:type="spellEnd"/>
          </w:p>
          <w:p w14:paraId="69D3E91F" w14:textId="77777777" w:rsidR="00692F44" w:rsidRPr="00354407" w:rsidRDefault="00692F44" w:rsidP="00692F44">
            <w:pPr>
              <w:ind w:left="167"/>
              <w:rPr>
                <w:rFonts w:asciiTheme="minorHAnsi" w:eastAsiaTheme="minorHAnsi" w:hAnsiTheme="minorHAnsi" w:cstheme="minorHAnsi"/>
                <w:b w:val="0"/>
                <w:bCs w:val="0"/>
                <w:sz w:val="18"/>
                <w:szCs w:val="18"/>
                <w:lang w:eastAsia="en-US"/>
              </w:rPr>
            </w:pPr>
            <w:r w:rsidRPr="00354407">
              <w:rPr>
                <w:rFonts w:asciiTheme="minorHAnsi" w:eastAsiaTheme="minorHAnsi" w:hAnsiTheme="minorHAnsi" w:cstheme="minorHAnsi"/>
                <w:b w:val="0"/>
                <w:bCs w:val="0"/>
                <w:sz w:val="18"/>
                <w:szCs w:val="18"/>
                <w:lang w:eastAsia="en-US"/>
              </w:rPr>
              <w:t>Unsure</w:t>
            </w:r>
          </w:p>
          <w:p w14:paraId="01A328FA" w14:textId="77777777" w:rsidR="00692F44" w:rsidRPr="00354407" w:rsidRDefault="00692F44" w:rsidP="00692F44">
            <w:pPr>
              <w:ind w:left="167"/>
              <w:rPr>
                <w:rFonts w:asciiTheme="minorHAnsi" w:eastAsiaTheme="minorHAnsi" w:hAnsiTheme="minorHAnsi" w:cstheme="minorHAnsi"/>
                <w:sz w:val="18"/>
                <w:szCs w:val="18"/>
                <w:lang w:eastAsia="en-US"/>
              </w:rPr>
            </w:pPr>
            <w:r w:rsidRPr="00354407">
              <w:rPr>
                <w:rFonts w:asciiTheme="minorHAnsi" w:eastAsiaTheme="minorHAnsi" w:hAnsiTheme="minorHAnsi" w:cstheme="minorHAnsi"/>
                <w:b w:val="0"/>
                <w:bCs w:val="0"/>
                <w:sz w:val="18"/>
                <w:szCs w:val="18"/>
                <w:lang w:eastAsia="en-US"/>
              </w:rPr>
              <w:t>Did not select a response</w:t>
            </w:r>
          </w:p>
        </w:tc>
        <w:tc>
          <w:tcPr>
            <w:tcW w:w="643" w:type="pct"/>
            <w:tcBorders>
              <w:left w:val="nil"/>
              <w:right w:val="nil"/>
            </w:tcBorders>
            <w:noWrap/>
          </w:tcPr>
          <w:p w14:paraId="6B67A2B5"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p>
          <w:p w14:paraId="01D9FA30"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0</w:t>
            </w:r>
          </w:p>
          <w:p w14:paraId="225FA8D4"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0</w:t>
            </w:r>
          </w:p>
          <w:p w14:paraId="4ADC98FF"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5</w:t>
            </w:r>
          </w:p>
          <w:p w14:paraId="0BE6402A"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4</w:t>
            </w:r>
          </w:p>
          <w:p w14:paraId="1B38305A"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7</w:t>
            </w:r>
          </w:p>
          <w:p w14:paraId="55A39CCC"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9</w:t>
            </w:r>
          </w:p>
          <w:p w14:paraId="00C32F7B"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17</w:t>
            </w:r>
          </w:p>
          <w:p w14:paraId="5B012E57"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9</w:t>
            </w:r>
          </w:p>
          <w:p w14:paraId="575BA356"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8</w:t>
            </w:r>
          </w:p>
          <w:p w14:paraId="7195F67A"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6</w:t>
            </w:r>
          </w:p>
          <w:p w14:paraId="211D972A"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6</w:t>
            </w:r>
          </w:p>
          <w:p w14:paraId="073CEF04"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5</w:t>
            </w:r>
          </w:p>
          <w:p w14:paraId="47AA2E3D"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8</w:t>
            </w:r>
          </w:p>
          <w:p w14:paraId="66BCC66E"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22</w:t>
            </w:r>
          </w:p>
        </w:tc>
        <w:tc>
          <w:tcPr>
            <w:tcW w:w="645" w:type="pct"/>
            <w:tcBorders>
              <w:left w:val="nil"/>
              <w:right w:val="nil"/>
            </w:tcBorders>
            <w:noWrap/>
          </w:tcPr>
          <w:p w14:paraId="731555DB"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p>
          <w:p w14:paraId="148BA1FB"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0.0</w:t>
            </w:r>
          </w:p>
          <w:p w14:paraId="4BD1D18E"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0.0</w:t>
            </w:r>
          </w:p>
          <w:p w14:paraId="4B611757"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9.6</w:t>
            </w:r>
          </w:p>
          <w:p w14:paraId="66C94DE1"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7.7</w:t>
            </w:r>
          </w:p>
          <w:p w14:paraId="53BD9272"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13.5</w:t>
            </w:r>
          </w:p>
          <w:p w14:paraId="2AA7F3DC"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17.3</w:t>
            </w:r>
          </w:p>
          <w:p w14:paraId="08430D9A"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32.7</w:t>
            </w:r>
          </w:p>
          <w:p w14:paraId="0F6D75C9"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17.3</w:t>
            </w:r>
          </w:p>
          <w:p w14:paraId="754C5344"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15.4</w:t>
            </w:r>
          </w:p>
          <w:p w14:paraId="0C236133"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11.5</w:t>
            </w:r>
          </w:p>
          <w:p w14:paraId="4454A0FE"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11.5</w:t>
            </w:r>
          </w:p>
          <w:p w14:paraId="7DB10457"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9.6</w:t>
            </w:r>
          </w:p>
          <w:p w14:paraId="0B00762B"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15.4</w:t>
            </w:r>
          </w:p>
          <w:p w14:paraId="2BC20D24"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42.3</w:t>
            </w:r>
          </w:p>
        </w:tc>
        <w:tc>
          <w:tcPr>
            <w:tcW w:w="645" w:type="pct"/>
            <w:tcBorders>
              <w:left w:val="nil"/>
              <w:right w:val="nil"/>
            </w:tcBorders>
            <w:noWrap/>
          </w:tcPr>
          <w:p w14:paraId="4E7ED66C"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p>
          <w:p w14:paraId="72F4DDD9"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0</w:t>
            </w:r>
          </w:p>
          <w:p w14:paraId="36EFCE43"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0</w:t>
            </w:r>
          </w:p>
          <w:p w14:paraId="28C8A0B4"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2</w:t>
            </w:r>
          </w:p>
          <w:p w14:paraId="33C9F45B"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2</w:t>
            </w:r>
          </w:p>
          <w:p w14:paraId="65B00E2A"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3</w:t>
            </w:r>
          </w:p>
          <w:p w14:paraId="2E1C498F"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2</w:t>
            </w:r>
          </w:p>
          <w:p w14:paraId="0E3EC6CC"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9</w:t>
            </w:r>
          </w:p>
          <w:p w14:paraId="195D3D67"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4</w:t>
            </w:r>
          </w:p>
          <w:p w14:paraId="29096239"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3</w:t>
            </w:r>
          </w:p>
          <w:p w14:paraId="6809FB52"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4</w:t>
            </w:r>
          </w:p>
          <w:p w14:paraId="61FB7817"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3</w:t>
            </w:r>
          </w:p>
          <w:p w14:paraId="073AFB80"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4</w:t>
            </w:r>
          </w:p>
          <w:p w14:paraId="7CCF1B9D"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8</w:t>
            </w:r>
          </w:p>
          <w:p w14:paraId="30634621"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29</w:t>
            </w:r>
          </w:p>
        </w:tc>
        <w:tc>
          <w:tcPr>
            <w:tcW w:w="591" w:type="pct"/>
            <w:tcBorders>
              <w:left w:val="nil"/>
              <w:bottom w:val="single" w:sz="8" w:space="0" w:color="000000" w:themeColor="text1"/>
              <w:right w:val="single" w:sz="4" w:space="0" w:color="auto"/>
            </w:tcBorders>
            <w:noWrap/>
          </w:tcPr>
          <w:p w14:paraId="6B862FA2"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p>
          <w:p w14:paraId="15DE5D47"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0.0</w:t>
            </w:r>
          </w:p>
          <w:p w14:paraId="0EAD375A"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0.0</w:t>
            </w:r>
          </w:p>
          <w:p w14:paraId="263120E8"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3.8</w:t>
            </w:r>
          </w:p>
          <w:p w14:paraId="45C83A60"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3.8</w:t>
            </w:r>
          </w:p>
          <w:p w14:paraId="2D744367"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5.8</w:t>
            </w:r>
          </w:p>
          <w:p w14:paraId="604A87AE"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3.8</w:t>
            </w:r>
          </w:p>
          <w:p w14:paraId="26440012"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17.3</w:t>
            </w:r>
          </w:p>
          <w:p w14:paraId="19C36E8F"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7.7</w:t>
            </w:r>
          </w:p>
          <w:p w14:paraId="79752A61"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5.8</w:t>
            </w:r>
          </w:p>
          <w:p w14:paraId="1EE7C18D"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7.7</w:t>
            </w:r>
          </w:p>
          <w:p w14:paraId="3BF910DE"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5.8</w:t>
            </w:r>
          </w:p>
          <w:p w14:paraId="5D08FBE6"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7.7</w:t>
            </w:r>
          </w:p>
          <w:p w14:paraId="3CB48BEF"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15.4</w:t>
            </w:r>
          </w:p>
          <w:p w14:paraId="75692072"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55.8</w:t>
            </w:r>
          </w:p>
        </w:tc>
      </w:tr>
    </w:tbl>
    <w:p w14:paraId="033E32DB" w14:textId="0865D2BB" w:rsidR="00692F44" w:rsidRPr="00692F44" w:rsidRDefault="00692F44" w:rsidP="00692F44">
      <w:pPr>
        <w:spacing w:after="160" w:line="259" w:lineRule="auto"/>
        <w:rPr>
          <w:rFonts w:asciiTheme="minorHAnsi" w:eastAsiaTheme="minorHAnsi" w:hAnsiTheme="minorHAnsi" w:cstheme="minorBidi"/>
          <w:sz w:val="21"/>
          <w:szCs w:val="21"/>
          <w:lang w:eastAsia="en-US"/>
        </w:rPr>
      </w:pPr>
      <w:proofErr w:type="spellStart"/>
      <w:r w:rsidRPr="00692F44">
        <w:rPr>
          <w:rFonts w:asciiTheme="minorHAnsi" w:eastAsiaTheme="minorHAnsi" w:hAnsiTheme="minorHAnsi" w:cstheme="minorHAnsi"/>
          <w:sz w:val="16"/>
          <w:szCs w:val="16"/>
          <w:vertAlign w:val="superscript"/>
          <w:lang w:eastAsia="en-US"/>
        </w:rPr>
        <w:t>a</w:t>
      </w:r>
      <w:r w:rsidRPr="00692F44">
        <w:rPr>
          <w:rFonts w:asciiTheme="minorHAnsi" w:eastAsiaTheme="minorHAnsi" w:hAnsiTheme="minorHAnsi" w:cstheme="minorHAnsi"/>
          <w:sz w:val="16"/>
          <w:szCs w:val="16"/>
          <w:lang w:eastAsia="en-US"/>
        </w:rPr>
        <w:t>Other</w:t>
      </w:r>
      <w:proofErr w:type="spellEnd"/>
      <w:r w:rsidRPr="00692F44">
        <w:rPr>
          <w:rFonts w:asciiTheme="minorHAnsi" w:eastAsiaTheme="minorHAnsi" w:hAnsiTheme="minorHAnsi" w:cstheme="minorHAnsi"/>
          <w:sz w:val="16"/>
          <w:szCs w:val="16"/>
          <w:lang w:eastAsia="en-US"/>
        </w:rPr>
        <w:t xml:space="preserve"> responses are listed in the qualitative analysis below.</w:t>
      </w:r>
      <w:bookmarkEnd w:id="247"/>
    </w:p>
    <w:p w14:paraId="0431A7FF" w14:textId="77777777" w:rsidR="00692F44" w:rsidRPr="00692F44" w:rsidRDefault="00692F44" w:rsidP="00F97675">
      <w:pPr>
        <w:pStyle w:val="Heading3"/>
      </w:pPr>
      <w:bookmarkStart w:id="248" w:name="_Toc107508822"/>
      <w:r w:rsidRPr="00692F44">
        <w:t>Severity of mental health problems</w:t>
      </w:r>
      <w:bookmarkEnd w:id="248"/>
    </w:p>
    <w:p w14:paraId="00068A1B" w14:textId="77777777" w:rsidR="00692F44" w:rsidRPr="00692F44" w:rsidRDefault="00692F44" w:rsidP="00692F44">
      <w:pPr>
        <w:spacing w:after="160" w:line="259" w:lineRule="auto"/>
        <w:rPr>
          <w:rFonts w:asciiTheme="minorHAnsi" w:eastAsiaTheme="minorHAnsi" w:hAnsiTheme="minorHAnsi" w:cstheme="minorBidi"/>
          <w:sz w:val="21"/>
          <w:szCs w:val="21"/>
        </w:rPr>
      </w:pPr>
      <w:r w:rsidRPr="00692F44">
        <w:rPr>
          <w:rFonts w:asciiTheme="minorHAnsi" w:eastAsiaTheme="minorHAnsi" w:hAnsiTheme="minorHAnsi" w:cstheme="minorBidi"/>
          <w:sz w:val="21"/>
          <w:szCs w:val="21"/>
        </w:rPr>
        <w:t>Sixteen respondents (30.8% of the sample) also discussed the suitability of varying levels of severity of mental health problems for DMHSs and supported DMHSs.</w:t>
      </w:r>
    </w:p>
    <w:p w14:paraId="15ECD537" w14:textId="77777777" w:rsidR="00692F44" w:rsidRPr="00692F44" w:rsidRDefault="00692F44" w:rsidP="00692F44">
      <w:pPr>
        <w:spacing w:after="160" w:line="259" w:lineRule="auto"/>
        <w:rPr>
          <w:rFonts w:asciiTheme="minorHAnsi" w:eastAsiaTheme="minorHAnsi" w:hAnsiTheme="minorHAnsi" w:cstheme="minorBidi"/>
          <w:sz w:val="21"/>
          <w:szCs w:val="21"/>
        </w:rPr>
      </w:pPr>
      <w:r w:rsidRPr="00692F44">
        <w:rPr>
          <w:rFonts w:asciiTheme="minorHAnsi" w:eastAsiaTheme="minorHAnsi" w:hAnsiTheme="minorHAnsi" w:cstheme="minorBidi"/>
          <w:sz w:val="21"/>
          <w:szCs w:val="21"/>
        </w:rPr>
        <w:t>Respondents suggested that individuals with mild to moderate mental health problems</w:t>
      </w:r>
      <w:r w:rsidRPr="00692F44" w:rsidDel="007157AF">
        <w:rPr>
          <w:rFonts w:asciiTheme="minorHAnsi" w:eastAsiaTheme="minorHAnsi" w:hAnsiTheme="minorHAnsi" w:cstheme="minorBidi"/>
          <w:sz w:val="21"/>
          <w:szCs w:val="21"/>
        </w:rPr>
        <w:t xml:space="preserve"> </w:t>
      </w:r>
      <w:r w:rsidRPr="00692F44">
        <w:rPr>
          <w:rFonts w:asciiTheme="minorHAnsi" w:eastAsiaTheme="minorHAnsi" w:hAnsiTheme="minorHAnsi" w:cstheme="minorBidi"/>
          <w:sz w:val="21"/>
          <w:szCs w:val="21"/>
        </w:rPr>
        <w:t xml:space="preserve">could use self-directed DMHSs for early intervention and provision of psychoeducation. Respondents also expressed concern about the </w:t>
      </w:r>
      <w:r w:rsidRPr="00692F44">
        <w:rPr>
          <w:rFonts w:asciiTheme="minorHAnsi" w:eastAsiaTheme="minorHAnsi" w:hAnsiTheme="minorHAnsi" w:cstheme="minorBidi"/>
          <w:sz w:val="21"/>
          <w:szCs w:val="21"/>
        </w:rPr>
        <w:lastRenderedPageBreak/>
        <w:t xml:space="preserve">use of self-directed DMHSs due to the inability of these services to monitor and step up an individual with more complex needs or greater risk or acuity. For this reason, some respondents indicated that DMHSs should not be offered to individuals with severe mental health problems, at least not without more evidence. Respondents also suggested that individuals with moderate to severe mental health issues may use self-directed DMHSs to deliver one aspect of care as an adjunct to face-to-face or other support services. However, respondents also indicated that these considerations may depend on the individual’s needs, preferences, </w:t>
      </w:r>
      <w:proofErr w:type="gramStart"/>
      <w:r w:rsidRPr="00692F44">
        <w:rPr>
          <w:rFonts w:asciiTheme="minorHAnsi" w:eastAsiaTheme="minorHAnsi" w:hAnsiTheme="minorHAnsi" w:cstheme="minorBidi"/>
          <w:sz w:val="21"/>
          <w:szCs w:val="21"/>
        </w:rPr>
        <w:t>diagnosis</w:t>
      </w:r>
      <w:proofErr w:type="gramEnd"/>
      <w:r w:rsidRPr="00692F44">
        <w:rPr>
          <w:rFonts w:asciiTheme="minorHAnsi" w:eastAsiaTheme="minorHAnsi" w:hAnsiTheme="minorHAnsi" w:cstheme="minorBidi"/>
          <w:sz w:val="21"/>
          <w:szCs w:val="21"/>
        </w:rPr>
        <w:t xml:space="preserve"> and abilities, as well as the specific characteristics of the DMHS (e.g., some services may have in-built safety alerts).</w:t>
      </w:r>
    </w:p>
    <w:p w14:paraId="39BC5808" w14:textId="77777777" w:rsidR="00692F44" w:rsidRPr="00692F44" w:rsidRDefault="00692F44" w:rsidP="00692F44">
      <w:pPr>
        <w:spacing w:after="160" w:line="259" w:lineRule="auto"/>
        <w:ind w:left="709"/>
        <w:rPr>
          <w:rFonts w:asciiTheme="minorHAnsi" w:eastAsiaTheme="minorHAnsi" w:hAnsiTheme="minorHAnsi" w:cstheme="minorBidi"/>
          <w:sz w:val="21"/>
          <w:szCs w:val="21"/>
        </w:rPr>
      </w:pPr>
      <w:r w:rsidRPr="00692F44">
        <w:rPr>
          <w:rFonts w:asciiTheme="minorHAnsi" w:eastAsiaTheme="minorHAnsi" w:hAnsiTheme="minorHAnsi" w:cstheme="minorBidi"/>
          <w:sz w:val="21"/>
          <w:szCs w:val="21"/>
        </w:rPr>
        <w:t>Yeah, I think at the very low level of need, there are lots of people who could do an e-mental health intervention by themselves or look at some mindfulness videos online and they’ll be fine, and they might do as much as they need and then leave it. But as people need more assistance, then maybe sometimes, just that little bit of extra kind of motivation and helping along, and yeah, the supported option is a good one (012).</w:t>
      </w:r>
    </w:p>
    <w:p w14:paraId="0989FC35" w14:textId="77777777" w:rsidR="00692F44" w:rsidRPr="00692F44" w:rsidRDefault="00692F44" w:rsidP="00692F44">
      <w:pPr>
        <w:spacing w:after="160" w:line="259" w:lineRule="auto"/>
        <w:rPr>
          <w:rFonts w:asciiTheme="minorHAnsi" w:eastAsiaTheme="minorHAnsi" w:hAnsiTheme="minorHAnsi" w:cstheme="minorBidi"/>
          <w:sz w:val="21"/>
          <w:szCs w:val="21"/>
        </w:rPr>
      </w:pPr>
      <w:r w:rsidRPr="00692F44">
        <w:rPr>
          <w:rFonts w:asciiTheme="minorHAnsi" w:eastAsiaTheme="minorHAnsi" w:hAnsiTheme="minorHAnsi" w:cstheme="minorBidi"/>
          <w:sz w:val="21"/>
          <w:szCs w:val="21"/>
        </w:rPr>
        <w:t>Respondents suggested that the concept of severity of mental health problems may also conflate other factors like complexity (e.g., number of comorbid conditions) and acuity (i.e., urgency of care).</w:t>
      </w:r>
    </w:p>
    <w:p w14:paraId="0D9D33CE" w14:textId="77777777" w:rsidR="00692F44" w:rsidRPr="00692F44" w:rsidRDefault="00692F44" w:rsidP="00692F44">
      <w:pPr>
        <w:spacing w:after="160" w:line="259" w:lineRule="auto"/>
        <w:rPr>
          <w:rFonts w:asciiTheme="minorHAnsi" w:eastAsiaTheme="minorHAnsi" w:hAnsiTheme="minorHAnsi" w:cstheme="minorBidi"/>
          <w:sz w:val="21"/>
          <w:szCs w:val="21"/>
        </w:rPr>
      </w:pPr>
      <w:r w:rsidRPr="00692F44">
        <w:rPr>
          <w:rFonts w:asciiTheme="minorHAnsi" w:eastAsiaTheme="minorHAnsi" w:hAnsiTheme="minorHAnsi" w:cstheme="minorBidi"/>
          <w:sz w:val="21"/>
          <w:szCs w:val="21"/>
        </w:rPr>
        <w:t xml:space="preserve">Respondents suggested that </w:t>
      </w:r>
      <w:proofErr w:type="gramStart"/>
      <w:r w:rsidRPr="00692F44">
        <w:rPr>
          <w:rFonts w:asciiTheme="minorHAnsi" w:eastAsiaTheme="minorHAnsi" w:hAnsiTheme="minorHAnsi" w:cstheme="minorBidi"/>
          <w:sz w:val="21"/>
          <w:szCs w:val="21"/>
        </w:rPr>
        <w:t>therapist-supported</w:t>
      </w:r>
      <w:proofErr w:type="gramEnd"/>
      <w:r w:rsidRPr="00692F44">
        <w:rPr>
          <w:rFonts w:asciiTheme="minorHAnsi" w:eastAsiaTheme="minorHAnsi" w:hAnsiTheme="minorHAnsi" w:cstheme="minorBidi"/>
          <w:sz w:val="21"/>
          <w:szCs w:val="21"/>
        </w:rPr>
        <w:t xml:space="preserve"> DMHSs may be better positioned to manage individuals across the spectrum of severity, compared to self-directed DMHSs. Again, they indicated that the utility of the service may depend on the characteristics of the specific service and the skills and qualifications of the individuals providing support. Therapist-supported DMHS may also simply be a pragmatic solution to waitlists and gaps in service provision:</w:t>
      </w:r>
    </w:p>
    <w:p w14:paraId="62D9224D" w14:textId="77777777" w:rsidR="00692F44" w:rsidRPr="00692F44" w:rsidRDefault="00692F44" w:rsidP="00692F44">
      <w:pPr>
        <w:spacing w:after="160" w:line="259" w:lineRule="auto"/>
        <w:ind w:left="709"/>
        <w:rPr>
          <w:rFonts w:asciiTheme="minorHAnsi" w:eastAsiaTheme="minorHAnsi" w:hAnsiTheme="minorHAnsi" w:cstheme="minorBidi"/>
          <w:sz w:val="21"/>
          <w:szCs w:val="21"/>
        </w:rPr>
      </w:pPr>
      <w:r w:rsidRPr="00692F44">
        <w:rPr>
          <w:rFonts w:asciiTheme="minorHAnsi" w:eastAsiaTheme="minorHAnsi" w:hAnsiTheme="minorHAnsi" w:cstheme="minorBidi"/>
          <w:sz w:val="21"/>
          <w:szCs w:val="21"/>
        </w:rPr>
        <w:t xml:space="preserve">‘There are too many gaps in service provision so again if someone is really keen and wants to </w:t>
      </w:r>
      <w:proofErr w:type="gramStart"/>
      <w:r w:rsidRPr="00692F44">
        <w:rPr>
          <w:rFonts w:asciiTheme="minorHAnsi" w:eastAsiaTheme="minorHAnsi" w:hAnsiTheme="minorHAnsi" w:cstheme="minorBidi"/>
          <w:sz w:val="21"/>
          <w:szCs w:val="21"/>
        </w:rPr>
        <w:t>engage</w:t>
      </w:r>
      <w:proofErr w:type="gramEnd"/>
      <w:r w:rsidRPr="00692F44">
        <w:rPr>
          <w:rFonts w:asciiTheme="minorHAnsi" w:eastAsiaTheme="minorHAnsi" w:hAnsiTheme="minorHAnsi" w:cstheme="minorBidi"/>
          <w:sz w:val="21"/>
          <w:szCs w:val="21"/>
        </w:rPr>
        <w:t xml:space="preserve"> I would want them to give it a go’ (01).</w:t>
      </w:r>
    </w:p>
    <w:p w14:paraId="3F05D437" w14:textId="77777777" w:rsidR="00692F44" w:rsidRPr="00692F44" w:rsidRDefault="00692F44" w:rsidP="00692F44">
      <w:pPr>
        <w:spacing w:after="160" w:line="259" w:lineRule="auto"/>
        <w:rPr>
          <w:rFonts w:asciiTheme="minorHAnsi" w:eastAsiaTheme="minorHAnsi" w:hAnsiTheme="minorHAnsi" w:cstheme="minorBidi"/>
          <w:sz w:val="21"/>
          <w:szCs w:val="21"/>
        </w:rPr>
      </w:pPr>
      <w:r w:rsidRPr="00692F44">
        <w:rPr>
          <w:rFonts w:asciiTheme="minorHAnsi" w:eastAsiaTheme="minorHAnsi" w:hAnsiTheme="minorHAnsi" w:cstheme="minorBidi"/>
          <w:sz w:val="21"/>
          <w:szCs w:val="21"/>
        </w:rPr>
        <w:t xml:space="preserve">Respondents from DMHSs indicated that individuals across the spectrum of severity already access both self-directed and </w:t>
      </w:r>
      <w:proofErr w:type="gramStart"/>
      <w:r w:rsidRPr="00692F44">
        <w:rPr>
          <w:rFonts w:asciiTheme="minorHAnsi" w:eastAsiaTheme="minorHAnsi" w:hAnsiTheme="minorHAnsi" w:cstheme="minorBidi"/>
          <w:sz w:val="21"/>
          <w:szCs w:val="21"/>
        </w:rPr>
        <w:t>therapist-supported</w:t>
      </w:r>
      <w:proofErr w:type="gramEnd"/>
      <w:r w:rsidRPr="00692F44">
        <w:rPr>
          <w:rFonts w:asciiTheme="minorHAnsi" w:eastAsiaTheme="minorHAnsi" w:hAnsiTheme="minorHAnsi" w:cstheme="minorBidi"/>
          <w:sz w:val="21"/>
          <w:szCs w:val="21"/>
        </w:rPr>
        <w:t xml:space="preserve"> DMHSs. They believed that this may be due to reduced stigma and increased anonymity of the digital format, as well as greater accessibility compared to face-to-face services. Respondents also indicated that many unsupported online options already exist on social media platforms, outside of any quality standards.</w:t>
      </w:r>
    </w:p>
    <w:p w14:paraId="5DAB1F90" w14:textId="44B80E61" w:rsidR="00692F44" w:rsidRPr="00692F44" w:rsidRDefault="00692F44" w:rsidP="00F97675">
      <w:pPr>
        <w:pStyle w:val="Heading3"/>
      </w:pPr>
      <w:bookmarkStart w:id="249" w:name="_Toc107508823"/>
      <w:r w:rsidRPr="00692F44">
        <w:t>Suitability of DMHS</w:t>
      </w:r>
      <w:r w:rsidR="00BA49AE">
        <w:t>s</w:t>
      </w:r>
      <w:r w:rsidRPr="00692F44">
        <w:t xml:space="preserve"> for specific mental health problems</w:t>
      </w:r>
      <w:bookmarkEnd w:id="249"/>
    </w:p>
    <w:p w14:paraId="08E6D280" w14:textId="77777777" w:rsidR="00692F44" w:rsidRPr="00692F44" w:rsidRDefault="00692F44" w:rsidP="00692F44">
      <w:pPr>
        <w:spacing w:after="160" w:line="259" w:lineRule="auto"/>
        <w:rPr>
          <w:rFonts w:asciiTheme="minorHAnsi" w:eastAsiaTheme="minorHAnsi" w:hAnsiTheme="minorHAnsi" w:cstheme="minorBidi"/>
          <w:sz w:val="21"/>
          <w:szCs w:val="21"/>
        </w:rPr>
      </w:pPr>
      <w:r w:rsidRPr="00692F44">
        <w:rPr>
          <w:rFonts w:asciiTheme="minorHAnsi" w:eastAsiaTheme="minorHAnsi" w:hAnsiTheme="minorHAnsi" w:cstheme="minorHAnsi"/>
          <w:sz w:val="21"/>
          <w:szCs w:val="21"/>
          <w:lang w:eastAsia="en-US"/>
        </w:rPr>
        <w:t xml:space="preserve">Twenty-four respondents (46.2% of the sample) discussed the suitability of specific mental health problems for </w:t>
      </w:r>
      <w:r w:rsidRPr="00692F44">
        <w:rPr>
          <w:rFonts w:asciiTheme="minorHAnsi" w:eastAsiaTheme="minorHAnsi" w:hAnsiTheme="minorHAnsi" w:cstheme="minorBidi"/>
          <w:sz w:val="21"/>
          <w:szCs w:val="21"/>
        </w:rPr>
        <w:t>self-directed</w:t>
      </w:r>
      <w:r w:rsidRPr="00692F44">
        <w:rPr>
          <w:rFonts w:asciiTheme="minorHAnsi" w:eastAsiaTheme="minorHAnsi" w:hAnsiTheme="minorHAnsi" w:cstheme="minorHAnsi"/>
          <w:sz w:val="21"/>
          <w:szCs w:val="21"/>
          <w:lang w:eastAsia="en-US"/>
        </w:rPr>
        <w:t xml:space="preserve"> and </w:t>
      </w:r>
      <w:proofErr w:type="gramStart"/>
      <w:r w:rsidRPr="00692F44">
        <w:rPr>
          <w:rFonts w:asciiTheme="minorHAnsi" w:eastAsiaTheme="minorHAnsi" w:hAnsiTheme="minorHAnsi" w:cstheme="minorHAnsi"/>
          <w:sz w:val="21"/>
          <w:szCs w:val="21"/>
          <w:lang w:eastAsia="en-US"/>
        </w:rPr>
        <w:t>therapist-supported</w:t>
      </w:r>
      <w:proofErr w:type="gramEnd"/>
      <w:r w:rsidRPr="00692F44">
        <w:rPr>
          <w:rFonts w:asciiTheme="minorHAnsi" w:eastAsiaTheme="minorHAnsi" w:hAnsiTheme="minorHAnsi" w:cstheme="minorHAnsi"/>
          <w:sz w:val="21"/>
          <w:szCs w:val="21"/>
          <w:lang w:eastAsia="en-US"/>
        </w:rPr>
        <w:t xml:space="preserve"> DMHSs. Twenty-one respondents (40.4% of the sample) also discussed which mental health problems are not suitable for DMHSs and supported DMHSs.</w:t>
      </w:r>
    </w:p>
    <w:p w14:paraId="1A261D4B" w14:textId="77777777" w:rsidR="00692F44" w:rsidRPr="00692F44" w:rsidRDefault="00692F44" w:rsidP="00692F44">
      <w:pPr>
        <w:spacing w:after="160" w:line="259" w:lineRule="auto"/>
        <w:rPr>
          <w:rFonts w:asciiTheme="minorHAnsi" w:eastAsiaTheme="minorHAnsi" w:hAnsiTheme="minorHAnsi" w:cstheme="minorBidi"/>
          <w:sz w:val="21"/>
          <w:szCs w:val="21"/>
        </w:rPr>
      </w:pPr>
      <w:r w:rsidRPr="00692F44">
        <w:rPr>
          <w:rFonts w:asciiTheme="minorHAnsi" w:eastAsiaTheme="minorHAnsi" w:hAnsiTheme="minorHAnsi" w:cstheme="minorBidi"/>
          <w:sz w:val="21"/>
          <w:szCs w:val="21"/>
        </w:rPr>
        <w:t xml:space="preserve">Respondents endorsed </w:t>
      </w:r>
      <w:proofErr w:type="gramStart"/>
      <w:r w:rsidRPr="00692F44">
        <w:rPr>
          <w:rFonts w:asciiTheme="minorHAnsi" w:eastAsiaTheme="minorHAnsi" w:hAnsiTheme="minorHAnsi" w:cstheme="minorBidi"/>
          <w:sz w:val="21"/>
          <w:szCs w:val="21"/>
        </w:rPr>
        <w:t>therapist-supported</w:t>
      </w:r>
      <w:proofErr w:type="gramEnd"/>
      <w:r w:rsidRPr="00692F44">
        <w:rPr>
          <w:rFonts w:asciiTheme="minorHAnsi" w:eastAsiaTheme="minorHAnsi" w:hAnsiTheme="minorHAnsi" w:cstheme="minorBidi"/>
          <w:sz w:val="21"/>
          <w:szCs w:val="21"/>
        </w:rPr>
        <w:t xml:space="preserve"> DMHSs as suitable for a greater number of mental health problems compared to self-directed DMHSs. Stated reasons for this included the skill of the therapist in assessing and ensuring the individual accesses the right </w:t>
      </w:r>
      <w:proofErr w:type="gramStart"/>
      <w:r w:rsidRPr="00692F44">
        <w:rPr>
          <w:rFonts w:asciiTheme="minorHAnsi" w:eastAsiaTheme="minorHAnsi" w:hAnsiTheme="minorHAnsi" w:cstheme="minorBidi"/>
          <w:sz w:val="21"/>
          <w:szCs w:val="21"/>
        </w:rPr>
        <w:t>care, and</w:t>
      </w:r>
      <w:proofErr w:type="gramEnd"/>
      <w:r w:rsidRPr="00692F44">
        <w:rPr>
          <w:rFonts w:asciiTheme="minorHAnsi" w:eastAsiaTheme="minorHAnsi" w:hAnsiTheme="minorHAnsi" w:cstheme="minorBidi"/>
          <w:sz w:val="21"/>
          <w:szCs w:val="21"/>
        </w:rPr>
        <w:t xml:space="preserve"> use of DMHSs as an adjunct to face-to-face services. Additionally, in determining the suitability of DMHSs for specific mental health problems, respondents referred to the evidence base (e.g., the efficacy of DMHSs for depression and anxiety), the availability of specific DMHSs (e.g., psychoeducational programs for obsessive-compulsive disorder), and characteristics of specific disorders (e.g., needing more support to work through trauma). In the absence of existing programs or a strong evidence base, respondents indicated an interest in development of programs for eating disorders, personality disorders, psychotic </w:t>
      </w:r>
      <w:proofErr w:type="gramStart"/>
      <w:r w:rsidRPr="00692F44">
        <w:rPr>
          <w:rFonts w:asciiTheme="minorHAnsi" w:eastAsiaTheme="minorHAnsi" w:hAnsiTheme="minorHAnsi" w:cstheme="minorBidi"/>
          <w:sz w:val="21"/>
          <w:szCs w:val="21"/>
        </w:rPr>
        <w:t>disorders</w:t>
      </w:r>
      <w:proofErr w:type="gramEnd"/>
      <w:r w:rsidRPr="00692F44">
        <w:rPr>
          <w:rFonts w:asciiTheme="minorHAnsi" w:eastAsiaTheme="minorHAnsi" w:hAnsiTheme="minorHAnsi" w:cstheme="minorBidi"/>
          <w:sz w:val="21"/>
          <w:szCs w:val="21"/>
        </w:rPr>
        <w:t xml:space="preserve"> and bipolar disorders. On the other hand, others suggested that these programs have not been developed because the digital environment is less appropriate for individuals with these mental health problems. Respondents also suggested that, for more complex disorders like schizophrenia or personality disorders, the DMHS may offer one component of care, particularly for young people, for example:</w:t>
      </w:r>
    </w:p>
    <w:p w14:paraId="433E80D7" w14:textId="77777777" w:rsidR="00692F44" w:rsidRPr="00692F44" w:rsidRDefault="00692F44" w:rsidP="00692F44">
      <w:pPr>
        <w:spacing w:after="160" w:line="259" w:lineRule="auto"/>
        <w:ind w:left="709"/>
        <w:rPr>
          <w:rFonts w:asciiTheme="minorHAnsi" w:eastAsiaTheme="minorHAnsi" w:hAnsiTheme="minorHAnsi" w:cstheme="minorBidi"/>
          <w:sz w:val="21"/>
          <w:szCs w:val="21"/>
        </w:rPr>
      </w:pPr>
      <w:r w:rsidRPr="00692F44">
        <w:rPr>
          <w:rFonts w:asciiTheme="minorHAnsi" w:eastAsiaTheme="minorHAnsi" w:hAnsiTheme="minorHAnsi" w:cstheme="minorBidi"/>
          <w:sz w:val="21"/>
          <w:szCs w:val="21"/>
        </w:rPr>
        <w:t>‘Where you have a physician usually…who is acting as the coordinating point’ (04).</w:t>
      </w:r>
    </w:p>
    <w:p w14:paraId="4FE19398" w14:textId="3A99A42C" w:rsidR="00692F44" w:rsidRPr="00692F44" w:rsidRDefault="00692F44" w:rsidP="00692F44">
      <w:pPr>
        <w:spacing w:after="160" w:line="259" w:lineRule="auto"/>
        <w:rPr>
          <w:rFonts w:asciiTheme="minorHAnsi" w:eastAsiaTheme="minorHAnsi" w:hAnsiTheme="minorHAnsi" w:cstheme="minorBidi"/>
          <w:sz w:val="21"/>
          <w:szCs w:val="21"/>
        </w:rPr>
      </w:pPr>
      <w:r w:rsidRPr="00692F44">
        <w:rPr>
          <w:rFonts w:asciiTheme="minorHAnsi" w:eastAsiaTheme="minorHAnsi" w:hAnsiTheme="minorHAnsi" w:cstheme="minorBidi"/>
          <w:sz w:val="21"/>
          <w:szCs w:val="21"/>
        </w:rPr>
        <w:lastRenderedPageBreak/>
        <w:t xml:space="preserve">Apart from the listed disorders (see Table </w:t>
      </w:r>
      <w:r w:rsidR="004B2991">
        <w:rPr>
          <w:rFonts w:asciiTheme="minorHAnsi" w:eastAsiaTheme="minorHAnsi" w:hAnsiTheme="minorHAnsi" w:cstheme="minorBidi"/>
          <w:sz w:val="21"/>
          <w:szCs w:val="21"/>
        </w:rPr>
        <w:t>50</w:t>
      </w:r>
      <w:r w:rsidRPr="00692F44">
        <w:rPr>
          <w:rFonts w:asciiTheme="minorHAnsi" w:eastAsiaTheme="minorHAnsi" w:hAnsiTheme="minorHAnsi" w:cstheme="minorBidi"/>
          <w:sz w:val="21"/>
          <w:szCs w:val="21"/>
        </w:rPr>
        <w:t xml:space="preserve">), respondents also suggested use of self-directed DMHSs for anger management, trauma, social and emotional wellbeing and </w:t>
      </w:r>
      <w:proofErr w:type="gramStart"/>
      <w:r w:rsidRPr="00692F44">
        <w:rPr>
          <w:rFonts w:asciiTheme="minorHAnsi" w:eastAsiaTheme="minorHAnsi" w:hAnsiTheme="minorHAnsi" w:cstheme="minorBidi"/>
          <w:sz w:val="21"/>
          <w:szCs w:val="21"/>
        </w:rPr>
        <w:t>therapist-supported</w:t>
      </w:r>
      <w:proofErr w:type="gramEnd"/>
      <w:r w:rsidRPr="00692F44">
        <w:rPr>
          <w:rFonts w:asciiTheme="minorHAnsi" w:eastAsiaTheme="minorHAnsi" w:hAnsiTheme="minorHAnsi" w:cstheme="minorBidi"/>
          <w:sz w:val="21"/>
          <w:szCs w:val="21"/>
        </w:rPr>
        <w:t xml:space="preserve"> DMHSs for externalising disorders. Respondents also noted that many individuals experience comorbid mental health problems and may therefore seek support for one or more issues at a time:</w:t>
      </w:r>
    </w:p>
    <w:p w14:paraId="1BE7FFBE" w14:textId="77777777" w:rsidR="00692F44" w:rsidRPr="00692F44" w:rsidRDefault="00692F44" w:rsidP="00311BF5">
      <w:pPr>
        <w:spacing w:after="240"/>
        <w:ind w:left="709"/>
        <w:rPr>
          <w:rFonts w:asciiTheme="minorHAnsi" w:eastAsiaTheme="minorHAnsi" w:hAnsiTheme="minorHAnsi" w:cstheme="minorBidi"/>
          <w:sz w:val="21"/>
          <w:szCs w:val="21"/>
        </w:rPr>
      </w:pPr>
      <w:r w:rsidRPr="00692F44">
        <w:rPr>
          <w:rFonts w:asciiTheme="minorHAnsi" w:eastAsiaTheme="minorHAnsi" w:hAnsiTheme="minorHAnsi" w:cstheme="minorBidi"/>
          <w:sz w:val="21"/>
          <w:szCs w:val="21"/>
        </w:rPr>
        <w:t>‘I think person-centred care is the answer to that, that you’re not treating a disorder, you’re working with a person around their immediate experience of mental illness to support their immediate recovery from that experience’ (02).</w:t>
      </w:r>
    </w:p>
    <w:p w14:paraId="0A9F09CB" w14:textId="77777777" w:rsidR="00692F44" w:rsidRPr="00692F44" w:rsidRDefault="00692F44" w:rsidP="00311BF5">
      <w:pPr>
        <w:spacing w:after="240"/>
        <w:rPr>
          <w:rFonts w:asciiTheme="minorHAnsi" w:eastAsiaTheme="minorHAnsi" w:hAnsiTheme="minorHAnsi" w:cstheme="minorBidi"/>
          <w:sz w:val="21"/>
          <w:szCs w:val="21"/>
        </w:rPr>
      </w:pPr>
      <w:r w:rsidRPr="00692F44">
        <w:rPr>
          <w:rFonts w:asciiTheme="minorHAnsi" w:eastAsiaTheme="minorHAnsi" w:hAnsiTheme="minorHAnsi" w:cstheme="minorBidi"/>
          <w:sz w:val="21"/>
          <w:szCs w:val="21"/>
        </w:rPr>
        <w:t xml:space="preserve">As in the section on severity of mental health problems, respondents indicated that DMHS suitability also depends on the individual (e.g., cognitive ability) and the </w:t>
      </w:r>
      <w:proofErr w:type="gramStart"/>
      <w:r w:rsidRPr="00692F44">
        <w:rPr>
          <w:rFonts w:asciiTheme="minorHAnsi" w:eastAsiaTheme="minorHAnsi" w:hAnsiTheme="minorHAnsi" w:cstheme="minorBidi"/>
          <w:sz w:val="21"/>
          <w:szCs w:val="21"/>
        </w:rPr>
        <w:t>particular service</w:t>
      </w:r>
      <w:proofErr w:type="gramEnd"/>
      <w:r w:rsidRPr="00692F44">
        <w:rPr>
          <w:rFonts w:asciiTheme="minorHAnsi" w:eastAsiaTheme="minorHAnsi" w:hAnsiTheme="minorHAnsi" w:cstheme="minorBidi"/>
          <w:sz w:val="21"/>
          <w:szCs w:val="21"/>
        </w:rPr>
        <w:t xml:space="preserve"> offering (e.g., appropriateness of the therapeutic modality). Respondents stated the need to monitor risk and respond appropriately, with one stakeholder questioning whether therapists providing online support have enough information for a proper assessment of risk. Respondents raised the need for appropriate qualifications for therapists providing support. One respondent noted that the level of support may also depend on funding, as qualified therapists cost more than trained non-clinical staff. Others added that support may provide accountability and referrals if needed. Respondents also mentioned the self-directed</w:t>
      </w:r>
      <w:r w:rsidRPr="00692F44" w:rsidDel="009F731B">
        <w:rPr>
          <w:rFonts w:asciiTheme="minorHAnsi" w:eastAsiaTheme="minorHAnsi" w:hAnsiTheme="minorHAnsi" w:cstheme="minorBidi"/>
          <w:sz w:val="21"/>
          <w:szCs w:val="21"/>
        </w:rPr>
        <w:t xml:space="preserve"> </w:t>
      </w:r>
      <w:r w:rsidRPr="00692F44">
        <w:rPr>
          <w:rFonts w:asciiTheme="minorHAnsi" w:eastAsiaTheme="minorHAnsi" w:hAnsiTheme="minorHAnsi" w:cstheme="minorBidi"/>
          <w:sz w:val="21"/>
          <w:szCs w:val="21"/>
        </w:rPr>
        <w:t>DMHSs being dominated by commercial apps with a lack of quality standards.</w:t>
      </w:r>
    </w:p>
    <w:p w14:paraId="55A389FC" w14:textId="77777777" w:rsidR="00692F44" w:rsidRPr="00692F44" w:rsidRDefault="00692F44" w:rsidP="00311BF5">
      <w:pPr>
        <w:spacing w:after="240"/>
        <w:rPr>
          <w:rFonts w:asciiTheme="minorHAnsi" w:eastAsiaTheme="minorHAnsi" w:hAnsiTheme="minorHAnsi" w:cstheme="minorBidi"/>
          <w:sz w:val="21"/>
          <w:szCs w:val="21"/>
        </w:rPr>
      </w:pPr>
      <w:r w:rsidRPr="00692F44">
        <w:rPr>
          <w:rFonts w:asciiTheme="minorHAnsi" w:eastAsiaTheme="minorHAnsi" w:hAnsiTheme="minorHAnsi" w:cstheme="minorBidi"/>
          <w:sz w:val="21"/>
          <w:szCs w:val="21"/>
        </w:rPr>
        <w:t xml:space="preserve">Apart from diagnosis, respondents deemed DMHSs unsuitable if the </w:t>
      </w:r>
      <w:proofErr w:type="gramStart"/>
      <w:r w:rsidRPr="00692F44">
        <w:rPr>
          <w:rFonts w:asciiTheme="minorHAnsi" w:eastAsiaTheme="minorHAnsi" w:hAnsiTheme="minorHAnsi" w:cstheme="minorBidi"/>
          <w:sz w:val="21"/>
          <w:szCs w:val="21"/>
        </w:rPr>
        <w:t>consumer:</w:t>
      </w:r>
      <w:proofErr w:type="gramEnd"/>
      <w:r w:rsidRPr="00692F44">
        <w:rPr>
          <w:rFonts w:asciiTheme="minorHAnsi" w:eastAsiaTheme="minorHAnsi" w:hAnsiTheme="minorHAnsi" w:cstheme="minorBidi"/>
          <w:sz w:val="21"/>
          <w:szCs w:val="21"/>
        </w:rPr>
        <w:t xml:space="preserve"> prefers not to access care via digital means, experiences issues accessing DMHSs, is in an acute crisis (e.g., suicidal or experiencing a psychotic episode) or needs family involvement. They also considered DMHSs unsuitable if an appropriate program is not available or if more appropriate care is delayed </w:t>
      </w:r>
      <w:proofErr w:type="gramStart"/>
      <w:r w:rsidRPr="00692F44">
        <w:rPr>
          <w:rFonts w:asciiTheme="minorHAnsi" w:eastAsiaTheme="minorHAnsi" w:hAnsiTheme="minorHAnsi" w:cstheme="minorBidi"/>
          <w:sz w:val="21"/>
          <w:szCs w:val="21"/>
        </w:rPr>
        <w:t>as a result of</w:t>
      </w:r>
      <w:proofErr w:type="gramEnd"/>
      <w:r w:rsidRPr="00692F44">
        <w:rPr>
          <w:rFonts w:asciiTheme="minorHAnsi" w:eastAsiaTheme="minorHAnsi" w:hAnsiTheme="minorHAnsi" w:cstheme="minorBidi"/>
          <w:sz w:val="21"/>
          <w:szCs w:val="21"/>
        </w:rPr>
        <w:t xml:space="preserve"> accessing a DMHS. Respondents indicated that some aspects of care are also not suitable for a digital format, for example, medication provision.</w:t>
      </w:r>
    </w:p>
    <w:p w14:paraId="31D3B091" w14:textId="640C6632" w:rsidR="00692F44" w:rsidRPr="00692F44" w:rsidRDefault="00692F44" w:rsidP="00311BF5">
      <w:pPr>
        <w:pStyle w:val="Heading2"/>
        <w:numPr>
          <w:ilvl w:val="1"/>
          <w:numId w:val="146"/>
        </w:numPr>
        <w:spacing w:after="240"/>
        <w:rPr>
          <w:rFonts w:eastAsiaTheme="minorHAnsi"/>
        </w:rPr>
      </w:pPr>
      <w:bookmarkStart w:id="250" w:name="_Toc107508824"/>
      <w:bookmarkStart w:id="251" w:name="_Toc108784893"/>
      <w:r w:rsidRPr="00692F44">
        <w:rPr>
          <w:rFonts w:eastAsiaTheme="minorHAnsi"/>
        </w:rPr>
        <w:t>Effects of DMHS</w:t>
      </w:r>
      <w:r w:rsidR="00BA49AE">
        <w:rPr>
          <w:rFonts w:eastAsiaTheme="minorHAnsi"/>
        </w:rPr>
        <w:t>s</w:t>
      </w:r>
      <w:r w:rsidRPr="00692F44">
        <w:rPr>
          <w:rFonts w:eastAsiaTheme="minorHAnsi"/>
        </w:rPr>
        <w:t xml:space="preserve"> on consumers and carers</w:t>
      </w:r>
      <w:bookmarkEnd w:id="250"/>
      <w:bookmarkEnd w:id="251"/>
    </w:p>
    <w:p w14:paraId="21297D53" w14:textId="77777777" w:rsidR="00692F44" w:rsidRPr="00692F44" w:rsidRDefault="00692F44" w:rsidP="00311BF5">
      <w:pPr>
        <w:spacing w:after="240"/>
        <w:rPr>
          <w:rFonts w:ascii="Calibri" w:eastAsiaTheme="minorHAnsi" w:hAnsi="Calibri" w:cs="Arial"/>
          <w:color w:val="000000" w:themeColor="text1"/>
          <w:sz w:val="21"/>
          <w:szCs w:val="21"/>
          <w:lang w:eastAsia="zh-CN"/>
        </w:rPr>
      </w:pPr>
      <w:r w:rsidRPr="00692F44">
        <w:rPr>
          <w:rFonts w:ascii="Calibri" w:eastAsiaTheme="minorHAnsi" w:hAnsi="Calibri" w:cs="Arial"/>
          <w:color w:val="000000" w:themeColor="text1"/>
          <w:sz w:val="21"/>
          <w:szCs w:val="21"/>
          <w:lang w:eastAsia="zh-CN"/>
        </w:rPr>
        <w:t xml:space="preserve">There were 43 responses (82.7% of the sample) to a question regarding the perceived effects of </w:t>
      </w:r>
      <w:proofErr w:type="gramStart"/>
      <w:r w:rsidRPr="00692F44">
        <w:rPr>
          <w:rFonts w:ascii="Calibri" w:eastAsiaTheme="minorHAnsi" w:hAnsi="Calibri" w:cs="Arial"/>
          <w:color w:val="000000" w:themeColor="text1"/>
          <w:sz w:val="21"/>
          <w:szCs w:val="21"/>
          <w:lang w:eastAsia="zh-CN"/>
        </w:rPr>
        <w:t>therapist-supported</w:t>
      </w:r>
      <w:proofErr w:type="gramEnd"/>
      <w:r w:rsidRPr="00692F44">
        <w:rPr>
          <w:rFonts w:ascii="Calibri" w:eastAsiaTheme="minorHAnsi" w:hAnsi="Calibri" w:cs="Arial"/>
          <w:color w:val="000000" w:themeColor="text1"/>
          <w:sz w:val="21"/>
          <w:szCs w:val="21"/>
          <w:lang w:eastAsia="zh-CN"/>
        </w:rPr>
        <w:t xml:space="preserve"> and self-directed DMHSs on consumers and carers. Three key themes emerged, which we categorised as: (1) positive effects; (2) special considerations; and (3) negative effects.</w:t>
      </w:r>
    </w:p>
    <w:p w14:paraId="1E575703" w14:textId="77777777" w:rsidR="00692F44" w:rsidRPr="00692F44" w:rsidRDefault="00692F44" w:rsidP="00311BF5">
      <w:pPr>
        <w:pStyle w:val="Heading3"/>
        <w:spacing w:after="240"/>
      </w:pPr>
      <w:bookmarkStart w:id="252" w:name="_Toc107508825"/>
      <w:r w:rsidRPr="00692F44">
        <w:t>Positive effects</w:t>
      </w:r>
      <w:bookmarkEnd w:id="252"/>
    </w:p>
    <w:p w14:paraId="17B1DEB7" w14:textId="77777777" w:rsidR="00692F44" w:rsidRPr="00692F44" w:rsidRDefault="00692F44" w:rsidP="00311BF5">
      <w:pPr>
        <w:spacing w:after="240" w:line="259" w:lineRule="auto"/>
        <w:rPr>
          <w:rFonts w:asciiTheme="minorHAnsi" w:eastAsiaTheme="minorHAnsi" w:hAnsiTheme="minorHAnsi" w:cstheme="minorBidi"/>
          <w:sz w:val="21"/>
          <w:szCs w:val="21"/>
          <w:lang w:eastAsia="en-US"/>
        </w:rPr>
      </w:pPr>
      <w:r w:rsidRPr="00692F44">
        <w:rPr>
          <w:rFonts w:asciiTheme="minorHAnsi" w:eastAsiaTheme="minorHAnsi" w:hAnsiTheme="minorHAnsi" w:cstheme="minorBidi"/>
          <w:sz w:val="21"/>
          <w:szCs w:val="21"/>
          <w:lang w:eastAsia="en-US"/>
        </w:rPr>
        <w:t>Most respondents (90.7%; 39 out of 43 responses) described positive effects of DMHSs on consumers and carers. Several respondents indicated that there is already published evidence of equivalent outcomes to face-to-face services (e.g., improvements in wellbeing and reduced distress/symptoms), consistent engagement and increasing uptake and use of DMHSs. Furthermore, respondents reported positive consumer feedback and satisfaction, for example:</w:t>
      </w:r>
    </w:p>
    <w:p w14:paraId="1DB9D70B" w14:textId="77777777" w:rsidR="00692F44" w:rsidRPr="00692F44" w:rsidRDefault="00692F44" w:rsidP="00311BF5">
      <w:pPr>
        <w:spacing w:after="240" w:line="259" w:lineRule="auto"/>
        <w:ind w:left="709"/>
        <w:rPr>
          <w:rFonts w:asciiTheme="minorHAnsi" w:eastAsiaTheme="minorHAnsi" w:hAnsiTheme="minorHAnsi" w:cstheme="minorBidi"/>
          <w:sz w:val="21"/>
          <w:szCs w:val="21"/>
          <w:lang w:eastAsia="en-US"/>
        </w:rPr>
      </w:pPr>
      <w:r w:rsidRPr="00692F44">
        <w:rPr>
          <w:rFonts w:asciiTheme="minorHAnsi" w:eastAsiaTheme="minorHAnsi" w:hAnsiTheme="minorHAnsi" w:cstheme="minorBidi"/>
          <w:sz w:val="21"/>
          <w:szCs w:val="21"/>
          <w:lang w:eastAsia="en-US"/>
        </w:rPr>
        <w:t>‘We hear from our consumers and carers that our programs can be lifesaving’ (05).</w:t>
      </w:r>
    </w:p>
    <w:p w14:paraId="7D7B7C30" w14:textId="77777777" w:rsidR="00692F44" w:rsidRPr="00692F44" w:rsidRDefault="00692F44" w:rsidP="00311BF5">
      <w:pPr>
        <w:spacing w:after="240" w:line="259" w:lineRule="auto"/>
        <w:rPr>
          <w:rFonts w:asciiTheme="minorHAnsi" w:eastAsiaTheme="minorHAnsi" w:hAnsiTheme="minorHAnsi" w:cstheme="minorBidi"/>
          <w:sz w:val="21"/>
          <w:szCs w:val="21"/>
          <w:lang w:eastAsia="en-US"/>
        </w:rPr>
      </w:pPr>
      <w:r w:rsidRPr="00692F44">
        <w:rPr>
          <w:rFonts w:asciiTheme="minorHAnsi" w:eastAsiaTheme="minorHAnsi" w:hAnsiTheme="minorHAnsi" w:cstheme="minorBidi"/>
          <w:sz w:val="21"/>
          <w:szCs w:val="21"/>
          <w:lang w:eastAsia="en-US"/>
        </w:rPr>
        <w:t xml:space="preserve">Respondents also indicated that DMHSs reduced barriers to access to care, particularly in comparison to face-to-face services including cost, rural location, and waitlists. According to respondents, DMHSs offered consumers the ability to learn skills and improve their mental health literacy while waiting for face-to-face services and some reported feeling more connected during online peer support programs. Additionally, DMHSs offered evidence-based, </w:t>
      </w:r>
      <w:proofErr w:type="gramStart"/>
      <w:r w:rsidRPr="00692F44">
        <w:rPr>
          <w:rFonts w:asciiTheme="minorHAnsi" w:eastAsiaTheme="minorHAnsi" w:hAnsiTheme="minorHAnsi" w:cstheme="minorBidi"/>
          <w:sz w:val="21"/>
          <w:szCs w:val="21"/>
          <w:lang w:eastAsia="en-US"/>
        </w:rPr>
        <w:t>person-centred</w:t>
      </w:r>
      <w:proofErr w:type="gramEnd"/>
      <w:r w:rsidRPr="00692F44">
        <w:rPr>
          <w:rFonts w:asciiTheme="minorHAnsi" w:eastAsiaTheme="minorHAnsi" w:hAnsiTheme="minorHAnsi" w:cstheme="minorBidi"/>
          <w:sz w:val="21"/>
          <w:szCs w:val="21"/>
          <w:lang w:eastAsia="en-US"/>
        </w:rPr>
        <w:t xml:space="preserve"> and cost-effective services with a greater reach and scale compared with face-to-face services. DMHSs also purportedly offered more flexibility, </w:t>
      </w:r>
      <w:proofErr w:type="gramStart"/>
      <w:r w:rsidRPr="00692F44">
        <w:rPr>
          <w:rFonts w:asciiTheme="minorHAnsi" w:eastAsiaTheme="minorHAnsi" w:hAnsiTheme="minorHAnsi" w:cstheme="minorBidi"/>
          <w:sz w:val="21"/>
          <w:szCs w:val="21"/>
          <w:lang w:eastAsia="en-US"/>
        </w:rPr>
        <w:t>choice</w:t>
      </w:r>
      <w:proofErr w:type="gramEnd"/>
      <w:r w:rsidRPr="00692F44">
        <w:rPr>
          <w:rFonts w:asciiTheme="minorHAnsi" w:eastAsiaTheme="minorHAnsi" w:hAnsiTheme="minorHAnsi" w:cstheme="minorBidi"/>
          <w:sz w:val="21"/>
          <w:szCs w:val="21"/>
          <w:lang w:eastAsia="en-US"/>
        </w:rPr>
        <w:t xml:space="preserve"> and empowerment for the consumer, particularly as an alternative to face-to-face services and a potentially less stigmatising first step to accessing care.</w:t>
      </w:r>
    </w:p>
    <w:p w14:paraId="05582A50" w14:textId="77777777" w:rsidR="00692F44" w:rsidRPr="00692F44" w:rsidRDefault="00692F44" w:rsidP="00CB21FF">
      <w:pPr>
        <w:pStyle w:val="Heading3"/>
      </w:pPr>
      <w:bookmarkStart w:id="253" w:name="_Toc107508826"/>
      <w:r w:rsidRPr="00692F44">
        <w:t>Special considerations</w:t>
      </w:r>
      <w:bookmarkEnd w:id="253"/>
    </w:p>
    <w:p w14:paraId="225BEFB1" w14:textId="7E3E7F5C" w:rsidR="00692F44" w:rsidRPr="00692F44" w:rsidRDefault="00692F44" w:rsidP="00692F44">
      <w:pPr>
        <w:spacing w:after="160" w:line="259" w:lineRule="auto"/>
        <w:rPr>
          <w:rFonts w:asciiTheme="minorHAnsi" w:eastAsiaTheme="minorHAnsi" w:hAnsiTheme="minorHAnsi" w:cstheme="minorBidi"/>
          <w:sz w:val="21"/>
          <w:szCs w:val="21"/>
          <w:lang w:eastAsia="en-US"/>
        </w:rPr>
      </w:pPr>
      <w:r w:rsidRPr="00692F44">
        <w:rPr>
          <w:rFonts w:asciiTheme="minorHAnsi" w:eastAsiaTheme="minorHAnsi" w:hAnsiTheme="minorHAnsi" w:cstheme="minorBidi"/>
          <w:sz w:val="21"/>
          <w:szCs w:val="21"/>
          <w:lang w:eastAsia="en-US"/>
        </w:rPr>
        <w:t xml:space="preserve">Respondents (51.2%; 22 of 43 responses) also identified factors that might influence their reports of the effects of DMHS on consumers and carers. For example, respondents noted that effects can be measured in different ways, </w:t>
      </w:r>
      <w:r w:rsidRPr="00692F44">
        <w:rPr>
          <w:rFonts w:asciiTheme="minorHAnsi" w:eastAsiaTheme="minorHAnsi" w:hAnsiTheme="minorHAnsi" w:cstheme="minorBidi"/>
          <w:sz w:val="21"/>
          <w:szCs w:val="21"/>
          <w:lang w:eastAsia="en-US"/>
        </w:rPr>
        <w:lastRenderedPageBreak/>
        <w:t>including user feedback, outcome measures, and functional impact. Different effects may be valued or prioritised by different stakeholder groups (i.e.</w:t>
      </w:r>
      <w:r w:rsidR="00946435">
        <w:rPr>
          <w:rFonts w:asciiTheme="minorHAnsi" w:eastAsiaTheme="minorHAnsi" w:hAnsiTheme="minorHAnsi" w:cstheme="minorBidi"/>
          <w:sz w:val="21"/>
          <w:szCs w:val="21"/>
          <w:lang w:eastAsia="en-US"/>
        </w:rPr>
        <w:t>,</w:t>
      </w:r>
      <w:r w:rsidRPr="00692F44">
        <w:rPr>
          <w:rFonts w:asciiTheme="minorHAnsi" w:eastAsiaTheme="minorHAnsi" w:hAnsiTheme="minorHAnsi" w:cstheme="minorBidi"/>
          <w:sz w:val="21"/>
          <w:szCs w:val="21"/>
          <w:lang w:eastAsia="en-US"/>
        </w:rPr>
        <w:t xml:space="preserve"> consumers, researchers, funders, </w:t>
      </w:r>
      <w:r w:rsidR="00946435" w:rsidRPr="00692F44">
        <w:rPr>
          <w:rFonts w:asciiTheme="minorHAnsi" w:eastAsiaTheme="minorHAnsi" w:hAnsiTheme="minorHAnsi" w:cstheme="minorBidi"/>
          <w:sz w:val="21"/>
          <w:szCs w:val="21"/>
          <w:lang w:eastAsia="en-US"/>
        </w:rPr>
        <w:t>policymakers</w:t>
      </w:r>
      <w:r w:rsidRPr="00692F44">
        <w:rPr>
          <w:rFonts w:asciiTheme="minorHAnsi" w:eastAsiaTheme="minorHAnsi" w:hAnsiTheme="minorHAnsi" w:cstheme="minorBidi"/>
          <w:sz w:val="21"/>
          <w:szCs w:val="21"/>
          <w:lang w:eastAsia="en-US"/>
        </w:rPr>
        <w:t>). Responses also differed based on the type of organisation participants represented, as they had different points of reference and data sources. For example, PHNs often reported not having access to outcome data and were unable to describe DMHS effects, and DMHSs themselves generally had access to specific feedback from users and could cite publications to support the effectiveness of their services.</w:t>
      </w:r>
    </w:p>
    <w:p w14:paraId="3C072EB8" w14:textId="77777777" w:rsidR="00692F44" w:rsidRPr="00692F44" w:rsidRDefault="00692F44" w:rsidP="00692F44">
      <w:pPr>
        <w:spacing w:after="160" w:line="259" w:lineRule="auto"/>
        <w:rPr>
          <w:rFonts w:asciiTheme="minorHAnsi" w:eastAsiaTheme="minorHAnsi" w:hAnsiTheme="minorHAnsi" w:cstheme="minorBidi"/>
          <w:sz w:val="21"/>
          <w:szCs w:val="21"/>
          <w:lang w:eastAsia="en-US"/>
        </w:rPr>
      </w:pPr>
      <w:r w:rsidRPr="00692F44">
        <w:rPr>
          <w:rFonts w:asciiTheme="minorHAnsi" w:eastAsiaTheme="minorHAnsi" w:hAnsiTheme="minorHAnsi" w:cstheme="minorBidi"/>
          <w:sz w:val="21"/>
          <w:szCs w:val="21"/>
          <w:lang w:eastAsia="en-US"/>
        </w:rPr>
        <w:t>Several respondents also noted the impact of the COVID-19 pandemic on perceptions of DMHSs, with some grateful for access to DMHSs during lockdowns, others suffering from ‘zoom fatigue’, and many unaware of the differences between Telehealth and DMHSs. One respondent also noted that negative consumer perceptions of DMHSs may shift with greater education and exposure. Several respondents noted that some consumers may simply not prefer DMHSs nor find them as useful as face-to-face services, in which case they should not be restricted to using DMHSs.</w:t>
      </w:r>
    </w:p>
    <w:p w14:paraId="7A982560" w14:textId="77777777" w:rsidR="00692F44" w:rsidRPr="00692F44" w:rsidRDefault="00692F44" w:rsidP="00CB21FF">
      <w:pPr>
        <w:pStyle w:val="Heading3"/>
      </w:pPr>
      <w:bookmarkStart w:id="254" w:name="_Toc107508827"/>
      <w:r w:rsidRPr="00692F44">
        <w:t>Negative effects</w:t>
      </w:r>
      <w:bookmarkEnd w:id="254"/>
    </w:p>
    <w:p w14:paraId="39DEE097" w14:textId="7D728E37" w:rsidR="00692F44" w:rsidRPr="00692F44" w:rsidRDefault="00692F44" w:rsidP="00692F44">
      <w:pPr>
        <w:spacing w:after="160" w:line="259" w:lineRule="auto"/>
        <w:rPr>
          <w:rFonts w:asciiTheme="minorHAnsi" w:eastAsia="Calibri" w:hAnsiTheme="minorHAnsi" w:cstheme="minorBidi"/>
          <w:sz w:val="22"/>
          <w:szCs w:val="22"/>
          <w:lang w:eastAsia="en-US"/>
        </w:rPr>
      </w:pPr>
      <w:r w:rsidRPr="00692F44">
        <w:rPr>
          <w:rFonts w:asciiTheme="minorHAnsi" w:eastAsiaTheme="minorHAnsi" w:hAnsiTheme="minorHAnsi" w:cstheme="minorBidi"/>
          <w:sz w:val="21"/>
          <w:szCs w:val="21"/>
          <w:lang w:eastAsia="en-US"/>
        </w:rPr>
        <w:t>Ten of the 43 responses (23.3%) described potential negative effects of DMHSs on consumers and carers. Specifically, several respondents indicated that self-directed DMHSs may be too simplistic, not provide enough accountability or simply have unknown or minimal effects. Some reported slow uptake of DMHSs in the past, consumers dropping out of programs or experiencing harm if the care received was inappropriate. One respondent reflected on the increased stress for carers in learning how to use Telehealth during the pandemic and that many prefer face-to-face rather than phone or Telehealth services. Apart from preferences to use face-to-face services, respondents suggested that consumers may express concerns about the use of their data, become overwhelmed by the choices available online, or even select inappropriate DMHSs in the absence of support or guidance.</w:t>
      </w:r>
    </w:p>
    <w:p w14:paraId="365ADF7E" w14:textId="6271B4BD" w:rsidR="00692F44" w:rsidRPr="00692F44" w:rsidRDefault="00692F44" w:rsidP="00CB21FF">
      <w:pPr>
        <w:pStyle w:val="Heading2"/>
        <w:numPr>
          <w:ilvl w:val="1"/>
          <w:numId w:val="146"/>
        </w:numPr>
        <w:rPr>
          <w:rFonts w:eastAsiaTheme="minorHAnsi"/>
        </w:rPr>
      </w:pPr>
      <w:bookmarkStart w:id="255" w:name="_Toc102132002"/>
      <w:bookmarkStart w:id="256" w:name="_Toc107508828"/>
      <w:bookmarkStart w:id="257" w:name="_Toc108784894"/>
      <w:r w:rsidRPr="00692F44">
        <w:rPr>
          <w:rFonts w:eastAsiaTheme="minorHAnsi"/>
        </w:rPr>
        <w:t>Integration of DMHSs</w:t>
      </w:r>
      <w:bookmarkEnd w:id="255"/>
      <w:bookmarkEnd w:id="256"/>
      <w:bookmarkEnd w:id="257"/>
    </w:p>
    <w:p w14:paraId="573CA80F" w14:textId="77777777" w:rsidR="00692F44" w:rsidRPr="00692F44" w:rsidRDefault="00692F44" w:rsidP="00E6541B">
      <w:pPr>
        <w:spacing w:after="240"/>
        <w:rPr>
          <w:rFonts w:ascii="Calibri" w:hAnsi="Calibri" w:cstheme="minorHAnsi"/>
          <w:color w:val="000000" w:themeColor="text1"/>
          <w:sz w:val="21"/>
          <w:szCs w:val="21"/>
          <w:lang w:eastAsia="zh-CN"/>
        </w:rPr>
      </w:pPr>
      <w:r w:rsidRPr="00692F44">
        <w:rPr>
          <w:rFonts w:ascii="Calibri" w:eastAsiaTheme="minorHAnsi" w:hAnsi="Calibri" w:cs="Arial"/>
          <w:color w:val="000000" w:themeColor="text1"/>
          <w:sz w:val="21"/>
          <w:szCs w:val="21"/>
          <w:lang w:eastAsia="zh-CN"/>
        </w:rPr>
        <w:t xml:space="preserve">There were 48 responses (92.3% of the sample) to a question regarding how </w:t>
      </w:r>
      <w:proofErr w:type="gramStart"/>
      <w:r w:rsidRPr="00692F44">
        <w:rPr>
          <w:rFonts w:ascii="Calibri" w:eastAsiaTheme="minorHAnsi" w:hAnsi="Calibri" w:cs="Arial"/>
          <w:color w:val="000000" w:themeColor="text1"/>
          <w:sz w:val="21"/>
          <w:szCs w:val="21"/>
          <w:lang w:eastAsia="zh-CN"/>
        </w:rPr>
        <w:t>therapist-supported</w:t>
      </w:r>
      <w:proofErr w:type="gramEnd"/>
      <w:r w:rsidRPr="00692F44">
        <w:rPr>
          <w:rFonts w:ascii="Calibri" w:eastAsiaTheme="minorHAnsi" w:hAnsi="Calibri" w:cs="Arial"/>
          <w:color w:val="000000" w:themeColor="text1"/>
          <w:sz w:val="21"/>
          <w:szCs w:val="21"/>
          <w:lang w:eastAsia="zh-CN"/>
        </w:rPr>
        <w:t xml:space="preserve"> and self-directed DMHSs could</w:t>
      </w:r>
      <w:r w:rsidRPr="00692F44">
        <w:rPr>
          <w:rFonts w:ascii="Calibri" w:eastAsiaTheme="minorHAnsi" w:hAnsi="Calibri" w:cs="Arial"/>
          <w:color w:val="000000" w:themeColor="text1"/>
          <w:sz w:val="21"/>
          <w:szCs w:val="21"/>
          <w:lang w:eastAsia="en-US"/>
        </w:rPr>
        <w:t xml:space="preserve"> be better integrated and used in mental health care across Australia. We identified six key themes including: (1) training, addressing misconceptions and awareness raising; (2) positioning DMHSs within the system; (3) approach to and enablers of system change; (4) funding; (5) improving consumer experience; and (6) reducing barriers for consumers.</w:t>
      </w:r>
    </w:p>
    <w:p w14:paraId="15F44FA3" w14:textId="099DC719" w:rsidR="00692F44" w:rsidRPr="00EC0034" w:rsidRDefault="00692F44" w:rsidP="00E6541B">
      <w:pPr>
        <w:pStyle w:val="Heading3"/>
        <w:spacing w:after="240"/>
        <w:rPr>
          <w:rFonts w:eastAsiaTheme="minorHAnsi"/>
        </w:rPr>
      </w:pPr>
      <w:bookmarkStart w:id="258" w:name="_Toc107508829"/>
      <w:r w:rsidRPr="00692F44">
        <w:rPr>
          <w:rFonts w:eastAsiaTheme="minorHAnsi"/>
        </w:rPr>
        <w:t>Training, addressing misconceptions and awareness raising</w:t>
      </w:r>
      <w:bookmarkEnd w:id="258"/>
    </w:p>
    <w:p w14:paraId="589FDDCE" w14:textId="77777777" w:rsidR="00692F44" w:rsidRPr="00692F44" w:rsidRDefault="00692F44" w:rsidP="00E6541B">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 xml:space="preserve">Over half of the responses (56.3%; 27 of 48 responses) related to training, addressing misconceptions about DMHSs and awareness raising amongst consumers, </w:t>
      </w:r>
      <w:proofErr w:type="gramStart"/>
      <w:r w:rsidRPr="00692F44">
        <w:rPr>
          <w:rFonts w:ascii="Calibri" w:eastAsiaTheme="minorHAnsi" w:hAnsi="Calibri" w:cs="Arial"/>
          <w:color w:val="000000" w:themeColor="text1"/>
          <w:sz w:val="21"/>
          <w:szCs w:val="21"/>
          <w:lang w:eastAsia="en-US"/>
        </w:rPr>
        <w:t>clinicians</w:t>
      </w:r>
      <w:proofErr w:type="gramEnd"/>
      <w:r w:rsidRPr="00692F44">
        <w:rPr>
          <w:rFonts w:ascii="Calibri" w:eastAsiaTheme="minorHAnsi" w:hAnsi="Calibri" w:cs="Arial"/>
          <w:color w:val="000000" w:themeColor="text1"/>
          <w:sz w:val="21"/>
          <w:szCs w:val="21"/>
          <w:lang w:eastAsia="en-US"/>
        </w:rPr>
        <w:t xml:space="preserve"> and policymakers.</w:t>
      </w:r>
    </w:p>
    <w:p w14:paraId="77CC4715" w14:textId="77777777" w:rsidR="00692F44" w:rsidRPr="00692F44" w:rsidRDefault="00692F44" w:rsidP="00E6541B">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Respondents noted that many consumers and clinicians remain unaware of the availability and existence of DMHSs or may confuse different types of digital health services. They suggested clear marketing and promotion so that consumers and clinicians know how to access information, the differences between service offerings for the consumer (e.g., cost, time commitment), as well as at what stage of care DMHSs may be best suited. Additionally, respondents suggested that a</w:t>
      </w:r>
      <w:r w:rsidRPr="6CA2054F">
        <w:rPr>
          <w:rFonts w:ascii="Calibri" w:hAnsi="Calibri" w:cs="Calibri"/>
          <w:color w:val="000000" w:themeColor="text1"/>
          <w:sz w:val="21"/>
          <w:szCs w:val="21"/>
          <w:lang w:eastAsia="en-AU"/>
        </w:rPr>
        <w:t xml:space="preserve"> curated list of resources, or a national platform like Head to Health may assist in navigating the options available.</w:t>
      </w:r>
    </w:p>
    <w:p w14:paraId="2E6DEC18" w14:textId="77777777" w:rsidR="00692F44" w:rsidRPr="00692F44" w:rsidRDefault="00692F44" w:rsidP="00E6541B">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Respondents indicated that clinician motivation to recommend DMHSs would improve with a better understanding of benefits of DMHSs for their patients or client and for easing the burden on the mental health system.</w:t>
      </w:r>
      <w:r w:rsidRPr="6CA2054F">
        <w:rPr>
          <w:rFonts w:ascii="Calibri" w:hAnsi="Calibri" w:cs="Calibri"/>
          <w:color w:val="000000" w:themeColor="text1"/>
          <w:sz w:val="21"/>
          <w:szCs w:val="21"/>
          <w:lang w:eastAsia="en-AU"/>
        </w:rPr>
        <w:t xml:space="preserve"> </w:t>
      </w:r>
      <w:r w:rsidRPr="00692F44">
        <w:rPr>
          <w:rFonts w:ascii="Calibri" w:eastAsiaTheme="minorHAnsi" w:hAnsi="Calibri" w:cs="Arial"/>
          <w:color w:val="000000" w:themeColor="text1"/>
          <w:sz w:val="21"/>
          <w:szCs w:val="21"/>
          <w:lang w:eastAsia="en-US"/>
        </w:rPr>
        <w:t>Correspondingly, it was noted that consumers also need to be informed of the benefits and risks of various treatment options, including DMHSs, so they can make informed decisions about their care. Consumer confidence could be increased with trusted recommendations from clinicians and mental health authorities.</w:t>
      </w:r>
    </w:p>
    <w:p w14:paraId="0C9E2326" w14:textId="77777777" w:rsidR="00692F44" w:rsidRPr="00692F44" w:rsidRDefault="00692F44" w:rsidP="00E6541B">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 xml:space="preserve">Several respondents noted the need to address ‘therapeutic tribalism’ (04) so that clinicians are more open to alternative methods. It was suggested this could in part be addressed by training junior clinicians or providing </w:t>
      </w:r>
      <w:r w:rsidRPr="00692F44">
        <w:rPr>
          <w:rFonts w:ascii="Calibri" w:eastAsiaTheme="minorHAnsi" w:hAnsi="Calibri" w:cs="Arial"/>
          <w:color w:val="000000" w:themeColor="text1"/>
          <w:sz w:val="21"/>
          <w:szCs w:val="21"/>
          <w:lang w:eastAsia="en-US"/>
        </w:rPr>
        <w:lastRenderedPageBreak/>
        <w:t>exposure to DMHSs during mental health clinician training. In the meantime, respondents noted that clinicians need to be personally motivated to seek out and receive training in digital mental health. One respondent indicated that THIS WAY UP has a course designed for clinicians for this purpose.</w:t>
      </w:r>
    </w:p>
    <w:p w14:paraId="6F9F9504"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6CA2054F">
        <w:rPr>
          <w:rFonts w:ascii="Calibri" w:hAnsi="Calibri" w:cs="Calibri"/>
          <w:color w:val="000000" w:themeColor="text1"/>
          <w:sz w:val="21"/>
          <w:szCs w:val="21"/>
          <w:lang w:eastAsia="en-AU"/>
        </w:rPr>
        <w:t xml:space="preserve">At a policy- or system-wide-level, respondents indicated that misconceptions about DMHSs need to be addressed to enable uptake and integration. Specifically, there is a need to clarify the differences between face-to-face and DMHSs, and the utility and efficacy of DMHSs. </w:t>
      </w:r>
      <w:r w:rsidRPr="00692F44">
        <w:rPr>
          <w:rFonts w:ascii="Calibri" w:eastAsiaTheme="minorHAnsi" w:hAnsi="Calibri" w:cs="Arial"/>
          <w:color w:val="000000" w:themeColor="text1"/>
          <w:sz w:val="21"/>
          <w:szCs w:val="21"/>
          <w:lang w:eastAsia="en-US"/>
        </w:rPr>
        <w:t>Several respondents indicated that DMHSs needed to be treated as high quality as face-to-face treatment services.</w:t>
      </w:r>
    </w:p>
    <w:p w14:paraId="24206DB7" w14:textId="3FC1832F" w:rsidR="00692F44" w:rsidRPr="00C57262" w:rsidRDefault="00692F44" w:rsidP="0048201E">
      <w:pPr>
        <w:pStyle w:val="Heading3"/>
        <w:spacing w:after="240"/>
        <w:rPr>
          <w:rFonts w:eastAsiaTheme="minorHAnsi"/>
        </w:rPr>
      </w:pPr>
      <w:bookmarkStart w:id="259" w:name="_Toc107508830"/>
      <w:r w:rsidRPr="00692F44">
        <w:rPr>
          <w:rFonts w:eastAsiaTheme="minorHAnsi"/>
        </w:rPr>
        <w:t>Positioning DMHSs within the system</w:t>
      </w:r>
      <w:bookmarkEnd w:id="259"/>
    </w:p>
    <w:p w14:paraId="0B1DC519"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Just over half of the responses (54.2%; 26 of 48 responses) related to where DMHSs might be integrated across the broader health system.</w:t>
      </w:r>
    </w:p>
    <w:p w14:paraId="1211A887"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Respondents suggested that DMHSs could fit into a stepped care model as low intensity services, and to provide early intervention and relapse prevention. Furthermore, DMHSs could be used as a demand management strategy, potentially reducing the length of waitlists if consumers receive sufficient care from the DMHS.</w:t>
      </w:r>
      <w:r w:rsidRPr="6CA2054F">
        <w:rPr>
          <w:rFonts w:ascii="Calibri" w:hAnsi="Calibri" w:cs="Calibri"/>
          <w:color w:val="000000" w:themeColor="text1"/>
          <w:sz w:val="21"/>
          <w:szCs w:val="21"/>
          <w:lang w:eastAsia="en-AU"/>
        </w:rPr>
        <w:t xml:space="preserve"> DMHSs may also allow the broader health system to cope with variations in quantity and type of need, such as managing seasonal variations in depression rates.</w:t>
      </w:r>
    </w:p>
    <w:p w14:paraId="6BEB2B7E"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 xml:space="preserve">Respondents also suggested that DMHSs could also act as either blended or stand-alone treatment services; for example, following discharge from a mental health or crisis support service, as an alternative to face-to-face sessions, between sessions with a clinician, within hospitals or other residential services, and in routine care from a GP. </w:t>
      </w:r>
      <w:r w:rsidRPr="6CA2054F">
        <w:rPr>
          <w:rFonts w:ascii="Calibri" w:hAnsi="Calibri" w:cs="Calibri"/>
          <w:color w:val="000000" w:themeColor="text1"/>
          <w:sz w:val="21"/>
          <w:szCs w:val="21"/>
          <w:lang w:eastAsia="en-AU"/>
        </w:rPr>
        <w:t>Within blended care, it was suggested that DMHSs could also be used to address specific issues like anxiety while face-to-face sessions focus on more complex mental health issues or managing chronic health conditions like diabetes.</w:t>
      </w:r>
    </w:p>
    <w:p w14:paraId="1E6BC132"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Many respondents noted the importance of integration with GPs and psychologists:</w:t>
      </w:r>
    </w:p>
    <w:p w14:paraId="62C139C1" w14:textId="77777777" w:rsidR="00692F44" w:rsidRPr="00692F44" w:rsidRDefault="00692F44" w:rsidP="0048201E">
      <w:pPr>
        <w:spacing w:after="240"/>
        <w:ind w:left="567"/>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‘I think we need to be looking at implementing supported digital mental health not just in specific specialist services, but we really need it to be used by the largest mental health workforce in the country – GPs and psychologists in private practice, that big workforce I think is being under-utilised’ (01).</w:t>
      </w:r>
    </w:p>
    <w:p w14:paraId="655B0951" w14:textId="77777777" w:rsidR="00692F44" w:rsidRPr="00692F44" w:rsidRDefault="00692F44" w:rsidP="0048201E">
      <w:pPr>
        <w:spacing w:after="240"/>
        <w:rPr>
          <w:rFonts w:ascii="Calibri" w:eastAsiaTheme="minorHAnsi" w:hAnsi="Calibri" w:cs="Arial"/>
          <w:i/>
          <w:iCs/>
          <w:color w:val="000000" w:themeColor="text1"/>
          <w:sz w:val="21"/>
          <w:szCs w:val="21"/>
          <w:lang w:eastAsia="en-US"/>
        </w:rPr>
      </w:pPr>
      <w:r w:rsidRPr="6CA2054F">
        <w:rPr>
          <w:rFonts w:ascii="Calibri" w:hAnsi="Calibri" w:cs="Calibri"/>
          <w:color w:val="000000" w:themeColor="text1"/>
          <w:sz w:val="21"/>
          <w:szCs w:val="21"/>
          <w:lang w:eastAsia="en-AU"/>
        </w:rPr>
        <w:t>Logistically, respondents suggested that DMHSs could be integrated with one another, and with other digital services like electronic health records, although one respondent noted that differing uses of these services may make this difficult. Others suggested that a national platform like Head to Health could also enable integration, particularly if integrated with a ‘care model or digital record’ (039). Integration was also reported to be occurring organically with ‘peer-led social media platforms’ (06).</w:t>
      </w:r>
    </w:p>
    <w:p w14:paraId="78B95E56" w14:textId="0B9C2207" w:rsidR="00692F44" w:rsidRPr="00C57262" w:rsidRDefault="00692F44" w:rsidP="0048201E">
      <w:pPr>
        <w:pStyle w:val="Heading3"/>
        <w:spacing w:after="240"/>
        <w:rPr>
          <w:rFonts w:eastAsiaTheme="minorHAnsi"/>
        </w:rPr>
      </w:pPr>
      <w:bookmarkStart w:id="260" w:name="_Toc107508831"/>
      <w:r w:rsidRPr="00692F44">
        <w:rPr>
          <w:rFonts w:eastAsiaTheme="minorHAnsi"/>
        </w:rPr>
        <w:t>Approach to, and enablers of, system change</w:t>
      </w:r>
      <w:bookmarkEnd w:id="260"/>
    </w:p>
    <w:p w14:paraId="7A650FCF"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Many responses (43.8%; 21 of 48 responses) related to the approach to, and enablers of, change within the system for integration of DMHSs. Respondents indicated that a clearer definition of what integration is and what is expected of services and clinicians might assist in the effort to integrate DMHSs within the mental health system. They stated a need for measurement of outcomes, as well as research and evaluation funding, with greater clarity of what success entails and the intended scope of supported DMHSs. Stakeholders also mentioned that receiving feedback on outcomes is important for clinicians and PHNs to be able to show outcomes more broadly and that consultation with people with lived experience will enable co-design and continuous improvement of services.</w:t>
      </w:r>
    </w:p>
    <w:p w14:paraId="6A914A29"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 xml:space="preserve">At a broad level, respondents indicated that integration </w:t>
      </w:r>
      <w:proofErr w:type="gramStart"/>
      <w:r w:rsidRPr="00692F44">
        <w:rPr>
          <w:rFonts w:ascii="Calibri" w:eastAsiaTheme="minorHAnsi" w:hAnsi="Calibri" w:cs="Arial"/>
          <w:color w:val="000000" w:themeColor="text1"/>
          <w:sz w:val="21"/>
          <w:szCs w:val="21"/>
          <w:lang w:eastAsia="en-US"/>
        </w:rPr>
        <w:t>will</w:t>
      </w:r>
      <w:proofErr w:type="gramEnd"/>
      <w:r w:rsidRPr="00692F44">
        <w:rPr>
          <w:rFonts w:ascii="Calibri" w:eastAsiaTheme="minorHAnsi" w:hAnsi="Calibri" w:cs="Arial"/>
          <w:color w:val="000000" w:themeColor="text1"/>
          <w:sz w:val="21"/>
          <w:szCs w:val="21"/>
          <w:lang w:eastAsia="en-US"/>
        </w:rPr>
        <w:t xml:space="preserve"> require national coordination of the mental health system, including PHNs, local mental health services, and peak bodies to enable system change. It will also be important to facilitate implementation of the National Digital Mental Health Standards and to reduce duplication of effort so that funding is managed efficiently. Quality will also remain an important concern: </w:t>
      </w:r>
    </w:p>
    <w:p w14:paraId="62D6FBEE" w14:textId="77777777" w:rsidR="00692F44" w:rsidRPr="00692F44" w:rsidRDefault="00692F44" w:rsidP="0048201E">
      <w:pPr>
        <w:spacing w:after="240"/>
        <w:ind w:left="567"/>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lastRenderedPageBreak/>
        <w:t>‘Creating a national framework that focuses on the logistics but also the quality of care, which is quite important to ensure that the quality of the care doesn't [diminish] being digitally provided’ (042).</w:t>
      </w:r>
    </w:p>
    <w:p w14:paraId="4A91F2CB"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Within face-to-face services, respondents indicated that support from leadership is needed, as well as clear communication between face-to-face and digital clinicians. Regarding the supported DMHSs themselves, consistency in digital architecture across services will assist in scaling up of services, as well as use of implementation science to guide practice models. Additionally, respondents indicated that it will be important to proactively manage the unique considerations of the digital sphere that may be of concern to consumers, such as ‘information management issues, including communication channels and platforms, privacy and data sovereignty’ (068) as well as modifications that need to be made for the consumer when offering therapy in a different format.</w:t>
      </w:r>
    </w:p>
    <w:p w14:paraId="41BECF21"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To facilitate GP involvement, stakeholders indicated that GPs need clear referral processes (e.g., inclusion of DMHS in the Medicare system) and progress reporting following referrals to DMHSs. As an example of enabling system change, THIS WAY UP include some of their programs in clinical practice guidelines for GPs.</w:t>
      </w:r>
    </w:p>
    <w:p w14:paraId="2E24D3EA" w14:textId="1C34705B" w:rsidR="00692F44" w:rsidRPr="00C57262" w:rsidRDefault="00692F44" w:rsidP="0048201E">
      <w:pPr>
        <w:pStyle w:val="Heading3"/>
        <w:spacing w:after="240"/>
        <w:rPr>
          <w:rFonts w:eastAsiaTheme="minorHAnsi"/>
        </w:rPr>
      </w:pPr>
      <w:bookmarkStart w:id="261" w:name="_Toc107508832"/>
      <w:r w:rsidRPr="00692F44">
        <w:rPr>
          <w:rFonts w:eastAsiaTheme="minorHAnsi"/>
        </w:rPr>
        <w:t>Funding</w:t>
      </w:r>
      <w:bookmarkEnd w:id="261"/>
    </w:p>
    <w:p w14:paraId="55E29345"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Several responses (27.1%; 13 of 48 responses) related to the theme of funding. Respondents indicated that funding was required for clinicians/referrers and DMHSs to facilitate integration of services. Specifically, clinicians need to have sufficient financial incentives to use and recommend DMHSs, including being properly remunerated for their time as in the example of the Medicare Benefits Scheme. Additionally, DMHSs need financial support to invest time in establishing links between health services more broadly (e.g., electronic health records), as well as research and evaluation.</w:t>
      </w:r>
    </w:p>
    <w:p w14:paraId="49405D5C"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 xml:space="preserve">It was suggested that long-term financial investment is also needed for the DMHSs to develop and maintain quality, facilitate </w:t>
      </w:r>
      <w:proofErr w:type="gramStart"/>
      <w:r w:rsidRPr="00692F44">
        <w:rPr>
          <w:rFonts w:ascii="Calibri" w:eastAsiaTheme="minorHAnsi" w:hAnsi="Calibri" w:cs="Arial"/>
          <w:color w:val="000000" w:themeColor="text1"/>
          <w:sz w:val="21"/>
          <w:szCs w:val="21"/>
          <w:lang w:eastAsia="en-US"/>
        </w:rPr>
        <w:t>operations</w:t>
      </w:r>
      <w:proofErr w:type="gramEnd"/>
      <w:r w:rsidRPr="00692F44">
        <w:rPr>
          <w:rFonts w:ascii="Calibri" w:eastAsiaTheme="minorHAnsi" w:hAnsi="Calibri" w:cs="Arial"/>
          <w:color w:val="000000" w:themeColor="text1"/>
          <w:sz w:val="21"/>
          <w:szCs w:val="21"/>
          <w:lang w:eastAsia="en-US"/>
        </w:rPr>
        <w:t xml:space="preserve"> and scale up of services to meet demand. One respondent suggested that although funding needs to increase as demand for services increases, scalability of services ought to eventually lead to efficiencies and greater cost effectiveness. Another stated that funding also needs to be sufficiently flexible so as not to act as a barrier for integration, as in the case of specific funding contracts for DMHSs.</w:t>
      </w:r>
    </w:p>
    <w:p w14:paraId="55F0F7F0"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 xml:space="preserve">One stakeholder indicated that investing in DMHSs may also save money overall within the system. In contrast, others highlighted </w:t>
      </w:r>
      <w:proofErr w:type="gramStart"/>
      <w:r w:rsidRPr="00692F44">
        <w:rPr>
          <w:rFonts w:ascii="Calibri" w:eastAsiaTheme="minorHAnsi" w:hAnsi="Calibri" w:cs="Arial"/>
          <w:color w:val="000000" w:themeColor="text1"/>
          <w:sz w:val="21"/>
          <w:szCs w:val="21"/>
          <w:lang w:eastAsia="en-US"/>
        </w:rPr>
        <w:t>that equivalent costs</w:t>
      </w:r>
      <w:proofErr w:type="gramEnd"/>
      <w:r w:rsidRPr="00692F44">
        <w:rPr>
          <w:rFonts w:ascii="Calibri" w:eastAsiaTheme="minorHAnsi" w:hAnsi="Calibri" w:cs="Arial"/>
          <w:color w:val="000000" w:themeColor="text1"/>
          <w:sz w:val="21"/>
          <w:szCs w:val="21"/>
          <w:lang w:eastAsia="en-US"/>
        </w:rPr>
        <w:t xml:space="preserve"> to face-to-face services may be incurred to provide quality treatment services:</w:t>
      </w:r>
    </w:p>
    <w:p w14:paraId="665C6331" w14:textId="77777777" w:rsidR="00692F44" w:rsidRPr="00692F44" w:rsidRDefault="00692F44" w:rsidP="0048201E">
      <w:pPr>
        <w:spacing w:after="240"/>
        <w:ind w:left="567"/>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 xml:space="preserve">I think there’s a few things which need to be dispelled, the idea that digital platforms are more expedient or necessarily economical because let’s say in our context, the average duration of a web chat is 44 minutes. Still </w:t>
      </w:r>
      <w:proofErr w:type="gramStart"/>
      <w:r w:rsidRPr="00692F44">
        <w:rPr>
          <w:rFonts w:ascii="Calibri" w:eastAsiaTheme="minorHAnsi" w:hAnsi="Calibri" w:cs="Arial"/>
          <w:color w:val="000000" w:themeColor="text1"/>
          <w:sz w:val="21"/>
          <w:szCs w:val="21"/>
          <w:lang w:eastAsia="en-US"/>
        </w:rPr>
        <w:t>has to</w:t>
      </w:r>
      <w:proofErr w:type="gramEnd"/>
      <w:r w:rsidRPr="00692F44">
        <w:rPr>
          <w:rFonts w:ascii="Calibri" w:eastAsiaTheme="minorHAnsi" w:hAnsi="Calibri" w:cs="Arial"/>
          <w:color w:val="000000" w:themeColor="text1"/>
          <w:sz w:val="21"/>
          <w:szCs w:val="21"/>
          <w:lang w:eastAsia="en-US"/>
        </w:rPr>
        <w:t xml:space="preserve"> have clinical notes written, care plan written so it’s not vastly different from an in-person service, still requires a person at the other end (06).</w:t>
      </w:r>
    </w:p>
    <w:p w14:paraId="46F73118" w14:textId="3CAA3907" w:rsidR="00692F44" w:rsidRPr="00893E0D" w:rsidRDefault="00692F44" w:rsidP="0048201E">
      <w:pPr>
        <w:pStyle w:val="Heading3"/>
        <w:spacing w:after="240"/>
        <w:rPr>
          <w:rFonts w:eastAsiaTheme="minorHAnsi"/>
        </w:rPr>
      </w:pPr>
      <w:bookmarkStart w:id="262" w:name="_Toc107508833"/>
      <w:r w:rsidRPr="00692F44">
        <w:rPr>
          <w:rFonts w:eastAsiaTheme="minorHAnsi"/>
        </w:rPr>
        <w:t>Improving consumer experience</w:t>
      </w:r>
      <w:bookmarkEnd w:id="262"/>
    </w:p>
    <w:p w14:paraId="14234C4C" w14:textId="77777777" w:rsidR="00692F44" w:rsidRPr="00692F44" w:rsidRDefault="00692F44" w:rsidP="0048201E">
      <w:pPr>
        <w:spacing w:after="240"/>
        <w:rPr>
          <w:rFonts w:ascii="Calibri" w:hAnsi="Calibri" w:cs="Arial"/>
          <w:color w:val="000000" w:themeColor="text1"/>
          <w:sz w:val="21"/>
          <w:szCs w:val="21"/>
          <w:lang w:eastAsia="en-AU"/>
        </w:rPr>
      </w:pPr>
      <w:r w:rsidRPr="00692F44">
        <w:rPr>
          <w:rFonts w:ascii="Calibri" w:hAnsi="Calibri" w:cs="Arial"/>
          <w:color w:val="000000" w:themeColor="text1"/>
          <w:sz w:val="21"/>
          <w:szCs w:val="21"/>
          <w:lang w:eastAsia="en-AU"/>
        </w:rPr>
        <w:t>Several responses (20.8%; 10 of 48 responses) related to the consumer experience, particularly that service integration will assist in providing a ‘seamless and integrated experience’ (02), in contrast to existing issues with integration within the mental health system at large. Respondents suggested that DMHSs may play an important role in overall integration:</w:t>
      </w:r>
    </w:p>
    <w:p w14:paraId="1CE15891" w14:textId="77777777" w:rsidR="00692F44" w:rsidRPr="00692F44" w:rsidRDefault="00692F44" w:rsidP="0048201E">
      <w:pPr>
        <w:spacing w:after="240"/>
        <w:ind w:left="567"/>
        <w:rPr>
          <w:rFonts w:ascii="Calibri" w:hAnsi="Calibri" w:cs="Arial"/>
          <w:color w:val="000000" w:themeColor="text1"/>
          <w:sz w:val="21"/>
          <w:szCs w:val="21"/>
          <w:lang w:eastAsia="en-AU"/>
        </w:rPr>
      </w:pPr>
      <w:r w:rsidRPr="00692F44">
        <w:rPr>
          <w:rFonts w:ascii="Calibri" w:hAnsi="Calibri" w:cs="Arial"/>
          <w:color w:val="000000" w:themeColor="text1"/>
          <w:sz w:val="21"/>
          <w:szCs w:val="21"/>
          <w:lang w:eastAsia="en-AU"/>
        </w:rPr>
        <w:t>Various lived experience groups have identified a “disjointed” experience where you bounce between services to find the one that is appropriate to you. [DMHSs] can provide greater cohesiveness in this space (036).</w:t>
      </w:r>
    </w:p>
    <w:p w14:paraId="47DCC02C" w14:textId="77777777" w:rsidR="00692F44" w:rsidRPr="00692F44" w:rsidRDefault="00692F44" w:rsidP="0048201E">
      <w:pPr>
        <w:spacing w:after="240"/>
        <w:rPr>
          <w:rFonts w:asciiTheme="minorHAnsi" w:eastAsiaTheme="minorHAnsi" w:hAnsiTheme="minorHAnsi" w:cstheme="minorBidi"/>
          <w:color w:val="000000" w:themeColor="text1"/>
          <w:sz w:val="21"/>
          <w:szCs w:val="21"/>
          <w:lang w:eastAsia="en-US"/>
        </w:rPr>
      </w:pPr>
      <w:r w:rsidRPr="00692F44">
        <w:rPr>
          <w:rFonts w:ascii="Calibri" w:hAnsi="Calibri" w:cs="Arial"/>
          <w:color w:val="000000" w:themeColor="text1"/>
          <w:sz w:val="21"/>
          <w:szCs w:val="21"/>
          <w:lang w:eastAsia="en-AU"/>
        </w:rPr>
        <w:t xml:space="preserve">It was also noted that it is important to provide consumers with options, rather than mandating use of DMHSs for </w:t>
      </w:r>
      <w:proofErr w:type="gramStart"/>
      <w:r w:rsidRPr="00692F44">
        <w:rPr>
          <w:rFonts w:ascii="Calibri" w:hAnsi="Calibri" w:cs="Arial"/>
          <w:color w:val="000000" w:themeColor="text1"/>
          <w:sz w:val="21"/>
          <w:szCs w:val="21"/>
          <w:lang w:eastAsia="en-AU"/>
        </w:rPr>
        <w:t>particular populations</w:t>
      </w:r>
      <w:proofErr w:type="gramEnd"/>
      <w:r w:rsidRPr="00692F44">
        <w:rPr>
          <w:rFonts w:ascii="Calibri" w:hAnsi="Calibri" w:cs="Arial"/>
          <w:color w:val="000000" w:themeColor="text1"/>
          <w:sz w:val="21"/>
          <w:szCs w:val="21"/>
          <w:lang w:eastAsia="en-AU"/>
        </w:rPr>
        <w:t xml:space="preserve">. </w:t>
      </w:r>
      <w:r w:rsidRPr="00692F44">
        <w:rPr>
          <w:rFonts w:asciiTheme="minorHAnsi" w:eastAsiaTheme="minorHAnsi" w:hAnsiTheme="minorHAnsi" w:cstheme="minorBidi"/>
          <w:color w:val="000000" w:themeColor="text1"/>
          <w:sz w:val="21"/>
          <w:szCs w:val="21"/>
          <w:lang w:eastAsia="en-US"/>
        </w:rPr>
        <w:t xml:space="preserve">Respondents indicated that consumer choice is also likely to lead to empowerment, improved </w:t>
      </w:r>
      <w:proofErr w:type="gramStart"/>
      <w:r w:rsidRPr="00692F44">
        <w:rPr>
          <w:rFonts w:asciiTheme="minorHAnsi" w:eastAsiaTheme="minorHAnsi" w:hAnsiTheme="minorHAnsi" w:cstheme="minorBidi"/>
          <w:color w:val="000000" w:themeColor="text1"/>
          <w:sz w:val="21"/>
          <w:szCs w:val="21"/>
          <w:lang w:eastAsia="en-US"/>
        </w:rPr>
        <w:t>engagement</w:t>
      </w:r>
      <w:proofErr w:type="gramEnd"/>
      <w:r w:rsidRPr="00692F44">
        <w:rPr>
          <w:rFonts w:asciiTheme="minorHAnsi" w:eastAsiaTheme="minorHAnsi" w:hAnsiTheme="minorHAnsi" w:cstheme="minorBidi"/>
          <w:color w:val="000000" w:themeColor="text1"/>
          <w:sz w:val="21"/>
          <w:szCs w:val="21"/>
          <w:lang w:eastAsia="en-US"/>
        </w:rPr>
        <w:t xml:space="preserve"> and outcomes. Additionally, stakeholders indicated that DMHSs can provide consumers with greater flexibility than face-to-face </w:t>
      </w:r>
      <w:proofErr w:type="gramStart"/>
      <w:r w:rsidRPr="00692F44">
        <w:rPr>
          <w:rFonts w:asciiTheme="minorHAnsi" w:eastAsiaTheme="minorHAnsi" w:hAnsiTheme="minorHAnsi" w:cstheme="minorBidi"/>
          <w:color w:val="000000" w:themeColor="text1"/>
          <w:sz w:val="21"/>
          <w:szCs w:val="21"/>
          <w:lang w:eastAsia="en-US"/>
        </w:rPr>
        <w:t xml:space="preserve">services, </w:t>
      </w:r>
      <w:r w:rsidRPr="00692F44">
        <w:rPr>
          <w:rFonts w:ascii="Calibri" w:hAnsi="Calibri" w:cs="Arial"/>
          <w:color w:val="000000" w:themeColor="text1"/>
          <w:sz w:val="21"/>
          <w:szCs w:val="21"/>
          <w:lang w:eastAsia="en-AU"/>
        </w:rPr>
        <w:t>and</w:t>
      </w:r>
      <w:proofErr w:type="gramEnd"/>
      <w:r w:rsidRPr="00692F44">
        <w:rPr>
          <w:rFonts w:ascii="Calibri" w:hAnsi="Calibri" w:cs="Arial"/>
          <w:color w:val="000000" w:themeColor="text1"/>
          <w:sz w:val="21"/>
          <w:szCs w:val="21"/>
          <w:lang w:eastAsia="en-AU"/>
        </w:rPr>
        <w:t xml:space="preserve"> may also reduce carer burden</w:t>
      </w:r>
      <w:r w:rsidRPr="00692F44">
        <w:rPr>
          <w:rFonts w:asciiTheme="minorHAnsi" w:eastAsiaTheme="minorHAnsi" w:hAnsiTheme="minorHAnsi" w:cstheme="minorBidi"/>
          <w:color w:val="000000" w:themeColor="text1"/>
          <w:sz w:val="21"/>
          <w:szCs w:val="21"/>
          <w:lang w:eastAsia="en-US"/>
        </w:rPr>
        <w:t>.</w:t>
      </w:r>
    </w:p>
    <w:p w14:paraId="685A5A23" w14:textId="736FE7C8" w:rsidR="00692F44" w:rsidRPr="003C7FBD" w:rsidRDefault="00692F44" w:rsidP="0048201E">
      <w:pPr>
        <w:pStyle w:val="Heading3"/>
        <w:spacing w:after="240"/>
        <w:rPr>
          <w:rFonts w:eastAsiaTheme="minorHAnsi"/>
        </w:rPr>
      </w:pPr>
      <w:bookmarkStart w:id="263" w:name="_Toc107508834"/>
      <w:r w:rsidRPr="00692F44">
        <w:rPr>
          <w:rFonts w:eastAsiaTheme="minorHAnsi"/>
        </w:rPr>
        <w:lastRenderedPageBreak/>
        <w:t>Reducing barriers for consumers</w:t>
      </w:r>
      <w:bookmarkEnd w:id="263"/>
    </w:p>
    <w:p w14:paraId="6D40DEEF"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 xml:space="preserve">Several responses (18.8%; 9 of 48 responses) related to specific barriers for consumers that need to be managed </w:t>
      </w:r>
      <w:proofErr w:type="gramStart"/>
      <w:r w:rsidRPr="00692F44">
        <w:rPr>
          <w:rFonts w:ascii="Calibri" w:eastAsiaTheme="minorHAnsi" w:hAnsi="Calibri" w:cs="Arial"/>
          <w:color w:val="000000" w:themeColor="text1"/>
          <w:sz w:val="21"/>
          <w:szCs w:val="21"/>
          <w:lang w:eastAsia="en-US"/>
        </w:rPr>
        <w:t>in order to</w:t>
      </w:r>
      <w:proofErr w:type="gramEnd"/>
      <w:r w:rsidRPr="00692F44">
        <w:rPr>
          <w:rFonts w:ascii="Calibri" w:eastAsiaTheme="minorHAnsi" w:hAnsi="Calibri" w:cs="Arial"/>
          <w:color w:val="000000" w:themeColor="text1"/>
          <w:sz w:val="21"/>
          <w:szCs w:val="21"/>
          <w:lang w:eastAsia="en-US"/>
        </w:rPr>
        <w:t xml:space="preserve"> increase integration of services. These barriers included digital literacy, device access, and cost of services and data, which may differ in different states. One respondent suggested:</w:t>
      </w:r>
    </w:p>
    <w:p w14:paraId="0400EEC8" w14:textId="77777777" w:rsidR="00692F44" w:rsidRPr="00692F44" w:rsidRDefault="00692F44" w:rsidP="0048201E">
      <w:pPr>
        <w:spacing w:after="240"/>
        <w:ind w:left="709"/>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‘Providing infrastructure within health clinics/community organisation for clients to access programs, especially if they struggle to afford internet data’ (006).</w:t>
      </w:r>
    </w:p>
    <w:p w14:paraId="33ED56A6" w14:textId="77777777" w:rsidR="00692F44" w:rsidRPr="00692F44" w:rsidRDefault="00692F44" w:rsidP="0048201E">
      <w:pPr>
        <w:spacing w:after="240"/>
        <w:rPr>
          <w:rFonts w:ascii="Calibri" w:eastAsiaTheme="minorHAnsi" w:hAnsi="Calibri" w:cs="Arial"/>
          <w:i/>
          <w:iCs/>
          <w:color w:val="000000" w:themeColor="text1"/>
          <w:sz w:val="21"/>
          <w:szCs w:val="21"/>
          <w:lang w:eastAsia="en-US"/>
        </w:rPr>
      </w:pPr>
      <w:r w:rsidRPr="00692F44">
        <w:rPr>
          <w:rFonts w:ascii="Calibri" w:eastAsiaTheme="minorHAnsi" w:hAnsi="Calibri" w:cs="Arial"/>
          <w:color w:val="000000" w:themeColor="text1"/>
          <w:sz w:val="21"/>
          <w:szCs w:val="21"/>
          <w:lang w:eastAsia="en-US"/>
        </w:rPr>
        <w:t>Specific cultural considerations for CALD groups, older people, LGBTQIA+, Aboriginal and Torres Strait Islander peoples and rural communities were also highlighted. Respondents indicated that consumers need access to culturally safe programs. Additionally, respondents reported that stigma related to help-seeking needs to be addressed in these populations. Barriers for consumers will be addressed in more detail in the following section.</w:t>
      </w:r>
    </w:p>
    <w:p w14:paraId="361A5911" w14:textId="4AB96687" w:rsidR="00692F44" w:rsidRPr="00692F44" w:rsidRDefault="00692F44" w:rsidP="0048201E">
      <w:pPr>
        <w:pStyle w:val="Heading2"/>
        <w:numPr>
          <w:ilvl w:val="1"/>
          <w:numId w:val="146"/>
        </w:numPr>
        <w:spacing w:after="240"/>
        <w:rPr>
          <w:rFonts w:eastAsiaTheme="minorHAnsi"/>
        </w:rPr>
      </w:pPr>
      <w:bookmarkStart w:id="264" w:name="_Toc102132003"/>
      <w:bookmarkStart w:id="265" w:name="_Toc107508835"/>
      <w:bookmarkStart w:id="266" w:name="_Toc108784895"/>
      <w:r w:rsidRPr="00692F44">
        <w:rPr>
          <w:rFonts w:eastAsiaTheme="minorHAnsi"/>
        </w:rPr>
        <w:t>Barriers to use of DMHS</w:t>
      </w:r>
      <w:bookmarkEnd w:id="264"/>
      <w:bookmarkEnd w:id="265"/>
      <w:bookmarkEnd w:id="266"/>
      <w:r w:rsidR="00BA49AE">
        <w:rPr>
          <w:rFonts w:eastAsiaTheme="minorHAnsi"/>
        </w:rPr>
        <w:t>s</w:t>
      </w:r>
    </w:p>
    <w:p w14:paraId="2BD7B552" w14:textId="77777777" w:rsidR="00692F44" w:rsidRPr="00692F44" w:rsidRDefault="00692F44" w:rsidP="0048201E">
      <w:pPr>
        <w:spacing w:after="240"/>
        <w:rPr>
          <w:rFonts w:ascii="Calibri" w:hAnsi="Calibri" w:cstheme="minorHAnsi"/>
          <w:color w:val="000000" w:themeColor="text1"/>
          <w:sz w:val="21"/>
          <w:szCs w:val="21"/>
          <w:lang w:eastAsia="zh-CN"/>
        </w:rPr>
      </w:pPr>
      <w:r w:rsidRPr="00692F44">
        <w:rPr>
          <w:rFonts w:ascii="Calibri" w:eastAsiaTheme="minorHAnsi" w:hAnsi="Calibri" w:cs="Arial"/>
          <w:color w:val="000000" w:themeColor="text1"/>
          <w:sz w:val="21"/>
          <w:szCs w:val="21"/>
          <w:lang w:eastAsia="en-US"/>
        </w:rPr>
        <w:t xml:space="preserve">There were 47 responses (90.4% of the sample) to a question regarding the barriers to use of </w:t>
      </w:r>
      <w:proofErr w:type="gramStart"/>
      <w:r w:rsidRPr="00692F44">
        <w:rPr>
          <w:rFonts w:ascii="Calibri" w:eastAsiaTheme="minorHAnsi" w:hAnsi="Calibri" w:cs="Arial"/>
          <w:color w:val="000000" w:themeColor="text1"/>
          <w:sz w:val="21"/>
          <w:szCs w:val="21"/>
          <w:lang w:eastAsia="en-US"/>
        </w:rPr>
        <w:t>therapist-supported</w:t>
      </w:r>
      <w:proofErr w:type="gramEnd"/>
      <w:r w:rsidRPr="00692F44">
        <w:rPr>
          <w:rFonts w:ascii="Calibri" w:eastAsiaTheme="minorHAnsi" w:hAnsi="Calibri" w:cs="Arial"/>
          <w:color w:val="000000" w:themeColor="text1"/>
          <w:sz w:val="21"/>
          <w:szCs w:val="21"/>
          <w:lang w:eastAsia="en-US"/>
        </w:rPr>
        <w:t xml:space="preserve"> and self-directed DMHS. We identified four key themes including: (1) consumer access or suitability; (2) consumer beliefs and awareness; (3) services and systems; and (4) barriers for clinicians.</w:t>
      </w:r>
    </w:p>
    <w:p w14:paraId="03C72AD2" w14:textId="4A69F612" w:rsidR="00692F44" w:rsidRPr="003C7FBD" w:rsidRDefault="00692F44" w:rsidP="0048201E">
      <w:pPr>
        <w:pStyle w:val="Heading3"/>
        <w:spacing w:after="240"/>
        <w:rPr>
          <w:rFonts w:eastAsiaTheme="minorHAnsi"/>
        </w:rPr>
      </w:pPr>
      <w:bookmarkStart w:id="267" w:name="_Toc107507828"/>
      <w:bookmarkStart w:id="268" w:name="_Toc107508836"/>
      <w:bookmarkStart w:id="269" w:name="_Toc107508838"/>
      <w:bookmarkEnd w:id="267"/>
      <w:bookmarkEnd w:id="268"/>
      <w:r w:rsidRPr="00692F44">
        <w:rPr>
          <w:rFonts w:eastAsiaTheme="minorHAnsi"/>
        </w:rPr>
        <w:t>Consumer access or suitability</w:t>
      </w:r>
      <w:bookmarkEnd w:id="269"/>
    </w:p>
    <w:p w14:paraId="0AC27FE7"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Most responses (74.5%; 35 of 47 responses) related to consumer access or suitability issues. These barriers included access to appropriate devices, internet/data, a confidential space, service cost and IT issues. There were additional consumer suitability factors including their readiness to seek help, digital literacy, reading/literacy, mental health literacy, language/cultural issues, time/energy, age, rural and remote considerations, physical health or disability and the fear of speaking to someone on the phone.</w:t>
      </w:r>
    </w:p>
    <w:p w14:paraId="4EC4A59E"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Respondents indicated that consumers may also simply experience fatigue from using other digital means such as Telehealth. More broadly, one respondent suggested that consumers may experience agency and choice differently when dealing with mental health issues and may therefore find a digital format requiring more autonomy difficult to manage. Respondents indicated that consumers may also experience several of these barriers at once.</w:t>
      </w:r>
    </w:p>
    <w:p w14:paraId="0BB1BB6B" w14:textId="4D148DEF" w:rsidR="00692F44" w:rsidRPr="003C7FBD" w:rsidRDefault="00692F44" w:rsidP="0048201E">
      <w:pPr>
        <w:pStyle w:val="Heading3"/>
        <w:spacing w:after="240"/>
        <w:rPr>
          <w:rFonts w:eastAsiaTheme="minorHAnsi"/>
        </w:rPr>
      </w:pPr>
      <w:bookmarkStart w:id="270" w:name="_Toc107508839"/>
      <w:r w:rsidRPr="00692F44">
        <w:rPr>
          <w:rFonts w:eastAsiaTheme="minorHAnsi"/>
        </w:rPr>
        <w:t>Consumer beliefs and awareness</w:t>
      </w:r>
      <w:bookmarkEnd w:id="270"/>
    </w:p>
    <w:p w14:paraId="3C6FA3B4"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Over half of responses (59.6%; 28 of 47 responses) related to consumer beliefs and awareness. Some consumers were thought to lack awareness of, or lack trust in, DMHSs; and prefer face-to-face services. Stakeholders also voiced that some consumers believe that the digital format may negatively affect the therapeutic relationship and compromise service quality.</w:t>
      </w:r>
    </w:p>
    <w:p w14:paraId="5F5B99E7"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Stigma and privacy concerns were also listed as barriers. A few respondents suggested that stigma and preferences for face-to-face services were perpetuated by the lack of integration within the mental health system itself. For example, ‘I think one of the huge ones is the stigma from the sector so from service providers not integrating it within their models of care’ (06) and there may be a ‘perception that in-person is better’ (029). One respondent suggested that consumers may have fears about the impact of DMHSs on their insurance cover.</w:t>
      </w:r>
    </w:p>
    <w:p w14:paraId="095249F2" w14:textId="21B2319E" w:rsidR="00692F44" w:rsidRPr="003C7FBD" w:rsidRDefault="00692F44" w:rsidP="0048201E">
      <w:pPr>
        <w:pStyle w:val="Heading3"/>
        <w:spacing w:after="240"/>
        <w:rPr>
          <w:rFonts w:eastAsiaTheme="minorHAnsi"/>
        </w:rPr>
      </w:pPr>
      <w:bookmarkStart w:id="271" w:name="_Toc107508840"/>
      <w:r w:rsidRPr="00692F44">
        <w:rPr>
          <w:rFonts w:eastAsiaTheme="minorHAnsi"/>
        </w:rPr>
        <w:t>Services and systems</w:t>
      </w:r>
      <w:bookmarkEnd w:id="271"/>
    </w:p>
    <w:p w14:paraId="34EB842F"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 xml:space="preserve">Many responses (46.8%; 22 of 47 responses) related to barriers within the broader system and the DMHSs themselves. Respondents stated that the large number of DMHS options available can lead to difficulties in navigation and visibility. Despite being ‘overwhelmed by choice’ (029), there are simultaneously inadequate options for disadvantaged groups, particularly Aboriginal and Torres Strait Islander peoples. Respondents also indicated that integration with face-to-face services may be poorly or insufficiently implemented and initiating </w:t>
      </w:r>
      <w:r w:rsidRPr="00692F44">
        <w:rPr>
          <w:rFonts w:ascii="Calibri" w:eastAsiaTheme="minorHAnsi" w:hAnsi="Calibri" w:cs="Arial"/>
          <w:color w:val="000000" w:themeColor="text1"/>
          <w:sz w:val="21"/>
          <w:szCs w:val="21"/>
          <w:lang w:eastAsia="en-US"/>
        </w:rPr>
        <w:lastRenderedPageBreak/>
        <w:t xml:space="preserve">change in ‘already stretched services’ (054) is viewed as challenging. Stakeholders also reported difficulties within a stepped care model: </w:t>
      </w:r>
    </w:p>
    <w:p w14:paraId="4CC61005" w14:textId="77777777" w:rsidR="00692F44" w:rsidRPr="00692F44" w:rsidRDefault="00692F44" w:rsidP="0048201E">
      <w:pPr>
        <w:spacing w:after="240"/>
        <w:ind w:left="709"/>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‘You can’t step them up without connecting them back to a GP, so you create a downstream encumbrance on the process’ (04).</w:t>
      </w:r>
    </w:p>
    <w:p w14:paraId="637896B6"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Regarding the DMHSs themselves, respondents suggested that the design and format of delivery are important, so that programs are equally accessible via laptops and mobile devices. Furthermore, stakeholders mentioned that without support, consumers may not use DMHSs as intended and that this support needs to be consistent and focused on supporting engagement in DMHSs. Respondents also suggested that as DMHSs receive different amounts of funding, this can impact consumers with some programs requiring payment. They also mentioned that DMHSs are ‘not supported by governance/policy/practice frameworks/standards’ (029). These factors may all create barriers to uptake of DMHSs by the consumer.</w:t>
      </w:r>
    </w:p>
    <w:p w14:paraId="7C457E12" w14:textId="77777777" w:rsidR="00692F44" w:rsidRPr="00692F44" w:rsidRDefault="00692F44" w:rsidP="0048201E">
      <w:pPr>
        <w:pStyle w:val="Heading3"/>
        <w:spacing w:after="240"/>
        <w:rPr>
          <w:rFonts w:eastAsiaTheme="minorHAnsi"/>
        </w:rPr>
      </w:pPr>
      <w:bookmarkStart w:id="272" w:name="_Toc107508841"/>
      <w:r w:rsidRPr="00692F44">
        <w:rPr>
          <w:rFonts w:eastAsiaTheme="minorHAnsi"/>
        </w:rPr>
        <w:t>Barriers for clinicians</w:t>
      </w:r>
      <w:bookmarkEnd w:id="272"/>
    </w:p>
    <w:p w14:paraId="11027D9D"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 xml:space="preserve">Several responses (34.0%; 16 of 47 responses) noted clinician-related barriers, including their lack of: understanding, awareness and training, trust, </w:t>
      </w:r>
      <w:proofErr w:type="gramStart"/>
      <w:r w:rsidRPr="00692F44">
        <w:rPr>
          <w:rFonts w:ascii="Calibri" w:eastAsiaTheme="minorHAnsi" w:hAnsi="Calibri" w:cs="Arial"/>
          <w:color w:val="000000" w:themeColor="text1"/>
          <w:sz w:val="21"/>
          <w:szCs w:val="21"/>
          <w:lang w:eastAsia="en-US"/>
        </w:rPr>
        <w:t>time</w:t>
      </w:r>
      <w:proofErr w:type="gramEnd"/>
      <w:r w:rsidRPr="00692F44">
        <w:rPr>
          <w:rFonts w:ascii="Calibri" w:eastAsiaTheme="minorHAnsi" w:hAnsi="Calibri" w:cs="Arial"/>
          <w:color w:val="000000" w:themeColor="text1"/>
          <w:sz w:val="21"/>
          <w:szCs w:val="21"/>
          <w:lang w:eastAsia="en-US"/>
        </w:rPr>
        <w:t xml:space="preserve"> and resources. Additionally, respondents suggested that clinicians may be concerned that their face-to-face clinician role may be threatened or that sole use of DMHS may restrict the amount of observational information available to them.</w:t>
      </w:r>
    </w:p>
    <w:p w14:paraId="4F8C82F2"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More specifically, respondents indicated that the general ‘lack of awareness of DMHSs’ (006) amongst clinicians may be compounded by differences in clinical training for, and awareness of, therapies more generally by referrers like GPs and nurses. Clinicians may not be aware of the evidence base for DMHSs, which may also feed into a lack of trust and concerns about appropriate risk management. They may also have a general reluctance to use services, for example ‘our research indicates that …the health workforce is the most reluctant for adoption of digital innovations’ (041). This reluctance may be fuelled by beliefs about ‘stigma/poor reputation, which is perpetuated by low quality services and applications’ (005).</w:t>
      </w:r>
    </w:p>
    <w:p w14:paraId="778402CC"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 xml:space="preserve">Lack of training and exposure at the university level and in ongoing professional development were reported as key barriers. However, as this training can take additional time, an alternative suggestion was championing of DMHSs by clinicians who use these services: </w:t>
      </w:r>
    </w:p>
    <w:p w14:paraId="3A25FCEA" w14:textId="77777777" w:rsidR="00692F44" w:rsidRPr="00692F44" w:rsidRDefault="00692F44" w:rsidP="0048201E">
      <w:pPr>
        <w:spacing w:after="240"/>
        <w:ind w:left="709"/>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‘We have clinicians sharing their experiences to try to encourage other clinicians so that taking that leap is not so scary and that it’s not such a big deal to integrate digital tools into routine care’ (05).</w:t>
      </w:r>
    </w:p>
    <w:p w14:paraId="5063C6AA" w14:textId="56E25AF1" w:rsidR="00692F44" w:rsidRPr="00692F44" w:rsidRDefault="00692F44" w:rsidP="0048201E">
      <w:pPr>
        <w:pStyle w:val="Heading2"/>
        <w:numPr>
          <w:ilvl w:val="1"/>
          <w:numId w:val="146"/>
        </w:numPr>
        <w:spacing w:after="240"/>
        <w:rPr>
          <w:rFonts w:eastAsiaTheme="minorHAnsi"/>
        </w:rPr>
      </w:pPr>
      <w:bookmarkStart w:id="273" w:name="_Toc107508842"/>
      <w:bookmarkStart w:id="274" w:name="_Toc108784896"/>
      <w:bookmarkStart w:id="275" w:name="_Toc102132004"/>
      <w:r w:rsidRPr="00692F44">
        <w:rPr>
          <w:rFonts w:eastAsiaTheme="minorHAnsi"/>
        </w:rPr>
        <w:t>Suggested improvements to DMHSs</w:t>
      </w:r>
      <w:bookmarkEnd w:id="273"/>
      <w:bookmarkEnd w:id="274"/>
    </w:p>
    <w:p w14:paraId="1EC9548E" w14:textId="77777777" w:rsidR="00692F44" w:rsidRPr="00692F44" w:rsidRDefault="00692F44" w:rsidP="0048201E">
      <w:pPr>
        <w:spacing w:after="240"/>
        <w:rPr>
          <w:rFonts w:ascii="Calibri" w:eastAsiaTheme="minorHAnsi" w:hAnsi="Calibri" w:cstheme="minorHAnsi"/>
          <w:color w:val="000000" w:themeColor="text1"/>
          <w:sz w:val="21"/>
          <w:szCs w:val="21"/>
          <w:lang w:eastAsia="zh-CN"/>
        </w:rPr>
      </w:pPr>
      <w:r w:rsidRPr="00692F44">
        <w:rPr>
          <w:rFonts w:ascii="Calibri" w:eastAsiaTheme="minorHAnsi" w:hAnsi="Calibri" w:cs="Arial"/>
          <w:color w:val="000000" w:themeColor="text1"/>
          <w:sz w:val="21"/>
          <w:szCs w:val="21"/>
          <w:lang w:eastAsia="en-US"/>
        </w:rPr>
        <w:t xml:space="preserve">There were 46 responses (88.4% of the sample) to a question regarding how self-directed and </w:t>
      </w:r>
      <w:proofErr w:type="gramStart"/>
      <w:r w:rsidRPr="00692F44">
        <w:rPr>
          <w:rFonts w:ascii="Calibri" w:eastAsiaTheme="minorHAnsi" w:hAnsi="Calibri" w:cs="Arial"/>
          <w:color w:val="000000" w:themeColor="text1"/>
          <w:sz w:val="21"/>
          <w:szCs w:val="21"/>
          <w:lang w:eastAsia="en-US"/>
        </w:rPr>
        <w:t>therapist-supported</w:t>
      </w:r>
      <w:proofErr w:type="gramEnd"/>
      <w:r w:rsidRPr="00692F44">
        <w:rPr>
          <w:rFonts w:ascii="Calibri" w:eastAsiaTheme="minorHAnsi" w:hAnsi="Calibri" w:cs="Arial"/>
          <w:color w:val="000000" w:themeColor="text1"/>
          <w:sz w:val="21"/>
          <w:szCs w:val="21"/>
          <w:lang w:eastAsia="en-US"/>
        </w:rPr>
        <w:t xml:space="preserve"> DMHSs may be improved in the future. We identified four key themes including: (1) quality and care improvement; (2) integration of services; (3) training, </w:t>
      </w:r>
      <w:proofErr w:type="gramStart"/>
      <w:r w:rsidRPr="00692F44">
        <w:rPr>
          <w:rFonts w:ascii="Calibri" w:eastAsiaTheme="minorHAnsi" w:hAnsi="Calibri" w:cs="Arial"/>
          <w:color w:val="000000" w:themeColor="text1"/>
          <w:sz w:val="21"/>
          <w:szCs w:val="21"/>
          <w:lang w:eastAsia="en-US"/>
        </w:rPr>
        <w:t>promotion</w:t>
      </w:r>
      <w:proofErr w:type="gramEnd"/>
      <w:r w:rsidRPr="00692F44">
        <w:rPr>
          <w:rFonts w:ascii="Calibri" w:eastAsiaTheme="minorHAnsi" w:hAnsi="Calibri" w:cs="Arial"/>
          <w:color w:val="000000" w:themeColor="text1"/>
          <w:sz w:val="21"/>
          <w:szCs w:val="21"/>
          <w:lang w:eastAsia="en-US"/>
        </w:rPr>
        <w:t xml:space="preserve"> and awareness; and (4) support for improvement.</w:t>
      </w:r>
    </w:p>
    <w:p w14:paraId="0104A958" w14:textId="77777777" w:rsidR="00692F44" w:rsidRPr="00692F44" w:rsidRDefault="00692F44" w:rsidP="0048201E">
      <w:pPr>
        <w:pStyle w:val="Heading3"/>
        <w:spacing w:after="240"/>
        <w:rPr>
          <w:rFonts w:eastAsiaTheme="minorHAnsi"/>
        </w:rPr>
      </w:pPr>
      <w:bookmarkStart w:id="276" w:name="_Toc107508843"/>
      <w:r w:rsidRPr="00692F44">
        <w:rPr>
          <w:rFonts w:eastAsiaTheme="minorHAnsi"/>
        </w:rPr>
        <w:t>Quality and care improvement</w:t>
      </w:r>
      <w:bookmarkEnd w:id="276"/>
    </w:p>
    <w:p w14:paraId="2AE14EE4"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Most responses (63.0%; 29 of 46 responses) included suggestions on how to improve the quality and care of DMHSs.</w:t>
      </w:r>
    </w:p>
    <w:p w14:paraId="25E8367B"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Several respondents indicated that although the field is improving overall, DMHSs need to continuously improve, particularly as technology advances. Stakeholders mentioned that use of new and emerging technologies such as artificial intelligence (AI) and virtual reality (VR) could further</w:t>
      </w:r>
      <w:r w:rsidRPr="00692F44" w:rsidDel="00E4725D">
        <w:rPr>
          <w:rFonts w:ascii="Calibri" w:eastAsiaTheme="minorHAnsi" w:hAnsi="Calibri" w:cs="Arial"/>
          <w:color w:val="000000" w:themeColor="text1"/>
          <w:sz w:val="21"/>
          <w:szCs w:val="21"/>
          <w:lang w:eastAsia="en-US"/>
        </w:rPr>
        <w:t xml:space="preserve"> </w:t>
      </w:r>
      <w:r w:rsidRPr="00692F44">
        <w:rPr>
          <w:rFonts w:ascii="Calibri" w:eastAsiaTheme="minorHAnsi" w:hAnsi="Calibri" w:cs="Arial"/>
          <w:color w:val="000000" w:themeColor="text1"/>
          <w:sz w:val="21"/>
          <w:szCs w:val="21"/>
          <w:lang w:eastAsia="en-US"/>
        </w:rPr>
        <w:t>enhance treatment and even streamline care. They also suggested that the evidence base for DMHS needs to be expanded.</w:t>
      </w:r>
    </w:p>
    <w:p w14:paraId="16E729B9"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lastRenderedPageBreak/>
        <w:t>Respondents indicated that maintaining a standard of quality at least equivalent to face-to-face services will be important. Respondents suggested achieving this through implementation of the Digital Mental Health Standards, especially as the digital format provides a unique opportunity for standardisation of the quality of care. Additionally, therapists providing support must have appropriate training and qualifications to be competent for their roles, and sufficient time to build rapport and provide appropriate care. Therapists also need access to their patients’ care plans and need to monitor their patients’ progress so that they can ‘step up’ patient care if needed.</w:t>
      </w:r>
    </w:p>
    <w:p w14:paraId="3454DBBD"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 xml:space="preserve">Respondents indicated that consumer consultation and being responsive to consumer feedback is vital to improving care. Additionally, they stated that it is important to ensure that care does no harm to consumers, and that it is person-centred and </w:t>
      </w:r>
      <w:proofErr w:type="gramStart"/>
      <w:r w:rsidRPr="00692F44">
        <w:rPr>
          <w:rFonts w:ascii="Calibri" w:eastAsiaTheme="minorHAnsi" w:hAnsi="Calibri" w:cs="Arial"/>
          <w:color w:val="000000" w:themeColor="text1"/>
          <w:sz w:val="21"/>
          <w:szCs w:val="21"/>
          <w:lang w:eastAsia="en-US"/>
        </w:rPr>
        <w:t>trauma-informed</w:t>
      </w:r>
      <w:proofErr w:type="gramEnd"/>
      <w:r w:rsidRPr="00692F44">
        <w:rPr>
          <w:rFonts w:ascii="Calibri" w:eastAsiaTheme="minorHAnsi" w:hAnsi="Calibri" w:cs="Arial"/>
          <w:color w:val="000000" w:themeColor="text1"/>
          <w:sz w:val="21"/>
          <w:szCs w:val="21"/>
          <w:lang w:eastAsia="en-US"/>
        </w:rPr>
        <w:t>. More specifically, respondents noted the importance of providing support for engagement in, and cultural safety on, digital platforms, particularly for Aboriginal and Torres Strait Islander peoples.</w:t>
      </w:r>
    </w:p>
    <w:p w14:paraId="3648168B"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 xml:space="preserve">Regarding the features of DMHSs, stakeholders noted that it is important to ensure transparency around consumers’ service expectations and options so that they have more choice. It was suggested that DMHSs could: </w:t>
      </w:r>
      <w:proofErr w:type="gramStart"/>
      <w:r w:rsidRPr="00692F44">
        <w:rPr>
          <w:rFonts w:ascii="Calibri" w:eastAsiaTheme="minorHAnsi" w:hAnsi="Calibri" w:cs="Arial"/>
          <w:color w:val="000000" w:themeColor="text1"/>
          <w:sz w:val="21"/>
          <w:szCs w:val="21"/>
          <w:lang w:eastAsia="en-US"/>
        </w:rPr>
        <w:t>generally</w:t>
      </w:r>
      <w:proofErr w:type="gramEnd"/>
      <w:r w:rsidRPr="00692F44">
        <w:rPr>
          <w:rFonts w:ascii="Calibri" w:eastAsiaTheme="minorHAnsi" w:hAnsi="Calibri" w:cs="Arial"/>
          <w:color w:val="000000" w:themeColor="text1"/>
          <w:sz w:val="21"/>
          <w:szCs w:val="21"/>
          <w:lang w:eastAsia="en-US"/>
        </w:rPr>
        <w:t xml:space="preserve"> be more interactive and less didactic, provide greater tailoring and personalisation, simplify notifications, enhance sound and picture quality, and make better use of platform data to guide moderation.</w:t>
      </w:r>
    </w:p>
    <w:p w14:paraId="516BEE2A" w14:textId="71C25E01" w:rsidR="00692F44" w:rsidRPr="003C7FBD" w:rsidRDefault="00692F44" w:rsidP="0048201E">
      <w:pPr>
        <w:pStyle w:val="Heading3"/>
        <w:spacing w:after="240"/>
        <w:rPr>
          <w:rFonts w:eastAsiaTheme="minorHAnsi"/>
        </w:rPr>
      </w:pPr>
      <w:bookmarkStart w:id="277" w:name="_Toc107508844"/>
      <w:r w:rsidRPr="00692F44">
        <w:rPr>
          <w:rFonts w:eastAsiaTheme="minorHAnsi"/>
        </w:rPr>
        <w:t>Integration of services</w:t>
      </w:r>
      <w:bookmarkEnd w:id="277"/>
    </w:p>
    <w:p w14:paraId="349CA4D7"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Over half of responses (52.2%; 24 of 46 responses) related to improving the integration of services. Specifically, respondents indicated that DMHSs need to be better embedded in the broader system and seen as an adjunct to existing services. Respondents suggested that these changes also require ‘better planning for integration with established services’ (028), ‘better alignment around the phases of care that are being provided to users’ (036), use of holistic community care models and scaling up of DMHSs.</w:t>
      </w:r>
    </w:p>
    <w:p w14:paraId="77B48E49"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To achieve better integration, services also ‘need a really well funded and comprehensive referral database for national [DMHSs] to use to be able to help their clients connect in with other services in their area’ (018). This will support a ‘no wrong door’ approach where DMHSs could refer to other services more easily. Respondents also offered several suggestions to support integration, including DMHS users having a medical or other type of record to provide greater continuity between services, involvement of GPs, inviting nursing expertise ‘to ensure practical relevance’ (041), collaboration with peak bodies, and local consultation with Aboriginal and Torres Strait Islander peoples.</w:t>
      </w:r>
    </w:p>
    <w:p w14:paraId="3BE63B06"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At the user end, it was suggested that both consumers and clinicians need support with navigation of online resources, particularly to find ‘evidence based, … credible, trustworthy information’ (017). The Head to Health digital mental health gateway was suggested as a tool to improve navigation.</w:t>
      </w:r>
    </w:p>
    <w:p w14:paraId="34089508" w14:textId="02BBF0E9" w:rsidR="00692F44" w:rsidRPr="00226EA3" w:rsidRDefault="00692F44" w:rsidP="0048201E">
      <w:pPr>
        <w:pStyle w:val="Heading3"/>
        <w:spacing w:after="240"/>
        <w:rPr>
          <w:rFonts w:eastAsiaTheme="minorHAnsi"/>
        </w:rPr>
      </w:pPr>
      <w:bookmarkStart w:id="278" w:name="_Toc107508845"/>
      <w:r w:rsidRPr="00692F44">
        <w:rPr>
          <w:rFonts w:eastAsiaTheme="minorHAnsi"/>
        </w:rPr>
        <w:t xml:space="preserve">Training, </w:t>
      </w:r>
      <w:proofErr w:type="gramStart"/>
      <w:r w:rsidRPr="00692F44">
        <w:rPr>
          <w:rFonts w:eastAsiaTheme="minorHAnsi"/>
        </w:rPr>
        <w:t>promotion</w:t>
      </w:r>
      <w:proofErr w:type="gramEnd"/>
      <w:r w:rsidRPr="00692F44">
        <w:rPr>
          <w:rFonts w:eastAsiaTheme="minorHAnsi"/>
        </w:rPr>
        <w:t xml:space="preserve"> and awareness</w:t>
      </w:r>
      <w:bookmarkEnd w:id="278"/>
    </w:p>
    <w:p w14:paraId="484A3324"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Several responses (26.1%; 12 of 46 responses) related to training, promotion and awareness raising. Respondents suggested that the health workforce needs to understand what services are available, their effectiveness and for whom they are best suited. Promotion and awareness raising was also recommended for consumers.</w:t>
      </w:r>
    </w:p>
    <w:p w14:paraId="3C2742F8"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 xml:space="preserve">As described in responses to other questions, respondents suggested that clinician training in digital mental health care could begin during university education and continue via professional development: </w:t>
      </w:r>
    </w:p>
    <w:p w14:paraId="59E81333" w14:textId="6E537B85" w:rsidR="00041583" w:rsidRDefault="00692F44" w:rsidP="0048201E">
      <w:pPr>
        <w:spacing w:after="240"/>
        <w:ind w:left="567"/>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‘It should also be built into tertiary courses so that new graduates are already familiar and skilled at utilising digital mental health as part of their clinical practice.’ (037)</w:t>
      </w:r>
    </w:p>
    <w:p w14:paraId="13B68159" w14:textId="77777777" w:rsidR="00041583" w:rsidRDefault="00041583">
      <w:pPr>
        <w:spacing w:after="200"/>
        <w:rPr>
          <w:rFonts w:ascii="Calibri" w:eastAsiaTheme="minorHAnsi" w:hAnsi="Calibri" w:cs="Arial"/>
          <w:color w:val="000000" w:themeColor="text1"/>
          <w:sz w:val="21"/>
          <w:szCs w:val="21"/>
          <w:lang w:eastAsia="en-US"/>
        </w:rPr>
      </w:pPr>
      <w:r>
        <w:rPr>
          <w:rFonts w:ascii="Calibri" w:eastAsiaTheme="minorHAnsi" w:hAnsi="Calibri" w:cs="Arial"/>
          <w:color w:val="000000" w:themeColor="text1"/>
          <w:sz w:val="21"/>
          <w:szCs w:val="21"/>
          <w:lang w:eastAsia="en-US"/>
        </w:rPr>
        <w:br w:type="page"/>
      </w:r>
    </w:p>
    <w:p w14:paraId="3F0C818A" w14:textId="20783E08" w:rsidR="00692F44" w:rsidRPr="00226EA3" w:rsidRDefault="00692F44" w:rsidP="0048201E">
      <w:pPr>
        <w:pStyle w:val="Heading3"/>
        <w:spacing w:after="240"/>
        <w:rPr>
          <w:rFonts w:eastAsiaTheme="minorHAnsi"/>
        </w:rPr>
      </w:pPr>
      <w:bookmarkStart w:id="279" w:name="_Toc107508846"/>
      <w:r w:rsidRPr="00692F44">
        <w:rPr>
          <w:rFonts w:eastAsiaTheme="minorHAnsi"/>
        </w:rPr>
        <w:lastRenderedPageBreak/>
        <w:t>Support for improvement</w:t>
      </w:r>
      <w:bookmarkEnd w:id="279"/>
    </w:p>
    <w:p w14:paraId="5DD252FD"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Several responses (21.7%; 10 of 46 responses) related to external/government financial and non-financial supports for improving DMHSs. One respondent commented that Australia is leading the world in DMHS delivery but needs a clear vision and innovation for the sector.</w:t>
      </w:r>
    </w:p>
    <w:p w14:paraId="2555639F"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 xml:space="preserve">The importance of ‘stable, long-term funding, investment’ (031) was highlighted as respondents suggested this will assist with improvements to service delivery being made overtime and this process needs to be underpinned by adequate research and evaluation. It was also mentioned that supported DMHSs targeting ‘the more complex end </w:t>
      </w:r>
      <w:proofErr w:type="gramStart"/>
      <w:r w:rsidRPr="00692F44">
        <w:rPr>
          <w:rFonts w:ascii="Calibri" w:eastAsiaTheme="minorHAnsi" w:hAnsi="Calibri" w:cs="Arial"/>
          <w:color w:val="000000" w:themeColor="text1"/>
          <w:sz w:val="21"/>
          <w:szCs w:val="21"/>
          <w:lang w:eastAsia="en-US"/>
        </w:rPr>
        <w:t>need</w:t>
      </w:r>
      <w:proofErr w:type="gramEnd"/>
      <w:r w:rsidRPr="00692F44">
        <w:rPr>
          <w:rFonts w:ascii="Calibri" w:eastAsiaTheme="minorHAnsi" w:hAnsi="Calibri" w:cs="Arial"/>
          <w:color w:val="000000" w:themeColor="text1"/>
          <w:sz w:val="21"/>
          <w:szCs w:val="21"/>
          <w:lang w:eastAsia="en-US"/>
        </w:rPr>
        <w:t xml:space="preserve"> more support and resources’ (018), indicating that funding needs may differ depending on the service offering. Accreditation and financial incentives for organisations were suggested to assist integration. Funding was also suggested for a ‘comprehensive referral database’ (018), and ‘technology development’ (028).</w:t>
      </w:r>
    </w:p>
    <w:p w14:paraId="1C8F046D" w14:textId="77777777" w:rsidR="00692F44" w:rsidRPr="00692F44" w:rsidRDefault="00692F44" w:rsidP="0048201E">
      <w:pPr>
        <w:spacing w:after="240"/>
        <w:rPr>
          <w:rFonts w:ascii="Calibri" w:eastAsiaTheme="minorHAnsi" w:hAnsi="Calibri" w:cs="Arial"/>
          <w:color w:val="000000" w:themeColor="text1"/>
          <w:sz w:val="21"/>
          <w:szCs w:val="21"/>
          <w:lang w:eastAsia="en-US"/>
        </w:rPr>
      </w:pPr>
      <w:r w:rsidRPr="00692F44">
        <w:rPr>
          <w:rFonts w:ascii="Calibri" w:eastAsiaTheme="minorHAnsi" w:hAnsi="Calibri" w:cs="Arial"/>
          <w:color w:val="000000" w:themeColor="text1"/>
          <w:sz w:val="21"/>
          <w:szCs w:val="21"/>
          <w:lang w:eastAsia="en-US"/>
        </w:rPr>
        <w:t>Respondents also suggested support to improve consumer access by assisting with affordability of devices, improving IT infrastructure and reception, and providing education on how to use devices, particularly for disadvantaged groups.</w:t>
      </w:r>
    </w:p>
    <w:p w14:paraId="45520F7E" w14:textId="459F2521" w:rsidR="00692F44" w:rsidRPr="00692F44" w:rsidRDefault="00692F44" w:rsidP="0048201E">
      <w:pPr>
        <w:pStyle w:val="Heading2"/>
        <w:numPr>
          <w:ilvl w:val="1"/>
          <w:numId w:val="146"/>
        </w:numPr>
        <w:spacing w:after="240"/>
        <w:rPr>
          <w:rFonts w:eastAsiaTheme="minorHAnsi"/>
        </w:rPr>
      </w:pPr>
      <w:bookmarkStart w:id="280" w:name="_Toc107508847"/>
      <w:bookmarkStart w:id="281" w:name="_Toc108784897"/>
      <w:r w:rsidRPr="00692F44">
        <w:rPr>
          <w:rFonts w:eastAsiaTheme="minorHAnsi"/>
        </w:rPr>
        <w:t>Changes needed to improve use of DMHS</w:t>
      </w:r>
      <w:bookmarkEnd w:id="280"/>
      <w:bookmarkEnd w:id="281"/>
      <w:r w:rsidR="00BA49AE">
        <w:rPr>
          <w:rFonts w:eastAsiaTheme="minorHAnsi"/>
        </w:rPr>
        <w:t>s</w:t>
      </w:r>
    </w:p>
    <w:p w14:paraId="78292F49" w14:textId="3910B045" w:rsidR="00692F44" w:rsidRPr="00692F44" w:rsidRDefault="00692F44" w:rsidP="0048201E">
      <w:pPr>
        <w:spacing w:after="240"/>
        <w:rPr>
          <w:rFonts w:ascii="Calibri" w:hAnsi="Calibri" w:cstheme="minorHAnsi"/>
          <w:color w:val="000000" w:themeColor="text1"/>
          <w:sz w:val="21"/>
          <w:szCs w:val="21"/>
          <w:lang w:eastAsia="zh-CN"/>
        </w:rPr>
      </w:pPr>
      <w:r w:rsidRPr="00692F44">
        <w:rPr>
          <w:rFonts w:ascii="Calibri" w:eastAsiaTheme="minorHAnsi" w:hAnsi="Calibri" w:cs="Arial"/>
          <w:color w:val="000000" w:themeColor="text1"/>
          <w:sz w:val="21"/>
          <w:szCs w:val="21"/>
          <w:lang w:eastAsia="en-US"/>
        </w:rPr>
        <w:t xml:space="preserve">There were 39 responses (75.0% of the sample) to a question regarding the changes needed to improve the use of </w:t>
      </w:r>
      <w:proofErr w:type="gramStart"/>
      <w:r w:rsidRPr="00692F44">
        <w:rPr>
          <w:rFonts w:ascii="Calibri" w:eastAsiaTheme="minorHAnsi" w:hAnsi="Calibri" w:cs="Arial"/>
          <w:color w:val="000000" w:themeColor="text1"/>
          <w:sz w:val="21"/>
          <w:szCs w:val="21"/>
          <w:lang w:eastAsia="en-US"/>
        </w:rPr>
        <w:t>therapist-supported</w:t>
      </w:r>
      <w:proofErr w:type="gramEnd"/>
      <w:r w:rsidRPr="00692F44">
        <w:rPr>
          <w:rFonts w:ascii="Calibri" w:eastAsiaTheme="minorHAnsi" w:hAnsi="Calibri" w:cs="Arial"/>
          <w:color w:val="000000" w:themeColor="text1"/>
          <w:sz w:val="21"/>
          <w:szCs w:val="21"/>
          <w:lang w:eastAsia="en-US"/>
        </w:rPr>
        <w:t xml:space="preserve"> and self-directed DMHSs. We identified five key themes including: (1) changes for DMHSs; (2) training and promotion; (3) technology; (4) changes for government and (5) integration of services.</w:t>
      </w:r>
    </w:p>
    <w:p w14:paraId="5F07ED8B" w14:textId="77777777" w:rsidR="00692F44" w:rsidRPr="00692F44" w:rsidRDefault="00692F44" w:rsidP="0048201E">
      <w:pPr>
        <w:pStyle w:val="Heading3"/>
        <w:spacing w:after="240"/>
      </w:pPr>
      <w:bookmarkStart w:id="282" w:name="_Toc107508848"/>
      <w:r w:rsidRPr="00692F44">
        <w:t>Changes for DMHSs</w:t>
      </w:r>
      <w:bookmarkEnd w:id="282"/>
    </w:p>
    <w:p w14:paraId="407E7E5D" w14:textId="0D1371EC" w:rsidR="00692F44" w:rsidRPr="00692F44" w:rsidRDefault="00692F44" w:rsidP="0048201E">
      <w:pPr>
        <w:spacing w:after="240"/>
        <w:rPr>
          <w:rFonts w:ascii="Calibri" w:hAnsi="Calibri" w:cstheme="minorHAnsi"/>
          <w:color w:val="000000" w:themeColor="text1"/>
          <w:sz w:val="21"/>
          <w:szCs w:val="21"/>
          <w:lang w:eastAsia="zh-CN"/>
        </w:rPr>
      </w:pPr>
      <w:r w:rsidRPr="00692F44">
        <w:rPr>
          <w:rFonts w:ascii="Calibri" w:hAnsi="Calibri" w:cstheme="minorHAnsi"/>
          <w:color w:val="000000" w:themeColor="text1"/>
          <w:sz w:val="21"/>
          <w:szCs w:val="21"/>
          <w:lang w:eastAsia="zh-CN"/>
        </w:rPr>
        <w:t>Several responses (46.2%; 18 of 39 responses) related to changes that could be maintained or instigated by DMHSs. These included ongoing research and evaluation, including allowing findings to be available to other organisations like PHNs to guide planning. Respondents suggested that DMHSs need to be responsive to consumer feedback, provide transparent information to the consumer (particularly around privacy and data use), and involve family and carers where possible. DMHSs need to offer flexible, tailored and culturally adapted programs for a range of diagnoses, and develop their therapeutic and engagement models to guide the provision of support. Respondents indicated that these changes may also be underpinned by the implementation of the Digital Mental Health Standards and appropriate registration and professional qualifications for therapists providing support, as well as collaboration with commercial organisations where needed.</w:t>
      </w:r>
    </w:p>
    <w:p w14:paraId="4FC28416" w14:textId="77777777" w:rsidR="00692F44" w:rsidRPr="00692F44" w:rsidRDefault="00692F44" w:rsidP="0048201E">
      <w:pPr>
        <w:pStyle w:val="Heading3"/>
        <w:spacing w:after="240"/>
      </w:pPr>
      <w:bookmarkStart w:id="283" w:name="_Toc107508849"/>
      <w:r w:rsidRPr="00692F44">
        <w:t>Training and promotion</w:t>
      </w:r>
      <w:bookmarkEnd w:id="283"/>
    </w:p>
    <w:p w14:paraId="0BA4BE57" w14:textId="22F5E7E4" w:rsidR="00692F44" w:rsidRPr="00692F44" w:rsidRDefault="00692F44" w:rsidP="0048201E">
      <w:pPr>
        <w:spacing w:after="240"/>
        <w:rPr>
          <w:rFonts w:ascii="Calibri" w:hAnsi="Calibri" w:cstheme="minorHAnsi"/>
          <w:color w:val="000000" w:themeColor="text1"/>
          <w:sz w:val="21"/>
          <w:szCs w:val="21"/>
          <w:lang w:eastAsia="zh-CN"/>
        </w:rPr>
      </w:pPr>
      <w:r w:rsidRPr="00692F44">
        <w:rPr>
          <w:rFonts w:ascii="Calibri" w:hAnsi="Calibri" w:cstheme="minorHAnsi"/>
          <w:color w:val="000000" w:themeColor="text1"/>
          <w:sz w:val="21"/>
          <w:szCs w:val="21"/>
          <w:lang w:eastAsia="zh-CN"/>
        </w:rPr>
        <w:t>As stated in responses to other questions, several responses (41.0%; 16 of 39 responses) related to the need for training and promotion. Specifically, the workforce needs to be trained and aware of ‘digital mental health services and how and for what they can be used’ (004). Broadly, awareness raising campaigns are needed to instil trust and confidence in evidence-based programs for both consumers and referrers. There is also a need to clarify what digital services can offer, including differences between Telehealth and DMHSs, similarities and differences to face-to-face offerings, and the quality of DMHSs.</w:t>
      </w:r>
    </w:p>
    <w:p w14:paraId="4A26CA93" w14:textId="77777777" w:rsidR="00692F44" w:rsidRPr="00692F44" w:rsidRDefault="00692F44" w:rsidP="0048201E">
      <w:pPr>
        <w:pStyle w:val="Heading3"/>
        <w:spacing w:after="240"/>
      </w:pPr>
      <w:bookmarkStart w:id="284" w:name="_Toc107508850"/>
      <w:r w:rsidRPr="00692F44">
        <w:t>Technology</w:t>
      </w:r>
      <w:bookmarkEnd w:id="284"/>
    </w:p>
    <w:p w14:paraId="3576966E" w14:textId="588DD50D" w:rsidR="000E27CB" w:rsidRDefault="00692F44" w:rsidP="0048201E">
      <w:pPr>
        <w:spacing w:after="240"/>
        <w:rPr>
          <w:rFonts w:ascii="Calibri" w:hAnsi="Calibri" w:cstheme="minorHAnsi"/>
          <w:color w:val="000000" w:themeColor="text1"/>
          <w:sz w:val="21"/>
          <w:szCs w:val="21"/>
          <w:lang w:eastAsia="zh-CN"/>
        </w:rPr>
      </w:pPr>
      <w:r w:rsidRPr="00692F44">
        <w:rPr>
          <w:rFonts w:ascii="Calibri" w:hAnsi="Calibri" w:cstheme="minorHAnsi"/>
          <w:color w:val="000000" w:themeColor="text1"/>
          <w:sz w:val="21"/>
          <w:szCs w:val="21"/>
          <w:lang w:eastAsia="zh-CN"/>
        </w:rPr>
        <w:t xml:space="preserve">Several responses (41.0%; 16 of 39 responses) related to the theme of technology. More specifically, respondents indicated the importance of staying abreast of changes to technology and new innovations like AI, and continuously improving existing platforms to suit user preferences and enable connectivity between different online systems. Additionally, a few stakeholders outlined the need to address digital literacy and access issues with data, </w:t>
      </w:r>
      <w:proofErr w:type="gramStart"/>
      <w:r w:rsidRPr="00692F44">
        <w:rPr>
          <w:rFonts w:ascii="Calibri" w:hAnsi="Calibri" w:cstheme="minorHAnsi"/>
          <w:color w:val="000000" w:themeColor="text1"/>
          <w:sz w:val="21"/>
          <w:szCs w:val="21"/>
          <w:lang w:eastAsia="zh-CN"/>
        </w:rPr>
        <w:t>internet</w:t>
      </w:r>
      <w:proofErr w:type="gramEnd"/>
      <w:r w:rsidRPr="00692F44">
        <w:rPr>
          <w:rFonts w:ascii="Calibri" w:hAnsi="Calibri" w:cstheme="minorHAnsi"/>
          <w:color w:val="000000" w:themeColor="text1"/>
          <w:sz w:val="21"/>
          <w:szCs w:val="21"/>
          <w:lang w:eastAsia="zh-CN"/>
        </w:rPr>
        <w:t xml:space="preserve"> and devices by providing support for those who are less technologically literate and offering hubs where consumers can access devices and internet free of charge.</w:t>
      </w:r>
    </w:p>
    <w:p w14:paraId="543331FB" w14:textId="77777777" w:rsidR="000E27CB" w:rsidRDefault="000E27CB">
      <w:pPr>
        <w:spacing w:after="200"/>
        <w:rPr>
          <w:rFonts w:ascii="Calibri" w:hAnsi="Calibri" w:cstheme="minorHAnsi"/>
          <w:color w:val="000000" w:themeColor="text1"/>
          <w:sz w:val="21"/>
          <w:szCs w:val="21"/>
          <w:lang w:eastAsia="zh-CN"/>
        </w:rPr>
      </w:pPr>
      <w:r>
        <w:rPr>
          <w:rFonts w:ascii="Calibri" w:hAnsi="Calibri" w:cstheme="minorHAnsi"/>
          <w:color w:val="000000" w:themeColor="text1"/>
          <w:sz w:val="21"/>
          <w:szCs w:val="21"/>
          <w:lang w:eastAsia="zh-CN"/>
        </w:rPr>
        <w:br w:type="page"/>
      </w:r>
    </w:p>
    <w:p w14:paraId="2175C74A" w14:textId="77777777" w:rsidR="00692F44" w:rsidRPr="00692F44" w:rsidRDefault="00692F44" w:rsidP="0048201E">
      <w:pPr>
        <w:pStyle w:val="Heading3"/>
        <w:spacing w:after="240"/>
      </w:pPr>
      <w:bookmarkStart w:id="285" w:name="_Toc107508851"/>
      <w:r w:rsidRPr="00692F44">
        <w:lastRenderedPageBreak/>
        <w:t>Changes for government</w:t>
      </w:r>
      <w:bookmarkEnd w:id="285"/>
    </w:p>
    <w:p w14:paraId="2FBA1E17" w14:textId="1E7F3551" w:rsidR="00692F44" w:rsidRPr="00692F44" w:rsidRDefault="00692F44" w:rsidP="0048201E">
      <w:pPr>
        <w:spacing w:after="240"/>
        <w:rPr>
          <w:rFonts w:ascii="Calibri" w:hAnsi="Calibri" w:cstheme="minorHAnsi"/>
          <w:color w:val="000000" w:themeColor="text1"/>
          <w:sz w:val="21"/>
          <w:szCs w:val="21"/>
          <w:lang w:eastAsia="zh-CN"/>
        </w:rPr>
      </w:pPr>
      <w:r w:rsidRPr="00692F44">
        <w:rPr>
          <w:rFonts w:ascii="Calibri" w:hAnsi="Calibri" w:cstheme="minorHAnsi"/>
          <w:color w:val="000000" w:themeColor="text1"/>
          <w:sz w:val="21"/>
          <w:szCs w:val="21"/>
          <w:lang w:eastAsia="zh-CN"/>
        </w:rPr>
        <w:t xml:space="preserve">Several responses (35.9%; 14 of 39 responses) related to changes that could be made by the Australian Government, including providing funding to DMHSs for ongoing development and evaluation, and to ensure that programs remain available at no or little cost to the consumer. Government policy may also assist in clarifying intended outcomes for the sector and uniting efforts of DMHSs under a national strategy, beginning with a focus on supported DMHSs. Respondents suggested that it will also be important to determine which sections of the population both need and want to use DMHS to ensure that efforts are </w:t>
      </w:r>
      <w:proofErr w:type="gramStart"/>
      <w:r w:rsidRPr="00692F44">
        <w:rPr>
          <w:rFonts w:ascii="Calibri" w:hAnsi="Calibri" w:cstheme="minorHAnsi"/>
          <w:color w:val="000000" w:themeColor="text1"/>
          <w:sz w:val="21"/>
          <w:szCs w:val="21"/>
          <w:lang w:eastAsia="zh-CN"/>
        </w:rPr>
        <w:t>targeted</w:t>
      </w:r>
      <w:proofErr w:type="gramEnd"/>
      <w:r w:rsidRPr="00692F44">
        <w:rPr>
          <w:rFonts w:ascii="Calibri" w:hAnsi="Calibri" w:cstheme="minorHAnsi"/>
          <w:color w:val="000000" w:themeColor="text1"/>
          <w:sz w:val="21"/>
          <w:szCs w:val="21"/>
          <w:lang w:eastAsia="zh-CN"/>
        </w:rPr>
        <w:t xml:space="preserve"> and outcomes are measured appropriately.</w:t>
      </w:r>
    </w:p>
    <w:p w14:paraId="122134BF" w14:textId="77777777" w:rsidR="00692F44" w:rsidRPr="00692F44" w:rsidRDefault="00692F44" w:rsidP="0048201E">
      <w:pPr>
        <w:pStyle w:val="Heading3"/>
        <w:spacing w:after="240"/>
      </w:pPr>
      <w:bookmarkStart w:id="286" w:name="_Toc107508852"/>
      <w:r w:rsidRPr="00692F44">
        <w:t>Integration of services</w:t>
      </w:r>
      <w:bookmarkEnd w:id="286"/>
    </w:p>
    <w:p w14:paraId="269BF06B" w14:textId="6AF521C3" w:rsidR="00692F44" w:rsidRPr="00692F44" w:rsidRDefault="00692F44" w:rsidP="0048201E">
      <w:pPr>
        <w:spacing w:after="240"/>
        <w:rPr>
          <w:rFonts w:ascii="Calibri" w:hAnsi="Calibri" w:cstheme="minorHAnsi"/>
          <w:color w:val="000000" w:themeColor="text1"/>
          <w:sz w:val="21"/>
          <w:szCs w:val="21"/>
          <w:lang w:eastAsia="zh-CN"/>
        </w:rPr>
      </w:pPr>
      <w:r w:rsidRPr="00692F44">
        <w:rPr>
          <w:rFonts w:ascii="Calibri" w:hAnsi="Calibri" w:cstheme="minorHAnsi"/>
          <w:color w:val="000000" w:themeColor="text1"/>
          <w:sz w:val="21"/>
          <w:szCs w:val="21"/>
          <w:lang w:eastAsia="zh-CN"/>
        </w:rPr>
        <w:t>Several responses (28.2%; 11 of 39 responses) echoed the need for further integration of DMHSs within the broader health system. Specifically, respondents indicated that integration of DMHSs with face-to-face services needs proper change management to ensure that clinicians understand referral processes and have sufficient time to learn about and incorporate new methods in a blended care model. Respondents suggested that clinicians and consumers may also require assistance to navigate the variety of options of DMHSs available to find the right fit. Specifically, a centralised platform or even a flowchart diagram to outline a process may assist with navigation of treatment options available.</w:t>
      </w:r>
    </w:p>
    <w:p w14:paraId="4762ED78" w14:textId="77777777" w:rsidR="00692F44" w:rsidRPr="00692F44" w:rsidRDefault="00692F44" w:rsidP="0048201E">
      <w:pPr>
        <w:pStyle w:val="Heading2"/>
        <w:numPr>
          <w:ilvl w:val="1"/>
          <w:numId w:val="146"/>
        </w:numPr>
        <w:spacing w:after="240"/>
        <w:rPr>
          <w:rFonts w:eastAsiaTheme="minorHAnsi"/>
        </w:rPr>
      </w:pPr>
      <w:bookmarkStart w:id="287" w:name="_Toc107508853"/>
      <w:bookmarkStart w:id="288" w:name="_Toc108784898"/>
      <w:r w:rsidRPr="00692F44">
        <w:rPr>
          <w:rFonts w:eastAsiaTheme="minorHAnsi"/>
        </w:rPr>
        <w:t>Tailoring for specific consumer groups</w:t>
      </w:r>
      <w:bookmarkEnd w:id="287"/>
      <w:bookmarkEnd w:id="288"/>
    </w:p>
    <w:p w14:paraId="7485081C" w14:textId="4871922C" w:rsidR="00692F44" w:rsidRPr="00692F44" w:rsidRDefault="00692F44" w:rsidP="0048201E">
      <w:pPr>
        <w:spacing w:after="240"/>
        <w:rPr>
          <w:rFonts w:ascii="Calibri" w:hAnsi="Calibri" w:cs="Arial"/>
          <w:color w:val="000000" w:themeColor="text1"/>
          <w:sz w:val="21"/>
          <w:szCs w:val="21"/>
          <w:lang w:eastAsia="zh-CN"/>
        </w:rPr>
      </w:pPr>
      <w:r w:rsidRPr="00692F44">
        <w:rPr>
          <w:rFonts w:ascii="Calibri" w:hAnsi="Calibri" w:cs="Arial"/>
          <w:color w:val="000000" w:themeColor="text1"/>
          <w:sz w:val="21"/>
          <w:szCs w:val="21"/>
          <w:lang w:eastAsia="zh-CN"/>
        </w:rPr>
        <w:t>In total, 44 respondents (84.6% of the sample) responded to a question about consumer groups who would benefit from digital mental health services but for whom programs have not yet been tailored. As seen in Table</w:t>
      </w:r>
      <w:r w:rsidR="00D90294">
        <w:rPr>
          <w:rFonts w:ascii="Calibri" w:hAnsi="Calibri" w:cs="Arial"/>
          <w:color w:val="000000" w:themeColor="text1"/>
          <w:sz w:val="21"/>
          <w:szCs w:val="21"/>
          <w:lang w:eastAsia="zh-CN"/>
        </w:rPr>
        <w:t xml:space="preserve"> 51</w:t>
      </w:r>
      <w:r w:rsidRPr="00692F44">
        <w:rPr>
          <w:rFonts w:ascii="Calibri" w:hAnsi="Calibri" w:cs="Arial"/>
          <w:color w:val="000000" w:themeColor="text1"/>
          <w:sz w:val="21"/>
          <w:szCs w:val="21"/>
          <w:lang w:eastAsia="zh-CN"/>
        </w:rPr>
        <w:t xml:space="preserve">, most respondents indicated that there are consumer groups who would benefit from DMHSs but for whom programs require tailoring (n=38; 73.1%). The </w:t>
      </w:r>
      <w:proofErr w:type="gramStart"/>
      <w:r w:rsidRPr="00692F44">
        <w:rPr>
          <w:rFonts w:ascii="Calibri" w:hAnsi="Calibri" w:cs="Arial"/>
          <w:color w:val="000000" w:themeColor="text1"/>
          <w:sz w:val="21"/>
          <w:szCs w:val="21"/>
          <w:lang w:eastAsia="zh-CN"/>
        </w:rPr>
        <w:t>most commonly endorsed</w:t>
      </w:r>
      <w:proofErr w:type="gramEnd"/>
      <w:r w:rsidRPr="00692F44">
        <w:rPr>
          <w:rFonts w:ascii="Calibri" w:hAnsi="Calibri" w:cs="Arial"/>
          <w:color w:val="000000" w:themeColor="text1"/>
          <w:sz w:val="21"/>
          <w:szCs w:val="21"/>
          <w:lang w:eastAsia="zh-CN"/>
        </w:rPr>
        <w:t xml:space="preserve"> groups were people from culturally and linguistically diverse (CALD) backgrounds or whose main language spoken at home is not English (n=34; 65.4%) and Aboriginal and Torres Strait Islander peoples (n=26; 50.0%).</w:t>
      </w:r>
    </w:p>
    <w:p w14:paraId="2E951462" w14:textId="0948C688" w:rsidR="00692F44" w:rsidRPr="00692F44" w:rsidRDefault="00692F44" w:rsidP="0048201E">
      <w:pPr>
        <w:pStyle w:val="tableheading"/>
        <w:spacing w:after="240"/>
      </w:pPr>
      <w:bookmarkStart w:id="289" w:name="_Toc107508854"/>
      <w:r w:rsidRPr="00692F44">
        <w:t xml:space="preserve">Table </w:t>
      </w:r>
      <w:r w:rsidR="00D90294">
        <w:t>51.</w:t>
      </w:r>
      <w:r w:rsidRPr="00692F44">
        <w:t xml:space="preserve"> Tailoring of DMHSs for specific consumer groups (N=52)</w:t>
      </w:r>
      <w:bookmarkEnd w:id="289"/>
    </w:p>
    <w:tbl>
      <w:tblPr>
        <w:tblStyle w:val="LightList2"/>
        <w:tblW w:w="5000" w:type="pct"/>
        <w:tblLayout w:type="fixed"/>
        <w:tblLook w:val="04A0" w:firstRow="1" w:lastRow="0" w:firstColumn="1" w:lastColumn="0" w:noHBand="0" w:noVBand="1"/>
        <w:tblDescription w:val="Tailoring of DMHSs for specific consumer groups (N=52)"/>
      </w:tblPr>
      <w:tblGrid>
        <w:gridCol w:w="7491"/>
        <w:gridCol w:w="1530"/>
        <w:gridCol w:w="710"/>
      </w:tblGrid>
      <w:tr w:rsidR="00692F44" w:rsidRPr="00692F44" w14:paraId="12B479C2" w14:textId="77777777">
        <w:trPr>
          <w:cnfStyle w:val="100000000000" w:firstRow="1" w:lastRow="0" w:firstColumn="0" w:lastColumn="0" w:oddVBand="0" w:evenVBand="0" w:oddHBand="0" w:evenHBand="0" w:firstRowFirstColumn="0" w:firstRowLastColumn="0" w:lastRowFirstColumn="0" w:lastRowLastColumn="0"/>
          <w:trHeight w:val="55"/>
        </w:trPr>
        <w:tc>
          <w:tcPr>
            <w:cnfStyle w:val="001000000000" w:firstRow="0" w:lastRow="0" w:firstColumn="1" w:lastColumn="0" w:oddVBand="0" w:evenVBand="0" w:oddHBand="0" w:evenHBand="0" w:firstRowFirstColumn="0" w:firstRowLastColumn="0" w:lastRowFirstColumn="0" w:lastRowLastColumn="0"/>
            <w:tcW w:w="3849" w:type="pct"/>
            <w:tcBorders>
              <w:top w:val="single" w:sz="4" w:space="0" w:color="auto"/>
              <w:bottom w:val="single" w:sz="4" w:space="0" w:color="auto"/>
              <w:right w:val="nil"/>
            </w:tcBorders>
            <w:noWrap/>
            <w:hideMark/>
          </w:tcPr>
          <w:p w14:paraId="283BB0F8" w14:textId="77777777" w:rsidR="00692F44" w:rsidRPr="00692F44" w:rsidRDefault="00692F44" w:rsidP="00692F44">
            <w:pPr>
              <w:rPr>
                <w:rFonts w:asciiTheme="minorHAnsi" w:eastAsiaTheme="minorHAnsi" w:hAnsiTheme="minorHAnsi" w:cstheme="minorHAnsi"/>
                <w:sz w:val="17"/>
                <w:szCs w:val="17"/>
                <w:lang w:eastAsia="en-US"/>
              </w:rPr>
            </w:pPr>
          </w:p>
        </w:tc>
        <w:tc>
          <w:tcPr>
            <w:tcW w:w="786" w:type="pct"/>
            <w:tcBorders>
              <w:top w:val="single" w:sz="4" w:space="0" w:color="auto"/>
              <w:left w:val="nil"/>
              <w:bottom w:val="single" w:sz="4" w:space="0" w:color="auto"/>
              <w:right w:val="nil"/>
            </w:tcBorders>
            <w:noWrap/>
            <w:hideMark/>
          </w:tcPr>
          <w:p w14:paraId="1500EADF" w14:textId="77777777" w:rsidR="00692F44" w:rsidRPr="00692F44" w:rsidRDefault="00692F44" w:rsidP="00692F44">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Freq</w:t>
            </w:r>
          </w:p>
        </w:tc>
        <w:tc>
          <w:tcPr>
            <w:tcW w:w="365" w:type="pct"/>
            <w:tcBorders>
              <w:top w:val="single" w:sz="4" w:space="0" w:color="auto"/>
              <w:left w:val="nil"/>
              <w:bottom w:val="single" w:sz="4" w:space="0" w:color="auto"/>
              <w:right w:val="single" w:sz="4" w:space="0" w:color="auto"/>
            </w:tcBorders>
            <w:noWrap/>
            <w:hideMark/>
          </w:tcPr>
          <w:p w14:paraId="5F3F1925" w14:textId="77777777" w:rsidR="00692F44" w:rsidRPr="00692F44" w:rsidRDefault="00692F44" w:rsidP="00692F44">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w:t>
            </w:r>
          </w:p>
        </w:tc>
      </w:tr>
      <w:tr w:rsidR="00692F44" w:rsidRPr="00692F44" w14:paraId="7D834826" w14:textId="77777777">
        <w:trPr>
          <w:cnfStyle w:val="000000100000" w:firstRow="0" w:lastRow="0" w:firstColumn="0" w:lastColumn="0" w:oddVBand="0" w:evenVBand="0" w:oddHBand="1" w:evenHBand="0" w:firstRowFirstColumn="0" w:firstRowLastColumn="0" w:lastRowFirstColumn="0" w:lastRowLastColumn="0"/>
          <w:trHeight w:val="1003"/>
        </w:trPr>
        <w:tc>
          <w:tcPr>
            <w:cnfStyle w:val="001000000000" w:firstRow="0" w:lastRow="0" w:firstColumn="1" w:lastColumn="0" w:oddVBand="0" w:evenVBand="0" w:oddHBand="0" w:evenHBand="0" w:firstRowFirstColumn="0" w:firstRowLastColumn="0" w:lastRowFirstColumn="0" w:lastRowLastColumn="0"/>
            <w:tcW w:w="3849" w:type="pct"/>
            <w:tcBorders>
              <w:top w:val="single" w:sz="4" w:space="0" w:color="auto"/>
              <w:right w:val="nil"/>
            </w:tcBorders>
            <w:noWrap/>
            <w:hideMark/>
          </w:tcPr>
          <w:p w14:paraId="30AFCEBC" w14:textId="77777777" w:rsidR="00692F44" w:rsidRPr="00692F44" w:rsidRDefault="00692F44" w:rsidP="00692F44">
            <w:pPr>
              <w:ind w:right="390"/>
              <w:textAlignment w:val="baseline"/>
              <w:rPr>
                <w:rFonts w:asciiTheme="minorHAnsi" w:eastAsiaTheme="minorHAnsi" w:hAnsiTheme="minorHAnsi" w:cstheme="minorHAnsi"/>
                <w:color w:val="000000"/>
                <w:sz w:val="17"/>
                <w:szCs w:val="17"/>
                <w:lang w:eastAsia="en-AU"/>
              </w:rPr>
            </w:pPr>
            <w:r w:rsidRPr="00692F44">
              <w:rPr>
                <w:rFonts w:asciiTheme="minorHAnsi" w:eastAsiaTheme="minorHAnsi" w:hAnsiTheme="minorHAnsi" w:cstheme="minorHAnsi"/>
                <w:color w:val="000000"/>
                <w:sz w:val="17"/>
                <w:szCs w:val="17"/>
                <w:lang w:eastAsia="en-AU"/>
              </w:rPr>
              <w:t>Are there any consumer groups who would benefit from digital mental health services but for whom programs have not yet been tailored?</w:t>
            </w:r>
          </w:p>
          <w:p w14:paraId="639AD22B" w14:textId="77777777" w:rsidR="00692F44" w:rsidRPr="00692F44" w:rsidRDefault="00692F44" w:rsidP="00692F44">
            <w:pPr>
              <w:ind w:left="167"/>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Yes</w:t>
            </w:r>
          </w:p>
          <w:p w14:paraId="457DAD96" w14:textId="77777777" w:rsidR="00692F44" w:rsidRPr="00692F44" w:rsidRDefault="00692F44" w:rsidP="00692F44">
            <w:pPr>
              <w:ind w:left="167"/>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No</w:t>
            </w:r>
          </w:p>
          <w:p w14:paraId="017937E6" w14:textId="77777777" w:rsidR="00692F44" w:rsidRPr="00692F44" w:rsidRDefault="00692F44" w:rsidP="00692F44">
            <w:pPr>
              <w:ind w:left="167"/>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Missing</w:t>
            </w:r>
          </w:p>
        </w:tc>
        <w:tc>
          <w:tcPr>
            <w:tcW w:w="786" w:type="pct"/>
            <w:tcBorders>
              <w:top w:val="single" w:sz="4" w:space="0" w:color="auto"/>
              <w:left w:val="nil"/>
              <w:right w:val="nil"/>
            </w:tcBorders>
            <w:noWrap/>
          </w:tcPr>
          <w:p w14:paraId="22623551"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p>
          <w:p w14:paraId="2CA43833"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p>
          <w:p w14:paraId="330CBE5A"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38</w:t>
            </w:r>
          </w:p>
          <w:p w14:paraId="0AEF5F46"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4</w:t>
            </w:r>
          </w:p>
          <w:p w14:paraId="1C26B0B9"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10</w:t>
            </w:r>
          </w:p>
        </w:tc>
        <w:tc>
          <w:tcPr>
            <w:tcW w:w="365" w:type="pct"/>
            <w:tcBorders>
              <w:top w:val="single" w:sz="4" w:space="0" w:color="auto"/>
              <w:left w:val="nil"/>
              <w:right w:val="single" w:sz="4" w:space="0" w:color="auto"/>
            </w:tcBorders>
            <w:noWrap/>
          </w:tcPr>
          <w:p w14:paraId="13567274"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p>
          <w:p w14:paraId="767181AD"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p>
          <w:p w14:paraId="7B88AE83"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73.1</w:t>
            </w:r>
          </w:p>
          <w:p w14:paraId="459BC5F6"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7.7</w:t>
            </w:r>
          </w:p>
          <w:p w14:paraId="04063747" w14:textId="77777777" w:rsidR="00692F44" w:rsidRPr="00692F44" w:rsidRDefault="00692F44" w:rsidP="00692F44">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19.2</w:t>
            </w:r>
          </w:p>
        </w:tc>
      </w:tr>
      <w:tr w:rsidR="00692F44" w:rsidRPr="00692F44" w14:paraId="18D9667A" w14:textId="77777777">
        <w:trPr>
          <w:trHeight w:val="643"/>
        </w:trPr>
        <w:tc>
          <w:tcPr>
            <w:cnfStyle w:val="001000000000" w:firstRow="0" w:lastRow="0" w:firstColumn="1" w:lastColumn="0" w:oddVBand="0" w:evenVBand="0" w:oddHBand="0" w:evenHBand="0" w:firstRowFirstColumn="0" w:firstRowLastColumn="0" w:lastRowFirstColumn="0" w:lastRowLastColumn="0"/>
            <w:tcW w:w="3849" w:type="pct"/>
            <w:tcBorders>
              <w:right w:val="nil"/>
            </w:tcBorders>
            <w:noWrap/>
            <w:hideMark/>
          </w:tcPr>
          <w:p w14:paraId="3073E433" w14:textId="77777777" w:rsidR="00692F44" w:rsidRPr="00692F44" w:rsidRDefault="00692F44" w:rsidP="00692F44">
            <w:pPr>
              <w:ind w:left="167"/>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 xml:space="preserve">If yes, please specify who these consumer groups </w:t>
            </w:r>
            <w:proofErr w:type="gramStart"/>
            <w:r w:rsidRPr="00692F44">
              <w:rPr>
                <w:rFonts w:asciiTheme="minorHAnsi" w:eastAsiaTheme="minorHAnsi" w:hAnsiTheme="minorHAnsi" w:cstheme="minorHAnsi"/>
                <w:sz w:val="17"/>
                <w:szCs w:val="17"/>
                <w:lang w:eastAsia="en-US"/>
              </w:rPr>
              <w:t>are:</w:t>
            </w:r>
            <w:proofErr w:type="gramEnd"/>
            <w:r w:rsidRPr="00692F44">
              <w:rPr>
                <w:rFonts w:asciiTheme="minorHAnsi" w:eastAsiaTheme="minorHAnsi" w:hAnsiTheme="minorHAnsi" w:cstheme="minorHAnsi"/>
                <w:sz w:val="16"/>
                <w:szCs w:val="16"/>
                <w:vertAlign w:val="superscript"/>
                <w:lang w:eastAsia="en-US"/>
              </w:rPr>
              <w:t xml:space="preserve"> a</w:t>
            </w:r>
          </w:p>
          <w:p w14:paraId="69063EE2" w14:textId="77777777" w:rsidR="00692F44" w:rsidRPr="00692F44" w:rsidRDefault="00692F44" w:rsidP="00692F44">
            <w:pPr>
              <w:ind w:left="167"/>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Aboriginal and/or Torres Strait Islander peoples</w:t>
            </w:r>
          </w:p>
          <w:p w14:paraId="2FA75372" w14:textId="77777777" w:rsidR="00692F44" w:rsidRPr="00692F44" w:rsidRDefault="00692F44" w:rsidP="00692F44">
            <w:pPr>
              <w:ind w:left="167"/>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People who are from culturally and linguistically diverse backgrounds or whose main language spoken at home is not English</w:t>
            </w:r>
          </w:p>
          <w:p w14:paraId="4139131B" w14:textId="77777777" w:rsidR="00692F44" w:rsidRPr="00692F44" w:rsidRDefault="00692F44" w:rsidP="00692F44">
            <w:pPr>
              <w:ind w:left="167"/>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People living in a rural or remote location</w:t>
            </w:r>
          </w:p>
          <w:p w14:paraId="459ED2B7" w14:textId="77777777" w:rsidR="00692F44" w:rsidRPr="00692F44" w:rsidRDefault="00692F44" w:rsidP="00692F44">
            <w:pPr>
              <w:ind w:left="167"/>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People who identify as LGBTQIA+</w:t>
            </w:r>
          </w:p>
          <w:p w14:paraId="7906A37F" w14:textId="77777777" w:rsidR="00692F44" w:rsidRPr="00692F44" w:rsidRDefault="00692F44" w:rsidP="00692F44">
            <w:pPr>
              <w:ind w:left="167"/>
              <w:rPr>
                <w:rFonts w:asciiTheme="minorHAnsi" w:eastAsiaTheme="minorHAnsi" w:hAnsiTheme="minorHAnsi" w:cstheme="minorHAnsi"/>
                <w:sz w:val="16"/>
                <w:szCs w:val="16"/>
                <w:vertAlign w:val="superscript"/>
                <w:lang w:eastAsia="en-US"/>
              </w:rPr>
            </w:pPr>
            <w:proofErr w:type="spellStart"/>
            <w:r w:rsidRPr="00692F44">
              <w:rPr>
                <w:rFonts w:asciiTheme="minorHAnsi" w:eastAsiaTheme="minorHAnsi" w:hAnsiTheme="minorHAnsi" w:cstheme="minorHAnsi"/>
                <w:sz w:val="17"/>
                <w:szCs w:val="17"/>
                <w:lang w:eastAsia="en-US"/>
              </w:rPr>
              <w:t>Other</w:t>
            </w:r>
            <w:r w:rsidRPr="00692F44">
              <w:rPr>
                <w:rFonts w:asciiTheme="minorHAnsi" w:eastAsiaTheme="minorHAnsi" w:hAnsiTheme="minorHAnsi" w:cstheme="minorHAnsi"/>
                <w:sz w:val="16"/>
                <w:szCs w:val="16"/>
                <w:vertAlign w:val="superscript"/>
                <w:lang w:eastAsia="en-US"/>
              </w:rPr>
              <w:t>b</w:t>
            </w:r>
            <w:proofErr w:type="spellEnd"/>
          </w:p>
          <w:p w14:paraId="0EBB4A5B" w14:textId="77777777" w:rsidR="00692F44" w:rsidRPr="00692F44" w:rsidRDefault="00692F44" w:rsidP="00692F44">
            <w:pPr>
              <w:ind w:left="167"/>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Missing</w:t>
            </w:r>
          </w:p>
        </w:tc>
        <w:tc>
          <w:tcPr>
            <w:tcW w:w="786" w:type="pct"/>
            <w:tcBorders>
              <w:left w:val="nil"/>
              <w:right w:val="nil"/>
            </w:tcBorders>
            <w:noWrap/>
          </w:tcPr>
          <w:p w14:paraId="42204B6B"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p>
          <w:p w14:paraId="6BFA10D9"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26</w:t>
            </w:r>
          </w:p>
          <w:p w14:paraId="736551E2"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34</w:t>
            </w:r>
          </w:p>
          <w:p w14:paraId="11035174"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p>
          <w:p w14:paraId="4758767A"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20</w:t>
            </w:r>
          </w:p>
          <w:p w14:paraId="27C60E06"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19</w:t>
            </w:r>
          </w:p>
          <w:p w14:paraId="7414BEA3"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20</w:t>
            </w:r>
          </w:p>
          <w:p w14:paraId="5AE277D6"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9</w:t>
            </w:r>
          </w:p>
        </w:tc>
        <w:tc>
          <w:tcPr>
            <w:tcW w:w="365" w:type="pct"/>
            <w:tcBorders>
              <w:left w:val="nil"/>
              <w:right w:val="single" w:sz="4" w:space="0" w:color="auto"/>
            </w:tcBorders>
            <w:noWrap/>
          </w:tcPr>
          <w:p w14:paraId="3D1C3A10"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p>
          <w:p w14:paraId="7EEC522C"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50.0</w:t>
            </w:r>
          </w:p>
          <w:p w14:paraId="4B19646F"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65.4</w:t>
            </w:r>
          </w:p>
          <w:p w14:paraId="282ED94E"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p>
          <w:p w14:paraId="28535D27"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38.5</w:t>
            </w:r>
          </w:p>
          <w:p w14:paraId="21297683"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36.5</w:t>
            </w:r>
          </w:p>
          <w:p w14:paraId="4EB45528"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38.5</w:t>
            </w:r>
          </w:p>
          <w:p w14:paraId="7733CA00" w14:textId="77777777" w:rsidR="00692F44" w:rsidRPr="00692F44" w:rsidRDefault="00692F44" w:rsidP="00692F44">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17"/>
                <w:szCs w:val="17"/>
                <w:lang w:eastAsia="en-US"/>
              </w:rPr>
            </w:pPr>
            <w:r w:rsidRPr="00692F44">
              <w:rPr>
                <w:rFonts w:asciiTheme="minorHAnsi" w:eastAsiaTheme="minorHAnsi" w:hAnsiTheme="minorHAnsi" w:cstheme="minorHAnsi"/>
                <w:sz w:val="17"/>
                <w:szCs w:val="17"/>
                <w:lang w:eastAsia="en-US"/>
              </w:rPr>
              <w:t>17.3</w:t>
            </w:r>
          </w:p>
        </w:tc>
      </w:tr>
    </w:tbl>
    <w:p w14:paraId="673D0F30" w14:textId="77777777" w:rsidR="00692F44" w:rsidRPr="00692F44" w:rsidRDefault="00692F44" w:rsidP="00692F44">
      <w:pPr>
        <w:rPr>
          <w:rFonts w:asciiTheme="minorHAnsi" w:eastAsiaTheme="minorHAnsi" w:hAnsiTheme="minorHAnsi" w:cstheme="minorHAnsi"/>
          <w:sz w:val="16"/>
          <w:szCs w:val="16"/>
          <w:lang w:eastAsia="en-US"/>
        </w:rPr>
      </w:pPr>
      <w:proofErr w:type="spellStart"/>
      <w:r w:rsidRPr="00692F44">
        <w:rPr>
          <w:rFonts w:asciiTheme="minorHAnsi" w:eastAsiaTheme="minorHAnsi" w:hAnsiTheme="minorHAnsi" w:cstheme="minorHAnsi"/>
          <w:sz w:val="16"/>
          <w:szCs w:val="16"/>
          <w:vertAlign w:val="superscript"/>
          <w:lang w:eastAsia="en-US"/>
        </w:rPr>
        <w:t>a</w:t>
      </w:r>
      <w:r w:rsidRPr="00692F44">
        <w:rPr>
          <w:rFonts w:asciiTheme="minorHAnsi" w:eastAsiaTheme="minorHAnsi" w:hAnsiTheme="minorHAnsi" w:cstheme="minorHAnsi"/>
          <w:sz w:val="16"/>
          <w:szCs w:val="16"/>
          <w:lang w:eastAsia="en-US"/>
        </w:rPr>
        <w:t>Multiple</w:t>
      </w:r>
      <w:proofErr w:type="spellEnd"/>
      <w:r w:rsidRPr="00692F44">
        <w:rPr>
          <w:rFonts w:asciiTheme="minorHAnsi" w:eastAsiaTheme="minorHAnsi" w:hAnsiTheme="minorHAnsi" w:cstheme="minorHAnsi"/>
          <w:sz w:val="16"/>
          <w:szCs w:val="16"/>
          <w:lang w:eastAsia="en-US"/>
        </w:rPr>
        <w:t xml:space="preserve"> responses accepted.</w:t>
      </w:r>
    </w:p>
    <w:p w14:paraId="2C7C9F79" w14:textId="77777777" w:rsidR="00692F44" w:rsidRPr="00692F44" w:rsidRDefault="00692F44" w:rsidP="00092263">
      <w:pPr>
        <w:spacing w:after="240"/>
        <w:rPr>
          <w:rFonts w:asciiTheme="minorHAnsi" w:eastAsiaTheme="minorHAnsi" w:hAnsiTheme="minorHAnsi" w:cstheme="minorBidi"/>
          <w:sz w:val="21"/>
          <w:szCs w:val="21"/>
          <w:lang w:eastAsia="en-US"/>
        </w:rPr>
      </w:pPr>
      <w:proofErr w:type="spellStart"/>
      <w:r w:rsidRPr="00692F44">
        <w:rPr>
          <w:rFonts w:asciiTheme="minorHAnsi" w:eastAsiaTheme="minorHAnsi" w:hAnsiTheme="minorHAnsi" w:cstheme="minorHAnsi"/>
          <w:sz w:val="16"/>
          <w:szCs w:val="16"/>
          <w:vertAlign w:val="superscript"/>
          <w:lang w:eastAsia="en-US"/>
        </w:rPr>
        <w:t>b</w:t>
      </w:r>
      <w:r w:rsidRPr="00692F44">
        <w:rPr>
          <w:rFonts w:asciiTheme="minorHAnsi" w:eastAsiaTheme="minorHAnsi" w:hAnsiTheme="minorHAnsi" w:cstheme="minorHAnsi"/>
          <w:sz w:val="16"/>
          <w:szCs w:val="16"/>
          <w:lang w:eastAsia="en-US"/>
        </w:rPr>
        <w:t>Other</w:t>
      </w:r>
      <w:proofErr w:type="spellEnd"/>
      <w:r w:rsidRPr="00692F44">
        <w:rPr>
          <w:rFonts w:asciiTheme="minorHAnsi" w:eastAsiaTheme="minorHAnsi" w:hAnsiTheme="minorHAnsi" w:cstheme="minorHAnsi"/>
          <w:sz w:val="16"/>
          <w:szCs w:val="16"/>
          <w:lang w:eastAsia="en-US"/>
        </w:rPr>
        <w:t xml:space="preserve"> responses included carers; children and young people; men; older people; parents; people with chronic health conditions; people experiencing poverty or social disadvantage; people in the forensic/custodial system; people who are visually impaired or experiencing other disabilities; people who misuse Alcohol and Other Drugs; people who prefer not to use digital methods; refugees.</w:t>
      </w:r>
    </w:p>
    <w:p w14:paraId="14D6F4D1" w14:textId="77777777" w:rsidR="00692F44" w:rsidRPr="00692F44" w:rsidRDefault="00692F44" w:rsidP="00092263">
      <w:pPr>
        <w:spacing w:after="240"/>
        <w:rPr>
          <w:rFonts w:ascii="Calibri" w:hAnsi="Calibri" w:cs="Arial"/>
          <w:color w:val="000000" w:themeColor="text1"/>
          <w:sz w:val="21"/>
          <w:szCs w:val="21"/>
          <w:lang w:eastAsia="zh-CN"/>
        </w:rPr>
      </w:pPr>
      <w:r w:rsidRPr="00692F44">
        <w:rPr>
          <w:rFonts w:ascii="Calibri" w:hAnsi="Calibri" w:cs="Arial"/>
          <w:color w:val="000000" w:themeColor="text1"/>
          <w:sz w:val="21"/>
          <w:szCs w:val="21"/>
          <w:lang w:eastAsia="zh-CN"/>
        </w:rPr>
        <w:t xml:space="preserve">Forty of these respondents (76.9% of the sample) expanded further on what modifications are needed for these and other groups. Many respondents indicated that adaptations for CALD groups and Aboriginal and Torres Strait Islander peoples necessitate being culturally sensitive and employing co-design methods so that programs are </w:t>
      </w:r>
      <w:proofErr w:type="gramStart"/>
      <w:r w:rsidRPr="00692F44">
        <w:rPr>
          <w:rFonts w:ascii="Calibri" w:hAnsi="Calibri" w:cs="Arial"/>
          <w:color w:val="000000" w:themeColor="text1"/>
          <w:sz w:val="21"/>
          <w:szCs w:val="21"/>
          <w:lang w:eastAsia="zh-CN"/>
        </w:rPr>
        <w:t>not only superficially</w:t>
      </w:r>
      <w:proofErr w:type="gramEnd"/>
      <w:r w:rsidRPr="00692F44">
        <w:rPr>
          <w:rFonts w:ascii="Calibri" w:hAnsi="Calibri" w:cs="Arial"/>
          <w:color w:val="000000" w:themeColor="text1"/>
          <w:sz w:val="21"/>
          <w:szCs w:val="21"/>
          <w:lang w:eastAsia="zh-CN"/>
        </w:rPr>
        <w:t xml:space="preserve"> translated.</w:t>
      </w:r>
    </w:p>
    <w:p w14:paraId="5660919A" w14:textId="58528D35" w:rsidR="00692F44" w:rsidRPr="00692F44" w:rsidRDefault="00692F44" w:rsidP="00092263">
      <w:pPr>
        <w:spacing w:after="240"/>
        <w:rPr>
          <w:rFonts w:ascii="Calibri" w:hAnsi="Calibri" w:cs="Arial"/>
          <w:color w:val="000000" w:themeColor="text1"/>
          <w:sz w:val="21"/>
          <w:szCs w:val="21"/>
          <w:lang w:eastAsia="zh-CN"/>
        </w:rPr>
      </w:pPr>
      <w:r w:rsidRPr="00692F44">
        <w:rPr>
          <w:rFonts w:ascii="Calibri" w:hAnsi="Calibri" w:cs="Arial"/>
          <w:color w:val="000000" w:themeColor="text1"/>
          <w:sz w:val="21"/>
          <w:szCs w:val="21"/>
          <w:lang w:eastAsia="zh-CN"/>
        </w:rPr>
        <w:t xml:space="preserve">Respondents suggested that for people living in rural and remote locations, removing barriers like device and internet access may assist in accessing services. Other groups like people who identify as LGBTQIA+ and carers </w:t>
      </w:r>
      <w:r w:rsidRPr="00692F44">
        <w:rPr>
          <w:rFonts w:ascii="Calibri" w:hAnsi="Calibri" w:cs="Arial"/>
          <w:color w:val="000000" w:themeColor="text1"/>
          <w:sz w:val="21"/>
          <w:szCs w:val="21"/>
          <w:lang w:eastAsia="zh-CN"/>
        </w:rPr>
        <w:lastRenderedPageBreak/>
        <w:t>may feel more connected through the involvement of peer workers or people with shared lived experience. For those who are visually impaired, using Microsoft accessibility tools and embedding other functions like screen readers may assist.</w:t>
      </w:r>
    </w:p>
    <w:p w14:paraId="51BEAF2A" w14:textId="77777777" w:rsidR="00692F44" w:rsidRPr="00692F44" w:rsidRDefault="00692F44" w:rsidP="00092263">
      <w:pPr>
        <w:spacing w:after="240"/>
        <w:rPr>
          <w:rFonts w:ascii="Calibri" w:hAnsi="Calibri" w:cs="Arial"/>
          <w:color w:val="000000" w:themeColor="text1"/>
          <w:sz w:val="21"/>
          <w:szCs w:val="21"/>
          <w:lang w:eastAsia="zh-CN"/>
        </w:rPr>
      </w:pPr>
      <w:r w:rsidRPr="00692F44">
        <w:rPr>
          <w:rFonts w:ascii="Calibri" w:hAnsi="Calibri" w:cs="Arial"/>
          <w:color w:val="000000" w:themeColor="text1"/>
          <w:sz w:val="21"/>
          <w:szCs w:val="21"/>
          <w:lang w:eastAsia="zh-CN"/>
        </w:rPr>
        <w:t>Although modifications may increase access and assist in providing consumers with options, several respondents also indicated that modifications can also reinforce stigma, or potentially reduce the effectiveness of DMHSs. Respondents indicated that DMHSs include skills that are broadly applicable, and therefore ensuring that the ‘front door’ is accessible and trauma-informed is most important. For example, one respondent noted that THIS WAY UP includes a diversity statement on their website to indicate their commitment to diverse groups, and acknowledgement that not all programs have been modified or tailored.</w:t>
      </w:r>
    </w:p>
    <w:p w14:paraId="589380AD" w14:textId="0E2DBA3E" w:rsidR="00692F44" w:rsidRPr="00692F44" w:rsidRDefault="00692F44" w:rsidP="00092263">
      <w:pPr>
        <w:spacing w:after="240"/>
        <w:ind w:left="567"/>
        <w:rPr>
          <w:rFonts w:ascii="Calibri" w:hAnsi="Calibri" w:cs="Arial"/>
          <w:color w:val="000000" w:themeColor="text1"/>
          <w:sz w:val="21"/>
          <w:szCs w:val="21"/>
          <w:lang w:eastAsia="zh-CN"/>
        </w:rPr>
      </w:pPr>
      <w:r w:rsidRPr="00692F44">
        <w:rPr>
          <w:rFonts w:ascii="Calibri" w:hAnsi="Calibri" w:cs="Arial"/>
          <w:color w:val="000000" w:themeColor="text1"/>
          <w:sz w:val="21"/>
          <w:szCs w:val="21"/>
          <w:lang w:eastAsia="zh-CN"/>
        </w:rPr>
        <w:t>I think within those groups there’s enormous diversity and I think, to some extent, you don’t need to tailor everything perfectly, you need to tailor things to the extent that the person finds them engaging and relatable enough so that they can consume and digest the mental health principles and skills that we know to be effective in international communities (01).</w:t>
      </w:r>
    </w:p>
    <w:p w14:paraId="66CBC99B" w14:textId="6A2E69EE" w:rsidR="003774AF" w:rsidRDefault="00692F44" w:rsidP="00092263">
      <w:pPr>
        <w:spacing w:after="240"/>
        <w:rPr>
          <w:rFonts w:ascii="Calibri" w:hAnsi="Calibri" w:cs="Arial"/>
          <w:color w:val="000000" w:themeColor="text1"/>
          <w:sz w:val="21"/>
          <w:szCs w:val="21"/>
          <w:lang w:eastAsia="zh-CN"/>
        </w:rPr>
      </w:pPr>
      <w:r w:rsidRPr="00692F44">
        <w:rPr>
          <w:rFonts w:ascii="Calibri" w:hAnsi="Calibri" w:cs="Arial"/>
          <w:color w:val="000000" w:themeColor="text1"/>
          <w:sz w:val="21"/>
          <w:szCs w:val="21"/>
          <w:lang w:eastAsia="zh-CN"/>
        </w:rPr>
        <w:t xml:space="preserve">Respondents also indicated that there are some existing adapted DMHSs for Aboriginal and Torres Strait Islander peoples, CALD groups, people who identify as LGBTQIA+, and people living in rural or remote locations. Respondents noted that adapting DMHSs appropriately requires diverse developers and researchers, as well as further research on uptake, </w:t>
      </w:r>
      <w:proofErr w:type="gramStart"/>
      <w:r w:rsidRPr="00692F44">
        <w:rPr>
          <w:rFonts w:ascii="Calibri" w:hAnsi="Calibri" w:cs="Arial"/>
          <w:color w:val="000000" w:themeColor="text1"/>
          <w:sz w:val="21"/>
          <w:szCs w:val="21"/>
          <w:lang w:eastAsia="zh-CN"/>
        </w:rPr>
        <w:t>engagement</w:t>
      </w:r>
      <w:proofErr w:type="gramEnd"/>
      <w:r w:rsidRPr="00692F44">
        <w:rPr>
          <w:rFonts w:ascii="Calibri" w:hAnsi="Calibri" w:cs="Arial"/>
          <w:color w:val="000000" w:themeColor="text1"/>
          <w:sz w:val="21"/>
          <w:szCs w:val="21"/>
          <w:lang w:eastAsia="zh-CN"/>
        </w:rPr>
        <w:t xml:space="preserve"> and adherence to ensure programs have equivalent outcomes.</w:t>
      </w:r>
      <w:bookmarkStart w:id="290" w:name="_Toc102047090"/>
      <w:bookmarkStart w:id="291" w:name="_Toc102047176"/>
      <w:bookmarkEnd w:id="275"/>
      <w:bookmarkEnd w:id="290"/>
      <w:bookmarkEnd w:id="291"/>
    </w:p>
    <w:p w14:paraId="317B62B4" w14:textId="78562F6E" w:rsidR="00EA31C0" w:rsidRPr="00EA31C0" w:rsidRDefault="00EA31C0" w:rsidP="00092263">
      <w:pPr>
        <w:pStyle w:val="Heading2"/>
        <w:numPr>
          <w:ilvl w:val="1"/>
          <w:numId w:val="146"/>
        </w:numPr>
        <w:spacing w:after="240"/>
        <w:rPr>
          <w:rFonts w:eastAsiaTheme="minorHAnsi"/>
        </w:rPr>
      </w:pPr>
      <w:bookmarkStart w:id="292" w:name="_Toc108784899"/>
      <w:r w:rsidRPr="00EA31C0">
        <w:rPr>
          <w:rFonts w:eastAsiaTheme="minorHAnsi"/>
        </w:rPr>
        <w:t>Summary</w:t>
      </w:r>
      <w:bookmarkEnd w:id="292"/>
    </w:p>
    <w:p w14:paraId="45E508E6" w14:textId="14D15590" w:rsidR="00725B3B" w:rsidRDefault="00EA31C0" w:rsidP="00092263">
      <w:pPr>
        <w:spacing w:after="240"/>
        <w:rPr>
          <w:rFonts w:asciiTheme="minorHAnsi" w:eastAsiaTheme="majorEastAsia" w:hAnsiTheme="minorHAnsi" w:cstheme="minorBidi"/>
          <w:b/>
          <w:color w:val="2F5496" w:themeColor="accent1" w:themeShade="BF"/>
          <w:sz w:val="40"/>
          <w:szCs w:val="40"/>
        </w:rPr>
      </w:pPr>
      <w:r w:rsidRPr="00EA31C0">
        <w:rPr>
          <w:rFonts w:ascii="Calibri" w:hAnsi="Calibri" w:cs="Arial"/>
          <w:color w:val="000000" w:themeColor="text1"/>
          <w:sz w:val="21"/>
          <w:szCs w:val="21"/>
          <w:lang w:eastAsia="zh-CN"/>
        </w:rPr>
        <w:t xml:space="preserve">Key mental health sector stakeholders provided their views on </w:t>
      </w:r>
      <w:proofErr w:type="gramStart"/>
      <w:r w:rsidRPr="00EA31C0">
        <w:rPr>
          <w:rFonts w:ascii="Calibri" w:hAnsi="Calibri" w:cs="Arial"/>
          <w:color w:val="000000" w:themeColor="text1"/>
          <w:sz w:val="21"/>
          <w:szCs w:val="21"/>
          <w:lang w:eastAsia="zh-CN"/>
        </w:rPr>
        <w:t>therapist-supported</w:t>
      </w:r>
      <w:proofErr w:type="gramEnd"/>
      <w:r w:rsidRPr="00EA31C0">
        <w:rPr>
          <w:rFonts w:ascii="Calibri" w:hAnsi="Calibri" w:cs="Arial"/>
          <w:color w:val="000000" w:themeColor="text1"/>
          <w:sz w:val="21"/>
          <w:szCs w:val="21"/>
          <w:lang w:eastAsia="zh-CN"/>
        </w:rPr>
        <w:t xml:space="preserve"> and self-directed DMHSs, including which mental health problems DMHSs are most suitable for. Stakeholders most commonly suggested that self-directed DMHSs were suitable for depression and </w:t>
      </w:r>
      <w:proofErr w:type="gramStart"/>
      <w:r w:rsidRPr="00EA31C0">
        <w:rPr>
          <w:rFonts w:ascii="Calibri" w:hAnsi="Calibri" w:cs="Arial"/>
          <w:color w:val="000000" w:themeColor="text1"/>
          <w:sz w:val="21"/>
          <w:szCs w:val="21"/>
          <w:lang w:eastAsia="zh-CN"/>
        </w:rPr>
        <w:t>anxiety, and</w:t>
      </w:r>
      <w:proofErr w:type="gramEnd"/>
      <w:r w:rsidRPr="00EA31C0">
        <w:rPr>
          <w:rFonts w:ascii="Calibri" w:hAnsi="Calibri" w:cs="Arial"/>
          <w:color w:val="000000" w:themeColor="text1"/>
          <w:sz w:val="21"/>
          <w:szCs w:val="21"/>
          <w:lang w:eastAsia="zh-CN"/>
        </w:rPr>
        <w:t xml:space="preserve"> endorsed a broad array of mental health problems for therapist-supported DMHSs. Stakeholders reported positive effects of DMHSs on consumers and carers, including mental health improvements, positive feedback and satisfaction, and improved access to care. They also noted that some consumers and carers may find DMHSs overwhelming, </w:t>
      </w:r>
      <w:proofErr w:type="gramStart"/>
      <w:r w:rsidRPr="00EA31C0">
        <w:rPr>
          <w:rFonts w:ascii="Calibri" w:hAnsi="Calibri" w:cs="Arial"/>
          <w:color w:val="000000" w:themeColor="text1"/>
          <w:sz w:val="21"/>
          <w:szCs w:val="21"/>
          <w:lang w:eastAsia="zh-CN"/>
        </w:rPr>
        <w:t>simplistic</w:t>
      </w:r>
      <w:proofErr w:type="gramEnd"/>
      <w:r w:rsidRPr="00EA31C0">
        <w:rPr>
          <w:rFonts w:ascii="Calibri" w:hAnsi="Calibri" w:cs="Arial"/>
          <w:color w:val="000000" w:themeColor="text1"/>
          <w:sz w:val="21"/>
          <w:szCs w:val="21"/>
          <w:lang w:eastAsia="zh-CN"/>
        </w:rPr>
        <w:t xml:space="preserve"> or simply prefer face-to-face services. Stakeholders highlighted recommendations to support integration of DMHS in the broader system and suggested broad changes as well as specific improvements to the DMHSs, including increased workforce training and awareness raising, ongoing financial support, quality improvement and reducing barriers for consumers. Finally, stakeholders discussed adaptations for specific consumer groups, for example employing co-design methods for proper cultural adaptation of programs.</w:t>
      </w:r>
      <w:r w:rsidR="00725B3B">
        <w:br w:type="page"/>
      </w:r>
    </w:p>
    <w:p w14:paraId="11811253" w14:textId="569874D5" w:rsidR="00A00873" w:rsidRPr="00725B3B" w:rsidRDefault="00A00873" w:rsidP="004E2ED0">
      <w:pPr>
        <w:pStyle w:val="Heading1"/>
        <w:numPr>
          <w:ilvl w:val="0"/>
          <w:numId w:val="146"/>
        </w:numPr>
      </w:pPr>
      <w:bookmarkStart w:id="293" w:name="_Toc102132005"/>
      <w:bookmarkStart w:id="294" w:name="_Toc108784900"/>
      <w:r w:rsidRPr="00725B3B">
        <w:lastRenderedPageBreak/>
        <w:t>The cost</w:t>
      </w:r>
      <w:r w:rsidR="004F73EC">
        <w:t>-</w:t>
      </w:r>
      <w:r w:rsidRPr="00725B3B">
        <w:t>effectiveness of DMHSs</w:t>
      </w:r>
      <w:bookmarkEnd w:id="293"/>
      <w:bookmarkEnd w:id="294"/>
    </w:p>
    <w:p w14:paraId="1FA8B858" w14:textId="67C35FB0" w:rsidR="00A00873" w:rsidRPr="00A00873" w:rsidRDefault="00A00873" w:rsidP="001E0394">
      <w:pPr>
        <w:pStyle w:val="Heading2"/>
        <w:numPr>
          <w:ilvl w:val="1"/>
          <w:numId w:val="146"/>
        </w:numPr>
      </w:pPr>
      <w:bookmarkStart w:id="295" w:name="_Toc102047097"/>
      <w:bookmarkStart w:id="296" w:name="_Toc102047183"/>
      <w:bookmarkStart w:id="297" w:name="_Toc102132006"/>
      <w:bookmarkStart w:id="298" w:name="_Toc108784901"/>
      <w:bookmarkEnd w:id="295"/>
      <w:bookmarkEnd w:id="296"/>
      <w:r w:rsidRPr="00A00873">
        <w:t>Our approach</w:t>
      </w:r>
      <w:bookmarkEnd w:id="297"/>
      <w:bookmarkEnd w:id="298"/>
    </w:p>
    <w:p w14:paraId="02E8E3A7" w14:textId="39CE7965" w:rsidR="00A00873" w:rsidRPr="000840ED" w:rsidRDefault="2C1D541E" w:rsidP="001C12ED">
      <w:pPr>
        <w:spacing w:after="240"/>
        <w:rPr>
          <w:rFonts w:ascii="Calibri" w:hAnsi="Calibri" w:cs="Arial"/>
          <w:color w:val="000000" w:themeColor="text1"/>
          <w:sz w:val="21"/>
          <w:szCs w:val="21"/>
          <w:lang w:eastAsia="zh-CN"/>
        </w:rPr>
      </w:pPr>
      <w:r w:rsidRPr="4104A11D">
        <w:rPr>
          <w:rFonts w:ascii="Calibri" w:hAnsi="Calibri" w:cs="Arial"/>
          <w:color w:val="000000" w:themeColor="text1"/>
          <w:sz w:val="21"/>
          <w:szCs w:val="21"/>
          <w:lang w:eastAsia="zh-CN"/>
        </w:rPr>
        <w:t>We conducted a modelled cost-effectiveness analysis of the DMHSs. There were two major components in this analysis – the first was to determine the costs of implementing the DMHSs and the second was to evaluate the cost</w:t>
      </w:r>
      <w:r w:rsidR="00643FC9">
        <w:rPr>
          <w:rFonts w:ascii="Calibri" w:hAnsi="Calibri" w:cs="Arial"/>
          <w:color w:val="000000" w:themeColor="text1"/>
          <w:sz w:val="21"/>
          <w:szCs w:val="21"/>
          <w:lang w:eastAsia="zh-CN"/>
        </w:rPr>
        <w:t>-</w:t>
      </w:r>
      <w:r w:rsidRPr="4104A11D">
        <w:rPr>
          <w:rFonts w:ascii="Calibri" w:hAnsi="Calibri" w:cs="Arial"/>
          <w:color w:val="000000" w:themeColor="text1"/>
          <w:sz w:val="21"/>
          <w:szCs w:val="21"/>
          <w:lang w:eastAsia="zh-CN"/>
        </w:rPr>
        <w:t xml:space="preserve">effectiveness of DMHSs using economic modelling. Section 10.2 presents the costs associated with DMHSs, including the operating cost of each service. Section 10.3 outlines the other costs associated with attending the </w:t>
      </w:r>
      <w:r w:rsidRPr="00061B55">
        <w:rPr>
          <w:rFonts w:ascii="Calibri" w:hAnsi="Calibri" w:cs="Arial"/>
          <w:color w:val="000000" w:themeColor="text1"/>
          <w:sz w:val="21"/>
          <w:szCs w:val="21"/>
          <w:lang w:eastAsia="zh-CN"/>
        </w:rPr>
        <w:t>DMHSs</w:t>
      </w:r>
      <w:r w:rsidR="0038115B">
        <w:rPr>
          <w:rFonts w:ascii="Calibri" w:hAnsi="Calibri" w:cs="Arial"/>
          <w:color w:val="000000" w:themeColor="text1"/>
          <w:sz w:val="21"/>
          <w:szCs w:val="21"/>
          <w:lang w:eastAsia="zh-CN"/>
        </w:rPr>
        <w:t xml:space="preserve"> –</w:t>
      </w:r>
      <w:r w:rsidRPr="00061B55">
        <w:rPr>
          <w:rFonts w:ascii="Calibri" w:hAnsi="Calibri" w:cs="Arial"/>
          <w:color w:val="000000" w:themeColor="text1"/>
          <w:sz w:val="21"/>
          <w:szCs w:val="21"/>
          <w:lang w:eastAsia="zh-CN"/>
        </w:rPr>
        <w:t xml:space="preserve"> health care cost savings and productivity impacts. Section 10.4 presents the results of the cost-effectiveness modelling for each service. The methodology is briefly discussed at the start of each section with further details provided in </w:t>
      </w:r>
      <w:r w:rsidRPr="000A3C9F">
        <w:rPr>
          <w:rFonts w:ascii="Calibri" w:hAnsi="Calibri" w:cs="Arial"/>
          <w:color w:val="000000" w:themeColor="text1"/>
          <w:sz w:val="21"/>
          <w:szCs w:val="21"/>
          <w:lang w:eastAsia="zh-CN"/>
        </w:rPr>
        <w:t xml:space="preserve">Appendix </w:t>
      </w:r>
      <w:r w:rsidRPr="4FB77617">
        <w:rPr>
          <w:rFonts w:ascii="Calibri" w:hAnsi="Calibri" w:cs="Arial"/>
          <w:color w:val="000000" w:themeColor="text1"/>
          <w:sz w:val="21"/>
          <w:szCs w:val="21"/>
          <w:lang w:eastAsia="zh-CN"/>
        </w:rPr>
        <w:t xml:space="preserve">L </w:t>
      </w:r>
      <w:r w:rsidRPr="000A3C9F">
        <w:rPr>
          <w:rFonts w:ascii="Calibri" w:hAnsi="Calibri" w:cs="Arial"/>
          <w:color w:val="000000" w:themeColor="text1"/>
          <w:sz w:val="21"/>
          <w:szCs w:val="21"/>
          <w:lang w:eastAsia="zh-CN"/>
        </w:rPr>
        <w:t>where indicated.</w:t>
      </w:r>
    </w:p>
    <w:p w14:paraId="3B7234BE" w14:textId="187AD355" w:rsidR="00A00873" w:rsidRPr="00A00873" w:rsidRDefault="00725B3B" w:rsidP="00474D00">
      <w:pPr>
        <w:pStyle w:val="Heading2"/>
        <w:numPr>
          <w:ilvl w:val="1"/>
          <w:numId w:val="146"/>
        </w:numPr>
        <w:spacing w:after="240"/>
      </w:pPr>
      <w:bookmarkStart w:id="299" w:name="_Toc108784902"/>
      <w:r>
        <w:t>C</w:t>
      </w:r>
      <w:r w:rsidR="00A00873" w:rsidRPr="00A00873">
        <w:t>osts of DMHSs</w:t>
      </w:r>
      <w:bookmarkEnd w:id="299"/>
    </w:p>
    <w:p w14:paraId="619465AD" w14:textId="66033634" w:rsidR="00A00873" w:rsidRPr="00A00873" w:rsidRDefault="00A00873" w:rsidP="001C12ED">
      <w:pPr>
        <w:spacing w:after="240"/>
        <w:rPr>
          <w:rFonts w:ascii="Calibri" w:eastAsiaTheme="minorEastAsia" w:hAnsi="Calibri" w:cs="Arial"/>
          <w:color w:val="000000" w:themeColor="text1"/>
          <w:sz w:val="21"/>
          <w:szCs w:val="21"/>
          <w:lang w:eastAsia="zh-CN"/>
        </w:rPr>
      </w:pPr>
      <w:r w:rsidRPr="00A00873">
        <w:rPr>
          <w:rFonts w:ascii="Calibri" w:eastAsiaTheme="minorEastAsia" w:hAnsi="Calibri" w:cs="Arial"/>
          <w:color w:val="000000" w:themeColor="text1"/>
          <w:sz w:val="21"/>
          <w:szCs w:val="21"/>
          <w:lang w:eastAsia="zh-CN"/>
        </w:rPr>
        <w:t>The primary data source</w:t>
      </w:r>
      <w:r w:rsidR="001D00F5">
        <w:rPr>
          <w:rFonts w:ascii="Calibri" w:eastAsiaTheme="minorEastAsia" w:hAnsi="Calibri" w:cs="Arial"/>
          <w:color w:val="000000" w:themeColor="text1"/>
          <w:sz w:val="21"/>
          <w:szCs w:val="21"/>
          <w:lang w:eastAsia="zh-CN"/>
        </w:rPr>
        <w:t>s</w:t>
      </w:r>
      <w:r w:rsidRPr="00A00873">
        <w:rPr>
          <w:rFonts w:ascii="Calibri" w:eastAsiaTheme="minorEastAsia" w:hAnsi="Calibri" w:cs="Arial"/>
          <w:color w:val="000000" w:themeColor="text1"/>
          <w:sz w:val="21"/>
          <w:szCs w:val="21"/>
          <w:lang w:eastAsia="zh-CN"/>
        </w:rPr>
        <w:t xml:space="preserve"> used to determine the cost of implementing each service were the internal financial records and budgets of the DMHSs. We requested the costs associated with each service pathway (i.e., assessment, self-directed </w:t>
      </w:r>
      <w:proofErr w:type="gramStart"/>
      <w:r w:rsidRPr="00A00873">
        <w:rPr>
          <w:rFonts w:ascii="Calibri" w:eastAsiaTheme="minorEastAsia" w:hAnsi="Calibri" w:cs="Arial"/>
          <w:color w:val="000000" w:themeColor="text1"/>
          <w:sz w:val="21"/>
          <w:szCs w:val="21"/>
          <w:lang w:eastAsia="zh-CN"/>
        </w:rPr>
        <w:t>treatments</w:t>
      </w:r>
      <w:proofErr w:type="gramEnd"/>
      <w:r w:rsidRPr="00A00873">
        <w:rPr>
          <w:rFonts w:ascii="Calibri" w:eastAsiaTheme="minorEastAsia" w:hAnsi="Calibri" w:cs="Arial"/>
          <w:color w:val="000000" w:themeColor="text1"/>
          <w:sz w:val="21"/>
          <w:szCs w:val="21"/>
          <w:lang w:eastAsia="zh-CN"/>
        </w:rPr>
        <w:t xml:space="preserve"> and therapist-supported treatments) from the three DMHSs for the most recent financial year and, if available, previous financial years since inception.</w:t>
      </w:r>
    </w:p>
    <w:p w14:paraId="150D9B5B" w14:textId="77777777" w:rsidR="00A00873" w:rsidRPr="00A00873" w:rsidRDefault="00A00873" w:rsidP="00474D00">
      <w:pPr>
        <w:pStyle w:val="Heading3"/>
      </w:pPr>
      <w:r w:rsidRPr="00A00873">
        <w:t>Mental Health Online</w:t>
      </w:r>
    </w:p>
    <w:p w14:paraId="16015A05" w14:textId="3383B667" w:rsidR="00A00873" w:rsidRPr="00A00873" w:rsidRDefault="2C1D541E" w:rsidP="493BF1EA">
      <w:pPr>
        <w:spacing w:after="240"/>
        <w:rPr>
          <w:rFonts w:ascii="Calibri" w:hAnsi="Calibri" w:cs="Arial"/>
          <w:color w:val="000000" w:themeColor="text1"/>
          <w:sz w:val="22"/>
          <w:szCs w:val="22"/>
          <w:lang w:eastAsia="zh-CN"/>
        </w:rPr>
      </w:pPr>
      <w:r w:rsidRPr="4104A11D">
        <w:rPr>
          <w:rFonts w:ascii="Calibri" w:hAnsi="Calibri" w:cs="Arial"/>
          <w:color w:val="000000" w:themeColor="text1"/>
          <w:sz w:val="21"/>
          <w:szCs w:val="21"/>
          <w:lang w:eastAsia="zh-CN"/>
        </w:rPr>
        <w:t xml:space="preserve">As previously </w:t>
      </w:r>
      <w:proofErr w:type="gramStart"/>
      <w:r w:rsidRPr="4104A11D">
        <w:rPr>
          <w:rFonts w:ascii="Calibri" w:hAnsi="Calibri" w:cs="Arial"/>
          <w:color w:val="000000" w:themeColor="text1"/>
          <w:sz w:val="21"/>
          <w:szCs w:val="21"/>
          <w:lang w:eastAsia="zh-CN"/>
        </w:rPr>
        <w:t>mentioned</w:t>
      </w:r>
      <w:proofErr w:type="gramEnd"/>
      <w:r w:rsidRPr="4104A11D">
        <w:rPr>
          <w:rFonts w:ascii="Calibri" w:hAnsi="Calibri" w:cs="Arial"/>
          <w:color w:val="000000" w:themeColor="text1"/>
          <w:sz w:val="21"/>
          <w:szCs w:val="21"/>
          <w:lang w:eastAsia="zh-CN"/>
        </w:rPr>
        <w:t xml:space="preserve"> (Section 3), the majority of services provided by Mental Health Online are self-directed and only a small proportion are therapist-supported. </w:t>
      </w:r>
      <w:proofErr w:type="gramStart"/>
      <w:r w:rsidRPr="4104A11D">
        <w:rPr>
          <w:rFonts w:ascii="Calibri" w:hAnsi="Calibri" w:cs="Arial"/>
          <w:color w:val="000000" w:themeColor="text1"/>
          <w:sz w:val="21"/>
          <w:szCs w:val="21"/>
          <w:lang w:eastAsia="zh-CN"/>
        </w:rPr>
        <w:t>The majority of</w:t>
      </w:r>
      <w:proofErr w:type="gramEnd"/>
      <w:r w:rsidRPr="4104A11D">
        <w:rPr>
          <w:rFonts w:ascii="Calibri" w:hAnsi="Calibri" w:cs="Arial"/>
          <w:color w:val="000000" w:themeColor="text1"/>
          <w:sz w:val="21"/>
          <w:szCs w:val="21"/>
          <w:lang w:eastAsia="zh-CN"/>
        </w:rPr>
        <w:t xml:space="preserve"> Mental Health </w:t>
      </w:r>
      <w:proofErr w:type="spellStart"/>
      <w:r w:rsidRPr="4104A11D">
        <w:rPr>
          <w:rFonts w:ascii="Calibri" w:hAnsi="Calibri" w:cs="Arial"/>
          <w:color w:val="000000" w:themeColor="text1"/>
          <w:sz w:val="21"/>
          <w:szCs w:val="21"/>
          <w:lang w:eastAsia="zh-CN"/>
        </w:rPr>
        <w:t>Online’s</w:t>
      </w:r>
      <w:proofErr w:type="spellEnd"/>
      <w:r w:rsidRPr="4104A11D">
        <w:rPr>
          <w:rFonts w:ascii="Calibri" w:hAnsi="Calibri" w:cs="Arial"/>
          <w:color w:val="000000" w:themeColor="text1"/>
          <w:sz w:val="21"/>
          <w:szCs w:val="21"/>
          <w:lang w:eastAsia="zh-CN"/>
        </w:rPr>
        <w:t xml:space="preserve"> therapist-supported services are provided by post-graduate psychology students as part of their course placement requirements. These students are not paid for this </w:t>
      </w:r>
      <w:proofErr w:type="gramStart"/>
      <w:r w:rsidRPr="4104A11D">
        <w:rPr>
          <w:rFonts w:ascii="Calibri" w:hAnsi="Calibri" w:cs="Arial"/>
          <w:color w:val="000000" w:themeColor="text1"/>
          <w:sz w:val="21"/>
          <w:szCs w:val="21"/>
          <w:lang w:eastAsia="zh-CN"/>
        </w:rPr>
        <w:t>work</w:t>
      </w:r>
      <w:proofErr w:type="gramEnd"/>
      <w:r w:rsidRPr="4104A11D">
        <w:rPr>
          <w:rFonts w:ascii="Calibri" w:hAnsi="Calibri" w:cs="Arial"/>
          <w:color w:val="000000" w:themeColor="text1"/>
          <w:sz w:val="21"/>
          <w:szCs w:val="21"/>
          <w:lang w:eastAsia="zh-CN"/>
        </w:rPr>
        <w:t xml:space="preserve"> and they are mainly supervised by Swinburne University or relevant institution staff psychologists as part of the funding allocated for teaching. However, Mental Health Online staff provide ancillary support services such as additional placement orientation, supervision, quality assurance and risk management. Table </w:t>
      </w:r>
      <w:r w:rsidR="00D90294">
        <w:rPr>
          <w:rFonts w:ascii="Calibri" w:hAnsi="Calibri" w:cs="Arial"/>
          <w:color w:val="000000" w:themeColor="text1"/>
          <w:sz w:val="21"/>
          <w:szCs w:val="21"/>
          <w:lang w:eastAsia="zh-CN"/>
        </w:rPr>
        <w:t>52</w:t>
      </w:r>
      <w:r w:rsidRPr="4104A11D">
        <w:rPr>
          <w:rFonts w:ascii="Calibri" w:hAnsi="Calibri" w:cs="Arial"/>
          <w:color w:val="000000" w:themeColor="text1"/>
          <w:sz w:val="21"/>
          <w:szCs w:val="21"/>
          <w:lang w:eastAsia="zh-CN"/>
        </w:rPr>
        <w:t xml:space="preserve"> presents a breakdown of the total cost for Mental Health Online for the 2020-21 financial year.</w:t>
      </w:r>
    </w:p>
    <w:p w14:paraId="4CE7328E" w14:textId="655E1C57" w:rsidR="00A00873" w:rsidRPr="00A00873" w:rsidRDefault="00A00873" w:rsidP="00A00873">
      <w:pPr>
        <w:keepLines/>
        <w:spacing w:after="120"/>
        <w:outlineLvl w:val="2"/>
        <w:rPr>
          <w:rFonts w:asciiTheme="minorHAnsi" w:eastAsiaTheme="majorEastAsia" w:hAnsiTheme="minorHAnsi" w:cstheme="majorBidi"/>
          <w:b/>
          <w:i/>
          <w:color w:val="000000" w:themeColor="text1"/>
          <w:sz w:val="21"/>
          <w:szCs w:val="21"/>
          <w:lang w:val="en-US" w:eastAsia="en-US"/>
        </w:rPr>
      </w:pPr>
      <w:r w:rsidRPr="00A00873">
        <w:rPr>
          <w:rFonts w:asciiTheme="minorHAnsi" w:eastAsiaTheme="majorEastAsia" w:hAnsiTheme="minorHAnsi" w:cstheme="majorBidi"/>
          <w:b/>
          <w:color w:val="000000" w:themeColor="text1"/>
          <w:sz w:val="21"/>
          <w:szCs w:val="21"/>
          <w:lang w:val="en-US" w:eastAsia="en-US"/>
        </w:rPr>
        <w:t xml:space="preserve">Table </w:t>
      </w:r>
      <w:r w:rsidR="00D90294">
        <w:rPr>
          <w:rFonts w:asciiTheme="minorHAnsi" w:eastAsiaTheme="majorEastAsia" w:hAnsiTheme="minorHAnsi" w:cstheme="majorBidi"/>
          <w:b/>
          <w:color w:val="000000" w:themeColor="text1"/>
          <w:sz w:val="21"/>
          <w:szCs w:val="21"/>
          <w:lang w:val="en-US" w:eastAsia="en-US"/>
        </w:rPr>
        <w:t>52</w:t>
      </w:r>
      <w:r w:rsidRPr="00A00873">
        <w:rPr>
          <w:rFonts w:asciiTheme="minorHAnsi" w:eastAsiaTheme="majorEastAsia" w:hAnsiTheme="minorHAnsi" w:cstheme="majorBidi"/>
          <w:b/>
          <w:color w:val="000000" w:themeColor="text1"/>
          <w:sz w:val="21"/>
          <w:szCs w:val="21"/>
          <w:lang w:val="en-US" w:eastAsia="en-US"/>
        </w:rPr>
        <w:t>. Total cost breakdown for Mental Health Online, July 2020 – June 2021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52. Total cost breakdown for Mental Health Online, July 2020 – June 2021 "/>
        <w:tblDescription w:val="A table providing the total cost breakdown for Mental Health Online from July 2020 to June 2021. The costs are presented by assessment, self-direct treatment and therapist-supported treatment."/>
      </w:tblPr>
      <w:tblGrid>
        <w:gridCol w:w="4499"/>
        <w:gridCol w:w="1310"/>
        <w:gridCol w:w="1310"/>
        <w:gridCol w:w="1310"/>
        <w:gridCol w:w="1307"/>
      </w:tblGrid>
      <w:tr w:rsidR="00A00873" w:rsidRPr="00A00873" w14:paraId="3A0277E9" w14:textId="77777777" w:rsidTr="00FA56CD">
        <w:trPr>
          <w:trHeight w:val="300"/>
        </w:trPr>
        <w:tc>
          <w:tcPr>
            <w:tcW w:w="2310" w:type="pct"/>
            <w:tcBorders>
              <w:top w:val="single" w:sz="4" w:space="0" w:color="auto"/>
              <w:left w:val="single" w:sz="4" w:space="0" w:color="auto"/>
              <w:bottom w:val="nil"/>
              <w:right w:val="single" w:sz="4" w:space="0" w:color="auto"/>
            </w:tcBorders>
            <w:shd w:val="clear" w:color="auto" w:fill="000000" w:themeFill="text1"/>
            <w:noWrap/>
            <w:vAlign w:val="center"/>
            <w:hideMark/>
          </w:tcPr>
          <w:p w14:paraId="5C8B4907" w14:textId="77777777" w:rsidR="00A00873" w:rsidRPr="00A00873" w:rsidRDefault="00A00873" w:rsidP="00A00873">
            <w:pPr>
              <w:rPr>
                <w:rFonts w:ascii="Calibri" w:hAnsi="Calibri" w:cs="Calibri"/>
                <w:color w:val="FFFFFF" w:themeColor="background1"/>
                <w:sz w:val="18"/>
                <w:szCs w:val="18"/>
                <w:lang w:eastAsia="en-AU"/>
              </w:rPr>
            </w:pPr>
            <w:r w:rsidRPr="00A00873">
              <w:rPr>
                <w:rFonts w:ascii="Calibri" w:hAnsi="Calibri" w:cs="Calibri"/>
                <w:b/>
                <w:bCs/>
                <w:color w:val="FFFFFF" w:themeColor="background1"/>
                <w:sz w:val="18"/>
                <w:szCs w:val="18"/>
                <w:lang w:eastAsia="en-AU"/>
              </w:rPr>
              <w:t>Item</w:t>
            </w:r>
          </w:p>
        </w:tc>
        <w:tc>
          <w:tcPr>
            <w:tcW w:w="673" w:type="pct"/>
            <w:tcBorders>
              <w:top w:val="single" w:sz="4" w:space="0" w:color="auto"/>
              <w:left w:val="single" w:sz="4" w:space="0" w:color="auto"/>
              <w:bottom w:val="nil"/>
              <w:right w:val="single" w:sz="4" w:space="0" w:color="auto"/>
            </w:tcBorders>
            <w:shd w:val="clear" w:color="auto" w:fill="000000" w:themeFill="text1"/>
            <w:vAlign w:val="center"/>
          </w:tcPr>
          <w:p w14:paraId="667D6A68" w14:textId="77777777" w:rsidR="00A00873" w:rsidRPr="00A00873" w:rsidRDefault="00A00873" w:rsidP="00A00873">
            <w:pPr>
              <w:jc w:val="center"/>
              <w:rPr>
                <w:rFonts w:ascii="Calibri" w:hAnsi="Calibri" w:cs="Calibri"/>
                <w:b/>
                <w:bCs/>
                <w:color w:val="FFFFFF" w:themeColor="background1"/>
                <w:sz w:val="18"/>
                <w:szCs w:val="18"/>
                <w:lang w:eastAsia="en-AU"/>
              </w:rPr>
            </w:pPr>
            <w:r w:rsidRPr="00A00873">
              <w:rPr>
                <w:rFonts w:ascii="Calibri" w:hAnsi="Calibri" w:cs="Calibri"/>
                <w:b/>
                <w:bCs/>
                <w:color w:val="FFFFFF" w:themeColor="background1"/>
                <w:sz w:val="18"/>
                <w:szCs w:val="18"/>
                <w:lang w:eastAsia="en-AU"/>
              </w:rPr>
              <w:t>Assessment only</w:t>
            </w:r>
          </w:p>
        </w:tc>
        <w:tc>
          <w:tcPr>
            <w:tcW w:w="673" w:type="pct"/>
            <w:tcBorders>
              <w:top w:val="single" w:sz="4" w:space="0" w:color="auto"/>
              <w:left w:val="single" w:sz="4" w:space="0" w:color="auto"/>
              <w:bottom w:val="nil"/>
              <w:right w:val="single" w:sz="4" w:space="0" w:color="auto"/>
            </w:tcBorders>
            <w:shd w:val="clear" w:color="auto" w:fill="000000" w:themeFill="text1"/>
            <w:vAlign w:val="center"/>
          </w:tcPr>
          <w:p w14:paraId="746801F4" w14:textId="77777777" w:rsidR="00A00873" w:rsidRPr="00A00873" w:rsidRDefault="00A00873" w:rsidP="00A00873">
            <w:pPr>
              <w:jc w:val="center"/>
              <w:rPr>
                <w:rFonts w:ascii="Calibri" w:hAnsi="Calibri" w:cs="Calibri"/>
                <w:b/>
                <w:bCs/>
                <w:color w:val="FFFFFF" w:themeColor="background1"/>
                <w:sz w:val="18"/>
                <w:szCs w:val="18"/>
                <w:lang w:eastAsia="en-AU"/>
              </w:rPr>
            </w:pPr>
            <w:r w:rsidRPr="00A00873">
              <w:rPr>
                <w:rFonts w:ascii="Calibri" w:hAnsi="Calibri" w:cs="Calibri"/>
                <w:b/>
                <w:bCs/>
                <w:color w:val="FFFFFF" w:themeColor="background1"/>
                <w:sz w:val="18"/>
                <w:szCs w:val="18"/>
                <w:lang w:eastAsia="en-AU"/>
              </w:rPr>
              <w:t>Self-directed treatment</w:t>
            </w:r>
          </w:p>
        </w:tc>
        <w:tc>
          <w:tcPr>
            <w:tcW w:w="673" w:type="pct"/>
            <w:tcBorders>
              <w:top w:val="single" w:sz="4" w:space="0" w:color="auto"/>
              <w:left w:val="single" w:sz="4" w:space="0" w:color="auto"/>
              <w:bottom w:val="nil"/>
              <w:right w:val="single" w:sz="4" w:space="0" w:color="auto"/>
            </w:tcBorders>
            <w:shd w:val="clear" w:color="auto" w:fill="000000" w:themeFill="text1"/>
            <w:vAlign w:val="center"/>
          </w:tcPr>
          <w:p w14:paraId="551FD63D" w14:textId="77777777" w:rsidR="00A00873" w:rsidRPr="00A00873" w:rsidRDefault="00A00873" w:rsidP="00A00873">
            <w:pPr>
              <w:jc w:val="center"/>
              <w:rPr>
                <w:rFonts w:ascii="Calibri" w:hAnsi="Calibri" w:cs="Calibri"/>
                <w:b/>
                <w:bCs/>
                <w:color w:val="FFFFFF" w:themeColor="background1"/>
                <w:sz w:val="18"/>
                <w:szCs w:val="18"/>
                <w:lang w:eastAsia="en-AU"/>
              </w:rPr>
            </w:pPr>
            <w:r w:rsidRPr="00A00873">
              <w:rPr>
                <w:rFonts w:ascii="Calibri" w:hAnsi="Calibri" w:cs="Calibri"/>
                <w:b/>
                <w:bCs/>
                <w:color w:val="FFFFFF" w:themeColor="background1"/>
                <w:sz w:val="18"/>
                <w:szCs w:val="18"/>
                <w:lang w:eastAsia="en-AU"/>
              </w:rPr>
              <w:t>Therapist-supported treatment</w:t>
            </w:r>
          </w:p>
        </w:tc>
        <w:tc>
          <w:tcPr>
            <w:tcW w:w="673" w:type="pct"/>
            <w:tcBorders>
              <w:top w:val="single" w:sz="4" w:space="0" w:color="auto"/>
              <w:left w:val="single" w:sz="4" w:space="0" w:color="auto"/>
              <w:bottom w:val="nil"/>
              <w:right w:val="single" w:sz="4" w:space="0" w:color="auto"/>
            </w:tcBorders>
            <w:shd w:val="clear" w:color="auto" w:fill="000000" w:themeFill="text1"/>
            <w:noWrap/>
            <w:vAlign w:val="center"/>
            <w:hideMark/>
          </w:tcPr>
          <w:p w14:paraId="416AD1E1" w14:textId="77777777" w:rsidR="00A00873" w:rsidRPr="00A00873" w:rsidRDefault="00A00873" w:rsidP="00A00873">
            <w:pPr>
              <w:jc w:val="center"/>
              <w:rPr>
                <w:rFonts w:ascii="Calibri" w:hAnsi="Calibri" w:cs="Calibri"/>
                <w:bCs/>
                <w:color w:val="FFFFFF" w:themeColor="background1"/>
                <w:sz w:val="18"/>
                <w:szCs w:val="18"/>
                <w:lang w:eastAsia="en-AU"/>
              </w:rPr>
            </w:pPr>
            <w:r w:rsidRPr="00A00873">
              <w:rPr>
                <w:rFonts w:ascii="Calibri" w:hAnsi="Calibri" w:cs="Calibri"/>
                <w:b/>
                <w:bCs/>
                <w:color w:val="FFFFFF" w:themeColor="background1"/>
                <w:sz w:val="18"/>
                <w:szCs w:val="18"/>
                <w:lang w:eastAsia="en-AU"/>
              </w:rPr>
              <w:t>Total costs</w:t>
            </w:r>
          </w:p>
        </w:tc>
      </w:tr>
      <w:tr w:rsidR="00A00873" w:rsidRPr="00A00873" w14:paraId="4596D6F4" w14:textId="77777777" w:rsidTr="00FA56CD">
        <w:trPr>
          <w:trHeight w:val="300"/>
        </w:trPr>
        <w:tc>
          <w:tcPr>
            <w:tcW w:w="2310" w:type="pct"/>
            <w:tcBorders>
              <w:top w:val="nil"/>
              <w:left w:val="single" w:sz="4" w:space="0" w:color="auto"/>
              <w:bottom w:val="nil"/>
              <w:right w:val="nil"/>
            </w:tcBorders>
            <w:shd w:val="clear" w:color="auto" w:fill="auto"/>
            <w:noWrap/>
            <w:vAlign w:val="center"/>
          </w:tcPr>
          <w:p w14:paraId="0BBEF0F3" w14:textId="77777777" w:rsidR="00A00873" w:rsidRPr="00A00873" w:rsidRDefault="00A00873" w:rsidP="00A00873">
            <w:pPr>
              <w:rPr>
                <w:rFonts w:ascii="Calibri" w:hAnsi="Calibri" w:cs="Calibri"/>
                <w:bCs/>
                <w:color w:val="FFFFFF" w:themeColor="background1"/>
                <w:sz w:val="18"/>
                <w:szCs w:val="18"/>
                <w:lang w:eastAsia="en-AU"/>
              </w:rPr>
            </w:pPr>
            <w:r w:rsidRPr="00A00873">
              <w:rPr>
                <w:rFonts w:ascii="Calibri" w:hAnsi="Calibri" w:cs="Calibri"/>
                <w:bCs/>
                <w:sz w:val="18"/>
                <w:szCs w:val="18"/>
                <w:lang w:eastAsia="en-AU"/>
              </w:rPr>
              <w:t>Number of consumers</w:t>
            </w:r>
          </w:p>
        </w:tc>
        <w:tc>
          <w:tcPr>
            <w:tcW w:w="673" w:type="pct"/>
            <w:tcBorders>
              <w:top w:val="nil"/>
              <w:left w:val="nil"/>
              <w:bottom w:val="nil"/>
              <w:right w:val="nil"/>
            </w:tcBorders>
            <w:shd w:val="clear" w:color="auto" w:fill="auto"/>
            <w:vAlign w:val="center"/>
          </w:tcPr>
          <w:p w14:paraId="372E62CF" w14:textId="77777777" w:rsidR="00A00873" w:rsidRPr="00A00873" w:rsidRDefault="00A00873" w:rsidP="00A00873">
            <w:pPr>
              <w:jc w:val="center"/>
              <w:rPr>
                <w:rFonts w:ascii="Calibri" w:hAnsi="Calibri" w:cs="Calibri"/>
                <w:bCs/>
                <w:sz w:val="18"/>
                <w:szCs w:val="18"/>
                <w:lang w:eastAsia="en-AU"/>
              </w:rPr>
            </w:pPr>
            <w:r w:rsidRPr="00A00873">
              <w:rPr>
                <w:rFonts w:ascii="Calibri" w:hAnsi="Calibri" w:cs="Calibri"/>
                <w:bCs/>
                <w:sz w:val="18"/>
                <w:szCs w:val="18"/>
                <w:lang w:eastAsia="en-AU"/>
              </w:rPr>
              <w:t>19,867</w:t>
            </w:r>
          </w:p>
        </w:tc>
        <w:tc>
          <w:tcPr>
            <w:tcW w:w="673" w:type="pct"/>
            <w:tcBorders>
              <w:top w:val="nil"/>
              <w:left w:val="nil"/>
              <w:bottom w:val="nil"/>
              <w:right w:val="nil"/>
            </w:tcBorders>
            <w:shd w:val="clear" w:color="auto" w:fill="auto"/>
            <w:vAlign w:val="center"/>
          </w:tcPr>
          <w:p w14:paraId="09917273" w14:textId="77777777" w:rsidR="00A00873" w:rsidRPr="00A00873" w:rsidRDefault="00A00873" w:rsidP="00A00873">
            <w:pPr>
              <w:jc w:val="center"/>
              <w:rPr>
                <w:rFonts w:ascii="Calibri" w:hAnsi="Calibri" w:cs="Calibri"/>
                <w:bCs/>
                <w:sz w:val="18"/>
                <w:szCs w:val="18"/>
                <w:lang w:eastAsia="en-AU"/>
              </w:rPr>
            </w:pPr>
            <w:r w:rsidRPr="00A00873">
              <w:rPr>
                <w:rFonts w:ascii="Calibri" w:hAnsi="Calibri" w:cs="Calibri"/>
                <w:bCs/>
                <w:sz w:val="18"/>
                <w:szCs w:val="18"/>
                <w:lang w:eastAsia="en-AU"/>
              </w:rPr>
              <w:t>7,354</w:t>
            </w:r>
          </w:p>
        </w:tc>
        <w:tc>
          <w:tcPr>
            <w:tcW w:w="673" w:type="pct"/>
            <w:tcBorders>
              <w:top w:val="nil"/>
              <w:left w:val="nil"/>
              <w:bottom w:val="nil"/>
              <w:right w:val="nil"/>
            </w:tcBorders>
            <w:shd w:val="clear" w:color="auto" w:fill="auto"/>
            <w:vAlign w:val="center"/>
          </w:tcPr>
          <w:p w14:paraId="2BE051B0" w14:textId="77777777" w:rsidR="00A00873" w:rsidRPr="00A00873" w:rsidRDefault="00A00873" w:rsidP="00A00873">
            <w:pPr>
              <w:jc w:val="center"/>
              <w:rPr>
                <w:rFonts w:ascii="Calibri" w:hAnsi="Calibri" w:cs="Calibri"/>
                <w:bCs/>
                <w:sz w:val="18"/>
                <w:szCs w:val="18"/>
                <w:lang w:eastAsia="en-AU"/>
              </w:rPr>
            </w:pPr>
            <w:r w:rsidRPr="00A00873">
              <w:rPr>
                <w:rFonts w:ascii="Calibri" w:hAnsi="Calibri" w:cs="Calibri"/>
                <w:bCs/>
                <w:sz w:val="18"/>
                <w:szCs w:val="18"/>
                <w:lang w:eastAsia="en-AU"/>
              </w:rPr>
              <w:t>578</w:t>
            </w:r>
          </w:p>
        </w:tc>
        <w:tc>
          <w:tcPr>
            <w:tcW w:w="673" w:type="pct"/>
            <w:tcBorders>
              <w:top w:val="nil"/>
              <w:left w:val="nil"/>
              <w:bottom w:val="nil"/>
              <w:right w:val="single" w:sz="4" w:space="0" w:color="auto"/>
            </w:tcBorders>
            <w:shd w:val="clear" w:color="auto" w:fill="auto"/>
            <w:noWrap/>
            <w:vAlign w:val="center"/>
          </w:tcPr>
          <w:p w14:paraId="57AA9159" w14:textId="77777777" w:rsidR="00A00873" w:rsidRPr="00A00873" w:rsidRDefault="00A00873" w:rsidP="00A00873">
            <w:pPr>
              <w:jc w:val="center"/>
              <w:rPr>
                <w:rFonts w:ascii="Calibri" w:hAnsi="Calibri" w:cs="Calibri"/>
                <w:bCs/>
                <w:sz w:val="18"/>
                <w:szCs w:val="18"/>
                <w:lang w:eastAsia="en-AU"/>
              </w:rPr>
            </w:pPr>
          </w:p>
        </w:tc>
      </w:tr>
      <w:tr w:rsidR="00A00873" w:rsidRPr="00A00873" w14:paraId="09AA7E9E" w14:textId="77777777" w:rsidTr="00FA56CD">
        <w:trPr>
          <w:trHeight w:val="300"/>
        </w:trPr>
        <w:tc>
          <w:tcPr>
            <w:tcW w:w="2310" w:type="pct"/>
            <w:tcBorders>
              <w:top w:val="nil"/>
              <w:left w:val="single" w:sz="4" w:space="0" w:color="auto"/>
              <w:bottom w:val="nil"/>
              <w:right w:val="nil"/>
            </w:tcBorders>
            <w:noWrap/>
            <w:vAlign w:val="center"/>
            <w:hideMark/>
          </w:tcPr>
          <w:p w14:paraId="46C11D64" w14:textId="77777777" w:rsidR="00A00873" w:rsidRPr="00A00873" w:rsidRDefault="00A00873" w:rsidP="00A00873">
            <w:pPr>
              <w:rPr>
                <w:rFonts w:asciiTheme="minorHAnsi" w:hAnsiTheme="minorHAnsi" w:cstheme="minorHAnsi"/>
                <w:color w:val="000000"/>
                <w:sz w:val="18"/>
                <w:szCs w:val="18"/>
                <w:lang w:eastAsia="en-AU"/>
              </w:rPr>
            </w:pPr>
            <w:r w:rsidRPr="00A00873">
              <w:rPr>
                <w:rFonts w:asciiTheme="minorHAnsi" w:hAnsiTheme="minorHAnsi" w:cstheme="minorHAnsi"/>
                <w:color w:val="000000"/>
                <w:sz w:val="18"/>
                <w:szCs w:val="18"/>
                <w:lang w:eastAsia="en-AU"/>
              </w:rPr>
              <w:t>Salary</w:t>
            </w:r>
            <w:r w:rsidRPr="00A00873">
              <w:rPr>
                <w:rFonts w:asciiTheme="minorHAnsi" w:hAnsiTheme="minorHAnsi" w:cstheme="minorHAnsi"/>
                <w:color w:val="000000"/>
                <w:sz w:val="18"/>
                <w:szCs w:val="18"/>
                <w:vertAlign w:val="superscript"/>
                <w:lang w:eastAsia="en-AU"/>
              </w:rPr>
              <w:t xml:space="preserve"> a</w:t>
            </w:r>
            <w:r w:rsidRPr="00A00873">
              <w:rPr>
                <w:rFonts w:asciiTheme="minorHAnsi" w:hAnsiTheme="minorHAnsi" w:cstheme="minorHAnsi"/>
                <w:color w:val="000000"/>
                <w:sz w:val="18"/>
                <w:szCs w:val="18"/>
                <w:lang w:eastAsia="en-AU"/>
              </w:rPr>
              <w:t>:</w:t>
            </w:r>
          </w:p>
        </w:tc>
        <w:tc>
          <w:tcPr>
            <w:tcW w:w="673" w:type="pct"/>
            <w:tcBorders>
              <w:top w:val="nil"/>
              <w:left w:val="nil"/>
              <w:bottom w:val="nil"/>
              <w:right w:val="nil"/>
            </w:tcBorders>
            <w:vAlign w:val="center"/>
          </w:tcPr>
          <w:p w14:paraId="79915B7E" w14:textId="77777777" w:rsidR="00A00873" w:rsidRPr="00A00873" w:rsidRDefault="00A00873" w:rsidP="00A00873">
            <w:pPr>
              <w:jc w:val="center"/>
              <w:rPr>
                <w:rFonts w:ascii="Calibri" w:hAnsi="Calibri" w:cs="Calibri"/>
                <w:color w:val="000000"/>
                <w:sz w:val="18"/>
                <w:szCs w:val="18"/>
                <w:lang w:eastAsia="en-AU"/>
              </w:rPr>
            </w:pPr>
          </w:p>
        </w:tc>
        <w:tc>
          <w:tcPr>
            <w:tcW w:w="673" w:type="pct"/>
            <w:tcBorders>
              <w:top w:val="nil"/>
              <w:left w:val="nil"/>
              <w:bottom w:val="nil"/>
              <w:right w:val="nil"/>
            </w:tcBorders>
            <w:vAlign w:val="center"/>
          </w:tcPr>
          <w:p w14:paraId="586FECA1" w14:textId="77777777" w:rsidR="00A00873" w:rsidRPr="00A00873" w:rsidRDefault="00A00873" w:rsidP="00A00873">
            <w:pPr>
              <w:jc w:val="center"/>
              <w:rPr>
                <w:rFonts w:ascii="Calibri" w:hAnsi="Calibri" w:cs="Calibri"/>
                <w:color w:val="000000"/>
                <w:sz w:val="18"/>
                <w:szCs w:val="18"/>
                <w:lang w:eastAsia="en-AU"/>
              </w:rPr>
            </w:pPr>
          </w:p>
        </w:tc>
        <w:tc>
          <w:tcPr>
            <w:tcW w:w="673" w:type="pct"/>
            <w:tcBorders>
              <w:top w:val="nil"/>
              <w:left w:val="nil"/>
              <w:bottom w:val="nil"/>
              <w:right w:val="nil"/>
            </w:tcBorders>
            <w:vAlign w:val="center"/>
          </w:tcPr>
          <w:p w14:paraId="58D5C011" w14:textId="77777777" w:rsidR="00A00873" w:rsidRPr="00A00873" w:rsidRDefault="00A00873" w:rsidP="00A00873">
            <w:pPr>
              <w:jc w:val="center"/>
              <w:rPr>
                <w:rFonts w:ascii="Calibri" w:hAnsi="Calibri" w:cs="Calibri"/>
                <w:color w:val="000000"/>
                <w:sz w:val="18"/>
                <w:szCs w:val="18"/>
                <w:lang w:eastAsia="en-AU"/>
              </w:rPr>
            </w:pPr>
          </w:p>
        </w:tc>
        <w:tc>
          <w:tcPr>
            <w:tcW w:w="673" w:type="pct"/>
            <w:tcBorders>
              <w:top w:val="nil"/>
              <w:left w:val="nil"/>
              <w:bottom w:val="nil"/>
              <w:right w:val="single" w:sz="4" w:space="0" w:color="auto"/>
            </w:tcBorders>
            <w:noWrap/>
            <w:vAlign w:val="center"/>
            <w:hideMark/>
          </w:tcPr>
          <w:p w14:paraId="1B363561" w14:textId="77777777" w:rsidR="00A00873" w:rsidRPr="00A00873" w:rsidRDefault="00A00873" w:rsidP="00A00873">
            <w:pPr>
              <w:rPr>
                <w:rFonts w:ascii="Calibri" w:hAnsi="Calibri" w:cs="Calibri"/>
                <w:color w:val="000000"/>
                <w:sz w:val="18"/>
                <w:szCs w:val="18"/>
                <w:lang w:eastAsia="en-AU"/>
              </w:rPr>
            </w:pPr>
          </w:p>
        </w:tc>
      </w:tr>
      <w:tr w:rsidR="00A00873" w:rsidRPr="00A00873" w14:paraId="0FF6512D" w14:textId="77777777" w:rsidTr="00FA56CD">
        <w:trPr>
          <w:trHeight w:val="300"/>
        </w:trPr>
        <w:tc>
          <w:tcPr>
            <w:tcW w:w="2310" w:type="pct"/>
            <w:tcBorders>
              <w:top w:val="nil"/>
              <w:left w:val="single" w:sz="4" w:space="0" w:color="auto"/>
              <w:bottom w:val="nil"/>
              <w:right w:val="nil"/>
            </w:tcBorders>
            <w:noWrap/>
            <w:vAlign w:val="center"/>
            <w:hideMark/>
          </w:tcPr>
          <w:p w14:paraId="6CC82599" w14:textId="77777777" w:rsidR="00A00873" w:rsidRPr="00A00873" w:rsidRDefault="00A00873" w:rsidP="00A00873">
            <w:pPr>
              <w:ind w:left="170"/>
              <w:rPr>
                <w:rFonts w:ascii="Calibri" w:hAnsi="Calibri" w:cs="Calibri"/>
                <w:color w:val="000000"/>
                <w:sz w:val="18"/>
                <w:szCs w:val="18"/>
                <w:lang w:eastAsia="en-AU"/>
              </w:rPr>
            </w:pPr>
            <w:r w:rsidRPr="00A00873">
              <w:rPr>
                <w:rFonts w:ascii="Calibri" w:hAnsi="Calibri" w:cs="Calibri"/>
                <w:color w:val="000000"/>
                <w:sz w:val="18"/>
                <w:szCs w:val="18"/>
                <w:lang w:eastAsia="en-AU"/>
              </w:rPr>
              <w:t>Clinical</w:t>
            </w:r>
          </w:p>
        </w:tc>
        <w:tc>
          <w:tcPr>
            <w:tcW w:w="673" w:type="pct"/>
            <w:tcBorders>
              <w:top w:val="nil"/>
              <w:left w:val="nil"/>
              <w:bottom w:val="nil"/>
              <w:right w:val="nil"/>
            </w:tcBorders>
            <w:vAlign w:val="center"/>
          </w:tcPr>
          <w:p w14:paraId="5557533F"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$14,582</w:t>
            </w:r>
          </w:p>
        </w:tc>
        <w:tc>
          <w:tcPr>
            <w:tcW w:w="673" w:type="pct"/>
            <w:tcBorders>
              <w:top w:val="nil"/>
              <w:left w:val="nil"/>
              <w:bottom w:val="nil"/>
              <w:right w:val="nil"/>
            </w:tcBorders>
            <w:vAlign w:val="center"/>
          </w:tcPr>
          <w:p w14:paraId="12216AB0"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$62,290</w:t>
            </w:r>
          </w:p>
        </w:tc>
        <w:tc>
          <w:tcPr>
            <w:tcW w:w="673" w:type="pct"/>
            <w:tcBorders>
              <w:top w:val="nil"/>
              <w:left w:val="nil"/>
              <w:bottom w:val="nil"/>
              <w:right w:val="nil"/>
            </w:tcBorders>
            <w:vAlign w:val="center"/>
          </w:tcPr>
          <w:p w14:paraId="27068A67"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$22,459</w:t>
            </w:r>
          </w:p>
        </w:tc>
        <w:tc>
          <w:tcPr>
            <w:tcW w:w="673" w:type="pct"/>
            <w:tcBorders>
              <w:top w:val="nil"/>
              <w:left w:val="nil"/>
              <w:bottom w:val="nil"/>
              <w:right w:val="single" w:sz="4" w:space="0" w:color="auto"/>
            </w:tcBorders>
            <w:noWrap/>
            <w:vAlign w:val="center"/>
            <w:hideMark/>
          </w:tcPr>
          <w:p w14:paraId="40F84831"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$89,052</w:t>
            </w:r>
          </w:p>
        </w:tc>
      </w:tr>
      <w:tr w:rsidR="00A00873" w:rsidRPr="00A00873" w14:paraId="51C237CF" w14:textId="77777777" w:rsidTr="00FA56CD">
        <w:trPr>
          <w:trHeight w:val="300"/>
        </w:trPr>
        <w:tc>
          <w:tcPr>
            <w:tcW w:w="2310" w:type="pct"/>
            <w:tcBorders>
              <w:top w:val="nil"/>
              <w:left w:val="single" w:sz="4" w:space="0" w:color="auto"/>
              <w:bottom w:val="nil"/>
              <w:right w:val="nil"/>
            </w:tcBorders>
            <w:noWrap/>
            <w:vAlign w:val="center"/>
            <w:hideMark/>
          </w:tcPr>
          <w:p w14:paraId="7794E8DC" w14:textId="77777777" w:rsidR="00A00873" w:rsidRPr="00A00873" w:rsidRDefault="00A00873" w:rsidP="00A00873">
            <w:pPr>
              <w:ind w:left="170"/>
              <w:rPr>
                <w:rFonts w:ascii="Calibri" w:hAnsi="Calibri" w:cs="Calibri"/>
                <w:color w:val="000000"/>
                <w:sz w:val="18"/>
                <w:szCs w:val="18"/>
                <w:lang w:eastAsia="en-AU"/>
              </w:rPr>
            </w:pPr>
            <w:r w:rsidRPr="00A00873">
              <w:rPr>
                <w:rFonts w:ascii="Calibri" w:hAnsi="Calibri" w:cs="Calibri"/>
                <w:color w:val="000000"/>
                <w:sz w:val="18"/>
                <w:szCs w:val="18"/>
                <w:lang w:eastAsia="en-AU"/>
              </w:rPr>
              <w:t>QA/evaluation</w:t>
            </w:r>
          </w:p>
        </w:tc>
        <w:tc>
          <w:tcPr>
            <w:tcW w:w="673" w:type="pct"/>
            <w:tcBorders>
              <w:top w:val="nil"/>
              <w:left w:val="nil"/>
              <w:bottom w:val="nil"/>
              <w:right w:val="nil"/>
            </w:tcBorders>
            <w:vAlign w:val="center"/>
          </w:tcPr>
          <w:p w14:paraId="26B644FF"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$12,460</w:t>
            </w:r>
          </w:p>
        </w:tc>
        <w:tc>
          <w:tcPr>
            <w:tcW w:w="673" w:type="pct"/>
            <w:tcBorders>
              <w:top w:val="nil"/>
              <w:left w:val="nil"/>
              <w:bottom w:val="nil"/>
              <w:right w:val="nil"/>
            </w:tcBorders>
            <w:vAlign w:val="center"/>
          </w:tcPr>
          <w:p w14:paraId="3981B4E4"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$53,227</w:t>
            </w:r>
          </w:p>
        </w:tc>
        <w:tc>
          <w:tcPr>
            <w:tcW w:w="673" w:type="pct"/>
            <w:tcBorders>
              <w:top w:val="nil"/>
              <w:left w:val="nil"/>
              <w:bottom w:val="nil"/>
              <w:right w:val="nil"/>
            </w:tcBorders>
            <w:vAlign w:val="center"/>
          </w:tcPr>
          <w:p w14:paraId="400568E4"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$19,191</w:t>
            </w:r>
          </w:p>
        </w:tc>
        <w:tc>
          <w:tcPr>
            <w:tcW w:w="673" w:type="pct"/>
            <w:tcBorders>
              <w:top w:val="nil"/>
              <w:left w:val="nil"/>
              <w:bottom w:val="nil"/>
              <w:right w:val="single" w:sz="4" w:space="0" w:color="auto"/>
            </w:tcBorders>
            <w:noWrap/>
            <w:vAlign w:val="center"/>
            <w:hideMark/>
          </w:tcPr>
          <w:p w14:paraId="2A95D968"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$84,878</w:t>
            </w:r>
          </w:p>
        </w:tc>
      </w:tr>
      <w:tr w:rsidR="00A00873" w:rsidRPr="00A00873" w14:paraId="234B915D" w14:textId="77777777" w:rsidTr="00FA56CD">
        <w:trPr>
          <w:trHeight w:val="300"/>
        </w:trPr>
        <w:tc>
          <w:tcPr>
            <w:tcW w:w="2310" w:type="pct"/>
            <w:tcBorders>
              <w:top w:val="nil"/>
              <w:left w:val="single" w:sz="4" w:space="0" w:color="auto"/>
              <w:bottom w:val="nil"/>
              <w:right w:val="nil"/>
            </w:tcBorders>
            <w:noWrap/>
            <w:vAlign w:val="center"/>
            <w:hideMark/>
          </w:tcPr>
          <w:p w14:paraId="22E3CF8D" w14:textId="77777777" w:rsidR="00A00873" w:rsidRPr="00A00873" w:rsidRDefault="00A00873" w:rsidP="00A00873">
            <w:pPr>
              <w:ind w:left="170"/>
              <w:rPr>
                <w:rFonts w:ascii="Calibri" w:hAnsi="Calibri" w:cs="Calibri"/>
                <w:color w:val="000000"/>
                <w:sz w:val="18"/>
                <w:szCs w:val="18"/>
                <w:lang w:eastAsia="en-AU"/>
              </w:rPr>
            </w:pPr>
            <w:r w:rsidRPr="00A00873">
              <w:rPr>
                <w:rFonts w:ascii="Calibri" w:hAnsi="Calibri" w:cs="Calibri"/>
                <w:color w:val="000000"/>
                <w:sz w:val="18"/>
                <w:szCs w:val="18"/>
                <w:lang w:eastAsia="en-AU"/>
              </w:rPr>
              <w:t>Development</w:t>
            </w:r>
          </w:p>
        </w:tc>
        <w:tc>
          <w:tcPr>
            <w:tcW w:w="673" w:type="pct"/>
            <w:tcBorders>
              <w:top w:val="nil"/>
              <w:left w:val="nil"/>
              <w:bottom w:val="nil"/>
              <w:right w:val="nil"/>
            </w:tcBorders>
            <w:vAlign w:val="center"/>
          </w:tcPr>
          <w:p w14:paraId="189E156A"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$18,452</w:t>
            </w:r>
          </w:p>
        </w:tc>
        <w:tc>
          <w:tcPr>
            <w:tcW w:w="673" w:type="pct"/>
            <w:tcBorders>
              <w:top w:val="nil"/>
              <w:left w:val="nil"/>
              <w:bottom w:val="nil"/>
              <w:right w:val="nil"/>
            </w:tcBorders>
            <w:vAlign w:val="center"/>
          </w:tcPr>
          <w:p w14:paraId="03A83809"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$78,825</w:t>
            </w:r>
          </w:p>
        </w:tc>
        <w:tc>
          <w:tcPr>
            <w:tcW w:w="673" w:type="pct"/>
            <w:tcBorders>
              <w:top w:val="nil"/>
              <w:left w:val="nil"/>
              <w:bottom w:val="nil"/>
              <w:right w:val="nil"/>
            </w:tcBorders>
            <w:vAlign w:val="center"/>
          </w:tcPr>
          <w:p w14:paraId="677A7168"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$28,420</w:t>
            </w:r>
          </w:p>
        </w:tc>
        <w:tc>
          <w:tcPr>
            <w:tcW w:w="673" w:type="pct"/>
            <w:tcBorders>
              <w:top w:val="nil"/>
              <w:left w:val="nil"/>
              <w:bottom w:val="nil"/>
              <w:right w:val="single" w:sz="4" w:space="0" w:color="auto"/>
            </w:tcBorders>
            <w:noWrap/>
            <w:vAlign w:val="center"/>
            <w:hideMark/>
          </w:tcPr>
          <w:p w14:paraId="5F5D8F33"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$125,697</w:t>
            </w:r>
          </w:p>
        </w:tc>
      </w:tr>
      <w:tr w:rsidR="00A00873" w:rsidRPr="00A00873" w14:paraId="03BFFC62" w14:textId="77777777" w:rsidTr="00FA56CD">
        <w:trPr>
          <w:trHeight w:val="300"/>
        </w:trPr>
        <w:tc>
          <w:tcPr>
            <w:tcW w:w="2310" w:type="pct"/>
            <w:tcBorders>
              <w:top w:val="nil"/>
              <w:left w:val="single" w:sz="4" w:space="0" w:color="auto"/>
              <w:bottom w:val="nil"/>
              <w:right w:val="nil"/>
            </w:tcBorders>
            <w:noWrap/>
            <w:vAlign w:val="center"/>
            <w:hideMark/>
          </w:tcPr>
          <w:p w14:paraId="25145D9A" w14:textId="77777777" w:rsidR="00A00873" w:rsidRPr="00A00873" w:rsidRDefault="00A00873" w:rsidP="00A00873">
            <w:pPr>
              <w:rPr>
                <w:rFonts w:ascii="Calibri" w:hAnsi="Calibri" w:cs="Calibri"/>
                <w:color w:val="000000"/>
                <w:sz w:val="18"/>
                <w:szCs w:val="18"/>
                <w:lang w:eastAsia="en-AU"/>
              </w:rPr>
            </w:pPr>
            <w:r w:rsidRPr="00A00873">
              <w:rPr>
                <w:rFonts w:ascii="Calibri" w:hAnsi="Calibri" w:cs="Calibri"/>
                <w:color w:val="000000"/>
                <w:sz w:val="18"/>
                <w:szCs w:val="18"/>
                <w:lang w:eastAsia="en-AU"/>
              </w:rPr>
              <w:t xml:space="preserve">     Operations/management/marketing</w:t>
            </w:r>
          </w:p>
        </w:tc>
        <w:tc>
          <w:tcPr>
            <w:tcW w:w="673" w:type="pct"/>
            <w:tcBorders>
              <w:top w:val="nil"/>
              <w:left w:val="nil"/>
              <w:bottom w:val="nil"/>
              <w:right w:val="nil"/>
            </w:tcBorders>
            <w:vAlign w:val="center"/>
          </w:tcPr>
          <w:p w14:paraId="195794FF"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$36,526</w:t>
            </w:r>
          </w:p>
        </w:tc>
        <w:tc>
          <w:tcPr>
            <w:tcW w:w="673" w:type="pct"/>
            <w:tcBorders>
              <w:top w:val="nil"/>
              <w:left w:val="nil"/>
              <w:bottom w:val="nil"/>
              <w:right w:val="nil"/>
            </w:tcBorders>
            <w:vAlign w:val="center"/>
          </w:tcPr>
          <w:p w14:paraId="4FFBA904"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$156,034</w:t>
            </w:r>
          </w:p>
        </w:tc>
        <w:tc>
          <w:tcPr>
            <w:tcW w:w="673" w:type="pct"/>
            <w:tcBorders>
              <w:top w:val="nil"/>
              <w:left w:val="nil"/>
              <w:bottom w:val="nil"/>
              <w:right w:val="nil"/>
            </w:tcBorders>
            <w:vAlign w:val="center"/>
          </w:tcPr>
          <w:p w14:paraId="048FE901"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$56,258</w:t>
            </w:r>
          </w:p>
        </w:tc>
        <w:tc>
          <w:tcPr>
            <w:tcW w:w="673" w:type="pct"/>
            <w:tcBorders>
              <w:top w:val="nil"/>
              <w:left w:val="nil"/>
              <w:bottom w:val="nil"/>
              <w:right w:val="single" w:sz="4" w:space="0" w:color="auto"/>
            </w:tcBorders>
            <w:noWrap/>
            <w:vAlign w:val="center"/>
            <w:hideMark/>
          </w:tcPr>
          <w:p w14:paraId="1FEA8A15"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$254,432</w:t>
            </w:r>
          </w:p>
        </w:tc>
      </w:tr>
      <w:tr w:rsidR="00A00873" w:rsidRPr="00A00873" w14:paraId="3198E0EA" w14:textId="77777777" w:rsidTr="00FA56CD">
        <w:trPr>
          <w:trHeight w:val="300"/>
        </w:trPr>
        <w:tc>
          <w:tcPr>
            <w:tcW w:w="2310" w:type="pct"/>
            <w:tcBorders>
              <w:top w:val="nil"/>
              <w:left w:val="single" w:sz="4" w:space="0" w:color="auto"/>
              <w:bottom w:val="nil"/>
              <w:right w:val="nil"/>
            </w:tcBorders>
            <w:noWrap/>
            <w:vAlign w:val="center"/>
            <w:hideMark/>
          </w:tcPr>
          <w:p w14:paraId="7741EA47" w14:textId="77777777" w:rsidR="00A00873" w:rsidRPr="00A00873" w:rsidRDefault="00A00873" w:rsidP="00A00873">
            <w:pPr>
              <w:rPr>
                <w:rFonts w:ascii="Calibri" w:hAnsi="Calibri" w:cs="Calibri"/>
                <w:color w:val="000000"/>
                <w:sz w:val="18"/>
                <w:szCs w:val="18"/>
                <w:lang w:eastAsia="en-AU"/>
              </w:rPr>
            </w:pPr>
            <w:r w:rsidRPr="00A00873">
              <w:rPr>
                <w:rFonts w:ascii="Calibri" w:hAnsi="Calibri" w:cs="Calibri"/>
                <w:color w:val="000000"/>
                <w:sz w:val="18"/>
                <w:szCs w:val="18"/>
                <w:lang w:eastAsia="en-AU"/>
              </w:rPr>
              <w:t>AV/IT/ VR</w:t>
            </w:r>
          </w:p>
        </w:tc>
        <w:tc>
          <w:tcPr>
            <w:tcW w:w="673" w:type="pct"/>
            <w:tcBorders>
              <w:top w:val="nil"/>
              <w:left w:val="nil"/>
              <w:bottom w:val="nil"/>
              <w:right w:val="nil"/>
            </w:tcBorders>
            <w:vAlign w:val="center"/>
          </w:tcPr>
          <w:p w14:paraId="36C5AC37"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$23,182</w:t>
            </w:r>
          </w:p>
        </w:tc>
        <w:tc>
          <w:tcPr>
            <w:tcW w:w="673" w:type="pct"/>
            <w:tcBorders>
              <w:top w:val="nil"/>
              <w:left w:val="nil"/>
              <w:bottom w:val="nil"/>
              <w:right w:val="nil"/>
            </w:tcBorders>
            <w:vAlign w:val="center"/>
          </w:tcPr>
          <w:p w14:paraId="586C8EB9"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$99,030</w:t>
            </w:r>
          </w:p>
        </w:tc>
        <w:tc>
          <w:tcPr>
            <w:tcW w:w="673" w:type="pct"/>
            <w:tcBorders>
              <w:top w:val="nil"/>
              <w:left w:val="nil"/>
              <w:bottom w:val="nil"/>
              <w:right w:val="nil"/>
            </w:tcBorders>
            <w:vAlign w:val="center"/>
          </w:tcPr>
          <w:p w14:paraId="57AC39C1"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$35,705</w:t>
            </w:r>
          </w:p>
        </w:tc>
        <w:tc>
          <w:tcPr>
            <w:tcW w:w="673" w:type="pct"/>
            <w:tcBorders>
              <w:top w:val="nil"/>
              <w:left w:val="nil"/>
              <w:bottom w:val="nil"/>
              <w:right w:val="single" w:sz="4" w:space="0" w:color="auto"/>
            </w:tcBorders>
            <w:noWrap/>
            <w:vAlign w:val="center"/>
            <w:hideMark/>
          </w:tcPr>
          <w:p w14:paraId="05308632"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$157,918</w:t>
            </w:r>
          </w:p>
        </w:tc>
      </w:tr>
      <w:tr w:rsidR="00A00873" w:rsidRPr="00A00873" w14:paraId="460AE1E3" w14:textId="77777777" w:rsidTr="00FA56CD">
        <w:trPr>
          <w:trHeight w:val="300"/>
        </w:trPr>
        <w:tc>
          <w:tcPr>
            <w:tcW w:w="2310" w:type="pct"/>
            <w:tcBorders>
              <w:top w:val="nil"/>
              <w:left w:val="single" w:sz="4" w:space="0" w:color="auto"/>
              <w:bottom w:val="nil"/>
              <w:right w:val="nil"/>
            </w:tcBorders>
            <w:noWrap/>
            <w:vAlign w:val="center"/>
            <w:hideMark/>
          </w:tcPr>
          <w:p w14:paraId="50F9460D" w14:textId="77777777" w:rsidR="00A00873" w:rsidRPr="00A00873" w:rsidRDefault="00A00873" w:rsidP="00A00873">
            <w:pPr>
              <w:rPr>
                <w:rFonts w:ascii="Calibri" w:hAnsi="Calibri" w:cs="Calibri"/>
                <w:color w:val="000000"/>
                <w:sz w:val="18"/>
                <w:szCs w:val="18"/>
                <w:lang w:eastAsia="en-AU"/>
              </w:rPr>
            </w:pPr>
            <w:r w:rsidRPr="00A00873">
              <w:rPr>
                <w:rFonts w:ascii="Calibri" w:hAnsi="Calibri" w:cs="Calibri"/>
                <w:color w:val="000000"/>
                <w:sz w:val="18"/>
                <w:szCs w:val="18"/>
                <w:lang w:eastAsia="en-AU"/>
              </w:rPr>
              <w:t>Non-salary operations/management/marketing</w:t>
            </w:r>
          </w:p>
        </w:tc>
        <w:tc>
          <w:tcPr>
            <w:tcW w:w="673" w:type="pct"/>
            <w:tcBorders>
              <w:top w:val="nil"/>
              <w:left w:val="nil"/>
              <w:bottom w:val="nil"/>
              <w:right w:val="nil"/>
            </w:tcBorders>
            <w:vAlign w:val="center"/>
          </w:tcPr>
          <w:p w14:paraId="060140C9"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$4,555</w:t>
            </w:r>
          </w:p>
        </w:tc>
        <w:tc>
          <w:tcPr>
            <w:tcW w:w="673" w:type="pct"/>
            <w:tcBorders>
              <w:top w:val="nil"/>
              <w:left w:val="nil"/>
              <w:bottom w:val="nil"/>
              <w:right w:val="nil"/>
            </w:tcBorders>
            <w:vAlign w:val="center"/>
          </w:tcPr>
          <w:p w14:paraId="791F0D3F"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$19,460</w:t>
            </w:r>
          </w:p>
        </w:tc>
        <w:tc>
          <w:tcPr>
            <w:tcW w:w="673" w:type="pct"/>
            <w:tcBorders>
              <w:top w:val="nil"/>
              <w:left w:val="nil"/>
              <w:bottom w:val="nil"/>
              <w:right w:val="nil"/>
            </w:tcBorders>
            <w:vAlign w:val="center"/>
          </w:tcPr>
          <w:p w14:paraId="374C2CDD"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$7,016</w:t>
            </w:r>
          </w:p>
        </w:tc>
        <w:tc>
          <w:tcPr>
            <w:tcW w:w="673" w:type="pct"/>
            <w:tcBorders>
              <w:top w:val="nil"/>
              <w:left w:val="nil"/>
              <w:bottom w:val="nil"/>
              <w:right w:val="single" w:sz="4" w:space="0" w:color="auto"/>
            </w:tcBorders>
            <w:noWrap/>
            <w:vAlign w:val="center"/>
            <w:hideMark/>
          </w:tcPr>
          <w:p w14:paraId="0061E13F"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$31,032</w:t>
            </w:r>
          </w:p>
        </w:tc>
      </w:tr>
      <w:tr w:rsidR="00A00873" w:rsidRPr="00A00873" w14:paraId="61826241" w14:textId="77777777" w:rsidTr="00FA56CD">
        <w:trPr>
          <w:trHeight w:val="300"/>
        </w:trPr>
        <w:tc>
          <w:tcPr>
            <w:tcW w:w="2310" w:type="pct"/>
            <w:tcBorders>
              <w:top w:val="nil"/>
              <w:left w:val="single" w:sz="4" w:space="0" w:color="auto"/>
              <w:bottom w:val="nil"/>
              <w:right w:val="nil"/>
            </w:tcBorders>
            <w:noWrap/>
            <w:vAlign w:val="center"/>
            <w:hideMark/>
          </w:tcPr>
          <w:p w14:paraId="2A889D8E" w14:textId="77777777" w:rsidR="00A00873" w:rsidRPr="00A00873" w:rsidRDefault="00A00873" w:rsidP="00A00873">
            <w:pPr>
              <w:rPr>
                <w:rFonts w:ascii="Calibri" w:hAnsi="Calibri" w:cs="Calibri"/>
                <w:color w:val="000000"/>
                <w:sz w:val="18"/>
                <w:szCs w:val="18"/>
                <w:lang w:eastAsia="en-AU"/>
              </w:rPr>
            </w:pPr>
            <w:r w:rsidRPr="00A00873">
              <w:rPr>
                <w:rFonts w:ascii="Calibri" w:hAnsi="Calibri" w:cs="Calibri"/>
                <w:color w:val="000000"/>
                <w:sz w:val="18"/>
                <w:szCs w:val="18"/>
                <w:lang w:eastAsia="en-AU"/>
              </w:rPr>
              <w:t>Evaluation</w:t>
            </w:r>
          </w:p>
        </w:tc>
        <w:tc>
          <w:tcPr>
            <w:tcW w:w="673" w:type="pct"/>
            <w:tcBorders>
              <w:top w:val="nil"/>
              <w:left w:val="nil"/>
              <w:bottom w:val="nil"/>
              <w:right w:val="nil"/>
            </w:tcBorders>
            <w:vAlign w:val="center"/>
          </w:tcPr>
          <w:p w14:paraId="56111B83"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$554</w:t>
            </w:r>
          </w:p>
        </w:tc>
        <w:tc>
          <w:tcPr>
            <w:tcW w:w="673" w:type="pct"/>
            <w:tcBorders>
              <w:top w:val="nil"/>
              <w:left w:val="nil"/>
              <w:bottom w:val="nil"/>
              <w:right w:val="nil"/>
            </w:tcBorders>
            <w:vAlign w:val="center"/>
          </w:tcPr>
          <w:p w14:paraId="69596301"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$2,366</w:t>
            </w:r>
          </w:p>
        </w:tc>
        <w:tc>
          <w:tcPr>
            <w:tcW w:w="673" w:type="pct"/>
            <w:tcBorders>
              <w:top w:val="nil"/>
              <w:left w:val="nil"/>
              <w:bottom w:val="nil"/>
              <w:right w:val="nil"/>
            </w:tcBorders>
            <w:vAlign w:val="center"/>
          </w:tcPr>
          <w:p w14:paraId="25380537"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$853</w:t>
            </w:r>
          </w:p>
        </w:tc>
        <w:tc>
          <w:tcPr>
            <w:tcW w:w="673" w:type="pct"/>
            <w:tcBorders>
              <w:top w:val="nil"/>
              <w:left w:val="nil"/>
              <w:bottom w:val="nil"/>
              <w:right w:val="single" w:sz="4" w:space="0" w:color="auto"/>
            </w:tcBorders>
            <w:noWrap/>
            <w:vAlign w:val="center"/>
            <w:hideMark/>
          </w:tcPr>
          <w:p w14:paraId="712CDF60"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$3,773</w:t>
            </w:r>
          </w:p>
        </w:tc>
      </w:tr>
      <w:tr w:rsidR="00A00873" w:rsidRPr="00A00873" w14:paraId="17C0F853" w14:textId="77777777" w:rsidTr="00FA56CD">
        <w:trPr>
          <w:trHeight w:val="300"/>
        </w:trPr>
        <w:tc>
          <w:tcPr>
            <w:tcW w:w="2310" w:type="pct"/>
            <w:tcBorders>
              <w:top w:val="nil"/>
              <w:left w:val="single" w:sz="4" w:space="0" w:color="auto"/>
              <w:bottom w:val="nil"/>
              <w:right w:val="nil"/>
            </w:tcBorders>
            <w:noWrap/>
            <w:vAlign w:val="center"/>
            <w:hideMark/>
          </w:tcPr>
          <w:p w14:paraId="62004588" w14:textId="77777777" w:rsidR="00A00873" w:rsidRPr="00A00873" w:rsidRDefault="00A00873" w:rsidP="00A00873">
            <w:pPr>
              <w:rPr>
                <w:rFonts w:ascii="Calibri" w:hAnsi="Calibri" w:cs="Calibri"/>
                <w:color w:val="000000"/>
                <w:sz w:val="18"/>
                <w:szCs w:val="18"/>
                <w:lang w:eastAsia="en-AU"/>
              </w:rPr>
            </w:pPr>
            <w:r w:rsidRPr="00A00873">
              <w:rPr>
                <w:rFonts w:ascii="Calibri" w:hAnsi="Calibri" w:cs="Calibri"/>
                <w:color w:val="000000"/>
                <w:sz w:val="18"/>
                <w:szCs w:val="18"/>
                <w:lang w:eastAsia="en-AU"/>
              </w:rPr>
              <w:t>Levy</w:t>
            </w:r>
          </w:p>
        </w:tc>
        <w:tc>
          <w:tcPr>
            <w:tcW w:w="673" w:type="pct"/>
            <w:tcBorders>
              <w:top w:val="nil"/>
              <w:left w:val="nil"/>
              <w:bottom w:val="nil"/>
              <w:right w:val="nil"/>
            </w:tcBorders>
            <w:vAlign w:val="center"/>
          </w:tcPr>
          <w:p w14:paraId="3F785E27"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$25,713</w:t>
            </w:r>
          </w:p>
        </w:tc>
        <w:tc>
          <w:tcPr>
            <w:tcW w:w="673" w:type="pct"/>
            <w:tcBorders>
              <w:top w:val="nil"/>
              <w:left w:val="nil"/>
              <w:bottom w:val="nil"/>
              <w:right w:val="nil"/>
            </w:tcBorders>
            <w:vAlign w:val="center"/>
          </w:tcPr>
          <w:p w14:paraId="07C0DFA7"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$109,840</w:t>
            </w:r>
          </w:p>
        </w:tc>
        <w:tc>
          <w:tcPr>
            <w:tcW w:w="673" w:type="pct"/>
            <w:tcBorders>
              <w:top w:val="nil"/>
              <w:left w:val="nil"/>
              <w:bottom w:val="nil"/>
              <w:right w:val="nil"/>
            </w:tcBorders>
            <w:vAlign w:val="center"/>
          </w:tcPr>
          <w:p w14:paraId="0D50C936"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$39,603</w:t>
            </w:r>
          </w:p>
        </w:tc>
        <w:tc>
          <w:tcPr>
            <w:tcW w:w="673" w:type="pct"/>
            <w:tcBorders>
              <w:top w:val="nil"/>
              <w:left w:val="nil"/>
              <w:bottom w:val="nil"/>
              <w:right w:val="single" w:sz="4" w:space="0" w:color="auto"/>
            </w:tcBorders>
            <w:noWrap/>
            <w:vAlign w:val="center"/>
            <w:hideMark/>
          </w:tcPr>
          <w:p w14:paraId="6F43D14A" w14:textId="77777777" w:rsidR="00A00873" w:rsidRPr="00A00873" w:rsidRDefault="00A00873" w:rsidP="00A00873">
            <w:pPr>
              <w:jc w:val="center"/>
              <w:rPr>
                <w:rFonts w:ascii="Calibri" w:hAnsi="Calibri" w:cs="Calibri"/>
                <w:color w:val="000000"/>
                <w:sz w:val="18"/>
                <w:szCs w:val="18"/>
                <w:lang w:eastAsia="en-AU"/>
              </w:rPr>
            </w:pPr>
            <w:r w:rsidRPr="00A00873">
              <w:rPr>
                <w:rFonts w:ascii="Calibri" w:hAnsi="Calibri" w:cs="Calibri"/>
                <w:color w:val="000000"/>
                <w:sz w:val="18"/>
                <w:szCs w:val="18"/>
                <w:lang w:eastAsia="en-AU"/>
              </w:rPr>
              <w:t>$175,155</w:t>
            </w:r>
          </w:p>
        </w:tc>
      </w:tr>
      <w:tr w:rsidR="00A00873" w:rsidRPr="00A00873" w14:paraId="0D7EFBF6" w14:textId="77777777" w:rsidTr="00FA56CD">
        <w:trPr>
          <w:trHeight w:val="300"/>
        </w:trPr>
        <w:tc>
          <w:tcPr>
            <w:tcW w:w="2310" w:type="pct"/>
            <w:tcBorders>
              <w:top w:val="nil"/>
              <w:left w:val="single" w:sz="4" w:space="0" w:color="auto"/>
              <w:bottom w:val="nil"/>
              <w:right w:val="nil"/>
            </w:tcBorders>
            <w:noWrap/>
            <w:vAlign w:val="center"/>
            <w:hideMark/>
          </w:tcPr>
          <w:p w14:paraId="6103461E" w14:textId="77777777" w:rsidR="00A00873" w:rsidRPr="00A00873" w:rsidRDefault="00A00873" w:rsidP="00A00873">
            <w:pPr>
              <w:rPr>
                <w:rFonts w:ascii="Calibri" w:hAnsi="Calibri" w:cs="Calibri"/>
                <w:b/>
                <w:bCs/>
                <w:color w:val="000000"/>
                <w:sz w:val="18"/>
                <w:szCs w:val="18"/>
                <w:lang w:eastAsia="en-AU"/>
              </w:rPr>
            </w:pPr>
            <w:r w:rsidRPr="00A00873">
              <w:rPr>
                <w:rFonts w:ascii="Calibri" w:hAnsi="Calibri" w:cs="Calibri"/>
                <w:b/>
                <w:bCs/>
                <w:color w:val="000000"/>
                <w:sz w:val="18"/>
                <w:szCs w:val="18"/>
                <w:lang w:eastAsia="en-AU"/>
              </w:rPr>
              <w:t>Overall cost</w:t>
            </w:r>
          </w:p>
        </w:tc>
        <w:tc>
          <w:tcPr>
            <w:tcW w:w="673" w:type="pct"/>
            <w:tcBorders>
              <w:top w:val="nil"/>
              <w:left w:val="nil"/>
              <w:bottom w:val="nil"/>
              <w:right w:val="nil"/>
            </w:tcBorders>
            <w:vAlign w:val="center"/>
          </w:tcPr>
          <w:p w14:paraId="55A5CF0E" w14:textId="77777777" w:rsidR="00A00873" w:rsidRPr="00A00873" w:rsidRDefault="00A00873" w:rsidP="00A00873">
            <w:pPr>
              <w:jc w:val="center"/>
              <w:rPr>
                <w:rFonts w:ascii="Calibri" w:hAnsi="Calibri" w:cs="Calibri"/>
                <w:b/>
                <w:bCs/>
                <w:color w:val="000000"/>
                <w:sz w:val="18"/>
                <w:szCs w:val="18"/>
                <w:lang w:eastAsia="en-AU"/>
              </w:rPr>
            </w:pPr>
            <w:r w:rsidRPr="00A00873">
              <w:rPr>
                <w:rFonts w:ascii="Calibri" w:hAnsi="Calibri" w:cs="Calibri"/>
                <w:b/>
                <w:bCs/>
                <w:color w:val="000000"/>
                <w:sz w:val="18"/>
                <w:szCs w:val="18"/>
                <w:lang w:eastAsia="en-AU"/>
              </w:rPr>
              <w:t>$136,059</w:t>
            </w:r>
          </w:p>
        </w:tc>
        <w:tc>
          <w:tcPr>
            <w:tcW w:w="673" w:type="pct"/>
            <w:tcBorders>
              <w:top w:val="nil"/>
              <w:left w:val="nil"/>
              <w:bottom w:val="nil"/>
              <w:right w:val="nil"/>
            </w:tcBorders>
            <w:vAlign w:val="center"/>
          </w:tcPr>
          <w:p w14:paraId="550523FA" w14:textId="77777777" w:rsidR="00A00873" w:rsidRPr="00A00873" w:rsidRDefault="00A00873" w:rsidP="00A00873">
            <w:pPr>
              <w:jc w:val="center"/>
              <w:rPr>
                <w:rFonts w:ascii="Calibri" w:hAnsi="Calibri" w:cs="Calibri"/>
                <w:b/>
                <w:bCs/>
                <w:color w:val="000000"/>
                <w:sz w:val="18"/>
                <w:szCs w:val="18"/>
                <w:lang w:eastAsia="en-AU"/>
              </w:rPr>
            </w:pPr>
            <w:r w:rsidRPr="00A00873">
              <w:rPr>
                <w:rFonts w:ascii="Calibri" w:hAnsi="Calibri" w:cs="Calibri"/>
                <w:b/>
                <w:bCs/>
                <w:color w:val="000000"/>
                <w:sz w:val="18"/>
                <w:szCs w:val="18"/>
                <w:lang w:eastAsia="en-AU"/>
              </w:rPr>
              <w:t>$581,066</w:t>
            </w:r>
          </w:p>
        </w:tc>
        <w:tc>
          <w:tcPr>
            <w:tcW w:w="673" w:type="pct"/>
            <w:tcBorders>
              <w:top w:val="nil"/>
              <w:left w:val="nil"/>
              <w:bottom w:val="nil"/>
              <w:right w:val="nil"/>
            </w:tcBorders>
            <w:vAlign w:val="center"/>
          </w:tcPr>
          <w:p w14:paraId="41420A22" w14:textId="77777777" w:rsidR="00A00873" w:rsidRPr="00A00873" w:rsidRDefault="00A00873" w:rsidP="00A00873">
            <w:pPr>
              <w:jc w:val="center"/>
              <w:rPr>
                <w:rFonts w:ascii="Calibri" w:hAnsi="Calibri" w:cs="Calibri"/>
                <w:b/>
                <w:bCs/>
                <w:color w:val="000000"/>
                <w:sz w:val="18"/>
                <w:szCs w:val="18"/>
                <w:lang w:eastAsia="en-AU"/>
              </w:rPr>
            </w:pPr>
            <w:r w:rsidRPr="00A00873">
              <w:rPr>
                <w:rFonts w:ascii="Calibri" w:hAnsi="Calibri" w:cs="Calibri"/>
                <w:b/>
                <w:bCs/>
                <w:color w:val="000000"/>
                <w:sz w:val="18"/>
                <w:szCs w:val="18"/>
                <w:lang w:eastAsia="en-AU"/>
              </w:rPr>
              <w:t>$209,478</w:t>
            </w:r>
          </w:p>
        </w:tc>
        <w:tc>
          <w:tcPr>
            <w:tcW w:w="673" w:type="pct"/>
            <w:tcBorders>
              <w:top w:val="nil"/>
              <w:left w:val="nil"/>
              <w:bottom w:val="nil"/>
              <w:right w:val="single" w:sz="4" w:space="0" w:color="auto"/>
            </w:tcBorders>
            <w:noWrap/>
            <w:vAlign w:val="center"/>
            <w:hideMark/>
          </w:tcPr>
          <w:p w14:paraId="1D8B8BCD" w14:textId="77777777" w:rsidR="00A00873" w:rsidRPr="00A00873" w:rsidRDefault="00A00873" w:rsidP="00A00873">
            <w:pPr>
              <w:jc w:val="center"/>
              <w:rPr>
                <w:rFonts w:ascii="Calibri" w:hAnsi="Calibri" w:cs="Calibri"/>
                <w:b/>
                <w:bCs/>
                <w:color w:val="000000"/>
                <w:sz w:val="18"/>
                <w:szCs w:val="18"/>
                <w:lang w:eastAsia="en-AU"/>
              </w:rPr>
            </w:pPr>
            <w:r w:rsidRPr="00A00873">
              <w:rPr>
                <w:rFonts w:ascii="Calibri" w:hAnsi="Calibri" w:cs="Calibri"/>
                <w:b/>
                <w:bCs/>
                <w:color w:val="000000"/>
                <w:sz w:val="18"/>
                <w:szCs w:val="18"/>
                <w:lang w:eastAsia="en-AU"/>
              </w:rPr>
              <w:t>$926,602.00</w:t>
            </w:r>
          </w:p>
        </w:tc>
      </w:tr>
      <w:tr w:rsidR="00A00873" w:rsidRPr="00A00873" w14:paraId="620936ED" w14:textId="77777777" w:rsidTr="00FA56CD">
        <w:trPr>
          <w:trHeight w:val="300"/>
        </w:trPr>
        <w:tc>
          <w:tcPr>
            <w:tcW w:w="2310" w:type="pct"/>
            <w:tcBorders>
              <w:top w:val="nil"/>
              <w:left w:val="single" w:sz="4" w:space="0" w:color="auto"/>
              <w:bottom w:val="single" w:sz="4" w:space="0" w:color="auto"/>
              <w:right w:val="nil"/>
            </w:tcBorders>
            <w:noWrap/>
            <w:vAlign w:val="center"/>
          </w:tcPr>
          <w:p w14:paraId="5B94C097" w14:textId="77777777" w:rsidR="00A00873" w:rsidRPr="00A00873" w:rsidRDefault="00A00873" w:rsidP="00A00873">
            <w:pPr>
              <w:rPr>
                <w:rFonts w:ascii="Calibri" w:hAnsi="Calibri" w:cs="Calibri"/>
                <w:b/>
                <w:bCs/>
                <w:color w:val="000000"/>
                <w:sz w:val="18"/>
                <w:szCs w:val="18"/>
                <w:lang w:eastAsia="en-AU"/>
              </w:rPr>
            </w:pPr>
            <w:r w:rsidRPr="00A00873">
              <w:rPr>
                <w:rFonts w:ascii="Calibri" w:hAnsi="Calibri"/>
                <w:b/>
                <w:bCs/>
                <w:color w:val="000000"/>
                <w:sz w:val="18"/>
                <w:szCs w:val="18"/>
                <w:lang w:eastAsia="en-AU"/>
              </w:rPr>
              <w:t>Annual cost per consumer</w:t>
            </w:r>
          </w:p>
        </w:tc>
        <w:tc>
          <w:tcPr>
            <w:tcW w:w="673" w:type="pct"/>
            <w:tcBorders>
              <w:top w:val="nil"/>
              <w:left w:val="nil"/>
              <w:bottom w:val="single" w:sz="4" w:space="0" w:color="auto"/>
              <w:right w:val="nil"/>
            </w:tcBorders>
            <w:vAlign w:val="center"/>
          </w:tcPr>
          <w:p w14:paraId="74AD51D8" w14:textId="77777777" w:rsidR="00A00873" w:rsidRPr="00A00873" w:rsidRDefault="00A00873" w:rsidP="00A00873">
            <w:pPr>
              <w:jc w:val="center"/>
              <w:rPr>
                <w:rFonts w:ascii="Calibri" w:hAnsi="Calibri" w:cs="Calibri"/>
                <w:b/>
                <w:bCs/>
                <w:color w:val="000000"/>
                <w:sz w:val="18"/>
                <w:szCs w:val="18"/>
                <w:lang w:eastAsia="en-AU"/>
              </w:rPr>
            </w:pPr>
            <w:r w:rsidRPr="00A00873">
              <w:rPr>
                <w:rFonts w:ascii="Calibri" w:hAnsi="Calibri" w:cs="Calibri"/>
                <w:b/>
                <w:bCs/>
                <w:color w:val="000000"/>
                <w:sz w:val="18"/>
                <w:szCs w:val="18"/>
                <w:lang w:eastAsia="en-AU"/>
              </w:rPr>
              <w:t>$6.85</w:t>
            </w:r>
          </w:p>
        </w:tc>
        <w:tc>
          <w:tcPr>
            <w:tcW w:w="673" w:type="pct"/>
            <w:tcBorders>
              <w:top w:val="nil"/>
              <w:left w:val="nil"/>
              <w:bottom w:val="single" w:sz="4" w:space="0" w:color="auto"/>
              <w:right w:val="nil"/>
            </w:tcBorders>
            <w:vAlign w:val="center"/>
          </w:tcPr>
          <w:p w14:paraId="3829C860" w14:textId="77777777" w:rsidR="00A00873" w:rsidRPr="00A00873" w:rsidRDefault="00A00873" w:rsidP="00A00873">
            <w:pPr>
              <w:jc w:val="center"/>
              <w:rPr>
                <w:rFonts w:ascii="Calibri" w:hAnsi="Calibri" w:cs="Calibri"/>
                <w:b/>
                <w:bCs/>
                <w:color w:val="000000"/>
                <w:sz w:val="18"/>
                <w:szCs w:val="18"/>
                <w:lang w:eastAsia="en-AU"/>
              </w:rPr>
            </w:pPr>
            <w:r w:rsidRPr="00A00873">
              <w:rPr>
                <w:rFonts w:ascii="Calibri" w:hAnsi="Calibri" w:cs="Calibri"/>
                <w:b/>
                <w:bCs/>
                <w:color w:val="000000"/>
                <w:sz w:val="18"/>
                <w:szCs w:val="18"/>
                <w:lang w:eastAsia="en-AU"/>
              </w:rPr>
              <w:t>$79.01</w:t>
            </w:r>
          </w:p>
        </w:tc>
        <w:tc>
          <w:tcPr>
            <w:tcW w:w="673" w:type="pct"/>
            <w:tcBorders>
              <w:top w:val="nil"/>
              <w:left w:val="nil"/>
              <w:bottom w:val="single" w:sz="4" w:space="0" w:color="auto"/>
              <w:right w:val="nil"/>
            </w:tcBorders>
            <w:vAlign w:val="center"/>
          </w:tcPr>
          <w:p w14:paraId="35F8DCEC" w14:textId="77777777" w:rsidR="00A00873" w:rsidRPr="00A00873" w:rsidRDefault="00A00873" w:rsidP="00A00873">
            <w:pPr>
              <w:jc w:val="center"/>
              <w:rPr>
                <w:rFonts w:ascii="Calibri" w:hAnsi="Calibri" w:cs="Calibri"/>
                <w:b/>
                <w:bCs/>
                <w:color w:val="000000"/>
                <w:sz w:val="18"/>
                <w:szCs w:val="18"/>
                <w:lang w:eastAsia="en-AU"/>
              </w:rPr>
            </w:pPr>
            <w:r w:rsidRPr="00A00873">
              <w:rPr>
                <w:rFonts w:ascii="Calibri" w:hAnsi="Calibri" w:cs="Calibri"/>
                <w:b/>
                <w:bCs/>
                <w:color w:val="000000"/>
                <w:sz w:val="18"/>
                <w:szCs w:val="18"/>
                <w:lang w:eastAsia="en-AU"/>
              </w:rPr>
              <w:t>$362.42</w:t>
            </w:r>
          </w:p>
        </w:tc>
        <w:tc>
          <w:tcPr>
            <w:tcW w:w="673" w:type="pct"/>
            <w:tcBorders>
              <w:top w:val="nil"/>
              <w:left w:val="nil"/>
              <w:bottom w:val="single" w:sz="4" w:space="0" w:color="auto"/>
              <w:right w:val="single" w:sz="4" w:space="0" w:color="auto"/>
            </w:tcBorders>
            <w:noWrap/>
            <w:vAlign w:val="center"/>
          </w:tcPr>
          <w:p w14:paraId="27401F9B" w14:textId="77777777" w:rsidR="00A00873" w:rsidRPr="00A00873" w:rsidRDefault="00A00873" w:rsidP="00A00873">
            <w:pPr>
              <w:jc w:val="center"/>
              <w:rPr>
                <w:rFonts w:ascii="Calibri" w:hAnsi="Calibri" w:cs="Calibri"/>
                <w:b/>
                <w:bCs/>
                <w:color w:val="000000"/>
                <w:sz w:val="18"/>
                <w:szCs w:val="18"/>
                <w:lang w:eastAsia="en-AU"/>
              </w:rPr>
            </w:pPr>
          </w:p>
        </w:tc>
      </w:tr>
    </w:tbl>
    <w:p w14:paraId="168D1617" w14:textId="77777777" w:rsidR="00A00873" w:rsidRPr="00A00873" w:rsidRDefault="00A00873" w:rsidP="00A00873">
      <w:pPr>
        <w:rPr>
          <w:rFonts w:asciiTheme="minorHAnsi" w:hAnsiTheme="minorHAnsi" w:cstheme="minorHAnsi"/>
          <w:iCs/>
          <w:sz w:val="16"/>
          <w:szCs w:val="16"/>
        </w:rPr>
      </w:pPr>
      <w:r w:rsidRPr="00A00873">
        <w:rPr>
          <w:rFonts w:asciiTheme="minorHAnsi" w:hAnsiTheme="minorHAnsi" w:cstheme="minorHAnsi"/>
          <w:iCs/>
          <w:sz w:val="16"/>
          <w:szCs w:val="16"/>
        </w:rPr>
        <w:t>AV, audio visual; IT, information technology; QA, quality assurance; VR, virtual reality.</w:t>
      </w:r>
    </w:p>
    <w:p w14:paraId="3D952ABA" w14:textId="77777777" w:rsidR="00A00873" w:rsidRPr="00A00873" w:rsidRDefault="00A00873" w:rsidP="001C12ED">
      <w:pPr>
        <w:spacing w:after="240"/>
        <w:rPr>
          <w:rFonts w:ascii="Calibri" w:hAnsi="Calibri" w:cs="Arial"/>
          <w:color w:val="000000" w:themeColor="text1"/>
          <w:sz w:val="16"/>
          <w:szCs w:val="16"/>
          <w:lang w:eastAsia="zh-CN"/>
        </w:rPr>
      </w:pPr>
      <w:proofErr w:type="spellStart"/>
      <w:r w:rsidRPr="00A00873">
        <w:rPr>
          <w:rFonts w:ascii="Calibri" w:hAnsi="Calibri" w:cs="Arial"/>
          <w:color w:val="000000" w:themeColor="text1"/>
          <w:sz w:val="16"/>
          <w:szCs w:val="16"/>
          <w:vertAlign w:val="superscript"/>
          <w:lang w:eastAsia="zh-CN"/>
        </w:rPr>
        <w:t>a</w:t>
      </w:r>
      <w:r w:rsidRPr="00A00873">
        <w:rPr>
          <w:rFonts w:ascii="Calibri" w:hAnsi="Calibri" w:cs="Arial"/>
          <w:color w:val="000000" w:themeColor="text1"/>
          <w:sz w:val="16"/>
          <w:szCs w:val="16"/>
          <w:lang w:eastAsia="zh-CN"/>
        </w:rPr>
        <w:t>Includes</w:t>
      </w:r>
      <w:proofErr w:type="spellEnd"/>
      <w:r w:rsidRPr="00A00873">
        <w:rPr>
          <w:rFonts w:ascii="Calibri" w:hAnsi="Calibri" w:cs="Arial"/>
          <w:color w:val="000000" w:themeColor="text1"/>
          <w:sz w:val="16"/>
          <w:szCs w:val="16"/>
          <w:lang w:eastAsia="zh-CN"/>
        </w:rPr>
        <w:t xml:space="preserve"> 34.54% on costs for contracted staff and 17.47% for sessional staff charged by Swinburne University. Most staff are on contracted and few are sessional salary.</w:t>
      </w:r>
    </w:p>
    <w:p w14:paraId="4211296A" w14:textId="4893E651" w:rsidR="00A00873" w:rsidRPr="00A00873" w:rsidRDefault="00A00873" w:rsidP="001C12ED">
      <w:pPr>
        <w:spacing w:after="240"/>
        <w:rPr>
          <w:rFonts w:ascii="Calibri" w:hAnsi="Calibri" w:cs="Arial"/>
          <w:color w:val="000000" w:themeColor="text1"/>
          <w:sz w:val="21"/>
          <w:szCs w:val="21"/>
          <w:lang w:eastAsia="zh-CN"/>
        </w:rPr>
      </w:pPr>
      <w:r w:rsidRPr="00A00873">
        <w:rPr>
          <w:rFonts w:ascii="Calibri" w:hAnsi="Calibri" w:cs="Arial"/>
          <w:color w:val="000000" w:themeColor="text1"/>
          <w:sz w:val="21"/>
          <w:szCs w:val="21"/>
          <w:lang w:eastAsia="zh-CN"/>
        </w:rPr>
        <w:t xml:space="preserve">Of total costs, salary was the largest component (60% of total costs), followed by an infrastructure levy charged by Swinburne University (20%) and audio visual, information technology and virtual reality expenses (17%). The development activities (under the salary component) include personnel that contributed to virtual reality (VR), </w:t>
      </w:r>
      <w:r w:rsidRPr="00A00873">
        <w:rPr>
          <w:rFonts w:ascii="Calibri" w:hAnsi="Calibri" w:cs="Arial"/>
          <w:color w:val="000000" w:themeColor="text1"/>
          <w:sz w:val="21"/>
          <w:szCs w:val="21"/>
          <w:lang w:eastAsia="zh-CN"/>
        </w:rPr>
        <w:lastRenderedPageBreak/>
        <w:t xml:space="preserve">website functionality, website upgrade, multimedia creation and new programs. The levy, set at 20% of the total cost of Mental Health </w:t>
      </w:r>
      <w:proofErr w:type="spellStart"/>
      <w:r w:rsidRPr="00A00873">
        <w:rPr>
          <w:rFonts w:ascii="Calibri" w:hAnsi="Calibri" w:cs="Arial"/>
          <w:color w:val="000000" w:themeColor="text1"/>
          <w:sz w:val="21"/>
          <w:szCs w:val="21"/>
          <w:lang w:eastAsia="zh-CN"/>
        </w:rPr>
        <w:t>Online’s</w:t>
      </w:r>
      <w:proofErr w:type="spellEnd"/>
      <w:r w:rsidRPr="00A00873">
        <w:rPr>
          <w:rFonts w:ascii="Calibri" w:hAnsi="Calibri" w:cs="Arial"/>
          <w:color w:val="000000" w:themeColor="text1"/>
          <w:sz w:val="21"/>
          <w:szCs w:val="21"/>
          <w:lang w:eastAsia="zh-CN"/>
        </w:rPr>
        <w:t xml:space="preserve"> activities, includes the costs of administrative, financial management and other corporate services; buildings and physical infrastructure; equipment not subject to usage charges; insurance; libraries; computer services; telecommunications; electricity and water; cleaning services; and costs associated with managing the relationship with any other parties involved with Mental Health Online. The cost per consumer was highest for therapist-supported treatment ($362.42), followed by self-directed treatment ($79.01) and assessment only ($6.85).</w:t>
      </w:r>
    </w:p>
    <w:p w14:paraId="276EA88B" w14:textId="760F9263" w:rsidR="00A00873" w:rsidRPr="00A00873" w:rsidRDefault="2C1D541E" w:rsidP="009B5C6C">
      <w:pPr>
        <w:keepLines/>
        <w:spacing w:after="240"/>
        <w:outlineLvl w:val="2"/>
        <w:rPr>
          <w:rFonts w:asciiTheme="minorHAnsi" w:eastAsiaTheme="majorEastAsia" w:hAnsiTheme="minorHAnsi" w:cstheme="majorBidi"/>
          <w:color w:val="000000" w:themeColor="text1"/>
          <w:sz w:val="21"/>
          <w:szCs w:val="21"/>
          <w:lang w:val="en-US" w:eastAsia="en-US"/>
        </w:rPr>
      </w:pPr>
      <w:r w:rsidRPr="4104A11D">
        <w:rPr>
          <w:rFonts w:asciiTheme="minorHAnsi" w:eastAsiaTheme="majorEastAsia" w:hAnsiTheme="minorHAnsi" w:cstheme="majorBidi"/>
          <w:color w:val="000000" w:themeColor="text1"/>
          <w:sz w:val="21"/>
          <w:szCs w:val="21"/>
          <w:lang w:val="en-US" w:eastAsia="en-US"/>
        </w:rPr>
        <w:t xml:space="preserve">Table </w:t>
      </w:r>
      <w:r w:rsidR="00D90294">
        <w:rPr>
          <w:rFonts w:asciiTheme="minorHAnsi" w:eastAsiaTheme="majorEastAsia" w:hAnsiTheme="minorHAnsi" w:cstheme="majorBidi"/>
          <w:color w:val="000000" w:themeColor="text1"/>
          <w:sz w:val="21"/>
          <w:szCs w:val="21"/>
          <w:lang w:val="en-US" w:eastAsia="en-US"/>
        </w:rPr>
        <w:t>53</w:t>
      </w:r>
      <w:r w:rsidRPr="4104A11D">
        <w:rPr>
          <w:rFonts w:asciiTheme="minorHAnsi" w:eastAsiaTheme="majorEastAsia" w:hAnsiTheme="minorHAnsi" w:cstheme="majorBidi"/>
          <w:color w:val="000000" w:themeColor="text1"/>
          <w:sz w:val="21"/>
          <w:szCs w:val="21"/>
          <w:lang w:val="en-US" w:eastAsia="en-US"/>
        </w:rPr>
        <w:t xml:space="preserve"> shows the opportunity cost associated with the psychology students’ time providing the therapist-assisted services to consumers. It is important to note that this cost is not part of Mental Health </w:t>
      </w:r>
      <w:proofErr w:type="spellStart"/>
      <w:r w:rsidRPr="4104A11D">
        <w:rPr>
          <w:rFonts w:asciiTheme="minorHAnsi" w:eastAsiaTheme="majorEastAsia" w:hAnsiTheme="minorHAnsi" w:cstheme="majorBidi"/>
          <w:color w:val="000000" w:themeColor="text1"/>
          <w:sz w:val="21"/>
          <w:szCs w:val="21"/>
          <w:lang w:val="en-US" w:eastAsia="en-US"/>
        </w:rPr>
        <w:t>Online’s</w:t>
      </w:r>
      <w:proofErr w:type="spellEnd"/>
      <w:r w:rsidRPr="4104A11D">
        <w:rPr>
          <w:rFonts w:asciiTheme="minorHAnsi" w:eastAsiaTheme="majorEastAsia" w:hAnsiTheme="minorHAnsi" w:cstheme="majorBidi"/>
          <w:color w:val="000000" w:themeColor="text1"/>
          <w:sz w:val="21"/>
          <w:szCs w:val="21"/>
          <w:lang w:val="en-US" w:eastAsia="en-US"/>
        </w:rPr>
        <w:t xml:space="preserve"> total expenditure and is mainly presented to demonstrate the potential costs that can be incurred if these students were paid for their services or other professionals, apart from students, had to provide this service. The hourly wage rate for a counsellor was used to convert the students’ time into dollar value</w:t>
      </w:r>
      <w:r w:rsidR="41128DA6" w:rsidRPr="4104A11D">
        <w:rPr>
          <w:rFonts w:asciiTheme="minorHAnsi" w:eastAsiaTheme="majorEastAsia" w:hAnsiTheme="minorHAnsi" w:cstheme="majorBidi"/>
          <w:color w:val="000000" w:themeColor="text1"/>
          <w:sz w:val="21"/>
          <w:szCs w:val="21"/>
          <w:lang w:val="en-US" w:eastAsia="en-US"/>
        </w:rPr>
        <w:t>.</w:t>
      </w:r>
      <w:r w:rsidR="00A00873" w:rsidRPr="4104A11D">
        <w:rPr>
          <w:rFonts w:asciiTheme="minorHAnsi" w:eastAsiaTheme="majorEastAsia" w:hAnsiTheme="minorHAnsi" w:cstheme="majorBidi"/>
          <w:color w:val="000000" w:themeColor="text1"/>
          <w:sz w:val="21"/>
          <w:szCs w:val="21"/>
          <w:lang w:val="en-US" w:eastAsia="en-US"/>
        </w:rPr>
        <w:fldChar w:fldCharType="begin"/>
      </w:r>
      <w:r w:rsidR="004469A2">
        <w:rPr>
          <w:rFonts w:asciiTheme="minorHAnsi" w:eastAsiaTheme="majorEastAsia" w:hAnsiTheme="minorHAnsi" w:cstheme="majorBidi"/>
          <w:color w:val="000000" w:themeColor="text1"/>
          <w:sz w:val="21"/>
          <w:szCs w:val="21"/>
          <w:lang w:val="en-US" w:eastAsia="en-US"/>
        </w:rPr>
        <w:instrText xml:space="preserve"> ADDIN EN.CITE &lt;EndNote&gt;&lt;Cite&gt;&lt;Author&gt;Australian Bureau of Statistics&lt;/Author&gt;&lt;Year&gt;2019&lt;/Year&gt;&lt;RecNum&gt;170&lt;/RecNum&gt;&lt;DisplayText&gt;&lt;style face="superscript"&gt;82&lt;/style&gt;&lt;/DisplayText&gt;&lt;record&gt;&lt;rec-number&gt;170&lt;/rec-number&gt;&lt;foreign-keys&gt;&lt;key app="EN" db-id="dawtr0zrkrzfa5edzzlpe2we0xa00t90vvr2" timestamp="1654857977"&gt;170&lt;/key&gt;&lt;/foreign-keys&gt;&lt;ref-type name="Web Page"&gt;12&lt;/ref-type&gt;&lt;contributors&gt;&lt;authors&gt;&lt;author&gt;Australian Bureau of Statistics,&lt;/author&gt;&lt;/authors&gt;&lt;/contributors&gt;&lt;titles&gt;&lt;title&gt;Employee Earnings and Hours, Australia&lt;/title&gt;&lt;/titles&gt;&lt;volume&gt;2022&lt;/volume&gt;&lt;number&gt;17 May 2022&lt;/number&gt;&lt;dates&gt;&lt;year&gt;2019&lt;/year&gt;&lt;/dates&gt;&lt;publisher&gt;Australian Bureau of Statistics&lt;/publisher&gt;&lt;urls&gt;&lt;related-urls&gt;&lt;url&gt;https://www.abs.gov.au/statistics/labour/earnings-and-working-conditions/employee-earnings-and-hours-australia/may-2018&lt;/url&gt;&lt;/related-urls&gt;&lt;/urls&gt;&lt;/record&gt;&lt;/Cite&gt;&lt;/EndNote&gt;</w:instrText>
      </w:r>
      <w:r w:rsidR="00A00873" w:rsidRPr="4104A11D">
        <w:rPr>
          <w:rFonts w:asciiTheme="minorHAnsi" w:eastAsiaTheme="majorEastAsia" w:hAnsiTheme="minorHAnsi" w:cstheme="majorBidi"/>
          <w:color w:val="000000" w:themeColor="text1"/>
          <w:sz w:val="21"/>
          <w:szCs w:val="21"/>
          <w:lang w:val="en-US" w:eastAsia="en-US"/>
        </w:rPr>
        <w:fldChar w:fldCharType="separate"/>
      </w:r>
      <w:r w:rsidR="004469A2" w:rsidRPr="004469A2">
        <w:rPr>
          <w:rFonts w:asciiTheme="minorHAnsi" w:eastAsiaTheme="majorEastAsia" w:hAnsiTheme="minorHAnsi" w:cstheme="majorBidi"/>
          <w:noProof/>
          <w:color w:val="000000" w:themeColor="text1"/>
          <w:sz w:val="21"/>
          <w:szCs w:val="21"/>
          <w:vertAlign w:val="superscript"/>
          <w:lang w:val="en-US" w:eastAsia="en-US"/>
        </w:rPr>
        <w:t>82</w:t>
      </w:r>
      <w:r w:rsidR="00A00873" w:rsidRPr="4104A11D">
        <w:rPr>
          <w:rFonts w:asciiTheme="minorHAnsi" w:eastAsiaTheme="majorEastAsia" w:hAnsiTheme="minorHAnsi" w:cstheme="majorBidi"/>
          <w:color w:val="000000" w:themeColor="text1"/>
          <w:sz w:val="21"/>
          <w:szCs w:val="21"/>
          <w:lang w:val="en-US" w:eastAsia="en-US"/>
        </w:rPr>
        <w:fldChar w:fldCharType="end"/>
      </w:r>
    </w:p>
    <w:p w14:paraId="5B449896" w14:textId="1658E121" w:rsidR="00A00873" w:rsidRPr="00A00873" w:rsidRDefault="2C1D541E" w:rsidP="009B5C6C">
      <w:pPr>
        <w:keepLines/>
        <w:spacing w:after="240"/>
        <w:outlineLvl w:val="2"/>
        <w:rPr>
          <w:rFonts w:asciiTheme="minorHAnsi" w:eastAsiaTheme="majorEastAsia" w:hAnsiTheme="minorHAnsi" w:cstheme="majorBidi"/>
          <w:b/>
          <w:bCs/>
          <w:color w:val="000000" w:themeColor="text1"/>
          <w:sz w:val="21"/>
          <w:szCs w:val="21"/>
          <w:lang w:val="en-US" w:eastAsia="en-US"/>
        </w:rPr>
      </w:pPr>
      <w:r w:rsidRPr="4104A11D">
        <w:rPr>
          <w:rFonts w:asciiTheme="minorHAnsi" w:eastAsiaTheme="majorEastAsia" w:hAnsiTheme="minorHAnsi" w:cstheme="majorBidi"/>
          <w:b/>
          <w:bCs/>
          <w:color w:val="000000" w:themeColor="text1"/>
          <w:sz w:val="21"/>
          <w:szCs w:val="21"/>
          <w:lang w:val="en-US" w:eastAsia="en-US"/>
        </w:rPr>
        <w:t xml:space="preserve">Table </w:t>
      </w:r>
      <w:r w:rsidR="00D90294">
        <w:rPr>
          <w:rFonts w:asciiTheme="minorHAnsi" w:eastAsiaTheme="majorEastAsia" w:hAnsiTheme="minorHAnsi" w:cstheme="majorBidi"/>
          <w:b/>
          <w:bCs/>
          <w:color w:val="000000" w:themeColor="text1"/>
          <w:sz w:val="21"/>
          <w:szCs w:val="21"/>
          <w:lang w:val="en-US" w:eastAsia="en-US"/>
        </w:rPr>
        <w:t>53</w:t>
      </w:r>
      <w:r w:rsidRPr="4104A11D">
        <w:rPr>
          <w:rFonts w:asciiTheme="minorHAnsi" w:eastAsiaTheme="majorEastAsia" w:hAnsiTheme="minorHAnsi" w:cstheme="majorBidi"/>
          <w:b/>
          <w:bCs/>
          <w:color w:val="000000" w:themeColor="text1"/>
          <w:sz w:val="21"/>
          <w:szCs w:val="21"/>
          <w:lang w:val="en-US" w:eastAsia="en-US"/>
        </w:rPr>
        <w:t xml:space="preserve">. Opportunity costs of students associated with Mental Health </w:t>
      </w:r>
      <w:proofErr w:type="spellStart"/>
      <w:r w:rsidRPr="4104A11D">
        <w:rPr>
          <w:rFonts w:asciiTheme="minorHAnsi" w:eastAsiaTheme="majorEastAsia" w:hAnsiTheme="minorHAnsi" w:cstheme="majorBidi"/>
          <w:b/>
          <w:bCs/>
          <w:color w:val="000000" w:themeColor="text1"/>
          <w:sz w:val="21"/>
          <w:szCs w:val="21"/>
          <w:lang w:val="en-US" w:eastAsia="en-US"/>
        </w:rPr>
        <w:t>Online’s</w:t>
      </w:r>
      <w:proofErr w:type="spellEnd"/>
      <w:r w:rsidRPr="4104A11D">
        <w:rPr>
          <w:rFonts w:asciiTheme="minorHAnsi" w:eastAsiaTheme="majorEastAsia" w:hAnsiTheme="minorHAnsi" w:cstheme="majorBidi"/>
          <w:b/>
          <w:bCs/>
          <w:color w:val="000000" w:themeColor="text1"/>
          <w:sz w:val="21"/>
          <w:szCs w:val="21"/>
          <w:lang w:val="en-US" w:eastAsia="en-US"/>
        </w:rPr>
        <w:t xml:space="preserve"> Therapist Assist program, July 2020 – June 2021</w:t>
      </w:r>
      <w:r w:rsidRPr="4104A11D">
        <w:rPr>
          <w:rFonts w:asciiTheme="minorHAnsi" w:eastAsiaTheme="majorEastAsia" w:hAnsiTheme="minorHAnsi" w:cstheme="majorBidi"/>
          <w:b/>
          <w:bCs/>
          <w:color w:val="000000" w:themeColor="text1"/>
          <w:sz w:val="21"/>
          <w:szCs w:val="21"/>
          <w:vertAlign w:val="superscript"/>
          <w:lang w:val="en-US" w:eastAsia="en-US"/>
        </w:rPr>
        <w:t>a</w:t>
      </w:r>
    </w:p>
    <w:tbl>
      <w:tblPr>
        <w:tblW w:w="5000" w:type="pct"/>
        <w:tblLook w:val="04A0" w:firstRow="1" w:lastRow="0" w:firstColumn="1" w:lastColumn="0" w:noHBand="0" w:noVBand="1"/>
        <w:tblCaption w:val="Table 53. Opportunity costs of students associated with Mental Health Online’s Therapist Assist program, July 2020 – June 2021a"/>
        <w:tblDescription w:val="A table showing the opportunity costs of students associated with Mental Health Online’s Therapist Assist program from July 2020 to June 2021. The hourly rate and time allocated to clients and supervision and training are presented to calculate the total and average cost of these students’ time per consumer."/>
      </w:tblPr>
      <w:tblGrid>
        <w:gridCol w:w="1821"/>
        <w:gridCol w:w="1484"/>
        <w:gridCol w:w="1260"/>
        <w:gridCol w:w="1270"/>
        <w:gridCol w:w="1171"/>
        <w:gridCol w:w="1140"/>
        <w:gridCol w:w="1580"/>
      </w:tblGrid>
      <w:tr w:rsidR="00A00873" w:rsidRPr="00A00873" w14:paraId="79CA684A" w14:textId="77777777" w:rsidTr="006C16BE">
        <w:trPr>
          <w:trHeight w:val="884"/>
        </w:trPr>
        <w:tc>
          <w:tcPr>
            <w:tcW w:w="936" w:type="pct"/>
            <w:tcBorders>
              <w:top w:val="single" w:sz="8" w:space="0" w:color="auto"/>
              <w:left w:val="single" w:sz="8" w:space="0" w:color="auto"/>
              <w:bottom w:val="single" w:sz="8" w:space="0" w:color="auto"/>
              <w:right w:val="single" w:sz="8" w:space="0" w:color="auto"/>
            </w:tcBorders>
            <w:shd w:val="clear" w:color="auto" w:fill="000000" w:themeFill="text1"/>
            <w:hideMark/>
          </w:tcPr>
          <w:p w14:paraId="719EA641" w14:textId="77777777" w:rsidR="00A00873" w:rsidRPr="00A00873" w:rsidRDefault="00A00873" w:rsidP="00A00873">
            <w:pPr>
              <w:rPr>
                <w:i/>
                <w:lang w:eastAsia="zh-CN"/>
              </w:rPr>
            </w:pPr>
          </w:p>
        </w:tc>
        <w:tc>
          <w:tcPr>
            <w:tcW w:w="763" w:type="pct"/>
            <w:tcBorders>
              <w:top w:val="single" w:sz="8" w:space="0" w:color="auto"/>
              <w:left w:val="single" w:sz="8" w:space="0" w:color="auto"/>
              <w:bottom w:val="single" w:sz="8" w:space="0" w:color="auto"/>
              <w:right w:val="single" w:sz="8" w:space="0" w:color="auto"/>
            </w:tcBorders>
            <w:shd w:val="clear" w:color="auto" w:fill="000000" w:themeFill="text1"/>
            <w:hideMark/>
          </w:tcPr>
          <w:p w14:paraId="6E5CFDCD" w14:textId="77777777" w:rsidR="00A00873" w:rsidRPr="00A00873" w:rsidRDefault="00A00873" w:rsidP="00A00873">
            <w:pPr>
              <w:snapToGrid w:val="0"/>
              <w:jc w:val="center"/>
              <w:rPr>
                <w:rFonts w:ascii="Calibri" w:hAnsi="Calibri" w:cs="Calibri"/>
                <w:b/>
                <w:color w:val="FFFFFF" w:themeColor="background1"/>
                <w:sz w:val="18"/>
                <w:szCs w:val="18"/>
                <w:lang w:eastAsia="en-US"/>
              </w:rPr>
            </w:pPr>
            <w:r w:rsidRPr="00A00873">
              <w:rPr>
                <w:rFonts w:ascii="Calibri" w:hAnsi="Calibri" w:cs="Calibri"/>
                <w:b/>
                <w:color w:val="FFFFFF" w:themeColor="background1"/>
                <w:sz w:val="18"/>
                <w:szCs w:val="18"/>
                <w:lang w:eastAsia="en-US"/>
              </w:rPr>
              <w:t>Hourly rate ($)</w:t>
            </w:r>
          </w:p>
        </w:tc>
        <w:tc>
          <w:tcPr>
            <w:tcW w:w="648" w:type="pct"/>
            <w:tcBorders>
              <w:top w:val="single" w:sz="8" w:space="0" w:color="auto"/>
              <w:left w:val="single" w:sz="8" w:space="0" w:color="auto"/>
              <w:bottom w:val="single" w:sz="8" w:space="0" w:color="auto"/>
              <w:right w:val="single" w:sz="8" w:space="0" w:color="auto"/>
            </w:tcBorders>
            <w:shd w:val="clear" w:color="auto" w:fill="000000" w:themeFill="text1"/>
            <w:hideMark/>
          </w:tcPr>
          <w:p w14:paraId="00819AC9" w14:textId="77777777" w:rsidR="00A00873" w:rsidRPr="00A00873" w:rsidRDefault="00A00873" w:rsidP="00A00873">
            <w:pPr>
              <w:snapToGrid w:val="0"/>
              <w:jc w:val="center"/>
              <w:rPr>
                <w:rFonts w:ascii="Calibri" w:hAnsi="Calibri" w:cs="Calibri"/>
                <w:b/>
                <w:color w:val="FFFFFF" w:themeColor="background1"/>
                <w:sz w:val="18"/>
                <w:szCs w:val="18"/>
                <w:lang w:eastAsia="en-US"/>
              </w:rPr>
            </w:pPr>
            <w:r w:rsidRPr="00A00873">
              <w:rPr>
                <w:rFonts w:ascii="Calibri" w:hAnsi="Calibri" w:cs="Calibri"/>
                <w:b/>
                <w:color w:val="FFFFFF" w:themeColor="background1"/>
                <w:sz w:val="18"/>
                <w:szCs w:val="18"/>
                <w:lang w:eastAsia="en-US"/>
              </w:rPr>
              <w:t>Time per allocated client (hours)</w:t>
            </w:r>
          </w:p>
        </w:tc>
        <w:tc>
          <w:tcPr>
            <w:tcW w:w="653" w:type="pct"/>
            <w:tcBorders>
              <w:top w:val="single" w:sz="8" w:space="0" w:color="auto"/>
              <w:left w:val="single" w:sz="8" w:space="0" w:color="auto"/>
              <w:bottom w:val="single" w:sz="8" w:space="0" w:color="auto"/>
              <w:right w:val="single" w:sz="8" w:space="0" w:color="auto"/>
            </w:tcBorders>
            <w:shd w:val="clear" w:color="auto" w:fill="000000" w:themeFill="text1"/>
            <w:hideMark/>
          </w:tcPr>
          <w:p w14:paraId="071BC77F" w14:textId="77777777" w:rsidR="00A00873" w:rsidRPr="00A00873" w:rsidRDefault="00A00873" w:rsidP="00A00873">
            <w:pPr>
              <w:snapToGrid w:val="0"/>
              <w:jc w:val="center"/>
              <w:rPr>
                <w:rFonts w:ascii="Calibri" w:hAnsi="Calibri" w:cs="Calibri"/>
                <w:b/>
                <w:color w:val="FFFFFF" w:themeColor="background1"/>
                <w:sz w:val="18"/>
                <w:szCs w:val="18"/>
                <w:lang w:eastAsia="en-US"/>
              </w:rPr>
            </w:pPr>
            <w:r w:rsidRPr="00A00873">
              <w:rPr>
                <w:rFonts w:ascii="Calibri" w:hAnsi="Calibri" w:cs="Calibri"/>
                <w:b/>
                <w:color w:val="FFFFFF" w:themeColor="background1"/>
                <w:sz w:val="18"/>
                <w:szCs w:val="18"/>
                <w:lang w:eastAsia="en-US"/>
              </w:rPr>
              <w:t>Time per non-allocated client (hours)</w:t>
            </w:r>
          </w:p>
        </w:tc>
        <w:tc>
          <w:tcPr>
            <w:tcW w:w="602" w:type="pct"/>
            <w:tcBorders>
              <w:top w:val="single" w:sz="8" w:space="0" w:color="auto"/>
              <w:left w:val="single" w:sz="8" w:space="0" w:color="auto"/>
              <w:bottom w:val="single" w:sz="8" w:space="0" w:color="auto"/>
              <w:right w:val="single" w:sz="8" w:space="0" w:color="auto"/>
            </w:tcBorders>
            <w:shd w:val="clear" w:color="auto" w:fill="000000" w:themeFill="text1"/>
            <w:hideMark/>
          </w:tcPr>
          <w:p w14:paraId="4FC108A3" w14:textId="77777777" w:rsidR="00A00873" w:rsidRPr="00A00873" w:rsidRDefault="00A00873" w:rsidP="00A00873">
            <w:pPr>
              <w:snapToGrid w:val="0"/>
              <w:jc w:val="center"/>
              <w:rPr>
                <w:rFonts w:ascii="Calibri" w:hAnsi="Calibri" w:cs="Calibri"/>
                <w:b/>
                <w:color w:val="FFFFFF" w:themeColor="background1"/>
                <w:sz w:val="18"/>
                <w:szCs w:val="18"/>
                <w:lang w:eastAsia="en-US"/>
              </w:rPr>
            </w:pPr>
            <w:r w:rsidRPr="00A00873">
              <w:rPr>
                <w:rFonts w:ascii="Calibri" w:hAnsi="Calibri" w:cs="Calibri"/>
                <w:b/>
                <w:color w:val="FFFFFF" w:themeColor="background1"/>
                <w:sz w:val="18"/>
                <w:szCs w:val="18"/>
                <w:lang w:eastAsia="en-US"/>
              </w:rPr>
              <w:t>Supervision &amp; training time per week (hours)</w:t>
            </w:r>
          </w:p>
        </w:tc>
        <w:tc>
          <w:tcPr>
            <w:tcW w:w="585" w:type="pct"/>
            <w:tcBorders>
              <w:top w:val="single" w:sz="8" w:space="0" w:color="auto"/>
              <w:left w:val="single" w:sz="8" w:space="0" w:color="auto"/>
              <w:bottom w:val="single" w:sz="8" w:space="0" w:color="auto"/>
              <w:right w:val="single" w:sz="8" w:space="0" w:color="auto"/>
            </w:tcBorders>
            <w:shd w:val="clear" w:color="auto" w:fill="000000" w:themeFill="text1"/>
            <w:hideMark/>
          </w:tcPr>
          <w:p w14:paraId="3B752EB8" w14:textId="77777777" w:rsidR="00A00873" w:rsidRPr="00A00873" w:rsidRDefault="00A00873" w:rsidP="00A00873">
            <w:pPr>
              <w:snapToGrid w:val="0"/>
              <w:jc w:val="center"/>
              <w:rPr>
                <w:rFonts w:ascii="Calibri" w:hAnsi="Calibri" w:cs="Calibri"/>
                <w:b/>
                <w:color w:val="FFFFFF" w:themeColor="background1"/>
                <w:sz w:val="18"/>
                <w:szCs w:val="18"/>
                <w:lang w:eastAsia="en-US"/>
              </w:rPr>
            </w:pPr>
            <w:r w:rsidRPr="00A00873">
              <w:rPr>
                <w:rFonts w:ascii="Calibri" w:hAnsi="Calibri" w:cs="Calibri"/>
                <w:b/>
                <w:color w:val="FFFFFF" w:themeColor="background1"/>
                <w:sz w:val="18"/>
                <w:szCs w:val="18"/>
                <w:lang w:eastAsia="en-US"/>
              </w:rPr>
              <w:t>Total time per year (hours)</w:t>
            </w:r>
          </w:p>
        </w:tc>
        <w:tc>
          <w:tcPr>
            <w:tcW w:w="812" w:type="pct"/>
            <w:tcBorders>
              <w:top w:val="single" w:sz="8" w:space="0" w:color="auto"/>
              <w:left w:val="single" w:sz="8" w:space="0" w:color="auto"/>
              <w:bottom w:val="single" w:sz="8" w:space="0" w:color="auto"/>
              <w:right w:val="single" w:sz="8" w:space="0" w:color="auto"/>
            </w:tcBorders>
            <w:shd w:val="clear" w:color="auto" w:fill="000000" w:themeFill="text1"/>
            <w:hideMark/>
          </w:tcPr>
          <w:p w14:paraId="198E0E61" w14:textId="77777777" w:rsidR="00A00873" w:rsidRPr="00A00873" w:rsidRDefault="00A00873" w:rsidP="00A00873">
            <w:pPr>
              <w:snapToGrid w:val="0"/>
              <w:jc w:val="center"/>
              <w:rPr>
                <w:rFonts w:ascii="Calibri" w:hAnsi="Calibri" w:cs="Calibri"/>
                <w:b/>
                <w:color w:val="FFFFFF" w:themeColor="background1"/>
                <w:sz w:val="18"/>
                <w:szCs w:val="18"/>
                <w:lang w:eastAsia="en-US"/>
              </w:rPr>
            </w:pPr>
            <w:r w:rsidRPr="00A00873">
              <w:rPr>
                <w:rFonts w:ascii="Calibri" w:hAnsi="Calibri" w:cs="Calibri"/>
                <w:b/>
                <w:color w:val="FFFFFF" w:themeColor="background1"/>
                <w:sz w:val="18"/>
                <w:szCs w:val="18"/>
                <w:lang w:eastAsia="en-US"/>
              </w:rPr>
              <w:t>Total cost per year ($)</w:t>
            </w:r>
          </w:p>
        </w:tc>
      </w:tr>
      <w:tr w:rsidR="00A00873" w:rsidRPr="00A00873" w14:paraId="055E379A" w14:textId="77777777" w:rsidTr="006C16BE">
        <w:trPr>
          <w:trHeight w:val="401"/>
        </w:trPr>
        <w:tc>
          <w:tcPr>
            <w:tcW w:w="936" w:type="pct"/>
            <w:tcBorders>
              <w:top w:val="single" w:sz="8" w:space="0" w:color="auto"/>
              <w:left w:val="single" w:sz="8" w:space="0" w:color="auto"/>
            </w:tcBorders>
            <w:vAlign w:val="center"/>
            <w:hideMark/>
          </w:tcPr>
          <w:p w14:paraId="650FE2E8" w14:textId="77777777" w:rsidR="00A00873" w:rsidRPr="00A00873" w:rsidRDefault="00A00873" w:rsidP="00A00873">
            <w:pPr>
              <w:snapToGrid w:val="0"/>
              <w:rPr>
                <w:rFonts w:ascii="Calibri" w:hAnsi="Calibri" w:cs="Calibri"/>
                <w:iCs/>
                <w:sz w:val="18"/>
                <w:szCs w:val="18"/>
                <w:lang w:eastAsia="en-US"/>
              </w:rPr>
            </w:pPr>
            <w:r w:rsidRPr="00A00873">
              <w:rPr>
                <w:rFonts w:ascii="Calibri" w:hAnsi="Calibri" w:cs="Calibri"/>
                <w:iCs/>
                <w:sz w:val="18"/>
                <w:szCs w:val="18"/>
                <w:lang w:eastAsia="en-US"/>
              </w:rPr>
              <w:t>Post-graduate psychology student</w:t>
            </w:r>
          </w:p>
        </w:tc>
        <w:tc>
          <w:tcPr>
            <w:tcW w:w="763" w:type="pct"/>
            <w:tcBorders>
              <w:top w:val="single" w:sz="8" w:space="0" w:color="auto"/>
            </w:tcBorders>
            <w:vAlign w:val="center"/>
            <w:hideMark/>
          </w:tcPr>
          <w:p w14:paraId="2D80BA38" w14:textId="77777777" w:rsidR="00A00873" w:rsidRPr="00A00873" w:rsidRDefault="00A00873" w:rsidP="00A00873">
            <w:pPr>
              <w:snapToGrid w:val="0"/>
              <w:jc w:val="center"/>
              <w:rPr>
                <w:rFonts w:ascii="Calibri" w:hAnsi="Calibri" w:cs="Calibri"/>
                <w:color w:val="000000"/>
                <w:sz w:val="18"/>
                <w:szCs w:val="18"/>
                <w:lang w:eastAsia="en-US"/>
              </w:rPr>
            </w:pPr>
            <w:r w:rsidRPr="00A00873">
              <w:rPr>
                <w:rFonts w:ascii="Calibri" w:hAnsi="Calibri" w:cs="Calibri"/>
                <w:color w:val="000000"/>
                <w:sz w:val="18"/>
                <w:szCs w:val="18"/>
                <w:lang w:eastAsia="en-US"/>
              </w:rPr>
              <w:t>40.14</w:t>
            </w:r>
            <w:r w:rsidRPr="00A00873">
              <w:rPr>
                <w:rFonts w:ascii="Calibri" w:hAnsi="Calibri" w:cs="Calibri"/>
                <w:color w:val="000000"/>
                <w:sz w:val="18"/>
                <w:szCs w:val="18"/>
                <w:vertAlign w:val="superscript"/>
                <w:lang w:eastAsia="en-US"/>
              </w:rPr>
              <w:t>a</w:t>
            </w:r>
          </w:p>
        </w:tc>
        <w:tc>
          <w:tcPr>
            <w:tcW w:w="648" w:type="pct"/>
            <w:tcBorders>
              <w:top w:val="single" w:sz="8" w:space="0" w:color="auto"/>
            </w:tcBorders>
            <w:noWrap/>
            <w:vAlign w:val="center"/>
            <w:hideMark/>
          </w:tcPr>
          <w:p w14:paraId="3E74CB50" w14:textId="77777777" w:rsidR="00A00873" w:rsidRPr="00A00873" w:rsidRDefault="00A00873" w:rsidP="00A00873">
            <w:pPr>
              <w:snapToGrid w:val="0"/>
              <w:jc w:val="center"/>
              <w:rPr>
                <w:rFonts w:ascii="Calibri" w:hAnsi="Calibri" w:cs="Calibri"/>
                <w:color w:val="000000"/>
                <w:sz w:val="18"/>
                <w:szCs w:val="18"/>
                <w:lang w:eastAsia="en-US"/>
              </w:rPr>
            </w:pPr>
            <w:r w:rsidRPr="00A00873">
              <w:rPr>
                <w:rFonts w:ascii="Calibri" w:hAnsi="Calibri" w:cs="Calibri"/>
                <w:color w:val="000000"/>
                <w:sz w:val="18"/>
                <w:szCs w:val="18"/>
                <w:lang w:eastAsia="en-US"/>
              </w:rPr>
              <w:t>8.8</w:t>
            </w:r>
          </w:p>
        </w:tc>
        <w:tc>
          <w:tcPr>
            <w:tcW w:w="653" w:type="pct"/>
            <w:tcBorders>
              <w:top w:val="single" w:sz="8" w:space="0" w:color="auto"/>
            </w:tcBorders>
            <w:noWrap/>
            <w:vAlign w:val="center"/>
            <w:hideMark/>
          </w:tcPr>
          <w:p w14:paraId="21A89528" w14:textId="77777777" w:rsidR="00A00873" w:rsidRPr="00A00873" w:rsidRDefault="00A00873" w:rsidP="00A00873">
            <w:pPr>
              <w:snapToGrid w:val="0"/>
              <w:jc w:val="center"/>
              <w:rPr>
                <w:rFonts w:ascii="Calibri" w:hAnsi="Calibri" w:cs="Calibri"/>
                <w:color w:val="000000"/>
                <w:sz w:val="18"/>
                <w:szCs w:val="18"/>
                <w:lang w:eastAsia="en-US"/>
              </w:rPr>
            </w:pPr>
            <w:r w:rsidRPr="00A00873">
              <w:rPr>
                <w:rFonts w:ascii="Calibri" w:hAnsi="Calibri" w:cs="Calibri"/>
                <w:color w:val="000000"/>
                <w:sz w:val="18"/>
                <w:szCs w:val="18"/>
                <w:lang w:eastAsia="en-US"/>
              </w:rPr>
              <w:t>1.5</w:t>
            </w:r>
          </w:p>
        </w:tc>
        <w:tc>
          <w:tcPr>
            <w:tcW w:w="602" w:type="pct"/>
            <w:tcBorders>
              <w:top w:val="single" w:sz="8" w:space="0" w:color="auto"/>
            </w:tcBorders>
            <w:noWrap/>
            <w:vAlign w:val="center"/>
            <w:hideMark/>
          </w:tcPr>
          <w:p w14:paraId="5B6ED1E2" w14:textId="77777777" w:rsidR="00A00873" w:rsidRPr="00A00873" w:rsidRDefault="00A00873" w:rsidP="00A00873">
            <w:pPr>
              <w:snapToGrid w:val="0"/>
              <w:jc w:val="center"/>
              <w:rPr>
                <w:rFonts w:ascii="Calibri" w:hAnsi="Calibri" w:cs="Calibri"/>
                <w:color w:val="000000"/>
                <w:sz w:val="18"/>
                <w:szCs w:val="18"/>
                <w:lang w:eastAsia="en-US"/>
              </w:rPr>
            </w:pPr>
            <w:r w:rsidRPr="00A00873">
              <w:rPr>
                <w:rFonts w:ascii="Calibri" w:hAnsi="Calibri" w:cs="Calibri"/>
                <w:color w:val="000000"/>
                <w:sz w:val="18"/>
                <w:szCs w:val="18"/>
                <w:lang w:eastAsia="en-US"/>
              </w:rPr>
              <w:t>1</w:t>
            </w:r>
          </w:p>
        </w:tc>
        <w:tc>
          <w:tcPr>
            <w:tcW w:w="585" w:type="pct"/>
            <w:tcBorders>
              <w:top w:val="single" w:sz="8" w:space="0" w:color="auto"/>
            </w:tcBorders>
            <w:noWrap/>
            <w:vAlign w:val="center"/>
            <w:hideMark/>
          </w:tcPr>
          <w:p w14:paraId="4576A757" w14:textId="77777777" w:rsidR="00A00873" w:rsidRPr="00A00873" w:rsidRDefault="00A00873" w:rsidP="00A00873">
            <w:pPr>
              <w:snapToGrid w:val="0"/>
              <w:jc w:val="center"/>
              <w:rPr>
                <w:rFonts w:ascii="Calibri" w:hAnsi="Calibri" w:cs="Calibri"/>
                <w:color w:val="000000"/>
                <w:sz w:val="18"/>
                <w:szCs w:val="18"/>
                <w:lang w:eastAsia="en-US"/>
              </w:rPr>
            </w:pPr>
            <w:r w:rsidRPr="00A00873">
              <w:rPr>
                <w:rFonts w:ascii="Calibri" w:hAnsi="Calibri" w:cs="Calibri"/>
                <w:color w:val="000000"/>
                <w:sz w:val="18"/>
                <w:szCs w:val="18"/>
                <w:lang w:eastAsia="en-US"/>
              </w:rPr>
              <w:t>2,839.2</w:t>
            </w:r>
            <w:r w:rsidRPr="00A00873">
              <w:rPr>
                <w:rFonts w:ascii="Calibri" w:hAnsi="Calibri" w:cs="Calibri"/>
                <w:color w:val="000000"/>
                <w:sz w:val="18"/>
                <w:szCs w:val="18"/>
                <w:vertAlign w:val="superscript"/>
                <w:lang w:eastAsia="en-US"/>
              </w:rPr>
              <w:t>b</w:t>
            </w:r>
          </w:p>
        </w:tc>
        <w:tc>
          <w:tcPr>
            <w:tcW w:w="812" w:type="pct"/>
            <w:tcBorders>
              <w:top w:val="single" w:sz="8" w:space="0" w:color="auto"/>
              <w:right w:val="single" w:sz="8" w:space="0" w:color="auto"/>
            </w:tcBorders>
            <w:noWrap/>
            <w:vAlign w:val="center"/>
            <w:hideMark/>
          </w:tcPr>
          <w:p w14:paraId="73FE7F15" w14:textId="77777777" w:rsidR="00A00873" w:rsidRPr="00A00873" w:rsidRDefault="00A00873" w:rsidP="00A00873">
            <w:pPr>
              <w:snapToGrid w:val="0"/>
              <w:jc w:val="center"/>
              <w:rPr>
                <w:rFonts w:ascii="Calibri" w:hAnsi="Calibri" w:cs="Calibri"/>
                <w:color w:val="000000"/>
                <w:sz w:val="18"/>
                <w:szCs w:val="18"/>
                <w:lang w:eastAsia="en-US"/>
              </w:rPr>
            </w:pPr>
            <w:r w:rsidRPr="00A00873">
              <w:rPr>
                <w:rFonts w:ascii="Calibri" w:hAnsi="Calibri" w:cs="Calibri"/>
                <w:color w:val="000000"/>
                <w:sz w:val="18"/>
                <w:szCs w:val="18"/>
                <w:lang w:eastAsia="en-US"/>
              </w:rPr>
              <w:t>113,965.49</w:t>
            </w:r>
          </w:p>
        </w:tc>
      </w:tr>
      <w:tr w:rsidR="00A00873" w:rsidRPr="00A00873" w14:paraId="15306B05" w14:textId="77777777" w:rsidTr="006C16BE">
        <w:trPr>
          <w:trHeight w:val="320"/>
        </w:trPr>
        <w:tc>
          <w:tcPr>
            <w:tcW w:w="4188" w:type="pct"/>
            <w:gridSpan w:val="6"/>
            <w:tcBorders>
              <w:top w:val="single" w:sz="4" w:space="0" w:color="auto"/>
              <w:left w:val="single" w:sz="8" w:space="0" w:color="auto"/>
            </w:tcBorders>
            <w:noWrap/>
            <w:vAlign w:val="center"/>
            <w:hideMark/>
          </w:tcPr>
          <w:p w14:paraId="0A87C2E0" w14:textId="77777777" w:rsidR="00A00873" w:rsidRPr="00A00873" w:rsidRDefault="00A00873" w:rsidP="00A00873">
            <w:pPr>
              <w:snapToGrid w:val="0"/>
              <w:rPr>
                <w:rFonts w:ascii="Calibri" w:hAnsi="Calibri" w:cs="Calibri"/>
                <w:color w:val="000000"/>
                <w:sz w:val="18"/>
                <w:szCs w:val="18"/>
                <w:lang w:eastAsia="en-US"/>
              </w:rPr>
            </w:pPr>
            <w:r w:rsidRPr="00A00873">
              <w:rPr>
                <w:rFonts w:ascii="Calibri" w:hAnsi="Calibri" w:cs="Calibri"/>
                <w:color w:val="000000"/>
                <w:sz w:val="18"/>
                <w:szCs w:val="18"/>
                <w:lang w:eastAsia="en-US"/>
              </w:rPr>
              <w:t>Total cost of students’ time for Therapist Assist program</w:t>
            </w:r>
          </w:p>
        </w:tc>
        <w:tc>
          <w:tcPr>
            <w:tcW w:w="812" w:type="pct"/>
            <w:tcBorders>
              <w:top w:val="single" w:sz="4" w:space="0" w:color="auto"/>
              <w:right w:val="single" w:sz="8" w:space="0" w:color="auto"/>
            </w:tcBorders>
            <w:noWrap/>
            <w:vAlign w:val="center"/>
            <w:hideMark/>
          </w:tcPr>
          <w:p w14:paraId="154BBA22" w14:textId="77777777" w:rsidR="00A00873" w:rsidRPr="00A00873" w:rsidRDefault="00A00873" w:rsidP="00A00873">
            <w:pPr>
              <w:keepNext/>
              <w:snapToGrid w:val="0"/>
              <w:jc w:val="center"/>
              <w:rPr>
                <w:rFonts w:ascii="Calibri" w:hAnsi="Calibri" w:cs="Calibri"/>
                <w:color w:val="000000"/>
                <w:sz w:val="18"/>
                <w:szCs w:val="18"/>
                <w:lang w:eastAsia="en-US"/>
              </w:rPr>
            </w:pPr>
            <w:r w:rsidRPr="00A00873">
              <w:rPr>
                <w:rFonts w:ascii="Calibri" w:hAnsi="Calibri" w:cs="Calibri"/>
                <w:color w:val="000000"/>
                <w:sz w:val="18"/>
                <w:szCs w:val="18"/>
                <w:lang w:eastAsia="en-US"/>
              </w:rPr>
              <w:t>113,965.49</w:t>
            </w:r>
          </w:p>
        </w:tc>
      </w:tr>
      <w:tr w:rsidR="00A00873" w:rsidRPr="00A00873" w14:paraId="139FD481" w14:textId="77777777" w:rsidTr="006C16BE">
        <w:trPr>
          <w:trHeight w:val="320"/>
        </w:trPr>
        <w:tc>
          <w:tcPr>
            <w:tcW w:w="4188" w:type="pct"/>
            <w:gridSpan w:val="6"/>
            <w:tcBorders>
              <w:left w:val="single" w:sz="8" w:space="0" w:color="auto"/>
              <w:bottom w:val="single" w:sz="8" w:space="0" w:color="auto"/>
            </w:tcBorders>
            <w:noWrap/>
            <w:vAlign w:val="center"/>
            <w:hideMark/>
          </w:tcPr>
          <w:p w14:paraId="7D8648EC" w14:textId="77777777" w:rsidR="00A00873" w:rsidRPr="00A00873" w:rsidRDefault="00A00873" w:rsidP="00A00873">
            <w:pPr>
              <w:snapToGrid w:val="0"/>
              <w:rPr>
                <w:rFonts w:ascii="Calibri" w:hAnsi="Calibri" w:cs="Calibri"/>
                <w:b/>
                <w:color w:val="000000"/>
                <w:sz w:val="18"/>
                <w:szCs w:val="18"/>
                <w:lang w:eastAsia="en-US"/>
              </w:rPr>
            </w:pPr>
            <w:r w:rsidRPr="00A00873">
              <w:rPr>
                <w:rFonts w:ascii="Calibri" w:hAnsi="Calibri" w:cs="Calibri"/>
                <w:b/>
                <w:color w:val="000000"/>
                <w:sz w:val="18"/>
                <w:szCs w:val="18"/>
                <w:lang w:eastAsia="en-US"/>
              </w:rPr>
              <w:t>Average cost of students’ time per consumer for therapist-assisted program</w:t>
            </w:r>
          </w:p>
        </w:tc>
        <w:tc>
          <w:tcPr>
            <w:tcW w:w="812" w:type="pct"/>
            <w:tcBorders>
              <w:bottom w:val="single" w:sz="8" w:space="0" w:color="auto"/>
              <w:right w:val="single" w:sz="8" w:space="0" w:color="auto"/>
            </w:tcBorders>
            <w:noWrap/>
            <w:vAlign w:val="center"/>
            <w:hideMark/>
          </w:tcPr>
          <w:p w14:paraId="23A88916" w14:textId="77777777" w:rsidR="00A00873" w:rsidRPr="00A00873" w:rsidRDefault="00A00873" w:rsidP="00A00873">
            <w:pPr>
              <w:keepNext/>
              <w:snapToGrid w:val="0"/>
              <w:jc w:val="center"/>
              <w:rPr>
                <w:rFonts w:ascii="Calibri" w:hAnsi="Calibri" w:cs="Calibri"/>
                <w:b/>
                <w:color w:val="000000"/>
                <w:sz w:val="18"/>
                <w:szCs w:val="18"/>
                <w:lang w:eastAsia="en-US"/>
              </w:rPr>
            </w:pPr>
            <w:r w:rsidRPr="00A00873">
              <w:rPr>
                <w:rFonts w:ascii="Calibri" w:hAnsi="Calibri" w:cs="Calibri"/>
                <w:b/>
                <w:color w:val="000000"/>
                <w:sz w:val="18"/>
                <w:szCs w:val="18"/>
                <w:lang w:eastAsia="en-US"/>
              </w:rPr>
              <w:t>379.88</w:t>
            </w:r>
          </w:p>
        </w:tc>
      </w:tr>
    </w:tbl>
    <w:p w14:paraId="75A82596" w14:textId="77777777" w:rsidR="00A00873" w:rsidRPr="00A00873" w:rsidRDefault="00A00873" w:rsidP="00A00873">
      <w:pPr>
        <w:rPr>
          <w:rFonts w:asciiTheme="minorHAnsi" w:hAnsiTheme="minorHAnsi" w:cstheme="minorHAnsi"/>
          <w:sz w:val="16"/>
          <w:szCs w:val="16"/>
          <w:lang w:eastAsia="zh-CN"/>
        </w:rPr>
      </w:pPr>
      <w:proofErr w:type="spellStart"/>
      <w:r w:rsidRPr="00A00873">
        <w:rPr>
          <w:rFonts w:asciiTheme="minorHAnsi" w:hAnsiTheme="minorHAnsi" w:cstheme="minorHAnsi"/>
          <w:sz w:val="16"/>
          <w:szCs w:val="16"/>
          <w:vertAlign w:val="superscript"/>
          <w:lang w:eastAsia="zh-CN"/>
        </w:rPr>
        <w:t>a</w:t>
      </w:r>
      <w:r w:rsidRPr="00A00873">
        <w:rPr>
          <w:rFonts w:asciiTheme="minorHAnsi" w:hAnsiTheme="minorHAnsi" w:cstheme="minorHAnsi"/>
          <w:sz w:val="16"/>
          <w:szCs w:val="16"/>
          <w:lang w:eastAsia="zh-CN"/>
        </w:rPr>
        <w:t>Based</w:t>
      </w:r>
      <w:proofErr w:type="spellEnd"/>
      <w:r w:rsidRPr="00A00873">
        <w:rPr>
          <w:rFonts w:asciiTheme="minorHAnsi" w:hAnsiTheme="minorHAnsi" w:cstheme="minorHAnsi"/>
          <w:sz w:val="16"/>
          <w:szCs w:val="16"/>
          <w:lang w:eastAsia="zh-CN"/>
        </w:rPr>
        <w:t xml:space="preserve"> on the hourly wage rate (including oncosts) of a counsellor as reported in the ABS Employee Earnings and Hours Survey 2018. The hourly wage rate was adjusted for inflation and presented in 2021 AUD.</w:t>
      </w:r>
    </w:p>
    <w:p w14:paraId="5A7CDD69" w14:textId="125C23A2" w:rsidR="00A00873" w:rsidRPr="00A00873" w:rsidRDefault="00A00873" w:rsidP="009B5C6C">
      <w:pPr>
        <w:spacing w:after="240"/>
        <w:rPr>
          <w:rFonts w:asciiTheme="minorHAnsi" w:hAnsiTheme="minorHAnsi" w:cstheme="minorHAnsi"/>
          <w:color w:val="000000" w:themeColor="text1"/>
          <w:sz w:val="16"/>
          <w:szCs w:val="16"/>
        </w:rPr>
      </w:pPr>
      <w:proofErr w:type="spellStart"/>
      <w:r w:rsidRPr="00A00873">
        <w:rPr>
          <w:rFonts w:asciiTheme="minorHAnsi" w:hAnsiTheme="minorHAnsi" w:cstheme="minorHAnsi"/>
          <w:color w:val="000000" w:themeColor="text1"/>
          <w:sz w:val="16"/>
          <w:szCs w:val="16"/>
          <w:vertAlign w:val="superscript"/>
        </w:rPr>
        <w:t>b</w:t>
      </w:r>
      <w:r w:rsidRPr="00A00873">
        <w:rPr>
          <w:rFonts w:asciiTheme="minorHAnsi" w:hAnsiTheme="minorHAnsi" w:cstheme="minorHAnsi"/>
          <w:color w:val="000000" w:themeColor="text1"/>
          <w:sz w:val="16"/>
          <w:szCs w:val="16"/>
        </w:rPr>
        <w:t>MHO</w:t>
      </w:r>
      <w:proofErr w:type="spellEnd"/>
      <w:r w:rsidRPr="00A00873">
        <w:rPr>
          <w:rFonts w:asciiTheme="minorHAnsi" w:hAnsiTheme="minorHAnsi" w:cstheme="minorHAnsi"/>
          <w:color w:val="000000" w:themeColor="text1"/>
          <w:sz w:val="16"/>
          <w:szCs w:val="16"/>
        </w:rPr>
        <w:t xml:space="preserve"> has approximately 300 consumers per year for Therapist Assist program (276 allocated and 24 non-allocated) and 25 students per year that spend approximately 15 weeks on placement. The total time per year (hours) for post-graduate psychology students is obtained through the following calculation: (8.8 hours x 276 consumers) + (1.5 hours x 24 consumers) + (25 students x 15 weeks x 1 hour)).</w:t>
      </w:r>
    </w:p>
    <w:p w14:paraId="0346E582" w14:textId="77777777" w:rsidR="00A00873" w:rsidRPr="00A00873" w:rsidRDefault="00A00873" w:rsidP="00474D00">
      <w:pPr>
        <w:pStyle w:val="Heading3"/>
      </w:pPr>
      <w:proofErr w:type="spellStart"/>
      <w:r w:rsidRPr="00A00873">
        <w:t>MindSpot</w:t>
      </w:r>
      <w:proofErr w:type="spellEnd"/>
    </w:p>
    <w:p w14:paraId="7F0BA938" w14:textId="2F7F965E" w:rsidR="00A00873" w:rsidRPr="00A00873" w:rsidRDefault="00A00873" w:rsidP="009B5C6C">
      <w:pPr>
        <w:spacing w:after="240"/>
        <w:rPr>
          <w:rFonts w:ascii="Calibri" w:hAnsi="Calibri" w:cs="Arial"/>
          <w:color w:val="000000" w:themeColor="text1"/>
          <w:sz w:val="21"/>
          <w:szCs w:val="21"/>
          <w:lang w:eastAsia="zh-CN"/>
        </w:rPr>
      </w:pPr>
      <w:r w:rsidRPr="00A00873">
        <w:rPr>
          <w:rFonts w:ascii="Calibri" w:hAnsi="Calibri" w:cs="Arial"/>
          <w:color w:val="000000" w:themeColor="text1"/>
          <w:sz w:val="21"/>
          <w:szCs w:val="21"/>
          <w:lang w:eastAsia="zh-CN"/>
        </w:rPr>
        <w:t xml:space="preserve">As previously mentioned throughout the report, </w:t>
      </w:r>
      <w:proofErr w:type="spellStart"/>
      <w:r w:rsidRPr="00A00873">
        <w:rPr>
          <w:rFonts w:ascii="Calibri" w:hAnsi="Calibri" w:cs="Arial"/>
          <w:color w:val="000000" w:themeColor="text1"/>
          <w:sz w:val="21"/>
          <w:szCs w:val="21"/>
          <w:lang w:eastAsia="zh-CN"/>
        </w:rPr>
        <w:t>MindSpot</w:t>
      </w:r>
      <w:proofErr w:type="spellEnd"/>
      <w:r w:rsidRPr="00A00873">
        <w:rPr>
          <w:rFonts w:ascii="Calibri" w:hAnsi="Calibri" w:cs="Arial"/>
          <w:color w:val="000000" w:themeColor="text1"/>
          <w:sz w:val="21"/>
          <w:szCs w:val="21"/>
          <w:lang w:eastAsia="zh-CN"/>
        </w:rPr>
        <w:t xml:space="preserve"> provides online assessment including triage screening to determine the best referral pathway for individuals in urgent need of care; therapist-supported online CBT; and, more recently, self-directed treatments (available from July 2019). The screening assessment is available to consumers accessing the website in two modes</w:t>
      </w:r>
      <w:r w:rsidR="00C46B38">
        <w:rPr>
          <w:rFonts w:ascii="Calibri" w:hAnsi="Calibri" w:cs="Arial"/>
          <w:color w:val="000000" w:themeColor="text1"/>
          <w:sz w:val="21"/>
          <w:szCs w:val="21"/>
          <w:lang w:eastAsia="zh-CN"/>
        </w:rPr>
        <w:t>:</w:t>
      </w:r>
      <w:r w:rsidRPr="00A00873">
        <w:rPr>
          <w:rFonts w:ascii="Calibri" w:hAnsi="Calibri" w:cs="Arial"/>
          <w:color w:val="000000" w:themeColor="text1"/>
          <w:sz w:val="21"/>
          <w:szCs w:val="21"/>
          <w:lang w:eastAsia="zh-CN"/>
        </w:rPr>
        <w:t xml:space="preserve"> self-administered or </w:t>
      </w:r>
      <w:proofErr w:type="gramStart"/>
      <w:r w:rsidRPr="00A00873">
        <w:rPr>
          <w:rFonts w:ascii="Calibri" w:hAnsi="Calibri" w:cs="Arial"/>
          <w:color w:val="000000" w:themeColor="text1"/>
          <w:sz w:val="21"/>
          <w:szCs w:val="21"/>
          <w:lang w:eastAsia="zh-CN"/>
        </w:rPr>
        <w:t>therapist-administered</w:t>
      </w:r>
      <w:proofErr w:type="gramEnd"/>
      <w:r w:rsidRPr="00A00873">
        <w:rPr>
          <w:rFonts w:ascii="Calibri" w:hAnsi="Calibri" w:cs="Arial"/>
          <w:color w:val="000000" w:themeColor="text1"/>
          <w:sz w:val="21"/>
          <w:szCs w:val="21"/>
          <w:lang w:eastAsia="zh-CN"/>
        </w:rPr>
        <w:t>.</w:t>
      </w:r>
    </w:p>
    <w:p w14:paraId="128367FC" w14:textId="23144E47" w:rsidR="00A00873" w:rsidRPr="00A00873" w:rsidRDefault="00A00873" w:rsidP="009B5C6C">
      <w:pPr>
        <w:spacing w:after="240"/>
        <w:rPr>
          <w:rFonts w:ascii="Calibri" w:hAnsi="Calibri" w:cs="Arial"/>
          <w:color w:val="000000" w:themeColor="text1"/>
          <w:sz w:val="21"/>
          <w:szCs w:val="21"/>
          <w:lang w:eastAsia="zh-CN"/>
        </w:rPr>
      </w:pPr>
      <w:r w:rsidRPr="00A00873">
        <w:rPr>
          <w:rFonts w:ascii="Calibri" w:hAnsi="Calibri" w:cs="Arial"/>
          <w:color w:val="000000" w:themeColor="text1"/>
          <w:sz w:val="21"/>
          <w:szCs w:val="21"/>
          <w:lang w:eastAsia="zh-CN"/>
        </w:rPr>
        <w:t xml:space="preserve">Table </w:t>
      </w:r>
      <w:r w:rsidR="00D90294">
        <w:rPr>
          <w:rFonts w:ascii="Calibri" w:hAnsi="Calibri" w:cs="Arial"/>
          <w:color w:val="000000" w:themeColor="text1"/>
          <w:sz w:val="21"/>
          <w:szCs w:val="21"/>
          <w:lang w:eastAsia="zh-CN"/>
        </w:rPr>
        <w:t>54</w:t>
      </w:r>
      <w:r w:rsidRPr="00A00873">
        <w:rPr>
          <w:rFonts w:ascii="Calibri" w:hAnsi="Calibri" w:cs="Arial"/>
          <w:color w:val="000000" w:themeColor="text1"/>
          <w:sz w:val="21"/>
          <w:szCs w:val="21"/>
          <w:lang w:eastAsia="zh-CN"/>
        </w:rPr>
        <w:t xml:space="preserve"> presents a breakdown of </w:t>
      </w:r>
      <w:proofErr w:type="spellStart"/>
      <w:r w:rsidRPr="00A00873">
        <w:rPr>
          <w:rFonts w:ascii="Calibri" w:hAnsi="Calibri" w:cs="Arial"/>
          <w:color w:val="000000" w:themeColor="text1"/>
          <w:sz w:val="21"/>
          <w:szCs w:val="21"/>
          <w:lang w:eastAsia="zh-CN"/>
        </w:rPr>
        <w:t>MindSpot’s</w:t>
      </w:r>
      <w:proofErr w:type="spellEnd"/>
      <w:r w:rsidRPr="00A00873">
        <w:rPr>
          <w:rFonts w:ascii="Calibri" w:hAnsi="Calibri" w:cs="Arial"/>
          <w:color w:val="000000" w:themeColor="text1"/>
          <w:sz w:val="21"/>
          <w:szCs w:val="21"/>
          <w:lang w:eastAsia="zh-CN"/>
        </w:rPr>
        <w:t xml:space="preserve"> total cost by service type (assessment, self-directed and therapist-supported services) for the 2020-21 financial year. The breakdown of costs w</w:t>
      </w:r>
      <w:r w:rsidR="00023B65">
        <w:rPr>
          <w:rFonts w:ascii="Calibri" w:hAnsi="Calibri" w:cs="Arial"/>
          <w:color w:val="000000" w:themeColor="text1"/>
          <w:sz w:val="21"/>
          <w:szCs w:val="21"/>
          <w:lang w:eastAsia="zh-CN"/>
        </w:rPr>
        <w:t>as</w:t>
      </w:r>
      <w:r w:rsidRPr="00A00873">
        <w:rPr>
          <w:rFonts w:ascii="Calibri" w:hAnsi="Calibri" w:cs="Arial"/>
          <w:color w:val="000000" w:themeColor="text1"/>
          <w:sz w:val="21"/>
          <w:szCs w:val="21"/>
          <w:lang w:eastAsia="zh-CN"/>
        </w:rPr>
        <w:t xml:space="preserve"> obtained directly from </w:t>
      </w:r>
      <w:proofErr w:type="spellStart"/>
      <w:r w:rsidRPr="00A00873">
        <w:rPr>
          <w:rFonts w:ascii="Calibri" w:hAnsi="Calibri" w:cs="Arial"/>
          <w:color w:val="000000" w:themeColor="text1"/>
          <w:sz w:val="21"/>
          <w:szCs w:val="21"/>
          <w:lang w:eastAsia="zh-CN"/>
        </w:rPr>
        <w:t>MindSpot</w:t>
      </w:r>
      <w:proofErr w:type="spellEnd"/>
      <w:r w:rsidRPr="00A00873">
        <w:rPr>
          <w:rFonts w:ascii="Calibri" w:hAnsi="Calibri" w:cs="Arial"/>
          <w:color w:val="000000" w:themeColor="text1"/>
          <w:sz w:val="21"/>
          <w:szCs w:val="21"/>
          <w:lang w:eastAsia="zh-CN"/>
        </w:rPr>
        <w:t xml:space="preserve"> and did not require further extrapolation from us. Of total costs, the cost of therapists was the largest component (78% of total costs), followed by supervision (8%) and website maintenance costs (8%). The cost per consumer was highest for therapist-supported treatment ($226.22), followed by assessment only ($113.30) and self-directed treatment ($98.55).</w:t>
      </w:r>
    </w:p>
    <w:p w14:paraId="6CBCA56C" w14:textId="77777777" w:rsidR="006C1183" w:rsidRDefault="006C1183" w:rsidP="00A00873">
      <w:pPr>
        <w:keepLines/>
        <w:spacing w:after="120"/>
        <w:outlineLvl w:val="2"/>
        <w:rPr>
          <w:rFonts w:asciiTheme="minorHAnsi" w:eastAsiaTheme="majorEastAsia" w:hAnsiTheme="minorHAnsi" w:cstheme="majorBidi"/>
          <w:b/>
          <w:color w:val="000000" w:themeColor="text1"/>
          <w:sz w:val="21"/>
          <w:szCs w:val="21"/>
          <w:lang w:val="en-US" w:eastAsia="en-US"/>
        </w:rPr>
      </w:pPr>
      <w:r>
        <w:rPr>
          <w:rFonts w:asciiTheme="minorHAnsi" w:eastAsiaTheme="majorEastAsia" w:hAnsiTheme="minorHAnsi" w:cstheme="majorBidi"/>
          <w:b/>
          <w:color w:val="000000" w:themeColor="text1"/>
          <w:sz w:val="21"/>
          <w:szCs w:val="21"/>
          <w:lang w:val="en-US" w:eastAsia="en-US"/>
        </w:rPr>
        <w:br w:type="page"/>
      </w:r>
    </w:p>
    <w:p w14:paraId="5638ED69" w14:textId="034E9DE4" w:rsidR="00A00873" w:rsidRPr="00A00873" w:rsidRDefault="00A00873" w:rsidP="00A00873">
      <w:pPr>
        <w:keepLines/>
        <w:spacing w:after="120"/>
        <w:outlineLvl w:val="2"/>
        <w:rPr>
          <w:rFonts w:asciiTheme="minorHAnsi" w:eastAsiaTheme="majorEastAsia" w:hAnsiTheme="minorHAnsi" w:cstheme="majorBidi"/>
          <w:b/>
          <w:i/>
          <w:color w:val="000000" w:themeColor="text1"/>
          <w:sz w:val="21"/>
          <w:szCs w:val="21"/>
          <w:lang w:val="en-US" w:eastAsia="en-US"/>
        </w:rPr>
      </w:pPr>
      <w:r w:rsidRPr="00A00873">
        <w:rPr>
          <w:rFonts w:asciiTheme="minorHAnsi" w:eastAsiaTheme="majorEastAsia" w:hAnsiTheme="minorHAnsi" w:cstheme="majorBidi"/>
          <w:b/>
          <w:color w:val="000000" w:themeColor="text1"/>
          <w:sz w:val="21"/>
          <w:szCs w:val="21"/>
          <w:lang w:val="en-US" w:eastAsia="en-US"/>
        </w:rPr>
        <w:lastRenderedPageBreak/>
        <w:t xml:space="preserve">Table </w:t>
      </w:r>
      <w:r w:rsidR="00D90294">
        <w:rPr>
          <w:rFonts w:asciiTheme="minorHAnsi" w:eastAsiaTheme="majorEastAsia" w:hAnsiTheme="minorHAnsi" w:cstheme="majorBidi"/>
          <w:b/>
          <w:color w:val="000000" w:themeColor="text1"/>
          <w:sz w:val="21"/>
          <w:szCs w:val="21"/>
          <w:lang w:val="en-US" w:eastAsia="en-US"/>
        </w:rPr>
        <w:t>54</w:t>
      </w:r>
      <w:r w:rsidRPr="00A00873">
        <w:rPr>
          <w:rFonts w:asciiTheme="minorHAnsi" w:eastAsiaTheme="majorEastAsia" w:hAnsiTheme="minorHAnsi" w:cstheme="majorBidi"/>
          <w:b/>
          <w:i/>
          <w:color w:val="000000" w:themeColor="text1"/>
          <w:sz w:val="21"/>
          <w:szCs w:val="21"/>
          <w:lang w:val="en-US" w:eastAsia="en-US"/>
        </w:rPr>
        <w:t>.</w:t>
      </w:r>
      <w:r w:rsidRPr="00A00873">
        <w:rPr>
          <w:rFonts w:asciiTheme="minorHAnsi" w:eastAsiaTheme="majorEastAsia" w:hAnsiTheme="minorHAnsi" w:cstheme="majorBidi"/>
          <w:b/>
          <w:color w:val="000000" w:themeColor="text1"/>
          <w:sz w:val="21"/>
          <w:szCs w:val="21"/>
          <w:lang w:val="en-US" w:eastAsia="en-US"/>
        </w:rPr>
        <w:t xml:space="preserve"> Total cost breakdown for </w:t>
      </w:r>
      <w:proofErr w:type="spellStart"/>
      <w:r w:rsidRPr="00A00873">
        <w:rPr>
          <w:rFonts w:asciiTheme="minorHAnsi" w:eastAsiaTheme="majorEastAsia" w:hAnsiTheme="minorHAnsi" w:cstheme="majorBidi"/>
          <w:b/>
          <w:color w:val="000000" w:themeColor="text1"/>
          <w:sz w:val="21"/>
          <w:szCs w:val="21"/>
          <w:lang w:val="en-US" w:eastAsia="en-US"/>
        </w:rPr>
        <w:t>MindSpot</w:t>
      </w:r>
      <w:proofErr w:type="spellEnd"/>
      <w:r w:rsidRPr="00A00873">
        <w:rPr>
          <w:rFonts w:asciiTheme="minorHAnsi" w:eastAsiaTheme="majorEastAsia" w:hAnsiTheme="minorHAnsi" w:cstheme="majorBidi"/>
          <w:b/>
          <w:color w:val="000000" w:themeColor="text1"/>
          <w:sz w:val="21"/>
          <w:szCs w:val="21"/>
          <w:lang w:val="en-US" w:eastAsia="en-US"/>
        </w:rPr>
        <w:t>, July 2020 – June 2021</w:t>
      </w: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Caption w:val="Table 54. Total cost breakdown for MindSpot, July 2020 – June 2021"/>
        <w:tblDescription w:val="A table providing the total cost breakdown for MindSpot from July 2020 to June 2021. The costs are presented by assessment, self-direct treatment and therapist-supported treatment."/>
      </w:tblPr>
      <w:tblGrid>
        <w:gridCol w:w="3148"/>
        <w:gridCol w:w="1647"/>
        <w:gridCol w:w="1647"/>
        <w:gridCol w:w="1647"/>
        <w:gridCol w:w="1647"/>
      </w:tblGrid>
      <w:tr w:rsidR="00A00873" w:rsidRPr="00A00873" w14:paraId="1878F22F" w14:textId="77777777" w:rsidTr="006C16BE">
        <w:trPr>
          <w:trHeight w:val="530"/>
        </w:trPr>
        <w:tc>
          <w:tcPr>
            <w:tcW w:w="1616" w:type="pct"/>
            <w:tcBorders>
              <w:top w:val="single" w:sz="4" w:space="0" w:color="auto"/>
              <w:left w:val="single" w:sz="4" w:space="0" w:color="auto"/>
              <w:bottom w:val="nil"/>
              <w:right w:val="nil"/>
            </w:tcBorders>
            <w:shd w:val="clear" w:color="auto" w:fill="000000" w:themeFill="text1"/>
            <w:vAlign w:val="center"/>
            <w:hideMark/>
          </w:tcPr>
          <w:p w14:paraId="60F8BE31" w14:textId="77777777" w:rsidR="00A00873" w:rsidRPr="00A00873" w:rsidRDefault="00A00873" w:rsidP="00A00873">
            <w:pPr>
              <w:rPr>
                <w:i/>
                <w:lang w:eastAsia="zh-CN"/>
              </w:rPr>
            </w:pPr>
          </w:p>
        </w:tc>
        <w:tc>
          <w:tcPr>
            <w:tcW w:w="846" w:type="pct"/>
            <w:tcBorders>
              <w:top w:val="single" w:sz="4" w:space="0" w:color="auto"/>
              <w:left w:val="nil"/>
              <w:bottom w:val="nil"/>
              <w:right w:val="nil"/>
            </w:tcBorders>
            <w:shd w:val="clear" w:color="auto" w:fill="000000" w:themeFill="text1"/>
            <w:vAlign w:val="center"/>
            <w:hideMark/>
          </w:tcPr>
          <w:p w14:paraId="41A550F7" w14:textId="77777777" w:rsidR="00A00873" w:rsidRPr="00A00873" w:rsidRDefault="00A00873" w:rsidP="00A00873">
            <w:pPr>
              <w:snapToGrid w:val="0"/>
              <w:jc w:val="center"/>
              <w:rPr>
                <w:rFonts w:ascii="Calibri" w:hAnsi="Calibri"/>
                <w:b/>
                <w:bCs/>
                <w:color w:val="FFFFFF" w:themeColor="background1"/>
                <w:sz w:val="18"/>
                <w:szCs w:val="18"/>
                <w:lang w:eastAsia="en-AU"/>
              </w:rPr>
            </w:pPr>
            <w:r w:rsidRPr="00A00873">
              <w:rPr>
                <w:rFonts w:ascii="Calibri" w:hAnsi="Calibri"/>
                <w:b/>
                <w:bCs/>
                <w:color w:val="FFFFFF" w:themeColor="background1"/>
                <w:sz w:val="18"/>
                <w:szCs w:val="18"/>
                <w:lang w:eastAsia="en-AU"/>
              </w:rPr>
              <w:t>Assessment only</w:t>
            </w:r>
          </w:p>
        </w:tc>
        <w:tc>
          <w:tcPr>
            <w:tcW w:w="846" w:type="pct"/>
            <w:tcBorders>
              <w:top w:val="single" w:sz="4" w:space="0" w:color="auto"/>
              <w:left w:val="nil"/>
              <w:bottom w:val="nil"/>
              <w:right w:val="nil"/>
            </w:tcBorders>
            <w:shd w:val="clear" w:color="auto" w:fill="000000" w:themeFill="text1"/>
            <w:vAlign w:val="center"/>
            <w:hideMark/>
          </w:tcPr>
          <w:p w14:paraId="7E1FF489" w14:textId="77777777" w:rsidR="00A00873" w:rsidRPr="00A00873" w:rsidRDefault="00A00873" w:rsidP="00A00873">
            <w:pPr>
              <w:snapToGrid w:val="0"/>
              <w:jc w:val="center"/>
              <w:rPr>
                <w:rFonts w:ascii="Calibri" w:hAnsi="Calibri"/>
                <w:b/>
                <w:bCs/>
                <w:color w:val="FFFFFF" w:themeColor="background1"/>
                <w:sz w:val="18"/>
                <w:szCs w:val="18"/>
                <w:lang w:eastAsia="en-AU"/>
              </w:rPr>
            </w:pPr>
            <w:r w:rsidRPr="00A00873">
              <w:rPr>
                <w:rFonts w:ascii="Calibri" w:hAnsi="Calibri"/>
                <w:b/>
                <w:bCs/>
                <w:color w:val="FFFFFF" w:themeColor="background1"/>
                <w:sz w:val="18"/>
                <w:szCs w:val="18"/>
                <w:lang w:eastAsia="en-AU"/>
              </w:rPr>
              <w:t>Self-directed treatment</w:t>
            </w:r>
          </w:p>
        </w:tc>
        <w:tc>
          <w:tcPr>
            <w:tcW w:w="846" w:type="pct"/>
            <w:tcBorders>
              <w:top w:val="single" w:sz="4" w:space="0" w:color="auto"/>
              <w:left w:val="nil"/>
              <w:bottom w:val="nil"/>
              <w:right w:val="nil"/>
            </w:tcBorders>
            <w:shd w:val="clear" w:color="auto" w:fill="000000" w:themeFill="text1"/>
            <w:vAlign w:val="center"/>
            <w:hideMark/>
          </w:tcPr>
          <w:p w14:paraId="2AF51FAF" w14:textId="77777777" w:rsidR="00A00873" w:rsidRPr="00A00873" w:rsidRDefault="00A00873" w:rsidP="00A00873">
            <w:pPr>
              <w:snapToGrid w:val="0"/>
              <w:jc w:val="center"/>
              <w:rPr>
                <w:rFonts w:ascii="Calibri" w:hAnsi="Calibri"/>
                <w:b/>
                <w:bCs/>
                <w:color w:val="FFFFFF" w:themeColor="background1"/>
                <w:sz w:val="18"/>
                <w:szCs w:val="18"/>
                <w:lang w:eastAsia="en-AU"/>
              </w:rPr>
            </w:pPr>
            <w:r w:rsidRPr="00A00873">
              <w:rPr>
                <w:rFonts w:ascii="Calibri" w:hAnsi="Calibri"/>
                <w:b/>
                <w:bCs/>
                <w:color w:val="FFFFFF" w:themeColor="background1"/>
                <w:sz w:val="18"/>
                <w:szCs w:val="18"/>
                <w:lang w:eastAsia="en-AU"/>
              </w:rPr>
              <w:t>Therapist-supported treatment</w:t>
            </w:r>
          </w:p>
        </w:tc>
        <w:tc>
          <w:tcPr>
            <w:tcW w:w="846" w:type="pct"/>
            <w:tcBorders>
              <w:top w:val="single" w:sz="4" w:space="0" w:color="auto"/>
              <w:left w:val="nil"/>
              <w:bottom w:val="nil"/>
              <w:right w:val="single" w:sz="4" w:space="0" w:color="auto"/>
            </w:tcBorders>
            <w:shd w:val="clear" w:color="auto" w:fill="000000" w:themeFill="text1"/>
            <w:noWrap/>
            <w:vAlign w:val="center"/>
            <w:hideMark/>
          </w:tcPr>
          <w:p w14:paraId="18CD566A" w14:textId="77777777" w:rsidR="00A00873" w:rsidRPr="00A00873" w:rsidRDefault="00A00873" w:rsidP="00A00873">
            <w:pPr>
              <w:snapToGrid w:val="0"/>
              <w:jc w:val="center"/>
              <w:rPr>
                <w:rFonts w:ascii="Calibri" w:hAnsi="Calibri"/>
                <w:b/>
                <w:bCs/>
                <w:color w:val="FFFFFF" w:themeColor="background1"/>
                <w:sz w:val="18"/>
                <w:szCs w:val="18"/>
                <w:lang w:eastAsia="en-AU"/>
              </w:rPr>
            </w:pPr>
            <w:r w:rsidRPr="00A00873">
              <w:rPr>
                <w:rFonts w:ascii="Calibri" w:hAnsi="Calibri"/>
                <w:b/>
                <w:bCs/>
                <w:color w:val="FFFFFF" w:themeColor="background1"/>
                <w:sz w:val="18"/>
                <w:szCs w:val="18"/>
                <w:lang w:eastAsia="en-AU"/>
              </w:rPr>
              <w:t>Total costs</w:t>
            </w:r>
          </w:p>
        </w:tc>
      </w:tr>
      <w:tr w:rsidR="00A00873" w:rsidRPr="00A00873" w14:paraId="5DBC43DC" w14:textId="77777777" w:rsidTr="006C16BE">
        <w:trPr>
          <w:trHeight w:val="300"/>
        </w:trPr>
        <w:tc>
          <w:tcPr>
            <w:tcW w:w="1616" w:type="pct"/>
            <w:tcBorders>
              <w:top w:val="nil"/>
              <w:left w:val="single" w:sz="4" w:space="0" w:color="auto"/>
              <w:bottom w:val="nil"/>
              <w:right w:val="nil"/>
            </w:tcBorders>
            <w:noWrap/>
            <w:vAlign w:val="center"/>
            <w:hideMark/>
          </w:tcPr>
          <w:p w14:paraId="72EFA819" w14:textId="77777777" w:rsidR="00A00873" w:rsidRPr="00A00873" w:rsidRDefault="00A00873" w:rsidP="00A00873">
            <w:pPr>
              <w:snapToGrid w:val="0"/>
              <w:rPr>
                <w:rFonts w:ascii="Calibri" w:hAnsi="Calibri"/>
                <w:color w:val="000000"/>
                <w:sz w:val="18"/>
                <w:szCs w:val="18"/>
                <w:lang w:eastAsia="en-AU"/>
              </w:rPr>
            </w:pPr>
            <w:r w:rsidRPr="00A00873">
              <w:rPr>
                <w:rFonts w:ascii="Calibri" w:hAnsi="Calibri"/>
                <w:color w:val="000000"/>
                <w:sz w:val="18"/>
                <w:szCs w:val="18"/>
                <w:lang w:eastAsia="en-AU"/>
              </w:rPr>
              <w:t>Number of consumers</w:t>
            </w:r>
          </w:p>
        </w:tc>
        <w:tc>
          <w:tcPr>
            <w:tcW w:w="846" w:type="pct"/>
            <w:tcBorders>
              <w:top w:val="nil"/>
              <w:left w:val="nil"/>
              <w:bottom w:val="nil"/>
              <w:right w:val="nil"/>
            </w:tcBorders>
            <w:noWrap/>
            <w:vAlign w:val="center"/>
            <w:hideMark/>
          </w:tcPr>
          <w:p w14:paraId="6F10BBAB"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23,115</w:t>
            </w:r>
          </w:p>
        </w:tc>
        <w:tc>
          <w:tcPr>
            <w:tcW w:w="846" w:type="pct"/>
            <w:tcBorders>
              <w:top w:val="nil"/>
              <w:left w:val="nil"/>
              <w:bottom w:val="nil"/>
              <w:right w:val="nil"/>
            </w:tcBorders>
            <w:noWrap/>
            <w:vAlign w:val="center"/>
            <w:hideMark/>
          </w:tcPr>
          <w:p w14:paraId="6FFC813C"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1,117</w:t>
            </w:r>
          </w:p>
        </w:tc>
        <w:tc>
          <w:tcPr>
            <w:tcW w:w="846" w:type="pct"/>
            <w:tcBorders>
              <w:top w:val="nil"/>
              <w:left w:val="nil"/>
              <w:bottom w:val="nil"/>
              <w:right w:val="nil"/>
            </w:tcBorders>
            <w:noWrap/>
            <w:vAlign w:val="center"/>
            <w:hideMark/>
          </w:tcPr>
          <w:p w14:paraId="44F6CD36"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5,198</w:t>
            </w:r>
          </w:p>
        </w:tc>
        <w:tc>
          <w:tcPr>
            <w:tcW w:w="846" w:type="pct"/>
            <w:tcBorders>
              <w:top w:val="nil"/>
              <w:left w:val="nil"/>
              <w:bottom w:val="nil"/>
              <w:right w:val="single" w:sz="4" w:space="0" w:color="auto"/>
            </w:tcBorders>
            <w:noWrap/>
            <w:vAlign w:val="center"/>
            <w:hideMark/>
          </w:tcPr>
          <w:p w14:paraId="4B2B788B" w14:textId="77777777" w:rsidR="00A00873" w:rsidRPr="00A00873" w:rsidRDefault="00A00873" w:rsidP="00A00873">
            <w:pPr>
              <w:rPr>
                <w:rFonts w:ascii="Calibri" w:hAnsi="Calibri"/>
                <w:color w:val="000000"/>
                <w:sz w:val="18"/>
                <w:szCs w:val="18"/>
                <w:lang w:eastAsia="en-AU"/>
              </w:rPr>
            </w:pPr>
          </w:p>
        </w:tc>
      </w:tr>
      <w:tr w:rsidR="00A00873" w:rsidRPr="00A00873" w14:paraId="015D018D" w14:textId="77777777" w:rsidTr="006C16BE">
        <w:trPr>
          <w:trHeight w:val="300"/>
        </w:trPr>
        <w:tc>
          <w:tcPr>
            <w:tcW w:w="1616" w:type="pct"/>
            <w:tcBorders>
              <w:top w:val="nil"/>
              <w:left w:val="single" w:sz="4" w:space="0" w:color="auto"/>
              <w:bottom w:val="nil"/>
              <w:right w:val="nil"/>
            </w:tcBorders>
            <w:noWrap/>
            <w:vAlign w:val="center"/>
            <w:hideMark/>
          </w:tcPr>
          <w:p w14:paraId="1A84472F" w14:textId="77777777" w:rsidR="00A00873" w:rsidRPr="00A00873" w:rsidRDefault="00A00873" w:rsidP="00A00873">
            <w:pPr>
              <w:snapToGrid w:val="0"/>
              <w:rPr>
                <w:rFonts w:ascii="Calibri" w:hAnsi="Calibri"/>
                <w:color w:val="000000"/>
                <w:sz w:val="18"/>
                <w:szCs w:val="18"/>
                <w:lang w:eastAsia="en-AU"/>
              </w:rPr>
            </w:pPr>
            <w:proofErr w:type="gramStart"/>
            <w:r w:rsidRPr="00A00873">
              <w:rPr>
                <w:rFonts w:ascii="Calibri" w:hAnsi="Calibri"/>
                <w:color w:val="000000"/>
                <w:sz w:val="18"/>
                <w:szCs w:val="18"/>
                <w:lang w:eastAsia="en-AU"/>
              </w:rPr>
              <w:t>Therapists</w:t>
            </w:r>
            <w:proofErr w:type="gramEnd"/>
            <w:r w:rsidRPr="00A00873">
              <w:rPr>
                <w:rFonts w:ascii="Calibri" w:hAnsi="Calibri"/>
                <w:color w:val="000000"/>
                <w:sz w:val="18"/>
                <w:szCs w:val="18"/>
                <w:lang w:eastAsia="en-AU"/>
              </w:rPr>
              <w:t xml:space="preserve"> cost </w:t>
            </w:r>
          </w:p>
        </w:tc>
        <w:tc>
          <w:tcPr>
            <w:tcW w:w="846" w:type="pct"/>
            <w:tcBorders>
              <w:top w:val="nil"/>
              <w:left w:val="nil"/>
              <w:bottom w:val="nil"/>
              <w:right w:val="nil"/>
            </w:tcBorders>
            <w:noWrap/>
            <w:vAlign w:val="center"/>
            <w:hideMark/>
          </w:tcPr>
          <w:p w14:paraId="5FAB9E01"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$2,131,769</w:t>
            </w:r>
          </w:p>
        </w:tc>
        <w:tc>
          <w:tcPr>
            <w:tcW w:w="846" w:type="pct"/>
            <w:tcBorders>
              <w:top w:val="nil"/>
              <w:left w:val="nil"/>
              <w:bottom w:val="nil"/>
              <w:right w:val="nil"/>
            </w:tcBorders>
            <w:noWrap/>
            <w:vAlign w:val="center"/>
            <w:hideMark/>
          </w:tcPr>
          <w:p w14:paraId="55D97496"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$55,000</w:t>
            </w:r>
          </w:p>
        </w:tc>
        <w:tc>
          <w:tcPr>
            <w:tcW w:w="846" w:type="pct"/>
            <w:tcBorders>
              <w:top w:val="nil"/>
              <w:left w:val="nil"/>
              <w:bottom w:val="nil"/>
              <w:right w:val="nil"/>
            </w:tcBorders>
            <w:noWrap/>
            <w:vAlign w:val="center"/>
            <w:hideMark/>
          </w:tcPr>
          <w:p w14:paraId="125A91BC"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$870,722</w:t>
            </w:r>
          </w:p>
        </w:tc>
        <w:tc>
          <w:tcPr>
            <w:tcW w:w="846" w:type="pct"/>
            <w:tcBorders>
              <w:top w:val="nil"/>
              <w:left w:val="nil"/>
              <w:bottom w:val="nil"/>
              <w:right w:val="single" w:sz="4" w:space="0" w:color="auto"/>
            </w:tcBorders>
            <w:noWrap/>
            <w:vAlign w:val="center"/>
            <w:hideMark/>
          </w:tcPr>
          <w:p w14:paraId="37959AB6"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$3,057,491</w:t>
            </w:r>
          </w:p>
        </w:tc>
      </w:tr>
      <w:tr w:rsidR="00A00873" w:rsidRPr="00A00873" w14:paraId="07323A27" w14:textId="77777777" w:rsidTr="006C16BE">
        <w:trPr>
          <w:trHeight w:val="300"/>
        </w:trPr>
        <w:tc>
          <w:tcPr>
            <w:tcW w:w="1616" w:type="pct"/>
            <w:tcBorders>
              <w:top w:val="nil"/>
              <w:left w:val="single" w:sz="4" w:space="0" w:color="auto"/>
              <w:bottom w:val="nil"/>
              <w:right w:val="nil"/>
            </w:tcBorders>
            <w:noWrap/>
            <w:vAlign w:val="center"/>
            <w:hideMark/>
          </w:tcPr>
          <w:p w14:paraId="681131FF" w14:textId="77777777" w:rsidR="00A00873" w:rsidRPr="00A00873" w:rsidRDefault="00A00873" w:rsidP="00A00873">
            <w:pPr>
              <w:snapToGrid w:val="0"/>
              <w:rPr>
                <w:rFonts w:ascii="Calibri" w:hAnsi="Calibri"/>
                <w:color w:val="000000"/>
                <w:sz w:val="18"/>
                <w:szCs w:val="18"/>
                <w:lang w:eastAsia="en-AU"/>
              </w:rPr>
            </w:pPr>
            <w:proofErr w:type="gramStart"/>
            <w:r w:rsidRPr="00A00873">
              <w:rPr>
                <w:rFonts w:ascii="Calibri" w:hAnsi="Calibri"/>
                <w:color w:val="000000"/>
                <w:sz w:val="18"/>
                <w:szCs w:val="18"/>
                <w:lang w:eastAsia="en-AU"/>
              </w:rPr>
              <w:t>Supervisors</w:t>
            </w:r>
            <w:proofErr w:type="gramEnd"/>
            <w:r w:rsidRPr="00A00873">
              <w:rPr>
                <w:rFonts w:ascii="Calibri" w:hAnsi="Calibri"/>
                <w:color w:val="000000"/>
                <w:sz w:val="18"/>
                <w:szCs w:val="18"/>
                <w:lang w:eastAsia="en-AU"/>
              </w:rPr>
              <w:t xml:space="preserve"> cost</w:t>
            </w:r>
          </w:p>
        </w:tc>
        <w:tc>
          <w:tcPr>
            <w:tcW w:w="846" w:type="pct"/>
            <w:tcBorders>
              <w:top w:val="nil"/>
              <w:left w:val="nil"/>
              <w:bottom w:val="nil"/>
              <w:right w:val="nil"/>
            </w:tcBorders>
            <w:noWrap/>
            <w:vAlign w:val="center"/>
            <w:hideMark/>
          </w:tcPr>
          <w:p w14:paraId="76B7F12E"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$187,500</w:t>
            </w:r>
          </w:p>
        </w:tc>
        <w:tc>
          <w:tcPr>
            <w:tcW w:w="846" w:type="pct"/>
            <w:tcBorders>
              <w:top w:val="nil"/>
              <w:left w:val="nil"/>
              <w:bottom w:val="nil"/>
              <w:right w:val="nil"/>
            </w:tcBorders>
            <w:noWrap/>
            <w:vAlign w:val="center"/>
            <w:hideMark/>
          </w:tcPr>
          <w:p w14:paraId="09AC6C72"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$25,000</w:t>
            </w:r>
          </w:p>
        </w:tc>
        <w:tc>
          <w:tcPr>
            <w:tcW w:w="846" w:type="pct"/>
            <w:tcBorders>
              <w:top w:val="nil"/>
              <w:left w:val="nil"/>
              <w:bottom w:val="nil"/>
              <w:right w:val="nil"/>
            </w:tcBorders>
            <w:noWrap/>
            <w:vAlign w:val="center"/>
            <w:hideMark/>
          </w:tcPr>
          <w:p w14:paraId="36C91945"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$116,397</w:t>
            </w:r>
          </w:p>
        </w:tc>
        <w:tc>
          <w:tcPr>
            <w:tcW w:w="846" w:type="pct"/>
            <w:tcBorders>
              <w:top w:val="nil"/>
              <w:left w:val="nil"/>
              <w:bottom w:val="nil"/>
              <w:right w:val="single" w:sz="4" w:space="0" w:color="auto"/>
            </w:tcBorders>
            <w:noWrap/>
            <w:vAlign w:val="center"/>
            <w:hideMark/>
          </w:tcPr>
          <w:p w14:paraId="5BDB4D52"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$328,897</w:t>
            </w:r>
          </w:p>
        </w:tc>
      </w:tr>
      <w:tr w:rsidR="00A00873" w:rsidRPr="00A00873" w14:paraId="308F60D3" w14:textId="77777777" w:rsidTr="006C16BE">
        <w:trPr>
          <w:trHeight w:val="300"/>
        </w:trPr>
        <w:tc>
          <w:tcPr>
            <w:tcW w:w="1616" w:type="pct"/>
            <w:tcBorders>
              <w:top w:val="nil"/>
              <w:left w:val="single" w:sz="4" w:space="0" w:color="auto"/>
              <w:bottom w:val="nil"/>
              <w:right w:val="nil"/>
            </w:tcBorders>
            <w:noWrap/>
            <w:vAlign w:val="center"/>
            <w:hideMark/>
          </w:tcPr>
          <w:p w14:paraId="2CEDAB35" w14:textId="77777777" w:rsidR="00A00873" w:rsidRPr="00A00873" w:rsidRDefault="00A00873" w:rsidP="00A00873">
            <w:pPr>
              <w:snapToGrid w:val="0"/>
              <w:rPr>
                <w:rFonts w:ascii="Calibri" w:hAnsi="Calibri"/>
                <w:color w:val="000000"/>
                <w:sz w:val="18"/>
                <w:szCs w:val="18"/>
                <w:lang w:eastAsia="en-AU"/>
              </w:rPr>
            </w:pPr>
            <w:r w:rsidRPr="00A00873">
              <w:rPr>
                <w:rFonts w:ascii="Calibri" w:hAnsi="Calibri"/>
                <w:color w:val="000000"/>
                <w:sz w:val="18"/>
                <w:szCs w:val="18"/>
                <w:lang w:eastAsia="en-AU"/>
              </w:rPr>
              <w:t>Website maintenance</w:t>
            </w:r>
          </w:p>
        </w:tc>
        <w:tc>
          <w:tcPr>
            <w:tcW w:w="846" w:type="pct"/>
            <w:tcBorders>
              <w:top w:val="nil"/>
              <w:left w:val="nil"/>
              <w:bottom w:val="nil"/>
              <w:right w:val="nil"/>
            </w:tcBorders>
            <w:noWrap/>
            <w:vAlign w:val="center"/>
            <w:hideMark/>
          </w:tcPr>
          <w:p w14:paraId="34CDDD35"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$150,000</w:t>
            </w:r>
          </w:p>
        </w:tc>
        <w:tc>
          <w:tcPr>
            <w:tcW w:w="846" w:type="pct"/>
            <w:tcBorders>
              <w:top w:val="nil"/>
              <w:left w:val="nil"/>
              <w:bottom w:val="nil"/>
              <w:right w:val="nil"/>
            </w:tcBorders>
            <w:noWrap/>
            <w:vAlign w:val="center"/>
            <w:hideMark/>
          </w:tcPr>
          <w:p w14:paraId="58AC02A2"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$10,000</w:t>
            </w:r>
          </w:p>
        </w:tc>
        <w:tc>
          <w:tcPr>
            <w:tcW w:w="846" w:type="pct"/>
            <w:tcBorders>
              <w:top w:val="nil"/>
              <w:left w:val="nil"/>
              <w:bottom w:val="nil"/>
              <w:right w:val="nil"/>
            </w:tcBorders>
            <w:noWrap/>
            <w:vAlign w:val="center"/>
            <w:hideMark/>
          </w:tcPr>
          <w:p w14:paraId="59EDEC86"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$142,227</w:t>
            </w:r>
          </w:p>
        </w:tc>
        <w:tc>
          <w:tcPr>
            <w:tcW w:w="846" w:type="pct"/>
            <w:tcBorders>
              <w:top w:val="nil"/>
              <w:left w:val="nil"/>
              <w:bottom w:val="nil"/>
              <w:right w:val="single" w:sz="4" w:space="0" w:color="auto"/>
            </w:tcBorders>
            <w:noWrap/>
            <w:vAlign w:val="center"/>
            <w:hideMark/>
          </w:tcPr>
          <w:p w14:paraId="1797AB32"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$302,227</w:t>
            </w:r>
          </w:p>
        </w:tc>
      </w:tr>
      <w:tr w:rsidR="00A00873" w:rsidRPr="00A00873" w14:paraId="4A0D49A0" w14:textId="77777777" w:rsidTr="006C16BE">
        <w:trPr>
          <w:trHeight w:val="300"/>
        </w:trPr>
        <w:tc>
          <w:tcPr>
            <w:tcW w:w="1616" w:type="pct"/>
            <w:tcBorders>
              <w:top w:val="nil"/>
              <w:left w:val="single" w:sz="4" w:space="0" w:color="auto"/>
              <w:bottom w:val="nil"/>
              <w:right w:val="nil"/>
            </w:tcBorders>
            <w:noWrap/>
            <w:vAlign w:val="center"/>
            <w:hideMark/>
          </w:tcPr>
          <w:p w14:paraId="07825952" w14:textId="77777777" w:rsidR="00A00873" w:rsidRPr="00A00873" w:rsidRDefault="00A00873" w:rsidP="00A00873">
            <w:pPr>
              <w:snapToGrid w:val="0"/>
              <w:rPr>
                <w:rFonts w:ascii="Calibri" w:hAnsi="Calibri"/>
                <w:color w:val="000000"/>
                <w:sz w:val="18"/>
                <w:szCs w:val="18"/>
                <w:lang w:eastAsia="en-AU"/>
              </w:rPr>
            </w:pPr>
            <w:r w:rsidRPr="00A00873">
              <w:rPr>
                <w:rFonts w:ascii="Calibri" w:hAnsi="Calibri"/>
                <w:color w:val="000000"/>
                <w:sz w:val="18"/>
                <w:szCs w:val="18"/>
                <w:lang w:eastAsia="en-AU"/>
              </w:rPr>
              <w:t>Internet access /telecommunications</w:t>
            </w:r>
          </w:p>
        </w:tc>
        <w:tc>
          <w:tcPr>
            <w:tcW w:w="846" w:type="pct"/>
            <w:tcBorders>
              <w:top w:val="nil"/>
              <w:left w:val="nil"/>
              <w:bottom w:val="nil"/>
              <w:right w:val="nil"/>
            </w:tcBorders>
            <w:noWrap/>
            <w:vAlign w:val="center"/>
            <w:hideMark/>
          </w:tcPr>
          <w:p w14:paraId="2EA94A06"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$52,000</w:t>
            </w:r>
          </w:p>
        </w:tc>
        <w:tc>
          <w:tcPr>
            <w:tcW w:w="846" w:type="pct"/>
            <w:tcBorders>
              <w:top w:val="nil"/>
              <w:left w:val="nil"/>
              <w:bottom w:val="nil"/>
              <w:right w:val="nil"/>
            </w:tcBorders>
            <w:noWrap/>
            <w:vAlign w:val="center"/>
            <w:hideMark/>
          </w:tcPr>
          <w:p w14:paraId="2F899A9A"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$1,000</w:t>
            </w:r>
          </w:p>
        </w:tc>
        <w:tc>
          <w:tcPr>
            <w:tcW w:w="846" w:type="pct"/>
            <w:tcBorders>
              <w:top w:val="nil"/>
              <w:left w:val="nil"/>
              <w:bottom w:val="nil"/>
              <w:right w:val="nil"/>
            </w:tcBorders>
            <w:noWrap/>
            <w:vAlign w:val="center"/>
            <w:hideMark/>
          </w:tcPr>
          <w:p w14:paraId="4CFCD84B"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$27,229</w:t>
            </w:r>
          </w:p>
        </w:tc>
        <w:tc>
          <w:tcPr>
            <w:tcW w:w="846" w:type="pct"/>
            <w:tcBorders>
              <w:top w:val="nil"/>
              <w:left w:val="nil"/>
              <w:bottom w:val="nil"/>
              <w:right w:val="single" w:sz="4" w:space="0" w:color="auto"/>
            </w:tcBorders>
            <w:noWrap/>
            <w:vAlign w:val="center"/>
            <w:hideMark/>
          </w:tcPr>
          <w:p w14:paraId="1B0280A0"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$80,229</w:t>
            </w:r>
          </w:p>
        </w:tc>
      </w:tr>
      <w:tr w:rsidR="00A00873" w:rsidRPr="00A00873" w14:paraId="58C8A641" w14:textId="77777777" w:rsidTr="006C16BE">
        <w:trPr>
          <w:trHeight w:val="300"/>
        </w:trPr>
        <w:tc>
          <w:tcPr>
            <w:tcW w:w="1616" w:type="pct"/>
            <w:tcBorders>
              <w:top w:val="nil"/>
              <w:left w:val="single" w:sz="4" w:space="0" w:color="auto"/>
              <w:bottom w:val="nil"/>
              <w:right w:val="nil"/>
            </w:tcBorders>
            <w:noWrap/>
            <w:vAlign w:val="center"/>
            <w:hideMark/>
          </w:tcPr>
          <w:p w14:paraId="7ACE4E3F" w14:textId="77777777" w:rsidR="00A00873" w:rsidRPr="00A00873" w:rsidRDefault="00A00873" w:rsidP="00A00873">
            <w:pPr>
              <w:snapToGrid w:val="0"/>
              <w:rPr>
                <w:rFonts w:ascii="Calibri" w:hAnsi="Calibri"/>
                <w:color w:val="000000"/>
                <w:sz w:val="18"/>
                <w:szCs w:val="18"/>
                <w:lang w:eastAsia="en-AU"/>
              </w:rPr>
            </w:pPr>
            <w:r w:rsidRPr="00A00873">
              <w:rPr>
                <w:rFonts w:ascii="Calibri" w:hAnsi="Calibri"/>
                <w:color w:val="000000"/>
                <w:sz w:val="18"/>
                <w:szCs w:val="18"/>
                <w:lang w:eastAsia="en-AU"/>
              </w:rPr>
              <w:t>Computers (estimate)</w:t>
            </w:r>
          </w:p>
        </w:tc>
        <w:tc>
          <w:tcPr>
            <w:tcW w:w="846" w:type="pct"/>
            <w:tcBorders>
              <w:top w:val="nil"/>
              <w:left w:val="nil"/>
              <w:bottom w:val="nil"/>
              <w:right w:val="nil"/>
            </w:tcBorders>
            <w:noWrap/>
            <w:vAlign w:val="center"/>
            <w:hideMark/>
          </w:tcPr>
          <w:p w14:paraId="579CBFE5"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$15,099</w:t>
            </w:r>
          </w:p>
        </w:tc>
        <w:tc>
          <w:tcPr>
            <w:tcW w:w="846" w:type="pct"/>
            <w:tcBorders>
              <w:top w:val="nil"/>
              <w:left w:val="nil"/>
              <w:bottom w:val="nil"/>
              <w:right w:val="nil"/>
            </w:tcBorders>
            <w:noWrap/>
            <w:vAlign w:val="center"/>
            <w:hideMark/>
          </w:tcPr>
          <w:p w14:paraId="337A9B85"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$3,083</w:t>
            </w:r>
          </w:p>
        </w:tc>
        <w:tc>
          <w:tcPr>
            <w:tcW w:w="846" w:type="pct"/>
            <w:tcBorders>
              <w:top w:val="nil"/>
              <w:left w:val="nil"/>
              <w:bottom w:val="nil"/>
              <w:right w:val="nil"/>
            </w:tcBorders>
            <w:noWrap/>
            <w:vAlign w:val="center"/>
            <w:hideMark/>
          </w:tcPr>
          <w:p w14:paraId="01AD034E"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$6,167</w:t>
            </w:r>
          </w:p>
        </w:tc>
        <w:tc>
          <w:tcPr>
            <w:tcW w:w="846" w:type="pct"/>
            <w:tcBorders>
              <w:top w:val="nil"/>
              <w:left w:val="nil"/>
              <w:bottom w:val="nil"/>
              <w:right w:val="single" w:sz="4" w:space="0" w:color="auto"/>
            </w:tcBorders>
            <w:noWrap/>
            <w:vAlign w:val="center"/>
            <w:hideMark/>
          </w:tcPr>
          <w:p w14:paraId="65646D79"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$24,349</w:t>
            </w:r>
          </w:p>
        </w:tc>
      </w:tr>
      <w:tr w:rsidR="00A00873" w:rsidRPr="00A00873" w14:paraId="0A42E8CF" w14:textId="77777777" w:rsidTr="006C16BE">
        <w:trPr>
          <w:trHeight w:val="300"/>
        </w:trPr>
        <w:tc>
          <w:tcPr>
            <w:tcW w:w="1616" w:type="pct"/>
            <w:tcBorders>
              <w:top w:val="nil"/>
              <w:left w:val="single" w:sz="4" w:space="0" w:color="auto"/>
              <w:bottom w:val="nil"/>
              <w:right w:val="nil"/>
            </w:tcBorders>
            <w:noWrap/>
            <w:vAlign w:val="center"/>
            <w:hideMark/>
          </w:tcPr>
          <w:p w14:paraId="249F00A7" w14:textId="77777777" w:rsidR="00A00873" w:rsidRPr="00A00873" w:rsidRDefault="00A00873" w:rsidP="00A00873">
            <w:pPr>
              <w:snapToGrid w:val="0"/>
              <w:rPr>
                <w:rFonts w:ascii="Calibri" w:hAnsi="Calibri"/>
                <w:color w:val="000000"/>
                <w:sz w:val="18"/>
                <w:szCs w:val="18"/>
                <w:lang w:eastAsia="en-AU"/>
              </w:rPr>
            </w:pPr>
            <w:r w:rsidRPr="00A00873">
              <w:rPr>
                <w:rFonts w:ascii="Calibri" w:hAnsi="Calibri"/>
                <w:color w:val="000000"/>
                <w:sz w:val="18"/>
                <w:szCs w:val="18"/>
                <w:lang w:eastAsia="en-AU"/>
              </w:rPr>
              <w:t>Administrative expenses</w:t>
            </w:r>
          </w:p>
        </w:tc>
        <w:tc>
          <w:tcPr>
            <w:tcW w:w="846" w:type="pct"/>
            <w:tcBorders>
              <w:top w:val="nil"/>
              <w:left w:val="nil"/>
              <w:bottom w:val="nil"/>
              <w:right w:val="nil"/>
            </w:tcBorders>
            <w:noWrap/>
            <w:vAlign w:val="center"/>
            <w:hideMark/>
          </w:tcPr>
          <w:p w14:paraId="02E8D5DF"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$75,000</w:t>
            </w:r>
          </w:p>
        </w:tc>
        <w:tc>
          <w:tcPr>
            <w:tcW w:w="846" w:type="pct"/>
            <w:tcBorders>
              <w:top w:val="nil"/>
              <w:left w:val="nil"/>
              <w:bottom w:val="nil"/>
              <w:right w:val="nil"/>
            </w:tcBorders>
            <w:noWrap/>
            <w:vAlign w:val="center"/>
            <w:hideMark/>
          </w:tcPr>
          <w:p w14:paraId="39617F43"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$15,000</w:t>
            </w:r>
          </w:p>
        </w:tc>
        <w:tc>
          <w:tcPr>
            <w:tcW w:w="846" w:type="pct"/>
            <w:tcBorders>
              <w:top w:val="nil"/>
              <w:left w:val="nil"/>
              <w:bottom w:val="nil"/>
              <w:right w:val="nil"/>
            </w:tcBorders>
            <w:noWrap/>
            <w:vAlign w:val="center"/>
            <w:hideMark/>
          </w:tcPr>
          <w:p w14:paraId="6C5C1078"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$8,576</w:t>
            </w:r>
          </w:p>
        </w:tc>
        <w:tc>
          <w:tcPr>
            <w:tcW w:w="846" w:type="pct"/>
            <w:tcBorders>
              <w:top w:val="nil"/>
              <w:left w:val="nil"/>
              <w:bottom w:val="nil"/>
              <w:right w:val="single" w:sz="4" w:space="0" w:color="auto"/>
            </w:tcBorders>
            <w:noWrap/>
            <w:vAlign w:val="center"/>
            <w:hideMark/>
          </w:tcPr>
          <w:p w14:paraId="22F0C85A"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$98,576</w:t>
            </w:r>
          </w:p>
        </w:tc>
      </w:tr>
      <w:tr w:rsidR="00A00873" w:rsidRPr="00A00873" w14:paraId="16D886D6" w14:textId="77777777" w:rsidTr="006C16BE">
        <w:trPr>
          <w:trHeight w:val="300"/>
        </w:trPr>
        <w:tc>
          <w:tcPr>
            <w:tcW w:w="1616" w:type="pct"/>
            <w:tcBorders>
              <w:top w:val="nil"/>
              <w:left w:val="single" w:sz="4" w:space="0" w:color="auto"/>
              <w:bottom w:val="nil"/>
              <w:right w:val="nil"/>
            </w:tcBorders>
            <w:noWrap/>
            <w:vAlign w:val="center"/>
            <w:hideMark/>
          </w:tcPr>
          <w:p w14:paraId="43EA04F2" w14:textId="77777777" w:rsidR="00A00873" w:rsidRPr="00A00873" w:rsidRDefault="00A00873" w:rsidP="00A00873">
            <w:pPr>
              <w:snapToGrid w:val="0"/>
              <w:rPr>
                <w:rFonts w:ascii="Calibri" w:hAnsi="Calibri"/>
                <w:color w:val="000000"/>
                <w:sz w:val="18"/>
                <w:szCs w:val="18"/>
                <w:lang w:eastAsia="en-AU"/>
              </w:rPr>
            </w:pPr>
            <w:r w:rsidRPr="00A00873">
              <w:rPr>
                <w:rFonts w:ascii="Calibri" w:hAnsi="Calibri"/>
                <w:color w:val="000000"/>
                <w:sz w:val="18"/>
                <w:szCs w:val="18"/>
                <w:lang w:eastAsia="en-AU"/>
              </w:rPr>
              <w:t>Software (if applicable)</w:t>
            </w:r>
          </w:p>
        </w:tc>
        <w:tc>
          <w:tcPr>
            <w:tcW w:w="846" w:type="pct"/>
            <w:tcBorders>
              <w:top w:val="nil"/>
              <w:left w:val="nil"/>
              <w:bottom w:val="nil"/>
              <w:right w:val="nil"/>
            </w:tcBorders>
            <w:noWrap/>
            <w:vAlign w:val="center"/>
            <w:hideMark/>
          </w:tcPr>
          <w:p w14:paraId="03CC9727"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$7,500</w:t>
            </w:r>
          </w:p>
        </w:tc>
        <w:tc>
          <w:tcPr>
            <w:tcW w:w="846" w:type="pct"/>
            <w:tcBorders>
              <w:top w:val="nil"/>
              <w:left w:val="nil"/>
              <w:bottom w:val="nil"/>
              <w:right w:val="nil"/>
            </w:tcBorders>
            <w:noWrap/>
            <w:vAlign w:val="center"/>
            <w:hideMark/>
          </w:tcPr>
          <w:p w14:paraId="5ACF6179"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$1,000</w:t>
            </w:r>
          </w:p>
        </w:tc>
        <w:tc>
          <w:tcPr>
            <w:tcW w:w="846" w:type="pct"/>
            <w:tcBorders>
              <w:top w:val="nil"/>
              <w:left w:val="nil"/>
              <w:bottom w:val="nil"/>
              <w:right w:val="nil"/>
            </w:tcBorders>
            <w:noWrap/>
            <w:vAlign w:val="center"/>
            <w:hideMark/>
          </w:tcPr>
          <w:p w14:paraId="60DB4289"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$4,557</w:t>
            </w:r>
          </w:p>
        </w:tc>
        <w:tc>
          <w:tcPr>
            <w:tcW w:w="846" w:type="pct"/>
            <w:tcBorders>
              <w:top w:val="nil"/>
              <w:left w:val="nil"/>
              <w:bottom w:val="nil"/>
              <w:right w:val="single" w:sz="4" w:space="0" w:color="auto"/>
            </w:tcBorders>
            <w:noWrap/>
            <w:vAlign w:val="center"/>
            <w:hideMark/>
          </w:tcPr>
          <w:p w14:paraId="56946AF8"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$13,057</w:t>
            </w:r>
          </w:p>
        </w:tc>
      </w:tr>
      <w:tr w:rsidR="00A00873" w:rsidRPr="00A00873" w14:paraId="21EE4E71" w14:textId="77777777" w:rsidTr="006C16BE">
        <w:trPr>
          <w:trHeight w:val="300"/>
        </w:trPr>
        <w:tc>
          <w:tcPr>
            <w:tcW w:w="1616" w:type="pct"/>
            <w:tcBorders>
              <w:top w:val="nil"/>
              <w:left w:val="single" w:sz="4" w:space="0" w:color="auto"/>
              <w:bottom w:val="nil"/>
              <w:right w:val="nil"/>
            </w:tcBorders>
            <w:noWrap/>
            <w:vAlign w:val="center"/>
            <w:hideMark/>
          </w:tcPr>
          <w:p w14:paraId="0BB971F3" w14:textId="77777777" w:rsidR="00A00873" w:rsidRPr="00A00873" w:rsidRDefault="00A00873" w:rsidP="00A00873">
            <w:pPr>
              <w:snapToGrid w:val="0"/>
              <w:rPr>
                <w:rFonts w:ascii="Calibri" w:hAnsi="Calibri"/>
                <w:b/>
                <w:bCs/>
                <w:color w:val="000000"/>
                <w:sz w:val="18"/>
                <w:szCs w:val="18"/>
                <w:lang w:eastAsia="en-AU"/>
              </w:rPr>
            </w:pPr>
            <w:r w:rsidRPr="00A00873">
              <w:rPr>
                <w:rFonts w:ascii="Calibri" w:hAnsi="Calibri"/>
                <w:b/>
                <w:bCs/>
                <w:color w:val="000000"/>
                <w:sz w:val="18"/>
                <w:szCs w:val="18"/>
                <w:lang w:eastAsia="en-AU"/>
              </w:rPr>
              <w:t>Overall Expense</w:t>
            </w:r>
          </w:p>
        </w:tc>
        <w:tc>
          <w:tcPr>
            <w:tcW w:w="846" w:type="pct"/>
            <w:tcBorders>
              <w:top w:val="nil"/>
              <w:left w:val="nil"/>
              <w:bottom w:val="nil"/>
              <w:right w:val="nil"/>
            </w:tcBorders>
            <w:noWrap/>
            <w:vAlign w:val="center"/>
            <w:hideMark/>
          </w:tcPr>
          <w:p w14:paraId="64551F36" w14:textId="77777777" w:rsidR="00A00873" w:rsidRPr="00A00873" w:rsidRDefault="00A00873" w:rsidP="00A00873">
            <w:pPr>
              <w:snapToGrid w:val="0"/>
              <w:jc w:val="center"/>
              <w:rPr>
                <w:rFonts w:ascii="Calibri" w:hAnsi="Calibri"/>
                <w:b/>
                <w:bCs/>
                <w:color w:val="000000"/>
                <w:sz w:val="18"/>
                <w:szCs w:val="18"/>
                <w:lang w:eastAsia="en-AU"/>
              </w:rPr>
            </w:pPr>
            <w:r w:rsidRPr="00A00873">
              <w:rPr>
                <w:rFonts w:ascii="Calibri" w:hAnsi="Calibri"/>
                <w:b/>
                <w:bCs/>
                <w:color w:val="000000"/>
                <w:sz w:val="18"/>
                <w:szCs w:val="18"/>
                <w:lang w:eastAsia="en-AU"/>
              </w:rPr>
              <w:t>$2,618,868</w:t>
            </w:r>
          </w:p>
        </w:tc>
        <w:tc>
          <w:tcPr>
            <w:tcW w:w="846" w:type="pct"/>
            <w:tcBorders>
              <w:top w:val="nil"/>
              <w:left w:val="nil"/>
              <w:bottom w:val="nil"/>
              <w:right w:val="nil"/>
            </w:tcBorders>
            <w:noWrap/>
            <w:vAlign w:val="center"/>
            <w:hideMark/>
          </w:tcPr>
          <w:p w14:paraId="309B53B4" w14:textId="77777777" w:rsidR="00A00873" w:rsidRPr="00A00873" w:rsidRDefault="00A00873" w:rsidP="00A00873">
            <w:pPr>
              <w:snapToGrid w:val="0"/>
              <w:jc w:val="center"/>
              <w:rPr>
                <w:rFonts w:ascii="Calibri" w:hAnsi="Calibri"/>
                <w:b/>
                <w:bCs/>
                <w:color w:val="000000"/>
                <w:sz w:val="18"/>
                <w:szCs w:val="18"/>
                <w:lang w:eastAsia="en-AU"/>
              </w:rPr>
            </w:pPr>
            <w:r w:rsidRPr="00A00873">
              <w:rPr>
                <w:rFonts w:ascii="Calibri" w:hAnsi="Calibri"/>
                <w:b/>
                <w:bCs/>
                <w:color w:val="000000"/>
                <w:sz w:val="18"/>
                <w:szCs w:val="18"/>
                <w:lang w:eastAsia="en-AU"/>
              </w:rPr>
              <w:t>$110,083</w:t>
            </w:r>
          </w:p>
        </w:tc>
        <w:tc>
          <w:tcPr>
            <w:tcW w:w="846" w:type="pct"/>
            <w:tcBorders>
              <w:top w:val="nil"/>
              <w:left w:val="nil"/>
              <w:bottom w:val="nil"/>
              <w:right w:val="nil"/>
            </w:tcBorders>
            <w:noWrap/>
            <w:vAlign w:val="center"/>
            <w:hideMark/>
          </w:tcPr>
          <w:p w14:paraId="51E6E83F" w14:textId="77777777" w:rsidR="00A00873" w:rsidRPr="00A00873" w:rsidRDefault="00A00873" w:rsidP="00A00873">
            <w:pPr>
              <w:snapToGrid w:val="0"/>
              <w:jc w:val="center"/>
              <w:rPr>
                <w:rFonts w:ascii="Calibri" w:hAnsi="Calibri"/>
                <w:b/>
                <w:bCs/>
                <w:color w:val="000000"/>
                <w:sz w:val="18"/>
                <w:szCs w:val="18"/>
                <w:lang w:eastAsia="en-AU"/>
              </w:rPr>
            </w:pPr>
            <w:r w:rsidRPr="00A00873">
              <w:rPr>
                <w:rFonts w:ascii="Calibri" w:hAnsi="Calibri"/>
                <w:b/>
                <w:bCs/>
                <w:color w:val="000000"/>
                <w:sz w:val="18"/>
                <w:szCs w:val="18"/>
                <w:lang w:eastAsia="en-AU"/>
              </w:rPr>
              <w:t>$1,175,875</w:t>
            </w:r>
          </w:p>
        </w:tc>
        <w:tc>
          <w:tcPr>
            <w:tcW w:w="846" w:type="pct"/>
            <w:tcBorders>
              <w:top w:val="nil"/>
              <w:left w:val="nil"/>
              <w:bottom w:val="nil"/>
              <w:right w:val="single" w:sz="4" w:space="0" w:color="auto"/>
            </w:tcBorders>
            <w:noWrap/>
            <w:vAlign w:val="center"/>
            <w:hideMark/>
          </w:tcPr>
          <w:p w14:paraId="22689A25" w14:textId="77777777" w:rsidR="00A00873" w:rsidRPr="00A00873" w:rsidRDefault="00A00873" w:rsidP="00A00873">
            <w:pPr>
              <w:snapToGrid w:val="0"/>
              <w:jc w:val="center"/>
              <w:rPr>
                <w:rFonts w:ascii="Calibri" w:hAnsi="Calibri"/>
                <w:b/>
                <w:bCs/>
                <w:color w:val="000000"/>
                <w:sz w:val="18"/>
                <w:szCs w:val="18"/>
                <w:lang w:eastAsia="en-AU"/>
              </w:rPr>
            </w:pPr>
            <w:r w:rsidRPr="00A00873">
              <w:rPr>
                <w:rFonts w:ascii="Calibri" w:hAnsi="Calibri"/>
                <w:b/>
                <w:bCs/>
                <w:color w:val="000000"/>
                <w:sz w:val="18"/>
                <w:szCs w:val="18"/>
                <w:lang w:eastAsia="en-AU"/>
              </w:rPr>
              <w:t>$3,904,826</w:t>
            </w:r>
          </w:p>
        </w:tc>
      </w:tr>
      <w:tr w:rsidR="00A00873" w:rsidRPr="00A00873" w14:paraId="1FDE5C00" w14:textId="77777777" w:rsidTr="006C16BE">
        <w:trPr>
          <w:trHeight w:val="300"/>
        </w:trPr>
        <w:tc>
          <w:tcPr>
            <w:tcW w:w="1616" w:type="pct"/>
            <w:tcBorders>
              <w:top w:val="nil"/>
              <w:left w:val="single" w:sz="4" w:space="0" w:color="auto"/>
              <w:bottom w:val="single" w:sz="4" w:space="0" w:color="auto"/>
              <w:right w:val="nil"/>
            </w:tcBorders>
            <w:noWrap/>
            <w:vAlign w:val="center"/>
            <w:hideMark/>
          </w:tcPr>
          <w:p w14:paraId="4E440617" w14:textId="77777777" w:rsidR="00A00873" w:rsidRPr="00A00873" w:rsidRDefault="00A00873" w:rsidP="00A00873">
            <w:pPr>
              <w:snapToGrid w:val="0"/>
              <w:rPr>
                <w:rFonts w:ascii="Calibri" w:hAnsi="Calibri"/>
                <w:b/>
                <w:bCs/>
                <w:color w:val="000000"/>
                <w:sz w:val="18"/>
                <w:szCs w:val="18"/>
                <w:lang w:eastAsia="en-AU"/>
              </w:rPr>
            </w:pPr>
            <w:r w:rsidRPr="00A00873">
              <w:rPr>
                <w:rFonts w:ascii="Calibri" w:hAnsi="Calibri"/>
                <w:b/>
                <w:bCs/>
                <w:color w:val="000000"/>
                <w:sz w:val="18"/>
                <w:szCs w:val="18"/>
                <w:lang w:eastAsia="en-AU"/>
              </w:rPr>
              <w:t>Annual cost per consumer</w:t>
            </w:r>
          </w:p>
        </w:tc>
        <w:tc>
          <w:tcPr>
            <w:tcW w:w="846" w:type="pct"/>
            <w:tcBorders>
              <w:top w:val="nil"/>
              <w:left w:val="nil"/>
              <w:bottom w:val="single" w:sz="4" w:space="0" w:color="auto"/>
              <w:right w:val="nil"/>
            </w:tcBorders>
            <w:noWrap/>
            <w:vAlign w:val="center"/>
            <w:hideMark/>
          </w:tcPr>
          <w:p w14:paraId="22AA6D4F" w14:textId="77777777" w:rsidR="00A00873" w:rsidRPr="00A00873" w:rsidRDefault="00A00873" w:rsidP="00A00873">
            <w:pPr>
              <w:snapToGrid w:val="0"/>
              <w:jc w:val="center"/>
              <w:rPr>
                <w:rFonts w:ascii="Calibri" w:hAnsi="Calibri"/>
                <w:b/>
                <w:bCs/>
                <w:color w:val="000000"/>
                <w:sz w:val="18"/>
                <w:szCs w:val="18"/>
                <w:lang w:eastAsia="en-AU"/>
              </w:rPr>
            </w:pPr>
            <w:r w:rsidRPr="00A00873">
              <w:rPr>
                <w:rFonts w:ascii="Calibri" w:hAnsi="Calibri"/>
                <w:b/>
                <w:bCs/>
                <w:color w:val="000000"/>
                <w:sz w:val="18"/>
                <w:szCs w:val="18"/>
                <w:lang w:eastAsia="en-AU"/>
              </w:rPr>
              <w:t>$113.30</w:t>
            </w:r>
          </w:p>
        </w:tc>
        <w:tc>
          <w:tcPr>
            <w:tcW w:w="846" w:type="pct"/>
            <w:tcBorders>
              <w:top w:val="nil"/>
              <w:left w:val="nil"/>
              <w:bottom w:val="single" w:sz="4" w:space="0" w:color="auto"/>
              <w:right w:val="nil"/>
            </w:tcBorders>
            <w:noWrap/>
            <w:vAlign w:val="center"/>
            <w:hideMark/>
          </w:tcPr>
          <w:p w14:paraId="7F303814" w14:textId="77777777" w:rsidR="00A00873" w:rsidRPr="00A00873" w:rsidRDefault="00A00873" w:rsidP="00A00873">
            <w:pPr>
              <w:snapToGrid w:val="0"/>
              <w:jc w:val="center"/>
              <w:rPr>
                <w:rFonts w:ascii="Calibri" w:hAnsi="Calibri"/>
                <w:b/>
                <w:bCs/>
                <w:color w:val="000000"/>
                <w:sz w:val="18"/>
                <w:szCs w:val="18"/>
                <w:lang w:eastAsia="en-AU"/>
              </w:rPr>
            </w:pPr>
            <w:r w:rsidRPr="00A00873">
              <w:rPr>
                <w:rFonts w:ascii="Calibri" w:hAnsi="Calibri"/>
                <w:b/>
                <w:bCs/>
                <w:color w:val="000000"/>
                <w:sz w:val="18"/>
                <w:szCs w:val="18"/>
                <w:lang w:eastAsia="en-AU"/>
              </w:rPr>
              <w:t>$98.55</w:t>
            </w:r>
          </w:p>
        </w:tc>
        <w:tc>
          <w:tcPr>
            <w:tcW w:w="846" w:type="pct"/>
            <w:tcBorders>
              <w:top w:val="nil"/>
              <w:left w:val="nil"/>
              <w:bottom w:val="single" w:sz="4" w:space="0" w:color="auto"/>
              <w:right w:val="nil"/>
            </w:tcBorders>
            <w:noWrap/>
            <w:vAlign w:val="center"/>
            <w:hideMark/>
          </w:tcPr>
          <w:p w14:paraId="77E442EF" w14:textId="77777777" w:rsidR="00A00873" w:rsidRPr="00A00873" w:rsidRDefault="00A00873" w:rsidP="00A00873">
            <w:pPr>
              <w:snapToGrid w:val="0"/>
              <w:jc w:val="center"/>
              <w:rPr>
                <w:rFonts w:ascii="Calibri" w:hAnsi="Calibri"/>
                <w:b/>
                <w:bCs/>
                <w:color w:val="000000"/>
                <w:sz w:val="18"/>
                <w:szCs w:val="18"/>
                <w:lang w:eastAsia="en-AU"/>
              </w:rPr>
            </w:pPr>
            <w:r w:rsidRPr="00A00873">
              <w:rPr>
                <w:rFonts w:ascii="Calibri" w:hAnsi="Calibri"/>
                <w:b/>
                <w:bCs/>
                <w:color w:val="000000"/>
                <w:sz w:val="18"/>
                <w:szCs w:val="18"/>
                <w:lang w:eastAsia="en-AU"/>
              </w:rPr>
              <w:t>$226.22</w:t>
            </w:r>
          </w:p>
        </w:tc>
        <w:tc>
          <w:tcPr>
            <w:tcW w:w="846" w:type="pct"/>
            <w:tcBorders>
              <w:top w:val="nil"/>
              <w:left w:val="nil"/>
              <w:bottom w:val="single" w:sz="4" w:space="0" w:color="auto"/>
              <w:right w:val="single" w:sz="4" w:space="0" w:color="auto"/>
            </w:tcBorders>
            <w:noWrap/>
            <w:vAlign w:val="center"/>
            <w:hideMark/>
          </w:tcPr>
          <w:p w14:paraId="0AE8CBC8" w14:textId="77777777" w:rsidR="00A00873" w:rsidRPr="00A00873" w:rsidRDefault="00A00873" w:rsidP="00A00873">
            <w:pPr>
              <w:snapToGrid w:val="0"/>
              <w:jc w:val="center"/>
              <w:rPr>
                <w:rFonts w:ascii="Calibri" w:hAnsi="Calibri"/>
                <w:bCs/>
                <w:color w:val="000000"/>
                <w:sz w:val="18"/>
                <w:szCs w:val="18"/>
                <w:lang w:eastAsia="en-AU"/>
              </w:rPr>
            </w:pPr>
            <w:r w:rsidRPr="00A00873">
              <w:rPr>
                <w:rFonts w:ascii="Calibri" w:hAnsi="Calibri"/>
                <w:bCs/>
                <w:color w:val="000000"/>
                <w:sz w:val="18"/>
                <w:szCs w:val="18"/>
                <w:lang w:eastAsia="en-AU"/>
              </w:rPr>
              <w:t>-</w:t>
            </w:r>
          </w:p>
        </w:tc>
      </w:tr>
    </w:tbl>
    <w:p w14:paraId="04069A4F" w14:textId="219F8ECD" w:rsidR="00A00873" w:rsidRDefault="00A00873" w:rsidP="00BD3151">
      <w:pPr>
        <w:spacing w:before="200" w:after="240"/>
        <w:rPr>
          <w:rFonts w:ascii="Calibri" w:hAnsi="Calibri" w:cs="Arial"/>
          <w:color w:val="000000" w:themeColor="text1"/>
          <w:sz w:val="21"/>
          <w:szCs w:val="21"/>
          <w:lang w:eastAsia="zh-CN"/>
        </w:rPr>
      </w:pPr>
      <w:r w:rsidRPr="00A00873">
        <w:rPr>
          <w:rFonts w:ascii="Calibri" w:hAnsi="Calibri" w:cs="Arial"/>
          <w:color w:val="000000" w:themeColor="text1"/>
          <w:sz w:val="21"/>
          <w:szCs w:val="21"/>
          <w:lang w:eastAsia="zh-CN"/>
        </w:rPr>
        <w:t xml:space="preserve">Figure </w:t>
      </w:r>
      <w:r w:rsidR="005E6E51">
        <w:rPr>
          <w:rFonts w:ascii="Calibri" w:hAnsi="Calibri" w:cs="Arial"/>
          <w:color w:val="000000" w:themeColor="text1"/>
          <w:sz w:val="21"/>
          <w:szCs w:val="21"/>
          <w:lang w:eastAsia="zh-CN"/>
        </w:rPr>
        <w:t>19</w:t>
      </w:r>
      <w:r w:rsidRPr="00A00873">
        <w:rPr>
          <w:rFonts w:ascii="Calibri" w:hAnsi="Calibri" w:cs="Arial"/>
          <w:color w:val="000000" w:themeColor="text1"/>
          <w:sz w:val="21"/>
          <w:szCs w:val="21"/>
          <w:lang w:eastAsia="zh-CN"/>
        </w:rPr>
        <w:t xml:space="preserve"> shows the number of therapist-supported consumers and cost per therapist-supported consumer from 2014-15 to 2021-22. Although the number of consumers has increased steadily over the years, the cost per therapist-supported consumer has decreased from $382.38 in 2014-15 to $226.22 in 2020-21. This suggests cost efficiencies in </w:t>
      </w:r>
      <w:proofErr w:type="spellStart"/>
      <w:r w:rsidRPr="00A00873">
        <w:rPr>
          <w:rFonts w:ascii="Calibri" w:hAnsi="Calibri" w:cs="Arial"/>
          <w:color w:val="000000" w:themeColor="text1"/>
          <w:sz w:val="21"/>
          <w:szCs w:val="21"/>
          <w:lang w:eastAsia="zh-CN"/>
        </w:rPr>
        <w:t>MindSpot’s</w:t>
      </w:r>
      <w:proofErr w:type="spellEnd"/>
      <w:r w:rsidRPr="00A00873">
        <w:rPr>
          <w:rFonts w:ascii="Calibri" w:hAnsi="Calibri" w:cs="Arial"/>
          <w:color w:val="000000" w:themeColor="text1"/>
          <w:sz w:val="21"/>
          <w:szCs w:val="21"/>
          <w:lang w:eastAsia="zh-CN"/>
        </w:rPr>
        <w:t xml:space="preserve"> operations. It is expected that the cost per therapist-supported consumer will continue to decrease in 2021-22, in part due to planned enhancements of </w:t>
      </w:r>
      <w:proofErr w:type="spellStart"/>
      <w:r w:rsidRPr="00A00873">
        <w:rPr>
          <w:rFonts w:ascii="Calibri" w:hAnsi="Calibri" w:cs="Arial"/>
          <w:color w:val="000000" w:themeColor="text1"/>
          <w:sz w:val="21"/>
          <w:szCs w:val="21"/>
          <w:lang w:eastAsia="zh-CN"/>
        </w:rPr>
        <w:t>MindSpot’s</w:t>
      </w:r>
      <w:proofErr w:type="spellEnd"/>
      <w:r w:rsidRPr="00A00873">
        <w:rPr>
          <w:rFonts w:ascii="Calibri" w:hAnsi="Calibri" w:cs="Arial"/>
          <w:color w:val="000000" w:themeColor="text1"/>
          <w:sz w:val="21"/>
          <w:szCs w:val="21"/>
          <w:lang w:eastAsia="zh-CN"/>
        </w:rPr>
        <w:t xml:space="preserve"> clinical software platform (N. </w:t>
      </w:r>
      <w:proofErr w:type="spellStart"/>
      <w:r w:rsidRPr="00A00873">
        <w:rPr>
          <w:rFonts w:ascii="Calibri" w:hAnsi="Calibri" w:cs="Arial"/>
          <w:color w:val="000000" w:themeColor="text1"/>
          <w:sz w:val="21"/>
          <w:szCs w:val="21"/>
          <w:lang w:eastAsia="zh-CN"/>
        </w:rPr>
        <w:t>Titov</w:t>
      </w:r>
      <w:proofErr w:type="spellEnd"/>
      <w:r w:rsidRPr="00A00873">
        <w:rPr>
          <w:rFonts w:ascii="Calibri" w:hAnsi="Calibri" w:cs="Arial"/>
          <w:color w:val="000000" w:themeColor="text1"/>
          <w:sz w:val="21"/>
          <w:szCs w:val="21"/>
          <w:lang w:eastAsia="zh-CN"/>
        </w:rPr>
        <w:t>, personal communication, 8 March 2022).</w:t>
      </w:r>
    </w:p>
    <w:p w14:paraId="78C61A9A" w14:textId="2A07E2FC" w:rsidR="00602847" w:rsidRPr="00A00873" w:rsidRDefault="00B220F3" w:rsidP="00BD3151">
      <w:pPr>
        <w:spacing w:before="120" w:after="120"/>
        <w:rPr>
          <w:rFonts w:asciiTheme="minorHAnsi" w:eastAsiaTheme="majorEastAsia" w:hAnsiTheme="minorHAnsi" w:cstheme="majorBidi"/>
          <w:b/>
          <w:i/>
          <w:color w:val="000000" w:themeColor="text1"/>
          <w:sz w:val="21"/>
          <w:szCs w:val="21"/>
          <w:lang w:val="en-US" w:eastAsia="en-US"/>
        </w:rPr>
      </w:pPr>
      <w:r w:rsidRPr="00A00873">
        <w:rPr>
          <w:noProof/>
          <w:lang w:eastAsia="en-AU"/>
        </w:rPr>
        <w:drawing>
          <wp:anchor distT="0" distB="0" distL="114300" distR="114300" simplePos="0" relativeHeight="251658240" behindDoc="0" locked="0" layoutInCell="1" allowOverlap="1" wp14:anchorId="28DD8359" wp14:editId="42013128">
            <wp:simplePos x="0" y="0"/>
            <wp:positionH relativeFrom="column">
              <wp:posOffset>0</wp:posOffset>
            </wp:positionH>
            <wp:positionV relativeFrom="paragraph">
              <wp:posOffset>73660</wp:posOffset>
            </wp:positionV>
            <wp:extent cx="5689600" cy="4152900"/>
            <wp:effectExtent l="0" t="0" r="6350" b="0"/>
            <wp:wrapTopAndBottom/>
            <wp:docPr id="37" name="Chart 37" descr="A line plot providing the number of therapist-supported consumers and cost per consumer for MindSpot from July 2014 to June 2022. The data is presented by financial year.">
              <a:extLst xmlns:a="http://schemas.openxmlformats.org/drawingml/2006/main">
                <a:ext uri="{FF2B5EF4-FFF2-40B4-BE49-F238E27FC236}">
                  <a16:creationId xmlns:a16="http://schemas.microsoft.com/office/drawing/2014/main" id="{27C14FC2-77AB-4EFD-B418-0A0A11B8EC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anchor>
        </w:drawing>
      </w:r>
      <w:bookmarkStart w:id="300" w:name="_Toc98847478"/>
      <w:r w:rsidR="005E6E51">
        <w:rPr>
          <w:rFonts w:asciiTheme="minorHAnsi" w:eastAsiaTheme="majorEastAsia" w:hAnsiTheme="minorHAnsi" w:cstheme="majorBidi"/>
          <w:b/>
          <w:color w:val="000000" w:themeColor="text1"/>
          <w:sz w:val="21"/>
          <w:szCs w:val="21"/>
          <w:lang w:val="en-US" w:eastAsia="en-US"/>
        </w:rPr>
        <w:t xml:space="preserve">Figure </w:t>
      </w:r>
      <w:r w:rsidR="005E6E51">
        <w:rPr>
          <w:rFonts w:asciiTheme="minorHAnsi" w:eastAsiaTheme="majorEastAsia" w:hAnsiTheme="minorHAnsi" w:cstheme="majorBidi"/>
          <w:b/>
          <w:bCs/>
          <w:color w:val="000000" w:themeColor="text1"/>
          <w:sz w:val="21"/>
          <w:szCs w:val="21"/>
          <w:lang w:val="en-US" w:eastAsia="en-US"/>
        </w:rPr>
        <w:t>19</w:t>
      </w:r>
      <w:r w:rsidR="005E6E51">
        <w:rPr>
          <w:rFonts w:asciiTheme="minorHAnsi" w:eastAsiaTheme="majorEastAsia" w:hAnsiTheme="minorHAnsi" w:cstheme="majorBidi"/>
          <w:b/>
          <w:color w:val="000000" w:themeColor="text1"/>
          <w:sz w:val="21"/>
          <w:szCs w:val="21"/>
          <w:lang w:val="en-US" w:eastAsia="en-US"/>
        </w:rPr>
        <w:t xml:space="preserve">. </w:t>
      </w:r>
      <w:r w:rsidR="00602847" w:rsidRPr="00A00873">
        <w:rPr>
          <w:rFonts w:asciiTheme="minorHAnsi" w:eastAsiaTheme="majorEastAsia" w:hAnsiTheme="minorHAnsi" w:cstheme="majorBidi"/>
          <w:b/>
          <w:color w:val="000000" w:themeColor="text1"/>
          <w:sz w:val="21"/>
          <w:szCs w:val="21"/>
          <w:lang w:val="en-US" w:eastAsia="en-US"/>
        </w:rPr>
        <w:t>Number of therapist-supported consumers and cost per consumer, July 2014 – June 2022.</w:t>
      </w:r>
      <w:r w:rsidR="00602847" w:rsidRPr="00A00873">
        <w:rPr>
          <w:rFonts w:asciiTheme="minorHAnsi" w:eastAsiaTheme="majorEastAsia" w:hAnsiTheme="minorHAnsi" w:cstheme="majorBidi"/>
          <w:b/>
          <w:color w:val="000000" w:themeColor="text1"/>
          <w:sz w:val="21"/>
          <w:szCs w:val="21"/>
          <w:vertAlign w:val="superscript"/>
          <w:lang w:val="en-US" w:eastAsia="en-US"/>
        </w:rPr>
        <w:t>a</w:t>
      </w:r>
    </w:p>
    <w:p w14:paraId="62F782ED" w14:textId="77777777" w:rsidR="00602847" w:rsidRPr="00A00873" w:rsidRDefault="00602847" w:rsidP="009B5C6C">
      <w:pPr>
        <w:spacing w:after="240"/>
        <w:rPr>
          <w:rFonts w:asciiTheme="minorHAnsi" w:hAnsiTheme="minorHAnsi" w:cstheme="minorHAnsi"/>
          <w:iCs/>
          <w:sz w:val="18"/>
          <w:szCs w:val="18"/>
        </w:rPr>
      </w:pPr>
      <w:proofErr w:type="spellStart"/>
      <w:r w:rsidRPr="00A00873">
        <w:rPr>
          <w:rFonts w:asciiTheme="minorHAnsi" w:hAnsiTheme="minorHAnsi" w:cstheme="minorHAnsi"/>
          <w:iCs/>
          <w:sz w:val="18"/>
          <w:szCs w:val="18"/>
          <w:vertAlign w:val="superscript"/>
        </w:rPr>
        <w:t>a</w:t>
      </w:r>
      <w:r w:rsidRPr="00A00873">
        <w:rPr>
          <w:rFonts w:asciiTheme="minorHAnsi" w:hAnsiTheme="minorHAnsi" w:cstheme="minorHAnsi"/>
          <w:iCs/>
          <w:sz w:val="18"/>
          <w:szCs w:val="18"/>
        </w:rPr>
        <w:t>This</w:t>
      </w:r>
      <w:proofErr w:type="spellEnd"/>
      <w:r w:rsidRPr="00A00873">
        <w:rPr>
          <w:rFonts w:asciiTheme="minorHAnsi" w:hAnsiTheme="minorHAnsi" w:cstheme="minorHAnsi"/>
          <w:iCs/>
          <w:sz w:val="18"/>
          <w:szCs w:val="18"/>
        </w:rPr>
        <w:t xml:space="preserve"> figure was provided by </w:t>
      </w:r>
      <w:proofErr w:type="spellStart"/>
      <w:r w:rsidRPr="00A00873">
        <w:rPr>
          <w:rFonts w:asciiTheme="minorHAnsi" w:hAnsiTheme="minorHAnsi" w:cstheme="minorHAnsi"/>
          <w:iCs/>
          <w:sz w:val="18"/>
          <w:szCs w:val="18"/>
        </w:rPr>
        <w:t>MindSpot</w:t>
      </w:r>
      <w:proofErr w:type="spellEnd"/>
      <w:r w:rsidRPr="00A00873">
        <w:rPr>
          <w:rFonts w:asciiTheme="minorHAnsi" w:hAnsiTheme="minorHAnsi" w:cstheme="minorHAnsi"/>
          <w:iCs/>
          <w:sz w:val="18"/>
          <w:szCs w:val="18"/>
        </w:rPr>
        <w:t>.</w:t>
      </w:r>
    </w:p>
    <w:p w14:paraId="7EB9C9CC" w14:textId="77777777" w:rsidR="001F6424" w:rsidRDefault="001F6424">
      <w:pPr>
        <w:spacing w:after="200"/>
        <w:rPr>
          <w:rFonts w:asciiTheme="minorHAnsi" w:hAnsiTheme="minorHAnsi" w:cstheme="minorHAnsi"/>
          <w:b/>
          <w:bCs/>
          <w:color w:val="2F5496" w:themeColor="accent1" w:themeShade="BF"/>
        </w:rPr>
      </w:pPr>
      <w:r>
        <w:br w:type="page"/>
      </w:r>
    </w:p>
    <w:p w14:paraId="62E002BA" w14:textId="5A3A040A" w:rsidR="00A00873" w:rsidRPr="00A00873" w:rsidRDefault="00A00873" w:rsidP="000D0FFD">
      <w:pPr>
        <w:pStyle w:val="Heading3"/>
      </w:pPr>
      <w:r w:rsidRPr="00A00873">
        <w:lastRenderedPageBreak/>
        <w:t>THIS WAY UP</w:t>
      </w:r>
    </w:p>
    <w:p w14:paraId="07DB7C40" w14:textId="016B5365" w:rsidR="00A00873" w:rsidRPr="00A00873" w:rsidRDefault="00A00873" w:rsidP="007D77CF">
      <w:pPr>
        <w:spacing w:after="120"/>
        <w:rPr>
          <w:rFonts w:ascii="Calibri" w:hAnsi="Calibri" w:cs="Arial"/>
          <w:color w:val="000000" w:themeColor="text1"/>
          <w:sz w:val="21"/>
          <w:szCs w:val="21"/>
          <w:lang w:eastAsia="zh-CN"/>
        </w:rPr>
      </w:pPr>
      <w:r w:rsidRPr="00A00873">
        <w:rPr>
          <w:rFonts w:ascii="Calibri" w:hAnsi="Calibri" w:cs="Arial"/>
          <w:color w:val="000000" w:themeColor="text1"/>
          <w:sz w:val="21"/>
          <w:szCs w:val="21"/>
          <w:lang w:eastAsia="zh-CN"/>
        </w:rPr>
        <w:t xml:space="preserve">Table </w:t>
      </w:r>
      <w:r w:rsidR="00D90294">
        <w:rPr>
          <w:rFonts w:ascii="Calibri" w:hAnsi="Calibri" w:cs="Arial"/>
          <w:color w:val="000000" w:themeColor="text1"/>
          <w:sz w:val="21"/>
          <w:szCs w:val="21"/>
          <w:lang w:eastAsia="zh-CN"/>
        </w:rPr>
        <w:t>55</w:t>
      </w:r>
      <w:r w:rsidRPr="00A00873">
        <w:rPr>
          <w:rFonts w:ascii="Calibri" w:hAnsi="Calibri" w:cs="Arial"/>
          <w:color w:val="000000" w:themeColor="text1"/>
          <w:sz w:val="21"/>
          <w:szCs w:val="21"/>
          <w:lang w:eastAsia="zh-CN"/>
        </w:rPr>
        <w:t xml:space="preserve"> presents a breakdown of THIS WAY UP’s total cost by service type (assessment, self-directed and therapist-supported services) for the financial year 2021-22. The breakdown of costs </w:t>
      </w:r>
      <w:proofErr w:type="spellStart"/>
      <w:r w:rsidRPr="00A00873">
        <w:rPr>
          <w:rFonts w:ascii="Calibri" w:hAnsi="Calibri" w:cs="Arial"/>
          <w:color w:val="000000" w:themeColor="text1"/>
          <w:sz w:val="21"/>
          <w:szCs w:val="21"/>
          <w:lang w:eastAsia="zh-CN"/>
        </w:rPr>
        <w:t>w</w:t>
      </w:r>
      <w:r w:rsidR="00AD0EE1">
        <w:rPr>
          <w:rFonts w:ascii="Calibri" w:hAnsi="Calibri" w:cs="Arial"/>
          <w:color w:val="000000" w:themeColor="text1"/>
          <w:sz w:val="21"/>
          <w:szCs w:val="21"/>
          <w:lang w:eastAsia="zh-CN"/>
        </w:rPr>
        <w:t>as</w:t>
      </w:r>
      <w:r w:rsidRPr="00A00873">
        <w:rPr>
          <w:rFonts w:ascii="Calibri" w:hAnsi="Calibri" w:cs="Arial"/>
          <w:color w:val="000000" w:themeColor="text1"/>
          <w:sz w:val="21"/>
          <w:szCs w:val="21"/>
          <w:lang w:eastAsia="zh-CN"/>
        </w:rPr>
        <w:t>obtained</w:t>
      </w:r>
      <w:proofErr w:type="spellEnd"/>
      <w:r w:rsidRPr="00A00873">
        <w:rPr>
          <w:rFonts w:ascii="Calibri" w:hAnsi="Calibri" w:cs="Arial"/>
          <w:color w:val="000000" w:themeColor="text1"/>
          <w:sz w:val="21"/>
          <w:szCs w:val="21"/>
          <w:lang w:eastAsia="zh-CN"/>
        </w:rPr>
        <w:t xml:space="preserve"> directly from THIS WAY UP and did not require further extrapolation from us. Of total costs, salary was the largest component (79% of total costs), followed by external consultants (9%) and administrative expenses (5%). The cost per consumer was highest for self-directed treatment ($51.79), followed by therapist-supported treatment ($21.44) and assessment only ($1.10).</w:t>
      </w:r>
    </w:p>
    <w:p w14:paraId="0A3A468B" w14:textId="38992875" w:rsidR="00A00873" w:rsidRPr="00A00873" w:rsidRDefault="00A00873" w:rsidP="00A00873">
      <w:pPr>
        <w:keepLines/>
        <w:spacing w:after="120"/>
        <w:outlineLvl w:val="2"/>
        <w:rPr>
          <w:rFonts w:asciiTheme="minorHAnsi" w:eastAsiaTheme="majorEastAsia" w:hAnsiTheme="minorHAnsi" w:cstheme="majorBidi"/>
          <w:b/>
          <w:i/>
          <w:color w:val="000000" w:themeColor="text1"/>
          <w:sz w:val="21"/>
          <w:szCs w:val="21"/>
          <w:lang w:val="en-US" w:eastAsia="en-US"/>
        </w:rPr>
      </w:pPr>
      <w:r w:rsidRPr="00A00873">
        <w:rPr>
          <w:rFonts w:asciiTheme="minorHAnsi" w:eastAsiaTheme="majorEastAsia" w:hAnsiTheme="minorHAnsi" w:cstheme="majorBidi"/>
          <w:b/>
          <w:color w:val="000000" w:themeColor="text1"/>
          <w:sz w:val="21"/>
          <w:szCs w:val="21"/>
          <w:lang w:val="en-US" w:eastAsia="en-US"/>
        </w:rPr>
        <w:t xml:space="preserve">Table </w:t>
      </w:r>
      <w:r w:rsidR="00D90294">
        <w:rPr>
          <w:rFonts w:asciiTheme="minorHAnsi" w:eastAsiaTheme="majorEastAsia" w:hAnsiTheme="minorHAnsi" w:cstheme="majorBidi"/>
          <w:b/>
          <w:color w:val="000000" w:themeColor="text1"/>
          <w:sz w:val="21"/>
          <w:szCs w:val="21"/>
          <w:lang w:val="en-US" w:eastAsia="en-US"/>
        </w:rPr>
        <w:t>55</w:t>
      </w:r>
      <w:r w:rsidRPr="00A00873">
        <w:rPr>
          <w:rFonts w:asciiTheme="minorHAnsi" w:eastAsiaTheme="majorEastAsia" w:hAnsiTheme="minorHAnsi" w:cstheme="majorBidi"/>
          <w:b/>
          <w:i/>
          <w:color w:val="000000" w:themeColor="text1"/>
          <w:sz w:val="21"/>
          <w:szCs w:val="21"/>
          <w:lang w:val="en-US" w:eastAsia="en-US"/>
        </w:rPr>
        <w:t>.</w:t>
      </w:r>
      <w:r w:rsidRPr="00A00873">
        <w:rPr>
          <w:rFonts w:asciiTheme="minorHAnsi" w:eastAsiaTheme="majorEastAsia" w:hAnsiTheme="minorHAnsi" w:cstheme="majorBidi"/>
          <w:b/>
          <w:color w:val="000000" w:themeColor="text1"/>
          <w:sz w:val="21"/>
          <w:szCs w:val="21"/>
          <w:lang w:val="en-US" w:eastAsia="en-US"/>
        </w:rPr>
        <w:t xml:space="preserve"> Total cost breakdown for THIS WAY UP, July 2021 – June 2022</w:t>
      </w: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Caption w:val="Table 55. Total cost breakdown for THIS WAY UP, July 2021 – June 2022"/>
        <w:tblDescription w:val="A table providing the total cost breakdown for THIS WAY UP from July 2021 to June 2022. The costs are presented by assessment, self-direct treatment and therapist-supported treatment."/>
      </w:tblPr>
      <w:tblGrid>
        <w:gridCol w:w="3495"/>
        <w:gridCol w:w="1560"/>
        <w:gridCol w:w="1561"/>
        <w:gridCol w:w="1561"/>
        <w:gridCol w:w="1559"/>
      </w:tblGrid>
      <w:tr w:rsidR="00A00873" w:rsidRPr="00A00873" w14:paraId="0268CF54" w14:textId="77777777" w:rsidTr="00C751C6">
        <w:trPr>
          <w:trHeight w:val="530"/>
        </w:trPr>
        <w:tc>
          <w:tcPr>
            <w:tcW w:w="1473" w:type="pct"/>
            <w:tcBorders>
              <w:top w:val="single" w:sz="4" w:space="0" w:color="auto"/>
              <w:left w:val="single" w:sz="4" w:space="0" w:color="auto"/>
              <w:bottom w:val="nil"/>
              <w:right w:val="nil"/>
            </w:tcBorders>
            <w:shd w:val="clear" w:color="auto" w:fill="000000" w:themeFill="text1"/>
            <w:vAlign w:val="center"/>
            <w:hideMark/>
          </w:tcPr>
          <w:p w14:paraId="78B10B2C" w14:textId="77777777" w:rsidR="00A00873" w:rsidRPr="00A00873" w:rsidRDefault="00A00873" w:rsidP="00A00873">
            <w:pPr>
              <w:rPr>
                <w:i/>
                <w:color w:val="FFFFFF" w:themeColor="background1"/>
                <w:lang w:eastAsia="zh-CN"/>
              </w:rPr>
            </w:pPr>
          </w:p>
        </w:tc>
        <w:tc>
          <w:tcPr>
            <w:tcW w:w="882" w:type="pct"/>
            <w:tcBorders>
              <w:top w:val="single" w:sz="4" w:space="0" w:color="auto"/>
              <w:left w:val="nil"/>
              <w:bottom w:val="nil"/>
              <w:right w:val="nil"/>
            </w:tcBorders>
            <w:shd w:val="clear" w:color="auto" w:fill="000000" w:themeFill="text1"/>
            <w:vAlign w:val="center"/>
            <w:hideMark/>
          </w:tcPr>
          <w:p w14:paraId="3B069E88" w14:textId="77777777" w:rsidR="00A00873" w:rsidRPr="00A00873" w:rsidRDefault="00A00873" w:rsidP="00A00873">
            <w:pPr>
              <w:snapToGrid w:val="0"/>
              <w:jc w:val="center"/>
              <w:rPr>
                <w:rFonts w:ascii="Calibri" w:hAnsi="Calibri"/>
                <w:b/>
                <w:bCs/>
                <w:color w:val="FFFFFF" w:themeColor="background1"/>
                <w:sz w:val="18"/>
                <w:szCs w:val="18"/>
                <w:lang w:eastAsia="en-AU"/>
              </w:rPr>
            </w:pPr>
            <w:r w:rsidRPr="00A00873">
              <w:rPr>
                <w:rFonts w:ascii="Calibri" w:hAnsi="Calibri"/>
                <w:b/>
                <w:bCs/>
                <w:color w:val="FFFFFF" w:themeColor="background1"/>
                <w:sz w:val="18"/>
                <w:szCs w:val="18"/>
                <w:lang w:eastAsia="en-AU"/>
              </w:rPr>
              <w:t>Assessment only</w:t>
            </w:r>
          </w:p>
        </w:tc>
        <w:tc>
          <w:tcPr>
            <w:tcW w:w="882" w:type="pct"/>
            <w:tcBorders>
              <w:top w:val="single" w:sz="4" w:space="0" w:color="auto"/>
              <w:left w:val="nil"/>
              <w:bottom w:val="nil"/>
              <w:right w:val="nil"/>
            </w:tcBorders>
            <w:shd w:val="clear" w:color="auto" w:fill="000000" w:themeFill="text1"/>
            <w:vAlign w:val="center"/>
            <w:hideMark/>
          </w:tcPr>
          <w:p w14:paraId="07FC9184" w14:textId="77777777" w:rsidR="00A00873" w:rsidRPr="00A00873" w:rsidRDefault="00A00873" w:rsidP="00A00873">
            <w:pPr>
              <w:snapToGrid w:val="0"/>
              <w:jc w:val="center"/>
              <w:rPr>
                <w:rFonts w:ascii="Calibri" w:hAnsi="Calibri"/>
                <w:b/>
                <w:bCs/>
                <w:color w:val="FFFFFF" w:themeColor="background1"/>
                <w:sz w:val="18"/>
                <w:szCs w:val="18"/>
                <w:lang w:eastAsia="en-AU"/>
              </w:rPr>
            </w:pPr>
            <w:r w:rsidRPr="00A00873">
              <w:rPr>
                <w:rFonts w:ascii="Calibri" w:hAnsi="Calibri"/>
                <w:b/>
                <w:bCs/>
                <w:color w:val="FFFFFF" w:themeColor="background1"/>
                <w:sz w:val="18"/>
                <w:szCs w:val="18"/>
                <w:lang w:eastAsia="en-AU"/>
              </w:rPr>
              <w:t>Self-directed treatment</w:t>
            </w:r>
          </w:p>
        </w:tc>
        <w:tc>
          <w:tcPr>
            <w:tcW w:w="882" w:type="pct"/>
            <w:tcBorders>
              <w:top w:val="single" w:sz="4" w:space="0" w:color="auto"/>
              <w:left w:val="nil"/>
              <w:bottom w:val="nil"/>
              <w:right w:val="nil"/>
            </w:tcBorders>
            <w:shd w:val="clear" w:color="auto" w:fill="000000" w:themeFill="text1"/>
            <w:vAlign w:val="center"/>
            <w:hideMark/>
          </w:tcPr>
          <w:p w14:paraId="7F671AB7" w14:textId="77777777" w:rsidR="00A00873" w:rsidRPr="00A00873" w:rsidRDefault="00A00873" w:rsidP="00A00873">
            <w:pPr>
              <w:snapToGrid w:val="0"/>
              <w:jc w:val="center"/>
              <w:rPr>
                <w:rFonts w:ascii="Calibri" w:hAnsi="Calibri"/>
                <w:b/>
                <w:bCs/>
                <w:color w:val="FFFFFF" w:themeColor="background1"/>
                <w:sz w:val="18"/>
                <w:szCs w:val="18"/>
                <w:lang w:eastAsia="en-AU"/>
              </w:rPr>
            </w:pPr>
            <w:r w:rsidRPr="00A00873">
              <w:rPr>
                <w:rFonts w:ascii="Calibri" w:hAnsi="Calibri"/>
                <w:b/>
                <w:bCs/>
                <w:color w:val="FFFFFF" w:themeColor="background1"/>
                <w:sz w:val="18"/>
                <w:szCs w:val="18"/>
                <w:lang w:eastAsia="en-AU"/>
              </w:rPr>
              <w:t>Therapist-supported treatment</w:t>
            </w:r>
          </w:p>
        </w:tc>
        <w:tc>
          <w:tcPr>
            <w:tcW w:w="882" w:type="pct"/>
            <w:tcBorders>
              <w:top w:val="single" w:sz="4" w:space="0" w:color="auto"/>
              <w:left w:val="nil"/>
              <w:bottom w:val="nil"/>
              <w:right w:val="single" w:sz="4" w:space="0" w:color="auto"/>
            </w:tcBorders>
            <w:shd w:val="clear" w:color="auto" w:fill="000000" w:themeFill="text1"/>
            <w:noWrap/>
            <w:vAlign w:val="center"/>
            <w:hideMark/>
          </w:tcPr>
          <w:p w14:paraId="3178CD4D" w14:textId="77777777" w:rsidR="00A00873" w:rsidRPr="00A00873" w:rsidRDefault="00A00873" w:rsidP="00A00873">
            <w:pPr>
              <w:snapToGrid w:val="0"/>
              <w:jc w:val="center"/>
              <w:rPr>
                <w:rFonts w:ascii="Calibri" w:hAnsi="Calibri"/>
                <w:b/>
                <w:bCs/>
                <w:color w:val="FFFFFF" w:themeColor="background1"/>
                <w:sz w:val="18"/>
                <w:szCs w:val="18"/>
                <w:lang w:eastAsia="en-AU"/>
              </w:rPr>
            </w:pPr>
            <w:r w:rsidRPr="00A00873">
              <w:rPr>
                <w:rFonts w:ascii="Calibri" w:hAnsi="Calibri"/>
                <w:b/>
                <w:bCs/>
                <w:color w:val="FFFFFF" w:themeColor="background1"/>
                <w:sz w:val="18"/>
                <w:szCs w:val="18"/>
                <w:lang w:eastAsia="en-AU"/>
              </w:rPr>
              <w:t>Total costs</w:t>
            </w:r>
          </w:p>
        </w:tc>
      </w:tr>
      <w:tr w:rsidR="00A00873" w:rsidRPr="00A00873" w14:paraId="71F92329" w14:textId="77777777" w:rsidTr="00C751C6">
        <w:trPr>
          <w:trHeight w:val="300"/>
        </w:trPr>
        <w:tc>
          <w:tcPr>
            <w:tcW w:w="1473" w:type="pct"/>
            <w:tcBorders>
              <w:top w:val="nil"/>
              <w:left w:val="single" w:sz="4" w:space="0" w:color="auto"/>
              <w:bottom w:val="nil"/>
              <w:right w:val="nil"/>
            </w:tcBorders>
            <w:noWrap/>
            <w:vAlign w:val="center"/>
            <w:hideMark/>
          </w:tcPr>
          <w:p w14:paraId="09E68084" w14:textId="77777777" w:rsidR="00A00873" w:rsidRPr="00A00873" w:rsidRDefault="00A00873" w:rsidP="00A00873">
            <w:pPr>
              <w:snapToGrid w:val="0"/>
              <w:rPr>
                <w:rFonts w:ascii="Calibri" w:hAnsi="Calibri"/>
                <w:color w:val="000000"/>
                <w:sz w:val="18"/>
                <w:szCs w:val="18"/>
                <w:lang w:eastAsia="en-AU"/>
              </w:rPr>
            </w:pPr>
            <w:r w:rsidRPr="00A00873">
              <w:rPr>
                <w:rFonts w:ascii="Calibri" w:hAnsi="Calibri"/>
                <w:color w:val="000000"/>
                <w:sz w:val="18"/>
                <w:szCs w:val="18"/>
                <w:lang w:eastAsia="en-AU"/>
              </w:rPr>
              <w:t>Number of consumers</w:t>
            </w:r>
          </w:p>
        </w:tc>
        <w:tc>
          <w:tcPr>
            <w:tcW w:w="882" w:type="pct"/>
            <w:tcBorders>
              <w:top w:val="nil"/>
              <w:left w:val="nil"/>
              <w:bottom w:val="nil"/>
              <w:right w:val="nil"/>
            </w:tcBorders>
            <w:noWrap/>
            <w:vAlign w:val="center"/>
          </w:tcPr>
          <w:p w14:paraId="6ADD07DE"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52,077</w:t>
            </w:r>
          </w:p>
        </w:tc>
        <w:tc>
          <w:tcPr>
            <w:tcW w:w="882" w:type="pct"/>
            <w:tcBorders>
              <w:top w:val="nil"/>
              <w:left w:val="nil"/>
              <w:bottom w:val="nil"/>
              <w:right w:val="nil"/>
            </w:tcBorders>
            <w:noWrap/>
            <w:vAlign w:val="center"/>
          </w:tcPr>
          <w:p w14:paraId="3C83BE29"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3,330</w:t>
            </w:r>
          </w:p>
        </w:tc>
        <w:tc>
          <w:tcPr>
            <w:tcW w:w="882" w:type="pct"/>
            <w:tcBorders>
              <w:top w:val="nil"/>
              <w:left w:val="nil"/>
              <w:bottom w:val="nil"/>
              <w:right w:val="nil"/>
            </w:tcBorders>
            <w:noWrap/>
            <w:vAlign w:val="center"/>
          </w:tcPr>
          <w:p w14:paraId="2522F274"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13,407</w:t>
            </w:r>
          </w:p>
        </w:tc>
        <w:tc>
          <w:tcPr>
            <w:tcW w:w="882" w:type="pct"/>
            <w:tcBorders>
              <w:top w:val="nil"/>
              <w:left w:val="nil"/>
              <w:bottom w:val="nil"/>
              <w:right w:val="single" w:sz="4" w:space="0" w:color="auto"/>
            </w:tcBorders>
            <w:noWrap/>
            <w:vAlign w:val="center"/>
          </w:tcPr>
          <w:p w14:paraId="48BC1186" w14:textId="77777777" w:rsidR="00A00873" w:rsidRPr="00A00873" w:rsidRDefault="00A00873" w:rsidP="00A00873">
            <w:pPr>
              <w:jc w:val="center"/>
              <w:rPr>
                <w:rFonts w:ascii="Calibri" w:hAnsi="Calibri"/>
                <w:color w:val="000000"/>
                <w:sz w:val="18"/>
                <w:szCs w:val="18"/>
                <w:lang w:eastAsia="en-AU"/>
              </w:rPr>
            </w:pPr>
          </w:p>
        </w:tc>
      </w:tr>
      <w:tr w:rsidR="00A00873" w:rsidRPr="00A00873" w14:paraId="092CA832" w14:textId="77777777" w:rsidTr="00C751C6">
        <w:trPr>
          <w:trHeight w:val="300"/>
        </w:trPr>
        <w:tc>
          <w:tcPr>
            <w:tcW w:w="1473" w:type="pct"/>
            <w:tcBorders>
              <w:top w:val="nil"/>
              <w:left w:val="single" w:sz="4" w:space="0" w:color="auto"/>
              <w:bottom w:val="nil"/>
              <w:right w:val="nil"/>
            </w:tcBorders>
            <w:noWrap/>
            <w:vAlign w:val="center"/>
            <w:hideMark/>
          </w:tcPr>
          <w:p w14:paraId="7DC6C1CB" w14:textId="77777777" w:rsidR="00A00873" w:rsidRPr="00A00873" w:rsidRDefault="00A00873" w:rsidP="00A00873">
            <w:pPr>
              <w:snapToGrid w:val="0"/>
              <w:rPr>
                <w:rFonts w:ascii="Calibri" w:hAnsi="Calibri"/>
                <w:color w:val="000000"/>
                <w:sz w:val="18"/>
                <w:szCs w:val="18"/>
                <w:lang w:eastAsia="en-AU"/>
              </w:rPr>
            </w:pPr>
            <w:proofErr w:type="spellStart"/>
            <w:r w:rsidRPr="00A00873">
              <w:rPr>
                <w:rFonts w:asciiTheme="minorHAnsi" w:hAnsiTheme="minorHAnsi" w:cstheme="minorHAnsi"/>
                <w:color w:val="000000"/>
                <w:sz w:val="18"/>
                <w:szCs w:val="18"/>
                <w:lang w:eastAsia="en-AU"/>
              </w:rPr>
              <w:t>Salary</w:t>
            </w:r>
            <w:r w:rsidRPr="00A00873">
              <w:rPr>
                <w:rFonts w:asciiTheme="minorHAnsi" w:hAnsiTheme="minorHAnsi" w:cstheme="minorHAnsi"/>
                <w:color w:val="000000"/>
                <w:sz w:val="18"/>
                <w:szCs w:val="18"/>
                <w:vertAlign w:val="superscript"/>
                <w:lang w:eastAsia="en-AU"/>
              </w:rPr>
              <w:t>a</w:t>
            </w:r>
            <w:proofErr w:type="spellEnd"/>
          </w:p>
        </w:tc>
        <w:tc>
          <w:tcPr>
            <w:tcW w:w="882" w:type="pct"/>
            <w:tcBorders>
              <w:top w:val="nil"/>
              <w:left w:val="nil"/>
              <w:bottom w:val="nil"/>
              <w:right w:val="nil"/>
            </w:tcBorders>
            <w:noWrap/>
            <w:vAlign w:val="center"/>
          </w:tcPr>
          <w:p w14:paraId="4D058A26"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$45,401</w:t>
            </w:r>
          </w:p>
        </w:tc>
        <w:tc>
          <w:tcPr>
            <w:tcW w:w="882" w:type="pct"/>
            <w:tcBorders>
              <w:top w:val="nil"/>
              <w:left w:val="nil"/>
              <w:bottom w:val="nil"/>
              <w:right w:val="nil"/>
            </w:tcBorders>
            <w:noWrap/>
            <w:vAlign w:val="center"/>
          </w:tcPr>
          <w:p w14:paraId="6891A1F4"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$136,203</w:t>
            </w:r>
          </w:p>
        </w:tc>
        <w:tc>
          <w:tcPr>
            <w:tcW w:w="882" w:type="pct"/>
            <w:tcBorders>
              <w:top w:val="nil"/>
              <w:left w:val="nil"/>
              <w:bottom w:val="nil"/>
              <w:right w:val="nil"/>
            </w:tcBorders>
            <w:noWrap/>
            <w:vAlign w:val="center"/>
          </w:tcPr>
          <w:p w14:paraId="35FEF8CA"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$227,005</w:t>
            </w:r>
          </w:p>
        </w:tc>
        <w:tc>
          <w:tcPr>
            <w:tcW w:w="882" w:type="pct"/>
            <w:tcBorders>
              <w:top w:val="nil"/>
              <w:left w:val="nil"/>
              <w:bottom w:val="nil"/>
              <w:right w:val="single" w:sz="4" w:space="0" w:color="auto"/>
            </w:tcBorders>
            <w:noWrap/>
            <w:vAlign w:val="center"/>
          </w:tcPr>
          <w:p w14:paraId="119B2D7C"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$408,609</w:t>
            </w:r>
          </w:p>
        </w:tc>
      </w:tr>
      <w:tr w:rsidR="00A00873" w:rsidRPr="00A00873" w14:paraId="3F89C5D7" w14:textId="77777777" w:rsidTr="00C751C6">
        <w:trPr>
          <w:trHeight w:val="300"/>
        </w:trPr>
        <w:tc>
          <w:tcPr>
            <w:tcW w:w="1473" w:type="pct"/>
            <w:tcBorders>
              <w:top w:val="nil"/>
              <w:left w:val="single" w:sz="4" w:space="0" w:color="auto"/>
              <w:bottom w:val="nil"/>
              <w:right w:val="nil"/>
            </w:tcBorders>
            <w:noWrap/>
            <w:vAlign w:val="center"/>
            <w:hideMark/>
          </w:tcPr>
          <w:p w14:paraId="113D37D8" w14:textId="77777777" w:rsidR="00A00873" w:rsidRPr="00A00873" w:rsidRDefault="00A00873" w:rsidP="00A00873">
            <w:pPr>
              <w:snapToGrid w:val="0"/>
              <w:rPr>
                <w:rFonts w:ascii="Calibri" w:hAnsi="Calibri"/>
                <w:color w:val="000000"/>
                <w:sz w:val="18"/>
                <w:szCs w:val="18"/>
                <w:lang w:eastAsia="en-AU"/>
              </w:rPr>
            </w:pPr>
            <w:r w:rsidRPr="00A00873">
              <w:rPr>
                <w:rFonts w:ascii="Calibri" w:hAnsi="Calibri"/>
                <w:color w:val="000000"/>
                <w:sz w:val="18"/>
                <w:szCs w:val="18"/>
                <w:lang w:eastAsia="en-AU"/>
              </w:rPr>
              <w:t xml:space="preserve">External </w:t>
            </w:r>
            <w:proofErr w:type="spellStart"/>
            <w:r w:rsidRPr="00A00873">
              <w:rPr>
                <w:rFonts w:ascii="Calibri" w:hAnsi="Calibri"/>
                <w:color w:val="000000"/>
                <w:sz w:val="18"/>
                <w:szCs w:val="18"/>
                <w:lang w:eastAsia="en-AU"/>
              </w:rPr>
              <w:t>consultants</w:t>
            </w:r>
            <w:r w:rsidRPr="00A00873">
              <w:rPr>
                <w:rFonts w:asciiTheme="minorHAnsi" w:hAnsiTheme="minorHAnsi" w:cstheme="minorHAnsi"/>
                <w:color w:val="000000"/>
                <w:sz w:val="18"/>
                <w:szCs w:val="18"/>
                <w:vertAlign w:val="superscript"/>
                <w:lang w:eastAsia="en-AU"/>
              </w:rPr>
              <w:t>b</w:t>
            </w:r>
            <w:proofErr w:type="spellEnd"/>
          </w:p>
        </w:tc>
        <w:tc>
          <w:tcPr>
            <w:tcW w:w="882" w:type="pct"/>
            <w:tcBorders>
              <w:top w:val="nil"/>
              <w:left w:val="nil"/>
              <w:bottom w:val="nil"/>
              <w:right w:val="nil"/>
            </w:tcBorders>
            <w:noWrap/>
            <w:vAlign w:val="center"/>
          </w:tcPr>
          <w:p w14:paraId="74941D5A"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$5,232</w:t>
            </w:r>
          </w:p>
        </w:tc>
        <w:tc>
          <w:tcPr>
            <w:tcW w:w="882" w:type="pct"/>
            <w:tcBorders>
              <w:top w:val="nil"/>
              <w:left w:val="nil"/>
              <w:bottom w:val="nil"/>
              <w:right w:val="nil"/>
            </w:tcBorders>
            <w:noWrap/>
            <w:vAlign w:val="center"/>
          </w:tcPr>
          <w:p w14:paraId="7136F543"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$15,698</w:t>
            </w:r>
          </w:p>
        </w:tc>
        <w:tc>
          <w:tcPr>
            <w:tcW w:w="882" w:type="pct"/>
            <w:tcBorders>
              <w:top w:val="nil"/>
              <w:left w:val="nil"/>
              <w:bottom w:val="nil"/>
              <w:right w:val="nil"/>
            </w:tcBorders>
            <w:noWrap/>
            <w:vAlign w:val="center"/>
          </w:tcPr>
          <w:p w14:paraId="646BF703"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$26,162</w:t>
            </w:r>
          </w:p>
        </w:tc>
        <w:tc>
          <w:tcPr>
            <w:tcW w:w="882" w:type="pct"/>
            <w:tcBorders>
              <w:top w:val="nil"/>
              <w:left w:val="nil"/>
              <w:bottom w:val="nil"/>
              <w:right w:val="single" w:sz="4" w:space="0" w:color="auto"/>
            </w:tcBorders>
            <w:noWrap/>
            <w:vAlign w:val="center"/>
          </w:tcPr>
          <w:p w14:paraId="1CF008AE"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$47,092</w:t>
            </w:r>
          </w:p>
        </w:tc>
      </w:tr>
      <w:tr w:rsidR="00A00873" w:rsidRPr="00A00873" w14:paraId="4FB00729" w14:textId="77777777" w:rsidTr="00C751C6">
        <w:trPr>
          <w:trHeight w:val="300"/>
        </w:trPr>
        <w:tc>
          <w:tcPr>
            <w:tcW w:w="1473" w:type="pct"/>
            <w:tcBorders>
              <w:top w:val="nil"/>
              <w:left w:val="single" w:sz="4" w:space="0" w:color="auto"/>
              <w:bottom w:val="nil"/>
              <w:right w:val="nil"/>
            </w:tcBorders>
            <w:noWrap/>
            <w:vAlign w:val="center"/>
            <w:hideMark/>
          </w:tcPr>
          <w:p w14:paraId="23779FA6" w14:textId="77777777" w:rsidR="00A00873" w:rsidRPr="00A00873" w:rsidRDefault="00A00873" w:rsidP="00A00873">
            <w:pPr>
              <w:snapToGrid w:val="0"/>
              <w:rPr>
                <w:rFonts w:ascii="Calibri" w:hAnsi="Calibri"/>
                <w:color w:val="000000"/>
                <w:sz w:val="18"/>
                <w:szCs w:val="18"/>
                <w:lang w:eastAsia="en-AU"/>
              </w:rPr>
            </w:pPr>
            <w:r w:rsidRPr="00A00873">
              <w:rPr>
                <w:rFonts w:ascii="Calibri" w:hAnsi="Calibri"/>
                <w:color w:val="000000"/>
                <w:sz w:val="18"/>
                <w:szCs w:val="18"/>
                <w:lang w:eastAsia="en-AU"/>
              </w:rPr>
              <w:t xml:space="preserve">Marketing and promotions </w:t>
            </w:r>
          </w:p>
        </w:tc>
        <w:tc>
          <w:tcPr>
            <w:tcW w:w="882" w:type="pct"/>
            <w:tcBorders>
              <w:top w:val="nil"/>
              <w:left w:val="nil"/>
              <w:bottom w:val="nil"/>
              <w:right w:val="nil"/>
            </w:tcBorders>
            <w:noWrap/>
            <w:vAlign w:val="center"/>
          </w:tcPr>
          <w:p w14:paraId="3F347547"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$1,500</w:t>
            </w:r>
          </w:p>
        </w:tc>
        <w:tc>
          <w:tcPr>
            <w:tcW w:w="882" w:type="pct"/>
            <w:tcBorders>
              <w:top w:val="nil"/>
              <w:left w:val="nil"/>
              <w:bottom w:val="nil"/>
              <w:right w:val="nil"/>
            </w:tcBorders>
            <w:noWrap/>
            <w:vAlign w:val="center"/>
          </w:tcPr>
          <w:p w14:paraId="5A83F3B1"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$4,500</w:t>
            </w:r>
          </w:p>
        </w:tc>
        <w:tc>
          <w:tcPr>
            <w:tcW w:w="882" w:type="pct"/>
            <w:tcBorders>
              <w:top w:val="nil"/>
              <w:left w:val="nil"/>
              <w:bottom w:val="nil"/>
              <w:right w:val="nil"/>
            </w:tcBorders>
            <w:noWrap/>
            <w:vAlign w:val="center"/>
          </w:tcPr>
          <w:p w14:paraId="1328B168"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$7,500</w:t>
            </w:r>
          </w:p>
        </w:tc>
        <w:tc>
          <w:tcPr>
            <w:tcW w:w="882" w:type="pct"/>
            <w:tcBorders>
              <w:top w:val="nil"/>
              <w:left w:val="nil"/>
              <w:bottom w:val="nil"/>
              <w:right w:val="single" w:sz="4" w:space="0" w:color="auto"/>
            </w:tcBorders>
            <w:noWrap/>
            <w:vAlign w:val="center"/>
          </w:tcPr>
          <w:p w14:paraId="1B2AB009"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$13,500</w:t>
            </w:r>
          </w:p>
        </w:tc>
      </w:tr>
      <w:tr w:rsidR="00A00873" w:rsidRPr="00A00873" w14:paraId="4C52949C" w14:textId="77777777" w:rsidTr="00C751C6">
        <w:trPr>
          <w:trHeight w:val="300"/>
        </w:trPr>
        <w:tc>
          <w:tcPr>
            <w:tcW w:w="1473" w:type="pct"/>
            <w:tcBorders>
              <w:top w:val="nil"/>
              <w:left w:val="single" w:sz="4" w:space="0" w:color="auto"/>
              <w:bottom w:val="nil"/>
              <w:right w:val="nil"/>
            </w:tcBorders>
            <w:noWrap/>
            <w:vAlign w:val="center"/>
            <w:hideMark/>
          </w:tcPr>
          <w:p w14:paraId="2F0F8B15" w14:textId="77777777" w:rsidR="00A00873" w:rsidRPr="00A00873" w:rsidRDefault="00A00873" w:rsidP="00A00873">
            <w:pPr>
              <w:snapToGrid w:val="0"/>
              <w:rPr>
                <w:rFonts w:ascii="Calibri" w:hAnsi="Calibri"/>
                <w:color w:val="000000"/>
                <w:sz w:val="18"/>
                <w:szCs w:val="18"/>
                <w:lang w:eastAsia="en-AU"/>
              </w:rPr>
            </w:pPr>
            <w:r w:rsidRPr="00A00873">
              <w:rPr>
                <w:rFonts w:ascii="Calibri" w:hAnsi="Calibri"/>
                <w:color w:val="000000"/>
                <w:sz w:val="18"/>
                <w:szCs w:val="18"/>
                <w:lang w:eastAsia="en-AU"/>
              </w:rPr>
              <w:t xml:space="preserve">Administrative </w:t>
            </w:r>
            <w:proofErr w:type="spellStart"/>
            <w:r w:rsidRPr="00A00873">
              <w:rPr>
                <w:rFonts w:ascii="Calibri" w:hAnsi="Calibri"/>
                <w:color w:val="000000"/>
                <w:sz w:val="18"/>
                <w:szCs w:val="18"/>
                <w:lang w:eastAsia="en-AU"/>
              </w:rPr>
              <w:t>expenses</w:t>
            </w:r>
            <w:r w:rsidRPr="00A00873">
              <w:rPr>
                <w:rFonts w:asciiTheme="minorHAnsi" w:hAnsiTheme="minorHAnsi" w:cstheme="minorHAnsi"/>
                <w:color w:val="000000"/>
                <w:sz w:val="18"/>
                <w:szCs w:val="18"/>
                <w:vertAlign w:val="superscript"/>
                <w:lang w:eastAsia="en-AU"/>
              </w:rPr>
              <w:t>c</w:t>
            </w:r>
            <w:proofErr w:type="spellEnd"/>
          </w:p>
        </w:tc>
        <w:tc>
          <w:tcPr>
            <w:tcW w:w="882" w:type="pct"/>
            <w:tcBorders>
              <w:top w:val="nil"/>
              <w:left w:val="nil"/>
              <w:bottom w:val="nil"/>
              <w:right w:val="nil"/>
            </w:tcBorders>
            <w:noWrap/>
            <w:vAlign w:val="center"/>
          </w:tcPr>
          <w:p w14:paraId="025780A5"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$2,850</w:t>
            </w:r>
          </w:p>
        </w:tc>
        <w:tc>
          <w:tcPr>
            <w:tcW w:w="882" w:type="pct"/>
            <w:tcBorders>
              <w:top w:val="nil"/>
              <w:left w:val="nil"/>
              <w:bottom w:val="nil"/>
              <w:right w:val="nil"/>
            </w:tcBorders>
            <w:noWrap/>
            <w:vAlign w:val="center"/>
          </w:tcPr>
          <w:p w14:paraId="71EEEF83"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$8,550</w:t>
            </w:r>
          </w:p>
        </w:tc>
        <w:tc>
          <w:tcPr>
            <w:tcW w:w="882" w:type="pct"/>
            <w:tcBorders>
              <w:top w:val="nil"/>
              <w:left w:val="nil"/>
              <w:bottom w:val="nil"/>
              <w:right w:val="nil"/>
            </w:tcBorders>
            <w:noWrap/>
            <w:vAlign w:val="center"/>
          </w:tcPr>
          <w:p w14:paraId="76676FEC"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$14,250</w:t>
            </w:r>
          </w:p>
        </w:tc>
        <w:tc>
          <w:tcPr>
            <w:tcW w:w="882" w:type="pct"/>
            <w:tcBorders>
              <w:top w:val="nil"/>
              <w:left w:val="nil"/>
              <w:bottom w:val="nil"/>
              <w:right w:val="single" w:sz="4" w:space="0" w:color="auto"/>
            </w:tcBorders>
            <w:noWrap/>
            <w:vAlign w:val="center"/>
          </w:tcPr>
          <w:p w14:paraId="793DA0E6"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$25,650</w:t>
            </w:r>
          </w:p>
        </w:tc>
      </w:tr>
      <w:tr w:rsidR="00A00873" w:rsidRPr="00A00873" w14:paraId="41FFF65A" w14:textId="77777777" w:rsidTr="00C751C6">
        <w:trPr>
          <w:trHeight w:val="300"/>
        </w:trPr>
        <w:tc>
          <w:tcPr>
            <w:tcW w:w="1473" w:type="pct"/>
            <w:tcBorders>
              <w:top w:val="nil"/>
              <w:left w:val="single" w:sz="4" w:space="0" w:color="auto"/>
              <w:bottom w:val="nil"/>
              <w:right w:val="nil"/>
            </w:tcBorders>
            <w:noWrap/>
            <w:vAlign w:val="center"/>
            <w:hideMark/>
          </w:tcPr>
          <w:p w14:paraId="171C04A8" w14:textId="77777777" w:rsidR="00A00873" w:rsidRPr="00A00873" w:rsidRDefault="00A00873" w:rsidP="00A00873">
            <w:pPr>
              <w:snapToGrid w:val="0"/>
              <w:rPr>
                <w:rFonts w:ascii="Calibri" w:hAnsi="Calibri"/>
                <w:color w:val="000000"/>
                <w:sz w:val="18"/>
                <w:szCs w:val="18"/>
                <w:lang w:eastAsia="en-AU"/>
              </w:rPr>
            </w:pPr>
            <w:r w:rsidRPr="00A00873">
              <w:rPr>
                <w:rFonts w:ascii="Calibri" w:hAnsi="Calibri"/>
                <w:color w:val="000000"/>
                <w:sz w:val="18"/>
                <w:szCs w:val="18"/>
                <w:lang w:eastAsia="en-AU"/>
              </w:rPr>
              <w:t xml:space="preserve">System services, </w:t>
            </w:r>
            <w:proofErr w:type="gramStart"/>
            <w:r w:rsidRPr="00A00873">
              <w:rPr>
                <w:rFonts w:ascii="Calibri" w:hAnsi="Calibri"/>
                <w:color w:val="000000"/>
                <w:sz w:val="18"/>
                <w:szCs w:val="18"/>
                <w:lang w:eastAsia="en-AU"/>
              </w:rPr>
              <w:t>software</w:t>
            </w:r>
            <w:proofErr w:type="gramEnd"/>
            <w:r w:rsidRPr="00A00873">
              <w:rPr>
                <w:rFonts w:ascii="Calibri" w:hAnsi="Calibri"/>
                <w:color w:val="000000"/>
                <w:sz w:val="18"/>
                <w:szCs w:val="18"/>
                <w:lang w:eastAsia="en-AU"/>
              </w:rPr>
              <w:t xml:space="preserve"> and server hosting</w:t>
            </w:r>
          </w:p>
        </w:tc>
        <w:tc>
          <w:tcPr>
            <w:tcW w:w="882" w:type="pct"/>
            <w:tcBorders>
              <w:top w:val="nil"/>
              <w:left w:val="nil"/>
              <w:bottom w:val="nil"/>
              <w:right w:val="nil"/>
            </w:tcBorders>
            <w:noWrap/>
            <w:vAlign w:val="center"/>
          </w:tcPr>
          <w:p w14:paraId="28EB6EA9"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$2,500</w:t>
            </w:r>
          </w:p>
        </w:tc>
        <w:tc>
          <w:tcPr>
            <w:tcW w:w="882" w:type="pct"/>
            <w:tcBorders>
              <w:top w:val="nil"/>
              <w:left w:val="nil"/>
              <w:bottom w:val="nil"/>
              <w:right w:val="nil"/>
            </w:tcBorders>
            <w:noWrap/>
            <w:vAlign w:val="center"/>
          </w:tcPr>
          <w:p w14:paraId="6B0103C3"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$7,500</w:t>
            </w:r>
          </w:p>
        </w:tc>
        <w:tc>
          <w:tcPr>
            <w:tcW w:w="882" w:type="pct"/>
            <w:tcBorders>
              <w:top w:val="nil"/>
              <w:left w:val="nil"/>
              <w:bottom w:val="nil"/>
              <w:right w:val="nil"/>
            </w:tcBorders>
            <w:noWrap/>
            <w:vAlign w:val="center"/>
          </w:tcPr>
          <w:p w14:paraId="20FA3CCA"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$12,500</w:t>
            </w:r>
          </w:p>
        </w:tc>
        <w:tc>
          <w:tcPr>
            <w:tcW w:w="882" w:type="pct"/>
            <w:tcBorders>
              <w:top w:val="nil"/>
              <w:left w:val="nil"/>
              <w:bottom w:val="nil"/>
              <w:right w:val="single" w:sz="4" w:space="0" w:color="auto"/>
            </w:tcBorders>
            <w:noWrap/>
            <w:vAlign w:val="center"/>
          </w:tcPr>
          <w:p w14:paraId="3AFAC90E" w14:textId="77777777" w:rsidR="00A00873" w:rsidRPr="00A00873" w:rsidRDefault="00A00873" w:rsidP="00A00873">
            <w:pPr>
              <w:snapToGrid w:val="0"/>
              <w:jc w:val="center"/>
              <w:rPr>
                <w:rFonts w:ascii="Calibri" w:hAnsi="Calibri"/>
                <w:color w:val="000000"/>
                <w:sz w:val="18"/>
                <w:szCs w:val="18"/>
                <w:lang w:eastAsia="en-AU"/>
              </w:rPr>
            </w:pPr>
            <w:r w:rsidRPr="00A00873">
              <w:rPr>
                <w:rFonts w:ascii="Calibri" w:hAnsi="Calibri"/>
                <w:color w:val="000000"/>
                <w:sz w:val="18"/>
                <w:szCs w:val="18"/>
                <w:lang w:eastAsia="en-AU"/>
              </w:rPr>
              <w:t>$22,500</w:t>
            </w:r>
          </w:p>
        </w:tc>
      </w:tr>
      <w:tr w:rsidR="00A00873" w:rsidRPr="00A00873" w14:paraId="28B00B26" w14:textId="77777777" w:rsidTr="00C751C6">
        <w:trPr>
          <w:trHeight w:val="300"/>
        </w:trPr>
        <w:tc>
          <w:tcPr>
            <w:tcW w:w="1473" w:type="pct"/>
            <w:tcBorders>
              <w:top w:val="nil"/>
              <w:left w:val="single" w:sz="4" w:space="0" w:color="auto"/>
              <w:bottom w:val="nil"/>
              <w:right w:val="nil"/>
            </w:tcBorders>
            <w:noWrap/>
            <w:vAlign w:val="center"/>
            <w:hideMark/>
          </w:tcPr>
          <w:p w14:paraId="139AB37D" w14:textId="77777777" w:rsidR="00A00873" w:rsidRPr="00A00873" w:rsidRDefault="00A00873" w:rsidP="00A00873">
            <w:pPr>
              <w:snapToGrid w:val="0"/>
              <w:rPr>
                <w:rFonts w:ascii="Calibri" w:hAnsi="Calibri"/>
                <w:b/>
                <w:bCs/>
                <w:color w:val="000000"/>
                <w:sz w:val="18"/>
                <w:szCs w:val="18"/>
                <w:lang w:eastAsia="en-AU"/>
              </w:rPr>
            </w:pPr>
            <w:r w:rsidRPr="00A00873">
              <w:rPr>
                <w:rFonts w:ascii="Calibri" w:hAnsi="Calibri"/>
                <w:b/>
                <w:bCs/>
                <w:color w:val="000000"/>
                <w:sz w:val="18"/>
                <w:szCs w:val="18"/>
                <w:lang w:eastAsia="en-AU"/>
              </w:rPr>
              <w:t>Overall Expense</w:t>
            </w:r>
          </w:p>
        </w:tc>
        <w:tc>
          <w:tcPr>
            <w:tcW w:w="882" w:type="pct"/>
            <w:tcBorders>
              <w:top w:val="nil"/>
              <w:left w:val="nil"/>
              <w:bottom w:val="nil"/>
              <w:right w:val="nil"/>
            </w:tcBorders>
            <w:noWrap/>
            <w:vAlign w:val="center"/>
          </w:tcPr>
          <w:p w14:paraId="30E47F41" w14:textId="77777777" w:rsidR="00A00873" w:rsidRPr="00A00873" w:rsidRDefault="00A00873" w:rsidP="00A00873">
            <w:pPr>
              <w:snapToGrid w:val="0"/>
              <w:jc w:val="center"/>
              <w:rPr>
                <w:rFonts w:ascii="Calibri" w:hAnsi="Calibri"/>
                <w:b/>
                <w:bCs/>
                <w:color w:val="000000"/>
                <w:sz w:val="18"/>
                <w:szCs w:val="18"/>
                <w:lang w:eastAsia="en-AU"/>
              </w:rPr>
            </w:pPr>
            <w:r w:rsidRPr="00A00873">
              <w:rPr>
                <w:rFonts w:ascii="Calibri" w:hAnsi="Calibri"/>
                <w:b/>
                <w:bCs/>
                <w:color w:val="000000"/>
                <w:sz w:val="18"/>
                <w:szCs w:val="18"/>
                <w:lang w:eastAsia="en-AU"/>
              </w:rPr>
              <w:t>$57,483.50</w:t>
            </w:r>
          </w:p>
        </w:tc>
        <w:tc>
          <w:tcPr>
            <w:tcW w:w="882" w:type="pct"/>
            <w:tcBorders>
              <w:top w:val="nil"/>
              <w:left w:val="nil"/>
              <w:bottom w:val="nil"/>
              <w:right w:val="nil"/>
            </w:tcBorders>
            <w:noWrap/>
            <w:vAlign w:val="center"/>
          </w:tcPr>
          <w:p w14:paraId="48F2A6F9" w14:textId="77777777" w:rsidR="00A00873" w:rsidRPr="00A00873" w:rsidRDefault="00A00873" w:rsidP="00A00873">
            <w:pPr>
              <w:snapToGrid w:val="0"/>
              <w:jc w:val="center"/>
              <w:rPr>
                <w:rFonts w:ascii="Calibri" w:hAnsi="Calibri"/>
                <w:b/>
                <w:bCs/>
                <w:color w:val="000000"/>
                <w:sz w:val="18"/>
                <w:szCs w:val="18"/>
                <w:lang w:eastAsia="en-AU"/>
              </w:rPr>
            </w:pPr>
            <w:r w:rsidRPr="00A00873">
              <w:rPr>
                <w:rFonts w:ascii="Calibri" w:hAnsi="Calibri"/>
                <w:b/>
                <w:bCs/>
                <w:color w:val="000000"/>
                <w:sz w:val="18"/>
                <w:szCs w:val="18"/>
                <w:lang w:eastAsia="en-AU"/>
              </w:rPr>
              <w:t>$172,450.00</w:t>
            </w:r>
          </w:p>
        </w:tc>
        <w:tc>
          <w:tcPr>
            <w:tcW w:w="882" w:type="pct"/>
            <w:tcBorders>
              <w:top w:val="nil"/>
              <w:left w:val="nil"/>
              <w:bottom w:val="nil"/>
              <w:right w:val="nil"/>
            </w:tcBorders>
            <w:noWrap/>
            <w:vAlign w:val="center"/>
          </w:tcPr>
          <w:p w14:paraId="1FFC6771" w14:textId="77777777" w:rsidR="00A00873" w:rsidRPr="00A00873" w:rsidRDefault="00A00873" w:rsidP="00A00873">
            <w:pPr>
              <w:snapToGrid w:val="0"/>
              <w:jc w:val="center"/>
              <w:rPr>
                <w:rFonts w:ascii="Calibri" w:hAnsi="Calibri"/>
                <w:b/>
                <w:bCs/>
                <w:color w:val="000000"/>
                <w:sz w:val="18"/>
                <w:szCs w:val="18"/>
                <w:lang w:eastAsia="en-AU"/>
              </w:rPr>
            </w:pPr>
            <w:r w:rsidRPr="00A00873">
              <w:rPr>
                <w:rFonts w:ascii="Calibri" w:hAnsi="Calibri"/>
                <w:b/>
                <w:bCs/>
                <w:color w:val="000000"/>
                <w:sz w:val="18"/>
                <w:szCs w:val="18"/>
                <w:lang w:eastAsia="en-AU"/>
              </w:rPr>
              <w:t>$287,417.00</w:t>
            </w:r>
          </w:p>
        </w:tc>
        <w:tc>
          <w:tcPr>
            <w:tcW w:w="882" w:type="pct"/>
            <w:tcBorders>
              <w:top w:val="nil"/>
              <w:left w:val="nil"/>
              <w:bottom w:val="nil"/>
              <w:right w:val="single" w:sz="4" w:space="0" w:color="auto"/>
            </w:tcBorders>
            <w:noWrap/>
            <w:vAlign w:val="center"/>
          </w:tcPr>
          <w:p w14:paraId="31190A61" w14:textId="77777777" w:rsidR="00A00873" w:rsidRPr="00A00873" w:rsidRDefault="00A00873" w:rsidP="00A00873">
            <w:pPr>
              <w:snapToGrid w:val="0"/>
              <w:jc w:val="center"/>
              <w:rPr>
                <w:rFonts w:ascii="Calibri" w:hAnsi="Calibri"/>
                <w:b/>
                <w:bCs/>
                <w:color w:val="000000"/>
                <w:sz w:val="18"/>
                <w:szCs w:val="18"/>
                <w:lang w:eastAsia="en-AU"/>
              </w:rPr>
            </w:pPr>
            <w:r w:rsidRPr="00A00873">
              <w:rPr>
                <w:rFonts w:ascii="Calibri" w:hAnsi="Calibri"/>
                <w:b/>
                <w:bCs/>
                <w:color w:val="000000"/>
                <w:sz w:val="18"/>
                <w:szCs w:val="18"/>
                <w:lang w:eastAsia="en-AU"/>
              </w:rPr>
              <w:t>$517,350.0</w:t>
            </w:r>
          </w:p>
        </w:tc>
      </w:tr>
      <w:tr w:rsidR="00A00873" w:rsidRPr="00A00873" w14:paraId="2E1893B6" w14:textId="77777777" w:rsidTr="00C751C6">
        <w:trPr>
          <w:trHeight w:val="300"/>
        </w:trPr>
        <w:tc>
          <w:tcPr>
            <w:tcW w:w="1473" w:type="pct"/>
            <w:tcBorders>
              <w:top w:val="nil"/>
              <w:left w:val="single" w:sz="4" w:space="0" w:color="auto"/>
              <w:bottom w:val="single" w:sz="4" w:space="0" w:color="auto"/>
              <w:right w:val="nil"/>
            </w:tcBorders>
            <w:noWrap/>
            <w:vAlign w:val="center"/>
            <w:hideMark/>
          </w:tcPr>
          <w:p w14:paraId="04A87777" w14:textId="77777777" w:rsidR="00A00873" w:rsidRPr="00A00873" w:rsidRDefault="00A00873" w:rsidP="00A00873">
            <w:pPr>
              <w:snapToGrid w:val="0"/>
              <w:rPr>
                <w:rFonts w:ascii="Calibri" w:hAnsi="Calibri"/>
                <w:b/>
                <w:bCs/>
                <w:color w:val="000000"/>
                <w:sz w:val="18"/>
                <w:szCs w:val="18"/>
                <w:lang w:eastAsia="en-AU"/>
              </w:rPr>
            </w:pPr>
            <w:r w:rsidRPr="00A00873">
              <w:rPr>
                <w:rFonts w:ascii="Calibri" w:hAnsi="Calibri"/>
                <w:b/>
                <w:bCs/>
                <w:color w:val="000000"/>
                <w:sz w:val="18"/>
                <w:szCs w:val="18"/>
                <w:lang w:eastAsia="en-AU"/>
              </w:rPr>
              <w:t>Annual cost per consumer</w:t>
            </w:r>
          </w:p>
        </w:tc>
        <w:tc>
          <w:tcPr>
            <w:tcW w:w="882" w:type="pct"/>
            <w:tcBorders>
              <w:top w:val="nil"/>
              <w:left w:val="nil"/>
              <w:bottom w:val="single" w:sz="4" w:space="0" w:color="auto"/>
              <w:right w:val="nil"/>
            </w:tcBorders>
            <w:noWrap/>
            <w:vAlign w:val="center"/>
          </w:tcPr>
          <w:p w14:paraId="4DFBCEB8" w14:textId="77777777" w:rsidR="00A00873" w:rsidRPr="00A00873" w:rsidRDefault="00A00873" w:rsidP="00A00873">
            <w:pPr>
              <w:snapToGrid w:val="0"/>
              <w:jc w:val="center"/>
              <w:rPr>
                <w:rFonts w:ascii="Calibri" w:hAnsi="Calibri"/>
                <w:b/>
                <w:bCs/>
                <w:color w:val="000000"/>
                <w:sz w:val="18"/>
                <w:szCs w:val="18"/>
                <w:lang w:eastAsia="en-AU"/>
              </w:rPr>
            </w:pPr>
            <w:r w:rsidRPr="00A00873">
              <w:rPr>
                <w:rFonts w:ascii="Calibri" w:hAnsi="Calibri"/>
                <w:b/>
                <w:bCs/>
                <w:color w:val="000000"/>
                <w:sz w:val="18"/>
                <w:szCs w:val="18"/>
                <w:lang w:eastAsia="en-AU"/>
              </w:rPr>
              <w:t>$1.10</w:t>
            </w:r>
          </w:p>
        </w:tc>
        <w:tc>
          <w:tcPr>
            <w:tcW w:w="882" w:type="pct"/>
            <w:tcBorders>
              <w:top w:val="nil"/>
              <w:left w:val="nil"/>
              <w:bottom w:val="single" w:sz="4" w:space="0" w:color="auto"/>
              <w:right w:val="nil"/>
            </w:tcBorders>
            <w:noWrap/>
            <w:vAlign w:val="center"/>
          </w:tcPr>
          <w:p w14:paraId="5036556A" w14:textId="77777777" w:rsidR="00A00873" w:rsidRPr="00A00873" w:rsidRDefault="00A00873" w:rsidP="00A00873">
            <w:pPr>
              <w:snapToGrid w:val="0"/>
              <w:jc w:val="center"/>
              <w:rPr>
                <w:rFonts w:ascii="Calibri" w:hAnsi="Calibri"/>
                <w:b/>
                <w:bCs/>
                <w:color w:val="000000"/>
                <w:sz w:val="18"/>
                <w:szCs w:val="18"/>
                <w:lang w:eastAsia="en-AU"/>
              </w:rPr>
            </w:pPr>
            <w:r w:rsidRPr="00A00873">
              <w:rPr>
                <w:rFonts w:ascii="Calibri" w:hAnsi="Calibri"/>
                <w:b/>
                <w:bCs/>
                <w:color w:val="000000"/>
                <w:sz w:val="18"/>
                <w:szCs w:val="18"/>
                <w:lang w:eastAsia="en-AU"/>
              </w:rPr>
              <w:t>$51.79</w:t>
            </w:r>
          </w:p>
        </w:tc>
        <w:tc>
          <w:tcPr>
            <w:tcW w:w="882" w:type="pct"/>
            <w:tcBorders>
              <w:top w:val="nil"/>
              <w:left w:val="nil"/>
              <w:bottom w:val="single" w:sz="4" w:space="0" w:color="auto"/>
              <w:right w:val="nil"/>
            </w:tcBorders>
            <w:noWrap/>
            <w:vAlign w:val="center"/>
          </w:tcPr>
          <w:p w14:paraId="4F77A4EA" w14:textId="77777777" w:rsidR="00A00873" w:rsidRPr="00A00873" w:rsidRDefault="00A00873" w:rsidP="00A00873">
            <w:pPr>
              <w:snapToGrid w:val="0"/>
              <w:jc w:val="center"/>
              <w:rPr>
                <w:rFonts w:ascii="Calibri" w:hAnsi="Calibri"/>
                <w:b/>
                <w:bCs/>
                <w:color w:val="000000"/>
                <w:sz w:val="18"/>
                <w:szCs w:val="18"/>
                <w:lang w:eastAsia="en-AU"/>
              </w:rPr>
            </w:pPr>
            <w:r w:rsidRPr="00A00873">
              <w:rPr>
                <w:rFonts w:ascii="Calibri" w:hAnsi="Calibri"/>
                <w:b/>
                <w:bCs/>
                <w:color w:val="000000"/>
                <w:sz w:val="18"/>
                <w:szCs w:val="18"/>
                <w:lang w:eastAsia="en-AU"/>
              </w:rPr>
              <w:t>$21.44</w:t>
            </w:r>
          </w:p>
        </w:tc>
        <w:tc>
          <w:tcPr>
            <w:tcW w:w="882" w:type="pct"/>
            <w:tcBorders>
              <w:top w:val="nil"/>
              <w:left w:val="nil"/>
              <w:bottom w:val="single" w:sz="4" w:space="0" w:color="auto"/>
              <w:right w:val="single" w:sz="4" w:space="0" w:color="auto"/>
            </w:tcBorders>
            <w:noWrap/>
            <w:vAlign w:val="center"/>
          </w:tcPr>
          <w:p w14:paraId="3BFE83F1" w14:textId="77777777" w:rsidR="00A00873" w:rsidRPr="00A00873" w:rsidRDefault="00A00873" w:rsidP="00A00873">
            <w:pPr>
              <w:snapToGrid w:val="0"/>
              <w:jc w:val="center"/>
              <w:rPr>
                <w:rFonts w:ascii="Calibri" w:hAnsi="Calibri"/>
                <w:bCs/>
                <w:color w:val="000000"/>
                <w:sz w:val="18"/>
                <w:szCs w:val="18"/>
                <w:lang w:eastAsia="en-AU"/>
              </w:rPr>
            </w:pPr>
          </w:p>
        </w:tc>
      </w:tr>
    </w:tbl>
    <w:p w14:paraId="7FE77AD0" w14:textId="77777777" w:rsidR="00A00873" w:rsidRPr="00A00873" w:rsidRDefault="00A00873" w:rsidP="007D77CF">
      <w:pPr>
        <w:snapToGrid w:val="0"/>
        <w:rPr>
          <w:rFonts w:asciiTheme="minorHAnsi" w:hAnsiTheme="minorHAnsi" w:cstheme="minorHAnsi"/>
          <w:sz w:val="16"/>
          <w:szCs w:val="16"/>
          <w:lang w:eastAsia="zh-CN"/>
        </w:rPr>
      </w:pPr>
      <w:proofErr w:type="spellStart"/>
      <w:r w:rsidRPr="00A00873">
        <w:rPr>
          <w:rFonts w:asciiTheme="minorHAnsi" w:hAnsiTheme="minorHAnsi" w:cstheme="minorHAnsi"/>
          <w:sz w:val="16"/>
          <w:szCs w:val="16"/>
          <w:vertAlign w:val="superscript"/>
          <w:lang w:eastAsia="zh-CN"/>
        </w:rPr>
        <w:t>a</w:t>
      </w:r>
      <w:r w:rsidRPr="00A00873">
        <w:rPr>
          <w:rFonts w:asciiTheme="minorHAnsi" w:hAnsiTheme="minorHAnsi" w:cstheme="minorHAnsi"/>
          <w:sz w:val="16"/>
          <w:szCs w:val="16"/>
          <w:lang w:eastAsia="zh-CN"/>
        </w:rPr>
        <w:t>Consists</w:t>
      </w:r>
      <w:proofErr w:type="spellEnd"/>
      <w:r w:rsidRPr="00A00873">
        <w:rPr>
          <w:rFonts w:asciiTheme="minorHAnsi" w:hAnsiTheme="minorHAnsi" w:cstheme="minorHAnsi"/>
          <w:sz w:val="16"/>
          <w:szCs w:val="16"/>
          <w:lang w:eastAsia="zh-CN"/>
        </w:rPr>
        <w:t xml:space="preserve"> of Project Director (0.2 FTE), Program Manager (1.0 FTE), Clinical Psychologist (0.4 FTE), Web Developer (1.0 FTE) and User Support Officer (1.0 FTE). On-costs included.</w:t>
      </w:r>
    </w:p>
    <w:p w14:paraId="6E5F8BA0" w14:textId="77777777" w:rsidR="00A00873" w:rsidRPr="00A00873" w:rsidRDefault="00A00873" w:rsidP="007D77CF">
      <w:pPr>
        <w:snapToGrid w:val="0"/>
        <w:rPr>
          <w:rFonts w:ascii="Calibri" w:hAnsi="Calibri"/>
          <w:color w:val="000000"/>
          <w:sz w:val="16"/>
          <w:szCs w:val="18"/>
          <w:lang w:eastAsia="en-AU"/>
        </w:rPr>
      </w:pPr>
      <w:proofErr w:type="spellStart"/>
      <w:r w:rsidRPr="00A00873">
        <w:rPr>
          <w:rFonts w:asciiTheme="minorHAnsi" w:hAnsiTheme="minorHAnsi" w:cstheme="minorHAnsi"/>
          <w:color w:val="000000"/>
          <w:sz w:val="18"/>
          <w:szCs w:val="18"/>
          <w:vertAlign w:val="superscript"/>
          <w:lang w:eastAsia="en-AU"/>
        </w:rPr>
        <w:t>b</w:t>
      </w:r>
      <w:r w:rsidRPr="00A00873">
        <w:rPr>
          <w:rFonts w:ascii="Calibri" w:hAnsi="Calibri"/>
          <w:color w:val="000000"/>
          <w:sz w:val="16"/>
          <w:szCs w:val="18"/>
          <w:lang w:eastAsia="en-AU"/>
        </w:rPr>
        <w:t>Consists</w:t>
      </w:r>
      <w:proofErr w:type="spellEnd"/>
      <w:r w:rsidRPr="00A00873">
        <w:rPr>
          <w:rFonts w:ascii="Calibri" w:hAnsi="Calibri"/>
          <w:color w:val="000000"/>
          <w:sz w:val="16"/>
          <w:szCs w:val="18"/>
          <w:lang w:eastAsia="en-AU"/>
        </w:rPr>
        <w:t xml:space="preserve"> of sub-contractors for cybersecurity, IT, digital </w:t>
      </w:r>
      <w:proofErr w:type="gramStart"/>
      <w:r w:rsidRPr="00A00873">
        <w:rPr>
          <w:rFonts w:ascii="Calibri" w:hAnsi="Calibri"/>
          <w:color w:val="000000"/>
          <w:sz w:val="16"/>
          <w:szCs w:val="18"/>
          <w:lang w:eastAsia="en-AU"/>
        </w:rPr>
        <w:t>communications</w:t>
      </w:r>
      <w:proofErr w:type="gramEnd"/>
      <w:r w:rsidRPr="00A00873">
        <w:rPr>
          <w:rFonts w:ascii="Calibri" w:hAnsi="Calibri"/>
          <w:color w:val="000000"/>
          <w:sz w:val="16"/>
          <w:szCs w:val="18"/>
          <w:lang w:eastAsia="en-AU"/>
        </w:rPr>
        <w:t xml:space="preserve"> and content.</w:t>
      </w:r>
    </w:p>
    <w:p w14:paraId="58C6859C" w14:textId="0BEA671F" w:rsidR="00A00873" w:rsidRPr="00A00873" w:rsidRDefault="00A00873" w:rsidP="009B5C6C">
      <w:pPr>
        <w:snapToGrid w:val="0"/>
        <w:spacing w:after="240"/>
        <w:rPr>
          <w:rFonts w:ascii="Calibri" w:hAnsi="Calibri" w:cs="Arial"/>
          <w:i/>
          <w:iCs/>
          <w:color w:val="000000" w:themeColor="text1"/>
          <w:sz w:val="20"/>
          <w:szCs w:val="21"/>
          <w:lang w:eastAsia="zh-CN"/>
        </w:rPr>
      </w:pPr>
      <w:proofErr w:type="spellStart"/>
      <w:r w:rsidRPr="00A00873">
        <w:rPr>
          <w:rFonts w:asciiTheme="minorHAnsi" w:hAnsiTheme="minorHAnsi" w:cstheme="minorHAnsi"/>
          <w:color w:val="000000"/>
          <w:sz w:val="18"/>
          <w:szCs w:val="18"/>
          <w:vertAlign w:val="superscript"/>
          <w:lang w:eastAsia="en-AU"/>
        </w:rPr>
        <w:t>c</w:t>
      </w:r>
      <w:r w:rsidRPr="00A00873">
        <w:rPr>
          <w:rFonts w:ascii="Calibri" w:hAnsi="Calibri" w:cs="Arial"/>
          <w:color w:val="000000"/>
          <w:sz w:val="16"/>
          <w:szCs w:val="18"/>
          <w:lang w:eastAsia="en-AU"/>
        </w:rPr>
        <w:t>Consists</w:t>
      </w:r>
      <w:proofErr w:type="spellEnd"/>
      <w:r w:rsidRPr="00A00873">
        <w:rPr>
          <w:rFonts w:ascii="Calibri" w:hAnsi="Calibri" w:cs="Arial"/>
          <w:color w:val="000000"/>
          <w:sz w:val="16"/>
          <w:szCs w:val="18"/>
          <w:lang w:eastAsia="en-AU"/>
        </w:rPr>
        <w:t xml:space="preserve"> of accounting audit, bank and trust fund charges and insurance.</w:t>
      </w:r>
    </w:p>
    <w:p w14:paraId="1AF6BCCC" w14:textId="67F6C9D6" w:rsidR="2C1D541E" w:rsidRDefault="2C1D541E" w:rsidP="009B5C6C">
      <w:pPr>
        <w:spacing w:after="240"/>
        <w:rPr>
          <w:rFonts w:ascii="Calibri" w:hAnsi="Calibri" w:cs="Arial"/>
          <w:color w:val="000000" w:themeColor="text1"/>
          <w:sz w:val="21"/>
          <w:szCs w:val="21"/>
          <w:lang w:eastAsia="zh-CN"/>
        </w:rPr>
      </w:pPr>
      <w:r w:rsidRPr="4104A11D">
        <w:rPr>
          <w:rFonts w:ascii="Calibri" w:hAnsi="Calibri" w:cs="Arial"/>
          <w:color w:val="000000" w:themeColor="text1"/>
          <w:sz w:val="21"/>
          <w:szCs w:val="21"/>
          <w:lang w:eastAsia="zh-CN"/>
        </w:rPr>
        <w:t xml:space="preserve">As described in Section 2.2, it is important to note here that unlike Mental Health Online and </w:t>
      </w:r>
      <w:proofErr w:type="spellStart"/>
      <w:r w:rsidRPr="4104A11D">
        <w:rPr>
          <w:rFonts w:ascii="Calibri" w:hAnsi="Calibri" w:cs="Arial"/>
          <w:color w:val="000000" w:themeColor="text1"/>
          <w:sz w:val="21"/>
          <w:szCs w:val="21"/>
          <w:lang w:eastAsia="zh-CN"/>
        </w:rPr>
        <w:t>MindSpot</w:t>
      </w:r>
      <w:proofErr w:type="spellEnd"/>
      <w:r w:rsidRPr="4104A11D">
        <w:rPr>
          <w:rFonts w:ascii="Calibri" w:hAnsi="Calibri" w:cs="Arial"/>
          <w:color w:val="000000" w:themeColor="text1"/>
          <w:sz w:val="21"/>
          <w:szCs w:val="21"/>
          <w:lang w:eastAsia="zh-CN"/>
        </w:rPr>
        <w:t>, THIS WAY UP does not employ in-house clinicians to provide therapist-supported treatment. Rather, the support is provided by the consumer’s own mental health professional (GP, psychologist, medical specialist etc.). It can be argued that regardless of whether consumers use THIS WAY UP, these mental health professionals provide their consumers with mental health support, including promoting treatment engagement and regularly reviewing progress and patient wellbeing (A. Mahoney, personal communication, 9 June 2022). Based on anecdotal evidence, THIS WAY UP services can reduce the time spent by these mental health professionals compared to the time they usually spend in their consults (e.g., explaining depression and cognitive behavioural therapy,</w:t>
      </w:r>
      <w:r w:rsidR="3B4F3BB8" w:rsidRPr="4104A11D">
        <w:rPr>
          <w:rFonts w:ascii="Calibri" w:hAnsi="Calibri" w:cs="Arial"/>
          <w:color w:val="000000" w:themeColor="text1"/>
          <w:sz w:val="21"/>
          <w:szCs w:val="21"/>
          <w:lang w:eastAsia="zh-CN"/>
        </w:rPr>
        <w:t xml:space="preserve"> </w:t>
      </w:r>
      <w:r w:rsidRPr="4104A11D">
        <w:rPr>
          <w:rFonts w:ascii="Calibri" w:hAnsi="Calibri" w:cs="Arial"/>
          <w:color w:val="000000" w:themeColor="text1"/>
          <w:sz w:val="21"/>
          <w:szCs w:val="21"/>
          <w:lang w:eastAsia="zh-CN"/>
        </w:rPr>
        <w:t>prescribing/</w:t>
      </w:r>
      <w:r w:rsidR="3B4F3BB8" w:rsidRPr="4104A11D">
        <w:rPr>
          <w:rFonts w:ascii="Calibri" w:hAnsi="Calibri" w:cs="Arial"/>
          <w:color w:val="000000" w:themeColor="text1"/>
          <w:sz w:val="21"/>
          <w:szCs w:val="21"/>
          <w:lang w:eastAsia="zh-CN"/>
        </w:rPr>
        <w:t xml:space="preserve"> </w:t>
      </w:r>
      <w:r w:rsidRPr="4104A11D">
        <w:rPr>
          <w:rFonts w:ascii="Calibri" w:hAnsi="Calibri" w:cs="Arial"/>
          <w:color w:val="000000" w:themeColor="text1"/>
          <w:sz w:val="21"/>
          <w:szCs w:val="21"/>
          <w:lang w:eastAsia="zh-CN"/>
        </w:rPr>
        <w:t>monitoring/</w:t>
      </w:r>
      <w:r w:rsidR="3B4F3BB8" w:rsidRPr="4104A11D">
        <w:rPr>
          <w:rFonts w:ascii="Calibri" w:hAnsi="Calibri" w:cs="Arial"/>
          <w:color w:val="000000" w:themeColor="text1"/>
          <w:sz w:val="21"/>
          <w:szCs w:val="21"/>
          <w:lang w:eastAsia="zh-CN"/>
        </w:rPr>
        <w:t xml:space="preserve"> </w:t>
      </w:r>
      <w:r w:rsidRPr="4104A11D">
        <w:rPr>
          <w:rFonts w:ascii="Calibri" w:hAnsi="Calibri" w:cs="Arial"/>
          <w:color w:val="000000" w:themeColor="text1"/>
          <w:sz w:val="21"/>
          <w:szCs w:val="21"/>
          <w:lang w:eastAsia="zh-CN"/>
        </w:rPr>
        <w:t xml:space="preserve">changing medications, explaining side effects, writing referrals, </w:t>
      </w:r>
      <w:proofErr w:type="gramStart"/>
      <w:r w:rsidRPr="4104A11D">
        <w:rPr>
          <w:rFonts w:ascii="Calibri" w:hAnsi="Calibri" w:cs="Arial"/>
          <w:color w:val="000000" w:themeColor="text1"/>
          <w:sz w:val="21"/>
          <w:szCs w:val="21"/>
          <w:lang w:eastAsia="zh-CN"/>
        </w:rPr>
        <w:t>developing</w:t>
      </w:r>
      <w:proofErr w:type="gramEnd"/>
      <w:r w:rsidRPr="4104A11D">
        <w:rPr>
          <w:rFonts w:ascii="Calibri" w:hAnsi="Calibri" w:cs="Arial"/>
          <w:color w:val="000000" w:themeColor="text1"/>
          <w:sz w:val="21"/>
          <w:szCs w:val="21"/>
          <w:lang w:eastAsia="zh-CN"/>
        </w:rPr>
        <w:t xml:space="preserve"> and reviewing mental health care plans multiple times) (A. Mahoney, personal communication, 9 June 2022). As a result of this service delivery model, THIS WAY UP’s annual cost per consumer for therapist-supported treatment was considerably lower than those of Mental Health Online and </w:t>
      </w:r>
      <w:proofErr w:type="spellStart"/>
      <w:r w:rsidRPr="4104A11D">
        <w:rPr>
          <w:rFonts w:ascii="Calibri" w:hAnsi="Calibri" w:cs="Arial"/>
          <w:color w:val="000000" w:themeColor="text1"/>
          <w:sz w:val="21"/>
          <w:szCs w:val="21"/>
          <w:lang w:eastAsia="zh-CN"/>
        </w:rPr>
        <w:t>MindSpot</w:t>
      </w:r>
      <w:proofErr w:type="spellEnd"/>
      <w:r w:rsidRPr="4104A11D">
        <w:rPr>
          <w:rFonts w:ascii="Calibri" w:hAnsi="Calibri" w:cs="Arial"/>
          <w:color w:val="000000" w:themeColor="text1"/>
          <w:sz w:val="21"/>
          <w:szCs w:val="21"/>
          <w:lang w:eastAsia="zh-CN"/>
        </w:rPr>
        <w:t xml:space="preserve">. Given that our consumer surveys elicited health care resource use from consumers of THIS WAY UP (including visits to GPs, psychologists, psychiatrists), presented in sub-section 10.3, we did not calculate the opportunity costs of these mental health professionals to avoid double counting. </w:t>
      </w:r>
      <w:r w:rsidR="4104A11D" w:rsidRPr="4104A11D">
        <w:rPr>
          <w:rFonts w:ascii="Calibri" w:hAnsi="Calibri" w:cs="Arial"/>
          <w:color w:val="000000" w:themeColor="text1"/>
          <w:sz w:val="21"/>
          <w:szCs w:val="21"/>
          <w:lang w:eastAsia="zh-CN"/>
        </w:rPr>
        <w:t xml:space="preserve">Furthermore, somewhat counterintuitively, the therapist-supported treatment costs are </w:t>
      </w:r>
      <w:r w:rsidR="4104A11D" w:rsidRPr="4104A11D">
        <w:rPr>
          <w:rFonts w:ascii="Calibri" w:hAnsi="Calibri" w:cs="Arial"/>
          <w:i/>
          <w:iCs/>
          <w:color w:val="000000" w:themeColor="text1"/>
          <w:sz w:val="21"/>
          <w:szCs w:val="21"/>
          <w:lang w:eastAsia="zh-CN"/>
        </w:rPr>
        <w:t xml:space="preserve">lower </w:t>
      </w:r>
      <w:r w:rsidR="4104A11D" w:rsidRPr="4104A11D">
        <w:rPr>
          <w:rFonts w:ascii="Calibri" w:hAnsi="Calibri" w:cs="Arial"/>
          <w:color w:val="000000" w:themeColor="text1"/>
          <w:sz w:val="21"/>
          <w:szCs w:val="21"/>
          <w:lang w:eastAsia="zh-CN"/>
        </w:rPr>
        <w:t xml:space="preserve">than the self-directed treatment component. This is a consequence of the larger number of consumers using the former (over 13,000). </w:t>
      </w:r>
    </w:p>
    <w:p w14:paraId="4089FD5A" w14:textId="34DBFBFB" w:rsidR="00A00873" w:rsidRPr="00A00873" w:rsidRDefault="23420161" w:rsidP="000D0FFD">
      <w:pPr>
        <w:pStyle w:val="Heading2"/>
        <w:numPr>
          <w:ilvl w:val="1"/>
          <w:numId w:val="146"/>
        </w:numPr>
      </w:pPr>
      <w:bookmarkStart w:id="301" w:name="_Toc108784903"/>
      <w:bookmarkEnd w:id="300"/>
      <w:r>
        <w:t>H</w:t>
      </w:r>
      <w:r w:rsidR="2C1D541E">
        <w:t>ealth care cost savings and productivity impacts</w:t>
      </w:r>
      <w:bookmarkEnd w:id="301"/>
    </w:p>
    <w:p w14:paraId="2C4F342B" w14:textId="7700289C" w:rsidR="00A00873" w:rsidRPr="00A00873" w:rsidRDefault="00D467F0" w:rsidP="4104A11D">
      <w:pPr>
        <w:spacing w:after="120"/>
        <w:rPr>
          <w:rFonts w:ascii="Calibri" w:hAnsi="Calibri" w:cs="Arial"/>
          <w:color w:val="000000" w:themeColor="text1"/>
          <w:sz w:val="21"/>
          <w:szCs w:val="21"/>
          <w:lang w:eastAsia="zh-CN"/>
        </w:rPr>
      </w:pPr>
      <w:r>
        <w:rPr>
          <w:rFonts w:ascii="Calibri" w:eastAsia="Calibri" w:hAnsi="Calibri" w:cs="Calibri"/>
          <w:color w:val="000000" w:themeColor="text1"/>
          <w:sz w:val="21"/>
          <w:szCs w:val="21"/>
        </w:rPr>
        <w:t>Although</w:t>
      </w:r>
      <w:r w:rsidR="4104A11D" w:rsidRPr="4104A11D">
        <w:rPr>
          <w:rFonts w:ascii="Calibri" w:eastAsia="Calibri" w:hAnsi="Calibri" w:cs="Calibri"/>
          <w:color w:val="000000" w:themeColor="text1"/>
          <w:sz w:val="21"/>
          <w:szCs w:val="21"/>
        </w:rPr>
        <w:t xml:space="preserve"> the costs of deliver</w:t>
      </w:r>
      <w:r w:rsidR="00D0515E">
        <w:rPr>
          <w:rFonts w:ascii="Calibri" w:eastAsia="Calibri" w:hAnsi="Calibri" w:cs="Calibri"/>
          <w:color w:val="000000" w:themeColor="text1"/>
          <w:sz w:val="21"/>
          <w:szCs w:val="21"/>
        </w:rPr>
        <w:t xml:space="preserve">ing </w:t>
      </w:r>
      <w:r w:rsidR="4104A11D" w:rsidRPr="4104A11D">
        <w:rPr>
          <w:rFonts w:ascii="Calibri" w:eastAsia="Calibri" w:hAnsi="Calibri" w:cs="Calibri"/>
          <w:color w:val="000000" w:themeColor="text1"/>
          <w:sz w:val="21"/>
          <w:szCs w:val="21"/>
        </w:rPr>
        <w:t>the three DMHS</w:t>
      </w:r>
      <w:r w:rsidR="00D0515E">
        <w:rPr>
          <w:rFonts w:ascii="Calibri" w:eastAsia="Calibri" w:hAnsi="Calibri" w:cs="Calibri"/>
          <w:color w:val="000000" w:themeColor="text1"/>
          <w:sz w:val="21"/>
          <w:szCs w:val="21"/>
        </w:rPr>
        <w:t>s</w:t>
      </w:r>
      <w:r w:rsidR="4104A11D" w:rsidRPr="4104A11D">
        <w:rPr>
          <w:rFonts w:ascii="Calibri" w:eastAsia="Calibri" w:hAnsi="Calibri" w:cs="Calibri"/>
          <w:color w:val="000000" w:themeColor="text1"/>
          <w:sz w:val="21"/>
          <w:szCs w:val="21"/>
        </w:rPr>
        <w:t xml:space="preserve"> is an important part of the cost-effectiveness analysis, it is also important to include any other resources or economic impacts that might also be impacted </w:t>
      </w:r>
      <w:proofErr w:type="gramStart"/>
      <w:r w:rsidR="4104A11D" w:rsidRPr="4104A11D">
        <w:rPr>
          <w:rFonts w:ascii="Calibri" w:eastAsia="Calibri" w:hAnsi="Calibri" w:cs="Calibri"/>
          <w:color w:val="000000" w:themeColor="text1"/>
          <w:sz w:val="21"/>
          <w:szCs w:val="21"/>
        </w:rPr>
        <w:t>as a consequence of</w:t>
      </w:r>
      <w:proofErr w:type="gramEnd"/>
      <w:r w:rsidR="4104A11D" w:rsidRPr="4104A11D">
        <w:rPr>
          <w:rFonts w:ascii="Calibri" w:eastAsia="Calibri" w:hAnsi="Calibri" w:cs="Calibri"/>
          <w:color w:val="000000" w:themeColor="text1"/>
          <w:sz w:val="21"/>
          <w:szCs w:val="21"/>
        </w:rPr>
        <w:t xml:space="preserve"> completing this therapy.</w:t>
      </w:r>
      <w:r w:rsidR="2C1D541E" w:rsidRPr="4104A11D">
        <w:rPr>
          <w:rFonts w:ascii="Calibri" w:hAnsi="Calibri" w:cs="Arial"/>
          <w:color w:val="000000" w:themeColor="text1"/>
          <w:sz w:val="21"/>
          <w:szCs w:val="21"/>
          <w:lang w:eastAsia="zh-CN"/>
        </w:rPr>
        <w:t xml:space="preserve"> </w:t>
      </w:r>
      <w:r w:rsidR="00D0515E">
        <w:rPr>
          <w:rFonts w:ascii="Calibri" w:hAnsi="Calibri" w:cs="Arial"/>
          <w:color w:val="000000" w:themeColor="text1"/>
          <w:sz w:val="21"/>
          <w:szCs w:val="21"/>
          <w:lang w:eastAsia="zh-CN"/>
        </w:rPr>
        <w:t>To</w:t>
      </w:r>
      <w:r w:rsidR="2C1D541E" w:rsidRPr="4104A11D">
        <w:rPr>
          <w:rFonts w:ascii="Calibri" w:hAnsi="Calibri" w:cs="Arial"/>
          <w:color w:val="000000" w:themeColor="text1"/>
          <w:sz w:val="21"/>
          <w:szCs w:val="21"/>
          <w:lang w:eastAsia="zh-CN"/>
        </w:rPr>
        <w:t xml:space="preserve"> estimate what these costs might be, we analysed the consumer surveys we disseminated through each DMHS, which included questions that enabled us to estimate the health care use and productivity impacts on DMHS users. This survey was conducted in January 2022 among consumers who have accessed the DMHSs. Table </w:t>
      </w:r>
      <w:r w:rsidR="00D90294">
        <w:rPr>
          <w:rFonts w:ascii="Calibri" w:hAnsi="Calibri" w:cs="Arial"/>
          <w:color w:val="000000" w:themeColor="text1"/>
          <w:sz w:val="21"/>
          <w:szCs w:val="21"/>
          <w:lang w:eastAsia="zh-CN"/>
        </w:rPr>
        <w:t>56</w:t>
      </w:r>
      <w:r w:rsidR="2C1D541E" w:rsidRPr="4104A11D">
        <w:rPr>
          <w:rFonts w:ascii="Calibri" w:hAnsi="Calibri" w:cs="Arial"/>
          <w:color w:val="000000" w:themeColor="text1"/>
          <w:sz w:val="21"/>
          <w:szCs w:val="21"/>
          <w:lang w:eastAsia="zh-CN"/>
        </w:rPr>
        <w:t xml:space="preserve"> presents the number and proportion of consumer survey participants self-reporting any use of health services and productivity impacts by DMHS in the previous six months. A six-month recall period was chosen because it is reasonably long enough to capture usage of health care services. </w:t>
      </w:r>
      <w:r w:rsidR="00974699">
        <w:rPr>
          <w:rFonts w:ascii="Calibri" w:hAnsi="Calibri" w:cs="Arial"/>
          <w:color w:val="000000" w:themeColor="text1"/>
          <w:sz w:val="21"/>
          <w:szCs w:val="21"/>
          <w:lang w:eastAsia="zh-CN"/>
        </w:rPr>
        <w:t>Although</w:t>
      </w:r>
      <w:r w:rsidR="2C1D541E" w:rsidRPr="4104A11D">
        <w:rPr>
          <w:rFonts w:ascii="Calibri" w:hAnsi="Calibri" w:cs="Arial"/>
          <w:color w:val="000000" w:themeColor="text1"/>
          <w:sz w:val="21"/>
          <w:szCs w:val="21"/>
          <w:lang w:eastAsia="zh-CN"/>
        </w:rPr>
        <w:t xml:space="preserve"> </w:t>
      </w:r>
      <w:r w:rsidR="2C1D541E" w:rsidRPr="4104A11D">
        <w:rPr>
          <w:rFonts w:ascii="Calibri" w:hAnsi="Calibri" w:cs="Arial"/>
          <w:color w:val="000000" w:themeColor="text1"/>
          <w:sz w:val="21"/>
          <w:szCs w:val="21"/>
          <w:lang w:eastAsia="zh-CN"/>
        </w:rPr>
        <w:lastRenderedPageBreak/>
        <w:t xml:space="preserve">we have conducted statistical tests to measure the difference between DMHSs in terms of resource use by consumers, these differences need to be interpreted carefully </w:t>
      </w:r>
      <w:r w:rsidR="003E61AD">
        <w:rPr>
          <w:rFonts w:ascii="Calibri" w:hAnsi="Calibri" w:cs="Arial"/>
          <w:color w:val="000000" w:themeColor="text1"/>
          <w:sz w:val="21"/>
          <w:szCs w:val="21"/>
          <w:lang w:eastAsia="zh-CN"/>
        </w:rPr>
        <w:t>given</w:t>
      </w:r>
      <w:r w:rsidR="2C1D541E" w:rsidRPr="4104A11D">
        <w:rPr>
          <w:rFonts w:ascii="Calibri" w:hAnsi="Calibri" w:cs="Arial"/>
          <w:color w:val="000000" w:themeColor="text1"/>
          <w:sz w:val="21"/>
          <w:szCs w:val="21"/>
          <w:lang w:eastAsia="zh-CN"/>
        </w:rPr>
        <w:t xml:space="preserve"> the relatively small sample sizes for Mental Health Online (n=32) and </w:t>
      </w:r>
      <w:proofErr w:type="spellStart"/>
      <w:r w:rsidR="2C1D541E" w:rsidRPr="4104A11D">
        <w:rPr>
          <w:rFonts w:ascii="Calibri" w:hAnsi="Calibri" w:cs="Arial"/>
          <w:color w:val="000000" w:themeColor="text1"/>
          <w:sz w:val="21"/>
          <w:szCs w:val="21"/>
          <w:lang w:eastAsia="zh-CN"/>
        </w:rPr>
        <w:t>MindSpot</w:t>
      </w:r>
      <w:proofErr w:type="spellEnd"/>
      <w:r w:rsidR="2C1D541E" w:rsidRPr="4104A11D">
        <w:rPr>
          <w:rFonts w:ascii="Calibri" w:hAnsi="Calibri" w:cs="Arial"/>
          <w:color w:val="000000" w:themeColor="text1"/>
          <w:sz w:val="21"/>
          <w:szCs w:val="21"/>
          <w:lang w:eastAsia="zh-CN"/>
        </w:rPr>
        <w:t xml:space="preserve"> (n=100). Overall, about 70% of participants reported at least one visit to the GP and approximately half visited a psychiatrist at least once in the last 6 months. Compared to GP consultations, there were fewer consumers visiting psychologists and allied health professionals. The use of ambulance, emergency department and hospital by participants appears to be higher among consumers of </w:t>
      </w:r>
      <w:proofErr w:type="spellStart"/>
      <w:r w:rsidR="2C1D541E" w:rsidRPr="4104A11D">
        <w:rPr>
          <w:rFonts w:ascii="Calibri" w:hAnsi="Calibri" w:cs="Arial"/>
          <w:color w:val="000000" w:themeColor="text1"/>
          <w:sz w:val="21"/>
          <w:szCs w:val="21"/>
          <w:lang w:eastAsia="zh-CN"/>
        </w:rPr>
        <w:t>MindSpot</w:t>
      </w:r>
      <w:proofErr w:type="spellEnd"/>
      <w:r w:rsidR="2C1D541E" w:rsidRPr="4104A11D">
        <w:rPr>
          <w:rFonts w:ascii="Calibri" w:hAnsi="Calibri" w:cs="Arial"/>
          <w:color w:val="000000" w:themeColor="text1"/>
          <w:sz w:val="21"/>
          <w:szCs w:val="21"/>
          <w:lang w:eastAsia="zh-CN"/>
        </w:rPr>
        <w:t xml:space="preserve"> than those of Mental Health Online and THIS WAY UP (about 20% vs </w:t>
      </w:r>
      <w:r w:rsidR="2C1D541E" w:rsidRPr="4104A11D">
        <w:rPr>
          <w:rFonts w:ascii="Calibri" w:hAnsi="Calibri" w:cs="Arial"/>
          <w:color w:val="000000" w:themeColor="text1"/>
          <w:sz w:val="21"/>
          <w:szCs w:val="21"/>
          <w:u w:val="single"/>
          <w:lang w:eastAsia="zh-CN"/>
        </w:rPr>
        <w:t>&lt;</w:t>
      </w:r>
      <w:r w:rsidR="2C1D541E" w:rsidRPr="4104A11D">
        <w:rPr>
          <w:rFonts w:ascii="Calibri" w:hAnsi="Calibri" w:cs="Arial"/>
          <w:color w:val="000000" w:themeColor="text1"/>
          <w:sz w:val="21"/>
          <w:szCs w:val="21"/>
          <w:lang w:eastAsia="zh-CN"/>
        </w:rPr>
        <w:t>10%). Use of medication was higher among Mental Health Online consumers (&gt;50%) than the other two services. Approximately one out of two consumers in each DMHS reported taking time off paid work and at least one quarter of them took time off from unpaid work.</w:t>
      </w:r>
    </w:p>
    <w:p w14:paraId="75910D71" w14:textId="71AC88F0" w:rsidR="00A00873" w:rsidRPr="00A00873" w:rsidRDefault="00A00873" w:rsidP="00A00873">
      <w:pPr>
        <w:keepLines/>
        <w:spacing w:after="120"/>
        <w:outlineLvl w:val="2"/>
        <w:rPr>
          <w:rFonts w:asciiTheme="minorHAnsi" w:eastAsiaTheme="majorEastAsia" w:hAnsiTheme="minorHAnsi" w:cstheme="majorBidi"/>
          <w:b/>
          <w:i/>
          <w:color w:val="000000" w:themeColor="text1"/>
          <w:sz w:val="21"/>
          <w:szCs w:val="21"/>
          <w:lang w:val="en-US" w:eastAsia="en-US"/>
        </w:rPr>
      </w:pPr>
      <w:r w:rsidRPr="00A00873">
        <w:rPr>
          <w:rFonts w:asciiTheme="minorHAnsi" w:eastAsiaTheme="majorEastAsia" w:hAnsiTheme="minorHAnsi" w:cstheme="majorBidi"/>
          <w:b/>
          <w:color w:val="000000" w:themeColor="text1"/>
          <w:sz w:val="21"/>
          <w:szCs w:val="21"/>
          <w:lang w:val="en-US" w:eastAsia="en-US"/>
        </w:rPr>
        <w:t xml:space="preserve">Table </w:t>
      </w:r>
      <w:r w:rsidR="00D90294">
        <w:rPr>
          <w:rFonts w:asciiTheme="minorHAnsi" w:eastAsiaTheme="majorEastAsia" w:hAnsiTheme="minorHAnsi" w:cstheme="majorBidi"/>
          <w:b/>
          <w:color w:val="000000" w:themeColor="text1"/>
          <w:sz w:val="21"/>
          <w:szCs w:val="21"/>
          <w:lang w:val="en-US" w:eastAsia="en-US"/>
        </w:rPr>
        <w:t>56</w:t>
      </w:r>
      <w:r w:rsidRPr="00A00873">
        <w:rPr>
          <w:rFonts w:asciiTheme="minorHAnsi" w:eastAsiaTheme="majorEastAsia" w:hAnsiTheme="minorHAnsi" w:cstheme="majorBidi"/>
          <w:b/>
          <w:color w:val="000000" w:themeColor="text1"/>
          <w:sz w:val="21"/>
          <w:szCs w:val="21"/>
          <w:lang w:val="en-US" w:eastAsia="en-US"/>
        </w:rPr>
        <w:t>. Consumer survey participants self-reporting any use of specific services and time off work in the previous six months, by DMHS (N=351).</w:t>
      </w:r>
    </w:p>
    <w:tbl>
      <w:tblPr>
        <w:tblStyle w:val="PlainTable411"/>
        <w:tblW w:w="9000" w:type="dxa"/>
        <w:jc w:val="center"/>
        <w:tblInd w:w="0" w:type="dxa"/>
        <w:tblBorders>
          <w:top w:val="single" w:sz="8" w:space="0" w:color="auto"/>
          <w:left w:val="single" w:sz="8" w:space="0" w:color="auto"/>
          <w:bottom w:val="single" w:sz="8" w:space="0" w:color="auto"/>
          <w:right w:val="single" w:sz="8" w:space="0" w:color="auto"/>
          <w:insideV w:val="single" w:sz="8" w:space="0" w:color="auto"/>
        </w:tblBorders>
        <w:tblLayout w:type="fixed"/>
        <w:tblLook w:val="04A0" w:firstRow="1" w:lastRow="0" w:firstColumn="1" w:lastColumn="0" w:noHBand="0" w:noVBand="1"/>
        <w:tblCaption w:val="Consumer survey participants self-reporting any use of specific services and time off work in the previous six months, by DMHS (N=351)."/>
        <w:tblDescription w:val="A table providing self-reported usage of specific health services and time off work by consumer survey participants in the previous six months. The usage are presented by digital mental health service and usage type and includes information on usage difference between the digital mental health services."/>
      </w:tblPr>
      <w:tblGrid>
        <w:gridCol w:w="1685"/>
        <w:gridCol w:w="1045"/>
        <w:gridCol w:w="1045"/>
        <w:gridCol w:w="1045"/>
        <w:gridCol w:w="1045"/>
        <w:gridCol w:w="1045"/>
        <w:gridCol w:w="1045"/>
        <w:gridCol w:w="1045"/>
      </w:tblGrid>
      <w:tr w:rsidR="00A00873" w:rsidRPr="00A00873" w14:paraId="123F1051" w14:textId="77777777" w:rsidTr="00C751C6">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1685" w:type="dxa"/>
            <w:vMerge w:val="restart"/>
            <w:tcBorders>
              <w:top w:val="single" w:sz="8" w:space="0" w:color="auto"/>
              <w:left w:val="single" w:sz="8" w:space="0" w:color="auto"/>
              <w:bottom w:val="nil"/>
              <w:right w:val="single" w:sz="8" w:space="0" w:color="auto"/>
            </w:tcBorders>
            <w:shd w:val="clear" w:color="auto" w:fill="000000" w:themeFill="text1"/>
            <w:noWrap/>
            <w:vAlign w:val="center"/>
            <w:hideMark/>
          </w:tcPr>
          <w:p w14:paraId="58BD8E40" w14:textId="77777777" w:rsidR="00A00873" w:rsidRPr="00A00873" w:rsidRDefault="00A00873" w:rsidP="00A00873">
            <w:pPr>
              <w:rPr>
                <w:rFonts w:ascii="Calibri" w:hAnsi="Calibri" w:cs="Calibri"/>
                <w:color w:val="FFFFFF" w:themeColor="background1"/>
                <w:sz w:val="18"/>
                <w:szCs w:val="18"/>
                <w:lang w:eastAsia="en-AU"/>
              </w:rPr>
            </w:pPr>
            <w:r w:rsidRPr="00A00873">
              <w:rPr>
                <w:rFonts w:ascii="Calibri" w:hAnsi="Calibri" w:cs="Calibri"/>
                <w:color w:val="FFFFFF" w:themeColor="background1"/>
                <w:sz w:val="18"/>
                <w:szCs w:val="18"/>
                <w:lang w:eastAsia="en-AU"/>
              </w:rPr>
              <w:t>Service type</w:t>
            </w:r>
          </w:p>
        </w:tc>
        <w:tc>
          <w:tcPr>
            <w:tcW w:w="1045" w:type="dxa"/>
            <w:tcBorders>
              <w:top w:val="single" w:sz="8" w:space="0" w:color="auto"/>
              <w:left w:val="single" w:sz="8" w:space="0" w:color="auto"/>
              <w:bottom w:val="nil"/>
              <w:right w:val="single" w:sz="8" w:space="0" w:color="auto"/>
            </w:tcBorders>
            <w:shd w:val="clear" w:color="auto" w:fill="000000" w:themeFill="text1"/>
            <w:noWrap/>
            <w:vAlign w:val="center"/>
            <w:hideMark/>
          </w:tcPr>
          <w:p w14:paraId="7B072428" w14:textId="77777777" w:rsidR="00A00873" w:rsidRPr="00A00873" w:rsidRDefault="00A00873" w:rsidP="00A00873">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A00873">
              <w:rPr>
                <w:rFonts w:ascii="Calibri" w:hAnsi="Calibri" w:cs="Calibri"/>
                <w:color w:val="FFFFFF" w:themeColor="background1"/>
                <w:sz w:val="18"/>
                <w:szCs w:val="18"/>
                <w:lang w:eastAsia="en-AU"/>
              </w:rPr>
              <w:t>Mental Health Online</w:t>
            </w:r>
          </w:p>
          <w:p w14:paraId="5C031CD9" w14:textId="77777777" w:rsidR="00A00873" w:rsidRPr="00A00873" w:rsidRDefault="00A00873" w:rsidP="00A00873">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A00873">
              <w:rPr>
                <w:rFonts w:ascii="Calibri" w:hAnsi="Calibri" w:cs="Calibri"/>
                <w:color w:val="FFFFFF" w:themeColor="background1"/>
                <w:sz w:val="18"/>
                <w:szCs w:val="18"/>
                <w:lang w:eastAsia="en-AU"/>
              </w:rPr>
              <w:t>n=32</w:t>
            </w:r>
          </w:p>
        </w:tc>
        <w:tc>
          <w:tcPr>
            <w:tcW w:w="1045" w:type="dxa"/>
            <w:tcBorders>
              <w:top w:val="single" w:sz="8" w:space="0" w:color="auto"/>
              <w:left w:val="single" w:sz="8" w:space="0" w:color="auto"/>
              <w:bottom w:val="nil"/>
              <w:right w:val="single" w:sz="8" w:space="0" w:color="auto"/>
            </w:tcBorders>
            <w:shd w:val="clear" w:color="auto" w:fill="000000" w:themeFill="text1"/>
            <w:noWrap/>
            <w:vAlign w:val="center"/>
            <w:hideMark/>
          </w:tcPr>
          <w:p w14:paraId="7E7696A8" w14:textId="77777777" w:rsidR="00A00873" w:rsidRPr="00A00873" w:rsidRDefault="00A00873" w:rsidP="00A00873">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proofErr w:type="spellStart"/>
            <w:r w:rsidRPr="00A00873">
              <w:rPr>
                <w:rFonts w:ascii="Calibri" w:hAnsi="Calibri" w:cs="Calibri"/>
                <w:color w:val="FFFFFF" w:themeColor="background1"/>
                <w:sz w:val="18"/>
                <w:szCs w:val="18"/>
                <w:lang w:eastAsia="en-AU"/>
              </w:rPr>
              <w:t>MindSpot</w:t>
            </w:r>
            <w:proofErr w:type="spellEnd"/>
          </w:p>
          <w:p w14:paraId="267EA577" w14:textId="77777777" w:rsidR="00A00873" w:rsidRPr="00A00873" w:rsidRDefault="00A00873" w:rsidP="00A00873">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A00873">
              <w:rPr>
                <w:rFonts w:ascii="Calibri" w:hAnsi="Calibri" w:cs="Calibri"/>
                <w:color w:val="FFFFFF" w:themeColor="background1"/>
                <w:sz w:val="18"/>
                <w:szCs w:val="18"/>
                <w:lang w:eastAsia="en-AU"/>
              </w:rPr>
              <w:t>n=100</w:t>
            </w:r>
          </w:p>
        </w:tc>
        <w:tc>
          <w:tcPr>
            <w:tcW w:w="1045" w:type="dxa"/>
            <w:tcBorders>
              <w:top w:val="single" w:sz="8" w:space="0" w:color="auto"/>
              <w:left w:val="single" w:sz="8" w:space="0" w:color="auto"/>
              <w:bottom w:val="nil"/>
              <w:right w:val="single" w:sz="8" w:space="0" w:color="auto"/>
            </w:tcBorders>
            <w:shd w:val="clear" w:color="auto" w:fill="000000" w:themeFill="text1"/>
            <w:noWrap/>
            <w:vAlign w:val="center"/>
            <w:hideMark/>
          </w:tcPr>
          <w:p w14:paraId="639E9893" w14:textId="77777777" w:rsidR="00A00873" w:rsidRPr="00A00873" w:rsidRDefault="00A00873" w:rsidP="00A00873">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A00873">
              <w:rPr>
                <w:rFonts w:ascii="Calibri" w:hAnsi="Calibri" w:cs="Calibri"/>
                <w:color w:val="FFFFFF" w:themeColor="background1"/>
                <w:sz w:val="18"/>
                <w:szCs w:val="18"/>
                <w:lang w:eastAsia="en-AU"/>
              </w:rPr>
              <w:t>THIS WAY UP</w:t>
            </w:r>
          </w:p>
          <w:p w14:paraId="56503124" w14:textId="77777777" w:rsidR="00A00873" w:rsidRPr="00A00873" w:rsidRDefault="00A00873" w:rsidP="00A00873">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A00873">
              <w:rPr>
                <w:rFonts w:ascii="Calibri" w:hAnsi="Calibri" w:cs="Calibri"/>
                <w:color w:val="FFFFFF" w:themeColor="background1"/>
                <w:sz w:val="18"/>
                <w:szCs w:val="18"/>
                <w:lang w:eastAsia="en-AU"/>
              </w:rPr>
              <w:t>n=219</w:t>
            </w:r>
          </w:p>
        </w:tc>
        <w:tc>
          <w:tcPr>
            <w:tcW w:w="1045" w:type="dxa"/>
            <w:tcBorders>
              <w:top w:val="single" w:sz="8" w:space="0" w:color="auto"/>
              <w:left w:val="single" w:sz="8" w:space="0" w:color="auto"/>
              <w:bottom w:val="nil"/>
              <w:right w:val="single" w:sz="8" w:space="0" w:color="auto"/>
            </w:tcBorders>
            <w:shd w:val="clear" w:color="auto" w:fill="000000" w:themeFill="text1"/>
            <w:vAlign w:val="center"/>
          </w:tcPr>
          <w:p w14:paraId="5D7A27F0" w14:textId="77777777" w:rsidR="00A00873" w:rsidRPr="00A00873" w:rsidRDefault="00A00873" w:rsidP="00A00873">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A00873">
              <w:rPr>
                <w:rFonts w:ascii="Calibri" w:hAnsi="Calibri" w:cs="Calibri"/>
                <w:color w:val="FFFFFF" w:themeColor="background1"/>
                <w:sz w:val="18"/>
                <w:szCs w:val="18"/>
                <w:lang w:eastAsia="en-AU"/>
              </w:rPr>
              <w:t>Total</w:t>
            </w:r>
          </w:p>
          <w:p w14:paraId="325B17AD" w14:textId="77777777" w:rsidR="00A00873" w:rsidRPr="00A00873" w:rsidRDefault="00A00873" w:rsidP="00A00873">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A00873">
              <w:rPr>
                <w:rFonts w:ascii="Calibri" w:hAnsi="Calibri" w:cs="Calibri"/>
                <w:color w:val="FFFFFF" w:themeColor="background1"/>
                <w:sz w:val="18"/>
                <w:szCs w:val="18"/>
                <w:lang w:eastAsia="en-AU"/>
              </w:rPr>
              <w:t>n=351</w:t>
            </w:r>
          </w:p>
        </w:tc>
        <w:tc>
          <w:tcPr>
            <w:tcW w:w="1045" w:type="dxa"/>
            <w:tcBorders>
              <w:top w:val="single" w:sz="8" w:space="0" w:color="auto"/>
              <w:left w:val="single" w:sz="8" w:space="0" w:color="auto"/>
              <w:bottom w:val="nil"/>
              <w:right w:val="single" w:sz="8" w:space="0" w:color="auto"/>
            </w:tcBorders>
            <w:shd w:val="clear" w:color="auto" w:fill="000000" w:themeFill="text1"/>
            <w:vAlign w:val="center"/>
          </w:tcPr>
          <w:p w14:paraId="6BA81A7E" w14:textId="77777777" w:rsidR="00A00873" w:rsidRPr="00A00873" w:rsidRDefault="00A00873" w:rsidP="00A00873">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A00873">
              <w:rPr>
                <w:rFonts w:ascii="Calibri" w:hAnsi="Calibri" w:cs="Calibri"/>
                <w:color w:val="FFFFFF" w:themeColor="background1"/>
                <w:sz w:val="18"/>
                <w:szCs w:val="18"/>
                <w:lang w:eastAsia="en-AU"/>
              </w:rPr>
              <w:t>Difference MHO vs MS</w:t>
            </w:r>
          </w:p>
        </w:tc>
        <w:tc>
          <w:tcPr>
            <w:tcW w:w="1045" w:type="dxa"/>
            <w:tcBorders>
              <w:top w:val="single" w:sz="8" w:space="0" w:color="auto"/>
              <w:left w:val="single" w:sz="8" w:space="0" w:color="auto"/>
              <w:bottom w:val="nil"/>
              <w:right w:val="single" w:sz="8" w:space="0" w:color="auto"/>
            </w:tcBorders>
            <w:shd w:val="clear" w:color="auto" w:fill="000000" w:themeFill="text1"/>
            <w:vAlign w:val="center"/>
          </w:tcPr>
          <w:p w14:paraId="2B0D3B07" w14:textId="77777777" w:rsidR="00A00873" w:rsidRPr="00A00873" w:rsidRDefault="00A00873" w:rsidP="00A00873">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A00873">
              <w:rPr>
                <w:rFonts w:ascii="Calibri" w:hAnsi="Calibri" w:cs="Calibri"/>
                <w:color w:val="FFFFFF" w:themeColor="background1"/>
                <w:sz w:val="18"/>
                <w:szCs w:val="18"/>
                <w:lang w:eastAsia="en-AU"/>
              </w:rPr>
              <w:t>Difference MS vs TWU</w:t>
            </w:r>
          </w:p>
        </w:tc>
        <w:tc>
          <w:tcPr>
            <w:tcW w:w="1045" w:type="dxa"/>
            <w:tcBorders>
              <w:top w:val="single" w:sz="8" w:space="0" w:color="auto"/>
              <w:left w:val="single" w:sz="8" w:space="0" w:color="auto"/>
              <w:bottom w:val="nil"/>
              <w:right w:val="single" w:sz="8" w:space="0" w:color="auto"/>
            </w:tcBorders>
            <w:shd w:val="clear" w:color="auto" w:fill="000000" w:themeFill="text1"/>
            <w:vAlign w:val="center"/>
          </w:tcPr>
          <w:p w14:paraId="359E3AB5" w14:textId="77777777" w:rsidR="00A00873" w:rsidRPr="00A00873" w:rsidRDefault="00A00873" w:rsidP="00A00873">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A00873">
              <w:rPr>
                <w:rFonts w:ascii="Calibri" w:hAnsi="Calibri" w:cs="Calibri"/>
                <w:color w:val="FFFFFF" w:themeColor="background1"/>
                <w:sz w:val="18"/>
                <w:szCs w:val="18"/>
                <w:lang w:eastAsia="en-AU"/>
              </w:rPr>
              <w:t>Difference MHO vs TWU</w:t>
            </w:r>
          </w:p>
        </w:tc>
      </w:tr>
      <w:tr w:rsidR="00A00873" w:rsidRPr="00A00873" w14:paraId="316FAA1F" w14:textId="77777777" w:rsidTr="00C751C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85" w:type="dxa"/>
            <w:vMerge/>
            <w:tcBorders>
              <w:top w:val="single" w:sz="8" w:space="0" w:color="auto"/>
              <w:left w:val="single" w:sz="8" w:space="0" w:color="auto"/>
              <w:bottom w:val="nil"/>
              <w:right w:val="single" w:sz="8" w:space="0" w:color="auto"/>
            </w:tcBorders>
            <w:vAlign w:val="center"/>
            <w:hideMark/>
          </w:tcPr>
          <w:p w14:paraId="1861AFBF" w14:textId="77777777" w:rsidR="00A00873" w:rsidRPr="00A00873" w:rsidRDefault="00A00873" w:rsidP="00A00873">
            <w:pPr>
              <w:rPr>
                <w:rFonts w:ascii="Calibri" w:hAnsi="Calibri" w:cs="Calibri"/>
                <w:color w:val="FFFFFF" w:themeColor="background1"/>
                <w:sz w:val="18"/>
                <w:szCs w:val="18"/>
                <w:lang w:eastAsia="en-AU"/>
              </w:rPr>
            </w:pPr>
          </w:p>
        </w:tc>
        <w:tc>
          <w:tcPr>
            <w:tcW w:w="1045" w:type="dxa"/>
            <w:tcBorders>
              <w:top w:val="nil"/>
              <w:left w:val="single" w:sz="8" w:space="0" w:color="auto"/>
              <w:bottom w:val="nil"/>
              <w:right w:val="single" w:sz="8" w:space="0" w:color="auto"/>
            </w:tcBorders>
            <w:shd w:val="clear" w:color="auto" w:fill="000000" w:themeFill="text1"/>
            <w:noWrap/>
            <w:hideMark/>
          </w:tcPr>
          <w:p w14:paraId="769FEE54"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FFFFFF" w:themeColor="background1"/>
                <w:sz w:val="18"/>
                <w:szCs w:val="18"/>
                <w:lang w:eastAsia="en-AU"/>
              </w:rPr>
            </w:pPr>
            <w:r w:rsidRPr="00A00873">
              <w:rPr>
                <w:rFonts w:ascii="Calibri" w:hAnsi="Calibri" w:cs="Calibri"/>
                <w:b/>
                <w:color w:val="FFFFFF" w:themeColor="background1"/>
                <w:sz w:val="18"/>
                <w:szCs w:val="18"/>
                <w:lang w:eastAsia="en-AU"/>
              </w:rPr>
              <w:t>n (%)</w:t>
            </w:r>
          </w:p>
        </w:tc>
        <w:tc>
          <w:tcPr>
            <w:tcW w:w="1045" w:type="dxa"/>
            <w:tcBorders>
              <w:top w:val="nil"/>
              <w:left w:val="single" w:sz="8" w:space="0" w:color="auto"/>
              <w:bottom w:val="nil"/>
              <w:right w:val="single" w:sz="8" w:space="0" w:color="auto"/>
            </w:tcBorders>
            <w:shd w:val="clear" w:color="auto" w:fill="000000" w:themeFill="text1"/>
            <w:noWrap/>
            <w:hideMark/>
          </w:tcPr>
          <w:p w14:paraId="7086F257"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FFFFFF" w:themeColor="background1"/>
                <w:sz w:val="18"/>
                <w:szCs w:val="18"/>
                <w:lang w:eastAsia="en-AU"/>
              </w:rPr>
            </w:pPr>
            <w:r w:rsidRPr="00A00873">
              <w:rPr>
                <w:rFonts w:ascii="Calibri" w:hAnsi="Calibri" w:cs="Calibri"/>
                <w:b/>
                <w:color w:val="FFFFFF" w:themeColor="background1"/>
                <w:sz w:val="18"/>
                <w:szCs w:val="18"/>
                <w:lang w:eastAsia="en-AU"/>
              </w:rPr>
              <w:t>n (%)</w:t>
            </w:r>
          </w:p>
        </w:tc>
        <w:tc>
          <w:tcPr>
            <w:tcW w:w="1045" w:type="dxa"/>
            <w:tcBorders>
              <w:top w:val="nil"/>
              <w:left w:val="single" w:sz="8" w:space="0" w:color="auto"/>
              <w:bottom w:val="nil"/>
              <w:right w:val="single" w:sz="8" w:space="0" w:color="auto"/>
            </w:tcBorders>
            <w:shd w:val="clear" w:color="auto" w:fill="000000" w:themeFill="text1"/>
            <w:noWrap/>
            <w:hideMark/>
          </w:tcPr>
          <w:p w14:paraId="040BEE1E"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FFFFFF" w:themeColor="background1"/>
                <w:sz w:val="18"/>
                <w:szCs w:val="18"/>
                <w:lang w:eastAsia="en-AU"/>
              </w:rPr>
            </w:pPr>
            <w:r w:rsidRPr="00A00873">
              <w:rPr>
                <w:rFonts w:ascii="Calibri" w:hAnsi="Calibri" w:cs="Calibri"/>
                <w:b/>
                <w:color w:val="FFFFFF" w:themeColor="background1"/>
                <w:sz w:val="18"/>
                <w:szCs w:val="18"/>
                <w:lang w:eastAsia="en-AU"/>
              </w:rPr>
              <w:t>n (%)</w:t>
            </w:r>
          </w:p>
        </w:tc>
        <w:tc>
          <w:tcPr>
            <w:tcW w:w="1045" w:type="dxa"/>
            <w:tcBorders>
              <w:top w:val="nil"/>
              <w:left w:val="single" w:sz="8" w:space="0" w:color="auto"/>
              <w:bottom w:val="nil"/>
              <w:right w:val="single" w:sz="8" w:space="0" w:color="auto"/>
            </w:tcBorders>
            <w:shd w:val="clear" w:color="auto" w:fill="000000" w:themeFill="text1"/>
          </w:tcPr>
          <w:p w14:paraId="58BAA7C6"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FFFFFF" w:themeColor="background1"/>
                <w:sz w:val="18"/>
                <w:szCs w:val="18"/>
                <w:lang w:eastAsia="en-AU"/>
              </w:rPr>
            </w:pPr>
            <w:r w:rsidRPr="00A00873">
              <w:rPr>
                <w:rFonts w:ascii="Calibri" w:hAnsi="Calibri" w:cs="Calibri"/>
                <w:b/>
                <w:color w:val="FFFFFF" w:themeColor="background1"/>
                <w:sz w:val="18"/>
                <w:szCs w:val="18"/>
                <w:lang w:eastAsia="en-AU"/>
              </w:rPr>
              <w:t>n (%)</w:t>
            </w:r>
          </w:p>
        </w:tc>
        <w:tc>
          <w:tcPr>
            <w:tcW w:w="1045" w:type="dxa"/>
            <w:tcBorders>
              <w:top w:val="nil"/>
              <w:left w:val="single" w:sz="8" w:space="0" w:color="auto"/>
              <w:bottom w:val="nil"/>
              <w:right w:val="single" w:sz="8" w:space="0" w:color="auto"/>
            </w:tcBorders>
            <w:shd w:val="clear" w:color="auto" w:fill="000000" w:themeFill="text1"/>
          </w:tcPr>
          <w:p w14:paraId="0BC33D96"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FFFFFF" w:themeColor="background1"/>
                <w:sz w:val="18"/>
                <w:szCs w:val="18"/>
                <w:lang w:eastAsia="en-AU"/>
              </w:rPr>
            </w:pPr>
            <w:r w:rsidRPr="00A00873">
              <w:rPr>
                <w:rFonts w:ascii="Calibri" w:hAnsi="Calibri" w:cs="Calibri"/>
                <w:b/>
                <w:color w:val="FFFFFF" w:themeColor="background1"/>
                <w:sz w:val="18"/>
                <w:szCs w:val="18"/>
                <w:lang w:eastAsia="en-AU"/>
              </w:rPr>
              <w:t>%</w:t>
            </w:r>
          </w:p>
        </w:tc>
        <w:tc>
          <w:tcPr>
            <w:tcW w:w="1045" w:type="dxa"/>
            <w:tcBorders>
              <w:top w:val="nil"/>
              <w:left w:val="single" w:sz="8" w:space="0" w:color="auto"/>
              <w:bottom w:val="nil"/>
              <w:right w:val="single" w:sz="8" w:space="0" w:color="auto"/>
            </w:tcBorders>
            <w:shd w:val="clear" w:color="auto" w:fill="000000" w:themeFill="text1"/>
          </w:tcPr>
          <w:p w14:paraId="5C1E511F"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FFFFFF" w:themeColor="background1"/>
                <w:sz w:val="18"/>
                <w:szCs w:val="18"/>
                <w:lang w:eastAsia="en-AU"/>
              </w:rPr>
            </w:pPr>
            <w:r w:rsidRPr="00A00873">
              <w:rPr>
                <w:rFonts w:ascii="Calibri" w:hAnsi="Calibri" w:cs="Calibri"/>
                <w:b/>
                <w:color w:val="FFFFFF" w:themeColor="background1"/>
                <w:sz w:val="18"/>
                <w:szCs w:val="18"/>
                <w:lang w:eastAsia="en-AU"/>
              </w:rPr>
              <w:t>%</w:t>
            </w:r>
          </w:p>
        </w:tc>
        <w:tc>
          <w:tcPr>
            <w:tcW w:w="1045" w:type="dxa"/>
            <w:tcBorders>
              <w:top w:val="nil"/>
              <w:left w:val="single" w:sz="8" w:space="0" w:color="auto"/>
              <w:bottom w:val="nil"/>
              <w:right w:val="single" w:sz="8" w:space="0" w:color="auto"/>
            </w:tcBorders>
            <w:shd w:val="clear" w:color="auto" w:fill="000000" w:themeFill="text1"/>
            <w:vAlign w:val="center"/>
          </w:tcPr>
          <w:p w14:paraId="121B03DB"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FFFFFF" w:themeColor="background1"/>
                <w:sz w:val="18"/>
                <w:szCs w:val="18"/>
                <w:lang w:eastAsia="en-AU"/>
              </w:rPr>
            </w:pPr>
            <w:r w:rsidRPr="00A00873">
              <w:rPr>
                <w:rFonts w:ascii="Calibri" w:hAnsi="Calibri" w:cs="Calibri"/>
                <w:b/>
                <w:color w:val="FFFFFF" w:themeColor="background1"/>
                <w:sz w:val="18"/>
                <w:szCs w:val="18"/>
                <w:lang w:eastAsia="en-AU"/>
              </w:rPr>
              <w:t>%</w:t>
            </w:r>
          </w:p>
        </w:tc>
      </w:tr>
      <w:tr w:rsidR="00A00873" w:rsidRPr="00A00873" w14:paraId="2E70DDD1" w14:textId="77777777" w:rsidTr="00C751C6">
        <w:trPr>
          <w:trHeight w:val="20"/>
          <w:jc w:val="center"/>
        </w:trPr>
        <w:tc>
          <w:tcPr>
            <w:cnfStyle w:val="001000000000" w:firstRow="0" w:lastRow="0" w:firstColumn="1" w:lastColumn="0" w:oddVBand="0" w:evenVBand="0" w:oddHBand="0" w:evenHBand="0" w:firstRowFirstColumn="0" w:firstRowLastColumn="0" w:lastRowFirstColumn="0" w:lastRowLastColumn="0"/>
            <w:tcW w:w="1685" w:type="dxa"/>
            <w:tcBorders>
              <w:top w:val="nil"/>
              <w:left w:val="single" w:sz="8" w:space="0" w:color="auto"/>
              <w:bottom w:val="nil"/>
              <w:right w:val="single" w:sz="8" w:space="0" w:color="auto"/>
            </w:tcBorders>
            <w:shd w:val="clear" w:color="auto" w:fill="auto"/>
            <w:noWrap/>
            <w:hideMark/>
          </w:tcPr>
          <w:p w14:paraId="23DE3EA1" w14:textId="77777777" w:rsidR="00A00873" w:rsidRPr="00A00873" w:rsidRDefault="00A00873" w:rsidP="00A00873">
            <w:pPr>
              <w:spacing w:before="20" w:after="20" w:line="276" w:lineRule="exact"/>
              <w:rPr>
                <w:rFonts w:ascii="Calibri" w:hAnsi="Calibri" w:cs="Calibri"/>
                <w:color w:val="000000"/>
                <w:sz w:val="18"/>
                <w:szCs w:val="18"/>
                <w:lang w:eastAsia="en-AU"/>
              </w:rPr>
            </w:pPr>
            <w:r w:rsidRPr="00A00873">
              <w:rPr>
                <w:rFonts w:ascii="Calibri" w:hAnsi="Calibri" w:cs="Calibri"/>
                <w:color w:val="000000"/>
                <w:sz w:val="18"/>
                <w:szCs w:val="18"/>
                <w:lang w:eastAsia="en-AU"/>
              </w:rPr>
              <w:t>GP</w:t>
            </w:r>
          </w:p>
        </w:tc>
        <w:tc>
          <w:tcPr>
            <w:tcW w:w="1045" w:type="dxa"/>
            <w:tcBorders>
              <w:top w:val="nil"/>
              <w:left w:val="single" w:sz="8" w:space="0" w:color="auto"/>
              <w:bottom w:val="nil"/>
              <w:right w:val="single" w:sz="8" w:space="0" w:color="auto"/>
            </w:tcBorders>
            <w:shd w:val="clear" w:color="auto" w:fill="auto"/>
            <w:noWrap/>
            <w:vAlign w:val="center"/>
            <w:hideMark/>
          </w:tcPr>
          <w:p w14:paraId="20157863"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25 (78.1)</w:t>
            </w:r>
          </w:p>
        </w:tc>
        <w:tc>
          <w:tcPr>
            <w:tcW w:w="1045" w:type="dxa"/>
            <w:tcBorders>
              <w:top w:val="nil"/>
              <w:left w:val="single" w:sz="8" w:space="0" w:color="auto"/>
              <w:bottom w:val="nil"/>
              <w:right w:val="single" w:sz="8" w:space="0" w:color="auto"/>
            </w:tcBorders>
            <w:shd w:val="clear" w:color="auto" w:fill="auto"/>
            <w:noWrap/>
            <w:vAlign w:val="center"/>
            <w:hideMark/>
          </w:tcPr>
          <w:p w14:paraId="72B835E5"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63 (63.0)</w:t>
            </w:r>
          </w:p>
        </w:tc>
        <w:tc>
          <w:tcPr>
            <w:tcW w:w="1045" w:type="dxa"/>
            <w:tcBorders>
              <w:top w:val="nil"/>
              <w:left w:val="single" w:sz="8" w:space="0" w:color="auto"/>
              <w:bottom w:val="nil"/>
              <w:right w:val="single" w:sz="8" w:space="0" w:color="auto"/>
            </w:tcBorders>
            <w:shd w:val="clear" w:color="auto" w:fill="auto"/>
            <w:noWrap/>
            <w:vAlign w:val="center"/>
            <w:hideMark/>
          </w:tcPr>
          <w:p w14:paraId="1FF87A6B"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164 (74.9)</w:t>
            </w:r>
          </w:p>
        </w:tc>
        <w:tc>
          <w:tcPr>
            <w:tcW w:w="1045" w:type="dxa"/>
            <w:tcBorders>
              <w:top w:val="nil"/>
              <w:left w:val="single" w:sz="8" w:space="0" w:color="auto"/>
              <w:bottom w:val="nil"/>
              <w:right w:val="single" w:sz="8" w:space="0" w:color="auto"/>
            </w:tcBorders>
            <w:shd w:val="clear" w:color="auto" w:fill="auto"/>
            <w:vAlign w:val="center"/>
          </w:tcPr>
          <w:p w14:paraId="1A7D27D3"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252 (71.8)</w:t>
            </w:r>
          </w:p>
        </w:tc>
        <w:tc>
          <w:tcPr>
            <w:tcW w:w="1045" w:type="dxa"/>
            <w:tcBorders>
              <w:top w:val="nil"/>
              <w:left w:val="single" w:sz="8" w:space="0" w:color="auto"/>
              <w:bottom w:val="nil"/>
              <w:right w:val="single" w:sz="8" w:space="0" w:color="auto"/>
            </w:tcBorders>
            <w:shd w:val="clear" w:color="auto" w:fill="auto"/>
            <w:vAlign w:val="center"/>
          </w:tcPr>
          <w:p w14:paraId="4E6D9208"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15.1</w:t>
            </w:r>
          </w:p>
        </w:tc>
        <w:tc>
          <w:tcPr>
            <w:tcW w:w="1045" w:type="dxa"/>
            <w:tcBorders>
              <w:top w:val="nil"/>
              <w:left w:val="single" w:sz="8" w:space="0" w:color="auto"/>
              <w:bottom w:val="nil"/>
              <w:right w:val="single" w:sz="8" w:space="0" w:color="auto"/>
            </w:tcBorders>
            <w:shd w:val="clear" w:color="auto" w:fill="auto"/>
            <w:vAlign w:val="center"/>
          </w:tcPr>
          <w:p w14:paraId="5C882894"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A00873">
              <w:rPr>
                <w:rFonts w:ascii="Calibri" w:hAnsi="Calibri" w:cs="Calibri"/>
                <w:b/>
                <w:color w:val="000000"/>
                <w:sz w:val="18"/>
                <w:szCs w:val="18"/>
                <w:lang w:eastAsia="en-AU"/>
              </w:rPr>
              <w:t>-11.9*</w:t>
            </w:r>
          </w:p>
        </w:tc>
        <w:tc>
          <w:tcPr>
            <w:tcW w:w="1045" w:type="dxa"/>
            <w:tcBorders>
              <w:top w:val="nil"/>
              <w:left w:val="single" w:sz="8" w:space="0" w:color="auto"/>
              <w:bottom w:val="nil"/>
              <w:right w:val="single" w:sz="8" w:space="0" w:color="auto"/>
            </w:tcBorders>
            <w:shd w:val="clear" w:color="auto" w:fill="auto"/>
            <w:vAlign w:val="center"/>
          </w:tcPr>
          <w:p w14:paraId="6E899047"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3.2</w:t>
            </w:r>
          </w:p>
        </w:tc>
      </w:tr>
      <w:tr w:rsidR="00A00873" w:rsidRPr="00A00873" w14:paraId="50953922" w14:textId="77777777" w:rsidTr="00C751C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85" w:type="dxa"/>
            <w:tcBorders>
              <w:top w:val="nil"/>
              <w:left w:val="single" w:sz="8" w:space="0" w:color="auto"/>
              <w:bottom w:val="nil"/>
              <w:right w:val="single" w:sz="8" w:space="0" w:color="auto"/>
            </w:tcBorders>
            <w:shd w:val="clear" w:color="auto" w:fill="auto"/>
            <w:noWrap/>
            <w:hideMark/>
          </w:tcPr>
          <w:p w14:paraId="3AFA75AA" w14:textId="77777777" w:rsidR="00A00873" w:rsidRPr="00A00873" w:rsidRDefault="00A00873" w:rsidP="00A00873">
            <w:pPr>
              <w:spacing w:before="20" w:after="20" w:line="276" w:lineRule="exact"/>
              <w:rPr>
                <w:rFonts w:ascii="Calibri" w:hAnsi="Calibri" w:cs="Calibri"/>
                <w:color w:val="000000"/>
                <w:sz w:val="18"/>
                <w:szCs w:val="18"/>
                <w:lang w:eastAsia="en-AU"/>
              </w:rPr>
            </w:pPr>
            <w:r w:rsidRPr="00A00873">
              <w:rPr>
                <w:rFonts w:ascii="Calibri" w:hAnsi="Calibri" w:cs="Calibri"/>
                <w:color w:val="000000"/>
                <w:sz w:val="18"/>
                <w:szCs w:val="18"/>
                <w:lang w:eastAsia="en-AU"/>
              </w:rPr>
              <w:t>Psychiatrist</w:t>
            </w:r>
          </w:p>
        </w:tc>
        <w:tc>
          <w:tcPr>
            <w:tcW w:w="1045" w:type="dxa"/>
            <w:tcBorders>
              <w:top w:val="nil"/>
              <w:left w:val="single" w:sz="8" w:space="0" w:color="auto"/>
              <w:bottom w:val="nil"/>
              <w:right w:val="single" w:sz="8" w:space="0" w:color="auto"/>
            </w:tcBorders>
            <w:shd w:val="clear" w:color="auto" w:fill="auto"/>
            <w:noWrap/>
            <w:vAlign w:val="center"/>
            <w:hideMark/>
          </w:tcPr>
          <w:p w14:paraId="3580D353"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16 (50.0)</w:t>
            </w:r>
          </w:p>
        </w:tc>
        <w:tc>
          <w:tcPr>
            <w:tcW w:w="1045" w:type="dxa"/>
            <w:tcBorders>
              <w:top w:val="nil"/>
              <w:left w:val="single" w:sz="8" w:space="0" w:color="auto"/>
              <w:bottom w:val="nil"/>
              <w:right w:val="single" w:sz="8" w:space="0" w:color="auto"/>
            </w:tcBorders>
            <w:shd w:val="clear" w:color="auto" w:fill="auto"/>
            <w:noWrap/>
            <w:vAlign w:val="center"/>
            <w:hideMark/>
          </w:tcPr>
          <w:p w14:paraId="2A37E574"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47 (47.0)</w:t>
            </w:r>
          </w:p>
        </w:tc>
        <w:tc>
          <w:tcPr>
            <w:tcW w:w="1045" w:type="dxa"/>
            <w:tcBorders>
              <w:top w:val="nil"/>
              <w:left w:val="single" w:sz="8" w:space="0" w:color="auto"/>
              <w:bottom w:val="nil"/>
              <w:right w:val="single" w:sz="8" w:space="0" w:color="auto"/>
            </w:tcBorders>
            <w:shd w:val="clear" w:color="auto" w:fill="auto"/>
            <w:noWrap/>
            <w:vAlign w:val="center"/>
            <w:hideMark/>
          </w:tcPr>
          <w:p w14:paraId="3D6A65DD"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111 (50.7)</w:t>
            </w:r>
          </w:p>
        </w:tc>
        <w:tc>
          <w:tcPr>
            <w:tcW w:w="1045" w:type="dxa"/>
            <w:tcBorders>
              <w:top w:val="nil"/>
              <w:left w:val="single" w:sz="8" w:space="0" w:color="auto"/>
              <w:bottom w:val="nil"/>
              <w:right w:val="single" w:sz="8" w:space="0" w:color="auto"/>
            </w:tcBorders>
            <w:shd w:val="clear" w:color="auto" w:fill="auto"/>
            <w:vAlign w:val="center"/>
          </w:tcPr>
          <w:p w14:paraId="35D29724"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174 (49.6)</w:t>
            </w:r>
          </w:p>
        </w:tc>
        <w:tc>
          <w:tcPr>
            <w:tcW w:w="1045" w:type="dxa"/>
            <w:tcBorders>
              <w:top w:val="nil"/>
              <w:left w:val="single" w:sz="8" w:space="0" w:color="auto"/>
              <w:bottom w:val="nil"/>
              <w:right w:val="single" w:sz="8" w:space="0" w:color="auto"/>
            </w:tcBorders>
            <w:shd w:val="clear" w:color="auto" w:fill="auto"/>
            <w:vAlign w:val="center"/>
          </w:tcPr>
          <w:p w14:paraId="6AFD2155"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3.0</w:t>
            </w:r>
          </w:p>
        </w:tc>
        <w:tc>
          <w:tcPr>
            <w:tcW w:w="1045" w:type="dxa"/>
            <w:tcBorders>
              <w:top w:val="nil"/>
              <w:left w:val="single" w:sz="8" w:space="0" w:color="auto"/>
              <w:bottom w:val="nil"/>
              <w:right w:val="single" w:sz="8" w:space="0" w:color="auto"/>
            </w:tcBorders>
            <w:shd w:val="clear" w:color="auto" w:fill="auto"/>
            <w:vAlign w:val="center"/>
          </w:tcPr>
          <w:p w14:paraId="0BF4B13E"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-3.7</w:t>
            </w:r>
          </w:p>
        </w:tc>
        <w:tc>
          <w:tcPr>
            <w:tcW w:w="1045" w:type="dxa"/>
            <w:tcBorders>
              <w:top w:val="nil"/>
              <w:left w:val="single" w:sz="8" w:space="0" w:color="auto"/>
              <w:bottom w:val="nil"/>
              <w:right w:val="single" w:sz="8" w:space="0" w:color="auto"/>
            </w:tcBorders>
            <w:shd w:val="clear" w:color="auto" w:fill="auto"/>
            <w:vAlign w:val="center"/>
          </w:tcPr>
          <w:p w14:paraId="454058A3"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-0.7</w:t>
            </w:r>
          </w:p>
        </w:tc>
      </w:tr>
      <w:tr w:rsidR="00A00873" w:rsidRPr="00A00873" w14:paraId="31B454F5" w14:textId="77777777" w:rsidTr="00C751C6">
        <w:trPr>
          <w:trHeight w:val="20"/>
          <w:jc w:val="center"/>
        </w:trPr>
        <w:tc>
          <w:tcPr>
            <w:cnfStyle w:val="001000000000" w:firstRow="0" w:lastRow="0" w:firstColumn="1" w:lastColumn="0" w:oddVBand="0" w:evenVBand="0" w:oddHBand="0" w:evenHBand="0" w:firstRowFirstColumn="0" w:firstRowLastColumn="0" w:lastRowFirstColumn="0" w:lastRowLastColumn="0"/>
            <w:tcW w:w="1685" w:type="dxa"/>
            <w:tcBorders>
              <w:top w:val="nil"/>
              <w:left w:val="single" w:sz="8" w:space="0" w:color="auto"/>
              <w:bottom w:val="nil"/>
              <w:right w:val="single" w:sz="8" w:space="0" w:color="auto"/>
            </w:tcBorders>
            <w:shd w:val="clear" w:color="auto" w:fill="auto"/>
            <w:noWrap/>
            <w:hideMark/>
          </w:tcPr>
          <w:p w14:paraId="07BDB7FA" w14:textId="77777777" w:rsidR="00A00873" w:rsidRPr="00A00873" w:rsidRDefault="00A00873" w:rsidP="00A00873">
            <w:pPr>
              <w:spacing w:before="20" w:after="20" w:line="276" w:lineRule="exact"/>
              <w:rPr>
                <w:rFonts w:ascii="Calibri" w:hAnsi="Calibri" w:cs="Calibri"/>
                <w:color w:val="000000"/>
                <w:sz w:val="18"/>
                <w:szCs w:val="18"/>
                <w:lang w:eastAsia="en-AU"/>
              </w:rPr>
            </w:pPr>
            <w:r w:rsidRPr="00A00873">
              <w:rPr>
                <w:rFonts w:ascii="Calibri" w:hAnsi="Calibri" w:cs="Calibri"/>
                <w:color w:val="000000"/>
                <w:sz w:val="18"/>
                <w:szCs w:val="18"/>
                <w:lang w:eastAsia="en-AU"/>
              </w:rPr>
              <w:t>Psychologist</w:t>
            </w:r>
          </w:p>
        </w:tc>
        <w:tc>
          <w:tcPr>
            <w:tcW w:w="1045" w:type="dxa"/>
            <w:tcBorders>
              <w:top w:val="nil"/>
              <w:left w:val="single" w:sz="8" w:space="0" w:color="auto"/>
              <w:bottom w:val="nil"/>
              <w:right w:val="single" w:sz="8" w:space="0" w:color="auto"/>
            </w:tcBorders>
            <w:shd w:val="clear" w:color="auto" w:fill="auto"/>
            <w:noWrap/>
            <w:vAlign w:val="center"/>
            <w:hideMark/>
          </w:tcPr>
          <w:p w14:paraId="1447B782"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9 (28.1)</w:t>
            </w:r>
          </w:p>
        </w:tc>
        <w:tc>
          <w:tcPr>
            <w:tcW w:w="1045" w:type="dxa"/>
            <w:tcBorders>
              <w:top w:val="nil"/>
              <w:left w:val="single" w:sz="8" w:space="0" w:color="auto"/>
              <w:bottom w:val="nil"/>
              <w:right w:val="single" w:sz="8" w:space="0" w:color="auto"/>
            </w:tcBorders>
            <w:shd w:val="clear" w:color="auto" w:fill="auto"/>
            <w:noWrap/>
            <w:vAlign w:val="center"/>
            <w:hideMark/>
          </w:tcPr>
          <w:p w14:paraId="1E57A6DB"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30 (30.0)</w:t>
            </w:r>
          </w:p>
        </w:tc>
        <w:tc>
          <w:tcPr>
            <w:tcW w:w="1045" w:type="dxa"/>
            <w:tcBorders>
              <w:top w:val="nil"/>
              <w:left w:val="single" w:sz="8" w:space="0" w:color="auto"/>
              <w:bottom w:val="nil"/>
              <w:right w:val="single" w:sz="8" w:space="0" w:color="auto"/>
            </w:tcBorders>
            <w:shd w:val="clear" w:color="auto" w:fill="auto"/>
            <w:noWrap/>
            <w:vAlign w:val="center"/>
            <w:hideMark/>
          </w:tcPr>
          <w:p w14:paraId="23A8F4FB"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39 (17.8)</w:t>
            </w:r>
          </w:p>
        </w:tc>
        <w:tc>
          <w:tcPr>
            <w:tcW w:w="1045" w:type="dxa"/>
            <w:tcBorders>
              <w:top w:val="nil"/>
              <w:left w:val="single" w:sz="8" w:space="0" w:color="auto"/>
              <w:bottom w:val="nil"/>
              <w:right w:val="single" w:sz="8" w:space="0" w:color="auto"/>
            </w:tcBorders>
            <w:shd w:val="clear" w:color="auto" w:fill="auto"/>
            <w:vAlign w:val="center"/>
          </w:tcPr>
          <w:p w14:paraId="23CAF75C"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78 (22.2)</w:t>
            </w:r>
          </w:p>
        </w:tc>
        <w:tc>
          <w:tcPr>
            <w:tcW w:w="1045" w:type="dxa"/>
            <w:tcBorders>
              <w:top w:val="nil"/>
              <w:left w:val="single" w:sz="8" w:space="0" w:color="auto"/>
              <w:bottom w:val="nil"/>
              <w:right w:val="single" w:sz="8" w:space="0" w:color="auto"/>
            </w:tcBorders>
            <w:shd w:val="clear" w:color="auto" w:fill="auto"/>
            <w:vAlign w:val="center"/>
          </w:tcPr>
          <w:p w14:paraId="3C804469"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-1.9</w:t>
            </w:r>
          </w:p>
        </w:tc>
        <w:tc>
          <w:tcPr>
            <w:tcW w:w="1045" w:type="dxa"/>
            <w:tcBorders>
              <w:top w:val="nil"/>
              <w:left w:val="single" w:sz="8" w:space="0" w:color="auto"/>
              <w:bottom w:val="nil"/>
              <w:right w:val="single" w:sz="8" w:space="0" w:color="auto"/>
            </w:tcBorders>
            <w:shd w:val="clear" w:color="auto" w:fill="auto"/>
            <w:vAlign w:val="center"/>
          </w:tcPr>
          <w:p w14:paraId="1FCD4EA2"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A00873">
              <w:rPr>
                <w:rFonts w:ascii="Calibri" w:hAnsi="Calibri" w:cs="Calibri"/>
                <w:b/>
                <w:color w:val="000000"/>
                <w:sz w:val="18"/>
                <w:szCs w:val="18"/>
                <w:lang w:eastAsia="en-AU"/>
              </w:rPr>
              <w:t>12.2*</w:t>
            </w:r>
          </w:p>
        </w:tc>
        <w:tc>
          <w:tcPr>
            <w:tcW w:w="1045" w:type="dxa"/>
            <w:tcBorders>
              <w:top w:val="nil"/>
              <w:left w:val="single" w:sz="8" w:space="0" w:color="auto"/>
              <w:bottom w:val="nil"/>
              <w:right w:val="single" w:sz="8" w:space="0" w:color="auto"/>
            </w:tcBorders>
            <w:shd w:val="clear" w:color="auto" w:fill="auto"/>
            <w:vAlign w:val="center"/>
          </w:tcPr>
          <w:p w14:paraId="224E5234"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10.3</w:t>
            </w:r>
          </w:p>
        </w:tc>
      </w:tr>
      <w:tr w:rsidR="00A00873" w:rsidRPr="00A00873" w14:paraId="51FA6A99" w14:textId="77777777" w:rsidTr="00C751C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85" w:type="dxa"/>
            <w:tcBorders>
              <w:top w:val="nil"/>
              <w:left w:val="single" w:sz="8" w:space="0" w:color="auto"/>
              <w:bottom w:val="nil"/>
              <w:right w:val="single" w:sz="8" w:space="0" w:color="auto"/>
            </w:tcBorders>
            <w:shd w:val="clear" w:color="auto" w:fill="auto"/>
            <w:noWrap/>
            <w:hideMark/>
          </w:tcPr>
          <w:p w14:paraId="6E2BFA17" w14:textId="77777777" w:rsidR="00A00873" w:rsidRPr="00A00873" w:rsidRDefault="00A00873" w:rsidP="00A00873">
            <w:pPr>
              <w:spacing w:before="20" w:after="20" w:line="276" w:lineRule="exact"/>
              <w:rPr>
                <w:rFonts w:ascii="Calibri" w:hAnsi="Calibri" w:cs="Calibri"/>
                <w:color w:val="000000"/>
                <w:sz w:val="18"/>
                <w:szCs w:val="18"/>
                <w:lang w:eastAsia="en-AU"/>
              </w:rPr>
            </w:pPr>
            <w:r w:rsidRPr="00A00873">
              <w:rPr>
                <w:rFonts w:ascii="Calibri" w:hAnsi="Calibri" w:cs="Calibri"/>
                <w:color w:val="000000"/>
                <w:sz w:val="18"/>
                <w:szCs w:val="18"/>
                <w:lang w:eastAsia="en-AU"/>
              </w:rPr>
              <w:t xml:space="preserve">Allied health </w:t>
            </w:r>
          </w:p>
        </w:tc>
        <w:tc>
          <w:tcPr>
            <w:tcW w:w="1045" w:type="dxa"/>
            <w:tcBorders>
              <w:top w:val="nil"/>
              <w:left w:val="single" w:sz="8" w:space="0" w:color="auto"/>
              <w:bottom w:val="nil"/>
              <w:right w:val="single" w:sz="8" w:space="0" w:color="auto"/>
            </w:tcBorders>
            <w:shd w:val="clear" w:color="auto" w:fill="auto"/>
            <w:noWrap/>
            <w:vAlign w:val="center"/>
            <w:hideMark/>
          </w:tcPr>
          <w:p w14:paraId="28264250"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7 (21.9)</w:t>
            </w:r>
          </w:p>
        </w:tc>
        <w:tc>
          <w:tcPr>
            <w:tcW w:w="1045" w:type="dxa"/>
            <w:tcBorders>
              <w:top w:val="nil"/>
              <w:left w:val="single" w:sz="8" w:space="0" w:color="auto"/>
              <w:bottom w:val="nil"/>
              <w:right w:val="single" w:sz="8" w:space="0" w:color="auto"/>
            </w:tcBorders>
            <w:shd w:val="clear" w:color="auto" w:fill="auto"/>
            <w:noWrap/>
            <w:vAlign w:val="center"/>
            <w:hideMark/>
          </w:tcPr>
          <w:p w14:paraId="5ECAB793"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36 (36.0)</w:t>
            </w:r>
          </w:p>
        </w:tc>
        <w:tc>
          <w:tcPr>
            <w:tcW w:w="1045" w:type="dxa"/>
            <w:tcBorders>
              <w:top w:val="nil"/>
              <w:left w:val="single" w:sz="8" w:space="0" w:color="auto"/>
              <w:bottom w:val="nil"/>
              <w:right w:val="single" w:sz="8" w:space="0" w:color="auto"/>
            </w:tcBorders>
            <w:shd w:val="clear" w:color="auto" w:fill="auto"/>
            <w:noWrap/>
            <w:vAlign w:val="center"/>
            <w:hideMark/>
          </w:tcPr>
          <w:p w14:paraId="21F16B4E"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50 (22.8)</w:t>
            </w:r>
          </w:p>
        </w:tc>
        <w:tc>
          <w:tcPr>
            <w:tcW w:w="1045" w:type="dxa"/>
            <w:tcBorders>
              <w:top w:val="nil"/>
              <w:left w:val="single" w:sz="8" w:space="0" w:color="auto"/>
              <w:bottom w:val="nil"/>
              <w:right w:val="single" w:sz="8" w:space="0" w:color="auto"/>
            </w:tcBorders>
            <w:shd w:val="clear" w:color="auto" w:fill="auto"/>
            <w:vAlign w:val="center"/>
          </w:tcPr>
          <w:p w14:paraId="45AE4E33"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93 (26.5)</w:t>
            </w:r>
          </w:p>
        </w:tc>
        <w:tc>
          <w:tcPr>
            <w:tcW w:w="1045" w:type="dxa"/>
            <w:tcBorders>
              <w:top w:val="nil"/>
              <w:left w:val="single" w:sz="8" w:space="0" w:color="auto"/>
              <w:bottom w:val="nil"/>
              <w:right w:val="single" w:sz="8" w:space="0" w:color="auto"/>
            </w:tcBorders>
            <w:shd w:val="clear" w:color="auto" w:fill="auto"/>
            <w:vAlign w:val="center"/>
          </w:tcPr>
          <w:p w14:paraId="4AFAE394"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-14.1</w:t>
            </w:r>
          </w:p>
        </w:tc>
        <w:tc>
          <w:tcPr>
            <w:tcW w:w="1045" w:type="dxa"/>
            <w:tcBorders>
              <w:top w:val="nil"/>
              <w:left w:val="single" w:sz="8" w:space="0" w:color="auto"/>
              <w:bottom w:val="nil"/>
              <w:right w:val="single" w:sz="8" w:space="0" w:color="auto"/>
            </w:tcBorders>
            <w:shd w:val="clear" w:color="auto" w:fill="auto"/>
            <w:vAlign w:val="center"/>
          </w:tcPr>
          <w:p w14:paraId="15F97192"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r w:rsidRPr="00A00873">
              <w:rPr>
                <w:rFonts w:ascii="Calibri" w:hAnsi="Calibri" w:cs="Calibri"/>
                <w:b/>
                <w:color w:val="000000"/>
                <w:sz w:val="18"/>
                <w:szCs w:val="18"/>
                <w:lang w:eastAsia="en-AU"/>
              </w:rPr>
              <w:t>13.2*</w:t>
            </w:r>
          </w:p>
        </w:tc>
        <w:tc>
          <w:tcPr>
            <w:tcW w:w="1045" w:type="dxa"/>
            <w:tcBorders>
              <w:top w:val="nil"/>
              <w:left w:val="single" w:sz="8" w:space="0" w:color="auto"/>
              <w:bottom w:val="nil"/>
              <w:right w:val="single" w:sz="8" w:space="0" w:color="auto"/>
            </w:tcBorders>
            <w:shd w:val="clear" w:color="auto" w:fill="auto"/>
            <w:vAlign w:val="center"/>
          </w:tcPr>
          <w:p w14:paraId="1D86A87C"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-0.9</w:t>
            </w:r>
          </w:p>
        </w:tc>
      </w:tr>
      <w:tr w:rsidR="00A00873" w:rsidRPr="00A00873" w14:paraId="44332B8C" w14:textId="77777777" w:rsidTr="00C751C6">
        <w:trPr>
          <w:trHeight w:val="20"/>
          <w:jc w:val="center"/>
        </w:trPr>
        <w:tc>
          <w:tcPr>
            <w:cnfStyle w:val="001000000000" w:firstRow="0" w:lastRow="0" w:firstColumn="1" w:lastColumn="0" w:oddVBand="0" w:evenVBand="0" w:oddHBand="0" w:evenHBand="0" w:firstRowFirstColumn="0" w:firstRowLastColumn="0" w:lastRowFirstColumn="0" w:lastRowLastColumn="0"/>
            <w:tcW w:w="1685" w:type="dxa"/>
            <w:tcBorders>
              <w:top w:val="nil"/>
              <w:left w:val="single" w:sz="8" w:space="0" w:color="auto"/>
              <w:bottom w:val="nil"/>
              <w:right w:val="single" w:sz="8" w:space="0" w:color="auto"/>
            </w:tcBorders>
            <w:shd w:val="clear" w:color="auto" w:fill="auto"/>
            <w:noWrap/>
            <w:hideMark/>
          </w:tcPr>
          <w:p w14:paraId="0ED84959" w14:textId="77777777" w:rsidR="00A00873" w:rsidRPr="00A00873" w:rsidRDefault="00A00873" w:rsidP="00A00873">
            <w:pPr>
              <w:spacing w:before="20" w:after="20" w:line="276" w:lineRule="exact"/>
              <w:rPr>
                <w:rFonts w:ascii="Calibri" w:hAnsi="Calibri" w:cs="Calibri"/>
                <w:color w:val="000000"/>
                <w:sz w:val="18"/>
                <w:szCs w:val="18"/>
                <w:lang w:eastAsia="en-AU"/>
              </w:rPr>
            </w:pPr>
            <w:r w:rsidRPr="00A00873">
              <w:rPr>
                <w:rFonts w:ascii="Calibri" w:hAnsi="Calibri" w:cs="Calibri"/>
                <w:color w:val="000000"/>
                <w:sz w:val="18"/>
                <w:szCs w:val="18"/>
                <w:lang w:eastAsia="en-AU"/>
              </w:rPr>
              <w:t>Ambulance</w:t>
            </w:r>
          </w:p>
        </w:tc>
        <w:tc>
          <w:tcPr>
            <w:tcW w:w="1045" w:type="dxa"/>
            <w:tcBorders>
              <w:top w:val="nil"/>
              <w:left w:val="single" w:sz="8" w:space="0" w:color="auto"/>
              <w:bottom w:val="nil"/>
              <w:right w:val="single" w:sz="8" w:space="0" w:color="auto"/>
            </w:tcBorders>
            <w:shd w:val="clear" w:color="auto" w:fill="auto"/>
            <w:noWrap/>
            <w:vAlign w:val="center"/>
            <w:hideMark/>
          </w:tcPr>
          <w:p w14:paraId="1A82A60A"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 (3.1)</w:t>
            </w:r>
          </w:p>
        </w:tc>
        <w:tc>
          <w:tcPr>
            <w:tcW w:w="1045" w:type="dxa"/>
            <w:tcBorders>
              <w:top w:val="nil"/>
              <w:left w:val="single" w:sz="8" w:space="0" w:color="auto"/>
              <w:bottom w:val="nil"/>
              <w:right w:val="single" w:sz="8" w:space="0" w:color="auto"/>
            </w:tcBorders>
            <w:shd w:val="clear" w:color="auto" w:fill="auto"/>
            <w:noWrap/>
            <w:vAlign w:val="center"/>
            <w:hideMark/>
          </w:tcPr>
          <w:p w14:paraId="212884C8"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21 (21.0)</w:t>
            </w:r>
          </w:p>
        </w:tc>
        <w:tc>
          <w:tcPr>
            <w:tcW w:w="1045" w:type="dxa"/>
            <w:tcBorders>
              <w:top w:val="nil"/>
              <w:left w:val="single" w:sz="8" w:space="0" w:color="auto"/>
              <w:bottom w:val="nil"/>
              <w:right w:val="single" w:sz="8" w:space="0" w:color="auto"/>
            </w:tcBorders>
            <w:shd w:val="clear" w:color="auto" w:fill="auto"/>
            <w:noWrap/>
            <w:vAlign w:val="center"/>
            <w:hideMark/>
          </w:tcPr>
          <w:p w14:paraId="2A7ABA82"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2 (0.9)</w:t>
            </w:r>
          </w:p>
        </w:tc>
        <w:tc>
          <w:tcPr>
            <w:tcW w:w="1045" w:type="dxa"/>
            <w:tcBorders>
              <w:top w:val="nil"/>
              <w:left w:val="single" w:sz="8" w:space="0" w:color="auto"/>
              <w:bottom w:val="nil"/>
              <w:right w:val="single" w:sz="8" w:space="0" w:color="auto"/>
            </w:tcBorders>
            <w:shd w:val="clear" w:color="auto" w:fill="auto"/>
            <w:vAlign w:val="center"/>
          </w:tcPr>
          <w:p w14:paraId="4151DC80"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A00873">
              <w:rPr>
                <w:rFonts w:ascii="Calibri" w:hAnsi="Calibri" w:cs="Calibri"/>
                <w:color w:val="000000"/>
                <w:sz w:val="18"/>
                <w:szCs w:val="18"/>
                <w:lang w:eastAsia="en-AU"/>
              </w:rPr>
              <w:t>24 (6.8)</w:t>
            </w:r>
          </w:p>
        </w:tc>
        <w:tc>
          <w:tcPr>
            <w:tcW w:w="1045" w:type="dxa"/>
            <w:tcBorders>
              <w:top w:val="nil"/>
              <w:left w:val="single" w:sz="8" w:space="0" w:color="auto"/>
              <w:bottom w:val="nil"/>
              <w:right w:val="single" w:sz="8" w:space="0" w:color="auto"/>
            </w:tcBorders>
            <w:shd w:val="clear" w:color="auto" w:fill="auto"/>
            <w:vAlign w:val="center"/>
          </w:tcPr>
          <w:p w14:paraId="7C84FB14"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A00873">
              <w:rPr>
                <w:rFonts w:ascii="Calibri" w:hAnsi="Calibri" w:cs="Calibri"/>
                <w:b/>
                <w:color w:val="000000"/>
                <w:sz w:val="18"/>
                <w:szCs w:val="18"/>
                <w:lang w:eastAsia="en-AU"/>
              </w:rPr>
              <w:t>-17.9*</w:t>
            </w:r>
          </w:p>
        </w:tc>
        <w:tc>
          <w:tcPr>
            <w:tcW w:w="1045" w:type="dxa"/>
            <w:tcBorders>
              <w:top w:val="nil"/>
              <w:left w:val="single" w:sz="8" w:space="0" w:color="auto"/>
              <w:bottom w:val="nil"/>
              <w:right w:val="single" w:sz="8" w:space="0" w:color="auto"/>
            </w:tcBorders>
            <w:shd w:val="clear" w:color="auto" w:fill="auto"/>
            <w:vAlign w:val="center"/>
          </w:tcPr>
          <w:p w14:paraId="14A133A4"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A00873">
              <w:rPr>
                <w:rFonts w:ascii="Calibri" w:hAnsi="Calibri" w:cs="Calibri"/>
                <w:b/>
                <w:color w:val="000000"/>
                <w:sz w:val="18"/>
                <w:szCs w:val="18"/>
                <w:lang w:eastAsia="en-AU"/>
              </w:rPr>
              <w:t>20.1**</w:t>
            </w:r>
          </w:p>
        </w:tc>
        <w:tc>
          <w:tcPr>
            <w:tcW w:w="1045" w:type="dxa"/>
            <w:tcBorders>
              <w:top w:val="nil"/>
              <w:left w:val="single" w:sz="8" w:space="0" w:color="auto"/>
              <w:bottom w:val="nil"/>
              <w:right w:val="single" w:sz="8" w:space="0" w:color="auto"/>
            </w:tcBorders>
            <w:shd w:val="clear" w:color="auto" w:fill="auto"/>
            <w:vAlign w:val="center"/>
          </w:tcPr>
          <w:p w14:paraId="0746DA59"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2.2</w:t>
            </w:r>
          </w:p>
        </w:tc>
      </w:tr>
      <w:tr w:rsidR="00A00873" w:rsidRPr="00A00873" w14:paraId="057A1D97" w14:textId="77777777" w:rsidTr="00C751C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85" w:type="dxa"/>
            <w:tcBorders>
              <w:top w:val="nil"/>
              <w:left w:val="single" w:sz="8" w:space="0" w:color="auto"/>
              <w:bottom w:val="nil"/>
              <w:right w:val="single" w:sz="8" w:space="0" w:color="auto"/>
            </w:tcBorders>
            <w:shd w:val="clear" w:color="auto" w:fill="auto"/>
            <w:noWrap/>
            <w:hideMark/>
          </w:tcPr>
          <w:p w14:paraId="7A1A81EE" w14:textId="77777777" w:rsidR="00A00873" w:rsidRPr="00A00873" w:rsidRDefault="00A00873" w:rsidP="00A00873">
            <w:pPr>
              <w:spacing w:before="20" w:after="20" w:line="276" w:lineRule="exact"/>
              <w:rPr>
                <w:rFonts w:ascii="Calibri" w:hAnsi="Calibri" w:cs="Calibri"/>
                <w:color w:val="000000"/>
                <w:sz w:val="18"/>
                <w:szCs w:val="18"/>
                <w:lang w:eastAsia="en-AU"/>
              </w:rPr>
            </w:pPr>
            <w:r w:rsidRPr="00A00873">
              <w:rPr>
                <w:rFonts w:ascii="Calibri" w:hAnsi="Calibri" w:cs="Calibri"/>
                <w:color w:val="000000"/>
                <w:sz w:val="18"/>
                <w:szCs w:val="18"/>
                <w:lang w:eastAsia="en-AU"/>
              </w:rPr>
              <w:t>Emergency department</w:t>
            </w:r>
          </w:p>
        </w:tc>
        <w:tc>
          <w:tcPr>
            <w:tcW w:w="1045" w:type="dxa"/>
            <w:tcBorders>
              <w:top w:val="nil"/>
              <w:left w:val="single" w:sz="8" w:space="0" w:color="auto"/>
              <w:bottom w:val="nil"/>
              <w:right w:val="single" w:sz="8" w:space="0" w:color="auto"/>
            </w:tcBorders>
            <w:shd w:val="clear" w:color="auto" w:fill="auto"/>
            <w:noWrap/>
            <w:vAlign w:val="center"/>
            <w:hideMark/>
          </w:tcPr>
          <w:p w14:paraId="65F79320"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3 (9.4)</w:t>
            </w:r>
          </w:p>
        </w:tc>
        <w:tc>
          <w:tcPr>
            <w:tcW w:w="1045" w:type="dxa"/>
            <w:tcBorders>
              <w:top w:val="nil"/>
              <w:left w:val="single" w:sz="8" w:space="0" w:color="auto"/>
              <w:bottom w:val="nil"/>
              <w:right w:val="single" w:sz="8" w:space="0" w:color="auto"/>
            </w:tcBorders>
            <w:shd w:val="clear" w:color="auto" w:fill="auto"/>
            <w:noWrap/>
            <w:vAlign w:val="center"/>
            <w:hideMark/>
          </w:tcPr>
          <w:p w14:paraId="65D422A4"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20 (20.0)</w:t>
            </w:r>
          </w:p>
        </w:tc>
        <w:tc>
          <w:tcPr>
            <w:tcW w:w="1045" w:type="dxa"/>
            <w:tcBorders>
              <w:top w:val="nil"/>
              <w:left w:val="single" w:sz="8" w:space="0" w:color="auto"/>
              <w:bottom w:val="nil"/>
              <w:right w:val="single" w:sz="8" w:space="0" w:color="auto"/>
            </w:tcBorders>
            <w:shd w:val="clear" w:color="auto" w:fill="auto"/>
            <w:noWrap/>
            <w:vAlign w:val="center"/>
            <w:hideMark/>
          </w:tcPr>
          <w:p w14:paraId="1641DCA0"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7 (3.2)</w:t>
            </w:r>
          </w:p>
        </w:tc>
        <w:tc>
          <w:tcPr>
            <w:tcW w:w="1045" w:type="dxa"/>
            <w:tcBorders>
              <w:top w:val="nil"/>
              <w:left w:val="single" w:sz="8" w:space="0" w:color="auto"/>
              <w:bottom w:val="nil"/>
              <w:right w:val="single" w:sz="8" w:space="0" w:color="auto"/>
            </w:tcBorders>
            <w:shd w:val="clear" w:color="auto" w:fill="auto"/>
            <w:vAlign w:val="center"/>
          </w:tcPr>
          <w:p w14:paraId="77B9A0F1"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30 (8.6)</w:t>
            </w:r>
          </w:p>
        </w:tc>
        <w:tc>
          <w:tcPr>
            <w:tcW w:w="1045" w:type="dxa"/>
            <w:tcBorders>
              <w:top w:val="nil"/>
              <w:left w:val="single" w:sz="8" w:space="0" w:color="auto"/>
              <w:bottom w:val="nil"/>
              <w:right w:val="single" w:sz="8" w:space="0" w:color="auto"/>
            </w:tcBorders>
            <w:shd w:val="clear" w:color="auto" w:fill="auto"/>
            <w:vAlign w:val="center"/>
          </w:tcPr>
          <w:p w14:paraId="27602DF2"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-10.6</w:t>
            </w:r>
          </w:p>
        </w:tc>
        <w:tc>
          <w:tcPr>
            <w:tcW w:w="1045" w:type="dxa"/>
            <w:tcBorders>
              <w:top w:val="nil"/>
              <w:left w:val="single" w:sz="8" w:space="0" w:color="auto"/>
              <w:bottom w:val="nil"/>
              <w:right w:val="single" w:sz="8" w:space="0" w:color="auto"/>
            </w:tcBorders>
            <w:shd w:val="clear" w:color="auto" w:fill="auto"/>
            <w:vAlign w:val="center"/>
          </w:tcPr>
          <w:p w14:paraId="2FCF6213"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b/>
                <w:color w:val="000000"/>
                <w:sz w:val="18"/>
                <w:szCs w:val="18"/>
                <w:lang w:eastAsia="en-AU"/>
              </w:rPr>
              <w:t>16.8**</w:t>
            </w:r>
          </w:p>
        </w:tc>
        <w:tc>
          <w:tcPr>
            <w:tcW w:w="1045" w:type="dxa"/>
            <w:tcBorders>
              <w:top w:val="nil"/>
              <w:left w:val="single" w:sz="8" w:space="0" w:color="auto"/>
              <w:bottom w:val="nil"/>
              <w:right w:val="single" w:sz="8" w:space="0" w:color="auto"/>
            </w:tcBorders>
            <w:shd w:val="clear" w:color="auto" w:fill="auto"/>
            <w:vAlign w:val="center"/>
          </w:tcPr>
          <w:p w14:paraId="41F23F7B"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6.2</w:t>
            </w:r>
          </w:p>
        </w:tc>
      </w:tr>
      <w:tr w:rsidR="00A00873" w:rsidRPr="00A00873" w14:paraId="3032546C" w14:textId="77777777" w:rsidTr="00C751C6">
        <w:trPr>
          <w:trHeight w:val="20"/>
          <w:jc w:val="center"/>
        </w:trPr>
        <w:tc>
          <w:tcPr>
            <w:cnfStyle w:val="001000000000" w:firstRow="0" w:lastRow="0" w:firstColumn="1" w:lastColumn="0" w:oddVBand="0" w:evenVBand="0" w:oddHBand="0" w:evenHBand="0" w:firstRowFirstColumn="0" w:firstRowLastColumn="0" w:lastRowFirstColumn="0" w:lastRowLastColumn="0"/>
            <w:tcW w:w="1685" w:type="dxa"/>
            <w:tcBorders>
              <w:top w:val="nil"/>
              <w:left w:val="single" w:sz="8" w:space="0" w:color="auto"/>
              <w:bottom w:val="nil"/>
              <w:right w:val="single" w:sz="8" w:space="0" w:color="auto"/>
            </w:tcBorders>
            <w:shd w:val="clear" w:color="auto" w:fill="auto"/>
            <w:noWrap/>
            <w:hideMark/>
          </w:tcPr>
          <w:p w14:paraId="38CDDD68" w14:textId="77777777" w:rsidR="00A00873" w:rsidRPr="00A00873" w:rsidRDefault="00A00873" w:rsidP="00A00873">
            <w:pPr>
              <w:spacing w:before="20" w:after="20" w:line="276" w:lineRule="exact"/>
              <w:rPr>
                <w:rFonts w:ascii="Calibri" w:hAnsi="Calibri" w:cs="Calibri"/>
                <w:color w:val="000000"/>
                <w:sz w:val="18"/>
                <w:szCs w:val="18"/>
                <w:lang w:eastAsia="en-AU"/>
              </w:rPr>
            </w:pPr>
            <w:r w:rsidRPr="00A00873">
              <w:rPr>
                <w:rFonts w:ascii="Calibri" w:hAnsi="Calibri" w:cs="Calibri"/>
                <w:color w:val="000000"/>
                <w:sz w:val="18"/>
                <w:szCs w:val="18"/>
                <w:lang w:eastAsia="en-AU"/>
              </w:rPr>
              <w:t>Hospital</w:t>
            </w:r>
          </w:p>
        </w:tc>
        <w:tc>
          <w:tcPr>
            <w:tcW w:w="1045" w:type="dxa"/>
            <w:tcBorders>
              <w:top w:val="nil"/>
              <w:left w:val="single" w:sz="8" w:space="0" w:color="auto"/>
              <w:bottom w:val="nil"/>
              <w:right w:val="single" w:sz="8" w:space="0" w:color="auto"/>
            </w:tcBorders>
            <w:shd w:val="clear" w:color="auto" w:fill="auto"/>
            <w:noWrap/>
            <w:vAlign w:val="center"/>
            <w:hideMark/>
          </w:tcPr>
          <w:p w14:paraId="4CB3B76C"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0 (0.0)</w:t>
            </w:r>
          </w:p>
        </w:tc>
        <w:tc>
          <w:tcPr>
            <w:tcW w:w="1045" w:type="dxa"/>
            <w:tcBorders>
              <w:top w:val="nil"/>
              <w:left w:val="single" w:sz="8" w:space="0" w:color="auto"/>
              <w:bottom w:val="nil"/>
              <w:right w:val="single" w:sz="8" w:space="0" w:color="auto"/>
            </w:tcBorders>
            <w:shd w:val="clear" w:color="auto" w:fill="auto"/>
            <w:noWrap/>
            <w:vAlign w:val="center"/>
            <w:hideMark/>
          </w:tcPr>
          <w:p w14:paraId="25907F81"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18 (18.0)</w:t>
            </w:r>
          </w:p>
        </w:tc>
        <w:tc>
          <w:tcPr>
            <w:tcW w:w="1045" w:type="dxa"/>
            <w:tcBorders>
              <w:top w:val="nil"/>
              <w:left w:val="single" w:sz="8" w:space="0" w:color="auto"/>
              <w:bottom w:val="nil"/>
              <w:right w:val="single" w:sz="8" w:space="0" w:color="auto"/>
            </w:tcBorders>
            <w:shd w:val="clear" w:color="auto" w:fill="auto"/>
            <w:noWrap/>
            <w:vAlign w:val="center"/>
            <w:hideMark/>
          </w:tcPr>
          <w:p w14:paraId="33784677"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0 (0.0)</w:t>
            </w:r>
          </w:p>
        </w:tc>
        <w:tc>
          <w:tcPr>
            <w:tcW w:w="1045" w:type="dxa"/>
            <w:tcBorders>
              <w:top w:val="nil"/>
              <w:left w:val="single" w:sz="8" w:space="0" w:color="auto"/>
              <w:bottom w:val="nil"/>
              <w:right w:val="single" w:sz="8" w:space="0" w:color="auto"/>
            </w:tcBorders>
            <w:shd w:val="clear" w:color="auto" w:fill="auto"/>
            <w:vAlign w:val="center"/>
          </w:tcPr>
          <w:p w14:paraId="28340B77"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A00873">
              <w:rPr>
                <w:rFonts w:ascii="Calibri" w:hAnsi="Calibri" w:cs="Calibri"/>
                <w:color w:val="000000"/>
                <w:sz w:val="18"/>
                <w:szCs w:val="18"/>
                <w:lang w:eastAsia="en-AU"/>
              </w:rPr>
              <w:t>18 (5.1)</w:t>
            </w:r>
          </w:p>
        </w:tc>
        <w:tc>
          <w:tcPr>
            <w:tcW w:w="1045" w:type="dxa"/>
            <w:tcBorders>
              <w:top w:val="nil"/>
              <w:left w:val="single" w:sz="8" w:space="0" w:color="auto"/>
              <w:bottom w:val="nil"/>
              <w:right w:val="single" w:sz="8" w:space="0" w:color="auto"/>
            </w:tcBorders>
            <w:shd w:val="clear" w:color="auto" w:fill="auto"/>
            <w:vAlign w:val="center"/>
          </w:tcPr>
          <w:p w14:paraId="6FA88B9A"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A00873">
              <w:rPr>
                <w:rFonts w:ascii="Calibri" w:hAnsi="Calibri" w:cs="Calibri"/>
                <w:b/>
                <w:color w:val="000000"/>
                <w:sz w:val="18"/>
                <w:szCs w:val="18"/>
                <w:lang w:eastAsia="en-AU"/>
              </w:rPr>
              <w:t>-18.0**</w:t>
            </w:r>
          </w:p>
        </w:tc>
        <w:tc>
          <w:tcPr>
            <w:tcW w:w="1045" w:type="dxa"/>
            <w:tcBorders>
              <w:top w:val="nil"/>
              <w:left w:val="single" w:sz="8" w:space="0" w:color="auto"/>
              <w:bottom w:val="nil"/>
              <w:right w:val="single" w:sz="8" w:space="0" w:color="auto"/>
            </w:tcBorders>
            <w:shd w:val="clear" w:color="auto" w:fill="auto"/>
            <w:vAlign w:val="center"/>
          </w:tcPr>
          <w:p w14:paraId="300075B4"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A00873">
              <w:rPr>
                <w:rFonts w:ascii="Calibri" w:hAnsi="Calibri" w:cs="Calibri"/>
                <w:b/>
                <w:color w:val="000000"/>
                <w:sz w:val="18"/>
                <w:szCs w:val="18"/>
                <w:lang w:eastAsia="en-AU"/>
              </w:rPr>
              <w:t>18.0**</w:t>
            </w:r>
          </w:p>
        </w:tc>
        <w:tc>
          <w:tcPr>
            <w:tcW w:w="1045" w:type="dxa"/>
            <w:tcBorders>
              <w:top w:val="nil"/>
              <w:left w:val="single" w:sz="8" w:space="0" w:color="auto"/>
              <w:bottom w:val="nil"/>
              <w:right w:val="single" w:sz="8" w:space="0" w:color="auto"/>
            </w:tcBorders>
            <w:shd w:val="clear" w:color="auto" w:fill="auto"/>
            <w:vAlign w:val="center"/>
          </w:tcPr>
          <w:p w14:paraId="1CB03D74"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0.0</w:t>
            </w:r>
          </w:p>
        </w:tc>
      </w:tr>
      <w:tr w:rsidR="00A00873" w:rsidRPr="00A00873" w14:paraId="6C5E6913" w14:textId="77777777" w:rsidTr="00C751C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85" w:type="dxa"/>
            <w:tcBorders>
              <w:top w:val="nil"/>
              <w:left w:val="single" w:sz="8" w:space="0" w:color="auto"/>
              <w:bottom w:val="nil"/>
              <w:right w:val="single" w:sz="8" w:space="0" w:color="auto"/>
            </w:tcBorders>
            <w:shd w:val="clear" w:color="auto" w:fill="auto"/>
            <w:noWrap/>
            <w:hideMark/>
          </w:tcPr>
          <w:p w14:paraId="15DD7F70" w14:textId="77777777" w:rsidR="00A00873" w:rsidRPr="00A00873" w:rsidRDefault="00A00873" w:rsidP="00A00873">
            <w:pPr>
              <w:spacing w:before="20" w:after="20" w:line="276" w:lineRule="exact"/>
              <w:rPr>
                <w:rFonts w:ascii="Calibri" w:hAnsi="Calibri" w:cs="Calibri"/>
                <w:color w:val="000000"/>
                <w:sz w:val="18"/>
                <w:szCs w:val="18"/>
                <w:lang w:eastAsia="en-AU"/>
              </w:rPr>
            </w:pPr>
            <w:r w:rsidRPr="00A00873">
              <w:rPr>
                <w:rFonts w:ascii="Calibri" w:hAnsi="Calibri" w:cs="Calibri"/>
                <w:color w:val="000000"/>
                <w:sz w:val="18"/>
                <w:szCs w:val="18"/>
                <w:lang w:eastAsia="en-AU"/>
              </w:rPr>
              <w:t>Medication</w:t>
            </w:r>
          </w:p>
        </w:tc>
        <w:tc>
          <w:tcPr>
            <w:tcW w:w="1045" w:type="dxa"/>
            <w:tcBorders>
              <w:top w:val="nil"/>
              <w:left w:val="single" w:sz="8" w:space="0" w:color="auto"/>
              <w:bottom w:val="nil"/>
              <w:right w:val="single" w:sz="8" w:space="0" w:color="auto"/>
            </w:tcBorders>
            <w:shd w:val="clear" w:color="auto" w:fill="auto"/>
            <w:noWrap/>
            <w:vAlign w:val="center"/>
            <w:hideMark/>
          </w:tcPr>
          <w:p w14:paraId="6D6EBB1C"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17 (53.1)</w:t>
            </w:r>
          </w:p>
        </w:tc>
        <w:tc>
          <w:tcPr>
            <w:tcW w:w="1045" w:type="dxa"/>
            <w:tcBorders>
              <w:top w:val="nil"/>
              <w:left w:val="single" w:sz="8" w:space="0" w:color="auto"/>
              <w:bottom w:val="nil"/>
              <w:right w:val="single" w:sz="8" w:space="0" w:color="auto"/>
            </w:tcBorders>
            <w:shd w:val="clear" w:color="auto" w:fill="auto"/>
            <w:noWrap/>
            <w:vAlign w:val="center"/>
            <w:hideMark/>
          </w:tcPr>
          <w:p w14:paraId="4C0D0FB1"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26 (26.0)</w:t>
            </w:r>
          </w:p>
        </w:tc>
        <w:tc>
          <w:tcPr>
            <w:tcW w:w="1045" w:type="dxa"/>
            <w:tcBorders>
              <w:top w:val="nil"/>
              <w:left w:val="single" w:sz="8" w:space="0" w:color="auto"/>
              <w:bottom w:val="nil"/>
              <w:right w:val="single" w:sz="8" w:space="0" w:color="auto"/>
            </w:tcBorders>
            <w:shd w:val="clear" w:color="auto" w:fill="auto"/>
            <w:noWrap/>
            <w:vAlign w:val="center"/>
            <w:hideMark/>
          </w:tcPr>
          <w:p w14:paraId="2C1FD025"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89 (40.6)</w:t>
            </w:r>
          </w:p>
        </w:tc>
        <w:tc>
          <w:tcPr>
            <w:tcW w:w="1045" w:type="dxa"/>
            <w:tcBorders>
              <w:top w:val="nil"/>
              <w:left w:val="single" w:sz="8" w:space="0" w:color="auto"/>
              <w:bottom w:val="nil"/>
              <w:right w:val="single" w:sz="8" w:space="0" w:color="auto"/>
            </w:tcBorders>
            <w:shd w:val="clear" w:color="auto" w:fill="auto"/>
            <w:vAlign w:val="center"/>
          </w:tcPr>
          <w:p w14:paraId="5B80E2EC"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r w:rsidRPr="00A00873">
              <w:rPr>
                <w:rFonts w:ascii="Calibri" w:hAnsi="Calibri" w:cs="Calibri"/>
                <w:color w:val="000000"/>
                <w:sz w:val="18"/>
                <w:szCs w:val="18"/>
                <w:lang w:eastAsia="en-AU"/>
              </w:rPr>
              <w:t>132 (37.6)</w:t>
            </w:r>
          </w:p>
        </w:tc>
        <w:tc>
          <w:tcPr>
            <w:tcW w:w="1045" w:type="dxa"/>
            <w:tcBorders>
              <w:top w:val="nil"/>
              <w:left w:val="single" w:sz="8" w:space="0" w:color="auto"/>
              <w:bottom w:val="nil"/>
              <w:right w:val="single" w:sz="8" w:space="0" w:color="auto"/>
            </w:tcBorders>
            <w:shd w:val="clear" w:color="auto" w:fill="auto"/>
            <w:vAlign w:val="center"/>
          </w:tcPr>
          <w:p w14:paraId="7A8E5C82"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r w:rsidRPr="00A00873">
              <w:rPr>
                <w:rFonts w:ascii="Calibri" w:hAnsi="Calibri" w:cs="Calibri"/>
                <w:b/>
                <w:color w:val="000000"/>
                <w:sz w:val="18"/>
                <w:szCs w:val="18"/>
                <w:lang w:eastAsia="en-AU"/>
              </w:rPr>
              <w:t>27.1**</w:t>
            </w:r>
          </w:p>
        </w:tc>
        <w:tc>
          <w:tcPr>
            <w:tcW w:w="1045" w:type="dxa"/>
            <w:tcBorders>
              <w:top w:val="nil"/>
              <w:left w:val="single" w:sz="8" w:space="0" w:color="auto"/>
              <w:bottom w:val="nil"/>
              <w:right w:val="single" w:sz="8" w:space="0" w:color="auto"/>
            </w:tcBorders>
            <w:shd w:val="clear" w:color="auto" w:fill="auto"/>
            <w:vAlign w:val="center"/>
          </w:tcPr>
          <w:p w14:paraId="427FF331"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r w:rsidRPr="00A00873">
              <w:rPr>
                <w:rFonts w:ascii="Calibri" w:hAnsi="Calibri" w:cs="Calibri"/>
                <w:b/>
                <w:color w:val="000000"/>
                <w:sz w:val="18"/>
                <w:szCs w:val="18"/>
                <w:lang w:eastAsia="en-AU"/>
              </w:rPr>
              <w:t>-14.6*</w:t>
            </w:r>
          </w:p>
        </w:tc>
        <w:tc>
          <w:tcPr>
            <w:tcW w:w="1045" w:type="dxa"/>
            <w:tcBorders>
              <w:top w:val="nil"/>
              <w:left w:val="single" w:sz="8" w:space="0" w:color="auto"/>
              <w:bottom w:val="nil"/>
              <w:right w:val="single" w:sz="8" w:space="0" w:color="auto"/>
            </w:tcBorders>
            <w:shd w:val="clear" w:color="auto" w:fill="auto"/>
            <w:vAlign w:val="center"/>
          </w:tcPr>
          <w:p w14:paraId="41A18454"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12.5</w:t>
            </w:r>
          </w:p>
        </w:tc>
      </w:tr>
      <w:tr w:rsidR="00A00873" w:rsidRPr="00A00873" w14:paraId="1432FC03" w14:textId="77777777" w:rsidTr="00C751C6">
        <w:trPr>
          <w:trHeight w:val="20"/>
          <w:jc w:val="center"/>
        </w:trPr>
        <w:tc>
          <w:tcPr>
            <w:cnfStyle w:val="001000000000" w:firstRow="0" w:lastRow="0" w:firstColumn="1" w:lastColumn="0" w:oddVBand="0" w:evenVBand="0" w:oddHBand="0" w:evenHBand="0" w:firstRowFirstColumn="0" w:firstRowLastColumn="0" w:lastRowFirstColumn="0" w:lastRowLastColumn="0"/>
            <w:tcW w:w="1685" w:type="dxa"/>
            <w:tcBorders>
              <w:top w:val="nil"/>
              <w:left w:val="single" w:sz="8" w:space="0" w:color="auto"/>
              <w:bottom w:val="nil"/>
              <w:right w:val="single" w:sz="8" w:space="0" w:color="auto"/>
            </w:tcBorders>
            <w:shd w:val="clear" w:color="auto" w:fill="auto"/>
            <w:noWrap/>
            <w:hideMark/>
          </w:tcPr>
          <w:p w14:paraId="7CF1E094" w14:textId="77777777" w:rsidR="00A00873" w:rsidRPr="00A00873" w:rsidRDefault="00A00873" w:rsidP="00A00873">
            <w:pPr>
              <w:spacing w:before="20" w:after="20" w:line="276" w:lineRule="exact"/>
              <w:rPr>
                <w:rFonts w:ascii="Calibri" w:hAnsi="Calibri" w:cs="Calibri"/>
                <w:color w:val="000000"/>
                <w:sz w:val="18"/>
                <w:szCs w:val="18"/>
                <w:lang w:eastAsia="en-AU"/>
              </w:rPr>
            </w:pPr>
            <w:r w:rsidRPr="00A00873">
              <w:rPr>
                <w:rFonts w:ascii="Calibri" w:hAnsi="Calibri" w:cs="Calibri"/>
                <w:color w:val="000000"/>
                <w:sz w:val="18"/>
                <w:szCs w:val="18"/>
                <w:lang w:eastAsia="en-AU"/>
              </w:rPr>
              <w:t>Time off paid work (days)</w:t>
            </w:r>
          </w:p>
        </w:tc>
        <w:tc>
          <w:tcPr>
            <w:tcW w:w="1045" w:type="dxa"/>
            <w:tcBorders>
              <w:top w:val="nil"/>
              <w:left w:val="single" w:sz="8" w:space="0" w:color="auto"/>
              <w:bottom w:val="nil"/>
              <w:right w:val="single" w:sz="8" w:space="0" w:color="auto"/>
            </w:tcBorders>
            <w:shd w:val="clear" w:color="auto" w:fill="auto"/>
            <w:noWrap/>
            <w:vAlign w:val="center"/>
            <w:hideMark/>
          </w:tcPr>
          <w:p w14:paraId="66419682"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16 (50.0)</w:t>
            </w:r>
          </w:p>
        </w:tc>
        <w:tc>
          <w:tcPr>
            <w:tcW w:w="1045" w:type="dxa"/>
            <w:tcBorders>
              <w:top w:val="nil"/>
              <w:left w:val="single" w:sz="8" w:space="0" w:color="auto"/>
              <w:bottom w:val="nil"/>
              <w:right w:val="single" w:sz="8" w:space="0" w:color="auto"/>
            </w:tcBorders>
            <w:shd w:val="clear" w:color="auto" w:fill="auto"/>
            <w:noWrap/>
            <w:vAlign w:val="center"/>
            <w:hideMark/>
          </w:tcPr>
          <w:p w14:paraId="7D37E618"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49 (49.0)</w:t>
            </w:r>
          </w:p>
        </w:tc>
        <w:tc>
          <w:tcPr>
            <w:tcW w:w="1045" w:type="dxa"/>
            <w:tcBorders>
              <w:top w:val="nil"/>
              <w:left w:val="single" w:sz="8" w:space="0" w:color="auto"/>
              <w:bottom w:val="nil"/>
              <w:right w:val="single" w:sz="8" w:space="0" w:color="auto"/>
            </w:tcBorders>
            <w:shd w:val="clear" w:color="auto" w:fill="auto"/>
            <w:noWrap/>
            <w:vAlign w:val="center"/>
            <w:hideMark/>
          </w:tcPr>
          <w:p w14:paraId="648323FF"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90 (41.1)</w:t>
            </w:r>
          </w:p>
        </w:tc>
        <w:tc>
          <w:tcPr>
            <w:tcW w:w="1045" w:type="dxa"/>
            <w:tcBorders>
              <w:top w:val="nil"/>
              <w:left w:val="single" w:sz="8" w:space="0" w:color="auto"/>
              <w:bottom w:val="nil"/>
              <w:right w:val="single" w:sz="8" w:space="0" w:color="auto"/>
            </w:tcBorders>
            <w:shd w:val="clear" w:color="auto" w:fill="auto"/>
            <w:vAlign w:val="center"/>
          </w:tcPr>
          <w:p w14:paraId="1608E274"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155 (44.2)</w:t>
            </w:r>
          </w:p>
        </w:tc>
        <w:tc>
          <w:tcPr>
            <w:tcW w:w="1045" w:type="dxa"/>
            <w:tcBorders>
              <w:top w:val="nil"/>
              <w:left w:val="single" w:sz="8" w:space="0" w:color="auto"/>
              <w:bottom w:val="nil"/>
              <w:right w:val="single" w:sz="8" w:space="0" w:color="auto"/>
            </w:tcBorders>
            <w:shd w:val="clear" w:color="auto" w:fill="auto"/>
            <w:vAlign w:val="center"/>
          </w:tcPr>
          <w:p w14:paraId="6DE4366F"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1.0</w:t>
            </w:r>
          </w:p>
        </w:tc>
        <w:tc>
          <w:tcPr>
            <w:tcW w:w="1045" w:type="dxa"/>
            <w:tcBorders>
              <w:top w:val="nil"/>
              <w:left w:val="single" w:sz="8" w:space="0" w:color="auto"/>
              <w:bottom w:val="nil"/>
              <w:right w:val="single" w:sz="8" w:space="0" w:color="auto"/>
            </w:tcBorders>
            <w:shd w:val="clear" w:color="auto" w:fill="auto"/>
            <w:vAlign w:val="center"/>
          </w:tcPr>
          <w:p w14:paraId="6709264D"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7.9</w:t>
            </w:r>
          </w:p>
        </w:tc>
        <w:tc>
          <w:tcPr>
            <w:tcW w:w="1045" w:type="dxa"/>
            <w:tcBorders>
              <w:top w:val="nil"/>
              <w:left w:val="single" w:sz="8" w:space="0" w:color="auto"/>
              <w:bottom w:val="nil"/>
              <w:right w:val="single" w:sz="8" w:space="0" w:color="auto"/>
            </w:tcBorders>
            <w:shd w:val="clear" w:color="auto" w:fill="auto"/>
            <w:vAlign w:val="center"/>
          </w:tcPr>
          <w:p w14:paraId="650F3A0D" w14:textId="77777777" w:rsidR="00A00873" w:rsidRPr="00A00873" w:rsidRDefault="00A00873" w:rsidP="00A00873">
            <w:pPr>
              <w:spacing w:before="20" w:after="20" w:line="276" w:lineRule="exact"/>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8.9</w:t>
            </w:r>
          </w:p>
        </w:tc>
      </w:tr>
      <w:tr w:rsidR="00A00873" w:rsidRPr="00A00873" w14:paraId="2A59A41B" w14:textId="77777777" w:rsidTr="00C751C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85" w:type="dxa"/>
            <w:tcBorders>
              <w:top w:val="nil"/>
              <w:left w:val="single" w:sz="8" w:space="0" w:color="auto"/>
              <w:bottom w:val="single" w:sz="8" w:space="0" w:color="auto"/>
              <w:right w:val="single" w:sz="8" w:space="0" w:color="auto"/>
            </w:tcBorders>
            <w:shd w:val="clear" w:color="auto" w:fill="auto"/>
            <w:noWrap/>
            <w:hideMark/>
          </w:tcPr>
          <w:p w14:paraId="02FAB92A" w14:textId="77777777" w:rsidR="00A00873" w:rsidRPr="00A00873" w:rsidRDefault="00A00873" w:rsidP="00A00873">
            <w:pPr>
              <w:spacing w:before="20" w:after="20" w:line="276" w:lineRule="exact"/>
              <w:rPr>
                <w:rFonts w:ascii="Calibri" w:hAnsi="Calibri" w:cs="Calibri"/>
                <w:color w:val="000000"/>
                <w:sz w:val="18"/>
                <w:szCs w:val="18"/>
                <w:lang w:eastAsia="en-AU"/>
              </w:rPr>
            </w:pPr>
            <w:r w:rsidRPr="00A00873">
              <w:rPr>
                <w:rFonts w:ascii="Calibri" w:hAnsi="Calibri" w:cs="Calibri"/>
                <w:color w:val="000000"/>
                <w:sz w:val="18"/>
                <w:szCs w:val="18"/>
                <w:lang w:eastAsia="en-AU"/>
              </w:rPr>
              <w:t>Time off unpaid work (days)</w:t>
            </w:r>
          </w:p>
        </w:tc>
        <w:tc>
          <w:tcPr>
            <w:tcW w:w="1045" w:type="dxa"/>
            <w:tcBorders>
              <w:top w:val="nil"/>
              <w:left w:val="single" w:sz="8" w:space="0" w:color="auto"/>
              <w:bottom w:val="single" w:sz="8" w:space="0" w:color="auto"/>
              <w:right w:val="single" w:sz="8" w:space="0" w:color="auto"/>
            </w:tcBorders>
            <w:shd w:val="clear" w:color="auto" w:fill="auto"/>
            <w:noWrap/>
            <w:vAlign w:val="center"/>
            <w:hideMark/>
          </w:tcPr>
          <w:p w14:paraId="679E2AF7"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8 (25.0)</w:t>
            </w:r>
          </w:p>
        </w:tc>
        <w:tc>
          <w:tcPr>
            <w:tcW w:w="1045" w:type="dxa"/>
            <w:tcBorders>
              <w:top w:val="nil"/>
              <w:left w:val="single" w:sz="8" w:space="0" w:color="auto"/>
              <w:bottom w:val="single" w:sz="8" w:space="0" w:color="auto"/>
              <w:right w:val="single" w:sz="8" w:space="0" w:color="auto"/>
            </w:tcBorders>
            <w:shd w:val="clear" w:color="auto" w:fill="auto"/>
            <w:noWrap/>
            <w:vAlign w:val="center"/>
            <w:hideMark/>
          </w:tcPr>
          <w:p w14:paraId="39E3341A"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39 (39.0)</w:t>
            </w:r>
          </w:p>
        </w:tc>
        <w:tc>
          <w:tcPr>
            <w:tcW w:w="1045" w:type="dxa"/>
            <w:tcBorders>
              <w:top w:val="nil"/>
              <w:left w:val="single" w:sz="8" w:space="0" w:color="auto"/>
              <w:bottom w:val="single" w:sz="8" w:space="0" w:color="auto"/>
              <w:right w:val="single" w:sz="8" w:space="0" w:color="auto"/>
            </w:tcBorders>
            <w:shd w:val="clear" w:color="auto" w:fill="auto"/>
            <w:noWrap/>
            <w:vAlign w:val="center"/>
            <w:hideMark/>
          </w:tcPr>
          <w:p w14:paraId="5C52A947"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61 (27.9)</w:t>
            </w:r>
          </w:p>
        </w:tc>
        <w:tc>
          <w:tcPr>
            <w:tcW w:w="1045" w:type="dxa"/>
            <w:tcBorders>
              <w:top w:val="nil"/>
              <w:left w:val="single" w:sz="8" w:space="0" w:color="auto"/>
              <w:bottom w:val="single" w:sz="8" w:space="0" w:color="auto"/>
              <w:right w:val="single" w:sz="8" w:space="0" w:color="auto"/>
            </w:tcBorders>
            <w:shd w:val="clear" w:color="auto" w:fill="auto"/>
            <w:vAlign w:val="center"/>
          </w:tcPr>
          <w:p w14:paraId="6A34EED8"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108 (30.8)</w:t>
            </w:r>
          </w:p>
        </w:tc>
        <w:tc>
          <w:tcPr>
            <w:tcW w:w="1045" w:type="dxa"/>
            <w:tcBorders>
              <w:top w:val="nil"/>
              <w:left w:val="single" w:sz="8" w:space="0" w:color="auto"/>
              <w:bottom w:val="single" w:sz="8" w:space="0" w:color="auto"/>
              <w:right w:val="single" w:sz="8" w:space="0" w:color="auto"/>
            </w:tcBorders>
            <w:shd w:val="clear" w:color="auto" w:fill="auto"/>
            <w:vAlign w:val="center"/>
          </w:tcPr>
          <w:p w14:paraId="0BBBBD72"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-14.0</w:t>
            </w:r>
          </w:p>
        </w:tc>
        <w:tc>
          <w:tcPr>
            <w:tcW w:w="1045" w:type="dxa"/>
            <w:tcBorders>
              <w:top w:val="nil"/>
              <w:left w:val="single" w:sz="8" w:space="0" w:color="auto"/>
              <w:bottom w:val="single" w:sz="8" w:space="0" w:color="auto"/>
              <w:right w:val="single" w:sz="8" w:space="0" w:color="auto"/>
            </w:tcBorders>
            <w:shd w:val="clear" w:color="auto" w:fill="auto"/>
            <w:vAlign w:val="center"/>
          </w:tcPr>
          <w:p w14:paraId="3C5F843F"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r w:rsidRPr="00A00873">
              <w:rPr>
                <w:rFonts w:ascii="Calibri" w:hAnsi="Calibri" w:cs="Calibri"/>
                <w:b/>
                <w:color w:val="000000"/>
                <w:sz w:val="18"/>
                <w:szCs w:val="18"/>
                <w:lang w:eastAsia="en-AU"/>
              </w:rPr>
              <w:t>11.1*</w:t>
            </w:r>
          </w:p>
        </w:tc>
        <w:tc>
          <w:tcPr>
            <w:tcW w:w="1045" w:type="dxa"/>
            <w:tcBorders>
              <w:top w:val="nil"/>
              <w:left w:val="single" w:sz="8" w:space="0" w:color="auto"/>
              <w:bottom w:val="single" w:sz="8" w:space="0" w:color="auto"/>
              <w:right w:val="single" w:sz="8" w:space="0" w:color="auto"/>
            </w:tcBorders>
            <w:shd w:val="clear" w:color="auto" w:fill="auto"/>
            <w:vAlign w:val="center"/>
          </w:tcPr>
          <w:p w14:paraId="376149D1" w14:textId="77777777" w:rsidR="00A00873" w:rsidRPr="00A00873" w:rsidRDefault="00A00873" w:rsidP="00A00873">
            <w:pPr>
              <w:spacing w:before="20" w:after="20" w:line="276" w:lineRule="exact"/>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-2.9</w:t>
            </w:r>
          </w:p>
        </w:tc>
      </w:tr>
    </w:tbl>
    <w:p w14:paraId="4BF956BB" w14:textId="77777777" w:rsidR="00A00873" w:rsidRPr="00A00873" w:rsidRDefault="00A00873" w:rsidP="00C751C6">
      <w:pPr>
        <w:ind w:left="426" w:right="390"/>
        <w:jc w:val="both"/>
        <w:rPr>
          <w:rFonts w:asciiTheme="minorHAnsi" w:hAnsiTheme="minorHAnsi" w:cstheme="minorHAnsi"/>
          <w:iCs/>
          <w:sz w:val="16"/>
          <w:szCs w:val="16"/>
        </w:rPr>
      </w:pPr>
      <w:r w:rsidRPr="00A00873">
        <w:rPr>
          <w:rFonts w:asciiTheme="minorHAnsi" w:hAnsiTheme="minorHAnsi" w:cstheme="minorHAnsi"/>
          <w:iCs/>
          <w:sz w:val="16"/>
          <w:szCs w:val="16"/>
        </w:rPr>
        <w:t xml:space="preserve">MHO = Mental Health Online, MS = </w:t>
      </w:r>
      <w:proofErr w:type="spellStart"/>
      <w:r w:rsidRPr="00A00873">
        <w:rPr>
          <w:rFonts w:asciiTheme="minorHAnsi" w:hAnsiTheme="minorHAnsi" w:cstheme="minorHAnsi"/>
          <w:iCs/>
          <w:sz w:val="16"/>
          <w:szCs w:val="16"/>
        </w:rPr>
        <w:t>MindSpot</w:t>
      </w:r>
      <w:proofErr w:type="spellEnd"/>
      <w:r w:rsidRPr="00A00873">
        <w:rPr>
          <w:rFonts w:asciiTheme="minorHAnsi" w:hAnsiTheme="minorHAnsi" w:cstheme="minorHAnsi"/>
          <w:iCs/>
          <w:sz w:val="16"/>
          <w:szCs w:val="16"/>
        </w:rPr>
        <w:t xml:space="preserve">, TWU = THIS WAY UP, </w:t>
      </w:r>
    </w:p>
    <w:p w14:paraId="7031DD28" w14:textId="45E622CD" w:rsidR="00A00873" w:rsidRPr="00A00873" w:rsidRDefault="00A00873" w:rsidP="00C751C6">
      <w:pPr>
        <w:snapToGrid w:val="0"/>
        <w:spacing w:after="120"/>
        <w:ind w:left="426" w:right="390"/>
        <w:jc w:val="both"/>
        <w:rPr>
          <w:rFonts w:asciiTheme="minorHAnsi" w:eastAsiaTheme="minorEastAsia" w:hAnsiTheme="minorHAnsi" w:cstheme="minorBidi"/>
          <w:lang w:eastAsia="zh-CN"/>
        </w:rPr>
      </w:pPr>
      <w:r w:rsidRPr="00A00873">
        <w:rPr>
          <w:rFonts w:asciiTheme="minorHAnsi" w:hAnsiTheme="minorHAnsi" w:cstheme="minorHAnsi"/>
          <w:iCs/>
          <w:sz w:val="16"/>
          <w:szCs w:val="16"/>
        </w:rPr>
        <w:t xml:space="preserve">Proportion difference between each service were estimated using </w:t>
      </w:r>
      <w:r w:rsidRPr="00A00873">
        <w:rPr>
          <w:rFonts w:asciiTheme="minorHAnsi" w:hAnsiTheme="minorHAnsi" w:cstheme="minorHAnsi"/>
          <w:i/>
          <w:iCs/>
          <w:sz w:val="16"/>
          <w:szCs w:val="16"/>
        </w:rPr>
        <w:t>t</w:t>
      </w:r>
      <w:r w:rsidRPr="00A00873">
        <w:rPr>
          <w:rFonts w:asciiTheme="minorHAnsi" w:hAnsiTheme="minorHAnsi" w:cstheme="minorHAnsi"/>
          <w:iCs/>
          <w:sz w:val="16"/>
          <w:szCs w:val="16"/>
        </w:rPr>
        <w:t>-test of proportions, with p value below 0.05 suggesting the difference is statistically significantly different from zero. (*= p&lt;0.05, **= p&lt;0.001)</w:t>
      </w:r>
    </w:p>
    <w:p w14:paraId="0DEA5F6C" w14:textId="64C17795" w:rsidR="00A00873" w:rsidRPr="00A00873" w:rsidRDefault="00A00873" w:rsidP="00C27DAB">
      <w:pPr>
        <w:snapToGrid w:val="0"/>
        <w:spacing w:after="120"/>
        <w:rPr>
          <w:rFonts w:ascii="Calibri" w:hAnsi="Calibri" w:cs="Arial"/>
          <w:color w:val="000000" w:themeColor="text1"/>
          <w:sz w:val="21"/>
          <w:szCs w:val="21"/>
          <w:lang w:eastAsia="zh-CN"/>
        </w:rPr>
      </w:pPr>
      <w:r w:rsidRPr="00A00873">
        <w:rPr>
          <w:rFonts w:ascii="Calibri" w:hAnsi="Calibri" w:cs="Arial"/>
          <w:color w:val="000000" w:themeColor="text1"/>
          <w:sz w:val="21"/>
          <w:szCs w:val="21"/>
          <w:lang w:eastAsia="zh-CN"/>
        </w:rPr>
        <w:t xml:space="preserve">Table </w:t>
      </w:r>
      <w:r w:rsidR="00D90294">
        <w:rPr>
          <w:rFonts w:ascii="Calibri" w:hAnsi="Calibri" w:cs="Arial"/>
          <w:color w:val="000000" w:themeColor="text1"/>
          <w:sz w:val="21"/>
          <w:szCs w:val="21"/>
          <w:lang w:eastAsia="zh-CN"/>
        </w:rPr>
        <w:t>57</w:t>
      </w:r>
      <w:r w:rsidRPr="00A00873">
        <w:rPr>
          <w:rFonts w:ascii="Calibri" w:hAnsi="Calibri" w:cs="Arial"/>
          <w:color w:val="000000" w:themeColor="text1"/>
          <w:sz w:val="21"/>
          <w:szCs w:val="21"/>
          <w:lang w:eastAsia="zh-CN"/>
        </w:rPr>
        <w:t xml:space="preserve"> presents the mean number of self-reported visits to health services and days off work by the participants across the three DMHSs. Participants from </w:t>
      </w:r>
      <w:proofErr w:type="spellStart"/>
      <w:r w:rsidRPr="00A00873">
        <w:rPr>
          <w:rFonts w:ascii="Calibri" w:hAnsi="Calibri" w:cs="Arial"/>
          <w:color w:val="000000" w:themeColor="text1"/>
          <w:sz w:val="21"/>
          <w:szCs w:val="21"/>
          <w:lang w:eastAsia="zh-CN"/>
        </w:rPr>
        <w:t>MindSpot</w:t>
      </w:r>
      <w:proofErr w:type="spellEnd"/>
      <w:r w:rsidRPr="00A00873">
        <w:rPr>
          <w:rFonts w:ascii="Calibri" w:hAnsi="Calibri" w:cs="Arial"/>
          <w:color w:val="000000" w:themeColor="text1"/>
          <w:sz w:val="21"/>
          <w:szCs w:val="21"/>
          <w:lang w:eastAsia="zh-CN"/>
        </w:rPr>
        <w:t xml:space="preserve"> had a lower mean number of visits to the GP compared to Mental Health Online and THIS WAY UP (1.5 vs 2.8 and 2.2, p-value&lt;0.05). The same pattern is observed for visits to psychiatrists (1.4 vs 2.5 and 3.1, p-value &lt;0.05). Visits to psychologists and allied health professionals were not statistically different between services. Ambulance callouts, presentations to the emergency department and hospital stays were also not statistically different between the services </w:t>
      </w:r>
      <w:r w:rsidR="000B2F47" w:rsidRPr="00A00873">
        <w:rPr>
          <w:rFonts w:ascii="Calibri" w:hAnsi="Calibri" w:cs="Arial"/>
          <w:color w:val="000000" w:themeColor="text1"/>
          <w:sz w:val="21"/>
          <w:szCs w:val="21"/>
          <w:lang w:eastAsia="zh-CN"/>
        </w:rPr>
        <w:t>except for</w:t>
      </w:r>
      <w:r w:rsidRPr="00A00873">
        <w:rPr>
          <w:rFonts w:ascii="Calibri" w:hAnsi="Calibri" w:cs="Arial"/>
          <w:color w:val="000000" w:themeColor="text1"/>
          <w:sz w:val="21"/>
          <w:szCs w:val="21"/>
          <w:lang w:eastAsia="zh-CN"/>
        </w:rPr>
        <w:t xml:space="preserve"> the comparison between </w:t>
      </w:r>
      <w:proofErr w:type="spellStart"/>
      <w:r w:rsidRPr="00A00873">
        <w:rPr>
          <w:rFonts w:ascii="Calibri" w:hAnsi="Calibri" w:cs="Arial"/>
          <w:color w:val="000000" w:themeColor="text1"/>
          <w:sz w:val="21"/>
          <w:szCs w:val="21"/>
          <w:lang w:eastAsia="zh-CN"/>
        </w:rPr>
        <w:t>MindSpot</w:t>
      </w:r>
      <w:proofErr w:type="spellEnd"/>
      <w:r w:rsidRPr="00A00873">
        <w:rPr>
          <w:rFonts w:ascii="Calibri" w:hAnsi="Calibri" w:cs="Arial"/>
          <w:color w:val="000000" w:themeColor="text1"/>
          <w:sz w:val="21"/>
          <w:szCs w:val="21"/>
          <w:lang w:eastAsia="zh-CN"/>
        </w:rPr>
        <w:t xml:space="preserve"> and THIS WAY UP (p-value&lt;0.05). In terms of time off paid work, participants from Mental Health Online and THIS WAY UP reported an average of 16 days compared to </w:t>
      </w:r>
      <w:proofErr w:type="spellStart"/>
      <w:r w:rsidRPr="00A00873">
        <w:rPr>
          <w:rFonts w:ascii="Calibri" w:hAnsi="Calibri" w:cs="Arial"/>
          <w:color w:val="000000" w:themeColor="text1"/>
          <w:sz w:val="21"/>
          <w:szCs w:val="21"/>
          <w:lang w:eastAsia="zh-CN"/>
        </w:rPr>
        <w:t>MindSpot</w:t>
      </w:r>
      <w:proofErr w:type="spellEnd"/>
      <w:r w:rsidRPr="00A00873">
        <w:rPr>
          <w:rFonts w:ascii="Calibri" w:hAnsi="Calibri" w:cs="Arial"/>
          <w:color w:val="000000" w:themeColor="text1"/>
          <w:sz w:val="21"/>
          <w:szCs w:val="21"/>
          <w:lang w:eastAsia="zh-CN"/>
        </w:rPr>
        <w:t xml:space="preserve"> consumers’ average of 10 days.</w:t>
      </w:r>
    </w:p>
    <w:p w14:paraId="52EDB9EC" w14:textId="77777777" w:rsidR="007A1D60" w:rsidRDefault="007A1D60" w:rsidP="00A00873">
      <w:pPr>
        <w:keepLines/>
        <w:spacing w:after="120"/>
        <w:outlineLvl w:val="2"/>
        <w:rPr>
          <w:rFonts w:asciiTheme="minorHAnsi" w:eastAsiaTheme="majorEastAsia" w:hAnsiTheme="minorHAnsi" w:cstheme="majorBidi"/>
          <w:b/>
          <w:color w:val="000000" w:themeColor="text1"/>
          <w:sz w:val="21"/>
          <w:szCs w:val="21"/>
          <w:lang w:val="en-US" w:eastAsia="en-US"/>
        </w:rPr>
      </w:pPr>
      <w:r>
        <w:rPr>
          <w:rFonts w:asciiTheme="minorHAnsi" w:eastAsiaTheme="majorEastAsia" w:hAnsiTheme="minorHAnsi" w:cstheme="majorBidi"/>
          <w:b/>
          <w:color w:val="000000" w:themeColor="text1"/>
          <w:sz w:val="21"/>
          <w:szCs w:val="21"/>
          <w:lang w:val="en-US" w:eastAsia="en-US"/>
        </w:rPr>
        <w:br w:type="page"/>
      </w:r>
    </w:p>
    <w:p w14:paraId="735B7105" w14:textId="5ADEBD09" w:rsidR="00A00873" w:rsidRPr="00A00873" w:rsidRDefault="00A00873" w:rsidP="00A00873">
      <w:pPr>
        <w:keepLines/>
        <w:spacing w:after="120"/>
        <w:outlineLvl w:val="2"/>
        <w:rPr>
          <w:rFonts w:asciiTheme="minorHAnsi" w:eastAsiaTheme="majorEastAsia" w:hAnsiTheme="minorHAnsi" w:cstheme="majorBidi"/>
          <w:b/>
          <w:iCs/>
          <w:color w:val="000000" w:themeColor="text1"/>
          <w:sz w:val="21"/>
          <w:szCs w:val="21"/>
          <w:lang w:val="en-US" w:eastAsia="en-US"/>
        </w:rPr>
      </w:pPr>
      <w:r w:rsidRPr="00A00873">
        <w:rPr>
          <w:rFonts w:asciiTheme="minorHAnsi" w:eastAsiaTheme="majorEastAsia" w:hAnsiTheme="minorHAnsi" w:cstheme="majorBidi"/>
          <w:b/>
          <w:color w:val="000000" w:themeColor="text1"/>
          <w:sz w:val="21"/>
          <w:szCs w:val="21"/>
          <w:lang w:val="en-US" w:eastAsia="en-US"/>
        </w:rPr>
        <w:lastRenderedPageBreak/>
        <w:t xml:space="preserve">Table </w:t>
      </w:r>
      <w:r w:rsidR="00D90294" w:rsidRPr="00D90294">
        <w:rPr>
          <w:rFonts w:asciiTheme="minorHAnsi" w:eastAsiaTheme="majorEastAsia" w:hAnsiTheme="minorHAnsi" w:cstheme="majorBidi"/>
          <w:b/>
          <w:color w:val="000000" w:themeColor="text1"/>
          <w:sz w:val="21"/>
          <w:szCs w:val="21"/>
          <w:lang w:val="en-US" w:eastAsia="en-US"/>
        </w:rPr>
        <w:t>57</w:t>
      </w:r>
      <w:r w:rsidRPr="00D90294">
        <w:rPr>
          <w:rFonts w:asciiTheme="minorHAnsi" w:eastAsiaTheme="majorEastAsia" w:hAnsiTheme="minorHAnsi" w:cstheme="majorBidi"/>
          <w:b/>
          <w:color w:val="000000" w:themeColor="text1"/>
          <w:sz w:val="21"/>
          <w:szCs w:val="21"/>
          <w:lang w:val="en-US" w:eastAsia="en-US"/>
        </w:rPr>
        <w:t>.</w:t>
      </w:r>
      <w:r w:rsidRPr="00A00873">
        <w:rPr>
          <w:rFonts w:asciiTheme="minorHAnsi" w:eastAsiaTheme="majorEastAsia" w:hAnsiTheme="minorHAnsi" w:cstheme="majorBidi"/>
          <w:b/>
          <w:color w:val="000000" w:themeColor="text1"/>
          <w:sz w:val="21"/>
          <w:szCs w:val="21"/>
          <w:lang w:val="en-US" w:eastAsia="en-US"/>
        </w:rPr>
        <w:t xml:space="preserve"> Mean number of self-reported visits to health services and days off work in the previous six months, by DMHS (N=351)</w:t>
      </w:r>
      <w:r w:rsidRPr="00A00873">
        <w:rPr>
          <w:rFonts w:asciiTheme="minorHAnsi" w:eastAsiaTheme="majorEastAsia" w:hAnsiTheme="minorHAnsi" w:cstheme="majorBidi"/>
          <w:b/>
          <w:iCs/>
          <w:color w:val="000000" w:themeColor="text1"/>
          <w:sz w:val="21"/>
          <w:szCs w:val="21"/>
          <w:lang w:val="en-US" w:eastAsia="en-US"/>
        </w:rPr>
        <w:t>.</w:t>
      </w:r>
    </w:p>
    <w:tbl>
      <w:tblPr>
        <w:tblStyle w:val="PlainTable411"/>
        <w:tblW w:w="5000" w:type="pct"/>
        <w:tblInd w:w="0" w:type="dxa"/>
        <w:tblBorders>
          <w:top w:val="single" w:sz="8" w:space="0" w:color="auto"/>
          <w:left w:val="single" w:sz="8" w:space="0" w:color="auto"/>
          <w:bottom w:val="single" w:sz="8" w:space="0" w:color="auto"/>
          <w:right w:val="single" w:sz="8" w:space="0" w:color="auto"/>
          <w:insideV w:val="single" w:sz="8" w:space="0" w:color="auto"/>
        </w:tblBorders>
        <w:tblLook w:val="04A0" w:firstRow="1" w:lastRow="0" w:firstColumn="1" w:lastColumn="0" w:noHBand="0" w:noVBand="1"/>
        <w:tblCaption w:val="Table 57. Mean number of self-reported visits to health services and days off work in the previous six months, by DMHS (N=351)."/>
        <w:tblDescription w:val="A table providing self-reported mean number of visits to specific health services and days off work by consumer survey participants in the previous six months. The numbers are presented by digital mental health service and usage type and includes information on mean difference between the digital mental health services."/>
      </w:tblPr>
      <w:tblGrid>
        <w:gridCol w:w="2316"/>
        <w:gridCol w:w="1828"/>
        <w:gridCol w:w="1187"/>
        <w:gridCol w:w="1213"/>
        <w:gridCol w:w="979"/>
        <w:gridCol w:w="1086"/>
        <w:gridCol w:w="1117"/>
      </w:tblGrid>
      <w:tr w:rsidR="00A00873" w:rsidRPr="00A00873" w14:paraId="587D9783" w14:textId="77777777" w:rsidTr="00C751C6">
        <w:trPr>
          <w:cnfStyle w:val="100000000000" w:firstRow="1" w:lastRow="0" w:firstColumn="0" w:lastColumn="0" w:oddVBand="0" w:evenVBand="0" w:oddHBand="0" w:evenHBand="0" w:firstRowFirstColumn="0" w:firstRowLastColumn="0" w:lastRowFirstColumn="0" w:lastRowLastColumn="0"/>
          <w:trHeight w:val="290"/>
          <w:tblHeader/>
        </w:trPr>
        <w:tc>
          <w:tcPr>
            <w:cnfStyle w:val="001000000000" w:firstRow="0" w:lastRow="0" w:firstColumn="1" w:lastColumn="0" w:oddVBand="0" w:evenVBand="0" w:oddHBand="0" w:evenHBand="0" w:firstRowFirstColumn="0" w:firstRowLastColumn="0" w:lastRowFirstColumn="0" w:lastRowLastColumn="0"/>
            <w:tcW w:w="861" w:type="pct"/>
            <w:vMerge w:val="restart"/>
            <w:tcBorders>
              <w:top w:val="single" w:sz="8" w:space="0" w:color="auto"/>
              <w:left w:val="single" w:sz="8" w:space="0" w:color="auto"/>
              <w:bottom w:val="nil"/>
              <w:right w:val="single" w:sz="8" w:space="0" w:color="auto"/>
            </w:tcBorders>
            <w:shd w:val="clear" w:color="auto" w:fill="000000" w:themeFill="text1"/>
            <w:noWrap/>
            <w:hideMark/>
          </w:tcPr>
          <w:p w14:paraId="160BD544" w14:textId="77777777" w:rsidR="00A00873" w:rsidRPr="00A00873" w:rsidRDefault="00A00873" w:rsidP="00A00873">
            <w:pPr>
              <w:snapToGrid w:val="0"/>
              <w:rPr>
                <w:rFonts w:ascii="Calibri" w:hAnsi="Calibri" w:cs="Calibri"/>
                <w:color w:val="FFFFFF" w:themeColor="background1"/>
                <w:sz w:val="18"/>
                <w:szCs w:val="18"/>
                <w:lang w:eastAsia="en-AU"/>
              </w:rPr>
            </w:pPr>
            <w:r w:rsidRPr="00A00873">
              <w:rPr>
                <w:rFonts w:ascii="Calibri" w:hAnsi="Calibri" w:cs="Calibri"/>
                <w:color w:val="FFFFFF" w:themeColor="background1"/>
                <w:sz w:val="18"/>
                <w:szCs w:val="18"/>
                <w:lang w:eastAsia="en-AU"/>
              </w:rPr>
              <w:t>Service type</w:t>
            </w:r>
          </w:p>
        </w:tc>
        <w:tc>
          <w:tcPr>
            <w:tcW w:w="689" w:type="pct"/>
            <w:tcBorders>
              <w:top w:val="single" w:sz="8" w:space="0" w:color="auto"/>
              <w:left w:val="single" w:sz="8" w:space="0" w:color="auto"/>
              <w:bottom w:val="nil"/>
              <w:right w:val="single" w:sz="8" w:space="0" w:color="auto"/>
            </w:tcBorders>
            <w:shd w:val="clear" w:color="auto" w:fill="000000" w:themeFill="text1"/>
            <w:noWrap/>
            <w:vAlign w:val="center"/>
            <w:hideMark/>
          </w:tcPr>
          <w:p w14:paraId="5F013C56" w14:textId="77777777" w:rsidR="00A00873" w:rsidRPr="00A00873" w:rsidRDefault="00A00873" w:rsidP="00A00873">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A00873">
              <w:rPr>
                <w:rFonts w:ascii="Calibri" w:hAnsi="Calibri" w:cs="Calibri"/>
                <w:color w:val="FFFFFF" w:themeColor="background1"/>
                <w:sz w:val="18"/>
                <w:szCs w:val="18"/>
                <w:lang w:eastAsia="en-AU"/>
              </w:rPr>
              <w:t>Mental Health Online</w:t>
            </w:r>
          </w:p>
        </w:tc>
        <w:tc>
          <w:tcPr>
            <w:tcW w:w="690" w:type="pct"/>
            <w:tcBorders>
              <w:top w:val="single" w:sz="8" w:space="0" w:color="auto"/>
              <w:left w:val="single" w:sz="8" w:space="0" w:color="auto"/>
              <w:bottom w:val="nil"/>
              <w:right w:val="single" w:sz="8" w:space="0" w:color="auto"/>
            </w:tcBorders>
            <w:shd w:val="clear" w:color="auto" w:fill="000000" w:themeFill="text1"/>
            <w:noWrap/>
            <w:vAlign w:val="center"/>
            <w:hideMark/>
          </w:tcPr>
          <w:p w14:paraId="4D7496A5" w14:textId="77777777" w:rsidR="00A00873" w:rsidRPr="00A00873" w:rsidRDefault="00A00873" w:rsidP="00A00873">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proofErr w:type="spellStart"/>
            <w:r w:rsidRPr="00A00873">
              <w:rPr>
                <w:rFonts w:ascii="Calibri" w:hAnsi="Calibri" w:cs="Calibri"/>
                <w:color w:val="FFFFFF" w:themeColor="background1"/>
                <w:sz w:val="18"/>
                <w:szCs w:val="18"/>
                <w:lang w:eastAsia="en-AU"/>
              </w:rPr>
              <w:t>MindSpot</w:t>
            </w:r>
            <w:proofErr w:type="spellEnd"/>
          </w:p>
        </w:tc>
        <w:tc>
          <w:tcPr>
            <w:tcW w:w="690" w:type="pct"/>
            <w:tcBorders>
              <w:top w:val="single" w:sz="8" w:space="0" w:color="auto"/>
              <w:left w:val="single" w:sz="8" w:space="0" w:color="auto"/>
              <w:bottom w:val="nil"/>
              <w:right w:val="single" w:sz="8" w:space="0" w:color="auto"/>
            </w:tcBorders>
            <w:shd w:val="clear" w:color="auto" w:fill="000000" w:themeFill="text1"/>
            <w:noWrap/>
            <w:vAlign w:val="center"/>
            <w:hideMark/>
          </w:tcPr>
          <w:p w14:paraId="0CC404E5" w14:textId="77777777" w:rsidR="00A00873" w:rsidRPr="00A00873" w:rsidRDefault="00A00873" w:rsidP="00A00873">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A00873">
              <w:rPr>
                <w:rFonts w:ascii="Calibri" w:hAnsi="Calibri" w:cs="Calibri"/>
                <w:color w:val="FFFFFF" w:themeColor="background1"/>
                <w:sz w:val="18"/>
                <w:szCs w:val="18"/>
                <w:lang w:eastAsia="en-AU"/>
              </w:rPr>
              <w:t>THIS WAY UP</w:t>
            </w:r>
          </w:p>
        </w:tc>
        <w:tc>
          <w:tcPr>
            <w:tcW w:w="689" w:type="pct"/>
            <w:vMerge w:val="restart"/>
            <w:tcBorders>
              <w:top w:val="single" w:sz="8" w:space="0" w:color="auto"/>
              <w:left w:val="single" w:sz="8" w:space="0" w:color="auto"/>
              <w:right w:val="single" w:sz="8" w:space="0" w:color="auto"/>
            </w:tcBorders>
            <w:shd w:val="clear" w:color="auto" w:fill="000000" w:themeFill="text1"/>
            <w:vAlign w:val="center"/>
          </w:tcPr>
          <w:p w14:paraId="56FC8D92" w14:textId="77777777" w:rsidR="00A00873" w:rsidRPr="00A00873" w:rsidRDefault="00A00873" w:rsidP="00A00873">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A00873">
              <w:rPr>
                <w:rFonts w:ascii="Calibri" w:hAnsi="Calibri" w:cs="Calibri"/>
                <w:color w:val="FFFFFF" w:themeColor="background1"/>
                <w:sz w:val="18"/>
                <w:szCs w:val="18"/>
                <w:lang w:eastAsia="en-AU"/>
              </w:rPr>
              <w:t>Mean difference MHO vs MS</w:t>
            </w:r>
          </w:p>
        </w:tc>
        <w:tc>
          <w:tcPr>
            <w:tcW w:w="690" w:type="pct"/>
            <w:vMerge w:val="restart"/>
            <w:tcBorders>
              <w:top w:val="single" w:sz="8" w:space="0" w:color="auto"/>
              <w:left w:val="single" w:sz="8" w:space="0" w:color="auto"/>
              <w:right w:val="single" w:sz="8" w:space="0" w:color="auto"/>
            </w:tcBorders>
            <w:shd w:val="clear" w:color="auto" w:fill="000000" w:themeFill="text1"/>
            <w:vAlign w:val="center"/>
          </w:tcPr>
          <w:p w14:paraId="31D005B6" w14:textId="77777777" w:rsidR="00A00873" w:rsidRPr="00A00873" w:rsidRDefault="00A00873" w:rsidP="00A00873">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A00873">
              <w:rPr>
                <w:rFonts w:ascii="Calibri" w:hAnsi="Calibri" w:cs="Calibri"/>
                <w:color w:val="FFFFFF" w:themeColor="background1"/>
                <w:sz w:val="18"/>
                <w:szCs w:val="18"/>
                <w:lang w:eastAsia="en-AU"/>
              </w:rPr>
              <w:t>Mean difference MS vs TWU</w:t>
            </w:r>
          </w:p>
        </w:tc>
        <w:tc>
          <w:tcPr>
            <w:tcW w:w="690" w:type="pct"/>
            <w:vMerge w:val="restart"/>
            <w:tcBorders>
              <w:top w:val="single" w:sz="8" w:space="0" w:color="auto"/>
              <w:left w:val="single" w:sz="8" w:space="0" w:color="auto"/>
              <w:bottom w:val="nil"/>
              <w:right w:val="single" w:sz="8" w:space="0" w:color="auto"/>
            </w:tcBorders>
            <w:shd w:val="clear" w:color="auto" w:fill="000000" w:themeFill="text1"/>
            <w:vAlign w:val="center"/>
            <w:hideMark/>
          </w:tcPr>
          <w:p w14:paraId="1477F1A2" w14:textId="77777777" w:rsidR="00A00873" w:rsidRPr="00A00873" w:rsidRDefault="00A00873" w:rsidP="00A00873">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A00873">
              <w:rPr>
                <w:rFonts w:ascii="Calibri" w:hAnsi="Calibri" w:cs="Calibri"/>
                <w:color w:val="FFFFFF" w:themeColor="background1"/>
                <w:sz w:val="18"/>
                <w:szCs w:val="18"/>
                <w:lang w:eastAsia="en-AU"/>
              </w:rPr>
              <w:t>Mean difference MHO vs TWU</w:t>
            </w:r>
          </w:p>
        </w:tc>
      </w:tr>
      <w:tr w:rsidR="00A00873" w:rsidRPr="00A00873" w14:paraId="3E5C80D6" w14:textId="77777777" w:rsidTr="00C751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61" w:type="pct"/>
            <w:vMerge/>
            <w:tcBorders>
              <w:top w:val="single" w:sz="8" w:space="0" w:color="auto"/>
              <w:left w:val="single" w:sz="8" w:space="0" w:color="auto"/>
              <w:bottom w:val="nil"/>
              <w:right w:val="single" w:sz="8" w:space="0" w:color="auto"/>
            </w:tcBorders>
            <w:vAlign w:val="center"/>
            <w:hideMark/>
          </w:tcPr>
          <w:p w14:paraId="652A5740" w14:textId="77777777" w:rsidR="00A00873" w:rsidRPr="00A00873" w:rsidRDefault="00A00873" w:rsidP="00A00873">
            <w:pPr>
              <w:rPr>
                <w:rFonts w:ascii="Calibri" w:hAnsi="Calibri" w:cs="Calibri"/>
                <w:color w:val="FFFFFF" w:themeColor="background1"/>
                <w:sz w:val="18"/>
                <w:szCs w:val="18"/>
                <w:lang w:eastAsia="en-AU"/>
              </w:rPr>
            </w:pPr>
          </w:p>
        </w:tc>
        <w:tc>
          <w:tcPr>
            <w:tcW w:w="689" w:type="pct"/>
            <w:tcBorders>
              <w:top w:val="nil"/>
              <w:left w:val="single" w:sz="8" w:space="0" w:color="auto"/>
              <w:bottom w:val="nil"/>
              <w:right w:val="single" w:sz="8" w:space="0" w:color="auto"/>
            </w:tcBorders>
            <w:shd w:val="clear" w:color="auto" w:fill="000000" w:themeFill="text1"/>
            <w:noWrap/>
            <w:hideMark/>
          </w:tcPr>
          <w:p w14:paraId="24622A36"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FFFFFF" w:themeColor="background1"/>
                <w:sz w:val="18"/>
                <w:szCs w:val="18"/>
                <w:lang w:eastAsia="en-AU"/>
              </w:rPr>
            </w:pPr>
            <w:r w:rsidRPr="00A00873">
              <w:rPr>
                <w:rFonts w:ascii="Calibri" w:hAnsi="Calibri" w:cs="Calibri"/>
                <w:b/>
                <w:color w:val="FFFFFF" w:themeColor="background1"/>
                <w:sz w:val="18"/>
                <w:szCs w:val="18"/>
                <w:lang w:eastAsia="en-AU"/>
              </w:rPr>
              <w:t xml:space="preserve">Mean </w:t>
            </w:r>
          </w:p>
          <w:p w14:paraId="64FA2C09"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FFFFFF" w:themeColor="background1"/>
                <w:sz w:val="18"/>
                <w:szCs w:val="18"/>
                <w:lang w:eastAsia="en-AU"/>
              </w:rPr>
            </w:pPr>
            <w:r w:rsidRPr="00A00873">
              <w:rPr>
                <w:rFonts w:ascii="Calibri" w:hAnsi="Calibri" w:cs="Calibri"/>
                <w:b/>
                <w:color w:val="FFFFFF" w:themeColor="background1"/>
                <w:sz w:val="18"/>
                <w:szCs w:val="18"/>
                <w:lang w:eastAsia="en-AU"/>
              </w:rPr>
              <w:t>(</w:t>
            </w:r>
            <w:proofErr w:type="gramStart"/>
            <w:r w:rsidRPr="00A00873">
              <w:rPr>
                <w:rFonts w:ascii="Calibri" w:hAnsi="Calibri" w:cs="Calibri"/>
                <w:b/>
                <w:color w:val="FFFFFF" w:themeColor="background1"/>
                <w:sz w:val="18"/>
                <w:szCs w:val="18"/>
                <w:lang w:eastAsia="en-AU"/>
              </w:rPr>
              <w:t>min</w:t>
            </w:r>
            <w:proofErr w:type="gramEnd"/>
            <w:r w:rsidRPr="00A00873">
              <w:rPr>
                <w:rFonts w:ascii="Calibri" w:hAnsi="Calibri" w:cs="Calibri"/>
                <w:b/>
                <w:color w:val="FFFFFF" w:themeColor="background1"/>
                <w:sz w:val="18"/>
                <w:szCs w:val="18"/>
                <w:lang w:eastAsia="en-AU"/>
              </w:rPr>
              <w:t>, max)</w:t>
            </w:r>
          </w:p>
        </w:tc>
        <w:tc>
          <w:tcPr>
            <w:tcW w:w="690" w:type="pct"/>
            <w:tcBorders>
              <w:top w:val="nil"/>
              <w:left w:val="single" w:sz="8" w:space="0" w:color="auto"/>
              <w:bottom w:val="nil"/>
              <w:right w:val="single" w:sz="8" w:space="0" w:color="auto"/>
            </w:tcBorders>
            <w:shd w:val="clear" w:color="auto" w:fill="000000" w:themeFill="text1"/>
            <w:noWrap/>
            <w:hideMark/>
          </w:tcPr>
          <w:p w14:paraId="6C784DFA"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FFFFFF" w:themeColor="background1"/>
                <w:sz w:val="18"/>
                <w:szCs w:val="18"/>
                <w:lang w:eastAsia="en-AU"/>
              </w:rPr>
            </w:pPr>
            <w:r w:rsidRPr="00A00873">
              <w:rPr>
                <w:rFonts w:ascii="Calibri" w:hAnsi="Calibri" w:cs="Calibri"/>
                <w:b/>
                <w:color w:val="FFFFFF" w:themeColor="background1"/>
                <w:sz w:val="18"/>
                <w:szCs w:val="18"/>
                <w:lang w:eastAsia="en-AU"/>
              </w:rPr>
              <w:t xml:space="preserve">Mean </w:t>
            </w:r>
          </w:p>
          <w:p w14:paraId="5E54618F"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FFFFFF" w:themeColor="background1"/>
                <w:sz w:val="18"/>
                <w:szCs w:val="18"/>
                <w:lang w:eastAsia="en-AU"/>
              </w:rPr>
            </w:pPr>
            <w:r w:rsidRPr="00A00873">
              <w:rPr>
                <w:rFonts w:ascii="Calibri" w:hAnsi="Calibri" w:cs="Calibri"/>
                <w:b/>
                <w:color w:val="FFFFFF" w:themeColor="background1"/>
                <w:sz w:val="18"/>
                <w:szCs w:val="18"/>
                <w:lang w:eastAsia="en-AU"/>
              </w:rPr>
              <w:t>(</w:t>
            </w:r>
            <w:proofErr w:type="gramStart"/>
            <w:r w:rsidRPr="00A00873">
              <w:rPr>
                <w:rFonts w:ascii="Calibri" w:hAnsi="Calibri" w:cs="Calibri"/>
                <w:b/>
                <w:color w:val="FFFFFF" w:themeColor="background1"/>
                <w:sz w:val="18"/>
                <w:szCs w:val="18"/>
                <w:lang w:eastAsia="en-AU"/>
              </w:rPr>
              <w:t>min</w:t>
            </w:r>
            <w:proofErr w:type="gramEnd"/>
            <w:r w:rsidRPr="00A00873">
              <w:rPr>
                <w:rFonts w:ascii="Calibri" w:hAnsi="Calibri" w:cs="Calibri"/>
                <w:b/>
                <w:color w:val="FFFFFF" w:themeColor="background1"/>
                <w:sz w:val="18"/>
                <w:szCs w:val="18"/>
                <w:lang w:eastAsia="en-AU"/>
              </w:rPr>
              <w:t>, max)</w:t>
            </w:r>
          </w:p>
        </w:tc>
        <w:tc>
          <w:tcPr>
            <w:tcW w:w="690" w:type="pct"/>
            <w:tcBorders>
              <w:top w:val="nil"/>
              <w:left w:val="single" w:sz="8" w:space="0" w:color="auto"/>
              <w:bottom w:val="nil"/>
              <w:right w:val="single" w:sz="8" w:space="0" w:color="auto"/>
            </w:tcBorders>
            <w:shd w:val="clear" w:color="auto" w:fill="000000" w:themeFill="text1"/>
            <w:noWrap/>
            <w:hideMark/>
          </w:tcPr>
          <w:p w14:paraId="662FA0F6"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FFFFFF" w:themeColor="background1"/>
                <w:sz w:val="18"/>
                <w:szCs w:val="18"/>
                <w:lang w:eastAsia="en-AU"/>
              </w:rPr>
            </w:pPr>
            <w:r w:rsidRPr="00A00873">
              <w:rPr>
                <w:rFonts w:ascii="Calibri" w:hAnsi="Calibri" w:cs="Calibri"/>
                <w:b/>
                <w:color w:val="FFFFFF" w:themeColor="background1"/>
                <w:sz w:val="18"/>
                <w:szCs w:val="18"/>
                <w:lang w:eastAsia="en-AU"/>
              </w:rPr>
              <w:t xml:space="preserve">Mean </w:t>
            </w:r>
          </w:p>
          <w:p w14:paraId="4C3EDA6D"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FFFFFF" w:themeColor="background1"/>
                <w:sz w:val="18"/>
                <w:szCs w:val="18"/>
                <w:lang w:eastAsia="en-AU"/>
              </w:rPr>
            </w:pPr>
            <w:r w:rsidRPr="00A00873">
              <w:rPr>
                <w:rFonts w:ascii="Calibri" w:hAnsi="Calibri" w:cs="Calibri"/>
                <w:b/>
                <w:color w:val="FFFFFF" w:themeColor="background1"/>
                <w:sz w:val="18"/>
                <w:szCs w:val="18"/>
                <w:lang w:eastAsia="en-AU"/>
              </w:rPr>
              <w:t>(</w:t>
            </w:r>
            <w:proofErr w:type="gramStart"/>
            <w:r w:rsidRPr="00A00873">
              <w:rPr>
                <w:rFonts w:ascii="Calibri" w:hAnsi="Calibri" w:cs="Calibri"/>
                <w:b/>
                <w:color w:val="FFFFFF" w:themeColor="background1"/>
                <w:sz w:val="18"/>
                <w:szCs w:val="18"/>
                <w:lang w:eastAsia="en-AU"/>
              </w:rPr>
              <w:t>min</w:t>
            </w:r>
            <w:proofErr w:type="gramEnd"/>
            <w:r w:rsidRPr="00A00873">
              <w:rPr>
                <w:rFonts w:ascii="Calibri" w:hAnsi="Calibri" w:cs="Calibri"/>
                <w:b/>
                <w:color w:val="FFFFFF" w:themeColor="background1"/>
                <w:sz w:val="18"/>
                <w:szCs w:val="18"/>
                <w:lang w:eastAsia="en-AU"/>
              </w:rPr>
              <w:t>, max)</w:t>
            </w:r>
          </w:p>
        </w:tc>
        <w:tc>
          <w:tcPr>
            <w:tcW w:w="689" w:type="pct"/>
            <w:vMerge/>
            <w:tcBorders>
              <w:left w:val="single" w:sz="8" w:space="0" w:color="auto"/>
              <w:bottom w:val="nil"/>
              <w:right w:val="single" w:sz="8" w:space="0" w:color="auto"/>
            </w:tcBorders>
          </w:tcPr>
          <w:p w14:paraId="224E785E" w14:textId="77777777" w:rsidR="00A00873" w:rsidRPr="00A00873" w:rsidRDefault="00A00873" w:rsidP="00A00873">
            <w:pPr>
              <w:cnfStyle w:val="000000100000" w:firstRow="0" w:lastRow="0" w:firstColumn="0" w:lastColumn="0" w:oddVBand="0" w:evenVBand="0" w:oddHBand="1" w:evenHBand="0" w:firstRowFirstColumn="0" w:firstRowLastColumn="0" w:lastRowFirstColumn="0" w:lastRowLastColumn="0"/>
              <w:rPr>
                <w:rFonts w:ascii="Calibri" w:hAnsi="Calibri" w:cs="Calibri"/>
                <w:b/>
                <w:bCs/>
                <w:color w:val="FFFFFF" w:themeColor="background1"/>
                <w:sz w:val="18"/>
                <w:szCs w:val="18"/>
                <w:lang w:eastAsia="en-AU"/>
              </w:rPr>
            </w:pPr>
          </w:p>
        </w:tc>
        <w:tc>
          <w:tcPr>
            <w:tcW w:w="690" w:type="pct"/>
            <w:vMerge/>
            <w:tcBorders>
              <w:left w:val="single" w:sz="8" w:space="0" w:color="auto"/>
              <w:bottom w:val="nil"/>
              <w:right w:val="single" w:sz="8" w:space="0" w:color="auto"/>
            </w:tcBorders>
          </w:tcPr>
          <w:p w14:paraId="376C6FC9" w14:textId="77777777" w:rsidR="00A00873" w:rsidRPr="00A00873" w:rsidRDefault="00A00873" w:rsidP="00A00873">
            <w:pPr>
              <w:cnfStyle w:val="000000100000" w:firstRow="0" w:lastRow="0" w:firstColumn="0" w:lastColumn="0" w:oddVBand="0" w:evenVBand="0" w:oddHBand="1" w:evenHBand="0" w:firstRowFirstColumn="0" w:firstRowLastColumn="0" w:lastRowFirstColumn="0" w:lastRowLastColumn="0"/>
              <w:rPr>
                <w:rFonts w:ascii="Calibri" w:hAnsi="Calibri" w:cs="Calibri"/>
                <w:b/>
                <w:bCs/>
                <w:color w:val="FFFFFF" w:themeColor="background1"/>
                <w:sz w:val="18"/>
                <w:szCs w:val="18"/>
                <w:lang w:eastAsia="en-AU"/>
              </w:rPr>
            </w:pPr>
          </w:p>
        </w:tc>
        <w:tc>
          <w:tcPr>
            <w:tcW w:w="690" w:type="pct"/>
            <w:vMerge/>
            <w:tcBorders>
              <w:top w:val="single" w:sz="8" w:space="0" w:color="auto"/>
              <w:left w:val="single" w:sz="8" w:space="0" w:color="auto"/>
              <w:bottom w:val="nil"/>
              <w:right w:val="single" w:sz="8" w:space="0" w:color="auto"/>
            </w:tcBorders>
            <w:vAlign w:val="center"/>
            <w:hideMark/>
          </w:tcPr>
          <w:p w14:paraId="5609505A" w14:textId="77777777" w:rsidR="00A00873" w:rsidRPr="00A00873" w:rsidRDefault="00A00873" w:rsidP="00A00873">
            <w:pPr>
              <w:cnfStyle w:val="000000100000" w:firstRow="0" w:lastRow="0" w:firstColumn="0" w:lastColumn="0" w:oddVBand="0" w:evenVBand="0" w:oddHBand="1" w:evenHBand="0" w:firstRowFirstColumn="0" w:firstRowLastColumn="0" w:lastRowFirstColumn="0" w:lastRowLastColumn="0"/>
              <w:rPr>
                <w:rFonts w:ascii="Calibri" w:hAnsi="Calibri" w:cs="Calibri"/>
                <w:b/>
                <w:bCs/>
                <w:color w:val="FFFFFF" w:themeColor="background1"/>
                <w:sz w:val="18"/>
                <w:szCs w:val="18"/>
                <w:lang w:eastAsia="en-AU"/>
              </w:rPr>
            </w:pPr>
          </w:p>
        </w:tc>
      </w:tr>
      <w:tr w:rsidR="00A00873" w:rsidRPr="00A00873" w14:paraId="40AAEB9F" w14:textId="77777777" w:rsidTr="00C751C6">
        <w:trPr>
          <w:trHeight w:val="290"/>
        </w:trPr>
        <w:tc>
          <w:tcPr>
            <w:cnfStyle w:val="001000000000" w:firstRow="0" w:lastRow="0" w:firstColumn="1" w:lastColumn="0" w:oddVBand="0" w:evenVBand="0" w:oddHBand="0" w:evenHBand="0" w:firstRowFirstColumn="0" w:firstRowLastColumn="0" w:lastRowFirstColumn="0" w:lastRowLastColumn="0"/>
            <w:tcW w:w="861" w:type="pct"/>
            <w:tcBorders>
              <w:top w:val="nil"/>
              <w:left w:val="single" w:sz="8" w:space="0" w:color="auto"/>
              <w:bottom w:val="nil"/>
              <w:right w:val="single" w:sz="8" w:space="0" w:color="auto"/>
            </w:tcBorders>
            <w:shd w:val="clear" w:color="auto" w:fill="auto"/>
            <w:noWrap/>
            <w:hideMark/>
          </w:tcPr>
          <w:p w14:paraId="7DC75A0B" w14:textId="77777777" w:rsidR="00A00873" w:rsidRPr="00A00873" w:rsidRDefault="00A00873" w:rsidP="00A00873">
            <w:pPr>
              <w:snapToGrid w:val="0"/>
              <w:rPr>
                <w:rFonts w:ascii="Calibri" w:hAnsi="Calibri" w:cs="Calibri"/>
                <w:color w:val="000000"/>
                <w:sz w:val="18"/>
                <w:szCs w:val="18"/>
                <w:lang w:eastAsia="en-AU"/>
              </w:rPr>
            </w:pPr>
            <w:r w:rsidRPr="00A00873">
              <w:rPr>
                <w:rFonts w:ascii="Calibri" w:hAnsi="Calibri" w:cs="Calibri"/>
                <w:color w:val="000000"/>
                <w:sz w:val="18"/>
                <w:szCs w:val="18"/>
                <w:lang w:eastAsia="en-AU"/>
              </w:rPr>
              <w:t>GP</w:t>
            </w:r>
          </w:p>
        </w:tc>
        <w:tc>
          <w:tcPr>
            <w:tcW w:w="689" w:type="pct"/>
            <w:tcBorders>
              <w:top w:val="nil"/>
              <w:left w:val="single" w:sz="8" w:space="0" w:color="auto"/>
              <w:bottom w:val="nil"/>
              <w:right w:val="single" w:sz="8" w:space="0" w:color="auto"/>
            </w:tcBorders>
            <w:shd w:val="clear" w:color="auto" w:fill="auto"/>
            <w:noWrap/>
            <w:vAlign w:val="center"/>
            <w:hideMark/>
          </w:tcPr>
          <w:p w14:paraId="63D66310"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2.78 (0,20)</w:t>
            </w:r>
          </w:p>
        </w:tc>
        <w:tc>
          <w:tcPr>
            <w:tcW w:w="690" w:type="pct"/>
            <w:tcBorders>
              <w:top w:val="nil"/>
              <w:left w:val="single" w:sz="8" w:space="0" w:color="auto"/>
              <w:bottom w:val="nil"/>
              <w:right w:val="single" w:sz="8" w:space="0" w:color="auto"/>
            </w:tcBorders>
            <w:shd w:val="clear" w:color="auto" w:fill="auto"/>
            <w:noWrap/>
            <w:vAlign w:val="center"/>
            <w:hideMark/>
          </w:tcPr>
          <w:p w14:paraId="32A33B73"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1.51 (0,10)</w:t>
            </w:r>
          </w:p>
        </w:tc>
        <w:tc>
          <w:tcPr>
            <w:tcW w:w="690" w:type="pct"/>
            <w:tcBorders>
              <w:top w:val="nil"/>
              <w:left w:val="single" w:sz="8" w:space="0" w:color="auto"/>
              <w:bottom w:val="nil"/>
              <w:right w:val="single" w:sz="8" w:space="0" w:color="auto"/>
            </w:tcBorders>
            <w:shd w:val="clear" w:color="auto" w:fill="auto"/>
            <w:noWrap/>
            <w:vAlign w:val="center"/>
            <w:hideMark/>
          </w:tcPr>
          <w:p w14:paraId="3B2C6E10"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2.23 (0,20)</w:t>
            </w:r>
          </w:p>
        </w:tc>
        <w:tc>
          <w:tcPr>
            <w:tcW w:w="689" w:type="pct"/>
            <w:tcBorders>
              <w:top w:val="nil"/>
              <w:left w:val="single" w:sz="8" w:space="0" w:color="auto"/>
              <w:bottom w:val="nil"/>
              <w:right w:val="single" w:sz="8" w:space="0" w:color="auto"/>
            </w:tcBorders>
            <w:shd w:val="clear" w:color="auto" w:fill="auto"/>
            <w:vAlign w:val="center"/>
          </w:tcPr>
          <w:p w14:paraId="32873A00"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A00873">
              <w:rPr>
                <w:rFonts w:asciiTheme="minorHAnsi" w:hAnsiTheme="minorHAnsi" w:cstheme="minorHAnsi"/>
                <w:b/>
                <w:iCs/>
                <w:sz w:val="18"/>
                <w:szCs w:val="18"/>
              </w:rPr>
              <w:t>1.27*</w:t>
            </w:r>
          </w:p>
        </w:tc>
        <w:tc>
          <w:tcPr>
            <w:tcW w:w="690" w:type="pct"/>
            <w:tcBorders>
              <w:top w:val="nil"/>
              <w:left w:val="single" w:sz="8" w:space="0" w:color="auto"/>
              <w:bottom w:val="nil"/>
              <w:right w:val="single" w:sz="8" w:space="0" w:color="auto"/>
            </w:tcBorders>
            <w:shd w:val="clear" w:color="auto" w:fill="auto"/>
            <w:vAlign w:val="center"/>
          </w:tcPr>
          <w:p w14:paraId="08C8D1D8"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A00873">
              <w:rPr>
                <w:rFonts w:asciiTheme="minorHAnsi" w:hAnsiTheme="minorHAnsi" w:cstheme="minorHAnsi"/>
                <w:b/>
                <w:iCs/>
                <w:sz w:val="18"/>
                <w:szCs w:val="18"/>
              </w:rPr>
              <w:t>-0.72*</w:t>
            </w:r>
          </w:p>
        </w:tc>
        <w:tc>
          <w:tcPr>
            <w:tcW w:w="690" w:type="pct"/>
            <w:tcBorders>
              <w:top w:val="nil"/>
              <w:left w:val="single" w:sz="8" w:space="0" w:color="auto"/>
              <w:bottom w:val="nil"/>
              <w:right w:val="single" w:sz="8" w:space="0" w:color="auto"/>
            </w:tcBorders>
            <w:shd w:val="clear" w:color="auto" w:fill="auto"/>
            <w:vAlign w:val="center"/>
          </w:tcPr>
          <w:p w14:paraId="1B26F5A8"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Theme="minorHAnsi" w:hAnsiTheme="minorHAnsi" w:cstheme="minorHAnsi"/>
                <w:iCs/>
                <w:sz w:val="18"/>
                <w:szCs w:val="18"/>
              </w:rPr>
              <w:t>0.55</w:t>
            </w:r>
          </w:p>
        </w:tc>
      </w:tr>
      <w:tr w:rsidR="00A00873" w:rsidRPr="00A00873" w14:paraId="44F775F7" w14:textId="77777777" w:rsidTr="00C751C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61" w:type="pct"/>
            <w:tcBorders>
              <w:top w:val="nil"/>
              <w:left w:val="single" w:sz="8" w:space="0" w:color="auto"/>
              <w:bottom w:val="nil"/>
              <w:right w:val="single" w:sz="8" w:space="0" w:color="auto"/>
            </w:tcBorders>
            <w:shd w:val="clear" w:color="auto" w:fill="auto"/>
            <w:noWrap/>
            <w:hideMark/>
          </w:tcPr>
          <w:p w14:paraId="781E1870" w14:textId="77777777" w:rsidR="00A00873" w:rsidRPr="00A00873" w:rsidRDefault="00A00873" w:rsidP="00A00873">
            <w:pPr>
              <w:snapToGrid w:val="0"/>
              <w:rPr>
                <w:rFonts w:ascii="Calibri" w:hAnsi="Calibri" w:cs="Calibri"/>
                <w:color w:val="000000"/>
                <w:sz w:val="18"/>
                <w:szCs w:val="18"/>
                <w:lang w:eastAsia="en-AU"/>
              </w:rPr>
            </w:pPr>
            <w:r w:rsidRPr="00A00873">
              <w:rPr>
                <w:rFonts w:ascii="Calibri" w:hAnsi="Calibri" w:cs="Calibri"/>
                <w:color w:val="000000"/>
                <w:sz w:val="18"/>
                <w:szCs w:val="18"/>
                <w:lang w:eastAsia="en-AU"/>
              </w:rPr>
              <w:t>Psychiatrist</w:t>
            </w:r>
          </w:p>
        </w:tc>
        <w:tc>
          <w:tcPr>
            <w:tcW w:w="689" w:type="pct"/>
            <w:tcBorders>
              <w:top w:val="nil"/>
              <w:left w:val="single" w:sz="8" w:space="0" w:color="auto"/>
              <w:bottom w:val="nil"/>
              <w:right w:val="single" w:sz="8" w:space="0" w:color="auto"/>
            </w:tcBorders>
            <w:shd w:val="clear" w:color="auto" w:fill="auto"/>
            <w:noWrap/>
            <w:vAlign w:val="center"/>
            <w:hideMark/>
          </w:tcPr>
          <w:p w14:paraId="359C6D2F"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2.47 (0,12)</w:t>
            </w:r>
          </w:p>
        </w:tc>
        <w:tc>
          <w:tcPr>
            <w:tcW w:w="690" w:type="pct"/>
            <w:tcBorders>
              <w:top w:val="nil"/>
              <w:left w:val="single" w:sz="8" w:space="0" w:color="auto"/>
              <w:bottom w:val="nil"/>
              <w:right w:val="single" w:sz="8" w:space="0" w:color="auto"/>
            </w:tcBorders>
            <w:shd w:val="clear" w:color="auto" w:fill="auto"/>
            <w:noWrap/>
            <w:vAlign w:val="center"/>
            <w:hideMark/>
          </w:tcPr>
          <w:p w14:paraId="4D157E83"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1.35 (0,20)</w:t>
            </w:r>
          </w:p>
        </w:tc>
        <w:tc>
          <w:tcPr>
            <w:tcW w:w="690" w:type="pct"/>
            <w:tcBorders>
              <w:top w:val="nil"/>
              <w:left w:val="single" w:sz="8" w:space="0" w:color="auto"/>
              <w:bottom w:val="nil"/>
              <w:right w:val="single" w:sz="8" w:space="0" w:color="auto"/>
            </w:tcBorders>
            <w:shd w:val="clear" w:color="auto" w:fill="auto"/>
            <w:noWrap/>
            <w:vAlign w:val="center"/>
            <w:hideMark/>
          </w:tcPr>
          <w:p w14:paraId="4CA34AA5"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3.10 (0,24)</w:t>
            </w:r>
          </w:p>
        </w:tc>
        <w:tc>
          <w:tcPr>
            <w:tcW w:w="689" w:type="pct"/>
            <w:tcBorders>
              <w:top w:val="nil"/>
              <w:left w:val="single" w:sz="8" w:space="0" w:color="auto"/>
              <w:bottom w:val="nil"/>
              <w:right w:val="single" w:sz="8" w:space="0" w:color="auto"/>
            </w:tcBorders>
            <w:shd w:val="clear" w:color="auto" w:fill="auto"/>
            <w:vAlign w:val="center"/>
          </w:tcPr>
          <w:p w14:paraId="2F737ABA"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Theme="minorHAnsi" w:hAnsiTheme="minorHAnsi" w:cstheme="minorHAnsi"/>
                <w:iCs/>
                <w:sz w:val="18"/>
                <w:szCs w:val="18"/>
              </w:rPr>
              <w:t>1.12</w:t>
            </w:r>
          </w:p>
        </w:tc>
        <w:tc>
          <w:tcPr>
            <w:tcW w:w="690" w:type="pct"/>
            <w:tcBorders>
              <w:top w:val="nil"/>
              <w:left w:val="single" w:sz="8" w:space="0" w:color="auto"/>
              <w:bottom w:val="nil"/>
              <w:right w:val="single" w:sz="8" w:space="0" w:color="auto"/>
            </w:tcBorders>
            <w:shd w:val="clear" w:color="auto" w:fill="auto"/>
            <w:vAlign w:val="center"/>
          </w:tcPr>
          <w:p w14:paraId="7C3802CA"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r w:rsidRPr="00A00873">
              <w:rPr>
                <w:rFonts w:asciiTheme="minorHAnsi" w:hAnsiTheme="minorHAnsi" w:cstheme="minorHAnsi"/>
                <w:b/>
                <w:iCs/>
                <w:sz w:val="18"/>
                <w:szCs w:val="18"/>
              </w:rPr>
              <w:t>-1.75**</w:t>
            </w:r>
          </w:p>
        </w:tc>
        <w:tc>
          <w:tcPr>
            <w:tcW w:w="690" w:type="pct"/>
            <w:tcBorders>
              <w:top w:val="nil"/>
              <w:left w:val="single" w:sz="8" w:space="0" w:color="auto"/>
              <w:bottom w:val="nil"/>
              <w:right w:val="single" w:sz="8" w:space="0" w:color="auto"/>
            </w:tcBorders>
            <w:shd w:val="clear" w:color="auto" w:fill="auto"/>
            <w:vAlign w:val="center"/>
          </w:tcPr>
          <w:p w14:paraId="0BCFFBB1"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Theme="minorHAnsi" w:hAnsiTheme="minorHAnsi" w:cstheme="minorHAnsi"/>
                <w:iCs/>
                <w:sz w:val="18"/>
                <w:szCs w:val="18"/>
              </w:rPr>
              <w:t>-0.63</w:t>
            </w:r>
          </w:p>
        </w:tc>
      </w:tr>
      <w:tr w:rsidR="00A00873" w:rsidRPr="00A00873" w14:paraId="576A9DF0" w14:textId="77777777" w:rsidTr="00C751C6">
        <w:trPr>
          <w:trHeight w:val="290"/>
        </w:trPr>
        <w:tc>
          <w:tcPr>
            <w:cnfStyle w:val="001000000000" w:firstRow="0" w:lastRow="0" w:firstColumn="1" w:lastColumn="0" w:oddVBand="0" w:evenVBand="0" w:oddHBand="0" w:evenHBand="0" w:firstRowFirstColumn="0" w:firstRowLastColumn="0" w:lastRowFirstColumn="0" w:lastRowLastColumn="0"/>
            <w:tcW w:w="861" w:type="pct"/>
            <w:tcBorders>
              <w:top w:val="nil"/>
              <w:left w:val="single" w:sz="8" w:space="0" w:color="auto"/>
              <w:bottom w:val="nil"/>
              <w:right w:val="single" w:sz="8" w:space="0" w:color="auto"/>
            </w:tcBorders>
            <w:shd w:val="clear" w:color="auto" w:fill="auto"/>
            <w:noWrap/>
            <w:hideMark/>
          </w:tcPr>
          <w:p w14:paraId="64755534" w14:textId="77777777" w:rsidR="00A00873" w:rsidRPr="00A00873" w:rsidRDefault="00A00873" w:rsidP="00A00873">
            <w:pPr>
              <w:snapToGrid w:val="0"/>
              <w:rPr>
                <w:rFonts w:ascii="Calibri" w:hAnsi="Calibri" w:cs="Calibri"/>
                <w:color w:val="000000"/>
                <w:sz w:val="18"/>
                <w:szCs w:val="18"/>
                <w:lang w:eastAsia="en-AU"/>
              </w:rPr>
            </w:pPr>
            <w:r w:rsidRPr="00A00873">
              <w:rPr>
                <w:rFonts w:ascii="Calibri" w:hAnsi="Calibri" w:cs="Calibri"/>
                <w:color w:val="000000"/>
                <w:sz w:val="18"/>
                <w:szCs w:val="18"/>
                <w:lang w:eastAsia="en-AU"/>
              </w:rPr>
              <w:t>Psychologist</w:t>
            </w:r>
          </w:p>
        </w:tc>
        <w:tc>
          <w:tcPr>
            <w:tcW w:w="689" w:type="pct"/>
            <w:tcBorders>
              <w:top w:val="nil"/>
              <w:left w:val="single" w:sz="8" w:space="0" w:color="auto"/>
              <w:bottom w:val="nil"/>
              <w:right w:val="single" w:sz="8" w:space="0" w:color="auto"/>
            </w:tcBorders>
            <w:shd w:val="clear" w:color="auto" w:fill="auto"/>
            <w:noWrap/>
            <w:vAlign w:val="center"/>
            <w:hideMark/>
          </w:tcPr>
          <w:p w14:paraId="045288E1"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0.75 (0,7)</w:t>
            </w:r>
          </w:p>
        </w:tc>
        <w:tc>
          <w:tcPr>
            <w:tcW w:w="690" w:type="pct"/>
            <w:tcBorders>
              <w:top w:val="nil"/>
              <w:left w:val="single" w:sz="8" w:space="0" w:color="auto"/>
              <w:bottom w:val="nil"/>
              <w:right w:val="single" w:sz="8" w:space="0" w:color="auto"/>
            </w:tcBorders>
            <w:shd w:val="clear" w:color="auto" w:fill="auto"/>
            <w:noWrap/>
            <w:vAlign w:val="center"/>
            <w:hideMark/>
          </w:tcPr>
          <w:p w14:paraId="6D59E32C"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0.72 (0,20)</w:t>
            </w:r>
          </w:p>
        </w:tc>
        <w:tc>
          <w:tcPr>
            <w:tcW w:w="690" w:type="pct"/>
            <w:tcBorders>
              <w:top w:val="nil"/>
              <w:left w:val="single" w:sz="8" w:space="0" w:color="auto"/>
              <w:bottom w:val="nil"/>
              <w:right w:val="single" w:sz="8" w:space="0" w:color="auto"/>
            </w:tcBorders>
            <w:shd w:val="clear" w:color="auto" w:fill="auto"/>
            <w:noWrap/>
            <w:vAlign w:val="center"/>
            <w:hideMark/>
          </w:tcPr>
          <w:p w14:paraId="2C6CFB1C"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0.66 (0,24)</w:t>
            </w:r>
          </w:p>
        </w:tc>
        <w:tc>
          <w:tcPr>
            <w:tcW w:w="689" w:type="pct"/>
            <w:tcBorders>
              <w:top w:val="nil"/>
              <w:left w:val="single" w:sz="8" w:space="0" w:color="auto"/>
              <w:bottom w:val="nil"/>
              <w:right w:val="single" w:sz="8" w:space="0" w:color="auto"/>
            </w:tcBorders>
            <w:shd w:val="clear" w:color="auto" w:fill="auto"/>
            <w:vAlign w:val="center"/>
          </w:tcPr>
          <w:p w14:paraId="6BEA18D7"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Theme="minorHAnsi" w:hAnsiTheme="minorHAnsi" w:cstheme="minorHAnsi"/>
                <w:iCs/>
                <w:sz w:val="18"/>
                <w:szCs w:val="18"/>
              </w:rPr>
              <w:t>0.03</w:t>
            </w:r>
          </w:p>
        </w:tc>
        <w:tc>
          <w:tcPr>
            <w:tcW w:w="690" w:type="pct"/>
            <w:tcBorders>
              <w:top w:val="nil"/>
              <w:left w:val="single" w:sz="8" w:space="0" w:color="auto"/>
              <w:bottom w:val="nil"/>
              <w:right w:val="single" w:sz="8" w:space="0" w:color="auto"/>
            </w:tcBorders>
            <w:shd w:val="clear" w:color="auto" w:fill="auto"/>
            <w:vAlign w:val="center"/>
          </w:tcPr>
          <w:p w14:paraId="0EC7EEBD"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Theme="minorHAnsi" w:hAnsiTheme="minorHAnsi" w:cstheme="minorHAnsi"/>
                <w:iCs/>
                <w:sz w:val="18"/>
                <w:szCs w:val="18"/>
              </w:rPr>
              <w:t>0.06</w:t>
            </w:r>
          </w:p>
        </w:tc>
        <w:tc>
          <w:tcPr>
            <w:tcW w:w="690" w:type="pct"/>
            <w:tcBorders>
              <w:top w:val="nil"/>
              <w:left w:val="single" w:sz="8" w:space="0" w:color="auto"/>
              <w:bottom w:val="nil"/>
              <w:right w:val="single" w:sz="8" w:space="0" w:color="auto"/>
            </w:tcBorders>
            <w:shd w:val="clear" w:color="auto" w:fill="auto"/>
            <w:vAlign w:val="center"/>
          </w:tcPr>
          <w:p w14:paraId="271E7B3D"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Theme="minorHAnsi" w:hAnsiTheme="minorHAnsi" w:cstheme="minorHAnsi"/>
                <w:iCs/>
                <w:sz w:val="18"/>
                <w:szCs w:val="18"/>
              </w:rPr>
              <w:t>0.09</w:t>
            </w:r>
          </w:p>
        </w:tc>
      </w:tr>
      <w:tr w:rsidR="00A00873" w:rsidRPr="00A00873" w14:paraId="6E29240F" w14:textId="77777777" w:rsidTr="00C751C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61" w:type="pct"/>
            <w:tcBorders>
              <w:top w:val="nil"/>
              <w:left w:val="single" w:sz="8" w:space="0" w:color="auto"/>
              <w:bottom w:val="nil"/>
              <w:right w:val="single" w:sz="8" w:space="0" w:color="auto"/>
            </w:tcBorders>
            <w:shd w:val="clear" w:color="auto" w:fill="auto"/>
            <w:noWrap/>
            <w:hideMark/>
          </w:tcPr>
          <w:p w14:paraId="3039E4AB" w14:textId="77777777" w:rsidR="00A00873" w:rsidRPr="00A00873" w:rsidRDefault="00A00873" w:rsidP="00A00873">
            <w:pPr>
              <w:snapToGrid w:val="0"/>
              <w:rPr>
                <w:rFonts w:ascii="Calibri" w:hAnsi="Calibri" w:cs="Calibri"/>
                <w:color w:val="000000"/>
                <w:sz w:val="18"/>
                <w:szCs w:val="18"/>
                <w:lang w:eastAsia="en-AU"/>
              </w:rPr>
            </w:pPr>
            <w:r w:rsidRPr="00A00873">
              <w:rPr>
                <w:rFonts w:ascii="Calibri" w:hAnsi="Calibri" w:cs="Calibri"/>
                <w:color w:val="000000"/>
                <w:sz w:val="18"/>
                <w:szCs w:val="18"/>
                <w:lang w:eastAsia="en-AU"/>
              </w:rPr>
              <w:t xml:space="preserve">Allied health </w:t>
            </w:r>
          </w:p>
        </w:tc>
        <w:tc>
          <w:tcPr>
            <w:tcW w:w="689" w:type="pct"/>
            <w:tcBorders>
              <w:top w:val="nil"/>
              <w:left w:val="single" w:sz="8" w:space="0" w:color="auto"/>
              <w:bottom w:val="nil"/>
              <w:right w:val="single" w:sz="8" w:space="0" w:color="auto"/>
            </w:tcBorders>
            <w:shd w:val="clear" w:color="auto" w:fill="auto"/>
            <w:noWrap/>
            <w:vAlign w:val="center"/>
            <w:hideMark/>
          </w:tcPr>
          <w:p w14:paraId="38063DDA"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1.50 (0,24)</w:t>
            </w:r>
          </w:p>
        </w:tc>
        <w:tc>
          <w:tcPr>
            <w:tcW w:w="690" w:type="pct"/>
            <w:tcBorders>
              <w:top w:val="nil"/>
              <w:left w:val="single" w:sz="8" w:space="0" w:color="auto"/>
              <w:bottom w:val="nil"/>
              <w:right w:val="single" w:sz="8" w:space="0" w:color="auto"/>
            </w:tcBorders>
            <w:shd w:val="clear" w:color="auto" w:fill="auto"/>
            <w:noWrap/>
            <w:vAlign w:val="center"/>
            <w:hideMark/>
          </w:tcPr>
          <w:p w14:paraId="627FA3D8"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0.81 (0,8)</w:t>
            </w:r>
          </w:p>
        </w:tc>
        <w:tc>
          <w:tcPr>
            <w:tcW w:w="690" w:type="pct"/>
            <w:tcBorders>
              <w:top w:val="nil"/>
              <w:left w:val="single" w:sz="8" w:space="0" w:color="auto"/>
              <w:bottom w:val="nil"/>
              <w:right w:val="single" w:sz="8" w:space="0" w:color="auto"/>
            </w:tcBorders>
            <w:shd w:val="clear" w:color="auto" w:fill="auto"/>
            <w:noWrap/>
            <w:vAlign w:val="center"/>
            <w:hideMark/>
          </w:tcPr>
          <w:p w14:paraId="55BD7287"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1.00 (0,20)</w:t>
            </w:r>
          </w:p>
        </w:tc>
        <w:tc>
          <w:tcPr>
            <w:tcW w:w="689" w:type="pct"/>
            <w:tcBorders>
              <w:top w:val="nil"/>
              <w:left w:val="single" w:sz="8" w:space="0" w:color="auto"/>
              <w:bottom w:val="nil"/>
              <w:right w:val="single" w:sz="8" w:space="0" w:color="auto"/>
            </w:tcBorders>
            <w:shd w:val="clear" w:color="auto" w:fill="auto"/>
            <w:vAlign w:val="center"/>
          </w:tcPr>
          <w:p w14:paraId="5FDF95CF"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Theme="minorHAnsi" w:hAnsiTheme="minorHAnsi" w:cstheme="minorHAnsi"/>
                <w:iCs/>
                <w:sz w:val="18"/>
                <w:szCs w:val="18"/>
              </w:rPr>
              <w:t>0.69</w:t>
            </w:r>
          </w:p>
        </w:tc>
        <w:tc>
          <w:tcPr>
            <w:tcW w:w="690" w:type="pct"/>
            <w:tcBorders>
              <w:top w:val="nil"/>
              <w:left w:val="single" w:sz="8" w:space="0" w:color="auto"/>
              <w:bottom w:val="nil"/>
              <w:right w:val="single" w:sz="8" w:space="0" w:color="auto"/>
            </w:tcBorders>
            <w:shd w:val="clear" w:color="auto" w:fill="auto"/>
            <w:vAlign w:val="center"/>
          </w:tcPr>
          <w:p w14:paraId="1F830E34"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Theme="minorHAnsi" w:hAnsiTheme="minorHAnsi" w:cstheme="minorHAnsi"/>
                <w:iCs/>
                <w:sz w:val="18"/>
                <w:szCs w:val="18"/>
              </w:rPr>
              <w:t>-0.19</w:t>
            </w:r>
          </w:p>
        </w:tc>
        <w:tc>
          <w:tcPr>
            <w:tcW w:w="690" w:type="pct"/>
            <w:tcBorders>
              <w:top w:val="nil"/>
              <w:left w:val="single" w:sz="8" w:space="0" w:color="auto"/>
              <w:bottom w:val="nil"/>
              <w:right w:val="single" w:sz="8" w:space="0" w:color="auto"/>
            </w:tcBorders>
            <w:shd w:val="clear" w:color="auto" w:fill="auto"/>
            <w:vAlign w:val="center"/>
          </w:tcPr>
          <w:p w14:paraId="01C498DE"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Theme="minorHAnsi" w:hAnsiTheme="minorHAnsi" w:cstheme="minorHAnsi"/>
                <w:iCs/>
                <w:sz w:val="18"/>
                <w:szCs w:val="18"/>
              </w:rPr>
              <w:t>0.50</w:t>
            </w:r>
          </w:p>
        </w:tc>
      </w:tr>
      <w:tr w:rsidR="00A00873" w:rsidRPr="00A00873" w14:paraId="5922F2AA" w14:textId="77777777" w:rsidTr="00C751C6">
        <w:trPr>
          <w:trHeight w:val="290"/>
        </w:trPr>
        <w:tc>
          <w:tcPr>
            <w:cnfStyle w:val="001000000000" w:firstRow="0" w:lastRow="0" w:firstColumn="1" w:lastColumn="0" w:oddVBand="0" w:evenVBand="0" w:oddHBand="0" w:evenHBand="0" w:firstRowFirstColumn="0" w:firstRowLastColumn="0" w:lastRowFirstColumn="0" w:lastRowLastColumn="0"/>
            <w:tcW w:w="861" w:type="pct"/>
            <w:tcBorders>
              <w:top w:val="nil"/>
              <w:left w:val="single" w:sz="8" w:space="0" w:color="auto"/>
              <w:bottom w:val="nil"/>
              <w:right w:val="single" w:sz="8" w:space="0" w:color="auto"/>
            </w:tcBorders>
            <w:shd w:val="clear" w:color="auto" w:fill="auto"/>
            <w:noWrap/>
            <w:hideMark/>
          </w:tcPr>
          <w:p w14:paraId="3B59421F" w14:textId="77777777" w:rsidR="00A00873" w:rsidRPr="00A00873" w:rsidRDefault="00A00873" w:rsidP="00A00873">
            <w:pPr>
              <w:snapToGrid w:val="0"/>
              <w:rPr>
                <w:rFonts w:ascii="Calibri" w:hAnsi="Calibri" w:cs="Calibri"/>
                <w:color w:val="000000"/>
                <w:sz w:val="18"/>
                <w:szCs w:val="18"/>
                <w:lang w:eastAsia="en-AU"/>
              </w:rPr>
            </w:pPr>
            <w:r w:rsidRPr="00A00873">
              <w:rPr>
                <w:rFonts w:ascii="Calibri" w:hAnsi="Calibri" w:cs="Calibri"/>
                <w:color w:val="000000"/>
                <w:sz w:val="18"/>
                <w:szCs w:val="18"/>
                <w:lang w:eastAsia="en-AU"/>
              </w:rPr>
              <w:t>Ambulance</w:t>
            </w:r>
          </w:p>
        </w:tc>
        <w:tc>
          <w:tcPr>
            <w:tcW w:w="689" w:type="pct"/>
            <w:tcBorders>
              <w:top w:val="nil"/>
              <w:left w:val="single" w:sz="8" w:space="0" w:color="auto"/>
              <w:bottom w:val="nil"/>
              <w:right w:val="single" w:sz="8" w:space="0" w:color="auto"/>
            </w:tcBorders>
            <w:shd w:val="clear" w:color="auto" w:fill="auto"/>
            <w:noWrap/>
            <w:vAlign w:val="center"/>
            <w:hideMark/>
          </w:tcPr>
          <w:p w14:paraId="6A4A749A"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0.03 (0,1)</w:t>
            </w:r>
          </w:p>
        </w:tc>
        <w:tc>
          <w:tcPr>
            <w:tcW w:w="690" w:type="pct"/>
            <w:tcBorders>
              <w:top w:val="nil"/>
              <w:left w:val="single" w:sz="8" w:space="0" w:color="auto"/>
              <w:bottom w:val="nil"/>
              <w:right w:val="single" w:sz="8" w:space="0" w:color="auto"/>
            </w:tcBorders>
            <w:shd w:val="clear" w:color="auto" w:fill="auto"/>
            <w:noWrap/>
            <w:vAlign w:val="center"/>
            <w:hideMark/>
          </w:tcPr>
          <w:p w14:paraId="456833E0"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0.37 (0,3)</w:t>
            </w:r>
          </w:p>
        </w:tc>
        <w:tc>
          <w:tcPr>
            <w:tcW w:w="690" w:type="pct"/>
            <w:tcBorders>
              <w:top w:val="nil"/>
              <w:left w:val="single" w:sz="8" w:space="0" w:color="auto"/>
              <w:bottom w:val="nil"/>
              <w:right w:val="single" w:sz="8" w:space="0" w:color="auto"/>
            </w:tcBorders>
            <w:shd w:val="clear" w:color="auto" w:fill="auto"/>
            <w:noWrap/>
            <w:vAlign w:val="center"/>
            <w:hideMark/>
          </w:tcPr>
          <w:p w14:paraId="499B02D9"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0.02 (0,3)</w:t>
            </w:r>
          </w:p>
        </w:tc>
        <w:tc>
          <w:tcPr>
            <w:tcW w:w="689" w:type="pct"/>
            <w:tcBorders>
              <w:top w:val="nil"/>
              <w:left w:val="single" w:sz="8" w:space="0" w:color="auto"/>
              <w:bottom w:val="nil"/>
              <w:right w:val="single" w:sz="8" w:space="0" w:color="auto"/>
            </w:tcBorders>
            <w:shd w:val="clear" w:color="auto" w:fill="auto"/>
            <w:vAlign w:val="center"/>
          </w:tcPr>
          <w:p w14:paraId="5AC91CF1"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A00873">
              <w:rPr>
                <w:rFonts w:asciiTheme="minorHAnsi" w:hAnsiTheme="minorHAnsi" w:cstheme="minorHAnsi"/>
                <w:b/>
                <w:iCs/>
                <w:sz w:val="18"/>
                <w:szCs w:val="18"/>
              </w:rPr>
              <w:t>-0.34*</w:t>
            </w:r>
          </w:p>
        </w:tc>
        <w:tc>
          <w:tcPr>
            <w:tcW w:w="690" w:type="pct"/>
            <w:tcBorders>
              <w:top w:val="nil"/>
              <w:left w:val="single" w:sz="8" w:space="0" w:color="auto"/>
              <w:bottom w:val="nil"/>
              <w:right w:val="single" w:sz="8" w:space="0" w:color="auto"/>
            </w:tcBorders>
            <w:shd w:val="clear" w:color="auto" w:fill="auto"/>
            <w:vAlign w:val="center"/>
          </w:tcPr>
          <w:p w14:paraId="706828C8"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A00873">
              <w:rPr>
                <w:rFonts w:asciiTheme="minorHAnsi" w:hAnsiTheme="minorHAnsi" w:cstheme="minorHAnsi"/>
                <w:b/>
                <w:iCs/>
                <w:sz w:val="18"/>
                <w:szCs w:val="18"/>
              </w:rPr>
              <w:t>0.35**</w:t>
            </w:r>
          </w:p>
        </w:tc>
        <w:tc>
          <w:tcPr>
            <w:tcW w:w="690" w:type="pct"/>
            <w:tcBorders>
              <w:top w:val="nil"/>
              <w:left w:val="single" w:sz="8" w:space="0" w:color="auto"/>
              <w:bottom w:val="nil"/>
              <w:right w:val="single" w:sz="8" w:space="0" w:color="auto"/>
            </w:tcBorders>
            <w:shd w:val="clear" w:color="auto" w:fill="auto"/>
            <w:vAlign w:val="center"/>
          </w:tcPr>
          <w:p w14:paraId="66F17BB0"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Theme="minorHAnsi" w:hAnsiTheme="minorHAnsi" w:cstheme="minorHAnsi"/>
                <w:iCs/>
                <w:sz w:val="18"/>
                <w:szCs w:val="18"/>
              </w:rPr>
              <w:t>0.01</w:t>
            </w:r>
          </w:p>
        </w:tc>
      </w:tr>
      <w:tr w:rsidR="00A00873" w:rsidRPr="00A00873" w14:paraId="0935CB01" w14:textId="77777777" w:rsidTr="00C751C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61" w:type="pct"/>
            <w:tcBorders>
              <w:top w:val="nil"/>
              <w:left w:val="single" w:sz="8" w:space="0" w:color="auto"/>
              <w:bottom w:val="nil"/>
              <w:right w:val="single" w:sz="8" w:space="0" w:color="auto"/>
            </w:tcBorders>
            <w:shd w:val="clear" w:color="auto" w:fill="auto"/>
            <w:noWrap/>
            <w:hideMark/>
          </w:tcPr>
          <w:p w14:paraId="2CC45AE5" w14:textId="77777777" w:rsidR="00A00873" w:rsidRPr="00A00873" w:rsidRDefault="00A00873" w:rsidP="00A00873">
            <w:pPr>
              <w:snapToGrid w:val="0"/>
              <w:rPr>
                <w:rFonts w:ascii="Calibri" w:hAnsi="Calibri" w:cs="Calibri"/>
                <w:color w:val="000000"/>
                <w:sz w:val="18"/>
                <w:szCs w:val="18"/>
                <w:lang w:eastAsia="en-AU"/>
              </w:rPr>
            </w:pPr>
            <w:r w:rsidRPr="00A00873">
              <w:rPr>
                <w:rFonts w:ascii="Calibri" w:hAnsi="Calibri" w:cs="Calibri"/>
                <w:color w:val="000000"/>
                <w:sz w:val="18"/>
                <w:szCs w:val="18"/>
                <w:lang w:eastAsia="en-AU"/>
              </w:rPr>
              <w:t>Emergency department</w:t>
            </w:r>
          </w:p>
        </w:tc>
        <w:tc>
          <w:tcPr>
            <w:tcW w:w="689" w:type="pct"/>
            <w:tcBorders>
              <w:top w:val="nil"/>
              <w:left w:val="single" w:sz="8" w:space="0" w:color="auto"/>
              <w:bottom w:val="nil"/>
              <w:right w:val="single" w:sz="8" w:space="0" w:color="auto"/>
            </w:tcBorders>
            <w:shd w:val="clear" w:color="auto" w:fill="auto"/>
            <w:noWrap/>
            <w:vAlign w:val="center"/>
            <w:hideMark/>
          </w:tcPr>
          <w:p w14:paraId="03DFD5B1"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0.13 (0,2)</w:t>
            </w:r>
          </w:p>
        </w:tc>
        <w:tc>
          <w:tcPr>
            <w:tcW w:w="690" w:type="pct"/>
            <w:tcBorders>
              <w:top w:val="nil"/>
              <w:left w:val="single" w:sz="8" w:space="0" w:color="auto"/>
              <w:bottom w:val="nil"/>
              <w:right w:val="single" w:sz="8" w:space="0" w:color="auto"/>
            </w:tcBorders>
            <w:shd w:val="clear" w:color="auto" w:fill="auto"/>
            <w:noWrap/>
            <w:vAlign w:val="center"/>
            <w:hideMark/>
          </w:tcPr>
          <w:p w14:paraId="3D159A41"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0.34 (0,3)</w:t>
            </w:r>
          </w:p>
        </w:tc>
        <w:tc>
          <w:tcPr>
            <w:tcW w:w="690" w:type="pct"/>
            <w:tcBorders>
              <w:top w:val="nil"/>
              <w:left w:val="single" w:sz="8" w:space="0" w:color="auto"/>
              <w:bottom w:val="nil"/>
              <w:right w:val="single" w:sz="8" w:space="0" w:color="auto"/>
            </w:tcBorders>
            <w:shd w:val="clear" w:color="auto" w:fill="auto"/>
            <w:noWrap/>
            <w:vAlign w:val="center"/>
            <w:hideMark/>
          </w:tcPr>
          <w:p w14:paraId="00CB76E0"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0.04 (0,3)</w:t>
            </w:r>
          </w:p>
        </w:tc>
        <w:tc>
          <w:tcPr>
            <w:tcW w:w="689" w:type="pct"/>
            <w:tcBorders>
              <w:top w:val="nil"/>
              <w:left w:val="single" w:sz="8" w:space="0" w:color="auto"/>
              <w:bottom w:val="nil"/>
              <w:right w:val="single" w:sz="8" w:space="0" w:color="auto"/>
            </w:tcBorders>
            <w:shd w:val="clear" w:color="auto" w:fill="auto"/>
            <w:vAlign w:val="center"/>
          </w:tcPr>
          <w:p w14:paraId="189C18E3"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Theme="minorHAnsi" w:hAnsiTheme="minorHAnsi" w:cstheme="minorHAnsi"/>
                <w:iCs/>
                <w:sz w:val="18"/>
                <w:szCs w:val="18"/>
              </w:rPr>
              <w:t>-0.22</w:t>
            </w:r>
          </w:p>
        </w:tc>
        <w:tc>
          <w:tcPr>
            <w:tcW w:w="690" w:type="pct"/>
            <w:tcBorders>
              <w:top w:val="nil"/>
              <w:left w:val="single" w:sz="8" w:space="0" w:color="auto"/>
              <w:bottom w:val="nil"/>
              <w:right w:val="single" w:sz="8" w:space="0" w:color="auto"/>
            </w:tcBorders>
            <w:shd w:val="clear" w:color="auto" w:fill="auto"/>
            <w:vAlign w:val="center"/>
          </w:tcPr>
          <w:p w14:paraId="37738812"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r w:rsidRPr="00A00873">
              <w:rPr>
                <w:rFonts w:asciiTheme="minorHAnsi" w:hAnsiTheme="minorHAnsi" w:cstheme="minorHAnsi"/>
                <w:b/>
                <w:iCs/>
                <w:sz w:val="18"/>
                <w:szCs w:val="18"/>
              </w:rPr>
              <w:t>0.30**</w:t>
            </w:r>
          </w:p>
        </w:tc>
        <w:tc>
          <w:tcPr>
            <w:tcW w:w="690" w:type="pct"/>
            <w:tcBorders>
              <w:top w:val="nil"/>
              <w:left w:val="single" w:sz="8" w:space="0" w:color="auto"/>
              <w:bottom w:val="nil"/>
              <w:right w:val="single" w:sz="8" w:space="0" w:color="auto"/>
            </w:tcBorders>
            <w:shd w:val="clear" w:color="auto" w:fill="auto"/>
            <w:vAlign w:val="center"/>
          </w:tcPr>
          <w:p w14:paraId="6637E414"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Theme="minorHAnsi" w:hAnsiTheme="minorHAnsi" w:cstheme="minorHAnsi"/>
                <w:iCs/>
                <w:sz w:val="18"/>
                <w:szCs w:val="18"/>
              </w:rPr>
              <w:t>0.08</w:t>
            </w:r>
          </w:p>
        </w:tc>
      </w:tr>
      <w:tr w:rsidR="00A00873" w:rsidRPr="00A00873" w14:paraId="6F0893D0" w14:textId="77777777" w:rsidTr="00C751C6">
        <w:trPr>
          <w:trHeight w:val="290"/>
        </w:trPr>
        <w:tc>
          <w:tcPr>
            <w:cnfStyle w:val="001000000000" w:firstRow="0" w:lastRow="0" w:firstColumn="1" w:lastColumn="0" w:oddVBand="0" w:evenVBand="0" w:oddHBand="0" w:evenHBand="0" w:firstRowFirstColumn="0" w:firstRowLastColumn="0" w:lastRowFirstColumn="0" w:lastRowLastColumn="0"/>
            <w:tcW w:w="861" w:type="pct"/>
            <w:tcBorders>
              <w:top w:val="nil"/>
              <w:left w:val="single" w:sz="8" w:space="0" w:color="auto"/>
              <w:bottom w:val="nil"/>
              <w:right w:val="single" w:sz="8" w:space="0" w:color="auto"/>
            </w:tcBorders>
            <w:shd w:val="clear" w:color="auto" w:fill="auto"/>
            <w:noWrap/>
            <w:hideMark/>
          </w:tcPr>
          <w:p w14:paraId="6FB9A2E0" w14:textId="77777777" w:rsidR="00A00873" w:rsidRPr="00A00873" w:rsidRDefault="00A00873" w:rsidP="00A00873">
            <w:pPr>
              <w:snapToGrid w:val="0"/>
              <w:rPr>
                <w:rFonts w:ascii="Calibri" w:hAnsi="Calibri" w:cs="Calibri"/>
                <w:color w:val="000000"/>
                <w:sz w:val="18"/>
                <w:szCs w:val="18"/>
                <w:lang w:eastAsia="en-AU"/>
              </w:rPr>
            </w:pPr>
            <w:r w:rsidRPr="00A00873">
              <w:rPr>
                <w:rFonts w:ascii="Calibri" w:hAnsi="Calibri" w:cs="Calibri"/>
                <w:color w:val="000000"/>
                <w:sz w:val="18"/>
                <w:szCs w:val="18"/>
                <w:lang w:eastAsia="en-AU"/>
              </w:rPr>
              <w:t>Hospital (days)</w:t>
            </w:r>
          </w:p>
        </w:tc>
        <w:tc>
          <w:tcPr>
            <w:tcW w:w="689" w:type="pct"/>
            <w:tcBorders>
              <w:top w:val="nil"/>
              <w:left w:val="single" w:sz="8" w:space="0" w:color="auto"/>
              <w:bottom w:val="nil"/>
              <w:right w:val="single" w:sz="8" w:space="0" w:color="auto"/>
            </w:tcBorders>
            <w:shd w:val="clear" w:color="auto" w:fill="auto"/>
            <w:noWrap/>
            <w:vAlign w:val="center"/>
            <w:hideMark/>
          </w:tcPr>
          <w:p w14:paraId="3FAA7073"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0 (0,0)</w:t>
            </w:r>
          </w:p>
        </w:tc>
        <w:tc>
          <w:tcPr>
            <w:tcW w:w="690" w:type="pct"/>
            <w:tcBorders>
              <w:top w:val="nil"/>
              <w:left w:val="single" w:sz="8" w:space="0" w:color="auto"/>
              <w:bottom w:val="nil"/>
              <w:right w:val="single" w:sz="8" w:space="0" w:color="auto"/>
            </w:tcBorders>
            <w:shd w:val="clear" w:color="auto" w:fill="auto"/>
            <w:noWrap/>
            <w:vAlign w:val="center"/>
            <w:hideMark/>
          </w:tcPr>
          <w:p w14:paraId="08A8B609"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0.48 (0,21)</w:t>
            </w:r>
          </w:p>
        </w:tc>
        <w:tc>
          <w:tcPr>
            <w:tcW w:w="690" w:type="pct"/>
            <w:tcBorders>
              <w:top w:val="nil"/>
              <w:left w:val="single" w:sz="8" w:space="0" w:color="auto"/>
              <w:bottom w:val="nil"/>
              <w:right w:val="single" w:sz="8" w:space="0" w:color="auto"/>
            </w:tcBorders>
            <w:shd w:val="clear" w:color="auto" w:fill="auto"/>
            <w:noWrap/>
            <w:vAlign w:val="center"/>
            <w:hideMark/>
          </w:tcPr>
          <w:p w14:paraId="4B5C2AF8"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0.41 (0,70)</w:t>
            </w:r>
          </w:p>
        </w:tc>
        <w:tc>
          <w:tcPr>
            <w:tcW w:w="689" w:type="pct"/>
            <w:tcBorders>
              <w:top w:val="nil"/>
              <w:left w:val="single" w:sz="8" w:space="0" w:color="auto"/>
              <w:bottom w:val="nil"/>
              <w:right w:val="single" w:sz="8" w:space="0" w:color="auto"/>
            </w:tcBorders>
            <w:shd w:val="clear" w:color="auto" w:fill="auto"/>
            <w:vAlign w:val="center"/>
          </w:tcPr>
          <w:p w14:paraId="29E952AC"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Theme="minorHAnsi" w:hAnsiTheme="minorHAnsi" w:cstheme="minorHAnsi"/>
                <w:iCs/>
                <w:sz w:val="18"/>
                <w:szCs w:val="18"/>
              </w:rPr>
              <w:t>-0.48</w:t>
            </w:r>
          </w:p>
        </w:tc>
        <w:tc>
          <w:tcPr>
            <w:tcW w:w="690" w:type="pct"/>
            <w:tcBorders>
              <w:top w:val="nil"/>
              <w:left w:val="single" w:sz="8" w:space="0" w:color="auto"/>
              <w:bottom w:val="nil"/>
              <w:right w:val="single" w:sz="8" w:space="0" w:color="auto"/>
            </w:tcBorders>
            <w:shd w:val="clear" w:color="auto" w:fill="auto"/>
            <w:vAlign w:val="center"/>
          </w:tcPr>
          <w:p w14:paraId="77155D82"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Theme="minorHAnsi" w:hAnsiTheme="minorHAnsi" w:cstheme="minorHAnsi"/>
                <w:iCs/>
                <w:sz w:val="18"/>
                <w:szCs w:val="18"/>
              </w:rPr>
              <w:t>0.07</w:t>
            </w:r>
          </w:p>
        </w:tc>
        <w:tc>
          <w:tcPr>
            <w:tcW w:w="690" w:type="pct"/>
            <w:tcBorders>
              <w:top w:val="nil"/>
              <w:left w:val="single" w:sz="8" w:space="0" w:color="auto"/>
              <w:bottom w:val="nil"/>
              <w:right w:val="single" w:sz="8" w:space="0" w:color="auto"/>
            </w:tcBorders>
            <w:shd w:val="clear" w:color="auto" w:fill="auto"/>
            <w:vAlign w:val="center"/>
          </w:tcPr>
          <w:p w14:paraId="09B139F1"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Theme="minorHAnsi" w:hAnsiTheme="minorHAnsi" w:cstheme="minorHAnsi"/>
                <w:iCs/>
                <w:sz w:val="18"/>
                <w:szCs w:val="18"/>
              </w:rPr>
              <w:t>-0.41</w:t>
            </w:r>
          </w:p>
        </w:tc>
      </w:tr>
      <w:tr w:rsidR="00A00873" w:rsidRPr="00A00873" w14:paraId="5DDAA1EF" w14:textId="77777777" w:rsidTr="00C751C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61" w:type="pct"/>
            <w:tcBorders>
              <w:top w:val="nil"/>
              <w:left w:val="single" w:sz="8" w:space="0" w:color="auto"/>
              <w:bottom w:val="nil"/>
              <w:right w:val="single" w:sz="8" w:space="0" w:color="auto"/>
            </w:tcBorders>
            <w:shd w:val="clear" w:color="auto" w:fill="auto"/>
            <w:noWrap/>
            <w:hideMark/>
          </w:tcPr>
          <w:p w14:paraId="371B746B" w14:textId="77777777" w:rsidR="00A00873" w:rsidRPr="00A00873" w:rsidRDefault="00A00873" w:rsidP="00A00873">
            <w:pPr>
              <w:snapToGrid w:val="0"/>
              <w:rPr>
                <w:rFonts w:ascii="Calibri" w:hAnsi="Calibri" w:cs="Calibri"/>
                <w:color w:val="000000"/>
                <w:sz w:val="18"/>
                <w:szCs w:val="18"/>
                <w:lang w:eastAsia="en-AU"/>
              </w:rPr>
            </w:pPr>
            <w:r w:rsidRPr="00A00873">
              <w:rPr>
                <w:rFonts w:ascii="Calibri" w:hAnsi="Calibri" w:cs="Calibri"/>
                <w:color w:val="000000"/>
                <w:sz w:val="18"/>
                <w:szCs w:val="18"/>
                <w:lang w:eastAsia="en-AU"/>
              </w:rPr>
              <w:t>Time off paid work (days)</w:t>
            </w:r>
          </w:p>
        </w:tc>
        <w:tc>
          <w:tcPr>
            <w:tcW w:w="689" w:type="pct"/>
            <w:tcBorders>
              <w:top w:val="nil"/>
              <w:left w:val="single" w:sz="8" w:space="0" w:color="auto"/>
              <w:bottom w:val="nil"/>
              <w:right w:val="single" w:sz="8" w:space="0" w:color="auto"/>
            </w:tcBorders>
            <w:shd w:val="clear" w:color="auto" w:fill="auto"/>
            <w:noWrap/>
            <w:vAlign w:val="center"/>
            <w:hideMark/>
          </w:tcPr>
          <w:p w14:paraId="334E0F67"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15.88 (0,180)</w:t>
            </w:r>
          </w:p>
        </w:tc>
        <w:tc>
          <w:tcPr>
            <w:tcW w:w="690" w:type="pct"/>
            <w:tcBorders>
              <w:top w:val="nil"/>
              <w:left w:val="single" w:sz="8" w:space="0" w:color="auto"/>
              <w:bottom w:val="nil"/>
              <w:right w:val="single" w:sz="8" w:space="0" w:color="auto"/>
            </w:tcBorders>
            <w:shd w:val="clear" w:color="auto" w:fill="auto"/>
            <w:noWrap/>
            <w:vAlign w:val="center"/>
            <w:hideMark/>
          </w:tcPr>
          <w:p w14:paraId="54B1B6C9"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9.74 (0,180)</w:t>
            </w:r>
          </w:p>
        </w:tc>
        <w:tc>
          <w:tcPr>
            <w:tcW w:w="690" w:type="pct"/>
            <w:tcBorders>
              <w:top w:val="nil"/>
              <w:left w:val="single" w:sz="8" w:space="0" w:color="auto"/>
              <w:bottom w:val="nil"/>
              <w:right w:val="single" w:sz="8" w:space="0" w:color="auto"/>
            </w:tcBorders>
            <w:shd w:val="clear" w:color="auto" w:fill="auto"/>
            <w:noWrap/>
            <w:vAlign w:val="center"/>
            <w:hideMark/>
          </w:tcPr>
          <w:p w14:paraId="40BE2B17"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15.63 (0,183)</w:t>
            </w:r>
          </w:p>
        </w:tc>
        <w:tc>
          <w:tcPr>
            <w:tcW w:w="689" w:type="pct"/>
            <w:tcBorders>
              <w:top w:val="nil"/>
              <w:left w:val="single" w:sz="8" w:space="0" w:color="auto"/>
              <w:bottom w:val="nil"/>
              <w:right w:val="single" w:sz="8" w:space="0" w:color="auto"/>
            </w:tcBorders>
            <w:shd w:val="clear" w:color="auto" w:fill="auto"/>
            <w:vAlign w:val="center"/>
          </w:tcPr>
          <w:p w14:paraId="5A87E4AD"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Theme="minorHAnsi" w:hAnsiTheme="minorHAnsi" w:cstheme="minorHAnsi"/>
                <w:iCs/>
                <w:sz w:val="18"/>
                <w:szCs w:val="18"/>
              </w:rPr>
              <w:t>6.14</w:t>
            </w:r>
          </w:p>
        </w:tc>
        <w:tc>
          <w:tcPr>
            <w:tcW w:w="690" w:type="pct"/>
            <w:tcBorders>
              <w:top w:val="nil"/>
              <w:left w:val="single" w:sz="8" w:space="0" w:color="auto"/>
              <w:bottom w:val="nil"/>
              <w:right w:val="single" w:sz="8" w:space="0" w:color="auto"/>
            </w:tcBorders>
            <w:shd w:val="clear" w:color="auto" w:fill="auto"/>
            <w:vAlign w:val="center"/>
          </w:tcPr>
          <w:p w14:paraId="2A5C9A17"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Theme="minorHAnsi" w:hAnsiTheme="minorHAnsi" w:cstheme="minorHAnsi"/>
                <w:iCs/>
                <w:sz w:val="18"/>
                <w:szCs w:val="18"/>
              </w:rPr>
              <w:t>-5.89</w:t>
            </w:r>
          </w:p>
        </w:tc>
        <w:tc>
          <w:tcPr>
            <w:tcW w:w="690" w:type="pct"/>
            <w:tcBorders>
              <w:top w:val="nil"/>
              <w:left w:val="single" w:sz="8" w:space="0" w:color="auto"/>
              <w:bottom w:val="nil"/>
              <w:right w:val="single" w:sz="8" w:space="0" w:color="auto"/>
            </w:tcBorders>
            <w:shd w:val="clear" w:color="auto" w:fill="auto"/>
            <w:vAlign w:val="center"/>
          </w:tcPr>
          <w:p w14:paraId="3D9024A5"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Theme="minorHAnsi" w:hAnsiTheme="minorHAnsi" w:cstheme="minorHAnsi"/>
                <w:iCs/>
                <w:sz w:val="18"/>
                <w:szCs w:val="18"/>
              </w:rPr>
              <w:t>0.24</w:t>
            </w:r>
          </w:p>
        </w:tc>
      </w:tr>
      <w:tr w:rsidR="00A00873" w:rsidRPr="00A00873" w14:paraId="1F9AB3B7" w14:textId="77777777" w:rsidTr="00C751C6">
        <w:trPr>
          <w:trHeight w:val="290"/>
        </w:trPr>
        <w:tc>
          <w:tcPr>
            <w:cnfStyle w:val="001000000000" w:firstRow="0" w:lastRow="0" w:firstColumn="1" w:lastColumn="0" w:oddVBand="0" w:evenVBand="0" w:oddHBand="0" w:evenHBand="0" w:firstRowFirstColumn="0" w:firstRowLastColumn="0" w:lastRowFirstColumn="0" w:lastRowLastColumn="0"/>
            <w:tcW w:w="861" w:type="pct"/>
            <w:tcBorders>
              <w:top w:val="nil"/>
              <w:left w:val="single" w:sz="8" w:space="0" w:color="auto"/>
              <w:bottom w:val="single" w:sz="8" w:space="0" w:color="auto"/>
              <w:right w:val="single" w:sz="8" w:space="0" w:color="auto"/>
            </w:tcBorders>
            <w:shd w:val="clear" w:color="auto" w:fill="auto"/>
            <w:noWrap/>
            <w:hideMark/>
          </w:tcPr>
          <w:p w14:paraId="27833F6B" w14:textId="77777777" w:rsidR="00A00873" w:rsidRPr="00A00873" w:rsidRDefault="00A00873" w:rsidP="00A00873">
            <w:pPr>
              <w:snapToGrid w:val="0"/>
              <w:rPr>
                <w:rFonts w:ascii="Calibri" w:hAnsi="Calibri" w:cs="Calibri"/>
                <w:color w:val="000000"/>
                <w:sz w:val="18"/>
                <w:szCs w:val="18"/>
                <w:lang w:eastAsia="en-AU"/>
              </w:rPr>
            </w:pPr>
            <w:r w:rsidRPr="00A00873">
              <w:rPr>
                <w:rFonts w:ascii="Calibri" w:hAnsi="Calibri" w:cs="Calibri"/>
                <w:color w:val="000000"/>
                <w:sz w:val="18"/>
                <w:szCs w:val="18"/>
                <w:lang w:eastAsia="en-AU"/>
              </w:rPr>
              <w:t>Time off unpaid work (days)</w:t>
            </w:r>
          </w:p>
        </w:tc>
        <w:tc>
          <w:tcPr>
            <w:tcW w:w="689" w:type="pct"/>
            <w:tcBorders>
              <w:top w:val="nil"/>
              <w:left w:val="single" w:sz="8" w:space="0" w:color="auto"/>
              <w:bottom w:val="single" w:sz="8" w:space="0" w:color="auto"/>
              <w:right w:val="single" w:sz="8" w:space="0" w:color="auto"/>
            </w:tcBorders>
            <w:shd w:val="clear" w:color="auto" w:fill="auto"/>
            <w:noWrap/>
            <w:vAlign w:val="center"/>
            <w:hideMark/>
          </w:tcPr>
          <w:p w14:paraId="7124AD6E"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9.84 (0,180)</w:t>
            </w:r>
          </w:p>
        </w:tc>
        <w:tc>
          <w:tcPr>
            <w:tcW w:w="690" w:type="pct"/>
            <w:tcBorders>
              <w:top w:val="nil"/>
              <w:left w:val="single" w:sz="8" w:space="0" w:color="auto"/>
              <w:bottom w:val="single" w:sz="8" w:space="0" w:color="auto"/>
              <w:right w:val="single" w:sz="8" w:space="0" w:color="auto"/>
            </w:tcBorders>
            <w:shd w:val="clear" w:color="auto" w:fill="auto"/>
            <w:noWrap/>
            <w:vAlign w:val="center"/>
            <w:hideMark/>
          </w:tcPr>
          <w:p w14:paraId="271E52B1"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12.95 (0,182)</w:t>
            </w:r>
          </w:p>
        </w:tc>
        <w:tc>
          <w:tcPr>
            <w:tcW w:w="690" w:type="pct"/>
            <w:tcBorders>
              <w:top w:val="nil"/>
              <w:left w:val="single" w:sz="8" w:space="0" w:color="auto"/>
              <w:bottom w:val="single" w:sz="8" w:space="0" w:color="auto"/>
              <w:right w:val="single" w:sz="8" w:space="0" w:color="auto"/>
            </w:tcBorders>
            <w:shd w:val="clear" w:color="auto" w:fill="auto"/>
            <w:noWrap/>
            <w:vAlign w:val="center"/>
            <w:hideMark/>
          </w:tcPr>
          <w:p w14:paraId="51572259"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5.67 (0,183)</w:t>
            </w:r>
          </w:p>
        </w:tc>
        <w:tc>
          <w:tcPr>
            <w:tcW w:w="689" w:type="pct"/>
            <w:tcBorders>
              <w:top w:val="nil"/>
              <w:left w:val="single" w:sz="8" w:space="0" w:color="auto"/>
              <w:bottom w:val="single" w:sz="8" w:space="0" w:color="auto"/>
              <w:right w:val="single" w:sz="8" w:space="0" w:color="auto"/>
            </w:tcBorders>
            <w:shd w:val="clear" w:color="auto" w:fill="auto"/>
            <w:vAlign w:val="center"/>
          </w:tcPr>
          <w:p w14:paraId="16CD8634"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Theme="minorHAnsi" w:hAnsiTheme="minorHAnsi" w:cstheme="minorHAnsi"/>
                <w:iCs/>
                <w:sz w:val="18"/>
                <w:szCs w:val="18"/>
              </w:rPr>
              <w:t>-3.11</w:t>
            </w:r>
          </w:p>
        </w:tc>
        <w:tc>
          <w:tcPr>
            <w:tcW w:w="690" w:type="pct"/>
            <w:tcBorders>
              <w:top w:val="nil"/>
              <w:left w:val="single" w:sz="8" w:space="0" w:color="auto"/>
              <w:bottom w:val="single" w:sz="8" w:space="0" w:color="auto"/>
              <w:right w:val="single" w:sz="8" w:space="0" w:color="auto"/>
            </w:tcBorders>
            <w:shd w:val="clear" w:color="auto" w:fill="auto"/>
            <w:vAlign w:val="center"/>
          </w:tcPr>
          <w:p w14:paraId="65A23282"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A00873">
              <w:rPr>
                <w:rFonts w:asciiTheme="minorHAnsi" w:hAnsiTheme="minorHAnsi" w:cstheme="minorHAnsi"/>
                <w:b/>
                <w:iCs/>
                <w:sz w:val="18"/>
                <w:szCs w:val="18"/>
              </w:rPr>
              <w:t>7.28*</w:t>
            </w:r>
          </w:p>
        </w:tc>
        <w:tc>
          <w:tcPr>
            <w:tcW w:w="690" w:type="pct"/>
            <w:tcBorders>
              <w:top w:val="nil"/>
              <w:left w:val="single" w:sz="8" w:space="0" w:color="auto"/>
              <w:bottom w:val="single" w:sz="8" w:space="0" w:color="auto"/>
              <w:right w:val="single" w:sz="8" w:space="0" w:color="auto"/>
            </w:tcBorders>
            <w:shd w:val="clear" w:color="auto" w:fill="auto"/>
            <w:vAlign w:val="center"/>
          </w:tcPr>
          <w:p w14:paraId="1A789938"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Theme="minorHAnsi" w:hAnsiTheme="minorHAnsi" w:cstheme="minorHAnsi"/>
                <w:iCs/>
                <w:sz w:val="18"/>
                <w:szCs w:val="18"/>
              </w:rPr>
              <w:t>4.17</w:t>
            </w:r>
          </w:p>
        </w:tc>
      </w:tr>
    </w:tbl>
    <w:p w14:paraId="0CED3A11" w14:textId="77777777" w:rsidR="00A00873" w:rsidRPr="00A00873" w:rsidRDefault="00A00873" w:rsidP="00A00873">
      <w:pPr>
        <w:jc w:val="both"/>
        <w:rPr>
          <w:rFonts w:asciiTheme="minorHAnsi" w:hAnsiTheme="minorHAnsi" w:cstheme="minorHAnsi"/>
          <w:iCs/>
          <w:sz w:val="16"/>
          <w:szCs w:val="16"/>
        </w:rPr>
      </w:pPr>
      <w:r w:rsidRPr="00A00873">
        <w:rPr>
          <w:rFonts w:asciiTheme="minorHAnsi" w:hAnsiTheme="minorHAnsi" w:cstheme="minorHAnsi"/>
          <w:iCs/>
          <w:sz w:val="16"/>
          <w:szCs w:val="16"/>
        </w:rPr>
        <w:t xml:space="preserve">MHO = Mental Health Online, MS = </w:t>
      </w:r>
      <w:proofErr w:type="spellStart"/>
      <w:r w:rsidRPr="00A00873">
        <w:rPr>
          <w:rFonts w:asciiTheme="minorHAnsi" w:hAnsiTheme="minorHAnsi" w:cstheme="minorHAnsi"/>
          <w:iCs/>
          <w:sz w:val="16"/>
          <w:szCs w:val="16"/>
        </w:rPr>
        <w:t>MindSpot</w:t>
      </w:r>
      <w:proofErr w:type="spellEnd"/>
      <w:r w:rsidRPr="00A00873">
        <w:rPr>
          <w:rFonts w:asciiTheme="minorHAnsi" w:hAnsiTheme="minorHAnsi" w:cstheme="minorHAnsi"/>
          <w:iCs/>
          <w:sz w:val="16"/>
          <w:szCs w:val="16"/>
        </w:rPr>
        <w:t xml:space="preserve">, TWU = THIS WAY UP, </w:t>
      </w:r>
    </w:p>
    <w:p w14:paraId="43B97E5B" w14:textId="116ED632" w:rsidR="00A00873" w:rsidRPr="00A00873" w:rsidRDefault="2C1D541E" w:rsidP="00C92383">
      <w:pPr>
        <w:spacing w:after="120"/>
        <w:jc w:val="both"/>
        <w:rPr>
          <w:rFonts w:asciiTheme="minorHAnsi" w:eastAsiaTheme="minorEastAsia" w:hAnsiTheme="minorHAnsi" w:cstheme="minorBidi"/>
          <w:lang w:eastAsia="zh-CN"/>
        </w:rPr>
      </w:pPr>
      <w:r w:rsidRPr="4104A11D">
        <w:rPr>
          <w:rFonts w:asciiTheme="minorHAnsi" w:hAnsiTheme="minorHAnsi" w:cstheme="minorBidi"/>
          <w:sz w:val="16"/>
          <w:szCs w:val="16"/>
        </w:rPr>
        <w:t xml:space="preserve">Mean difference between each service were estimated using </w:t>
      </w:r>
      <w:r w:rsidRPr="4104A11D">
        <w:rPr>
          <w:rFonts w:asciiTheme="minorHAnsi" w:hAnsiTheme="minorHAnsi" w:cstheme="minorBidi"/>
          <w:i/>
          <w:iCs/>
          <w:sz w:val="16"/>
          <w:szCs w:val="16"/>
        </w:rPr>
        <w:t>t</w:t>
      </w:r>
      <w:r w:rsidRPr="4104A11D">
        <w:rPr>
          <w:rFonts w:asciiTheme="minorHAnsi" w:hAnsiTheme="minorHAnsi" w:cstheme="minorBidi"/>
          <w:sz w:val="16"/>
          <w:szCs w:val="16"/>
        </w:rPr>
        <w:t>-test, with p value below 0.05 suggesting the difference is statistically significantly different from zero. (*= p&lt;0.05, **= p&lt;0.001)</w:t>
      </w:r>
    </w:p>
    <w:p w14:paraId="7EA378BA" w14:textId="4EE71B59" w:rsidR="00A00873" w:rsidRPr="00A00873" w:rsidRDefault="4104A11D" w:rsidP="4104A11D">
      <w:pPr>
        <w:spacing w:after="120"/>
        <w:rPr>
          <w:rFonts w:ascii="Calibri" w:hAnsi="Calibri" w:cs="Arial"/>
          <w:color w:val="000000" w:themeColor="text1"/>
          <w:sz w:val="21"/>
          <w:szCs w:val="21"/>
          <w:lang w:eastAsia="zh-CN"/>
        </w:rPr>
      </w:pPr>
      <w:r w:rsidRPr="4104A11D">
        <w:rPr>
          <w:rFonts w:ascii="Calibri" w:eastAsia="Calibri" w:hAnsi="Calibri" w:cs="Calibri"/>
          <w:sz w:val="21"/>
          <w:szCs w:val="21"/>
        </w:rPr>
        <w:t xml:space="preserve">Since economic evaluation is </w:t>
      </w:r>
      <w:r w:rsidR="00F37A6F" w:rsidRPr="4104A11D">
        <w:rPr>
          <w:rFonts w:ascii="Calibri" w:eastAsia="Calibri" w:hAnsi="Calibri" w:cs="Calibri"/>
          <w:sz w:val="21"/>
          <w:szCs w:val="21"/>
        </w:rPr>
        <w:t xml:space="preserve">comparative </w:t>
      </w:r>
      <w:r w:rsidRPr="4104A11D">
        <w:rPr>
          <w:rFonts w:ascii="Calibri" w:eastAsia="Calibri" w:hAnsi="Calibri" w:cs="Calibri"/>
          <w:sz w:val="21"/>
          <w:szCs w:val="21"/>
        </w:rPr>
        <w:t>by its nature, it was necessary to estimate the likely care people would receive if these DMHSs were not available. Therefore,</w:t>
      </w:r>
      <w:r w:rsidRPr="4104A11D">
        <w:rPr>
          <w:rFonts w:asciiTheme="minorHAnsi" w:eastAsiaTheme="minorEastAsia" w:hAnsiTheme="minorHAnsi" w:cstheme="minorBidi"/>
          <w:sz w:val="21"/>
          <w:szCs w:val="21"/>
          <w:lang w:eastAsia="zh-CN"/>
        </w:rPr>
        <w:t xml:space="preserve"> </w:t>
      </w:r>
      <w:r w:rsidR="2C1D541E" w:rsidRPr="4104A11D">
        <w:rPr>
          <w:rFonts w:asciiTheme="minorHAnsi" w:eastAsiaTheme="minorEastAsia" w:hAnsiTheme="minorHAnsi" w:cstheme="minorBidi"/>
          <w:sz w:val="21"/>
          <w:szCs w:val="21"/>
          <w:lang w:eastAsia="zh-CN"/>
        </w:rPr>
        <w:t xml:space="preserve">to compare the health care costs and productivity impacts (as well as health outcomes) between the DMHSs and usual care, we constructed indirect comparator groups using data from two recent economic evaluation of RCTs of mental health care based in Australia – the Link-me RCT (Chatterton </w:t>
      </w:r>
      <w:r w:rsidR="6D0C37A3" w:rsidRPr="4104A11D">
        <w:rPr>
          <w:rFonts w:asciiTheme="minorHAnsi" w:eastAsiaTheme="minorEastAsia" w:hAnsiTheme="minorHAnsi" w:cstheme="minorBidi"/>
          <w:sz w:val="21"/>
          <w:szCs w:val="21"/>
          <w:lang w:eastAsia="zh-CN"/>
        </w:rPr>
        <w:t>et al</w:t>
      </w:r>
      <w:r w:rsidR="2C1D541E" w:rsidRPr="4104A11D">
        <w:rPr>
          <w:rFonts w:asciiTheme="minorHAnsi" w:eastAsiaTheme="minorEastAsia" w:hAnsiTheme="minorHAnsi" w:cstheme="minorBidi"/>
          <w:sz w:val="21"/>
          <w:szCs w:val="21"/>
          <w:lang w:eastAsia="zh-CN"/>
        </w:rPr>
        <w:t xml:space="preserve">, 2022) and the Target-D RCT (Lee </w:t>
      </w:r>
      <w:r w:rsidR="6D0C37A3" w:rsidRPr="4104A11D">
        <w:rPr>
          <w:rFonts w:asciiTheme="minorHAnsi" w:eastAsiaTheme="minorEastAsia" w:hAnsiTheme="minorHAnsi" w:cstheme="minorBidi"/>
          <w:sz w:val="21"/>
          <w:szCs w:val="21"/>
          <w:lang w:eastAsia="zh-CN"/>
        </w:rPr>
        <w:t>et al</w:t>
      </w:r>
      <w:r w:rsidR="2C1D541E" w:rsidRPr="4104A11D">
        <w:rPr>
          <w:rFonts w:asciiTheme="minorHAnsi" w:eastAsiaTheme="minorEastAsia" w:hAnsiTheme="minorHAnsi" w:cstheme="minorBidi"/>
          <w:sz w:val="21"/>
          <w:szCs w:val="21"/>
          <w:lang w:eastAsia="zh-CN"/>
        </w:rPr>
        <w:t xml:space="preserve"> 2022). </w:t>
      </w:r>
      <w:r w:rsidRPr="4104A11D">
        <w:rPr>
          <w:rFonts w:ascii="Calibri" w:eastAsia="Calibri" w:hAnsi="Calibri" w:cs="Calibri"/>
          <w:sz w:val="21"/>
          <w:szCs w:val="21"/>
        </w:rPr>
        <w:t>In a previously published economic evaluation of Mindspot</w:t>
      </w:r>
      <w:r w:rsidR="001B1FC0">
        <w:rPr>
          <w:rFonts w:ascii="Calibri" w:eastAsia="Calibri" w:hAnsi="Calibri" w:cs="Calibri"/>
          <w:sz w:val="21"/>
          <w:szCs w:val="21"/>
        </w:rPr>
        <w:t>,</w:t>
      </w:r>
      <w:r w:rsidR="001B1FC0">
        <w:rPr>
          <w:rFonts w:ascii="Calibri" w:eastAsia="Calibri" w:hAnsi="Calibri" w:cs="Calibri"/>
          <w:sz w:val="21"/>
          <w:szCs w:val="21"/>
        </w:rPr>
        <w:fldChar w:fldCharType="begin"/>
      </w:r>
      <w:r w:rsidR="004469A2">
        <w:rPr>
          <w:rFonts w:ascii="Calibri" w:eastAsia="Calibri" w:hAnsi="Calibri" w:cs="Calibri"/>
          <w:sz w:val="21"/>
          <w:szCs w:val="21"/>
        </w:rPr>
        <w:instrText xml:space="preserve"> ADDIN EN.CITE &lt;EndNote&gt;&lt;Cite&gt;&lt;Author&gt;Lee&lt;/Author&gt;&lt;Year&gt;2017&lt;/Year&gt;&lt;RecNum&gt;27&lt;/RecNum&gt;&lt;DisplayText&gt;&lt;style face="superscript"&gt;83&lt;/style&gt;&lt;/DisplayText&gt;&lt;record&gt;&lt;rec-number&gt;27&lt;/rec-number&gt;&lt;foreign-keys&gt;&lt;key app="EN" db-id="dawtr0zrkrzfa5edzzlpe2we0xa00t90vvr2" timestamp="1623067866"&gt;27&lt;/key&gt;&lt;/foreign-keys&gt;&lt;ref-type name="Journal Article"&gt;17&lt;/ref-type&gt;&lt;contributors&gt;&lt;authors&gt;&lt;author&gt;Lee, Yu-Chen&lt;/author&gt;&lt;author&gt;Gao, Lan&lt;/author&gt;&lt;author&gt;Dear, Blake F&lt;/author&gt;&lt;author&gt;Titov, Nickolai&lt;/author&gt;&lt;author&gt;Mihalopoulos, Cathrine&lt;/author&gt;&lt;/authors&gt;&lt;/contributors&gt;&lt;titles&gt;&lt;title&gt;The cost-effectiveness of the online MindSpot Clinic for the treatment of depression and anxiety in Australia&lt;/title&gt;&lt;secondary-title&gt;J Ment Health Policy Econ&lt;/secondary-title&gt;&lt;/titles&gt;&lt;periodical&gt;&lt;full-title&gt;J Ment Health Policy Econ&lt;/full-title&gt;&lt;/periodical&gt;&lt;pages&gt;155-166&lt;/pages&gt;&lt;volume&gt;20&lt;/volume&gt;&lt;number&gt;4&lt;/number&gt;&lt;dates&gt;&lt;year&gt;2017&lt;/year&gt;&lt;/dates&gt;&lt;urls&gt;&lt;/urls&gt;&lt;/record&gt;&lt;/Cite&gt;&lt;/EndNote&gt;</w:instrText>
      </w:r>
      <w:r w:rsidR="001B1FC0">
        <w:rPr>
          <w:rFonts w:ascii="Calibri" w:eastAsia="Calibri" w:hAnsi="Calibri" w:cs="Calibri"/>
          <w:sz w:val="21"/>
          <w:szCs w:val="21"/>
        </w:rPr>
        <w:fldChar w:fldCharType="separate"/>
      </w:r>
      <w:r w:rsidR="004469A2" w:rsidRPr="004469A2">
        <w:rPr>
          <w:rFonts w:ascii="Calibri" w:eastAsia="Calibri" w:hAnsi="Calibri" w:cs="Calibri"/>
          <w:noProof/>
          <w:sz w:val="21"/>
          <w:szCs w:val="21"/>
          <w:vertAlign w:val="superscript"/>
        </w:rPr>
        <w:t>83</w:t>
      </w:r>
      <w:r w:rsidR="001B1FC0">
        <w:rPr>
          <w:rFonts w:ascii="Calibri" w:eastAsia="Calibri" w:hAnsi="Calibri" w:cs="Calibri"/>
          <w:sz w:val="21"/>
          <w:szCs w:val="21"/>
        </w:rPr>
        <w:fldChar w:fldCharType="end"/>
      </w:r>
      <w:r w:rsidRPr="4104A11D">
        <w:rPr>
          <w:rFonts w:ascii="Calibri" w:eastAsia="Calibri" w:hAnsi="Calibri" w:cs="Calibri"/>
          <w:sz w:val="21"/>
          <w:szCs w:val="21"/>
        </w:rPr>
        <w:t xml:space="preserve"> data from the National Survey of Mental Health and Wellbeing was used, but given the age of this survey</w:t>
      </w:r>
      <w:r w:rsidR="00F6258D">
        <w:rPr>
          <w:rFonts w:ascii="Calibri" w:eastAsia="Calibri" w:hAnsi="Calibri" w:cs="Calibri"/>
          <w:sz w:val="21"/>
          <w:szCs w:val="21"/>
        </w:rPr>
        <w:t>,</w:t>
      </w:r>
      <w:r w:rsidRPr="4104A11D">
        <w:rPr>
          <w:rFonts w:ascii="Calibri" w:eastAsia="Calibri" w:hAnsi="Calibri" w:cs="Calibri"/>
          <w:sz w:val="21"/>
          <w:szCs w:val="21"/>
        </w:rPr>
        <w:t xml:space="preserve"> we opted to use more recent evidence. </w:t>
      </w:r>
      <w:r w:rsidR="00F6258D">
        <w:rPr>
          <w:rFonts w:ascii="Calibri" w:eastAsia="Calibri" w:hAnsi="Calibri" w:cs="Calibri"/>
          <w:sz w:val="21"/>
          <w:szCs w:val="21"/>
        </w:rPr>
        <w:t>Although</w:t>
      </w:r>
      <w:r w:rsidRPr="4104A11D">
        <w:rPr>
          <w:rFonts w:ascii="Calibri" w:eastAsia="Calibri" w:hAnsi="Calibri" w:cs="Calibri"/>
          <w:sz w:val="21"/>
          <w:szCs w:val="21"/>
        </w:rPr>
        <w:t xml:space="preserve"> the population in these two RCTs may not be exactly representative of the users of DMHS</w:t>
      </w:r>
      <w:r w:rsidR="00F6258D">
        <w:rPr>
          <w:rFonts w:ascii="Calibri" w:eastAsia="Calibri" w:hAnsi="Calibri" w:cs="Calibri"/>
          <w:sz w:val="21"/>
          <w:szCs w:val="21"/>
        </w:rPr>
        <w:t>s</w:t>
      </w:r>
      <w:r w:rsidRPr="4104A11D">
        <w:rPr>
          <w:rFonts w:ascii="Calibri" w:eastAsia="Calibri" w:hAnsi="Calibri" w:cs="Calibri"/>
          <w:sz w:val="21"/>
          <w:szCs w:val="21"/>
        </w:rPr>
        <w:t>, the demographic</w:t>
      </w:r>
      <w:r w:rsidR="00754E57">
        <w:rPr>
          <w:rFonts w:ascii="Calibri" w:eastAsia="Calibri" w:hAnsi="Calibri" w:cs="Calibri"/>
          <w:sz w:val="21"/>
          <w:szCs w:val="21"/>
        </w:rPr>
        <w:t xml:space="preserve"> characteristics</w:t>
      </w:r>
      <w:r w:rsidRPr="4104A11D">
        <w:rPr>
          <w:rFonts w:ascii="Calibri" w:eastAsia="Calibri" w:hAnsi="Calibri" w:cs="Calibri"/>
          <w:sz w:val="21"/>
          <w:szCs w:val="21"/>
        </w:rPr>
        <w:t xml:space="preserve"> of the RCT</w:t>
      </w:r>
      <w:r w:rsidR="009F1360">
        <w:rPr>
          <w:rFonts w:ascii="Calibri" w:eastAsia="Calibri" w:hAnsi="Calibri" w:cs="Calibri"/>
          <w:sz w:val="21"/>
          <w:szCs w:val="21"/>
        </w:rPr>
        <w:t xml:space="preserve">s samples </w:t>
      </w:r>
      <w:r w:rsidRPr="4104A11D">
        <w:rPr>
          <w:rFonts w:ascii="Calibri" w:eastAsia="Calibri" w:hAnsi="Calibri" w:cs="Calibri"/>
          <w:sz w:val="21"/>
          <w:szCs w:val="21"/>
        </w:rPr>
        <w:t xml:space="preserve">are not too dissimilar </w:t>
      </w:r>
      <w:r w:rsidR="002F6F68">
        <w:rPr>
          <w:rFonts w:ascii="Calibri" w:eastAsia="Calibri" w:hAnsi="Calibri" w:cs="Calibri"/>
          <w:sz w:val="21"/>
          <w:szCs w:val="21"/>
        </w:rPr>
        <w:t>from</w:t>
      </w:r>
      <w:r w:rsidRPr="4104A11D">
        <w:rPr>
          <w:rFonts w:ascii="Calibri" w:eastAsia="Calibri" w:hAnsi="Calibri" w:cs="Calibri"/>
          <w:sz w:val="21"/>
          <w:szCs w:val="21"/>
        </w:rPr>
        <w:t xml:space="preserve"> the demographic characteristics of the consumers using DMHS</w:t>
      </w:r>
      <w:r w:rsidR="00E10449">
        <w:rPr>
          <w:rFonts w:ascii="Calibri" w:eastAsia="Calibri" w:hAnsi="Calibri" w:cs="Calibri"/>
          <w:sz w:val="21"/>
          <w:szCs w:val="21"/>
        </w:rPr>
        <w:t>s</w:t>
      </w:r>
      <w:r w:rsidRPr="4104A11D">
        <w:rPr>
          <w:rFonts w:ascii="Calibri" w:eastAsia="Calibri" w:hAnsi="Calibri" w:cs="Calibri"/>
          <w:sz w:val="21"/>
          <w:szCs w:val="21"/>
        </w:rPr>
        <w:t>. We present the results from the two severity groups from each RCT. Given that consumers with varying levels of severity may use DMHS</w:t>
      </w:r>
      <w:r w:rsidR="007A4B9F">
        <w:rPr>
          <w:rFonts w:ascii="Calibri" w:eastAsia="Calibri" w:hAnsi="Calibri" w:cs="Calibri"/>
          <w:sz w:val="21"/>
          <w:szCs w:val="21"/>
        </w:rPr>
        <w:t>s</w:t>
      </w:r>
      <w:r w:rsidRPr="4104A11D">
        <w:rPr>
          <w:rFonts w:ascii="Calibri" w:eastAsia="Calibri" w:hAnsi="Calibri" w:cs="Calibri"/>
          <w:sz w:val="21"/>
          <w:szCs w:val="21"/>
        </w:rPr>
        <w:t>, we use</w:t>
      </w:r>
      <w:r w:rsidR="007A4B9F">
        <w:rPr>
          <w:rFonts w:ascii="Calibri" w:eastAsia="Calibri" w:hAnsi="Calibri" w:cs="Calibri"/>
          <w:sz w:val="21"/>
          <w:szCs w:val="21"/>
        </w:rPr>
        <w:t>d</w:t>
      </w:r>
      <w:r w:rsidRPr="4104A11D">
        <w:rPr>
          <w:rFonts w:ascii="Calibri" w:eastAsia="Calibri" w:hAnsi="Calibri" w:cs="Calibri"/>
          <w:sz w:val="21"/>
          <w:szCs w:val="21"/>
        </w:rPr>
        <w:t xml:space="preserve"> these groups as differential </w:t>
      </w:r>
      <w:r w:rsidRPr="00F66BD0">
        <w:rPr>
          <w:rFonts w:ascii="Calibri" w:eastAsia="Calibri" w:hAnsi="Calibri" w:cs="Calibri"/>
          <w:sz w:val="21"/>
          <w:szCs w:val="21"/>
        </w:rPr>
        <w:t xml:space="preserve">comparators. </w:t>
      </w:r>
      <w:r w:rsidR="2C1D541E" w:rsidRPr="00F66BD0">
        <w:rPr>
          <w:rFonts w:asciiTheme="minorHAnsi" w:eastAsiaTheme="minorEastAsia" w:hAnsiTheme="minorHAnsi" w:cstheme="minorBidi"/>
          <w:sz w:val="21"/>
          <w:szCs w:val="21"/>
          <w:lang w:eastAsia="zh-CN"/>
        </w:rPr>
        <w:t xml:space="preserve">More details of these RCTs and the relevant data used for our analysis are presented in sub-sections </w:t>
      </w:r>
      <w:r w:rsidR="00C754B0">
        <w:rPr>
          <w:rFonts w:asciiTheme="minorHAnsi" w:eastAsiaTheme="minorEastAsia" w:hAnsiTheme="minorHAnsi" w:cstheme="minorBidi"/>
          <w:sz w:val="21"/>
          <w:szCs w:val="21"/>
          <w:lang w:eastAsia="zh-CN"/>
        </w:rPr>
        <w:t>L1</w:t>
      </w:r>
      <w:r w:rsidR="2C1D541E" w:rsidRPr="00F66BD0">
        <w:rPr>
          <w:rFonts w:asciiTheme="minorHAnsi" w:eastAsiaTheme="minorEastAsia" w:hAnsiTheme="minorHAnsi" w:cstheme="minorBidi"/>
          <w:sz w:val="21"/>
          <w:szCs w:val="21"/>
          <w:lang w:eastAsia="zh-CN"/>
        </w:rPr>
        <w:t xml:space="preserve"> and </w:t>
      </w:r>
      <w:r w:rsidR="00C754B0">
        <w:rPr>
          <w:rFonts w:asciiTheme="minorHAnsi" w:eastAsiaTheme="minorEastAsia" w:hAnsiTheme="minorHAnsi" w:cstheme="minorBidi"/>
          <w:sz w:val="21"/>
          <w:szCs w:val="21"/>
          <w:lang w:eastAsia="zh-CN"/>
        </w:rPr>
        <w:t>L2</w:t>
      </w:r>
      <w:r w:rsidR="2C1D541E" w:rsidRPr="00F66BD0">
        <w:rPr>
          <w:rFonts w:asciiTheme="minorHAnsi" w:eastAsiaTheme="minorEastAsia" w:hAnsiTheme="minorHAnsi" w:cstheme="minorBidi"/>
          <w:sz w:val="21"/>
          <w:szCs w:val="21"/>
          <w:lang w:eastAsia="zh-CN"/>
        </w:rPr>
        <w:t xml:space="preserve"> in Appendix L.</w:t>
      </w:r>
    </w:p>
    <w:p w14:paraId="03F436D1" w14:textId="6B48B83A" w:rsidR="00A00873" w:rsidRPr="00A00873" w:rsidRDefault="2C1D541E" w:rsidP="4104A11D">
      <w:pPr>
        <w:spacing w:after="120"/>
        <w:rPr>
          <w:rFonts w:ascii="Calibri" w:hAnsi="Calibri" w:cs="Arial"/>
          <w:color w:val="000000" w:themeColor="text1"/>
          <w:sz w:val="21"/>
          <w:szCs w:val="21"/>
          <w:lang w:eastAsia="zh-CN"/>
        </w:rPr>
      </w:pPr>
      <w:r w:rsidRPr="4104A11D">
        <w:rPr>
          <w:rFonts w:ascii="Calibri" w:hAnsi="Calibri" w:cs="Arial"/>
          <w:color w:val="000000" w:themeColor="text1"/>
          <w:sz w:val="21"/>
          <w:szCs w:val="21"/>
          <w:lang w:eastAsia="zh-CN"/>
        </w:rPr>
        <w:t xml:space="preserve">Table </w:t>
      </w:r>
      <w:r w:rsidR="00D90294">
        <w:rPr>
          <w:rFonts w:ascii="Calibri" w:hAnsi="Calibri" w:cs="Arial"/>
          <w:color w:val="000000" w:themeColor="text1"/>
          <w:sz w:val="21"/>
          <w:szCs w:val="21"/>
          <w:lang w:eastAsia="zh-CN"/>
        </w:rPr>
        <w:t>58</w:t>
      </w:r>
      <w:r w:rsidRPr="4104A11D">
        <w:rPr>
          <w:rFonts w:ascii="Calibri" w:hAnsi="Calibri" w:cs="Arial"/>
          <w:color w:val="000000" w:themeColor="text1"/>
          <w:sz w:val="21"/>
          <w:szCs w:val="21"/>
          <w:lang w:eastAsia="zh-CN"/>
        </w:rPr>
        <w:t xml:space="preserve"> presents the mean health care cost (comprising any visit to GP, psychiatrist, psychologists, allied health professionals, ambulance, emergency department and hospital stays) and productivity losses (comprising time off paid work and unpaid work) between the three DMHSs and indirect comparator groups. The number of self-reported visits to health services and days off work were converted to dollar value using MBS item reports and national averages where applicable (details in the footnote of Table </w:t>
      </w:r>
      <w:r w:rsidRPr="55EF0B07">
        <w:rPr>
          <w:rFonts w:ascii="Calibri" w:hAnsi="Calibri" w:cs="Arial"/>
          <w:color w:val="000000" w:themeColor="text1"/>
          <w:sz w:val="21"/>
          <w:szCs w:val="21"/>
          <w:lang w:eastAsia="zh-CN"/>
        </w:rPr>
        <w:t>58</w:t>
      </w:r>
      <w:r w:rsidRPr="4104A11D">
        <w:rPr>
          <w:rFonts w:ascii="Calibri" w:hAnsi="Calibri" w:cs="Arial"/>
          <w:color w:val="000000" w:themeColor="text1"/>
          <w:sz w:val="21"/>
          <w:szCs w:val="21"/>
          <w:lang w:eastAsia="zh-CN"/>
        </w:rPr>
        <w:t xml:space="preserve">) and adjusted to a 12-month period to facilitate comparison with the indirect comparator groups. The mean health care costs for all participants from the three DMHSs were lower than costs for all control group, and higher than the minimal/mild group, of the Link-me RCT. A similar trend is observed when the Target-D RCT control group (all participants) is used as the indirect comparator, except for </w:t>
      </w:r>
      <w:proofErr w:type="spellStart"/>
      <w:r w:rsidRPr="4104A11D">
        <w:rPr>
          <w:rFonts w:ascii="Calibri" w:hAnsi="Calibri" w:cs="Arial"/>
          <w:color w:val="000000" w:themeColor="text1"/>
          <w:sz w:val="21"/>
          <w:szCs w:val="21"/>
          <w:lang w:eastAsia="zh-CN"/>
        </w:rPr>
        <w:t>MindSpot</w:t>
      </w:r>
      <w:proofErr w:type="spellEnd"/>
      <w:r w:rsidRPr="4104A11D">
        <w:rPr>
          <w:rFonts w:ascii="Calibri" w:hAnsi="Calibri" w:cs="Arial"/>
          <w:color w:val="000000" w:themeColor="text1"/>
          <w:sz w:val="21"/>
          <w:szCs w:val="21"/>
          <w:lang w:eastAsia="zh-CN"/>
        </w:rPr>
        <w:t>, which recorded slightly higher mean health care costs. Of the three DMHSs, only Mental Health Online reported lower mean health care costs than the minimal/mild group of Target-D. However, when productivity costs in the form of time off from paid and unpaid work were included, all three DMHSs recorded lower mean cost</w:t>
      </w:r>
      <w:r w:rsidR="00AC6AFB">
        <w:rPr>
          <w:rFonts w:ascii="Calibri" w:hAnsi="Calibri" w:cs="Arial"/>
          <w:color w:val="000000" w:themeColor="text1"/>
          <w:sz w:val="21"/>
          <w:szCs w:val="21"/>
          <w:lang w:eastAsia="zh-CN"/>
        </w:rPr>
        <w:t>s</w:t>
      </w:r>
      <w:r w:rsidRPr="4104A11D">
        <w:rPr>
          <w:rFonts w:ascii="Calibri" w:hAnsi="Calibri" w:cs="Arial"/>
          <w:color w:val="000000" w:themeColor="text1"/>
          <w:sz w:val="21"/>
          <w:szCs w:val="21"/>
          <w:lang w:eastAsia="zh-CN"/>
        </w:rPr>
        <w:t xml:space="preserve"> than the control groups of Link-me and Target-D, including the minimal/mild prognostic groups. For example, the highest mean health care and productivity costs among the three DMHSs ($2,614.47) was approximately half of the lowest mean health care and productivity costs among the indirect comparator groups ($4,901.91).</w:t>
      </w:r>
    </w:p>
    <w:p w14:paraId="59571C41" w14:textId="77777777" w:rsidR="00C92383" w:rsidRDefault="00C92383" w:rsidP="00A00873">
      <w:pPr>
        <w:keepLines/>
        <w:spacing w:after="120"/>
        <w:outlineLvl w:val="2"/>
        <w:rPr>
          <w:rFonts w:asciiTheme="minorHAnsi" w:eastAsiaTheme="majorEastAsia" w:hAnsiTheme="minorHAnsi" w:cstheme="majorBidi"/>
          <w:b/>
          <w:color w:val="000000" w:themeColor="text1"/>
          <w:sz w:val="21"/>
          <w:szCs w:val="21"/>
          <w:lang w:val="en-US" w:eastAsia="en-US"/>
        </w:rPr>
      </w:pPr>
      <w:r>
        <w:rPr>
          <w:rFonts w:asciiTheme="minorHAnsi" w:eastAsiaTheme="majorEastAsia" w:hAnsiTheme="minorHAnsi" w:cstheme="majorBidi"/>
          <w:b/>
          <w:color w:val="000000" w:themeColor="text1"/>
          <w:sz w:val="21"/>
          <w:szCs w:val="21"/>
          <w:lang w:val="en-US" w:eastAsia="en-US"/>
        </w:rPr>
        <w:br w:type="page"/>
      </w:r>
    </w:p>
    <w:p w14:paraId="4AE796F7" w14:textId="2C2617CC" w:rsidR="00A00873" w:rsidRPr="00A00873" w:rsidRDefault="00A00873" w:rsidP="00A00873">
      <w:pPr>
        <w:keepLines/>
        <w:spacing w:after="120"/>
        <w:outlineLvl w:val="2"/>
        <w:rPr>
          <w:rFonts w:asciiTheme="minorHAnsi" w:eastAsiaTheme="majorEastAsia" w:hAnsiTheme="minorHAnsi" w:cstheme="majorBidi"/>
          <w:b/>
          <w:i/>
          <w:color w:val="000000" w:themeColor="text1"/>
          <w:sz w:val="21"/>
          <w:szCs w:val="21"/>
          <w:lang w:val="en-US" w:eastAsia="en-US"/>
        </w:rPr>
      </w:pPr>
      <w:r w:rsidRPr="00A00873">
        <w:rPr>
          <w:rFonts w:asciiTheme="minorHAnsi" w:eastAsiaTheme="majorEastAsia" w:hAnsiTheme="minorHAnsi" w:cstheme="majorBidi"/>
          <w:b/>
          <w:color w:val="000000" w:themeColor="text1"/>
          <w:sz w:val="21"/>
          <w:szCs w:val="21"/>
          <w:lang w:val="en-US" w:eastAsia="en-US"/>
        </w:rPr>
        <w:lastRenderedPageBreak/>
        <w:t xml:space="preserve">Table </w:t>
      </w:r>
      <w:r w:rsidR="00D90294" w:rsidRPr="00D90294">
        <w:rPr>
          <w:rFonts w:asciiTheme="minorHAnsi" w:eastAsiaTheme="majorEastAsia" w:hAnsiTheme="minorHAnsi" w:cstheme="majorBidi"/>
          <w:b/>
          <w:color w:val="000000" w:themeColor="text1"/>
          <w:sz w:val="21"/>
          <w:szCs w:val="21"/>
          <w:lang w:val="en-US" w:eastAsia="en-US"/>
        </w:rPr>
        <w:t>58</w:t>
      </w:r>
      <w:r w:rsidRPr="00D90294">
        <w:rPr>
          <w:rFonts w:asciiTheme="minorHAnsi" w:eastAsiaTheme="majorEastAsia" w:hAnsiTheme="minorHAnsi" w:cstheme="majorBidi"/>
          <w:b/>
          <w:color w:val="000000" w:themeColor="text1"/>
          <w:sz w:val="21"/>
          <w:szCs w:val="21"/>
          <w:lang w:val="en-US" w:eastAsia="en-US"/>
        </w:rPr>
        <w:t>.</w:t>
      </w:r>
      <w:r w:rsidRPr="00A00873">
        <w:rPr>
          <w:rFonts w:asciiTheme="minorHAnsi" w:eastAsiaTheme="majorEastAsia" w:hAnsiTheme="minorHAnsi" w:cstheme="majorBidi"/>
          <w:b/>
          <w:color w:val="000000" w:themeColor="text1"/>
          <w:sz w:val="21"/>
          <w:szCs w:val="21"/>
          <w:lang w:val="en-US" w:eastAsia="en-US"/>
        </w:rPr>
        <w:t xml:space="preserve"> Mean health care costs and productivity losses between DMHSs and indirect comparator groups over a 12-month period</w:t>
      </w:r>
    </w:p>
    <w:tbl>
      <w:tblPr>
        <w:tblStyle w:val="PlainTable411"/>
        <w:tblW w:w="8921" w:type="dxa"/>
        <w:jc w:val="center"/>
        <w:tblInd w:w="0" w:type="dxa"/>
        <w:tblBorders>
          <w:top w:val="single" w:sz="8" w:space="0" w:color="auto"/>
          <w:left w:val="single" w:sz="8" w:space="0" w:color="auto"/>
          <w:bottom w:val="single" w:sz="8" w:space="0" w:color="auto"/>
          <w:right w:val="single" w:sz="8" w:space="0" w:color="auto"/>
          <w:insideV w:val="single" w:sz="8" w:space="0" w:color="auto"/>
        </w:tblBorders>
        <w:tblLayout w:type="fixed"/>
        <w:tblLook w:val="04A0" w:firstRow="1" w:lastRow="0" w:firstColumn="1" w:lastColumn="0" w:noHBand="0" w:noVBand="1"/>
        <w:tblCaption w:val="Table 58. Mean health care costs and productivity losses between DMHSs and indirect comparator groups over a 12-month period"/>
        <w:tblDescription w:val="A table comparing the mean health care costs and productivity losses between the digital mental health services and indirect comparator groups over a 12-month-period. The costs are presented separately for those including productivity losses and excluding productivity losses."/>
      </w:tblPr>
      <w:tblGrid>
        <w:gridCol w:w="4526"/>
        <w:gridCol w:w="2197"/>
        <w:gridCol w:w="2198"/>
      </w:tblGrid>
      <w:tr w:rsidR="00A00873" w:rsidRPr="00A00873" w14:paraId="00B33CA0" w14:textId="77777777" w:rsidTr="00BE26FB">
        <w:trPr>
          <w:cnfStyle w:val="100000000000" w:firstRow="1" w:lastRow="0" w:firstColumn="0" w:lastColumn="0" w:oddVBand="0" w:evenVBand="0" w:oddHBand="0" w:evenHBand="0" w:firstRowFirstColumn="0" w:firstRowLastColumn="0" w:lastRowFirstColumn="0" w:lastRowLastColumn="0"/>
          <w:trHeight w:val="969"/>
          <w:tblHeader/>
          <w:jc w:val="center"/>
        </w:trPr>
        <w:tc>
          <w:tcPr>
            <w:cnfStyle w:val="001000000000" w:firstRow="0" w:lastRow="0" w:firstColumn="1" w:lastColumn="0" w:oddVBand="0" w:evenVBand="0" w:oddHBand="0" w:evenHBand="0" w:firstRowFirstColumn="0" w:firstRowLastColumn="0" w:lastRowFirstColumn="0" w:lastRowLastColumn="0"/>
            <w:tcW w:w="4526" w:type="dxa"/>
            <w:tcBorders>
              <w:top w:val="single" w:sz="8" w:space="0" w:color="auto"/>
              <w:left w:val="single" w:sz="8" w:space="0" w:color="auto"/>
              <w:bottom w:val="nil"/>
              <w:right w:val="single" w:sz="8" w:space="0" w:color="auto"/>
            </w:tcBorders>
            <w:shd w:val="clear" w:color="auto" w:fill="000000" w:themeFill="text1"/>
            <w:noWrap/>
            <w:vAlign w:val="center"/>
            <w:hideMark/>
          </w:tcPr>
          <w:p w14:paraId="31974D8F" w14:textId="77777777" w:rsidR="00A00873" w:rsidRPr="00A00873" w:rsidRDefault="00A00873" w:rsidP="0084058B">
            <w:pPr>
              <w:snapToGrid w:val="0"/>
              <w:jc w:val="center"/>
              <w:rPr>
                <w:rFonts w:ascii="Calibri" w:hAnsi="Calibri" w:cs="Calibri"/>
                <w:color w:val="FFFFFF" w:themeColor="background1"/>
                <w:sz w:val="18"/>
                <w:szCs w:val="18"/>
                <w:lang w:eastAsia="en-AU"/>
              </w:rPr>
            </w:pPr>
            <w:r w:rsidRPr="00A00873">
              <w:rPr>
                <w:rFonts w:ascii="Calibri" w:hAnsi="Calibri" w:cs="Calibri"/>
                <w:color w:val="FFFFFF" w:themeColor="background1"/>
                <w:sz w:val="18"/>
                <w:szCs w:val="18"/>
                <w:lang w:eastAsia="en-AU"/>
              </w:rPr>
              <w:t>Service</w:t>
            </w:r>
          </w:p>
        </w:tc>
        <w:tc>
          <w:tcPr>
            <w:tcW w:w="2197" w:type="dxa"/>
            <w:tcBorders>
              <w:top w:val="single" w:sz="8" w:space="0" w:color="auto"/>
              <w:left w:val="single" w:sz="8" w:space="0" w:color="auto"/>
              <w:right w:val="single" w:sz="8" w:space="0" w:color="auto"/>
            </w:tcBorders>
            <w:shd w:val="clear" w:color="auto" w:fill="000000" w:themeFill="text1"/>
            <w:vAlign w:val="center"/>
          </w:tcPr>
          <w:p w14:paraId="148739E6" w14:textId="77777777" w:rsidR="00A00873" w:rsidRPr="00A00873" w:rsidRDefault="00A00873" w:rsidP="00A00873">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A00873">
              <w:rPr>
                <w:rFonts w:ascii="Calibri" w:hAnsi="Calibri" w:cs="Calibri"/>
                <w:color w:val="FFFFFF" w:themeColor="background1"/>
                <w:sz w:val="18"/>
                <w:szCs w:val="18"/>
                <w:lang w:eastAsia="en-AU"/>
              </w:rPr>
              <w:t>Mean cost</w:t>
            </w:r>
          </w:p>
          <w:p w14:paraId="22C4E2F4" w14:textId="77777777" w:rsidR="00A00873" w:rsidRPr="00A00873" w:rsidRDefault="00A00873" w:rsidP="00A00873">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A00873">
              <w:rPr>
                <w:rFonts w:ascii="Calibri" w:hAnsi="Calibri" w:cs="Calibri"/>
                <w:color w:val="FFFFFF" w:themeColor="background1"/>
                <w:sz w:val="18"/>
                <w:szCs w:val="18"/>
                <w:lang w:eastAsia="en-AU"/>
              </w:rPr>
              <w:t>(</w:t>
            </w:r>
            <w:proofErr w:type="gramStart"/>
            <w:r w:rsidRPr="00A00873">
              <w:rPr>
                <w:rFonts w:ascii="Calibri" w:hAnsi="Calibri" w:cs="Calibri"/>
                <w:color w:val="FFFFFF" w:themeColor="background1"/>
                <w:sz w:val="18"/>
                <w:szCs w:val="18"/>
                <w:lang w:eastAsia="en-AU"/>
              </w:rPr>
              <w:t>health</w:t>
            </w:r>
            <w:proofErr w:type="gramEnd"/>
            <w:r w:rsidRPr="00A00873">
              <w:rPr>
                <w:rFonts w:ascii="Calibri" w:hAnsi="Calibri" w:cs="Calibri"/>
                <w:color w:val="FFFFFF" w:themeColor="background1"/>
                <w:sz w:val="18"/>
                <w:szCs w:val="18"/>
                <w:lang w:eastAsia="en-AU"/>
              </w:rPr>
              <w:t xml:space="preserve"> care)</w:t>
            </w:r>
          </w:p>
        </w:tc>
        <w:tc>
          <w:tcPr>
            <w:tcW w:w="2198" w:type="dxa"/>
            <w:tcBorders>
              <w:top w:val="single" w:sz="8" w:space="0" w:color="auto"/>
              <w:left w:val="single" w:sz="8" w:space="0" w:color="auto"/>
              <w:bottom w:val="nil"/>
              <w:right w:val="single" w:sz="8" w:space="0" w:color="auto"/>
            </w:tcBorders>
            <w:shd w:val="clear" w:color="auto" w:fill="000000" w:themeFill="text1"/>
            <w:vAlign w:val="center"/>
            <w:hideMark/>
          </w:tcPr>
          <w:p w14:paraId="76437F88" w14:textId="77777777" w:rsidR="00A00873" w:rsidRPr="00A00873" w:rsidRDefault="00A00873" w:rsidP="00A00873">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A00873">
              <w:rPr>
                <w:rFonts w:ascii="Calibri" w:hAnsi="Calibri" w:cs="Calibri"/>
                <w:color w:val="FFFFFF" w:themeColor="background1"/>
                <w:sz w:val="18"/>
                <w:szCs w:val="18"/>
                <w:lang w:eastAsia="en-AU"/>
              </w:rPr>
              <w:t>Mean cost</w:t>
            </w:r>
          </w:p>
          <w:p w14:paraId="16807CE5" w14:textId="77777777" w:rsidR="00A00873" w:rsidRPr="00A00873" w:rsidRDefault="00A00873" w:rsidP="00A00873">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A00873">
              <w:rPr>
                <w:rFonts w:ascii="Calibri" w:hAnsi="Calibri" w:cs="Calibri"/>
                <w:color w:val="FFFFFF" w:themeColor="background1"/>
                <w:sz w:val="18"/>
                <w:szCs w:val="18"/>
                <w:lang w:eastAsia="en-AU"/>
              </w:rPr>
              <w:t>(</w:t>
            </w:r>
            <w:proofErr w:type="gramStart"/>
            <w:r w:rsidRPr="00A00873">
              <w:rPr>
                <w:rFonts w:ascii="Calibri" w:hAnsi="Calibri" w:cs="Calibri"/>
                <w:color w:val="FFFFFF" w:themeColor="background1"/>
                <w:sz w:val="18"/>
                <w:szCs w:val="18"/>
                <w:lang w:eastAsia="en-AU"/>
              </w:rPr>
              <w:t>health</w:t>
            </w:r>
            <w:proofErr w:type="gramEnd"/>
            <w:r w:rsidRPr="00A00873">
              <w:rPr>
                <w:rFonts w:ascii="Calibri" w:hAnsi="Calibri" w:cs="Calibri"/>
                <w:color w:val="FFFFFF" w:themeColor="background1"/>
                <w:sz w:val="18"/>
                <w:szCs w:val="18"/>
                <w:lang w:eastAsia="en-AU"/>
              </w:rPr>
              <w:t xml:space="preserve"> care &amp;</w:t>
            </w:r>
          </w:p>
          <w:p w14:paraId="5A4413AA" w14:textId="77777777" w:rsidR="00A00873" w:rsidRPr="00A00873" w:rsidRDefault="00A00873" w:rsidP="00A00873">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A00873">
              <w:rPr>
                <w:rFonts w:ascii="Calibri" w:hAnsi="Calibri" w:cs="Calibri"/>
                <w:color w:val="FFFFFF" w:themeColor="background1"/>
                <w:sz w:val="18"/>
                <w:szCs w:val="18"/>
                <w:lang w:eastAsia="en-AU"/>
              </w:rPr>
              <w:t>productivity losses)</w:t>
            </w:r>
          </w:p>
        </w:tc>
      </w:tr>
      <w:tr w:rsidR="00A00873" w:rsidRPr="00A00873" w14:paraId="7B8C17A7" w14:textId="77777777" w:rsidTr="00BE26FB">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526" w:type="dxa"/>
            <w:tcBorders>
              <w:top w:val="nil"/>
              <w:left w:val="single" w:sz="8" w:space="0" w:color="auto"/>
              <w:bottom w:val="nil"/>
              <w:right w:val="single" w:sz="8" w:space="0" w:color="auto"/>
            </w:tcBorders>
            <w:shd w:val="clear" w:color="auto" w:fill="auto"/>
            <w:noWrap/>
            <w:vAlign w:val="center"/>
          </w:tcPr>
          <w:p w14:paraId="77296DC2" w14:textId="77777777" w:rsidR="00A00873" w:rsidRPr="00A00873" w:rsidRDefault="00A00873" w:rsidP="00A00873">
            <w:pPr>
              <w:snapToGrid w:val="0"/>
              <w:rPr>
                <w:rFonts w:ascii="Calibri" w:hAnsi="Calibri" w:cs="Calibri"/>
                <w:b w:val="0"/>
                <w:bCs w:val="0"/>
                <w:color w:val="000000"/>
                <w:sz w:val="18"/>
                <w:szCs w:val="18"/>
                <w:lang w:eastAsia="en-AU"/>
              </w:rPr>
            </w:pPr>
            <w:r w:rsidRPr="00A00873">
              <w:rPr>
                <w:rFonts w:ascii="Calibri" w:hAnsi="Calibri" w:cs="Calibri"/>
                <w:b w:val="0"/>
                <w:bCs w:val="0"/>
                <w:color w:val="000000"/>
                <w:sz w:val="18"/>
                <w:szCs w:val="18"/>
                <w:lang w:eastAsia="en-AU"/>
              </w:rPr>
              <w:t xml:space="preserve">Indirect comparator: Link-me (all </w:t>
            </w:r>
            <w:proofErr w:type="spellStart"/>
            <w:r w:rsidRPr="00A00873">
              <w:rPr>
                <w:rFonts w:ascii="Calibri" w:hAnsi="Calibri" w:cs="Calibri"/>
                <w:b w:val="0"/>
                <w:bCs w:val="0"/>
                <w:color w:val="000000"/>
                <w:sz w:val="18"/>
                <w:szCs w:val="18"/>
                <w:lang w:eastAsia="en-AU"/>
              </w:rPr>
              <w:t>participants</w:t>
            </w:r>
            <w:r w:rsidRPr="00A00873">
              <w:rPr>
                <w:b w:val="0"/>
                <w:bCs w:val="0"/>
                <w:sz w:val="18"/>
                <w:szCs w:val="18"/>
                <w:vertAlign w:val="superscript"/>
                <w:lang w:eastAsia="en-US"/>
              </w:rPr>
              <w:t>a</w:t>
            </w:r>
            <w:proofErr w:type="spellEnd"/>
            <w:r w:rsidRPr="00A00873">
              <w:rPr>
                <w:rFonts w:ascii="Calibri" w:hAnsi="Calibri" w:cs="Calibri"/>
                <w:b w:val="0"/>
                <w:bCs w:val="0"/>
                <w:color w:val="000000"/>
                <w:sz w:val="18"/>
                <w:szCs w:val="18"/>
                <w:lang w:eastAsia="en-AU"/>
              </w:rPr>
              <w:t>)</w:t>
            </w:r>
          </w:p>
        </w:tc>
        <w:tc>
          <w:tcPr>
            <w:tcW w:w="2197" w:type="dxa"/>
            <w:tcBorders>
              <w:top w:val="nil"/>
              <w:left w:val="single" w:sz="8" w:space="0" w:color="auto"/>
              <w:bottom w:val="nil"/>
              <w:right w:val="single" w:sz="8" w:space="0" w:color="auto"/>
            </w:tcBorders>
            <w:shd w:val="clear" w:color="auto" w:fill="auto"/>
            <w:vAlign w:val="center"/>
          </w:tcPr>
          <w:p w14:paraId="0B64AF0E"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$2,876.74</w:t>
            </w:r>
          </w:p>
        </w:tc>
        <w:tc>
          <w:tcPr>
            <w:tcW w:w="2198" w:type="dxa"/>
            <w:tcBorders>
              <w:top w:val="nil"/>
              <w:left w:val="single" w:sz="8" w:space="0" w:color="auto"/>
              <w:bottom w:val="nil"/>
              <w:right w:val="single" w:sz="8" w:space="0" w:color="auto"/>
            </w:tcBorders>
            <w:shd w:val="clear" w:color="auto" w:fill="auto"/>
            <w:vAlign w:val="center"/>
          </w:tcPr>
          <w:p w14:paraId="309C699A"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$11,376.88</w:t>
            </w:r>
          </w:p>
        </w:tc>
      </w:tr>
      <w:tr w:rsidR="00A00873" w:rsidRPr="00A00873" w14:paraId="0BFB9CAD" w14:textId="77777777" w:rsidTr="00BE26FB">
        <w:trPr>
          <w:trHeight w:val="290"/>
          <w:jc w:val="center"/>
        </w:trPr>
        <w:tc>
          <w:tcPr>
            <w:cnfStyle w:val="001000000000" w:firstRow="0" w:lastRow="0" w:firstColumn="1" w:lastColumn="0" w:oddVBand="0" w:evenVBand="0" w:oddHBand="0" w:evenHBand="0" w:firstRowFirstColumn="0" w:firstRowLastColumn="0" w:lastRowFirstColumn="0" w:lastRowLastColumn="0"/>
            <w:tcW w:w="4526" w:type="dxa"/>
            <w:tcBorders>
              <w:top w:val="nil"/>
              <w:left w:val="single" w:sz="8" w:space="0" w:color="auto"/>
              <w:bottom w:val="nil"/>
              <w:right w:val="single" w:sz="8" w:space="0" w:color="auto"/>
            </w:tcBorders>
            <w:shd w:val="clear" w:color="auto" w:fill="auto"/>
            <w:noWrap/>
            <w:vAlign w:val="center"/>
          </w:tcPr>
          <w:p w14:paraId="48745249" w14:textId="77777777" w:rsidR="00A00873" w:rsidRPr="00A00873" w:rsidRDefault="00A00873" w:rsidP="00A00873">
            <w:pPr>
              <w:snapToGrid w:val="0"/>
              <w:rPr>
                <w:rFonts w:ascii="Calibri" w:hAnsi="Calibri" w:cs="Calibri"/>
                <w:b w:val="0"/>
                <w:bCs w:val="0"/>
                <w:color w:val="000000"/>
                <w:sz w:val="18"/>
                <w:szCs w:val="18"/>
                <w:lang w:eastAsia="en-AU"/>
              </w:rPr>
            </w:pPr>
            <w:r w:rsidRPr="00A00873">
              <w:rPr>
                <w:rFonts w:ascii="Calibri" w:hAnsi="Calibri" w:cs="Calibri"/>
                <w:b w:val="0"/>
                <w:bCs w:val="0"/>
                <w:color w:val="000000"/>
                <w:sz w:val="18"/>
                <w:szCs w:val="18"/>
                <w:lang w:eastAsia="en-AU"/>
              </w:rPr>
              <w:t xml:space="preserve">Indirect comparator: Link-me (minimal/mild </w:t>
            </w:r>
            <w:proofErr w:type="spellStart"/>
            <w:r w:rsidRPr="00A00873">
              <w:rPr>
                <w:rFonts w:ascii="Calibri" w:hAnsi="Calibri" w:cs="Calibri"/>
                <w:b w:val="0"/>
                <w:bCs w:val="0"/>
                <w:color w:val="000000"/>
                <w:sz w:val="18"/>
                <w:szCs w:val="18"/>
                <w:lang w:eastAsia="en-AU"/>
              </w:rPr>
              <w:t>group</w:t>
            </w:r>
            <w:r w:rsidRPr="00A00873">
              <w:rPr>
                <w:b w:val="0"/>
                <w:bCs w:val="0"/>
                <w:sz w:val="18"/>
                <w:szCs w:val="18"/>
                <w:vertAlign w:val="superscript"/>
                <w:lang w:eastAsia="en-US"/>
              </w:rPr>
              <w:t>b</w:t>
            </w:r>
            <w:proofErr w:type="spellEnd"/>
            <w:r w:rsidRPr="00A00873">
              <w:rPr>
                <w:rFonts w:ascii="Calibri" w:hAnsi="Calibri" w:cs="Calibri"/>
                <w:b w:val="0"/>
                <w:bCs w:val="0"/>
                <w:color w:val="000000"/>
                <w:sz w:val="18"/>
                <w:szCs w:val="18"/>
                <w:lang w:eastAsia="en-AU"/>
              </w:rPr>
              <w:t>)</w:t>
            </w:r>
          </w:p>
        </w:tc>
        <w:tc>
          <w:tcPr>
            <w:tcW w:w="2197" w:type="dxa"/>
            <w:tcBorders>
              <w:top w:val="nil"/>
              <w:left w:val="single" w:sz="8" w:space="0" w:color="auto"/>
              <w:bottom w:val="nil"/>
              <w:right w:val="single" w:sz="8" w:space="0" w:color="auto"/>
            </w:tcBorders>
            <w:shd w:val="clear" w:color="auto" w:fill="auto"/>
            <w:vAlign w:val="center"/>
          </w:tcPr>
          <w:p w14:paraId="318594A9"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$660.61</w:t>
            </w:r>
          </w:p>
        </w:tc>
        <w:tc>
          <w:tcPr>
            <w:tcW w:w="2198" w:type="dxa"/>
            <w:tcBorders>
              <w:top w:val="nil"/>
              <w:left w:val="single" w:sz="8" w:space="0" w:color="auto"/>
              <w:bottom w:val="nil"/>
              <w:right w:val="single" w:sz="8" w:space="0" w:color="auto"/>
            </w:tcBorders>
            <w:shd w:val="clear" w:color="auto" w:fill="auto"/>
            <w:vAlign w:val="center"/>
          </w:tcPr>
          <w:p w14:paraId="6CA4DE93"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$4,901.91</w:t>
            </w:r>
          </w:p>
        </w:tc>
      </w:tr>
      <w:tr w:rsidR="00A00873" w:rsidRPr="00A00873" w14:paraId="5DD4960D" w14:textId="77777777" w:rsidTr="00BE26FB">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526" w:type="dxa"/>
            <w:tcBorders>
              <w:top w:val="nil"/>
              <w:left w:val="single" w:sz="8" w:space="0" w:color="auto"/>
              <w:bottom w:val="nil"/>
              <w:right w:val="single" w:sz="8" w:space="0" w:color="auto"/>
            </w:tcBorders>
            <w:shd w:val="clear" w:color="auto" w:fill="auto"/>
            <w:noWrap/>
            <w:vAlign w:val="center"/>
          </w:tcPr>
          <w:p w14:paraId="4EB64248" w14:textId="77777777" w:rsidR="00A00873" w:rsidRPr="00A00873" w:rsidRDefault="00A00873" w:rsidP="00A00873">
            <w:pPr>
              <w:snapToGrid w:val="0"/>
              <w:rPr>
                <w:rFonts w:ascii="Calibri" w:hAnsi="Calibri" w:cs="Calibri"/>
                <w:b w:val="0"/>
                <w:bCs w:val="0"/>
                <w:color w:val="000000"/>
                <w:sz w:val="18"/>
                <w:szCs w:val="18"/>
                <w:lang w:eastAsia="en-AU"/>
              </w:rPr>
            </w:pPr>
            <w:r w:rsidRPr="00A00873">
              <w:rPr>
                <w:rFonts w:ascii="Calibri" w:hAnsi="Calibri" w:cs="Calibri"/>
                <w:b w:val="0"/>
                <w:bCs w:val="0"/>
                <w:color w:val="000000"/>
                <w:sz w:val="18"/>
                <w:szCs w:val="18"/>
                <w:lang w:eastAsia="en-AU"/>
              </w:rPr>
              <w:t>Indirect comparator: Link-me (severe group)</w:t>
            </w:r>
          </w:p>
        </w:tc>
        <w:tc>
          <w:tcPr>
            <w:tcW w:w="2197" w:type="dxa"/>
            <w:tcBorders>
              <w:top w:val="nil"/>
              <w:left w:val="single" w:sz="8" w:space="0" w:color="auto"/>
              <w:bottom w:val="nil"/>
              <w:right w:val="single" w:sz="8" w:space="0" w:color="auto"/>
            </w:tcBorders>
            <w:shd w:val="clear" w:color="auto" w:fill="auto"/>
            <w:vAlign w:val="center"/>
          </w:tcPr>
          <w:p w14:paraId="4119AF27"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$5,066.03</w:t>
            </w:r>
          </w:p>
        </w:tc>
        <w:tc>
          <w:tcPr>
            <w:tcW w:w="2198" w:type="dxa"/>
            <w:tcBorders>
              <w:top w:val="nil"/>
              <w:left w:val="single" w:sz="8" w:space="0" w:color="auto"/>
              <w:bottom w:val="nil"/>
              <w:right w:val="single" w:sz="8" w:space="0" w:color="auto"/>
            </w:tcBorders>
            <w:shd w:val="clear" w:color="auto" w:fill="auto"/>
            <w:vAlign w:val="center"/>
          </w:tcPr>
          <w:p w14:paraId="116153B2"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$17,775.48</w:t>
            </w:r>
          </w:p>
        </w:tc>
      </w:tr>
      <w:tr w:rsidR="00A00873" w:rsidRPr="00A00873" w14:paraId="3ABD8985" w14:textId="77777777" w:rsidTr="00BE26FB">
        <w:trPr>
          <w:trHeight w:val="290"/>
          <w:jc w:val="center"/>
        </w:trPr>
        <w:tc>
          <w:tcPr>
            <w:cnfStyle w:val="001000000000" w:firstRow="0" w:lastRow="0" w:firstColumn="1" w:lastColumn="0" w:oddVBand="0" w:evenVBand="0" w:oddHBand="0" w:evenHBand="0" w:firstRowFirstColumn="0" w:firstRowLastColumn="0" w:lastRowFirstColumn="0" w:lastRowLastColumn="0"/>
            <w:tcW w:w="4526" w:type="dxa"/>
            <w:tcBorders>
              <w:top w:val="nil"/>
              <w:left w:val="single" w:sz="8" w:space="0" w:color="auto"/>
              <w:bottom w:val="nil"/>
              <w:right w:val="single" w:sz="8" w:space="0" w:color="auto"/>
            </w:tcBorders>
            <w:shd w:val="clear" w:color="auto" w:fill="auto"/>
            <w:noWrap/>
            <w:vAlign w:val="center"/>
          </w:tcPr>
          <w:p w14:paraId="3F8D4804" w14:textId="77777777" w:rsidR="00A00873" w:rsidRPr="00A00873" w:rsidRDefault="00A00873" w:rsidP="00A00873">
            <w:pPr>
              <w:snapToGrid w:val="0"/>
              <w:rPr>
                <w:rFonts w:ascii="Calibri" w:hAnsi="Calibri" w:cs="Calibri"/>
                <w:b w:val="0"/>
                <w:bCs w:val="0"/>
                <w:color w:val="000000"/>
                <w:sz w:val="18"/>
                <w:szCs w:val="18"/>
                <w:lang w:eastAsia="en-AU"/>
              </w:rPr>
            </w:pPr>
          </w:p>
        </w:tc>
        <w:tc>
          <w:tcPr>
            <w:tcW w:w="2197" w:type="dxa"/>
            <w:tcBorders>
              <w:top w:val="nil"/>
              <w:left w:val="single" w:sz="8" w:space="0" w:color="auto"/>
              <w:bottom w:val="nil"/>
              <w:right w:val="single" w:sz="8" w:space="0" w:color="auto"/>
            </w:tcBorders>
            <w:shd w:val="clear" w:color="auto" w:fill="auto"/>
            <w:vAlign w:val="center"/>
          </w:tcPr>
          <w:p w14:paraId="2A108C62"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2198" w:type="dxa"/>
            <w:tcBorders>
              <w:top w:val="nil"/>
              <w:left w:val="single" w:sz="8" w:space="0" w:color="auto"/>
              <w:bottom w:val="nil"/>
              <w:right w:val="single" w:sz="8" w:space="0" w:color="auto"/>
            </w:tcBorders>
            <w:shd w:val="clear" w:color="auto" w:fill="auto"/>
            <w:vAlign w:val="center"/>
          </w:tcPr>
          <w:p w14:paraId="57E657A7"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r>
      <w:tr w:rsidR="00A00873" w:rsidRPr="00A00873" w14:paraId="0A74C3D6" w14:textId="77777777" w:rsidTr="00BE26FB">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526" w:type="dxa"/>
            <w:tcBorders>
              <w:top w:val="nil"/>
              <w:left w:val="single" w:sz="8" w:space="0" w:color="auto"/>
              <w:bottom w:val="nil"/>
              <w:right w:val="single" w:sz="8" w:space="0" w:color="auto"/>
            </w:tcBorders>
            <w:shd w:val="clear" w:color="auto" w:fill="auto"/>
            <w:noWrap/>
            <w:vAlign w:val="center"/>
          </w:tcPr>
          <w:p w14:paraId="145183B8" w14:textId="77777777" w:rsidR="00A00873" w:rsidRPr="00A00873" w:rsidRDefault="00A00873" w:rsidP="00A00873">
            <w:pPr>
              <w:snapToGrid w:val="0"/>
              <w:rPr>
                <w:rFonts w:ascii="Calibri" w:hAnsi="Calibri" w:cs="Calibri"/>
                <w:b w:val="0"/>
                <w:bCs w:val="0"/>
                <w:color w:val="000000"/>
                <w:sz w:val="18"/>
                <w:szCs w:val="18"/>
                <w:lang w:eastAsia="en-AU"/>
              </w:rPr>
            </w:pPr>
            <w:r w:rsidRPr="00A00873">
              <w:rPr>
                <w:rFonts w:ascii="Calibri" w:hAnsi="Calibri" w:cs="Calibri"/>
                <w:b w:val="0"/>
                <w:bCs w:val="0"/>
                <w:color w:val="000000"/>
                <w:sz w:val="18"/>
                <w:szCs w:val="18"/>
                <w:lang w:eastAsia="en-AU"/>
              </w:rPr>
              <w:t xml:space="preserve">Indirect comparator: Target-D (all </w:t>
            </w:r>
            <w:proofErr w:type="spellStart"/>
            <w:r w:rsidRPr="00A00873">
              <w:rPr>
                <w:rFonts w:ascii="Calibri" w:hAnsi="Calibri" w:cs="Calibri"/>
                <w:b w:val="0"/>
                <w:bCs w:val="0"/>
                <w:color w:val="000000"/>
                <w:sz w:val="18"/>
                <w:szCs w:val="18"/>
                <w:lang w:eastAsia="en-AU"/>
              </w:rPr>
              <w:t>participants</w:t>
            </w:r>
            <w:r w:rsidRPr="00A00873">
              <w:rPr>
                <w:b w:val="0"/>
                <w:bCs w:val="0"/>
                <w:sz w:val="18"/>
                <w:szCs w:val="18"/>
                <w:vertAlign w:val="superscript"/>
                <w:lang w:eastAsia="en-US"/>
              </w:rPr>
              <w:t>a</w:t>
            </w:r>
            <w:proofErr w:type="spellEnd"/>
            <w:r w:rsidRPr="00A00873">
              <w:rPr>
                <w:rFonts w:ascii="Calibri" w:hAnsi="Calibri" w:cs="Calibri"/>
                <w:b w:val="0"/>
                <w:bCs w:val="0"/>
                <w:color w:val="000000"/>
                <w:sz w:val="18"/>
                <w:szCs w:val="18"/>
                <w:lang w:eastAsia="en-AU"/>
              </w:rPr>
              <w:t>)</w:t>
            </w:r>
          </w:p>
        </w:tc>
        <w:tc>
          <w:tcPr>
            <w:tcW w:w="2197" w:type="dxa"/>
            <w:tcBorders>
              <w:top w:val="nil"/>
              <w:left w:val="single" w:sz="8" w:space="0" w:color="auto"/>
              <w:bottom w:val="nil"/>
              <w:right w:val="single" w:sz="8" w:space="0" w:color="auto"/>
            </w:tcBorders>
            <w:shd w:val="clear" w:color="auto" w:fill="auto"/>
            <w:vAlign w:val="center"/>
          </w:tcPr>
          <w:p w14:paraId="1636D980"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$1,855.89</w:t>
            </w:r>
          </w:p>
        </w:tc>
        <w:tc>
          <w:tcPr>
            <w:tcW w:w="2198" w:type="dxa"/>
            <w:tcBorders>
              <w:top w:val="nil"/>
              <w:left w:val="single" w:sz="8" w:space="0" w:color="auto"/>
              <w:bottom w:val="nil"/>
              <w:right w:val="single" w:sz="8" w:space="0" w:color="auto"/>
            </w:tcBorders>
            <w:shd w:val="clear" w:color="auto" w:fill="auto"/>
            <w:vAlign w:val="center"/>
          </w:tcPr>
          <w:p w14:paraId="5142CB0E"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$18,102.68</w:t>
            </w:r>
          </w:p>
        </w:tc>
      </w:tr>
      <w:tr w:rsidR="00A00873" w:rsidRPr="00A00873" w14:paraId="3978FD60" w14:textId="77777777" w:rsidTr="00BE26FB">
        <w:trPr>
          <w:trHeight w:val="290"/>
          <w:jc w:val="center"/>
        </w:trPr>
        <w:tc>
          <w:tcPr>
            <w:cnfStyle w:val="001000000000" w:firstRow="0" w:lastRow="0" w:firstColumn="1" w:lastColumn="0" w:oddVBand="0" w:evenVBand="0" w:oddHBand="0" w:evenHBand="0" w:firstRowFirstColumn="0" w:firstRowLastColumn="0" w:lastRowFirstColumn="0" w:lastRowLastColumn="0"/>
            <w:tcW w:w="4526" w:type="dxa"/>
            <w:tcBorders>
              <w:top w:val="nil"/>
              <w:left w:val="single" w:sz="8" w:space="0" w:color="auto"/>
              <w:bottom w:val="nil"/>
              <w:right w:val="single" w:sz="8" w:space="0" w:color="auto"/>
            </w:tcBorders>
            <w:shd w:val="clear" w:color="auto" w:fill="auto"/>
            <w:noWrap/>
            <w:vAlign w:val="center"/>
          </w:tcPr>
          <w:p w14:paraId="3C89A3DC" w14:textId="77777777" w:rsidR="00A00873" w:rsidRPr="00A00873" w:rsidRDefault="00A00873" w:rsidP="00A00873">
            <w:pPr>
              <w:snapToGrid w:val="0"/>
              <w:rPr>
                <w:rFonts w:ascii="Calibri" w:hAnsi="Calibri" w:cs="Calibri"/>
                <w:b w:val="0"/>
                <w:bCs w:val="0"/>
                <w:color w:val="000000"/>
                <w:sz w:val="18"/>
                <w:szCs w:val="18"/>
                <w:lang w:eastAsia="en-AU"/>
              </w:rPr>
            </w:pPr>
            <w:r w:rsidRPr="00A00873">
              <w:rPr>
                <w:rFonts w:ascii="Calibri" w:hAnsi="Calibri" w:cs="Calibri"/>
                <w:b w:val="0"/>
                <w:bCs w:val="0"/>
                <w:color w:val="000000"/>
                <w:sz w:val="18"/>
                <w:szCs w:val="18"/>
                <w:lang w:eastAsia="en-AU"/>
              </w:rPr>
              <w:t xml:space="preserve">Indirect comparator: Target-D (minimal/mild </w:t>
            </w:r>
            <w:proofErr w:type="spellStart"/>
            <w:r w:rsidRPr="00A00873">
              <w:rPr>
                <w:rFonts w:ascii="Calibri" w:hAnsi="Calibri" w:cs="Calibri"/>
                <w:b w:val="0"/>
                <w:bCs w:val="0"/>
                <w:color w:val="000000"/>
                <w:sz w:val="18"/>
                <w:szCs w:val="18"/>
                <w:lang w:eastAsia="en-AU"/>
              </w:rPr>
              <w:t>group</w:t>
            </w:r>
            <w:r w:rsidRPr="00A00873">
              <w:rPr>
                <w:b w:val="0"/>
                <w:bCs w:val="0"/>
                <w:sz w:val="18"/>
                <w:szCs w:val="18"/>
                <w:vertAlign w:val="superscript"/>
                <w:lang w:eastAsia="en-US"/>
              </w:rPr>
              <w:t>b</w:t>
            </w:r>
            <w:proofErr w:type="spellEnd"/>
            <w:r w:rsidRPr="00A00873">
              <w:rPr>
                <w:rFonts w:ascii="Calibri" w:hAnsi="Calibri" w:cs="Calibri"/>
                <w:b w:val="0"/>
                <w:bCs w:val="0"/>
                <w:color w:val="000000"/>
                <w:sz w:val="18"/>
                <w:szCs w:val="18"/>
                <w:lang w:eastAsia="en-AU"/>
              </w:rPr>
              <w:t>)</w:t>
            </w:r>
          </w:p>
        </w:tc>
        <w:tc>
          <w:tcPr>
            <w:tcW w:w="2197" w:type="dxa"/>
            <w:tcBorders>
              <w:top w:val="nil"/>
              <w:left w:val="single" w:sz="8" w:space="0" w:color="auto"/>
              <w:bottom w:val="nil"/>
              <w:right w:val="single" w:sz="8" w:space="0" w:color="auto"/>
            </w:tcBorders>
            <w:shd w:val="clear" w:color="auto" w:fill="auto"/>
            <w:vAlign w:val="center"/>
          </w:tcPr>
          <w:p w14:paraId="076014D4"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$1,615.39</w:t>
            </w:r>
          </w:p>
        </w:tc>
        <w:tc>
          <w:tcPr>
            <w:tcW w:w="2198" w:type="dxa"/>
            <w:tcBorders>
              <w:top w:val="nil"/>
              <w:left w:val="single" w:sz="8" w:space="0" w:color="auto"/>
              <w:bottom w:val="nil"/>
              <w:right w:val="single" w:sz="8" w:space="0" w:color="auto"/>
            </w:tcBorders>
            <w:shd w:val="clear" w:color="auto" w:fill="auto"/>
            <w:vAlign w:val="center"/>
          </w:tcPr>
          <w:p w14:paraId="0C0BBDB2"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$17,873.54</w:t>
            </w:r>
          </w:p>
        </w:tc>
      </w:tr>
      <w:tr w:rsidR="00A00873" w:rsidRPr="00A00873" w14:paraId="44AE2C28" w14:textId="77777777" w:rsidTr="00BE26FB">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526" w:type="dxa"/>
            <w:tcBorders>
              <w:top w:val="nil"/>
              <w:left w:val="single" w:sz="8" w:space="0" w:color="auto"/>
              <w:bottom w:val="nil"/>
              <w:right w:val="single" w:sz="8" w:space="0" w:color="auto"/>
            </w:tcBorders>
            <w:shd w:val="clear" w:color="auto" w:fill="auto"/>
            <w:noWrap/>
            <w:vAlign w:val="center"/>
          </w:tcPr>
          <w:p w14:paraId="719D300D" w14:textId="77777777" w:rsidR="00A00873" w:rsidRPr="00A00873" w:rsidRDefault="00A00873" w:rsidP="00A00873">
            <w:pPr>
              <w:snapToGrid w:val="0"/>
              <w:rPr>
                <w:rFonts w:ascii="Calibri" w:hAnsi="Calibri" w:cs="Calibri"/>
                <w:b w:val="0"/>
                <w:bCs w:val="0"/>
                <w:color w:val="000000"/>
                <w:sz w:val="18"/>
                <w:szCs w:val="18"/>
                <w:lang w:eastAsia="en-AU"/>
              </w:rPr>
            </w:pPr>
            <w:r w:rsidRPr="00A00873">
              <w:rPr>
                <w:rFonts w:ascii="Calibri" w:hAnsi="Calibri" w:cs="Calibri"/>
                <w:b w:val="0"/>
                <w:bCs w:val="0"/>
                <w:color w:val="000000"/>
                <w:sz w:val="18"/>
                <w:szCs w:val="18"/>
                <w:lang w:eastAsia="en-AU"/>
              </w:rPr>
              <w:t>Indirect comparator: Target-D (severe group)</w:t>
            </w:r>
          </w:p>
        </w:tc>
        <w:tc>
          <w:tcPr>
            <w:tcW w:w="2197" w:type="dxa"/>
            <w:tcBorders>
              <w:top w:val="nil"/>
              <w:left w:val="single" w:sz="8" w:space="0" w:color="auto"/>
              <w:bottom w:val="nil"/>
              <w:right w:val="single" w:sz="8" w:space="0" w:color="auto"/>
            </w:tcBorders>
            <w:shd w:val="clear" w:color="auto" w:fill="auto"/>
            <w:vAlign w:val="center"/>
          </w:tcPr>
          <w:p w14:paraId="36495D4E"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$2,716.74</w:t>
            </w:r>
          </w:p>
        </w:tc>
        <w:tc>
          <w:tcPr>
            <w:tcW w:w="2198" w:type="dxa"/>
            <w:tcBorders>
              <w:top w:val="nil"/>
              <w:left w:val="single" w:sz="8" w:space="0" w:color="auto"/>
              <w:bottom w:val="nil"/>
              <w:right w:val="single" w:sz="8" w:space="0" w:color="auto"/>
            </w:tcBorders>
            <w:shd w:val="clear" w:color="auto" w:fill="auto"/>
            <w:vAlign w:val="center"/>
          </w:tcPr>
          <w:p w14:paraId="378D5978"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$17,269.70</w:t>
            </w:r>
          </w:p>
        </w:tc>
      </w:tr>
      <w:tr w:rsidR="00A00873" w:rsidRPr="00A00873" w14:paraId="4B6AF5CE" w14:textId="77777777" w:rsidTr="00BE26FB">
        <w:trPr>
          <w:trHeight w:val="290"/>
          <w:jc w:val="center"/>
        </w:trPr>
        <w:tc>
          <w:tcPr>
            <w:cnfStyle w:val="001000000000" w:firstRow="0" w:lastRow="0" w:firstColumn="1" w:lastColumn="0" w:oddVBand="0" w:evenVBand="0" w:oddHBand="0" w:evenHBand="0" w:firstRowFirstColumn="0" w:firstRowLastColumn="0" w:lastRowFirstColumn="0" w:lastRowLastColumn="0"/>
            <w:tcW w:w="4526" w:type="dxa"/>
            <w:tcBorders>
              <w:top w:val="nil"/>
              <w:left w:val="single" w:sz="8" w:space="0" w:color="auto"/>
              <w:bottom w:val="nil"/>
              <w:right w:val="single" w:sz="8" w:space="0" w:color="auto"/>
            </w:tcBorders>
            <w:shd w:val="clear" w:color="auto" w:fill="auto"/>
            <w:noWrap/>
            <w:vAlign w:val="center"/>
          </w:tcPr>
          <w:p w14:paraId="68E0D305" w14:textId="77777777" w:rsidR="00A00873" w:rsidRPr="00A00873" w:rsidRDefault="00A00873" w:rsidP="00A00873">
            <w:pPr>
              <w:snapToGrid w:val="0"/>
              <w:rPr>
                <w:rFonts w:ascii="Calibri" w:hAnsi="Calibri" w:cs="Calibri"/>
                <w:b w:val="0"/>
                <w:bCs w:val="0"/>
                <w:color w:val="000000"/>
                <w:sz w:val="18"/>
                <w:szCs w:val="18"/>
                <w:lang w:eastAsia="en-AU"/>
              </w:rPr>
            </w:pPr>
          </w:p>
        </w:tc>
        <w:tc>
          <w:tcPr>
            <w:tcW w:w="2197" w:type="dxa"/>
            <w:tcBorders>
              <w:top w:val="nil"/>
              <w:left w:val="single" w:sz="8" w:space="0" w:color="auto"/>
              <w:bottom w:val="nil"/>
              <w:right w:val="single" w:sz="8" w:space="0" w:color="auto"/>
            </w:tcBorders>
            <w:shd w:val="clear" w:color="auto" w:fill="auto"/>
            <w:vAlign w:val="center"/>
          </w:tcPr>
          <w:p w14:paraId="140C5484"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2198" w:type="dxa"/>
            <w:tcBorders>
              <w:top w:val="nil"/>
              <w:left w:val="single" w:sz="8" w:space="0" w:color="auto"/>
              <w:bottom w:val="nil"/>
              <w:right w:val="single" w:sz="8" w:space="0" w:color="auto"/>
            </w:tcBorders>
            <w:shd w:val="clear" w:color="auto" w:fill="auto"/>
            <w:vAlign w:val="center"/>
          </w:tcPr>
          <w:p w14:paraId="3812FC6F"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r>
      <w:tr w:rsidR="00A00873" w:rsidRPr="00A00873" w14:paraId="7550C1A8" w14:textId="77777777" w:rsidTr="00BE26FB">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526" w:type="dxa"/>
            <w:tcBorders>
              <w:top w:val="nil"/>
              <w:left w:val="single" w:sz="8" w:space="0" w:color="auto"/>
              <w:bottom w:val="nil"/>
              <w:right w:val="single" w:sz="8" w:space="0" w:color="auto"/>
            </w:tcBorders>
            <w:shd w:val="clear" w:color="auto" w:fill="auto"/>
            <w:noWrap/>
            <w:vAlign w:val="center"/>
          </w:tcPr>
          <w:p w14:paraId="6164C49D" w14:textId="77777777" w:rsidR="00A00873" w:rsidRPr="00A00873" w:rsidRDefault="00A00873" w:rsidP="00A00873">
            <w:pPr>
              <w:snapToGrid w:val="0"/>
              <w:rPr>
                <w:rFonts w:ascii="Calibri" w:hAnsi="Calibri" w:cs="Calibri"/>
                <w:b w:val="0"/>
                <w:bCs w:val="0"/>
                <w:color w:val="000000"/>
                <w:sz w:val="18"/>
                <w:szCs w:val="18"/>
                <w:lang w:eastAsia="en-AU"/>
              </w:rPr>
            </w:pPr>
            <w:r w:rsidRPr="00A00873">
              <w:rPr>
                <w:rFonts w:ascii="Calibri" w:hAnsi="Calibri" w:cs="Calibri"/>
                <w:b w:val="0"/>
                <w:bCs w:val="0"/>
                <w:color w:val="000000"/>
                <w:sz w:val="18"/>
                <w:szCs w:val="18"/>
                <w:lang w:eastAsia="en-AU"/>
              </w:rPr>
              <w:t>Mental Health Online</w:t>
            </w:r>
          </w:p>
        </w:tc>
        <w:tc>
          <w:tcPr>
            <w:tcW w:w="2197" w:type="dxa"/>
            <w:tcBorders>
              <w:top w:val="nil"/>
              <w:left w:val="single" w:sz="8" w:space="0" w:color="auto"/>
              <w:bottom w:val="nil"/>
              <w:right w:val="single" w:sz="8" w:space="0" w:color="auto"/>
            </w:tcBorders>
            <w:shd w:val="clear" w:color="auto" w:fill="auto"/>
            <w:vAlign w:val="center"/>
          </w:tcPr>
          <w:p w14:paraId="71D7A0A3"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$767.22</w:t>
            </w:r>
          </w:p>
        </w:tc>
        <w:tc>
          <w:tcPr>
            <w:tcW w:w="2198" w:type="dxa"/>
            <w:tcBorders>
              <w:top w:val="nil"/>
              <w:left w:val="single" w:sz="8" w:space="0" w:color="auto"/>
              <w:bottom w:val="nil"/>
              <w:right w:val="single" w:sz="8" w:space="0" w:color="auto"/>
            </w:tcBorders>
            <w:shd w:val="clear" w:color="auto" w:fill="auto"/>
            <w:vAlign w:val="center"/>
          </w:tcPr>
          <w:p w14:paraId="783A72BD"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$1,602.80</w:t>
            </w:r>
          </w:p>
        </w:tc>
      </w:tr>
      <w:tr w:rsidR="00A00873" w:rsidRPr="00A00873" w14:paraId="3F23FBD5" w14:textId="77777777" w:rsidTr="00BE26FB">
        <w:trPr>
          <w:trHeight w:val="290"/>
          <w:jc w:val="center"/>
        </w:trPr>
        <w:tc>
          <w:tcPr>
            <w:cnfStyle w:val="001000000000" w:firstRow="0" w:lastRow="0" w:firstColumn="1" w:lastColumn="0" w:oddVBand="0" w:evenVBand="0" w:oddHBand="0" w:evenHBand="0" w:firstRowFirstColumn="0" w:firstRowLastColumn="0" w:lastRowFirstColumn="0" w:lastRowLastColumn="0"/>
            <w:tcW w:w="4526" w:type="dxa"/>
            <w:tcBorders>
              <w:top w:val="nil"/>
              <w:left w:val="single" w:sz="8" w:space="0" w:color="auto"/>
              <w:bottom w:val="nil"/>
              <w:right w:val="single" w:sz="8" w:space="0" w:color="auto"/>
            </w:tcBorders>
            <w:shd w:val="clear" w:color="auto" w:fill="auto"/>
            <w:noWrap/>
            <w:vAlign w:val="center"/>
          </w:tcPr>
          <w:p w14:paraId="362233C2" w14:textId="77777777" w:rsidR="00A00873" w:rsidRPr="00A00873" w:rsidRDefault="00A00873" w:rsidP="00A00873">
            <w:pPr>
              <w:snapToGrid w:val="0"/>
              <w:rPr>
                <w:rFonts w:ascii="Calibri" w:hAnsi="Calibri" w:cs="Calibri"/>
                <w:b w:val="0"/>
                <w:bCs w:val="0"/>
                <w:color w:val="000000"/>
                <w:sz w:val="18"/>
                <w:szCs w:val="18"/>
                <w:lang w:eastAsia="en-AU"/>
              </w:rPr>
            </w:pPr>
            <w:proofErr w:type="spellStart"/>
            <w:r w:rsidRPr="00A00873">
              <w:rPr>
                <w:rFonts w:ascii="Calibri" w:hAnsi="Calibri" w:cs="Calibri"/>
                <w:b w:val="0"/>
                <w:bCs w:val="0"/>
                <w:color w:val="000000"/>
                <w:sz w:val="18"/>
                <w:szCs w:val="18"/>
                <w:lang w:eastAsia="en-AU"/>
              </w:rPr>
              <w:t>MindSpot</w:t>
            </w:r>
            <w:proofErr w:type="spellEnd"/>
          </w:p>
        </w:tc>
        <w:tc>
          <w:tcPr>
            <w:tcW w:w="2197" w:type="dxa"/>
            <w:tcBorders>
              <w:top w:val="nil"/>
              <w:left w:val="single" w:sz="8" w:space="0" w:color="auto"/>
              <w:bottom w:val="nil"/>
              <w:right w:val="single" w:sz="8" w:space="0" w:color="auto"/>
            </w:tcBorders>
            <w:shd w:val="clear" w:color="auto" w:fill="auto"/>
            <w:vAlign w:val="center"/>
          </w:tcPr>
          <w:p w14:paraId="59285857"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$1,916.77</w:t>
            </w:r>
          </w:p>
        </w:tc>
        <w:tc>
          <w:tcPr>
            <w:tcW w:w="2198" w:type="dxa"/>
            <w:tcBorders>
              <w:top w:val="nil"/>
              <w:left w:val="single" w:sz="8" w:space="0" w:color="auto"/>
              <w:bottom w:val="nil"/>
              <w:right w:val="single" w:sz="8" w:space="0" w:color="auto"/>
            </w:tcBorders>
            <w:shd w:val="clear" w:color="auto" w:fill="auto"/>
            <w:vAlign w:val="center"/>
          </w:tcPr>
          <w:p w14:paraId="7BD1EAA7" w14:textId="77777777" w:rsidR="00A00873" w:rsidRPr="00A00873" w:rsidRDefault="00A00873" w:rsidP="00A00873">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$2,508.02</w:t>
            </w:r>
          </w:p>
        </w:tc>
      </w:tr>
      <w:tr w:rsidR="00A00873" w:rsidRPr="00A00873" w14:paraId="21AB33C2" w14:textId="77777777" w:rsidTr="00BE26FB">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526" w:type="dxa"/>
            <w:tcBorders>
              <w:top w:val="nil"/>
              <w:left w:val="single" w:sz="8" w:space="0" w:color="auto"/>
              <w:bottom w:val="single" w:sz="4" w:space="0" w:color="auto"/>
              <w:right w:val="single" w:sz="8" w:space="0" w:color="auto"/>
            </w:tcBorders>
            <w:shd w:val="clear" w:color="auto" w:fill="auto"/>
            <w:noWrap/>
            <w:vAlign w:val="center"/>
          </w:tcPr>
          <w:p w14:paraId="6280FB42" w14:textId="77777777" w:rsidR="00A00873" w:rsidRPr="00A00873" w:rsidRDefault="00A00873" w:rsidP="00A00873">
            <w:pPr>
              <w:snapToGrid w:val="0"/>
              <w:rPr>
                <w:rFonts w:ascii="Calibri" w:hAnsi="Calibri" w:cs="Calibri"/>
                <w:b w:val="0"/>
                <w:bCs w:val="0"/>
                <w:color w:val="000000"/>
                <w:sz w:val="18"/>
                <w:szCs w:val="18"/>
                <w:lang w:eastAsia="en-AU"/>
              </w:rPr>
            </w:pPr>
            <w:r w:rsidRPr="00A00873">
              <w:rPr>
                <w:rFonts w:ascii="Calibri" w:hAnsi="Calibri" w:cs="Calibri"/>
                <w:b w:val="0"/>
                <w:bCs w:val="0"/>
                <w:color w:val="000000"/>
                <w:sz w:val="18"/>
                <w:szCs w:val="18"/>
                <w:lang w:eastAsia="en-AU"/>
              </w:rPr>
              <w:t>THIS WAY UP</w:t>
            </w:r>
          </w:p>
        </w:tc>
        <w:tc>
          <w:tcPr>
            <w:tcW w:w="2197" w:type="dxa"/>
            <w:tcBorders>
              <w:top w:val="nil"/>
              <w:left w:val="single" w:sz="8" w:space="0" w:color="auto"/>
              <w:bottom w:val="single" w:sz="4" w:space="0" w:color="auto"/>
              <w:right w:val="single" w:sz="8" w:space="0" w:color="auto"/>
            </w:tcBorders>
            <w:shd w:val="clear" w:color="auto" w:fill="auto"/>
            <w:vAlign w:val="center"/>
          </w:tcPr>
          <w:p w14:paraId="09340DDD"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$1,837.78</w:t>
            </w:r>
          </w:p>
        </w:tc>
        <w:tc>
          <w:tcPr>
            <w:tcW w:w="2198" w:type="dxa"/>
            <w:tcBorders>
              <w:top w:val="nil"/>
              <w:left w:val="single" w:sz="8" w:space="0" w:color="auto"/>
              <w:bottom w:val="single" w:sz="4" w:space="0" w:color="auto"/>
              <w:right w:val="single" w:sz="8" w:space="0" w:color="auto"/>
            </w:tcBorders>
            <w:shd w:val="clear" w:color="auto" w:fill="auto"/>
            <w:vAlign w:val="center"/>
          </w:tcPr>
          <w:p w14:paraId="2D048691" w14:textId="77777777" w:rsidR="00A00873" w:rsidRPr="00A00873" w:rsidRDefault="00A00873" w:rsidP="00A00873">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A00873">
              <w:rPr>
                <w:rFonts w:ascii="Calibri" w:hAnsi="Calibri" w:cs="Calibri"/>
                <w:color w:val="000000"/>
                <w:sz w:val="18"/>
                <w:szCs w:val="18"/>
                <w:lang w:eastAsia="en-AU"/>
              </w:rPr>
              <w:t>$2,614.47</w:t>
            </w:r>
          </w:p>
        </w:tc>
      </w:tr>
    </w:tbl>
    <w:p w14:paraId="3FED4D1A" w14:textId="77777777" w:rsidR="00A00873" w:rsidRPr="00A00873" w:rsidRDefault="00A00873" w:rsidP="00BE26FB">
      <w:pPr>
        <w:snapToGrid w:val="0"/>
        <w:ind w:left="426" w:right="107"/>
        <w:rPr>
          <w:rFonts w:asciiTheme="minorHAnsi" w:hAnsiTheme="minorHAnsi" w:cstheme="minorHAnsi"/>
          <w:i/>
          <w:iCs/>
          <w:color w:val="44546A" w:themeColor="text2"/>
          <w:sz w:val="18"/>
          <w:szCs w:val="18"/>
        </w:rPr>
      </w:pPr>
      <w:proofErr w:type="spellStart"/>
      <w:r w:rsidRPr="00A00873">
        <w:rPr>
          <w:rFonts w:asciiTheme="minorHAnsi" w:hAnsiTheme="minorHAnsi" w:cstheme="minorHAnsi"/>
          <w:iCs/>
          <w:sz w:val="16"/>
          <w:szCs w:val="16"/>
          <w:vertAlign w:val="superscript"/>
        </w:rPr>
        <w:t>a</w:t>
      </w:r>
      <w:r w:rsidRPr="00A00873">
        <w:rPr>
          <w:rFonts w:asciiTheme="minorHAnsi" w:hAnsiTheme="minorHAnsi" w:cstheme="minorHAnsi"/>
          <w:iCs/>
          <w:sz w:val="16"/>
          <w:szCs w:val="16"/>
        </w:rPr>
        <w:t>All</w:t>
      </w:r>
      <w:proofErr w:type="spellEnd"/>
      <w:r w:rsidRPr="00A00873">
        <w:rPr>
          <w:rFonts w:asciiTheme="minorHAnsi" w:hAnsiTheme="minorHAnsi" w:cstheme="minorHAnsi"/>
          <w:iCs/>
          <w:sz w:val="16"/>
          <w:szCs w:val="16"/>
        </w:rPr>
        <w:t xml:space="preserve"> participants in the control group of the randomised controlled trial (RCT).</w:t>
      </w:r>
    </w:p>
    <w:p w14:paraId="0DB3BE0F" w14:textId="77777777" w:rsidR="00A00873" w:rsidRPr="00A00873" w:rsidRDefault="00A00873" w:rsidP="00BE26FB">
      <w:pPr>
        <w:snapToGrid w:val="0"/>
        <w:ind w:left="426" w:right="107"/>
        <w:rPr>
          <w:rFonts w:asciiTheme="minorHAnsi" w:hAnsiTheme="minorHAnsi" w:cstheme="minorHAnsi"/>
          <w:i/>
          <w:iCs/>
          <w:color w:val="44546A" w:themeColor="text2"/>
          <w:sz w:val="18"/>
          <w:szCs w:val="18"/>
        </w:rPr>
      </w:pPr>
      <w:proofErr w:type="spellStart"/>
      <w:r w:rsidRPr="00A00873">
        <w:rPr>
          <w:rFonts w:asciiTheme="minorHAnsi" w:hAnsiTheme="minorHAnsi" w:cstheme="minorHAnsi"/>
          <w:iCs/>
          <w:sz w:val="16"/>
          <w:szCs w:val="16"/>
          <w:vertAlign w:val="superscript"/>
        </w:rPr>
        <w:t>b</w:t>
      </w:r>
      <w:r w:rsidRPr="00A00873">
        <w:rPr>
          <w:rFonts w:asciiTheme="minorHAnsi" w:hAnsiTheme="minorHAnsi" w:cstheme="minorHAnsi"/>
          <w:iCs/>
          <w:sz w:val="16"/>
          <w:szCs w:val="16"/>
        </w:rPr>
        <w:t>Participants</w:t>
      </w:r>
      <w:proofErr w:type="spellEnd"/>
      <w:r w:rsidRPr="00A00873">
        <w:rPr>
          <w:rFonts w:asciiTheme="minorHAnsi" w:hAnsiTheme="minorHAnsi" w:cstheme="minorHAnsi"/>
          <w:iCs/>
          <w:sz w:val="16"/>
          <w:szCs w:val="16"/>
        </w:rPr>
        <w:t xml:space="preserve"> in the control group that were classified as having a minimal/mild prognosis.</w:t>
      </w:r>
    </w:p>
    <w:p w14:paraId="626A938A" w14:textId="4022996E" w:rsidR="004076BD" w:rsidRDefault="00A00873" w:rsidP="5128B16E">
      <w:pPr>
        <w:snapToGrid w:val="0"/>
        <w:spacing w:after="240"/>
        <w:ind w:left="426" w:right="107"/>
        <w:rPr>
          <w:rFonts w:asciiTheme="minorHAnsi" w:hAnsiTheme="minorHAnsi" w:cstheme="minorBidi"/>
          <w:sz w:val="16"/>
          <w:szCs w:val="16"/>
        </w:rPr>
      </w:pPr>
      <w:r w:rsidRPr="2CE273CD">
        <w:rPr>
          <w:rFonts w:asciiTheme="minorHAnsi" w:hAnsiTheme="minorHAnsi" w:cstheme="minorBidi"/>
          <w:sz w:val="16"/>
          <w:szCs w:val="16"/>
        </w:rPr>
        <w:t>All costs were adjusted for inflation and converted to 2020/2021 values using the AIHW total health price index</w:t>
      </w:r>
      <w:r w:rsidR="007011CA" w:rsidRPr="2CE273CD">
        <w:rPr>
          <w:rFonts w:asciiTheme="minorHAnsi" w:hAnsiTheme="minorHAnsi" w:cstheme="minorBidi"/>
          <w:sz w:val="16"/>
          <w:szCs w:val="16"/>
        </w:rPr>
        <w:t>.</w:t>
      </w:r>
      <w:r w:rsidR="001255DB" w:rsidRPr="2CE273CD">
        <w:rPr>
          <w:rFonts w:asciiTheme="minorHAnsi" w:hAnsiTheme="minorHAnsi" w:cstheme="minorBidi"/>
          <w:sz w:val="16"/>
          <w:szCs w:val="16"/>
        </w:rPr>
        <w:fldChar w:fldCharType="begin"/>
      </w:r>
      <w:r w:rsidR="004469A2">
        <w:rPr>
          <w:rFonts w:asciiTheme="minorHAnsi" w:hAnsiTheme="minorHAnsi" w:cstheme="minorBidi"/>
          <w:sz w:val="16"/>
          <w:szCs w:val="16"/>
        </w:rPr>
        <w:instrText xml:space="preserve"> ADDIN EN.CITE &lt;EndNote&gt;&lt;Cite&gt;&lt;Author&gt;Australian Institute of Health and Welfare&lt;/Author&gt;&lt;Year&gt;2021&lt;/Year&gt;&lt;RecNum&gt;172&lt;/RecNum&gt;&lt;DisplayText&gt;&lt;style face="superscript"&gt;84&lt;/style&gt;&lt;/DisplayText&gt;&lt;record&gt;&lt;rec-number&gt;172&lt;/rec-number&gt;&lt;foreign-keys&gt;&lt;key app="EN" db-id="dawtr0zrkrzfa5edzzlpe2we0xa00t90vvr2" timestamp="1654858019"&gt;172&lt;/key&gt;&lt;/foreign-keys&gt;&lt;ref-type name="Report"&gt;27&lt;/ref-type&gt;&lt;contributors&gt;&lt;authors&gt;&lt;author&gt;Australian Institute of Health and Welfare,&lt;/author&gt;&lt;/authors&gt;&lt;tertiary-authors&gt;&lt;author&gt;Australian Institute of Health and Welfare&lt;/author&gt;&lt;/tertiary-authors&gt;&lt;/contributors&gt;&lt;titles&gt;&lt;title&gt;Australian Institute of Health and Welfare. Health expenditure Australia 2019-20. Health and welfare expenditure series no. 65&lt;/title&gt;&lt;/titles&gt;&lt;volume&gt;Cat. no. HWE 87&lt;/volume&gt;&lt;dates&gt;&lt;year&gt;2021&lt;/year&gt;&lt;/dates&gt;&lt;pub-location&gt;Canberra&lt;/pub-location&gt;&lt;publisher&gt;Australian Institute of Health and Welfare&lt;/publisher&gt;&lt;urls&gt;&lt;/urls&gt;&lt;/record&gt;&lt;/Cite&gt;&lt;/EndNote&gt;</w:instrText>
      </w:r>
      <w:r w:rsidR="001255DB" w:rsidRPr="2CE273CD">
        <w:rPr>
          <w:rFonts w:asciiTheme="minorHAnsi" w:hAnsiTheme="minorHAnsi" w:cstheme="minorBidi"/>
          <w:sz w:val="16"/>
          <w:szCs w:val="16"/>
        </w:rPr>
        <w:fldChar w:fldCharType="separate"/>
      </w:r>
      <w:r w:rsidR="004469A2" w:rsidRPr="004469A2">
        <w:rPr>
          <w:rFonts w:asciiTheme="minorHAnsi" w:hAnsiTheme="minorHAnsi" w:cstheme="minorBidi"/>
          <w:noProof/>
          <w:sz w:val="16"/>
          <w:szCs w:val="16"/>
          <w:vertAlign w:val="superscript"/>
        </w:rPr>
        <w:t>84</w:t>
      </w:r>
      <w:r w:rsidR="001255DB" w:rsidRPr="2CE273CD">
        <w:rPr>
          <w:rFonts w:asciiTheme="minorHAnsi" w:hAnsiTheme="minorHAnsi" w:cstheme="minorBidi"/>
          <w:sz w:val="16"/>
          <w:szCs w:val="16"/>
        </w:rPr>
        <w:fldChar w:fldCharType="end"/>
      </w:r>
      <w:r w:rsidRPr="2CE273CD">
        <w:rPr>
          <w:rFonts w:asciiTheme="minorHAnsi" w:hAnsiTheme="minorHAnsi" w:cstheme="minorBidi"/>
          <w:sz w:val="16"/>
          <w:szCs w:val="16"/>
        </w:rPr>
        <w:t xml:space="preserve"> The mean costs for the indirect comparator groups were sourced from economic evaluation studies of Link-me and Target-D RCTs (Chatterton </w:t>
      </w:r>
      <w:r w:rsidR="0065750D" w:rsidRPr="2CE273CD">
        <w:rPr>
          <w:rFonts w:asciiTheme="minorHAnsi" w:hAnsiTheme="minorHAnsi" w:cstheme="minorBidi"/>
          <w:sz w:val="16"/>
          <w:szCs w:val="16"/>
        </w:rPr>
        <w:t>et al</w:t>
      </w:r>
      <w:r w:rsidRPr="2CE273CD">
        <w:rPr>
          <w:rFonts w:asciiTheme="minorHAnsi" w:hAnsiTheme="minorHAnsi" w:cstheme="minorBidi"/>
          <w:sz w:val="16"/>
          <w:szCs w:val="16"/>
        </w:rPr>
        <w:t xml:space="preserve">, 2022; Lee </w:t>
      </w:r>
      <w:r w:rsidR="0065750D" w:rsidRPr="2CE273CD">
        <w:rPr>
          <w:rFonts w:asciiTheme="minorHAnsi" w:hAnsiTheme="minorHAnsi" w:cstheme="minorBidi"/>
          <w:sz w:val="16"/>
          <w:szCs w:val="16"/>
        </w:rPr>
        <w:t>et al</w:t>
      </w:r>
      <w:r w:rsidRPr="2CE273CD">
        <w:rPr>
          <w:rFonts w:asciiTheme="minorHAnsi" w:hAnsiTheme="minorHAnsi" w:cstheme="minorBidi"/>
          <w:sz w:val="16"/>
          <w:szCs w:val="16"/>
        </w:rPr>
        <w:t xml:space="preserve"> 2022). Health care costs include items </w:t>
      </w:r>
      <w:r w:rsidRPr="00EB6A18">
        <w:rPr>
          <w:rFonts w:asciiTheme="minorHAnsi" w:hAnsiTheme="minorHAnsi" w:cstheme="minorBidi"/>
          <w:sz w:val="16"/>
          <w:szCs w:val="16"/>
        </w:rPr>
        <w:t xml:space="preserve">listed in Table </w:t>
      </w:r>
      <w:r w:rsidR="00EB6A18" w:rsidRPr="00EB6A18">
        <w:rPr>
          <w:rFonts w:asciiTheme="minorHAnsi" w:hAnsiTheme="minorHAnsi" w:cstheme="minorBidi"/>
          <w:sz w:val="16"/>
          <w:szCs w:val="16"/>
        </w:rPr>
        <w:t>57.</w:t>
      </w:r>
      <w:r w:rsidRPr="2CE273CD">
        <w:rPr>
          <w:rFonts w:asciiTheme="minorHAnsi" w:hAnsiTheme="minorHAnsi" w:cstheme="minorBidi"/>
          <w:sz w:val="16"/>
          <w:szCs w:val="16"/>
        </w:rPr>
        <w:t xml:space="preserve"> Health professional visits were costed based on the location of the visit. For visits at a doctor’s room or private practice, a weighted average cost paid by the government for the corresponding health professional, derived from the MBS item reports was used</w:t>
      </w:r>
      <w:r w:rsidR="00C8480E" w:rsidRPr="2CE273CD">
        <w:rPr>
          <w:rFonts w:asciiTheme="minorHAnsi" w:hAnsiTheme="minorHAnsi" w:cstheme="minorBidi"/>
          <w:sz w:val="16"/>
          <w:szCs w:val="16"/>
        </w:rPr>
        <w:t>.</w:t>
      </w:r>
      <w:r w:rsidR="00C8480E" w:rsidRPr="2CE273CD">
        <w:rPr>
          <w:rFonts w:asciiTheme="minorHAnsi" w:hAnsiTheme="minorHAnsi" w:cstheme="minorBidi"/>
          <w:sz w:val="16"/>
          <w:szCs w:val="16"/>
        </w:rPr>
        <w:fldChar w:fldCharType="begin"/>
      </w:r>
      <w:r w:rsidR="004469A2">
        <w:rPr>
          <w:rFonts w:asciiTheme="minorHAnsi" w:hAnsiTheme="minorHAnsi" w:cstheme="minorBidi"/>
          <w:sz w:val="16"/>
          <w:szCs w:val="16"/>
        </w:rPr>
        <w:instrText xml:space="preserve"> ADDIN EN.CITE &lt;EndNote&gt;&lt;Cite&gt;&lt;Author&gt;Australian Government&lt;/Author&gt;&lt;Year&gt;2021&lt;/Year&gt;&lt;RecNum&gt;161&lt;/RecNum&gt;&lt;DisplayText&gt;&lt;style face="superscript"&gt;23&lt;/style&gt;&lt;/DisplayText&gt;&lt;record&gt;&lt;rec-number&gt;161&lt;/rec-number&gt;&lt;foreign-keys&gt;&lt;key app="EN" db-id="dawtr0zrkrzfa5edzzlpe2we0xa00t90vvr2" timestamp="1654857346"&gt;161&lt;/key&gt;&lt;/foreign-keys&gt;&lt;ref-type name="Web Page"&gt;12&lt;/ref-type&gt;&lt;contributors&gt;&lt;authors&gt;&lt;author&gt;Australian Government,&lt;/author&gt;&lt;/authors&gt;&lt;/contributors&gt;&lt;titles&gt;&lt;title&gt;Medicare Australia Statistics, Medicare Item Reports 2021&lt;/title&gt;&lt;/titles&gt;&lt;volume&gt;2022&lt;/volume&gt;&lt;number&gt;17 May 2022&lt;/number&gt;&lt;dates&gt;&lt;year&gt;2021&lt;/year&gt;&lt;/dates&gt;&lt;publisher&gt;Australian Government&lt;/publisher&gt;&lt;urls&gt;&lt;related-urls&gt;&lt;url&gt;http://medicarestatistics.humanservices.gov.au/statistics/mbs_item.jsp.&lt;/url&gt;&lt;/related-urls&gt;&lt;/urls&gt;&lt;/record&gt;&lt;/Cite&gt;&lt;/EndNote&gt;</w:instrText>
      </w:r>
      <w:r w:rsidR="00C8480E" w:rsidRPr="2CE273CD">
        <w:rPr>
          <w:rFonts w:asciiTheme="minorHAnsi" w:hAnsiTheme="minorHAnsi" w:cstheme="minorBidi"/>
          <w:sz w:val="16"/>
          <w:szCs w:val="16"/>
        </w:rPr>
        <w:fldChar w:fldCharType="separate"/>
      </w:r>
      <w:r w:rsidR="004469A2" w:rsidRPr="004469A2">
        <w:rPr>
          <w:rFonts w:asciiTheme="minorHAnsi" w:hAnsiTheme="minorHAnsi" w:cstheme="minorBidi"/>
          <w:noProof/>
          <w:sz w:val="16"/>
          <w:szCs w:val="16"/>
          <w:vertAlign w:val="superscript"/>
        </w:rPr>
        <w:t>23</w:t>
      </w:r>
      <w:r w:rsidR="00C8480E" w:rsidRPr="2CE273CD">
        <w:rPr>
          <w:rFonts w:asciiTheme="minorHAnsi" w:hAnsiTheme="minorHAnsi" w:cstheme="minorBidi"/>
          <w:sz w:val="16"/>
          <w:szCs w:val="16"/>
        </w:rPr>
        <w:fldChar w:fldCharType="end"/>
      </w:r>
      <w:r w:rsidRPr="2CE273CD">
        <w:rPr>
          <w:rFonts w:asciiTheme="minorHAnsi" w:hAnsiTheme="minorHAnsi" w:cstheme="minorBidi"/>
          <w:sz w:val="16"/>
          <w:szCs w:val="16"/>
        </w:rPr>
        <w:t xml:space="preserve"> Hospitalisations were costed using the national average cost of an acute admission to a public hospital from the 2016/2017 National Hospital Cost Data Collection</w:t>
      </w:r>
      <w:r w:rsidR="00121BC7" w:rsidRPr="2CE273CD">
        <w:rPr>
          <w:rFonts w:asciiTheme="minorHAnsi" w:hAnsiTheme="minorHAnsi" w:cstheme="minorBidi"/>
          <w:sz w:val="16"/>
          <w:szCs w:val="16"/>
        </w:rPr>
        <w:fldChar w:fldCharType="begin"/>
      </w:r>
      <w:r w:rsidR="004469A2">
        <w:rPr>
          <w:rFonts w:asciiTheme="minorHAnsi" w:hAnsiTheme="minorHAnsi" w:cstheme="minorBidi"/>
          <w:sz w:val="16"/>
          <w:szCs w:val="16"/>
        </w:rPr>
        <w:instrText xml:space="preserve"> ADDIN EN.CITE &lt;EndNote&gt;&lt;Cite&gt;&lt;Author&gt;Independent Hospital Pricing Authority&lt;/Author&gt;&lt;Year&gt;2020&lt;/Year&gt;&lt;RecNum&gt;164&lt;/RecNum&gt;&lt;DisplayText&gt;&lt;style face="superscript"&gt;85&lt;/style&gt;&lt;/DisplayText&gt;&lt;record&gt;&lt;rec-number&gt;164&lt;/rec-number&gt;&lt;foreign-keys&gt;&lt;key app="EN" db-id="dawtr0zrkrzfa5edzzlpe2we0xa00t90vvr2" timestamp="1654857579"&gt;164&lt;/key&gt;&lt;/foreign-keys&gt;&lt;ref-type name="Web Page"&gt;12&lt;/ref-type&gt;&lt;contributors&gt;&lt;authors&gt;&lt;author&gt;Independent Hospital Pricing Authority,&lt;/author&gt;&lt;/authors&gt;&lt;/contributors&gt;&lt;titles&gt;&lt;title&gt;National Hospital Cost Data Collection Report, Public Sector, Round 21 (Financial year 2016-17)&lt;/title&gt;&lt;/titles&gt;&lt;volume&gt;2020&lt;/volume&gt;&lt;number&gt;21 June 2020&lt;/number&gt;&lt;dates&gt;&lt;year&gt;2020&lt;/year&gt;&lt;/dates&gt;&lt;publisher&gt;IHPA&lt;/publisher&gt;&lt;urls&gt;&lt;related-urls&gt;&lt;url&gt;https://www.ihpa.gov.au/publications/national-hospital-cost-data-collection-report-public-sector-round-21-financial-year&lt;/url&gt;&lt;/related-urls&gt;&lt;/urls&gt;&lt;/record&gt;&lt;/Cite&gt;&lt;/EndNote&gt;</w:instrText>
      </w:r>
      <w:r w:rsidR="00121BC7" w:rsidRPr="2CE273CD">
        <w:rPr>
          <w:rFonts w:asciiTheme="minorHAnsi" w:hAnsiTheme="minorHAnsi" w:cstheme="minorBidi"/>
          <w:sz w:val="16"/>
          <w:szCs w:val="16"/>
        </w:rPr>
        <w:fldChar w:fldCharType="separate"/>
      </w:r>
      <w:r w:rsidR="004469A2" w:rsidRPr="004469A2">
        <w:rPr>
          <w:rFonts w:asciiTheme="minorHAnsi" w:hAnsiTheme="minorHAnsi" w:cstheme="minorBidi"/>
          <w:noProof/>
          <w:sz w:val="16"/>
          <w:szCs w:val="16"/>
          <w:vertAlign w:val="superscript"/>
        </w:rPr>
        <w:t>85</w:t>
      </w:r>
      <w:r w:rsidR="00121BC7" w:rsidRPr="2CE273CD">
        <w:rPr>
          <w:rFonts w:asciiTheme="minorHAnsi" w:hAnsiTheme="minorHAnsi" w:cstheme="minorBidi"/>
          <w:sz w:val="16"/>
          <w:szCs w:val="16"/>
        </w:rPr>
        <w:fldChar w:fldCharType="end"/>
      </w:r>
      <w:r w:rsidRPr="2CE273CD">
        <w:rPr>
          <w:rFonts w:asciiTheme="minorHAnsi" w:hAnsiTheme="minorHAnsi" w:cstheme="minorBidi"/>
          <w:sz w:val="16"/>
          <w:szCs w:val="16"/>
        </w:rPr>
        <w:t xml:space="preserve"> while emergency department visits used a national average cost derived from the same report. The cost of an ambulance call was based on a national average cost.</w:t>
      </w:r>
      <w:r w:rsidR="00E05AC5" w:rsidRPr="2CE273CD">
        <w:rPr>
          <w:rFonts w:asciiTheme="minorHAnsi" w:hAnsiTheme="minorHAnsi" w:cstheme="minorBidi"/>
          <w:sz w:val="16"/>
          <w:szCs w:val="16"/>
        </w:rPr>
        <w:fldChar w:fldCharType="begin"/>
      </w:r>
      <w:r w:rsidR="004469A2">
        <w:rPr>
          <w:rFonts w:asciiTheme="minorHAnsi" w:hAnsiTheme="minorHAnsi" w:cstheme="minorBidi"/>
          <w:sz w:val="16"/>
          <w:szCs w:val="16"/>
        </w:rPr>
        <w:instrText xml:space="preserve"> ADDIN EN.CITE &lt;EndNote&gt;&lt;Cite&gt;&lt;Author&gt;Australian Government&lt;/Author&gt;&lt;Year&gt;2019&lt;/Year&gt;&lt;RecNum&gt;160&lt;/RecNum&gt;&lt;DisplayText&gt;&lt;style face="superscript"&gt;86&lt;/style&gt;&lt;/DisplayText&gt;&lt;record&gt;&lt;rec-number&gt;160&lt;/rec-number&gt;&lt;foreign-keys&gt;&lt;key app="EN" db-id="dawtr0zrkrzfa5edzzlpe2we0xa00t90vvr2" timestamp="1654857346"&gt;160&lt;/key&gt;&lt;/foreign-keys&gt;&lt;ref-type name="Web Page"&gt;12&lt;/ref-type&gt;&lt;contributors&gt;&lt;authors&gt;&lt;author&gt;Australian Government,&lt;/author&gt;&lt;/authors&gt;&lt;/contributors&gt;&lt;titles&gt;&lt;title&gt;Report on Government Services: Ambulance services 2019&lt;/title&gt;&lt;/titles&gt;&lt;volume&gt;2022&lt;/volume&gt;&lt;number&gt;17 May 2022&lt;/number&gt;&lt;dates&gt;&lt;year&gt;2019&lt;/year&gt;&lt;/dates&gt;&lt;publisher&gt;Australian Government&lt;/publisher&gt;&lt;urls&gt;&lt;related-urls&gt;&lt;url&gt;https://www.pc.gov.au/research/ongoing/report-on-government-services/2019/health/ambulance-services/rogs-2019-parte-chapter11.pdf&lt;/url&gt;&lt;/related-urls&gt;&lt;/urls&gt;&lt;/record&gt;&lt;/Cite&gt;&lt;/EndNote&gt;</w:instrText>
      </w:r>
      <w:r w:rsidR="00E05AC5" w:rsidRPr="2CE273CD">
        <w:rPr>
          <w:rFonts w:asciiTheme="minorHAnsi" w:hAnsiTheme="minorHAnsi" w:cstheme="minorBidi"/>
          <w:sz w:val="16"/>
          <w:szCs w:val="16"/>
        </w:rPr>
        <w:fldChar w:fldCharType="separate"/>
      </w:r>
      <w:r w:rsidR="004469A2" w:rsidRPr="004469A2">
        <w:rPr>
          <w:rFonts w:asciiTheme="minorHAnsi" w:hAnsiTheme="minorHAnsi" w:cstheme="minorBidi"/>
          <w:noProof/>
          <w:sz w:val="16"/>
          <w:szCs w:val="16"/>
          <w:vertAlign w:val="superscript"/>
        </w:rPr>
        <w:t>86</w:t>
      </w:r>
      <w:r w:rsidR="00E05AC5" w:rsidRPr="2CE273CD">
        <w:rPr>
          <w:rFonts w:asciiTheme="minorHAnsi" w:hAnsiTheme="minorHAnsi" w:cstheme="minorBidi"/>
          <w:sz w:val="16"/>
          <w:szCs w:val="16"/>
        </w:rPr>
        <w:fldChar w:fldCharType="end"/>
      </w:r>
      <w:r w:rsidRPr="2CE273CD">
        <w:rPr>
          <w:rFonts w:asciiTheme="minorHAnsi" w:hAnsiTheme="minorHAnsi" w:cstheme="minorBidi"/>
          <w:sz w:val="16"/>
          <w:szCs w:val="16"/>
        </w:rPr>
        <w:t xml:space="preserve"> The human capital approach was used to value lost paid productivity using an average hourly wage rate calculated from the average weekly earnings reported by the Australian Bureau of Statistics plus 25% overhead costs</w:t>
      </w:r>
      <w:r w:rsidR="00230C62" w:rsidRPr="2CE273CD">
        <w:rPr>
          <w:rFonts w:asciiTheme="minorHAnsi" w:hAnsiTheme="minorHAnsi" w:cstheme="minorBidi"/>
          <w:sz w:val="16"/>
          <w:szCs w:val="16"/>
        </w:rPr>
        <w:t>.</w:t>
      </w:r>
      <w:r w:rsidR="00230C62" w:rsidRPr="2CE273CD">
        <w:rPr>
          <w:rFonts w:asciiTheme="minorHAnsi" w:hAnsiTheme="minorHAnsi" w:cstheme="minorBidi"/>
          <w:sz w:val="16"/>
          <w:szCs w:val="16"/>
        </w:rPr>
        <w:fldChar w:fldCharType="begin"/>
      </w:r>
      <w:r w:rsidR="004469A2">
        <w:rPr>
          <w:rFonts w:asciiTheme="minorHAnsi" w:hAnsiTheme="minorHAnsi" w:cstheme="minorBidi"/>
          <w:sz w:val="16"/>
          <w:szCs w:val="16"/>
        </w:rPr>
        <w:instrText xml:space="preserve"> ADDIN EN.CITE &lt;EndNote&gt;&lt;Cite&gt;&lt;Author&gt;Australian Bureau of Statistics&lt;/Author&gt;&lt;Year&gt;2019&lt;/Year&gt;&lt;RecNum&gt;171&lt;/RecNum&gt;&lt;DisplayText&gt;&lt;style face="superscript"&gt;87&lt;/style&gt;&lt;/DisplayText&gt;&lt;record&gt;&lt;rec-number&gt;171&lt;/rec-number&gt;&lt;foreign-keys&gt;&lt;key app="EN" db-id="dawtr0zrkrzfa5edzzlpe2we0xa00t90vvr2" timestamp="1654857977"&gt;171&lt;/key&gt;&lt;/foreign-keys&gt;&lt;ref-type name="Web Page"&gt;12&lt;/ref-type&gt;&lt;contributors&gt;&lt;authors&gt;&lt;author&gt;Australian Bureau of Statistics,&lt;/author&gt;&lt;/authors&gt;&lt;/contributors&gt;&lt;titles&gt;&lt;title&gt;6306.0 - Employee Earnings and Hours, Australia, May 2018 &lt;/title&gt;&lt;/titles&gt;&lt;dates&gt;&lt;year&gt;2019&lt;/year&gt;&lt;/dates&gt;&lt;publisher&gt;Commonwealth of Australia&lt;/publisher&gt;&lt;urls&gt;&lt;related-urls&gt;&lt;url&gt;https://www.abs.gov.au/AUSSTATS/abs@.nsf/Lookup/6306.0Main+Features1May%202018&lt;/url&gt;&lt;/related-urls&gt;&lt;/urls&gt;&lt;/record&gt;&lt;/Cite&gt;&lt;/EndNote&gt;</w:instrText>
      </w:r>
      <w:r w:rsidR="00230C62" w:rsidRPr="2CE273CD">
        <w:rPr>
          <w:rFonts w:asciiTheme="minorHAnsi" w:hAnsiTheme="minorHAnsi" w:cstheme="minorBidi"/>
          <w:sz w:val="16"/>
          <w:szCs w:val="16"/>
        </w:rPr>
        <w:fldChar w:fldCharType="separate"/>
      </w:r>
      <w:r w:rsidR="004469A2" w:rsidRPr="004469A2">
        <w:rPr>
          <w:rFonts w:asciiTheme="minorHAnsi" w:hAnsiTheme="minorHAnsi" w:cstheme="minorBidi"/>
          <w:noProof/>
          <w:sz w:val="16"/>
          <w:szCs w:val="16"/>
          <w:vertAlign w:val="superscript"/>
        </w:rPr>
        <w:t>87</w:t>
      </w:r>
      <w:r w:rsidR="00230C62" w:rsidRPr="2CE273CD">
        <w:rPr>
          <w:rFonts w:asciiTheme="minorHAnsi" w:hAnsiTheme="minorHAnsi" w:cstheme="minorBidi"/>
          <w:sz w:val="16"/>
          <w:szCs w:val="16"/>
        </w:rPr>
        <w:fldChar w:fldCharType="end"/>
      </w:r>
      <w:r w:rsidRPr="2CE273CD">
        <w:rPr>
          <w:rFonts w:asciiTheme="minorHAnsi" w:hAnsiTheme="minorHAnsi" w:cstheme="minorBidi"/>
          <w:sz w:val="16"/>
          <w:szCs w:val="16"/>
        </w:rPr>
        <w:t xml:space="preserve"> Time off from unpaid activities (i.e., housework) was valued at 25% of the average wage rate plus overhead costs to represent the value of participants’ lost leisure time.</w:t>
      </w:r>
    </w:p>
    <w:p w14:paraId="24286620" w14:textId="4797022E" w:rsidR="00F6075C" w:rsidRPr="00F6075C" w:rsidRDefault="00F6075C" w:rsidP="5128B16E">
      <w:pPr>
        <w:pStyle w:val="Heading2"/>
        <w:numPr>
          <w:ilvl w:val="1"/>
          <w:numId w:val="146"/>
        </w:numPr>
        <w:rPr>
          <w:b w:val="0"/>
          <w:bCs w:val="0"/>
          <w:iCs w:val="0"/>
        </w:rPr>
      </w:pPr>
      <w:bookmarkStart w:id="302" w:name="_Toc108784904"/>
      <w:r w:rsidRPr="00F6075C">
        <w:t>Cost-effectiveness modelling</w:t>
      </w:r>
      <w:bookmarkEnd w:id="302"/>
    </w:p>
    <w:p w14:paraId="3CE2AE25" w14:textId="77777777" w:rsidR="00F6075C" w:rsidRPr="00F6075C" w:rsidRDefault="00F6075C" w:rsidP="436C6BA7">
      <w:pPr>
        <w:spacing w:after="240"/>
        <w:rPr>
          <w:rFonts w:ascii="Calibri" w:hAnsi="Calibri" w:cs="Arial"/>
          <w:iCs/>
          <w:color w:val="000000" w:themeColor="text1"/>
          <w:sz w:val="21"/>
          <w:szCs w:val="21"/>
          <w:lang w:eastAsia="zh-CN"/>
        </w:rPr>
      </w:pPr>
      <w:r w:rsidRPr="00F6075C">
        <w:rPr>
          <w:rFonts w:ascii="Calibri" w:hAnsi="Calibri" w:cs="Arial"/>
          <w:iCs/>
          <w:color w:val="000000" w:themeColor="text1"/>
          <w:sz w:val="21"/>
          <w:szCs w:val="21"/>
          <w:lang w:eastAsia="zh-CN"/>
        </w:rPr>
        <w:t xml:space="preserve">To address the key evaluation question of how cost-effective Australian Government funded supported online mental health treatment services are compared with usual care, we developed an economic model using a simple decision tree structure, with quality-adjusted life years (QALYs) as the outcome measure. A QALY is a widely used health index that combines both health-related quality of life and length of life – one QALY is equal to one year of life in full health. Briefly, QALYs are determined by weighting the length of life (or length of time spent in a particular health state) by a weight denoting the quality of that health state. The weights are commonly referred to as utility weights and are often derived from health-related quality of life questionnaires with added utility weight scoring algorithms (such as the </w:t>
      </w:r>
      <w:proofErr w:type="spellStart"/>
      <w:r w:rsidRPr="00F6075C">
        <w:rPr>
          <w:rFonts w:ascii="Calibri" w:hAnsi="Calibri" w:cs="Arial"/>
          <w:iCs/>
          <w:color w:val="000000" w:themeColor="text1"/>
          <w:sz w:val="21"/>
          <w:szCs w:val="21"/>
          <w:lang w:eastAsia="zh-CN"/>
        </w:rPr>
        <w:t>EuroQoL</w:t>
      </w:r>
      <w:proofErr w:type="spellEnd"/>
      <w:r w:rsidRPr="00F6075C">
        <w:rPr>
          <w:rFonts w:ascii="Calibri" w:hAnsi="Calibri" w:cs="Arial"/>
          <w:iCs/>
          <w:color w:val="000000" w:themeColor="text1"/>
          <w:sz w:val="21"/>
          <w:szCs w:val="21"/>
          <w:lang w:eastAsia="zh-CN"/>
        </w:rPr>
        <w:t xml:space="preserve"> five-dimensional questionnaire). </w:t>
      </w:r>
    </w:p>
    <w:p w14:paraId="2593F213" w14:textId="0B235208" w:rsidR="00F6075C" w:rsidRPr="00F6075C" w:rsidRDefault="00F6075C" w:rsidP="5128B16E">
      <w:pPr>
        <w:spacing w:after="240"/>
        <w:rPr>
          <w:rFonts w:ascii="Calibri" w:hAnsi="Calibri" w:cs="Arial"/>
          <w:iCs/>
          <w:color w:val="000000" w:themeColor="text1"/>
          <w:sz w:val="21"/>
          <w:szCs w:val="21"/>
          <w:lang w:eastAsia="zh-CN"/>
        </w:rPr>
      </w:pPr>
      <w:r w:rsidRPr="00F6075C">
        <w:rPr>
          <w:rFonts w:ascii="Calibri" w:hAnsi="Calibri" w:cs="Arial"/>
          <w:iCs/>
          <w:color w:val="000000" w:themeColor="text1"/>
          <w:sz w:val="21"/>
          <w:szCs w:val="21"/>
          <w:lang w:eastAsia="zh-CN"/>
        </w:rPr>
        <w:t xml:space="preserve">A schematic representation of our decision tree model is presented by Figure </w:t>
      </w:r>
      <w:r w:rsidR="00C754B0">
        <w:rPr>
          <w:rFonts w:ascii="Calibri" w:hAnsi="Calibri" w:cs="Arial"/>
          <w:iCs/>
          <w:color w:val="000000" w:themeColor="text1"/>
          <w:sz w:val="21"/>
          <w:szCs w:val="21"/>
          <w:lang w:eastAsia="zh-CN"/>
        </w:rPr>
        <w:t>L1</w:t>
      </w:r>
      <w:r w:rsidRPr="00F6075C">
        <w:rPr>
          <w:rFonts w:ascii="Calibri" w:hAnsi="Calibri" w:cs="Arial"/>
          <w:iCs/>
          <w:color w:val="000000" w:themeColor="text1"/>
          <w:sz w:val="21"/>
          <w:szCs w:val="21"/>
          <w:lang w:eastAsia="zh-CN"/>
        </w:rPr>
        <w:t xml:space="preserve"> in Appendix</w:t>
      </w:r>
      <w:r w:rsidRPr="3260B4E5">
        <w:rPr>
          <w:rFonts w:ascii="Calibri" w:hAnsi="Calibri" w:cs="Arial"/>
          <w:color w:val="000000" w:themeColor="text1"/>
          <w:sz w:val="21"/>
          <w:szCs w:val="21"/>
          <w:lang w:eastAsia="zh-CN"/>
        </w:rPr>
        <w:t xml:space="preserve"> L</w:t>
      </w:r>
      <w:r w:rsidRPr="00F6075C">
        <w:rPr>
          <w:rFonts w:ascii="Calibri" w:hAnsi="Calibri" w:cs="Arial"/>
          <w:iCs/>
          <w:color w:val="000000" w:themeColor="text1"/>
          <w:sz w:val="21"/>
          <w:szCs w:val="21"/>
          <w:lang w:eastAsia="zh-CN"/>
        </w:rPr>
        <w:t xml:space="preserve">. Briefly, the model simulated how population cohorts move between four health states over a </w:t>
      </w:r>
      <w:r w:rsidR="00A433C7" w:rsidRPr="00F6075C">
        <w:rPr>
          <w:rFonts w:ascii="Calibri" w:hAnsi="Calibri" w:cs="Arial"/>
          <w:iCs/>
          <w:color w:val="000000" w:themeColor="text1"/>
          <w:sz w:val="21"/>
          <w:szCs w:val="21"/>
          <w:lang w:eastAsia="zh-CN"/>
        </w:rPr>
        <w:t>1-year</w:t>
      </w:r>
      <w:r w:rsidRPr="00F6075C">
        <w:rPr>
          <w:rFonts w:ascii="Calibri" w:hAnsi="Calibri" w:cs="Arial"/>
          <w:iCs/>
          <w:color w:val="000000" w:themeColor="text1"/>
          <w:sz w:val="21"/>
          <w:szCs w:val="21"/>
          <w:lang w:eastAsia="zh-CN"/>
        </w:rPr>
        <w:t xml:space="preserve"> period. The model population is the number of consumers completing assessment at the respective DMHS and eligible for treatment. The four health states were: (</w:t>
      </w:r>
      <w:proofErr w:type="spellStart"/>
      <w:r w:rsidRPr="00F6075C">
        <w:rPr>
          <w:rFonts w:ascii="Calibri" w:hAnsi="Calibri" w:cs="Arial"/>
          <w:iCs/>
          <w:color w:val="000000" w:themeColor="text1"/>
          <w:sz w:val="21"/>
          <w:szCs w:val="21"/>
          <w:lang w:eastAsia="zh-CN"/>
        </w:rPr>
        <w:t>i</w:t>
      </w:r>
      <w:proofErr w:type="spellEnd"/>
      <w:r w:rsidRPr="00F6075C">
        <w:rPr>
          <w:rFonts w:ascii="Calibri" w:hAnsi="Calibri" w:cs="Arial"/>
          <w:iCs/>
          <w:color w:val="000000" w:themeColor="text1"/>
          <w:sz w:val="21"/>
          <w:szCs w:val="21"/>
          <w:lang w:eastAsia="zh-CN"/>
        </w:rPr>
        <w:t>) fully recovered, (ii) partially recovered, (iii) no improvement and (iv) deteriorated. These health states were based on diagnostic cut-off points of instruments that measure depression and anxiety such as the PHQ-9 and GAD-7 (Lee et al, 2017).</w:t>
      </w:r>
      <w:r w:rsidR="009973A1">
        <w:rPr>
          <w:rFonts w:ascii="Calibri" w:hAnsi="Calibri" w:cs="Arial"/>
          <w:iCs/>
          <w:color w:val="000000" w:themeColor="text1"/>
          <w:sz w:val="21"/>
          <w:szCs w:val="21"/>
          <w:lang w:eastAsia="zh-CN"/>
        </w:rPr>
        <w:fldChar w:fldCharType="begin"/>
      </w:r>
      <w:r w:rsidR="009973A1">
        <w:rPr>
          <w:rFonts w:ascii="Calibri" w:hAnsi="Calibri" w:cs="Arial"/>
          <w:iCs/>
          <w:color w:val="000000" w:themeColor="text1"/>
          <w:sz w:val="21"/>
          <w:szCs w:val="21"/>
          <w:lang w:eastAsia="zh-CN"/>
        </w:rPr>
        <w:instrText xml:space="preserve"> ADDIN EN.CITE &lt;EndNote&gt;&lt;Cite&gt;&lt;Author&gt;Lee&lt;/Author&gt;&lt;Year&gt;2017&lt;/Year&gt;&lt;RecNum&gt;27&lt;/RecNum&gt;&lt;DisplayText&gt;&lt;style face="superscript"&gt;83&lt;/style&gt;&lt;/DisplayText&gt;&lt;record&gt;&lt;rec-number&gt;27&lt;/rec-number&gt;&lt;foreign-keys&gt;&lt;key app="EN" db-id="dawtr0zrkrzfa5edzzlpe2we0xa00t90vvr2" timestamp="1623067866"&gt;27&lt;/key&gt;&lt;/foreign-keys&gt;&lt;ref-type name="Journal Article"&gt;17&lt;/ref-type&gt;&lt;contributors&gt;&lt;authors&gt;&lt;author&gt;Lee, Yu-Chen&lt;/author&gt;&lt;author&gt;Gao, Lan&lt;/author&gt;&lt;author&gt;Dear, Blake F&lt;/author&gt;&lt;author&gt;Titov, Nickolai&lt;/author&gt;&lt;author&gt;Mihalopoulos, Cathrine&lt;/author&gt;&lt;/authors&gt;&lt;/contributors&gt;&lt;titles&gt;&lt;title&gt;The cost-effectiveness of the online MindSpot Clinic for the treatment of depression and anxiety in Australia&lt;/title&gt;&lt;secondary-title&gt;J Ment Health Policy Econ&lt;/secondary-title&gt;&lt;/titles&gt;&lt;periodical&gt;&lt;full-title&gt;J Ment Health Policy Econ&lt;/full-title&gt;&lt;/periodical&gt;&lt;pages&gt;155-166&lt;/pages&gt;&lt;volume&gt;20&lt;/volume&gt;&lt;number&gt;4&lt;/number&gt;&lt;dates&gt;&lt;year&gt;2017&lt;/year&gt;&lt;/dates&gt;&lt;urls&gt;&lt;/urls&gt;&lt;/record&gt;&lt;/Cite&gt;&lt;/EndNote&gt;</w:instrText>
      </w:r>
      <w:r w:rsidR="009973A1">
        <w:rPr>
          <w:rFonts w:ascii="Calibri" w:hAnsi="Calibri" w:cs="Arial"/>
          <w:iCs/>
          <w:color w:val="000000" w:themeColor="text1"/>
          <w:sz w:val="21"/>
          <w:szCs w:val="21"/>
          <w:lang w:eastAsia="zh-CN"/>
        </w:rPr>
        <w:fldChar w:fldCharType="separate"/>
      </w:r>
      <w:r w:rsidR="009973A1" w:rsidRPr="009973A1">
        <w:rPr>
          <w:rFonts w:ascii="Calibri" w:hAnsi="Calibri" w:cs="Arial"/>
          <w:iCs/>
          <w:noProof/>
          <w:color w:val="000000" w:themeColor="text1"/>
          <w:sz w:val="21"/>
          <w:szCs w:val="21"/>
          <w:vertAlign w:val="superscript"/>
          <w:lang w:eastAsia="zh-CN"/>
        </w:rPr>
        <w:t>83</w:t>
      </w:r>
      <w:r w:rsidR="009973A1">
        <w:rPr>
          <w:rFonts w:ascii="Calibri" w:hAnsi="Calibri" w:cs="Arial"/>
          <w:iCs/>
          <w:color w:val="000000" w:themeColor="text1"/>
          <w:sz w:val="21"/>
          <w:szCs w:val="21"/>
          <w:lang w:eastAsia="zh-CN"/>
        </w:rPr>
        <w:fldChar w:fldCharType="end"/>
      </w:r>
      <w:r w:rsidRPr="00F6075C">
        <w:rPr>
          <w:rFonts w:ascii="Calibri" w:hAnsi="Calibri" w:cs="Arial"/>
          <w:iCs/>
          <w:color w:val="000000" w:themeColor="text1"/>
          <w:sz w:val="21"/>
          <w:szCs w:val="21"/>
          <w:lang w:eastAsia="zh-CN"/>
        </w:rPr>
        <w:t xml:space="preserve"> Transition probabilities (the probability of moving from one health state to another) were estimated based on routinely collected data provided by the DMHSs or peer-reviewed publications, in particular the proportion of consumers experiencing improvement, deterioration or no change in symptoms after commencing treatment. Further details about the transition probabilities can be found in sub-section </w:t>
      </w:r>
      <w:r w:rsidR="00C754B0">
        <w:rPr>
          <w:rFonts w:ascii="Calibri" w:hAnsi="Calibri" w:cs="Arial"/>
          <w:iCs/>
          <w:color w:val="000000" w:themeColor="text1"/>
          <w:sz w:val="21"/>
          <w:szCs w:val="21"/>
          <w:lang w:eastAsia="zh-CN"/>
        </w:rPr>
        <w:t>L3</w:t>
      </w:r>
      <w:r w:rsidRPr="00F6075C">
        <w:rPr>
          <w:rFonts w:ascii="Calibri" w:hAnsi="Calibri" w:cs="Arial"/>
          <w:iCs/>
          <w:color w:val="000000" w:themeColor="text1"/>
          <w:sz w:val="21"/>
          <w:szCs w:val="21"/>
          <w:lang w:eastAsia="zh-CN"/>
        </w:rPr>
        <w:t>.1 in Appendix</w:t>
      </w:r>
      <w:r w:rsidRPr="3260B4E5">
        <w:rPr>
          <w:rFonts w:ascii="Calibri" w:hAnsi="Calibri" w:cs="Arial"/>
          <w:color w:val="000000" w:themeColor="text1"/>
          <w:sz w:val="21"/>
          <w:szCs w:val="21"/>
          <w:lang w:eastAsia="zh-CN"/>
        </w:rPr>
        <w:t xml:space="preserve"> L</w:t>
      </w:r>
      <w:r w:rsidRPr="00F6075C">
        <w:rPr>
          <w:rFonts w:ascii="Calibri" w:hAnsi="Calibri" w:cs="Arial"/>
          <w:iCs/>
          <w:color w:val="000000" w:themeColor="text1"/>
          <w:sz w:val="21"/>
          <w:szCs w:val="21"/>
          <w:lang w:eastAsia="zh-CN"/>
        </w:rPr>
        <w:t xml:space="preserve">. The utility </w:t>
      </w:r>
      <w:r w:rsidRPr="00F6075C">
        <w:rPr>
          <w:rFonts w:ascii="Calibri" w:eastAsiaTheme="minorEastAsia" w:hAnsi="Calibri" w:cs="Arial"/>
          <w:iCs/>
          <w:color w:val="000000" w:themeColor="text1"/>
          <w:sz w:val="21"/>
          <w:szCs w:val="21"/>
          <w:lang w:eastAsia="zh-CN"/>
        </w:rPr>
        <w:t>weights</w:t>
      </w:r>
      <w:r w:rsidRPr="00F6075C">
        <w:rPr>
          <w:rFonts w:ascii="Calibri" w:hAnsi="Calibri" w:cs="Arial"/>
          <w:iCs/>
          <w:color w:val="000000" w:themeColor="text1"/>
          <w:sz w:val="21"/>
          <w:szCs w:val="21"/>
          <w:lang w:eastAsia="zh-CN"/>
        </w:rPr>
        <w:t xml:space="preserve"> used to calculate QALYs in our model were derived from individual-level and population-representative datasets with clinical outcomes as described in Lee et al (2017)</w:t>
      </w:r>
      <w:r w:rsidR="00233528">
        <w:rPr>
          <w:rFonts w:ascii="Calibri" w:hAnsi="Calibri" w:cs="Arial"/>
          <w:iCs/>
          <w:color w:val="000000" w:themeColor="text1"/>
          <w:sz w:val="21"/>
          <w:szCs w:val="21"/>
          <w:lang w:eastAsia="zh-CN"/>
        </w:rPr>
        <w:fldChar w:fldCharType="begin"/>
      </w:r>
      <w:r w:rsidR="00233528">
        <w:rPr>
          <w:rFonts w:ascii="Calibri" w:hAnsi="Calibri" w:cs="Arial"/>
          <w:iCs/>
          <w:color w:val="000000" w:themeColor="text1"/>
          <w:sz w:val="21"/>
          <w:szCs w:val="21"/>
          <w:lang w:eastAsia="zh-CN"/>
        </w:rPr>
        <w:instrText xml:space="preserve"> ADDIN EN.CITE &lt;EndNote&gt;&lt;Cite&gt;&lt;Author&gt;Lee&lt;/Author&gt;&lt;Year&gt;2017&lt;/Year&gt;&lt;RecNum&gt;27&lt;/RecNum&gt;&lt;DisplayText&gt;&lt;style face="superscript"&gt;83&lt;/style&gt;&lt;/DisplayText&gt;&lt;record&gt;&lt;rec-number&gt;27&lt;/rec-number&gt;&lt;foreign-keys&gt;&lt;key app="EN" db-id="dawtr0zrkrzfa5edzzlpe2we0xa00t90vvr2" timestamp="1623067866"&gt;27&lt;/key&gt;&lt;/foreign-keys&gt;&lt;ref-type name="Journal Article"&gt;17&lt;/ref-type&gt;&lt;contributors&gt;&lt;authors&gt;&lt;author&gt;Lee, Yu-Chen&lt;/author&gt;&lt;author&gt;Gao, Lan&lt;/author&gt;&lt;author&gt;Dear, Blake F&lt;/author&gt;&lt;author&gt;Titov, Nickolai&lt;/author&gt;&lt;author&gt;Mihalopoulos, Cathrine&lt;/author&gt;&lt;/authors&gt;&lt;/contributors&gt;&lt;titles&gt;&lt;title&gt;The cost-effectiveness of the online MindSpot Clinic for the treatment of depression and anxiety in Australia&lt;/title&gt;&lt;secondary-title&gt;J Ment Health Policy Econ&lt;/secondary-title&gt;&lt;/titles&gt;&lt;periodical&gt;&lt;full-title&gt;J Ment Health Policy Econ&lt;/full-title&gt;&lt;/periodical&gt;&lt;pages&gt;155-166&lt;/pages&gt;&lt;volume&gt;20&lt;/volume&gt;&lt;number&gt;4&lt;/number&gt;&lt;dates&gt;&lt;year&gt;2017&lt;/year&gt;&lt;/dates&gt;&lt;urls&gt;&lt;/urls&gt;&lt;/record&gt;&lt;/Cite&gt;&lt;/EndNote&gt;</w:instrText>
      </w:r>
      <w:r w:rsidR="00233528">
        <w:rPr>
          <w:rFonts w:ascii="Calibri" w:hAnsi="Calibri" w:cs="Arial"/>
          <w:iCs/>
          <w:color w:val="000000" w:themeColor="text1"/>
          <w:sz w:val="21"/>
          <w:szCs w:val="21"/>
          <w:lang w:eastAsia="zh-CN"/>
        </w:rPr>
        <w:fldChar w:fldCharType="separate"/>
      </w:r>
      <w:r w:rsidR="00233528" w:rsidRPr="00233528">
        <w:rPr>
          <w:rFonts w:ascii="Calibri" w:hAnsi="Calibri" w:cs="Arial"/>
          <w:iCs/>
          <w:noProof/>
          <w:color w:val="000000" w:themeColor="text1"/>
          <w:sz w:val="21"/>
          <w:szCs w:val="21"/>
          <w:vertAlign w:val="superscript"/>
          <w:lang w:eastAsia="zh-CN"/>
        </w:rPr>
        <w:t>83</w:t>
      </w:r>
      <w:r w:rsidR="00233528">
        <w:rPr>
          <w:rFonts w:ascii="Calibri" w:hAnsi="Calibri" w:cs="Arial"/>
          <w:iCs/>
          <w:color w:val="000000" w:themeColor="text1"/>
          <w:sz w:val="21"/>
          <w:szCs w:val="21"/>
          <w:lang w:eastAsia="zh-CN"/>
        </w:rPr>
        <w:fldChar w:fldCharType="end"/>
      </w:r>
      <w:r w:rsidRPr="00F6075C">
        <w:rPr>
          <w:rFonts w:ascii="Calibri" w:hAnsi="Calibri" w:cs="Arial"/>
          <w:iCs/>
          <w:color w:val="000000" w:themeColor="text1"/>
          <w:sz w:val="21"/>
          <w:szCs w:val="21"/>
          <w:lang w:eastAsia="zh-CN"/>
        </w:rPr>
        <w:t xml:space="preserve"> (further details are presented in sub-section </w:t>
      </w:r>
      <w:r w:rsidR="00C754B0">
        <w:rPr>
          <w:rFonts w:ascii="Calibri" w:hAnsi="Calibri" w:cs="Arial"/>
          <w:iCs/>
          <w:color w:val="000000" w:themeColor="text1"/>
          <w:sz w:val="21"/>
          <w:szCs w:val="21"/>
          <w:lang w:eastAsia="zh-CN"/>
        </w:rPr>
        <w:t>L3</w:t>
      </w:r>
      <w:r w:rsidRPr="00F6075C">
        <w:rPr>
          <w:rFonts w:ascii="Calibri" w:hAnsi="Calibri" w:cs="Arial"/>
          <w:iCs/>
          <w:color w:val="000000" w:themeColor="text1"/>
          <w:sz w:val="21"/>
          <w:szCs w:val="21"/>
          <w:lang w:eastAsia="zh-CN"/>
        </w:rPr>
        <w:t>.2 in Appendix</w:t>
      </w:r>
      <w:r w:rsidRPr="3260B4E5">
        <w:rPr>
          <w:rFonts w:ascii="Calibri" w:hAnsi="Calibri" w:cs="Arial"/>
          <w:color w:val="000000" w:themeColor="text1"/>
          <w:sz w:val="21"/>
          <w:szCs w:val="21"/>
          <w:lang w:eastAsia="zh-CN"/>
        </w:rPr>
        <w:t xml:space="preserve"> L</w:t>
      </w:r>
      <w:r w:rsidRPr="00F6075C">
        <w:rPr>
          <w:rFonts w:ascii="Calibri" w:hAnsi="Calibri" w:cs="Arial"/>
          <w:iCs/>
          <w:color w:val="000000" w:themeColor="text1"/>
          <w:sz w:val="21"/>
          <w:szCs w:val="21"/>
          <w:lang w:eastAsia="zh-CN"/>
        </w:rPr>
        <w:t>).</w:t>
      </w:r>
    </w:p>
    <w:p w14:paraId="0761F8A8" w14:textId="650EB5C6" w:rsidR="00F6075C" w:rsidRPr="00F6075C" w:rsidRDefault="00F6075C" w:rsidP="5128B16E">
      <w:pPr>
        <w:spacing w:after="240"/>
        <w:rPr>
          <w:rFonts w:ascii="Calibri" w:hAnsi="Calibri" w:cs="Arial"/>
          <w:iCs/>
          <w:color w:val="000000" w:themeColor="text1"/>
          <w:sz w:val="21"/>
          <w:szCs w:val="21"/>
          <w:lang w:eastAsia="zh-CN"/>
        </w:rPr>
      </w:pPr>
      <w:r w:rsidRPr="00F6075C">
        <w:rPr>
          <w:rFonts w:asciiTheme="minorHAnsi" w:eastAsiaTheme="minorEastAsia" w:hAnsiTheme="minorHAnsi" w:cstheme="minorBidi"/>
          <w:sz w:val="21"/>
          <w:szCs w:val="21"/>
          <w:lang w:eastAsia="zh-CN"/>
        </w:rPr>
        <w:lastRenderedPageBreak/>
        <w:t xml:space="preserve">Given that the DMHSs have already been in operation well before this evaluation project was commissioned, it was not pragmatic to implement a randomised controlled trial (RCT) to evaluate a </w:t>
      </w:r>
      <w:r w:rsidRPr="00F6075C">
        <w:rPr>
          <w:rFonts w:asciiTheme="minorHAnsi" w:eastAsiaTheme="minorEastAsia" w:hAnsiTheme="minorHAnsi" w:cstheme="minorBidi"/>
          <w:i/>
          <w:sz w:val="21"/>
          <w:szCs w:val="21"/>
          <w:lang w:eastAsia="zh-CN"/>
        </w:rPr>
        <w:t>concurrent</w:t>
      </w:r>
      <w:r w:rsidRPr="00F6075C">
        <w:rPr>
          <w:rFonts w:asciiTheme="minorHAnsi" w:eastAsiaTheme="minorEastAsia" w:hAnsiTheme="minorHAnsi" w:cstheme="minorBidi"/>
          <w:sz w:val="21"/>
          <w:szCs w:val="21"/>
          <w:lang w:eastAsia="zh-CN"/>
        </w:rPr>
        <w:t xml:space="preserve"> comparator group, which is the care that people who use these services would receive if the DMHSs were not available. As previously mentioned, we used data from two recent RCTs of mental health care located in primary care based in Australia – the Link-me RCT and the Target-D RCT – to construct </w:t>
      </w:r>
      <w:r w:rsidRPr="00F6075C">
        <w:rPr>
          <w:rFonts w:asciiTheme="minorHAnsi" w:hAnsiTheme="minorHAnsi" w:cstheme="minorBidi"/>
          <w:sz w:val="21"/>
          <w:szCs w:val="21"/>
          <w:lang w:eastAsia="zh-CN"/>
        </w:rPr>
        <w:t>indirect comparator groups representing usual care.</w:t>
      </w:r>
      <w:r w:rsidRPr="00F6075C">
        <w:rPr>
          <w:rFonts w:asciiTheme="minorHAnsi" w:eastAsiaTheme="minorEastAsia" w:hAnsiTheme="minorHAnsi" w:cstheme="minorBidi"/>
          <w:sz w:val="21"/>
          <w:szCs w:val="21"/>
          <w:lang w:eastAsia="zh-CN"/>
        </w:rPr>
        <w:t xml:space="preserve"> The transition probabilities and utility weights for these indirect comparator groups were based on the values estimated by Lee et al (2017),</w:t>
      </w:r>
      <w:r w:rsidR="00324F27">
        <w:rPr>
          <w:rFonts w:asciiTheme="minorHAnsi" w:eastAsiaTheme="minorEastAsia" w:hAnsiTheme="minorHAnsi" w:cstheme="minorBidi"/>
          <w:sz w:val="21"/>
          <w:szCs w:val="21"/>
          <w:lang w:eastAsia="zh-CN"/>
        </w:rPr>
        <w:fldChar w:fldCharType="begin"/>
      </w:r>
      <w:r w:rsidR="00324F27">
        <w:rPr>
          <w:rFonts w:asciiTheme="minorHAnsi" w:eastAsiaTheme="minorEastAsia" w:hAnsiTheme="minorHAnsi" w:cstheme="minorBidi"/>
          <w:sz w:val="21"/>
          <w:szCs w:val="21"/>
          <w:lang w:eastAsia="zh-CN"/>
        </w:rPr>
        <w:instrText xml:space="preserve"> ADDIN EN.CITE &lt;EndNote&gt;&lt;Cite&gt;&lt;Author&gt;Lee&lt;/Author&gt;&lt;Year&gt;2017&lt;/Year&gt;&lt;RecNum&gt;27&lt;/RecNum&gt;&lt;DisplayText&gt;&lt;style face="superscript"&gt;83&lt;/style&gt;&lt;/DisplayText&gt;&lt;record&gt;&lt;rec-number&gt;27&lt;/rec-number&gt;&lt;foreign-keys&gt;&lt;key app="EN" db-id="dawtr0zrkrzfa5edzzlpe2we0xa00t90vvr2" timestamp="1623067866"&gt;27&lt;/key&gt;&lt;/foreign-keys&gt;&lt;ref-type name="Journal Article"&gt;17&lt;/ref-type&gt;&lt;contributors&gt;&lt;authors&gt;&lt;author&gt;Lee, Yu-Chen&lt;/author&gt;&lt;author&gt;Gao, Lan&lt;/author&gt;&lt;author&gt;Dear, Blake F&lt;/author&gt;&lt;author&gt;Titov, Nickolai&lt;/author&gt;&lt;author&gt;Mihalopoulos, Cathrine&lt;/author&gt;&lt;/authors&gt;&lt;/contributors&gt;&lt;titles&gt;&lt;title&gt;The cost-effectiveness of the online MindSpot Clinic for the treatment of depression and anxiety in Australia&lt;/title&gt;&lt;secondary-title&gt;J Ment Health Policy Econ&lt;/secondary-title&gt;&lt;/titles&gt;&lt;periodical&gt;&lt;full-title&gt;J Ment Health Policy Econ&lt;/full-title&gt;&lt;/periodical&gt;&lt;pages&gt;155-166&lt;/pages&gt;&lt;volume&gt;20&lt;/volume&gt;&lt;number&gt;4&lt;/number&gt;&lt;dates&gt;&lt;year&gt;2017&lt;/year&gt;&lt;/dates&gt;&lt;urls&gt;&lt;/urls&gt;&lt;/record&gt;&lt;/Cite&gt;&lt;/EndNote&gt;</w:instrText>
      </w:r>
      <w:r w:rsidR="00324F27">
        <w:rPr>
          <w:rFonts w:asciiTheme="minorHAnsi" w:eastAsiaTheme="minorEastAsia" w:hAnsiTheme="minorHAnsi" w:cstheme="minorBidi"/>
          <w:sz w:val="21"/>
          <w:szCs w:val="21"/>
          <w:lang w:eastAsia="zh-CN"/>
        </w:rPr>
        <w:fldChar w:fldCharType="separate"/>
      </w:r>
      <w:r w:rsidR="00324F27" w:rsidRPr="00324F27">
        <w:rPr>
          <w:rFonts w:asciiTheme="minorHAnsi" w:eastAsiaTheme="minorEastAsia" w:hAnsiTheme="minorHAnsi" w:cstheme="minorBidi"/>
          <w:noProof/>
          <w:sz w:val="21"/>
          <w:szCs w:val="21"/>
          <w:vertAlign w:val="superscript"/>
          <w:lang w:eastAsia="zh-CN"/>
        </w:rPr>
        <w:t>83</w:t>
      </w:r>
      <w:r w:rsidR="00324F27">
        <w:rPr>
          <w:rFonts w:asciiTheme="minorHAnsi" w:eastAsiaTheme="minorEastAsia" w:hAnsiTheme="minorHAnsi" w:cstheme="minorBidi"/>
          <w:sz w:val="21"/>
          <w:szCs w:val="21"/>
          <w:lang w:eastAsia="zh-CN"/>
        </w:rPr>
        <w:fldChar w:fldCharType="end"/>
      </w:r>
      <w:r w:rsidRPr="00F6075C">
        <w:rPr>
          <w:rFonts w:asciiTheme="minorHAnsi" w:eastAsiaTheme="minorEastAsia" w:hAnsiTheme="minorHAnsi" w:cstheme="minorBidi"/>
          <w:sz w:val="21"/>
          <w:szCs w:val="21"/>
          <w:lang w:eastAsia="zh-CN"/>
        </w:rPr>
        <w:t xml:space="preserve"> which in turn were based on data from the National Survey of Mental Health and Wellbeing and individual-level dataset provided by </w:t>
      </w:r>
      <w:proofErr w:type="spellStart"/>
      <w:r w:rsidRPr="00F6075C">
        <w:rPr>
          <w:rFonts w:asciiTheme="minorHAnsi" w:eastAsiaTheme="minorEastAsia" w:hAnsiTheme="minorHAnsi" w:cstheme="minorBidi"/>
          <w:sz w:val="21"/>
          <w:szCs w:val="21"/>
          <w:lang w:eastAsia="zh-CN"/>
        </w:rPr>
        <w:t>MindSpot</w:t>
      </w:r>
      <w:proofErr w:type="spellEnd"/>
      <w:r w:rsidRPr="00F6075C">
        <w:rPr>
          <w:rFonts w:asciiTheme="minorHAnsi" w:eastAsiaTheme="minorEastAsia" w:hAnsiTheme="minorHAnsi" w:cstheme="minorBidi"/>
          <w:sz w:val="21"/>
          <w:szCs w:val="21"/>
          <w:lang w:eastAsia="zh-CN"/>
        </w:rPr>
        <w:t xml:space="preserve">, respectively. Further details about the economic model, usual care comparison and model parameters can be found in </w:t>
      </w:r>
      <w:r w:rsidRPr="3260B4E5">
        <w:rPr>
          <w:rFonts w:asciiTheme="minorHAnsi" w:eastAsiaTheme="minorEastAsia" w:hAnsiTheme="minorHAnsi" w:cstheme="minorBidi"/>
          <w:sz w:val="21"/>
          <w:szCs w:val="21"/>
          <w:lang w:eastAsia="zh-CN"/>
        </w:rPr>
        <w:t>sub-sections</w:t>
      </w:r>
      <w:r w:rsidRPr="00F6075C">
        <w:rPr>
          <w:rFonts w:asciiTheme="minorHAnsi" w:eastAsiaTheme="minorEastAsia" w:hAnsiTheme="minorHAnsi" w:cstheme="minorBidi"/>
          <w:sz w:val="21"/>
          <w:szCs w:val="21"/>
          <w:lang w:eastAsia="zh-CN"/>
        </w:rPr>
        <w:t xml:space="preserve"> </w:t>
      </w:r>
      <w:r w:rsidR="00C754B0">
        <w:rPr>
          <w:rFonts w:asciiTheme="minorHAnsi" w:eastAsiaTheme="minorEastAsia" w:hAnsiTheme="minorHAnsi" w:cstheme="minorBidi"/>
          <w:sz w:val="21"/>
          <w:szCs w:val="21"/>
          <w:lang w:eastAsia="zh-CN"/>
        </w:rPr>
        <w:t>L1</w:t>
      </w:r>
      <w:r w:rsidRPr="00F6075C">
        <w:rPr>
          <w:rFonts w:asciiTheme="minorHAnsi" w:eastAsiaTheme="minorEastAsia" w:hAnsiTheme="minorHAnsi" w:cstheme="minorBidi"/>
          <w:sz w:val="21"/>
          <w:szCs w:val="21"/>
          <w:lang w:eastAsia="zh-CN"/>
        </w:rPr>
        <w:t>-3 in Appendix</w:t>
      </w:r>
      <w:r w:rsidRPr="3260B4E5">
        <w:rPr>
          <w:rFonts w:asciiTheme="minorHAnsi" w:eastAsiaTheme="minorEastAsia" w:hAnsiTheme="minorHAnsi" w:cstheme="minorBidi"/>
          <w:sz w:val="21"/>
          <w:szCs w:val="21"/>
          <w:lang w:eastAsia="zh-CN"/>
        </w:rPr>
        <w:t xml:space="preserve"> L</w:t>
      </w:r>
      <w:r w:rsidRPr="00F6075C">
        <w:rPr>
          <w:rFonts w:asciiTheme="minorHAnsi" w:eastAsiaTheme="minorEastAsia" w:hAnsiTheme="minorHAnsi" w:cstheme="minorBidi"/>
          <w:sz w:val="21"/>
          <w:szCs w:val="21"/>
          <w:lang w:eastAsia="zh-CN"/>
        </w:rPr>
        <w:t>.</w:t>
      </w:r>
    </w:p>
    <w:p w14:paraId="3DD8F3E7" w14:textId="435E4889" w:rsidR="00F66BD0" w:rsidRDefault="00F6075C" w:rsidP="4DCB0396">
      <w:pPr>
        <w:spacing w:after="240"/>
        <w:rPr>
          <w:rFonts w:ascii="Calibri" w:hAnsi="Calibri" w:cs="Arial"/>
          <w:iCs/>
          <w:color w:val="000000" w:themeColor="text1"/>
          <w:sz w:val="21"/>
          <w:szCs w:val="21"/>
          <w:lang w:eastAsia="zh-CN"/>
        </w:rPr>
      </w:pPr>
      <w:r w:rsidRPr="00F6075C">
        <w:rPr>
          <w:rFonts w:ascii="Calibri" w:hAnsi="Calibri" w:cs="Arial"/>
          <w:iCs/>
          <w:color w:val="000000" w:themeColor="text1"/>
          <w:sz w:val="21"/>
          <w:szCs w:val="21"/>
          <w:lang w:eastAsia="zh-CN"/>
        </w:rPr>
        <w:t xml:space="preserve">Table </w:t>
      </w:r>
      <w:r w:rsidR="00D90294">
        <w:rPr>
          <w:rFonts w:ascii="Calibri" w:hAnsi="Calibri" w:cs="Arial"/>
          <w:iCs/>
          <w:color w:val="000000" w:themeColor="text1"/>
          <w:sz w:val="21"/>
          <w:szCs w:val="21"/>
          <w:lang w:eastAsia="zh-CN"/>
        </w:rPr>
        <w:t>59</w:t>
      </w:r>
      <w:r w:rsidRPr="00F6075C">
        <w:rPr>
          <w:rFonts w:ascii="Calibri" w:hAnsi="Calibri" w:cs="Arial"/>
          <w:iCs/>
          <w:color w:val="000000" w:themeColor="text1"/>
          <w:sz w:val="21"/>
          <w:szCs w:val="21"/>
          <w:lang w:eastAsia="zh-CN"/>
        </w:rPr>
        <w:t xml:space="preserve"> presents the cost-effectiveness modelling results for Mental Health Online and the indirect comparator groups. Incremental cost-effectiveness ratios (ICERs) were calculated as the difference in mean costs between the intervention and indirect comparator arms divided by the difference in mean QALYs and expressed as costs per QALY gained. The self-directed treatment component of Mental Health Online was shown to have lower costs and greater benefits (i.e.</w:t>
      </w:r>
      <w:r w:rsidR="006E4B33">
        <w:rPr>
          <w:rFonts w:ascii="Calibri" w:hAnsi="Calibri" w:cs="Arial"/>
          <w:iCs/>
          <w:color w:val="000000" w:themeColor="text1"/>
          <w:sz w:val="21"/>
          <w:szCs w:val="21"/>
          <w:lang w:eastAsia="zh-CN"/>
        </w:rPr>
        <w:t>,</w:t>
      </w:r>
      <w:r w:rsidRPr="00F6075C">
        <w:rPr>
          <w:rFonts w:ascii="Calibri" w:hAnsi="Calibri" w:cs="Arial"/>
          <w:iCs/>
          <w:color w:val="000000" w:themeColor="text1"/>
          <w:sz w:val="21"/>
          <w:szCs w:val="21"/>
          <w:lang w:eastAsia="zh-CN"/>
        </w:rPr>
        <w:t xml:space="preserve"> dominant) when compared to all indirect comparator groups except for the Link-me RCT minimal/mild group. The same trend is observed for the therapist-supported treatment component. With incremental cost-effectiveness ratios (ICERs) below the commonly used willingness-to-pay (WTP) threshold of $50,000/QALY in Australia (refs),</w:t>
      </w:r>
      <w:r w:rsidR="001C660B">
        <w:rPr>
          <w:rFonts w:ascii="Calibri" w:hAnsi="Calibri" w:cs="Arial"/>
          <w:iCs/>
          <w:color w:val="000000" w:themeColor="text1"/>
          <w:sz w:val="21"/>
          <w:szCs w:val="21"/>
          <w:lang w:eastAsia="zh-CN"/>
        </w:rPr>
        <w:fldChar w:fldCharType="begin">
          <w:fldData xml:space="preserve">PEVuZE5vdGU+PENpdGU+PEF1dGhvcj5DYXJ0ZXI8L0F1dGhvcj48WWVhcj4yMDA4PC9ZZWFyPjxS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</w:fldData>
        </w:fldChar>
      </w:r>
      <w:r w:rsidR="004469A2">
        <w:rPr>
          <w:rFonts w:ascii="Calibri" w:hAnsi="Calibri" w:cs="Arial"/>
          <w:iCs/>
          <w:color w:val="000000" w:themeColor="text1"/>
          <w:sz w:val="21"/>
          <w:szCs w:val="21"/>
          <w:lang w:eastAsia="zh-CN"/>
        </w:rPr>
        <w:instrText xml:space="preserve"> ADDIN EN.CITE </w:instrText>
      </w:r>
      <w:r w:rsidR="004469A2">
        <w:rPr>
          <w:rFonts w:ascii="Calibri" w:hAnsi="Calibri" w:cs="Arial"/>
          <w:iCs/>
          <w:color w:val="000000" w:themeColor="text1"/>
          <w:sz w:val="21"/>
          <w:szCs w:val="21"/>
          <w:lang w:eastAsia="zh-CN"/>
        </w:rPr>
        <w:fldChar w:fldCharType="begin">
          <w:fldData xml:space="preserve">PEVuZE5vdGU+PENpdGU+PEF1dGhvcj5DYXJ0ZXI8L0F1dGhvcj48WWVhcj4yMDA4PC9ZZWFyPjxS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</w:fldData>
        </w:fldChar>
      </w:r>
      <w:r w:rsidR="004469A2">
        <w:rPr>
          <w:rFonts w:ascii="Calibri" w:hAnsi="Calibri" w:cs="Arial"/>
          <w:iCs/>
          <w:color w:val="000000" w:themeColor="text1"/>
          <w:sz w:val="21"/>
          <w:szCs w:val="21"/>
          <w:lang w:eastAsia="zh-CN"/>
        </w:rPr>
        <w:instrText xml:space="preserve"> ADDIN EN.CITE.DATA </w:instrText>
      </w:r>
      <w:r w:rsidR="004469A2">
        <w:rPr>
          <w:rFonts w:ascii="Calibri" w:hAnsi="Calibri" w:cs="Arial"/>
          <w:iCs/>
          <w:color w:val="000000" w:themeColor="text1"/>
          <w:sz w:val="21"/>
          <w:szCs w:val="21"/>
          <w:lang w:eastAsia="zh-CN"/>
        </w:rPr>
      </w:r>
      <w:r w:rsidR="004469A2">
        <w:rPr>
          <w:rFonts w:ascii="Calibri" w:hAnsi="Calibri" w:cs="Arial"/>
          <w:iCs/>
          <w:color w:val="000000" w:themeColor="text1"/>
          <w:sz w:val="21"/>
          <w:szCs w:val="21"/>
          <w:lang w:eastAsia="zh-CN"/>
        </w:rPr>
        <w:fldChar w:fldCharType="end"/>
      </w:r>
      <w:r w:rsidR="001C660B">
        <w:rPr>
          <w:rFonts w:ascii="Calibri" w:hAnsi="Calibri" w:cs="Arial"/>
          <w:iCs/>
          <w:color w:val="000000" w:themeColor="text1"/>
          <w:sz w:val="21"/>
          <w:szCs w:val="21"/>
          <w:lang w:eastAsia="zh-CN"/>
        </w:rPr>
      </w:r>
      <w:r w:rsidR="001C660B">
        <w:rPr>
          <w:rFonts w:ascii="Calibri" w:hAnsi="Calibri" w:cs="Arial"/>
          <w:iCs/>
          <w:color w:val="000000" w:themeColor="text1"/>
          <w:sz w:val="21"/>
          <w:szCs w:val="21"/>
          <w:lang w:eastAsia="zh-CN"/>
        </w:rPr>
        <w:fldChar w:fldCharType="separate"/>
      </w:r>
      <w:r w:rsidR="004469A2" w:rsidRPr="004469A2">
        <w:rPr>
          <w:rFonts w:ascii="Calibri" w:hAnsi="Calibri" w:cs="Arial"/>
          <w:iCs/>
          <w:noProof/>
          <w:color w:val="000000" w:themeColor="text1"/>
          <w:sz w:val="21"/>
          <w:szCs w:val="21"/>
          <w:vertAlign w:val="superscript"/>
          <w:lang w:eastAsia="zh-CN"/>
        </w:rPr>
        <w:t>13-15</w:t>
      </w:r>
      <w:r w:rsidR="001C660B">
        <w:rPr>
          <w:rFonts w:ascii="Calibri" w:hAnsi="Calibri" w:cs="Arial"/>
          <w:iCs/>
          <w:color w:val="000000" w:themeColor="text1"/>
          <w:sz w:val="21"/>
          <w:szCs w:val="21"/>
          <w:lang w:eastAsia="zh-CN"/>
        </w:rPr>
        <w:fldChar w:fldCharType="end"/>
      </w:r>
      <w:r w:rsidRPr="00F6075C">
        <w:rPr>
          <w:rFonts w:ascii="Calibri" w:hAnsi="Calibri" w:cs="Arial"/>
          <w:iCs/>
          <w:color w:val="000000" w:themeColor="text1"/>
          <w:sz w:val="21"/>
          <w:szCs w:val="21"/>
          <w:lang w:eastAsia="zh-CN"/>
        </w:rPr>
        <w:t xml:space="preserve"> both treatment components are considered cost-effective when compared against the minimal/mild group from the Link-me RCT.</w:t>
      </w:r>
    </w:p>
    <w:p w14:paraId="79116095" w14:textId="77777777" w:rsidR="00F66BD0" w:rsidRDefault="00F66BD0">
      <w:pPr>
        <w:spacing w:after="200"/>
        <w:rPr>
          <w:rFonts w:ascii="Calibri" w:hAnsi="Calibri" w:cs="Arial"/>
          <w:iCs/>
          <w:color w:val="000000" w:themeColor="text1"/>
          <w:sz w:val="21"/>
          <w:szCs w:val="21"/>
          <w:lang w:eastAsia="zh-CN"/>
        </w:rPr>
      </w:pPr>
      <w:r>
        <w:rPr>
          <w:rFonts w:ascii="Calibri" w:hAnsi="Calibri" w:cs="Arial"/>
          <w:iCs/>
          <w:color w:val="000000" w:themeColor="text1"/>
          <w:sz w:val="21"/>
          <w:szCs w:val="21"/>
          <w:lang w:eastAsia="zh-CN"/>
        </w:rPr>
        <w:br w:type="page"/>
      </w:r>
    </w:p>
    <w:p w14:paraId="0BA54E9F" w14:textId="4A93983A" w:rsidR="00F6075C" w:rsidRPr="00F6075C" w:rsidRDefault="00F6075C" w:rsidP="00F6075C">
      <w:pPr>
        <w:keepLines/>
        <w:spacing w:after="120"/>
        <w:outlineLvl w:val="2"/>
        <w:rPr>
          <w:rFonts w:asciiTheme="minorHAnsi" w:eastAsiaTheme="majorEastAsia" w:hAnsiTheme="minorHAnsi" w:cstheme="majorBidi"/>
          <w:b/>
          <w:i/>
          <w:color w:val="000000" w:themeColor="text1"/>
          <w:sz w:val="21"/>
          <w:szCs w:val="21"/>
          <w:lang w:val="en-US" w:eastAsia="en-US"/>
        </w:rPr>
      </w:pPr>
      <w:r w:rsidRPr="00F6075C">
        <w:rPr>
          <w:rFonts w:asciiTheme="minorHAnsi" w:eastAsiaTheme="majorEastAsia" w:hAnsiTheme="minorHAnsi" w:cstheme="majorBidi"/>
          <w:b/>
          <w:color w:val="000000" w:themeColor="text1"/>
          <w:sz w:val="21"/>
          <w:szCs w:val="21"/>
          <w:lang w:val="en-US" w:eastAsia="en-US"/>
        </w:rPr>
        <w:lastRenderedPageBreak/>
        <w:t xml:space="preserve">Table </w:t>
      </w:r>
      <w:r w:rsidR="00D90294" w:rsidRPr="00D90294">
        <w:rPr>
          <w:rFonts w:asciiTheme="minorHAnsi" w:eastAsiaTheme="majorEastAsia" w:hAnsiTheme="minorHAnsi" w:cstheme="majorBidi"/>
          <w:b/>
          <w:color w:val="000000" w:themeColor="text1"/>
          <w:sz w:val="21"/>
          <w:szCs w:val="21"/>
          <w:lang w:val="en-US" w:eastAsia="en-US"/>
        </w:rPr>
        <w:t>59</w:t>
      </w:r>
      <w:r w:rsidRPr="00D90294">
        <w:rPr>
          <w:rFonts w:asciiTheme="minorHAnsi" w:eastAsiaTheme="majorEastAsia" w:hAnsiTheme="minorHAnsi" w:cstheme="majorBidi"/>
          <w:b/>
          <w:color w:val="000000" w:themeColor="text1"/>
          <w:sz w:val="21"/>
          <w:szCs w:val="21"/>
          <w:lang w:val="en-US" w:eastAsia="en-US"/>
        </w:rPr>
        <w:t>.</w:t>
      </w:r>
      <w:r w:rsidRPr="00F6075C">
        <w:rPr>
          <w:rFonts w:asciiTheme="minorHAnsi" w:eastAsiaTheme="majorEastAsia" w:hAnsiTheme="minorHAnsi" w:cstheme="majorBidi"/>
          <w:b/>
          <w:color w:val="000000" w:themeColor="text1"/>
          <w:sz w:val="21"/>
          <w:szCs w:val="21"/>
          <w:lang w:val="en-US" w:eastAsia="en-US"/>
        </w:rPr>
        <w:t xml:space="preserve"> Results of economic modelling for Mental Health Online </w:t>
      </w:r>
    </w:p>
    <w:tbl>
      <w:tblPr>
        <w:tblStyle w:val="PlainTable412"/>
        <w:tblW w:w="9629" w:type="dxa"/>
        <w:tblInd w:w="0" w:type="dxa"/>
        <w:tblBorders>
          <w:top w:val="single" w:sz="8" w:space="0" w:color="auto"/>
          <w:left w:val="single" w:sz="8" w:space="0" w:color="auto"/>
          <w:bottom w:val="single" w:sz="8" w:space="0" w:color="auto"/>
          <w:right w:val="single" w:sz="8" w:space="0" w:color="auto"/>
          <w:insideV w:val="single" w:sz="8" w:space="0" w:color="auto"/>
        </w:tblBorders>
        <w:tblLayout w:type="fixed"/>
        <w:tblLook w:val="04A0" w:firstRow="1" w:lastRow="0" w:firstColumn="1" w:lastColumn="0" w:noHBand="0" w:noVBand="1"/>
        <w:tblCaption w:val="Table 59. Results of economic modelling for Mental Health Online "/>
        <w:tblDescription w:val="A table presenting the economic modelling results for Mental Health Online in comparison to all indirect comparator groups. The results include the numbers of input population, fully recovered, partially recovered, no improvement, deteriorated, quality-adjusted life years, total costs including and excluding productivity losses and costs per quality-adjusted life years gained. Items were presented by self-directed treatment and therapist-supported treatment."/>
      </w:tblPr>
      <w:tblGrid>
        <w:gridCol w:w="1833"/>
        <w:gridCol w:w="1113"/>
        <w:gridCol w:w="1114"/>
        <w:gridCol w:w="1114"/>
        <w:gridCol w:w="1113"/>
        <w:gridCol w:w="1114"/>
        <w:gridCol w:w="1114"/>
        <w:gridCol w:w="1114"/>
      </w:tblGrid>
      <w:tr w:rsidR="00F6075C" w:rsidRPr="00F6075C" w14:paraId="7D3250F1" w14:textId="77777777" w:rsidTr="00A56C43">
        <w:trPr>
          <w:cnfStyle w:val="100000000000" w:firstRow="1" w:lastRow="0" w:firstColumn="0" w:lastColumn="0" w:oddVBand="0" w:evenVBand="0" w:oddHBand="0" w:evenHBand="0" w:firstRowFirstColumn="0" w:firstRowLastColumn="0" w:lastRowFirstColumn="0" w:lastRowLastColumn="0"/>
          <w:trHeight w:val="969"/>
          <w:tblHeader/>
        </w:trPr>
        <w:tc>
          <w:tcPr>
            <w:cnfStyle w:val="001000000000" w:firstRow="0" w:lastRow="0" w:firstColumn="1" w:lastColumn="0" w:oddVBand="0" w:evenVBand="0" w:oddHBand="0" w:evenHBand="0" w:firstRowFirstColumn="0" w:firstRowLastColumn="0" w:lastRowFirstColumn="0" w:lastRowLastColumn="0"/>
            <w:tcW w:w="1833" w:type="dxa"/>
            <w:tcBorders>
              <w:top w:val="single" w:sz="8" w:space="0" w:color="auto"/>
              <w:left w:val="single" w:sz="8" w:space="0" w:color="auto"/>
              <w:bottom w:val="nil"/>
              <w:right w:val="single" w:sz="8" w:space="0" w:color="auto"/>
            </w:tcBorders>
            <w:shd w:val="clear" w:color="auto" w:fill="000000" w:themeFill="text1"/>
            <w:noWrap/>
            <w:vAlign w:val="center"/>
            <w:hideMark/>
          </w:tcPr>
          <w:p w14:paraId="5FC5E807" w14:textId="77777777" w:rsidR="00F6075C" w:rsidRPr="00F6075C" w:rsidRDefault="00F6075C" w:rsidP="00F6075C">
            <w:pPr>
              <w:snapToGrid w:val="0"/>
              <w:rPr>
                <w:rFonts w:ascii="Calibri" w:hAnsi="Calibri" w:cs="Calibri"/>
                <w:color w:val="FFFFFF" w:themeColor="background1"/>
                <w:sz w:val="18"/>
                <w:szCs w:val="18"/>
                <w:lang w:eastAsia="en-AU"/>
              </w:rPr>
            </w:pPr>
          </w:p>
        </w:tc>
        <w:tc>
          <w:tcPr>
            <w:tcW w:w="1113" w:type="dxa"/>
            <w:tcBorders>
              <w:top w:val="single" w:sz="8" w:space="0" w:color="auto"/>
              <w:left w:val="single" w:sz="8" w:space="0" w:color="auto"/>
              <w:right w:val="single" w:sz="8" w:space="0" w:color="auto"/>
            </w:tcBorders>
            <w:shd w:val="clear" w:color="auto" w:fill="000000" w:themeFill="text1"/>
            <w:vAlign w:val="center"/>
          </w:tcPr>
          <w:p w14:paraId="46632C36"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Mental Health Online</w:t>
            </w:r>
          </w:p>
        </w:tc>
        <w:tc>
          <w:tcPr>
            <w:tcW w:w="1114" w:type="dxa"/>
            <w:tcBorders>
              <w:top w:val="single" w:sz="8" w:space="0" w:color="auto"/>
              <w:left w:val="single" w:sz="8" w:space="0" w:color="auto"/>
              <w:right w:val="single" w:sz="8" w:space="0" w:color="auto"/>
            </w:tcBorders>
            <w:shd w:val="clear" w:color="auto" w:fill="000000" w:themeFill="text1"/>
            <w:vAlign w:val="center"/>
          </w:tcPr>
          <w:p w14:paraId="65A3DB06"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Indirect comparator: Link-me</w:t>
            </w:r>
          </w:p>
          <w:p w14:paraId="5A1652FD"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w:t>
            </w:r>
            <w:proofErr w:type="gramStart"/>
            <w:r w:rsidRPr="00F6075C">
              <w:rPr>
                <w:rFonts w:ascii="Calibri" w:hAnsi="Calibri" w:cs="Calibri"/>
                <w:color w:val="FFFFFF" w:themeColor="background1"/>
                <w:sz w:val="16"/>
                <w:szCs w:val="16"/>
                <w:lang w:eastAsia="en-AU"/>
              </w:rPr>
              <w:t>all</w:t>
            </w:r>
            <w:proofErr w:type="gramEnd"/>
            <w:r w:rsidRPr="00F6075C">
              <w:rPr>
                <w:rFonts w:ascii="Calibri" w:hAnsi="Calibri" w:cs="Calibri"/>
                <w:color w:val="FFFFFF" w:themeColor="background1"/>
                <w:sz w:val="16"/>
                <w:szCs w:val="16"/>
                <w:lang w:eastAsia="en-AU"/>
              </w:rPr>
              <w:t xml:space="preserve"> participants)</w:t>
            </w:r>
          </w:p>
        </w:tc>
        <w:tc>
          <w:tcPr>
            <w:tcW w:w="1114" w:type="dxa"/>
            <w:tcBorders>
              <w:top w:val="single" w:sz="8" w:space="0" w:color="auto"/>
              <w:left w:val="single" w:sz="8" w:space="0" w:color="auto"/>
              <w:right w:val="single" w:sz="8" w:space="0" w:color="auto"/>
            </w:tcBorders>
            <w:shd w:val="clear" w:color="auto" w:fill="000000" w:themeFill="text1"/>
            <w:vAlign w:val="center"/>
          </w:tcPr>
          <w:p w14:paraId="257A9DA3"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Indirect comparator: Target-D</w:t>
            </w:r>
          </w:p>
          <w:p w14:paraId="6BFE3501"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w:t>
            </w:r>
            <w:proofErr w:type="gramStart"/>
            <w:r w:rsidRPr="00F6075C">
              <w:rPr>
                <w:rFonts w:ascii="Calibri" w:hAnsi="Calibri" w:cs="Calibri"/>
                <w:color w:val="FFFFFF" w:themeColor="background1"/>
                <w:sz w:val="16"/>
                <w:szCs w:val="16"/>
                <w:lang w:eastAsia="en-AU"/>
              </w:rPr>
              <w:t>all</w:t>
            </w:r>
            <w:proofErr w:type="gramEnd"/>
            <w:r w:rsidRPr="00F6075C">
              <w:rPr>
                <w:rFonts w:ascii="Calibri" w:hAnsi="Calibri" w:cs="Calibri"/>
                <w:color w:val="FFFFFF" w:themeColor="background1"/>
                <w:sz w:val="16"/>
                <w:szCs w:val="16"/>
                <w:lang w:eastAsia="en-AU"/>
              </w:rPr>
              <w:t xml:space="preserve"> participants)</w:t>
            </w:r>
          </w:p>
        </w:tc>
        <w:tc>
          <w:tcPr>
            <w:tcW w:w="1113" w:type="dxa"/>
            <w:tcBorders>
              <w:top w:val="single" w:sz="8" w:space="0" w:color="auto"/>
              <w:left w:val="single" w:sz="8" w:space="0" w:color="auto"/>
              <w:right w:val="single" w:sz="8" w:space="0" w:color="auto"/>
            </w:tcBorders>
            <w:shd w:val="clear" w:color="auto" w:fill="000000" w:themeFill="text1"/>
            <w:vAlign w:val="center"/>
          </w:tcPr>
          <w:p w14:paraId="12444973"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Indirect comparator: Link-me (minimal/ mild group)</w:t>
            </w:r>
          </w:p>
        </w:tc>
        <w:tc>
          <w:tcPr>
            <w:tcW w:w="1114" w:type="dxa"/>
            <w:tcBorders>
              <w:top w:val="single" w:sz="8" w:space="0" w:color="auto"/>
              <w:left w:val="single" w:sz="8" w:space="0" w:color="auto"/>
              <w:bottom w:val="nil"/>
              <w:right w:val="single" w:sz="8" w:space="0" w:color="auto"/>
            </w:tcBorders>
            <w:shd w:val="clear" w:color="auto" w:fill="000000" w:themeFill="text1"/>
            <w:vAlign w:val="center"/>
          </w:tcPr>
          <w:p w14:paraId="60C26B69"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Indirect comparator: Target-D (minimal/ mild group)</w:t>
            </w:r>
          </w:p>
        </w:tc>
        <w:tc>
          <w:tcPr>
            <w:tcW w:w="1114" w:type="dxa"/>
            <w:tcBorders>
              <w:top w:val="single" w:sz="8" w:space="0" w:color="auto"/>
              <w:left w:val="single" w:sz="8" w:space="0" w:color="auto"/>
              <w:bottom w:val="nil"/>
              <w:right w:val="single" w:sz="8" w:space="0" w:color="auto"/>
            </w:tcBorders>
            <w:shd w:val="clear" w:color="auto" w:fill="000000" w:themeFill="text1"/>
            <w:vAlign w:val="center"/>
          </w:tcPr>
          <w:p w14:paraId="1D9F828C"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Indirect comparator: Link-me (severe group)</w:t>
            </w:r>
          </w:p>
        </w:tc>
        <w:tc>
          <w:tcPr>
            <w:tcW w:w="1114" w:type="dxa"/>
            <w:tcBorders>
              <w:top w:val="single" w:sz="8" w:space="0" w:color="auto"/>
              <w:left w:val="single" w:sz="8" w:space="0" w:color="auto"/>
              <w:bottom w:val="nil"/>
              <w:right w:val="single" w:sz="8" w:space="0" w:color="auto"/>
            </w:tcBorders>
            <w:shd w:val="clear" w:color="auto" w:fill="000000" w:themeFill="text1"/>
            <w:vAlign w:val="center"/>
          </w:tcPr>
          <w:p w14:paraId="0B6001D0"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Indirect comparator: Target-D (severe group)</w:t>
            </w:r>
          </w:p>
        </w:tc>
      </w:tr>
      <w:tr w:rsidR="00F6075C" w:rsidRPr="00F6075C" w14:paraId="471B8503"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E58193A" w14:textId="77777777" w:rsidR="00F6075C" w:rsidRPr="00066DF4" w:rsidRDefault="00F6075C" w:rsidP="00F6075C">
            <w:pPr>
              <w:snapToGrid w:val="0"/>
              <w:rPr>
                <w:rFonts w:ascii="Calibri" w:hAnsi="Calibri" w:cs="Calibri"/>
                <w:color w:val="000000"/>
                <w:sz w:val="18"/>
                <w:szCs w:val="18"/>
                <w:lang w:eastAsia="en-AU"/>
              </w:rPr>
            </w:pPr>
            <w:r w:rsidRPr="00066DF4">
              <w:rPr>
                <w:rFonts w:ascii="Calibri" w:hAnsi="Calibri" w:cs="Calibri"/>
                <w:color w:val="000000"/>
                <w:sz w:val="18"/>
                <w:szCs w:val="18"/>
                <w:lang w:eastAsia="en-AU"/>
              </w:rPr>
              <w:t xml:space="preserve">Self-directed </w:t>
            </w:r>
            <w:proofErr w:type="spellStart"/>
            <w:r w:rsidRPr="00066DF4">
              <w:rPr>
                <w:rFonts w:ascii="Calibri" w:hAnsi="Calibri" w:cs="Calibri"/>
                <w:color w:val="000000"/>
                <w:sz w:val="18"/>
                <w:szCs w:val="18"/>
                <w:lang w:eastAsia="en-AU"/>
              </w:rPr>
              <w:t>treatment</w:t>
            </w:r>
            <w:r w:rsidRPr="00066DF4">
              <w:rPr>
                <w:rFonts w:asciiTheme="minorHAnsi" w:hAnsiTheme="minorHAnsi" w:cstheme="minorHAnsi"/>
                <w:sz w:val="18"/>
                <w:szCs w:val="18"/>
                <w:vertAlign w:val="superscript"/>
                <w:lang w:eastAsia="en-US"/>
              </w:rPr>
              <w:t>a</w:t>
            </w:r>
            <w:proofErr w:type="spellEnd"/>
          </w:p>
        </w:tc>
        <w:tc>
          <w:tcPr>
            <w:tcW w:w="1113" w:type="dxa"/>
            <w:tcBorders>
              <w:top w:val="nil"/>
              <w:left w:val="single" w:sz="8" w:space="0" w:color="auto"/>
              <w:bottom w:val="nil"/>
              <w:right w:val="single" w:sz="8" w:space="0" w:color="auto"/>
            </w:tcBorders>
            <w:shd w:val="clear" w:color="auto" w:fill="auto"/>
            <w:vAlign w:val="center"/>
          </w:tcPr>
          <w:p w14:paraId="64CC7A4B"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137C803E"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2A507AB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6C801D5C"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09F347B0"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5511E8C1"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2B1B0856"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r>
      <w:tr w:rsidR="00F6075C" w:rsidRPr="00F6075C" w14:paraId="6015F658"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5CA9FA8" w14:textId="77777777" w:rsidR="00F6075C" w:rsidRPr="00066DF4" w:rsidRDefault="00F6075C" w:rsidP="00F6075C">
            <w:pPr>
              <w:snapToGrid w:val="0"/>
              <w:rPr>
                <w:rFonts w:ascii="Calibri" w:hAnsi="Calibri" w:cs="Calibri"/>
                <w:color w:val="000000"/>
                <w:sz w:val="18"/>
                <w:szCs w:val="18"/>
                <w:lang w:eastAsia="en-AU"/>
              </w:rPr>
            </w:pPr>
            <w:r w:rsidRPr="00066DF4">
              <w:rPr>
                <w:rFonts w:ascii="Calibri" w:hAnsi="Calibri" w:cs="Calibri"/>
                <w:color w:val="000000"/>
                <w:sz w:val="18"/>
                <w:szCs w:val="18"/>
                <w:lang w:eastAsia="en-AU"/>
              </w:rPr>
              <w:t xml:space="preserve">    Input population (n)</w:t>
            </w:r>
          </w:p>
        </w:tc>
        <w:tc>
          <w:tcPr>
            <w:tcW w:w="1113" w:type="dxa"/>
            <w:tcBorders>
              <w:top w:val="nil"/>
              <w:left w:val="single" w:sz="8" w:space="0" w:color="auto"/>
              <w:bottom w:val="nil"/>
              <w:right w:val="single" w:sz="8" w:space="0" w:color="auto"/>
            </w:tcBorders>
            <w:shd w:val="clear" w:color="auto" w:fill="auto"/>
            <w:vAlign w:val="center"/>
          </w:tcPr>
          <w:p w14:paraId="495BA228"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7,354</w:t>
            </w:r>
          </w:p>
        </w:tc>
        <w:tc>
          <w:tcPr>
            <w:tcW w:w="1114" w:type="dxa"/>
            <w:tcBorders>
              <w:top w:val="nil"/>
              <w:left w:val="single" w:sz="8" w:space="0" w:color="auto"/>
              <w:bottom w:val="nil"/>
              <w:right w:val="single" w:sz="8" w:space="0" w:color="auto"/>
            </w:tcBorders>
            <w:shd w:val="clear" w:color="auto" w:fill="auto"/>
            <w:vAlign w:val="center"/>
          </w:tcPr>
          <w:p w14:paraId="5B68C63A"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7,354</w:t>
            </w:r>
          </w:p>
        </w:tc>
        <w:tc>
          <w:tcPr>
            <w:tcW w:w="1114" w:type="dxa"/>
            <w:tcBorders>
              <w:top w:val="nil"/>
              <w:left w:val="single" w:sz="8" w:space="0" w:color="auto"/>
              <w:bottom w:val="nil"/>
              <w:right w:val="single" w:sz="8" w:space="0" w:color="auto"/>
            </w:tcBorders>
            <w:shd w:val="clear" w:color="auto" w:fill="auto"/>
            <w:vAlign w:val="center"/>
          </w:tcPr>
          <w:p w14:paraId="5D8975E9"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7,354</w:t>
            </w:r>
          </w:p>
        </w:tc>
        <w:tc>
          <w:tcPr>
            <w:tcW w:w="1113" w:type="dxa"/>
            <w:tcBorders>
              <w:top w:val="nil"/>
              <w:left w:val="single" w:sz="8" w:space="0" w:color="auto"/>
              <w:bottom w:val="nil"/>
              <w:right w:val="single" w:sz="8" w:space="0" w:color="auto"/>
            </w:tcBorders>
            <w:shd w:val="clear" w:color="auto" w:fill="auto"/>
            <w:vAlign w:val="center"/>
          </w:tcPr>
          <w:p w14:paraId="7D7D597C"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7,354</w:t>
            </w:r>
          </w:p>
        </w:tc>
        <w:tc>
          <w:tcPr>
            <w:tcW w:w="1114" w:type="dxa"/>
            <w:tcBorders>
              <w:top w:val="nil"/>
              <w:left w:val="single" w:sz="8" w:space="0" w:color="auto"/>
              <w:bottom w:val="nil"/>
              <w:right w:val="single" w:sz="8" w:space="0" w:color="auto"/>
            </w:tcBorders>
            <w:shd w:val="clear" w:color="auto" w:fill="auto"/>
            <w:vAlign w:val="center"/>
          </w:tcPr>
          <w:p w14:paraId="4CDEF530"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7,354</w:t>
            </w:r>
          </w:p>
        </w:tc>
        <w:tc>
          <w:tcPr>
            <w:tcW w:w="1114" w:type="dxa"/>
            <w:tcBorders>
              <w:top w:val="nil"/>
              <w:left w:val="single" w:sz="8" w:space="0" w:color="auto"/>
              <w:bottom w:val="nil"/>
              <w:right w:val="single" w:sz="8" w:space="0" w:color="auto"/>
            </w:tcBorders>
            <w:shd w:val="clear" w:color="auto" w:fill="auto"/>
            <w:vAlign w:val="center"/>
          </w:tcPr>
          <w:p w14:paraId="2071181E"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7,354</w:t>
            </w:r>
          </w:p>
        </w:tc>
        <w:tc>
          <w:tcPr>
            <w:tcW w:w="1114" w:type="dxa"/>
            <w:tcBorders>
              <w:top w:val="nil"/>
              <w:left w:val="single" w:sz="8" w:space="0" w:color="auto"/>
              <w:bottom w:val="nil"/>
              <w:right w:val="single" w:sz="8" w:space="0" w:color="auto"/>
            </w:tcBorders>
            <w:shd w:val="clear" w:color="auto" w:fill="auto"/>
            <w:vAlign w:val="center"/>
          </w:tcPr>
          <w:p w14:paraId="2DB6FD08"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7,354</w:t>
            </w:r>
          </w:p>
        </w:tc>
      </w:tr>
      <w:tr w:rsidR="00F6075C" w:rsidRPr="00F6075C" w14:paraId="2DB4F61C"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45987106" w14:textId="77777777" w:rsidR="00F6075C" w:rsidRPr="00066DF4" w:rsidRDefault="00F6075C" w:rsidP="00F6075C">
            <w:pPr>
              <w:snapToGrid w:val="0"/>
              <w:rPr>
                <w:rFonts w:ascii="Calibri" w:hAnsi="Calibri" w:cs="Calibri"/>
                <w:color w:val="000000"/>
                <w:sz w:val="18"/>
                <w:szCs w:val="18"/>
                <w:lang w:eastAsia="en-AU"/>
              </w:rPr>
            </w:pPr>
            <w:r w:rsidRPr="00066DF4">
              <w:rPr>
                <w:rFonts w:ascii="Calibri" w:hAnsi="Calibri" w:cs="Calibri"/>
                <w:color w:val="000000"/>
                <w:sz w:val="18"/>
                <w:szCs w:val="18"/>
                <w:lang w:eastAsia="en-AU"/>
              </w:rPr>
              <w:t xml:space="preserve">    Fully recovered (n)</w:t>
            </w:r>
          </w:p>
        </w:tc>
        <w:tc>
          <w:tcPr>
            <w:tcW w:w="1113" w:type="dxa"/>
            <w:tcBorders>
              <w:top w:val="nil"/>
              <w:left w:val="single" w:sz="8" w:space="0" w:color="auto"/>
              <w:bottom w:val="nil"/>
              <w:right w:val="single" w:sz="8" w:space="0" w:color="auto"/>
            </w:tcBorders>
            <w:shd w:val="clear" w:color="auto" w:fill="auto"/>
            <w:vAlign w:val="center"/>
          </w:tcPr>
          <w:p w14:paraId="0434D1F8"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3,221</w:t>
            </w:r>
          </w:p>
        </w:tc>
        <w:tc>
          <w:tcPr>
            <w:tcW w:w="1114" w:type="dxa"/>
            <w:tcBorders>
              <w:top w:val="nil"/>
              <w:left w:val="single" w:sz="8" w:space="0" w:color="auto"/>
              <w:bottom w:val="nil"/>
              <w:right w:val="single" w:sz="8" w:space="0" w:color="auto"/>
            </w:tcBorders>
            <w:shd w:val="clear" w:color="auto" w:fill="auto"/>
            <w:vAlign w:val="center"/>
          </w:tcPr>
          <w:p w14:paraId="7967C1F3"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816</w:t>
            </w:r>
          </w:p>
        </w:tc>
        <w:tc>
          <w:tcPr>
            <w:tcW w:w="1114" w:type="dxa"/>
            <w:tcBorders>
              <w:top w:val="nil"/>
              <w:left w:val="single" w:sz="8" w:space="0" w:color="auto"/>
              <w:bottom w:val="nil"/>
              <w:right w:val="single" w:sz="8" w:space="0" w:color="auto"/>
            </w:tcBorders>
            <w:shd w:val="clear" w:color="auto" w:fill="auto"/>
            <w:vAlign w:val="center"/>
          </w:tcPr>
          <w:p w14:paraId="1C888396"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816</w:t>
            </w:r>
          </w:p>
        </w:tc>
        <w:tc>
          <w:tcPr>
            <w:tcW w:w="1113" w:type="dxa"/>
            <w:tcBorders>
              <w:top w:val="nil"/>
              <w:left w:val="single" w:sz="8" w:space="0" w:color="auto"/>
              <w:bottom w:val="nil"/>
              <w:right w:val="single" w:sz="8" w:space="0" w:color="auto"/>
            </w:tcBorders>
            <w:shd w:val="clear" w:color="auto" w:fill="auto"/>
            <w:vAlign w:val="center"/>
          </w:tcPr>
          <w:p w14:paraId="3C2CD228"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816</w:t>
            </w:r>
          </w:p>
        </w:tc>
        <w:tc>
          <w:tcPr>
            <w:tcW w:w="1114" w:type="dxa"/>
            <w:tcBorders>
              <w:top w:val="nil"/>
              <w:left w:val="single" w:sz="8" w:space="0" w:color="auto"/>
              <w:bottom w:val="nil"/>
              <w:right w:val="single" w:sz="8" w:space="0" w:color="auto"/>
            </w:tcBorders>
            <w:shd w:val="clear" w:color="auto" w:fill="auto"/>
            <w:vAlign w:val="center"/>
          </w:tcPr>
          <w:p w14:paraId="1E871902"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816</w:t>
            </w:r>
          </w:p>
        </w:tc>
        <w:tc>
          <w:tcPr>
            <w:tcW w:w="1114" w:type="dxa"/>
            <w:tcBorders>
              <w:top w:val="nil"/>
              <w:left w:val="single" w:sz="8" w:space="0" w:color="auto"/>
              <w:bottom w:val="nil"/>
              <w:right w:val="single" w:sz="8" w:space="0" w:color="auto"/>
            </w:tcBorders>
            <w:shd w:val="clear" w:color="auto" w:fill="auto"/>
            <w:vAlign w:val="center"/>
          </w:tcPr>
          <w:p w14:paraId="3FD7185A"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816</w:t>
            </w:r>
          </w:p>
        </w:tc>
        <w:tc>
          <w:tcPr>
            <w:tcW w:w="1114" w:type="dxa"/>
            <w:tcBorders>
              <w:top w:val="nil"/>
              <w:left w:val="single" w:sz="8" w:space="0" w:color="auto"/>
              <w:bottom w:val="nil"/>
              <w:right w:val="single" w:sz="8" w:space="0" w:color="auto"/>
            </w:tcBorders>
            <w:shd w:val="clear" w:color="auto" w:fill="auto"/>
            <w:vAlign w:val="center"/>
          </w:tcPr>
          <w:p w14:paraId="39CDF822"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816</w:t>
            </w:r>
          </w:p>
        </w:tc>
      </w:tr>
      <w:tr w:rsidR="00F6075C" w:rsidRPr="00F6075C" w14:paraId="71525730"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12526E23" w14:textId="77777777" w:rsidR="00F6075C" w:rsidRPr="00066DF4" w:rsidRDefault="00F6075C" w:rsidP="00F6075C">
            <w:pPr>
              <w:snapToGrid w:val="0"/>
              <w:rPr>
                <w:rFonts w:ascii="Calibri" w:hAnsi="Calibri" w:cs="Calibri"/>
                <w:color w:val="000000"/>
                <w:sz w:val="18"/>
                <w:szCs w:val="18"/>
                <w:lang w:eastAsia="en-AU"/>
              </w:rPr>
            </w:pPr>
            <w:r w:rsidRPr="00066DF4">
              <w:rPr>
                <w:rFonts w:ascii="Calibri" w:hAnsi="Calibri" w:cs="Calibri"/>
                <w:color w:val="000000"/>
                <w:sz w:val="18"/>
                <w:szCs w:val="18"/>
                <w:lang w:eastAsia="en-AU"/>
              </w:rPr>
              <w:t xml:space="preserve">    Partially recovered (n)</w:t>
            </w:r>
          </w:p>
        </w:tc>
        <w:tc>
          <w:tcPr>
            <w:tcW w:w="1113" w:type="dxa"/>
            <w:tcBorders>
              <w:top w:val="nil"/>
              <w:left w:val="single" w:sz="8" w:space="0" w:color="auto"/>
              <w:bottom w:val="nil"/>
              <w:right w:val="single" w:sz="8" w:space="0" w:color="auto"/>
            </w:tcBorders>
            <w:shd w:val="clear" w:color="auto" w:fill="auto"/>
            <w:vAlign w:val="center"/>
          </w:tcPr>
          <w:p w14:paraId="7F57DFA5"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1,383</w:t>
            </w:r>
          </w:p>
        </w:tc>
        <w:tc>
          <w:tcPr>
            <w:tcW w:w="1114" w:type="dxa"/>
            <w:tcBorders>
              <w:top w:val="nil"/>
              <w:left w:val="single" w:sz="8" w:space="0" w:color="auto"/>
              <w:bottom w:val="nil"/>
              <w:right w:val="single" w:sz="8" w:space="0" w:color="auto"/>
            </w:tcBorders>
            <w:shd w:val="clear" w:color="auto" w:fill="auto"/>
            <w:vAlign w:val="center"/>
          </w:tcPr>
          <w:p w14:paraId="692BC037"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324</w:t>
            </w:r>
          </w:p>
        </w:tc>
        <w:tc>
          <w:tcPr>
            <w:tcW w:w="1114" w:type="dxa"/>
            <w:tcBorders>
              <w:top w:val="nil"/>
              <w:left w:val="single" w:sz="8" w:space="0" w:color="auto"/>
              <w:bottom w:val="nil"/>
              <w:right w:val="single" w:sz="8" w:space="0" w:color="auto"/>
            </w:tcBorders>
            <w:shd w:val="clear" w:color="auto" w:fill="auto"/>
            <w:vAlign w:val="center"/>
          </w:tcPr>
          <w:p w14:paraId="4E79E0CF"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324</w:t>
            </w:r>
          </w:p>
        </w:tc>
        <w:tc>
          <w:tcPr>
            <w:tcW w:w="1113" w:type="dxa"/>
            <w:tcBorders>
              <w:top w:val="nil"/>
              <w:left w:val="single" w:sz="8" w:space="0" w:color="auto"/>
              <w:bottom w:val="nil"/>
              <w:right w:val="single" w:sz="8" w:space="0" w:color="auto"/>
            </w:tcBorders>
            <w:shd w:val="clear" w:color="auto" w:fill="auto"/>
            <w:vAlign w:val="center"/>
          </w:tcPr>
          <w:p w14:paraId="34B25571"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324</w:t>
            </w:r>
          </w:p>
        </w:tc>
        <w:tc>
          <w:tcPr>
            <w:tcW w:w="1114" w:type="dxa"/>
            <w:tcBorders>
              <w:top w:val="nil"/>
              <w:left w:val="single" w:sz="8" w:space="0" w:color="auto"/>
              <w:bottom w:val="nil"/>
              <w:right w:val="single" w:sz="8" w:space="0" w:color="auto"/>
            </w:tcBorders>
            <w:shd w:val="clear" w:color="auto" w:fill="auto"/>
            <w:vAlign w:val="center"/>
          </w:tcPr>
          <w:p w14:paraId="3884ADA3"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324</w:t>
            </w:r>
          </w:p>
        </w:tc>
        <w:tc>
          <w:tcPr>
            <w:tcW w:w="1114" w:type="dxa"/>
            <w:tcBorders>
              <w:top w:val="nil"/>
              <w:left w:val="single" w:sz="8" w:space="0" w:color="auto"/>
              <w:bottom w:val="nil"/>
              <w:right w:val="single" w:sz="8" w:space="0" w:color="auto"/>
            </w:tcBorders>
            <w:shd w:val="clear" w:color="auto" w:fill="auto"/>
            <w:vAlign w:val="center"/>
          </w:tcPr>
          <w:p w14:paraId="55061B08"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324</w:t>
            </w:r>
          </w:p>
        </w:tc>
        <w:tc>
          <w:tcPr>
            <w:tcW w:w="1114" w:type="dxa"/>
            <w:tcBorders>
              <w:top w:val="nil"/>
              <w:left w:val="single" w:sz="8" w:space="0" w:color="auto"/>
              <w:bottom w:val="nil"/>
              <w:right w:val="single" w:sz="8" w:space="0" w:color="auto"/>
            </w:tcBorders>
            <w:shd w:val="clear" w:color="auto" w:fill="auto"/>
            <w:vAlign w:val="center"/>
          </w:tcPr>
          <w:p w14:paraId="6647F36C"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324</w:t>
            </w:r>
          </w:p>
        </w:tc>
      </w:tr>
      <w:tr w:rsidR="00F6075C" w:rsidRPr="00F6075C" w14:paraId="34ED5466"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7EE7CE49" w14:textId="77777777" w:rsidR="00F6075C" w:rsidRPr="00066DF4" w:rsidRDefault="00F6075C" w:rsidP="00F6075C">
            <w:pPr>
              <w:snapToGrid w:val="0"/>
              <w:rPr>
                <w:rFonts w:ascii="Calibri" w:hAnsi="Calibri" w:cs="Calibri"/>
                <w:color w:val="000000"/>
                <w:sz w:val="18"/>
                <w:szCs w:val="18"/>
                <w:lang w:eastAsia="en-AU"/>
              </w:rPr>
            </w:pPr>
            <w:r w:rsidRPr="00066DF4">
              <w:rPr>
                <w:rFonts w:ascii="Calibri" w:hAnsi="Calibri" w:cs="Calibri"/>
                <w:color w:val="000000"/>
                <w:sz w:val="18"/>
                <w:szCs w:val="18"/>
                <w:lang w:eastAsia="en-AU"/>
              </w:rPr>
              <w:t xml:space="preserve">    No improvement (n)</w:t>
            </w:r>
          </w:p>
        </w:tc>
        <w:tc>
          <w:tcPr>
            <w:tcW w:w="1113" w:type="dxa"/>
            <w:tcBorders>
              <w:top w:val="nil"/>
              <w:left w:val="single" w:sz="8" w:space="0" w:color="auto"/>
              <w:bottom w:val="nil"/>
              <w:right w:val="single" w:sz="8" w:space="0" w:color="auto"/>
            </w:tcBorders>
            <w:shd w:val="clear" w:color="auto" w:fill="auto"/>
            <w:vAlign w:val="center"/>
          </w:tcPr>
          <w:p w14:paraId="1DE1BE7B"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2,236</w:t>
            </w:r>
          </w:p>
        </w:tc>
        <w:tc>
          <w:tcPr>
            <w:tcW w:w="1114" w:type="dxa"/>
            <w:tcBorders>
              <w:top w:val="nil"/>
              <w:left w:val="single" w:sz="8" w:space="0" w:color="auto"/>
              <w:bottom w:val="nil"/>
              <w:right w:val="single" w:sz="8" w:space="0" w:color="auto"/>
            </w:tcBorders>
            <w:shd w:val="clear" w:color="auto" w:fill="auto"/>
            <w:vAlign w:val="center"/>
          </w:tcPr>
          <w:p w14:paraId="7855472D"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5,067</w:t>
            </w:r>
          </w:p>
        </w:tc>
        <w:tc>
          <w:tcPr>
            <w:tcW w:w="1114" w:type="dxa"/>
            <w:tcBorders>
              <w:top w:val="nil"/>
              <w:left w:val="single" w:sz="8" w:space="0" w:color="auto"/>
              <w:bottom w:val="nil"/>
              <w:right w:val="single" w:sz="8" w:space="0" w:color="auto"/>
            </w:tcBorders>
            <w:shd w:val="clear" w:color="auto" w:fill="auto"/>
            <w:vAlign w:val="center"/>
          </w:tcPr>
          <w:p w14:paraId="7A988906"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5,067</w:t>
            </w:r>
          </w:p>
        </w:tc>
        <w:tc>
          <w:tcPr>
            <w:tcW w:w="1113" w:type="dxa"/>
            <w:tcBorders>
              <w:top w:val="nil"/>
              <w:left w:val="single" w:sz="8" w:space="0" w:color="auto"/>
              <w:bottom w:val="nil"/>
              <w:right w:val="single" w:sz="8" w:space="0" w:color="auto"/>
            </w:tcBorders>
            <w:shd w:val="clear" w:color="auto" w:fill="auto"/>
            <w:vAlign w:val="center"/>
          </w:tcPr>
          <w:p w14:paraId="48CD98CD"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5,067</w:t>
            </w:r>
          </w:p>
        </w:tc>
        <w:tc>
          <w:tcPr>
            <w:tcW w:w="1114" w:type="dxa"/>
            <w:tcBorders>
              <w:top w:val="nil"/>
              <w:left w:val="single" w:sz="8" w:space="0" w:color="auto"/>
              <w:bottom w:val="nil"/>
              <w:right w:val="single" w:sz="8" w:space="0" w:color="auto"/>
            </w:tcBorders>
            <w:shd w:val="clear" w:color="auto" w:fill="auto"/>
            <w:vAlign w:val="center"/>
          </w:tcPr>
          <w:p w14:paraId="126BC06D"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5,067</w:t>
            </w:r>
          </w:p>
        </w:tc>
        <w:tc>
          <w:tcPr>
            <w:tcW w:w="1114" w:type="dxa"/>
            <w:tcBorders>
              <w:top w:val="nil"/>
              <w:left w:val="single" w:sz="8" w:space="0" w:color="auto"/>
              <w:bottom w:val="nil"/>
              <w:right w:val="single" w:sz="8" w:space="0" w:color="auto"/>
            </w:tcBorders>
            <w:shd w:val="clear" w:color="auto" w:fill="auto"/>
            <w:vAlign w:val="center"/>
          </w:tcPr>
          <w:p w14:paraId="4AC1C1CE"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5,067</w:t>
            </w:r>
          </w:p>
        </w:tc>
        <w:tc>
          <w:tcPr>
            <w:tcW w:w="1114" w:type="dxa"/>
            <w:tcBorders>
              <w:top w:val="nil"/>
              <w:left w:val="single" w:sz="8" w:space="0" w:color="auto"/>
              <w:bottom w:val="nil"/>
              <w:right w:val="single" w:sz="8" w:space="0" w:color="auto"/>
            </w:tcBorders>
            <w:shd w:val="clear" w:color="auto" w:fill="auto"/>
            <w:vAlign w:val="center"/>
          </w:tcPr>
          <w:p w14:paraId="0634DC1F"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5,067</w:t>
            </w:r>
          </w:p>
        </w:tc>
      </w:tr>
      <w:tr w:rsidR="00F6075C" w:rsidRPr="00F6075C" w14:paraId="20A9BFFA"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FCB9D4E" w14:textId="77777777" w:rsidR="00F6075C" w:rsidRPr="00066DF4" w:rsidRDefault="00F6075C" w:rsidP="00F6075C">
            <w:pPr>
              <w:snapToGrid w:val="0"/>
              <w:rPr>
                <w:rFonts w:ascii="Calibri" w:hAnsi="Calibri" w:cs="Calibri"/>
                <w:color w:val="000000"/>
                <w:sz w:val="18"/>
                <w:szCs w:val="18"/>
                <w:lang w:eastAsia="en-AU"/>
              </w:rPr>
            </w:pPr>
            <w:r w:rsidRPr="00066DF4">
              <w:rPr>
                <w:rFonts w:ascii="Calibri" w:hAnsi="Calibri" w:cs="Calibri"/>
                <w:color w:val="000000"/>
                <w:sz w:val="18"/>
                <w:szCs w:val="18"/>
                <w:lang w:eastAsia="en-AU"/>
              </w:rPr>
              <w:t xml:space="preserve">    Deteriorated (n)</w:t>
            </w:r>
          </w:p>
        </w:tc>
        <w:tc>
          <w:tcPr>
            <w:tcW w:w="1113" w:type="dxa"/>
            <w:tcBorders>
              <w:top w:val="nil"/>
              <w:left w:val="single" w:sz="8" w:space="0" w:color="auto"/>
              <w:bottom w:val="nil"/>
              <w:right w:val="single" w:sz="8" w:space="0" w:color="auto"/>
            </w:tcBorders>
            <w:shd w:val="clear" w:color="auto" w:fill="auto"/>
            <w:vAlign w:val="center"/>
          </w:tcPr>
          <w:p w14:paraId="115E816C"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522</w:t>
            </w:r>
          </w:p>
        </w:tc>
        <w:tc>
          <w:tcPr>
            <w:tcW w:w="1114" w:type="dxa"/>
            <w:tcBorders>
              <w:top w:val="nil"/>
              <w:left w:val="single" w:sz="8" w:space="0" w:color="auto"/>
              <w:bottom w:val="nil"/>
              <w:right w:val="single" w:sz="8" w:space="0" w:color="auto"/>
            </w:tcBorders>
            <w:shd w:val="clear" w:color="auto" w:fill="auto"/>
            <w:vAlign w:val="center"/>
          </w:tcPr>
          <w:p w14:paraId="7197B5AB"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1,147</w:t>
            </w:r>
          </w:p>
        </w:tc>
        <w:tc>
          <w:tcPr>
            <w:tcW w:w="1114" w:type="dxa"/>
            <w:tcBorders>
              <w:top w:val="nil"/>
              <w:left w:val="single" w:sz="8" w:space="0" w:color="auto"/>
              <w:bottom w:val="nil"/>
              <w:right w:val="single" w:sz="8" w:space="0" w:color="auto"/>
            </w:tcBorders>
            <w:shd w:val="clear" w:color="auto" w:fill="auto"/>
            <w:vAlign w:val="center"/>
          </w:tcPr>
          <w:p w14:paraId="64214C1E"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1,147</w:t>
            </w:r>
          </w:p>
        </w:tc>
        <w:tc>
          <w:tcPr>
            <w:tcW w:w="1113" w:type="dxa"/>
            <w:tcBorders>
              <w:top w:val="nil"/>
              <w:left w:val="single" w:sz="8" w:space="0" w:color="auto"/>
              <w:bottom w:val="nil"/>
              <w:right w:val="single" w:sz="8" w:space="0" w:color="auto"/>
            </w:tcBorders>
            <w:shd w:val="clear" w:color="auto" w:fill="auto"/>
            <w:vAlign w:val="center"/>
          </w:tcPr>
          <w:p w14:paraId="6C72036C"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1,147</w:t>
            </w:r>
          </w:p>
        </w:tc>
        <w:tc>
          <w:tcPr>
            <w:tcW w:w="1114" w:type="dxa"/>
            <w:tcBorders>
              <w:top w:val="nil"/>
              <w:left w:val="single" w:sz="8" w:space="0" w:color="auto"/>
              <w:bottom w:val="nil"/>
              <w:right w:val="single" w:sz="8" w:space="0" w:color="auto"/>
            </w:tcBorders>
            <w:shd w:val="clear" w:color="auto" w:fill="auto"/>
            <w:vAlign w:val="center"/>
          </w:tcPr>
          <w:p w14:paraId="6CFA2EFB"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1,147</w:t>
            </w:r>
          </w:p>
        </w:tc>
        <w:tc>
          <w:tcPr>
            <w:tcW w:w="1114" w:type="dxa"/>
            <w:tcBorders>
              <w:top w:val="nil"/>
              <w:left w:val="single" w:sz="8" w:space="0" w:color="auto"/>
              <w:bottom w:val="nil"/>
              <w:right w:val="single" w:sz="8" w:space="0" w:color="auto"/>
            </w:tcBorders>
            <w:shd w:val="clear" w:color="auto" w:fill="auto"/>
            <w:vAlign w:val="center"/>
          </w:tcPr>
          <w:p w14:paraId="54E950FD"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1,147</w:t>
            </w:r>
          </w:p>
        </w:tc>
        <w:tc>
          <w:tcPr>
            <w:tcW w:w="1114" w:type="dxa"/>
            <w:tcBorders>
              <w:top w:val="nil"/>
              <w:left w:val="single" w:sz="8" w:space="0" w:color="auto"/>
              <w:bottom w:val="nil"/>
              <w:right w:val="single" w:sz="8" w:space="0" w:color="auto"/>
            </w:tcBorders>
            <w:shd w:val="clear" w:color="auto" w:fill="auto"/>
            <w:vAlign w:val="center"/>
          </w:tcPr>
          <w:p w14:paraId="15D4D2DA"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1,147</w:t>
            </w:r>
          </w:p>
        </w:tc>
      </w:tr>
      <w:tr w:rsidR="00F6075C" w:rsidRPr="00F6075C" w14:paraId="79881875"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B3697F0" w14:textId="77777777" w:rsidR="00F6075C" w:rsidRPr="00066DF4" w:rsidRDefault="00F6075C" w:rsidP="00F6075C">
            <w:pPr>
              <w:snapToGrid w:val="0"/>
              <w:ind w:left="169"/>
              <w:rPr>
                <w:rFonts w:ascii="Calibri" w:hAnsi="Calibri" w:cs="Calibri"/>
                <w:color w:val="000000"/>
                <w:sz w:val="18"/>
                <w:szCs w:val="18"/>
                <w:lang w:eastAsia="en-AU"/>
              </w:rPr>
            </w:pPr>
            <w:r w:rsidRPr="00066DF4">
              <w:rPr>
                <w:rFonts w:ascii="Calibri" w:hAnsi="Calibri" w:cs="Calibri"/>
                <w:color w:val="000000"/>
                <w:sz w:val="18"/>
                <w:szCs w:val="18"/>
                <w:lang w:eastAsia="en-AU"/>
              </w:rPr>
              <w:t>QALY</w:t>
            </w:r>
          </w:p>
        </w:tc>
        <w:tc>
          <w:tcPr>
            <w:tcW w:w="1113" w:type="dxa"/>
            <w:tcBorders>
              <w:top w:val="nil"/>
              <w:left w:val="single" w:sz="8" w:space="0" w:color="auto"/>
              <w:bottom w:val="nil"/>
              <w:right w:val="single" w:sz="8" w:space="0" w:color="auto"/>
            </w:tcBorders>
            <w:shd w:val="clear" w:color="auto" w:fill="auto"/>
            <w:vAlign w:val="center"/>
          </w:tcPr>
          <w:p w14:paraId="686F9BEA"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6,037</w:t>
            </w:r>
          </w:p>
        </w:tc>
        <w:tc>
          <w:tcPr>
            <w:tcW w:w="1114" w:type="dxa"/>
            <w:tcBorders>
              <w:top w:val="nil"/>
              <w:left w:val="single" w:sz="8" w:space="0" w:color="auto"/>
              <w:bottom w:val="nil"/>
              <w:right w:val="single" w:sz="8" w:space="0" w:color="auto"/>
            </w:tcBorders>
            <w:shd w:val="clear" w:color="auto" w:fill="auto"/>
            <w:vAlign w:val="center"/>
          </w:tcPr>
          <w:p w14:paraId="1CBD5606"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5,736</w:t>
            </w:r>
          </w:p>
        </w:tc>
        <w:tc>
          <w:tcPr>
            <w:tcW w:w="1114" w:type="dxa"/>
            <w:tcBorders>
              <w:top w:val="nil"/>
              <w:left w:val="single" w:sz="8" w:space="0" w:color="auto"/>
              <w:bottom w:val="nil"/>
              <w:right w:val="single" w:sz="8" w:space="0" w:color="auto"/>
            </w:tcBorders>
            <w:shd w:val="clear" w:color="auto" w:fill="auto"/>
            <w:vAlign w:val="center"/>
          </w:tcPr>
          <w:p w14:paraId="2699DAE1"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5,736</w:t>
            </w:r>
          </w:p>
        </w:tc>
        <w:tc>
          <w:tcPr>
            <w:tcW w:w="1113" w:type="dxa"/>
            <w:tcBorders>
              <w:top w:val="nil"/>
              <w:left w:val="single" w:sz="8" w:space="0" w:color="auto"/>
              <w:bottom w:val="nil"/>
              <w:right w:val="single" w:sz="8" w:space="0" w:color="auto"/>
            </w:tcBorders>
            <w:shd w:val="clear" w:color="auto" w:fill="auto"/>
            <w:vAlign w:val="center"/>
          </w:tcPr>
          <w:p w14:paraId="776EB42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5,736</w:t>
            </w:r>
          </w:p>
        </w:tc>
        <w:tc>
          <w:tcPr>
            <w:tcW w:w="1114" w:type="dxa"/>
            <w:tcBorders>
              <w:top w:val="nil"/>
              <w:left w:val="single" w:sz="8" w:space="0" w:color="auto"/>
              <w:bottom w:val="nil"/>
              <w:right w:val="single" w:sz="8" w:space="0" w:color="auto"/>
            </w:tcBorders>
            <w:shd w:val="clear" w:color="auto" w:fill="auto"/>
            <w:vAlign w:val="center"/>
          </w:tcPr>
          <w:p w14:paraId="6D01B113"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5,736</w:t>
            </w:r>
          </w:p>
        </w:tc>
        <w:tc>
          <w:tcPr>
            <w:tcW w:w="1114" w:type="dxa"/>
            <w:tcBorders>
              <w:top w:val="nil"/>
              <w:left w:val="single" w:sz="8" w:space="0" w:color="auto"/>
              <w:bottom w:val="nil"/>
              <w:right w:val="single" w:sz="8" w:space="0" w:color="auto"/>
            </w:tcBorders>
            <w:shd w:val="clear" w:color="auto" w:fill="auto"/>
            <w:vAlign w:val="center"/>
          </w:tcPr>
          <w:p w14:paraId="74F32A99"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5,736</w:t>
            </w:r>
          </w:p>
        </w:tc>
        <w:tc>
          <w:tcPr>
            <w:tcW w:w="1114" w:type="dxa"/>
            <w:tcBorders>
              <w:top w:val="nil"/>
              <w:left w:val="single" w:sz="8" w:space="0" w:color="auto"/>
              <w:bottom w:val="nil"/>
              <w:right w:val="single" w:sz="8" w:space="0" w:color="auto"/>
            </w:tcBorders>
            <w:shd w:val="clear" w:color="auto" w:fill="auto"/>
            <w:vAlign w:val="center"/>
          </w:tcPr>
          <w:p w14:paraId="2FB623CC"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5,736</w:t>
            </w:r>
          </w:p>
        </w:tc>
      </w:tr>
      <w:tr w:rsidR="00F6075C" w:rsidRPr="00F6075C" w14:paraId="3196F3B7"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751F280D" w14:textId="77777777" w:rsidR="00F6075C" w:rsidRPr="00066DF4" w:rsidRDefault="00F6075C" w:rsidP="00F6075C">
            <w:pPr>
              <w:snapToGrid w:val="0"/>
              <w:ind w:left="169"/>
              <w:rPr>
                <w:rFonts w:ascii="Calibri" w:hAnsi="Calibri" w:cs="Calibri"/>
                <w:color w:val="000000"/>
                <w:sz w:val="18"/>
                <w:szCs w:val="18"/>
                <w:lang w:eastAsia="en-AU"/>
              </w:rPr>
            </w:pPr>
            <w:r w:rsidRPr="00066DF4">
              <w:rPr>
                <w:rFonts w:ascii="Calibri" w:hAnsi="Calibri" w:cs="Calibri"/>
                <w:color w:val="000000"/>
                <w:sz w:val="18"/>
                <w:szCs w:val="18"/>
                <w:lang w:eastAsia="en-AU"/>
              </w:rPr>
              <w:t>Total costs excluding productivity losses</w:t>
            </w:r>
          </w:p>
        </w:tc>
        <w:tc>
          <w:tcPr>
            <w:tcW w:w="1113" w:type="dxa"/>
            <w:tcBorders>
              <w:top w:val="nil"/>
              <w:left w:val="single" w:sz="8" w:space="0" w:color="auto"/>
              <w:bottom w:val="nil"/>
              <w:right w:val="single" w:sz="8" w:space="0" w:color="auto"/>
            </w:tcBorders>
            <w:shd w:val="clear" w:color="auto" w:fill="auto"/>
            <w:vAlign w:val="center"/>
          </w:tcPr>
          <w:p w14:paraId="47507C20"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$6,223,175</w:t>
            </w:r>
          </w:p>
        </w:tc>
        <w:tc>
          <w:tcPr>
            <w:tcW w:w="1114" w:type="dxa"/>
            <w:tcBorders>
              <w:top w:val="nil"/>
              <w:left w:val="single" w:sz="8" w:space="0" w:color="auto"/>
              <w:bottom w:val="nil"/>
              <w:right w:val="single" w:sz="8" w:space="0" w:color="auto"/>
            </w:tcBorders>
            <w:shd w:val="clear" w:color="auto" w:fill="auto"/>
            <w:vAlign w:val="center"/>
          </w:tcPr>
          <w:p w14:paraId="75B6A5C6"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$21,155,546</w:t>
            </w:r>
          </w:p>
        </w:tc>
        <w:tc>
          <w:tcPr>
            <w:tcW w:w="1114" w:type="dxa"/>
            <w:tcBorders>
              <w:top w:val="nil"/>
              <w:left w:val="single" w:sz="8" w:space="0" w:color="auto"/>
              <w:bottom w:val="nil"/>
              <w:right w:val="single" w:sz="8" w:space="0" w:color="auto"/>
            </w:tcBorders>
            <w:shd w:val="clear" w:color="auto" w:fill="auto"/>
            <w:vAlign w:val="center"/>
          </w:tcPr>
          <w:p w14:paraId="7B028813"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$13,648,215</w:t>
            </w:r>
          </w:p>
        </w:tc>
        <w:tc>
          <w:tcPr>
            <w:tcW w:w="1113" w:type="dxa"/>
            <w:tcBorders>
              <w:top w:val="nil"/>
              <w:left w:val="single" w:sz="8" w:space="0" w:color="auto"/>
              <w:bottom w:val="nil"/>
              <w:right w:val="single" w:sz="8" w:space="0" w:color="auto"/>
            </w:tcBorders>
            <w:shd w:val="clear" w:color="auto" w:fill="auto"/>
            <w:vAlign w:val="center"/>
          </w:tcPr>
          <w:p w14:paraId="2B2B3784"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$4,858,126</w:t>
            </w:r>
          </w:p>
        </w:tc>
        <w:tc>
          <w:tcPr>
            <w:tcW w:w="1114" w:type="dxa"/>
            <w:tcBorders>
              <w:top w:val="nil"/>
              <w:left w:val="single" w:sz="8" w:space="0" w:color="auto"/>
              <w:bottom w:val="nil"/>
              <w:right w:val="single" w:sz="8" w:space="0" w:color="auto"/>
            </w:tcBorders>
            <w:shd w:val="clear" w:color="auto" w:fill="auto"/>
            <w:vAlign w:val="center"/>
          </w:tcPr>
          <w:p w14:paraId="33FD8B1C"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$11,879,578</w:t>
            </w:r>
          </w:p>
        </w:tc>
        <w:tc>
          <w:tcPr>
            <w:tcW w:w="1114" w:type="dxa"/>
            <w:tcBorders>
              <w:top w:val="nil"/>
              <w:left w:val="single" w:sz="8" w:space="0" w:color="auto"/>
              <w:bottom w:val="nil"/>
              <w:right w:val="single" w:sz="8" w:space="0" w:color="auto"/>
            </w:tcBorders>
            <w:shd w:val="clear" w:color="auto" w:fill="auto"/>
            <w:vAlign w:val="center"/>
          </w:tcPr>
          <w:p w14:paraId="20CE87F1"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$37,255,585</w:t>
            </w:r>
          </w:p>
        </w:tc>
        <w:tc>
          <w:tcPr>
            <w:tcW w:w="1114" w:type="dxa"/>
            <w:tcBorders>
              <w:top w:val="nil"/>
              <w:left w:val="single" w:sz="8" w:space="0" w:color="auto"/>
              <w:bottom w:val="nil"/>
              <w:right w:val="single" w:sz="8" w:space="0" w:color="auto"/>
            </w:tcBorders>
            <w:shd w:val="clear" w:color="auto" w:fill="auto"/>
            <w:vAlign w:val="center"/>
          </w:tcPr>
          <w:p w14:paraId="2E41E911"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$19,978,906</w:t>
            </w:r>
          </w:p>
        </w:tc>
      </w:tr>
      <w:tr w:rsidR="00F6075C" w:rsidRPr="00F6075C" w14:paraId="5A0A7A91"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7107259" w14:textId="77777777" w:rsidR="00F6075C" w:rsidRPr="00066DF4" w:rsidRDefault="00F6075C" w:rsidP="00F6075C">
            <w:pPr>
              <w:snapToGrid w:val="0"/>
              <w:ind w:left="169"/>
              <w:rPr>
                <w:rFonts w:ascii="Calibri" w:hAnsi="Calibri" w:cs="Calibri"/>
                <w:color w:val="000000"/>
                <w:sz w:val="18"/>
                <w:szCs w:val="18"/>
                <w:lang w:eastAsia="en-AU"/>
              </w:rPr>
            </w:pPr>
            <w:r w:rsidRPr="00066DF4">
              <w:rPr>
                <w:rFonts w:ascii="Calibri" w:hAnsi="Calibri" w:cs="Calibri"/>
                <w:color w:val="000000"/>
                <w:sz w:val="18"/>
                <w:szCs w:val="18"/>
                <w:lang w:eastAsia="en-AU"/>
              </w:rPr>
              <w:t xml:space="preserve">     Costs per QALY </w:t>
            </w:r>
          </w:p>
          <w:p w14:paraId="1CFF8305" w14:textId="77777777" w:rsidR="00F6075C" w:rsidRPr="00066DF4" w:rsidRDefault="00F6075C" w:rsidP="00F6075C">
            <w:pPr>
              <w:snapToGrid w:val="0"/>
              <w:ind w:left="169"/>
              <w:rPr>
                <w:rFonts w:ascii="Calibri" w:hAnsi="Calibri" w:cs="Calibri"/>
                <w:color w:val="000000"/>
                <w:sz w:val="18"/>
                <w:szCs w:val="18"/>
                <w:lang w:eastAsia="en-AU"/>
              </w:rPr>
            </w:pPr>
            <w:r w:rsidRPr="00066DF4">
              <w:rPr>
                <w:rFonts w:ascii="Calibri" w:hAnsi="Calibri" w:cs="Calibri"/>
                <w:color w:val="000000"/>
                <w:sz w:val="18"/>
                <w:szCs w:val="18"/>
                <w:lang w:eastAsia="en-AU"/>
              </w:rPr>
              <w:t xml:space="preserve">     gained</w:t>
            </w:r>
          </w:p>
        </w:tc>
        <w:tc>
          <w:tcPr>
            <w:tcW w:w="1113" w:type="dxa"/>
            <w:tcBorders>
              <w:top w:val="nil"/>
              <w:left w:val="single" w:sz="8" w:space="0" w:color="auto"/>
              <w:bottom w:val="nil"/>
              <w:right w:val="single" w:sz="8" w:space="0" w:color="auto"/>
            </w:tcBorders>
            <w:shd w:val="clear" w:color="auto" w:fill="auto"/>
            <w:vAlign w:val="center"/>
          </w:tcPr>
          <w:p w14:paraId="1152239F"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w:t>
            </w:r>
          </w:p>
        </w:tc>
        <w:tc>
          <w:tcPr>
            <w:tcW w:w="1114" w:type="dxa"/>
            <w:tcBorders>
              <w:top w:val="nil"/>
              <w:left w:val="single" w:sz="8" w:space="0" w:color="auto"/>
              <w:bottom w:val="nil"/>
              <w:right w:val="single" w:sz="8" w:space="0" w:color="auto"/>
            </w:tcBorders>
            <w:shd w:val="clear" w:color="auto" w:fill="auto"/>
            <w:vAlign w:val="center"/>
          </w:tcPr>
          <w:p w14:paraId="172D4535"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3EC4CFCE"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3" w:type="dxa"/>
            <w:tcBorders>
              <w:top w:val="nil"/>
              <w:left w:val="single" w:sz="8" w:space="0" w:color="auto"/>
              <w:bottom w:val="nil"/>
              <w:right w:val="single" w:sz="8" w:space="0" w:color="auto"/>
            </w:tcBorders>
            <w:shd w:val="clear" w:color="auto" w:fill="auto"/>
            <w:vAlign w:val="center"/>
          </w:tcPr>
          <w:p w14:paraId="1F64EB9A"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$4,533</w:t>
            </w:r>
          </w:p>
        </w:tc>
        <w:tc>
          <w:tcPr>
            <w:tcW w:w="1114" w:type="dxa"/>
            <w:tcBorders>
              <w:top w:val="nil"/>
              <w:left w:val="single" w:sz="8" w:space="0" w:color="auto"/>
              <w:bottom w:val="nil"/>
              <w:right w:val="single" w:sz="8" w:space="0" w:color="auto"/>
            </w:tcBorders>
            <w:shd w:val="clear" w:color="auto" w:fill="auto"/>
            <w:vAlign w:val="center"/>
          </w:tcPr>
          <w:p w14:paraId="7DAF3DA5"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46DCE6D1"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238FADC7"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r>
      <w:tr w:rsidR="00F6075C" w:rsidRPr="00F6075C" w14:paraId="4836C71D"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5F0CED42" w14:textId="77777777" w:rsidR="00F6075C" w:rsidRPr="00066DF4" w:rsidRDefault="00F6075C" w:rsidP="00F6075C">
            <w:pPr>
              <w:snapToGrid w:val="0"/>
              <w:ind w:left="169"/>
              <w:rPr>
                <w:rFonts w:ascii="Calibri" w:hAnsi="Calibri" w:cs="Calibri"/>
                <w:color w:val="000000"/>
                <w:sz w:val="18"/>
                <w:szCs w:val="18"/>
                <w:lang w:eastAsia="en-AU"/>
              </w:rPr>
            </w:pPr>
            <w:r w:rsidRPr="00066DF4">
              <w:rPr>
                <w:rFonts w:ascii="Calibri" w:hAnsi="Calibri" w:cs="Calibri"/>
                <w:color w:val="000000"/>
                <w:sz w:val="18"/>
                <w:szCs w:val="18"/>
                <w:lang w:eastAsia="en-AU"/>
              </w:rPr>
              <w:t xml:space="preserve">Total costs including productivity losses     </w:t>
            </w:r>
          </w:p>
        </w:tc>
        <w:tc>
          <w:tcPr>
            <w:tcW w:w="1113" w:type="dxa"/>
            <w:tcBorders>
              <w:top w:val="nil"/>
              <w:left w:val="single" w:sz="8" w:space="0" w:color="auto"/>
              <w:bottom w:val="nil"/>
              <w:right w:val="single" w:sz="8" w:space="0" w:color="auto"/>
            </w:tcBorders>
            <w:shd w:val="clear" w:color="auto" w:fill="auto"/>
            <w:vAlign w:val="center"/>
          </w:tcPr>
          <w:p w14:paraId="0DF6DBFD"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$12,368,031</w:t>
            </w:r>
          </w:p>
        </w:tc>
        <w:tc>
          <w:tcPr>
            <w:tcW w:w="1114" w:type="dxa"/>
            <w:tcBorders>
              <w:top w:val="nil"/>
              <w:left w:val="single" w:sz="8" w:space="0" w:color="auto"/>
              <w:bottom w:val="nil"/>
              <w:right w:val="single" w:sz="8" w:space="0" w:color="auto"/>
            </w:tcBorders>
            <w:shd w:val="clear" w:color="auto" w:fill="auto"/>
            <w:vAlign w:val="center"/>
          </w:tcPr>
          <w:p w14:paraId="526238AC"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$83,665,576</w:t>
            </w:r>
          </w:p>
        </w:tc>
        <w:tc>
          <w:tcPr>
            <w:tcW w:w="1114" w:type="dxa"/>
            <w:tcBorders>
              <w:top w:val="nil"/>
              <w:left w:val="single" w:sz="8" w:space="0" w:color="auto"/>
              <w:bottom w:val="nil"/>
              <w:right w:val="single" w:sz="8" w:space="0" w:color="auto"/>
            </w:tcBorders>
            <w:shd w:val="clear" w:color="auto" w:fill="auto"/>
            <w:vAlign w:val="center"/>
          </w:tcPr>
          <w:p w14:paraId="1D250E6E"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$133,127,109</w:t>
            </w:r>
          </w:p>
        </w:tc>
        <w:tc>
          <w:tcPr>
            <w:tcW w:w="1113" w:type="dxa"/>
            <w:tcBorders>
              <w:top w:val="nil"/>
              <w:left w:val="single" w:sz="8" w:space="0" w:color="auto"/>
              <w:bottom w:val="nil"/>
              <w:right w:val="single" w:sz="8" w:space="0" w:color="auto"/>
            </w:tcBorders>
            <w:shd w:val="clear" w:color="auto" w:fill="auto"/>
            <w:vAlign w:val="center"/>
          </w:tcPr>
          <w:p w14:paraId="31A753AD"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$36,048,646</w:t>
            </w:r>
          </w:p>
        </w:tc>
        <w:tc>
          <w:tcPr>
            <w:tcW w:w="1114" w:type="dxa"/>
            <w:tcBorders>
              <w:top w:val="nil"/>
              <w:left w:val="single" w:sz="8" w:space="0" w:color="auto"/>
              <w:bottom w:val="nil"/>
              <w:right w:val="single" w:sz="8" w:space="0" w:color="auto"/>
            </w:tcBorders>
            <w:shd w:val="clear" w:color="auto" w:fill="auto"/>
            <w:vAlign w:val="center"/>
          </w:tcPr>
          <w:p w14:paraId="7B41D2C9"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$131,442,013</w:t>
            </w:r>
          </w:p>
        </w:tc>
        <w:tc>
          <w:tcPr>
            <w:tcW w:w="1114" w:type="dxa"/>
            <w:tcBorders>
              <w:top w:val="nil"/>
              <w:left w:val="single" w:sz="8" w:space="0" w:color="auto"/>
              <w:bottom w:val="nil"/>
              <w:right w:val="single" w:sz="8" w:space="0" w:color="auto"/>
            </w:tcBorders>
            <w:shd w:val="clear" w:color="auto" w:fill="auto"/>
            <w:vAlign w:val="center"/>
          </w:tcPr>
          <w:p w14:paraId="2740590A"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$130,720,880</w:t>
            </w:r>
          </w:p>
        </w:tc>
        <w:tc>
          <w:tcPr>
            <w:tcW w:w="1114" w:type="dxa"/>
            <w:tcBorders>
              <w:top w:val="nil"/>
              <w:left w:val="single" w:sz="8" w:space="0" w:color="auto"/>
              <w:bottom w:val="nil"/>
              <w:right w:val="single" w:sz="8" w:space="0" w:color="auto"/>
            </w:tcBorders>
            <w:shd w:val="clear" w:color="auto" w:fill="auto"/>
            <w:vAlign w:val="center"/>
          </w:tcPr>
          <w:p w14:paraId="6AA49D63"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$127,001,374</w:t>
            </w:r>
          </w:p>
        </w:tc>
      </w:tr>
      <w:tr w:rsidR="00F6075C" w:rsidRPr="00F6075C" w14:paraId="38EC8F51"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78818FCE" w14:textId="77777777" w:rsidR="00F6075C" w:rsidRPr="00066DF4" w:rsidRDefault="00F6075C" w:rsidP="00F6075C">
            <w:pPr>
              <w:snapToGrid w:val="0"/>
              <w:ind w:left="169"/>
              <w:rPr>
                <w:rFonts w:ascii="Calibri" w:hAnsi="Calibri" w:cs="Calibri"/>
                <w:color w:val="000000"/>
                <w:sz w:val="18"/>
                <w:szCs w:val="18"/>
                <w:lang w:eastAsia="en-AU"/>
              </w:rPr>
            </w:pPr>
            <w:r w:rsidRPr="00066DF4">
              <w:rPr>
                <w:rFonts w:ascii="Calibri" w:hAnsi="Calibri" w:cs="Calibri"/>
                <w:color w:val="000000"/>
                <w:sz w:val="18"/>
                <w:szCs w:val="18"/>
                <w:lang w:eastAsia="en-AU"/>
              </w:rPr>
              <w:t xml:space="preserve">     Costs per QALY    </w:t>
            </w:r>
          </w:p>
          <w:p w14:paraId="1D76BDBC" w14:textId="77777777" w:rsidR="00F6075C" w:rsidRPr="00066DF4" w:rsidRDefault="00F6075C" w:rsidP="00F6075C">
            <w:pPr>
              <w:snapToGrid w:val="0"/>
              <w:ind w:left="169"/>
              <w:rPr>
                <w:rFonts w:ascii="Calibri" w:hAnsi="Calibri" w:cs="Calibri"/>
                <w:color w:val="000000"/>
                <w:sz w:val="18"/>
                <w:szCs w:val="18"/>
                <w:lang w:eastAsia="en-AU"/>
              </w:rPr>
            </w:pPr>
            <w:r w:rsidRPr="00066DF4">
              <w:rPr>
                <w:rFonts w:ascii="Calibri" w:hAnsi="Calibri" w:cs="Calibri"/>
                <w:color w:val="000000"/>
                <w:sz w:val="18"/>
                <w:szCs w:val="18"/>
                <w:lang w:eastAsia="en-AU"/>
              </w:rPr>
              <w:t xml:space="preserve">     gained</w:t>
            </w:r>
          </w:p>
        </w:tc>
        <w:tc>
          <w:tcPr>
            <w:tcW w:w="1113" w:type="dxa"/>
            <w:tcBorders>
              <w:top w:val="nil"/>
              <w:left w:val="single" w:sz="8" w:space="0" w:color="auto"/>
              <w:bottom w:val="nil"/>
              <w:right w:val="single" w:sz="8" w:space="0" w:color="auto"/>
            </w:tcBorders>
            <w:shd w:val="clear" w:color="auto" w:fill="auto"/>
            <w:vAlign w:val="center"/>
          </w:tcPr>
          <w:p w14:paraId="6F599E59"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w:t>
            </w:r>
          </w:p>
        </w:tc>
        <w:tc>
          <w:tcPr>
            <w:tcW w:w="1114" w:type="dxa"/>
            <w:tcBorders>
              <w:top w:val="nil"/>
              <w:left w:val="single" w:sz="8" w:space="0" w:color="auto"/>
              <w:bottom w:val="nil"/>
              <w:right w:val="single" w:sz="8" w:space="0" w:color="auto"/>
            </w:tcBorders>
            <w:shd w:val="clear" w:color="auto" w:fill="auto"/>
            <w:vAlign w:val="center"/>
          </w:tcPr>
          <w:p w14:paraId="5C1CC05B"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560C3EFF"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3" w:type="dxa"/>
            <w:tcBorders>
              <w:top w:val="nil"/>
              <w:left w:val="single" w:sz="8" w:space="0" w:color="auto"/>
              <w:bottom w:val="nil"/>
              <w:right w:val="single" w:sz="8" w:space="0" w:color="auto"/>
            </w:tcBorders>
            <w:shd w:val="clear" w:color="auto" w:fill="auto"/>
            <w:vAlign w:val="center"/>
          </w:tcPr>
          <w:p w14:paraId="2ED9919B"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6BB3C065"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69E8E1C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262A1ECE"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r>
      <w:tr w:rsidR="00F6075C" w:rsidRPr="00F6075C" w14:paraId="190AC9D8"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6642DF07" w14:textId="77777777" w:rsidR="00F6075C" w:rsidRPr="00066DF4" w:rsidRDefault="00F6075C" w:rsidP="00F6075C">
            <w:pPr>
              <w:snapToGrid w:val="0"/>
              <w:rPr>
                <w:rFonts w:ascii="Calibri" w:hAnsi="Calibri" w:cs="Calibri"/>
                <w:color w:val="000000"/>
                <w:sz w:val="18"/>
                <w:szCs w:val="18"/>
                <w:lang w:eastAsia="en-AU"/>
              </w:rPr>
            </w:pPr>
          </w:p>
        </w:tc>
        <w:tc>
          <w:tcPr>
            <w:tcW w:w="1113" w:type="dxa"/>
            <w:tcBorders>
              <w:top w:val="nil"/>
              <w:left w:val="single" w:sz="8" w:space="0" w:color="auto"/>
              <w:bottom w:val="nil"/>
              <w:right w:val="single" w:sz="8" w:space="0" w:color="auto"/>
            </w:tcBorders>
            <w:shd w:val="clear" w:color="auto" w:fill="auto"/>
            <w:vAlign w:val="center"/>
          </w:tcPr>
          <w:p w14:paraId="2E73101F"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0F3E436A"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62ACFE4A"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21A45359"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381E377A"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7A431B5C"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7B7D82AB"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r>
      <w:tr w:rsidR="00F6075C" w:rsidRPr="00F6075C" w14:paraId="3FA2CB9E"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4DEE105A" w14:textId="77777777" w:rsidR="00F6075C" w:rsidRPr="00066DF4" w:rsidRDefault="00F6075C" w:rsidP="00F6075C">
            <w:pPr>
              <w:snapToGrid w:val="0"/>
              <w:rPr>
                <w:rFonts w:ascii="Calibri" w:hAnsi="Calibri" w:cs="Calibri"/>
                <w:color w:val="000000"/>
                <w:sz w:val="18"/>
                <w:szCs w:val="18"/>
                <w:lang w:eastAsia="en-AU"/>
              </w:rPr>
            </w:pPr>
            <w:r w:rsidRPr="00066DF4">
              <w:rPr>
                <w:rFonts w:ascii="Calibri" w:hAnsi="Calibri" w:cs="Calibri"/>
                <w:color w:val="000000"/>
                <w:sz w:val="18"/>
                <w:szCs w:val="18"/>
                <w:lang w:eastAsia="en-AU"/>
              </w:rPr>
              <w:t xml:space="preserve">Therapist-supported </w:t>
            </w:r>
            <w:proofErr w:type="spellStart"/>
            <w:r w:rsidRPr="00066DF4">
              <w:rPr>
                <w:rFonts w:ascii="Calibri" w:hAnsi="Calibri" w:cs="Calibri"/>
                <w:color w:val="000000"/>
                <w:sz w:val="18"/>
                <w:szCs w:val="18"/>
                <w:lang w:eastAsia="en-AU"/>
              </w:rPr>
              <w:t>treatment</w:t>
            </w:r>
            <w:r w:rsidRPr="00066DF4">
              <w:rPr>
                <w:rFonts w:asciiTheme="minorHAnsi" w:hAnsiTheme="minorHAnsi" w:cstheme="minorHAnsi"/>
                <w:sz w:val="18"/>
                <w:szCs w:val="18"/>
                <w:vertAlign w:val="superscript"/>
                <w:lang w:eastAsia="en-US"/>
              </w:rPr>
              <w:t>b</w:t>
            </w:r>
            <w:proofErr w:type="spellEnd"/>
          </w:p>
        </w:tc>
        <w:tc>
          <w:tcPr>
            <w:tcW w:w="1113" w:type="dxa"/>
            <w:tcBorders>
              <w:top w:val="nil"/>
              <w:left w:val="single" w:sz="8" w:space="0" w:color="auto"/>
              <w:bottom w:val="nil"/>
              <w:right w:val="single" w:sz="8" w:space="0" w:color="auto"/>
            </w:tcBorders>
            <w:shd w:val="clear" w:color="auto" w:fill="auto"/>
            <w:vAlign w:val="center"/>
          </w:tcPr>
          <w:p w14:paraId="40F61EF8"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3D0ED481"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7CFB2C7B"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4AE65FCC"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02F5EB5B"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2F52B828"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136FB5EC"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r>
      <w:tr w:rsidR="00F6075C" w:rsidRPr="00F6075C" w14:paraId="57539693"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636A3EAB" w14:textId="77777777" w:rsidR="00F6075C" w:rsidRPr="00066DF4" w:rsidRDefault="00F6075C" w:rsidP="00F6075C">
            <w:pPr>
              <w:snapToGrid w:val="0"/>
              <w:rPr>
                <w:rFonts w:ascii="Calibri" w:hAnsi="Calibri" w:cs="Calibri"/>
                <w:color w:val="000000"/>
                <w:sz w:val="18"/>
                <w:szCs w:val="18"/>
                <w:lang w:eastAsia="en-AU"/>
              </w:rPr>
            </w:pPr>
            <w:r w:rsidRPr="00066DF4">
              <w:rPr>
                <w:rFonts w:ascii="Calibri" w:hAnsi="Calibri" w:cs="Calibri"/>
                <w:color w:val="000000"/>
                <w:sz w:val="18"/>
                <w:szCs w:val="18"/>
                <w:lang w:eastAsia="en-AU"/>
              </w:rPr>
              <w:t xml:space="preserve">    Input population (n)</w:t>
            </w:r>
          </w:p>
        </w:tc>
        <w:tc>
          <w:tcPr>
            <w:tcW w:w="1113" w:type="dxa"/>
            <w:tcBorders>
              <w:top w:val="nil"/>
              <w:left w:val="single" w:sz="8" w:space="0" w:color="auto"/>
              <w:bottom w:val="nil"/>
              <w:right w:val="single" w:sz="8" w:space="0" w:color="auto"/>
            </w:tcBorders>
            <w:shd w:val="clear" w:color="auto" w:fill="auto"/>
            <w:vAlign w:val="center"/>
          </w:tcPr>
          <w:p w14:paraId="7DF310E4"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578</w:t>
            </w:r>
          </w:p>
        </w:tc>
        <w:tc>
          <w:tcPr>
            <w:tcW w:w="1114" w:type="dxa"/>
            <w:tcBorders>
              <w:top w:val="nil"/>
              <w:left w:val="single" w:sz="8" w:space="0" w:color="auto"/>
              <w:bottom w:val="nil"/>
              <w:right w:val="single" w:sz="8" w:space="0" w:color="auto"/>
            </w:tcBorders>
            <w:shd w:val="clear" w:color="auto" w:fill="auto"/>
            <w:vAlign w:val="center"/>
          </w:tcPr>
          <w:p w14:paraId="70DBF4CF"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578</w:t>
            </w:r>
          </w:p>
        </w:tc>
        <w:tc>
          <w:tcPr>
            <w:tcW w:w="1114" w:type="dxa"/>
            <w:tcBorders>
              <w:top w:val="nil"/>
              <w:left w:val="single" w:sz="8" w:space="0" w:color="auto"/>
              <w:bottom w:val="nil"/>
              <w:right w:val="single" w:sz="8" w:space="0" w:color="auto"/>
            </w:tcBorders>
            <w:shd w:val="clear" w:color="auto" w:fill="auto"/>
            <w:vAlign w:val="center"/>
          </w:tcPr>
          <w:p w14:paraId="414B9E50"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578</w:t>
            </w:r>
          </w:p>
        </w:tc>
        <w:tc>
          <w:tcPr>
            <w:tcW w:w="1113" w:type="dxa"/>
            <w:tcBorders>
              <w:top w:val="nil"/>
              <w:left w:val="single" w:sz="8" w:space="0" w:color="auto"/>
              <w:bottom w:val="nil"/>
              <w:right w:val="single" w:sz="8" w:space="0" w:color="auto"/>
            </w:tcBorders>
            <w:shd w:val="clear" w:color="auto" w:fill="auto"/>
            <w:vAlign w:val="center"/>
          </w:tcPr>
          <w:p w14:paraId="0D05394F"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578</w:t>
            </w:r>
          </w:p>
        </w:tc>
        <w:tc>
          <w:tcPr>
            <w:tcW w:w="1114" w:type="dxa"/>
            <w:tcBorders>
              <w:top w:val="nil"/>
              <w:left w:val="single" w:sz="8" w:space="0" w:color="auto"/>
              <w:bottom w:val="nil"/>
              <w:right w:val="single" w:sz="8" w:space="0" w:color="auto"/>
            </w:tcBorders>
            <w:shd w:val="clear" w:color="auto" w:fill="auto"/>
            <w:vAlign w:val="center"/>
          </w:tcPr>
          <w:p w14:paraId="1C7441CD"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578</w:t>
            </w:r>
          </w:p>
        </w:tc>
        <w:tc>
          <w:tcPr>
            <w:tcW w:w="1114" w:type="dxa"/>
            <w:tcBorders>
              <w:top w:val="nil"/>
              <w:left w:val="single" w:sz="8" w:space="0" w:color="auto"/>
              <w:bottom w:val="nil"/>
              <w:right w:val="single" w:sz="8" w:space="0" w:color="auto"/>
            </w:tcBorders>
            <w:shd w:val="clear" w:color="auto" w:fill="auto"/>
            <w:vAlign w:val="center"/>
          </w:tcPr>
          <w:p w14:paraId="330D0E7F"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578</w:t>
            </w:r>
          </w:p>
        </w:tc>
        <w:tc>
          <w:tcPr>
            <w:tcW w:w="1114" w:type="dxa"/>
            <w:tcBorders>
              <w:top w:val="nil"/>
              <w:left w:val="single" w:sz="8" w:space="0" w:color="auto"/>
              <w:bottom w:val="nil"/>
              <w:right w:val="single" w:sz="8" w:space="0" w:color="auto"/>
            </w:tcBorders>
            <w:shd w:val="clear" w:color="auto" w:fill="auto"/>
            <w:vAlign w:val="center"/>
          </w:tcPr>
          <w:p w14:paraId="16F1DA62"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578</w:t>
            </w:r>
          </w:p>
        </w:tc>
      </w:tr>
      <w:tr w:rsidR="00F6075C" w:rsidRPr="00F6075C" w14:paraId="6A79F8F3"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3CC46F5A" w14:textId="77777777" w:rsidR="00F6075C" w:rsidRPr="00066DF4" w:rsidRDefault="00F6075C" w:rsidP="00F6075C">
            <w:pPr>
              <w:snapToGrid w:val="0"/>
              <w:rPr>
                <w:rFonts w:ascii="Calibri" w:hAnsi="Calibri" w:cs="Calibri"/>
                <w:color w:val="000000"/>
                <w:sz w:val="18"/>
                <w:szCs w:val="18"/>
                <w:lang w:eastAsia="en-AU"/>
              </w:rPr>
            </w:pPr>
            <w:r w:rsidRPr="00066DF4">
              <w:rPr>
                <w:rFonts w:ascii="Calibri" w:hAnsi="Calibri" w:cs="Calibri"/>
                <w:color w:val="000000"/>
                <w:sz w:val="18"/>
                <w:szCs w:val="18"/>
                <w:lang w:eastAsia="en-AU"/>
              </w:rPr>
              <w:t xml:space="preserve">    Fully recovered (n)</w:t>
            </w:r>
          </w:p>
        </w:tc>
        <w:tc>
          <w:tcPr>
            <w:tcW w:w="1113" w:type="dxa"/>
            <w:tcBorders>
              <w:top w:val="nil"/>
              <w:left w:val="single" w:sz="8" w:space="0" w:color="auto"/>
              <w:bottom w:val="nil"/>
              <w:right w:val="single" w:sz="8" w:space="0" w:color="auto"/>
            </w:tcBorders>
            <w:shd w:val="clear" w:color="auto" w:fill="auto"/>
            <w:vAlign w:val="center"/>
          </w:tcPr>
          <w:p w14:paraId="56F0A36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241</w:t>
            </w:r>
          </w:p>
        </w:tc>
        <w:tc>
          <w:tcPr>
            <w:tcW w:w="1114" w:type="dxa"/>
            <w:tcBorders>
              <w:top w:val="nil"/>
              <w:left w:val="single" w:sz="8" w:space="0" w:color="auto"/>
              <w:bottom w:val="nil"/>
              <w:right w:val="single" w:sz="8" w:space="0" w:color="auto"/>
            </w:tcBorders>
            <w:shd w:val="clear" w:color="auto" w:fill="auto"/>
            <w:vAlign w:val="center"/>
          </w:tcPr>
          <w:p w14:paraId="68B9090B"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64</w:t>
            </w:r>
          </w:p>
        </w:tc>
        <w:tc>
          <w:tcPr>
            <w:tcW w:w="1114" w:type="dxa"/>
            <w:tcBorders>
              <w:top w:val="nil"/>
              <w:left w:val="single" w:sz="8" w:space="0" w:color="auto"/>
              <w:bottom w:val="nil"/>
              <w:right w:val="single" w:sz="8" w:space="0" w:color="auto"/>
            </w:tcBorders>
            <w:shd w:val="clear" w:color="auto" w:fill="auto"/>
            <w:vAlign w:val="center"/>
          </w:tcPr>
          <w:p w14:paraId="1D9CE369"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64</w:t>
            </w:r>
          </w:p>
        </w:tc>
        <w:tc>
          <w:tcPr>
            <w:tcW w:w="1113" w:type="dxa"/>
            <w:tcBorders>
              <w:top w:val="nil"/>
              <w:left w:val="single" w:sz="8" w:space="0" w:color="auto"/>
              <w:bottom w:val="nil"/>
              <w:right w:val="single" w:sz="8" w:space="0" w:color="auto"/>
            </w:tcBorders>
            <w:shd w:val="clear" w:color="auto" w:fill="auto"/>
            <w:vAlign w:val="center"/>
          </w:tcPr>
          <w:p w14:paraId="26CCE2A7"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64</w:t>
            </w:r>
          </w:p>
        </w:tc>
        <w:tc>
          <w:tcPr>
            <w:tcW w:w="1114" w:type="dxa"/>
            <w:tcBorders>
              <w:top w:val="nil"/>
              <w:left w:val="single" w:sz="8" w:space="0" w:color="auto"/>
              <w:bottom w:val="nil"/>
              <w:right w:val="single" w:sz="8" w:space="0" w:color="auto"/>
            </w:tcBorders>
            <w:shd w:val="clear" w:color="auto" w:fill="auto"/>
            <w:vAlign w:val="center"/>
          </w:tcPr>
          <w:p w14:paraId="1D1FDA4A"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64</w:t>
            </w:r>
          </w:p>
        </w:tc>
        <w:tc>
          <w:tcPr>
            <w:tcW w:w="1114" w:type="dxa"/>
            <w:tcBorders>
              <w:top w:val="nil"/>
              <w:left w:val="single" w:sz="8" w:space="0" w:color="auto"/>
              <w:bottom w:val="nil"/>
              <w:right w:val="single" w:sz="8" w:space="0" w:color="auto"/>
            </w:tcBorders>
            <w:shd w:val="clear" w:color="auto" w:fill="auto"/>
            <w:vAlign w:val="center"/>
          </w:tcPr>
          <w:p w14:paraId="6A061682"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64</w:t>
            </w:r>
          </w:p>
        </w:tc>
        <w:tc>
          <w:tcPr>
            <w:tcW w:w="1114" w:type="dxa"/>
            <w:tcBorders>
              <w:top w:val="nil"/>
              <w:left w:val="single" w:sz="8" w:space="0" w:color="auto"/>
              <w:bottom w:val="nil"/>
              <w:right w:val="single" w:sz="8" w:space="0" w:color="auto"/>
            </w:tcBorders>
            <w:shd w:val="clear" w:color="auto" w:fill="auto"/>
            <w:vAlign w:val="center"/>
          </w:tcPr>
          <w:p w14:paraId="069A59F6"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64</w:t>
            </w:r>
          </w:p>
        </w:tc>
      </w:tr>
      <w:tr w:rsidR="00F6075C" w:rsidRPr="00F6075C" w14:paraId="5AB56CA3"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64506029" w14:textId="77777777" w:rsidR="00F6075C" w:rsidRPr="00066DF4" w:rsidRDefault="00F6075C" w:rsidP="00F6075C">
            <w:pPr>
              <w:snapToGrid w:val="0"/>
              <w:rPr>
                <w:rFonts w:ascii="Calibri" w:hAnsi="Calibri" w:cs="Calibri"/>
                <w:color w:val="000000"/>
                <w:sz w:val="18"/>
                <w:szCs w:val="18"/>
                <w:lang w:eastAsia="en-AU"/>
              </w:rPr>
            </w:pPr>
            <w:r w:rsidRPr="00066DF4">
              <w:rPr>
                <w:rFonts w:ascii="Calibri" w:hAnsi="Calibri" w:cs="Calibri"/>
                <w:color w:val="000000"/>
                <w:sz w:val="18"/>
                <w:szCs w:val="18"/>
                <w:lang w:eastAsia="en-AU"/>
              </w:rPr>
              <w:t xml:space="preserve">    Partially recovered (n)</w:t>
            </w:r>
          </w:p>
        </w:tc>
        <w:tc>
          <w:tcPr>
            <w:tcW w:w="1113" w:type="dxa"/>
            <w:tcBorders>
              <w:top w:val="nil"/>
              <w:left w:val="single" w:sz="8" w:space="0" w:color="auto"/>
              <w:bottom w:val="nil"/>
              <w:right w:val="single" w:sz="8" w:space="0" w:color="auto"/>
            </w:tcBorders>
            <w:shd w:val="clear" w:color="auto" w:fill="auto"/>
            <w:vAlign w:val="center"/>
          </w:tcPr>
          <w:p w14:paraId="7A85F595"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103</w:t>
            </w:r>
          </w:p>
        </w:tc>
        <w:tc>
          <w:tcPr>
            <w:tcW w:w="1114" w:type="dxa"/>
            <w:tcBorders>
              <w:top w:val="nil"/>
              <w:left w:val="single" w:sz="8" w:space="0" w:color="auto"/>
              <w:bottom w:val="nil"/>
              <w:right w:val="single" w:sz="8" w:space="0" w:color="auto"/>
            </w:tcBorders>
            <w:shd w:val="clear" w:color="auto" w:fill="auto"/>
            <w:vAlign w:val="center"/>
          </w:tcPr>
          <w:p w14:paraId="002B5C87"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25</w:t>
            </w:r>
          </w:p>
        </w:tc>
        <w:tc>
          <w:tcPr>
            <w:tcW w:w="1114" w:type="dxa"/>
            <w:tcBorders>
              <w:top w:val="nil"/>
              <w:left w:val="single" w:sz="8" w:space="0" w:color="auto"/>
              <w:bottom w:val="nil"/>
              <w:right w:val="single" w:sz="8" w:space="0" w:color="auto"/>
            </w:tcBorders>
            <w:shd w:val="clear" w:color="auto" w:fill="auto"/>
            <w:vAlign w:val="center"/>
          </w:tcPr>
          <w:p w14:paraId="1A896337"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25</w:t>
            </w:r>
          </w:p>
        </w:tc>
        <w:tc>
          <w:tcPr>
            <w:tcW w:w="1113" w:type="dxa"/>
            <w:tcBorders>
              <w:top w:val="nil"/>
              <w:left w:val="single" w:sz="8" w:space="0" w:color="auto"/>
              <w:bottom w:val="nil"/>
              <w:right w:val="single" w:sz="8" w:space="0" w:color="auto"/>
            </w:tcBorders>
            <w:shd w:val="clear" w:color="auto" w:fill="auto"/>
            <w:vAlign w:val="center"/>
          </w:tcPr>
          <w:p w14:paraId="23AFE2FD"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25</w:t>
            </w:r>
          </w:p>
        </w:tc>
        <w:tc>
          <w:tcPr>
            <w:tcW w:w="1114" w:type="dxa"/>
            <w:tcBorders>
              <w:top w:val="nil"/>
              <w:left w:val="single" w:sz="8" w:space="0" w:color="auto"/>
              <w:bottom w:val="nil"/>
              <w:right w:val="single" w:sz="8" w:space="0" w:color="auto"/>
            </w:tcBorders>
            <w:shd w:val="clear" w:color="auto" w:fill="auto"/>
            <w:vAlign w:val="center"/>
          </w:tcPr>
          <w:p w14:paraId="2DA3D9FC"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25</w:t>
            </w:r>
          </w:p>
        </w:tc>
        <w:tc>
          <w:tcPr>
            <w:tcW w:w="1114" w:type="dxa"/>
            <w:tcBorders>
              <w:top w:val="nil"/>
              <w:left w:val="single" w:sz="8" w:space="0" w:color="auto"/>
              <w:bottom w:val="nil"/>
              <w:right w:val="single" w:sz="8" w:space="0" w:color="auto"/>
            </w:tcBorders>
            <w:shd w:val="clear" w:color="auto" w:fill="auto"/>
            <w:vAlign w:val="center"/>
          </w:tcPr>
          <w:p w14:paraId="01EE6EF1"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25</w:t>
            </w:r>
          </w:p>
        </w:tc>
        <w:tc>
          <w:tcPr>
            <w:tcW w:w="1114" w:type="dxa"/>
            <w:tcBorders>
              <w:top w:val="nil"/>
              <w:left w:val="single" w:sz="8" w:space="0" w:color="auto"/>
              <w:bottom w:val="nil"/>
              <w:right w:val="single" w:sz="8" w:space="0" w:color="auto"/>
            </w:tcBorders>
            <w:shd w:val="clear" w:color="auto" w:fill="auto"/>
            <w:vAlign w:val="center"/>
          </w:tcPr>
          <w:p w14:paraId="3322D796"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25</w:t>
            </w:r>
          </w:p>
        </w:tc>
      </w:tr>
      <w:tr w:rsidR="00F6075C" w:rsidRPr="00F6075C" w14:paraId="14B5FC00"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7D157D35" w14:textId="77777777" w:rsidR="00F6075C" w:rsidRPr="00066DF4" w:rsidRDefault="00F6075C" w:rsidP="00F6075C">
            <w:pPr>
              <w:snapToGrid w:val="0"/>
              <w:rPr>
                <w:rFonts w:ascii="Calibri" w:hAnsi="Calibri" w:cs="Calibri"/>
                <w:color w:val="000000"/>
                <w:sz w:val="18"/>
                <w:szCs w:val="18"/>
                <w:lang w:eastAsia="en-AU"/>
              </w:rPr>
            </w:pPr>
            <w:r w:rsidRPr="00066DF4">
              <w:rPr>
                <w:rFonts w:ascii="Calibri" w:hAnsi="Calibri" w:cs="Calibri"/>
                <w:color w:val="000000"/>
                <w:sz w:val="18"/>
                <w:szCs w:val="18"/>
                <w:lang w:eastAsia="en-AU"/>
              </w:rPr>
              <w:t xml:space="preserve">    No improvement (n)</w:t>
            </w:r>
          </w:p>
        </w:tc>
        <w:tc>
          <w:tcPr>
            <w:tcW w:w="1113" w:type="dxa"/>
            <w:tcBorders>
              <w:top w:val="nil"/>
              <w:left w:val="single" w:sz="8" w:space="0" w:color="auto"/>
              <w:bottom w:val="nil"/>
              <w:right w:val="single" w:sz="8" w:space="0" w:color="auto"/>
            </w:tcBorders>
            <w:shd w:val="clear" w:color="auto" w:fill="auto"/>
            <w:vAlign w:val="center"/>
          </w:tcPr>
          <w:p w14:paraId="3C714BD9"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195</w:t>
            </w:r>
          </w:p>
        </w:tc>
        <w:tc>
          <w:tcPr>
            <w:tcW w:w="1114" w:type="dxa"/>
            <w:tcBorders>
              <w:top w:val="nil"/>
              <w:left w:val="single" w:sz="8" w:space="0" w:color="auto"/>
              <w:bottom w:val="nil"/>
              <w:right w:val="single" w:sz="8" w:space="0" w:color="auto"/>
            </w:tcBorders>
            <w:shd w:val="clear" w:color="auto" w:fill="auto"/>
            <w:vAlign w:val="center"/>
          </w:tcPr>
          <w:p w14:paraId="6177856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398</w:t>
            </w:r>
          </w:p>
        </w:tc>
        <w:tc>
          <w:tcPr>
            <w:tcW w:w="1114" w:type="dxa"/>
            <w:tcBorders>
              <w:top w:val="nil"/>
              <w:left w:val="single" w:sz="8" w:space="0" w:color="auto"/>
              <w:bottom w:val="nil"/>
              <w:right w:val="single" w:sz="8" w:space="0" w:color="auto"/>
            </w:tcBorders>
            <w:shd w:val="clear" w:color="auto" w:fill="auto"/>
            <w:vAlign w:val="center"/>
          </w:tcPr>
          <w:p w14:paraId="41454B0F"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398</w:t>
            </w:r>
          </w:p>
        </w:tc>
        <w:tc>
          <w:tcPr>
            <w:tcW w:w="1113" w:type="dxa"/>
            <w:tcBorders>
              <w:top w:val="nil"/>
              <w:left w:val="single" w:sz="8" w:space="0" w:color="auto"/>
              <w:bottom w:val="nil"/>
              <w:right w:val="single" w:sz="8" w:space="0" w:color="auto"/>
            </w:tcBorders>
            <w:shd w:val="clear" w:color="auto" w:fill="auto"/>
            <w:vAlign w:val="center"/>
          </w:tcPr>
          <w:p w14:paraId="1A5D5059"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398</w:t>
            </w:r>
          </w:p>
        </w:tc>
        <w:tc>
          <w:tcPr>
            <w:tcW w:w="1114" w:type="dxa"/>
            <w:tcBorders>
              <w:top w:val="nil"/>
              <w:left w:val="single" w:sz="8" w:space="0" w:color="auto"/>
              <w:bottom w:val="nil"/>
              <w:right w:val="single" w:sz="8" w:space="0" w:color="auto"/>
            </w:tcBorders>
            <w:shd w:val="clear" w:color="auto" w:fill="auto"/>
            <w:vAlign w:val="center"/>
          </w:tcPr>
          <w:p w14:paraId="08E02E4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398</w:t>
            </w:r>
          </w:p>
        </w:tc>
        <w:tc>
          <w:tcPr>
            <w:tcW w:w="1114" w:type="dxa"/>
            <w:tcBorders>
              <w:top w:val="nil"/>
              <w:left w:val="single" w:sz="8" w:space="0" w:color="auto"/>
              <w:bottom w:val="nil"/>
              <w:right w:val="single" w:sz="8" w:space="0" w:color="auto"/>
            </w:tcBorders>
            <w:shd w:val="clear" w:color="auto" w:fill="auto"/>
            <w:vAlign w:val="center"/>
          </w:tcPr>
          <w:p w14:paraId="1B5BA891"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398</w:t>
            </w:r>
          </w:p>
        </w:tc>
        <w:tc>
          <w:tcPr>
            <w:tcW w:w="1114" w:type="dxa"/>
            <w:tcBorders>
              <w:top w:val="nil"/>
              <w:left w:val="single" w:sz="8" w:space="0" w:color="auto"/>
              <w:bottom w:val="nil"/>
              <w:right w:val="single" w:sz="8" w:space="0" w:color="auto"/>
            </w:tcBorders>
            <w:shd w:val="clear" w:color="auto" w:fill="auto"/>
            <w:vAlign w:val="center"/>
          </w:tcPr>
          <w:p w14:paraId="265E8F8E"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398</w:t>
            </w:r>
          </w:p>
        </w:tc>
      </w:tr>
      <w:tr w:rsidR="00F6075C" w:rsidRPr="00F6075C" w14:paraId="457C28BA"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491556F" w14:textId="77777777" w:rsidR="00F6075C" w:rsidRPr="00066DF4" w:rsidRDefault="00F6075C" w:rsidP="00F6075C">
            <w:pPr>
              <w:snapToGrid w:val="0"/>
              <w:rPr>
                <w:rFonts w:ascii="Calibri" w:hAnsi="Calibri" w:cs="Calibri"/>
                <w:color w:val="000000"/>
                <w:sz w:val="18"/>
                <w:szCs w:val="18"/>
                <w:lang w:eastAsia="en-AU"/>
              </w:rPr>
            </w:pPr>
            <w:r w:rsidRPr="00066DF4">
              <w:rPr>
                <w:rFonts w:ascii="Calibri" w:hAnsi="Calibri" w:cs="Calibri"/>
                <w:color w:val="000000"/>
                <w:sz w:val="18"/>
                <w:szCs w:val="18"/>
                <w:lang w:eastAsia="en-AU"/>
              </w:rPr>
              <w:t xml:space="preserve">    Deteriorated (n)</w:t>
            </w:r>
          </w:p>
        </w:tc>
        <w:tc>
          <w:tcPr>
            <w:tcW w:w="1113" w:type="dxa"/>
            <w:tcBorders>
              <w:top w:val="nil"/>
              <w:left w:val="single" w:sz="8" w:space="0" w:color="auto"/>
              <w:bottom w:val="nil"/>
              <w:right w:val="single" w:sz="8" w:space="0" w:color="auto"/>
            </w:tcBorders>
            <w:shd w:val="clear" w:color="auto" w:fill="auto"/>
            <w:vAlign w:val="center"/>
          </w:tcPr>
          <w:p w14:paraId="76873719"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39</w:t>
            </w:r>
          </w:p>
        </w:tc>
        <w:tc>
          <w:tcPr>
            <w:tcW w:w="1114" w:type="dxa"/>
            <w:tcBorders>
              <w:top w:val="nil"/>
              <w:left w:val="single" w:sz="8" w:space="0" w:color="auto"/>
              <w:bottom w:val="nil"/>
              <w:right w:val="single" w:sz="8" w:space="0" w:color="auto"/>
            </w:tcBorders>
            <w:shd w:val="clear" w:color="auto" w:fill="auto"/>
            <w:vAlign w:val="center"/>
          </w:tcPr>
          <w:p w14:paraId="3C59A7A1"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90</w:t>
            </w:r>
          </w:p>
        </w:tc>
        <w:tc>
          <w:tcPr>
            <w:tcW w:w="1114" w:type="dxa"/>
            <w:tcBorders>
              <w:top w:val="nil"/>
              <w:left w:val="single" w:sz="8" w:space="0" w:color="auto"/>
              <w:bottom w:val="nil"/>
              <w:right w:val="single" w:sz="8" w:space="0" w:color="auto"/>
            </w:tcBorders>
            <w:shd w:val="clear" w:color="auto" w:fill="auto"/>
            <w:vAlign w:val="center"/>
          </w:tcPr>
          <w:p w14:paraId="5680948B"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90</w:t>
            </w:r>
          </w:p>
        </w:tc>
        <w:tc>
          <w:tcPr>
            <w:tcW w:w="1113" w:type="dxa"/>
            <w:tcBorders>
              <w:top w:val="nil"/>
              <w:left w:val="single" w:sz="8" w:space="0" w:color="auto"/>
              <w:bottom w:val="nil"/>
              <w:right w:val="single" w:sz="8" w:space="0" w:color="auto"/>
            </w:tcBorders>
            <w:shd w:val="clear" w:color="auto" w:fill="auto"/>
            <w:vAlign w:val="center"/>
          </w:tcPr>
          <w:p w14:paraId="1DCF7629"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90</w:t>
            </w:r>
          </w:p>
        </w:tc>
        <w:tc>
          <w:tcPr>
            <w:tcW w:w="1114" w:type="dxa"/>
            <w:tcBorders>
              <w:top w:val="nil"/>
              <w:left w:val="single" w:sz="8" w:space="0" w:color="auto"/>
              <w:bottom w:val="nil"/>
              <w:right w:val="single" w:sz="8" w:space="0" w:color="auto"/>
            </w:tcBorders>
            <w:shd w:val="clear" w:color="auto" w:fill="auto"/>
            <w:vAlign w:val="center"/>
          </w:tcPr>
          <w:p w14:paraId="3AF4B852"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90</w:t>
            </w:r>
          </w:p>
        </w:tc>
        <w:tc>
          <w:tcPr>
            <w:tcW w:w="1114" w:type="dxa"/>
            <w:tcBorders>
              <w:top w:val="nil"/>
              <w:left w:val="single" w:sz="8" w:space="0" w:color="auto"/>
              <w:bottom w:val="nil"/>
              <w:right w:val="single" w:sz="8" w:space="0" w:color="auto"/>
            </w:tcBorders>
            <w:shd w:val="clear" w:color="auto" w:fill="auto"/>
            <w:vAlign w:val="center"/>
          </w:tcPr>
          <w:p w14:paraId="594FE8D2"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90</w:t>
            </w:r>
          </w:p>
        </w:tc>
        <w:tc>
          <w:tcPr>
            <w:tcW w:w="1114" w:type="dxa"/>
            <w:tcBorders>
              <w:top w:val="nil"/>
              <w:left w:val="single" w:sz="8" w:space="0" w:color="auto"/>
              <w:bottom w:val="nil"/>
              <w:right w:val="single" w:sz="8" w:space="0" w:color="auto"/>
            </w:tcBorders>
            <w:shd w:val="clear" w:color="auto" w:fill="auto"/>
            <w:vAlign w:val="center"/>
          </w:tcPr>
          <w:p w14:paraId="69A3A19E"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90</w:t>
            </w:r>
          </w:p>
        </w:tc>
      </w:tr>
      <w:tr w:rsidR="00F6075C" w:rsidRPr="00F6075C" w14:paraId="66B199FC"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47334ADA" w14:textId="77777777" w:rsidR="00F6075C" w:rsidRPr="00066DF4" w:rsidRDefault="00F6075C" w:rsidP="00F6075C">
            <w:pPr>
              <w:snapToGrid w:val="0"/>
              <w:ind w:left="169"/>
              <w:rPr>
                <w:rFonts w:ascii="Calibri" w:hAnsi="Calibri" w:cs="Calibri"/>
                <w:color w:val="000000"/>
                <w:sz w:val="18"/>
                <w:szCs w:val="18"/>
                <w:lang w:eastAsia="en-AU"/>
              </w:rPr>
            </w:pPr>
            <w:r w:rsidRPr="00066DF4">
              <w:rPr>
                <w:rFonts w:ascii="Calibri" w:hAnsi="Calibri" w:cs="Calibri"/>
                <w:color w:val="000000"/>
                <w:sz w:val="18"/>
                <w:szCs w:val="18"/>
                <w:lang w:eastAsia="en-AU"/>
              </w:rPr>
              <w:t>QALY</w:t>
            </w:r>
          </w:p>
        </w:tc>
        <w:tc>
          <w:tcPr>
            <w:tcW w:w="1113" w:type="dxa"/>
            <w:tcBorders>
              <w:top w:val="nil"/>
              <w:left w:val="single" w:sz="8" w:space="0" w:color="auto"/>
              <w:bottom w:val="nil"/>
              <w:right w:val="single" w:sz="8" w:space="0" w:color="auto"/>
            </w:tcBorders>
            <w:shd w:val="clear" w:color="auto" w:fill="auto"/>
            <w:vAlign w:val="center"/>
          </w:tcPr>
          <w:p w14:paraId="15CB5A86"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473</w:t>
            </w:r>
          </w:p>
        </w:tc>
        <w:tc>
          <w:tcPr>
            <w:tcW w:w="1114" w:type="dxa"/>
            <w:tcBorders>
              <w:top w:val="nil"/>
              <w:left w:val="single" w:sz="8" w:space="0" w:color="auto"/>
              <w:bottom w:val="nil"/>
              <w:right w:val="single" w:sz="8" w:space="0" w:color="auto"/>
            </w:tcBorders>
            <w:shd w:val="clear" w:color="auto" w:fill="auto"/>
            <w:vAlign w:val="center"/>
          </w:tcPr>
          <w:p w14:paraId="355C8B8A"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451</w:t>
            </w:r>
          </w:p>
        </w:tc>
        <w:tc>
          <w:tcPr>
            <w:tcW w:w="1114" w:type="dxa"/>
            <w:tcBorders>
              <w:top w:val="nil"/>
              <w:left w:val="single" w:sz="8" w:space="0" w:color="auto"/>
              <w:bottom w:val="nil"/>
              <w:right w:val="single" w:sz="8" w:space="0" w:color="auto"/>
            </w:tcBorders>
            <w:shd w:val="clear" w:color="auto" w:fill="auto"/>
            <w:vAlign w:val="center"/>
          </w:tcPr>
          <w:p w14:paraId="3A620433"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451</w:t>
            </w:r>
          </w:p>
        </w:tc>
        <w:tc>
          <w:tcPr>
            <w:tcW w:w="1113" w:type="dxa"/>
            <w:tcBorders>
              <w:top w:val="nil"/>
              <w:left w:val="single" w:sz="8" w:space="0" w:color="auto"/>
              <w:bottom w:val="nil"/>
              <w:right w:val="single" w:sz="8" w:space="0" w:color="auto"/>
            </w:tcBorders>
            <w:shd w:val="clear" w:color="auto" w:fill="auto"/>
            <w:vAlign w:val="center"/>
          </w:tcPr>
          <w:p w14:paraId="5D47F4EA"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451</w:t>
            </w:r>
          </w:p>
        </w:tc>
        <w:tc>
          <w:tcPr>
            <w:tcW w:w="1114" w:type="dxa"/>
            <w:tcBorders>
              <w:top w:val="nil"/>
              <w:left w:val="single" w:sz="8" w:space="0" w:color="auto"/>
              <w:bottom w:val="nil"/>
              <w:right w:val="single" w:sz="8" w:space="0" w:color="auto"/>
            </w:tcBorders>
            <w:shd w:val="clear" w:color="auto" w:fill="auto"/>
            <w:vAlign w:val="center"/>
          </w:tcPr>
          <w:p w14:paraId="2C8B8D6D"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451</w:t>
            </w:r>
          </w:p>
        </w:tc>
        <w:tc>
          <w:tcPr>
            <w:tcW w:w="1114" w:type="dxa"/>
            <w:tcBorders>
              <w:top w:val="nil"/>
              <w:left w:val="single" w:sz="8" w:space="0" w:color="auto"/>
              <w:bottom w:val="nil"/>
              <w:right w:val="single" w:sz="8" w:space="0" w:color="auto"/>
            </w:tcBorders>
            <w:shd w:val="clear" w:color="auto" w:fill="auto"/>
            <w:vAlign w:val="center"/>
          </w:tcPr>
          <w:p w14:paraId="00BD4EF7"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451</w:t>
            </w:r>
          </w:p>
        </w:tc>
        <w:tc>
          <w:tcPr>
            <w:tcW w:w="1114" w:type="dxa"/>
            <w:tcBorders>
              <w:top w:val="nil"/>
              <w:left w:val="single" w:sz="8" w:space="0" w:color="auto"/>
              <w:bottom w:val="nil"/>
              <w:right w:val="single" w:sz="8" w:space="0" w:color="auto"/>
            </w:tcBorders>
            <w:shd w:val="clear" w:color="auto" w:fill="auto"/>
            <w:vAlign w:val="center"/>
          </w:tcPr>
          <w:p w14:paraId="798B0E5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451</w:t>
            </w:r>
          </w:p>
        </w:tc>
      </w:tr>
      <w:tr w:rsidR="00F6075C" w:rsidRPr="00F6075C" w14:paraId="7AEE5E54"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466D4C76" w14:textId="77777777" w:rsidR="00F6075C" w:rsidRPr="00066DF4" w:rsidRDefault="00F6075C" w:rsidP="00F6075C">
            <w:pPr>
              <w:snapToGrid w:val="0"/>
              <w:ind w:left="169"/>
              <w:rPr>
                <w:rFonts w:ascii="Calibri" w:hAnsi="Calibri" w:cs="Calibri"/>
                <w:color w:val="000000"/>
                <w:sz w:val="18"/>
                <w:szCs w:val="18"/>
                <w:lang w:eastAsia="en-AU"/>
              </w:rPr>
            </w:pPr>
            <w:r w:rsidRPr="00066DF4">
              <w:rPr>
                <w:rFonts w:ascii="Calibri" w:hAnsi="Calibri" w:cs="Calibri"/>
                <w:color w:val="000000"/>
                <w:sz w:val="18"/>
                <w:szCs w:val="18"/>
                <w:lang w:eastAsia="en-AU"/>
              </w:rPr>
              <w:t>Total costs excluding productivity losses</w:t>
            </w:r>
          </w:p>
        </w:tc>
        <w:tc>
          <w:tcPr>
            <w:tcW w:w="1113" w:type="dxa"/>
            <w:tcBorders>
              <w:top w:val="nil"/>
              <w:left w:val="single" w:sz="8" w:space="0" w:color="auto"/>
              <w:bottom w:val="nil"/>
              <w:right w:val="single" w:sz="8" w:space="0" w:color="auto"/>
            </w:tcBorders>
            <w:shd w:val="clear" w:color="auto" w:fill="auto"/>
            <w:vAlign w:val="center"/>
          </w:tcPr>
          <w:p w14:paraId="6A1B24A1"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$652,932</w:t>
            </w:r>
          </w:p>
        </w:tc>
        <w:tc>
          <w:tcPr>
            <w:tcW w:w="1114" w:type="dxa"/>
            <w:tcBorders>
              <w:top w:val="nil"/>
              <w:left w:val="single" w:sz="8" w:space="0" w:color="auto"/>
              <w:bottom w:val="nil"/>
              <w:right w:val="single" w:sz="8" w:space="0" w:color="auto"/>
            </w:tcBorders>
            <w:shd w:val="clear" w:color="auto" w:fill="auto"/>
            <w:vAlign w:val="center"/>
          </w:tcPr>
          <w:p w14:paraId="2E59258E"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$1,662,756</w:t>
            </w:r>
          </w:p>
        </w:tc>
        <w:tc>
          <w:tcPr>
            <w:tcW w:w="1114" w:type="dxa"/>
            <w:tcBorders>
              <w:top w:val="nil"/>
              <w:left w:val="single" w:sz="8" w:space="0" w:color="auto"/>
              <w:bottom w:val="nil"/>
              <w:right w:val="single" w:sz="8" w:space="0" w:color="auto"/>
            </w:tcBorders>
            <w:shd w:val="clear" w:color="auto" w:fill="auto"/>
            <w:vAlign w:val="center"/>
          </w:tcPr>
          <w:p w14:paraId="2D029619"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$1,072,704</w:t>
            </w:r>
          </w:p>
        </w:tc>
        <w:tc>
          <w:tcPr>
            <w:tcW w:w="1113" w:type="dxa"/>
            <w:tcBorders>
              <w:top w:val="nil"/>
              <w:left w:val="single" w:sz="8" w:space="0" w:color="auto"/>
              <w:bottom w:val="nil"/>
              <w:right w:val="single" w:sz="8" w:space="0" w:color="auto"/>
            </w:tcBorders>
            <w:shd w:val="clear" w:color="auto" w:fill="auto"/>
            <w:vAlign w:val="center"/>
          </w:tcPr>
          <w:p w14:paraId="57450AEE"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$381,833</w:t>
            </w:r>
          </w:p>
        </w:tc>
        <w:tc>
          <w:tcPr>
            <w:tcW w:w="1114" w:type="dxa"/>
            <w:tcBorders>
              <w:top w:val="nil"/>
              <w:left w:val="single" w:sz="8" w:space="0" w:color="auto"/>
              <w:bottom w:val="nil"/>
              <w:right w:val="single" w:sz="8" w:space="0" w:color="auto"/>
            </w:tcBorders>
            <w:shd w:val="clear" w:color="auto" w:fill="auto"/>
            <w:vAlign w:val="center"/>
          </w:tcPr>
          <w:p w14:paraId="0EC1421A"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$933,695</w:t>
            </w:r>
          </w:p>
        </w:tc>
        <w:tc>
          <w:tcPr>
            <w:tcW w:w="1114" w:type="dxa"/>
            <w:tcBorders>
              <w:top w:val="nil"/>
              <w:left w:val="single" w:sz="8" w:space="0" w:color="auto"/>
              <w:bottom w:val="nil"/>
              <w:right w:val="single" w:sz="8" w:space="0" w:color="auto"/>
            </w:tcBorders>
            <w:shd w:val="clear" w:color="auto" w:fill="auto"/>
            <w:vAlign w:val="center"/>
          </w:tcPr>
          <w:p w14:paraId="271199AB"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$2,928,165</w:t>
            </w:r>
          </w:p>
        </w:tc>
        <w:tc>
          <w:tcPr>
            <w:tcW w:w="1114" w:type="dxa"/>
            <w:tcBorders>
              <w:top w:val="nil"/>
              <w:left w:val="single" w:sz="8" w:space="0" w:color="auto"/>
              <w:bottom w:val="nil"/>
              <w:right w:val="single" w:sz="8" w:space="0" w:color="auto"/>
            </w:tcBorders>
            <w:shd w:val="clear" w:color="auto" w:fill="auto"/>
            <w:vAlign w:val="center"/>
          </w:tcPr>
          <w:p w14:paraId="6940EDC4"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$1,570,276</w:t>
            </w:r>
          </w:p>
        </w:tc>
      </w:tr>
      <w:tr w:rsidR="00F6075C" w:rsidRPr="00F6075C" w14:paraId="616A32F3"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5A5AC76" w14:textId="77777777" w:rsidR="00F6075C" w:rsidRPr="00066DF4" w:rsidRDefault="00F6075C" w:rsidP="00F6075C">
            <w:pPr>
              <w:snapToGrid w:val="0"/>
              <w:ind w:left="169"/>
              <w:rPr>
                <w:rFonts w:ascii="Calibri" w:hAnsi="Calibri" w:cs="Calibri"/>
                <w:color w:val="000000"/>
                <w:sz w:val="18"/>
                <w:szCs w:val="18"/>
                <w:lang w:eastAsia="en-AU"/>
              </w:rPr>
            </w:pPr>
            <w:r w:rsidRPr="00066DF4">
              <w:rPr>
                <w:rFonts w:ascii="Calibri" w:hAnsi="Calibri" w:cs="Calibri"/>
                <w:color w:val="000000"/>
                <w:sz w:val="18"/>
                <w:szCs w:val="18"/>
                <w:lang w:eastAsia="en-AU"/>
              </w:rPr>
              <w:t xml:space="preserve">     Costs per QALY </w:t>
            </w:r>
          </w:p>
          <w:p w14:paraId="5FD5ECBA" w14:textId="77777777" w:rsidR="00F6075C" w:rsidRPr="00066DF4" w:rsidRDefault="00F6075C" w:rsidP="00F6075C">
            <w:pPr>
              <w:snapToGrid w:val="0"/>
              <w:ind w:left="169"/>
              <w:rPr>
                <w:rFonts w:ascii="Calibri" w:hAnsi="Calibri" w:cs="Calibri"/>
                <w:color w:val="000000"/>
                <w:sz w:val="18"/>
                <w:szCs w:val="18"/>
                <w:lang w:eastAsia="en-AU"/>
              </w:rPr>
            </w:pPr>
            <w:r w:rsidRPr="00066DF4">
              <w:rPr>
                <w:rFonts w:ascii="Calibri" w:hAnsi="Calibri" w:cs="Calibri"/>
                <w:color w:val="000000"/>
                <w:sz w:val="18"/>
                <w:szCs w:val="18"/>
                <w:lang w:eastAsia="en-AU"/>
              </w:rPr>
              <w:t xml:space="preserve">     gained</w:t>
            </w:r>
          </w:p>
        </w:tc>
        <w:tc>
          <w:tcPr>
            <w:tcW w:w="1113" w:type="dxa"/>
            <w:tcBorders>
              <w:top w:val="nil"/>
              <w:left w:val="single" w:sz="8" w:space="0" w:color="auto"/>
              <w:bottom w:val="nil"/>
              <w:right w:val="single" w:sz="8" w:space="0" w:color="auto"/>
            </w:tcBorders>
            <w:shd w:val="clear" w:color="auto" w:fill="auto"/>
            <w:vAlign w:val="center"/>
          </w:tcPr>
          <w:p w14:paraId="2CE78ED0"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w:t>
            </w:r>
          </w:p>
        </w:tc>
        <w:tc>
          <w:tcPr>
            <w:tcW w:w="1114" w:type="dxa"/>
            <w:tcBorders>
              <w:top w:val="nil"/>
              <w:left w:val="single" w:sz="8" w:space="0" w:color="auto"/>
              <w:bottom w:val="nil"/>
              <w:right w:val="single" w:sz="8" w:space="0" w:color="auto"/>
            </w:tcBorders>
            <w:shd w:val="clear" w:color="auto" w:fill="auto"/>
            <w:vAlign w:val="center"/>
          </w:tcPr>
          <w:p w14:paraId="4A5E82F9"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26D37A40"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3" w:type="dxa"/>
            <w:tcBorders>
              <w:top w:val="nil"/>
              <w:left w:val="single" w:sz="8" w:space="0" w:color="auto"/>
              <w:bottom w:val="nil"/>
              <w:right w:val="single" w:sz="8" w:space="0" w:color="auto"/>
            </w:tcBorders>
            <w:shd w:val="clear" w:color="auto" w:fill="auto"/>
            <w:vAlign w:val="center"/>
          </w:tcPr>
          <w:p w14:paraId="1A05C36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$12,042</w:t>
            </w:r>
          </w:p>
        </w:tc>
        <w:tc>
          <w:tcPr>
            <w:tcW w:w="1114" w:type="dxa"/>
            <w:tcBorders>
              <w:top w:val="nil"/>
              <w:left w:val="single" w:sz="8" w:space="0" w:color="auto"/>
              <w:bottom w:val="nil"/>
              <w:right w:val="single" w:sz="8" w:space="0" w:color="auto"/>
            </w:tcBorders>
            <w:shd w:val="clear" w:color="auto" w:fill="auto"/>
            <w:vAlign w:val="center"/>
          </w:tcPr>
          <w:p w14:paraId="6A259A82"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3FA55C7F"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45DA43DC"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r>
      <w:tr w:rsidR="00F6075C" w:rsidRPr="00F6075C" w14:paraId="0A2F2B66"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423180EC" w14:textId="77777777" w:rsidR="00F6075C" w:rsidRPr="00066DF4" w:rsidRDefault="00F6075C" w:rsidP="00F6075C">
            <w:pPr>
              <w:snapToGrid w:val="0"/>
              <w:ind w:left="169"/>
              <w:rPr>
                <w:rFonts w:ascii="Calibri" w:hAnsi="Calibri" w:cs="Calibri"/>
                <w:color w:val="000000"/>
                <w:sz w:val="18"/>
                <w:szCs w:val="18"/>
                <w:lang w:eastAsia="en-AU"/>
              </w:rPr>
            </w:pPr>
            <w:r w:rsidRPr="00066DF4">
              <w:rPr>
                <w:rFonts w:ascii="Calibri" w:hAnsi="Calibri" w:cs="Calibri"/>
                <w:color w:val="000000"/>
                <w:sz w:val="18"/>
                <w:szCs w:val="18"/>
                <w:lang w:eastAsia="en-AU"/>
              </w:rPr>
              <w:t xml:space="preserve">Total costs including productivity losses     </w:t>
            </w:r>
          </w:p>
        </w:tc>
        <w:tc>
          <w:tcPr>
            <w:tcW w:w="1113" w:type="dxa"/>
            <w:tcBorders>
              <w:top w:val="nil"/>
              <w:left w:val="single" w:sz="8" w:space="0" w:color="auto"/>
              <w:bottom w:val="nil"/>
              <w:right w:val="single" w:sz="8" w:space="0" w:color="auto"/>
            </w:tcBorders>
            <w:shd w:val="clear" w:color="auto" w:fill="auto"/>
            <w:vAlign w:val="center"/>
          </w:tcPr>
          <w:p w14:paraId="002BC61D"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$1,135,897</w:t>
            </w:r>
          </w:p>
        </w:tc>
        <w:tc>
          <w:tcPr>
            <w:tcW w:w="1114" w:type="dxa"/>
            <w:tcBorders>
              <w:top w:val="nil"/>
              <w:left w:val="single" w:sz="8" w:space="0" w:color="auto"/>
              <w:bottom w:val="nil"/>
              <w:right w:val="single" w:sz="8" w:space="0" w:color="auto"/>
            </w:tcBorders>
            <w:shd w:val="clear" w:color="auto" w:fill="auto"/>
            <w:vAlign w:val="center"/>
          </w:tcPr>
          <w:p w14:paraId="2A5BFAFD"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$6,575,837</w:t>
            </w:r>
          </w:p>
        </w:tc>
        <w:tc>
          <w:tcPr>
            <w:tcW w:w="1114" w:type="dxa"/>
            <w:tcBorders>
              <w:top w:val="nil"/>
              <w:left w:val="single" w:sz="8" w:space="0" w:color="auto"/>
              <w:bottom w:val="nil"/>
              <w:right w:val="single" w:sz="8" w:space="0" w:color="auto"/>
            </w:tcBorders>
            <w:shd w:val="clear" w:color="auto" w:fill="auto"/>
            <w:vAlign w:val="center"/>
          </w:tcPr>
          <w:p w14:paraId="25B87515"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$10,463,349</w:t>
            </w:r>
          </w:p>
        </w:tc>
        <w:tc>
          <w:tcPr>
            <w:tcW w:w="1113" w:type="dxa"/>
            <w:tcBorders>
              <w:top w:val="nil"/>
              <w:left w:val="single" w:sz="8" w:space="0" w:color="auto"/>
              <w:bottom w:val="nil"/>
              <w:right w:val="single" w:sz="8" w:space="0" w:color="auto"/>
            </w:tcBorders>
            <w:shd w:val="clear" w:color="auto" w:fill="auto"/>
            <w:vAlign w:val="center"/>
          </w:tcPr>
          <w:p w14:paraId="30707F32"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$2,833,304</w:t>
            </w:r>
          </w:p>
        </w:tc>
        <w:tc>
          <w:tcPr>
            <w:tcW w:w="1114" w:type="dxa"/>
            <w:tcBorders>
              <w:top w:val="nil"/>
              <w:left w:val="single" w:sz="8" w:space="0" w:color="auto"/>
              <w:bottom w:val="nil"/>
              <w:right w:val="single" w:sz="8" w:space="0" w:color="auto"/>
            </w:tcBorders>
            <w:shd w:val="clear" w:color="auto" w:fill="auto"/>
            <w:vAlign w:val="center"/>
          </w:tcPr>
          <w:p w14:paraId="66CC6F76"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$10,330,906</w:t>
            </w:r>
          </w:p>
        </w:tc>
        <w:tc>
          <w:tcPr>
            <w:tcW w:w="1114" w:type="dxa"/>
            <w:tcBorders>
              <w:top w:val="nil"/>
              <w:left w:val="single" w:sz="8" w:space="0" w:color="auto"/>
              <w:bottom w:val="nil"/>
              <w:right w:val="single" w:sz="8" w:space="0" w:color="auto"/>
            </w:tcBorders>
            <w:shd w:val="clear" w:color="auto" w:fill="auto"/>
            <w:vAlign w:val="center"/>
          </w:tcPr>
          <w:p w14:paraId="4BDCFAF3"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$10,274,227</w:t>
            </w:r>
          </w:p>
        </w:tc>
        <w:tc>
          <w:tcPr>
            <w:tcW w:w="1114" w:type="dxa"/>
            <w:tcBorders>
              <w:top w:val="nil"/>
              <w:left w:val="single" w:sz="8" w:space="0" w:color="auto"/>
              <w:bottom w:val="nil"/>
              <w:right w:val="single" w:sz="8" w:space="0" w:color="auto"/>
            </w:tcBorders>
            <w:shd w:val="clear" w:color="auto" w:fill="auto"/>
            <w:vAlign w:val="center"/>
          </w:tcPr>
          <w:p w14:paraId="77942A7E"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$9,981,887</w:t>
            </w:r>
          </w:p>
        </w:tc>
      </w:tr>
      <w:tr w:rsidR="00F6075C" w:rsidRPr="00F6075C" w14:paraId="11405BA0"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single" w:sz="4" w:space="0" w:color="auto"/>
              <w:right w:val="single" w:sz="8" w:space="0" w:color="auto"/>
            </w:tcBorders>
            <w:shd w:val="clear" w:color="auto" w:fill="auto"/>
            <w:noWrap/>
            <w:vAlign w:val="center"/>
          </w:tcPr>
          <w:p w14:paraId="4EA092D7" w14:textId="77777777" w:rsidR="00F6075C" w:rsidRPr="00066DF4" w:rsidRDefault="00F6075C" w:rsidP="00F6075C">
            <w:pPr>
              <w:snapToGrid w:val="0"/>
              <w:ind w:left="169"/>
              <w:rPr>
                <w:rFonts w:ascii="Calibri" w:hAnsi="Calibri" w:cs="Calibri"/>
                <w:color w:val="000000"/>
                <w:sz w:val="18"/>
                <w:szCs w:val="18"/>
                <w:lang w:eastAsia="en-AU"/>
              </w:rPr>
            </w:pPr>
            <w:r w:rsidRPr="00066DF4">
              <w:rPr>
                <w:rFonts w:ascii="Calibri" w:hAnsi="Calibri" w:cs="Calibri"/>
                <w:color w:val="000000"/>
                <w:sz w:val="18"/>
                <w:szCs w:val="18"/>
                <w:lang w:eastAsia="en-AU"/>
              </w:rPr>
              <w:t xml:space="preserve">     Costs per QALY </w:t>
            </w:r>
          </w:p>
          <w:p w14:paraId="012E1116" w14:textId="77777777" w:rsidR="00F6075C" w:rsidRPr="00066DF4" w:rsidRDefault="00F6075C" w:rsidP="00F6075C">
            <w:pPr>
              <w:snapToGrid w:val="0"/>
              <w:ind w:left="169"/>
              <w:rPr>
                <w:rFonts w:ascii="Calibri" w:hAnsi="Calibri" w:cs="Calibri"/>
                <w:color w:val="000000"/>
                <w:sz w:val="18"/>
                <w:szCs w:val="18"/>
                <w:lang w:eastAsia="en-AU"/>
              </w:rPr>
            </w:pPr>
            <w:r w:rsidRPr="00066DF4">
              <w:rPr>
                <w:rFonts w:ascii="Calibri" w:hAnsi="Calibri" w:cs="Calibri"/>
                <w:color w:val="000000"/>
                <w:sz w:val="18"/>
                <w:szCs w:val="18"/>
                <w:lang w:eastAsia="en-AU"/>
              </w:rPr>
              <w:t xml:space="preserve">     gained</w:t>
            </w:r>
          </w:p>
        </w:tc>
        <w:tc>
          <w:tcPr>
            <w:tcW w:w="1113" w:type="dxa"/>
            <w:tcBorders>
              <w:top w:val="nil"/>
              <w:left w:val="single" w:sz="8" w:space="0" w:color="auto"/>
              <w:bottom w:val="single" w:sz="4" w:space="0" w:color="auto"/>
              <w:right w:val="single" w:sz="8" w:space="0" w:color="auto"/>
            </w:tcBorders>
            <w:shd w:val="clear" w:color="auto" w:fill="auto"/>
            <w:vAlign w:val="center"/>
          </w:tcPr>
          <w:p w14:paraId="5F521756"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w:t>
            </w:r>
          </w:p>
        </w:tc>
        <w:tc>
          <w:tcPr>
            <w:tcW w:w="1114" w:type="dxa"/>
            <w:tcBorders>
              <w:top w:val="nil"/>
              <w:left w:val="single" w:sz="8" w:space="0" w:color="auto"/>
              <w:bottom w:val="single" w:sz="4" w:space="0" w:color="auto"/>
              <w:right w:val="single" w:sz="8" w:space="0" w:color="auto"/>
            </w:tcBorders>
            <w:shd w:val="clear" w:color="auto" w:fill="auto"/>
            <w:vAlign w:val="center"/>
          </w:tcPr>
          <w:p w14:paraId="6B562DBC"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64257563"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3" w:type="dxa"/>
            <w:tcBorders>
              <w:top w:val="nil"/>
              <w:left w:val="single" w:sz="8" w:space="0" w:color="auto"/>
              <w:bottom w:val="single" w:sz="4" w:space="0" w:color="auto"/>
              <w:right w:val="single" w:sz="8" w:space="0" w:color="auto"/>
            </w:tcBorders>
            <w:shd w:val="clear" w:color="auto" w:fill="auto"/>
            <w:vAlign w:val="center"/>
          </w:tcPr>
          <w:p w14:paraId="0C154CFB"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2836EFE2"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5E9D7B81"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5A97EBDD"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r>
    </w:tbl>
    <w:p w14:paraId="6D07B089" w14:textId="77777777" w:rsidR="00F6075C" w:rsidRPr="00F6075C" w:rsidRDefault="00F6075C" w:rsidP="00F6075C">
      <w:pPr>
        <w:snapToGrid w:val="0"/>
        <w:rPr>
          <w:rFonts w:asciiTheme="minorHAnsi" w:hAnsiTheme="minorHAnsi" w:cstheme="minorHAnsi"/>
          <w:iCs/>
          <w:sz w:val="16"/>
          <w:szCs w:val="16"/>
        </w:rPr>
      </w:pPr>
      <w:r w:rsidRPr="00F6075C">
        <w:rPr>
          <w:rFonts w:asciiTheme="minorHAnsi" w:hAnsiTheme="minorHAnsi" w:cstheme="minorHAnsi"/>
          <w:iCs/>
          <w:sz w:val="16"/>
          <w:szCs w:val="16"/>
        </w:rPr>
        <w:t>QALY = quality-adjusted life year</w:t>
      </w:r>
    </w:p>
    <w:p w14:paraId="5B0C6670" w14:textId="77777777" w:rsidR="00F6075C" w:rsidRPr="00F6075C" w:rsidRDefault="00F6075C" w:rsidP="00F6075C">
      <w:pPr>
        <w:snapToGrid w:val="0"/>
        <w:rPr>
          <w:rFonts w:asciiTheme="minorHAnsi" w:hAnsiTheme="minorHAnsi" w:cstheme="minorHAnsi"/>
          <w:iCs/>
          <w:sz w:val="16"/>
          <w:szCs w:val="16"/>
          <w:vertAlign w:val="superscript"/>
        </w:rPr>
      </w:pPr>
      <w:r w:rsidRPr="00F6075C">
        <w:rPr>
          <w:rFonts w:asciiTheme="minorHAnsi" w:hAnsiTheme="minorHAnsi" w:cstheme="minorHAnsi"/>
          <w:iCs/>
          <w:sz w:val="16"/>
          <w:szCs w:val="16"/>
        </w:rPr>
        <w:t>A ‘dominant’ costs per QALY gained indicates that the DMHS was found to have lower costs and greater benefits.</w:t>
      </w:r>
    </w:p>
    <w:p w14:paraId="05C2BB78" w14:textId="6FF06EC9" w:rsidR="00F6075C" w:rsidRPr="0000769E" w:rsidRDefault="00F6075C" w:rsidP="00F6075C">
      <w:pPr>
        <w:snapToGrid w:val="0"/>
        <w:rPr>
          <w:rFonts w:asciiTheme="minorHAnsi" w:hAnsiTheme="minorHAnsi" w:cstheme="minorHAnsi"/>
          <w:iCs/>
          <w:sz w:val="16"/>
          <w:szCs w:val="16"/>
        </w:rPr>
      </w:pPr>
      <w:proofErr w:type="spellStart"/>
      <w:r w:rsidRPr="00F6075C">
        <w:rPr>
          <w:rFonts w:asciiTheme="minorHAnsi" w:hAnsiTheme="minorHAnsi" w:cstheme="minorHAnsi"/>
          <w:iCs/>
          <w:sz w:val="16"/>
          <w:szCs w:val="16"/>
          <w:vertAlign w:val="superscript"/>
        </w:rPr>
        <w:t>a</w:t>
      </w:r>
      <w:r w:rsidRPr="00F6075C">
        <w:rPr>
          <w:rFonts w:asciiTheme="minorHAnsi" w:hAnsiTheme="minorHAnsi" w:cstheme="minorHAnsi"/>
          <w:iCs/>
          <w:sz w:val="16"/>
          <w:szCs w:val="16"/>
        </w:rPr>
        <w:t>Based</w:t>
      </w:r>
      <w:proofErr w:type="spellEnd"/>
      <w:r w:rsidRPr="00F6075C">
        <w:rPr>
          <w:rFonts w:asciiTheme="minorHAnsi" w:hAnsiTheme="minorHAnsi" w:cstheme="minorHAnsi"/>
          <w:iCs/>
          <w:sz w:val="16"/>
          <w:szCs w:val="16"/>
        </w:rPr>
        <w:t xml:space="preserve"> on (</w:t>
      </w:r>
      <w:proofErr w:type="spellStart"/>
      <w:r w:rsidRPr="00F6075C">
        <w:rPr>
          <w:rFonts w:asciiTheme="minorHAnsi" w:hAnsiTheme="minorHAnsi" w:cstheme="minorHAnsi"/>
          <w:iCs/>
          <w:sz w:val="16"/>
          <w:szCs w:val="16"/>
        </w:rPr>
        <w:t>i</w:t>
      </w:r>
      <w:proofErr w:type="spellEnd"/>
      <w:r w:rsidRPr="00F6075C">
        <w:rPr>
          <w:rFonts w:asciiTheme="minorHAnsi" w:hAnsiTheme="minorHAnsi" w:cstheme="minorHAnsi"/>
          <w:iCs/>
          <w:sz w:val="16"/>
          <w:szCs w:val="16"/>
        </w:rPr>
        <w:t xml:space="preserve">) an input population of 7,354 consumers and annual cost of service delivery per consumer as </w:t>
      </w:r>
      <w:r w:rsidRPr="0000769E">
        <w:rPr>
          <w:rFonts w:asciiTheme="minorHAnsi" w:hAnsiTheme="minorHAnsi" w:cstheme="minorHAnsi"/>
          <w:iCs/>
          <w:sz w:val="16"/>
          <w:szCs w:val="16"/>
        </w:rPr>
        <w:t xml:space="preserve">reported in Table </w:t>
      </w:r>
      <w:r w:rsidRPr="0000769E">
        <w:rPr>
          <w:rFonts w:asciiTheme="minorHAnsi" w:hAnsiTheme="minorHAnsi" w:cstheme="minorBidi"/>
          <w:sz w:val="16"/>
          <w:szCs w:val="16"/>
        </w:rPr>
        <w:t>52</w:t>
      </w:r>
      <w:r w:rsidRPr="0000769E">
        <w:rPr>
          <w:rFonts w:asciiTheme="minorHAnsi" w:hAnsiTheme="minorHAnsi" w:cstheme="minorHAnsi"/>
          <w:iCs/>
          <w:sz w:val="16"/>
          <w:szCs w:val="16"/>
        </w:rPr>
        <w:t xml:space="preserve"> and (ii) health care cost and productivity losses as reported in Table </w:t>
      </w:r>
      <w:r w:rsidRPr="0000769E">
        <w:rPr>
          <w:rFonts w:asciiTheme="minorHAnsi" w:hAnsiTheme="minorHAnsi" w:cstheme="minorBidi"/>
          <w:sz w:val="16"/>
          <w:szCs w:val="16"/>
        </w:rPr>
        <w:t>58</w:t>
      </w:r>
      <w:r w:rsidRPr="0000769E">
        <w:rPr>
          <w:rFonts w:asciiTheme="minorHAnsi" w:hAnsiTheme="minorHAnsi" w:cstheme="minorHAnsi"/>
          <w:iCs/>
          <w:sz w:val="16"/>
          <w:szCs w:val="16"/>
        </w:rPr>
        <w:t>.</w:t>
      </w:r>
    </w:p>
    <w:p w14:paraId="1A9EA9D6" w14:textId="04FE81D6" w:rsidR="00F6075C" w:rsidRPr="00F6075C" w:rsidRDefault="00F6075C" w:rsidP="4DCB0396">
      <w:pPr>
        <w:snapToGrid w:val="0"/>
        <w:spacing w:after="240"/>
        <w:rPr>
          <w:rFonts w:asciiTheme="minorHAnsi" w:hAnsiTheme="minorHAnsi" w:cstheme="minorBidi"/>
          <w:sz w:val="16"/>
          <w:szCs w:val="16"/>
        </w:rPr>
      </w:pPr>
      <w:proofErr w:type="spellStart"/>
      <w:r w:rsidRPr="0000769E">
        <w:rPr>
          <w:rFonts w:asciiTheme="minorHAnsi" w:hAnsiTheme="minorHAnsi" w:cstheme="minorBidi"/>
          <w:sz w:val="16"/>
          <w:szCs w:val="16"/>
          <w:vertAlign w:val="superscript"/>
        </w:rPr>
        <w:t>b</w:t>
      </w:r>
      <w:r w:rsidRPr="0000769E">
        <w:rPr>
          <w:rFonts w:asciiTheme="minorHAnsi" w:hAnsiTheme="minorHAnsi" w:cstheme="minorBidi"/>
          <w:sz w:val="16"/>
          <w:szCs w:val="16"/>
        </w:rPr>
        <w:t>B</w:t>
      </w:r>
      <w:r w:rsidRPr="0000769E">
        <w:rPr>
          <w:rFonts w:asciiTheme="minorHAnsi" w:hAnsiTheme="minorHAnsi" w:cstheme="minorBidi"/>
          <w:color w:val="44546A" w:themeColor="text2"/>
          <w:sz w:val="16"/>
          <w:szCs w:val="16"/>
        </w:rPr>
        <w:t>a</w:t>
      </w:r>
      <w:r w:rsidRPr="0000769E">
        <w:rPr>
          <w:rFonts w:asciiTheme="minorHAnsi" w:hAnsiTheme="minorHAnsi" w:cstheme="minorBidi"/>
          <w:sz w:val="16"/>
          <w:szCs w:val="16"/>
        </w:rPr>
        <w:t>sed</w:t>
      </w:r>
      <w:proofErr w:type="spellEnd"/>
      <w:r w:rsidRPr="0000769E">
        <w:rPr>
          <w:rFonts w:asciiTheme="minorHAnsi" w:hAnsiTheme="minorHAnsi" w:cstheme="minorBidi"/>
          <w:sz w:val="16"/>
          <w:szCs w:val="16"/>
        </w:rPr>
        <w:t xml:space="preserve"> on (</w:t>
      </w:r>
      <w:proofErr w:type="spellStart"/>
      <w:r w:rsidRPr="0000769E">
        <w:rPr>
          <w:rFonts w:asciiTheme="minorHAnsi" w:hAnsiTheme="minorHAnsi" w:cstheme="minorBidi"/>
          <w:sz w:val="16"/>
          <w:szCs w:val="16"/>
        </w:rPr>
        <w:t>i</w:t>
      </w:r>
      <w:proofErr w:type="spellEnd"/>
      <w:r w:rsidRPr="0000769E">
        <w:rPr>
          <w:rFonts w:asciiTheme="minorHAnsi" w:hAnsiTheme="minorHAnsi" w:cstheme="minorBidi"/>
          <w:sz w:val="16"/>
          <w:szCs w:val="16"/>
        </w:rPr>
        <w:t>) an input population of 578 consumers and annual cost of service delivery per consumer as reported in Table 52 and</w:t>
      </w:r>
      <w:r w:rsidRPr="4DCB0396">
        <w:rPr>
          <w:rFonts w:asciiTheme="minorHAnsi" w:hAnsiTheme="minorHAnsi" w:cstheme="minorBidi"/>
          <w:sz w:val="16"/>
          <w:szCs w:val="16"/>
        </w:rPr>
        <w:t xml:space="preserve"> (ii) health care cost and productivity losses as reported in Table </w:t>
      </w:r>
      <w:r w:rsidRPr="75E34065">
        <w:rPr>
          <w:rFonts w:asciiTheme="minorHAnsi" w:hAnsiTheme="minorHAnsi" w:cstheme="minorBidi"/>
          <w:sz w:val="16"/>
          <w:szCs w:val="16"/>
        </w:rPr>
        <w:t>58</w:t>
      </w:r>
      <w:r w:rsidRPr="4DCB0396">
        <w:rPr>
          <w:rFonts w:asciiTheme="minorHAnsi" w:hAnsiTheme="minorHAnsi" w:cstheme="minorBidi"/>
          <w:sz w:val="16"/>
          <w:szCs w:val="16"/>
        </w:rPr>
        <w:t>.</w:t>
      </w:r>
    </w:p>
    <w:p w14:paraId="41AEE3D7" w14:textId="06A44D5A" w:rsidR="00F6075C" w:rsidRPr="00F6075C" w:rsidRDefault="00F6075C" w:rsidP="00222B4E">
      <w:pPr>
        <w:rPr>
          <w:rFonts w:ascii="Calibri" w:hAnsi="Calibri" w:cs="Arial"/>
          <w:iCs/>
          <w:color w:val="000000" w:themeColor="text1"/>
          <w:sz w:val="21"/>
          <w:szCs w:val="21"/>
          <w:lang w:eastAsia="zh-CN"/>
        </w:rPr>
      </w:pPr>
      <w:r w:rsidRPr="00F6075C">
        <w:rPr>
          <w:rFonts w:ascii="Calibri" w:hAnsi="Calibri" w:cs="Arial"/>
          <w:iCs/>
          <w:color w:val="000000" w:themeColor="text1"/>
          <w:sz w:val="21"/>
          <w:szCs w:val="21"/>
          <w:lang w:eastAsia="zh-CN"/>
        </w:rPr>
        <w:t xml:space="preserve">Table </w:t>
      </w:r>
      <w:r w:rsidR="000B3C1C">
        <w:rPr>
          <w:rFonts w:ascii="Calibri" w:hAnsi="Calibri" w:cs="Arial"/>
          <w:iCs/>
          <w:color w:val="000000" w:themeColor="text1"/>
          <w:sz w:val="21"/>
          <w:szCs w:val="21"/>
          <w:lang w:eastAsia="zh-CN"/>
        </w:rPr>
        <w:t>60</w:t>
      </w:r>
      <w:r w:rsidRPr="00F6075C">
        <w:rPr>
          <w:rFonts w:ascii="Calibri" w:hAnsi="Calibri" w:cs="Arial"/>
          <w:iCs/>
          <w:color w:val="000000" w:themeColor="text1"/>
          <w:sz w:val="21"/>
          <w:szCs w:val="21"/>
          <w:lang w:eastAsia="zh-CN"/>
        </w:rPr>
        <w:t xml:space="preserve"> presents the cost-effectiveness modelling results for </w:t>
      </w:r>
      <w:proofErr w:type="spellStart"/>
      <w:r w:rsidRPr="00F6075C">
        <w:rPr>
          <w:rFonts w:ascii="Calibri" w:hAnsi="Calibri" w:cs="Arial"/>
          <w:iCs/>
          <w:color w:val="000000" w:themeColor="text1"/>
          <w:sz w:val="21"/>
          <w:szCs w:val="21"/>
          <w:lang w:eastAsia="zh-CN"/>
        </w:rPr>
        <w:t>MindSpot</w:t>
      </w:r>
      <w:proofErr w:type="spellEnd"/>
      <w:r w:rsidRPr="00F6075C">
        <w:rPr>
          <w:rFonts w:ascii="Calibri" w:hAnsi="Calibri" w:cs="Arial"/>
          <w:iCs/>
          <w:color w:val="000000" w:themeColor="text1"/>
          <w:sz w:val="21"/>
          <w:szCs w:val="21"/>
          <w:lang w:eastAsia="zh-CN"/>
        </w:rPr>
        <w:t xml:space="preserve"> and the indirect comparator groups. Both the self-directed and therapist-supported treatment components of </w:t>
      </w:r>
      <w:proofErr w:type="spellStart"/>
      <w:r w:rsidRPr="00F6075C">
        <w:rPr>
          <w:rFonts w:ascii="Calibri" w:hAnsi="Calibri" w:cs="Arial"/>
          <w:iCs/>
          <w:color w:val="000000" w:themeColor="text1"/>
          <w:sz w:val="21"/>
          <w:szCs w:val="21"/>
          <w:lang w:eastAsia="zh-CN"/>
        </w:rPr>
        <w:t>MindSpot</w:t>
      </w:r>
      <w:proofErr w:type="spellEnd"/>
      <w:r w:rsidRPr="00F6075C">
        <w:rPr>
          <w:rFonts w:ascii="Calibri" w:hAnsi="Calibri" w:cs="Arial"/>
          <w:iCs/>
          <w:color w:val="000000" w:themeColor="text1"/>
          <w:sz w:val="21"/>
          <w:szCs w:val="21"/>
          <w:lang w:eastAsia="zh-CN"/>
        </w:rPr>
        <w:t xml:space="preserve"> were found to be dominant (lower costs, greater benefits) compared to the Link-me (all participants) control group regardless of the inclusion or exclusion of productivity costs. For the remaining comparison scenarios where productivity costs were not </w:t>
      </w:r>
      <w:r w:rsidRPr="00F6075C">
        <w:rPr>
          <w:rFonts w:ascii="Calibri" w:hAnsi="Calibri" w:cs="Arial"/>
          <w:iCs/>
          <w:color w:val="000000" w:themeColor="text1"/>
          <w:sz w:val="21"/>
          <w:szCs w:val="21"/>
          <w:lang w:eastAsia="zh-CN"/>
        </w:rPr>
        <w:lastRenderedPageBreak/>
        <w:t xml:space="preserve">included, the ICERs were below the $50,000/QALY value-for-money threshold commonly used in Australia. When productivity costs were considered, both treatment components of </w:t>
      </w:r>
      <w:proofErr w:type="spellStart"/>
      <w:r w:rsidRPr="00F6075C">
        <w:rPr>
          <w:rFonts w:ascii="Calibri" w:hAnsi="Calibri" w:cs="Arial"/>
          <w:iCs/>
          <w:color w:val="000000" w:themeColor="text1"/>
          <w:sz w:val="21"/>
          <w:szCs w:val="21"/>
          <w:lang w:eastAsia="zh-CN"/>
        </w:rPr>
        <w:t>MindSpot</w:t>
      </w:r>
      <w:proofErr w:type="spellEnd"/>
      <w:r w:rsidRPr="00F6075C">
        <w:rPr>
          <w:rFonts w:ascii="Calibri" w:hAnsi="Calibri" w:cs="Arial"/>
          <w:iCs/>
          <w:color w:val="000000" w:themeColor="text1"/>
          <w:sz w:val="21"/>
          <w:szCs w:val="21"/>
          <w:lang w:eastAsia="zh-CN"/>
        </w:rPr>
        <w:t xml:space="preserve"> costed less than the indirect comparator groups with increased gain in QALYs (i.e., dominant). </w:t>
      </w:r>
    </w:p>
    <w:p w14:paraId="6D6791C9" w14:textId="77777777" w:rsidR="00F6075C" w:rsidRPr="00F6075C" w:rsidRDefault="00F6075C" w:rsidP="00F6075C">
      <w:pPr>
        <w:rPr>
          <w:lang w:eastAsia="zh-CN"/>
        </w:rPr>
      </w:pPr>
    </w:p>
    <w:p w14:paraId="3950AE54" w14:textId="14DE4FA7" w:rsidR="00F6075C" w:rsidRPr="00F6075C" w:rsidRDefault="00F6075C" w:rsidP="00F6075C">
      <w:pPr>
        <w:keepLines/>
        <w:spacing w:after="120"/>
        <w:outlineLvl w:val="2"/>
        <w:rPr>
          <w:rFonts w:asciiTheme="minorHAnsi" w:eastAsiaTheme="majorEastAsia" w:hAnsiTheme="minorHAnsi" w:cstheme="majorBidi"/>
          <w:b/>
          <w:color w:val="000000" w:themeColor="text1"/>
          <w:sz w:val="21"/>
          <w:szCs w:val="21"/>
          <w:lang w:val="en-US" w:eastAsia="en-US"/>
        </w:rPr>
      </w:pPr>
      <w:r w:rsidRPr="00F6075C">
        <w:rPr>
          <w:rFonts w:asciiTheme="minorHAnsi" w:eastAsiaTheme="majorEastAsia" w:hAnsiTheme="minorHAnsi" w:cstheme="majorBidi"/>
          <w:b/>
          <w:color w:val="000000" w:themeColor="text1"/>
          <w:sz w:val="21"/>
          <w:szCs w:val="21"/>
          <w:lang w:val="en-US" w:eastAsia="en-US"/>
        </w:rPr>
        <w:t xml:space="preserve">Table </w:t>
      </w:r>
      <w:r w:rsidR="000B3C1C" w:rsidRPr="000B3C1C">
        <w:rPr>
          <w:rFonts w:asciiTheme="minorHAnsi" w:eastAsiaTheme="majorEastAsia" w:hAnsiTheme="minorHAnsi" w:cstheme="majorBidi"/>
          <w:b/>
          <w:color w:val="000000" w:themeColor="text1"/>
          <w:sz w:val="21"/>
          <w:szCs w:val="21"/>
          <w:lang w:val="en-US" w:eastAsia="en-US"/>
        </w:rPr>
        <w:t>60</w:t>
      </w:r>
      <w:r w:rsidRPr="000B3C1C">
        <w:rPr>
          <w:rFonts w:asciiTheme="minorHAnsi" w:eastAsiaTheme="majorEastAsia" w:hAnsiTheme="minorHAnsi" w:cstheme="majorBidi"/>
          <w:b/>
          <w:color w:val="000000" w:themeColor="text1"/>
          <w:sz w:val="21"/>
          <w:szCs w:val="21"/>
          <w:lang w:val="en-US" w:eastAsia="en-US"/>
        </w:rPr>
        <w:t>.</w:t>
      </w:r>
      <w:r w:rsidRPr="00F6075C">
        <w:rPr>
          <w:rFonts w:asciiTheme="minorHAnsi" w:eastAsiaTheme="majorEastAsia" w:hAnsiTheme="minorHAnsi" w:cstheme="majorBidi"/>
          <w:b/>
          <w:color w:val="000000" w:themeColor="text1"/>
          <w:sz w:val="21"/>
          <w:szCs w:val="21"/>
          <w:lang w:val="en-US" w:eastAsia="en-US"/>
        </w:rPr>
        <w:t xml:space="preserve"> Results of economic modelling for </w:t>
      </w:r>
      <w:proofErr w:type="spellStart"/>
      <w:r w:rsidRPr="00F6075C">
        <w:rPr>
          <w:rFonts w:asciiTheme="minorHAnsi" w:eastAsiaTheme="majorEastAsia" w:hAnsiTheme="minorHAnsi" w:cstheme="majorBidi"/>
          <w:b/>
          <w:color w:val="000000" w:themeColor="text1"/>
          <w:sz w:val="21"/>
          <w:szCs w:val="21"/>
          <w:lang w:val="en-US" w:eastAsia="en-US"/>
        </w:rPr>
        <w:t>MindSpot</w:t>
      </w:r>
      <w:proofErr w:type="spellEnd"/>
    </w:p>
    <w:tbl>
      <w:tblPr>
        <w:tblStyle w:val="PlainTable412"/>
        <w:tblW w:w="9629" w:type="dxa"/>
        <w:tblInd w:w="0" w:type="dxa"/>
        <w:tblBorders>
          <w:top w:val="single" w:sz="8" w:space="0" w:color="auto"/>
          <w:left w:val="single" w:sz="8" w:space="0" w:color="auto"/>
          <w:bottom w:val="single" w:sz="8" w:space="0" w:color="auto"/>
          <w:right w:val="single" w:sz="8" w:space="0" w:color="auto"/>
          <w:insideV w:val="single" w:sz="8" w:space="0" w:color="auto"/>
        </w:tblBorders>
        <w:tblLayout w:type="fixed"/>
        <w:tblLook w:val="04A0" w:firstRow="1" w:lastRow="0" w:firstColumn="1" w:lastColumn="0" w:noHBand="0" w:noVBand="1"/>
        <w:tblCaption w:val="Table 60. Results of economic modelling for MindSpot"/>
        <w:tblDescription w:val="A table presenting the economic modelling results for MindSpot in comparison to all indirect comparator groups. The results include the numbers of input population, fully recovered, partially recovered, no improvement, deteriorated, quality-adjusted life years, total costs including and excluding productivity losses and costs per quality-adjusted life years gained. Items were presented by self-directed treatment and therapist-supported treatment."/>
      </w:tblPr>
      <w:tblGrid>
        <w:gridCol w:w="1833"/>
        <w:gridCol w:w="1113"/>
        <w:gridCol w:w="1114"/>
        <w:gridCol w:w="1114"/>
        <w:gridCol w:w="1113"/>
        <w:gridCol w:w="1114"/>
        <w:gridCol w:w="1114"/>
        <w:gridCol w:w="1114"/>
      </w:tblGrid>
      <w:tr w:rsidR="00F6075C" w:rsidRPr="00F6075C" w14:paraId="32D98500" w14:textId="77777777" w:rsidTr="004E77D0">
        <w:trPr>
          <w:cnfStyle w:val="100000000000" w:firstRow="1" w:lastRow="0" w:firstColumn="0" w:lastColumn="0" w:oddVBand="0" w:evenVBand="0" w:oddHBand="0" w:evenHBand="0" w:firstRowFirstColumn="0" w:firstRowLastColumn="0" w:lastRowFirstColumn="0" w:lastRowLastColumn="0"/>
          <w:trHeight w:val="969"/>
          <w:tblHeader/>
        </w:trPr>
        <w:tc>
          <w:tcPr>
            <w:cnfStyle w:val="001000000000" w:firstRow="0" w:lastRow="0" w:firstColumn="1" w:lastColumn="0" w:oddVBand="0" w:evenVBand="0" w:oddHBand="0" w:evenHBand="0" w:firstRowFirstColumn="0" w:firstRowLastColumn="0" w:lastRowFirstColumn="0" w:lastRowLastColumn="0"/>
            <w:tcW w:w="1833" w:type="dxa"/>
            <w:tcBorders>
              <w:top w:val="single" w:sz="8" w:space="0" w:color="auto"/>
              <w:left w:val="single" w:sz="8" w:space="0" w:color="auto"/>
              <w:bottom w:val="nil"/>
              <w:right w:val="single" w:sz="8" w:space="0" w:color="auto"/>
            </w:tcBorders>
            <w:shd w:val="clear" w:color="auto" w:fill="000000" w:themeFill="text1"/>
            <w:noWrap/>
            <w:vAlign w:val="center"/>
            <w:hideMark/>
          </w:tcPr>
          <w:p w14:paraId="673C8BFA" w14:textId="77777777" w:rsidR="00F6075C" w:rsidRPr="00F6075C" w:rsidRDefault="00F6075C" w:rsidP="00F6075C">
            <w:pPr>
              <w:snapToGrid w:val="0"/>
              <w:rPr>
                <w:rFonts w:ascii="Calibri" w:hAnsi="Calibri" w:cs="Calibri"/>
                <w:color w:val="FFFFFF" w:themeColor="background1"/>
                <w:sz w:val="18"/>
                <w:szCs w:val="18"/>
                <w:lang w:eastAsia="en-AU"/>
              </w:rPr>
            </w:pPr>
          </w:p>
        </w:tc>
        <w:tc>
          <w:tcPr>
            <w:tcW w:w="1113" w:type="dxa"/>
            <w:tcBorders>
              <w:top w:val="single" w:sz="8" w:space="0" w:color="auto"/>
              <w:left w:val="single" w:sz="8" w:space="0" w:color="auto"/>
              <w:right w:val="single" w:sz="8" w:space="0" w:color="auto"/>
            </w:tcBorders>
            <w:shd w:val="clear" w:color="auto" w:fill="000000" w:themeFill="text1"/>
            <w:vAlign w:val="center"/>
          </w:tcPr>
          <w:p w14:paraId="18D2F041" w14:textId="60D33235" w:rsidR="00F6075C" w:rsidRPr="00F6075C" w:rsidRDefault="5B65CED3" w:rsidP="5B65CED3">
            <w:pPr>
              <w:spacing w:line="259" w:lineRule="auto"/>
              <w:jc w:val="center"/>
              <w:cnfStyle w:val="100000000000" w:firstRow="1" w:lastRow="0" w:firstColumn="0" w:lastColumn="0" w:oddVBand="0" w:evenVBand="0" w:oddHBand="0" w:evenHBand="0" w:firstRowFirstColumn="0" w:firstRowLastColumn="0" w:lastRowFirstColumn="0" w:lastRowLastColumn="0"/>
            </w:pPr>
            <w:proofErr w:type="spellStart"/>
            <w:r w:rsidRPr="5B65CED3">
              <w:rPr>
                <w:rFonts w:ascii="Calibri" w:hAnsi="Calibri" w:cs="Calibri"/>
                <w:color w:val="FFFFFF" w:themeColor="background1"/>
                <w:sz w:val="16"/>
                <w:szCs w:val="16"/>
                <w:lang w:eastAsia="en-AU"/>
              </w:rPr>
              <w:t>MindSpot</w:t>
            </w:r>
            <w:proofErr w:type="spellEnd"/>
          </w:p>
        </w:tc>
        <w:tc>
          <w:tcPr>
            <w:tcW w:w="1114" w:type="dxa"/>
            <w:tcBorders>
              <w:top w:val="single" w:sz="8" w:space="0" w:color="auto"/>
              <w:left w:val="single" w:sz="8" w:space="0" w:color="auto"/>
              <w:right w:val="single" w:sz="8" w:space="0" w:color="auto"/>
            </w:tcBorders>
            <w:shd w:val="clear" w:color="auto" w:fill="000000" w:themeFill="text1"/>
            <w:vAlign w:val="center"/>
          </w:tcPr>
          <w:p w14:paraId="6F57BFCF"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Indirect comparator: Link-me</w:t>
            </w:r>
          </w:p>
          <w:p w14:paraId="14664C02"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w:t>
            </w:r>
            <w:proofErr w:type="gramStart"/>
            <w:r w:rsidRPr="00F6075C">
              <w:rPr>
                <w:rFonts w:ascii="Calibri" w:hAnsi="Calibri" w:cs="Calibri"/>
                <w:color w:val="FFFFFF" w:themeColor="background1"/>
                <w:sz w:val="16"/>
                <w:szCs w:val="16"/>
                <w:lang w:eastAsia="en-AU"/>
              </w:rPr>
              <w:t>all</w:t>
            </w:r>
            <w:proofErr w:type="gramEnd"/>
            <w:r w:rsidRPr="00F6075C">
              <w:rPr>
                <w:rFonts w:ascii="Calibri" w:hAnsi="Calibri" w:cs="Calibri"/>
                <w:color w:val="FFFFFF" w:themeColor="background1"/>
                <w:sz w:val="16"/>
                <w:szCs w:val="16"/>
                <w:lang w:eastAsia="en-AU"/>
              </w:rPr>
              <w:t xml:space="preserve"> participants)</w:t>
            </w:r>
          </w:p>
        </w:tc>
        <w:tc>
          <w:tcPr>
            <w:tcW w:w="1114" w:type="dxa"/>
            <w:tcBorders>
              <w:top w:val="single" w:sz="8" w:space="0" w:color="auto"/>
              <w:left w:val="single" w:sz="8" w:space="0" w:color="auto"/>
              <w:right w:val="single" w:sz="8" w:space="0" w:color="auto"/>
            </w:tcBorders>
            <w:shd w:val="clear" w:color="auto" w:fill="000000" w:themeFill="text1"/>
            <w:vAlign w:val="center"/>
          </w:tcPr>
          <w:p w14:paraId="337E9A1B"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Indirect comparator: Target-D</w:t>
            </w:r>
          </w:p>
          <w:p w14:paraId="1AEACC30"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w:t>
            </w:r>
            <w:proofErr w:type="gramStart"/>
            <w:r w:rsidRPr="00F6075C">
              <w:rPr>
                <w:rFonts w:ascii="Calibri" w:hAnsi="Calibri" w:cs="Calibri"/>
                <w:color w:val="FFFFFF" w:themeColor="background1"/>
                <w:sz w:val="16"/>
                <w:szCs w:val="16"/>
                <w:lang w:eastAsia="en-AU"/>
              </w:rPr>
              <w:t>all</w:t>
            </w:r>
            <w:proofErr w:type="gramEnd"/>
            <w:r w:rsidRPr="00F6075C">
              <w:rPr>
                <w:rFonts w:ascii="Calibri" w:hAnsi="Calibri" w:cs="Calibri"/>
                <w:color w:val="FFFFFF" w:themeColor="background1"/>
                <w:sz w:val="16"/>
                <w:szCs w:val="16"/>
                <w:lang w:eastAsia="en-AU"/>
              </w:rPr>
              <w:t xml:space="preserve"> participants)</w:t>
            </w:r>
          </w:p>
        </w:tc>
        <w:tc>
          <w:tcPr>
            <w:tcW w:w="1113" w:type="dxa"/>
            <w:tcBorders>
              <w:top w:val="single" w:sz="8" w:space="0" w:color="auto"/>
              <w:left w:val="single" w:sz="8" w:space="0" w:color="auto"/>
              <w:right w:val="single" w:sz="8" w:space="0" w:color="auto"/>
            </w:tcBorders>
            <w:shd w:val="clear" w:color="auto" w:fill="000000" w:themeFill="text1"/>
            <w:vAlign w:val="center"/>
          </w:tcPr>
          <w:p w14:paraId="3CA800C4"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Indirect comparator: Link-me (minimal/ mild group)</w:t>
            </w:r>
          </w:p>
        </w:tc>
        <w:tc>
          <w:tcPr>
            <w:tcW w:w="1114" w:type="dxa"/>
            <w:tcBorders>
              <w:top w:val="single" w:sz="8" w:space="0" w:color="auto"/>
              <w:left w:val="single" w:sz="8" w:space="0" w:color="auto"/>
              <w:bottom w:val="nil"/>
              <w:right w:val="single" w:sz="8" w:space="0" w:color="auto"/>
            </w:tcBorders>
            <w:shd w:val="clear" w:color="auto" w:fill="000000" w:themeFill="text1"/>
            <w:vAlign w:val="center"/>
          </w:tcPr>
          <w:p w14:paraId="143222F1"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Indirect comparator: Target-D (minimal/ mild group)</w:t>
            </w:r>
          </w:p>
        </w:tc>
        <w:tc>
          <w:tcPr>
            <w:tcW w:w="1114" w:type="dxa"/>
            <w:tcBorders>
              <w:top w:val="single" w:sz="8" w:space="0" w:color="auto"/>
              <w:left w:val="single" w:sz="8" w:space="0" w:color="auto"/>
              <w:bottom w:val="nil"/>
              <w:right w:val="single" w:sz="8" w:space="0" w:color="auto"/>
            </w:tcBorders>
            <w:shd w:val="clear" w:color="auto" w:fill="000000" w:themeFill="text1"/>
            <w:vAlign w:val="center"/>
          </w:tcPr>
          <w:p w14:paraId="627332D1"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Indirect comparator: Link-me (severe group)</w:t>
            </w:r>
          </w:p>
        </w:tc>
        <w:tc>
          <w:tcPr>
            <w:tcW w:w="1114" w:type="dxa"/>
            <w:tcBorders>
              <w:top w:val="single" w:sz="8" w:space="0" w:color="auto"/>
              <w:left w:val="single" w:sz="8" w:space="0" w:color="auto"/>
              <w:bottom w:val="nil"/>
              <w:right w:val="single" w:sz="8" w:space="0" w:color="auto"/>
            </w:tcBorders>
            <w:shd w:val="clear" w:color="auto" w:fill="000000" w:themeFill="text1"/>
            <w:vAlign w:val="center"/>
          </w:tcPr>
          <w:p w14:paraId="78716FC3"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Indirect comparator: Target-D (severe group)</w:t>
            </w:r>
          </w:p>
        </w:tc>
      </w:tr>
      <w:tr w:rsidR="00F6075C" w:rsidRPr="00F6075C" w14:paraId="2820C95C" w14:textId="77777777" w:rsidTr="004E77D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5DD01FE6" w14:textId="77777777" w:rsidR="00F6075C" w:rsidRPr="00F6075C" w:rsidRDefault="00F6075C" w:rsidP="00F6075C">
            <w:pPr>
              <w:snapToGrid w:val="0"/>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Self-directed </w:t>
            </w:r>
            <w:proofErr w:type="spellStart"/>
            <w:r w:rsidRPr="00F6075C">
              <w:rPr>
                <w:rFonts w:ascii="Calibri" w:hAnsi="Calibri" w:cs="Calibri"/>
                <w:color w:val="000000"/>
                <w:sz w:val="16"/>
                <w:szCs w:val="16"/>
                <w:lang w:eastAsia="en-AU"/>
              </w:rPr>
              <w:t>treatment</w:t>
            </w:r>
            <w:r w:rsidRPr="00F6075C">
              <w:rPr>
                <w:rFonts w:asciiTheme="minorHAnsi" w:hAnsiTheme="minorHAnsi" w:cstheme="minorHAnsi"/>
                <w:sz w:val="16"/>
                <w:szCs w:val="16"/>
                <w:vertAlign w:val="superscript"/>
                <w:lang w:eastAsia="en-US"/>
              </w:rPr>
              <w:t>a</w:t>
            </w:r>
            <w:proofErr w:type="spellEnd"/>
          </w:p>
        </w:tc>
        <w:tc>
          <w:tcPr>
            <w:tcW w:w="1113" w:type="dxa"/>
            <w:tcBorders>
              <w:top w:val="nil"/>
              <w:left w:val="single" w:sz="8" w:space="0" w:color="auto"/>
              <w:bottom w:val="nil"/>
              <w:right w:val="single" w:sz="8" w:space="0" w:color="auto"/>
            </w:tcBorders>
            <w:shd w:val="clear" w:color="auto" w:fill="auto"/>
            <w:vAlign w:val="center"/>
          </w:tcPr>
          <w:p w14:paraId="14649EA9"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732786A5"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4E654C32"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1F28F581"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015F197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38602479"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5B640BAD"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r>
      <w:tr w:rsidR="00F6075C" w:rsidRPr="00F6075C" w14:paraId="67AE52B0" w14:textId="77777777" w:rsidTr="004E77D0">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CD99C47" w14:textId="77777777" w:rsidR="00F6075C" w:rsidRPr="00F6075C" w:rsidRDefault="00F6075C" w:rsidP="00F6075C">
            <w:pPr>
              <w:snapToGrid w:val="0"/>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Input population (n)</w:t>
            </w:r>
          </w:p>
        </w:tc>
        <w:tc>
          <w:tcPr>
            <w:tcW w:w="1113" w:type="dxa"/>
            <w:tcBorders>
              <w:top w:val="nil"/>
              <w:left w:val="single" w:sz="8" w:space="0" w:color="auto"/>
              <w:bottom w:val="nil"/>
              <w:right w:val="single" w:sz="8" w:space="0" w:color="auto"/>
            </w:tcBorders>
            <w:shd w:val="clear" w:color="auto" w:fill="auto"/>
            <w:vAlign w:val="center"/>
          </w:tcPr>
          <w:p w14:paraId="134CF8B5"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1,117</w:t>
            </w:r>
          </w:p>
        </w:tc>
        <w:tc>
          <w:tcPr>
            <w:tcW w:w="1114" w:type="dxa"/>
            <w:tcBorders>
              <w:top w:val="nil"/>
              <w:left w:val="single" w:sz="8" w:space="0" w:color="auto"/>
              <w:bottom w:val="nil"/>
              <w:right w:val="single" w:sz="8" w:space="0" w:color="auto"/>
            </w:tcBorders>
            <w:shd w:val="clear" w:color="auto" w:fill="auto"/>
            <w:vAlign w:val="center"/>
          </w:tcPr>
          <w:p w14:paraId="0AEDF1FA"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1,117</w:t>
            </w:r>
          </w:p>
        </w:tc>
        <w:tc>
          <w:tcPr>
            <w:tcW w:w="1114" w:type="dxa"/>
            <w:tcBorders>
              <w:top w:val="nil"/>
              <w:left w:val="single" w:sz="8" w:space="0" w:color="auto"/>
              <w:bottom w:val="nil"/>
              <w:right w:val="single" w:sz="8" w:space="0" w:color="auto"/>
            </w:tcBorders>
            <w:shd w:val="clear" w:color="auto" w:fill="auto"/>
            <w:vAlign w:val="center"/>
          </w:tcPr>
          <w:p w14:paraId="6568BC77"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1,117</w:t>
            </w:r>
          </w:p>
        </w:tc>
        <w:tc>
          <w:tcPr>
            <w:tcW w:w="1113" w:type="dxa"/>
            <w:tcBorders>
              <w:top w:val="nil"/>
              <w:left w:val="single" w:sz="8" w:space="0" w:color="auto"/>
              <w:bottom w:val="nil"/>
              <w:right w:val="single" w:sz="8" w:space="0" w:color="auto"/>
            </w:tcBorders>
            <w:shd w:val="clear" w:color="auto" w:fill="auto"/>
            <w:vAlign w:val="center"/>
          </w:tcPr>
          <w:p w14:paraId="7E13075B"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1,117</w:t>
            </w:r>
          </w:p>
        </w:tc>
        <w:tc>
          <w:tcPr>
            <w:tcW w:w="1114" w:type="dxa"/>
            <w:tcBorders>
              <w:top w:val="nil"/>
              <w:left w:val="single" w:sz="8" w:space="0" w:color="auto"/>
              <w:bottom w:val="nil"/>
              <w:right w:val="single" w:sz="8" w:space="0" w:color="auto"/>
            </w:tcBorders>
            <w:shd w:val="clear" w:color="auto" w:fill="auto"/>
            <w:vAlign w:val="center"/>
          </w:tcPr>
          <w:p w14:paraId="3B0E1E01"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1,117</w:t>
            </w:r>
          </w:p>
        </w:tc>
        <w:tc>
          <w:tcPr>
            <w:tcW w:w="1114" w:type="dxa"/>
            <w:tcBorders>
              <w:top w:val="nil"/>
              <w:left w:val="single" w:sz="8" w:space="0" w:color="auto"/>
              <w:bottom w:val="nil"/>
              <w:right w:val="single" w:sz="8" w:space="0" w:color="auto"/>
            </w:tcBorders>
            <w:shd w:val="clear" w:color="auto" w:fill="auto"/>
            <w:vAlign w:val="center"/>
          </w:tcPr>
          <w:p w14:paraId="27A1CE3A"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1,117</w:t>
            </w:r>
          </w:p>
        </w:tc>
        <w:tc>
          <w:tcPr>
            <w:tcW w:w="1114" w:type="dxa"/>
            <w:tcBorders>
              <w:top w:val="nil"/>
              <w:left w:val="single" w:sz="8" w:space="0" w:color="auto"/>
              <w:bottom w:val="nil"/>
              <w:right w:val="single" w:sz="8" w:space="0" w:color="auto"/>
            </w:tcBorders>
            <w:shd w:val="clear" w:color="auto" w:fill="auto"/>
            <w:vAlign w:val="center"/>
          </w:tcPr>
          <w:p w14:paraId="057153F3"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1,117</w:t>
            </w:r>
          </w:p>
        </w:tc>
      </w:tr>
      <w:tr w:rsidR="00F6075C" w:rsidRPr="00F6075C" w14:paraId="52C60F6A" w14:textId="77777777" w:rsidTr="004E77D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5A719BC" w14:textId="77777777" w:rsidR="00F6075C" w:rsidRPr="00F6075C" w:rsidRDefault="00F6075C" w:rsidP="00F6075C">
            <w:pPr>
              <w:snapToGrid w:val="0"/>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Fully recovered (n)</w:t>
            </w:r>
          </w:p>
        </w:tc>
        <w:tc>
          <w:tcPr>
            <w:tcW w:w="1113" w:type="dxa"/>
            <w:tcBorders>
              <w:top w:val="nil"/>
              <w:left w:val="single" w:sz="8" w:space="0" w:color="auto"/>
              <w:bottom w:val="nil"/>
              <w:right w:val="single" w:sz="8" w:space="0" w:color="auto"/>
            </w:tcBorders>
            <w:shd w:val="clear" w:color="auto" w:fill="auto"/>
            <w:vAlign w:val="center"/>
          </w:tcPr>
          <w:p w14:paraId="1692F513"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506</w:t>
            </w:r>
          </w:p>
        </w:tc>
        <w:tc>
          <w:tcPr>
            <w:tcW w:w="1114" w:type="dxa"/>
            <w:tcBorders>
              <w:top w:val="nil"/>
              <w:left w:val="single" w:sz="8" w:space="0" w:color="auto"/>
              <w:bottom w:val="nil"/>
              <w:right w:val="single" w:sz="8" w:space="0" w:color="auto"/>
            </w:tcBorders>
            <w:shd w:val="clear" w:color="auto" w:fill="auto"/>
            <w:vAlign w:val="center"/>
          </w:tcPr>
          <w:p w14:paraId="1ED0A116"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124</w:t>
            </w:r>
          </w:p>
        </w:tc>
        <w:tc>
          <w:tcPr>
            <w:tcW w:w="1114" w:type="dxa"/>
            <w:tcBorders>
              <w:top w:val="nil"/>
              <w:left w:val="single" w:sz="8" w:space="0" w:color="auto"/>
              <w:bottom w:val="nil"/>
              <w:right w:val="single" w:sz="8" w:space="0" w:color="auto"/>
            </w:tcBorders>
            <w:shd w:val="clear" w:color="auto" w:fill="auto"/>
            <w:vAlign w:val="center"/>
          </w:tcPr>
          <w:p w14:paraId="44C091E6"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124</w:t>
            </w:r>
          </w:p>
        </w:tc>
        <w:tc>
          <w:tcPr>
            <w:tcW w:w="1113" w:type="dxa"/>
            <w:tcBorders>
              <w:top w:val="nil"/>
              <w:left w:val="single" w:sz="8" w:space="0" w:color="auto"/>
              <w:bottom w:val="nil"/>
              <w:right w:val="single" w:sz="8" w:space="0" w:color="auto"/>
            </w:tcBorders>
            <w:shd w:val="clear" w:color="auto" w:fill="auto"/>
            <w:vAlign w:val="center"/>
          </w:tcPr>
          <w:p w14:paraId="2AA9F448"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124</w:t>
            </w:r>
          </w:p>
        </w:tc>
        <w:tc>
          <w:tcPr>
            <w:tcW w:w="1114" w:type="dxa"/>
            <w:tcBorders>
              <w:top w:val="nil"/>
              <w:left w:val="single" w:sz="8" w:space="0" w:color="auto"/>
              <w:bottom w:val="nil"/>
              <w:right w:val="single" w:sz="8" w:space="0" w:color="auto"/>
            </w:tcBorders>
            <w:shd w:val="clear" w:color="auto" w:fill="auto"/>
            <w:vAlign w:val="center"/>
          </w:tcPr>
          <w:p w14:paraId="550D2BD2"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124</w:t>
            </w:r>
          </w:p>
        </w:tc>
        <w:tc>
          <w:tcPr>
            <w:tcW w:w="1114" w:type="dxa"/>
            <w:tcBorders>
              <w:top w:val="nil"/>
              <w:left w:val="single" w:sz="8" w:space="0" w:color="auto"/>
              <w:bottom w:val="nil"/>
              <w:right w:val="single" w:sz="8" w:space="0" w:color="auto"/>
            </w:tcBorders>
            <w:shd w:val="clear" w:color="auto" w:fill="auto"/>
            <w:vAlign w:val="center"/>
          </w:tcPr>
          <w:p w14:paraId="755703EF"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124</w:t>
            </w:r>
          </w:p>
        </w:tc>
        <w:tc>
          <w:tcPr>
            <w:tcW w:w="1114" w:type="dxa"/>
            <w:tcBorders>
              <w:top w:val="nil"/>
              <w:left w:val="single" w:sz="8" w:space="0" w:color="auto"/>
              <w:bottom w:val="nil"/>
              <w:right w:val="single" w:sz="8" w:space="0" w:color="auto"/>
            </w:tcBorders>
            <w:shd w:val="clear" w:color="auto" w:fill="auto"/>
            <w:vAlign w:val="center"/>
          </w:tcPr>
          <w:p w14:paraId="263ED03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124</w:t>
            </w:r>
          </w:p>
        </w:tc>
      </w:tr>
      <w:tr w:rsidR="00F6075C" w:rsidRPr="00F6075C" w14:paraId="79EA573A" w14:textId="77777777" w:rsidTr="004E77D0">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134A3C03" w14:textId="77777777" w:rsidR="00F6075C" w:rsidRPr="00F6075C" w:rsidRDefault="00F6075C" w:rsidP="00F6075C">
            <w:pPr>
              <w:snapToGrid w:val="0"/>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Partially recovered (n)</w:t>
            </w:r>
          </w:p>
        </w:tc>
        <w:tc>
          <w:tcPr>
            <w:tcW w:w="1113" w:type="dxa"/>
            <w:tcBorders>
              <w:top w:val="nil"/>
              <w:left w:val="single" w:sz="8" w:space="0" w:color="auto"/>
              <w:bottom w:val="nil"/>
              <w:right w:val="single" w:sz="8" w:space="0" w:color="auto"/>
            </w:tcBorders>
            <w:shd w:val="clear" w:color="auto" w:fill="auto"/>
            <w:vAlign w:val="center"/>
          </w:tcPr>
          <w:p w14:paraId="21ED0526"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217</w:t>
            </w:r>
          </w:p>
        </w:tc>
        <w:tc>
          <w:tcPr>
            <w:tcW w:w="1114" w:type="dxa"/>
            <w:tcBorders>
              <w:top w:val="nil"/>
              <w:left w:val="single" w:sz="8" w:space="0" w:color="auto"/>
              <w:bottom w:val="nil"/>
              <w:right w:val="single" w:sz="8" w:space="0" w:color="auto"/>
            </w:tcBorders>
            <w:shd w:val="clear" w:color="auto" w:fill="auto"/>
            <w:vAlign w:val="center"/>
          </w:tcPr>
          <w:p w14:paraId="1CEB5647"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49</w:t>
            </w:r>
          </w:p>
        </w:tc>
        <w:tc>
          <w:tcPr>
            <w:tcW w:w="1114" w:type="dxa"/>
            <w:tcBorders>
              <w:top w:val="nil"/>
              <w:left w:val="single" w:sz="8" w:space="0" w:color="auto"/>
              <w:bottom w:val="nil"/>
              <w:right w:val="single" w:sz="8" w:space="0" w:color="auto"/>
            </w:tcBorders>
            <w:shd w:val="clear" w:color="auto" w:fill="auto"/>
            <w:vAlign w:val="center"/>
          </w:tcPr>
          <w:p w14:paraId="0B59A29C"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49</w:t>
            </w:r>
          </w:p>
        </w:tc>
        <w:tc>
          <w:tcPr>
            <w:tcW w:w="1113" w:type="dxa"/>
            <w:tcBorders>
              <w:top w:val="nil"/>
              <w:left w:val="single" w:sz="8" w:space="0" w:color="auto"/>
              <w:bottom w:val="nil"/>
              <w:right w:val="single" w:sz="8" w:space="0" w:color="auto"/>
            </w:tcBorders>
            <w:shd w:val="clear" w:color="auto" w:fill="auto"/>
            <w:vAlign w:val="center"/>
          </w:tcPr>
          <w:p w14:paraId="08BFF2B9"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49</w:t>
            </w:r>
          </w:p>
        </w:tc>
        <w:tc>
          <w:tcPr>
            <w:tcW w:w="1114" w:type="dxa"/>
            <w:tcBorders>
              <w:top w:val="nil"/>
              <w:left w:val="single" w:sz="8" w:space="0" w:color="auto"/>
              <w:bottom w:val="nil"/>
              <w:right w:val="single" w:sz="8" w:space="0" w:color="auto"/>
            </w:tcBorders>
            <w:shd w:val="clear" w:color="auto" w:fill="auto"/>
            <w:vAlign w:val="center"/>
          </w:tcPr>
          <w:p w14:paraId="46CF5196"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49</w:t>
            </w:r>
          </w:p>
        </w:tc>
        <w:tc>
          <w:tcPr>
            <w:tcW w:w="1114" w:type="dxa"/>
            <w:tcBorders>
              <w:top w:val="nil"/>
              <w:left w:val="single" w:sz="8" w:space="0" w:color="auto"/>
              <w:bottom w:val="nil"/>
              <w:right w:val="single" w:sz="8" w:space="0" w:color="auto"/>
            </w:tcBorders>
            <w:shd w:val="clear" w:color="auto" w:fill="auto"/>
            <w:vAlign w:val="center"/>
          </w:tcPr>
          <w:p w14:paraId="1A79D20B"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49</w:t>
            </w:r>
          </w:p>
        </w:tc>
        <w:tc>
          <w:tcPr>
            <w:tcW w:w="1114" w:type="dxa"/>
            <w:tcBorders>
              <w:top w:val="nil"/>
              <w:left w:val="single" w:sz="8" w:space="0" w:color="auto"/>
              <w:bottom w:val="nil"/>
              <w:right w:val="single" w:sz="8" w:space="0" w:color="auto"/>
            </w:tcBorders>
            <w:shd w:val="clear" w:color="auto" w:fill="auto"/>
            <w:vAlign w:val="center"/>
          </w:tcPr>
          <w:p w14:paraId="4E7BAEB6"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49</w:t>
            </w:r>
          </w:p>
        </w:tc>
      </w:tr>
      <w:tr w:rsidR="00F6075C" w:rsidRPr="00F6075C" w14:paraId="23984F95" w14:textId="77777777" w:rsidTr="004E77D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E21477B" w14:textId="77777777" w:rsidR="00F6075C" w:rsidRPr="00F6075C" w:rsidRDefault="00F6075C" w:rsidP="00F6075C">
            <w:pPr>
              <w:snapToGrid w:val="0"/>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No improvement (n)</w:t>
            </w:r>
          </w:p>
        </w:tc>
        <w:tc>
          <w:tcPr>
            <w:tcW w:w="1113" w:type="dxa"/>
            <w:tcBorders>
              <w:top w:val="nil"/>
              <w:left w:val="single" w:sz="8" w:space="0" w:color="auto"/>
              <w:bottom w:val="nil"/>
              <w:right w:val="single" w:sz="8" w:space="0" w:color="auto"/>
            </w:tcBorders>
            <w:shd w:val="clear" w:color="auto" w:fill="auto"/>
            <w:vAlign w:val="center"/>
          </w:tcPr>
          <w:p w14:paraId="4DBFF37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313</w:t>
            </w:r>
          </w:p>
        </w:tc>
        <w:tc>
          <w:tcPr>
            <w:tcW w:w="1114" w:type="dxa"/>
            <w:tcBorders>
              <w:top w:val="nil"/>
              <w:left w:val="single" w:sz="8" w:space="0" w:color="auto"/>
              <w:bottom w:val="nil"/>
              <w:right w:val="single" w:sz="8" w:space="0" w:color="auto"/>
            </w:tcBorders>
            <w:shd w:val="clear" w:color="auto" w:fill="auto"/>
            <w:vAlign w:val="center"/>
          </w:tcPr>
          <w:p w14:paraId="57EB84B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770</w:t>
            </w:r>
          </w:p>
        </w:tc>
        <w:tc>
          <w:tcPr>
            <w:tcW w:w="1114" w:type="dxa"/>
            <w:tcBorders>
              <w:top w:val="nil"/>
              <w:left w:val="single" w:sz="8" w:space="0" w:color="auto"/>
              <w:bottom w:val="nil"/>
              <w:right w:val="single" w:sz="8" w:space="0" w:color="auto"/>
            </w:tcBorders>
            <w:shd w:val="clear" w:color="auto" w:fill="auto"/>
            <w:vAlign w:val="center"/>
          </w:tcPr>
          <w:p w14:paraId="014EC5E3"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770</w:t>
            </w:r>
          </w:p>
        </w:tc>
        <w:tc>
          <w:tcPr>
            <w:tcW w:w="1113" w:type="dxa"/>
            <w:tcBorders>
              <w:top w:val="nil"/>
              <w:left w:val="single" w:sz="8" w:space="0" w:color="auto"/>
              <w:bottom w:val="nil"/>
              <w:right w:val="single" w:sz="8" w:space="0" w:color="auto"/>
            </w:tcBorders>
            <w:shd w:val="clear" w:color="auto" w:fill="auto"/>
            <w:vAlign w:val="center"/>
          </w:tcPr>
          <w:p w14:paraId="460A366F"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770</w:t>
            </w:r>
          </w:p>
        </w:tc>
        <w:tc>
          <w:tcPr>
            <w:tcW w:w="1114" w:type="dxa"/>
            <w:tcBorders>
              <w:top w:val="nil"/>
              <w:left w:val="single" w:sz="8" w:space="0" w:color="auto"/>
              <w:bottom w:val="nil"/>
              <w:right w:val="single" w:sz="8" w:space="0" w:color="auto"/>
            </w:tcBorders>
            <w:shd w:val="clear" w:color="auto" w:fill="auto"/>
            <w:vAlign w:val="center"/>
          </w:tcPr>
          <w:p w14:paraId="10D7172C"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770</w:t>
            </w:r>
          </w:p>
        </w:tc>
        <w:tc>
          <w:tcPr>
            <w:tcW w:w="1114" w:type="dxa"/>
            <w:tcBorders>
              <w:top w:val="nil"/>
              <w:left w:val="single" w:sz="8" w:space="0" w:color="auto"/>
              <w:bottom w:val="nil"/>
              <w:right w:val="single" w:sz="8" w:space="0" w:color="auto"/>
            </w:tcBorders>
            <w:shd w:val="clear" w:color="auto" w:fill="auto"/>
            <w:vAlign w:val="center"/>
          </w:tcPr>
          <w:p w14:paraId="26A09F92"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770</w:t>
            </w:r>
          </w:p>
        </w:tc>
        <w:tc>
          <w:tcPr>
            <w:tcW w:w="1114" w:type="dxa"/>
            <w:tcBorders>
              <w:top w:val="nil"/>
              <w:left w:val="single" w:sz="8" w:space="0" w:color="auto"/>
              <w:bottom w:val="nil"/>
              <w:right w:val="single" w:sz="8" w:space="0" w:color="auto"/>
            </w:tcBorders>
            <w:shd w:val="clear" w:color="auto" w:fill="auto"/>
            <w:vAlign w:val="center"/>
          </w:tcPr>
          <w:p w14:paraId="7B165A6F"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770</w:t>
            </w:r>
          </w:p>
        </w:tc>
      </w:tr>
      <w:tr w:rsidR="00F6075C" w:rsidRPr="00F6075C" w14:paraId="7171D0E2" w14:textId="77777777" w:rsidTr="004E77D0">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531D954" w14:textId="77777777" w:rsidR="00F6075C" w:rsidRPr="00F6075C" w:rsidRDefault="00F6075C" w:rsidP="00F6075C">
            <w:pPr>
              <w:snapToGrid w:val="0"/>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Deteriorated (n)</w:t>
            </w:r>
          </w:p>
        </w:tc>
        <w:tc>
          <w:tcPr>
            <w:tcW w:w="1113" w:type="dxa"/>
            <w:tcBorders>
              <w:top w:val="nil"/>
              <w:left w:val="single" w:sz="8" w:space="0" w:color="auto"/>
              <w:bottom w:val="nil"/>
              <w:right w:val="single" w:sz="8" w:space="0" w:color="auto"/>
            </w:tcBorders>
            <w:shd w:val="clear" w:color="auto" w:fill="auto"/>
            <w:vAlign w:val="center"/>
          </w:tcPr>
          <w:p w14:paraId="046B28F6"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82</w:t>
            </w:r>
          </w:p>
        </w:tc>
        <w:tc>
          <w:tcPr>
            <w:tcW w:w="1114" w:type="dxa"/>
            <w:tcBorders>
              <w:top w:val="nil"/>
              <w:left w:val="single" w:sz="8" w:space="0" w:color="auto"/>
              <w:bottom w:val="nil"/>
              <w:right w:val="single" w:sz="8" w:space="0" w:color="auto"/>
            </w:tcBorders>
            <w:shd w:val="clear" w:color="auto" w:fill="auto"/>
            <w:vAlign w:val="center"/>
          </w:tcPr>
          <w:p w14:paraId="1E0F16BF"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174</w:t>
            </w:r>
          </w:p>
        </w:tc>
        <w:tc>
          <w:tcPr>
            <w:tcW w:w="1114" w:type="dxa"/>
            <w:tcBorders>
              <w:top w:val="nil"/>
              <w:left w:val="single" w:sz="8" w:space="0" w:color="auto"/>
              <w:bottom w:val="nil"/>
              <w:right w:val="single" w:sz="8" w:space="0" w:color="auto"/>
            </w:tcBorders>
            <w:shd w:val="clear" w:color="auto" w:fill="auto"/>
            <w:vAlign w:val="center"/>
          </w:tcPr>
          <w:p w14:paraId="43E86BC3"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174</w:t>
            </w:r>
          </w:p>
        </w:tc>
        <w:tc>
          <w:tcPr>
            <w:tcW w:w="1113" w:type="dxa"/>
            <w:tcBorders>
              <w:top w:val="nil"/>
              <w:left w:val="single" w:sz="8" w:space="0" w:color="auto"/>
              <w:bottom w:val="nil"/>
              <w:right w:val="single" w:sz="8" w:space="0" w:color="auto"/>
            </w:tcBorders>
            <w:shd w:val="clear" w:color="auto" w:fill="auto"/>
            <w:vAlign w:val="center"/>
          </w:tcPr>
          <w:p w14:paraId="467AF187"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174</w:t>
            </w:r>
          </w:p>
        </w:tc>
        <w:tc>
          <w:tcPr>
            <w:tcW w:w="1114" w:type="dxa"/>
            <w:tcBorders>
              <w:top w:val="nil"/>
              <w:left w:val="single" w:sz="8" w:space="0" w:color="auto"/>
              <w:bottom w:val="nil"/>
              <w:right w:val="single" w:sz="8" w:space="0" w:color="auto"/>
            </w:tcBorders>
            <w:shd w:val="clear" w:color="auto" w:fill="auto"/>
            <w:vAlign w:val="center"/>
          </w:tcPr>
          <w:p w14:paraId="7590B223"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174</w:t>
            </w:r>
          </w:p>
        </w:tc>
        <w:tc>
          <w:tcPr>
            <w:tcW w:w="1114" w:type="dxa"/>
            <w:tcBorders>
              <w:top w:val="nil"/>
              <w:left w:val="single" w:sz="8" w:space="0" w:color="auto"/>
              <w:bottom w:val="nil"/>
              <w:right w:val="single" w:sz="8" w:space="0" w:color="auto"/>
            </w:tcBorders>
            <w:shd w:val="clear" w:color="auto" w:fill="auto"/>
            <w:vAlign w:val="center"/>
          </w:tcPr>
          <w:p w14:paraId="4B0EF0B6"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174</w:t>
            </w:r>
          </w:p>
        </w:tc>
        <w:tc>
          <w:tcPr>
            <w:tcW w:w="1114" w:type="dxa"/>
            <w:tcBorders>
              <w:top w:val="nil"/>
              <w:left w:val="single" w:sz="8" w:space="0" w:color="auto"/>
              <w:bottom w:val="nil"/>
              <w:right w:val="single" w:sz="8" w:space="0" w:color="auto"/>
            </w:tcBorders>
            <w:shd w:val="clear" w:color="auto" w:fill="auto"/>
            <w:vAlign w:val="center"/>
          </w:tcPr>
          <w:p w14:paraId="173543AC"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174</w:t>
            </w:r>
          </w:p>
        </w:tc>
      </w:tr>
      <w:tr w:rsidR="00F6075C" w:rsidRPr="00F6075C" w14:paraId="47094D3E" w14:textId="77777777" w:rsidTr="004E77D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36675F2B"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QALY</w:t>
            </w:r>
          </w:p>
        </w:tc>
        <w:tc>
          <w:tcPr>
            <w:tcW w:w="1113" w:type="dxa"/>
            <w:tcBorders>
              <w:top w:val="nil"/>
              <w:left w:val="single" w:sz="8" w:space="0" w:color="auto"/>
              <w:bottom w:val="nil"/>
              <w:right w:val="single" w:sz="8" w:space="0" w:color="auto"/>
            </w:tcBorders>
            <w:shd w:val="clear" w:color="auto" w:fill="auto"/>
            <w:vAlign w:val="center"/>
          </w:tcPr>
          <w:p w14:paraId="36BAD235"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918</w:t>
            </w:r>
          </w:p>
        </w:tc>
        <w:tc>
          <w:tcPr>
            <w:tcW w:w="1114" w:type="dxa"/>
            <w:tcBorders>
              <w:top w:val="nil"/>
              <w:left w:val="single" w:sz="8" w:space="0" w:color="auto"/>
              <w:bottom w:val="nil"/>
              <w:right w:val="single" w:sz="8" w:space="0" w:color="auto"/>
            </w:tcBorders>
            <w:shd w:val="clear" w:color="auto" w:fill="auto"/>
            <w:vAlign w:val="center"/>
          </w:tcPr>
          <w:p w14:paraId="381F1013"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871</w:t>
            </w:r>
          </w:p>
        </w:tc>
        <w:tc>
          <w:tcPr>
            <w:tcW w:w="1114" w:type="dxa"/>
            <w:tcBorders>
              <w:top w:val="nil"/>
              <w:left w:val="single" w:sz="8" w:space="0" w:color="auto"/>
              <w:bottom w:val="nil"/>
              <w:right w:val="single" w:sz="8" w:space="0" w:color="auto"/>
            </w:tcBorders>
            <w:shd w:val="clear" w:color="auto" w:fill="auto"/>
            <w:vAlign w:val="center"/>
          </w:tcPr>
          <w:p w14:paraId="1AB8740F"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871</w:t>
            </w:r>
          </w:p>
        </w:tc>
        <w:tc>
          <w:tcPr>
            <w:tcW w:w="1113" w:type="dxa"/>
            <w:tcBorders>
              <w:top w:val="nil"/>
              <w:left w:val="single" w:sz="8" w:space="0" w:color="auto"/>
              <w:bottom w:val="nil"/>
              <w:right w:val="single" w:sz="8" w:space="0" w:color="auto"/>
            </w:tcBorders>
            <w:shd w:val="clear" w:color="auto" w:fill="auto"/>
            <w:vAlign w:val="center"/>
          </w:tcPr>
          <w:p w14:paraId="31491E0B"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871</w:t>
            </w:r>
          </w:p>
        </w:tc>
        <w:tc>
          <w:tcPr>
            <w:tcW w:w="1114" w:type="dxa"/>
            <w:tcBorders>
              <w:top w:val="nil"/>
              <w:left w:val="single" w:sz="8" w:space="0" w:color="auto"/>
              <w:bottom w:val="nil"/>
              <w:right w:val="single" w:sz="8" w:space="0" w:color="auto"/>
            </w:tcBorders>
            <w:shd w:val="clear" w:color="auto" w:fill="auto"/>
            <w:vAlign w:val="center"/>
          </w:tcPr>
          <w:p w14:paraId="5D12677B"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871</w:t>
            </w:r>
          </w:p>
        </w:tc>
        <w:tc>
          <w:tcPr>
            <w:tcW w:w="1114" w:type="dxa"/>
            <w:tcBorders>
              <w:top w:val="nil"/>
              <w:left w:val="single" w:sz="8" w:space="0" w:color="auto"/>
              <w:bottom w:val="nil"/>
              <w:right w:val="single" w:sz="8" w:space="0" w:color="auto"/>
            </w:tcBorders>
            <w:shd w:val="clear" w:color="auto" w:fill="auto"/>
            <w:vAlign w:val="center"/>
          </w:tcPr>
          <w:p w14:paraId="2618D192"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871</w:t>
            </w:r>
          </w:p>
        </w:tc>
        <w:tc>
          <w:tcPr>
            <w:tcW w:w="1114" w:type="dxa"/>
            <w:tcBorders>
              <w:top w:val="nil"/>
              <w:left w:val="single" w:sz="8" w:space="0" w:color="auto"/>
              <w:bottom w:val="nil"/>
              <w:right w:val="single" w:sz="8" w:space="0" w:color="auto"/>
            </w:tcBorders>
            <w:shd w:val="clear" w:color="auto" w:fill="auto"/>
            <w:vAlign w:val="center"/>
          </w:tcPr>
          <w:p w14:paraId="212C997E"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871</w:t>
            </w:r>
          </w:p>
        </w:tc>
      </w:tr>
      <w:tr w:rsidR="00F6075C" w:rsidRPr="00F6075C" w14:paraId="7963F7F0" w14:textId="77777777" w:rsidTr="004E77D0">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4AE50E87"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Total costs excluding productivity losses</w:t>
            </w:r>
          </w:p>
        </w:tc>
        <w:tc>
          <w:tcPr>
            <w:tcW w:w="1113" w:type="dxa"/>
            <w:tcBorders>
              <w:top w:val="nil"/>
              <w:left w:val="single" w:sz="8" w:space="0" w:color="auto"/>
              <w:bottom w:val="nil"/>
              <w:right w:val="single" w:sz="8" w:space="0" w:color="auto"/>
            </w:tcBorders>
            <w:shd w:val="clear" w:color="auto" w:fill="auto"/>
            <w:vAlign w:val="center"/>
          </w:tcPr>
          <w:p w14:paraId="506B2410"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$2,251,112</w:t>
            </w:r>
          </w:p>
        </w:tc>
        <w:tc>
          <w:tcPr>
            <w:tcW w:w="1114" w:type="dxa"/>
            <w:tcBorders>
              <w:top w:val="nil"/>
              <w:left w:val="single" w:sz="8" w:space="0" w:color="auto"/>
              <w:bottom w:val="nil"/>
              <w:right w:val="single" w:sz="8" w:space="0" w:color="auto"/>
            </w:tcBorders>
            <w:shd w:val="clear" w:color="auto" w:fill="auto"/>
            <w:vAlign w:val="center"/>
          </w:tcPr>
          <w:p w14:paraId="39535D8B"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$3,213,319</w:t>
            </w:r>
          </w:p>
        </w:tc>
        <w:tc>
          <w:tcPr>
            <w:tcW w:w="1114" w:type="dxa"/>
            <w:tcBorders>
              <w:top w:val="nil"/>
              <w:left w:val="single" w:sz="8" w:space="0" w:color="auto"/>
              <w:bottom w:val="nil"/>
              <w:right w:val="single" w:sz="8" w:space="0" w:color="auto"/>
            </w:tcBorders>
            <w:shd w:val="clear" w:color="auto" w:fill="auto"/>
            <w:vAlign w:val="center"/>
          </w:tcPr>
          <w:p w14:paraId="4E386E45"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$2,073,029</w:t>
            </w:r>
          </w:p>
        </w:tc>
        <w:tc>
          <w:tcPr>
            <w:tcW w:w="1113" w:type="dxa"/>
            <w:tcBorders>
              <w:top w:val="nil"/>
              <w:left w:val="single" w:sz="8" w:space="0" w:color="auto"/>
              <w:bottom w:val="nil"/>
              <w:right w:val="single" w:sz="8" w:space="0" w:color="auto"/>
            </w:tcBorders>
            <w:shd w:val="clear" w:color="auto" w:fill="auto"/>
            <w:vAlign w:val="center"/>
          </w:tcPr>
          <w:p w14:paraId="65EB1F8F"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$737,901</w:t>
            </w:r>
          </w:p>
        </w:tc>
        <w:tc>
          <w:tcPr>
            <w:tcW w:w="1114" w:type="dxa"/>
            <w:tcBorders>
              <w:top w:val="nil"/>
              <w:left w:val="single" w:sz="8" w:space="0" w:color="auto"/>
              <w:bottom w:val="nil"/>
              <w:right w:val="single" w:sz="8" w:space="0" w:color="auto"/>
            </w:tcBorders>
            <w:shd w:val="clear" w:color="auto" w:fill="auto"/>
            <w:vAlign w:val="center"/>
          </w:tcPr>
          <w:p w14:paraId="0826B0A1"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$1,804,391</w:t>
            </w:r>
          </w:p>
        </w:tc>
        <w:tc>
          <w:tcPr>
            <w:tcW w:w="1114" w:type="dxa"/>
            <w:tcBorders>
              <w:top w:val="nil"/>
              <w:left w:val="single" w:sz="8" w:space="0" w:color="auto"/>
              <w:bottom w:val="nil"/>
              <w:right w:val="single" w:sz="8" w:space="0" w:color="auto"/>
            </w:tcBorders>
            <w:shd w:val="clear" w:color="auto" w:fill="auto"/>
            <w:vAlign w:val="center"/>
          </w:tcPr>
          <w:p w14:paraId="4F52D7BF"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$5,658,756</w:t>
            </w:r>
          </w:p>
        </w:tc>
        <w:tc>
          <w:tcPr>
            <w:tcW w:w="1114" w:type="dxa"/>
            <w:tcBorders>
              <w:top w:val="nil"/>
              <w:left w:val="single" w:sz="8" w:space="0" w:color="auto"/>
              <w:bottom w:val="nil"/>
              <w:right w:val="single" w:sz="8" w:space="0" w:color="auto"/>
            </w:tcBorders>
            <w:shd w:val="clear" w:color="auto" w:fill="auto"/>
            <w:vAlign w:val="center"/>
          </w:tcPr>
          <w:p w14:paraId="382B8A43"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$3,034,596</w:t>
            </w:r>
          </w:p>
        </w:tc>
      </w:tr>
      <w:tr w:rsidR="00F6075C" w:rsidRPr="00F6075C" w14:paraId="0DBE4E69" w14:textId="77777777" w:rsidTr="004E77D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B2BBCF5"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Costs per QALY </w:t>
            </w:r>
          </w:p>
          <w:p w14:paraId="27FCC5C4"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gained</w:t>
            </w:r>
          </w:p>
        </w:tc>
        <w:tc>
          <w:tcPr>
            <w:tcW w:w="1113" w:type="dxa"/>
            <w:tcBorders>
              <w:top w:val="nil"/>
              <w:left w:val="single" w:sz="8" w:space="0" w:color="auto"/>
              <w:bottom w:val="nil"/>
              <w:right w:val="single" w:sz="8" w:space="0" w:color="auto"/>
            </w:tcBorders>
            <w:shd w:val="clear" w:color="auto" w:fill="auto"/>
            <w:vAlign w:val="center"/>
          </w:tcPr>
          <w:p w14:paraId="273BC3FA"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w:t>
            </w:r>
          </w:p>
        </w:tc>
        <w:tc>
          <w:tcPr>
            <w:tcW w:w="1114" w:type="dxa"/>
            <w:tcBorders>
              <w:top w:val="nil"/>
              <w:left w:val="single" w:sz="8" w:space="0" w:color="auto"/>
              <w:bottom w:val="nil"/>
              <w:right w:val="single" w:sz="8" w:space="0" w:color="auto"/>
            </w:tcBorders>
            <w:shd w:val="clear" w:color="auto" w:fill="auto"/>
            <w:vAlign w:val="center"/>
          </w:tcPr>
          <w:p w14:paraId="3ADA0425"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58DDCD5E"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$3,834</w:t>
            </w:r>
          </w:p>
        </w:tc>
        <w:tc>
          <w:tcPr>
            <w:tcW w:w="1113" w:type="dxa"/>
            <w:tcBorders>
              <w:top w:val="nil"/>
              <w:left w:val="single" w:sz="8" w:space="0" w:color="auto"/>
              <w:bottom w:val="nil"/>
              <w:right w:val="single" w:sz="8" w:space="0" w:color="auto"/>
            </w:tcBorders>
            <w:shd w:val="clear" w:color="auto" w:fill="auto"/>
            <w:vAlign w:val="center"/>
          </w:tcPr>
          <w:p w14:paraId="501C656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$32,582</w:t>
            </w:r>
          </w:p>
        </w:tc>
        <w:tc>
          <w:tcPr>
            <w:tcW w:w="1114" w:type="dxa"/>
            <w:tcBorders>
              <w:top w:val="nil"/>
              <w:left w:val="single" w:sz="8" w:space="0" w:color="auto"/>
              <w:bottom w:val="nil"/>
              <w:right w:val="single" w:sz="8" w:space="0" w:color="auto"/>
            </w:tcBorders>
            <w:shd w:val="clear" w:color="auto" w:fill="auto"/>
            <w:vAlign w:val="center"/>
          </w:tcPr>
          <w:p w14:paraId="6C6A89CA"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$9,619</w:t>
            </w:r>
          </w:p>
        </w:tc>
        <w:tc>
          <w:tcPr>
            <w:tcW w:w="1114" w:type="dxa"/>
            <w:tcBorders>
              <w:top w:val="nil"/>
              <w:left w:val="single" w:sz="8" w:space="0" w:color="auto"/>
              <w:bottom w:val="nil"/>
              <w:right w:val="single" w:sz="8" w:space="0" w:color="auto"/>
            </w:tcBorders>
            <w:shd w:val="clear" w:color="auto" w:fill="auto"/>
            <w:vAlign w:val="center"/>
          </w:tcPr>
          <w:p w14:paraId="4E34E9C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5EF8E6E2"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r>
      <w:tr w:rsidR="00F6075C" w:rsidRPr="00F6075C" w14:paraId="54204D5E" w14:textId="77777777" w:rsidTr="004E77D0">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58D2D19C"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Total costs including productivity losses     </w:t>
            </w:r>
          </w:p>
        </w:tc>
        <w:tc>
          <w:tcPr>
            <w:tcW w:w="1113" w:type="dxa"/>
            <w:tcBorders>
              <w:top w:val="nil"/>
              <w:left w:val="single" w:sz="8" w:space="0" w:color="auto"/>
              <w:bottom w:val="nil"/>
              <w:right w:val="single" w:sz="8" w:space="0" w:color="auto"/>
            </w:tcBorders>
            <w:shd w:val="clear" w:color="auto" w:fill="auto"/>
            <w:vAlign w:val="center"/>
          </w:tcPr>
          <w:p w14:paraId="2AC021BE"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$2,911,539</w:t>
            </w:r>
          </w:p>
        </w:tc>
        <w:tc>
          <w:tcPr>
            <w:tcW w:w="1114" w:type="dxa"/>
            <w:tcBorders>
              <w:top w:val="nil"/>
              <w:left w:val="single" w:sz="8" w:space="0" w:color="auto"/>
              <w:bottom w:val="nil"/>
              <w:right w:val="single" w:sz="8" w:space="0" w:color="auto"/>
            </w:tcBorders>
            <w:shd w:val="clear" w:color="auto" w:fill="auto"/>
            <w:vAlign w:val="center"/>
          </w:tcPr>
          <w:p w14:paraId="27DB4839"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$12,707,975</w:t>
            </w:r>
          </w:p>
        </w:tc>
        <w:tc>
          <w:tcPr>
            <w:tcW w:w="1114" w:type="dxa"/>
            <w:tcBorders>
              <w:top w:val="nil"/>
              <w:left w:val="single" w:sz="8" w:space="0" w:color="auto"/>
              <w:bottom w:val="nil"/>
              <w:right w:val="single" w:sz="8" w:space="0" w:color="auto"/>
            </w:tcBorders>
            <w:shd w:val="clear" w:color="auto" w:fill="auto"/>
            <w:vAlign w:val="center"/>
          </w:tcPr>
          <w:p w14:paraId="226E7026"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$20,220,694</w:t>
            </w:r>
          </w:p>
        </w:tc>
        <w:tc>
          <w:tcPr>
            <w:tcW w:w="1113" w:type="dxa"/>
            <w:tcBorders>
              <w:top w:val="nil"/>
              <w:left w:val="single" w:sz="8" w:space="0" w:color="auto"/>
              <w:bottom w:val="nil"/>
              <w:right w:val="single" w:sz="8" w:space="0" w:color="auto"/>
            </w:tcBorders>
            <w:shd w:val="clear" w:color="auto" w:fill="auto"/>
            <w:vAlign w:val="center"/>
          </w:tcPr>
          <w:p w14:paraId="01D1398D"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$5,475,434</w:t>
            </w:r>
          </w:p>
        </w:tc>
        <w:tc>
          <w:tcPr>
            <w:tcW w:w="1114" w:type="dxa"/>
            <w:tcBorders>
              <w:top w:val="nil"/>
              <w:left w:val="single" w:sz="8" w:space="0" w:color="auto"/>
              <w:bottom w:val="nil"/>
              <w:right w:val="single" w:sz="8" w:space="0" w:color="auto"/>
            </w:tcBorders>
            <w:shd w:val="clear" w:color="auto" w:fill="auto"/>
            <w:vAlign w:val="center"/>
          </w:tcPr>
          <w:p w14:paraId="52997E3C"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$19,964,744</w:t>
            </w:r>
          </w:p>
        </w:tc>
        <w:tc>
          <w:tcPr>
            <w:tcW w:w="1114" w:type="dxa"/>
            <w:tcBorders>
              <w:top w:val="nil"/>
              <w:left w:val="single" w:sz="8" w:space="0" w:color="auto"/>
              <w:bottom w:val="nil"/>
              <w:right w:val="single" w:sz="8" w:space="0" w:color="auto"/>
            </w:tcBorders>
            <w:shd w:val="clear" w:color="auto" w:fill="auto"/>
            <w:vAlign w:val="center"/>
          </w:tcPr>
          <w:p w14:paraId="658C9D7D"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$19,855,211</w:t>
            </w:r>
          </w:p>
        </w:tc>
        <w:tc>
          <w:tcPr>
            <w:tcW w:w="1114" w:type="dxa"/>
            <w:tcBorders>
              <w:top w:val="nil"/>
              <w:left w:val="single" w:sz="8" w:space="0" w:color="auto"/>
              <w:bottom w:val="nil"/>
              <w:right w:val="single" w:sz="8" w:space="0" w:color="auto"/>
            </w:tcBorders>
            <w:shd w:val="clear" w:color="auto" w:fill="auto"/>
            <w:vAlign w:val="center"/>
          </w:tcPr>
          <w:p w14:paraId="5E829F26"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$19,290,255</w:t>
            </w:r>
          </w:p>
        </w:tc>
      </w:tr>
      <w:tr w:rsidR="00F6075C" w:rsidRPr="00F6075C" w14:paraId="19BCF9A6" w14:textId="77777777" w:rsidTr="004E77D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764503CF"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Costs per QALY    </w:t>
            </w:r>
          </w:p>
          <w:p w14:paraId="50B01548"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gained</w:t>
            </w:r>
          </w:p>
        </w:tc>
        <w:tc>
          <w:tcPr>
            <w:tcW w:w="1113" w:type="dxa"/>
            <w:tcBorders>
              <w:top w:val="nil"/>
              <w:left w:val="single" w:sz="8" w:space="0" w:color="auto"/>
              <w:bottom w:val="nil"/>
              <w:right w:val="single" w:sz="8" w:space="0" w:color="auto"/>
            </w:tcBorders>
            <w:shd w:val="clear" w:color="auto" w:fill="auto"/>
            <w:vAlign w:val="center"/>
          </w:tcPr>
          <w:p w14:paraId="0E2D5961"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w:t>
            </w:r>
          </w:p>
        </w:tc>
        <w:tc>
          <w:tcPr>
            <w:tcW w:w="1114" w:type="dxa"/>
            <w:tcBorders>
              <w:top w:val="nil"/>
              <w:left w:val="single" w:sz="8" w:space="0" w:color="auto"/>
              <w:bottom w:val="nil"/>
              <w:right w:val="single" w:sz="8" w:space="0" w:color="auto"/>
            </w:tcBorders>
            <w:shd w:val="clear" w:color="auto" w:fill="auto"/>
            <w:vAlign w:val="center"/>
          </w:tcPr>
          <w:p w14:paraId="7CCA9921"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03617E5A"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3" w:type="dxa"/>
            <w:tcBorders>
              <w:top w:val="nil"/>
              <w:left w:val="single" w:sz="8" w:space="0" w:color="auto"/>
              <w:bottom w:val="nil"/>
              <w:right w:val="single" w:sz="8" w:space="0" w:color="auto"/>
            </w:tcBorders>
            <w:shd w:val="clear" w:color="auto" w:fill="auto"/>
            <w:vAlign w:val="center"/>
          </w:tcPr>
          <w:p w14:paraId="4E3903CF"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7C53F01E"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3B2F9986"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2C216F71"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r>
      <w:tr w:rsidR="00F6075C" w:rsidRPr="00F6075C" w14:paraId="39128A05" w14:textId="77777777" w:rsidTr="004E77D0">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1C2269B" w14:textId="77777777" w:rsidR="00F6075C" w:rsidRPr="00F6075C" w:rsidRDefault="00F6075C" w:rsidP="00F6075C">
            <w:pPr>
              <w:snapToGrid w:val="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104FBEDC"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5E59BA64"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33506F36"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2FC73F23"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09CDF75D"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3D974F80"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70D1BB7C"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r>
      <w:tr w:rsidR="00F6075C" w:rsidRPr="00F6075C" w14:paraId="728B6888" w14:textId="77777777" w:rsidTr="004E77D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1745B2F7" w14:textId="77777777" w:rsidR="00F6075C" w:rsidRPr="00F6075C" w:rsidRDefault="00F6075C" w:rsidP="00F6075C">
            <w:pPr>
              <w:snapToGrid w:val="0"/>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Therapist-supported </w:t>
            </w:r>
            <w:proofErr w:type="spellStart"/>
            <w:r w:rsidRPr="00F6075C">
              <w:rPr>
                <w:rFonts w:ascii="Calibri" w:hAnsi="Calibri" w:cs="Calibri"/>
                <w:color w:val="000000"/>
                <w:sz w:val="16"/>
                <w:szCs w:val="16"/>
                <w:lang w:eastAsia="en-AU"/>
              </w:rPr>
              <w:t>treatment</w:t>
            </w:r>
            <w:r w:rsidRPr="00F6075C">
              <w:rPr>
                <w:rFonts w:asciiTheme="minorHAnsi" w:hAnsiTheme="minorHAnsi" w:cstheme="minorHAnsi"/>
                <w:sz w:val="16"/>
                <w:szCs w:val="16"/>
                <w:vertAlign w:val="superscript"/>
                <w:lang w:eastAsia="en-US"/>
              </w:rPr>
              <w:t>b</w:t>
            </w:r>
            <w:proofErr w:type="spellEnd"/>
          </w:p>
        </w:tc>
        <w:tc>
          <w:tcPr>
            <w:tcW w:w="1113" w:type="dxa"/>
            <w:tcBorders>
              <w:top w:val="nil"/>
              <w:left w:val="single" w:sz="8" w:space="0" w:color="auto"/>
              <w:bottom w:val="nil"/>
              <w:right w:val="single" w:sz="8" w:space="0" w:color="auto"/>
            </w:tcBorders>
            <w:shd w:val="clear" w:color="auto" w:fill="auto"/>
            <w:vAlign w:val="center"/>
          </w:tcPr>
          <w:p w14:paraId="67EF7CB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698FF076"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5208CE5C"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36E1840D"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0493BE65"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32FBC9BC"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00770F1C"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r>
      <w:tr w:rsidR="00F6075C" w:rsidRPr="00F6075C" w14:paraId="7580B347" w14:textId="77777777" w:rsidTr="004E77D0">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69360E8F" w14:textId="77777777" w:rsidR="00F6075C" w:rsidRPr="00F6075C" w:rsidRDefault="00F6075C" w:rsidP="00F6075C">
            <w:pPr>
              <w:snapToGrid w:val="0"/>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Input population (n)</w:t>
            </w:r>
          </w:p>
        </w:tc>
        <w:tc>
          <w:tcPr>
            <w:tcW w:w="1113" w:type="dxa"/>
            <w:tcBorders>
              <w:top w:val="nil"/>
              <w:left w:val="single" w:sz="8" w:space="0" w:color="auto"/>
              <w:bottom w:val="nil"/>
              <w:right w:val="single" w:sz="8" w:space="0" w:color="auto"/>
            </w:tcBorders>
            <w:shd w:val="clear" w:color="auto" w:fill="auto"/>
            <w:vAlign w:val="center"/>
          </w:tcPr>
          <w:p w14:paraId="59D97191"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5,198</w:t>
            </w:r>
          </w:p>
        </w:tc>
        <w:tc>
          <w:tcPr>
            <w:tcW w:w="1114" w:type="dxa"/>
            <w:tcBorders>
              <w:top w:val="nil"/>
              <w:left w:val="single" w:sz="8" w:space="0" w:color="auto"/>
              <w:bottom w:val="nil"/>
              <w:right w:val="single" w:sz="8" w:space="0" w:color="auto"/>
            </w:tcBorders>
            <w:shd w:val="clear" w:color="auto" w:fill="auto"/>
            <w:vAlign w:val="center"/>
          </w:tcPr>
          <w:p w14:paraId="05E6BDEB"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5,198</w:t>
            </w:r>
          </w:p>
        </w:tc>
        <w:tc>
          <w:tcPr>
            <w:tcW w:w="1114" w:type="dxa"/>
            <w:tcBorders>
              <w:top w:val="nil"/>
              <w:left w:val="single" w:sz="8" w:space="0" w:color="auto"/>
              <w:bottom w:val="nil"/>
              <w:right w:val="single" w:sz="8" w:space="0" w:color="auto"/>
            </w:tcBorders>
            <w:shd w:val="clear" w:color="auto" w:fill="auto"/>
            <w:vAlign w:val="center"/>
          </w:tcPr>
          <w:p w14:paraId="0010859D"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5,198</w:t>
            </w:r>
          </w:p>
        </w:tc>
        <w:tc>
          <w:tcPr>
            <w:tcW w:w="1113" w:type="dxa"/>
            <w:tcBorders>
              <w:top w:val="nil"/>
              <w:left w:val="single" w:sz="8" w:space="0" w:color="auto"/>
              <w:bottom w:val="nil"/>
              <w:right w:val="single" w:sz="8" w:space="0" w:color="auto"/>
            </w:tcBorders>
            <w:shd w:val="clear" w:color="auto" w:fill="auto"/>
            <w:vAlign w:val="center"/>
          </w:tcPr>
          <w:p w14:paraId="14E29614"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5,198</w:t>
            </w:r>
          </w:p>
        </w:tc>
        <w:tc>
          <w:tcPr>
            <w:tcW w:w="1114" w:type="dxa"/>
            <w:tcBorders>
              <w:top w:val="nil"/>
              <w:left w:val="single" w:sz="8" w:space="0" w:color="auto"/>
              <w:bottom w:val="nil"/>
              <w:right w:val="single" w:sz="8" w:space="0" w:color="auto"/>
            </w:tcBorders>
            <w:shd w:val="clear" w:color="auto" w:fill="auto"/>
            <w:vAlign w:val="center"/>
          </w:tcPr>
          <w:p w14:paraId="53A44007"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5,198</w:t>
            </w:r>
          </w:p>
        </w:tc>
        <w:tc>
          <w:tcPr>
            <w:tcW w:w="1114" w:type="dxa"/>
            <w:tcBorders>
              <w:top w:val="nil"/>
              <w:left w:val="single" w:sz="8" w:space="0" w:color="auto"/>
              <w:bottom w:val="nil"/>
              <w:right w:val="single" w:sz="8" w:space="0" w:color="auto"/>
            </w:tcBorders>
            <w:shd w:val="clear" w:color="auto" w:fill="auto"/>
            <w:vAlign w:val="center"/>
          </w:tcPr>
          <w:p w14:paraId="5F392DF8"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5,198</w:t>
            </w:r>
          </w:p>
        </w:tc>
        <w:tc>
          <w:tcPr>
            <w:tcW w:w="1114" w:type="dxa"/>
            <w:tcBorders>
              <w:top w:val="nil"/>
              <w:left w:val="single" w:sz="8" w:space="0" w:color="auto"/>
              <w:bottom w:val="nil"/>
              <w:right w:val="single" w:sz="8" w:space="0" w:color="auto"/>
            </w:tcBorders>
            <w:shd w:val="clear" w:color="auto" w:fill="auto"/>
            <w:vAlign w:val="center"/>
          </w:tcPr>
          <w:p w14:paraId="2FA55A29"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5,198</w:t>
            </w:r>
          </w:p>
        </w:tc>
      </w:tr>
      <w:tr w:rsidR="00F6075C" w:rsidRPr="00F6075C" w14:paraId="3B2968A3" w14:textId="77777777" w:rsidTr="004E77D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656AA992" w14:textId="77777777" w:rsidR="00F6075C" w:rsidRPr="00F6075C" w:rsidRDefault="00F6075C" w:rsidP="00F6075C">
            <w:pPr>
              <w:snapToGrid w:val="0"/>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Fully recovered (n)</w:t>
            </w:r>
          </w:p>
        </w:tc>
        <w:tc>
          <w:tcPr>
            <w:tcW w:w="1113" w:type="dxa"/>
            <w:tcBorders>
              <w:top w:val="nil"/>
              <w:left w:val="single" w:sz="8" w:space="0" w:color="auto"/>
              <w:bottom w:val="nil"/>
              <w:right w:val="single" w:sz="8" w:space="0" w:color="auto"/>
            </w:tcBorders>
            <w:shd w:val="clear" w:color="auto" w:fill="auto"/>
            <w:vAlign w:val="center"/>
          </w:tcPr>
          <w:p w14:paraId="47F82CC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2,355</w:t>
            </w:r>
          </w:p>
        </w:tc>
        <w:tc>
          <w:tcPr>
            <w:tcW w:w="1114" w:type="dxa"/>
            <w:tcBorders>
              <w:top w:val="nil"/>
              <w:left w:val="single" w:sz="8" w:space="0" w:color="auto"/>
              <w:bottom w:val="nil"/>
              <w:right w:val="single" w:sz="8" w:space="0" w:color="auto"/>
            </w:tcBorders>
            <w:shd w:val="clear" w:color="auto" w:fill="auto"/>
            <w:vAlign w:val="center"/>
          </w:tcPr>
          <w:p w14:paraId="16DA362B"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577</w:t>
            </w:r>
          </w:p>
        </w:tc>
        <w:tc>
          <w:tcPr>
            <w:tcW w:w="1114" w:type="dxa"/>
            <w:tcBorders>
              <w:top w:val="nil"/>
              <w:left w:val="single" w:sz="8" w:space="0" w:color="auto"/>
              <w:bottom w:val="nil"/>
              <w:right w:val="single" w:sz="8" w:space="0" w:color="auto"/>
            </w:tcBorders>
            <w:shd w:val="clear" w:color="auto" w:fill="auto"/>
            <w:vAlign w:val="center"/>
          </w:tcPr>
          <w:p w14:paraId="4C5CD6BA"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577</w:t>
            </w:r>
          </w:p>
        </w:tc>
        <w:tc>
          <w:tcPr>
            <w:tcW w:w="1113" w:type="dxa"/>
            <w:tcBorders>
              <w:top w:val="nil"/>
              <w:left w:val="single" w:sz="8" w:space="0" w:color="auto"/>
              <w:bottom w:val="nil"/>
              <w:right w:val="single" w:sz="8" w:space="0" w:color="auto"/>
            </w:tcBorders>
            <w:shd w:val="clear" w:color="auto" w:fill="auto"/>
            <w:vAlign w:val="center"/>
          </w:tcPr>
          <w:p w14:paraId="20A685DF"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577</w:t>
            </w:r>
          </w:p>
        </w:tc>
        <w:tc>
          <w:tcPr>
            <w:tcW w:w="1114" w:type="dxa"/>
            <w:tcBorders>
              <w:top w:val="nil"/>
              <w:left w:val="single" w:sz="8" w:space="0" w:color="auto"/>
              <w:bottom w:val="nil"/>
              <w:right w:val="single" w:sz="8" w:space="0" w:color="auto"/>
            </w:tcBorders>
            <w:shd w:val="clear" w:color="auto" w:fill="auto"/>
            <w:vAlign w:val="center"/>
          </w:tcPr>
          <w:p w14:paraId="2F6A8FDC"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577</w:t>
            </w:r>
          </w:p>
        </w:tc>
        <w:tc>
          <w:tcPr>
            <w:tcW w:w="1114" w:type="dxa"/>
            <w:tcBorders>
              <w:top w:val="nil"/>
              <w:left w:val="single" w:sz="8" w:space="0" w:color="auto"/>
              <w:bottom w:val="nil"/>
              <w:right w:val="single" w:sz="8" w:space="0" w:color="auto"/>
            </w:tcBorders>
            <w:shd w:val="clear" w:color="auto" w:fill="auto"/>
            <w:vAlign w:val="center"/>
          </w:tcPr>
          <w:p w14:paraId="261DA837"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577</w:t>
            </w:r>
          </w:p>
        </w:tc>
        <w:tc>
          <w:tcPr>
            <w:tcW w:w="1114" w:type="dxa"/>
            <w:tcBorders>
              <w:top w:val="nil"/>
              <w:left w:val="single" w:sz="8" w:space="0" w:color="auto"/>
              <w:bottom w:val="nil"/>
              <w:right w:val="single" w:sz="8" w:space="0" w:color="auto"/>
            </w:tcBorders>
            <w:shd w:val="clear" w:color="auto" w:fill="auto"/>
            <w:vAlign w:val="center"/>
          </w:tcPr>
          <w:p w14:paraId="5ACB0FC9"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577</w:t>
            </w:r>
          </w:p>
        </w:tc>
      </w:tr>
      <w:tr w:rsidR="00F6075C" w:rsidRPr="00F6075C" w14:paraId="58D0280D" w14:textId="77777777" w:rsidTr="004E77D0">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3EA00E28" w14:textId="77777777" w:rsidR="00F6075C" w:rsidRPr="00F6075C" w:rsidRDefault="00F6075C" w:rsidP="00F6075C">
            <w:pPr>
              <w:snapToGrid w:val="0"/>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Partially recovered (n)</w:t>
            </w:r>
          </w:p>
        </w:tc>
        <w:tc>
          <w:tcPr>
            <w:tcW w:w="1113" w:type="dxa"/>
            <w:tcBorders>
              <w:top w:val="nil"/>
              <w:left w:val="single" w:sz="8" w:space="0" w:color="auto"/>
              <w:bottom w:val="nil"/>
              <w:right w:val="single" w:sz="8" w:space="0" w:color="auto"/>
            </w:tcBorders>
            <w:shd w:val="clear" w:color="auto" w:fill="auto"/>
            <w:vAlign w:val="center"/>
          </w:tcPr>
          <w:p w14:paraId="1D4BDF50"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1,008</w:t>
            </w:r>
          </w:p>
        </w:tc>
        <w:tc>
          <w:tcPr>
            <w:tcW w:w="1114" w:type="dxa"/>
            <w:tcBorders>
              <w:top w:val="nil"/>
              <w:left w:val="single" w:sz="8" w:space="0" w:color="auto"/>
              <w:bottom w:val="nil"/>
              <w:right w:val="single" w:sz="8" w:space="0" w:color="auto"/>
            </w:tcBorders>
            <w:shd w:val="clear" w:color="auto" w:fill="auto"/>
            <w:vAlign w:val="center"/>
          </w:tcPr>
          <w:p w14:paraId="02C2BE2F"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229</w:t>
            </w:r>
          </w:p>
        </w:tc>
        <w:tc>
          <w:tcPr>
            <w:tcW w:w="1114" w:type="dxa"/>
            <w:tcBorders>
              <w:top w:val="nil"/>
              <w:left w:val="single" w:sz="8" w:space="0" w:color="auto"/>
              <w:bottom w:val="nil"/>
              <w:right w:val="single" w:sz="8" w:space="0" w:color="auto"/>
            </w:tcBorders>
            <w:shd w:val="clear" w:color="auto" w:fill="auto"/>
            <w:vAlign w:val="center"/>
          </w:tcPr>
          <w:p w14:paraId="0406B472"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229</w:t>
            </w:r>
          </w:p>
        </w:tc>
        <w:tc>
          <w:tcPr>
            <w:tcW w:w="1113" w:type="dxa"/>
            <w:tcBorders>
              <w:top w:val="nil"/>
              <w:left w:val="single" w:sz="8" w:space="0" w:color="auto"/>
              <w:bottom w:val="nil"/>
              <w:right w:val="single" w:sz="8" w:space="0" w:color="auto"/>
            </w:tcBorders>
            <w:shd w:val="clear" w:color="auto" w:fill="auto"/>
            <w:vAlign w:val="center"/>
          </w:tcPr>
          <w:p w14:paraId="104522B5"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229</w:t>
            </w:r>
          </w:p>
        </w:tc>
        <w:tc>
          <w:tcPr>
            <w:tcW w:w="1114" w:type="dxa"/>
            <w:tcBorders>
              <w:top w:val="nil"/>
              <w:left w:val="single" w:sz="8" w:space="0" w:color="auto"/>
              <w:bottom w:val="nil"/>
              <w:right w:val="single" w:sz="8" w:space="0" w:color="auto"/>
            </w:tcBorders>
            <w:shd w:val="clear" w:color="auto" w:fill="auto"/>
            <w:vAlign w:val="center"/>
          </w:tcPr>
          <w:p w14:paraId="47512115"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229</w:t>
            </w:r>
          </w:p>
        </w:tc>
        <w:tc>
          <w:tcPr>
            <w:tcW w:w="1114" w:type="dxa"/>
            <w:tcBorders>
              <w:top w:val="nil"/>
              <w:left w:val="single" w:sz="8" w:space="0" w:color="auto"/>
              <w:bottom w:val="nil"/>
              <w:right w:val="single" w:sz="8" w:space="0" w:color="auto"/>
            </w:tcBorders>
            <w:shd w:val="clear" w:color="auto" w:fill="auto"/>
            <w:vAlign w:val="center"/>
          </w:tcPr>
          <w:p w14:paraId="0E6EFB16"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229</w:t>
            </w:r>
          </w:p>
        </w:tc>
        <w:tc>
          <w:tcPr>
            <w:tcW w:w="1114" w:type="dxa"/>
            <w:tcBorders>
              <w:top w:val="nil"/>
              <w:left w:val="single" w:sz="8" w:space="0" w:color="auto"/>
              <w:bottom w:val="nil"/>
              <w:right w:val="single" w:sz="8" w:space="0" w:color="auto"/>
            </w:tcBorders>
            <w:shd w:val="clear" w:color="auto" w:fill="auto"/>
            <w:vAlign w:val="center"/>
          </w:tcPr>
          <w:p w14:paraId="52A32BB2"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229</w:t>
            </w:r>
          </w:p>
        </w:tc>
      </w:tr>
      <w:tr w:rsidR="00F6075C" w:rsidRPr="00F6075C" w14:paraId="5B8164D4" w14:textId="77777777" w:rsidTr="004E77D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449D5323" w14:textId="77777777" w:rsidR="00F6075C" w:rsidRPr="00F6075C" w:rsidRDefault="00F6075C" w:rsidP="00F6075C">
            <w:pPr>
              <w:snapToGrid w:val="0"/>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No improvement (n)</w:t>
            </w:r>
          </w:p>
        </w:tc>
        <w:tc>
          <w:tcPr>
            <w:tcW w:w="1113" w:type="dxa"/>
            <w:tcBorders>
              <w:top w:val="nil"/>
              <w:left w:val="single" w:sz="8" w:space="0" w:color="auto"/>
              <w:bottom w:val="nil"/>
              <w:right w:val="single" w:sz="8" w:space="0" w:color="auto"/>
            </w:tcBorders>
            <w:shd w:val="clear" w:color="auto" w:fill="auto"/>
            <w:vAlign w:val="center"/>
          </w:tcPr>
          <w:p w14:paraId="628B4C71"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1,455</w:t>
            </w:r>
          </w:p>
        </w:tc>
        <w:tc>
          <w:tcPr>
            <w:tcW w:w="1114" w:type="dxa"/>
            <w:tcBorders>
              <w:top w:val="nil"/>
              <w:left w:val="single" w:sz="8" w:space="0" w:color="auto"/>
              <w:bottom w:val="nil"/>
              <w:right w:val="single" w:sz="8" w:space="0" w:color="auto"/>
            </w:tcBorders>
            <w:shd w:val="clear" w:color="auto" w:fill="auto"/>
            <w:vAlign w:val="center"/>
          </w:tcPr>
          <w:p w14:paraId="1500660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3,581</w:t>
            </w:r>
          </w:p>
        </w:tc>
        <w:tc>
          <w:tcPr>
            <w:tcW w:w="1114" w:type="dxa"/>
            <w:tcBorders>
              <w:top w:val="nil"/>
              <w:left w:val="single" w:sz="8" w:space="0" w:color="auto"/>
              <w:bottom w:val="nil"/>
              <w:right w:val="single" w:sz="8" w:space="0" w:color="auto"/>
            </w:tcBorders>
            <w:shd w:val="clear" w:color="auto" w:fill="auto"/>
            <w:vAlign w:val="center"/>
          </w:tcPr>
          <w:p w14:paraId="4B566E8F"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3,581</w:t>
            </w:r>
          </w:p>
        </w:tc>
        <w:tc>
          <w:tcPr>
            <w:tcW w:w="1113" w:type="dxa"/>
            <w:tcBorders>
              <w:top w:val="nil"/>
              <w:left w:val="single" w:sz="8" w:space="0" w:color="auto"/>
              <w:bottom w:val="nil"/>
              <w:right w:val="single" w:sz="8" w:space="0" w:color="auto"/>
            </w:tcBorders>
            <w:shd w:val="clear" w:color="auto" w:fill="auto"/>
            <w:vAlign w:val="center"/>
          </w:tcPr>
          <w:p w14:paraId="4DDC4C40"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3,581</w:t>
            </w:r>
          </w:p>
        </w:tc>
        <w:tc>
          <w:tcPr>
            <w:tcW w:w="1114" w:type="dxa"/>
            <w:tcBorders>
              <w:top w:val="nil"/>
              <w:left w:val="single" w:sz="8" w:space="0" w:color="auto"/>
              <w:bottom w:val="nil"/>
              <w:right w:val="single" w:sz="8" w:space="0" w:color="auto"/>
            </w:tcBorders>
            <w:shd w:val="clear" w:color="auto" w:fill="auto"/>
            <w:vAlign w:val="center"/>
          </w:tcPr>
          <w:p w14:paraId="17660719"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3,581</w:t>
            </w:r>
          </w:p>
        </w:tc>
        <w:tc>
          <w:tcPr>
            <w:tcW w:w="1114" w:type="dxa"/>
            <w:tcBorders>
              <w:top w:val="nil"/>
              <w:left w:val="single" w:sz="8" w:space="0" w:color="auto"/>
              <w:bottom w:val="nil"/>
              <w:right w:val="single" w:sz="8" w:space="0" w:color="auto"/>
            </w:tcBorders>
            <w:shd w:val="clear" w:color="auto" w:fill="auto"/>
            <w:vAlign w:val="center"/>
          </w:tcPr>
          <w:p w14:paraId="402B0760"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3,581</w:t>
            </w:r>
          </w:p>
        </w:tc>
        <w:tc>
          <w:tcPr>
            <w:tcW w:w="1114" w:type="dxa"/>
            <w:tcBorders>
              <w:top w:val="nil"/>
              <w:left w:val="single" w:sz="8" w:space="0" w:color="auto"/>
              <w:bottom w:val="nil"/>
              <w:right w:val="single" w:sz="8" w:space="0" w:color="auto"/>
            </w:tcBorders>
            <w:shd w:val="clear" w:color="auto" w:fill="auto"/>
            <w:vAlign w:val="center"/>
          </w:tcPr>
          <w:p w14:paraId="4DC6B7AE"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3,581</w:t>
            </w:r>
          </w:p>
        </w:tc>
      </w:tr>
      <w:tr w:rsidR="00F6075C" w:rsidRPr="00F6075C" w14:paraId="7009363B" w14:textId="77777777" w:rsidTr="004E77D0">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E05F1F5" w14:textId="77777777" w:rsidR="00F6075C" w:rsidRPr="00F6075C" w:rsidRDefault="00F6075C" w:rsidP="00F6075C">
            <w:pPr>
              <w:snapToGrid w:val="0"/>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Deteriorated (n)</w:t>
            </w:r>
          </w:p>
        </w:tc>
        <w:tc>
          <w:tcPr>
            <w:tcW w:w="1113" w:type="dxa"/>
            <w:tcBorders>
              <w:top w:val="nil"/>
              <w:left w:val="single" w:sz="8" w:space="0" w:color="auto"/>
              <w:bottom w:val="nil"/>
              <w:right w:val="single" w:sz="8" w:space="0" w:color="auto"/>
            </w:tcBorders>
            <w:shd w:val="clear" w:color="auto" w:fill="auto"/>
            <w:vAlign w:val="center"/>
          </w:tcPr>
          <w:p w14:paraId="15200EC9"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379</w:t>
            </w:r>
          </w:p>
        </w:tc>
        <w:tc>
          <w:tcPr>
            <w:tcW w:w="1114" w:type="dxa"/>
            <w:tcBorders>
              <w:top w:val="nil"/>
              <w:left w:val="single" w:sz="8" w:space="0" w:color="auto"/>
              <w:bottom w:val="nil"/>
              <w:right w:val="single" w:sz="8" w:space="0" w:color="auto"/>
            </w:tcBorders>
            <w:shd w:val="clear" w:color="auto" w:fill="auto"/>
            <w:vAlign w:val="center"/>
          </w:tcPr>
          <w:p w14:paraId="09E3F324"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811</w:t>
            </w:r>
          </w:p>
        </w:tc>
        <w:tc>
          <w:tcPr>
            <w:tcW w:w="1114" w:type="dxa"/>
            <w:tcBorders>
              <w:top w:val="nil"/>
              <w:left w:val="single" w:sz="8" w:space="0" w:color="auto"/>
              <w:bottom w:val="nil"/>
              <w:right w:val="single" w:sz="8" w:space="0" w:color="auto"/>
            </w:tcBorders>
            <w:shd w:val="clear" w:color="auto" w:fill="auto"/>
            <w:vAlign w:val="center"/>
          </w:tcPr>
          <w:p w14:paraId="08F34F73"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811</w:t>
            </w:r>
          </w:p>
        </w:tc>
        <w:tc>
          <w:tcPr>
            <w:tcW w:w="1113" w:type="dxa"/>
            <w:tcBorders>
              <w:top w:val="nil"/>
              <w:left w:val="single" w:sz="8" w:space="0" w:color="auto"/>
              <w:bottom w:val="nil"/>
              <w:right w:val="single" w:sz="8" w:space="0" w:color="auto"/>
            </w:tcBorders>
            <w:shd w:val="clear" w:color="auto" w:fill="auto"/>
            <w:vAlign w:val="center"/>
          </w:tcPr>
          <w:p w14:paraId="793B980F"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811</w:t>
            </w:r>
          </w:p>
        </w:tc>
        <w:tc>
          <w:tcPr>
            <w:tcW w:w="1114" w:type="dxa"/>
            <w:tcBorders>
              <w:top w:val="nil"/>
              <w:left w:val="single" w:sz="8" w:space="0" w:color="auto"/>
              <w:bottom w:val="nil"/>
              <w:right w:val="single" w:sz="8" w:space="0" w:color="auto"/>
            </w:tcBorders>
            <w:shd w:val="clear" w:color="auto" w:fill="auto"/>
            <w:vAlign w:val="center"/>
          </w:tcPr>
          <w:p w14:paraId="7E457ADF"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811</w:t>
            </w:r>
          </w:p>
        </w:tc>
        <w:tc>
          <w:tcPr>
            <w:tcW w:w="1114" w:type="dxa"/>
            <w:tcBorders>
              <w:top w:val="nil"/>
              <w:left w:val="single" w:sz="8" w:space="0" w:color="auto"/>
              <w:bottom w:val="nil"/>
              <w:right w:val="single" w:sz="8" w:space="0" w:color="auto"/>
            </w:tcBorders>
            <w:shd w:val="clear" w:color="auto" w:fill="auto"/>
            <w:vAlign w:val="center"/>
          </w:tcPr>
          <w:p w14:paraId="4A87ADEE"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811</w:t>
            </w:r>
          </w:p>
        </w:tc>
        <w:tc>
          <w:tcPr>
            <w:tcW w:w="1114" w:type="dxa"/>
            <w:tcBorders>
              <w:top w:val="nil"/>
              <w:left w:val="single" w:sz="8" w:space="0" w:color="auto"/>
              <w:bottom w:val="nil"/>
              <w:right w:val="single" w:sz="8" w:space="0" w:color="auto"/>
            </w:tcBorders>
            <w:shd w:val="clear" w:color="auto" w:fill="auto"/>
            <w:vAlign w:val="center"/>
          </w:tcPr>
          <w:p w14:paraId="5228531C"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811</w:t>
            </w:r>
          </w:p>
        </w:tc>
      </w:tr>
      <w:tr w:rsidR="00F6075C" w:rsidRPr="00F6075C" w14:paraId="253E950A" w14:textId="77777777" w:rsidTr="004E77D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C726634"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QALY</w:t>
            </w:r>
          </w:p>
        </w:tc>
        <w:tc>
          <w:tcPr>
            <w:tcW w:w="1113" w:type="dxa"/>
            <w:tcBorders>
              <w:top w:val="nil"/>
              <w:left w:val="single" w:sz="8" w:space="0" w:color="auto"/>
              <w:bottom w:val="nil"/>
              <w:right w:val="single" w:sz="8" w:space="0" w:color="auto"/>
            </w:tcBorders>
            <w:shd w:val="clear" w:color="auto" w:fill="auto"/>
            <w:vAlign w:val="center"/>
          </w:tcPr>
          <w:p w14:paraId="3BC79A9A"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4,270</w:t>
            </w:r>
          </w:p>
        </w:tc>
        <w:tc>
          <w:tcPr>
            <w:tcW w:w="1114" w:type="dxa"/>
            <w:tcBorders>
              <w:top w:val="nil"/>
              <w:left w:val="single" w:sz="8" w:space="0" w:color="auto"/>
              <w:bottom w:val="nil"/>
              <w:right w:val="single" w:sz="8" w:space="0" w:color="auto"/>
            </w:tcBorders>
            <w:shd w:val="clear" w:color="auto" w:fill="auto"/>
            <w:vAlign w:val="center"/>
          </w:tcPr>
          <w:p w14:paraId="7382EB3F"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4,054</w:t>
            </w:r>
          </w:p>
        </w:tc>
        <w:tc>
          <w:tcPr>
            <w:tcW w:w="1114" w:type="dxa"/>
            <w:tcBorders>
              <w:top w:val="nil"/>
              <w:left w:val="single" w:sz="8" w:space="0" w:color="auto"/>
              <w:bottom w:val="nil"/>
              <w:right w:val="single" w:sz="8" w:space="0" w:color="auto"/>
            </w:tcBorders>
            <w:shd w:val="clear" w:color="auto" w:fill="auto"/>
            <w:vAlign w:val="center"/>
          </w:tcPr>
          <w:p w14:paraId="0087BFE9"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4,054</w:t>
            </w:r>
          </w:p>
        </w:tc>
        <w:tc>
          <w:tcPr>
            <w:tcW w:w="1113" w:type="dxa"/>
            <w:tcBorders>
              <w:top w:val="nil"/>
              <w:left w:val="single" w:sz="8" w:space="0" w:color="auto"/>
              <w:bottom w:val="nil"/>
              <w:right w:val="single" w:sz="8" w:space="0" w:color="auto"/>
            </w:tcBorders>
            <w:shd w:val="clear" w:color="auto" w:fill="auto"/>
            <w:vAlign w:val="center"/>
          </w:tcPr>
          <w:p w14:paraId="72D9F009"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4,054</w:t>
            </w:r>
          </w:p>
        </w:tc>
        <w:tc>
          <w:tcPr>
            <w:tcW w:w="1114" w:type="dxa"/>
            <w:tcBorders>
              <w:top w:val="nil"/>
              <w:left w:val="single" w:sz="8" w:space="0" w:color="auto"/>
              <w:bottom w:val="nil"/>
              <w:right w:val="single" w:sz="8" w:space="0" w:color="auto"/>
            </w:tcBorders>
            <w:shd w:val="clear" w:color="auto" w:fill="auto"/>
            <w:vAlign w:val="center"/>
          </w:tcPr>
          <w:p w14:paraId="2DDA716C"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4,054</w:t>
            </w:r>
          </w:p>
        </w:tc>
        <w:tc>
          <w:tcPr>
            <w:tcW w:w="1114" w:type="dxa"/>
            <w:tcBorders>
              <w:top w:val="nil"/>
              <w:left w:val="single" w:sz="8" w:space="0" w:color="auto"/>
              <w:bottom w:val="nil"/>
              <w:right w:val="single" w:sz="8" w:space="0" w:color="auto"/>
            </w:tcBorders>
            <w:shd w:val="clear" w:color="auto" w:fill="auto"/>
            <w:vAlign w:val="center"/>
          </w:tcPr>
          <w:p w14:paraId="303E0DAF"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4,054</w:t>
            </w:r>
          </w:p>
        </w:tc>
        <w:tc>
          <w:tcPr>
            <w:tcW w:w="1114" w:type="dxa"/>
            <w:tcBorders>
              <w:top w:val="nil"/>
              <w:left w:val="single" w:sz="8" w:space="0" w:color="auto"/>
              <w:bottom w:val="nil"/>
              <w:right w:val="single" w:sz="8" w:space="0" w:color="auto"/>
            </w:tcBorders>
            <w:shd w:val="clear" w:color="auto" w:fill="auto"/>
            <w:vAlign w:val="center"/>
          </w:tcPr>
          <w:p w14:paraId="579FB70F"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4,054</w:t>
            </w:r>
          </w:p>
        </w:tc>
      </w:tr>
      <w:tr w:rsidR="00F6075C" w:rsidRPr="00F6075C" w14:paraId="78144996" w14:textId="77777777" w:rsidTr="004E77D0">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6CE86B42"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Total costs excluding productivity losses</w:t>
            </w:r>
          </w:p>
        </w:tc>
        <w:tc>
          <w:tcPr>
            <w:tcW w:w="1113" w:type="dxa"/>
            <w:tcBorders>
              <w:top w:val="nil"/>
              <w:left w:val="single" w:sz="8" w:space="0" w:color="auto"/>
              <w:bottom w:val="nil"/>
              <w:right w:val="single" w:sz="8" w:space="0" w:color="auto"/>
            </w:tcBorders>
            <w:shd w:val="clear" w:color="auto" w:fill="auto"/>
            <w:vAlign w:val="center"/>
          </w:tcPr>
          <w:p w14:paraId="2B67BFE2"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$11,139,262</w:t>
            </w:r>
          </w:p>
        </w:tc>
        <w:tc>
          <w:tcPr>
            <w:tcW w:w="1114" w:type="dxa"/>
            <w:tcBorders>
              <w:top w:val="nil"/>
              <w:left w:val="single" w:sz="8" w:space="0" w:color="auto"/>
              <w:bottom w:val="nil"/>
              <w:right w:val="single" w:sz="8" w:space="0" w:color="auto"/>
            </w:tcBorders>
            <w:shd w:val="clear" w:color="auto" w:fill="auto"/>
            <w:vAlign w:val="center"/>
          </w:tcPr>
          <w:p w14:paraId="46391326"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$14,953,295</w:t>
            </w:r>
          </w:p>
        </w:tc>
        <w:tc>
          <w:tcPr>
            <w:tcW w:w="1114" w:type="dxa"/>
            <w:tcBorders>
              <w:top w:val="nil"/>
              <w:left w:val="single" w:sz="8" w:space="0" w:color="auto"/>
              <w:bottom w:val="nil"/>
              <w:right w:val="single" w:sz="8" w:space="0" w:color="auto"/>
            </w:tcBorders>
            <w:shd w:val="clear" w:color="auto" w:fill="auto"/>
            <w:vAlign w:val="center"/>
          </w:tcPr>
          <w:p w14:paraId="16A06EAD"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$9,646,916</w:t>
            </w:r>
          </w:p>
        </w:tc>
        <w:tc>
          <w:tcPr>
            <w:tcW w:w="1113" w:type="dxa"/>
            <w:tcBorders>
              <w:top w:val="nil"/>
              <w:left w:val="single" w:sz="8" w:space="0" w:color="auto"/>
              <w:bottom w:val="nil"/>
              <w:right w:val="single" w:sz="8" w:space="0" w:color="auto"/>
            </w:tcBorders>
            <w:shd w:val="clear" w:color="auto" w:fill="auto"/>
            <w:vAlign w:val="center"/>
          </w:tcPr>
          <w:p w14:paraId="23C29C78"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$3,433,851</w:t>
            </w:r>
          </w:p>
        </w:tc>
        <w:tc>
          <w:tcPr>
            <w:tcW w:w="1114" w:type="dxa"/>
            <w:tcBorders>
              <w:top w:val="nil"/>
              <w:left w:val="single" w:sz="8" w:space="0" w:color="auto"/>
              <w:bottom w:val="nil"/>
              <w:right w:val="single" w:sz="8" w:space="0" w:color="auto"/>
            </w:tcBorders>
            <w:shd w:val="clear" w:color="auto" w:fill="auto"/>
            <w:vAlign w:val="center"/>
          </w:tcPr>
          <w:p w14:paraId="7BF97537"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$8,396,797</w:t>
            </w:r>
          </w:p>
        </w:tc>
        <w:tc>
          <w:tcPr>
            <w:tcW w:w="1114" w:type="dxa"/>
            <w:tcBorders>
              <w:top w:val="nil"/>
              <w:left w:val="single" w:sz="8" w:space="0" w:color="auto"/>
              <w:bottom w:val="nil"/>
              <w:right w:val="single" w:sz="8" w:space="0" w:color="auto"/>
            </w:tcBorders>
            <w:shd w:val="clear" w:color="auto" w:fill="auto"/>
            <w:vAlign w:val="center"/>
          </w:tcPr>
          <w:p w14:paraId="2C12C614"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$26,333,224</w:t>
            </w:r>
          </w:p>
        </w:tc>
        <w:tc>
          <w:tcPr>
            <w:tcW w:w="1114" w:type="dxa"/>
            <w:tcBorders>
              <w:top w:val="nil"/>
              <w:left w:val="single" w:sz="8" w:space="0" w:color="auto"/>
              <w:bottom w:val="nil"/>
              <w:right w:val="single" w:sz="8" w:space="0" w:color="auto"/>
            </w:tcBorders>
            <w:shd w:val="clear" w:color="auto" w:fill="auto"/>
            <w:vAlign w:val="center"/>
          </w:tcPr>
          <w:p w14:paraId="6745B3EC"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$14,121,615</w:t>
            </w:r>
          </w:p>
        </w:tc>
      </w:tr>
      <w:tr w:rsidR="00F6075C" w:rsidRPr="00F6075C" w14:paraId="38B92E92" w14:textId="77777777" w:rsidTr="004E77D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3D57EC10"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Costs per QALY </w:t>
            </w:r>
          </w:p>
          <w:p w14:paraId="7108034B"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gained</w:t>
            </w:r>
          </w:p>
        </w:tc>
        <w:tc>
          <w:tcPr>
            <w:tcW w:w="1113" w:type="dxa"/>
            <w:tcBorders>
              <w:top w:val="nil"/>
              <w:left w:val="single" w:sz="8" w:space="0" w:color="auto"/>
              <w:bottom w:val="nil"/>
              <w:right w:val="single" w:sz="8" w:space="0" w:color="auto"/>
            </w:tcBorders>
            <w:shd w:val="clear" w:color="auto" w:fill="auto"/>
            <w:vAlign w:val="center"/>
          </w:tcPr>
          <w:p w14:paraId="5B733A26"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w:t>
            </w:r>
          </w:p>
        </w:tc>
        <w:tc>
          <w:tcPr>
            <w:tcW w:w="1114" w:type="dxa"/>
            <w:tcBorders>
              <w:top w:val="nil"/>
              <w:left w:val="single" w:sz="8" w:space="0" w:color="auto"/>
              <w:bottom w:val="nil"/>
              <w:right w:val="single" w:sz="8" w:space="0" w:color="auto"/>
            </w:tcBorders>
            <w:shd w:val="clear" w:color="auto" w:fill="auto"/>
            <w:vAlign w:val="center"/>
          </w:tcPr>
          <w:p w14:paraId="6E8A9ED7"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56FC928B"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$6,905</w:t>
            </w:r>
          </w:p>
        </w:tc>
        <w:tc>
          <w:tcPr>
            <w:tcW w:w="1113" w:type="dxa"/>
            <w:tcBorders>
              <w:top w:val="nil"/>
              <w:left w:val="single" w:sz="8" w:space="0" w:color="auto"/>
              <w:bottom w:val="nil"/>
              <w:right w:val="single" w:sz="8" w:space="0" w:color="auto"/>
            </w:tcBorders>
            <w:shd w:val="clear" w:color="auto" w:fill="auto"/>
            <w:vAlign w:val="center"/>
          </w:tcPr>
          <w:p w14:paraId="328EC2D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$35,652</w:t>
            </w:r>
          </w:p>
        </w:tc>
        <w:tc>
          <w:tcPr>
            <w:tcW w:w="1114" w:type="dxa"/>
            <w:tcBorders>
              <w:top w:val="nil"/>
              <w:left w:val="single" w:sz="8" w:space="0" w:color="auto"/>
              <w:bottom w:val="nil"/>
              <w:right w:val="single" w:sz="8" w:space="0" w:color="auto"/>
            </w:tcBorders>
            <w:shd w:val="clear" w:color="auto" w:fill="auto"/>
            <w:vAlign w:val="center"/>
          </w:tcPr>
          <w:p w14:paraId="29D4FACF"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$12,689</w:t>
            </w:r>
          </w:p>
        </w:tc>
        <w:tc>
          <w:tcPr>
            <w:tcW w:w="1114" w:type="dxa"/>
            <w:tcBorders>
              <w:top w:val="nil"/>
              <w:left w:val="single" w:sz="8" w:space="0" w:color="auto"/>
              <w:bottom w:val="nil"/>
              <w:right w:val="single" w:sz="8" w:space="0" w:color="auto"/>
            </w:tcBorders>
            <w:shd w:val="clear" w:color="auto" w:fill="auto"/>
            <w:vAlign w:val="center"/>
          </w:tcPr>
          <w:p w14:paraId="6AA6AF16"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1797E1AB"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r>
      <w:tr w:rsidR="00F6075C" w:rsidRPr="00F6075C" w14:paraId="0AB725B3" w14:textId="77777777" w:rsidTr="004E77D0">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333C5B86"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Total costs including productivity losses     </w:t>
            </w:r>
          </w:p>
        </w:tc>
        <w:tc>
          <w:tcPr>
            <w:tcW w:w="1113" w:type="dxa"/>
            <w:tcBorders>
              <w:top w:val="nil"/>
              <w:left w:val="single" w:sz="8" w:space="0" w:color="auto"/>
              <w:bottom w:val="nil"/>
              <w:right w:val="single" w:sz="8" w:space="0" w:color="auto"/>
            </w:tcBorders>
            <w:shd w:val="clear" w:color="auto" w:fill="auto"/>
            <w:vAlign w:val="center"/>
          </w:tcPr>
          <w:p w14:paraId="2D8FFE45"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$14,212,580</w:t>
            </w:r>
          </w:p>
        </w:tc>
        <w:tc>
          <w:tcPr>
            <w:tcW w:w="1114" w:type="dxa"/>
            <w:tcBorders>
              <w:top w:val="nil"/>
              <w:left w:val="single" w:sz="8" w:space="0" w:color="auto"/>
              <w:bottom w:val="nil"/>
              <w:right w:val="single" w:sz="8" w:space="0" w:color="auto"/>
            </w:tcBorders>
            <w:shd w:val="clear" w:color="auto" w:fill="auto"/>
            <w:vAlign w:val="center"/>
          </w:tcPr>
          <w:p w14:paraId="081A67B3"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$59,137,022</w:t>
            </w:r>
          </w:p>
        </w:tc>
        <w:tc>
          <w:tcPr>
            <w:tcW w:w="1114" w:type="dxa"/>
            <w:tcBorders>
              <w:top w:val="nil"/>
              <w:left w:val="single" w:sz="8" w:space="0" w:color="auto"/>
              <w:bottom w:val="nil"/>
              <w:right w:val="single" w:sz="8" w:space="0" w:color="auto"/>
            </w:tcBorders>
            <w:shd w:val="clear" w:color="auto" w:fill="auto"/>
            <w:vAlign w:val="center"/>
          </w:tcPr>
          <w:p w14:paraId="7808EE34"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$94,097,731</w:t>
            </w:r>
          </w:p>
        </w:tc>
        <w:tc>
          <w:tcPr>
            <w:tcW w:w="1113" w:type="dxa"/>
            <w:tcBorders>
              <w:top w:val="nil"/>
              <w:left w:val="single" w:sz="8" w:space="0" w:color="auto"/>
              <w:bottom w:val="nil"/>
              <w:right w:val="single" w:sz="8" w:space="0" w:color="auto"/>
            </w:tcBorders>
            <w:shd w:val="clear" w:color="auto" w:fill="auto"/>
            <w:vAlign w:val="center"/>
          </w:tcPr>
          <w:p w14:paraId="09A7393B"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$25,480,128</w:t>
            </w:r>
          </w:p>
        </w:tc>
        <w:tc>
          <w:tcPr>
            <w:tcW w:w="1114" w:type="dxa"/>
            <w:tcBorders>
              <w:top w:val="nil"/>
              <w:left w:val="single" w:sz="8" w:space="0" w:color="auto"/>
              <w:bottom w:val="nil"/>
              <w:right w:val="single" w:sz="8" w:space="0" w:color="auto"/>
            </w:tcBorders>
            <w:shd w:val="clear" w:color="auto" w:fill="auto"/>
            <w:vAlign w:val="center"/>
          </w:tcPr>
          <w:p w14:paraId="6F4B351E"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$92,906,661</w:t>
            </w:r>
          </w:p>
        </w:tc>
        <w:tc>
          <w:tcPr>
            <w:tcW w:w="1114" w:type="dxa"/>
            <w:tcBorders>
              <w:top w:val="nil"/>
              <w:left w:val="single" w:sz="8" w:space="0" w:color="auto"/>
              <w:bottom w:val="nil"/>
              <w:right w:val="single" w:sz="8" w:space="0" w:color="auto"/>
            </w:tcBorders>
            <w:shd w:val="clear" w:color="auto" w:fill="auto"/>
            <w:vAlign w:val="center"/>
          </w:tcPr>
          <w:p w14:paraId="3341B1F1"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$92,396,945</w:t>
            </w:r>
          </w:p>
        </w:tc>
        <w:tc>
          <w:tcPr>
            <w:tcW w:w="1114" w:type="dxa"/>
            <w:tcBorders>
              <w:top w:val="nil"/>
              <w:left w:val="single" w:sz="8" w:space="0" w:color="auto"/>
              <w:bottom w:val="nil"/>
              <w:right w:val="single" w:sz="8" w:space="0" w:color="auto"/>
            </w:tcBorders>
            <w:shd w:val="clear" w:color="auto" w:fill="auto"/>
            <w:vAlign w:val="center"/>
          </w:tcPr>
          <w:p w14:paraId="7A542FB5"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$89,767,901</w:t>
            </w:r>
          </w:p>
        </w:tc>
      </w:tr>
      <w:tr w:rsidR="00F6075C" w:rsidRPr="00F6075C" w14:paraId="38D4CF30" w14:textId="77777777" w:rsidTr="004E77D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single" w:sz="4" w:space="0" w:color="auto"/>
              <w:right w:val="single" w:sz="8" w:space="0" w:color="auto"/>
            </w:tcBorders>
            <w:shd w:val="clear" w:color="auto" w:fill="auto"/>
            <w:noWrap/>
            <w:vAlign w:val="center"/>
          </w:tcPr>
          <w:p w14:paraId="2F2DE9B8"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Costs per QALY </w:t>
            </w:r>
          </w:p>
          <w:p w14:paraId="0F6BF956"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gained</w:t>
            </w:r>
          </w:p>
        </w:tc>
        <w:tc>
          <w:tcPr>
            <w:tcW w:w="1113" w:type="dxa"/>
            <w:tcBorders>
              <w:top w:val="nil"/>
              <w:left w:val="single" w:sz="8" w:space="0" w:color="auto"/>
              <w:bottom w:val="single" w:sz="4" w:space="0" w:color="auto"/>
              <w:right w:val="single" w:sz="8" w:space="0" w:color="auto"/>
            </w:tcBorders>
            <w:shd w:val="clear" w:color="auto" w:fill="auto"/>
            <w:vAlign w:val="center"/>
          </w:tcPr>
          <w:p w14:paraId="3C490247"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w:t>
            </w:r>
          </w:p>
        </w:tc>
        <w:tc>
          <w:tcPr>
            <w:tcW w:w="1114" w:type="dxa"/>
            <w:tcBorders>
              <w:top w:val="nil"/>
              <w:left w:val="single" w:sz="8" w:space="0" w:color="auto"/>
              <w:bottom w:val="single" w:sz="4" w:space="0" w:color="auto"/>
              <w:right w:val="single" w:sz="8" w:space="0" w:color="auto"/>
            </w:tcBorders>
            <w:shd w:val="clear" w:color="auto" w:fill="auto"/>
            <w:vAlign w:val="center"/>
          </w:tcPr>
          <w:p w14:paraId="57E933CF"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28757A1F"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3" w:type="dxa"/>
            <w:tcBorders>
              <w:top w:val="nil"/>
              <w:left w:val="single" w:sz="8" w:space="0" w:color="auto"/>
              <w:bottom w:val="single" w:sz="4" w:space="0" w:color="auto"/>
              <w:right w:val="single" w:sz="8" w:space="0" w:color="auto"/>
            </w:tcBorders>
            <w:shd w:val="clear" w:color="auto" w:fill="auto"/>
            <w:vAlign w:val="center"/>
          </w:tcPr>
          <w:p w14:paraId="3DDABCA5"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0B83E76D"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5E520023"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0ADC19C2"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r>
    </w:tbl>
    <w:p w14:paraId="571D489E" w14:textId="77777777" w:rsidR="00F6075C" w:rsidRPr="00F6075C" w:rsidRDefault="00F6075C" w:rsidP="00F6075C">
      <w:pPr>
        <w:snapToGrid w:val="0"/>
        <w:rPr>
          <w:rFonts w:asciiTheme="minorHAnsi" w:hAnsiTheme="minorHAnsi" w:cstheme="minorHAnsi"/>
          <w:iCs/>
          <w:sz w:val="16"/>
          <w:szCs w:val="16"/>
        </w:rPr>
      </w:pPr>
      <w:r w:rsidRPr="00F6075C">
        <w:rPr>
          <w:rFonts w:asciiTheme="minorHAnsi" w:hAnsiTheme="minorHAnsi" w:cstheme="minorHAnsi"/>
          <w:iCs/>
          <w:sz w:val="16"/>
          <w:szCs w:val="16"/>
        </w:rPr>
        <w:t>QALY = quality-adjusted life year</w:t>
      </w:r>
    </w:p>
    <w:p w14:paraId="1977A99F" w14:textId="77777777" w:rsidR="00F6075C" w:rsidRPr="00F6075C" w:rsidRDefault="00F6075C" w:rsidP="00F6075C">
      <w:pPr>
        <w:snapToGrid w:val="0"/>
        <w:rPr>
          <w:rFonts w:asciiTheme="minorHAnsi" w:hAnsiTheme="minorHAnsi" w:cstheme="minorHAnsi"/>
          <w:iCs/>
          <w:sz w:val="16"/>
          <w:szCs w:val="16"/>
          <w:vertAlign w:val="superscript"/>
        </w:rPr>
      </w:pPr>
      <w:r w:rsidRPr="00F6075C">
        <w:rPr>
          <w:rFonts w:asciiTheme="minorHAnsi" w:hAnsiTheme="minorHAnsi" w:cstheme="minorHAnsi"/>
          <w:iCs/>
          <w:sz w:val="16"/>
          <w:szCs w:val="16"/>
        </w:rPr>
        <w:t>A ‘dominant’ costs per QALY gained indicates that the DMHS was found to have lower costs and greater benefits.</w:t>
      </w:r>
    </w:p>
    <w:p w14:paraId="1EB2F289" w14:textId="33A1CA3E" w:rsidR="00F6075C" w:rsidRPr="0000769E" w:rsidRDefault="00F6075C" w:rsidP="00F6075C">
      <w:pPr>
        <w:snapToGrid w:val="0"/>
        <w:rPr>
          <w:rFonts w:asciiTheme="minorHAnsi" w:hAnsiTheme="minorHAnsi" w:cstheme="minorHAnsi"/>
          <w:iCs/>
          <w:sz w:val="16"/>
          <w:szCs w:val="16"/>
        </w:rPr>
      </w:pPr>
      <w:proofErr w:type="spellStart"/>
      <w:r w:rsidRPr="0000769E">
        <w:rPr>
          <w:rFonts w:asciiTheme="minorHAnsi" w:hAnsiTheme="minorHAnsi" w:cstheme="minorHAnsi"/>
          <w:iCs/>
          <w:sz w:val="16"/>
          <w:szCs w:val="16"/>
          <w:vertAlign w:val="superscript"/>
        </w:rPr>
        <w:t>a</w:t>
      </w:r>
      <w:r w:rsidRPr="0000769E">
        <w:rPr>
          <w:rFonts w:asciiTheme="minorHAnsi" w:hAnsiTheme="minorHAnsi" w:cstheme="minorHAnsi"/>
          <w:iCs/>
          <w:sz w:val="16"/>
          <w:szCs w:val="16"/>
        </w:rPr>
        <w:t>Based</w:t>
      </w:r>
      <w:proofErr w:type="spellEnd"/>
      <w:r w:rsidRPr="0000769E">
        <w:rPr>
          <w:rFonts w:asciiTheme="minorHAnsi" w:hAnsiTheme="minorHAnsi" w:cstheme="minorHAnsi"/>
          <w:iCs/>
          <w:sz w:val="16"/>
          <w:szCs w:val="16"/>
        </w:rPr>
        <w:t xml:space="preserve"> on (</w:t>
      </w:r>
      <w:proofErr w:type="spellStart"/>
      <w:r w:rsidRPr="0000769E">
        <w:rPr>
          <w:rFonts w:asciiTheme="minorHAnsi" w:hAnsiTheme="minorHAnsi" w:cstheme="minorHAnsi"/>
          <w:iCs/>
          <w:sz w:val="16"/>
          <w:szCs w:val="16"/>
        </w:rPr>
        <w:t>i</w:t>
      </w:r>
      <w:proofErr w:type="spellEnd"/>
      <w:r w:rsidRPr="0000769E">
        <w:rPr>
          <w:rFonts w:asciiTheme="minorHAnsi" w:hAnsiTheme="minorHAnsi" w:cstheme="minorHAnsi"/>
          <w:iCs/>
          <w:sz w:val="16"/>
          <w:szCs w:val="16"/>
        </w:rPr>
        <w:t xml:space="preserve">) an input population of 1,117 consumers and annual cost of service delivery per consumer as reported in Table </w:t>
      </w:r>
      <w:r w:rsidRPr="0000769E">
        <w:rPr>
          <w:rFonts w:asciiTheme="minorHAnsi" w:hAnsiTheme="minorHAnsi" w:cstheme="minorBidi"/>
          <w:sz w:val="16"/>
          <w:szCs w:val="16"/>
        </w:rPr>
        <w:t xml:space="preserve">54 </w:t>
      </w:r>
      <w:r w:rsidRPr="0000769E">
        <w:rPr>
          <w:rFonts w:asciiTheme="minorHAnsi" w:hAnsiTheme="minorHAnsi" w:cstheme="minorHAnsi"/>
          <w:iCs/>
          <w:sz w:val="16"/>
          <w:szCs w:val="16"/>
        </w:rPr>
        <w:t xml:space="preserve">and (ii) health care cost and productivity losses as reported in Table </w:t>
      </w:r>
      <w:r w:rsidRPr="0000769E">
        <w:rPr>
          <w:rFonts w:asciiTheme="minorHAnsi" w:hAnsiTheme="minorHAnsi" w:cstheme="minorBidi"/>
          <w:sz w:val="16"/>
          <w:szCs w:val="16"/>
        </w:rPr>
        <w:t>58</w:t>
      </w:r>
      <w:r w:rsidRPr="0000769E">
        <w:rPr>
          <w:rFonts w:asciiTheme="minorHAnsi" w:hAnsiTheme="minorHAnsi" w:cstheme="minorHAnsi"/>
          <w:iCs/>
          <w:sz w:val="16"/>
          <w:szCs w:val="16"/>
        </w:rPr>
        <w:t>.</w:t>
      </w:r>
    </w:p>
    <w:p w14:paraId="520F26F8" w14:textId="265FFC07" w:rsidR="00F6075C" w:rsidRPr="00F6075C" w:rsidRDefault="00F6075C" w:rsidP="6CA2054F">
      <w:pPr>
        <w:snapToGrid w:val="0"/>
        <w:spacing w:after="240"/>
        <w:rPr>
          <w:rFonts w:asciiTheme="minorHAnsi" w:hAnsiTheme="minorHAnsi" w:cstheme="minorHAnsi"/>
          <w:iCs/>
          <w:sz w:val="16"/>
          <w:szCs w:val="16"/>
        </w:rPr>
      </w:pPr>
      <w:proofErr w:type="spellStart"/>
      <w:r w:rsidRPr="0000769E">
        <w:rPr>
          <w:rFonts w:asciiTheme="minorHAnsi" w:hAnsiTheme="minorHAnsi" w:cstheme="minorHAnsi"/>
          <w:iCs/>
          <w:sz w:val="16"/>
          <w:szCs w:val="16"/>
          <w:vertAlign w:val="superscript"/>
        </w:rPr>
        <w:t>b</w:t>
      </w:r>
      <w:r w:rsidRPr="0000769E">
        <w:rPr>
          <w:rFonts w:asciiTheme="minorHAnsi" w:hAnsiTheme="minorHAnsi" w:cstheme="minorHAnsi"/>
          <w:iCs/>
          <w:sz w:val="16"/>
          <w:szCs w:val="16"/>
        </w:rPr>
        <w:t>B</w:t>
      </w:r>
      <w:r w:rsidRPr="0000769E">
        <w:rPr>
          <w:rFonts w:asciiTheme="minorHAnsi" w:hAnsiTheme="minorHAnsi" w:cstheme="minorHAnsi"/>
          <w:iCs/>
          <w:color w:val="44546A" w:themeColor="text2"/>
          <w:sz w:val="16"/>
          <w:szCs w:val="16"/>
        </w:rPr>
        <w:t>a</w:t>
      </w:r>
      <w:r w:rsidRPr="0000769E">
        <w:rPr>
          <w:rFonts w:asciiTheme="minorHAnsi" w:hAnsiTheme="minorHAnsi" w:cstheme="minorHAnsi"/>
          <w:iCs/>
          <w:sz w:val="16"/>
          <w:szCs w:val="16"/>
        </w:rPr>
        <w:t>sed</w:t>
      </w:r>
      <w:proofErr w:type="spellEnd"/>
      <w:r w:rsidRPr="0000769E">
        <w:rPr>
          <w:rFonts w:asciiTheme="minorHAnsi" w:hAnsiTheme="minorHAnsi" w:cstheme="minorHAnsi"/>
          <w:iCs/>
          <w:sz w:val="16"/>
          <w:szCs w:val="16"/>
        </w:rPr>
        <w:t xml:space="preserve"> on (</w:t>
      </w:r>
      <w:proofErr w:type="spellStart"/>
      <w:r w:rsidRPr="0000769E">
        <w:rPr>
          <w:rFonts w:asciiTheme="minorHAnsi" w:hAnsiTheme="minorHAnsi" w:cstheme="minorHAnsi"/>
          <w:iCs/>
          <w:sz w:val="16"/>
          <w:szCs w:val="16"/>
        </w:rPr>
        <w:t>i</w:t>
      </w:r>
      <w:proofErr w:type="spellEnd"/>
      <w:r w:rsidRPr="0000769E">
        <w:rPr>
          <w:rFonts w:asciiTheme="minorHAnsi" w:hAnsiTheme="minorHAnsi" w:cstheme="minorHAnsi"/>
          <w:iCs/>
          <w:sz w:val="16"/>
          <w:szCs w:val="16"/>
        </w:rPr>
        <w:t xml:space="preserve">) an input population of 5,198 consumers and annual cost of service delivery per consumer as reported in Table </w:t>
      </w:r>
      <w:r w:rsidRPr="0000769E">
        <w:rPr>
          <w:rFonts w:asciiTheme="minorHAnsi" w:hAnsiTheme="minorHAnsi" w:cstheme="minorBidi"/>
          <w:sz w:val="16"/>
          <w:szCs w:val="16"/>
        </w:rPr>
        <w:t>54</w:t>
      </w:r>
      <w:r w:rsidRPr="0000769E">
        <w:rPr>
          <w:rFonts w:asciiTheme="minorHAnsi" w:hAnsiTheme="minorHAnsi" w:cstheme="minorHAnsi"/>
          <w:iCs/>
          <w:sz w:val="16"/>
          <w:szCs w:val="16"/>
        </w:rPr>
        <w:t xml:space="preserve"> and (ii) health care cost and productivity losses as reported in Table </w:t>
      </w:r>
      <w:r w:rsidRPr="0000769E">
        <w:rPr>
          <w:rFonts w:asciiTheme="minorHAnsi" w:hAnsiTheme="minorHAnsi" w:cstheme="minorBidi"/>
          <w:sz w:val="16"/>
          <w:szCs w:val="16"/>
        </w:rPr>
        <w:t>58</w:t>
      </w:r>
      <w:r w:rsidRPr="0000769E">
        <w:rPr>
          <w:rFonts w:asciiTheme="minorHAnsi" w:hAnsiTheme="minorHAnsi" w:cstheme="minorHAnsi"/>
          <w:iCs/>
          <w:sz w:val="16"/>
          <w:szCs w:val="16"/>
        </w:rPr>
        <w:t>.</w:t>
      </w:r>
    </w:p>
    <w:p w14:paraId="5F8CD1D3" w14:textId="71B0C1D9" w:rsidR="000959E4" w:rsidRDefault="00F6075C" w:rsidP="00222B4E">
      <w:pPr>
        <w:rPr>
          <w:rFonts w:ascii="Calibri" w:hAnsi="Calibri" w:cs="Arial"/>
          <w:iCs/>
          <w:color w:val="000000" w:themeColor="text1"/>
          <w:sz w:val="21"/>
          <w:szCs w:val="21"/>
          <w:lang w:eastAsia="zh-CN"/>
        </w:rPr>
      </w:pPr>
      <w:r w:rsidRPr="00F6075C">
        <w:rPr>
          <w:rFonts w:ascii="Calibri" w:hAnsi="Calibri" w:cs="Arial"/>
          <w:iCs/>
          <w:color w:val="000000" w:themeColor="text1"/>
          <w:sz w:val="21"/>
          <w:szCs w:val="21"/>
          <w:lang w:eastAsia="zh-CN"/>
        </w:rPr>
        <w:t xml:space="preserve">Table </w:t>
      </w:r>
      <w:r w:rsidR="000B3C1C">
        <w:rPr>
          <w:rFonts w:ascii="Calibri" w:hAnsi="Calibri" w:cs="Arial"/>
          <w:iCs/>
          <w:color w:val="000000" w:themeColor="text1"/>
          <w:sz w:val="21"/>
          <w:szCs w:val="21"/>
          <w:lang w:eastAsia="zh-CN"/>
        </w:rPr>
        <w:t>61</w:t>
      </w:r>
      <w:r w:rsidRPr="00F6075C">
        <w:rPr>
          <w:rFonts w:ascii="Calibri" w:hAnsi="Calibri" w:cs="Arial"/>
          <w:iCs/>
          <w:color w:val="000000" w:themeColor="text1"/>
          <w:sz w:val="21"/>
          <w:szCs w:val="21"/>
          <w:lang w:eastAsia="zh-CN"/>
        </w:rPr>
        <w:t xml:space="preserve"> presents the cost-effectiveness modelling results for THIS WAY UP and the indirect comparator groups. Both the self-directed and therapist-supported treatment components of THIS WAY UP were found to be dominant (lower costs, greater benefits) compared to the Link-me (all participants) control group regardless of the inclusion or exclusion of productivity costs. For the remaining comparison scenarios where productivity costs were not included, the ICERs were below the WTP threshold of $50,000/QALY. When productivity costs were considered, both treatment components of THIS WAY UP costed less than the indirect comparator groups with increased gain in QALYs (i.e., dominant). </w:t>
      </w:r>
    </w:p>
    <w:p w14:paraId="0F799F2D" w14:textId="71B0C1D9" w:rsidR="000959E4" w:rsidRDefault="000959E4">
      <w:pPr>
        <w:spacing w:after="200"/>
        <w:rPr>
          <w:rFonts w:ascii="Calibri" w:hAnsi="Calibri" w:cs="Arial"/>
          <w:iCs/>
          <w:color w:val="000000" w:themeColor="text1"/>
          <w:sz w:val="21"/>
          <w:szCs w:val="21"/>
          <w:lang w:eastAsia="zh-CN"/>
        </w:rPr>
      </w:pPr>
      <w:r>
        <w:rPr>
          <w:rFonts w:ascii="Calibri" w:hAnsi="Calibri" w:cs="Arial"/>
          <w:iCs/>
          <w:color w:val="000000" w:themeColor="text1"/>
          <w:sz w:val="21"/>
          <w:szCs w:val="21"/>
          <w:lang w:eastAsia="zh-CN"/>
        </w:rPr>
        <w:br w:type="page"/>
      </w:r>
    </w:p>
    <w:p w14:paraId="7E81699D" w14:textId="131D09DD" w:rsidR="00F6075C" w:rsidRPr="00F6075C" w:rsidRDefault="00F6075C" w:rsidP="00F6075C">
      <w:pPr>
        <w:keepLines/>
        <w:spacing w:after="120"/>
        <w:outlineLvl w:val="2"/>
        <w:rPr>
          <w:rFonts w:asciiTheme="minorHAnsi" w:eastAsiaTheme="majorEastAsia" w:hAnsiTheme="minorHAnsi" w:cstheme="majorBidi"/>
          <w:b/>
          <w:color w:val="000000" w:themeColor="text1"/>
          <w:sz w:val="21"/>
          <w:szCs w:val="21"/>
          <w:lang w:val="en-US" w:eastAsia="en-US"/>
        </w:rPr>
      </w:pPr>
      <w:r w:rsidRPr="00F6075C">
        <w:rPr>
          <w:rFonts w:asciiTheme="minorHAnsi" w:eastAsiaTheme="majorEastAsia" w:hAnsiTheme="minorHAnsi" w:cstheme="majorBidi"/>
          <w:b/>
          <w:color w:val="000000" w:themeColor="text1"/>
          <w:sz w:val="21"/>
          <w:szCs w:val="21"/>
          <w:lang w:val="en-US" w:eastAsia="en-US"/>
        </w:rPr>
        <w:lastRenderedPageBreak/>
        <w:t xml:space="preserve">Table </w:t>
      </w:r>
      <w:r w:rsidR="000B3C1C" w:rsidRPr="000B3C1C">
        <w:rPr>
          <w:rFonts w:asciiTheme="minorHAnsi" w:eastAsiaTheme="majorEastAsia" w:hAnsiTheme="minorHAnsi" w:cstheme="majorBidi"/>
          <w:b/>
          <w:color w:val="000000" w:themeColor="text1"/>
          <w:sz w:val="21"/>
          <w:szCs w:val="21"/>
          <w:lang w:val="en-US" w:eastAsia="en-US"/>
        </w:rPr>
        <w:t>61</w:t>
      </w:r>
      <w:r w:rsidRPr="000B3C1C">
        <w:rPr>
          <w:rFonts w:asciiTheme="minorHAnsi" w:eastAsiaTheme="majorEastAsia" w:hAnsiTheme="minorHAnsi" w:cstheme="majorBidi"/>
          <w:b/>
          <w:color w:val="000000" w:themeColor="text1"/>
          <w:sz w:val="21"/>
          <w:szCs w:val="21"/>
          <w:lang w:val="en-US" w:eastAsia="en-US"/>
        </w:rPr>
        <w:t>.</w:t>
      </w:r>
      <w:r w:rsidRPr="00F6075C">
        <w:rPr>
          <w:rFonts w:asciiTheme="minorHAnsi" w:eastAsiaTheme="majorEastAsia" w:hAnsiTheme="minorHAnsi" w:cstheme="majorBidi"/>
          <w:b/>
          <w:color w:val="000000" w:themeColor="text1"/>
          <w:sz w:val="21"/>
          <w:szCs w:val="21"/>
          <w:lang w:val="en-US" w:eastAsia="en-US"/>
        </w:rPr>
        <w:t xml:space="preserve"> Results of economic modelling for THIS WAY UP</w:t>
      </w:r>
    </w:p>
    <w:tbl>
      <w:tblPr>
        <w:tblStyle w:val="PlainTable412"/>
        <w:tblW w:w="9629" w:type="dxa"/>
        <w:tblInd w:w="0" w:type="dxa"/>
        <w:tblBorders>
          <w:top w:val="single" w:sz="8" w:space="0" w:color="auto"/>
          <w:left w:val="single" w:sz="8" w:space="0" w:color="auto"/>
          <w:bottom w:val="single" w:sz="8" w:space="0" w:color="auto"/>
          <w:right w:val="single" w:sz="8" w:space="0" w:color="auto"/>
          <w:insideV w:val="single" w:sz="8" w:space="0" w:color="auto"/>
        </w:tblBorders>
        <w:tblLayout w:type="fixed"/>
        <w:tblLook w:val="04A0" w:firstRow="1" w:lastRow="0" w:firstColumn="1" w:lastColumn="0" w:noHBand="0" w:noVBand="1"/>
        <w:tblCaption w:val="Table 61. Results of economic modelling for THIS WAY UP"/>
        <w:tblDescription w:val="A table presenting the economic modelling results for THIS WAY UP in comparison to all indirect comparator groups. The results include the numbers of input population, fully recovered, partially recovered, no improvement, deteriorated, quality-adjusted life years, total costs including and excluding productivity losses and costs per quality-adjusted life years gained. Items were presented by self-directed treatment and therapist-supported treatment."/>
      </w:tblPr>
      <w:tblGrid>
        <w:gridCol w:w="1833"/>
        <w:gridCol w:w="1113"/>
        <w:gridCol w:w="1114"/>
        <w:gridCol w:w="1114"/>
        <w:gridCol w:w="1113"/>
        <w:gridCol w:w="1114"/>
        <w:gridCol w:w="1114"/>
        <w:gridCol w:w="1114"/>
      </w:tblGrid>
      <w:tr w:rsidR="00F6075C" w:rsidRPr="00F6075C" w14:paraId="6049663A" w14:textId="77777777" w:rsidTr="00A56C43">
        <w:trPr>
          <w:cnfStyle w:val="100000000000" w:firstRow="1" w:lastRow="0" w:firstColumn="0" w:lastColumn="0" w:oddVBand="0" w:evenVBand="0" w:oddHBand="0" w:evenHBand="0" w:firstRowFirstColumn="0" w:firstRowLastColumn="0" w:lastRowFirstColumn="0" w:lastRowLastColumn="0"/>
          <w:trHeight w:val="969"/>
          <w:tblHeader/>
        </w:trPr>
        <w:tc>
          <w:tcPr>
            <w:cnfStyle w:val="001000000000" w:firstRow="0" w:lastRow="0" w:firstColumn="1" w:lastColumn="0" w:oddVBand="0" w:evenVBand="0" w:oddHBand="0" w:evenHBand="0" w:firstRowFirstColumn="0" w:firstRowLastColumn="0" w:lastRowFirstColumn="0" w:lastRowLastColumn="0"/>
            <w:tcW w:w="1833" w:type="dxa"/>
            <w:tcBorders>
              <w:top w:val="single" w:sz="8" w:space="0" w:color="auto"/>
              <w:left w:val="single" w:sz="8" w:space="0" w:color="auto"/>
              <w:bottom w:val="nil"/>
              <w:right w:val="single" w:sz="8" w:space="0" w:color="auto"/>
            </w:tcBorders>
            <w:shd w:val="clear" w:color="auto" w:fill="000000" w:themeFill="text1"/>
            <w:noWrap/>
            <w:vAlign w:val="center"/>
            <w:hideMark/>
          </w:tcPr>
          <w:p w14:paraId="45BDB72D" w14:textId="77777777" w:rsidR="00F6075C" w:rsidRPr="00F6075C" w:rsidRDefault="00F6075C" w:rsidP="00F6075C">
            <w:pPr>
              <w:snapToGrid w:val="0"/>
              <w:rPr>
                <w:rFonts w:ascii="Calibri" w:hAnsi="Calibri" w:cs="Calibri"/>
                <w:color w:val="FFFFFF" w:themeColor="background1"/>
                <w:sz w:val="18"/>
                <w:szCs w:val="18"/>
                <w:lang w:eastAsia="en-AU"/>
              </w:rPr>
            </w:pPr>
          </w:p>
        </w:tc>
        <w:tc>
          <w:tcPr>
            <w:tcW w:w="1113" w:type="dxa"/>
            <w:tcBorders>
              <w:top w:val="single" w:sz="8" w:space="0" w:color="auto"/>
              <w:left w:val="single" w:sz="8" w:space="0" w:color="auto"/>
              <w:right w:val="single" w:sz="8" w:space="0" w:color="auto"/>
            </w:tcBorders>
            <w:shd w:val="clear" w:color="auto" w:fill="000000" w:themeFill="text1"/>
            <w:vAlign w:val="center"/>
          </w:tcPr>
          <w:p w14:paraId="1A291F07" w14:textId="56352CCA" w:rsidR="00F6075C" w:rsidRPr="00F6075C" w:rsidRDefault="1D8A9076" w:rsidP="1D8A9076">
            <w:pPr>
              <w:spacing w:line="259" w:lineRule="auto"/>
              <w:jc w:val="center"/>
              <w:cnfStyle w:val="100000000000" w:firstRow="1" w:lastRow="0" w:firstColumn="0" w:lastColumn="0" w:oddVBand="0" w:evenVBand="0" w:oddHBand="0" w:evenHBand="0" w:firstRowFirstColumn="0" w:firstRowLastColumn="0" w:lastRowFirstColumn="0" w:lastRowLastColumn="0"/>
            </w:pPr>
            <w:r w:rsidRPr="1D8A9076">
              <w:rPr>
                <w:rFonts w:ascii="Calibri" w:hAnsi="Calibri" w:cs="Calibri"/>
                <w:color w:val="FFFFFF" w:themeColor="background1"/>
                <w:sz w:val="16"/>
                <w:szCs w:val="16"/>
                <w:lang w:eastAsia="en-AU"/>
              </w:rPr>
              <w:t>THIS WAY UP</w:t>
            </w:r>
          </w:p>
        </w:tc>
        <w:tc>
          <w:tcPr>
            <w:tcW w:w="1114" w:type="dxa"/>
            <w:tcBorders>
              <w:top w:val="single" w:sz="8" w:space="0" w:color="auto"/>
              <w:left w:val="single" w:sz="8" w:space="0" w:color="auto"/>
              <w:right w:val="single" w:sz="8" w:space="0" w:color="auto"/>
            </w:tcBorders>
            <w:shd w:val="clear" w:color="auto" w:fill="000000" w:themeFill="text1"/>
            <w:vAlign w:val="center"/>
          </w:tcPr>
          <w:p w14:paraId="369815AD"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Indirect comparator: Link-me</w:t>
            </w:r>
          </w:p>
          <w:p w14:paraId="0384684A"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w:t>
            </w:r>
            <w:proofErr w:type="gramStart"/>
            <w:r w:rsidRPr="00F6075C">
              <w:rPr>
                <w:rFonts w:ascii="Calibri" w:hAnsi="Calibri" w:cs="Calibri"/>
                <w:color w:val="FFFFFF" w:themeColor="background1"/>
                <w:sz w:val="16"/>
                <w:szCs w:val="16"/>
                <w:lang w:eastAsia="en-AU"/>
              </w:rPr>
              <w:t>all</w:t>
            </w:r>
            <w:proofErr w:type="gramEnd"/>
            <w:r w:rsidRPr="00F6075C">
              <w:rPr>
                <w:rFonts w:ascii="Calibri" w:hAnsi="Calibri" w:cs="Calibri"/>
                <w:color w:val="FFFFFF" w:themeColor="background1"/>
                <w:sz w:val="16"/>
                <w:szCs w:val="16"/>
                <w:lang w:eastAsia="en-AU"/>
              </w:rPr>
              <w:t xml:space="preserve"> participants)</w:t>
            </w:r>
          </w:p>
        </w:tc>
        <w:tc>
          <w:tcPr>
            <w:tcW w:w="1114" w:type="dxa"/>
            <w:tcBorders>
              <w:top w:val="single" w:sz="8" w:space="0" w:color="auto"/>
              <w:left w:val="single" w:sz="8" w:space="0" w:color="auto"/>
              <w:right w:val="single" w:sz="8" w:space="0" w:color="auto"/>
            </w:tcBorders>
            <w:shd w:val="clear" w:color="auto" w:fill="000000" w:themeFill="text1"/>
            <w:vAlign w:val="center"/>
          </w:tcPr>
          <w:p w14:paraId="09A19B94"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Indirect comparator: Target-D</w:t>
            </w:r>
          </w:p>
          <w:p w14:paraId="17DA3530"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w:t>
            </w:r>
            <w:proofErr w:type="gramStart"/>
            <w:r w:rsidRPr="00F6075C">
              <w:rPr>
                <w:rFonts w:ascii="Calibri" w:hAnsi="Calibri" w:cs="Calibri"/>
                <w:color w:val="FFFFFF" w:themeColor="background1"/>
                <w:sz w:val="16"/>
                <w:szCs w:val="16"/>
                <w:lang w:eastAsia="en-AU"/>
              </w:rPr>
              <w:t>all</w:t>
            </w:r>
            <w:proofErr w:type="gramEnd"/>
            <w:r w:rsidRPr="00F6075C">
              <w:rPr>
                <w:rFonts w:ascii="Calibri" w:hAnsi="Calibri" w:cs="Calibri"/>
                <w:color w:val="FFFFFF" w:themeColor="background1"/>
                <w:sz w:val="16"/>
                <w:szCs w:val="16"/>
                <w:lang w:eastAsia="en-AU"/>
              </w:rPr>
              <w:t xml:space="preserve"> participants)</w:t>
            </w:r>
          </w:p>
        </w:tc>
        <w:tc>
          <w:tcPr>
            <w:tcW w:w="1113" w:type="dxa"/>
            <w:tcBorders>
              <w:top w:val="single" w:sz="8" w:space="0" w:color="auto"/>
              <w:left w:val="single" w:sz="8" w:space="0" w:color="auto"/>
              <w:right w:val="single" w:sz="8" w:space="0" w:color="auto"/>
            </w:tcBorders>
            <w:shd w:val="clear" w:color="auto" w:fill="000000" w:themeFill="text1"/>
            <w:vAlign w:val="center"/>
          </w:tcPr>
          <w:p w14:paraId="293743A9"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Indirect comparator: Link-me (minimal/ mild group)</w:t>
            </w:r>
          </w:p>
        </w:tc>
        <w:tc>
          <w:tcPr>
            <w:tcW w:w="1114" w:type="dxa"/>
            <w:tcBorders>
              <w:top w:val="single" w:sz="8" w:space="0" w:color="auto"/>
              <w:left w:val="single" w:sz="8" w:space="0" w:color="auto"/>
              <w:bottom w:val="nil"/>
              <w:right w:val="single" w:sz="8" w:space="0" w:color="auto"/>
            </w:tcBorders>
            <w:shd w:val="clear" w:color="auto" w:fill="000000" w:themeFill="text1"/>
            <w:vAlign w:val="center"/>
          </w:tcPr>
          <w:p w14:paraId="482B8056"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Indirect comparator: Target-D (minimal/ mild group)</w:t>
            </w:r>
          </w:p>
        </w:tc>
        <w:tc>
          <w:tcPr>
            <w:tcW w:w="1114" w:type="dxa"/>
            <w:tcBorders>
              <w:top w:val="single" w:sz="8" w:space="0" w:color="auto"/>
              <w:left w:val="single" w:sz="8" w:space="0" w:color="auto"/>
              <w:bottom w:val="nil"/>
              <w:right w:val="single" w:sz="8" w:space="0" w:color="auto"/>
            </w:tcBorders>
            <w:shd w:val="clear" w:color="auto" w:fill="000000" w:themeFill="text1"/>
            <w:vAlign w:val="center"/>
          </w:tcPr>
          <w:p w14:paraId="47E74A32"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Indirect comparator: Link-me (severe group)</w:t>
            </w:r>
          </w:p>
        </w:tc>
        <w:tc>
          <w:tcPr>
            <w:tcW w:w="1114" w:type="dxa"/>
            <w:tcBorders>
              <w:top w:val="single" w:sz="8" w:space="0" w:color="auto"/>
              <w:left w:val="single" w:sz="8" w:space="0" w:color="auto"/>
              <w:bottom w:val="nil"/>
              <w:right w:val="single" w:sz="8" w:space="0" w:color="auto"/>
            </w:tcBorders>
            <w:shd w:val="clear" w:color="auto" w:fill="000000" w:themeFill="text1"/>
            <w:vAlign w:val="center"/>
          </w:tcPr>
          <w:p w14:paraId="0F1629AC" w14:textId="77777777" w:rsidR="00F6075C" w:rsidRPr="00F6075C" w:rsidRDefault="00F6075C" w:rsidP="00F6075C">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F6075C">
              <w:rPr>
                <w:rFonts w:ascii="Calibri" w:hAnsi="Calibri" w:cs="Calibri"/>
                <w:color w:val="FFFFFF" w:themeColor="background1"/>
                <w:sz w:val="16"/>
                <w:szCs w:val="16"/>
                <w:lang w:eastAsia="en-AU"/>
              </w:rPr>
              <w:t>Indirect comparator: Target-D (severe group)</w:t>
            </w:r>
          </w:p>
        </w:tc>
      </w:tr>
      <w:tr w:rsidR="00F6075C" w:rsidRPr="00F6075C" w14:paraId="61D7BD37"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7AE3A87E" w14:textId="77777777" w:rsidR="00F6075C" w:rsidRPr="00F6075C" w:rsidRDefault="00F6075C" w:rsidP="00F6075C">
            <w:pPr>
              <w:snapToGrid w:val="0"/>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Self-directed </w:t>
            </w:r>
            <w:proofErr w:type="spellStart"/>
            <w:r w:rsidRPr="00F6075C">
              <w:rPr>
                <w:rFonts w:ascii="Calibri" w:hAnsi="Calibri" w:cs="Calibri"/>
                <w:color w:val="000000"/>
                <w:sz w:val="16"/>
                <w:szCs w:val="16"/>
                <w:lang w:eastAsia="en-AU"/>
              </w:rPr>
              <w:t>treatment</w:t>
            </w:r>
            <w:r w:rsidRPr="00F6075C">
              <w:rPr>
                <w:rFonts w:asciiTheme="minorHAnsi" w:hAnsiTheme="minorHAnsi" w:cstheme="minorHAnsi"/>
                <w:sz w:val="16"/>
                <w:szCs w:val="16"/>
                <w:vertAlign w:val="superscript"/>
                <w:lang w:eastAsia="en-US"/>
              </w:rPr>
              <w:t>a</w:t>
            </w:r>
            <w:proofErr w:type="spellEnd"/>
          </w:p>
        </w:tc>
        <w:tc>
          <w:tcPr>
            <w:tcW w:w="1113" w:type="dxa"/>
            <w:tcBorders>
              <w:top w:val="nil"/>
              <w:left w:val="single" w:sz="8" w:space="0" w:color="auto"/>
              <w:bottom w:val="nil"/>
              <w:right w:val="single" w:sz="8" w:space="0" w:color="auto"/>
            </w:tcBorders>
            <w:shd w:val="clear" w:color="auto" w:fill="auto"/>
            <w:vAlign w:val="center"/>
          </w:tcPr>
          <w:p w14:paraId="0AC3D96C"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1678AA3A"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2E272A12"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2F85B47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37689DA8"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437515DD"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7DD4A556"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r>
      <w:tr w:rsidR="00F6075C" w:rsidRPr="00F6075C" w14:paraId="1F3E0AC3"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C82D341" w14:textId="77777777" w:rsidR="00F6075C" w:rsidRPr="00F6075C" w:rsidRDefault="00F6075C" w:rsidP="00F6075C">
            <w:pPr>
              <w:snapToGrid w:val="0"/>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Input population (n)</w:t>
            </w:r>
          </w:p>
        </w:tc>
        <w:tc>
          <w:tcPr>
            <w:tcW w:w="1113" w:type="dxa"/>
            <w:tcBorders>
              <w:top w:val="nil"/>
              <w:left w:val="single" w:sz="8" w:space="0" w:color="auto"/>
              <w:bottom w:val="nil"/>
              <w:right w:val="single" w:sz="8" w:space="0" w:color="auto"/>
            </w:tcBorders>
            <w:shd w:val="clear" w:color="auto" w:fill="auto"/>
            <w:vAlign w:val="center"/>
          </w:tcPr>
          <w:p w14:paraId="31EF2A26"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3,330</w:t>
            </w:r>
          </w:p>
        </w:tc>
        <w:tc>
          <w:tcPr>
            <w:tcW w:w="1114" w:type="dxa"/>
            <w:tcBorders>
              <w:top w:val="nil"/>
              <w:left w:val="single" w:sz="8" w:space="0" w:color="auto"/>
              <w:bottom w:val="nil"/>
              <w:right w:val="single" w:sz="8" w:space="0" w:color="auto"/>
            </w:tcBorders>
            <w:shd w:val="clear" w:color="auto" w:fill="auto"/>
            <w:vAlign w:val="center"/>
          </w:tcPr>
          <w:p w14:paraId="3F30BCDC"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3,330</w:t>
            </w:r>
          </w:p>
        </w:tc>
        <w:tc>
          <w:tcPr>
            <w:tcW w:w="1114" w:type="dxa"/>
            <w:tcBorders>
              <w:top w:val="nil"/>
              <w:left w:val="single" w:sz="8" w:space="0" w:color="auto"/>
              <w:bottom w:val="nil"/>
              <w:right w:val="single" w:sz="8" w:space="0" w:color="auto"/>
            </w:tcBorders>
            <w:shd w:val="clear" w:color="auto" w:fill="auto"/>
            <w:vAlign w:val="center"/>
          </w:tcPr>
          <w:p w14:paraId="4BCA2195"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3,330</w:t>
            </w:r>
          </w:p>
        </w:tc>
        <w:tc>
          <w:tcPr>
            <w:tcW w:w="1113" w:type="dxa"/>
            <w:tcBorders>
              <w:top w:val="nil"/>
              <w:left w:val="single" w:sz="8" w:space="0" w:color="auto"/>
              <w:bottom w:val="nil"/>
              <w:right w:val="single" w:sz="8" w:space="0" w:color="auto"/>
            </w:tcBorders>
            <w:shd w:val="clear" w:color="auto" w:fill="auto"/>
            <w:vAlign w:val="center"/>
          </w:tcPr>
          <w:p w14:paraId="24772CEB"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3,330</w:t>
            </w:r>
          </w:p>
        </w:tc>
        <w:tc>
          <w:tcPr>
            <w:tcW w:w="1114" w:type="dxa"/>
            <w:tcBorders>
              <w:top w:val="nil"/>
              <w:left w:val="single" w:sz="8" w:space="0" w:color="auto"/>
              <w:bottom w:val="nil"/>
              <w:right w:val="single" w:sz="8" w:space="0" w:color="auto"/>
            </w:tcBorders>
            <w:shd w:val="clear" w:color="auto" w:fill="auto"/>
            <w:vAlign w:val="center"/>
          </w:tcPr>
          <w:p w14:paraId="0B02FA68"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3,330</w:t>
            </w:r>
          </w:p>
        </w:tc>
        <w:tc>
          <w:tcPr>
            <w:tcW w:w="1114" w:type="dxa"/>
            <w:tcBorders>
              <w:top w:val="nil"/>
              <w:left w:val="single" w:sz="8" w:space="0" w:color="auto"/>
              <w:bottom w:val="nil"/>
              <w:right w:val="single" w:sz="8" w:space="0" w:color="auto"/>
            </w:tcBorders>
            <w:shd w:val="clear" w:color="auto" w:fill="auto"/>
            <w:vAlign w:val="center"/>
          </w:tcPr>
          <w:p w14:paraId="0C4D22C1"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3,330</w:t>
            </w:r>
          </w:p>
        </w:tc>
        <w:tc>
          <w:tcPr>
            <w:tcW w:w="1114" w:type="dxa"/>
            <w:tcBorders>
              <w:top w:val="nil"/>
              <w:left w:val="single" w:sz="8" w:space="0" w:color="auto"/>
              <w:bottom w:val="nil"/>
              <w:right w:val="single" w:sz="8" w:space="0" w:color="auto"/>
            </w:tcBorders>
            <w:shd w:val="clear" w:color="auto" w:fill="auto"/>
            <w:vAlign w:val="center"/>
          </w:tcPr>
          <w:p w14:paraId="063AF7B8"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3,330</w:t>
            </w:r>
          </w:p>
        </w:tc>
      </w:tr>
      <w:tr w:rsidR="00F6075C" w:rsidRPr="00F6075C" w14:paraId="37C4B3D0"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A2FA82B" w14:textId="77777777" w:rsidR="00F6075C" w:rsidRPr="00F6075C" w:rsidRDefault="00F6075C" w:rsidP="00F6075C">
            <w:pPr>
              <w:snapToGrid w:val="0"/>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Fully recovered (n)</w:t>
            </w:r>
          </w:p>
        </w:tc>
        <w:tc>
          <w:tcPr>
            <w:tcW w:w="1113" w:type="dxa"/>
            <w:tcBorders>
              <w:top w:val="nil"/>
              <w:left w:val="single" w:sz="8" w:space="0" w:color="auto"/>
              <w:bottom w:val="nil"/>
              <w:right w:val="single" w:sz="8" w:space="0" w:color="auto"/>
            </w:tcBorders>
            <w:shd w:val="clear" w:color="auto" w:fill="auto"/>
            <w:vAlign w:val="center"/>
          </w:tcPr>
          <w:p w14:paraId="01533E7C"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1,409</w:t>
            </w:r>
          </w:p>
        </w:tc>
        <w:tc>
          <w:tcPr>
            <w:tcW w:w="1114" w:type="dxa"/>
            <w:tcBorders>
              <w:top w:val="nil"/>
              <w:left w:val="single" w:sz="8" w:space="0" w:color="auto"/>
              <w:bottom w:val="nil"/>
              <w:right w:val="single" w:sz="8" w:space="0" w:color="auto"/>
            </w:tcBorders>
            <w:shd w:val="clear" w:color="auto" w:fill="auto"/>
            <w:vAlign w:val="center"/>
          </w:tcPr>
          <w:p w14:paraId="7190CBBF"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370</w:t>
            </w:r>
          </w:p>
        </w:tc>
        <w:tc>
          <w:tcPr>
            <w:tcW w:w="1114" w:type="dxa"/>
            <w:tcBorders>
              <w:top w:val="nil"/>
              <w:left w:val="single" w:sz="8" w:space="0" w:color="auto"/>
              <w:bottom w:val="nil"/>
              <w:right w:val="single" w:sz="8" w:space="0" w:color="auto"/>
            </w:tcBorders>
            <w:shd w:val="clear" w:color="auto" w:fill="auto"/>
            <w:vAlign w:val="center"/>
          </w:tcPr>
          <w:p w14:paraId="5AE56123"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370</w:t>
            </w:r>
          </w:p>
        </w:tc>
        <w:tc>
          <w:tcPr>
            <w:tcW w:w="1113" w:type="dxa"/>
            <w:tcBorders>
              <w:top w:val="nil"/>
              <w:left w:val="single" w:sz="8" w:space="0" w:color="auto"/>
              <w:bottom w:val="nil"/>
              <w:right w:val="single" w:sz="8" w:space="0" w:color="auto"/>
            </w:tcBorders>
            <w:shd w:val="clear" w:color="auto" w:fill="auto"/>
            <w:vAlign w:val="center"/>
          </w:tcPr>
          <w:p w14:paraId="2CCC5FBF"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370</w:t>
            </w:r>
          </w:p>
        </w:tc>
        <w:tc>
          <w:tcPr>
            <w:tcW w:w="1114" w:type="dxa"/>
            <w:tcBorders>
              <w:top w:val="nil"/>
              <w:left w:val="single" w:sz="8" w:space="0" w:color="auto"/>
              <w:bottom w:val="nil"/>
              <w:right w:val="single" w:sz="8" w:space="0" w:color="auto"/>
            </w:tcBorders>
            <w:shd w:val="clear" w:color="auto" w:fill="auto"/>
            <w:vAlign w:val="center"/>
          </w:tcPr>
          <w:p w14:paraId="3781E8AC"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370</w:t>
            </w:r>
          </w:p>
        </w:tc>
        <w:tc>
          <w:tcPr>
            <w:tcW w:w="1114" w:type="dxa"/>
            <w:tcBorders>
              <w:top w:val="nil"/>
              <w:left w:val="single" w:sz="8" w:space="0" w:color="auto"/>
              <w:bottom w:val="nil"/>
              <w:right w:val="single" w:sz="8" w:space="0" w:color="auto"/>
            </w:tcBorders>
            <w:shd w:val="clear" w:color="auto" w:fill="auto"/>
            <w:vAlign w:val="center"/>
          </w:tcPr>
          <w:p w14:paraId="0DC7D080"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370</w:t>
            </w:r>
          </w:p>
        </w:tc>
        <w:tc>
          <w:tcPr>
            <w:tcW w:w="1114" w:type="dxa"/>
            <w:tcBorders>
              <w:top w:val="nil"/>
              <w:left w:val="single" w:sz="8" w:space="0" w:color="auto"/>
              <w:bottom w:val="nil"/>
              <w:right w:val="single" w:sz="8" w:space="0" w:color="auto"/>
            </w:tcBorders>
            <w:shd w:val="clear" w:color="auto" w:fill="auto"/>
            <w:vAlign w:val="center"/>
          </w:tcPr>
          <w:p w14:paraId="459672F3"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370</w:t>
            </w:r>
          </w:p>
        </w:tc>
      </w:tr>
      <w:tr w:rsidR="00F6075C" w:rsidRPr="00F6075C" w14:paraId="1C34B4D4"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1032FCBF" w14:textId="77777777" w:rsidR="00F6075C" w:rsidRPr="00F6075C" w:rsidRDefault="00F6075C" w:rsidP="00F6075C">
            <w:pPr>
              <w:snapToGrid w:val="0"/>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Partially recovered (n)</w:t>
            </w:r>
          </w:p>
        </w:tc>
        <w:tc>
          <w:tcPr>
            <w:tcW w:w="1113" w:type="dxa"/>
            <w:tcBorders>
              <w:top w:val="nil"/>
              <w:left w:val="single" w:sz="8" w:space="0" w:color="auto"/>
              <w:bottom w:val="nil"/>
              <w:right w:val="single" w:sz="8" w:space="0" w:color="auto"/>
            </w:tcBorders>
            <w:shd w:val="clear" w:color="auto" w:fill="auto"/>
            <w:vAlign w:val="center"/>
          </w:tcPr>
          <w:p w14:paraId="0F16D81F"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603</w:t>
            </w:r>
          </w:p>
        </w:tc>
        <w:tc>
          <w:tcPr>
            <w:tcW w:w="1114" w:type="dxa"/>
            <w:tcBorders>
              <w:top w:val="nil"/>
              <w:left w:val="single" w:sz="8" w:space="0" w:color="auto"/>
              <w:bottom w:val="nil"/>
              <w:right w:val="single" w:sz="8" w:space="0" w:color="auto"/>
            </w:tcBorders>
            <w:shd w:val="clear" w:color="auto" w:fill="auto"/>
            <w:vAlign w:val="center"/>
          </w:tcPr>
          <w:p w14:paraId="7A6DE198"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147</w:t>
            </w:r>
          </w:p>
        </w:tc>
        <w:tc>
          <w:tcPr>
            <w:tcW w:w="1114" w:type="dxa"/>
            <w:tcBorders>
              <w:top w:val="nil"/>
              <w:left w:val="single" w:sz="8" w:space="0" w:color="auto"/>
              <w:bottom w:val="nil"/>
              <w:right w:val="single" w:sz="8" w:space="0" w:color="auto"/>
            </w:tcBorders>
            <w:shd w:val="clear" w:color="auto" w:fill="auto"/>
            <w:vAlign w:val="center"/>
          </w:tcPr>
          <w:p w14:paraId="6474773B"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147</w:t>
            </w:r>
          </w:p>
        </w:tc>
        <w:tc>
          <w:tcPr>
            <w:tcW w:w="1113" w:type="dxa"/>
            <w:tcBorders>
              <w:top w:val="nil"/>
              <w:left w:val="single" w:sz="8" w:space="0" w:color="auto"/>
              <w:bottom w:val="nil"/>
              <w:right w:val="single" w:sz="8" w:space="0" w:color="auto"/>
            </w:tcBorders>
            <w:shd w:val="clear" w:color="auto" w:fill="auto"/>
            <w:vAlign w:val="center"/>
          </w:tcPr>
          <w:p w14:paraId="630F0BBE"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147</w:t>
            </w:r>
          </w:p>
        </w:tc>
        <w:tc>
          <w:tcPr>
            <w:tcW w:w="1114" w:type="dxa"/>
            <w:tcBorders>
              <w:top w:val="nil"/>
              <w:left w:val="single" w:sz="8" w:space="0" w:color="auto"/>
              <w:bottom w:val="nil"/>
              <w:right w:val="single" w:sz="8" w:space="0" w:color="auto"/>
            </w:tcBorders>
            <w:shd w:val="clear" w:color="auto" w:fill="auto"/>
            <w:vAlign w:val="center"/>
          </w:tcPr>
          <w:p w14:paraId="534254C9"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147</w:t>
            </w:r>
          </w:p>
        </w:tc>
        <w:tc>
          <w:tcPr>
            <w:tcW w:w="1114" w:type="dxa"/>
            <w:tcBorders>
              <w:top w:val="nil"/>
              <w:left w:val="single" w:sz="8" w:space="0" w:color="auto"/>
              <w:bottom w:val="nil"/>
              <w:right w:val="single" w:sz="8" w:space="0" w:color="auto"/>
            </w:tcBorders>
            <w:shd w:val="clear" w:color="auto" w:fill="auto"/>
            <w:vAlign w:val="center"/>
          </w:tcPr>
          <w:p w14:paraId="32BB77EA"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147</w:t>
            </w:r>
          </w:p>
        </w:tc>
        <w:tc>
          <w:tcPr>
            <w:tcW w:w="1114" w:type="dxa"/>
            <w:tcBorders>
              <w:top w:val="nil"/>
              <w:left w:val="single" w:sz="8" w:space="0" w:color="auto"/>
              <w:bottom w:val="nil"/>
              <w:right w:val="single" w:sz="8" w:space="0" w:color="auto"/>
            </w:tcBorders>
            <w:shd w:val="clear" w:color="auto" w:fill="auto"/>
            <w:vAlign w:val="center"/>
          </w:tcPr>
          <w:p w14:paraId="5CF41E21"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147</w:t>
            </w:r>
          </w:p>
        </w:tc>
      </w:tr>
      <w:tr w:rsidR="00F6075C" w:rsidRPr="00F6075C" w14:paraId="0EE2FC36"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D09DE84" w14:textId="77777777" w:rsidR="00F6075C" w:rsidRPr="00F6075C" w:rsidRDefault="00F6075C" w:rsidP="00F6075C">
            <w:pPr>
              <w:snapToGrid w:val="0"/>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No improvement (n)</w:t>
            </w:r>
          </w:p>
        </w:tc>
        <w:tc>
          <w:tcPr>
            <w:tcW w:w="1113" w:type="dxa"/>
            <w:tcBorders>
              <w:top w:val="nil"/>
              <w:left w:val="single" w:sz="8" w:space="0" w:color="auto"/>
              <w:bottom w:val="nil"/>
              <w:right w:val="single" w:sz="8" w:space="0" w:color="auto"/>
            </w:tcBorders>
            <w:shd w:val="clear" w:color="auto" w:fill="auto"/>
            <w:vAlign w:val="center"/>
          </w:tcPr>
          <w:p w14:paraId="6EAA3BF3"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1,089</w:t>
            </w:r>
          </w:p>
        </w:tc>
        <w:tc>
          <w:tcPr>
            <w:tcW w:w="1114" w:type="dxa"/>
            <w:tcBorders>
              <w:top w:val="nil"/>
              <w:left w:val="single" w:sz="8" w:space="0" w:color="auto"/>
              <w:bottom w:val="nil"/>
              <w:right w:val="single" w:sz="8" w:space="0" w:color="auto"/>
            </w:tcBorders>
            <w:shd w:val="clear" w:color="auto" w:fill="auto"/>
            <w:vAlign w:val="center"/>
          </w:tcPr>
          <w:p w14:paraId="13CADCDB"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2,294</w:t>
            </w:r>
          </w:p>
        </w:tc>
        <w:tc>
          <w:tcPr>
            <w:tcW w:w="1114" w:type="dxa"/>
            <w:tcBorders>
              <w:top w:val="nil"/>
              <w:left w:val="single" w:sz="8" w:space="0" w:color="auto"/>
              <w:bottom w:val="nil"/>
              <w:right w:val="single" w:sz="8" w:space="0" w:color="auto"/>
            </w:tcBorders>
            <w:shd w:val="clear" w:color="auto" w:fill="auto"/>
            <w:vAlign w:val="center"/>
          </w:tcPr>
          <w:p w14:paraId="68876F89"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2,294</w:t>
            </w:r>
          </w:p>
        </w:tc>
        <w:tc>
          <w:tcPr>
            <w:tcW w:w="1113" w:type="dxa"/>
            <w:tcBorders>
              <w:top w:val="nil"/>
              <w:left w:val="single" w:sz="8" w:space="0" w:color="auto"/>
              <w:bottom w:val="nil"/>
              <w:right w:val="single" w:sz="8" w:space="0" w:color="auto"/>
            </w:tcBorders>
            <w:shd w:val="clear" w:color="auto" w:fill="auto"/>
            <w:vAlign w:val="center"/>
          </w:tcPr>
          <w:p w14:paraId="2ECEBA87"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2,294</w:t>
            </w:r>
          </w:p>
        </w:tc>
        <w:tc>
          <w:tcPr>
            <w:tcW w:w="1114" w:type="dxa"/>
            <w:tcBorders>
              <w:top w:val="nil"/>
              <w:left w:val="single" w:sz="8" w:space="0" w:color="auto"/>
              <w:bottom w:val="nil"/>
              <w:right w:val="single" w:sz="8" w:space="0" w:color="auto"/>
            </w:tcBorders>
            <w:shd w:val="clear" w:color="auto" w:fill="auto"/>
            <w:vAlign w:val="center"/>
          </w:tcPr>
          <w:p w14:paraId="4BD6AC20"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2,294</w:t>
            </w:r>
          </w:p>
        </w:tc>
        <w:tc>
          <w:tcPr>
            <w:tcW w:w="1114" w:type="dxa"/>
            <w:tcBorders>
              <w:top w:val="nil"/>
              <w:left w:val="single" w:sz="8" w:space="0" w:color="auto"/>
              <w:bottom w:val="nil"/>
              <w:right w:val="single" w:sz="8" w:space="0" w:color="auto"/>
            </w:tcBorders>
            <w:shd w:val="clear" w:color="auto" w:fill="auto"/>
            <w:vAlign w:val="center"/>
          </w:tcPr>
          <w:p w14:paraId="059634B9"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2,294</w:t>
            </w:r>
          </w:p>
        </w:tc>
        <w:tc>
          <w:tcPr>
            <w:tcW w:w="1114" w:type="dxa"/>
            <w:tcBorders>
              <w:top w:val="nil"/>
              <w:left w:val="single" w:sz="8" w:space="0" w:color="auto"/>
              <w:bottom w:val="nil"/>
              <w:right w:val="single" w:sz="8" w:space="0" w:color="auto"/>
            </w:tcBorders>
            <w:shd w:val="clear" w:color="auto" w:fill="auto"/>
            <w:vAlign w:val="center"/>
          </w:tcPr>
          <w:p w14:paraId="6E7162AA"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2,294</w:t>
            </w:r>
          </w:p>
        </w:tc>
      </w:tr>
      <w:tr w:rsidR="00F6075C" w:rsidRPr="00F6075C" w14:paraId="2DC50CE3"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34F25F30" w14:textId="77777777" w:rsidR="00F6075C" w:rsidRPr="00F6075C" w:rsidRDefault="00F6075C" w:rsidP="00F6075C">
            <w:pPr>
              <w:snapToGrid w:val="0"/>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Deteriorated (n)</w:t>
            </w:r>
          </w:p>
        </w:tc>
        <w:tc>
          <w:tcPr>
            <w:tcW w:w="1113" w:type="dxa"/>
            <w:tcBorders>
              <w:top w:val="nil"/>
              <w:left w:val="single" w:sz="8" w:space="0" w:color="auto"/>
              <w:bottom w:val="nil"/>
              <w:right w:val="single" w:sz="8" w:space="0" w:color="auto"/>
            </w:tcBorders>
            <w:shd w:val="clear" w:color="auto" w:fill="auto"/>
            <w:vAlign w:val="center"/>
          </w:tcPr>
          <w:p w14:paraId="513A776C"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226</w:t>
            </w:r>
          </w:p>
        </w:tc>
        <w:tc>
          <w:tcPr>
            <w:tcW w:w="1114" w:type="dxa"/>
            <w:tcBorders>
              <w:top w:val="nil"/>
              <w:left w:val="single" w:sz="8" w:space="0" w:color="auto"/>
              <w:bottom w:val="nil"/>
              <w:right w:val="single" w:sz="8" w:space="0" w:color="auto"/>
            </w:tcBorders>
            <w:shd w:val="clear" w:color="auto" w:fill="auto"/>
            <w:vAlign w:val="center"/>
          </w:tcPr>
          <w:p w14:paraId="4B0452E9"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519</w:t>
            </w:r>
          </w:p>
        </w:tc>
        <w:tc>
          <w:tcPr>
            <w:tcW w:w="1114" w:type="dxa"/>
            <w:tcBorders>
              <w:top w:val="nil"/>
              <w:left w:val="single" w:sz="8" w:space="0" w:color="auto"/>
              <w:bottom w:val="nil"/>
              <w:right w:val="single" w:sz="8" w:space="0" w:color="auto"/>
            </w:tcBorders>
            <w:shd w:val="clear" w:color="auto" w:fill="auto"/>
            <w:vAlign w:val="center"/>
          </w:tcPr>
          <w:p w14:paraId="7FED84F7"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519</w:t>
            </w:r>
          </w:p>
        </w:tc>
        <w:tc>
          <w:tcPr>
            <w:tcW w:w="1113" w:type="dxa"/>
            <w:tcBorders>
              <w:top w:val="nil"/>
              <w:left w:val="single" w:sz="8" w:space="0" w:color="auto"/>
              <w:bottom w:val="nil"/>
              <w:right w:val="single" w:sz="8" w:space="0" w:color="auto"/>
            </w:tcBorders>
            <w:shd w:val="clear" w:color="auto" w:fill="auto"/>
            <w:vAlign w:val="center"/>
          </w:tcPr>
          <w:p w14:paraId="5612ED24"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519</w:t>
            </w:r>
          </w:p>
        </w:tc>
        <w:tc>
          <w:tcPr>
            <w:tcW w:w="1114" w:type="dxa"/>
            <w:tcBorders>
              <w:top w:val="nil"/>
              <w:left w:val="single" w:sz="8" w:space="0" w:color="auto"/>
              <w:bottom w:val="nil"/>
              <w:right w:val="single" w:sz="8" w:space="0" w:color="auto"/>
            </w:tcBorders>
            <w:shd w:val="clear" w:color="auto" w:fill="auto"/>
            <w:vAlign w:val="center"/>
          </w:tcPr>
          <w:p w14:paraId="2F207032"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519</w:t>
            </w:r>
          </w:p>
        </w:tc>
        <w:tc>
          <w:tcPr>
            <w:tcW w:w="1114" w:type="dxa"/>
            <w:tcBorders>
              <w:top w:val="nil"/>
              <w:left w:val="single" w:sz="8" w:space="0" w:color="auto"/>
              <w:bottom w:val="nil"/>
              <w:right w:val="single" w:sz="8" w:space="0" w:color="auto"/>
            </w:tcBorders>
            <w:shd w:val="clear" w:color="auto" w:fill="auto"/>
            <w:vAlign w:val="center"/>
          </w:tcPr>
          <w:p w14:paraId="0A7CFA25"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519</w:t>
            </w:r>
          </w:p>
        </w:tc>
        <w:tc>
          <w:tcPr>
            <w:tcW w:w="1114" w:type="dxa"/>
            <w:tcBorders>
              <w:top w:val="nil"/>
              <w:left w:val="single" w:sz="8" w:space="0" w:color="auto"/>
              <w:bottom w:val="nil"/>
              <w:right w:val="single" w:sz="8" w:space="0" w:color="auto"/>
            </w:tcBorders>
            <w:shd w:val="clear" w:color="auto" w:fill="auto"/>
            <w:vAlign w:val="center"/>
          </w:tcPr>
          <w:p w14:paraId="779517F5"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519</w:t>
            </w:r>
          </w:p>
        </w:tc>
      </w:tr>
      <w:tr w:rsidR="00F6075C" w:rsidRPr="00F6075C" w14:paraId="4B627B1C"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7B8C361B"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QALY</w:t>
            </w:r>
          </w:p>
        </w:tc>
        <w:tc>
          <w:tcPr>
            <w:tcW w:w="1113" w:type="dxa"/>
            <w:tcBorders>
              <w:top w:val="nil"/>
              <w:left w:val="single" w:sz="8" w:space="0" w:color="auto"/>
              <w:bottom w:val="nil"/>
              <w:right w:val="single" w:sz="8" w:space="0" w:color="auto"/>
            </w:tcBorders>
            <w:shd w:val="clear" w:color="auto" w:fill="auto"/>
            <w:vAlign w:val="center"/>
          </w:tcPr>
          <w:p w14:paraId="4D049B40"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2,724</w:t>
            </w:r>
          </w:p>
        </w:tc>
        <w:tc>
          <w:tcPr>
            <w:tcW w:w="1114" w:type="dxa"/>
            <w:tcBorders>
              <w:top w:val="nil"/>
              <w:left w:val="single" w:sz="8" w:space="0" w:color="auto"/>
              <w:bottom w:val="nil"/>
              <w:right w:val="single" w:sz="8" w:space="0" w:color="auto"/>
            </w:tcBorders>
            <w:shd w:val="clear" w:color="auto" w:fill="auto"/>
            <w:vAlign w:val="center"/>
          </w:tcPr>
          <w:p w14:paraId="44C4C06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2,597</w:t>
            </w:r>
          </w:p>
        </w:tc>
        <w:tc>
          <w:tcPr>
            <w:tcW w:w="1114" w:type="dxa"/>
            <w:tcBorders>
              <w:top w:val="nil"/>
              <w:left w:val="single" w:sz="8" w:space="0" w:color="auto"/>
              <w:bottom w:val="nil"/>
              <w:right w:val="single" w:sz="8" w:space="0" w:color="auto"/>
            </w:tcBorders>
            <w:shd w:val="clear" w:color="auto" w:fill="auto"/>
            <w:vAlign w:val="center"/>
          </w:tcPr>
          <w:p w14:paraId="4B158382"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2,597</w:t>
            </w:r>
          </w:p>
        </w:tc>
        <w:tc>
          <w:tcPr>
            <w:tcW w:w="1113" w:type="dxa"/>
            <w:tcBorders>
              <w:top w:val="nil"/>
              <w:left w:val="single" w:sz="8" w:space="0" w:color="auto"/>
              <w:bottom w:val="nil"/>
              <w:right w:val="single" w:sz="8" w:space="0" w:color="auto"/>
            </w:tcBorders>
            <w:shd w:val="clear" w:color="auto" w:fill="auto"/>
            <w:vAlign w:val="center"/>
          </w:tcPr>
          <w:p w14:paraId="13630180"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2,597</w:t>
            </w:r>
          </w:p>
        </w:tc>
        <w:tc>
          <w:tcPr>
            <w:tcW w:w="1114" w:type="dxa"/>
            <w:tcBorders>
              <w:top w:val="nil"/>
              <w:left w:val="single" w:sz="8" w:space="0" w:color="auto"/>
              <w:bottom w:val="nil"/>
              <w:right w:val="single" w:sz="8" w:space="0" w:color="auto"/>
            </w:tcBorders>
            <w:shd w:val="clear" w:color="auto" w:fill="auto"/>
            <w:vAlign w:val="center"/>
          </w:tcPr>
          <w:p w14:paraId="583D34DC"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2,597</w:t>
            </w:r>
          </w:p>
        </w:tc>
        <w:tc>
          <w:tcPr>
            <w:tcW w:w="1114" w:type="dxa"/>
            <w:tcBorders>
              <w:top w:val="nil"/>
              <w:left w:val="single" w:sz="8" w:space="0" w:color="auto"/>
              <w:bottom w:val="nil"/>
              <w:right w:val="single" w:sz="8" w:space="0" w:color="auto"/>
            </w:tcBorders>
            <w:shd w:val="clear" w:color="auto" w:fill="auto"/>
            <w:vAlign w:val="center"/>
          </w:tcPr>
          <w:p w14:paraId="3F21BFF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2,597</w:t>
            </w:r>
          </w:p>
        </w:tc>
        <w:tc>
          <w:tcPr>
            <w:tcW w:w="1114" w:type="dxa"/>
            <w:tcBorders>
              <w:top w:val="nil"/>
              <w:left w:val="single" w:sz="8" w:space="0" w:color="auto"/>
              <w:bottom w:val="nil"/>
              <w:right w:val="single" w:sz="8" w:space="0" w:color="auto"/>
            </w:tcBorders>
            <w:shd w:val="clear" w:color="auto" w:fill="auto"/>
            <w:vAlign w:val="center"/>
          </w:tcPr>
          <w:p w14:paraId="0CCDB9ED"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2,597</w:t>
            </w:r>
          </w:p>
        </w:tc>
      </w:tr>
      <w:tr w:rsidR="00F6075C" w:rsidRPr="00F6075C" w14:paraId="5C0CFE92"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1C19BBFD"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Total costs excluding productivity losses</w:t>
            </w:r>
          </w:p>
        </w:tc>
        <w:tc>
          <w:tcPr>
            <w:tcW w:w="1113" w:type="dxa"/>
            <w:tcBorders>
              <w:top w:val="nil"/>
              <w:left w:val="single" w:sz="8" w:space="0" w:color="auto"/>
              <w:bottom w:val="nil"/>
              <w:right w:val="single" w:sz="8" w:space="0" w:color="auto"/>
            </w:tcBorders>
            <w:shd w:val="clear" w:color="auto" w:fill="auto"/>
            <w:vAlign w:val="center"/>
          </w:tcPr>
          <w:p w14:paraId="224D9215"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$6,292,268</w:t>
            </w:r>
          </w:p>
        </w:tc>
        <w:tc>
          <w:tcPr>
            <w:tcW w:w="1114" w:type="dxa"/>
            <w:tcBorders>
              <w:top w:val="nil"/>
              <w:left w:val="single" w:sz="8" w:space="0" w:color="auto"/>
              <w:bottom w:val="nil"/>
              <w:right w:val="single" w:sz="8" w:space="0" w:color="auto"/>
            </w:tcBorders>
            <w:shd w:val="clear" w:color="auto" w:fill="auto"/>
            <w:vAlign w:val="center"/>
          </w:tcPr>
          <w:p w14:paraId="14E9F9D0"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$9,579,544</w:t>
            </w:r>
          </w:p>
        </w:tc>
        <w:tc>
          <w:tcPr>
            <w:tcW w:w="1114" w:type="dxa"/>
            <w:tcBorders>
              <w:top w:val="nil"/>
              <w:left w:val="single" w:sz="8" w:space="0" w:color="auto"/>
              <w:bottom w:val="nil"/>
              <w:right w:val="single" w:sz="8" w:space="0" w:color="auto"/>
            </w:tcBorders>
            <w:shd w:val="clear" w:color="auto" w:fill="auto"/>
            <w:vAlign w:val="center"/>
          </w:tcPr>
          <w:p w14:paraId="6F214D4B"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$6,180,114</w:t>
            </w:r>
          </w:p>
        </w:tc>
        <w:tc>
          <w:tcPr>
            <w:tcW w:w="1113" w:type="dxa"/>
            <w:tcBorders>
              <w:top w:val="nil"/>
              <w:left w:val="single" w:sz="8" w:space="0" w:color="auto"/>
              <w:bottom w:val="nil"/>
              <w:right w:val="single" w:sz="8" w:space="0" w:color="auto"/>
            </w:tcBorders>
            <w:shd w:val="clear" w:color="auto" w:fill="auto"/>
            <w:vAlign w:val="center"/>
          </w:tcPr>
          <w:p w14:paraId="6B9F20F1"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$2,199,831</w:t>
            </w:r>
          </w:p>
        </w:tc>
        <w:tc>
          <w:tcPr>
            <w:tcW w:w="1114" w:type="dxa"/>
            <w:tcBorders>
              <w:top w:val="nil"/>
              <w:left w:val="single" w:sz="8" w:space="0" w:color="auto"/>
              <w:bottom w:val="nil"/>
              <w:right w:val="single" w:sz="8" w:space="0" w:color="auto"/>
            </w:tcBorders>
            <w:shd w:val="clear" w:color="auto" w:fill="auto"/>
            <w:vAlign w:val="center"/>
          </w:tcPr>
          <w:p w14:paraId="52BFB091"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$5,379,249</w:t>
            </w:r>
          </w:p>
        </w:tc>
        <w:tc>
          <w:tcPr>
            <w:tcW w:w="1114" w:type="dxa"/>
            <w:tcBorders>
              <w:top w:val="nil"/>
              <w:left w:val="single" w:sz="8" w:space="0" w:color="auto"/>
              <w:bottom w:val="nil"/>
              <w:right w:val="single" w:sz="8" w:space="0" w:color="auto"/>
            </w:tcBorders>
            <w:shd w:val="clear" w:color="auto" w:fill="auto"/>
            <w:vAlign w:val="center"/>
          </w:tcPr>
          <w:p w14:paraId="1EE57DA0"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$16,869,880</w:t>
            </w:r>
          </w:p>
        </w:tc>
        <w:tc>
          <w:tcPr>
            <w:tcW w:w="1114" w:type="dxa"/>
            <w:tcBorders>
              <w:top w:val="nil"/>
              <w:left w:val="single" w:sz="8" w:space="0" w:color="auto"/>
              <w:bottom w:val="nil"/>
              <w:right w:val="single" w:sz="8" w:space="0" w:color="auto"/>
            </w:tcBorders>
            <w:shd w:val="clear" w:color="auto" w:fill="auto"/>
            <w:vAlign w:val="center"/>
          </w:tcPr>
          <w:p w14:paraId="65111985"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$9,046,744</w:t>
            </w:r>
          </w:p>
        </w:tc>
      </w:tr>
      <w:tr w:rsidR="00F6075C" w:rsidRPr="00F6075C" w14:paraId="24BDF22F"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798F1F85"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Costs per QALY </w:t>
            </w:r>
          </w:p>
          <w:p w14:paraId="02B93485"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gained</w:t>
            </w:r>
          </w:p>
        </w:tc>
        <w:tc>
          <w:tcPr>
            <w:tcW w:w="1113" w:type="dxa"/>
            <w:tcBorders>
              <w:top w:val="nil"/>
              <w:left w:val="single" w:sz="8" w:space="0" w:color="auto"/>
              <w:bottom w:val="nil"/>
              <w:right w:val="single" w:sz="8" w:space="0" w:color="auto"/>
            </w:tcBorders>
            <w:shd w:val="clear" w:color="auto" w:fill="auto"/>
            <w:vAlign w:val="center"/>
          </w:tcPr>
          <w:p w14:paraId="162087E5"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w:t>
            </w:r>
          </w:p>
        </w:tc>
        <w:tc>
          <w:tcPr>
            <w:tcW w:w="1114" w:type="dxa"/>
            <w:tcBorders>
              <w:top w:val="nil"/>
              <w:left w:val="single" w:sz="8" w:space="0" w:color="auto"/>
              <w:bottom w:val="nil"/>
              <w:right w:val="single" w:sz="8" w:space="0" w:color="auto"/>
            </w:tcBorders>
            <w:shd w:val="clear" w:color="auto" w:fill="auto"/>
            <w:vAlign w:val="center"/>
          </w:tcPr>
          <w:p w14:paraId="790A0ACC"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114D2435"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$887</w:t>
            </w:r>
          </w:p>
        </w:tc>
        <w:tc>
          <w:tcPr>
            <w:tcW w:w="1113" w:type="dxa"/>
            <w:tcBorders>
              <w:top w:val="nil"/>
              <w:left w:val="single" w:sz="8" w:space="0" w:color="auto"/>
              <w:bottom w:val="nil"/>
              <w:right w:val="single" w:sz="8" w:space="0" w:color="auto"/>
            </w:tcBorders>
            <w:shd w:val="clear" w:color="auto" w:fill="auto"/>
            <w:vAlign w:val="center"/>
          </w:tcPr>
          <w:p w14:paraId="5772AE8A"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$32,354</w:t>
            </w:r>
          </w:p>
        </w:tc>
        <w:tc>
          <w:tcPr>
            <w:tcW w:w="1114" w:type="dxa"/>
            <w:tcBorders>
              <w:top w:val="nil"/>
              <w:left w:val="single" w:sz="8" w:space="0" w:color="auto"/>
              <w:bottom w:val="nil"/>
              <w:right w:val="single" w:sz="8" w:space="0" w:color="auto"/>
            </w:tcBorders>
            <w:shd w:val="clear" w:color="auto" w:fill="auto"/>
            <w:vAlign w:val="center"/>
          </w:tcPr>
          <w:p w14:paraId="659EC131"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$7,218</w:t>
            </w:r>
          </w:p>
        </w:tc>
        <w:tc>
          <w:tcPr>
            <w:tcW w:w="1114" w:type="dxa"/>
            <w:tcBorders>
              <w:top w:val="nil"/>
              <w:left w:val="single" w:sz="8" w:space="0" w:color="auto"/>
              <w:bottom w:val="nil"/>
              <w:right w:val="single" w:sz="8" w:space="0" w:color="auto"/>
            </w:tcBorders>
            <w:shd w:val="clear" w:color="auto" w:fill="auto"/>
            <w:vAlign w:val="center"/>
          </w:tcPr>
          <w:p w14:paraId="16666592"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715353AC"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r>
      <w:tr w:rsidR="00F6075C" w:rsidRPr="00F6075C" w14:paraId="0E6F95CF"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600C2ED"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Total costs including productivity losses     </w:t>
            </w:r>
          </w:p>
        </w:tc>
        <w:tc>
          <w:tcPr>
            <w:tcW w:w="1113" w:type="dxa"/>
            <w:tcBorders>
              <w:top w:val="nil"/>
              <w:left w:val="single" w:sz="8" w:space="0" w:color="auto"/>
              <w:bottom w:val="nil"/>
              <w:right w:val="single" w:sz="8" w:space="0" w:color="auto"/>
            </w:tcBorders>
            <w:shd w:val="clear" w:color="auto" w:fill="auto"/>
            <w:vAlign w:val="center"/>
          </w:tcPr>
          <w:p w14:paraId="0642CD60"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$8,878,646</w:t>
            </w:r>
          </w:p>
        </w:tc>
        <w:tc>
          <w:tcPr>
            <w:tcW w:w="1114" w:type="dxa"/>
            <w:tcBorders>
              <w:top w:val="nil"/>
              <w:left w:val="single" w:sz="8" w:space="0" w:color="auto"/>
              <w:bottom w:val="nil"/>
              <w:right w:val="single" w:sz="8" w:space="0" w:color="auto"/>
            </w:tcBorders>
            <w:shd w:val="clear" w:color="auto" w:fill="auto"/>
            <w:vAlign w:val="center"/>
          </w:tcPr>
          <w:p w14:paraId="4BCD9618"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$37,885,010</w:t>
            </w:r>
          </w:p>
        </w:tc>
        <w:tc>
          <w:tcPr>
            <w:tcW w:w="1114" w:type="dxa"/>
            <w:tcBorders>
              <w:top w:val="nil"/>
              <w:left w:val="single" w:sz="8" w:space="0" w:color="auto"/>
              <w:bottom w:val="nil"/>
              <w:right w:val="single" w:sz="8" w:space="0" w:color="auto"/>
            </w:tcBorders>
            <w:shd w:val="clear" w:color="auto" w:fill="auto"/>
            <w:vAlign w:val="center"/>
          </w:tcPr>
          <w:p w14:paraId="2903F5BB"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$60,281,924</w:t>
            </w:r>
          </w:p>
        </w:tc>
        <w:tc>
          <w:tcPr>
            <w:tcW w:w="1113" w:type="dxa"/>
            <w:tcBorders>
              <w:top w:val="nil"/>
              <w:left w:val="single" w:sz="8" w:space="0" w:color="auto"/>
              <w:bottom w:val="nil"/>
              <w:right w:val="single" w:sz="8" w:space="0" w:color="auto"/>
            </w:tcBorders>
            <w:shd w:val="clear" w:color="auto" w:fill="auto"/>
            <w:vAlign w:val="center"/>
          </w:tcPr>
          <w:p w14:paraId="17F6C6B3"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$16,323,360</w:t>
            </w:r>
          </w:p>
        </w:tc>
        <w:tc>
          <w:tcPr>
            <w:tcW w:w="1114" w:type="dxa"/>
            <w:tcBorders>
              <w:top w:val="nil"/>
              <w:left w:val="single" w:sz="8" w:space="0" w:color="auto"/>
              <w:bottom w:val="nil"/>
              <w:right w:val="single" w:sz="8" w:space="0" w:color="auto"/>
            </w:tcBorders>
            <w:shd w:val="clear" w:color="auto" w:fill="auto"/>
            <w:vAlign w:val="center"/>
          </w:tcPr>
          <w:p w14:paraId="71318A9B"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$59,518,888</w:t>
            </w:r>
          </w:p>
        </w:tc>
        <w:tc>
          <w:tcPr>
            <w:tcW w:w="1114" w:type="dxa"/>
            <w:tcBorders>
              <w:top w:val="nil"/>
              <w:left w:val="single" w:sz="8" w:space="0" w:color="auto"/>
              <w:bottom w:val="nil"/>
              <w:right w:val="single" w:sz="8" w:space="0" w:color="auto"/>
            </w:tcBorders>
            <w:shd w:val="clear" w:color="auto" w:fill="auto"/>
            <w:vAlign w:val="center"/>
          </w:tcPr>
          <w:p w14:paraId="149F4463"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$59,192,348</w:t>
            </w:r>
          </w:p>
        </w:tc>
        <w:tc>
          <w:tcPr>
            <w:tcW w:w="1114" w:type="dxa"/>
            <w:tcBorders>
              <w:top w:val="nil"/>
              <w:left w:val="single" w:sz="8" w:space="0" w:color="auto"/>
              <w:bottom w:val="nil"/>
              <w:right w:val="single" w:sz="8" w:space="0" w:color="auto"/>
            </w:tcBorders>
            <w:shd w:val="clear" w:color="auto" w:fill="auto"/>
            <w:vAlign w:val="center"/>
          </w:tcPr>
          <w:p w14:paraId="3D0F48FB"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$57,508,101</w:t>
            </w:r>
          </w:p>
        </w:tc>
      </w:tr>
      <w:tr w:rsidR="00F6075C" w:rsidRPr="00F6075C" w14:paraId="1C42729F"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69D2EAC2"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Costs per QALY    </w:t>
            </w:r>
          </w:p>
          <w:p w14:paraId="5B84F608"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gained</w:t>
            </w:r>
          </w:p>
        </w:tc>
        <w:tc>
          <w:tcPr>
            <w:tcW w:w="1113" w:type="dxa"/>
            <w:tcBorders>
              <w:top w:val="nil"/>
              <w:left w:val="single" w:sz="8" w:space="0" w:color="auto"/>
              <w:bottom w:val="nil"/>
              <w:right w:val="single" w:sz="8" w:space="0" w:color="auto"/>
            </w:tcBorders>
            <w:shd w:val="clear" w:color="auto" w:fill="auto"/>
            <w:vAlign w:val="center"/>
          </w:tcPr>
          <w:p w14:paraId="16DF7DC8"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w:t>
            </w:r>
          </w:p>
        </w:tc>
        <w:tc>
          <w:tcPr>
            <w:tcW w:w="1114" w:type="dxa"/>
            <w:tcBorders>
              <w:top w:val="nil"/>
              <w:left w:val="single" w:sz="8" w:space="0" w:color="auto"/>
              <w:bottom w:val="nil"/>
              <w:right w:val="single" w:sz="8" w:space="0" w:color="auto"/>
            </w:tcBorders>
            <w:shd w:val="clear" w:color="auto" w:fill="auto"/>
            <w:vAlign w:val="center"/>
          </w:tcPr>
          <w:p w14:paraId="16E91236"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066C7012"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3" w:type="dxa"/>
            <w:tcBorders>
              <w:top w:val="nil"/>
              <w:left w:val="single" w:sz="8" w:space="0" w:color="auto"/>
              <w:bottom w:val="nil"/>
              <w:right w:val="single" w:sz="8" w:space="0" w:color="auto"/>
            </w:tcBorders>
            <w:shd w:val="clear" w:color="auto" w:fill="auto"/>
            <w:vAlign w:val="center"/>
          </w:tcPr>
          <w:p w14:paraId="09141CD6"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63A2FD5B"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7EDE6E10"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36314C22"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r>
      <w:tr w:rsidR="00F6075C" w:rsidRPr="00F6075C" w14:paraId="1CEFEBA7"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3C33EF11" w14:textId="77777777" w:rsidR="00F6075C" w:rsidRPr="00F6075C" w:rsidRDefault="00F6075C" w:rsidP="00F6075C">
            <w:pPr>
              <w:snapToGrid w:val="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2F672695"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233FFFF1"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694A83E9"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6AB366CC"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7F7B8230"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403E62B9"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345E33A4"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r>
      <w:tr w:rsidR="00F6075C" w:rsidRPr="00F6075C" w14:paraId="08CFA12C"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3B302DAD" w14:textId="77777777" w:rsidR="00F6075C" w:rsidRPr="00F6075C" w:rsidRDefault="00F6075C" w:rsidP="00F6075C">
            <w:pPr>
              <w:snapToGrid w:val="0"/>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Therapist-supported </w:t>
            </w:r>
            <w:proofErr w:type="spellStart"/>
            <w:r w:rsidRPr="00F6075C">
              <w:rPr>
                <w:rFonts w:ascii="Calibri" w:hAnsi="Calibri" w:cs="Calibri"/>
                <w:color w:val="000000"/>
                <w:sz w:val="16"/>
                <w:szCs w:val="16"/>
                <w:lang w:eastAsia="en-AU"/>
              </w:rPr>
              <w:t>treatment</w:t>
            </w:r>
            <w:r w:rsidRPr="00F6075C">
              <w:rPr>
                <w:rFonts w:asciiTheme="minorHAnsi" w:hAnsiTheme="minorHAnsi" w:cstheme="minorHAnsi"/>
                <w:sz w:val="16"/>
                <w:szCs w:val="16"/>
                <w:vertAlign w:val="superscript"/>
                <w:lang w:eastAsia="en-US"/>
              </w:rPr>
              <w:t>b</w:t>
            </w:r>
            <w:proofErr w:type="spellEnd"/>
          </w:p>
        </w:tc>
        <w:tc>
          <w:tcPr>
            <w:tcW w:w="1113" w:type="dxa"/>
            <w:tcBorders>
              <w:top w:val="nil"/>
              <w:left w:val="single" w:sz="8" w:space="0" w:color="auto"/>
              <w:bottom w:val="nil"/>
              <w:right w:val="single" w:sz="8" w:space="0" w:color="auto"/>
            </w:tcBorders>
            <w:shd w:val="clear" w:color="auto" w:fill="auto"/>
            <w:vAlign w:val="center"/>
          </w:tcPr>
          <w:p w14:paraId="42550EAE"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5420F1F7"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0EEF78E2"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13FD3C03"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74F4049F"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5062372E"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62EBBD72"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r>
      <w:tr w:rsidR="00F6075C" w:rsidRPr="00F6075C" w14:paraId="1D9950FE"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066D7E6" w14:textId="77777777" w:rsidR="00F6075C" w:rsidRPr="00F6075C" w:rsidRDefault="00F6075C" w:rsidP="00F6075C">
            <w:pPr>
              <w:snapToGrid w:val="0"/>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Input population (n)</w:t>
            </w:r>
          </w:p>
        </w:tc>
        <w:tc>
          <w:tcPr>
            <w:tcW w:w="1113" w:type="dxa"/>
            <w:tcBorders>
              <w:top w:val="nil"/>
              <w:left w:val="single" w:sz="8" w:space="0" w:color="auto"/>
              <w:bottom w:val="nil"/>
              <w:right w:val="single" w:sz="8" w:space="0" w:color="auto"/>
            </w:tcBorders>
            <w:shd w:val="clear" w:color="auto" w:fill="auto"/>
            <w:vAlign w:val="center"/>
          </w:tcPr>
          <w:p w14:paraId="24754DE6"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13,407</w:t>
            </w:r>
          </w:p>
        </w:tc>
        <w:tc>
          <w:tcPr>
            <w:tcW w:w="1114" w:type="dxa"/>
            <w:tcBorders>
              <w:top w:val="nil"/>
              <w:left w:val="single" w:sz="8" w:space="0" w:color="auto"/>
              <w:bottom w:val="nil"/>
              <w:right w:val="single" w:sz="8" w:space="0" w:color="auto"/>
            </w:tcBorders>
            <w:shd w:val="clear" w:color="auto" w:fill="auto"/>
            <w:vAlign w:val="center"/>
          </w:tcPr>
          <w:p w14:paraId="433A4500"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13,407</w:t>
            </w:r>
          </w:p>
        </w:tc>
        <w:tc>
          <w:tcPr>
            <w:tcW w:w="1114" w:type="dxa"/>
            <w:tcBorders>
              <w:top w:val="nil"/>
              <w:left w:val="single" w:sz="8" w:space="0" w:color="auto"/>
              <w:bottom w:val="nil"/>
              <w:right w:val="single" w:sz="8" w:space="0" w:color="auto"/>
            </w:tcBorders>
            <w:shd w:val="clear" w:color="auto" w:fill="auto"/>
            <w:vAlign w:val="center"/>
          </w:tcPr>
          <w:p w14:paraId="2D75DFAD"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13,407</w:t>
            </w:r>
          </w:p>
        </w:tc>
        <w:tc>
          <w:tcPr>
            <w:tcW w:w="1113" w:type="dxa"/>
            <w:tcBorders>
              <w:top w:val="nil"/>
              <w:left w:val="single" w:sz="8" w:space="0" w:color="auto"/>
              <w:bottom w:val="nil"/>
              <w:right w:val="single" w:sz="8" w:space="0" w:color="auto"/>
            </w:tcBorders>
            <w:shd w:val="clear" w:color="auto" w:fill="auto"/>
            <w:vAlign w:val="center"/>
          </w:tcPr>
          <w:p w14:paraId="1E12BF0D"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13,407</w:t>
            </w:r>
          </w:p>
        </w:tc>
        <w:tc>
          <w:tcPr>
            <w:tcW w:w="1114" w:type="dxa"/>
            <w:tcBorders>
              <w:top w:val="nil"/>
              <w:left w:val="single" w:sz="8" w:space="0" w:color="auto"/>
              <w:bottom w:val="nil"/>
              <w:right w:val="single" w:sz="8" w:space="0" w:color="auto"/>
            </w:tcBorders>
            <w:shd w:val="clear" w:color="auto" w:fill="auto"/>
            <w:vAlign w:val="center"/>
          </w:tcPr>
          <w:p w14:paraId="503808F9"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13,407</w:t>
            </w:r>
          </w:p>
        </w:tc>
        <w:tc>
          <w:tcPr>
            <w:tcW w:w="1114" w:type="dxa"/>
            <w:tcBorders>
              <w:top w:val="nil"/>
              <w:left w:val="single" w:sz="8" w:space="0" w:color="auto"/>
              <w:bottom w:val="nil"/>
              <w:right w:val="single" w:sz="8" w:space="0" w:color="auto"/>
            </w:tcBorders>
            <w:shd w:val="clear" w:color="auto" w:fill="auto"/>
            <w:vAlign w:val="center"/>
          </w:tcPr>
          <w:p w14:paraId="10BD1B97"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13,407</w:t>
            </w:r>
          </w:p>
        </w:tc>
        <w:tc>
          <w:tcPr>
            <w:tcW w:w="1114" w:type="dxa"/>
            <w:tcBorders>
              <w:top w:val="nil"/>
              <w:left w:val="single" w:sz="8" w:space="0" w:color="auto"/>
              <w:bottom w:val="nil"/>
              <w:right w:val="single" w:sz="8" w:space="0" w:color="auto"/>
            </w:tcBorders>
            <w:shd w:val="clear" w:color="auto" w:fill="auto"/>
            <w:vAlign w:val="center"/>
          </w:tcPr>
          <w:p w14:paraId="41D82F3F"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13,407</w:t>
            </w:r>
          </w:p>
        </w:tc>
      </w:tr>
      <w:tr w:rsidR="00F6075C" w:rsidRPr="00F6075C" w14:paraId="12B3EDEE"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1DC4D03B" w14:textId="77777777" w:rsidR="00F6075C" w:rsidRPr="00F6075C" w:rsidRDefault="00F6075C" w:rsidP="00F6075C">
            <w:pPr>
              <w:snapToGrid w:val="0"/>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Fully recovered (n)</w:t>
            </w:r>
          </w:p>
        </w:tc>
        <w:tc>
          <w:tcPr>
            <w:tcW w:w="1113" w:type="dxa"/>
            <w:tcBorders>
              <w:top w:val="nil"/>
              <w:left w:val="single" w:sz="8" w:space="0" w:color="auto"/>
              <w:bottom w:val="nil"/>
              <w:right w:val="single" w:sz="8" w:space="0" w:color="auto"/>
            </w:tcBorders>
            <w:shd w:val="clear" w:color="auto" w:fill="auto"/>
            <w:vAlign w:val="center"/>
          </w:tcPr>
          <w:p w14:paraId="22752481"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5,095</w:t>
            </w:r>
          </w:p>
        </w:tc>
        <w:tc>
          <w:tcPr>
            <w:tcW w:w="1114" w:type="dxa"/>
            <w:tcBorders>
              <w:top w:val="nil"/>
              <w:left w:val="single" w:sz="8" w:space="0" w:color="auto"/>
              <w:bottom w:val="nil"/>
              <w:right w:val="single" w:sz="8" w:space="0" w:color="auto"/>
            </w:tcBorders>
            <w:shd w:val="clear" w:color="auto" w:fill="auto"/>
            <w:vAlign w:val="center"/>
          </w:tcPr>
          <w:p w14:paraId="03061DC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1,488</w:t>
            </w:r>
          </w:p>
        </w:tc>
        <w:tc>
          <w:tcPr>
            <w:tcW w:w="1114" w:type="dxa"/>
            <w:tcBorders>
              <w:top w:val="nil"/>
              <w:left w:val="single" w:sz="8" w:space="0" w:color="auto"/>
              <w:bottom w:val="nil"/>
              <w:right w:val="single" w:sz="8" w:space="0" w:color="auto"/>
            </w:tcBorders>
            <w:shd w:val="clear" w:color="auto" w:fill="auto"/>
            <w:vAlign w:val="center"/>
          </w:tcPr>
          <w:p w14:paraId="1CB0A4D3"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1,488</w:t>
            </w:r>
          </w:p>
        </w:tc>
        <w:tc>
          <w:tcPr>
            <w:tcW w:w="1113" w:type="dxa"/>
            <w:tcBorders>
              <w:top w:val="nil"/>
              <w:left w:val="single" w:sz="8" w:space="0" w:color="auto"/>
              <w:bottom w:val="nil"/>
              <w:right w:val="single" w:sz="8" w:space="0" w:color="auto"/>
            </w:tcBorders>
            <w:shd w:val="clear" w:color="auto" w:fill="auto"/>
            <w:vAlign w:val="center"/>
          </w:tcPr>
          <w:p w14:paraId="3FAFE41C"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1,488</w:t>
            </w:r>
          </w:p>
        </w:tc>
        <w:tc>
          <w:tcPr>
            <w:tcW w:w="1114" w:type="dxa"/>
            <w:tcBorders>
              <w:top w:val="nil"/>
              <w:left w:val="single" w:sz="8" w:space="0" w:color="auto"/>
              <w:bottom w:val="nil"/>
              <w:right w:val="single" w:sz="8" w:space="0" w:color="auto"/>
            </w:tcBorders>
            <w:shd w:val="clear" w:color="auto" w:fill="auto"/>
            <w:vAlign w:val="center"/>
          </w:tcPr>
          <w:p w14:paraId="59CECC27"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1,488</w:t>
            </w:r>
          </w:p>
        </w:tc>
        <w:tc>
          <w:tcPr>
            <w:tcW w:w="1114" w:type="dxa"/>
            <w:tcBorders>
              <w:top w:val="nil"/>
              <w:left w:val="single" w:sz="8" w:space="0" w:color="auto"/>
              <w:bottom w:val="nil"/>
              <w:right w:val="single" w:sz="8" w:space="0" w:color="auto"/>
            </w:tcBorders>
            <w:shd w:val="clear" w:color="auto" w:fill="auto"/>
            <w:vAlign w:val="center"/>
          </w:tcPr>
          <w:p w14:paraId="6D7AE708"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1,488</w:t>
            </w:r>
          </w:p>
        </w:tc>
        <w:tc>
          <w:tcPr>
            <w:tcW w:w="1114" w:type="dxa"/>
            <w:tcBorders>
              <w:top w:val="nil"/>
              <w:left w:val="single" w:sz="8" w:space="0" w:color="auto"/>
              <w:bottom w:val="nil"/>
              <w:right w:val="single" w:sz="8" w:space="0" w:color="auto"/>
            </w:tcBorders>
            <w:shd w:val="clear" w:color="auto" w:fill="auto"/>
            <w:vAlign w:val="center"/>
          </w:tcPr>
          <w:p w14:paraId="1EFE0935"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1,488</w:t>
            </w:r>
          </w:p>
        </w:tc>
      </w:tr>
      <w:tr w:rsidR="00F6075C" w:rsidRPr="00F6075C" w14:paraId="47C9C2D8"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1BBB755E" w14:textId="77777777" w:rsidR="00F6075C" w:rsidRPr="00F6075C" w:rsidRDefault="00F6075C" w:rsidP="00F6075C">
            <w:pPr>
              <w:snapToGrid w:val="0"/>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Partially recovered (n)</w:t>
            </w:r>
          </w:p>
        </w:tc>
        <w:tc>
          <w:tcPr>
            <w:tcW w:w="1113" w:type="dxa"/>
            <w:tcBorders>
              <w:top w:val="nil"/>
              <w:left w:val="single" w:sz="8" w:space="0" w:color="auto"/>
              <w:bottom w:val="nil"/>
              <w:right w:val="single" w:sz="8" w:space="0" w:color="auto"/>
            </w:tcBorders>
            <w:shd w:val="clear" w:color="auto" w:fill="auto"/>
            <w:vAlign w:val="center"/>
          </w:tcPr>
          <w:p w14:paraId="01924994"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2,185</w:t>
            </w:r>
          </w:p>
        </w:tc>
        <w:tc>
          <w:tcPr>
            <w:tcW w:w="1114" w:type="dxa"/>
            <w:tcBorders>
              <w:top w:val="nil"/>
              <w:left w:val="single" w:sz="8" w:space="0" w:color="auto"/>
              <w:bottom w:val="nil"/>
              <w:right w:val="single" w:sz="8" w:space="0" w:color="auto"/>
            </w:tcBorders>
            <w:shd w:val="clear" w:color="auto" w:fill="auto"/>
            <w:vAlign w:val="center"/>
          </w:tcPr>
          <w:p w14:paraId="641D6F9B"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590</w:t>
            </w:r>
          </w:p>
        </w:tc>
        <w:tc>
          <w:tcPr>
            <w:tcW w:w="1114" w:type="dxa"/>
            <w:tcBorders>
              <w:top w:val="nil"/>
              <w:left w:val="single" w:sz="8" w:space="0" w:color="auto"/>
              <w:bottom w:val="nil"/>
              <w:right w:val="single" w:sz="8" w:space="0" w:color="auto"/>
            </w:tcBorders>
            <w:shd w:val="clear" w:color="auto" w:fill="auto"/>
            <w:vAlign w:val="center"/>
          </w:tcPr>
          <w:p w14:paraId="584F7A08"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590</w:t>
            </w:r>
          </w:p>
        </w:tc>
        <w:tc>
          <w:tcPr>
            <w:tcW w:w="1113" w:type="dxa"/>
            <w:tcBorders>
              <w:top w:val="nil"/>
              <w:left w:val="single" w:sz="8" w:space="0" w:color="auto"/>
              <w:bottom w:val="nil"/>
              <w:right w:val="single" w:sz="8" w:space="0" w:color="auto"/>
            </w:tcBorders>
            <w:shd w:val="clear" w:color="auto" w:fill="auto"/>
            <w:vAlign w:val="center"/>
          </w:tcPr>
          <w:p w14:paraId="7C095959"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590</w:t>
            </w:r>
          </w:p>
        </w:tc>
        <w:tc>
          <w:tcPr>
            <w:tcW w:w="1114" w:type="dxa"/>
            <w:tcBorders>
              <w:top w:val="nil"/>
              <w:left w:val="single" w:sz="8" w:space="0" w:color="auto"/>
              <w:bottom w:val="nil"/>
              <w:right w:val="single" w:sz="8" w:space="0" w:color="auto"/>
            </w:tcBorders>
            <w:shd w:val="clear" w:color="auto" w:fill="auto"/>
            <w:vAlign w:val="center"/>
          </w:tcPr>
          <w:p w14:paraId="0DB5A060"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590</w:t>
            </w:r>
          </w:p>
        </w:tc>
        <w:tc>
          <w:tcPr>
            <w:tcW w:w="1114" w:type="dxa"/>
            <w:tcBorders>
              <w:top w:val="nil"/>
              <w:left w:val="single" w:sz="8" w:space="0" w:color="auto"/>
              <w:bottom w:val="nil"/>
              <w:right w:val="single" w:sz="8" w:space="0" w:color="auto"/>
            </w:tcBorders>
            <w:shd w:val="clear" w:color="auto" w:fill="auto"/>
            <w:vAlign w:val="center"/>
          </w:tcPr>
          <w:p w14:paraId="0BD62BDD"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590</w:t>
            </w:r>
          </w:p>
        </w:tc>
        <w:tc>
          <w:tcPr>
            <w:tcW w:w="1114" w:type="dxa"/>
            <w:tcBorders>
              <w:top w:val="nil"/>
              <w:left w:val="single" w:sz="8" w:space="0" w:color="auto"/>
              <w:bottom w:val="nil"/>
              <w:right w:val="single" w:sz="8" w:space="0" w:color="auto"/>
            </w:tcBorders>
            <w:shd w:val="clear" w:color="auto" w:fill="auto"/>
            <w:vAlign w:val="center"/>
          </w:tcPr>
          <w:p w14:paraId="325D7E79"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590</w:t>
            </w:r>
          </w:p>
        </w:tc>
      </w:tr>
      <w:tr w:rsidR="00F6075C" w:rsidRPr="00F6075C" w14:paraId="03C2ADD6"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244BEF9" w14:textId="77777777" w:rsidR="00F6075C" w:rsidRPr="00F6075C" w:rsidRDefault="00F6075C" w:rsidP="00F6075C">
            <w:pPr>
              <w:snapToGrid w:val="0"/>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No improvement (n)</w:t>
            </w:r>
          </w:p>
        </w:tc>
        <w:tc>
          <w:tcPr>
            <w:tcW w:w="1113" w:type="dxa"/>
            <w:tcBorders>
              <w:top w:val="nil"/>
              <w:left w:val="single" w:sz="8" w:space="0" w:color="auto"/>
              <w:bottom w:val="nil"/>
              <w:right w:val="single" w:sz="8" w:space="0" w:color="auto"/>
            </w:tcBorders>
            <w:shd w:val="clear" w:color="auto" w:fill="auto"/>
            <w:vAlign w:val="center"/>
          </w:tcPr>
          <w:p w14:paraId="425F1C8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5,282</w:t>
            </w:r>
          </w:p>
        </w:tc>
        <w:tc>
          <w:tcPr>
            <w:tcW w:w="1114" w:type="dxa"/>
            <w:tcBorders>
              <w:top w:val="nil"/>
              <w:left w:val="single" w:sz="8" w:space="0" w:color="auto"/>
              <w:bottom w:val="nil"/>
              <w:right w:val="single" w:sz="8" w:space="0" w:color="auto"/>
            </w:tcBorders>
            <w:shd w:val="clear" w:color="auto" w:fill="auto"/>
            <w:vAlign w:val="center"/>
          </w:tcPr>
          <w:p w14:paraId="55D5C76C"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9,237</w:t>
            </w:r>
          </w:p>
        </w:tc>
        <w:tc>
          <w:tcPr>
            <w:tcW w:w="1114" w:type="dxa"/>
            <w:tcBorders>
              <w:top w:val="nil"/>
              <w:left w:val="single" w:sz="8" w:space="0" w:color="auto"/>
              <w:bottom w:val="nil"/>
              <w:right w:val="single" w:sz="8" w:space="0" w:color="auto"/>
            </w:tcBorders>
            <w:shd w:val="clear" w:color="auto" w:fill="auto"/>
            <w:vAlign w:val="center"/>
          </w:tcPr>
          <w:p w14:paraId="0550616A"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9,237</w:t>
            </w:r>
          </w:p>
        </w:tc>
        <w:tc>
          <w:tcPr>
            <w:tcW w:w="1113" w:type="dxa"/>
            <w:tcBorders>
              <w:top w:val="nil"/>
              <w:left w:val="single" w:sz="8" w:space="0" w:color="auto"/>
              <w:bottom w:val="nil"/>
              <w:right w:val="single" w:sz="8" w:space="0" w:color="auto"/>
            </w:tcBorders>
            <w:shd w:val="clear" w:color="auto" w:fill="auto"/>
            <w:vAlign w:val="center"/>
          </w:tcPr>
          <w:p w14:paraId="77B5D78D"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9,237</w:t>
            </w:r>
          </w:p>
        </w:tc>
        <w:tc>
          <w:tcPr>
            <w:tcW w:w="1114" w:type="dxa"/>
            <w:tcBorders>
              <w:top w:val="nil"/>
              <w:left w:val="single" w:sz="8" w:space="0" w:color="auto"/>
              <w:bottom w:val="nil"/>
              <w:right w:val="single" w:sz="8" w:space="0" w:color="auto"/>
            </w:tcBorders>
            <w:shd w:val="clear" w:color="auto" w:fill="auto"/>
            <w:vAlign w:val="center"/>
          </w:tcPr>
          <w:p w14:paraId="161B3755"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9,237</w:t>
            </w:r>
          </w:p>
        </w:tc>
        <w:tc>
          <w:tcPr>
            <w:tcW w:w="1114" w:type="dxa"/>
            <w:tcBorders>
              <w:top w:val="nil"/>
              <w:left w:val="single" w:sz="8" w:space="0" w:color="auto"/>
              <w:bottom w:val="nil"/>
              <w:right w:val="single" w:sz="8" w:space="0" w:color="auto"/>
            </w:tcBorders>
            <w:shd w:val="clear" w:color="auto" w:fill="auto"/>
            <w:vAlign w:val="center"/>
          </w:tcPr>
          <w:p w14:paraId="2D267C2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9,237</w:t>
            </w:r>
          </w:p>
        </w:tc>
        <w:tc>
          <w:tcPr>
            <w:tcW w:w="1114" w:type="dxa"/>
            <w:tcBorders>
              <w:top w:val="nil"/>
              <w:left w:val="single" w:sz="8" w:space="0" w:color="auto"/>
              <w:bottom w:val="nil"/>
              <w:right w:val="single" w:sz="8" w:space="0" w:color="auto"/>
            </w:tcBorders>
            <w:shd w:val="clear" w:color="auto" w:fill="auto"/>
            <w:vAlign w:val="center"/>
          </w:tcPr>
          <w:p w14:paraId="387536C3"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9,237</w:t>
            </w:r>
          </w:p>
        </w:tc>
      </w:tr>
      <w:tr w:rsidR="00F6075C" w:rsidRPr="00F6075C" w14:paraId="226F8F93"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5E9399CC" w14:textId="77777777" w:rsidR="00F6075C" w:rsidRPr="00F6075C" w:rsidRDefault="00F6075C" w:rsidP="00F6075C">
            <w:pPr>
              <w:snapToGrid w:val="0"/>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Deteriorated (n)</w:t>
            </w:r>
          </w:p>
        </w:tc>
        <w:tc>
          <w:tcPr>
            <w:tcW w:w="1113" w:type="dxa"/>
            <w:tcBorders>
              <w:top w:val="nil"/>
              <w:left w:val="single" w:sz="8" w:space="0" w:color="auto"/>
              <w:bottom w:val="nil"/>
              <w:right w:val="single" w:sz="8" w:space="0" w:color="auto"/>
            </w:tcBorders>
            <w:shd w:val="clear" w:color="auto" w:fill="auto"/>
            <w:vAlign w:val="center"/>
          </w:tcPr>
          <w:p w14:paraId="5F8003A5"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845</w:t>
            </w:r>
          </w:p>
        </w:tc>
        <w:tc>
          <w:tcPr>
            <w:tcW w:w="1114" w:type="dxa"/>
            <w:tcBorders>
              <w:top w:val="nil"/>
              <w:left w:val="single" w:sz="8" w:space="0" w:color="auto"/>
              <w:bottom w:val="nil"/>
              <w:right w:val="single" w:sz="8" w:space="0" w:color="auto"/>
            </w:tcBorders>
            <w:shd w:val="clear" w:color="auto" w:fill="auto"/>
            <w:vAlign w:val="center"/>
          </w:tcPr>
          <w:p w14:paraId="4D18B74B"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2,091</w:t>
            </w:r>
          </w:p>
        </w:tc>
        <w:tc>
          <w:tcPr>
            <w:tcW w:w="1114" w:type="dxa"/>
            <w:tcBorders>
              <w:top w:val="nil"/>
              <w:left w:val="single" w:sz="8" w:space="0" w:color="auto"/>
              <w:bottom w:val="nil"/>
              <w:right w:val="single" w:sz="8" w:space="0" w:color="auto"/>
            </w:tcBorders>
            <w:shd w:val="clear" w:color="auto" w:fill="auto"/>
            <w:vAlign w:val="center"/>
          </w:tcPr>
          <w:p w14:paraId="483C96BB"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2,091</w:t>
            </w:r>
          </w:p>
        </w:tc>
        <w:tc>
          <w:tcPr>
            <w:tcW w:w="1113" w:type="dxa"/>
            <w:tcBorders>
              <w:top w:val="nil"/>
              <w:left w:val="single" w:sz="8" w:space="0" w:color="auto"/>
              <w:bottom w:val="nil"/>
              <w:right w:val="single" w:sz="8" w:space="0" w:color="auto"/>
            </w:tcBorders>
            <w:shd w:val="clear" w:color="auto" w:fill="auto"/>
            <w:vAlign w:val="center"/>
          </w:tcPr>
          <w:p w14:paraId="576F5FA5"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2,091</w:t>
            </w:r>
          </w:p>
        </w:tc>
        <w:tc>
          <w:tcPr>
            <w:tcW w:w="1114" w:type="dxa"/>
            <w:tcBorders>
              <w:top w:val="nil"/>
              <w:left w:val="single" w:sz="8" w:space="0" w:color="auto"/>
              <w:bottom w:val="nil"/>
              <w:right w:val="single" w:sz="8" w:space="0" w:color="auto"/>
            </w:tcBorders>
            <w:shd w:val="clear" w:color="auto" w:fill="auto"/>
            <w:vAlign w:val="center"/>
          </w:tcPr>
          <w:p w14:paraId="66B5235E"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2,091</w:t>
            </w:r>
          </w:p>
        </w:tc>
        <w:tc>
          <w:tcPr>
            <w:tcW w:w="1114" w:type="dxa"/>
            <w:tcBorders>
              <w:top w:val="nil"/>
              <w:left w:val="single" w:sz="8" w:space="0" w:color="auto"/>
              <w:bottom w:val="nil"/>
              <w:right w:val="single" w:sz="8" w:space="0" w:color="auto"/>
            </w:tcBorders>
            <w:shd w:val="clear" w:color="auto" w:fill="auto"/>
            <w:vAlign w:val="center"/>
          </w:tcPr>
          <w:p w14:paraId="4E1AB29A"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2,091</w:t>
            </w:r>
          </w:p>
        </w:tc>
        <w:tc>
          <w:tcPr>
            <w:tcW w:w="1114" w:type="dxa"/>
            <w:tcBorders>
              <w:top w:val="nil"/>
              <w:left w:val="single" w:sz="8" w:space="0" w:color="auto"/>
              <w:bottom w:val="nil"/>
              <w:right w:val="single" w:sz="8" w:space="0" w:color="auto"/>
            </w:tcBorders>
            <w:shd w:val="clear" w:color="auto" w:fill="auto"/>
            <w:vAlign w:val="center"/>
          </w:tcPr>
          <w:p w14:paraId="71429589"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2,091</w:t>
            </w:r>
          </w:p>
        </w:tc>
      </w:tr>
      <w:tr w:rsidR="00F6075C" w:rsidRPr="00F6075C" w14:paraId="19EA9CC0"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CE3B5F9"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QALY</w:t>
            </w:r>
          </w:p>
        </w:tc>
        <w:tc>
          <w:tcPr>
            <w:tcW w:w="1113" w:type="dxa"/>
            <w:tcBorders>
              <w:top w:val="nil"/>
              <w:left w:val="single" w:sz="8" w:space="0" w:color="auto"/>
              <w:bottom w:val="nil"/>
              <w:right w:val="single" w:sz="8" w:space="0" w:color="auto"/>
            </w:tcBorders>
            <w:shd w:val="clear" w:color="auto" w:fill="auto"/>
            <w:vAlign w:val="center"/>
          </w:tcPr>
          <w:p w14:paraId="36C8D472"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10,921</w:t>
            </w:r>
          </w:p>
        </w:tc>
        <w:tc>
          <w:tcPr>
            <w:tcW w:w="1114" w:type="dxa"/>
            <w:tcBorders>
              <w:top w:val="nil"/>
              <w:left w:val="single" w:sz="8" w:space="0" w:color="auto"/>
              <w:bottom w:val="nil"/>
              <w:right w:val="single" w:sz="8" w:space="0" w:color="auto"/>
            </w:tcBorders>
            <w:shd w:val="clear" w:color="auto" w:fill="auto"/>
            <w:vAlign w:val="center"/>
          </w:tcPr>
          <w:p w14:paraId="518ADBBA"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10,457</w:t>
            </w:r>
          </w:p>
        </w:tc>
        <w:tc>
          <w:tcPr>
            <w:tcW w:w="1114" w:type="dxa"/>
            <w:tcBorders>
              <w:top w:val="nil"/>
              <w:left w:val="single" w:sz="8" w:space="0" w:color="auto"/>
              <w:bottom w:val="nil"/>
              <w:right w:val="single" w:sz="8" w:space="0" w:color="auto"/>
            </w:tcBorders>
            <w:shd w:val="clear" w:color="auto" w:fill="auto"/>
            <w:vAlign w:val="center"/>
          </w:tcPr>
          <w:p w14:paraId="571C3EE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10,457</w:t>
            </w:r>
          </w:p>
        </w:tc>
        <w:tc>
          <w:tcPr>
            <w:tcW w:w="1113" w:type="dxa"/>
            <w:tcBorders>
              <w:top w:val="nil"/>
              <w:left w:val="single" w:sz="8" w:space="0" w:color="auto"/>
              <w:bottom w:val="nil"/>
              <w:right w:val="single" w:sz="8" w:space="0" w:color="auto"/>
            </w:tcBorders>
            <w:shd w:val="clear" w:color="auto" w:fill="auto"/>
            <w:vAlign w:val="center"/>
          </w:tcPr>
          <w:p w14:paraId="71A5A63D"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10,457</w:t>
            </w:r>
          </w:p>
        </w:tc>
        <w:tc>
          <w:tcPr>
            <w:tcW w:w="1114" w:type="dxa"/>
            <w:tcBorders>
              <w:top w:val="nil"/>
              <w:left w:val="single" w:sz="8" w:space="0" w:color="auto"/>
              <w:bottom w:val="nil"/>
              <w:right w:val="single" w:sz="8" w:space="0" w:color="auto"/>
            </w:tcBorders>
            <w:shd w:val="clear" w:color="auto" w:fill="auto"/>
            <w:vAlign w:val="center"/>
          </w:tcPr>
          <w:p w14:paraId="7AE76433"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10,457</w:t>
            </w:r>
          </w:p>
        </w:tc>
        <w:tc>
          <w:tcPr>
            <w:tcW w:w="1114" w:type="dxa"/>
            <w:tcBorders>
              <w:top w:val="nil"/>
              <w:left w:val="single" w:sz="8" w:space="0" w:color="auto"/>
              <w:bottom w:val="nil"/>
              <w:right w:val="single" w:sz="8" w:space="0" w:color="auto"/>
            </w:tcBorders>
            <w:shd w:val="clear" w:color="auto" w:fill="auto"/>
            <w:vAlign w:val="center"/>
          </w:tcPr>
          <w:p w14:paraId="19FBE40D"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10,457</w:t>
            </w:r>
          </w:p>
        </w:tc>
        <w:tc>
          <w:tcPr>
            <w:tcW w:w="1114" w:type="dxa"/>
            <w:tcBorders>
              <w:top w:val="nil"/>
              <w:left w:val="single" w:sz="8" w:space="0" w:color="auto"/>
              <w:bottom w:val="nil"/>
              <w:right w:val="single" w:sz="8" w:space="0" w:color="auto"/>
            </w:tcBorders>
            <w:shd w:val="clear" w:color="auto" w:fill="auto"/>
            <w:vAlign w:val="center"/>
          </w:tcPr>
          <w:p w14:paraId="6F68935F"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10,457</w:t>
            </w:r>
          </w:p>
        </w:tc>
      </w:tr>
      <w:tr w:rsidR="00F6075C" w:rsidRPr="00F6075C" w14:paraId="61E27069"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588C2154"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Total costs excluding productivity losses</w:t>
            </w:r>
          </w:p>
        </w:tc>
        <w:tc>
          <w:tcPr>
            <w:tcW w:w="1113" w:type="dxa"/>
            <w:tcBorders>
              <w:top w:val="nil"/>
              <w:left w:val="single" w:sz="8" w:space="0" w:color="auto"/>
              <w:bottom w:val="nil"/>
              <w:right w:val="single" w:sz="8" w:space="0" w:color="auto"/>
            </w:tcBorders>
            <w:shd w:val="clear" w:color="auto" w:fill="auto"/>
            <w:vAlign w:val="center"/>
          </w:tcPr>
          <w:p w14:paraId="12E77A78"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$24,926,563</w:t>
            </w:r>
          </w:p>
        </w:tc>
        <w:tc>
          <w:tcPr>
            <w:tcW w:w="1114" w:type="dxa"/>
            <w:tcBorders>
              <w:top w:val="nil"/>
              <w:left w:val="single" w:sz="8" w:space="0" w:color="auto"/>
              <w:bottom w:val="nil"/>
              <w:right w:val="single" w:sz="8" w:space="0" w:color="auto"/>
            </w:tcBorders>
            <w:shd w:val="clear" w:color="auto" w:fill="auto"/>
            <w:vAlign w:val="center"/>
          </w:tcPr>
          <w:p w14:paraId="55521719"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$38,568,453</w:t>
            </w:r>
          </w:p>
        </w:tc>
        <w:tc>
          <w:tcPr>
            <w:tcW w:w="1114" w:type="dxa"/>
            <w:tcBorders>
              <w:top w:val="nil"/>
              <w:left w:val="single" w:sz="8" w:space="0" w:color="auto"/>
              <w:bottom w:val="nil"/>
              <w:right w:val="single" w:sz="8" w:space="0" w:color="auto"/>
            </w:tcBorders>
            <w:shd w:val="clear" w:color="auto" w:fill="auto"/>
            <w:vAlign w:val="center"/>
          </w:tcPr>
          <w:p w14:paraId="494CFB30"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$24,881,917</w:t>
            </w:r>
          </w:p>
        </w:tc>
        <w:tc>
          <w:tcPr>
            <w:tcW w:w="1113" w:type="dxa"/>
            <w:tcBorders>
              <w:top w:val="nil"/>
              <w:left w:val="single" w:sz="8" w:space="0" w:color="auto"/>
              <w:bottom w:val="nil"/>
              <w:right w:val="single" w:sz="8" w:space="0" w:color="auto"/>
            </w:tcBorders>
            <w:shd w:val="clear" w:color="auto" w:fill="auto"/>
            <w:vAlign w:val="center"/>
          </w:tcPr>
          <w:p w14:paraId="294D49DD"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$8,856,798</w:t>
            </w:r>
          </w:p>
        </w:tc>
        <w:tc>
          <w:tcPr>
            <w:tcW w:w="1114" w:type="dxa"/>
            <w:tcBorders>
              <w:top w:val="nil"/>
              <w:left w:val="single" w:sz="8" w:space="0" w:color="auto"/>
              <w:bottom w:val="nil"/>
              <w:right w:val="single" w:sz="8" w:space="0" w:color="auto"/>
            </w:tcBorders>
            <w:shd w:val="clear" w:color="auto" w:fill="auto"/>
            <w:vAlign w:val="center"/>
          </w:tcPr>
          <w:p w14:paraId="15176C91"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$21,657,534</w:t>
            </w:r>
          </w:p>
        </w:tc>
        <w:tc>
          <w:tcPr>
            <w:tcW w:w="1114" w:type="dxa"/>
            <w:tcBorders>
              <w:top w:val="nil"/>
              <w:left w:val="single" w:sz="8" w:space="0" w:color="auto"/>
              <w:bottom w:val="nil"/>
              <w:right w:val="single" w:sz="8" w:space="0" w:color="auto"/>
            </w:tcBorders>
            <w:shd w:val="clear" w:color="auto" w:fill="auto"/>
            <w:vAlign w:val="center"/>
          </w:tcPr>
          <w:p w14:paraId="3EACC2E1"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$67,920,264</w:t>
            </w:r>
          </w:p>
        </w:tc>
        <w:tc>
          <w:tcPr>
            <w:tcW w:w="1114" w:type="dxa"/>
            <w:tcBorders>
              <w:top w:val="nil"/>
              <w:left w:val="single" w:sz="8" w:space="0" w:color="auto"/>
              <w:bottom w:val="nil"/>
              <w:right w:val="single" w:sz="8" w:space="0" w:color="auto"/>
            </w:tcBorders>
            <w:shd w:val="clear" w:color="auto" w:fill="auto"/>
            <w:vAlign w:val="center"/>
          </w:tcPr>
          <w:p w14:paraId="04BD012B"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$36,423,333</w:t>
            </w:r>
          </w:p>
        </w:tc>
      </w:tr>
      <w:tr w:rsidR="00F6075C" w:rsidRPr="00F6075C" w14:paraId="7E8A54A3"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46FF6946"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Costs per QALY </w:t>
            </w:r>
          </w:p>
          <w:p w14:paraId="4F76894E"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gained</w:t>
            </w:r>
          </w:p>
        </w:tc>
        <w:tc>
          <w:tcPr>
            <w:tcW w:w="1113" w:type="dxa"/>
            <w:tcBorders>
              <w:top w:val="nil"/>
              <w:left w:val="single" w:sz="8" w:space="0" w:color="auto"/>
              <w:bottom w:val="nil"/>
              <w:right w:val="single" w:sz="8" w:space="0" w:color="auto"/>
            </w:tcBorders>
            <w:shd w:val="clear" w:color="auto" w:fill="auto"/>
            <w:vAlign w:val="center"/>
          </w:tcPr>
          <w:p w14:paraId="117E5E3D"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w:t>
            </w:r>
          </w:p>
        </w:tc>
        <w:tc>
          <w:tcPr>
            <w:tcW w:w="1114" w:type="dxa"/>
            <w:tcBorders>
              <w:top w:val="nil"/>
              <w:left w:val="single" w:sz="8" w:space="0" w:color="auto"/>
              <w:bottom w:val="nil"/>
              <w:right w:val="single" w:sz="8" w:space="0" w:color="auto"/>
            </w:tcBorders>
            <w:shd w:val="clear" w:color="auto" w:fill="auto"/>
            <w:vAlign w:val="center"/>
          </w:tcPr>
          <w:p w14:paraId="37F20907"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5B51143A"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$96</w:t>
            </w:r>
          </w:p>
        </w:tc>
        <w:tc>
          <w:tcPr>
            <w:tcW w:w="1113" w:type="dxa"/>
            <w:tcBorders>
              <w:top w:val="nil"/>
              <w:left w:val="single" w:sz="8" w:space="0" w:color="auto"/>
              <w:bottom w:val="nil"/>
              <w:right w:val="single" w:sz="8" w:space="0" w:color="auto"/>
            </w:tcBorders>
            <w:shd w:val="clear" w:color="auto" w:fill="auto"/>
            <w:vAlign w:val="center"/>
          </w:tcPr>
          <w:p w14:paraId="5081E83C"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$34,620</w:t>
            </w:r>
          </w:p>
        </w:tc>
        <w:tc>
          <w:tcPr>
            <w:tcW w:w="1114" w:type="dxa"/>
            <w:tcBorders>
              <w:top w:val="nil"/>
              <w:left w:val="single" w:sz="8" w:space="0" w:color="auto"/>
              <w:bottom w:val="nil"/>
              <w:right w:val="single" w:sz="8" w:space="0" w:color="auto"/>
            </w:tcBorders>
            <w:shd w:val="clear" w:color="auto" w:fill="auto"/>
            <w:vAlign w:val="center"/>
          </w:tcPr>
          <w:p w14:paraId="22B7269B"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$7,043</w:t>
            </w:r>
          </w:p>
        </w:tc>
        <w:tc>
          <w:tcPr>
            <w:tcW w:w="1114" w:type="dxa"/>
            <w:tcBorders>
              <w:top w:val="nil"/>
              <w:left w:val="single" w:sz="8" w:space="0" w:color="auto"/>
              <w:bottom w:val="nil"/>
              <w:right w:val="single" w:sz="8" w:space="0" w:color="auto"/>
            </w:tcBorders>
            <w:shd w:val="clear" w:color="auto" w:fill="auto"/>
            <w:vAlign w:val="center"/>
          </w:tcPr>
          <w:p w14:paraId="6750D5DB"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232932B0"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r>
      <w:tr w:rsidR="00F6075C" w:rsidRPr="00F6075C" w14:paraId="454CDCE3"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1BDDF517"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Total costs including productivity losses     </w:t>
            </w:r>
          </w:p>
        </w:tc>
        <w:tc>
          <w:tcPr>
            <w:tcW w:w="1113" w:type="dxa"/>
            <w:tcBorders>
              <w:top w:val="nil"/>
              <w:left w:val="single" w:sz="8" w:space="0" w:color="auto"/>
              <w:bottom w:val="nil"/>
              <w:right w:val="single" w:sz="8" w:space="0" w:color="auto"/>
            </w:tcBorders>
            <w:shd w:val="clear" w:color="auto" w:fill="auto"/>
            <w:vAlign w:val="center"/>
          </w:tcPr>
          <w:p w14:paraId="2D104135"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$35,339,645</w:t>
            </w:r>
          </w:p>
        </w:tc>
        <w:tc>
          <w:tcPr>
            <w:tcW w:w="1114" w:type="dxa"/>
            <w:tcBorders>
              <w:top w:val="nil"/>
              <w:left w:val="single" w:sz="8" w:space="0" w:color="auto"/>
              <w:bottom w:val="nil"/>
              <w:right w:val="single" w:sz="8" w:space="0" w:color="auto"/>
            </w:tcBorders>
            <w:shd w:val="clear" w:color="auto" w:fill="auto"/>
            <w:vAlign w:val="center"/>
          </w:tcPr>
          <w:p w14:paraId="63A25D87"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$152,529,830</w:t>
            </w:r>
          </w:p>
        </w:tc>
        <w:tc>
          <w:tcPr>
            <w:tcW w:w="1114" w:type="dxa"/>
            <w:tcBorders>
              <w:top w:val="nil"/>
              <w:left w:val="single" w:sz="8" w:space="0" w:color="auto"/>
              <w:bottom w:val="nil"/>
              <w:right w:val="single" w:sz="8" w:space="0" w:color="auto"/>
            </w:tcBorders>
            <w:shd w:val="clear" w:color="auto" w:fill="auto"/>
            <w:vAlign w:val="center"/>
          </w:tcPr>
          <w:p w14:paraId="66EAE4A0"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$242,702,631</w:t>
            </w:r>
          </w:p>
        </w:tc>
        <w:tc>
          <w:tcPr>
            <w:tcW w:w="1113" w:type="dxa"/>
            <w:tcBorders>
              <w:top w:val="nil"/>
              <w:left w:val="single" w:sz="8" w:space="0" w:color="auto"/>
              <w:bottom w:val="nil"/>
              <w:right w:val="single" w:sz="8" w:space="0" w:color="auto"/>
            </w:tcBorders>
            <w:shd w:val="clear" w:color="auto" w:fill="auto"/>
            <w:vAlign w:val="center"/>
          </w:tcPr>
          <w:p w14:paraId="5C51AD22"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$65,719,907</w:t>
            </w:r>
          </w:p>
        </w:tc>
        <w:tc>
          <w:tcPr>
            <w:tcW w:w="1114" w:type="dxa"/>
            <w:tcBorders>
              <w:top w:val="nil"/>
              <w:left w:val="single" w:sz="8" w:space="0" w:color="auto"/>
              <w:bottom w:val="nil"/>
              <w:right w:val="single" w:sz="8" w:space="0" w:color="auto"/>
            </w:tcBorders>
            <w:shd w:val="clear" w:color="auto" w:fill="auto"/>
            <w:vAlign w:val="center"/>
          </w:tcPr>
          <w:p w14:paraId="446BD77B"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$239,630,551</w:t>
            </w:r>
          </w:p>
        </w:tc>
        <w:tc>
          <w:tcPr>
            <w:tcW w:w="1114" w:type="dxa"/>
            <w:tcBorders>
              <w:top w:val="nil"/>
              <w:left w:val="single" w:sz="8" w:space="0" w:color="auto"/>
              <w:bottom w:val="nil"/>
              <w:right w:val="single" w:sz="8" w:space="0" w:color="auto"/>
            </w:tcBorders>
            <w:shd w:val="clear" w:color="auto" w:fill="auto"/>
            <w:vAlign w:val="center"/>
          </w:tcPr>
          <w:p w14:paraId="78365343"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$238,315,860</w:t>
            </w:r>
          </w:p>
        </w:tc>
        <w:tc>
          <w:tcPr>
            <w:tcW w:w="1114" w:type="dxa"/>
            <w:tcBorders>
              <w:top w:val="nil"/>
              <w:left w:val="single" w:sz="8" w:space="0" w:color="auto"/>
              <w:bottom w:val="nil"/>
              <w:right w:val="single" w:sz="8" w:space="0" w:color="auto"/>
            </w:tcBorders>
            <w:shd w:val="clear" w:color="auto" w:fill="auto"/>
            <w:vAlign w:val="center"/>
          </w:tcPr>
          <w:p w14:paraId="5725196A" w14:textId="77777777" w:rsidR="00F6075C" w:rsidRPr="00F6075C" w:rsidRDefault="00F6075C" w:rsidP="00F6075C">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$231,534,868</w:t>
            </w:r>
          </w:p>
        </w:tc>
      </w:tr>
      <w:tr w:rsidR="00F6075C" w:rsidRPr="00F6075C" w14:paraId="34982E4A"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single" w:sz="4" w:space="0" w:color="auto"/>
              <w:right w:val="single" w:sz="8" w:space="0" w:color="auto"/>
            </w:tcBorders>
            <w:shd w:val="clear" w:color="auto" w:fill="auto"/>
            <w:noWrap/>
            <w:vAlign w:val="center"/>
          </w:tcPr>
          <w:p w14:paraId="30C2C117"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Costs per QALY </w:t>
            </w:r>
          </w:p>
          <w:p w14:paraId="3A7653EA" w14:textId="77777777" w:rsidR="00F6075C" w:rsidRPr="00F6075C" w:rsidRDefault="00F6075C" w:rsidP="00F6075C">
            <w:pPr>
              <w:snapToGrid w:val="0"/>
              <w:ind w:left="169"/>
              <w:rPr>
                <w:rFonts w:ascii="Calibri" w:hAnsi="Calibri" w:cs="Calibri"/>
                <w:color w:val="000000"/>
                <w:sz w:val="16"/>
                <w:szCs w:val="16"/>
                <w:lang w:eastAsia="en-AU"/>
              </w:rPr>
            </w:pPr>
            <w:r w:rsidRPr="00F6075C">
              <w:rPr>
                <w:rFonts w:ascii="Calibri" w:hAnsi="Calibri" w:cs="Calibri"/>
                <w:color w:val="000000"/>
                <w:sz w:val="16"/>
                <w:szCs w:val="16"/>
                <w:lang w:eastAsia="en-AU"/>
              </w:rPr>
              <w:t xml:space="preserve">     gained</w:t>
            </w:r>
          </w:p>
        </w:tc>
        <w:tc>
          <w:tcPr>
            <w:tcW w:w="1113" w:type="dxa"/>
            <w:tcBorders>
              <w:top w:val="nil"/>
              <w:left w:val="single" w:sz="8" w:space="0" w:color="auto"/>
              <w:bottom w:val="single" w:sz="4" w:space="0" w:color="auto"/>
              <w:right w:val="single" w:sz="8" w:space="0" w:color="auto"/>
            </w:tcBorders>
            <w:shd w:val="clear" w:color="auto" w:fill="auto"/>
            <w:vAlign w:val="center"/>
          </w:tcPr>
          <w:p w14:paraId="687E1990"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w:t>
            </w:r>
          </w:p>
        </w:tc>
        <w:tc>
          <w:tcPr>
            <w:tcW w:w="1114" w:type="dxa"/>
            <w:tcBorders>
              <w:top w:val="nil"/>
              <w:left w:val="single" w:sz="8" w:space="0" w:color="auto"/>
              <w:bottom w:val="single" w:sz="4" w:space="0" w:color="auto"/>
              <w:right w:val="single" w:sz="8" w:space="0" w:color="auto"/>
            </w:tcBorders>
            <w:shd w:val="clear" w:color="auto" w:fill="auto"/>
            <w:vAlign w:val="center"/>
          </w:tcPr>
          <w:p w14:paraId="48A7962F"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60395FFD"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3" w:type="dxa"/>
            <w:tcBorders>
              <w:top w:val="nil"/>
              <w:left w:val="single" w:sz="8" w:space="0" w:color="auto"/>
              <w:bottom w:val="single" w:sz="4" w:space="0" w:color="auto"/>
              <w:right w:val="single" w:sz="8" w:space="0" w:color="auto"/>
            </w:tcBorders>
            <w:shd w:val="clear" w:color="auto" w:fill="auto"/>
            <w:vAlign w:val="center"/>
          </w:tcPr>
          <w:p w14:paraId="142461BA"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52C5D6DD"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0AD0C244"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05B9665A" w14:textId="77777777" w:rsidR="00F6075C" w:rsidRPr="00F6075C" w:rsidRDefault="00F6075C" w:rsidP="00F6075C">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F6075C">
              <w:rPr>
                <w:rFonts w:ascii="Calibri" w:hAnsi="Calibri" w:cs="Calibri"/>
                <w:color w:val="000000"/>
                <w:sz w:val="16"/>
                <w:szCs w:val="16"/>
                <w:lang w:eastAsia="en-AU"/>
              </w:rPr>
              <w:t>[dominant]</w:t>
            </w:r>
          </w:p>
        </w:tc>
      </w:tr>
    </w:tbl>
    <w:p w14:paraId="4D348B13" w14:textId="77777777" w:rsidR="00F6075C" w:rsidRPr="0000769E" w:rsidRDefault="00F6075C" w:rsidP="00F6075C">
      <w:pPr>
        <w:snapToGrid w:val="0"/>
        <w:rPr>
          <w:rFonts w:asciiTheme="minorHAnsi" w:hAnsiTheme="minorHAnsi" w:cstheme="minorHAnsi"/>
          <w:iCs/>
          <w:sz w:val="16"/>
          <w:szCs w:val="16"/>
        </w:rPr>
      </w:pPr>
      <w:r w:rsidRPr="0000769E">
        <w:rPr>
          <w:rFonts w:asciiTheme="minorHAnsi" w:hAnsiTheme="minorHAnsi" w:cstheme="minorHAnsi"/>
          <w:iCs/>
          <w:sz w:val="16"/>
          <w:szCs w:val="16"/>
        </w:rPr>
        <w:t>QALY = quality-adjusted life year</w:t>
      </w:r>
    </w:p>
    <w:p w14:paraId="73C82899" w14:textId="77777777" w:rsidR="00F6075C" w:rsidRPr="0000769E" w:rsidRDefault="00F6075C" w:rsidP="00F6075C">
      <w:pPr>
        <w:snapToGrid w:val="0"/>
        <w:rPr>
          <w:rFonts w:asciiTheme="minorHAnsi" w:hAnsiTheme="minorHAnsi" w:cstheme="minorHAnsi"/>
          <w:iCs/>
          <w:sz w:val="16"/>
          <w:szCs w:val="16"/>
          <w:vertAlign w:val="superscript"/>
        </w:rPr>
      </w:pPr>
      <w:r w:rsidRPr="0000769E">
        <w:rPr>
          <w:rFonts w:asciiTheme="minorHAnsi" w:hAnsiTheme="minorHAnsi" w:cstheme="minorHAnsi"/>
          <w:iCs/>
          <w:sz w:val="16"/>
          <w:szCs w:val="16"/>
        </w:rPr>
        <w:t>A ‘dominant’ costs per QALY gained indicates that the DMHS was found to have lower costs and greater benefits.</w:t>
      </w:r>
    </w:p>
    <w:p w14:paraId="60CA6779" w14:textId="141D40AF" w:rsidR="00F6075C" w:rsidRPr="0000769E" w:rsidRDefault="00F6075C" w:rsidP="00F6075C">
      <w:pPr>
        <w:snapToGrid w:val="0"/>
        <w:rPr>
          <w:rFonts w:asciiTheme="minorHAnsi" w:hAnsiTheme="minorHAnsi" w:cstheme="minorHAnsi"/>
          <w:iCs/>
          <w:sz w:val="16"/>
          <w:szCs w:val="16"/>
        </w:rPr>
      </w:pPr>
      <w:proofErr w:type="spellStart"/>
      <w:r w:rsidRPr="0000769E">
        <w:rPr>
          <w:rFonts w:asciiTheme="minorHAnsi" w:hAnsiTheme="minorHAnsi" w:cstheme="minorHAnsi"/>
          <w:iCs/>
          <w:sz w:val="16"/>
          <w:szCs w:val="16"/>
          <w:vertAlign w:val="superscript"/>
        </w:rPr>
        <w:t>a</w:t>
      </w:r>
      <w:r w:rsidRPr="0000769E">
        <w:rPr>
          <w:rFonts w:asciiTheme="minorHAnsi" w:hAnsiTheme="minorHAnsi" w:cstheme="minorHAnsi"/>
          <w:iCs/>
          <w:sz w:val="16"/>
          <w:szCs w:val="16"/>
        </w:rPr>
        <w:t>Based</w:t>
      </w:r>
      <w:proofErr w:type="spellEnd"/>
      <w:r w:rsidRPr="0000769E">
        <w:rPr>
          <w:rFonts w:asciiTheme="minorHAnsi" w:hAnsiTheme="minorHAnsi" w:cstheme="minorHAnsi"/>
          <w:iCs/>
          <w:sz w:val="16"/>
          <w:szCs w:val="16"/>
        </w:rPr>
        <w:t xml:space="preserve"> on (</w:t>
      </w:r>
      <w:proofErr w:type="spellStart"/>
      <w:r w:rsidRPr="0000769E">
        <w:rPr>
          <w:rFonts w:asciiTheme="minorHAnsi" w:hAnsiTheme="minorHAnsi" w:cstheme="minorHAnsi"/>
          <w:iCs/>
          <w:sz w:val="16"/>
          <w:szCs w:val="16"/>
        </w:rPr>
        <w:t>i</w:t>
      </w:r>
      <w:proofErr w:type="spellEnd"/>
      <w:r w:rsidRPr="0000769E">
        <w:rPr>
          <w:rFonts w:asciiTheme="minorHAnsi" w:hAnsiTheme="minorHAnsi" w:cstheme="minorHAnsi"/>
          <w:iCs/>
          <w:sz w:val="16"/>
          <w:szCs w:val="16"/>
        </w:rPr>
        <w:t xml:space="preserve">) an input population of 3,330 consumers and annual cost of service delivery per consumer as reported in Table </w:t>
      </w:r>
      <w:r w:rsidRPr="0000769E">
        <w:rPr>
          <w:rFonts w:asciiTheme="minorHAnsi" w:hAnsiTheme="minorHAnsi" w:cstheme="minorBidi"/>
          <w:sz w:val="16"/>
          <w:szCs w:val="16"/>
        </w:rPr>
        <w:t>55</w:t>
      </w:r>
      <w:r w:rsidRPr="0000769E">
        <w:rPr>
          <w:rFonts w:asciiTheme="minorHAnsi" w:hAnsiTheme="minorHAnsi" w:cstheme="minorHAnsi"/>
          <w:iCs/>
          <w:sz w:val="16"/>
          <w:szCs w:val="16"/>
        </w:rPr>
        <w:t xml:space="preserve"> and (ii) health care cost and productivity losses as reported in Table </w:t>
      </w:r>
      <w:r w:rsidRPr="0000769E">
        <w:rPr>
          <w:rFonts w:asciiTheme="minorHAnsi" w:hAnsiTheme="minorHAnsi" w:cstheme="minorBidi"/>
          <w:sz w:val="16"/>
          <w:szCs w:val="16"/>
        </w:rPr>
        <w:t>58</w:t>
      </w:r>
      <w:r w:rsidRPr="0000769E">
        <w:rPr>
          <w:rFonts w:asciiTheme="minorHAnsi" w:hAnsiTheme="minorHAnsi" w:cstheme="minorHAnsi"/>
          <w:iCs/>
          <w:sz w:val="16"/>
          <w:szCs w:val="16"/>
        </w:rPr>
        <w:t>.</w:t>
      </w:r>
    </w:p>
    <w:p w14:paraId="4FF06A64" w14:textId="46850DBB" w:rsidR="00F6075C" w:rsidRPr="00F6075C" w:rsidRDefault="00F6075C" w:rsidP="00066DF4">
      <w:pPr>
        <w:snapToGrid w:val="0"/>
        <w:spacing w:after="240"/>
        <w:rPr>
          <w:rFonts w:asciiTheme="minorHAnsi" w:hAnsiTheme="minorHAnsi" w:cstheme="minorHAnsi"/>
          <w:iCs/>
          <w:sz w:val="16"/>
          <w:szCs w:val="16"/>
        </w:rPr>
      </w:pPr>
      <w:proofErr w:type="spellStart"/>
      <w:r w:rsidRPr="0000769E">
        <w:rPr>
          <w:rFonts w:asciiTheme="minorHAnsi" w:hAnsiTheme="minorHAnsi" w:cstheme="minorHAnsi"/>
          <w:iCs/>
          <w:sz w:val="16"/>
          <w:szCs w:val="16"/>
          <w:vertAlign w:val="superscript"/>
        </w:rPr>
        <w:t>b</w:t>
      </w:r>
      <w:r w:rsidRPr="0000769E">
        <w:rPr>
          <w:rFonts w:asciiTheme="minorHAnsi" w:hAnsiTheme="minorHAnsi" w:cstheme="minorHAnsi"/>
          <w:iCs/>
          <w:sz w:val="16"/>
          <w:szCs w:val="16"/>
        </w:rPr>
        <w:t>B</w:t>
      </w:r>
      <w:r w:rsidRPr="0000769E">
        <w:rPr>
          <w:rFonts w:asciiTheme="minorHAnsi" w:hAnsiTheme="minorHAnsi" w:cstheme="minorHAnsi"/>
          <w:iCs/>
          <w:color w:val="44546A" w:themeColor="text2"/>
          <w:sz w:val="16"/>
          <w:szCs w:val="16"/>
        </w:rPr>
        <w:t>a</w:t>
      </w:r>
      <w:r w:rsidRPr="0000769E">
        <w:rPr>
          <w:rFonts w:asciiTheme="minorHAnsi" w:hAnsiTheme="minorHAnsi" w:cstheme="minorHAnsi"/>
          <w:iCs/>
          <w:sz w:val="16"/>
          <w:szCs w:val="16"/>
        </w:rPr>
        <w:t>sed</w:t>
      </w:r>
      <w:proofErr w:type="spellEnd"/>
      <w:r w:rsidRPr="0000769E">
        <w:rPr>
          <w:rFonts w:asciiTheme="minorHAnsi" w:hAnsiTheme="minorHAnsi" w:cstheme="minorHAnsi"/>
          <w:iCs/>
          <w:sz w:val="16"/>
          <w:szCs w:val="16"/>
        </w:rPr>
        <w:t xml:space="preserve"> on (</w:t>
      </w:r>
      <w:proofErr w:type="spellStart"/>
      <w:r w:rsidRPr="0000769E">
        <w:rPr>
          <w:rFonts w:asciiTheme="minorHAnsi" w:hAnsiTheme="minorHAnsi" w:cstheme="minorHAnsi"/>
          <w:iCs/>
          <w:sz w:val="16"/>
          <w:szCs w:val="16"/>
        </w:rPr>
        <w:t>i</w:t>
      </w:r>
      <w:proofErr w:type="spellEnd"/>
      <w:r w:rsidRPr="0000769E">
        <w:rPr>
          <w:rFonts w:asciiTheme="minorHAnsi" w:hAnsiTheme="minorHAnsi" w:cstheme="minorHAnsi"/>
          <w:iCs/>
          <w:sz w:val="16"/>
          <w:szCs w:val="16"/>
        </w:rPr>
        <w:t xml:space="preserve">) an input population of 13,407 consumers and annual cost of service delivery per consumer as reported in Table </w:t>
      </w:r>
      <w:r w:rsidRPr="0000769E">
        <w:rPr>
          <w:rFonts w:asciiTheme="minorHAnsi" w:hAnsiTheme="minorHAnsi" w:cstheme="minorBidi"/>
          <w:sz w:val="16"/>
          <w:szCs w:val="16"/>
        </w:rPr>
        <w:t>55</w:t>
      </w:r>
      <w:r w:rsidRPr="0000769E">
        <w:rPr>
          <w:rFonts w:asciiTheme="minorHAnsi" w:hAnsiTheme="minorHAnsi" w:cstheme="minorHAnsi"/>
          <w:iCs/>
          <w:sz w:val="16"/>
          <w:szCs w:val="16"/>
        </w:rPr>
        <w:t xml:space="preserve"> and (ii) health care cost and productivity losses as reported in Table </w:t>
      </w:r>
      <w:r w:rsidRPr="0000769E">
        <w:rPr>
          <w:rFonts w:asciiTheme="minorHAnsi" w:hAnsiTheme="minorHAnsi" w:cstheme="minorBidi"/>
          <w:sz w:val="16"/>
          <w:szCs w:val="16"/>
        </w:rPr>
        <w:t>58</w:t>
      </w:r>
      <w:r w:rsidRPr="0000769E">
        <w:rPr>
          <w:rFonts w:asciiTheme="minorHAnsi" w:hAnsiTheme="minorHAnsi" w:cstheme="minorHAnsi"/>
          <w:iCs/>
          <w:sz w:val="16"/>
          <w:szCs w:val="16"/>
        </w:rPr>
        <w:t>.</w:t>
      </w:r>
    </w:p>
    <w:p w14:paraId="70E1B9CB" w14:textId="77777777" w:rsidR="00F6075C" w:rsidRPr="00F6075C" w:rsidRDefault="00F6075C" w:rsidP="00D02584">
      <w:pPr>
        <w:pStyle w:val="Heading3"/>
      </w:pPr>
      <w:r w:rsidRPr="00F6075C">
        <w:t>Results of sensitivity analysis</w:t>
      </w:r>
    </w:p>
    <w:p w14:paraId="1EA1A752" w14:textId="7AADF2AE" w:rsidR="00F6075C" w:rsidRPr="00F6075C" w:rsidRDefault="00F6075C" w:rsidP="00066DF4">
      <w:pPr>
        <w:spacing w:after="240"/>
        <w:rPr>
          <w:rFonts w:asciiTheme="minorHAnsi" w:hAnsiTheme="minorHAnsi" w:cstheme="minorHAnsi"/>
          <w:sz w:val="21"/>
          <w:szCs w:val="21"/>
          <w:lang w:eastAsia="zh-CN"/>
        </w:rPr>
      </w:pPr>
      <w:r w:rsidRPr="00F6075C">
        <w:rPr>
          <w:rFonts w:asciiTheme="minorHAnsi" w:hAnsiTheme="minorHAnsi" w:cstheme="minorHAnsi"/>
          <w:sz w:val="21"/>
          <w:szCs w:val="21"/>
          <w:lang w:eastAsia="zh-CN"/>
        </w:rPr>
        <w:t xml:space="preserve">A deterministic sensitivity analysis was also conducted to evaluate the robustness of our modelling results. This includes replacing the transition probabilities calculated based on PHQ-9 cut-off points (Table </w:t>
      </w:r>
      <w:r w:rsidR="00C754B0">
        <w:rPr>
          <w:rFonts w:asciiTheme="minorHAnsi" w:hAnsiTheme="minorHAnsi" w:cstheme="minorHAnsi"/>
          <w:sz w:val="21"/>
          <w:szCs w:val="21"/>
          <w:lang w:eastAsia="zh-CN"/>
        </w:rPr>
        <w:t>L1</w:t>
      </w:r>
      <w:r w:rsidRPr="00F6075C">
        <w:rPr>
          <w:rFonts w:asciiTheme="minorHAnsi" w:hAnsiTheme="minorHAnsi" w:cstheme="minorHAnsi"/>
          <w:sz w:val="21"/>
          <w:szCs w:val="21"/>
          <w:lang w:eastAsia="zh-CN"/>
        </w:rPr>
        <w:t>.3 in Appendix</w:t>
      </w:r>
      <w:r w:rsidRPr="13CA7B3B">
        <w:rPr>
          <w:rFonts w:asciiTheme="minorHAnsi" w:hAnsiTheme="minorHAnsi" w:cstheme="minorBidi"/>
          <w:sz w:val="21"/>
          <w:szCs w:val="21"/>
          <w:lang w:eastAsia="zh-CN"/>
        </w:rPr>
        <w:t xml:space="preserve"> L</w:t>
      </w:r>
      <w:r w:rsidRPr="00F6075C">
        <w:rPr>
          <w:rFonts w:asciiTheme="minorHAnsi" w:hAnsiTheme="minorHAnsi" w:cstheme="minorHAnsi"/>
          <w:sz w:val="21"/>
          <w:szCs w:val="21"/>
          <w:lang w:eastAsia="zh-CN"/>
        </w:rPr>
        <w:t xml:space="preserve">) with those that were calculated based on GAD-7 cut-off points (Table </w:t>
      </w:r>
      <w:r w:rsidR="00C754B0">
        <w:rPr>
          <w:rFonts w:asciiTheme="minorHAnsi" w:hAnsiTheme="minorHAnsi" w:cstheme="minorHAnsi"/>
          <w:sz w:val="21"/>
          <w:szCs w:val="21"/>
          <w:lang w:eastAsia="zh-CN"/>
        </w:rPr>
        <w:t>L1</w:t>
      </w:r>
      <w:r w:rsidRPr="00F6075C">
        <w:rPr>
          <w:rFonts w:asciiTheme="minorHAnsi" w:hAnsiTheme="minorHAnsi" w:cstheme="minorHAnsi"/>
          <w:sz w:val="21"/>
          <w:szCs w:val="21"/>
          <w:lang w:eastAsia="zh-CN"/>
        </w:rPr>
        <w:t>.4 in Appendix</w:t>
      </w:r>
      <w:r w:rsidRPr="13CA7B3B">
        <w:rPr>
          <w:rFonts w:asciiTheme="minorHAnsi" w:hAnsiTheme="minorHAnsi" w:cstheme="minorBidi"/>
          <w:sz w:val="21"/>
          <w:szCs w:val="21"/>
          <w:lang w:eastAsia="zh-CN"/>
        </w:rPr>
        <w:t xml:space="preserve"> L</w:t>
      </w:r>
      <w:r w:rsidRPr="00F6075C">
        <w:rPr>
          <w:rFonts w:asciiTheme="minorHAnsi" w:hAnsiTheme="minorHAnsi" w:cstheme="minorHAnsi"/>
          <w:sz w:val="21"/>
          <w:szCs w:val="21"/>
          <w:lang w:eastAsia="zh-CN"/>
        </w:rPr>
        <w:t xml:space="preserve">), to determine if our results were impacted by the measurement type of depression or anxiety. Another sensitivity test involves sequentially setting the transition probability of each health state for the DMHSs to be equal to that of the indirect comparator group (Tables </w:t>
      </w:r>
      <w:r w:rsidR="00C754B0">
        <w:rPr>
          <w:rFonts w:asciiTheme="minorHAnsi" w:hAnsiTheme="minorHAnsi" w:cstheme="minorHAnsi"/>
          <w:sz w:val="21"/>
          <w:szCs w:val="21"/>
          <w:lang w:eastAsia="zh-CN"/>
        </w:rPr>
        <w:t>L1</w:t>
      </w:r>
      <w:r w:rsidRPr="00F6075C">
        <w:rPr>
          <w:rFonts w:asciiTheme="minorHAnsi" w:hAnsiTheme="minorHAnsi" w:cstheme="minorHAnsi"/>
          <w:sz w:val="21"/>
          <w:szCs w:val="21"/>
          <w:lang w:eastAsia="zh-CN"/>
        </w:rPr>
        <w:t>.5-1.8 in Appendix</w:t>
      </w:r>
      <w:r w:rsidRPr="13CA7B3B">
        <w:rPr>
          <w:rFonts w:asciiTheme="minorHAnsi" w:hAnsiTheme="minorHAnsi" w:cstheme="minorBidi"/>
          <w:sz w:val="21"/>
          <w:szCs w:val="21"/>
          <w:lang w:eastAsia="zh-CN"/>
        </w:rPr>
        <w:t xml:space="preserve"> L</w:t>
      </w:r>
      <w:r w:rsidRPr="00F6075C">
        <w:rPr>
          <w:rFonts w:asciiTheme="minorHAnsi" w:hAnsiTheme="minorHAnsi" w:cstheme="minorHAnsi"/>
          <w:sz w:val="21"/>
          <w:szCs w:val="21"/>
          <w:lang w:eastAsia="zh-CN"/>
        </w:rPr>
        <w:t xml:space="preserve">). </w:t>
      </w:r>
      <w:r w:rsidR="006A0F1B">
        <w:rPr>
          <w:rFonts w:ascii="Calibri" w:hAnsi="Calibri" w:cs="Arial"/>
          <w:iCs/>
          <w:color w:val="000000" w:themeColor="text1"/>
          <w:sz w:val="21"/>
          <w:szCs w:val="21"/>
        </w:rPr>
        <w:t xml:space="preserve">A further sensitivity analysis was conducted for </w:t>
      </w:r>
      <w:proofErr w:type="spellStart"/>
      <w:r w:rsidR="006A0F1B">
        <w:rPr>
          <w:rFonts w:ascii="Calibri" w:hAnsi="Calibri" w:cs="Arial"/>
          <w:iCs/>
          <w:color w:val="000000" w:themeColor="text1"/>
          <w:sz w:val="21"/>
          <w:szCs w:val="21"/>
        </w:rPr>
        <w:t>MindSpot</w:t>
      </w:r>
      <w:proofErr w:type="spellEnd"/>
      <w:r w:rsidR="006A0F1B">
        <w:rPr>
          <w:rFonts w:ascii="Calibri" w:hAnsi="Calibri" w:cs="Arial"/>
          <w:iCs/>
          <w:color w:val="000000" w:themeColor="text1"/>
          <w:sz w:val="21"/>
          <w:szCs w:val="21"/>
        </w:rPr>
        <w:t xml:space="preserve"> by using data from a previous publication of treatment outcomes of consumers who completed online treatment at the MindSpot.</w:t>
      </w:r>
      <w:r w:rsidR="006A0F1B">
        <w:rPr>
          <w:rFonts w:ascii="Calibri" w:hAnsi="Calibri" w:cs="Arial"/>
          <w:iCs/>
          <w:color w:val="000000" w:themeColor="text1"/>
          <w:sz w:val="21"/>
          <w:szCs w:val="21"/>
        </w:rPr>
        <w:fldChar w:fldCharType="begin"/>
      </w:r>
      <w:r w:rsidR="004469A2">
        <w:rPr>
          <w:rFonts w:ascii="Calibri" w:hAnsi="Calibri" w:cs="Arial"/>
          <w:iCs/>
          <w:color w:val="000000" w:themeColor="text1"/>
          <w:sz w:val="21"/>
          <w:szCs w:val="21"/>
        </w:rPr>
        <w:instrText xml:space="preserve"> ADDIN EN.CITE &lt;EndNote&gt;&lt;Cite&gt;&lt;Author&gt;Kayrouz&lt;/Author&gt;&lt;Year&gt;2020&lt;/Year&gt;&lt;RecNum&gt;137&lt;/RecNum&gt;&lt;DisplayText&gt;&lt;style face="superscript"&gt;66&lt;/style&gt;&lt;/DisplayText&gt;&lt;record&gt;&lt;rec-number&gt;137&lt;/rec-number&gt;&lt;foreign-keys&gt;&lt;key app="EN" db-id="dawtr0zrkrzfa5edzzlpe2we0xa00t90vvr2" timestamp="1650429449"&gt;137&lt;/key&gt;&lt;/foreign-keys&gt;&lt;ref-type name="Journal Article"&gt;17&lt;/ref-type&gt;&lt;contributors&gt;&lt;authors&gt;&lt;author&gt;Kayrouz, Rony&lt;/author&gt;&lt;author&gt;Karin, Eyal&lt;/author&gt;&lt;author&gt;Staples, Lauren G.&lt;/author&gt;&lt;author&gt;Nielssen, Olav&lt;/author&gt;&lt;author&gt;Dear, Blake F.&lt;/author&gt;&lt;author&gt;Titov, Nickolai&lt;/author&gt;&lt;/authors&gt;&lt;/contributors&gt;&lt;titles&gt;&lt;title&gt;A comparison of the characteristics and treatment outcomes of migrant and Australian-born users of a national digital mental health service&lt;/title&gt;&lt;secondary-title&gt;BMC Psychiatry&lt;/secondary-title&gt;&lt;/titles&gt;&lt;periodical&gt;&lt;full-title&gt;BMC Psychiatry&lt;/full-title&gt;&lt;/periodical&gt;&lt;pages&gt;111&lt;/pages&gt;&lt;volume&gt;20&lt;/volume&gt;&lt;number&gt;1&lt;/number&gt;&lt;dates&gt;&lt;year&gt;2020&lt;/year&gt;&lt;pub-dates&gt;&lt;date&gt;2020/03/11&lt;/date&gt;&lt;/pub-dates&gt;&lt;/dates&gt;&lt;isbn&gt;1471-244X&lt;/isbn&gt;&lt;urls&gt;&lt;related-urls&gt;&lt;url&gt;https://doi.org/10.1186/s12888-020-02486-3&lt;/url&gt;&lt;/related-urls&gt;&lt;/urls&gt;&lt;electronic-resource-num&gt;10.1186/s12888-020-02486-3&lt;/electronic-resource-num&gt;&lt;/record&gt;&lt;/Cite&gt;&lt;/EndNote&gt;</w:instrText>
      </w:r>
      <w:r w:rsidR="006A0F1B">
        <w:rPr>
          <w:rFonts w:ascii="Calibri" w:hAnsi="Calibri" w:cs="Arial"/>
          <w:iCs/>
          <w:color w:val="000000" w:themeColor="text1"/>
          <w:sz w:val="21"/>
          <w:szCs w:val="21"/>
        </w:rPr>
        <w:fldChar w:fldCharType="separate"/>
      </w:r>
      <w:r w:rsidR="004469A2" w:rsidRPr="004469A2">
        <w:rPr>
          <w:rFonts w:ascii="Calibri" w:hAnsi="Calibri" w:cs="Arial"/>
          <w:iCs/>
          <w:noProof/>
          <w:color w:val="000000" w:themeColor="text1"/>
          <w:sz w:val="21"/>
          <w:szCs w:val="21"/>
          <w:vertAlign w:val="superscript"/>
        </w:rPr>
        <w:t>66</w:t>
      </w:r>
      <w:r w:rsidR="006A0F1B">
        <w:rPr>
          <w:rFonts w:ascii="Calibri" w:hAnsi="Calibri" w:cs="Arial"/>
          <w:iCs/>
          <w:color w:val="000000" w:themeColor="text1"/>
          <w:sz w:val="21"/>
          <w:szCs w:val="21"/>
        </w:rPr>
        <w:fldChar w:fldCharType="end"/>
      </w:r>
      <w:r w:rsidR="006A0F1B">
        <w:rPr>
          <w:rFonts w:ascii="Calibri" w:hAnsi="Calibri" w:cs="Arial"/>
          <w:iCs/>
          <w:color w:val="000000" w:themeColor="text1"/>
          <w:sz w:val="21"/>
          <w:szCs w:val="21"/>
        </w:rPr>
        <w:t xml:space="preserve"> </w:t>
      </w:r>
      <w:r w:rsidRPr="00F6075C">
        <w:rPr>
          <w:rFonts w:asciiTheme="minorHAnsi" w:hAnsiTheme="minorHAnsi" w:cstheme="minorHAnsi"/>
          <w:sz w:val="21"/>
          <w:szCs w:val="21"/>
          <w:lang w:eastAsia="zh-CN"/>
        </w:rPr>
        <w:t xml:space="preserve">Lastly, the utility values for each health state were varied by the lower or higher 95% confidence interval to investigate if our results were influenced by these values (Table </w:t>
      </w:r>
      <w:r w:rsidR="00C754B0">
        <w:rPr>
          <w:rFonts w:asciiTheme="minorHAnsi" w:hAnsiTheme="minorHAnsi" w:cstheme="minorHAnsi"/>
          <w:sz w:val="21"/>
          <w:szCs w:val="21"/>
          <w:lang w:eastAsia="zh-CN"/>
        </w:rPr>
        <w:t>L1</w:t>
      </w:r>
      <w:r w:rsidRPr="00F6075C">
        <w:rPr>
          <w:rFonts w:asciiTheme="minorHAnsi" w:hAnsiTheme="minorHAnsi" w:cstheme="minorHAnsi"/>
          <w:sz w:val="21"/>
          <w:szCs w:val="21"/>
          <w:lang w:eastAsia="zh-CN"/>
        </w:rPr>
        <w:t>.9 in Appendix</w:t>
      </w:r>
      <w:r w:rsidRPr="13CA7B3B">
        <w:rPr>
          <w:rFonts w:asciiTheme="minorHAnsi" w:hAnsiTheme="minorHAnsi" w:cstheme="minorBidi"/>
          <w:sz w:val="21"/>
          <w:szCs w:val="21"/>
          <w:lang w:eastAsia="zh-CN"/>
        </w:rPr>
        <w:t xml:space="preserve"> L</w:t>
      </w:r>
      <w:r w:rsidRPr="00F6075C">
        <w:rPr>
          <w:rFonts w:asciiTheme="minorHAnsi" w:hAnsiTheme="minorHAnsi" w:cstheme="minorHAnsi"/>
          <w:sz w:val="21"/>
          <w:szCs w:val="21"/>
          <w:lang w:eastAsia="zh-CN"/>
        </w:rPr>
        <w:t xml:space="preserve">). Further details of the sensitivity analysis are available in </w:t>
      </w:r>
      <w:r w:rsidRPr="13CA7B3B">
        <w:rPr>
          <w:rFonts w:asciiTheme="minorHAnsi" w:hAnsiTheme="minorHAnsi" w:cstheme="minorBidi"/>
          <w:sz w:val="21"/>
          <w:szCs w:val="21"/>
          <w:lang w:eastAsia="zh-CN"/>
        </w:rPr>
        <w:t>sub-section</w:t>
      </w:r>
      <w:r w:rsidRPr="00F6075C">
        <w:rPr>
          <w:rFonts w:asciiTheme="minorHAnsi" w:hAnsiTheme="minorHAnsi" w:cstheme="minorHAnsi"/>
          <w:sz w:val="21"/>
          <w:szCs w:val="21"/>
          <w:lang w:eastAsia="zh-CN"/>
        </w:rPr>
        <w:t xml:space="preserve"> </w:t>
      </w:r>
      <w:r w:rsidR="00C754B0">
        <w:rPr>
          <w:rFonts w:asciiTheme="minorHAnsi" w:hAnsiTheme="minorHAnsi" w:cstheme="minorHAnsi"/>
          <w:sz w:val="21"/>
          <w:szCs w:val="21"/>
          <w:lang w:eastAsia="zh-CN"/>
        </w:rPr>
        <w:t>L3</w:t>
      </w:r>
      <w:r w:rsidRPr="00F6075C">
        <w:rPr>
          <w:rFonts w:asciiTheme="minorHAnsi" w:hAnsiTheme="minorHAnsi" w:cstheme="minorHAnsi"/>
          <w:sz w:val="21"/>
          <w:szCs w:val="21"/>
          <w:lang w:eastAsia="zh-CN"/>
        </w:rPr>
        <w:t xml:space="preserve"> in Appendix</w:t>
      </w:r>
      <w:r w:rsidRPr="6449777D">
        <w:rPr>
          <w:rFonts w:asciiTheme="minorHAnsi" w:hAnsiTheme="minorHAnsi" w:cstheme="minorBidi"/>
          <w:sz w:val="21"/>
          <w:szCs w:val="21"/>
          <w:lang w:eastAsia="zh-CN"/>
        </w:rPr>
        <w:t xml:space="preserve"> L</w:t>
      </w:r>
      <w:r w:rsidRPr="00F6075C">
        <w:rPr>
          <w:rFonts w:asciiTheme="minorHAnsi" w:hAnsiTheme="minorHAnsi" w:cstheme="minorHAnsi"/>
          <w:sz w:val="21"/>
          <w:szCs w:val="21"/>
          <w:lang w:eastAsia="zh-CN"/>
        </w:rPr>
        <w:t>.</w:t>
      </w:r>
    </w:p>
    <w:p w14:paraId="283D7B60" w14:textId="1EA7C101" w:rsidR="00F6075C" w:rsidRPr="00F6075C" w:rsidRDefault="00F6075C" w:rsidP="6449777D">
      <w:pPr>
        <w:spacing w:after="240"/>
        <w:rPr>
          <w:rFonts w:asciiTheme="minorHAnsi" w:hAnsiTheme="minorHAnsi" w:cstheme="minorHAnsi"/>
          <w:sz w:val="21"/>
          <w:szCs w:val="21"/>
          <w:lang w:eastAsia="zh-CN"/>
        </w:rPr>
      </w:pPr>
      <w:r w:rsidRPr="00F6075C">
        <w:rPr>
          <w:rFonts w:asciiTheme="minorHAnsi" w:hAnsiTheme="minorHAnsi" w:cstheme="minorHAnsi"/>
          <w:sz w:val="21"/>
          <w:szCs w:val="21"/>
          <w:lang w:eastAsia="zh-CN"/>
        </w:rPr>
        <w:lastRenderedPageBreak/>
        <w:t xml:space="preserve">For brevity, we only present the sensitivity analysis results for the comparison between each DMHS and the indirect comparator group with the lowest mean costs – the minimal/mild prognostic group from the Link-me RCT – without the inclusion of productivity impacts. One of the key input parameters of our model, the utility values attached to each health state, were varied using the 95% confidence interval to determine their impact on the ICER. Generally, the final ICER for each DMHS remained qualitatively similar and below the $50,000 WTP threshold in most scenarios. Although the tornado diagrams (Figures </w:t>
      </w:r>
      <w:r w:rsidR="00145C72" w:rsidRPr="00A179AC">
        <w:rPr>
          <w:rFonts w:asciiTheme="minorHAnsi" w:hAnsiTheme="minorHAnsi" w:cstheme="minorBidi"/>
          <w:sz w:val="21"/>
          <w:szCs w:val="21"/>
          <w:lang w:eastAsia="zh-CN"/>
        </w:rPr>
        <w:t>20</w:t>
      </w:r>
      <w:r w:rsidRPr="00A179AC">
        <w:rPr>
          <w:rFonts w:asciiTheme="minorHAnsi" w:hAnsiTheme="minorHAnsi" w:cstheme="minorBidi"/>
          <w:sz w:val="21"/>
          <w:szCs w:val="21"/>
          <w:lang w:eastAsia="zh-CN"/>
        </w:rPr>
        <w:t>-</w:t>
      </w:r>
      <w:r w:rsidR="00A179AC">
        <w:rPr>
          <w:rFonts w:asciiTheme="minorHAnsi" w:hAnsiTheme="minorHAnsi" w:cstheme="minorBidi"/>
          <w:sz w:val="21"/>
          <w:szCs w:val="21"/>
          <w:lang w:eastAsia="zh-CN"/>
        </w:rPr>
        <w:t>22</w:t>
      </w:r>
      <w:r w:rsidRPr="00F6075C">
        <w:rPr>
          <w:rFonts w:asciiTheme="minorHAnsi" w:hAnsiTheme="minorHAnsi" w:cstheme="minorHAnsi"/>
          <w:sz w:val="21"/>
          <w:szCs w:val="21"/>
          <w:lang w:eastAsia="zh-CN"/>
        </w:rPr>
        <w:t xml:space="preserve">) demonstrate that the results were sensitive to the utility values associated with the deteriorated health state and led to ICERs above the cost-effectiveness threshold, we believe this is likely to be an overestimation due to the upper bound utility value of 0.952 for the deteriorated health state, which is very close to perfect health. </w:t>
      </w:r>
    </w:p>
    <w:p w14:paraId="3D51FC73" w14:textId="763D7BD2" w:rsidR="00FD6F17" w:rsidRPr="00F6075C" w:rsidRDefault="00F6075C" w:rsidP="00066DF4">
      <w:pPr>
        <w:spacing w:after="240"/>
        <w:rPr>
          <w:rFonts w:asciiTheme="minorHAnsi" w:hAnsiTheme="minorHAnsi" w:cstheme="minorBidi"/>
          <w:sz w:val="21"/>
          <w:szCs w:val="21"/>
          <w:lang w:eastAsia="zh-CN"/>
        </w:rPr>
      </w:pPr>
      <w:r w:rsidRPr="69B67DBE">
        <w:rPr>
          <w:rFonts w:asciiTheme="minorHAnsi" w:hAnsiTheme="minorHAnsi" w:cstheme="minorBidi"/>
          <w:sz w:val="21"/>
          <w:szCs w:val="21"/>
          <w:lang w:eastAsia="zh-CN"/>
        </w:rPr>
        <w:t xml:space="preserve">Furthermore, </w:t>
      </w:r>
      <w:r w:rsidR="00800299">
        <w:rPr>
          <w:rFonts w:asciiTheme="minorHAnsi" w:hAnsiTheme="minorHAnsi" w:cstheme="minorBidi"/>
          <w:sz w:val="21"/>
          <w:szCs w:val="21"/>
          <w:lang w:eastAsia="zh-CN"/>
        </w:rPr>
        <w:t xml:space="preserve">in </w:t>
      </w:r>
      <w:r w:rsidRPr="69B67DBE">
        <w:rPr>
          <w:rFonts w:asciiTheme="minorHAnsi" w:hAnsiTheme="minorHAnsi" w:cstheme="minorBidi"/>
          <w:sz w:val="21"/>
          <w:szCs w:val="21"/>
          <w:lang w:eastAsia="zh-CN"/>
        </w:rPr>
        <w:t xml:space="preserve">scenarios </w:t>
      </w:r>
      <w:r w:rsidR="00AF7E75">
        <w:rPr>
          <w:rFonts w:asciiTheme="minorHAnsi" w:hAnsiTheme="minorHAnsi" w:cstheme="minorBidi"/>
          <w:sz w:val="21"/>
          <w:szCs w:val="21"/>
          <w:lang w:eastAsia="zh-CN"/>
        </w:rPr>
        <w:t xml:space="preserve">in </w:t>
      </w:r>
      <w:r w:rsidRPr="69B67DBE">
        <w:rPr>
          <w:rFonts w:asciiTheme="minorHAnsi" w:hAnsiTheme="minorHAnsi" w:cstheme="minorBidi"/>
          <w:sz w:val="21"/>
          <w:szCs w:val="21"/>
          <w:lang w:eastAsia="zh-CN"/>
        </w:rPr>
        <w:t xml:space="preserve">which the proportion of people who partially recovered, experienced no </w:t>
      </w:r>
      <w:proofErr w:type="gramStart"/>
      <w:r w:rsidRPr="69B67DBE">
        <w:rPr>
          <w:rFonts w:asciiTheme="minorHAnsi" w:hAnsiTheme="minorHAnsi" w:cstheme="minorBidi"/>
          <w:sz w:val="21"/>
          <w:szCs w:val="21"/>
          <w:lang w:eastAsia="zh-CN"/>
        </w:rPr>
        <w:t>improvement</w:t>
      </w:r>
      <w:proofErr w:type="gramEnd"/>
      <w:r w:rsidRPr="69B67DBE">
        <w:rPr>
          <w:rFonts w:asciiTheme="minorHAnsi" w:hAnsiTheme="minorHAnsi" w:cstheme="minorBidi"/>
          <w:sz w:val="21"/>
          <w:szCs w:val="21"/>
          <w:lang w:eastAsia="zh-CN"/>
        </w:rPr>
        <w:t xml:space="preserve"> or deteriorated were set to be equal to that of the indirect comparator group, the ICER remained well below the cost-effectiveness threshold for all three DMHSs. For the scenario in which the proportion of people who fully recovered was set to be equal to that of the indirect comparator group, the ICER for Mental Health Online increased but was below $50,000 per QALY </w:t>
      </w:r>
      <w:r w:rsidR="00D432AA">
        <w:rPr>
          <w:rFonts w:asciiTheme="minorHAnsi" w:hAnsiTheme="minorHAnsi" w:cstheme="minorBidi"/>
          <w:sz w:val="21"/>
          <w:szCs w:val="21"/>
          <w:lang w:eastAsia="zh-CN"/>
        </w:rPr>
        <w:t>and</w:t>
      </w:r>
      <w:r w:rsidRPr="69B67DBE">
        <w:rPr>
          <w:rFonts w:asciiTheme="minorHAnsi" w:hAnsiTheme="minorHAnsi" w:cstheme="minorBidi"/>
          <w:sz w:val="21"/>
          <w:szCs w:val="21"/>
          <w:lang w:eastAsia="zh-CN"/>
        </w:rPr>
        <w:t xml:space="preserve"> the ICERs for </w:t>
      </w:r>
      <w:proofErr w:type="spellStart"/>
      <w:r w:rsidRPr="69B67DBE">
        <w:rPr>
          <w:rFonts w:asciiTheme="minorHAnsi" w:hAnsiTheme="minorHAnsi" w:cstheme="minorBidi"/>
          <w:sz w:val="21"/>
          <w:szCs w:val="21"/>
          <w:lang w:eastAsia="zh-CN"/>
        </w:rPr>
        <w:t>MindSpot</w:t>
      </w:r>
      <w:proofErr w:type="spellEnd"/>
      <w:r w:rsidRPr="69B67DBE">
        <w:rPr>
          <w:rFonts w:asciiTheme="minorHAnsi" w:hAnsiTheme="minorHAnsi" w:cstheme="minorBidi"/>
          <w:sz w:val="21"/>
          <w:szCs w:val="21"/>
          <w:lang w:eastAsia="zh-CN"/>
        </w:rPr>
        <w:t xml:space="preserve"> and THIS WAY UP were above the cost-effectiveness threshold. However, we believe setting the proportion of people who fully recovered to be equal to the indirect comparator group is extremely conservative and an unlikely scenario given the findings on effectiveness presented in Section 4. We also varied the treatment effect for each service by applying the transition probabilities based on GAD-7 cut-off points. Tables </w:t>
      </w:r>
      <w:r w:rsidR="00C754B0">
        <w:rPr>
          <w:rFonts w:asciiTheme="minorHAnsi" w:hAnsiTheme="minorHAnsi" w:cstheme="minorBidi"/>
          <w:sz w:val="21"/>
          <w:szCs w:val="21"/>
          <w:lang w:eastAsia="zh-CN"/>
        </w:rPr>
        <w:t>L2</w:t>
      </w:r>
      <w:r w:rsidRPr="69B67DBE">
        <w:rPr>
          <w:rFonts w:asciiTheme="minorHAnsi" w:hAnsiTheme="minorHAnsi" w:cstheme="minorBidi"/>
          <w:sz w:val="21"/>
          <w:szCs w:val="21"/>
          <w:lang w:eastAsia="zh-CN"/>
        </w:rPr>
        <w:t>.1-2.3 in Appendix</w:t>
      </w:r>
      <w:r w:rsidRPr="6449777D">
        <w:rPr>
          <w:rFonts w:asciiTheme="minorHAnsi" w:hAnsiTheme="minorHAnsi" w:cstheme="minorBidi"/>
          <w:sz w:val="21"/>
          <w:szCs w:val="21"/>
          <w:lang w:eastAsia="zh-CN"/>
        </w:rPr>
        <w:t xml:space="preserve"> L</w:t>
      </w:r>
      <w:r w:rsidRPr="69B67DBE">
        <w:rPr>
          <w:rFonts w:asciiTheme="minorHAnsi" w:hAnsiTheme="minorHAnsi" w:cstheme="minorBidi"/>
          <w:sz w:val="21"/>
          <w:szCs w:val="21"/>
          <w:lang w:eastAsia="zh-CN"/>
        </w:rPr>
        <w:t xml:space="preserve"> present the economic modelling results – the ICERs remain very similar. </w:t>
      </w:r>
      <w:r w:rsidR="006A0F1B" w:rsidRPr="69B67DBE">
        <w:rPr>
          <w:rFonts w:asciiTheme="minorHAnsi" w:hAnsiTheme="minorHAnsi" w:cstheme="minorBidi"/>
          <w:sz w:val="21"/>
          <w:szCs w:val="21"/>
          <w:lang w:eastAsia="zh-CN"/>
        </w:rPr>
        <w:t xml:space="preserve">The additional sensitivity analysis conducted for </w:t>
      </w:r>
      <w:proofErr w:type="spellStart"/>
      <w:r w:rsidR="006A0F1B" w:rsidRPr="69B67DBE">
        <w:rPr>
          <w:rFonts w:asciiTheme="minorHAnsi" w:hAnsiTheme="minorHAnsi" w:cstheme="minorBidi"/>
          <w:sz w:val="21"/>
          <w:szCs w:val="21"/>
          <w:lang w:eastAsia="zh-CN"/>
        </w:rPr>
        <w:t>MindSpot</w:t>
      </w:r>
      <w:proofErr w:type="spellEnd"/>
      <w:r w:rsidR="006A0F1B" w:rsidRPr="69B67DBE">
        <w:rPr>
          <w:rFonts w:asciiTheme="minorHAnsi" w:hAnsiTheme="minorHAnsi" w:cstheme="minorBidi"/>
          <w:sz w:val="21"/>
          <w:szCs w:val="21"/>
          <w:lang w:eastAsia="zh-CN"/>
        </w:rPr>
        <w:t xml:space="preserve"> with transition probabilities based on data from a peer-reviewed publication revealed no significant change to the results. (Table </w:t>
      </w:r>
      <w:r w:rsidR="00C754B0">
        <w:rPr>
          <w:rFonts w:asciiTheme="minorHAnsi" w:hAnsiTheme="minorHAnsi" w:cstheme="minorBidi"/>
          <w:sz w:val="21"/>
          <w:szCs w:val="21"/>
          <w:lang w:eastAsia="zh-CN"/>
        </w:rPr>
        <w:t>L2</w:t>
      </w:r>
      <w:r w:rsidR="006A0F1B" w:rsidRPr="69B67DBE">
        <w:rPr>
          <w:rFonts w:asciiTheme="minorHAnsi" w:hAnsiTheme="minorHAnsi" w:cstheme="minorBidi"/>
          <w:sz w:val="21"/>
          <w:szCs w:val="21"/>
          <w:lang w:eastAsia="zh-CN"/>
        </w:rPr>
        <w:t>.4 in Appendix</w:t>
      </w:r>
      <w:r w:rsidR="006A0F1B" w:rsidRPr="6449777D">
        <w:rPr>
          <w:rFonts w:asciiTheme="minorHAnsi" w:hAnsiTheme="minorHAnsi" w:cstheme="minorBidi"/>
          <w:sz w:val="21"/>
          <w:szCs w:val="21"/>
          <w:lang w:eastAsia="zh-CN"/>
        </w:rPr>
        <w:t xml:space="preserve"> L</w:t>
      </w:r>
      <w:r w:rsidR="006A0F1B" w:rsidRPr="69B67DBE">
        <w:rPr>
          <w:rFonts w:asciiTheme="minorHAnsi" w:hAnsiTheme="minorHAnsi" w:cstheme="minorBidi"/>
          <w:sz w:val="21"/>
          <w:szCs w:val="21"/>
          <w:lang w:eastAsia="zh-CN"/>
        </w:rPr>
        <w:t xml:space="preserve">). </w:t>
      </w:r>
      <w:r w:rsidRPr="69B67DBE">
        <w:rPr>
          <w:rFonts w:asciiTheme="minorHAnsi" w:hAnsiTheme="minorHAnsi" w:cstheme="minorBidi"/>
          <w:sz w:val="21"/>
          <w:szCs w:val="21"/>
          <w:lang w:eastAsia="zh-CN"/>
        </w:rPr>
        <w:t xml:space="preserve">Therefore, our results are generally robust and support the conclusion that DMHSs are value for money. </w:t>
      </w:r>
    </w:p>
    <w:p w14:paraId="16AA6FF7" w14:textId="4C15712E" w:rsidR="00FD6F17" w:rsidRDefault="00FD6F17">
      <w:pPr>
        <w:spacing w:after="200"/>
        <w:rPr>
          <w:rFonts w:asciiTheme="minorHAnsi" w:hAnsiTheme="minorHAnsi" w:cstheme="minorBidi"/>
          <w:sz w:val="21"/>
          <w:szCs w:val="21"/>
          <w:lang w:eastAsia="zh-CN"/>
        </w:rPr>
      </w:pPr>
      <w:r w:rsidRPr="69B67DBE">
        <w:rPr>
          <w:rFonts w:asciiTheme="minorHAnsi" w:hAnsiTheme="minorHAnsi" w:cstheme="minorBidi"/>
          <w:sz w:val="21"/>
          <w:szCs w:val="21"/>
          <w:lang w:eastAsia="zh-CN"/>
        </w:rPr>
        <w:br w:type="page"/>
      </w:r>
    </w:p>
    <w:p w14:paraId="1C83FD1B" w14:textId="77777777" w:rsidR="00F6075C" w:rsidRDefault="00F6075C" w:rsidP="00F6075C">
      <w:pPr>
        <w:jc w:val="center"/>
        <w:rPr>
          <w:rFonts w:asciiTheme="minorHAnsi" w:hAnsiTheme="minorHAnsi" w:cstheme="minorBidi"/>
          <w:sz w:val="21"/>
          <w:szCs w:val="21"/>
          <w:lang w:eastAsia="zh-CN"/>
        </w:rPr>
      </w:pPr>
      <w:r w:rsidRPr="00F6075C">
        <w:rPr>
          <w:rFonts w:asciiTheme="minorHAnsi" w:eastAsiaTheme="minorEastAsia" w:hAnsiTheme="minorHAnsi" w:cstheme="minorBidi"/>
          <w:noProof/>
          <w:lang w:eastAsia="en-AU"/>
        </w:rPr>
        <w:lastRenderedPageBreak/>
        <w:drawing>
          <wp:inline distT="0" distB="0" distL="0" distR="0" wp14:anchorId="62F530D0" wp14:editId="0A547A7D">
            <wp:extent cx="4572000" cy="2743200"/>
            <wp:effectExtent l="0" t="0" r="0" b="0"/>
            <wp:docPr id="25" name="Chart 25" descr="Two tornado diagrams providing the results of the sensitivity analysis for Mental Health Online. The first diagram is for self-directed treatment and the second diagram is for therapist-supported treatment. Both diagrams show the upper and lower bound of the incremental cost-effectiveness ratios by specific change in the model input parameters such as transition probabilities and utility weights."/>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0E91C8CE" w14:textId="77777777" w:rsidR="00F6075C" w:rsidRPr="00F6075C" w:rsidRDefault="00F6075C" w:rsidP="00F6075C">
      <w:pPr>
        <w:snapToGrid w:val="0"/>
        <w:rPr>
          <w:rFonts w:asciiTheme="minorHAnsi" w:hAnsiTheme="minorHAnsi" w:cstheme="minorHAnsi"/>
          <w:iCs/>
          <w:sz w:val="16"/>
          <w:szCs w:val="16"/>
        </w:rPr>
      </w:pPr>
      <w:r w:rsidRPr="00F6075C">
        <w:rPr>
          <w:rFonts w:asciiTheme="minorHAnsi" w:hAnsiTheme="minorHAnsi" w:cstheme="minorHAnsi"/>
          <w:iCs/>
          <w:sz w:val="16"/>
          <w:szCs w:val="16"/>
        </w:rPr>
        <w:t xml:space="preserve">TP = transition probabilities. One of the sensitivity </w:t>
      </w:r>
      <w:proofErr w:type="gramStart"/>
      <w:r w:rsidRPr="00F6075C">
        <w:rPr>
          <w:rFonts w:asciiTheme="minorHAnsi" w:hAnsiTheme="minorHAnsi" w:cstheme="minorHAnsi"/>
          <w:iCs/>
          <w:sz w:val="16"/>
          <w:szCs w:val="16"/>
        </w:rPr>
        <w:t>analysis</w:t>
      </w:r>
      <w:proofErr w:type="gramEnd"/>
      <w:r w:rsidRPr="00F6075C">
        <w:rPr>
          <w:rFonts w:asciiTheme="minorHAnsi" w:hAnsiTheme="minorHAnsi" w:cstheme="minorHAnsi"/>
          <w:iCs/>
          <w:sz w:val="16"/>
          <w:szCs w:val="16"/>
        </w:rPr>
        <w:t xml:space="preserve"> involved setting the transition probability for each health state to be equal to the transition probability of the indirect comparator group (i.e., Link-me RCT mild/minimal group) sequentially. The other sensitivity analysis involved varying the utility values by their 95% confidence interval values.</w:t>
      </w:r>
    </w:p>
    <w:p w14:paraId="09D15211" w14:textId="77777777" w:rsidR="00F6075C" w:rsidRPr="00F6075C" w:rsidRDefault="00F6075C" w:rsidP="00F6075C">
      <w:pPr>
        <w:rPr>
          <w:rFonts w:asciiTheme="minorHAnsi" w:hAnsiTheme="minorHAnsi" w:cstheme="minorHAnsi"/>
          <w:sz w:val="21"/>
          <w:szCs w:val="21"/>
          <w:lang w:eastAsia="zh-CN"/>
        </w:rPr>
      </w:pPr>
    </w:p>
    <w:p w14:paraId="3E4617BD" w14:textId="77777777" w:rsidR="00F6075C" w:rsidRPr="00F6075C" w:rsidRDefault="00F6075C" w:rsidP="00F6075C">
      <w:pPr>
        <w:rPr>
          <w:rFonts w:asciiTheme="minorHAnsi" w:hAnsiTheme="minorHAnsi" w:cstheme="minorHAnsi"/>
          <w:sz w:val="21"/>
          <w:szCs w:val="21"/>
          <w:lang w:eastAsia="zh-CN"/>
        </w:rPr>
      </w:pPr>
    </w:p>
    <w:p w14:paraId="22098507" w14:textId="77777777" w:rsidR="00F6075C" w:rsidRPr="00F6075C" w:rsidRDefault="00F6075C" w:rsidP="00F6075C">
      <w:pPr>
        <w:jc w:val="center"/>
        <w:rPr>
          <w:rFonts w:asciiTheme="minorHAnsi" w:hAnsiTheme="minorHAnsi" w:cstheme="minorHAnsi"/>
          <w:sz w:val="21"/>
          <w:szCs w:val="21"/>
          <w:lang w:eastAsia="zh-CN"/>
        </w:rPr>
      </w:pPr>
      <w:r w:rsidRPr="00F6075C">
        <w:rPr>
          <w:rFonts w:asciiTheme="minorHAnsi" w:eastAsiaTheme="minorEastAsia" w:hAnsiTheme="minorHAnsi" w:cstheme="minorBidi"/>
          <w:noProof/>
          <w:lang w:eastAsia="en-AU"/>
        </w:rPr>
        <w:drawing>
          <wp:inline distT="0" distB="0" distL="0" distR="0" wp14:anchorId="0A54BBE3" wp14:editId="329BD2B9">
            <wp:extent cx="4572000" cy="2743200"/>
            <wp:effectExtent l="0" t="0" r="0" b="0"/>
            <wp:docPr id="107" name="Chart 107" descr="Two tornado diagrams providing the results of the sensitivity analysis for Mental Health Online. The first diagram is for self-directed treatment and the second diagram is for therapist-supported treatment. Both diagrams show the upper and lower bound of the incremental cost-effectiveness ratios by specific change in the model input parameters such as transition probabilities and utility weights."/>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7328E7CE" w14:textId="77777777" w:rsidR="002C6B2D" w:rsidRPr="00F6075C" w:rsidRDefault="002C6B2D" w:rsidP="002C6B2D">
      <w:pPr>
        <w:spacing w:after="240"/>
        <w:rPr>
          <w:rFonts w:asciiTheme="minorHAnsi" w:hAnsiTheme="minorHAnsi" w:cstheme="minorBidi"/>
          <w:sz w:val="21"/>
          <w:szCs w:val="21"/>
          <w:lang w:eastAsia="zh-CN"/>
        </w:rPr>
      </w:pPr>
      <w:r w:rsidRPr="69B67DBE">
        <w:rPr>
          <w:rFonts w:asciiTheme="minorHAnsi" w:hAnsiTheme="minorHAnsi" w:cstheme="minorBidi"/>
          <w:b/>
          <w:sz w:val="21"/>
          <w:szCs w:val="21"/>
        </w:rPr>
        <w:t>Figure 20. Tornado diagram of the deterministic sensitivity analysis for Mental Health Online</w:t>
      </w:r>
    </w:p>
    <w:p w14:paraId="62412F70" w14:textId="77777777" w:rsidR="00F6075C" w:rsidRPr="00F6075C" w:rsidRDefault="00F6075C" w:rsidP="00F6075C">
      <w:pPr>
        <w:snapToGrid w:val="0"/>
        <w:rPr>
          <w:rFonts w:asciiTheme="minorHAnsi" w:hAnsiTheme="minorHAnsi" w:cstheme="minorHAnsi"/>
          <w:iCs/>
          <w:sz w:val="16"/>
          <w:szCs w:val="16"/>
        </w:rPr>
      </w:pPr>
      <w:r w:rsidRPr="00F6075C">
        <w:rPr>
          <w:rFonts w:asciiTheme="minorHAnsi" w:hAnsiTheme="minorHAnsi" w:cstheme="minorHAnsi"/>
          <w:iCs/>
          <w:sz w:val="16"/>
          <w:szCs w:val="16"/>
        </w:rPr>
        <w:t xml:space="preserve">TP = transition probabilities. One of the sensitivity </w:t>
      </w:r>
      <w:proofErr w:type="gramStart"/>
      <w:r w:rsidRPr="00F6075C">
        <w:rPr>
          <w:rFonts w:asciiTheme="minorHAnsi" w:hAnsiTheme="minorHAnsi" w:cstheme="minorHAnsi"/>
          <w:iCs/>
          <w:sz w:val="16"/>
          <w:szCs w:val="16"/>
        </w:rPr>
        <w:t>analysis</w:t>
      </w:r>
      <w:proofErr w:type="gramEnd"/>
      <w:r w:rsidRPr="00F6075C">
        <w:rPr>
          <w:rFonts w:asciiTheme="minorHAnsi" w:hAnsiTheme="minorHAnsi" w:cstheme="minorHAnsi"/>
          <w:iCs/>
          <w:sz w:val="16"/>
          <w:szCs w:val="16"/>
        </w:rPr>
        <w:t xml:space="preserve"> involved setting the transition probability for each health state to be equal to the transition probability of the indirect comparator group (i.e., Link-me RCT mild/minimal group) sequentially. The other sensitivity analysis involved varying the utility values by their 95% confidence interval values.</w:t>
      </w:r>
    </w:p>
    <w:p w14:paraId="79C5C9FB" w14:textId="77777777" w:rsidR="00F6075C" w:rsidRPr="00F6075C" w:rsidRDefault="00F6075C" w:rsidP="00F6075C">
      <w:pPr>
        <w:rPr>
          <w:rFonts w:asciiTheme="minorHAnsi" w:hAnsiTheme="minorHAnsi" w:cstheme="minorHAnsi"/>
          <w:sz w:val="21"/>
          <w:szCs w:val="21"/>
          <w:lang w:eastAsia="zh-CN"/>
        </w:rPr>
      </w:pPr>
    </w:p>
    <w:p w14:paraId="33E28A69" w14:textId="77777777" w:rsidR="00F6075C" w:rsidRPr="00F6075C" w:rsidRDefault="00F6075C" w:rsidP="00F6075C">
      <w:pPr>
        <w:jc w:val="center"/>
        <w:rPr>
          <w:rFonts w:asciiTheme="minorHAnsi" w:hAnsiTheme="minorHAnsi" w:cstheme="minorHAnsi"/>
          <w:b/>
          <w:iCs/>
          <w:sz w:val="21"/>
          <w:szCs w:val="21"/>
        </w:rPr>
      </w:pPr>
    </w:p>
    <w:p w14:paraId="14E4AB19" w14:textId="386D2119" w:rsidR="00F6075C" w:rsidRPr="00F6075C" w:rsidRDefault="00F6075C" w:rsidP="00F6075C">
      <w:pPr>
        <w:jc w:val="center"/>
        <w:rPr>
          <w:rFonts w:asciiTheme="minorHAnsi" w:hAnsiTheme="minorHAnsi" w:cstheme="minorBidi"/>
          <w:b/>
          <w:sz w:val="21"/>
          <w:szCs w:val="21"/>
        </w:rPr>
      </w:pPr>
      <w:r w:rsidRPr="00F6075C">
        <w:rPr>
          <w:rFonts w:asciiTheme="minorHAnsi" w:hAnsiTheme="minorHAnsi" w:cstheme="minorHAnsi"/>
          <w:i/>
          <w:iCs/>
          <w:noProof/>
          <w:color w:val="44546A" w:themeColor="text2"/>
          <w:sz w:val="18"/>
          <w:szCs w:val="18"/>
          <w:lang w:eastAsia="en-AU"/>
        </w:rPr>
        <w:lastRenderedPageBreak/>
        <w:drawing>
          <wp:inline distT="0" distB="0" distL="0" distR="0" wp14:anchorId="18F7C817" wp14:editId="1164A1B6">
            <wp:extent cx="4572000" cy="2743200"/>
            <wp:effectExtent l="0" t="0" r="0" b="0"/>
            <wp:docPr id="100" name="Chart 100" descr="Two tornado diagrams providing the results of the sensitivity analysis for MindSpot. The first diagram is for self-directed treatment and the second diagram is for therapist-supported treatment. Both diagrams show the upper and lower bound of the incremental cost-effectiveness ratios by specific change in the model input parameters such as transition probabilities and utility weights."/>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2384A677" w14:textId="1E5CE393" w:rsidR="00F6075C" w:rsidRPr="00F6075C" w:rsidRDefault="00F6075C" w:rsidP="00F6075C">
      <w:pPr>
        <w:snapToGrid w:val="0"/>
        <w:rPr>
          <w:rFonts w:asciiTheme="minorHAnsi" w:hAnsiTheme="minorHAnsi" w:cstheme="minorHAnsi"/>
          <w:iCs/>
          <w:sz w:val="16"/>
          <w:szCs w:val="16"/>
        </w:rPr>
      </w:pPr>
      <w:r w:rsidRPr="00F6075C">
        <w:rPr>
          <w:rFonts w:asciiTheme="minorHAnsi" w:hAnsiTheme="minorHAnsi" w:cstheme="minorHAnsi"/>
          <w:iCs/>
          <w:sz w:val="16"/>
          <w:szCs w:val="16"/>
        </w:rPr>
        <w:t xml:space="preserve">TP = transition probabilities. One of the sensitivity </w:t>
      </w:r>
      <w:proofErr w:type="gramStart"/>
      <w:r w:rsidRPr="00F6075C">
        <w:rPr>
          <w:rFonts w:asciiTheme="minorHAnsi" w:hAnsiTheme="minorHAnsi" w:cstheme="minorHAnsi"/>
          <w:iCs/>
          <w:sz w:val="16"/>
          <w:szCs w:val="16"/>
        </w:rPr>
        <w:t>analysis</w:t>
      </w:r>
      <w:proofErr w:type="gramEnd"/>
      <w:r w:rsidRPr="00F6075C">
        <w:rPr>
          <w:rFonts w:asciiTheme="minorHAnsi" w:hAnsiTheme="minorHAnsi" w:cstheme="minorHAnsi"/>
          <w:iCs/>
          <w:sz w:val="16"/>
          <w:szCs w:val="16"/>
        </w:rPr>
        <w:t xml:space="preserve"> involved setting the transition probability for each health state to be equal to the transition probability of the indirect comparator group (i.e., Link-me RCT mild/minimal group) sequentially. The other sensitivity analysis involved varying the utility values by their 95% confidence interval values.</w:t>
      </w:r>
    </w:p>
    <w:p w14:paraId="32F2E88A" w14:textId="77777777" w:rsidR="00F6075C" w:rsidRPr="00F6075C" w:rsidRDefault="00F6075C" w:rsidP="00F6075C">
      <w:pPr>
        <w:rPr>
          <w:rFonts w:asciiTheme="minorHAnsi" w:eastAsiaTheme="minorEastAsia" w:hAnsiTheme="minorHAnsi" w:cstheme="minorBidi"/>
        </w:rPr>
      </w:pPr>
    </w:p>
    <w:p w14:paraId="2BCFD0A6" w14:textId="77777777" w:rsidR="00F6075C" w:rsidRPr="00F6075C" w:rsidRDefault="00F6075C" w:rsidP="00F6075C">
      <w:pPr>
        <w:rPr>
          <w:rFonts w:asciiTheme="minorHAnsi" w:hAnsiTheme="minorHAnsi" w:cstheme="minorHAnsi"/>
          <w:sz w:val="21"/>
          <w:szCs w:val="21"/>
          <w:lang w:eastAsia="zh-CN"/>
        </w:rPr>
      </w:pPr>
    </w:p>
    <w:p w14:paraId="5E8433F7" w14:textId="77777777" w:rsidR="00F6075C" w:rsidRPr="00F6075C" w:rsidRDefault="00F6075C" w:rsidP="00F6075C">
      <w:pPr>
        <w:jc w:val="center"/>
        <w:rPr>
          <w:rFonts w:asciiTheme="minorHAnsi" w:hAnsiTheme="minorHAnsi" w:cstheme="minorHAnsi"/>
          <w:sz w:val="21"/>
          <w:szCs w:val="21"/>
          <w:lang w:eastAsia="zh-CN"/>
        </w:rPr>
      </w:pPr>
      <w:r w:rsidRPr="00F6075C">
        <w:rPr>
          <w:rFonts w:asciiTheme="minorHAnsi" w:eastAsiaTheme="minorEastAsia" w:hAnsiTheme="minorHAnsi" w:cstheme="minorBidi"/>
          <w:noProof/>
          <w:lang w:eastAsia="en-AU"/>
        </w:rPr>
        <w:drawing>
          <wp:inline distT="0" distB="0" distL="0" distR="0" wp14:anchorId="16D33505" wp14:editId="00FF5746">
            <wp:extent cx="4572000" cy="2743200"/>
            <wp:effectExtent l="0" t="0" r="0" b="0"/>
            <wp:docPr id="102" name="Chart 102" descr="Two tornado diagrams providing the results of the sensitivity analysis for MindSpot. The first diagram is for self-directed treatment and the second diagram is for therapist-supported treatment. Both diagrams show the upper and lower bound of the incremental cost-effectiveness ratios by specific change in the model input parameters such as transition probabilities and utility weights."/>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68C6B9C4" w14:textId="77777777" w:rsidR="002C6B2D" w:rsidRDefault="002C6B2D" w:rsidP="002C6B2D">
      <w:pPr>
        <w:snapToGrid w:val="0"/>
        <w:spacing w:after="240"/>
        <w:rPr>
          <w:rFonts w:asciiTheme="minorHAnsi" w:hAnsiTheme="minorHAnsi" w:cstheme="minorBidi"/>
          <w:sz w:val="16"/>
          <w:szCs w:val="16"/>
        </w:rPr>
      </w:pPr>
      <w:r w:rsidRPr="69B67DBE">
        <w:rPr>
          <w:rFonts w:asciiTheme="minorHAnsi" w:hAnsiTheme="minorHAnsi" w:cstheme="minorBidi"/>
          <w:b/>
          <w:sz w:val="21"/>
          <w:szCs w:val="21"/>
        </w:rPr>
        <w:t xml:space="preserve">Figure 21. Tornado diagram of the deterministic sensitivity analysis for </w:t>
      </w:r>
      <w:proofErr w:type="spellStart"/>
      <w:r w:rsidRPr="69B67DBE">
        <w:rPr>
          <w:rFonts w:asciiTheme="minorHAnsi" w:hAnsiTheme="minorHAnsi" w:cstheme="minorBidi"/>
          <w:b/>
          <w:sz w:val="21"/>
          <w:szCs w:val="21"/>
        </w:rPr>
        <w:t>MindSpot</w:t>
      </w:r>
      <w:proofErr w:type="spellEnd"/>
    </w:p>
    <w:p w14:paraId="10CA6566" w14:textId="77777777" w:rsidR="00F6075C" w:rsidRPr="00F6075C" w:rsidRDefault="00F6075C" w:rsidP="00F6075C">
      <w:pPr>
        <w:snapToGrid w:val="0"/>
        <w:rPr>
          <w:rFonts w:asciiTheme="minorHAnsi" w:hAnsiTheme="minorHAnsi" w:cstheme="minorHAnsi"/>
          <w:iCs/>
          <w:sz w:val="16"/>
          <w:szCs w:val="16"/>
        </w:rPr>
      </w:pPr>
      <w:r w:rsidRPr="00F6075C">
        <w:rPr>
          <w:rFonts w:asciiTheme="minorHAnsi" w:hAnsiTheme="minorHAnsi" w:cstheme="minorHAnsi"/>
          <w:iCs/>
          <w:sz w:val="16"/>
          <w:szCs w:val="16"/>
        </w:rPr>
        <w:t xml:space="preserve">TP = transition probabilities. One of the sensitivity </w:t>
      </w:r>
      <w:proofErr w:type="gramStart"/>
      <w:r w:rsidRPr="00F6075C">
        <w:rPr>
          <w:rFonts w:asciiTheme="minorHAnsi" w:hAnsiTheme="minorHAnsi" w:cstheme="minorHAnsi"/>
          <w:iCs/>
          <w:sz w:val="16"/>
          <w:szCs w:val="16"/>
        </w:rPr>
        <w:t>analysis</w:t>
      </w:r>
      <w:proofErr w:type="gramEnd"/>
      <w:r w:rsidRPr="00F6075C">
        <w:rPr>
          <w:rFonts w:asciiTheme="minorHAnsi" w:hAnsiTheme="minorHAnsi" w:cstheme="minorHAnsi"/>
          <w:iCs/>
          <w:sz w:val="16"/>
          <w:szCs w:val="16"/>
        </w:rPr>
        <w:t xml:space="preserve"> involved setting the transition probability for each health state to be equal to the transition probability of the indirect comparator group (i.e., Link-me RCT mild/minimal group) sequentially. The other sensitivity analysis involved varying the utility values by their 95% confidence interval values.</w:t>
      </w:r>
    </w:p>
    <w:p w14:paraId="3FA0A54A" w14:textId="77777777" w:rsidR="00F6075C" w:rsidRPr="00F6075C" w:rsidRDefault="00F6075C" w:rsidP="00F6075C">
      <w:pPr>
        <w:jc w:val="center"/>
        <w:rPr>
          <w:rFonts w:asciiTheme="minorHAnsi" w:hAnsiTheme="minorHAnsi" w:cstheme="minorHAnsi"/>
          <w:sz w:val="21"/>
          <w:szCs w:val="21"/>
          <w:lang w:eastAsia="zh-CN"/>
        </w:rPr>
      </w:pPr>
    </w:p>
    <w:p w14:paraId="10F1DA4F" w14:textId="77777777" w:rsidR="00F6075C" w:rsidRPr="00F6075C" w:rsidRDefault="00F6075C" w:rsidP="00F6075C">
      <w:pPr>
        <w:jc w:val="center"/>
        <w:rPr>
          <w:rFonts w:asciiTheme="minorHAnsi" w:hAnsiTheme="minorHAnsi" w:cstheme="minorHAnsi"/>
          <w:sz w:val="21"/>
          <w:szCs w:val="21"/>
          <w:lang w:eastAsia="zh-CN"/>
        </w:rPr>
      </w:pPr>
    </w:p>
    <w:p w14:paraId="2950B4AF" w14:textId="04A1F7FF" w:rsidR="00F6075C" w:rsidRPr="00F6075C" w:rsidRDefault="00F6075C" w:rsidP="00F6075C">
      <w:pPr>
        <w:jc w:val="center"/>
        <w:rPr>
          <w:rFonts w:asciiTheme="minorHAnsi" w:hAnsiTheme="minorHAnsi" w:cstheme="minorHAnsi"/>
          <w:b/>
          <w:iCs/>
          <w:sz w:val="21"/>
          <w:szCs w:val="21"/>
          <w:lang w:eastAsia="zh-CN"/>
        </w:rPr>
      </w:pPr>
      <w:r w:rsidRPr="00F6075C">
        <w:rPr>
          <w:rFonts w:asciiTheme="minorHAnsi" w:hAnsiTheme="minorHAnsi" w:cstheme="minorHAnsi"/>
          <w:iCs/>
          <w:sz w:val="21"/>
          <w:szCs w:val="21"/>
          <w:lang w:eastAsia="zh-CN"/>
        </w:rPr>
        <w:br w:type="page"/>
      </w:r>
    </w:p>
    <w:p w14:paraId="183068F4" w14:textId="77777777" w:rsidR="00F6075C" w:rsidRPr="00F6075C" w:rsidRDefault="00F6075C" w:rsidP="00F6075C">
      <w:pPr>
        <w:jc w:val="center"/>
        <w:rPr>
          <w:rFonts w:asciiTheme="minorHAnsi" w:hAnsiTheme="minorHAnsi" w:cstheme="minorBidi"/>
          <w:sz w:val="21"/>
          <w:szCs w:val="21"/>
          <w:lang w:eastAsia="zh-CN"/>
        </w:rPr>
      </w:pPr>
      <w:r w:rsidRPr="00F6075C">
        <w:rPr>
          <w:rFonts w:asciiTheme="minorHAnsi" w:eastAsiaTheme="minorEastAsia" w:hAnsiTheme="minorHAnsi" w:cstheme="minorBidi"/>
          <w:noProof/>
          <w:lang w:eastAsia="en-AU"/>
        </w:rPr>
        <w:lastRenderedPageBreak/>
        <w:drawing>
          <wp:inline distT="0" distB="0" distL="0" distR="0" wp14:anchorId="53C5EA1F" wp14:editId="39B6D476">
            <wp:extent cx="4572000" cy="2743200"/>
            <wp:effectExtent l="0" t="0" r="0" b="0"/>
            <wp:docPr id="103" name="Chart 103" descr="Two tornado diagrams providing the results of the sensitivity analysis for THIS WAY UP. The first diagram is for self-directed treatment and the second diagram is for therapist-supported treatment. Both diagrams show the upper and lower bound of the incremental cost-effectiveness ratios by specific change in the model input parameters such as transition probabilities and utility weights."/>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14372824" w14:textId="77777777" w:rsidR="00F6075C" w:rsidRPr="00F6075C" w:rsidRDefault="00F6075C" w:rsidP="00F6075C">
      <w:pPr>
        <w:snapToGrid w:val="0"/>
        <w:rPr>
          <w:rFonts w:asciiTheme="minorHAnsi" w:hAnsiTheme="minorHAnsi" w:cstheme="minorHAnsi"/>
          <w:iCs/>
          <w:sz w:val="16"/>
          <w:szCs w:val="16"/>
        </w:rPr>
      </w:pPr>
      <w:r w:rsidRPr="00F6075C">
        <w:rPr>
          <w:rFonts w:asciiTheme="minorHAnsi" w:hAnsiTheme="minorHAnsi" w:cstheme="minorHAnsi"/>
          <w:iCs/>
          <w:sz w:val="16"/>
          <w:szCs w:val="16"/>
        </w:rPr>
        <w:t xml:space="preserve">TP = transition probabilities. One of the sensitivity </w:t>
      </w:r>
      <w:proofErr w:type="gramStart"/>
      <w:r w:rsidRPr="00F6075C">
        <w:rPr>
          <w:rFonts w:asciiTheme="minorHAnsi" w:hAnsiTheme="minorHAnsi" w:cstheme="minorHAnsi"/>
          <w:iCs/>
          <w:sz w:val="16"/>
          <w:szCs w:val="16"/>
        </w:rPr>
        <w:t>analysis</w:t>
      </w:r>
      <w:proofErr w:type="gramEnd"/>
      <w:r w:rsidRPr="00F6075C">
        <w:rPr>
          <w:rFonts w:asciiTheme="minorHAnsi" w:hAnsiTheme="minorHAnsi" w:cstheme="minorHAnsi"/>
          <w:iCs/>
          <w:sz w:val="16"/>
          <w:szCs w:val="16"/>
        </w:rPr>
        <w:t xml:space="preserve"> involved setting the transition probability for each health state to be equal to the transition probability of the indirect comparator group (i.e., Link-me RCT mild/minimal group) sequentially. The other sensitivity analysis involved varying the utility values by their 95% confidence interval values.</w:t>
      </w:r>
    </w:p>
    <w:p w14:paraId="230BBC34" w14:textId="77777777" w:rsidR="00F6075C" w:rsidRPr="00F6075C" w:rsidRDefault="00F6075C" w:rsidP="00F6075C">
      <w:pPr>
        <w:jc w:val="center"/>
        <w:rPr>
          <w:rFonts w:asciiTheme="minorHAnsi" w:hAnsiTheme="minorHAnsi" w:cstheme="minorHAnsi"/>
          <w:iCs/>
          <w:sz w:val="21"/>
          <w:szCs w:val="21"/>
          <w:lang w:eastAsia="zh-CN"/>
        </w:rPr>
      </w:pPr>
    </w:p>
    <w:p w14:paraId="143FE98A" w14:textId="77777777" w:rsidR="00F6075C" w:rsidRPr="00F6075C" w:rsidRDefault="00F6075C" w:rsidP="00F6075C">
      <w:pPr>
        <w:jc w:val="center"/>
        <w:rPr>
          <w:rFonts w:asciiTheme="minorHAnsi" w:hAnsiTheme="minorHAnsi" w:cstheme="minorHAnsi"/>
          <w:iCs/>
          <w:sz w:val="21"/>
          <w:szCs w:val="21"/>
          <w:lang w:eastAsia="zh-CN"/>
        </w:rPr>
      </w:pPr>
      <w:r w:rsidRPr="00F6075C">
        <w:rPr>
          <w:rFonts w:asciiTheme="minorHAnsi" w:eastAsiaTheme="minorEastAsia" w:hAnsiTheme="minorHAnsi" w:cstheme="minorBidi"/>
          <w:noProof/>
          <w:lang w:eastAsia="en-AU"/>
        </w:rPr>
        <w:drawing>
          <wp:inline distT="0" distB="0" distL="0" distR="0" wp14:anchorId="075AA6DB" wp14:editId="66943985">
            <wp:extent cx="4572000" cy="2743200"/>
            <wp:effectExtent l="0" t="0" r="0" b="0"/>
            <wp:docPr id="106" name="Chart 106" descr="Two tornado diagrams providing the results of the sensitivity analysis for THIS WAY UP. The first diagram is for self-directed treatment and the second diagram is for therapist-supported treatment. Both diagrams show the upper and lower bound of the incremental cost-effectiveness ratios by specific change in the model input parameters such as transition probabilities and utility weights."/>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5A6C49A4" w14:textId="77777777" w:rsidR="002C6B2D" w:rsidRDefault="002C6B2D" w:rsidP="002C6B2D">
      <w:pPr>
        <w:snapToGrid w:val="0"/>
        <w:spacing w:after="240"/>
        <w:rPr>
          <w:rFonts w:asciiTheme="minorHAnsi" w:hAnsiTheme="minorHAnsi" w:cstheme="minorBidi"/>
          <w:sz w:val="16"/>
          <w:szCs w:val="16"/>
        </w:rPr>
      </w:pPr>
      <w:r w:rsidRPr="00F6075C">
        <w:rPr>
          <w:rFonts w:asciiTheme="minorHAnsi" w:eastAsiaTheme="minorEastAsia" w:hAnsiTheme="minorHAnsi" w:cstheme="minorBidi"/>
          <w:b/>
          <w:sz w:val="21"/>
          <w:szCs w:val="21"/>
          <w:lang w:eastAsia="zh-CN"/>
        </w:rPr>
        <w:t xml:space="preserve">Figure </w:t>
      </w:r>
      <w:r>
        <w:rPr>
          <w:rFonts w:asciiTheme="minorHAnsi" w:eastAsiaTheme="minorEastAsia" w:hAnsiTheme="minorHAnsi" w:cstheme="minorBidi"/>
          <w:b/>
          <w:sz w:val="21"/>
          <w:szCs w:val="21"/>
          <w:lang w:eastAsia="zh-CN"/>
        </w:rPr>
        <w:t>22</w:t>
      </w:r>
      <w:r w:rsidRPr="00F6075C">
        <w:rPr>
          <w:rFonts w:asciiTheme="minorHAnsi" w:eastAsiaTheme="minorEastAsia" w:hAnsiTheme="minorHAnsi" w:cstheme="minorBidi"/>
          <w:b/>
          <w:sz w:val="21"/>
          <w:szCs w:val="21"/>
          <w:lang w:eastAsia="zh-CN"/>
        </w:rPr>
        <w:t>. Tornado diagram of the deterministic sensitivity analysis for THIS WAY UP</w:t>
      </w:r>
      <w:r w:rsidRPr="69B67DBE">
        <w:rPr>
          <w:rFonts w:asciiTheme="minorHAnsi" w:hAnsiTheme="minorHAnsi" w:cstheme="minorBidi"/>
          <w:sz w:val="16"/>
          <w:szCs w:val="16"/>
        </w:rPr>
        <w:t xml:space="preserve"> </w:t>
      </w:r>
    </w:p>
    <w:p w14:paraId="72EF1405" w14:textId="6ECE4A90" w:rsidR="00F6075C" w:rsidRPr="00F6075C" w:rsidRDefault="00F6075C" w:rsidP="006C1D49">
      <w:pPr>
        <w:snapToGrid w:val="0"/>
        <w:spacing w:after="240"/>
        <w:rPr>
          <w:rFonts w:asciiTheme="minorHAnsi" w:hAnsiTheme="minorHAnsi" w:cstheme="minorHAnsi"/>
          <w:iCs/>
          <w:sz w:val="16"/>
          <w:szCs w:val="16"/>
        </w:rPr>
      </w:pPr>
      <w:r w:rsidRPr="00F6075C">
        <w:rPr>
          <w:rFonts w:asciiTheme="minorHAnsi" w:hAnsiTheme="minorHAnsi" w:cstheme="minorHAnsi"/>
          <w:iCs/>
          <w:sz w:val="16"/>
          <w:szCs w:val="16"/>
        </w:rPr>
        <w:t xml:space="preserve">TP = transition probabilities. One of the sensitivity </w:t>
      </w:r>
      <w:proofErr w:type="gramStart"/>
      <w:r w:rsidRPr="00F6075C">
        <w:rPr>
          <w:rFonts w:asciiTheme="minorHAnsi" w:hAnsiTheme="minorHAnsi" w:cstheme="minorHAnsi"/>
          <w:iCs/>
          <w:sz w:val="16"/>
          <w:szCs w:val="16"/>
        </w:rPr>
        <w:t>analysis</w:t>
      </w:r>
      <w:proofErr w:type="gramEnd"/>
      <w:r w:rsidRPr="00F6075C">
        <w:rPr>
          <w:rFonts w:asciiTheme="minorHAnsi" w:hAnsiTheme="minorHAnsi" w:cstheme="minorHAnsi"/>
          <w:iCs/>
          <w:sz w:val="16"/>
          <w:szCs w:val="16"/>
        </w:rPr>
        <w:t xml:space="preserve"> involved setting the transition probability for each health state to be equal to the transition probability of the indirect comparator group (i.e., Link-me RCT mild/minimal group) sequentially. The other sensitivity analysis involved varying the utility values by their 95% confidence interval values.</w:t>
      </w:r>
    </w:p>
    <w:p w14:paraId="7B0F5ED6" w14:textId="77777777" w:rsidR="006C1D49" w:rsidRDefault="006C1D49">
      <w:pPr>
        <w:spacing w:after="200"/>
        <w:rPr>
          <w:rFonts w:asciiTheme="minorHAnsi" w:hAnsiTheme="minorHAnsi" w:cstheme="minorHAnsi"/>
          <w:iCs/>
          <w:sz w:val="16"/>
          <w:szCs w:val="16"/>
        </w:rPr>
      </w:pPr>
      <w:r>
        <w:rPr>
          <w:rFonts w:asciiTheme="minorHAnsi" w:hAnsiTheme="minorHAnsi" w:cstheme="minorHAnsi"/>
          <w:iCs/>
          <w:sz w:val="16"/>
          <w:szCs w:val="16"/>
        </w:rPr>
        <w:br w:type="page"/>
      </w:r>
    </w:p>
    <w:p w14:paraId="58DFE931" w14:textId="71D1BF9E" w:rsidR="00F6075C" w:rsidRDefault="00136737" w:rsidP="006C1D49">
      <w:pPr>
        <w:pStyle w:val="Heading2"/>
        <w:numPr>
          <w:ilvl w:val="1"/>
          <w:numId w:val="142"/>
        </w:numPr>
        <w:rPr>
          <w:lang w:eastAsia="zh-CN"/>
        </w:rPr>
      </w:pPr>
      <w:bookmarkStart w:id="303" w:name="_Toc108784905"/>
      <w:r>
        <w:rPr>
          <w:lang w:eastAsia="zh-CN"/>
        </w:rPr>
        <w:lastRenderedPageBreak/>
        <w:t>Summary</w:t>
      </w:r>
      <w:bookmarkEnd w:id="303"/>
    </w:p>
    <w:p w14:paraId="2B90CED8" w14:textId="0FE97C8B" w:rsidR="00136737" w:rsidRDefault="00136737" w:rsidP="00136737">
      <w:pPr>
        <w:pStyle w:val="ANorm"/>
        <w:rPr>
          <w:sz w:val="22"/>
          <w:szCs w:val="22"/>
          <w:lang w:eastAsia="en-US"/>
        </w:rPr>
      </w:pPr>
      <w:r>
        <w:t>The delivery costs of the three Australian Government-funded DMHSs ranged from $52 to $99 per consumer for self-guided treatment and $21 to $362 per consumer for therapist-supported treatment. It is estimated that an additional 1,181 QALYs (that is an additional 1,181 years of life lived in full health) across one year was achieved through the treatments delivered by these services. Excluding productivity losses, the incremental cost-effectiveness ratios for self-guided treatment ranged from $887 to $32,354 per QALY, and for therapist-supported treatment from $96 to $35,062 per QALY. These ratios were lower than the standard willingness-to-pay threshold of $50,000 per QALY, which is commonly used to evaluate the cost-effectiveness of public health programs in Australia. Our results show that DMHSs are cost effective compared to usual care (e.g., face-to-face treatment) for individuals with depression or anxiety symptoms who access treatment. The DMHSs costed less and produced greater benefits than the indirect comparator groups (representing usual care) when productivity impacts were taken into consideration.</w:t>
      </w:r>
    </w:p>
    <w:p w14:paraId="2CC8824C" w14:textId="77777777" w:rsidR="00136737" w:rsidRPr="00F6075C" w:rsidRDefault="00136737" w:rsidP="00136737">
      <w:pPr>
        <w:rPr>
          <w:rFonts w:asciiTheme="minorHAnsi" w:hAnsiTheme="minorHAnsi" w:cstheme="minorHAnsi"/>
          <w:iCs/>
          <w:sz w:val="21"/>
          <w:szCs w:val="21"/>
          <w:lang w:eastAsia="zh-CN"/>
        </w:rPr>
      </w:pPr>
    </w:p>
    <w:p w14:paraId="2101F3DD" w14:textId="77777777" w:rsidR="00F6075C" w:rsidRPr="00F6075C" w:rsidRDefault="00F6075C" w:rsidP="00F6075C">
      <w:pPr>
        <w:rPr>
          <w:rFonts w:asciiTheme="minorHAnsi" w:hAnsiTheme="minorHAnsi" w:cstheme="minorHAnsi"/>
          <w:iCs/>
          <w:sz w:val="21"/>
          <w:szCs w:val="21"/>
          <w:lang w:eastAsia="zh-CN"/>
        </w:rPr>
      </w:pPr>
      <w:r w:rsidRPr="00F6075C">
        <w:rPr>
          <w:rFonts w:asciiTheme="minorHAnsi" w:hAnsiTheme="minorHAnsi" w:cstheme="minorHAnsi"/>
          <w:iCs/>
          <w:sz w:val="21"/>
          <w:szCs w:val="21"/>
          <w:lang w:eastAsia="zh-CN"/>
        </w:rPr>
        <w:br w:type="page"/>
      </w:r>
    </w:p>
    <w:p w14:paraId="036D1748" w14:textId="3440C898" w:rsidR="004E3466" w:rsidRDefault="004E3466" w:rsidP="004E2ED0">
      <w:pPr>
        <w:pStyle w:val="Heading1"/>
        <w:numPr>
          <w:ilvl w:val="0"/>
          <w:numId w:val="146"/>
        </w:numPr>
      </w:pPr>
      <w:bookmarkStart w:id="304" w:name="_Toc102047107"/>
      <w:bookmarkStart w:id="305" w:name="_Toc102047193"/>
      <w:bookmarkStart w:id="306" w:name="_Toc108784906"/>
      <w:bookmarkEnd w:id="304"/>
      <w:bookmarkEnd w:id="305"/>
      <w:r>
        <w:lastRenderedPageBreak/>
        <w:t>Discussion</w:t>
      </w:r>
      <w:bookmarkEnd w:id="306"/>
    </w:p>
    <w:bookmarkEnd w:id="41"/>
    <w:bookmarkEnd w:id="42"/>
    <w:p w14:paraId="1B95DC8B" w14:textId="6470065D" w:rsidR="00B63226" w:rsidRDefault="00A9449D" w:rsidP="007B025C">
      <w:pPr>
        <w:pStyle w:val="ANorm"/>
        <w:spacing w:after="240"/>
        <w:rPr>
          <w:rStyle w:val="normaltextrun"/>
          <w:rFonts w:asciiTheme="minorHAnsi" w:hAnsiTheme="minorHAnsi" w:cstheme="minorHAnsi"/>
          <w:color w:val="000000"/>
          <w:shd w:val="clear" w:color="auto" w:fill="FFFFFF"/>
        </w:rPr>
      </w:pPr>
      <w:r w:rsidRPr="003F0E83">
        <w:rPr>
          <w:rStyle w:val="normaltextrun"/>
          <w:rFonts w:asciiTheme="minorHAnsi" w:hAnsiTheme="minorHAnsi" w:cstheme="minorHAnsi"/>
          <w:color w:val="000000"/>
          <w:shd w:val="clear" w:color="auto" w:fill="FFFFFF"/>
        </w:rPr>
        <w:t>This section summarises findings from all the data sources used in this report according to the five overarching KEQs. Note that KEQs are addressed by different combinations of, and not necessarily all, data sources.</w:t>
      </w:r>
    </w:p>
    <w:p w14:paraId="0F3F8BE4" w14:textId="40CEF9CD" w:rsidR="003F0E83" w:rsidRDefault="000253A9" w:rsidP="007B025C">
      <w:pPr>
        <w:pStyle w:val="ANorm"/>
        <w:spacing w:after="240"/>
      </w:pPr>
      <w:r w:rsidRPr="00EE6CD2">
        <w:t xml:space="preserve">Findings should be interpreted in the context of </w:t>
      </w:r>
      <w:r w:rsidR="007C2AB2" w:rsidRPr="00EE6CD2">
        <w:t>several</w:t>
      </w:r>
      <w:r w:rsidRPr="00EE6CD2">
        <w:t xml:space="preserve"> important </w:t>
      </w:r>
      <w:r w:rsidR="007C2AB2" w:rsidRPr="00EE6CD2">
        <w:t>caveats</w:t>
      </w:r>
      <w:r w:rsidRPr="00EE6CD2">
        <w:t>. First, the evaluation focused largely on therapist-supported and self-directed treatments offered by the three DMHSs, but t</w:t>
      </w:r>
      <w:r w:rsidR="003A6CD8">
        <w:t>reatment</w:t>
      </w:r>
      <w:r w:rsidRPr="00EE6CD2">
        <w:t xml:space="preserve"> is only one component of their service offerings. </w:t>
      </w:r>
      <w:r w:rsidR="00446F68" w:rsidRPr="00EE6CD2">
        <w:t>All</w:t>
      </w:r>
      <w:r w:rsidRPr="00EE6CD2">
        <w:t xml:space="preserve"> three services also provide web-based information and assessment. Second, key differences exist in the service delivery models of the three DMHSs</w:t>
      </w:r>
      <w:r w:rsidR="00446F68" w:rsidRPr="00EE6CD2">
        <w:t xml:space="preserve"> and they receive different amounts of</w:t>
      </w:r>
      <w:r w:rsidR="00106AA7" w:rsidRPr="00EE6CD2">
        <w:t xml:space="preserve"> </w:t>
      </w:r>
      <w:r w:rsidR="008E30FB" w:rsidRPr="00EE6CD2">
        <w:t>government</w:t>
      </w:r>
      <w:r w:rsidR="00446F68" w:rsidRPr="00EE6CD2">
        <w:t xml:space="preserve"> funding</w:t>
      </w:r>
      <w:r w:rsidRPr="00EE6CD2">
        <w:t xml:space="preserve">. </w:t>
      </w:r>
      <w:r w:rsidR="00106AA7" w:rsidRPr="00EE6CD2">
        <w:t>T</w:t>
      </w:r>
      <w:r w:rsidRPr="00EE6CD2">
        <w:t xml:space="preserve">he providers of therapist support differ across the DMHS; these include provisional (trainee) psychologists at Mental Health Online, internal clinicians at </w:t>
      </w:r>
      <w:proofErr w:type="spellStart"/>
      <w:r w:rsidRPr="00EE6CD2">
        <w:t>MindSpot</w:t>
      </w:r>
      <w:proofErr w:type="spellEnd"/>
      <w:r w:rsidRPr="00EE6CD2">
        <w:t>, and external clinicians at THIS WAY UP. Third, although therapist support is available, consumers can choose not to take up this support, instead electing to complete online treatment on their own (self-directed treatment).</w:t>
      </w:r>
      <w:r w:rsidR="009037B0" w:rsidRPr="00EE6CD2">
        <w:t xml:space="preserve"> Finally, </w:t>
      </w:r>
      <w:r w:rsidR="00D2466D" w:rsidRPr="00EE6CD2">
        <w:t xml:space="preserve">the time frames are different </w:t>
      </w:r>
      <w:r w:rsidR="00EE6CD2" w:rsidRPr="00EE6CD2">
        <w:t>for the routinely collected data we analysed.</w:t>
      </w:r>
    </w:p>
    <w:p w14:paraId="527F3C79" w14:textId="56A6C501" w:rsidR="00EE6CD2" w:rsidRPr="00EE6CD2" w:rsidRDefault="00EE6CD2" w:rsidP="007B025C">
      <w:pPr>
        <w:pStyle w:val="ANorm"/>
        <w:spacing w:after="240"/>
        <w:rPr>
          <w:rFonts w:asciiTheme="minorHAnsi" w:hAnsiTheme="minorHAnsi" w:cstheme="minorHAnsi"/>
          <w:color w:val="000000"/>
          <w:shd w:val="clear" w:color="auto" w:fill="FFFFFF"/>
        </w:rPr>
      </w:pPr>
      <w:r w:rsidRPr="003F0E83">
        <w:rPr>
          <w:rStyle w:val="normaltextrun"/>
          <w:rFonts w:asciiTheme="minorHAnsi" w:hAnsiTheme="minorHAnsi" w:cstheme="minorHAnsi"/>
          <w:color w:val="000000"/>
          <w:shd w:val="clear" w:color="auto" w:fill="FFFFFF"/>
        </w:rPr>
        <w:t xml:space="preserve">Furthermore, the evaluation was not designed to compare the three services. Some of the differences observed could be accounted for by methodological variation. For example, the services are likely to have used different methods to apportion costs for the assessment, and self-directed and </w:t>
      </w:r>
      <w:r w:rsidR="003A6CD8">
        <w:rPr>
          <w:rStyle w:val="normaltextrun"/>
          <w:rFonts w:asciiTheme="minorHAnsi" w:hAnsiTheme="minorHAnsi" w:cstheme="minorHAnsi"/>
          <w:color w:val="000000"/>
          <w:shd w:val="clear" w:color="auto" w:fill="FFFFFF"/>
        </w:rPr>
        <w:t>thera</w:t>
      </w:r>
      <w:r w:rsidR="002C3B1F">
        <w:rPr>
          <w:rStyle w:val="normaltextrun"/>
          <w:rFonts w:asciiTheme="minorHAnsi" w:hAnsiTheme="minorHAnsi" w:cstheme="minorHAnsi"/>
          <w:color w:val="000000"/>
          <w:shd w:val="clear" w:color="auto" w:fill="FFFFFF"/>
        </w:rPr>
        <w:t xml:space="preserve">pist-supported </w:t>
      </w:r>
      <w:r w:rsidRPr="003F0E83">
        <w:rPr>
          <w:rStyle w:val="normaltextrun"/>
          <w:rFonts w:asciiTheme="minorHAnsi" w:hAnsiTheme="minorHAnsi" w:cstheme="minorHAnsi"/>
          <w:color w:val="000000"/>
          <w:shd w:val="clear" w:color="auto" w:fill="FFFFFF"/>
        </w:rPr>
        <w:t>treatment service elements.</w:t>
      </w:r>
    </w:p>
    <w:p w14:paraId="048B11E9" w14:textId="77777777" w:rsidR="00A9449D" w:rsidRPr="003F0E83" w:rsidRDefault="00A9449D" w:rsidP="003F0E83">
      <w:pPr>
        <w:pStyle w:val="Heading2"/>
        <w:numPr>
          <w:ilvl w:val="1"/>
          <w:numId w:val="142"/>
        </w:numPr>
      </w:pPr>
      <w:bookmarkStart w:id="307" w:name="_Toc108784907"/>
      <w:r w:rsidRPr="003F0E83">
        <w:rPr>
          <w:rFonts w:asciiTheme="minorHAnsi" w:hAnsiTheme="minorHAnsi" w:cstheme="minorHAnsi"/>
        </w:rPr>
        <w:t>KEQ 1: How effective has the implementation of online mental health treatment services been to date, and what can we learn from it?</w:t>
      </w:r>
      <w:bookmarkEnd w:id="307"/>
    </w:p>
    <w:p w14:paraId="663ABD8E" w14:textId="77777777" w:rsidR="00A9449D" w:rsidRPr="00207779" w:rsidRDefault="00A9449D" w:rsidP="00A9449D">
      <w:pPr>
        <w:pStyle w:val="ANorm"/>
        <w:spacing w:after="240"/>
        <w:rPr>
          <w:rStyle w:val="normaltextrun"/>
          <w:rFonts w:asciiTheme="minorHAnsi" w:hAnsiTheme="minorHAnsi" w:cstheme="minorHAnsi"/>
          <w:color w:val="000000"/>
          <w:shd w:val="clear" w:color="auto" w:fill="FFFFFF"/>
        </w:rPr>
      </w:pPr>
      <w:r w:rsidRPr="00207779">
        <w:rPr>
          <w:rStyle w:val="normaltextrun"/>
          <w:rFonts w:asciiTheme="minorHAnsi" w:hAnsiTheme="minorHAnsi" w:cstheme="minorHAnsi"/>
          <w:color w:val="000000"/>
          <w:shd w:val="clear" w:color="auto" w:fill="FFFFFF"/>
        </w:rPr>
        <w:t>Routinely collected service use data, peer-reviewed and grey literature, and consultations with DMHS consumers and providers, additional mental health professionals and referrers, and key mental health sector representatives contribute to addressing KEQ 1.</w:t>
      </w:r>
    </w:p>
    <w:p w14:paraId="7686ED57" w14:textId="77777777" w:rsidR="00A9449D" w:rsidRPr="00A16564" w:rsidRDefault="00A9449D" w:rsidP="00A16564">
      <w:pPr>
        <w:pStyle w:val="Heading3"/>
        <w:rPr>
          <w:shd w:val="clear" w:color="auto" w:fill="FFFFFF"/>
        </w:rPr>
      </w:pPr>
      <w:r w:rsidRPr="00A16564">
        <w:rPr>
          <w:rStyle w:val="normaltextrun"/>
          <w:shd w:val="clear" w:color="auto" w:fill="FFFFFF"/>
        </w:rPr>
        <w:t>Overall uptake of DMHSs</w:t>
      </w:r>
    </w:p>
    <w:p w14:paraId="314C0D01" w14:textId="77777777" w:rsidR="00A9449D" w:rsidRPr="00207779" w:rsidRDefault="00A9449D" w:rsidP="00A16564">
      <w:pPr>
        <w:spacing w:after="240"/>
        <w:rPr>
          <w:rFonts w:asciiTheme="minorHAnsi" w:hAnsiTheme="minorHAnsi" w:cstheme="minorHAnsi"/>
          <w:sz w:val="21"/>
          <w:szCs w:val="21"/>
        </w:rPr>
      </w:pPr>
      <w:r w:rsidRPr="00207779">
        <w:rPr>
          <w:rFonts w:asciiTheme="minorHAnsi" w:hAnsiTheme="minorHAnsi" w:cstheme="minorHAnsi"/>
          <w:sz w:val="21"/>
          <w:szCs w:val="21"/>
          <w:lang w:val="en-US" w:bidi="th-TH"/>
        </w:rPr>
        <w:t xml:space="preserve">Overall, the routinely collected service use data (Section 3) suggest that the three </w:t>
      </w:r>
      <w:r w:rsidRPr="00207779">
        <w:rPr>
          <w:rFonts w:asciiTheme="minorHAnsi" w:hAnsiTheme="minorHAnsi" w:cstheme="minorHAnsi"/>
          <w:sz w:val="21"/>
          <w:szCs w:val="21"/>
        </w:rPr>
        <w:t>DMHSs we evaluated are an important part of the Australian mental health service system, with the number of consumers accessing, and providers delivering, care through them steadily increasing.</w:t>
      </w:r>
    </w:p>
    <w:p w14:paraId="4D9BB681" w14:textId="77777777" w:rsidR="00A9449D" w:rsidRPr="00207779" w:rsidRDefault="00A9449D" w:rsidP="00A16564">
      <w:pPr>
        <w:spacing w:after="240"/>
        <w:rPr>
          <w:rFonts w:asciiTheme="minorHAnsi" w:hAnsiTheme="minorHAnsi" w:cstheme="minorHAnsi"/>
          <w:sz w:val="21"/>
          <w:szCs w:val="21"/>
        </w:rPr>
      </w:pPr>
      <w:r w:rsidRPr="00207779">
        <w:rPr>
          <w:rFonts w:asciiTheme="minorHAnsi" w:hAnsiTheme="minorHAnsi" w:cstheme="minorHAnsi"/>
          <w:sz w:val="21"/>
          <w:szCs w:val="21"/>
        </w:rPr>
        <w:t>Over seven years from January 2015 to December 2021, 64,825 consumers and 2,066 health care professionals registered with the Mental Health Online website. Nearly 25,000 consumers completed an assessment, more than half of whom did not register for treatment. About 18,000 users registered for a treatment program; of these, 11,500 (64%) had also completed an assessment and 2,300 (11%) registered to receive therapist support.</w:t>
      </w:r>
    </w:p>
    <w:p w14:paraId="69B55637" w14:textId="54075511" w:rsidR="00A9449D" w:rsidRPr="00207779" w:rsidRDefault="00A9449D" w:rsidP="00A16564">
      <w:pPr>
        <w:spacing w:after="240"/>
        <w:rPr>
          <w:rFonts w:asciiTheme="minorHAnsi" w:hAnsiTheme="minorHAnsi" w:cstheme="minorHAnsi"/>
          <w:sz w:val="21"/>
          <w:szCs w:val="21"/>
        </w:rPr>
      </w:pPr>
      <w:r w:rsidRPr="00207779">
        <w:rPr>
          <w:rFonts w:asciiTheme="minorHAnsi" w:hAnsiTheme="minorHAnsi" w:cstheme="minorHAnsi"/>
          <w:sz w:val="21"/>
          <w:szCs w:val="21"/>
        </w:rPr>
        <w:t xml:space="preserve">For </w:t>
      </w:r>
      <w:proofErr w:type="spellStart"/>
      <w:r w:rsidRPr="00207779">
        <w:rPr>
          <w:rFonts w:asciiTheme="minorHAnsi" w:hAnsiTheme="minorHAnsi" w:cstheme="minorHAnsi"/>
          <w:sz w:val="21"/>
          <w:szCs w:val="21"/>
        </w:rPr>
        <w:t>MindSpot</w:t>
      </w:r>
      <w:proofErr w:type="spellEnd"/>
      <w:r w:rsidRPr="00207779">
        <w:rPr>
          <w:rFonts w:asciiTheme="minorHAnsi" w:hAnsiTheme="minorHAnsi" w:cstheme="minorHAnsi"/>
          <w:sz w:val="21"/>
          <w:szCs w:val="21"/>
        </w:rPr>
        <w:t xml:space="preserve"> over nine years from January 2013 to December 2021, 133,447 assessments were completed and 27% (35,942) of consumers who completed an assessment enrolled in either therapist-supported or self-directed treatment programs. This should be interpreted in the context that around 67% of </w:t>
      </w:r>
      <w:proofErr w:type="spellStart"/>
      <w:r w:rsidRPr="00207779">
        <w:rPr>
          <w:rFonts w:asciiTheme="minorHAnsi" w:hAnsiTheme="minorHAnsi" w:cstheme="minorHAnsi"/>
          <w:sz w:val="21"/>
          <w:szCs w:val="21"/>
        </w:rPr>
        <w:t>MindSpot</w:t>
      </w:r>
      <w:proofErr w:type="spellEnd"/>
      <w:r w:rsidRPr="00207779">
        <w:rPr>
          <w:rFonts w:asciiTheme="minorHAnsi" w:hAnsiTheme="minorHAnsi" w:cstheme="minorHAnsi"/>
          <w:sz w:val="21"/>
          <w:szCs w:val="21"/>
        </w:rPr>
        <w:t xml:space="preserve"> consumers report that an assessment is their primary need.</w:t>
      </w:r>
      <w:r w:rsidRPr="00207779">
        <w:rPr>
          <w:rFonts w:asciiTheme="minorHAnsi" w:hAnsiTheme="minorHAnsi" w:cstheme="minorHAnsi"/>
          <w:sz w:val="21"/>
          <w:szCs w:val="21"/>
        </w:rPr>
        <w:fldChar w:fldCharType="begin"/>
      </w:r>
      <w:r w:rsidR="004469A2">
        <w:rPr>
          <w:rFonts w:asciiTheme="minorHAnsi" w:hAnsiTheme="minorHAnsi" w:cstheme="minorHAnsi"/>
          <w:sz w:val="21"/>
          <w:szCs w:val="21"/>
        </w:rPr>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Pr="00207779">
        <w:rPr>
          <w:rFonts w:asciiTheme="minorHAnsi" w:hAnsiTheme="minorHAnsi" w:cstheme="minorHAnsi"/>
          <w:sz w:val="21"/>
          <w:szCs w:val="21"/>
        </w:rPr>
        <w:fldChar w:fldCharType="separate"/>
      </w:r>
      <w:r w:rsidR="004469A2" w:rsidRPr="004469A2">
        <w:rPr>
          <w:rFonts w:asciiTheme="minorHAnsi" w:hAnsiTheme="minorHAnsi" w:cstheme="minorHAnsi"/>
          <w:noProof/>
          <w:sz w:val="21"/>
          <w:szCs w:val="21"/>
          <w:vertAlign w:val="superscript"/>
        </w:rPr>
        <w:t>7</w:t>
      </w:r>
      <w:r w:rsidRPr="00207779">
        <w:rPr>
          <w:rFonts w:asciiTheme="minorHAnsi" w:hAnsiTheme="minorHAnsi" w:cstheme="minorHAnsi"/>
          <w:sz w:val="21"/>
          <w:szCs w:val="21"/>
        </w:rPr>
        <w:fldChar w:fldCharType="end"/>
      </w:r>
      <w:r w:rsidRPr="00207779">
        <w:rPr>
          <w:rFonts w:asciiTheme="minorHAnsi" w:hAnsiTheme="minorHAnsi" w:cstheme="minorHAnsi"/>
          <w:sz w:val="21"/>
          <w:szCs w:val="21"/>
        </w:rPr>
        <w:t xml:space="preserve"> Most consumers enrolled for therapist-supported treatment (96%, n=34,390). This is not surprising as self-directed treatment was only introduced in July 2019. Two-thirds of those who started therapist-supported treatment completed treatment (i.e., at least 4 of 5 lessons), which is comparable to UK published CBT completion rates (based on reason for discharge) in IAPT.</w:t>
      </w:r>
      <w:r w:rsidRPr="00207779">
        <w:rPr>
          <w:rFonts w:asciiTheme="minorHAnsi" w:hAnsiTheme="minorHAnsi" w:cstheme="minorHAnsi"/>
          <w:sz w:val="21"/>
          <w:szCs w:val="21"/>
        </w:rPr>
        <w:fldChar w:fldCharType="begin"/>
      </w:r>
      <w:r w:rsidR="004469A2">
        <w:rPr>
          <w:rFonts w:asciiTheme="minorHAnsi" w:hAnsiTheme="minorHAnsi" w:cstheme="minorHAnsi"/>
          <w:sz w:val="21"/>
          <w:szCs w:val="21"/>
        </w:rPr>
        <w:instrText xml:space="preserve"> ADDIN EN.CITE &lt;EndNote&gt;&lt;Cite&gt;&lt;Author&gt;Leonidaki&lt;/Author&gt;&lt;Year&gt;2022&lt;/Year&gt;&lt;RecNum&gt;201&lt;/RecNum&gt;&lt;DisplayText&gt;&lt;style face="superscript"&gt;8&lt;/style&gt;&lt;/DisplayText&gt;&lt;record&gt;&lt;rec-number&gt;201&lt;/rec-number&gt;&lt;foreign-keys&gt;&lt;key app="EN" db-id="dawtr0zrkrzfa5edzzlpe2we0xa00t90vvr2" timestamp="1657161868"&gt;201&lt;/key&gt;&lt;/foreign-keys&gt;&lt;ref-type name="Journal Article"&gt;17&lt;/ref-type&gt;&lt;contributors&gt;&lt;authors&gt;&lt;author&gt;Leonidaki, V.&lt;/author&gt;&lt;author&gt;Constantinou, M. P.&lt;/author&gt;&lt;/authors&gt;&lt;/contributors&gt;&lt;auth-address&gt;National Problem Gambling Clinic, Central and North West London NHS Foundation Trust, London, UK.&amp;#xD;Department of Clinical, Educational and Health Psychology, University College London, London, UK.&lt;/auth-address&gt;&lt;titles&gt;&lt;title&gt;A comparison of completion and recovery rates between first-line protocol-based cognitive behavioural therapy and non-manualized relational therapies within a UK psychological service&lt;/title&gt;&lt;secondary-title&gt;Clin Psychol Psychother&lt;/secondary-title&gt;&lt;/titles&gt;&lt;periodical&gt;&lt;full-title&gt;Clin Psychol Psychother&lt;/full-title&gt;&lt;/periodical&gt;&lt;pages&gt;754-766&lt;/pages&gt;&lt;volume&gt;29&lt;/volume&gt;&lt;number&gt;2&lt;/number&gt;&lt;edition&gt;2021/09/10&lt;/edition&gt;&lt;keywords&gt;&lt;keyword&gt;Anxiety Disorders/psychology/therapy&lt;/keyword&gt;&lt;keyword&gt;*Cognitive Behavioral Therapy&lt;/keyword&gt;&lt;keyword&gt;Health Services Accessibility&lt;/keyword&gt;&lt;keyword&gt;Humans&lt;/keyword&gt;&lt;keyword&gt;Treatment Outcome&lt;/keyword&gt;&lt;keyword&gt;United Kingdom&lt;/keyword&gt;&lt;keyword&gt;Improving Access to Psychological Therapies (IAPT)&lt;/keyword&gt;&lt;keyword&gt;cognitive behavioural therapy (CBT)&lt;/keyword&gt;&lt;keyword&gt;integrative&lt;/keyword&gt;&lt;keyword&gt;outcome research&lt;/keyword&gt;&lt;keyword&gt;psychoanalytic/psychodynamic&lt;/keyword&gt;&lt;keyword&gt;relational&lt;/keyword&gt;&lt;/keywords&gt;&lt;dates&gt;&lt;year&gt;2022&lt;/year&gt;&lt;pub-dates&gt;&lt;date&gt;Mar&lt;/date&gt;&lt;/pub-dates&gt;&lt;/dates&gt;&lt;isbn&gt;1063-3995&lt;/isbn&gt;&lt;accession-num&gt;34498349&lt;/accession-num&gt;&lt;urls&gt;&lt;/urls&gt;&lt;electronic-resource-num&gt;10.1002/cpp.2669&lt;/electronic-resource-num&gt;&lt;remote-database-provider&gt;NLM&lt;/remote-database-provider&gt;&lt;language&gt;eng&lt;/language&gt;&lt;/record&gt;&lt;/Cite&gt;&lt;/EndNote&gt;</w:instrText>
      </w:r>
      <w:r w:rsidRPr="00207779">
        <w:rPr>
          <w:rFonts w:asciiTheme="minorHAnsi" w:hAnsiTheme="minorHAnsi" w:cstheme="minorHAnsi"/>
          <w:sz w:val="21"/>
          <w:szCs w:val="21"/>
        </w:rPr>
        <w:fldChar w:fldCharType="separate"/>
      </w:r>
      <w:r w:rsidR="004469A2" w:rsidRPr="004469A2">
        <w:rPr>
          <w:rFonts w:asciiTheme="minorHAnsi" w:hAnsiTheme="minorHAnsi" w:cstheme="minorHAnsi"/>
          <w:noProof/>
          <w:sz w:val="21"/>
          <w:szCs w:val="21"/>
          <w:vertAlign w:val="superscript"/>
        </w:rPr>
        <w:t>8</w:t>
      </w:r>
      <w:r w:rsidRPr="00207779">
        <w:rPr>
          <w:rFonts w:asciiTheme="minorHAnsi" w:hAnsiTheme="minorHAnsi" w:cstheme="minorHAnsi"/>
          <w:sz w:val="21"/>
          <w:szCs w:val="21"/>
        </w:rPr>
        <w:fldChar w:fldCharType="end"/>
      </w:r>
      <w:r w:rsidRPr="00207779">
        <w:rPr>
          <w:rFonts w:asciiTheme="minorHAnsi" w:hAnsiTheme="minorHAnsi" w:cstheme="minorHAnsi"/>
          <w:sz w:val="21"/>
          <w:szCs w:val="21"/>
        </w:rPr>
        <w:t xml:space="preserve"> However, the flip side is that around one-third of consumers drop out of therapist-supported treatment, which is higher than the 26% dropout rate reported in a recent meta-analysis.</w:t>
      </w:r>
      <w:r w:rsidRPr="00207779">
        <w:rPr>
          <w:rFonts w:asciiTheme="minorHAnsi" w:hAnsiTheme="minorHAnsi" w:cstheme="minorHAnsi"/>
          <w:sz w:val="21"/>
          <w:szCs w:val="21"/>
        </w:rPr>
        <w:fldChar w:fldCharType="begin"/>
      </w:r>
      <w:r w:rsidR="004469A2">
        <w:rPr>
          <w:rFonts w:asciiTheme="minorHAnsi" w:hAnsiTheme="minorHAnsi" w:cstheme="minorHAnsi"/>
          <w:sz w:val="21"/>
          <w:szCs w:val="21"/>
        </w:rPr>
        <w:instrText xml:space="preserve"> ADDIN EN.CITE &lt;EndNote&gt;&lt;Cite&gt;&lt;Author&gt;Fernandez&lt;/Author&gt;&lt;Year&gt;2015&lt;/Year&gt;&lt;RecNum&gt;203&lt;/RecNum&gt;&lt;DisplayText&gt;&lt;style face="superscript"&gt;9&lt;/style&gt;&lt;/DisplayText&gt;&lt;record&gt;&lt;rec-number&gt;203&lt;/rec-number&gt;&lt;foreign-keys&gt;&lt;key app="EN" db-id="dawtr0zrkrzfa5edzzlpe2we0xa00t90vvr2" timestamp="1657350933"&gt;203&lt;/key&gt;&lt;/foreign-keys&gt;&lt;ref-type name="Journal Article"&gt;17&lt;/ref-type&gt;&lt;contributors&gt;&lt;authors&gt;&lt;author&gt;Fernandez, E.&lt;/author&gt;&lt;author&gt;Salem, D.&lt;/author&gt;&lt;author&gt;Swift, J. K.&lt;/author&gt;&lt;author&gt;Ramtahal, N.&lt;/author&gt;&lt;/authors&gt;&lt;/contributors&gt;&lt;auth-address&gt;Department of Psychology, University of Texas at San Antonio.&amp;#xD;Department of Psychology, Long Island University Brooklyn.&amp;#xD;Department of Psychology, University of Alaska Anchorage.&lt;/auth-address&gt;&lt;titles&gt;&lt;title&gt;Meta-analysis of dropout from cognitive behavioral therapy: Magnitude, timing, and moderators&lt;/title&gt;&lt;secondary-title&gt;J Consult Clin Psychol&lt;/secondary-title&gt;&lt;/titles&gt;&lt;periodical&gt;&lt;full-title&gt;J Consult Clin Psychol&lt;/full-title&gt;&lt;/periodical&gt;&lt;pages&gt;1108-22&lt;/pages&gt;&lt;volume&gt;83&lt;/volume&gt;&lt;number&gt;6&lt;/number&gt;&lt;edition&gt;2015/08/25&lt;/edition&gt;&lt;keywords&gt;&lt;keyword&gt;Adolescent&lt;/keyword&gt;&lt;keyword&gt;Adult&lt;/keyword&gt;&lt;keyword&gt;Child&lt;/keyword&gt;&lt;keyword&gt;Cognitive Behavioral Therapy/*statistics &amp;amp; numerical data&lt;/keyword&gt;&lt;keyword&gt;Humans&lt;/keyword&gt;&lt;keyword&gt;Patient Dropouts/*statistics &amp;amp; numerical data&lt;/keyword&gt;&lt;/keywords&gt;&lt;dates&gt;&lt;year&gt;2015&lt;/year&gt;&lt;pub-dates&gt;&lt;date&gt;Dec&lt;/date&gt;&lt;/pub-dates&gt;&lt;/dates&gt;&lt;isbn&gt;0022-006x&lt;/isbn&gt;&lt;accession-num&gt;26302248&lt;/accession-num&gt;&lt;urls&gt;&lt;/urls&gt;&lt;electronic-resource-num&gt;10.1037/ccp0000044&lt;/electronic-resource-num&gt;&lt;remote-database-provider&gt;NLM&lt;/remote-database-provider&gt;&lt;language&gt;eng&lt;/language&gt;&lt;/record&gt;&lt;/Cite&gt;&lt;/EndNote&gt;</w:instrText>
      </w:r>
      <w:r w:rsidRPr="00207779">
        <w:rPr>
          <w:rFonts w:asciiTheme="minorHAnsi" w:hAnsiTheme="minorHAnsi" w:cstheme="minorHAnsi"/>
          <w:sz w:val="21"/>
          <w:szCs w:val="21"/>
        </w:rPr>
        <w:fldChar w:fldCharType="separate"/>
      </w:r>
      <w:r w:rsidR="004469A2" w:rsidRPr="004469A2">
        <w:rPr>
          <w:rFonts w:asciiTheme="minorHAnsi" w:hAnsiTheme="minorHAnsi" w:cstheme="minorHAnsi"/>
          <w:noProof/>
          <w:sz w:val="21"/>
          <w:szCs w:val="21"/>
          <w:vertAlign w:val="superscript"/>
        </w:rPr>
        <w:t>9</w:t>
      </w:r>
      <w:r w:rsidRPr="00207779">
        <w:rPr>
          <w:rFonts w:asciiTheme="minorHAnsi" w:hAnsiTheme="minorHAnsi" w:cstheme="minorHAnsi"/>
          <w:sz w:val="21"/>
          <w:szCs w:val="21"/>
        </w:rPr>
        <w:fldChar w:fldCharType="end"/>
      </w:r>
    </w:p>
    <w:p w14:paraId="6CB976A3" w14:textId="62616EFF" w:rsidR="00A9449D" w:rsidRPr="00207779" w:rsidRDefault="00A9449D" w:rsidP="00A16564">
      <w:pPr>
        <w:pStyle w:val="ANorm"/>
        <w:spacing w:after="240"/>
        <w:rPr>
          <w:rFonts w:asciiTheme="minorHAnsi" w:hAnsiTheme="minorHAnsi" w:cstheme="minorHAnsi"/>
          <w:highlight w:val="green"/>
        </w:rPr>
      </w:pPr>
      <w:r w:rsidRPr="00207779">
        <w:rPr>
          <w:rFonts w:asciiTheme="minorHAnsi" w:hAnsiTheme="minorHAnsi" w:cstheme="minorHAnsi"/>
        </w:rPr>
        <w:t>Data from THIS WAY UP show that over 6.5 years from July 2015 to December 2021, 124,270 Stage 1 and 71,069 Stage 2 assessment were completed. Approximately 72,000 consumers enrolled in any treatment and 47% (n=34,048) in clinician-supported treatment. Three-quarters of all enrolments (n=54,510) started treatment. Of consumers who started, 46% (n=24,989) completed treatment (i.e., at least two-thirds of lessons), which is lower than published IAPT treatment completion rates. This means around 54% of consumers drop out, double the CBT treatment dropout rate reported in the above-mentioned meta-analysis.</w:t>
      </w:r>
      <w:r w:rsidRPr="00207779">
        <w:rPr>
          <w:rFonts w:asciiTheme="minorHAnsi" w:hAnsiTheme="minorHAnsi" w:cstheme="minorHAnsi"/>
        </w:rPr>
        <w:fldChar w:fldCharType="begin"/>
      </w:r>
      <w:r w:rsidR="004469A2">
        <w:rPr>
          <w:rFonts w:asciiTheme="minorHAnsi" w:hAnsiTheme="minorHAnsi" w:cstheme="minorHAnsi"/>
        </w:rPr>
        <w:instrText xml:space="preserve"> ADDIN EN.CITE &lt;EndNote&gt;&lt;Cite&gt;&lt;Author&gt;Fernandez&lt;/Author&gt;&lt;Year&gt;2015&lt;/Year&gt;&lt;RecNum&gt;203&lt;/RecNum&gt;&lt;DisplayText&gt;&lt;style face="superscript"&gt;9&lt;/style&gt;&lt;/DisplayText&gt;&lt;record&gt;&lt;rec-number&gt;203&lt;/rec-number&gt;&lt;foreign-keys&gt;&lt;key app="EN" db-id="dawtr0zrkrzfa5edzzlpe2we0xa00t90vvr2" timestamp="1657350933"&gt;203&lt;/key&gt;&lt;/foreign-keys&gt;&lt;ref-type name="Journal Article"&gt;17&lt;/ref-type&gt;&lt;contributors&gt;&lt;authors&gt;&lt;author&gt;Fernandez, E.&lt;/author&gt;&lt;author&gt;Salem, D.&lt;/author&gt;&lt;author&gt;Swift, J. K.&lt;/author&gt;&lt;author&gt;Ramtahal, N.&lt;/author&gt;&lt;/authors&gt;&lt;/contributors&gt;&lt;auth-address&gt;Department of Psychology, University of Texas at San Antonio.&amp;#xD;Department of Psychology, Long Island University Brooklyn.&amp;#xD;Department of Psychology, University of Alaska Anchorage.&lt;/auth-address&gt;&lt;titles&gt;&lt;title&gt;Meta-analysis of dropout from cognitive behavioral therapy: Magnitude, timing, and moderators&lt;/title&gt;&lt;secondary-title&gt;J Consult Clin Psychol&lt;/secondary-title&gt;&lt;/titles&gt;&lt;periodical&gt;&lt;full-title&gt;J Consult Clin Psychol&lt;/full-title&gt;&lt;/periodical&gt;&lt;pages&gt;1108-22&lt;/pages&gt;&lt;volume&gt;83&lt;/volume&gt;&lt;number&gt;6&lt;/number&gt;&lt;edition&gt;2015/08/25&lt;/edition&gt;&lt;keywords&gt;&lt;keyword&gt;Adolescent&lt;/keyword&gt;&lt;keyword&gt;Adult&lt;/keyword&gt;&lt;keyword&gt;Child&lt;/keyword&gt;&lt;keyword&gt;Cognitive Behavioral Therapy/*statistics &amp;amp; numerical data&lt;/keyword&gt;&lt;keyword&gt;Humans&lt;/keyword&gt;&lt;keyword&gt;Patient Dropouts/*statistics &amp;amp; numerical data&lt;/keyword&gt;&lt;/keywords&gt;&lt;dates&gt;&lt;year&gt;2015&lt;/year&gt;&lt;pub-dates&gt;&lt;date&gt;Dec&lt;/date&gt;&lt;/pub-dates&gt;&lt;/dates&gt;&lt;isbn&gt;0022-006x&lt;/isbn&gt;&lt;accession-num&gt;26302248&lt;/accession-num&gt;&lt;urls&gt;&lt;/urls&gt;&lt;electronic-resource-num&gt;10.1037/ccp0000044&lt;/electronic-resource-num&gt;&lt;remote-database-provider&gt;NLM&lt;/remote-database-provider&gt;&lt;language&gt;eng&lt;/language&gt;&lt;/record&gt;&lt;/Cite&gt;&lt;/EndNote&gt;</w:instrText>
      </w:r>
      <w:r w:rsidRPr="00207779">
        <w:rPr>
          <w:rFonts w:asciiTheme="minorHAnsi" w:hAnsiTheme="minorHAnsi" w:cstheme="minorHAnsi"/>
        </w:rPr>
        <w:fldChar w:fldCharType="separate"/>
      </w:r>
      <w:r w:rsidR="004469A2" w:rsidRPr="004469A2">
        <w:rPr>
          <w:rFonts w:asciiTheme="minorHAnsi" w:hAnsiTheme="minorHAnsi" w:cstheme="minorHAnsi"/>
          <w:noProof/>
          <w:vertAlign w:val="superscript"/>
        </w:rPr>
        <w:t>9</w:t>
      </w:r>
      <w:r w:rsidRPr="00207779">
        <w:rPr>
          <w:rFonts w:asciiTheme="minorHAnsi" w:hAnsiTheme="minorHAnsi" w:cstheme="minorHAnsi"/>
        </w:rPr>
        <w:fldChar w:fldCharType="end"/>
      </w:r>
      <w:r w:rsidRPr="00207779">
        <w:rPr>
          <w:rFonts w:asciiTheme="minorHAnsi" w:hAnsiTheme="minorHAnsi" w:cstheme="minorHAnsi"/>
        </w:rPr>
        <w:t xml:space="preserve"> </w:t>
      </w:r>
    </w:p>
    <w:p w14:paraId="22093251" w14:textId="4D2D84C2" w:rsidR="00A9449D" w:rsidRPr="00207779" w:rsidRDefault="00A9449D" w:rsidP="00A16564">
      <w:pPr>
        <w:pStyle w:val="ANorm"/>
        <w:spacing w:after="240"/>
        <w:rPr>
          <w:rFonts w:asciiTheme="minorHAnsi" w:hAnsiTheme="minorHAnsi" w:cstheme="minorHAnsi"/>
        </w:rPr>
      </w:pPr>
      <w:r w:rsidRPr="00207779">
        <w:rPr>
          <w:rFonts w:asciiTheme="minorHAnsi" w:hAnsiTheme="minorHAnsi" w:cstheme="minorHAnsi"/>
        </w:rPr>
        <w:lastRenderedPageBreak/>
        <w:t xml:space="preserve">Dropout rates could not be examined in the routinely collected data provided by Mental Health Online. Dropout rates for </w:t>
      </w:r>
      <w:proofErr w:type="spellStart"/>
      <w:r w:rsidRPr="00207779">
        <w:rPr>
          <w:rFonts w:asciiTheme="minorHAnsi" w:hAnsiTheme="minorHAnsi" w:cstheme="minorHAnsi"/>
        </w:rPr>
        <w:t>MindSpot</w:t>
      </w:r>
      <w:proofErr w:type="spellEnd"/>
      <w:r w:rsidRPr="00207779">
        <w:rPr>
          <w:rFonts w:asciiTheme="minorHAnsi" w:hAnsiTheme="minorHAnsi" w:cstheme="minorHAnsi"/>
        </w:rPr>
        <w:t xml:space="preserve"> and THIS WAY UP should be interpreted in the context of several considerations including the current pandemic, face-to-face mental health services disruptions, and removal of THIS WAY UP consumer program fees. Furthermore, pre-COVID program completion rates were somewhat higher for both services. At least one study has shown that consumers who drop out of online courses benefit from each successive lesson completed to a similar degree as those who complete the entire course,</w:t>
      </w:r>
      <w:r w:rsidRPr="00207779">
        <w:rPr>
          <w:rFonts w:asciiTheme="minorHAnsi" w:hAnsiTheme="minorHAnsi" w:cstheme="minorHAnsi"/>
        </w:rPr>
        <w:fldChar w:fldCharType="begin"/>
      </w:r>
      <w:r w:rsidR="004469A2">
        <w:rPr>
          <w:rFonts w:asciiTheme="minorHAnsi" w:hAnsiTheme="minorHAnsi" w:cstheme="minorHAnsi"/>
        </w:rPr>
        <w:instrText xml:space="preserve"> ADDIN EN.CITE &lt;EndNote&gt;&lt;Cite&gt;&lt;Author&gt;Hilvert-Bruce&lt;/Author&gt;&lt;Year&gt;2012&lt;/Year&gt;&lt;RecNum&gt;196&lt;/RecNum&gt;&lt;DisplayText&gt;&lt;style face="superscript"&gt;10&lt;/style&gt;&lt;/DisplayText&gt;&lt;record&gt;&lt;rec-number&gt;196&lt;/rec-number&gt;&lt;foreign-keys&gt;&lt;key app="EN" db-id="dawtr0zrkrzfa5edzzlpe2we0xa00t90vvr2" timestamp="1655706634"&gt;196&lt;/key&gt;&lt;/foreign-keys&gt;&lt;ref-type name="Journal Article"&gt;17&lt;/ref-type&gt;&lt;contributors&gt;&lt;authors&gt;&lt;author&gt;Hilvert-Bruce, Zita&lt;/author&gt;&lt;author&gt;Rossouw, Pieter J&lt;/author&gt;&lt;author&gt;Wong, Nora&lt;/author&gt;&lt;author&gt;Sunderland, Matthew&lt;/author&gt;&lt;author&gt;Andrews, Gavin&lt;/author&gt;&lt;/authors&gt;&lt;/contributors&gt;&lt;titles&gt;&lt;title&gt;Adherence as a determinant of effectiveness of internet cognitive behavioural therapy for anxiety and depressive disorders&lt;/title&gt;&lt;secondary-title&gt;Behaviour research and therapy&lt;/secondary-title&gt;&lt;/titles&gt;&lt;periodical&gt;&lt;full-title&gt;Behaviour research and therapy&lt;/full-title&gt;&lt;/periodical&gt;&lt;pages&gt;463-468&lt;/pages&gt;&lt;volume&gt;50&lt;/volume&gt;&lt;number&gt;7-8&lt;/number&gt;&lt;dates&gt;&lt;year&gt;2012&lt;/year&gt;&lt;/dates&gt;&lt;isbn&gt;0005-7967&lt;/isbn&gt;&lt;urls&gt;&lt;/urls&gt;&lt;/record&gt;&lt;/Cite&gt;&lt;/EndNote&gt;</w:instrText>
      </w:r>
      <w:r w:rsidRPr="00207779">
        <w:rPr>
          <w:rFonts w:asciiTheme="minorHAnsi" w:hAnsiTheme="minorHAnsi" w:cstheme="minorHAnsi"/>
        </w:rPr>
        <w:fldChar w:fldCharType="separate"/>
      </w:r>
      <w:r w:rsidR="004469A2" w:rsidRPr="004469A2">
        <w:rPr>
          <w:rFonts w:asciiTheme="minorHAnsi" w:hAnsiTheme="minorHAnsi" w:cstheme="minorHAnsi"/>
          <w:noProof/>
          <w:vertAlign w:val="superscript"/>
        </w:rPr>
        <w:t>10</w:t>
      </w:r>
      <w:r w:rsidRPr="00207779">
        <w:rPr>
          <w:rFonts w:asciiTheme="minorHAnsi" w:hAnsiTheme="minorHAnsi" w:cstheme="minorHAnsi"/>
        </w:rPr>
        <w:fldChar w:fldCharType="end"/>
      </w:r>
      <w:r w:rsidRPr="00207779">
        <w:rPr>
          <w:rFonts w:asciiTheme="minorHAnsi" w:hAnsiTheme="minorHAnsi" w:cstheme="minorHAnsi"/>
        </w:rPr>
        <w:t xml:space="preserve"> and the overall number of treated consumers has increased over time (despite lower treatment completion rates). Finally, treatment completion rates for THIS WAY UP self-directed and clinician-supported programs are similar, which is promising given that adherence to self-directed digital mental health programs is typically poorer.</w:t>
      </w:r>
      <w:r w:rsidRPr="00207779">
        <w:rPr>
          <w:rFonts w:asciiTheme="minorHAnsi" w:hAnsiTheme="minorHAnsi" w:cstheme="minorHAnsi"/>
        </w:rPr>
        <w:fldChar w:fldCharType="begin"/>
      </w:r>
      <w:r w:rsidR="004469A2">
        <w:rPr>
          <w:rFonts w:asciiTheme="minorHAnsi" w:hAnsiTheme="minorHAnsi" w:cstheme="minorHAnsi"/>
        </w:rPr>
        <w:instrText xml:space="preserve"> ADDIN EN.CITE &lt;EndNote&gt;&lt;Cite&gt;&lt;Author&gt;Van Ballegooijen&lt;/Author&gt;&lt;Year&gt;2014&lt;/Year&gt;&lt;RecNum&gt;204&lt;/RecNum&gt;&lt;DisplayText&gt;&lt;style face="superscript"&gt;11&lt;/style&gt;&lt;/DisplayText&gt;&lt;record&gt;&lt;rec-number&gt;204&lt;/rec-number&gt;&lt;foreign-keys&gt;&lt;key app="EN" db-id="dawtr0zrkrzfa5edzzlpe2we0xa00t90vvr2" timestamp="1657356306"&gt;204&lt;/key&gt;&lt;/foreign-keys&gt;&lt;ref-type name="Journal Article"&gt;17&lt;/ref-type&gt;&lt;contributors&gt;&lt;authors&gt;&lt;author&gt;Van Ballegooijen, Wouter&lt;/author&gt;&lt;author&gt;Cuijpers, Pim&lt;/author&gt;&lt;author&gt;Van Straten, Annemieke&lt;/author&gt;&lt;author&gt;Karyotaki, Eirini&lt;/author&gt;&lt;author&gt;Andersson, Gerhard&lt;/author&gt;&lt;author&gt;Smit, Jan H&lt;/author&gt;&lt;author&gt;Riper, Heleen&lt;/author&gt;&lt;/authors&gt;&lt;/contributors&gt;&lt;titles&gt;&lt;title&gt;Adherence to Internet-based and face-to-face cognitive behavioural therapy for depression: a meta-analysis&lt;/title&gt;&lt;secondary-title&gt;PloS one&lt;/secondary-title&gt;&lt;/titles&gt;&lt;periodical&gt;&lt;full-title&gt;PloS one&lt;/full-title&gt;&lt;/periodical&gt;&lt;pages&gt;e100674&lt;/pages&gt;&lt;volume&gt;9&lt;/volume&gt;&lt;number&gt;7&lt;/number&gt;&lt;dates&gt;&lt;year&gt;2014&lt;/year&gt;&lt;/dates&gt;&lt;isbn&gt;1932-6203&lt;/isbn&gt;&lt;urls&gt;&lt;/urls&gt;&lt;/record&gt;&lt;/Cite&gt;&lt;/EndNote&gt;</w:instrText>
      </w:r>
      <w:r w:rsidRPr="00207779">
        <w:rPr>
          <w:rFonts w:asciiTheme="minorHAnsi" w:hAnsiTheme="minorHAnsi" w:cstheme="minorHAnsi"/>
        </w:rPr>
        <w:fldChar w:fldCharType="separate"/>
      </w:r>
      <w:r w:rsidR="004469A2" w:rsidRPr="004469A2">
        <w:rPr>
          <w:rFonts w:asciiTheme="minorHAnsi" w:hAnsiTheme="minorHAnsi" w:cstheme="minorHAnsi"/>
          <w:noProof/>
          <w:vertAlign w:val="superscript"/>
        </w:rPr>
        <w:t>11</w:t>
      </w:r>
      <w:r w:rsidRPr="00207779">
        <w:rPr>
          <w:rFonts w:asciiTheme="minorHAnsi" w:hAnsiTheme="minorHAnsi" w:cstheme="minorHAnsi"/>
        </w:rPr>
        <w:fldChar w:fldCharType="end"/>
      </w:r>
    </w:p>
    <w:p w14:paraId="55DC24DE" w14:textId="77777777" w:rsidR="00A9449D" w:rsidRPr="00207779" w:rsidRDefault="00A9449D" w:rsidP="00A16564">
      <w:pPr>
        <w:pStyle w:val="ANorm"/>
        <w:spacing w:after="240"/>
        <w:rPr>
          <w:rFonts w:asciiTheme="minorHAnsi" w:hAnsiTheme="minorHAnsi" w:cstheme="minorHAnsi"/>
        </w:rPr>
      </w:pPr>
      <w:r w:rsidRPr="00207779">
        <w:rPr>
          <w:rFonts w:asciiTheme="minorHAnsi" w:hAnsiTheme="minorHAnsi" w:cstheme="minorHAnsi"/>
        </w:rPr>
        <w:t xml:space="preserve">Over 80% of consumers who enrol in </w:t>
      </w:r>
      <w:proofErr w:type="spellStart"/>
      <w:r w:rsidRPr="00207779">
        <w:rPr>
          <w:rFonts w:asciiTheme="minorHAnsi" w:hAnsiTheme="minorHAnsi" w:cstheme="minorHAnsi"/>
        </w:rPr>
        <w:t>MindSpot</w:t>
      </w:r>
      <w:proofErr w:type="spellEnd"/>
      <w:r w:rsidRPr="00207779">
        <w:rPr>
          <w:rFonts w:asciiTheme="minorHAnsi" w:hAnsiTheme="minorHAnsi" w:cstheme="minorHAnsi"/>
        </w:rPr>
        <w:t xml:space="preserve"> and THIS WAY UP treatments commence treatment (comparable data were not available from Mental Health Online). This suggests an efficient transition into treatment, with a minority of consumers disengaging from, or referred elsewhere for, treatment.</w:t>
      </w:r>
    </w:p>
    <w:p w14:paraId="797F3183" w14:textId="77777777" w:rsidR="00A9449D" w:rsidRPr="00207779" w:rsidRDefault="00A9449D" w:rsidP="00A16564">
      <w:pPr>
        <w:spacing w:after="240"/>
        <w:rPr>
          <w:rFonts w:asciiTheme="minorHAnsi" w:hAnsiTheme="minorHAnsi" w:cstheme="minorHAnsi"/>
          <w:sz w:val="21"/>
          <w:szCs w:val="21"/>
        </w:rPr>
      </w:pPr>
      <w:proofErr w:type="gramStart"/>
      <w:r w:rsidRPr="00207779">
        <w:rPr>
          <w:rFonts w:asciiTheme="minorHAnsi" w:hAnsiTheme="minorHAnsi" w:cstheme="minorHAnsi"/>
          <w:sz w:val="21"/>
          <w:szCs w:val="21"/>
        </w:rPr>
        <w:t>Coinciding with the COVID-19 pandemic, there</w:t>
      </w:r>
      <w:proofErr w:type="gramEnd"/>
      <w:r w:rsidRPr="00207779">
        <w:rPr>
          <w:rFonts w:asciiTheme="minorHAnsi" w:hAnsiTheme="minorHAnsi" w:cstheme="minorHAnsi"/>
          <w:sz w:val="21"/>
          <w:szCs w:val="21"/>
        </w:rPr>
        <w:t xml:space="preserve"> was a pronounced increase in registrations and enrolments for all three DMHSs examined, demonstrating their high potential for scalability. However, the corresponding increase in treatment completions was less pronounced.</w:t>
      </w:r>
    </w:p>
    <w:p w14:paraId="1F9B58C4" w14:textId="77777777" w:rsidR="00A9449D" w:rsidRPr="00207779" w:rsidRDefault="00A9449D" w:rsidP="00A16564">
      <w:pPr>
        <w:spacing w:after="240"/>
        <w:rPr>
          <w:rFonts w:asciiTheme="minorHAnsi" w:hAnsiTheme="minorHAnsi" w:cstheme="minorHAnsi"/>
          <w:sz w:val="21"/>
          <w:szCs w:val="21"/>
        </w:rPr>
      </w:pPr>
      <w:r w:rsidRPr="00207779">
        <w:rPr>
          <w:rFonts w:asciiTheme="minorHAnsi" w:hAnsiTheme="minorHAnsi" w:cstheme="minorHAnsi"/>
          <w:sz w:val="21"/>
          <w:szCs w:val="21"/>
        </w:rPr>
        <w:t>Together, the three DMHSs are providing psychological treatment to thousands of consumers per year, and this represents only one component of their service offerings. Importantly, they are also conducting tens of thousands of assessments per year, which helps to support consumers with navigating other services in the mental health system and identify consumers at increased risk of suicide.</w:t>
      </w:r>
    </w:p>
    <w:p w14:paraId="25A91984" w14:textId="77777777" w:rsidR="00A9449D" w:rsidRPr="00FF604A" w:rsidRDefault="00A9449D" w:rsidP="00FF604A">
      <w:pPr>
        <w:pStyle w:val="Heading3"/>
        <w:rPr>
          <w:rStyle w:val="normaltextrun"/>
          <w:shd w:val="clear" w:color="auto" w:fill="FFFFFF"/>
        </w:rPr>
      </w:pPr>
      <w:r w:rsidRPr="00FF604A">
        <w:rPr>
          <w:rStyle w:val="normaltextrun"/>
          <w:shd w:val="clear" w:color="auto" w:fill="FFFFFF"/>
        </w:rPr>
        <w:t>Consumer characteristics</w:t>
      </w:r>
    </w:p>
    <w:p w14:paraId="6344AD46" w14:textId="4811717C" w:rsidR="00A9449D" w:rsidRPr="00207779" w:rsidRDefault="00A9449D" w:rsidP="00A16564">
      <w:pPr>
        <w:pStyle w:val="ANorm"/>
        <w:spacing w:after="240"/>
        <w:rPr>
          <w:rFonts w:asciiTheme="minorHAnsi" w:hAnsiTheme="minorHAnsi" w:cstheme="minorHAnsi"/>
        </w:rPr>
      </w:pPr>
      <w:r w:rsidRPr="00207779">
        <w:rPr>
          <w:rFonts w:asciiTheme="minorHAnsi" w:hAnsiTheme="minorHAnsi" w:cstheme="minorHAnsi"/>
        </w:rPr>
        <w:t>Routinely collected service use data, peer-reviewed publications and DMHS consumer survey findings (Sections 3 and 5) highlight that people who use DMHSs tend to be females under the age of 54 years living in urban areas experiencing severe symptoms and are not accessing any other mental health services. This consumer profile is appropriate given that preliminary insights from Australia’s National Study of Mental Health and Wellbeing (2020-21) indicate that females and younger people are more likely to experience high or very high psychological distress than males and older people, respectively.</w:t>
      </w:r>
      <w:r w:rsidRPr="00207779">
        <w:rPr>
          <w:rFonts w:asciiTheme="minorHAnsi" w:hAnsiTheme="minorHAnsi" w:cstheme="minorHAnsi"/>
        </w:rPr>
        <w:fldChar w:fldCharType="begin"/>
      </w:r>
      <w:r w:rsidR="004469A2">
        <w:rPr>
          <w:rFonts w:asciiTheme="minorHAnsi" w:hAnsiTheme="minorHAnsi" w:cstheme="minorHAnsi"/>
        </w:rPr>
        <w:instrText xml:space="preserve"> ADDIN EN.CITE &lt;EndNote&gt;&lt;Cite&gt;&lt;Author&gt;Australian Bureau of Statistics&lt;/Author&gt;&lt;Year&gt;2022&lt;/Year&gt;&lt;RecNum&gt;202&lt;/RecNum&gt;&lt;DisplayText&gt;&lt;style face="superscript"&gt;12&lt;/style&gt;&lt;/DisplayText&gt;&lt;record&gt;&lt;rec-number&gt;202&lt;/rec-number&gt;&lt;foreign-keys&gt;&lt;key app="EN" db-id="dawtr0zrkrzfa5edzzlpe2we0xa00t90vvr2" timestamp="1657254408"&gt;202&lt;/key&gt;&lt;/foreign-keys&gt;&lt;ref-type name="Web Page"&gt;12&lt;/ref-type&gt;&lt;contributors&gt;&lt;authors&gt;&lt;author&gt;Australian Bureau of Statistics,&lt;/author&gt;&lt;/authors&gt;&lt;/contributors&gt;&lt;titles&gt;&lt;title&gt;First insights from the National Study of Mental Health and Wellbeing, 2020-21&lt;/title&gt;&lt;/titles&gt;&lt;number&gt;8 July 2022&lt;/number&gt;&lt;dates&gt;&lt;year&gt;2022&lt;/year&gt;&lt;/dates&gt;&lt;pub-location&gt;Canberra&lt;/pub-location&gt;&lt;publisher&gt;ABS&lt;/publisher&gt;&lt;urls&gt;&lt;related-urls&gt;&lt;url&gt;https://www.abs.gov.au/articles/first-insights-national-study-mental-health-and-wellbeing-2020-21&lt;/url&gt;&lt;/related-urls&gt;&lt;/urls&gt;&lt;/record&gt;&lt;/Cite&gt;&lt;/EndNote&gt;</w:instrText>
      </w:r>
      <w:r w:rsidRPr="00207779">
        <w:rPr>
          <w:rFonts w:asciiTheme="minorHAnsi" w:hAnsiTheme="minorHAnsi" w:cstheme="minorHAnsi"/>
        </w:rPr>
        <w:fldChar w:fldCharType="separate"/>
      </w:r>
      <w:r w:rsidR="004469A2" w:rsidRPr="004469A2">
        <w:rPr>
          <w:rFonts w:asciiTheme="minorHAnsi" w:hAnsiTheme="minorHAnsi" w:cstheme="minorHAnsi"/>
          <w:noProof/>
          <w:vertAlign w:val="superscript"/>
        </w:rPr>
        <w:t>12</w:t>
      </w:r>
      <w:r w:rsidRPr="00207779">
        <w:rPr>
          <w:rFonts w:asciiTheme="minorHAnsi" w:hAnsiTheme="minorHAnsi" w:cstheme="minorHAnsi"/>
        </w:rPr>
        <w:fldChar w:fldCharType="end"/>
      </w:r>
      <w:r w:rsidRPr="00207779">
        <w:rPr>
          <w:rFonts w:asciiTheme="minorHAnsi" w:hAnsiTheme="minorHAnsi" w:cstheme="minorHAnsi"/>
        </w:rPr>
        <w:t xml:space="preserve"> Having said that, the DMHSs are reaching relatively significant proportions of typically hard-to-reach groups and/or groups who are less likely to seek help (e.g., 7-19% from rural and remote locations, 4-8% Indigenous peoples, 9-29% males, 5-12% aged 55+, and 22% of </w:t>
      </w:r>
      <w:proofErr w:type="spellStart"/>
      <w:r w:rsidRPr="00207779">
        <w:rPr>
          <w:rFonts w:asciiTheme="minorHAnsi" w:hAnsiTheme="minorHAnsi" w:cstheme="minorHAnsi"/>
        </w:rPr>
        <w:t>MindSpot</w:t>
      </w:r>
      <w:proofErr w:type="spellEnd"/>
      <w:r w:rsidRPr="00207779">
        <w:rPr>
          <w:rFonts w:asciiTheme="minorHAnsi" w:hAnsiTheme="minorHAnsi" w:cstheme="minorHAnsi"/>
        </w:rPr>
        <w:t xml:space="preserve"> consumers are born overseas).</w:t>
      </w:r>
    </w:p>
    <w:p w14:paraId="5CB84BD7" w14:textId="7EB6637A" w:rsidR="00A9449D" w:rsidRPr="00207779" w:rsidRDefault="00A9449D" w:rsidP="00A16564">
      <w:pPr>
        <w:pStyle w:val="ANorm"/>
        <w:spacing w:after="240"/>
        <w:rPr>
          <w:rFonts w:asciiTheme="minorHAnsi" w:hAnsiTheme="minorHAnsi" w:cstheme="minorHAnsi"/>
        </w:rPr>
      </w:pPr>
      <w:r w:rsidRPr="00207779">
        <w:rPr>
          <w:rFonts w:asciiTheme="minorHAnsi" w:hAnsiTheme="minorHAnsi" w:cstheme="minorHAnsi"/>
        </w:rPr>
        <w:t xml:space="preserve">All three DMHSs aim to provide an online mental health service largely directed at people with depression and anxiety disorders. On average consumers of </w:t>
      </w:r>
      <w:proofErr w:type="spellStart"/>
      <w:r w:rsidRPr="00207779">
        <w:rPr>
          <w:rFonts w:asciiTheme="minorHAnsi" w:hAnsiTheme="minorHAnsi" w:cstheme="minorHAnsi"/>
        </w:rPr>
        <w:t>MindSpot</w:t>
      </w:r>
      <w:proofErr w:type="spellEnd"/>
      <w:r w:rsidRPr="00207779">
        <w:rPr>
          <w:rFonts w:asciiTheme="minorHAnsi" w:hAnsiTheme="minorHAnsi" w:cstheme="minorHAnsi"/>
        </w:rPr>
        <w:t xml:space="preserve"> and THIS WAY UP treatment are experiencing moderate to moderately severe depression (PHQ-9: 14.9 and 14.1) and likely generalised anxiety disorder (GAD-7: 12.5 and 11.8), and close to two-thirds of Mental Health Online consumers are experiencing probable serious mental illness (K6: 19-30). These data suggest the DMHSs are reaching their target populations. The online interventions provided by all three DMHSs are CBT-based, which is appropriate given that the systematic review of digital mental health interventions we conducted as part of this evaluation showed that online CBT is effective.</w:t>
      </w:r>
      <w:r w:rsidRPr="00207779">
        <w:rPr>
          <w:rFonts w:asciiTheme="minorHAnsi" w:hAnsiTheme="minorHAnsi" w:cstheme="minorHAnsi"/>
        </w:rPr>
        <w:fldChar w:fldCharType="begin"/>
      </w:r>
      <w:r w:rsidR="00C178C5" w:rsidRPr="00207779">
        <w:rPr>
          <w:rFonts w:asciiTheme="minorHAnsi" w:hAnsiTheme="minorHAnsi" w:cstheme="minorHAnsi"/>
        </w:rPr>
        <w:instrText xml:space="preserve"> ADDIN EN.CITE &lt;EndNote&gt;&lt;Cite&gt;&lt;Author&gt;Bassilios&lt;/Author&gt;&lt;Year&gt;2022&lt;/Year&gt;&lt;RecNum&gt;117&lt;/RecNum&gt;&lt;DisplayText&gt;&lt;style face="superscript"&gt;5&lt;/style&gt;&lt;/DisplayText&gt;&lt;record&gt;&lt;rec-number&gt;117&lt;/rec-number&gt;&lt;foreign-keys&gt;&lt;key app="EN" db-id="dawtr0zrkrzfa5edzzlpe2we0xa00t90vvr2" timestamp="1648438870"&gt;117&lt;/key&gt;&lt;/foreign-keys&gt;&lt;ref-type name="Report"&gt;27&lt;/ref-type&gt;&lt;contributors&gt;&lt;authors&gt;&lt;author&gt;Bassilios, B.&lt;/author&gt;&lt;author&gt;Morgan, A.&lt;/author&gt;&lt;author&gt;Tan, A.&lt;/author&gt;&lt;author&gt;Ftanou, M.&lt;/author&gt;&lt;author&gt;Krysinska, K.&lt;/author&gt;&lt;author&gt;Le, L.&lt;/author&gt;&lt;author&gt;Scurrah, K.&lt;/author&gt;&lt;author&gt;Banfield, M.&lt;/author&gt;&lt;author&gt;Spittal, M.&lt;/author&gt;&lt;author&gt;Mihalopoulos, C.&lt;/author&gt;&lt;author&gt;Pirkis, J.&lt;/author&gt;&lt;/authors&gt;&lt;/contributors&gt;&lt;titles&gt;&lt;title&gt;Literature review of effectiveness of supported digital mental health interventions (DMHIs)&lt;/title&gt;&lt;/titles&gt;&lt;dates&gt;&lt;year&gt;2022&lt;/year&gt;&lt;/dates&gt;&lt;pub-location&gt;Melbourne&lt;/pub-location&gt;&lt;publisher&gt;Centre for Mental Health, University of Melbourne&lt;/publisher&gt;&lt;urls&gt;&lt;/urls&gt;&lt;/record&gt;&lt;/Cite&gt;&lt;/EndNote&gt;</w:instrText>
      </w:r>
      <w:r w:rsidRPr="00207779">
        <w:rPr>
          <w:rFonts w:asciiTheme="minorHAnsi" w:hAnsiTheme="minorHAnsi" w:cstheme="minorHAnsi"/>
        </w:rPr>
        <w:fldChar w:fldCharType="separate"/>
      </w:r>
      <w:r w:rsidR="00C178C5" w:rsidRPr="00207779">
        <w:rPr>
          <w:rFonts w:asciiTheme="minorHAnsi" w:hAnsiTheme="minorHAnsi" w:cstheme="minorHAnsi"/>
          <w:noProof/>
          <w:vertAlign w:val="superscript"/>
        </w:rPr>
        <w:t>5</w:t>
      </w:r>
      <w:r w:rsidRPr="00207779">
        <w:rPr>
          <w:rFonts w:asciiTheme="minorHAnsi" w:hAnsiTheme="minorHAnsi" w:cstheme="minorHAnsi"/>
        </w:rPr>
        <w:fldChar w:fldCharType="end"/>
      </w:r>
    </w:p>
    <w:p w14:paraId="25426926" w14:textId="70A8B17A" w:rsidR="0056485A" w:rsidRDefault="00A9449D" w:rsidP="00A16564">
      <w:pPr>
        <w:pStyle w:val="ANorm"/>
        <w:spacing w:after="240"/>
        <w:rPr>
          <w:rFonts w:asciiTheme="minorHAnsi" w:hAnsiTheme="minorHAnsi" w:cstheme="minorHAnsi"/>
        </w:rPr>
      </w:pPr>
      <w:r w:rsidRPr="00207779">
        <w:rPr>
          <w:rFonts w:asciiTheme="minorHAnsi" w:hAnsiTheme="minorHAnsi" w:cstheme="minorHAnsi"/>
        </w:rPr>
        <w:t xml:space="preserve">Although there is overlap between the services in that they target consumers with depression and anxiety disorders, there are differences in the socio-demographic and clinical characteristics of consumers using each service. For example, Mental Health Online is reaching proportionally more younger adults aged 18-34 and married or cohabitating consumers than </w:t>
      </w:r>
      <w:proofErr w:type="spellStart"/>
      <w:r w:rsidRPr="00207779">
        <w:rPr>
          <w:rFonts w:asciiTheme="minorHAnsi" w:hAnsiTheme="minorHAnsi" w:cstheme="minorHAnsi"/>
        </w:rPr>
        <w:t>MindSpot</w:t>
      </w:r>
      <w:proofErr w:type="spellEnd"/>
      <w:r w:rsidRPr="00207779">
        <w:rPr>
          <w:rFonts w:asciiTheme="minorHAnsi" w:hAnsiTheme="minorHAnsi" w:cstheme="minorHAnsi"/>
        </w:rPr>
        <w:t xml:space="preserve"> (70% vs 55% and 54% vs 38%, respectively). Baseline symptom severity is slightly worse for </w:t>
      </w:r>
      <w:proofErr w:type="spellStart"/>
      <w:r w:rsidRPr="00207779">
        <w:rPr>
          <w:rFonts w:asciiTheme="minorHAnsi" w:hAnsiTheme="minorHAnsi" w:cstheme="minorHAnsi"/>
        </w:rPr>
        <w:t>MindSpot</w:t>
      </w:r>
      <w:proofErr w:type="spellEnd"/>
      <w:r w:rsidRPr="00207779">
        <w:rPr>
          <w:rFonts w:asciiTheme="minorHAnsi" w:hAnsiTheme="minorHAnsi" w:cstheme="minorHAnsi"/>
        </w:rPr>
        <w:t xml:space="preserve"> than THIS WAY UP consumers. </w:t>
      </w:r>
      <w:proofErr w:type="spellStart"/>
      <w:r w:rsidRPr="00207779">
        <w:rPr>
          <w:rFonts w:asciiTheme="minorHAnsi" w:hAnsiTheme="minorHAnsi" w:cstheme="minorHAnsi"/>
        </w:rPr>
        <w:t>MindSpot</w:t>
      </w:r>
      <w:proofErr w:type="spellEnd"/>
      <w:r w:rsidRPr="00207779">
        <w:rPr>
          <w:rFonts w:asciiTheme="minorHAnsi" w:hAnsiTheme="minorHAnsi" w:cstheme="minorHAnsi"/>
        </w:rPr>
        <w:t xml:space="preserve"> consumers with higher symptom severity (K10, PHQ-9 and GAD-7) appear to receive therapist-supported treatment. There is also a trend for THIS WAY UP consumers with higher depression symptom severity to receive therapist-supported treatment. Importantly, the DMHSs operate differently and offer consumers choice.</w:t>
      </w:r>
    </w:p>
    <w:p w14:paraId="12AD9B4C" w14:textId="77777777" w:rsidR="0056485A" w:rsidRDefault="0056485A">
      <w:pPr>
        <w:spacing w:after="200"/>
        <w:rPr>
          <w:rFonts w:asciiTheme="minorHAnsi" w:hAnsiTheme="minorHAnsi" w:cstheme="minorHAnsi"/>
          <w:color w:val="000000" w:themeColor="text1"/>
          <w:sz w:val="21"/>
          <w:szCs w:val="21"/>
        </w:rPr>
      </w:pPr>
      <w:r>
        <w:rPr>
          <w:rFonts w:asciiTheme="minorHAnsi" w:hAnsiTheme="minorHAnsi" w:cstheme="minorHAnsi"/>
        </w:rPr>
        <w:br w:type="page"/>
      </w:r>
    </w:p>
    <w:p w14:paraId="7FC89BCF" w14:textId="77777777" w:rsidR="00A9449D" w:rsidRPr="00207779" w:rsidRDefault="00A9449D" w:rsidP="00457191">
      <w:pPr>
        <w:pStyle w:val="Heading3"/>
      </w:pPr>
      <w:r w:rsidRPr="00207779">
        <w:lastRenderedPageBreak/>
        <w:t>Consumer satisfaction</w:t>
      </w:r>
    </w:p>
    <w:p w14:paraId="4E0E5F91" w14:textId="77777777" w:rsidR="00A9449D" w:rsidRPr="00207779" w:rsidRDefault="00A9449D" w:rsidP="00A16564">
      <w:pPr>
        <w:spacing w:after="240"/>
        <w:rPr>
          <w:rFonts w:asciiTheme="minorHAnsi" w:hAnsiTheme="minorHAnsi" w:cstheme="minorHAnsi"/>
          <w:sz w:val="21"/>
          <w:szCs w:val="21"/>
        </w:rPr>
      </w:pPr>
      <w:r w:rsidRPr="00207779">
        <w:rPr>
          <w:rFonts w:asciiTheme="minorHAnsi" w:hAnsiTheme="minorHAnsi" w:cstheme="minorHAnsi"/>
          <w:sz w:val="21"/>
          <w:szCs w:val="21"/>
        </w:rPr>
        <w:t xml:space="preserve">Data collected routinely by </w:t>
      </w:r>
      <w:proofErr w:type="spellStart"/>
      <w:r w:rsidRPr="00207779">
        <w:rPr>
          <w:rFonts w:asciiTheme="minorHAnsi" w:hAnsiTheme="minorHAnsi" w:cstheme="minorHAnsi"/>
          <w:sz w:val="21"/>
          <w:szCs w:val="21"/>
        </w:rPr>
        <w:t>MindSpot</w:t>
      </w:r>
      <w:proofErr w:type="spellEnd"/>
      <w:r w:rsidRPr="00207779">
        <w:rPr>
          <w:rFonts w:asciiTheme="minorHAnsi" w:hAnsiTheme="minorHAnsi" w:cstheme="minorHAnsi"/>
          <w:sz w:val="21"/>
          <w:szCs w:val="21"/>
        </w:rPr>
        <w:t xml:space="preserve"> and THIS WAY UP, and episodically by Mental Health Online, indicate that consumers are highly satisfied with the care they receive from these DMHSs (presented in Sections 4.3.1, 4.4.6 and 4.5.5). For example, 27of 27 Mental Health Online consumers surveyed in 2020-21 reported they were satisfied with the Therapist Assist program and would recommend it to someone else. Between 95% and 98% of consumers report that </w:t>
      </w:r>
      <w:proofErr w:type="spellStart"/>
      <w:r w:rsidRPr="00207779">
        <w:rPr>
          <w:rFonts w:asciiTheme="minorHAnsi" w:hAnsiTheme="minorHAnsi" w:cstheme="minorHAnsi"/>
          <w:sz w:val="21"/>
          <w:szCs w:val="21"/>
        </w:rPr>
        <w:t>MindSpot</w:t>
      </w:r>
      <w:proofErr w:type="spellEnd"/>
      <w:r w:rsidRPr="00207779">
        <w:rPr>
          <w:rFonts w:asciiTheme="minorHAnsi" w:hAnsiTheme="minorHAnsi" w:cstheme="minorHAnsi"/>
          <w:sz w:val="21"/>
          <w:szCs w:val="21"/>
        </w:rPr>
        <w:t xml:space="preserve"> therapist-supported treatment is worthwhile, and they would recommend it. Between 81% and 84% of consumers are likely to recommend THIS WAY UP. </w:t>
      </w:r>
    </w:p>
    <w:p w14:paraId="187511D3" w14:textId="77777777" w:rsidR="00A9449D" w:rsidRPr="00207779" w:rsidRDefault="00A9449D" w:rsidP="00A16564">
      <w:pPr>
        <w:spacing w:after="240"/>
        <w:textAlignment w:val="baseline"/>
        <w:rPr>
          <w:rFonts w:asciiTheme="minorHAnsi" w:hAnsiTheme="minorHAnsi" w:cstheme="minorHAnsi"/>
          <w:sz w:val="21"/>
          <w:szCs w:val="21"/>
        </w:rPr>
      </w:pPr>
      <w:r w:rsidRPr="00207779">
        <w:rPr>
          <w:rFonts w:asciiTheme="minorHAnsi" w:hAnsiTheme="minorHAnsi" w:cstheme="minorHAnsi"/>
          <w:sz w:val="21"/>
          <w:szCs w:val="21"/>
        </w:rPr>
        <w:t>The survey we conducted with 351 consumers, 23 of whom we also interviewed, confirmed these findings with 85% being satisfied with the care (Section 5). Consumers reported that the DMHSs are having a positive impact on their wellbeing. Over 80%</w:t>
      </w:r>
      <w:r w:rsidRPr="00207779">
        <w:rPr>
          <w:rFonts w:asciiTheme="minorHAnsi" w:hAnsiTheme="minorHAnsi" w:cstheme="minorHAnsi"/>
          <w:color w:val="000000"/>
          <w:sz w:val="21"/>
          <w:szCs w:val="21"/>
          <w:lang w:eastAsia="en-AU"/>
        </w:rPr>
        <w:t xml:space="preserve"> of consumers indicated that they had experienced improvements in health and wellbeing, and approximately 80% of consumers attributed these changes to the support they received through the DMHS. Consumers described that DMHSs had helped them </w:t>
      </w:r>
      <w:r w:rsidRPr="00207779">
        <w:rPr>
          <w:rFonts w:asciiTheme="minorHAnsi" w:hAnsiTheme="minorHAnsi" w:cstheme="minorHAnsi"/>
          <w:sz w:val="21"/>
          <w:szCs w:val="21"/>
        </w:rPr>
        <w:t>with developing insight and understanding of their situation; and improved their sleep, mood, physical health, and coping through learning new skills.</w:t>
      </w:r>
    </w:p>
    <w:p w14:paraId="5EB507D3" w14:textId="77777777" w:rsidR="00A9449D" w:rsidRPr="00207779" w:rsidRDefault="00A9449D" w:rsidP="00457191">
      <w:pPr>
        <w:pStyle w:val="Heading3"/>
      </w:pPr>
      <w:r w:rsidRPr="00207779">
        <w:t>Provider and health professional satisfaction</w:t>
      </w:r>
    </w:p>
    <w:p w14:paraId="61FA01C4" w14:textId="77777777" w:rsidR="00A9449D" w:rsidRPr="00207779" w:rsidRDefault="00A9449D" w:rsidP="00A16564">
      <w:pPr>
        <w:spacing w:after="240"/>
        <w:rPr>
          <w:rFonts w:asciiTheme="minorHAnsi" w:hAnsiTheme="minorHAnsi" w:cstheme="minorHAnsi"/>
          <w:sz w:val="21"/>
          <w:szCs w:val="21"/>
        </w:rPr>
      </w:pPr>
      <w:r w:rsidRPr="00207779">
        <w:rPr>
          <w:rFonts w:asciiTheme="minorHAnsi" w:hAnsiTheme="minorHAnsi" w:cstheme="minorHAnsi"/>
          <w:sz w:val="21"/>
          <w:szCs w:val="21"/>
        </w:rPr>
        <w:t>Similarly, surveys (N=30) and interviews (n=6) highlight that the majority of DMHS providers (86%) are satisfied with the delivering services (Section 6). These providers reported that the DMHS benefited their clinical and teaching practices. They also reported that DMHSs complemented clinical and face-to-face interventions, helped reinforce therapeutic interventions and strategies, assisted with training junior clinicians, reduced waitlists, helped prioritise consumers, and assisted with reaching consumers in rural and regional areas.</w:t>
      </w:r>
    </w:p>
    <w:p w14:paraId="4F22AD6B" w14:textId="77777777" w:rsidR="00A9449D" w:rsidRPr="00207779" w:rsidRDefault="00A9449D" w:rsidP="00A16564">
      <w:pPr>
        <w:pStyle w:val="ANorm"/>
        <w:spacing w:after="240"/>
        <w:rPr>
          <w:rFonts w:asciiTheme="minorHAnsi" w:hAnsiTheme="minorHAnsi" w:cstheme="minorHAnsi"/>
        </w:rPr>
      </w:pPr>
      <w:r w:rsidRPr="00207779">
        <w:rPr>
          <w:rFonts w:asciiTheme="minorHAnsi" w:hAnsiTheme="minorHAnsi" w:cstheme="minorHAnsi"/>
        </w:rPr>
        <w:t>However, 57% of DMHS providers reported experiencing some difficulties with delivering digital mental health care. Commonly experienced difficulties include internet connection, technical problems and the online program not being suitable for the consumers’ needs. Although most providers reported that delivering services digitally did not negatively impact on building rapport, 17% mentioned experiencing difficulties in building rapport.</w:t>
      </w:r>
    </w:p>
    <w:p w14:paraId="0063CD53" w14:textId="77777777" w:rsidR="00A9449D" w:rsidRPr="00207779" w:rsidRDefault="00A9449D" w:rsidP="00A16564">
      <w:pPr>
        <w:spacing w:after="240"/>
        <w:textAlignment w:val="baseline"/>
        <w:rPr>
          <w:rFonts w:asciiTheme="minorHAnsi" w:hAnsiTheme="minorHAnsi" w:cstheme="minorHAnsi"/>
          <w:sz w:val="21"/>
          <w:szCs w:val="21"/>
          <w:lang w:eastAsia="en-AU"/>
        </w:rPr>
      </w:pPr>
      <w:r w:rsidRPr="00207779">
        <w:rPr>
          <w:rFonts w:asciiTheme="minorHAnsi" w:hAnsiTheme="minorHAnsi" w:cstheme="minorHAnsi"/>
          <w:sz w:val="21"/>
          <w:szCs w:val="21"/>
        </w:rPr>
        <w:t>Providers also highlighted that DMHSs were benefiting consumers.</w:t>
      </w:r>
      <w:r w:rsidRPr="00207779">
        <w:rPr>
          <w:rFonts w:asciiTheme="minorHAnsi" w:hAnsiTheme="minorHAnsi" w:cstheme="minorHAnsi"/>
          <w:sz w:val="21"/>
          <w:szCs w:val="21"/>
          <w:lang w:eastAsia="en-AU"/>
        </w:rPr>
        <w:t xml:space="preserve"> Nearly 80% of providers reported that DMHSs were mostly meeting the needs of consumers and 97% believed that they were benefiting consumers. These benefits included improved: mood and wellbeing, relationship functioning, skills, coping, self-efficacy and confidence.</w:t>
      </w:r>
    </w:p>
    <w:p w14:paraId="1B258115" w14:textId="77777777" w:rsidR="00A9449D" w:rsidRPr="00207779" w:rsidRDefault="00A9449D" w:rsidP="00A16564">
      <w:pPr>
        <w:spacing w:after="240"/>
        <w:textAlignment w:val="baseline"/>
        <w:rPr>
          <w:rFonts w:asciiTheme="minorHAnsi" w:hAnsiTheme="minorHAnsi" w:cstheme="minorHAnsi"/>
          <w:sz w:val="21"/>
          <w:szCs w:val="21"/>
          <w:lang w:eastAsia="en-AU"/>
        </w:rPr>
      </w:pPr>
      <w:r w:rsidRPr="00207779">
        <w:rPr>
          <w:rFonts w:asciiTheme="minorHAnsi" w:hAnsiTheme="minorHAnsi" w:cstheme="minorHAnsi"/>
          <w:sz w:val="21"/>
          <w:szCs w:val="21"/>
          <w:lang w:eastAsia="en-AU"/>
        </w:rPr>
        <w:t xml:space="preserve">Most mental health professionals, </w:t>
      </w:r>
      <w:proofErr w:type="gramStart"/>
      <w:r w:rsidRPr="00207779">
        <w:rPr>
          <w:rFonts w:asciiTheme="minorHAnsi" w:hAnsiTheme="minorHAnsi" w:cstheme="minorHAnsi"/>
          <w:sz w:val="21"/>
          <w:szCs w:val="21"/>
          <w:lang w:eastAsia="en-AU"/>
        </w:rPr>
        <w:t>referrers</w:t>
      </w:r>
      <w:proofErr w:type="gramEnd"/>
      <w:r w:rsidRPr="00207779">
        <w:rPr>
          <w:rFonts w:asciiTheme="minorHAnsi" w:hAnsiTheme="minorHAnsi" w:cstheme="minorHAnsi"/>
          <w:sz w:val="21"/>
          <w:szCs w:val="21"/>
          <w:lang w:eastAsia="en-AU"/>
        </w:rPr>
        <w:t xml:space="preserve"> and key mental health sector representatives we consulted also acknowledged the positive effects of DMHSs on consumers and carers (Sections 8 and 9). Of the 55 additional mental health professionals who provide digital mental health care surveyed, around 58% reported being satisfied with providing mental health care in this way. Others echoed the same difficulties experienced by the three DMHS providers.</w:t>
      </w:r>
    </w:p>
    <w:p w14:paraId="0BD3AB39" w14:textId="77777777" w:rsidR="00A9449D" w:rsidRPr="006F05D6" w:rsidRDefault="00A9449D" w:rsidP="006F05D6">
      <w:pPr>
        <w:pStyle w:val="Heading2"/>
        <w:numPr>
          <w:ilvl w:val="1"/>
          <w:numId w:val="142"/>
        </w:numPr>
        <w:rPr>
          <w:rFonts w:asciiTheme="minorHAnsi" w:hAnsiTheme="minorHAnsi" w:cstheme="minorHAnsi"/>
        </w:rPr>
      </w:pPr>
      <w:bookmarkStart w:id="308" w:name="_Toc108784908"/>
      <w:r w:rsidRPr="006F05D6">
        <w:rPr>
          <w:rFonts w:asciiTheme="minorHAnsi" w:hAnsiTheme="minorHAnsi" w:cstheme="minorHAnsi"/>
        </w:rPr>
        <w:t>KEQ 2: What difference are existing supported online mental health treatment services making compared with</w:t>
      </w:r>
      <w:r w:rsidRPr="00684C0F">
        <w:rPr>
          <w:rFonts w:asciiTheme="minorHAnsi" w:hAnsiTheme="minorHAnsi" w:cstheme="minorHAnsi"/>
        </w:rPr>
        <w:t xml:space="preserve"> usual care (e.g.</w:t>
      </w:r>
      <w:r>
        <w:rPr>
          <w:rFonts w:asciiTheme="minorHAnsi" w:hAnsiTheme="minorHAnsi" w:cstheme="minorHAnsi"/>
        </w:rPr>
        <w:t>,</w:t>
      </w:r>
      <w:r w:rsidRPr="00684C0F">
        <w:rPr>
          <w:rFonts w:asciiTheme="minorHAnsi" w:hAnsiTheme="minorHAnsi" w:cstheme="minorHAnsi"/>
        </w:rPr>
        <w:t xml:space="preserve"> </w:t>
      </w:r>
      <w:proofErr w:type="gramStart"/>
      <w:r w:rsidRPr="00684C0F">
        <w:rPr>
          <w:rFonts w:asciiTheme="minorHAnsi" w:hAnsiTheme="minorHAnsi" w:cstheme="minorHAnsi"/>
        </w:rPr>
        <w:t>face-to-face</w:t>
      </w:r>
      <w:proofErr w:type="gramEnd"/>
      <w:r w:rsidRPr="00684C0F">
        <w:rPr>
          <w:rFonts w:asciiTheme="minorHAnsi" w:hAnsiTheme="minorHAnsi" w:cstheme="minorHAnsi"/>
        </w:rPr>
        <w:t xml:space="preserve"> or other treatment service types)?</w:t>
      </w:r>
      <w:bookmarkEnd w:id="308"/>
    </w:p>
    <w:p w14:paraId="525C5803" w14:textId="77777777" w:rsidR="00A9449D" w:rsidRPr="00457191" w:rsidRDefault="00A9449D" w:rsidP="00457191">
      <w:pPr>
        <w:pStyle w:val="ANorm"/>
        <w:spacing w:after="240"/>
        <w:rPr>
          <w:rFonts w:asciiTheme="minorHAnsi" w:hAnsiTheme="minorHAnsi" w:cstheme="minorHAnsi"/>
        </w:rPr>
      </w:pPr>
      <w:r w:rsidRPr="00DE4795">
        <w:rPr>
          <w:rFonts w:asciiTheme="minorHAnsi" w:hAnsiTheme="minorHAnsi" w:cstheme="minorHAnsi"/>
        </w:rPr>
        <w:t>Data from peer-</w:t>
      </w:r>
      <w:r w:rsidRPr="00457191">
        <w:rPr>
          <w:rFonts w:asciiTheme="minorHAnsi" w:hAnsiTheme="minorHAnsi" w:cstheme="minorHAnsi"/>
        </w:rPr>
        <w:t>reviewed publications on DMHS and comparator mental health outcomes and routinely collected DMHS data contribute to addressing KEQ 2.</w:t>
      </w:r>
    </w:p>
    <w:p w14:paraId="3BA94EAC" w14:textId="77777777" w:rsidR="00A9449D" w:rsidRPr="00457191" w:rsidRDefault="00A9449D" w:rsidP="00457191">
      <w:pPr>
        <w:pStyle w:val="Heading3"/>
      </w:pPr>
      <w:r w:rsidRPr="00457191">
        <w:t>Improving access to care</w:t>
      </w:r>
    </w:p>
    <w:p w14:paraId="693BDF51" w14:textId="77777777" w:rsidR="00A9449D" w:rsidRPr="00457191" w:rsidRDefault="00A9449D" w:rsidP="00457191">
      <w:pPr>
        <w:pStyle w:val="ANorm"/>
        <w:spacing w:after="240"/>
        <w:rPr>
          <w:rStyle w:val="eop"/>
          <w:rFonts w:asciiTheme="minorHAnsi" w:hAnsiTheme="minorHAnsi" w:cstheme="minorHAnsi"/>
          <w:color w:val="000000"/>
          <w:shd w:val="clear" w:color="auto" w:fill="FFFFFF"/>
        </w:rPr>
      </w:pPr>
      <w:r w:rsidRPr="00457191">
        <w:rPr>
          <w:rStyle w:val="eop"/>
          <w:rFonts w:asciiTheme="minorHAnsi" w:hAnsiTheme="minorHAnsi" w:cstheme="minorHAnsi"/>
          <w:color w:val="000000"/>
          <w:shd w:val="clear" w:color="auto" w:fill="FFFFFF"/>
        </w:rPr>
        <w:t>As demonstrated in response to KEQ 1, the three DMHSs are providing treatment (among other service offerings) to significant numbers of consumers and are therefore contributing to improving overall access to mental health care in Australia. Furthermore, by offering their services free of charge they are likely to be reaching segments of the population who might not otherwise access mental health treatment and/or are disadvantaged to varying extents.</w:t>
      </w:r>
    </w:p>
    <w:p w14:paraId="38F32787" w14:textId="77777777" w:rsidR="00A9449D" w:rsidRPr="00457191" w:rsidRDefault="00A9449D" w:rsidP="00457191">
      <w:pPr>
        <w:pStyle w:val="ANorm"/>
        <w:spacing w:after="240"/>
        <w:rPr>
          <w:rFonts w:asciiTheme="minorHAnsi" w:hAnsiTheme="minorHAnsi" w:cstheme="minorHAnsi"/>
          <w:color w:val="000000"/>
          <w:shd w:val="clear" w:color="auto" w:fill="FFFFFF"/>
        </w:rPr>
      </w:pPr>
      <w:r w:rsidRPr="00457191">
        <w:rPr>
          <w:rStyle w:val="eop"/>
          <w:rFonts w:asciiTheme="minorHAnsi" w:hAnsiTheme="minorHAnsi" w:cstheme="minorHAnsi"/>
          <w:color w:val="000000"/>
          <w:shd w:val="clear" w:color="auto" w:fill="FFFFFF"/>
        </w:rPr>
        <w:lastRenderedPageBreak/>
        <w:t xml:space="preserve">As discussed in Section 3, DMHSs are providing services to a high number of people who are not accessing any other support. At least half of Mental Health Online and </w:t>
      </w:r>
      <w:proofErr w:type="spellStart"/>
      <w:r w:rsidRPr="00457191">
        <w:rPr>
          <w:rStyle w:val="eop"/>
          <w:rFonts w:asciiTheme="minorHAnsi" w:hAnsiTheme="minorHAnsi" w:cstheme="minorHAnsi"/>
          <w:color w:val="000000"/>
          <w:shd w:val="clear" w:color="auto" w:fill="FFFFFF"/>
        </w:rPr>
        <w:t>MindSpot</w:t>
      </w:r>
      <w:proofErr w:type="spellEnd"/>
      <w:r w:rsidRPr="00457191">
        <w:rPr>
          <w:rStyle w:val="eop"/>
          <w:rFonts w:asciiTheme="minorHAnsi" w:hAnsiTheme="minorHAnsi" w:cstheme="minorHAnsi"/>
          <w:color w:val="000000"/>
          <w:shd w:val="clear" w:color="auto" w:fill="FFFFFF"/>
        </w:rPr>
        <w:t xml:space="preserve"> consumers are not accessing other mental health services, which suggests DMHSs are reducing the burden of care on other mental health services. The consumer surveys indicated that prior to accessing DMHSs, over 50% of consumers experienced several barriers to care. The most common barriers were affordability of care (47%) and personal beliefs about the need for help (e.g., believing things would improve [49%], symptoms not severe enough [43%], preferring to rely on self [41%]). Similarly, the provider interviews also highlighted that DMHS are enabling providers to deliver care to more consumers and reduce waitlists. The consumer interviews indicated the anonymity of care, free access and 24-hour availability of care allows people to access affordable care at a time and place that is convenient for them.</w:t>
      </w:r>
    </w:p>
    <w:p w14:paraId="63403E9B" w14:textId="77777777" w:rsidR="00A9449D" w:rsidRPr="00457191" w:rsidRDefault="00A9449D" w:rsidP="00F7605E">
      <w:pPr>
        <w:pStyle w:val="Heading3"/>
      </w:pPr>
      <w:r w:rsidRPr="00457191">
        <w:t>Mental health and other outcomes</w:t>
      </w:r>
    </w:p>
    <w:p w14:paraId="32AEB4F9" w14:textId="04E4C308"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lang w:val="en-US" w:bidi="th-TH"/>
        </w:rPr>
        <w:t>As illustrated in Section 4, the three DMHSs are using a variety of outcome measures to assess mental health and wellbeing outcomes for consumers, most commonly the K10, PHQ-9 and GAD-7 (</w:t>
      </w:r>
      <w:proofErr w:type="spellStart"/>
      <w:r w:rsidRPr="00457191">
        <w:rPr>
          <w:rFonts w:asciiTheme="minorHAnsi" w:hAnsiTheme="minorHAnsi" w:cstheme="minorHAnsi"/>
          <w:lang w:val="en-US" w:bidi="th-TH"/>
        </w:rPr>
        <w:t>MindSpot</w:t>
      </w:r>
      <w:proofErr w:type="spellEnd"/>
      <w:r w:rsidRPr="00457191">
        <w:rPr>
          <w:rFonts w:asciiTheme="minorHAnsi" w:hAnsiTheme="minorHAnsi" w:cstheme="minorHAnsi"/>
          <w:lang w:val="en-US" w:bidi="th-TH"/>
        </w:rPr>
        <w:t xml:space="preserve"> and THIS WAY UP) and the K6 at baseline only (Mental Health Online). Pooling data mostly from peer-reviewed publications by the three DMHSs, we found that therapist-supported online treatment significantly improves the mental health of consumers who use these services (d=0.95, Mental Health Online; d=1.42, </w:t>
      </w:r>
      <w:proofErr w:type="spellStart"/>
      <w:r w:rsidRPr="00457191">
        <w:rPr>
          <w:rFonts w:asciiTheme="minorHAnsi" w:hAnsiTheme="minorHAnsi" w:cstheme="minorHAnsi"/>
          <w:lang w:val="en-US" w:bidi="th-TH"/>
        </w:rPr>
        <w:t>MindSpot</w:t>
      </w:r>
      <w:proofErr w:type="spellEnd"/>
      <w:r w:rsidRPr="00457191">
        <w:rPr>
          <w:rFonts w:asciiTheme="minorHAnsi" w:hAnsiTheme="minorHAnsi" w:cstheme="minorHAnsi"/>
          <w:lang w:val="en-US" w:bidi="th-TH"/>
        </w:rPr>
        <w:t>; and d=1.04 THIS WAY UP). Specifically, consistent with findings from our literature review,</w:t>
      </w:r>
      <w:r w:rsidRPr="00457191">
        <w:rPr>
          <w:rFonts w:asciiTheme="minorHAnsi" w:hAnsiTheme="minorHAnsi" w:cstheme="minorHAnsi"/>
          <w:lang w:val="en-US" w:bidi="th-TH"/>
        </w:rPr>
        <w:fldChar w:fldCharType="begin"/>
      </w:r>
      <w:r w:rsidR="00C178C5" w:rsidRPr="00457191">
        <w:rPr>
          <w:rFonts w:asciiTheme="minorHAnsi" w:hAnsiTheme="minorHAnsi" w:cstheme="minorHAnsi"/>
          <w:lang w:val="en-US" w:bidi="th-TH"/>
        </w:rPr>
        <w:instrText xml:space="preserve"> ADDIN EN.CITE &lt;EndNote&gt;&lt;Cite&gt;&lt;Author&gt;Bassilios&lt;/Author&gt;&lt;Year&gt;2022&lt;/Year&gt;&lt;RecNum&gt;117&lt;/RecNum&gt;&lt;DisplayText&gt;&lt;style face="superscript"&gt;5&lt;/style&gt;&lt;/DisplayText&gt;&lt;record&gt;&lt;rec-number&gt;117&lt;/rec-number&gt;&lt;foreign-keys&gt;&lt;key app="EN" db-id="dawtr0zrkrzfa5edzzlpe2we0xa00t90vvr2" timestamp="1648438870"&gt;117&lt;/key&gt;&lt;/foreign-keys&gt;&lt;ref-type name="Report"&gt;27&lt;/ref-type&gt;&lt;contributors&gt;&lt;authors&gt;&lt;author&gt;Bassilios, B.&lt;/author&gt;&lt;author&gt;Morgan, A.&lt;/author&gt;&lt;author&gt;Tan, A.&lt;/author&gt;&lt;author&gt;Ftanou, M.&lt;/author&gt;&lt;author&gt;Krysinska, K.&lt;/author&gt;&lt;author&gt;Le, L.&lt;/author&gt;&lt;author&gt;Scurrah, K.&lt;/author&gt;&lt;author&gt;Banfield, M.&lt;/author&gt;&lt;author&gt;Spittal, M.&lt;/author&gt;&lt;author&gt;Mihalopoulos, C.&lt;/author&gt;&lt;author&gt;Pirkis, J.&lt;/author&gt;&lt;/authors&gt;&lt;/contributors&gt;&lt;titles&gt;&lt;title&gt;Literature review of effectiveness of supported digital mental health interventions (DMHIs)&lt;/title&gt;&lt;/titles&gt;&lt;dates&gt;&lt;year&gt;2022&lt;/year&gt;&lt;/dates&gt;&lt;pub-location&gt;Melbourne&lt;/pub-location&gt;&lt;publisher&gt;Centre for Mental Health, University of Melbourne&lt;/publisher&gt;&lt;urls&gt;&lt;/urls&gt;&lt;/record&gt;&lt;/Cite&gt;&lt;/EndNote&gt;</w:instrText>
      </w:r>
      <w:r w:rsidRPr="00457191">
        <w:rPr>
          <w:rFonts w:asciiTheme="minorHAnsi" w:hAnsiTheme="minorHAnsi" w:cstheme="minorHAnsi"/>
          <w:lang w:val="en-US" w:bidi="th-TH"/>
        </w:rPr>
        <w:fldChar w:fldCharType="separate"/>
      </w:r>
      <w:r w:rsidR="00C178C5" w:rsidRPr="00457191">
        <w:rPr>
          <w:rFonts w:asciiTheme="minorHAnsi" w:hAnsiTheme="minorHAnsi" w:cstheme="minorHAnsi"/>
          <w:noProof/>
          <w:vertAlign w:val="superscript"/>
          <w:lang w:val="en-US" w:bidi="th-TH"/>
        </w:rPr>
        <w:t>5</w:t>
      </w:r>
      <w:r w:rsidRPr="00457191">
        <w:rPr>
          <w:rFonts w:asciiTheme="minorHAnsi" w:hAnsiTheme="minorHAnsi" w:cstheme="minorHAnsi"/>
          <w:lang w:val="en-US" w:bidi="th-TH"/>
        </w:rPr>
        <w:fldChar w:fldCharType="end"/>
      </w:r>
      <w:r w:rsidRPr="00457191">
        <w:rPr>
          <w:rFonts w:asciiTheme="minorHAnsi" w:hAnsiTheme="minorHAnsi" w:cstheme="minorHAnsi"/>
          <w:lang w:val="en-US" w:bidi="th-TH"/>
        </w:rPr>
        <w:t xml:space="preserve"> therapist-supported treatment produced reductions in psychological distress and other symptoms including, OCD, PTSD, panic disorder, GAD, social anxiety disorder and depression. T</w:t>
      </w:r>
      <w:proofErr w:type="spellStart"/>
      <w:r w:rsidRPr="00457191">
        <w:rPr>
          <w:rFonts w:asciiTheme="minorHAnsi" w:hAnsiTheme="minorHAnsi" w:cstheme="minorHAnsi"/>
        </w:rPr>
        <w:t>hese</w:t>
      </w:r>
      <w:proofErr w:type="spellEnd"/>
      <w:r w:rsidRPr="00457191">
        <w:rPr>
          <w:rFonts w:asciiTheme="minorHAnsi" w:hAnsiTheme="minorHAnsi" w:cstheme="minorHAnsi"/>
        </w:rPr>
        <w:t xml:space="preserve"> positive findings are consistent across different demographic characteristics, including young and older adults, people born overseas, and Indigenous peoples. To some extent, </w:t>
      </w:r>
      <w:r w:rsidRPr="00457191">
        <w:rPr>
          <w:rFonts w:asciiTheme="minorHAnsi" w:hAnsiTheme="minorHAnsi" w:cstheme="minorHAnsi"/>
          <w:lang w:bidi="th-TH"/>
        </w:rPr>
        <w:t>these</w:t>
      </w:r>
      <w:r w:rsidRPr="00457191">
        <w:rPr>
          <w:rFonts w:asciiTheme="minorHAnsi" w:hAnsiTheme="minorHAnsi" w:cstheme="minorHAnsi"/>
          <w:lang w:val="en-US" w:bidi="th-TH"/>
        </w:rPr>
        <w:t xml:space="preserve"> findings fill gaps in knowledge identified in our literature review about the effectiveness of digital mental health interventions for traditionally underserviced groups and across age groups.</w:t>
      </w:r>
      <w:r w:rsidRPr="00457191">
        <w:rPr>
          <w:rFonts w:asciiTheme="minorHAnsi" w:hAnsiTheme="minorHAnsi" w:cstheme="minorHAnsi"/>
          <w:lang w:val="en-US" w:bidi="th-TH"/>
        </w:rPr>
        <w:fldChar w:fldCharType="begin"/>
      </w:r>
      <w:r w:rsidR="00C178C5" w:rsidRPr="00457191">
        <w:rPr>
          <w:rFonts w:asciiTheme="minorHAnsi" w:hAnsiTheme="minorHAnsi" w:cstheme="minorHAnsi"/>
          <w:lang w:val="en-US" w:bidi="th-TH"/>
        </w:rPr>
        <w:instrText xml:space="preserve"> ADDIN EN.CITE &lt;EndNote&gt;&lt;Cite&gt;&lt;Author&gt;Bassilios&lt;/Author&gt;&lt;Year&gt;2022&lt;/Year&gt;&lt;RecNum&gt;117&lt;/RecNum&gt;&lt;DisplayText&gt;&lt;style face="superscript"&gt;5&lt;/style&gt;&lt;/DisplayText&gt;&lt;record&gt;&lt;rec-number&gt;117&lt;/rec-number&gt;&lt;foreign-keys&gt;&lt;key app="EN" db-id="dawtr0zrkrzfa5edzzlpe2we0xa00t90vvr2" timestamp="1648438870"&gt;117&lt;/key&gt;&lt;/foreign-keys&gt;&lt;ref-type name="Report"&gt;27&lt;/ref-type&gt;&lt;contributors&gt;&lt;authors&gt;&lt;author&gt;Bassilios, B.&lt;/author&gt;&lt;author&gt;Morgan, A.&lt;/author&gt;&lt;author&gt;Tan, A.&lt;/author&gt;&lt;author&gt;Ftanou, M.&lt;/author&gt;&lt;author&gt;Krysinska, K.&lt;/author&gt;&lt;author&gt;Le, L.&lt;/author&gt;&lt;author&gt;Scurrah, K.&lt;/author&gt;&lt;author&gt;Banfield, M.&lt;/author&gt;&lt;author&gt;Spittal, M.&lt;/author&gt;&lt;author&gt;Mihalopoulos, C.&lt;/author&gt;&lt;author&gt;Pirkis, J.&lt;/author&gt;&lt;/authors&gt;&lt;/contributors&gt;&lt;titles&gt;&lt;title&gt;Literature review of effectiveness of supported digital mental health interventions (DMHIs)&lt;/title&gt;&lt;/titles&gt;&lt;dates&gt;&lt;year&gt;2022&lt;/year&gt;&lt;/dates&gt;&lt;pub-location&gt;Melbourne&lt;/pub-location&gt;&lt;publisher&gt;Centre for Mental Health, University of Melbourne&lt;/publisher&gt;&lt;urls&gt;&lt;/urls&gt;&lt;/record&gt;&lt;/Cite&gt;&lt;/EndNote&gt;</w:instrText>
      </w:r>
      <w:r w:rsidRPr="00457191">
        <w:rPr>
          <w:rFonts w:asciiTheme="minorHAnsi" w:hAnsiTheme="minorHAnsi" w:cstheme="minorHAnsi"/>
          <w:lang w:val="en-US" w:bidi="th-TH"/>
        </w:rPr>
        <w:fldChar w:fldCharType="separate"/>
      </w:r>
      <w:r w:rsidR="00C178C5" w:rsidRPr="00457191">
        <w:rPr>
          <w:rFonts w:asciiTheme="minorHAnsi" w:hAnsiTheme="minorHAnsi" w:cstheme="minorHAnsi"/>
          <w:noProof/>
          <w:vertAlign w:val="superscript"/>
          <w:lang w:val="en-US" w:bidi="th-TH"/>
        </w:rPr>
        <w:t>5</w:t>
      </w:r>
      <w:r w:rsidRPr="00457191">
        <w:rPr>
          <w:rFonts w:asciiTheme="minorHAnsi" w:hAnsiTheme="minorHAnsi" w:cstheme="minorHAnsi"/>
          <w:lang w:val="en-US" w:bidi="th-TH"/>
        </w:rPr>
        <w:fldChar w:fldCharType="end"/>
      </w:r>
    </w:p>
    <w:p w14:paraId="7361872D" w14:textId="77777777" w:rsidR="00A9449D" w:rsidRPr="00457191" w:rsidRDefault="00A9449D" w:rsidP="00457191">
      <w:pPr>
        <w:pStyle w:val="ANorm"/>
        <w:spacing w:after="240"/>
        <w:rPr>
          <w:rFonts w:asciiTheme="minorHAnsi" w:hAnsiTheme="minorHAnsi" w:cstheme="minorHAnsi"/>
          <w:lang w:val="en-US" w:bidi="th-TH"/>
        </w:rPr>
      </w:pPr>
      <w:r w:rsidRPr="00457191">
        <w:rPr>
          <w:rFonts w:asciiTheme="minorHAnsi" w:hAnsiTheme="minorHAnsi" w:cstheme="minorHAnsi"/>
          <w:lang w:val="en-US" w:bidi="th-TH"/>
        </w:rPr>
        <w:t>Therapist-supported treatment by DMHSs also produced positive outcomes on quality of life, functioning (as assessed by days out role) and disability, but the effects on these domains was smaller (e.g., d=0.12, 0.35 and 0.48, respectively).</w:t>
      </w:r>
    </w:p>
    <w:p w14:paraId="7F8BB790"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lang w:val="en-US" w:bidi="th-TH"/>
        </w:rPr>
        <w:t>Additionally, peer reviewed publications showed that self-directed treatment by Mental Health Online produces moderate reduction (d=0.59) in</w:t>
      </w:r>
      <w:r w:rsidRPr="00457191">
        <w:rPr>
          <w:rFonts w:asciiTheme="minorHAnsi" w:hAnsiTheme="minorHAnsi" w:cstheme="minorHAnsi"/>
        </w:rPr>
        <w:t xml:space="preserve"> clinical disorder severity ratings for GAD, panic disorder, OCD, PTSD and SAD. Trends in routinely collected data on self-directed treatment by </w:t>
      </w:r>
      <w:proofErr w:type="spellStart"/>
      <w:r w:rsidRPr="00457191">
        <w:rPr>
          <w:rFonts w:asciiTheme="minorHAnsi" w:hAnsiTheme="minorHAnsi" w:cstheme="minorHAnsi"/>
        </w:rPr>
        <w:t>MindSpot</w:t>
      </w:r>
      <w:proofErr w:type="spellEnd"/>
      <w:r w:rsidRPr="00457191">
        <w:rPr>
          <w:rFonts w:asciiTheme="minorHAnsi" w:hAnsiTheme="minorHAnsi" w:cstheme="minorHAnsi"/>
        </w:rPr>
        <w:t xml:space="preserve"> and THIS WAY UP support these positive findings, but we were unable to calculate effect sizes because we did not have baseline data for the cohort of consumers who completed post-treatment assessments.</w:t>
      </w:r>
    </w:p>
    <w:p w14:paraId="2E0E1702"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There was also a trend for consumers with more severe symptoms to be more likely to show improvement.</w:t>
      </w:r>
    </w:p>
    <w:p w14:paraId="6D957FC4" w14:textId="142BDB29" w:rsidR="00A9449D" w:rsidRPr="00457191" w:rsidRDefault="00A9449D" w:rsidP="00457191">
      <w:pPr>
        <w:pStyle w:val="ANorm"/>
        <w:spacing w:after="240"/>
        <w:rPr>
          <w:rFonts w:asciiTheme="minorHAnsi" w:hAnsiTheme="minorHAnsi" w:cstheme="minorHAnsi"/>
          <w:lang w:val="en-US" w:bidi="th-TH"/>
        </w:rPr>
      </w:pPr>
      <w:r w:rsidRPr="00457191">
        <w:rPr>
          <w:rFonts w:asciiTheme="minorHAnsi" w:hAnsiTheme="minorHAnsi" w:cstheme="minorHAnsi"/>
          <w:lang w:val="en-US" w:bidi="th-TH"/>
        </w:rPr>
        <w:t>Overall, therapist-supported treatments by all three DMHSs produce improvements in mental health symptoms that are close, or equivalent, to most comparator treatments (Australian primary, public and low intensity mental health care; UK stepped psychological care) we examined. Both therapist-supported and self-directed treatments produce superior outcomes to treatment as usual (discussing mental health concerns with the GP). They also produce superior outcomes to pharmacological treatment in primary care, which have been reported to produce small to moderate effects.</w:t>
      </w:r>
      <w:r w:rsidRPr="00457191">
        <w:rPr>
          <w:rFonts w:asciiTheme="minorHAnsi" w:hAnsiTheme="minorHAnsi" w:cstheme="minorHAnsi"/>
          <w:lang w:val="en-US" w:bidi="th-TH"/>
        </w:rPr>
        <w:fldChar w:fldCharType="begin"/>
      </w:r>
      <w:r w:rsidR="004469A2">
        <w:rPr>
          <w:rFonts w:asciiTheme="minorHAnsi" w:hAnsiTheme="minorHAnsi" w:cstheme="minorHAnsi"/>
          <w:lang w:val="en-US" w:bidi="th-TH"/>
        </w:rPr>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Pr="00457191">
        <w:rPr>
          <w:rFonts w:asciiTheme="minorHAnsi" w:hAnsiTheme="minorHAnsi" w:cstheme="minorHAnsi"/>
          <w:lang w:val="en-US" w:bidi="th-TH"/>
        </w:rPr>
        <w:fldChar w:fldCharType="separate"/>
      </w:r>
      <w:r w:rsidR="004469A2" w:rsidRPr="004469A2">
        <w:rPr>
          <w:rFonts w:asciiTheme="minorHAnsi" w:hAnsiTheme="minorHAnsi" w:cstheme="minorHAnsi"/>
          <w:noProof/>
          <w:vertAlign w:val="superscript"/>
          <w:lang w:val="en-US" w:bidi="th-TH"/>
        </w:rPr>
        <w:t>7</w:t>
      </w:r>
      <w:r w:rsidRPr="00457191">
        <w:rPr>
          <w:rFonts w:asciiTheme="minorHAnsi" w:hAnsiTheme="minorHAnsi" w:cstheme="minorHAnsi"/>
          <w:lang w:val="en-US" w:bidi="th-TH"/>
        </w:rPr>
        <w:fldChar w:fldCharType="end"/>
      </w:r>
    </w:p>
    <w:p w14:paraId="1B536C74" w14:textId="77777777" w:rsidR="00A9449D" w:rsidRPr="00457191" w:rsidRDefault="00A9449D" w:rsidP="00457191">
      <w:pPr>
        <w:pStyle w:val="ANorm"/>
        <w:spacing w:after="240"/>
        <w:rPr>
          <w:rFonts w:asciiTheme="minorHAnsi" w:hAnsiTheme="minorHAnsi" w:cstheme="minorHAnsi"/>
          <w:lang w:val="en-US" w:bidi="th-TH"/>
        </w:rPr>
      </w:pPr>
      <w:r w:rsidRPr="00457191">
        <w:rPr>
          <w:rFonts w:asciiTheme="minorHAnsi" w:hAnsiTheme="minorHAnsi" w:cstheme="minorHAnsi"/>
          <w:lang w:val="en-US" w:bidi="th-TH"/>
        </w:rPr>
        <w:t xml:space="preserve">Around one-third of </w:t>
      </w:r>
      <w:proofErr w:type="spellStart"/>
      <w:r w:rsidRPr="00457191">
        <w:rPr>
          <w:rFonts w:asciiTheme="minorHAnsi" w:hAnsiTheme="minorHAnsi" w:cstheme="minorHAnsi"/>
          <w:lang w:val="en-US" w:bidi="th-TH"/>
        </w:rPr>
        <w:t>MindSpot</w:t>
      </w:r>
      <w:proofErr w:type="spellEnd"/>
      <w:r w:rsidRPr="00457191">
        <w:rPr>
          <w:rFonts w:asciiTheme="minorHAnsi" w:hAnsiTheme="minorHAnsi" w:cstheme="minorHAnsi"/>
          <w:lang w:val="en-US" w:bidi="th-TH"/>
        </w:rPr>
        <w:t xml:space="preserve"> consumers who in enroll in therapist-supported treatment choose not to take up the therapist support component, and around one third of consumers who enroll in self-directed treatment end up receiving therapist support. Additionally, although in our pooled estimates of THIS WAY UP treatment effects, we labelled all treatments as “therapist-supported”, the extent of therapist support is unknown given that this service element is provided externally by the consumer’s own mental health professional. Therefore, differences in findings between therapist-supported and self-directed treatments should be interpreted with caution.</w:t>
      </w:r>
    </w:p>
    <w:p w14:paraId="6A74677E" w14:textId="2B594D77" w:rsidR="00A9449D" w:rsidRPr="00457191" w:rsidRDefault="00A9449D" w:rsidP="00457191">
      <w:pPr>
        <w:pStyle w:val="ANorm"/>
        <w:spacing w:after="240"/>
        <w:rPr>
          <w:rFonts w:asciiTheme="minorHAnsi" w:hAnsiTheme="minorHAnsi" w:cstheme="minorHAnsi"/>
          <w:color w:val="auto"/>
          <w:lang w:eastAsia="en-US"/>
        </w:rPr>
      </w:pPr>
      <w:r w:rsidRPr="00457191">
        <w:rPr>
          <w:rFonts w:asciiTheme="minorHAnsi" w:hAnsiTheme="minorHAnsi" w:cstheme="minorHAnsi"/>
          <w:color w:val="auto"/>
          <w:lang w:eastAsia="en-US"/>
        </w:rPr>
        <w:t xml:space="preserve">A key strength of the way in which outcome data are collected by </w:t>
      </w:r>
      <w:proofErr w:type="spellStart"/>
      <w:r w:rsidRPr="00457191">
        <w:rPr>
          <w:rFonts w:asciiTheme="minorHAnsi" w:hAnsiTheme="minorHAnsi" w:cstheme="minorHAnsi"/>
          <w:color w:val="auto"/>
          <w:lang w:eastAsia="en-US"/>
        </w:rPr>
        <w:t>MindSpot</w:t>
      </w:r>
      <w:proofErr w:type="spellEnd"/>
      <w:r w:rsidRPr="00457191">
        <w:rPr>
          <w:rFonts w:asciiTheme="minorHAnsi" w:hAnsiTheme="minorHAnsi" w:cstheme="minorHAnsi"/>
          <w:color w:val="auto"/>
          <w:lang w:eastAsia="en-US"/>
        </w:rPr>
        <w:t xml:space="preserve"> and THIS WAY UP is that consumers are assessed using standardised outcome measures at each session. This means that analysis of their outcome data provides the opportunity to examine the effects of treatment for consumers who drop out of treatment. Other mental health programs that only assess consumer outcomes at the commencement and the completion of treatment risk introducing a systematic bias in which people who drop out of treatment (potentially with poorer </w:t>
      </w:r>
      <w:r w:rsidRPr="00457191">
        <w:rPr>
          <w:rFonts w:asciiTheme="minorHAnsi" w:hAnsiTheme="minorHAnsi" w:cstheme="minorHAnsi"/>
          <w:color w:val="auto"/>
          <w:lang w:eastAsia="en-US"/>
        </w:rPr>
        <w:lastRenderedPageBreak/>
        <w:t xml:space="preserve">outcomes) are excluded from effectiveness analyses. Furthermore, </w:t>
      </w:r>
      <w:proofErr w:type="spellStart"/>
      <w:r w:rsidRPr="00457191">
        <w:rPr>
          <w:rFonts w:asciiTheme="minorHAnsi" w:hAnsiTheme="minorHAnsi" w:cstheme="minorHAnsi"/>
          <w:color w:val="auto"/>
          <w:lang w:eastAsia="en-US"/>
        </w:rPr>
        <w:t>MindSpot</w:t>
      </w:r>
      <w:proofErr w:type="spellEnd"/>
      <w:r w:rsidRPr="00457191">
        <w:rPr>
          <w:rFonts w:asciiTheme="minorHAnsi" w:hAnsiTheme="minorHAnsi" w:cstheme="minorHAnsi"/>
          <w:color w:val="auto"/>
          <w:lang w:eastAsia="en-US"/>
        </w:rPr>
        <w:t xml:space="preserve"> endeavours to assess consumer outcomes at three-months post-treatment and have shown that benefits are maintained at follow up.</w:t>
      </w:r>
      <w:r w:rsidRPr="00457191">
        <w:rPr>
          <w:rFonts w:asciiTheme="minorHAnsi" w:hAnsiTheme="minorHAnsi" w:cstheme="minorHAnsi"/>
          <w:color w:val="auto"/>
          <w:lang w:eastAsia="en-US"/>
        </w:rPr>
        <w:fldChar w:fldCharType="begin"/>
      </w:r>
      <w:r w:rsidR="004469A2">
        <w:rPr>
          <w:rFonts w:asciiTheme="minorHAnsi" w:hAnsiTheme="minorHAnsi" w:cstheme="minorHAnsi"/>
          <w:color w:val="auto"/>
          <w:lang w:eastAsia="en-US"/>
        </w:rPr>
        <w:instrText xml:space="preserve"> ADDIN EN.CITE &lt;EndNote&gt;&lt;Cite&gt;&lt;Author&gt;Titov&lt;/Author&gt;&lt;Year&gt;2020&lt;/Year&gt;&lt;RecNum&gt;126&lt;/RecNum&gt;&lt;DisplayText&gt;&lt;style face="superscript"&gt;7&lt;/style&gt;&lt;/DisplayText&gt;&lt;record&gt;&lt;rec-number&gt;126&lt;/rec-number&gt;&lt;foreign-keys&gt;&lt;key app="EN" db-id="dawtr0zrkrzfa5edzzlpe2we0xa00t90vvr2" timestamp="1649816210"&gt;126&lt;/key&gt;&lt;/foreign-keys&gt;&lt;ref-type name="Journal Article"&gt;17&lt;/ref-type&gt;&lt;contributors&gt;&lt;authors&gt;&lt;author&gt;Titov, Nickolai&lt;/author&gt;&lt;author&gt;Dear, Blake F.&lt;/author&gt;&lt;author&gt;Nielssen, Olav&lt;/author&gt;&lt;author&gt;Wootton, Bethany&lt;/author&gt;&lt;author&gt;Kayrouz, Rony&lt;/author&gt;&lt;author&gt;Karin, Eyal&lt;/author&gt;&lt;author&gt;Genest, Ben&lt;/author&gt;&lt;author&gt;Bennett-Levy, James&lt;/author&gt;&lt;author&gt;Purtell, Carol&lt;/author&gt;&lt;author&gt;Bezuidenhout, Greg&lt;/author&gt;&lt;author&gt;Tan, Rheza&lt;/author&gt;&lt;author&gt;Minissale, Casey&lt;/author&gt;&lt;author&gt;Thadhani, Priti&lt;/author&gt;&lt;author&gt;Webb, Nick&lt;/author&gt;&lt;author&gt;Willcock, Simon&lt;/author&gt;&lt;author&gt;Andersson, Gerhard&lt;/author&gt;&lt;author&gt;Hadjistavropoulos, Heather D.&lt;/author&gt;&lt;author&gt;Mohr, David C.&lt;/author&gt;&lt;author&gt;Kavanagh, David J.&lt;/author&gt;&lt;author&gt;Cross, Shane&lt;/author&gt;&lt;author&gt;Staples, Lauren G.&lt;/author&gt;&lt;/authors&gt;&lt;/contributors&gt;&lt;titles&gt;&lt;title&gt;User characteristics and outcomes from a national digital mental health service: An observational study of registrants of the Australian MindSpot Clinic&lt;/title&gt;&lt;secondary-title&gt;The Lancet Digital Health&lt;/secondary-title&gt;&lt;/titles&gt;&lt;periodical&gt;&lt;full-title&gt;The Lancet Digital Health&lt;/full-title&gt;&lt;/periodical&gt;&lt;pages&gt;e582-e593&lt;/pages&gt;&lt;volume&gt;2&lt;/volume&gt;&lt;number&gt;11&lt;/number&gt;&lt;section&gt;e582&lt;/section&gt;&lt;dates&gt;&lt;year&gt;2020&lt;/year&gt;&lt;/dates&gt;&lt;isbn&gt;25897500&lt;/isbn&gt;&lt;urls&gt;&lt;/urls&gt;&lt;electronic-resource-num&gt;10.1016/s2589-7500(20)30224-7&lt;/electronic-resource-num&gt;&lt;/record&gt;&lt;/Cite&gt;&lt;/EndNote&gt;</w:instrText>
      </w:r>
      <w:r w:rsidRPr="00457191">
        <w:rPr>
          <w:rFonts w:asciiTheme="minorHAnsi" w:hAnsiTheme="minorHAnsi" w:cstheme="minorHAnsi"/>
          <w:color w:val="auto"/>
          <w:lang w:eastAsia="en-US"/>
        </w:rPr>
        <w:fldChar w:fldCharType="separate"/>
      </w:r>
      <w:r w:rsidR="004469A2" w:rsidRPr="004469A2">
        <w:rPr>
          <w:rFonts w:asciiTheme="minorHAnsi" w:hAnsiTheme="minorHAnsi" w:cstheme="minorHAnsi"/>
          <w:noProof/>
          <w:color w:val="auto"/>
          <w:vertAlign w:val="superscript"/>
          <w:lang w:eastAsia="en-US"/>
        </w:rPr>
        <w:t>7</w:t>
      </w:r>
      <w:r w:rsidRPr="00457191">
        <w:rPr>
          <w:rFonts w:asciiTheme="minorHAnsi" w:hAnsiTheme="minorHAnsi" w:cstheme="minorHAnsi"/>
          <w:color w:val="auto"/>
          <w:lang w:eastAsia="en-US"/>
        </w:rPr>
        <w:fldChar w:fldCharType="end"/>
      </w:r>
    </w:p>
    <w:p w14:paraId="0EB3464F" w14:textId="77777777" w:rsidR="00A9449D" w:rsidRPr="00457191" w:rsidRDefault="00A9449D" w:rsidP="00457191">
      <w:pPr>
        <w:pStyle w:val="Heading2"/>
        <w:numPr>
          <w:ilvl w:val="1"/>
          <w:numId w:val="142"/>
        </w:numPr>
        <w:spacing w:after="240"/>
        <w:rPr>
          <w:rFonts w:asciiTheme="minorHAnsi" w:hAnsiTheme="minorHAnsi" w:cstheme="minorHAnsi"/>
        </w:rPr>
      </w:pPr>
      <w:bookmarkStart w:id="309" w:name="_Toc108784909"/>
      <w:r w:rsidRPr="00457191">
        <w:rPr>
          <w:rFonts w:asciiTheme="minorHAnsi" w:hAnsiTheme="minorHAnsi" w:cstheme="minorHAnsi"/>
        </w:rPr>
        <w:t xml:space="preserve">KEQ 3: How cost effective </w:t>
      </w:r>
      <w:proofErr w:type="gramStart"/>
      <w:r w:rsidRPr="00457191">
        <w:rPr>
          <w:rFonts w:asciiTheme="minorHAnsi" w:hAnsiTheme="minorHAnsi" w:cstheme="minorHAnsi"/>
        </w:rPr>
        <w:t>are</w:t>
      </w:r>
      <w:proofErr w:type="gramEnd"/>
      <w:r w:rsidRPr="00457191">
        <w:rPr>
          <w:rFonts w:asciiTheme="minorHAnsi" w:hAnsiTheme="minorHAnsi" w:cstheme="minorHAnsi"/>
        </w:rPr>
        <w:t xml:space="preserve"> Australian Government funded supported online mental health treatment services compared with usual care?</w:t>
      </w:r>
      <w:bookmarkEnd w:id="309"/>
    </w:p>
    <w:p w14:paraId="0E9D1001"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DMHS routinely recorded or collected financial, service use and effectiveness data; resource use and costs data from our consumer surveys; and peer-reviewed literature on indirect usual care comparators contribute to addressing KEQ 3.</w:t>
      </w:r>
    </w:p>
    <w:p w14:paraId="3A7BBEE5" w14:textId="11360E66" w:rsidR="00A9449D" w:rsidRPr="00457191" w:rsidRDefault="00A9449D" w:rsidP="00457191">
      <w:pPr>
        <w:spacing w:after="240"/>
        <w:rPr>
          <w:rFonts w:asciiTheme="minorHAnsi" w:hAnsiTheme="minorHAnsi" w:cstheme="minorHAnsi"/>
          <w:iCs/>
          <w:sz w:val="21"/>
          <w:szCs w:val="21"/>
        </w:rPr>
      </w:pPr>
      <w:r w:rsidRPr="00457191">
        <w:rPr>
          <w:rFonts w:asciiTheme="minorHAnsi" w:hAnsiTheme="minorHAnsi" w:cstheme="minorHAnsi"/>
          <w:iCs/>
          <w:sz w:val="21"/>
          <w:szCs w:val="21"/>
        </w:rPr>
        <w:t xml:space="preserve">We summarised costs and cost-effectiveness of Mental Health Online, </w:t>
      </w:r>
      <w:proofErr w:type="spellStart"/>
      <w:r w:rsidRPr="00457191">
        <w:rPr>
          <w:rFonts w:asciiTheme="minorHAnsi" w:hAnsiTheme="minorHAnsi" w:cstheme="minorHAnsi"/>
          <w:iCs/>
          <w:sz w:val="21"/>
          <w:szCs w:val="21"/>
        </w:rPr>
        <w:t>MindSpot</w:t>
      </w:r>
      <w:proofErr w:type="spellEnd"/>
      <w:r w:rsidRPr="00457191">
        <w:rPr>
          <w:rFonts w:asciiTheme="minorHAnsi" w:hAnsiTheme="minorHAnsi" w:cstheme="minorHAnsi"/>
          <w:iCs/>
          <w:sz w:val="21"/>
          <w:szCs w:val="21"/>
        </w:rPr>
        <w:t xml:space="preserve"> and THIS WAY UP. The delivery costs of these services ranged from $52 to $99 per consumer for self-directed treatment and $21 to $362 per consumer for therapist-supported treatment. It is estimated that an additional 1,181 QALYs (that is an additional 1,181 years of life lived in full health) across one year was achieved through the treatments delivered by these services. Excluding productivity losses, the incremental cost-effectiveness ratios for self-guided treatment ranged from $887 to $32,354 per QALY, and for therapist-supported treatment from $96 to $35,062 per QALY. These ratios were lower than the standard willingness-to-pay threshold of $50,000 per QALY, which is commonly used to evaluate the cost-effectiveness of public health programs in Australia.</w:t>
      </w:r>
      <w:r w:rsidRPr="00457191">
        <w:rPr>
          <w:rFonts w:asciiTheme="minorHAnsi" w:hAnsiTheme="minorHAnsi" w:cstheme="minorHAnsi"/>
          <w:iCs/>
          <w:sz w:val="21"/>
          <w:szCs w:val="21"/>
        </w:rPr>
        <w:fldChar w:fldCharType="begin">
          <w:fldData xml:space="preserve">PEVuZE5vdGU+PENpdGU+PEF1dGhvcj5DYXJ0ZXI8L0F1dGhvcj48WWVhcj4yMDA4PC9ZZWFyPjxS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</w:fldData>
        </w:fldChar>
      </w:r>
      <w:r w:rsidR="004469A2">
        <w:rPr>
          <w:rFonts w:asciiTheme="minorHAnsi" w:hAnsiTheme="minorHAnsi" w:cstheme="minorHAnsi"/>
          <w:iCs/>
          <w:sz w:val="21"/>
          <w:szCs w:val="21"/>
        </w:rPr>
        <w:instrText xml:space="preserve"> ADDIN EN.CITE </w:instrText>
      </w:r>
      <w:r w:rsidR="004469A2">
        <w:rPr>
          <w:rFonts w:asciiTheme="minorHAnsi" w:hAnsiTheme="minorHAnsi" w:cstheme="minorHAnsi"/>
          <w:iCs/>
          <w:sz w:val="21"/>
          <w:szCs w:val="21"/>
        </w:rPr>
        <w:fldChar w:fldCharType="begin">
          <w:fldData xml:space="preserve">PEVuZE5vdGU+PENpdGU+PEF1dGhvcj5DYXJ0ZXI8L0F1dGhvcj48WWVhcj4yMDA4PC9ZZWFyPjxS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</w:fldData>
        </w:fldChar>
      </w:r>
      <w:r w:rsidR="004469A2">
        <w:rPr>
          <w:rFonts w:asciiTheme="minorHAnsi" w:hAnsiTheme="minorHAnsi" w:cstheme="minorHAnsi"/>
          <w:iCs/>
          <w:sz w:val="21"/>
          <w:szCs w:val="21"/>
        </w:rPr>
        <w:instrText xml:space="preserve"> ADDIN EN.CITE.DATA </w:instrText>
      </w:r>
      <w:r w:rsidR="004469A2">
        <w:rPr>
          <w:rFonts w:asciiTheme="minorHAnsi" w:hAnsiTheme="minorHAnsi" w:cstheme="minorHAnsi"/>
          <w:iCs/>
          <w:sz w:val="21"/>
          <w:szCs w:val="21"/>
        </w:rPr>
      </w:r>
      <w:r w:rsidR="004469A2">
        <w:rPr>
          <w:rFonts w:asciiTheme="minorHAnsi" w:hAnsiTheme="minorHAnsi" w:cstheme="minorHAnsi"/>
          <w:iCs/>
          <w:sz w:val="21"/>
          <w:szCs w:val="21"/>
        </w:rPr>
        <w:fldChar w:fldCharType="end"/>
      </w:r>
      <w:r w:rsidRPr="00457191">
        <w:rPr>
          <w:rFonts w:asciiTheme="minorHAnsi" w:hAnsiTheme="minorHAnsi" w:cstheme="minorHAnsi"/>
          <w:iCs/>
          <w:sz w:val="21"/>
          <w:szCs w:val="21"/>
        </w:rPr>
      </w:r>
      <w:r w:rsidRPr="00457191">
        <w:rPr>
          <w:rFonts w:asciiTheme="minorHAnsi" w:hAnsiTheme="minorHAnsi" w:cstheme="minorHAnsi"/>
          <w:iCs/>
          <w:sz w:val="21"/>
          <w:szCs w:val="21"/>
        </w:rPr>
        <w:fldChar w:fldCharType="separate"/>
      </w:r>
      <w:r w:rsidR="004469A2" w:rsidRPr="004469A2">
        <w:rPr>
          <w:rFonts w:asciiTheme="minorHAnsi" w:hAnsiTheme="minorHAnsi" w:cstheme="minorHAnsi"/>
          <w:iCs/>
          <w:noProof/>
          <w:sz w:val="21"/>
          <w:szCs w:val="21"/>
          <w:vertAlign w:val="superscript"/>
        </w:rPr>
        <w:t>13-15</w:t>
      </w:r>
      <w:r w:rsidRPr="00457191">
        <w:rPr>
          <w:rFonts w:asciiTheme="minorHAnsi" w:hAnsiTheme="minorHAnsi" w:cstheme="minorHAnsi"/>
          <w:iCs/>
          <w:sz w:val="21"/>
          <w:szCs w:val="21"/>
        </w:rPr>
        <w:fldChar w:fldCharType="end"/>
      </w:r>
    </w:p>
    <w:p w14:paraId="38572A70" w14:textId="12D2C942" w:rsidR="00A9449D" w:rsidRPr="00457191" w:rsidRDefault="00A9449D" w:rsidP="00457191">
      <w:pPr>
        <w:spacing w:after="240"/>
        <w:rPr>
          <w:rFonts w:asciiTheme="minorHAnsi" w:hAnsiTheme="minorHAnsi" w:cstheme="minorHAnsi"/>
          <w:iCs/>
          <w:sz w:val="21"/>
          <w:szCs w:val="21"/>
        </w:rPr>
      </w:pPr>
      <w:r w:rsidRPr="00457191">
        <w:rPr>
          <w:rFonts w:asciiTheme="minorHAnsi" w:hAnsiTheme="minorHAnsi" w:cstheme="minorHAnsi"/>
          <w:iCs/>
          <w:sz w:val="21"/>
          <w:szCs w:val="21"/>
        </w:rPr>
        <w:t>The results of our analyses show that DMHSs are cost effective compared to usual care (e.g., face-to-face treatment) for individuals with depression or anxiety symptoms who access treatment. When productivity impacts were taken into consideration, the DMHSs costed less and produced greater benefits than the indirect comparator groups (representing usual care). Our findings are in line with the recently released Productivity Commission Inquiry Report into Mental Health,</w:t>
      </w:r>
      <w:r w:rsidRPr="00457191">
        <w:rPr>
          <w:rFonts w:asciiTheme="minorHAnsi" w:hAnsiTheme="minorHAnsi" w:cstheme="minorHAnsi"/>
          <w:iCs/>
          <w:sz w:val="21"/>
          <w:szCs w:val="21"/>
        </w:rPr>
        <w:fldChar w:fldCharType="begin"/>
      </w:r>
      <w:r w:rsidR="00C178C5" w:rsidRPr="00457191">
        <w:rPr>
          <w:rFonts w:asciiTheme="minorHAnsi" w:hAnsiTheme="minorHAnsi" w:cstheme="minorHAnsi"/>
          <w:iCs/>
          <w:sz w:val="21"/>
          <w:szCs w:val="21"/>
        </w:rPr>
        <w:instrText xml:space="preserve"> ADDIN EN.CITE &lt;EndNote&gt;&lt;Cite&gt;&lt;Author&gt;Productivity Commission&lt;/Author&gt;&lt;Year&gt;2020&lt;/Year&gt;&lt;RecNum&gt;3&lt;/RecNum&gt;&lt;DisplayText&gt;&lt;style face="superscript"&gt;4&lt;/style&gt;&lt;/DisplayText&gt;&lt;record&gt;&lt;rec-number&gt;3&lt;/rec-number&gt;&lt;foreign-keys&gt;&lt;key app="EN" db-id="dawtr0zrkrzfa5edzzlpe2we0xa00t90vvr2" timestamp="1622894031"&gt;3&lt;/key&gt;&lt;/foreign-keys&gt;&lt;ref-type name="Government Document"&gt;46&lt;/ref-type&gt;&lt;contributors&gt;&lt;authors&gt;&lt;author&gt;Productivity Commission, &lt;/author&gt;&lt;/authors&gt;&lt;/contributors&gt;&lt;titles&gt;&lt;title&gt;Mental Health, Report no. 95 &lt;/title&gt;&lt;/titles&gt;&lt;dates&gt;&lt;year&gt;2020&lt;/year&gt;&lt;/dates&gt;&lt;pub-location&gt;Canberra&lt;/pub-location&gt;&lt;urls&gt;&lt;/urls&gt;&lt;/record&gt;&lt;/Cite&gt;&lt;/EndNote&gt;</w:instrText>
      </w:r>
      <w:r w:rsidRPr="00457191">
        <w:rPr>
          <w:rFonts w:asciiTheme="minorHAnsi" w:hAnsiTheme="minorHAnsi" w:cstheme="minorHAnsi"/>
          <w:iCs/>
          <w:sz w:val="21"/>
          <w:szCs w:val="21"/>
        </w:rPr>
        <w:fldChar w:fldCharType="separate"/>
      </w:r>
      <w:r w:rsidR="00C178C5" w:rsidRPr="00457191">
        <w:rPr>
          <w:rFonts w:asciiTheme="minorHAnsi" w:hAnsiTheme="minorHAnsi" w:cstheme="minorHAnsi"/>
          <w:iCs/>
          <w:noProof/>
          <w:sz w:val="21"/>
          <w:szCs w:val="21"/>
          <w:vertAlign w:val="superscript"/>
        </w:rPr>
        <w:t>4</w:t>
      </w:r>
      <w:r w:rsidRPr="00457191">
        <w:rPr>
          <w:rFonts w:asciiTheme="minorHAnsi" w:hAnsiTheme="minorHAnsi" w:cstheme="minorHAnsi"/>
          <w:iCs/>
          <w:sz w:val="21"/>
          <w:szCs w:val="21"/>
        </w:rPr>
        <w:fldChar w:fldCharType="end"/>
      </w:r>
      <w:r w:rsidRPr="00457191">
        <w:rPr>
          <w:rFonts w:asciiTheme="minorHAnsi" w:hAnsiTheme="minorHAnsi" w:cstheme="minorHAnsi"/>
          <w:iCs/>
          <w:sz w:val="21"/>
          <w:szCs w:val="21"/>
        </w:rPr>
        <w:t xml:space="preserve"> which presented evidence that online-based treatments such as the DMHSs can be cost-saving. In particular, the report highlighted that “</w:t>
      </w:r>
      <w:proofErr w:type="spellStart"/>
      <w:r w:rsidRPr="00457191">
        <w:rPr>
          <w:rFonts w:asciiTheme="minorHAnsi" w:hAnsiTheme="minorHAnsi" w:cstheme="minorHAnsi"/>
          <w:iCs/>
          <w:sz w:val="21"/>
          <w:szCs w:val="21"/>
        </w:rPr>
        <w:t>MindSpot</w:t>
      </w:r>
      <w:proofErr w:type="spellEnd"/>
      <w:r w:rsidRPr="00457191">
        <w:rPr>
          <w:rFonts w:asciiTheme="minorHAnsi" w:hAnsiTheme="minorHAnsi" w:cstheme="minorHAnsi"/>
          <w:iCs/>
          <w:sz w:val="21"/>
          <w:szCs w:val="21"/>
        </w:rPr>
        <w:t xml:space="preserve"> treatment for people with mild to moderate symptoms of depression and anxiety costed less than the comparison group (minimum adequate treatment in usual routine care) with an increase in quality-adjusted life years.”</w:t>
      </w:r>
    </w:p>
    <w:p w14:paraId="0303DCF6" w14:textId="2BA8625C" w:rsidR="00A9449D" w:rsidRPr="00457191" w:rsidRDefault="00A9449D" w:rsidP="00457191">
      <w:pPr>
        <w:spacing w:after="240"/>
        <w:rPr>
          <w:rFonts w:asciiTheme="minorHAnsi" w:hAnsiTheme="minorHAnsi" w:cstheme="minorHAnsi"/>
          <w:iCs/>
          <w:sz w:val="21"/>
          <w:szCs w:val="21"/>
        </w:rPr>
      </w:pPr>
      <w:r w:rsidRPr="00457191">
        <w:rPr>
          <w:rFonts w:asciiTheme="minorHAnsi" w:hAnsiTheme="minorHAnsi" w:cstheme="minorHAnsi"/>
          <w:iCs/>
          <w:sz w:val="21"/>
          <w:szCs w:val="21"/>
        </w:rPr>
        <w:t>Our results support findings from the meta-review we conducted as part of the evaluation and are also consistent with previously published international evidence, including systematic reviews and meta-analyses.</w:t>
      </w:r>
      <w:r w:rsidRPr="00457191">
        <w:rPr>
          <w:rFonts w:asciiTheme="minorHAnsi" w:hAnsiTheme="minorHAnsi" w:cstheme="minorHAnsi"/>
          <w:iCs/>
          <w:sz w:val="21"/>
          <w:szCs w:val="21"/>
        </w:rPr>
        <w:fldChar w:fldCharType="begin">
          <w:fldData xml:space="preserve">PEVuZE5vdGU+PENpdGU+PEF1dGhvcj5IZWRtYW48L0F1dGhvcj48WWVhcj4yMDEyPC9ZZWFyPjxS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==
</w:fldData>
        </w:fldChar>
      </w:r>
      <w:r w:rsidR="004469A2">
        <w:rPr>
          <w:rFonts w:asciiTheme="minorHAnsi" w:hAnsiTheme="minorHAnsi" w:cstheme="minorHAnsi"/>
          <w:iCs/>
          <w:sz w:val="21"/>
          <w:szCs w:val="21"/>
        </w:rPr>
        <w:instrText xml:space="preserve"> ADDIN EN.CITE </w:instrText>
      </w:r>
      <w:r w:rsidR="004469A2">
        <w:rPr>
          <w:rFonts w:asciiTheme="minorHAnsi" w:hAnsiTheme="minorHAnsi" w:cstheme="minorHAnsi"/>
          <w:iCs/>
          <w:sz w:val="21"/>
          <w:szCs w:val="21"/>
        </w:rPr>
        <w:fldChar w:fldCharType="begin">
          <w:fldData xml:space="preserve">PEVuZE5vdGU+PENpdGU+PEF1dGhvcj5IZWRtYW48L0F1dGhvcj48WWVhcj4yMDEyPC9ZZWFyPjxS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==
</w:fldData>
        </w:fldChar>
      </w:r>
      <w:r w:rsidR="004469A2">
        <w:rPr>
          <w:rFonts w:asciiTheme="minorHAnsi" w:hAnsiTheme="minorHAnsi" w:cstheme="minorHAnsi"/>
          <w:iCs/>
          <w:sz w:val="21"/>
          <w:szCs w:val="21"/>
        </w:rPr>
        <w:instrText xml:space="preserve"> ADDIN EN.CITE.DATA </w:instrText>
      </w:r>
      <w:r w:rsidR="004469A2">
        <w:rPr>
          <w:rFonts w:asciiTheme="minorHAnsi" w:hAnsiTheme="minorHAnsi" w:cstheme="minorHAnsi"/>
          <w:iCs/>
          <w:sz w:val="21"/>
          <w:szCs w:val="21"/>
        </w:rPr>
      </w:r>
      <w:r w:rsidR="004469A2">
        <w:rPr>
          <w:rFonts w:asciiTheme="minorHAnsi" w:hAnsiTheme="minorHAnsi" w:cstheme="minorHAnsi"/>
          <w:iCs/>
          <w:sz w:val="21"/>
          <w:szCs w:val="21"/>
        </w:rPr>
        <w:fldChar w:fldCharType="end"/>
      </w:r>
      <w:r w:rsidRPr="00457191">
        <w:rPr>
          <w:rFonts w:asciiTheme="minorHAnsi" w:hAnsiTheme="minorHAnsi" w:cstheme="minorHAnsi"/>
          <w:iCs/>
          <w:sz w:val="21"/>
          <w:szCs w:val="21"/>
        </w:rPr>
      </w:r>
      <w:r w:rsidRPr="00457191">
        <w:rPr>
          <w:rFonts w:asciiTheme="minorHAnsi" w:hAnsiTheme="minorHAnsi" w:cstheme="minorHAnsi"/>
          <w:iCs/>
          <w:sz w:val="21"/>
          <w:szCs w:val="21"/>
        </w:rPr>
        <w:fldChar w:fldCharType="separate"/>
      </w:r>
      <w:r w:rsidR="004469A2" w:rsidRPr="004469A2">
        <w:rPr>
          <w:rFonts w:asciiTheme="minorHAnsi" w:hAnsiTheme="minorHAnsi" w:cstheme="minorHAnsi"/>
          <w:iCs/>
          <w:noProof/>
          <w:sz w:val="21"/>
          <w:szCs w:val="21"/>
          <w:vertAlign w:val="superscript"/>
        </w:rPr>
        <w:t>16-19</w:t>
      </w:r>
      <w:r w:rsidRPr="00457191">
        <w:rPr>
          <w:rFonts w:asciiTheme="minorHAnsi" w:hAnsiTheme="minorHAnsi" w:cstheme="minorHAnsi"/>
          <w:iCs/>
          <w:sz w:val="21"/>
          <w:szCs w:val="21"/>
        </w:rPr>
        <w:fldChar w:fldCharType="end"/>
      </w:r>
      <w:r w:rsidRPr="00457191">
        <w:rPr>
          <w:rFonts w:asciiTheme="minorHAnsi" w:hAnsiTheme="minorHAnsi" w:cstheme="minorHAnsi"/>
          <w:iCs/>
          <w:sz w:val="21"/>
          <w:szCs w:val="21"/>
        </w:rPr>
        <w:t xml:space="preserve"> For example, </w:t>
      </w:r>
      <w:r w:rsidRPr="00457191">
        <w:rPr>
          <w:rFonts w:asciiTheme="minorHAnsi" w:hAnsiTheme="minorHAnsi" w:cstheme="minorHAnsi"/>
          <w:sz w:val="21"/>
          <w:szCs w:val="21"/>
        </w:rPr>
        <w:t>the most recent systematic review on the economic evaluations of digital mental health interventions for anxiety and depressive disorders found 81% of the included studies concluded that the interventions evaluated were cost-effective compared to their respective control condition (e.g., treatment as usual, waitlist, another online intervention).</w:t>
      </w:r>
      <w:r w:rsidRPr="00457191">
        <w:rPr>
          <w:rFonts w:asciiTheme="minorHAnsi" w:hAnsiTheme="minorHAnsi" w:cstheme="minorHAnsi"/>
          <w:sz w:val="21"/>
          <w:szCs w:val="21"/>
        </w:rPr>
        <w:fldChar w:fldCharType="begin"/>
      </w:r>
      <w:r w:rsidR="004469A2">
        <w:rPr>
          <w:rFonts w:asciiTheme="minorHAnsi" w:hAnsiTheme="minorHAnsi" w:cstheme="minorHAnsi"/>
          <w:sz w:val="21"/>
          <w:szCs w:val="21"/>
        </w:rPr>
        <w:instrText xml:space="preserve"> ADDIN EN.CITE &lt;EndNote&gt;&lt;Cite&gt;&lt;Author&gt;Mitchell&lt;/Author&gt;&lt;Year&gt;2021&lt;/Year&gt;&lt;RecNum&gt;63&lt;/RecNum&gt;&lt;DisplayText&gt;&lt;style face="superscript"&gt;20&lt;/style&gt;&lt;/DisplayText&gt;&lt;record&gt;&lt;rec-number&gt;63&lt;/rec-number&gt;&lt;foreign-keys&gt;&lt;key app="EN" db-id="dawtr0zrkrzfa5edzzlpe2we0xa00t90vvr2" timestamp="1630903631"&gt;63&lt;/key&gt;&lt;/foreign-keys&gt;&lt;ref-type name="Journal Article"&gt;17&lt;/ref-type&gt;&lt;contributors&gt;&lt;authors&gt;&lt;author&gt;Mitchell, Lauren M.&lt;/author&gt;&lt;author&gt;Joshi, Udita&lt;/author&gt;&lt;author&gt;Patel, Vikram&lt;/author&gt;&lt;author&gt;Lu, Chunling&lt;/author&gt;&lt;author&gt;Naslund, John A.&lt;/author&gt;&lt;/authors&gt;&lt;/contributors&gt;&lt;titles&gt;&lt;title&gt;Economic Evaluations of Internet-Based Psychological Interventions for Anxiety Disorders and Depression: A Systematic Review&lt;/title&gt;&lt;secondary-title&gt;Journal of Affective Disorders&lt;/secondary-title&gt;&lt;/titles&gt;&lt;periodical&gt;&lt;full-title&gt;Journal of Affective Disorders&lt;/full-title&gt;&lt;/periodical&gt;&lt;pages&gt;157-182&lt;/pages&gt;&lt;volume&gt;284&lt;/volume&gt;&lt;dates&gt;&lt;year&gt;2021&lt;/year&gt;&lt;pub-dates&gt;&lt;date&gt;2021/04/01/&lt;/date&gt;&lt;/pub-dates&gt;&lt;/dates&gt;&lt;isbn&gt;0165-0327&lt;/isbn&gt;&lt;urls&gt;&lt;related-urls&gt;&lt;url&gt;https://www.sciencedirect.com/science/article/pii/S0165032721001336&lt;/url&gt;&lt;/related-urls&gt;&lt;/urls&gt;&lt;electronic-resource-num&gt;https://doi.org/10.1016/j.jad.2021.01.092&lt;/electronic-resource-num&gt;&lt;/record&gt;&lt;/Cite&gt;&lt;/EndNote&gt;</w:instrText>
      </w:r>
      <w:r w:rsidRPr="00457191">
        <w:rPr>
          <w:rFonts w:asciiTheme="minorHAnsi" w:hAnsiTheme="minorHAnsi" w:cstheme="minorHAnsi"/>
          <w:sz w:val="21"/>
          <w:szCs w:val="21"/>
        </w:rPr>
        <w:fldChar w:fldCharType="separate"/>
      </w:r>
      <w:r w:rsidR="004469A2" w:rsidRPr="004469A2">
        <w:rPr>
          <w:rFonts w:asciiTheme="minorHAnsi" w:hAnsiTheme="minorHAnsi" w:cstheme="minorHAnsi"/>
          <w:noProof/>
          <w:sz w:val="21"/>
          <w:szCs w:val="21"/>
          <w:vertAlign w:val="superscript"/>
        </w:rPr>
        <w:t>20</w:t>
      </w:r>
      <w:r w:rsidRPr="00457191">
        <w:rPr>
          <w:rFonts w:asciiTheme="minorHAnsi" w:hAnsiTheme="minorHAnsi" w:cstheme="minorHAnsi"/>
          <w:sz w:val="21"/>
          <w:szCs w:val="21"/>
        </w:rPr>
        <w:fldChar w:fldCharType="end"/>
      </w:r>
      <w:r w:rsidRPr="00457191">
        <w:rPr>
          <w:rFonts w:asciiTheme="minorHAnsi" w:hAnsiTheme="minorHAnsi" w:cstheme="minorHAnsi"/>
          <w:sz w:val="21"/>
          <w:szCs w:val="21"/>
        </w:rPr>
        <w:t xml:space="preserve"> In addition, there were several studies based in Australia that have reported the cost-effectiveness of digital-based mental health treatments for older adults with depression and anxiety symptoms when compared to a delayed-treatment waitlist control group.</w:t>
      </w:r>
      <w:r w:rsidRPr="00457191">
        <w:rPr>
          <w:rFonts w:asciiTheme="minorHAnsi" w:hAnsiTheme="minorHAnsi" w:cstheme="minorHAnsi"/>
          <w:sz w:val="21"/>
          <w:szCs w:val="21"/>
        </w:rPr>
        <w:fldChar w:fldCharType="begin">
          <w:fldData xml:space="preserve">PEVuZE5vdGU+PENpdGU+PEF1dGhvcj5EZWFyPC9BdXRob3I+PFllYXI+MjAxNTwvWWVhcj48UmVj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</w:fldData>
        </w:fldChar>
      </w:r>
      <w:r w:rsidR="004469A2">
        <w:rPr>
          <w:rFonts w:asciiTheme="minorHAnsi" w:hAnsiTheme="minorHAnsi" w:cstheme="minorHAnsi"/>
          <w:sz w:val="21"/>
          <w:szCs w:val="21"/>
        </w:rPr>
        <w:instrText xml:space="preserve"> ADDIN EN.CITE </w:instrText>
      </w:r>
      <w:r w:rsidR="004469A2">
        <w:rPr>
          <w:rFonts w:asciiTheme="minorHAnsi" w:hAnsiTheme="minorHAnsi" w:cstheme="minorHAnsi"/>
          <w:sz w:val="21"/>
          <w:szCs w:val="21"/>
        </w:rPr>
        <w:fldChar w:fldCharType="begin">
          <w:fldData xml:space="preserve">PEVuZE5vdGU+PENpdGU+PEF1dGhvcj5EZWFyPC9BdXRob3I+PFllYXI+MjAxNTwvWWVhcj48UmVj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</w:fldData>
        </w:fldChar>
      </w:r>
      <w:r w:rsidR="004469A2">
        <w:rPr>
          <w:rFonts w:asciiTheme="minorHAnsi" w:hAnsiTheme="minorHAnsi" w:cstheme="minorHAnsi"/>
          <w:sz w:val="21"/>
          <w:szCs w:val="21"/>
        </w:rPr>
        <w:instrText xml:space="preserve"> ADDIN EN.CITE.DATA </w:instrText>
      </w:r>
      <w:r w:rsidR="004469A2">
        <w:rPr>
          <w:rFonts w:asciiTheme="minorHAnsi" w:hAnsiTheme="minorHAnsi" w:cstheme="minorHAnsi"/>
          <w:sz w:val="21"/>
          <w:szCs w:val="21"/>
        </w:rPr>
      </w:r>
      <w:r w:rsidR="004469A2">
        <w:rPr>
          <w:rFonts w:asciiTheme="minorHAnsi" w:hAnsiTheme="minorHAnsi" w:cstheme="minorHAnsi"/>
          <w:sz w:val="21"/>
          <w:szCs w:val="21"/>
        </w:rPr>
        <w:fldChar w:fldCharType="end"/>
      </w:r>
      <w:r w:rsidRPr="00457191">
        <w:rPr>
          <w:rFonts w:asciiTheme="minorHAnsi" w:hAnsiTheme="minorHAnsi" w:cstheme="minorHAnsi"/>
          <w:sz w:val="21"/>
          <w:szCs w:val="21"/>
        </w:rPr>
      </w:r>
      <w:r w:rsidRPr="00457191">
        <w:rPr>
          <w:rFonts w:asciiTheme="minorHAnsi" w:hAnsiTheme="minorHAnsi" w:cstheme="minorHAnsi"/>
          <w:sz w:val="21"/>
          <w:szCs w:val="21"/>
        </w:rPr>
        <w:fldChar w:fldCharType="separate"/>
      </w:r>
      <w:r w:rsidR="004469A2" w:rsidRPr="004469A2">
        <w:rPr>
          <w:rFonts w:asciiTheme="minorHAnsi" w:hAnsiTheme="minorHAnsi" w:cstheme="minorHAnsi"/>
          <w:noProof/>
          <w:sz w:val="21"/>
          <w:szCs w:val="21"/>
          <w:vertAlign w:val="superscript"/>
        </w:rPr>
        <w:t>21, 22</w:t>
      </w:r>
      <w:r w:rsidRPr="00457191">
        <w:rPr>
          <w:rFonts w:asciiTheme="minorHAnsi" w:hAnsiTheme="minorHAnsi" w:cstheme="minorHAnsi"/>
          <w:sz w:val="21"/>
          <w:szCs w:val="21"/>
        </w:rPr>
        <w:fldChar w:fldCharType="end"/>
      </w:r>
    </w:p>
    <w:p w14:paraId="46408DC7" w14:textId="2B2F34DB" w:rsidR="00A9449D" w:rsidRPr="00457191" w:rsidRDefault="00A9449D" w:rsidP="00457191">
      <w:pPr>
        <w:spacing w:after="240"/>
        <w:rPr>
          <w:rFonts w:asciiTheme="minorHAnsi" w:hAnsiTheme="minorHAnsi" w:cstheme="minorHAnsi"/>
          <w:iCs/>
          <w:sz w:val="21"/>
          <w:szCs w:val="21"/>
        </w:rPr>
      </w:pPr>
      <w:r w:rsidRPr="00457191">
        <w:rPr>
          <w:rFonts w:asciiTheme="minorHAnsi" w:hAnsiTheme="minorHAnsi" w:cstheme="minorHAnsi"/>
          <w:iCs/>
          <w:sz w:val="21"/>
          <w:szCs w:val="21"/>
        </w:rPr>
        <w:t>Our economic evaluation of DMHSs involved constructing a simple decision tree model with four health states (fully recovered, partially recovered, no improvement, deteriorated) for people with either depression and/or anxiety symptoms. In addition to QALY gains, the provision of DMHSs also led to considerable improvement in health states for individuals. Using just one of the DMHSs as an example, our modelling results suggest that an additional 3,580 fully recovered and 1,582 partially recovered cases were achieved from therapist-supported treatment by THIS WAY UP compared to usual care. There are also likely to be economies of scale in the service provision by the DMHSs as evidenced by their generally lower cost of assessment per individual (ranging from $1.10 to $113.30) compared to a standard face-to-face assessment with a psychologist ($154 per visit based on the Australian Psychological Society National Schedule of Recommended Fees or $110 per visit based on Medicare Benefit Schedule fee).</w:t>
      </w:r>
      <w:r w:rsidRPr="00457191">
        <w:rPr>
          <w:rFonts w:asciiTheme="minorHAnsi" w:hAnsiTheme="minorHAnsi" w:cstheme="minorHAnsi"/>
          <w:iCs/>
          <w:sz w:val="21"/>
          <w:szCs w:val="21"/>
        </w:rPr>
        <w:fldChar w:fldCharType="begin"/>
      </w:r>
      <w:r w:rsidR="004469A2">
        <w:rPr>
          <w:rFonts w:asciiTheme="minorHAnsi" w:hAnsiTheme="minorHAnsi" w:cstheme="minorHAnsi"/>
          <w:iCs/>
          <w:sz w:val="21"/>
          <w:szCs w:val="21"/>
        </w:rPr>
        <w:instrText xml:space="preserve"> ADDIN EN.CITE &lt;EndNote&gt;&lt;Cite&gt;&lt;Author&gt;Australian Government&lt;/Author&gt;&lt;Year&gt;2021&lt;/Year&gt;&lt;RecNum&gt;161&lt;/RecNum&gt;&lt;DisplayText&gt;&lt;style face="superscript"&gt;23&lt;/style&gt;&lt;/DisplayText&gt;&lt;record&gt;&lt;rec-number&gt;161&lt;/rec-number&gt;&lt;foreign-keys&gt;&lt;key app="EN" db-id="dawtr0zrkrzfa5edzzlpe2we0xa00t90vvr2" timestamp="1654857346"&gt;161&lt;/key&gt;&lt;/foreign-keys&gt;&lt;ref-type name="Web Page"&gt;12&lt;/ref-type&gt;&lt;contributors&gt;&lt;authors&gt;&lt;author&gt;Australian Government,&lt;/author&gt;&lt;/authors&gt;&lt;/contributors&gt;&lt;titles&gt;&lt;title&gt;Medicare Australia Statistics, Medicare Item Reports 2021&lt;/title&gt;&lt;/titles&gt;&lt;volume&gt;2022&lt;/volume&gt;&lt;number&gt;17 May 2022&lt;/number&gt;&lt;dates&gt;&lt;year&gt;2021&lt;/year&gt;&lt;/dates&gt;&lt;publisher&gt;Australian Government&lt;/publisher&gt;&lt;urls&gt;&lt;related-urls&gt;&lt;url&gt;http://medicarestatistics.humanservices.gov.au/statistics/mbs_item.jsp.&lt;/url&gt;&lt;/related-urls&gt;&lt;/urls&gt;&lt;/record&gt;&lt;/Cite&gt;&lt;/EndNote&gt;</w:instrText>
      </w:r>
      <w:r w:rsidRPr="00457191">
        <w:rPr>
          <w:rFonts w:asciiTheme="minorHAnsi" w:hAnsiTheme="minorHAnsi" w:cstheme="minorHAnsi"/>
          <w:iCs/>
          <w:sz w:val="21"/>
          <w:szCs w:val="21"/>
        </w:rPr>
        <w:fldChar w:fldCharType="separate"/>
      </w:r>
      <w:r w:rsidR="004469A2" w:rsidRPr="004469A2">
        <w:rPr>
          <w:rFonts w:asciiTheme="minorHAnsi" w:hAnsiTheme="minorHAnsi" w:cstheme="minorHAnsi"/>
          <w:iCs/>
          <w:noProof/>
          <w:sz w:val="21"/>
          <w:szCs w:val="21"/>
          <w:vertAlign w:val="superscript"/>
        </w:rPr>
        <w:t>23</w:t>
      </w:r>
      <w:r w:rsidRPr="00457191">
        <w:rPr>
          <w:rFonts w:asciiTheme="minorHAnsi" w:hAnsiTheme="minorHAnsi" w:cstheme="minorHAnsi"/>
          <w:iCs/>
          <w:sz w:val="21"/>
          <w:szCs w:val="21"/>
        </w:rPr>
        <w:fldChar w:fldCharType="end"/>
      </w:r>
    </w:p>
    <w:p w14:paraId="358BDEEB" w14:textId="77777777" w:rsidR="00A9449D" w:rsidRPr="00457191" w:rsidRDefault="00A9449D" w:rsidP="00457191">
      <w:pPr>
        <w:spacing w:after="240"/>
        <w:rPr>
          <w:rFonts w:asciiTheme="minorHAnsi" w:hAnsiTheme="minorHAnsi" w:cstheme="minorHAnsi"/>
          <w:iCs/>
          <w:sz w:val="21"/>
          <w:szCs w:val="21"/>
        </w:rPr>
      </w:pPr>
      <w:r w:rsidRPr="00457191">
        <w:rPr>
          <w:rFonts w:asciiTheme="minorHAnsi" w:hAnsiTheme="minorHAnsi" w:cstheme="minorHAnsi"/>
          <w:iCs/>
          <w:sz w:val="21"/>
          <w:szCs w:val="21"/>
        </w:rPr>
        <w:t>The relatively low cost of implementing the DMHSs is indicative of the efficiency of funding and resource use by these services. Consumers also incurred little to no cost when accessing the services offered by the DMHSs, thus, improving the affordability of mental health treatment. Low-cost therapist-supported online treatment provides an alternative to consumers who may not be able to afford the out-of-pocket costs associated with regular face-to-face consultations.</w:t>
      </w:r>
    </w:p>
    <w:p w14:paraId="51F39CC2" w14:textId="77777777" w:rsidR="00A9449D" w:rsidRPr="00457191" w:rsidRDefault="00A9449D" w:rsidP="00457191">
      <w:pPr>
        <w:spacing w:after="240"/>
        <w:rPr>
          <w:rStyle w:val="eop"/>
          <w:rFonts w:asciiTheme="minorHAnsi" w:hAnsiTheme="minorHAnsi" w:cstheme="minorHAnsi"/>
          <w:sz w:val="21"/>
          <w:szCs w:val="21"/>
        </w:rPr>
      </w:pPr>
      <w:r w:rsidRPr="00457191">
        <w:rPr>
          <w:rFonts w:asciiTheme="minorHAnsi" w:hAnsiTheme="minorHAnsi" w:cstheme="minorHAnsi"/>
          <w:sz w:val="21"/>
          <w:szCs w:val="21"/>
        </w:rPr>
        <w:lastRenderedPageBreak/>
        <w:t xml:space="preserve">Overall, our modelled economic evaluation analysis has shown that the provision of diverse online mental health treatment services (i.e., Mental Health Online, </w:t>
      </w:r>
      <w:proofErr w:type="spellStart"/>
      <w:r w:rsidRPr="00457191">
        <w:rPr>
          <w:rFonts w:asciiTheme="minorHAnsi" w:hAnsiTheme="minorHAnsi" w:cstheme="minorHAnsi"/>
          <w:sz w:val="21"/>
          <w:szCs w:val="21"/>
        </w:rPr>
        <w:t>MindSpot</w:t>
      </w:r>
      <w:proofErr w:type="spellEnd"/>
      <w:r w:rsidRPr="00457191">
        <w:rPr>
          <w:rFonts w:asciiTheme="minorHAnsi" w:hAnsiTheme="minorHAnsi" w:cstheme="minorHAnsi"/>
          <w:sz w:val="21"/>
          <w:szCs w:val="21"/>
        </w:rPr>
        <w:t>, THIS WAY UP) is generally low-cost and likely cost effective. When considered together with the findings from our previous two-stage pragmatic review of local and international evidence, there is good evidence to suggest that treatment delivered by these online-based services is likely to be cost-effective compared with usual care across different settings, population groups and policy contexts. Therefore, in addition to improving clinical outcomes, DMHSs have the potential to be good value for money.</w:t>
      </w:r>
    </w:p>
    <w:p w14:paraId="09D1B1F2" w14:textId="77777777" w:rsidR="00A9449D" w:rsidRPr="00457191" w:rsidRDefault="00A9449D" w:rsidP="00457191">
      <w:pPr>
        <w:pStyle w:val="Heading2"/>
        <w:numPr>
          <w:ilvl w:val="1"/>
          <w:numId w:val="142"/>
        </w:numPr>
        <w:spacing w:after="240"/>
        <w:rPr>
          <w:rFonts w:asciiTheme="minorHAnsi" w:hAnsiTheme="minorHAnsi" w:cstheme="minorHAnsi"/>
        </w:rPr>
      </w:pPr>
      <w:bookmarkStart w:id="310" w:name="_Toc108784910"/>
      <w:r w:rsidRPr="00457191">
        <w:rPr>
          <w:rFonts w:asciiTheme="minorHAnsi" w:hAnsiTheme="minorHAnsi" w:cstheme="minorHAnsi"/>
        </w:rPr>
        <w:t>KEQ 4: How effective are supported online mental health treatment services for consumers and health providers?</w:t>
      </w:r>
      <w:bookmarkEnd w:id="310"/>
    </w:p>
    <w:p w14:paraId="4CA440DE"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Data from our stakeholder consultations contribute to addressing KEQ 4. Specifically, stakeholders consulted included DMHS consumers and providers; people with lived experience of mental health problems and additional health professionals (with or without experience of DMHSs) and other key mental health sector representatives.</w:t>
      </w:r>
    </w:p>
    <w:p w14:paraId="54596814" w14:textId="77777777" w:rsidR="00A9449D" w:rsidRPr="00457191" w:rsidRDefault="00A9449D" w:rsidP="00F7605E">
      <w:pPr>
        <w:pStyle w:val="Heading3"/>
      </w:pPr>
      <w:r w:rsidRPr="00457191">
        <w:t>Consumer access enablers and barriers</w:t>
      </w:r>
    </w:p>
    <w:p w14:paraId="04FAA288"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Enablers to consumer access mentioned by people with lived experience of mental health problems related to the digital nature of service delivery and benefits conferred by the therapist support component (Section 7).</w:t>
      </w:r>
    </w:p>
    <w:p w14:paraId="1E39F807"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 xml:space="preserve">The modality of service delivery was thought to provide more timely access, reduce waitlists for face-to-face services, and be particularly useful for groups who may struggle to access other services, such as people with disabilities or people in rural areas with </w:t>
      </w:r>
      <w:proofErr w:type="gramStart"/>
      <w:r w:rsidRPr="00457191">
        <w:rPr>
          <w:rFonts w:asciiTheme="minorHAnsi" w:hAnsiTheme="minorHAnsi" w:cstheme="minorHAnsi"/>
        </w:rPr>
        <w:t>limited service</w:t>
      </w:r>
      <w:proofErr w:type="gramEnd"/>
      <w:r w:rsidRPr="00457191">
        <w:rPr>
          <w:rFonts w:asciiTheme="minorHAnsi" w:hAnsiTheme="minorHAnsi" w:cstheme="minorHAnsi"/>
        </w:rPr>
        <w:t xml:space="preserve"> availability. Not needing to travel to appointments, and the additional layer of safety during the COVID-19 pandemic were also mentioned as key to the accessibility DMHSs offered. Similarly, DMHS consumer and provider stakeholders indicated that DMHS services reduce barriers to care by improving access, making care affordable and convenient, and reducing waitlist and the stigma associated with mental health care (Sections 5 and 6).</w:t>
      </w:r>
    </w:p>
    <w:p w14:paraId="30ECD5FF"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The therapist support component was described as good for motivation and adherence to the program. Participants felt that compared with self-directed programs, having a therapist helped with comprehension of material, personalisation of content to their own needs, validation of their progress and increase accountability. Some people also commented that compared with face-to-face services, they had experienced the support offered through DMHSs to be less judgemental, which increased their comfort with seeking help. They suggested that supported DMHSs may therefore be more appealing to people who would not normally seek help from face-to-face services.</w:t>
      </w:r>
    </w:p>
    <w:p w14:paraId="08DA6CFC"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 xml:space="preserve">The most common barriers to people using supported DMHSs were related to the modality of service delivery: lack of technology and/or internet access and challenges in digital or internet literacy. Some people also thought that, compared with face-to-face services, supported DMHSs were impersonal and made it difficult to establish rapport. This was particularly thought to be an issue for marginalised communities for whom strong relationships may be core to success, and the lack of peer-led services was noted here. </w:t>
      </w:r>
    </w:p>
    <w:p w14:paraId="3E93AEC1"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The other major barrier discussed was the complexity of the sites. Participants expressed concern about the amount of text on the sites, and challenges with navigation, particularly for people with low literacy or English as a second language. Although the support to access the sites and understand material was one of the main strengths, concern was expressed about service users with literacy or language challenges being the most likely to experience the technology and relationship barriers, and therefore less likely to benefit from the supported aspect of the sites.</w:t>
      </w:r>
    </w:p>
    <w:p w14:paraId="42A3E639"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 xml:space="preserve">The final key barrier related to lived experience and other stakeholder perceptions about the suitability and effectiveness of DMHSs for certain groups (Sections 5-9), including a lack of trust in DMHSs and privacy concerns. For example, lived experience stakeholders thought that supported DMHSs were more likely to be suitable for young people, and were possibly an effective solution for groups facing access issues such as where there may be a shortage of other specialist help, or for those with stigma for help-seeking. Finally, in response to our questions </w:t>
      </w:r>
      <w:r w:rsidRPr="00457191">
        <w:rPr>
          <w:rFonts w:asciiTheme="minorHAnsi" w:hAnsiTheme="minorHAnsi" w:cstheme="minorHAnsi"/>
        </w:rPr>
        <w:lastRenderedPageBreak/>
        <w:t xml:space="preserve">about the suitability of DMHSs for certain groups and mental health symptom severity, all stakeholder groups that DMHSs are not suitable for people with severe symptoms or complex needs, nor were these services suitable for crisis support. They also expressed that DMHSs did not adequately cater to the needs of several minority or disadvantaged groups such as Indigenous peoples, people from CALD backgrounds and </w:t>
      </w:r>
      <w:r w:rsidRPr="00457191">
        <w:rPr>
          <w:rFonts w:asciiTheme="minorHAnsi" w:hAnsiTheme="minorHAnsi" w:cstheme="minorHAnsi"/>
          <w:lang w:eastAsia="en-AU"/>
        </w:rPr>
        <w:t>LGBTQIA+</w:t>
      </w:r>
      <w:r w:rsidRPr="00457191">
        <w:rPr>
          <w:rFonts w:asciiTheme="minorHAnsi" w:hAnsiTheme="minorHAnsi" w:cstheme="minorHAnsi"/>
        </w:rPr>
        <w:t xml:space="preserve"> people. Another view articulated by a several key mental health sector representatives was that self-directed DMHSs may be too simplistic, not provide enough accountability or simply have unknown or minimal effects.</w:t>
      </w:r>
    </w:p>
    <w:p w14:paraId="24C3F6D2"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The other stakeholder groups echoed these sentiments about enablers and barriers to varying extents (Sections 5, 6, 8 and 9).</w:t>
      </w:r>
    </w:p>
    <w:p w14:paraId="0CE08F2A" w14:textId="77777777" w:rsidR="00A9449D" w:rsidRPr="00457191" w:rsidRDefault="00A9449D" w:rsidP="0040635E">
      <w:pPr>
        <w:pStyle w:val="Heading3"/>
      </w:pPr>
      <w:r w:rsidRPr="00457191">
        <w:t>Improving consumer access and use</w:t>
      </w:r>
    </w:p>
    <w:p w14:paraId="1DE0EC91" w14:textId="77777777" w:rsidR="00A9449D" w:rsidRPr="00457191" w:rsidRDefault="00A9449D" w:rsidP="00457191">
      <w:pPr>
        <w:spacing w:after="240"/>
        <w:rPr>
          <w:rFonts w:asciiTheme="minorHAnsi" w:hAnsiTheme="minorHAnsi" w:cstheme="minorHAnsi"/>
          <w:color w:val="000000" w:themeColor="text1"/>
          <w:sz w:val="21"/>
          <w:szCs w:val="21"/>
        </w:rPr>
      </w:pPr>
      <w:r w:rsidRPr="00457191">
        <w:rPr>
          <w:rFonts w:asciiTheme="minorHAnsi" w:hAnsiTheme="minorHAnsi" w:cstheme="minorHAnsi"/>
          <w:color w:val="000000" w:themeColor="text1"/>
          <w:sz w:val="21"/>
          <w:szCs w:val="21"/>
        </w:rPr>
        <w:t xml:space="preserve">DMHS providers and key mental health sector representatives made several recommendations for improving consumer access and use of DMHSs (Sections 6 and 9). At a policy level, stakeholders called for policy to promote and raise community and mental health sector awareness, </w:t>
      </w:r>
      <w:r w:rsidRPr="00457191">
        <w:rPr>
          <w:rFonts w:asciiTheme="minorHAnsi" w:hAnsiTheme="minorHAnsi" w:cstheme="minorHAnsi"/>
          <w:sz w:val="21"/>
          <w:szCs w:val="21"/>
        </w:rPr>
        <w:t>communicate intended outcomes for sector, train the workforce and unite efforts</w:t>
      </w:r>
      <w:r w:rsidRPr="00457191">
        <w:rPr>
          <w:rFonts w:asciiTheme="minorHAnsi" w:hAnsiTheme="minorHAnsi" w:cstheme="minorHAnsi"/>
          <w:color w:val="000000" w:themeColor="text1"/>
          <w:sz w:val="21"/>
          <w:szCs w:val="21"/>
        </w:rPr>
        <w:t xml:space="preserve">. Related to this, they articulated that Government funding is critical </w:t>
      </w:r>
      <w:r w:rsidRPr="00457191">
        <w:rPr>
          <w:rFonts w:asciiTheme="minorHAnsi" w:hAnsiTheme="minorHAnsi" w:cstheme="minorHAnsi"/>
          <w:sz w:val="21"/>
          <w:szCs w:val="21"/>
        </w:rPr>
        <w:t xml:space="preserve">for ongoing service development and evaluation and ensuring that programs remain available at no or little cost to consumers (Section 9). Other suggestions involved </w:t>
      </w:r>
      <w:r w:rsidRPr="00457191">
        <w:rPr>
          <w:rFonts w:asciiTheme="minorHAnsi" w:hAnsiTheme="minorHAnsi" w:cstheme="minorHAnsi"/>
          <w:color w:val="000000" w:themeColor="text1"/>
          <w:sz w:val="21"/>
          <w:szCs w:val="21"/>
        </w:rPr>
        <w:t>centralising programs and providing consumers with access to relevant technology to ensure equity of care (Section 6).</w:t>
      </w:r>
    </w:p>
    <w:p w14:paraId="58E033E4" w14:textId="77777777" w:rsidR="00A9449D" w:rsidRPr="00457191" w:rsidRDefault="00A9449D" w:rsidP="00457191">
      <w:pPr>
        <w:spacing w:after="240"/>
        <w:rPr>
          <w:rFonts w:asciiTheme="minorHAnsi" w:hAnsiTheme="minorHAnsi" w:cstheme="minorHAnsi"/>
          <w:sz w:val="21"/>
          <w:szCs w:val="21"/>
          <w:lang w:eastAsia="en-AU"/>
        </w:rPr>
      </w:pPr>
      <w:r w:rsidRPr="00457191">
        <w:rPr>
          <w:rFonts w:asciiTheme="minorHAnsi" w:hAnsiTheme="minorHAnsi" w:cstheme="minorHAnsi"/>
          <w:sz w:val="21"/>
          <w:szCs w:val="21"/>
        </w:rPr>
        <w:t xml:space="preserve">At a service level, all stakeholders highlighted the opportunity for DMHSs to be further developed to meet the needs of a variety of populations including Indigenous peoples, people from CALD backgrounds and </w:t>
      </w:r>
      <w:r w:rsidRPr="00457191">
        <w:rPr>
          <w:rFonts w:asciiTheme="minorHAnsi" w:hAnsiTheme="minorHAnsi" w:cstheme="minorHAnsi"/>
          <w:sz w:val="21"/>
          <w:szCs w:val="21"/>
          <w:lang w:eastAsia="en-AU"/>
        </w:rPr>
        <w:t>LGBTQIA+</w:t>
      </w:r>
      <w:r w:rsidRPr="00457191">
        <w:rPr>
          <w:rFonts w:asciiTheme="minorHAnsi" w:hAnsiTheme="minorHAnsi" w:cstheme="minorHAnsi"/>
          <w:sz w:val="21"/>
          <w:szCs w:val="21"/>
        </w:rPr>
        <w:t xml:space="preserve"> people (Sections 5-9). They also mentioned rural and remote communities, but it seems likely that the focus here would be on improving access rather than necessarily adapting program content.</w:t>
      </w:r>
      <w:r w:rsidRPr="00457191">
        <w:rPr>
          <w:rFonts w:asciiTheme="minorHAnsi" w:hAnsiTheme="minorHAnsi" w:cstheme="minorHAnsi"/>
          <w:sz w:val="21"/>
          <w:szCs w:val="21"/>
          <w:lang w:eastAsia="en-AU"/>
        </w:rPr>
        <w:t xml:space="preserve"> </w:t>
      </w:r>
      <w:r w:rsidRPr="00457191">
        <w:rPr>
          <w:rFonts w:asciiTheme="minorHAnsi" w:hAnsiTheme="minorHAnsi" w:cstheme="minorHAnsi"/>
          <w:color w:val="000000" w:themeColor="text1"/>
          <w:sz w:val="21"/>
          <w:szCs w:val="21"/>
        </w:rPr>
        <w:t>DMHS providers and key mental health sector representatives</w:t>
      </w:r>
      <w:r w:rsidRPr="00457191">
        <w:rPr>
          <w:rFonts w:asciiTheme="minorHAnsi" w:hAnsiTheme="minorHAnsi" w:cstheme="minorHAnsi"/>
          <w:sz w:val="21"/>
          <w:szCs w:val="21"/>
        </w:rPr>
        <w:t xml:space="preserve"> reported that DMHSs need to continuously improve quality and care </w:t>
      </w:r>
      <w:r w:rsidRPr="00457191">
        <w:rPr>
          <w:rFonts w:asciiTheme="minorHAnsi" w:hAnsiTheme="minorHAnsi" w:cstheme="minorHAnsi"/>
          <w:sz w:val="21"/>
          <w:szCs w:val="21"/>
          <w:lang w:val="en-GB"/>
        </w:rPr>
        <w:t>by improving instep with technology advances and new innovations like artificial intelligence, expanding the evidence base, maintaining standards equivalent to face-to-face services and being responsive to consumer feedback.</w:t>
      </w:r>
      <w:r w:rsidRPr="00457191">
        <w:rPr>
          <w:rFonts w:asciiTheme="minorHAnsi" w:hAnsiTheme="minorHAnsi" w:cstheme="minorHAnsi"/>
          <w:sz w:val="21"/>
          <w:szCs w:val="21"/>
          <w:lang w:eastAsia="en-AU"/>
        </w:rPr>
        <w:t xml:space="preserve"> For example, DMHSs can </w:t>
      </w:r>
      <w:r w:rsidRPr="00457191">
        <w:rPr>
          <w:rFonts w:asciiTheme="minorHAnsi" w:hAnsiTheme="minorHAnsi" w:cstheme="minorHAnsi"/>
          <w:sz w:val="21"/>
          <w:szCs w:val="21"/>
        </w:rPr>
        <w:t>continuously improve existing platforms to suit user preferences and enable connectivity between different online systems.</w:t>
      </w:r>
    </w:p>
    <w:p w14:paraId="2C339B07"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Lived experience stakeholders provided further insights about potential service developments that fell into three main areas: accessibility, navigation and the nature of support offered (Section 7).</w:t>
      </w:r>
    </w:p>
    <w:p w14:paraId="52CF3648"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Participants emphasised the importance of these sites being visually accessible and attractive, written in clear language that is easy to understand, with a variety of content including videos and other visuals to accompany text. As one participant described it, sites need to be “comprehensive without being too overwhelming.” They wanted to see branding, medical jargon and confusing language reduced to improve clarity.</w:t>
      </w:r>
    </w:p>
    <w:p w14:paraId="726240B8"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This extended to navigation options: participants wanted the ability to narrow content to what was most relevant to them, track their own progress and perhaps have peer support to find and use content.</w:t>
      </w:r>
    </w:p>
    <w:p w14:paraId="3E59C782"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 xml:space="preserve">They thought that co-production/co-design with people with lived experience could improve design and language, reduce the deficit </w:t>
      </w:r>
      <w:proofErr w:type="gramStart"/>
      <w:r w:rsidRPr="00457191">
        <w:rPr>
          <w:rFonts w:asciiTheme="minorHAnsi" w:hAnsiTheme="minorHAnsi" w:cstheme="minorHAnsi"/>
        </w:rPr>
        <w:t>focus</w:t>
      </w:r>
      <w:proofErr w:type="gramEnd"/>
      <w:r w:rsidRPr="00457191">
        <w:rPr>
          <w:rFonts w:asciiTheme="minorHAnsi" w:hAnsiTheme="minorHAnsi" w:cstheme="minorHAnsi"/>
        </w:rPr>
        <w:t xml:space="preserve"> and offer hope, and assist with creating links to online and in-person communities to improve the support the sites offer. The human element was noted as important for making the sites more relevant and engaging, but participants cautioned against referring service users back to face-to-face professionals instead of providing adequate support within the DMHS.</w:t>
      </w:r>
    </w:p>
    <w:p w14:paraId="15479906" w14:textId="77777777" w:rsidR="00A9449D" w:rsidRPr="00457191" w:rsidRDefault="00A9449D" w:rsidP="00457191">
      <w:pPr>
        <w:spacing w:after="240"/>
        <w:rPr>
          <w:rFonts w:asciiTheme="minorHAnsi" w:hAnsiTheme="minorHAnsi" w:cstheme="minorHAnsi"/>
          <w:sz w:val="21"/>
          <w:szCs w:val="21"/>
        </w:rPr>
      </w:pPr>
      <w:r w:rsidRPr="00457191">
        <w:rPr>
          <w:rFonts w:asciiTheme="minorHAnsi" w:hAnsiTheme="minorHAnsi" w:cstheme="minorHAnsi"/>
          <w:color w:val="000000" w:themeColor="text1"/>
          <w:sz w:val="21"/>
          <w:szCs w:val="21"/>
        </w:rPr>
        <w:t xml:space="preserve">Stakeholders voiced that more needs to be done to integrate DMHSs with the mental health system including improving awareness about the services, embedding and in-cooperating DMHSs with routine care. They stated that the health workforce needs to understand what services are available, their effectiveness and for whom they are best suited. All three DMHSs currently provide some form of workforce training – Mental Health Online provides training for provisional psychologists, </w:t>
      </w:r>
      <w:proofErr w:type="spellStart"/>
      <w:r w:rsidRPr="00457191">
        <w:rPr>
          <w:rFonts w:asciiTheme="minorHAnsi" w:hAnsiTheme="minorHAnsi" w:cstheme="minorHAnsi"/>
          <w:color w:val="000000" w:themeColor="text1"/>
          <w:sz w:val="21"/>
          <w:szCs w:val="21"/>
        </w:rPr>
        <w:t>MindSpot</w:t>
      </w:r>
      <w:proofErr w:type="spellEnd"/>
      <w:r w:rsidRPr="00457191">
        <w:rPr>
          <w:rFonts w:asciiTheme="minorHAnsi" w:hAnsiTheme="minorHAnsi" w:cstheme="minorHAnsi"/>
          <w:color w:val="000000" w:themeColor="text1"/>
          <w:sz w:val="21"/>
          <w:szCs w:val="21"/>
        </w:rPr>
        <w:t xml:space="preserve"> delivers training via the </w:t>
      </w:r>
      <w:proofErr w:type="spellStart"/>
      <w:r w:rsidRPr="00457191">
        <w:rPr>
          <w:rFonts w:asciiTheme="minorHAnsi" w:hAnsiTheme="minorHAnsi" w:cstheme="minorHAnsi"/>
          <w:color w:val="000000" w:themeColor="text1"/>
          <w:sz w:val="21"/>
          <w:szCs w:val="21"/>
        </w:rPr>
        <w:t>MindSpot</w:t>
      </w:r>
      <w:proofErr w:type="spellEnd"/>
      <w:r w:rsidRPr="00457191">
        <w:rPr>
          <w:rFonts w:asciiTheme="minorHAnsi" w:hAnsiTheme="minorHAnsi" w:cstheme="minorHAnsi"/>
          <w:color w:val="000000" w:themeColor="text1"/>
          <w:sz w:val="21"/>
          <w:szCs w:val="21"/>
        </w:rPr>
        <w:t xml:space="preserve"> Academy to interns or recent graduates to learn how to use DMHSs, THIS WAY UP offers an accredited continuing professional development (CPD) program for clinicians on integrating </w:t>
      </w:r>
      <w:proofErr w:type="spellStart"/>
      <w:r w:rsidRPr="00457191">
        <w:rPr>
          <w:rFonts w:asciiTheme="minorHAnsi" w:hAnsiTheme="minorHAnsi" w:cstheme="minorHAnsi"/>
          <w:color w:val="000000" w:themeColor="text1"/>
          <w:sz w:val="21"/>
          <w:szCs w:val="21"/>
        </w:rPr>
        <w:t>iCBT</w:t>
      </w:r>
      <w:proofErr w:type="spellEnd"/>
      <w:r w:rsidRPr="00457191">
        <w:rPr>
          <w:rFonts w:asciiTheme="minorHAnsi" w:hAnsiTheme="minorHAnsi" w:cstheme="minorHAnsi"/>
          <w:color w:val="000000" w:themeColor="text1"/>
          <w:sz w:val="21"/>
          <w:szCs w:val="21"/>
        </w:rPr>
        <w:t xml:space="preserve"> in clinical practice. Stakeholders expressed that </w:t>
      </w:r>
      <w:r w:rsidRPr="00457191">
        <w:rPr>
          <w:rFonts w:asciiTheme="minorHAnsi" w:hAnsiTheme="minorHAnsi" w:cstheme="minorHAnsi"/>
          <w:sz w:val="21"/>
          <w:szCs w:val="21"/>
        </w:rPr>
        <w:t xml:space="preserve">integration of DMHSs with face-to-face services needs a comprehensive change management approach to ensure </w:t>
      </w:r>
      <w:r w:rsidRPr="00457191">
        <w:rPr>
          <w:rFonts w:asciiTheme="minorHAnsi" w:hAnsiTheme="minorHAnsi" w:cstheme="minorHAnsi"/>
          <w:sz w:val="21"/>
          <w:szCs w:val="21"/>
        </w:rPr>
        <w:lastRenderedPageBreak/>
        <w:t xml:space="preserve">that clinicians understand referral processes and have sufficient time to learn about, navigate and incorporate new methods in a blended care model. Finally, stakeholders suggested </w:t>
      </w:r>
      <w:r w:rsidRPr="00457191">
        <w:rPr>
          <w:rFonts w:asciiTheme="minorHAnsi" w:hAnsiTheme="minorHAnsi" w:cstheme="minorHAnsi"/>
          <w:color w:val="000000" w:themeColor="text1"/>
          <w:sz w:val="21"/>
          <w:szCs w:val="21"/>
        </w:rPr>
        <w:t>implementing a funding structure, such as Medicare rebates, to incentivise health professionals to provide or refer for care via DMHSs.</w:t>
      </w:r>
    </w:p>
    <w:p w14:paraId="76C64A00" w14:textId="77777777" w:rsidR="00A9449D" w:rsidRPr="00457191" w:rsidRDefault="00A9449D" w:rsidP="0040635E">
      <w:pPr>
        <w:pStyle w:val="Heading3"/>
      </w:pPr>
      <w:r w:rsidRPr="00457191">
        <w:t>Barriers and enablers for DMHS providers, mental health professionals and referrers</w:t>
      </w:r>
    </w:p>
    <w:p w14:paraId="3011E580" w14:textId="77777777" w:rsidR="00A9449D" w:rsidRPr="00457191" w:rsidRDefault="00A9449D" w:rsidP="00457191">
      <w:pPr>
        <w:pStyle w:val="ANorm"/>
        <w:spacing w:after="240"/>
        <w:rPr>
          <w:rFonts w:asciiTheme="minorHAnsi" w:hAnsiTheme="minorHAnsi" w:cstheme="minorHAnsi"/>
          <w:lang w:eastAsia="en-AU"/>
        </w:rPr>
      </w:pPr>
      <w:r w:rsidRPr="00457191">
        <w:rPr>
          <w:rFonts w:asciiTheme="minorHAnsi" w:hAnsiTheme="minorHAnsi" w:cstheme="minorHAnsi"/>
          <w:lang w:eastAsia="en-AU"/>
        </w:rPr>
        <w:t xml:space="preserve">Barriers for mental health professionals and referrers were largely related to their limited exposure to DMHSs and the impact of this on their beliefs, </w:t>
      </w:r>
      <w:proofErr w:type="gramStart"/>
      <w:r w:rsidRPr="00457191">
        <w:rPr>
          <w:rFonts w:asciiTheme="minorHAnsi" w:hAnsiTheme="minorHAnsi" w:cstheme="minorHAnsi"/>
          <w:lang w:eastAsia="en-AU"/>
        </w:rPr>
        <w:t>knowledge</w:t>
      </w:r>
      <w:proofErr w:type="gramEnd"/>
      <w:r w:rsidRPr="00457191">
        <w:rPr>
          <w:rFonts w:asciiTheme="minorHAnsi" w:hAnsiTheme="minorHAnsi" w:cstheme="minorHAnsi"/>
          <w:lang w:eastAsia="en-AU"/>
        </w:rPr>
        <w:t xml:space="preserve"> and trust in DMHSs.</w:t>
      </w:r>
    </w:p>
    <w:p w14:paraId="399E30F3" w14:textId="77777777" w:rsidR="00A9449D" w:rsidRPr="00457191" w:rsidRDefault="00A9449D" w:rsidP="00457191">
      <w:pPr>
        <w:spacing w:after="240"/>
        <w:rPr>
          <w:rFonts w:asciiTheme="minorHAnsi" w:eastAsiaTheme="majorEastAsia" w:hAnsiTheme="minorHAnsi" w:cstheme="minorHAnsi"/>
          <w:color w:val="000000" w:themeColor="text1"/>
          <w:sz w:val="21"/>
          <w:szCs w:val="21"/>
        </w:rPr>
      </w:pPr>
      <w:r w:rsidRPr="00457191">
        <w:rPr>
          <w:rFonts w:asciiTheme="minorHAnsi" w:eastAsiaTheme="majorEastAsia" w:hAnsiTheme="minorHAnsi" w:cstheme="minorHAnsi"/>
          <w:color w:val="000000" w:themeColor="text1"/>
          <w:sz w:val="21"/>
          <w:szCs w:val="21"/>
        </w:rPr>
        <w:t>The professional characteristics of the 94 health professionals surveyed showed that only 12% worked in a digital or online mental health service whilst 39% worked in a face-to-face mental health service (Section 8). This suggests that quite a limited proportion of those surveyed had firsthand insight into the workings of a digital mental health service. Like other stakeholder groups, most of health professionals viewed DMHSs as suitable for mild or moderate (but not severe mental problems) and for managing depression and anxiety (but not psychotic disorders or suicidal ideation). Health professionals and DMHS providers commonly identified access to technology as a barrier to using DMHSs. Technology and connectivity issues were also identified as the major source of difficulties of using DMHS. Additionally, 71% of health professionals did not provide an onsite space for clients or patients to access DMHSs.</w:t>
      </w:r>
    </w:p>
    <w:p w14:paraId="04C89EC4"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Other barriers mentioned by stakeholders included: problems with rapport building and a preference for face-to-face service delivery (client or provider), access, cost of services, demographic characteristics impeding use (e.g., age and language) and concerns about privacy and safety. Some of the same barriers were also identified by the key mental health sector representative stakeholders who also mentioned that some clinicians are threatened by the potential impact on their face-to-face roles and the negative impact of ‘being overwhelmed with choice’ (Section 9).</w:t>
      </w:r>
    </w:p>
    <w:p w14:paraId="1F7F796E" w14:textId="77777777" w:rsidR="00A9449D" w:rsidRPr="00457191" w:rsidRDefault="00A9449D" w:rsidP="00457191">
      <w:pPr>
        <w:spacing w:after="240"/>
        <w:rPr>
          <w:rFonts w:asciiTheme="minorHAnsi" w:eastAsiaTheme="majorEastAsia" w:hAnsiTheme="minorHAnsi" w:cstheme="minorHAnsi"/>
          <w:color w:val="000000" w:themeColor="text1"/>
          <w:sz w:val="21"/>
          <w:szCs w:val="21"/>
        </w:rPr>
      </w:pPr>
      <w:r w:rsidRPr="00457191">
        <w:rPr>
          <w:rFonts w:asciiTheme="minorHAnsi" w:eastAsiaTheme="majorEastAsia" w:hAnsiTheme="minorHAnsi" w:cstheme="minorHAnsi"/>
          <w:color w:val="000000" w:themeColor="text1"/>
          <w:sz w:val="21"/>
          <w:szCs w:val="21"/>
        </w:rPr>
        <w:t xml:space="preserve">When asked how DMHSs could be better integrated into the mental health system, stakeholders proposed education about DMHS would be beneficial. This was also noted by some respondents as an area requiring change to improve use of DMHSs. Given a strong preference for </w:t>
      </w:r>
      <w:proofErr w:type="gramStart"/>
      <w:r w:rsidRPr="00457191">
        <w:rPr>
          <w:rFonts w:asciiTheme="minorHAnsi" w:eastAsiaTheme="majorEastAsia" w:hAnsiTheme="minorHAnsi" w:cstheme="minorHAnsi"/>
          <w:color w:val="000000" w:themeColor="text1"/>
          <w:sz w:val="21"/>
          <w:szCs w:val="21"/>
        </w:rPr>
        <w:t>face to face</w:t>
      </w:r>
      <w:proofErr w:type="gramEnd"/>
      <w:r w:rsidRPr="00457191">
        <w:rPr>
          <w:rFonts w:asciiTheme="minorHAnsi" w:eastAsiaTheme="majorEastAsia" w:hAnsiTheme="minorHAnsi" w:cstheme="minorHAnsi"/>
          <w:color w:val="000000" w:themeColor="text1"/>
          <w:sz w:val="21"/>
          <w:szCs w:val="21"/>
        </w:rPr>
        <w:t xml:space="preserve"> service delivery, further education about the benefits and use of DMHSs may help to improve uptake of DMHSs and shift preferences amongst mental health professionals. This is further exemplified by one third of those who refer consumers to DMHSs being unaware of whether the service involved a therapist.</w:t>
      </w:r>
    </w:p>
    <w:p w14:paraId="78623B96" w14:textId="77777777" w:rsidR="00A9449D" w:rsidRPr="00457191" w:rsidRDefault="00A9449D" w:rsidP="00457191">
      <w:pPr>
        <w:pStyle w:val="Heading2"/>
        <w:numPr>
          <w:ilvl w:val="1"/>
          <w:numId w:val="142"/>
        </w:numPr>
        <w:spacing w:after="240"/>
        <w:rPr>
          <w:rFonts w:asciiTheme="minorHAnsi" w:hAnsiTheme="minorHAnsi" w:cstheme="minorHAnsi"/>
        </w:rPr>
      </w:pPr>
      <w:bookmarkStart w:id="311" w:name="_Toc108784911"/>
      <w:r w:rsidRPr="00457191">
        <w:rPr>
          <w:rFonts w:asciiTheme="minorHAnsi" w:hAnsiTheme="minorHAnsi" w:cstheme="minorHAnsi"/>
        </w:rPr>
        <w:t>KEQ 5: How can the commissioning and implementation of online mental health treatment services be best supported going forward?</w:t>
      </w:r>
      <w:bookmarkEnd w:id="311"/>
    </w:p>
    <w:p w14:paraId="6B94E665" w14:textId="5DCB5B5A"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All our data sources, including our literature review</w:t>
      </w:r>
      <w:r w:rsidRPr="00457191">
        <w:rPr>
          <w:rFonts w:asciiTheme="minorHAnsi" w:hAnsiTheme="minorHAnsi" w:cstheme="minorHAnsi"/>
        </w:rPr>
        <w:fldChar w:fldCharType="begin"/>
      </w:r>
      <w:r w:rsidR="00C178C5" w:rsidRPr="00457191">
        <w:rPr>
          <w:rFonts w:asciiTheme="minorHAnsi" w:hAnsiTheme="minorHAnsi" w:cstheme="minorHAnsi"/>
        </w:rPr>
        <w:instrText xml:space="preserve"> ADDIN EN.CITE &lt;EndNote&gt;&lt;Cite&gt;&lt;Author&gt;Bassilios&lt;/Author&gt;&lt;Year&gt;2022&lt;/Year&gt;&lt;RecNum&gt;117&lt;/RecNum&gt;&lt;DisplayText&gt;&lt;style face="superscript"&gt;5&lt;/style&gt;&lt;/DisplayText&gt;&lt;record&gt;&lt;rec-number&gt;117&lt;/rec-number&gt;&lt;foreign-keys&gt;&lt;key app="EN" db-id="dawtr0zrkrzfa5edzzlpe2we0xa00t90vvr2" timestamp="1648438870"&gt;117&lt;/key&gt;&lt;/foreign-keys&gt;&lt;ref-type name="Report"&gt;27&lt;/ref-type&gt;&lt;contributors&gt;&lt;authors&gt;&lt;author&gt;Bassilios, B.&lt;/author&gt;&lt;author&gt;Morgan, A.&lt;/author&gt;&lt;author&gt;Tan, A.&lt;/author&gt;&lt;author&gt;Ftanou, M.&lt;/author&gt;&lt;author&gt;Krysinska, K.&lt;/author&gt;&lt;author&gt;Le, L.&lt;/author&gt;&lt;author&gt;Scurrah, K.&lt;/author&gt;&lt;author&gt;Banfield, M.&lt;/author&gt;&lt;author&gt;Spittal, M.&lt;/author&gt;&lt;author&gt;Mihalopoulos, C.&lt;/author&gt;&lt;author&gt;Pirkis, J.&lt;/author&gt;&lt;/authors&gt;&lt;/contributors&gt;&lt;titles&gt;&lt;title&gt;Literature review of effectiveness of supported digital mental health interventions (DMHIs)&lt;/title&gt;&lt;/titles&gt;&lt;dates&gt;&lt;year&gt;2022&lt;/year&gt;&lt;/dates&gt;&lt;pub-location&gt;Melbourne&lt;/pub-location&gt;&lt;publisher&gt;Centre for Mental Health, University of Melbourne&lt;/publisher&gt;&lt;urls&gt;&lt;/urls&gt;&lt;/record&gt;&lt;/Cite&gt;&lt;/EndNote&gt;</w:instrText>
      </w:r>
      <w:r w:rsidRPr="00457191">
        <w:rPr>
          <w:rFonts w:asciiTheme="minorHAnsi" w:hAnsiTheme="minorHAnsi" w:cstheme="minorHAnsi"/>
        </w:rPr>
        <w:fldChar w:fldCharType="separate"/>
      </w:r>
      <w:r w:rsidR="00C178C5" w:rsidRPr="00457191">
        <w:rPr>
          <w:rFonts w:asciiTheme="minorHAnsi" w:hAnsiTheme="minorHAnsi" w:cstheme="minorHAnsi"/>
          <w:noProof/>
          <w:vertAlign w:val="superscript"/>
        </w:rPr>
        <w:t>5</w:t>
      </w:r>
      <w:r w:rsidRPr="00457191">
        <w:rPr>
          <w:rFonts w:asciiTheme="minorHAnsi" w:hAnsiTheme="minorHAnsi" w:cstheme="minorHAnsi"/>
        </w:rPr>
        <w:fldChar w:fldCharType="end"/>
      </w:r>
      <w:r w:rsidRPr="00457191">
        <w:rPr>
          <w:rFonts w:asciiTheme="minorHAnsi" w:hAnsiTheme="minorHAnsi" w:cstheme="minorHAnsi"/>
        </w:rPr>
        <w:t xml:space="preserve"> and environmental scan,</w:t>
      </w:r>
      <w:r w:rsidRPr="00457191">
        <w:rPr>
          <w:rFonts w:asciiTheme="minorHAnsi" w:hAnsiTheme="minorHAnsi" w:cstheme="minorHAnsi"/>
        </w:rPr>
        <w:fldChar w:fldCharType="begin"/>
      </w:r>
      <w:r w:rsidR="00C178C5" w:rsidRPr="00457191">
        <w:rPr>
          <w:rFonts w:asciiTheme="minorHAnsi" w:hAnsiTheme="minorHAnsi" w:cstheme="minorHAnsi"/>
        </w:rPr>
        <w:instrText xml:space="preserve"> ADDIN EN.CITE &lt;EndNote&gt;&lt;Cite&gt;&lt;Author&gt;Bassilios&lt;/Author&gt;&lt;Year&gt;2022&lt;/Year&gt;&lt;RecNum&gt;121&lt;/RecNum&gt;&lt;DisplayText&gt;&lt;style face="superscript"&gt;6&lt;/style&gt;&lt;/DisplayText&gt;&lt;record&gt;&lt;rec-number&gt;121&lt;/rec-number&gt;&lt;foreign-keys&gt;&lt;key app="EN" db-id="dawtr0zrkrzfa5edzzlpe2we0xa00t90vvr2" timestamp="1648439642"&gt;121&lt;/key&gt;&lt;/foreign-keys&gt;&lt;ref-type name="Report"&gt;27&lt;/ref-type&gt;&lt;contributors&gt;&lt;authors&gt;&lt;author&gt;Bassilios, B.&lt;/author&gt;&lt;author&gt;Ftanou, M.&lt;/author&gt;&lt;author&gt;Tan, A.&lt;/author&gt;&lt;author&gt;Morgan, A.&lt;/author&gt;&lt;author&gt;Machlin, A.&lt;/author&gt;&lt;author&gt;Mangelsdorf, S.&lt;/author&gt;&lt;author&gt;Le, L.&lt;/author&gt;&lt;author&gt;Banfield, M.&lt;/author&gt;&lt;author&gt;Spittal, M.&lt;/author&gt;&lt;author&gt;Mihalopoulos, C.&lt;/author&gt;&lt;author&gt;Pirkis, J.&lt;/author&gt;&lt;/authors&gt;&lt;/contributors&gt;&lt;titles&gt;&lt;title&gt;Environmental scan of digital mental health services&lt;/title&gt;&lt;/titles&gt;&lt;dates&gt;&lt;year&gt;2022&lt;/year&gt;&lt;/dates&gt;&lt;pub-location&gt;Melbourne&lt;/pub-location&gt;&lt;publisher&gt;Centre for Mental Health, University of Melbourne&lt;/publisher&gt;&lt;urls&gt;&lt;/urls&gt;&lt;/record&gt;&lt;/Cite&gt;&lt;/EndNote&gt;</w:instrText>
      </w:r>
      <w:r w:rsidRPr="00457191">
        <w:rPr>
          <w:rFonts w:asciiTheme="minorHAnsi" w:hAnsiTheme="minorHAnsi" w:cstheme="minorHAnsi"/>
        </w:rPr>
        <w:fldChar w:fldCharType="separate"/>
      </w:r>
      <w:r w:rsidR="00C178C5" w:rsidRPr="00457191">
        <w:rPr>
          <w:rFonts w:asciiTheme="minorHAnsi" w:hAnsiTheme="minorHAnsi" w:cstheme="minorHAnsi"/>
          <w:noProof/>
          <w:vertAlign w:val="superscript"/>
        </w:rPr>
        <w:t>6</w:t>
      </w:r>
      <w:r w:rsidRPr="00457191">
        <w:rPr>
          <w:rFonts w:asciiTheme="minorHAnsi" w:hAnsiTheme="minorHAnsi" w:cstheme="minorHAnsi"/>
        </w:rPr>
        <w:fldChar w:fldCharType="end"/>
      </w:r>
      <w:r w:rsidRPr="00457191">
        <w:rPr>
          <w:rFonts w:asciiTheme="minorHAnsi" w:hAnsiTheme="minorHAnsi" w:cstheme="minorHAnsi"/>
        </w:rPr>
        <w:t xml:space="preserve"> contribute to addressing KEQ 5.</w:t>
      </w:r>
    </w:p>
    <w:p w14:paraId="4A57A91A"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The evaluation of three supported DMHSs has yielded a wealth of information on the impacts of delivering DMHSs. Recommendations for consideration in future policy making are provided below.</w:t>
      </w:r>
    </w:p>
    <w:p w14:paraId="1FFF2064" w14:textId="3F79BBCC" w:rsidR="00A9449D" w:rsidRPr="00457191" w:rsidRDefault="00A9449D" w:rsidP="00E85E27">
      <w:pPr>
        <w:pStyle w:val="ANorm"/>
        <w:numPr>
          <w:ilvl w:val="0"/>
          <w:numId w:val="182"/>
        </w:numPr>
        <w:spacing w:after="240"/>
        <w:rPr>
          <w:rFonts w:asciiTheme="minorHAnsi" w:hAnsiTheme="minorHAnsi" w:cstheme="minorHAnsi"/>
          <w:b/>
          <w:bCs/>
        </w:rPr>
      </w:pPr>
      <w:r w:rsidRPr="00457191">
        <w:rPr>
          <w:rFonts w:asciiTheme="minorHAnsi" w:hAnsiTheme="minorHAnsi" w:cstheme="minorHAnsi"/>
          <w:b/>
          <w:bCs/>
        </w:rPr>
        <w:t>DEVELOP A LONG-TERM STRATEGY</w:t>
      </w:r>
    </w:p>
    <w:p w14:paraId="198A5CEB" w14:textId="77777777" w:rsidR="00A9449D" w:rsidRPr="00457191" w:rsidRDefault="00A9449D" w:rsidP="00457191">
      <w:pPr>
        <w:pStyle w:val="ANorm"/>
        <w:spacing w:after="240"/>
        <w:rPr>
          <w:rFonts w:asciiTheme="minorHAnsi" w:hAnsiTheme="minorHAnsi" w:cstheme="minorHAnsi"/>
          <w:b/>
          <w:bCs/>
        </w:rPr>
      </w:pPr>
      <w:r w:rsidRPr="00457191">
        <w:rPr>
          <w:rFonts w:asciiTheme="minorHAnsi" w:hAnsiTheme="minorHAnsi" w:cstheme="minorHAnsi"/>
          <w:b/>
          <w:bCs/>
        </w:rPr>
        <w:t>Recommendation 1:  A long-term strategy and approach to resourcing are required to build confidence across the sector, support a responsive continuous improvement approach to service development and implementation, and enable and embed system-wide changes.</w:t>
      </w:r>
    </w:p>
    <w:p w14:paraId="6C1B6CE0"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A longer-term strategy and resourcing model are necessary to provide confidence across the sector to engage with DMHSs, establish and consolidate integration and coordination, and retain and develop an appropriately skilled workforce.</w:t>
      </w:r>
    </w:p>
    <w:p w14:paraId="732CAE7B"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A time-limited approach does not accommodate the developmental and foundational work which is required to develop and sustain DMHS activities. Future policy should support a continuous improvement model where planning is an ongoing iterative process informed by evaluation in a virtuous cycle.</w:t>
      </w:r>
    </w:p>
    <w:p w14:paraId="142E8E1C"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lastRenderedPageBreak/>
        <w:t>To understand the longer-term impacts and outcomes of DMHSs, monitoring and analysis of outcome data should be ongoing.</w:t>
      </w:r>
    </w:p>
    <w:p w14:paraId="590E9187" w14:textId="5F764ABE" w:rsidR="00A9449D" w:rsidRPr="00457191" w:rsidRDefault="00A9449D" w:rsidP="00E85E27">
      <w:pPr>
        <w:pStyle w:val="ANorm"/>
        <w:numPr>
          <w:ilvl w:val="0"/>
          <w:numId w:val="182"/>
        </w:numPr>
        <w:spacing w:after="240"/>
        <w:rPr>
          <w:rFonts w:asciiTheme="minorHAnsi" w:hAnsiTheme="minorHAnsi" w:cstheme="minorHAnsi"/>
          <w:b/>
          <w:bCs/>
        </w:rPr>
      </w:pPr>
      <w:r w:rsidRPr="00457191">
        <w:rPr>
          <w:rFonts w:asciiTheme="minorHAnsi" w:hAnsiTheme="minorHAnsi" w:cstheme="minorHAnsi"/>
          <w:b/>
          <w:bCs/>
        </w:rPr>
        <w:t>BUILD CAPACITY ACROSS THE SYSTEM</w:t>
      </w:r>
    </w:p>
    <w:p w14:paraId="1EF1BB37" w14:textId="77777777" w:rsidR="00A9449D" w:rsidRPr="00457191" w:rsidRDefault="00A9449D" w:rsidP="00457191">
      <w:pPr>
        <w:pStyle w:val="ANorm"/>
        <w:spacing w:after="240"/>
        <w:rPr>
          <w:rFonts w:asciiTheme="minorHAnsi" w:hAnsiTheme="minorHAnsi" w:cstheme="minorHAnsi"/>
          <w:b/>
          <w:bCs/>
        </w:rPr>
      </w:pPr>
      <w:r w:rsidRPr="00457191">
        <w:rPr>
          <w:rFonts w:asciiTheme="minorHAnsi" w:hAnsiTheme="minorHAnsi" w:cstheme="minorHAnsi"/>
          <w:b/>
          <w:bCs/>
        </w:rPr>
        <w:t>Recommendation 2:  Resources and mechanisms are required to build capacity across the system. National or service-based resources may be an appropriate mechanism.</w:t>
      </w:r>
    </w:p>
    <w:p w14:paraId="3AA7F849" w14:textId="77777777" w:rsidR="00A9449D" w:rsidRPr="00457191" w:rsidRDefault="00A9449D" w:rsidP="00457191">
      <w:pPr>
        <w:pStyle w:val="paragraph"/>
        <w:spacing w:before="0" w:beforeAutospacing="0" w:after="240" w:afterAutospacing="0"/>
        <w:textAlignment w:val="baseline"/>
        <w:rPr>
          <w:highlight w:val="green"/>
        </w:rPr>
      </w:pPr>
      <w:r w:rsidRPr="00457191">
        <w:rPr>
          <w:rStyle w:val="normaltextrun"/>
        </w:rPr>
        <w:t xml:space="preserve">Infrastructure, </w:t>
      </w:r>
      <w:proofErr w:type="gramStart"/>
      <w:r w:rsidRPr="00457191">
        <w:rPr>
          <w:rStyle w:val="normaltextrun"/>
        </w:rPr>
        <w:t>resources</w:t>
      </w:r>
      <w:proofErr w:type="gramEnd"/>
      <w:r w:rsidRPr="00457191">
        <w:rPr>
          <w:rStyle w:val="normaltextrun"/>
        </w:rPr>
        <w:t xml:space="preserve"> and mechanisms are needed to ensure that users have access to the right equipment and tools (e.g., technology, reliable internet) and access to education to improve technical skills and digital literacy.</w:t>
      </w:r>
    </w:p>
    <w:p w14:paraId="101CB2F9" w14:textId="77777777" w:rsidR="00A9449D" w:rsidRPr="00457191" w:rsidRDefault="00A9449D" w:rsidP="00457191">
      <w:pPr>
        <w:spacing w:after="240"/>
        <w:rPr>
          <w:rFonts w:asciiTheme="minorHAnsi" w:hAnsiTheme="minorHAnsi" w:cstheme="minorHAnsi"/>
          <w:sz w:val="21"/>
          <w:szCs w:val="21"/>
        </w:rPr>
      </w:pPr>
      <w:r w:rsidRPr="00457191">
        <w:rPr>
          <w:rFonts w:asciiTheme="minorHAnsi" w:hAnsiTheme="minorHAnsi" w:cstheme="minorHAnsi"/>
          <w:sz w:val="21"/>
          <w:szCs w:val="21"/>
        </w:rPr>
        <w:t>Increasing knowledge and awareness of community stakeholders and service providers is the cornerstone of system-wide integration. There needs to be unity in the definitions and purpose of, and efforts to dispel myths about, DMHSs while respecting preferences for face-to-face services.</w:t>
      </w:r>
    </w:p>
    <w:p w14:paraId="0B9D2890" w14:textId="77777777" w:rsidR="00A9449D" w:rsidRPr="00457191" w:rsidRDefault="00A9449D" w:rsidP="00457191">
      <w:pPr>
        <w:spacing w:after="240"/>
        <w:rPr>
          <w:rFonts w:asciiTheme="minorHAnsi" w:hAnsiTheme="minorHAnsi" w:cstheme="minorHAnsi"/>
          <w:sz w:val="21"/>
          <w:szCs w:val="21"/>
        </w:rPr>
      </w:pPr>
      <w:r w:rsidRPr="00457191">
        <w:rPr>
          <w:rFonts w:asciiTheme="minorHAnsi" w:hAnsiTheme="minorHAnsi" w:cstheme="minorHAnsi"/>
          <w:sz w:val="21"/>
          <w:szCs w:val="21"/>
        </w:rPr>
        <w:t>Community stakeholders and providers require assistance in navigating the wealth of service options and finding appropriate and quality services. The new National Mental Health Platform has the potential to support with navigation.</w:t>
      </w:r>
    </w:p>
    <w:p w14:paraId="0926B4CB"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 xml:space="preserve">DMHS provider, mental health professional (including peer worker and Indigenous mental health provider) and referrer workforce capacity needs to be built through education and training, including ongoing clinical supervision. Mental Health Online and </w:t>
      </w:r>
      <w:proofErr w:type="spellStart"/>
      <w:r w:rsidRPr="00457191">
        <w:rPr>
          <w:rFonts w:asciiTheme="minorHAnsi" w:hAnsiTheme="minorHAnsi" w:cstheme="minorHAnsi"/>
        </w:rPr>
        <w:t>MindSpot</w:t>
      </w:r>
      <w:proofErr w:type="spellEnd"/>
      <w:r w:rsidRPr="00457191">
        <w:rPr>
          <w:rFonts w:asciiTheme="minorHAnsi" w:hAnsiTheme="minorHAnsi" w:cstheme="minorHAnsi"/>
        </w:rPr>
        <w:t xml:space="preserve"> already provide training to provisional psychologists and other mental health interns and THIS WAY UP provides continuing professional development. Collectively, their work may provide an opportunity to scale training at national level. Building workforce capacity will contribute to quality assurance and clinical governance. Continuity of funding is crucial for building and retaining that workforce.</w:t>
      </w:r>
    </w:p>
    <w:p w14:paraId="2CF27F8D"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 xml:space="preserve">Building community and service provider knowledge and confidence to engage with </w:t>
      </w:r>
      <w:proofErr w:type="gramStart"/>
      <w:r w:rsidRPr="00457191">
        <w:rPr>
          <w:rFonts w:asciiTheme="minorHAnsi" w:hAnsiTheme="minorHAnsi" w:cstheme="minorHAnsi"/>
        </w:rPr>
        <w:t>evidence-based</w:t>
      </w:r>
      <w:proofErr w:type="gramEnd"/>
      <w:r w:rsidRPr="00457191">
        <w:rPr>
          <w:rFonts w:asciiTheme="minorHAnsi" w:hAnsiTheme="minorHAnsi" w:cstheme="minorHAnsi"/>
        </w:rPr>
        <w:t xml:space="preserve"> DMHSs are required.</w:t>
      </w:r>
    </w:p>
    <w:p w14:paraId="6E1419B7"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 xml:space="preserve">Building workforce capacity will be a key driver of adoption, </w:t>
      </w:r>
      <w:proofErr w:type="gramStart"/>
      <w:r w:rsidRPr="00457191">
        <w:rPr>
          <w:rFonts w:asciiTheme="minorHAnsi" w:hAnsiTheme="minorHAnsi" w:cstheme="minorHAnsi"/>
        </w:rPr>
        <w:t>implementation</w:t>
      </w:r>
      <w:proofErr w:type="gramEnd"/>
      <w:r w:rsidRPr="00457191">
        <w:rPr>
          <w:rFonts w:asciiTheme="minorHAnsi" w:hAnsiTheme="minorHAnsi" w:cstheme="minorHAnsi"/>
        </w:rPr>
        <w:t xml:space="preserve"> and sustainability of DMHSs.</w:t>
      </w:r>
    </w:p>
    <w:p w14:paraId="142B64FD" w14:textId="77777777" w:rsidR="00A9449D" w:rsidRPr="00457191" w:rsidRDefault="00A9449D" w:rsidP="00457191">
      <w:pPr>
        <w:pStyle w:val="ANorm"/>
        <w:spacing w:after="240"/>
        <w:rPr>
          <w:rFonts w:asciiTheme="minorHAnsi" w:hAnsiTheme="minorHAnsi" w:cstheme="minorHAnsi"/>
          <w:b/>
          <w:bCs/>
        </w:rPr>
      </w:pPr>
      <w:r w:rsidRPr="00457191">
        <w:rPr>
          <w:rFonts w:asciiTheme="minorHAnsi" w:hAnsiTheme="minorHAnsi" w:cstheme="minorHAnsi"/>
          <w:b/>
          <w:bCs/>
        </w:rPr>
        <w:t>Recommendation 3:  Innovative approaches are required to achieve to system integration.</w:t>
      </w:r>
    </w:p>
    <w:p w14:paraId="5FCDF9C7"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Multi-pronged, innovative approaches will contribute to embedding DMHSs in the mental health system.</w:t>
      </w:r>
    </w:p>
    <w:p w14:paraId="7BF42626" w14:textId="4E9C1282" w:rsidR="00A9449D" w:rsidRPr="00457191" w:rsidRDefault="00A9449D" w:rsidP="00457191">
      <w:pPr>
        <w:pStyle w:val="ANorm"/>
        <w:spacing w:after="240"/>
        <w:rPr>
          <w:rFonts w:asciiTheme="minorHAnsi" w:hAnsiTheme="minorHAnsi" w:cstheme="minorHAnsi"/>
          <w:lang w:val="en-US"/>
        </w:rPr>
      </w:pPr>
      <w:r w:rsidRPr="00457191">
        <w:rPr>
          <w:rFonts w:asciiTheme="minorHAnsi" w:hAnsiTheme="minorHAnsi" w:cstheme="minorHAnsi"/>
        </w:rPr>
        <w:t>C</w:t>
      </w:r>
      <w:proofErr w:type="spellStart"/>
      <w:r w:rsidRPr="00457191">
        <w:rPr>
          <w:rFonts w:asciiTheme="minorHAnsi" w:hAnsiTheme="minorHAnsi" w:cstheme="minorHAnsi"/>
          <w:lang w:val="en-US"/>
        </w:rPr>
        <w:t>ollaborati</w:t>
      </w:r>
      <w:r w:rsidR="002111F7">
        <w:rPr>
          <w:rFonts w:asciiTheme="minorHAnsi" w:hAnsiTheme="minorHAnsi" w:cstheme="minorHAnsi"/>
          <w:lang w:val="en-US"/>
        </w:rPr>
        <w:t>ng</w:t>
      </w:r>
      <w:proofErr w:type="spellEnd"/>
      <w:r w:rsidRPr="00457191">
        <w:rPr>
          <w:rFonts w:asciiTheme="minorHAnsi" w:hAnsiTheme="minorHAnsi" w:cstheme="minorHAnsi"/>
          <w:lang w:val="en-US"/>
        </w:rPr>
        <w:t xml:space="preserve"> and partnering with other parts of mental health sector and tertiary education will foster integration and simultaneously contribute to capacity building.</w:t>
      </w:r>
    </w:p>
    <w:p w14:paraId="60687E5B" w14:textId="77777777" w:rsidR="00A9449D" w:rsidRPr="00457191" w:rsidRDefault="00A9449D" w:rsidP="00457191">
      <w:pPr>
        <w:pStyle w:val="ANorm"/>
        <w:spacing w:after="240"/>
        <w:rPr>
          <w:rFonts w:asciiTheme="minorHAnsi" w:hAnsiTheme="minorHAnsi" w:cstheme="minorHAnsi"/>
          <w:lang w:val="en-US"/>
        </w:rPr>
      </w:pPr>
      <w:r w:rsidRPr="00457191">
        <w:rPr>
          <w:rFonts w:asciiTheme="minorHAnsi" w:hAnsiTheme="minorHAnsi" w:cstheme="minorHAnsi"/>
          <w:lang w:val="en-US"/>
        </w:rPr>
        <w:t xml:space="preserve">The introduction of onsite spaces for consumers to access DMHSs (e.g., health clinics and other face-to-face health and community services) may improve access to DMHSs </w:t>
      </w:r>
      <w:r w:rsidRPr="00457191">
        <w:rPr>
          <w:rFonts w:asciiTheme="minorHAnsi" w:hAnsiTheme="minorHAnsi" w:cstheme="minorHAnsi"/>
        </w:rPr>
        <w:t>in low socio-economic and rural and remote areas where internet connections are not reliable or are unaffordable.</w:t>
      </w:r>
    </w:p>
    <w:p w14:paraId="3FD64EB8" w14:textId="77777777" w:rsidR="00A9449D" w:rsidRPr="00457191" w:rsidRDefault="00A9449D" w:rsidP="00457191">
      <w:pPr>
        <w:pStyle w:val="ANorm"/>
        <w:spacing w:after="240"/>
        <w:rPr>
          <w:rFonts w:asciiTheme="minorHAnsi" w:hAnsiTheme="minorHAnsi" w:cstheme="minorHAnsi"/>
          <w:b/>
          <w:bCs/>
        </w:rPr>
      </w:pPr>
      <w:r w:rsidRPr="00457191">
        <w:rPr>
          <w:rFonts w:asciiTheme="minorHAnsi" w:hAnsiTheme="minorHAnsi" w:cstheme="minorHAnsi"/>
          <w:b/>
          <w:bCs/>
        </w:rPr>
        <w:t>Recommendation 4: Increase capacity to collect and provide timely accessible data and explore opportunities to optimise currently collected data.</w:t>
      </w:r>
    </w:p>
    <w:p w14:paraId="1B96D112"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Access to timely and appropriate data is crucial to support ongoing planning and evaluation, to ensure resources are directed according to need and so that outcomes of DMHS treatment can be evaluated.</w:t>
      </w:r>
    </w:p>
    <w:p w14:paraId="03DF6C6B" w14:textId="67C5E4E0" w:rsidR="00041583" w:rsidRDefault="00A9449D" w:rsidP="00457191">
      <w:pPr>
        <w:pStyle w:val="ANorm"/>
        <w:spacing w:after="240"/>
        <w:rPr>
          <w:rFonts w:asciiTheme="minorHAnsi" w:hAnsiTheme="minorHAnsi" w:cstheme="minorHAnsi"/>
        </w:rPr>
      </w:pPr>
      <w:r w:rsidRPr="00457191">
        <w:rPr>
          <w:rFonts w:asciiTheme="minorHAnsi" w:hAnsiTheme="minorHAnsi" w:cstheme="minorHAnsi"/>
        </w:rPr>
        <w:t>Standardised data collection and outcome measurement will improve the robustness of statistical analysis and maximise comparisons between DMHSs and other areas of the mental health system.</w:t>
      </w:r>
    </w:p>
    <w:p w14:paraId="2DEA4D27" w14:textId="77777777" w:rsidR="00041583" w:rsidRDefault="00041583">
      <w:pPr>
        <w:spacing w:after="200"/>
        <w:rPr>
          <w:rFonts w:asciiTheme="minorHAnsi" w:hAnsiTheme="minorHAnsi" w:cstheme="minorHAnsi"/>
          <w:color w:val="000000" w:themeColor="text1"/>
          <w:sz w:val="21"/>
          <w:szCs w:val="21"/>
        </w:rPr>
      </w:pPr>
      <w:r>
        <w:rPr>
          <w:rFonts w:asciiTheme="minorHAnsi" w:hAnsiTheme="minorHAnsi" w:cstheme="minorHAnsi"/>
        </w:rPr>
        <w:br w:type="page"/>
      </w:r>
    </w:p>
    <w:p w14:paraId="2D4F0649" w14:textId="77777777" w:rsidR="00A9449D" w:rsidRPr="00457191" w:rsidRDefault="00A9449D" w:rsidP="00E85E27">
      <w:pPr>
        <w:pStyle w:val="ANorm"/>
        <w:numPr>
          <w:ilvl w:val="0"/>
          <w:numId w:val="182"/>
        </w:numPr>
        <w:spacing w:after="240"/>
        <w:rPr>
          <w:rFonts w:asciiTheme="minorHAnsi" w:hAnsiTheme="minorHAnsi" w:cstheme="minorHAnsi"/>
          <w:b/>
          <w:bCs/>
        </w:rPr>
      </w:pPr>
      <w:r w:rsidRPr="00457191">
        <w:rPr>
          <w:rFonts w:asciiTheme="minorHAnsi" w:hAnsiTheme="minorHAnsi" w:cstheme="minorHAnsi"/>
          <w:b/>
          <w:bCs/>
        </w:rPr>
        <w:lastRenderedPageBreak/>
        <w:t>BUILD THE EVIDENCE BASE</w:t>
      </w:r>
    </w:p>
    <w:p w14:paraId="4BB0E7F3" w14:textId="77777777" w:rsidR="00A9449D" w:rsidRPr="00457191" w:rsidRDefault="00A9449D" w:rsidP="00457191">
      <w:pPr>
        <w:spacing w:after="240"/>
        <w:rPr>
          <w:rFonts w:asciiTheme="minorHAnsi" w:eastAsia="Calibri" w:hAnsiTheme="minorHAnsi" w:cstheme="minorHAnsi"/>
          <w:b/>
          <w:bCs/>
          <w:sz w:val="21"/>
          <w:szCs w:val="21"/>
        </w:rPr>
      </w:pPr>
      <w:r w:rsidRPr="00457191">
        <w:rPr>
          <w:rFonts w:asciiTheme="minorHAnsi" w:hAnsiTheme="minorHAnsi" w:cstheme="minorHAnsi"/>
          <w:b/>
          <w:bCs/>
          <w:sz w:val="21"/>
          <w:szCs w:val="21"/>
        </w:rPr>
        <w:t xml:space="preserve">Recommendation 5:  </w:t>
      </w:r>
      <w:r w:rsidRPr="00457191">
        <w:rPr>
          <w:rFonts w:asciiTheme="minorHAnsi" w:eastAsia="Calibri" w:hAnsiTheme="minorHAnsi" w:cstheme="minorHAnsi"/>
          <w:b/>
          <w:bCs/>
          <w:sz w:val="21"/>
          <w:szCs w:val="21"/>
        </w:rPr>
        <w:t>Continuing investment to develop the evidence base for DMHSs is crucial.</w:t>
      </w:r>
    </w:p>
    <w:p w14:paraId="5CBF2F6A" w14:textId="1B296B9C" w:rsidR="00A9449D" w:rsidRPr="00457191" w:rsidRDefault="00A9449D" w:rsidP="00457191">
      <w:pPr>
        <w:pStyle w:val="paragraph"/>
        <w:spacing w:before="0" w:beforeAutospacing="0" w:after="240" w:afterAutospacing="0"/>
        <w:textAlignment w:val="baseline"/>
      </w:pPr>
      <w:r w:rsidRPr="00457191">
        <w:t xml:space="preserve">Continued investment is required to develop the evidence base through directly sponsoring research to establish effectiveness of interventions. </w:t>
      </w:r>
      <w:r w:rsidRPr="00457191">
        <w:rPr>
          <w:rStyle w:val="normaltextrun"/>
        </w:rPr>
        <w:t xml:space="preserve">Although robust evidence exists for the efficacy and effectiveness of using digital mental health interventions to treat depression and anxiety, further research is needed to explore the efficacy of these interventions </w:t>
      </w:r>
      <w:r w:rsidRPr="00457191">
        <w:t>for traditionally underserviced (e.g., Indigenous peoples, people from culturally and linguistically diverse backgrounds and people who are LGBTQIA+); and other mental disorders (e.g., psychotic disorders, personality disorders, substance dependence) and co-morbid conditions. For example, exploring whether consumers experiencing psychotic disorders, suicidal ideation and/or more complex presentations benefit from therapist-supported DMHS treatment as a component of a suite of care (e.g., medical follow-up, specialist mental health care), which for many, does not include evidence-based psychological treatment.</w:t>
      </w:r>
      <w:r w:rsidRPr="00457191">
        <w:fldChar w:fldCharType="begin">
          <w:fldData xml:space="preserve">PEVuZE5vdGU+PENpdGU+PEF1dGhvcj5IYXJ2ZXk8L0F1dGhvcj48WWVhcj4yMDE5PC9ZZWFyPjxS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</w:fldData>
        </w:fldChar>
      </w:r>
      <w:r w:rsidR="004469A2">
        <w:instrText xml:space="preserve"> ADDIN EN.CITE </w:instrText>
      </w:r>
      <w:r w:rsidR="004469A2">
        <w:fldChar w:fldCharType="begin">
          <w:fldData xml:space="preserve">PEVuZE5vdGU+PENpdGU+PEF1dGhvcj5IYXJ2ZXk8L0F1dGhvcj48WWVhcj4yMDE5PC9ZZWFyPjxS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</w:fldData>
        </w:fldChar>
      </w:r>
      <w:r w:rsidR="004469A2">
        <w:instrText xml:space="preserve"> ADDIN EN.CITE.DATA </w:instrText>
      </w:r>
      <w:r w:rsidR="004469A2">
        <w:fldChar w:fldCharType="end"/>
      </w:r>
      <w:r w:rsidRPr="00457191">
        <w:fldChar w:fldCharType="separate"/>
      </w:r>
      <w:r w:rsidR="004469A2" w:rsidRPr="004469A2">
        <w:rPr>
          <w:noProof/>
          <w:vertAlign w:val="superscript"/>
        </w:rPr>
        <w:t>24</w:t>
      </w:r>
      <w:r w:rsidRPr="00457191">
        <w:fldChar w:fldCharType="end"/>
      </w:r>
    </w:p>
    <w:p w14:paraId="443558FE" w14:textId="77777777" w:rsidR="00A9449D" w:rsidRPr="00457191" w:rsidRDefault="00A9449D" w:rsidP="00457191">
      <w:pPr>
        <w:pStyle w:val="paragraph"/>
        <w:spacing w:before="0" w:beforeAutospacing="0" w:after="240" w:afterAutospacing="0"/>
        <w:textAlignment w:val="baseline"/>
        <w:rPr>
          <w:rStyle w:val="normaltextrun"/>
        </w:rPr>
      </w:pPr>
      <w:r w:rsidRPr="00457191">
        <w:t xml:space="preserve">Future research is also needed to increase understanding of who engages with, adheres to and benefits from DMHSs and why. </w:t>
      </w:r>
      <w:r w:rsidRPr="00457191">
        <w:rPr>
          <w:rStyle w:val="normaltextrun"/>
        </w:rPr>
        <w:t>This work could contribute to comprehensive assessment and screening of consumers to identify consumers suited to and most likely to benefit from DMHSs. It may also help identify the information gaps on people who don’t engage with DMHSs and how can this be addressed.</w:t>
      </w:r>
    </w:p>
    <w:p w14:paraId="21A235AB" w14:textId="77777777" w:rsidR="00A9449D" w:rsidRPr="00457191" w:rsidRDefault="00A9449D" w:rsidP="00457191">
      <w:pPr>
        <w:spacing w:after="240"/>
        <w:rPr>
          <w:rFonts w:asciiTheme="minorHAnsi" w:hAnsiTheme="minorHAnsi" w:cstheme="minorHAnsi"/>
          <w:sz w:val="21"/>
          <w:szCs w:val="21"/>
          <w:lang w:val="en-US"/>
        </w:rPr>
      </w:pPr>
      <w:r w:rsidRPr="00457191">
        <w:rPr>
          <w:rFonts w:asciiTheme="minorHAnsi" w:hAnsiTheme="minorHAnsi" w:cstheme="minorHAnsi"/>
          <w:color w:val="000000" w:themeColor="text1"/>
          <w:sz w:val="21"/>
          <w:szCs w:val="21"/>
        </w:rPr>
        <w:t xml:space="preserve">Resourcing to develop evaluation capacity and embed evaluation as part of a continuous improvement approach within DMHSs will also contribute to building the evidence base. </w:t>
      </w:r>
      <w:r w:rsidRPr="00457191">
        <w:rPr>
          <w:rFonts w:asciiTheme="minorHAnsi" w:hAnsiTheme="minorHAnsi" w:cstheme="minorHAnsi"/>
          <w:sz w:val="21"/>
          <w:szCs w:val="21"/>
          <w:lang w:val="en-US"/>
        </w:rPr>
        <w:t>Evaluation of DMHSs should be ongoing, and findings shared to allow scaling up of service models, or components of service models which are effective.</w:t>
      </w:r>
    </w:p>
    <w:p w14:paraId="5FB002CB" w14:textId="77777777" w:rsidR="00A9449D" w:rsidRPr="00457191" w:rsidRDefault="00A9449D" w:rsidP="00E85E27">
      <w:pPr>
        <w:pStyle w:val="ANorm"/>
        <w:numPr>
          <w:ilvl w:val="0"/>
          <w:numId w:val="182"/>
        </w:numPr>
        <w:spacing w:after="240"/>
        <w:rPr>
          <w:rFonts w:asciiTheme="minorHAnsi" w:hAnsiTheme="minorHAnsi" w:cstheme="minorHAnsi"/>
          <w:b/>
          <w:bCs/>
        </w:rPr>
      </w:pPr>
      <w:r w:rsidRPr="00457191">
        <w:rPr>
          <w:rFonts w:asciiTheme="minorHAnsi" w:hAnsiTheme="minorHAnsi" w:cstheme="minorHAnsi"/>
          <w:b/>
          <w:bCs/>
        </w:rPr>
        <w:t>INVEST IN SERVICE DEVELOPMENT</w:t>
      </w:r>
    </w:p>
    <w:p w14:paraId="7E68008E" w14:textId="77777777" w:rsidR="00A9449D" w:rsidRPr="00457191" w:rsidRDefault="00A9449D" w:rsidP="00457191">
      <w:pPr>
        <w:pStyle w:val="ANorm"/>
        <w:spacing w:after="240"/>
        <w:rPr>
          <w:rFonts w:asciiTheme="minorHAnsi" w:hAnsiTheme="minorHAnsi" w:cstheme="minorHAnsi"/>
          <w:b/>
          <w:bCs/>
        </w:rPr>
      </w:pPr>
      <w:r w:rsidRPr="00457191">
        <w:rPr>
          <w:rFonts w:asciiTheme="minorHAnsi" w:hAnsiTheme="minorHAnsi" w:cstheme="minorHAnsi"/>
          <w:b/>
          <w:bCs/>
        </w:rPr>
        <w:t>Recommendation 6:  Service development initiatives involving people with lived experience are needed to address the diversity within focus populations and scale services.</w:t>
      </w:r>
    </w:p>
    <w:p w14:paraId="76EA4D7B" w14:textId="77777777" w:rsidR="00A9449D" w:rsidRPr="00457191" w:rsidRDefault="00A9449D" w:rsidP="00457191">
      <w:pPr>
        <w:pStyle w:val="ANorm"/>
        <w:spacing w:after="240"/>
        <w:rPr>
          <w:rStyle w:val="normaltextrun"/>
          <w:rFonts w:asciiTheme="minorHAnsi" w:hAnsiTheme="minorHAnsi" w:cstheme="minorHAnsi"/>
          <w:lang w:val="en-US"/>
        </w:rPr>
      </w:pPr>
      <w:r w:rsidRPr="00457191">
        <w:rPr>
          <w:rStyle w:val="normaltextrun"/>
          <w:rFonts w:asciiTheme="minorHAnsi" w:hAnsiTheme="minorHAnsi" w:cstheme="minorHAnsi"/>
          <w:color w:val="000000"/>
        </w:rPr>
        <w:t>Future development needs to focus on</w:t>
      </w:r>
      <w:r w:rsidRPr="00457191">
        <w:rPr>
          <w:rStyle w:val="normaltextrun"/>
          <w:rFonts w:asciiTheme="minorHAnsi" w:hAnsiTheme="minorHAnsi" w:cstheme="minorHAnsi"/>
        </w:rPr>
        <w:t xml:space="preserve"> the broader inclusion of disadvantaged sub-populations.</w:t>
      </w:r>
      <w:r w:rsidRPr="00457191">
        <w:rPr>
          <w:rFonts w:asciiTheme="minorHAnsi" w:hAnsiTheme="minorHAnsi" w:cstheme="minorHAnsi"/>
          <w:lang w:val="en-US"/>
        </w:rPr>
        <w:t xml:space="preserve"> Tailored approaches may be needed to target minority and disadvantaged groups. Time and resources to develop and evaluate these are necessary.</w:t>
      </w:r>
    </w:p>
    <w:p w14:paraId="15AB584E" w14:textId="77777777" w:rsidR="00A9449D" w:rsidRPr="00457191" w:rsidRDefault="00A9449D" w:rsidP="00457191">
      <w:pPr>
        <w:pStyle w:val="ANorm"/>
        <w:spacing w:after="240"/>
        <w:rPr>
          <w:rFonts w:asciiTheme="minorHAnsi" w:hAnsiTheme="minorHAnsi" w:cstheme="minorHAnsi"/>
          <w:lang w:val="en-US"/>
        </w:rPr>
      </w:pPr>
      <w:r w:rsidRPr="00457191">
        <w:rPr>
          <w:rFonts w:asciiTheme="minorHAnsi" w:hAnsiTheme="minorHAnsi" w:cstheme="minorHAnsi"/>
          <w:lang w:val="en-US"/>
        </w:rPr>
        <w:t>Harness knowledge and expertise of people with lived experience and mental health professionals in meaningful co-design.</w:t>
      </w:r>
    </w:p>
    <w:p w14:paraId="69675C1C"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Co-design is an effective model for developing appropriate services, achieving engagement of focus population groups and integration with mainstream services. People with lived experience of mental health problems have an invaluable contribution to make in the development and delivery of DMHSs and their knowledge and expertise needs to be harnessed.</w:t>
      </w:r>
    </w:p>
    <w:p w14:paraId="3D458BB8" w14:textId="0FD85F4E"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 xml:space="preserve">There is a role for whole-of-population initiatives in reaching people from focus population groups who do not necessarily identify with those groups. For example, </w:t>
      </w:r>
      <w:proofErr w:type="spellStart"/>
      <w:r w:rsidRPr="00457191">
        <w:rPr>
          <w:rFonts w:asciiTheme="minorHAnsi" w:hAnsiTheme="minorHAnsi" w:cstheme="minorHAnsi"/>
        </w:rPr>
        <w:t>MindSpot</w:t>
      </w:r>
      <w:proofErr w:type="spellEnd"/>
      <w:r w:rsidRPr="00457191">
        <w:rPr>
          <w:rFonts w:asciiTheme="minorHAnsi" w:hAnsiTheme="minorHAnsi" w:cstheme="minorHAnsi"/>
        </w:rPr>
        <w:t xml:space="preserve"> has shown that Indigenous peoples benefit equally from mainstream and tailored online therapist-supported treatment.</w:t>
      </w:r>
      <w:r w:rsidRPr="00457191">
        <w:rPr>
          <w:rFonts w:asciiTheme="minorHAnsi" w:hAnsiTheme="minorHAnsi" w:cstheme="minorHAnsi"/>
        </w:rPr>
        <w:fldChar w:fldCharType="begin"/>
      </w:r>
      <w:r w:rsidR="004469A2">
        <w:rPr>
          <w:rFonts w:asciiTheme="minorHAnsi" w:hAnsiTheme="minorHAnsi" w:cstheme="minorHAnsi"/>
        </w:rPr>
        <w:instrText xml:space="preserve"> ADDIN EN.CITE &lt;EndNote&gt;&lt;Cite&gt;&lt;Author&gt;Titov&lt;/Author&gt;&lt;Year&gt;2019&lt;/Year&gt;&lt;RecNum&gt;138&lt;/RecNum&gt;&lt;DisplayText&gt;&lt;style face="superscript"&gt;25&lt;/style&gt;&lt;/DisplayText&gt;&lt;record&gt;&lt;rec-number&gt;138&lt;/rec-number&gt;&lt;foreign-keys&gt;&lt;key app="EN" db-id="dawtr0zrkrzfa5edzzlpe2we0xa00t90vvr2" timestamp="1650430455"&gt;138&lt;/key&gt;&lt;/foreign-keys&gt;&lt;ref-type name="Journal Article"&gt;17&lt;/ref-type&gt;&lt;contributors&gt;&lt;authors&gt;&lt;author&gt;Titov, Nickolai&lt;/author&gt;&lt;author&gt;Schofield, Carlie&lt;/author&gt;&lt;author&gt;Staples, Lauren&lt;/author&gt;&lt;author&gt;Dear, Blake F&lt;/author&gt;&lt;author&gt;Nielssen, Olav&lt;/author&gt;&lt;/authors&gt;&lt;/contributors&gt;&lt;titles&gt;&lt;title&gt;A comparison of Indigenous and non-Indigenous users of MindSpot: An Australian digital mental health service&lt;/title&gt;&lt;secondary-title&gt;Australasian Psychiatry&lt;/secondary-title&gt;&lt;/titles&gt;&lt;periodical&gt;&lt;full-title&gt;Australasian Psychiatry&lt;/full-title&gt;&lt;/periodical&gt;&lt;pages&gt;352-357&lt;/pages&gt;&lt;volume&gt;27&lt;/volume&gt;&lt;number&gt;4&lt;/number&gt;&lt;dates&gt;&lt;year&gt;2019&lt;/year&gt;&lt;/dates&gt;&lt;isbn&gt;1039-8562&lt;/isbn&gt;&lt;urls&gt;&lt;/urls&gt;&lt;/record&gt;&lt;/Cite&gt;&lt;/EndNote&gt;</w:instrText>
      </w:r>
      <w:r w:rsidRPr="00457191">
        <w:rPr>
          <w:rFonts w:asciiTheme="minorHAnsi" w:hAnsiTheme="minorHAnsi" w:cstheme="minorHAnsi"/>
        </w:rPr>
        <w:fldChar w:fldCharType="separate"/>
      </w:r>
      <w:r w:rsidR="004469A2" w:rsidRPr="004469A2">
        <w:rPr>
          <w:rFonts w:asciiTheme="minorHAnsi" w:hAnsiTheme="minorHAnsi" w:cstheme="minorHAnsi"/>
          <w:noProof/>
          <w:vertAlign w:val="superscript"/>
        </w:rPr>
        <w:t>25</w:t>
      </w:r>
      <w:r w:rsidRPr="00457191">
        <w:rPr>
          <w:rFonts w:asciiTheme="minorHAnsi" w:hAnsiTheme="minorHAnsi" w:cstheme="minorHAnsi"/>
        </w:rPr>
        <w:fldChar w:fldCharType="end"/>
      </w:r>
    </w:p>
    <w:p w14:paraId="300DDAC0" w14:textId="77777777" w:rsidR="00A9449D" w:rsidRPr="00457191" w:rsidRDefault="00A9449D" w:rsidP="00457191">
      <w:pPr>
        <w:pStyle w:val="paragraph"/>
        <w:spacing w:before="0" w:beforeAutospacing="0" w:after="240" w:afterAutospacing="0"/>
        <w:textAlignment w:val="baseline"/>
        <w:rPr>
          <w:rStyle w:val="normaltextrun"/>
          <w:b/>
          <w:bCs/>
        </w:rPr>
      </w:pPr>
      <w:r w:rsidRPr="00E96271">
        <w:rPr>
          <w:rStyle w:val="normaltextrun"/>
          <w:b/>
        </w:rPr>
        <w:t xml:space="preserve">Recommendation </w:t>
      </w:r>
      <w:r w:rsidRPr="00457191">
        <w:rPr>
          <w:rStyle w:val="normaltextrun"/>
          <w:b/>
          <w:bCs/>
        </w:rPr>
        <w:t>7</w:t>
      </w:r>
      <w:r w:rsidRPr="00E96271">
        <w:rPr>
          <w:rStyle w:val="normaltextrun"/>
          <w:b/>
        </w:rPr>
        <w:t>:  Service development needs to keep pace with technological advances.</w:t>
      </w:r>
    </w:p>
    <w:p w14:paraId="402A50FD" w14:textId="77777777" w:rsidR="00A9449D" w:rsidRPr="00457191" w:rsidRDefault="00A9449D" w:rsidP="00457191">
      <w:pPr>
        <w:pStyle w:val="paragraph"/>
        <w:spacing w:before="0" w:beforeAutospacing="0" w:after="240" w:afterAutospacing="0"/>
        <w:textAlignment w:val="baseline"/>
        <w:rPr>
          <w:rStyle w:val="normaltextrun"/>
        </w:rPr>
      </w:pPr>
      <w:r w:rsidRPr="00457191">
        <w:rPr>
          <w:rStyle w:val="normaltextrun"/>
          <w:color w:val="000000"/>
        </w:rPr>
        <w:t xml:space="preserve">Enhancing digital self-help treatments to include therapist support has been identified as an important implementation strategy. However, the role of technological advances, such as artificial intelligence, in </w:t>
      </w:r>
      <w:r w:rsidRPr="00457191">
        <w:rPr>
          <w:rStyle w:val="normaltextrun"/>
        </w:rPr>
        <w:t>personalising or tailoring of DMHS delivery warrants consideration as means to address differences in consumer needs, promote adherence and positive outcomes, and potentially increase efficiency.</w:t>
      </w:r>
    </w:p>
    <w:p w14:paraId="3271C032" w14:textId="77777777" w:rsidR="00A9449D" w:rsidRPr="00457191" w:rsidRDefault="00A9449D" w:rsidP="00457191">
      <w:pPr>
        <w:pStyle w:val="paragraph"/>
        <w:spacing w:before="0" w:after="240" w:afterAutospacing="0"/>
        <w:textAlignment w:val="baseline"/>
        <w:rPr>
          <w:rStyle w:val="normaltextrun"/>
        </w:rPr>
      </w:pPr>
      <w:r w:rsidRPr="00457191">
        <w:rPr>
          <w:rStyle w:val="normaltextrun"/>
        </w:rPr>
        <w:t>Technological advances also have the potential to be used to scale up service delivery, which can improve the cost-effectiveness of services by reducing the per consumer service delivery cost to lower the incremental cost-effectiveness ratio.</w:t>
      </w:r>
    </w:p>
    <w:p w14:paraId="50E7002D" w14:textId="77777777" w:rsidR="00A9449D" w:rsidRPr="00457191" w:rsidRDefault="00A9449D" w:rsidP="00457191">
      <w:pPr>
        <w:pStyle w:val="ANorm"/>
        <w:spacing w:after="240"/>
        <w:rPr>
          <w:rFonts w:asciiTheme="minorHAnsi" w:hAnsiTheme="minorHAnsi" w:cstheme="minorHAnsi"/>
          <w:b/>
          <w:bCs/>
        </w:rPr>
      </w:pPr>
      <w:r w:rsidRPr="00457191">
        <w:rPr>
          <w:rFonts w:asciiTheme="minorHAnsi" w:hAnsiTheme="minorHAnsi" w:cstheme="minorHAnsi"/>
          <w:b/>
          <w:bCs/>
        </w:rPr>
        <w:lastRenderedPageBreak/>
        <w:t>Recommendation 8:  Commission evidence-based services.</w:t>
      </w:r>
    </w:p>
    <w:p w14:paraId="48FE9929"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 xml:space="preserve">Only DMHSs delivering evidence-based treatments </w:t>
      </w:r>
      <w:r w:rsidRPr="00457191">
        <w:rPr>
          <w:rFonts w:asciiTheme="minorHAnsi" w:hAnsiTheme="minorHAnsi" w:cstheme="minorHAnsi"/>
          <w:lang w:val="en-US"/>
        </w:rPr>
        <w:t>(e.g., CBT) that complement rather than duplicate existing services</w:t>
      </w:r>
      <w:r w:rsidRPr="00457191">
        <w:rPr>
          <w:rFonts w:asciiTheme="minorHAnsi" w:hAnsiTheme="minorHAnsi" w:cstheme="minorHAnsi"/>
        </w:rPr>
        <w:t xml:space="preserve"> should be commissioned.</w:t>
      </w:r>
    </w:p>
    <w:p w14:paraId="6A46996D" w14:textId="77777777" w:rsidR="00A9449D" w:rsidRPr="00457191" w:rsidRDefault="00A9449D" w:rsidP="00457191">
      <w:pPr>
        <w:pStyle w:val="ANorm"/>
        <w:spacing w:after="240"/>
        <w:rPr>
          <w:rFonts w:asciiTheme="minorHAnsi" w:hAnsiTheme="minorHAnsi" w:cstheme="minorHAnsi"/>
          <w:b/>
          <w:bCs/>
        </w:rPr>
      </w:pPr>
      <w:r w:rsidRPr="00457191">
        <w:rPr>
          <w:rFonts w:asciiTheme="minorHAnsi" w:hAnsiTheme="minorHAnsi" w:cstheme="minorHAnsi"/>
        </w:rPr>
        <w:t>DMHSs should adhere to quality standards</w:t>
      </w:r>
      <w:r w:rsidRPr="00457191">
        <w:rPr>
          <w:rFonts w:asciiTheme="minorHAnsi" w:hAnsiTheme="minorHAnsi" w:cstheme="minorHAnsi"/>
          <w:lang w:val="en-US"/>
        </w:rPr>
        <w:t xml:space="preserve"> and complete a National Safety and Quality Digital Mental Health Standards accreditation assessment.</w:t>
      </w:r>
    </w:p>
    <w:p w14:paraId="3178DB24" w14:textId="77777777" w:rsidR="00A9449D" w:rsidRPr="00457191" w:rsidRDefault="00A9449D" w:rsidP="00457191">
      <w:pPr>
        <w:pStyle w:val="Heading2"/>
        <w:numPr>
          <w:ilvl w:val="1"/>
          <w:numId w:val="142"/>
        </w:numPr>
        <w:spacing w:after="240"/>
        <w:rPr>
          <w:rFonts w:asciiTheme="minorHAnsi" w:hAnsiTheme="minorHAnsi" w:cstheme="minorHAnsi"/>
        </w:rPr>
      </w:pPr>
      <w:bookmarkStart w:id="312" w:name="_Toc108784912"/>
      <w:r w:rsidRPr="00457191">
        <w:rPr>
          <w:rFonts w:asciiTheme="minorHAnsi" w:hAnsiTheme="minorHAnsi" w:cstheme="minorHAnsi"/>
        </w:rPr>
        <w:t>Limitations</w:t>
      </w:r>
      <w:bookmarkEnd w:id="312"/>
    </w:p>
    <w:p w14:paraId="047BC72D" w14:textId="77777777" w:rsidR="00A9449D" w:rsidRPr="00457191" w:rsidRDefault="00A9449D" w:rsidP="00457191">
      <w:pPr>
        <w:pStyle w:val="NormalWeb"/>
        <w:spacing w:after="240" w:afterAutospacing="0"/>
        <w:rPr>
          <w:color w:val="000000"/>
          <w:highlight w:val="cyan"/>
        </w:rPr>
      </w:pPr>
      <w:r w:rsidRPr="00457191">
        <w:rPr>
          <w:color w:val="000000"/>
        </w:rPr>
        <w:t>The above findings should be interpreted in the context of several caveats.</w:t>
      </w:r>
    </w:p>
    <w:p w14:paraId="1B94CDAF" w14:textId="77777777" w:rsidR="00A9449D" w:rsidRPr="00457191" w:rsidRDefault="00A9449D" w:rsidP="00457191">
      <w:pPr>
        <w:pStyle w:val="NormalWeb"/>
        <w:spacing w:after="240" w:afterAutospacing="0"/>
        <w:rPr>
          <w:color w:val="000000"/>
        </w:rPr>
      </w:pPr>
      <w:r w:rsidRPr="00457191">
        <w:rPr>
          <w:color w:val="000000"/>
        </w:rPr>
        <w:t>Key among these was the use of aggregate routinely collected service use data, which prevented us from conducting a comprehensive analysis of these data (e.g., consumer profile, treatment description and outcomes). This meant that we limited our analysis of aggregate routinely collected data to describe observed trends in outcomes. Our key effectiveness findings were based on analysis of secondary data we extracted from selected key peer-reviewed publications from the wealth of studies published by the DMHSs. It was beyond our scope to extract data from all their publications.</w:t>
      </w:r>
    </w:p>
    <w:p w14:paraId="36A37F3A" w14:textId="77777777" w:rsidR="00A9449D" w:rsidRPr="00457191" w:rsidRDefault="00A9449D" w:rsidP="00457191">
      <w:pPr>
        <w:pStyle w:val="NormalWeb"/>
        <w:spacing w:after="240" w:afterAutospacing="0"/>
        <w:rPr>
          <w:color w:val="000000"/>
          <w:highlight w:val="cyan"/>
        </w:rPr>
      </w:pPr>
      <w:r w:rsidRPr="00457191">
        <w:rPr>
          <w:color w:val="000000"/>
        </w:rPr>
        <w:t>We used aggregate data on treatment effectiveness to derive the transition probabilities for the economic evaluation. This may have over- or under-estimated the proportion of people who fully or partially recovered after commencing treatment. However, we conducted several sensitivity analyses by varying the transition probabilities and found no significant changes to our overall conclusion about cost effectiveness of DMHSs. Additionally, we limited our modelled cost-effectiveness to a one-year time horizon to ensure that any estimates around benefits and costs were based on plausible empirical data. Therefore, it is possible that the benefits of treatment (and potential downstream costs) associated with each DMHS may have been underestimated.</w:t>
      </w:r>
    </w:p>
    <w:p w14:paraId="3954A6F1" w14:textId="77777777" w:rsidR="00A9449D" w:rsidRPr="00457191" w:rsidRDefault="00A9449D" w:rsidP="00457191">
      <w:pPr>
        <w:pStyle w:val="NormalWeb"/>
        <w:spacing w:after="240" w:afterAutospacing="0"/>
        <w:rPr>
          <w:color w:val="000000"/>
        </w:rPr>
      </w:pPr>
      <w:r w:rsidRPr="00457191">
        <w:rPr>
          <w:color w:val="000000"/>
        </w:rPr>
        <w:t>It should also be noted that even if we used deidentified individual-level consumer data, some data elements are either lacking or not readily available in the data capture systems of the DMHSs (e.g., nature and dose of therapist support, post-treatment outcome data for Mental Health Online). Data on nature therapist support may provide important insights about adherence and effectiveness.</w:t>
      </w:r>
    </w:p>
    <w:p w14:paraId="7F954157"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 xml:space="preserve">Another key limitation is, because of the real-world nature of the evaluation and the limited time frame available to us, it was not feasible to include a comparison group. As a result, we relied on published findings on other mental health treatments and treatment as usual control groups that </w:t>
      </w:r>
      <w:r w:rsidRPr="00457191">
        <w:rPr>
          <w:rFonts w:asciiTheme="minorHAnsi" w:hAnsiTheme="minorHAnsi" w:cstheme="minorHAnsi"/>
          <w:color w:val="auto"/>
          <w:lang w:eastAsia="en-US"/>
        </w:rPr>
        <w:t>may not be entirely representative of the consumers who use DMHSs.</w:t>
      </w:r>
    </w:p>
    <w:p w14:paraId="1BF8A5FC" w14:textId="77777777" w:rsidR="00A9449D" w:rsidRPr="00457191" w:rsidRDefault="00A9449D" w:rsidP="00457191">
      <w:pPr>
        <w:pStyle w:val="ANorm"/>
        <w:spacing w:after="240"/>
        <w:rPr>
          <w:rFonts w:asciiTheme="minorHAnsi" w:hAnsiTheme="minorHAnsi" w:cstheme="minorHAnsi"/>
          <w:color w:val="auto"/>
          <w:lang w:eastAsia="en-US"/>
        </w:rPr>
      </w:pPr>
      <w:r w:rsidRPr="00457191">
        <w:rPr>
          <w:rFonts w:asciiTheme="minorHAnsi" w:hAnsiTheme="minorHAnsi" w:cstheme="minorHAnsi"/>
          <w:color w:val="auto"/>
          <w:lang w:eastAsia="en-US"/>
        </w:rPr>
        <w:t>Finally, despite the achievements of the three DMHSs, their impact has been reported in isolation from community needs analyses, prohibiting comment on the true magnitude of their achievements or their reach within the intended target consumer groups.</w:t>
      </w:r>
    </w:p>
    <w:p w14:paraId="2D04864C" w14:textId="77777777" w:rsidR="00A9449D" w:rsidRPr="00457191" w:rsidRDefault="00A9449D" w:rsidP="00457191">
      <w:pPr>
        <w:pStyle w:val="Heading2"/>
        <w:numPr>
          <w:ilvl w:val="1"/>
          <w:numId w:val="142"/>
        </w:numPr>
        <w:spacing w:after="240"/>
        <w:rPr>
          <w:rFonts w:asciiTheme="minorHAnsi" w:hAnsiTheme="minorHAnsi" w:cstheme="minorHAnsi"/>
        </w:rPr>
      </w:pPr>
      <w:bookmarkStart w:id="313" w:name="_Toc108784913"/>
      <w:r w:rsidRPr="00457191">
        <w:rPr>
          <w:rFonts w:asciiTheme="minorHAnsi" w:hAnsiTheme="minorHAnsi" w:cstheme="minorHAnsi"/>
        </w:rPr>
        <w:t>Strengths</w:t>
      </w:r>
      <w:bookmarkEnd w:id="313"/>
    </w:p>
    <w:p w14:paraId="21A0CB9B" w14:textId="77777777" w:rsidR="00A9449D" w:rsidRPr="00457191" w:rsidRDefault="00A9449D" w:rsidP="00457191">
      <w:pPr>
        <w:pStyle w:val="NormalWeb"/>
        <w:spacing w:after="240" w:afterAutospacing="0"/>
        <w:rPr>
          <w:color w:val="000000"/>
        </w:rPr>
      </w:pPr>
      <w:r w:rsidRPr="00457191">
        <w:rPr>
          <w:color w:val="000000"/>
        </w:rPr>
        <w:t xml:space="preserve">A key strength of our evaluation is that we used multiple data sources ranging from routinely collected data, peer-reviewed and grey literature, and consultations with a large number and broad range of stakeholders. Our stakeholders included 351 consumers and 30 providers of the three DMHSs; 16 people with lived experience of mental health problems (with or without experience using DMHSs); 94 additional health professionals (with or without experience using DMHSs) such as GPs and mental health professionals; and 68 other key mental health sector stakeholders representing 44 organisations (e.g., management staff from the DMHSs, representatives from relevant health professions and peak bodies for people with lived experience). This enabled us to assess processes and impacts and to triangulate findings from a range of perspectives relating to the key evaluation questions. The flexibility of our evaluation approach meant that some stakeholder groups could choose their preferred consultation method, which helped to maximise participation rates. Our collaborative approach with the three </w:t>
      </w:r>
      <w:r w:rsidRPr="00457191">
        <w:rPr>
          <w:color w:val="000000"/>
        </w:rPr>
        <w:lastRenderedPageBreak/>
        <w:t>DMHSs and the Department of Health also helped to maximise participation rates and the potential utilisation of our findings.</w:t>
      </w:r>
    </w:p>
    <w:p w14:paraId="30AFC36A" w14:textId="77777777" w:rsidR="00A9449D" w:rsidRPr="00457191" w:rsidRDefault="00A9449D" w:rsidP="00457191">
      <w:pPr>
        <w:pStyle w:val="ANorm"/>
        <w:spacing w:after="240"/>
        <w:rPr>
          <w:rFonts w:asciiTheme="minorHAnsi" w:hAnsiTheme="minorHAnsi" w:cstheme="minorHAnsi"/>
          <w:color w:val="auto"/>
          <w:lang w:eastAsia="en-US"/>
        </w:rPr>
      </w:pPr>
      <w:r w:rsidRPr="00457191">
        <w:rPr>
          <w:rFonts w:asciiTheme="minorHAnsi" w:hAnsiTheme="minorHAnsi" w:cstheme="minorHAnsi"/>
          <w:color w:val="auto"/>
          <w:lang w:eastAsia="en-US"/>
        </w:rPr>
        <w:t xml:space="preserve">Our holistic approach also meant that we considered both therapist-supported and self-directed treatment in modelling cost effectiveness. Our analysis also highlighted, where possible, the diversity of the three DMHSs in terms of operational and cost structure. This was particularly important given that there are appreciable differences between Mental Health Online, </w:t>
      </w:r>
      <w:proofErr w:type="spellStart"/>
      <w:r w:rsidRPr="00457191">
        <w:rPr>
          <w:rFonts w:asciiTheme="minorHAnsi" w:hAnsiTheme="minorHAnsi" w:cstheme="minorHAnsi"/>
          <w:color w:val="auto"/>
          <w:lang w:eastAsia="en-US"/>
        </w:rPr>
        <w:t>MindSpot</w:t>
      </w:r>
      <w:proofErr w:type="spellEnd"/>
      <w:r w:rsidRPr="00457191">
        <w:rPr>
          <w:rFonts w:asciiTheme="minorHAnsi" w:hAnsiTheme="minorHAnsi" w:cstheme="minorHAnsi"/>
          <w:color w:val="auto"/>
          <w:lang w:eastAsia="en-US"/>
        </w:rPr>
        <w:t xml:space="preserve"> and THIS WAY UP in service delivery, which necessitates modelling the cost-effectiveness of each DMHS separately. Finally, we included the use (and cost) of other health care resources that consumers used in parallel with the DMHS (using our consumer survey data), which made our results more representative of the real-world setting.</w:t>
      </w:r>
    </w:p>
    <w:p w14:paraId="61E885A2" w14:textId="77777777" w:rsidR="00A9449D" w:rsidRPr="00457191" w:rsidRDefault="00A9449D" w:rsidP="00457191">
      <w:pPr>
        <w:pStyle w:val="Heading2"/>
        <w:numPr>
          <w:ilvl w:val="1"/>
          <w:numId w:val="142"/>
        </w:numPr>
        <w:spacing w:after="240"/>
        <w:rPr>
          <w:rFonts w:asciiTheme="minorHAnsi" w:hAnsiTheme="minorHAnsi" w:cstheme="minorHAnsi"/>
        </w:rPr>
      </w:pPr>
      <w:bookmarkStart w:id="314" w:name="_Toc108784914"/>
      <w:r w:rsidRPr="00457191">
        <w:rPr>
          <w:rFonts w:asciiTheme="minorHAnsi" w:hAnsiTheme="minorHAnsi" w:cstheme="minorHAnsi"/>
        </w:rPr>
        <w:t>Conclusions</w:t>
      </w:r>
      <w:bookmarkEnd w:id="314"/>
    </w:p>
    <w:p w14:paraId="305B86AC" w14:textId="77777777"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 xml:space="preserve">Our evaluation has shown that Mental Health Online, </w:t>
      </w:r>
      <w:proofErr w:type="spellStart"/>
      <w:r w:rsidRPr="00457191">
        <w:rPr>
          <w:rFonts w:asciiTheme="minorHAnsi" w:hAnsiTheme="minorHAnsi" w:cstheme="minorHAnsi"/>
        </w:rPr>
        <w:t>MindSpot</w:t>
      </w:r>
      <w:proofErr w:type="spellEnd"/>
      <w:r w:rsidRPr="00457191">
        <w:rPr>
          <w:rFonts w:asciiTheme="minorHAnsi" w:hAnsiTheme="minorHAnsi" w:cstheme="minorHAnsi"/>
        </w:rPr>
        <w:t xml:space="preserve"> and THIS WAY UP are using different service delivery models to provide consumers with a range of digital mental health service offerings including assessment and treatment. They have provided these services free of charge to a substantial number of consumers and have become an integral part of Australia’s mental health care system. They are reaching mainly consumers across the adult lifespan with varying levels of depression and anxiety symptom severity including substantial numbers with severe symptoms. Online treatment programs are delivered in 3-12 sessions with or without therapist support in accordance with consumer preference – irrespective of whether consumers enrol in therapist-supported or self-directed programs. The outcome data, where available, show that treatments delivered by DMHSs are producing significant clinical improvement for consumers. The magnitude of improvement produced, especially by therapist-supported treatment, is comparable with more resource intensive face-to-face treatment options. Services have the potential to be scalable and good value for money.</w:t>
      </w:r>
    </w:p>
    <w:p w14:paraId="5C893AA6" w14:textId="438ACF08" w:rsidR="00A9449D" w:rsidRPr="00457191" w:rsidRDefault="00A9449D" w:rsidP="00457191">
      <w:pPr>
        <w:pStyle w:val="ANorm"/>
        <w:spacing w:after="240"/>
        <w:rPr>
          <w:rFonts w:asciiTheme="minorHAnsi" w:hAnsiTheme="minorHAnsi" w:cstheme="minorHAnsi"/>
        </w:rPr>
      </w:pPr>
      <w:r w:rsidRPr="00457191">
        <w:rPr>
          <w:rFonts w:asciiTheme="minorHAnsi" w:hAnsiTheme="minorHAnsi" w:cstheme="minorHAnsi"/>
        </w:rPr>
        <w:t>The services offered by these DMHSs are largely intended to target consumers with depression and anxiety disorders who choose to use digital mental health treatment or who, for a range of reasons, may have limited, or no, access to alternative treatment options. DMHSs are not intended to serve Australia’s entire help-seeking population, which may be better served through other components of the mental health system (e.g., the larger-scale Better Access program, state-funded public mental health services and the not-for-profit sector). DMHSs are relatively new innovative elements of the Australian mental health care landscape and will become further embedded with time. DMHSs are contributing to ensuring that consumers get the right care at the right time, and importantly, in accordance with consumer needs and preferences.</w:t>
      </w:r>
    </w:p>
    <w:p w14:paraId="499EFEEF" w14:textId="77777777" w:rsidR="00FB7B11" w:rsidRPr="00AA6B28" w:rsidRDefault="00FB7B11" w:rsidP="007949A9">
      <w:pPr>
        <w:rPr>
          <w:lang w:eastAsia="en-AU"/>
        </w:rPr>
      </w:pPr>
      <w:r w:rsidRPr="00AA6B28">
        <w:br w:type="page"/>
      </w:r>
    </w:p>
    <w:p w14:paraId="2B7A71AF" w14:textId="6FC1132B" w:rsidR="00553E11" w:rsidRDefault="005A4B19" w:rsidP="00553E11">
      <w:pPr>
        <w:pStyle w:val="Heading1"/>
      </w:pPr>
      <w:bookmarkStart w:id="315" w:name="_Toc87968465"/>
      <w:bookmarkStart w:id="316" w:name="_Toc108784915"/>
      <w:r w:rsidRPr="00AA6B28">
        <w:lastRenderedPageBreak/>
        <w:t>References</w:t>
      </w:r>
      <w:bookmarkEnd w:id="315"/>
      <w:bookmarkEnd w:id="316"/>
    </w:p>
    <w:p w14:paraId="36EFFBC4" w14:textId="39792C9D" w:rsidR="00B80571" w:rsidRPr="006261DD" w:rsidRDefault="00553E1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sz w:val="21"/>
        </w:rPr>
        <w:fldChar w:fldCharType="begin"/>
      </w:r>
      <w:r w:rsidRPr="006261DD">
        <w:rPr>
          <w:rFonts w:asciiTheme="minorHAnsi" w:hAnsiTheme="minorHAnsi" w:cstheme="minorHAnsi"/>
          <w:sz w:val="21"/>
        </w:rPr>
        <w:instrText xml:space="preserve"> ADDIN EN.REFLIST </w:instrText>
      </w:r>
      <w:r w:rsidRPr="006261DD">
        <w:rPr>
          <w:rFonts w:asciiTheme="minorHAnsi" w:hAnsiTheme="minorHAnsi" w:cstheme="minorHAnsi"/>
          <w:sz w:val="21"/>
        </w:rPr>
        <w:fldChar w:fldCharType="separate"/>
      </w:r>
      <w:r w:rsidR="00B80571" w:rsidRPr="006261DD">
        <w:rPr>
          <w:rFonts w:asciiTheme="minorHAnsi" w:hAnsiTheme="minorHAnsi" w:cstheme="minorHAnsi"/>
          <w:b/>
          <w:noProof/>
          <w:sz w:val="21"/>
        </w:rPr>
        <w:t>1.</w:t>
      </w:r>
      <w:r w:rsidR="00B80571" w:rsidRPr="006261DD">
        <w:rPr>
          <w:rFonts w:asciiTheme="minorHAnsi" w:hAnsiTheme="minorHAnsi" w:cstheme="minorHAnsi"/>
          <w:noProof/>
          <w:sz w:val="21"/>
        </w:rPr>
        <w:tab/>
        <w:t xml:space="preserve">Department of Health. Head to Health.  </w:t>
      </w:r>
      <w:hyperlink r:id="rId89" w:history="1">
        <w:r w:rsidR="00B80571" w:rsidRPr="006261DD">
          <w:rPr>
            <w:rStyle w:val="Hyperlink"/>
            <w:rFonts w:asciiTheme="minorHAnsi" w:hAnsiTheme="minorHAnsi" w:cstheme="minorHAnsi"/>
            <w:noProof/>
            <w:sz w:val="21"/>
          </w:rPr>
          <w:t>https://headtohealth.gov.au/</w:t>
        </w:r>
      </w:hyperlink>
      <w:r w:rsidR="00B80571" w:rsidRPr="006261DD">
        <w:rPr>
          <w:rFonts w:asciiTheme="minorHAnsi" w:hAnsiTheme="minorHAnsi" w:cstheme="minorHAnsi"/>
          <w:noProof/>
          <w:sz w:val="21"/>
        </w:rPr>
        <w:t>. Accessed 5 June, 2021.</w:t>
      </w:r>
    </w:p>
    <w:p w14:paraId="5F009EDD"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2.</w:t>
      </w:r>
      <w:r w:rsidRPr="006261DD">
        <w:rPr>
          <w:rFonts w:asciiTheme="minorHAnsi" w:hAnsiTheme="minorHAnsi" w:cstheme="minorHAnsi"/>
          <w:noProof/>
          <w:sz w:val="21"/>
        </w:rPr>
        <w:tab/>
        <w:t xml:space="preserve">Lattie EG, Stiles-Shields C, Graham AK. An overview of and recommendations for more accessible digital mental health services. </w:t>
      </w:r>
      <w:r w:rsidRPr="006261DD">
        <w:rPr>
          <w:rFonts w:asciiTheme="minorHAnsi" w:hAnsiTheme="minorHAnsi" w:cstheme="minorHAnsi"/>
          <w:i/>
          <w:noProof/>
          <w:sz w:val="21"/>
        </w:rPr>
        <w:t xml:space="preserve">Nature Reviews Psychology. </w:t>
      </w:r>
      <w:r w:rsidRPr="006261DD">
        <w:rPr>
          <w:rFonts w:asciiTheme="minorHAnsi" w:hAnsiTheme="minorHAnsi" w:cstheme="minorHAnsi"/>
          <w:noProof/>
          <w:sz w:val="21"/>
        </w:rPr>
        <w:t>2022;1(2):87-100.</w:t>
      </w:r>
    </w:p>
    <w:p w14:paraId="3F209BFB"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3.</w:t>
      </w:r>
      <w:r w:rsidRPr="006261DD">
        <w:rPr>
          <w:rFonts w:asciiTheme="minorHAnsi" w:hAnsiTheme="minorHAnsi" w:cstheme="minorHAnsi"/>
          <w:noProof/>
          <w:sz w:val="21"/>
        </w:rPr>
        <w:tab/>
        <w:t xml:space="preserve">Department of Health. </w:t>
      </w:r>
      <w:r w:rsidRPr="006261DD">
        <w:rPr>
          <w:rFonts w:asciiTheme="minorHAnsi" w:hAnsiTheme="minorHAnsi" w:cstheme="minorHAnsi"/>
          <w:i/>
          <w:noProof/>
          <w:sz w:val="21"/>
        </w:rPr>
        <w:t>Form of Request for Quotation: Procurement of an organisation to undertake the independent evaluation of supported online mental health treatment services.</w:t>
      </w:r>
      <w:r w:rsidRPr="006261DD">
        <w:rPr>
          <w:rFonts w:asciiTheme="minorHAnsi" w:hAnsiTheme="minorHAnsi" w:cstheme="minorHAnsi"/>
          <w:noProof/>
          <w:sz w:val="21"/>
        </w:rPr>
        <w:t xml:space="preserve"> Canberra: Australian Government; 2021.</w:t>
      </w:r>
    </w:p>
    <w:p w14:paraId="0E4AC700"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4.</w:t>
      </w:r>
      <w:r w:rsidRPr="006261DD">
        <w:rPr>
          <w:rFonts w:asciiTheme="minorHAnsi" w:hAnsiTheme="minorHAnsi" w:cstheme="minorHAnsi"/>
          <w:noProof/>
          <w:sz w:val="21"/>
        </w:rPr>
        <w:tab/>
        <w:t>Productivity Commission. Mental Health, Report no. 95 Canberra; 2020.</w:t>
      </w:r>
    </w:p>
    <w:p w14:paraId="49981EA7"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5.</w:t>
      </w:r>
      <w:r w:rsidRPr="006261DD">
        <w:rPr>
          <w:rFonts w:asciiTheme="minorHAnsi" w:hAnsiTheme="minorHAnsi" w:cstheme="minorHAnsi"/>
          <w:noProof/>
          <w:sz w:val="21"/>
        </w:rPr>
        <w:tab/>
        <w:t xml:space="preserve">Bassilios B, Morgan A, Tan A, Ftanou M, Krysinska K, Le L, Scurrah K, Banfield M, Spittal M, Mihalopoulos C, Pirkis J. </w:t>
      </w:r>
      <w:r w:rsidRPr="006261DD">
        <w:rPr>
          <w:rFonts w:asciiTheme="minorHAnsi" w:hAnsiTheme="minorHAnsi" w:cstheme="minorHAnsi"/>
          <w:i/>
          <w:noProof/>
          <w:sz w:val="21"/>
        </w:rPr>
        <w:t>Literature review of effectiveness of supported digital mental health interventions (DMHIs).</w:t>
      </w:r>
      <w:r w:rsidRPr="006261DD">
        <w:rPr>
          <w:rFonts w:asciiTheme="minorHAnsi" w:hAnsiTheme="minorHAnsi" w:cstheme="minorHAnsi"/>
          <w:noProof/>
          <w:sz w:val="21"/>
        </w:rPr>
        <w:t xml:space="preserve"> Melbourne: Centre for Mental Health, University of Melbourne; 2022.</w:t>
      </w:r>
    </w:p>
    <w:p w14:paraId="7DEEF7FA"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6.</w:t>
      </w:r>
      <w:r w:rsidRPr="006261DD">
        <w:rPr>
          <w:rFonts w:asciiTheme="minorHAnsi" w:hAnsiTheme="minorHAnsi" w:cstheme="minorHAnsi"/>
          <w:noProof/>
          <w:sz w:val="21"/>
        </w:rPr>
        <w:tab/>
        <w:t xml:space="preserve">Bassilios B, Ftanou M, Tan A, Morgan A, Machlin A, Mangelsdorf S, Le L, Banfield M, Spittal M, Mihalopoulos C, Pirkis J. </w:t>
      </w:r>
      <w:r w:rsidRPr="006261DD">
        <w:rPr>
          <w:rFonts w:asciiTheme="minorHAnsi" w:hAnsiTheme="minorHAnsi" w:cstheme="minorHAnsi"/>
          <w:i/>
          <w:noProof/>
          <w:sz w:val="21"/>
        </w:rPr>
        <w:t>Environmental scan of digital mental health services.</w:t>
      </w:r>
      <w:r w:rsidRPr="006261DD">
        <w:rPr>
          <w:rFonts w:asciiTheme="minorHAnsi" w:hAnsiTheme="minorHAnsi" w:cstheme="minorHAnsi"/>
          <w:noProof/>
          <w:sz w:val="21"/>
        </w:rPr>
        <w:t xml:space="preserve"> Melbourne: Centre for Mental Health, University of Melbourne; 2022.</w:t>
      </w:r>
    </w:p>
    <w:p w14:paraId="751EB3C3"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7.</w:t>
      </w:r>
      <w:r w:rsidRPr="006261DD">
        <w:rPr>
          <w:rFonts w:asciiTheme="minorHAnsi" w:hAnsiTheme="minorHAnsi" w:cstheme="minorHAnsi"/>
          <w:noProof/>
          <w:sz w:val="21"/>
        </w:rPr>
        <w:tab/>
        <w:t xml:space="preserve">Titov N, Dear BF, Nielssen O, Wootton B, Kayrouz R, Karin E, Genest B, Bennett-Levy J, Purtell C, Bezuidenhout G, Tan R, Minissale C, Thadhani P, Webb N, Willcock S, Andersson G, Hadjistavropoulos HD, Mohr DC, Kavanagh DJ, Cross S, Staples LG. User characteristics and outcomes from a national digital mental health service: An observational study of registrants of the Australian MindSpot Clinic. </w:t>
      </w:r>
      <w:r w:rsidRPr="006261DD">
        <w:rPr>
          <w:rFonts w:asciiTheme="minorHAnsi" w:hAnsiTheme="minorHAnsi" w:cstheme="minorHAnsi"/>
          <w:i/>
          <w:noProof/>
          <w:sz w:val="21"/>
        </w:rPr>
        <w:t xml:space="preserve">The Lancet Digital Health. </w:t>
      </w:r>
      <w:r w:rsidRPr="006261DD">
        <w:rPr>
          <w:rFonts w:asciiTheme="minorHAnsi" w:hAnsiTheme="minorHAnsi" w:cstheme="minorHAnsi"/>
          <w:noProof/>
          <w:sz w:val="21"/>
        </w:rPr>
        <w:t>2020;2(11):e582-e593.</w:t>
      </w:r>
    </w:p>
    <w:p w14:paraId="1C01B17A"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8.</w:t>
      </w:r>
      <w:r w:rsidRPr="006261DD">
        <w:rPr>
          <w:rFonts w:asciiTheme="minorHAnsi" w:hAnsiTheme="minorHAnsi" w:cstheme="minorHAnsi"/>
          <w:noProof/>
          <w:sz w:val="21"/>
        </w:rPr>
        <w:tab/>
        <w:t xml:space="preserve">Leonidaki V, Constantinou MP. A comparison of completion and recovery rates between first-line protocol-based cognitive behavioural therapy and non-manualized relational therapies within a UK psychological service. </w:t>
      </w:r>
      <w:r w:rsidRPr="006261DD">
        <w:rPr>
          <w:rFonts w:asciiTheme="minorHAnsi" w:hAnsiTheme="minorHAnsi" w:cstheme="minorHAnsi"/>
          <w:i/>
          <w:noProof/>
          <w:sz w:val="21"/>
        </w:rPr>
        <w:t xml:space="preserve">Clin Psychol Psychother. </w:t>
      </w:r>
      <w:r w:rsidRPr="006261DD">
        <w:rPr>
          <w:rFonts w:asciiTheme="minorHAnsi" w:hAnsiTheme="minorHAnsi" w:cstheme="minorHAnsi"/>
          <w:noProof/>
          <w:sz w:val="21"/>
        </w:rPr>
        <w:t>2022;29(2):754-766.</w:t>
      </w:r>
    </w:p>
    <w:p w14:paraId="5D83EB31"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9.</w:t>
      </w:r>
      <w:r w:rsidRPr="006261DD">
        <w:rPr>
          <w:rFonts w:asciiTheme="minorHAnsi" w:hAnsiTheme="minorHAnsi" w:cstheme="minorHAnsi"/>
          <w:noProof/>
          <w:sz w:val="21"/>
        </w:rPr>
        <w:tab/>
        <w:t xml:space="preserve">Fernandez E, Salem D, Swift JK, Ramtahal N. Meta-analysis of dropout from cognitive behavioral therapy: Magnitude, timing, and moderators. </w:t>
      </w:r>
      <w:r w:rsidRPr="006261DD">
        <w:rPr>
          <w:rFonts w:asciiTheme="minorHAnsi" w:hAnsiTheme="minorHAnsi" w:cstheme="minorHAnsi"/>
          <w:i/>
          <w:noProof/>
          <w:sz w:val="21"/>
        </w:rPr>
        <w:t xml:space="preserve">J Consult Clin Psychol. </w:t>
      </w:r>
      <w:r w:rsidRPr="006261DD">
        <w:rPr>
          <w:rFonts w:asciiTheme="minorHAnsi" w:hAnsiTheme="minorHAnsi" w:cstheme="minorHAnsi"/>
          <w:noProof/>
          <w:sz w:val="21"/>
        </w:rPr>
        <w:t>2015;83(6):1108-1122.</w:t>
      </w:r>
    </w:p>
    <w:p w14:paraId="3B4FD23B"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10.</w:t>
      </w:r>
      <w:r w:rsidRPr="006261DD">
        <w:rPr>
          <w:rFonts w:asciiTheme="minorHAnsi" w:hAnsiTheme="minorHAnsi" w:cstheme="minorHAnsi"/>
          <w:noProof/>
          <w:sz w:val="21"/>
        </w:rPr>
        <w:tab/>
        <w:t xml:space="preserve">Hilvert-Bruce Z, Rossouw PJ, Wong N, Sunderland M, Andrews G. Adherence as a determinant of effectiveness of internet cognitive behavioural therapy for anxiety and depressive disorders. </w:t>
      </w:r>
      <w:r w:rsidRPr="006261DD">
        <w:rPr>
          <w:rFonts w:asciiTheme="minorHAnsi" w:hAnsiTheme="minorHAnsi" w:cstheme="minorHAnsi"/>
          <w:i/>
          <w:noProof/>
          <w:sz w:val="21"/>
        </w:rPr>
        <w:t xml:space="preserve">Behaviour research and therapy. </w:t>
      </w:r>
      <w:r w:rsidRPr="006261DD">
        <w:rPr>
          <w:rFonts w:asciiTheme="minorHAnsi" w:hAnsiTheme="minorHAnsi" w:cstheme="minorHAnsi"/>
          <w:noProof/>
          <w:sz w:val="21"/>
        </w:rPr>
        <w:t>2012;50(7-8):463-468.</w:t>
      </w:r>
    </w:p>
    <w:p w14:paraId="2C0552C4"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11.</w:t>
      </w:r>
      <w:r w:rsidRPr="006261DD">
        <w:rPr>
          <w:rFonts w:asciiTheme="minorHAnsi" w:hAnsiTheme="minorHAnsi" w:cstheme="minorHAnsi"/>
          <w:noProof/>
          <w:sz w:val="21"/>
        </w:rPr>
        <w:tab/>
        <w:t xml:space="preserve">Van Ballegooijen W, Cuijpers P, Van Straten A, Karyotaki E, Andersson G, Smit JH, Riper H. Adherence to Internet-based and face-to-face cognitive behavioural therapy for depression: a meta-analysis. </w:t>
      </w:r>
      <w:r w:rsidRPr="006261DD">
        <w:rPr>
          <w:rFonts w:asciiTheme="minorHAnsi" w:hAnsiTheme="minorHAnsi" w:cstheme="minorHAnsi"/>
          <w:i/>
          <w:noProof/>
          <w:sz w:val="21"/>
        </w:rPr>
        <w:t xml:space="preserve">PloS one. </w:t>
      </w:r>
      <w:r w:rsidRPr="006261DD">
        <w:rPr>
          <w:rFonts w:asciiTheme="minorHAnsi" w:hAnsiTheme="minorHAnsi" w:cstheme="minorHAnsi"/>
          <w:noProof/>
          <w:sz w:val="21"/>
        </w:rPr>
        <w:t>2014;9(7):e100674.</w:t>
      </w:r>
    </w:p>
    <w:p w14:paraId="2927D311" w14:textId="61337E19"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12.</w:t>
      </w:r>
      <w:r w:rsidRPr="006261DD">
        <w:rPr>
          <w:rFonts w:asciiTheme="minorHAnsi" w:hAnsiTheme="minorHAnsi" w:cstheme="minorHAnsi"/>
          <w:noProof/>
          <w:sz w:val="21"/>
        </w:rPr>
        <w:tab/>
        <w:t xml:space="preserve">Australian Bureau of Statistics. First insights from the National Study of Mental Health and Wellbeing, 2020-21.  </w:t>
      </w:r>
      <w:hyperlink r:id="rId90" w:history="1">
        <w:r w:rsidRPr="006261DD">
          <w:rPr>
            <w:rStyle w:val="Hyperlink"/>
            <w:rFonts w:asciiTheme="minorHAnsi" w:hAnsiTheme="minorHAnsi" w:cstheme="minorHAnsi"/>
            <w:noProof/>
            <w:sz w:val="21"/>
          </w:rPr>
          <w:t>https://www.abs.gov.au/articles/first-insights-national-study-mental-health-and-wellbeing-2020-21</w:t>
        </w:r>
      </w:hyperlink>
      <w:r w:rsidRPr="006261DD">
        <w:rPr>
          <w:rFonts w:asciiTheme="minorHAnsi" w:hAnsiTheme="minorHAnsi" w:cstheme="minorHAnsi"/>
          <w:noProof/>
          <w:sz w:val="21"/>
        </w:rPr>
        <w:t>. Accessed 8 July 2022.</w:t>
      </w:r>
    </w:p>
    <w:p w14:paraId="0A4BFDD8"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13.</w:t>
      </w:r>
      <w:r w:rsidRPr="006261DD">
        <w:rPr>
          <w:rFonts w:asciiTheme="minorHAnsi" w:hAnsiTheme="minorHAnsi" w:cstheme="minorHAnsi"/>
          <w:noProof/>
          <w:sz w:val="21"/>
        </w:rPr>
        <w:tab/>
        <w:t xml:space="preserve">Carter R, Vos T, Moodie M, Haby M, Magnus A, Mihalopoulos C. Priority setting in health: origins, description and application of the Australian Assessing Cost-Effectiveness initiative. </w:t>
      </w:r>
      <w:r w:rsidRPr="006261DD">
        <w:rPr>
          <w:rFonts w:asciiTheme="minorHAnsi" w:hAnsiTheme="minorHAnsi" w:cstheme="minorHAnsi"/>
          <w:i/>
          <w:noProof/>
          <w:sz w:val="21"/>
        </w:rPr>
        <w:t xml:space="preserve">Expert Rev Pharmacoecon Outcomes Res. </w:t>
      </w:r>
      <w:r w:rsidRPr="006261DD">
        <w:rPr>
          <w:rFonts w:asciiTheme="minorHAnsi" w:hAnsiTheme="minorHAnsi" w:cstheme="minorHAnsi"/>
          <w:noProof/>
          <w:sz w:val="21"/>
        </w:rPr>
        <w:t>2008;8(6):593-617.</w:t>
      </w:r>
    </w:p>
    <w:p w14:paraId="02B0117F"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14.</w:t>
      </w:r>
      <w:r w:rsidRPr="006261DD">
        <w:rPr>
          <w:rFonts w:asciiTheme="minorHAnsi" w:hAnsiTheme="minorHAnsi" w:cstheme="minorHAnsi"/>
          <w:noProof/>
          <w:sz w:val="21"/>
        </w:rPr>
        <w:tab/>
        <w:t xml:space="preserve">George B, Harris A, Mitchell A. Cost-effectiveness analysis and the consistency of decision making: evidence from pharmaceutical reimbursement in australia (1991 to 1996). </w:t>
      </w:r>
      <w:r w:rsidRPr="006261DD">
        <w:rPr>
          <w:rFonts w:asciiTheme="minorHAnsi" w:hAnsiTheme="minorHAnsi" w:cstheme="minorHAnsi"/>
          <w:i/>
          <w:noProof/>
          <w:sz w:val="21"/>
        </w:rPr>
        <w:t xml:space="preserve">Pharmacoeconomics. </w:t>
      </w:r>
      <w:r w:rsidRPr="006261DD">
        <w:rPr>
          <w:rFonts w:asciiTheme="minorHAnsi" w:hAnsiTheme="minorHAnsi" w:cstheme="minorHAnsi"/>
          <w:noProof/>
          <w:sz w:val="21"/>
        </w:rPr>
        <w:t>2001;19(11):1103-1109.</w:t>
      </w:r>
    </w:p>
    <w:p w14:paraId="381D3026"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15.</w:t>
      </w:r>
      <w:r w:rsidRPr="006261DD">
        <w:rPr>
          <w:rFonts w:asciiTheme="minorHAnsi" w:hAnsiTheme="minorHAnsi" w:cstheme="minorHAnsi"/>
          <w:noProof/>
          <w:sz w:val="21"/>
        </w:rPr>
        <w:tab/>
        <w:t xml:space="preserve">Harris AH, Hill SR, Chin G, Li JJ, Walkom E. The role of value for money in public insurance coverage decisions for drugs in Australia: a retrospective analysis 1994-2004. </w:t>
      </w:r>
      <w:r w:rsidRPr="006261DD">
        <w:rPr>
          <w:rFonts w:asciiTheme="minorHAnsi" w:hAnsiTheme="minorHAnsi" w:cstheme="minorHAnsi"/>
          <w:i/>
          <w:noProof/>
          <w:sz w:val="21"/>
        </w:rPr>
        <w:t xml:space="preserve">Med Decis Making. </w:t>
      </w:r>
      <w:r w:rsidRPr="006261DD">
        <w:rPr>
          <w:rFonts w:asciiTheme="minorHAnsi" w:hAnsiTheme="minorHAnsi" w:cstheme="minorHAnsi"/>
          <w:noProof/>
          <w:sz w:val="21"/>
        </w:rPr>
        <w:t>2008;28(5):713-722.</w:t>
      </w:r>
    </w:p>
    <w:p w14:paraId="43BFC89A"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16.</w:t>
      </w:r>
      <w:r w:rsidRPr="006261DD">
        <w:rPr>
          <w:rFonts w:asciiTheme="minorHAnsi" w:hAnsiTheme="minorHAnsi" w:cstheme="minorHAnsi"/>
          <w:noProof/>
          <w:sz w:val="21"/>
        </w:rPr>
        <w:tab/>
        <w:t xml:space="preserve">Hedman E, Ljótsson B, Lindefors N. Cognitive behavior therapy via the Internet: a systematic review of applications, clinical efficacy and cost–effectiveness. </w:t>
      </w:r>
      <w:r w:rsidRPr="006261DD">
        <w:rPr>
          <w:rFonts w:asciiTheme="minorHAnsi" w:hAnsiTheme="minorHAnsi" w:cstheme="minorHAnsi"/>
          <w:i/>
          <w:noProof/>
          <w:sz w:val="21"/>
        </w:rPr>
        <w:t xml:space="preserve">Expert Review of Pharmacoeconomics &amp; Outcomes Research. </w:t>
      </w:r>
      <w:r w:rsidRPr="006261DD">
        <w:rPr>
          <w:rFonts w:asciiTheme="minorHAnsi" w:hAnsiTheme="minorHAnsi" w:cstheme="minorHAnsi"/>
          <w:noProof/>
          <w:sz w:val="21"/>
        </w:rPr>
        <w:t>2012;12(6):745-764.</w:t>
      </w:r>
    </w:p>
    <w:p w14:paraId="6ED3F694"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17.</w:t>
      </w:r>
      <w:r w:rsidRPr="006261DD">
        <w:rPr>
          <w:rFonts w:asciiTheme="minorHAnsi" w:hAnsiTheme="minorHAnsi" w:cstheme="minorHAnsi"/>
          <w:noProof/>
          <w:sz w:val="21"/>
        </w:rPr>
        <w:tab/>
        <w:t xml:space="preserve">Donker T, Blankers M, Hedman E, Ljótsson B, Petrie K, Christensen H. Economic evaluations of Internet interventions for mental health: a systematic review. </w:t>
      </w:r>
      <w:r w:rsidRPr="006261DD">
        <w:rPr>
          <w:rFonts w:asciiTheme="minorHAnsi" w:hAnsiTheme="minorHAnsi" w:cstheme="minorHAnsi"/>
          <w:i/>
          <w:noProof/>
          <w:sz w:val="21"/>
        </w:rPr>
        <w:t xml:space="preserve">Psychological Medicine. </w:t>
      </w:r>
      <w:r w:rsidRPr="006261DD">
        <w:rPr>
          <w:rFonts w:asciiTheme="minorHAnsi" w:hAnsiTheme="minorHAnsi" w:cstheme="minorHAnsi"/>
          <w:noProof/>
          <w:sz w:val="21"/>
        </w:rPr>
        <w:t>2015;45(16):3357-3376.</w:t>
      </w:r>
    </w:p>
    <w:p w14:paraId="28805EDE"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18.</w:t>
      </w:r>
      <w:r w:rsidRPr="006261DD">
        <w:rPr>
          <w:rFonts w:asciiTheme="minorHAnsi" w:hAnsiTheme="minorHAnsi" w:cstheme="minorHAnsi"/>
          <w:noProof/>
          <w:sz w:val="21"/>
        </w:rPr>
        <w:tab/>
        <w:t xml:space="preserve">Ahern E, Kinsella S, Semkovska M. Clinical efficacy and economic evaluation of online cognitive behavioral therapy for major depressive disorder: a systematic review and meta-analysis. </w:t>
      </w:r>
      <w:r w:rsidRPr="006261DD">
        <w:rPr>
          <w:rFonts w:asciiTheme="minorHAnsi" w:hAnsiTheme="minorHAnsi" w:cstheme="minorHAnsi"/>
          <w:i/>
          <w:noProof/>
          <w:sz w:val="21"/>
        </w:rPr>
        <w:t xml:space="preserve">Expert Review of Pharmacoeconomics and Outcomes Research. </w:t>
      </w:r>
      <w:r w:rsidRPr="006261DD">
        <w:rPr>
          <w:rFonts w:asciiTheme="minorHAnsi" w:hAnsiTheme="minorHAnsi" w:cstheme="minorHAnsi"/>
          <w:noProof/>
          <w:sz w:val="21"/>
        </w:rPr>
        <w:t>2018;18(1):25-41.</w:t>
      </w:r>
    </w:p>
    <w:p w14:paraId="027C7B06"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19.</w:t>
      </w:r>
      <w:r w:rsidRPr="006261DD">
        <w:rPr>
          <w:rFonts w:asciiTheme="minorHAnsi" w:hAnsiTheme="minorHAnsi" w:cstheme="minorHAnsi"/>
          <w:noProof/>
          <w:sz w:val="21"/>
        </w:rPr>
        <w:tab/>
        <w:t xml:space="preserve">Arnberg FK, Linton SJ, Hultcrantz M, Heintz E, Jonsson U. Internet-Delivered Psychological Treatments for Mood and Anxiety Disorders: A Systematic Review of Their Efficacy, Safety, and Cost-Effectiveness. </w:t>
      </w:r>
      <w:r w:rsidRPr="006261DD">
        <w:rPr>
          <w:rFonts w:asciiTheme="minorHAnsi" w:hAnsiTheme="minorHAnsi" w:cstheme="minorHAnsi"/>
          <w:i/>
          <w:noProof/>
          <w:sz w:val="21"/>
        </w:rPr>
        <w:t xml:space="preserve">PLOS ONE. </w:t>
      </w:r>
      <w:r w:rsidRPr="006261DD">
        <w:rPr>
          <w:rFonts w:asciiTheme="minorHAnsi" w:hAnsiTheme="minorHAnsi" w:cstheme="minorHAnsi"/>
          <w:noProof/>
          <w:sz w:val="21"/>
        </w:rPr>
        <w:t>2014;9(5):e98118.</w:t>
      </w:r>
    </w:p>
    <w:p w14:paraId="33C5B584"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lastRenderedPageBreak/>
        <w:t>20.</w:t>
      </w:r>
      <w:r w:rsidRPr="006261DD">
        <w:rPr>
          <w:rFonts w:asciiTheme="minorHAnsi" w:hAnsiTheme="minorHAnsi" w:cstheme="minorHAnsi"/>
          <w:noProof/>
          <w:sz w:val="21"/>
        </w:rPr>
        <w:tab/>
        <w:t xml:space="preserve">Mitchell LM, Joshi U, Patel V, Lu C, Naslund JA. Economic Evaluations of Internet-Based Psychological Interventions for Anxiety Disorders and Depression: A Systematic Review. </w:t>
      </w:r>
      <w:r w:rsidRPr="006261DD">
        <w:rPr>
          <w:rFonts w:asciiTheme="minorHAnsi" w:hAnsiTheme="minorHAnsi" w:cstheme="minorHAnsi"/>
          <w:i/>
          <w:noProof/>
          <w:sz w:val="21"/>
        </w:rPr>
        <w:t xml:space="preserve">Journal of Affective Disorders. </w:t>
      </w:r>
      <w:r w:rsidRPr="006261DD">
        <w:rPr>
          <w:rFonts w:asciiTheme="minorHAnsi" w:hAnsiTheme="minorHAnsi" w:cstheme="minorHAnsi"/>
          <w:noProof/>
          <w:sz w:val="21"/>
        </w:rPr>
        <w:t>2021;284:157-182.</w:t>
      </w:r>
    </w:p>
    <w:p w14:paraId="0BA94744"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21.</w:t>
      </w:r>
      <w:r w:rsidRPr="006261DD">
        <w:rPr>
          <w:rFonts w:asciiTheme="minorHAnsi" w:hAnsiTheme="minorHAnsi" w:cstheme="minorHAnsi"/>
          <w:noProof/>
          <w:sz w:val="21"/>
        </w:rPr>
        <w:tab/>
        <w:t xml:space="preserve">Dear BF, Zou JB, Ali S, Lorian CN, Johnston L, Sheehan J, Staples LG, Gandy M, Fogliati VJ, Klein B, Titov N. Clinical and Cost-Effectiveness of Therapist-Guided Internet-Delivered Cognitive Behavior Therapy for Older Adults With Symptoms of Anxiety: A Randomized Controlled Trial. </w:t>
      </w:r>
      <w:r w:rsidRPr="006261DD">
        <w:rPr>
          <w:rFonts w:asciiTheme="minorHAnsi" w:hAnsiTheme="minorHAnsi" w:cstheme="minorHAnsi"/>
          <w:i/>
          <w:noProof/>
          <w:sz w:val="21"/>
        </w:rPr>
        <w:t xml:space="preserve">Behavior Therapy. </w:t>
      </w:r>
      <w:r w:rsidRPr="006261DD">
        <w:rPr>
          <w:rFonts w:asciiTheme="minorHAnsi" w:hAnsiTheme="minorHAnsi" w:cstheme="minorHAnsi"/>
          <w:noProof/>
          <w:sz w:val="21"/>
        </w:rPr>
        <w:t>2015;46(2):206-217.</w:t>
      </w:r>
    </w:p>
    <w:p w14:paraId="5BADEEAC"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22.</w:t>
      </w:r>
      <w:r w:rsidRPr="006261DD">
        <w:rPr>
          <w:rFonts w:asciiTheme="minorHAnsi" w:hAnsiTheme="minorHAnsi" w:cstheme="minorHAnsi"/>
          <w:noProof/>
          <w:sz w:val="21"/>
        </w:rPr>
        <w:tab/>
        <w:t xml:space="preserve">Titov N, Dear BF, Ali S, Zou JB, Lorian CN, Johnston L, Terides MD, Kayrouz R, Klein B, Gandy M, Fogliati VJ. Clinical and Cost-Effectiveness of Therapist-Guided Internet-Delivered Cognitive Behavior Therapy for Older Adults With Symptoms of Depression: A Randomized Controlled Trial. </w:t>
      </w:r>
      <w:r w:rsidRPr="006261DD">
        <w:rPr>
          <w:rFonts w:asciiTheme="minorHAnsi" w:hAnsiTheme="minorHAnsi" w:cstheme="minorHAnsi"/>
          <w:i/>
          <w:noProof/>
          <w:sz w:val="21"/>
        </w:rPr>
        <w:t xml:space="preserve">Behavior Therapy. </w:t>
      </w:r>
      <w:r w:rsidRPr="006261DD">
        <w:rPr>
          <w:rFonts w:asciiTheme="minorHAnsi" w:hAnsiTheme="minorHAnsi" w:cstheme="minorHAnsi"/>
          <w:noProof/>
          <w:sz w:val="21"/>
        </w:rPr>
        <w:t>2015;46(2):193-205.</w:t>
      </w:r>
    </w:p>
    <w:p w14:paraId="196E4AC3" w14:textId="29FAB932"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23.</w:t>
      </w:r>
      <w:r w:rsidRPr="006261DD">
        <w:rPr>
          <w:rFonts w:asciiTheme="minorHAnsi" w:hAnsiTheme="minorHAnsi" w:cstheme="minorHAnsi"/>
          <w:noProof/>
          <w:sz w:val="21"/>
        </w:rPr>
        <w:tab/>
        <w:t xml:space="preserve">Australian Government. Medicare Australia Statistics, Medicare Item Reports 2021.  </w:t>
      </w:r>
      <w:hyperlink r:id="rId91" w:history="1">
        <w:r w:rsidRPr="006261DD">
          <w:rPr>
            <w:rStyle w:val="Hyperlink"/>
            <w:rFonts w:asciiTheme="minorHAnsi" w:hAnsiTheme="minorHAnsi" w:cstheme="minorHAnsi"/>
            <w:noProof/>
            <w:sz w:val="21"/>
          </w:rPr>
          <w:t>http://medicarestatistics.humanservices.gov.au/statistics/mbs_item.jsp</w:t>
        </w:r>
      </w:hyperlink>
      <w:r w:rsidRPr="006261DD">
        <w:rPr>
          <w:rFonts w:asciiTheme="minorHAnsi" w:hAnsiTheme="minorHAnsi" w:cstheme="minorHAnsi"/>
          <w:noProof/>
          <w:sz w:val="21"/>
        </w:rPr>
        <w:t>. Accessed 17 May 2022, 2022.</w:t>
      </w:r>
    </w:p>
    <w:p w14:paraId="370CB107"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24.</w:t>
      </w:r>
      <w:r w:rsidRPr="006261DD">
        <w:rPr>
          <w:rFonts w:asciiTheme="minorHAnsi" w:hAnsiTheme="minorHAnsi" w:cstheme="minorHAnsi"/>
          <w:noProof/>
          <w:sz w:val="21"/>
        </w:rPr>
        <w:tab/>
        <w:t xml:space="preserve">Harvey C, Lewis J, Farhall J. Receipt and targeting of evidence-based psychosocial interventions for people living with psychoses: findings from the second Australian national survey of psychosis. </w:t>
      </w:r>
      <w:r w:rsidRPr="006261DD">
        <w:rPr>
          <w:rFonts w:asciiTheme="minorHAnsi" w:hAnsiTheme="minorHAnsi" w:cstheme="minorHAnsi"/>
          <w:i/>
          <w:noProof/>
          <w:sz w:val="21"/>
        </w:rPr>
        <w:t xml:space="preserve">Epidemiol Psychiatr Sci. </w:t>
      </w:r>
      <w:r w:rsidRPr="006261DD">
        <w:rPr>
          <w:rFonts w:asciiTheme="minorHAnsi" w:hAnsiTheme="minorHAnsi" w:cstheme="minorHAnsi"/>
          <w:noProof/>
          <w:sz w:val="21"/>
        </w:rPr>
        <w:t>2019;28(6):613-629.</w:t>
      </w:r>
    </w:p>
    <w:p w14:paraId="2332A7D5"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25.</w:t>
      </w:r>
      <w:r w:rsidRPr="006261DD">
        <w:rPr>
          <w:rFonts w:asciiTheme="minorHAnsi" w:hAnsiTheme="minorHAnsi" w:cstheme="minorHAnsi"/>
          <w:noProof/>
          <w:sz w:val="21"/>
        </w:rPr>
        <w:tab/>
        <w:t xml:space="preserve">Titov N, Schofield C, Staples L, Dear BF, Nielssen O. A comparison of Indigenous and non-Indigenous users of MindSpot: An Australian digital mental health service. </w:t>
      </w:r>
      <w:r w:rsidRPr="006261DD">
        <w:rPr>
          <w:rFonts w:asciiTheme="minorHAnsi" w:hAnsiTheme="minorHAnsi" w:cstheme="minorHAnsi"/>
          <w:i/>
          <w:noProof/>
          <w:sz w:val="21"/>
        </w:rPr>
        <w:t xml:space="preserve">Australasian Psychiatry. </w:t>
      </w:r>
      <w:r w:rsidRPr="006261DD">
        <w:rPr>
          <w:rFonts w:asciiTheme="minorHAnsi" w:hAnsiTheme="minorHAnsi" w:cstheme="minorHAnsi"/>
          <w:noProof/>
          <w:sz w:val="21"/>
        </w:rPr>
        <w:t>2019;27(4):352-357.</w:t>
      </w:r>
    </w:p>
    <w:p w14:paraId="1D9A3D74"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26.</w:t>
      </w:r>
      <w:r w:rsidRPr="006261DD">
        <w:rPr>
          <w:rFonts w:asciiTheme="minorHAnsi" w:hAnsiTheme="minorHAnsi" w:cstheme="minorHAnsi"/>
          <w:noProof/>
          <w:sz w:val="21"/>
        </w:rPr>
        <w:tab/>
        <w:t xml:space="preserve">Hollis C, Morriss R, Martin J, Amani S, Cotton R, Denis M, Lewis S. Technological innovations in mental healthcare: harnessing the digital revolution. </w:t>
      </w:r>
      <w:r w:rsidRPr="006261DD">
        <w:rPr>
          <w:rFonts w:asciiTheme="minorHAnsi" w:hAnsiTheme="minorHAnsi" w:cstheme="minorHAnsi"/>
          <w:i/>
          <w:noProof/>
          <w:sz w:val="21"/>
        </w:rPr>
        <w:t xml:space="preserve">British Journal of Psychiatry. </w:t>
      </w:r>
      <w:r w:rsidRPr="006261DD">
        <w:rPr>
          <w:rFonts w:asciiTheme="minorHAnsi" w:hAnsiTheme="minorHAnsi" w:cstheme="minorHAnsi"/>
          <w:noProof/>
          <w:sz w:val="21"/>
        </w:rPr>
        <w:t>2015;206(4):263-265.</w:t>
      </w:r>
    </w:p>
    <w:p w14:paraId="225B5706"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27.</w:t>
      </w:r>
      <w:r w:rsidRPr="006261DD">
        <w:rPr>
          <w:rFonts w:asciiTheme="minorHAnsi" w:hAnsiTheme="minorHAnsi" w:cstheme="minorHAnsi"/>
          <w:noProof/>
          <w:sz w:val="21"/>
        </w:rPr>
        <w:tab/>
        <w:t xml:space="preserve">Nielssen O, Staples LG, Ryan K, Karin E, Kayrouz R, Dear BF, Cross S, Titov N. Suicide after contact with a national digital mental health service. </w:t>
      </w:r>
      <w:r w:rsidRPr="006261DD">
        <w:rPr>
          <w:rFonts w:asciiTheme="minorHAnsi" w:hAnsiTheme="minorHAnsi" w:cstheme="minorHAnsi"/>
          <w:i/>
          <w:noProof/>
          <w:sz w:val="21"/>
        </w:rPr>
        <w:t xml:space="preserve">Internet Interventions. </w:t>
      </w:r>
      <w:r w:rsidRPr="006261DD">
        <w:rPr>
          <w:rFonts w:asciiTheme="minorHAnsi" w:hAnsiTheme="minorHAnsi" w:cstheme="minorHAnsi"/>
          <w:noProof/>
          <w:sz w:val="21"/>
        </w:rPr>
        <w:t>2022;28:100516.</w:t>
      </w:r>
    </w:p>
    <w:p w14:paraId="7FE75A20"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28.</w:t>
      </w:r>
      <w:r w:rsidRPr="006261DD">
        <w:rPr>
          <w:rFonts w:asciiTheme="minorHAnsi" w:hAnsiTheme="minorHAnsi" w:cstheme="minorHAnsi"/>
          <w:noProof/>
          <w:sz w:val="21"/>
        </w:rPr>
        <w:tab/>
        <w:t xml:space="preserve">Kroenke K, Spitzer RL, Williams JBW. The PHQ-9 - Validity of a brief depression severity measure. </w:t>
      </w:r>
      <w:r w:rsidRPr="006261DD">
        <w:rPr>
          <w:rFonts w:asciiTheme="minorHAnsi" w:hAnsiTheme="minorHAnsi" w:cstheme="minorHAnsi"/>
          <w:i/>
          <w:noProof/>
          <w:sz w:val="21"/>
        </w:rPr>
        <w:t xml:space="preserve">Journal of General Internal Medicine. </w:t>
      </w:r>
      <w:r w:rsidRPr="006261DD">
        <w:rPr>
          <w:rFonts w:asciiTheme="minorHAnsi" w:hAnsiTheme="minorHAnsi" w:cstheme="minorHAnsi"/>
          <w:noProof/>
          <w:sz w:val="21"/>
        </w:rPr>
        <w:t>2001;16(9):606-613.</w:t>
      </w:r>
    </w:p>
    <w:p w14:paraId="2822D9BE"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29.</w:t>
      </w:r>
      <w:r w:rsidRPr="006261DD">
        <w:rPr>
          <w:rFonts w:asciiTheme="minorHAnsi" w:hAnsiTheme="minorHAnsi" w:cstheme="minorHAnsi"/>
          <w:noProof/>
          <w:sz w:val="21"/>
        </w:rPr>
        <w:tab/>
        <w:t xml:space="preserve">Kessler RC, Andrews G, Colpe LJ, Hiripi E, Mroczek DK, Normand SL, Walters EE, Zaslavsky AM. Short screening scales to monitor population prevalences and trends in non-specific psychological distress. </w:t>
      </w:r>
      <w:r w:rsidRPr="006261DD">
        <w:rPr>
          <w:rFonts w:asciiTheme="minorHAnsi" w:hAnsiTheme="minorHAnsi" w:cstheme="minorHAnsi"/>
          <w:i/>
          <w:noProof/>
          <w:sz w:val="21"/>
        </w:rPr>
        <w:t xml:space="preserve">Psychological Medicine. </w:t>
      </w:r>
      <w:r w:rsidRPr="006261DD">
        <w:rPr>
          <w:rFonts w:asciiTheme="minorHAnsi" w:hAnsiTheme="minorHAnsi" w:cstheme="minorHAnsi"/>
          <w:noProof/>
          <w:sz w:val="21"/>
        </w:rPr>
        <w:t>2002;32(6):959-976.</w:t>
      </w:r>
    </w:p>
    <w:p w14:paraId="3D253B08"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30.</w:t>
      </w:r>
      <w:r w:rsidRPr="006261DD">
        <w:rPr>
          <w:rFonts w:asciiTheme="minorHAnsi" w:hAnsiTheme="minorHAnsi" w:cstheme="minorHAnsi"/>
          <w:noProof/>
          <w:sz w:val="21"/>
        </w:rPr>
        <w:tab/>
        <w:t xml:space="preserve">Watts S, Newby JM, Mewton L, Andrews G. A clinical audit of changes in suicide ideas with internet treatment for depression. </w:t>
      </w:r>
      <w:r w:rsidRPr="006261DD">
        <w:rPr>
          <w:rFonts w:asciiTheme="minorHAnsi" w:hAnsiTheme="minorHAnsi" w:cstheme="minorHAnsi"/>
          <w:i/>
          <w:noProof/>
          <w:sz w:val="21"/>
        </w:rPr>
        <w:t xml:space="preserve">BMJ open. </w:t>
      </w:r>
      <w:r w:rsidRPr="006261DD">
        <w:rPr>
          <w:rFonts w:asciiTheme="minorHAnsi" w:hAnsiTheme="minorHAnsi" w:cstheme="minorHAnsi"/>
          <w:noProof/>
          <w:sz w:val="21"/>
        </w:rPr>
        <w:t>2012;2(5):e001558.</w:t>
      </w:r>
    </w:p>
    <w:p w14:paraId="4156219D"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31.</w:t>
      </w:r>
      <w:r w:rsidRPr="006261DD">
        <w:rPr>
          <w:rFonts w:asciiTheme="minorHAnsi" w:hAnsiTheme="minorHAnsi" w:cstheme="minorHAnsi"/>
          <w:noProof/>
          <w:sz w:val="21"/>
        </w:rPr>
        <w:tab/>
        <w:t xml:space="preserve">Mewton L, Andrews G. Cognitive behaviour therapy via the internet for depression: A useful strategy to reduce suicidal ideation. </w:t>
      </w:r>
      <w:r w:rsidRPr="006261DD">
        <w:rPr>
          <w:rFonts w:asciiTheme="minorHAnsi" w:hAnsiTheme="minorHAnsi" w:cstheme="minorHAnsi"/>
          <w:i/>
          <w:noProof/>
          <w:sz w:val="21"/>
        </w:rPr>
        <w:t xml:space="preserve">Journal of affective disorders. </w:t>
      </w:r>
      <w:r w:rsidRPr="006261DD">
        <w:rPr>
          <w:rFonts w:asciiTheme="minorHAnsi" w:hAnsiTheme="minorHAnsi" w:cstheme="minorHAnsi"/>
          <w:noProof/>
          <w:sz w:val="21"/>
        </w:rPr>
        <w:t>2015;170:78-84.</w:t>
      </w:r>
    </w:p>
    <w:p w14:paraId="0739209C"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32.</w:t>
      </w:r>
      <w:r w:rsidRPr="006261DD">
        <w:rPr>
          <w:rFonts w:asciiTheme="minorHAnsi" w:hAnsiTheme="minorHAnsi" w:cstheme="minorHAnsi"/>
          <w:noProof/>
          <w:sz w:val="21"/>
        </w:rPr>
        <w:tab/>
        <w:t xml:space="preserve">Kessler RC, Andrews G, Colpe LJ, Hiripi E, Mroczek DK, Normand SLT, Walters EE, Zaslavsky AM. Short screening scales to monitor population prevalences and trends in non-specific psychological distress. </w:t>
      </w:r>
      <w:r w:rsidRPr="006261DD">
        <w:rPr>
          <w:rFonts w:asciiTheme="minorHAnsi" w:hAnsiTheme="minorHAnsi" w:cstheme="minorHAnsi"/>
          <w:i/>
          <w:noProof/>
          <w:sz w:val="21"/>
        </w:rPr>
        <w:t xml:space="preserve">Psychological Medicine. </w:t>
      </w:r>
      <w:r w:rsidRPr="006261DD">
        <w:rPr>
          <w:rFonts w:asciiTheme="minorHAnsi" w:hAnsiTheme="minorHAnsi" w:cstheme="minorHAnsi"/>
          <w:noProof/>
          <w:sz w:val="21"/>
        </w:rPr>
        <w:t>2002;32(6):959-976.</w:t>
      </w:r>
    </w:p>
    <w:p w14:paraId="064C31F6"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33.</w:t>
      </w:r>
      <w:r w:rsidRPr="006261DD">
        <w:rPr>
          <w:rFonts w:asciiTheme="minorHAnsi" w:hAnsiTheme="minorHAnsi" w:cstheme="minorHAnsi"/>
          <w:noProof/>
          <w:sz w:val="21"/>
        </w:rPr>
        <w:tab/>
        <w:t xml:space="preserve">Spitzer RL, Kroenke K, Williams JB, Löwe B. A brief measure for assessing generalized anxiety disorder: The GAD-7. </w:t>
      </w:r>
      <w:r w:rsidRPr="006261DD">
        <w:rPr>
          <w:rFonts w:asciiTheme="minorHAnsi" w:hAnsiTheme="minorHAnsi" w:cstheme="minorHAnsi"/>
          <w:i/>
          <w:noProof/>
          <w:sz w:val="21"/>
        </w:rPr>
        <w:t xml:space="preserve">Archives of Internal Medicine. </w:t>
      </w:r>
      <w:r w:rsidRPr="006261DD">
        <w:rPr>
          <w:rFonts w:asciiTheme="minorHAnsi" w:hAnsiTheme="minorHAnsi" w:cstheme="minorHAnsi"/>
          <w:noProof/>
          <w:sz w:val="21"/>
        </w:rPr>
        <w:t>2006;166(10):1092-1097.</w:t>
      </w:r>
    </w:p>
    <w:p w14:paraId="7FCA18AC"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34.</w:t>
      </w:r>
      <w:r w:rsidRPr="006261DD">
        <w:rPr>
          <w:rFonts w:asciiTheme="minorHAnsi" w:hAnsiTheme="minorHAnsi" w:cstheme="minorHAnsi"/>
          <w:noProof/>
          <w:sz w:val="21"/>
        </w:rPr>
        <w:tab/>
        <w:t xml:space="preserve">Shear MK, Rucci P, Williams J, Frank E, Grochocinski V, Vander Bilt J, Houck P, Wang T. Reliability and validity of the Panic Disorder Severity Scale: Replication and extension. </w:t>
      </w:r>
      <w:r w:rsidRPr="006261DD">
        <w:rPr>
          <w:rFonts w:asciiTheme="minorHAnsi" w:hAnsiTheme="minorHAnsi" w:cstheme="minorHAnsi"/>
          <w:i/>
          <w:noProof/>
          <w:sz w:val="21"/>
        </w:rPr>
        <w:t xml:space="preserve">Journal of Psychiatric Research. </w:t>
      </w:r>
      <w:r w:rsidRPr="006261DD">
        <w:rPr>
          <w:rFonts w:asciiTheme="minorHAnsi" w:hAnsiTheme="minorHAnsi" w:cstheme="minorHAnsi"/>
          <w:noProof/>
          <w:sz w:val="21"/>
        </w:rPr>
        <w:t>2001;35(5):293-296.</w:t>
      </w:r>
    </w:p>
    <w:p w14:paraId="2A1A424A"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35.</w:t>
      </w:r>
      <w:r w:rsidRPr="006261DD">
        <w:rPr>
          <w:rFonts w:asciiTheme="minorHAnsi" w:hAnsiTheme="minorHAnsi" w:cstheme="minorHAnsi"/>
          <w:noProof/>
          <w:sz w:val="21"/>
        </w:rPr>
        <w:tab/>
        <w:t xml:space="preserve">Connor KM, Kobak KA, Churchill LE, Katzelnick D, Davidson JRT. Mini-spin: A brief screening assessment for generalized social anxiety disorder. </w:t>
      </w:r>
      <w:r w:rsidRPr="006261DD">
        <w:rPr>
          <w:rFonts w:asciiTheme="minorHAnsi" w:hAnsiTheme="minorHAnsi" w:cstheme="minorHAnsi"/>
          <w:i/>
          <w:noProof/>
          <w:sz w:val="21"/>
        </w:rPr>
        <w:t xml:space="preserve">Depression and Anxiety. </w:t>
      </w:r>
      <w:r w:rsidRPr="006261DD">
        <w:rPr>
          <w:rFonts w:asciiTheme="minorHAnsi" w:hAnsiTheme="minorHAnsi" w:cstheme="minorHAnsi"/>
          <w:noProof/>
          <w:sz w:val="21"/>
        </w:rPr>
        <w:t>2001;14(2):137-140.</w:t>
      </w:r>
    </w:p>
    <w:p w14:paraId="7E6CE054"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36.</w:t>
      </w:r>
      <w:r w:rsidRPr="006261DD">
        <w:rPr>
          <w:rFonts w:asciiTheme="minorHAnsi" w:hAnsiTheme="minorHAnsi" w:cstheme="minorHAnsi"/>
          <w:noProof/>
          <w:sz w:val="21"/>
        </w:rPr>
        <w:tab/>
        <w:t xml:space="preserve">Weathers FW, Litz BT, Huska JA, Keane TM. </w:t>
      </w:r>
      <w:r w:rsidRPr="006261DD">
        <w:rPr>
          <w:rFonts w:asciiTheme="minorHAnsi" w:hAnsiTheme="minorHAnsi" w:cstheme="minorHAnsi"/>
          <w:i/>
          <w:noProof/>
          <w:sz w:val="21"/>
        </w:rPr>
        <w:t>PCL-C for DSM-IV</w:t>
      </w:r>
      <w:r w:rsidRPr="006261DD">
        <w:rPr>
          <w:rFonts w:asciiTheme="minorHAnsi" w:hAnsiTheme="minorHAnsi" w:cstheme="minorHAnsi"/>
          <w:noProof/>
          <w:sz w:val="21"/>
        </w:rPr>
        <w:t>. Boston: National Centre for PTSD, Behavioral Science Divison; 1994.</w:t>
      </w:r>
    </w:p>
    <w:p w14:paraId="3DDA1E2D"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37.</w:t>
      </w:r>
      <w:r w:rsidRPr="006261DD">
        <w:rPr>
          <w:rFonts w:asciiTheme="minorHAnsi" w:hAnsiTheme="minorHAnsi" w:cstheme="minorHAnsi"/>
          <w:noProof/>
          <w:sz w:val="21"/>
        </w:rPr>
        <w:tab/>
        <w:t xml:space="preserve">Foa EB, Huppert JD, Leiberg S, Langner R, Kichic R, Hajcak G, Salkovskis PM. The obsessive-compulsive inventory: Development and validation of a short version. </w:t>
      </w:r>
      <w:r w:rsidRPr="006261DD">
        <w:rPr>
          <w:rFonts w:asciiTheme="minorHAnsi" w:hAnsiTheme="minorHAnsi" w:cstheme="minorHAnsi"/>
          <w:i/>
          <w:noProof/>
          <w:sz w:val="21"/>
        </w:rPr>
        <w:t xml:space="preserve">Psychological Assessment. </w:t>
      </w:r>
      <w:r w:rsidRPr="006261DD">
        <w:rPr>
          <w:rFonts w:asciiTheme="minorHAnsi" w:hAnsiTheme="minorHAnsi" w:cstheme="minorHAnsi"/>
          <w:noProof/>
          <w:sz w:val="21"/>
        </w:rPr>
        <w:t>2002;14(4):485-496.</w:t>
      </w:r>
    </w:p>
    <w:p w14:paraId="3C9DEABD"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38.</w:t>
      </w:r>
      <w:r w:rsidRPr="006261DD">
        <w:rPr>
          <w:rFonts w:asciiTheme="minorHAnsi" w:hAnsiTheme="minorHAnsi" w:cstheme="minorHAnsi"/>
          <w:noProof/>
          <w:sz w:val="21"/>
        </w:rPr>
        <w:tab/>
        <w:t xml:space="preserve">Fink P, Ewald H, Jensen J, Sorensen L, Engberg M, Holm M, Munk-Jorgensen P. Screening for somatization and hypochondriasis in primary care and neurological in-patients: A seven-item scale for hypochondriasis and somatization. </w:t>
      </w:r>
      <w:r w:rsidRPr="006261DD">
        <w:rPr>
          <w:rFonts w:asciiTheme="minorHAnsi" w:hAnsiTheme="minorHAnsi" w:cstheme="minorHAnsi"/>
          <w:i/>
          <w:noProof/>
          <w:sz w:val="21"/>
        </w:rPr>
        <w:t xml:space="preserve">Journal of Psychosomatic Research. </w:t>
      </w:r>
      <w:r w:rsidRPr="006261DD">
        <w:rPr>
          <w:rFonts w:asciiTheme="minorHAnsi" w:hAnsiTheme="minorHAnsi" w:cstheme="minorHAnsi"/>
          <w:noProof/>
          <w:sz w:val="21"/>
        </w:rPr>
        <w:t>1999;46(3):261-273.</w:t>
      </w:r>
    </w:p>
    <w:p w14:paraId="5708B0F1"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39.</w:t>
      </w:r>
      <w:r w:rsidRPr="006261DD">
        <w:rPr>
          <w:rFonts w:asciiTheme="minorHAnsi" w:hAnsiTheme="minorHAnsi" w:cstheme="minorHAnsi"/>
          <w:noProof/>
          <w:sz w:val="21"/>
        </w:rPr>
        <w:tab/>
        <w:t xml:space="preserve">Bastien CH, Vallieres A, Morin CM. Validation of the Insomnia Severity Index as an outcome measure for insomnia research. </w:t>
      </w:r>
      <w:r w:rsidRPr="006261DD">
        <w:rPr>
          <w:rFonts w:asciiTheme="minorHAnsi" w:hAnsiTheme="minorHAnsi" w:cstheme="minorHAnsi"/>
          <w:i/>
          <w:noProof/>
          <w:sz w:val="21"/>
        </w:rPr>
        <w:t xml:space="preserve">Sleep Medicine. </w:t>
      </w:r>
      <w:r w:rsidRPr="006261DD">
        <w:rPr>
          <w:rFonts w:asciiTheme="minorHAnsi" w:hAnsiTheme="minorHAnsi" w:cstheme="minorHAnsi"/>
          <w:noProof/>
          <w:sz w:val="21"/>
        </w:rPr>
        <w:t>2001;2(4):297-307.</w:t>
      </w:r>
    </w:p>
    <w:p w14:paraId="73D49FD0"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40.</w:t>
      </w:r>
      <w:r w:rsidRPr="006261DD">
        <w:rPr>
          <w:rFonts w:asciiTheme="minorHAnsi" w:hAnsiTheme="minorHAnsi" w:cstheme="minorHAnsi"/>
          <w:noProof/>
          <w:sz w:val="21"/>
        </w:rPr>
        <w:tab/>
        <w:t xml:space="preserve">THIS WAY UP. </w:t>
      </w:r>
      <w:r w:rsidRPr="006261DD">
        <w:rPr>
          <w:rFonts w:asciiTheme="minorHAnsi" w:hAnsiTheme="minorHAnsi" w:cstheme="minorHAnsi"/>
          <w:i/>
          <w:noProof/>
          <w:sz w:val="21"/>
        </w:rPr>
        <w:t>Project THIS WAY UP Clinic: Progress Report 21. For project period 1 July 2020 – 31 December 2020. Version 1.0, 29 January 2021.</w:t>
      </w:r>
      <w:r w:rsidRPr="006261DD">
        <w:rPr>
          <w:rFonts w:asciiTheme="minorHAnsi" w:hAnsiTheme="minorHAnsi" w:cstheme="minorHAnsi"/>
          <w:noProof/>
          <w:sz w:val="21"/>
        </w:rPr>
        <w:t xml:space="preserve"> Sydney: St Vincent’s Hospital; 2021.</w:t>
      </w:r>
    </w:p>
    <w:p w14:paraId="0E228AB3"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41.</w:t>
      </w:r>
      <w:r w:rsidRPr="006261DD">
        <w:rPr>
          <w:rFonts w:asciiTheme="minorHAnsi" w:hAnsiTheme="minorHAnsi" w:cstheme="minorHAnsi"/>
          <w:noProof/>
          <w:sz w:val="21"/>
        </w:rPr>
        <w:tab/>
        <w:t xml:space="preserve">Thomas N, Seabrook L, Foley F. </w:t>
      </w:r>
      <w:r w:rsidRPr="006261DD">
        <w:rPr>
          <w:rFonts w:asciiTheme="minorHAnsi" w:hAnsiTheme="minorHAnsi" w:cstheme="minorHAnsi"/>
          <w:i/>
          <w:noProof/>
          <w:sz w:val="21"/>
        </w:rPr>
        <w:t>Mental Health Online: Report to the Australian Government Productivity Commission on delivery of an online mental health service, Unpublished report.</w:t>
      </w:r>
      <w:r w:rsidRPr="006261DD">
        <w:rPr>
          <w:rFonts w:asciiTheme="minorHAnsi" w:hAnsiTheme="minorHAnsi" w:cstheme="minorHAnsi"/>
          <w:noProof/>
          <w:sz w:val="21"/>
        </w:rPr>
        <w:t xml:space="preserve"> Melbourne: Centre for Mental Health, Swinburne University of Technology; 2019.</w:t>
      </w:r>
    </w:p>
    <w:p w14:paraId="2670BC70"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lastRenderedPageBreak/>
        <w:t>42.</w:t>
      </w:r>
      <w:r w:rsidRPr="006261DD">
        <w:rPr>
          <w:rFonts w:asciiTheme="minorHAnsi" w:hAnsiTheme="minorHAnsi" w:cstheme="minorHAnsi"/>
          <w:noProof/>
          <w:sz w:val="21"/>
        </w:rPr>
        <w:tab/>
        <w:t xml:space="preserve">Al-Asadi AM, Klein B, Meyer D. Pretreatment attrition and formal withdrawal during treatment and their predictors: An exploratory study of the anxiety online data. </w:t>
      </w:r>
      <w:r w:rsidRPr="006261DD">
        <w:rPr>
          <w:rFonts w:asciiTheme="minorHAnsi" w:hAnsiTheme="minorHAnsi" w:cstheme="minorHAnsi"/>
          <w:i/>
          <w:noProof/>
          <w:sz w:val="21"/>
        </w:rPr>
        <w:t xml:space="preserve">Journal of Medical Internet Research. </w:t>
      </w:r>
      <w:r w:rsidRPr="006261DD">
        <w:rPr>
          <w:rFonts w:asciiTheme="minorHAnsi" w:hAnsiTheme="minorHAnsi" w:cstheme="minorHAnsi"/>
          <w:noProof/>
          <w:sz w:val="21"/>
        </w:rPr>
        <w:t>2014;16(6):e152-e152.</w:t>
      </w:r>
    </w:p>
    <w:p w14:paraId="28CA6537" w14:textId="37C190D3"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43.</w:t>
      </w:r>
      <w:r w:rsidRPr="006261DD">
        <w:rPr>
          <w:rFonts w:asciiTheme="minorHAnsi" w:hAnsiTheme="minorHAnsi" w:cstheme="minorHAnsi"/>
          <w:noProof/>
          <w:sz w:val="21"/>
        </w:rPr>
        <w:tab/>
        <w:t xml:space="preserve">Australian Bureau of Statistics. Information Paper: Use of the Kessler Psychological Distress Scale in ABS health surveys, Australia, 2007-08.  </w:t>
      </w:r>
      <w:hyperlink r:id="rId92" w:history="1">
        <w:r w:rsidRPr="006261DD">
          <w:rPr>
            <w:rStyle w:val="Hyperlink"/>
            <w:rFonts w:asciiTheme="minorHAnsi" w:hAnsiTheme="minorHAnsi" w:cstheme="minorHAnsi"/>
            <w:noProof/>
            <w:sz w:val="21"/>
          </w:rPr>
          <w:t>https://www.abs.gov.au/ausstats/abs@.nsf/Lookup/4817.0.55.001Chapter92007-08</w:t>
        </w:r>
      </w:hyperlink>
      <w:r w:rsidRPr="006261DD">
        <w:rPr>
          <w:rFonts w:asciiTheme="minorHAnsi" w:hAnsiTheme="minorHAnsi" w:cstheme="minorHAnsi"/>
          <w:noProof/>
          <w:sz w:val="21"/>
        </w:rPr>
        <w:t>. Accessed 13 April 2022.</w:t>
      </w:r>
    </w:p>
    <w:p w14:paraId="2D18C04B"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44.</w:t>
      </w:r>
      <w:r w:rsidRPr="006261DD">
        <w:rPr>
          <w:rFonts w:asciiTheme="minorHAnsi" w:hAnsiTheme="minorHAnsi" w:cstheme="minorHAnsi"/>
          <w:noProof/>
          <w:sz w:val="21"/>
        </w:rPr>
        <w:tab/>
        <w:t xml:space="preserve">Kessler RC, Green JG, Gruber MJ, Sampson NA, Bromet E, Cuitan M, Furukawa TA, Gureje O, Hinkov H, Hu CY, Lara C, Lee S, Mneimneh Z, Myer L, Oakley-Browne M, Posada-Villa J, Sagar R, Viana MC, Zaslavsky AM. Screening for serious mental illness in the general population with the K6 screening scale: results from the WHO World Mental Health (WMH) survey initiative. </w:t>
      </w:r>
      <w:r w:rsidRPr="006261DD">
        <w:rPr>
          <w:rFonts w:asciiTheme="minorHAnsi" w:hAnsiTheme="minorHAnsi" w:cstheme="minorHAnsi"/>
          <w:i/>
          <w:noProof/>
          <w:sz w:val="21"/>
        </w:rPr>
        <w:t xml:space="preserve">International Journal of Methods in Psychiatric Research. </w:t>
      </w:r>
      <w:r w:rsidRPr="006261DD">
        <w:rPr>
          <w:rFonts w:asciiTheme="minorHAnsi" w:hAnsiTheme="minorHAnsi" w:cstheme="minorHAnsi"/>
          <w:noProof/>
          <w:sz w:val="21"/>
        </w:rPr>
        <w:t>2010;19 Suppl 1(Suppl 1):4-22.</w:t>
      </w:r>
    </w:p>
    <w:p w14:paraId="4151C97B"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45.</w:t>
      </w:r>
      <w:r w:rsidRPr="006261DD">
        <w:rPr>
          <w:rFonts w:asciiTheme="minorHAnsi" w:hAnsiTheme="minorHAnsi" w:cstheme="minorHAnsi"/>
          <w:noProof/>
          <w:sz w:val="21"/>
        </w:rPr>
        <w:tab/>
        <w:t xml:space="preserve">Klein B, Mitchell J, Abbott J, Shandley K, Austin D, Gilson K, Kiropoulos L, Cannard G, Redman T. A therapist-assisted cognitive behavior therapy internet intervention for posttraumatic stress disorder: Pre-, post- and 3-month follow-up results from an open trial. </w:t>
      </w:r>
      <w:r w:rsidRPr="006261DD">
        <w:rPr>
          <w:rFonts w:asciiTheme="minorHAnsi" w:hAnsiTheme="minorHAnsi" w:cstheme="minorHAnsi"/>
          <w:i/>
          <w:noProof/>
          <w:sz w:val="21"/>
        </w:rPr>
        <w:t xml:space="preserve">Journal of Anxiety Disorders. </w:t>
      </w:r>
      <w:r w:rsidRPr="006261DD">
        <w:rPr>
          <w:rFonts w:asciiTheme="minorHAnsi" w:hAnsiTheme="minorHAnsi" w:cstheme="minorHAnsi"/>
          <w:noProof/>
          <w:sz w:val="21"/>
        </w:rPr>
        <w:t>2010;24(6):635-644.</w:t>
      </w:r>
    </w:p>
    <w:p w14:paraId="4ED495CA"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46.</w:t>
      </w:r>
      <w:r w:rsidRPr="006261DD">
        <w:rPr>
          <w:rFonts w:asciiTheme="minorHAnsi" w:hAnsiTheme="minorHAnsi" w:cstheme="minorHAnsi"/>
          <w:noProof/>
          <w:sz w:val="21"/>
        </w:rPr>
        <w:tab/>
        <w:t xml:space="preserve">Kyrios M, Ahern C, Fassnacht DB, Nedeljkovic M, Moulding R, Meyer D. Therapist-Assisted Internet-Based Cognitive Behavioral Therapy Versus Progressive Relaxation in Obsessive-Compulsive Disorder: Randomized Controlled Trial. </w:t>
      </w:r>
      <w:r w:rsidRPr="006261DD">
        <w:rPr>
          <w:rFonts w:asciiTheme="minorHAnsi" w:hAnsiTheme="minorHAnsi" w:cstheme="minorHAnsi"/>
          <w:i/>
          <w:noProof/>
          <w:sz w:val="21"/>
        </w:rPr>
        <w:t xml:space="preserve">Journal of Medical Internet Research. </w:t>
      </w:r>
      <w:r w:rsidRPr="006261DD">
        <w:rPr>
          <w:rFonts w:asciiTheme="minorHAnsi" w:hAnsiTheme="minorHAnsi" w:cstheme="minorHAnsi"/>
          <w:noProof/>
          <w:sz w:val="21"/>
        </w:rPr>
        <w:t>2018;20(8):e242.</w:t>
      </w:r>
    </w:p>
    <w:p w14:paraId="6074A00D"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47.</w:t>
      </w:r>
      <w:r w:rsidRPr="006261DD">
        <w:rPr>
          <w:rFonts w:asciiTheme="minorHAnsi" w:hAnsiTheme="minorHAnsi" w:cstheme="minorHAnsi"/>
          <w:noProof/>
          <w:sz w:val="21"/>
        </w:rPr>
        <w:tab/>
        <w:t xml:space="preserve">MindSpot. </w:t>
      </w:r>
      <w:r w:rsidRPr="006261DD">
        <w:rPr>
          <w:rFonts w:asciiTheme="minorHAnsi" w:hAnsiTheme="minorHAnsi" w:cstheme="minorHAnsi"/>
          <w:i/>
          <w:noProof/>
          <w:sz w:val="21"/>
        </w:rPr>
        <w:t>University of Melbourne evaluation of supported digital mental health services.</w:t>
      </w:r>
      <w:r w:rsidRPr="006261DD">
        <w:rPr>
          <w:rFonts w:asciiTheme="minorHAnsi" w:hAnsiTheme="minorHAnsi" w:cstheme="minorHAnsi"/>
          <w:noProof/>
          <w:sz w:val="21"/>
        </w:rPr>
        <w:t xml:space="preserve"> Sydney: Macquarie University; 2021.</w:t>
      </w:r>
    </w:p>
    <w:p w14:paraId="3BB6542A"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48.</w:t>
      </w:r>
      <w:r w:rsidRPr="006261DD">
        <w:rPr>
          <w:rFonts w:asciiTheme="minorHAnsi" w:hAnsiTheme="minorHAnsi" w:cstheme="minorHAnsi"/>
          <w:noProof/>
          <w:sz w:val="21"/>
        </w:rPr>
        <w:tab/>
        <w:t xml:space="preserve">Cross SP, Karin E, Staples LG, Bisby MA, Ryan K, Duke G, Nielssen O, Kayrouz R, Fisher A, Dear BF, Titov N. Factors associated with treatment uptake, completion, and subsequent symptom improvement in a national digital mental health service. </w:t>
      </w:r>
      <w:r w:rsidRPr="006261DD">
        <w:rPr>
          <w:rFonts w:asciiTheme="minorHAnsi" w:hAnsiTheme="minorHAnsi" w:cstheme="minorHAnsi"/>
          <w:i/>
          <w:noProof/>
          <w:sz w:val="21"/>
        </w:rPr>
        <w:t xml:space="preserve">Internet Interventions. </w:t>
      </w:r>
      <w:r w:rsidRPr="006261DD">
        <w:rPr>
          <w:rFonts w:asciiTheme="minorHAnsi" w:hAnsiTheme="minorHAnsi" w:cstheme="minorHAnsi"/>
          <w:noProof/>
          <w:sz w:val="21"/>
        </w:rPr>
        <w:t>2022;27:100506.</w:t>
      </w:r>
    </w:p>
    <w:p w14:paraId="7DEB1B6D"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49.</w:t>
      </w:r>
      <w:r w:rsidRPr="006261DD">
        <w:rPr>
          <w:rFonts w:asciiTheme="minorHAnsi" w:hAnsiTheme="minorHAnsi" w:cstheme="minorHAnsi"/>
          <w:noProof/>
          <w:sz w:val="21"/>
        </w:rPr>
        <w:tab/>
        <w:t xml:space="preserve">Mahoney AEJ, Li I, Haskelberg H, Millard M, Newby JM. The uptake and effectiveness of online cognitive behaviour therapy for symptoms of anxiety and depression during COVID-19. </w:t>
      </w:r>
      <w:r w:rsidRPr="006261DD">
        <w:rPr>
          <w:rFonts w:asciiTheme="minorHAnsi" w:hAnsiTheme="minorHAnsi" w:cstheme="minorHAnsi"/>
          <w:i/>
          <w:noProof/>
          <w:sz w:val="21"/>
        </w:rPr>
        <w:t xml:space="preserve">Journal of Affective Disorders. </w:t>
      </w:r>
      <w:r w:rsidRPr="006261DD">
        <w:rPr>
          <w:rFonts w:asciiTheme="minorHAnsi" w:hAnsiTheme="minorHAnsi" w:cstheme="minorHAnsi"/>
          <w:noProof/>
          <w:sz w:val="21"/>
        </w:rPr>
        <w:t>2021.</w:t>
      </w:r>
    </w:p>
    <w:p w14:paraId="238A6E42"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50.</w:t>
      </w:r>
      <w:r w:rsidRPr="006261DD">
        <w:rPr>
          <w:rFonts w:asciiTheme="minorHAnsi" w:hAnsiTheme="minorHAnsi" w:cstheme="minorHAnsi"/>
          <w:noProof/>
          <w:sz w:val="21"/>
        </w:rPr>
        <w:tab/>
        <w:t xml:space="preserve">Hobbs MJ, Joubert AE, Mahoney AE, Andrews G. Treating late-life depression: Comparing the effects of internet-delivered cognitive behavior therapy across the adult lifespan. </w:t>
      </w:r>
      <w:r w:rsidRPr="006261DD">
        <w:rPr>
          <w:rFonts w:asciiTheme="minorHAnsi" w:hAnsiTheme="minorHAnsi" w:cstheme="minorHAnsi"/>
          <w:i/>
          <w:noProof/>
          <w:sz w:val="21"/>
        </w:rPr>
        <w:t xml:space="preserve">Journal of Affective Disorders. </w:t>
      </w:r>
      <w:r w:rsidRPr="006261DD">
        <w:rPr>
          <w:rFonts w:asciiTheme="minorHAnsi" w:hAnsiTheme="minorHAnsi" w:cstheme="minorHAnsi"/>
          <w:noProof/>
          <w:sz w:val="21"/>
        </w:rPr>
        <w:t>2018;226:58-65.</w:t>
      </w:r>
    </w:p>
    <w:p w14:paraId="7A612446"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51.</w:t>
      </w:r>
      <w:r w:rsidRPr="006261DD">
        <w:rPr>
          <w:rFonts w:asciiTheme="minorHAnsi" w:hAnsiTheme="minorHAnsi" w:cstheme="minorHAnsi"/>
          <w:noProof/>
          <w:sz w:val="21"/>
        </w:rPr>
        <w:tab/>
        <w:t xml:space="preserve">Hobbs MJ, Mahoney AE, Andrews G. Integrating iCBT for generalized anxiety disorder into routine clinical care: treatment effects across the adult lifespan. </w:t>
      </w:r>
      <w:r w:rsidRPr="006261DD">
        <w:rPr>
          <w:rFonts w:asciiTheme="minorHAnsi" w:hAnsiTheme="minorHAnsi" w:cstheme="minorHAnsi"/>
          <w:i/>
          <w:noProof/>
          <w:sz w:val="21"/>
        </w:rPr>
        <w:t xml:space="preserve">Journal of Anxiety Disorders. </w:t>
      </w:r>
      <w:r w:rsidRPr="006261DD">
        <w:rPr>
          <w:rFonts w:asciiTheme="minorHAnsi" w:hAnsiTheme="minorHAnsi" w:cstheme="minorHAnsi"/>
          <w:noProof/>
          <w:sz w:val="21"/>
        </w:rPr>
        <w:t>2017;51:47-54.</w:t>
      </w:r>
    </w:p>
    <w:p w14:paraId="669FDCB3"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52.</w:t>
      </w:r>
      <w:r w:rsidRPr="006261DD">
        <w:rPr>
          <w:rFonts w:asciiTheme="minorHAnsi" w:hAnsiTheme="minorHAnsi" w:cstheme="minorHAnsi"/>
          <w:noProof/>
          <w:sz w:val="21"/>
        </w:rPr>
        <w:tab/>
        <w:t xml:space="preserve">Williams AD, O'Moore K, Mason E, Andrews G. The effectiveness of internet cognitive behaviour therapy (iCBT) for social anxiety disorder across two routine practice pathways. </w:t>
      </w:r>
      <w:r w:rsidRPr="006261DD">
        <w:rPr>
          <w:rFonts w:asciiTheme="minorHAnsi" w:hAnsiTheme="minorHAnsi" w:cstheme="minorHAnsi"/>
          <w:i/>
          <w:noProof/>
          <w:sz w:val="21"/>
        </w:rPr>
        <w:t xml:space="preserve">Internet Interventions. </w:t>
      </w:r>
      <w:r w:rsidRPr="006261DD">
        <w:rPr>
          <w:rFonts w:asciiTheme="minorHAnsi" w:hAnsiTheme="minorHAnsi" w:cstheme="minorHAnsi"/>
          <w:noProof/>
          <w:sz w:val="21"/>
        </w:rPr>
        <w:t>2014;1(4):225-229.</w:t>
      </w:r>
    </w:p>
    <w:p w14:paraId="225E506C"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53.</w:t>
      </w:r>
      <w:r w:rsidRPr="006261DD">
        <w:rPr>
          <w:rFonts w:asciiTheme="minorHAnsi" w:hAnsiTheme="minorHAnsi" w:cstheme="minorHAnsi"/>
          <w:noProof/>
          <w:sz w:val="21"/>
        </w:rPr>
        <w:tab/>
        <w:t xml:space="preserve">Allen AR, Newby JM, Mackenzie A, Smith J, Boulton M, Loughnan SA, Andrews G. Internet cognitive-behavioural treatment for panic disorder: randomised controlled trial and evidence of effectiveness in primary care. </w:t>
      </w:r>
      <w:r w:rsidRPr="006261DD">
        <w:rPr>
          <w:rFonts w:asciiTheme="minorHAnsi" w:hAnsiTheme="minorHAnsi" w:cstheme="minorHAnsi"/>
          <w:i/>
          <w:noProof/>
          <w:sz w:val="21"/>
        </w:rPr>
        <w:t xml:space="preserve">BJPsych open. </w:t>
      </w:r>
      <w:r w:rsidRPr="006261DD">
        <w:rPr>
          <w:rFonts w:asciiTheme="minorHAnsi" w:hAnsiTheme="minorHAnsi" w:cstheme="minorHAnsi"/>
          <w:noProof/>
          <w:sz w:val="21"/>
        </w:rPr>
        <w:t>2016;2(2):154-162.</w:t>
      </w:r>
    </w:p>
    <w:p w14:paraId="6337CAE5"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54.</w:t>
      </w:r>
      <w:r w:rsidRPr="006261DD">
        <w:rPr>
          <w:rFonts w:asciiTheme="minorHAnsi" w:hAnsiTheme="minorHAnsi" w:cstheme="minorHAnsi"/>
          <w:noProof/>
          <w:sz w:val="21"/>
        </w:rPr>
        <w:tab/>
        <w:t xml:space="preserve">Newby JM, Mewton L, Andrews G. Transdiagnostic versus disorder-specific internet-delivered cognitive behaviour therapy for anxiety and depression in primary care. </w:t>
      </w:r>
      <w:r w:rsidRPr="006261DD">
        <w:rPr>
          <w:rFonts w:asciiTheme="minorHAnsi" w:hAnsiTheme="minorHAnsi" w:cstheme="minorHAnsi"/>
          <w:i/>
          <w:noProof/>
          <w:sz w:val="21"/>
        </w:rPr>
        <w:t xml:space="preserve">Journal of Anxiety Disorders. </w:t>
      </w:r>
      <w:r w:rsidRPr="006261DD">
        <w:rPr>
          <w:rFonts w:asciiTheme="minorHAnsi" w:hAnsiTheme="minorHAnsi" w:cstheme="minorHAnsi"/>
          <w:noProof/>
          <w:sz w:val="21"/>
        </w:rPr>
        <w:t>2017;46:25-34.</w:t>
      </w:r>
    </w:p>
    <w:p w14:paraId="4AB366D3" w14:textId="7C70CCA3"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55.</w:t>
      </w:r>
      <w:r w:rsidRPr="006261DD">
        <w:rPr>
          <w:rFonts w:asciiTheme="minorHAnsi" w:hAnsiTheme="minorHAnsi" w:cstheme="minorHAnsi"/>
          <w:noProof/>
          <w:sz w:val="21"/>
        </w:rPr>
        <w:tab/>
        <w:t xml:space="preserve">Australian Mental Health Outcomes and Classification Network. Kessler-10+.  </w:t>
      </w:r>
      <w:hyperlink r:id="rId93" w:history="1">
        <w:r w:rsidRPr="006261DD">
          <w:rPr>
            <w:rStyle w:val="Hyperlink"/>
            <w:rFonts w:asciiTheme="minorHAnsi" w:hAnsiTheme="minorHAnsi" w:cstheme="minorHAnsi"/>
            <w:noProof/>
            <w:sz w:val="21"/>
          </w:rPr>
          <w:t>https://www.amhocn.org/publications/kessler-10</w:t>
        </w:r>
      </w:hyperlink>
      <w:r w:rsidRPr="006261DD">
        <w:rPr>
          <w:rFonts w:asciiTheme="minorHAnsi" w:hAnsiTheme="minorHAnsi" w:cstheme="minorHAnsi"/>
          <w:noProof/>
          <w:sz w:val="21"/>
        </w:rPr>
        <w:t>. Accessed 4 June 2022.</w:t>
      </w:r>
    </w:p>
    <w:p w14:paraId="33857779"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56.</w:t>
      </w:r>
      <w:r w:rsidRPr="006261DD">
        <w:rPr>
          <w:rFonts w:asciiTheme="minorHAnsi" w:hAnsiTheme="minorHAnsi" w:cstheme="minorHAnsi"/>
          <w:noProof/>
          <w:sz w:val="21"/>
        </w:rPr>
        <w:tab/>
        <w:t xml:space="preserve">Ustün TB, Chatterji S, Kostanjsek N, Rehm J, Kennedy C, Epping-Jordan J, Saxena S, von Korff M, Pull C. Developing the World Health Organization Disability Assessment Schedule 2.0. </w:t>
      </w:r>
      <w:r w:rsidRPr="006261DD">
        <w:rPr>
          <w:rFonts w:asciiTheme="minorHAnsi" w:hAnsiTheme="minorHAnsi" w:cstheme="minorHAnsi"/>
          <w:i/>
          <w:noProof/>
          <w:sz w:val="21"/>
        </w:rPr>
        <w:t xml:space="preserve">Bull World Health Organ. </w:t>
      </w:r>
      <w:r w:rsidRPr="006261DD">
        <w:rPr>
          <w:rFonts w:asciiTheme="minorHAnsi" w:hAnsiTheme="minorHAnsi" w:cstheme="minorHAnsi"/>
          <w:noProof/>
          <w:sz w:val="21"/>
        </w:rPr>
        <w:t>2010;88(11):815-823.</w:t>
      </w:r>
    </w:p>
    <w:p w14:paraId="5151A471"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57.</w:t>
      </w:r>
      <w:r w:rsidRPr="006261DD">
        <w:rPr>
          <w:rFonts w:asciiTheme="minorHAnsi" w:hAnsiTheme="minorHAnsi" w:cstheme="minorHAnsi"/>
          <w:noProof/>
          <w:sz w:val="21"/>
        </w:rPr>
        <w:tab/>
        <w:t xml:space="preserve">WHOQOL Group. Development of the World Health Organization WHOQOL-BREF quality of life assessment. </w:t>
      </w:r>
      <w:r w:rsidRPr="006261DD">
        <w:rPr>
          <w:rFonts w:asciiTheme="minorHAnsi" w:hAnsiTheme="minorHAnsi" w:cstheme="minorHAnsi"/>
          <w:i/>
          <w:noProof/>
          <w:sz w:val="21"/>
        </w:rPr>
        <w:t xml:space="preserve">Psychological Medicine. </w:t>
      </w:r>
      <w:r w:rsidRPr="006261DD">
        <w:rPr>
          <w:rFonts w:asciiTheme="minorHAnsi" w:hAnsiTheme="minorHAnsi" w:cstheme="minorHAnsi"/>
          <w:noProof/>
          <w:sz w:val="21"/>
        </w:rPr>
        <w:t>1998;28(3):551-558.</w:t>
      </w:r>
    </w:p>
    <w:p w14:paraId="6300A85A"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58.</w:t>
      </w:r>
      <w:r w:rsidRPr="006261DD">
        <w:rPr>
          <w:rFonts w:asciiTheme="minorHAnsi" w:hAnsiTheme="minorHAnsi" w:cstheme="minorHAnsi"/>
          <w:noProof/>
          <w:sz w:val="21"/>
        </w:rPr>
        <w:tab/>
        <w:t xml:space="preserve">Goodman WK, Price LH, Rasmussen SA, Mazure C, Fleischmann RL, Hill CL, Heninger GR, Charney DS. The Yale-Brown obsessive compulsive scale: I. Development, use, and reliability. </w:t>
      </w:r>
      <w:r w:rsidRPr="006261DD">
        <w:rPr>
          <w:rFonts w:asciiTheme="minorHAnsi" w:hAnsiTheme="minorHAnsi" w:cstheme="minorHAnsi"/>
          <w:i/>
          <w:noProof/>
          <w:sz w:val="21"/>
        </w:rPr>
        <w:t xml:space="preserve">Archives of general psychiatry. </w:t>
      </w:r>
      <w:r w:rsidRPr="006261DD">
        <w:rPr>
          <w:rFonts w:asciiTheme="minorHAnsi" w:hAnsiTheme="minorHAnsi" w:cstheme="minorHAnsi"/>
          <w:noProof/>
          <w:sz w:val="21"/>
        </w:rPr>
        <w:t>1989;46(11):1006-1011.</w:t>
      </w:r>
    </w:p>
    <w:p w14:paraId="6F5DF8C5"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59.</w:t>
      </w:r>
      <w:r w:rsidRPr="006261DD">
        <w:rPr>
          <w:rFonts w:asciiTheme="minorHAnsi" w:hAnsiTheme="minorHAnsi" w:cstheme="minorHAnsi"/>
          <w:noProof/>
          <w:sz w:val="21"/>
        </w:rPr>
        <w:tab/>
        <w:t xml:space="preserve">Cohen J. A power primer. </w:t>
      </w:r>
      <w:r w:rsidRPr="006261DD">
        <w:rPr>
          <w:rFonts w:asciiTheme="minorHAnsi" w:hAnsiTheme="minorHAnsi" w:cstheme="minorHAnsi"/>
          <w:i/>
          <w:noProof/>
          <w:sz w:val="21"/>
        </w:rPr>
        <w:t xml:space="preserve">Psychol Bull. </w:t>
      </w:r>
      <w:r w:rsidRPr="006261DD">
        <w:rPr>
          <w:rFonts w:asciiTheme="minorHAnsi" w:hAnsiTheme="minorHAnsi" w:cstheme="minorHAnsi"/>
          <w:noProof/>
          <w:sz w:val="21"/>
        </w:rPr>
        <w:t>1992;112(1):155-159.</w:t>
      </w:r>
    </w:p>
    <w:p w14:paraId="581D26E0" w14:textId="7988A3ED"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60.</w:t>
      </w:r>
      <w:r w:rsidRPr="006261DD">
        <w:rPr>
          <w:rFonts w:asciiTheme="minorHAnsi" w:hAnsiTheme="minorHAnsi" w:cstheme="minorHAnsi"/>
          <w:noProof/>
          <w:sz w:val="21"/>
        </w:rPr>
        <w:tab/>
        <w:t xml:space="preserve">Evans C. Reliable and clinically significant change.  </w:t>
      </w:r>
      <w:hyperlink r:id="rId94" w:history="1">
        <w:r w:rsidRPr="006261DD">
          <w:rPr>
            <w:rStyle w:val="Hyperlink"/>
            <w:rFonts w:asciiTheme="minorHAnsi" w:hAnsiTheme="minorHAnsi" w:cstheme="minorHAnsi"/>
            <w:noProof/>
            <w:sz w:val="21"/>
          </w:rPr>
          <w:t>https://www.psyctc.org/stats/rcsc.htm</w:t>
        </w:r>
      </w:hyperlink>
      <w:r w:rsidRPr="006261DD">
        <w:rPr>
          <w:rFonts w:asciiTheme="minorHAnsi" w:hAnsiTheme="minorHAnsi" w:cstheme="minorHAnsi"/>
          <w:noProof/>
          <w:sz w:val="21"/>
        </w:rPr>
        <w:t>. Accessed 14 July 2022.</w:t>
      </w:r>
    </w:p>
    <w:p w14:paraId="70767A1A"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61.</w:t>
      </w:r>
      <w:r w:rsidRPr="006261DD">
        <w:rPr>
          <w:rFonts w:asciiTheme="minorHAnsi" w:hAnsiTheme="minorHAnsi" w:cstheme="minorHAnsi"/>
          <w:noProof/>
          <w:sz w:val="21"/>
        </w:rPr>
        <w:tab/>
        <w:t xml:space="preserve">Gyani A, Shafran R, Layard R, Clark DM. Enhancing recovery rates: lessons from year one of IAPT. </w:t>
      </w:r>
      <w:r w:rsidRPr="006261DD">
        <w:rPr>
          <w:rFonts w:asciiTheme="minorHAnsi" w:hAnsiTheme="minorHAnsi" w:cstheme="minorHAnsi"/>
          <w:i/>
          <w:noProof/>
          <w:sz w:val="21"/>
        </w:rPr>
        <w:t xml:space="preserve">Behav Res Ther. </w:t>
      </w:r>
      <w:r w:rsidRPr="006261DD">
        <w:rPr>
          <w:rFonts w:asciiTheme="minorHAnsi" w:hAnsiTheme="minorHAnsi" w:cstheme="minorHAnsi"/>
          <w:noProof/>
          <w:sz w:val="21"/>
        </w:rPr>
        <w:t>2013;51(9):597-606.</w:t>
      </w:r>
    </w:p>
    <w:p w14:paraId="6A9F37C2"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lastRenderedPageBreak/>
        <w:t>62.</w:t>
      </w:r>
      <w:r w:rsidRPr="006261DD">
        <w:rPr>
          <w:rFonts w:asciiTheme="minorHAnsi" w:hAnsiTheme="minorHAnsi" w:cstheme="minorHAnsi"/>
          <w:noProof/>
          <w:sz w:val="21"/>
        </w:rPr>
        <w:tab/>
        <w:t xml:space="preserve">Klein B, Meyer D, Austin DW, Kyrios M. Anxiety online: a virtual clinic: preliminary outcomes following completion of five fully automated treatment programs for anxiety disorders and symptoms. </w:t>
      </w:r>
      <w:r w:rsidRPr="006261DD">
        <w:rPr>
          <w:rFonts w:asciiTheme="minorHAnsi" w:hAnsiTheme="minorHAnsi" w:cstheme="minorHAnsi"/>
          <w:i/>
          <w:noProof/>
          <w:sz w:val="21"/>
        </w:rPr>
        <w:t xml:space="preserve">J Med Internet Res. </w:t>
      </w:r>
      <w:r w:rsidRPr="006261DD">
        <w:rPr>
          <w:rFonts w:asciiTheme="minorHAnsi" w:hAnsiTheme="minorHAnsi" w:cstheme="minorHAnsi"/>
          <w:noProof/>
          <w:sz w:val="21"/>
        </w:rPr>
        <w:t>2011;13(4):e89.</w:t>
      </w:r>
    </w:p>
    <w:p w14:paraId="50E62DE5"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63.</w:t>
      </w:r>
      <w:r w:rsidRPr="006261DD">
        <w:rPr>
          <w:rFonts w:asciiTheme="minorHAnsi" w:hAnsiTheme="minorHAnsi" w:cstheme="minorHAnsi"/>
          <w:noProof/>
          <w:sz w:val="21"/>
        </w:rPr>
        <w:tab/>
        <w:t xml:space="preserve">The National eTherapy Centre. </w:t>
      </w:r>
      <w:r w:rsidRPr="006261DD">
        <w:rPr>
          <w:rFonts w:asciiTheme="minorHAnsi" w:hAnsiTheme="minorHAnsi" w:cstheme="minorHAnsi"/>
          <w:i/>
          <w:noProof/>
          <w:sz w:val="21"/>
        </w:rPr>
        <w:t>Mental Health Online Progress Report 20, July - December 2020.</w:t>
      </w:r>
      <w:r w:rsidRPr="006261DD">
        <w:rPr>
          <w:rFonts w:asciiTheme="minorHAnsi" w:hAnsiTheme="minorHAnsi" w:cstheme="minorHAnsi"/>
          <w:noProof/>
          <w:sz w:val="21"/>
        </w:rPr>
        <w:t xml:space="preserve"> Melbourne: Swinburne University of Technology; 2021.</w:t>
      </w:r>
    </w:p>
    <w:p w14:paraId="539F656F"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64.</w:t>
      </w:r>
      <w:r w:rsidRPr="006261DD">
        <w:rPr>
          <w:rFonts w:asciiTheme="minorHAnsi" w:hAnsiTheme="minorHAnsi" w:cstheme="minorHAnsi"/>
          <w:noProof/>
          <w:sz w:val="21"/>
        </w:rPr>
        <w:tab/>
        <w:t xml:space="preserve">Staples LG, Dear BF, Johnson B, Fogliati V, Gandy M, Fogliati R, Nielssen O, Titov N. Internet-delivered treatment for young adults with anxiety and depression: Evaluation in routine clinical care and comparison with research trial outcomes. </w:t>
      </w:r>
      <w:r w:rsidRPr="006261DD">
        <w:rPr>
          <w:rFonts w:asciiTheme="minorHAnsi" w:hAnsiTheme="minorHAnsi" w:cstheme="minorHAnsi"/>
          <w:i/>
          <w:noProof/>
          <w:sz w:val="21"/>
        </w:rPr>
        <w:t xml:space="preserve">Journal of Affective Disorders. </w:t>
      </w:r>
      <w:r w:rsidRPr="006261DD">
        <w:rPr>
          <w:rFonts w:asciiTheme="minorHAnsi" w:hAnsiTheme="minorHAnsi" w:cstheme="minorHAnsi"/>
          <w:noProof/>
          <w:sz w:val="21"/>
        </w:rPr>
        <w:t>2019;256:103-109.</w:t>
      </w:r>
    </w:p>
    <w:p w14:paraId="1046BAD3"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65.</w:t>
      </w:r>
      <w:r w:rsidRPr="006261DD">
        <w:rPr>
          <w:rFonts w:asciiTheme="minorHAnsi" w:hAnsiTheme="minorHAnsi" w:cstheme="minorHAnsi"/>
          <w:noProof/>
          <w:sz w:val="21"/>
        </w:rPr>
        <w:tab/>
        <w:t xml:space="preserve">Staples LG, Fogliati VJ, Dear BF, Nielssen O, Titov N. Internet-delivered treatment for older adults with anxiety and depression: Implementation of the Wellbeing Plus Course in routine clinical care and comparison with research trial outcomes. </w:t>
      </w:r>
      <w:r w:rsidRPr="006261DD">
        <w:rPr>
          <w:rFonts w:asciiTheme="minorHAnsi" w:hAnsiTheme="minorHAnsi" w:cstheme="minorHAnsi"/>
          <w:i/>
          <w:noProof/>
          <w:sz w:val="21"/>
        </w:rPr>
        <w:t xml:space="preserve">BJPsych Open. </w:t>
      </w:r>
      <w:r w:rsidRPr="006261DD">
        <w:rPr>
          <w:rFonts w:asciiTheme="minorHAnsi" w:hAnsiTheme="minorHAnsi" w:cstheme="minorHAnsi"/>
          <w:noProof/>
          <w:sz w:val="21"/>
        </w:rPr>
        <w:t>2016;2(5):307-313.</w:t>
      </w:r>
    </w:p>
    <w:p w14:paraId="1F18ABE4"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66.</w:t>
      </w:r>
      <w:r w:rsidRPr="006261DD">
        <w:rPr>
          <w:rFonts w:asciiTheme="minorHAnsi" w:hAnsiTheme="minorHAnsi" w:cstheme="minorHAnsi"/>
          <w:noProof/>
          <w:sz w:val="21"/>
        </w:rPr>
        <w:tab/>
        <w:t xml:space="preserve">Kayrouz R, Karin E, Staples LG, Nielssen O, Dear BF, Titov N. A comparison of the characteristics and treatment outcomes of migrant and Australian-born users of a national digital mental health service. </w:t>
      </w:r>
      <w:r w:rsidRPr="006261DD">
        <w:rPr>
          <w:rFonts w:asciiTheme="minorHAnsi" w:hAnsiTheme="minorHAnsi" w:cstheme="minorHAnsi"/>
          <w:i/>
          <w:noProof/>
          <w:sz w:val="21"/>
        </w:rPr>
        <w:t xml:space="preserve">BMC Psychiatry. </w:t>
      </w:r>
      <w:r w:rsidRPr="006261DD">
        <w:rPr>
          <w:rFonts w:asciiTheme="minorHAnsi" w:hAnsiTheme="minorHAnsi" w:cstheme="minorHAnsi"/>
          <w:noProof/>
          <w:sz w:val="21"/>
        </w:rPr>
        <w:t>2020;20(1):111.</w:t>
      </w:r>
    </w:p>
    <w:p w14:paraId="79A2AC9F"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67.</w:t>
      </w:r>
      <w:r w:rsidRPr="006261DD">
        <w:rPr>
          <w:rFonts w:asciiTheme="minorHAnsi" w:hAnsiTheme="minorHAnsi" w:cstheme="minorHAnsi"/>
          <w:noProof/>
          <w:sz w:val="21"/>
        </w:rPr>
        <w:tab/>
        <w:t xml:space="preserve">Wise EA. Methods for analyzing psychotherapy outcomes: A review of clinical significance, reliable change, and recommendations for future directions. </w:t>
      </w:r>
      <w:r w:rsidRPr="006261DD">
        <w:rPr>
          <w:rFonts w:asciiTheme="minorHAnsi" w:hAnsiTheme="minorHAnsi" w:cstheme="minorHAnsi"/>
          <w:i/>
          <w:noProof/>
          <w:sz w:val="21"/>
        </w:rPr>
        <w:t xml:space="preserve">Journal of personality assessment. </w:t>
      </w:r>
      <w:r w:rsidRPr="006261DD">
        <w:rPr>
          <w:rFonts w:asciiTheme="minorHAnsi" w:hAnsiTheme="minorHAnsi" w:cstheme="minorHAnsi"/>
          <w:noProof/>
          <w:sz w:val="21"/>
        </w:rPr>
        <w:t>2004;82(1):50-59.</w:t>
      </w:r>
    </w:p>
    <w:p w14:paraId="1ED84956"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68.</w:t>
      </w:r>
      <w:r w:rsidRPr="006261DD">
        <w:rPr>
          <w:rFonts w:asciiTheme="minorHAnsi" w:hAnsiTheme="minorHAnsi" w:cstheme="minorHAnsi"/>
          <w:noProof/>
          <w:sz w:val="21"/>
        </w:rPr>
        <w:tab/>
        <w:t xml:space="preserve">Titov N, Dear BF, Staples LG, Bennett-Levy J, Klein B, Rapee RM, Shann C, Richards D, Andersson G, Ritterband L, Purtell C, Bezuidenhout G, Johnston L, Nielssen OB. MindSpot Clinic: An Accessible, Efficient, and Effective Online Treatment Service for Anxiety and Depression. </w:t>
      </w:r>
      <w:r w:rsidRPr="006261DD">
        <w:rPr>
          <w:rFonts w:asciiTheme="minorHAnsi" w:hAnsiTheme="minorHAnsi" w:cstheme="minorHAnsi"/>
          <w:i/>
          <w:noProof/>
          <w:sz w:val="21"/>
        </w:rPr>
        <w:t xml:space="preserve">Psychiatric Services. </w:t>
      </w:r>
      <w:r w:rsidRPr="006261DD">
        <w:rPr>
          <w:rFonts w:asciiTheme="minorHAnsi" w:hAnsiTheme="minorHAnsi" w:cstheme="minorHAnsi"/>
          <w:noProof/>
          <w:sz w:val="21"/>
        </w:rPr>
        <w:t>2015;66(10):1043-1050.</w:t>
      </w:r>
    </w:p>
    <w:p w14:paraId="0F5D4566"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69.</w:t>
      </w:r>
      <w:r w:rsidRPr="006261DD">
        <w:rPr>
          <w:rFonts w:asciiTheme="minorHAnsi" w:hAnsiTheme="minorHAnsi" w:cstheme="minorHAnsi"/>
          <w:noProof/>
          <w:sz w:val="21"/>
        </w:rPr>
        <w:tab/>
        <w:t xml:space="preserve">Titov N, Dear BF, Staples LG, Bennett-Levy J, Klein B, Rapee RM, Andersson G, Purtell C, Bezuidenhout G, Nielssen OB. The first 30 months of the MindSpot Clinic: Evaluation of a national e-mental health service against project objectives. </w:t>
      </w:r>
      <w:r w:rsidRPr="006261DD">
        <w:rPr>
          <w:rFonts w:asciiTheme="minorHAnsi" w:hAnsiTheme="minorHAnsi" w:cstheme="minorHAnsi"/>
          <w:i/>
          <w:noProof/>
          <w:sz w:val="21"/>
        </w:rPr>
        <w:t xml:space="preserve">Australian &amp; New Zealand Journal of Psychiatry. </w:t>
      </w:r>
      <w:r w:rsidRPr="006261DD">
        <w:rPr>
          <w:rFonts w:asciiTheme="minorHAnsi" w:hAnsiTheme="minorHAnsi" w:cstheme="minorHAnsi"/>
          <w:noProof/>
          <w:sz w:val="21"/>
        </w:rPr>
        <w:t>2016;51(12):1227-1239.</w:t>
      </w:r>
    </w:p>
    <w:p w14:paraId="692540D8"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70.</w:t>
      </w:r>
      <w:r w:rsidRPr="006261DD">
        <w:rPr>
          <w:rFonts w:asciiTheme="minorHAnsi" w:hAnsiTheme="minorHAnsi" w:cstheme="minorHAnsi"/>
          <w:noProof/>
          <w:sz w:val="21"/>
        </w:rPr>
        <w:tab/>
        <w:t xml:space="preserve">Newby JM, Mewton L, Williams AD, Andrews G. Effectiveness of transdiagnostic internet cognitive behavioural treatment for mixed anxiety and depression in primary care. </w:t>
      </w:r>
      <w:r w:rsidRPr="006261DD">
        <w:rPr>
          <w:rFonts w:asciiTheme="minorHAnsi" w:hAnsiTheme="minorHAnsi" w:cstheme="minorHAnsi"/>
          <w:i/>
          <w:noProof/>
          <w:sz w:val="21"/>
        </w:rPr>
        <w:t xml:space="preserve">Journal of Affective Disorders. </w:t>
      </w:r>
      <w:r w:rsidRPr="006261DD">
        <w:rPr>
          <w:rFonts w:asciiTheme="minorHAnsi" w:hAnsiTheme="minorHAnsi" w:cstheme="minorHAnsi"/>
          <w:noProof/>
          <w:sz w:val="21"/>
        </w:rPr>
        <w:t>2014;165:45-52.</w:t>
      </w:r>
    </w:p>
    <w:p w14:paraId="5C7895CE"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71.</w:t>
      </w:r>
      <w:r w:rsidRPr="006261DD">
        <w:rPr>
          <w:rFonts w:asciiTheme="minorHAnsi" w:hAnsiTheme="minorHAnsi" w:cstheme="minorHAnsi"/>
          <w:noProof/>
          <w:sz w:val="21"/>
        </w:rPr>
        <w:tab/>
        <w:t xml:space="preserve">Sunderland M, Wong N, Hilvert-Bruce Z, Andrews G. Investigating trajectories of change in psychological distress amongst patients with depression and generalised anxiety disorder treated with internet cognitive behavioural therapy. </w:t>
      </w:r>
      <w:r w:rsidRPr="006261DD">
        <w:rPr>
          <w:rFonts w:asciiTheme="minorHAnsi" w:hAnsiTheme="minorHAnsi" w:cstheme="minorHAnsi"/>
          <w:i/>
          <w:noProof/>
          <w:sz w:val="21"/>
        </w:rPr>
        <w:t xml:space="preserve">Behaviour Research and Therapy. </w:t>
      </w:r>
      <w:r w:rsidRPr="006261DD">
        <w:rPr>
          <w:rFonts w:asciiTheme="minorHAnsi" w:hAnsiTheme="minorHAnsi" w:cstheme="minorHAnsi"/>
          <w:noProof/>
          <w:sz w:val="21"/>
        </w:rPr>
        <w:t>2012;50(6):374-380.</w:t>
      </w:r>
    </w:p>
    <w:p w14:paraId="3AB2F91F"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72.</w:t>
      </w:r>
      <w:r w:rsidRPr="006261DD">
        <w:rPr>
          <w:rFonts w:asciiTheme="minorHAnsi" w:hAnsiTheme="minorHAnsi" w:cstheme="minorHAnsi"/>
          <w:noProof/>
          <w:sz w:val="21"/>
        </w:rPr>
        <w:tab/>
        <w:t xml:space="preserve">THIS WAY UP. </w:t>
      </w:r>
      <w:r w:rsidRPr="006261DD">
        <w:rPr>
          <w:rFonts w:asciiTheme="minorHAnsi" w:hAnsiTheme="minorHAnsi" w:cstheme="minorHAnsi"/>
          <w:i/>
          <w:noProof/>
          <w:sz w:val="21"/>
        </w:rPr>
        <w:t>THIS WAY UP: Consumer engagement and the user experience.</w:t>
      </w:r>
      <w:r w:rsidRPr="006261DD">
        <w:rPr>
          <w:rFonts w:asciiTheme="minorHAnsi" w:hAnsiTheme="minorHAnsi" w:cstheme="minorHAnsi"/>
          <w:noProof/>
          <w:sz w:val="21"/>
        </w:rPr>
        <w:t xml:space="preserve"> Sydney: THIS WAY UP; n.d.</w:t>
      </w:r>
    </w:p>
    <w:p w14:paraId="08867C49"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73.</w:t>
      </w:r>
      <w:r w:rsidRPr="006261DD">
        <w:rPr>
          <w:rFonts w:asciiTheme="minorHAnsi" w:hAnsiTheme="minorHAnsi" w:cstheme="minorHAnsi"/>
          <w:noProof/>
          <w:sz w:val="21"/>
        </w:rPr>
        <w:tab/>
        <w:t xml:space="preserve">Baigent M, Smith D, Battersby M, Lawn S, Redpath P, McCoy A. The Australian version of IAPT: Clinical outcomes of the multi-site cohort study of NewAccess. </w:t>
      </w:r>
      <w:r w:rsidRPr="006261DD">
        <w:rPr>
          <w:rFonts w:asciiTheme="minorHAnsi" w:hAnsiTheme="minorHAnsi" w:cstheme="minorHAnsi"/>
          <w:i/>
          <w:noProof/>
          <w:sz w:val="21"/>
        </w:rPr>
        <w:t xml:space="preserve">Journal of Mental Health. </w:t>
      </w:r>
      <w:r w:rsidRPr="006261DD">
        <w:rPr>
          <w:rFonts w:asciiTheme="minorHAnsi" w:hAnsiTheme="minorHAnsi" w:cstheme="minorHAnsi"/>
          <w:noProof/>
          <w:sz w:val="21"/>
        </w:rPr>
        <w:t>2020:1-10.</w:t>
      </w:r>
    </w:p>
    <w:p w14:paraId="5B2BE57E"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74.</w:t>
      </w:r>
      <w:r w:rsidRPr="006261DD">
        <w:rPr>
          <w:rFonts w:asciiTheme="minorHAnsi" w:hAnsiTheme="minorHAnsi" w:cstheme="minorHAnsi"/>
          <w:noProof/>
          <w:sz w:val="21"/>
        </w:rPr>
        <w:tab/>
        <w:t xml:space="preserve">Pirkis  J, Ftanou M, Williamson M, Machlin A, Spittal M, Bassilios B, Harris M. Australia's Better Access initiative: An evaluation. </w:t>
      </w:r>
      <w:r w:rsidRPr="006261DD">
        <w:rPr>
          <w:rFonts w:asciiTheme="minorHAnsi" w:hAnsiTheme="minorHAnsi" w:cstheme="minorHAnsi"/>
          <w:i/>
          <w:noProof/>
          <w:sz w:val="21"/>
        </w:rPr>
        <w:t xml:space="preserve">Australian and New Zealand Journal of Psychiatry. </w:t>
      </w:r>
      <w:r w:rsidRPr="006261DD">
        <w:rPr>
          <w:rFonts w:asciiTheme="minorHAnsi" w:hAnsiTheme="minorHAnsi" w:cstheme="minorHAnsi"/>
          <w:noProof/>
          <w:sz w:val="21"/>
        </w:rPr>
        <w:t>2011;45:726-739.</w:t>
      </w:r>
    </w:p>
    <w:p w14:paraId="10AC34F5"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75.</w:t>
      </w:r>
      <w:r w:rsidRPr="006261DD">
        <w:rPr>
          <w:rFonts w:asciiTheme="minorHAnsi" w:hAnsiTheme="minorHAnsi" w:cstheme="minorHAnsi"/>
          <w:noProof/>
          <w:sz w:val="21"/>
        </w:rPr>
        <w:tab/>
        <w:t xml:space="preserve">Bassilios B, Nicholas A, King K, Reifels L, Fletcher J, Pirkis J. </w:t>
      </w:r>
      <w:r w:rsidRPr="006261DD">
        <w:rPr>
          <w:rFonts w:asciiTheme="minorHAnsi" w:hAnsiTheme="minorHAnsi" w:cstheme="minorHAnsi"/>
          <w:i/>
          <w:noProof/>
          <w:sz w:val="21"/>
        </w:rPr>
        <w:t>Evaluating the Access to Allied Psychological Services (ATAPS) and Mental Health Services in Rural and Remote Areas (MHSRRA) programs:  Final ATAPS and MHSRRA evaluation report.</w:t>
      </w:r>
      <w:r w:rsidRPr="006261DD">
        <w:rPr>
          <w:rFonts w:asciiTheme="minorHAnsi" w:hAnsiTheme="minorHAnsi" w:cstheme="minorHAnsi"/>
          <w:noProof/>
          <w:sz w:val="21"/>
        </w:rPr>
        <w:t xml:space="preserve"> Melbourne: Centre for Mental Health, University of Melbourne; 2017.</w:t>
      </w:r>
    </w:p>
    <w:p w14:paraId="714BD9E1"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76.</w:t>
      </w:r>
      <w:r w:rsidRPr="006261DD">
        <w:rPr>
          <w:rFonts w:asciiTheme="minorHAnsi" w:hAnsiTheme="minorHAnsi" w:cstheme="minorHAnsi"/>
          <w:noProof/>
          <w:sz w:val="21"/>
        </w:rPr>
        <w:tab/>
        <w:t xml:space="preserve">Fletcher S, Spittal MJ, Chondros P, Palmer VJ, Chatterton ML, Densley K, Potiriadis M, Harris M, Bassilios B, Burgess P, Mihalopoulos C, Pirkis J, Gunn J. Clinical efficacy of a Decision Support Tool (Link-me) to guide intensity of mental health care in primary practice: a pragmatic stratified randomised controlled trial. </w:t>
      </w:r>
      <w:r w:rsidRPr="006261DD">
        <w:rPr>
          <w:rFonts w:asciiTheme="minorHAnsi" w:hAnsiTheme="minorHAnsi" w:cstheme="minorHAnsi"/>
          <w:i/>
          <w:noProof/>
          <w:sz w:val="21"/>
        </w:rPr>
        <w:t xml:space="preserve">Lancet Psychiatry. </w:t>
      </w:r>
      <w:r w:rsidRPr="006261DD">
        <w:rPr>
          <w:rFonts w:asciiTheme="minorHAnsi" w:hAnsiTheme="minorHAnsi" w:cstheme="minorHAnsi"/>
          <w:noProof/>
          <w:sz w:val="21"/>
        </w:rPr>
        <w:t>2021;8(3):202-214.</w:t>
      </w:r>
    </w:p>
    <w:p w14:paraId="42CF2B3D" w14:textId="19A3CB6A"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77.</w:t>
      </w:r>
      <w:r w:rsidRPr="006261DD">
        <w:rPr>
          <w:rFonts w:asciiTheme="minorHAnsi" w:hAnsiTheme="minorHAnsi" w:cstheme="minorHAnsi"/>
          <w:noProof/>
          <w:sz w:val="21"/>
        </w:rPr>
        <w:tab/>
        <w:t xml:space="preserve">NHS Digital Community and Mental Health team. Psychological Therapies: Annual report on the use of IAPT services Engalnd 2020-21.  </w:t>
      </w:r>
      <w:hyperlink r:id="rId95" w:history="1">
        <w:r w:rsidRPr="006261DD">
          <w:rPr>
            <w:rStyle w:val="Hyperlink"/>
            <w:rFonts w:asciiTheme="minorHAnsi" w:hAnsiTheme="minorHAnsi" w:cstheme="minorHAnsi"/>
            <w:noProof/>
            <w:sz w:val="21"/>
          </w:rPr>
          <w:t>https://digital.nhs.uk/data-and-information/publications/statistical/psychological-therapies-annual-reports-on-the-use-of-iapt-services/annual-report-2020-21</w:t>
        </w:r>
      </w:hyperlink>
      <w:r w:rsidRPr="006261DD">
        <w:rPr>
          <w:rFonts w:asciiTheme="minorHAnsi" w:hAnsiTheme="minorHAnsi" w:cstheme="minorHAnsi"/>
          <w:noProof/>
          <w:sz w:val="21"/>
        </w:rPr>
        <w:t>.</w:t>
      </w:r>
    </w:p>
    <w:p w14:paraId="4A01DD87"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78.</w:t>
      </w:r>
      <w:r w:rsidRPr="006261DD">
        <w:rPr>
          <w:rFonts w:asciiTheme="minorHAnsi" w:hAnsiTheme="minorHAnsi" w:cstheme="minorHAnsi"/>
          <w:noProof/>
          <w:sz w:val="21"/>
        </w:rPr>
        <w:tab/>
        <w:t xml:space="preserve">Whiteford HA, Harris MG, McKeon G, Baxter A, Pennell C, Barendregt JJ, Wang J. Estimating remission from untreated major depression: a systematic review and meta-analysis. </w:t>
      </w:r>
      <w:r w:rsidRPr="006261DD">
        <w:rPr>
          <w:rFonts w:asciiTheme="minorHAnsi" w:hAnsiTheme="minorHAnsi" w:cstheme="minorHAnsi"/>
          <w:i/>
          <w:noProof/>
          <w:sz w:val="21"/>
        </w:rPr>
        <w:t xml:space="preserve">Psychological Medicine. </w:t>
      </w:r>
      <w:r w:rsidRPr="006261DD">
        <w:rPr>
          <w:rFonts w:asciiTheme="minorHAnsi" w:hAnsiTheme="minorHAnsi" w:cstheme="minorHAnsi"/>
          <w:noProof/>
          <w:sz w:val="21"/>
        </w:rPr>
        <w:t>2013;43(8):1569-1585.</w:t>
      </w:r>
    </w:p>
    <w:p w14:paraId="1F75028E"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79.</w:t>
      </w:r>
      <w:r w:rsidRPr="006261DD">
        <w:rPr>
          <w:rFonts w:asciiTheme="minorHAnsi" w:hAnsiTheme="minorHAnsi" w:cstheme="minorHAnsi"/>
          <w:noProof/>
          <w:sz w:val="21"/>
        </w:rPr>
        <w:tab/>
        <w:t xml:space="preserve">Cuijpers P, Karyotaki E, Ciharova M, Miguel C, Noma H, Furukawa TA. The effects of psychotherapies for depression on response, remission, reliable change, and deterioration: A meta-analysis. </w:t>
      </w:r>
      <w:r w:rsidRPr="006261DD">
        <w:rPr>
          <w:rFonts w:asciiTheme="minorHAnsi" w:hAnsiTheme="minorHAnsi" w:cstheme="minorHAnsi"/>
          <w:i/>
          <w:noProof/>
          <w:sz w:val="21"/>
        </w:rPr>
        <w:t xml:space="preserve">Acta Psychiatrica Scandinavica. </w:t>
      </w:r>
      <w:r w:rsidRPr="006261DD">
        <w:rPr>
          <w:rFonts w:asciiTheme="minorHAnsi" w:hAnsiTheme="minorHAnsi" w:cstheme="minorHAnsi"/>
          <w:noProof/>
          <w:sz w:val="21"/>
        </w:rPr>
        <w:t>2021;144(3):288-299.</w:t>
      </w:r>
    </w:p>
    <w:p w14:paraId="6378AB93" w14:textId="1D76142A"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80.</w:t>
      </w:r>
      <w:r w:rsidRPr="006261DD">
        <w:rPr>
          <w:rFonts w:asciiTheme="minorHAnsi" w:hAnsiTheme="minorHAnsi" w:cstheme="minorHAnsi"/>
          <w:noProof/>
          <w:sz w:val="21"/>
        </w:rPr>
        <w:tab/>
        <w:t xml:space="preserve">Consumer and Community Involvement Program. Types of Consumer and Community Involvement. </w:t>
      </w:r>
      <w:hyperlink r:id="rId96" w:history="1">
        <w:r w:rsidRPr="006261DD">
          <w:rPr>
            <w:rStyle w:val="Hyperlink"/>
            <w:rFonts w:asciiTheme="minorHAnsi" w:hAnsiTheme="minorHAnsi" w:cstheme="minorHAnsi"/>
            <w:noProof/>
            <w:sz w:val="21"/>
          </w:rPr>
          <w:t>https://cciprogram.org/researcher-services/types-of-community-involvement/</w:t>
        </w:r>
      </w:hyperlink>
      <w:r w:rsidRPr="006261DD">
        <w:rPr>
          <w:rFonts w:asciiTheme="minorHAnsi" w:hAnsiTheme="minorHAnsi" w:cstheme="minorHAnsi"/>
          <w:noProof/>
          <w:sz w:val="21"/>
        </w:rPr>
        <w:t>. Accessed 23 April, 2021.</w:t>
      </w:r>
    </w:p>
    <w:p w14:paraId="2FB4C825"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lastRenderedPageBreak/>
        <w:t>81.</w:t>
      </w:r>
      <w:r w:rsidRPr="006261DD">
        <w:rPr>
          <w:rFonts w:asciiTheme="minorHAnsi" w:hAnsiTheme="minorHAnsi" w:cstheme="minorHAnsi"/>
          <w:noProof/>
          <w:sz w:val="21"/>
        </w:rPr>
        <w:tab/>
        <w:t xml:space="preserve">Bassilios B, Ftanou M, Mangelsdorf S, Machlin A, Banfield M, Tan A, Roberts L, Scurrah K, Le L, Spittal M, Mihalopoulos C, Pirkis J. </w:t>
      </w:r>
      <w:r w:rsidRPr="006261DD">
        <w:rPr>
          <w:rFonts w:asciiTheme="minorHAnsi" w:hAnsiTheme="minorHAnsi" w:cstheme="minorHAnsi"/>
          <w:i/>
          <w:noProof/>
          <w:sz w:val="21"/>
        </w:rPr>
        <w:t>Independent evaluation of the Head to Health Digital Mental Health Gateway: Final Report.</w:t>
      </w:r>
      <w:r w:rsidRPr="006261DD">
        <w:rPr>
          <w:rFonts w:asciiTheme="minorHAnsi" w:hAnsiTheme="minorHAnsi" w:cstheme="minorHAnsi"/>
          <w:noProof/>
          <w:sz w:val="21"/>
        </w:rPr>
        <w:t xml:space="preserve"> Melbourne: Centre for Mental Health, University of Melbourne; 2022.</w:t>
      </w:r>
    </w:p>
    <w:p w14:paraId="78EDD804" w14:textId="7F8C9D5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82.</w:t>
      </w:r>
      <w:r w:rsidRPr="006261DD">
        <w:rPr>
          <w:rFonts w:asciiTheme="minorHAnsi" w:hAnsiTheme="minorHAnsi" w:cstheme="minorHAnsi"/>
          <w:noProof/>
          <w:sz w:val="21"/>
        </w:rPr>
        <w:tab/>
        <w:t xml:space="preserve">Australian Bureau of Statistics. Employee Earnings and Hours, Australia.  </w:t>
      </w:r>
      <w:hyperlink r:id="rId97" w:history="1">
        <w:r w:rsidRPr="006261DD">
          <w:rPr>
            <w:rStyle w:val="Hyperlink"/>
            <w:rFonts w:asciiTheme="minorHAnsi" w:hAnsiTheme="minorHAnsi" w:cstheme="minorHAnsi"/>
            <w:noProof/>
            <w:sz w:val="21"/>
          </w:rPr>
          <w:t>https://www.abs.gov.au/statistics/labour/earnings-and-working-conditions/employee-earnings-and-hours-australia/may-2018</w:t>
        </w:r>
      </w:hyperlink>
      <w:r w:rsidRPr="006261DD">
        <w:rPr>
          <w:rFonts w:asciiTheme="minorHAnsi" w:hAnsiTheme="minorHAnsi" w:cstheme="minorHAnsi"/>
          <w:noProof/>
          <w:sz w:val="21"/>
        </w:rPr>
        <w:t>. Accessed 17 May 2022, 2022.</w:t>
      </w:r>
    </w:p>
    <w:p w14:paraId="387238D9"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83.</w:t>
      </w:r>
      <w:r w:rsidRPr="006261DD">
        <w:rPr>
          <w:rFonts w:asciiTheme="minorHAnsi" w:hAnsiTheme="minorHAnsi" w:cstheme="minorHAnsi"/>
          <w:noProof/>
          <w:sz w:val="21"/>
        </w:rPr>
        <w:tab/>
        <w:t xml:space="preserve">Lee Y-C, Gao L, Dear BF, Titov N, Mihalopoulos C. The cost-effectiveness of the online MindSpot Clinic for the treatment of depression and anxiety in Australia. </w:t>
      </w:r>
      <w:r w:rsidRPr="006261DD">
        <w:rPr>
          <w:rFonts w:asciiTheme="minorHAnsi" w:hAnsiTheme="minorHAnsi" w:cstheme="minorHAnsi"/>
          <w:i/>
          <w:noProof/>
          <w:sz w:val="21"/>
        </w:rPr>
        <w:t xml:space="preserve">J Ment Health Policy Econ. </w:t>
      </w:r>
      <w:r w:rsidRPr="006261DD">
        <w:rPr>
          <w:rFonts w:asciiTheme="minorHAnsi" w:hAnsiTheme="minorHAnsi" w:cstheme="minorHAnsi"/>
          <w:noProof/>
          <w:sz w:val="21"/>
        </w:rPr>
        <w:t>2017;20(4):155-166.</w:t>
      </w:r>
    </w:p>
    <w:p w14:paraId="654A1440"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84.</w:t>
      </w:r>
      <w:r w:rsidRPr="006261DD">
        <w:rPr>
          <w:rFonts w:asciiTheme="minorHAnsi" w:hAnsiTheme="minorHAnsi" w:cstheme="minorHAnsi"/>
          <w:noProof/>
          <w:sz w:val="21"/>
        </w:rPr>
        <w:tab/>
        <w:t xml:space="preserve">Australian Institute of Health and Welfare. </w:t>
      </w:r>
      <w:r w:rsidRPr="006261DD">
        <w:rPr>
          <w:rFonts w:asciiTheme="minorHAnsi" w:hAnsiTheme="minorHAnsi" w:cstheme="minorHAnsi"/>
          <w:i/>
          <w:noProof/>
          <w:sz w:val="21"/>
        </w:rPr>
        <w:t>Australian Institute of Health and Welfare. Health expenditure Australia 2019-20. Health and welfare expenditure series no. 65.</w:t>
      </w:r>
      <w:r w:rsidRPr="006261DD">
        <w:rPr>
          <w:rFonts w:asciiTheme="minorHAnsi" w:hAnsiTheme="minorHAnsi" w:cstheme="minorHAnsi"/>
          <w:noProof/>
          <w:sz w:val="21"/>
        </w:rPr>
        <w:t xml:space="preserve"> Canberra: Australian Institute of Health and Welfare; 2021.</w:t>
      </w:r>
    </w:p>
    <w:p w14:paraId="7804519D" w14:textId="03645178"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85.</w:t>
      </w:r>
      <w:r w:rsidRPr="006261DD">
        <w:rPr>
          <w:rFonts w:asciiTheme="minorHAnsi" w:hAnsiTheme="minorHAnsi" w:cstheme="minorHAnsi"/>
          <w:noProof/>
          <w:sz w:val="21"/>
        </w:rPr>
        <w:tab/>
        <w:t xml:space="preserve">Independent Hospital Pricing Authority. National Hospital Cost Data Collection Report, Public Sector, Round 21 (Financial year 2016-17).  </w:t>
      </w:r>
      <w:hyperlink r:id="rId98" w:history="1">
        <w:r w:rsidRPr="006261DD">
          <w:rPr>
            <w:rStyle w:val="Hyperlink"/>
            <w:rFonts w:asciiTheme="minorHAnsi" w:hAnsiTheme="minorHAnsi" w:cstheme="minorHAnsi"/>
            <w:noProof/>
            <w:sz w:val="21"/>
          </w:rPr>
          <w:t>https://www.ihpa.gov.au/publications/national-hospital-cost-data-collection-report-public-sector-round-21-financial-year</w:t>
        </w:r>
      </w:hyperlink>
      <w:r w:rsidRPr="006261DD">
        <w:rPr>
          <w:rFonts w:asciiTheme="minorHAnsi" w:hAnsiTheme="minorHAnsi" w:cstheme="minorHAnsi"/>
          <w:noProof/>
          <w:sz w:val="21"/>
        </w:rPr>
        <w:t>. Accessed 21 June 2020, 2020.</w:t>
      </w:r>
    </w:p>
    <w:p w14:paraId="7256C9F2" w14:textId="152F1B46"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86.</w:t>
      </w:r>
      <w:r w:rsidRPr="006261DD">
        <w:rPr>
          <w:rFonts w:asciiTheme="minorHAnsi" w:hAnsiTheme="minorHAnsi" w:cstheme="minorHAnsi"/>
          <w:noProof/>
          <w:sz w:val="21"/>
        </w:rPr>
        <w:tab/>
        <w:t xml:space="preserve">Australian Government. Report on Government Services: Ambulance services 2019.  </w:t>
      </w:r>
      <w:hyperlink r:id="rId99" w:history="1">
        <w:r w:rsidRPr="006261DD">
          <w:rPr>
            <w:rStyle w:val="Hyperlink"/>
            <w:rFonts w:asciiTheme="minorHAnsi" w:hAnsiTheme="minorHAnsi" w:cstheme="minorHAnsi"/>
            <w:noProof/>
            <w:sz w:val="21"/>
          </w:rPr>
          <w:t>https://www.pc.gov.au/research/ongoing/report-on-government-services/2019/health/ambulance-services/rogs-2019-parte-chapter11.pdf</w:t>
        </w:r>
      </w:hyperlink>
      <w:r w:rsidRPr="006261DD">
        <w:rPr>
          <w:rFonts w:asciiTheme="minorHAnsi" w:hAnsiTheme="minorHAnsi" w:cstheme="minorHAnsi"/>
          <w:noProof/>
          <w:sz w:val="21"/>
        </w:rPr>
        <w:t>. Accessed 17 May 2022, 2022.</w:t>
      </w:r>
    </w:p>
    <w:p w14:paraId="1AB79FBC" w14:textId="6B311A4D"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87.</w:t>
      </w:r>
      <w:r w:rsidRPr="006261DD">
        <w:rPr>
          <w:rFonts w:asciiTheme="minorHAnsi" w:hAnsiTheme="minorHAnsi" w:cstheme="minorHAnsi"/>
          <w:noProof/>
          <w:sz w:val="21"/>
        </w:rPr>
        <w:tab/>
        <w:t xml:space="preserve">Australian Bureau of Statistics. 6306.0 - Employee Earnings and Hours, Australia, May 2018 </w:t>
      </w:r>
      <w:hyperlink r:id="rId100" w:history="1">
        <w:r w:rsidRPr="006261DD">
          <w:rPr>
            <w:rStyle w:val="Hyperlink"/>
            <w:rFonts w:asciiTheme="minorHAnsi" w:hAnsiTheme="minorHAnsi" w:cstheme="minorHAnsi"/>
            <w:noProof/>
            <w:sz w:val="21"/>
          </w:rPr>
          <w:t>https://www.abs.gov.au/AUSSTATS/abs@.nsf/Lookup/6306.0Main+Features1May%202018</w:t>
        </w:r>
      </w:hyperlink>
      <w:r w:rsidRPr="006261DD">
        <w:rPr>
          <w:rFonts w:asciiTheme="minorHAnsi" w:hAnsiTheme="minorHAnsi" w:cstheme="minorHAnsi"/>
          <w:noProof/>
          <w:sz w:val="21"/>
        </w:rPr>
        <w:t>.</w:t>
      </w:r>
    </w:p>
    <w:p w14:paraId="3AF3C39D"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88.</w:t>
      </w:r>
      <w:r w:rsidRPr="006261DD">
        <w:rPr>
          <w:rFonts w:asciiTheme="minorHAnsi" w:hAnsiTheme="minorHAnsi" w:cstheme="minorHAnsi"/>
          <w:noProof/>
          <w:sz w:val="21"/>
        </w:rPr>
        <w:tab/>
        <w:t xml:space="preserve">Conteh L, Walker D. Cost and unit cost calculations using step-down accounting. </w:t>
      </w:r>
      <w:r w:rsidRPr="006261DD">
        <w:rPr>
          <w:rFonts w:asciiTheme="minorHAnsi" w:hAnsiTheme="minorHAnsi" w:cstheme="minorHAnsi"/>
          <w:i/>
          <w:noProof/>
          <w:sz w:val="21"/>
        </w:rPr>
        <w:t xml:space="preserve">Health Policy and Planning. </w:t>
      </w:r>
      <w:r w:rsidRPr="006261DD">
        <w:rPr>
          <w:rFonts w:asciiTheme="minorHAnsi" w:hAnsiTheme="minorHAnsi" w:cstheme="minorHAnsi"/>
          <w:noProof/>
          <w:sz w:val="21"/>
        </w:rPr>
        <w:t>2004;19(2):127-135.</w:t>
      </w:r>
    </w:p>
    <w:p w14:paraId="457A7F05"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89.</w:t>
      </w:r>
      <w:r w:rsidRPr="006261DD">
        <w:rPr>
          <w:rFonts w:asciiTheme="minorHAnsi" w:hAnsiTheme="minorHAnsi" w:cstheme="minorHAnsi"/>
          <w:noProof/>
          <w:sz w:val="21"/>
        </w:rPr>
        <w:tab/>
        <w:t xml:space="preserve">Batura N, Pulkki-Brännström AM, Agrawal P, Bagra A, Haghparast-Bidgoli H, Bozzani F, Colbourn T, Greco G, Hossain T, Sinha R, Thapa B, Skordis-Worrall J. Collecting and analysing cost data for complex public health trials: Reflections on practice. </w:t>
      </w:r>
      <w:r w:rsidRPr="006261DD">
        <w:rPr>
          <w:rFonts w:asciiTheme="minorHAnsi" w:hAnsiTheme="minorHAnsi" w:cstheme="minorHAnsi"/>
          <w:i/>
          <w:noProof/>
          <w:sz w:val="21"/>
        </w:rPr>
        <w:t xml:space="preserve">Global Health Action. </w:t>
      </w:r>
      <w:r w:rsidRPr="006261DD">
        <w:rPr>
          <w:rFonts w:asciiTheme="minorHAnsi" w:hAnsiTheme="minorHAnsi" w:cstheme="minorHAnsi"/>
          <w:noProof/>
          <w:sz w:val="21"/>
        </w:rPr>
        <w:t>2014;7:23257.</w:t>
      </w:r>
    </w:p>
    <w:p w14:paraId="2A6D7024"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90.</w:t>
      </w:r>
      <w:r w:rsidRPr="006261DD">
        <w:rPr>
          <w:rFonts w:asciiTheme="minorHAnsi" w:hAnsiTheme="minorHAnsi" w:cstheme="minorHAnsi"/>
          <w:noProof/>
          <w:sz w:val="21"/>
        </w:rPr>
        <w:tab/>
        <w:t xml:space="preserve">Chapko MK, Liu CF, Perkins M, Li YF, Fortney JC, Maciejewski ML. Equivalence of two healthcare costing methods: bottom-up and top-down. </w:t>
      </w:r>
      <w:r w:rsidRPr="006261DD">
        <w:rPr>
          <w:rFonts w:asciiTheme="minorHAnsi" w:hAnsiTheme="minorHAnsi" w:cstheme="minorHAnsi"/>
          <w:i/>
          <w:noProof/>
          <w:sz w:val="21"/>
        </w:rPr>
        <w:t xml:space="preserve">Health Economics. </w:t>
      </w:r>
      <w:r w:rsidRPr="006261DD">
        <w:rPr>
          <w:rFonts w:asciiTheme="minorHAnsi" w:hAnsiTheme="minorHAnsi" w:cstheme="minorHAnsi"/>
          <w:noProof/>
          <w:sz w:val="21"/>
        </w:rPr>
        <w:t>2009;18(10):1188-1201.</w:t>
      </w:r>
    </w:p>
    <w:p w14:paraId="6D8E2E1E"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91.</w:t>
      </w:r>
      <w:r w:rsidRPr="006261DD">
        <w:rPr>
          <w:rFonts w:asciiTheme="minorHAnsi" w:hAnsiTheme="minorHAnsi" w:cstheme="minorHAnsi"/>
          <w:noProof/>
          <w:sz w:val="21"/>
        </w:rPr>
        <w:tab/>
        <w:t xml:space="preserve">Cunnama L, Sinanovic E, Ramma L, Foster N, Berrie L, Stevens W, Molapo S, Marokane P, McCarthy K, Churchyard G, Vassall A. Using Top-down and Bottom-up Costing Approaches in LMICs: The Case for Using Both to Assess the Incremental Costs of New Technologies at Scale. </w:t>
      </w:r>
      <w:r w:rsidRPr="006261DD">
        <w:rPr>
          <w:rFonts w:asciiTheme="minorHAnsi" w:hAnsiTheme="minorHAnsi" w:cstheme="minorHAnsi"/>
          <w:i/>
          <w:noProof/>
          <w:sz w:val="21"/>
        </w:rPr>
        <w:t xml:space="preserve">Health Economics. </w:t>
      </w:r>
      <w:r w:rsidRPr="006261DD">
        <w:rPr>
          <w:rFonts w:asciiTheme="minorHAnsi" w:hAnsiTheme="minorHAnsi" w:cstheme="minorHAnsi"/>
          <w:noProof/>
          <w:sz w:val="21"/>
        </w:rPr>
        <w:t>2016;25 Suppl 1(Suppl 1):53-66.</w:t>
      </w:r>
    </w:p>
    <w:p w14:paraId="62162DFD"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92.</w:t>
      </w:r>
      <w:r w:rsidRPr="006261DD">
        <w:rPr>
          <w:rFonts w:asciiTheme="minorHAnsi" w:hAnsiTheme="minorHAnsi" w:cstheme="minorHAnsi"/>
          <w:noProof/>
          <w:sz w:val="21"/>
        </w:rPr>
        <w:tab/>
        <w:t xml:space="preserve">Cotton SM, Menssink J, Filia K, Rickwood D, Hickie IB, Hamilton M, Hetrick S, Parker A, Herrman H, McGorry PD, Gao C. The psychometric characteristics of the Kessler Psychological Distress Scale (K6) in help-seeking youth: What do you miss when using it as an outcome measure? </w:t>
      </w:r>
      <w:r w:rsidRPr="006261DD">
        <w:rPr>
          <w:rFonts w:asciiTheme="minorHAnsi" w:hAnsiTheme="minorHAnsi" w:cstheme="minorHAnsi"/>
          <w:i/>
          <w:noProof/>
          <w:sz w:val="21"/>
        </w:rPr>
        <w:t xml:space="preserve">Psychiatry Research. </w:t>
      </w:r>
      <w:r w:rsidRPr="006261DD">
        <w:rPr>
          <w:rFonts w:asciiTheme="minorHAnsi" w:hAnsiTheme="minorHAnsi" w:cstheme="minorHAnsi"/>
          <w:noProof/>
          <w:sz w:val="21"/>
        </w:rPr>
        <w:t>2021;305:114182.</w:t>
      </w:r>
    </w:p>
    <w:p w14:paraId="5D873B85"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93.</w:t>
      </w:r>
      <w:r w:rsidRPr="006261DD">
        <w:rPr>
          <w:rFonts w:asciiTheme="minorHAnsi" w:hAnsiTheme="minorHAnsi" w:cstheme="minorHAnsi"/>
          <w:noProof/>
          <w:sz w:val="21"/>
        </w:rPr>
        <w:tab/>
        <w:t xml:space="preserve">Kaltenthaler E, Brazier J, De Nigris E, Tumur I, Ferriter M, Beverley C, Parry G, Rooney G, Sutcliffe P. Computerised cognitive behaviour therapy for depression and anxiety update: a systematic review and economic evaluation. </w:t>
      </w:r>
      <w:r w:rsidRPr="006261DD">
        <w:rPr>
          <w:rFonts w:asciiTheme="minorHAnsi" w:hAnsiTheme="minorHAnsi" w:cstheme="minorHAnsi"/>
          <w:i/>
          <w:noProof/>
          <w:sz w:val="21"/>
        </w:rPr>
        <w:t xml:space="preserve">Health Technol Assess. </w:t>
      </w:r>
      <w:r w:rsidRPr="006261DD">
        <w:rPr>
          <w:rFonts w:asciiTheme="minorHAnsi" w:hAnsiTheme="minorHAnsi" w:cstheme="minorHAnsi"/>
          <w:noProof/>
          <w:sz w:val="21"/>
        </w:rPr>
        <w:t>2006;10(33):iii, xi-xiv, 1-168.</w:t>
      </w:r>
    </w:p>
    <w:p w14:paraId="35564B54"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94.</w:t>
      </w:r>
      <w:r w:rsidRPr="006261DD">
        <w:rPr>
          <w:rFonts w:asciiTheme="minorHAnsi" w:hAnsiTheme="minorHAnsi" w:cstheme="minorHAnsi"/>
          <w:noProof/>
          <w:sz w:val="21"/>
        </w:rPr>
        <w:tab/>
        <w:t xml:space="preserve">Chatterton M, Harris M, Burgess P, Fletcher S, Spittal M, Faller J, Palmer V, Chondros P, Bassilios B, Pirkis J, Gunn J, Mihalopoulos C. Economic evaluation of a Decision Support Tool to guide intensity of mental health care in general practice: the Link-me pragmatic randomised controlled trial. </w:t>
      </w:r>
      <w:r w:rsidRPr="006261DD">
        <w:rPr>
          <w:rFonts w:asciiTheme="minorHAnsi" w:hAnsiTheme="minorHAnsi" w:cstheme="minorHAnsi"/>
          <w:i/>
          <w:noProof/>
          <w:sz w:val="21"/>
        </w:rPr>
        <w:t xml:space="preserve">(under review). </w:t>
      </w:r>
      <w:r w:rsidRPr="006261DD">
        <w:rPr>
          <w:rFonts w:asciiTheme="minorHAnsi" w:hAnsiTheme="minorHAnsi" w:cstheme="minorHAnsi"/>
          <w:noProof/>
          <w:sz w:val="21"/>
        </w:rPr>
        <w:t>2022.</w:t>
      </w:r>
    </w:p>
    <w:p w14:paraId="1B1CE811"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95.</w:t>
      </w:r>
      <w:r w:rsidRPr="006261DD">
        <w:rPr>
          <w:rFonts w:asciiTheme="minorHAnsi" w:hAnsiTheme="minorHAnsi" w:cstheme="minorHAnsi"/>
          <w:noProof/>
          <w:sz w:val="21"/>
        </w:rPr>
        <w:tab/>
        <w:t xml:space="preserve">Fletcher S, Chondros P, Palmer VJ, Chatterton ML, Spittal MJ, Mihalopoulos C, Wood A, Harris M, Burgess P, Bassilios B, Pirkis J, Gunn J. Link-me: Protocol for a randomised controlled trial of a systematic approach to stepped mental health care in primary care. </w:t>
      </w:r>
      <w:r w:rsidRPr="006261DD">
        <w:rPr>
          <w:rFonts w:asciiTheme="minorHAnsi" w:hAnsiTheme="minorHAnsi" w:cstheme="minorHAnsi"/>
          <w:i/>
          <w:noProof/>
          <w:sz w:val="21"/>
        </w:rPr>
        <w:t xml:space="preserve">Contemp Clin Trials. </w:t>
      </w:r>
      <w:r w:rsidRPr="006261DD">
        <w:rPr>
          <w:rFonts w:asciiTheme="minorHAnsi" w:hAnsiTheme="minorHAnsi" w:cstheme="minorHAnsi"/>
          <w:noProof/>
          <w:sz w:val="21"/>
        </w:rPr>
        <w:t>2019;78:63-75.</w:t>
      </w:r>
    </w:p>
    <w:p w14:paraId="77FC09B2" w14:textId="77777777" w:rsidR="00B80571" w:rsidRPr="006261DD" w:rsidRDefault="00B80571" w:rsidP="006261DD">
      <w:pPr>
        <w:pStyle w:val="EndNoteBibliography"/>
        <w:ind w:left="567" w:hanging="578"/>
        <w:rPr>
          <w:rFonts w:asciiTheme="minorHAnsi" w:hAnsiTheme="minorHAnsi" w:cstheme="minorHAnsi"/>
          <w:noProof/>
          <w:sz w:val="21"/>
        </w:rPr>
      </w:pPr>
      <w:r w:rsidRPr="006261DD">
        <w:rPr>
          <w:rFonts w:asciiTheme="minorHAnsi" w:hAnsiTheme="minorHAnsi" w:cstheme="minorHAnsi"/>
          <w:b/>
          <w:noProof/>
          <w:sz w:val="21"/>
        </w:rPr>
        <w:t>96.</w:t>
      </w:r>
      <w:r w:rsidRPr="006261DD">
        <w:rPr>
          <w:rFonts w:asciiTheme="minorHAnsi" w:hAnsiTheme="minorHAnsi" w:cstheme="minorHAnsi"/>
          <w:noProof/>
          <w:sz w:val="21"/>
        </w:rPr>
        <w:tab/>
        <w:t xml:space="preserve">Fletcher S, Chondros P, Densley K, Murray E, Dowrick C, Coe A, Hegarty K, Davidson S, Wachtler C, Mihalopoulos C, Lee YY, Chatterton ML, Palmer VJ, Gunn J. Matching depression management to severity prognosis in primary care: results of the Target-D randomised controlled trial. </w:t>
      </w:r>
      <w:r w:rsidRPr="006261DD">
        <w:rPr>
          <w:rFonts w:asciiTheme="minorHAnsi" w:hAnsiTheme="minorHAnsi" w:cstheme="minorHAnsi"/>
          <w:i/>
          <w:noProof/>
          <w:sz w:val="21"/>
        </w:rPr>
        <w:t xml:space="preserve">British Journal of General Practice. </w:t>
      </w:r>
      <w:r w:rsidRPr="006261DD">
        <w:rPr>
          <w:rFonts w:asciiTheme="minorHAnsi" w:hAnsiTheme="minorHAnsi" w:cstheme="minorHAnsi"/>
          <w:noProof/>
          <w:sz w:val="21"/>
        </w:rPr>
        <w:t>2021;71(703):e85-e94.</w:t>
      </w:r>
    </w:p>
    <w:p w14:paraId="0AD42352" w14:textId="6C40409F" w:rsidR="005A4B19" w:rsidRPr="00AA6B28" w:rsidRDefault="00553E11" w:rsidP="006261DD">
      <w:pPr>
        <w:pStyle w:val="ANorm"/>
        <w:ind w:left="567" w:hanging="578"/>
        <w:rPr>
          <w:rFonts w:eastAsiaTheme="majorEastAsia"/>
          <w:color w:val="2F5496" w:themeColor="accent1" w:themeShade="BF"/>
          <w:sz w:val="32"/>
          <w:szCs w:val="32"/>
        </w:rPr>
      </w:pPr>
      <w:r w:rsidRPr="006261DD">
        <w:rPr>
          <w:rFonts w:asciiTheme="minorHAnsi" w:hAnsiTheme="minorHAnsi" w:cstheme="minorHAnsi"/>
        </w:rPr>
        <w:fldChar w:fldCharType="end"/>
      </w:r>
      <w:r w:rsidR="005A4B19" w:rsidRPr="00AA6B28">
        <w:br w:type="page"/>
      </w:r>
    </w:p>
    <w:p w14:paraId="464DF1A7" w14:textId="304281D5" w:rsidR="00C40C98" w:rsidRPr="00AA6B28" w:rsidRDefault="00725172" w:rsidP="00E357F8">
      <w:pPr>
        <w:pStyle w:val="Heading1"/>
        <w:rPr>
          <w:bCs/>
        </w:rPr>
      </w:pPr>
      <w:bookmarkStart w:id="317" w:name="_Toc87968466"/>
      <w:bookmarkStart w:id="318" w:name="_Toc108784916"/>
      <w:r w:rsidRPr="00AA6B28">
        <w:lastRenderedPageBreak/>
        <w:t xml:space="preserve">Appendix </w:t>
      </w:r>
      <w:r w:rsidR="008D4EC7" w:rsidRPr="00AA6B28">
        <w:t>A</w:t>
      </w:r>
      <w:r w:rsidRPr="00AA6B28">
        <w:t xml:space="preserve">: </w:t>
      </w:r>
      <w:bookmarkEnd w:id="317"/>
      <w:r w:rsidR="005B1CEA" w:rsidRPr="00AA6B28">
        <w:t>Evaluation questions</w:t>
      </w:r>
      <w:bookmarkEnd w:id="318"/>
    </w:p>
    <w:p w14:paraId="08B03AE3" w14:textId="77777777" w:rsidR="00447483" w:rsidRPr="00447483" w:rsidRDefault="00447483" w:rsidP="006A1ABB">
      <w:pPr>
        <w:pBdr>
          <w:top w:val="single" w:sz="4" w:space="1" w:color="auto"/>
          <w:left w:val="single" w:sz="4" w:space="4" w:color="auto"/>
          <w:bottom w:val="single" w:sz="4" w:space="1" w:color="auto"/>
          <w:right w:val="single" w:sz="4" w:space="4" w:color="auto"/>
        </w:pBdr>
        <w:rPr>
          <w:rFonts w:asciiTheme="minorHAnsi" w:hAnsiTheme="minorHAnsi" w:cstheme="minorHAnsi"/>
          <w:b/>
          <w:sz w:val="16"/>
          <w:szCs w:val="16"/>
        </w:rPr>
      </w:pPr>
      <w:r w:rsidRPr="00447483">
        <w:rPr>
          <w:rFonts w:asciiTheme="minorHAnsi" w:hAnsiTheme="minorHAnsi" w:cstheme="minorHAnsi"/>
          <w:b/>
          <w:sz w:val="16"/>
          <w:szCs w:val="16"/>
        </w:rPr>
        <w:t>KEQ 1: How effective has the implementation of online mental health treatment services been to date and what can we learn from it?</w:t>
      </w:r>
    </w:p>
    <w:p w14:paraId="6BCFD4BA"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What is the overall level of uptake of the supported online mental health treatment services (</w:t>
      </w:r>
      <w:proofErr w:type="gramStart"/>
      <w:r w:rsidRPr="00447483">
        <w:rPr>
          <w:rFonts w:asciiTheme="minorHAnsi" w:hAnsiTheme="minorHAnsi" w:cstheme="minorHAnsi"/>
          <w:sz w:val="16"/>
          <w:szCs w:val="16"/>
        </w:rPr>
        <w:t>e.g.</w:t>
      </w:r>
      <w:proofErr w:type="gramEnd"/>
      <w:r w:rsidRPr="00447483">
        <w:rPr>
          <w:rFonts w:asciiTheme="minorHAnsi" w:hAnsiTheme="minorHAnsi" w:cstheme="minorHAnsi"/>
          <w:sz w:val="16"/>
          <w:szCs w:val="16"/>
        </w:rPr>
        <w:t xml:space="preserve"> </w:t>
      </w:r>
      <w:r w:rsidRPr="00447483">
        <w:rPr>
          <w:rFonts w:asciiTheme="minorHAnsi" w:hAnsiTheme="minorHAnsi" w:cstheme="minorHAnsi"/>
          <w:sz w:val="16"/>
          <w:szCs w:val="16"/>
          <w:lang w:bidi="th-TH"/>
        </w:rPr>
        <w:t>accessibility, consumer attendance and drop-out rates)</w:t>
      </w:r>
      <w:r w:rsidRPr="00447483">
        <w:rPr>
          <w:rFonts w:asciiTheme="minorHAnsi" w:hAnsiTheme="minorHAnsi" w:cstheme="minorHAnsi"/>
          <w:sz w:val="16"/>
          <w:szCs w:val="16"/>
        </w:rPr>
        <w:t>?</w:t>
      </w:r>
    </w:p>
    <w:p w14:paraId="1F20E19A"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lang w:bidi="th-TH"/>
        </w:rPr>
        <w:t>How satisfied are consumers and health professionals with supported online mental health treatment services?</w:t>
      </w:r>
    </w:p>
    <w:p w14:paraId="4B7B9880"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To what extent has each service reached its target population?</w:t>
      </w:r>
    </w:p>
    <w:p w14:paraId="5F96523F"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To what extent are consumers willing to use digital mental health services, including supported online mental health treatment services?</w:t>
      </w:r>
    </w:p>
    <w:p w14:paraId="24DE1C5F"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Are clients getting appropriate treatment according to relevant clinical guidelines?</w:t>
      </w:r>
    </w:p>
    <w:p w14:paraId="77F3280C"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lang w:bidi="th-TH"/>
        </w:rPr>
        <w:t>How effective is the step-up or step-down in care for consumers if required?</w:t>
      </w:r>
    </w:p>
    <w:p w14:paraId="465455C3"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Calibri" w:hAnsi="Calibri" w:cs="Angsana New"/>
          <w:sz w:val="16"/>
          <w:szCs w:val="16"/>
          <w:lang w:bidi="th-TH"/>
        </w:rPr>
        <w:t xml:space="preserve">Are there gaps or areas of duplication in </w:t>
      </w:r>
      <w:r w:rsidRPr="00447483">
        <w:rPr>
          <w:rFonts w:asciiTheme="minorHAnsi" w:hAnsiTheme="minorHAnsi" w:cstheme="minorHAnsi"/>
          <w:sz w:val="16"/>
          <w:szCs w:val="16"/>
        </w:rPr>
        <w:t xml:space="preserve">online mental health treatment services </w:t>
      </w:r>
      <w:r w:rsidRPr="00447483">
        <w:rPr>
          <w:rFonts w:asciiTheme="minorHAnsi" w:hAnsiTheme="minorHAnsi" w:cstheme="minorHAnsi"/>
          <w:sz w:val="16"/>
          <w:szCs w:val="16"/>
          <w:lang w:bidi="th-TH"/>
        </w:rPr>
        <w:t>(including services funded by the Australian Government)</w:t>
      </w:r>
      <w:r w:rsidRPr="00447483">
        <w:rPr>
          <w:rFonts w:asciiTheme="minorHAnsi" w:hAnsiTheme="minorHAnsi" w:cstheme="minorHAnsi"/>
          <w:sz w:val="16"/>
          <w:szCs w:val="16"/>
        </w:rPr>
        <w:t>? How can these be addressed?</w:t>
      </w:r>
    </w:p>
    <w:p w14:paraId="2C6AE7FE" w14:textId="77777777" w:rsidR="00447483" w:rsidRPr="00447483" w:rsidRDefault="00447483" w:rsidP="006A1ABB">
      <w:pPr>
        <w:pBdr>
          <w:top w:val="single" w:sz="4" w:space="1" w:color="auto"/>
          <w:left w:val="single" w:sz="4" w:space="4" w:color="auto"/>
          <w:bottom w:val="single" w:sz="4" w:space="1" w:color="auto"/>
          <w:right w:val="single" w:sz="4" w:space="4" w:color="auto"/>
        </w:pBdr>
        <w:rPr>
          <w:rFonts w:asciiTheme="minorHAnsi" w:hAnsiTheme="minorHAnsi" w:cstheme="minorHAnsi"/>
          <w:sz w:val="10"/>
          <w:szCs w:val="10"/>
        </w:rPr>
      </w:pPr>
    </w:p>
    <w:p w14:paraId="1C52C00F" w14:textId="77777777" w:rsidR="00447483" w:rsidRPr="00447483" w:rsidRDefault="00447483" w:rsidP="006A1ABB">
      <w:pPr>
        <w:pBdr>
          <w:top w:val="single" w:sz="4" w:space="1" w:color="auto"/>
          <w:left w:val="single" w:sz="4" w:space="4" w:color="auto"/>
          <w:bottom w:val="single" w:sz="4" w:space="1" w:color="auto"/>
          <w:right w:val="single" w:sz="4" w:space="4" w:color="auto"/>
        </w:pBdr>
        <w:rPr>
          <w:rFonts w:asciiTheme="minorHAnsi" w:hAnsiTheme="minorHAnsi" w:cstheme="minorHAnsi"/>
          <w:b/>
          <w:sz w:val="16"/>
          <w:szCs w:val="16"/>
        </w:rPr>
      </w:pPr>
      <w:r w:rsidRPr="00447483">
        <w:rPr>
          <w:rFonts w:asciiTheme="minorHAnsi" w:hAnsiTheme="minorHAnsi" w:cstheme="minorHAnsi"/>
          <w:b/>
          <w:sz w:val="16"/>
          <w:szCs w:val="16"/>
        </w:rPr>
        <w:t>KEQ 2: What difference are existing supported online mental health treatment services making compared with usual care (e.g.  face-to-face or other treatment service types)?</w:t>
      </w:r>
    </w:p>
    <w:p w14:paraId="2D9ECF8D"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Have the services improved overall access to mental health care?</w:t>
      </w:r>
    </w:p>
    <w:p w14:paraId="408D0E5E"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Have the services improved access to mental health care for disadvantaged or priority groups?</w:t>
      </w:r>
    </w:p>
    <w:p w14:paraId="7E6D0430"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To what extent are supported online mental health treatment services based on solid evidence of effectiveness? How can this be improved if necessary?</w:t>
      </w:r>
    </w:p>
    <w:p w14:paraId="37468FB0"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To what extent are supported online mental health treatment services utilising emerging technology? Can this be improved?</w:t>
      </w:r>
    </w:p>
    <w:p w14:paraId="29031C4B"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How effective are supported online mental health treatment services in improving consumer health outcomes, (</w:t>
      </w:r>
      <w:proofErr w:type="gramStart"/>
      <w:r w:rsidRPr="00447483">
        <w:rPr>
          <w:rFonts w:asciiTheme="minorHAnsi" w:hAnsiTheme="minorHAnsi" w:cstheme="minorHAnsi"/>
          <w:sz w:val="16"/>
          <w:szCs w:val="16"/>
        </w:rPr>
        <w:t>e.g.</w:t>
      </w:r>
      <w:proofErr w:type="gramEnd"/>
      <w:r w:rsidRPr="00447483">
        <w:rPr>
          <w:rFonts w:asciiTheme="minorHAnsi" w:hAnsiTheme="minorHAnsi" w:cstheme="minorHAnsi"/>
          <w:sz w:val="16"/>
          <w:szCs w:val="16"/>
        </w:rPr>
        <w:t xml:space="preserve"> improvement/reduction of mental health symptoms and/or psychological distress, mental health risk and protective factors such as consumer self-efficacy, social connectedness) and consumer quality of life?</w:t>
      </w:r>
    </w:p>
    <w:p w14:paraId="77613C6A"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For whom are these services effective? Treating mild, moderate, or severe mental disorders? Different disorder types? Different age groups? P</w:t>
      </w:r>
      <w:r w:rsidRPr="00447483">
        <w:rPr>
          <w:rFonts w:ascii="Calibri" w:hAnsi="Calibri" w:cs="Angsana New"/>
          <w:sz w:val="16"/>
          <w:szCs w:val="16"/>
          <w:lang w:bidi="th-TH"/>
        </w:rPr>
        <w:t>eople with more complex or severe mental illness or comorbid mental or physical disorders? Aboriginal and Torres Strait Islander peoples? People from culturally and linguistically diverse populations? People with a disability? People with lower levels of literacy? People with lower levels of computer skills?</w:t>
      </w:r>
    </w:p>
    <w:p w14:paraId="6857A02C"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What factors or service design features (</w:t>
      </w:r>
      <w:proofErr w:type="gramStart"/>
      <w:r w:rsidRPr="00447483">
        <w:rPr>
          <w:rFonts w:asciiTheme="minorHAnsi" w:hAnsiTheme="minorHAnsi" w:cstheme="minorHAnsi"/>
          <w:sz w:val="16"/>
          <w:szCs w:val="16"/>
        </w:rPr>
        <w:t>e.g.</w:t>
      </w:r>
      <w:proofErr w:type="gramEnd"/>
      <w:r w:rsidRPr="00447483">
        <w:rPr>
          <w:rFonts w:asciiTheme="minorHAnsi" w:hAnsiTheme="minorHAnsi" w:cstheme="minorHAnsi"/>
          <w:sz w:val="16"/>
          <w:szCs w:val="16"/>
        </w:rPr>
        <w:t xml:space="preserve"> workforce, training, needs of consumers) impact on the effectiveness of supported online mental health treatment services?</w:t>
      </w:r>
    </w:p>
    <w:p w14:paraId="04A8A6F5"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What evidence is there about health provider’s use of evidence emerging technology and use of government funding?</w:t>
      </w:r>
    </w:p>
    <w:p w14:paraId="5519B8DA" w14:textId="77777777" w:rsidR="00447483" w:rsidRPr="00447483" w:rsidRDefault="00447483" w:rsidP="006A1ABB">
      <w:pPr>
        <w:pBdr>
          <w:top w:val="single" w:sz="4" w:space="1" w:color="auto"/>
          <w:left w:val="single" w:sz="4" w:space="4" w:color="auto"/>
          <w:bottom w:val="single" w:sz="4" w:space="1" w:color="auto"/>
          <w:right w:val="single" w:sz="4" w:space="4" w:color="auto"/>
        </w:pBdr>
        <w:rPr>
          <w:rFonts w:asciiTheme="minorHAnsi" w:hAnsiTheme="minorHAnsi" w:cstheme="minorHAnsi"/>
          <w:sz w:val="10"/>
          <w:szCs w:val="10"/>
        </w:rPr>
      </w:pPr>
    </w:p>
    <w:p w14:paraId="56D577B5" w14:textId="77777777" w:rsidR="00447483" w:rsidRPr="005E5449" w:rsidRDefault="00447483" w:rsidP="006A1ABB">
      <w:pPr>
        <w:pBdr>
          <w:top w:val="single" w:sz="4" w:space="1" w:color="auto"/>
          <w:left w:val="single" w:sz="4" w:space="4" w:color="auto"/>
          <w:bottom w:val="single" w:sz="4" w:space="1" w:color="auto"/>
          <w:right w:val="single" w:sz="4" w:space="4" w:color="auto"/>
        </w:pBdr>
        <w:rPr>
          <w:rFonts w:asciiTheme="minorHAnsi" w:hAnsiTheme="minorHAnsi" w:cstheme="minorHAnsi"/>
          <w:b/>
          <w:sz w:val="16"/>
          <w:szCs w:val="16"/>
        </w:rPr>
      </w:pPr>
      <w:r w:rsidRPr="00447483">
        <w:rPr>
          <w:rFonts w:asciiTheme="minorHAnsi" w:hAnsiTheme="minorHAnsi" w:cstheme="minorHAnsi"/>
          <w:b/>
          <w:sz w:val="16"/>
          <w:szCs w:val="16"/>
        </w:rPr>
        <w:t xml:space="preserve">KEQ 3: How cost effective </w:t>
      </w:r>
      <w:proofErr w:type="gramStart"/>
      <w:r w:rsidRPr="00447483">
        <w:rPr>
          <w:rFonts w:asciiTheme="minorHAnsi" w:hAnsiTheme="minorHAnsi" w:cstheme="minorHAnsi"/>
          <w:b/>
          <w:sz w:val="16"/>
          <w:szCs w:val="16"/>
        </w:rPr>
        <w:t>are</w:t>
      </w:r>
      <w:proofErr w:type="gramEnd"/>
      <w:r w:rsidRPr="00447483">
        <w:rPr>
          <w:rFonts w:asciiTheme="minorHAnsi" w:hAnsiTheme="minorHAnsi" w:cstheme="minorHAnsi"/>
          <w:b/>
          <w:sz w:val="16"/>
          <w:szCs w:val="16"/>
        </w:rPr>
        <w:t xml:space="preserve"> Australian Government funded supported online mental health treatment services compared with usual</w:t>
      </w:r>
      <w:r w:rsidRPr="005E5449">
        <w:rPr>
          <w:rFonts w:asciiTheme="minorHAnsi" w:hAnsiTheme="minorHAnsi" w:cstheme="minorHAnsi"/>
          <w:b/>
          <w:sz w:val="16"/>
          <w:szCs w:val="16"/>
        </w:rPr>
        <w:t xml:space="preserve"> care (e.g.  face-to-face or other treatment service types)?</w:t>
      </w:r>
    </w:p>
    <w:p w14:paraId="565E45E6"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 xml:space="preserve">Where relevant, how effectively are these services utilising funding provided by the Australian Government? </w:t>
      </w:r>
    </w:p>
    <w:p w14:paraId="79AC7F03"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Where relevant, what outcomes has the provision of Australian Government funding achieved?</w:t>
      </w:r>
    </w:p>
    <w:p w14:paraId="69919CF5"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How efficiently have resources been used by supported online mental health treatment services? Can this be improved?</w:t>
      </w:r>
    </w:p>
    <w:p w14:paraId="123F6169"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How cost-effective are supported online mental health treatment services compared with usual care (</w:t>
      </w:r>
      <w:proofErr w:type="gramStart"/>
      <w:r w:rsidRPr="00447483">
        <w:rPr>
          <w:rFonts w:asciiTheme="minorHAnsi" w:hAnsiTheme="minorHAnsi" w:cstheme="minorHAnsi"/>
          <w:sz w:val="16"/>
          <w:szCs w:val="16"/>
        </w:rPr>
        <w:t>e.g.</w:t>
      </w:r>
      <w:proofErr w:type="gramEnd"/>
      <w:r w:rsidRPr="00447483">
        <w:rPr>
          <w:rFonts w:asciiTheme="minorHAnsi" w:hAnsiTheme="minorHAnsi" w:cstheme="minorHAnsi"/>
          <w:sz w:val="16"/>
          <w:szCs w:val="16"/>
        </w:rPr>
        <w:t xml:space="preserve"> face-to-face or other treatment service types)?</w:t>
      </w:r>
    </w:p>
    <w:p w14:paraId="2488BD08"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Are there opportunities to improve the cost-effectiveness of services?</w:t>
      </w:r>
    </w:p>
    <w:p w14:paraId="2CC8A51D"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What are the implications of free versus low cost versus higher costs to consumers and/or health professionals to access services?</w:t>
      </w:r>
    </w:p>
    <w:p w14:paraId="28730EC5"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 xml:space="preserve">What factors/design features are considered the minimum required to deliver an effective supported online mental health treatment service? </w:t>
      </w:r>
    </w:p>
    <w:p w14:paraId="610A6F1C" w14:textId="77777777" w:rsidR="00447483" w:rsidRPr="00447483" w:rsidRDefault="00447483" w:rsidP="006A1ABB">
      <w:pPr>
        <w:pBdr>
          <w:top w:val="single" w:sz="4" w:space="1" w:color="auto"/>
          <w:left w:val="single" w:sz="4" w:space="4" w:color="auto"/>
          <w:bottom w:val="single" w:sz="4" w:space="1" w:color="auto"/>
          <w:right w:val="single" w:sz="4" w:space="4" w:color="auto"/>
        </w:pBdr>
        <w:rPr>
          <w:rFonts w:asciiTheme="minorHAnsi" w:hAnsiTheme="minorHAnsi" w:cstheme="minorHAnsi"/>
          <w:sz w:val="10"/>
          <w:szCs w:val="10"/>
          <w:lang w:bidi="th-TH"/>
        </w:rPr>
      </w:pPr>
    </w:p>
    <w:p w14:paraId="68557350" w14:textId="77777777" w:rsidR="00447483" w:rsidRPr="00447483" w:rsidRDefault="00447483" w:rsidP="006A1ABB">
      <w:pPr>
        <w:pBdr>
          <w:top w:val="single" w:sz="4" w:space="1" w:color="auto"/>
          <w:left w:val="single" w:sz="4" w:space="4" w:color="auto"/>
          <w:bottom w:val="single" w:sz="4" w:space="1" w:color="auto"/>
          <w:right w:val="single" w:sz="4" w:space="4" w:color="auto"/>
        </w:pBdr>
        <w:rPr>
          <w:rFonts w:asciiTheme="minorHAnsi" w:hAnsiTheme="minorHAnsi" w:cstheme="minorHAnsi"/>
          <w:b/>
          <w:sz w:val="16"/>
          <w:szCs w:val="16"/>
          <w:lang w:bidi="th-TH"/>
        </w:rPr>
      </w:pPr>
      <w:r w:rsidRPr="00447483">
        <w:rPr>
          <w:rFonts w:asciiTheme="minorHAnsi" w:hAnsiTheme="minorHAnsi" w:cstheme="minorHAnsi"/>
          <w:b/>
          <w:sz w:val="16"/>
          <w:szCs w:val="16"/>
          <w:lang w:bidi="th-TH"/>
        </w:rPr>
        <w:t>KEQ 4: How effective are supported online mental health treatment services for consumers and health providers?</w:t>
      </w:r>
    </w:p>
    <w:p w14:paraId="3135C4B7"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What barriers and enablers are there for consumers to access supported online mental health treatment programs?</w:t>
      </w:r>
    </w:p>
    <w:p w14:paraId="76C87599"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 xml:space="preserve">How can access and use of supported online mental health treatment services be improved? </w:t>
      </w:r>
    </w:p>
    <w:p w14:paraId="0354559D"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Do the program service providers and clinicians feel supported to use online mental health treatment services, how are they best supported?</w:t>
      </w:r>
    </w:p>
    <w:p w14:paraId="55651238"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 xml:space="preserve">What barriers and enablers are there for health professionals to offer and/or refer clients to supported online mental health treatment services? </w:t>
      </w:r>
    </w:p>
    <w:p w14:paraId="2178D24D"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How effective are supported online mental health treatment services in improving consumer health outcomes, (</w:t>
      </w:r>
      <w:proofErr w:type="gramStart"/>
      <w:r w:rsidRPr="00447483">
        <w:rPr>
          <w:rFonts w:asciiTheme="minorHAnsi" w:hAnsiTheme="minorHAnsi" w:cstheme="minorHAnsi"/>
          <w:sz w:val="16"/>
          <w:szCs w:val="16"/>
        </w:rPr>
        <w:t>e.g.</w:t>
      </w:r>
      <w:proofErr w:type="gramEnd"/>
      <w:r w:rsidRPr="00447483">
        <w:rPr>
          <w:rFonts w:asciiTheme="minorHAnsi" w:hAnsiTheme="minorHAnsi" w:cstheme="minorHAnsi"/>
          <w:sz w:val="16"/>
          <w:szCs w:val="16"/>
        </w:rPr>
        <w:t xml:space="preserve"> improvement/reduction of mental health symptoms and/or psychological distress, mental health risk and protective factors such as consumer self-efficacy, social connectedness) and consumer quality of life?</w:t>
      </w:r>
    </w:p>
    <w:p w14:paraId="3328AA4B"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For whom is supported online mental health treatment services effective? Treating mild, moderate, or severe mental disorders? Different disorder types? Different age groups? P</w:t>
      </w:r>
      <w:r w:rsidRPr="00447483">
        <w:rPr>
          <w:rFonts w:ascii="Calibri" w:hAnsi="Calibri" w:cs="Angsana New"/>
          <w:sz w:val="16"/>
          <w:szCs w:val="16"/>
          <w:lang w:bidi="th-TH"/>
        </w:rPr>
        <w:t>eople with more complex or severe mental illness or comorbid mental or physical disorders? Aboriginal and Torres Strait Islander peoples? People from culturally and linguistically diverse populations? People with a disability? People with lower levels of literacy? People with lower levels of computer skills?</w:t>
      </w:r>
    </w:p>
    <w:p w14:paraId="3A19BC50"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What factors or service design features (</w:t>
      </w:r>
      <w:proofErr w:type="gramStart"/>
      <w:r w:rsidRPr="00447483">
        <w:rPr>
          <w:rFonts w:asciiTheme="minorHAnsi" w:hAnsiTheme="minorHAnsi" w:cstheme="minorHAnsi"/>
          <w:sz w:val="16"/>
          <w:szCs w:val="16"/>
        </w:rPr>
        <w:t>e.g.</w:t>
      </w:r>
      <w:proofErr w:type="gramEnd"/>
      <w:r w:rsidRPr="00447483">
        <w:rPr>
          <w:rFonts w:asciiTheme="minorHAnsi" w:hAnsiTheme="minorHAnsi" w:cstheme="minorHAnsi"/>
          <w:sz w:val="16"/>
          <w:szCs w:val="16"/>
        </w:rPr>
        <w:t xml:space="preserve"> workforce, training, needs of consumers) impact on the effectiveness of supported online mental health treatment services?</w:t>
      </w:r>
    </w:p>
    <w:p w14:paraId="085A2454" w14:textId="77777777" w:rsidR="00447483" w:rsidRPr="00447483" w:rsidRDefault="00447483" w:rsidP="006A1ABB">
      <w:pPr>
        <w:pBdr>
          <w:top w:val="single" w:sz="4" w:space="1" w:color="auto"/>
          <w:left w:val="single" w:sz="4" w:space="4" w:color="auto"/>
          <w:bottom w:val="single" w:sz="4" w:space="1" w:color="auto"/>
          <w:right w:val="single" w:sz="4" w:space="4" w:color="auto"/>
        </w:pBdr>
        <w:rPr>
          <w:rFonts w:asciiTheme="minorHAnsi" w:hAnsiTheme="minorHAnsi" w:cstheme="minorHAnsi"/>
          <w:sz w:val="10"/>
          <w:szCs w:val="10"/>
          <w:highlight w:val="yellow"/>
        </w:rPr>
      </w:pPr>
    </w:p>
    <w:p w14:paraId="05306723" w14:textId="77777777" w:rsidR="00447483" w:rsidRPr="00447483" w:rsidRDefault="00447483" w:rsidP="006A1ABB">
      <w:pPr>
        <w:pBdr>
          <w:top w:val="single" w:sz="4" w:space="1" w:color="auto"/>
          <w:left w:val="single" w:sz="4" w:space="4" w:color="auto"/>
          <w:bottom w:val="single" w:sz="4" w:space="1" w:color="auto"/>
          <w:right w:val="single" w:sz="4" w:space="4" w:color="auto"/>
        </w:pBdr>
        <w:rPr>
          <w:rFonts w:asciiTheme="minorHAnsi" w:hAnsiTheme="minorHAnsi" w:cstheme="minorHAnsi"/>
          <w:b/>
          <w:sz w:val="16"/>
          <w:szCs w:val="16"/>
        </w:rPr>
      </w:pPr>
      <w:r w:rsidRPr="00447483">
        <w:rPr>
          <w:rFonts w:asciiTheme="minorHAnsi" w:hAnsiTheme="minorHAnsi" w:cstheme="minorHAnsi"/>
          <w:b/>
          <w:sz w:val="16"/>
          <w:szCs w:val="16"/>
        </w:rPr>
        <w:t>KEQ 5: How can the commissioning and implementation of online mental health treatment services be best supported going forward?</w:t>
      </w:r>
    </w:p>
    <w:p w14:paraId="2CF15B2B"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 xml:space="preserve">How successfully are supported online mental health treatment services integrated into the broader mental health system? </w:t>
      </w:r>
    </w:p>
    <w:p w14:paraId="424355F7"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 xml:space="preserve">How can supported online mental health treatment services be better integrated into the broader mental health system? </w:t>
      </w:r>
    </w:p>
    <w:p w14:paraId="2C45BA4D"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 xml:space="preserve">To what extent do </w:t>
      </w:r>
      <w:proofErr w:type="gramStart"/>
      <w:r w:rsidRPr="00447483">
        <w:rPr>
          <w:rFonts w:asciiTheme="minorHAnsi" w:hAnsiTheme="minorHAnsi" w:cstheme="minorHAnsi"/>
          <w:sz w:val="16"/>
          <w:szCs w:val="16"/>
        </w:rPr>
        <w:t>supported</w:t>
      </w:r>
      <w:proofErr w:type="gramEnd"/>
      <w:r w:rsidRPr="00447483">
        <w:rPr>
          <w:rFonts w:asciiTheme="minorHAnsi" w:hAnsiTheme="minorHAnsi" w:cstheme="minorHAnsi"/>
          <w:sz w:val="16"/>
          <w:szCs w:val="16"/>
        </w:rPr>
        <w:t xml:space="preserve"> online mental health treatment services support a multi-disciplinary approach to mental health care?</w:t>
      </w:r>
    </w:p>
    <w:p w14:paraId="0A08E016"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 xml:space="preserve">What technology do </w:t>
      </w:r>
      <w:proofErr w:type="gramStart"/>
      <w:r w:rsidRPr="00447483">
        <w:rPr>
          <w:rFonts w:asciiTheme="minorHAnsi" w:hAnsiTheme="minorHAnsi" w:cstheme="minorHAnsi"/>
          <w:sz w:val="16"/>
          <w:szCs w:val="16"/>
        </w:rPr>
        <w:t>supported</w:t>
      </w:r>
      <w:proofErr w:type="gramEnd"/>
      <w:r w:rsidRPr="00447483">
        <w:rPr>
          <w:rFonts w:asciiTheme="minorHAnsi" w:hAnsiTheme="minorHAnsi" w:cstheme="minorHAnsi"/>
          <w:sz w:val="16"/>
          <w:szCs w:val="16"/>
        </w:rPr>
        <w:t xml:space="preserve"> online mental health treatment services require for consumers and health professionals to access the service? Is this readily available? If not, are there workable alternative options?</w:t>
      </w:r>
    </w:p>
    <w:p w14:paraId="118963BE"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What factors/features are required to deliver an optimal supported online mental health treatment service?</w:t>
      </w:r>
    </w:p>
    <w:p w14:paraId="5EC428E4" w14:textId="77777777" w:rsidR="00447483" w:rsidRPr="00447483" w:rsidRDefault="00447483" w:rsidP="006A1ABB">
      <w:pPr>
        <w:numPr>
          <w:ilvl w:val="0"/>
          <w:numId w:val="2"/>
        </w:numPr>
        <w:pBdr>
          <w:top w:val="single" w:sz="4" w:space="1" w:color="auto"/>
          <w:left w:val="single" w:sz="4" w:space="4" w:color="auto"/>
          <w:bottom w:val="single" w:sz="4" w:space="1" w:color="auto"/>
          <w:right w:val="single" w:sz="4" w:space="4" w:color="auto"/>
        </w:pBdr>
        <w:contextualSpacing/>
        <w:rPr>
          <w:rFonts w:asciiTheme="minorHAnsi" w:hAnsiTheme="minorHAnsi" w:cstheme="minorHAnsi"/>
          <w:sz w:val="16"/>
          <w:szCs w:val="16"/>
        </w:rPr>
      </w:pPr>
      <w:r w:rsidRPr="00447483">
        <w:rPr>
          <w:rFonts w:asciiTheme="minorHAnsi" w:hAnsiTheme="minorHAnsi" w:cstheme="minorHAnsi"/>
          <w:sz w:val="16"/>
          <w:szCs w:val="16"/>
        </w:rPr>
        <w:t xml:space="preserve">Given the identified barriers and enablers, how can the capacity of effective supported online mental health treatment services be best expanded over time? </w:t>
      </w:r>
      <w:r w:rsidRPr="00447483">
        <w:rPr>
          <w:rFonts w:asciiTheme="minorHAnsi" w:eastAsia="Arial" w:hAnsiTheme="minorHAnsi" w:cstheme="minorHAnsi"/>
          <w:sz w:val="21"/>
          <w:szCs w:val="21"/>
        </w:rPr>
        <w:br w:type="page"/>
      </w:r>
    </w:p>
    <w:p w14:paraId="4F724569" w14:textId="5A17FEE1" w:rsidR="00622644" w:rsidRPr="00AA6B28" w:rsidRDefault="00622644" w:rsidP="006A1ABB">
      <w:pPr>
        <w:pStyle w:val="Heading1"/>
      </w:pPr>
      <w:bookmarkStart w:id="319" w:name="_Toc108784917"/>
      <w:r w:rsidRPr="00AA6B28">
        <w:lastRenderedPageBreak/>
        <w:t xml:space="preserve">Appendix </w:t>
      </w:r>
      <w:r w:rsidR="008D4EC7" w:rsidRPr="00AA6B28">
        <w:t>B</w:t>
      </w:r>
      <w:r w:rsidRPr="00AA6B28">
        <w:t xml:space="preserve">: </w:t>
      </w:r>
      <w:r w:rsidR="00282FD6" w:rsidRPr="00AA6B28">
        <w:t>Phase 2 e</w:t>
      </w:r>
      <w:r w:rsidRPr="00AA6B28">
        <w:t>valuation method</w:t>
      </w:r>
      <w:bookmarkEnd w:id="319"/>
    </w:p>
    <w:p w14:paraId="762CE1F3" w14:textId="304F9A71" w:rsidR="00C10E4B" w:rsidRPr="00AA6B28" w:rsidRDefault="004F1E0C" w:rsidP="00244288">
      <w:pPr>
        <w:pStyle w:val="ANorm"/>
      </w:pPr>
      <w:r w:rsidRPr="00AA6B28">
        <w:t>As previously mentioned</w:t>
      </w:r>
      <w:r w:rsidR="00C10E4B" w:rsidRPr="00AA6B28">
        <w:t xml:space="preserve">, </w:t>
      </w:r>
      <w:r w:rsidRPr="00AA6B28">
        <w:t xml:space="preserve">Phase 1 </w:t>
      </w:r>
      <w:r w:rsidR="00C10E4B" w:rsidRPr="00AA6B28">
        <w:t xml:space="preserve">of the </w:t>
      </w:r>
      <w:r w:rsidR="001812D9">
        <w:t xml:space="preserve">evaluation </w:t>
      </w:r>
      <w:r w:rsidRPr="00AA6B28">
        <w:t>involved conducting an environmental scan and literature review.</w:t>
      </w:r>
      <w:r w:rsidR="00C10E4B" w:rsidRPr="00AA6B28">
        <w:t xml:space="preserve"> The </w:t>
      </w:r>
      <w:r w:rsidR="00495D31" w:rsidRPr="00AA6B28">
        <w:t xml:space="preserve">Phase 1 </w:t>
      </w:r>
      <w:r w:rsidR="00C10E4B" w:rsidRPr="00AA6B28">
        <w:t>meth</w:t>
      </w:r>
      <w:r w:rsidR="00495D31" w:rsidRPr="00AA6B28">
        <w:t>odology and findings are reported elsewhere.</w:t>
      </w:r>
      <w:r w:rsidR="00B81CB1">
        <w:fldChar w:fldCharType="begin">
          <w:fldData xml:space="preserve">PEVuZE5vdGU+PENpdGU+PEF1dGhvcj5CYXNzaWxpb3M8L0F1dGhvcj48WWVhcj4yMDIyPC9ZZWFy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</w:fldData>
        </w:fldChar>
      </w:r>
      <w:r w:rsidR="00D97888">
        <w:instrText xml:space="preserve"> ADDIN EN.CITE </w:instrText>
      </w:r>
      <w:r w:rsidR="00D97888">
        <w:fldChar w:fldCharType="begin">
          <w:fldData xml:space="preserve">PEVuZE5vdGU+PENpdGU+PEF1dGhvcj5CYXNzaWxpb3M8L0F1dGhvcj48WWVhcj4yMDIyPC9ZZWFy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</w:fldData>
        </w:fldChar>
      </w:r>
      <w:r w:rsidR="00D97888">
        <w:instrText xml:space="preserve"> ADDIN EN.CITE.DATA </w:instrText>
      </w:r>
      <w:r w:rsidR="00D97888">
        <w:fldChar w:fldCharType="end"/>
      </w:r>
      <w:r w:rsidR="00B81CB1">
        <w:fldChar w:fldCharType="separate"/>
      </w:r>
      <w:r w:rsidR="00443B60" w:rsidRPr="00443B60">
        <w:rPr>
          <w:noProof/>
          <w:vertAlign w:val="superscript"/>
        </w:rPr>
        <w:t>5, 6</w:t>
      </w:r>
      <w:r w:rsidR="00B81CB1">
        <w:fldChar w:fldCharType="end"/>
      </w:r>
    </w:p>
    <w:p w14:paraId="615C0134" w14:textId="1FB15BE4" w:rsidR="009A0723" w:rsidRPr="006A1ABB" w:rsidRDefault="009A0723" w:rsidP="00676685">
      <w:pPr>
        <w:pStyle w:val="ANorm"/>
        <w:spacing w:after="240"/>
      </w:pPr>
      <w:r w:rsidRPr="00AA6B28">
        <w:t>O</w:t>
      </w:r>
      <w:r w:rsidR="005F4CCC" w:rsidRPr="00AA6B28">
        <w:t xml:space="preserve">ur approach to data collation/collection in </w:t>
      </w:r>
      <w:r w:rsidR="004F1E0C" w:rsidRPr="00AA6B28">
        <w:t>Phase 2</w:t>
      </w:r>
      <w:r w:rsidR="005F4CCC" w:rsidRPr="00AA6B28">
        <w:t xml:space="preserve"> of the evaluation </w:t>
      </w:r>
      <w:r w:rsidRPr="00AA6B28">
        <w:t xml:space="preserve">is outlined </w:t>
      </w:r>
      <w:r w:rsidR="005F4CCC" w:rsidRPr="00AA6B28">
        <w:t>below. Phase 2 involve</w:t>
      </w:r>
      <w:r w:rsidRPr="00AA6B28">
        <w:t>d collation/collection of existing data (routinely collected service use data</w:t>
      </w:r>
      <w:r w:rsidR="00C10E4B" w:rsidRPr="00AA6B28">
        <w:t xml:space="preserve">, </w:t>
      </w:r>
      <w:r w:rsidRPr="00AA6B28">
        <w:t>service documents</w:t>
      </w:r>
      <w:r w:rsidR="00C10E4B" w:rsidRPr="00AA6B28">
        <w:t xml:space="preserve"> and publications</w:t>
      </w:r>
      <w:r w:rsidRPr="00AA6B28">
        <w:t xml:space="preserve">) and </w:t>
      </w:r>
      <w:r w:rsidR="005F4CCC" w:rsidRPr="00AA6B28">
        <w:t>conducting consultations with stakeholders.</w:t>
      </w:r>
    </w:p>
    <w:p w14:paraId="5970019E" w14:textId="036C38D1" w:rsidR="003F5AEF" w:rsidRPr="00AA6B28" w:rsidRDefault="005F4CCC" w:rsidP="00676685">
      <w:pPr>
        <w:pStyle w:val="Heading2"/>
        <w:numPr>
          <w:ilvl w:val="0"/>
          <w:numId w:val="0"/>
        </w:numPr>
        <w:spacing w:after="240"/>
      </w:pPr>
      <w:bookmarkStart w:id="320" w:name="_Toc108784918"/>
      <w:r w:rsidRPr="00AA6B28">
        <w:t>Existing data</w:t>
      </w:r>
      <w:bookmarkEnd w:id="320"/>
    </w:p>
    <w:p w14:paraId="3439BC98" w14:textId="721F0A26" w:rsidR="005F4CCC" w:rsidRPr="006A1ABB" w:rsidRDefault="005F4CCC" w:rsidP="00676685">
      <w:pPr>
        <w:pStyle w:val="ANorm"/>
        <w:spacing w:after="240"/>
      </w:pPr>
      <w:r w:rsidRPr="00AA6B28">
        <w:t>We utilise</w:t>
      </w:r>
      <w:r w:rsidR="00363D10" w:rsidRPr="00AA6B28">
        <w:t>d</w:t>
      </w:r>
      <w:r w:rsidRPr="00AA6B28">
        <w:t xml:space="preserve"> two existing data source categories to address relevant evaluation questions: (1) </w:t>
      </w:r>
      <w:r w:rsidR="00152031" w:rsidRPr="00AA6B28">
        <w:t>routinely collected administrative service use data; (2)</w:t>
      </w:r>
      <w:r w:rsidR="009E4D1F" w:rsidRPr="00AA6B28">
        <w:t xml:space="preserve"> </w:t>
      </w:r>
      <w:r w:rsidRPr="00AA6B28">
        <w:t>service documents</w:t>
      </w:r>
      <w:r w:rsidR="009E4D1F" w:rsidRPr="00AA6B28">
        <w:t xml:space="preserve"> and peer-reviewed publications </w:t>
      </w:r>
      <w:r w:rsidR="0072143D" w:rsidRPr="00AA6B28">
        <w:t>about the three DMHSs and possible comparator services.</w:t>
      </w:r>
    </w:p>
    <w:p w14:paraId="2AFECA77" w14:textId="2BD554B8" w:rsidR="0072143D" w:rsidRPr="00AA6B28" w:rsidRDefault="00152031" w:rsidP="00676685">
      <w:pPr>
        <w:pStyle w:val="Heading3"/>
        <w:numPr>
          <w:ilvl w:val="0"/>
          <w:numId w:val="0"/>
        </w:numPr>
        <w:spacing w:after="240"/>
      </w:pPr>
      <w:r w:rsidRPr="00AA6B28">
        <w:t>Routinely collected service use data</w:t>
      </w:r>
    </w:p>
    <w:p w14:paraId="79AE2C19" w14:textId="321FF149" w:rsidR="007D019B" w:rsidRDefault="00152031" w:rsidP="00676685">
      <w:pPr>
        <w:pStyle w:val="ANorm"/>
        <w:spacing w:after="240"/>
      </w:pPr>
      <w:r w:rsidRPr="00AA6B28">
        <w:t xml:space="preserve">We </w:t>
      </w:r>
      <w:r w:rsidR="00F66D27" w:rsidRPr="00AA6B28">
        <w:t>requested</w:t>
      </w:r>
      <w:r w:rsidRPr="00AA6B28">
        <w:t xml:space="preserve"> routinely collected administrative service use data from </w:t>
      </w:r>
      <w:r w:rsidR="00F66D27" w:rsidRPr="00AA6B28">
        <w:t xml:space="preserve">the three </w:t>
      </w:r>
      <w:r w:rsidRPr="00AA6B28">
        <w:t xml:space="preserve">Australian Government funded </w:t>
      </w:r>
      <w:r w:rsidR="00F66D27" w:rsidRPr="00AA6B28">
        <w:t>DMHSs</w:t>
      </w:r>
      <w:r w:rsidRPr="00AA6B28">
        <w:t xml:space="preserve">. </w:t>
      </w:r>
      <w:r w:rsidR="00F66D27" w:rsidRPr="00AA6B28">
        <w:t xml:space="preserve">Specifically, we requested uptake </w:t>
      </w:r>
      <w:r w:rsidR="008A7F8D" w:rsidRPr="00AA6B28">
        <w:t xml:space="preserve">and outcomes </w:t>
      </w:r>
      <w:r w:rsidR="002B4840" w:rsidRPr="00AA6B28">
        <w:t xml:space="preserve">(assessed by standardised instruments) </w:t>
      </w:r>
      <w:r w:rsidR="00F66D27" w:rsidRPr="00AA6B28">
        <w:t xml:space="preserve">data </w:t>
      </w:r>
      <w:r w:rsidR="005E2BB9" w:rsidRPr="00AA6B28">
        <w:t>in six-monthly blocks</w:t>
      </w:r>
      <w:r w:rsidR="008A7F8D" w:rsidRPr="00AA6B28">
        <w:t>. We re</w:t>
      </w:r>
      <w:r w:rsidR="007E7444" w:rsidRPr="00AA6B28">
        <w:t xml:space="preserve">quested that these data were split by </w:t>
      </w:r>
      <w:r w:rsidR="00636E92">
        <w:t xml:space="preserve">service pathway (i.e., assessment, self-directed </w:t>
      </w:r>
      <w:proofErr w:type="gramStart"/>
      <w:r w:rsidR="00636E92">
        <w:t>treatment</w:t>
      </w:r>
      <w:proofErr w:type="gramEnd"/>
      <w:r w:rsidR="00636E92">
        <w:t xml:space="preserve"> and therapist-supported treatment)</w:t>
      </w:r>
      <w:r w:rsidR="00594CC5" w:rsidRPr="00AA6B28">
        <w:t>, and socio-demographic and clinical characteristics.</w:t>
      </w:r>
    </w:p>
    <w:p w14:paraId="4C6F5DF5" w14:textId="5D78220D" w:rsidR="00152031" w:rsidRPr="006A1ABB" w:rsidRDefault="00F21EC3" w:rsidP="00676685">
      <w:pPr>
        <w:pStyle w:val="ANorm"/>
        <w:spacing w:after="240"/>
      </w:pPr>
      <w:r w:rsidRPr="00F93D2A">
        <w:t>We also re</w:t>
      </w:r>
      <w:r w:rsidR="008644F4" w:rsidRPr="00F93D2A">
        <w:t>quested data on</w:t>
      </w:r>
      <w:r w:rsidR="00152031" w:rsidRPr="00F93D2A">
        <w:t xml:space="preserve"> </w:t>
      </w:r>
      <w:r w:rsidR="004744DE">
        <w:t>costs associated with each service pathway from the three DMHSs for the most recent financial year and, if available, previous financial years since inception.</w:t>
      </w:r>
      <w:r w:rsidR="005B5561">
        <w:t xml:space="preserve"> We used a top-down approach to estimate the costs of delivering each of the DMHSs. A top-down approach involves obtaining the overall expenditures for each input and assigning the costs based on allocation factors to estimate unit costs.</w:t>
      </w:r>
      <w:r w:rsidR="00B81CB1">
        <w:fldChar w:fldCharType="begin"/>
      </w:r>
      <w:r w:rsidR="00C178C5">
        <w:instrText xml:space="preserve"> ADDIN EN.CITE &lt;EndNote&gt;&lt;Cite&gt;&lt;Author&gt;Conteh&lt;/Author&gt;&lt;Year&gt;2004&lt;/Year&gt;&lt;RecNum&gt;141&lt;/RecNum&gt;&lt;DisplayText&gt;&lt;style face="superscript"&gt;88&lt;/style&gt;&lt;/DisplayText&gt;&lt;record&gt;&lt;rec-number&gt;141&lt;/rec-number&gt;&lt;foreign-keys&gt;&lt;key app="EN" db-id="dawtr0zrkrzfa5edzzlpe2we0xa00t90vvr2" timestamp="1650846740"&gt;141&lt;/key&gt;&lt;/foreign-keys&gt;&lt;ref-type name="Journal Article"&gt;17&lt;/ref-type&gt;&lt;contributors&gt;&lt;authors&gt;&lt;author&gt;Conteh, L.&lt;/author&gt;&lt;author&gt;Walker, D.&lt;/author&gt;&lt;/authors&gt;&lt;/contributors&gt;&lt;auth-address&gt;Health Policy Unit, London School of Hygiene and Tropical Medicine, London, UK. Lesong.Conteh@lshtm.ac.uk&lt;/auth-address&gt;&lt;titles&gt;&lt;title&gt;Cost and unit cost calculations using step-down accounting&lt;/title&gt;&lt;secondary-title&gt;Health Policy and Planning&lt;/secondary-title&gt;&lt;/titles&gt;&lt;periodical&gt;&lt;full-title&gt;Health Policy and Planning&lt;/full-title&gt;&lt;/periodical&gt;&lt;pages&gt;127-35&lt;/pages&gt;&lt;volume&gt;19&lt;/volume&gt;&lt;number&gt;2&lt;/number&gt;&lt;edition&gt;2004/02/26&lt;/edition&gt;&lt;keywords&gt;&lt;keyword&gt;Accounting/*methods&lt;/keyword&gt;&lt;keyword&gt;Costs and Cost Analysis/*methods&lt;/keyword&gt;&lt;keyword&gt;United Kingdom&lt;/keyword&gt;&lt;/keywords&gt;&lt;dates&gt;&lt;year&gt;2004&lt;/year&gt;&lt;pub-dates&gt;&lt;date&gt;Mar&lt;/date&gt;&lt;/pub-dates&gt;&lt;/dates&gt;&lt;isbn&gt;0268-1080 (Print)&amp;#xD;0268-1080&lt;/isbn&gt;&lt;accession-num&gt;14982891&lt;/accession-num&gt;&lt;urls&gt;&lt;/urls&gt;&lt;electronic-resource-num&gt;10.1093/heapol/czh015&lt;/electronic-resource-num&gt;&lt;remote-database-provider&gt;NLM&lt;/remote-database-provider&gt;&lt;language&gt;eng&lt;/language&gt;&lt;/record&gt;&lt;/Cite&gt;&lt;/EndNote&gt;</w:instrText>
      </w:r>
      <w:r w:rsidR="00B81CB1">
        <w:fldChar w:fldCharType="separate"/>
      </w:r>
      <w:r w:rsidR="00C178C5" w:rsidRPr="00C178C5">
        <w:rPr>
          <w:noProof/>
          <w:vertAlign w:val="superscript"/>
        </w:rPr>
        <w:t>88</w:t>
      </w:r>
      <w:r w:rsidR="00B81CB1">
        <w:fldChar w:fldCharType="end"/>
      </w:r>
      <w:r w:rsidR="005B5561">
        <w:t xml:space="preserve"> On the other hand, a bottom-up approach estimates unit costs by using detailed usage data directly attributable to the service produced for consumers.</w:t>
      </w:r>
      <w:r w:rsidR="00B81CB1">
        <w:fldChar w:fldCharType="begin">
          <w:fldData xml:space="preserve">PEVuZE5vdGU+PENpdGU+PEF1dGhvcj5CYXR1cmE8L0F1dGhvcj48WWVhcj4yMDE0PC9ZZWFyPjxS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</w:fldData>
        </w:fldChar>
      </w:r>
      <w:r w:rsidR="004469A2">
        <w:instrText xml:space="preserve"> ADDIN EN.CITE </w:instrText>
      </w:r>
      <w:r w:rsidR="004469A2">
        <w:fldChar w:fldCharType="begin">
          <w:fldData xml:space="preserve">PEVuZE5vdGU+PENpdGU+PEF1dGhvcj5CYXR1cmE8L0F1dGhvcj48WWVhcj4yMDE0PC9ZZWFyPjxS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</w:fldData>
        </w:fldChar>
      </w:r>
      <w:r w:rsidR="004469A2">
        <w:instrText xml:space="preserve"> ADDIN EN.CITE.DATA </w:instrText>
      </w:r>
      <w:r w:rsidR="004469A2">
        <w:fldChar w:fldCharType="end"/>
      </w:r>
      <w:r w:rsidR="00B81CB1">
        <w:fldChar w:fldCharType="separate"/>
      </w:r>
      <w:r w:rsidR="004469A2" w:rsidRPr="004469A2">
        <w:rPr>
          <w:noProof/>
          <w:vertAlign w:val="superscript"/>
        </w:rPr>
        <w:t>89</w:t>
      </w:r>
      <w:r w:rsidR="00B81CB1">
        <w:fldChar w:fldCharType="end"/>
      </w:r>
      <w:r w:rsidR="005B5561">
        <w:t xml:space="preserve"> Although the top-down approach may be less precise than a bottom-up approach, it can fully capture any under-utilised capacity or inefficiency within the service.</w:t>
      </w:r>
      <w:r w:rsidR="00B81CB1">
        <w:fldChar w:fldCharType="begin">
          <w:fldData xml:space="preserve">PEVuZE5vdGU+PENpdGU+PEF1dGhvcj5DaGFwa288L0F1dGhvcj48WWVhcj4yMDA5PC9ZZWFyPjxS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</w:fldData>
        </w:fldChar>
      </w:r>
      <w:r w:rsidR="004469A2">
        <w:instrText xml:space="preserve"> ADDIN EN.CITE </w:instrText>
      </w:r>
      <w:r w:rsidR="004469A2">
        <w:fldChar w:fldCharType="begin">
          <w:fldData xml:space="preserve">PEVuZE5vdGU+PENpdGU+PEF1dGhvcj5DaGFwa288L0F1dGhvcj48WWVhcj4yMDA5PC9ZZWFyPjxS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</w:fldData>
        </w:fldChar>
      </w:r>
      <w:r w:rsidR="004469A2">
        <w:instrText xml:space="preserve"> ADDIN EN.CITE.DATA </w:instrText>
      </w:r>
      <w:r w:rsidR="004469A2">
        <w:fldChar w:fldCharType="end"/>
      </w:r>
      <w:r w:rsidR="00B81CB1">
        <w:fldChar w:fldCharType="separate"/>
      </w:r>
      <w:r w:rsidR="004469A2" w:rsidRPr="004469A2">
        <w:rPr>
          <w:noProof/>
          <w:vertAlign w:val="superscript"/>
        </w:rPr>
        <w:t>90, 91</w:t>
      </w:r>
      <w:r w:rsidR="00B81CB1">
        <w:fldChar w:fldCharType="end"/>
      </w:r>
    </w:p>
    <w:p w14:paraId="29A08818" w14:textId="355E0867" w:rsidR="00EE40E9" w:rsidRPr="005B631D" w:rsidRDefault="005F4CCC" w:rsidP="00676685">
      <w:pPr>
        <w:pStyle w:val="Heading3"/>
        <w:numPr>
          <w:ilvl w:val="0"/>
          <w:numId w:val="0"/>
        </w:numPr>
        <w:spacing w:after="240"/>
      </w:pPr>
      <w:r w:rsidRPr="005B631D">
        <w:t>Service documents</w:t>
      </w:r>
      <w:r w:rsidR="00F21EC3" w:rsidRPr="005B631D">
        <w:t xml:space="preserve"> and peer-reviewed publications</w:t>
      </w:r>
    </w:p>
    <w:p w14:paraId="5D7B492C" w14:textId="737528A3" w:rsidR="00983AB7" w:rsidRDefault="005F4CCC" w:rsidP="00676685">
      <w:pPr>
        <w:pStyle w:val="ANorm"/>
        <w:spacing w:after="240"/>
      </w:pPr>
      <w:r w:rsidRPr="005B631D">
        <w:t>We source</w:t>
      </w:r>
      <w:r w:rsidR="005B631D" w:rsidRPr="005B631D">
        <w:t>d</w:t>
      </w:r>
      <w:r w:rsidRPr="005B631D">
        <w:t xml:space="preserve"> documents relating to Australian Government funded supported </w:t>
      </w:r>
      <w:r w:rsidR="005B631D" w:rsidRPr="005B631D">
        <w:t>DMHSs</w:t>
      </w:r>
      <w:r w:rsidRPr="005B631D">
        <w:t xml:space="preserve"> from the Department </w:t>
      </w:r>
      <w:r w:rsidR="005B631D" w:rsidRPr="005B631D">
        <w:t xml:space="preserve">and </w:t>
      </w:r>
      <w:r w:rsidRPr="005B631D">
        <w:t>the services themselves. Documents include</w:t>
      </w:r>
      <w:r w:rsidR="005B631D" w:rsidRPr="005B631D">
        <w:t>d</w:t>
      </w:r>
      <w:r w:rsidRPr="005B631D">
        <w:t xml:space="preserve"> </w:t>
      </w:r>
      <w:r w:rsidR="005B631D" w:rsidRPr="005B631D">
        <w:t>example</w:t>
      </w:r>
      <w:r w:rsidRPr="005B631D">
        <w:t xml:space="preserve"> </w:t>
      </w:r>
      <w:r w:rsidR="005B631D" w:rsidRPr="005B631D">
        <w:t xml:space="preserve">6-monthly </w:t>
      </w:r>
      <w:r w:rsidRPr="005B631D">
        <w:t>performance</w:t>
      </w:r>
      <w:r w:rsidR="005B631D" w:rsidRPr="005B631D">
        <w:t xml:space="preserve"> </w:t>
      </w:r>
      <w:r w:rsidRPr="005B631D">
        <w:t>reports</w:t>
      </w:r>
      <w:r w:rsidR="005B631D" w:rsidRPr="005B631D">
        <w:t xml:space="preserve">, a detailed service description document prepared by </w:t>
      </w:r>
      <w:proofErr w:type="spellStart"/>
      <w:r w:rsidR="005B631D" w:rsidRPr="005B631D">
        <w:t>MindSpot</w:t>
      </w:r>
      <w:proofErr w:type="spellEnd"/>
      <w:r w:rsidR="005B631D" w:rsidRPr="005B631D">
        <w:t xml:space="preserve"> and selected peer-reviewed publications from more extensive lists supplied</w:t>
      </w:r>
      <w:r w:rsidRPr="005B631D">
        <w:t xml:space="preserve"> </w:t>
      </w:r>
      <w:r w:rsidR="005B631D" w:rsidRPr="005B631D">
        <w:t>by all three DMHSs.</w:t>
      </w:r>
    </w:p>
    <w:p w14:paraId="07923DBE" w14:textId="3DEE0F16" w:rsidR="00381EB6" w:rsidRPr="00BD2B54" w:rsidRDefault="00FF2B52" w:rsidP="00676685">
      <w:pPr>
        <w:pStyle w:val="ANorm"/>
        <w:spacing w:after="240"/>
      </w:pPr>
      <w:r w:rsidRPr="00BD2B54">
        <w:t>In general, w</w:t>
      </w:r>
      <w:r w:rsidR="00983AB7" w:rsidRPr="00BD2B54">
        <w:t xml:space="preserve">e selected peer-reviewed publications that: </w:t>
      </w:r>
    </w:p>
    <w:p w14:paraId="06615314" w14:textId="4D6DA301" w:rsidR="00381EB6" w:rsidRPr="00BD2B54" w:rsidRDefault="00676685" w:rsidP="00676685">
      <w:pPr>
        <w:pStyle w:val="ANorm"/>
        <w:numPr>
          <w:ilvl w:val="0"/>
          <w:numId w:val="10"/>
        </w:numPr>
        <w:spacing w:after="240"/>
      </w:pPr>
      <w:r>
        <w:t>C</w:t>
      </w:r>
      <w:r w:rsidR="00983AB7" w:rsidRPr="00BD2B54">
        <w:t xml:space="preserve">omplemented the routinely collected services use data we </w:t>
      </w:r>
      <w:proofErr w:type="gramStart"/>
      <w:r w:rsidR="00983AB7" w:rsidRPr="00BD2B54">
        <w:t>requested</w:t>
      </w:r>
      <w:r w:rsidR="00FF2B52" w:rsidRPr="00BD2B54">
        <w:t>;</w:t>
      </w:r>
      <w:proofErr w:type="gramEnd"/>
    </w:p>
    <w:p w14:paraId="6DDC94EB" w14:textId="38EE5865" w:rsidR="005B631D" w:rsidRPr="00BD2B54" w:rsidRDefault="00676685" w:rsidP="00676685">
      <w:pPr>
        <w:pStyle w:val="ANorm"/>
        <w:numPr>
          <w:ilvl w:val="0"/>
          <w:numId w:val="10"/>
        </w:numPr>
        <w:spacing w:after="240"/>
      </w:pPr>
      <w:r>
        <w:t>F</w:t>
      </w:r>
      <w:r w:rsidR="00983AB7" w:rsidRPr="00BD2B54">
        <w:t xml:space="preserve">ocused specifically on evaluation of </w:t>
      </w:r>
      <w:r w:rsidR="00535E49">
        <w:t xml:space="preserve">mental health </w:t>
      </w:r>
      <w:r w:rsidR="00381EB6" w:rsidRPr="00BD2B54">
        <w:t xml:space="preserve">treatment </w:t>
      </w:r>
      <w:r w:rsidR="00983AB7" w:rsidRPr="00BD2B54">
        <w:t>programs of the three DMHS</w:t>
      </w:r>
      <w:r w:rsidR="00FF2B52" w:rsidRPr="00BD2B54">
        <w:t>,</w:t>
      </w:r>
      <w:r w:rsidR="00381EB6" w:rsidRPr="00BD2B54">
        <w:t xml:space="preserve"> routine care (rather than randomised controlled trials)</w:t>
      </w:r>
      <w:r w:rsidR="00FF2B52" w:rsidRPr="00BD2B54">
        <w:t xml:space="preserve"> and disadvantaged </w:t>
      </w:r>
      <w:proofErr w:type="gramStart"/>
      <w:r w:rsidR="00FF2B52" w:rsidRPr="00BD2B54">
        <w:t>groups</w:t>
      </w:r>
      <w:r w:rsidR="00381EB6" w:rsidRPr="00BD2B54">
        <w:t>;</w:t>
      </w:r>
      <w:proofErr w:type="gramEnd"/>
    </w:p>
    <w:p w14:paraId="053F26B7" w14:textId="6E61877C" w:rsidR="00FF2B52" w:rsidRPr="00BD2B54" w:rsidRDefault="00676685" w:rsidP="00676685">
      <w:pPr>
        <w:pStyle w:val="ANorm"/>
        <w:numPr>
          <w:ilvl w:val="0"/>
          <w:numId w:val="10"/>
        </w:numPr>
        <w:spacing w:after="240"/>
      </w:pPr>
      <w:r>
        <w:t>P</w:t>
      </w:r>
      <w:r w:rsidR="00FF2B52" w:rsidRPr="00BD2B54">
        <w:t>rovided data on a range of outcomes (not just mental health outcomes</w:t>
      </w:r>
      <w:proofErr w:type="gramStart"/>
      <w:r w:rsidR="00FF2B52" w:rsidRPr="00BD2B54">
        <w:t>);</w:t>
      </w:r>
      <w:proofErr w:type="gramEnd"/>
    </w:p>
    <w:p w14:paraId="41DAF96E" w14:textId="05BE391C" w:rsidR="00381EB6" w:rsidRPr="00BD2B54" w:rsidRDefault="00676685" w:rsidP="00676685">
      <w:pPr>
        <w:pStyle w:val="ANorm"/>
        <w:numPr>
          <w:ilvl w:val="0"/>
          <w:numId w:val="10"/>
        </w:numPr>
        <w:spacing w:after="240"/>
      </w:pPr>
      <w:r>
        <w:t>I</w:t>
      </w:r>
      <w:r w:rsidR="00381EB6" w:rsidRPr="00BD2B54">
        <w:t>ncluded data on therapist-supported treatment</w:t>
      </w:r>
      <w:r w:rsidR="00FF2B52" w:rsidRPr="00BD2B54">
        <w:t>; and</w:t>
      </w:r>
    </w:p>
    <w:p w14:paraId="12D67679" w14:textId="6C773B4F" w:rsidR="00381EB6" w:rsidRPr="00BD2B54" w:rsidRDefault="00676685" w:rsidP="00676685">
      <w:pPr>
        <w:pStyle w:val="ANorm"/>
        <w:numPr>
          <w:ilvl w:val="0"/>
          <w:numId w:val="10"/>
        </w:numPr>
        <w:spacing w:after="240"/>
      </w:pPr>
      <w:r>
        <w:t>W</w:t>
      </w:r>
      <w:r w:rsidR="00381EB6" w:rsidRPr="00BD2B54">
        <w:t>ere the most recently published</w:t>
      </w:r>
      <w:r w:rsidR="00FF2B52" w:rsidRPr="00BD2B54">
        <w:t xml:space="preserve"> and/or included the largest sample size</w:t>
      </w:r>
      <w:r w:rsidR="00381EB6" w:rsidRPr="00BD2B54">
        <w:t xml:space="preserve"> for each disorder/program</w:t>
      </w:r>
      <w:r w:rsidR="00BD2B54" w:rsidRPr="00BD2B54">
        <w:t>.</w:t>
      </w:r>
    </w:p>
    <w:p w14:paraId="4B5F9667" w14:textId="1C36C03D" w:rsidR="00535E49" w:rsidRDefault="006A1ABB" w:rsidP="00676685">
      <w:pPr>
        <w:pStyle w:val="ANorm"/>
        <w:spacing w:after="240"/>
      </w:pPr>
      <w:r>
        <w:t xml:space="preserve">We also selectively searched for peer-reviewed literature on comparator </w:t>
      </w:r>
      <w:r w:rsidR="000E410B">
        <w:t xml:space="preserve">mental health </w:t>
      </w:r>
      <w:r>
        <w:t>treatments</w:t>
      </w:r>
      <w:r w:rsidR="000E410B">
        <w:t>. Some of these were our own evaluations of Australian national primary mental health programs (e.g., Better Access, Access to Allied Psychological Services, Link-me randomised control trial). Others were comparators requested by the Department of Health (e.g., New Access) and the DMHSs</w:t>
      </w:r>
      <w:r w:rsidR="006C42B2">
        <w:t xml:space="preserve"> (e.g., public sector).</w:t>
      </w:r>
    </w:p>
    <w:p w14:paraId="60F82A71" w14:textId="70A4F185" w:rsidR="005F4CCC" w:rsidRPr="006A1ABB" w:rsidRDefault="005B631D" w:rsidP="00676685">
      <w:pPr>
        <w:pStyle w:val="ANorm"/>
        <w:spacing w:after="240"/>
        <w:rPr>
          <w:highlight w:val="magenta"/>
        </w:rPr>
      </w:pPr>
      <w:r w:rsidRPr="00160517">
        <w:lastRenderedPageBreak/>
        <w:t>We under</w:t>
      </w:r>
      <w:r w:rsidR="00160517" w:rsidRPr="00160517">
        <w:t>took</w:t>
      </w:r>
      <w:r w:rsidRPr="00160517">
        <w:t xml:space="preserve"> a desktop review of these documents</w:t>
      </w:r>
      <w:r w:rsidR="00160517" w:rsidRPr="00160517">
        <w:t xml:space="preserve"> and peer-reviewed publications,</w:t>
      </w:r>
      <w:r w:rsidRPr="00160517">
        <w:t xml:space="preserve"> extracting information </w:t>
      </w:r>
      <w:r w:rsidR="00105E2A">
        <w:t>relating to consumer socio-demographic and clinical characteristics, and mental health and other outcomes, i</w:t>
      </w:r>
      <w:r w:rsidRPr="00160517">
        <w:t>n a systematic manner.</w:t>
      </w:r>
    </w:p>
    <w:p w14:paraId="0F294645" w14:textId="1E27EFDA" w:rsidR="003F5AEF" w:rsidRPr="00AA6B28" w:rsidRDefault="005F4CCC" w:rsidP="00676685">
      <w:pPr>
        <w:pStyle w:val="Heading2"/>
        <w:numPr>
          <w:ilvl w:val="0"/>
          <w:numId w:val="0"/>
        </w:numPr>
        <w:spacing w:after="240"/>
      </w:pPr>
      <w:bookmarkStart w:id="321" w:name="_Toc108784919"/>
      <w:r w:rsidRPr="00AA6B28">
        <w:t>Consultations with key stakeholders</w:t>
      </w:r>
      <w:bookmarkEnd w:id="321"/>
    </w:p>
    <w:p w14:paraId="7100CB51" w14:textId="0E6798A7" w:rsidR="00F53231" w:rsidRPr="00397610" w:rsidRDefault="004909A8" w:rsidP="00676685">
      <w:pPr>
        <w:pStyle w:val="ANorm"/>
        <w:spacing w:after="240"/>
      </w:pPr>
      <w:r w:rsidRPr="00397610">
        <w:t>We</w:t>
      </w:r>
      <w:r w:rsidR="005F4CCC" w:rsidRPr="00397610">
        <w:t xml:space="preserve"> conduct</w:t>
      </w:r>
      <w:r w:rsidRPr="00397610">
        <w:t>ed</w:t>
      </w:r>
      <w:r w:rsidR="005F4CCC" w:rsidRPr="00397610">
        <w:t xml:space="preserve"> consultations with a broad range of stakeholders</w:t>
      </w:r>
      <w:r w:rsidR="00914D4B">
        <w:t>,</w:t>
      </w:r>
      <w:r w:rsidR="005F4CCC" w:rsidRPr="00397610">
        <w:t xml:space="preserve"> including</w:t>
      </w:r>
      <w:r w:rsidR="00F53231" w:rsidRPr="00397610">
        <w:t>:</w:t>
      </w:r>
    </w:p>
    <w:p w14:paraId="01294448" w14:textId="456B825A" w:rsidR="00F53231" w:rsidRPr="00397610" w:rsidRDefault="00676685" w:rsidP="00676685">
      <w:pPr>
        <w:pStyle w:val="ANorm"/>
        <w:numPr>
          <w:ilvl w:val="0"/>
          <w:numId w:val="10"/>
        </w:numPr>
        <w:spacing w:after="240"/>
      </w:pPr>
      <w:r>
        <w:t>C</w:t>
      </w:r>
      <w:r w:rsidR="00F64E90" w:rsidRPr="00397610">
        <w:t>onsumer</w:t>
      </w:r>
      <w:r w:rsidR="00F53231" w:rsidRPr="00397610">
        <w:t xml:space="preserve">s and providers of </w:t>
      </w:r>
      <w:proofErr w:type="gramStart"/>
      <w:r w:rsidR="00F53231" w:rsidRPr="00397610">
        <w:t>DMHSs;</w:t>
      </w:r>
      <w:proofErr w:type="gramEnd"/>
    </w:p>
    <w:p w14:paraId="095D81FB" w14:textId="3CED7184" w:rsidR="00F53231" w:rsidRPr="00397610" w:rsidRDefault="00676685" w:rsidP="00676685">
      <w:pPr>
        <w:pStyle w:val="ANorm"/>
        <w:numPr>
          <w:ilvl w:val="0"/>
          <w:numId w:val="10"/>
        </w:numPr>
        <w:spacing w:after="240"/>
      </w:pPr>
      <w:r>
        <w:t>A</w:t>
      </w:r>
      <w:r w:rsidR="00F53231" w:rsidRPr="00397610">
        <w:t xml:space="preserve">dditional people with lived experience of mental health </w:t>
      </w:r>
      <w:proofErr w:type="gramStart"/>
      <w:r w:rsidR="00F53231" w:rsidRPr="00397610">
        <w:t>problems;</w:t>
      </w:r>
      <w:proofErr w:type="gramEnd"/>
    </w:p>
    <w:p w14:paraId="2B959457" w14:textId="40700BCA" w:rsidR="00F53231" w:rsidRPr="00397610" w:rsidRDefault="00676685" w:rsidP="00676685">
      <w:pPr>
        <w:pStyle w:val="ANorm"/>
        <w:numPr>
          <w:ilvl w:val="0"/>
          <w:numId w:val="10"/>
        </w:numPr>
        <w:spacing w:after="240"/>
      </w:pPr>
      <w:r>
        <w:t>A</w:t>
      </w:r>
      <w:r w:rsidR="00F53231" w:rsidRPr="00397610">
        <w:t xml:space="preserve">dditional health professionals who deliver, or </w:t>
      </w:r>
      <w:r w:rsidR="005F4CCC" w:rsidRPr="00397610">
        <w:t>refer</w:t>
      </w:r>
      <w:r w:rsidR="00F53231" w:rsidRPr="00397610">
        <w:t xml:space="preserve"> consumers to, mental health services;</w:t>
      </w:r>
      <w:r w:rsidR="00397610" w:rsidRPr="00397610">
        <w:t xml:space="preserve"> and </w:t>
      </w:r>
    </w:p>
    <w:p w14:paraId="5E06C5EA" w14:textId="63719966" w:rsidR="00397610" w:rsidRPr="00397610" w:rsidRDefault="00676685" w:rsidP="00676685">
      <w:pPr>
        <w:pStyle w:val="ANorm"/>
        <w:numPr>
          <w:ilvl w:val="0"/>
          <w:numId w:val="10"/>
        </w:numPr>
        <w:spacing w:after="240"/>
      </w:pPr>
      <w:r>
        <w:t>O</w:t>
      </w:r>
      <w:r w:rsidR="00397610" w:rsidRPr="00397610">
        <w:t>ther key stakeholders in the mental health sector.</w:t>
      </w:r>
    </w:p>
    <w:p w14:paraId="20CE2057" w14:textId="5D0BB0B8" w:rsidR="005F4CCC" w:rsidRPr="00397610" w:rsidRDefault="00397610" w:rsidP="00676685">
      <w:pPr>
        <w:pStyle w:val="ANorm"/>
        <w:spacing w:after="240"/>
      </w:pPr>
      <w:r w:rsidRPr="00397610">
        <w:t xml:space="preserve">These stakeholders participated in surveys and/or interviews. </w:t>
      </w:r>
      <w:r w:rsidR="00F63FF1" w:rsidRPr="00397610">
        <w:t>All interviews were audio recorded and then transcribed by a professional transcription service.</w:t>
      </w:r>
    </w:p>
    <w:p w14:paraId="6CA1098B" w14:textId="24875C89" w:rsidR="005913FC" w:rsidRPr="006C42B2" w:rsidRDefault="005913FC" w:rsidP="00676685">
      <w:pPr>
        <w:pStyle w:val="Heading3"/>
        <w:numPr>
          <w:ilvl w:val="0"/>
          <w:numId w:val="0"/>
        </w:numPr>
        <w:spacing w:after="240"/>
      </w:pPr>
      <w:r w:rsidRPr="00397610">
        <w:t>Consumers of DMHSs</w:t>
      </w:r>
    </w:p>
    <w:p w14:paraId="56563936" w14:textId="77F5B780" w:rsidR="00995219" w:rsidRDefault="00CA4DD5" w:rsidP="00676685">
      <w:pPr>
        <w:pStyle w:val="ANorm"/>
        <w:spacing w:after="240"/>
        <w:rPr>
          <w:rFonts w:eastAsiaTheme="minorHAnsi"/>
          <w:lang w:val="en-GB"/>
        </w:rPr>
      </w:pPr>
      <w:r>
        <w:rPr>
          <w:rFonts w:eastAsiaTheme="minorHAnsi"/>
          <w:lang w:val="en-GB"/>
        </w:rPr>
        <w:t xml:space="preserve">We used a purpose-built </w:t>
      </w:r>
      <w:r w:rsidR="00C83AC2">
        <w:rPr>
          <w:rFonts w:eastAsiaTheme="minorHAnsi"/>
          <w:lang w:val="en-GB"/>
        </w:rPr>
        <w:t xml:space="preserve">brief </w:t>
      </w:r>
      <w:r>
        <w:rPr>
          <w:rFonts w:eastAsiaTheme="minorHAnsi"/>
          <w:lang w:val="en-GB"/>
        </w:rPr>
        <w:t>online survey and telephone interviews to gain information about consumers’ experience receiving mental health care through DMHSs. The survey and interview included closed and open-ended questions</w:t>
      </w:r>
      <w:r w:rsidR="00335CA7">
        <w:rPr>
          <w:rFonts w:eastAsiaTheme="minorHAnsi"/>
          <w:lang w:val="en-GB"/>
        </w:rPr>
        <w:t xml:space="preserve"> (adapted from our previous evaluations of mental health services and </w:t>
      </w:r>
      <w:r w:rsidR="0087023F">
        <w:rPr>
          <w:rFonts w:eastAsiaTheme="minorHAnsi"/>
          <w:lang w:val="en-GB"/>
        </w:rPr>
        <w:t>relevant DMHS peer-reviewed literature)</w:t>
      </w:r>
      <w:r w:rsidR="004D5D4C">
        <w:rPr>
          <w:rFonts w:eastAsiaTheme="minorHAnsi"/>
          <w:lang w:val="en-GB"/>
        </w:rPr>
        <w:t>. Questions</w:t>
      </w:r>
      <w:r w:rsidR="00DD7035">
        <w:rPr>
          <w:rFonts w:eastAsiaTheme="minorHAnsi"/>
          <w:lang w:val="en-GB"/>
        </w:rPr>
        <w:t xml:space="preserve"> </w:t>
      </w:r>
      <w:r>
        <w:rPr>
          <w:rFonts w:eastAsiaTheme="minorHAnsi"/>
          <w:lang w:val="en-GB"/>
        </w:rPr>
        <w:t>elicit</w:t>
      </w:r>
      <w:r w:rsidR="004D5D4C">
        <w:rPr>
          <w:rFonts w:eastAsiaTheme="minorHAnsi"/>
          <w:lang w:val="en-GB"/>
        </w:rPr>
        <w:t xml:space="preserve">ed </w:t>
      </w:r>
      <w:r>
        <w:rPr>
          <w:rFonts w:eastAsiaTheme="minorHAnsi"/>
          <w:lang w:val="en-GB"/>
        </w:rPr>
        <w:t xml:space="preserve">information about consumers’ experiences of receiving care through the supported </w:t>
      </w:r>
      <w:r w:rsidR="00DD7035">
        <w:rPr>
          <w:rFonts w:eastAsiaTheme="minorHAnsi"/>
          <w:lang w:val="en-GB"/>
        </w:rPr>
        <w:t>DMHS,</w:t>
      </w:r>
      <w:r>
        <w:rPr>
          <w:rFonts w:eastAsiaTheme="minorHAnsi"/>
          <w:lang w:val="en-GB"/>
        </w:rPr>
        <w:t xml:space="preserve"> whether they think that </w:t>
      </w:r>
      <w:r w:rsidR="004D5D4C">
        <w:rPr>
          <w:rFonts w:eastAsiaTheme="minorHAnsi"/>
          <w:lang w:val="en-GB"/>
        </w:rPr>
        <w:t xml:space="preserve">the service </w:t>
      </w:r>
      <w:r>
        <w:rPr>
          <w:rFonts w:eastAsiaTheme="minorHAnsi"/>
          <w:lang w:val="en-GB"/>
        </w:rPr>
        <w:t xml:space="preserve">improved their access to </w:t>
      </w:r>
      <w:r w:rsidRPr="00335CA7">
        <w:rPr>
          <w:rFonts w:eastAsiaTheme="minorHAnsi"/>
          <w:lang w:val="en-GB"/>
        </w:rPr>
        <w:t>care and</w:t>
      </w:r>
      <w:r w:rsidR="00E600AF" w:rsidRPr="00335CA7">
        <w:t xml:space="preserve"> </w:t>
      </w:r>
      <w:r w:rsidRPr="00335CA7">
        <w:rPr>
          <w:rFonts w:eastAsiaTheme="minorHAnsi"/>
          <w:lang w:val="en-GB"/>
        </w:rPr>
        <w:t>/or the quality of care they received, their satisfaction with this care, and whether this care had any impact on outcomes for them.</w:t>
      </w:r>
      <w:r w:rsidR="00E600AF" w:rsidRPr="00335CA7">
        <w:t xml:space="preserve"> We also asked resource use questions (adapted from our previous work) to inform the economic evaluation component.</w:t>
      </w:r>
    </w:p>
    <w:p w14:paraId="5EA1847A" w14:textId="288DB17F" w:rsidR="0039555F" w:rsidRPr="006C42B2" w:rsidRDefault="00CA4DD5" w:rsidP="00676685">
      <w:pPr>
        <w:pStyle w:val="ANorm"/>
        <w:spacing w:after="240"/>
      </w:pPr>
      <w:r>
        <w:rPr>
          <w:rFonts w:eastAsiaTheme="minorHAnsi"/>
          <w:lang w:val="en-GB"/>
        </w:rPr>
        <w:t xml:space="preserve">The DMHSs </w:t>
      </w:r>
      <w:r w:rsidR="00DE6A78">
        <w:rPr>
          <w:rFonts w:eastAsiaTheme="minorHAnsi"/>
          <w:lang w:val="en-GB"/>
        </w:rPr>
        <w:t xml:space="preserve">acted as intermediaries </w:t>
      </w:r>
      <w:r w:rsidR="008B71F5">
        <w:rPr>
          <w:rFonts w:eastAsiaTheme="minorHAnsi"/>
          <w:lang w:val="en-GB"/>
        </w:rPr>
        <w:t xml:space="preserve">for our recruitment of consumers. They </w:t>
      </w:r>
      <w:r>
        <w:rPr>
          <w:rFonts w:eastAsiaTheme="minorHAnsi"/>
          <w:lang w:val="en-GB"/>
        </w:rPr>
        <w:t xml:space="preserve">emailed </w:t>
      </w:r>
      <w:r w:rsidR="008B71F5">
        <w:rPr>
          <w:rFonts w:eastAsiaTheme="minorHAnsi"/>
          <w:lang w:val="en-GB"/>
        </w:rPr>
        <w:t xml:space="preserve">an invitation to complete </w:t>
      </w:r>
      <w:r>
        <w:rPr>
          <w:rFonts w:eastAsiaTheme="minorHAnsi"/>
          <w:lang w:val="en-GB"/>
        </w:rPr>
        <w:t xml:space="preserve">the survey to </w:t>
      </w:r>
      <w:r w:rsidR="008B71F5">
        <w:rPr>
          <w:rFonts w:eastAsiaTheme="minorHAnsi"/>
          <w:lang w:val="en-GB"/>
        </w:rPr>
        <w:t>&gt;</w:t>
      </w:r>
      <w:r>
        <w:rPr>
          <w:rFonts w:eastAsiaTheme="minorHAnsi"/>
          <w:lang w:val="en-GB"/>
        </w:rPr>
        <w:t xml:space="preserve"> 3000 consumers (130 Mental Health Online, 447 </w:t>
      </w:r>
      <w:proofErr w:type="spellStart"/>
      <w:r>
        <w:rPr>
          <w:rFonts w:eastAsiaTheme="minorHAnsi"/>
          <w:lang w:val="en-GB"/>
        </w:rPr>
        <w:t>MindSpot</w:t>
      </w:r>
      <w:proofErr w:type="spellEnd"/>
      <w:r>
        <w:rPr>
          <w:rFonts w:eastAsiaTheme="minorHAnsi"/>
          <w:lang w:val="en-GB"/>
        </w:rPr>
        <w:t xml:space="preserve">, 2600 THIS WAY UP) between the 20 and 24 January 2022. </w:t>
      </w:r>
      <w:proofErr w:type="spellStart"/>
      <w:r>
        <w:rPr>
          <w:rFonts w:eastAsiaTheme="minorHAnsi"/>
          <w:lang w:val="en-GB"/>
        </w:rPr>
        <w:t>MindSpot</w:t>
      </w:r>
      <w:proofErr w:type="spellEnd"/>
      <w:r>
        <w:rPr>
          <w:rFonts w:eastAsiaTheme="minorHAnsi"/>
          <w:lang w:val="en-GB"/>
        </w:rPr>
        <w:t xml:space="preserve"> also advertised the survey via social media on 20 January, and Mental Health Online placed the survey on its landing page</w:t>
      </w:r>
      <w:r w:rsidR="00C22645">
        <w:rPr>
          <w:rFonts w:eastAsiaTheme="minorHAnsi"/>
          <w:lang w:val="en-GB"/>
        </w:rPr>
        <w:t xml:space="preserve"> where </w:t>
      </w:r>
      <w:proofErr w:type="gramStart"/>
      <w:r w:rsidR="00C22645">
        <w:rPr>
          <w:rFonts w:eastAsiaTheme="minorHAnsi"/>
          <w:lang w:val="en-GB"/>
        </w:rPr>
        <w:t>users</w:t>
      </w:r>
      <w:proofErr w:type="gramEnd"/>
      <w:r w:rsidR="00C22645">
        <w:rPr>
          <w:rFonts w:eastAsiaTheme="minorHAnsi"/>
          <w:lang w:val="en-GB"/>
        </w:rPr>
        <w:t xml:space="preserve"> login</w:t>
      </w:r>
      <w:r w:rsidR="00A66CD3">
        <w:rPr>
          <w:rFonts w:eastAsiaTheme="minorHAnsi"/>
          <w:lang w:val="en-GB"/>
        </w:rPr>
        <w:t xml:space="preserve"> (from 21 January to 23 February)</w:t>
      </w:r>
      <w:r>
        <w:rPr>
          <w:rFonts w:eastAsiaTheme="minorHAnsi"/>
          <w:lang w:val="en-GB"/>
        </w:rPr>
        <w:t xml:space="preserve">. Surveys for </w:t>
      </w:r>
      <w:proofErr w:type="spellStart"/>
      <w:r>
        <w:rPr>
          <w:rFonts w:eastAsiaTheme="minorHAnsi"/>
          <w:lang w:val="en-GB"/>
        </w:rPr>
        <w:t>MindSpot</w:t>
      </w:r>
      <w:proofErr w:type="spellEnd"/>
      <w:r>
        <w:rPr>
          <w:rFonts w:eastAsiaTheme="minorHAnsi"/>
          <w:lang w:val="en-GB"/>
        </w:rPr>
        <w:t xml:space="preserve"> and THIS WAY UP were open until the 25 January, and the Mental Health Online survey closed on </w:t>
      </w:r>
      <w:r w:rsidR="000929B2">
        <w:rPr>
          <w:rFonts w:eastAsiaTheme="minorHAnsi"/>
          <w:lang w:val="en-GB"/>
        </w:rPr>
        <w:t>15</w:t>
      </w:r>
      <w:r>
        <w:rPr>
          <w:rFonts w:eastAsiaTheme="minorHAnsi"/>
          <w:lang w:val="en-GB"/>
        </w:rPr>
        <w:t xml:space="preserve"> February 2022. At the end of the survey</w:t>
      </w:r>
      <w:r w:rsidR="00933BEF">
        <w:rPr>
          <w:rFonts w:eastAsiaTheme="minorHAnsi"/>
          <w:lang w:val="en-GB"/>
        </w:rPr>
        <w:t>,</w:t>
      </w:r>
      <w:r>
        <w:rPr>
          <w:rFonts w:eastAsiaTheme="minorHAnsi"/>
          <w:lang w:val="en-GB"/>
        </w:rPr>
        <w:t xml:space="preserve"> consumers had the opportunity to register their interest in taking part in an interview</w:t>
      </w:r>
      <w:r w:rsidR="0039555F">
        <w:rPr>
          <w:rFonts w:eastAsiaTheme="minorHAnsi"/>
          <w:lang w:val="en-GB"/>
        </w:rPr>
        <w:t xml:space="preserve"> to </w:t>
      </w:r>
      <w:r w:rsidR="0039555F" w:rsidRPr="0039555F">
        <w:rPr>
          <w:rFonts w:eastAsiaTheme="minorHAnsi"/>
          <w:lang w:val="en-GB"/>
        </w:rPr>
        <w:t xml:space="preserve">provide </w:t>
      </w:r>
      <w:r w:rsidR="005F4CCC" w:rsidRPr="0039555F">
        <w:t>more in-depth information.</w:t>
      </w:r>
    </w:p>
    <w:p w14:paraId="57E8FE08" w14:textId="5EDF22B0" w:rsidR="00C83AC2" w:rsidRPr="006C42B2" w:rsidRDefault="005C0BB1" w:rsidP="00676685">
      <w:pPr>
        <w:spacing w:after="240"/>
        <w:textAlignment w:val="baseline"/>
        <w:rPr>
          <w:rFonts w:ascii="Calibri" w:hAnsi="Calibri" w:cs="Calibri"/>
          <w:color w:val="000000" w:themeColor="text1"/>
          <w:sz w:val="21"/>
          <w:szCs w:val="21"/>
        </w:rPr>
      </w:pPr>
      <w:bookmarkStart w:id="322" w:name="_Hlk100664121"/>
      <w:r w:rsidRPr="78594579">
        <w:rPr>
          <w:rFonts w:ascii="Calibri" w:hAnsi="Calibri" w:cs="Calibri"/>
          <w:color w:val="000000" w:themeColor="text1"/>
          <w:sz w:val="21"/>
          <w:szCs w:val="21"/>
        </w:rPr>
        <w:t>As a way of thanks, consumers completing the survey received a $</w:t>
      </w:r>
      <w:r w:rsidR="006430C5">
        <w:rPr>
          <w:rFonts w:ascii="Calibri" w:hAnsi="Calibri" w:cs="Calibri"/>
          <w:color w:val="000000" w:themeColor="text1"/>
          <w:sz w:val="21"/>
          <w:szCs w:val="21"/>
        </w:rPr>
        <w:t>2</w:t>
      </w:r>
      <w:r w:rsidRPr="78594579">
        <w:rPr>
          <w:rFonts w:ascii="Calibri" w:hAnsi="Calibri" w:cs="Calibri"/>
          <w:color w:val="000000" w:themeColor="text1"/>
          <w:sz w:val="21"/>
          <w:szCs w:val="21"/>
        </w:rPr>
        <w:t xml:space="preserve">0 e-voucher to compensate them for their time. Consumers who completed the </w:t>
      </w:r>
      <w:r w:rsidR="006430C5">
        <w:rPr>
          <w:rFonts w:ascii="Calibri" w:hAnsi="Calibri" w:cs="Calibri"/>
          <w:color w:val="000000" w:themeColor="text1"/>
          <w:sz w:val="21"/>
          <w:szCs w:val="21"/>
        </w:rPr>
        <w:t xml:space="preserve">interview </w:t>
      </w:r>
      <w:r w:rsidRPr="78594579">
        <w:rPr>
          <w:rFonts w:ascii="Calibri" w:hAnsi="Calibri" w:cs="Calibri"/>
          <w:color w:val="000000" w:themeColor="text1"/>
          <w:sz w:val="21"/>
          <w:szCs w:val="21"/>
        </w:rPr>
        <w:t>were provided with an additional $30 e-voucher to compensate them for their time</w:t>
      </w:r>
      <w:r>
        <w:rPr>
          <w:rFonts w:ascii="Calibri" w:hAnsi="Calibri" w:cs="Calibri"/>
          <w:color w:val="000000" w:themeColor="text1"/>
          <w:sz w:val="21"/>
          <w:szCs w:val="21"/>
        </w:rPr>
        <w:t>.</w:t>
      </w:r>
    </w:p>
    <w:p w14:paraId="1915B044" w14:textId="314293B4" w:rsidR="00511C77" w:rsidRDefault="00511C77" w:rsidP="00676685">
      <w:pPr>
        <w:pStyle w:val="Heading4"/>
        <w:numPr>
          <w:ilvl w:val="0"/>
          <w:numId w:val="0"/>
        </w:numPr>
        <w:spacing w:after="240"/>
        <w:ind w:left="720" w:hanging="720"/>
        <w:rPr>
          <w:lang w:val="en-US"/>
        </w:rPr>
      </w:pPr>
      <w:r>
        <w:rPr>
          <w:lang w:val="en-US"/>
        </w:rPr>
        <w:t>Final consumer sample</w:t>
      </w:r>
    </w:p>
    <w:p w14:paraId="40DA8D1A" w14:textId="62292B18" w:rsidR="004646DD" w:rsidRDefault="00511C77" w:rsidP="00676685">
      <w:pPr>
        <w:pStyle w:val="ANorm"/>
        <w:spacing w:after="240"/>
        <w:rPr>
          <w:lang w:val="en-US"/>
        </w:rPr>
      </w:pPr>
      <w:r>
        <w:rPr>
          <w:lang w:val="en-US"/>
        </w:rPr>
        <w:t xml:space="preserve">The survey went live </w:t>
      </w:r>
      <w:r w:rsidR="00DC0E5E">
        <w:rPr>
          <w:lang w:val="en-US"/>
        </w:rPr>
        <w:t xml:space="preserve">via Qualtrics </w:t>
      </w:r>
      <w:r>
        <w:rPr>
          <w:lang w:val="en-US"/>
        </w:rPr>
        <w:t>on 20 January 2022 and on 25 January we noticed that participation was much higher than anticipated</w:t>
      </w:r>
      <w:r w:rsidR="007C3375">
        <w:rPr>
          <w:lang w:val="en-US"/>
        </w:rPr>
        <w:t>(N&gt;1,500)</w:t>
      </w:r>
      <w:r>
        <w:rPr>
          <w:lang w:val="en-US"/>
        </w:rPr>
        <w:t xml:space="preserve">, specifically by participants using the </w:t>
      </w:r>
      <w:proofErr w:type="spellStart"/>
      <w:r>
        <w:rPr>
          <w:lang w:val="en-US"/>
        </w:rPr>
        <w:t>MindSpot</w:t>
      </w:r>
      <w:proofErr w:type="spellEnd"/>
      <w:r>
        <w:rPr>
          <w:lang w:val="en-US"/>
        </w:rPr>
        <w:t xml:space="preserve"> and THIS WAY UP survey links. Believing it was likely we had received fake and/or bot responses, we closed the </w:t>
      </w:r>
      <w:r w:rsidR="00DC0E5E">
        <w:rPr>
          <w:lang w:val="en-US"/>
        </w:rPr>
        <w:t xml:space="preserve">survey </w:t>
      </w:r>
      <w:r>
        <w:rPr>
          <w:lang w:val="en-US"/>
        </w:rPr>
        <w:t xml:space="preserve">links for those services </w:t>
      </w:r>
      <w:r w:rsidR="00DC0E5E">
        <w:rPr>
          <w:lang w:val="en-US"/>
        </w:rPr>
        <w:t xml:space="preserve">and implemented security measures (e.g., bot detection, </w:t>
      </w:r>
      <w:proofErr w:type="spellStart"/>
      <w:r w:rsidR="00DC0E5E">
        <w:rPr>
          <w:lang w:val="en-US"/>
        </w:rPr>
        <w:t>reCapcha</w:t>
      </w:r>
      <w:proofErr w:type="spellEnd"/>
      <w:r w:rsidR="00DC0E5E">
        <w:rPr>
          <w:lang w:val="en-US"/>
        </w:rPr>
        <w:t xml:space="preserve">, flagging duplicate submissions) </w:t>
      </w:r>
      <w:r>
        <w:rPr>
          <w:lang w:val="en-US"/>
        </w:rPr>
        <w:t>the same day</w:t>
      </w:r>
      <w:r w:rsidR="00DC0E5E">
        <w:rPr>
          <w:lang w:val="en-US"/>
        </w:rPr>
        <w:t xml:space="preserve">. </w:t>
      </w:r>
      <w:r w:rsidR="004646DD">
        <w:rPr>
          <w:lang w:val="en-US"/>
        </w:rPr>
        <w:t>The survey link for Mental Health Online consumers remained open until 15 February.</w:t>
      </w:r>
    </w:p>
    <w:p w14:paraId="22C06DC1" w14:textId="6067153A" w:rsidR="00C91F1F" w:rsidRDefault="00DC0E5E" w:rsidP="00676685">
      <w:pPr>
        <w:pStyle w:val="ANorm"/>
        <w:spacing w:after="240"/>
        <w:rPr>
          <w:lang w:val="en-US"/>
        </w:rPr>
      </w:pPr>
      <w:r>
        <w:rPr>
          <w:lang w:val="en-US"/>
        </w:rPr>
        <w:t xml:space="preserve">We also sought advice from Qualtrics experts about detecting fraudulent data and notified our ethics committee and the DMHSs from 25 to 27 January and submitted </w:t>
      </w:r>
      <w:r w:rsidR="00C91F1F">
        <w:rPr>
          <w:lang w:val="en-US"/>
        </w:rPr>
        <w:t>a Human Research Ethics incident report on 3 February.</w:t>
      </w:r>
    </w:p>
    <w:p w14:paraId="4AF18B94" w14:textId="18FAD541" w:rsidR="00B738E4" w:rsidRDefault="00C91F1F" w:rsidP="00676685">
      <w:pPr>
        <w:pStyle w:val="ANorm"/>
        <w:spacing w:after="240"/>
        <w:rPr>
          <w:lang w:val="en-US"/>
        </w:rPr>
      </w:pPr>
      <w:r>
        <w:rPr>
          <w:lang w:val="en-US"/>
        </w:rPr>
        <w:lastRenderedPageBreak/>
        <w:t xml:space="preserve">We created a </w:t>
      </w:r>
      <w:r w:rsidR="005438A5">
        <w:rPr>
          <w:lang w:val="en-US"/>
        </w:rPr>
        <w:t xml:space="preserve">total </w:t>
      </w:r>
      <w:r>
        <w:rPr>
          <w:lang w:val="en-US"/>
        </w:rPr>
        <w:t>likely fake variable</w:t>
      </w:r>
      <w:r w:rsidR="00A32C5B">
        <w:rPr>
          <w:lang w:val="en-US"/>
        </w:rPr>
        <w:t xml:space="preserve"> by summing scores for </w:t>
      </w:r>
      <w:r w:rsidR="005438A5">
        <w:rPr>
          <w:lang w:val="en-US"/>
        </w:rPr>
        <w:t>responses deemed to be likely fake on several individual variables</w:t>
      </w:r>
      <w:r>
        <w:rPr>
          <w:lang w:val="en-US"/>
        </w:rPr>
        <w:t xml:space="preserve"> with higher scores indicating higher likelihood of fake response. This involved examining meta-data fields recorded by Qualtrics</w:t>
      </w:r>
      <w:r w:rsidR="005438A5">
        <w:rPr>
          <w:lang w:val="en-US"/>
        </w:rPr>
        <w:t xml:space="preserve"> and</w:t>
      </w:r>
      <w:r>
        <w:rPr>
          <w:lang w:val="en-US"/>
        </w:rPr>
        <w:t xml:space="preserve"> scoring one </w:t>
      </w:r>
      <w:r w:rsidR="005438A5">
        <w:rPr>
          <w:lang w:val="en-US"/>
        </w:rPr>
        <w:t>for each of the following conditions</w:t>
      </w:r>
      <w:r w:rsidR="00B738E4">
        <w:rPr>
          <w:lang w:val="en-US"/>
        </w:rPr>
        <w:t>:</w:t>
      </w:r>
      <w:r>
        <w:rPr>
          <w:lang w:val="en-US"/>
        </w:rPr>
        <w:t xml:space="preserve"> </w:t>
      </w:r>
    </w:p>
    <w:p w14:paraId="4416AF36" w14:textId="639CEBC8" w:rsidR="00B738E4" w:rsidRDefault="00676685" w:rsidP="00676685">
      <w:pPr>
        <w:pStyle w:val="ANorm"/>
        <w:numPr>
          <w:ilvl w:val="0"/>
          <w:numId w:val="137"/>
        </w:numPr>
        <w:spacing w:after="240"/>
        <w:ind w:left="714" w:hanging="357"/>
        <w:rPr>
          <w:lang w:val="en-US"/>
        </w:rPr>
      </w:pPr>
      <w:r>
        <w:rPr>
          <w:lang w:val="en-US"/>
        </w:rPr>
        <w:t>M</w:t>
      </w:r>
      <w:r w:rsidR="00C91F1F">
        <w:rPr>
          <w:lang w:val="en-US"/>
        </w:rPr>
        <w:t xml:space="preserve">ultiple uses of same IP </w:t>
      </w:r>
      <w:proofErr w:type="gramStart"/>
      <w:r w:rsidR="00C91F1F">
        <w:rPr>
          <w:lang w:val="en-US"/>
        </w:rPr>
        <w:t>address</w:t>
      </w:r>
      <w:r w:rsidR="00B738E4">
        <w:rPr>
          <w:lang w:val="en-US"/>
        </w:rPr>
        <w:t>;</w:t>
      </w:r>
      <w:proofErr w:type="gramEnd"/>
    </w:p>
    <w:p w14:paraId="50B979B6" w14:textId="3D3C7C64" w:rsidR="00B738E4" w:rsidRDefault="00676685" w:rsidP="00676685">
      <w:pPr>
        <w:pStyle w:val="ANorm"/>
        <w:numPr>
          <w:ilvl w:val="0"/>
          <w:numId w:val="137"/>
        </w:numPr>
        <w:spacing w:after="240"/>
        <w:ind w:left="714" w:hanging="357"/>
        <w:rPr>
          <w:lang w:val="en-US"/>
        </w:rPr>
      </w:pPr>
      <w:r>
        <w:rPr>
          <w:lang w:val="en-US"/>
        </w:rPr>
        <w:t>L</w:t>
      </w:r>
      <w:r w:rsidR="00C91F1F">
        <w:rPr>
          <w:lang w:val="en-US"/>
        </w:rPr>
        <w:t>ongitude and latitude overseas</w:t>
      </w:r>
      <w:r w:rsidR="00B738E4">
        <w:rPr>
          <w:lang w:val="en-US"/>
        </w:rPr>
        <w:t>; and</w:t>
      </w:r>
    </w:p>
    <w:p w14:paraId="424A714E" w14:textId="54932D96" w:rsidR="006C42B2" w:rsidRPr="006C42B2" w:rsidRDefault="00676685" w:rsidP="00676685">
      <w:pPr>
        <w:pStyle w:val="ANorm"/>
        <w:numPr>
          <w:ilvl w:val="0"/>
          <w:numId w:val="137"/>
        </w:numPr>
        <w:spacing w:after="240"/>
        <w:ind w:left="714" w:hanging="357"/>
        <w:rPr>
          <w:lang w:val="en-US"/>
        </w:rPr>
      </w:pPr>
      <w:r>
        <w:rPr>
          <w:lang w:val="en-US"/>
        </w:rPr>
        <w:t>L</w:t>
      </w:r>
      <w:r w:rsidR="00B738E4">
        <w:rPr>
          <w:lang w:val="en-US"/>
        </w:rPr>
        <w:t>ess than 5 minutes taken to complete survey (several of our team members timed ourselves and it took 8 minutes to complete the survey).</w:t>
      </w:r>
    </w:p>
    <w:p w14:paraId="7E826CEA" w14:textId="1905DE0B" w:rsidR="00B738E4" w:rsidRDefault="00B738E4" w:rsidP="00676685">
      <w:pPr>
        <w:pStyle w:val="ANorm"/>
        <w:spacing w:after="240"/>
        <w:rPr>
          <w:lang w:val="en-US"/>
        </w:rPr>
      </w:pPr>
      <w:r>
        <w:rPr>
          <w:lang w:val="en-US"/>
        </w:rPr>
        <w:t>We also examined other variables and cases scored one for each of the following:</w:t>
      </w:r>
    </w:p>
    <w:p w14:paraId="1123FD14" w14:textId="5B30C4E4" w:rsidR="00B738E4" w:rsidRDefault="00676685" w:rsidP="00676685">
      <w:pPr>
        <w:pStyle w:val="ANorm"/>
        <w:numPr>
          <w:ilvl w:val="0"/>
          <w:numId w:val="138"/>
        </w:numPr>
        <w:spacing w:after="240"/>
        <w:rPr>
          <w:lang w:val="en-US"/>
        </w:rPr>
      </w:pPr>
      <w:r>
        <w:rPr>
          <w:lang w:val="en-US"/>
        </w:rPr>
        <w:t>S</w:t>
      </w:r>
      <w:r w:rsidR="00B738E4">
        <w:rPr>
          <w:lang w:val="en-US"/>
        </w:rPr>
        <w:t xml:space="preserve">uspicious email </w:t>
      </w:r>
      <w:proofErr w:type="gramStart"/>
      <w:r w:rsidR="00B738E4">
        <w:rPr>
          <w:lang w:val="en-US"/>
        </w:rPr>
        <w:t>address;</w:t>
      </w:r>
      <w:proofErr w:type="gramEnd"/>
    </w:p>
    <w:p w14:paraId="69A2079F" w14:textId="4CF5FC9A" w:rsidR="00B738E4" w:rsidRDefault="00676685" w:rsidP="00676685">
      <w:pPr>
        <w:pStyle w:val="ANorm"/>
        <w:numPr>
          <w:ilvl w:val="0"/>
          <w:numId w:val="138"/>
        </w:numPr>
        <w:spacing w:after="240"/>
        <w:rPr>
          <w:lang w:val="en-US"/>
        </w:rPr>
      </w:pPr>
      <w:r>
        <w:rPr>
          <w:lang w:val="en-US"/>
        </w:rPr>
        <w:t>N</w:t>
      </w:r>
      <w:r w:rsidR="00B738E4">
        <w:rPr>
          <w:lang w:val="en-US"/>
        </w:rPr>
        <w:t xml:space="preserve">ame unmatched to email address for emails that included </w:t>
      </w:r>
      <w:proofErr w:type="gramStart"/>
      <w:r w:rsidR="00B738E4">
        <w:rPr>
          <w:lang w:val="en-US"/>
        </w:rPr>
        <w:t>names;</w:t>
      </w:r>
      <w:proofErr w:type="gramEnd"/>
    </w:p>
    <w:p w14:paraId="28D8FC21" w14:textId="58C2E39F" w:rsidR="00B738E4" w:rsidRDefault="00676685" w:rsidP="00676685">
      <w:pPr>
        <w:pStyle w:val="ANorm"/>
        <w:numPr>
          <w:ilvl w:val="0"/>
          <w:numId w:val="138"/>
        </w:numPr>
        <w:spacing w:after="240"/>
        <w:rPr>
          <w:lang w:val="en-US"/>
        </w:rPr>
      </w:pPr>
      <w:r>
        <w:rPr>
          <w:lang w:val="en-US"/>
        </w:rPr>
        <w:t>N</w:t>
      </w:r>
      <w:r w:rsidR="00B738E4">
        <w:rPr>
          <w:lang w:val="en-US"/>
        </w:rPr>
        <w:t xml:space="preserve">ame unmatched to </w:t>
      </w:r>
      <w:proofErr w:type="gramStart"/>
      <w:r w:rsidR="00B738E4">
        <w:rPr>
          <w:lang w:val="en-US"/>
        </w:rPr>
        <w:t>gender;</w:t>
      </w:r>
      <w:proofErr w:type="gramEnd"/>
      <w:r w:rsidR="00B738E4">
        <w:rPr>
          <w:lang w:val="en-US"/>
        </w:rPr>
        <w:t xml:space="preserve"> </w:t>
      </w:r>
    </w:p>
    <w:p w14:paraId="36FF3B9F" w14:textId="5A4CA7C5" w:rsidR="00B738E4" w:rsidRDefault="00676685" w:rsidP="00676685">
      <w:pPr>
        <w:pStyle w:val="ANorm"/>
        <w:numPr>
          <w:ilvl w:val="0"/>
          <w:numId w:val="138"/>
        </w:numPr>
        <w:spacing w:after="240"/>
      </w:pPr>
      <w:r>
        <w:t>Q</w:t>
      </w:r>
      <w:r w:rsidR="00B738E4" w:rsidRPr="00B738E4">
        <w:t xml:space="preserve">ualitative data </w:t>
      </w:r>
      <w:r w:rsidR="00A32C5B">
        <w:t xml:space="preserve">(if completed) </w:t>
      </w:r>
      <w:r w:rsidR="00B738E4" w:rsidRPr="00B738E4">
        <w:t xml:space="preserve">responses were nonsense or </w:t>
      </w:r>
      <w:r w:rsidR="00B738E4">
        <w:t xml:space="preserve">not in </w:t>
      </w:r>
      <w:proofErr w:type="gramStart"/>
      <w:r w:rsidR="00B738E4">
        <w:t>English</w:t>
      </w:r>
      <w:r w:rsidR="00A32C5B">
        <w:t>;</w:t>
      </w:r>
      <w:proofErr w:type="gramEnd"/>
    </w:p>
    <w:p w14:paraId="568EA622" w14:textId="5B067E97" w:rsidR="00A32C5B" w:rsidRDefault="00676685" w:rsidP="00676685">
      <w:pPr>
        <w:pStyle w:val="ANorm"/>
        <w:numPr>
          <w:ilvl w:val="0"/>
          <w:numId w:val="138"/>
        </w:numPr>
        <w:spacing w:after="240"/>
      </w:pPr>
      <w:r>
        <w:t>P</w:t>
      </w:r>
      <w:r w:rsidR="00A32C5B">
        <w:t>ostcode (if provided) unmatched to state based on longitude/</w:t>
      </w:r>
      <w:proofErr w:type="gramStart"/>
      <w:r w:rsidR="00A32C5B">
        <w:t>latitude;</w:t>
      </w:r>
      <w:proofErr w:type="gramEnd"/>
      <w:r w:rsidR="00A32C5B">
        <w:t xml:space="preserve"> </w:t>
      </w:r>
    </w:p>
    <w:p w14:paraId="72961DAA" w14:textId="001200AB" w:rsidR="00A32C5B" w:rsidRDefault="00676685" w:rsidP="00676685">
      <w:pPr>
        <w:pStyle w:val="ANorm"/>
        <w:numPr>
          <w:ilvl w:val="0"/>
          <w:numId w:val="138"/>
        </w:numPr>
        <w:spacing w:after="240"/>
      </w:pPr>
      <w:r>
        <w:t>L</w:t>
      </w:r>
      <w:r w:rsidR="00A32C5B">
        <w:t>andline (if provided) unmatched to state based on longitude/</w:t>
      </w:r>
      <w:proofErr w:type="gramStart"/>
      <w:r w:rsidR="00A32C5B">
        <w:t>latitude;</w:t>
      </w:r>
      <w:proofErr w:type="gramEnd"/>
    </w:p>
    <w:p w14:paraId="007CD385" w14:textId="0010EB6F" w:rsidR="005438A5" w:rsidRDefault="00676685" w:rsidP="00676685">
      <w:pPr>
        <w:pStyle w:val="ANorm"/>
        <w:numPr>
          <w:ilvl w:val="0"/>
          <w:numId w:val="138"/>
        </w:numPr>
        <w:spacing w:after="240"/>
      </w:pPr>
      <w:r>
        <w:t>R</w:t>
      </w:r>
      <w:r w:rsidR="00A32C5B">
        <w:t xml:space="preserve">eported cost of using DMHS unmatched to known actual cost (free for Mental Health Online and </w:t>
      </w:r>
      <w:proofErr w:type="spellStart"/>
      <w:r w:rsidR="00A32C5B">
        <w:t>MindSpot</w:t>
      </w:r>
      <w:proofErr w:type="spellEnd"/>
      <w:r w:rsidR="00A32C5B">
        <w:t>, and free or $59 for THIS WAY UP).</w:t>
      </w:r>
    </w:p>
    <w:p w14:paraId="75B0DB4A" w14:textId="329132BC" w:rsidR="000C2BE6" w:rsidRDefault="001A6944" w:rsidP="00676685">
      <w:pPr>
        <w:pStyle w:val="ANorm"/>
        <w:spacing w:after="240"/>
      </w:pPr>
      <w:r>
        <w:t xml:space="preserve">In total the survey links were used 2,110 times (1,578 by 26 January and 532 by 22 February). </w:t>
      </w:r>
      <w:r w:rsidR="0086546B">
        <w:t xml:space="preserve">However, only 450 were </w:t>
      </w:r>
      <w:r w:rsidR="000C2BE6">
        <w:t>assessed as (potentially) genuine respondents:</w:t>
      </w:r>
    </w:p>
    <w:p w14:paraId="4483879E" w14:textId="38E20A1D" w:rsidR="005438A5" w:rsidRPr="00B738E4" w:rsidRDefault="001A6944" w:rsidP="00676685">
      <w:pPr>
        <w:pStyle w:val="ANorm"/>
        <w:numPr>
          <w:ilvl w:val="0"/>
          <w:numId w:val="139"/>
        </w:numPr>
        <w:spacing w:after="240"/>
      </w:pPr>
      <w:r>
        <w:t>4</w:t>
      </w:r>
      <w:r w:rsidR="0086546B">
        <w:t xml:space="preserve">31 whose </w:t>
      </w:r>
      <w:r w:rsidR="004646DD">
        <w:t>total fake scores were zero or one (n</w:t>
      </w:r>
      <w:r w:rsidR="0055447B">
        <w:t>=</w:t>
      </w:r>
      <w:r w:rsidR="004646DD">
        <w:t>298 and n</w:t>
      </w:r>
      <w:r w:rsidR="0055447B">
        <w:t>=</w:t>
      </w:r>
      <w:r w:rsidR="004646DD">
        <w:t>133, respectively</w:t>
      </w:r>
      <w:r w:rsidR="000C2BE6">
        <w:t>). We sent emails to those with scores of zero on 15 February</w:t>
      </w:r>
      <w:r w:rsidR="00CC17F1">
        <w:t xml:space="preserve"> and 81 reminder emails on 3 March </w:t>
      </w:r>
      <w:r w:rsidR="004646DD">
        <w:t>requesting that they validate the authenticity of their responses</w:t>
      </w:r>
      <w:r w:rsidR="00CC17F1">
        <w:t>. We sent emails to those with scores of one on 3 March.</w:t>
      </w:r>
      <w:r w:rsidR="00C014B8">
        <w:t xml:space="preserve"> Of these participants, 341 validated their responses (by replying to our email and/or participating in the optional interview).</w:t>
      </w:r>
    </w:p>
    <w:p w14:paraId="0158E34C" w14:textId="6D3F87E2" w:rsidR="00C83AC2" w:rsidRDefault="0086546B" w:rsidP="00676685">
      <w:pPr>
        <w:pStyle w:val="ANorm"/>
        <w:numPr>
          <w:ilvl w:val="0"/>
          <w:numId w:val="139"/>
        </w:numPr>
        <w:spacing w:after="240"/>
      </w:pPr>
      <w:r>
        <w:t>10 who participated after we had implemented</w:t>
      </w:r>
      <w:r w:rsidR="000C2BE6">
        <w:t xml:space="preserve"> the Qualtrics security measures</w:t>
      </w:r>
    </w:p>
    <w:p w14:paraId="426EF0C4" w14:textId="1C790FD0" w:rsidR="00CC17F1" w:rsidRDefault="000C2BE6" w:rsidP="00676685">
      <w:pPr>
        <w:pStyle w:val="ANorm"/>
        <w:numPr>
          <w:ilvl w:val="0"/>
          <w:numId w:val="139"/>
        </w:numPr>
        <w:spacing w:after="240"/>
      </w:pPr>
      <w:r>
        <w:t>9 who declined participation at the stage of consent</w:t>
      </w:r>
      <w:r w:rsidR="00CC17F1">
        <w:t>.</w:t>
      </w:r>
    </w:p>
    <w:p w14:paraId="60C3C9CC" w14:textId="643FF09C" w:rsidR="00D80B3D" w:rsidRDefault="001B47F8" w:rsidP="00676685">
      <w:pPr>
        <w:pStyle w:val="ANorm"/>
        <w:spacing w:after="240"/>
      </w:pPr>
      <w:r>
        <w:t xml:space="preserve">In addition to using the total </w:t>
      </w:r>
      <w:r w:rsidR="00D80B3D">
        <w:t xml:space="preserve">fake score to exclude participants, we excluded cases </w:t>
      </w:r>
      <w:r w:rsidR="004C76F7">
        <w:t>who</w:t>
      </w:r>
      <w:r w:rsidR="00D80B3D">
        <w:t xml:space="preserve"> used a survey link that was not assigned to one of the three services.</w:t>
      </w:r>
    </w:p>
    <w:p w14:paraId="57F144B5" w14:textId="6D89454E" w:rsidR="001B47F8" w:rsidRPr="00CF7AB2" w:rsidRDefault="00C014B8" w:rsidP="00676685">
      <w:pPr>
        <w:pStyle w:val="ANorm"/>
        <w:spacing w:after="240"/>
      </w:pPr>
      <w:r>
        <w:t>Our analysis is based on 351 respondents a</w:t>
      </w:r>
      <w:r w:rsidR="00264BAE">
        <w:t xml:space="preserve">ssessed as </w:t>
      </w:r>
      <w:r w:rsidR="00264BAE" w:rsidRPr="00CF7AB2">
        <w:t>genuine</w:t>
      </w:r>
      <w:r w:rsidRPr="00CF7AB2">
        <w:t>. Table</w:t>
      </w:r>
      <w:r w:rsidR="001B47F8" w:rsidRPr="00CF7AB2">
        <w:t xml:space="preserve"> </w:t>
      </w:r>
      <w:r w:rsidR="00044290" w:rsidRPr="00CF7AB2">
        <w:t>B</w:t>
      </w:r>
      <w:r w:rsidR="00CF7AB2" w:rsidRPr="00CF7AB2">
        <w:t>.</w:t>
      </w:r>
      <w:r w:rsidR="00044290" w:rsidRPr="00CF7AB2">
        <w:t xml:space="preserve">1 </w:t>
      </w:r>
      <w:r w:rsidRPr="00CF7AB2">
        <w:t xml:space="preserve">presents a summary of </w:t>
      </w:r>
      <w:r w:rsidR="001B47F8" w:rsidRPr="00CF7AB2">
        <w:t>our process of validating consumer survey respondents.</w:t>
      </w:r>
    </w:p>
    <w:p w14:paraId="5BDF0C5F" w14:textId="77777777" w:rsidR="00D93E81" w:rsidRDefault="00D93E81">
      <w:pPr>
        <w:spacing w:after="200"/>
        <w:rPr>
          <w:rFonts w:ascii="Calibri" w:hAnsi="Calibri" w:cs="Arial"/>
          <w:color w:val="000000" w:themeColor="text1"/>
          <w:sz w:val="21"/>
          <w:szCs w:val="21"/>
        </w:rPr>
      </w:pPr>
      <w:r>
        <w:br w:type="page"/>
      </w:r>
    </w:p>
    <w:p w14:paraId="4F9D2A5F" w14:textId="77777777" w:rsidR="001B47F8" w:rsidRPr="00CF7AB2" w:rsidRDefault="001B47F8" w:rsidP="00676685">
      <w:pPr>
        <w:pStyle w:val="ANorm"/>
        <w:spacing w:after="240"/>
      </w:pPr>
    </w:p>
    <w:p w14:paraId="52AE2A72" w14:textId="643C6A6B" w:rsidR="001B47F8" w:rsidRDefault="00044290" w:rsidP="003D1CA1">
      <w:pPr>
        <w:pStyle w:val="tableheading"/>
      </w:pPr>
      <w:r w:rsidRPr="00CF7AB2">
        <w:t>Table B</w:t>
      </w:r>
      <w:r w:rsidR="00CF7AB2" w:rsidRPr="00CF7AB2">
        <w:t>.</w:t>
      </w:r>
      <w:r w:rsidRPr="00CF7AB2">
        <w:t xml:space="preserve">1. </w:t>
      </w:r>
      <w:r w:rsidR="001B47F8" w:rsidRPr="00CF7AB2">
        <w:t>Validation of consumer survey respondents</w:t>
      </w:r>
    </w:p>
    <w:tbl>
      <w:tblPr>
        <w:tblStyle w:val="TableGrid"/>
        <w:tblW w:w="5000" w:type="pct"/>
        <w:tblBorders>
          <w:insideV w:val="none" w:sz="0" w:space="0" w:color="auto"/>
        </w:tblBorders>
        <w:tblLook w:val="04A0" w:firstRow="1" w:lastRow="0" w:firstColumn="1" w:lastColumn="0" w:noHBand="0" w:noVBand="1"/>
        <w:tblDescription w:val="Table describes Validation of consumer survey respondents"/>
      </w:tblPr>
      <w:tblGrid>
        <w:gridCol w:w="1195"/>
        <w:gridCol w:w="750"/>
        <w:gridCol w:w="1349"/>
        <w:gridCol w:w="2097"/>
        <w:gridCol w:w="1112"/>
        <w:gridCol w:w="2035"/>
        <w:gridCol w:w="1198"/>
      </w:tblGrid>
      <w:tr w:rsidR="00D07B52" w:rsidRPr="00D07B52" w14:paraId="77319009" w14:textId="77777777" w:rsidTr="00676685">
        <w:trPr>
          <w:tblHeader/>
        </w:trPr>
        <w:tc>
          <w:tcPr>
            <w:tcW w:w="613" w:type="pct"/>
            <w:shd w:val="clear" w:color="auto" w:fill="000000" w:themeFill="text1"/>
          </w:tcPr>
          <w:p w14:paraId="1E6CE943" w14:textId="5A21E3A2" w:rsidR="00E910CE" w:rsidRPr="00D07B52" w:rsidRDefault="00E910CE" w:rsidP="005766A0">
            <w:pPr>
              <w:pStyle w:val="ANorm"/>
              <w:jc w:val="center"/>
              <w:rPr>
                <w:color w:val="FFFFFF" w:themeColor="background1"/>
                <w:sz w:val="18"/>
                <w:szCs w:val="18"/>
              </w:rPr>
            </w:pPr>
            <w:r w:rsidRPr="00D07B52">
              <w:rPr>
                <w:color w:val="FFFFFF" w:themeColor="background1"/>
                <w:sz w:val="18"/>
                <w:szCs w:val="18"/>
              </w:rPr>
              <w:t>Date data extracted</w:t>
            </w:r>
          </w:p>
        </w:tc>
        <w:tc>
          <w:tcPr>
            <w:tcW w:w="385" w:type="pct"/>
            <w:shd w:val="clear" w:color="auto" w:fill="000000" w:themeFill="text1"/>
          </w:tcPr>
          <w:p w14:paraId="533D826F" w14:textId="417799FC" w:rsidR="00E910CE" w:rsidRPr="00D07B52" w:rsidRDefault="00E910CE" w:rsidP="005766A0">
            <w:pPr>
              <w:pStyle w:val="ANorm"/>
              <w:jc w:val="center"/>
              <w:rPr>
                <w:color w:val="FFFFFF" w:themeColor="background1"/>
                <w:sz w:val="18"/>
                <w:szCs w:val="18"/>
              </w:rPr>
            </w:pPr>
            <w:r w:rsidRPr="00D07B52">
              <w:rPr>
                <w:color w:val="FFFFFF" w:themeColor="background1"/>
                <w:sz w:val="18"/>
                <w:szCs w:val="18"/>
              </w:rPr>
              <w:t>Total cases</w:t>
            </w:r>
          </w:p>
        </w:tc>
        <w:tc>
          <w:tcPr>
            <w:tcW w:w="693" w:type="pct"/>
            <w:shd w:val="clear" w:color="auto" w:fill="000000" w:themeFill="text1"/>
          </w:tcPr>
          <w:p w14:paraId="79C1C705" w14:textId="3B63594C" w:rsidR="00E910CE" w:rsidRPr="00D07B52" w:rsidRDefault="00E910CE" w:rsidP="005766A0">
            <w:pPr>
              <w:pStyle w:val="ANorm"/>
              <w:jc w:val="center"/>
              <w:rPr>
                <w:color w:val="FFFFFF" w:themeColor="background1"/>
                <w:sz w:val="18"/>
                <w:szCs w:val="18"/>
              </w:rPr>
            </w:pPr>
            <w:r w:rsidRPr="00D07B52">
              <w:rPr>
                <w:color w:val="FFFFFF" w:themeColor="background1"/>
                <w:sz w:val="18"/>
                <w:szCs w:val="18"/>
              </w:rPr>
              <w:t>Excluded with duration of zero seconds</w:t>
            </w:r>
          </w:p>
        </w:tc>
        <w:tc>
          <w:tcPr>
            <w:tcW w:w="1077" w:type="pct"/>
            <w:shd w:val="clear" w:color="auto" w:fill="000000" w:themeFill="text1"/>
          </w:tcPr>
          <w:p w14:paraId="19A2A754" w14:textId="7D11EDA0" w:rsidR="00E910CE" w:rsidRPr="00D07B52" w:rsidRDefault="00E910CE" w:rsidP="005766A0">
            <w:pPr>
              <w:pStyle w:val="ANorm"/>
              <w:jc w:val="center"/>
              <w:rPr>
                <w:color w:val="FFFFFF" w:themeColor="background1"/>
                <w:sz w:val="18"/>
                <w:szCs w:val="18"/>
              </w:rPr>
            </w:pPr>
            <w:r w:rsidRPr="00D07B52">
              <w:rPr>
                <w:color w:val="FFFFFF" w:themeColor="background1"/>
                <w:sz w:val="18"/>
                <w:szCs w:val="18"/>
              </w:rPr>
              <w:t>Excluded for other reason</w:t>
            </w:r>
          </w:p>
        </w:tc>
        <w:tc>
          <w:tcPr>
            <w:tcW w:w="571" w:type="pct"/>
            <w:shd w:val="clear" w:color="auto" w:fill="000000" w:themeFill="text1"/>
          </w:tcPr>
          <w:p w14:paraId="09420687" w14:textId="0F0968F8" w:rsidR="00E910CE" w:rsidRPr="00D07B52" w:rsidRDefault="00E910CE" w:rsidP="005766A0">
            <w:pPr>
              <w:pStyle w:val="ANorm"/>
              <w:jc w:val="center"/>
              <w:rPr>
                <w:color w:val="FFFFFF" w:themeColor="background1"/>
                <w:sz w:val="18"/>
                <w:szCs w:val="18"/>
              </w:rPr>
            </w:pPr>
            <w:r w:rsidRPr="00D07B52">
              <w:rPr>
                <w:color w:val="FFFFFF" w:themeColor="background1"/>
                <w:sz w:val="18"/>
                <w:szCs w:val="18"/>
              </w:rPr>
              <w:t>Non-consenters</w:t>
            </w:r>
          </w:p>
        </w:tc>
        <w:tc>
          <w:tcPr>
            <w:tcW w:w="1045" w:type="pct"/>
            <w:shd w:val="clear" w:color="auto" w:fill="000000" w:themeFill="text1"/>
          </w:tcPr>
          <w:p w14:paraId="0FF9F7EB" w14:textId="7C37F1BE" w:rsidR="00E910CE" w:rsidRPr="00D07B52" w:rsidRDefault="00E910CE" w:rsidP="005766A0">
            <w:pPr>
              <w:pStyle w:val="ANorm"/>
              <w:jc w:val="center"/>
              <w:rPr>
                <w:color w:val="FFFFFF" w:themeColor="background1"/>
                <w:sz w:val="18"/>
                <w:szCs w:val="18"/>
              </w:rPr>
            </w:pPr>
            <w:r w:rsidRPr="00D07B52">
              <w:rPr>
                <w:color w:val="FFFFFF" w:themeColor="background1"/>
                <w:sz w:val="18"/>
                <w:szCs w:val="18"/>
              </w:rPr>
              <w:t>Cases for potential/definite inclusion</w:t>
            </w:r>
          </w:p>
        </w:tc>
        <w:tc>
          <w:tcPr>
            <w:tcW w:w="615" w:type="pct"/>
            <w:shd w:val="clear" w:color="auto" w:fill="000000" w:themeFill="text1"/>
          </w:tcPr>
          <w:p w14:paraId="03A8A0E8" w14:textId="1526899C" w:rsidR="00E910CE" w:rsidRPr="00D07B52" w:rsidRDefault="00E910CE" w:rsidP="005766A0">
            <w:pPr>
              <w:pStyle w:val="ANorm"/>
              <w:jc w:val="center"/>
              <w:rPr>
                <w:color w:val="FFFFFF" w:themeColor="background1"/>
                <w:sz w:val="18"/>
                <w:szCs w:val="18"/>
              </w:rPr>
            </w:pPr>
            <w:r w:rsidRPr="00D07B52">
              <w:rPr>
                <w:color w:val="FFFFFF" w:themeColor="background1"/>
                <w:sz w:val="18"/>
                <w:szCs w:val="18"/>
              </w:rPr>
              <w:t>Included respondents</w:t>
            </w:r>
          </w:p>
        </w:tc>
      </w:tr>
      <w:tr w:rsidR="00E910CE" w:rsidRPr="004C5B0D" w14:paraId="2A701048" w14:textId="77777777" w:rsidTr="007F351D">
        <w:tc>
          <w:tcPr>
            <w:tcW w:w="613" w:type="pct"/>
            <w:vAlign w:val="center"/>
          </w:tcPr>
          <w:p w14:paraId="436FAC78" w14:textId="74264C16" w:rsidR="00E910CE" w:rsidRPr="001B47F8" w:rsidRDefault="00E910CE" w:rsidP="005766A0">
            <w:pPr>
              <w:pStyle w:val="ANorm"/>
              <w:jc w:val="center"/>
              <w:rPr>
                <w:sz w:val="18"/>
                <w:szCs w:val="18"/>
              </w:rPr>
            </w:pPr>
            <w:r>
              <w:rPr>
                <w:sz w:val="18"/>
                <w:szCs w:val="18"/>
              </w:rPr>
              <w:t>26 January</w:t>
            </w:r>
          </w:p>
        </w:tc>
        <w:tc>
          <w:tcPr>
            <w:tcW w:w="385" w:type="pct"/>
            <w:vAlign w:val="center"/>
          </w:tcPr>
          <w:p w14:paraId="2E385388" w14:textId="59BBCA54" w:rsidR="00E910CE" w:rsidRPr="001B47F8" w:rsidRDefault="00E910CE" w:rsidP="005766A0">
            <w:pPr>
              <w:pStyle w:val="ANorm"/>
              <w:jc w:val="center"/>
              <w:rPr>
                <w:sz w:val="18"/>
                <w:szCs w:val="18"/>
              </w:rPr>
            </w:pPr>
            <w:r>
              <w:rPr>
                <w:sz w:val="18"/>
                <w:szCs w:val="18"/>
              </w:rPr>
              <w:t>1578</w:t>
            </w:r>
          </w:p>
        </w:tc>
        <w:tc>
          <w:tcPr>
            <w:tcW w:w="693" w:type="pct"/>
            <w:vAlign w:val="center"/>
          </w:tcPr>
          <w:p w14:paraId="41E95D60" w14:textId="41933D15" w:rsidR="00E910CE" w:rsidRPr="001B47F8" w:rsidRDefault="00E910CE" w:rsidP="005766A0">
            <w:pPr>
              <w:pStyle w:val="ANorm"/>
              <w:jc w:val="center"/>
              <w:rPr>
                <w:sz w:val="18"/>
                <w:szCs w:val="18"/>
              </w:rPr>
            </w:pPr>
            <w:r>
              <w:rPr>
                <w:sz w:val="18"/>
                <w:szCs w:val="18"/>
              </w:rPr>
              <w:t>121</w:t>
            </w:r>
          </w:p>
        </w:tc>
        <w:tc>
          <w:tcPr>
            <w:tcW w:w="1077" w:type="pct"/>
            <w:vAlign w:val="center"/>
          </w:tcPr>
          <w:p w14:paraId="25A8E4CC" w14:textId="77777777" w:rsidR="00E910CE" w:rsidRDefault="00711D6C" w:rsidP="005766A0">
            <w:pPr>
              <w:pStyle w:val="ANorm"/>
              <w:jc w:val="center"/>
              <w:rPr>
                <w:sz w:val="18"/>
                <w:szCs w:val="18"/>
              </w:rPr>
            </w:pPr>
            <w:r>
              <w:rPr>
                <w:sz w:val="18"/>
                <w:szCs w:val="18"/>
              </w:rPr>
              <w:t>305</w:t>
            </w:r>
            <w:r w:rsidR="00363C19">
              <w:rPr>
                <w:sz w:val="18"/>
                <w:szCs w:val="18"/>
              </w:rPr>
              <w:t xml:space="preserve"> – no</w:t>
            </w:r>
            <w:r w:rsidR="00B321B2">
              <w:rPr>
                <w:sz w:val="18"/>
                <w:szCs w:val="18"/>
              </w:rPr>
              <w:t>t</w:t>
            </w:r>
            <w:r w:rsidR="00363C19">
              <w:rPr>
                <w:sz w:val="18"/>
                <w:szCs w:val="18"/>
              </w:rPr>
              <w:t xml:space="preserve"> service</w:t>
            </w:r>
            <w:r w:rsidR="00B321B2">
              <w:rPr>
                <w:sz w:val="18"/>
                <w:szCs w:val="18"/>
              </w:rPr>
              <w:t xml:space="preserve"> survey link</w:t>
            </w:r>
          </w:p>
          <w:p w14:paraId="3C47A69F" w14:textId="77777777" w:rsidR="00E549B8" w:rsidRDefault="00E549B8" w:rsidP="005766A0">
            <w:pPr>
              <w:pStyle w:val="ANorm"/>
              <w:jc w:val="center"/>
              <w:rPr>
                <w:sz w:val="18"/>
                <w:szCs w:val="18"/>
              </w:rPr>
            </w:pPr>
            <w:r w:rsidRPr="00E725CB">
              <w:rPr>
                <w:sz w:val="18"/>
                <w:szCs w:val="18"/>
              </w:rPr>
              <w:t>7</w:t>
            </w:r>
            <w:r w:rsidR="00FE062D" w:rsidRPr="00E725CB">
              <w:rPr>
                <w:sz w:val="18"/>
                <w:szCs w:val="18"/>
              </w:rPr>
              <w:t>03</w:t>
            </w:r>
            <w:r w:rsidRPr="00E725CB">
              <w:rPr>
                <w:sz w:val="18"/>
                <w:szCs w:val="18"/>
              </w:rPr>
              <w:t xml:space="preserve"> </w:t>
            </w:r>
            <w:r>
              <w:rPr>
                <w:sz w:val="18"/>
                <w:szCs w:val="18"/>
              </w:rPr>
              <w:t>– likely fake score</w:t>
            </w:r>
            <w:r w:rsidR="00E8711B">
              <w:rPr>
                <w:sz w:val="18"/>
                <w:szCs w:val="18"/>
              </w:rPr>
              <w:t xml:space="preserve"> &gt;1</w:t>
            </w:r>
          </w:p>
          <w:p w14:paraId="6BBB5071" w14:textId="7DD061FC" w:rsidR="00F32740" w:rsidRPr="001B47F8" w:rsidRDefault="005A43F8" w:rsidP="005766A0">
            <w:pPr>
              <w:pStyle w:val="ANorm"/>
              <w:jc w:val="center"/>
              <w:rPr>
                <w:sz w:val="18"/>
                <w:szCs w:val="18"/>
              </w:rPr>
            </w:pPr>
            <w:r>
              <w:rPr>
                <w:sz w:val="18"/>
                <w:szCs w:val="18"/>
              </w:rPr>
              <w:t>11</w:t>
            </w:r>
            <w:r w:rsidR="00F32740">
              <w:rPr>
                <w:sz w:val="18"/>
                <w:szCs w:val="18"/>
              </w:rPr>
              <w:t xml:space="preserve"> </w:t>
            </w:r>
            <w:r w:rsidR="0018185C">
              <w:rPr>
                <w:sz w:val="18"/>
                <w:szCs w:val="18"/>
              </w:rPr>
              <w:t>–</w:t>
            </w:r>
            <w:r w:rsidR="00F32740">
              <w:rPr>
                <w:sz w:val="18"/>
                <w:szCs w:val="18"/>
              </w:rPr>
              <w:t xml:space="preserve"> duplicate</w:t>
            </w:r>
            <w:r w:rsidR="00800408">
              <w:rPr>
                <w:sz w:val="18"/>
                <w:szCs w:val="18"/>
              </w:rPr>
              <w:t>s</w:t>
            </w:r>
            <w:r w:rsidR="000E197B">
              <w:rPr>
                <w:sz w:val="18"/>
                <w:szCs w:val="18"/>
              </w:rPr>
              <w:t xml:space="preserve"> (fake score</w:t>
            </w:r>
            <w:r w:rsidR="0055447B">
              <w:rPr>
                <w:sz w:val="18"/>
                <w:szCs w:val="18"/>
              </w:rPr>
              <w:t>=</w:t>
            </w:r>
            <w:r w:rsidR="000E197B">
              <w:rPr>
                <w:sz w:val="18"/>
                <w:szCs w:val="18"/>
              </w:rPr>
              <w:t>1)</w:t>
            </w:r>
          </w:p>
        </w:tc>
        <w:tc>
          <w:tcPr>
            <w:tcW w:w="571" w:type="pct"/>
            <w:vAlign w:val="center"/>
          </w:tcPr>
          <w:p w14:paraId="59A6C9D8" w14:textId="770CA365" w:rsidR="00E910CE" w:rsidRPr="004C5B0D" w:rsidRDefault="00E910CE" w:rsidP="005766A0">
            <w:pPr>
              <w:pStyle w:val="ANorm"/>
              <w:jc w:val="center"/>
              <w:rPr>
                <w:sz w:val="18"/>
                <w:szCs w:val="18"/>
                <w:lang w:val="it-IT"/>
              </w:rPr>
            </w:pPr>
            <w:r>
              <w:rPr>
                <w:sz w:val="18"/>
                <w:szCs w:val="18"/>
                <w:lang w:val="it-IT"/>
              </w:rPr>
              <w:t>7</w:t>
            </w:r>
          </w:p>
        </w:tc>
        <w:tc>
          <w:tcPr>
            <w:tcW w:w="1045" w:type="pct"/>
            <w:vAlign w:val="center"/>
          </w:tcPr>
          <w:p w14:paraId="21E11504" w14:textId="03CB82AD" w:rsidR="00E910CE" w:rsidRPr="004C5B0D" w:rsidRDefault="00E910CE" w:rsidP="005766A0">
            <w:pPr>
              <w:pStyle w:val="ANorm"/>
              <w:jc w:val="center"/>
              <w:rPr>
                <w:sz w:val="18"/>
                <w:szCs w:val="18"/>
                <w:lang w:val="it-IT"/>
              </w:rPr>
            </w:pPr>
            <w:r w:rsidRPr="004C5B0D">
              <w:rPr>
                <w:sz w:val="18"/>
                <w:szCs w:val="18"/>
                <w:lang w:val="it-IT"/>
              </w:rPr>
              <w:t>298 (fake score</w:t>
            </w:r>
            <w:r w:rsidR="0055447B">
              <w:rPr>
                <w:sz w:val="18"/>
                <w:szCs w:val="18"/>
                <w:lang w:val="it-IT"/>
              </w:rPr>
              <w:t>=</w:t>
            </w:r>
            <w:r w:rsidR="000D5333">
              <w:rPr>
                <w:sz w:val="18"/>
                <w:szCs w:val="18"/>
                <w:lang w:val="it-IT"/>
              </w:rPr>
              <w:t>0</w:t>
            </w:r>
            <w:r w:rsidRPr="004C5B0D">
              <w:rPr>
                <w:sz w:val="18"/>
                <w:szCs w:val="18"/>
                <w:lang w:val="it-IT"/>
              </w:rPr>
              <w:t>)</w:t>
            </w:r>
          </w:p>
          <w:p w14:paraId="0C0A01A7" w14:textId="6D8FFDB5" w:rsidR="00E910CE" w:rsidRPr="004C5B0D" w:rsidRDefault="00E910CE" w:rsidP="005766A0">
            <w:pPr>
              <w:pStyle w:val="ANorm"/>
              <w:jc w:val="center"/>
              <w:rPr>
                <w:sz w:val="18"/>
                <w:szCs w:val="18"/>
                <w:lang w:val="it-IT"/>
              </w:rPr>
            </w:pPr>
            <w:r w:rsidRPr="00D8740B">
              <w:rPr>
                <w:sz w:val="18"/>
                <w:szCs w:val="18"/>
                <w:lang w:val="it-IT"/>
              </w:rPr>
              <w:t xml:space="preserve">133 </w:t>
            </w:r>
            <w:r w:rsidRPr="004C5B0D">
              <w:rPr>
                <w:sz w:val="18"/>
                <w:szCs w:val="18"/>
                <w:lang w:val="it-IT"/>
              </w:rPr>
              <w:t>(fake score</w:t>
            </w:r>
            <w:r w:rsidR="0055447B">
              <w:rPr>
                <w:sz w:val="18"/>
                <w:szCs w:val="18"/>
                <w:lang w:val="it-IT"/>
              </w:rPr>
              <w:t>=</w:t>
            </w:r>
            <w:r w:rsidR="000D5333">
              <w:rPr>
                <w:sz w:val="18"/>
                <w:szCs w:val="18"/>
                <w:lang w:val="it-IT"/>
              </w:rPr>
              <w:t>1</w:t>
            </w:r>
            <w:r>
              <w:rPr>
                <w:sz w:val="18"/>
                <w:szCs w:val="18"/>
                <w:lang w:val="it-IT"/>
              </w:rPr>
              <w:t>)</w:t>
            </w:r>
          </w:p>
        </w:tc>
        <w:tc>
          <w:tcPr>
            <w:tcW w:w="615" w:type="pct"/>
            <w:vAlign w:val="center"/>
          </w:tcPr>
          <w:p w14:paraId="2A141735" w14:textId="77777777" w:rsidR="00E910CE" w:rsidRDefault="00114BF6" w:rsidP="005766A0">
            <w:pPr>
              <w:pStyle w:val="ANorm"/>
              <w:jc w:val="center"/>
              <w:rPr>
                <w:sz w:val="18"/>
                <w:szCs w:val="18"/>
                <w:lang w:val="it-IT"/>
              </w:rPr>
            </w:pPr>
            <w:r>
              <w:rPr>
                <w:sz w:val="18"/>
                <w:szCs w:val="18"/>
                <w:lang w:val="it-IT"/>
              </w:rPr>
              <w:t>244</w:t>
            </w:r>
          </w:p>
          <w:p w14:paraId="76EE2E38" w14:textId="0F8CB7E0" w:rsidR="000512A1" w:rsidRPr="004C5B0D" w:rsidRDefault="000512A1" w:rsidP="005766A0">
            <w:pPr>
              <w:pStyle w:val="ANorm"/>
              <w:jc w:val="center"/>
              <w:rPr>
                <w:sz w:val="18"/>
                <w:szCs w:val="18"/>
                <w:lang w:val="it-IT"/>
              </w:rPr>
            </w:pPr>
            <w:r>
              <w:rPr>
                <w:sz w:val="18"/>
                <w:szCs w:val="18"/>
                <w:lang w:val="it-IT"/>
              </w:rPr>
              <w:t>97</w:t>
            </w:r>
          </w:p>
        </w:tc>
      </w:tr>
      <w:tr w:rsidR="00E910CE" w:rsidRPr="001B47F8" w14:paraId="76A6CD61" w14:textId="77777777" w:rsidTr="007F351D">
        <w:tc>
          <w:tcPr>
            <w:tcW w:w="613" w:type="pct"/>
            <w:vAlign w:val="center"/>
          </w:tcPr>
          <w:p w14:paraId="282D7067" w14:textId="4A389CBB" w:rsidR="00E910CE" w:rsidRPr="001B47F8" w:rsidRDefault="00E910CE" w:rsidP="005766A0">
            <w:pPr>
              <w:pStyle w:val="ANorm"/>
              <w:jc w:val="center"/>
              <w:rPr>
                <w:sz w:val="18"/>
                <w:szCs w:val="18"/>
              </w:rPr>
            </w:pPr>
            <w:r>
              <w:rPr>
                <w:sz w:val="18"/>
                <w:szCs w:val="18"/>
              </w:rPr>
              <w:t>22 February</w:t>
            </w:r>
          </w:p>
        </w:tc>
        <w:tc>
          <w:tcPr>
            <w:tcW w:w="385" w:type="pct"/>
            <w:vAlign w:val="center"/>
          </w:tcPr>
          <w:p w14:paraId="723DD583" w14:textId="6F5C51E9" w:rsidR="00E910CE" w:rsidRPr="001B47F8" w:rsidRDefault="00E910CE" w:rsidP="005766A0">
            <w:pPr>
              <w:pStyle w:val="ANorm"/>
              <w:jc w:val="center"/>
              <w:rPr>
                <w:sz w:val="18"/>
                <w:szCs w:val="18"/>
              </w:rPr>
            </w:pPr>
            <w:r>
              <w:rPr>
                <w:sz w:val="18"/>
                <w:szCs w:val="18"/>
              </w:rPr>
              <w:t>532</w:t>
            </w:r>
          </w:p>
        </w:tc>
        <w:tc>
          <w:tcPr>
            <w:tcW w:w="693" w:type="pct"/>
            <w:vAlign w:val="center"/>
          </w:tcPr>
          <w:p w14:paraId="49350856" w14:textId="5A96825E" w:rsidR="00E910CE" w:rsidRPr="001B47F8" w:rsidRDefault="00E910CE" w:rsidP="005766A0">
            <w:pPr>
              <w:pStyle w:val="ANorm"/>
              <w:jc w:val="center"/>
              <w:rPr>
                <w:sz w:val="18"/>
                <w:szCs w:val="18"/>
              </w:rPr>
            </w:pPr>
            <w:r>
              <w:rPr>
                <w:sz w:val="18"/>
                <w:szCs w:val="18"/>
              </w:rPr>
              <w:t>427</w:t>
            </w:r>
            <w:r w:rsidR="004F6262" w:rsidRPr="004F6262">
              <w:rPr>
                <w:sz w:val="18"/>
                <w:szCs w:val="18"/>
                <w:vertAlign w:val="superscript"/>
              </w:rPr>
              <w:t>a</w:t>
            </w:r>
          </w:p>
        </w:tc>
        <w:tc>
          <w:tcPr>
            <w:tcW w:w="1077" w:type="pct"/>
            <w:vAlign w:val="center"/>
          </w:tcPr>
          <w:p w14:paraId="0C8AC958" w14:textId="6B69736A" w:rsidR="00E910CE" w:rsidRPr="005F79D9" w:rsidRDefault="005F79D9" w:rsidP="005766A0">
            <w:pPr>
              <w:pStyle w:val="ANorm"/>
              <w:jc w:val="center"/>
              <w:rPr>
                <w:sz w:val="18"/>
                <w:szCs w:val="18"/>
              </w:rPr>
            </w:pPr>
            <w:r>
              <w:rPr>
                <w:sz w:val="18"/>
                <w:szCs w:val="18"/>
              </w:rPr>
              <w:t>7</w:t>
            </w:r>
            <w:r w:rsidR="00A17A4B">
              <w:rPr>
                <w:sz w:val="18"/>
                <w:szCs w:val="18"/>
              </w:rPr>
              <w:t xml:space="preserve"> – </w:t>
            </w:r>
            <w:r w:rsidR="00C50727" w:rsidRPr="005F79D9">
              <w:rPr>
                <w:sz w:val="18"/>
                <w:szCs w:val="18"/>
              </w:rPr>
              <w:t xml:space="preserve">no </w:t>
            </w:r>
            <w:proofErr w:type="spellStart"/>
            <w:r w:rsidR="00C50727" w:rsidRPr="005F79D9">
              <w:rPr>
                <w:sz w:val="18"/>
                <w:szCs w:val="18"/>
              </w:rPr>
              <w:t>service</w:t>
            </w:r>
            <w:r w:rsidR="00D13079" w:rsidRPr="00D13079">
              <w:rPr>
                <w:sz w:val="18"/>
                <w:szCs w:val="18"/>
                <w:vertAlign w:val="superscript"/>
              </w:rPr>
              <w:t>b</w:t>
            </w:r>
            <w:proofErr w:type="spellEnd"/>
          </w:p>
          <w:p w14:paraId="16F1E135" w14:textId="37D4281E" w:rsidR="005F79D9" w:rsidRDefault="005F79D9" w:rsidP="005766A0">
            <w:pPr>
              <w:pStyle w:val="ANorm"/>
              <w:jc w:val="center"/>
              <w:rPr>
                <w:sz w:val="18"/>
                <w:szCs w:val="18"/>
              </w:rPr>
            </w:pPr>
            <w:r w:rsidRPr="005F79D9">
              <w:rPr>
                <w:sz w:val="18"/>
                <w:szCs w:val="18"/>
              </w:rPr>
              <w:t>3</w:t>
            </w:r>
            <w:r w:rsidR="00A17A4B">
              <w:rPr>
                <w:sz w:val="18"/>
                <w:szCs w:val="18"/>
              </w:rPr>
              <w:t xml:space="preserve"> – </w:t>
            </w:r>
            <w:r>
              <w:rPr>
                <w:sz w:val="18"/>
                <w:szCs w:val="18"/>
              </w:rPr>
              <w:t xml:space="preserve">ballot box </w:t>
            </w:r>
            <w:proofErr w:type="spellStart"/>
            <w:r>
              <w:rPr>
                <w:sz w:val="18"/>
                <w:szCs w:val="18"/>
              </w:rPr>
              <w:t>stuffing</w:t>
            </w:r>
            <w:r w:rsidR="006D6FAC" w:rsidRPr="00D13079">
              <w:rPr>
                <w:sz w:val="18"/>
                <w:szCs w:val="18"/>
                <w:vertAlign w:val="superscript"/>
              </w:rPr>
              <w:t>b</w:t>
            </w:r>
            <w:proofErr w:type="spellEnd"/>
          </w:p>
          <w:p w14:paraId="6F6BBED3" w14:textId="6113E83B" w:rsidR="00A17A4B" w:rsidRDefault="00A17A4B" w:rsidP="005766A0">
            <w:pPr>
              <w:pStyle w:val="ANorm"/>
              <w:jc w:val="center"/>
              <w:rPr>
                <w:sz w:val="18"/>
                <w:szCs w:val="18"/>
              </w:rPr>
            </w:pPr>
            <w:r>
              <w:rPr>
                <w:sz w:val="18"/>
                <w:szCs w:val="18"/>
              </w:rPr>
              <w:t xml:space="preserve">3 – likely </w:t>
            </w:r>
            <w:proofErr w:type="spellStart"/>
            <w:r>
              <w:rPr>
                <w:sz w:val="18"/>
                <w:szCs w:val="18"/>
              </w:rPr>
              <w:t>fraudulent</w:t>
            </w:r>
            <w:r w:rsidR="006D6FAC" w:rsidRPr="00D13079">
              <w:rPr>
                <w:sz w:val="18"/>
                <w:szCs w:val="18"/>
                <w:vertAlign w:val="superscript"/>
              </w:rPr>
              <w:t>b</w:t>
            </w:r>
            <w:proofErr w:type="spellEnd"/>
          </w:p>
          <w:p w14:paraId="6056190A" w14:textId="53C0F766" w:rsidR="00CA632E" w:rsidRPr="005F79D9" w:rsidRDefault="00CA632E" w:rsidP="005766A0">
            <w:pPr>
              <w:pStyle w:val="ANorm"/>
              <w:jc w:val="center"/>
              <w:rPr>
                <w:sz w:val="18"/>
                <w:szCs w:val="18"/>
              </w:rPr>
            </w:pPr>
            <w:r>
              <w:rPr>
                <w:sz w:val="18"/>
                <w:szCs w:val="18"/>
              </w:rPr>
              <w:t xml:space="preserve">1 – </w:t>
            </w:r>
            <w:proofErr w:type="spellStart"/>
            <w:r>
              <w:rPr>
                <w:sz w:val="18"/>
                <w:szCs w:val="18"/>
              </w:rPr>
              <w:t>duplicate</w:t>
            </w:r>
            <w:r w:rsidR="006D6FAC" w:rsidRPr="00D13079">
              <w:rPr>
                <w:sz w:val="18"/>
                <w:szCs w:val="18"/>
                <w:vertAlign w:val="superscript"/>
              </w:rPr>
              <w:t>b</w:t>
            </w:r>
            <w:proofErr w:type="spellEnd"/>
          </w:p>
        </w:tc>
        <w:tc>
          <w:tcPr>
            <w:tcW w:w="571" w:type="pct"/>
            <w:vAlign w:val="center"/>
          </w:tcPr>
          <w:p w14:paraId="31CC67BB" w14:textId="3AE54776" w:rsidR="00E910CE" w:rsidRDefault="00E910CE" w:rsidP="005766A0">
            <w:pPr>
              <w:pStyle w:val="ANorm"/>
              <w:jc w:val="center"/>
              <w:rPr>
                <w:sz w:val="18"/>
                <w:szCs w:val="18"/>
              </w:rPr>
            </w:pPr>
            <w:r>
              <w:rPr>
                <w:sz w:val="18"/>
                <w:szCs w:val="18"/>
              </w:rPr>
              <w:t>2</w:t>
            </w:r>
          </w:p>
        </w:tc>
        <w:tc>
          <w:tcPr>
            <w:tcW w:w="1045" w:type="pct"/>
            <w:vAlign w:val="center"/>
          </w:tcPr>
          <w:p w14:paraId="620B7A75" w14:textId="6E9A556F" w:rsidR="00E910CE" w:rsidRPr="001B47F8" w:rsidRDefault="00E910CE" w:rsidP="005766A0">
            <w:pPr>
              <w:pStyle w:val="ANorm"/>
              <w:jc w:val="center"/>
              <w:rPr>
                <w:sz w:val="18"/>
                <w:szCs w:val="18"/>
              </w:rPr>
            </w:pPr>
            <w:r>
              <w:rPr>
                <w:sz w:val="18"/>
                <w:szCs w:val="18"/>
              </w:rPr>
              <w:t>10</w:t>
            </w:r>
          </w:p>
        </w:tc>
        <w:tc>
          <w:tcPr>
            <w:tcW w:w="615" w:type="pct"/>
            <w:vAlign w:val="center"/>
          </w:tcPr>
          <w:p w14:paraId="6D65D4EF" w14:textId="7258E0C9" w:rsidR="00E910CE" w:rsidRPr="001B47F8" w:rsidRDefault="00E910CE" w:rsidP="005766A0">
            <w:pPr>
              <w:pStyle w:val="ANorm"/>
              <w:jc w:val="center"/>
              <w:rPr>
                <w:sz w:val="18"/>
                <w:szCs w:val="18"/>
              </w:rPr>
            </w:pPr>
            <w:r>
              <w:rPr>
                <w:sz w:val="18"/>
                <w:szCs w:val="18"/>
              </w:rPr>
              <w:t>10</w:t>
            </w:r>
          </w:p>
        </w:tc>
      </w:tr>
      <w:tr w:rsidR="00E910CE" w:rsidRPr="001B47F8" w14:paraId="12B0862D" w14:textId="77777777" w:rsidTr="007F351D">
        <w:tc>
          <w:tcPr>
            <w:tcW w:w="613" w:type="pct"/>
          </w:tcPr>
          <w:p w14:paraId="78220C7A" w14:textId="214217F8" w:rsidR="00E910CE" w:rsidRPr="001B47F8" w:rsidRDefault="00E910CE" w:rsidP="005766A0">
            <w:pPr>
              <w:pStyle w:val="ANorm"/>
              <w:rPr>
                <w:sz w:val="18"/>
                <w:szCs w:val="18"/>
              </w:rPr>
            </w:pPr>
            <w:r>
              <w:rPr>
                <w:sz w:val="18"/>
                <w:szCs w:val="18"/>
              </w:rPr>
              <w:t>Total</w:t>
            </w:r>
          </w:p>
        </w:tc>
        <w:tc>
          <w:tcPr>
            <w:tcW w:w="385" w:type="pct"/>
          </w:tcPr>
          <w:p w14:paraId="4D45A978" w14:textId="2697AD94" w:rsidR="00E910CE" w:rsidRPr="001B47F8" w:rsidRDefault="00E910CE" w:rsidP="005766A0">
            <w:pPr>
              <w:pStyle w:val="ANorm"/>
              <w:jc w:val="center"/>
              <w:rPr>
                <w:sz w:val="18"/>
                <w:szCs w:val="18"/>
              </w:rPr>
            </w:pPr>
            <w:r>
              <w:rPr>
                <w:sz w:val="18"/>
                <w:szCs w:val="18"/>
              </w:rPr>
              <w:t>2110</w:t>
            </w:r>
          </w:p>
        </w:tc>
        <w:tc>
          <w:tcPr>
            <w:tcW w:w="693" w:type="pct"/>
          </w:tcPr>
          <w:p w14:paraId="048331E5" w14:textId="3F9D6DC1" w:rsidR="00E910CE" w:rsidRPr="001B47F8" w:rsidRDefault="00E910CE" w:rsidP="005766A0">
            <w:pPr>
              <w:pStyle w:val="ANorm"/>
              <w:jc w:val="center"/>
              <w:rPr>
                <w:sz w:val="18"/>
                <w:szCs w:val="18"/>
              </w:rPr>
            </w:pPr>
            <w:r>
              <w:rPr>
                <w:sz w:val="18"/>
                <w:szCs w:val="18"/>
              </w:rPr>
              <w:t>548</w:t>
            </w:r>
          </w:p>
        </w:tc>
        <w:tc>
          <w:tcPr>
            <w:tcW w:w="1077" w:type="pct"/>
          </w:tcPr>
          <w:p w14:paraId="6B77397D" w14:textId="6E347EC9" w:rsidR="00E910CE" w:rsidRPr="001B47F8" w:rsidRDefault="00973CD4" w:rsidP="005766A0">
            <w:pPr>
              <w:pStyle w:val="ANorm"/>
              <w:jc w:val="center"/>
              <w:rPr>
                <w:sz w:val="18"/>
                <w:szCs w:val="18"/>
              </w:rPr>
            </w:pPr>
            <w:r>
              <w:rPr>
                <w:sz w:val="18"/>
                <w:szCs w:val="18"/>
              </w:rPr>
              <w:t>761</w:t>
            </w:r>
          </w:p>
        </w:tc>
        <w:tc>
          <w:tcPr>
            <w:tcW w:w="571" w:type="pct"/>
          </w:tcPr>
          <w:p w14:paraId="6130076F" w14:textId="2476D548" w:rsidR="00E910CE" w:rsidRDefault="000512A1" w:rsidP="005766A0">
            <w:pPr>
              <w:pStyle w:val="ANorm"/>
              <w:jc w:val="center"/>
              <w:rPr>
                <w:sz w:val="18"/>
                <w:szCs w:val="18"/>
              </w:rPr>
            </w:pPr>
            <w:r>
              <w:rPr>
                <w:sz w:val="18"/>
                <w:szCs w:val="18"/>
              </w:rPr>
              <w:t>9</w:t>
            </w:r>
          </w:p>
        </w:tc>
        <w:tc>
          <w:tcPr>
            <w:tcW w:w="1045" w:type="pct"/>
          </w:tcPr>
          <w:p w14:paraId="57E560A7" w14:textId="09B433B3" w:rsidR="00E910CE" w:rsidRPr="009F26B6" w:rsidRDefault="00E910CE" w:rsidP="00143A09">
            <w:pPr>
              <w:pStyle w:val="ANorm"/>
              <w:jc w:val="center"/>
              <w:rPr>
                <w:color w:val="FF0000"/>
                <w:sz w:val="18"/>
                <w:szCs w:val="18"/>
              </w:rPr>
            </w:pPr>
            <w:r w:rsidRPr="00D8740B">
              <w:rPr>
                <w:sz w:val="18"/>
                <w:szCs w:val="18"/>
              </w:rPr>
              <w:t>441</w:t>
            </w:r>
          </w:p>
        </w:tc>
        <w:tc>
          <w:tcPr>
            <w:tcW w:w="615" w:type="pct"/>
          </w:tcPr>
          <w:p w14:paraId="15B9C468" w14:textId="26912C13" w:rsidR="00E910CE" w:rsidRPr="001B47F8" w:rsidRDefault="00E910CE" w:rsidP="005766A0">
            <w:pPr>
              <w:pStyle w:val="ANorm"/>
              <w:jc w:val="center"/>
              <w:rPr>
                <w:sz w:val="18"/>
                <w:szCs w:val="18"/>
              </w:rPr>
            </w:pPr>
            <w:r>
              <w:rPr>
                <w:sz w:val="18"/>
                <w:szCs w:val="18"/>
              </w:rPr>
              <w:t>351</w:t>
            </w:r>
          </w:p>
        </w:tc>
      </w:tr>
    </w:tbl>
    <w:p w14:paraId="10AF51CE" w14:textId="0A3D88E5" w:rsidR="00C014B8" w:rsidRPr="00E90ACA" w:rsidRDefault="004F6262" w:rsidP="005766A0">
      <w:pPr>
        <w:pStyle w:val="ANorm"/>
        <w:rPr>
          <w:sz w:val="16"/>
          <w:szCs w:val="16"/>
        </w:rPr>
      </w:pPr>
      <w:proofErr w:type="spellStart"/>
      <w:r w:rsidRPr="00E90ACA">
        <w:rPr>
          <w:sz w:val="16"/>
          <w:szCs w:val="16"/>
          <w:vertAlign w:val="superscript"/>
        </w:rPr>
        <w:t>a</w:t>
      </w:r>
      <w:r w:rsidRPr="00E90ACA">
        <w:rPr>
          <w:sz w:val="16"/>
          <w:szCs w:val="16"/>
        </w:rPr>
        <w:t>Includes</w:t>
      </w:r>
      <w:proofErr w:type="spellEnd"/>
      <w:r w:rsidRPr="00E90ACA">
        <w:rPr>
          <w:sz w:val="16"/>
          <w:szCs w:val="16"/>
        </w:rPr>
        <w:t xml:space="preserve"> n=180 ballot</w:t>
      </w:r>
      <w:r w:rsidR="00AF3AC4" w:rsidRPr="00E90ACA">
        <w:rPr>
          <w:sz w:val="16"/>
          <w:szCs w:val="16"/>
        </w:rPr>
        <w:t xml:space="preserve"> box stuffing, </w:t>
      </w:r>
      <w:r w:rsidR="00C63452" w:rsidRPr="00E90ACA">
        <w:rPr>
          <w:sz w:val="16"/>
          <w:szCs w:val="16"/>
        </w:rPr>
        <w:t>n=92</w:t>
      </w:r>
      <w:r w:rsidR="0077273C" w:rsidRPr="00E90ACA">
        <w:rPr>
          <w:sz w:val="16"/>
          <w:szCs w:val="16"/>
        </w:rPr>
        <w:t xml:space="preserve"> spam, </w:t>
      </w:r>
      <w:r w:rsidR="003C37C5" w:rsidRPr="00E90ACA">
        <w:rPr>
          <w:sz w:val="16"/>
          <w:szCs w:val="16"/>
        </w:rPr>
        <w:t xml:space="preserve">n=20 not service survey link, </w:t>
      </w:r>
      <w:r w:rsidR="0077273C" w:rsidRPr="00E90ACA">
        <w:rPr>
          <w:sz w:val="16"/>
          <w:szCs w:val="16"/>
        </w:rPr>
        <w:t>n</w:t>
      </w:r>
      <w:r w:rsidR="00C63452" w:rsidRPr="00E90ACA">
        <w:rPr>
          <w:sz w:val="16"/>
          <w:szCs w:val="16"/>
        </w:rPr>
        <w:t xml:space="preserve">=1 </w:t>
      </w:r>
      <w:r w:rsidR="00CA632E">
        <w:rPr>
          <w:sz w:val="16"/>
          <w:szCs w:val="16"/>
        </w:rPr>
        <w:t xml:space="preserve">survey </w:t>
      </w:r>
      <w:r w:rsidR="00C63452" w:rsidRPr="00E90ACA">
        <w:rPr>
          <w:sz w:val="16"/>
          <w:szCs w:val="16"/>
        </w:rPr>
        <w:t>preview</w:t>
      </w:r>
      <w:r w:rsidR="00E90ACA" w:rsidRPr="00E90ACA">
        <w:rPr>
          <w:sz w:val="16"/>
          <w:szCs w:val="16"/>
        </w:rPr>
        <w:t>.</w:t>
      </w:r>
    </w:p>
    <w:p w14:paraId="14A03542" w14:textId="3B5B09F0" w:rsidR="00E90ACA" w:rsidRPr="005766A0" w:rsidRDefault="00E90ACA" w:rsidP="00C014B8">
      <w:pPr>
        <w:pStyle w:val="ANorm"/>
        <w:rPr>
          <w:sz w:val="16"/>
          <w:szCs w:val="16"/>
        </w:rPr>
      </w:pPr>
      <w:proofErr w:type="spellStart"/>
      <w:r w:rsidRPr="007454B0">
        <w:rPr>
          <w:sz w:val="16"/>
          <w:szCs w:val="16"/>
          <w:vertAlign w:val="superscript"/>
        </w:rPr>
        <w:t>b</w:t>
      </w:r>
      <w:r w:rsidRPr="00E90ACA">
        <w:rPr>
          <w:sz w:val="16"/>
          <w:szCs w:val="16"/>
        </w:rPr>
        <w:t>Exclusion</w:t>
      </w:r>
      <w:proofErr w:type="spellEnd"/>
      <w:r w:rsidRPr="00E90ACA">
        <w:rPr>
          <w:sz w:val="16"/>
          <w:szCs w:val="16"/>
        </w:rPr>
        <w:t xml:space="preserve"> reasons are not necessarily mutually exclusive.</w:t>
      </w:r>
    </w:p>
    <w:bookmarkEnd w:id="322"/>
    <w:p w14:paraId="27DB54FE" w14:textId="7852A7F0" w:rsidR="006A1B97" w:rsidRPr="005766A0" w:rsidRDefault="005913FC" w:rsidP="00284E59">
      <w:pPr>
        <w:pStyle w:val="Heading3"/>
        <w:numPr>
          <w:ilvl w:val="0"/>
          <w:numId w:val="0"/>
        </w:numPr>
        <w:spacing w:before="240"/>
      </w:pPr>
      <w:r w:rsidRPr="00AA6B28">
        <w:t>Providers of DMHSs</w:t>
      </w:r>
    </w:p>
    <w:p w14:paraId="42B4F634" w14:textId="6B7B3098" w:rsidR="00492A82" w:rsidRDefault="0046409A" w:rsidP="00477B2E">
      <w:pPr>
        <w:pStyle w:val="ANorm"/>
        <w:rPr>
          <w:rFonts w:eastAsiaTheme="minorHAnsi"/>
          <w:lang w:val="en-GB"/>
        </w:rPr>
      </w:pPr>
      <w:r>
        <w:rPr>
          <w:rFonts w:eastAsiaTheme="minorHAnsi"/>
          <w:lang w:val="en-GB"/>
        </w:rPr>
        <w:t xml:space="preserve">We used a purpose-built brief online survey and telephone interviews to gain information about providers’ experience delivering mental health care through DMHSs. The survey and interview included closed and open-ended questions (adapted from our previous evaluations of mental health services and relevant DMHS peer-reviewed literature). </w:t>
      </w:r>
    </w:p>
    <w:p w14:paraId="09F6DB83" w14:textId="192B8DB7" w:rsidR="0085597F" w:rsidRPr="005766A0" w:rsidRDefault="005F4CCC" w:rsidP="00676685">
      <w:pPr>
        <w:pStyle w:val="ANorm"/>
        <w:spacing w:after="240"/>
      </w:pPr>
      <w:r w:rsidRPr="00492A82">
        <w:t xml:space="preserve">The surveys and interviews with health professionals </w:t>
      </w:r>
      <w:r w:rsidR="00002137" w:rsidRPr="00492A82">
        <w:t>e</w:t>
      </w:r>
      <w:r w:rsidRPr="00492A82">
        <w:t>licit</w:t>
      </w:r>
      <w:r w:rsidR="00002137" w:rsidRPr="00492A82">
        <w:t>ed</w:t>
      </w:r>
      <w:r w:rsidRPr="00492A82">
        <w:t xml:space="preserve"> information on their experiences delivering the supported </w:t>
      </w:r>
      <w:r w:rsidR="00002137" w:rsidRPr="00492A82">
        <w:t>DMHS</w:t>
      </w:r>
      <w:r w:rsidRPr="00492A82">
        <w:t xml:space="preserve">, the processes involved, whether </w:t>
      </w:r>
      <w:r w:rsidR="00002137" w:rsidRPr="00492A82">
        <w:t>delivering</w:t>
      </w:r>
      <w:r w:rsidRPr="00492A82">
        <w:t xml:space="preserve"> supported digital services has changed their practices in any way, the perceived impacts for themselves and consumers regarding improvements in access to and quality of care, and whether access to these services had flow-on effects in terms of better mental health outcomes for consumers.</w:t>
      </w:r>
    </w:p>
    <w:p w14:paraId="78A3338B" w14:textId="66757F39" w:rsidR="005F4CCC" w:rsidRPr="00AA6B28" w:rsidRDefault="0085597F" w:rsidP="00676685">
      <w:pPr>
        <w:pStyle w:val="ANorm"/>
        <w:spacing w:after="240"/>
        <w:rPr>
          <w:highlight w:val="green"/>
        </w:rPr>
      </w:pPr>
      <w:r>
        <w:rPr>
          <w:rFonts w:cs="Calibri"/>
          <w:color w:val="000000"/>
        </w:rPr>
        <w:t xml:space="preserve">Again, </w:t>
      </w:r>
      <w:r>
        <w:rPr>
          <w:rFonts w:eastAsiaTheme="minorHAnsi"/>
          <w:lang w:val="en-GB"/>
        </w:rPr>
        <w:t xml:space="preserve">the DMHSs acted as intermediaries for our recruitment of </w:t>
      </w:r>
      <w:r>
        <w:rPr>
          <w:rFonts w:cs="Calibri"/>
          <w:color w:val="000000"/>
        </w:rPr>
        <w:t>DMHSs providers. They emailed an invitation to complete the survey to 94</w:t>
      </w:r>
      <w:r w:rsidRPr="79D18F5E">
        <w:rPr>
          <w:rFonts w:cs="Calibri"/>
        </w:rPr>
        <w:t xml:space="preserve"> providers (38 MHO, 19 MS, and 37 TWU) in December 2021 and January 2022. At the end of the survey,</w:t>
      </w:r>
      <w:r>
        <w:rPr>
          <w:rFonts w:cs="Calibri"/>
          <w:color w:val="000000"/>
        </w:rPr>
        <w:t xml:space="preserve"> providers were also invited to expand on their thoughts through a telephone interview.</w:t>
      </w:r>
    </w:p>
    <w:p w14:paraId="6CF89D90" w14:textId="26D955B0" w:rsidR="006A1B97" w:rsidRPr="005766A0" w:rsidRDefault="005F4CCC" w:rsidP="00676685">
      <w:pPr>
        <w:pStyle w:val="Heading3"/>
        <w:numPr>
          <w:ilvl w:val="0"/>
          <w:numId w:val="0"/>
        </w:numPr>
        <w:spacing w:after="240"/>
      </w:pPr>
      <w:r w:rsidRPr="00AA6B28">
        <w:t>Additional people with lived experience</w:t>
      </w:r>
    </w:p>
    <w:p w14:paraId="342FAC97" w14:textId="6C954085" w:rsidR="0021702D" w:rsidRPr="005766A0" w:rsidRDefault="000C775A" w:rsidP="00676685">
      <w:pPr>
        <w:pStyle w:val="ANorm"/>
        <w:spacing w:after="240"/>
        <w:rPr>
          <w:highlight w:val="green"/>
        </w:rPr>
      </w:pPr>
      <w:r>
        <w:rPr>
          <w:rFonts w:eastAsia="Calibri"/>
        </w:rPr>
        <w:t xml:space="preserve">Community conversations </w:t>
      </w:r>
      <w:r w:rsidR="008A24A6">
        <w:rPr>
          <w:rFonts w:eastAsia="Calibri"/>
        </w:rPr>
        <w:t xml:space="preserve">eliciting </w:t>
      </w:r>
      <w:r w:rsidR="00A14FAD">
        <w:rPr>
          <w:rFonts w:eastAsia="Calibri"/>
        </w:rPr>
        <w:t>perspectives about KEQs from</w:t>
      </w:r>
      <w:r w:rsidR="008A24A6">
        <w:rPr>
          <w:rFonts w:eastAsia="Calibri"/>
        </w:rPr>
        <w:t xml:space="preserve"> additional </w:t>
      </w:r>
      <w:r w:rsidR="00F231D5" w:rsidRPr="008A24A6">
        <w:rPr>
          <w:rFonts w:eastAsia="Calibri"/>
        </w:rPr>
        <w:t xml:space="preserve">people with lived experience </w:t>
      </w:r>
      <w:r w:rsidR="00B529FA" w:rsidRPr="00B529FA">
        <w:t>were held online to facilitate national participation and to be COVID-safe.</w:t>
      </w:r>
    </w:p>
    <w:p w14:paraId="75289A11" w14:textId="5808F4CA" w:rsidR="000C775A" w:rsidRPr="005766A0" w:rsidRDefault="0021702D" w:rsidP="00676685">
      <w:pPr>
        <w:pStyle w:val="ANorm"/>
        <w:spacing w:after="240"/>
        <w:rPr>
          <w:highlight w:val="green"/>
        </w:rPr>
      </w:pPr>
      <w:r>
        <w:rPr>
          <w:rFonts w:eastAsia="Calibri"/>
        </w:rPr>
        <w:t>We</w:t>
      </w:r>
      <w:r w:rsidR="000C775A">
        <w:rPr>
          <w:rFonts w:eastAsia="Calibri"/>
        </w:rPr>
        <w:t xml:space="preserve"> conducted </w:t>
      </w:r>
      <w:r>
        <w:rPr>
          <w:rFonts w:eastAsia="Calibri"/>
        </w:rPr>
        <w:t xml:space="preserve">these community conversations </w:t>
      </w:r>
      <w:r w:rsidR="000C775A">
        <w:rPr>
          <w:rFonts w:eastAsia="Calibri"/>
        </w:rPr>
        <w:t>using the World Cafe metho</w:t>
      </w:r>
      <w:r w:rsidR="000C775A" w:rsidRPr="00A14FAD">
        <w:rPr>
          <w:rFonts w:eastAsia="Calibri"/>
        </w:rPr>
        <w:t>d</w:t>
      </w:r>
      <w:r w:rsidR="000C775A" w:rsidRPr="00A14FAD">
        <w:rPr>
          <w:rFonts w:asciiTheme="minorHAnsi" w:eastAsia="Calibri" w:hAnsiTheme="minorHAnsi" w:cstheme="minorHAnsi"/>
        </w:rPr>
        <w:t>.</w:t>
      </w:r>
      <w:r w:rsidR="00B81CB1">
        <w:rPr>
          <w:rFonts w:asciiTheme="minorHAnsi" w:hAnsiTheme="minorHAnsi" w:cstheme="minorHAnsi"/>
        </w:rPr>
        <w:fldChar w:fldCharType="begin"/>
      </w:r>
      <w:r w:rsidR="004469A2">
        <w:rPr>
          <w:rFonts w:asciiTheme="minorHAnsi" w:hAnsiTheme="minorHAnsi" w:cstheme="minorHAnsi"/>
        </w:rPr>
        <w:instrText xml:space="preserve"> ADDIN EN.CITE &lt;EndNote&gt;&lt;Cite&gt;&lt;Author&gt;Consumer and Community Involvement Program&lt;/Author&gt;&lt;Year&gt;2020&lt;/Year&gt;&lt;RecNum&gt;29&lt;/RecNum&gt;&lt;DisplayText&gt;&lt;style face="superscript"&gt;80&lt;/style&gt;&lt;/DisplayText&gt;&lt;record&gt;&lt;rec-number&gt;29&lt;/rec-number&gt;&lt;foreign-keys&gt;&lt;key app="EN" db-id="dawtr0zrkrzfa5edzzlpe2we0xa00t90vvr2" timestamp="1623153088"&gt;29&lt;/key&gt;&lt;/foreign-keys&gt;&lt;ref-type name="Web Page"&gt;12&lt;/ref-type&gt;&lt;contributors&gt;&lt;authors&gt;&lt;author&gt;Consumer and Community Involvement Program,&lt;/author&gt;&lt;/authors&gt;&lt;/contributors&gt;&lt;titles&gt;&lt;title&gt;Types of Consumer and Community Involvement&lt;/title&gt;&lt;/titles&gt;&lt;volume&gt;2021&lt;/volume&gt;&lt;number&gt;23 April&lt;/number&gt;&lt;dates&gt;&lt;year&gt;2020&lt;/year&gt;&lt;/dates&gt;&lt;urls&gt;&lt;related-urls&gt;&lt;url&gt; https://cciprogram.org/researcher-services/types-of-community-involvement/&lt;/url&gt;&lt;/related-urls&gt;&lt;/urls&gt;&lt;/record&gt;&lt;/Cite&gt;&lt;/EndNote&gt;</w:instrText>
      </w:r>
      <w:r w:rsidR="00B81CB1">
        <w:rPr>
          <w:rFonts w:asciiTheme="minorHAnsi" w:hAnsiTheme="minorHAnsi" w:cstheme="minorHAnsi"/>
        </w:rPr>
        <w:fldChar w:fldCharType="separate"/>
      </w:r>
      <w:r w:rsidR="004469A2" w:rsidRPr="004469A2">
        <w:rPr>
          <w:rFonts w:asciiTheme="minorHAnsi" w:hAnsiTheme="minorHAnsi" w:cstheme="minorHAnsi"/>
          <w:noProof/>
          <w:vertAlign w:val="superscript"/>
        </w:rPr>
        <w:t>80</w:t>
      </w:r>
      <w:r w:rsidR="00B81CB1">
        <w:rPr>
          <w:rFonts w:asciiTheme="minorHAnsi" w:hAnsiTheme="minorHAnsi" w:cstheme="minorHAnsi"/>
        </w:rPr>
        <w:fldChar w:fldCharType="end"/>
      </w:r>
      <w:r w:rsidR="000C775A">
        <w:rPr>
          <w:rFonts w:eastAsia="Calibri"/>
        </w:rPr>
        <w:t xml:space="preserve"> The World Café </w:t>
      </w:r>
      <w:r w:rsidR="000C775A" w:rsidRPr="00EB46B1">
        <w:rPr>
          <w:rFonts w:eastAsia="Calibri"/>
        </w:rPr>
        <w:t xml:space="preserve">is a powerful way of facilitating group discussions. It is particularly useful for gathering multiple views on an issue to generate collective solutions, where you have all the experts already in the “room”, and creative thinking is helpful to generate ideas. It typically involves bringing together small groups of people at tables to discuss a particular issue, shuffling people to new tables with new issues, and then repeating the process several times. The World Café method is therefore easily adapted to be used online for conversations about </w:t>
      </w:r>
      <w:r w:rsidR="000C775A">
        <w:rPr>
          <w:rFonts w:eastAsia="Calibri"/>
        </w:rPr>
        <w:t>digital</w:t>
      </w:r>
      <w:r w:rsidR="000C775A" w:rsidRPr="00EB46B1">
        <w:rPr>
          <w:rFonts w:eastAsia="Calibri"/>
        </w:rPr>
        <w:t xml:space="preserve"> </w:t>
      </w:r>
      <w:r w:rsidR="000C775A">
        <w:rPr>
          <w:rFonts w:eastAsia="Calibri"/>
        </w:rPr>
        <w:t xml:space="preserve">mental health </w:t>
      </w:r>
      <w:r w:rsidR="000C775A" w:rsidRPr="00EB46B1">
        <w:rPr>
          <w:rFonts w:eastAsia="Calibri"/>
        </w:rPr>
        <w:t>services</w:t>
      </w:r>
      <w:r w:rsidR="000C775A">
        <w:rPr>
          <w:rFonts w:eastAsia="Calibri"/>
        </w:rPr>
        <w:t>.</w:t>
      </w:r>
      <w:r w:rsidR="00975378">
        <w:rPr>
          <w:rFonts w:eastAsia="Calibri"/>
        </w:rPr>
        <w:t xml:space="preserve"> </w:t>
      </w:r>
    </w:p>
    <w:p w14:paraId="31AB6188" w14:textId="77777777" w:rsidR="000C775A" w:rsidRDefault="000C775A" w:rsidP="00676685">
      <w:pPr>
        <w:pStyle w:val="ANorm"/>
        <w:spacing w:after="240"/>
        <w:rPr>
          <w:rFonts w:eastAsia="Calibri"/>
        </w:rPr>
      </w:pPr>
      <w:r>
        <w:rPr>
          <w:rFonts w:eastAsia="Calibri"/>
        </w:rPr>
        <w:t>Three</w:t>
      </w:r>
      <w:r w:rsidRPr="00EB46B1">
        <w:rPr>
          <w:rFonts w:eastAsia="Calibri"/>
        </w:rPr>
        <w:t xml:space="preserve"> World Café community conversations of </w:t>
      </w:r>
      <w:r>
        <w:rPr>
          <w:rFonts w:eastAsia="Calibri"/>
        </w:rPr>
        <w:t>4-8</w:t>
      </w:r>
      <w:r w:rsidRPr="00EB46B1">
        <w:rPr>
          <w:rFonts w:eastAsia="Calibri"/>
        </w:rPr>
        <w:t xml:space="preserve"> people </w:t>
      </w:r>
      <w:r>
        <w:rPr>
          <w:rFonts w:eastAsia="Calibri"/>
        </w:rPr>
        <w:t>were</w:t>
      </w:r>
      <w:r w:rsidRPr="00EB46B1">
        <w:rPr>
          <w:rFonts w:eastAsia="Calibri"/>
        </w:rPr>
        <w:t xml:space="preserve"> held during </w:t>
      </w:r>
      <w:r>
        <w:rPr>
          <w:rFonts w:eastAsia="Calibri"/>
        </w:rPr>
        <w:t>November</w:t>
      </w:r>
      <w:r w:rsidRPr="00EB46B1">
        <w:rPr>
          <w:rFonts w:eastAsia="Calibri"/>
        </w:rPr>
        <w:t xml:space="preserve"> 2021, using Zoom. </w:t>
      </w:r>
      <w:r>
        <w:rPr>
          <w:rFonts w:eastAsia="Calibri"/>
        </w:rPr>
        <w:t>Recruitment was conducted in four main ways:</w:t>
      </w:r>
    </w:p>
    <w:p w14:paraId="16C972DA" w14:textId="77777777" w:rsidR="000C775A" w:rsidRDefault="000C775A" w:rsidP="00676685">
      <w:pPr>
        <w:pStyle w:val="ANorm"/>
        <w:numPr>
          <w:ilvl w:val="0"/>
          <w:numId w:val="37"/>
        </w:numPr>
        <w:spacing w:after="240"/>
        <w:rPr>
          <w:rFonts w:eastAsia="Calibri"/>
        </w:rPr>
      </w:pPr>
      <w:r>
        <w:rPr>
          <w:rFonts w:eastAsia="Calibri"/>
        </w:rPr>
        <w:t xml:space="preserve">An email sent to the ACACIA register, a database of more than 130 consumers, carers and lived experience organisations interested in participation or active involvement in lived experience </w:t>
      </w:r>
      <w:proofErr w:type="gramStart"/>
      <w:r>
        <w:rPr>
          <w:rFonts w:eastAsia="Calibri"/>
        </w:rPr>
        <w:t>research;</w:t>
      </w:r>
      <w:proofErr w:type="gramEnd"/>
    </w:p>
    <w:p w14:paraId="4947E3DF" w14:textId="77777777" w:rsidR="000C775A" w:rsidRDefault="000C775A" w:rsidP="00676685">
      <w:pPr>
        <w:pStyle w:val="ANorm"/>
        <w:numPr>
          <w:ilvl w:val="0"/>
          <w:numId w:val="37"/>
        </w:numPr>
        <w:spacing w:after="240"/>
        <w:rPr>
          <w:rFonts w:eastAsia="Calibri"/>
        </w:rPr>
      </w:pPr>
      <w:r>
        <w:rPr>
          <w:rFonts w:eastAsia="Calibri"/>
        </w:rPr>
        <w:t xml:space="preserve">A post to the ACACIA Facebook page, which was also shared by Lived Experience Australia and several </w:t>
      </w:r>
      <w:proofErr w:type="gramStart"/>
      <w:r>
        <w:rPr>
          <w:rFonts w:eastAsia="Calibri"/>
        </w:rPr>
        <w:t>ACACIA</w:t>
      </w:r>
      <w:proofErr w:type="gramEnd"/>
      <w:r>
        <w:rPr>
          <w:rFonts w:eastAsia="Calibri"/>
        </w:rPr>
        <w:t xml:space="preserve"> members;</w:t>
      </w:r>
    </w:p>
    <w:p w14:paraId="65FDB135" w14:textId="77777777" w:rsidR="000C775A" w:rsidRDefault="000C775A" w:rsidP="00676685">
      <w:pPr>
        <w:pStyle w:val="ANorm"/>
        <w:numPr>
          <w:ilvl w:val="0"/>
          <w:numId w:val="37"/>
        </w:numPr>
        <w:spacing w:after="240"/>
        <w:rPr>
          <w:rFonts w:eastAsia="Calibri"/>
        </w:rPr>
      </w:pPr>
      <w:r>
        <w:rPr>
          <w:rFonts w:eastAsia="Calibri"/>
        </w:rPr>
        <w:lastRenderedPageBreak/>
        <w:t xml:space="preserve">A paid ad through the ACACIA Facebook account, which ran from 10-23 November, targeting all Australians over 16 years of age. The ad reached 21,411 people, had engagement from 243 people and resulted in 99 clicks through to the Expression of Interest </w:t>
      </w:r>
      <w:proofErr w:type="gramStart"/>
      <w:r>
        <w:rPr>
          <w:rFonts w:eastAsia="Calibri"/>
        </w:rPr>
        <w:t>form;</w:t>
      </w:r>
      <w:proofErr w:type="gramEnd"/>
    </w:p>
    <w:p w14:paraId="4A04C2B9" w14:textId="54FC7C4F" w:rsidR="00D80548" w:rsidRPr="005766A0" w:rsidRDefault="000C775A" w:rsidP="00676685">
      <w:pPr>
        <w:pStyle w:val="ANorm"/>
        <w:numPr>
          <w:ilvl w:val="0"/>
          <w:numId w:val="37"/>
        </w:numPr>
        <w:spacing w:after="240"/>
        <w:rPr>
          <w:rFonts w:eastAsia="Calibri"/>
        </w:rPr>
      </w:pPr>
      <w:r>
        <w:rPr>
          <w:rFonts w:eastAsia="Calibri"/>
        </w:rPr>
        <w:t>Tweets from A/Prof Banfield’s account on 10 and 18 November, which were retweeted more than 30 times, including by consumer and researcher networks.</w:t>
      </w:r>
    </w:p>
    <w:p w14:paraId="473DBA11" w14:textId="0FDCA6ED" w:rsidR="000C775A" w:rsidRPr="00132158" w:rsidRDefault="000C775A" w:rsidP="00676685">
      <w:pPr>
        <w:pStyle w:val="ANorm"/>
        <w:spacing w:after="240"/>
        <w:rPr>
          <w:rFonts w:eastAsia="Calibri"/>
        </w:rPr>
      </w:pPr>
      <w:r w:rsidRPr="00132158">
        <w:rPr>
          <w:rFonts w:eastAsia="Calibri"/>
        </w:rPr>
        <w:t xml:space="preserve">People who </w:t>
      </w:r>
      <w:r>
        <w:rPr>
          <w:rFonts w:eastAsia="Calibri"/>
        </w:rPr>
        <w:t>were</w:t>
      </w:r>
      <w:r w:rsidRPr="00132158">
        <w:rPr>
          <w:rFonts w:eastAsia="Calibri"/>
        </w:rPr>
        <w:t xml:space="preserve"> interested in taking part </w:t>
      </w:r>
      <w:r>
        <w:rPr>
          <w:rFonts w:eastAsia="Calibri"/>
        </w:rPr>
        <w:t>clicked</w:t>
      </w:r>
      <w:r w:rsidRPr="00132158">
        <w:rPr>
          <w:rFonts w:eastAsia="Calibri"/>
        </w:rPr>
        <w:t xml:space="preserve"> a link in the ad</w:t>
      </w:r>
      <w:r>
        <w:rPr>
          <w:rFonts w:eastAsia="Calibri"/>
        </w:rPr>
        <w:t>/post</w:t>
      </w:r>
      <w:r w:rsidRPr="00132158">
        <w:rPr>
          <w:rFonts w:eastAsia="Calibri"/>
        </w:rPr>
        <w:t xml:space="preserve"> to complete a brief expression of interest survey on Qualtrics. A member of the research team </w:t>
      </w:r>
      <w:r>
        <w:rPr>
          <w:rFonts w:eastAsia="Calibri"/>
        </w:rPr>
        <w:t>responded by email, providing</w:t>
      </w:r>
      <w:r w:rsidRPr="00132158">
        <w:rPr>
          <w:rFonts w:eastAsia="Calibri"/>
        </w:rPr>
        <w:t xml:space="preserve"> the information sheet and consent form</w:t>
      </w:r>
      <w:r>
        <w:rPr>
          <w:rFonts w:eastAsia="Calibri"/>
        </w:rPr>
        <w:t>,</w:t>
      </w:r>
      <w:r w:rsidRPr="00FD6D53">
        <w:rPr>
          <w:rFonts w:eastAsia="Calibri"/>
        </w:rPr>
        <w:t xml:space="preserve"> </w:t>
      </w:r>
      <w:r>
        <w:rPr>
          <w:rFonts w:eastAsia="Calibri"/>
        </w:rPr>
        <w:t>which also collected demographics and information about knowledge of supported digital mental health services, and the Head to Health Gateway. Consent was requested prior to the group, but for a small number of participants, it was completed at the time of the conversation, prior to the commencement of discussions. A reminder email was sent the week before the conversations containing the Zoom links for the three conversations and a prompt to return the consent form.</w:t>
      </w:r>
    </w:p>
    <w:p w14:paraId="7EAF98D9" w14:textId="4192E520" w:rsidR="000C775A" w:rsidRDefault="000C775A" w:rsidP="00676685">
      <w:pPr>
        <w:pStyle w:val="ANorm"/>
        <w:spacing w:after="240"/>
        <w:rPr>
          <w:rFonts w:eastAsia="Calibri"/>
        </w:rPr>
      </w:pPr>
      <w:r w:rsidRPr="00EB46B1">
        <w:rPr>
          <w:rFonts w:eastAsia="Calibri"/>
        </w:rPr>
        <w:t xml:space="preserve">The community conversations </w:t>
      </w:r>
      <w:r>
        <w:rPr>
          <w:rFonts w:eastAsia="Calibri"/>
        </w:rPr>
        <w:t>ran for</w:t>
      </w:r>
      <w:r w:rsidRPr="00EB46B1">
        <w:rPr>
          <w:rFonts w:eastAsia="Calibri"/>
        </w:rPr>
        <w:t xml:space="preserve"> 2.5 hours including </w:t>
      </w:r>
      <w:proofErr w:type="gramStart"/>
      <w:r w:rsidRPr="00EB46B1">
        <w:rPr>
          <w:rFonts w:eastAsia="Calibri"/>
        </w:rPr>
        <w:t xml:space="preserve">breaks, </w:t>
      </w:r>
      <w:r>
        <w:rPr>
          <w:rFonts w:eastAsia="Calibri"/>
        </w:rPr>
        <w:t>and</w:t>
      </w:r>
      <w:proofErr w:type="gramEnd"/>
      <w:r>
        <w:rPr>
          <w:rFonts w:eastAsia="Calibri"/>
        </w:rPr>
        <w:t xml:space="preserve"> consisted</w:t>
      </w:r>
      <w:r w:rsidRPr="00EB46B1">
        <w:rPr>
          <w:rFonts w:eastAsia="Calibri"/>
        </w:rPr>
        <w:t xml:space="preserve"> of four sessions: three rounds of small group discussions </w:t>
      </w:r>
      <w:r>
        <w:rPr>
          <w:rFonts w:eastAsia="Calibri"/>
        </w:rPr>
        <w:t xml:space="preserve">to discuss strengths, barriers and effectiveness, </w:t>
      </w:r>
      <w:r w:rsidRPr="00EB46B1">
        <w:rPr>
          <w:rFonts w:eastAsia="Calibri"/>
        </w:rPr>
        <w:t>and one final group discussion</w:t>
      </w:r>
      <w:r>
        <w:rPr>
          <w:rFonts w:eastAsia="Calibri"/>
        </w:rPr>
        <w:t xml:space="preserve"> to bring the previous discussions together in optimal features</w:t>
      </w:r>
      <w:r w:rsidRPr="00EB46B1">
        <w:rPr>
          <w:rFonts w:eastAsia="Calibri"/>
        </w:rPr>
        <w:t xml:space="preserve">. </w:t>
      </w:r>
      <w:r>
        <w:rPr>
          <w:rFonts w:eastAsia="Calibri"/>
        </w:rPr>
        <w:t>The full World Cafe method included the creation of s</w:t>
      </w:r>
      <w:r w:rsidRPr="00EB46B1">
        <w:rPr>
          <w:rFonts w:eastAsia="Calibri"/>
        </w:rPr>
        <w:t xml:space="preserve">mall group “tables” using the breakout room feature, with one researcher assigned to each room as facilitator, assisted by an observer/note taker. </w:t>
      </w:r>
      <w:r>
        <w:rPr>
          <w:rFonts w:eastAsia="Calibri"/>
        </w:rPr>
        <w:t>Due to low attendance, only one conversation was run in this way; the other two were conducted as single group discussions for all four questions.</w:t>
      </w:r>
    </w:p>
    <w:p w14:paraId="26AB1A09" w14:textId="02DC9A69" w:rsidR="00653F7B" w:rsidRDefault="009B1F00" w:rsidP="00676685">
      <w:pPr>
        <w:pStyle w:val="ANorm"/>
        <w:spacing w:after="240"/>
        <w:rPr>
          <w:rFonts w:eastAsia="Calibri"/>
        </w:rPr>
      </w:pPr>
      <w:r>
        <w:rPr>
          <w:rFonts w:eastAsia="Calibri"/>
        </w:rPr>
        <w:t>S</w:t>
      </w:r>
      <w:r w:rsidR="000C775A">
        <w:rPr>
          <w:rFonts w:eastAsia="Calibri"/>
        </w:rPr>
        <w:t xml:space="preserve">ome participants were not familiar with supported </w:t>
      </w:r>
      <w:proofErr w:type="gramStart"/>
      <w:r>
        <w:rPr>
          <w:rFonts w:eastAsia="Calibri"/>
        </w:rPr>
        <w:t>DMHSs</w:t>
      </w:r>
      <w:proofErr w:type="gramEnd"/>
      <w:r w:rsidR="000C775A">
        <w:rPr>
          <w:rFonts w:eastAsia="Calibri"/>
        </w:rPr>
        <w:t xml:space="preserve"> and many were unaware of the Head to Health website prior to the community conversations. Facilitators gave a brief overview and examples of supported </w:t>
      </w:r>
      <w:proofErr w:type="gramStart"/>
      <w:r w:rsidR="000C775A">
        <w:rPr>
          <w:rFonts w:eastAsia="Calibri"/>
        </w:rPr>
        <w:t>services, and</w:t>
      </w:r>
      <w:proofErr w:type="gramEnd"/>
      <w:r w:rsidR="000C775A">
        <w:rPr>
          <w:rFonts w:eastAsia="Calibri"/>
        </w:rPr>
        <w:t xml:space="preserve"> demonstrated the Head to Health website to facilitate discussion about strengths and weaknesses, and perceived effectiveness.</w:t>
      </w:r>
    </w:p>
    <w:p w14:paraId="67A4EFD7" w14:textId="29A2D323" w:rsidR="000C775A" w:rsidRPr="00EB46B1" w:rsidRDefault="000C775A" w:rsidP="00676685">
      <w:pPr>
        <w:pStyle w:val="ANorm"/>
        <w:spacing w:after="240"/>
        <w:rPr>
          <w:rFonts w:eastAsia="Calibri"/>
        </w:rPr>
      </w:pPr>
      <w:r>
        <w:rPr>
          <w:rFonts w:eastAsia="Calibri"/>
        </w:rPr>
        <w:t>N</w:t>
      </w:r>
      <w:r w:rsidRPr="00EB46B1">
        <w:rPr>
          <w:rFonts w:eastAsia="Calibri"/>
        </w:rPr>
        <w:t xml:space="preserve">ote takers and participants </w:t>
      </w:r>
      <w:r>
        <w:rPr>
          <w:rFonts w:eastAsia="Calibri"/>
        </w:rPr>
        <w:t>entered</w:t>
      </w:r>
      <w:r w:rsidRPr="00EB46B1">
        <w:rPr>
          <w:rFonts w:eastAsia="Calibri"/>
        </w:rPr>
        <w:t xml:space="preserve"> ideas and issues into the </w:t>
      </w:r>
      <w:proofErr w:type="spellStart"/>
      <w:r w:rsidRPr="00EB46B1">
        <w:rPr>
          <w:rFonts w:eastAsia="Calibri"/>
        </w:rPr>
        <w:t>Slido</w:t>
      </w:r>
      <w:proofErr w:type="spellEnd"/>
      <w:r w:rsidRPr="00EB46B1">
        <w:rPr>
          <w:rFonts w:eastAsia="Calibri"/>
        </w:rPr>
        <w:t xml:space="preserve"> app. </w:t>
      </w:r>
      <w:proofErr w:type="spellStart"/>
      <w:r w:rsidRPr="00EB46B1">
        <w:rPr>
          <w:rFonts w:eastAsia="Calibri"/>
        </w:rPr>
        <w:t>Slido</w:t>
      </w:r>
      <w:proofErr w:type="spellEnd"/>
      <w:r w:rsidRPr="00EB46B1">
        <w:rPr>
          <w:rFonts w:eastAsia="Calibri"/>
        </w:rPr>
        <w:t xml:space="preserve"> is a web-based, interactive Q&amp;A and polling app that encourages participation in virtual events (https://www.sli.do/). There are no downloads or personal information required for participants. They simply follow a link, which </w:t>
      </w:r>
      <w:r>
        <w:rPr>
          <w:rFonts w:eastAsia="Calibri"/>
        </w:rPr>
        <w:t>was</w:t>
      </w:r>
      <w:r w:rsidRPr="00EB46B1">
        <w:rPr>
          <w:rFonts w:eastAsia="Calibri"/>
        </w:rPr>
        <w:t xml:space="preserve"> provided live in the Zoom chat, and enter</w:t>
      </w:r>
      <w:r>
        <w:rPr>
          <w:rFonts w:eastAsia="Calibri"/>
        </w:rPr>
        <w:t>ed</w:t>
      </w:r>
      <w:r w:rsidRPr="00EB46B1">
        <w:rPr>
          <w:rFonts w:eastAsia="Calibri"/>
        </w:rPr>
        <w:t xml:space="preserve"> the unique event ID to access the interactive tools for the community conversation. Participants </w:t>
      </w:r>
      <w:r>
        <w:rPr>
          <w:rFonts w:eastAsia="Calibri"/>
        </w:rPr>
        <w:t>were asked</w:t>
      </w:r>
      <w:r w:rsidRPr="00EB46B1">
        <w:rPr>
          <w:rFonts w:eastAsia="Calibri"/>
        </w:rPr>
        <w:t xml:space="preserve"> to enter words and phrases in response to the questions to create a “word cloud.” </w:t>
      </w:r>
      <w:r>
        <w:rPr>
          <w:rFonts w:eastAsia="Calibri"/>
        </w:rPr>
        <w:t>They were able to</w:t>
      </w:r>
      <w:r w:rsidRPr="00EB46B1">
        <w:rPr>
          <w:rFonts w:eastAsia="Calibri"/>
        </w:rPr>
        <w:t xml:space="preserve"> enter words already present in the cloud to increase their </w:t>
      </w:r>
      <w:proofErr w:type="gramStart"/>
      <w:r w:rsidRPr="00EB46B1">
        <w:rPr>
          <w:rFonts w:eastAsia="Calibri"/>
        </w:rPr>
        <w:t>emphasis, or</w:t>
      </w:r>
      <w:proofErr w:type="gramEnd"/>
      <w:r w:rsidRPr="00EB46B1">
        <w:rPr>
          <w:rFonts w:eastAsia="Calibri"/>
        </w:rPr>
        <w:t xml:space="preserve"> enter further words to expand the cloud. Facilitators encourage</w:t>
      </w:r>
      <w:r>
        <w:rPr>
          <w:rFonts w:eastAsia="Calibri"/>
        </w:rPr>
        <w:t>d</w:t>
      </w:r>
      <w:r w:rsidRPr="00EB46B1">
        <w:rPr>
          <w:rFonts w:eastAsia="Calibri"/>
        </w:rPr>
        <w:t xml:space="preserve"> discussion about topics emerging in response to the emphasis suggested by the cloud at several points in each session.</w:t>
      </w:r>
      <w:r>
        <w:rPr>
          <w:rFonts w:eastAsia="Calibri"/>
        </w:rPr>
        <w:t xml:space="preserve"> A fresh </w:t>
      </w:r>
      <w:proofErr w:type="spellStart"/>
      <w:r>
        <w:rPr>
          <w:rFonts w:eastAsia="Calibri"/>
        </w:rPr>
        <w:t>Slido</w:t>
      </w:r>
      <w:proofErr w:type="spellEnd"/>
      <w:r>
        <w:rPr>
          <w:rFonts w:eastAsia="Calibri"/>
        </w:rPr>
        <w:t xml:space="preserve"> event was created for each of the three community conversations, allowing the groups to develop their own ideas.</w:t>
      </w:r>
    </w:p>
    <w:p w14:paraId="2B920041" w14:textId="4A2727A8" w:rsidR="00F17B34" w:rsidRPr="00EB46B1" w:rsidRDefault="000C775A" w:rsidP="00676685">
      <w:pPr>
        <w:pStyle w:val="ANorm"/>
        <w:spacing w:after="240"/>
        <w:rPr>
          <w:rFonts w:eastAsia="Calibri"/>
        </w:rPr>
      </w:pPr>
      <w:r>
        <w:rPr>
          <w:rFonts w:eastAsia="Calibri"/>
        </w:rPr>
        <w:t>Discussion about each question</w:t>
      </w:r>
      <w:r w:rsidRPr="00EB46B1">
        <w:rPr>
          <w:rFonts w:eastAsia="Calibri"/>
        </w:rPr>
        <w:t xml:space="preserve"> </w:t>
      </w:r>
      <w:r>
        <w:rPr>
          <w:rFonts w:eastAsia="Calibri"/>
        </w:rPr>
        <w:t>lasted</w:t>
      </w:r>
      <w:r w:rsidRPr="00EB46B1">
        <w:rPr>
          <w:rFonts w:eastAsia="Calibri"/>
        </w:rPr>
        <w:t xml:space="preserve"> for 20 minutes. </w:t>
      </w:r>
      <w:r>
        <w:rPr>
          <w:rFonts w:eastAsia="Calibri"/>
        </w:rPr>
        <w:t>In the conversation run using the World Cafe method, w</w:t>
      </w:r>
      <w:r w:rsidRPr="00EB46B1">
        <w:rPr>
          <w:rFonts w:eastAsia="Calibri"/>
        </w:rPr>
        <w:t>hen participants move</w:t>
      </w:r>
      <w:r>
        <w:rPr>
          <w:rFonts w:eastAsia="Calibri"/>
        </w:rPr>
        <w:t>d</w:t>
      </w:r>
      <w:r w:rsidRPr="00EB46B1">
        <w:rPr>
          <w:rFonts w:eastAsia="Calibri"/>
        </w:rPr>
        <w:t xml:space="preserve"> between rooms, the facilitator for that room </w:t>
      </w:r>
      <w:r>
        <w:rPr>
          <w:rFonts w:eastAsia="Calibri"/>
        </w:rPr>
        <w:t>shared</w:t>
      </w:r>
      <w:r w:rsidRPr="00EB46B1">
        <w:rPr>
          <w:rFonts w:eastAsia="Calibri"/>
        </w:rPr>
        <w:t xml:space="preserve"> the word cloud </w:t>
      </w:r>
      <w:r>
        <w:rPr>
          <w:rFonts w:eastAsia="Calibri"/>
        </w:rPr>
        <w:t xml:space="preserve">developed to that </w:t>
      </w:r>
      <w:proofErr w:type="gramStart"/>
      <w:r>
        <w:rPr>
          <w:rFonts w:eastAsia="Calibri"/>
        </w:rPr>
        <w:t>point</w:t>
      </w:r>
      <w:r w:rsidRPr="00EB46B1">
        <w:rPr>
          <w:rFonts w:eastAsia="Calibri"/>
        </w:rPr>
        <w:t>, and</w:t>
      </w:r>
      <w:proofErr w:type="gramEnd"/>
      <w:r w:rsidRPr="00EB46B1">
        <w:rPr>
          <w:rFonts w:eastAsia="Calibri"/>
        </w:rPr>
        <w:t xml:space="preserve"> ask</w:t>
      </w:r>
      <w:r>
        <w:rPr>
          <w:rFonts w:eastAsia="Calibri"/>
        </w:rPr>
        <w:t>ed</w:t>
      </w:r>
      <w:r w:rsidRPr="00EB46B1">
        <w:rPr>
          <w:rFonts w:eastAsia="Calibri"/>
        </w:rPr>
        <w:t xml:space="preserve"> for comments and additions to the question for that room. This allow</w:t>
      </w:r>
      <w:r>
        <w:rPr>
          <w:rFonts w:eastAsia="Calibri"/>
        </w:rPr>
        <w:t>ed</w:t>
      </w:r>
      <w:r w:rsidRPr="00EB46B1">
        <w:rPr>
          <w:rFonts w:eastAsia="Calibri"/>
        </w:rPr>
        <w:t xml:space="preserve"> both reinforcement of key issues already raised and the opportunity to add novel areas in an accessible visual format.</w:t>
      </w:r>
      <w:r>
        <w:rPr>
          <w:rFonts w:eastAsia="Calibri"/>
        </w:rPr>
        <w:t xml:space="preserve"> This was not necessary in the conversations run as single group discussions, as all participants had the opportunity to build the word clouds together at the same time.</w:t>
      </w:r>
    </w:p>
    <w:p w14:paraId="49C81E05" w14:textId="4D7AA268" w:rsidR="000C775A" w:rsidRDefault="000C775A" w:rsidP="00676685">
      <w:pPr>
        <w:pStyle w:val="ANorm"/>
        <w:spacing w:after="240"/>
        <w:rPr>
          <w:rFonts w:eastAsia="Calibri"/>
        </w:rPr>
      </w:pPr>
      <w:r>
        <w:rPr>
          <w:rFonts w:eastAsia="Calibri"/>
        </w:rPr>
        <w:t xml:space="preserve">For the final discussions, the word clouds developed for strengths, barriers and effectiveness were displayed via shared screen to facilitate discussion on the features of an optimal supported digital mental health service. Participants were invited to reflect on their prior discussions and think about how an ideal service would look, </w:t>
      </w:r>
      <w:proofErr w:type="gramStart"/>
      <w:r>
        <w:rPr>
          <w:rFonts w:eastAsia="Calibri"/>
        </w:rPr>
        <w:t>feel</w:t>
      </w:r>
      <w:proofErr w:type="gramEnd"/>
      <w:r>
        <w:rPr>
          <w:rFonts w:eastAsia="Calibri"/>
        </w:rPr>
        <w:t xml:space="preserve"> and act. They were then invited to enter the most and least important features they thought the website should have. </w:t>
      </w:r>
    </w:p>
    <w:p w14:paraId="4C5761F7" w14:textId="19394CEE" w:rsidR="005F4CCC" w:rsidRPr="005766A0" w:rsidRDefault="000C775A" w:rsidP="00676685">
      <w:pPr>
        <w:pStyle w:val="ANorm"/>
        <w:spacing w:after="240"/>
        <w:rPr>
          <w:rFonts w:eastAsia="Calibri"/>
        </w:rPr>
      </w:pPr>
      <w:r>
        <w:rPr>
          <w:rFonts w:eastAsia="Calibri"/>
        </w:rPr>
        <w:t>After the conclusion of the discussion, participants were emailed a $50 e-gift card as a reimbursement for their time.</w:t>
      </w:r>
    </w:p>
    <w:p w14:paraId="1DE721F1" w14:textId="77777777" w:rsidR="00C81545" w:rsidRDefault="00C81545" w:rsidP="00676685">
      <w:pPr>
        <w:pStyle w:val="Heading3"/>
        <w:numPr>
          <w:ilvl w:val="0"/>
          <w:numId w:val="0"/>
        </w:numPr>
        <w:spacing w:after="240"/>
      </w:pPr>
      <w:r>
        <w:br w:type="page"/>
      </w:r>
    </w:p>
    <w:p w14:paraId="4F561E77" w14:textId="2138DF9C" w:rsidR="005F4CCC" w:rsidRPr="00AA6B28" w:rsidRDefault="005F4CCC" w:rsidP="00676685">
      <w:pPr>
        <w:pStyle w:val="Heading3"/>
        <w:numPr>
          <w:ilvl w:val="0"/>
          <w:numId w:val="0"/>
        </w:numPr>
        <w:spacing w:after="240"/>
      </w:pPr>
      <w:r w:rsidRPr="00AA6B28">
        <w:lastRenderedPageBreak/>
        <w:t>Additional health professionals</w:t>
      </w:r>
    </w:p>
    <w:p w14:paraId="07A8F1EA" w14:textId="7D2549C5" w:rsidR="00196E3B" w:rsidRPr="00196E3B" w:rsidRDefault="00196E3B" w:rsidP="00676685">
      <w:pPr>
        <w:spacing w:after="240"/>
        <w:rPr>
          <w:rFonts w:ascii="Calibri" w:hAnsi="Calibri" w:cs="Arial"/>
          <w:color w:val="000000"/>
          <w:sz w:val="21"/>
          <w:szCs w:val="21"/>
          <w:highlight w:val="green"/>
          <w:lang w:eastAsia="zh-CN"/>
        </w:rPr>
      </w:pPr>
      <w:r w:rsidRPr="00196E3B">
        <w:rPr>
          <w:rFonts w:ascii="Calibri" w:hAnsi="Calibri" w:cs="Arial"/>
          <w:color w:val="000000"/>
          <w:sz w:val="21"/>
          <w:szCs w:val="21"/>
          <w:lang w:eastAsia="zh-CN"/>
        </w:rPr>
        <w:t>We consulted with additional health professionals delivering (or referring consumers) to mental health services from December 2021</w:t>
      </w:r>
      <w:r w:rsidR="00F63B36">
        <w:rPr>
          <w:rFonts w:ascii="Calibri" w:hAnsi="Calibri" w:cs="Arial"/>
          <w:color w:val="000000"/>
          <w:sz w:val="21"/>
          <w:szCs w:val="21"/>
          <w:lang w:eastAsia="zh-CN"/>
        </w:rPr>
        <w:t xml:space="preserve"> to</w:t>
      </w:r>
      <w:r w:rsidRPr="00196E3B">
        <w:rPr>
          <w:rFonts w:ascii="Calibri" w:hAnsi="Calibri" w:cs="Arial"/>
          <w:color w:val="000000"/>
          <w:sz w:val="21"/>
          <w:szCs w:val="21"/>
          <w:lang w:eastAsia="zh-CN"/>
        </w:rPr>
        <w:t xml:space="preserve"> April 2022. Professionals were asked whether they have delivered/recommended supported DMHSs to consumers. If so, they were asked which service, why, how and with what effect; if not, they were asked why not. They were also asked about barriers, enablers, and improvements to, and system integration of, this service type.</w:t>
      </w:r>
    </w:p>
    <w:p w14:paraId="775552E7" w14:textId="77777777" w:rsidR="00196E3B" w:rsidRPr="00196E3B" w:rsidRDefault="00196E3B" w:rsidP="00676685">
      <w:pPr>
        <w:spacing w:after="240"/>
        <w:rPr>
          <w:rFonts w:ascii="Calibri" w:hAnsi="Calibri" w:cs="Calibri"/>
          <w:color w:val="000000"/>
          <w:sz w:val="21"/>
          <w:szCs w:val="21"/>
          <w:lang w:val="en-US" w:eastAsia="zh-CN"/>
        </w:rPr>
      </w:pPr>
      <w:r w:rsidRPr="00196E3B">
        <w:rPr>
          <w:rFonts w:ascii="Calibri" w:hAnsi="Calibri" w:cs="Arial"/>
          <w:color w:val="000000"/>
          <w:sz w:val="21"/>
          <w:szCs w:val="21"/>
          <w:lang w:eastAsia="zh-CN"/>
        </w:rPr>
        <w:t>We asked professional associations to act as intermediaries for the recruitment of these professionals. The health profession associations that helped with engaging their members were: Royal Australian College of General Practitioners(RACGP), Royal Australian and New Zealand College of Psychiatrists (RANZCP), Australian Association of Social Workers (AASW), Occupational Therapy Australia (OTA), The Australian College of Mental Health Nurses (ACMHN), The Australian Clinical Psychology Association (ACPA), Institute Clinical Psychologists (ICP), Australian Association of Psychologists inc.(AAPI) and the Australian College of Rural and Remote Medicine (ACRR).</w:t>
      </w:r>
    </w:p>
    <w:p w14:paraId="17A56A64" w14:textId="77777777" w:rsidR="004A09D7" w:rsidRDefault="00196E3B" w:rsidP="00676685">
      <w:pPr>
        <w:spacing w:after="240"/>
        <w:rPr>
          <w:rFonts w:ascii="Calibri" w:hAnsi="Calibri" w:cs="Arial"/>
          <w:color w:val="000000"/>
          <w:sz w:val="21"/>
          <w:szCs w:val="21"/>
          <w:lang w:eastAsia="zh-CN"/>
        </w:rPr>
      </w:pPr>
      <w:r w:rsidRPr="00196E3B">
        <w:rPr>
          <w:rFonts w:ascii="Calibri" w:hAnsi="Calibri" w:cs="Arial"/>
          <w:color w:val="000000"/>
          <w:sz w:val="21"/>
          <w:szCs w:val="21"/>
          <w:lang w:eastAsia="zh-CN"/>
        </w:rPr>
        <w:t>The survey was advertised on 8 December 2021 via the ACMHN’s newsletter, College Connections (approximately 2,600 readers) with a follow-up post on social media in January</w:t>
      </w:r>
      <w:r w:rsidR="00865DD3">
        <w:rPr>
          <w:rFonts w:ascii="Calibri" w:hAnsi="Calibri" w:cs="Arial"/>
          <w:color w:val="000000"/>
          <w:sz w:val="21"/>
          <w:szCs w:val="21"/>
          <w:lang w:eastAsia="zh-CN"/>
        </w:rPr>
        <w:t xml:space="preserve"> 2022</w:t>
      </w:r>
      <w:r w:rsidRPr="00196E3B">
        <w:rPr>
          <w:rFonts w:ascii="Calibri" w:hAnsi="Calibri" w:cs="Arial"/>
          <w:color w:val="000000"/>
          <w:sz w:val="21"/>
          <w:szCs w:val="21"/>
          <w:lang w:eastAsia="zh-CN"/>
        </w:rPr>
        <w:t xml:space="preserve">. The AASW’s website advertised the survey on 8 December 2021 with a follow-up notice on social media in January </w:t>
      </w:r>
      <w:r w:rsidR="003F1C45">
        <w:rPr>
          <w:rFonts w:ascii="Calibri" w:hAnsi="Calibri" w:cs="Arial"/>
          <w:color w:val="000000"/>
          <w:sz w:val="21"/>
          <w:szCs w:val="21"/>
          <w:lang w:eastAsia="zh-CN"/>
        </w:rPr>
        <w:t xml:space="preserve">2022 </w:t>
      </w:r>
      <w:r w:rsidRPr="00196E3B">
        <w:rPr>
          <w:rFonts w:ascii="Calibri" w:hAnsi="Calibri" w:cs="Arial"/>
          <w:color w:val="000000"/>
          <w:sz w:val="21"/>
          <w:szCs w:val="21"/>
          <w:lang w:eastAsia="zh-CN"/>
        </w:rPr>
        <w:t xml:space="preserve">(&gt; 15,000 members). The RANZCP featured a notice about the survey in their January </w:t>
      </w:r>
      <w:r w:rsidR="003F1C45">
        <w:rPr>
          <w:rFonts w:ascii="Calibri" w:hAnsi="Calibri" w:cs="Arial"/>
          <w:color w:val="000000"/>
          <w:sz w:val="21"/>
          <w:szCs w:val="21"/>
          <w:lang w:eastAsia="zh-CN"/>
        </w:rPr>
        <w:t xml:space="preserve">2022 </w:t>
      </w:r>
      <w:r w:rsidRPr="00196E3B">
        <w:rPr>
          <w:rFonts w:ascii="Calibri" w:hAnsi="Calibri" w:cs="Arial"/>
          <w:color w:val="000000"/>
          <w:sz w:val="21"/>
          <w:szCs w:val="21"/>
          <w:lang w:eastAsia="zh-CN"/>
        </w:rPr>
        <w:t xml:space="preserve">newsletter with a follow-up notice in the 28 February </w:t>
      </w:r>
      <w:r w:rsidR="003F1C45">
        <w:rPr>
          <w:rFonts w:ascii="Calibri" w:hAnsi="Calibri" w:cs="Arial"/>
          <w:color w:val="000000"/>
          <w:sz w:val="21"/>
          <w:szCs w:val="21"/>
          <w:lang w:eastAsia="zh-CN"/>
        </w:rPr>
        <w:t xml:space="preserve">2022 </w:t>
      </w:r>
      <w:r w:rsidRPr="00196E3B">
        <w:rPr>
          <w:rFonts w:ascii="Calibri" w:hAnsi="Calibri" w:cs="Arial"/>
          <w:color w:val="000000"/>
          <w:sz w:val="21"/>
          <w:szCs w:val="21"/>
          <w:lang w:eastAsia="zh-CN"/>
        </w:rPr>
        <w:t xml:space="preserve">edition of their newsletter (approximately 5,200 Australian members). OTA advertised the survey in their 25 January </w:t>
      </w:r>
      <w:r w:rsidR="003F1C45">
        <w:rPr>
          <w:rFonts w:ascii="Calibri" w:hAnsi="Calibri" w:cs="Arial"/>
          <w:color w:val="000000"/>
          <w:sz w:val="21"/>
          <w:szCs w:val="21"/>
          <w:lang w:eastAsia="zh-CN"/>
        </w:rPr>
        <w:t xml:space="preserve">2022 </w:t>
      </w:r>
      <w:r w:rsidRPr="00196E3B">
        <w:rPr>
          <w:rFonts w:ascii="Calibri" w:hAnsi="Calibri" w:cs="Arial"/>
          <w:color w:val="000000"/>
          <w:sz w:val="21"/>
          <w:szCs w:val="21"/>
          <w:lang w:eastAsia="zh-CN"/>
        </w:rPr>
        <w:t xml:space="preserve">newsletter (&gt; 11,000 members). RACGP sent out an email notice to the members of the </w:t>
      </w:r>
      <w:r w:rsidRPr="00196E3B">
        <w:rPr>
          <w:rFonts w:ascii="Calibri" w:hAnsi="Calibri" w:cs="Calibri"/>
          <w:color w:val="000000"/>
          <w:sz w:val="21"/>
          <w:szCs w:val="21"/>
          <w:lang w:eastAsia="zh-CN"/>
        </w:rPr>
        <w:t>Psychological Medicine Specific Group (n=859) on 14 February</w:t>
      </w:r>
      <w:r w:rsidR="00390410">
        <w:rPr>
          <w:rFonts w:ascii="Calibri" w:hAnsi="Calibri" w:cs="Calibri"/>
          <w:color w:val="000000"/>
          <w:sz w:val="21"/>
          <w:szCs w:val="21"/>
          <w:lang w:eastAsia="zh-CN"/>
        </w:rPr>
        <w:t xml:space="preserve"> 2022</w:t>
      </w:r>
      <w:r w:rsidRPr="00196E3B">
        <w:rPr>
          <w:rFonts w:ascii="Calibri" w:hAnsi="Calibri" w:cs="Calibri"/>
          <w:color w:val="000000"/>
          <w:sz w:val="21"/>
          <w:szCs w:val="21"/>
          <w:lang w:eastAsia="zh-CN"/>
        </w:rPr>
        <w:t>.</w:t>
      </w:r>
      <w:r w:rsidRPr="00196E3B">
        <w:rPr>
          <w:rFonts w:ascii="Calibri" w:hAnsi="Calibri" w:cs="Calibri"/>
          <w:color w:val="000000"/>
          <w:sz w:val="22"/>
          <w:szCs w:val="22"/>
          <w:lang w:eastAsia="zh-CN"/>
        </w:rPr>
        <w:t xml:space="preserve"> </w:t>
      </w:r>
      <w:r w:rsidRPr="00196E3B">
        <w:rPr>
          <w:rFonts w:ascii="Calibri" w:hAnsi="Calibri" w:cs="Arial"/>
          <w:color w:val="000000"/>
          <w:sz w:val="21"/>
          <w:szCs w:val="21"/>
          <w:lang w:eastAsia="zh-CN"/>
        </w:rPr>
        <w:t xml:space="preserve">ACPA included notice of the survey in their 11 March </w:t>
      </w:r>
      <w:r w:rsidR="00390410">
        <w:rPr>
          <w:rFonts w:ascii="Calibri" w:hAnsi="Calibri" w:cs="Arial"/>
          <w:color w:val="000000"/>
          <w:sz w:val="21"/>
          <w:szCs w:val="21"/>
          <w:lang w:eastAsia="zh-CN"/>
        </w:rPr>
        <w:t xml:space="preserve">2022 </w:t>
      </w:r>
      <w:r w:rsidRPr="00196E3B">
        <w:rPr>
          <w:rFonts w:ascii="Calibri" w:hAnsi="Calibri" w:cs="Arial"/>
          <w:color w:val="000000"/>
          <w:sz w:val="21"/>
          <w:szCs w:val="21"/>
          <w:lang w:eastAsia="zh-CN"/>
        </w:rPr>
        <w:t>newsletter; they currently have over 3,000 members. ICP distributed the survey on 14 April</w:t>
      </w:r>
      <w:r w:rsidR="00390410">
        <w:rPr>
          <w:rFonts w:ascii="Calibri" w:hAnsi="Calibri" w:cs="Arial"/>
          <w:color w:val="000000"/>
          <w:sz w:val="21"/>
          <w:szCs w:val="21"/>
          <w:lang w:eastAsia="zh-CN"/>
        </w:rPr>
        <w:t xml:space="preserve"> 2022</w:t>
      </w:r>
      <w:r w:rsidRPr="00196E3B">
        <w:rPr>
          <w:rFonts w:ascii="Calibri" w:hAnsi="Calibri" w:cs="Arial"/>
          <w:color w:val="000000"/>
          <w:sz w:val="21"/>
          <w:szCs w:val="21"/>
          <w:lang w:eastAsia="zh-CN"/>
        </w:rPr>
        <w:t xml:space="preserve"> to approximately 200 psychologists via a newsletter. ACRR included a notice about the survey in their 24 March newsletter; they have a membership of 32,000 and expected 34% to view the notice. AAPI shared a notice about the survey with their members on 8 March and again the following week. </w:t>
      </w:r>
    </w:p>
    <w:p w14:paraId="1F5A7144" w14:textId="26A15E25" w:rsidR="00196E3B" w:rsidRPr="00196E3B" w:rsidRDefault="00196E3B" w:rsidP="00676685">
      <w:pPr>
        <w:spacing w:after="240"/>
        <w:rPr>
          <w:rFonts w:ascii="Calibri" w:hAnsi="Calibri" w:cs="Arial"/>
          <w:color w:val="000000"/>
          <w:sz w:val="21"/>
          <w:szCs w:val="21"/>
          <w:lang w:eastAsia="zh-CN"/>
        </w:rPr>
      </w:pPr>
      <w:r w:rsidRPr="00196E3B">
        <w:rPr>
          <w:rFonts w:ascii="Calibri" w:hAnsi="Calibri" w:cs="Arial"/>
          <w:color w:val="000000"/>
          <w:sz w:val="21"/>
          <w:szCs w:val="21"/>
          <w:lang w:eastAsia="zh-CN"/>
        </w:rPr>
        <w:t>The Australian Psychological Society (APS) opted to provide an organisational perspective instead of circulating the evaluation survey to individual members (as described below under Other key stakeholders).</w:t>
      </w:r>
    </w:p>
    <w:p w14:paraId="6BB7EF3A" w14:textId="77777777" w:rsidR="00196E3B" w:rsidRPr="00196E3B" w:rsidRDefault="00196E3B" w:rsidP="00676685">
      <w:pPr>
        <w:spacing w:after="240"/>
        <w:rPr>
          <w:rFonts w:ascii="Calibri" w:hAnsi="Calibri" w:cs="Arial"/>
          <w:color w:val="000000"/>
          <w:sz w:val="21"/>
          <w:szCs w:val="21"/>
          <w:lang w:eastAsia="zh-CN"/>
        </w:rPr>
      </w:pPr>
      <w:r w:rsidRPr="00196E3B">
        <w:rPr>
          <w:rFonts w:ascii="Calibri" w:hAnsi="Calibri" w:cs="Arial"/>
          <w:color w:val="000000"/>
          <w:sz w:val="21"/>
          <w:szCs w:val="21"/>
          <w:lang w:eastAsia="zh-CN"/>
        </w:rPr>
        <w:t>From 8 December 2021 to 2 May 2022, 141 people consented to participating in the survey. Of these 141, 47 completed less than 35% of the questions and were excluded from the analysis. This led to a sample of 94 respondents.</w:t>
      </w:r>
    </w:p>
    <w:p w14:paraId="54D74F0B" w14:textId="63B81A88" w:rsidR="003F5AEF" w:rsidRPr="00AA6B28" w:rsidRDefault="00F53231" w:rsidP="00676685">
      <w:pPr>
        <w:pStyle w:val="Heading3"/>
        <w:numPr>
          <w:ilvl w:val="0"/>
          <w:numId w:val="0"/>
        </w:numPr>
        <w:spacing w:after="240"/>
      </w:pPr>
      <w:r>
        <w:t>Other key</w:t>
      </w:r>
      <w:r w:rsidR="003F5AEF" w:rsidRPr="00AA6B28">
        <w:t xml:space="preserve"> stakeholders</w:t>
      </w:r>
    </w:p>
    <w:p w14:paraId="1DF7CE7C" w14:textId="7AE17DF7" w:rsidR="003C70DE" w:rsidRPr="003C70DE" w:rsidRDefault="003C70DE" w:rsidP="00676685">
      <w:pPr>
        <w:spacing w:after="240"/>
        <w:rPr>
          <w:rFonts w:ascii="Calibri" w:hAnsi="Calibri" w:cs="Arial"/>
          <w:color w:val="000000" w:themeColor="text1"/>
          <w:sz w:val="21"/>
          <w:szCs w:val="21"/>
          <w:lang w:eastAsia="zh-CN"/>
        </w:rPr>
      </w:pPr>
      <w:bookmarkStart w:id="323" w:name="_Toc80955607"/>
      <w:r w:rsidRPr="003C70DE">
        <w:rPr>
          <w:rFonts w:ascii="Calibri" w:hAnsi="Calibri" w:cs="Arial"/>
          <w:color w:val="000000" w:themeColor="text1"/>
          <w:sz w:val="21"/>
          <w:szCs w:val="21"/>
          <w:lang w:eastAsia="zh-CN"/>
        </w:rPr>
        <w:t xml:space="preserve">From 7 December 2021, we approached 94 individuals from 53 organisations to participate in either a survey or interview. Individuals/organisations were approached via email and phone. Those that did not respond were contacted at least 3 times before recruitment efforts ceased. </w:t>
      </w:r>
      <w:r w:rsidRPr="003C70DE">
        <w:rPr>
          <w:rFonts w:ascii="Calibri" w:hAnsi="Calibri" w:cs="Calibri"/>
          <w:color w:val="000000"/>
          <w:sz w:val="21"/>
          <w:szCs w:val="21"/>
          <w:lang w:eastAsia="zh-CN"/>
        </w:rPr>
        <w:t>Our original list of mental health organisations and peak bodies was enhanced with recommendations from the Department, the three services involved in the supported DMHS evaluation (</w:t>
      </w:r>
      <w:proofErr w:type="spellStart"/>
      <w:r w:rsidRPr="003C70DE">
        <w:rPr>
          <w:rFonts w:ascii="Calibri" w:hAnsi="Calibri" w:cs="Calibri"/>
          <w:color w:val="000000"/>
          <w:sz w:val="21"/>
          <w:szCs w:val="21"/>
          <w:lang w:eastAsia="zh-CN"/>
        </w:rPr>
        <w:t>MindSpot</w:t>
      </w:r>
      <w:proofErr w:type="spellEnd"/>
      <w:r w:rsidRPr="003C70DE">
        <w:rPr>
          <w:rFonts w:ascii="Calibri" w:hAnsi="Calibri" w:cs="Calibri"/>
          <w:color w:val="000000"/>
          <w:sz w:val="21"/>
          <w:szCs w:val="21"/>
          <w:lang w:eastAsia="zh-CN"/>
        </w:rPr>
        <w:t xml:space="preserve">, THIS WAY UP and Mental Health Online), as well as recommendations from representatives of organisations that were contacted. Some contacted representatives held positions within multiple organisations and some organisations chose more than one representative to participate. </w:t>
      </w:r>
      <w:r w:rsidRPr="003C70DE">
        <w:rPr>
          <w:rFonts w:ascii="Calibri" w:hAnsi="Calibri" w:cs="Arial"/>
          <w:color w:val="000000" w:themeColor="text1"/>
          <w:sz w:val="21"/>
          <w:szCs w:val="21"/>
          <w:lang w:eastAsia="zh-CN"/>
        </w:rPr>
        <w:t>A small number declined due to being too busy (2 academics).</w:t>
      </w:r>
    </w:p>
    <w:p w14:paraId="46B931EE" w14:textId="77777777" w:rsidR="003C70DE" w:rsidRPr="003C70DE" w:rsidRDefault="003C70DE" w:rsidP="00676685">
      <w:pPr>
        <w:spacing w:after="240"/>
        <w:rPr>
          <w:rFonts w:ascii="Calibri" w:hAnsi="Calibri" w:cs="Arial"/>
          <w:color w:val="000000" w:themeColor="text1"/>
          <w:sz w:val="21"/>
          <w:szCs w:val="21"/>
          <w:lang w:eastAsia="zh-CN"/>
        </w:rPr>
      </w:pPr>
      <w:r w:rsidRPr="003C70DE">
        <w:rPr>
          <w:rFonts w:ascii="Calibri" w:hAnsi="Calibri" w:cs="Arial"/>
          <w:color w:val="000000" w:themeColor="text1"/>
          <w:sz w:val="21"/>
          <w:szCs w:val="21"/>
          <w:lang w:eastAsia="zh-CN"/>
        </w:rPr>
        <w:t>The list of organisations that were approached included:</w:t>
      </w:r>
    </w:p>
    <w:p w14:paraId="49BD4ADB" w14:textId="77777777" w:rsidR="003C70DE" w:rsidRPr="003C70DE" w:rsidRDefault="003C70DE" w:rsidP="00676685">
      <w:pPr>
        <w:numPr>
          <w:ilvl w:val="0"/>
          <w:numId w:val="39"/>
        </w:numPr>
        <w:spacing w:after="240" w:line="259" w:lineRule="auto"/>
        <w:rPr>
          <w:rFonts w:ascii="Calibri" w:hAnsi="Calibri" w:cs="Calibri"/>
          <w:color w:val="000000"/>
          <w:sz w:val="21"/>
          <w:szCs w:val="21"/>
          <w:lang w:val="fr-FR" w:eastAsia="zh-CN"/>
        </w:rPr>
      </w:pPr>
      <w:proofErr w:type="spellStart"/>
      <w:r w:rsidRPr="003C70DE">
        <w:rPr>
          <w:rFonts w:ascii="Calibri" w:hAnsi="Calibri" w:cs="Calibri"/>
          <w:color w:val="000000"/>
          <w:sz w:val="21"/>
          <w:szCs w:val="21"/>
          <w:lang w:val="fr-FR" w:eastAsia="zh-CN"/>
        </w:rPr>
        <w:t>Australian</w:t>
      </w:r>
      <w:proofErr w:type="spellEnd"/>
      <w:r w:rsidRPr="003C70DE">
        <w:rPr>
          <w:rFonts w:ascii="Calibri" w:hAnsi="Calibri" w:cs="Calibri"/>
          <w:color w:val="000000"/>
          <w:sz w:val="21"/>
          <w:szCs w:val="21"/>
          <w:lang w:val="fr-FR" w:eastAsia="zh-CN"/>
        </w:rPr>
        <w:t xml:space="preserve"> </w:t>
      </w:r>
      <w:proofErr w:type="spellStart"/>
      <w:r w:rsidRPr="003C70DE">
        <w:rPr>
          <w:rFonts w:ascii="Calibri" w:hAnsi="Calibri" w:cs="Calibri"/>
          <w:color w:val="000000"/>
          <w:sz w:val="21"/>
          <w:szCs w:val="21"/>
          <w:lang w:val="fr-FR" w:eastAsia="zh-CN"/>
        </w:rPr>
        <w:t>Indigenous</w:t>
      </w:r>
      <w:proofErr w:type="spellEnd"/>
      <w:r w:rsidRPr="003C70DE">
        <w:rPr>
          <w:rFonts w:ascii="Calibri" w:hAnsi="Calibri" w:cs="Calibri"/>
          <w:color w:val="000000"/>
          <w:sz w:val="21"/>
          <w:szCs w:val="21"/>
          <w:lang w:val="fr-FR" w:eastAsia="zh-CN"/>
        </w:rPr>
        <w:t xml:space="preserve"> </w:t>
      </w:r>
      <w:proofErr w:type="spellStart"/>
      <w:r w:rsidRPr="003C70DE">
        <w:rPr>
          <w:rFonts w:ascii="Calibri" w:hAnsi="Calibri" w:cs="Calibri"/>
          <w:color w:val="000000"/>
          <w:sz w:val="21"/>
          <w:szCs w:val="21"/>
          <w:lang w:val="fr-FR" w:eastAsia="zh-CN"/>
        </w:rPr>
        <w:t>Psychologists</w:t>
      </w:r>
      <w:proofErr w:type="spellEnd"/>
      <w:r w:rsidRPr="003C70DE">
        <w:rPr>
          <w:rFonts w:ascii="Calibri" w:hAnsi="Calibri" w:cs="Calibri"/>
          <w:color w:val="000000"/>
          <w:sz w:val="21"/>
          <w:szCs w:val="21"/>
          <w:lang w:val="fr-FR" w:eastAsia="zh-CN"/>
        </w:rPr>
        <w:t xml:space="preserve"> Association (AIPA)</w:t>
      </w:r>
    </w:p>
    <w:p w14:paraId="7DED93C3"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Australian Psychological Society (APS)</w:t>
      </w:r>
    </w:p>
    <w:p w14:paraId="1E4AA8BC"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proofErr w:type="spellStart"/>
      <w:r w:rsidRPr="003C70DE">
        <w:rPr>
          <w:rFonts w:ascii="Calibri" w:hAnsi="Calibri" w:cs="Calibri"/>
          <w:color w:val="000000"/>
          <w:sz w:val="21"/>
          <w:szCs w:val="21"/>
          <w:lang w:eastAsia="zh-CN"/>
        </w:rPr>
        <w:t>BeyondBlue</w:t>
      </w:r>
      <w:proofErr w:type="spellEnd"/>
    </w:p>
    <w:p w14:paraId="313808BE"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Black Dog</w:t>
      </w:r>
    </w:p>
    <w:p w14:paraId="4DB42FB3"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lastRenderedPageBreak/>
        <w:t>Butterfly Foundation</w:t>
      </w:r>
    </w:p>
    <w:p w14:paraId="1496B53B"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Carer Lived Experience Workforce Network/Tandem</w:t>
      </w:r>
    </w:p>
    <w:p w14:paraId="74B34BAF"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Department of Health/Head to Health</w:t>
      </w:r>
    </w:p>
    <w:p w14:paraId="1D6B5BB5"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proofErr w:type="spellStart"/>
      <w:r w:rsidRPr="003C70DE">
        <w:rPr>
          <w:rFonts w:ascii="Calibri" w:hAnsi="Calibri" w:cs="Calibri"/>
          <w:color w:val="000000"/>
          <w:sz w:val="21"/>
          <w:szCs w:val="21"/>
          <w:lang w:eastAsia="zh-CN"/>
        </w:rPr>
        <w:t>eMental</w:t>
      </w:r>
      <w:proofErr w:type="spellEnd"/>
      <w:r w:rsidRPr="003C70DE">
        <w:rPr>
          <w:rFonts w:ascii="Calibri" w:hAnsi="Calibri" w:cs="Calibri"/>
          <w:color w:val="000000"/>
          <w:sz w:val="21"/>
          <w:szCs w:val="21"/>
          <w:lang w:eastAsia="zh-CN"/>
        </w:rPr>
        <w:t xml:space="preserve"> Health International Collaborative, New Zealand</w:t>
      </w:r>
    </w:p>
    <w:p w14:paraId="3AA9EE38"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proofErr w:type="spellStart"/>
      <w:r w:rsidRPr="003C70DE">
        <w:rPr>
          <w:rFonts w:ascii="Calibri" w:hAnsi="Calibri" w:cs="Calibri"/>
          <w:color w:val="000000"/>
          <w:sz w:val="21"/>
          <w:szCs w:val="21"/>
          <w:lang w:eastAsia="zh-CN"/>
        </w:rPr>
        <w:t>eMental</w:t>
      </w:r>
      <w:proofErr w:type="spellEnd"/>
      <w:r w:rsidRPr="003C70DE">
        <w:rPr>
          <w:rFonts w:ascii="Calibri" w:hAnsi="Calibri" w:cs="Calibri"/>
          <w:color w:val="000000"/>
          <w:sz w:val="21"/>
          <w:szCs w:val="21"/>
          <w:lang w:eastAsia="zh-CN"/>
        </w:rPr>
        <w:t xml:space="preserve"> Health in Practice (</w:t>
      </w:r>
      <w:proofErr w:type="spellStart"/>
      <w:r w:rsidRPr="003C70DE">
        <w:rPr>
          <w:rFonts w:ascii="Calibri" w:hAnsi="Calibri" w:cs="Calibri"/>
          <w:color w:val="000000"/>
          <w:sz w:val="21"/>
          <w:szCs w:val="21"/>
          <w:lang w:eastAsia="zh-CN"/>
        </w:rPr>
        <w:t>eMHPrac</w:t>
      </w:r>
      <w:proofErr w:type="spellEnd"/>
      <w:r w:rsidRPr="003C70DE">
        <w:rPr>
          <w:rFonts w:ascii="Calibri" w:hAnsi="Calibri" w:cs="Calibri"/>
          <w:color w:val="000000"/>
          <w:sz w:val="21"/>
          <w:szCs w:val="21"/>
          <w:lang w:eastAsia="zh-CN"/>
        </w:rPr>
        <w:t>)</w:t>
      </w:r>
    </w:p>
    <w:p w14:paraId="2424AE6A"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proofErr w:type="spellStart"/>
      <w:r w:rsidRPr="003C70DE">
        <w:rPr>
          <w:rFonts w:ascii="Calibri" w:hAnsi="Calibri" w:cs="Calibri"/>
          <w:color w:val="000000"/>
          <w:sz w:val="21"/>
          <w:szCs w:val="21"/>
          <w:lang w:eastAsia="zh-CN"/>
        </w:rPr>
        <w:t>Gayaa</w:t>
      </w:r>
      <w:proofErr w:type="spellEnd"/>
      <w:r w:rsidRPr="003C70DE">
        <w:rPr>
          <w:rFonts w:ascii="Calibri" w:hAnsi="Calibri" w:cs="Calibri"/>
          <w:color w:val="000000"/>
          <w:sz w:val="21"/>
          <w:szCs w:val="21"/>
          <w:lang w:eastAsia="zh-CN"/>
        </w:rPr>
        <w:t xml:space="preserve"> </w:t>
      </w:r>
      <w:proofErr w:type="spellStart"/>
      <w:r w:rsidRPr="003C70DE">
        <w:rPr>
          <w:rFonts w:ascii="Calibri" w:hAnsi="Calibri" w:cs="Calibri"/>
          <w:color w:val="000000"/>
          <w:sz w:val="21"/>
          <w:szCs w:val="21"/>
          <w:lang w:eastAsia="zh-CN"/>
        </w:rPr>
        <w:t>Dhuwi</w:t>
      </w:r>
      <w:proofErr w:type="spellEnd"/>
      <w:r w:rsidRPr="003C70DE">
        <w:rPr>
          <w:rFonts w:ascii="Calibri" w:hAnsi="Calibri" w:cs="Calibri"/>
          <w:color w:val="000000"/>
          <w:sz w:val="21"/>
          <w:szCs w:val="21"/>
          <w:lang w:eastAsia="zh-CN"/>
        </w:rPr>
        <w:t xml:space="preserve"> (Proud Spirit) Australia</w:t>
      </w:r>
    </w:p>
    <w:p w14:paraId="2E43EAB5"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Headspace</w:t>
      </w:r>
    </w:p>
    <w:p w14:paraId="7E8FDF31"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Helping Minds WA</w:t>
      </w:r>
    </w:p>
    <w:p w14:paraId="707258E7"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Indigenous Allied Health Australia</w:t>
      </w:r>
    </w:p>
    <w:p w14:paraId="6DC98ABB"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Lifeline</w:t>
      </w:r>
    </w:p>
    <w:p w14:paraId="67DC08AA"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Liquid/Speedwell</w:t>
      </w:r>
    </w:p>
    <w:p w14:paraId="7F454EC6"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Lived Experience Australia</w:t>
      </w:r>
    </w:p>
    <w:p w14:paraId="20EC0D26"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Mental Health Association of Central Australia</w:t>
      </w:r>
    </w:p>
    <w:p w14:paraId="1AC1312A"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Mental Health Australia</w:t>
      </w:r>
    </w:p>
    <w:p w14:paraId="0087E13E"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Mental Health Carers Australia, VIC</w:t>
      </w:r>
    </w:p>
    <w:p w14:paraId="77D8B7D9"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Mental Health Carers NSW</w:t>
      </w:r>
    </w:p>
    <w:p w14:paraId="5012061B"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Mental Health Families &amp; Friends Tasmania</w:t>
      </w:r>
    </w:p>
    <w:p w14:paraId="5E810C01"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Mental Health Online</w:t>
      </w:r>
    </w:p>
    <w:p w14:paraId="17B6662C"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Mental Illness Fellowship of Australia (NT)</w:t>
      </w:r>
    </w:p>
    <w:p w14:paraId="4B7A575D"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Mental Wheels Foundation</w:t>
      </w:r>
    </w:p>
    <w:p w14:paraId="2F765929"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proofErr w:type="spellStart"/>
      <w:r w:rsidRPr="003C70DE">
        <w:rPr>
          <w:rFonts w:ascii="Calibri" w:hAnsi="Calibri" w:cs="Calibri"/>
          <w:color w:val="000000"/>
          <w:sz w:val="21"/>
          <w:szCs w:val="21"/>
          <w:lang w:eastAsia="zh-CN"/>
        </w:rPr>
        <w:t>MH@Work</w:t>
      </w:r>
      <w:proofErr w:type="spellEnd"/>
    </w:p>
    <w:p w14:paraId="6A475395"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Mind Australia, Vic</w:t>
      </w:r>
    </w:p>
    <w:p w14:paraId="4D5E653A"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proofErr w:type="spellStart"/>
      <w:r w:rsidRPr="003C70DE">
        <w:rPr>
          <w:rFonts w:ascii="Calibri" w:hAnsi="Calibri" w:cs="Calibri"/>
          <w:color w:val="000000"/>
          <w:sz w:val="21"/>
          <w:szCs w:val="21"/>
          <w:lang w:eastAsia="zh-CN"/>
        </w:rPr>
        <w:t>MindSpot</w:t>
      </w:r>
      <w:proofErr w:type="spellEnd"/>
    </w:p>
    <w:p w14:paraId="395E43B4"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National Mental Health Commission</w:t>
      </w:r>
    </w:p>
    <w:p w14:paraId="70581DDD"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proofErr w:type="spellStart"/>
      <w:r w:rsidRPr="003C70DE">
        <w:rPr>
          <w:rFonts w:ascii="Calibri" w:hAnsi="Calibri" w:cs="Calibri"/>
          <w:color w:val="000000"/>
          <w:sz w:val="21"/>
          <w:szCs w:val="21"/>
          <w:lang w:eastAsia="zh-CN"/>
        </w:rPr>
        <w:t>Orygen</w:t>
      </w:r>
      <w:proofErr w:type="spellEnd"/>
      <w:r w:rsidRPr="003C70DE">
        <w:rPr>
          <w:rFonts w:ascii="Calibri" w:hAnsi="Calibri" w:cs="Calibri"/>
          <w:color w:val="000000"/>
          <w:sz w:val="21"/>
          <w:szCs w:val="21"/>
          <w:lang w:eastAsia="zh-CN"/>
        </w:rPr>
        <w:t xml:space="preserve"> Digital</w:t>
      </w:r>
    </w:p>
    <w:p w14:paraId="7F7EA071"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 xml:space="preserve">PHNs (Brisbane South PHN, Central and Eastern Sydney PHN, Country SA PHN, Northern Territory PHN, Primary Health Tasmania, </w:t>
      </w:r>
      <w:proofErr w:type="gramStart"/>
      <w:r w:rsidRPr="003C70DE">
        <w:rPr>
          <w:rFonts w:ascii="Calibri" w:hAnsi="Calibri" w:cs="Calibri"/>
          <w:color w:val="000000"/>
          <w:sz w:val="21"/>
          <w:szCs w:val="21"/>
          <w:lang w:eastAsia="zh-CN"/>
        </w:rPr>
        <w:t>South Eastern</w:t>
      </w:r>
      <w:proofErr w:type="gramEnd"/>
      <w:r w:rsidRPr="003C70DE">
        <w:rPr>
          <w:rFonts w:ascii="Calibri" w:hAnsi="Calibri" w:cs="Calibri"/>
          <w:color w:val="000000"/>
          <w:sz w:val="21"/>
          <w:szCs w:val="21"/>
          <w:lang w:eastAsia="zh-CN"/>
        </w:rPr>
        <w:t xml:space="preserve"> Melbourne PHN, WA PHN)</w:t>
      </w:r>
    </w:p>
    <w:p w14:paraId="37DE0450"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proofErr w:type="spellStart"/>
      <w:r w:rsidRPr="003C70DE">
        <w:rPr>
          <w:rFonts w:ascii="Calibri" w:hAnsi="Calibri" w:cs="Calibri"/>
          <w:color w:val="000000"/>
          <w:sz w:val="21"/>
          <w:szCs w:val="21"/>
          <w:lang w:eastAsia="zh-CN"/>
        </w:rPr>
        <w:lastRenderedPageBreak/>
        <w:t>ReachOut</w:t>
      </w:r>
      <w:proofErr w:type="spellEnd"/>
    </w:p>
    <w:p w14:paraId="5B58553E"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SANE</w:t>
      </w:r>
    </w:p>
    <w:p w14:paraId="66CAFFBE"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Selected academics and international experts</w:t>
      </w:r>
    </w:p>
    <w:p w14:paraId="14C1FC29"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Smiling Mind</w:t>
      </w:r>
    </w:p>
    <w:p w14:paraId="70F36617"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The Aboriginal and Torres Strait Islander Lived Experience Centre</w:t>
      </w:r>
    </w:p>
    <w:p w14:paraId="44A07F36" w14:textId="77777777" w:rsidR="003C70DE" w:rsidRPr="003C70DE" w:rsidRDefault="003C70DE" w:rsidP="00676685">
      <w:pPr>
        <w:numPr>
          <w:ilvl w:val="0"/>
          <w:numId w:val="39"/>
        </w:numPr>
        <w:spacing w:after="240" w:line="259" w:lineRule="auto"/>
        <w:rPr>
          <w:rFonts w:ascii="Calibri" w:hAnsi="Calibri" w:cs="Calibri"/>
          <w:color w:val="000000"/>
          <w:sz w:val="21"/>
          <w:szCs w:val="21"/>
          <w:lang w:eastAsia="zh-CN"/>
        </w:rPr>
      </w:pPr>
      <w:r w:rsidRPr="003C70DE">
        <w:rPr>
          <w:rFonts w:ascii="Calibri" w:hAnsi="Calibri" w:cs="Calibri"/>
          <w:color w:val="000000"/>
          <w:sz w:val="21"/>
          <w:szCs w:val="21"/>
          <w:lang w:eastAsia="zh-CN"/>
        </w:rPr>
        <w:t>The Northern Territory Mental Health Coalition</w:t>
      </w:r>
    </w:p>
    <w:p w14:paraId="2B837DFE" w14:textId="4605E332" w:rsidR="003C70DE" w:rsidRPr="003C70DE" w:rsidRDefault="003C70DE" w:rsidP="00676685">
      <w:pPr>
        <w:numPr>
          <w:ilvl w:val="0"/>
          <w:numId w:val="39"/>
        </w:numPr>
        <w:spacing w:after="240"/>
        <w:ind w:left="714" w:hanging="357"/>
        <w:rPr>
          <w:rFonts w:ascii="Calibri" w:hAnsi="Calibri" w:cs="Calibri"/>
          <w:color w:val="000000"/>
          <w:sz w:val="21"/>
          <w:szCs w:val="21"/>
          <w:lang w:eastAsia="zh-CN"/>
        </w:rPr>
      </w:pPr>
      <w:r w:rsidRPr="003C70DE">
        <w:rPr>
          <w:rFonts w:ascii="Calibri" w:hAnsi="Calibri" w:cs="Calibri"/>
          <w:color w:val="000000"/>
          <w:sz w:val="21"/>
          <w:szCs w:val="21"/>
          <w:lang w:eastAsia="zh-CN"/>
        </w:rPr>
        <w:t>THIS WAY UP/</w:t>
      </w:r>
      <w:proofErr w:type="spellStart"/>
      <w:r w:rsidRPr="003C70DE">
        <w:rPr>
          <w:rFonts w:ascii="Calibri" w:hAnsi="Calibri" w:cs="Calibri"/>
          <w:color w:val="000000"/>
          <w:sz w:val="21"/>
          <w:szCs w:val="21"/>
          <w:lang w:eastAsia="zh-CN"/>
        </w:rPr>
        <w:t>CRUfAD</w:t>
      </w:r>
      <w:proofErr w:type="spellEnd"/>
      <w:r w:rsidRPr="003C70DE">
        <w:rPr>
          <w:rFonts w:ascii="Calibri" w:hAnsi="Calibri" w:cs="Calibri"/>
          <w:color w:val="000000"/>
          <w:sz w:val="21"/>
          <w:szCs w:val="21"/>
          <w:lang w:eastAsia="zh-CN"/>
        </w:rPr>
        <w:t>/St Vincent's Hospital</w:t>
      </w:r>
    </w:p>
    <w:p w14:paraId="0873F802" w14:textId="60179345" w:rsidR="003C70DE" w:rsidRPr="003C70DE" w:rsidRDefault="003C70DE" w:rsidP="00676685">
      <w:pPr>
        <w:spacing w:after="240"/>
        <w:rPr>
          <w:rFonts w:ascii="Calibri" w:hAnsi="Calibri" w:cs="Arial"/>
          <w:color w:val="000000" w:themeColor="text1"/>
          <w:sz w:val="21"/>
          <w:szCs w:val="21"/>
          <w:lang w:eastAsia="zh-CN"/>
        </w:rPr>
      </w:pPr>
      <w:r w:rsidRPr="003C70DE">
        <w:rPr>
          <w:rFonts w:ascii="Calibri" w:hAnsi="Calibri" w:cs="Arial"/>
          <w:color w:val="000000" w:themeColor="text1"/>
          <w:sz w:val="21"/>
          <w:szCs w:val="21"/>
          <w:lang w:eastAsia="zh-CN"/>
        </w:rPr>
        <w:t>Online, written consent was obtained from 70 individuals from 44 organisations. Forty-two of these participated in a survey, 30 completed a survey individually, 6 individuals provided 2 group survey responses, and 6 started but did not complete their survey (4 of these included sufficient data for analysis). Sixteen interviews were conducted between 6 January and 7 March with 28 individuals as seven were group interviews with 2-5 representatives at a time. One group interview participant also provided some brief survey responses. This led to a final sample size of 68 individuals from 44 organisations.</w:t>
      </w:r>
    </w:p>
    <w:p w14:paraId="767FEDFA" w14:textId="1D4AC47C" w:rsidR="009D3AA7" w:rsidRPr="001C602B" w:rsidRDefault="005F4CCC" w:rsidP="00676685">
      <w:pPr>
        <w:pStyle w:val="Heading2"/>
        <w:numPr>
          <w:ilvl w:val="0"/>
          <w:numId w:val="0"/>
        </w:numPr>
        <w:spacing w:after="240"/>
      </w:pPr>
      <w:bookmarkStart w:id="324" w:name="_Toc108784920"/>
      <w:r w:rsidRPr="001C602B">
        <w:t>Data analysis</w:t>
      </w:r>
      <w:bookmarkEnd w:id="323"/>
      <w:bookmarkEnd w:id="324"/>
    </w:p>
    <w:p w14:paraId="1F7413A4" w14:textId="26897405" w:rsidR="00151628" w:rsidRPr="006C42B2" w:rsidRDefault="005F4CCC" w:rsidP="00676685">
      <w:pPr>
        <w:pStyle w:val="Heading3"/>
        <w:numPr>
          <w:ilvl w:val="0"/>
          <w:numId w:val="0"/>
        </w:numPr>
        <w:spacing w:after="240"/>
      </w:pPr>
      <w:r w:rsidRPr="00151628">
        <w:t>Quantitative data</w:t>
      </w:r>
    </w:p>
    <w:p w14:paraId="3D4ADB0A" w14:textId="0234B14C" w:rsidR="005F4CCC" w:rsidRPr="00151628" w:rsidRDefault="005F4CCC" w:rsidP="00676685">
      <w:pPr>
        <w:pStyle w:val="Default"/>
        <w:spacing w:after="240"/>
        <w:rPr>
          <w:rFonts w:asciiTheme="minorHAnsi" w:hAnsiTheme="minorHAnsi" w:cstheme="minorHAnsi"/>
          <w:color w:val="000000" w:themeColor="text1"/>
          <w:sz w:val="21"/>
          <w:szCs w:val="21"/>
        </w:rPr>
      </w:pPr>
      <w:r w:rsidRPr="00151628">
        <w:rPr>
          <w:rFonts w:asciiTheme="minorHAnsi" w:hAnsiTheme="minorHAnsi" w:cstheme="minorHAnsi"/>
          <w:color w:val="000000" w:themeColor="text1"/>
          <w:sz w:val="21"/>
          <w:szCs w:val="21"/>
        </w:rPr>
        <w:t>We use</w:t>
      </w:r>
      <w:r w:rsidR="00E260D7" w:rsidRPr="00151628">
        <w:rPr>
          <w:rFonts w:asciiTheme="minorHAnsi" w:hAnsiTheme="minorHAnsi" w:cstheme="minorHAnsi"/>
          <w:color w:val="000000" w:themeColor="text1"/>
          <w:sz w:val="21"/>
          <w:szCs w:val="21"/>
        </w:rPr>
        <w:t>d</w:t>
      </w:r>
      <w:r w:rsidRPr="00151628">
        <w:rPr>
          <w:rFonts w:asciiTheme="minorHAnsi" w:hAnsiTheme="minorHAnsi" w:cstheme="minorHAnsi"/>
          <w:color w:val="000000" w:themeColor="text1"/>
          <w:sz w:val="21"/>
          <w:szCs w:val="21"/>
        </w:rPr>
        <w:t xml:space="preserve"> standard quantitative analysis software packages </w:t>
      </w:r>
      <w:r w:rsidR="0013592B" w:rsidRPr="00151628">
        <w:rPr>
          <w:rFonts w:asciiTheme="minorHAnsi" w:hAnsiTheme="minorHAnsi" w:cstheme="minorHAnsi"/>
          <w:color w:val="000000" w:themeColor="text1"/>
          <w:sz w:val="21"/>
          <w:szCs w:val="21"/>
        </w:rPr>
        <w:t xml:space="preserve">(e.g., Microsoft Excel, SPSS) </w:t>
      </w:r>
      <w:r w:rsidRPr="00151628">
        <w:rPr>
          <w:rFonts w:asciiTheme="minorHAnsi" w:hAnsiTheme="minorHAnsi" w:cstheme="minorHAnsi"/>
          <w:color w:val="000000" w:themeColor="text1"/>
          <w:sz w:val="21"/>
          <w:szCs w:val="21"/>
        </w:rPr>
        <w:t xml:space="preserve">to perform descriptive and inferential statistical analyses to </w:t>
      </w:r>
      <w:proofErr w:type="spellStart"/>
      <w:r w:rsidRPr="00151628">
        <w:rPr>
          <w:rFonts w:asciiTheme="minorHAnsi" w:hAnsiTheme="minorHAnsi" w:cstheme="minorHAnsi"/>
          <w:color w:val="000000" w:themeColor="text1"/>
          <w:sz w:val="21"/>
          <w:szCs w:val="21"/>
        </w:rPr>
        <w:t>summarise</w:t>
      </w:r>
      <w:proofErr w:type="spellEnd"/>
      <w:r w:rsidRPr="00151628">
        <w:rPr>
          <w:rFonts w:asciiTheme="minorHAnsi" w:hAnsiTheme="minorHAnsi" w:cstheme="minorHAnsi"/>
          <w:color w:val="000000" w:themeColor="text1"/>
          <w:sz w:val="21"/>
          <w:szCs w:val="21"/>
        </w:rPr>
        <w:t xml:space="preserve"> results.</w:t>
      </w:r>
    </w:p>
    <w:p w14:paraId="587921B5" w14:textId="3A825D0B" w:rsidR="005F4CCC" w:rsidRPr="00151628" w:rsidRDefault="005F4CCC" w:rsidP="00676685">
      <w:pPr>
        <w:pStyle w:val="Default"/>
        <w:spacing w:after="240"/>
        <w:rPr>
          <w:rFonts w:asciiTheme="minorHAnsi" w:hAnsiTheme="minorHAnsi" w:cstheme="minorHAnsi"/>
          <w:color w:val="000000" w:themeColor="text1"/>
          <w:sz w:val="21"/>
          <w:szCs w:val="21"/>
        </w:rPr>
      </w:pPr>
      <w:r w:rsidRPr="00151628">
        <w:rPr>
          <w:rFonts w:asciiTheme="minorHAnsi" w:hAnsiTheme="minorHAnsi" w:cstheme="minorHAnsi"/>
          <w:color w:val="000000" w:themeColor="text1"/>
          <w:sz w:val="21"/>
          <w:szCs w:val="21"/>
        </w:rPr>
        <w:t>We extract</w:t>
      </w:r>
      <w:r w:rsidR="00BA7EA6" w:rsidRPr="00151628">
        <w:rPr>
          <w:rFonts w:asciiTheme="minorHAnsi" w:hAnsiTheme="minorHAnsi" w:cstheme="minorHAnsi"/>
          <w:color w:val="000000" w:themeColor="text1"/>
          <w:sz w:val="21"/>
          <w:szCs w:val="21"/>
        </w:rPr>
        <w:t>ed</w:t>
      </w:r>
      <w:r w:rsidRPr="00151628">
        <w:rPr>
          <w:rFonts w:asciiTheme="minorHAnsi" w:hAnsiTheme="minorHAnsi" w:cstheme="minorHAnsi"/>
          <w:color w:val="000000" w:themeColor="text1"/>
          <w:sz w:val="21"/>
          <w:szCs w:val="21"/>
        </w:rPr>
        <w:t xml:space="preserve"> quantitative data from </w:t>
      </w:r>
      <w:r w:rsidR="00BA7EA6" w:rsidRPr="00151628">
        <w:rPr>
          <w:rFonts w:asciiTheme="minorHAnsi" w:hAnsiTheme="minorHAnsi" w:cstheme="minorHAnsi"/>
          <w:color w:val="000000" w:themeColor="text1"/>
          <w:sz w:val="21"/>
          <w:szCs w:val="21"/>
        </w:rPr>
        <w:t>service documents</w:t>
      </w:r>
      <w:r w:rsidRPr="00151628">
        <w:rPr>
          <w:rFonts w:asciiTheme="minorHAnsi" w:hAnsiTheme="minorHAnsi" w:cstheme="minorHAnsi"/>
          <w:color w:val="000000" w:themeColor="text1"/>
          <w:sz w:val="21"/>
          <w:szCs w:val="21"/>
        </w:rPr>
        <w:t xml:space="preserve"> and </w:t>
      </w:r>
      <w:r w:rsidR="00BA7EA6" w:rsidRPr="00151628">
        <w:rPr>
          <w:rFonts w:asciiTheme="minorHAnsi" w:hAnsiTheme="minorHAnsi" w:cstheme="minorHAnsi"/>
          <w:color w:val="000000" w:themeColor="text1"/>
          <w:sz w:val="21"/>
          <w:szCs w:val="21"/>
        </w:rPr>
        <w:t>peer-reviewed</w:t>
      </w:r>
      <w:r w:rsidRPr="00151628">
        <w:rPr>
          <w:rFonts w:asciiTheme="minorHAnsi" w:hAnsiTheme="minorHAnsi" w:cstheme="minorHAnsi"/>
          <w:color w:val="000000" w:themeColor="text1"/>
          <w:sz w:val="21"/>
          <w:szCs w:val="21"/>
        </w:rPr>
        <w:t xml:space="preserve"> literature review </w:t>
      </w:r>
      <w:r w:rsidR="00BA7EA6" w:rsidRPr="00151628">
        <w:rPr>
          <w:rFonts w:asciiTheme="minorHAnsi" w:hAnsiTheme="minorHAnsi" w:cstheme="minorHAnsi"/>
          <w:color w:val="000000" w:themeColor="text1"/>
          <w:sz w:val="21"/>
          <w:szCs w:val="21"/>
        </w:rPr>
        <w:t>to</w:t>
      </w:r>
      <w:r w:rsidRPr="00151628">
        <w:rPr>
          <w:rFonts w:asciiTheme="minorHAnsi" w:hAnsiTheme="minorHAnsi" w:cstheme="minorHAnsi"/>
          <w:color w:val="000000" w:themeColor="text1"/>
          <w:sz w:val="21"/>
          <w:szCs w:val="21"/>
        </w:rPr>
        <w:t xml:space="preserve"> generate frequencies and percentages on consumer characteristics</w:t>
      </w:r>
      <w:r w:rsidR="007806FA" w:rsidRPr="00151628">
        <w:rPr>
          <w:rFonts w:asciiTheme="minorHAnsi" w:hAnsiTheme="minorHAnsi" w:cstheme="minorHAnsi"/>
          <w:color w:val="000000" w:themeColor="text1"/>
          <w:sz w:val="21"/>
          <w:szCs w:val="21"/>
        </w:rPr>
        <w:t xml:space="preserve"> and predictors of treatment uptake</w:t>
      </w:r>
      <w:r w:rsidRPr="00151628">
        <w:rPr>
          <w:rFonts w:asciiTheme="minorHAnsi" w:hAnsiTheme="minorHAnsi" w:cstheme="minorHAnsi"/>
          <w:color w:val="000000" w:themeColor="text1"/>
          <w:sz w:val="21"/>
          <w:szCs w:val="21"/>
        </w:rPr>
        <w:t xml:space="preserve"> and</w:t>
      </w:r>
      <w:r w:rsidR="007806FA" w:rsidRPr="00151628">
        <w:rPr>
          <w:rFonts w:asciiTheme="minorHAnsi" w:hAnsiTheme="minorHAnsi" w:cstheme="minorHAnsi"/>
          <w:color w:val="000000" w:themeColor="text1"/>
          <w:sz w:val="21"/>
          <w:szCs w:val="21"/>
        </w:rPr>
        <w:t>/or outcomes.</w:t>
      </w:r>
    </w:p>
    <w:p w14:paraId="6B50744D" w14:textId="039CEC79" w:rsidR="005F4CCC" w:rsidRPr="006C42B2" w:rsidRDefault="005F4CCC" w:rsidP="00676685">
      <w:pPr>
        <w:pStyle w:val="Default"/>
        <w:spacing w:after="240"/>
        <w:rPr>
          <w:rFonts w:asciiTheme="minorHAnsi" w:hAnsiTheme="minorHAnsi" w:cstheme="minorHAnsi"/>
          <w:color w:val="000000" w:themeColor="text1"/>
          <w:sz w:val="21"/>
          <w:szCs w:val="21"/>
        </w:rPr>
      </w:pPr>
      <w:r w:rsidRPr="00151628">
        <w:rPr>
          <w:rFonts w:asciiTheme="minorHAnsi" w:hAnsiTheme="minorHAnsi" w:cstheme="minorHAnsi"/>
          <w:color w:val="000000" w:themeColor="text1"/>
          <w:sz w:val="21"/>
          <w:szCs w:val="21"/>
        </w:rPr>
        <w:t>We use</w:t>
      </w:r>
      <w:r w:rsidR="00FA7A3E" w:rsidRPr="00151628">
        <w:rPr>
          <w:rFonts w:asciiTheme="minorHAnsi" w:hAnsiTheme="minorHAnsi" w:cstheme="minorHAnsi"/>
          <w:color w:val="000000" w:themeColor="text1"/>
          <w:sz w:val="21"/>
          <w:szCs w:val="21"/>
        </w:rPr>
        <w:t>d</w:t>
      </w:r>
      <w:r w:rsidRPr="00151628">
        <w:rPr>
          <w:rFonts w:asciiTheme="minorHAnsi" w:hAnsiTheme="minorHAnsi" w:cstheme="minorHAnsi"/>
          <w:color w:val="000000" w:themeColor="text1"/>
          <w:sz w:val="21"/>
          <w:szCs w:val="21"/>
        </w:rPr>
        <w:t xml:space="preserve"> existing </w:t>
      </w:r>
      <w:r w:rsidR="00FA7A3E" w:rsidRPr="00151628">
        <w:rPr>
          <w:rFonts w:asciiTheme="minorHAnsi" w:hAnsiTheme="minorHAnsi" w:cstheme="minorHAnsi"/>
          <w:color w:val="000000" w:themeColor="text1"/>
          <w:sz w:val="21"/>
          <w:szCs w:val="21"/>
        </w:rPr>
        <w:t>routinely collected</w:t>
      </w:r>
      <w:r w:rsidRPr="00151628">
        <w:rPr>
          <w:rFonts w:asciiTheme="minorHAnsi" w:hAnsiTheme="minorHAnsi" w:cstheme="minorHAnsi"/>
          <w:color w:val="000000" w:themeColor="text1"/>
          <w:sz w:val="21"/>
          <w:szCs w:val="21"/>
        </w:rPr>
        <w:t xml:space="preserve"> service use data </w:t>
      </w:r>
      <w:r w:rsidR="00FA7A3E" w:rsidRPr="00151628">
        <w:rPr>
          <w:rFonts w:asciiTheme="minorHAnsi" w:hAnsiTheme="minorHAnsi" w:cstheme="minorHAnsi"/>
          <w:color w:val="000000" w:themeColor="text1"/>
          <w:sz w:val="21"/>
          <w:szCs w:val="21"/>
        </w:rPr>
        <w:t xml:space="preserve">provided in aggregate form by the </w:t>
      </w:r>
      <w:r w:rsidRPr="00151628">
        <w:rPr>
          <w:rFonts w:asciiTheme="minorHAnsi" w:hAnsiTheme="minorHAnsi" w:cstheme="minorHAnsi"/>
          <w:color w:val="000000" w:themeColor="text1"/>
          <w:sz w:val="21"/>
          <w:szCs w:val="21"/>
        </w:rPr>
        <w:t xml:space="preserve">supported </w:t>
      </w:r>
      <w:r w:rsidR="00FA7A3E" w:rsidRPr="00151628">
        <w:rPr>
          <w:rFonts w:asciiTheme="minorHAnsi" w:hAnsiTheme="minorHAnsi" w:cstheme="minorHAnsi"/>
          <w:color w:val="000000" w:themeColor="text1"/>
          <w:sz w:val="21"/>
          <w:szCs w:val="21"/>
        </w:rPr>
        <w:t>DMHSs</w:t>
      </w:r>
      <w:r w:rsidRPr="00151628">
        <w:rPr>
          <w:rFonts w:asciiTheme="minorHAnsi" w:hAnsiTheme="minorHAnsi" w:cstheme="minorHAnsi"/>
          <w:color w:val="000000" w:themeColor="text1"/>
          <w:sz w:val="21"/>
          <w:szCs w:val="21"/>
        </w:rPr>
        <w:t xml:space="preserve"> </w:t>
      </w:r>
      <w:r w:rsidR="00FA7A3E" w:rsidRPr="00151628">
        <w:rPr>
          <w:rFonts w:asciiTheme="minorHAnsi" w:hAnsiTheme="minorHAnsi" w:cstheme="minorHAnsi"/>
          <w:color w:val="000000" w:themeColor="text1"/>
          <w:sz w:val="21"/>
          <w:szCs w:val="21"/>
        </w:rPr>
        <w:t>to</w:t>
      </w:r>
      <w:r w:rsidR="00F12586" w:rsidRPr="00151628">
        <w:rPr>
          <w:rFonts w:asciiTheme="minorHAnsi" w:hAnsiTheme="minorHAnsi" w:cstheme="minorHAnsi"/>
          <w:color w:val="000000" w:themeColor="text1"/>
          <w:sz w:val="21"/>
          <w:szCs w:val="21"/>
        </w:rPr>
        <w:t xml:space="preserve"> </w:t>
      </w:r>
      <w:r w:rsidR="004532C0" w:rsidRPr="00151628">
        <w:rPr>
          <w:rFonts w:asciiTheme="minorHAnsi" w:hAnsiTheme="minorHAnsi" w:cstheme="minorHAnsi"/>
          <w:color w:val="000000" w:themeColor="text1"/>
          <w:sz w:val="21"/>
          <w:szCs w:val="21"/>
        </w:rPr>
        <w:t xml:space="preserve">report on uptake and </w:t>
      </w:r>
      <w:r w:rsidR="00E1716D" w:rsidRPr="00151628">
        <w:rPr>
          <w:rFonts w:asciiTheme="minorHAnsi" w:hAnsiTheme="minorHAnsi" w:cstheme="minorHAnsi"/>
          <w:color w:val="000000" w:themeColor="text1"/>
          <w:sz w:val="21"/>
          <w:szCs w:val="21"/>
        </w:rPr>
        <w:t xml:space="preserve">clinical </w:t>
      </w:r>
      <w:r w:rsidR="004532C0" w:rsidRPr="00151628">
        <w:rPr>
          <w:rFonts w:asciiTheme="minorHAnsi" w:hAnsiTheme="minorHAnsi" w:cstheme="minorHAnsi"/>
          <w:color w:val="000000" w:themeColor="text1"/>
          <w:sz w:val="21"/>
          <w:szCs w:val="21"/>
        </w:rPr>
        <w:t>outcomes</w:t>
      </w:r>
      <w:r w:rsidR="00E1716D" w:rsidRPr="00151628">
        <w:rPr>
          <w:rFonts w:asciiTheme="minorHAnsi" w:hAnsiTheme="minorHAnsi" w:cstheme="minorHAnsi"/>
          <w:color w:val="000000" w:themeColor="text1"/>
          <w:sz w:val="21"/>
          <w:szCs w:val="21"/>
        </w:rPr>
        <w:t xml:space="preserve"> by </w:t>
      </w:r>
      <w:r w:rsidR="005B1998" w:rsidRPr="00151628">
        <w:rPr>
          <w:rFonts w:asciiTheme="minorHAnsi" w:hAnsiTheme="minorHAnsi" w:cstheme="minorHAnsi"/>
          <w:color w:val="000000" w:themeColor="text1"/>
          <w:sz w:val="21"/>
          <w:szCs w:val="21"/>
        </w:rPr>
        <w:t>treatment</w:t>
      </w:r>
      <w:r w:rsidR="00E1716D" w:rsidRPr="00151628">
        <w:rPr>
          <w:rFonts w:asciiTheme="minorHAnsi" w:hAnsiTheme="minorHAnsi" w:cstheme="minorHAnsi"/>
          <w:color w:val="000000" w:themeColor="text1"/>
          <w:sz w:val="21"/>
          <w:szCs w:val="21"/>
        </w:rPr>
        <w:t xml:space="preserve"> type</w:t>
      </w:r>
      <w:r w:rsidR="005B1998" w:rsidRPr="00151628">
        <w:rPr>
          <w:rFonts w:asciiTheme="minorHAnsi" w:hAnsiTheme="minorHAnsi" w:cstheme="minorHAnsi"/>
          <w:color w:val="000000" w:themeColor="text1"/>
          <w:sz w:val="21"/>
          <w:szCs w:val="21"/>
        </w:rPr>
        <w:t xml:space="preserve"> (therapist-supported or self-directed)</w:t>
      </w:r>
      <w:r w:rsidR="00E1716D" w:rsidRPr="00151628">
        <w:rPr>
          <w:rFonts w:asciiTheme="minorHAnsi" w:hAnsiTheme="minorHAnsi" w:cstheme="minorHAnsi"/>
          <w:color w:val="000000" w:themeColor="text1"/>
          <w:sz w:val="21"/>
          <w:szCs w:val="21"/>
        </w:rPr>
        <w:t xml:space="preserve">, </w:t>
      </w:r>
      <w:r w:rsidRPr="00151628">
        <w:rPr>
          <w:rFonts w:asciiTheme="minorHAnsi" w:hAnsiTheme="minorHAnsi" w:cstheme="minorHAnsi"/>
          <w:color w:val="000000" w:themeColor="text1"/>
          <w:sz w:val="21"/>
          <w:szCs w:val="21"/>
        </w:rPr>
        <w:t>demographic groups</w:t>
      </w:r>
      <w:r w:rsidR="004037CB" w:rsidRPr="00151628">
        <w:rPr>
          <w:rFonts w:asciiTheme="minorHAnsi" w:hAnsiTheme="minorHAnsi" w:cstheme="minorHAnsi"/>
          <w:color w:val="000000" w:themeColor="text1"/>
          <w:sz w:val="21"/>
          <w:szCs w:val="21"/>
        </w:rPr>
        <w:t xml:space="preserve"> and symptoms </w:t>
      </w:r>
      <w:r w:rsidR="00346912" w:rsidRPr="00151628">
        <w:rPr>
          <w:rFonts w:asciiTheme="minorHAnsi" w:hAnsiTheme="minorHAnsi" w:cstheme="minorHAnsi"/>
          <w:color w:val="000000" w:themeColor="text1"/>
          <w:sz w:val="21"/>
          <w:szCs w:val="21"/>
        </w:rPr>
        <w:t>severity</w:t>
      </w:r>
      <w:r w:rsidRPr="00151628">
        <w:rPr>
          <w:rFonts w:asciiTheme="minorHAnsi" w:hAnsiTheme="minorHAnsi" w:cstheme="minorHAnsi"/>
          <w:color w:val="000000" w:themeColor="text1"/>
          <w:sz w:val="21"/>
          <w:szCs w:val="21"/>
        </w:rPr>
        <w:t>.</w:t>
      </w:r>
    </w:p>
    <w:p w14:paraId="5B491F58" w14:textId="26A8956E" w:rsidR="00A45ACB" w:rsidRPr="00A45ACB" w:rsidRDefault="00A45ACB" w:rsidP="00676685">
      <w:pPr>
        <w:pStyle w:val="Default"/>
        <w:spacing w:after="240"/>
        <w:rPr>
          <w:rFonts w:asciiTheme="minorHAnsi" w:hAnsiTheme="minorHAnsi" w:cstheme="minorHAnsi"/>
          <w:color w:val="000000" w:themeColor="text1"/>
          <w:sz w:val="21"/>
          <w:szCs w:val="21"/>
        </w:rPr>
      </w:pPr>
      <w:r w:rsidRPr="00A45ACB">
        <w:rPr>
          <w:rFonts w:asciiTheme="minorHAnsi" w:hAnsiTheme="minorHAnsi" w:cstheme="minorHAnsi"/>
          <w:color w:val="000000" w:themeColor="text1"/>
          <w:sz w:val="21"/>
          <w:szCs w:val="21"/>
        </w:rPr>
        <w:t xml:space="preserve">Poisson regression models </w:t>
      </w:r>
      <w:r w:rsidR="00B25A46">
        <w:rPr>
          <w:rFonts w:asciiTheme="minorHAnsi" w:hAnsiTheme="minorHAnsi" w:cstheme="minorHAnsi"/>
          <w:color w:val="000000" w:themeColor="text1"/>
          <w:sz w:val="21"/>
          <w:szCs w:val="21"/>
        </w:rPr>
        <w:t xml:space="preserve">were </w:t>
      </w:r>
      <w:r w:rsidRPr="00A45ACB">
        <w:rPr>
          <w:rFonts w:asciiTheme="minorHAnsi" w:hAnsiTheme="minorHAnsi" w:cstheme="minorHAnsi"/>
          <w:color w:val="000000" w:themeColor="text1"/>
          <w:sz w:val="21"/>
          <w:szCs w:val="21"/>
        </w:rPr>
        <w:t xml:space="preserve">fitted to the counts of uptake </w:t>
      </w:r>
      <w:r w:rsidR="00B25A46">
        <w:rPr>
          <w:rFonts w:asciiTheme="minorHAnsi" w:hAnsiTheme="minorHAnsi" w:cstheme="minorHAnsi"/>
          <w:color w:val="000000" w:themeColor="text1"/>
          <w:sz w:val="21"/>
          <w:szCs w:val="21"/>
        </w:rPr>
        <w:t xml:space="preserve">of treatment </w:t>
      </w:r>
      <w:r w:rsidRPr="00A45ACB">
        <w:rPr>
          <w:rFonts w:asciiTheme="minorHAnsi" w:hAnsiTheme="minorHAnsi" w:cstheme="minorHAnsi"/>
          <w:color w:val="000000" w:themeColor="text1"/>
          <w:sz w:val="21"/>
          <w:szCs w:val="21"/>
        </w:rPr>
        <w:t>over time, with one observation (count) for every available 6</w:t>
      </w:r>
      <w:r w:rsidR="00B25A46">
        <w:rPr>
          <w:rFonts w:asciiTheme="minorHAnsi" w:hAnsiTheme="minorHAnsi" w:cstheme="minorHAnsi"/>
          <w:color w:val="000000" w:themeColor="text1"/>
          <w:sz w:val="21"/>
          <w:szCs w:val="21"/>
        </w:rPr>
        <w:t>-</w:t>
      </w:r>
      <w:r w:rsidRPr="00A45ACB">
        <w:rPr>
          <w:rFonts w:asciiTheme="minorHAnsi" w:hAnsiTheme="minorHAnsi" w:cstheme="minorHAnsi"/>
          <w:color w:val="000000" w:themeColor="text1"/>
          <w:sz w:val="21"/>
          <w:szCs w:val="21"/>
        </w:rPr>
        <w:t>month period. A linear trend (on the log scale) was assumed for the change in counts over time. The main estimate was the incidence rate ratio (IRR), 95% confidence interval and p-value for this. The results reported in the text are the excess rate ratios (ERRs) where ERR=1-IRR. These are reported as percentages.  For example, and IRR=1.05 corresponds to an ERR of 0.05 and is interpreted as a 5% increase every 6 months. These models were fitted using Stata.</w:t>
      </w:r>
    </w:p>
    <w:p w14:paraId="2288AAE4" w14:textId="2C796545" w:rsidR="00A45ACB" w:rsidRPr="00A45ACB" w:rsidRDefault="004E5CA5" w:rsidP="00676685">
      <w:pPr>
        <w:pStyle w:val="Default"/>
        <w:spacing w:after="240"/>
        <w:rPr>
          <w:rFonts w:asciiTheme="minorHAnsi" w:hAnsiTheme="minorHAnsi" w:cstheme="minorHAnsi"/>
          <w:color w:val="000000" w:themeColor="text1"/>
          <w:sz w:val="21"/>
          <w:szCs w:val="21"/>
        </w:rPr>
      </w:pPr>
      <w:r>
        <w:rPr>
          <w:rFonts w:asciiTheme="minorHAnsi" w:hAnsiTheme="minorHAnsi" w:cstheme="minorHAnsi"/>
          <w:color w:val="000000" w:themeColor="text1"/>
          <w:sz w:val="21"/>
          <w:szCs w:val="21"/>
        </w:rPr>
        <w:t>D</w:t>
      </w:r>
      <w:r w:rsidR="00A45ACB" w:rsidRPr="00A45ACB">
        <w:rPr>
          <w:rFonts w:asciiTheme="minorHAnsi" w:hAnsiTheme="minorHAnsi" w:cstheme="minorHAnsi"/>
          <w:color w:val="000000" w:themeColor="text1"/>
          <w:sz w:val="21"/>
          <w:szCs w:val="21"/>
        </w:rPr>
        <w:t xml:space="preserve">ata </w:t>
      </w:r>
      <w:r>
        <w:rPr>
          <w:rFonts w:asciiTheme="minorHAnsi" w:hAnsiTheme="minorHAnsi" w:cstheme="minorHAnsi"/>
          <w:color w:val="000000" w:themeColor="text1"/>
          <w:sz w:val="21"/>
          <w:szCs w:val="21"/>
        </w:rPr>
        <w:t>for analysis of t</w:t>
      </w:r>
      <w:r w:rsidRPr="00A45ACB">
        <w:rPr>
          <w:rFonts w:asciiTheme="minorHAnsi" w:hAnsiTheme="minorHAnsi" w:cstheme="minorHAnsi"/>
          <w:color w:val="000000" w:themeColor="text1"/>
          <w:sz w:val="21"/>
          <w:szCs w:val="21"/>
        </w:rPr>
        <w:t>ime trends in outcomes for therapist-guided treatments</w:t>
      </w:r>
      <w:r>
        <w:rPr>
          <w:rFonts w:asciiTheme="minorHAnsi" w:hAnsiTheme="minorHAnsi" w:cstheme="minorHAnsi"/>
          <w:color w:val="000000" w:themeColor="text1"/>
          <w:sz w:val="21"/>
          <w:szCs w:val="21"/>
        </w:rPr>
        <w:t xml:space="preserve"> </w:t>
      </w:r>
      <w:r w:rsidR="00A45ACB" w:rsidRPr="00A45ACB">
        <w:rPr>
          <w:rFonts w:asciiTheme="minorHAnsi" w:hAnsiTheme="minorHAnsi" w:cstheme="minorHAnsi"/>
          <w:color w:val="000000" w:themeColor="text1"/>
          <w:sz w:val="21"/>
          <w:szCs w:val="21"/>
        </w:rPr>
        <w:t>were provided as means (M), standard deviations (SD) and counts (n) for each 6</w:t>
      </w:r>
      <w:r w:rsidR="0012153A">
        <w:rPr>
          <w:rFonts w:asciiTheme="minorHAnsi" w:hAnsiTheme="minorHAnsi" w:cstheme="minorHAnsi"/>
          <w:color w:val="000000" w:themeColor="text1"/>
          <w:sz w:val="21"/>
          <w:szCs w:val="21"/>
        </w:rPr>
        <w:t>-</w:t>
      </w:r>
      <w:r w:rsidR="00A45ACB" w:rsidRPr="00A45ACB">
        <w:rPr>
          <w:rFonts w:asciiTheme="minorHAnsi" w:hAnsiTheme="minorHAnsi" w:cstheme="minorHAnsi"/>
          <w:color w:val="000000" w:themeColor="text1"/>
          <w:sz w:val="21"/>
          <w:szCs w:val="21"/>
        </w:rPr>
        <w:t xml:space="preserve">month </w:t>
      </w:r>
      <w:proofErr w:type="gramStart"/>
      <w:r w:rsidR="00A45ACB" w:rsidRPr="00A45ACB">
        <w:rPr>
          <w:rFonts w:asciiTheme="minorHAnsi" w:hAnsiTheme="minorHAnsi" w:cstheme="minorHAnsi"/>
          <w:color w:val="000000" w:themeColor="text1"/>
          <w:sz w:val="21"/>
          <w:szCs w:val="21"/>
        </w:rPr>
        <w:t>time period</w:t>
      </w:r>
      <w:proofErr w:type="gramEnd"/>
      <w:r w:rsidR="00A45ACB" w:rsidRPr="00A45ACB">
        <w:rPr>
          <w:rFonts w:asciiTheme="minorHAnsi" w:hAnsiTheme="minorHAnsi" w:cstheme="minorHAnsi"/>
          <w:color w:val="000000" w:themeColor="text1"/>
          <w:sz w:val="21"/>
          <w:szCs w:val="21"/>
        </w:rPr>
        <w:t>. The standard error was calculated as SE=SD/√n and from this, 95% confidence intervals were calculated as (M×1.96*SE, M+1.96×SE). The means and confidence intervals were then plotted against time (half-yearly period).</w:t>
      </w:r>
    </w:p>
    <w:p w14:paraId="4A5D10B3" w14:textId="482EC668" w:rsidR="005F4CCC" w:rsidRPr="006C42B2" w:rsidRDefault="00A45ACB" w:rsidP="00676685">
      <w:pPr>
        <w:pStyle w:val="Default"/>
        <w:spacing w:after="240"/>
        <w:rPr>
          <w:rFonts w:asciiTheme="minorHAnsi" w:hAnsiTheme="minorHAnsi" w:cstheme="minorHAnsi"/>
          <w:color w:val="000000" w:themeColor="text1"/>
          <w:sz w:val="21"/>
          <w:szCs w:val="21"/>
        </w:rPr>
      </w:pPr>
      <w:r w:rsidRPr="00A45ACB">
        <w:rPr>
          <w:rFonts w:asciiTheme="minorHAnsi" w:hAnsiTheme="minorHAnsi" w:cstheme="minorHAnsi"/>
          <w:color w:val="000000" w:themeColor="text1"/>
          <w:sz w:val="21"/>
          <w:szCs w:val="21"/>
        </w:rPr>
        <w:t xml:space="preserve">Data </w:t>
      </w:r>
      <w:r w:rsidR="00F70F21">
        <w:rPr>
          <w:rFonts w:asciiTheme="minorHAnsi" w:hAnsiTheme="minorHAnsi" w:cstheme="minorHAnsi"/>
          <w:color w:val="000000" w:themeColor="text1"/>
          <w:sz w:val="21"/>
          <w:szCs w:val="21"/>
        </w:rPr>
        <w:t>for c</w:t>
      </w:r>
      <w:r w:rsidR="00F70F21" w:rsidRPr="00A45ACB">
        <w:rPr>
          <w:rFonts w:asciiTheme="minorHAnsi" w:hAnsiTheme="minorHAnsi" w:cstheme="minorHAnsi"/>
          <w:color w:val="000000" w:themeColor="text1"/>
          <w:sz w:val="21"/>
          <w:szCs w:val="21"/>
        </w:rPr>
        <w:t>omparison of outcomes for therapist-guided and self-</w:t>
      </w:r>
      <w:r w:rsidR="00F70F21">
        <w:rPr>
          <w:rFonts w:asciiTheme="minorHAnsi" w:hAnsiTheme="minorHAnsi" w:cstheme="minorHAnsi"/>
          <w:color w:val="000000" w:themeColor="text1"/>
          <w:sz w:val="21"/>
          <w:szCs w:val="21"/>
        </w:rPr>
        <w:t>directed</w:t>
      </w:r>
      <w:r w:rsidR="00F70F21" w:rsidRPr="00A45ACB">
        <w:rPr>
          <w:rFonts w:asciiTheme="minorHAnsi" w:hAnsiTheme="minorHAnsi" w:cstheme="minorHAnsi"/>
          <w:color w:val="000000" w:themeColor="text1"/>
          <w:sz w:val="21"/>
          <w:szCs w:val="21"/>
        </w:rPr>
        <w:t xml:space="preserve"> treatments</w:t>
      </w:r>
      <w:r w:rsidR="00F70F21">
        <w:rPr>
          <w:rFonts w:asciiTheme="minorHAnsi" w:hAnsiTheme="minorHAnsi" w:cstheme="minorHAnsi"/>
          <w:color w:val="000000" w:themeColor="text1"/>
          <w:sz w:val="21"/>
          <w:szCs w:val="21"/>
        </w:rPr>
        <w:t xml:space="preserve"> </w:t>
      </w:r>
      <w:r w:rsidRPr="00A45ACB">
        <w:rPr>
          <w:rFonts w:asciiTheme="minorHAnsi" w:hAnsiTheme="minorHAnsi" w:cstheme="minorHAnsi"/>
          <w:color w:val="000000" w:themeColor="text1"/>
          <w:sz w:val="21"/>
          <w:szCs w:val="21"/>
        </w:rPr>
        <w:t xml:space="preserve">were provided as means (M), standard deviations (SD) and counts (n) for each </w:t>
      </w:r>
      <w:proofErr w:type="gramStart"/>
      <w:r w:rsidRPr="00A45ACB">
        <w:rPr>
          <w:rFonts w:asciiTheme="minorHAnsi" w:hAnsiTheme="minorHAnsi" w:cstheme="minorHAnsi"/>
          <w:color w:val="000000" w:themeColor="text1"/>
          <w:sz w:val="21"/>
          <w:szCs w:val="21"/>
        </w:rPr>
        <w:t>6 month</w:t>
      </w:r>
      <w:proofErr w:type="gramEnd"/>
      <w:r w:rsidRPr="00A45ACB">
        <w:rPr>
          <w:rFonts w:asciiTheme="minorHAnsi" w:hAnsiTheme="minorHAnsi" w:cstheme="minorHAnsi"/>
          <w:color w:val="000000" w:themeColor="text1"/>
          <w:sz w:val="21"/>
          <w:szCs w:val="21"/>
        </w:rPr>
        <w:t xml:space="preserve"> time period. The standard error was calculated as SE=SD/√n and from this, 95% confidence intervals were calculated as (M×1.96*SE, M+1.96×SE). The means and confidence intervals were then plotted against time (half-yearly period).</w:t>
      </w:r>
    </w:p>
    <w:p w14:paraId="4C6A02F8" w14:textId="01A7F5FA" w:rsidR="004037CB" w:rsidRPr="0085634F" w:rsidRDefault="004037CB" w:rsidP="00676685">
      <w:pPr>
        <w:pStyle w:val="Default"/>
        <w:spacing w:after="240"/>
        <w:rPr>
          <w:rFonts w:asciiTheme="minorHAnsi" w:hAnsiTheme="minorHAnsi" w:cstheme="minorHAnsi"/>
          <w:color w:val="000000" w:themeColor="text1"/>
          <w:sz w:val="21"/>
          <w:szCs w:val="21"/>
        </w:rPr>
      </w:pPr>
      <w:r w:rsidRPr="0085634F">
        <w:rPr>
          <w:rFonts w:asciiTheme="minorHAnsi" w:hAnsiTheme="minorHAnsi" w:cstheme="minorHAnsi"/>
          <w:color w:val="000000" w:themeColor="text1"/>
          <w:sz w:val="21"/>
          <w:szCs w:val="21"/>
        </w:rPr>
        <w:t>We compare</w:t>
      </w:r>
      <w:r w:rsidR="0085634F" w:rsidRPr="0085634F">
        <w:rPr>
          <w:rFonts w:asciiTheme="minorHAnsi" w:hAnsiTheme="minorHAnsi" w:cstheme="minorHAnsi"/>
          <w:color w:val="000000" w:themeColor="text1"/>
          <w:sz w:val="21"/>
          <w:szCs w:val="21"/>
        </w:rPr>
        <w:t>d</w:t>
      </w:r>
      <w:r w:rsidRPr="0085634F">
        <w:rPr>
          <w:rFonts w:asciiTheme="minorHAnsi" w:hAnsiTheme="minorHAnsi" w:cstheme="minorHAnsi"/>
          <w:color w:val="000000" w:themeColor="text1"/>
          <w:sz w:val="21"/>
          <w:szCs w:val="21"/>
        </w:rPr>
        <w:t xml:space="preserve"> DMHS treatment outcomes with </w:t>
      </w:r>
      <w:r w:rsidR="008F1D51" w:rsidRPr="0085634F">
        <w:rPr>
          <w:rFonts w:asciiTheme="minorHAnsi" w:hAnsiTheme="minorHAnsi" w:cstheme="minorHAnsi"/>
          <w:color w:val="000000" w:themeColor="text1"/>
          <w:sz w:val="21"/>
          <w:szCs w:val="21"/>
        </w:rPr>
        <w:t xml:space="preserve">other mental health treatments by extracting quantitative data from peer-reviewed literature and </w:t>
      </w:r>
      <w:r w:rsidR="0085634F" w:rsidRPr="0085634F">
        <w:rPr>
          <w:rFonts w:asciiTheme="minorHAnsi" w:hAnsiTheme="minorHAnsi" w:cstheme="minorHAnsi"/>
          <w:color w:val="000000" w:themeColor="text1"/>
          <w:sz w:val="21"/>
          <w:szCs w:val="21"/>
        </w:rPr>
        <w:t>calculating effect sizes (Cohen’s d)</w:t>
      </w:r>
      <w:r w:rsidR="00E14E76" w:rsidRPr="0085634F">
        <w:rPr>
          <w:rFonts w:asciiTheme="minorHAnsi" w:hAnsiTheme="minorHAnsi" w:cstheme="minorHAnsi"/>
          <w:color w:val="000000" w:themeColor="text1"/>
          <w:sz w:val="21"/>
          <w:szCs w:val="21"/>
        </w:rPr>
        <w:t>.</w:t>
      </w:r>
    </w:p>
    <w:p w14:paraId="0C6BEC9A" w14:textId="3F7091BD" w:rsidR="003F5AEF" w:rsidRPr="00862350" w:rsidRDefault="005F4CCC" w:rsidP="00676685">
      <w:pPr>
        <w:pStyle w:val="Heading3"/>
        <w:numPr>
          <w:ilvl w:val="0"/>
          <w:numId w:val="0"/>
        </w:numPr>
        <w:spacing w:after="240"/>
      </w:pPr>
      <w:r w:rsidRPr="00862350">
        <w:lastRenderedPageBreak/>
        <w:t>Qualitative data</w:t>
      </w:r>
    </w:p>
    <w:p w14:paraId="0339A671" w14:textId="5C93DE71" w:rsidR="00E260D7" w:rsidRDefault="005F4CCC" w:rsidP="00676685">
      <w:pPr>
        <w:pStyle w:val="ANorm"/>
        <w:spacing w:after="240"/>
      </w:pPr>
      <w:r w:rsidRPr="00862350">
        <w:t xml:space="preserve">In the case of qualitative </w:t>
      </w:r>
      <w:r w:rsidR="00943DF7" w:rsidRPr="00862350">
        <w:t>interview</w:t>
      </w:r>
      <w:r w:rsidRPr="00862350">
        <w:t xml:space="preserve"> and </w:t>
      </w:r>
      <w:r w:rsidR="00860027" w:rsidRPr="00862350">
        <w:t xml:space="preserve">survey </w:t>
      </w:r>
      <w:r w:rsidRPr="00862350">
        <w:t>data, we develop</w:t>
      </w:r>
      <w:r w:rsidR="00860027" w:rsidRPr="00862350">
        <w:t>ed</w:t>
      </w:r>
      <w:r w:rsidRPr="00862350">
        <w:t xml:space="preserve"> coding templates </w:t>
      </w:r>
      <w:r w:rsidR="009C7E1F" w:rsidRPr="00D84D15">
        <w:t xml:space="preserve">using Microsoft Excel </w:t>
      </w:r>
      <w:r w:rsidRPr="00862350">
        <w:t>to summarise and organise salient themes as they emerge</w:t>
      </w:r>
      <w:r w:rsidR="00860027" w:rsidRPr="00862350">
        <w:t>d</w:t>
      </w:r>
      <w:r w:rsidRPr="00862350">
        <w:t xml:space="preserve"> from the given data source. Separate cod</w:t>
      </w:r>
      <w:r w:rsidR="009B339A">
        <w:t>ing</w:t>
      </w:r>
      <w:r w:rsidRPr="00862350">
        <w:t xml:space="preserve"> </w:t>
      </w:r>
      <w:r w:rsidR="00C20605">
        <w:t>template</w:t>
      </w:r>
      <w:r w:rsidRPr="00862350">
        <w:t xml:space="preserve">s </w:t>
      </w:r>
      <w:r w:rsidR="00860027" w:rsidRPr="00862350">
        <w:t>were</w:t>
      </w:r>
      <w:r w:rsidRPr="00862350">
        <w:t xml:space="preserve"> developed for the different evaluation questions. In each case, the analysis process </w:t>
      </w:r>
      <w:r w:rsidR="00C34518" w:rsidRPr="00862350">
        <w:t>began</w:t>
      </w:r>
      <w:r w:rsidRPr="00862350">
        <w:t xml:space="preserve"> with the identification of some broad, a priori themes. Qualitative information pertaining to each evaluation question </w:t>
      </w:r>
      <w:r w:rsidR="00C34518" w:rsidRPr="00862350">
        <w:t>were</w:t>
      </w:r>
      <w:r w:rsidRPr="00862350">
        <w:t xml:space="preserve"> read and re-read with these themes in mind, and segments of text </w:t>
      </w:r>
      <w:r w:rsidR="00C34518" w:rsidRPr="00862350">
        <w:t>were</w:t>
      </w:r>
      <w:r w:rsidRPr="00862350">
        <w:t xml:space="preserve"> coded as belonging to these themes. During this process, additional broad themes </w:t>
      </w:r>
      <w:r w:rsidR="00C34518" w:rsidRPr="00862350">
        <w:t>were</w:t>
      </w:r>
      <w:r w:rsidRPr="00862350">
        <w:t xml:space="preserve"> identified, and portions of text </w:t>
      </w:r>
      <w:r w:rsidR="00C34518" w:rsidRPr="00862350">
        <w:t>were</w:t>
      </w:r>
      <w:r w:rsidRPr="00862350">
        <w:t xml:space="preserve"> coded as being relevant to these new themes. Once the final set of broad themes </w:t>
      </w:r>
      <w:r w:rsidR="00C34518" w:rsidRPr="00862350">
        <w:t>were</w:t>
      </w:r>
      <w:r w:rsidRPr="00862350">
        <w:t xml:space="preserve"> settled upon, the text relating to each theme </w:t>
      </w:r>
      <w:r w:rsidR="00C34518" w:rsidRPr="00862350">
        <w:t>were</w:t>
      </w:r>
      <w:r w:rsidRPr="00862350">
        <w:t xml:space="preserve"> re-examined and narrower themes </w:t>
      </w:r>
      <w:r w:rsidR="00C34518" w:rsidRPr="00862350">
        <w:t>were</w:t>
      </w:r>
      <w:r w:rsidRPr="00862350">
        <w:t xml:space="preserve"> identified and coded. The complete set of broad and narrow themes then form</w:t>
      </w:r>
      <w:r w:rsidR="00C34518" w:rsidRPr="00862350">
        <w:t>ed</w:t>
      </w:r>
      <w:r w:rsidRPr="00862350">
        <w:t xml:space="preserve"> the final cod</w:t>
      </w:r>
      <w:r w:rsidR="009B339A">
        <w:t>ing template</w:t>
      </w:r>
      <w:r w:rsidR="009C0910">
        <w:t xml:space="preserve"> </w:t>
      </w:r>
      <w:r w:rsidRPr="00862350">
        <w:t xml:space="preserve">that </w:t>
      </w:r>
      <w:r w:rsidR="00C34518" w:rsidRPr="00862350">
        <w:t>was</w:t>
      </w:r>
      <w:r w:rsidRPr="00862350">
        <w:t xml:space="preserve"> applied across all relevant information for a given evaluation question. This process </w:t>
      </w:r>
      <w:r w:rsidR="00C34518" w:rsidRPr="00862350">
        <w:t>was</w:t>
      </w:r>
      <w:r w:rsidRPr="00862350">
        <w:t xml:space="preserve"> iterative, and information relating to each evaluation question </w:t>
      </w:r>
      <w:r w:rsidR="00C34518" w:rsidRPr="00862350">
        <w:t>was</w:t>
      </w:r>
      <w:r w:rsidRPr="00862350">
        <w:t xml:space="preserve"> read several times.</w:t>
      </w:r>
      <w:r w:rsidR="00501EFB">
        <w:t xml:space="preserve"> </w:t>
      </w:r>
    </w:p>
    <w:p w14:paraId="1D9A3454" w14:textId="2287A2EF" w:rsidR="00D84D15" w:rsidRPr="00BB3E05" w:rsidRDefault="00D84D15" w:rsidP="00676685">
      <w:pPr>
        <w:pStyle w:val="ANorm"/>
        <w:spacing w:after="240"/>
      </w:pPr>
      <w:r w:rsidRPr="00D84D15">
        <w:t xml:space="preserve">Descriptive coding of responses and development of themes was conducted by one team member (AM, MF or SM). Ten percent of these descriptive codes were </w:t>
      </w:r>
      <w:r w:rsidR="00C04ED7" w:rsidRPr="00D84D15">
        <w:t>double coded</w:t>
      </w:r>
      <w:r w:rsidRPr="00D84D15">
        <w:t xml:space="preserve"> by another member of the team (AM, MF or SM).</w:t>
      </w:r>
    </w:p>
    <w:p w14:paraId="671BE80E" w14:textId="62251F28" w:rsidR="003A080E" w:rsidRPr="00BB3E05" w:rsidRDefault="00F40F45" w:rsidP="00676685">
      <w:pPr>
        <w:pStyle w:val="ANorm"/>
        <w:spacing w:after="240"/>
        <w:rPr>
          <w:rFonts w:asciiTheme="minorHAnsi" w:hAnsiTheme="minorHAnsi" w:cstheme="minorHAnsi"/>
        </w:rPr>
      </w:pPr>
      <w:r>
        <w:rPr>
          <w:rFonts w:asciiTheme="minorHAnsi" w:hAnsiTheme="minorHAnsi" w:cstheme="minorHAnsi"/>
        </w:rPr>
        <w:t xml:space="preserve">We </w:t>
      </w:r>
      <w:r w:rsidRPr="00862350">
        <w:rPr>
          <w:rFonts w:asciiTheme="minorHAnsi" w:hAnsiTheme="minorHAnsi" w:cstheme="minorHAnsi"/>
        </w:rPr>
        <w:t xml:space="preserve">entered </w:t>
      </w:r>
      <w:r w:rsidR="007B73E0">
        <w:rPr>
          <w:rFonts w:asciiTheme="minorHAnsi" w:hAnsiTheme="minorHAnsi" w:cstheme="minorHAnsi"/>
        </w:rPr>
        <w:t>the l</w:t>
      </w:r>
      <w:r w:rsidRPr="00862350">
        <w:rPr>
          <w:rFonts w:asciiTheme="minorHAnsi" w:hAnsiTheme="minorHAnsi" w:cstheme="minorHAnsi"/>
        </w:rPr>
        <w:t xml:space="preserve">ists of ideas </w:t>
      </w:r>
      <w:r>
        <w:rPr>
          <w:rFonts w:asciiTheme="minorHAnsi" w:hAnsiTheme="minorHAnsi" w:cstheme="minorHAnsi"/>
        </w:rPr>
        <w:t>generated in</w:t>
      </w:r>
      <w:r w:rsidR="003F5003" w:rsidRPr="00862350">
        <w:rPr>
          <w:rFonts w:asciiTheme="minorHAnsi" w:hAnsiTheme="minorHAnsi" w:cstheme="minorHAnsi"/>
        </w:rPr>
        <w:t xml:space="preserve"> the community conversations</w:t>
      </w:r>
      <w:r w:rsidRPr="00862350">
        <w:rPr>
          <w:rFonts w:asciiTheme="minorHAnsi" w:hAnsiTheme="minorHAnsi" w:cstheme="minorHAnsi"/>
        </w:rPr>
        <w:t xml:space="preserve"> </w:t>
      </w:r>
      <w:r>
        <w:rPr>
          <w:rFonts w:asciiTheme="minorHAnsi" w:hAnsiTheme="minorHAnsi" w:cstheme="minorHAnsi"/>
        </w:rPr>
        <w:t xml:space="preserve">with lived experience participants </w:t>
      </w:r>
      <w:r w:rsidR="002D3BE5" w:rsidRPr="00862350">
        <w:rPr>
          <w:rFonts w:asciiTheme="minorHAnsi" w:hAnsiTheme="minorHAnsi" w:cstheme="minorHAnsi"/>
        </w:rPr>
        <w:t xml:space="preserve">into </w:t>
      </w:r>
      <w:proofErr w:type="spellStart"/>
      <w:r w:rsidR="002D3BE5" w:rsidRPr="00862350">
        <w:rPr>
          <w:rFonts w:asciiTheme="minorHAnsi" w:hAnsiTheme="minorHAnsi" w:cstheme="minorHAnsi"/>
        </w:rPr>
        <w:t>Slido</w:t>
      </w:r>
      <w:proofErr w:type="spellEnd"/>
      <w:r w:rsidR="007B73E0">
        <w:rPr>
          <w:rFonts w:asciiTheme="minorHAnsi" w:hAnsiTheme="minorHAnsi" w:cstheme="minorHAnsi"/>
        </w:rPr>
        <w:t>. Then we</w:t>
      </w:r>
      <w:r w:rsidR="002D3BE5" w:rsidRPr="00862350">
        <w:rPr>
          <w:rFonts w:asciiTheme="minorHAnsi" w:hAnsiTheme="minorHAnsi" w:cstheme="minorHAnsi"/>
        </w:rPr>
        <w:t xml:space="preserve"> downloaded </w:t>
      </w:r>
      <w:r w:rsidR="007B73E0">
        <w:rPr>
          <w:rFonts w:asciiTheme="minorHAnsi" w:hAnsiTheme="minorHAnsi" w:cstheme="minorHAnsi"/>
        </w:rPr>
        <w:t>the</w:t>
      </w:r>
      <w:r w:rsidR="00503A92">
        <w:rPr>
          <w:rFonts w:asciiTheme="minorHAnsi" w:hAnsiTheme="minorHAnsi" w:cstheme="minorHAnsi"/>
        </w:rPr>
        <w:t>se lists</w:t>
      </w:r>
      <w:r w:rsidR="007B73E0">
        <w:rPr>
          <w:rFonts w:asciiTheme="minorHAnsi" w:hAnsiTheme="minorHAnsi" w:cstheme="minorHAnsi"/>
        </w:rPr>
        <w:t xml:space="preserve"> </w:t>
      </w:r>
      <w:r w:rsidR="002D3BE5" w:rsidRPr="00862350">
        <w:rPr>
          <w:rFonts w:asciiTheme="minorHAnsi" w:hAnsiTheme="minorHAnsi" w:cstheme="minorHAnsi"/>
        </w:rPr>
        <w:t xml:space="preserve">for preliminary thematic analysis using NVivo qualitative analysis software. </w:t>
      </w:r>
      <w:r w:rsidR="00541895">
        <w:rPr>
          <w:rFonts w:asciiTheme="minorHAnsi" w:hAnsiTheme="minorHAnsi" w:cstheme="minorHAnsi"/>
        </w:rPr>
        <w:t xml:space="preserve">We </w:t>
      </w:r>
      <w:r w:rsidR="00541895" w:rsidRPr="00862350">
        <w:rPr>
          <w:rFonts w:asciiTheme="minorHAnsi" w:hAnsiTheme="minorHAnsi" w:cstheme="minorHAnsi"/>
        </w:rPr>
        <w:t xml:space="preserve">developed </w:t>
      </w:r>
      <w:r w:rsidR="00541895">
        <w:rPr>
          <w:rFonts w:asciiTheme="minorHAnsi" w:hAnsiTheme="minorHAnsi" w:cstheme="minorHAnsi"/>
        </w:rPr>
        <w:t>a</w:t>
      </w:r>
      <w:r w:rsidR="002D3BE5" w:rsidRPr="00862350">
        <w:rPr>
          <w:rFonts w:asciiTheme="minorHAnsi" w:hAnsiTheme="minorHAnsi" w:cstheme="minorHAnsi"/>
        </w:rPr>
        <w:t xml:space="preserve">n initial list of codes line-by-line, interrogating the data for common issues. </w:t>
      </w:r>
      <w:r w:rsidR="002E2D89">
        <w:rPr>
          <w:rFonts w:asciiTheme="minorHAnsi" w:hAnsiTheme="minorHAnsi" w:cstheme="minorHAnsi"/>
        </w:rPr>
        <w:t>We</w:t>
      </w:r>
      <w:r w:rsidR="002D3BE5" w:rsidRPr="00862350">
        <w:rPr>
          <w:rFonts w:asciiTheme="minorHAnsi" w:hAnsiTheme="minorHAnsi" w:cstheme="minorHAnsi"/>
        </w:rPr>
        <w:t xml:space="preserve"> then combined </w:t>
      </w:r>
      <w:r w:rsidR="002E2D89">
        <w:rPr>
          <w:rFonts w:asciiTheme="minorHAnsi" w:hAnsiTheme="minorHAnsi" w:cstheme="minorHAnsi"/>
        </w:rPr>
        <w:t xml:space="preserve">these issues </w:t>
      </w:r>
      <w:r w:rsidR="002D3BE5" w:rsidRPr="00862350">
        <w:rPr>
          <w:rFonts w:asciiTheme="minorHAnsi" w:hAnsiTheme="minorHAnsi" w:cstheme="minorHAnsi"/>
        </w:rPr>
        <w:t xml:space="preserve">into larger thematic </w:t>
      </w:r>
      <w:proofErr w:type="gramStart"/>
      <w:r w:rsidR="002D3BE5" w:rsidRPr="00862350">
        <w:rPr>
          <w:rFonts w:asciiTheme="minorHAnsi" w:hAnsiTheme="minorHAnsi" w:cstheme="minorHAnsi"/>
        </w:rPr>
        <w:t xml:space="preserve">areas, </w:t>
      </w:r>
      <w:r w:rsidR="002E2D89">
        <w:rPr>
          <w:rFonts w:asciiTheme="minorHAnsi" w:hAnsiTheme="minorHAnsi" w:cstheme="minorHAnsi"/>
        </w:rPr>
        <w:t>and</w:t>
      </w:r>
      <w:proofErr w:type="gramEnd"/>
      <w:r w:rsidR="002E2D89">
        <w:rPr>
          <w:rFonts w:asciiTheme="minorHAnsi" w:hAnsiTheme="minorHAnsi" w:cstheme="minorHAnsi"/>
        </w:rPr>
        <w:t xml:space="preserve"> assigned</w:t>
      </w:r>
      <w:r w:rsidR="002D3BE5" w:rsidRPr="00862350">
        <w:rPr>
          <w:rFonts w:asciiTheme="minorHAnsi" w:hAnsiTheme="minorHAnsi" w:cstheme="minorHAnsi"/>
        </w:rPr>
        <w:t xml:space="preserve"> descriptive titles to demonstrate the major areas of strength, barriers and effectiveness.</w:t>
      </w:r>
      <w:r w:rsidR="003A080E">
        <w:rPr>
          <w:highlight w:val="green"/>
        </w:rPr>
        <w:br w:type="page"/>
      </w:r>
    </w:p>
    <w:p w14:paraId="6E7BAA2A" w14:textId="6CCE1C61" w:rsidR="00AF5FBA" w:rsidRPr="00BB3E05" w:rsidRDefault="00AF5FBA" w:rsidP="00BB3E05">
      <w:pPr>
        <w:pStyle w:val="Heading1"/>
      </w:pPr>
      <w:bookmarkStart w:id="325" w:name="_Toc108784921"/>
      <w:r w:rsidRPr="00AF5FBA">
        <w:lastRenderedPageBreak/>
        <w:t xml:space="preserve">Appendix </w:t>
      </w:r>
      <w:r w:rsidR="003B7F9C">
        <w:t>C</w:t>
      </w:r>
      <w:r w:rsidRPr="00AF5FBA">
        <w:t>: Mental Health Online outcome evaluation of Therapist Assist</w:t>
      </w:r>
      <w:bookmarkEnd w:id="325"/>
    </w:p>
    <w:p w14:paraId="04A447F4" w14:textId="68A955AD" w:rsidR="00AF5FBA" w:rsidRDefault="00AF5FBA" w:rsidP="006F6DCB">
      <w:pPr>
        <w:pStyle w:val="Heading2"/>
        <w:numPr>
          <w:ilvl w:val="0"/>
          <w:numId w:val="0"/>
        </w:numPr>
      </w:pPr>
      <w:bookmarkStart w:id="326" w:name="_Toc108784922"/>
      <w:r>
        <w:t>K6 data collection</w:t>
      </w:r>
      <w:bookmarkEnd w:id="326"/>
    </w:p>
    <w:p w14:paraId="13741DA1" w14:textId="42E89485" w:rsidR="00AF5FBA" w:rsidRDefault="00AF5FBA" w:rsidP="007560FC">
      <w:pPr>
        <w:spacing w:after="240"/>
        <w:rPr>
          <w:rFonts w:asciiTheme="minorHAnsi" w:hAnsiTheme="minorHAnsi" w:cstheme="minorHAnsi"/>
          <w:sz w:val="21"/>
          <w:szCs w:val="21"/>
        </w:rPr>
      </w:pPr>
      <w:r w:rsidRPr="002E45D4">
        <w:rPr>
          <w:rFonts w:asciiTheme="minorHAnsi" w:hAnsiTheme="minorHAnsi" w:cstheme="minorHAnsi"/>
          <w:sz w:val="21"/>
          <w:szCs w:val="21"/>
        </w:rPr>
        <w:t xml:space="preserve">In September 2021, Mental Health Online commenced an ongoing evaluation of their Therapist Assist program. This involved </w:t>
      </w:r>
      <w:r w:rsidRPr="00374A3E">
        <w:rPr>
          <w:rFonts w:asciiTheme="minorHAnsi" w:hAnsiTheme="minorHAnsi" w:cstheme="minorHAnsi"/>
          <w:sz w:val="21"/>
          <w:szCs w:val="21"/>
        </w:rPr>
        <w:t xml:space="preserve">collecting Kessler Psychological Distress Scale 6 </w:t>
      </w:r>
      <w:r w:rsidR="00374A3E" w:rsidRPr="00374A3E">
        <w:rPr>
          <w:rFonts w:asciiTheme="minorHAnsi" w:hAnsiTheme="minorHAnsi" w:cstheme="minorHAnsi"/>
          <w:sz w:val="21"/>
          <w:szCs w:val="21"/>
        </w:rPr>
        <w:t xml:space="preserve">-Item version </w:t>
      </w:r>
      <w:r w:rsidRPr="00374A3E">
        <w:rPr>
          <w:rFonts w:asciiTheme="minorHAnsi" w:hAnsiTheme="minorHAnsi" w:cstheme="minorHAnsi"/>
          <w:sz w:val="21"/>
          <w:szCs w:val="21"/>
        </w:rPr>
        <w:t>(K6) data at baseline</w:t>
      </w:r>
      <w:r w:rsidRPr="002E45D4">
        <w:rPr>
          <w:rFonts w:asciiTheme="minorHAnsi" w:hAnsiTheme="minorHAnsi" w:cstheme="minorHAnsi"/>
          <w:sz w:val="21"/>
          <w:szCs w:val="21"/>
        </w:rPr>
        <w:t>, 6 weeks and 12 weeks via brief, optional surveys between 2 September 2021 and 2 February 2022. Consumers were reimbursed with a $10 gift card per timepoint completed. Consumers who did not provide baseline data were not invited to complete the 6-week survey, but all eligible consumers during this period received a 12-week survey invitation. Overall, 101 consumers were invited to complete baseline surveys, 69 6-week surveys and 110 12-week surveys.</w:t>
      </w:r>
    </w:p>
    <w:p w14:paraId="7AA02FA5" w14:textId="25539055" w:rsidR="00AF5FBA" w:rsidRDefault="00AF5FBA" w:rsidP="007560FC">
      <w:pPr>
        <w:spacing w:after="240"/>
        <w:rPr>
          <w:rFonts w:asciiTheme="minorHAnsi" w:hAnsiTheme="minorHAnsi" w:cstheme="minorHAnsi"/>
          <w:sz w:val="21"/>
          <w:szCs w:val="21"/>
        </w:rPr>
      </w:pPr>
      <w:r w:rsidRPr="002E45D4">
        <w:rPr>
          <w:rFonts w:asciiTheme="minorHAnsi" w:hAnsiTheme="minorHAnsi" w:cstheme="minorHAnsi"/>
          <w:sz w:val="21"/>
          <w:szCs w:val="21"/>
        </w:rPr>
        <w:t>Eleven consumers’ baseline K6 scores were drawn from a separate (optional), assessment (</w:t>
      </w:r>
      <w:proofErr w:type="spellStart"/>
      <w:r w:rsidR="00950B07">
        <w:rPr>
          <w:rFonts w:asciiTheme="minorHAnsi" w:hAnsiTheme="minorHAnsi" w:cstheme="minorHAnsi"/>
          <w:sz w:val="21"/>
          <w:szCs w:val="21"/>
        </w:rPr>
        <w:t>ePASS</w:t>
      </w:r>
      <w:proofErr w:type="spellEnd"/>
      <w:r w:rsidRPr="002E45D4">
        <w:rPr>
          <w:rFonts w:asciiTheme="minorHAnsi" w:hAnsiTheme="minorHAnsi" w:cstheme="minorHAnsi"/>
          <w:sz w:val="21"/>
          <w:szCs w:val="21"/>
        </w:rPr>
        <w:t xml:space="preserve">) on the Mental Health Online website (used if completed within </w:t>
      </w:r>
      <w:r w:rsidR="00C809F8">
        <w:rPr>
          <w:rFonts w:asciiTheme="minorHAnsi" w:hAnsiTheme="minorHAnsi" w:cstheme="minorHAnsi"/>
          <w:sz w:val="21"/>
          <w:szCs w:val="21"/>
        </w:rPr>
        <w:t>four</w:t>
      </w:r>
      <w:r w:rsidRPr="002E45D4">
        <w:rPr>
          <w:rFonts w:asciiTheme="minorHAnsi" w:hAnsiTheme="minorHAnsi" w:cstheme="minorHAnsi"/>
          <w:sz w:val="21"/>
          <w:szCs w:val="21"/>
        </w:rPr>
        <w:t xml:space="preserve"> weeks of commencing therapist support), as they commenced Therapist Assist prior to the data collection period (n=8) or they completed the 12-week, but not the baseline survey (n=3). </w:t>
      </w:r>
    </w:p>
    <w:p w14:paraId="2CA4F197" w14:textId="4C704B8E" w:rsidR="00AF5FBA" w:rsidRDefault="00AF5FBA" w:rsidP="007560FC">
      <w:pPr>
        <w:spacing w:after="240"/>
        <w:rPr>
          <w:rFonts w:asciiTheme="minorHAnsi" w:hAnsiTheme="minorHAnsi" w:cstheme="minorHAnsi"/>
          <w:sz w:val="21"/>
          <w:szCs w:val="21"/>
        </w:rPr>
      </w:pPr>
      <w:r w:rsidRPr="002E45D4">
        <w:rPr>
          <w:rFonts w:asciiTheme="minorHAnsi" w:hAnsiTheme="minorHAnsi" w:cstheme="minorHAnsi"/>
          <w:sz w:val="21"/>
          <w:szCs w:val="21"/>
        </w:rPr>
        <w:t xml:space="preserve">Mental Health Online conducted an interim analysis of the data collected from September 2021 to January 2022 inclusive </w:t>
      </w:r>
      <w:r w:rsidRPr="004C0D64">
        <w:rPr>
          <w:rFonts w:asciiTheme="minorHAnsi" w:hAnsiTheme="minorHAnsi" w:cstheme="minorHAnsi"/>
          <w:sz w:val="21"/>
          <w:szCs w:val="21"/>
        </w:rPr>
        <w:t xml:space="preserve">and noted that baseline scores are equivalent to those aged 18+ at headspace </w:t>
      </w:r>
      <w:r w:rsidR="003113AA" w:rsidRPr="004C0D64">
        <w:rPr>
          <w:rFonts w:asciiTheme="minorHAnsi" w:hAnsiTheme="minorHAnsi" w:cstheme="minorHAnsi"/>
          <w:sz w:val="21"/>
          <w:szCs w:val="21"/>
        </w:rPr>
        <w:t>.</w:t>
      </w:r>
      <w:r w:rsidR="00B81CB1" w:rsidRPr="004C0D64">
        <w:rPr>
          <w:rFonts w:asciiTheme="minorHAnsi" w:hAnsiTheme="minorHAnsi" w:cstheme="minorHAnsi"/>
          <w:sz w:val="21"/>
          <w:szCs w:val="21"/>
        </w:rPr>
        <w:fldChar w:fldCharType="begin"/>
      </w:r>
      <w:r w:rsidR="00C178C5">
        <w:rPr>
          <w:rFonts w:asciiTheme="minorHAnsi" w:hAnsiTheme="minorHAnsi" w:cstheme="minorHAnsi"/>
          <w:sz w:val="21"/>
          <w:szCs w:val="21"/>
        </w:rPr>
        <w:instrText xml:space="preserve"> ADDIN EN.CITE &lt;EndNote&gt;&lt;Cite&gt;&lt;Author&gt;Cotton&lt;/Author&gt;&lt;Year&gt;2021&lt;/Year&gt;&lt;RecNum&gt;129&lt;/RecNum&gt;&lt;DisplayText&gt;&lt;style face="superscript"&gt;92&lt;/style&gt;&lt;/DisplayText&gt;&lt;record&gt;&lt;rec-number&gt;129&lt;/rec-number&gt;&lt;foreign-keys&gt;&lt;key app="EN" db-id="dawtr0zrkrzfa5edzzlpe2we0xa00t90vvr2" timestamp="1649831657"&gt;129&lt;/key&gt;&lt;/foreign-keys&gt;&lt;ref-type name="Journal Article"&gt;17&lt;/ref-type&gt;&lt;contributors&gt;&lt;authors&gt;&lt;author&gt;Cotton, S. M.&lt;/author&gt;&lt;author&gt;Menssink, J.&lt;/author&gt;&lt;author&gt;Filia, K.&lt;/author&gt;&lt;author&gt;Rickwood, D.&lt;/author&gt;&lt;author&gt;Hickie, I. B.&lt;/author&gt;&lt;author&gt;Hamilton, M.&lt;/author&gt;&lt;author&gt;Hetrick, S.&lt;/author&gt;&lt;author&gt;Parker, A.&lt;/author&gt;&lt;author&gt;Herrman, H.&lt;/author&gt;&lt;author&gt;McGorry, P. D.&lt;/author&gt;&lt;author&gt;Gao, C.&lt;/author&gt;&lt;/authors&gt;&lt;/contributors&gt;&lt;titles&gt;&lt;title&gt;The psychometric characteristics of the Kessler Psychological Distress Scale (K6) in help-seeking youth: What do you miss when using it as an outcome measure?&lt;/title&gt;&lt;secondary-title&gt;Psychiatry Research&lt;/secondary-title&gt;&lt;/titles&gt;&lt;periodical&gt;&lt;full-title&gt;Psychiatry Research&lt;/full-title&gt;&lt;/periodical&gt;&lt;pages&gt;114182&lt;/pages&gt;&lt;volume&gt;305&lt;/volume&gt;&lt;keywords&gt;&lt;keyword&gt;Adolescence&lt;/keyword&gt;&lt;keyword&gt;Psychological distress&lt;/keyword&gt;&lt;keyword&gt;Psychometrics&lt;/keyword&gt;&lt;keyword&gt;Outcome assessment&lt;/keyword&gt;&lt;keyword&gt;Health Care Primary Health Care&lt;/keyword&gt;&lt;keyword&gt;Cohort studies&lt;/keyword&gt;&lt;/keywords&gt;&lt;dates&gt;&lt;year&gt;2021&lt;/year&gt;&lt;pub-dates&gt;&lt;date&gt;2021/11/01/&lt;/date&gt;&lt;/pub-dates&gt;&lt;/dates&gt;&lt;isbn&gt;0165-1781&lt;/isbn&gt;&lt;urls&gt;&lt;related-urls&gt;&lt;url&gt;https://www.sciencedirect.com/science/article/pii/S0165178121004789&lt;/url&gt;&lt;/related-urls&gt;&lt;/urls&gt;&lt;electronic-resource-num&gt;https://doi.org/10.1016/j.psychres.2021.114182&lt;/electronic-resource-num&gt;&lt;/record&gt;&lt;/Cite&gt;&lt;/EndNote&gt;</w:instrText>
      </w:r>
      <w:r w:rsidR="00B81CB1" w:rsidRPr="004C0D64">
        <w:rPr>
          <w:rFonts w:asciiTheme="minorHAnsi" w:hAnsiTheme="minorHAnsi" w:cstheme="minorHAnsi"/>
          <w:sz w:val="21"/>
          <w:szCs w:val="21"/>
        </w:rPr>
        <w:fldChar w:fldCharType="separate"/>
      </w:r>
      <w:r w:rsidR="00C178C5" w:rsidRPr="00C178C5">
        <w:rPr>
          <w:rFonts w:asciiTheme="minorHAnsi" w:hAnsiTheme="minorHAnsi" w:cstheme="minorHAnsi"/>
          <w:noProof/>
          <w:sz w:val="21"/>
          <w:szCs w:val="21"/>
          <w:vertAlign w:val="superscript"/>
        </w:rPr>
        <w:t>92</w:t>
      </w:r>
      <w:r w:rsidR="00B81CB1" w:rsidRPr="004C0D64">
        <w:rPr>
          <w:rFonts w:asciiTheme="minorHAnsi" w:hAnsiTheme="minorHAnsi" w:cstheme="minorHAnsi"/>
          <w:sz w:val="21"/>
          <w:szCs w:val="21"/>
        </w:rPr>
        <w:fldChar w:fldCharType="end"/>
      </w:r>
      <w:r w:rsidRPr="002E45D4">
        <w:rPr>
          <w:rFonts w:asciiTheme="minorHAnsi" w:hAnsiTheme="minorHAnsi" w:cstheme="minorHAnsi"/>
          <w:sz w:val="21"/>
          <w:szCs w:val="21"/>
        </w:rPr>
        <w:t xml:space="preserve"> </w:t>
      </w:r>
    </w:p>
    <w:p w14:paraId="4A37687B" w14:textId="11566B7D" w:rsidR="00AF5FBA" w:rsidRPr="001F11CC" w:rsidRDefault="00AF5FBA" w:rsidP="007560FC">
      <w:pPr>
        <w:pStyle w:val="Heading2"/>
        <w:numPr>
          <w:ilvl w:val="0"/>
          <w:numId w:val="0"/>
        </w:numPr>
        <w:spacing w:after="240"/>
      </w:pPr>
      <w:bookmarkStart w:id="327" w:name="_Toc108784923"/>
      <w:r>
        <w:t>Sample representativeness</w:t>
      </w:r>
      <w:bookmarkEnd w:id="327"/>
    </w:p>
    <w:p w14:paraId="5E23B892" w14:textId="2C3A19D5" w:rsidR="00D25872" w:rsidRPr="00D25872" w:rsidRDefault="00AF5FBA" w:rsidP="007560FC">
      <w:pPr>
        <w:spacing w:after="240"/>
        <w:rPr>
          <w:rFonts w:asciiTheme="minorHAnsi" w:hAnsiTheme="minorHAnsi" w:cstheme="minorHAnsi"/>
          <w:sz w:val="21"/>
          <w:szCs w:val="21"/>
        </w:rPr>
      </w:pPr>
      <w:r w:rsidRPr="002E45D4">
        <w:rPr>
          <w:rFonts w:asciiTheme="minorHAnsi" w:hAnsiTheme="minorHAnsi" w:cstheme="minorHAnsi"/>
          <w:sz w:val="21"/>
          <w:szCs w:val="21"/>
        </w:rPr>
        <w:t>Mental Health Online found that</w:t>
      </w:r>
      <w:r w:rsidR="001E39A3">
        <w:rPr>
          <w:rFonts w:asciiTheme="minorHAnsi" w:hAnsiTheme="minorHAnsi" w:cstheme="minorHAnsi"/>
          <w:sz w:val="21"/>
          <w:szCs w:val="21"/>
        </w:rPr>
        <w:t xml:space="preserve"> there were no significant differences between</w:t>
      </w:r>
      <w:r w:rsidRPr="002E45D4">
        <w:rPr>
          <w:rFonts w:asciiTheme="minorHAnsi" w:hAnsiTheme="minorHAnsi" w:cstheme="minorHAnsi"/>
          <w:sz w:val="21"/>
          <w:szCs w:val="21"/>
        </w:rPr>
        <w:t xml:space="preserve"> this sample (n=25)</w:t>
      </w:r>
      <w:r w:rsidR="001E39A3">
        <w:rPr>
          <w:rFonts w:asciiTheme="minorHAnsi" w:hAnsiTheme="minorHAnsi" w:cstheme="minorHAnsi"/>
          <w:sz w:val="21"/>
          <w:szCs w:val="21"/>
        </w:rPr>
        <w:t xml:space="preserve"> and</w:t>
      </w:r>
      <w:r w:rsidRPr="002E45D4">
        <w:rPr>
          <w:rFonts w:asciiTheme="minorHAnsi" w:hAnsiTheme="minorHAnsi" w:cstheme="minorHAnsi"/>
          <w:sz w:val="21"/>
          <w:szCs w:val="21"/>
        </w:rPr>
        <w:t xml:space="preserve"> the </w:t>
      </w:r>
      <w:r w:rsidRPr="004C0D64">
        <w:rPr>
          <w:rFonts w:asciiTheme="minorHAnsi" w:hAnsiTheme="minorHAnsi" w:cstheme="minorHAnsi"/>
          <w:sz w:val="21"/>
          <w:szCs w:val="21"/>
        </w:rPr>
        <w:t>broader group of consumers (N=2</w:t>
      </w:r>
      <w:r w:rsidR="001E39A3" w:rsidRPr="004C0D64">
        <w:rPr>
          <w:rFonts w:asciiTheme="minorHAnsi" w:hAnsiTheme="minorHAnsi" w:cstheme="minorHAnsi"/>
          <w:sz w:val="21"/>
          <w:szCs w:val="21"/>
        </w:rPr>
        <w:t>,</w:t>
      </w:r>
      <w:r w:rsidRPr="004C0D64">
        <w:rPr>
          <w:rFonts w:asciiTheme="minorHAnsi" w:hAnsiTheme="minorHAnsi" w:cstheme="minorHAnsi"/>
          <w:sz w:val="21"/>
          <w:szCs w:val="21"/>
        </w:rPr>
        <w:t>318) allocated to Therapist Assist</w:t>
      </w:r>
      <w:r w:rsidR="001E39A3" w:rsidRPr="004C0D64">
        <w:rPr>
          <w:rFonts w:asciiTheme="minorHAnsi" w:hAnsiTheme="minorHAnsi" w:cstheme="minorHAnsi"/>
          <w:sz w:val="21"/>
          <w:szCs w:val="21"/>
        </w:rPr>
        <w:t xml:space="preserve"> in average age (</w:t>
      </w:r>
      <w:proofErr w:type="gramStart"/>
      <w:r w:rsidR="001E39A3" w:rsidRPr="004C0D64">
        <w:rPr>
          <w:rFonts w:asciiTheme="minorHAnsi" w:hAnsiTheme="minorHAnsi" w:cstheme="minorHAnsi"/>
          <w:sz w:val="21"/>
          <w:szCs w:val="21"/>
        </w:rPr>
        <w:t>t</w:t>
      </w:r>
      <w:r w:rsidR="00C31F1C" w:rsidRPr="004C0D64">
        <w:rPr>
          <w:rFonts w:asciiTheme="minorHAnsi" w:hAnsiTheme="minorHAnsi" w:cstheme="minorHAnsi"/>
          <w:sz w:val="21"/>
          <w:szCs w:val="21"/>
        </w:rPr>
        <w:t>(</w:t>
      </w:r>
      <w:proofErr w:type="gramEnd"/>
      <w:r w:rsidR="00C31F1C" w:rsidRPr="004C0D64">
        <w:rPr>
          <w:rFonts w:asciiTheme="minorHAnsi" w:hAnsiTheme="minorHAnsi" w:cstheme="minorHAnsi"/>
          <w:sz w:val="21"/>
          <w:szCs w:val="21"/>
        </w:rPr>
        <w:t>24)=.31, p=.62), sex (Chi</w:t>
      </w:r>
      <w:r w:rsidR="00005373" w:rsidRPr="004C0D64">
        <w:rPr>
          <w:rFonts w:asciiTheme="minorHAnsi" w:hAnsiTheme="minorHAnsi" w:cstheme="minorHAnsi"/>
          <w:sz w:val="21"/>
          <w:szCs w:val="21"/>
          <w:vertAlign w:val="superscript"/>
        </w:rPr>
        <w:t>2</w:t>
      </w:r>
      <w:r w:rsidR="00005373" w:rsidRPr="004C0D64">
        <w:rPr>
          <w:rFonts w:asciiTheme="minorHAnsi" w:hAnsiTheme="minorHAnsi" w:cstheme="minorHAnsi"/>
          <w:sz w:val="21"/>
          <w:szCs w:val="21"/>
        </w:rPr>
        <w:t>=</w:t>
      </w:r>
      <w:r w:rsidR="00C31F1C" w:rsidRPr="004C0D64">
        <w:rPr>
          <w:rFonts w:asciiTheme="minorHAnsi" w:hAnsiTheme="minorHAnsi" w:cstheme="minorHAnsi"/>
          <w:sz w:val="21"/>
          <w:szCs w:val="21"/>
        </w:rPr>
        <w:t>0.377</w:t>
      </w:r>
      <w:r w:rsidR="00005373" w:rsidRPr="004C0D64">
        <w:rPr>
          <w:rFonts w:asciiTheme="minorHAnsi" w:hAnsiTheme="minorHAnsi" w:cstheme="minorHAnsi"/>
          <w:sz w:val="21"/>
          <w:szCs w:val="21"/>
        </w:rPr>
        <w:t xml:space="preserve">, </w:t>
      </w:r>
      <w:r w:rsidR="00C31F1C" w:rsidRPr="004C0D64">
        <w:rPr>
          <w:rFonts w:asciiTheme="minorHAnsi" w:hAnsiTheme="minorHAnsi" w:cstheme="minorHAnsi"/>
          <w:sz w:val="21"/>
          <w:szCs w:val="21"/>
        </w:rPr>
        <w:t>df</w:t>
      </w:r>
      <w:r w:rsidR="0055447B" w:rsidRPr="004C0D64">
        <w:rPr>
          <w:rFonts w:asciiTheme="minorHAnsi" w:hAnsiTheme="minorHAnsi" w:cstheme="minorHAnsi"/>
          <w:sz w:val="21"/>
          <w:szCs w:val="21"/>
        </w:rPr>
        <w:t>=</w:t>
      </w:r>
      <w:r w:rsidR="00C31F1C" w:rsidRPr="004C0D64">
        <w:rPr>
          <w:rFonts w:asciiTheme="minorHAnsi" w:hAnsiTheme="minorHAnsi" w:cstheme="minorHAnsi"/>
          <w:sz w:val="21"/>
          <w:szCs w:val="21"/>
        </w:rPr>
        <w:t>1, p &gt; .1) or the distribution of program types completed (</w:t>
      </w:r>
      <w:r w:rsidR="00EE7611" w:rsidRPr="004C0D64">
        <w:rPr>
          <w:rFonts w:asciiTheme="minorHAnsi" w:hAnsiTheme="minorHAnsi" w:cstheme="minorHAnsi"/>
          <w:sz w:val="21"/>
          <w:szCs w:val="21"/>
        </w:rPr>
        <w:t>Chi</w:t>
      </w:r>
      <w:r w:rsidR="00220AF6" w:rsidRPr="004C0D64">
        <w:rPr>
          <w:rFonts w:asciiTheme="minorHAnsi" w:hAnsiTheme="minorHAnsi" w:cstheme="minorHAnsi"/>
          <w:sz w:val="21"/>
          <w:szCs w:val="21"/>
          <w:vertAlign w:val="superscript"/>
        </w:rPr>
        <w:t>2</w:t>
      </w:r>
      <w:r w:rsidR="00220AF6" w:rsidRPr="004C0D64">
        <w:rPr>
          <w:rFonts w:asciiTheme="minorHAnsi" w:hAnsiTheme="minorHAnsi" w:cstheme="minorHAnsi"/>
          <w:sz w:val="21"/>
          <w:szCs w:val="21"/>
        </w:rPr>
        <w:t>=</w:t>
      </w:r>
      <w:r w:rsidR="00C31F1C" w:rsidRPr="004C0D64">
        <w:rPr>
          <w:rFonts w:asciiTheme="minorHAnsi" w:hAnsiTheme="minorHAnsi" w:cstheme="minorHAnsi"/>
          <w:sz w:val="21"/>
          <w:szCs w:val="21"/>
        </w:rPr>
        <w:t>0.444</w:t>
      </w:r>
      <w:r w:rsidR="00005373" w:rsidRPr="004C0D64">
        <w:rPr>
          <w:rFonts w:asciiTheme="minorHAnsi" w:hAnsiTheme="minorHAnsi" w:cstheme="minorHAnsi"/>
          <w:sz w:val="21"/>
          <w:szCs w:val="21"/>
        </w:rPr>
        <w:t>,</w:t>
      </w:r>
      <w:r w:rsidR="00C31F1C" w:rsidRPr="004C0D64">
        <w:rPr>
          <w:rFonts w:asciiTheme="minorHAnsi" w:hAnsiTheme="minorHAnsi" w:cstheme="minorHAnsi"/>
          <w:sz w:val="21"/>
          <w:szCs w:val="21"/>
        </w:rPr>
        <w:t xml:space="preserve"> df</w:t>
      </w:r>
      <w:r w:rsidR="0055447B" w:rsidRPr="004C0D64">
        <w:rPr>
          <w:rFonts w:asciiTheme="minorHAnsi" w:hAnsiTheme="minorHAnsi" w:cstheme="minorHAnsi"/>
          <w:sz w:val="21"/>
          <w:szCs w:val="21"/>
        </w:rPr>
        <w:t>=</w:t>
      </w:r>
      <w:r w:rsidR="00C31F1C" w:rsidRPr="004C0D64">
        <w:rPr>
          <w:rFonts w:asciiTheme="minorHAnsi" w:hAnsiTheme="minorHAnsi" w:cstheme="minorHAnsi"/>
          <w:sz w:val="21"/>
          <w:szCs w:val="21"/>
        </w:rPr>
        <w:t xml:space="preserve">3, p &gt; .1). Accordingly, Mental Health Online concluded the sample </w:t>
      </w:r>
      <w:r w:rsidR="001E39A3" w:rsidRPr="004C0D64">
        <w:rPr>
          <w:rFonts w:asciiTheme="minorHAnsi" w:hAnsiTheme="minorHAnsi" w:cstheme="minorHAnsi"/>
          <w:sz w:val="21"/>
          <w:szCs w:val="21"/>
        </w:rPr>
        <w:t>was representative of</w:t>
      </w:r>
      <w:r w:rsidR="00C31F1C" w:rsidRPr="004C0D64">
        <w:rPr>
          <w:rFonts w:asciiTheme="minorHAnsi" w:hAnsiTheme="minorHAnsi" w:cstheme="minorHAnsi"/>
          <w:sz w:val="21"/>
          <w:szCs w:val="21"/>
        </w:rPr>
        <w:t xml:space="preserve"> the broader population of consumers allocated</w:t>
      </w:r>
      <w:r w:rsidR="00C31F1C">
        <w:rPr>
          <w:rFonts w:asciiTheme="minorHAnsi" w:hAnsiTheme="minorHAnsi" w:cstheme="minorHAnsi"/>
          <w:sz w:val="21"/>
          <w:szCs w:val="21"/>
        </w:rPr>
        <w:t xml:space="preserve"> to Therapist Assist.</w:t>
      </w:r>
    </w:p>
    <w:p w14:paraId="4EBD9CE9" w14:textId="5B396C83" w:rsidR="00C70A18" w:rsidRDefault="00C70A18">
      <w:pPr>
        <w:rPr>
          <w:rFonts w:asciiTheme="minorHAnsi" w:hAnsiTheme="minorHAnsi" w:cstheme="minorHAnsi"/>
          <w:sz w:val="21"/>
          <w:szCs w:val="21"/>
        </w:rPr>
      </w:pPr>
      <w:r>
        <w:rPr>
          <w:rFonts w:asciiTheme="minorHAnsi" w:hAnsiTheme="minorHAnsi" w:cstheme="minorHAnsi"/>
          <w:sz w:val="21"/>
          <w:szCs w:val="21"/>
        </w:rPr>
        <w:br w:type="page"/>
      </w:r>
    </w:p>
    <w:p w14:paraId="44EF0492" w14:textId="579D30A4" w:rsidR="00E41B7C" w:rsidRPr="00E41B7C" w:rsidRDefault="00623540" w:rsidP="009F2338">
      <w:pPr>
        <w:pStyle w:val="Heading1"/>
      </w:pPr>
      <w:bookmarkStart w:id="328" w:name="_Toc108784924"/>
      <w:r>
        <w:lastRenderedPageBreak/>
        <w:t xml:space="preserve">Appendix </w:t>
      </w:r>
      <w:r w:rsidR="003B7F9C">
        <w:t>D</w:t>
      </w:r>
      <w:r w:rsidR="007E20A8">
        <w:t>: Consumer survey and interview questions</w:t>
      </w:r>
      <w:bookmarkEnd w:id="328"/>
    </w:p>
    <w:p w14:paraId="56FA071C" w14:textId="57A24BA1" w:rsidR="005026FD" w:rsidRDefault="005026FD" w:rsidP="006F6DCB">
      <w:pPr>
        <w:pStyle w:val="Heading2"/>
        <w:numPr>
          <w:ilvl w:val="0"/>
          <w:numId w:val="0"/>
        </w:numPr>
      </w:pPr>
      <w:bookmarkStart w:id="329" w:name="_Toc108784925"/>
      <w:r>
        <w:t>Survey questions</w:t>
      </w:r>
      <w:bookmarkEnd w:id="329"/>
    </w:p>
    <w:p w14:paraId="403FE2C8" w14:textId="4629CD8D" w:rsidR="002D1D7C" w:rsidRPr="009F2338" w:rsidRDefault="002D1D7C" w:rsidP="007560FC">
      <w:pPr>
        <w:spacing w:after="240"/>
        <w:rPr>
          <w:rFonts w:asciiTheme="minorHAnsi" w:eastAsia="MS Mincho" w:hAnsiTheme="minorHAnsi" w:cstheme="minorBidi"/>
          <w:sz w:val="21"/>
          <w:szCs w:val="21"/>
          <w:lang w:val="en-US"/>
        </w:rPr>
      </w:pPr>
      <w:r w:rsidRPr="002D1D7C">
        <w:rPr>
          <w:rFonts w:asciiTheme="minorHAnsi" w:eastAsia="MS Mincho" w:hAnsiTheme="minorHAnsi" w:cstheme="minorBidi"/>
          <w:sz w:val="21"/>
          <w:szCs w:val="21"/>
          <w:lang w:val="en-US"/>
        </w:rPr>
        <w:t xml:space="preserve">Thank you for agreeing to participate in this survey about using ‘supported’ digital mental health services. </w:t>
      </w:r>
      <w:bookmarkStart w:id="330" w:name="_Hlk79669531"/>
      <w:r w:rsidRPr="002D1D7C">
        <w:rPr>
          <w:rFonts w:asciiTheme="minorHAnsi" w:eastAsia="MS Mincho" w:hAnsiTheme="minorHAnsi" w:cstheme="minorBidi"/>
          <w:sz w:val="21"/>
          <w:szCs w:val="21"/>
          <w:lang w:val="en-US"/>
        </w:rPr>
        <w:t>We are interested in mental health services that are delivered online via desktop computers or mobile devices. When we refer to supported digital mental health services, we mean that the digital service includes the option of receiving support from a therapist within the program</w:t>
      </w:r>
      <w:bookmarkEnd w:id="330"/>
      <w:r w:rsidRPr="002D1D7C">
        <w:rPr>
          <w:rFonts w:asciiTheme="minorHAnsi" w:eastAsia="MS Mincho" w:hAnsiTheme="minorHAnsi" w:cstheme="minorBidi"/>
          <w:sz w:val="21"/>
          <w:szCs w:val="21"/>
          <w:lang w:val="en-US"/>
        </w:rPr>
        <w:t>. This survey focuses on your experiences of care. The survey will take about 20 minutes. Your responses are confidential, and you are free to withdraw from the survey at any stage.</w:t>
      </w:r>
    </w:p>
    <w:tbl>
      <w:tblPr>
        <w:tblStyle w:val="TableGrid2"/>
        <w:tblW w:w="0" w:type="auto"/>
        <w:tblLook w:val="04A0" w:firstRow="1" w:lastRow="0" w:firstColumn="1" w:lastColumn="0" w:noHBand="0" w:noVBand="1"/>
      </w:tblPr>
      <w:tblGrid>
        <w:gridCol w:w="9242"/>
      </w:tblGrid>
      <w:tr w:rsidR="002D1D7C" w:rsidRPr="002D1D7C" w14:paraId="1129DB4D" w14:textId="77777777" w:rsidTr="00BD431E">
        <w:tc>
          <w:tcPr>
            <w:tcW w:w="9242" w:type="dxa"/>
            <w:shd w:val="clear" w:color="auto" w:fill="000000" w:themeFill="text1"/>
          </w:tcPr>
          <w:p w14:paraId="6DEBFBDA" w14:textId="77777777" w:rsidR="002D1D7C" w:rsidRPr="002D1D7C" w:rsidRDefault="002D1D7C" w:rsidP="002D1D7C">
            <w:pPr>
              <w:jc w:val="center"/>
              <w:rPr>
                <w:rFonts w:asciiTheme="minorHAnsi" w:eastAsia="MS Mincho" w:hAnsiTheme="minorHAnsi" w:cstheme="minorHAnsi"/>
                <w:sz w:val="21"/>
                <w:szCs w:val="21"/>
                <w:lang w:val="en-US" w:eastAsia="en-AU"/>
              </w:rPr>
            </w:pPr>
            <w:r w:rsidRPr="002D1D7C">
              <w:rPr>
                <w:rFonts w:asciiTheme="minorHAnsi" w:eastAsia="MS Mincho" w:hAnsiTheme="minorHAnsi" w:cstheme="minorHAnsi"/>
                <w:sz w:val="21"/>
                <w:szCs w:val="21"/>
                <w:lang w:val="en-US" w:eastAsia="en-AU"/>
              </w:rPr>
              <w:t xml:space="preserve"> Access and barriers to mental health care</w:t>
            </w:r>
          </w:p>
        </w:tc>
      </w:tr>
    </w:tbl>
    <w:p w14:paraId="0DCECB41" w14:textId="77777777" w:rsidR="002D1D7C" w:rsidRPr="002D1D7C" w:rsidRDefault="002D1D7C" w:rsidP="00140C5B">
      <w:pPr>
        <w:numPr>
          <w:ilvl w:val="0"/>
          <w:numId w:val="42"/>
        </w:numPr>
        <w:contextualSpacing/>
        <w:rPr>
          <w:rFonts w:asciiTheme="minorHAnsi" w:eastAsia="MS Mincho" w:hAnsiTheme="minorHAnsi" w:cstheme="minorHAnsi"/>
          <w:b/>
          <w:sz w:val="21"/>
          <w:szCs w:val="21"/>
          <w:lang w:val="en-US"/>
        </w:rPr>
      </w:pPr>
      <w:r w:rsidRPr="002D1D7C">
        <w:rPr>
          <w:rFonts w:asciiTheme="minorHAnsi" w:eastAsia="MS Mincho" w:hAnsiTheme="minorHAnsi" w:cstheme="minorHAnsi"/>
          <w:b/>
          <w:sz w:val="21"/>
          <w:szCs w:val="21"/>
          <w:lang w:val="en-US"/>
        </w:rPr>
        <w:t>How did you find out about the digital mental health service?</w:t>
      </w:r>
    </w:p>
    <w:p w14:paraId="51582B85" w14:textId="77777777" w:rsidR="002D1D7C" w:rsidRPr="002D1D7C" w:rsidRDefault="002D1D7C" w:rsidP="00140C5B">
      <w:pPr>
        <w:numPr>
          <w:ilvl w:val="0"/>
          <w:numId w:val="54"/>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Online search</w:t>
      </w:r>
    </w:p>
    <w:p w14:paraId="3E8A5BEB" w14:textId="77777777" w:rsidR="002D1D7C" w:rsidRPr="002D1D7C" w:rsidRDefault="002D1D7C" w:rsidP="00140C5B">
      <w:pPr>
        <w:numPr>
          <w:ilvl w:val="0"/>
          <w:numId w:val="54"/>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Head to Health Digital Mental Health Gateway</w:t>
      </w:r>
    </w:p>
    <w:p w14:paraId="5CF50E9A" w14:textId="77777777" w:rsidR="002D1D7C" w:rsidRPr="002D1D7C" w:rsidRDefault="002D1D7C" w:rsidP="00140C5B">
      <w:pPr>
        <w:numPr>
          <w:ilvl w:val="0"/>
          <w:numId w:val="54"/>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Recommended by friends or family</w:t>
      </w:r>
    </w:p>
    <w:p w14:paraId="403E07AE" w14:textId="77777777" w:rsidR="002D1D7C" w:rsidRPr="002D1D7C" w:rsidRDefault="002D1D7C" w:rsidP="00140C5B">
      <w:pPr>
        <w:numPr>
          <w:ilvl w:val="0"/>
          <w:numId w:val="54"/>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Recommended by a health provider</w:t>
      </w:r>
    </w:p>
    <w:p w14:paraId="26B980F8" w14:textId="77777777" w:rsidR="002D1D7C" w:rsidRPr="002D1D7C" w:rsidRDefault="002D1D7C" w:rsidP="002D1D7C">
      <w:pPr>
        <w:ind w:left="1080" w:firstLine="36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Psychologist</w:t>
      </w:r>
    </w:p>
    <w:p w14:paraId="35956D01" w14:textId="77777777" w:rsidR="002D1D7C" w:rsidRPr="002D1D7C" w:rsidRDefault="002D1D7C" w:rsidP="002D1D7C">
      <w:pPr>
        <w:ind w:left="1080" w:firstLine="36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GP</w:t>
      </w:r>
    </w:p>
    <w:p w14:paraId="4083A112" w14:textId="77777777" w:rsidR="002D1D7C" w:rsidRPr="002D1D7C" w:rsidRDefault="002D1D7C" w:rsidP="002D1D7C">
      <w:pPr>
        <w:ind w:left="1080" w:firstLine="36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Psychiatrist</w:t>
      </w:r>
    </w:p>
    <w:p w14:paraId="14C703FC" w14:textId="77777777" w:rsidR="002D1D7C" w:rsidRPr="002D1D7C" w:rsidRDefault="002D1D7C" w:rsidP="002D1D7C">
      <w:pPr>
        <w:ind w:left="1080" w:firstLine="36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Social Worker</w:t>
      </w:r>
    </w:p>
    <w:p w14:paraId="31F0A939" w14:textId="77777777" w:rsidR="002D1D7C" w:rsidRPr="002D1D7C" w:rsidRDefault="002D1D7C" w:rsidP="002D1D7C">
      <w:pPr>
        <w:ind w:left="1080" w:firstLine="360"/>
        <w:contextualSpacing/>
        <w:rPr>
          <w:rFonts w:asciiTheme="minorHAnsi" w:eastAsia="MS Mincho" w:hAnsiTheme="minorHAnsi" w:cstheme="minorBidi"/>
          <w:sz w:val="21"/>
          <w:szCs w:val="21"/>
          <w:lang w:val="en-US"/>
        </w:rPr>
      </w:pPr>
      <w:r w:rsidRPr="002D1D7C">
        <w:rPr>
          <w:rFonts w:asciiTheme="minorHAnsi" w:eastAsia="MS Mincho" w:hAnsiTheme="minorHAnsi" w:cstheme="minorBidi"/>
          <w:sz w:val="21"/>
          <w:szCs w:val="21"/>
          <w:lang w:val="en-US"/>
        </w:rPr>
        <w:t>Nurse</w:t>
      </w:r>
    </w:p>
    <w:p w14:paraId="16E0A3E6" w14:textId="76477607" w:rsidR="002D1D7C" w:rsidRPr="002D1D7C" w:rsidRDefault="002D1D7C" w:rsidP="003E08E8">
      <w:pPr>
        <w:snapToGrid w:val="0"/>
        <w:ind w:left="1077" w:firstLine="357"/>
        <w:rPr>
          <w:rFonts w:asciiTheme="minorHAnsi" w:eastAsia="MS Mincho" w:hAnsiTheme="minorHAnsi" w:cstheme="minorBidi"/>
          <w:sz w:val="21"/>
          <w:szCs w:val="21"/>
          <w:lang w:val="en-US"/>
        </w:rPr>
      </w:pPr>
      <w:r w:rsidRPr="002D1D7C">
        <w:rPr>
          <w:rFonts w:asciiTheme="minorHAnsi" w:eastAsia="MS Mincho" w:hAnsiTheme="minorHAnsi" w:cstheme="minorBidi"/>
          <w:sz w:val="21"/>
          <w:szCs w:val="21"/>
          <w:lang w:val="en-US"/>
        </w:rPr>
        <w:t xml:space="preserve">Other, please </w:t>
      </w:r>
      <w:proofErr w:type="gramStart"/>
      <w:r w:rsidRPr="002D1D7C">
        <w:rPr>
          <w:rFonts w:asciiTheme="minorHAnsi" w:eastAsia="MS Mincho" w:hAnsiTheme="minorHAnsi" w:cstheme="minorBidi"/>
          <w:sz w:val="21"/>
          <w:szCs w:val="21"/>
          <w:lang w:val="en-US"/>
        </w:rPr>
        <w:t>specify:_</w:t>
      </w:r>
      <w:proofErr w:type="gramEnd"/>
      <w:r w:rsidRPr="002D1D7C">
        <w:rPr>
          <w:rFonts w:asciiTheme="minorHAnsi" w:eastAsia="MS Mincho" w:hAnsiTheme="minorHAnsi" w:cstheme="minorBidi"/>
          <w:sz w:val="21"/>
          <w:szCs w:val="21"/>
          <w:lang w:val="en-US"/>
        </w:rPr>
        <w:t>________________</w:t>
      </w:r>
    </w:p>
    <w:p w14:paraId="42FC6B52" w14:textId="77777777" w:rsidR="002D1D7C" w:rsidRPr="002D1D7C" w:rsidRDefault="002D1D7C" w:rsidP="00140C5B">
      <w:pPr>
        <w:numPr>
          <w:ilvl w:val="0"/>
          <w:numId w:val="42"/>
        </w:numPr>
        <w:contextualSpacing/>
        <w:rPr>
          <w:rFonts w:asciiTheme="minorHAnsi" w:eastAsia="MS Mincho" w:hAnsiTheme="minorHAnsi" w:cstheme="minorBidi"/>
          <w:b/>
          <w:bCs/>
          <w:sz w:val="21"/>
          <w:szCs w:val="21"/>
          <w:lang w:val="en-US"/>
        </w:rPr>
      </w:pPr>
      <w:r w:rsidRPr="002D1D7C">
        <w:rPr>
          <w:rFonts w:asciiTheme="minorHAnsi" w:eastAsia="MS Mincho" w:hAnsiTheme="minorHAnsi" w:cstheme="minorBidi"/>
          <w:b/>
          <w:bCs/>
          <w:sz w:val="21"/>
          <w:szCs w:val="21"/>
          <w:lang w:val="en-US"/>
        </w:rPr>
        <w:t>Was accessing the supported digital mental health service your preferred way to access mental health care?</w:t>
      </w:r>
    </w:p>
    <w:p w14:paraId="68AE0E8A" w14:textId="77777777" w:rsidR="002D1D7C" w:rsidRPr="002D1D7C" w:rsidRDefault="002D1D7C" w:rsidP="00140C5B">
      <w:pPr>
        <w:numPr>
          <w:ilvl w:val="0"/>
          <w:numId w:val="47"/>
        </w:numPr>
        <w:ind w:left="108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 xml:space="preserve">Yes </w:t>
      </w:r>
    </w:p>
    <w:p w14:paraId="17403EE7" w14:textId="5F7A7D80" w:rsidR="002D1D7C" w:rsidRPr="003E08E8" w:rsidRDefault="002D1D7C" w:rsidP="00140C5B">
      <w:pPr>
        <w:numPr>
          <w:ilvl w:val="0"/>
          <w:numId w:val="47"/>
        </w:numPr>
        <w:ind w:left="108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No</w:t>
      </w:r>
    </w:p>
    <w:p w14:paraId="16B9E0FD" w14:textId="77777777" w:rsidR="002D1D7C" w:rsidRPr="002D1D7C" w:rsidRDefault="002D1D7C" w:rsidP="002D1D7C">
      <w:pPr>
        <w:ind w:left="720" w:firstLine="360"/>
        <w:rPr>
          <w:rFonts w:asciiTheme="minorHAnsi" w:eastAsia="MS Mincho" w:hAnsiTheme="minorHAnsi" w:cstheme="minorHAnsi"/>
          <w:b/>
          <w:sz w:val="21"/>
          <w:szCs w:val="21"/>
          <w:lang w:val="en-US"/>
        </w:rPr>
      </w:pPr>
      <w:r w:rsidRPr="002D1D7C">
        <w:rPr>
          <w:rFonts w:asciiTheme="minorHAnsi" w:eastAsia="MS Mincho" w:hAnsiTheme="minorHAnsi" w:cstheme="minorHAnsi"/>
          <w:b/>
          <w:sz w:val="21"/>
          <w:szCs w:val="21"/>
          <w:lang w:val="en-US"/>
        </w:rPr>
        <w:t>If no, please list how you would have preferred to have accessed mental health care?</w:t>
      </w:r>
    </w:p>
    <w:p w14:paraId="73F8FECF" w14:textId="77777777" w:rsidR="002D1D7C" w:rsidRPr="002D1D7C" w:rsidRDefault="002D1D7C" w:rsidP="00140C5B">
      <w:pPr>
        <w:numPr>
          <w:ilvl w:val="0"/>
          <w:numId w:val="48"/>
        </w:numPr>
        <w:ind w:left="180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Face-to-face</w:t>
      </w:r>
    </w:p>
    <w:p w14:paraId="32542E2E" w14:textId="77777777" w:rsidR="002D1D7C" w:rsidRPr="002D1D7C" w:rsidRDefault="002D1D7C" w:rsidP="00140C5B">
      <w:pPr>
        <w:numPr>
          <w:ilvl w:val="0"/>
          <w:numId w:val="48"/>
        </w:numPr>
        <w:ind w:left="180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Phone</w:t>
      </w:r>
    </w:p>
    <w:p w14:paraId="627C729A" w14:textId="77777777" w:rsidR="002D1D7C" w:rsidRPr="002D1D7C" w:rsidRDefault="002D1D7C" w:rsidP="00140C5B">
      <w:pPr>
        <w:numPr>
          <w:ilvl w:val="0"/>
          <w:numId w:val="48"/>
        </w:numPr>
        <w:ind w:left="180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Video (meaning you can see the therapist who is in a different location using smart devices such as computers, mobile phones or tablets)</w:t>
      </w:r>
    </w:p>
    <w:p w14:paraId="0EA4676D" w14:textId="271AE877" w:rsidR="002D1D7C" w:rsidRPr="009F2338" w:rsidRDefault="002D1D7C" w:rsidP="00140C5B">
      <w:pPr>
        <w:numPr>
          <w:ilvl w:val="0"/>
          <w:numId w:val="48"/>
        </w:numPr>
        <w:snapToGrid w:val="0"/>
        <w:ind w:left="1797" w:hanging="357"/>
        <w:rPr>
          <w:rFonts w:asciiTheme="minorHAnsi" w:eastAsia="MS Mincho" w:hAnsiTheme="minorHAnsi" w:cstheme="minorHAnsi"/>
          <w:sz w:val="21"/>
          <w:szCs w:val="21"/>
        </w:rPr>
      </w:pPr>
      <w:r w:rsidRPr="002D1D7C">
        <w:rPr>
          <w:rFonts w:asciiTheme="minorHAnsi" w:eastAsia="MS Mincho" w:hAnsiTheme="minorHAnsi" w:cstheme="minorHAnsi"/>
          <w:sz w:val="21"/>
          <w:szCs w:val="21"/>
          <w:lang w:val="en-US"/>
        </w:rPr>
        <w:t>Other, please specify_________________</w:t>
      </w:r>
    </w:p>
    <w:p w14:paraId="54208515" w14:textId="77777777" w:rsidR="002D1D7C" w:rsidRPr="002D1D7C" w:rsidRDefault="002D1D7C" w:rsidP="00140C5B">
      <w:pPr>
        <w:numPr>
          <w:ilvl w:val="0"/>
          <w:numId w:val="42"/>
        </w:numPr>
        <w:contextualSpacing/>
        <w:rPr>
          <w:rFonts w:asciiTheme="minorHAnsi" w:eastAsia="MS Mincho" w:hAnsiTheme="minorHAnsi" w:cstheme="minorHAnsi"/>
          <w:b/>
          <w:sz w:val="21"/>
          <w:szCs w:val="21"/>
          <w:lang w:val="en-US"/>
        </w:rPr>
      </w:pPr>
      <w:r w:rsidRPr="002D1D7C">
        <w:rPr>
          <w:rFonts w:asciiTheme="minorHAnsi" w:hAnsiTheme="minorHAnsi" w:cstheme="minorHAnsi"/>
          <w:b/>
          <w:sz w:val="21"/>
          <w:szCs w:val="21"/>
        </w:rPr>
        <w:t xml:space="preserve">Please select the statement below which most accurately describes your previous experience with using supported </w:t>
      </w:r>
      <w:r w:rsidRPr="002D1D7C">
        <w:rPr>
          <w:rFonts w:asciiTheme="minorHAnsi" w:eastAsia="MS Mincho" w:hAnsiTheme="minorHAnsi" w:cstheme="minorHAnsi"/>
          <w:b/>
          <w:sz w:val="21"/>
          <w:szCs w:val="21"/>
          <w:lang w:val="en-US"/>
        </w:rPr>
        <w:t>digital mental health services.</w:t>
      </w:r>
    </w:p>
    <w:p w14:paraId="7E9E5137" w14:textId="77777777" w:rsidR="002D1D7C" w:rsidRPr="002D1D7C" w:rsidRDefault="002D1D7C" w:rsidP="00140C5B">
      <w:pPr>
        <w:numPr>
          <w:ilvl w:val="0"/>
          <w:numId w:val="60"/>
        </w:numPr>
        <w:contextualSpacing/>
        <w:rPr>
          <w:rFonts w:asciiTheme="minorHAnsi" w:hAnsiTheme="minorHAnsi" w:cstheme="minorHAnsi"/>
          <w:sz w:val="21"/>
          <w:szCs w:val="21"/>
        </w:rPr>
      </w:pPr>
      <w:r w:rsidRPr="002D1D7C">
        <w:rPr>
          <w:rFonts w:asciiTheme="minorHAnsi" w:hAnsiTheme="minorHAnsi" w:cstheme="minorHAnsi"/>
          <w:sz w:val="21"/>
          <w:szCs w:val="21"/>
        </w:rPr>
        <w:t xml:space="preserve">This will be the first time I have used supported </w:t>
      </w:r>
      <w:r w:rsidRPr="002D1D7C">
        <w:rPr>
          <w:rFonts w:asciiTheme="minorHAnsi" w:eastAsia="MS Mincho" w:hAnsiTheme="minorHAnsi" w:cstheme="minorHAnsi"/>
          <w:sz w:val="21"/>
          <w:szCs w:val="21"/>
          <w:lang w:val="en-US"/>
        </w:rPr>
        <w:t>digital mental health services</w:t>
      </w:r>
    </w:p>
    <w:p w14:paraId="1A9E9BFA" w14:textId="77777777" w:rsidR="002D1D7C" w:rsidRPr="002D1D7C" w:rsidRDefault="002D1D7C" w:rsidP="00140C5B">
      <w:pPr>
        <w:numPr>
          <w:ilvl w:val="0"/>
          <w:numId w:val="60"/>
        </w:numPr>
        <w:contextualSpacing/>
        <w:rPr>
          <w:rFonts w:asciiTheme="minorHAnsi" w:eastAsia="MS Mincho" w:hAnsiTheme="minorHAnsi" w:cstheme="minorHAnsi"/>
          <w:sz w:val="21"/>
          <w:szCs w:val="21"/>
          <w:lang w:val="en-US"/>
        </w:rPr>
      </w:pPr>
      <w:r w:rsidRPr="002D1D7C">
        <w:rPr>
          <w:rFonts w:asciiTheme="minorHAnsi" w:hAnsiTheme="minorHAnsi" w:cstheme="minorHAnsi"/>
          <w:sz w:val="21"/>
          <w:szCs w:val="21"/>
        </w:rPr>
        <w:t>I rarely use</w:t>
      </w:r>
      <w:r w:rsidRPr="002D1D7C">
        <w:rPr>
          <w:rFonts w:asciiTheme="minorHAnsi" w:eastAsia="MS Mincho" w:hAnsiTheme="minorHAnsi" w:cstheme="minorHAnsi"/>
          <w:sz w:val="21"/>
          <w:szCs w:val="21"/>
          <w:lang w:val="en-US"/>
        </w:rPr>
        <w:t xml:space="preserve"> supported digital mental health services</w:t>
      </w:r>
    </w:p>
    <w:p w14:paraId="51D27600" w14:textId="77777777" w:rsidR="002D1D7C" w:rsidRPr="002D1D7C" w:rsidRDefault="002D1D7C" w:rsidP="00140C5B">
      <w:pPr>
        <w:numPr>
          <w:ilvl w:val="0"/>
          <w:numId w:val="60"/>
        </w:numPr>
        <w:contextualSpacing/>
        <w:rPr>
          <w:rFonts w:asciiTheme="minorHAnsi" w:eastAsia="MS Mincho" w:hAnsiTheme="minorHAnsi" w:cstheme="minorHAnsi"/>
          <w:sz w:val="21"/>
          <w:szCs w:val="21"/>
          <w:lang w:val="en-US"/>
        </w:rPr>
      </w:pPr>
      <w:r w:rsidRPr="002D1D7C">
        <w:rPr>
          <w:rFonts w:asciiTheme="minorHAnsi" w:hAnsiTheme="minorHAnsi" w:cstheme="minorHAnsi"/>
          <w:sz w:val="21"/>
          <w:szCs w:val="21"/>
        </w:rPr>
        <w:t>I sometimes use</w:t>
      </w:r>
      <w:r w:rsidRPr="002D1D7C">
        <w:rPr>
          <w:rFonts w:asciiTheme="minorHAnsi" w:eastAsia="MS Mincho" w:hAnsiTheme="minorHAnsi" w:cstheme="minorHAnsi"/>
          <w:sz w:val="21"/>
          <w:szCs w:val="21"/>
          <w:lang w:val="en-US"/>
        </w:rPr>
        <w:t xml:space="preserve"> supported digital mental health services</w:t>
      </w:r>
    </w:p>
    <w:p w14:paraId="7F3CB25A" w14:textId="6F370DD1" w:rsidR="002D1D7C" w:rsidRPr="003E08E8" w:rsidRDefault="002D1D7C" w:rsidP="00140C5B">
      <w:pPr>
        <w:numPr>
          <w:ilvl w:val="0"/>
          <w:numId w:val="60"/>
        </w:numPr>
        <w:snapToGrid w:val="0"/>
        <w:ind w:left="1077" w:hanging="357"/>
        <w:rPr>
          <w:rFonts w:asciiTheme="minorHAnsi" w:eastAsia="MS Mincho" w:hAnsiTheme="minorHAnsi" w:cstheme="minorHAnsi"/>
          <w:sz w:val="21"/>
          <w:szCs w:val="21"/>
          <w:lang w:val="en-US"/>
        </w:rPr>
      </w:pPr>
      <w:r w:rsidRPr="002D1D7C">
        <w:rPr>
          <w:rFonts w:asciiTheme="minorHAnsi" w:hAnsiTheme="minorHAnsi" w:cstheme="minorHAnsi"/>
          <w:sz w:val="21"/>
          <w:szCs w:val="21"/>
        </w:rPr>
        <w:t xml:space="preserve">I often use supported </w:t>
      </w:r>
      <w:r w:rsidRPr="002D1D7C">
        <w:rPr>
          <w:rFonts w:asciiTheme="minorHAnsi" w:eastAsia="MS Mincho" w:hAnsiTheme="minorHAnsi" w:cstheme="minorHAnsi"/>
          <w:sz w:val="21"/>
          <w:szCs w:val="21"/>
          <w:lang w:val="en-US"/>
        </w:rPr>
        <w:t>digital mental health services</w:t>
      </w:r>
    </w:p>
    <w:p w14:paraId="56933129" w14:textId="77777777" w:rsidR="002D1D7C" w:rsidRPr="002D1D7C" w:rsidRDefault="002D1D7C" w:rsidP="00140C5B">
      <w:pPr>
        <w:numPr>
          <w:ilvl w:val="0"/>
          <w:numId w:val="42"/>
        </w:numPr>
        <w:contextualSpacing/>
        <w:rPr>
          <w:rFonts w:asciiTheme="minorHAnsi" w:eastAsia="MS Mincho" w:hAnsiTheme="minorHAnsi" w:cstheme="minorHAnsi"/>
          <w:b/>
          <w:sz w:val="21"/>
          <w:szCs w:val="21"/>
          <w:lang w:val="en-US"/>
        </w:rPr>
      </w:pPr>
      <w:r w:rsidRPr="002D1D7C">
        <w:rPr>
          <w:rFonts w:asciiTheme="minorHAnsi" w:eastAsia="MS Mincho" w:hAnsiTheme="minorHAnsi" w:cstheme="minorHAnsi"/>
          <w:b/>
          <w:sz w:val="21"/>
          <w:szCs w:val="21"/>
          <w:lang w:val="en-US"/>
        </w:rPr>
        <w:t>Thinking about your recent experience with using supported digital mental health services, please select all the reasons that prompted you to seek care.</w:t>
      </w:r>
    </w:p>
    <w:p w14:paraId="67D1E582" w14:textId="77777777" w:rsidR="002D1D7C" w:rsidRPr="002D1D7C" w:rsidRDefault="002D1D7C" w:rsidP="00140C5B">
      <w:pPr>
        <w:numPr>
          <w:ilvl w:val="0"/>
          <w:numId w:val="55"/>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I felt I was not coping</w:t>
      </w:r>
    </w:p>
    <w:p w14:paraId="7A5E907A" w14:textId="77777777" w:rsidR="002D1D7C" w:rsidRPr="002D1D7C" w:rsidRDefault="002D1D7C" w:rsidP="00140C5B">
      <w:pPr>
        <w:numPr>
          <w:ilvl w:val="0"/>
          <w:numId w:val="55"/>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My symptoms were getting worse</w:t>
      </w:r>
    </w:p>
    <w:p w14:paraId="18D999E0" w14:textId="77777777" w:rsidR="002D1D7C" w:rsidRPr="002D1D7C" w:rsidRDefault="002D1D7C" w:rsidP="00140C5B">
      <w:pPr>
        <w:numPr>
          <w:ilvl w:val="0"/>
          <w:numId w:val="55"/>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I experienced a crisis or traumatic event</w:t>
      </w:r>
    </w:p>
    <w:p w14:paraId="6EF0DC19" w14:textId="77777777" w:rsidR="002D1D7C" w:rsidRPr="002D1D7C" w:rsidRDefault="002D1D7C" w:rsidP="00140C5B">
      <w:pPr>
        <w:numPr>
          <w:ilvl w:val="0"/>
          <w:numId w:val="55"/>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I felt I needed professional help</w:t>
      </w:r>
    </w:p>
    <w:p w14:paraId="29388DFD" w14:textId="77777777" w:rsidR="002D1D7C" w:rsidRPr="002D1D7C" w:rsidRDefault="002D1D7C" w:rsidP="00140C5B">
      <w:pPr>
        <w:numPr>
          <w:ilvl w:val="0"/>
          <w:numId w:val="55"/>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A family member/friend suggested it</w:t>
      </w:r>
    </w:p>
    <w:p w14:paraId="79ABF3C1" w14:textId="77777777" w:rsidR="002D1D7C" w:rsidRPr="002D1D7C" w:rsidRDefault="002D1D7C" w:rsidP="00140C5B">
      <w:pPr>
        <w:numPr>
          <w:ilvl w:val="0"/>
          <w:numId w:val="55"/>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A health professional referred me</w:t>
      </w:r>
    </w:p>
    <w:p w14:paraId="5BFC4B01" w14:textId="191D3F94" w:rsidR="002D1D7C" w:rsidRPr="00843DBF" w:rsidRDefault="002D1D7C" w:rsidP="00843DBF">
      <w:pPr>
        <w:numPr>
          <w:ilvl w:val="0"/>
          <w:numId w:val="55"/>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Other (specify</w:t>
      </w:r>
      <w:proofErr w:type="gramStart"/>
      <w:r w:rsidRPr="002D1D7C">
        <w:rPr>
          <w:rFonts w:asciiTheme="minorHAnsi" w:eastAsia="MS Mincho" w:hAnsiTheme="minorHAnsi" w:cstheme="minorHAnsi"/>
          <w:sz w:val="21"/>
          <w:szCs w:val="21"/>
          <w:lang w:val="en-US"/>
        </w:rPr>
        <w:t>):_</w:t>
      </w:r>
      <w:proofErr w:type="gramEnd"/>
      <w:r w:rsidRPr="002D1D7C">
        <w:rPr>
          <w:rFonts w:asciiTheme="minorHAnsi" w:eastAsia="MS Mincho" w:hAnsiTheme="minorHAnsi" w:cstheme="minorHAnsi"/>
          <w:sz w:val="21"/>
          <w:szCs w:val="21"/>
          <w:lang w:val="en-US"/>
        </w:rPr>
        <w:t>_________________________</w:t>
      </w:r>
      <w:r w:rsidR="00843DBF">
        <w:rPr>
          <w:rFonts w:asciiTheme="minorHAnsi" w:eastAsia="MS Mincho" w:hAnsiTheme="minorHAnsi" w:cstheme="minorHAnsi"/>
          <w:sz w:val="21"/>
          <w:szCs w:val="21"/>
          <w:lang w:val="en-US"/>
        </w:rPr>
        <w:br w:type="page"/>
      </w:r>
    </w:p>
    <w:p w14:paraId="5A7F52C2" w14:textId="77777777" w:rsidR="002D1D7C" w:rsidRPr="002D1D7C" w:rsidRDefault="002D1D7C" w:rsidP="00140C5B">
      <w:pPr>
        <w:numPr>
          <w:ilvl w:val="0"/>
          <w:numId w:val="42"/>
        </w:numPr>
        <w:contextualSpacing/>
        <w:rPr>
          <w:rFonts w:asciiTheme="minorHAnsi" w:eastAsia="MS Mincho" w:hAnsiTheme="minorHAnsi" w:cstheme="minorHAnsi"/>
          <w:b/>
          <w:sz w:val="21"/>
          <w:szCs w:val="21"/>
          <w:lang w:val="en-US"/>
        </w:rPr>
      </w:pPr>
      <w:r w:rsidRPr="002D1D7C">
        <w:rPr>
          <w:rFonts w:asciiTheme="minorHAnsi" w:eastAsia="MS Mincho" w:hAnsiTheme="minorHAnsi" w:cstheme="minorHAnsi"/>
          <w:b/>
          <w:sz w:val="21"/>
          <w:szCs w:val="21"/>
          <w:lang w:val="en-US"/>
        </w:rPr>
        <w:lastRenderedPageBreak/>
        <w:t>Prior to accessing this supported digital mental health service, have you accessed any other mental health service(s)?</w:t>
      </w:r>
    </w:p>
    <w:p w14:paraId="6196C719" w14:textId="77777777" w:rsidR="002D1D7C" w:rsidRPr="002D1D7C" w:rsidRDefault="002D1D7C" w:rsidP="00140C5B">
      <w:pPr>
        <w:numPr>
          <w:ilvl w:val="0"/>
          <w:numId w:val="56"/>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Yes</w:t>
      </w:r>
    </w:p>
    <w:p w14:paraId="7060F620" w14:textId="77777777" w:rsidR="002D1D7C" w:rsidRPr="002D1D7C" w:rsidRDefault="002D1D7C" w:rsidP="00140C5B">
      <w:pPr>
        <w:numPr>
          <w:ilvl w:val="0"/>
          <w:numId w:val="56"/>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No</w:t>
      </w:r>
    </w:p>
    <w:p w14:paraId="52CF26FB" w14:textId="77777777" w:rsidR="002D1D7C" w:rsidRPr="002D1D7C" w:rsidRDefault="002D1D7C" w:rsidP="002D1D7C">
      <w:pPr>
        <w:ind w:left="1080"/>
        <w:rPr>
          <w:rFonts w:asciiTheme="minorHAnsi" w:eastAsia="MS Mincho" w:hAnsiTheme="minorHAnsi" w:cstheme="minorHAnsi"/>
          <w:sz w:val="21"/>
          <w:szCs w:val="21"/>
          <w:lang w:val="en-US"/>
        </w:rPr>
      </w:pPr>
      <w:r w:rsidRPr="002D1D7C">
        <w:rPr>
          <w:rFonts w:asciiTheme="minorHAnsi" w:eastAsia="MS Mincho" w:hAnsiTheme="minorHAnsi" w:cstheme="minorHAnsi"/>
          <w:b/>
          <w:sz w:val="21"/>
          <w:szCs w:val="21"/>
          <w:lang w:val="en-US"/>
        </w:rPr>
        <w:t>If yes, please tick all the previous services you accessed</w:t>
      </w:r>
    </w:p>
    <w:p w14:paraId="701740AD" w14:textId="77777777" w:rsidR="002D1D7C" w:rsidRPr="002D1D7C" w:rsidRDefault="002D1D7C" w:rsidP="00140C5B">
      <w:pPr>
        <w:numPr>
          <w:ilvl w:val="0"/>
          <w:numId w:val="53"/>
        </w:numPr>
        <w:ind w:left="180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Face-to-face individual services</w:t>
      </w:r>
    </w:p>
    <w:p w14:paraId="4719105A" w14:textId="77777777" w:rsidR="002D1D7C" w:rsidRPr="002D1D7C" w:rsidRDefault="002D1D7C" w:rsidP="00140C5B">
      <w:pPr>
        <w:numPr>
          <w:ilvl w:val="0"/>
          <w:numId w:val="53"/>
        </w:numPr>
        <w:ind w:left="180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Face-to-face group services</w:t>
      </w:r>
    </w:p>
    <w:p w14:paraId="27952EEE" w14:textId="77777777" w:rsidR="002D1D7C" w:rsidRPr="002D1D7C" w:rsidRDefault="002D1D7C" w:rsidP="00140C5B">
      <w:pPr>
        <w:numPr>
          <w:ilvl w:val="0"/>
          <w:numId w:val="53"/>
        </w:numPr>
        <w:ind w:left="180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Video (meaning you can see the therapist who is in a different location using smart devices such as computers, mobile phones or tablets) – individual services</w:t>
      </w:r>
    </w:p>
    <w:p w14:paraId="213618F6" w14:textId="77777777" w:rsidR="002D1D7C" w:rsidRPr="002D1D7C" w:rsidRDefault="002D1D7C" w:rsidP="00140C5B">
      <w:pPr>
        <w:numPr>
          <w:ilvl w:val="0"/>
          <w:numId w:val="53"/>
        </w:numPr>
        <w:ind w:left="180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Video – group services</w:t>
      </w:r>
    </w:p>
    <w:p w14:paraId="33684732" w14:textId="77777777" w:rsidR="002D1D7C" w:rsidRPr="002D1D7C" w:rsidRDefault="002D1D7C" w:rsidP="00140C5B">
      <w:pPr>
        <w:numPr>
          <w:ilvl w:val="0"/>
          <w:numId w:val="53"/>
        </w:numPr>
        <w:ind w:left="180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Telephone counselling</w:t>
      </w:r>
    </w:p>
    <w:p w14:paraId="47981CDF" w14:textId="5F35D7D1" w:rsidR="002D1D7C" w:rsidRPr="003E08E8" w:rsidRDefault="002D1D7C" w:rsidP="00140C5B">
      <w:pPr>
        <w:numPr>
          <w:ilvl w:val="0"/>
          <w:numId w:val="53"/>
        </w:numPr>
        <w:snapToGrid w:val="0"/>
        <w:ind w:left="1797" w:hanging="357"/>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Other online supports (e.g., self-guided, peer support, mobile app)</w:t>
      </w:r>
    </w:p>
    <w:p w14:paraId="3198835C" w14:textId="77777777" w:rsidR="002D1D7C" w:rsidRPr="002D1D7C" w:rsidRDefault="002D1D7C" w:rsidP="00140C5B">
      <w:pPr>
        <w:numPr>
          <w:ilvl w:val="0"/>
          <w:numId w:val="42"/>
        </w:numPr>
        <w:contextualSpacing/>
        <w:rPr>
          <w:rFonts w:asciiTheme="minorHAnsi" w:eastAsia="MS Mincho" w:hAnsiTheme="minorHAnsi" w:cstheme="minorHAnsi"/>
          <w:b/>
          <w:sz w:val="21"/>
          <w:szCs w:val="21"/>
          <w:lang w:val="en-US"/>
        </w:rPr>
      </w:pPr>
      <w:r w:rsidRPr="002D1D7C">
        <w:rPr>
          <w:rFonts w:asciiTheme="minorHAnsi" w:eastAsia="MS Mincho" w:hAnsiTheme="minorHAnsi" w:cstheme="minorHAnsi"/>
          <w:b/>
          <w:sz w:val="21"/>
          <w:szCs w:val="21"/>
          <w:lang w:val="en-US"/>
        </w:rPr>
        <w:t xml:space="preserve">Have there been any barriers to you seeking mental health care in the past? </w:t>
      </w:r>
    </w:p>
    <w:p w14:paraId="42F42CEC" w14:textId="77777777" w:rsidR="002D1D7C" w:rsidRPr="002D1D7C" w:rsidRDefault="002D1D7C" w:rsidP="00140C5B">
      <w:pPr>
        <w:numPr>
          <w:ilvl w:val="0"/>
          <w:numId w:val="52"/>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 xml:space="preserve">Yes </w:t>
      </w:r>
    </w:p>
    <w:p w14:paraId="2C6C4509" w14:textId="77777777" w:rsidR="002D1D7C" w:rsidRPr="002D1D7C" w:rsidRDefault="002D1D7C" w:rsidP="00140C5B">
      <w:pPr>
        <w:numPr>
          <w:ilvl w:val="0"/>
          <w:numId w:val="52"/>
        </w:numPr>
        <w:contextualSpacing/>
        <w:rPr>
          <w:rFonts w:asciiTheme="minorHAnsi" w:eastAsia="MS Mincho" w:hAnsiTheme="minorHAnsi" w:cstheme="minorHAnsi"/>
          <w:b/>
          <w:sz w:val="21"/>
          <w:szCs w:val="21"/>
          <w:lang w:val="en-US"/>
        </w:rPr>
      </w:pPr>
      <w:r w:rsidRPr="002D1D7C">
        <w:rPr>
          <w:rFonts w:asciiTheme="minorHAnsi" w:eastAsia="MS Mincho" w:hAnsiTheme="minorHAnsi" w:cstheme="minorHAnsi"/>
          <w:sz w:val="21"/>
          <w:szCs w:val="21"/>
          <w:lang w:val="en-US"/>
        </w:rPr>
        <w:t xml:space="preserve">No </w:t>
      </w:r>
    </w:p>
    <w:p w14:paraId="50A121F1" w14:textId="77777777" w:rsidR="002D1D7C" w:rsidRPr="002D1D7C" w:rsidRDefault="002D1D7C" w:rsidP="002D1D7C">
      <w:pPr>
        <w:ind w:left="1080"/>
        <w:rPr>
          <w:rFonts w:asciiTheme="minorHAnsi" w:eastAsia="MS Mincho" w:hAnsiTheme="minorHAnsi" w:cstheme="minorHAnsi"/>
          <w:b/>
          <w:sz w:val="21"/>
          <w:szCs w:val="21"/>
          <w:lang w:val="en-US"/>
        </w:rPr>
      </w:pPr>
      <w:r w:rsidRPr="002D1D7C">
        <w:rPr>
          <w:rFonts w:asciiTheme="minorHAnsi" w:eastAsia="MS Mincho" w:hAnsiTheme="minorHAnsi" w:cstheme="minorHAnsi"/>
          <w:b/>
          <w:sz w:val="21"/>
          <w:szCs w:val="21"/>
          <w:lang w:val="en-US"/>
        </w:rPr>
        <w:t>If yes, please select all the barriers you experienced to seeking mental health care in the past.</w:t>
      </w:r>
    </w:p>
    <w:p w14:paraId="509FF2D1" w14:textId="77777777" w:rsidR="002D1D7C" w:rsidRPr="002D1D7C" w:rsidRDefault="002D1D7C" w:rsidP="00140C5B">
      <w:pPr>
        <w:numPr>
          <w:ilvl w:val="0"/>
          <w:numId w:val="53"/>
        </w:numPr>
        <w:ind w:left="180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 xml:space="preserve">I didn’t </w:t>
      </w:r>
      <w:proofErr w:type="spellStart"/>
      <w:r w:rsidRPr="002D1D7C">
        <w:rPr>
          <w:rFonts w:asciiTheme="minorHAnsi" w:eastAsia="MS Mincho" w:hAnsiTheme="minorHAnsi" w:cstheme="minorHAnsi"/>
          <w:sz w:val="21"/>
          <w:szCs w:val="21"/>
          <w:lang w:val="en-US"/>
        </w:rPr>
        <w:t>recognise</w:t>
      </w:r>
      <w:proofErr w:type="spellEnd"/>
      <w:r w:rsidRPr="002D1D7C">
        <w:rPr>
          <w:rFonts w:asciiTheme="minorHAnsi" w:eastAsia="MS Mincho" w:hAnsiTheme="minorHAnsi" w:cstheme="minorHAnsi"/>
          <w:sz w:val="21"/>
          <w:szCs w:val="21"/>
          <w:lang w:val="en-US"/>
        </w:rPr>
        <w:t xml:space="preserve"> the symptoms I was experiencing as being related to my mental health</w:t>
      </w:r>
    </w:p>
    <w:p w14:paraId="233314B8" w14:textId="77777777" w:rsidR="002D1D7C" w:rsidRPr="002D1D7C" w:rsidRDefault="002D1D7C" w:rsidP="00140C5B">
      <w:pPr>
        <w:numPr>
          <w:ilvl w:val="0"/>
          <w:numId w:val="53"/>
        </w:numPr>
        <w:ind w:left="180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I believed I did not need mental health treatment</w:t>
      </w:r>
    </w:p>
    <w:p w14:paraId="79AE93AF" w14:textId="77777777" w:rsidR="002D1D7C" w:rsidRPr="002D1D7C" w:rsidRDefault="002D1D7C" w:rsidP="00140C5B">
      <w:pPr>
        <w:numPr>
          <w:ilvl w:val="0"/>
          <w:numId w:val="53"/>
        </w:numPr>
        <w:ind w:left="180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My mental health was not a priority</w:t>
      </w:r>
    </w:p>
    <w:p w14:paraId="39648D4C" w14:textId="77777777" w:rsidR="002D1D7C" w:rsidRPr="002D1D7C" w:rsidRDefault="002D1D7C" w:rsidP="00140C5B">
      <w:pPr>
        <w:numPr>
          <w:ilvl w:val="0"/>
          <w:numId w:val="53"/>
        </w:numPr>
        <w:ind w:left="180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I thought things would get better</w:t>
      </w:r>
    </w:p>
    <w:p w14:paraId="618D65AA" w14:textId="77777777" w:rsidR="002D1D7C" w:rsidRPr="002D1D7C" w:rsidRDefault="002D1D7C" w:rsidP="00140C5B">
      <w:pPr>
        <w:numPr>
          <w:ilvl w:val="0"/>
          <w:numId w:val="53"/>
        </w:numPr>
        <w:ind w:left="180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I didn’t think my symptoms were severe enough</w:t>
      </w:r>
    </w:p>
    <w:p w14:paraId="0882086C" w14:textId="77777777" w:rsidR="002D1D7C" w:rsidRPr="002D1D7C" w:rsidRDefault="002D1D7C" w:rsidP="00140C5B">
      <w:pPr>
        <w:numPr>
          <w:ilvl w:val="0"/>
          <w:numId w:val="53"/>
        </w:numPr>
        <w:ind w:left="180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I didn’t think mental health treatment would help</w:t>
      </w:r>
    </w:p>
    <w:p w14:paraId="7F89CCA8" w14:textId="77777777" w:rsidR="002D1D7C" w:rsidRPr="002D1D7C" w:rsidRDefault="002D1D7C" w:rsidP="00140C5B">
      <w:pPr>
        <w:numPr>
          <w:ilvl w:val="0"/>
          <w:numId w:val="53"/>
        </w:numPr>
        <w:ind w:left="180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I was embarrassed</w:t>
      </w:r>
    </w:p>
    <w:p w14:paraId="647D366D" w14:textId="77777777" w:rsidR="002D1D7C" w:rsidRPr="002D1D7C" w:rsidRDefault="002D1D7C" w:rsidP="00140C5B">
      <w:pPr>
        <w:numPr>
          <w:ilvl w:val="0"/>
          <w:numId w:val="53"/>
        </w:numPr>
        <w:ind w:left="180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I didn’t want anyone to know that I was having problems with my mental health</w:t>
      </w:r>
    </w:p>
    <w:p w14:paraId="329DD4EE" w14:textId="77777777" w:rsidR="002D1D7C" w:rsidRPr="002D1D7C" w:rsidRDefault="002D1D7C" w:rsidP="00140C5B">
      <w:pPr>
        <w:numPr>
          <w:ilvl w:val="0"/>
          <w:numId w:val="53"/>
        </w:numPr>
        <w:ind w:left="180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 xml:space="preserve">I preferred to rely on myself </w:t>
      </w:r>
    </w:p>
    <w:p w14:paraId="6BFE866D" w14:textId="77777777" w:rsidR="002D1D7C" w:rsidRPr="002D1D7C" w:rsidRDefault="002D1D7C" w:rsidP="00140C5B">
      <w:pPr>
        <w:numPr>
          <w:ilvl w:val="0"/>
          <w:numId w:val="53"/>
        </w:numPr>
        <w:ind w:left="180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I preferred to rely on my family/friends</w:t>
      </w:r>
    </w:p>
    <w:p w14:paraId="1E77E6E1" w14:textId="77777777" w:rsidR="002D1D7C" w:rsidRPr="002D1D7C" w:rsidRDefault="002D1D7C" w:rsidP="00140C5B">
      <w:pPr>
        <w:numPr>
          <w:ilvl w:val="0"/>
          <w:numId w:val="53"/>
        </w:numPr>
        <w:ind w:left="180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I had limited knowledge of available mental health treatment options</w:t>
      </w:r>
    </w:p>
    <w:p w14:paraId="78E11323" w14:textId="77777777" w:rsidR="002D1D7C" w:rsidRPr="002D1D7C" w:rsidRDefault="002D1D7C" w:rsidP="00140C5B">
      <w:pPr>
        <w:numPr>
          <w:ilvl w:val="0"/>
          <w:numId w:val="53"/>
        </w:numPr>
        <w:ind w:left="1800"/>
        <w:contextualSpacing/>
        <w:rPr>
          <w:rFonts w:asciiTheme="minorHAnsi" w:eastAsia="MS Mincho" w:hAnsiTheme="minorHAnsi" w:cstheme="minorBidi"/>
          <w:sz w:val="21"/>
          <w:szCs w:val="21"/>
          <w:lang w:val="en-US"/>
        </w:rPr>
      </w:pPr>
      <w:r w:rsidRPr="002D1D7C">
        <w:rPr>
          <w:rFonts w:asciiTheme="minorHAnsi" w:eastAsia="MS Mincho" w:hAnsiTheme="minorHAnsi" w:cstheme="minorBidi"/>
          <w:sz w:val="21"/>
          <w:szCs w:val="21"/>
          <w:lang w:val="en-US"/>
        </w:rPr>
        <w:t>Mental health services were unavailable in my area</w:t>
      </w:r>
    </w:p>
    <w:p w14:paraId="6DA817E7" w14:textId="77777777" w:rsidR="002D1D7C" w:rsidRPr="002D1D7C" w:rsidRDefault="002D1D7C" w:rsidP="00140C5B">
      <w:pPr>
        <w:numPr>
          <w:ilvl w:val="0"/>
          <w:numId w:val="53"/>
        </w:numPr>
        <w:ind w:left="1800"/>
        <w:contextualSpacing/>
        <w:rPr>
          <w:sz w:val="21"/>
          <w:szCs w:val="21"/>
          <w:lang w:val="en-US"/>
        </w:rPr>
      </w:pPr>
      <w:r w:rsidRPr="002D1D7C">
        <w:rPr>
          <w:rFonts w:asciiTheme="minorHAnsi" w:eastAsia="MS Mincho" w:hAnsiTheme="minorHAnsi" w:cstheme="minorBidi"/>
          <w:sz w:val="21"/>
          <w:szCs w:val="21"/>
          <w:lang w:val="en-US"/>
        </w:rPr>
        <w:t>I was on a long waiting list</w:t>
      </w:r>
    </w:p>
    <w:p w14:paraId="64A9F23A" w14:textId="77777777" w:rsidR="002D1D7C" w:rsidRPr="002D1D7C" w:rsidRDefault="002D1D7C" w:rsidP="00140C5B">
      <w:pPr>
        <w:numPr>
          <w:ilvl w:val="0"/>
          <w:numId w:val="53"/>
        </w:numPr>
        <w:ind w:left="180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I was unable to afford mental health care</w:t>
      </w:r>
    </w:p>
    <w:p w14:paraId="66BE77E8" w14:textId="77777777" w:rsidR="002D1D7C" w:rsidRPr="002D1D7C" w:rsidRDefault="002D1D7C" w:rsidP="00140C5B">
      <w:pPr>
        <w:numPr>
          <w:ilvl w:val="0"/>
          <w:numId w:val="53"/>
        </w:numPr>
        <w:ind w:left="180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Getting transport was difficult (e.g., affordability or reliability of public or personal transport)</w:t>
      </w:r>
    </w:p>
    <w:p w14:paraId="1F85E872" w14:textId="716D6605" w:rsidR="002D1D7C" w:rsidRPr="007B0DA4" w:rsidRDefault="002D1D7C" w:rsidP="00140C5B">
      <w:pPr>
        <w:numPr>
          <w:ilvl w:val="0"/>
          <w:numId w:val="53"/>
        </w:numPr>
        <w:snapToGrid w:val="0"/>
        <w:ind w:left="1797" w:hanging="357"/>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Other (specify</w:t>
      </w:r>
      <w:proofErr w:type="gramStart"/>
      <w:r w:rsidRPr="002D1D7C">
        <w:rPr>
          <w:rFonts w:asciiTheme="minorHAnsi" w:eastAsia="MS Mincho" w:hAnsiTheme="minorHAnsi" w:cstheme="minorHAnsi"/>
          <w:sz w:val="21"/>
          <w:szCs w:val="21"/>
          <w:lang w:val="en-US"/>
        </w:rPr>
        <w:t>):_</w:t>
      </w:r>
      <w:proofErr w:type="gramEnd"/>
      <w:r w:rsidRPr="002D1D7C">
        <w:rPr>
          <w:rFonts w:asciiTheme="minorHAnsi" w:eastAsia="MS Mincho" w:hAnsiTheme="minorHAnsi" w:cstheme="minorHAnsi"/>
          <w:sz w:val="21"/>
          <w:szCs w:val="21"/>
          <w:lang w:val="en-US"/>
        </w:rPr>
        <w:t>_____________________________</w:t>
      </w:r>
    </w:p>
    <w:p w14:paraId="6F331442" w14:textId="77777777" w:rsidR="002D1D7C" w:rsidRPr="002D1D7C" w:rsidRDefault="002D1D7C" w:rsidP="00140C5B">
      <w:pPr>
        <w:numPr>
          <w:ilvl w:val="0"/>
          <w:numId w:val="42"/>
        </w:numPr>
        <w:contextualSpacing/>
        <w:rPr>
          <w:rFonts w:asciiTheme="minorHAnsi" w:eastAsia="MS Mincho" w:hAnsiTheme="minorHAnsi" w:cstheme="minorHAnsi"/>
          <w:b/>
          <w:sz w:val="21"/>
          <w:szCs w:val="21"/>
          <w:lang w:val="en-US"/>
        </w:rPr>
      </w:pPr>
      <w:r w:rsidRPr="002D1D7C">
        <w:rPr>
          <w:rFonts w:asciiTheme="minorHAnsi" w:hAnsiTheme="minorHAnsi" w:cstheme="minorHAnsi"/>
          <w:b/>
          <w:sz w:val="21"/>
          <w:szCs w:val="21"/>
        </w:rPr>
        <w:t>To what extent do you believe that the supported digital mental health services improved your access to mental health care when you needed it?</w:t>
      </w:r>
      <w:r w:rsidRPr="002D1D7C">
        <w:rPr>
          <w:rFonts w:asciiTheme="minorHAnsi" w:eastAsia="MS Mincho" w:hAnsiTheme="minorHAnsi" w:cstheme="minorHAnsi"/>
          <w:b/>
          <w:sz w:val="21"/>
          <w:szCs w:val="21"/>
          <w:lang w:val="en-US"/>
        </w:rPr>
        <w:t xml:space="preserve"> </w:t>
      </w:r>
    </w:p>
    <w:p w14:paraId="159D26AF" w14:textId="77777777" w:rsidR="002D1D7C" w:rsidRPr="002D1D7C" w:rsidRDefault="002D1D7C" w:rsidP="00140C5B">
      <w:pPr>
        <w:numPr>
          <w:ilvl w:val="0"/>
          <w:numId w:val="43"/>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Not at all, I still don’t have access to mental health care</w:t>
      </w:r>
    </w:p>
    <w:p w14:paraId="48E1C10B" w14:textId="77777777" w:rsidR="002D1D7C" w:rsidRPr="002D1D7C" w:rsidRDefault="002D1D7C" w:rsidP="00140C5B">
      <w:pPr>
        <w:numPr>
          <w:ilvl w:val="0"/>
          <w:numId w:val="43"/>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Not at all, I always had access to mental health care</w:t>
      </w:r>
    </w:p>
    <w:p w14:paraId="17B7A90D" w14:textId="77777777" w:rsidR="002D1D7C" w:rsidRPr="002D1D7C" w:rsidRDefault="002D1D7C" w:rsidP="00140C5B">
      <w:pPr>
        <w:numPr>
          <w:ilvl w:val="0"/>
          <w:numId w:val="43"/>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Improved my access to mental health care to some extent</w:t>
      </w:r>
    </w:p>
    <w:p w14:paraId="7BDD1A55" w14:textId="77777777" w:rsidR="002D1D7C" w:rsidRPr="002D1D7C" w:rsidRDefault="002D1D7C" w:rsidP="00140C5B">
      <w:pPr>
        <w:numPr>
          <w:ilvl w:val="0"/>
          <w:numId w:val="43"/>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Improved my access to mental health care to a large extent</w:t>
      </w:r>
    </w:p>
    <w:p w14:paraId="138EAADA" w14:textId="33460A42" w:rsidR="009F2338" w:rsidRPr="007B0DA4" w:rsidRDefault="002D1D7C" w:rsidP="00140C5B">
      <w:pPr>
        <w:numPr>
          <w:ilvl w:val="0"/>
          <w:numId w:val="43"/>
        </w:numPr>
        <w:snapToGrid w:val="0"/>
        <w:ind w:left="1077" w:hanging="357"/>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Completely improved my access to mental health</w:t>
      </w:r>
    </w:p>
    <w:tbl>
      <w:tblPr>
        <w:tblStyle w:val="TableGrid2"/>
        <w:tblW w:w="0" w:type="auto"/>
        <w:tblLook w:val="04A0" w:firstRow="1" w:lastRow="0" w:firstColumn="1" w:lastColumn="0" w:noHBand="0" w:noVBand="1"/>
      </w:tblPr>
      <w:tblGrid>
        <w:gridCol w:w="9242"/>
      </w:tblGrid>
      <w:tr w:rsidR="002D1D7C" w:rsidRPr="002D1D7C" w14:paraId="3218C8BE" w14:textId="77777777" w:rsidTr="00BD431E">
        <w:tc>
          <w:tcPr>
            <w:tcW w:w="9242" w:type="dxa"/>
            <w:shd w:val="clear" w:color="auto" w:fill="000000" w:themeFill="text1"/>
          </w:tcPr>
          <w:p w14:paraId="2B7E94A2" w14:textId="77777777" w:rsidR="002D1D7C" w:rsidRPr="002D1D7C" w:rsidRDefault="002D1D7C" w:rsidP="002D1D7C">
            <w:pPr>
              <w:jc w:val="center"/>
              <w:rPr>
                <w:rFonts w:asciiTheme="minorHAnsi" w:eastAsia="MS Mincho" w:hAnsiTheme="minorHAnsi" w:cstheme="minorHAnsi"/>
                <w:sz w:val="21"/>
                <w:szCs w:val="21"/>
                <w:lang w:val="en-US" w:eastAsia="en-AU"/>
              </w:rPr>
            </w:pPr>
            <w:r w:rsidRPr="002D1D7C">
              <w:rPr>
                <w:rFonts w:asciiTheme="minorHAnsi" w:eastAsia="MS Mincho" w:hAnsiTheme="minorHAnsi" w:cstheme="minorHAnsi"/>
                <w:sz w:val="21"/>
                <w:szCs w:val="21"/>
                <w:lang w:val="en-US" w:eastAsia="en-AU"/>
              </w:rPr>
              <w:t xml:space="preserve">Online mental health modules, </w:t>
            </w:r>
            <w:proofErr w:type="gramStart"/>
            <w:r w:rsidRPr="002D1D7C">
              <w:rPr>
                <w:rFonts w:asciiTheme="minorHAnsi" w:eastAsia="MS Mincho" w:hAnsiTheme="minorHAnsi" w:cstheme="minorHAnsi"/>
                <w:sz w:val="21"/>
                <w:szCs w:val="21"/>
                <w:lang w:val="en-US" w:eastAsia="en-AU"/>
              </w:rPr>
              <w:t>activities</w:t>
            </w:r>
            <w:proofErr w:type="gramEnd"/>
            <w:r w:rsidRPr="002D1D7C">
              <w:rPr>
                <w:rFonts w:asciiTheme="minorHAnsi" w:eastAsia="MS Mincho" w:hAnsiTheme="minorHAnsi" w:cstheme="minorHAnsi"/>
                <w:sz w:val="21"/>
                <w:szCs w:val="21"/>
                <w:lang w:val="en-US" w:eastAsia="en-AU"/>
              </w:rPr>
              <w:t xml:space="preserve"> and therapist support</w:t>
            </w:r>
          </w:p>
        </w:tc>
      </w:tr>
    </w:tbl>
    <w:p w14:paraId="74AD7FA0" w14:textId="77777777" w:rsidR="002D1D7C" w:rsidRPr="002D1D7C" w:rsidRDefault="002D1D7C" w:rsidP="007B0DA4">
      <w:pPr>
        <w:tabs>
          <w:tab w:val="center" w:pos="4153"/>
          <w:tab w:val="right" w:pos="8306"/>
        </w:tabs>
        <w:spacing w:before="200"/>
        <w:rPr>
          <w:rFonts w:asciiTheme="minorHAnsi" w:hAnsiTheme="minorHAnsi" w:cstheme="minorHAnsi"/>
          <w:b/>
          <w:noProof/>
          <w:sz w:val="21"/>
          <w:szCs w:val="21"/>
        </w:rPr>
      </w:pPr>
      <w:r w:rsidRPr="002D1D7C">
        <w:rPr>
          <w:rFonts w:asciiTheme="minorHAnsi" w:hAnsiTheme="minorHAnsi" w:cstheme="minorHAnsi"/>
          <w:b/>
          <w:noProof/>
          <w:sz w:val="21"/>
          <w:szCs w:val="21"/>
        </w:rPr>
        <w:t>This sections asks about how relevant and engaging you found the different aspects of the supported digital mental health service.</w:t>
      </w:r>
    </w:p>
    <w:p w14:paraId="68F06DA4" w14:textId="06437249" w:rsidR="002D1D7C" w:rsidRPr="003365D3" w:rsidRDefault="002D1D7C" w:rsidP="00140C5B">
      <w:pPr>
        <w:pStyle w:val="ListParagraph"/>
        <w:numPr>
          <w:ilvl w:val="0"/>
          <w:numId w:val="42"/>
        </w:numPr>
        <w:tabs>
          <w:tab w:val="center" w:pos="4513"/>
          <w:tab w:val="right" w:pos="9026"/>
        </w:tabs>
        <w:snapToGrid w:val="0"/>
        <w:rPr>
          <w:b/>
          <w:noProof/>
        </w:rPr>
      </w:pPr>
      <w:r w:rsidRPr="003365D3">
        <w:rPr>
          <w:b/>
          <w:noProof/>
        </w:rPr>
        <w:t>Did you complete an online assessment</w:t>
      </w:r>
    </w:p>
    <w:p w14:paraId="6AAB0CA2" w14:textId="2C084ABE" w:rsidR="002D1D7C" w:rsidRPr="002D1D7C" w:rsidRDefault="002D1D7C" w:rsidP="00140C5B">
      <w:pPr>
        <w:numPr>
          <w:ilvl w:val="0"/>
          <w:numId w:val="65"/>
        </w:numPr>
        <w:tabs>
          <w:tab w:val="center" w:pos="4513"/>
          <w:tab w:val="right" w:pos="9026"/>
        </w:tabs>
        <w:snapToGrid w:val="0"/>
        <w:ind w:left="1077" w:hanging="357"/>
        <w:rPr>
          <w:rFonts w:asciiTheme="minorHAnsi" w:hAnsiTheme="minorHAnsi" w:cstheme="minorHAnsi"/>
          <w:noProof/>
          <w:sz w:val="21"/>
          <w:szCs w:val="21"/>
        </w:rPr>
      </w:pPr>
      <w:r w:rsidRPr="002D1D7C">
        <w:rPr>
          <w:rFonts w:asciiTheme="minorHAnsi" w:hAnsiTheme="minorHAnsi" w:cstheme="minorHAnsi"/>
          <w:noProof/>
          <w:sz w:val="21"/>
          <w:szCs w:val="21"/>
        </w:rPr>
        <w:t>Yes</w:t>
      </w:r>
    </w:p>
    <w:p w14:paraId="3F109DCF" w14:textId="77777777" w:rsidR="002D1D7C" w:rsidRPr="002D1D7C" w:rsidRDefault="002D1D7C" w:rsidP="00140C5B">
      <w:pPr>
        <w:numPr>
          <w:ilvl w:val="0"/>
          <w:numId w:val="65"/>
        </w:numPr>
        <w:tabs>
          <w:tab w:val="center" w:pos="4513"/>
          <w:tab w:val="right" w:pos="9026"/>
        </w:tabs>
        <w:snapToGrid w:val="0"/>
        <w:rPr>
          <w:rFonts w:asciiTheme="minorHAnsi" w:hAnsiTheme="minorHAnsi" w:cstheme="minorHAnsi"/>
          <w:noProof/>
          <w:sz w:val="21"/>
          <w:szCs w:val="21"/>
        </w:rPr>
      </w:pPr>
      <w:r w:rsidRPr="002D1D7C">
        <w:rPr>
          <w:rFonts w:asciiTheme="minorHAnsi" w:hAnsiTheme="minorHAnsi" w:cstheme="minorHAnsi"/>
          <w:noProof/>
          <w:sz w:val="21"/>
          <w:szCs w:val="21"/>
        </w:rPr>
        <w:t>No</w:t>
      </w:r>
    </w:p>
    <w:p w14:paraId="6337A214" w14:textId="77777777" w:rsidR="00E6375B" w:rsidRDefault="00E6375B" w:rsidP="003365D3">
      <w:pPr>
        <w:snapToGrid w:val="0"/>
        <w:ind w:left="709" w:firstLine="11"/>
        <w:rPr>
          <w:rFonts w:asciiTheme="minorHAnsi" w:eastAsia="MS Mincho" w:hAnsiTheme="minorHAnsi" w:cstheme="minorHAnsi"/>
          <w:b/>
          <w:sz w:val="21"/>
          <w:szCs w:val="21"/>
          <w:lang w:val="en-US"/>
        </w:rPr>
      </w:pPr>
      <w:r>
        <w:rPr>
          <w:rFonts w:asciiTheme="minorHAnsi" w:eastAsia="MS Mincho" w:hAnsiTheme="minorHAnsi" w:cstheme="minorHAnsi"/>
          <w:b/>
          <w:sz w:val="21"/>
          <w:szCs w:val="21"/>
          <w:lang w:val="en-US"/>
        </w:rPr>
        <w:br w:type="page"/>
      </w:r>
    </w:p>
    <w:p w14:paraId="7B82EACF" w14:textId="49EEA4DE" w:rsidR="002D1D7C" w:rsidRPr="002D1D7C" w:rsidRDefault="002D1D7C" w:rsidP="003365D3">
      <w:pPr>
        <w:snapToGrid w:val="0"/>
        <w:ind w:left="709" w:firstLine="11"/>
        <w:rPr>
          <w:rFonts w:asciiTheme="minorHAnsi" w:eastAsia="MS Mincho" w:hAnsiTheme="minorHAnsi" w:cstheme="minorHAnsi"/>
          <w:b/>
          <w:sz w:val="21"/>
          <w:szCs w:val="21"/>
          <w:lang w:val="en-US"/>
        </w:rPr>
      </w:pPr>
      <w:r w:rsidRPr="002D1D7C">
        <w:rPr>
          <w:rFonts w:asciiTheme="minorHAnsi" w:eastAsia="MS Mincho" w:hAnsiTheme="minorHAnsi" w:cstheme="minorHAnsi"/>
          <w:b/>
          <w:sz w:val="21"/>
          <w:szCs w:val="21"/>
          <w:lang w:val="en-US"/>
        </w:rPr>
        <w:lastRenderedPageBreak/>
        <w:t>If you did not complete any of the online assessments, can you please select all that apply</w:t>
      </w:r>
    </w:p>
    <w:p w14:paraId="6876F484" w14:textId="77777777" w:rsidR="002D1D7C" w:rsidRPr="002D1D7C" w:rsidRDefault="002D1D7C" w:rsidP="00140C5B">
      <w:pPr>
        <w:numPr>
          <w:ilvl w:val="0"/>
          <w:numId w:val="61"/>
        </w:numPr>
        <w:ind w:left="156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Did not know I had to</w:t>
      </w:r>
    </w:p>
    <w:p w14:paraId="368F6CC1" w14:textId="77777777" w:rsidR="002D1D7C" w:rsidRPr="002D1D7C" w:rsidRDefault="002D1D7C" w:rsidP="00140C5B">
      <w:pPr>
        <w:numPr>
          <w:ilvl w:val="0"/>
          <w:numId w:val="61"/>
        </w:numPr>
        <w:ind w:left="156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Not relevant to me</w:t>
      </w:r>
    </w:p>
    <w:p w14:paraId="374C0B2B" w14:textId="77777777" w:rsidR="002D1D7C" w:rsidRPr="002D1D7C" w:rsidRDefault="002D1D7C" w:rsidP="00140C5B">
      <w:pPr>
        <w:numPr>
          <w:ilvl w:val="0"/>
          <w:numId w:val="61"/>
        </w:numPr>
        <w:ind w:left="156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Did not have time</w:t>
      </w:r>
    </w:p>
    <w:p w14:paraId="7B554F67" w14:textId="77777777" w:rsidR="002D1D7C" w:rsidRPr="002D1D7C" w:rsidRDefault="002D1D7C" w:rsidP="00140C5B">
      <w:pPr>
        <w:numPr>
          <w:ilvl w:val="0"/>
          <w:numId w:val="61"/>
        </w:numPr>
        <w:ind w:left="156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Too difficult to understand</w:t>
      </w:r>
    </w:p>
    <w:p w14:paraId="12D41A02" w14:textId="77777777" w:rsidR="002D1D7C" w:rsidRPr="002D1D7C" w:rsidRDefault="002D1D7C" w:rsidP="00140C5B">
      <w:pPr>
        <w:numPr>
          <w:ilvl w:val="0"/>
          <w:numId w:val="61"/>
        </w:numPr>
        <w:ind w:left="156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Did not believe that they would be helpful</w:t>
      </w:r>
    </w:p>
    <w:p w14:paraId="6DF66E4E" w14:textId="77777777" w:rsidR="002D1D7C" w:rsidRPr="002D1D7C" w:rsidRDefault="002D1D7C" w:rsidP="00140C5B">
      <w:pPr>
        <w:numPr>
          <w:ilvl w:val="0"/>
          <w:numId w:val="61"/>
        </w:numPr>
        <w:ind w:left="156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Other, please specify______________</w:t>
      </w:r>
      <w:proofErr w:type="gramStart"/>
      <w:r w:rsidRPr="002D1D7C">
        <w:rPr>
          <w:rFonts w:asciiTheme="minorHAnsi" w:eastAsia="MS Mincho" w:hAnsiTheme="minorHAnsi" w:cstheme="minorHAnsi"/>
          <w:sz w:val="21"/>
          <w:szCs w:val="21"/>
          <w:lang w:val="en-US"/>
        </w:rPr>
        <w:t>_(</w:t>
      </w:r>
      <w:proofErr w:type="gramEnd"/>
      <w:r w:rsidRPr="002D1D7C">
        <w:rPr>
          <w:rFonts w:asciiTheme="minorHAnsi" w:eastAsia="MS Mincho" w:hAnsiTheme="minorHAnsi" w:cstheme="minorHAnsi"/>
          <w:sz w:val="21"/>
          <w:szCs w:val="21"/>
          <w:lang w:val="en-US"/>
        </w:rPr>
        <w:t>go to question 4)</w:t>
      </w:r>
    </w:p>
    <w:p w14:paraId="21F28D4A" w14:textId="77777777" w:rsidR="002D1D7C" w:rsidRPr="002D1D7C" w:rsidRDefault="002D1D7C" w:rsidP="002D1D7C">
      <w:pPr>
        <w:tabs>
          <w:tab w:val="center" w:pos="4153"/>
          <w:tab w:val="right" w:pos="8306"/>
        </w:tabs>
        <w:ind w:left="1440"/>
        <w:rPr>
          <w:rFonts w:asciiTheme="minorHAnsi" w:hAnsiTheme="minorHAnsi" w:cstheme="minorHAnsi"/>
          <w:noProof/>
          <w:sz w:val="21"/>
          <w:szCs w:val="21"/>
        </w:rPr>
      </w:pPr>
    </w:p>
    <w:p w14:paraId="71231989" w14:textId="55283037" w:rsidR="002D1D7C" w:rsidRPr="002D1D7C" w:rsidRDefault="002D1D7C" w:rsidP="00140C5B">
      <w:pPr>
        <w:numPr>
          <w:ilvl w:val="0"/>
          <w:numId w:val="42"/>
        </w:numPr>
        <w:tabs>
          <w:tab w:val="center" w:pos="4513"/>
          <w:tab w:val="right" w:pos="9026"/>
        </w:tabs>
        <w:snapToGrid w:val="0"/>
        <w:ind w:left="357" w:hanging="357"/>
        <w:rPr>
          <w:rFonts w:asciiTheme="minorHAnsi" w:hAnsiTheme="minorHAnsi" w:cstheme="minorHAnsi"/>
          <w:b/>
          <w:noProof/>
          <w:sz w:val="21"/>
          <w:szCs w:val="21"/>
        </w:rPr>
      </w:pPr>
      <w:r w:rsidRPr="002D1D7C">
        <w:rPr>
          <w:rFonts w:asciiTheme="minorHAnsi" w:hAnsiTheme="minorHAnsi" w:cstheme="minorHAnsi"/>
          <w:b/>
          <w:noProof/>
          <w:sz w:val="21"/>
          <w:szCs w:val="21"/>
        </w:rPr>
        <w:t>How long did the assessment take?</w:t>
      </w:r>
    </w:p>
    <w:p w14:paraId="6A978BD0" w14:textId="77777777" w:rsidR="002D1D7C" w:rsidRPr="002D1D7C" w:rsidRDefault="002D1D7C" w:rsidP="00140C5B">
      <w:pPr>
        <w:numPr>
          <w:ilvl w:val="0"/>
          <w:numId w:val="44"/>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Less than 10 minutes</w:t>
      </w:r>
    </w:p>
    <w:p w14:paraId="52DB8BE5" w14:textId="77777777" w:rsidR="002D1D7C" w:rsidRPr="002D1D7C" w:rsidRDefault="002D1D7C" w:rsidP="00140C5B">
      <w:pPr>
        <w:numPr>
          <w:ilvl w:val="0"/>
          <w:numId w:val="44"/>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10 to 20 minutes</w:t>
      </w:r>
    </w:p>
    <w:p w14:paraId="4B92A828" w14:textId="77777777" w:rsidR="002D1D7C" w:rsidRPr="002D1D7C" w:rsidRDefault="002D1D7C" w:rsidP="00140C5B">
      <w:pPr>
        <w:numPr>
          <w:ilvl w:val="0"/>
          <w:numId w:val="44"/>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21 to 30 minutes</w:t>
      </w:r>
    </w:p>
    <w:p w14:paraId="5449E9CF" w14:textId="77777777" w:rsidR="002D1D7C" w:rsidRPr="002D1D7C" w:rsidRDefault="002D1D7C" w:rsidP="00140C5B">
      <w:pPr>
        <w:numPr>
          <w:ilvl w:val="0"/>
          <w:numId w:val="44"/>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31 to 40 minutes</w:t>
      </w:r>
    </w:p>
    <w:p w14:paraId="329B9DE4" w14:textId="77777777" w:rsidR="002D1D7C" w:rsidRPr="002D1D7C" w:rsidRDefault="002D1D7C" w:rsidP="00140C5B">
      <w:pPr>
        <w:numPr>
          <w:ilvl w:val="0"/>
          <w:numId w:val="44"/>
        </w:numPr>
        <w:snapToGrid w:val="0"/>
        <w:ind w:left="1077" w:hanging="357"/>
        <w:rPr>
          <w:rFonts w:asciiTheme="minorHAnsi" w:eastAsia="MS Mincho" w:hAnsiTheme="minorHAnsi" w:cstheme="minorHAnsi"/>
          <w:sz w:val="21"/>
          <w:szCs w:val="21"/>
        </w:rPr>
      </w:pPr>
      <w:r w:rsidRPr="002D1D7C">
        <w:rPr>
          <w:rFonts w:asciiTheme="minorHAnsi" w:eastAsia="MS Mincho" w:hAnsiTheme="minorHAnsi" w:cstheme="minorHAnsi"/>
          <w:sz w:val="21"/>
          <w:szCs w:val="21"/>
        </w:rPr>
        <w:t>Over 40 minutes</w:t>
      </w:r>
    </w:p>
    <w:p w14:paraId="1074B5C1" w14:textId="49BA598A" w:rsidR="002D1D7C" w:rsidRPr="003365D3" w:rsidRDefault="002D1D7C" w:rsidP="00140C5B">
      <w:pPr>
        <w:numPr>
          <w:ilvl w:val="0"/>
          <w:numId w:val="42"/>
        </w:numPr>
        <w:tabs>
          <w:tab w:val="center" w:pos="4513"/>
          <w:tab w:val="right" w:pos="9026"/>
        </w:tabs>
        <w:rPr>
          <w:rFonts w:asciiTheme="minorHAnsi" w:hAnsiTheme="minorHAnsi" w:cstheme="minorHAnsi"/>
          <w:b/>
          <w:noProof/>
          <w:sz w:val="21"/>
          <w:szCs w:val="21"/>
        </w:rPr>
      </w:pPr>
      <w:r w:rsidRPr="002D1D7C">
        <w:rPr>
          <w:rFonts w:asciiTheme="minorHAnsi" w:hAnsiTheme="minorHAnsi" w:cstheme="minorHAnsi"/>
          <w:b/>
          <w:noProof/>
          <w:sz w:val="21"/>
          <w:szCs w:val="21"/>
        </w:rPr>
        <w:t>Thinking about the online assessment that you have completed or are working through please select your response to each of the following items</w:t>
      </w:r>
    </w:p>
    <w:tbl>
      <w:tblPr>
        <w:tblStyle w:val="TableGrid2"/>
        <w:tblW w:w="8899" w:type="dxa"/>
        <w:tblInd w:w="392" w:type="dxa"/>
        <w:tblBorders>
          <w:left w:val="none" w:sz="0" w:space="0" w:color="auto"/>
          <w:right w:val="none" w:sz="0" w:space="0" w:color="auto"/>
          <w:insideV w:val="none" w:sz="0" w:space="0" w:color="auto"/>
        </w:tblBorders>
        <w:tblLook w:val="04A0" w:firstRow="1" w:lastRow="0" w:firstColumn="1" w:lastColumn="0" w:noHBand="0" w:noVBand="1"/>
      </w:tblPr>
      <w:tblGrid>
        <w:gridCol w:w="3606"/>
        <w:gridCol w:w="954"/>
        <w:gridCol w:w="1150"/>
        <w:gridCol w:w="1100"/>
        <w:gridCol w:w="1063"/>
        <w:gridCol w:w="1026"/>
      </w:tblGrid>
      <w:tr w:rsidR="002D1D7C" w:rsidRPr="002D1D7C" w14:paraId="613726FD" w14:textId="77777777" w:rsidTr="00BD431E">
        <w:tc>
          <w:tcPr>
            <w:tcW w:w="3606" w:type="dxa"/>
          </w:tcPr>
          <w:p w14:paraId="686D5F2A" w14:textId="77777777" w:rsidR="002D1D7C" w:rsidRPr="002D1D7C" w:rsidRDefault="002D1D7C" w:rsidP="003365D3">
            <w:pPr>
              <w:snapToGrid w:val="0"/>
              <w:rPr>
                <w:rFonts w:asciiTheme="minorHAnsi" w:hAnsiTheme="minorHAnsi" w:cstheme="minorHAnsi"/>
                <w:sz w:val="21"/>
                <w:szCs w:val="21"/>
                <w:lang w:eastAsia="en-AU"/>
              </w:rPr>
            </w:pPr>
          </w:p>
        </w:tc>
        <w:tc>
          <w:tcPr>
            <w:tcW w:w="954" w:type="dxa"/>
            <w:vAlign w:val="bottom"/>
          </w:tcPr>
          <w:p w14:paraId="46E8B4FC" w14:textId="77777777" w:rsidR="002D1D7C" w:rsidRPr="002D1D7C" w:rsidRDefault="002D1D7C" w:rsidP="003365D3">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Strongly disagree</w:t>
            </w:r>
          </w:p>
        </w:tc>
        <w:tc>
          <w:tcPr>
            <w:tcW w:w="1150" w:type="dxa"/>
            <w:vAlign w:val="bottom"/>
          </w:tcPr>
          <w:p w14:paraId="68740282" w14:textId="77777777" w:rsidR="002D1D7C" w:rsidRPr="002D1D7C" w:rsidRDefault="002D1D7C" w:rsidP="003365D3">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Somewhat disagree</w:t>
            </w:r>
          </w:p>
        </w:tc>
        <w:tc>
          <w:tcPr>
            <w:tcW w:w="1100" w:type="dxa"/>
            <w:vAlign w:val="bottom"/>
          </w:tcPr>
          <w:p w14:paraId="459122B2" w14:textId="77777777" w:rsidR="002D1D7C" w:rsidRPr="002D1D7C" w:rsidRDefault="002D1D7C" w:rsidP="003365D3">
            <w:pPr>
              <w:tabs>
                <w:tab w:val="left" w:pos="1701"/>
              </w:tabs>
              <w:snapToGrid w:val="0"/>
              <w:ind w:left="-198" w:right="-196"/>
              <w:jc w:val="center"/>
              <w:rPr>
                <w:rFonts w:asciiTheme="minorHAnsi" w:hAnsiTheme="minorHAnsi" w:cstheme="minorHAnsi"/>
                <w:sz w:val="21"/>
                <w:szCs w:val="21"/>
                <w:lang w:eastAsia="en-US"/>
              </w:rPr>
            </w:pPr>
            <w:r w:rsidRPr="002D1D7C">
              <w:rPr>
                <w:rFonts w:asciiTheme="minorHAnsi" w:hAnsiTheme="minorHAnsi" w:cstheme="minorHAnsi"/>
                <w:sz w:val="21"/>
                <w:szCs w:val="21"/>
                <w:lang w:eastAsia="en-US"/>
              </w:rPr>
              <w:t xml:space="preserve">Neither </w:t>
            </w:r>
          </w:p>
          <w:p w14:paraId="6BECEEF6" w14:textId="77777777" w:rsidR="002D1D7C" w:rsidRPr="002D1D7C" w:rsidRDefault="002D1D7C" w:rsidP="003365D3">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agree or disagree</w:t>
            </w:r>
          </w:p>
        </w:tc>
        <w:tc>
          <w:tcPr>
            <w:tcW w:w="1063" w:type="dxa"/>
            <w:vAlign w:val="bottom"/>
          </w:tcPr>
          <w:p w14:paraId="7B984D92" w14:textId="77777777" w:rsidR="002D1D7C" w:rsidRPr="002D1D7C" w:rsidRDefault="002D1D7C" w:rsidP="003365D3">
            <w:pPr>
              <w:tabs>
                <w:tab w:val="left" w:pos="1701"/>
              </w:tabs>
              <w:snapToGrid w:val="0"/>
              <w:ind w:left="-164" w:right="-196"/>
              <w:jc w:val="center"/>
              <w:rPr>
                <w:rFonts w:asciiTheme="minorHAnsi" w:hAnsiTheme="minorHAnsi" w:cstheme="minorHAnsi"/>
                <w:sz w:val="21"/>
                <w:szCs w:val="21"/>
                <w:lang w:eastAsia="en-US"/>
              </w:rPr>
            </w:pPr>
            <w:r w:rsidRPr="002D1D7C">
              <w:rPr>
                <w:rFonts w:asciiTheme="minorHAnsi" w:hAnsiTheme="minorHAnsi" w:cstheme="minorHAnsi"/>
                <w:sz w:val="21"/>
                <w:szCs w:val="21"/>
                <w:lang w:eastAsia="en-US"/>
              </w:rPr>
              <w:t>Somewhat</w:t>
            </w:r>
          </w:p>
          <w:p w14:paraId="1CE4E422" w14:textId="77777777" w:rsidR="002D1D7C" w:rsidRPr="002D1D7C" w:rsidRDefault="002D1D7C" w:rsidP="003365D3">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 xml:space="preserve"> agree</w:t>
            </w:r>
          </w:p>
        </w:tc>
        <w:tc>
          <w:tcPr>
            <w:tcW w:w="1026" w:type="dxa"/>
            <w:vAlign w:val="bottom"/>
          </w:tcPr>
          <w:p w14:paraId="1410BD34" w14:textId="77777777" w:rsidR="002D1D7C" w:rsidRPr="002D1D7C" w:rsidRDefault="002D1D7C" w:rsidP="003365D3">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Strongly agree</w:t>
            </w:r>
          </w:p>
        </w:tc>
      </w:tr>
      <w:tr w:rsidR="002D1D7C" w:rsidRPr="002D1D7C" w14:paraId="21A01973" w14:textId="77777777" w:rsidTr="00BD431E">
        <w:trPr>
          <w:trHeight w:val="117"/>
        </w:trPr>
        <w:tc>
          <w:tcPr>
            <w:tcW w:w="3606" w:type="dxa"/>
          </w:tcPr>
          <w:p w14:paraId="1BDFB378" w14:textId="77777777" w:rsidR="002D1D7C" w:rsidRPr="002D1D7C" w:rsidRDefault="002D1D7C" w:rsidP="003365D3">
            <w:pPr>
              <w:snapToGrid w:val="0"/>
              <w:rPr>
                <w:rFonts w:asciiTheme="minorHAnsi" w:hAnsiTheme="minorHAnsi" w:cstheme="minorHAnsi"/>
                <w:sz w:val="21"/>
                <w:szCs w:val="21"/>
                <w:lang w:eastAsia="en-AU"/>
              </w:rPr>
            </w:pPr>
            <w:r w:rsidRPr="002D1D7C">
              <w:rPr>
                <w:rFonts w:asciiTheme="minorHAnsi" w:hAnsiTheme="minorHAnsi" w:cstheme="minorHAnsi"/>
                <w:sz w:val="21"/>
                <w:szCs w:val="21"/>
                <w:lang w:eastAsia="en-AU"/>
              </w:rPr>
              <w:t>The online mental health assessment:</w:t>
            </w:r>
          </w:p>
        </w:tc>
        <w:tc>
          <w:tcPr>
            <w:tcW w:w="954" w:type="dxa"/>
          </w:tcPr>
          <w:p w14:paraId="6FF4CA39" w14:textId="69E4663C" w:rsidR="002D1D7C" w:rsidRPr="002D1D7C" w:rsidRDefault="002D1D7C" w:rsidP="003365D3">
            <w:pPr>
              <w:snapToGrid w:val="0"/>
              <w:jc w:val="center"/>
              <w:rPr>
                <w:rFonts w:asciiTheme="minorHAnsi" w:hAnsiTheme="minorHAnsi" w:cstheme="minorHAnsi"/>
                <w:sz w:val="21"/>
                <w:szCs w:val="21"/>
                <w:lang w:eastAsia="en-AU"/>
              </w:rPr>
            </w:pPr>
          </w:p>
        </w:tc>
        <w:tc>
          <w:tcPr>
            <w:tcW w:w="1150" w:type="dxa"/>
          </w:tcPr>
          <w:p w14:paraId="1CFEDF6D" w14:textId="5A437B77" w:rsidR="002D1D7C" w:rsidRPr="002D1D7C" w:rsidRDefault="002D1D7C" w:rsidP="003365D3">
            <w:pPr>
              <w:snapToGrid w:val="0"/>
              <w:jc w:val="center"/>
              <w:rPr>
                <w:rFonts w:asciiTheme="minorHAnsi" w:hAnsiTheme="minorHAnsi" w:cstheme="minorHAnsi"/>
                <w:sz w:val="21"/>
                <w:szCs w:val="21"/>
                <w:lang w:eastAsia="en-AU"/>
              </w:rPr>
            </w:pPr>
          </w:p>
        </w:tc>
        <w:tc>
          <w:tcPr>
            <w:tcW w:w="1100" w:type="dxa"/>
          </w:tcPr>
          <w:p w14:paraId="78CE0FAB" w14:textId="0826F9A2" w:rsidR="002D1D7C" w:rsidRPr="002D1D7C" w:rsidRDefault="002D1D7C" w:rsidP="003365D3">
            <w:pPr>
              <w:snapToGrid w:val="0"/>
              <w:jc w:val="center"/>
              <w:rPr>
                <w:rFonts w:asciiTheme="minorHAnsi" w:hAnsiTheme="minorHAnsi" w:cstheme="minorHAnsi"/>
                <w:sz w:val="21"/>
                <w:szCs w:val="21"/>
                <w:lang w:eastAsia="en-AU"/>
              </w:rPr>
            </w:pPr>
          </w:p>
        </w:tc>
        <w:tc>
          <w:tcPr>
            <w:tcW w:w="1063" w:type="dxa"/>
          </w:tcPr>
          <w:p w14:paraId="143C005F" w14:textId="1F61DB4E" w:rsidR="002D1D7C" w:rsidRPr="002D1D7C" w:rsidRDefault="002D1D7C" w:rsidP="003365D3">
            <w:pPr>
              <w:snapToGrid w:val="0"/>
              <w:jc w:val="center"/>
              <w:rPr>
                <w:rFonts w:asciiTheme="minorHAnsi" w:hAnsiTheme="minorHAnsi" w:cstheme="minorHAnsi"/>
                <w:sz w:val="21"/>
                <w:szCs w:val="21"/>
                <w:lang w:eastAsia="en-AU"/>
              </w:rPr>
            </w:pPr>
          </w:p>
        </w:tc>
        <w:tc>
          <w:tcPr>
            <w:tcW w:w="1026" w:type="dxa"/>
          </w:tcPr>
          <w:p w14:paraId="5CE6E9B1" w14:textId="0B177EA3" w:rsidR="002D1D7C" w:rsidRPr="002D1D7C" w:rsidRDefault="002D1D7C" w:rsidP="003365D3">
            <w:pPr>
              <w:snapToGrid w:val="0"/>
              <w:jc w:val="center"/>
              <w:rPr>
                <w:rFonts w:asciiTheme="minorHAnsi" w:hAnsiTheme="minorHAnsi" w:cstheme="minorHAnsi"/>
                <w:sz w:val="21"/>
                <w:szCs w:val="21"/>
                <w:lang w:eastAsia="en-AU"/>
              </w:rPr>
            </w:pPr>
          </w:p>
        </w:tc>
      </w:tr>
      <w:tr w:rsidR="001A0921" w:rsidRPr="002D1D7C" w14:paraId="25CB974E" w14:textId="77777777" w:rsidTr="00BD431E">
        <w:trPr>
          <w:trHeight w:val="287"/>
        </w:trPr>
        <w:tc>
          <w:tcPr>
            <w:tcW w:w="3606" w:type="dxa"/>
          </w:tcPr>
          <w:p w14:paraId="15FD04B5" w14:textId="77777777" w:rsidR="001A0921" w:rsidRPr="002D1D7C" w:rsidRDefault="001A0921" w:rsidP="00140C5B">
            <w:pPr>
              <w:numPr>
                <w:ilvl w:val="0"/>
                <w:numId w:val="61"/>
              </w:numPr>
              <w:autoSpaceDE w:val="0"/>
              <w:autoSpaceDN w:val="0"/>
              <w:adjustRightInd w:val="0"/>
              <w:snapToGrid w:val="0"/>
              <w:rPr>
                <w:rFonts w:asciiTheme="minorHAnsi" w:hAnsiTheme="minorHAnsi" w:cstheme="minorHAnsi"/>
                <w:color w:val="000000"/>
                <w:sz w:val="21"/>
                <w:szCs w:val="21"/>
                <w:lang w:val="en-US" w:eastAsia="en-US"/>
              </w:rPr>
            </w:pPr>
            <w:r w:rsidRPr="002D1D7C">
              <w:rPr>
                <w:rFonts w:asciiTheme="minorHAnsi" w:hAnsiTheme="minorHAnsi" w:cstheme="minorHAnsi"/>
                <w:color w:val="000000"/>
                <w:sz w:val="21"/>
                <w:szCs w:val="21"/>
                <w:lang w:val="en-US" w:eastAsia="en-US"/>
              </w:rPr>
              <w:t>was appropriate</w:t>
            </w:r>
          </w:p>
        </w:tc>
        <w:tc>
          <w:tcPr>
            <w:tcW w:w="954" w:type="dxa"/>
          </w:tcPr>
          <w:p w14:paraId="26AA4283" w14:textId="3557493F" w:rsidR="001A0921" w:rsidRPr="002D1D7C" w:rsidRDefault="001A0921" w:rsidP="001A0921">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1</w:t>
            </w:r>
          </w:p>
        </w:tc>
        <w:tc>
          <w:tcPr>
            <w:tcW w:w="1150" w:type="dxa"/>
          </w:tcPr>
          <w:p w14:paraId="6CC65C40" w14:textId="08A57B86" w:rsidR="001A0921" w:rsidRPr="002D1D7C" w:rsidRDefault="001A0921" w:rsidP="001A0921">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2</w:t>
            </w:r>
          </w:p>
        </w:tc>
        <w:tc>
          <w:tcPr>
            <w:tcW w:w="1100" w:type="dxa"/>
          </w:tcPr>
          <w:p w14:paraId="10CDFA17" w14:textId="104AF57B" w:rsidR="001A0921" w:rsidRPr="002D1D7C" w:rsidRDefault="001A0921" w:rsidP="001A0921">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3</w:t>
            </w:r>
          </w:p>
        </w:tc>
        <w:tc>
          <w:tcPr>
            <w:tcW w:w="1063" w:type="dxa"/>
          </w:tcPr>
          <w:p w14:paraId="48FFFB21" w14:textId="00D37173" w:rsidR="001A0921" w:rsidRPr="002D1D7C" w:rsidRDefault="001A0921" w:rsidP="001A0921">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4</w:t>
            </w:r>
          </w:p>
        </w:tc>
        <w:tc>
          <w:tcPr>
            <w:tcW w:w="1026" w:type="dxa"/>
          </w:tcPr>
          <w:p w14:paraId="1F51F25D" w14:textId="77178D51" w:rsidR="001A0921" w:rsidRPr="002D1D7C" w:rsidRDefault="001A0921" w:rsidP="001A0921">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5</w:t>
            </w:r>
          </w:p>
        </w:tc>
      </w:tr>
      <w:tr w:rsidR="001A0921" w:rsidRPr="002D1D7C" w14:paraId="6AEEF498" w14:textId="77777777" w:rsidTr="00BD431E">
        <w:tc>
          <w:tcPr>
            <w:tcW w:w="3606" w:type="dxa"/>
          </w:tcPr>
          <w:p w14:paraId="0E7843AF" w14:textId="77777777" w:rsidR="001A0921" w:rsidRPr="002D1D7C" w:rsidRDefault="001A0921" w:rsidP="00140C5B">
            <w:pPr>
              <w:numPr>
                <w:ilvl w:val="0"/>
                <w:numId w:val="61"/>
              </w:numPr>
              <w:autoSpaceDE w:val="0"/>
              <w:autoSpaceDN w:val="0"/>
              <w:adjustRightInd w:val="0"/>
              <w:snapToGrid w:val="0"/>
              <w:rPr>
                <w:rFonts w:asciiTheme="minorHAnsi" w:hAnsiTheme="minorHAnsi" w:cstheme="minorHAnsi"/>
                <w:color w:val="000000"/>
                <w:sz w:val="21"/>
                <w:szCs w:val="21"/>
                <w:lang w:val="en-US" w:eastAsia="en-US"/>
              </w:rPr>
            </w:pPr>
            <w:r w:rsidRPr="002D1D7C">
              <w:rPr>
                <w:rFonts w:asciiTheme="minorHAnsi" w:hAnsiTheme="minorHAnsi" w:cstheme="minorHAnsi"/>
                <w:color w:val="000000"/>
                <w:sz w:val="21"/>
                <w:szCs w:val="21"/>
                <w:lang w:val="en-US" w:eastAsia="en-US"/>
              </w:rPr>
              <w:t>was relevant to me</w:t>
            </w:r>
          </w:p>
        </w:tc>
        <w:tc>
          <w:tcPr>
            <w:tcW w:w="954" w:type="dxa"/>
          </w:tcPr>
          <w:p w14:paraId="36C95AD4" w14:textId="23475922"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1</w:t>
            </w:r>
          </w:p>
        </w:tc>
        <w:tc>
          <w:tcPr>
            <w:tcW w:w="1150" w:type="dxa"/>
          </w:tcPr>
          <w:p w14:paraId="65AE5114" w14:textId="5BA774E0"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2</w:t>
            </w:r>
          </w:p>
        </w:tc>
        <w:tc>
          <w:tcPr>
            <w:tcW w:w="1100" w:type="dxa"/>
          </w:tcPr>
          <w:p w14:paraId="6B6952D7" w14:textId="04BAF996"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3</w:t>
            </w:r>
          </w:p>
        </w:tc>
        <w:tc>
          <w:tcPr>
            <w:tcW w:w="1063" w:type="dxa"/>
          </w:tcPr>
          <w:p w14:paraId="429BF57F" w14:textId="37EDAE65"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4</w:t>
            </w:r>
          </w:p>
        </w:tc>
        <w:tc>
          <w:tcPr>
            <w:tcW w:w="1026" w:type="dxa"/>
          </w:tcPr>
          <w:p w14:paraId="7425D87C" w14:textId="50010600"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5</w:t>
            </w:r>
          </w:p>
        </w:tc>
      </w:tr>
      <w:tr w:rsidR="001A0921" w:rsidRPr="002D1D7C" w14:paraId="12AE628B" w14:textId="77777777" w:rsidTr="00BD431E">
        <w:tc>
          <w:tcPr>
            <w:tcW w:w="3606" w:type="dxa"/>
          </w:tcPr>
          <w:p w14:paraId="6C2A6C9E" w14:textId="77777777" w:rsidR="001A0921" w:rsidRPr="002D1D7C" w:rsidRDefault="001A0921" w:rsidP="00140C5B">
            <w:pPr>
              <w:numPr>
                <w:ilvl w:val="0"/>
                <w:numId w:val="61"/>
              </w:numPr>
              <w:snapToGrid w:val="0"/>
              <w:rPr>
                <w:rFonts w:asciiTheme="minorHAnsi" w:hAnsiTheme="minorHAnsi" w:cstheme="minorHAnsi"/>
                <w:sz w:val="21"/>
                <w:szCs w:val="21"/>
                <w:lang w:eastAsia="en-AU"/>
              </w:rPr>
            </w:pPr>
            <w:r w:rsidRPr="002D1D7C">
              <w:rPr>
                <w:rFonts w:asciiTheme="minorHAnsi" w:hAnsiTheme="minorHAnsi" w:cstheme="minorHAnsi"/>
                <w:sz w:val="21"/>
                <w:szCs w:val="21"/>
                <w:lang w:eastAsia="en-AU"/>
              </w:rPr>
              <w:t>helped me understand what was going on for me</w:t>
            </w:r>
          </w:p>
        </w:tc>
        <w:tc>
          <w:tcPr>
            <w:tcW w:w="954" w:type="dxa"/>
          </w:tcPr>
          <w:p w14:paraId="3295DDEA" w14:textId="3C1AA809"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1</w:t>
            </w:r>
          </w:p>
        </w:tc>
        <w:tc>
          <w:tcPr>
            <w:tcW w:w="1150" w:type="dxa"/>
          </w:tcPr>
          <w:p w14:paraId="3A6F1EDE" w14:textId="411D9A37"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2</w:t>
            </w:r>
          </w:p>
        </w:tc>
        <w:tc>
          <w:tcPr>
            <w:tcW w:w="1100" w:type="dxa"/>
          </w:tcPr>
          <w:p w14:paraId="540001B7" w14:textId="74D36796"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3</w:t>
            </w:r>
          </w:p>
        </w:tc>
        <w:tc>
          <w:tcPr>
            <w:tcW w:w="1063" w:type="dxa"/>
          </w:tcPr>
          <w:p w14:paraId="1F4EA5DF" w14:textId="60675868"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4</w:t>
            </w:r>
          </w:p>
        </w:tc>
        <w:tc>
          <w:tcPr>
            <w:tcW w:w="1026" w:type="dxa"/>
          </w:tcPr>
          <w:p w14:paraId="273E0E11" w14:textId="5675DDBD"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5</w:t>
            </w:r>
          </w:p>
        </w:tc>
      </w:tr>
      <w:tr w:rsidR="001A0921" w:rsidRPr="002D1D7C" w14:paraId="2FB3EBF4" w14:textId="77777777" w:rsidTr="00BD431E">
        <w:tc>
          <w:tcPr>
            <w:tcW w:w="3606" w:type="dxa"/>
          </w:tcPr>
          <w:p w14:paraId="47072318" w14:textId="77777777" w:rsidR="001A0921" w:rsidRPr="002D1D7C" w:rsidRDefault="001A0921" w:rsidP="00140C5B">
            <w:pPr>
              <w:numPr>
                <w:ilvl w:val="0"/>
                <w:numId w:val="61"/>
              </w:numPr>
              <w:snapToGrid w:val="0"/>
              <w:rPr>
                <w:rFonts w:asciiTheme="minorHAnsi" w:hAnsiTheme="minorHAnsi" w:cstheme="minorHAnsi"/>
                <w:sz w:val="21"/>
                <w:szCs w:val="21"/>
                <w:lang w:eastAsia="en-AU"/>
              </w:rPr>
            </w:pPr>
            <w:r w:rsidRPr="002D1D7C">
              <w:rPr>
                <w:rFonts w:asciiTheme="minorHAnsi" w:hAnsiTheme="minorHAnsi" w:cstheme="minorHAnsi"/>
                <w:sz w:val="21"/>
                <w:szCs w:val="21"/>
                <w:lang w:eastAsia="en-AU"/>
              </w:rPr>
              <w:t>was accurate</w:t>
            </w:r>
          </w:p>
        </w:tc>
        <w:tc>
          <w:tcPr>
            <w:tcW w:w="954" w:type="dxa"/>
          </w:tcPr>
          <w:p w14:paraId="77DA3D30" w14:textId="282A2CF4"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1</w:t>
            </w:r>
          </w:p>
        </w:tc>
        <w:tc>
          <w:tcPr>
            <w:tcW w:w="1150" w:type="dxa"/>
          </w:tcPr>
          <w:p w14:paraId="0A6A42BE" w14:textId="4F7BC478"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2</w:t>
            </w:r>
          </w:p>
        </w:tc>
        <w:tc>
          <w:tcPr>
            <w:tcW w:w="1100" w:type="dxa"/>
          </w:tcPr>
          <w:p w14:paraId="298F2082" w14:textId="0EE0A134"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3</w:t>
            </w:r>
          </w:p>
        </w:tc>
        <w:tc>
          <w:tcPr>
            <w:tcW w:w="1063" w:type="dxa"/>
          </w:tcPr>
          <w:p w14:paraId="72DED884" w14:textId="21C3C814"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4</w:t>
            </w:r>
          </w:p>
        </w:tc>
        <w:tc>
          <w:tcPr>
            <w:tcW w:w="1026" w:type="dxa"/>
          </w:tcPr>
          <w:p w14:paraId="6A25301E" w14:textId="0DED4B8E"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5</w:t>
            </w:r>
          </w:p>
        </w:tc>
      </w:tr>
      <w:tr w:rsidR="001A0921" w:rsidRPr="002D1D7C" w14:paraId="3782122D" w14:textId="77777777" w:rsidTr="00BD431E">
        <w:tc>
          <w:tcPr>
            <w:tcW w:w="3606" w:type="dxa"/>
          </w:tcPr>
          <w:p w14:paraId="246FCF8D" w14:textId="77777777" w:rsidR="001A0921" w:rsidRPr="002D1D7C" w:rsidRDefault="001A0921" w:rsidP="00140C5B">
            <w:pPr>
              <w:numPr>
                <w:ilvl w:val="0"/>
                <w:numId w:val="61"/>
              </w:numPr>
              <w:snapToGrid w:val="0"/>
              <w:rPr>
                <w:rFonts w:asciiTheme="minorHAnsi" w:hAnsiTheme="minorHAnsi" w:cstheme="minorHAnsi"/>
                <w:sz w:val="21"/>
                <w:szCs w:val="21"/>
                <w:lang w:eastAsia="en-AU"/>
              </w:rPr>
            </w:pPr>
            <w:r w:rsidRPr="002D1D7C">
              <w:rPr>
                <w:rFonts w:asciiTheme="minorHAnsi" w:hAnsiTheme="minorHAnsi" w:cstheme="minorHAnsi"/>
                <w:sz w:val="21"/>
                <w:szCs w:val="21"/>
                <w:lang w:eastAsia="en-AU"/>
              </w:rPr>
              <w:t>was easy to read</w:t>
            </w:r>
          </w:p>
        </w:tc>
        <w:tc>
          <w:tcPr>
            <w:tcW w:w="954" w:type="dxa"/>
          </w:tcPr>
          <w:p w14:paraId="707A1AE1" w14:textId="229904C4"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1</w:t>
            </w:r>
          </w:p>
        </w:tc>
        <w:tc>
          <w:tcPr>
            <w:tcW w:w="1150" w:type="dxa"/>
          </w:tcPr>
          <w:p w14:paraId="17660E98" w14:textId="58025E0F"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2</w:t>
            </w:r>
          </w:p>
        </w:tc>
        <w:tc>
          <w:tcPr>
            <w:tcW w:w="1100" w:type="dxa"/>
          </w:tcPr>
          <w:p w14:paraId="414AA394" w14:textId="2C883DA5"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3</w:t>
            </w:r>
          </w:p>
        </w:tc>
        <w:tc>
          <w:tcPr>
            <w:tcW w:w="1063" w:type="dxa"/>
          </w:tcPr>
          <w:p w14:paraId="67722DBE" w14:textId="19CF5FE7"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4</w:t>
            </w:r>
          </w:p>
        </w:tc>
        <w:tc>
          <w:tcPr>
            <w:tcW w:w="1026" w:type="dxa"/>
          </w:tcPr>
          <w:p w14:paraId="2251CF15" w14:textId="3EEB1381"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5</w:t>
            </w:r>
          </w:p>
        </w:tc>
      </w:tr>
      <w:tr w:rsidR="001A0921" w:rsidRPr="002D1D7C" w14:paraId="29D01744" w14:textId="77777777" w:rsidTr="00BD431E">
        <w:tc>
          <w:tcPr>
            <w:tcW w:w="3606" w:type="dxa"/>
          </w:tcPr>
          <w:p w14:paraId="14000F02" w14:textId="77777777" w:rsidR="001A0921" w:rsidRPr="002D1D7C" w:rsidRDefault="001A0921" w:rsidP="00140C5B">
            <w:pPr>
              <w:numPr>
                <w:ilvl w:val="0"/>
                <w:numId w:val="61"/>
              </w:numPr>
              <w:autoSpaceDE w:val="0"/>
              <w:autoSpaceDN w:val="0"/>
              <w:adjustRightInd w:val="0"/>
              <w:snapToGrid w:val="0"/>
              <w:rPr>
                <w:rFonts w:asciiTheme="minorHAnsi" w:hAnsiTheme="minorHAnsi" w:cstheme="minorHAnsi"/>
                <w:color w:val="000000"/>
                <w:sz w:val="21"/>
                <w:szCs w:val="21"/>
                <w:lang w:val="en-US" w:eastAsia="en-US"/>
              </w:rPr>
            </w:pPr>
            <w:r w:rsidRPr="002D1D7C">
              <w:rPr>
                <w:rFonts w:asciiTheme="minorHAnsi" w:hAnsiTheme="minorHAnsi" w:cstheme="minorHAnsi"/>
                <w:color w:val="000000"/>
                <w:sz w:val="21"/>
                <w:szCs w:val="21"/>
                <w:lang w:val="en-US" w:eastAsia="en-US"/>
              </w:rPr>
              <w:t xml:space="preserve">was </w:t>
            </w:r>
            <w:r w:rsidRPr="002D1D7C">
              <w:rPr>
                <w:rFonts w:asciiTheme="minorHAnsi" w:hAnsiTheme="minorHAnsi" w:cstheme="minorHAnsi"/>
                <w:color w:val="1A1A1A"/>
                <w:sz w:val="21"/>
                <w:szCs w:val="21"/>
                <w:u w:color="103CC0"/>
                <w:lang w:val="en-US" w:eastAsia="en-US"/>
              </w:rPr>
              <w:t xml:space="preserve">easy to understand </w:t>
            </w:r>
          </w:p>
        </w:tc>
        <w:tc>
          <w:tcPr>
            <w:tcW w:w="954" w:type="dxa"/>
          </w:tcPr>
          <w:p w14:paraId="614C7E37" w14:textId="4800B7A7"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1</w:t>
            </w:r>
          </w:p>
        </w:tc>
        <w:tc>
          <w:tcPr>
            <w:tcW w:w="1150" w:type="dxa"/>
          </w:tcPr>
          <w:p w14:paraId="4E92F08D" w14:textId="315A0A0D"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2</w:t>
            </w:r>
          </w:p>
        </w:tc>
        <w:tc>
          <w:tcPr>
            <w:tcW w:w="1100" w:type="dxa"/>
          </w:tcPr>
          <w:p w14:paraId="762332A0" w14:textId="51CFD11F"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3</w:t>
            </w:r>
          </w:p>
        </w:tc>
        <w:tc>
          <w:tcPr>
            <w:tcW w:w="1063" w:type="dxa"/>
          </w:tcPr>
          <w:p w14:paraId="3F5A296C" w14:textId="218A3572"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4</w:t>
            </w:r>
          </w:p>
        </w:tc>
        <w:tc>
          <w:tcPr>
            <w:tcW w:w="1026" w:type="dxa"/>
          </w:tcPr>
          <w:p w14:paraId="00F3F379" w14:textId="4FA20475"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5</w:t>
            </w:r>
          </w:p>
        </w:tc>
      </w:tr>
    </w:tbl>
    <w:p w14:paraId="780F5412" w14:textId="77777777" w:rsidR="002D1D7C" w:rsidRPr="002D1D7C" w:rsidRDefault="002D1D7C" w:rsidP="00140C5B">
      <w:pPr>
        <w:numPr>
          <w:ilvl w:val="0"/>
          <w:numId w:val="42"/>
        </w:numPr>
        <w:tabs>
          <w:tab w:val="center" w:pos="4513"/>
          <w:tab w:val="right" w:pos="9026"/>
        </w:tabs>
        <w:snapToGrid w:val="0"/>
        <w:spacing w:before="200"/>
        <w:ind w:left="357" w:hanging="357"/>
        <w:rPr>
          <w:rFonts w:asciiTheme="minorHAnsi" w:hAnsiTheme="minorHAnsi" w:cstheme="minorHAnsi"/>
          <w:b/>
          <w:noProof/>
          <w:sz w:val="21"/>
          <w:szCs w:val="21"/>
        </w:rPr>
      </w:pPr>
      <w:r w:rsidRPr="002D1D7C">
        <w:rPr>
          <w:rFonts w:asciiTheme="minorHAnsi" w:hAnsiTheme="minorHAnsi" w:cstheme="minorHAnsi"/>
          <w:b/>
          <w:noProof/>
          <w:sz w:val="21"/>
          <w:szCs w:val="21"/>
        </w:rPr>
        <w:t>Did you complete any of the online mental health modules</w:t>
      </w:r>
    </w:p>
    <w:p w14:paraId="7F191FEC" w14:textId="77777777" w:rsidR="002D1D7C" w:rsidRPr="002D1D7C" w:rsidRDefault="002D1D7C" w:rsidP="00140C5B">
      <w:pPr>
        <w:numPr>
          <w:ilvl w:val="0"/>
          <w:numId w:val="65"/>
        </w:numPr>
        <w:tabs>
          <w:tab w:val="center" w:pos="4513"/>
          <w:tab w:val="right" w:pos="9026"/>
        </w:tabs>
        <w:snapToGrid w:val="0"/>
        <w:ind w:left="1077" w:hanging="357"/>
        <w:rPr>
          <w:rFonts w:asciiTheme="minorHAnsi" w:hAnsiTheme="minorHAnsi" w:cstheme="minorHAnsi"/>
          <w:noProof/>
          <w:sz w:val="21"/>
          <w:szCs w:val="21"/>
        </w:rPr>
      </w:pPr>
      <w:r w:rsidRPr="002D1D7C">
        <w:rPr>
          <w:rFonts w:asciiTheme="minorHAnsi" w:hAnsiTheme="minorHAnsi" w:cstheme="minorHAnsi"/>
          <w:noProof/>
          <w:sz w:val="21"/>
          <w:szCs w:val="21"/>
        </w:rPr>
        <w:t xml:space="preserve">Yes </w:t>
      </w:r>
    </w:p>
    <w:p w14:paraId="21102A3B" w14:textId="4E00BBE2" w:rsidR="002D1D7C" w:rsidRPr="001A0921" w:rsidRDefault="002D1D7C" w:rsidP="00140C5B">
      <w:pPr>
        <w:numPr>
          <w:ilvl w:val="0"/>
          <w:numId w:val="65"/>
        </w:numPr>
        <w:tabs>
          <w:tab w:val="center" w:pos="4513"/>
          <w:tab w:val="right" w:pos="9026"/>
        </w:tabs>
        <w:snapToGrid w:val="0"/>
        <w:ind w:left="1077"/>
        <w:rPr>
          <w:rFonts w:asciiTheme="minorHAnsi" w:hAnsiTheme="minorHAnsi" w:cstheme="minorHAnsi"/>
          <w:noProof/>
          <w:sz w:val="21"/>
          <w:szCs w:val="21"/>
        </w:rPr>
      </w:pPr>
      <w:r w:rsidRPr="002D1D7C">
        <w:rPr>
          <w:rFonts w:asciiTheme="minorHAnsi" w:hAnsiTheme="minorHAnsi" w:cstheme="minorHAnsi"/>
          <w:noProof/>
          <w:sz w:val="21"/>
          <w:szCs w:val="21"/>
        </w:rPr>
        <w:t>No</w:t>
      </w:r>
    </w:p>
    <w:p w14:paraId="0430D648" w14:textId="77777777" w:rsidR="002D1D7C" w:rsidRPr="002D1D7C" w:rsidRDefault="002D1D7C" w:rsidP="001A0921">
      <w:pPr>
        <w:snapToGrid w:val="0"/>
        <w:ind w:left="1077"/>
        <w:rPr>
          <w:rFonts w:asciiTheme="minorHAnsi" w:eastAsia="MS Mincho" w:hAnsiTheme="minorHAnsi" w:cstheme="minorHAnsi"/>
          <w:b/>
          <w:sz w:val="21"/>
          <w:szCs w:val="21"/>
          <w:lang w:val="en-US"/>
        </w:rPr>
      </w:pPr>
      <w:r w:rsidRPr="002D1D7C">
        <w:rPr>
          <w:rFonts w:asciiTheme="minorHAnsi" w:eastAsia="MS Mincho" w:hAnsiTheme="minorHAnsi" w:cstheme="minorHAnsi"/>
          <w:b/>
          <w:sz w:val="21"/>
          <w:szCs w:val="21"/>
          <w:lang w:val="en-US"/>
        </w:rPr>
        <w:t xml:space="preserve">If you did not complete any of the online </w:t>
      </w:r>
      <w:proofErr w:type="gramStart"/>
      <w:r w:rsidRPr="002D1D7C">
        <w:rPr>
          <w:rFonts w:asciiTheme="minorHAnsi" w:eastAsia="MS Mincho" w:hAnsiTheme="minorHAnsi" w:cstheme="minorHAnsi"/>
          <w:b/>
          <w:sz w:val="21"/>
          <w:szCs w:val="21"/>
          <w:lang w:val="en-US"/>
        </w:rPr>
        <w:t>modules</w:t>
      </w:r>
      <w:proofErr w:type="gramEnd"/>
      <w:r w:rsidRPr="002D1D7C">
        <w:rPr>
          <w:rFonts w:asciiTheme="minorHAnsi" w:eastAsia="MS Mincho" w:hAnsiTheme="minorHAnsi" w:cstheme="minorHAnsi"/>
          <w:b/>
          <w:sz w:val="21"/>
          <w:szCs w:val="21"/>
          <w:lang w:val="en-US"/>
        </w:rPr>
        <w:t xml:space="preserve"> can you please select all the reasons that apply?</w:t>
      </w:r>
    </w:p>
    <w:p w14:paraId="60993F27" w14:textId="77777777" w:rsidR="002D1D7C" w:rsidRPr="002D1D7C" w:rsidRDefault="002D1D7C" w:rsidP="00140C5B">
      <w:pPr>
        <w:numPr>
          <w:ilvl w:val="1"/>
          <w:numId w:val="71"/>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Not relevant to me</w:t>
      </w:r>
    </w:p>
    <w:p w14:paraId="7218A171" w14:textId="77777777" w:rsidR="002D1D7C" w:rsidRPr="002D1D7C" w:rsidRDefault="002D1D7C" w:rsidP="00140C5B">
      <w:pPr>
        <w:numPr>
          <w:ilvl w:val="1"/>
          <w:numId w:val="71"/>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Did not have time</w:t>
      </w:r>
    </w:p>
    <w:p w14:paraId="35F669EE" w14:textId="77777777" w:rsidR="002D1D7C" w:rsidRPr="002D1D7C" w:rsidRDefault="002D1D7C" w:rsidP="00140C5B">
      <w:pPr>
        <w:numPr>
          <w:ilvl w:val="1"/>
          <w:numId w:val="71"/>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Too difficult to understand</w:t>
      </w:r>
    </w:p>
    <w:p w14:paraId="494AAF4B" w14:textId="77777777" w:rsidR="002D1D7C" w:rsidRPr="002D1D7C" w:rsidRDefault="002D1D7C" w:rsidP="00140C5B">
      <w:pPr>
        <w:numPr>
          <w:ilvl w:val="1"/>
          <w:numId w:val="71"/>
        </w:numPr>
        <w:contextualSpacing/>
        <w:rPr>
          <w:rFonts w:asciiTheme="minorHAnsi" w:eastAsia="MS Mincho" w:hAnsiTheme="minorHAnsi" w:cstheme="minorHAnsi"/>
          <w:b/>
          <w:sz w:val="21"/>
          <w:szCs w:val="21"/>
        </w:rPr>
      </w:pPr>
      <w:r w:rsidRPr="002D1D7C">
        <w:rPr>
          <w:rFonts w:asciiTheme="minorHAnsi" w:eastAsia="MS Mincho" w:hAnsiTheme="minorHAnsi" w:cstheme="minorHAnsi"/>
          <w:sz w:val="21"/>
          <w:szCs w:val="21"/>
          <w:lang w:val="en-US"/>
        </w:rPr>
        <w:t>Did not believe that they would be helpful</w:t>
      </w:r>
    </w:p>
    <w:p w14:paraId="47E56A95" w14:textId="289F769B" w:rsidR="002D1D7C" w:rsidRPr="001A0921" w:rsidRDefault="002D1D7C" w:rsidP="00140C5B">
      <w:pPr>
        <w:numPr>
          <w:ilvl w:val="1"/>
          <w:numId w:val="71"/>
        </w:numPr>
        <w:snapToGrid w:val="0"/>
        <w:ind w:left="1797" w:hanging="357"/>
        <w:rPr>
          <w:rFonts w:asciiTheme="minorHAnsi" w:eastAsia="MS Mincho" w:hAnsiTheme="minorHAnsi" w:cstheme="minorHAnsi"/>
          <w:b/>
          <w:sz w:val="21"/>
          <w:szCs w:val="21"/>
        </w:rPr>
      </w:pPr>
      <w:r w:rsidRPr="002D1D7C">
        <w:rPr>
          <w:rFonts w:asciiTheme="minorHAnsi" w:eastAsia="MS Mincho" w:hAnsiTheme="minorHAnsi" w:cstheme="minorHAnsi"/>
          <w:sz w:val="21"/>
          <w:szCs w:val="21"/>
          <w:lang w:val="en-US"/>
        </w:rPr>
        <w:t>Other, please specify_______________ (go to question 8)</w:t>
      </w:r>
    </w:p>
    <w:p w14:paraId="1AC9CF15" w14:textId="623537B0" w:rsidR="002D1D7C" w:rsidRPr="001A0921" w:rsidRDefault="002D1D7C" w:rsidP="00140C5B">
      <w:pPr>
        <w:numPr>
          <w:ilvl w:val="0"/>
          <w:numId w:val="42"/>
        </w:numPr>
        <w:snapToGrid w:val="0"/>
        <w:ind w:left="357" w:hanging="357"/>
        <w:rPr>
          <w:rFonts w:asciiTheme="minorHAnsi" w:eastAsia="MS Mincho" w:hAnsiTheme="minorHAnsi" w:cstheme="minorHAnsi"/>
          <w:b/>
          <w:sz w:val="21"/>
          <w:szCs w:val="21"/>
        </w:rPr>
      </w:pPr>
      <w:r w:rsidRPr="002D1D7C">
        <w:rPr>
          <w:rFonts w:asciiTheme="minorHAnsi" w:eastAsia="MS Mincho" w:hAnsiTheme="minorHAnsi" w:cstheme="minorHAnsi"/>
          <w:b/>
          <w:sz w:val="21"/>
          <w:szCs w:val="21"/>
        </w:rPr>
        <w:t>On average, how many modules have you completed? _________________</w:t>
      </w:r>
    </w:p>
    <w:p w14:paraId="4B1A25CE" w14:textId="77777777" w:rsidR="002D1D7C" w:rsidRPr="002D1D7C" w:rsidRDefault="002D1D7C" w:rsidP="00140C5B">
      <w:pPr>
        <w:numPr>
          <w:ilvl w:val="0"/>
          <w:numId w:val="42"/>
        </w:numPr>
        <w:contextualSpacing/>
        <w:rPr>
          <w:rFonts w:asciiTheme="minorHAnsi" w:eastAsia="MS Mincho" w:hAnsiTheme="minorHAnsi" w:cstheme="minorHAnsi"/>
          <w:b/>
          <w:sz w:val="21"/>
          <w:szCs w:val="21"/>
        </w:rPr>
      </w:pPr>
      <w:r w:rsidRPr="002D1D7C">
        <w:rPr>
          <w:rFonts w:asciiTheme="minorHAnsi" w:eastAsia="MS Mincho" w:hAnsiTheme="minorHAnsi" w:cstheme="minorHAnsi"/>
          <w:b/>
          <w:sz w:val="21"/>
          <w:szCs w:val="21"/>
        </w:rPr>
        <w:t>On average, how long did you spend on each of the online modules?</w:t>
      </w:r>
    </w:p>
    <w:p w14:paraId="45292D1F" w14:textId="77777777" w:rsidR="002D1D7C" w:rsidRPr="002D1D7C" w:rsidRDefault="002D1D7C" w:rsidP="00140C5B">
      <w:pPr>
        <w:numPr>
          <w:ilvl w:val="0"/>
          <w:numId w:val="44"/>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Less than 10 minutes</w:t>
      </w:r>
    </w:p>
    <w:p w14:paraId="57B4DD92" w14:textId="77777777" w:rsidR="002D1D7C" w:rsidRPr="002D1D7C" w:rsidRDefault="002D1D7C" w:rsidP="00140C5B">
      <w:pPr>
        <w:numPr>
          <w:ilvl w:val="0"/>
          <w:numId w:val="44"/>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10 to 20 minutes</w:t>
      </w:r>
    </w:p>
    <w:p w14:paraId="50A505AD" w14:textId="77777777" w:rsidR="002D1D7C" w:rsidRPr="002D1D7C" w:rsidRDefault="002D1D7C" w:rsidP="00140C5B">
      <w:pPr>
        <w:numPr>
          <w:ilvl w:val="0"/>
          <w:numId w:val="44"/>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21 to 30 minutes</w:t>
      </w:r>
    </w:p>
    <w:p w14:paraId="65D79D4E" w14:textId="77777777" w:rsidR="002D1D7C" w:rsidRPr="002D1D7C" w:rsidRDefault="002D1D7C" w:rsidP="00140C5B">
      <w:pPr>
        <w:numPr>
          <w:ilvl w:val="0"/>
          <w:numId w:val="44"/>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31 to 40 minutes</w:t>
      </w:r>
    </w:p>
    <w:p w14:paraId="483EB7BA" w14:textId="444D7A31" w:rsidR="001A0921" w:rsidRPr="001A0921" w:rsidRDefault="002D1D7C" w:rsidP="00140C5B">
      <w:pPr>
        <w:numPr>
          <w:ilvl w:val="0"/>
          <w:numId w:val="44"/>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Over 40 minutes</w:t>
      </w:r>
    </w:p>
    <w:p w14:paraId="546AB7C2" w14:textId="77777777" w:rsidR="001A0921" w:rsidRDefault="001A0921">
      <w:pPr>
        <w:rPr>
          <w:rFonts w:asciiTheme="minorHAnsi" w:hAnsiTheme="minorHAnsi" w:cstheme="minorHAnsi"/>
          <w:b/>
          <w:noProof/>
          <w:sz w:val="21"/>
          <w:szCs w:val="21"/>
        </w:rPr>
      </w:pPr>
      <w:r>
        <w:rPr>
          <w:b/>
          <w:noProof/>
        </w:rPr>
        <w:br w:type="page"/>
      </w:r>
    </w:p>
    <w:p w14:paraId="427E0E0F" w14:textId="2FC092FA" w:rsidR="002D1D7C" w:rsidRPr="001A0921" w:rsidRDefault="002D1D7C" w:rsidP="00140C5B">
      <w:pPr>
        <w:pStyle w:val="ListParagraph"/>
        <w:numPr>
          <w:ilvl w:val="0"/>
          <w:numId w:val="42"/>
        </w:numPr>
        <w:tabs>
          <w:tab w:val="center" w:pos="4153"/>
          <w:tab w:val="right" w:pos="8306"/>
        </w:tabs>
        <w:rPr>
          <w:b/>
          <w:noProof/>
        </w:rPr>
      </w:pPr>
      <w:r w:rsidRPr="001A0921">
        <w:rPr>
          <w:b/>
          <w:noProof/>
        </w:rPr>
        <w:lastRenderedPageBreak/>
        <w:t>Thinking about the online modules that you have completed or are working through, please select your response to each of the following items.</w:t>
      </w:r>
    </w:p>
    <w:tbl>
      <w:tblPr>
        <w:tblStyle w:val="TableGrid2"/>
        <w:tblW w:w="8899" w:type="dxa"/>
        <w:tblInd w:w="392" w:type="dxa"/>
        <w:tblBorders>
          <w:left w:val="none" w:sz="0" w:space="0" w:color="auto"/>
          <w:right w:val="none" w:sz="0" w:space="0" w:color="auto"/>
          <w:insideV w:val="none" w:sz="0" w:space="0" w:color="auto"/>
        </w:tblBorders>
        <w:tblLook w:val="04A0" w:firstRow="1" w:lastRow="0" w:firstColumn="1" w:lastColumn="0" w:noHBand="0" w:noVBand="1"/>
      </w:tblPr>
      <w:tblGrid>
        <w:gridCol w:w="3606"/>
        <w:gridCol w:w="954"/>
        <w:gridCol w:w="1150"/>
        <w:gridCol w:w="1100"/>
        <w:gridCol w:w="1063"/>
        <w:gridCol w:w="1026"/>
      </w:tblGrid>
      <w:tr w:rsidR="002D1D7C" w:rsidRPr="002D1D7C" w14:paraId="53659D12" w14:textId="77777777" w:rsidTr="00BD431E">
        <w:tc>
          <w:tcPr>
            <w:tcW w:w="3606" w:type="dxa"/>
          </w:tcPr>
          <w:p w14:paraId="78EE3D12" w14:textId="77777777" w:rsidR="002D1D7C" w:rsidRPr="002D1D7C" w:rsidRDefault="002D1D7C" w:rsidP="001A0921">
            <w:pPr>
              <w:snapToGrid w:val="0"/>
              <w:rPr>
                <w:rFonts w:asciiTheme="minorHAnsi" w:hAnsiTheme="minorHAnsi" w:cstheme="minorHAnsi"/>
                <w:sz w:val="21"/>
                <w:szCs w:val="21"/>
                <w:lang w:eastAsia="en-AU"/>
              </w:rPr>
            </w:pPr>
          </w:p>
        </w:tc>
        <w:tc>
          <w:tcPr>
            <w:tcW w:w="954" w:type="dxa"/>
            <w:vAlign w:val="bottom"/>
          </w:tcPr>
          <w:p w14:paraId="66A9E3C2" w14:textId="77777777" w:rsidR="002D1D7C" w:rsidRPr="002D1D7C" w:rsidRDefault="002D1D7C" w:rsidP="001A0921">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Strongly disagree</w:t>
            </w:r>
          </w:p>
        </w:tc>
        <w:tc>
          <w:tcPr>
            <w:tcW w:w="1150" w:type="dxa"/>
            <w:vAlign w:val="bottom"/>
          </w:tcPr>
          <w:p w14:paraId="1E936C02" w14:textId="77777777" w:rsidR="002D1D7C" w:rsidRPr="002D1D7C" w:rsidRDefault="002D1D7C" w:rsidP="001A0921">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Somewhat disagree</w:t>
            </w:r>
          </w:p>
        </w:tc>
        <w:tc>
          <w:tcPr>
            <w:tcW w:w="1100" w:type="dxa"/>
            <w:vAlign w:val="bottom"/>
          </w:tcPr>
          <w:p w14:paraId="18A35D19" w14:textId="77777777" w:rsidR="002D1D7C" w:rsidRPr="002D1D7C" w:rsidRDefault="002D1D7C" w:rsidP="001A0921">
            <w:pPr>
              <w:tabs>
                <w:tab w:val="left" w:pos="1701"/>
              </w:tabs>
              <w:snapToGrid w:val="0"/>
              <w:ind w:left="-198" w:right="-196"/>
              <w:jc w:val="center"/>
              <w:rPr>
                <w:rFonts w:asciiTheme="minorHAnsi" w:hAnsiTheme="minorHAnsi" w:cstheme="minorHAnsi"/>
                <w:sz w:val="21"/>
                <w:szCs w:val="21"/>
                <w:lang w:eastAsia="en-US"/>
              </w:rPr>
            </w:pPr>
            <w:r w:rsidRPr="002D1D7C">
              <w:rPr>
                <w:rFonts w:asciiTheme="minorHAnsi" w:hAnsiTheme="minorHAnsi" w:cstheme="minorHAnsi"/>
                <w:sz w:val="21"/>
                <w:szCs w:val="21"/>
                <w:lang w:eastAsia="en-US"/>
              </w:rPr>
              <w:t xml:space="preserve">Neither </w:t>
            </w:r>
          </w:p>
          <w:p w14:paraId="4E374FCA" w14:textId="77777777" w:rsidR="002D1D7C" w:rsidRPr="002D1D7C" w:rsidRDefault="002D1D7C" w:rsidP="001A0921">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agree or disagree</w:t>
            </w:r>
          </w:p>
        </w:tc>
        <w:tc>
          <w:tcPr>
            <w:tcW w:w="1063" w:type="dxa"/>
            <w:vAlign w:val="bottom"/>
          </w:tcPr>
          <w:p w14:paraId="3AFCCBB4" w14:textId="77777777" w:rsidR="002D1D7C" w:rsidRPr="002D1D7C" w:rsidRDefault="002D1D7C" w:rsidP="001A0921">
            <w:pPr>
              <w:tabs>
                <w:tab w:val="left" w:pos="1701"/>
              </w:tabs>
              <w:snapToGrid w:val="0"/>
              <w:ind w:left="-164" w:right="-196"/>
              <w:jc w:val="center"/>
              <w:rPr>
                <w:rFonts w:asciiTheme="minorHAnsi" w:hAnsiTheme="minorHAnsi" w:cstheme="minorHAnsi"/>
                <w:sz w:val="21"/>
                <w:szCs w:val="21"/>
                <w:lang w:eastAsia="en-US"/>
              </w:rPr>
            </w:pPr>
            <w:r w:rsidRPr="002D1D7C">
              <w:rPr>
                <w:rFonts w:asciiTheme="minorHAnsi" w:hAnsiTheme="minorHAnsi" w:cstheme="minorHAnsi"/>
                <w:sz w:val="21"/>
                <w:szCs w:val="21"/>
                <w:lang w:eastAsia="en-US"/>
              </w:rPr>
              <w:t>Somewhat</w:t>
            </w:r>
          </w:p>
          <w:p w14:paraId="0F1F91A2" w14:textId="77777777" w:rsidR="002D1D7C" w:rsidRPr="002D1D7C" w:rsidRDefault="002D1D7C" w:rsidP="001A0921">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 xml:space="preserve"> agree</w:t>
            </w:r>
          </w:p>
        </w:tc>
        <w:tc>
          <w:tcPr>
            <w:tcW w:w="1026" w:type="dxa"/>
            <w:vAlign w:val="bottom"/>
          </w:tcPr>
          <w:p w14:paraId="4922B424" w14:textId="77777777" w:rsidR="002D1D7C" w:rsidRPr="002D1D7C" w:rsidRDefault="002D1D7C" w:rsidP="001A0921">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Strongly agree</w:t>
            </w:r>
          </w:p>
        </w:tc>
      </w:tr>
      <w:tr w:rsidR="002D1D7C" w:rsidRPr="002D1D7C" w14:paraId="4EEA16FF" w14:textId="77777777" w:rsidTr="00BD431E">
        <w:trPr>
          <w:trHeight w:val="117"/>
        </w:trPr>
        <w:tc>
          <w:tcPr>
            <w:tcW w:w="3606" w:type="dxa"/>
          </w:tcPr>
          <w:p w14:paraId="7C47AD21" w14:textId="77777777" w:rsidR="002D1D7C" w:rsidRPr="002D1D7C" w:rsidRDefault="002D1D7C" w:rsidP="001A0921">
            <w:pPr>
              <w:snapToGrid w:val="0"/>
              <w:rPr>
                <w:rFonts w:asciiTheme="minorHAnsi" w:hAnsiTheme="minorHAnsi" w:cstheme="minorHAnsi"/>
                <w:sz w:val="21"/>
                <w:szCs w:val="21"/>
                <w:lang w:eastAsia="en-AU"/>
              </w:rPr>
            </w:pPr>
            <w:r w:rsidRPr="002D1D7C">
              <w:rPr>
                <w:rFonts w:asciiTheme="minorHAnsi" w:hAnsiTheme="minorHAnsi" w:cstheme="minorHAnsi"/>
                <w:sz w:val="21"/>
                <w:szCs w:val="21"/>
                <w:lang w:eastAsia="en-AU"/>
              </w:rPr>
              <w:t>The online mental health modules</w:t>
            </w:r>
          </w:p>
        </w:tc>
        <w:tc>
          <w:tcPr>
            <w:tcW w:w="954" w:type="dxa"/>
          </w:tcPr>
          <w:p w14:paraId="64C9B2E9" w14:textId="614ED5D7" w:rsidR="002D1D7C" w:rsidRPr="002D1D7C" w:rsidRDefault="002D1D7C" w:rsidP="001A0921">
            <w:pPr>
              <w:snapToGrid w:val="0"/>
              <w:jc w:val="center"/>
              <w:rPr>
                <w:rFonts w:asciiTheme="minorHAnsi" w:hAnsiTheme="minorHAnsi" w:cstheme="minorHAnsi"/>
                <w:sz w:val="21"/>
                <w:szCs w:val="21"/>
                <w:lang w:eastAsia="en-AU"/>
              </w:rPr>
            </w:pPr>
          </w:p>
        </w:tc>
        <w:tc>
          <w:tcPr>
            <w:tcW w:w="1150" w:type="dxa"/>
          </w:tcPr>
          <w:p w14:paraId="28E19273" w14:textId="3D578324" w:rsidR="002D1D7C" w:rsidRPr="002D1D7C" w:rsidRDefault="002D1D7C" w:rsidP="001A0921">
            <w:pPr>
              <w:snapToGrid w:val="0"/>
              <w:jc w:val="center"/>
              <w:rPr>
                <w:rFonts w:asciiTheme="minorHAnsi" w:hAnsiTheme="minorHAnsi" w:cstheme="minorHAnsi"/>
                <w:sz w:val="21"/>
                <w:szCs w:val="21"/>
                <w:lang w:eastAsia="en-AU"/>
              </w:rPr>
            </w:pPr>
          </w:p>
        </w:tc>
        <w:tc>
          <w:tcPr>
            <w:tcW w:w="1100" w:type="dxa"/>
          </w:tcPr>
          <w:p w14:paraId="70BC1EA4" w14:textId="5EFA2482" w:rsidR="002D1D7C" w:rsidRPr="002D1D7C" w:rsidRDefault="002D1D7C" w:rsidP="001A0921">
            <w:pPr>
              <w:snapToGrid w:val="0"/>
              <w:jc w:val="center"/>
              <w:rPr>
                <w:rFonts w:asciiTheme="minorHAnsi" w:hAnsiTheme="minorHAnsi" w:cstheme="minorHAnsi"/>
                <w:sz w:val="21"/>
                <w:szCs w:val="21"/>
                <w:lang w:eastAsia="en-AU"/>
              </w:rPr>
            </w:pPr>
          </w:p>
        </w:tc>
        <w:tc>
          <w:tcPr>
            <w:tcW w:w="1063" w:type="dxa"/>
          </w:tcPr>
          <w:p w14:paraId="7BF063C0" w14:textId="6C644D66" w:rsidR="002D1D7C" w:rsidRPr="002D1D7C" w:rsidRDefault="002D1D7C" w:rsidP="001A0921">
            <w:pPr>
              <w:snapToGrid w:val="0"/>
              <w:jc w:val="center"/>
              <w:rPr>
                <w:rFonts w:asciiTheme="minorHAnsi" w:hAnsiTheme="minorHAnsi" w:cstheme="minorHAnsi"/>
                <w:sz w:val="21"/>
                <w:szCs w:val="21"/>
                <w:lang w:eastAsia="en-AU"/>
              </w:rPr>
            </w:pPr>
          </w:p>
        </w:tc>
        <w:tc>
          <w:tcPr>
            <w:tcW w:w="1026" w:type="dxa"/>
          </w:tcPr>
          <w:p w14:paraId="502FA56D" w14:textId="09D5DBF7" w:rsidR="002D1D7C" w:rsidRPr="002D1D7C" w:rsidRDefault="002D1D7C" w:rsidP="001A0921">
            <w:pPr>
              <w:snapToGrid w:val="0"/>
              <w:jc w:val="center"/>
              <w:rPr>
                <w:rFonts w:asciiTheme="minorHAnsi" w:hAnsiTheme="minorHAnsi" w:cstheme="minorHAnsi"/>
                <w:sz w:val="21"/>
                <w:szCs w:val="21"/>
                <w:lang w:eastAsia="en-AU"/>
              </w:rPr>
            </w:pPr>
          </w:p>
        </w:tc>
      </w:tr>
      <w:tr w:rsidR="001A0921" w:rsidRPr="002D1D7C" w14:paraId="49704A48" w14:textId="77777777" w:rsidTr="00BD431E">
        <w:trPr>
          <w:trHeight w:val="287"/>
        </w:trPr>
        <w:tc>
          <w:tcPr>
            <w:tcW w:w="3606" w:type="dxa"/>
          </w:tcPr>
          <w:p w14:paraId="05810AA9" w14:textId="77777777" w:rsidR="001A0921" w:rsidRPr="002D1D7C" w:rsidRDefault="001A0921" w:rsidP="00140C5B">
            <w:pPr>
              <w:numPr>
                <w:ilvl w:val="0"/>
                <w:numId w:val="61"/>
              </w:numPr>
              <w:autoSpaceDE w:val="0"/>
              <w:autoSpaceDN w:val="0"/>
              <w:adjustRightInd w:val="0"/>
              <w:snapToGrid w:val="0"/>
              <w:rPr>
                <w:rFonts w:asciiTheme="minorHAnsi" w:hAnsiTheme="minorHAnsi" w:cstheme="minorHAnsi"/>
                <w:color w:val="000000"/>
                <w:sz w:val="21"/>
                <w:szCs w:val="21"/>
                <w:lang w:val="en-US" w:eastAsia="en-US"/>
              </w:rPr>
            </w:pPr>
            <w:r w:rsidRPr="002D1D7C">
              <w:rPr>
                <w:rFonts w:asciiTheme="minorHAnsi" w:hAnsiTheme="minorHAnsi" w:cstheme="minorHAnsi"/>
                <w:color w:val="000000"/>
                <w:sz w:val="21"/>
                <w:szCs w:val="21"/>
                <w:lang w:val="en-US" w:eastAsia="en-US"/>
              </w:rPr>
              <w:t>were informative</w:t>
            </w:r>
          </w:p>
        </w:tc>
        <w:tc>
          <w:tcPr>
            <w:tcW w:w="954" w:type="dxa"/>
          </w:tcPr>
          <w:p w14:paraId="42829697" w14:textId="26571C1E" w:rsidR="001A0921" w:rsidRPr="002D1D7C" w:rsidRDefault="001A0921" w:rsidP="001A0921">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1</w:t>
            </w:r>
          </w:p>
        </w:tc>
        <w:tc>
          <w:tcPr>
            <w:tcW w:w="1150" w:type="dxa"/>
          </w:tcPr>
          <w:p w14:paraId="26D7E43E" w14:textId="4EBA194F" w:rsidR="001A0921" w:rsidRPr="002D1D7C" w:rsidRDefault="001A0921" w:rsidP="001A0921">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2</w:t>
            </w:r>
          </w:p>
        </w:tc>
        <w:tc>
          <w:tcPr>
            <w:tcW w:w="1100" w:type="dxa"/>
          </w:tcPr>
          <w:p w14:paraId="435BD9A4" w14:textId="7AFF7774" w:rsidR="001A0921" w:rsidRPr="002D1D7C" w:rsidRDefault="001A0921" w:rsidP="001A0921">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3</w:t>
            </w:r>
          </w:p>
        </w:tc>
        <w:tc>
          <w:tcPr>
            <w:tcW w:w="1063" w:type="dxa"/>
          </w:tcPr>
          <w:p w14:paraId="35B94E7B" w14:textId="6DBD4F1C" w:rsidR="001A0921" w:rsidRPr="002D1D7C" w:rsidRDefault="001A0921" w:rsidP="001A0921">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4</w:t>
            </w:r>
          </w:p>
        </w:tc>
        <w:tc>
          <w:tcPr>
            <w:tcW w:w="1026" w:type="dxa"/>
          </w:tcPr>
          <w:p w14:paraId="21049FB9" w14:textId="5AB6D150" w:rsidR="001A0921" w:rsidRPr="002D1D7C" w:rsidRDefault="001A0921" w:rsidP="001A0921">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5</w:t>
            </w:r>
          </w:p>
        </w:tc>
      </w:tr>
      <w:tr w:rsidR="001A0921" w:rsidRPr="002D1D7C" w14:paraId="50A4B765" w14:textId="77777777" w:rsidTr="00BD431E">
        <w:tc>
          <w:tcPr>
            <w:tcW w:w="3606" w:type="dxa"/>
          </w:tcPr>
          <w:p w14:paraId="73DE9055" w14:textId="77777777" w:rsidR="001A0921" w:rsidRPr="002D1D7C" w:rsidRDefault="001A0921" w:rsidP="00140C5B">
            <w:pPr>
              <w:numPr>
                <w:ilvl w:val="0"/>
                <w:numId w:val="61"/>
              </w:numPr>
              <w:autoSpaceDE w:val="0"/>
              <w:autoSpaceDN w:val="0"/>
              <w:adjustRightInd w:val="0"/>
              <w:snapToGrid w:val="0"/>
              <w:rPr>
                <w:rFonts w:asciiTheme="minorHAnsi" w:hAnsiTheme="minorHAnsi" w:cstheme="minorHAnsi"/>
                <w:color w:val="000000"/>
                <w:sz w:val="21"/>
                <w:szCs w:val="21"/>
                <w:lang w:val="en-US" w:eastAsia="en-US"/>
              </w:rPr>
            </w:pPr>
            <w:r w:rsidRPr="002D1D7C">
              <w:rPr>
                <w:rFonts w:asciiTheme="minorHAnsi" w:hAnsiTheme="minorHAnsi" w:cstheme="minorHAnsi"/>
                <w:color w:val="000000"/>
                <w:sz w:val="21"/>
                <w:szCs w:val="21"/>
                <w:lang w:val="en-US" w:eastAsia="en-US"/>
              </w:rPr>
              <w:t>were relevant to me</w:t>
            </w:r>
          </w:p>
        </w:tc>
        <w:tc>
          <w:tcPr>
            <w:tcW w:w="954" w:type="dxa"/>
          </w:tcPr>
          <w:p w14:paraId="3C540776" w14:textId="62884065"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1</w:t>
            </w:r>
          </w:p>
        </w:tc>
        <w:tc>
          <w:tcPr>
            <w:tcW w:w="1150" w:type="dxa"/>
          </w:tcPr>
          <w:p w14:paraId="7EAF19FF" w14:textId="52EA9CAD"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2</w:t>
            </w:r>
          </w:p>
        </w:tc>
        <w:tc>
          <w:tcPr>
            <w:tcW w:w="1100" w:type="dxa"/>
          </w:tcPr>
          <w:p w14:paraId="1E854D91" w14:textId="6F630031"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3</w:t>
            </w:r>
          </w:p>
        </w:tc>
        <w:tc>
          <w:tcPr>
            <w:tcW w:w="1063" w:type="dxa"/>
          </w:tcPr>
          <w:p w14:paraId="7AFD65F3" w14:textId="7DB86418"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4</w:t>
            </w:r>
          </w:p>
        </w:tc>
        <w:tc>
          <w:tcPr>
            <w:tcW w:w="1026" w:type="dxa"/>
          </w:tcPr>
          <w:p w14:paraId="663D16E8" w14:textId="5C6A33FF"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5</w:t>
            </w:r>
          </w:p>
        </w:tc>
      </w:tr>
      <w:tr w:rsidR="001A0921" w:rsidRPr="002D1D7C" w14:paraId="04686CF6" w14:textId="77777777" w:rsidTr="00BD431E">
        <w:tc>
          <w:tcPr>
            <w:tcW w:w="3606" w:type="dxa"/>
          </w:tcPr>
          <w:p w14:paraId="5A1C73DC" w14:textId="77777777" w:rsidR="001A0921" w:rsidRPr="002D1D7C" w:rsidRDefault="001A0921" w:rsidP="00140C5B">
            <w:pPr>
              <w:numPr>
                <w:ilvl w:val="0"/>
                <w:numId w:val="61"/>
              </w:numPr>
              <w:snapToGrid w:val="0"/>
              <w:rPr>
                <w:rFonts w:asciiTheme="minorHAnsi" w:hAnsiTheme="minorHAnsi" w:cstheme="minorHAnsi"/>
                <w:sz w:val="21"/>
                <w:szCs w:val="21"/>
                <w:lang w:eastAsia="en-AU"/>
              </w:rPr>
            </w:pPr>
            <w:r w:rsidRPr="002D1D7C">
              <w:rPr>
                <w:rFonts w:asciiTheme="minorHAnsi" w:hAnsiTheme="minorHAnsi" w:cstheme="minorHAnsi"/>
                <w:sz w:val="21"/>
                <w:szCs w:val="21"/>
                <w:lang w:eastAsia="en-AU"/>
              </w:rPr>
              <w:t>made me stop and think</w:t>
            </w:r>
          </w:p>
        </w:tc>
        <w:tc>
          <w:tcPr>
            <w:tcW w:w="954" w:type="dxa"/>
          </w:tcPr>
          <w:p w14:paraId="1095946B" w14:textId="490746B6"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1</w:t>
            </w:r>
          </w:p>
        </w:tc>
        <w:tc>
          <w:tcPr>
            <w:tcW w:w="1150" w:type="dxa"/>
          </w:tcPr>
          <w:p w14:paraId="556B8A03" w14:textId="5ECDEA23"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2</w:t>
            </w:r>
          </w:p>
        </w:tc>
        <w:tc>
          <w:tcPr>
            <w:tcW w:w="1100" w:type="dxa"/>
          </w:tcPr>
          <w:p w14:paraId="199A7753" w14:textId="2E376E4A"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3</w:t>
            </w:r>
          </w:p>
        </w:tc>
        <w:tc>
          <w:tcPr>
            <w:tcW w:w="1063" w:type="dxa"/>
          </w:tcPr>
          <w:p w14:paraId="55E063A6" w14:textId="47C8DDCB"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4</w:t>
            </w:r>
          </w:p>
        </w:tc>
        <w:tc>
          <w:tcPr>
            <w:tcW w:w="1026" w:type="dxa"/>
          </w:tcPr>
          <w:p w14:paraId="1C5BAF7F" w14:textId="715F5D81"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5</w:t>
            </w:r>
          </w:p>
        </w:tc>
      </w:tr>
      <w:tr w:rsidR="001A0921" w:rsidRPr="002D1D7C" w14:paraId="1D59F559" w14:textId="77777777" w:rsidTr="00BD431E">
        <w:tc>
          <w:tcPr>
            <w:tcW w:w="3606" w:type="dxa"/>
          </w:tcPr>
          <w:p w14:paraId="3528DA55" w14:textId="77777777" w:rsidR="001A0921" w:rsidRPr="002D1D7C" w:rsidRDefault="001A0921" w:rsidP="00140C5B">
            <w:pPr>
              <w:numPr>
                <w:ilvl w:val="0"/>
                <w:numId w:val="61"/>
              </w:numPr>
              <w:snapToGrid w:val="0"/>
              <w:rPr>
                <w:rFonts w:asciiTheme="minorHAnsi" w:hAnsiTheme="minorHAnsi" w:cstheme="minorHAnsi"/>
                <w:sz w:val="21"/>
                <w:szCs w:val="21"/>
                <w:lang w:eastAsia="en-AU"/>
              </w:rPr>
            </w:pPr>
            <w:r w:rsidRPr="002D1D7C">
              <w:rPr>
                <w:rFonts w:asciiTheme="minorHAnsi" w:hAnsiTheme="minorHAnsi" w:cstheme="minorHAnsi"/>
                <w:sz w:val="21"/>
                <w:szCs w:val="21"/>
                <w:lang w:eastAsia="en-AU"/>
              </w:rPr>
              <w:t>taught me new strategies to help me cope</w:t>
            </w:r>
          </w:p>
        </w:tc>
        <w:tc>
          <w:tcPr>
            <w:tcW w:w="954" w:type="dxa"/>
          </w:tcPr>
          <w:p w14:paraId="7B4CB4DC" w14:textId="227F68D4"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1</w:t>
            </w:r>
          </w:p>
        </w:tc>
        <w:tc>
          <w:tcPr>
            <w:tcW w:w="1150" w:type="dxa"/>
          </w:tcPr>
          <w:p w14:paraId="48C34EC9" w14:textId="52386FD3"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2</w:t>
            </w:r>
          </w:p>
        </w:tc>
        <w:tc>
          <w:tcPr>
            <w:tcW w:w="1100" w:type="dxa"/>
          </w:tcPr>
          <w:p w14:paraId="07B26065" w14:textId="1D3CB3BE"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3</w:t>
            </w:r>
          </w:p>
        </w:tc>
        <w:tc>
          <w:tcPr>
            <w:tcW w:w="1063" w:type="dxa"/>
          </w:tcPr>
          <w:p w14:paraId="6128C154" w14:textId="67C88308"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4</w:t>
            </w:r>
          </w:p>
        </w:tc>
        <w:tc>
          <w:tcPr>
            <w:tcW w:w="1026" w:type="dxa"/>
          </w:tcPr>
          <w:p w14:paraId="738DAE05" w14:textId="4A5C4397"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5</w:t>
            </w:r>
          </w:p>
        </w:tc>
      </w:tr>
      <w:tr w:rsidR="001A0921" w:rsidRPr="002D1D7C" w14:paraId="275952D2" w14:textId="77777777" w:rsidTr="00BD431E">
        <w:tc>
          <w:tcPr>
            <w:tcW w:w="3606" w:type="dxa"/>
          </w:tcPr>
          <w:p w14:paraId="1F2610CE" w14:textId="77777777" w:rsidR="001A0921" w:rsidRPr="002D1D7C" w:rsidRDefault="001A0921" w:rsidP="00140C5B">
            <w:pPr>
              <w:numPr>
                <w:ilvl w:val="0"/>
                <w:numId w:val="61"/>
              </w:numPr>
              <w:snapToGrid w:val="0"/>
              <w:rPr>
                <w:rFonts w:asciiTheme="minorHAnsi" w:hAnsiTheme="minorHAnsi" w:cstheme="minorHAnsi"/>
                <w:sz w:val="21"/>
                <w:szCs w:val="21"/>
                <w:lang w:eastAsia="en-AU"/>
              </w:rPr>
            </w:pPr>
            <w:r w:rsidRPr="002D1D7C">
              <w:rPr>
                <w:rFonts w:asciiTheme="minorHAnsi" w:hAnsiTheme="minorHAnsi" w:cstheme="minorHAnsi"/>
                <w:sz w:val="21"/>
                <w:szCs w:val="21"/>
                <w:lang w:eastAsia="en-AU"/>
              </w:rPr>
              <w:t xml:space="preserve">were easy to understand </w:t>
            </w:r>
          </w:p>
        </w:tc>
        <w:tc>
          <w:tcPr>
            <w:tcW w:w="954" w:type="dxa"/>
          </w:tcPr>
          <w:p w14:paraId="125F6E87" w14:textId="3B777D38"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1</w:t>
            </w:r>
          </w:p>
        </w:tc>
        <w:tc>
          <w:tcPr>
            <w:tcW w:w="1150" w:type="dxa"/>
          </w:tcPr>
          <w:p w14:paraId="721FF3A7" w14:textId="4098B019"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2</w:t>
            </w:r>
          </w:p>
        </w:tc>
        <w:tc>
          <w:tcPr>
            <w:tcW w:w="1100" w:type="dxa"/>
          </w:tcPr>
          <w:p w14:paraId="4ED339DD" w14:textId="25C53800"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3</w:t>
            </w:r>
          </w:p>
        </w:tc>
        <w:tc>
          <w:tcPr>
            <w:tcW w:w="1063" w:type="dxa"/>
          </w:tcPr>
          <w:p w14:paraId="185FB837" w14:textId="5BD5551C"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4</w:t>
            </w:r>
          </w:p>
        </w:tc>
        <w:tc>
          <w:tcPr>
            <w:tcW w:w="1026" w:type="dxa"/>
          </w:tcPr>
          <w:p w14:paraId="2B2AE329" w14:textId="01AE2B12"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5</w:t>
            </w:r>
          </w:p>
        </w:tc>
      </w:tr>
      <w:tr w:rsidR="001A0921" w:rsidRPr="002D1D7C" w14:paraId="071313BE" w14:textId="77777777" w:rsidTr="00BD431E">
        <w:tc>
          <w:tcPr>
            <w:tcW w:w="3606" w:type="dxa"/>
          </w:tcPr>
          <w:p w14:paraId="28CAFB3C" w14:textId="77777777" w:rsidR="001A0921" w:rsidRPr="002D1D7C" w:rsidRDefault="001A0921" w:rsidP="00140C5B">
            <w:pPr>
              <w:numPr>
                <w:ilvl w:val="0"/>
                <w:numId w:val="61"/>
              </w:numPr>
              <w:autoSpaceDE w:val="0"/>
              <w:autoSpaceDN w:val="0"/>
              <w:adjustRightInd w:val="0"/>
              <w:snapToGrid w:val="0"/>
              <w:rPr>
                <w:rFonts w:asciiTheme="minorHAnsi" w:hAnsiTheme="minorHAnsi" w:cstheme="minorHAnsi"/>
                <w:color w:val="000000"/>
                <w:sz w:val="21"/>
                <w:szCs w:val="21"/>
                <w:lang w:val="en-US" w:eastAsia="en-US"/>
              </w:rPr>
            </w:pPr>
            <w:r w:rsidRPr="002D1D7C">
              <w:rPr>
                <w:rFonts w:asciiTheme="minorHAnsi" w:hAnsiTheme="minorHAnsi" w:cstheme="minorHAnsi"/>
                <w:color w:val="000000"/>
                <w:sz w:val="21"/>
                <w:szCs w:val="21"/>
                <w:lang w:val="en-US" w:eastAsia="en-US"/>
              </w:rPr>
              <w:t xml:space="preserve">were </w:t>
            </w:r>
            <w:r w:rsidRPr="002D1D7C">
              <w:rPr>
                <w:rFonts w:asciiTheme="minorHAnsi" w:hAnsiTheme="minorHAnsi" w:cstheme="minorHAnsi"/>
                <w:color w:val="1A1A1A"/>
                <w:sz w:val="21"/>
                <w:szCs w:val="21"/>
                <w:u w:color="103CC0"/>
                <w:lang w:val="en-US" w:eastAsia="en-US"/>
              </w:rPr>
              <w:t xml:space="preserve">easy to navigate and move between the different sections and activities </w:t>
            </w:r>
          </w:p>
        </w:tc>
        <w:tc>
          <w:tcPr>
            <w:tcW w:w="954" w:type="dxa"/>
          </w:tcPr>
          <w:p w14:paraId="0E150870" w14:textId="19CD0D32"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1</w:t>
            </w:r>
          </w:p>
        </w:tc>
        <w:tc>
          <w:tcPr>
            <w:tcW w:w="1150" w:type="dxa"/>
          </w:tcPr>
          <w:p w14:paraId="57F169C8" w14:textId="483408EE"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2</w:t>
            </w:r>
          </w:p>
        </w:tc>
        <w:tc>
          <w:tcPr>
            <w:tcW w:w="1100" w:type="dxa"/>
          </w:tcPr>
          <w:p w14:paraId="6374073A" w14:textId="4448DE2B"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3</w:t>
            </w:r>
          </w:p>
        </w:tc>
        <w:tc>
          <w:tcPr>
            <w:tcW w:w="1063" w:type="dxa"/>
          </w:tcPr>
          <w:p w14:paraId="754639A6" w14:textId="585F390C"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4</w:t>
            </w:r>
          </w:p>
        </w:tc>
        <w:tc>
          <w:tcPr>
            <w:tcW w:w="1026" w:type="dxa"/>
          </w:tcPr>
          <w:p w14:paraId="221E7FA1" w14:textId="560B40DC"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5</w:t>
            </w:r>
          </w:p>
        </w:tc>
      </w:tr>
      <w:tr w:rsidR="001A0921" w:rsidRPr="002D1D7C" w14:paraId="5F3F1942" w14:textId="77777777" w:rsidTr="00BD431E">
        <w:tc>
          <w:tcPr>
            <w:tcW w:w="3606" w:type="dxa"/>
          </w:tcPr>
          <w:p w14:paraId="01E901BF" w14:textId="77777777" w:rsidR="001A0921" w:rsidRPr="002D1D7C" w:rsidRDefault="001A0921" w:rsidP="00140C5B">
            <w:pPr>
              <w:numPr>
                <w:ilvl w:val="0"/>
                <w:numId w:val="61"/>
              </w:numPr>
              <w:autoSpaceDE w:val="0"/>
              <w:autoSpaceDN w:val="0"/>
              <w:adjustRightInd w:val="0"/>
              <w:snapToGrid w:val="0"/>
              <w:rPr>
                <w:rFonts w:asciiTheme="minorHAnsi" w:hAnsiTheme="minorHAnsi" w:cstheme="minorHAnsi"/>
                <w:color w:val="000000"/>
                <w:sz w:val="21"/>
                <w:szCs w:val="21"/>
                <w:lang w:val="en-US" w:eastAsia="en-US"/>
              </w:rPr>
            </w:pPr>
            <w:proofErr w:type="spellStart"/>
            <w:r w:rsidRPr="002D1D7C">
              <w:rPr>
                <w:rFonts w:asciiTheme="minorHAnsi" w:hAnsiTheme="minorHAnsi" w:cstheme="minorHAnsi"/>
                <w:color w:val="000000"/>
                <w:sz w:val="21"/>
                <w:szCs w:val="21"/>
                <w:lang w:val="en-US" w:eastAsia="en-US"/>
              </w:rPr>
              <w:t>were</w:t>
            </w:r>
            <w:proofErr w:type="spellEnd"/>
            <w:r w:rsidRPr="002D1D7C">
              <w:rPr>
                <w:rFonts w:asciiTheme="minorHAnsi" w:hAnsiTheme="minorHAnsi" w:cstheme="minorHAnsi"/>
                <w:color w:val="000000"/>
                <w:sz w:val="21"/>
                <w:szCs w:val="21"/>
                <w:lang w:val="en-US" w:eastAsia="en-US"/>
              </w:rPr>
              <w:t xml:space="preserve"> engaging</w:t>
            </w:r>
          </w:p>
        </w:tc>
        <w:tc>
          <w:tcPr>
            <w:tcW w:w="954" w:type="dxa"/>
          </w:tcPr>
          <w:p w14:paraId="62F4A5D2" w14:textId="0C7EB805"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1</w:t>
            </w:r>
          </w:p>
        </w:tc>
        <w:tc>
          <w:tcPr>
            <w:tcW w:w="1150" w:type="dxa"/>
          </w:tcPr>
          <w:p w14:paraId="5E8A544A" w14:textId="1163A4F1"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2</w:t>
            </w:r>
          </w:p>
        </w:tc>
        <w:tc>
          <w:tcPr>
            <w:tcW w:w="1100" w:type="dxa"/>
          </w:tcPr>
          <w:p w14:paraId="7BD0740B" w14:textId="4EC087F9"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3</w:t>
            </w:r>
          </w:p>
        </w:tc>
        <w:tc>
          <w:tcPr>
            <w:tcW w:w="1063" w:type="dxa"/>
          </w:tcPr>
          <w:p w14:paraId="0700D00C" w14:textId="203A3818"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4</w:t>
            </w:r>
          </w:p>
        </w:tc>
        <w:tc>
          <w:tcPr>
            <w:tcW w:w="1026" w:type="dxa"/>
          </w:tcPr>
          <w:p w14:paraId="453A0E30" w14:textId="6F2A433E"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5</w:t>
            </w:r>
          </w:p>
        </w:tc>
      </w:tr>
      <w:tr w:rsidR="001A0921" w:rsidRPr="002D1D7C" w14:paraId="48586A54" w14:textId="77777777" w:rsidTr="00BD431E">
        <w:tc>
          <w:tcPr>
            <w:tcW w:w="3606" w:type="dxa"/>
          </w:tcPr>
          <w:p w14:paraId="12B8E04E" w14:textId="77777777" w:rsidR="001A0921" w:rsidRPr="002D1D7C" w:rsidRDefault="001A0921" w:rsidP="00140C5B">
            <w:pPr>
              <w:numPr>
                <w:ilvl w:val="0"/>
                <w:numId w:val="61"/>
              </w:numPr>
              <w:autoSpaceDE w:val="0"/>
              <w:autoSpaceDN w:val="0"/>
              <w:adjustRightInd w:val="0"/>
              <w:snapToGrid w:val="0"/>
              <w:rPr>
                <w:rFonts w:asciiTheme="minorHAnsi" w:hAnsiTheme="minorHAnsi" w:cstheme="minorHAnsi"/>
                <w:color w:val="000000"/>
                <w:sz w:val="21"/>
                <w:szCs w:val="21"/>
                <w:lang w:val="en-US" w:eastAsia="en-US"/>
              </w:rPr>
            </w:pPr>
            <w:r w:rsidRPr="002D1D7C">
              <w:rPr>
                <w:rFonts w:asciiTheme="minorHAnsi" w:hAnsiTheme="minorHAnsi" w:cstheme="minorHAnsi"/>
                <w:color w:val="000000"/>
                <w:sz w:val="21"/>
                <w:szCs w:val="21"/>
                <w:lang w:val="en-US" w:eastAsia="en-US"/>
              </w:rPr>
              <w:t>were visually appealing</w:t>
            </w:r>
          </w:p>
        </w:tc>
        <w:tc>
          <w:tcPr>
            <w:tcW w:w="954" w:type="dxa"/>
          </w:tcPr>
          <w:p w14:paraId="5981D651" w14:textId="4F0108BC"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1</w:t>
            </w:r>
          </w:p>
        </w:tc>
        <w:tc>
          <w:tcPr>
            <w:tcW w:w="1150" w:type="dxa"/>
          </w:tcPr>
          <w:p w14:paraId="6507D44A" w14:textId="5340FEA0"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2</w:t>
            </w:r>
          </w:p>
        </w:tc>
        <w:tc>
          <w:tcPr>
            <w:tcW w:w="1100" w:type="dxa"/>
          </w:tcPr>
          <w:p w14:paraId="7868062D" w14:textId="4D96C631"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3</w:t>
            </w:r>
          </w:p>
        </w:tc>
        <w:tc>
          <w:tcPr>
            <w:tcW w:w="1063" w:type="dxa"/>
          </w:tcPr>
          <w:p w14:paraId="49C1F0BF" w14:textId="65D22DF0"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4</w:t>
            </w:r>
          </w:p>
        </w:tc>
        <w:tc>
          <w:tcPr>
            <w:tcW w:w="1026" w:type="dxa"/>
          </w:tcPr>
          <w:p w14:paraId="303DA7BA" w14:textId="6F2A30E1" w:rsidR="001A0921" w:rsidRPr="002D1D7C" w:rsidRDefault="001A0921" w:rsidP="001A0921">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5</w:t>
            </w:r>
          </w:p>
        </w:tc>
      </w:tr>
    </w:tbl>
    <w:p w14:paraId="646E95AD" w14:textId="77777777" w:rsidR="002D1D7C" w:rsidRPr="002D1D7C" w:rsidRDefault="002D1D7C" w:rsidP="00140C5B">
      <w:pPr>
        <w:numPr>
          <w:ilvl w:val="0"/>
          <w:numId w:val="42"/>
        </w:numPr>
        <w:snapToGrid w:val="0"/>
        <w:spacing w:before="200"/>
        <w:ind w:left="357" w:hanging="357"/>
        <w:rPr>
          <w:rFonts w:asciiTheme="minorHAnsi" w:eastAsia="MS Mincho" w:hAnsiTheme="minorHAnsi" w:cstheme="minorHAnsi"/>
          <w:b/>
          <w:sz w:val="21"/>
          <w:szCs w:val="21"/>
        </w:rPr>
      </w:pPr>
      <w:r w:rsidRPr="002D1D7C">
        <w:rPr>
          <w:rFonts w:asciiTheme="minorHAnsi" w:eastAsia="MS Mincho" w:hAnsiTheme="minorHAnsi" w:cstheme="minorHAnsi"/>
          <w:b/>
          <w:sz w:val="21"/>
          <w:szCs w:val="21"/>
        </w:rPr>
        <w:t>Did you complete any of the recommended activities?</w:t>
      </w:r>
    </w:p>
    <w:p w14:paraId="0170F9AD" w14:textId="77777777" w:rsidR="002D1D7C" w:rsidRPr="002D1D7C" w:rsidRDefault="002D1D7C" w:rsidP="00140C5B">
      <w:pPr>
        <w:numPr>
          <w:ilvl w:val="0"/>
          <w:numId w:val="45"/>
        </w:numPr>
        <w:ind w:left="1658"/>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Yes</w:t>
      </w:r>
    </w:p>
    <w:p w14:paraId="29C25967" w14:textId="17E58D95" w:rsidR="004375D4" w:rsidRPr="004375D4" w:rsidRDefault="002D1D7C" w:rsidP="00140C5B">
      <w:pPr>
        <w:numPr>
          <w:ilvl w:val="0"/>
          <w:numId w:val="45"/>
        </w:numPr>
        <w:snapToGrid w:val="0"/>
        <w:ind w:left="1655" w:hanging="357"/>
        <w:rPr>
          <w:rFonts w:asciiTheme="minorHAnsi" w:eastAsia="MS Mincho" w:hAnsiTheme="minorHAnsi" w:cstheme="minorHAnsi"/>
          <w:sz w:val="21"/>
          <w:szCs w:val="21"/>
        </w:rPr>
      </w:pPr>
      <w:r w:rsidRPr="002D1D7C">
        <w:rPr>
          <w:rFonts w:asciiTheme="minorHAnsi" w:eastAsia="MS Mincho" w:hAnsiTheme="minorHAnsi" w:cstheme="minorHAnsi"/>
          <w:sz w:val="21"/>
          <w:szCs w:val="21"/>
        </w:rPr>
        <w:t>No</w:t>
      </w:r>
    </w:p>
    <w:p w14:paraId="1E6F7A9A" w14:textId="77777777" w:rsidR="002D1D7C" w:rsidRPr="002D1D7C" w:rsidRDefault="002D1D7C" w:rsidP="004375D4">
      <w:pPr>
        <w:snapToGrid w:val="0"/>
        <w:ind w:left="720" w:firstLine="357"/>
        <w:rPr>
          <w:rFonts w:asciiTheme="minorHAnsi" w:eastAsia="MS Mincho" w:hAnsiTheme="minorHAnsi" w:cstheme="minorHAnsi"/>
          <w:b/>
          <w:sz w:val="21"/>
          <w:szCs w:val="21"/>
          <w:lang w:val="en-US"/>
        </w:rPr>
      </w:pPr>
      <w:r w:rsidRPr="002D1D7C">
        <w:rPr>
          <w:rFonts w:asciiTheme="minorHAnsi" w:eastAsia="MS Mincho" w:hAnsiTheme="minorHAnsi" w:cstheme="minorHAnsi"/>
          <w:b/>
          <w:sz w:val="21"/>
          <w:szCs w:val="21"/>
          <w:lang w:val="en-US"/>
        </w:rPr>
        <w:t>If you did not complete any of the activities, can you please select all that apply</w:t>
      </w:r>
    </w:p>
    <w:p w14:paraId="35BF2868" w14:textId="77777777" w:rsidR="002D1D7C" w:rsidRPr="004375D4" w:rsidRDefault="002D1D7C" w:rsidP="00140C5B">
      <w:pPr>
        <w:numPr>
          <w:ilvl w:val="0"/>
          <w:numId w:val="44"/>
        </w:numPr>
        <w:ind w:left="2018"/>
        <w:contextualSpacing/>
        <w:rPr>
          <w:rFonts w:asciiTheme="minorHAnsi" w:eastAsia="MS Mincho" w:hAnsiTheme="minorHAnsi" w:cstheme="minorHAnsi"/>
          <w:sz w:val="21"/>
          <w:szCs w:val="21"/>
        </w:rPr>
      </w:pPr>
      <w:r w:rsidRPr="004375D4">
        <w:rPr>
          <w:rFonts w:asciiTheme="minorHAnsi" w:eastAsia="MS Mincho" w:hAnsiTheme="minorHAnsi" w:cstheme="minorHAnsi"/>
          <w:sz w:val="21"/>
          <w:szCs w:val="21"/>
        </w:rPr>
        <w:t>Not relevant to me</w:t>
      </w:r>
    </w:p>
    <w:p w14:paraId="017DFC0C" w14:textId="77777777" w:rsidR="002D1D7C" w:rsidRPr="004375D4" w:rsidRDefault="002D1D7C" w:rsidP="00140C5B">
      <w:pPr>
        <w:numPr>
          <w:ilvl w:val="0"/>
          <w:numId w:val="44"/>
        </w:numPr>
        <w:ind w:left="2018"/>
        <w:contextualSpacing/>
        <w:rPr>
          <w:rFonts w:asciiTheme="minorHAnsi" w:eastAsia="MS Mincho" w:hAnsiTheme="minorHAnsi" w:cstheme="minorHAnsi"/>
          <w:sz w:val="21"/>
          <w:szCs w:val="21"/>
        </w:rPr>
      </w:pPr>
      <w:r w:rsidRPr="004375D4">
        <w:rPr>
          <w:rFonts w:asciiTheme="minorHAnsi" w:eastAsia="MS Mincho" w:hAnsiTheme="minorHAnsi" w:cstheme="minorHAnsi"/>
          <w:sz w:val="21"/>
          <w:szCs w:val="21"/>
        </w:rPr>
        <w:t>Did not have time</w:t>
      </w:r>
    </w:p>
    <w:p w14:paraId="593AF8CD" w14:textId="77777777" w:rsidR="002D1D7C" w:rsidRPr="004375D4" w:rsidRDefault="002D1D7C" w:rsidP="00140C5B">
      <w:pPr>
        <w:numPr>
          <w:ilvl w:val="0"/>
          <w:numId w:val="44"/>
        </w:numPr>
        <w:ind w:left="2018"/>
        <w:contextualSpacing/>
        <w:rPr>
          <w:rFonts w:asciiTheme="minorHAnsi" w:eastAsia="MS Mincho" w:hAnsiTheme="minorHAnsi" w:cstheme="minorHAnsi"/>
          <w:sz w:val="21"/>
          <w:szCs w:val="21"/>
        </w:rPr>
      </w:pPr>
      <w:r w:rsidRPr="004375D4">
        <w:rPr>
          <w:rFonts w:asciiTheme="minorHAnsi" w:eastAsia="MS Mincho" w:hAnsiTheme="minorHAnsi" w:cstheme="minorHAnsi"/>
          <w:sz w:val="21"/>
          <w:szCs w:val="21"/>
        </w:rPr>
        <w:t>Difficult to understand</w:t>
      </w:r>
    </w:p>
    <w:p w14:paraId="4667C344" w14:textId="77777777" w:rsidR="002D1D7C" w:rsidRPr="004375D4" w:rsidRDefault="002D1D7C" w:rsidP="00140C5B">
      <w:pPr>
        <w:numPr>
          <w:ilvl w:val="0"/>
          <w:numId w:val="44"/>
        </w:numPr>
        <w:ind w:left="2018"/>
        <w:contextualSpacing/>
        <w:rPr>
          <w:rFonts w:asciiTheme="minorHAnsi" w:eastAsia="MS Mincho" w:hAnsiTheme="minorHAnsi" w:cstheme="minorHAnsi"/>
          <w:sz w:val="21"/>
          <w:szCs w:val="21"/>
        </w:rPr>
      </w:pPr>
      <w:r w:rsidRPr="004375D4">
        <w:rPr>
          <w:rFonts w:asciiTheme="minorHAnsi" w:eastAsia="MS Mincho" w:hAnsiTheme="minorHAnsi" w:cstheme="minorHAnsi"/>
          <w:sz w:val="21"/>
          <w:szCs w:val="21"/>
        </w:rPr>
        <w:t>Did not believe that they would be helpful</w:t>
      </w:r>
    </w:p>
    <w:p w14:paraId="15BAD123" w14:textId="54E6950A" w:rsidR="002D1D7C" w:rsidRPr="002D1D7C" w:rsidRDefault="002D1D7C" w:rsidP="00140C5B">
      <w:pPr>
        <w:numPr>
          <w:ilvl w:val="0"/>
          <w:numId w:val="44"/>
        </w:numPr>
        <w:ind w:left="2018"/>
        <w:contextualSpacing/>
        <w:rPr>
          <w:rFonts w:asciiTheme="minorHAnsi" w:eastAsia="MS Mincho" w:hAnsiTheme="minorHAnsi" w:cstheme="minorHAnsi"/>
          <w:sz w:val="21"/>
          <w:szCs w:val="21"/>
          <w:lang w:val="en-US"/>
        </w:rPr>
      </w:pPr>
      <w:r w:rsidRPr="004375D4">
        <w:rPr>
          <w:rFonts w:asciiTheme="minorHAnsi" w:eastAsia="MS Mincho" w:hAnsiTheme="minorHAnsi" w:cstheme="minorHAnsi"/>
          <w:sz w:val="21"/>
          <w:szCs w:val="21"/>
        </w:rPr>
        <w:t>Other, please specify_______________ (go to question 1</w:t>
      </w:r>
      <w:r w:rsidR="00636FE7" w:rsidRPr="004375D4">
        <w:rPr>
          <w:rFonts w:asciiTheme="minorHAnsi" w:eastAsia="MS Mincho" w:hAnsiTheme="minorHAnsi" w:cstheme="minorHAnsi"/>
          <w:sz w:val="21"/>
          <w:szCs w:val="21"/>
        </w:rPr>
        <w:t>2</w:t>
      </w:r>
      <w:r w:rsidRPr="002D1D7C">
        <w:rPr>
          <w:rFonts w:asciiTheme="minorHAnsi" w:eastAsia="MS Mincho" w:hAnsiTheme="minorHAnsi" w:cstheme="minorHAnsi"/>
          <w:sz w:val="21"/>
          <w:szCs w:val="21"/>
          <w:lang w:val="en-US"/>
        </w:rPr>
        <w:t>)</w:t>
      </w:r>
    </w:p>
    <w:p w14:paraId="3AF5DF7E" w14:textId="77777777" w:rsidR="002D1D7C" w:rsidRPr="004375D4" w:rsidRDefault="002D1D7C" w:rsidP="002D1D7C">
      <w:pPr>
        <w:ind w:left="1080"/>
        <w:rPr>
          <w:rFonts w:asciiTheme="minorHAnsi" w:eastAsia="MS Mincho" w:hAnsiTheme="minorHAnsi" w:cstheme="minorHAnsi"/>
          <w:b/>
          <w:bCs/>
          <w:sz w:val="21"/>
          <w:szCs w:val="21"/>
          <w:lang w:val="en-US"/>
        </w:rPr>
      </w:pPr>
      <w:r w:rsidRPr="004375D4">
        <w:rPr>
          <w:rFonts w:asciiTheme="minorHAnsi" w:eastAsia="MS Mincho" w:hAnsiTheme="minorHAnsi" w:cstheme="minorHAnsi"/>
          <w:b/>
          <w:bCs/>
          <w:sz w:val="21"/>
          <w:szCs w:val="21"/>
          <w:lang w:val="en-US"/>
        </w:rPr>
        <w:t>If yes</w:t>
      </w:r>
    </w:p>
    <w:p w14:paraId="5A509EE8" w14:textId="7F17CB21" w:rsidR="002D1D7C" w:rsidRPr="004375D4" w:rsidRDefault="002D1D7C" w:rsidP="00140C5B">
      <w:pPr>
        <w:numPr>
          <w:ilvl w:val="0"/>
          <w:numId w:val="42"/>
        </w:numPr>
        <w:snapToGrid w:val="0"/>
        <w:ind w:left="1434" w:hanging="357"/>
        <w:rPr>
          <w:rFonts w:asciiTheme="minorHAnsi" w:eastAsia="MS Mincho" w:hAnsiTheme="minorHAnsi" w:cstheme="minorHAnsi"/>
          <w:b/>
          <w:sz w:val="21"/>
          <w:szCs w:val="21"/>
        </w:rPr>
      </w:pPr>
      <w:r w:rsidRPr="002D1D7C">
        <w:rPr>
          <w:rFonts w:asciiTheme="minorHAnsi" w:eastAsia="MS Mincho" w:hAnsiTheme="minorHAnsi" w:cstheme="minorHAnsi"/>
          <w:b/>
          <w:sz w:val="21"/>
          <w:szCs w:val="21"/>
        </w:rPr>
        <w:t>On average, how many activities have you completed _________________</w:t>
      </w:r>
    </w:p>
    <w:p w14:paraId="61ED205E" w14:textId="77777777" w:rsidR="002D1D7C" w:rsidRPr="002D1D7C" w:rsidRDefault="002D1D7C" w:rsidP="00140C5B">
      <w:pPr>
        <w:numPr>
          <w:ilvl w:val="0"/>
          <w:numId w:val="42"/>
        </w:numPr>
        <w:ind w:left="1440"/>
        <w:contextualSpacing/>
        <w:rPr>
          <w:rFonts w:asciiTheme="minorHAnsi" w:eastAsia="MS Mincho" w:hAnsiTheme="minorHAnsi" w:cstheme="minorHAnsi"/>
          <w:b/>
          <w:sz w:val="21"/>
          <w:szCs w:val="21"/>
        </w:rPr>
      </w:pPr>
      <w:r w:rsidRPr="002D1D7C">
        <w:rPr>
          <w:rFonts w:asciiTheme="minorHAnsi" w:eastAsia="MS Mincho" w:hAnsiTheme="minorHAnsi" w:cstheme="minorHAnsi"/>
          <w:b/>
          <w:sz w:val="21"/>
          <w:szCs w:val="21"/>
        </w:rPr>
        <w:t>On average, how long did you spend on each of the activities?</w:t>
      </w:r>
    </w:p>
    <w:p w14:paraId="60FF9A2D" w14:textId="77777777" w:rsidR="002D1D7C" w:rsidRPr="002D1D7C" w:rsidRDefault="002D1D7C" w:rsidP="00140C5B">
      <w:pPr>
        <w:numPr>
          <w:ilvl w:val="0"/>
          <w:numId w:val="44"/>
        </w:numPr>
        <w:ind w:left="2018"/>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Less than 10 minutes</w:t>
      </w:r>
    </w:p>
    <w:p w14:paraId="48CA9CFE" w14:textId="77777777" w:rsidR="002D1D7C" w:rsidRPr="002D1D7C" w:rsidRDefault="002D1D7C" w:rsidP="00140C5B">
      <w:pPr>
        <w:numPr>
          <w:ilvl w:val="0"/>
          <w:numId w:val="44"/>
        </w:numPr>
        <w:ind w:left="2018"/>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10 to 20 minutes</w:t>
      </w:r>
    </w:p>
    <w:p w14:paraId="1FF5A4A7" w14:textId="77777777" w:rsidR="002D1D7C" w:rsidRPr="002D1D7C" w:rsidRDefault="002D1D7C" w:rsidP="00140C5B">
      <w:pPr>
        <w:numPr>
          <w:ilvl w:val="0"/>
          <w:numId w:val="44"/>
        </w:numPr>
        <w:ind w:left="2018"/>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21 to 30 minutes</w:t>
      </w:r>
    </w:p>
    <w:p w14:paraId="2DBA4F1F" w14:textId="77777777" w:rsidR="002D1D7C" w:rsidRPr="002D1D7C" w:rsidRDefault="002D1D7C" w:rsidP="00140C5B">
      <w:pPr>
        <w:numPr>
          <w:ilvl w:val="0"/>
          <w:numId w:val="44"/>
        </w:numPr>
        <w:ind w:left="2018"/>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31 to 40 minutes</w:t>
      </w:r>
    </w:p>
    <w:p w14:paraId="68FB9980" w14:textId="52E3F9E9" w:rsidR="002D1D7C" w:rsidRPr="004375D4" w:rsidRDefault="002D1D7C" w:rsidP="00140C5B">
      <w:pPr>
        <w:numPr>
          <w:ilvl w:val="0"/>
          <w:numId w:val="44"/>
        </w:numPr>
        <w:snapToGrid w:val="0"/>
        <w:ind w:left="2013" w:hanging="357"/>
        <w:rPr>
          <w:rFonts w:asciiTheme="minorHAnsi" w:eastAsia="MS Mincho" w:hAnsiTheme="minorHAnsi" w:cstheme="minorHAnsi"/>
          <w:sz w:val="21"/>
          <w:szCs w:val="21"/>
        </w:rPr>
      </w:pPr>
      <w:r w:rsidRPr="002D1D7C">
        <w:rPr>
          <w:rFonts w:asciiTheme="minorHAnsi" w:eastAsia="MS Mincho" w:hAnsiTheme="minorHAnsi" w:cstheme="minorHAnsi"/>
          <w:sz w:val="21"/>
          <w:szCs w:val="21"/>
        </w:rPr>
        <w:t>Over 40 minutes</w:t>
      </w:r>
    </w:p>
    <w:p w14:paraId="578331E7" w14:textId="77777777" w:rsidR="00C170BA" w:rsidRDefault="00C170BA">
      <w:pPr>
        <w:rPr>
          <w:rFonts w:asciiTheme="minorHAnsi" w:eastAsia="MS Mincho" w:hAnsiTheme="minorHAnsi" w:cstheme="minorHAnsi"/>
          <w:b/>
          <w:sz w:val="21"/>
          <w:szCs w:val="21"/>
        </w:rPr>
      </w:pPr>
      <w:r>
        <w:rPr>
          <w:rFonts w:asciiTheme="minorHAnsi" w:eastAsia="MS Mincho" w:hAnsiTheme="minorHAnsi" w:cstheme="minorHAnsi"/>
          <w:b/>
          <w:sz w:val="21"/>
          <w:szCs w:val="21"/>
        </w:rPr>
        <w:br w:type="page"/>
      </w:r>
    </w:p>
    <w:p w14:paraId="173CBCF6" w14:textId="4E84CB97" w:rsidR="002D1D7C" w:rsidRPr="002D1D7C" w:rsidRDefault="002D1D7C" w:rsidP="00140C5B">
      <w:pPr>
        <w:numPr>
          <w:ilvl w:val="0"/>
          <w:numId w:val="42"/>
        </w:numPr>
        <w:ind w:left="1440"/>
        <w:contextualSpacing/>
        <w:rPr>
          <w:rFonts w:asciiTheme="minorHAnsi" w:hAnsiTheme="minorHAnsi" w:cstheme="minorHAnsi"/>
          <w:b/>
          <w:noProof/>
          <w:sz w:val="21"/>
          <w:szCs w:val="21"/>
        </w:rPr>
      </w:pPr>
      <w:r w:rsidRPr="002D1D7C">
        <w:rPr>
          <w:rFonts w:asciiTheme="minorHAnsi" w:eastAsia="MS Mincho" w:hAnsiTheme="minorHAnsi" w:cstheme="minorHAnsi"/>
          <w:b/>
          <w:sz w:val="21"/>
          <w:szCs w:val="21"/>
        </w:rPr>
        <w:lastRenderedPageBreak/>
        <w:t>T</w:t>
      </w:r>
      <w:r w:rsidRPr="002D1D7C">
        <w:rPr>
          <w:rFonts w:asciiTheme="minorHAnsi" w:hAnsiTheme="minorHAnsi" w:cstheme="minorHAnsi"/>
          <w:b/>
          <w:noProof/>
          <w:sz w:val="21"/>
          <w:szCs w:val="21"/>
        </w:rPr>
        <w:t>hinking about the online activities that you have completed please select your response to each of the following items</w:t>
      </w:r>
    </w:p>
    <w:tbl>
      <w:tblPr>
        <w:tblStyle w:val="TableGrid2"/>
        <w:tblW w:w="9291" w:type="dxa"/>
        <w:tblBorders>
          <w:left w:val="none" w:sz="0" w:space="0" w:color="auto"/>
          <w:right w:val="none" w:sz="0" w:space="0" w:color="auto"/>
          <w:insideV w:val="none" w:sz="0" w:space="0" w:color="auto"/>
        </w:tblBorders>
        <w:tblLook w:val="04A0" w:firstRow="1" w:lastRow="0" w:firstColumn="1" w:lastColumn="0" w:noHBand="0" w:noVBand="1"/>
      </w:tblPr>
      <w:tblGrid>
        <w:gridCol w:w="3997"/>
        <w:gridCol w:w="954"/>
        <w:gridCol w:w="1151"/>
        <w:gridCol w:w="1100"/>
        <w:gridCol w:w="1063"/>
        <w:gridCol w:w="1026"/>
      </w:tblGrid>
      <w:tr w:rsidR="002D1D7C" w:rsidRPr="002D1D7C" w14:paraId="4372E0C8" w14:textId="77777777" w:rsidTr="00BD431E">
        <w:tc>
          <w:tcPr>
            <w:tcW w:w="3997" w:type="dxa"/>
          </w:tcPr>
          <w:p w14:paraId="1029EDB4" w14:textId="77777777" w:rsidR="002D1D7C" w:rsidRPr="002D1D7C" w:rsidRDefault="002D1D7C" w:rsidP="00AD417D">
            <w:pPr>
              <w:snapToGrid w:val="0"/>
              <w:rPr>
                <w:rFonts w:asciiTheme="minorHAnsi" w:hAnsiTheme="minorHAnsi" w:cstheme="minorHAnsi"/>
                <w:sz w:val="21"/>
                <w:szCs w:val="21"/>
                <w:lang w:eastAsia="en-AU"/>
              </w:rPr>
            </w:pPr>
          </w:p>
        </w:tc>
        <w:tc>
          <w:tcPr>
            <w:tcW w:w="954" w:type="dxa"/>
            <w:vAlign w:val="bottom"/>
          </w:tcPr>
          <w:p w14:paraId="3390DF0B" w14:textId="77777777" w:rsidR="002D1D7C" w:rsidRPr="002D1D7C" w:rsidRDefault="002D1D7C" w:rsidP="00AD417D">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Strongly disagree</w:t>
            </w:r>
          </w:p>
        </w:tc>
        <w:tc>
          <w:tcPr>
            <w:tcW w:w="1151" w:type="dxa"/>
            <w:vAlign w:val="bottom"/>
          </w:tcPr>
          <w:p w14:paraId="57C97BDE" w14:textId="77777777" w:rsidR="002D1D7C" w:rsidRPr="002D1D7C" w:rsidRDefault="002D1D7C" w:rsidP="00AD417D">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Somewhat disagree</w:t>
            </w:r>
          </w:p>
        </w:tc>
        <w:tc>
          <w:tcPr>
            <w:tcW w:w="1100" w:type="dxa"/>
            <w:vAlign w:val="bottom"/>
          </w:tcPr>
          <w:p w14:paraId="67A1C970" w14:textId="77777777" w:rsidR="002D1D7C" w:rsidRPr="002D1D7C" w:rsidRDefault="002D1D7C" w:rsidP="00AD417D">
            <w:pPr>
              <w:tabs>
                <w:tab w:val="left" w:pos="1701"/>
              </w:tabs>
              <w:snapToGrid w:val="0"/>
              <w:ind w:left="-198" w:right="-196"/>
              <w:jc w:val="center"/>
              <w:rPr>
                <w:rFonts w:asciiTheme="minorHAnsi" w:hAnsiTheme="minorHAnsi" w:cstheme="minorHAnsi"/>
                <w:sz w:val="21"/>
                <w:szCs w:val="21"/>
                <w:lang w:eastAsia="en-US"/>
              </w:rPr>
            </w:pPr>
            <w:r w:rsidRPr="002D1D7C">
              <w:rPr>
                <w:rFonts w:asciiTheme="minorHAnsi" w:hAnsiTheme="minorHAnsi" w:cstheme="minorHAnsi"/>
                <w:sz w:val="21"/>
                <w:szCs w:val="21"/>
                <w:lang w:eastAsia="en-US"/>
              </w:rPr>
              <w:t xml:space="preserve">Neither </w:t>
            </w:r>
          </w:p>
          <w:p w14:paraId="44B9CD11" w14:textId="77777777" w:rsidR="002D1D7C" w:rsidRPr="002D1D7C" w:rsidRDefault="002D1D7C" w:rsidP="00AD417D">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agree or disagree</w:t>
            </w:r>
          </w:p>
        </w:tc>
        <w:tc>
          <w:tcPr>
            <w:tcW w:w="1063" w:type="dxa"/>
            <w:vAlign w:val="bottom"/>
          </w:tcPr>
          <w:p w14:paraId="26FCD6ED" w14:textId="77777777" w:rsidR="002D1D7C" w:rsidRPr="002D1D7C" w:rsidRDefault="002D1D7C" w:rsidP="00AD417D">
            <w:pPr>
              <w:tabs>
                <w:tab w:val="left" w:pos="1701"/>
              </w:tabs>
              <w:snapToGrid w:val="0"/>
              <w:ind w:left="-164" w:right="-196"/>
              <w:jc w:val="center"/>
              <w:rPr>
                <w:rFonts w:asciiTheme="minorHAnsi" w:hAnsiTheme="minorHAnsi" w:cstheme="minorHAnsi"/>
                <w:sz w:val="21"/>
                <w:szCs w:val="21"/>
                <w:lang w:eastAsia="en-US"/>
              </w:rPr>
            </w:pPr>
            <w:r w:rsidRPr="002D1D7C">
              <w:rPr>
                <w:rFonts w:asciiTheme="minorHAnsi" w:hAnsiTheme="minorHAnsi" w:cstheme="minorHAnsi"/>
                <w:sz w:val="21"/>
                <w:szCs w:val="21"/>
                <w:lang w:eastAsia="en-US"/>
              </w:rPr>
              <w:t>Somewhat</w:t>
            </w:r>
          </w:p>
          <w:p w14:paraId="4CCDFC17" w14:textId="77777777" w:rsidR="002D1D7C" w:rsidRPr="002D1D7C" w:rsidRDefault="002D1D7C" w:rsidP="00AD417D">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agree</w:t>
            </w:r>
          </w:p>
        </w:tc>
        <w:tc>
          <w:tcPr>
            <w:tcW w:w="1026" w:type="dxa"/>
            <w:vAlign w:val="bottom"/>
          </w:tcPr>
          <w:p w14:paraId="154CEED3" w14:textId="77777777" w:rsidR="002D1D7C" w:rsidRPr="002D1D7C" w:rsidRDefault="002D1D7C" w:rsidP="00AD417D">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Strongly agree</w:t>
            </w:r>
          </w:p>
        </w:tc>
      </w:tr>
      <w:tr w:rsidR="002D1D7C" w:rsidRPr="002D1D7C" w14:paraId="1EC202D1" w14:textId="77777777" w:rsidTr="00BD431E">
        <w:trPr>
          <w:trHeight w:val="117"/>
        </w:trPr>
        <w:tc>
          <w:tcPr>
            <w:tcW w:w="3997" w:type="dxa"/>
          </w:tcPr>
          <w:p w14:paraId="2926211D" w14:textId="77777777" w:rsidR="002D1D7C" w:rsidRPr="002D1D7C" w:rsidRDefault="002D1D7C" w:rsidP="00AD417D">
            <w:pPr>
              <w:snapToGrid w:val="0"/>
              <w:rPr>
                <w:rFonts w:asciiTheme="minorHAnsi" w:hAnsiTheme="minorHAnsi" w:cstheme="minorHAnsi"/>
                <w:sz w:val="21"/>
                <w:szCs w:val="21"/>
                <w:lang w:eastAsia="en-AU"/>
              </w:rPr>
            </w:pPr>
            <w:r w:rsidRPr="002D1D7C">
              <w:rPr>
                <w:rFonts w:asciiTheme="minorHAnsi" w:hAnsiTheme="minorHAnsi" w:cstheme="minorHAnsi"/>
                <w:sz w:val="21"/>
                <w:szCs w:val="21"/>
                <w:lang w:eastAsia="en-AU"/>
              </w:rPr>
              <w:t>The online mental health activities:</w:t>
            </w:r>
          </w:p>
        </w:tc>
        <w:tc>
          <w:tcPr>
            <w:tcW w:w="954" w:type="dxa"/>
          </w:tcPr>
          <w:p w14:paraId="36D121D0" w14:textId="7EA22048" w:rsidR="002D1D7C" w:rsidRPr="002D1D7C" w:rsidRDefault="002D1D7C" w:rsidP="00AD417D">
            <w:pPr>
              <w:snapToGrid w:val="0"/>
              <w:jc w:val="center"/>
              <w:rPr>
                <w:rFonts w:asciiTheme="minorHAnsi" w:hAnsiTheme="minorHAnsi" w:cstheme="minorHAnsi"/>
                <w:sz w:val="21"/>
                <w:szCs w:val="21"/>
                <w:lang w:eastAsia="en-AU"/>
              </w:rPr>
            </w:pPr>
          </w:p>
        </w:tc>
        <w:tc>
          <w:tcPr>
            <w:tcW w:w="1151" w:type="dxa"/>
          </w:tcPr>
          <w:p w14:paraId="100AFEF5" w14:textId="23D35CF6" w:rsidR="002D1D7C" w:rsidRPr="002D1D7C" w:rsidRDefault="002D1D7C" w:rsidP="00AD417D">
            <w:pPr>
              <w:snapToGrid w:val="0"/>
              <w:jc w:val="center"/>
              <w:rPr>
                <w:rFonts w:asciiTheme="minorHAnsi" w:hAnsiTheme="minorHAnsi" w:cstheme="minorHAnsi"/>
                <w:sz w:val="21"/>
                <w:szCs w:val="21"/>
                <w:lang w:eastAsia="en-AU"/>
              </w:rPr>
            </w:pPr>
          </w:p>
        </w:tc>
        <w:tc>
          <w:tcPr>
            <w:tcW w:w="1100" w:type="dxa"/>
          </w:tcPr>
          <w:p w14:paraId="10E3C10B" w14:textId="2DE42104" w:rsidR="002D1D7C" w:rsidRPr="002D1D7C" w:rsidRDefault="002D1D7C" w:rsidP="00AD417D">
            <w:pPr>
              <w:snapToGrid w:val="0"/>
              <w:jc w:val="center"/>
              <w:rPr>
                <w:rFonts w:asciiTheme="minorHAnsi" w:hAnsiTheme="minorHAnsi" w:cstheme="minorHAnsi"/>
                <w:sz w:val="21"/>
                <w:szCs w:val="21"/>
                <w:lang w:eastAsia="en-AU"/>
              </w:rPr>
            </w:pPr>
          </w:p>
        </w:tc>
        <w:tc>
          <w:tcPr>
            <w:tcW w:w="1063" w:type="dxa"/>
          </w:tcPr>
          <w:p w14:paraId="0C7173C7" w14:textId="6B72CB0A" w:rsidR="002D1D7C" w:rsidRPr="002D1D7C" w:rsidRDefault="002D1D7C" w:rsidP="00AD417D">
            <w:pPr>
              <w:snapToGrid w:val="0"/>
              <w:jc w:val="center"/>
              <w:rPr>
                <w:rFonts w:asciiTheme="minorHAnsi" w:hAnsiTheme="minorHAnsi" w:cstheme="minorHAnsi"/>
                <w:sz w:val="21"/>
                <w:szCs w:val="21"/>
                <w:lang w:eastAsia="en-AU"/>
              </w:rPr>
            </w:pPr>
          </w:p>
        </w:tc>
        <w:tc>
          <w:tcPr>
            <w:tcW w:w="1026" w:type="dxa"/>
          </w:tcPr>
          <w:p w14:paraId="77735648" w14:textId="77FACC0B" w:rsidR="002D1D7C" w:rsidRPr="002D1D7C" w:rsidRDefault="002D1D7C" w:rsidP="00AD417D">
            <w:pPr>
              <w:snapToGrid w:val="0"/>
              <w:jc w:val="center"/>
              <w:rPr>
                <w:rFonts w:asciiTheme="minorHAnsi" w:hAnsiTheme="minorHAnsi" w:cstheme="minorHAnsi"/>
                <w:sz w:val="21"/>
                <w:szCs w:val="21"/>
                <w:lang w:eastAsia="en-AU"/>
              </w:rPr>
            </w:pPr>
          </w:p>
        </w:tc>
      </w:tr>
      <w:tr w:rsidR="00865FFE" w:rsidRPr="002D1D7C" w14:paraId="72FC04CB" w14:textId="77777777" w:rsidTr="00BD431E">
        <w:trPr>
          <w:trHeight w:val="287"/>
        </w:trPr>
        <w:tc>
          <w:tcPr>
            <w:tcW w:w="3997" w:type="dxa"/>
          </w:tcPr>
          <w:p w14:paraId="13F2CCBE" w14:textId="77777777" w:rsidR="00865FFE" w:rsidRPr="002D1D7C" w:rsidRDefault="00865FFE" w:rsidP="00140C5B">
            <w:pPr>
              <w:numPr>
                <w:ilvl w:val="0"/>
                <w:numId w:val="61"/>
              </w:numPr>
              <w:autoSpaceDE w:val="0"/>
              <w:autoSpaceDN w:val="0"/>
              <w:adjustRightInd w:val="0"/>
              <w:snapToGrid w:val="0"/>
              <w:rPr>
                <w:rFonts w:asciiTheme="minorHAnsi" w:hAnsiTheme="minorHAnsi" w:cstheme="minorHAnsi"/>
                <w:color w:val="000000"/>
                <w:sz w:val="21"/>
                <w:szCs w:val="21"/>
                <w:lang w:val="en-US" w:eastAsia="en-US"/>
              </w:rPr>
            </w:pPr>
            <w:r w:rsidRPr="002D1D7C">
              <w:rPr>
                <w:rFonts w:asciiTheme="minorHAnsi" w:hAnsiTheme="minorHAnsi" w:cstheme="minorHAnsi"/>
                <w:color w:val="000000"/>
                <w:sz w:val="21"/>
                <w:szCs w:val="21"/>
                <w:lang w:val="en-US" w:eastAsia="en-US"/>
              </w:rPr>
              <w:t>were informative</w:t>
            </w:r>
          </w:p>
        </w:tc>
        <w:tc>
          <w:tcPr>
            <w:tcW w:w="954" w:type="dxa"/>
          </w:tcPr>
          <w:p w14:paraId="64A54D11" w14:textId="6FD3CD6A" w:rsidR="00865FFE" w:rsidRPr="002D1D7C" w:rsidRDefault="00865FFE" w:rsidP="00865FFE">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1</w:t>
            </w:r>
          </w:p>
        </w:tc>
        <w:tc>
          <w:tcPr>
            <w:tcW w:w="1151" w:type="dxa"/>
          </w:tcPr>
          <w:p w14:paraId="348A8049" w14:textId="5DA05DCF" w:rsidR="00865FFE" w:rsidRPr="002D1D7C" w:rsidRDefault="00865FFE" w:rsidP="00865FFE">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2</w:t>
            </w:r>
          </w:p>
        </w:tc>
        <w:tc>
          <w:tcPr>
            <w:tcW w:w="1100" w:type="dxa"/>
          </w:tcPr>
          <w:p w14:paraId="406834B4" w14:textId="4B678E3D" w:rsidR="00865FFE" w:rsidRPr="002D1D7C" w:rsidRDefault="00865FFE" w:rsidP="00865FFE">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3</w:t>
            </w:r>
          </w:p>
        </w:tc>
        <w:tc>
          <w:tcPr>
            <w:tcW w:w="1063" w:type="dxa"/>
          </w:tcPr>
          <w:p w14:paraId="78BAC277" w14:textId="51248730" w:rsidR="00865FFE" w:rsidRPr="002D1D7C" w:rsidRDefault="00865FFE" w:rsidP="00865FFE">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4</w:t>
            </w:r>
          </w:p>
        </w:tc>
        <w:tc>
          <w:tcPr>
            <w:tcW w:w="1026" w:type="dxa"/>
          </w:tcPr>
          <w:p w14:paraId="2FC350B5" w14:textId="511B364F" w:rsidR="00865FFE" w:rsidRPr="002D1D7C" w:rsidRDefault="00865FFE" w:rsidP="00865FFE">
            <w:pPr>
              <w:snapToGrid w:val="0"/>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5</w:t>
            </w:r>
          </w:p>
        </w:tc>
      </w:tr>
      <w:tr w:rsidR="00865FFE" w:rsidRPr="002D1D7C" w14:paraId="007429B0" w14:textId="77777777" w:rsidTr="00BD431E">
        <w:tc>
          <w:tcPr>
            <w:tcW w:w="3997" w:type="dxa"/>
          </w:tcPr>
          <w:p w14:paraId="4950E62B" w14:textId="77777777" w:rsidR="00865FFE" w:rsidRPr="002D1D7C" w:rsidRDefault="00865FFE" w:rsidP="00140C5B">
            <w:pPr>
              <w:numPr>
                <w:ilvl w:val="0"/>
                <w:numId w:val="61"/>
              </w:numPr>
              <w:autoSpaceDE w:val="0"/>
              <w:autoSpaceDN w:val="0"/>
              <w:adjustRightInd w:val="0"/>
              <w:snapToGrid w:val="0"/>
              <w:rPr>
                <w:rFonts w:asciiTheme="minorHAnsi" w:hAnsiTheme="minorHAnsi" w:cstheme="minorHAnsi"/>
                <w:color w:val="000000"/>
                <w:sz w:val="21"/>
                <w:szCs w:val="21"/>
                <w:lang w:val="en-US" w:eastAsia="en-US"/>
              </w:rPr>
            </w:pPr>
            <w:r w:rsidRPr="002D1D7C">
              <w:rPr>
                <w:rFonts w:asciiTheme="minorHAnsi" w:hAnsiTheme="minorHAnsi" w:cstheme="minorHAnsi"/>
                <w:color w:val="000000"/>
                <w:sz w:val="21"/>
                <w:szCs w:val="21"/>
                <w:lang w:val="en-US" w:eastAsia="en-US"/>
              </w:rPr>
              <w:t>were relevant to me</w:t>
            </w:r>
          </w:p>
        </w:tc>
        <w:tc>
          <w:tcPr>
            <w:tcW w:w="954" w:type="dxa"/>
          </w:tcPr>
          <w:p w14:paraId="3F9AD45E" w14:textId="1D636E7A"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1</w:t>
            </w:r>
          </w:p>
        </w:tc>
        <w:tc>
          <w:tcPr>
            <w:tcW w:w="1151" w:type="dxa"/>
          </w:tcPr>
          <w:p w14:paraId="31D1DE56" w14:textId="1D492186"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2</w:t>
            </w:r>
          </w:p>
        </w:tc>
        <w:tc>
          <w:tcPr>
            <w:tcW w:w="1100" w:type="dxa"/>
          </w:tcPr>
          <w:p w14:paraId="5B4B47F5" w14:textId="703F4C82"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3</w:t>
            </w:r>
          </w:p>
        </w:tc>
        <w:tc>
          <w:tcPr>
            <w:tcW w:w="1063" w:type="dxa"/>
          </w:tcPr>
          <w:p w14:paraId="72145D1D" w14:textId="57D575E6"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4</w:t>
            </w:r>
          </w:p>
        </w:tc>
        <w:tc>
          <w:tcPr>
            <w:tcW w:w="1026" w:type="dxa"/>
          </w:tcPr>
          <w:p w14:paraId="12451CF2" w14:textId="5B0715F5"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5</w:t>
            </w:r>
          </w:p>
        </w:tc>
      </w:tr>
      <w:tr w:rsidR="00865FFE" w:rsidRPr="002D1D7C" w14:paraId="63969CE4" w14:textId="77777777" w:rsidTr="00BD431E">
        <w:tc>
          <w:tcPr>
            <w:tcW w:w="3997" w:type="dxa"/>
          </w:tcPr>
          <w:p w14:paraId="036FFA24" w14:textId="77777777" w:rsidR="00865FFE" w:rsidRPr="002D1D7C" w:rsidRDefault="00865FFE" w:rsidP="00140C5B">
            <w:pPr>
              <w:numPr>
                <w:ilvl w:val="0"/>
                <w:numId w:val="61"/>
              </w:numPr>
              <w:snapToGrid w:val="0"/>
              <w:rPr>
                <w:rFonts w:asciiTheme="minorHAnsi" w:hAnsiTheme="minorHAnsi" w:cstheme="minorHAnsi"/>
                <w:sz w:val="21"/>
                <w:szCs w:val="21"/>
                <w:lang w:eastAsia="en-AU"/>
              </w:rPr>
            </w:pPr>
            <w:r w:rsidRPr="002D1D7C">
              <w:rPr>
                <w:rFonts w:asciiTheme="minorHAnsi" w:hAnsiTheme="minorHAnsi" w:cstheme="minorHAnsi"/>
                <w:sz w:val="21"/>
                <w:szCs w:val="21"/>
                <w:lang w:eastAsia="en-AU"/>
              </w:rPr>
              <w:t>made me stop and think</w:t>
            </w:r>
          </w:p>
        </w:tc>
        <w:tc>
          <w:tcPr>
            <w:tcW w:w="954" w:type="dxa"/>
          </w:tcPr>
          <w:p w14:paraId="79DBE934" w14:textId="7F31E808"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1</w:t>
            </w:r>
          </w:p>
        </w:tc>
        <w:tc>
          <w:tcPr>
            <w:tcW w:w="1151" w:type="dxa"/>
          </w:tcPr>
          <w:p w14:paraId="048E6916" w14:textId="57824718"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2</w:t>
            </w:r>
          </w:p>
        </w:tc>
        <w:tc>
          <w:tcPr>
            <w:tcW w:w="1100" w:type="dxa"/>
          </w:tcPr>
          <w:p w14:paraId="66622883" w14:textId="3D520D68"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3</w:t>
            </w:r>
          </w:p>
        </w:tc>
        <w:tc>
          <w:tcPr>
            <w:tcW w:w="1063" w:type="dxa"/>
          </w:tcPr>
          <w:p w14:paraId="5EB91A48" w14:textId="18C18FE5"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4</w:t>
            </w:r>
          </w:p>
        </w:tc>
        <w:tc>
          <w:tcPr>
            <w:tcW w:w="1026" w:type="dxa"/>
          </w:tcPr>
          <w:p w14:paraId="7E321D2F" w14:textId="7D8A4ADA"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5</w:t>
            </w:r>
          </w:p>
        </w:tc>
      </w:tr>
      <w:tr w:rsidR="00865FFE" w:rsidRPr="002D1D7C" w14:paraId="2DC06EB3" w14:textId="77777777" w:rsidTr="00BD431E">
        <w:tc>
          <w:tcPr>
            <w:tcW w:w="3997" w:type="dxa"/>
          </w:tcPr>
          <w:p w14:paraId="240DCABF" w14:textId="77777777" w:rsidR="00865FFE" w:rsidRPr="002D1D7C" w:rsidRDefault="00865FFE" w:rsidP="00140C5B">
            <w:pPr>
              <w:numPr>
                <w:ilvl w:val="0"/>
                <w:numId w:val="61"/>
              </w:numPr>
              <w:snapToGrid w:val="0"/>
              <w:rPr>
                <w:rFonts w:asciiTheme="minorHAnsi" w:hAnsiTheme="minorHAnsi" w:cstheme="minorHAnsi"/>
                <w:sz w:val="21"/>
                <w:szCs w:val="21"/>
                <w:lang w:eastAsia="en-AU"/>
              </w:rPr>
            </w:pPr>
            <w:r w:rsidRPr="002D1D7C">
              <w:rPr>
                <w:rFonts w:asciiTheme="minorHAnsi" w:hAnsiTheme="minorHAnsi" w:cstheme="minorHAnsi"/>
                <w:sz w:val="21"/>
                <w:szCs w:val="21"/>
                <w:lang w:eastAsia="en-AU"/>
              </w:rPr>
              <w:t>taught me new strategies to help me cope</w:t>
            </w:r>
          </w:p>
        </w:tc>
        <w:tc>
          <w:tcPr>
            <w:tcW w:w="954" w:type="dxa"/>
          </w:tcPr>
          <w:p w14:paraId="4027B4CA" w14:textId="3AA6F08D"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1</w:t>
            </w:r>
          </w:p>
        </w:tc>
        <w:tc>
          <w:tcPr>
            <w:tcW w:w="1151" w:type="dxa"/>
          </w:tcPr>
          <w:p w14:paraId="4E4F7416" w14:textId="5A53FFDE"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2</w:t>
            </w:r>
          </w:p>
        </w:tc>
        <w:tc>
          <w:tcPr>
            <w:tcW w:w="1100" w:type="dxa"/>
          </w:tcPr>
          <w:p w14:paraId="59254D80" w14:textId="05A15208"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3</w:t>
            </w:r>
          </w:p>
        </w:tc>
        <w:tc>
          <w:tcPr>
            <w:tcW w:w="1063" w:type="dxa"/>
          </w:tcPr>
          <w:p w14:paraId="071B1BB8" w14:textId="328AF0C2"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4</w:t>
            </w:r>
          </w:p>
        </w:tc>
        <w:tc>
          <w:tcPr>
            <w:tcW w:w="1026" w:type="dxa"/>
          </w:tcPr>
          <w:p w14:paraId="36030AC1" w14:textId="02187E54"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5</w:t>
            </w:r>
          </w:p>
        </w:tc>
      </w:tr>
      <w:tr w:rsidR="00865FFE" w:rsidRPr="002D1D7C" w14:paraId="6C4FCB80" w14:textId="77777777" w:rsidTr="00BD431E">
        <w:tc>
          <w:tcPr>
            <w:tcW w:w="3997" w:type="dxa"/>
          </w:tcPr>
          <w:p w14:paraId="4A6381AC" w14:textId="77777777" w:rsidR="00865FFE" w:rsidRPr="002D1D7C" w:rsidRDefault="00865FFE" w:rsidP="00140C5B">
            <w:pPr>
              <w:numPr>
                <w:ilvl w:val="0"/>
                <w:numId w:val="61"/>
              </w:numPr>
              <w:snapToGrid w:val="0"/>
              <w:rPr>
                <w:rFonts w:asciiTheme="minorHAnsi" w:hAnsiTheme="minorHAnsi" w:cstheme="minorHAnsi"/>
                <w:sz w:val="21"/>
                <w:szCs w:val="21"/>
                <w:lang w:eastAsia="en-AU"/>
              </w:rPr>
            </w:pPr>
            <w:r w:rsidRPr="002D1D7C">
              <w:rPr>
                <w:rFonts w:asciiTheme="minorHAnsi" w:hAnsiTheme="minorHAnsi" w:cstheme="minorHAnsi"/>
                <w:sz w:val="21"/>
                <w:szCs w:val="21"/>
                <w:lang w:eastAsia="en-AU"/>
              </w:rPr>
              <w:t xml:space="preserve">were easy to understand </w:t>
            </w:r>
          </w:p>
        </w:tc>
        <w:tc>
          <w:tcPr>
            <w:tcW w:w="954" w:type="dxa"/>
          </w:tcPr>
          <w:p w14:paraId="6672899C" w14:textId="72234182"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1</w:t>
            </w:r>
          </w:p>
        </w:tc>
        <w:tc>
          <w:tcPr>
            <w:tcW w:w="1151" w:type="dxa"/>
          </w:tcPr>
          <w:p w14:paraId="5316159D" w14:textId="6B7DE9A4"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2</w:t>
            </w:r>
          </w:p>
        </w:tc>
        <w:tc>
          <w:tcPr>
            <w:tcW w:w="1100" w:type="dxa"/>
          </w:tcPr>
          <w:p w14:paraId="1148101D" w14:textId="3998EF9D"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3</w:t>
            </w:r>
          </w:p>
        </w:tc>
        <w:tc>
          <w:tcPr>
            <w:tcW w:w="1063" w:type="dxa"/>
          </w:tcPr>
          <w:p w14:paraId="149EE77A" w14:textId="4F431486"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4</w:t>
            </w:r>
          </w:p>
        </w:tc>
        <w:tc>
          <w:tcPr>
            <w:tcW w:w="1026" w:type="dxa"/>
          </w:tcPr>
          <w:p w14:paraId="2F22FCFA" w14:textId="0510DE8E"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5</w:t>
            </w:r>
          </w:p>
        </w:tc>
      </w:tr>
      <w:tr w:rsidR="00865FFE" w:rsidRPr="002D1D7C" w14:paraId="6A7BC199" w14:textId="77777777" w:rsidTr="00BD431E">
        <w:tc>
          <w:tcPr>
            <w:tcW w:w="3997" w:type="dxa"/>
          </w:tcPr>
          <w:p w14:paraId="4C3ECEAE" w14:textId="77777777" w:rsidR="00865FFE" w:rsidRPr="002D1D7C" w:rsidRDefault="00865FFE" w:rsidP="00140C5B">
            <w:pPr>
              <w:numPr>
                <w:ilvl w:val="0"/>
                <w:numId w:val="61"/>
              </w:numPr>
              <w:snapToGrid w:val="0"/>
              <w:ind w:left="355"/>
              <w:rPr>
                <w:rFonts w:asciiTheme="minorHAnsi" w:hAnsiTheme="minorHAnsi" w:cstheme="minorHAnsi"/>
                <w:sz w:val="21"/>
                <w:szCs w:val="21"/>
                <w:lang w:eastAsia="en-AU"/>
              </w:rPr>
            </w:pPr>
            <w:r w:rsidRPr="002D1D7C">
              <w:rPr>
                <w:rFonts w:asciiTheme="minorHAnsi" w:hAnsiTheme="minorHAnsi" w:cstheme="minorHAnsi"/>
                <w:sz w:val="21"/>
                <w:szCs w:val="21"/>
                <w:lang w:eastAsia="en-AU"/>
              </w:rPr>
              <w:t>were easy to navigate and move between the different sections and activities</w:t>
            </w:r>
            <w:r w:rsidRPr="002D1D7C">
              <w:rPr>
                <w:rFonts w:asciiTheme="minorHAnsi" w:hAnsiTheme="minorHAnsi" w:cstheme="minorHAnsi"/>
                <w:color w:val="1A1A1A"/>
                <w:sz w:val="21"/>
                <w:szCs w:val="21"/>
                <w:u w:color="103CC0"/>
                <w:lang w:eastAsia="en-AU"/>
              </w:rPr>
              <w:t xml:space="preserve"> </w:t>
            </w:r>
          </w:p>
        </w:tc>
        <w:tc>
          <w:tcPr>
            <w:tcW w:w="954" w:type="dxa"/>
          </w:tcPr>
          <w:p w14:paraId="208BD9AE" w14:textId="09A99FEF"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1</w:t>
            </w:r>
          </w:p>
        </w:tc>
        <w:tc>
          <w:tcPr>
            <w:tcW w:w="1151" w:type="dxa"/>
          </w:tcPr>
          <w:p w14:paraId="302AB457" w14:textId="213D2282"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2</w:t>
            </w:r>
          </w:p>
        </w:tc>
        <w:tc>
          <w:tcPr>
            <w:tcW w:w="1100" w:type="dxa"/>
          </w:tcPr>
          <w:p w14:paraId="7155360F" w14:textId="58F0CE97"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3</w:t>
            </w:r>
          </w:p>
        </w:tc>
        <w:tc>
          <w:tcPr>
            <w:tcW w:w="1063" w:type="dxa"/>
          </w:tcPr>
          <w:p w14:paraId="6D07D016" w14:textId="0E4DE04D"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4</w:t>
            </w:r>
          </w:p>
        </w:tc>
        <w:tc>
          <w:tcPr>
            <w:tcW w:w="1026" w:type="dxa"/>
          </w:tcPr>
          <w:p w14:paraId="5FC6D8E5" w14:textId="64096742"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5</w:t>
            </w:r>
          </w:p>
        </w:tc>
      </w:tr>
      <w:tr w:rsidR="00865FFE" w:rsidRPr="002D1D7C" w14:paraId="2DD1E821" w14:textId="77777777" w:rsidTr="00BD431E">
        <w:tc>
          <w:tcPr>
            <w:tcW w:w="3997" w:type="dxa"/>
          </w:tcPr>
          <w:p w14:paraId="28BF06D1" w14:textId="77777777" w:rsidR="00865FFE" w:rsidRPr="002D1D7C" w:rsidRDefault="00865FFE" w:rsidP="00140C5B">
            <w:pPr>
              <w:numPr>
                <w:ilvl w:val="0"/>
                <w:numId w:val="61"/>
              </w:numPr>
              <w:autoSpaceDE w:val="0"/>
              <w:autoSpaceDN w:val="0"/>
              <w:adjustRightInd w:val="0"/>
              <w:snapToGrid w:val="0"/>
              <w:rPr>
                <w:rFonts w:asciiTheme="minorHAnsi" w:hAnsiTheme="minorHAnsi" w:cstheme="minorHAnsi"/>
                <w:color w:val="000000"/>
                <w:sz w:val="21"/>
                <w:szCs w:val="21"/>
                <w:lang w:val="en-US" w:eastAsia="en-US"/>
              </w:rPr>
            </w:pPr>
            <w:proofErr w:type="spellStart"/>
            <w:r w:rsidRPr="002D1D7C">
              <w:rPr>
                <w:rFonts w:asciiTheme="minorHAnsi" w:hAnsiTheme="minorHAnsi" w:cstheme="minorHAnsi"/>
                <w:color w:val="000000"/>
                <w:sz w:val="21"/>
                <w:szCs w:val="21"/>
                <w:lang w:val="en-US" w:eastAsia="en-US"/>
              </w:rPr>
              <w:t>were</w:t>
            </w:r>
            <w:proofErr w:type="spellEnd"/>
            <w:r w:rsidRPr="002D1D7C">
              <w:rPr>
                <w:rFonts w:asciiTheme="minorHAnsi" w:hAnsiTheme="minorHAnsi" w:cstheme="minorHAnsi"/>
                <w:color w:val="000000"/>
                <w:sz w:val="21"/>
                <w:szCs w:val="21"/>
                <w:lang w:val="en-US" w:eastAsia="en-US"/>
              </w:rPr>
              <w:t xml:space="preserve"> engaging</w:t>
            </w:r>
          </w:p>
        </w:tc>
        <w:tc>
          <w:tcPr>
            <w:tcW w:w="954" w:type="dxa"/>
          </w:tcPr>
          <w:p w14:paraId="4375398C" w14:textId="145E6E62"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1</w:t>
            </w:r>
          </w:p>
        </w:tc>
        <w:tc>
          <w:tcPr>
            <w:tcW w:w="1151" w:type="dxa"/>
          </w:tcPr>
          <w:p w14:paraId="032D7D7D" w14:textId="4AA7D61A"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2</w:t>
            </w:r>
          </w:p>
        </w:tc>
        <w:tc>
          <w:tcPr>
            <w:tcW w:w="1100" w:type="dxa"/>
          </w:tcPr>
          <w:p w14:paraId="0333DEC9" w14:textId="1FB06FA6"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3</w:t>
            </w:r>
          </w:p>
        </w:tc>
        <w:tc>
          <w:tcPr>
            <w:tcW w:w="1063" w:type="dxa"/>
          </w:tcPr>
          <w:p w14:paraId="77F6653D" w14:textId="00BB7138"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4</w:t>
            </w:r>
          </w:p>
        </w:tc>
        <w:tc>
          <w:tcPr>
            <w:tcW w:w="1026" w:type="dxa"/>
          </w:tcPr>
          <w:p w14:paraId="4296CA0B" w14:textId="584E38A9"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5</w:t>
            </w:r>
          </w:p>
        </w:tc>
      </w:tr>
      <w:tr w:rsidR="00865FFE" w:rsidRPr="002D1D7C" w14:paraId="2143E565" w14:textId="77777777" w:rsidTr="00BD431E">
        <w:tc>
          <w:tcPr>
            <w:tcW w:w="3997" w:type="dxa"/>
          </w:tcPr>
          <w:p w14:paraId="68C3158C" w14:textId="77777777" w:rsidR="00865FFE" w:rsidRPr="002D1D7C" w:rsidRDefault="00865FFE" w:rsidP="00140C5B">
            <w:pPr>
              <w:numPr>
                <w:ilvl w:val="0"/>
                <w:numId w:val="61"/>
              </w:numPr>
              <w:autoSpaceDE w:val="0"/>
              <w:autoSpaceDN w:val="0"/>
              <w:adjustRightInd w:val="0"/>
              <w:snapToGrid w:val="0"/>
              <w:rPr>
                <w:rFonts w:asciiTheme="minorHAnsi" w:hAnsiTheme="minorHAnsi" w:cstheme="minorHAnsi"/>
                <w:color w:val="000000"/>
                <w:sz w:val="21"/>
                <w:szCs w:val="21"/>
                <w:lang w:val="en-US" w:eastAsia="en-US"/>
              </w:rPr>
            </w:pPr>
            <w:r w:rsidRPr="002D1D7C">
              <w:rPr>
                <w:rFonts w:asciiTheme="minorHAnsi" w:hAnsiTheme="minorHAnsi" w:cstheme="minorHAnsi"/>
                <w:color w:val="000000"/>
                <w:sz w:val="21"/>
                <w:szCs w:val="21"/>
                <w:lang w:val="en-US" w:eastAsia="en-US"/>
              </w:rPr>
              <w:t>were visually appealing</w:t>
            </w:r>
          </w:p>
        </w:tc>
        <w:tc>
          <w:tcPr>
            <w:tcW w:w="954" w:type="dxa"/>
          </w:tcPr>
          <w:p w14:paraId="1F1E9AB7" w14:textId="0D35EA46"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1</w:t>
            </w:r>
          </w:p>
        </w:tc>
        <w:tc>
          <w:tcPr>
            <w:tcW w:w="1151" w:type="dxa"/>
          </w:tcPr>
          <w:p w14:paraId="742225CF" w14:textId="28D8342D"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2</w:t>
            </w:r>
          </w:p>
        </w:tc>
        <w:tc>
          <w:tcPr>
            <w:tcW w:w="1100" w:type="dxa"/>
          </w:tcPr>
          <w:p w14:paraId="5D117367" w14:textId="5617ECE9"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3</w:t>
            </w:r>
          </w:p>
        </w:tc>
        <w:tc>
          <w:tcPr>
            <w:tcW w:w="1063" w:type="dxa"/>
          </w:tcPr>
          <w:p w14:paraId="01852458" w14:textId="69847BFC"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4</w:t>
            </w:r>
          </w:p>
        </w:tc>
        <w:tc>
          <w:tcPr>
            <w:tcW w:w="1026" w:type="dxa"/>
          </w:tcPr>
          <w:p w14:paraId="6BCFE2FD" w14:textId="6D0D7EB8" w:rsidR="00865FFE" w:rsidRPr="002D1D7C" w:rsidRDefault="00865FFE" w:rsidP="00865FFE">
            <w:pPr>
              <w:snapToGrid w:val="0"/>
              <w:jc w:val="center"/>
              <w:rPr>
                <w:rFonts w:asciiTheme="minorHAnsi" w:hAnsiTheme="minorHAnsi" w:cstheme="minorHAnsi"/>
                <w:sz w:val="21"/>
                <w:szCs w:val="21"/>
                <w:u w:val="single"/>
                <w:lang w:eastAsia="en-AU"/>
              </w:rPr>
            </w:pPr>
            <w:r w:rsidRPr="002D1D7C">
              <w:rPr>
                <w:rFonts w:asciiTheme="minorHAnsi" w:hAnsiTheme="minorHAnsi" w:cstheme="minorHAnsi"/>
                <w:sz w:val="21"/>
                <w:szCs w:val="21"/>
                <w:lang w:eastAsia="en-AU"/>
              </w:rPr>
              <w:t>5</w:t>
            </w:r>
          </w:p>
        </w:tc>
      </w:tr>
    </w:tbl>
    <w:p w14:paraId="32E0256D" w14:textId="77777777" w:rsidR="002D1D7C" w:rsidRPr="002D1D7C" w:rsidRDefault="002D1D7C" w:rsidP="00140C5B">
      <w:pPr>
        <w:numPr>
          <w:ilvl w:val="0"/>
          <w:numId w:val="42"/>
        </w:numPr>
        <w:snapToGrid w:val="0"/>
        <w:spacing w:before="200"/>
        <w:ind w:left="357" w:hanging="357"/>
        <w:rPr>
          <w:rFonts w:asciiTheme="minorHAnsi" w:eastAsia="MS Mincho" w:hAnsiTheme="minorHAnsi" w:cstheme="minorBidi"/>
          <w:b/>
          <w:bCs/>
          <w:sz w:val="21"/>
          <w:szCs w:val="21"/>
        </w:rPr>
      </w:pPr>
      <w:r w:rsidRPr="002D1D7C">
        <w:rPr>
          <w:rFonts w:asciiTheme="minorHAnsi" w:eastAsia="MS Mincho" w:hAnsiTheme="minorHAnsi" w:cstheme="minorBidi"/>
          <w:b/>
          <w:bCs/>
          <w:sz w:val="21"/>
          <w:szCs w:val="21"/>
        </w:rPr>
        <w:t>While working through the supported digital mental health program, did you get support from a therapist from within the program?</w:t>
      </w:r>
    </w:p>
    <w:p w14:paraId="5C08A215" w14:textId="77777777" w:rsidR="002D1D7C" w:rsidRPr="002D1D7C" w:rsidRDefault="002D1D7C" w:rsidP="00140C5B">
      <w:pPr>
        <w:numPr>
          <w:ilvl w:val="0"/>
          <w:numId w:val="45"/>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 xml:space="preserve">Yes </w:t>
      </w:r>
    </w:p>
    <w:p w14:paraId="523EF783" w14:textId="77777777" w:rsidR="002D1D7C" w:rsidRPr="002D1D7C" w:rsidRDefault="002D1D7C" w:rsidP="00140C5B">
      <w:pPr>
        <w:numPr>
          <w:ilvl w:val="0"/>
          <w:numId w:val="45"/>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No</w:t>
      </w:r>
    </w:p>
    <w:p w14:paraId="54AA4E68" w14:textId="77777777" w:rsidR="002D1D7C" w:rsidRPr="002D1D7C" w:rsidRDefault="002D1D7C" w:rsidP="002D1D7C">
      <w:pPr>
        <w:ind w:left="720"/>
        <w:contextualSpacing/>
        <w:rPr>
          <w:rFonts w:asciiTheme="minorHAnsi" w:eastAsia="MS Mincho" w:hAnsiTheme="minorHAnsi" w:cstheme="minorHAnsi"/>
          <w:sz w:val="21"/>
          <w:szCs w:val="21"/>
        </w:rPr>
      </w:pPr>
    </w:p>
    <w:p w14:paraId="248EC240" w14:textId="77777777" w:rsidR="002D1D7C" w:rsidRPr="002D1D7C" w:rsidRDefault="002D1D7C" w:rsidP="002D1D7C">
      <w:pPr>
        <w:ind w:left="720"/>
        <w:rPr>
          <w:rFonts w:asciiTheme="minorHAnsi" w:eastAsia="MS Mincho" w:hAnsiTheme="minorHAnsi" w:cstheme="minorHAnsi"/>
          <w:b/>
          <w:sz w:val="21"/>
          <w:szCs w:val="21"/>
        </w:rPr>
      </w:pPr>
      <w:r w:rsidRPr="002D1D7C">
        <w:rPr>
          <w:rFonts w:asciiTheme="minorHAnsi" w:eastAsia="MS Mincho" w:hAnsiTheme="minorHAnsi" w:cstheme="minorHAnsi"/>
          <w:b/>
          <w:sz w:val="21"/>
          <w:szCs w:val="21"/>
        </w:rPr>
        <w:t>If no, what were the reasons that you did not access support from a therapist? Please tick all that apply.</w:t>
      </w:r>
    </w:p>
    <w:p w14:paraId="13BEDC42" w14:textId="77777777" w:rsidR="002D1D7C" w:rsidRPr="002D1D7C" w:rsidRDefault="002D1D7C" w:rsidP="00140C5B">
      <w:pPr>
        <w:numPr>
          <w:ilvl w:val="0"/>
          <w:numId w:val="63"/>
        </w:numPr>
        <w:ind w:left="1440"/>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Did not know that I could</w:t>
      </w:r>
    </w:p>
    <w:p w14:paraId="1C147CA3" w14:textId="77777777" w:rsidR="002D1D7C" w:rsidRPr="002D1D7C" w:rsidRDefault="002D1D7C" w:rsidP="00140C5B">
      <w:pPr>
        <w:numPr>
          <w:ilvl w:val="0"/>
          <w:numId w:val="63"/>
        </w:numPr>
        <w:ind w:left="1440"/>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Did not think I needed it</w:t>
      </w:r>
    </w:p>
    <w:p w14:paraId="58FE3694" w14:textId="77777777" w:rsidR="002D1D7C" w:rsidRPr="002D1D7C" w:rsidRDefault="002D1D7C" w:rsidP="00140C5B">
      <w:pPr>
        <w:numPr>
          <w:ilvl w:val="0"/>
          <w:numId w:val="63"/>
        </w:numPr>
        <w:ind w:left="1440"/>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 xml:space="preserve">I tried it </w:t>
      </w:r>
      <w:proofErr w:type="gramStart"/>
      <w:r w:rsidRPr="002D1D7C">
        <w:rPr>
          <w:rFonts w:asciiTheme="minorHAnsi" w:eastAsia="MS Mincho" w:hAnsiTheme="minorHAnsi" w:cstheme="minorHAnsi"/>
          <w:sz w:val="21"/>
          <w:szCs w:val="21"/>
        </w:rPr>
        <w:t>before</w:t>
      </w:r>
      <w:proofErr w:type="gramEnd"/>
      <w:r w:rsidRPr="002D1D7C">
        <w:rPr>
          <w:rFonts w:asciiTheme="minorHAnsi" w:eastAsia="MS Mincho" w:hAnsiTheme="minorHAnsi" w:cstheme="minorHAnsi"/>
          <w:sz w:val="21"/>
          <w:szCs w:val="21"/>
        </w:rPr>
        <w:t xml:space="preserve"> and it did not help</w:t>
      </w:r>
    </w:p>
    <w:p w14:paraId="2B80C2E7" w14:textId="77777777" w:rsidR="002D1D7C" w:rsidRPr="002D1D7C" w:rsidRDefault="002D1D7C" w:rsidP="00140C5B">
      <w:pPr>
        <w:numPr>
          <w:ilvl w:val="0"/>
          <w:numId w:val="63"/>
        </w:numPr>
        <w:ind w:left="1440"/>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Other, please specify (go to the next section)</w:t>
      </w:r>
    </w:p>
    <w:p w14:paraId="05C1EA6B" w14:textId="77777777" w:rsidR="002D1D7C" w:rsidRPr="002D1D7C" w:rsidRDefault="002D1D7C" w:rsidP="002D1D7C">
      <w:pPr>
        <w:ind w:left="720"/>
        <w:rPr>
          <w:rFonts w:asciiTheme="minorHAnsi" w:eastAsia="MS Mincho" w:hAnsiTheme="minorHAnsi" w:cstheme="minorHAnsi"/>
          <w:sz w:val="21"/>
          <w:szCs w:val="21"/>
        </w:rPr>
      </w:pPr>
    </w:p>
    <w:p w14:paraId="7D610EE8" w14:textId="625D4060" w:rsidR="002D1D7C" w:rsidRPr="00C170BA" w:rsidRDefault="002D1D7C" w:rsidP="00C170BA">
      <w:pPr>
        <w:ind w:left="720"/>
        <w:rPr>
          <w:rFonts w:asciiTheme="minorHAnsi" w:eastAsia="MS Mincho" w:hAnsiTheme="minorHAnsi" w:cstheme="minorHAnsi"/>
          <w:b/>
          <w:bCs/>
          <w:sz w:val="21"/>
          <w:szCs w:val="21"/>
        </w:rPr>
      </w:pPr>
      <w:r w:rsidRPr="002D1D7C">
        <w:rPr>
          <w:rFonts w:asciiTheme="minorHAnsi" w:eastAsia="MS Mincho" w:hAnsiTheme="minorHAnsi" w:cstheme="minorHAnsi"/>
          <w:b/>
          <w:bCs/>
          <w:sz w:val="21"/>
          <w:szCs w:val="21"/>
        </w:rPr>
        <w:t>If ye</w:t>
      </w:r>
      <w:r w:rsidR="00C170BA">
        <w:rPr>
          <w:rFonts w:asciiTheme="minorHAnsi" w:eastAsia="MS Mincho" w:hAnsiTheme="minorHAnsi" w:cstheme="minorHAnsi"/>
          <w:b/>
          <w:bCs/>
          <w:sz w:val="21"/>
          <w:szCs w:val="21"/>
        </w:rPr>
        <w:t>s,</w:t>
      </w:r>
      <w:r w:rsidR="00C170BA">
        <w:rPr>
          <w:rFonts w:asciiTheme="minorHAnsi" w:eastAsia="MS Mincho" w:hAnsiTheme="minorHAnsi" w:cstheme="minorHAnsi"/>
          <w:b/>
          <w:sz w:val="21"/>
          <w:szCs w:val="21"/>
        </w:rPr>
        <w:t xml:space="preserve"> w</w:t>
      </w:r>
      <w:r w:rsidRPr="002D1D7C">
        <w:rPr>
          <w:rFonts w:asciiTheme="minorHAnsi" w:eastAsia="MS Mincho" w:hAnsiTheme="minorHAnsi" w:cstheme="minorHAnsi"/>
          <w:b/>
          <w:sz w:val="21"/>
          <w:szCs w:val="21"/>
        </w:rPr>
        <w:t>hat kind of support did the therapist provide you? Please select all that apply.</w:t>
      </w:r>
    </w:p>
    <w:p w14:paraId="0F85D099" w14:textId="77777777" w:rsidR="002D1D7C" w:rsidRPr="002D1D7C" w:rsidRDefault="002D1D7C" w:rsidP="00140C5B">
      <w:pPr>
        <w:numPr>
          <w:ilvl w:val="0"/>
          <w:numId w:val="62"/>
        </w:numPr>
        <w:ind w:left="1516"/>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The therapist provided me with counselling</w:t>
      </w:r>
    </w:p>
    <w:p w14:paraId="1BA029DE" w14:textId="77777777" w:rsidR="002D1D7C" w:rsidRPr="002D1D7C" w:rsidRDefault="002D1D7C" w:rsidP="00140C5B">
      <w:pPr>
        <w:numPr>
          <w:ilvl w:val="0"/>
          <w:numId w:val="62"/>
        </w:numPr>
        <w:ind w:left="1516"/>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The therapist explained the online information to me</w:t>
      </w:r>
    </w:p>
    <w:p w14:paraId="6A72EA89" w14:textId="77777777" w:rsidR="002D1D7C" w:rsidRPr="002D1D7C" w:rsidRDefault="002D1D7C" w:rsidP="00140C5B">
      <w:pPr>
        <w:numPr>
          <w:ilvl w:val="0"/>
          <w:numId w:val="62"/>
        </w:numPr>
        <w:ind w:left="1516"/>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The therapist helped me with the activities</w:t>
      </w:r>
    </w:p>
    <w:p w14:paraId="559C6F26" w14:textId="77777777" w:rsidR="002D1D7C" w:rsidRPr="002D1D7C" w:rsidRDefault="002D1D7C" w:rsidP="00140C5B">
      <w:pPr>
        <w:numPr>
          <w:ilvl w:val="0"/>
          <w:numId w:val="62"/>
        </w:numPr>
        <w:ind w:left="1516"/>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The therapist provided me with other resources</w:t>
      </w:r>
    </w:p>
    <w:p w14:paraId="6D60D56D" w14:textId="77777777" w:rsidR="002D1D7C" w:rsidRPr="002D1D7C" w:rsidRDefault="002D1D7C" w:rsidP="00140C5B">
      <w:pPr>
        <w:numPr>
          <w:ilvl w:val="0"/>
          <w:numId w:val="62"/>
        </w:numPr>
        <w:ind w:left="1516"/>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 xml:space="preserve">Other, please </w:t>
      </w:r>
      <w:proofErr w:type="gramStart"/>
      <w:r w:rsidRPr="002D1D7C">
        <w:rPr>
          <w:rFonts w:asciiTheme="minorHAnsi" w:eastAsia="MS Mincho" w:hAnsiTheme="minorHAnsi" w:cstheme="minorHAnsi"/>
          <w:sz w:val="21"/>
          <w:szCs w:val="21"/>
        </w:rPr>
        <w:t>specify:_</w:t>
      </w:r>
      <w:proofErr w:type="gramEnd"/>
      <w:r w:rsidRPr="002D1D7C">
        <w:rPr>
          <w:rFonts w:asciiTheme="minorHAnsi" w:eastAsia="MS Mincho" w:hAnsiTheme="minorHAnsi" w:cstheme="minorHAnsi"/>
          <w:sz w:val="21"/>
          <w:szCs w:val="21"/>
        </w:rPr>
        <w:t>_______________________</w:t>
      </w:r>
    </w:p>
    <w:p w14:paraId="36E8A185" w14:textId="77777777" w:rsidR="002D1D7C" w:rsidRPr="002D1D7C" w:rsidRDefault="002D1D7C" w:rsidP="002D1D7C">
      <w:pPr>
        <w:ind w:left="1516"/>
        <w:contextualSpacing/>
        <w:rPr>
          <w:rFonts w:asciiTheme="minorHAnsi" w:eastAsia="MS Mincho" w:hAnsiTheme="minorHAnsi" w:cstheme="minorBidi"/>
          <w:sz w:val="21"/>
          <w:szCs w:val="21"/>
        </w:rPr>
      </w:pPr>
    </w:p>
    <w:p w14:paraId="15894CF3" w14:textId="77777777" w:rsidR="002D1D7C" w:rsidRPr="002D1D7C" w:rsidRDefault="002D1D7C" w:rsidP="00140C5B">
      <w:pPr>
        <w:numPr>
          <w:ilvl w:val="0"/>
          <w:numId w:val="42"/>
        </w:numPr>
        <w:ind w:left="1298"/>
        <w:contextualSpacing/>
        <w:rPr>
          <w:rFonts w:asciiTheme="minorHAnsi" w:eastAsia="MS Mincho" w:hAnsiTheme="minorHAnsi" w:cstheme="minorBidi"/>
          <w:b/>
          <w:bCs/>
          <w:sz w:val="21"/>
          <w:szCs w:val="21"/>
        </w:rPr>
      </w:pPr>
      <w:r w:rsidRPr="002D1D7C">
        <w:rPr>
          <w:rFonts w:asciiTheme="minorHAnsi" w:eastAsia="MS Mincho" w:hAnsiTheme="minorHAnsi" w:cstheme="minorBidi"/>
          <w:b/>
          <w:bCs/>
          <w:sz w:val="21"/>
          <w:szCs w:val="21"/>
        </w:rPr>
        <w:t>How many times did you have contact with the therapist?</w:t>
      </w:r>
    </w:p>
    <w:p w14:paraId="4F59D3C1" w14:textId="77777777" w:rsidR="002D1D7C" w:rsidRPr="002D1D7C" w:rsidRDefault="002D1D7C" w:rsidP="00140C5B">
      <w:pPr>
        <w:numPr>
          <w:ilvl w:val="0"/>
          <w:numId w:val="64"/>
        </w:numPr>
        <w:ind w:left="1516"/>
        <w:contextualSpacing/>
        <w:rPr>
          <w:rFonts w:asciiTheme="minorHAnsi" w:eastAsia="MS Mincho" w:hAnsiTheme="minorHAnsi" w:cstheme="minorBidi"/>
          <w:sz w:val="21"/>
          <w:szCs w:val="21"/>
        </w:rPr>
      </w:pPr>
      <w:r w:rsidRPr="002D1D7C">
        <w:rPr>
          <w:rFonts w:asciiTheme="minorHAnsi" w:eastAsia="MS Mincho" w:hAnsiTheme="minorHAnsi" w:cstheme="minorBidi"/>
          <w:sz w:val="21"/>
          <w:szCs w:val="21"/>
        </w:rPr>
        <w:t>Once</w:t>
      </w:r>
    </w:p>
    <w:p w14:paraId="441D65E9" w14:textId="77777777" w:rsidR="002D1D7C" w:rsidRPr="002D1D7C" w:rsidRDefault="002D1D7C" w:rsidP="00140C5B">
      <w:pPr>
        <w:numPr>
          <w:ilvl w:val="0"/>
          <w:numId w:val="64"/>
        </w:numPr>
        <w:ind w:left="1516"/>
        <w:contextualSpacing/>
        <w:rPr>
          <w:rFonts w:asciiTheme="minorHAnsi" w:eastAsia="MS Mincho" w:hAnsiTheme="minorHAnsi" w:cstheme="minorBidi"/>
          <w:sz w:val="21"/>
          <w:szCs w:val="21"/>
        </w:rPr>
      </w:pPr>
      <w:r w:rsidRPr="002D1D7C">
        <w:rPr>
          <w:rFonts w:asciiTheme="minorHAnsi" w:eastAsia="MS Mincho" w:hAnsiTheme="minorHAnsi" w:cstheme="minorBidi"/>
          <w:sz w:val="21"/>
          <w:szCs w:val="21"/>
        </w:rPr>
        <w:t>Twice</w:t>
      </w:r>
    </w:p>
    <w:p w14:paraId="36DB6A78" w14:textId="77777777" w:rsidR="002D1D7C" w:rsidRPr="002D1D7C" w:rsidRDefault="002D1D7C" w:rsidP="00140C5B">
      <w:pPr>
        <w:numPr>
          <w:ilvl w:val="0"/>
          <w:numId w:val="64"/>
        </w:numPr>
        <w:ind w:left="1516"/>
        <w:contextualSpacing/>
        <w:rPr>
          <w:rFonts w:asciiTheme="minorHAnsi" w:eastAsia="MS Mincho" w:hAnsiTheme="minorHAnsi" w:cstheme="minorBidi"/>
          <w:sz w:val="21"/>
          <w:szCs w:val="21"/>
        </w:rPr>
      </w:pPr>
      <w:r w:rsidRPr="002D1D7C">
        <w:rPr>
          <w:rFonts w:asciiTheme="minorHAnsi" w:eastAsia="MS Mincho" w:hAnsiTheme="minorHAnsi" w:cstheme="minorBidi"/>
          <w:sz w:val="21"/>
          <w:szCs w:val="21"/>
        </w:rPr>
        <w:t>Three times</w:t>
      </w:r>
    </w:p>
    <w:p w14:paraId="1A905ABB" w14:textId="77777777" w:rsidR="002D1D7C" w:rsidRPr="002D1D7C" w:rsidRDefault="002D1D7C" w:rsidP="00140C5B">
      <w:pPr>
        <w:numPr>
          <w:ilvl w:val="0"/>
          <w:numId w:val="64"/>
        </w:numPr>
        <w:ind w:left="1516"/>
        <w:contextualSpacing/>
        <w:rPr>
          <w:rFonts w:asciiTheme="minorHAnsi" w:eastAsia="MS Mincho" w:hAnsiTheme="minorHAnsi" w:cstheme="minorBidi"/>
          <w:sz w:val="21"/>
          <w:szCs w:val="21"/>
        </w:rPr>
      </w:pPr>
      <w:r w:rsidRPr="002D1D7C">
        <w:rPr>
          <w:rFonts w:asciiTheme="minorHAnsi" w:eastAsia="MS Mincho" w:hAnsiTheme="minorHAnsi" w:cstheme="minorBidi"/>
          <w:sz w:val="21"/>
          <w:szCs w:val="21"/>
        </w:rPr>
        <w:t>Four times</w:t>
      </w:r>
    </w:p>
    <w:p w14:paraId="2EF5894F" w14:textId="77777777" w:rsidR="002D1D7C" w:rsidRPr="002D1D7C" w:rsidRDefault="002D1D7C" w:rsidP="00140C5B">
      <w:pPr>
        <w:numPr>
          <w:ilvl w:val="0"/>
          <w:numId w:val="64"/>
        </w:numPr>
        <w:ind w:left="1516"/>
        <w:contextualSpacing/>
        <w:rPr>
          <w:rFonts w:asciiTheme="minorHAnsi" w:eastAsia="MS Mincho" w:hAnsiTheme="minorHAnsi" w:cstheme="minorBidi"/>
          <w:sz w:val="21"/>
          <w:szCs w:val="21"/>
        </w:rPr>
      </w:pPr>
      <w:r w:rsidRPr="002D1D7C">
        <w:rPr>
          <w:rFonts w:asciiTheme="minorHAnsi" w:eastAsia="MS Mincho" w:hAnsiTheme="minorHAnsi" w:cstheme="minorBidi"/>
          <w:sz w:val="21"/>
          <w:szCs w:val="21"/>
        </w:rPr>
        <w:t>Five times</w:t>
      </w:r>
    </w:p>
    <w:p w14:paraId="1CA15938" w14:textId="77777777" w:rsidR="002D1D7C" w:rsidRPr="002D1D7C" w:rsidRDefault="002D1D7C" w:rsidP="00140C5B">
      <w:pPr>
        <w:numPr>
          <w:ilvl w:val="0"/>
          <w:numId w:val="64"/>
        </w:numPr>
        <w:ind w:left="1516"/>
        <w:contextualSpacing/>
        <w:rPr>
          <w:rFonts w:asciiTheme="minorHAnsi" w:eastAsia="MS Mincho" w:hAnsiTheme="minorHAnsi" w:cstheme="minorBidi"/>
          <w:sz w:val="21"/>
          <w:szCs w:val="21"/>
        </w:rPr>
      </w:pPr>
      <w:r w:rsidRPr="002D1D7C">
        <w:rPr>
          <w:rFonts w:asciiTheme="minorHAnsi" w:eastAsia="MS Mincho" w:hAnsiTheme="minorHAnsi" w:cstheme="minorBidi"/>
          <w:sz w:val="21"/>
          <w:szCs w:val="21"/>
        </w:rPr>
        <w:t>Six times</w:t>
      </w:r>
    </w:p>
    <w:p w14:paraId="74E871B0" w14:textId="77777777" w:rsidR="002D1D7C" w:rsidRPr="002D1D7C" w:rsidRDefault="002D1D7C" w:rsidP="00140C5B">
      <w:pPr>
        <w:numPr>
          <w:ilvl w:val="0"/>
          <w:numId w:val="64"/>
        </w:numPr>
        <w:ind w:left="1516"/>
        <w:contextualSpacing/>
        <w:rPr>
          <w:rFonts w:asciiTheme="minorHAnsi" w:eastAsia="MS Mincho" w:hAnsiTheme="minorHAnsi" w:cstheme="minorBidi"/>
          <w:sz w:val="21"/>
          <w:szCs w:val="21"/>
        </w:rPr>
      </w:pPr>
      <w:r w:rsidRPr="002D1D7C">
        <w:rPr>
          <w:rFonts w:asciiTheme="minorHAnsi" w:eastAsia="MS Mincho" w:hAnsiTheme="minorHAnsi" w:cstheme="minorBidi"/>
          <w:sz w:val="21"/>
          <w:szCs w:val="21"/>
        </w:rPr>
        <w:t>7-10 times</w:t>
      </w:r>
    </w:p>
    <w:p w14:paraId="145E5D8F" w14:textId="77777777" w:rsidR="002D1D7C" w:rsidRPr="002D1D7C" w:rsidRDefault="002D1D7C" w:rsidP="00140C5B">
      <w:pPr>
        <w:numPr>
          <w:ilvl w:val="0"/>
          <w:numId w:val="64"/>
        </w:numPr>
        <w:ind w:left="1516"/>
        <w:contextualSpacing/>
        <w:rPr>
          <w:rFonts w:asciiTheme="minorHAnsi" w:eastAsia="MS Mincho" w:hAnsiTheme="minorHAnsi" w:cstheme="minorBidi"/>
          <w:sz w:val="21"/>
          <w:szCs w:val="21"/>
        </w:rPr>
      </w:pPr>
      <w:r w:rsidRPr="002D1D7C">
        <w:rPr>
          <w:rFonts w:asciiTheme="minorHAnsi" w:eastAsia="MS Mincho" w:hAnsiTheme="minorHAnsi" w:cstheme="minorBidi"/>
          <w:sz w:val="21"/>
          <w:szCs w:val="21"/>
        </w:rPr>
        <w:t>More than 10 times</w:t>
      </w:r>
    </w:p>
    <w:p w14:paraId="0337EABB" w14:textId="77777777" w:rsidR="002D1D7C" w:rsidRPr="002D1D7C" w:rsidRDefault="002D1D7C" w:rsidP="002D1D7C">
      <w:pPr>
        <w:ind w:left="1516"/>
        <w:contextualSpacing/>
        <w:rPr>
          <w:rFonts w:asciiTheme="minorHAnsi" w:eastAsia="MS Mincho" w:hAnsiTheme="minorHAnsi" w:cstheme="minorBidi"/>
          <w:sz w:val="21"/>
          <w:szCs w:val="21"/>
        </w:rPr>
      </w:pPr>
    </w:p>
    <w:p w14:paraId="1334A8C1" w14:textId="77777777" w:rsidR="002D1D7C" w:rsidRPr="002D1D7C" w:rsidRDefault="002D1D7C" w:rsidP="00140C5B">
      <w:pPr>
        <w:numPr>
          <w:ilvl w:val="0"/>
          <w:numId w:val="42"/>
        </w:numPr>
        <w:ind w:left="1298"/>
        <w:contextualSpacing/>
        <w:rPr>
          <w:rFonts w:asciiTheme="minorHAnsi" w:eastAsia="MS Mincho" w:hAnsiTheme="minorHAnsi" w:cstheme="minorBidi"/>
          <w:b/>
          <w:bCs/>
          <w:sz w:val="21"/>
          <w:szCs w:val="21"/>
        </w:rPr>
      </w:pPr>
      <w:r w:rsidRPr="002D1D7C">
        <w:rPr>
          <w:rFonts w:asciiTheme="minorHAnsi" w:eastAsia="MS Mincho" w:hAnsiTheme="minorHAnsi" w:cstheme="minorBidi"/>
          <w:b/>
          <w:bCs/>
          <w:sz w:val="21"/>
          <w:szCs w:val="21"/>
        </w:rPr>
        <w:t>Were you satisfied with the number of times you received support from a therapist?</w:t>
      </w:r>
    </w:p>
    <w:p w14:paraId="663ABD05" w14:textId="77777777" w:rsidR="002D1D7C" w:rsidRPr="002D1D7C" w:rsidRDefault="002D1D7C" w:rsidP="00140C5B">
      <w:pPr>
        <w:numPr>
          <w:ilvl w:val="0"/>
          <w:numId w:val="51"/>
        </w:numPr>
        <w:ind w:left="1800"/>
        <w:contextualSpacing/>
        <w:rPr>
          <w:rFonts w:asciiTheme="minorHAnsi" w:hAnsiTheme="minorHAnsi" w:cstheme="minorBidi"/>
          <w:sz w:val="21"/>
          <w:szCs w:val="21"/>
          <w:shd w:val="clear" w:color="auto" w:fill="FFFFFF"/>
        </w:rPr>
      </w:pPr>
      <w:r w:rsidRPr="002D1D7C">
        <w:rPr>
          <w:rFonts w:asciiTheme="minorHAnsi" w:hAnsiTheme="minorHAnsi" w:cstheme="minorBidi"/>
          <w:sz w:val="21"/>
          <w:szCs w:val="21"/>
          <w:shd w:val="clear" w:color="auto" w:fill="FFFFFF"/>
        </w:rPr>
        <w:t xml:space="preserve">Yes </w:t>
      </w:r>
    </w:p>
    <w:p w14:paraId="76724F8A" w14:textId="77777777" w:rsidR="002D1D7C" w:rsidRPr="002D1D7C" w:rsidRDefault="002D1D7C" w:rsidP="00140C5B">
      <w:pPr>
        <w:numPr>
          <w:ilvl w:val="0"/>
          <w:numId w:val="51"/>
        </w:numPr>
        <w:ind w:left="1800"/>
        <w:contextualSpacing/>
        <w:rPr>
          <w:rFonts w:asciiTheme="minorHAnsi" w:eastAsia="MS Mincho" w:hAnsiTheme="minorHAnsi" w:cstheme="minorBidi"/>
          <w:b/>
          <w:bCs/>
          <w:sz w:val="21"/>
          <w:szCs w:val="21"/>
          <w:lang w:val="en-US"/>
        </w:rPr>
      </w:pPr>
      <w:r w:rsidRPr="002D1D7C">
        <w:rPr>
          <w:rFonts w:asciiTheme="minorHAnsi" w:hAnsiTheme="minorHAnsi" w:cstheme="minorBidi"/>
          <w:sz w:val="21"/>
          <w:szCs w:val="21"/>
          <w:shd w:val="clear" w:color="auto" w:fill="FFFFFF"/>
        </w:rPr>
        <w:t>No</w:t>
      </w:r>
    </w:p>
    <w:p w14:paraId="4B681020" w14:textId="775257F6" w:rsidR="00C81545" w:rsidRDefault="002D1D7C" w:rsidP="00C170BA">
      <w:pPr>
        <w:ind w:left="2160"/>
        <w:rPr>
          <w:rFonts w:asciiTheme="minorHAnsi" w:eastAsia="MS Mincho" w:hAnsiTheme="minorHAnsi" w:cstheme="minorBidi"/>
          <w:sz w:val="21"/>
          <w:szCs w:val="21"/>
        </w:rPr>
      </w:pPr>
      <w:r w:rsidRPr="002D1D7C">
        <w:rPr>
          <w:rFonts w:asciiTheme="minorHAnsi" w:eastAsia="MS Mincho" w:hAnsiTheme="minorHAnsi" w:cstheme="minorBidi"/>
          <w:sz w:val="21"/>
          <w:szCs w:val="21"/>
        </w:rPr>
        <w:t>If no, how many contacts would you have liked? Please specify___________________</w:t>
      </w:r>
      <w:r w:rsidR="00C81545">
        <w:rPr>
          <w:rFonts w:asciiTheme="minorHAnsi" w:eastAsia="MS Mincho" w:hAnsiTheme="minorHAnsi" w:cstheme="minorBidi"/>
          <w:sz w:val="21"/>
          <w:szCs w:val="21"/>
        </w:rPr>
        <w:br w:type="page"/>
      </w:r>
    </w:p>
    <w:p w14:paraId="2D057C8B" w14:textId="77777777" w:rsidR="002D1D7C" w:rsidRPr="00C170BA" w:rsidRDefault="002D1D7C" w:rsidP="00C170BA">
      <w:pPr>
        <w:ind w:left="2160"/>
        <w:rPr>
          <w:rFonts w:asciiTheme="minorHAnsi" w:eastAsia="MS Mincho" w:hAnsiTheme="minorHAnsi" w:cstheme="minorBidi"/>
          <w:sz w:val="21"/>
          <w:szCs w:val="21"/>
        </w:rPr>
      </w:pPr>
    </w:p>
    <w:p w14:paraId="723F6B7F" w14:textId="77777777" w:rsidR="002D1D7C" w:rsidRPr="002D1D7C" w:rsidRDefault="002D1D7C" w:rsidP="00140C5B">
      <w:pPr>
        <w:numPr>
          <w:ilvl w:val="0"/>
          <w:numId w:val="42"/>
        </w:numPr>
        <w:ind w:left="1298"/>
        <w:contextualSpacing/>
        <w:rPr>
          <w:rFonts w:asciiTheme="minorHAnsi" w:eastAsia="MS Mincho" w:hAnsiTheme="minorHAnsi" w:cstheme="minorBidi"/>
          <w:b/>
          <w:bCs/>
          <w:sz w:val="21"/>
          <w:szCs w:val="21"/>
        </w:rPr>
      </w:pPr>
      <w:r w:rsidRPr="002D1D7C">
        <w:rPr>
          <w:rFonts w:asciiTheme="minorHAnsi" w:eastAsia="MS Mincho" w:hAnsiTheme="minorHAnsi" w:cstheme="minorBidi"/>
          <w:b/>
          <w:bCs/>
          <w:sz w:val="21"/>
          <w:szCs w:val="21"/>
        </w:rPr>
        <w:t>On average, how long was each contact with the therapist?</w:t>
      </w:r>
    </w:p>
    <w:p w14:paraId="060BD91B" w14:textId="77777777" w:rsidR="002D1D7C" w:rsidRPr="002D1D7C" w:rsidRDefault="002D1D7C" w:rsidP="00140C5B">
      <w:pPr>
        <w:numPr>
          <w:ilvl w:val="0"/>
          <w:numId w:val="44"/>
        </w:numPr>
        <w:ind w:left="1876"/>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Less than 15 minutes</w:t>
      </w:r>
    </w:p>
    <w:p w14:paraId="0F949EED" w14:textId="77777777" w:rsidR="002D1D7C" w:rsidRPr="002D1D7C" w:rsidRDefault="002D1D7C" w:rsidP="00140C5B">
      <w:pPr>
        <w:numPr>
          <w:ilvl w:val="0"/>
          <w:numId w:val="44"/>
        </w:numPr>
        <w:ind w:left="1876"/>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15 to 30 minutes</w:t>
      </w:r>
    </w:p>
    <w:p w14:paraId="53A1B3D4" w14:textId="77777777" w:rsidR="002D1D7C" w:rsidRPr="002D1D7C" w:rsidRDefault="002D1D7C" w:rsidP="00140C5B">
      <w:pPr>
        <w:numPr>
          <w:ilvl w:val="0"/>
          <w:numId w:val="44"/>
        </w:numPr>
        <w:ind w:left="1876"/>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30 to 45 minutes</w:t>
      </w:r>
    </w:p>
    <w:p w14:paraId="7D7C9BA9" w14:textId="77777777" w:rsidR="002D1D7C" w:rsidRPr="002D1D7C" w:rsidRDefault="002D1D7C" w:rsidP="00140C5B">
      <w:pPr>
        <w:numPr>
          <w:ilvl w:val="0"/>
          <w:numId w:val="44"/>
        </w:numPr>
        <w:ind w:left="1876"/>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45 to 60 minutes</w:t>
      </w:r>
    </w:p>
    <w:p w14:paraId="306CA5D2" w14:textId="77777777" w:rsidR="002D1D7C" w:rsidRPr="002D1D7C" w:rsidRDefault="002D1D7C" w:rsidP="00140C5B">
      <w:pPr>
        <w:numPr>
          <w:ilvl w:val="0"/>
          <w:numId w:val="44"/>
        </w:numPr>
        <w:ind w:left="1876"/>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Over 60 minutes</w:t>
      </w:r>
    </w:p>
    <w:p w14:paraId="622BB50A" w14:textId="77777777" w:rsidR="002D1D7C" w:rsidRPr="002D1D7C" w:rsidRDefault="002D1D7C" w:rsidP="002D1D7C">
      <w:pPr>
        <w:ind w:left="1876"/>
        <w:contextualSpacing/>
        <w:rPr>
          <w:rFonts w:asciiTheme="minorHAnsi" w:eastAsia="MS Mincho" w:hAnsiTheme="minorHAnsi" w:cstheme="minorHAnsi"/>
          <w:sz w:val="21"/>
          <w:szCs w:val="21"/>
        </w:rPr>
      </w:pPr>
    </w:p>
    <w:p w14:paraId="41CD3D17" w14:textId="77777777" w:rsidR="002D1D7C" w:rsidRPr="002D1D7C" w:rsidRDefault="002D1D7C" w:rsidP="00140C5B">
      <w:pPr>
        <w:numPr>
          <w:ilvl w:val="0"/>
          <w:numId w:val="42"/>
        </w:numPr>
        <w:ind w:left="1298"/>
        <w:contextualSpacing/>
        <w:rPr>
          <w:rFonts w:asciiTheme="minorHAnsi" w:hAnsiTheme="minorHAnsi" w:cstheme="minorHAnsi"/>
          <w:b/>
          <w:noProof/>
          <w:sz w:val="21"/>
          <w:szCs w:val="21"/>
        </w:rPr>
      </w:pPr>
      <w:r w:rsidRPr="002D1D7C">
        <w:rPr>
          <w:rFonts w:asciiTheme="minorHAnsi" w:hAnsiTheme="minorHAnsi" w:cstheme="minorHAnsi"/>
          <w:b/>
          <w:noProof/>
          <w:sz w:val="21"/>
          <w:szCs w:val="21"/>
        </w:rPr>
        <w:t>Thinking about the support you received from the therapist, please select your response to each of the following items.</w:t>
      </w:r>
    </w:p>
    <w:tbl>
      <w:tblPr>
        <w:tblStyle w:val="TableGrid2"/>
        <w:tblW w:w="9291" w:type="dxa"/>
        <w:tblBorders>
          <w:left w:val="none" w:sz="0" w:space="0" w:color="auto"/>
          <w:right w:val="none" w:sz="0" w:space="0" w:color="auto"/>
          <w:insideV w:val="none" w:sz="0" w:space="0" w:color="auto"/>
        </w:tblBorders>
        <w:tblLook w:val="04A0" w:firstRow="1" w:lastRow="0" w:firstColumn="1" w:lastColumn="0" w:noHBand="0" w:noVBand="1"/>
      </w:tblPr>
      <w:tblGrid>
        <w:gridCol w:w="3998"/>
        <w:gridCol w:w="954"/>
        <w:gridCol w:w="1150"/>
        <w:gridCol w:w="1100"/>
        <w:gridCol w:w="1063"/>
        <w:gridCol w:w="1026"/>
      </w:tblGrid>
      <w:tr w:rsidR="002D1D7C" w:rsidRPr="002D1D7C" w14:paraId="37AEDD8E" w14:textId="77777777" w:rsidTr="00BD431E">
        <w:tc>
          <w:tcPr>
            <w:tcW w:w="3998" w:type="dxa"/>
          </w:tcPr>
          <w:p w14:paraId="79AD69E1" w14:textId="77777777" w:rsidR="002D1D7C" w:rsidRPr="002D1D7C" w:rsidRDefault="002D1D7C" w:rsidP="002D1D7C">
            <w:pPr>
              <w:rPr>
                <w:rFonts w:asciiTheme="minorHAnsi" w:hAnsiTheme="minorHAnsi" w:cstheme="minorHAnsi"/>
                <w:sz w:val="21"/>
                <w:szCs w:val="21"/>
                <w:lang w:eastAsia="en-AU"/>
              </w:rPr>
            </w:pPr>
          </w:p>
        </w:tc>
        <w:tc>
          <w:tcPr>
            <w:tcW w:w="954" w:type="dxa"/>
            <w:vAlign w:val="bottom"/>
          </w:tcPr>
          <w:p w14:paraId="0CC3C45E" w14:textId="77777777" w:rsidR="002D1D7C" w:rsidRPr="002D1D7C" w:rsidRDefault="002D1D7C" w:rsidP="002D1D7C">
            <w:pPr>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Strongly disagree</w:t>
            </w:r>
          </w:p>
        </w:tc>
        <w:tc>
          <w:tcPr>
            <w:tcW w:w="1150" w:type="dxa"/>
            <w:vAlign w:val="bottom"/>
          </w:tcPr>
          <w:p w14:paraId="4D5105B7" w14:textId="77777777" w:rsidR="002D1D7C" w:rsidRPr="002D1D7C" w:rsidRDefault="002D1D7C" w:rsidP="002D1D7C">
            <w:pPr>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Somewhat disagree</w:t>
            </w:r>
          </w:p>
        </w:tc>
        <w:tc>
          <w:tcPr>
            <w:tcW w:w="1100" w:type="dxa"/>
            <w:vAlign w:val="bottom"/>
          </w:tcPr>
          <w:p w14:paraId="385526D5" w14:textId="77777777" w:rsidR="002D1D7C" w:rsidRPr="002D1D7C" w:rsidRDefault="002D1D7C" w:rsidP="002D1D7C">
            <w:pPr>
              <w:tabs>
                <w:tab w:val="left" w:pos="1701"/>
              </w:tabs>
              <w:ind w:left="-198" w:right="-196"/>
              <w:jc w:val="center"/>
              <w:rPr>
                <w:rFonts w:asciiTheme="minorHAnsi" w:hAnsiTheme="minorHAnsi" w:cstheme="minorHAnsi"/>
                <w:sz w:val="21"/>
                <w:szCs w:val="21"/>
                <w:lang w:eastAsia="en-US"/>
              </w:rPr>
            </w:pPr>
            <w:r w:rsidRPr="002D1D7C">
              <w:rPr>
                <w:rFonts w:asciiTheme="minorHAnsi" w:hAnsiTheme="minorHAnsi" w:cstheme="minorHAnsi"/>
                <w:sz w:val="21"/>
                <w:szCs w:val="21"/>
                <w:lang w:eastAsia="en-US"/>
              </w:rPr>
              <w:t xml:space="preserve">Neither </w:t>
            </w:r>
          </w:p>
          <w:p w14:paraId="35BF7BB1" w14:textId="77777777" w:rsidR="002D1D7C" w:rsidRPr="002D1D7C" w:rsidRDefault="002D1D7C" w:rsidP="002D1D7C">
            <w:pPr>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agree or disagree</w:t>
            </w:r>
          </w:p>
        </w:tc>
        <w:tc>
          <w:tcPr>
            <w:tcW w:w="1063" w:type="dxa"/>
            <w:vAlign w:val="bottom"/>
          </w:tcPr>
          <w:p w14:paraId="0DF905A1" w14:textId="77777777" w:rsidR="002D1D7C" w:rsidRPr="002D1D7C" w:rsidRDefault="002D1D7C" w:rsidP="002D1D7C">
            <w:pPr>
              <w:tabs>
                <w:tab w:val="left" w:pos="1701"/>
              </w:tabs>
              <w:ind w:left="-164" w:right="-196"/>
              <w:jc w:val="center"/>
              <w:rPr>
                <w:rFonts w:asciiTheme="minorHAnsi" w:hAnsiTheme="minorHAnsi" w:cstheme="minorHAnsi"/>
                <w:sz w:val="21"/>
                <w:szCs w:val="21"/>
                <w:lang w:eastAsia="en-US"/>
              </w:rPr>
            </w:pPr>
            <w:r w:rsidRPr="002D1D7C">
              <w:rPr>
                <w:rFonts w:asciiTheme="minorHAnsi" w:hAnsiTheme="minorHAnsi" w:cstheme="minorHAnsi"/>
                <w:sz w:val="21"/>
                <w:szCs w:val="21"/>
                <w:lang w:eastAsia="en-US"/>
              </w:rPr>
              <w:t>Somewhat</w:t>
            </w:r>
          </w:p>
          <w:p w14:paraId="25599A2D" w14:textId="77777777" w:rsidR="002D1D7C" w:rsidRPr="002D1D7C" w:rsidRDefault="002D1D7C" w:rsidP="002D1D7C">
            <w:pPr>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 xml:space="preserve"> agree</w:t>
            </w:r>
          </w:p>
        </w:tc>
        <w:tc>
          <w:tcPr>
            <w:tcW w:w="1026" w:type="dxa"/>
            <w:vAlign w:val="bottom"/>
          </w:tcPr>
          <w:p w14:paraId="797C7C06" w14:textId="77777777" w:rsidR="002D1D7C" w:rsidRPr="002D1D7C" w:rsidRDefault="002D1D7C" w:rsidP="002D1D7C">
            <w:pPr>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Strongly agree</w:t>
            </w:r>
          </w:p>
        </w:tc>
      </w:tr>
      <w:tr w:rsidR="002D1D7C" w:rsidRPr="002D1D7C" w14:paraId="432824EC" w14:textId="77777777" w:rsidTr="00BD431E">
        <w:trPr>
          <w:trHeight w:val="117"/>
        </w:trPr>
        <w:tc>
          <w:tcPr>
            <w:tcW w:w="3998" w:type="dxa"/>
          </w:tcPr>
          <w:p w14:paraId="4A764F4D" w14:textId="77777777" w:rsidR="002D1D7C" w:rsidRPr="002D1D7C" w:rsidRDefault="002D1D7C" w:rsidP="002D1D7C">
            <w:pPr>
              <w:rPr>
                <w:rFonts w:asciiTheme="minorHAnsi" w:hAnsiTheme="minorHAnsi" w:cstheme="minorHAnsi"/>
                <w:sz w:val="21"/>
                <w:szCs w:val="21"/>
                <w:lang w:eastAsia="en-AU"/>
              </w:rPr>
            </w:pPr>
            <w:r w:rsidRPr="002D1D7C">
              <w:rPr>
                <w:rFonts w:asciiTheme="minorHAnsi" w:hAnsiTheme="minorHAnsi" w:cstheme="minorHAnsi"/>
                <w:sz w:val="21"/>
                <w:szCs w:val="21"/>
                <w:lang w:eastAsia="en-AU"/>
              </w:rPr>
              <w:t>Support from therapist</w:t>
            </w:r>
          </w:p>
        </w:tc>
        <w:tc>
          <w:tcPr>
            <w:tcW w:w="954" w:type="dxa"/>
          </w:tcPr>
          <w:p w14:paraId="37CD1816" w14:textId="77777777" w:rsidR="002D1D7C" w:rsidRPr="002D1D7C" w:rsidRDefault="002D1D7C" w:rsidP="002D1D7C">
            <w:pPr>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1</w:t>
            </w:r>
          </w:p>
        </w:tc>
        <w:tc>
          <w:tcPr>
            <w:tcW w:w="1150" w:type="dxa"/>
          </w:tcPr>
          <w:p w14:paraId="5221D909" w14:textId="77777777" w:rsidR="002D1D7C" w:rsidRPr="002D1D7C" w:rsidRDefault="002D1D7C" w:rsidP="002D1D7C">
            <w:pPr>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2</w:t>
            </w:r>
          </w:p>
        </w:tc>
        <w:tc>
          <w:tcPr>
            <w:tcW w:w="1100" w:type="dxa"/>
          </w:tcPr>
          <w:p w14:paraId="77900E53" w14:textId="77777777" w:rsidR="002D1D7C" w:rsidRPr="002D1D7C" w:rsidRDefault="002D1D7C" w:rsidP="002D1D7C">
            <w:pPr>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3</w:t>
            </w:r>
          </w:p>
        </w:tc>
        <w:tc>
          <w:tcPr>
            <w:tcW w:w="1063" w:type="dxa"/>
          </w:tcPr>
          <w:p w14:paraId="6C82811B" w14:textId="77777777" w:rsidR="002D1D7C" w:rsidRPr="002D1D7C" w:rsidRDefault="002D1D7C" w:rsidP="002D1D7C">
            <w:pPr>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4</w:t>
            </w:r>
          </w:p>
        </w:tc>
        <w:tc>
          <w:tcPr>
            <w:tcW w:w="1026" w:type="dxa"/>
          </w:tcPr>
          <w:p w14:paraId="659FEBDB" w14:textId="77777777" w:rsidR="002D1D7C" w:rsidRPr="002D1D7C" w:rsidRDefault="002D1D7C" w:rsidP="002D1D7C">
            <w:pPr>
              <w:jc w:val="center"/>
              <w:rPr>
                <w:rFonts w:asciiTheme="minorHAnsi" w:hAnsiTheme="minorHAnsi" w:cstheme="minorHAnsi"/>
                <w:sz w:val="21"/>
                <w:szCs w:val="21"/>
                <w:lang w:eastAsia="en-AU"/>
              </w:rPr>
            </w:pPr>
            <w:r w:rsidRPr="002D1D7C">
              <w:rPr>
                <w:rFonts w:asciiTheme="minorHAnsi" w:hAnsiTheme="minorHAnsi" w:cstheme="minorHAnsi"/>
                <w:sz w:val="21"/>
                <w:szCs w:val="21"/>
                <w:lang w:eastAsia="en-AU"/>
              </w:rPr>
              <w:t>5</w:t>
            </w:r>
          </w:p>
        </w:tc>
      </w:tr>
      <w:tr w:rsidR="002D1D7C" w:rsidRPr="002D1D7C" w14:paraId="12BC77EC" w14:textId="77777777" w:rsidTr="00BD431E">
        <w:trPr>
          <w:trHeight w:val="287"/>
        </w:trPr>
        <w:tc>
          <w:tcPr>
            <w:tcW w:w="3998" w:type="dxa"/>
          </w:tcPr>
          <w:p w14:paraId="761D4EF1" w14:textId="77777777" w:rsidR="002D1D7C" w:rsidRPr="002D1D7C" w:rsidRDefault="002D1D7C" w:rsidP="00140C5B">
            <w:pPr>
              <w:numPr>
                <w:ilvl w:val="0"/>
                <w:numId w:val="61"/>
              </w:numPr>
              <w:autoSpaceDE w:val="0"/>
              <w:autoSpaceDN w:val="0"/>
              <w:adjustRightInd w:val="0"/>
              <w:rPr>
                <w:rFonts w:asciiTheme="minorHAnsi" w:hAnsiTheme="minorHAnsi" w:cstheme="minorHAnsi"/>
                <w:color w:val="000000"/>
                <w:sz w:val="21"/>
                <w:szCs w:val="21"/>
                <w:lang w:val="en-US" w:eastAsia="en-US"/>
              </w:rPr>
            </w:pPr>
            <w:r w:rsidRPr="002D1D7C">
              <w:rPr>
                <w:rFonts w:asciiTheme="minorHAnsi" w:hAnsiTheme="minorHAnsi" w:cstheme="minorHAnsi"/>
                <w:color w:val="000000"/>
                <w:sz w:val="21"/>
                <w:szCs w:val="21"/>
                <w:lang w:val="en-US" w:eastAsia="en-US"/>
              </w:rPr>
              <w:t>was helpful</w:t>
            </w:r>
          </w:p>
        </w:tc>
        <w:tc>
          <w:tcPr>
            <w:tcW w:w="954" w:type="dxa"/>
          </w:tcPr>
          <w:p w14:paraId="5D6A7241" w14:textId="77777777" w:rsidR="002D1D7C" w:rsidRPr="002D1D7C" w:rsidRDefault="002D1D7C" w:rsidP="002D1D7C">
            <w:pPr>
              <w:jc w:val="center"/>
              <w:rPr>
                <w:rFonts w:asciiTheme="minorHAnsi" w:hAnsiTheme="minorHAnsi" w:cstheme="minorHAnsi"/>
                <w:sz w:val="21"/>
                <w:szCs w:val="21"/>
                <w:lang w:eastAsia="en-AU"/>
              </w:rPr>
            </w:pPr>
            <w:r w:rsidRPr="002D1D7C">
              <w:rPr>
                <w:rFonts w:asciiTheme="minorHAnsi" w:eastAsia="Wingdings" w:hAnsiTheme="minorHAnsi" w:cstheme="minorHAnsi"/>
                <w:sz w:val="21"/>
                <w:szCs w:val="21"/>
                <w:lang w:eastAsia="en-AU"/>
              </w:rPr>
              <w:t>Q</w:t>
            </w:r>
          </w:p>
        </w:tc>
        <w:tc>
          <w:tcPr>
            <w:tcW w:w="1150" w:type="dxa"/>
          </w:tcPr>
          <w:p w14:paraId="57AE0772" w14:textId="77777777" w:rsidR="002D1D7C" w:rsidRPr="002D1D7C" w:rsidRDefault="002D1D7C" w:rsidP="002D1D7C">
            <w:pPr>
              <w:jc w:val="center"/>
              <w:rPr>
                <w:rFonts w:asciiTheme="minorHAnsi" w:hAnsiTheme="minorHAnsi" w:cstheme="minorHAnsi"/>
                <w:sz w:val="21"/>
                <w:szCs w:val="21"/>
                <w:lang w:eastAsia="en-AU"/>
              </w:rPr>
            </w:pPr>
            <w:r w:rsidRPr="002D1D7C">
              <w:rPr>
                <w:rFonts w:asciiTheme="minorHAnsi" w:eastAsia="Wingdings" w:hAnsiTheme="minorHAnsi" w:cstheme="minorHAnsi"/>
                <w:sz w:val="21"/>
                <w:szCs w:val="21"/>
                <w:lang w:eastAsia="en-AU"/>
              </w:rPr>
              <w:t>q</w:t>
            </w:r>
          </w:p>
        </w:tc>
        <w:tc>
          <w:tcPr>
            <w:tcW w:w="1100" w:type="dxa"/>
          </w:tcPr>
          <w:p w14:paraId="4A608677" w14:textId="77777777" w:rsidR="002D1D7C" w:rsidRPr="002D1D7C" w:rsidRDefault="002D1D7C" w:rsidP="002D1D7C">
            <w:pPr>
              <w:jc w:val="center"/>
              <w:rPr>
                <w:rFonts w:asciiTheme="minorHAnsi" w:hAnsiTheme="minorHAnsi" w:cstheme="minorHAnsi"/>
                <w:sz w:val="21"/>
                <w:szCs w:val="21"/>
                <w:lang w:eastAsia="en-AU"/>
              </w:rPr>
            </w:pPr>
            <w:r w:rsidRPr="002D1D7C">
              <w:rPr>
                <w:rFonts w:asciiTheme="minorHAnsi" w:eastAsia="Wingdings" w:hAnsiTheme="minorHAnsi" w:cstheme="minorHAnsi"/>
                <w:sz w:val="21"/>
                <w:szCs w:val="21"/>
                <w:lang w:eastAsia="en-AU"/>
              </w:rPr>
              <w:t>q</w:t>
            </w:r>
          </w:p>
        </w:tc>
        <w:tc>
          <w:tcPr>
            <w:tcW w:w="1063" w:type="dxa"/>
          </w:tcPr>
          <w:p w14:paraId="74136C34" w14:textId="77777777" w:rsidR="002D1D7C" w:rsidRPr="002D1D7C" w:rsidRDefault="002D1D7C" w:rsidP="002D1D7C">
            <w:pPr>
              <w:jc w:val="center"/>
              <w:rPr>
                <w:rFonts w:asciiTheme="minorHAnsi" w:hAnsiTheme="minorHAnsi" w:cstheme="minorHAnsi"/>
                <w:sz w:val="21"/>
                <w:szCs w:val="21"/>
                <w:lang w:eastAsia="en-AU"/>
              </w:rPr>
            </w:pPr>
            <w:r w:rsidRPr="002D1D7C">
              <w:rPr>
                <w:rFonts w:asciiTheme="minorHAnsi" w:eastAsia="Wingdings" w:hAnsiTheme="minorHAnsi" w:cstheme="minorHAnsi"/>
                <w:sz w:val="21"/>
                <w:szCs w:val="21"/>
                <w:lang w:eastAsia="en-AU"/>
              </w:rPr>
              <w:t>q</w:t>
            </w:r>
          </w:p>
        </w:tc>
        <w:tc>
          <w:tcPr>
            <w:tcW w:w="1026" w:type="dxa"/>
          </w:tcPr>
          <w:p w14:paraId="282AF317" w14:textId="77777777" w:rsidR="002D1D7C" w:rsidRPr="002D1D7C" w:rsidRDefault="002D1D7C" w:rsidP="002D1D7C">
            <w:pPr>
              <w:jc w:val="center"/>
              <w:rPr>
                <w:rFonts w:asciiTheme="minorHAnsi" w:hAnsiTheme="minorHAnsi" w:cstheme="minorHAnsi"/>
                <w:sz w:val="21"/>
                <w:szCs w:val="21"/>
                <w:lang w:eastAsia="en-AU"/>
              </w:rPr>
            </w:pPr>
            <w:r w:rsidRPr="002D1D7C">
              <w:rPr>
                <w:rFonts w:asciiTheme="minorHAnsi" w:eastAsia="Wingdings" w:hAnsiTheme="minorHAnsi" w:cstheme="minorHAnsi"/>
                <w:sz w:val="21"/>
                <w:szCs w:val="21"/>
                <w:lang w:eastAsia="en-AU"/>
              </w:rPr>
              <w:t>q</w:t>
            </w:r>
          </w:p>
        </w:tc>
      </w:tr>
      <w:tr w:rsidR="002D1D7C" w:rsidRPr="002D1D7C" w14:paraId="77440AC1" w14:textId="77777777" w:rsidTr="00BD431E">
        <w:trPr>
          <w:trHeight w:val="237"/>
        </w:trPr>
        <w:tc>
          <w:tcPr>
            <w:tcW w:w="3998" w:type="dxa"/>
          </w:tcPr>
          <w:p w14:paraId="635165E9" w14:textId="77777777" w:rsidR="002D1D7C" w:rsidRPr="002D1D7C" w:rsidRDefault="002D1D7C" w:rsidP="00140C5B">
            <w:pPr>
              <w:numPr>
                <w:ilvl w:val="0"/>
                <w:numId w:val="61"/>
              </w:numPr>
              <w:autoSpaceDE w:val="0"/>
              <w:autoSpaceDN w:val="0"/>
              <w:adjustRightInd w:val="0"/>
              <w:rPr>
                <w:rFonts w:asciiTheme="minorHAnsi" w:hAnsiTheme="minorHAnsi" w:cstheme="minorHAnsi"/>
                <w:color w:val="000000"/>
                <w:sz w:val="21"/>
                <w:szCs w:val="21"/>
                <w:lang w:val="en-US" w:eastAsia="en-US"/>
              </w:rPr>
            </w:pPr>
            <w:r w:rsidRPr="002D1D7C">
              <w:rPr>
                <w:rFonts w:asciiTheme="minorHAnsi" w:hAnsiTheme="minorHAnsi" w:cstheme="minorHAnsi"/>
                <w:color w:val="000000"/>
                <w:sz w:val="21"/>
                <w:szCs w:val="21"/>
                <w:lang w:val="en-US" w:eastAsia="en-US"/>
              </w:rPr>
              <w:t>met my needs</w:t>
            </w:r>
          </w:p>
        </w:tc>
        <w:tc>
          <w:tcPr>
            <w:tcW w:w="954" w:type="dxa"/>
          </w:tcPr>
          <w:p w14:paraId="44BF78EE" w14:textId="77777777" w:rsidR="002D1D7C" w:rsidRPr="002D1D7C" w:rsidRDefault="002D1D7C" w:rsidP="002D1D7C">
            <w:pPr>
              <w:jc w:val="center"/>
              <w:rPr>
                <w:rFonts w:asciiTheme="minorHAnsi" w:hAnsiTheme="minorHAnsi" w:cstheme="minorHAnsi"/>
                <w:sz w:val="21"/>
                <w:szCs w:val="21"/>
                <w:u w:val="single"/>
                <w:lang w:eastAsia="en-AU"/>
              </w:rPr>
            </w:pPr>
            <w:r w:rsidRPr="002D1D7C">
              <w:rPr>
                <w:rFonts w:asciiTheme="minorHAnsi" w:eastAsia="Wingdings" w:hAnsiTheme="minorHAnsi" w:cstheme="minorHAnsi"/>
                <w:sz w:val="21"/>
                <w:szCs w:val="21"/>
                <w:lang w:eastAsia="en-AU"/>
              </w:rPr>
              <w:t>Q</w:t>
            </w:r>
          </w:p>
        </w:tc>
        <w:tc>
          <w:tcPr>
            <w:tcW w:w="1150" w:type="dxa"/>
          </w:tcPr>
          <w:p w14:paraId="008F21C6" w14:textId="77777777" w:rsidR="002D1D7C" w:rsidRPr="002D1D7C" w:rsidRDefault="002D1D7C" w:rsidP="002D1D7C">
            <w:pPr>
              <w:jc w:val="center"/>
              <w:rPr>
                <w:rFonts w:asciiTheme="minorHAnsi" w:hAnsiTheme="minorHAnsi" w:cstheme="minorHAnsi"/>
                <w:sz w:val="21"/>
                <w:szCs w:val="21"/>
                <w:u w:val="single"/>
                <w:lang w:eastAsia="en-AU"/>
              </w:rPr>
            </w:pPr>
            <w:r w:rsidRPr="002D1D7C">
              <w:rPr>
                <w:rFonts w:asciiTheme="minorHAnsi" w:eastAsia="Wingdings" w:hAnsiTheme="minorHAnsi" w:cstheme="minorHAnsi"/>
                <w:sz w:val="21"/>
                <w:szCs w:val="21"/>
                <w:lang w:eastAsia="en-AU"/>
              </w:rPr>
              <w:t>q</w:t>
            </w:r>
          </w:p>
        </w:tc>
        <w:tc>
          <w:tcPr>
            <w:tcW w:w="1100" w:type="dxa"/>
          </w:tcPr>
          <w:p w14:paraId="0E0F5E35" w14:textId="77777777" w:rsidR="002D1D7C" w:rsidRPr="002D1D7C" w:rsidRDefault="002D1D7C" w:rsidP="002D1D7C">
            <w:pPr>
              <w:jc w:val="center"/>
              <w:rPr>
                <w:rFonts w:asciiTheme="minorHAnsi" w:hAnsiTheme="minorHAnsi" w:cstheme="minorHAnsi"/>
                <w:sz w:val="21"/>
                <w:szCs w:val="21"/>
                <w:u w:val="single"/>
                <w:lang w:eastAsia="en-AU"/>
              </w:rPr>
            </w:pPr>
            <w:r w:rsidRPr="002D1D7C">
              <w:rPr>
                <w:rFonts w:asciiTheme="minorHAnsi" w:eastAsia="Wingdings" w:hAnsiTheme="minorHAnsi" w:cstheme="minorHAnsi"/>
                <w:sz w:val="21"/>
                <w:szCs w:val="21"/>
                <w:lang w:eastAsia="en-AU"/>
              </w:rPr>
              <w:t>q</w:t>
            </w:r>
          </w:p>
        </w:tc>
        <w:tc>
          <w:tcPr>
            <w:tcW w:w="1063" w:type="dxa"/>
          </w:tcPr>
          <w:p w14:paraId="7E9DD059" w14:textId="77777777" w:rsidR="002D1D7C" w:rsidRPr="002D1D7C" w:rsidRDefault="002D1D7C" w:rsidP="002D1D7C">
            <w:pPr>
              <w:jc w:val="center"/>
              <w:rPr>
                <w:rFonts w:asciiTheme="minorHAnsi" w:hAnsiTheme="minorHAnsi" w:cstheme="minorHAnsi"/>
                <w:sz w:val="21"/>
                <w:szCs w:val="21"/>
                <w:u w:val="single"/>
                <w:lang w:eastAsia="en-AU"/>
              </w:rPr>
            </w:pPr>
            <w:r w:rsidRPr="002D1D7C">
              <w:rPr>
                <w:rFonts w:asciiTheme="minorHAnsi" w:eastAsia="Wingdings" w:hAnsiTheme="minorHAnsi" w:cstheme="minorHAnsi"/>
                <w:sz w:val="21"/>
                <w:szCs w:val="21"/>
                <w:lang w:eastAsia="en-AU"/>
              </w:rPr>
              <w:t>q</w:t>
            </w:r>
          </w:p>
        </w:tc>
        <w:tc>
          <w:tcPr>
            <w:tcW w:w="1026" w:type="dxa"/>
          </w:tcPr>
          <w:p w14:paraId="074EDB69" w14:textId="77777777" w:rsidR="002D1D7C" w:rsidRPr="002D1D7C" w:rsidRDefault="002D1D7C" w:rsidP="002D1D7C">
            <w:pPr>
              <w:jc w:val="center"/>
              <w:rPr>
                <w:rFonts w:asciiTheme="minorHAnsi" w:hAnsiTheme="minorHAnsi" w:cstheme="minorHAnsi"/>
                <w:sz w:val="21"/>
                <w:szCs w:val="21"/>
                <w:u w:val="single"/>
                <w:lang w:eastAsia="en-AU"/>
              </w:rPr>
            </w:pPr>
            <w:r w:rsidRPr="002D1D7C">
              <w:rPr>
                <w:rFonts w:asciiTheme="minorHAnsi" w:eastAsia="Wingdings" w:hAnsiTheme="minorHAnsi" w:cstheme="minorHAnsi"/>
                <w:sz w:val="21"/>
                <w:szCs w:val="21"/>
                <w:lang w:eastAsia="en-AU"/>
              </w:rPr>
              <w:t>q</w:t>
            </w:r>
          </w:p>
        </w:tc>
      </w:tr>
      <w:tr w:rsidR="002D1D7C" w:rsidRPr="002D1D7C" w14:paraId="64828F11" w14:textId="77777777" w:rsidTr="00BD431E">
        <w:tc>
          <w:tcPr>
            <w:tcW w:w="3998" w:type="dxa"/>
          </w:tcPr>
          <w:p w14:paraId="085D967D" w14:textId="77777777" w:rsidR="002D1D7C" w:rsidRPr="002D1D7C" w:rsidRDefault="002D1D7C" w:rsidP="00140C5B">
            <w:pPr>
              <w:numPr>
                <w:ilvl w:val="0"/>
                <w:numId w:val="61"/>
              </w:numPr>
              <w:contextualSpacing/>
              <w:rPr>
                <w:rFonts w:asciiTheme="minorHAnsi" w:hAnsiTheme="minorHAnsi" w:cstheme="minorHAnsi"/>
                <w:sz w:val="21"/>
                <w:szCs w:val="21"/>
                <w:lang w:eastAsia="en-AU"/>
              </w:rPr>
            </w:pPr>
            <w:r w:rsidRPr="002D1D7C">
              <w:rPr>
                <w:rFonts w:asciiTheme="minorHAnsi" w:hAnsiTheme="minorHAnsi" w:cstheme="minorHAnsi"/>
                <w:sz w:val="21"/>
                <w:szCs w:val="21"/>
                <w:lang w:eastAsia="en-AU"/>
              </w:rPr>
              <w:t>taught me new strategies</w:t>
            </w:r>
          </w:p>
        </w:tc>
        <w:tc>
          <w:tcPr>
            <w:tcW w:w="954" w:type="dxa"/>
          </w:tcPr>
          <w:p w14:paraId="0962DD01" w14:textId="77777777" w:rsidR="002D1D7C" w:rsidRPr="002D1D7C" w:rsidRDefault="002D1D7C" w:rsidP="002D1D7C">
            <w:pPr>
              <w:jc w:val="center"/>
              <w:rPr>
                <w:rFonts w:asciiTheme="minorHAnsi" w:hAnsiTheme="minorHAnsi" w:cstheme="minorHAnsi"/>
                <w:sz w:val="21"/>
                <w:szCs w:val="21"/>
                <w:u w:val="single"/>
                <w:lang w:eastAsia="en-AU"/>
              </w:rPr>
            </w:pPr>
            <w:r w:rsidRPr="002D1D7C">
              <w:rPr>
                <w:rFonts w:asciiTheme="minorHAnsi" w:eastAsia="Wingdings" w:hAnsiTheme="minorHAnsi" w:cstheme="minorHAnsi"/>
                <w:sz w:val="21"/>
                <w:szCs w:val="21"/>
                <w:lang w:eastAsia="en-AU"/>
              </w:rPr>
              <w:t>Q</w:t>
            </w:r>
          </w:p>
        </w:tc>
        <w:tc>
          <w:tcPr>
            <w:tcW w:w="1150" w:type="dxa"/>
          </w:tcPr>
          <w:p w14:paraId="30C52D8E" w14:textId="77777777" w:rsidR="002D1D7C" w:rsidRPr="002D1D7C" w:rsidRDefault="002D1D7C" w:rsidP="002D1D7C">
            <w:pPr>
              <w:jc w:val="center"/>
              <w:rPr>
                <w:rFonts w:asciiTheme="minorHAnsi" w:hAnsiTheme="minorHAnsi" w:cstheme="minorHAnsi"/>
                <w:sz w:val="21"/>
                <w:szCs w:val="21"/>
                <w:u w:val="single"/>
                <w:lang w:eastAsia="en-AU"/>
              </w:rPr>
            </w:pPr>
            <w:r w:rsidRPr="002D1D7C">
              <w:rPr>
                <w:rFonts w:asciiTheme="minorHAnsi" w:eastAsia="Wingdings" w:hAnsiTheme="minorHAnsi" w:cstheme="minorHAnsi"/>
                <w:sz w:val="21"/>
                <w:szCs w:val="21"/>
                <w:lang w:eastAsia="en-AU"/>
              </w:rPr>
              <w:t>q</w:t>
            </w:r>
          </w:p>
        </w:tc>
        <w:tc>
          <w:tcPr>
            <w:tcW w:w="1100" w:type="dxa"/>
          </w:tcPr>
          <w:p w14:paraId="17717149" w14:textId="77777777" w:rsidR="002D1D7C" w:rsidRPr="002D1D7C" w:rsidRDefault="002D1D7C" w:rsidP="002D1D7C">
            <w:pPr>
              <w:jc w:val="center"/>
              <w:rPr>
                <w:rFonts w:asciiTheme="minorHAnsi" w:hAnsiTheme="minorHAnsi" w:cstheme="minorHAnsi"/>
                <w:sz w:val="21"/>
                <w:szCs w:val="21"/>
                <w:u w:val="single"/>
                <w:lang w:eastAsia="en-AU"/>
              </w:rPr>
            </w:pPr>
            <w:r w:rsidRPr="002D1D7C">
              <w:rPr>
                <w:rFonts w:asciiTheme="minorHAnsi" w:eastAsia="Wingdings" w:hAnsiTheme="minorHAnsi" w:cstheme="minorHAnsi"/>
                <w:sz w:val="21"/>
                <w:szCs w:val="21"/>
                <w:lang w:eastAsia="en-AU"/>
              </w:rPr>
              <w:t>q</w:t>
            </w:r>
          </w:p>
        </w:tc>
        <w:tc>
          <w:tcPr>
            <w:tcW w:w="1063" w:type="dxa"/>
          </w:tcPr>
          <w:p w14:paraId="7613C90B" w14:textId="77777777" w:rsidR="002D1D7C" w:rsidRPr="002D1D7C" w:rsidRDefault="002D1D7C" w:rsidP="002D1D7C">
            <w:pPr>
              <w:jc w:val="center"/>
              <w:rPr>
                <w:rFonts w:asciiTheme="minorHAnsi" w:hAnsiTheme="minorHAnsi" w:cstheme="minorHAnsi"/>
                <w:sz w:val="21"/>
                <w:szCs w:val="21"/>
                <w:u w:val="single"/>
                <w:lang w:eastAsia="en-AU"/>
              </w:rPr>
            </w:pPr>
            <w:r w:rsidRPr="002D1D7C">
              <w:rPr>
                <w:rFonts w:asciiTheme="minorHAnsi" w:eastAsia="Wingdings" w:hAnsiTheme="minorHAnsi" w:cstheme="minorHAnsi"/>
                <w:sz w:val="21"/>
                <w:szCs w:val="21"/>
                <w:lang w:eastAsia="en-AU"/>
              </w:rPr>
              <w:t>q</w:t>
            </w:r>
          </w:p>
        </w:tc>
        <w:tc>
          <w:tcPr>
            <w:tcW w:w="1026" w:type="dxa"/>
          </w:tcPr>
          <w:p w14:paraId="7014AECB" w14:textId="77777777" w:rsidR="002D1D7C" w:rsidRPr="002D1D7C" w:rsidRDefault="002D1D7C" w:rsidP="002D1D7C">
            <w:pPr>
              <w:jc w:val="center"/>
              <w:rPr>
                <w:rFonts w:asciiTheme="minorHAnsi" w:hAnsiTheme="minorHAnsi" w:cstheme="minorHAnsi"/>
                <w:sz w:val="21"/>
                <w:szCs w:val="21"/>
                <w:u w:val="single"/>
                <w:lang w:eastAsia="en-AU"/>
              </w:rPr>
            </w:pPr>
            <w:r w:rsidRPr="002D1D7C">
              <w:rPr>
                <w:rFonts w:asciiTheme="minorHAnsi" w:eastAsia="Wingdings" w:hAnsiTheme="minorHAnsi" w:cstheme="minorHAnsi"/>
                <w:sz w:val="21"/>
                <w:szCs w:val="21"/>
                <w:lang w:eastAsia="en-AU"/>
              </w:rPr>
              <w:t>q</w:t>
            </w:r>
          </w:p>
        </w:tc>
      </w:tr>
      <w:tr w:rsidR="002D1D7C" w:rsidRPr="002D1D7C" w14:paraId="7209A99B" w14:textId="77777777" w:rsidTr="00BD431E">
        <w:tc>
          <w:tcPr>
            <w:tcW w:w="3998" w:type="dxa"/>
          </w:tcPr>
          <w:p w14:paraId="7FB7599C" w14:textId="77777777" w:rsidR="002D1D7C" w:rsidRPr="002D1D7C" w:rsidRDefault="002D1D7C" w:rsidP="00140C5B">
            <w:pPr>
              <w:numPr>
                <w:ilvl w:val="0"/>
                <w:numId w:val="61"/>
              </w:numPr>
              <w:contextualSpacing/>
              <w:rPr>
                <w:rFonts w:asciiTheme="minorHAnsi" w:hAnsiTheme="minorHAnsi" w:cstheme="minorHAnsi"/>
                <w:sz w:val="21"/>
                <w:szCs w:val="21"/>
                <w:lang w:eastAsia="en-AU"/>
              </w:rPr>
            </w:pPr>
            <w:r w:rsidRPr="002D1D7C">
              <w:rPr>
                <w:rFonts w:asciiTheme="minorHAnsi" w:hAnsiTheme="minorHAnsi" w:cstheme="minorHAnsi"/>
                <w:sz w:val="21"/>
                <w:szCs w:val="21"/>
                <w:lang w:eastAsia="en-AU"/>
              </w:rPr>
              <w:t>motivated me to complete the program</w:t>
            </w:r>
          </w:p>
        </w:tc>
        <w:tc>
          <w:tcPr>
            <w:tcW w:w="954" w:type="dxa"/>
          </w:tcPr>
          <w:p w14:paraId="37F5BF17" w14:textId="77777777" w:rsidR="002D1D7C" w:rsidRPr="002D1D7C" w:rsidRDefault="002D1D7C" w:rsidP="002D1D7C">
            <w:pPr>
              <w:jc w:val="center"/>
              <w:rPr>
                <w:rFonts w:asciiTheme="minorHAnsi" w:hAnsiTheme="minorHAnsi" w:cstheme="minorHAnsi"/>
                <w:sz w:val="21"/>
                <w:szCs w:val="21"/>
                <w:u w:val="single"/>
                <w:lang w:eastAsia="en-AU"/>
              </w:rPr>
            </w:pPr>
            <w:r w:rsidRPr="002D1D7C">
              <w:rPr>
                <w:rFonts w:asciiTheme="minorHAnsi" w:eastAsia="Wingdings" w:hAnsiTheme="minorHAnsi" w:cstheme="minorHAnsi"/>
                <w:sz w:val="21"/>
                <w:szCs w:val="21"/>
                <w:lang w:eastAsia="en-AU"/>
              </w:rPr>
              <w:t>Q</w:t>
            </w:r>
          </w:p>
        </w:tc>
        <w:tc>
          <w:tcPr>
            <w:tcW w:w="1150" w:type="dxa"/>
          </w:tcPr>
          <w:p w14:paraId="69B0B44A" w14:textId="77777777" w:rsidR="002D1D7C" w:rsidRPr="002D1D7C" w:rsidRDefault="002D1D7C" w:rsidP="002D1D7C">
            <w:pPr>
              <w:jc w:val="center"/>
              <w:rPr>
                <w:rFonts w:asciiTheme="minorHAnsi" w:hAnsiTheme="minorHAnsi" w:cstheme="minorHAnsi"/>
                <w:sz w:val="21"/>
                <w:szCs w:val="21"/>
                <w:u w:val="single"/>
                <w:lang w:eastAsia="en-AU"/>
              </w:rPr>
            </w:pPr>
            <w:r w:rsidRPr="002D1D7C">
              <w:rPr>
                <w:rFonts w:asciiTheme="minorHAnsi" w:eastAsia="Wingdings" w:hAnsiTheme="minorHAnsi" w:cstheme="minorHAnsi"/>
                <w:sz w:val="21"/>
                <w:szCs w:val="21"/>
                <w:lang w:eastAsia="en-AU"/>
              </w:rPr>
              <w:t>q</w:t>
            </w:r>
          </w:p>
        </w:tc>
        <w:tc>
          <w:tcPr>
            <w:tcW w:w="1100" w:type="dxa"/>
          </w:tcPr>
          <w:p w14:paraId="3B015A0B" w14:textId="77777777" w:rsidR="002D1D7C" w:rsidRPr="002D1D7C" w:rsidRDefault="002D1D7C" w:rsidP="002D1D7C">
            <w:pPr>
              <w:jc w:val="center"/>
              <w:rPr>
                <w:rFonts w:asciiTheme="minorHAnsi" w:hAnsiTheme="minorHAnsi" w:cstheme="minorHAnsi"/>
                <w:sz w:val="21"/>
                <w:szCs w:val="21"/>
                <w:u w:val="single"/>
                <w:lang w:eastAsia="en-AU"/>
              </w:rPr>
            </w:pPr>
            <w:r w:rsidRPr="002D1D7C">
              <w:rPr>
                <w:rFonts w:asciiTheme="minorHAnsi" w:eastAsia="Wingdings" w:hAnsiTheme="minorHAnsi" w:cstheme="minorHAnsi"/>
                <w:sz w:val="21"/>
                <w:szCs w:val="21"/>
                <w:lang w:eastAsia="en-AU"/>
              </w:rPr>
              <w:t>q</w:t>
            </w:r>
          </w:p>
        </w:tc>
        <w:tc>
          <w:tcPr>
            <w:tcW w:w="1063" w:type="dxa"/>
          </w:tcPr>
          <w:p w14:paraId="3DE825B2" w14:textId="77777777" w:rsidR="002D1D7C" w:rsidRPr="002D1D7C" w:rsidRDefault="002D1D7C" w:rsidP="002D1D7C">
            <w:pPr>
              <w:jc w:val="center"/>
              <w:rPr>
                <w:rFonts w:asciiTheme="minorHAnsi" w:hAnsiTheme="minorHAnsi" w:cstheme="minorHAnsi"/>
                <w:sz w:val="21"/>
                <w:szCs w:val="21"/>
                <w:u w:val="single"/>
                <w:lang w:eastAsia="en-AU"/>
              </w:rPr>
            </w:pPr>
            <w:r w:rsidRPr="002D1D7C">
              <w:rPr>
                <w:rFonts w:asciiTheme="minorHAnsi" w:eastAsia="Wingdings" w:hAnsiTheme="minorHAnsi" w:cstheme="minorHAnsi"/>
                <w:sz w:val="21"/>
                <w:szCs w:val="21"/>
                <w:lang w:eastAsia="en-AU"/>
              </w:rPr>
              <w:t>q</w:t>
            </w:r>
          </w:p>
        </w:tc>
        <w:tc>
          <w:tcPr>
            <w:tcW w:w="1026" w:type="dxa"/>
          </w:tcPr>
          <w:p w14:paraId="0DFB055E" w14:textId="77777777" w:rsidR="002D1D7C" w:rsidRPr="002D1D7C" w:rsidRDefault="002D1D7C" w:rsidP="002D1D7C">
            <w:pPr>
              <w:jc w:val="center"/>
              <w:rPr>
                <w:rFonts w:asciiTheme="minorHAnsi" w:hAnsiTheme="minorHAnsi" w:cstheme="minorHAnsi"/>
                <w:sz w:val="21"/>
                <w:szCs w:val="21"/>
                <w:u w:val="single"/>
                <w:lang w:eastAsia="en-AU"/>
              </w:rPr>
            </w:pPr>
            <w:r w:rsidRPr="002D1D7C">
              <w:rPr>
                <w:rFonts w:asciiTheme="minorHAnsi" w:eastAsia="Wingdings" w:hAnsiTheme="minorHAnsi" w:cstheme="minorHAnsi"/>
                <w:sz w:val="21"/>
                <w:szCs w:val="21"/>
                <w:lang w:eastAsia="en-AU"/>
              </w:rPr>
              <w:t>q</w:t>
            </w:r>
          </w:p>
        </w:tc>
      </w:tr>
    </w:tbl>
    <w:p w14:paraId="77BCA3EE" w14:textId="77777777" w:rsidR="002D1D7C" w:rsidRPr="002D1D7C" w:rsidRDefault="002D1D7C" w:rsidP="002D1D7C">
      <w:pPr>
        <w:rPr>
          <w:rFonts w:asciiTheme="minorHAnsi" w:eastAsia="MS Mincho" w:hAnsiTheme="minorHAnsi" w:cstheme="minorHAnsi"/>
          <w:b/>
          <w:sz w:val="21"/>
          <w:szCs w:val="21"/>
          <w:lang w:val="en-US"/>
        </w:rPr>
      </w:pPr>
    </w:p>
    <w:tbl>
      <w:tblPr>
        <w:tblStyle w:val="TableGrid2"/>
        <w:tblW w:w="0" w:type="auto"/>
        <w:tblLook w:val="04A0" w:firstRow="1" w:lastRow="0" w:firstColumn="1" w:lastColumn="0" w:noHBand="0" w:noVBand="1"/>
      </w:tblPr>
      <w:tblGrid>
        <w:gridCol w:w="9242"/>
      </w:tblGrid>
      <w:tr w:rsidR="002D1D7C" w:rsidRPr="002D1D7C" w14:paraId="16AEA919" w14:textId="77777777" w:rsidTr="00BD431E">
        <w:tc>
          <w:tcPr>
            <w:tcW w:w="9242" w:type="dxa"/>
            <w:shd w:val="clear" w:color="auto" w:fill="000000" w:themeFill="text1"/>
          </w:tcPr>
          <w:p w14:paraId="1AE9CEC9" w14:textId="77777777" w:rsidR="002D1D7C" w:rsidRPr="002D1D7C" w:rsidRDefault="002D1D7C" w:rsidP="002D1D7C">
            <w:pPr>
              <w:jc w:val="center"/>
              <w:rPr>
                <w:rFonts w:asciiTheme="minorHAnsi" w:eastAsia="MS Mincho" w:hAnsiTheme="minorHAnsi" w:cstheme="minorHAnsi"/>
                <w:sz w:val="21"/>
                <w:szCs w:val="21"/>
                <w:lang w:val="en-US" w:eastAsia="en-AU"/>
              </w:rPr>
            </w:pPr>
            <w:r w:rsidRPr="002D1D7C">
              <w:rPr>
                <w:rFonts w:asciiTheme="minorHAnsi" w:eastAsia="MS Mincho" w:hAnsiTheme="minorHAnsi" w:cstheme="minorHAnsi"/>
                <w:sz w:val="21"/>
                <w:szCs w:val="21"/>
                <w:lang w:val="en-US" w:eastAsia="en-AU"/>
              </w:rPr>
              <w:t>Overall feedback about the whole program</w:t>
            </w:r>
          </w:p>
        </w:tc>
      </w:tr>
    </w:tbl>
    <w:p w14:paraId="3B50EAB7" w14:textId="77777777" w:rsidR="002D1D7C" w:rsidRPr="002D1D7C" w:rsidRDefault="002D1D7C" w:rsidP="00140C5B">
      <w:pPr>
        <w:numPr>
          <w:ilvl w:val="0"/>
          <w:numId w:val="66"/>
        </w:numPr>
        <w:contextualSpacing/>
        <w:rPr>
          <w:rFonts w:asciiTheme="minorHAnsi" w:hAnsiTheme="minorHAnsi" w:cstheme="minorHAnsi"/>
          <w:b/>
          <w:sz w:val="21"/>
          <w:szCs w:val="21"/>
          <w:shd w:val="clear" w:color="auto" w:fill="FFFFFF"/>
        </w:rPr>
      </w:pPr>
      <w:r w:rsidRPr="002D1D7C">
        <w:rPr>
          <w:rFonts w:asciiTheme="minorHAnsi" w:hAnsiTheme="minorHAnsi" w:cstheme="minorHAnsi"/>
          <w:b/>
          <w:sz w:val="21"/>
          <w:szCs w:val="21"/>
          <w:shd w:val="clear" w:color="auto" w:fill="FFFFFF"/>
        </w:rPr>
        <w:t>Was it worth your time completing/accessing the supported digital mental health service?</w:t>
      </w:r>
    </w:p>
    <w:p w14:paraId="2A493FB4" w14:textId="77777777" w:rsidR="002D1D7C" w:rsidRPr="002D1D7C" w:rsidRDefault="002D1D7C" w:rsidP="00140C5B">
      <w:pPr>
        <w:numPr>
          <w:ilvl w:val="0"/>
          <w:numId w:val="46"/>
        </w:numPr>
        <w:contextualSpacing/>
        <w:jc w:val="both"/>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 xml:space="preserve">Not at all </w:t>
      </w:r>
    </w:p>
    <w:p w14:paraId="571DB255" w14:textId="77777777" w:rsidR="002D1D7C" w:rsidRPr="002D1D7C" w:rsidRDefault="002D1D7C" w:rsidP="00140C5B">
      <w:pPr>
        <w:numPr>
          <w:ilvl w:val="0"/>
          <w:numId w:val="46"/>
        </w:numPr>
        <w:contextualSpacing/>
        <w:jc w:val="both"/>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Partly worth my time</w:t>
      </w:r>
    </w:p>
    <w:p w14:paraId="294F4DD5" w14:textId="77777777" w:rsidR="002D1D7C" w:rsidRPr="002D1D7C" w:rsidRDefault="002D1D7C" w:rsidP="00140C5B">
      <w:pPr>
        <w:numPr>
          <w:ilvl w:val="0"/>
          <w:numId w:val="46"/>
        </w:numPr>
        <w:contextualSpacing/>
        <w:jc w:val="both"/>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Worth my time</w:t>
      </w:r>
    </w:p>
    <w:p w14:paraId="6269ADE2" w14:textId="77777777" w:rsidR="002D1D7C" w:rsidRPr="002D1D7C" w:rsidRDefault="002D1D7C" w:rsidP="00140C5B">
      <w:pPr>
        <w:numPr>
          <w:ilvl w:val="0"/>
          <w:numId w:val="46"/>
        </w:numPr>
        <w:contextualSpacing/>
        <w:jc w:val="both"/>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Very worth my time</w:t>
      </w:r>
    </w:p>
    <w:p w14:paraId="0B409836" w14:textId="77777777" w:rsidR="002D1D7C" w:rsidRPr="002D1D7C" w:rsidRDefault="002D1D7C" w:rsidP="00140C5B">
      <w:pPr>
        <w:numPr>
          <w:ilvl w:val="0"/>
          <w:numId w:val="46"/>
        </w:numPr>
        <w:contextualSpacing/>
        <w:jc w:val="both"/>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Completely worth my time</w:t>
      </w:r>
    </w:p>
    <w:p w14:paraId="7805667D" w14:textId="77777777" w:rsidR="002D1D7C" w:rsidRPr="002D1D7C" w:rsidRDefault="002D1D7C" w:rsidP="00140C5B">
      <w:pPr>
        <w:numPr>
          <w:ilvl w:val="0"/>
          <w:numId w:val="66"/>
        </w:numPr>
        <w:contextualSpacing/>
        <w:rPr>
          <w:rFonts w:asciiTheme="minorHAnsi" w:eastAsia="MS Mincho" w:hAnsiTheme="minorHAnsi" w:cstheme="minorHAnsi"/>
          <w:b/>
          <w:sz w:val="21"/>
          <w:szCs w:val="21"/>
          <w:lang w:val="en-US"/>
        </w:rPr>
      </w:pPr>
      <w:r w:rsidRPr="002D1D7C">
        <w:rPr>
          <w:rFonts w:asciiTheme="minorHAnsi" w:eastAsia="MS Mincho" w:hAnsiTheme="minorHAnsi" w:cstheme="minorHAnsi"/>
          <w:b/>
          <w:sz w:val="21"/>
          <w:szCs w:val="21"/>
          <w:lang w:val="en-US"/>
        </w:rPr>
        <w:t>To what extent do you feel the supported digital mental health services you received were appropriate to your needs?</w:t>
      </w:r>
    </w:p>
    <w:p w14:paraId="0239BBFB" w14:textId="77777777" w:rsidR="002D1D7C" w:rsidRPr="002D1D7C" w:rsidRDefault="002D1D7C" w:rsidP="00634B19">
      <w:pPr>
        <w:numPr>
          <w:ilvl w:val="0"/>
          <w:numId w:val="18"/>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Not at all appropriate</w:t>
      </w:r>
    </w:p>
    <w:p w14:paraId="7BED3551" w14:textId="77777777" w:rsidR="002D1D7C" w:rsidRPr="002D1D7C" w:rsidRDefault="002D1D7C" w:rsidP="00634B19">
      <w:pPr>
        <w:numPr>
          <w:ilvl w:val="0"/>
          <w:numId w:val="18"/>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Somewhat appropriate</w:t>
      </w:r>
    </w:p>
    <w:p w14:paraId="562359EA" w14:textId="77777777" w:rsidR="002D1D7C" w:rsidRPr="002D1D7C" w:rsidRDefault="002D1D7C" w:rsidP="00634B19">
      <w:pPr>
        <w:numPr>
          <w:ilvl w:val="0"/>
          <w:numId w:val="18"/>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Appropriate</w:t>
      </w:r>
    </w:p>
    <w:p w14:paraId="253D4FBC" w14:textId="77777777" w:rsidR="002D1D7C" w:rsidRPr="002D1D7C" w:rsidRDefault="002D1D7C" w:rsidP="00634B19">
      <w:pPr>
        <w:numPr>
          <w:ilvl w:val="0"/>
          <w:numId w:val="18"/>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Very appropriate</w:t>
      </w:r>
    </w:p>
    <w:p w14:paraId="3C289E16" w14:textId="77777777" w:rsidR="002D1D7C" w:rsidRPr="002D1D7C" w:rsidRDefault="002D1D7C" w:rsidP="00634B19">
      <w:pPr>
        <w:numPr>
          <w:ilvl w:val="0"/>
          <w:numId w:val="18"/>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Extremely appropriate</w:t>
      </w:r>
    </w:p>
    <w:p w14:paraId="714E6DD2" w14:textId="77777777" w:rsidR="002D1D7C" w:rsidRPr="002D1D7C" w:rsidRDefault="002D1D7C" w:rsidP="00140C5B">
      <w:pPr>
        <w:numPr>
          <w:ilvl w:val="0"/>
          <w:numId w:val="66"/>
        </w:numPr>
        <w:contextualSpacing/>
        <w:rPr>
          <w:rFonts w:asciiTheme="minorHAnsi" w:eastAsia="MS Mincho" w:hAnsiTheme="minorHAnsi" w:cstheme="minorHAnsi"/>
          <w:b/>
          <w:sz w:val="21"/>
          <w:szCs w:val="21"/>
          <w:lang w:val="en-US"/>
        </w:rPr>
      </w:pPr>
      <w:r w:rsidRPr="002D1D7C">
        <w:rPr>
          <w:rFonts w:asciiTheme="minorHAnsi" w:eastAsia="MS Mincho" w:hAnsiTheme="minorHAnsi" w:cstheme="minorHAnsi"/>
          <w:b/>
          <w:sz w:val="21"/>
          <w:szCs w:val="21"/>
          <w:lang w:val="en-US"/>
        </w:rPr>
        <w:t xml:space="preserve">Overall, how satisfied were you with the supported digital mental health service you received?  </w:t>
      </w:r>
    </w:p>
    <w:p w14:paraId="68D81815" w14:textId="77777777" w:rsidR="002D1D7C" w:rsidRPr="002D1D7C" w:rsidRDefault="002D1D7C" w:rsidP="00140C5B">
      <w:pPr>
        <w:numPr>
          <w:ilvl w:val="0"/>
          <w:numId w:val="49"/>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Not at all satisfied</w:t>
      </w:r>
    </w:p>
    <w:p w14:paraId="4520D524" w14:textId="77777777" w:rsidR="002D1D7C" w:rsidRPr="002D1D7C" w:rsidRDefault="002D1D7C" w:rsidP="00140C5B">
      <w:pPr>
        <w:numPr>
          <w:ilvl w:val="0"/>
          <w:numId w:val="49"/>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Somewhat satisfied</w:t>
      </w:r>
    </w:p>
    <w:p w14:paraId="179D950E" w14:textId="77777777" w:rsidR="002D1D7C" w:rsidRPr="002D1D7C" w:rsidRDefault="002D1D7C" w:rsidP="00140C5B">
      <w:pPr>
        <w:numPr>
          <w:ilvl w:val="0"/>
          <w:numId w:val="49"/>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Satisfied</w:t>
      </w:r>
    </w:p>
    <w:p w14:paraId="136BFECC" w14:textId="77777777" w:rsidR="002D1D7C" w:rsidRPr="002D1D7C" w:rsidRDefault="002D1D7C" w:rsidP="00140C5B">
      <w:pPr>
        <w:numPr>
          <w:ilvl w:val="0"/>
          <w:numId w:val="49"/>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Very satisfied</w:t>
      </w:r>
    </w:p>
    <w:p w14:paraId="311AA13E" w14:textId="77777777" w:rsidR="002D1D7C" w:rsidRPr="002D1D7C" w:rsidRDefault="002D1D7C" w:rsidP="00140C5B">
      <w:pPr>
        <w:numPr>
          <w:ilvl w:val="0"/>
          <w:numId w:val="49"/>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Completely satisfied</w:t>
      </w:r>
    </w:p>
    <w:p w14:paraId="0D216E0D" w14:textId="77777777" w:rsidR="002D1D7C" w:rsidRPr="002D1D7C" w:rsidRDefault="002D1D7C" w:rsidP="00140C5B">
      <w:pPr>
        <w:numPr>
          <w:ilvl w:val="0"/>
          <w:numId w:val="67"/>
        </w:numPr>
        <w:contextualSpacing/>
        <w:rPr>
          <w:rFonts w:asciiTheme="minorHAnsi" w:eastAsia="MS Mincho" w:hAnsiTheme="minorHAnsi" w:cstheme="minorHAnsi"/>
          <w:b/>
          <w:sz w:val="21"/>
          <w:szCs w:val="21"/>
          <w:lang w:val="en-US"/>
        </w:rPr>
      </w:pPr>
      <w:r w:rsidRPr="002D1D7C">
        <w:rPr>
          <w:rFonts w:asciiTheme="minorHAnsi" w:eastAsia="MS Mincho" w:hAnsiTheme="minorHAnsi" w:cstheme="minorHAnsi"/>
          <w:b/>
          <w:sz w:val="21"/>
          <w:szCs w:val="21"/>
          <w:lang w:val="en-US"/>
        </w:rPr>
        <w:t>Which of the following statements best describes any change in your mental health and wellbeing since receiving supported digital mental health care?</w:t>
      </w:r>
    </w:p>
    <w:p w14:paraId="5687B021" w14:textId="77777777" w:rsidR="002D1D7C" w:rsidRPr="002D1D7C" w:rsidRDefault="002D1D7C" w:rsidP="00140C5B">
      <w:pPr>
        <w:numPr>
          <w:ilvl w:val="0"/>
          <w:numId w:val="50"/>
        </w:numPr>
        <w:ind w:left="144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 xml:space="preserve">My health and wellbeing </w:t>
      </w:r>
      <w:proofErr w:type="gramStart"/>
      <w:r w:rsidRPr="002D1D7C">
        <w:rPr>
          <w:rFonts w:asciiTheme="minorHAnsi" w:eastAsia="MS Mincho" w:hAnsiTheme="minorHAnsi" w:cstheme="minorHAnsi"/>
          <w:sz w:val="21"/>
          <w:szCs w:val="21"/>
          <w:lang w:val="en-US"/>
        </w:rPr>
        <w:t>is</w:t>
      </w:r>
      <w:proofErr w:type="gramEnd"/>
      <w:r w:rsidRPr="002D1D7C">
        <w:rPr>
          <w:rFonts w:asciiTheme="minorHAnsi" w:eastAsia="MS Mincho" w:hAnsiTheme="minorHAnsi" w:cstheme="minorHAnsi"/>
          <w:sz w:val="21"/>
          <w:szCs w:val="21"/>
          <w:lang w:val="en-US"/>
        </w:rPr>
        <w:t xml:space="preserve"> </w:t>
      </w:r>
      <w:r w:rsidRPr="002D1D7C">
        <w:rPr>
          <w:rFonts w:asciiTheme="minorHAnsi" w:eastAsia="MS Mincho" w:hAnsiTheme="minorHAnsi" w:cstheme="minorHAnsi"/>
          <w:b/>
          <w:sz w:val="21"/>
          <w:szCs w:val="21"/>
          <w:lang w:val="en-US"/>
        </w:rPr>
        <w:t>much worse</w:t>
      </w:r>
      <w:r w:rsidRPr="002D1D7C">
        <w:rPr>
          <w:rFonts w:asciiTheme="minorHAnsi" w:eastAsia="MS Mincho" w:hAnsiTheme="minorHAnsi" w:cstheme="minorHAnsi"/>
          <w:sz w:val="21"/>
          <w:szCs w:val="21"/>
          <w:lang w:val="en-US"/>
        </w:rPr>
        <w:t xml:space="preserve"> since receiving digital mental health care </w:t>
      </w:r>
    </w:p>
    <w:p w14:paraId="2E7CBFCD" w14:textId="77777777" w:rsidR="002D1D7C" w:rsidRPr="002D1D7C" w:rsidRDefault="002D1D7C" w:rsidP="00140C5B">
      <w:pPr>
        <w:numPr>
          <w:ilvl w:val="0"/>
          <w:numId w:val="50"/>
        </w:numPr>
        <w:ind w:left="144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 xml:space="preserve">My health and wellbeing </w:t>
      </w:r>
      <w:proofErr w:type="gramStart"/>
      <w:r w:rsidRPr="002D1D7C">
        <w:rPr>
          <w:rFonts w:asciiTheme="minorHAnsi" w:eastAsia="MS Mincho" w:hAnsiTheme="minorHAnsi" w:cstheme="minorHAnsi"/>
          <w:sz w:val="21"/>
          <w:szCs w:val="21"/>
          <w:lang w:val="en-US"/>
        </w:rPr>
        <w:t>is</w:t>
      </w:r>
      <w:proofErr w:type="gramEnd"/>
      <w:r w:rsidRPr="002D1D7C">
        <w:rPr>
          <w:rFonts w:asciiTheme="minorHAnsi" w:eastAsia="MS Mincho" w:hAnsiTheme="minorHAnsi" w:cstheme="minorHAnsi"/>
          <w:sz w:val="21"/>
          <w:szCs w:val="21"/>
          <w:lang w:val="en-US"/>
        </w:rPr>
        <w:t xml:space="preserve"> </w:t>
      </w:r>
      <w:r w:rsidRPr="002D1D7C">
        <w:rPr>
          <w:rFonts w:asciiTheme="minorHAnsi" w:eastAsia="MS Mincho" w:hAnsiTheme="minorHAnsi" w:cstheme="minorHAnsi"/>
          <w:b/>
          <w:sz w:val="21"/>
          <w:szCs w:val="21"/>
          <w:lang w:val="en-US"/>
        </w:rPr>
        <w:t>somewhat worse</w:t>
      </w:r>
      <w:r w:rsidRPr="002D1D7C">
        <w:rPr>
          <w:rFonts w:asciiTheme="minorHAnsi" w:eastAsia="MS Mincho" w:hAnsiTheme="minorHAnsi" w:cstheme="minorHAnsi"/>
          <w:sz w:val="21"/>
          <w:szCs w:val="21"/>
          <w:lang w:val="en-US"/>
        </w:rPr>
        <w:t xml:space="preserve"> since receiving digital mental health care </w:t>
      </w:r>
    </w:p>
    <w:p w14:paraId="02D6DED6" w14:textId="77777777" w:rsidR="002D1D7C" w:rsidRPr="002D1D7C" w:rsidRDefault="002D1D7C" w:rsidP="00140C5B">
      <w:pPr>
        <w:numPr>
          <w:ilvl w:val="0"/>
          <w:numId w:val="50"/>
        </w:numPr>
        <w:ind w:left="144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 xml:space="preserve">My health and wellbeing </w:t>
      </w:r>
      <w:proofErr w:type="gramStart"/>
      <w:r w:rsidRPr="002D1D7C">
        <w:rPr>
          <w:rFonts w:asciiTheme="minorHAnsi" w:eastAsia="MS Mincho" w:hAnsiTheme="minorHAnsi" w:cstheme="minorHAnsi"/>
          <w:sz w:val="21"/>
          <w:szCs w:val="21"/>
          <w:lang w:val="en-US"/>
        </w:rPr>
        <w:t>has</w:t>
      </w:r>
      <w:proofErr w:type="gramEnd"/>
      <w:r w:rsidRPr="002D1D7C">
        <w:rPr>
          <w:rFonts w:asciiTheme="minorHAnsi" w:eastAsia="MS Mincho" w:hAnsiTheme="minorHAnsi" w:cstheme="minorHAnsi"/>
          <w:sz w:val="21"/>
          <w:szCs w:val="21"/>
          <w:lang w:val="en-US"/>
        </w:rPr>
        <w:t xml:space="preserve"> </w:t>
      </w:r>
      <w:r w:rsidRPr="002D1D7C">
        <w:rPr>
          <w:rFonts w:asciiTheme="minorHAnsi" w:eastAsia="MS Mincho" w:hAnsiTheme="minorHAnsi" w:cstheme="minorHAnsi"/>
          <w:b/>
          <w:sz w:val="21"/>
          <w:szCs w:val="21"/>
          <w:lang w:val="en-US"/>
        </w:rPr>
        <w:t>not changed</w:t>
      </w:r>
      <w:r w:rsidRPr="002D1D7C">
        <w:rPr>
          <w:rFonts w:asciiTheme="minorHAnsi" w:eastAsia="MS Mincho" w:hAnsiTheme="minorHAnsi" w:cstheme="minorHAnsi"/>
          <w:sz w:val="21"/>
          <w:szCs w:val="21"/>
          <w:lang w:val="en-US"/>
        </w:rPr>
        <w:t xml:space="preserve"> since receiving digital mental health care </w:t>
      </w:r>
    </w:p>
    <w:p w14:paraId="082F7689" w14:textId="77777777" w:rsidR="002D1D7C" w:rsidRPr="002D1D7C" w:rsidRDefault="002D1D7C" w:rsidP="00140C5B">
      <w:pPr>
        <w:numPr>
          <w:ilvl w:val="0"/>
          <w:numId w:val="50"/>
        </w:numPr>
        <w:ind w:left="144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 xml:space="preserve">My health and wellbeing </w:t>
      </w:r>
      <w:proofErr w:type="gramStart"/>
      <w:r w:rsidRPr="002D1D7C">
        <w:rPr>
          <w:rFonts w:asciiTheme="minorHAnsi" w:eastAsia="MS Mincho" w:hAnsiTheme="minorHAnsi" w:cstheme="minorHAnsi"/>
          <w:sz w:val="21"/>
          <w:szCs w:val="21"/>
          <w:lang w:val="en-US"/>
        </w:rPr>
        <w:t>is</w:t>
      </w:r>
      <w:proofErr w:type="gramEnd"/>
      <w:r w:rsidRPr="002D1D7C">
        <w:rPr>
          <w:rFonts w:asciiTheme="minorHAnsi" w:eastAsia="MS Mincho" w:hAnsiTheme="minorHAnsi" w:cstheme="minorHAnsi"/>
          <w:sz w:val="21"/>
          <w:szCs w:val="21"/>
          <w:lang w:val="en-US"/>
        </w:rPr>
        <w:t xml:space="preserve"> </w:t>
      </w:r>
      <w:r w:rsidRPr="002D1D7C">
        <w:rPr>
          <w:rFonts w:asciiTheme="minorHAnsi" w:eastAsia="MS Mincho" w:hAnsiTheme="minorHAnsi" w:cstheme="minorHAnsi"/>
          <w:b/>
          <w:sz w:val="21"/>
          <w:szCs w:val="21"/>
          <w:lang w:val="en-US"/>
        </w:rPr>
        <w:t>somewhat better</w:t>
      </w:r>
      <w:r w:rsidRPr="002D1D7C">
        <w:rPr>
          <w:rFonts w:asciiTheme="minorHAnsi" w:hAnsiTheme="minorHAnsi" w:cstheme="minorHAnsi"/>
          <w:sz w:val="21"/>
          <w:szCs w:val="21"/>
          <w:lang w:val="en-US"/>
        </w:rPr>
        <w:t xml:space="preserve"> </w:t>
      </w:r>
      <w:r w:rsidRPr="002D1D7C">
        <w:rPr>
          <w:rFonts w:asciiTheme="minorHAnsi" w:eastAsia="MS Mincho" w:hAnsiTheme="minorHAnsi" w:cstheme="minorHAnsi"/>
          <w:sz w:val="21"/>
          <w:szCs w:val="21"/>
          <w:lang w:val="en-US"/>
        </w:rPr>
        <w:t xml:space="preserve">since receiving digital mental health care </w:t>
      </w:r>
    </w:p>
    <w:p w14:paraId="125FA637" w14:textId="7ECB1911" w:rsidR="002D1D7C" w:rsidRPr="00C81545" w:rsidRDefault="002D1D7C" w:rsidP="00C81545">
      <w:pPr>
        <w:numPr>
          <w:ilvl w:val="0"/>
          <w:numId w:val="50"/>
        </w:numPr>
        <w:ind w:left="1440"/>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 xml:space="preserve">My health and wellbeing </w:t>
      </w:r>
      <w:proofErr w:type="gramStart"/>
      <w:r w:rsidRPr="002D1D7C">
        <w:rPr>
          <w:rFonts w:asciiTheme="minorHAnsi" w:eastAsia="MS Mincho" w:hAnsiTheme="minorHAnsi" w:cstheme="minorHAnsi"/>
          <w:sz w:val="21"/>
          <w:szCs w:val="21"/>
          <w:lang w:val="en-US"/>
        </w:rPr>
        <w:t>is</w:t>
      </w:r>
      <w:proofErr w:type="gramEnd"/>
      <w:r w:rsidRPr="002D1D7C">
        <w:rPr>
          <w:rFonts w:asciiTheme="minorHAnsi" w:eastAsia="MS Mincho" w:hAnsiTheme="minorHAnsi" w:cstheme="minorHAnsi"/>
          <w:sz w:val="21"/>
          <w:szCs w:val="21"/>
          <w:lang w:val="en-US"/>
        </w:rPr>
        <w:t xml:space="preserve"> </w:t>
      </w:r>
      <w:r w:rsidRPr="002D1D7C">
        <w:rPr>
          <w:rFonts w:asciiTheme="minorHAnsi" w:eastAsia="MS Mincho" w:hAnsiTheme="minorHAnsi" w:cstheme="minorHAnsi"/>
          <w:b/>
          <w:sz w:val="21"/>
          <w:szCs w:val="21"/>
          <w:lang w:val="en-US"/>
        </w:rPr>
        <w:t>much better</w:t>
      </w:r>
      <w:r w:rsidRPr="002D1D7C">
        <w:rPr>
          <w:rFonts w:asciiTheme="minorHAnsi" w:hAnsiTheme="minorHAnsi" w:cstheme="minorHAnsi"/>
          <w:sz w:val="21"/>
          <w:szCs w:val="21"/>
          <w:lang w:val="en-US"/>
        </w:rPr>
        <w:t xml:space="preserve"> </w:t>
      </w:r>
      <w:r w:rsidRPr="002D1D7C">
        <w:rPr>
          <w:rFonts w:asciiTheme="minorHAnsi" w:eastAsia="MS Mincho" w:hAnsiTheme="minorHAnsi" w:cstheme="minorHAnsi"/>
          <w:sz w:val="21"/>
          <w:szCs w:val="21"/>
          <w:lang w:val="en-US"/>
        </w:rPr>
        <w:t xml:space="preserve">since receiving digital mental health care </w:t>
      </w:r>
      <w:r w:rsidR="00C81545">
        <w:rPr>
          <w:rFonts w:asciiTheme="minorHAnsi" w:eastAsia="MS Mincho" w:hAnsiTheme="minorHAnsi" w:cstheme="minorHAnsi"/>
          <w:sz w:val="21"/>
          <w:szCs w:val="21"/>
          <w:lang w:val="en-US"/>
        </w:rPr>
        <w:br w:type="page"/>
      </w:r>
    </w:p>
    <w:p w14:paraId="7F7B7EA1" w14:textId="77777777" w:rsidR="002D1D7C" w:rsidRPr="002D1D7C" w:rsidRDefault="002D1D7C" w:rsidP="00140C5B">
      <w:pPr>
        <w:numPr>
          <w:ilvl w:val="0"/>
          <w:numId w:val="67"/>
        </w:numPr>
        <w:contextualSpacing/>
        <w:rPr>
          <w:rFonts w:asciiTheme="minorHAnsi" w:eastAsia="MS Mincho" w:hAnsiTheme="minorHAnsi" w:cstheme="minorHAnsi"/>
          <w:b/>
          <w:sz w:val="21"/>
          <w:szCs w:val="21"/>
          <w:lang w:val="en-US"/>
        </w:rPr>
      </w:pPr>
      <w:r w:rsidRPr="002D1D7C">
        <w:rPr>
          <w:rFonts w:asciiTheme="minorHAnsi" w:eastAsia="MS Mincho" w:hAnsiTheme="minorHAnsi" w:cstheme="minorHAnsi"/>
          <w:b/>
          <w:sz w:val="21"/>
          <w:szCs w:val="21"/>
          <w:lang w:val="en-US"/>
        </w:rPr>
        <w:lastRenderedPageBreak/>
        <w:t>In your opinion, to what extent are any changes in your mental health and wellbeing related to the supported digital mental health services that you received?</w:t>
      </w:r>
    </w:p>
    <w:p w14:paraId="3FB5F35B" w14:textId="77777777" w:rsidR="002D1D7C" w:rsidRPr="002D1D7C" w:rsidRDefault="002D1D7C" w:rsidP="00140C5B">
      <w:pPr>
        <w:numPr>
          <w:ilvl w:val="0"/>
          <w:numId w:val="68"/>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Not at all related</w:t>
      </w:r>
    </w:p>
    <w:p w14:paraId="4245B01E" w14:textId="77777777" w:rsidR="002D1D7C" w:rsidRPr="002D1D7C" w:rsidRDefault="002D1D7C" w:rsidP="00140C5B">
      <w:pPr>
        <w:numPr>
          <w:ilvl w:val="0"/>
          <w:numId w:val="68"/>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Partly related</w:t>
      </w:r>
    </w:p>
    <w:p w14:paraId="0682425F" w14:textId="77777777" w:rsidR="002D1D7C" w:rsidRPr="002D1D7C" w:rsidRDefault="002D1D7C" w:rsidP="00140C5B">
      <w:pPr>
        <w:numPr>
          <w:ilvl w:val="0"/>
          <w:numId w:val="68"/>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Related</w:t>
      </w:r>
    </w:p>
    <w:p w14:paraId="4E38F753" w14:textId="77777777" w:rsidR="002D1D7C" w:rsidRPr="002D1D7C" w:rsidRDefault="002D1D7C" w:rsidP="00140C5B">
      <w:pPr>
        <w:numPr>
          <w:ilvl w:val="0"/>
          <w:numId w:val="68"/>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Very related</w:t>
      </w:r>
    </w:p>
    <w:p w14:paraId="7A75098F" w14:textId="77777777" w:rsidR="002D1D7C" w:rsidRPr="002D1D7C" w:rsidRDefault="002D1D7C" w:rsidP="00140C5B">
      <w:pPr>
        <w:numPr>
          <w:ilvl w:val="0"/>
          <w:numId w:val="68"/>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Completely related</w:t>
      </w:r>
    </w:p>
    <w:p w14:paraId="56AE39B5" w14:textId="77777777" w:rsidR="002D1D7C" w:rsidRPr="002D1D7C" w:rsidRDefault="002D1D7C" w:rsidP="00140C5B">
      <w:pPr>
        <w:numPr>
          <w:ilvl w:val="0"/>
          <w:numId w:val="67"/>
        </w:numPr>
        <w:contextualSpacing/>
        <w:rPr>
          <w:rFonts w:asciiTheme="minorHAnsi" w:eastAsia="MS Mincho" w:hAnsiTheme="minorHAnsi" w:cstheme="minorHAnsi"/>
          <w:b/>
          <w:sz w:val="21"/>
          <w:szCs w:val="21"/>
          <w:lang w:val="en-US"/>
        </w:rPr>
      </w:pPr>
      <w:r w:rsidRPr="002D1D7C">
        <w:rPr>
          <w:rFonts w:asciiTheme="minorHAnsi" w:eastAsia="MS Mincho" w:hAnsiTheme="minorHAnsi" w:cstheme="minorHAnsi"/>
          <w:b/>
          <w:sz w:val="21"/>
          <w:szCs w:val="21"/>
          <w:lang w:val="en-US"/>
        </w:rPr>
        <w:t>What aspects of the care were most useful/helpful?</w:t>
      </w:r>
    </w:p>
    <w:p w14:paraId="203C2F56" w14:textId="77777777" w:rsidR="002D1D7C" w:rsidRPr="002D1D7C" w:rsidRDefault="002D1D7C" w:rsidP="00140C5B">
      <w:pPr>
        <w:numPr>
          <w:ilvl w:val="0"/>
          <w:numId w:val="67"/>
        </w:numPr>
        <w:contextualSpacing/>
        <w:rPr>
          <w:rFonts w:asciiTheme="minorHAnsi" w:eastAsia="MS Mincho" w:hAnsiTheme="minorHAnsi" w:cstheme="minorHAnsi"/>
          <w:b/>
          <w:sz w:val="21"/>
          <w:szCs w:val="21"/>
          <w:lang w:val="en-US"/>
        </w:rPr>
      </w:pPr>
      <w:r w:rsidRPr="002D1D7C">
        <w:rPr>
          <w:rFonts w:asciiTheme="minorHAnsi" w:eastAsia="MS Mincho" w:hAnsiTheme="minorHAnsi" w:cstheme="minorHAnsi"/>
          <w:b/>
          <w:sz w:val="21"/>
          <w:szCs w:val="21"/>
          <w:lang w:val="en-US"/>
        </w:rPr>
        <w:t>What aspects of the care were least useful/helpful?</w:t>
      </w:r>
    </w:p>
    <w:p w14:paraId="132995CA" w14:textId="77777777" w:rsidR="002D1D7C" w:rsidRPr="002D1D7C" w:rsidRDefault="002D1D7C" w:rsidP="00140C5B">
      <w:pPr>
        <w:numPr>
          <w:ilvl w:val="0"/>
          <w:numId w:val="67"/>
        </w:numPr>
        <w:contextualSpacing/>
        <w:rPr>
          <w:rFonts w:asciiTheme="minorHAnsi" w:eastAsia="MS Mincho" w:hAnsiTheme="minorHAnsi" w:cstheme="minorHAnsi"/>
          <w:b/>
          <w:sz w:val="21"/>
          <w:szCs w:val="21"/>
          <w:lang w:val="en-US"/>
        </w:rPr>
      </w:pPr>
      <w:r w:rsidRPr="002D1D7C">
        <w:rPr>
          <w:rFonts w:asciiTheme="minorHAnsi" w:hAnsiTheme="minorHAnsi" w:cstheme="minorHAnsi"/>
          <w:b/>
          <w:sz w:val="21"/>
          <w:szCs w:val="21"/>
          <w:shd w:val="clear" w:color="auto" w:fill="FFFFFF"/>
        </w:rPr>
        <w:t>Would you recommend supported digital mental health interventions to others?</w:t>
      </w:r>
    </w:p>
    <w:p w14:paraId="3D641A9C"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Yes</w:t>
      </w:r>
    </w:p>
    <w:p w14:paraId="445D9D4D" w14:textId="77777777" w:rsidR="002D1D7C" w:rsidRPr="002D1D7C" w:rsidRDefault="002D1D7C" w:rsidP="00140C5B">
      <w:pPr>
        <w:numPr>
          <w:ilvl w:val="0"/>
          <w:numId w:val="51"/>
        </w:numPr>
        <w:contextualSpacing/>
        <w:rPr>
          <w:rFonts w:asciiTheme="minorHAnsi" w:eastAsia="MS Mincho" w:hAnsiTheme="minorHAnsi" w:cstheme="minorHAnsi"/>
          <w:b/>
          <w:sz w:val="21"/>
          <w:szCs w:val="21"/>
          <w:lang w:val="en-US"/>
        </w:rPr>
      </w:pPr>
      <w:r w:rsidRPr="002D1D7C">
        <w:rPr>
          <w:rFonts w:asciiTheme="minorHAnsi" w:hAnsiTheme="minorHAnsi" w:cstheme="minorHAnsi"/>
          <w:sz w:val="21"/>
          <w:szCs w:val="21"/>
          <w:shd w:val="clear" w:color="auto" w:fill="FFFFFF"/>
        </w:rPr>
        <w:t>No</w:t>
      </w:r>
    </w:p>
    <w:p w14:paraId="113D5900" w14:textId="321D2D62" w:rsidR="002D1D7C" w:rsidRPr="00597F86" w:rsidRDefault="002D1D7C" w:rsidP="00140C5B">
      <w:pPr>
        <w:numPr>
          <w:ilvl w:val="0"/>
          <w:numId w:val="67"/>
        </w:numPr>
        <w:contextualSpacing/>
        <w:rPr>
          <w:rFonts w:asciiTheme="minorHAnsi" w:eastAsia="MS Mincho" w:hAnsiTheme="minorHAnsi" w:cstheme="minorHAnsi"/>
          <w:b/>
          <w:sz w:val="21"/>
          <w:szCs w:val="21"/>
          <w:lang w:val="en-US"/>
        </w:rPr>
      </w:pPr>
      <w:r w:rsidRPr="002D1D7C">
        <w:rPr>
          <w:rFonts w:asciiTheme="minorHAnsi" w:eastAsia="MS Mincho" w:hAnsiTheme="minorHAnsi" w:cstheme="minorHAnsi"/>
          <w:b/>
          <w:sz w:val="21"/>
          <w:szCs w:val="21"/>
          <w:lang w:val="en-US"/>
        </w:rPr>
        <w:t>Do you have any other comments about your experience of receiving digital mental health services on this occasion?</w:t>
      </w:r>
    </w:p>
    <w:tbl>
      <w:tblPr>
        <w:tblStyle w:val="TableGrid2"/>
        <w:tblW w:w="0" w:type="auto"/>
        <w:shd w:val="clear" w:color="auto" w:fill="000000" w:themeFill="text1"/>
        <w:tblLook w:val="04A0" w:firstRow="1" w:lastRow="0" w:firstColumn="1" w:lastColumn="0" w:noHBand="0" w:noVBand="1"/>
      </w:tblPr>
      <w:tblGrid>
        <w:gridCol w:w="8494"/>
      </w:tblGrid>
      <w:tr w:rsidR="002D1D7C" w:rsidRPr="002D1D7C" w14:paraId="0DBAB026" w14:textId="77777777" w:rsidTr="00BD431E">
        <w:tc>
          <w:tcPr>
            <w:tcW w:w="8494" w:type="dxa"/>
            <w:tcBorders>
              <w:top w:val="single" w:sz="4" w:space="0" w:color="auto"/>
              <w:left w:val="single" w:sz="4" w:space="0" w:color="auto"/>
              <w:bottom w:val="single" w:sz="4" w:space="0" w:color="auto"/>
              <w:right w:val="single" w:sz="4" w:space="0" w:color="auto"/>
            </w:tcBorders>
            <w:shd w:val="clear" w:color="auto" w:fill="000000" w:themeFill="text1"/>
            <w:hideMark/>
          </w:tcPr>
          <w:p w14:paraId="798C12D0" w14:textId="77777777" w:rsidR="002D1D7C" w:rsidRPr="002D1D7C" w:rsidRDefault="002D1D7C" w:rsidP="002D1D7C">
            <w:pPr>
              <w:jc w:val="center"/>
              <w:rPr>
                <w:rFonts w:asciiTheme="minorHAnsi" w:eastAsia="MS Mincho" w:hAnsiTheme="minorHAnsi" w:cstheme="minorHAnsi"/>
                <w:color w:val="FFFFFF" w:themeColor="background1"/>
                <w:sz w:val="21"/>
                <w:szCs w:val="21"/>
                <w:lang w:val="en-US" w:eastAsia="en-AU"/>
              </w:rPr>
            </w:pPr>
            <w:r w:rsidRPr="002D1D7C">
              <w:rPr>
                <w:rFonts w:asciiTheme="minorHAnsi" w:eastAsia="MS Mincho" w:hAnsiTheme="minorHAnsi" w:cstheme="minorHAnsi"/>
                <w:sz w:val="21"/>
                <w:szCs w:val="21"/>
                <w:lang w:val="en-US" w:eastAsia="en-AU"/>
              </w:rPr>
              <w:t xml:space="preserve">Out-of-pocket costs, healthcare </w:t>
            </w:r>
            <w:proofErr w:type="spellStart"/>
            <w:r w:rsidRPr="002D1D7C">
              <w:rPr>
                <w:rFonts w:asciiTheme="minorHAnsi" w:eastAsia="MS Mincho" w:hAnsiTheme="minorHAnsi" w:cstheme="minorHAnsi"/>
                <w:sz w:val="21"/>
                <w:szCs w:val="21"/>
                <w:lang w:val="en-US" w:eastAsia="en-AU"/>
              </w:rPr>
              <w:t>utilisation</w:t>
            </w:r>
            <w:proofErr w:type="spellEnd"/>
            <w:r w:rsidRPr="002D1D7C">
              <w:rPr>
                <w:rFonts w:asciiTheme="minorHAnsi" w:eastAsia="MS Mincho" w:hAnsiTheme="minorHAnsi" w:cstheme="minorHAnsi"/>
                <w:sz w:val="21"/>
                <w:szCs w:val="21"/>
                <w:lang w:val="en-US" w:eastAsia="en-AU"/>
              </w:rPr>
              <w:t xml:space="preserve">, </w:t>
            </w:r>
            <w:proofErr w:type="gramStart"/>
            <w:r w:rsidRPr="002D1D7C">
              <w:rPr>
                <w:rFonts w:asciiTheme="minorHAnsi" w:eastAsia="MS Mincho" w:hAnsiTheme="minorHAnsi" w:cstheme="minorHAnsi"/>
                <w:sz w:val="21"/>
                <w:szCs w:val="21"/>
                <w:lang w:val="en-US" w:eastAsia="en-AU"/>
              </w:rPr>
              <w:t>medication</w:t>
            </w:r>
            <w:proofErr w:type="gramEnd"/>
            <w:r w:rsidRPr="002D1D7C">
              <w:rPr>
                <w:rFonts w:asciiTheme="minorHAnsi" w:eastAsia="MS Mincho" w:hAnsiTheme="minorHAnsi" w:cstheme="minorHAnsi"/>
                <w:sz w:val="21"/>
                <w:szCs w:val="21"/>
                <w:lang w:val="en-US" w:eastAsia="en-AU"/>
              </w:rPr>
              <w:t xml:space="preserve"> and productivity</w:t>
            </w:r>
          </w:p>
        </w:tc>
      </w:tr>
    </w:tbl>
    <w:p w14:paraId="1839F1F8" w14:textId="77777777" w:rsidR="002D1D7C" w:rsidRPr="002D1D7C" w:rsidRDefault="002D1D7C" w:rsidP="00140C5B">
      <w:pPr>
        <w:numPr>
          <w:ilvl w:val="0"/>
          <w:numId w:val="72"/>
        </w:numPr>
        <w:contextualSpacing/>
        <w:rPr>
          <w:rFonts w:asciiTheme="minorHAnsi" w:hAnsiTheme="minorHAnsi" w:cstheme="minorHAnsi"/>
          <w:b/>
          <w:sz w:val="21"/>
          <w:szCs w:val="21"/>
          <w:shd w:val="clear" w:color="auto" w:fill="FFFFFF"/>
        </w:rPr>
      </w:pPr>
      <w:r w:rsidRPr="002D1D7C">
        <w:rPr>
          <w:rFonts w:asciiTheme="minorHAnsi" w:hAnsiTheme="minorHAnsi" w:cstheme="minorHAnsi"/>
          <w:b/>
          <w:sz w:val="21"/>
          <w:szCs w:val="21"/>
          <w:shd w:val="clear" w:color="auto" w:fill="FFFFFF"/>
        </w:rPr>
        <w:t>In the past six months, how many times have you used a supported digital mental health service?</w:t>
      </w:r>
    </w:p>
    <w:p w14:paraId="0204693A" w14:textId="77777777" w:rsidR="002D1D7C" w:rsidRPr="00317305" w:rsidRDefault="002D1D7C" w:rsidP="00140C5B">
      <w:pPr>
        <w:numPr>
          <w:ilvl w:val="0"/>
          <w:numId w:val="51"/>
        </w:numPr>
        <w:contextualSpacing/>
        <w:rPr>
          <w:rFonts w:asciiTheme="minorHAnsi" w:hAnsiTheme="minorHAnsi" w:cstheme="minorHAnsi"/>
          <w:sz w:val="21"/>
          <w:szCs w:val="21"/>
          <w:shd w:val="clear" w:color="auto" w:fill="FFFFFF"/>
        </w:rPr>
      </w:pPr>
      <w:r w:rsidRPr="00317305">
        <w:rPr>
          <w:rFonts w:asciiTheme="minorHAnsi" w:hAnsiTheme="minorHAnsi" w:cstheme="minorHAnsi"/>
          <w:sz w:val="21"/>
          <w:szCs w:val="21"/>
          <w:shd w:val="clear" w:color="auto" w:fill="FFFFFF"/>
        </w:rPr>
        <w:t>Once</w:t>
      </w:r>
    </w:p>
    <w:p w14:paraId="7E457709" w14:textId="77777777" w:rsidR="002D1D7C" w:rsidRPr="00317305" w:rsidRDefault="002D1D7C" w:rsidP="00140C5B">
      <w:pPr>
        <w:numPr>
          <w:ilvl w:val="0"/>
          <w:numId w:val="51"/>
        </w:numPr>
        <w:contextualSpacing/>
        <w:rPr>
          <w:rFonts w:asciiTheme="minorHAnsi" w:hAnsiTheme="minorHAnsi" w:cstheme="minorHAnsi"/>
          <w:sz w:val="21"/>
          <w:szCs w:val="21"/>
          <w:shd w:val="clear" w:color="auto" w:fill="FFFFFF"/>
        </w:rPr>
      </w:pPr>
      <w:r w:rsidRPr="00317305">
        <w:rPr>
          <w:rFonts w:asciiTheme="minorHAnsi" w:hAnsiTheme="minorHAnsi" w:cstheme="minorHAnsi"/>
          <w:sz w:val="21"/>
          <w:szCs w:val="21"/>
          <w:shd w:val="clear" w:color="auto" w:fill="FFFFFF"/>
        </w:rPr>
        <w:t>Twice</w:t>
      </w:r>
    </w:p>
    <w:p w14:paraId="49F4917A" w14:textId="77777777" w:rsidR="002D1D7C" w:rsidRPr="00317305" w:rsidRDefault="002D1D7C" w:rsidP="00140C5B">
      <w:pPr>
        <w:numPr>
          <w:ilvl w:val="0"/>
          <w:numId w:val="51"/>
        </w:numPr>
        <w:contextualSpacing/>
        <w:rPr>
          <w:rFonts w:asciiTheme="minorHAnsi" w:hAnsiTheme="minorHAnsi" w:cstheme="minorHAnsi"/>
          <w:sz w:val="21"/>
          <w:szCs w:val="21"/>
          <w:shd w:val="clear" w:color="auto" w:fill="FFFFFF"/>
        </w:rPr>
      </w:pPr>
      <w:r w:rsidRPr="00317305">
        <w:rPr>
          <w:rFonts w:asciiTheme="minorHAnsi" w:hAnsiTheme="minorHAnsi" w:cstheme="minorHAnsi"/>
          <w:sz w:val="21"/>
          <w:szCs w:val="21"/>
          <w:shd w:val="clear" w:color="auto" w:fill="FFFFFF"/>
        </w:rPr>
        <w:t>Three times</w:t>
      </w:r>
    </w:p>
    <w:p w14:paraId="467DD3CE"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 xml:space="preserve">Other, please </w:t>
      </w:r>
      <w:proofErr w:type="gramStart"/>
      <w:r w:rsidRPr="002D1D7C">
        <w:rPr>
          <w:rFonts w:asciiTheme="minorHAnsi" w:hAnsiTheme="minorHAnsi" w:cstheme="minorHAnsi"/>
          <w:sz w:val="21"/>
          <w:szCs w:val="21"/>
          <w:shd w:val="clear" w:color="auto" w:fill="FFFFFF"/>
        </w:rPr>
        <w:t>specify</w:t>
      </w:r>
      <w:r w:rsidRPr="00317305">
        <w:rPr>
          <w:rFonts w:asciiTheme="minorHAnsi" w:hAnsiTheme="minorHAnsi" w:cstheme="minorHAnsi"/>
          <w:sz w:val="21"/>
          <w:szCs w:val="21"/>
          <w:shd w:val="clear" w:color="auto" w:fill="FFFFFF"/>
        </w:rPr>
        <w:t>:_</w:t>
      </w:r>
      <w:proofErr w:type="gramEnd"/>
      <w:r w:rsidRPr="00317305">
        <w:rPr>
          <w:rFonts w:asciiTheme="minorHAnsi" w:hAnsiTheme="minorHAnsi" w:cstheme="minorHAnsi"/>
          <w:sz w:val="21"/>
          <w:szCs w:val="21"/>
          <w:shd w:val="clear" w:color="auto" w:fill="FFFFFF"/>
        </w:rPr>
        <w:t>_______________________ (whole numbers only</w:t>
      </w:r>
      <w:r w:rsidRPr="002D1D7C">
        <w:rPr>
          <w:rFonts w:asciiTheme="minorHAnsi" w:eastAsia="MS Mincho" w:hAnsiTheme="minorHAnsi" w:cstheme="minorHAnsi"/>
          <w:sz w:val="21"/>
          <w:szCs w:val="21"/>
        </w:rPr>
        <w:t>)</w:t>
      </w:r>
    </w:p>
    <w:p w14:paraId="6433618C" w14:textId="77777777" w:rsidR="002D1D7C" w:rsidRPr="002D1D7C" w:rsidRDefault="002D1D7C" w:rsidP="002D1D7C">
      <w:pPr>
        <w:ind w:left="720"/>
        <w:contextualSpacing/>
        <w:rPr>
          <w:rFonts w:asciiTheme="minorHAnsi" w:hAnsiTheme="minorHAnsi" w:cstheme="minorHAnsi"/>
          <w:b/>
          <w:sz w:val="21"/>
          <w:szCs w:val="21"/>
          <w:shd w:val="clear" w:color="auto" w:fill="FFFFFF"/>
        </w:rPr>
      </w:pPr>
    </w:p>
    <w:p w14:paraId="22321E4A" w14:textId="77777777" w:rsidR="002D1D7C" w:rsidRPr="002D1D7C" w:rsidRDefault="002D1D7C" w:rsidP="00140C5B">
      <w:pPr>
        <w:numPr>
          <w:ilvl w:val="0"/>
          <w:numId w:val="72"/>
        </w:numPr>
        <w:contextualSpacing/>
        <w:rPr>
          <w:rFonts w:asciiTheme="minorHAnsi" w:hAnsiTheme="minorHAnsi" w:cstheme="minorHAnsi"/>
          <w:b/>
          <w:sz w:val="21"/>
          <w:szCs w:val="21"/>
          <w:shd w:val="clear" w:color="auto" w:fill="FFFFFF"/>
        </w:rPr>
      </w:pPr>
      <w:r w:rsidRPr="002D1D7C">
        <w:rPr>
          <w:rFonts w:asciiTheme="minorHAnsi" w:hAnsiTheme="minorHAnsi" w:cstheme="minorHAnsi"/>
          <w:b/>
          <w:sz w:val="21"/>
          <w:szCs w:val="21"/>
          <w:shd w:val="clear" w:color="auto" w:fill="FFFFFF"/>
        </w:rPr>
        <w:t>On average, how much of your own money did you pay for each supported digital mental health service that you have accessed?</w:t>
      </w:r>
    </w:p>
    <w:p w14:paraId="77C0BBF8"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 xml:space="preserve"> $</w:t>
      </w:r>
      <w:r w:rsidRPr="00317305">
        <w:rPr>
          <w:rFonts w:asciiTheme="minorHAnsi" w:hAnsiTheme="minorHAnsi" w:cstheme="minorHAnsi"/>
          <w:sz w:val="21"/>
          <w:szCs w:val="21"/>
          <w:shd w:val="clear" w:color="auto" w:fill="FFFFFF"/>
        </w:rPr>
        <w:t>____________ (whole numbers only)</w:t>
      </w:r>
    </w:p>
    <w:p w14:paraId="37F8170D" w14:textId="77777777" w:rsidR="002D1D7C" w:rsidRPr="002D1D7C" w:rsidRDefault="002D1D7C" w:rsidP="002D1D7C">
      <w:pPr>
        <w:ind w:left="720"/>
        <w:contextualSpacing/>
        <w:rPr>
          <w:rFonts w:asciiTheme="minorHAnsi" w:hAnsiTheme="minorHAnsi" w:cstheme="minorHAnsi"/>
          <w:b/>
          <w:sz w:val="21"/>
          <w:szCs w:val="21"/>
          <w:shd w:val="clear" w:color="auto" w:fill="FFFFFF"/>
        </w:rPr>
      </w:pPr>
    </w:p>
    <w:p w14:paraId="43990E3C" w14:textId="77777777" w:rsidR="002D1D7C" w:rsidRPr="002D1D7C" w:rsidRDefault="002D1D7C" w:rsidP="00140C5B">
      <w:pPr>
        <w:numPr>
          <w:ilvl w:val="0"/>
          <w:numId w:val="72"/>
        </w:numPr>
        <w:contextualSpacing/>
        <w:rPr>
          <w:rFonts w:asciiTheme="minorHAnsi" w:hAnsiTheme="minorHAnsi" w:cstheme="minorHAnsi"/>
          <w:b/>
          <w:sz w:val="21"/>
          <w:szCs w:val="21"/>
          <w:shd w:val="clear" w:color="auto" w:fill="FFFFFF"/>
        </w:rPr>
      </w:pPr>
      <w:r w:rsidRPr="002D1D7C">
        <w:rPr>
          <w:rFonts w:asciiTheme="minorHAnsi" w:hAnsiTheme="minorHAnsi" w:cstheme="minorHAnsi"/>
          <w:b/>
          <w:sz w:val="21"/>
          <w:szCs w:val="21"/>
          <w:shd w:val="clear" w:color="auto" w:fill="FFFFFF"/>
        </w:rPr>
        <w:t>In the past six months, how many times did you see a GP because of your mental health?</w:t>
      </w:r>
    </w:p>
    <w:p w14:paraId="61C3FCB2"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No, I did not see one (go to question 5)</w:t>
      </w:r>
    </w:p>
    <w:p w14:paraId="36C21DE5"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317305">
        <w:rPr>
          <w:rFonts w:asciiTheme="minorHAnsi" w:hAnsiTheme="minorHAnsi" w:cstheme="minorHAnsi"/>
          <w:sz w:val="21"/>
          <w:szCs w:val="21"/>
          <w:shd w:val="clear" w:color="auto" w:fill="FFFFFF"/>
        </w:rPr>
        <w:t>Once</w:t>
      </w:r>
    </w:p>
    <w:p w14:paraId="50019CE0"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Twice</w:t>
      </w:r>
    </w:p>
    <w:p w14:paraId="68EC308A"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Three times</w:t>
      </w:r>
    </w:p>
    <w:p w14:paraId="480EFEF1"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 xml:space="preserve">Other, please </w:t>
      </w:r>
      <w:proofErr w:type="gramStart"/>
      <w:r w:rsidRPr="002D1D7C">
        <w:rPr>
          <w:rFonts w:asciiTheme="minorHAnsi" w:hAnsiTheme="minorHAnsi" w:cstheme="minorHAnsi"/>
          <w:sz w:val="21"/>
          <w:szCs w:val="21"/>
          <w:shd w:val="clear" w:color="auto" w:fill="FFFFFF"/>
        </w:rPr>
        <w:t>specify</w:t>
      </w:r>
      <w:r w:rsidRPr="00317305">
        <w:rPr>
          <w:rFonts w:asciiTheme="minorHAnsi" w:hAnsiTheme="minorHAnsi" w:cstheme="minorHAnsi"/>
          <w:sz w:val="21"/>
          <w:szCs w:val="21"/>
          <w:shd w:val="clear" w:color="auto" w:fill="FFFFFF"/>
        </w:rPr>
        <w:t>:_</w:t>
      </w:r>
      <w:proofErr w:type="gramEnd"/>
      <w:r w:rsidRPr="00317305">
        <w:rPr>
          <w:rFonts w:asciiTheme="minorHAnsi" w:hAnsiTheme="minorHAnsi" w:cstheme="minorHAnsi"/>
          <w:sz w:val="21"/>
          <w:szCs w:val="21"/>
          <w:shd w:val="clear" w:color="auto" w:fill="FFFFFF"/>
        </w:rPr>
        <w:t>_______________________ (whole numbers only)</w:t>
      </w:r>
    </w:p>
    <w:p w14:paraId="0257311B" w14:textId="77777777" w:rsidR="002D1D7C" w:rsidRPr="002D1D7C" w:rsidRDefault="002D1D7C" w:rsidP="002D1D7C">
      <w:pPr>
        <w:rPr>
          <w:rFonts w:asciiTheme="minorHAnsi" w:hAnsiTheme="minorHAnsi" w:cstheme="minorHAnsi"/>
          <w:sz w:val="21"/>
          <w:szCs w:val="21"/>
          <w:shd w:val="clear" w:color="auto" w:fill="FFFFFF"/>
        </w:rPr>
      </w:pPr>
    </w:p>
    <w:p w14:paraId="66038C35" w14:textId="77777777" w:rsidR="002D1D7C" w:rsidRPr="002D1D7C" w:rsidRDefault="002D1D7C" w:rsidP="00140C5B">
      <w:pPr>
        <w:numPr>
          <w:ilvl w:val="0"/>
          <w:numId w:val="72"/>
        </w:numPr>
        <w:contextualSpacing/>
        <w:rPr>
          <w:rFonts w:asciiTheme="minorHAnsi" w:hAnsiTheme="minorHAnsi" w:cstheme="minorHAnsi"/>
          <w:b/>
          <w:sz w:val="21"/>
          <w:szCs w:val="21"/>
          <w:shd w:val="clear" w:color="auto" w:fill="FFFFFF"/>
        </w:rPr>
      </w:pPr>
      <w:r w:rsidRPr="002D1D7C">
        <w:rPr>
          <w:rFonts w:asciiTheme="minorHAnsi" w:hAnsiTheme="minorHAnsi" w:cstheme="minorHAnsi"/>
          <w:b/>
          <w:sz w:val="21"/>
          <w:szCs w:val="21"/>
          <w:shd w:val="clear" w:color="auto" w:fill="FFFFFF"/>
        </w:rPr>
        <w:t xml:space="preserve">On average, how much of your own money did you pay each time you saw a GP? </w:t>
      </w:r>
    </w:p>
    <w:p w14:paraId="3126BE53" w14:textId="77777777" w:rsidR="002D1D7C" w:rsidRPr="002D1D7C" w:rsidRDefault="002D1D7C" w:rsidP="00140C5B">
      <w:pPr>
        <w:numPr>
          <w:ilvl w:val="1"/>
          <w:numId w:val="72"/>
        </w:numPr>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w:t>
      </w:r>
      <w:r w:rsidRPr="002D1D7C">
        <w:rPr>
          <w:rFonts w:asciiTheme="minorHAnsi" w:eastAsia="MS Mincho" w:hAnsiTheme="minorHAnsi" w:cstheme="minorHAnsi"/>
          <w:sz w:val="21"/>
          <w:szCs w:val="21"/>
        </w:rPr>
        <w:t>____________ (whole numbers only)</w:t>
      </w:r>
    </w:p>
    <w:p w14:paraId="3660444E" w14:textId="77777777" w:rsidR="002D1D7C" w:rsidRPr="002D1D7C" w:rsidRDefault="002D1D7C" w:rsidP="002D1D7C">
      <w:pPr>
        <w:rPr>
          <w:rFonts w:asciiTheme="minorHAnsi" w:eastAsia="MS Mincho" w:hAnsiTheme="minorHAnsi" w:cstheme="minorHAnsi"/>
          <w:b/>
          <w:sz w:val="21"/>
          <w:szCs w:val="21"/>
          <w:lang w:val="en-US"/>
        </w:rPr>
      </w:pPr>
    </w:p>
    <w:p w14:paraId="2629291F" w14:textId="77777777" w:rsidR="002D1D7C" w:rsidRPr="002D1D7C" w:rsidRDefault="002D1D7C" w:rsidP="00140C5B">
      <w:pPr>
        <w:numPr>
          <w:ilvl w:val="0"/>
          <w:numId w:val="72"/>
        </w:numPr>
        <w:contextualSpacing/>
        <w:rPr>
          <w:rFonts w:asciiTheme="minorHAnsi" w:hAnsiTheme="minorHAnsi" w:cstheme="minorHAnsi"/>
          <w:b/>
          <w:sz w:val="21"/>
          <w:szCs w:val="21"/>
          <w:shd w:val="clear" w:color="auto" w:fill="FFFFFF"/>
        </w:rPr>
      </w:pPr>
      <w:r w:rsidRPr="002D1D7C">
        <w:rPr>
          <w:rFonts w:asciiTheme="minorHAnsi" w:hAnsiTheme="minorHAnsi" w:cstheme="minorHAnsi"/>
          <w:b/>
          <w:sz w:val="21"/>
          <w:szCs w:val="21"/>
          <w:shd w:val="clear" w:color="auto" w:fill="FFFFFF"/>
        </w:rPr>
        <w:t>In the past six months, how many times did you see a psychiatrist because of your mental health?</w:t>
      </w:r>
    </w:p>
    <w:p w14:paraId="141B5A5D"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No, I did not see one (go to question 7)</w:t>
      </w:r>
    </w:p>
    <w:p w14:paraId="78665BED"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317305">
        <w:rPr>
          <w:rFonts w:asciiTheme="minorHAnsi" w:hAnsiTheme="minorHAnsi" w:cstheme="minorHAnsi"/>
          <w:sz w:val="21"/>
          <w:szCs w:val="21"/>
          <w:shd w:val="clear" w:color="auto" w:fill="FFFFFF"/>
        </w:rPr>
        <w:t>Once</w:t>
      </w:r>
    </w:p>
    <w:p w14:paraId="09E19181"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Twice</w:t>
      </w:r>
    </w:p>
    <w:p w14:paraId="2D97C5D3"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Three times</w:t>
      </w:r>
    </w:p>
    <w:p w14:paraId="328CFFD4"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 xml:space="preserve">Other, please </w:t>
      </w:r>
      <w:proofErr w:type="gramStart"/>
      <w:r w:rsidRPr="002D1D7C">
        <w:rPr>
          <w:rFonts w:asciiTheme="minorHAnsi" w:hAnsiTheme="minorHAnsi" w:cstheme="minorHAnsi"/>
          <w:sz w:val="21"/>
          <w:szCs w:val="21"/>
          <w:shd w:val="clear" w:color="auto" w:fill="FFFFFF"/>
        </w:rPr>
        <w:t>specify</w:t>
      </w:r>
      <w:r w:rsidRPr="00317305">
        <w:rPr>
          <w:rFonts w:asciiTheme="minorHAnsi" w:hAnsiTheme="minorHAnsi" w:cstheme="minorHAnsi"/>
          <w:sz w:val="21"/>
          <w:szCs w:val="21"/>
          <w:shd w:val="clear" w:color="auto" w:fill="FFFFFF"/>
        </w:rPr>
        <w:t>:_</w:t>
      </w:r>
      <w:proofErr w:type="gramEnd"/>
      <w:r w:rsidRPr="00317305">
        <w:rPr>
          <w:rFonts w:asciiTheme="minorHAnsi" w:hAnsiTheme="minorHAnsi" w:cstheme="minorHAnsi"/>
          <w:sz w:val="21"/>
          <w:szCs w:val="21"/>
          <w:shd w:val="clear" w:color="auto" w:fill="FFFFFF"/>
        </w:rPr>
        <w:t>_______________________ (whole numbers only)</w:t>
      </w:r>
    </w:p>
    <w:p w14:paraId="663F2920" w14:textId="77777777" w:rsidR="002D1D7C" w:rsidRPr="002D1D7C" w:rsidRDefault="002D1D7C" w:rsidP="002D1D7C">
      <w:pPr>
        <w:rPr>
          <w:rFonts w:asciiTheme="minorHAnsi" w:hAnsiTheme="minorHAnsi" w:cstheme="minorHAnsi"/>
          <w:sz w:val="21"/>
          <w:szCs w:val="21"/>
          <w:shd w:val="clear" w:color="auto" w:fill="FFFFFF"/>
        </w:rPr>
      </w:pPr>
    </w:p>
    <w:p w14:paraId="2019AAE9" w14:textId="77777777" w:rsidR="002D1D7C" w:rsidRPr="002D1D7C" w:rsidRDefault="002D1D7C" w:rsidP="00140C5B">
      <w:pPr>
        <w:numPr>
          <w:ilvl w:val="0"/>
          <w:numId w:val="72"/>
        </w:numPr>
        <w:contextualSpacing/>
        <w:rPr>
          <w:rFonts w:asciiTheme="minorHAnsi" w:hAnsiTheme="minorHAnsi" w:cstheme="minorHAnsi"/>
          <w:b/>
          <w:sz w:val="21"/>
          <w:szCs w:val="21"/>
          <w:shd w:val="clear" w:color="auto" w:fill="FFFFFF"/>
        </w:rPr>
      </w:pPr>
      <w:r w:rsidRPr="002D1D7C">
        <w:rPr>
          <w:rFonts w:asciiTheme="minorHAnsi" w:hAnsiTheme="minorHAnsi" w:cstheme="minorHAnsi"/>
          <w:b/>
          <w:sz w:val="21"/>
          <w:szCs w:val="21"/>
          <w:shd w:val="clear" w:color="auto" w:fill="FFFFFF"/>
        </w:rPr>
        <w:t xml:space="preserve">On average, how much of your own money did you pay each time you saw a psychiatrist? </w:t>
      </w:r>
    </w:p>
    <w:p w14:paraId="0BFE39F8" w14:textId="78085970" w:rsidR="002D1D7C" w:rsidRPr="003E08E8" w:rsidRDefault="002D1D7C" w:rsidP="00140C5B">
      <w:pPr>
        <w:numPr>
          <w:ilvl w:val="1"/>
          <w:numId w:val="72"/>
        </w:numPr>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w:t>
      </w:r>
      <w:r w:rsidRPr="002D1D7C">
        <w:rPr>
          <w:rFonts w:asciiTheme="minorHAnsi" w:eastAsia="MS Mincho" w:hAnsiTheme="minorHAnsi" w:cstheme="minorHAnsi"/>
          <w:sz w:val="21"/>
          <w:szCs w:val="21"/>
        </w:rPr>
        <w:t>____________ (whole numbers only)</w:t>
      </w:r>
    </w:p>
    <w:p w14:paraId="33028FB9" w14:textId="20BF83D2" w:rsidR="002D1D7C" w:rsidRPr="002D1D7C" w:rsidRDefault="002D1D7C" w:rsidP="00140C5B">
      <w:pPr>
        <w:numPr>
          <w:ilvl w:val="0"/>
          <w:numId w:val="72"/>
        </w:numPr>
        <w:contextualSpacing/>
        <w:rPr>
          <w:rFonts w:asciiTheme="minorHAnsi" w:hAnsiTheme="minorHAnsi" w:cstheme="minorHAnsi"/>
          <w:b/>
          <w:sz w:val="21"/>
          <w:szCs w:val="21"/>
          <w:shd w:val="clear" w:color="auto" w:fill="FFFFFF"/>
        </w:rPr>
      </w:pPr>
      <w:r w:rsidRPr="002D1D7C">
        <w:rPr>
          <w:rFonts w:asciiTheme="minorHAnsi" w:hAnsiTheme="minorHAnsi" w:cstheme="minorHAnsi"/>
          <w:b/>
          <w:sz w:val="21"/>
          <w:szCs w:val="21"/>
          <w:shd w:val="clear" w:color="auto" w:fill="FFFFFF"/>
        </w:rPr>
        <w:t>In the past six months, how many times did you see a psychologist because of your mental health?</w:t>
      </w:r>
    </w:p>
    <w:p w14:paraId="045081A1"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No, I did not see one (go to question 9)</w:t>
      </w:r>
    </w:p>
    <w:p w14:paraId="1F89B3AA"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317305">
        <w:rPr>
          <w:rFonts w:asciiTheme="minorHAnsi" w:hAnsiTheme="minorHAnsi" w:cstheme="minorHAnsi"/>
          <w:sz w:val="21"/>
          <w:szCs w:val="21"/>
          <w:shd w:val="clear" w:color="auto" w:fill="FFFFFF"/>
        </w:rPr>
        <w:t>Once</w:t>
      </w:r>
    </w:p>
    <w:p w14:paraId="00BE40C0"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Twice</w:t>
      </w:r>
    </w:p>
    <w:p w14:paraId="1DC6BDE0"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Three times</w:t>
      </w:r>
    </w:p>
    <w:p w14:paraId="6C6EEFB9"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 xml:space="preserve">Other, please </w:t>
      </w:r>
      <w:proofErr w:type="gramStart"/>
      <w:r w:rsidRPr="002D1D7C">
        <w:rPr>
          <w:rFonts w:asciiTheme="minorHAnsi" w:hAnsiTheme="minorHAnsi" w:cstheme="minorHAnsi"/>
          <w:sz w:val="21"/>
          <w:szCs w:val="21"/>
          <w:shd w:val="clear" w:color="auto" w:fill="FFFFFF"/>
        </w:rPr>
        <w:t>specify</w:t>
      </w:r>
      <w:r w:rsidRPr="00317305">
        <w:rPr>
          <w:rFonts w:asciiTheme="minorHAnsi" w:hAnsiTheme="minorHAnsi" w:cstheme="minorHAnsi"/>
          <w:sz w:val="21"/>
          <w:szCs w:val="21"/>
          <w:shd w:val="clear" w:color="auto" w:fill="FFFFFF"/>
        </w:rPr>
        <w:t>:_</w:t>
      </w:r>
      <w:proofErr w:type="gramEnd"/>
      <w:r w:rsidRPr="00317305">
        <w:rPr>
          <w:rFonts w:asciiTheme="minorHAnsi" w:hAnsiTheme="minorHAnsi" w:cstheme="minorHAnsi"/>
          <w:sz w:val="21"/>
          <w:szCs w:val="21"/>
          <w:shd w:val="clear" w:color="auto" w:fill="FFFFFF"/>
        </w:rPr>
        <w:t>_______________________ (whole numbers only)</w:t>
      </w:r>
    </w:p>
    <w:p w14:paraId="76EF7E22" w14:textId="77777777" w:rsidR="002D1D7C" w:rsidRPr="002D1D7C" w:rsidRDefault="002D1D7C" w:rsidP="002D1D7C">
      <w:pPr>
        <w:rPr>
          <w:rFonts w:asciiTheme="minorHAnsi" w:hAnsiTheme="minorHAnsi" w:cstheme="minorHAnsi"/>
          <w:sz w:val="21"/>
          <w:szCs w:val="21"/>
          <w:shd w:val="clear" w:color="auto" w:fill="FFFFFF"/>
        </w:rPr>
      </w:pPr>
    </w:p>
    <w:p w14:paraId="5CC6D290" w14:textId="77777777" w:rsidR="002D1D7C" w:rsidRPr="002D1D7C" w:rsidRDefault="002D1D7C" w:rsidP="00140C5B">
      <w:pPr>
        <w:numPr>
          <w:ilvl w:val="0"/>
          <w:numId w:val="72"/>
        </w:numPr>
        <w:contextualSpacing/>
        <w:rPr>
          <w:rFonts w:asciiTheme="minorHAnsi" w:hAnsiTheme="minorHAnsi" w:cstheme="minorHAnsi"/>
          <w:b/>
          <w:sz w:val="21"/>
          <w:szCs w:val="21"/>
          <w:shd w:val="clear" w:color="auto" w:fill="FFFFFF"/>
        </w:rPr>
      </w:pPr>
      <w:r w:rsidRPr="002D1D7C">
        <w:rPr>
          <w:rFonts w:asciiTheme="minorHAnsi" w:hAnsiTheme="minorHAnsi" w:cstheme="minorHAnsi"/>
          <w:b/>
          <w:sz w:val="21"/>
          <w:szCs w:val="21"/>
          <w:shd w:val="clear" w:color="auto" w:fill="FFFFFF"/>
        </w:rPr>
        <w:t xml:space="preserve">On average, how much of your own money did you pay each time you saw a psychologist? </w:t>
      </w:r>
    </w:p>
    <w:p w14:paraId="5288D406" w14:textId="77777777" w:rsidR="002D1D7C" w:rsidRPr="002D1D7C" w:rsidRDefault="002D1D7C" w:rsidP="00077F02">
      <w:pPr>
        <w:ind w:left="710"/>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w:t>
      </w:r>
      <w:r w:rsidRPr="002D1D7C">
        <w:rPr>
          <w:rFonts w:asciiTheme="minorHAnsi" w:eastAsia="MS Mincho" w:hAnsiTheme="minorHAnsi" w:cstheme="minorHAnsi"/>
          <w:sz w:val="21"/>
          <w:szCs w:val="21"/>
        </w:rPr>
        <w:t>____________ (whole numbers only)</w:t>
      </w:r>
    </w:p>
    <w:p w14:paraId="663AD1BB" w14:textId="77777777" w:rsidR="002D1D7C" w:rsidRPr="002D1D7C" w:rsidRDefault="002D1D7C" w:rsidP="002D1D7C">
      <w:pPr>
        <w:rPr>
          <w:rFonts w:asciiTheme="minorHAnsi" w:eastAsia="MS Mincho" w:hAnsiTheme="minorHAnsi" w:cstheme="minorHAnsi"/>
          <w:b/>
          <w:sz w:val="21"/>
          <w:szCs w:val="21"/>
          <w:lang w:val="en-US"/>
        </w:rPr>
      </w:pPr>
    </w:p>
    <w:p w14:paraId="798CCDD2" w14:textId="77777777" w:rsidR="002D1D7C" w:rsidRPr="002D1D7C" w:rsidRDefault="002D1D7C" w:rsidP="00140C5B">
      <w:pPr>
        <w:numPr>
          <w:ilvl w:val="0"/>
          <w:numId w:val="72"/>
        </w:numPr>
        <w:contextualSpacing/>
        <w:rPr>
          <w:rFonts w:asciiTheme="minorHAnsi" w:hAnsiTheme="minorHAnsi" w:cstheme="minorHAnsi"/>
          <w:b/>
          <w:sz w:val="21"/>
          <w:szCs w:val="21"/>
          <w:shd w:val="clear" w:color="auto" w:fill="FFFFFF"/>
        </w:rPr>
      </w:pPr>
      <w:r w:rsidRPr="002D1D7C">
        <w:rPr>
          <w:rFonts w:asciiTheme="minorHAnsi" w:hAnsiTheme="minorHAnsi" w:cstheme="minorHAnsi"/>
          <w:b/>
          <w:sz w:val="21"/>
          <w:szCs w:val="21"/>
          <w:shd w:val="clear" w:color="auto" w:fill="FFFFFF"/>
        </w:rPr>
        <w:t xml:space="preserve">In the past six months, how many times did you see another allied health professional because of your mental health? (e.g., occupational therapist, counsellor, social worker) </w:t>
      </w:r>
    </w:p>
    <w:p w14:paraId="29C0D7CB"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No, I did not see one (go to question 11)</w:t>
      </w:r>
    </w:p>
    <w:p w14:paraId="66234CCD"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317305">
        <w:rPr>
          <w:rFonts w:asciiTheme="minorHAnsi" w:hAnsiTheme="minorHAnsi" w:cstheme="minorHAnsi"/>
          <w:sz w:val="21"/>
          <w:szCs w:val="21"/>
          <w:shd w:val="clear" w:color="auto" w:fill="FFFFFF"/>
        </w:rPr>
        <w:t>Once</w:t>
      </w:r>
    </w:p>
    <w:p w14:paraId="73464E4E"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Twice</w:t>
      </w:r>
    </w:p>
    <w:p w14:paraId="6B36ED83"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Three times</w:t>
      </w:r>
    </w:p>
    <w:p w14:paraId="35429913"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 xml:space="preserve">Other, please </w:t>
      </w:r>
      <w:proofErr w:type="gramStart"/>
      <w:r w:rsidRPr="002D1D7C">
        <w:rPr>
          <w:rFonts w:asciiTheme="minorHAnsi" w:hAnsiTheme="minorHAnsi" w:cstheme="minorHAnsi"/>
          <w:sz w:val="21"/>
          <w:szCs w:val="21"/>
          <w:shd w:val="clear" w:color="auto" w:fill="FFFFFF"/>
        </w:rPr>
        <w:t>specify</w:t>
      </w:r>
      <w:r w:rsidRPr="00317305">
        <w:rPr>
          <w:rFonts w:asciiTheme="minorHAnsi" w:hAnsiTheme="minorHAnsi" w:cstheme="minorHAnsi"/>
          <w:sz w:val="21"/>
          <w:szCs w:val="21"/>
          <w:shd w:val="clear" w:color="auto" w:fill="FFFFFF"/>
        </w:rPr>
        <w:t>:_</w:t>
      </w:r>
      <w:proofErr w:type="gramEnd"/>
      <w:r w:rsidRPr="00317305">
        <w:rPr>
          <w:rFonts w:asciiTheme="minorHAnsi" w:hAnsiTheme="minorHAnsi" w:cstheme="minorHAnsi"/>
          <w:sz w:val="21"/>
          <w:szCs w:val="21"/>
          <w:shd w:val="clear" w:color="auto" w:fill="FFFFFF"/>
        </w:rPr>
        <w:t>_______________________ (whole numbers only)</w:t>
      </w:r>
    </w:p>
    <w:p w14:paraId="56F749B0" w14:textId="77777777" w:rsidR="002D1D7C" w:rsidRPr="002D1D7C" w:rsidRDefault="002D1D7C" w:rsidP="002D1D7C">
      <w:pPr>
        <w:rPr>
          <w:rFonts w:asciiTheme="minorHAnsi" w:hAnsiTheme="minorHAnsi" w:cstheme="minorHAnsi"/>
          <w:sz w:val="21"/>
          <w:szCs w:val="21"/>
          <w:shd w:val="clear" w:color="auto" w:fill="FFFFFF"/>
        </w:rPr>
      </w:pPr>
    </w:p>
    <w:p w14:paraId="67D2D255" w14:textId="77777777" w:rsidR="002D1D7C" w:rsidRPr="002D1D7C" w:rsidRDefault="002D1D7C" w:rsidP="00140C5B">
      <w:pPr>
        <w:numPr>
          <w:ilvl w:val="0"/>
          <w:numId w:val="72"/>
        </w:numPr>
        <w:contextualSpacing/>
        <w:rPr>
          <w:rFonts w:asciiTheme="minorHAnsi" w:hAnsiTheme="minorHAnsi" w:cstheme="minorHAnsi"/>
          <w:b/>
          <w:sz w:val="21"/>
          <w:szCs w:val="21"/>
          <w:shd w:val="clear" w:color="auto" w:fill="FFFFFF"/>
        </w:rPr>
      </w:pPr>
      <w:r w:rsidRPr="002D1D7C">
        <w:rPr>
          <w:rFonts w:asciiTheme="minorHAnsi" w:hAnsiTheme="minorHAnsi" w:cstheme="minorHAnsi"/>
          <w:b/>
          <w:sz w:val="21"/>
          <w:szCs w:val="21"/>
          <w:shd w:val="clear" w:color="auto" w:fill="FFFFFF"/>
        </w:rPr>
        <w:t xml:space="preserve">On average, how much of your own money did you pay each time you saw another allied health professional? </w:t>
      </w:r>
    </w:p>
    <w:p w14:paraId="1DDBE837" w14:textId="77777777" w:rsidR="002D1D7C" w:rsidRPr="002D1D7C" w:rsidRDefault="002D1D7C" w:rsidP="00077F02">
      <w:pPr>
        <w:ind w:left="710"/>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w:t>
      </w:r>
      <w:r w:rsidRPr="002D1D7C">
        <w:rPr>
          <w:rFonts w:asciiTheme="minorHAnsi" w:eastAsia="MS Mincho" w:hAnsiTheme="minorHAnsi" w:cstheme="minorHAnsi"/>
          <w:sz w:val="21"/>
          <w:szCs w:val="21"/>
        </w:rPr>
        <w:t>____________ (whole numbers only)</w:t>
      </w:r>
    </w:p>
    <w:p w14:paraId="18683796" w14:textId="77777777" w:rsidR="002D1D7C" w:rsidRPr="002D1D7C" w:rsidRDefault="002D1D7C" w:rsidP="002D1D7C">
      <w:pPr>
        <w:rPr>
          <w:rFonts w:asciiTheme="minorHAnsi" w:eastAsia="MS Mincho" w:hAnsiTheme="minorHAnsi" w:cstheme="minorHAnsi"/>
          <w:b/>
          <w:sz w:val="21"/>
          <w:szCs w:val="21"/>
          <w:lang w:val="en-US"/>
        </w:rPr>
      </w:pPr>
    </w:p>
    <w:p w14:paraId="71293268" w14:textId="77777777" w:rsidR="002D1D7C" w:rsidRPr="002D1D7C" w:rsidRDefault="002D1D7C" w:rsidP="00140C5B">
      <w:pPr>
        <w:numPr>
          <w:ilvl w:val="0"/>
          <w:numId w:val="72"/>
        </w:numPr>
        <w:contextualSpacing/>
        <w:rPr>
          <w:rFonts w:asciiTheme="minorHAnsi" w:hAnsiTheme="minorHAnsi" w:cstheme="minorHAnsi"/>
          <w:b/>
          <w:sz w:val="21"/>
          <w:szCs w:val="21"/>
          <w:shd w:val="clear" w:color="auto" w:fill="FFFFFF"/>
        </w:rPr>
      </w:pPr>
      <w:r w:rsidRPr="002D1D7C">
        <w:rPr>
          <w:rFonts w:asciiTheme="minorHAnsi" w:hAnsiTheme="minorHAnsi" w:cstheme="minorHAnsi"/>
          <w:b/>
          <w:sz w:val="21"/>
          <w:szCs w:val="21"/>
          <w:shd w:val="clear" w:color="auto" w:fill="FFFFFF"/>
        </w:rPr>
        <w:t>In the past six months, how many times have you received help from an ambulance for your mental health?</w:t>
      </w:r>
    </w:p>
    <w:p w14:paraId="547FB378" w14:textId="77777777" w:rsidR="002D1D7C" w:rsidRPr="00317305" w:rsidRDefault="002D1D7C" w:rsidP="00140C5B">
      <w:pPr>
        <w:numPr>
          <w:ilvl w:val="0"/>
          <w:numId w:val="51"/>
        </w:numPr>
        <w:contextualSpacing/>
        <w:rPr>
          <w:rFonts w:asciiTheme="minorHAnsi" w:hAnsiTheme="minorHAnsi" w:cstheme="minorHAnsi"/>
          <w:sz w:val="21"/>
          <w:szCs w:val="21"/>
          <w:shd w:val="clear" w:color="auto" w:fill="FFFFFF"/>
        </w:rPr>
      </w:pPr>
      <w:r w:rsidRPr="00317305">
        <w:rPr>
          <w:rFonts w:asciiTheme="minorHAnsi" w:hAnsiTheme="minorHAnsi" w:cstheme="minorHAnsi"/>
          <w:sz w:val="21"/>
          <w:szCs w:val="21"/>
          <w:shd w:val="clear" w:color="auto" w:fill="FFFFFF"/>
        </w:rPr>
        <w:t>No, I did not receive this help (go to question 13)</w:t>
      </w:r>
    </w:p>
    <w:p w14:paraId="4214EDD1" w14:textId="77777777" w:rsidR="002D1D7C" w:rsidRPr="00317305" w:rsidRDefault="002D1D7C" w:rsidP="00140C5B">
      <w:pPr>
        <w:numPr>
          <w:ilvl w:val="0"/>
          <w:numId w:val="51"/>
        </w:numPr>
        <w:contextualSpacing/>
        <w:rPr>
          <w:rFonts w:asciiTheme="minorHAnsi" w:hAnsiTheme="minorHAnsi" w:cstheme="minorHAnsi"/>
          <w:sz w:val="21"/>
          <w:szCs w:val="21"/>
          <w:shd w:val="clear" w:color="auto" w:fill="FFFFFF"/>
        </w:rPr>
      </w:pPr>
      <w:r w:rsidRPr="00317305">
        <w:rPr>
          <w:rFonts w:asciiTheme="minorHAnsi" w:hAnsiTheme="minorHAnsi" w:cstheme="minorHAnsi"/>
          <w:sz w:val="21"/>
          <w:szCs w:val="21"/>
          <w:shd w:val="clear" w:color="auto" w:fill="FFFFFF"/>
        </w:rPr>
        <w:t>Once</w:t>
      </w:r>
    </w:p>
    <w:p w14:paraId="37F441FE" w14:textId="77777777" w:rsidR="002D1D7C" w:rsidRPr="00317305" w:rsidRDefault="002D1D7C" w:rsidP="00140C5B">
      <w:pPr>
        <w:numPr>
          <w:ilvl w:val="0"/>
          <w:numId w:val="51"/>
        </w:numPr>
        <w:contextualSpacing/>
        <w:rPr>
          <w:rFonts w:asciiTheme="minorHAnsi" w:hAnsiTheme="minorHAnsi" w:cstheme="minorHAnsi"/>
          <w:sz w:val="21"/>
          <w:szCs w:val="21"/>
          <w:shd w:val="clear" w:color="auto" w:fill="FFFFFF"/>
        </w:rPr>
      </w:pPr>
      <w:r w:rsidRPr="00317305">
        <w:rPr>
          <w:rFonts w:asciiTheme="minorHAnsi" w:hAnsiTheme="minorHAnsi" w:cstheme="minorHAnsi"/>
          <w:sz w:val="21"/>
          <w:szCs w:val="21"/>
          <w:shd w:val="clear" w:color="auto" w:fill="FFFFFF"/>
        </w:rPr>
        <w:t>Twice</w:t>
      </w:r>
    </w:p>
    <w:p w14:paraId="309489A9" w14:textId="77777777" w:rsidR="002D1D7C" w:rsidRPr="00317305" w:rsidRDefault="002D1D7C" w:rsidP="00140C5B">
      <w:pPr>
        <w:numPr>
          <w:ilvl w:val="0"/>
          <w:numId w:val="51"/>
        </w:numPr>
        <w:contextualSpacing/>
        <w:rPr>
          <w:rFonts w:asciiTheme="minorHAnsi" w:hAnsiTheme="minorHAnsi" w:cstheme="minorHAnsi"/>
          <w:sz w:val="21"/>
          <w:szCs w:val="21"/>
          <w:shd w:val="clear" w:color="auto" w:fill="FFFFFF"/>
        </w:rPr>
      </w:pPr>
      <w:r w:rsidRPr="00317305">
        <w:rPr>
          <w:rFonts w:asciiTheme="minorHAnsi" w:hAnsiTheme="minorHAnsi" w:cstheme="minorHAnsi"/>
          <w:sz w:val="21"/>
          <w:szCs w:val="21"/>
          <w:shd w:val="clear" w:color="auto" w:fill="FFFFFF"/>
        </w:rPr>
        <w:t>Three times</w:t>
      </w:r>
    </w:p>
    <w:p w14:paraId="4D71F0CF"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 xml:space="preserve">Other, please </w:t>
      </w:r>
      <w:proofErr w:type="gramStart"/>
      <w:r w:rsidRPr="002D1D7C">
        <w:rPr>
          <w:rFonts w:asciiTheme="minorHAnsi" w:hAnsiTheme="minorHAnsi" w:cstheme="minorHAnsi"/>
          <w:sz w:val="21"/>
          <w:szCs w:val="21"/>
          <w:shd w:val="clear" w:color="auto" w:fill="FFFFFF"/>
        </w:rPr>
        <w:t>specify</w:t>
      </w:r>
      <w:r w:rsidRPr="00317305">
        <w:rPr>
          <w:rFonts w:asciiTheme="minorHAnsi" w:hAnsiTheme="minorHAnsi" w:cstheme="minorHAnsi"/>
          <w:sz w:val="21"/>
          <w:szCs w:val="21"/>
          <w:shd w:val="clear" w:color="auto" w:fill="FFFFFF"/>
        </w:rPr>
        <w:t>:_</w:t>
      </w:r>
      <w:proofErr w:type="gramEnd"/>
      <w:r w:rsidRPr="00317305">
        <w:rPr>
          <w:rFonts w:asciiTheme="minorHAnsi" w:hAnsiTheme="minorHAnsi" w:cstheme="minorHAnsi"/>
          <w:sz w:val="21"/>
          <w:szCs w:val="21"/>
          <w:shd w:val="clear" w:color="auto" w:fill="FFFFFF"/>
        </w:rPr>
        <w:t>_______________________ (whole numbers only)</w:t>
      </w:r>
    </w:p>
    <w:p w14:paraId="27301BEE" w14:textId="77777777" w:rsidR="002D1D7C" w:rsidRPr="002D1D7C" w:rsidRDefault="002D1D7C" w:rsidP="002D1D7C">
      <w:pPr>
        <w:rPr>
          <w:rFonts w:asciiTheme="minorHAnsi" w:eastAsia="MS Mincho" w:hAnsiTheme="minorHAnsi" w:cstheme="minorHAnsi"/>
          <w:b/>
          <w:sz w:val="21"/>
          <w:szCs w:val="21"/>
          <w:lang w:val="en-US"/>
        </w:rPr>
      </w:pPr>
    </w:p>
    <w:p w14:paraId="7BAC2E0F" w14:textId="77777777" w:rsidR="002D1D7C" w:rsidRPr="002D1D7C" w:rsidRDefault="002D1D7C" w:rsidP="00140C5B">
      <w:pPr>
        <w:numPr>
          <w:ilvl w:val="0"/>
          <w:numId w:val="72"/>
        </w:numPr>
        <w:contextualSpacing/>
        <w:rPr>
          <w:rFonts w:asciiTheme="minorHAnsi" w:hAnsiTheme="minorHAnsi" w:cstheme="minorHAnsi"/>
          <w:b/>
          <w:sz w:val="21"/>
          <w:szCs w:val="21"/>
          <w:shd w:val="clear" w:color="auto" w:fill="FFFFFF"/>
        </w:rPr>
      </w:pPr>
      <w:r w:rsidRPr="002D1D7C">
        <w:rPr>
          <w:rFonts w:asciiTheme="minorHAnsi" w:hAnsiTheme="minorHAnsi" w:cstheme="minorHAnsi"/>
          <w:b/>
          <w:sz w:val="21"/>
          <w:szCs w:val="21"/>
          <w:shd w:val="clear" w:color="auto" w:fill="FFFFFF"/>
        </w:rPr>
        <w:t>On average, how much of your own money did you pay each time you received help from an ambulance?</w:t>
      </w:r>
    </w:p>
    <w:p w14:paraId="176FE2EC" w14:textId="77777777" w:rsidR="002D1D7C" w:rsidRPr="002D1D7C" w:rsidRDefault="002D1D7C" w:rsidP="00077F02">
      <w:pPr>
        <w:ind w:left="710"/>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w:t>
      </w:r>
      <w:r w:rsidRPr="002D1D7C">
        <w:rPr>
          <w:rFonts w:asciiTheme="minorHAnsi" w:eastAsia="MS Mincho" w:hAnsiTheme="minorHAnsi" w:cstheme="minorHAnsi"/>
          <w:sz w:val="21"/>
          <w:szCs w:val="21"/>
        </w:rPr>
        <w:t>____________ (whole numbers only)</w:t>
      </w:r>
    </w:p>
    <w:p w14:paraId="3A6139BF" w14:textId="77777777" w:rsidR="002D1D7C" w:rsidRPr="002D1D7C" w:rsidRDefault="002D1D7C" w:rsidP="002D1D7C">
      <w:pPr>
        <w:rPr>
          <w:rFonts w:asciiTheme="minorHAnsi" w:eastAsia="MS Mincho" w:hAnsiTheme="minorHAnsi" w:cstheme="minorHAnsi"/>
          <w:b/>
          <w:sz w:val="21"/>
          <w:szCs w:val="21"/>
          <w:lang w:val="en-US"/>
        </w:rPr>
      </w:pPr>
    </w:p>
    <w:p w14:paraId="3EF12F33" w14:textId="77777777" w:rsidR="002D1D7C" w:rsidRPr="002D1D7C" w:rsidRDefault="002D1D7C" w:rsidP="00140C5B">
      <w:pPr>
        <w:numPr>
          <w:ilvl w:val="0"/>
          <w:numId w:val="72"/>
        </w:numPr>
        <w:contextualSpacing/>
        <w:rPr>
          <w:rFonts w:asciiTheme="minorHAnsi" w:hAnsiTheme="minorHAnsi" w:cstheme="minorHAnsi"/>
          <w:b/>
          <w:sz w:val="21"/>
          <w:szCs w:val="21"/>
          <w:shd w:val="clear" w:color="auto" w:fill="FFFFFF"/>
        </w:rPr>
      </w:pPr>
      <w:r w:rsidRPr="002D1D7C">
        <w:rPr>
          <w:rFonts w:asciiTheme="minorHAnsi" w:hAnsiTheme="minorHAnsi" w:cstheme="minorHAnsi"/>
          <w:b/>
          <w:sz w:val="21"/>
          <w:szCs w:val="21"/>
          <w:shd w:val="clear" w:color="auto" w:fill="FFFFFF"/>
        </w:rPr>
        <w:t>In the past six months, how many times have you attended a hospital emergency department or casualty ward for your mental health?</w:t>
      </w:r>
    </w:p>
    <w:p w14:paraId="45AC9710" w14:textId="77777777" w:rsidR="002D1D7C" w:rsidRPr="00077F02" w:rsidRDefault="002D1D7C" w:rsidP="00140C5B">
      <w:pPr>
        <w:numPr>
          <w:ilvl w:val="0"/>
          <w:numId w:val="51"/>
        </w:numPr>
        <w:contextualSpacing/>
        <w:rPr>
          <w:rFonts w:asciiTheme="minorHAnsi" w:hAnsiTheme="minorHAnsi" w:cstheme="minorHAnsi"/>
          <w:sz w:val="21"/>
          <w:szCs w:val="21"/>
          <w:shd w:val="clear" w:color="auto" w:fill="FFFFFF"/>
        </w:rPr>
      </w:pPr>
      <w:r w:rsidRPr="00077F02">
        <w:rPr>
          <w:rFonts w:asciiTheme="minorHAnsi" w:hAnsiTheme="minorHAnsi" w:cstheme="minorHAnsi"/>
          <w:sz w:val="21"/>
          <w:szCs w:val="21"/>
          <w:shd w:val="clear" w:color="auto" w:fill="FFFFFF"/>
        </w:rPr>
        <w:t>No, I did not attend (go to question 15)</w:t>
      </w:r>
    </w:p>
    <w:p w14:paraId="092C0AFF" w14:textId="77777777" w:rsidR="002D1D7C" w:rsidRPr="00077F02" w:rsidRDefault="002D1D7C" w:rsidP="00140C5B">
      <w:pPr>
        <w:numPr>
          <w:ilvl w:val="0"/>
          <w:numId w:val="51"/>
        </w:numPr>
        <w:contextualSpacing/>
        <w:rPr>
          <w:rFonts w:asciiTheme="minorHAnsi" w:hAnsiTheme="minorHAnsi" w:cstheme="minorHAnsi"/>
          <w:sz w:val="21"/>
          <w:szCs w:val="21"/>
          <w:shd w:val="clear" w:color="auto" w:fill="FFFFFF"/>
        </w:rPr>
      </w:pPr>
      <w:r w:rsidRPr="00077F02">
        <w:rPr>
          <w:rFonts w:asciiTheme="minorHAnsi" w:hAnsiTheme="minorHAnsi" w:cstheme="minorHAnsi"/>
          <w:sz w:val="21"/>
          <w:szCs w:val="21"/>
          <w:shd w:val="clear" w:color="auto" w:fill="FFFFFF"/>
        </w:rPr>
        <w:t>Once</w:t>
      </w:r>
    </w:p>
    <w:p w14:paraId="79AE855E" w14:textId="77777777" w:rsidR="002D1D7C" w:rsidRPr="00077F02" w:rsidRDefault="002D1D7C" w:rsidP="00140C5B">
      <w:pPr>
        <w:numPr>
          <w:ilvl w:val="0"/>
          <w:numId w:val="51"/>
        </w:numPr>
        <w:contextualSpacing/>
        <w:rPr>
          <w:rFonts w:asciiTheme="minorHAnsi" w:hAnsiTheme="minorHAnsi" w:cstheme="minorHAnsi"/>
          <w:sz w:val="21"/>
          <w:szCs w:val="21"/>
          <w:shd w:val="clear" w:color="auto" w:fill="FFFFFF"/>
        </w:rPr>
      </w:pPr>
      <w:r w:rsidRPr="00077F02">
        <w:rPr>
          <w:rFonts w:asciiTheme="minorHAnsi" w:hAnsiTheme="minorHAnsi" w:cstheme="minorHAnsi"/>
          <w:sz w:val="21"/>
          <w:szCs w:val="21"/>
          <w:shd w:val="clear" w:color="auto" w:fill="FFFFFF"/>
        </w:rPr>
        <w:t>Twice</w:t>
      </w:r>
    </w:p>
    <w:p w14:paraId="373F51D9" w14:textId="77777777" w:rsidR="002D1D7C" w:rsidRPr="00077F02" w:rsidRDefault="002D1D7C" w:rsidP="00140C5B">
      <w:pPr>
        <w:numPr>
          <w:ilvl w:val="0"/>
          <w:numId w:val="51"/>
        </w:numPr>
        <w:contextualSpacing/>
        <w:rPr>
          <w:rFonts w:asciiTheme="minorHAnsi" w:hAnsiTheme="minorHAnsi" w:cstheme="minorHAnsi"/>
          <w:sz w:val="21"/>
          <w:szCs w:val="21"/>
          <w:shd w:val="clear" w:color="auto" w:fill="FFFFFF"/>
        </w:rPr>
      </w:pPr>
      <w:r w:rsidRPr="00077F02">
        <w:rPr>
          <w:rFonts w:asciiTheme="minorHAnsi" w:hAnsiTheme="minorHAnsi" w:cstheme="minorHAnsi"/>
          <w:sz w:val="21"/>
          <w:szCs w:val="21"/>
          <w:shd w:val="clear" w:color="auto" w:fill="FFFFFF"/>
        </w:rPr>
        <w:t>Three times</w:t>
      </w:r>
    </w:p>
    <w:p w14:paraId="1333BE7D" w14:textId="77777777" w:rsidR="002D1D7C" w:rsidRPr="002D1D7C" w:rsidRDefault="002D1D7C" w:rsidP="00140C5B">
      <w:pPr>
        <w:numPr>
          <w:ilvl w:val="0"/>
          <w:numId w:val="51"/>
        </w:numPr>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 xml:space="preserve">Other, please </w:t>
      </w:r>
      <w:proofErr w:type="gramStart"/>
      <w:r w:rsidRPr="002D1D7C">
        <w:rPr>
          <w:rFonts w:asciiTheme="minorHAnsi" w:hAnsiTheme="minorHAnsi" w:cstheme="minorHAnsi"/>
          <w:sz w:val="21"/>
          <w:szCs w:val="21"/>
          <w:shd w:val="clear" w:color="auto" w:fill="FFFFFF"/>
        </w:rPr>
        <w:t>specify</w:t>
      </w:r>
      <w:r w:rsidRPr="00077F02">
        <w:rPr>
          <w:rFonts w:asciiTheme="minorHAnsi" w:hAnsiTheme="minorHAnsi" w:cstheme="minorHAnsi"/>
          <w:sz w:val="21"/>
          <w:szCs w:val="21"/>
          <w:shd w:val="clear" w:color="auto" w:fill="FFFFFF"/>
        </w:rPr>
        <w:t>:_</w:t>
      </w:r>
      <w:proofErr w:type="gramEnd"/>
      <w:r w:rsidRPr="00077F02">
        <w:rPr>
          <w:rFonts w:asciiTheme="minorHAnsi" w:hAnsiTheme="minorHAnsi" w:cstheme="minorHAnsi"/>
          <w:sz w:val="21"/>
          <w:szCs w:val="21"/>
          <w:shd w:val="clear" w:color="auto" w:fill="FFFFFF"/>
        </w:rPr>
        <w:t>_______________________ (whole numbers only)</w:t>
      </w:r>
    </w:p>
    <w:p w14:paraId="431F6DEB" w14:textId="77777777" w:rsidR="002D1D7C" w:rsidRPr="002D1D7C" w:rsidRDefault="002D1D7C" w:rsidP="002D1D7C">
      <w:pPr>
        <w:rPr>
          <w:rFonts w:asciiTheme="minorHAnsi" w:eastAsia="MS Mincho" w:hAnsiTheme="minorHAnsi" w:cstheme="minorHAnsi"/>
          <w:b/>
          <w:sz w:val="21"/>
          <w:szCs w:val="21"/>
          <w:lang w:val="en-US"/>
        </w:rPr>
      </w:pPr>
    </w:p>
    <w:p w14:paraId="27C8A62A" w14:textId="77777777" w:rsidR="002D1D7C" w:rsidRPr="002D1D7C" w:rsidRDefault="002D1D7C" w:rsidP="00140C5B">
      <w:pPr>
        <w:numPr>
          <w:ilvl w:val="0"/>
          <w:numId w:val="72"/>
        </w:numPr>
        <w:contextualSpacing/>
        <w:rPr>
          <w:rFonts w:asciiTheme="minorHAnsi" w:hAnsiTheme="minorHAnsi" w:cstheme="minorHAnsi"/>
          <w:b/>
          <w:sz w:val="21"/>
          <w:szCs w:val="21"/>
          <w:shd w:val="clear" w:color="auto" w:fill="FFFFFF"/>
        </w:rPr>
      </w:pPr>
      <w:r w:rsidRPr="002D1D7C">
        <w:rPr>
          <w:rFonts w:asciiTheme="minorHAnsi" w:hAnsiTheme="minorHAnsi" w:cstheme="minorHAnsi"/>
          <w:b/>
          <w:sz w:val="21"/>
          <w:szCs w:val="21"/>
          <w:shd w:val="clear" w:color="auto" w:fill="FFFFFF"/>
        </w:rPr>
        <w:t>On average, how much of your own money did you pay each time you attended a hospital emergency department or casualty ward for your mental health?</w:t>
      </w:r>
    </w:p>
    <w:p w14:paraId="017BB92E" w14:textId="0D4B4EBF" w:rsidR="002D1D7C" w:rsidRPr="00D14D90" w:rsidRDefault="002D1D7C" w:rsidP="00077F02">
      <w:pPr>
        <w:snapToGrid w:val="0"/>
        <w:ind w:left="709"/>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w:t>
      </w:r>
      <w:r w:rsidRPr="002D1D7C">
        <w:rPr>
          <w:rFonts w:asciiTheme="minorHAnsi" w:eastAsia="MS Mincho" w:hAnsiTheme="minorHAnsi" w:cstheme="minorHAnsi"/>
          <w:sz w:val="21"/>
          <w:szCs w:val="21"/>
        </w:rPr>
        <w:t>____________ (whole numbers only)</w:t>
      </w:r>
    </w:p>
    <w:p w14:paraId="027BD3B6" w14:textId="77777777" w:rsidR="002D1D7C" w:rsidRPr="002D1D7C" w:rsidRDefault="002D1D7C" w:rsidP="00140C5B">
      <w:pPr>
        <w:numPr>
          <w:ilvl w:val="0"/>
          <w:numId w:val="72"/>
        </w:numPr>
        <w:contextualSpacing/>
        <w:rPr>
          <w:rFonts w:asciiTheme="minorHAnsi" w:hAnsiTheme="minorHAnsi" w:cstheme="minorHAnsi"/>
          <w:b/>
          <w:sz w:val="21"/>
          <w:szCs w:val="21"/>
          <w:shd w:val="clear" w:color="auto" w:fill="FFFFFF"/>
        </w:rPr>
      </w:pPr>
      <w:r w:rsidRPr="002D1D7C">
        <w:rPr>
          <w:rFonts w:asciiTheme="minorHAnsi" w:hAnsiTheme="minorHAnsi" w:cstheme="minorHAnsi"/>
          <w:b/>
          <w:sz w:val="21"/>
          <w:szCs w:val="21"/>
          <w:shd w:val="clear" w:color="auto" w:fill="FFFFFF"/>
        </w:rPr>
        <w:t>In the past six months, how many nights in total did you spend in hospital for your mental health?</w:t>
      </w:r>
    </w:p>
    <w:p w14:paraId="637590DB" w14:textId="77777777" w:rsidR="002D1D7C" w:rsidRPr="00597F86" w:rsidRDefault="002D1D7C">
      <w:pPr>
        <w:pStyle w:val="ListParagraph"/>
        <w:numPr>
          <w:ilvl w:val="0"/>
          <w:numId w:val="160"/>
        </w:numPr>
        <w:rPr>
          <w:rFonts w:eastAsia="MS Mincho"/>
        </w:rPr>
      </w:pPr>
      <w:r w:rsidRPr="00597F86">
        <w:rPr>
          <w:rFonts w:eastAsia="MS Mincho"/>
        </w:rPr>
        <w:t>No, I did not spend any nights there</w:t>
      </w:r>
    </w:p>
    <w:p w14:paraId="30431F8D" w14:textId="77777777" w:rsidR="002D1D7C" w:rsidRPr="00597F86" w:rsidRDefault="002D1D7C">
      <w:pPr>
        <w:pStyle w:val="ListParagraph"/>
        <w:numPr>
          <w:ilvl w:val="0"/>
          <w:numId w:val="160"/>
        </w:numPr>
        <w:rPr>
          <w:rFonts w:eastAsia="MS Mincho"/>
        </w:rPr>
      </w:pPr>
      <w:r w:rsidRPr="00597F86">
        <w:rPr>
          <w:rFonts w:eastAsia="MS Mincho"/>
        </w:rPr>
        <w:t>One</w:t>
      </w:r>
    </w:p>
    <w:p w14:paraId="1A1E245D" w14:textId="77777777" w:rsidR="002D1D7C" w:rsidRPr="00597F86" w:rsidRDefault="002D1D7C">
      <w:pPr>
        <w:pStyle w:val="ListParagraph"/>
        <w:numPr>
          <w:ilvl w:val="0"/>
          <w:numId w:val="160"/>
        </w:numPr>
        <w:rPr>
          <w:rFonts w:eastAsia="MS Mincho"/>
        </w:rPr>
      </w:pPr>
      <w:r w:rsidRPr="00597F86">
        <w:rPr>
          <w:rFonts w:eastAsia="MS Mincho"/>
        </w:rPr>
        <w:t>Two</w:t>
      </w:r>
    </w:p>
    <w:p w14:paraId="1165C9D9" w14:textId="77777777" w:rsidR="002D1D7C" w:rsidRPr="00597F86" w:rsidRDefault="002D1D7C">
      <w:pPr>
        <w:pStyle w:val="ListParagraph"/>
        <w:numPr>
          <w:ilvl w:val="0"/>
          <w:numId w:val="160"/>
        </w:numPr>
        <w:rPr>
          <w:rFonts w:eastAsia="MS Mincho"/>
        </w:rPr>
      </w:pPr>
      <w:r w:rsidRPr="00597F86">
        <w:rPr>
          <w:rFonts w:eastAsia="MS Mincho"/>
        </w:rPr>
        <w:t xml:space="preserve">Three </w:t>
      </w:r>
    </w:p>
    <w:p w14:paraId="75317C5C" w14:textId="7674C8E4" w:rsidR="002D1D7C" w:rsidRPr="00597F86" w:rsidRDefault="002D1D7C">
      <w:pPr>
        <w:pStyle w:val="ListParagraph"/>
        <w:numPr>
          <w:ilvl w:val="0"/>
          <w:numId w:val="160"/>
        </w:numPr>
        <w:rPr>
          <w:shd w:val="clear" w:color="auto" w:fill="FFFFFF"/>
        </w:rPr>
      </w:pPr>
      <w:r w:rsidRPr="00597F86">
        <w:rPr>
          <w:shd w:val="clear" w:color="auto" w:fill="FFFFFF"/>
        </w:rPr>
        <w:t xml:space="preserve">Other, please </w:t>
      </w:r>
      <w:proofErr w:type="gramStart"/>
      <w:r w:rsidRPr="00597F86">
        <w:rPr>
          <w:shd w:val="clear" w:color="auto" w:fill="FFFFFF"/>
        </w:rPr>
        <w:t>specify</w:t>
      </w:r>
      <w:r w:rsidRPr="00597F86">
        <w:rPr>
          <w:rFonts w:eastAsia="MS Mincho"/>
        </w:rPr>
        <w:t>:_</w:t>
      </w:r>
      <w:proofErr w:type="gramEnd"/>
      <w:r w:rsidRPr="00597F86">
        <w:rPr>
          <w:rFonts w:eastAsia="MS Mincho"/>
        </w:rPr>
        <w:t>_______________________ (whole numbers only)</w:t>
      </w:r>
    </w:p>
    <w:p w14:paraId="067CDA33" w14:textId="43E131EB" w:rsidR="002D1D7C" w:rsidRPr="002D1D7C" w:rsidRDefault="002D1D7C" w:rsidP="00140C5B">
      <w:pPr>
        <w:numPr>
          <w:ilvl w:val="0"/>
          <w:numId w:val="72"/>
        </w:numPr>
        <w:contextualSpacing/>
        <w:rPr>
          <w:rFonts w:asciiTheme="minorHAnsi" w:hAnsiTheme="minorHAnsi" w:cstheme="minorHAnsi"/>
          <w:b/>
          <w:sz w:val="21"/>
          <w:szCs w:val="21"/>
          <w:shd w:val="clear" w:color="auto" w:fill="FFFFFF"/>
        </w:rPr>
      </w:pPr>
      <w:r w:rsidRPr="002D1D7C">
        <w:rPr>
          <w:rFonts w:asciiTheme="minorHAnsi" w:hAnsiTheme="minorHAnsi" w:cstheme="minorHAnsi"/>
          <w:b/>
          <w:sz w:val="21"/>
          <w:szCs w:val="21"/>
          <w:shd w:val="clear" w:color="auto" w:fill="FFFFFF"/>
        </w:rPr>
        <w:t>Are you taking any medications for your mental health?</w:t>
      </w:r>
    </w:p>
    <w:p w14:paraId="7ECB84E8" w14:textId="77777777" w:rsidR="002D1D7C" w:rsidRPr="002D1D7C" w:rsidRDefault="002D1D7C">
      <w:pPr>
        <w:numPr>
          <w:ilvl w:val="1"/>
          <w:numId w:val="159"/>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Yes</w:t>
      </w:r>
    </w:p>
    <w:p w14:paraId="5991843E" w14:textId="2C2384F8" w:rsidR="002D1D7C" w:rsidRPr="008D7686" w:rsidRDefault="002D1D7C">
      <w:pPr>
        <w:numPr>
          <w:ilvl w:val="1"/>
          <w:numId w:val="159"/>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No (go to question 19)</w:t>
      </w:r>
    </w:p>
    <w:p w14:paraId="7B79FF33" w14:textId="685FFAA0" w:rsidR="002D1D7C" w:rsidRPr="008D7686" w:rsidRDefault="00652BA6" w:rsidP="00652BA6">
      <w:pPr>
        <w:ind w:left="709"/>
        <w:contextualSpacing/>
        <w:rPr>
          <w:rFonts w:asciiTheme="minorHAnsi" w:hAnsiTheme="minorHAnsi" w:cstheme="minorHAnsi"/>
          <w:b/>
          <w:sz w:val="21"/>
          <w:szCs w:val="21"/>
          <w:shd w:val="clear" w:color="auto" w:fill="FFFFFF"/>
        </w:rPr>
      </w:pPr>
      <w:r>
        <w:rPr>
          <w:rFonts w:asciiTheme="minorHAnsi" w:hAnsiTheme="minorHAnsi" w:cstheme="minorHAnsi"/>
          <w:b/>
          <w:sz w:val="21"/>
          <w:szCs w:val="21"/>
          <w:shd w:val="clear" w:color="auto" w:fill="FFFFFF"/>
        </w:rPr>
        <w:t>If yes, p</w:t>
      </w:r>
      <w:r w:rsidR="002D1D7C" w:rsidRPr="002D1D7C">
        <w:rPr>
          <w:rFonts w:asciiTheme="minorHAnsi" w:hAnsiTheme="minorHAnsi" w:cstheme="minorHAnsi"/>
          <w:b/>
          <w:sz w:val="21"/>
          <w:szCs w:val="21"/>
          <w:shd w:val="clear" w:color="auto" w:fill="FFFFFF"/>
        </w:rPr>
        <w:t>lease list all the medications you are taking for your mental health and indicate how many months (using whole numbers only).</w:t>
      </w:r>
    </w:p>
    <w:p w14:paraId="4817F694" w14:textId="32B42F4C" w:rsidR="002D1D7C" w:rsidRPr="008D7686" w:rsidRDefault="002D1D7C" w:rsidP="00652BA6">
      <w:pPr>
        <w:ind w:left="709"/>
        <w:rPr>
          <w:rFonts w:asciiTheme="minorHAnsi" w:eastAsia="MS Mincho" w:hAnsiTheme="minorHAnsi" w:cstheme="minorBidi"/>
          <w:b/>
          <w:bCs/>
          <w:sz w:val="21"/>
          <w:szCs w:val="21"/>
          <w:lang w:val="en-US"/>
        </w:rPr>
      </w:pPr>
      <w:proofErr w:type="gramStart"/>
      <w:r w:rsidRPr="002D1D7C">
        <w:rPr>
          <w:rFonts w:asciiTheme="minorHAnsi" w:eastAsia="MS Mincho" w:hAnsiTheme="minorHAnsi" w:cstheme="minorBidi"/>
          <w:b/>
          <w:bCs/>
          <w:sz w:val="21"/>
          <w:szCs w:val="21"/>
          <w:lang w:val="en-US"/>
        </w:rPr>
        <w:t>e.g.</w:t>
      </w:r>
      <w:proofErr w:type="gramEnd"/>
      <w:r w:rsidRPr="002D1D7C">
        <w:rPr>
          <w:rFonts w:asciiTheme="minorHAnsi" w:eastAsia="MS Mincho" w:hAnsiTheme="minorHAnsi" w:cstheme="minorBidi"/>
          <w:b/>
          <w:bCs/>
          <w:sz w:val="21"/>
          <w:szCs w:val="21"/>
          <w:lang w:val="en-US"/>
        </w:rPr>
        <w:t xml:space="preserve"> Medication 1, 2 months</w:t>
      </w:r>
    </w:p>
    <w:p w14:paraId="7F52DD1B" w14:textId="0745B6B4" w:rsidR="002D1D7C" w:rsidRPr="008D7686" w:rsidRDefault="002D1D7C" w:rsidP="008D7686">
      <w:pPr>
        <w:ind w:firstLine="360"/>
        <w:rPr>
          <w:rFonts w:asciiTheme="minorHAnsi" w:eastAsia="MS Mincho" w:hAnsiTheme="minorHAnsi" w:cstheme="minorHAnsi"/>
          <w:b/>
          <w:sz w:val="21"/>
          <w:szCs w:val="21"/>
          <w:lang w:val="en-US"/>
        </w:rPr>
      </w:pPr>
      <w:r w:rsidRPr="002D1D7C">
        <w:rPr>
          <w:rFonts w:asciiTheme="minorHAnsi" w:eastAsia="MS Mincho" w:hAnsiTheme="minorHAnsi" w:cstheme="minorHAnsi"/>
          <w:b/>
          <w:sz w:val="21"/>
          <w:szCs w:val="21"/>
          <w:lang w:val="en-US"/>
        </w:rPr>
        <w:t>______________________________________</w:t>
      </w:r>
    </w:p>
    <w:p w14:paraId="28F958AF" w14:textId="77777777" w:rsidR="002D1D7C" w:rsidRPr="002D1D7C" w:rsidRDefault="002D1D7C" w:rsidP="00140C5B">
      <w:pPr>
        <w:numPr>
          <w:ilvl w:val="0"/>
          <w:numId w:val="72"/>
        </w:numPr>
        <w:contextualSpacing/>
        <w:rPr>
          <w:rFonts w:asciiTheme="minorHAnsi" w:hAnsiTheme="minorHAnsi" w:cstheme="minorHAnsi"/>
          <w:b/>
          <w:sz w:val="21"/>
          <w:szCs w:val="21"/>
          <w:shd w:val="clear" w:color="auto" w:fill="FFFFFF"/>
        </w:rPr>
      </w:pPr>
      <w:r w:rsidRPr="002D1D7C">
        <w:rPr>
          <w:rFonts w:asciiTheme="minorHAnsi" w:hAnsiTheme="minorHAnsi" w:cstheme="minorHAnsi"/>
          <w:b/>
          <w:sz w:val="21"/>
          <w:szCs w:val="21"/>
          <w:shd w:val="clear" w:color="auto" w:fill="FFFFFF"/>
        </w:rPr>
        <w:t>In the past six months, have you had to take any time off from paid work?</w:t>
      </w:r>
    </w:p>
    <w:p w14:paraId="00CBFF6E" w14:textId="77777777" w:rsidR="002D1D7C" w:rsidRPr="002D1D7C" w:rsidRDefault="002D1D7C">
      <w:pPr>
        <w:numPr>
          <w:ilvl w:val="1"/>
          <w:numId w:val="158"/>
        </w:numPr>
        <w:contextualSpacing/>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Yes</w:t>
      </w:r>
    </w:p>
    <w:p w14:paraId="0F4D3EEF" w14:textId="51EDF3CA" w:rsidR="002D1D7C" w:rsidRPr="00C81545" w:rsidRDefault="002D1D7C" w:rsidP="00C81545">
      <w:pPr>
        <w:numPr>
          <w:ilvl w:val="1"/>
          <w:numId w:val="158"/>
        </w:numPr>
        <w:snapToGrid w:val="0"/>
        <w:ind w:left="1066" w:hanging="357"/>
        <w:rPr>
          <w:rFonts w:asciiTheme="minorHAnsi" w:hAnsiTheme="minorHAnsi" w:cstheme="minorHAnsi"/>
          <w:sz w:val="21"/>
          <w:szCs w:val="21"/>
          <w:shd w:val="clear" w:color="auto" w:fill="FFFFFF"/>
        </w:rPr>
      </w:pPr>
      <w:r w:rsidRPr="002D1D7C">
        <w:rPr>
          <w:rFonts w:asciiTheme="minorHAnsi" w:hAnsiTheme="minorHAnsi" w:cstheme="minorHAnsi"/>
          <w:sz w:val="21"/>
          <w:szCs w:val="21"/>
          <w:shd w:val="clear" w:color="auto" w:fill="FFFFFF"/>
        </w:rPr>
        <w:t>No (go to question 21)</w:t>
      </w:r>
      <w:r w:rsidR="00C81545">
        <w:rPr>
          <w:rFonts w:asciiTheme="minorHAnsi" w:hAnsiTheme="minorHAnsi" w:cstheme="minorHAnsi"/>
          <w:sz w:val="21"/>
          <w:szCs w:val="21"/>
          <w:shd w:val="clear" w:color="auto" w:fill="FFFFFF"/>
        </w:rPr>
        <w:br w:type="page"/>
      </w:r>
    </w:p>
    <w:p w14:paraId="13C02FBB" w14:textId="77777777" w:rsidR="002D1D7C" w:rsidRPr="002D1D7C" w:rsidRDefault="002D1D7C" w:rsidP="00140C5B">
      <w:pPr>
        <w:numPr>
          <w:ilvl w:val="0"/>
          <w:numId w:val="72"/>
        </w:numPr>
        <w:contextualSpacing/>
        <w:rPr>
          <w:rFonts w:asciiTheme="minorHAnsi" w:hAnsiTheme="minorHAnsi" w:cstheme="minorHAnsi"/>
          <w:b/>
          <w:sz w:val="21"/>
          <w:szCs w:val="21"/>
          <w:shd w:val="clear" w:color="auto" w:fill="FFFFFF"/>
        </w:rPr>
      </w:pPr>
      <w:r w:rsidRPr="002D1D7C">
        <w:rPr>
          <w:rFonts w:asciiTheme="minorHAnsi" w:hAnsiTheme="minorHAnsi" w:cstheme="minorHAnsi"/>
          <w:b/>
          <w:sz w:val="21"/>
          <w:szCs w:val="21"/>
          <w:shd w:val="clear" w:color="auto" w:fill="FFFFFF"/>
        </w:rPr>
        <w:lastRenderedPageBreak/>
        <w:t xml:space="preserve">How much time have you had to take off paid work? </w:t>
      </w:r>
    </w:p>
    <w:p w14:paraId="7DFD9B63" w14:textId="5EFF1788" w:rsidR="002D1D7C" w:rsidRPr="000E2C21" w:rsidRDefault="002D1D7C" w:rsidP="006A5AE8">
      <w:pPr>
        <w:snapToGrid w:val="0"/>
        <w:ind w:left="709"/>
        <w:rPr>
          <w:rFonts w:asciiTheme="minorHAnsi" w:hAnsiTheme="minorHAnsi" w:cstheme="minorHAnsi"/>
          <w:sz w:val="21"/>
          <w:szCs w:val="21"/>
          <w:shd w:val="clear" w:color="auto" w:fill="FFFFFF"/>
        </w:rPr>
      </w:pPr>
      <w:r w:rsidRPr="002D1D7C">
        <w:rPr>
          <w:rFonts w:asciiTheme="minorHAnsi" w:eastAsia="MS Mincho" w:hAnsiTheme="minorHAnsi" w:cstheme="minorHAnsi"/>
          <w:sz w:val="21"/>
          <w:szCs w:val="21"/>
        </w:rPr>
        <w:t>____________ days in the past six months (whole numbers only)</w:t>
      </w:r>
    </w:p>
    <w:p w14:paraId="053F0F11" w14:textId="77777777" w:rsidR="002D1D7C" w:rsidRPr="002D1D7C" w:rsidRDefault="002D1D7C" w:rsidP="00140C5B">
      <w:pPr>
        <w:numPr>
          <w:ilvl w:val="0"/>
          <w:numId w:val="72"/>
        </w:numPr>
        <w:snapToGrid w:val="0"/>
        <w:ind w:hanging="357"/>
        <w:rPr>
          <w:rFonts w:asciiTheme="minorHAnsi" w:hAnsiTheme="minorHAnsi" w:cstheme="minorHAnsi"/>
          <w:b/>
          <w:sz w:val="21"/>
          <w:szCs w:val="21"/>
          <w:shd w:val="clear" w:color="auto" w:fill="FFFFFF"/>
        </w:rPr>
      </w:pPr>
      <w:r w:rsidRPr="002D1D7C">
        <w:rPr>
          <w:rFonts w:asciiTheme="minorHAnsi" w:hAnsiTheme="minorHAnsi" w:cstheme="minorHAnsi"/>
          <w:b/>
          <w:sz w:val="21"/>
          <w:szCs w:val="21"/>
          <w:shd w:val="clear" w:color="auto" w:fill="FFFFFF"/>
        </w:rPr>
        <w:t xml:space="preserve">In the past six months, have you had to take any time off from unpaid work? Unpaid work may include study, voluntary work, </w:t>
      </w:r>
      <w:proofErr w:type="gramStart"/>
      <w:r w:rsidRPr="002D1D7C">
        <w:rPr>
          <w:rFonts w:asciiTheme="minorHAnsi" w:hAnsiTheme="minorHAnsi" w:cstheme="minorHAnsi"/>
          <w:b/>
          <w:sz w:val="21"/>
          <w:szCs w:val="21"/>
          <w:shd w:val="clear" w:color="auto" w:fill="FFFFFF"/>
        </w:rPr>
        <w:t>house-keeping</w:t>
      </w:r>
      <w:proofErr w:type="gramEnd"/>
      <w:r w:rsidRPr="002D1D7C">
        <w:rPr>
          <w:rFonts w:asciiTheme="minorHAnsi" w:hAnsiTheme="minorHAnsi" w:cstheme="minorHAnsi"/>
          <w:b/>
          <w:sz w:val="21"/>
          <w:szCs w:val="21"/>
          <w:shd w:val="clear" w:color="auto" w:fill="FFFFFF"/>
        </w:rPr>
        <w:t>, caring for others, etc.</w:t>
      </w:r>
    </w:p>
    <w:p w14:paraId="5F31BA71" w14:textId="77777777" w:rsidR="002D1D7C" w:rsidRPr="008D7686" w:rsidRDefault="002D1D7C">
      <w:pPr>
        <w:pStyle w:val="ListParagraph"/>
        <w:numPr>
          <w:ilvl w:val="0"/>
          <w:numId w:val="157"/>
        </w:numPr>
        <w:snapToGrid w:val="0"/>
        <w:ind w:hanging="357"/>
        <w:contextualSpacing w:val="0"/>
        <w:rPr>
          <w:shd w:val="clear" w:color="auto" w:fill="FFFFFF"/>
        </w:rPr>
      </w:pPr>
      <w:r w:rsidRPr="008D7686">
        <w:rPr>
          <w:shd w:val="clear" w:color="auto" w:fill="FFFFFF"/>
        </w:rPr>
        <w:t>Yes</w:t>
      </w:r>
    </w:p>
    <w:p w14:paraId="1EF321A0" w14:textId="29B51307" w:rsidR="002D1D7C" w:rsidRPr="008D7686" w:rsidRDefault="002D1D7C">
      <w:pPr>
        <w:pStyle w:val="ListParagraph"/>
        <w:numPr>
          <w:ilvl w:val="0"/>
          <w:numId w:val="157"/>
        </w:numPr>
        <w:snapToGrid w:val="0"/>
        <w:rPr>
          <w:shd w:val="clear" w:color="auto" w:fill="FFFFFF"/>
        </w:rPr>
      </w:pPr>
      <w:r w:rsidRPr="008D7686">
        <w:rPr>
          <w:shd w:val="clear" w:color="auto" w:fill="FFFFFF"/>
        </w:rPr>
        <w:t>No (go to question 23)</w:t>
      </w:r>
    </w:p>
    <w:p w14:paraId="705DC5F2" w14:textId="77777777" w:rsidR="002D1D7C" w:rsidRPr="002D1D7C" w:rsidRDefault="002D1D7C" w:rsidP="00140C5B">
      <w:pPr>
        <w:numPr>
          <w:ilvl w:val="0"/>
          <w:numId w:val="72"/>
        </w:numPr>
        <w:contextualSpacing/>
        <w:rPr>
          <w:rFonts w:asciiTheme="minorHAnsi" w:hAnsiTheme="minorHAnsi" w:cstheme="minorHAnsi"/>
          <w:b/>
          <w:sz w:val="21"/>
          <w:szCs w:val="21"/>
          <w:shd w:val="clear" w:color="auto" w:fill="FFFFFF"/>
        </w:rPr>
      </w:pPr>
      <w:r w:rsidRPr="002D1D7C">
        <w:rPr>
          <w:rFonts w:asciiTheme="minorHAnsi" w:hAnsiTheme="minorHAnsi" w:cstheme="minorHAnsi"/>
          <w:b/>
          <w:sz w:val="21"/>
          <w:szCs w:val="21"/>
          <w:shd w:val="clear" w:color="auto" w:fill="FFFFFF"/>
        </w:rPr>
        <w:t xml:space="preserve">How much time have you had to take off unpaid work? </w:t>
      </w:r>
    </w:p>
    <w:p w14:paraId="3B9E2BF5" w14:textId="59E4C5E3" w:rsidR="002D1D7C" w:rsidRPr="00CA1ECD" w:rsidRDefault="002D1D7C" w:rsidP="003E08E8">
      <w:pPr>
        <w:snapToGrid w:val="0"/>
        <w:ind w:left="1072"/>
        <w:rPr>
          <w:rFonts w:asciiTheme="minorHAnsi" w:hAnsiTheme="minorHAnsi" w:cstheme="minorHAnsi"/>
          <w:sz w:val="21"/>
          <w:szCs w:val="21"/>
          <w:shd w:val="clear" w:color="auto" w:fill="FFFFFF"/>
        </w:rPr>
      </w:pPr>
      <w:r w:rsidRPr="002D1D7C">
        <w:rPr>
          <w:rFonts w:asciiTheme="minorHAnsi" w:eastAsia="MS Mincho" w:hAnsiTheme="minorHAnsi" w:cstheme="minorHAnsi"/>
          <w:sz w:val="21"/>
          <w:szCs w:val="21"/>
        </w:rPr>
        <w:t>____________ days in the past six months (whole numbers only)</w:t>
      </w:r>
    </w:p>
    <w:p w14:paraId="3E091A7D" w14:textId="77777777" w:rsidR="002D1D7C" w:rsidRPr="002D1D7C" w:rsidRDefault="002D1D7C" w:rsidP="00140C5B">
      <w:pPr>
        <w:numPr>
          <w:ilvl w:val="0"/>
          <w:numId w:val="72"/>
        </w:numPr>
        <w:snapToGrid w:val="0"/>
        <w:ind w:hanging="357"/>
        <w:rPr>
          <w:rFonts w:asciiTheme="minorHAnsi" w:hAnsiTheme="minorHAnsi" w:cstheme="minorHAnsi"/>
          <w:b/>
          <w:sz w:val="21"/>
          <w:szCs w:val="21"/>
          <w:shd w:val="clear" w:color="auto" w:fill="FFFFFF"/>
        </w:rPr>
      </w:pPr>
      <w:r w:rsidRPr="002D1D7C">
        <w:rPr>
          <w:rFonts w:asciiTheme="minorHAnsi" w:hAnsiTheme="minorHAnsi" w:cstheme="minorHAnsi"/>
          <w:b/>
          <w:sz w:val="21"/>
          <w:szCs w:val="21"/>
          <w:shd w:val="clear" w:color="auto" w:fill="FFFFFF"/>
        </w:rPr>
        <w:t>During the past six months, have there been days in which you worked but were bothered by mental health problems?</w:t>
      </w:r>
    </w:p>
    <w:p w14:paraId="7E4A07FF" w14:textId="77777777" w:rsidR="002D1D7C" w:rsidRPr="00CA1ECD" w:rsidRDefault="002D1D7C">
      <w:pPr>
        <w:pStyle w:val="ListParagraph"/>
        <w:numPr>
          <w:ilvl w:val="0"/>
          <w:numId w:val="156"/>
        </w:numPr>
        <w:snapToGrid w:val="0"/>
        <w:ind w:hanging="357"/>
        <w:contextualSpacing w:val="0"/>
        <w:rPr>
          <w:shd w:val="clear" w:color="auto" w:fill="FFFFFF"/>
        </w:rPr>
      </w:pPr>
      <w:r w:rsidRPr="00CA1ECD">
        <w:rPr>
          <w:shd w:val="clear" w:color="auto" w:fill="FFFFFF"/>
        </w:rPr>
        <w:t>Yes</w:t>
      </w:r>
    </w:p>
    <w:p w14:paraId="1CCEA108" w14:textId="7E8DAA68" w:rsidR="002D1D7C" w:rsidRPr="00CA1ECD" w:rsidRDefault="002D1D7C">
      <w:pPr>
        <w:pStyle w:val="ListParagraph"/>
        <w:numPr>
          <w:ilvl w:val="0"/>
          <w:numId w:val="156"/>
        </w:numPr>
        <w:rPr>
          <w:shd w:val="clear" w:color="auto" w:fill="FFFFFF"/>
        </w:rPr>
      </w:pPr>
      <w:r w:rsidRPr="00CA1ECD">
        <w:rPr>
          <w:shd w:val="clear" w:color="auto" w:fill="FFFFFF"/>
        </w:rPr>
        <w:t>No (go to next section “Overall feedback about the whole program)</w:t>
      </w:r>
    </w:p>
    <w:p w14:paraId="3E0481F4" w14:textId="77777777" w:rsidR="002D1D7C" w:rsidRPr="002D1D7C" w:rsidRDefault="002D1D7C" w:rsidP="00140C5B">
      <w:pPr>
        <w:numPr>
          <w:ilvl w:val="0"/>
          <w:numId w:val="72"/>
        </w:numPr>
        <w:contextualSpacing/>
        <w:rPr>
          <w:rFonts w:asciiTheme="minorHAnsi" w:hAnsiTheme="minorHAnsi" w:cstheme="minorHAnsi"/>
          <w:b/>
          <w:sz w:val="21"/>
          <w:szCs w:val="21"/>
          <w:shd w:val="clear" w:color="auto" w:fill="FFFFFF"/>
        </w:rPr>
      </w:pPr>
      <w:r w:rsidRPr="002D1D7C">
        <w:rPr>
          <w:rFonts w:asciiTheme="minorHAnsi" w:hAnsiTheme="minorHAnsi" w:cstheme="minorHAnsi"/>
          <w:b/>
          <w:sz w:val="21"/>
          <w:szCs w:val="21"/>
          <w:shd w:val="clear" w:color="auto" w:fill="FFFFFF"/>
        </w:rPr>
        <w:t xml:space="preserve">How much of the time did you work but were bothered mental health problems? </w:t>
      </w:r>
    </w:p>
    <w:p w14:paraId="14FCB236" w14:textId="5250203C" w:rsidR="002D1D7C" w:rsidRPr="002D1D7C" w:rsidRDefault="002D1D7C" w:rsidP="00CA1ECD">
      <w:pPr>
        <w:snapToGrid w:val="0"/>
        <w:ind w:left="1072"/>
        <w:rPr>
          <w:rFonts w:asciiTheme="minorHAnsi" w:hAnsiTheme="minorHAnsi" w:cstheme="minorHAnsi"/>
          <w:sz w:val="21"/>
          <w:szCs w:val="21"/>
          <w:shd w:val="clear" w:color="auto" w:fill="FFFFFF"/>
        </w:rPr>
      </w:pPr>
      <w:r w:rsidRPr="002D1D7C">
        <w:rPr>
          <w:rFonts w:asciiTheme="minorHAnsi" w:eastAsia="MS Mincho" w:hAnsiTheme="minorHAnsi" w:cstheme="minorHAnsi"/>
          <w:sz w:val="21"/>
          <w:szCs w:val="21"/>
        </w:rPr>
        <w:t>____________ days in the past six months (whole numbers only)</w:t>
      </w:r>
    </w:p>
    <w:p w14:paraId="3D4D8F3E" w14:textId="77777777" w:rsidR="002D1D7C" w:rsidRPr="002D1D7C" w:rsidRDefault="002D1D7C" w:rsidP="00140C5B">
      <w:pPr>
        <w:numPr>
          <w:ilvl w:val="0"/>
          <w:numId w:val="72"/>
        </w:numPr>
        <w:contextualSpacing/>
        <w:rPr>
          <w:rFonts w:asciiTheme="minorHAnsi" w:hAnsiTheme="minorHAnsi" w:cstheme="minorHAnsi"/>
          <w:b/>
          <w:sz w:val="21"/>
          <w:szCs w:val="21"/>
          <w:shd w:val="clear" w:color="auto" w:fill="FFFFFF"/>
        </w:rPr>
      </w:pPr>
      <w:r w:rsidRPr="002D1D7C">
        <w:rPr>
          <w:rFonts w:asciiTheme="minorHAnsi" w:hAnsiTheme="minorHAnsi" w:cstheme="minorHAnsi"/>
          <w:b/>
          <w:sz w:val="21"/>
          <w:szCs w:val="21"/>
          <w:shd w:val="clear" w:color="auto" w:fill="FFFFFF"/>
        </w:rPr>
        <w:t>On average, how much of your normal work capacity were you able to achieve on the days that you were bothered by mental health problems? Use the following 0 to 10 scale.</w:t>
      </w:r>
    </w:p>
    <w:p w14:paraId="637D1E41" w14:textId="77777777" w:rsidR="002D1D7C" w:rsidRPr="002D1D7C" w:rsidRDefault="002D1D7C" w:rsidP="00CA1ECD">
      <w:pPr>
        <w:ind w:left="710"/>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 xml:space="preserve">0 (None of what I would normally do) </w:t>
      </w:r>
    </w:p>
    <w:p w14:paraId="51FE908F" w14:textId="77777777" w:rsidR="002D1D7C" w:rsidRPr="002D1D7C" w:rsidRDefault="002D1D7C" w:rsidP="00CA1ECD">
      <w:pPr>
        <w:ind w:left="710"/>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1</w:t>
      </w:r>
    </w:p>
    <w:p w14:paraId="2DFC9BD6" w14:textId="77777777" w:rsidR="002D1D7C" w:rsidRPr="002D1D7C" w:rsidRDefault="002D1D7C" w:rsidP="00CA1ECD">
      <w:pPr>
        <w:ind w:left="710"/>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2</w:t>
      </w:r>
    </w:p>
    <w:p w14:paraId="4EF32B12" w14:textId="77777777" w:rsidR="002D1D7C" w:rsidRPr="002D1D7C" w:rsidRDefault="002D1D7C" w:rsidP="00CA1ECD">
      <w:pPr>
        <w:ind w:left="710"/>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 xml:space="preserve">3 </w:t>
      </w:r>
    </w:p>
    <w:p w14:paraId="61C83292" w14:textId="77777777" w:rsidR="002D1D7C" w:rsidRPr="002D1D7C" w:rsidRDefault="002D1D7C" w:rsidP="00CA1ECD">
      <w:pPr>
        <w:ind w:left="710"/>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4</w:t>
      </w:r>
    </w:p>
    <w:p w14:paraId="5848ED7E" w14:textId="77777777" w:rsidR="002D1D7C" w:rsidRPr="002D1D7C" w:rsidRDefault="002D1D7C" w:rsidP="00CA1ECD">
      <w:pPr>
        <w:ind w:left="710"/>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5 (Half as much as I would normally do)</w:t>
      </w:r>
    </w:p>
    <w:p w14:paraId="00CBEE8B" w14:textId="77777777" w:rsidR="002D1D7C" w:rsidRPr="002D1D7C" w:rsidRDefault="002D1D7C" w:rsidP="00CA1ECD">
      <w:pPr>
        <w:ind w:left="710"/>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6</w:t>
      </w:r>
    </w:p>
    <w:p w14:paraId="2A8AEFF6" w14:textId="77777777" w:rsidR="002D1D7C" w:rsidRPr="002D1D7C" w:rsidRDefault="002D1D7C" w:rsidP="00CA1ECD">
      <w:pPr>
        <w:ind w:left="710"/>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7</w:t>
      </w:r>
    </w:p>
    <w:p w14:paraId="2F248351" w14:textId="77777777" w:rsidR="002D1D7C" w:rsidRPr="002D1D7C" w:rsidRDefault="002D1D7C" w:rsidP="00CA1ECD">
      <w:pPr>
        <w:ind w:left="710"/>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8</w:t>
      </w:r>
    </w:p>
    <w:p w14:paraId="26CE7C54" w14:textId="77777777" w:rsidR="002D1D7C" w:rsidRPr="002D1D7C" w:rsidRDefault="002D1D7C" w:rsidP="00CA1ECD">
      <w:pPr>
        <w:ind w:left="710"/>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9</w:t>
      </w:r>
    </w:p>
    <w:p w14:paraId="2FB3B1F0" w14:textId="77777777" w:rsidR="00C81545" w:rsidRDefault="002D1D7C" w:rsidP="00C81545">
      <w:pPr>
        <w:spacing w:after="240"/>
        <w:ind w:left="710"/>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10 (Worked at full capacity)</w:t>
      </w:r>
    </w:p>
    <w:p w14:paraId="0259281C" w14:textId="5F2BC28D" w:rsidR="002D1D7C" w:rsidRPr="007A0383" w:rsidRDefault="002D1D7C" w:rsidP="007A0383">
      <w:pPr>
        <w:ind w:left="710"/>
        <w:contextualSpacing/>
        <w:rPr>
          <w:rFonts w:asciiTheme="minorHAnsi" w:eastAsia="MS Mincho" w:hAnsiTheme="minorHAnsi" w:cstheme="minorHAnsi"/>
          <w:sz w:val="21"/>
          <w:szCs w:val="21"/>
        </w:rPr>
      </w:pPr>
    </w:p>
    <w:tbl>
      <w:tblPr>
        <w:tblStyle w:val="TableGrid2"/>
        <w:tblW w:w="0" w:type="auto"/>
        <w:tblInd w:w="426" w:type="dxa"/>
        <w:tblLook w:val="04A0" w:firstRow="1" w:lastRow="0" w:firstColumn="1" w:lastColumn="0" w:noHBand="0" w:noVBand="1"/>
      </w:tblPr>
      <w:tblGrid>
        <w:gridCol w:w="8068"/>
      </w:tblGrid>
      <w:tr w:rsidR="002D1D7C" w:rsidRPr="002D1D7C" w14:paraId="76F17267" w14:textId="77777777" w:rsidTr="00BD431E">
        <w:tc>
          <w:tcPr>
            <w:tcW w:w="8068" w:type="dxa"/>
            <w:shd w:val="clear" w:color="auto" w:fill="000000" w:themeFill="text1"/>
          </w:tcPr>
          <w:p w14:paraId="31647BE3" w14:textId="77777777" w:rsidR="002D1D7C" w:rsidRPr="002D1D7C" w:rsidRDefault="002D1D7C" w:rsidP="002D1D7C">
            <w:pPr>
              <w:jc w:val="center"/>
              <w:rPr>
                <w:rFonts w:asciiTheme="minorHAnsi" w:eastAsia="MS Mincho" w:hAnsiTheme="minorHAnsi" w:cstheme="minorHAnsi"/>
                <w:sz w:val="21"/>
                <w:szCs w:val="21"/>
                <w:lang w:val="en-US" w:eastAsia="en-AU"/>
              </w:rPr>
            </w:pPr>
            <w:r w:rsidRPr="002D1D7C">
              <w:rPr>
                <w:rFonts w:asciiTheme="minorHAnsi" w:eastAsia="MS Mincho" w:hAnsiTheme="minorHAnsi" w:cstheme="minorHAnsi"/>
                <w:sz w:val="21"/>
                <w:szCs w:val="21"/>
                <w:lang w:val="en-US" w:eastAsia="en-AU"/>
              </w:rPr>
              <w:t>Some information about who you are</w:t>
            </w:r>
          </w:p>
        </w:tc>
      </w:tr>
    </w:tbl>
    <w:p w14:paraId="1D063182" w14:textId="0044CE7B" w:rsidR="002D1D7C" w:rsidRPr="0098740E" w:rsidRDefault="002D1D7C" w:rsidP="0098740E">
      <w:pPr>
        <w:spacing w:before="200"/>
        <w:ind w:left="425" w:hanging="425"/>
        <w:rPr>
          <w:rFonts w:asciiTheme="minorHAnsi" w:eastAsia="MS Mincho" w:hAnsiTheme="minorHAnsi" w:cstheme="minorBidi"/>
          <w:b/>
          <w:bCs/>
          <w:sz w:val="21"/>
          <w:szCs w:val="21"/>
          <w:lang w:val="en-US"/>
        </w:rPr>
      </w:pPr>
      <w:r w:rsidRPr="002D1D7C">
        <w:rPr>
          <w:rFonts w:asciiTheme="minorHAnsi" w:eastAsia="MS Mincho" w:hAnsiTheme="minorHAnsi" w:cstheme="minorBidi"/>
          <w:b/>
          <w:bCs/>
          <w:sz w:val="21"/>
          <w:szCs w:val="21"/>
          <w:lang w:val="en-US"/>
        </w:rPr>
        <w:t xml:space="preserve">This section asks some basic questions about who you are. </w:t>
      </w:r>
    </w:p>
    <w:p w14:paraId="29D8217E" w14:textId="40753182" w:rsidR="002D1D7C" w:rsidRPr="002D1D7C" w:rsidRDefault="002D1D7C" w:rsidP="0098740E">
      <w:pPr>
        <w:ind w:left="426" w:hanging="426"/>
        <w:rPr>
          <w:rFonts w:asciiTheme="minorHAnsi" w:eastAsia="MS Mincho" w:hAnsiTheme="minorHAnsi" w:cstheme="minorHAnsi"/>
          <w:b/>
          <w:sz w:val="21"/>
          <w:szCs w:val="21"/>
          <w:lang w:val="en-US"/>
        </w:rPr>
      </w:pPr>
      <w:r w:rsidRPr="002D1D7C">
        <w:rPr>
          <w:rFonts w:asciiTheme="minorHAnsi" w:eastAsia="MS Mincho" w:hAnsiTheme="minorHAnsi" w:cstheme="minorHAnsi"/>
          <w:b/>
          <w:sz w:val="21"/>
          <w:szCs w:val="21"/>
          <w:lang w:val="en-US"/>
        </w:rPr>
        <w:t>We are asking these questions because we are interested in the impact of these factors on your experiences of using supported digital mental health services.</w:t>
      </w:r>
    </w:p>
    <w:p w14:paraId="6389A86D" w14:textId="77777777" w:rsidR="002D1D7C" w:rsidRPr="002D1D7C" w:rsidRDefault="002D1D7C" w:rsidP="00140C5B">
      <w:pPr>
        <w:numPr>
          <w:ilvl w:val="0"/>
          <w:numId w:val="69"/>
        </w:numPr>
        <w:contextualSpacing/>
        <w:rPr>
          <w:rFonts w:asciiTheme="minorHAnsi" w:eastAsia="MS Mincho" w:hAnsiTheme="minorHAnsi" w:cstheme="minorHAnsi"/>
          <w:b/>
          <w:sz w:val="21"/>
          <w:szCs w:val="21"/>
          <w:lang w:val="en-US"/>
        </w:rPr>
      </w:pPr>
      <w:r w:rsidRPr="002D1D7C">
        <w:rPr>
          <w:rFonts w:asciiTheme="minorHAnsi" w:hAnsiTheme="minorHAnsi" w:cstheme="minorHAnsi"/>
          <w:b/>
          <w:bCs/>
          <w:sz w:val="21"/>
          <w:szCs w:val="21"/>
        </w:rPr>
        <w:t>What is your gender?</w:t>
      </w:r>
    </w:p>
    <w:p w14:paraId="330F4CA4" w14:textId="77777777" w:rsidR="002D1D7C" w:rsidRPr="002D1D7C" w:rsidRDefault="002D1D7C" w:rsidP="00140C5B">
      <w:pPr>
        <w:numPr>
          <w:ilvl w:val="0"/>
          <w:numId w:val="57"/>
        </w:numPr>
        <w:ind w:left="1440"/>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Female</w:t>
      </w:r>
    </w:p>
    <w:p w14:paraId="6CFC10C2" w14:textId="77777777" w:rsidR="002D1D7C" w:rsidRPr="002D1D7C" w:rsidRDefault="002D1D7C" w:rsidP="00140C5B">
      <w:pPr>
        <w:numPr>
          <w:ilvl w:val="0"/>
          <w:numId w:val="57"/>
        </w:numPr>
        <w:ind w:left="1440"/>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Male</w:t>
      </w:r>
    </w:p>
    <w:p w14:paraId="4F757A2B" w14:textId="3AC5F20D" w:rsidR="002D1D7C" w:rsidRPr="0098740E" w:rsidRDefault="002D1D7C" w:rsidP="00140C5B">
      <w:pPr>
        <w:numPr>
          <w:ilvl w:val="0"/>
          <w:numId w:val="57"/>
        </w:numPr>
        <w:ind w:left="1440"/>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I do not identify with either term</w:t>
      </w:r>
    </w:p>
    <w:p w14:paraId="68DCB68F" w14:textId="77777777" w:rsidR="002D1D7C" w:rsidRPr="002D1D7C" w:rsidRDefault="002D1D7C" w:rsidP="00140C5B">
      <w:pPr>
        <w:numPr>
          <w:ilvl w:val="0"/>
          <w:numId w:val="69"/>
        </w:numPr>
        <w:contextualSpacing/>
        <w:rPr>
          <w:rFonts w:asciiTheme="minorHAnsi" w:eastAsiaTheme="minorEastAsia" w:hAnsiTheme="minorHAnsi" w:cstheme="minorHAnsi"/>
          <w:b/>
          <w:bCs/>
          <w:sz w:val="21"/>
          <w:szCs w:val="21"/>
        </w:rPr>
      </w:pPr>
      <w:r w:rsidRPr="002D1D7C">
        <w:rPr>
          <w:rFonts w:asciiTheme="minorHAnsi" w:hAnsiTheme="minorHAnsi" w:cstheme="minorHAnsi"/>
          <w:b/>
          <w:bCs/>
          <w:sz w:val="21"/>
          <w:szCs w:val="21"/>
        </w:rPr>
        <w:t xml:space="preserve"> What is your age?</w:t>
      </w:r>
    </w:p>
    <w:p w14:paraId="76547E36" w14:textId="77777777" w:rsidR="002D1D7C" w:rsidRPr="002D1D7C" w:rsidRDefault="002D1D7C" w:rsidP="00140C5B">
      <w:pPr>
        <w:numPr>
          <w:ilvl w:val="0"/>
          <w:numId w:val="58"/>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16-17 years</w:t>
      </w:r>
    </w:p>
    <w:p w14:paraId="227ADDE6" w14:textId="77777777" w:rsidR="002D1D7C" w:rsidRPr="002D1D7C" w:rsidRDefault="002D1D7C" w:rsidP="00140C5B">
      <w:pPr>
        <w:numPr>
          <w:ilvl w:val="0"/>
          <w:numId w:val="58"/>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18-19 years</w:t>
      </w:r>
    </w:p>
    <w:p w14:paraId="5E9F72D4" w14:textId="77777777" w:rsidR="002D1D7C" w:rsidRPr="002D1D7C" w:rsidRDefault="002D1D7C" w:rsidP="00140C5B">
      <w:pPr>
        <w:numPr>
          <w:ilvl w:val="0"/>
          <w:numId w:val="58"/>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20-29 years</w:t>
      </w:r>
    </w:p>
    <w:p w14:paraId="26052AA6" w14:textId="77777777" w:rsidR="002D1D7C" w:rsidRPr="002D1D7C" w:rsidRDefault="002D1D7C" w:rsidP="00140C5B">
      <w:pPr>
        <w:numPr>
          <w:ilvl w:val="0"/>
          <w:numId w:val="58"/>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30-39 years</w:t>
      </w:r>
    </w:p>
    <w:p w14:paraId="2F41F0E8" w14:textId="77777777" w:rsidR="002D1D7C" w:rsidRPr="002D1D7C" w:rsidRDefault="002D1D7C" w:rsidP="00140C5B">
      <w:pPr>
        <w:numPr>
          <w:ilvl w:val="0"/>
          <w:numId w:val="58"/>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40-49 years</w:t>
      </w:r>
    </w:p>
    <w:p w14:paraId="0FC3BC84" w14:textId="77777777" w:rsidR="002D1D7C" w:rsidRPr="002D1D7C" w:rsidRDefault="002D1D7C" w:rsidP="00140C5B">
      <w:pPr>
        <w:numPr>
          <w:ilvl w:val="0"/>
          <w:numId w:val="58"/>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50-59 years</w:t>
      </w:r>
    </w:p>
    <w:p w14:paraId="6323CB53" w14:textId="77777777" w:rsidR="002D1D7C" w:rsidRPr="002D1D7C" w:rsidRDefault="002D1D7C" w:rsidP="00140C5B">
      <w:pPr>
        <w:numPr>
          <w:ilvl w:val="0"/>
          <w:numId w:val="58"/>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60-69 years</w:t>
      </w:r>
    </w:p>
    <w:p w14:paraId="6F3C11E8" w14:textId="77777777" w:rsidR="002D1D7C" w:rsidRPr="002D1D7C" w:rsidRDefault="002D1D7C" w:rsidP="00140C5B">
      <w:pPr>
        <w:numPr>
          <w:ilvl w:val="0"/>
          <w:numId w:val="58"/>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70-79 years</w:t>
      </w:r>
    </w:p>
    <w:p w14:paraId="6CD85B5D" w14:textId="0A2C6733" w:rsidR="002D1D7C" w:rsidRPr="0098740E" w:rsidRDefault="002D1D7C" w:rsidP="00140C5B">
      <w:pPr>
        <w:numPr>
          <w:ilvl w:val="0"/>
          <w:numId w:val="58"/>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80 years or older</w:t>
      </w:r>
    </w:p>
    <w:p w14:paraId="433600A3" w14:textId="77777777" w:rsidR="002D1D7C" w:rsidRPr="002D1D7C" w:rsidRDefault="002D1D7C" w:rsidP="00140C5B">
      <w:pPr>
        <w:numPr>
          <w:ilvl w:val="0"/>
          <w:numId w:val="69"/>
        </w:numPr>
        <w:contextualSpacing/>
        <w:rPr>
          <w:rFonts w:asciiTheme="minorHAnsi" w:eastAsia="MS Mincho" w:hAnsiTheme="minorHAnsi" w:cstheme="minorHAnsi"/>
          <w:sz w:val="21"/>
          <w:szCs w:val="21"/>
        </w:rPr>
      </w:pPr>
      <w:r w:rsidRPr="002D1D7C">
        <w:rPr>
          <w:rFonts w:asciiTheme="minorHAnsi" w:hAnsiTheme="minorHAnsi" w:cstheme="minorHAnsi"/>
          <w:b/>
          <w:bCs/>
          <w:sz w:val="21"/>
          <w:szCs w:val="21"/>
        </w:rPr>
        <w:t>Do you identify as Aboriginal and/or Torres Strait Islander?</w:t>
      </w:r>
    </w:p>
    <w:p w14:paraId="09C33ED1" w14:textId="77777777" w:rsidR="002D1D7C" w:rsidRPr="002D1D7C" w:rsidRDefault="002D1D7C" w:rsidP="00140C5B">
      <w:pPr>
        <w:numPr>
          <w:ilvl w:val="0"/>
          <w:numId w:val="59"/>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 xml:space="preserve">Aboriginal </w:t>
      </w:r>
    </w:p>
    <w:p w14:paraId="224D83FC" w14:textId="77777777" w:rsidR="002D1D7C" w:rsidRPr="002D1D7C" w:rsidRDefault="002D1D7C" w:rsidP="00140C5B">
      <w:pPr>
        <w:numPr>
          <w:ilvl w:val="0"/>
          <w:numId w:val="59"/>
        </w:numPr>
        <w:tabs>
          <w:tab w:val="left" w:pos="4720"/>
        </w:tabs>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 xml:space="preserve">Torres Strait Islander </w:t>
      </w:r>
      <w:r w:rsidRPr="002D1D7C">
        <w:rPr>
          <w:rFonts w:asciiTheme="minorHAnsi" w:eastAsia="MS Mincho" w:hAnsiTheme="minorHAnsi" w:cstheme="minorHAnsi"/>
          <w:sz w:val="21"/>
          <w:szCs w:val="21"/>
        </w:rPr>
        <w:tab/>
      </w:r>
    </w:p>
    <w:p w14:paraId="12CD2CE5" w14:textId="77777777" w:rsidR="002D1D7C" w:rsidRPr="002D1D7C" w:rsidRDefault="002D1D7C" w:rsidP="00140C5B">
      <w:pPr>
        <w:numPr>
          <w:ilvl w:val="0"/>
          <w:numId w:val="59"/>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Both Aboriginal and Torres Strait Islander</w:t>
      </w:r>
    </w:p>
    <w:p w14:paraId="09FB688B" w14:textId="4D75D306" w:rsidR="002D1D7C" w:rsidRPr="0098740E" w:rsidRDefault="002D1D7C" w:rsidP="00140C5B">
      <w:pPr>
        <w:numPr>
          <w:ilvl w:val="0"/>
          <w:numId w:val="59"/>
        </w:numPr>
        <w:contextualSpacing/>
        <w:rPr>
          <w:rFonts w:asciiTheme="minorHAnsi" w:eastAsia="MS Mincho" w:hAnsiTheme="minorHAnsi" w:cstheme="minorHAnsi"/>
          <w:sz w:val="21"/>
          <w:szCs w:val="21"/>
        </w:rPr>
      </w:pPr>
      <w:r w:rsidRPr="002D1D7C">
        <w:rPr>
          <w:rFonts w:asciiTheme="minorHAnsi" w:eastAsia="MS Mincho" w:hAnsiTheme="minorHAnsi" w:cstheme="minorHAnsi"/>
          <w:sz w:val="21"/>
          <w:szCs w:val="21"/>
        </w:rPr>
        <w:t>Neither Aboriginal nor Torres Strait Islander</w:t>
      </w:r>
    </w:p>
    <w:p w14:paraId="78FBC79F" w14:textId="37AAC9F8" w:rsidR="002D1D7C" w:rsidRPr="0098740E" w:rsidRDefault="002D1D7C" w:rsidP="00140C5B">
      <w:pPr>
        <w:numPr>
          <w:ilvl w:val="0"/>
          <w:numId w:val="69"/>
        </w:numPr>
        <w:contextualSpacing/>
        <w:rPr>
          <w:rFonts w:asciiTheme="minorHAnsi" w:hAnsiTheme="minorHAnsi" w:cstheme="minorHAnsi"/>
          <w:b/>
          <w:bCs/>
          <w:sz w:val="21"/>
          <w:szCs w:val="21"/>
        </w:rPr>
      </w:pPr>
      <w:r w:rsidRPr="002D1D7C">
        <w:rPr>
          <w:rFonts w:asciiTheme="minorHAnsi" w:hAnsiTheme="minorHAnsi" w:cstheme="minorHAnsi"/>
          <w:b/>
          <w:bCs/>
          <w:sz w:val="21"/>
          <w:szCs w:val="21"/>
        </w:rPr>
        <w:t xml:space="preserve">What is your postcode? </w:t>
      </w:r>
    </w:p>
    <w:p w14:paraId="6E260603" w14:textId="03A5E756" w:rsidR="002D1D7C" w:rsidRPr="0098740E" w:rsidRDefault="002D1D7C" w:rsidP="00140C5B">
      <w:pPr>
        <w:numPr>
          <w:ilvl w:val="0"/>
          <w:numId w:val="69"/>
        </w:numPr>
        <w:contextualSpacing/>
        <w:rPr>
          <w:rFonts w:asciiTheme="minorHAnsi" w:hAnsiTheme="minorHAnsi" w:cstheme="minorHAnsi"/>
          <w:b/>
          <w:bCs/>
          <w:sz w:val="21"/>
          <w:szCs w:val="21"/>
        </w:rPr>
      </w:pPr>
      <w:r w:rsidRPr="002D1D7C">
        <w:rPr>
          <w:rFonts w:asciiTheme="minorHAnsi" w:hAnsiTheme="minorHAnsi" w:cstheme="minorHAnsi"/>
          <w:b/>
          <w:bCs/>
          <w:sz w:val="21"/>
          <w:szCs w:val="21"/>
        </w:rPr>
        <w:lastRenderedPageBreak/>
        <w:t xml:space="preserve">What type of internet do you have? </w:t>
      </w:r>
    </w:p>
    <w:p w14:paraId="43C1869E" w14:textId="77777777" w:rsidR="002D1D7C" w:rsidRPr="002D1D7C" w:rsidRDefault="002D1D7C" w:rsidP="0098740E">
      <w:pPr>
        <w:numPr>
          <w:ilvl w:val="0"/>
          <w:numId w:val="30"/>
        </w:numPr>
        <w:ind w:left="1440"/>
        <w:contextualSpacing/>
        <w:rPr>
          <w:rFonts w:ascii="Calibri" w:eastAsia="MS Mincho" w:hAnsi="Calibri" w:cs="Calibri"/>
          <w:color w:val="000000" w:themeColor="text1"/>
          <w:sz w:val="21"/>
          <w:szCs w:val="21"/>
          <w:lang w:val="en-US"/>
        </w:rPr>
      </w:pPr>
      <w:r w:rsidRPr="002D1D7C">
        <w:rPr>
          <w:rFonts w:ascii="Calibri" w:eastAsia="MS Mincho" w:hAnsi="Calibri" w:cs="Calibri"/>
          <w:color w:val="000000" w:themeColor="text1"/>
          <w:sz w:val="21"/>
          <w:szCs w:val="21"/>
          <w:lang w:val="en-US"/>
        </w:rPr>
        <w:t>Dial up</w:t>
      </w:r>
    </w:p>
    <w:p w14:paraId="72563A08" w14:textId="77777777" w:rsidR="002D1D7C" w:rsidRPr="002D1D7C" w:rsidRDefault="002D1D7C" w:rsidP="0098740E">
      <w:pPr>
        <w:numPr>
          <w:ilvl w:val="0"/>
          <w:numId w:val="30"/>
        </w:numPr>
        <w:ind w:left="1440"/>
        <w:contextualSpacing/>
        <w:rPr>
          <w:rFonts w:ascii="Calibri" w:eastAsia="MS Mincho" w:hAnsi="Calibri" w:cs="Calibri"/>
          <w:color w:val="000000" w:themeColor="text1"/>
          <w:sz w:val="21"/>
          <w:szCs w:val="21"/>
          <w:lang w:val="en-US"/>
        </w:rPr>
      </w:pPr>
      <w:r w:rsidRPr="002D1D7C">
        <w:rPr>
          <w:rFonts w:ascii="Calibri" w:eastAsia="MS Mincho" w:hAnsi="Calibri" w:cs="Calibri"/>
          <w:color w:val="000000" w:themeColor="text1"/>
          <w:sz w:val="21"/>
          <w:szCs w:val="21"/>
          <w:lang w:val="en-US"/>
        </w:rPr>
        <w:t>ADSL or ADSL2+</w:t>
      </w:r>
    </w:p>
    <w:p w14:paraId="70FD2E8D" w14:textId="77777777" w:rsidR="002D1D7C" w:rsidRPr="002D1D7C" w:rsidRDefault="002D1D7C" w:rsidP="0098740E">
      <w:pPr>
        <w:numPr>
          <w:ilvl w:val="0"/>
          <w:numId w:val="30"/>
        </w:numPr>
        <w:ind w:left="1440"/>
        <w:contextualSpacing/>
        <w:rPr>
          <w:rFonts w:ascii="Calibri" w:eastAsia="MS Mincho" w:hAnsi="Calibri" w:cs="Calibri"/>
          <w:color w:val="000000" w:themeColor="text1"/>
          <w:sz w:val="21"/>
          <w:szCs w:val="21"/>
          <w:lang w:val="en-US"/>
        </w:rPr>
      </w:pPr>
      <w:r w:rsidRPr="002D1D7C">
        <w:rPr>
          <w:rFonts w:ascii="Calibri" w:eastAsia="MS Mincho" w:hAnsi="Calibri" w:cs="Calibri"/>
          <w:color w:val="000000" w:themeColor="text1"/>
          <w:sz w:val="21"/>
          <w:szCs w:val="21"/>
          <w:lang w:val="en-US"/>
        </w:rPr>
        <w:t>Cable</w:t>
      </w:r>
    </w:p>
    <w:p w14:paraId="3BEFDBEC" w14:textId="77777777" w:rsidR="002D1D7C" w:rsidRPr="002D1D7C" w:rsidRDefault="002D1D7C" w:rsidP="0098740E">
      <w:pPr>
        <w:numPr>
          <w:ilvl w:val="0"/>
          <w:numId w:val="30"/>
        </w:numPr>
        <w:ind w:left="1440"/>
        <w:contextualSpacing/>
        <w:rPr>
          <w:rFonts w:ascii="Calibri" w:eastAsia="MS Mincho" w:hAnsi="Calibri" w:cs="Calibri"/>
          <w:color w:val="000000" w:themeColor="text1"/>
          <w:sz w:val="21"/>
          <w:szCs w:val="21"/>
          <w:lang w:val="en-US"/>
        </w:rPr>
      </w:pPr>
      <w:r w:rsidRPr="002D1D7C">
        <w:rPr>
          <w:rFonts w:ascii="Calibri" w:eastAsia="MS Mincho" w:hAnsi="Calibri" w:cs="Calibri"/>
          <w:color w:val="000000" w:themeColor="text1"/>
          <w:sz w:val="21"/>
          <w:szCs w:val="21"/>
          <w:lang w:val="en-US"/>
        </w:rPr>
        <w:t>National Broadband Network (NBN)</w:t>
      </w:r>
    </w:p>
    <w:p w14:paraId="7BD4BA95" w14:textId="77777777" w:rsidR="002D1D7C" w:rsidRPr="002D1D7C" w:rsidRDefault="002D1D7C" w:rsidP="0098740E">
      <w:pPr>
        <w:numPr>
          <w:ilvl w:val="0"/>
          <w:numId w:val="30"/>
        </w:numPr>
        <w:ind w:left="1440"/>
        <w:contextualSpacing/>
        <w:rPr>
          <w:rFonts w:ascii="Calibri" w:eastAsia="MS Mincho" w:hAnsi="Calibri" w:cs="Calibri"/>
          <w:color w:val="000000" w:themeColor="text1"/>
          <w:sz w:val="21"/>
          <w:szCs w:val="21"/>
          <w:lang w:val="en-US"/>
        </w:rPr>
      </w:pPr>
      <w:r w:rsidRPr="002D1D7C">
        <w:rPr>
          <w:rFonts w:ascii="Calibri" w:eastAsia="MS Mincho" w:hAnsi="Calibri" w:cs="Calibri"/>
          <w:color w:val="000000" w:themeColor="text1"/>
          <w:sz w:val="21"/>
          <w:szCs w:val="21"/>
          <w:lang w:val="en-US"/>
        </w:rPr>
        <w:t>Satellite Connection</w:t>
      </w:r>
    </w:p>
    <w:p w14:paraId="2B06DBC5" w14:textId="77777777" w:rsidR="002D1D7C" w:rsidRPr="002D1D7C" w:rsidRDefault="002D1D7C" w:rsidP="0098740E">
      <w:pPr>
        <w:numPr>
          <w:ilvl w:val="0"/>
          <w:numId w:val="30"/>
        </w:numPr>
        <w:ind w:left="1440"/>
        <w:contextualSpacing/>
        <w:rPr>
          <w:rFonts w:ascii="Calibri" w:eastAsia="MS Mincho" w:hAnsi="Calibri" w:cs="Calibri"/>
          <w:color w:val="000000" w:themeColor="text1"/>
          <w:sz w:val="21"/>
          <w:szCs w:val="21"/>
          <w:lang w:val="en-US"/>
        </w:rPr>
      </w:pPr>
      <w:r w:rsidRPr="002D1D7C">
        <w:rPr>
          <w:rFonts w:ascii="Calibri" w:eastAsia="MS Mincho" w:hAnsi="Calibri" w:cs="Calibri"/>
          <w:color w:val="000000" w:themeColor="text1"/>
          <w:sz w:val="21"/>
          <w:szCs w:val="21"/>
          <w:lang w:val="en-US"/>
        </w:rPr>
        <w:t>Wireless Router</w:t>
      </w:r>
    </w:p>
    <w:p w14:paraId="4129CEF0" w14:textId="77777777" w:rsidR="002D1D7C" w:rsidRPr="002D1D7C" w:rsidRDefault="002D1D7C" w:rsidP="0098740E">
      <w:pPr>
        <w:numPr>
          <w:ilvl w:val="0"/>
          <w:numId w:val="30"/>
        </w:numPr>
        <w:ind w:left="1440"/>
        <w:contextualSpacing/>
        <w:rPr>
          <w:rFonts w:ascii="Calibri" w:eastAsia="MS Mincho" w:hAnsi="Calibri" w:cs="Calibri"/>
          <w:color w:val="000000" w:themeColor="text1"/>
          <w:sz w:val="21"/>
          <w:szCs w:val="21"/>
          <w:lang w:val="en-US"/>
        </w:rPr>
      </w:pPr>
      <w:r w:rsidRPr="002D1D7C">
        <w:rPr>
          <w:rFonts w:ascii="Calibri" w:eastAsia="MS Mincho" w:hAnsi="Calibri" w:cs="Calibri"/>
          <w:color w:val="000000" w:themeColor="text1"/>
          <w:sz w:val="21"/>
          <w:szCs w:val="21"/>
          <w:lang w:val="en-US"/>
        </w:rPr>
        <w:t>Mobile Broadband (e.g., hot spot, dongle)</w:t>
      </w:r>
    </w:p>
    <w:p w14:paraId="70D5CA73" w14:textId="71749F01" w:rsidR="002D1D7C" w:rsidRPr="0098740E" w:rsidRDefault="002D1D7C" w:rsidP="0098740E">
      <w:pPr>
        <w:numPr>
          <w:ilvl w:val="0"/>
          <w:numId w:val="30"/>
        </w:numPr>
        <w:ind w:left="1440"/>
        <w:contextualSpacing/>
        <w:rPr>
          <w:rFonts w:ascii="Calibri" w:eastAsia="MS Mincho" w:hAnsi="Calibri" w:cs="Calibri"/>
          <w:color w:val="000000" w:themeColor="text1"/>
          <w:sz w:val="21"/>
          <w:szCs w:val="21"/>
          <w:lang w:val="en-US"/>
        </w:rPr>
      </w:pPr>
      <w:r w:rsidRPr="002D1D7C">
        <w:rPr>
          <w:rFonts w:ascii="Calibri" w:eastAsia="MS Mincho" w:hAnsi="Calibri" w:cs="Calibri"/>
          <w:color w:val="000000" w:themeColor="text1"/>
          <w:sz w:val="21"/>
          <w:szCs w:val="21"/>
          <w:lang w:val="en-US"/>
        </w:rPr>
        <w:t>Other ______________</w:t>
      </w:r>
    </w:p>
    <w:p w14:paraId="54C48E8B" w14:textId="77777777" w:rsidR="002D1D7C" w:rsidRPr="002D1D7C" w:rsidRDefault="002D1D7C" w:rsidP="00140C5B">
      <w:pPr>
        <w:numPr>
          <w:ilvl w:val="0"/>
          <w:numId w:val="42"/>
        </w:numPr>
        <w:contextualSpacing/>
        <w:rPr>
          <w:rFonts w:ascii="Calibri" w:eastAsia="MS Mincho" w:hAnsi="Calibri" w:cs="Calibri"/>
          <w:b/>
          <w:bCs/>
          <w:color w:val="000000" w:themeColor="text1"/>
          <w:sz w:val="21"/>
          <w:szCs w:val="21"/>
          <w:lang w:val="en-US"/>
        </w:rPr>
      </w:pPr>
      <w:r w:rsidRPr="002D1D7C">
        <w:rPr>
          <w:rFonts w:ascii="Calibri" w:eastAsia="MS Mincho" w:hAnsi="Calibri" w:cs="Calibri"/>
          <w:b/>
          <w:bCs/>
          <w:color w:val="000000" w:themeColor="text1"/>
          <w:sz w:val="21"/>
          <w:szCs w:val="21"/>
          <w:lang w:val="en-US"/>
        </w:rPr>
        <w:t>How reliable is your internet?</w:t>
      </w:r>
    </w:p>
    <w:p w14:paraId="139D5293" w14:textId="77777777" w:rsidR="002D1D7C" w:rsidRPr="002D1D7C" w:rsidRDefault="002D1D7C" w:rsidP="00634B19">
      <w:pPr>
        <w:numPr>
          <w:ilvl w:val="0"/>
          <w:numId w:val="31"/>
        </w:numPr>
        <w:contextualSpacing/>
        <w:rPr>
          <w:rFonts w:ascii="Calibri" w:eastAsia="MS Mincho" w:hAnsi="Calibri" w:cs="Calibri"/>
          <w:color w:val="000000" w:themeColor="text1"/>
          <w:sz w:val="21"/>
          <w:szCs w:val="21"/>
          <w:lang w:val="en-US"/>
        </w:rPr>
      </w:pPr>
      <w:r w:rsidRPr="002D1D7C">
        <w:rPr>
          <w:rFonts w:ascii="Calibri" w:eastAsia="MS Mincho" w:hAnsi="Calibri" w:cs="Calibri"/>
          <w:color w:val="000000" w:themeColor="text1"/>
          <w:sz w:val="21"/>
          <w:szCs w:val="21"/>
          <w:lang w:val="en-US"/>
        </w:rPr>
        <w:t xml:space="preserve">Unreliable </w:t>
      </w:r>
      <w:proofErr w:type="gramStart"/>
      <w:r w:rsidRPr="002D1D7C">
        <w:rPr>
          <w:rFonts w:ascii="Calibri" w:eastAsia="MS Mincho" w:hAnsi="Calibri" w:cs="Calibri"/>
          <w:color w:val="000000" w:themeColor="text1"/>
          <w:sz w:val="21"/>
          <w:szCs w:val="21"/>
          <w:lang w:val="en-US"/>
        </w:rPr>
        <w:t>all of</w:t>
      </w:r>
      <w:proofErr w:type="gramEnd"/>
      <w:r w:rsidRPr="002D1D7C">
        <w:rPr>
          <w:rFonts w:ascii="Calibri" w:eastAsia="MS Mincho" w:hAnsi="Calibri" w:cs="Calibri"/>
          <w:color w:val="000000" w:themeColor="text1"/>
          <w:sz w:val="21"/>
          <w:szCs w:val="21"/>
          <w:lang w:val="en-US"/>
        </w:rPr>
        <w:t xml:space="preserve"> the time</w:t>
      </w:r>
    </w:p>
    <w:p w14:paraId="15759058" w14:textId="77777777" w:rsidR="002D1D7C" w:rsidRPr="002D1D7C" w:rsidRDefault="002D1D7C" w:rsidP="00634B19">
      <w:pPr>
        <w:numPr>
          <w:ilvl w:val="0"/>
          <w:numId w:val="31"/>
        </w:numPr>
        <w:contextualSpacing/>
        <w:rPr>
          <w:rFonts w:ascii="Calibri" w:eastAsia="MS Mincho" w:hAnsi="Calibri" w:cs="Calibri"/>
          <w:color w:val="000000" w:themeColor="text1"/>
          <w:sz w:val="21"/>
          <w:szCs w:val="21"/>
          <w:lang w:val="en-US"/>
        </w:rPr>
      </w:pPr>
      <w:r w:rsidRPr="002D1D7C">
        <w:rPr>
          <w:rFonts w:ascii="Calibri" w:eastAsia="MS Mincho" w:hAnsi="Calibri" w:cs="Calibri"/>
          <w:color w:val="000000" w:themeColor="text1"/>
          <w:sz w:val="21"/>
          <w:szCs w:val="21"/>
          <w:lang w:val="en-US"/>
        </w:rPr>
        <w:t>Unreliable most of the time</w:t>
      </w:r>
    </w:p>
    <w:p w14:paraId="5A2F499F" w14:textId="77777777" w:rsidR="002D1D7C" w:rsidRPr="002D1D7C" w:rsidRDefault="002D1D7C" w:rsidP="00634B19">
      <w:pPr>
        <w:numPr>
          <w:ilvl w:val="0"/>
          <w:numId w:val="31"/>
        </w:numPr>
        <w:contextualSpacing/>
        <w:rPr>
          <w:rFonts w:ascii="Calibri" w:eastAsia="MS Mincho" w:hAnsi="Calibri" w:cs="Calibri"/>
          <w:color w:val="000000" w:themeColor="text1"/>
          <w:sz w:val="21"/>
          <w:szCs w:val="21"/>
          <w:lang w:val="en-US"/>
        </w:rPr>
      </w:pPr>
      <w:r w:rsidRPr="002D1D7C">
        <w:rPr>
          <w:rFonts w:ascii="Calibri" w:eastAsia="MS Mincho" w:hAnsi="Calibri" w:cs="Calibri"/>
          <w:color w:val="000000" w:themeColor="text1"/>
          <w:sz w:val="21"/>
          <w:szCs w:val="21"/>
          <w:lang w:val="en-US"/>
        </w:rPr>
        <w:t>Unreliable/reliable some of the time</w:t>
      </w:r>
    </w:p>
    <w:p w14:paraId="632847CE" w14:textId="77777777" w:rsidR="002D1D7C" w:rsidRPr="002D1D7C" w:rsidRDefault="002D1D7C" w:rsidP="00634B19">
      <w:pPr>
        <w:numPr>
          <w:ilvl w:val="0"/>
          <w:numId w:val="31"/>
        </w:numPr>
        <w:contextualSpacing/>
        <w:rPr>
          <w:rFonts w:ascii="Calibri" w:eastAsia="MS Mincho" w:hAnsi="Calibri" w:cs="Calibri"/>
          <w:color w:val="000000" w:themeColor="text1"/>
          <w:sz w:val="21"/>
          <w:szCs w:val="21"/>
          <w:lang w:val="en-US"/>
        </w:rPr>
      </w:pPr>
      <w:r w:rsidRPr="002D1D7C">
        <w:rPr>
          <w:rFonts w:ascii="Calibri" w:eastAsia="MS Mincho" w:hAnsi="Calibri" w:cs="Calibri"/>
          <w:color w:val="000000" w:themeColor="text1"/>
          <w:sz w:val="21"/>
          <w:szCs w:val="21"/>
          <w:lang w:val="en-US"/>
        </w:rPr>
        <w:t>Reliable most of the time</w:t>
      </w:r>
    </w:p>
    <w:p w14:paraId="3357FF36" w14:textId="4312396C" w:rsidR="002D1D7C" w:rsidRPr="0098740E" w:rsidRDefault="002D1D7C" w:rsidP="0098740E">
      <w:pPr>
        <w:numPr>
          <w:ilvl w:val="0"/>
          <w:numId w:val="31"/>
        </w:numPr>
        <w:snapToGrid w:val="0"/>
        <w:ind w:left="1434" w:hanging="357"/>
        <w:rPr>
          <w:rFonts w:ascii="Calibri" w:eastAsia="MS Mincho" w:hAnsi="Calibri" w:cs="Calibri"/>
          <w:color w:val="000000" w:themeColor="text1"/>
          <w:sz w:val="21"/>
          <w:szCs w:val="21"/>
          <w:lang w:val="en-US"/>
        </w:rPr>
      </w:pPr>
      <w:r w:rsidRPr="002D1D7C">
        <w:rPr>
          <w:rFonts w:ascii="Calibri" w:eastAsia="MS Mincho" w:hAnsi="Calibri" w:cs="Calibri"/>
          <w:color w:val="000000" w:themeColor="text1"/>
          <w:sz w:val="21"/>
          <w:szCs w:val="21"/>
          <w:lang w:val="en-US"/>
        </w:rPr>
        <w:t xml:space="preserve">Reliable </w:t>
      </w:r>
      <w:proofErr w:type="gramStart"/>
      <w:r w:rsidRPr="002D1D7C">
        <w:rPr>
          <w:rFonts w:ascii="Calibri" w:eastAsia="MS Mincho" w:hAnsi="Calibri" w:cs="Calibri"/>
          <w:color w:val="000000" w:themeColor="text1"/>
          <w:sz w:val="21"/>
          <w:szCs w:val="21"/>
          <w:lang w:val="en-US"/>
        </w:rPr>
        <w:t>all of</w:t>
      </w:r>
      <w:proofErr w:type="gramEnd"/>
      <w:r w:rsidRPr="002D1D7C">
        <w:rPr>
          <w:rFonts w:ascii="Calibri" w:eastAsia="MS Mincho" w:hAnsi="Calibri" w:cs="Calibri"/>
          <w:color w:val="000000" w:themeColor="text1"/>
          <w:sz w:val="21"/>
          <w:szCs w:val="21"/>
          <w:lang w:val="en-US"/>
        </w:rPr>
        <w:t xml:space="preserve"> the time</w:t>
      </w:r>
    </w:p>
    <w:tbl>
      <w:tblPr>
        <w:tblStyle w:val="TableGrid2"/>
        <w:tblW w:w="0" w:type="auto"/>
        <w:tblInd w:w="360" w:type="dxa"/>
        <w:tblLook w:val="04A0" w:firstRow="1" w:lastRow="0" w:firstColumn="1" w:lastColumn="0" w:noHBand="0" w:noVBand="1"/>
      </w:tblPr>
      <w:tblGrid>
        <w:gridCol w:w="9242"/>
      </w:tblGrid>
      <w:tr w:rsidR="002D1D7C" w:rsidRPr="002D1D7C" w14:paraId="248FA9DA" w14:textId="77777777" w:rsidTr="00BD431E">
        <w:tc>
          <w:tcPr>
            <w:tcW w:w="9242" w:type="dxa"/>
            <w:shd w:val="clear" w:color="auto" w:fill="000000" w:themeFill="text1"/>
          </w:tcPr>
          <w:p w14:paraId="3FC931FE" w14:textId="77777777" w:rsidR="002D1D7C" w:rsidRPr="002D1D7C" w:rsidRDefault="002D1D7C" w:rsidP="002D1D7C">
            <w:pPr>
              <w:jc w:val="center"/>
              <w:rPr>
                <w:rFonts w:asciiTheme="minorHAnsi" w:eastAsia="MS Mincho" w:hAnsiTheme="minorHAnsi" w:cstheme="minorHAnsi"/>
                <w:sz w:val="21"/>
                <w:szCs w:val="21"/>
                <w:lang w:val="en-US" w:eastAsia="en-AU"/>
              </w:rPr>
            </w:pPr>
            <w:r w:rsidRPr="002D1D7C">
              <w:rPr>
                <w:rFonts w:asciiTheme="minorHAnsi" w:eastAsia="MS Mincho" w:hAnsiTheme="minorHAnsi" w:cstheme="minorHAnsi"/>
                <w:sz w:val="21"/>
                <w:szCs w:val="21"/>
                <w:lang w:val="en-US" w:eastAsia="en-AU"/>
              </w:rPr>
              <w:t>Participation in an interview</w:t>
            </w:r>
          </w:p>
        </w:tc>
      </w:tr>
    </w:tbl>
    <w:p w14:paraId="3673DC19" w14:textId="77777777" w:rsidR="002D1D7C" w:rsidRPr="002D1D7C" w:rsidRDefault="002D1D7C" w:rsidP="00140C5B">
      <w:pPr>
        <w:numPr>
          <w:ilvl w:val="0"/>
          <w:numId w:val="70"/>
        </w:numPr>
        <w:contextualSpacing/>
        <w:rPr>
          <w:rFonts w:asciiTheme="minorHAnsi" w:eastAsia="MS Mincho" w:hAnsiTheme="minorHAnsi" w:cstheme="minorHAnsi"/>
          <w:b/>
          <w:sz w:val="21"/>
          <w:szCs w:val="21"/>
          <w:lang w:val="en-US"/>
        </w:rPr>
      </w:pPr>
      <w:r w:rsidRPr="002D1D7C">
        <w:rPr>
          <w:rFonts w:asciiTheme="minorHAnsi" w:eastAsia="MS Mincho" w:hAnsiTheme="minorHAnsi" w:cstheme="minorHAnsi"/>
          <w:b/>
          <w:sz w:val="21"/>
          <w:szCs w:val="21"/>
          <w:lang w:val="en-US"/>
        </w:rPr>
        <w:t>Are you willing to take part in a follow-up interview, which should take around 20 minutes, to provide more detailed information about your experience?</w:t>
      </w:r>
    </w:p>
    <w:p w14:paraId="15CF8500" w14:textId="77777777" w:rsidR="002D1D7C" w:rsidRPr="002D1D7C" w:rsidRDefault="002D1D7C" w:rsidP="00140C5B">
      <w:pPr>
        <w:numPr>
          <w:ilvl w:val="0"/>
          <w:numId w:val="41"/>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Yes</w:t>
      </w:r>
    </w:p>
    <w:p w14:paraId="6140900F" w14:textId="5BE6E105" w:rsidR="002D1D7C" w:rsidRPr="00CA1ECD" w:rsidRDefault="002D1D7C" w:rsidP="00140C5B">
      <w:pPr>
        <w:numPr>
          <w:ilvl w:val="0"/>
          <w:numId w:val="41"/>
        </w:numPr>
        <w:contextualSpacing/>
        <w:rPr>
          <w:rFonts w:asciiTheme="minorHAnsi" w:eastAsia="MS Mincho" w:hAnsiTheme="minorHAnsi" w:cstheme="minorHAnsi"/>
          <w:sz w:val="21"/>
          <w:szCs w:val="21"/>
          <w:lang w:val="en-US"/>
        </w:rPr>
      </w:pPr>
      <w:r w:rsidRPr="002D1D7C">
        <w:rPr>
          <w:rFonts w:asciiTheme="minorHAnsi" w:eastAsia="MS Mincho" w:hAnsiTheme="minorHAnsi" w:cstheme="minorHAnsi"/>
          <w:sz w:val="21"/>
          <w:szCs w:val="21"/>
          <w:lang w:val="en-US"/>
        </w:rPr>
        <w:t xml:space="preserve">No </w:t>
      </w:r>
    </w:p>
    <w:p w14:paraId="04E3846B" w14:textId="77777777" w:rsidR="002D1D7C" w:rsidRPr="002D1D7C" w:rsidRDefault="002D1D7C" w:rsidP="00CA1ECD">
      <w:pPr>
        <w:spacing w:after="120"/>
        <w:ind w:left="2160"/>
        <w:rPr>
          <w:rFonts w:asciiTheme="minorHAnsi" w:eastAsia="MS Mincho" w:hAnsiTheme="minorHAnsi" w:cstheme="minorHAnsi"/>
          <w:b/>
          <w:sz w:val="21"/>
          <w:szCs w:val="21"/>
          <w:lang w:val="en-US"/>
        </w:rPr>
      </w:pPr>
      <w:r w:rsidRPr="002D1D7C">
        <w:rPr>
          <w:rFonts w:asciiTheme="minorHAnsi" w:eastAsia="MS Mincho" w:hAnsiTheme="minorHAnsi" w:cstheme="minorHAnsi"/>
          <w:b/>
          <w:sz w:val="21"/>
          <w:szCs w:val="21"/>
          <w:lang w:val="en-US"/>
        </w:rPr>
        <w:t>If yes, please provide your contact details.</w:t>
      </w:r>
    </w:p>
    <w:p w14:paraId="275B9EBE" w14:textId="77777777" w:rsidR="002D1D7C" w:rsidRPr="002D1D7C" w:rsidRDefault="002D1D7C" w:rsidP="00CA1ECD">
      <w:pPr>
        <w:spacing w:after="120"/>
        <w:ind w:left="2160"/>
        <w:rPr>
          <w:rFonts w:asciiTheme="minorHAnsi" w:eastAsia="MS Mincho" w:hAnsiTheme="minorHAnsi" w:cstheme="minorHAnsi"/>
          <w:bCs/>
          <w:sz w:val="21"/>
          <w:szCs w:val="21"/>
          <w:lang w:val="en-US"/>
        </w:rPr>
      </w:pPr>
      <w:proofErr w:type="gramStart"/>
      <w:r w:rsidRPr="002D1D7C">
        <w:rPr>
          <w:rFonts w:asciiTheme="minorHAnsi" w:eastAsia="MS Mincho" w:hAnsiTheme="minorHAnsi" w:cstheme="minorHAnsi"/>
          <w:bCs/>
          <w:sz w:val="21"/>
          <w:szCs w:val="21"/>
          <w:lang w:val="en-US"/>
        </w:rPr>
        <w:t>Name:_</w:t>
      </w:r>
      <w:proofErr w:type="gramEnd"/>
      <w:r w:rsidRPr="002D1D7C">
        <w:rPr>
          <w:rFonts w:asciiTheme="minorHAnsi" w:eastAsia="MS Mincho" w:hAnsiTheme="minorHAnsi" w:cstheme="minorHAnsi"/>
          <w:bCs/>
          <w:sz w:val="21"/>
          <w:szCs w:val="21"/>
          <w:lang w:val="en-US"/>
        </w:rPr>
        <w:t>__________________</w:t>
      </w:r>
    </w:p>
    <w:p w14:paraId="00E59666" w14:textId="77777777" w:rsidR="002D1D7C" w:rsidRPr="002D1D7C" w:rsidRDefault="002D1D7C" w:rsidP="00CA1ECD">
      <w:pPr>
        <w:spacing w:after="120"/>
        <w:ind w:left="2160"/>
        <w:rPr>
          <w:rFonts w:asciiTheme="minorHAnsi" w:eastAsia="MS Mincho" w:hAnsiTheme="minorHAnsi" w:cstheme="minorHAnsi"/>
          <w:bCs/>
          <w:sz w:val="21"/>
          <w:szCs w:val="21"/>
          <w:lang w:val="en-US"/>
        </w:rPr>
      </w:pPr>
      <w:r w:rsidRPr="002D1D7C">
        <w:rPr>
          <w:rFonts w:asciiTheme="minorHAnsi" w:eastAsia="MS Mincho" w:hAnsiTheme="minorHAnsi" w:cstheme="minorHAnsi"/>
          <w:bCs/>
          <w:sz w:val="21"/>
          <w:szCs w:val="21"/>
          <w:lang w:val="en-US"/>
        </w:rPr>
        <w:t xml:space="preserve">Phone </w:t>
      </w:r>
      <w:proofErr w:type="gramStart"/>
      <w:r w:rsidRPr="002D1D7C">
        <w:rPr>
          <w:rFonts w:asciiTheme="minorHAnsi" w:eastAsia="MS Mincho" w:hAnsiTheme="minorHAnsi" w:cstheme="minorHAnsi"/>
          <w:bCs/>
          <w:sz w:val="21"/>
          <w:szCs w:val="21"/>
          <w:lang w:val="en-US"/>
        </w:rPr>
        <w:t>number:_</w:t>
      </w:r>
      <w:proofErr w:type="gramEnd"/>
      <w:r w:rsidRPr="002D1D7C">
        <w:rPr>
          <w:rFonts w:asciiTheme="minorHAnsi" w:eastAsia="MS Mincho" w:hAnsiTheme="minorHAnsi" w:cstheme="minorHAnsi"/>
          <w:bCs/>
          <w:sz w:val="21"/>
          <w:szCs w:val="21"/>
          <w:lang w:val="en-US"/>
        </w:rPr>
        <w:t>__________________</w:t>
      </w:r>
    </w:p>
    <w:p w14:paraId="50FCCDCD" w14:textId="4997E8A0" w:rsidR="00122309" w:rsidRPr="00CA1ECD" w:rsidRDefault="002D1D7C" w:rsidP="00CA1ECD">
      <w:pPr>
        <w:spacing w:after="120"/>
        <w:ind w:left="2160"/>
        <w:rPr>
          <w:rFonts w:asciiTheme="minorHAnsi" w:eastAsia="MS Mincho" w:hAnsiTheme="minorHAnsi" w:cstheme="minorHAnsi"/>
          <w:bCs/>
          <w:sz w:val="21"/>
          <w:szCs w:val="21"/>
          <w:lang w:val="en-US"/>
        </w:rPr>
      </w:pPr>
      <w:r w:rsidRPr="002D1D7C">
        <w:rPr>
          <w:rFonts w:asciiTheme="minorHAnsi" w:eastAsia="MS Mincho" w:hAnsiTheme="minorHAnsi" w:cstheme="minorHAnsi"/>
          <w:bCs/>
          <w:sz w:val="21"/>
          <w:szCs w:val="21"/>
          <w:lang w:val="en-US"/>
        </w:rPr>
        <w:t xml:space="preserve">Days and times to contact </w:t>
      </w:r>
      <w:proofErr w:type="gramStart"/>
      <w:r w:rsidRPr="002D1D7C">
        <w:rPr>
          <w:rFonts w:asciiTheme="minorHAnsi" w:eastAsia="MS Mincho" w:hAnsiTheme="minorHAnsi" w:cstheme="minorHAnsi"/>
          <w:bCs/>
          <w:sz w:val="21"/>
          <w:szCs w:val="21"/>
          <w:lang w:val="en-US"/>
        </w:rPr>
        <w:t>you:_</w:t>
      </w:r>
      <w:proofErr w:type="gramEnd"/>
      <w:r w:rsidRPr="002D1D7C">
        <w:rPr>
          <w:rFonts w:asciiTheme="minorHAnsi" w:eastAsia="MS Mincho" w:hAnsiTheme="minorHAnsi" w:cstheme="minorHAnsi"/>
          <w:bCs/>
          <w:sz w:val="21"/>
          <w:szCs w:val="21"/>
          <w:lang w:val="en-US"/>
        </w:rPr>
        <w:t>________________</w:t>
      </w:r>
    </w:p>
    <w:p w14:paraId="48A342D4" w14:textId="08FF4646" w:rsidR="005026FD" w:rsidRPr="005026FD" w:rsidRDefault="005026FD" w:rsidP="0098740E">
      <w:pPr>
        <w:pStyle w:val="Heading2"/>
        <w:numPr>
          <w:ilvl w:val="0"/>
          <w:numId w:val="0"/>
        </w:numPr>
      </w:pPr>
      <w:bookmarkStart w:id="331" w:name="_Toc108784926"/>
      <w:r>
        <w:t>Interview</w:t>
      </w:r>
      <w:r w:rsidR="00E00D31">
        <w:t xml:space="preserve"> questions</w:t>
      </w:r>
      <w:bookmarkEnd w:id="331"/>
    </w:p>
    <w:p w14:paraId="765C7CA6" w14:textId="1149F4C4" w:rsidR="00593A2C" w:rsidRPr="00593A2C" w:rsidRDefault="0094119D" w:rsidP="007560FC">
      <w:pPr>
        <w:spacing w:after="240"/>
        <w:textAlignment w:val="baseline"/>
        <w:rPr>
          <w:rFonts w:asciiTheme="minorHAnsi" w:hAnsiTheme="minorHAnsi" w:cstheme="minorHAnsi"/>
          <w:sz w:val="20"/>
          <w:szCs w:val="20"/>
          <w:lang w:val="en-US"/>
        </w:rPr>
      </w:pPr>
      <w:r w:rsidRPr="00593A2C">
        <w:rPr>
          <w:rFonts w:asciiTheme="minorHAnsi" w:hAnsiTheme="minorHAnsi" w:cstheme="minorHAnsi"/>
          <w:sz w:val="20"/>
          <w:szCs w:val="20"/>
        </w:rPr>
        <w:t xml:space="preserve">Thank you for agreeing to participate in this interview about supported digital mental health services. </w:t>
      </w:r>
      <w:r w:rsidRPr="00593A2C">
        <w:rPr>
          <w:rFonts w:asciiTheme="minorHAnsi" w:hAnsiTheme="minorHAnsi" w:cstheme="minorHAnsi"/>
          <w:sz w:val="20"/>
          <w:szCs w:val="20"/>
          <w:lang w:val="en-US"/>
        </w:rPr>
        <w:t xml:space="preserve">We are interested in mental health services that are delivered online via desktop computers or mobile devices. When we refer to supported digital mental health services, we mean that the digital service includes the option of receiving support from a therapist within the program. </w:t>
      </w:r>
      <w:r w:rsidRPr="00593A2C">
        <w:rPr>
          <w:rFonts w:asciiTheme="minorHAnsi" w:hAnsiTheme="minorHAnsi" w:cstheme="minorHAnsi"/>
          <w:sz w:val="20"/>
          <w:szCs w:val="20"/>
        </w:rPr>
        <w:t>You were invited to participate because you received psychological services from an online provider. The interview will take about 20 minutes. Your responses are confidential, and you are free to withdraw from the interview at any stage. I’d like to ask you some questions about the services you received.</w:t>
      </w:r>
    </w:p>
    <w:p w14:paraId="34C66D44" w14:textId="7BF8E416" w:rsidR="0094119D" w:rsidRPr="00202FEE" w:rsidRDefault="0094119D" w:rsidP="00140C5B">
      <w:pPr>
        <w:pStyle w:val="ListParagraph"/>
        <w:numPr>
          <w:ilvl w:val="0"/>
          <w:numId w:val="74"/>
        </w:numPr>
        <w:textAlignment w:val="baseline"/>
        <w:rPr>
          <w:b/>
          <w:bCs/>
          <w:sz w:val="20"/>
          <w:szCs w:val="20"/>
          <w:lang w:eastAsia="en-AU"/>
        </w:rPr>
      </w:pPr>
      <w:r w:rsidRPr="00202FEE">
        <w:rPr>
          <w:b/>
          <w:bCs/>
          <w:sz w:val="20"/>
          <w:szCs w:val="20"/>
          <w:lang w:eastAsia="en-AU"/>
        </w:rPr>
        <w:t>What was it like to go through the program(s)?</w:t>
      </w:r>
    </w:p>
    <w:p w14:paraId="3B5A8D37" w14:textId="16531003" w:rsidR="0094119D" w:rsidRPr="00202FEE" w:rsidRDefault="0094119D" w:rsidP="00140C5B">
      <w:pPr>
        <w:pStyle w:val="ListParagraph"/>
        <w:numPr>
          <w:ilvl w:val="0"/>
          <w:numId w:val="74"/>
        </w:numPr>
        <w:textAlignment w:val="baseline"/>
        <w:rPr>
          <w:b/>
          <w:bCs/>
          <w:sz w:val="20"/>
          <w:szCs w:val="20"/>
          <w:lang w:eastAsia="en-AU"/>
        </w:rPr>
      </w:pPr>
      <w:r w:rsidRPr="00202FEE">
        <w:rPr>
          <w:b/>
          <w:bCs/>
          <w:sz w:val="20"/>
          <w:szCs w:val="20"/>
          <w:lang w:eastAsia="en-AU"/>
        </w:rPr>
        <w:t>Can you tell me about your experience with the modules?</w:t>
      </w:r>
    </w:p>
    <w:p w14:paraId="1BE843B6" w14:textId="0B9A0BD9" w:rsidR="0094119D" w:rsidRPr="00202FEE" w:rsidRDefault="0094119D" w:rsidP="00140C5B">
      <w:pPr>
        <w:pStyle w:val="ListParagraph"/>
        <w:numPr>
          <w:ilvl w:val="0"/>
          <w:numId w:val="74"/>
        </w:numPr>
        <w:textAlignment w:val="baseline"/>
        <w:rPr>
          <w:b/>
          <w:bCs/>
          <w:sz w:val="20"/>
          <w:szCs w:val="20"/>
          <w:lang w:eastAsia="en-AU"/>
        </w:rPr>
      </w:pPr>
      <w:r w:rsidRPr="00202FEE">
        <w:rPr>
          <w:b/>
          <w:bCs/>
          <w:sz w:val="20"/>
          <w:szCs w:val="20"/>
          <w:lang w:eastAsia="en-AU"/>
        </w:rPr>
        <w:t>Can you tell me about your experience with the activities?</w:t>
      </w:r>
    </w:p>
    <w:p w14:paraId="387A5098" w14:textId="3E0CAAAC" w:rsidR="0094119D" w:rsidRPr="00202FEE" w:rsidRDefault="0094119D" w:rsidP="00140C5B">
      <w:pPr>
        <w:pStyle w:val="ListParagraph"/>
        <w:numPr>
          <w:ilvl w:val="0"/>
          <w:numId w:val="74"/>
        </w:numPr>
        <w:textAlignment w:val="baseline"/>
        <w:rPr>
          <w:b/>
          <w:bCs/>
          <w:sz w:val="20"/>
          <w:szCs w:val="20"/>
          <w:lang w:eastAsia="en-AU"/>
        </w:rPr>
      </w:pPr>
      <w:r w:rsidRPr="00202FEE">
        <w:rPr>
          <w:b/>
          <w:bCs/>
          <w:sz w:val="20"/>
          <w:szCs w:val="20"/>
          <w:lang w:eastAsia="en-AU"/>
        </w:rPr>
        <w:t>Can you tell me about your experience with the therapist?</w:t>
      </w:r>
    </w:p>
    <w:p w14:paraId="4772A8E4" w14:textId="06FC4E06" w:rsidR="0094119D" w:rsidRPr="00202FEE" w:rsidRDefault="0094119D" w:rsidP="00140C5B">
      <w:pPr>
        <w:pStyle w:val="ListParagraph"/>
        <w:numPr>
          <w:ilvl w:val="0"/>
          <w:numId w:val="74"/>
        </w:numPr>
        <w:textAlignment w:val="baseline"/>
        <w:rPr>
          <w:b/>
          <w:bCs/>
          <w:sz w:val="20"/>
          <w:szCs w:val="20"/>
          <w:lang w:eastAsia="en-AU"/>
        </w:rPr>
      </w:pPr>
      <w:r w:rsidRPr="00202FEE">
        <w:rPr>
          <w:b/>
          <w:bCs/>
          <w:sz w:val="20"/>
          <w:szCs w:val="20"/>
          <w:lang w:eastAsia="en-AU"/>
        </w:rPr>
        <w:t>Can you tell me a little about why you decided to use supported digital mental health?</w:t>
      </w:r>
    </w:p>
    <w:p w14:paraId="14C60C38" w14:textId="1849DEE0" w:rsidR="0094119D" w:rsidRPr="00202FEE" w:rsidRDefault="0094119D" w:rsidP="00140C5B">
      <w:pPr>
        <w:pStyle w:val="ListParagraph"/>
        <w:numPr>
          <w:ilvl w:val="0"/>
          <w:numId w:val="74"/>
        </w:numPr>
        <w:textAlignment w:val="baseline"/>
        <w:rPr>
          <w:b/>
          <w:bCs/>
          <w:sz w:val="20"/>
          <w:szCs w:val="20"/>
          <w:lang w:eastAsia="en-AU"/>
        </w:rPr>
      </w:pPr>
      <w:r w:rsidRPr="00202FEE">
        <w:rPr>
          <w:b/>
          <w:bCs/>
          <w:sz w:val="20"/>
          <w:szCs w:val="20"/>
          <w:lang w:eastAsia="en-AU"/>
        </w:rPr>
        <w:t>What were the benefits of receiving supported digital mental health services?</w:t>
      </w:r>
    </w:p>
    <w:p w14:paraId="0CCF8E93" w14:textId="64F7EEAC" w:rsidR="0094119D" w:rsidRPr="00202FEE" w:rsidRDefault="0094119D" w:rsidP="00140C5B">
      <w:pPr>
        <w:pStyle w:val="ListParagraph"/>
        <w:numPr>
          <w:ilvl w:val="0"/>
          <w:numId w:val="74"/>
        </w:numPr>
        <w:textAlignment w:val="baseline"/>
        <w:rPr>
          <w:b/>
          <w:bCs/>
          <w:sz w:val="20"/>
          <w:szCs w:val="20"/>
          <w:lang w:eastAsia="en-AU"/>
        </w:rPr>
      </w:pPr>
      <w:r w:rsidRPr="00202FEE">
        <w:rPr>
          <w:b/>
          <w:bCs/>
          <w:sz w:val="20"/>
          <w:szCs w:val="20"/>
          <w:lang w:eastAsia="en-AU"/>
        </w:rPr>
        <w:t>What were the difficulties you experienced with using supported digital mental health services?</w:t>
      </w:r>
    </w:p>
    <w:p w14:paraId="119D42CB" w14:textId="168C1846" w:rsidR="0094119D" w:rsidRPr="00202FEE" w:rsidRDefault="0094119D" w:rsidP="00140C5B">
      <w:pPr>
        <w:pStyle w:val="ListParagraph"/>
        <w:numPr>
          <w:ilvl w:val="0"/>
          <w:numId w:val="74"/>
        </w:numPr>
        <w:textAlignment w:val="baseline"/>
        <w:rPr>
          <w:b/>
          <w:bCs/>
          <w:sz w:val="20"/>
          <w:szCs w:val="20"/>
          <w:lang w:eastAsia="en-AU"/>
        </w:rPr>
      </w:pPr>
      <w:r w:rsidRPr="00202FEE">
        <w:rPr>
          <w:b/>
          <w:bCs/>
          <w:sz w:val="20"/>
          <w:szCs w:val="20"/>
          <w:lang w:eastAsia="en-AU"/>
        </w:rPr>
        <w:t>What is your preferred means of accessing mental health care?</w:t>
      </w:r>
    </w:p>
    <w:p w14:paraId="591831B9" w14:textId="178BFC77" w:rsidR="0094119D" w:rsidRPr="00202FEE" w:rsidRDefault="0094119D" w:rsidP="00140C5B">
      <w:pPr>
        <w:pStyle w:val="ListParagraph"/>
        <w:numPr>
          <w:ilvl w:val="0"/>
          <w:numId w:val="74"/>
        </w:numPr>
        <w:textAlignment w:val="baseline"/>
        <w:rPr>
          <w:b/>
          <w:bCs/>
          <w:sz w:val="20"/>
          <w:szCs w:val="20"/>
          <w:lang w:eastAsia="en-AU"/>
        </w:rPr>
      </w:pPr>
      <w:r w:rsidRPr="00202FEE">
        <w:rPr>
          <w:b/>
          <w:bCs/>
          <w:sz w:val="20"/>
          <w:szCs w:val="20"/>
          <w:lang w:eastAsia="en-AU"/>
        </w:rPr>
        <w:t>Were you satisfied with the care that you received from the supported digital mental health service?</w:t>
      </w:r>
    </w:p>
    <w:p w14:paraId="10386718" w14:textId="70611C32" w:rsidR="0094119D" w:rsidRPr="00202FEE" w:rsidRDefault="0094119D" w:rsidP="00140C5B">
      <w:pPr>
        <w:pStyle w:val="ListParagraph"/>
        <w:numPr>
          <w:ilvl w:val="0"/>
          <w:numId w:val="74"/>
        </w:numPr>
        <w:textAlignment w:val="baseline"/>
        <w:rPr>
          <w:b/>
          <w:bCs/>
          <w:sz w:val="20"/>
          <w:szCs w:val="20"/>
          <w:lang w:eastAsia="en-AU"/>
        </w:rPr>
      </w:pPr>
      <w:r w:rsidRPr="00202FEE">
        <w:rPr>
          <w:b/>
          <w:bCs/>
          <w:sz w:val="20"/>
          <w:szCs w:val="20"/>
          <w:lang w:eastAsia="en-AU"/>
        </w:rPr>
        <w:t>Have you accessed any other supported digital mental health services?</w:t>
      </w:r>
    </w:p>
    <w:p w14:paraId="5ED7B1DF" w14:textId="5883A87E" w:rsidR="0094119D" w:rsidRPr="00202FEE" w:rsidRDefault="0094119D" w:rsidP="00140C5B">
      <w:pPr>
        <w:pStyle w:val="ListParagraph"/>
        <w:numPr>
          <w:ilvl w:val="0"/>
          <w:numId w:val="74"/>
        </w:numPr>
        <w:textAlignment w:val="baseline"/>
        <w:rPr>
          <w:b/>
          <w:bCs/>
          <w:sz w:val="20"/>
          <w:szCs w:val="20"/>
          <w:lang w:eastAsia="en-AU"/>
        </w:rPr>
      </w:pPr>
      <w:r w:rsidRPr="00202FEE">
        <w:rPr>
          <w:b/>
          <w:bCs/>
          <w:sz w:val="20"/>
          <w:szCs w:val="20"/>
          <w:lang w:eastAsia="en-AU"/>
        </w:rPr>
        <w:t>Which other digital mental health services would you like to use?</w:t>
      </w:r>
    </w:p>
    <w:p w14:paraId="13CFB405" w14:textId="4DE3CD34" w:rsidR="0094119D" w:rsidRPr="00202FEE" w:rsidRDefault="0094119D" w:rsidP="00140C5B">
      <w:pPr>
        <w:pStyle w:val="ListParagraph"/>
        <w:numPr>
          <w:ilvl w:val="0"/>
          <w:numId w:val="74"/>
        </w:numPr>
        <w:textAlignment w:val="baseline"/>
        <w:rPr>
          <w:b/>
          <w:bCs/>
          <w:sz w:val="20"/>
          <w:szCs w:val="20"/>
          <w:lang w:eastAsia="en-AU"/>
        </w:rPr>
      </w:pPr>
      <w:r w:rsidRPr="00202FEE">
        <w:rPr>
          <w:b/>
          <w:bCs/>
          <w:sz w:val="20"/>
          <w:szCs w:val="20"/>
          <w:lang w:eastAsia="en-AU"/>
        </w:rPr>
        <w:t>Have you noticed any change in your health and wellbeing since accessing the supported digital mental health service?</w:t>
      </w:r>
    </w:p>
    <w:p w14:paraId="2239EEE6" w14:textId="37441F27" w:rsidR="0094119D" w:rsidRPr="00202FEE" w:rsidRDefault="0094119D" w:rsidP="00140C5B">
      <w:pPr>
        <w:pStyle w:val="ListParagraph"/>
        <w:numPr>
          <w:ilvl w:val="0"/>
          <w:numId w:val="74"/>
        </w:numPr>
        <w:textAlignment w:val="baseline"/>
        <w:rPr>
          <w:b/>
          <w:bCs/>
          <w:sz w:val="20"/>
          <w:szCs w:val="20"/>
          <w:lang w:eastAsia="en-AU"/>
        </w:rPr>
      </w:pPr>
      <w:r w:rsidRPr="00202FEE">
        <w:rPr>
          <w:b/>
          <w:bCs/>
          <w:sz w:val="20"/>
          <w:szCs w:val="20"/>
          <w:lang w:eastAsia="en-AU"/>
        </w:rPr>
        <w:t>What changes are needed to improve the use of digital mental health services?</w:t>
      </w:r>
    </w:p>
    <w:p w14:paraId="238EA12F" w14:textId="4B6BFE26" w:rsidR="0094119D" w:rsidRPr="00202FEE" w:rsidRDefault="0094119D" w:rsidP="00140C5B">
      <w:pPr>
        <w:pStyle w:val="ListParagraph"/>
        <w:numPr>
          <w:ilvl w:val="0"/>
          <w:numId w:val="74"/>
        </w:numPr>
        <w:ind w:left="714" w:hanging="357"/>
        <w:textAlignment w:val="baseline"/>
        <w:rPr>
          <w:b/>
          <w:bCs/>
          <w:sz w:val="20"/>
          <w:szCs w:val="20"/>
          <w:lang w:eastAsia="en-AU"/>
        </w:rPr>
      </w:pPr>
      <w:r w:rsidRPr="00202FEE">
        <w:rPr>
          <w:b/>
          <w:bCs/>
          <w:sz w:val="20"/>
          <w:szCs w:val="20"/>
          <w:lang w:eastAsia="en-AU"/>
        </w:rPr>
        <w:t>Would you recommend supported digital mental health services to others?</w:t>
      </w:r>
    </w:p>
    <w:p w14:paraId="31CA4152" w14:textId="41B6CD60" w:rsidR="0094119D" w:rsidRPr="00202FEE" w:rsidRDefault="0094119D" w:rsidP="00CA1ECD">
      <w:pPr>
        <w:ind w:left="1440"/>
        <w:textAlignment w:val="baseline"/>
        <w:rPr>
          <w:rFonts w:asciiTheme="minorHAnsi" w:hAnsiTheme="minorHAnsi" w:cstheme="minorHAnsi"/>
          <w:b/>
          <w:bCs/>
          <w:sz w:val="20"/>
          <w:szCs w:val="20"/>
          <w:lang w:val="en-US" w:eastAsia="en-AU"/>
        </w:rPr>
      </w:pPr>
      <w:r w:rsidRPr="00202FEE">
        <w:rPr>
          <w:rFonts w:asciiTheme="minorHAnsi" w:hAnsiTheme="minorHAnsi" w:cstheme="minorHAnsi"/>
          <w:b/>
          <w:bCs/>
          <w:sz w:val="20"/>
          <w:szCs w:val="20"/>
          <w:lang w:eastAsia="en-AU"/>
        </w:rPr>
        <w:t>If yes, why</w:t>
      </w:r>
      <w:r w:rsidR="00202FEE">
        <w:rPr>
          <w:rFonts w:asciiTheme="minorHAnsi" w:hAnsiTheme="minorHAnsi" w:cstheme="minorHAnsi"/>
          <w:b/>
          <w:bCs/>
          <w:sz w:val="20"/>
          <w:szCs w:val="20"/>
          <w:lang w:eastAsia="en-AU"/>
        </w:rPr>
        <w:t>?</w:t>
      </w:r>
    </w:p>
    <w:p w14:paraId="3738B7F0" w14:textId="4A5D2849" w:rsidR="0094119D" w:rsidRPr="00202FEE" w:rsidRDefault="0094119D" w:rsidP="00CA1ECD">
      <w:pPr>
        <w:ind w:left="1440"/>
        <w:textAlignment w:val="baseline"/>
        <w:rPr>
          <w:rFonts w:asciiTheme="minorHAnsi" w:hAnsiTheme="minorHAnsi" w:cstheme="minorHAnsi"/>
          <w:b/>
          <w:bCs/>
          <w:sz w:val="20"/>
          <w:szCs w:val="20"/>
          <w:lang w:val="en-US" w:eastAsia="en-AU"/>
        </w:rPr>
      </w:pPr>
      <w:r w:rsidRPr="00202FEE">
        <w:rPr>
          <w:rFonts w:asciiTheme="minorHAnsi" w:hAnsiTheme="minorHAnsi" w:cstheme="minorHAnsi"/>
          <w:b/>
          <w:bCs/>
          <w:sz w:val="20"/>
          <w:szCs w:val="20"/>
          <w:lang w:eastAsia="en-AU"/>
        </w:rPr>
        <w:t xml:space="preserve">If </w:t>
      </w:r>
      <w:r w:rsidR="00202FEE">
        <w:rPr>
          <w:rFonts w:asciiTheme="minorHAnsi" w:hAnsiTheme="minorHAnsi" w:cstheme="minorHAnsi"/>
          <w:b/>
          <w:bCs/>
          <w:sz w:val="20"/>
          <w:szCs w:val="20"/>
          <w:lang w:eastAsia="en-AU"/>
        </w:rPr>
        <w:t>n</w:t>
      </w:r>
      <w:r w:rsidRPr="00202FEE">
        <w:rPr>
          <w:rFonts w:asciiTheme="minorHAnsi" w:hAnsiTheme="minorHAnsi" w:cstheme="minorHAnsi"/>
          <w:b/>
          <w:bCs/>
          <w:sz w:val="20"/>
          <w:szCs w:val="20"/>
          <w:lang w:eastAsia="en-AU"/>
        </w:rPr>
        <w:t>o, why not</w:t>
      </w:r>
      <w:r w:rsidR="00202FEE">
        <w:rPr>
          <w:rFonts w:asciiTheme="minorHAnsi" w:hAnsiTheme="minorHAnsi" w:cstheme="minorHAnsi"/>
          <w:b/>
          <w:bCs/>
          <w:sz w:val="20"/>
          <w:szCs w:val="20"/>
          <w:lang w:eastAsia="en-AU"/>
        </w:rPr>
        <w:t>?</w:t>
      </w:r>
    </w:p>
    <w:p w14:paraId="76998FBB" w14:textId="34509E7A" w:rsidR="006939F7" w:rsidRPr="00CA1ECD" w:rsidRDefault="0094119D" w:rsidP="00140C5B">
      <w:pPr>
        <w:numPr>
          <w:ilvl w:val="0"/>
          <w:numId w:val="73"/>
        </w:numPr>
        <w:textAlignment w:val="baseline"/>
        <w:rPr>
          <w:rFonts w:asciiTheme="minorHAnsi" w:hAnsiTheme="minorHAnsi" w:cstheme="minorHAnsi"/>
          <w:b/>
          <w:bCs/>
          <w:sz w:val="20"/>
          <w:szCs w:val="20"/>
          <w:lang w:val="en-US" w:eastAsia="en-AU"/>
        </w:rPr>
      </w:pPr>
      <w:r w:rsidRPr="00202FEE">
        <w:rPr>
          <w:rFonts w:asciiTheme="minorHAnsi" w:hAnsiTheme="minorHAnsi" w:cstheme="minorHAnsi"/>
          <w:b/>
          <w:bCs/>
          <w:sz w:val="20"/>
          <w:szCs w:val="20"/>
          <w:lang w:eastAsia="en-AU"/>
        </w:rPr>
        <w:t>Are there any other comments you would like to make?</w:t>
      </w:r>
      <w:r w:rsidR="006939F7">
        <w:br w:type="page"/>
      </w:r>
    </w:p>
    <w:p w14:paraId="508306D3" w14:textId="05934C2B" w:rsidR="000021AB" w:rsidRPr="000021AB" w:rsidRDefault="0014603C" w:rsidP="00E357F8">
      <w:pPr>
        <w:pStyle w:val="Heading1"/>
        <w:rPr>
          <w:rStyle w:val="normaltextrun"/>
        </w:rPr>
      </w:pPr>
      <w:bookmarkStart w:id="332" w:name="_Toc108784927"/>
      <w:r>
        <w:lastRenderedPageBreak/>
        <w:t>Appendix</w:t>
      </w:r>
      <w:r w:rsidR="000021AB">
        <w:t xml:space="preserve"> E</w:t>
      </w:r>
      <w:r>
        <w:t xml:space="preserve">: </w:t>
      </w:r>
      <w:r w:rsidR="006939F7">
        <w:t>DMHS provider survey and interview questions</w:t>
      </w:r>
      <w:bookmarkEnd w:id="332"/>
    </w:p>
    <w:p w14:paraId="64829299" w14:textId="7B776FBA" w:rsidR="00E94739" w:rsidRPr="00D02DDC" w:rsidRDefault="00E94739" w:rsidP="00BC0402">
      <w:pPr>
        <w:pStyle w:val="paragraph"/>
        <w:spacing w:before="0" w:beforeAutospacing="0" w:after="200" w:afterAutospacing="0"/>
        <w:textAlignment w:val="baseline"/>
        <w:rPr>
          <w:rStyle w:val="ANormChar"/>
        </w:rPr>
      </w:pPr>
      <w:r>
        <w:rPr>
          <w:rStyle w:val="normaltextrun"/>
          <w:rFonts w:ascii="Calibri" w:hAnsi="Calibri" w:cs="Calibri"/>
        </w:rPr>
        <w:t xml:space="preserve">Thank you for agreeing to participate in this survey about providing supported digital mental health interventions. We are interested in mental health services that are delivered online via desktop computers or mobile devices. When we refer to supported digital mental health services, we mean that the digital service includes the option of receiving support from a therapist within the program. This survey focuses on your experiences of providing care. The survey will take about 10 minutes. Your responses are confidential, and you are free to withdraw from the survey at </w:t>
      </w:r>
      <w:r w:rsidRPr="00D02DDC">
        <w:rPr>
          <w:rStyle w:val="ANormChar"/>
        </w:rPr>
        <w:t>any stage.</w:t>
      </w:r>
    </w:p>
    <w:p w14:paraId="0FA47643" w14:textId="3095A07A" w:rsidR="00D52BC8" w:rsidRDefault="00D52BC8" w:rsidP="00BC0402">
      <w:pPr>
        <w:pStyle w:val="Heading2"/>
        <w:numPr>
          <w:ilvl w:val="0"/>
          <w:numId w:val="0"/>
        </w:numPr>
      </w:pPr>
      <w:bookmarkStart w:id="333" w:name="_Toc108784928"/>
      <w:r>
        <w:t>Survey questions</w:t>
      </w:r>
      <w:bookmarkEnd w:id="333"/>
    </w:p>
    <w:p w14:paraId="003EE6A1" w14:textId="77777777" w:rsidR="00E94739" w:rsidRPr="003C5BA0" w:rsidRDefault="00E94739" w:rsidP="00140C5B">
      <w:pPr>
        <w:pStyle w:val="paragraph"/>
        <w:numPr>
          <w:ilvl w:val="0"/>
          <w:numId w:val="75"/>
        </w:numPr>
        <w:tabs>
          <w:tab w:val="clear" w:pos="720"/>
        </w:tabs>
        <w:spacing w:before="0" w:beforeAutospacing="0" w:after="0" w:afterAutospacing="0"/>
        <w:ind w:left="284" w:hanging="284"/>
        <w:textAlignment w:val="baseline"/>
        <w:rPr>
          <w:rFonts w:ascii="Segoe UI" w:hAnsi="Segoe UI" w:cs="Segoe UI"/>
          <w:b/>
          <w:bCs/>
        </w:rPr>
      </w:pPr>
      <w:r w:rsidRPr="003C5BA0">
        <w:rPr>
          <w:rStyle w:val="normaltextrun"/>
          <w:rFonts w:ascii="Calibri" w:hAnsi="Calibri" w:cs="Calibri"/>
          <w:b/>
          <w:bCs/>
        </w:rPr>
        <w:t>Which digital mental health service are you a provider for?</w:t>
      </w:r>
    </w:p>
    <w:p w14:paraId="08226950" w14:textId="77777777" w:rsidR="00E94739" w:rsidRDefault="00E94739" w:rsidP="00E94739">
      <w:pPr>
        <w:pStyle w:val="paragraph"/>
        <w:spacing w:before="0" w:beforeAutospacing="0" w:after="0" w:afterAutospacing="0"/>
        <w:ind w:left="568" w:hanging="284"/>
        <w:textAlignment w:val="baseline"/>
        <w:rPr>
          <w:rFonts w:ascii="Segoe UI" w:hAnsi="Segoe UI" w:cs="Segoe UI"/>
          <w:sz w:val="18"/>
          <w:szCs w:val="18"/>
        </w:rPr>
      </w:pPr>
      <w:r>
        <w:rPr>
          <w:rStyle w:val="normaltextrun"/>
          <w:rFonts w:ascii="Calibri" w:hAnsi="Calibri" w:cs="Calibri"/>
        </w:rPr>
        <w:t>•</w:t>
      </w:r>
      <w:r>
        <w:rPr>
          <w:rStyle w:val="tabchar"/>
          <w:rFonts w:ascii="Calibri" w:eastAsiaTheme="majorEastAsia" w:hAnsi="Calibri" w:cs="Calibri"/>
        </w:rPr>
        <w:t xml:space="preserve"> </w:t>
      </w:r>
      <w:proofErr w:type="spellStart"/>
      <w:r>
        <w:rPr>
          <w:rStyle w:val="normaltextrun"/>
          <w:rFonts w:ascii="Calibri" w:hAnsi="Calibri" w:cs="Calibri"/>
        </w:rPr>
        <w:t>MindSpot</w:t>
      </w:r>
      <w:proofErr w:type="spellEnd"/>
    </w:p>
    <w:p w14:paraId="2B2EC5BB" w14:textId="77777777" w:rsidR="00E94739" w:rsidRDefault="00E94739" w:rsidP="00E94739">
      <w:pPr>
        <w:pStyle w:val="paragraph"/>
        <w:spacing w:before="0" w:beforeAutospacing="0" w:after="0" w:afterAutospacing="0"/>
        <w:ind w:left="568" w:hanging="284"/>
        <w:textAlignment w:val="baseline"/>
        <w:rPr>
          <w:rFonts w:ascii="Segoe UI" w:hAnsi="Segoe UI" w:cs="Segoe UI"/>
          <w:sz w:val="18"/>
          <w:szCs w:val="18"/>
        </w:rPr>
      </w:pPr>
      <w:r>
        <w:rPr>
          <w:rStyle w:val="normaltextrun"/>
          <w:rFonts w:ascii="Calibri" w:hAnsi="Calibri" w:cs="Calibri"/>
        </w:rPr>
        <w:t>•</w:t>
      </w:r>
      <w:r>
        <w:rPr>
          <w:rStyle w:val="tabchar"/>
          <w:rFonts w:ascii="Calibri" w:eastAsiaTheme="majorEastAsia" w:hAnsi="Calibri" w:cs="Calibri"/>
        </w:rPr>
        <w:t xml:space="preserve"> </w:t>
      </w:r>
      <w:r>
        <w:rPr>
          <w:rStyle w:val="normaltextrun"/>
          <w:rFonts w:ascii="Calibri" w:hAnsi="Calibri" w:cs="Calibri"/>
        </w:rPr>
        <w:t>This Way Up</w:t>
      </w:r>
    </w:p>
    <w:p w14:paraId="3C646A78" w14:textId="77777777" w:rsidR="00E94739" w:rsidRDefault="00E94739" w:rsidP="00E94739">
      <w:pPr>
        <w:pStyle w:val="paragraph"/>
        <w:spacing w:before="0" w:beforeAutospacing="0" w:after="0" w:afterAutospacing="0"/>
        <w:ind w:left="568" w:hanging="284"/>
        <w:textAlignment w:val="baseline"/>
        <w:rPr>
          <w:rFonts w:ascii="Segoe UI" w:hAnsi="Segoe UI" w:cs="Segoe UI"/>
          <w:sz w:val="18"/>
          <w:szCs w:val="18"/>
        </w:rPr>
      </w:pPr>
      <w:r>
        <w:rPr>
          <w:rStyle w:val="normaltextrun"/>
          <w:rFonts w:ascii="Calibri" w:hAnsi="Calibri" w:cs="Calibri"/>
        </w:rPr>
        <w:t>•</w:t>
      </w:r>
      <w:r>
        <w:rPr>
          <w:rStyle w:val="tabchar"/>
          <w:rFonts w:ascii="Calibri" w:eastAsiaTheme="majorEastAsia" w:hAnsi="Calibri" w:cs="Calibri"/>
        </w:rPr>
        <w:t xml:space="preserve"> </w:t>
      </w:r>
      <w:r>
        <w:rPr>
          <w:rStyle w:val="normaltextrun"/>
          <w:rFonts w:ascii="Calibri" w:hAnsi="Calibri" w:cs="Calibri"/>
        </w:rPr>
        <w:t>Mental Health Online</w:t>
      </w:r>
    </w:p>
    <w:p w14:paraId="2CCA164E" w14:textId="6D5BB57D" w:rsidR="00E94739" w:rsidRDefault="00E94739" w:rsidP="00D02DDC">
      <w:pPr>
        <w:pStyle w:val="paragraph"/>
        <w:spacing w:before="0" w:beforeAutospacing="0" w:after="200" w:afterAutospacing="0"/>
        <w:ind w:left="568" w:hanging="284"/>
        <w:textAlignment w:val="baseline"/>
        <w:rPr>
          <w:rFonts w:ascii="Segoe UI" w:hAnsi="Segoe UI" w:cs="Segoe UI"/>
          <w:sz w:val="18"/>
          <w:szCs w:val="18"/>
        </w:rPr>
      </w:pPr>
      <w:r>
        <w:rPr>
          <w:rStyle w:val="normaltextrun"/>
          <w:rFonts w:ascii="Calibri" w:hAnsi="Calibri" w:cs="Calibri"/>
        </w:rPr>
        <w:t>•</w:t>
      </w:r>
      <w:r>
        <w:rPr>
          <w:rStyle w:val="tabchar"/>
          <w:rFonts w:ascii="Calibri" w:eastAsiaTheme="majorEastAsia" w:hAnsi="Calibri" w:cs="Calibri"/>
        </w:rPr>
        <w:t xml:space="preserve"> </w:t>
      </w:r>
      <w:r>
        <w:rPr>
          <w:rStyle w:val="normaltextrun"/>
          <w:rFonts w:ascii="Calibri" w:hAnsi="Calibri" w:cs="Calibri"/>
        </w:rPr>
        <w:t xml:space="preserve">Other, </w:t>
      </w:r>
      <w:proofErr w:type="gramStart"/>
      <w:r>
        <w:rPr>
          <w:rStyle w:val="normaltextrun"/>
          <w:rFonts w:ascii="Calibri" w:hAnsi="Calibri" w:cs="Calibri"/>
        </w:rPr>
        <w:t>specify:_</w:t>
      </w:r>
      <w:proofErr w:type="gramEnd"/>
      <w:r>
        <w:rPr>
          <w:rStyle w:val="normaltextrun"/>
          <w:rFonts w:ascii="Calibri" w:hAnsi="Calibri" w:cs="Calibri"/>
        </w:rPr>
        <w:t>_______________________</w:t>
      </w:r>
    </w:p>
    <w:p w14:paraId="5FC68194" w14:textId="77777777" w:rsidR="00E94739" w:rsidRPr="003C5BA0" w:rsidRDefault="00E94739" w:rsidP="00140C5B">
      <w:pPr>
        <w:pStyle w:val="paragraph"/>
        <w:numPr>
          <w:ilvl w:val="0"/>
          <w:numId w:val="76"/>
        </w:numPr>
        <w:tabs>
          <w:tab w:val="clear" w:pos="720"/>
        </w:tabs>
        <w:spacing w:before="0" w:beforeAutospacing="0" w:after="0" w:afterAutospacing="0"/>
        <w:ind w:left="284" w:hanging="284"/>
        <w:textAlignment w:val="baseline"/>
        <w:rPr>
          <w:rFonts w:ascii="Segoe UI" w:hAnsi="Segoe UI" w:cs="Segoe UI"/>
          <w:b/>
          <w:bCs/>
        </w:rPr>
      </w:pPr>
      <w:r w:rsidRPr="003C5BA0">
        <w:rPr>
          <w:rStyle w:val="normaltextrun"/>
          <w:rFonts w:ascii="Calibri" w:hAnsi="Calibri" w:cs="Calibri"/>
          <w:b/>
          <w:bCs/>
        </w:rPr>
        <w:t>What kind of support do you provide to users of digital mental health interventions? Please tick all that best describe what you do.</w:t>
      </w:r>
    </w:p>
    <w:p w14:paraId="5D660366" w14:textId="77777777" w:rsidR="00E94739" w:rsidRDefault="00E94739" w:rsidP="00140C5B">
      <w:pPr>
        <w:pStyle w:val="paragraph"/>
        <w:numPr>
          <w:ilvl w:val="0"/>
          <w:numId w:val="77"/>
        </w:numPr>
        <w:tabs>
          <w:tab w:val="clear" w:pos="720"/>
        </w:tabs>
        <w:spacing w:before="0" w:beforeAutospacing="0" w:after="0" w:afterAutospacing="0"/>
        <w:ind w:left="568" w:hanging="284"/>
        <w:textAlignment w:val="baseline"/>
        <w:rPr>
          <w:rFonts w:ascii="Verdana" w:hAnsi="Verdana" w:cs="Segoe UI"/>
        </w:rPr>
      </w:pPr>
      <w:r>
        <w:rPr>
          <w:rStyle w:val="normaltextrun"/>
          <w:rFonts w:ascii="Calibri" w:hAnsi="Calibri" w:cs="Calibri"/>
        </w:rPr>
        <w:t>I provide counselling</w:t>
      </w:r>
    </w:p>
    <w:p w14:paraId="2D9D4AD4" w14:textId="77777777" w:rsidR="00E94739" w:rsidRDefault="00E94739" w:rsidP="00140C5B">
      <w:pPr>
        <w:pStyle w:val="paragraph"/>
        <w:numPr>
          <w:ilvl w:val="0"/>
          <w:numId w:val="77"/>
        </w:numPr>
        <w:tabs>
          <w:tab w:val="clear" w:pos="720"/>
        </w:tabs>
        <w:spacing w:before="0" w:beforeAutospacing="0" w:after="0" w:afterAutospacing="0"/>
        <w:ind w:left="568" w:hanging="284"/>
        <w:textAlignment w:val="baseline"/>
        <w:rPr>
          <w:rFonts w:ascii="Verdana" w:hAnsi="Verdana" w:cs="Segoe UI"/>
        </w:rPr>
      </w:pPr>
      <w:r>
        <w:rPr>
          <w:rStyle w:val="normaltextrun"/>
          <w:rFonts w:ascii="Calibri" w:hAnsi="Calibri" w:cs="Calibri"/>
        </w:rPr>
        <w:t>I reinforce strategies learnt through the online modules</w:t>
      </w:r>
    </w:p>
    <w:p w14:paraId="064C7AA4" w14:textId="77777777" w:rsidR="00E94739" w:rsidRDefault="00E94739" w:rsidP="00140C5B">
      <w:pPr>
        <w:pStyle w:val="paragraph"/>
        <w:numPr>
          <w:ilvl w:val="0"/>
          <w:numId w:val="78"/>
        </w:numPr>
        <w:tabs>
          <w:tab w:val="clear" w:pos="720"/>
        </w:tabs>
        <w:spacing w:before="0" w:beforeAutospacing="0" w:after="0" w:afterAutospacing="0"/>
        <w:ind w:left="568" w:hanging="284"/>
        <w:textAlignment w:val="baseline"/>
        <w:rPr>
          <w:rFonts w:ascii="Verdana" w:hAnsi="Verdana" w:cs="Segoe UI"/>
        </w:rPr>
      </w:pPr>
      <w:r>
        <w:rPr>
          <w:rStyle w:val="normaltextrun"/>
          <w:rFonts w:ascii="Calibri" w:hAnsi="Calibri" w:cs="Calibri"/>
        </w:rPr>
        <w:t xml:space="preserve">I provide </w:t>
      </w:r>
      <w:proofErr w:type="gramStart"/>
      <w:r>
        <w:rPr>
          <w:rStyle w:val="normaltextrun"/>
          <w:rFonts w:ascii="Calibri" w:hAnsi="Calibri" w:cs="Calibri"/>
        </w:rPr>
        <w:t>psycho-education</w:t>
      </w:r>
      <w:proofErr w:type="gramEnd"/>
    </w:p>
    <w:p w14:paraId="3F098DF7" w14:textId="77777777" w:rsidR="00E94739" w:rsidRDefault="00E94739" w:rsidP="00140C5B">
      <w:pPr>
        <w:pStyle w:val="paragraph"/>
        <w:numPr>
          <w:ilvl w:val="0"/>
          <w:numId w:val="78"/>
        </w:numPr>
        <w:tabs>
          <w:tab w:val="clear" w:pos="720"/>
        </w:tabs>
        <w:spacing w:before="0" w:beforeAutospacing="0" w:after="0" w:afterAutospacing="0"/>
        <w:ind w:left="568" w:hanging="284"/>
        <w:textAlignment w:val="baseline"/>
        <w:rPr>
          <w:rFonts w:ascii="Verdana" w:hAnsi="Verdana" w:cs="Segoe UI"/>
        </w:rPr>
      </w:pPr>
      <w:r>
        <w:rPr>
          <w:rStyle w:val="normaltextrun"/>
          <w:rFonts w:ascii="Calibri" w:hAnsi="Calibri" w:cs="Calibri"/>
        </w:rPr>
        <w:t>I provide cognitive behavioural therapy</w:t>
      </w:r>
    </w:p>
    <w:p w14:paraId="6C9812E5" w14:textId="77777777" w:rsidR="00E94739" w:rsidRDefault="00E94739" w:rsidP="00140C5B">
      <w:pPr>
        <w:pStyle w:val="paragraph"/>
        <w:numPr>
          <w:ilvl w:val="0"/>
          <w:numId w:val="78"/>
        </w:numPr>
        <w:tabs>
          <w:tab w:val="clear" w:pos="720"/>
        </w:tabs>
        <w:spacing w:before="0" w:beforeAutospacing="0" w:after="0" w:afterAutospacing="0"/>
        <w:ind w:left="568" w:hanging="284"/>
        <w:textAlignment w:val="baseline"/>
        <w:rPr>
          <w:rFonts w:ascii="Verdana" w:hAnsi="Verdana" w:cs="Segoe UI"/>
        </w:rPr>
      </w:pPr>
      <w:r>
        <w:rPr>
          <w:rStyle w:val="normaltextrun"/>
          <w:rFonts w:ascii="Calibri" w:hAnsi="Calibri" w:cs="Calibri"/>
        </w:rPr>
        <w:t>I provide mindfulness and relaxation interventions</w:t>
      </w:r>
    </w:p>
    <w:p w14:paraId="2119D70D" w14:textId="77777777" w:rsidR="00E94739" w:rsidRDefault="00E94739" w:rsidP="00140C5B">
      <w:pPr>
        <w:pStyle w:val="paragraph"/>
        <w:numPr>
          <w:ilvl w:val="0"/>
          <w:numId w:val="78"/>
        </w:numPr>
        <w:tabs>
          <w:tab w:val="clear" w:pos="720"/>
        </w:tabs>
        <w:spacing w:before="0" w:beforeAutospacing="0" w:after="0" w:afterAutospacing="0"/>
        <w:ind w:left="568" w:hanging="284"/>
        <w:textAlignment w:val="baseline"/>
        <w:rPr>
          <w:rFonts w:ascii="Verdana" w:hAnsi="Verdana" w:cs="Segoe UI"/>
        </w:rPr>
      </w:pPr>
      <w:r>
        <w:rPr>
          <w:rStyle w:val="normaltextrun"/>
          <w:rFonts w:ascii="Calibri" w:hAnsi="Calibri" w:cs="Calibri"/>
        </w:rPr>
        <w:t>I provide carer supports</w:t>
      </w:r>
    </w:p>
    <w:p w14:paraId="775BCAF0" w14:textId="77777777" w:rsidR="00E94739" w:rsidRDefault="00E94739" w:rsidP="00140C5B">
      <w:pPr>
        <w:pStyle w:val="paragraph"/>
        <w:numPr>
          <w:ilvl w:val="0"/>
          <w:numId w:val="78"/>
        </w:numPr>
        <w:tabs>
          <w:tab w:val="clear" w:pos="720"/>
        </w:tabs>
        <w:spacing w:before="0" w:beforeAutospacing="0" w:after="0" w:afterAutospacing="0"/>
        <w:ind w:left="568" w:hanging="284"/>
        <w:textAlignment w:val="baseline"/>
        <w:rPr>
          <w:rFonts w:ascii="Verdana" w:hAnsi="Verdana" w:cs="Segoe UI"/>
        </w:rPr>
      </w:pPr>
      <w:r>
        <w:rPr>
          <w:rStyle w:val="normaltextrun"/>
          <w:rFonts w:ascii="Calibri" w:hAnsi="Calibri" w:cs="Calibri"/>
        </w:rPr>
        <w:t>I conduct risk assessments</w:t>
      </w:r>
    </w:p>
    <w:p w14:paraId="17854264" w14:textId="77777777" w:rsidR="00E94739" w:rsidRDefault="00E94739" w:rsidP="00140C5B">
      <w:pPr>
        <w:pStyle w:val="paragraph"/>
        <w:numPr>
          <w:ilvl w:val="0"/>
          <w:numId w:val="79"/>
        </w:numPr>
        <w:tabs>
          <w:tab w:val="clear" w:pos="720"/>
        </w:tabs>
        <w:spacing w:before="0" w:beforeAutospacing="0" w:after="0" w:afterAutospacing="0"/>
        <w:ind w:left="568" w:hanging="284"/>
        <w:textAlignment w:val="baseline"/>
        <w:rPr>
          <w:rFonts w:ascii="Verdana" w:hAnsi="Verdana" w:cs="Segoe UI"/>
        </w:rPr>
      </w:pPr>
      <w:r>
        <w:rPr>
          <w:rStyle w:val="normaltextrun"/>
          <w:rFonts w:ascii="Calibri" w:hAnsi="Calibri" w:cs="Calibri"/>
        </w:rPr>
        <w:t>I make referrals to other services</w:t>
      </w:r>
    </w:p>
    <w:p w14:paraId="27B193F5" w14:textId="6C427C57" w:rsidR="00E94739" w:rsidRPr="00D02DDC" w:rsidRDefault="00E94739" w:rsidP="00140C5B">
      <w:pPr>
        <w:pStyle w:val="paragraph"/>
        <w:numPr>
          <w:ilvl w:val="0"/>
          <w:numId w:val="79"/>
        </w:numPr>
        <w:tabs>
          <w:tab w:val="clear" w:pos="720"/>
        </w:tabs>
        <w:spacing w:before="0" w:beforeAutospacing="0" w:after="200" w:afterAutospacing="0"/>
        <w:ind w:left="568" w:hanging="284"/>
        <w:textAlignment w:val="baseline"/>
        <w:rPr>
          <w:rFonts w:ascii="Verdana" w:hAnsi="Verdana" w:cs="Segoe UI"/>
        </w:rPr>
      </w:pPr>
      <w:r>
        <w:rPr>
          <w:rStyle w:val="normaltextrun"/>
          <w:rFonts w:ascii="Calibri" w:hAnsi="Calibri" w:cs="Calibri"/>
        </w:rPr>
        <w:t xml:space="preserve">Other, </w:t>
      </w:r>
      <w:proofErr w:type="gramStart"/>
      <w:r>
        <w:rPr>
          <w:rStyle w:val="normaltextrun"/>
          <w:rFonts w:ascii="Calibri" w:hAnsi="Calibri" w:cs="Calibri"/>
        </w:rPr>
        <w:t>specify:_</w:t>
      </w:r>
      <w:proofErr w:type="gramEnd"/>
      <w:r>
        <w:rPr>
          <w:rStyle w:val="normaltextrun"/>
          <w:rFonts w:ascii="Calibri" w:hAnsi="Calibri" w:cs="Calibri"/>
        </w:rPr>
        <w:t>__________________</w:t>
      </w:r>
    </w:p>
    <w:p w14:paraId="6285EC74" w14:textId="77777777" w:rsidR="00E94739" w:rsidRPr="003C5BA0" w:rsidRDefault="00E94739" w:rsidP="00140C5B">
      <w:pPr>
        <w:pStyle w:val="paragraph"/>
        <w:numPr>
          <w:ilvl w:val="0"/>
          <w:numId w:val="80"/>
        </w:numPr>
        <w:tabs>
          <w:tab w:val="clear" w:pos="720"/>
        </w:tabs>
        <w:spacing w:before="0" w:beforeAutospacing="0" w:after="0" w:afterAutospacing="0"/>
        <w:ind w:left="284" w:hanging="284"/>
        <w:textAlignment w:val="baseline"/>
        <w:rPr>
          <w:rFonts w:ascii="Calibri" w:hAnsi="Calibri" w:cs="Calibri"/>
          <w:b/>
          <w:bCs/>
        </w:rPr>
      </w:pPr>
      <w:r w:rsidRPr="003C5BA0">
        <w:rPr>
          <w:rStyle w:val="normaltextrun"/>
          <w:rFonts w:ascii="Calibri" w:hAnsi="Calibri" w:cs="Calibri"/>
          <w:b/>
          <w:bCs/>
        </w:rPr>
        <w:t>What severity of mental health problems do you think the digital mental health interventions are most suitable for? Select all responses that apply</w:t>
      </w:r>
    </w:p>
    <w:p w14:paraId="46CCFECC" w14:textId="77777777" w:rsidR="00E94739" w:rsidRDefault="00E94739" w:rsidP="00140C5B">
      <w:pPr>
        <w:pStyle w:val="paragraph"/>
        <w:numPr>
          <w:ilvl w:val="0"/>
          <w:numId w:val="81"/>
        </w:numPr>
        <w:tabs>
          <w:tab w:val="clear" w:pos="720"/>
        </w:tabs>
        <w:spacing w:before="0" w:beforeAutospacing="0" w:after="0" w:afterAutospacing="0"/>
        <w:ind w:left="568" w:hanging="284"/>
        <w:textAlignment w:val="baseline"/>
        <w:rPr>
          <w:rFonts w:ascii="Calibri" w:hAnsi="Calibri" w:cs="Calibri"/>
        </w:rPr>
      </w:pPr>
      <w:r>
        <w:rPr>
          <w:rStyle w:val="normaltextrun"/>
          <w:rFonts w:ascii="Calibri" w:hAnsi="Calibri" w:cs="Calibri"/>
        </w:rPr>
        <w:t>Mild</w:t>
      </w:r>
    </w:p>
    <w:p w14:paraId="4157BE16" w14:textId="77777777" w:rsidR="00E94739" w:rsidRDefault="00E94739" w:rsidP="00140C5B">
      <w:pPr>
        <w:pStyle w:val="paragraph"/>
        <w:numPr>
          <w:ilvl w:val="0"/>
          <w:numId w:val="82"/>
        </w:numPr>
        <w:tabs>
          <w:tab w:val="clear" w:pos="720"/>
        </w:tabs>
        <w:spacing w:before="0" w:beforeAutospacing="0" w:after="0" w:afterAutospacing="0"/>
        <w:ind w:left="568" w:hanging="284"/>
        <w:textAlignment w:val="baseline"/>
        <w:rPr>
          <w:rFonts w:ascii="Calibri" w:hAnsi="Calibri" w:cs="Calibri"/>
        </w:rPr>
      </w:pPr>
      <w:r>
        <w:rPr>
          <w:rStyle w:val="normaltextrun"/>
          <w:rFonts w:ascii="Calibri" w:hAnsi="Calibri" w:cs="Calibri"/>
        </w:rPr>
        <w:t>Moderate</w:t>
      </w:r>
    </w:p>
    <w:p w14:paraId="2DEBADF5" w14:textId="5D34F240" w:rsidR="00E94739" w:rsidRPr="00F706E2" w:rsidRDefault="00E94739" w:rsidP="00140C5B">
      <w:pPr>
        <w:pStyle w:val="paragraph"/>
        <w:numPr>
          <w:ilvl w:val="0"/>
          <w:numId w:val="82"/>
        </w:numPr>
        <w:tabs>
          <w:tab w:val="clear" w:pos="720"/>
        </w:tabs>
        <w:spacing w:before="0" w:beforeAutospacing="0" w:after="200" w:afterAutospacing="0"/>
        <w:ind w:left="568" w:hanging="284"/>
        <w:textAlignment w:val="baseline"/>
        <w:rPr>
          <w:rStyle w:val="eop"/>
          <w:rFonts w:ascii="Calibri" w:hAnsi="Calibri" w:cs="Calibri"/>
        </w:rPr>
      </w:pPr>
      <w:r>
        <w:rPr>
          <w:rStyle w:val="normaltextrun"/>
          <w:rFonts w:ascii="Calibri" w:hAnsi="Calibri" w:cs="Calibri"/>
        </w:rPr>
        <w:t>Severe</w:t>
      </w:r>
    </w:p>
    <w:p w14:paraId="457D4E32" w14:textId="77777777" w:rsidR="00E94739" w:rsidRPr="007C7E92" w:rsidRDefault="00E94739" w:rsidP="00E94739">
      <w:pPr>
        <w:pStyle w:val="paragraph"/>
        <w:snapToGrid w:val="0"/>
        <w:spacing w:before="0" w:beforeAutospacing="0" w:after="0" w:afterAutospacing="0"/>
        <w:ind w:left="284" w:hanging="284"/>
        <w:textAlignment w:val="baseline"/>
        <w:rPr>
          <w:rFonts w:ascii="Calibri" w:hAnsi="Calibri" w:cs="Calibri"/>
          <w:b/>
          <w:bCs/>
        </w:rPr>
      </w:pPr>
      <w:r w:rsidRPr="007C7E92">
        <w:rPr>
          <w:rFonts w:ascii="Calibri" w:hAnsi="Calibri" w:cs="Calibri"/>
          <w:b/>
          <w:bCs/>
        </w:rPr>
        <w:t>4.</w:t>
      </w:r>
      <w:r w:rsidRPr="007C7E92">
        <w:rPr>
          <w:rFonts w:ascii="Calibri" w:hAnsi="Calibri" w:cs="Calibri"/>
          <w:b/>
          <w:bCs/>
        </w:rPr>
        <w:tab/>
        <w:t xml:space="preserve">In your experience, do you think digital mental health services are suitable for any </w:t>
      </w:r>
      <w:proofErr w:type="gramStart"/>
      <w:r w:rsidRPr="007C7E92">
        <w:rPr>
          <w:rFonts w:ascii="Calibri" w:hAnsi="Calibri" w:cs="Calibri"/>
          <w:b/>
          <w:bCs/>
        </w:rPr>
        <w:t>particular mental</w:t>
      </w:r>
      <w:proofErr w:type="gramEnd"/>
      <w:r w:rsidRPr="007C7E92">
        <w:rPr>
          <w:rFonts w:ascii="Calibri" w:hAnsi="Calibri" w:cs="Calibri"/>
          <w:b/>
          <w:bCs/>
        </w:rPr>
        <w:t xml:space="preserve"> health problems? Please select all that apply.</w:t>
      </w:r>
    </w:p>
    <w:p w14:paraId="732DA4DC" w14:textId="77777777" w:rsidR="00E94739" w:rsidRPr="00B90F8E" w:rsidRDefault="00E94739" w:rsidP="00E94739">
      <w:pPr>
        <w:pStyle w:val="paragraph"/>
        <w:snapToGrid w:val="0"/>
        <w:spacing w:before="0" w:beforeAutospacing="0" w:after="0" w:afterAutospacing="0"/>
        <w:ind w:left="568" w:hanging="284"/>
        <w:textAlignment w:val="baseline"/>
        <w:rPr>
          <w:rFonts w:ascii="Calibri" w:hAnsi="Calibri" w:cs="Calibri"/>
        </w:rPr>
      </w:pPr>
      <w:r w:rsidRPr="00B90F8E">
        <w:rPr>
          <w:rFonts w:ascii="Calibri" w:hAnsi="Calibri" w:cs="Calibri"/>
        </w:rPr>
        <w:t>Digital mental health services are suitable for people with:</w:t>
      </w:r>
    </w:p>
    <w:p w14:paraId="391A7DD0" w14:textId="77777777" w:rsidR="00E94739" w:rsidRPr="00B90F8E" w:rsidRDefault="00E94739" w:rsidP="00E94739">
      <w:pPr>
        <w:pStyle w:val="paragraph"/>
        <w:snapToGrid w:val="0"/>
        <w:spacing w:before="0" w:beforeAutospacing="0" w:after="0" w:afterAutospacing="0"/>
        <w:ind w:left="568" w:hanging="284"/>
        <w:textAlignment w:val="baseline"/>
        <w:rPr>
          <w:rFonts w:ascii="Calibri" w:hAnsi="Calibri" w:cs="Calibri"/>
        </w:rPr>
      </w:pPr>
      <w:r w:rsidRPr="00B90F8E">
        <w:rPr>
          <w:rFonts w:ascii="Calibri" w:hAnsi="Calibri" w:cs="Calibri"/>
        </w:rPr>
        <w:t>•</w:t>
      </w:r>
      <w:r w:rsidRPr="00B90F8E">
        <w:rPr>
          <w:rFonts w:ascii="Calibri" w:hAnsi="Calibri" w:cs="Calibri"/>
        </w:rPr>
        <w:tab/>
        <w:t>Depression</w:t>
      </w:r>
    </w:p>
    <w:p w14:paraId="485971FF" w14:textId="77777777" w:rsidR="00E94739" w:rsidRPr="00B90F8E" w:rsidRDefault="00E94739" w:rsidP="00E94739">
      <w:pPr>
        <w:pStyle w:val="paragraph"/>
        <w:snapToGrid w:val="0"/>
        <w:spacing w:before="0" w:beforeAutospacing="0" w:after="0" w:afterAutospacing="0"/>
        <w:ind w:left="568" w:hanging="284"/>
        <w:textAlignment w:val="baseline"/>
        <w:rPr>
          <w:rFonts w:ascii="Calibri" w:hAnsi="Calibri" w:cs="Calibri"/>
        </w:rPr>
      </w:pPr>
      <w:r w:rsidRPr="00B90F8E">
        <w:rPr>
          <w:rFonts w:ascii="Calibri" w:hAnsi="Calibri" w:cs="Calibri"/>
        </w:rPr>
        <w:t>•</w:t>
      </w:r>
      <w:r w:rsidRPr="00B90F8E">
        <w:rPr>
          <w:rFonts w:ascii="Calibri" w:hAnsi="Calibri" w:cs="Calibri"/>
        </w:rPr>
        <w:tab/>
        <w:t>Anxiety</w:t>
      </w:r>
    </w:p>
    <w:p w14:paraId="2A7730E2" w14:textId="77777777" w:rsidR="00E94739" w:rsidRPr="00B90F8E" w:rsidRDefault="00E94739" w:rsidP="00E94739">
      <w:pPr>
        <w:pStyle w:val="paragraph"/>
        <w:snapToGrid w:val="0"/>
        <w:spacing w:before="0" w:beforeAutospacing="0" w:after="0" w:afterAutospacing="0"/>
        <w:ind w:left="568" w:hanging="284"/>
        <w:textAlignment w:val="baseline"/>
        <w:rPr>
          <w:rFonts w:ascii="Calibri" w:hAnsi="Calibri" w:cs="Calibri"/>
        </w:rPr>
      </w:pPr>
      <w:r w:rsidRPr="00B90F8E">
        <w:rPr>
          <w:rFonts w:ascii="Calibri" w:hAnsi="Calibri" w:cs="Calibri"/>
        </w:rPr>
        <w:t>•</w:t>
      </w:r>
      <w:r w:rsidRPr="00B90F8E">
        <w:rPr>
          <w:rFonts w:ascii="Calibri" w:hAnsi="Calibri" w:cs="Calibri"/>
        </w:rPr>
        <w:tab/>
        <w:t>PTSD</w:t>
      </w:r>
    </w:p>
    <w:p w14:paraId="399B217F" w14:textId="77777777" w:rsidR="00E94739" w:rsidRPr="00B90F8E" w:rsidRDefault="00E94739" w:rsidP="00E94739">
      <w:pPr>
        <w:pStyle w:val="paragraph"/>
        <w:snapToGrid w:val="0"/>
        <w:spacing w:before="0" w:beforeAutospacing="0" w:after="0" w:afterAutospacing="0"/>
        <w:ind w:left="568" w:hanging="284"/>
        <w:textAlignment w:val="baseline"/>
        <w:rPr>
          <w:rFonts w:ascii="Calibri" w:hAnsi="Calibri" w:cs="Calibri"/>
        </w:rPr>
      </w:pPr>
      <w:r w:rsidRPr="00B90F8E">
        <w:rPr>
          <w:rFonts w:ascii="Calibri" w:hAnsi="Calibri" w:cs="Calibri"/>
        </w:rPr>
        <w:t>•</w:t>
      </w:r>
      <w:r w:rsidRPr="00B90F8E">
        <w:rPr>
          <w:rFonts w:ascii="Calibri" w:hAnsi="Calibri" w:cs="Calibri"/>
        </w:rPr>
        <w:tab/>
        <w:t>OCD</w:t>
      </w:r>
    </w:p>
    <w:p w14:paraId="0F60E559" w14:textId="77777777" w:rsidR="00E94739" w:rsidRPr="00B90F8E" w:rsidRDefault="00E94739" w:rsidP="00E94739">
      <w:pPr>
        <w:pStyle w:val="paragraph"/>
        <w:spacing w:before="0" w:beforeAutospacing="0" w:after="0" w:afterAutospacing="0"/>
        <w:ind w:left="568" w:hanging="284"/>
        <w:textAlignment w:val="baseline"/>
        <w:rPr>
          <w:rFonts w:ascii="Calibri" w:hAnsi="Calibri" w:cs="Calibri"/>
        </w:rPr>
      </w:pPr>
      <w:r w:rsidRPr="00B90F8E">
        <w:rPr>
          <w:rFonts w:ascii="Calibri" w:hAnsi="Calibri" w:cs="Calibri"/>
        </w:rPr>
        <w:t>•</w:t>
      </w:r>
      <w:r w:rsidRPr="00B90F8E">
        <w:rPr>
          <w:rFonts w:ascii="Calibri" w:hAnsi="Calibri" w:cs="Calibri"/>
        </w:rPr>
        <w:tab/>
        <w:t>Eating disorders</w:t>
      </w:r>
    </w:p>
    <w:p w14:paraId="134B4381" w14:textId="77777777" w:rsidR="00E94739" w:rsidRPr="00B90F8E" w:rsidRDefault="00E94739" w:rsidP="00E94739">
      <w:pPr>
        <w:pStyle w:val="paragraph"/>
        <w:spacing w:before="0" w:beforeAutospacing="0" w:after="0" w:afterAutospacing="0"/>
        <w:ind w:left="568" w:hanging="284"/>
        <w:textAlignment w:val="baseline"/>
        <w:rPr>
          <w:rFonts w:ascii="Calibri" w:hAnsi="Calibri" w:cs="Calibri"/>
        </w:rPr>
      </w:pPr>
      <w:r w:rsidRPr="00B90F8E">
        <w:rPr>
          <w:rFonts w:ascii="Calibri" w:hAnsi="Calibri" w:cs="Calibri"/>
        </w:rPr>
        <w:t>•</w:t>
      </w:r>
      <w:r w:rsidRPr="00B90F8E">
        <w:rPr>
          <w:rFonts w:ascii="Calibri" w:hAnsi="Calibri" w:cs="Calibri"/>
        </w:rPr>
        <w:tab/>
        <w:t>Bipolar disorders</w:t>
      </w:r>
    </w:p>
    <w:p w14:paraId="496959DE" w14:textId="77777777" w:rsidR="00E94739" w:rsidRPr="00B90F8E" w:rsidRDefault="00E94739" w:rsidP="00E94739">
      <w:pPr>
        <w:pStyle w:val="paragraph"/>
        <w:spacing w:before="0" w:beforeAutospacing="0" w:after="0" w:afterAutospacing="0"/>
        <w:ind w:left="568" w:hanging="284"/>
        <w:textAlignment w:val="baseline"/>
        <w:rPr>
          <w:rFonts w:ascii="Calibri" w:hAnsi="Calibri" w:cs="Calibri"/>
        </w:rPr>
      </w:pPr>
      <w:r w:rsidRPr="00B90F8E">
        <w:rPr>
          <w:rFonts w:ascii="Calibri" w:hAnsi="Calibri" w:cs="Calibri"/>
        </w:rPr>
        <w:t>•</w:t>
      </w:r>
      <w:r w:rsidRPr="00B90F8E">
        <w:rPr>
          <w:rFonts w:ascii="Calibri" w:hAnsi="Calibri" w:cs="Calibri"/>
        </w:rPr>
        <w:tab/>
        <w:t>Psychotic disorders (e.g.,</w:t>
      </w:r>
      <w:r>
        <w:rPr>
          <w:rFonts w:ascii="Calibri" w:hAnsi="Calibri" w:cs="Calibri"/>
        </w:rPr>
        <w:t xml:space="preserve"> s</w:t>
      </w:r>
      <w:r w:rsidRPr="00B90F8E">
        <w:rPr>
          <w:rFonts w:ascii="Calibri" w:hAnsi="Calibri" w:cs="Calibri"/>
        </w:rPr>
        <w:t>chizophrenia)</w:t>
      </w:r>
    </w:p>
    <w:p w14:paraId="69A987B7" w14:textId="77777777" w:rsidR="00E94739" w:rsidRPr="00B90F8E" w:rsidRDefault="00E94739" w:rsidP="00E94739">
      <w:pPr>
        <w:pStyle w:val="paragraph"/>
        <w:spacing w:before="0" w:beforeAutospacing="0" w:after="0" w:afterAutospacing="0"/>
        <w:ind w:left="568" w:hanging="284"/>
        <w:textAlignment w:val="baseline"/>
        <w:rPr>
          <w:rFonts w:ascii="Calibri" w:hAnsi="Calibri" w:cs="Calibri"/>
        </w:rPr>
      </w:pPr>
      <w:r w:rsidRPr="00B90F8E">
        <w:rPr>
          <w:rFonts w:ascii="Calibri" w:hAnsi="Calibri" w:cs="Calibri"/>
        </w:rPr>
        <w:t>•</w:t>
      </w:r>
      <w:r w:rsidRPr="00B90F8E">
        <w:rPr>
          <w:rFonts w:ascii="Calibri" w:hAnsi="Calibri" w:cs="Calibri"/>
        </w:rPr>
        <w:tab/>
        <w:t>Personality disorders</w:t>
      </w:r>
    </w:p>
    <w:p w14:paraId="27C8712A" w14:textId="77777777" w:rsidR="00E94739" w:rsidRPr="00B90F8E" w:rsidRDefault="00E94739" w:rsidP="00E94739">
      <w:pPr>
        <w:pStyle w:val="paragraph"/>
        <w:spacing w:before="0" w:beforeAutospacing="0" w:after="0" w:afterAutospacing="0"/>
        <w:ind w:left="568" w:hanging="284"/>
        <w:textAlignment w:val="baseline"/>
        <w:rPr>
          <w:rFonts w:ascii="Calibri" w:hAnsi="Calibri" w:cs="Calibri"/>
        </w:rPr>
      </w:pPr>
      <w:r w:rsidRPr="00B90F8E">
        <w:rPr>
          <w:rFonts w:ascii="Calibri" w:hAnsi="Calibri" w:cs="Calibri"/>
        </w:rPr>
        <w:t>•</w:t>
      </w:r>
      <w:r w:rsidRPr="00B90F8E">
        <w:rPr>
          <w:rFonts w:ascii="Calibri" w:hAnsi="Calibri" w:cs="Calibri"/>
        </w:rPr>
        <w:tab/>
        <w:t>Self-harm</w:t>
      </w:r>
    </w:p>
    <w:p w14:paraId="4FAA317F" w14:textId="77777777" w:rsidR="00E94739" w:rsidRPr="00B90F8E" w:rsidRDefault="00E94739" w:rsidP="00E94739">
      <w:pPr>
        <w:pStyle w:val="paragraph"/>
        <w:spacing w:before="0" w:beforeAutospacing="0" w:after="0" w:afterAutospacing="0"/>
        <w:ind w:left="568" w:hanging="284"/>
        <w:textAlignment w:val="baseline"/>
        <w:rPr>
          <w:rFonts w:ascii="Calibri" w:hAnsi="Calibri" w:cs="Calibri"/>
        </w:rPr>
      </w:pPr>
      <w:r w:rsidRPr="00B90F8E">
        <w:rPr>
          <w:rFonts w:ascii="Calibri" w:hAnsi="Calibri" w:cs="Calibri"/>
        </w:rPr>
        <w:t>•</w:t>
      </w:r>
      <w:r w:rsidRPr="00B90F8E">
        <w:rPr>
          <w:rFonts w:ascii="Calibri" w:hAnsi="Calibri" w:cs="Calibri"/>
        </w:rPr>
        <w:tab/>
        <w:t>Suicidal ideation</w:t>
      </w:r>
    </w:p>
    <w:p w14:paraId="4F39BBCA" w14:textId="77777777" w:rsidR="00E94739" w:rsidRPr="00B90F8E" w:rsidRDefault="00E94739" w:rsidP="00E94739">
      <w:pPr>
        <w:pStyle w:val="paragraph"/>
        <w:spacing w:before="0" w:beforeAutospacing="0" w:after="0" w:afterAutospacing="0"/>
        <w:ind w:left="568" w:hanging="284"/>
        <w:textAlignment w:val="baseline"/>
        <w:rPr>
          <w:rFonts w:ascii="Calibri" w:hAnsi="Calibri" w:cs="Calibri"/>
        </w:rPr>
      </w:pPr>
      <w:r w:rsidRPr="00B90F8E">
        <w:rPr>
          <w:rFonts w:ascii="Calibri" w:hAnsi="Calibri" w:cs="Calibri"/>
        </w:rPr>
        <w:t>•</w:t>
      </w:r>
      <w:r w:rsidRPr="00B90F8E">
        <w:rPr>
          <w:rFonts w:ascii="Calibri" w:hAnsi="Calibri" w:cs="Calibri"/>
        </w:rPr>
        <w:tab/>
        <w:t>Substance use disorders</w:t>
      </w:r>
    </w:p>
    <w:p w14:paraId="74E60860" w14:textId="77777777" w:rsidR="00E94739" w:rsidRPr="00B90F8E" w:rsidRDefault="00E94739" w:rsidP="00E94739">
      <w:pPr>
        <w:pStyle w:val="paragraph"/>
        <w:spacing w:before="0" w:beforeAutospacing="0" w:after="0" w:afterAutospacing="0"/>
        <w:ind w:left="568" w:hanging="284"/>
        <w:textAlignment w:val="baseline"/>
        <w:rPr>
          <w:rFonts w:ascii="Calibri" w:hAnsi="Calibri" w:cs="Calibri"/>
        </w:rPr>
      </w:pPr>
      <w:r w:rsidRPr="00B90F8E">
        <w:rPr>
          <w:rFonts w:ascii="Calibri" w:hAnsi="Calibri" w:cs="Calibri"/>
        </w:rPr>
        <w:t>•</w:t>
      </w:r>
      <w:r w:rsidRPr="00B90F8E">
        <w:rPr>
          <w:rFonts w:ascii="Calibri" w:hAnsi="Calibri" w:cs="Calibri"/>
        </w:rPr>
        <w:tab/>
        <w:t xml:space="preserve">Other, </w:t>
      </w:r>
      <w:proofErr w:type="gramStart"/>
      <w:r w:rsidRPr="00B90F8E">
        <w:rPr>
          <w:rFonts w:ascii="Calibri" w:hAnsi="Calibri" w:cs="Calibri"/>
        </w:rPr>
        <w:t>specify:_</w:t>
      </w:r>
      <w:proofErr w:type="gramEnd"/>
      <w:r w:rsidRPr="00B90F8E">
        <w:rPr>
          <w:rFonts w:ascii="Calibri" w:hAnsi="Calibri" w:cs="Calibri"/>
        </w:rPr>
        <w:t>__________________</w:t>
      </w:r>
    </w:p>
    <w:p w14:paraId="37DC3C78" w14:textId="77777777" w:rsidR="00E94739" w:rsidRDefault="00E94739" w:rsidP="00E94739">
      <w:pPr>
        <w:pStyle w:val="paragraph"/>
        <w:spacing w:before="0" w:beforeAutospacing="0" w:after="0" w:afterAutospacing="0"/>
        <w:ind w:left="568" w:hanging="284"/>
        <w:textAlignment w:val="baseline"/>
        <w:rPr>
          <w:rFonts w:ascii="Calibri" w:hAnsi="Calibri" w:cs="Calibri"/>
        </w:rPr>
      </w:pPr>
      <w:r w:rsidRPr="00B90F8E">
        <w:rPr>
          <w:rFonts w:ascii="Calibri" w:hAnsi="Calibri" w:cs="Calibri"/>
        </w:rPr>
        <w:t>•</w:t>
      </w:r>
      <w:r w:rsidRPr="00B90F8E">
        <w:rPr>
          <w:rFonts w:ascii="Calibri" w:hAnsi="Calibri" w:cs="Calibri"/>
        </w:rPr>
        <w:tab/>
        <w:t>Unsure</w:t>
      </w:r>
    </w:p>
    <w:p w14:paraId="3D829AE6" w14:textId="77777777" w:rsidR="00E94739" w:rsidRPr="007C7E92" w:rsidRDefault="00E94739" w:rsidP="00E94739">
      <w:pPr>
        <w:pStyle w:val="paragraph"/>
        <w:spacing w:before="0" w:beforeAutospacing="0" w:after="0"/>
        <w:ind w:left="284" w:hanging="284"/>
        <w:textAlignment w:val="baseline"/>
        <w:rPr>
          <w:rFonts w:ascii="Calibri" w:hAnsi="Calibri" w:cs="Calibri"/>
          <w:b/>
          <w:bCs/>
        </w:rPr>
      </w:pPr>
      <w:r w:rsidRPr="007C7E92">
        <w:rPr>
          <w:rFonts w:ascii="Calibri" w:hAnsi="Calibri" w:cs="Calibri"/>
          <w:b/>
          <w:bCs/>
        </w:rPr>
        <w:lastRenderedPageBreak/>
        <w:t>5.</w:t>
      </w:r>
      <w:r w:rsidRPr="007C7E92">
        <w:rPr>
          <w:rFonts w:ascii="Calibri" w:hAnsi="Calibri" w:cs="Calibri"/>
          <w:b/>
          <w:bCs/>
        </w:rPr>
        <w:tab/>
        <w:t xml:space="preserve">In your experience, do you think digital mental health services are not suitable for any </w:t>
      </w:r>
      <w:proofErr w:type="gramStart"/>
      <w:r w:rsidRPr="007C7E92">
        <w:rPr>
          <w:rFonts w:ascii="Calibri" w:hAnsi="Calibri" w:cs="Calibri"/>
          <w:b/>
          <w:bCs/>
        </w:rPr>
        <w:t>particular mental</w:t>
      </w:r>
      <w:proofErr w:type="gramEnd"/>
      <w:r w:rsidRPr="007C7E92">
        <w:rPr>
          <w:rFonts w:ascii="Calibri" w:hAnsi="Calibri" w:cs="Calibri"/>
          <w:b/>
          <w:bCs/>
        </w:rPr>
        <w:t xml:space="preserve"> health problems? Please select all that apply. </w:t>
      </w:r>
    </w:p>
    <w:p w14:paraId="567D3B73" w14:textId="47A557EB" w:rsidR="00E94739" w:rsidRPr="00B90F8E" w:rsidRDefault="00E94739" w:rsidP="00E94739">
      <w:pPr>
        <w:pStyle w:val="paragraph"/>
        <w:spacing w:before="0" w:beforeAutospacing="0" w:after="0" w:afterAutospacing="0"/>
        <w:ind w:left="284"/>
        <w:textAlignment w:val="baseline"/>
        <w:rPr>
          <w:rFonts w:ascii="Calibri" w:hAnsi="Calibri" w:cs="Calibri"/>
        </w:rPr>
      </w:pPr>
      <w:r w:rsidRPr="00B90F8E">
        <w:rPr>
          <w:rFonts w:ascii="Calibri" w:hAnsi="Calibri" w:cs="Calibri"/>
        </w:rPr>
        <w:t>Digital mental health services are not suitable for people with:</w:t>
      </w:r>
    </w:p>
    <w:p w14:paraId="1D5E9913" w14:textId="77777777" w:rsidR="00E94739" w:rsidRPr="00B90F8E" w:rsidRDefault="00E94739" w:rsidP="00E94739">
      <w:pPr>
        <w:pStyle w:val="paragraph"/>
        <w:spacing w:before="0" w:beforeAutospacing="0" w:after="0" w:afterAutospacing="0"/>
        <w:ind w:left="284"/>
        <w:textAlignment w:val="baseline"/>
        <w:rPr>
          <w:rFonts w:ascii="Calibri" w:hAnsi="Calibri" w:cs="Calibri"/>
        </w:rPr>
      </w:pPr>
      <w:r w:rsidRPr="00B90F8E">
        <w:rPr>
          <w:rFonts w:ascii="Calibri" w:hAnsi="Calibri" w:cs="Calibri"/>
        </w:rPr>
        <w:t>•</w:t>
      </w:r>
      <w:r w:rsidRPr="00B90F8E">
        <w:rPr>
          <w:rFonts w:ascii="Calibri" w:hAnsi="Calibri" w:cs="Calibri"/>
        </w:rPr>
        <w:tab/>
        <w:t xml:space="preserve">Depression </w:t>
      </w:r>
    </w:p>
    <w:p w14:paraId="51232FC3" w14:textId="77777777" w:rsidR="00E94739" w:rsidRPr="00B90F8E" w:rsidRDefault="00E94739" w:rsidP="00E94739">
      <w:pPr>
        <w:pStyle w:val="paragraph"/>
        <w:spacing w:before="0" w:beforeAutospacing="0" w:after="0" w:afterAutospacing="0"/>
        <w:ind w:left="284"/>
        <w:textAlignment w:val="baseline"/>
        <w:rPr>
          <w:rFonts w:ascii="Calibri" w:hAnsi="Calibri" w:cs="Calibri"/>
        </w:rPr>
      </w:pPr>
      <w:r w:rsidRPr="00B90F8E">
        <w:rPr>
          <w:rFonts w:ascii="Calibri" w:hAnsi="Calibri" w:cs="Calibri"/>
        </w:rPr>
        <w:t>•</w:t>
      </w:r>
      <w:r w:rsidRPr="00B90F8E">
        <w:rPr>
          <w:rFonts w:ascii="Calibri" w:hAnsi="Calibri" w:cs="Calibri"/>
        </w:rPr>
        <w:tab/>
        <w:t xml:space="preserve">Anxiety </w:t>
      </w:r>
    </w:p>
    <w:p w14:paraId="4DEC3F14" w14:textId="77777777" w:rsidR="00E94739" w:rsidRPr="00B90F8E" w:rsidRDefault="00E94739" w:rsidP="00E94739">
      <w:pPr>
        <w:pStyle w:val="paragraph"/>
        <w:spacing w:before="0" w:beforeAutospacing="0" w:after="0" w:afterAutospacing="0"/>
        <w:ind w:left="284"/>
        <w:textAlignment w:val="baseline"/>
        <w:rPr>
          <w:rFonts w:ascii="Calibri" w:hAnsi="Calibri" w:cs="Calibri"/>
        </w:rPr>
      </w:pPr>
      <w:r w:rsidRPr="00B90F8E">
        <w:rPr>
          <w:rFonts w:ascii="Calibri" w:hAnsi="Calibri" w:cs="Calibri"/>
        </w:rPr>
        <w:t>•</w:t>
      </w:r>
      <w:r w:rsidRPr="00B90F8E">
        <w:rPr>
          <w:rFonts w:ascii="Calibri" w:hAnsi="Calibri" w:cs="Calibri"/>
        </w:rPr>
        <w:tab/>
        <w:t xml:space="preserve">PTSD </w:t>
      </w:r>
    </w:p>
    <w:p w14:paraId="7B3CCA0A" w14:textId="77777777" w:rsidR="00E94739" w:rsidRPr="00B90F8E" w:rsidRDefault="00E94739" w:rsidP="00E94739">
      <w:pPr>
        <w:pStyle w:val="paragraph"/>
        <w:spacing w:before="0" w:beforeAutospacing="0" w:after="0" w:afterAutospacing="0"/>
        <w:ind w:left="284"/>
        <w:textAlignment w:val="baseline"/>
        <w:rPr>
          <w:rFonts w:ascii="Calibri" w:hAnsi="Calibri" w:cs="Calibri"/>
        </w:rPr>
      </w:pPr>
      <w:r w:rsidRPr="00B90F8E">
        <w:rPr>
          <w:rFonts w:ascii="Calibri" w:hAnsi="Calibri" w:cs="Calibri"/>
        </w:rPr>
        <w:t>•</w:t>
      </w:r>
      <w:r w:rsidRPr="00B90F8E">
        <w:rPr>
          <w:rFonts w:ascii="Calibri" w:hAnsi="Calibri" w:cs="Calibri"/>
        </w:rPr>
        <w:tab/>
        <w:t xml:space="preserve">OCD </w:t>
      </w:r>
    </w:p>
    <w:p w14:paraId="661FD16C" w14:textId="77777777" w:rsidR="00E94739" w:rsidRPr="00B90F8E" w:rsidRDefault="00E94739" w:rsidP="00E94739">
      <w:pPr>
        <w:pStyle w:val="paragraph"/>
        <w:spacing w:before="0" w:beforeAutospacing="0" w:after="0" w:afterAutospacing="0"/>
        <w:ind w:left="284"/>
        <w:textAlignment w:val="baseline"/>
        <w:rPr>
          <w:rFonts w:ascii="Calibri" w:hAnsi="Calibri" w:cs="Calibri"/>
        </w:rPr>
      </w:pPr>
      <w:r w:rsidRPr="00B90F8E">
        <w:rPr>
          <w:rFonts w:ascii="Calibri" w:hAnsi="Calibri" w:cs="Calibri"/>
        </w:rPr>
        <w:t>•</w:t>
      </w:r>
      <w:r w:rsidRPr="00B90F8E">
        <w:rPr>
          <w:rFonts w:ascii="Calibri" w:hAnsi="Calibri" w:cs="Calibri"/>
        </w:rPr>
        <w:tab/>
        <w:t xml:space="preserve">Eating disorders </w:t>
      </w:r>
    </w:p>
    <w:p w14:paraId="6DB21CBC" w14:textId="77777777" w:rsidR="00E94739" w:rsidRPr="00B90F8E" w:rsidRDefault="00E94739" w:rsidP="00E94739">
      <w:pPr>
        <w:pStyle w:val="paragraph"/>
        <w:spacing w:before="0" w:beforeAutospacing="0" w:after="0" w:afterAutospacing="0"/>
        <w:ind w:left="284"/>
        <w:textAlignment w:val="baseline"/>
        <w:rPr>
          <w:rFonts w:ascii="Calibri" w:hAnsi="Calibri" w:cs="Calibri"/>
        </w:rPr>
      </w:pPr>
      <w:r w:rsidRPr="00B90F8E">
        <w:rPr>
          <w:rFonts w:ascii="Calibri" w:hAnsi="Calibri" w:cs="Calibri"/>
        </w:rPr>
        <w:t>•</w:t>
      </w:r>
      <w:r w:rsidRPr="00B90F8E">
        <w:rPr>
          <w:rFonts w:ascii="Calibri" w:hAnsi="Calibri" w:cs="Calibri"/>
        </w:rPr>
        <w:tab/>
        <w:t xml:space="preserve">Bipolar disorders </w:t>
      </w:r>
    </w:p>
    <w:p w14:paraId="650545D7" w14:textId="6C887268" w:rsidR="00E94739" w:rsidRPr="00B90F8E" w:rsidRDefault="00E94739" w:rsidP="00E94739">
      <w:pPr>
        <w:pStyle w:val="paragraph"/>
        <w:spacing w:before="0" w:beforeAutospacing="0" w:after="0" w:afterAutospacing="0"/>
        <w:ind w:left="284"/>
        <w:textAlignment w:val="baseline"/>
        <w:rPr>
          <w:rFonts w:ascii="Calibri" w:hAnsi="Calibri" w:cs="Calibri"/>
        </w:rPr>
      </w:pPr>
      <w:r w:rsidRPr="00B90F8E">
        <w:rPr>
          <w:rFonts w:ascii="Calibri" w:hAnsi="Calibri" w:cs="Calibri"/>
        </w:rPr>
        <w:t>•</w:t>
      </w:r>
      <w:r w:rsidRPr="00B90F8E">
        <w:rPr>
          <w:rFonts w:ascii="Calibri" w:hAnsi="Calibri" w:cs="Calibri"/>
        </w:rPr>
        <w:tab/>
        <w:t>Psychotic disorders (e.g.,</w:t>
      </w:r>
      <w:r w:rsidR="00346912" w:rsidRPr="00B90F8E">
        <w:rPr>
          <w:rFonts w:ascii="Calibri" w:hAnsi="Calibri" w:cs="Calibri"/>
        </w:rPr>
        <w:t xml:space="preserve"> </w:t>
      </w:r>
      <w:r w:rsidRPr="00B90F8E">
        <w:rPr>
          <w:rFonts w:ascii="Calibri" w:hAnsi="Calibri" w:cs="Calibri"/>
        </w:rPr>
        <w:t>Schizophrenia)</w:t>
      </w:r>
    </w:p>
    <w:p w14:paraId="16553887" w14:textId="77777777" w:rsidR="00E94739" w:rsidRPr="00B90F8E" w:rsidRDefault="00E94739" w:rsidP="00E94739">
      <w:pPr>
        <w:pStyle w:val="paragraph"/>
        <w:spacing w:before="0" w:beforeAutospacing="0" w:after="0" w:afterAutospacing="0"/>
        <w:ind w:left="284"/>
        <w:textAlignment w:val="baseline"/>
        <w:rPr>
          <w:rFonts w:ascii="Calibri" w:hAnsi="Calibri" w:cs="Calibri"/>
        </w:rPr>
      </w:pPr>
      <w:r w:rsidRPr="00B90F8E">
        <w:rPr>
          <w:rFonts w:ascii="Calibri" w:hAnsi="Calibri" w:cs="Calibri"/>
        </w:rPr>
        <w:t>•</w:t>
      </w:r>
      <w:r w:rsidRPr="00B90F8E">
        <w:rPr>
          <w:rFonts w:ascii="Calibri" w:hAnsi="Calibri" w:cs="Calibri"/>
        </w:rPr>
        <w:tab/>
        <w:t xml:space="preserve">Personality disorders </w:t>
      </w:r>
    </w:p>
    <w:p w14:paraId="5E664A57" w14:textId="77777777" w:rsidR="00E94739" w:rsidRPr="00B90F8E" w:rsidRDefault="00E94739" w:rsidP="00E94739">
      <w:pPr>
        <w:pStyle w:val="paragraph"/>
        <w:spacing w:before="0" w:beforeAutospacing="0" w:after="0" w:afterAutospacing="0"/>
        <w:ind w:left="284"/>
        <w:textAlignment w:val="baseline"/>
        <w:rPr>
          <w:rFonts w:ascii="Calibri" w:hAnsi="Calibri" w:cs="Calibri"/>
        </w:rPr>
      </w:pPr>
      <w:r w:rsidRPr="00B90F8E">
        <w:rPr>
          <w:rFonts w:ascii="Calibri" w:hAnsi="Calibri" w:cs="Calibri"/>
        </w:rPr>
        <w:t>•</w:t>
      </w:r>
      <w:r w:rsidRPr="00B90F8E">
        <w:rPr>
          <w:rFonts w:ascii="Calibri" w:hAnsi="Calibri" w:cs="Calibri"/>
        </w:rPr>
        <w:tab/>
        <w:t xml:space="preserve">Self-harm </w:t>
      </w:r>
    </w:p>
    <w:p w14:paraId="153EC765" w14:textId="77777777" w:rsidR="00E94739" w:rsidRPr="00B90F8E" w:rsidRDefault="00E94739" w:rsidP="00E94739">
      <w:pPr>
        <w:pStyle w:val="paragraph"/>
        <w:spacing w:before="0" w:beforeAutospacing="0" w:after="0" w:afterAutospacing="0"/>
        <w:ind w:left="284"/>
        <w:textAlignment w:val="baseline"/>
        <w:rPr>
          <w:rFonts w:ascii="Calibri" w:hAnsi="Calibri" w:cs="Calibri"/>
        </w:rPr>
      </w:pPr>
      <w:r w:rsidRPr="00B90F8E">
        <w:rPr>
          <w:rFonts w:ascii="Calibri" w:hAnsi="Calibri" w:cs="Calibri"/>
        </w:rPr>
        <w:t>•</w:t>
      </w:r>
      <w:r w:rsidRPr="00B90F8E">
        <w:rPr>
          <w:rFonts w:ascii="Calibri" w:hAnsi="Calibri" w:cs="Calibri"/>
        </w:rPr>
        <w:tab/>
        <w:t xml:space="preserve">Suicidal ideation </w:t>
      </w:r>
    </w:p>
    <w:p w14:paraId="247434BA" w14:textId="77777777" w:rsidR="00E94739" w:rsidRPr="00B90F8E" w:rsidRDefault="00E94739" w:rsidP="00E94739">
      <w:pPr>
        <w:pStyle w:val="paragraph"/>
        <w:spacing w:before="0" w:beforeAutospacing="0" w:after="0" w:afterAutospacing="0"/>
        <w:ind w:left="284"/>
        <w:textAlignment w:val="baseline"/>
        <w:rPr>
          <w:rFonts w:ascii="Calibri" w:hAnsi="Calibri" w:cs="Calibri"/>
        </w:rPr>
      </w:pPr>
      <w:r w:rsidRPr="00B90F8E">
        <w:rPr>
          <w:rFonts w:ascii="Calibri" w:hAnsi="Calibri" w:cs="Calibri"/>
        </w:rPr>
        <w:t>•</w:t>
      </w:r>
      <w:r w:rsidRPr="00B90F8E">
        <w:rPr>
          <w:rFonts w:ascii="Calibri" w:hAnsi="Calibri" w:cs="Calibri"/>
        </w:rPr>
        <w:tab/>
        <w:t xml:space="preserve">Substance use disorders </w:t>
      </w:r>
    </w:p>
    <w:p w14:paraId="19177E8B" w14:textId="5C97CF20" w:rsidR="00E94739" w:rsidRPr="00B90F8E" w:rsidRDefault="00E94739" w:rsidP="00E94739">
      <w:pPr>
        <w:pStyle w:val="paragraph"/>
        <w:spacing w:before="0" w:beforeAutospacing="0" w:after="0" w:afterAutospacing="0"/>
        <w:ind w:left="284"/>
        <w:textAlignment w:val="baseline"/>
        <w:rPr>
          <w:rFonts w:ascii="Calibri" w:hAnsi="Calibri" w:cs="Calibri"/>
        </w:rPr>
      </w:pPr>
      <w:r w:rsidRPr="00B90F8E">
        <w:rPr>
          <w:rFonts w:ascii="Calibri" w:hAnsi="Calibri" w:cs="Calibri"/>
        </w:rPr>
        <w:t>•</w:t>
      </w:r>
      <w:r w:rsidRPr="00B90F8E">
        <w:rPr>
          <w:rFonts w:ascii="Calibri" w:hAnsi="Calibri" w:cs="Calibri"/>
        </w:rPr>
        <w:tab/>
        <w:t xml:space="preserve">Other, </w:t>
      </w:r>
      <w:proofErr w:type="gramStart"/>
      <w:r w:rsidRPr="00B90F8E">
        <w:rPr>
          <w:rFonts w:ascii="Calibri" w:hAnsi="Calibri" w:cs="Calibri"/>
        </w:rPr>
        <w:t>specify:_</w:t>
      </w:r>
      <w:proofErr w:type="gramEnd"/>
      <w:r w:rsidRPr="00B90F8E">
        <w:rPr>
          <w:rFonts w:ascii="Calibri" w:hAnsi="Calibri" w:cs="Calibri"/>
        </w:rPr>
        <w:t>__________________</w:t>
      </w:r>
    </w:p>
    <w:p w14:paraId="7D9A3E5C" w14:textId="539A2C06" w:rsidR="00E94739" w:rsidRPr="00B90F8E" w:rsidRDefault="00E94739" w:rsidP="00F706E2">
      <w:pPr>
        <w:pStyle w:val="paragraph"/>
        <w:spacing w:before="0" w:beforeAutospacing="0" w:after="200" w:afterAutospacing="0"/>
        <w:ind w:left="284"/>
        <w:textAlignment w:val="baseline"/>
        <w:rPr>
          <w:rFonts w:ascii="Calibri" w:hAnsi="Calibri" w:cs="Calibri"/>
        </w:rPr>
      </w:pPr>
      <w:r w:rsidRPr="00B90F8E">
        <w:rPr>
          <w:rFonts w:ascii="Calibri" w:hAnsi="Calibri" w:cs="Calibri"/>
        </w:rPr>
        <w:t>•</w:t>
      </w:r>
      <w:r w:rsidRPr="00B90F8E">
        <w:rPr>
          <w:rFonts w:ascii="Calibri" w:hAnsi="Calibri" w:cs="Calibri"/>
        </w:rPr>
        <w:tab/>
        <w:t>Unsure</w:t>
      </w:r>
    </w:p>
    <w:p w14:paraId="2BB67465" w14:textId="43ACDC1F" w:rsidR="00E94739" w:rsidRPr="00F706E2" w:rsidRDefault="00E94739" w:rsidP="00F706E2">
      <w:pPr>
        <w:pStyle w:val="paragraph"/>
        <w:spacing w:before="0" w:beforeAutospacing="0" w:after="200" w:afterAutospacing="0"/>
        <w:ind w:left="284" w:hanging="284"/>
        <w:textAlignment w:val="baseline"/>
        <w:rPr>
          <w:rFonts w:ascii="Calibri" w:hAnsi="Calibri" w:cs="Calibri"/>
          <w:b/>
          <w:bCs/>
        </w:rPr>
      </w:pPr>
      <w:r w:rsidRPr="001B1DA8">
        <w:rPr>
          <w:rFonts w:ascii="Calibri" w:hAnsi="Calibri" w:cs="Calibri"/>
          <w:b/>
          <w:bCs/>
        </w:rPr>
        <w:t>6.</w:t>
      </w:r>
      <w:r w:rsidRPr="001B1DA8">
        <w:rPr>
          <w:rFonts w:ascii="Calibri" w:hAnsi="Calibri" w:cs="Calibri"/>
          <w:b/>
          <w:bCs/>
        </w:rPr>
        <w:tab/>
        <w:t>Are there any consumer groups who would benefit from digital mental health services but for whom programs have not yet been tailored?</w:t>
      </w:r>
    </w:p>
    <w:p w14:paraId="119C1DC3" w14:textId="07B99294" w:rsidR="00E94739" w:rsidRPr="00B90F8E" w:rsidRDefault="00E94739" w:rsidP="00E94739">
      <w:pPr>
        <w:pStyle w:val="paragraph"/>
        <w:spacing w:before="0" w:beforeAutospacing="0" w:after="0" w:afterAutospacing="0"/>
        <w:ind w:left="568" w:hanging="284"/>
        <w:textAlignment w:val="baseline"/>
        <w:rPr>
          <w:rFonts w:ascii="Calibri" w:hAnsi="Calibri" w:cs="Calibri"/>
        </w:rPr>
      </w:pPr>
      <w:r w:rsidRPr="00B90F8E">
        <w:rPr>
          <w:rFonts w:ascii="Calibri" w:hAnsi="Calibri" w:cs="Calibri"/>
        </w:rPr>
        <w:t>•</w:t>
      </w:r>
      <w:r w:rsidRPr="00B90F8E">
        <w:rPr>
          <w:rFonts w:ascii="Calibri" w:hAnsi="Calibri" w:cs="Calibri"/>
        </w:rPr>
        <w:tab/>
        <w:t>Yes</w:t>
      </w:r>
    </w:p>
    <w:p w14:paraId="6AB931B3" w14:textId="62CDAED8" w:rsidR="00E94739" w:rsidRPr="00B90F8E" w:rsidRDefault="00E94739" w:rsidP="00F706E2">
      <w:pPr>
        <w:pStyle w:val="paragraph"/>
        <w:spacing w:before="0" w:beforeAutospacing="0" w:after="200" w:afterAutospacing="0"/>
        <w:ind w:left="568" w:hanging="284"/>
        <w:textAlignment w:val="baseline"/>
        <w:rPr>
          <w:rFonts w:ascii="Calibri" w:hAnsi="Calibri" w:cs="Calibri"/>
        </w:rPr>
      </w:pPr>
      <w:r w:rsidRPr="00B90F8E">
        <w:rPr>
          <w:rFonts w:ascii="Calibri" w:hAnsi="Calibri" w:cs="Calibri"/>
        </w:rPr>
        <w:t>•</w:t>
      </w:r>
      <w:r w:rsidRPr="00B90F8E">
        <w:rPr>
          <w:rFonts w:ascii="Calibri" w:hAnsi="Calibri" w:cs="Calibri"/>
        </w:rPr>
        <w:tab/>
        <w:t>No</w:t>
      </w:r>
    </w:p>
    <w:p w14:paraId="71A27513" w14:textId="6B9334A8" w:rsidR="00E94739" w:rsidRPr="000E04F4" w:rsidRDefault="00E94739" w:rsidP="00F706E2">
      <w:pPr>
        <w:pStyle w:val="paragraph"/>
        <w:spacing w:before="0" w:beforeAutospacing="0" w:after="0" w:afterAutospacing="0"/>
        <w:ind w:left="284" w:hanging="284"/>
        <w:textAlignment w:val="baseline"/>
        <w:rPr>
          <w:rFonts w:ascii="Calibri" w:hAnsi="Calibri" w:cs="Calibri"/>
          <w:b/>
          <w:bCs/>
        </w:rPr>
      </w:pPr>
      <w:r w:rsidRPr="000E04F4">
        <w:rPr>
          <w:rFonts w:ascii="Calibri" w:hAnsi="Calibri" w:cs="Calibri"/>
          <w:b/>
          <w:bCs/>
        </w:rPr>
        <w:t xml:space="preserve">If yes, please specify who these consumer groups are: </w:t>
      </w:r>
    </w:p>
    <w:p w14:paraId="00724760" w14:textId="77777777" w:rsidR="00E94739" w:rsidRPr="00B90F8E" w:rsidRDefault="00E94739" w:rsidP="00E94739">
      <w:pPr>
        <w:pStyle w:val="paragraph"/>
        <w:spacing w:before="0" w:beforeAutospacing="0" w:after="0" w:afterAutospacing="0"/>
        <w:ind w:left="568" w:hanging="284"/>
        <w:textAlignment w:val="baseline"/>
        <w:rPr>
          <w:rFonts w:ascii="Calibri" w:hAnsi="Calibri" w:cs="Calibri"/>
        </w:rPr>
      </w:pPr>
      <w:r w:rsidRPr="00B90F8E">
        <w:rPr>
          <w:rFonts w:ascii="Calibri" w:hAnsi="Calibri" w:cs="Calibri"/>
        </w:rPr>
        <w:t xml:space="preserve">•        Aboriginal and/or Torres Strait Islander peoples </w:t>
      </w:r>
    </w:p>
    <w:p w14:paraId="3B28EFE3" w14:textId="4A78E0C9" w:rsidR="00E94739" w:rsidRPr="00B90F8E" w:rsidRDefault="00E94739">
      <w:pPr>
        <w:pStyle w:val="paragraph"/>
        <w:numPr>
          <w:ilvl w:val="0"/>
          <w:numId w:val="155"/>
        </w:numPr>
        <w:spacing w:before="0" w:beforeAutospacing="0" w:after="0" w:afterAutospacing="0"/>
        <w:textAlignment w:val="baseline"/>
        <w:rPr>
          <w:rFonts w:ascii="Calibri" w:hAnsi="Calibri" w:cs="Calibri"/>
        </w:rPr>
      </w:pPr>
      <w:r w:rsidRPr="00B90F8E">
        <w:rPr>
          <w:rFonts w:ascii="Calibri" w:hAnsi="Calibri" w:cs="Calibri"/>
        </w:rPr>
        <w:t>People who are from culturally and linguistically diverse backgrounds or whose main language</w:t>
      </w:r>
      <w:r>
        <w:rPr>
          <w:rFonts w:ascii="Calibri" w:hAnsi="Calibri" w:cs="Calibri"/>
        </w:rPr>
        <w:t xml:space="preserve"> </w:t>
      </w:r>
      <w:r w:rsidRPr="00B90F8E">
        <w:rPr>
          <w:rFonts w:ascii="Calibri" w:hAnsi="Calibri" w:cs="Calibri"/>
        </w:rPr>
        <w:t xml:space="preserve">spoken at home is not English </w:t>
      </w:r>
    </w:p>
    <w:p w14:paraId="2C87B248" w14:textId="41C47058" w:rsidR="00E94739" w:rsidRPr="00B90F8E" w:rsidRDefault="00E94739">
      <w:pPr>
        <w:pStyle w:val="paragraph"/>
        <w:numPr>
          <w:ilvl w:val="0"/>
          <w:numId w:val="155"/>
        </w:numPr>
        <w:spacing w:before="0" w:beforeAutospacing="0" w:after="0" w:afterAutospacing="0"/>
        <w:textAlignment w:val="baseline"/>
        <w:rPr>
          <w:rFonts w:ascii="Calibri" w:hAnsi="Calibri" w:cs="Calibri"/>
        </w:rPr>
      </w:pPr>
      <w:r w:rsidRPr="00B90F8E">
        <w:rPr>
          <w:rFonts w:ascii="Calibri" w:hAnsi="Calibri" w:cs="Calibri"/>
        </w:rPr>
        <w:t xml:space="preserve">People living in a rural or remote location </w:t>
      </w:r>
    </w:p>
    <w:p w14:paraId="6CCF38CA" w14:textId="64925A93" w:rsidR="00E94739" w:rsidRPr="00B90F8E" w:rsidRDefault="00E94739">
      <w:pPr>
        <w:pStyle w:val="paragraph"/>
        <w:numPr>
          <w:ilvl w:val="0"/>
          <w:numId w:val="155"/>
        </w:numPr>
        <w:spacing w:before="0" w:beforeAutospacing="0" w:after="0" w:afterAutospacing="0"/>
        <w:textAlignment w:val="baseline"/>
        <w:rPr>
          <w:rFonts w:ascii="Calibri" w:hAnsi="Calibri" w:cs="Calibri"/>
        </w:rPr>
      </w:pPr>
      <w:r w:rsidRPr="00B90F8E">
        <w:rPr>
          <w:rFonts w:ascii="Calibri" w:hAnsi="Calibri" w:cs="Calibri"/>
        </w:rPr>
        <w:t xml:space="preserve">People who identify as LGBTQIA+ </w:t>
      </w:r>
    </w:p>
    <w:p w14:paraId="64C285E8" w14:textId="62908EB5" w:rsidR="00E94739" w:rsidRPr="00B90F8E" w:rsidRDefault="00E94739">
      <w:pPr>
        <w:pStyle w:val="paragraph"/>
        <w:numPr>
          <w:ilvl w:val="0"/>
          <w:numId w:val="155"/>
        </w:numPr>
        <w:spacing w:before="0" w:beforeAutospacing="0" w:after="0" w:afterAutospacing="0"/>
        <w:textAlignment w:val="baseline"/>
        <w:rPr>
          <w:rFonts w:ascii="Calibri" w:hAnsi="Calibri" w:cs="Calibri"/>
        </w:rPr>
      </w:pPr>
      <w:r w:rsidRPr="00B90F8E">
        <w:rPr>
          <w:rFonts w:ascii="Calibri" w:hAnsi="Calibri" w:cs="Calibri"/>
        </w:rPr>
        <w:t xml:space="preserve">Other, please specify _____________ </w:t>
      </w:r>
    </w:p>
    <w:p w14:paraId="1597FE1C" w14:textId="77777777" w:rsidR="00E94739" w:rsidRPr="00B90F8E" w:rsidRDefault="00E94739" w:rsidP="00E94739">
      <w:pPr>
        <w:pStyle w:val="paragraph"/>
        <w:spacing w:before="0" w:beforeAutospacing="0" w:after="0" w:afterAutospacing="0"/>
        <w:ind w:left="568" w:hanging="284"/>
        <w:textAlignment w:val="baseline"/>
        <w:rPr>
          <w:rFonts w:ascii="Calibri" w:hAnsi="Calibri" w:cs="Calibri"/>
        </w:rPr>
      </w:pPr>
      <w:r w:rsidRPr="00B90F8E">
        <w:rPr>
          <w:rFonts w:ascii="Calibri" w:hAnsi="Calibri" w:cs="Calibri"/>
        </w:rPr>
        <w:t xml:space="preserve">  </w:t>
      </w:r>
    </w:p>
    <w:p w14:paraId="02FC3013" w14:textId="5EBF9F54" w:rsidR="00E94739" w:rsidRPr="00B90F8E" w:rsidRDefault="00E94739" w:rsidP="00E94739">
      <w:pPr>
        <w:pStyle w:val="paragraph"/>
        <w:spacing w:before="0" w:beforeAutospacing="0" w:after="0" w:afterAutospacing="0"/>
        <w:ind w:left="568" w:hanging="284"/>
        <w:textAlignment w:val="baseline"/>
        <w:rPr>
          <w:rFonts w:ascii="Calibri" w:hAnsi="Calibri" w:cs="Calibri"/>
        </w:rPr>
      </w:pPr>
      <w:r w:rsidRPr="00B90F8E">
        <w:rPr>
          <w:rFonts w:ascii="Calibri" w:hAnsi="Calibri" w:cs="Calibri"/>
        </w:rPr>
        <w:t>Please describe the modifications needed for each group you’ve selected.</w:t>
      </w:r>
    </w:p>
    <w:p w14:paraId="1FCCE959" w14:textId="77777777" w:rsidR="00E94739" w:rsidRDefault="00E94739" w:rsidP="00CA1ECD">
      <w:pPr>
        <w:pStyle w:val="paragraph"/>
        <w:spacing w:before="0" w:beforeAutospacing="0" w:after="200" w:afterAutospacing="0"/>
        <w:ind w:left="568" w:hanging="284"/>
        <w:textAlignment w:val="baseline"/>
        <w:rPr>
          <w:rFonts w:ascii="Calibri" w:hAnsi="Calibri" w:cs="Calibri"/>
        </w:rPr>
      </w:pPr>
      <w:r w:rsidRPr="00B90F8E">
        <w:rPr>
          <w:rFonts w:ascii="Calibri" w:hAnsi="Calibri" w:cs="Calibri"/>
        </w:rPr>
        <w:t>_______________________________________________________________</w:t>
      </w:r>
    </w:p>
    <w:p w14:paraId="6807D649" w14:textId="77777777" w:rsidR="00E94739" w:rsidRPr="000E04F4" w:rsidRDefault="00E94739" w:rsidP="00140C5B">
      <w:pPr>
        <w:pStyle w:val="paragraph"/>
        <w:numPr>
          <w:ilvl w:val="0"/>
          <w:numId w:val="83"/>
        </w:numPr>
        <w:tabs>
          <w:tab w:val="clear" w:pos="720"/>
        </w:tabs>
        <w:spacing w:before="0" w:beforeAutospacing="0" w:after="0" w:afterAutospacing="0"/>
        <w:ind w:left="284" w:hanging="284"/>
        <w:textAlignment w:val="baseline"/>
        <w:rPr>
          <w:b/>
          <w:bCs/>
        </w:rPr>
      </w:pPr>
      <w:r w:rsidRPr="000E04F4">
        <w:rPr>
          <w:rStyle w:val="normaltextrun"/>
          <w:b/>
          <w:bCs/>
        </w:rPr>
        <w:t>How easy do you find the process of providing supported digital mental health interventions?</w:t>
      </w:r>
      <w:r w:rsidRPr="000E04F4">
        <w:rPr>
          <w:rStyle w:val="eop"/>
          <w:b/>
          <w:bCs/>
        </w:rPr>
        <w:t> </w:t>
      </w:r>
    </w:p>
    <w:p w14:paraId="0FB4ADAD" w14:textId="5454238A" w:rsidR="00E94739" w:rsidRDefault="00E94739" w:rsidP="00140C5B">
      <w:pPr>
        <w:pStyle w:val="paragraph"/>
        <w:numPr>
          <w:ilvl w:val="0"/>
          <w:numId w:val="84"/>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Very easy</w:t>
      </w:r>
    </w:p>
    <w:p w14:paraId="217782B1" w14:textId="7294DFA1" w:rsidR="00E94739" w:rsidRDefault="00E94739" w:rsidP="00140C5B">
      <w:pPr>
        <w:pStyle w:val="paragraph"/>
        <w:numPr>
          <w:ilvl w:val="0"/>
          <w:numId w:val="84"/>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Easy</w:t>
      </w:r>
    </w:p>
    <w:p w14:paraId="00DD86AA" w14:textId="4D207E2A" w:rsidR="00E94739" w:rsidRDefault="00E94739" w:rsidP="00140C5B">
      <w:pPr>
        <w:pStyle w:val="paragraph"/>
        <w:numPr>
          <w:ilvl w:val="0"/>
          <w:numId w:val="84"/>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Somewhat easy</w:t>
      </w:r>
    </w:p>
    <w:p w14:paraId="4D83CA60" w14:textId="2C65815C" w:rsidR="00E94739" w:rsidRDefault="00E94739" w:rsidP="00140C5B">
      <w:pPr>
        <w:pStyle w:val="paragraph"/>
        <w:numPr>
          <w:ilvl w:val="0"/>
          <w:numId w:val="84"/>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Difficult</w:t>
      </w:r>
    </w:p>
    <w:p w14:paraId="53F79B91" w14:textId="7A766DF6" w:rsidR="00E94739" w:rsidRDefault="00E94739" w:rsidP="00140C5B">
      <w:pPr>
        <w:pStyle w:val="paragraph"/>
        <w:numPr>
          <w:ilvl w:val="0"/>
          <w:numId w:val="84"/>
        </w:numPr>
        <w:tabs>
          <w:tab w:val="clear" w:pos="720"/>
        </w:tabs>
        <w:spacing w:before="0" w:beforeAutospacing="0" w:after="200" w:afterAutospacing="0"/>
        <w:ind w:left="284" w:hanging="284"/>
        <w:textAlignment w:val="baseline"/>
        <w:rPr>
          <w:rFonts w:ascii="Verdana" w:hAnsi="Verdana" w:cs="Segoe UI"/>
        </w:rPr>
      </w:pPr>
      <w:r>
        <w:rPr>
          <w:rStyle w:val="normaltextrun"/>
          <w:rFonts w:ascii="Calibri" w:hAnsi="Calibri" w:cs="Calibri"/>
        </w:rPr>
        <w:t>Very difficult</w:t>
      </w:r>
    </w:p>
    <w:p w14:paraId="7B20B25C" w14:textId="77777777" w:rsidR="00E94739" w:rsidRPr="000E04F4" w:rsidRDefault="00E94739" w:rsidP="000E04F4">
      <w:pPr>
        <w:pStyle w:val="paragraph"/>
        <w:numPr>
          <w:ilvl w:val="0"/>
          <w:numId w:val="83"/>
        </w:numPr>
        <w:tabs>
          <w:tab w:val="clear" w:pos="720"/>
        </w:tabs>
        <w:spacing w:before="0" w:beforeAutospacing="0" w:after="0" w:afterAutospacing="0"/>
        <w:ind w:left="284" w:hanging="284"/>
        <w:textAlignment w:val="baseline"/>
        <w:rPr>
          <w:rStyle w:val="normaltextrun"/>
          <w:b/>
          <w:bCs/>
        </w:rPr>
      </w:pPr>
      <w:r w:rsidRPr="000E04F4">
        <w:rPr>
          <w:rStyle w:val="normaltextrun"/>
          <w:b/>
          <w:bCs/>
        </w:rPr>
        <w:t>Have you experienced any difficulties associated with supporting users of digital mental health interventions?  </w:t>
      </w:r>
    </w:p>
    <w:p w14:paraId="30676DEE" w14:textId="63C34BEF" w:rsidR="00E94739" w:rsidRDefault="00E94739" w:rsidP="00140C5B">
      <w:pPr>
        <w:pStyle w:val="paragraph"/>
        <w:numPr>
          <w:ilvl w:val="0"/>
          <w:numId w:val="86"/>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Yes</w:t>
      </w:r>
    </w:p>
    <w:p w14:paraId="0AF11CB4" w14:textId="300C4AAB" w:rsidR="00E94739" w:rsidRDefault="00E94739" w:rsidP="00140C5B">
      <w:pPr>
        <w:pStyle w:val="paragraph"/>
        <w:numPr>
          <w:ilvl w:val="0"/>
          <w:numId w:val="86"/>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No</w:t>
      </w:r>
    </w:p>
    <w:p w14:paraId="5EE6E5AD" w14:textId="2E5CEACF" w:rsidR="00E94739" w:rsidRDefault="00E94739" w:rsidP="00E94739">
      <w:pPr>
        <w:pStyle w:val="paragraph"/>
        <w:spacing w:before="0" w:beforeAutospacing="0" w:after="0" w:afterAutospacing="0"/>
        <w:ind w:left="284" w:hanging="284"/>
        <w:textAlignment w:val="baseline"/>
        <w:rPr>
          <w:rFonts w:ascii="Segoe UI" w:hAnsi="Segoe UI" w:cs="Segoe UI"/>
          <w:sz w:val="18"/>
          <w:szCs w:val="18"/>
        </w:rPr>
      </w:pPr>
    </w:p>
    <w:p w14:paraId="7614D8F1" w14:textId="77777777" w:rsidR="003F134A" w:rsidRDefault="003F134A">
      <w:pPr>
        <w:spacing w:after="200"/>
        <w:rPr>
          <w:rStyle w:val="normaltextrun"/>
          <w:rFonts w:ascii="Calibri" w:hAnsi="Calibri" w:cs="Calibri"/>
          <w:b/>
          <w:bCs/>
          <w:sz w:val="21"/>
          <w:szCs w:val="21"/>
          <w:lang w:eastAsia="en-AU"/>
        </w:rPr>
      </w:pPr>
      <w:r>
        <w:rPr>
          <w:rStyle w:val="normaltextrun"/>
          <w:rFonts w:ascii="Calibri" w:hAnsi="Calibri" w:cs="Calibri"/>
          <w:b/>
          <w:bCs/>
        </w:rPr>
        <w:br w:type="page"/>
      </w:r>
    </w:p>
    <w:p w14:paraId="5B061834" w14:textId="2AB8294B" w:rsidR="00E94739" w:rsidRDefault="00E94739" w:rsidP="000E04F4">
      <w:pPr>
        <w:pStyle w:val="paragraph"/>
        <w:spacing w:before="0" w:beforeAutospacing="0" w:after="0" w:afterAutospacing="0"/>
        <w:ind w:left="568" w:hanging="284"/>
        <w:textAlignment w:val="baseline"/>
        <w:rPr>
          <w:rFonts w:ascii="Segoe UI" w:hAnsi="Segoe UI" w:cs="Segoe UI"/>
          <w:sz w:val="18"/>
          <w:szCs w:val="18"/>
        </w:rPr>
      </w:pPr>
      <w:r>
        <w:rPr>
          <w:rStyle w:val="normaltextrun"/>
          <w:rFonts w:ascii="Calibri" w:hAnsi="Calibri" w:cs="Calibri"/>
          <w:b/>
          <w:bCs/>
        </w:rPr>
        <w:lastRenderedPageBreak/>
        <w:t xml:space="preserve">If </w:t>
      </w:r>
      <w:proofErr w:type="gramStart"/>
      <w:r>
        <w:rPr>
          <w:rStyle w:val="normaltextrun"/>
          <w:rFonts w:ascii="Calibri" w:hAnsi="Calibri" w:cs="Calibri"/>
          <w:b/>
          <w:bCs/>
        </w:rPr>
        <w:t>yes ,</w:t>
      </w:r>
      <w:proofErr w:type="gramEnd"/>
      <w:r>
        <w:rPr>
          <w:rStyle w:val="normaltextrun"/>
          <w:rFonts w:ascii="Calibri" w:hAnsi="Calibri" w:cs="Calibri"/>
          <w:b/>
          <w:bCs/>
        </w:rPr>
        <w:t xml:space="preserve"> please select all that apply.</w:t>
      </w:r>
      <w:r>
        <w:rPr>
          <w:rStyle w:val="eop"/>
          <w:rFonts w:ascii="Calibri" w:hAnsi="Calibri" w:cs="Calibri"/>
        </w:rPr>
        <w:t> </w:t>
      </w:r>
    </w:p>
    <w:p w14:paraId="13DB747C" w14:textId="77777777" w:rsidR="00E94739" w:rsidRDefault="00E94739" w:rsidP="000E04F4">
      <w:pPr>
        <w:pStyle w:val="paragraph"/>
        <w:numPr>
          <w:ilvl w:val="0"/>
          <w:numId w:val="87"/>
        </w:numPr>
        <w:tabs>
          <w:tab w:val="clear" w:pos="720"/>
        </w:tabs>
        <w:spacing w:before="0" w:beforeAutospacing="0" w:after="0" w:afterAutospacing="0"/>
        <w:ind w:left="568" w:hanging="284"/>
        <w:textAlignment w:val="baseline"/>
        <w:rPr>
          <w:rFonts w:ascii="Verdana" w:hAnsi="Verdana" w:cs="Segoe UI"/>
        </w:rPr>
      </w:pPr>
      <w:r>
        <w:rPr>
          <w:rStyle w:val="normaltextrun"/>
          <w:rFonts w:ascii="Calibri" w:hAnsi="Calibri" w:cs="Calibri"/>
        </w:rPr>
        <w:t>Lack of user background information</w:t>
      </w:r>
      <w:r>
        <w:rPr>
          <w:rStyle w:val="eop"/>
          <w:rFonts w:ascii="Calibri" w:hAnsi="Calibri" w:cs="Calibri"/>
        </w:rPr>
        <w:t> </w:t>
      </w:r>
    </w:p>
    <w:p w14:paraId="65107A9B" w14:textId="77777777" w:rsidR="00E94739" w:rsidRDefault="00E94739" w:rsidP="000E04F4">
      <w:pPr>
        <w:pStyle w:val="paragraph"/>
        <w:numPr>
          <w:ilvl w:val="0"/>
          <w:numId w:val="87"/>
        </w:numPr>
        <w:tabs>
          <w:tab w:val="clear" w:pos="720"/>
        </w:tabs>
        <w:spacing w:before="0" w:beforeAutospacing="0" w:after="0" w:afterAutospacing="0"/>
        <w:ind w:left="568" w:hanging="284"/>
        <w:textAlignment w:val="baseline"/>
        <w:rPr>
          <w:rFonts w:ascii="Verdana" w:hAnsi="Verdana" w:cs="Segoe UI"/>
        </w:rPr>
      </w:pPr>
      <w:r>
        <w:rPr>
          <w:rStyle w:val="normaltextrun"/>
          <w:rFonts w:ascii="Calibri" w:hAnsi="Calibri" w:cs="Calibri"/>
        </w:rPr>
        <w:t>Difficulties with rapport building</w:t>
      </w:r>
      <w:r>
        <w:rPr>
          <w:rStyle w:val="eop"/>
          <w:rFonts w:ascii="Calibri" w:hAnsi="Calibri" w:cs="Calibri"/>
        </w:rPr>
        <w:t> </w:t>
      </w:r>
    </w:p>
    <w:p w14:paraId="443C8A0A" w14:textId="77777777" w:rsidR="00E94739" w:rsidRDefault="00E94739" w:rsidP="000E04F4">
      <w:pPr>
        <w:pStyle w:val="paragraph"/>
        <w:numPr>
          <w:ilvl w:val="0"/>
          <w:numId w:val="87"/>
        </w:numPr>
        <w:tabs>
          <w:tab w:val="clear" w:pos="720"/>
        </w:tabs>
        <w:spacing w:before="0" w:beforeAutospacing="0" w:after="0" w:afterAutospacing="0"/>
        <w:ind w:left="568" w:hanging="284"/>
        <w:textAlignment w:val="baseline"/>
        <w:rPr>
          <w:rFonts w:ascii="Verdana" w:hAnsi="Verdana" w:cs="Segoe UI"/>
        </w:rPr>
      </w:pPr>
      <w:r>
        <w:rPr>
          <w:rStyle w:val="normaltextrun"/>
          <w:rFonts w:ascii="Calibri" w:hAnsi="Calibri" w:cs="Calibri"/>
        </w:rPr>
        <w:t xml:space="preserve">Unfamiliar with resources close to </w:t>
      </w:r>
      <w:proofErr w:type="gramStart"/>
      <w:r>
        <w:rPr>
          <w:rStyle w:val="normaltextrun"/>
          <w:rFonts w:ascii="Calibri" w:hAnsi="Calibri" w:cs="Calibri"/>
        </w:rPr>
        <w:t>users</w:t>
      </w:r>
      <w:proofErr w:type="gramEnd"/>
      <w:r>
        <w:rPr>
          <w:rStyle w:val="normaltextrun"/>
          <w:rFonts w:ascii="Calibri" w:hAnsi="Calibri" w:cs="Calibri"/>
        </w:rPr>
        <w:t xml:space="preserve"> home</w:t>
      </w:r>
      <w:r>
        <w:rPr>
          <w:rStyle w:val="eop"/>
          <w:rFonts w:ascii="Calibri" w:hAnsi="Calibri" w:cs="Calibri"/>
        </w:rPr>
        <w:t> </w:t>
      </w:r>
    </w:p>
    <w:p w14:paraId="61887387" w14:textId="77777777" w:rsidR="00E94739" w:rsidRDefault="00E94739" w:rsidP="000E04F4">
      <w:pPr>
        <w:pStyle w:val="paragraph"/>
        <w:numPr>
          <w:ilvl w:val="0"/>
          <w:numId w:val="87"/>
        </w:numPr>
        <w:tabs>
          <w:tab w:val="clear" w:pos="720"/>
        </w:tabs>
        <w:spacing w:before="0" w:beforeAutospacing="0" w:after="0" w:afterAutospacing="0"/>
        <w:ind w:left="568" w:hanging="284"/>
        <w:textAlignment w:val="baseline"/>
        <w:rPr>
          <w:rFonts w:ascii="Verdana" w:hAnsi="Verdana" w:cs="Segoe UI"/>
        </w:rPr>
      </w:pPr>
      <w:r>
        <w:rPr>
          <w:rStyle w:val="normaltextrun"/>
          <w:rFonts w:ascii="Calibri" w:hAnsi="Calibri" w:cs="Calibri"/>
        </w:rPr>
        <w:t>Problems with connections</w:t>
      </w:r>
      <w:r>
        <w:rPr>
          <w:rStyle w:val="eop"/>
          <w:rFonts w:ascii="Calibri" w:hAnsi="Calibri" w:cs="Calibri"/>
        </w:rPr>
        <w:t> </w:t>
      </w:r>
    </w:p>
    <w:p w14:paraId="4AC4F056" w14:textId="77777777" w:rsidR="00E94739" w:rsidRDefault="00E94739" w:rsidP="000E04F4">
      <w:pPr>
        <w:pStyle w:val="paragraph"/>
        <w:numPr>
          <w:ilvl w:val="0"/>
          <w:numId w:val="88"/>
        </w:numPr>
        <w:tabs>
          <w:tab w:val="clear" w:pos="720"/>
        </w:tabs>
        <w:spacing w:before="0" w:beforeAutospacing="0" w:after="0" w:afterAutospacing="0"/>
        <w:ind w:left="568" w:hanging="284"/>
        <w:textAlignment w:val="baseline"/>
        <w:rPr>
          <w:rFonts w:ascii="Verdana" w:hAnsi="Verdana" w:cs="Segoe UI"/>
        </w:rPr>
      </w:pPr>
      <w:r>
        <w:rPr>
          <w:rStyle w:val="normaltextrun"/>
          <w:rFonts w:ascii="Calibri" w:hAnsi="Calibri" w:cs="Calibri"/>
        </w:rPr>
        <w:t>Lack of multidisciplinary care planning</w:t>
      </w:r>
      <w:r>
        <w:rPr>
          <w:rStyle w:val="eop"/>
          <w:rFonts w:ascii="Calibri" w:hAnsi="Calibri" w:cs="Calibri"/>
        </w:rPr>
        <w:t> </w:t>
      </w:r>
    </w:p>
    <w:p w14:paraId="0044FB79" w14:textId="77777777" w:rsidR="00E94739" w:rsidRDefault="00E94739" w:rsidP="000E04F4">
      <w:pPr>
        <w:pStyle w:val="paragraph"/>
        <w:numPr>
          <w:ilvl w:val="0"/>
          <w:numId w:val="88"/>
        </w:numPr>
        <w:tabs>
          <w:tab w:val="clear" w:pos="720"/>
        </w:tabs>
        <w:spacing w:before="0" w:beforeAutospacing="0" w:after="0" w:afterAutospacing="0"/>
        <w:ind w:left="568" w:hanging="284"/>
        <w:textAlignment w:val="baseline"/>
        <w:rPr>
          <w:rFonts w:ascii="Verdana" w:hAnsi="Verdana" w:cs="Segoe UI"/>
        </w:rPr>
      </w:pPr>
      <w:r>
        <w:rPr>
          <w:rStyle w:val="normaltextrun"/>
          <w:rFonts w:ascii="Calibri" w:hAnsi="Calibri" w:cs="Calibri"/>
        </w:rPr>
        <w:t>Lack of communication with other health professionals</w:t>
      </w:r>
      <w:r>
        <w:rPr>
          <w:rStyle w:val="eop"/>
          <w:rFonts w:ascii="Calibri" w:hAnsi="Calibri" w:cs="Calibri"/>
        </w:rPr>
        <w:t> </w:t>
      </w:r>
    </w:p>
    <w:p w14:paraId="716FF778" w14:textId="77777777" w:rsidR="00E94739" w:rsidRDefault="00E94739" w:rsidP="000E04F4">
      <w:pPr>
        <w:pStyle w:val="paragraph"/>
        <w:numPr>
          <w:ilvl w:val="0"/>
          <w:numId w:val="88"/>
        </w:numPr>
        <w:tabs>
          <w:tab w:val="clear" w:pos="720"/>
        </w:tabs>
        <w:spacing w:before="0" w:beforeAutospacing="0" w:after="0" w:afterAutospacing="0"/>
        <w:ind w:left="568" w:hanging="284"/>
        <w:textAlignment w:val="baseline"/>
        <w:rPr>
          <w:rFonts w:ascii="Verdana" w:hAnsi="Verdana" w:cs="Segoe UI"/>
        </w:rPr>
      </w:pPr>
      <w:r>
        <w:rPr>
          <w:rStyle w:val="normaltextrun"/>
          <w:rFonts w:ascii="Calibri" w:hAnsi="Calibri" w:cs="Calibri"/>
        </w:rPr>
        <w:t>Online program not suitable for consumer’s needs</w:t>
      </w:r>
      <w:r>
        <w:rPr>
          <w:rStyle w:val="eop"/>
          <w:rFonts w:ascii="Calibri" w:hAnsi="Calibri" w:cs="Calibri"/>
        </w:rPr>
        <w:t> </w:t>
      </w:r>
    </w:p>
    <w:p w14:paraId="6F759E5E" w14:textId="77777777" w:rsidR="00E94739" w:rsidRDefault="00E94739" w:rsidP="000E04F4">
      <w:pPr>
        <w:pStyle w:val="paragraph"/>
        <w:numPr>
          <w:ilvl w:val="0"/>
          <w:numId w:val="88"/>
        </w:numPr>
        <w:tabs>
          <w:tab w:val="clear" w:pos="720"/>
        </w:tabs>
        <w:spacing w:before="0" w:beforeAutospacing="0" w:after="0" w:afterAutospacing="0"/>
        <w:ind w:left="568" w:hanging="284"/>
        <w:textAlignment w:val="baseline"/>
        <w:rPr>
          <w:rFonts w:ascii="Verdana" w:hAnsi="Verdana" w:cs="Segoe UI"/>
        </w:rPr>
      </w:pPr>
      <w:r>
        <w:rPr>
          <w:rStyle w:val="normaltextrun"/>
          <w:rFonts w:ascii="Calibri" w:hAnsi="Calibri" w:cs="Calibri"/>
        </w:rPr>
        <w:t>Technical problems</w:t>
      </w:r>
      <w:r>
        <w:rPr>
          <w:rStyle w:val="eop"/>
          <w:rFonts w:ascii="Calibri" w:hAnsi="Calibri" w:cs="Calibri"/>
        </w:rPr>
        <w:t> </w:t>
      </w:r>
    </w:p>
    <w:p w14:paraId="0E497A68" w14:textId="77777777" w:rsidR="00E94739" w:rsidRDefault="00E94739" w:rsidP="000E04F4">
      <w:pPr>
        <w:pStyle w:val="paragraph"/>
        <w:numPr>
          <w:ilvl w:val="0"/>
          <w:numId w:val="88"/>
        </w:numPr>
        <w:tabs>
          <w:tab w:val="clear" w:pos="720"/>
        </w:tabs>
        <w:spacing w:before="0" w:beforeAutospacing="0" w:after="0" w:afterAutospacing="0"/>
        <w:ind w:left="568" w:hanging="284"/>
        <w:textAlignment w:val="baseline"/>
        <w:rPr>
          <w:rFonts w:ascii="Verdana" w:hAnsi="Verdana" w:cs="Segoe UI"/>
        </w:rPr>
      </w:pPr>
      <w:r>
        <w:rPr>
          <w:rStyle w:val="normaltextrun"/>
          <w:rFonts w:ascii="Calibri" w:hAnsi="Calibri" w:cs="Calibri"/>
        </w:rPr>
        <w:t>Other (specify</w:t>
      </w:r>
      <w:proofErr w:type="gramStart"/>
      <w:r>
        <w:rPr>
          <w:rStyle w:val="normaltextrun"/>
          <w:rFonts w:ascii="Calibri" w:hAnsi="Calibri" w:cs="Calibri"/>
        </w:rPr>
        <w:t>):_</w:t>
      </w:r>
      <w:proofErr w:type="gramEnd"/>
      <w:r>
        <w:rPr>
          <w:rStyle w:val="normaltextrun"/>
          <w:rFonts w:ascii="Calibri" w:hAnsi="Calibri" w:cs="Calibri"/>
        </w:rPr>
        <w:t>_____________________________</w:t>
      </w:r>
      <w:r>
        <w:rPr>
          <w:rStyle w:val="eop"/>
          <w:rFonts w:ascii="Calibri" w:hAnsi="Calibri" w:cs="Calibri"/>
        </w:rPr>
        <w:t> </w:t>
      </w:r>
    </w:p>
    <w:p w14:paraId="33E99DCE" w14:textId="77777777" w:rsidR="00E94739" w:rsidRDefault="00E94739" w:rsidP="00E94739">
      <w:pPr>
        <w:pStyle w:val="paragraph"/>
        <w:spacing w:before="0" w:beforeAutospacing="0" w:after="0" w:afterAutospacing="0"/>
        <w:ind w:left="284" w:hanging="284"/>
        <w:textAlignment w:val="baseline"/>
        <w:rPr>
          <w:rFonts w:ascii="Segoe UI" w:hAnsi="Segoe UI" w:cs="Segoe UI"/>
          <w:sz w:val="18"/>
          <w:szCs w:val="18"/>
        </w:rPr>
      </w:pPr>
      <w:r>
        <w:rPr>
          <w:rStyle w:val="eop"/>
          <w:rFonts w:ascii="Calibri" w:hAnsi="Calibri" w:cs="Calibri"/>
        </w:rPr>
        <w:t> </w:t>
      </w:r>
    </w:p>
    <w:p w14:paraId="2457C041" w14:textId="77777777" w:rsidR="00E94739" w:rsidRPr="000E04F4" w:rsidRDefault="00E94739" w:rsidP="000E04F4">
      <w:pPr>
        <w:pStyle w:val="paragraph"/>
        <w:numPr>
          <w:ilvl w:val="0"/>
          <w:numId w:val="83"/>
        </w:numPr>
        <w:tabs>
          <w:tab w:val="clear" w:pos="720"/>
        </w:tabs>
        <w:spacing w:before="0" w:beforeAutospacing="0" w:after="0" w:afterAutospacing="0"/>
        <w:ind w:left="284" w:hanging="284"/>
        <w:textAlignment w:val="baseline"/>
        <w:rPr>
          <w:rStyle w:val="normaltextrun"/>
          <w:b/>
          <w:bCs/>
        </w:rPr>
      </w:pPr>
      <w:r w:rsidRPr="000E04F4">
        <w:rPr>
          <w:rStyle w:val="normaltextrun"/>
          <w:b/>
          <w:bCs/>
        </w:rPr>
        <w:t>To what extent do you think that digital mental health interventions are meeting users’ needs? </w:t>
      </w:r>
    </w:p>
    <w:p w14:paraId="55773DFA" w14:textId="77777777" w:rsidR="00E94739" w:rsidRDefault="00E94739" w:rsidP="00140C5B">
      <w:pPr>
        <w:pStyle w:val="paragraph"/>
        <w:numPr>
          <w:ilvl w:val="0"/>
          <w:numId w:val="90"/>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Not at all </w:t>
      </w:r>
      <w:r>
        <w:rPr>
          <w:rStyle w:val="eop"/>
          <w:rFonts w:ascii="Calibri" w:hAnsi="Calibri" w:cs="Calibri"/>
        </w:rPr>
        <w:t> </w:t>
      </w:r>
    </w:p>
    <w:p w14:paraId="5A917AC8" w14:textId="77777777" w:rsidR="00E94739" w:rsidRDefault="00E94739" w:rsidP="00140C5B">
      <w:pPr>
        <w:pStyle w:val="paragraph"/>
        <w:numPr>
          <w:ilvl w:val="0"/>
          <w:numId w:val="90"/>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Somewhat </w:t>
      </w:r>
      <w:r>
        <w:rPr>
          <w:rStyle w:val="eop"/>
          <w:rFonts w:ascii="Calibri" w:hAnsi="Calibri" w:cs="Calibri"/>
        </w:rPr>
        <w:t> </w:t>
      </w:r>
    </w:p>
    <w:p w14:paraId="1A203821" w14:textId="77777777" w:rsidR="00E94739" w:rsidRDefault="00E94739" w:rsidP="00140C5B">
      <w:pPr>
        <w:pStyle w:val="paragraph"/>
        <w:numPr>
          <w:ilvl w:val="0"/>
          <w:numId w:val="90"/>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Mostly</w:t>
      </w:r>
      <w:r>
        <w:rPr>
          <w:rStyle w:val="eop"/>
          <w:rFonts w:ascii="Calibri" w:hAnsi="Calibri" w:cs="Calibri"/>
        </w:rPr>
        <w:t> </w:t>
      </w:r>
    </w:p>
    <w:p w14:paraId="61160BEC" w14:textId="77777777" w:rsidR="00E94739" w:rsidRDefault="00E94739" w:rsidP="00140C5B">
      <w:pPr>
        <w:pStyle w:val="paragraph"/>
        <w:numPr>
          <w:ilvl w:val="0"/>
          <w:numId w:val="91"/>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Completely</w:t>
      </w:r>
      <w:r>
        <w:rPr>
          <w:rStyle w:val="eop"/>
          <w:rFonts w:ascii="Calibri" w:hAnsi="Calibri" w:cs="Calibri"/>
        </w:rPr>
        <w:t> </w:t>
      </w:r>
    </w:p>
    <w:p w14:paraId="25D456F2" w14:textId="77777777" w:rsidR="00E94739" w:rsidRDefault="00E94739" w:rsidP="00E94739">
      <w:pPr>
        <w:pStyle w:val="paragraph"/>
        <w:spacing w:before="0" w:beforeAutospacing="0" w:after="0" w:afterAutospacing="0"/>
        <w:ind w:left="284" w:hanging="284"/>
        <w:textAlignment w:val="baseline"/>
        <w:rPr>
          <w:rFonts w:ascii="Segoe UI" w:hAnsi="Segoe UI" w:cs="Segoe UI"/>
          <w:sz w:val="18"/>
          <w:szCs w:val="18"/>
        </w:rPr>
      </w:pPr>
      <w:r>
        <w:rPr>
          <w:rStyle w:val="eop"/>
          <w:rFonts w:ascii="Calibri" w:hAnsi="Calibri" w:cs="Calibri"/>
        </w:rPr>
        <w:t> </w:t>
      </w:r>
    </w:p>
    <w:p w14:paraId="5E183F34" w14:textId="77777777" w:rsidR="00E94739" w:rsidRPr="000E04F4" w:rsidRDefault="00E94739" w:rsidP="00140C5B">
      <w:pPr>
        <w:pStyle w:val="paragraph"/>
        <w:numPr>
          <w:ilvl w:val="0"/>
          <w:numId w:val="92"/>
        </w:numPr>
        <w:tabs>
          <w:tab w:val="clear" w:pos="720"/>
        </w:tabs>
        <w:spacing w:before="0" w:beforeAutospacing="0" w:after="0" w:afterAutospacing="0"/>
        <w:ind w:left="284" w:hanging="284"/>
        <w:textAlignment w:val="baseline"/>
        <w:rPr>
          <w:rFonts w:ascii="Calibri" w:hAnsi="Calibri" w:cs="Calibri"/>
          <w:b/>
          <w:bCs/>
        </w:rPr>
      </w:pPr>
      <w:r w:rsidRPr="000E04F4">
        <w:rPr>
          <w:rStyle w:val="normaltextrun"/>
          <w:rFonts w:ascii="Calibri" w:hAnsi="Calibri" w:cs="Calibri"/>
          <w:b/>
          <w:bCs/>
        </w:rPr>
        <w:t>Have supported digital mental health interventions benefited consumers under your care? </w:t>
      </w:r>
      <w:r w:rsidRPr="000E04F4">
        <w:rPr>
          <w:rStyle w:val="eop"/>
          <w:rFonts w:ascii="Calibri" w:hAnsi="Calibri" w:cs="Calibri"/>
          <w:b/>
          <w:bCs/>
        </w:rPr>
        <w:t> </w:t>
      </w:r>
    </w:p>
    <w:p w14:paraId="633D9E0E" w14:textId="77777777" w:rsidR="00E94739" w:rsidRDefault="00E94739" w:rsidP="00140C5B">
      <w:pPr>
        <w:pStyle w:val="paragraph"/>
        <w:numPr>
          <w:ilvl w:val="0"/>
          <w:numId w:val="93"/>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Yes </w:t>
      </w:r>
      <w:r>
        <w:rPr>
          <w:rStyle w:val="eop"/>
          <w:rFonts w:ascii="Calibri" w:hAnsi="Calibri" w:cs="Calibri"/>
        </w:rPr>
        <w:t> </w:t>
      </w:r>
    </w:p>
    <w:p w14:paraId="4DE57C11" w14:textId="77777777" w:rsidR="00E94739" w:rsidRDefault="00E94739" w:rsidP="00140C5B">
      <w:pPr>
        <w:pStyle w:val="paragraph"/>
        <w:numPr>
          <w:ilvl w:val="0"/>
          <w:numId w:val="93"/>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No</w:t>
      </w:r>
      <w:r>
        <w:rPr>
          <w:rStyle w:val="eop"/>
          <w:rFonts w:ascii="Calibri" w:hAnsi="Calibri" w:cs="Calibri"/>
        </w:rPr>
        <w:t> </w:t>
      </w:r>
    </w:p>
    <w:p w14:paraId="77D5711D" w14:textId="77777777" w:rsidR="00E94739" w:rsidRDefault="00E94739" w:rsidP="00E94739">
      <w:pPr>
        <w:pStyle w:val="paragraph"/>
        <w:spacing w:before="0" w:beforeAutospacing="0" w:after="0" w:afterAutospacing="0"/>
        <w:ind w:left="284" w:hanging="284"/>
        <w:textAlignment w:val="baseline"/>
        <w:rPr>
          <w:rFonts w:ascii="Segoe UI" w:hAnsi="Segoe UI" w:cs="Segoe UI"/>
          <w:sz w:val="18"/>
          <w:szCs w:val="18"/>
        </w:rPr>
      </w:pPr>
      <w:r>
        <w:rPr>
          <w:rStyle w:val="eop"/>
          <w:rFonts w:ascii="Calibri" w:hAnsi="Calibri" w:cs="Calibri"/>
        </w:rPr>
        <w:t> </w:t>
      </w:r>
    </w:p>
    <w:p w14:paraId="526156AD" w14:textId="77777777" w:rsidR="00E94739" w:rsidRDefault="00E94739" w:rsidP="003F134A">
      <w:pPr>
        <w:pStyle w:val="paragraph"/>
        <w:spacing w:before="0" w:beforeAutospacing="0" w:after="0" w:afterAutospacing="0"/>
        <w:ind w:left="568" w:hanging="284"/>
        <w:textAlignment w:val="baseline"/>
        <w:rPr>
          <w:rFonts w:ascii="Segoe UI" w:hAnsi="Segoe UI" w:cs="Segoe UI"/>
          <w:sz w:val="18"/>
          <w:szCs w:val="18"/>
        </w:rPr>
      </w:pPr>
      <w:r>
        <w:rPr>
          <w:rStyle w:val="normaltextrun"/>
          <w:rFonts w:ascii="Calibri" w:hAnsi="Calibri" w:cs="Calibri"/>
          <w:b/>
          <w:bCs/>
        </w:rPr>
        <w:t>If yes, please select all the benefits that apply.</w:t>
      </w:r>
      <w:r>
        <w:rPr>
          <w:rStyle w:val="eop"/>
          <w:rFonts w:ascii="Calibri" w:hAnsi="Calibri" w:cs="Calibri"/>
        </w:rPr>
        <w:t> </w:t>
      </w:r>
    </w:p>
    <w:p w14:paraId="7B470F79" w14:textId="77777777" w:rsidR="00E94739" w:rsidRDefault="00E94739" w:rsidP="003F134A">
      <w:pPr>
        <w:pStyle w:val="paragraph"/>
        <w:numPr>
          <w:ilvl w:val="0"/>
          <w:numId w:val="94"/>
        </w:numPr>
        <w:tabs>
          <w:tab w:val="clear" w:pos="720"/>
        </w:tabs>
        <w:spacing w:before="0" w:beforeAutospacing="0" w:after="0" w:afterAutospacing="0"/>
        <w:ind w:left="568" w:hanging="284"/>
        <w:textAlignment w:val="baseline"/>
        <w:rPr>
          <w:rFonts w:ascii="Verdana" w:hAnsi="Verdana" w:cs="Segoe UI"/>
        </w:rPr>
      </w:pPr>
      <w:r>
        <w:rPr>
          <w:rStyle w:val="normaltextrun"/>
          <w:rFonts w:ascii="Calibri" w:hAnsi="Calibri" w:cs="Calibri"/>
        </w:rPr>
        <w:t>Improved mental health and wellbeing</w:t>
      </w:r>
      <w:r>
        <w:rPr>
          <w:rStyle w:val="eop"/>
          <w:rFonts w:ascii="Calibri" w:hAnsi="Calibri" w:cs="Calibri"/>
        </w:rPr>
        <w:t> </w:t>
      </w:r>
    </w:p>
    <w:p w14:paraId="702992FC" w14:textId="77777777" w:rsidR="00E94739" w:rsidRDefault="00E94739" w:rsidP="003F134A">
      <w:pPr>
        <w:pStyle w:val="paragraph"/>
        <w:numPr>
          <w:ilvl w:val="0"/>
          <w:numId w:val="94"/>
        </w:numPr>
        <w:tabs>
          <w:tab w:val="clear" w:pos="720"/>
        </w:tabs>
        <w:spacing w:before="0" w:beforeAutospacing="0" w:after="0" w:afterAutospacing="0"/>
        <w:ind w:left="568" w:hanging="284"/>
        <w:textAlignment w:val="baseline"/>
        <w:rPr>
          <w:rFonts w:ascii="Verdana" w:hAnsi="Verdana" w:cs="Segoe UI"/>
        </w:rPr>
      </w:pPr>
      <w:r>
        <w:rPr>
          <w:rStyle w:val="normaltextrun"/>
          <w:rFonts w:ascii="Calibri" w:hAnsi="Calibri" w:cs="Calibri"/>
        </w:rPr>
        <w:t>Improved access to care</w:t>
      </w:r>
      <w:r>
        <w:rPr>
          <w:rStyle w:val="eop"/>
          <w:rFonts w:ascii="Calibri" w:hAnsi="Calibri" w:cs="Calibri"/>
        </w:rPr>
        <w:t> </w:t>
      </w:r>
    </w:p>
    <w:p w14:paraId="05F8BB78" w14:textId="77777777" w:rsidR="00E94739" w:rsidRDefault="00E94739" w:rsidP="003F134A">
      <w:pPr>
        <w:pStyle w:val="paragraph"/>
        <w:numPr>
          <w:ilvl w:val="0"/>
          <w:numId w:val="94"/>
        </w:numPr>
        <w:tabs>
          <w:tab w:val="clear" w:pos="720"/>
        </w:tabs>
        <w:spacing w:before="0" w:beforeAutospacing="0" w:after="0" w:afterAutospacing="0"/>
        <w:ind w:left="568" w:hanging="284"/>
        <w:textAlignment w:val="baseline"/>
        <w:rPr>
          <w:rFonts w:ascii="Verdana" w:hAnsi="Verdana" w:cs="Segoe UI"/>
        </w:rPr>
      </w:pPr>
      <w:r>
        <w:rPr>
          <w:rStyle w:val="normaltextrun"/>
          <w:rFonts w:ascii="Calibri" w:hAnsi="Calibri" w:cs="Calibri"/>
        </w:rPr>
        <w:t>Improved privacy</w:t>
      </w:r>
      <w:r>
        <w:rPr>
          <w:rStyle w:val="eop"/>
          <w:rFonts w:ascii="Calibri" w:hAnsi="Calibri" w:cs="Calibri"/>
        </w:rPr>
        <w:t> </w:t>
      </w:r>
    </w:p>
    <w:p w14:paraId="323CB00E" w14:textId="77777777" w:rsidR="00E94739" w:rsidRDefault="00E94739" w:rsidP="003F134A">
      <w:pPr>
        <w:pStyle w:val="paragraph"/>
        <w:numPr>
          <w:ilvl w:val="0"/>
          <w:numId w:val="95"/>
        </w:numPr>
        <w:tabs>
          <w:tab w:val="clear" w:pos="720"/>
        </w:tabs>
        <w:spacing w:before="0" w:beforeAutospacing="0" w:after="0" w:afterAutospacing="0"/>
        <w:ind w:left="568" w:hanging="284"/>
        <w:textAlignment w:val="baseline"/>
        <w:rPr>
          <w:rFonts w:ascii="Verdana" w:hAnsi="Verdana" w:cs="Segoe UI"/>
        </w:rPr>
      </w:pPr>
      <w:r>
        <w:rPr>
          <w:rStyle w:val="normaltextrun"/>
          <w:rFonts w:ascii="Calibri" w:hAnsi="Calibri" w:cs="Calibri"/>
        </w:rPr>
        <w:t>Improved waiting times for services</w:t>
      </w:r>
      <w:r>
        <w:rPr>
          <w:rStyle w:val="eop"/>
          <w:rFonts w:ascii="Calibri" w:hAnsi="Calibri" w:cs="Calibri"/>
        </w:rPr>
        <w:t> </w:t>
      </w:r>
    </w:p>
    <w:p w14:paraId="5D3ACB2C" w14:textId="77777777" w:rsidR="00E94739" w:rsidRDefault="00E94739" w:rsidP="003F134A">
      <w:pPr>
        <w:pStyle w:val="paragraph"/>
        <w:numPr>
          <w:ilvl w:val="0"/>
          <w:numId w:val="95"/>
        </w:numPr>
        <w:tabs>
          <w:tab w:val="clear" w:pos="720"/>
        </w:tabs>
        <w:spacing w:before="0" w:beforeAutospacing="0" w:after="0" w:afterAutospacing="0"/>
        <w:ind w:left="568" w:hanging="284"/>
        <w:textAlignment w:val="baseline"/>
        <w:rPr>
          <w:rFonts w:ascii="Verdana" w:hAnsi="Verdana" w:cs="Segoe UI"/>
        </w:rPr>
      </w:pPr>
      <w:r>
        <w:rPr>
          <w:rStyle w:val="normaltextrun"/>
          <w:rFonts w:ascii="Calibri" w:hAnsi="Calibri" w:cs="Calibri"/>
        </w:rPr>
        <w:t>Reduced costs associated with care (travel and cost of sessions)</w:t>
      </w:r>
      <w:r>
        <w:rPr>
          <w:rStyle w:val="eop"/>
          <w:rFonts w:ascii="Calibri" w:hAnsi="Calibri" w:cs="Calibri"/>
        </w:rPr>
        <w:t> </w:t>
      </w:r>
    </w:p>
    <w:p w14:paraId="339138C4" w14:textId="77777777" w:rsidR="00E94739" w:rsidRDefault="00E94739" w:rsidP="003F134A">
      <w:pPr>
        <w:pStyle w:val="paragraph"/>
        <w:numPr>
          <w:ilvl w:val="0"/>
          <w:numId w:val="95"/>
        </w:numPr>
        <w:tabs>
          <w:tab w:val="clear" w:pos="720"/>
        </w:tabs>
        <w:spacing w:before="0" w:beforeAutospacing="0" w:after="0" w:afterAutospacing="0"/>
        <w:ind w:left="568" w:hanging="284"/>
        <w:textAlignment w:val="baseline"/>
        <w:rPr>
          <w:rFonts w:ascii="Verdana" w:hAnsi="Verdana" w:cs="Segoe UI"/>
        </w:rPr>
      </w:pPr>
      <w:r>
        <w:rPr>
          <w:rStyle w:val="normaltextrun"/>
          <w:rFonts w:ascii="Calibri" w:hAnsi="Calibri" w:cs="Calibri"/>
        </w:rPr>
        <w:t>Improved convenience of care (access from own home 24/7)</w:t>
      </w:r>
      <w:r>
        <w:rPr>
          <w:rStyle w:val="eop"/>
          <w:rFonts w:ascii="Calibri" w:hAnsi="Calibri" w:cs="Calibri"/>
        </w:rPr>
        <w:t> </w:t>
      </w:r>
    </w:p>
    <w:p w14:paraId="653B929D" w14:textId="77777777" w:rsidR="00E94739" w:rsidRDefault="00E94739" w:rsidP="003F134A">
      <w:pPr>
        <w:pStyle w:val="paragraph"/>
        <w:numPr>
          <w:ilvl w:val="0"/>
          <w:numId w:val="95"/>
        </w:numPr>
        <w:tabs>
          <w:tab w:val="clear" w:pos="720"/>
        </w:tabs>
        <w:spacing w:before="0" w:beforeAutospacing="0" w:after="0" w:afterAutospacing="0"/>
        <w:ind w:left="568" w:hanging="284"/>
        <w:textAlignment w:val="baseline"/>
        <w:rPr>
          <w:rFonts w:ascii="Verdana" w:hAnsi="Verdana" w:cs="Segoe UI"/>
        </w:rPr>
      </w:pPr>
      <w:r>
        <w:rPr>
          <w:rStyle w:val="normaltextrun"/>
          <w:rFonts w:ascii="Calibri" w:hAnsi="Calibri" w:cs="Calibri"/>
        </w:rPr>
        <w:t>Other (specify): __________________________</w:t>
      </w:r>
      <w:r>
        <w:rPr>
          <w:rStyle w:val="eop"/>
          <w:rFonts w:ascii="Calibri" w:hAnsi="Calibri" w:cs="Calibri"/>
        </w:rPr>
        <w:t> </w:t>
      </w:r>
    </w:p>
    <w:p w14:paraId="397481F4" w14:textId="77777777" w:rsidR="00E94739" w:rsidRDefault="00E94739" w:rsidP="00E94739">
      <w:pPr>
        <w:pStyle w:val="paragraph"/>
        <w:spacing w:before="0" w:beforeAutospacing="0" w:after="0" w:afterAutospacing="0"/>
        <w:ind w:left="284" w:hanging="284"/>
        <w:textAlignment w:val="baseline"/>
        <w:rPr>
          <w:rFonts w:ascii="Segoe UI" w:hAnsi="Segoe UI" w:cs="Segoe UI"/>
          <w:sz w:val="18"/>
          <w:szCs w:val="18"/>
        </w:rPr>
      </w:pPr>
      <w:r>
        <w:rPr>
          <w:rStyle w:val="eop"/>
          <w:rFonts w:ascii="Calibri" w:hAnsi="Calibri" w:cs="Calibri"/>
        </w:rPr>
        <w:t> </w:t>
      </w:r>
    </w:p>
    <w:p w14:paraId="45AA3D37" w14:textId="77777777" w:rsidR="00E94739" w:rsidRPr="003F134A" w:rsidRDefault="00E94739" w:rsidP="00140C5B">
      <w:pPr>
        <w:pStyle w:val="paragraph"/>
        <w:numPr>
          <w:ilvl w:val="0"/>
          <w:numId w:val="96"/>
        </w:numPr>
        <w:tabs>
          <w:tab w:val="clear" w:pos="720"/>
        </w:tabs>
        <w:spacing w:before="0" w:beforeAutospacing="0" w:after="0" w:afterAutospacing="0"/>
        <w:ind w:left="284" w:hanging="284"/>
        <w:textAlignment w:val="baseline"/>
        <w:rPr>
          <w:rFonts w:ascii="Calibri" w:hAnsi="Calibri" w:cs="Calibri"/>
          <w:b/>
          <w:bCs/>
        </w:rPr>
      </w:pPr>
      <w:r w:rsidRPr="003F134A">
        <w:rPr>
          <w:rStyle w:val="normaltextrun"/>
          <w:rFonts w:ascii="Calibri" w:hAnsi="Calibri" w:cs="Calibri"/>
          <w:b/>
          <w:bCs/>
        </w:rPr>
        <w:t>Have supported digital mental health interventions had negative impacts on consumers under your care?</w:t>
      </w:r>
      <w:r w:rsidRPr="003F134A">
        <w:rPr>
          <w:rStyle w:val="eop"/>
          <w:rFonts w:ascii="Calibri" w:hAnsi="Calibri" w:cs="Calibri"/>
          <w:b/>
          <w:bCs/>
        </w:rPr>
        <w:t> </w:t>
      </w:r>
    </w:p>
    <w:p w14:paraId="2EFB3D13" w14:textId="77777777" w:rsidR="00E94739" w:rsidRDefault="00E94739" w:rsidP="00140C5B">
      <w:pPr>
        <w:pStyle w:val="paragraph"/>
        <w:numPr>
          <w:ilvl w:val="0"/>
          <w:numId w:val="97"/>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Yes </w:t>
      </w:r>
      <w:r>
        <w:rPr>
          <w:rStyle w:val="eop"/>
          <w:rFonts w:ascii="Calibri" w:hAnsi="Calibri" w:cs="Calibri"/>
        </w:rPr>
        <w:t> </w:t>
      </w:r>
    </w:p>
    <w:p w14:paraId="7762D06D" w14:textId="77777777" w:rsidR="00E94739" w:rsidRDefault="00E94739" w:rsidP="00140C5B">
      <w:pPr>
        <w:pStyle w:val="paragraph"/>
        <w:numPr>
          <w:ilvl w:val="0"/>
          <w:numId w:val="97"/>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No</w:t>
      </w:r>
      <w:r>
        <w:rPr>
          <w:rStyle w:val="eop"/>
          <w:rFonts w:ascii="Calibri" w:hAnsi="Calibri" w:cs="Calibri"/>
        </w:rPr>
        <w:t> </w:t>
      </w:r>
    </w:p>
    <w:p w14:paraId="24E2CD3A" w14:textId="77777777" w:rsidR="00E94739" w:rsidRDefault="00E94739" w:rsidP="00E94739">
      <w:pPr>
        <w:pStyle w:val="paragraph"/>
        <w:spacing w:before="0" w:beforeAutospacing="0" w:after="0" w:afterAutospacing="0"/>
        <w:ind w:left="284" w:hanging="284"/>
        <w:textAlignment w:val="baseline"/>
        <w:rPr>
          <w:rFonts w:ascii="Segoe UI" w:hAnsi="Segoe UI" w:cs="Segoe UI"/>
          <w:sz w:val="18"/>
          <w:szCs w:val="18"/>
        </w:rPr>
      </w:pPr>
      <w:r>
        <w:rPr>
          <w:rStyle w:val="normaltextrun"/>
          <w:rFonts w:ascii="Calibri" w:hAnsi="Calibri" w:cs="Calibri"/>
          <w:b/>
          <w:bCs/>
        </w:rPr>
        <w:t>If yes, please tick all the negative impacts that apply</w:t>
      </w:r>
      <w:r>
        <w:rPr>
          <w:rStyle w:val="eop"/>
          <w:rFonts w:ascii="Calibri" w:hAnsi="Calibri" w:cs="Calibri"/>
        </w:rPr>
        <w:t> </w:t>
      </w:r>
    </w:p>
    <w:p w14:paraId="2BE7E5A4" w14:textId="77777777" w:rsidR="00E94739" w:rsidRDefault="00E94739" w:rsidP="00140C5B">
      <w:pPr>
        <w:pStyle w:val="paragraph"/>
        <w:numPr>
          <w:ilvl w:val="0"/>
          <w:numId w:val="98"/>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Consumers are not getting the level of care they need</w:t>
      </w:r>
      <w:r>
        <w:rPr>
          <w:rStyle w:val="eop"/>
          <w:rFonts w:ascii="Calibri" w:hAnsi="Calibri" w:cs="Calibri"/>
        </w:rPr>
        <w:t> </w:t>
      </w:r>
    </w:p>
    <w:p w14:paraId="7A618790" w14:textId="77777777" w:rsidR="00E94739" w:rsidRDefault="00E94739" w:rsidP="00140C5B">
      <w:pPr>
        <w:pStyle w:val="paragraph"/>
        <w:numPr>
          <w:ilvl w:val="0"/>
          <w:numId w:val="99"/>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Digital mental health is isolating for consumers</w:t>
      </w:r>
      <w:r>
        <w:rPr>
          <w:rStyle w:val="eop"/>
          <w:rFonts w:ascii="Calibri" w:hAnsi="Calibri" w:cs="Calibri"/>
        </w:rPr>
        <w:t> </w:t>
      </w:r>
    </w:p>
    <w:p w14:paraId="0A9A87FE" w14:textId="77777777" w:rsidR="00E94739" w:rsidRDefault="00E94739" w:rsidP="00140C5B">
      <w:pPr>
        <w:pStyle w:val="paragraph"/>
        <w:numPr>
          <w:ilvl w:val="0"/>
          <w:numId w:val="99"/>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Consumers are dropping out of care</w:t>
      </w:r>
      <w:r>
        <w:rPr>
          <w:rStyle w:val="eop"/>
          <w:rFonts w:ascii="Calibri" w:hAnsi="Calibri" w:cs="Calibri"/>
        </w:rPr>
        <w:t> </w:t>
      </w:r>
    </w:p>
    <w:p w14:paraId="655FC54E" w14:textId="77777777" w:rsidR="00E94739" w:rsidRDefault="00E94739" w:rsidP="00140C5B">
      <w:pPr>
        <w:pStyle w:val="paragraph"/>
        <w:numPr>
          <w:ilvl w:val="0"/>
          <w:numId w:val="99"/>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Other (specify) __________________________</w:t>
      </w:r>
      <w:r>
        <w:rPr>
          <w:rStyle w:val="eop"/>
          <w:rFonts w:ascii="Calibri" w:hAnsi="Calibri" w:cs="Calibri"/>
        </w:rPr>
        <w:t> </w:t>
      </w:r>
    </w:p>
    <w:p w14:paraId="26213DB8" w14:textId="77777777" w:rsidR="00E94739" w:rsidRDefault="00E94739" w:rsidP="00E94739">
      <w:pPr>
        <w:pStyle w:val="paragraph"/>
        <w:spacing w:before="0" w:beforeAutospacing="0" w:after="0" w:afterAutospacing="0"/>
        <w:ind w:left="284" w:hanging="284"/>
        <w:textAlignment w:val="baseline"/>
        <w:rPr>
          <w:rFonts w:ascii="Segoe UI" w:hAnsi="Segoe UI" w:cs="Segoe UI"/>
          <w:sz w:val="18"/>
          <w:szCs w:val="18"/>
        </w:rPr>
      </w:pPr>
      <w:r>
        <w:rPr>
          <w:rStyle w:val="eop"/>
          <w:rFonts w:ascii="Calibri" w:hAnsi="Calibri" w:cs="Calibri"/>
        </w:rPr>
        <w:t> </w:t>
      </w:r>
    </w:p>
    <w:p w14:paraId="64498366" w14:textId="77777777" w:rsidR="00E94739" w:rsidRPr="003F134A" w:rsidRDefault="00E94739" w:rsidP="00140C5B">
      <w:pPr>
        <w:pStyle w:val="paragraph"/>
        <w:numPr>
          <w:ilvl w:val="0"/>
          <w:numId w:val="100"/>
        </w:numPr>
        <w:tabs>
          <w:tab w:val="clear" w:pos="720"/>
        </w:tabs>
        <w:spacing w:before="0" w:beforeAutospacing="0" w:after="0" w:afterAutospacing="0"/>
        <w:ind w:left="284" w:hanging="284"/>
        <w:textAlignment w:val="baseline"/>
        <w:rPr>
          <w:b/>
          <w:bCs/>
        </w:rPr>
      </w:pPr>
      <w:r w:rsidRPr="003F134A">
        <w:rPr>
          <w:rStyle w:val="normaltextrun"/>
          <w:b/>
          <w:bCs/>
        </w:rPr>
        <w:t>Is providing supported digital mental health interventions your preferred way to deliver mental health care?</w:t>
      </w:r>
      <w:r w:rsidRPr="003F134A">
        <w:rPr>
          <w:rStyle w:val="eop"/>
          <w:b/>
          <w:bCs/>
        </w:rPr>
        <w:t> </w:t>
      </w:r>
    </w:p>
    <w:p w14:paraId="7342CBCC" w14:textId="77777777" w:rsidR="00E94739" w:rsidRDefault="00E94739" w:rsidP="00140C5B">
      <w:pPr>
        <w:pStyle w:val="paragraph"/>
        <w:numPr>
          <w:ilvl w:val="0"/>
          <w:numId w:val="101"/>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Yes </w:t>
      </w:r>
      <w:r>
        <w:rPr>
          <w:rStyle w:val="eop"/>
          <w:rFonts w:ascii="Calibri" w:hAnsi="Calibri" w:cs="Calibri"/>
        </w:rPr>
        <w:t> </w:t>
      </w:r>
    </w:p>
    <w:p w14:paraId="649158F4" w14:textId="77777777" w:rsidR="00E94739" w:rsidRDefault="00E94739" w:rsidP="00140C5B">
      <w:pPr>
        <w:pStyle w:val="paragraph"/>
        <w:numPr>
          <w:ilvl w:val="0"/>
          <w:numId w:val="101"/>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No</w:t>
      </w:r>
      <w:r>
        <w:rPr>
          <w:rStyle w:val="eop"/>
          <w:rFonts w:ascii="Calibri" w:hAnsi="Calibri" w:cs="Calibri"/>
        </w:rPr>
        <w:t> </w:t>
      </w:r>
    </w:p>
    <w:p w14:paraId="370E6E9E" w14:textId="77777777" w:rsidR="00E94739" w:rsidRDefault="00E94739" w:rsidP="00E94739">
      <w:pPr>
        <w:pStyle w:val="paragraph"/>
        <w:spacing w:before="0" w:beforeAutospacing="0" w:after="0" w:afterAutospacing="0"/>
        <w:ind w:left="284" w:hanging="284"/>
        <w:textAlignment w:val="baseline"/>
        <w:rPr>
          <w:rStyle w:val="normaltextrun"/>
          <w:rFonts w:ascii="Calibri" w:hAnsi="Calibri" w:cs="Calibri"/>
          <w:b/>
          <w:bCs/>
        </w:rPr>
      </w:pPr>
      <w:r>
        <w:rPr>
          <w:rStyle w:val="normaltextrun"/>
          <w:rFonts w:ascii="Calibri" w:hAnsi="Calibri" w:cs="Calibri"/>
          <w:b/>
          <w:bCs/>
        </w:rPr>
        <w:t>If no, please list how you would prefer to deliver mental health interventions</w:t>
      </w:r>
      <w:bookmarkStart w:id="334" w:name="_Hlk100671334"/>
      <w:r w:rsidRPr="001B1DA8">
        <w:rPr>
          <w:rStyle w:val="normaltextrun"/>
          <w:rFonts w:ascii="Calibri" w:hAnsi="Calibri" w:cs="Calibri"/>
          <w:b/>
          <w:bCs/>
        </w:rPr>
        <w:t>. (Select all that apply</w:t>
      </w:r>
      <w:bookmarkEnd w:id="334"/>
    </w:p>
    <w:p w14:paraId="3FB68568" w14:textId="77777777" w:rsidR="00E94739" w:rsidRDefault="00E94739" w:rsidP="00140C5B">
      <w:pPr>
        <w:pStyle w:val="paragraph"/>
        <w:numPr>
          <w:ilvl w:val="0"/>
          <w:numId w:val="130"/>
        </w:numPr>
        <w:spacing w:before="0" w:beforeAutospacing="0" w:after="0" w:afterAutospacing="0"/>
        <w:ind w:left="284" w:hanging="284"/>
        <w:textAlignment w:val="baseline"/>
        <w:rPr>
          <w:rFonts w:ascii="Verdana" w:hAnsi="Verdana" w:cs="Segoe UI"/>
        </w:rPr>
      </w:pPr>
      <w:r>
        <w:rPr>
          <w:rStyle w:val="normaltextrun"/>
          <w:rFonts w:ascii="Calibri" w:hAnsi="Calibri" w:cs="Calibri"/>
        </w:rPr>
        <w:t>Face-to-face </w:t>
      </w:r>
      <w:r>
        <w:rPr>
          <w:rStyle w:val="eop"/>
          <w:rFonts w:ascii="Calibri" w:hAnsi="Calibri" w:cs="Calibri"/>
        </w:rPr>
        <w:t> </w:t>
      </w:r>
    </w:p>
    <w:p w14:paraId="5828B0BC" w14:textId="77777777" w:rsidR="00E94739" w:rsidRDefault="00E94739" w:rsidP="00140C5B">
      <w:pPr>
        <w:pStyle w:val="paragraph"/>
        <w:numPr>
          <w:ilvl w:val="0"/>
          <w:numId w:val="102"/>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Phone</w:t>
      </w:r>
      <w:r>
        <w:rPr>
          <w:rStyle w:val="eop"/>
          <w:rFonts w:ascii="Calibri" w:hAnsi="Calibri" w:cs="Calibri"/>
        </w:rPr>
        <w:t> </w:t>
      </w:r>
    </w:p>
    <w:p w14:paraId="2C1100DA" w14:textId="77777777" w:rsidR="00E94739" w:rsidRDefault="00E94739" w:rsidP="00140C5B">
      <w:pPr>
        <w:pStyle w:val="paragraph"/>
        <w:numPr>
          <w:ilvl w:val="0"/>
          <w:numId w:val="103"/>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Video</w:t>
      </w:r>
      <w:r>
        <w:rPr>
          <w:rStyle w:val="eop"/>
          <w:rFonts w:ascii="Calibri" w:hAnsi="Calibri" w:cs="Calibri"/>
        </w:rPr>
        <w:t> </w:t>
      </w:r>
    </w:p>
    <w:p w14:paraId="235A7BE5" w14:textId="77777777" w:rsidR="00E94739" w:rsidRDefault="00E94739" w:rsidP="00140C5B">
      <w:pPr>
        <w:pStyle w:val="paragraph"/>
        <w:numPr>
          <w:ilvl w:val="0"/>
          <w:numId w:val="103"/>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Other (specify</w:t>
      </w:r>
      <w:proofErr w:type="gramStart"/>
      <w:r>
        <w:rPr>
          <w:rStyle w:val="normaltextrun"/>
          <w:rFonts w:ascii="Calibri" w:hAnsi="Calibri" w:cs="Calibri"/>
        </w:rPr>
        <w:t>):_</w:t>
      </w:r>
      <w:proofErr w:type="gramEnd"/>
      <w:r>
        <w:rPr>
          <w:rStyle w:val="normaltextrun"/>
          <w:rFonts w:ascii="Calibri" w:hAnsi="Calibri" w:cs="Calibri"/>
        </w:rPr>
        <w:t>_____________</w:t>
      </w:r>
      <w:r>
        <w:rPr>
          <w:rStyle w:val="eop"/>
          <w:rFonts w:ascii="Calibri" w:hAnsi="Calibri" w:cs="Calibri"/>
        </w:rPr>
        <w:t> </w:t>
      </w:r>
    </w:p>
    <w:p w14:paraId="614FCBB8" w14:textId="4CDD48CD" w:rsidR="003F134A" w:rsidRDefault="00E94739" w:rsidP="00E94739">
      <w:pPr>
        <w:pStyle w:val="paragraph"/>
        <w:spacing w:before="0" w:beforeAutospacing="0" w:after="0" w:afterAutospacing="0"/>
        <w:ind w:left="284" w:hanging="284"/>
        <w:textAlignment w:val="baseline"/>
        <w:rPr>
          <w:rStyle w:val="eop"/>
          <w:rFonts w:ascii="Calibri" w:hAnsi="Calibri" w:cs="Calibri"/>
        </w:rPr>
      </w:pPr>
      <w:r>
        <w:rPr>
          <w:rStyle w:val="eop"/>
          <w:rFonts w:ascii="Calibri" w:hAnsi="Calibri" w:cs="Calibri"/>
        </w:rPr>
        <w:t> </w:t>
      </w:r>
    </w:p>
    <w:p w14:paraId="05D4B981" w14:textId="59221B2E" w:rsidR="00E94739" w:rsidRPr="003F134A" w:rsidRDefault="003F134A" w:rsidP="003F134A">
      <w:pPr>
        <w:spacing w:after="200"/>
        <w:rPr>
          <w:rFonts w:ascii="Calibri" w:hAnsi="Calibri" w:cs="Calibri"/>
          <w:sz w:val="21"/>
          <w:szCs w:val="21"/>
          <w:lang w:eastAsia="en-AU"/>
        </w:rPr>
      </w:pPr>
      <w:r>
        <w:rPr>
          <w:rStyle w:val="eop"/>
          <w:rFonts w:ascii="Calibri" w:hAnsi="Calibri" w:cs="Calibri"/>
        </w:rPr>
        <w:br w:type="page"/>
      </w:r>
    </w:p>
    <w:p w14:paraId="4D472F47" w14:textId="77777777" w:rsidR="00E94739" w:rsidRPr="003F134A" w:rsidRDefault="00E94739" w:rsidP="00140C5B">
      <w:pPr>
        <w:pStyle w:val="paragraph"/>
        <w:numPr>
          <w:ilvl w:val="0"/>
          <w:numId w:val="104"/>
        </w:numPr>
        <w:tabs>
          <w:tab w:val="clear" w:pos="720"/>
        </w:tabs>
        <w:spacing w:before="0" w:beforeAutospacing="0" w:after="0" w:afterAutospacing="0"/>
        <w:ind w:left="284" w:hanging="284"/>
        <w:textAlignment w:val="baseline"/>
        <w:rPr>
          <w:b/>
          <w:bCs/>
        </w:rPr>
      </w:pPr>
      <w:r w:rsidRPr="003F134A">
        <w:rPr>
          <w:rStyle w:val="normaltextrun"/>
          <w:b/>
          <w:bCs/>
        </w:rPr>
        <w:lastRenderedPageBreak/>
        <w:t>Overall, how satisfied are you with providing supported digital mental health interventions? </w:t>
      </w:r>
      <w:r w:rsidRPr="003F134A">
        <w:rPr>
          <w:rStyle w:val="eop"/>
          <w:b/>
          <w:bCs/>
        </w:rPr>
        <w:t> </w:t>
      </w:r>
    </w:p>
    <w:p w14:paraId="3EEDA40A" w14:textId="77777777" w:rsidR="00E94739" w:rsidRDefault="00E94739" w:rsidP="00140C5B">
      <w:pPr>
        <w:pStyle w:val="paragraph"/>
        <w:numPr>
          <w:ilvl w:val="0"/>
          <w:numId w:val="105"/>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Not at all satisfied</w:t>
      </w:r>
      <w:r>
        <w:rPr>
          <w:rStyle w:val="eop"/>
          <w:rFonts w:ascii="Calibri" w:hAnsi="Calibri" w:cs="Calibri"/>
        </w:rPr>
        <w:t> </w:t>
      </w:r>
    </w:p>
    <w:p w14:paraId="3DBAE707" w14:textId="77777777" w:rsidR="00E94739" w:rsidRDefault="00E94739" w:rsidP="00140C5B">
      <w:pPr>
        <w:pStyle w:val="paragraph"/>
        <w:numPr>
          <w:ilvl w:val="0"/>
          <w:numId w:val="106"/>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Somewhat satisfied</w:t>
      </w:r>
      <w:r>
        <w:rPr>
          <w:rStyle w:val="eop"/>
          <w:rFonts w:ascii="Calibri" w:hAnsi="Calibri" w:cs="Calibri"/>
        </w:rPr>
        <w:t> </w:t>
      </w:r>
    </w:p>
    <w:p w14:paraId="463DD7C0" w14:textId="77777777" w:rsidR="00E94739" w:rsidRDefault="00E94739" w:rsidP="00140C5B">
      <w:pPr>
        <w:pStyle w:val="paragraph"/>
        <w:numPr>
          <w:ilvl w:val="0"/>
          <w:numId w:val="106"/>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Satisfied</w:t>
      </w:r>
      <w:r>
        <w:rPr>
          <w:rStyle w:val="eop"/>
          <w:rFonts w:ascii="Calibri" w:hAnsi="Calibri" w:cs="Calibri"/>
        </w:rPr>
        <w:t> </w:t>
      </w:r>
    </w:p>
    <w:p w14:paraId="4D8AC348" w14:textId="77777777" w:rsidR="00E94739" w:rsidRDefault="00E94739" w:rsidP="00140C5B">
      <w:pPr>
        <w:pStyle w:val="paragraph"/>
        <w:numPr>
          <w:ilvl w:val="0"/>
          <w:numId w:val="106"/>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Very satisfied</w:t>
      </w:r>
      <w:r>
        <w:rPr>
          <w:rStyle w:val="eop"/>
          <w:rFonts w:ascii="Calibri" w:hAnsi="Calibri" w:cs="Calibri"/>
        </w:rPr>
        <w:t> </w:t>
      </w:r>
    </w:p>
    <w:p w14:paraId="5F727586" w14:textId="77777777" w:rsidR="00E94739" w:rsidRDefault="00E94739" w:rsidP="00140C5B">
      <w:pPr>
        <w:pStyle w:val="paragraph"/>
        <w:numPr>
          <w:ilvl w:val="0"/>
          <w:numId w:val="106"/>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Completely satisfied</w:t>
      </w:r>
      <w:r>
        <w:rPr>
          <w:rStyle w:val="eop"/>
          <w:rFonts w:ascii="Calibri" w:hAnsi="Calibri" w:cs="Calibri"/>
        </w:rPr>
        <w:t> </w:t>
      </w:r>
    </w:p>
    <w:p w14:paraId="451383C0" w14:textId="77777777" w:rsidR="00E94739" w:rsidRDefault="00E94739" w:rsidP="00E94739">
      <w:pPr>
        <w:pStyle w:val="paragraph"/>
        <w:spacing w:before="0" w:beforeAutospacing="0" w:after="0" w:afterAutospacing="0"/>
        <w:ind w:left="284" w:hanging="284"/>
        <w:textAlignment w:val="baseline"/>
        <w:rPr>
          <w:rFonts w:ascii="Segoe UI" w:hAnsi="Segoe UI" w:cs="Segoe UI"/>
          <w:sz w:val="18"/>
          <w:szCs w:val="18"/>
        </w:rPr>
      </w:pPr>
      <w:r>
        <w:rPr>
          <w:rStyle w:val="eop"/>
          <w:rFonts w:ascii="Calibri" w:hAnsi="Calibri" w:cs="Calibri"/>
        </w:rPr>
        <w:t> </w:t>
      </w:r>
    </w:p>
    <w:p w14:paraId="18B23013" w14:textId="77777777" w:rsidR="00E94739" w:rsidRPr="003F134A" w:rsidRDefault="00E94739" w:rsidP="00140C5B">
      <w:pPr>
        <w:pStyle w:val="paragraph"/>
        <w:numPr>
          <w:ilvl w:val="0"/>
          <w:numId w:val="107"/>
        </w:numPr>
        <w:tabs>
          <w:tab w:val="clear" w:pos="720"/>
        </w:tabs>
        <w:spacing w:before="0" w:beforeAutospacing="0" w:after="0" w:afterAutospacing="0"/>
        <w:ind w:left="284" w:hanging="284"/>
        <w:textAlignment w:val="baseline"/>
        <w:rPr>
          <w:b/>
          <w:bCs/>
        </w:rPr>
      </w:pPr>
      <w:r w:rsidRPr="003F134A">
        <w:rPr>
          <w:rStyle w:val="normaltextrun"/>
          <w:b/>
          <w:bCs/>
        </w:rPr>
        <w:t>What aspects of supported digital mental health interventions are most useful/helpful?</w:t>
      </w:r>
      <w:r w:rsidRPr="003F134A">
        <w:rPr>
          <w:rStyle w:val="eop"/>
          <w:b/>
          <w:bCs/>
        </w:rPr>
        <w:t> </w:t>
      </w:r>
    </w:p>
    <w:p w14:paraId="06EAFBC8" w14:textId="77777777" w:rsidR="00E94739" w:rsidRPr="003F134A" w:rsidRDefault="00E94739" w:rsidP="00140C5B">
      <w:pPr>
        <w:pStyle w:val="paragraph"/>
        <w:numPr>
          <w:ilvl w:val="0"/>
          <w:numId w:val="108"/>
        </w:numPr>
        <w:tabs>
          <w:tab w:val="clear" w:pos="720"/>
        </w:tabs>
        <w:spacing w:before="0" w:beforeAutospacing="0" w:after="0" w:afterAutospacing="0"/>
        <w:ind w:left="284" w:hanging="284"/>
        <w:textAlignment w:val="baseline"/>
        <w:rPr>
          <w:b/>
          <w:bCs/>
        </w:rPr>
      </w:pPr>
      <w:r w:rsidRPr="003F134A">
        <w:rPr>
          <w:rStyle w:val="normaltextrun"/>
          <w:b/>
          <w:bCs/>
        </w:rPr>
        <w:t>What aspects of supported digital mental health interventions least useful/helpful?</w:t>
      </w:r>
      <w:r w:rsidRPr="003F134A">
        <w:rPr>
          <w:rStyle w:val="eop"/>
          <w:b/>
          <w:bCs/>
        </w:rPr>
        <w:t> </w:t>
      </w:r>
    </w:p>
    <w:p w14:paraId="7FC9E7F1" w14:textId="77777777" w:rsidR="00E94739" w:rsidRPr="003F134A" w:rsidRDefault="00E94739" w:rsidP="00140C5B">
      <w:pPr>
        <w:pStyle w:val="paragraph"/>
        <w:numPr>
          <w:ilvl w:val="0"/>
          <w:numId w:val="109"/>
        </w:numPr>
        <w:tabs>
          <w:tab w:val="clear" w:pos="720"/>
        </w:tabs>
        <w:spacing w:before="0" w:beforeAutospacing="0" w:after="0" w:afterAutospacing="0"/>
        <w:ind w:left="284" w:hanging="284"/>
        <w:textAlignment w:val="baseline"/>
        <w:rPr>
          <w:b/>
          <w:bCs/>
        </w:rPr>
      </w:pPr>
      <w:r w:rsidRPr="003F134A">
        <w:rPr>
          <w:rStyle w:val="normaltextrun"/>
          <w:b/>
          <w:bCs/>
        </w:rPr>
        <w:t>What changes are needed to improve the use of digital mental health interventions?</w:t>
      </w:r>
      <w:r w:rsidRPr="003F134A">
        <w:rPr>
          <w:rStyle w:val="eop"/>
          <w:b/>
          <w:bCs/>
        </w:rPr>
        <w:t> </w:t>
      </w:r>
    </w:p>
    <w:p w14:paraId="7FD402E8" w14:textId="77777777" w:rsidR="00E94739" w:rsidRPr="003F134A" w:rsidRDefault="00E94739" w:rsidP="00140C5B">
      <w:pPr>
        <w:pStyle w:val="paragraph"/>
        <w:numPr>
          <w:ilvl w:val="0"/>
          <w:numId w:val="110"/>
        </w:numPr>
        <w:tabs>
          <w:tab w:val="clear" w:pos="720"/>
        </w:tabs>
        <w:spacing w:before="0" w:beforeAutospacing="0" w:after="0" w:afterAutospacing="0"/>
        <w:ind w:left="284" w:hanging="284"/>
        <w:textAlignment w:val="baseline"/>
        <w:rPr>
          <w:b/>
          <w:bCs/>
        </w:rPr>
      </w:pPr>
      <w:r w:rsidRPr="003F134A">
        <w:rPr>
          <w:rStyle w:val="normaltextrun"/>
          <w:b/>
          <w:bCs/>
        </w:rPr>
        <w:t>How can digital mental health interventions be better integrated within the mental health system?</w:t>
      </w:r>
      <w:r w:rsidRPr="003F134A">
        <w:rPr>
          <w:rStyle w:val="eop"/>
          <w:b/>
          <w:bCs/>
        </w:rPr>
        <w:t> </w:t>
      </w:r>
    </w:p>
    <w:p w14:paraId="03806FF4" w14:textId="77777777" w:rsidR="00E94739" w:rsidRPr="003F134A" w:rsidRDefault="00E94739" w:rsidP="00140C5B">
      <w:pPr>
        <w:pStyle w:val="paragraph"/>
        <w:numPr>
          <w:ilvl w:val="0"/>
          <w:numId w:val="111"/>
        </w:numPr>
        <w:tabs>
          <w:tab w:val="clear" w:pos="720"/>
        </w:tabs>
        <w:spacing w:before="0" w:beforeAutospacing="0" w:after="0" w:afterAutospacing="0"/>
        <w:ind w:left="284" w:hanging="284"/>
        <w:textAlignment w:val="baseline"/>
        <w:rPr>
          <w:b/>
          <w:bCs/>
        </w:rPr>
      </w:pPr>
      <w:r w:rsidRPr="003F134A">
        <w:rPr>
          <w:rStyle w:val="normaltextrun"/>
          <w:b/>
          <w:bCs/>
        </w:rPr>
        <w:t>Do you have any other comments about your experience of providing supported digital mental health interventions?</w:t>
      </w:r>
      <w:r w:rsidRPr="003F134A">
        <w:rPr>
          <w:rStyle w:val="eop"/>
          <w:b/>
          <w:bCs/>
        </w:rPr>
        <w:t> </w:t>
      </w:r>
    </w:p>
    <w:p w14:paraId="715385E1" w14:textId="77777777" w:rsidR="00E94739" w:rsidRDefault="00E94739" w:rsidP="00E94739">
      <w:pPr>
        <w:pStyle w:val="paragraph"/>
        <w:spacing w:before="0" w:beforeAutospacing="0" w:after="0" w:afterAutospacing="0"/>
        <w:ind w:left="284" w:hanging="284"/>
        <w:textAlignment w:val="baseline"/>
        <w:rPr>
          <w:rStyle w:val="eop"/>
          <w:rFonts w:ascii="Calibri" w:hAnsi="Calibri" w:cs="Calibri"/>
          <w:b/>
          <w:bCs/>
        </w:rPr>
      </w:pPr>
    </w:p>
    <w:p w14:paraId="2C440951" w14:textId="77777777" w:rsidR="00E94739" w:rsidRPr="001B1DA8" w:rsidRDefault="00E94739" w:rsidP="00E94739">
      <w:pPr>
        <w:pStyle w:val="paragraph"/>
        <w:spacing w:before="0" w:beforeAutospacing="0" w:after="0" w:afterAutospacing="0"/>
        <w:ind w:left="284" w:hanging="284"/>
        <w:textAlignment w:val="baseline"/>
        <w:rPr>
          <w:rFonts w:ascii="Segoe UI" w:hAnsi="Segoe UI" w:cs="Segoe UI"/>
          <w:b/>
          <w:bCs/>
          <w:sz w:val="18"/>
          <w:szCs w:val="18"/>
        </w:rPr>
      </w:pPr>
      <w:r w:rsidRPr="001B1DA8">
        <w:rPr>
          <w:rStyle w:val="eop"/>
          <w:rFonts w:ascii="Calibri" w:hAnsi="Calibri" w:cs="Calibri"/>
          <w:b/>
          <w:bCs/>
        </w:rPr>
        <w:t>Finally, here are some questions about you. </w:t>
      </w:r>
    </w:p>
    <w:p w14:paraId="49263693" w14:textId="77777777" w:rsidR="00E94739" w:rsidRPr="003F134A" w:rsidRDefault="00E94739" w:rsidP="00140C5B">
      <w:pPr>
        <w:pStyle w:val="paragraph"/>
        <w:numPr>
          <w:ilvl w:val="0"/>
          <w:numId w:val="112"/>
        </w:numPr>
        <w:tabs>
          <w:tab w:val="clear" w:pos="720"/>
        </w:tabs>
        <w:spacing w:before="0" w:beforeAutospacing="0" w:after="0" w:afterAutospacing="0"/>
        <w:ind w:left="284" w:hanging="284"/>
        <w:textAlignment w:val="baseline"/>
        <w:rPr>
          <w:rFonts w:ascii="Calibri" w:hAnsi="Calibri" w:cs="Calibri"/>
          <w:b/>
          <w:bCs/>
        </w:rPr>
      </w:pPr>
      <w:r w:rsidRPr="003F134A">
        <w:rPr>
          <w:rStyle w:val="normaltextrun"/>
          <w:rFonts w:ascii="Calibri" w:hAnsi="Calibri" w:cs="Calibri"/>
          <w:b/>
          <w:bCs/>
        </w:rPr>
        <w:t>What is your profession?</w:t>
      </w:r>
      <w:r w:rsidRPr="003F134A">
        <w:rPr>
          <w:rStyle w:val="eop"/>
          <w:rFonts w:ascii="Calibri" w:hAnsi="Calibri" w:cs="Calibri"/>
          <w:b/>
          <w:bCs/>
        </w:rPr>
        <w:t> </w:t>
      </w:r>
    </w:p>
    <w:p w14:paraId="5A08908C" w14:textId="77777777" w:rsidR="00E94739" w:rsidRDefault="00E94739" w:rsidP="00140C5B">
      <w:pPr>
        <w:pStyle w:val="paragraph"/>
        <w:numPr>
          <w:ilvl w:val="0"/>
          <w:numId w:val="113"/>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GP</w:t>
      </w:r>
      <w:r>
        <w:rPr>
          <w:rStyle w:val="eop"/>
          <w:rFonts w:ascii="Calibri" w:hAnsi="Calibri" w:cs="Calibri"/>
        </w:rPr>
        <w:t> </w:t>
      </w:r>
    </w:p>
    <w:p w14:paraId="159E4153" w14:textId="77777777" w:rsidR="00E94739" w:rsidRDefault="00E94739" w:rsidP="00140C5B">
      <w:pPr>
        <w:pStyle w:val="paragraph"/>
        <w:numPr>
          <w:ilvl w:val="0"/>
          <w:numId w:val="113"/>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Psychiatrist</w:t>
      </w:r>
      <w:r>
        <w:rPr>
          <w:rStyle w:val="eop"/>
          <w:rFonts w:ascii="Calibri" w:hAnsi="Calibri" w:cs="Calibri"/>
        </w:rPr>
        <w:t> </w:t>
      </w:r>
    </w:p>
    <w:p w14:paraId="733CC74B" w14:textId="77777777" w:rsidR="00E94739" w:rsidRPr="008253C2" w:rsidRDefault="00E94739" w:rsidP="00140C5B">
      <w:pPr>
        <w:pStyle w:val="paragraph"/>
        <w:numPr>
          <w:ilvl w:val="0"/>
          <w:numId w:val="114"/>
        </w:numPr>
        <w:spacing w:before="0" w:beforeAutospacing="0" w:after="0" w:afterAutospacing="0"/>
        <w:ind w:left="284" w:hanging="284"/>
        <w:textAlignment w:val="baseline"/>
        <w:rPr>
          <w:rStyle w:val="normaltextrun"/>
          <w:rFonts w:ascii="Calibri" w:hAnsi="Calibri" w:cs="Calibri"/>
        </w:rPr>
      </w:pPr>
      <w:r w:rsidRPr="008253C2">
        <w:rPr>
          <w:rStyle w:val="normaltextrun"/>
          <w:rFonts w:ascii="Calibri" w:hAnsi="Calibri" w:cs="Calibri"/>
        </w:rPr>
        <w:t>General Psychologist</w:t>
      </w:r>
      <w:r w:rsidRPr="008253C2">
        <w:rPr>
          <w:rStyle w:val="eop"/>
          <w:rFonts w:ascii="Calibri" w:hAnsi="Calibri" w:cs="Calibri"/>
        </w:rPr>
        <w:t> </w:t>
      </w:r>
      <w:r w:rsidRPr="008253C2">
        <w:rPr>
          <w:rStyle w:val="normaltextrun"/>
          <w:rFonts w:ascii="Calibri" w:hAnsi="Calibri" w:cs="Calibri"/>
        </w:rPr>
        <w:t>Clinical</w:t>
      </w:r>
      <w:r w:rsidRPr="008253C2">
        <w:t xml:space="preserve"> </w:t>
      </w:r>
      <w:r w:rsidRPr="008253C2">
        <w:rPr>
          <w:rStyle w:val="normaltextrun"/>
          <w:rFonts w:ascii="Calibri" w:hAnsi="Calibri" w:cs="Calibri"/>
        </w:rPr>
        <w:t xml:space="preserve">Mental Health Nurse </w:t>
      </w:r>
    </w:p>
    <w:p w14:paraId="7DB686A6" w14:textId="77777777" w:rsidR="00E94739" w:rsidRPr="008253C2" w:rsidRDefault="00E94739" w:rsidP="00140C5B">
      <w:pPr>
        <w:pStyle w:val="paragraph"/>
        <w:numPr>
          <w:ilvl w:val="0"/>
          <w:numId w:val="114"/>
        </w:numPr>
        <w:spacing w:after="0"/>
        <w:ind w:left="284" w:hanging="284"/>
        <w:textAlignment w:val="baseline"/>
        <w:rPr>
          <w:rStyle w:val="normaltextrun"/>
          <w:rFonts w:ascii="Calibri" w:hAnsi="Calibri" w:cs="Calibri"/>
        </w:rPr>
      </w:pPr>
      <w:r w:rsidRPr="008253C2">
        <w:rPr>
          <w:rStyle w:val="normaltextrun"/>
          <w:rFonts w:ascii="Calibri" w:hAnsi="Calibri" w:cs="Calibri"/>
        </w:rPr>
        <w:t xml:space="preserve">Social Worker </w:t>
      </w:r>
    </w:p>
    <w:p w14:paraId="5E5878A0" w14:textId="77777777" w:rsidR="00E94739" w:rsidRPr="008253C2" w:rsidRDefault="00E94739" w:rsidP="00140C5B">
      <w:pPr>
        <w:pStyle w:val="paragraph"/>
        <w:numPr>
          <w:ilvl w:val="0"/>
          <w:numId w:val="114"/>
        </w:numPr>
        <w:spacing w:after="0"/>
        <w:ind w:left="284" w:hanging="284"/>
        <w:textAlignment w:val="baseline"/>
        <w:rPr>
          <w:rStyle w:val="normaltextrun"/>
          <w:rFonts w:ascii="Calibri" w:hAnsi="Calibri" w:cs="Calibri"/>
        </w:rPr>
      </w:pPr>
      <w:r w:rsidRPr="008253C2">
        <w:rPr>
          <w:rStyle w:val="normaltextrun"/>
          <w:rFonts w:ascii="Calibri" w:hAnsi="Calibri" w:cs="Calibri"/>
        </w:rPr>
        <w:t xml:space="preserve">Occupational Therapist </w:t>
      </w:r>
    </w:p>
    <w:p w14:paraId="031888BE" w14:textId="77777777" w:rsidR="00E94739" w:rsidRPr="008253C2" w:rsidRDefault="00E94739" w:rsidP="00140C5B">
      <w:pPr>
        <w:pStyle w:val="paragraph"/>
        <w:numPr>
          <w:ilvl w:val="0"/>
          <w:numId w:val="114"/>
        </w:numPr>
        <w:spacing w:after="0"/>
        <w:ind w:left="284" w:hanging="284"/>
        <w:textAlignment w:val="baseline"/>
        <w:rPr>
          <w:rStyle w:val="normaltextrun"/>
          <w:rFonts w:ascii="Calibri" w:hAnsi="Calibri" w:cs="Calibri"/>
        </w:rPr>
      </w:pPr>
      <w:r w:rsidRPr="008253C2">
        <w:rPr>
          <w:rStyle w:val="normaltextrun"/>
          <w:rFonts w:ascii="Calibri" w:hAnsi="Calibri" w:cs="Calibri"/>
        </w:rPr>
        <w:t xml:space="preserve">Peer Support Worker </w:t>
      </w:r>
    </w:p>
    <w:p w14:paraId="5F4282BD" w14:textId="77777777" w:rsidR="00E94739" w:rsidRPr="008253C2" w:rsidRDefault="00E94739" w:rsidP="00140C5B">
      <w:pPr>
        <w:pStyle w:val="paragraph"/>
        <w:numPr>
          <w:ilvl w:val="0"/>
          <w:numId w:val="114"/>
        </w:numPr>
        <w:tabs>
          <w:tab w:val="num" w:pos="1710"/>
        </w:tabs>
        <w:spacing w:before="0" w:beforeAutospacing="0" w:after="0" w:afterAutospacing="0"/>
        <w:ind w:left="284" w:hanging="284"/>
        <w:textAlignment w:val="baseline"/>
        <w:rPr>
          <w:rStyle w:val="eop"/>
          <w:rFonts w:ascii="Verdana" w:hAnsi="Verdana" w:cs="Segoe UI"/>
        </w:rPr>
      </w:pPr>
      <w:r>
        <w:rPr>
          <w:rStyle w:val="normaltextrun"/>
          <w:rFonts w:ascii="Calibri" w:hAnsi="Calibri" w:cs="Calibri"/>
        </w:rPr>
        <w:t xml:space="preserve"> Psychologist</w:t>
      </w:r>
      <w:r>
        <w:rPr>
          <w:rStyle w:val="eop"/>
          <w:rFonts w:ascii="Calibri" w:hAnsi="Calibri" w:cs="Calibri"/>
        </w:rPr>
        <w:t> </w:t>
      </w:r>
    </w:p>
    <w:p w14:paraId="159E82D4" w14:textId="77777777" w:rsidR="00E94739" w:rsidRDefault="00E94739" w:rsidP="00140C5B">
      <w:pPr>
        <w:pStyle w:val="paragraph"/>
        <w:numPr>
          <w:ilvl w:val="0"/>
          <w:numId w:val="115"/>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Aboriginal and Torres Strait Islander Health/Mental Health Worker</w:t>
      </w:r>
      <w:r>
        <w:rPr>
          <w:rStyle w:val="eop"/>
          <w:rFonts w:ascii="Calibri" w:hAnsi="Calibri" w:cs="Calibri"/>
        </w:rPr>
        <w:t> </w:t>
      </w:r>
    </w:p>
    <w:p w14:paraId="7D0DB449" w14:textId="77777777" w:rsidR="00E94739" w:rsidRPr="00CB7383" w:rsidRDefault="00E94739" w:rsidP="00140C5B">
      <w:pPr>
        <w:pStyle w:val="paragraph"/>
        <w:numPr>
          <w:ilvl w:val="0"/>
          <w:numId w:val="115"/>
        </w:numPr>
        <w:tabs>
          <w:tab w:val="clear" w:pos="720"/>
        </w:tabs>
        <w:spacing w:before="0" w:beforeAutospacing="0" w:after="0" w:afterAutospacing="0"/>
        <w:ind w:left="284" w:hanging="284"/>
        <w:textAlignment w:val="baseline"/>
        <w:rPr>
          <w:rStyle w:val="eop"/>
          <w:rFonts w:ascii="Verdana" w:hAnsi="Verdana" w:cs="Segoe UI"/>
        </w:rPr>
      </w:pPr>
      <w:r w:rsidRPr="00CB7383">
        <w:rPr>
          <w:rStyle w:val="normaltextrun"/>
          <w:rFonts w:ascii="Calibri" w:hAnsi="Calibri" w:cs="Calibri"/>
        </w:rPr>
        <w:t xml:space="preserve">Other, </w:t>
      </w:r>
      <w:proofErr w:type="gramStart"/>
      <w:r w:rsidRPr="00CB7383">
        <w:rPr>
          <w:rStyle w:val="normaltextrun"/>
          <w:rFonts w:ascii="Calibri" w:hAnsi="Calibri" w:cs="Calibri"/>
        </w:rPr>
        <w:t>specify:_</w:t>
      </w:r>
      <w:proofErr w:type="gramEnd"/>
      <w:r w:rsidRPr="00CB7383">
        <w:rPr>
          <w:rStyle w:val="normaltextrun"/>
          <w:rFonts w:ascii="Calibri" w:hAnsi="Calibri" w:cs="Calibri"/>
        </w:rPr>
        <w:t>________________</w:t>
      </w:r>
      <w:r w:rsidRPr="00CB7383">
        <w:rPr>
          <w:rStyle w:val="eop"/>
          <w:rFonts w:ascii="Calibri" w:hAnsi="Calibri" w:cs="Calibri"/>
        </w:rPr>
        <w:t> </w:t>
      </w:r>
    </w:p>
    <w:p w14:paraId="11CA5A58" w14:textId="77777777" w:rsidR="00E94739" w:rsidRPr="00CB7383" w:rsidRDefault="00E94739" w:rsidP="00140C5B">
      <w:pPr>
        <w:pStyle w:val="paragraph"/>
        <w:numPr>
          <w:ilvl w:val="0"/>
          <w:numId w:val="115"/>
        </w:numPr>
        <w:tabs>
          <w:tab w:val="clear" w:pos="720"/>
        </w:tabs>
        <w:spacing w:before="0" w:beforeAutospacing="0" w:after="0" w:afterAutospacing="0"/>
        <w:ind w:left="284" w:hanging="284"/>
        <w:textAlignment w:val="baseline"/>
        <w:rPr>
          <w:rFonts w:ascii="Verdana" w:hAnsi="Verdana" w:cs="Segoe UI"/>
        </w:rPr>
      </w:pPr>
      <w:r w:rsidRPr="00CB7383">
        <w:rPr>
          <w:rFonts w:ascii="Verdana" w:hAnsi="Verdana" w:cs="Segoe UI"/>
        </w:rPr>
        <w:t xml:space="preserve">Prefer not to say </w:t>
      </w:r>
    </w:p>
    <w:p w14:paraId="1AF8A555" w14:textId="77777777" w:rsidR="00E94739" w:rsidRDefault="00E94739" w:rsidP="00E94739">
      <w:pPr>
        <w:pStyle w:val="paragraph"/>
        <w:spacing w:before="0" w:beforeAutospacing="0" w:after="0" w:afterAutospacing="0"/>
        <w:ind w:left="284" w:hanging="284"/>
        <w:textAlignment w:val="baseline"/>
        <w:rPr>
          <w:rFonts w:ascii="Segoe UI" w:hAnsi="Segoe UI" w:cs="Segoe UI"/>
          <w:sz w:val="18"/>
          <w:szCs w:val="18"/>
        </w:rPr>
      </w:pPr>
      <w:r>
        <w:rPr>
          <w:rStyle w:val="eop"/>
          <w:rFonts w:ascii="Calibri" w:hAnsi="Calibri" w:cs="Calibri"/>
        </w:rPr>
        <w:t> </w:t>
      </w:r>
    </w:p>
    <w:p w14:paraId="4FEB6CAB" w14:textId="77777777" w:rsidR="00E94739" w:rsidRPr="003F134A" w:rsidRDefault="00E94739" w:rsidP="00140C5B">
      <w:pPr>
        <w:pStyle w:val="paragraph"/>
        <w:numPr>
          <w:ilvl w:val="0"/>
          <w:numId w:val="116"/>
        </w:numPr>
        <w:tabs>
          <w:tab w:val="clear" w:pos="720"/>
        </w:tabs>
        <w:spacing w:before="0" w:beforeAutospacing="0" w:after="0" w:afterAutospacing="0"/>
        <w:ind w:left="284" w:hanging="284"/>
        <w:textAlignment w:val="baseline"/>
        <w:rPr>
          <w:rFonts w:ascii="Calibri" w:hAnsi="Calibri" w:cs="Calibri"/>
          <w:b/>
          <w:bCs/>
        </w:rPr>
      </w:pPr>
      <w:r w:rsidRPr="003F134A">
        <w:rPr>
          <w:rStyle w:val="normaltextrun"/>
          <w:rFonts w:ascii="Calibri" w:hAnsi="Calibri" w:cs="Calibri"/>
          <w:b/>
          <w:bCs/>
        </w:rPr>
        <w:t>How long have you been working in this profession?</w:t>
      </w:r>
      <w:r w:rsidRPr="003F134A">
        <w:rPr>
          <w:rStyle w:val="eop"/>
          <w:rFonts w:ascii="Calibri" w:hAnsi="Calibri" w:cs="Calibri"/>
          <w:b/>
          <w:bCs/>
        </w:rPr>
        <w:t> </w:t>
      </w:r>
    </w:p>
    <w:p w14:paraId="15B4BE35" w14:textId="77777777" w:rsidR="00E94739" w:rsidRDefault="00E94739" w:rsidP="00140C5B">
      <w:pPr>
        <w:pStyle w:val="paragraph"/>
        <w:numPr>
          <w:ilvl w:val="0"/>
          <w:numId w:val="117"/>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Less than 1 year</w:t>
      </w:r>
      <w:r>
        <w:rPr>
          <w:rStyle w:val="eop"/>
          <w:rFonts w:ascii="Calibri" w:hAnsi="Calibri" w:cs="Calibri"/>
        </w:rPr>
        <w:t> </w:t>
      </w:r>
    </w:p>
    <w:p w14:paraId="51F1A1D0" w14:textId="77777777" w:rsidR="00E94739" w:rsidRDefault="00E94739" w:rsidP="00140C5B">
      <w:pPr>
        <w:pStyle w:val="paragraph"/>
        <w:numPr>
          <w:ilvl w:val="0"/>
          <w:numId w:val="117"/>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1-5 years</w:t>
      </w:r>
      <w:r>
        <w:rPr>
          <w:rStyle w:val="eop"/>
          <w:rFonts w:ascii="Calibri" w:hAnsi="Calibri" w:cs="Calibri"/>
        </w:rPr>
        <w:t> </w:t>
      </w:r>
    </w:p>
    <w:p w14:paraId="3DD988FF" w14:textId="77777777" w:rsidR="00E94739" w:rsidRDefault="00E94739" w:rsidP="00140C5B">
      <w:pPr>
        <w:pStyle w:val="paragraph"/>
        <w:numPr>
          <w:ilvl w:val="0"/>
          <w:numId w:val="117"/>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6-10 years </w:t>
      </w:r>
      <w:r>
        <w:rPr>
          <w:rStyle w:val="eop"/>
          <w:rFonts w:ascii="Calibri" w:hAnsi="Calibri" w:cs="Calibri"/>
        </w:rPr>
        <w:t> </w:t>
      </w:r>
    </w:p>
    <w:p w14:paraId="5D696FB5" w14:textId="77777777" w:rsidR="00E94739" w:rsidRDefault="00E94739" w:rsidP="00140C5B">
      <w:pPr>
        <w:pStyle w:val="paragraph"/>
        <w:numPr>
          <w:ilvl w:val="0"/>
          <w:numId w:val="117"/>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11-15 years </w:t>
      </w:r>
      <w:r>
        <w:rPr>
          <w:rStyle w:val="eop"/>
          <w:rFonts w:ascii="Calibri" w:hAnsi="Calibri" w:cs="Calibri"/>
        </w:rPr>
        <w:t> </w:t>
      </w:r>
    </w:p>
    <w:p w14:paraId="30EF6120" w14:textId="77777777" w:rsidR="00E94739" w:rsidRDefault="00E94739" w:rsidP="00140C5B">
      <w:pPr>
        <w:pStyle w:val="paragraph"/>
        <w:numPr>
          <w:ilvl w:val="0"/>
          <w:numId w:val="118"/>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16-20 years </w:t>
      </w:r>
      <w:r>
        <w:rPr>
          <w:rStyle w:val="eop"/>
          <w:rFonts w:ascii="Calibri" w:hAnsi="Calibri" w:cs="Calibri"/>
        </w:rPr>
        <w:t> </w:t>
      </w:r>
    </w:p>
    <w:p w14:paraId="6A6DD174" w14:textId="77777777" w:rsidR="00E94739" w:rsidRDefault="00E94739" w:rsidP="00140C5B">
      <w:pPr>
        <w:pStyle w:val="paragraph"/>
        <w:numPr>
          <w:ilvl w:val="0"/>
          <w:numId w:val="118"/>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More than 20 years </w:t>
      </w:r>
      <w:r>
        <w:rPr>
          <w:rStyle w:val="eop"/>
          <w:rFonts w:ascii="Calibri" w:hAnsi="Calibri" w:cs="Calibri"/>
        </w:rPr>
        <w:t> </w:t>
      </w:r>
    </w:p>
    <w:p w14:paraId="12093E43" w14:textId="77777777" w:rsidR="00E94739" w:rsidRDefault="00E94739" w:rsidP="00E94739">
      <w:pPr>
        <w:pStyle w:val="paragraph"/>
        <w:spacing w:before="0" w:beforeAutospacing="0" w:after="0" w:afterAutospacing="0"/>
        <w:ind w:left="284" w:hanging="284"/>
        <w:textAlignment w:val="baseline"/>
        <w:rPr>
          <w:rFonts w:ascii="Segoe UI" w:hAnsi="Segoe UI" w:cs="Segoe UI"/>
          <w:sz w:val="18"/>
          <w:szCs w:val="18"/>
        </w:rPr>
      </w:pPr>
      <w:r w:rsidRPr="00023DE7">
        <w:rPr>
          <w:rStyle w:val="eop"/>
          <w:rFonts w:ascii="Calibri" w:hAnsi="Calibri" w:cs="Calibri"/>
        </w:rPr>
        <w:t>•</w:t>
      </w:r>
      <w:r w:rsidRPr="00023DE7">
        <w:rPr>
          <w:rStyle w:val="eop"/>
          <w:rFonts w:ascii="Calibri" w:hAnsi="Calibri" w:cs="Calibri"/>
        </w:rPr>
        <w:tab/>
        <w:t>Prefer not to say</w:t>
      </w:r>
      <w:r>
        <w:rPr>
          <w:rStyle w:val="eop"/>
          <w:rFonts w:ascii="Calibri" w:hAnsi="Calibri" w:cs="Calibri"/>
        </w:rPr>
        <w:t> </w:t>
      </w:r>
    </w:p>
    <w:p w14:paraId="07A65221" w14:textId="77777777" w:rsidR="00E94739" w:rsidRPr="003F134A" w:rsidRDefault="00E94739" w:rsidP="00140C5B">
      <w:pPr>
        <w:pStyle w:val="paragraph"/>
        <w:numPr>
          <w:ilvl w:val="0"/>
          <w:numId w:val="119"/>
        </w:numPr>
        <w:tabs>
          <w:tab w:val="clear" w:pos="720"/>
        </w:tabs>
        <w:spacing w:before="0" w:beforeAutospacing="0" w:after="0" w:afterAutospacing="0"/>
        <w:ind w:left="284" w:hanging="284"/>
        <w:textAlignment w:val="baseline"/>
        <w:rPr>
          <w:rFonts w:ascii="Calibri" w:hAnsi="Calibri" w:cs="Calibri"/>
          <w:b/>
          <w:bCs/>
        </w:rPr>
      </w:pPr>
      <w:r w:rsidRPr="003F134A">
        <w:rPr>
          <w:rStyle w:val="normaltextrun"/>
          <w:rFonts w:ascii="Calibri" w:hAnsi="Calibri" w:cs="Calibri"/>
          <w:b/>
          <w:bCs/>
        </w:rPr>
        <w:t>What is your gender?</w:t>
      </w:r>
      <w:r w:rsidRPr="003F134A">
        <w:rPr>
          <w:rStyle w:val="eop"/>
          <w:rFonts w:ascii="Calibri" w:hAnsi="Calibri" w:cs="Calibri"/>
          <w:b/>
          <w:bCs/>
        </w:rPr>
        <w:t> </w:t>
      </w:r>
    </w:p>
    <w:p w14:paraId="12A981E6" w14:textId="77777777" w:rsidR="00E94739" w:rsidRDefault="00E94739" w:rsidP="00140C5B">
      <w:pPr>
        <w:pStyle w:val="paragraph"/>
        <w:numPr>
          <w:ilvl w:val="0"/>
          <w:numId w:val="120"/>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Female</w:t>
      </w:r>
      <w:r>
        <w:rPr>
          <w:rStyle w:val="eop"/>
          <w:rFonts w:ascii="Calibri" w:hAnsi="Calibri" w:cs="Calibri"/>
        </w:rPr>
        <w:t> </w:t>
      </w:r>
    </w:p>
    <w:p w14:paraId="0BE91A17" w14:textId="77777777" w:rsidR="00E94739" w:rsidRDefault="00E94739" w:rsidP="00140C5B">
      <w:pPr>
        <w:pStyle w:val="paragraph"/>
        <w:numPr>
          <w:ilvl w:val="0"/>
          <w:numId w:val="120"/>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Male</w:t>
      </w:r>
      <w:r>
        <w:rPr>
          <w:rStyle w:val="eop"/>
          <w:rFonts w:ascii="Calibri" w:hAnsi="Calibri" w:cs="Calibri"/>
        </w:rPr>
        <w:t> </w:t>
      </w:r>
    </w:p>
    <w:p w14:paraId="089AAD6A" w14:textId="77777777" w:rsidR="00E94739" w:rsidRPr="00410649" w:rsidRDefault="00E94739" w:rsidP="00140C5B">
      <w:pPr>
        <w:pStyle w:val="paragraph"/>
        <w:numPr>
          <w:ilvl w:val="0"/>
          <w:numId w:val="120"/>
        </w:numPr>
        <w:tabs>
          <w:tab w:val="clear" w:pos="720"/>
          <w:tab w:val="num" w:pos="1440"/>
        </w:tabs>
        <w:spacing w:before="0" w:beforeAutospacing="0" w:after="0" w:afterAutospacing="0"/>
        <w:ind w:left="284" w:hanging="284"/>
        <w:textAlignment w:val="baseline"/>
        <w:rPr>
          <w:rStyle w:val="eop"/>
          <w:rFonts w:ascii="Segoe UI" w:hAnsi="Segoe UI" w:cs="Segoe UI"/>
          <w:sz w:val="18"/>
          <w:szCs w:val="18"/>
        </w:rPr>
      </w:pPr>
      <w:r w:rsidRPr="00410649">
        <w:rPr>
          <w:rStyle w:val="normaltextrun"/>
          <w:rFonts w:ascii="Calibri" w:hAnsi="Calibri" w:cs="Calibri"/>
        </w:rPr>
        <w:t>I do not identify with either term</w:t>
      </w:r>
      <w:r w:rsidRPr="00410649">
        <w:rPr>
          <w:rStyle w:val="eop"/>
          <w:rFonts w:ascii="Calibri" w:hAnsi="Calibri" w:cs="Calibri"/>
        </w:rPr>
        <w:t> </w:t>
      </w:r>
    </w:p>
    <w:p w14:paraId="30FB72CE" w14:textId="77777777" w:rsidR="00E94739" w:rsidRPr="00410649" w:rsidRDefault="00E94739" w:rsidP="00140C5B">
      <w:pPr>
        <w:pStyle w:val="paragraph"/>
        <w:numPr>
          <w:ilvl w:val="0"/>
          <w:numId w:val="120"/>
        </w:numPr>
        <w:tabs>
          <w:tab w:val="clear" w:pos="720"/>
          <w:tab w:val="num" w:pos="1440"/>
        </w:tabs>
        <w:spacing w:before="0" w:beforeAutospacing="0" w:after="0" w:afterAutospacing="0"/>
        <w:ind w:left="284" w:hanging="284"/>
        <w:textAlignment w:val="baseline"/>
        <w:rPr>
          <w:rFonts w:ascii="Segoe UI" w:hAnsi="Segoe UI" w:cs="Segoe UI"/>
          <w:sz w:val="18"/>
          <w:szCs w:val="18"/>
        </w:rPr>
      </w:pPr>
      <w:r>
        <w:rPr>
          <w:rStyle w:val="eop"/>
          <w:rFonts w:ascii="Calibri" w:hAnsi="Calibri" w:cs="Calibri"/>
        </w:rPr>
        <w:t>P</w:t>
      </w:r>
      <w:r w:rsidRPr="00410649">
        <w:rPr>
          <w:rStyle w:val="eop"/>
          <w:rFonts w:ascii="Calibri" w:hAnsi="Calibri" w:cs="Calibri"/>
        </w:rPr>
        <w:t>refer not to say</w:t>
      </w:r>
    </w:p>
    <w:p w14:paraId="397024A0" w14:textId="77777777" w:rsidR="00E94739" w:rsidRPr="003F134A" w:rsidRDefault="00E94739" w:rsidP="00140C5B">
      <w:pPr>
        <w:pStyle w:val="paragraph"/>
        <w:numPr>
          <w:ilvl w:val="0"/>
          <w:numId w:val="121"/>
        </w:numPr>
        <w:tabs>
          <w:tab w:val="clear" w:pos="720"/>
        </w:tabs>
        <w:spacing w:before="0" w:beforeAutospacing="0" w:after="0" w:afterAutospacing="0"/>
        <w:ind w:left="284" w:hanging="284"/>
        <w:textAlignment w:val="baseline"/>
        <w:rPr>
          <w:b/>
          <w:bCs/>
        </w:rPr>
      </w:pPr>
      <w:r w:rsidRPr="003F134A">
        <w:rPr>
          <w:rStyle w:val="normaltextrun"/>
          <w:b/>
          <w:bCs/>
        </w:rPr>
        <w:t>What is your age?</w:t>
      </w:r>
      <w:r w:rsidRPr="003F134A">
        <w:rPr>
          <w:rStyle w:val="eop"/>
          <w:b/>
          <w:bCs/>
        </w:rPr>
        <w:t> </w:t>
      </w:r>
    </w:p>
    <w:p w14:paraId="1E39D529" w14:textId="77777777" w:rsidR="00E94739" w:rsidRDefault="00E94739" w:rsidP="00140C5B">
      <w:pPr>
        <w:pStyle w:val="paragraph"/>
        <w:numPr>
          <w:ilvl w:val="0"/>
          <w:numId w:val="122"/>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18-19 years </w:t>
      </w:r>
      <w:r>
        <w:rPr>
          <w:rStyle w:val="eop"/>
          <w:rFonts w:ascii="Calibri" w:hAnsi="Calibri" w:cs="Calibri"/>
        </w:rPr>
        <w:t> </w:t>
      </w:r>
    </w:p>
    <w:p w14:paraId="2BB340DD" w14:textId="77777777" w:rsidR="00E94739" w:rsidRDefault="00E94739" w:rsidP="00140C5B">
      <w:pPr>
        <w:pStyle w:val="paragraph"/>
        <w:numPr>
          <w:ilvl w:val="0"/>
          <w:numId w:val="122"/>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20-29 years</w:t>
      </w:r>
      <w:r>
        <w:rPr>
          <w:rStyle w:val="eop"/>
          <w:rFonts w:ascii="Calibri" w:hAnsi="Calibri" w:cs="Calibri"/>
        </w:rPr>
        <w:t> </w:t>
      </w:r>
    </w:p>
    <w:p w14:paraId="16CC3641" w14:textId="77777777" w:rsidR="00E94739" w:rsidRDefault="00E94739" w:rsidP="00140C5B">
      <w:pPr>
        <w:pStyle w:val="paragraph"/>
        <w:numPr>
          <w:ilvl w:val="0"/>
          <w:numId w:val="122"/>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30-39 years</w:t>
      </w:r>
      <w:r>
        <w:rPr>
          <w:rStyle w:val="eop"/>
          <w:rFonts w:ascii="Calibri" w:hAnsi="Calibri" w:cs="Calibri"/>
        </w:rPr>
        <w:t> </w:t>
      </w:r>
    </w:p>
    <w:p w14:paraId="334A1888" w14:textId="77777777" w:rsidR="00E94739" w:rsidRDefault="00E94739" w:rsidP="00140C5B">
      <w:pPr>
        <w:pStyle w:val="paragraph"/>
        <w:numPr>
          <w:ilvl w:val="0"/>
          <w:numId w:val="122"/>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40-49 years</w:t>
      </w:r>
      <w:r>
        <w:rPr>
          <w:rStyle w:val="eop"/>
          <w:rFonts w:ascii="Calibri" w:hAnsi="Calibri" w:cs="Calibri"/>
        </w:rPr>
        <w:t> </w:t>
      </w:r>
    </w:p>
    <w:p w14:paraId="3C9BE6BC" w14:textId="77777777" w:rsidR="00E94739" w:rsidRDefault="00E94739" w:rsidP="00140C5B">
      <w:pPr>
        <w:pStyle w:val="paragraph"/>
        <w:numPr>
          <w:ilvl w:val="0"/>
          <w:numId w:val="123"/>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50-59 years</w:t>
      </w:r>
      <w:r>
        <w:rPr>
          <w:rStyle w:val="eop"/>
          <w:rFonts w:ascii="Calibri" w:hAnsi="Calibri" w:cs="Calibri"/>
        </w:rPr>
        <w:t> </w:t>
      </w:r>
    </w:p>
    <w:p w14:paraId="43EF7F28" w14:textId="77777777" w:rsidR="00E94739" w:rsidRDefault="00E94739" w:rsidP="00140C5B">
      <w:pPr>
        <w:pStyle w:val="paragraph"/>
        <w:numPr>
          <w:ilvl w:val="0"/>
          <w:numId w:val="123"/>
        </w:numPr>
        <w:tabs>
          <w:tab w:val="clear" w:pos="720"/>
        </w:tabs>
        <w:spacing w:before="0" w:beforeAutospacing="0" w:after="0" w:afterAutospacing="0"/>
        <w:ind w:left="284" w:hanging="284"/>
        <w:textAlignment w:val="baseline"/>
        <w:rPr>
          <w:rFonts w:ascii="Verdana" w:hAnsi="Verdana" w:cs="Segoe UI"/>
        </w:rPr>
      </w:pPr>
      <w:r>
        <w:rPr>
          <w:rStyle w:val="normaltextrun"/>
          <w:rFonts w:ascii="Calibri" w:hAnsi="Calibri" w:cs="Calibri"/>
        </w:rPr>
        <w:t>60-69 years</w:t>
      </w:r>
      <w:r>
        <w:rPr>
          <w:rStyle w:val="eop"/>
          <w:rFonts w:ascii="Calibri" w:hAnsi="Calibri" w:cs="Calibri"/>
        </w:rPr>
        <w:t> </w:t>
      </w:r>
    </w:p>
    <w:p w14:paraId="55EDF899" w14:textId="77777777" w:rsidR="00E94739" w:rsidRDefault="00E94739" w:rsidP="00140C5B">
      <w:pPr>
        <w:pStyle w:val="paragraph"/>
        <w:numPr>
          <w:ilvl w:val="0"/>
          <w:numId w:val="123"/>
        </w:numPr>
        <w:tabs>
          <w:tab w:val="clear" w:pos="720"/>
        </w:tabs>
        <w:spacing w:before="0" w:beforeAutospacing="0" w:after="0" w:afterAutospacing="0"/>
        <w:ind w:left="284" w:hanging="284"/>
        <w:textAlignment w:val="baseline"/>
        <w:rPr>
          <w:rStyle w:val="eop"/>
          <w:rFonts w:ascii="Calibri" w:hAnsi="Calibri" w:cs="Calibri"/>
        </w:rPr>
      </w:pPr>
      <w:r w:rsidRPr="00F56940">
        <w:rPr>
          <w:rStyle w:val="normaltextrun"/>
          <w:rFonts w:ascii="Calibri" w:hAnsi="Calibri" w:cs="Calibri"/>
        </w:rPr>
        <w:t>70-79 years</w:t>
      </w:r>
      <w:r w:rsidRPr="00F56940">
        <w:rPr>
          <w:rStyle w:val="eop"/>
          <w:rFonts w:ascii="Calibri" w:hAnsi="Calibri" w:cs="Calibri"/>
        </w:rPr>
        <w:t> </w:t>
      </w:r>
    </w:p>
    <w:p w14:paraId="2566E1F8" w14:textId="77777777" w:rsidR="00E94739" w:rsidRDefault="00E94739" w:rsidP="00140C5B">
      <w:pPr>
        <w:pStyle w:val="paragraph"/>
        <w:numPr>
          <w:ilvl w:val="0"/>
          <w:numId w:val="123"/>
        </w:numPr>
        <w:tabs>
          <w:tab w:val="clear" w:pos="720"/>
        </w:tabs>
        <w:spacing w:before="0" w:beforeAutospacing="0" w:after="0" w:afterAutospacing="0"/>
        <w:ind w:left="284" w:hanging="284"/>
        <w:textAlignment w:val="baseline"/>
        <w:rPr>
          <w:rStyle w:val="eop"/>
          <w:rFonts w:ascii="Calibri" w:hAnsi="Calibri" w:cs="Calibri"/>
        </w:rPr>
      </w:pPr>
      <w:r w:rsidRPr="00F56940">
        <w:rPr>
          <w:rStyle w:val="normaltextrun"/>
          <w:rFonts w:ascii="Calibri" w:hAnsi="Calibri" w:cs="Calibri"/>
        </w:rPr>
        <w:t>80 years or older</w:t>
      </w:r>
      <w:r w:rsidRPr="00F56940">
        <w:rPr>
          <w:rStyle w:val="eop"/>
          <w:rFonts w:ascii="Calibri" w:hAnsi="Calibri" w:cs="Calibri"/>
        </w:rPr>
        <w:t> </w:t>
      </w:r>
    </w:p>
    <w:p w14:paraId="76F7BF82" w14:textId="64E267C7" w:rsidR="003F134A" w:rsidRDefault="00E94739" w:rsidP="00140C5B">
      <w:pPr>
        <w:pStyle w:val="paragraph"/>
        <w:numPr>
          <w:ilvl w:val="0"/>
          <w:numId w:val="123"/>
        </w:numPr>
        <w:tabs>
          <w:tab w:val="clear" w:pos="720"/>
        </w:tabs>
        <w:spacing w:before="0" w:beforeAutospacing="0" w:after="0" w:afterAutospacing="0"/>
        <w:ind w:left="284" w:hanging="284"/>
        <w:textAlignment w:val="baseline"/>
        <w:rPr>
          <w:rStyle w:val="eop"/>
          <w:rFonts w:ascii="Calibri" w:hAnsi="Calibri" w:cs="Calibri"/>
        </w:rPr>
      </w:pPr>
      <w:r w:rsidRPr="00F56940">
        <w:rPr>
          <w:rStyle w:val="eop"/>
          <w:rFonts w:ascii="Calibri" w:hAnsi="Calibri" w:cs="Calibri"/>
        </w:rPr>
        <w:t xml:space="preserve">Prefer not to say </w:t>
      </w:r>
    </w:p>
    <w:p w14:paraId="30DE8D60" w14:textId="04168F79" w:rsidR="00E94739" w:rsidRPr="003F134A" w:rsidRDefault="003F134A" w:rsidP="003F134A">
      <w:pPr>
        <w:spacing w:after="200"/>
        <w:rPr>
          <w:rStyle w:val="eop"/>
          <w:rFonts w:ascii="Calibri" w:hAnsi="Calibri" w:cs="Calibri"/>
          <w:sz w:val="21"/>
          <w:szCs w:val="21"/>
          <w:lang w:eastAsia="en-AU"/>
        </w:rPr>
      </w:pPr>
      <w:r>
        <w:rPr>
          <w:rStyle w:val="eop"/>
          <w:rFonts w:ascii="Calibri" w:hAnsi="Calibri" w:cs="Calibri"/>
        </w:rPr>
        <w:br w:type="page"/>
      </w:r>
    </w:p>
    <w:p w14:paraId="197AC4F5" w14:textId="77777777" w:rsidR="00E94739" w:rsidRPr="00D07BFF" w:rsidRDefault="00E94739" w:rsidP="00E94739">
      <w:pPr>
        <w:pStyle w:val="paragraph"/>
        <w:spacing w:before="0" w:beforeAutospacing="0" w:after="0" w:afterAutospacing="0"/>
        <w:textAlignment w:val="baseline"/>
        <w:rPr>
          <w:sz w:val="18"/>
          <w:szCs w:val="18"/>
        </w:rPr>
      </w:pPr>
    </w:p>
    <w:p w14:paraId="15E29FAE" w14:textId="77777777" w:rsidR="00E94739" w:rsidRPr="00D07BFF" w:rsidRDefault="00E94739" w:rsidP="00140C5B">
      <w:pPr>
        <w:pStyle w:val="paragraph"/>
        <w:numPr>
          <w:ilvl w:val="0"/>
          <w:numId w:val="124"/>
        </w:numPr>
        <w:tabs>
          <w:tab w:val="clear" w:pos="720"/>
        </w:tabs>
        <w:spacing w:before="0" w:beforeAutospacing="0" w:after="0" w:afterAutospacing="0"/>
        <w:ind w:left="426" w:hanging="426"/>
        <w:textAlignment w:val="baseline"/>
        <w:rPr>
          <w:rFonts w:ascii="Segoe UI" w:hAnsi="Segoe UI" w:cs="Segoe UI"/>
          <w:b/>
          <w:bCs/>
        </w:rPr>
      </w:pPr>
      <w:r w:rsidRPr="00D07BFF">
        <w:rPr>
          <w:rStyle w:val="normaltextrun"/>
          <w:rFonts w:ascii="Calibri" w:hAnsi="Calibri" w:cs="Calibri"/>
          <w:b/>
          <w:bCs/>
        </w:rPr>
        <w:t>Do you identify as Aboriginal and/or Torres Strait Islander?</w:t>
      </w:r>
      <w:r w:rsidRPr="00D07BFF">
        <w:rPr>
          <w:rStyle w:val="eop"/>
          <w:rFonts w:ascii="Calibri" w:hAnsi="Calibri" w:cs="Calibri"/>
          <w:b/>
          <w:bCs/>
        </w:rPr>
        <w:t> </w:t>
      </w:r>
    </w:p>
    <w:p w14:paraId="3214A44A" w14:textId="77777777" w:rsidR="00E94739" w:rsidRPr="00D07BFF" w:rsidRDefault="00E94739" w:rsidP="00140C5B">
      <w:pPr>
        <w:pStyle w:val="paragraph"/>
        <w:numPr>
          <w:ilvl w:val="0"/>
          <w:numId w:val="125"/>
        </w:numPr>
        <w:tabs>
          <w:tab w:val="clear" w:pos="720"/>
        </w:tabs>
        <w:spacing w:before="0" w:beforeAutospacing="0" w:after="0" w:afterAutospacing="0"/>
        <w:ind w:left="568" w:hanging="284"/>
        <w:textAlignment w:val="baseline"/>
      </w:pPr>
      <w:r w:rsidRPr="00D07BFF">
        <w:rPr>
          <w:rStyle w:val="normaltextrun"/>
        </w:rPr>
        <w:t>Aboriginal </w:t>
      </w:r>
      <w:r w:rsidRPr="00D07BFF">
        <w:rPr>
          <w:rStyle w:val="eop"/>
        </w:rPr>
        <w:t> </w:t>
      </w:r>
    </w:p>
    <w:p w14:paraId="5CEF68B2" w14:textId="77777777" w:rsidR="00E94739" w:rsidRPr="00D07BFF" w:rsidRDefault="00E94739" w:rsidP="00140C5B">
      <w:pPr>
        <w:pStyle w:val="paragraph"/>
        <w:numPr>
          <w:ilvl w:val="0"/>
          <w:numId w:val="125"/>
        </w:numPr>
        <w:tabs>
          <w:tab w:val="clear" w:pos="720"/>
        </w:tabs>
        <w:spacing w:before="0" w:beforeAutospacing="0" w:after="0" w:afterAutospacing="0"/>
        <w:ind w:left="568" w:hanging="284"/>
        <w:textAlignment w:val="baseline"/>
      </w:pPr>
      <w:r w:rsidRPr="00D07BFF">
        <w:rPr>
          <w:rStyle w:val="normaltextrun"/>
        </w:rPr>
        <w:t xml:space="preserve">Torres Strait Islander </w:t>
      </w:r>
      <w:r w:rsidRPr="00D07BFF">
        <w:rPr>
          <w:rStyle w:val="eop"/>
        </w:rPr>
        <w:t> </w:t>
      </w:r>
    </w:p>
    <w:p w14:paraId="67906F3F" w14:textId="77777777" w:rsidR="00E94739" w:rsidRPr="00D07BFF" w:rsidRDefault="00E94739" w:rsidP="00140C5B">
      <w:pPr>
        <w:pStyle w:val="paragraph"/>
        <w:numPr>
          <w:ilvl w:val="0"/>
          <w:numId w:val="125"/>
        </w:numPr>
        <w:tabs>
          <w:tab w:val="clear" w:pos="720"/>
        </w:tabs>
        <w:spacing w:before="0" w:beforeAutospacing="0" w:after="0" w:afterAutospacing="0"/>
        <w:ind w:left="568" w:hanging="284"/>
        <w:textAlignment w:val="baseline"/>
      </w:pPr>
      <w:r w:rsidRPr="00D07BFF">
        <w:rPr>
          <w:rStyle w:val="normaltextrun"/>
        </w:rPr>
        <w:t>Both Aboriginal and Torres Strait Islander</w:t>
      </w:r>
      <w:r w:rsidRPr="00D07BFF">
        <w:rPr>
          <w:rStyle w:val="eop"/>
        </w:rPr>
        <w:t> </w:t>
      </w:r>
    </w:p>
    <w:p w14:paraId="2B08A405" w14:textId="77777777" w:rsidR="00E94739" w:rsidRPr="00D07BFF" w:rsidRDefault="00E94739" w:rsidP="00140C5B">
      <w:pPr>
        <w:pStyle w:val="paragraph"/>
        <w:numPr>
          <w:ilvl w:val="0"/>
          <w:numId w:val="126"/>
        </w:numPr>
        <w:tabs>
          <w:tab w:val="clear" w:pos="720"/>
        </w:tabs>
        <w:spacing w:before="0" w:beforeAutospacing="0" w:after="0" w:afterAutospacing="0"/>
        <w:ind w:left="568" w:hanging="284"/>
        <w:textAlignment w:val="baseline"/>
      </w:pPr>
      <w:r w:rsidRPr="00D07BFF">
        <w:rPr>
          <w:rStyle w:val="normaltextrun"/>
        </w:rPr>
        <w:t>Neither Aboriginal nor Torres Strait Islander</w:t>
      </w:r>
      <w:r w:rsidRPr="00D07BFF">
        <w:rPr>
          <w:rStyle w:val="eop"/>
        </w:rPr>
        <w:t> </w:t>
      </w:r>
    </w:p>
    <w:p w14:paraId="05892F62" w14:textId="77777777" w:rsidR="00E94739" w:rsidRPr="00D07BFF" w:rsidRDefault="00E94739" w:rsidP="00140C5B">
      <w:pPr>
        <w:pStyle w:val="ListParagraph"/>
        <w:numPr>
          <w:ilvl w:val="0"/>
          <w:numId w:val="126"/>
        </w:numPr>
        <w:tabs>
          <w:tab w:val="clear" w:pos="720"/>
        </w:tabs>
        <w:ind w:left="568" w:hanging="284"/>
      </w:pPr>
      <w:r w:rsidRPr="00D07BFF">
        <w:t xml:space="preserve">Prefer not to say </w:t>
      </w:r>
    </w:p>
    <w:p w14:paraId="7AEB74BA" w14:textId="77777777" w:rsidR="00E94739" w:rsidRPr="00D07BFF" w:rsidRDefault="00E94739" w:rsidP="00140C5B">
      <w:pPr>
        <w:pStyle w:val="paragraph"/>
        <w:numPr>
          <w:ilvl w:val="0"/>
          <w:numId w:val="127"/>
        </w:numPr>
        <w:tabs>
          <w:tab w:val="clear" w:pos="720"/>
        </w:tabs>
        <w:ind w:left="284" w:hanging="284"/>
        <w:rPr>
          <w:rFonts w:ascii="Calibri" w:hAnsi="Calibri" w:cs="Calibri"/>
          <w:b/>
          <w:bCs/>
        </w:rPr>
      </w:pPr>
      <w:r w:rsidRPr="00D07BFF">
        <w:rPr>
          <w:rFonts w:ascii="Calibri" w:hAnsi="Calibri" w:cs="Calibri"/>
          <w:b/>
          <w:bCs/>
        </w:rPr>
        <w:t>What is your postcode? (Please leave blank if you prefer not to say.) </w:t>
      </w:r>
    </w:p>
    <w:p w14:paraId="35E9F144" w14:textId="77777777" w:rsidR="00E94739" w:rsidRPr="00D07BFF" w:rsidRDefault="00E94739" w:rsidP="00140C5B">
      <w:pPr>
        <w:pStyle w:val="paragraph"/>
        <w:numPr>
          <w:ilvl w:val="0"/>
          <w:numId w:val="128"/>
        </w:numPr>
        <w:tabs>
          <w:tab w:val="clear" w:pos="720"/>
        </w:tabs>
        <w:snapToGrid w:val="0"/>
        <w:spacing w:before="0" w:beforeAutospacing="0" w:after="0" w:afterAutospacing="0"/>
        <w:ind w:left="284" w:hanging="284"/>
        <w:rPr>
          <w:rFonts w:ascii="Calibri" w:hAnsi="Calibri" w:cs="Calibri"/>
          <w:b/>
          <w:bCs/>
        </w:rPr>
      </w:pPr>
      <w:r w:rsidRPr="00D07BFF">
        <w:rPr>
          <w:rFonts w:ascii="Calibri" w:hAnsi="Calibri" w:cs="Calibri"/>
          <w:b/>
          <w:bCs/>
        </w:rPr>
        <w:t>Are you willing to take part in a follow-up interview, which should take around 20 minutes, to provide more detailed information about your experience? </w:t>
      </w:r>
    </w:p>
    <w:p w14:paraId="6AD9948B" w14:textId="77777777" w:rsidR="00E94739" w:rsidRPr="00525E40" w:rsidRDefault="00E94739" w:rsidP="00140C5B">
      <w:pPr>
        <w:pStyle w:val="paragraph"/>
        <w:numPr>
          <w:ilvl w:val="0"/>
          <w:numId w:val="129"/>
        </w:numPr>
        <w:tabs>
          <w:tab w:val="clear" w:pos="2992"/>
        </w:tabs>
        <w:snapToGrid w:val="0"/>
        <w:spacing w:before="0" w:beforeAutospacing="0" w:after="0" w:afterAutospacing="0"/>
        <w:ind w:left="284" w:hanging="284"/>
        <w:rPr>
          <w:rFonts w:ascii="Calibri" w:hAnsi="Calibri" w:cs="Calibri"/>
        </w:rPr>
      </w:pPr>
      <w:r w:rsidRPr="00525E40">
        <w:rPr>
          <w:rFonts w:ascii="Calibri" w:hAnsi="Calibri" w:cs="Calibri"/>
        </w:rPr>
        <w:t>Yes</w:t>
      </w:r>
    </w:p>
    <w:p w14:paraId="38248657" w14:textId="77777777" w:rsidR="00E94739" w:rsidRPr="00525E40" w:rsidRDefault="00E94739" w:rsidP="00140C5B">
      <w:pPr>
        <w:pStyle w:val="paragraph"/>
        <w:numPr>
          <w:ilvl w:val="0"/>
          <w:numId w:val="129"/>
        </w:numPr>
        <w:tabs>
          <w:tab w:val="clear" w:pos="2992"/>
        </w:tabs>
        <w:snapToGrid w:val="0"/>
        <w:spacing w:before="0" w:beforeAutospacing="0" w:after="0" w:afterAutospacing="0"/>
        <w:ind w:left="284" w:hanging="284"/>
        <w:rPr>
          <w:rFonts w:ascii="Calibri" w:hAnsi="Calibri" w:cs="Calibri"/>
        </w:rPr>
      </w:pPr>
      <w:r w:rsidRPr="00525E40">
        <w:rPr>
          <w:rFonts w:ascii="Calibri" w:hAnsi="Calibri" w:cs="Calibri"/>
        </w:rPr>
        <w:t>No</w:t>
      </w:r>
    </w:p>
    <w:p w14:paraId="6C429C88" w14:textId="77777777" w:rsidR="00E94739" w:rsidRPr="00525E40" w:rsidRDefault="00E94739" w:rsidP="00E94739">
      <w:pPr>
        <w:pStyle w:val="paragraph"/>
        <w:ind w:left="284" w:hanging="284"/>
        <w:rPr>
          <w:rFonts w:ascii="Calibri" w:hAnsi="Calibri" w:cs="Calibri"/>
        </w:rPr>
      </w:pPr>
      <w:r w:rsidRPr="00525E40">
        <w:rPr>
          <w:rFonts w:ascii="Calibri" w:hAnsi="Calibri" w:cs="Calibri"/>
          <w:b/>
          <w:bCs/>
        </w:rPr>
        <w:t>If yes, please provide your contact details.</w:t>
      </w:r>
    </w:p>
    <w:p w14:paraId="527C00F2" w14:textId="77777777" w:rsidR="00E94739" w:rsidRPr="00525E40" w:rsidRDefault="00E94739" w:rsidP="00E94739">
      <w:pPr>
        <w:pStyle w:val="paragraph"/>
        <w:ind w:left="284" w:hanging="284"/>
        <w:rPr>
          <w:rFonts w:ascii="Calibri" w:hAnsi="Calibri" w:cs="Calibri"/>
        </w:rPr>
      </w:pPr>
      <w:proofErr w:type="gramStart"/>
      <w:r w:rsidRPr="00525E40">
        <w:rPr>
          <w:rFonts w:ascii="Calibri" w:hAnsi="Calibri" w:cs="Calibri"/>
          <w:b/>
          <w:bCs/>
        </w:rPr>
        <w:t>Name:_</w:t>
      </w:r>
      <w:proofErr w:type="gramEnd"/>
      <w:r w:rsidRPr="00525E40">
        <w:rPr>
          <w:rFonts w:ascii="Calibri" w:hAnsi="Calibri" w:cs="Calibri"/>
          <w:b/>
          <w:bCs/>
        </w:rPr>
        <w:t>__________________</w:t>
      </w:r>
    </w:p>
    <w:p w14:paraId="7A3D2159" w14:textId="77777777" w:rsidR="00E94739" w:rsidRPr="00525E40" w:rsidRDefault="00E94739" w:rsidP="00E94739">
      <w:pPr>
        <w:pStyle w:val="paragraph"/>
        <w:ind w:left="284" w:hanging="284"/>
        <w:rPr>
          <w:rFonts w:ascii="Calibri" w:hAnsi="Calibri" w:cs="Calibri"/>
        </w:rPr>
      </w:pPr>
      <w:r w:rsidRPr="00525E40">
        <w:rPr>
          <w:rFonts w:ascii="Calibri" w:hAnsi="Calibri" w:cs="Calibri"/>
          <w:b/>
          <w:bCs/>
        </w:rPr>
        <w:t xml:space="preserve">Phone </w:t>
      </w:r>
      <w:proofErr w:type="gramStart"/>
      <w:r w:rsidRPr="00525E40">
        <w:rPr>
          <w:rFonts w:ascii="Calibri" w:hAnsi="Calibri" w:cs="Calibri"/>
          <w:b/>
          <w:bCs/>
        </w:rPr>
        <w:t>number:_</w:t>
      </w:r>
      <w:proofErr w:type="gramEnd"/>
      <w:r w:rsidRPr="00525E40">
        <w:rPr>
          <w:rFonts w:ascii="Calibri" w:hAnsi="Calibri" w:cs="Calibri"/>
          <w:b/>
          <w:bCs/>
        </w:rPr>
        <w:t>________________________</w:t>
      </w:r>
    </w:p>
    <w:p w14:paraId="16354095" w14:textId="77777777" w:rsidR="00E94739" w:rsidRPr="00525E40" w:rsidRDefault="00E94739" w:rsidP="00E94739">
      <w:pPr>
        <w:pStyle w:val="paragraph"/>
        <w:ind w:left="284" w:hanging="284"/>
        <w:rPr>
          <w:rFonts w:ascii="Calibri" w:hAnsi="Calibri" w:cs="Calibri"/>
        </w:rPr>
      </w:pPr>
      <w:r w:rsidRPr="00525E40">
        <w:rPr>
          <w:rFonts w:ascii="Calibri" w:hAnsi="Calibri" w:cs="Calibri"/>
          <w:b/>
          <w:bCs/>
        </w:rPr>
        <w:t>Best days and times to contact you: ________________________</w:t>
      </w:r>
    </w:p>
    <w:p w14:paraId="13FB4150" w14:textId="77777777" w:rsidR="00E94739" w:rsidRDefault="00E94739" w:rsidP="00E94739">
      <w:pPr>
        <w:pStyle w:val="paragraph"/>
        <w:spacing w:before="0" w:beforeAutospacing="0" w:after="0" w:afterAutospacing="0"/>
        <w:ind w:left="284" w:hanging="284"/>
        <w:jc w:val="center"/>
        <w:textAlignment w:val="baseline"/>
        <w:rPr>
          <w:rStyle w:val="normaltextrun"/>
          <w:rFonts w:ascii="Calibri" w:hAnsi="Calibri" w:cs="Calibri"/>
          <w:b/>
          <w:bCs/>
        </w:rPr>
      </w:pPr>
      <w:r>
        <w:rPr>
          <w:rStyle w:val="normaltextrun"/>
          <w:rFonts w:ascii="Calibri" w:hAnsi="Calibri" w:cs="Calibri"/>
          <w:b/>
          <w:bCs/>
        </w:rPr>
        <w:t>Thank you for participating in the survey.</w:t>
      </w:r>
    </w:p>
    <w:p w14:paraId="3417AC2F" w14:textId="77777777" w:rsidR="00D52BC8" w:rsidRDefault="00D52BC8" w:rsidP="00E94739">
      <w:pPr>
        <w:pStyle w:val="paragraph"/>
        <w:spacing w:before="0" w:beforeAutospacing="0" w:after="0" w:afterAutospacing="0"/>
        <w:ind w:left="284" w:hanging="284"/>
        <w:jc w:val="center"/>
        <w:textAlignment w:val="baseline"/>
        <w:rPr>
          <w:rStyle w:val="normaltextrun"/>
          <w:rFonts w:ascii="Calibri" w:hAnsi="Calibri" w:cs="Calibri"/>
          <w:b/>
          <w:bCs/>
        </w:rPr>
      </w:pPr>
    </w:p>
    <w:p w14:paraId="15BD71C2" w14:textId="14D596C7" w:rsidR="00D52BC8" w:rsidRPr="004E4C49" w:rsidRDefault="00D52BC8" w:rsidP="006F6DCB">
      <w:pPr>
        <w:pStyle w:val="Heading2"/>
        <w:numPr>
          <w:ilvl w:val="0"/>
          <w:numId w:val="0"/>
        </w:numPr>
        <w:rPr>
          <w:rStyle w:val="normaltextrun"/>
        </w:rPr>
      </w:pPr>
      <w:bookmarkStart w:id="335" w:name="_Toc108784929"/>
      <w:r w:rsidRPr="004E4C49">
        <w:rPr>
          <w:rStyle w:val="normaltextrun"/>
        </w:rPr>
        <w:t>Interview questions</w:t>
      </w:r>
      <w:bookmarkEnd w:id="335"/>
    </w:p>
    <w:p w14:paraId="03467B6D" w14:textId="63417ECD" w:rsidR="005B0DEB" w:rsidRPr="003B614B" w:rsidRDefault="005B0DEB" w:rsidP="005B0DEB">
      <w:pPr>
        <w:pStyle w:val="ANorm"/>
        <w:rPr>
          <w:rFonts w:ascii="Segoe UI" w:hAnsi="Segoe UI" w:cs="Segoe UI"/>
          <w:sz w:val="18"/>
          <w:szCs w:val="18"/>
        </w:rPr>
      </w:pPr>
      <w:r>
        <w:rPr>
          <w:rStyle w:val="normaltextrun"/>
          <w:rFonts w:cs="Calibri"/>
        </w:rPr>
        <w:t>Thank you for agreeing to participate in this interview about supported digital mental health services. We are interested in mental health services that are delivered online via desktop computers or mobile devices. When we refer to supported digital mental health services, we mean that the digital service includes the option of receiving support from a therapist within the program. You were invited to participate because you have recently provided online psychological services. The interview will take about 15 minutes. Your responses are confidential, and you are free to withdraw from the interview at any stage.</w:t>
      </w:r>
    </w:p>
    <w:p w14:paraId="41F9C928" w14:textId="77777777" w:rsidR="005B0DEB" w:rsidRPr="005B0DEB" w:rsidRDefault="005B0DEB" w:rsidP="00140C5B">
      <w:pPr>
        <w:pStyle w:val="ANorm"/>
        <w:numPr>
          <w:ilvl w:val="0"/>
          <w:numId w:val="131"/>
        </w:numPr>
        <w:rPr>
          <w:rFonts w:asciiTheme="minorHAnsi" w:hAnsiTheme="minorHAnsi" w:cstheme="minorHAnsi"/>
          <w:b/>
          <w:bCs/>
        </w:rPr>
      </w:pPr>
      <w:r w:rsidRPr="005B0DEB">
        <w:rPr>
          <w:rStyle w:val="normaltextrun"/>
          <w:rFonts w:asciiTheme="minorHAnsi" w:hAnsiTheme="minorHAnsi" w:cstheme="minorHAnsi"/>
          <w:b/>
          <w:bCs/>
        </w:rPr>
        <w:t>Please describe your role and the interventions you provide to support the digital mental health intervention?</w:t>
      </w:r>
      <w:r w:rsidRPr="005B0DEB">
        <w:rPr>
          <w:rStyle w:val="eop"/>
          <w:rFonts w:asciiTheme="minorHAnsi" w:hAnsiTheme="minorHAnsi" w:cstheme="minorHAnsi"/>
          <w:b/>
          <w:bCs/>
        </w:rPr>
        <w:t> </w:t>
      </w:r>
    </w:p>
    <w:p w14:paraId="26A6E518" w14:textId="77777777" w:rsidR="005B0DEB" w:rsidRPr="005B0DEB" w:rsidRDefault="005B0DEB" w:rsidP="00140C5B">
      <w:pPr>
        <w:pStyle w:val="ANorm"/>
        <w:numPr>
          <w:ilvl w:val="0"/>
          <w:numId w:val="131"/>
        </w:numPr>
        <w:rPr>
          <w:rFonts w:asciiTheme="minorHAnsi" w:hAnsiTheme="minorHAnsi" w:cstheme="minorHAnsi"/>
          <w:b/>
          <w:bCs/>
        </w:rPr>
      </w:pPr>
      <w:r w:rsidRPr="005B0DEB">
        <w:rPr>
          <w:rStyle w:val="normaltextrun"/>
          <w:rFonts w:asciiTheme="minorHAnsi" w:hAnsiTheme="minorHAnsi" w:cstheme="minorHAnsi"/>
          <w:b/>
          <w:bCs/>
        </w:rPr>
        <w:t>Approximately how many clients a week do you support through the digital mental health program?</w:t>
      </w:r>
      <w:r w:rsidRPr="005B0DEB">
        <w:rPr>
          <w:rStyle w:val="eop"/>
          <w:rFonts w:asciiTheme="minorHAnsi" w:hAnsiTheme="minorHAnsi" w:cstheme="minorHAnsi"/>
          <w:b/>
          <w:bCs/>
        </w:rPr>
        <w:t> </w:t>
      </w:r>
    </w:p>
    <w:p w14:paraId="6BAF80DD" w14:textId="77777777" w:rsidR="005B0DEB" w:rsidRPr="005B0DEB" w:rsidRDefault="005B0DEB" w:rsidP="00140C5B">
      <w:pPr>
        <w:pStyle w:val="ANorm"/>
        <w:numPr>
          <w:ilvl w:val="0"/>
          <w:numId w:val="131"/>
        </w:numPr>
        <w:rPr>
          <w:rFonts w:asciiTheme="minorHAnsi" w:hAnsiTheme="minorHAnsi" w:cstheme="minorHAnsi"/>
          <w:b/>
          <w:bCs/>
        </w:rPr>
      </w:pPr>
      <w:r w:rsidRPr="005B0DEB">
        <w:rPr>
          <w:rStyle w:val="normaltextrun"/>
          <w:rFonts w:asciiTheme="minorHAnsi" w:hAnsiTheme="minorHAnsi" w:cstheme="minorHAnsi"/>
          <w:b/>
          <w:bCs/>
        </w:rPr>
        <w:t>Has providing digital mental health interventions had an impact on your consultations with consumers? If yes, how?</w:t>
      </w:r>
      <w:r w:rsidRPr="005B0DEB">
        <w:rPr>
          <w:rStyle w:val="eop"/>
          <w:rFonts w:asciiTheme="minorHAnsi" w:hAnsiTheme="minorHAnsi" w:cstheme="minorHAnsi"/>
          <w:b/>
          <w:bCs/>
        </w:rPr>
        <w:t> </w:t>
      </w:r>
    </w:p>
    <w:p w14:paraId="46EF9280" w14:textId="77777777" w:rsidR="005B0DEB" w:rsidRPr="005B0DEB" w:rsidRDefault="005B0DEB" w:rsidP="00140C5B">
      <w:pPr>
        <w:pStyle w:val="ANorm"/>
        <w:numPr>
          <w:ilvl w:val="0"/>
          <w:numId w:val="131"/>
        </w:numPr>
        <w:rPr>
          <w:rFonts w:asciiTheme="minorHAnsi" w:hAnsiTheme="minorHAnsi" w:cstheme="minorHAnsi"/>
          <w:b/>
          <w:bCs/>
        </w:rPr>
      </w:pPr>
      <w:r w:rsidRPr="005B0DEB">
        <w:rPr>
          <w:rStyle w:val="normaltextrun"/>
          <w:rFonts w:asciiTheme="minorHAnsi" w:hAnsiTheme="minorHAnsi" w:cstheme="minorHAnsi"/>
          <w:b/>
          <w:bCs/>
        </w:rPr>
        <w:t>Has providing digital mental health interventions impacted your overall caseload? If yes, how?</w:t>
      </w:r>
      <w:r w:rsidRPr="005B0DEB">
        <w:rPr>
          <w:rStyle w:val="eop"/>
          <w:rFonts w:asciiTheme="minorHAnsi" w:hAnsiTheme="minorHAnsi" w:cstheme="minorHAnsi"/>
          <w:b/>
          <w:bCs/>
        </w:rPr>
        <w:t> </w:t>
      </w:r>
    </w:p>
    <w:p w14:paraId="6FD407D9" w14:textId="77777777" w:rsidR="005B0DEB" w:rsidRPr="005B0DEB" w:rsidRDefault="005B0DEB" w:rsidP="00140C5B">
      <w:pPr>
        <w:pStyle w:val="ANorm"/>
        <w:numPr>
          <w:ilvl w:val="0"/>
          <w:numId w:val="131"/>
        </w:numPr>
        <w:rPr>
          <w:rFonts w:asciiTheme="minorHAnsi" w:hAnsiTheme="minorHAnsi" w:cstheme="minorHAnsi"/>
          <w:b/>
          <w:bCs/>
        </w:rPr>
      </w:pPr>
      <w:r w:rsidRPr="005B0DEB">
        <w:rPr>
          <w:rStyle w:val="normaltextrun"/>
          <w:rFonts w:asciiTheme="minorHAnsi" w:hAnsiTheme="minorHAnsi" w:cstheme="minorHAnsi"/>
          <w:b/>
          <w:bCs/>
        </w:rPr>
        <w:t>Has providing digital mental health interventions impacted your rapport with clients? If yes, how?</w:t>
      </w:r>
      <w:r w:rsidRPr="005B0DEB">
        <w:rPr>
          <w:rStyle w:val="eop"/>
          <w:rFonts w:asciiTheme="minorHAnsi" w:hAnsiTheme="minorHAnsi" w:cstheme="minorHAnsi"/>
          <w:b/>
          <w:bCs/>
        </w:rPr>
        <w:t> </w:t>
      </w:r>
    </w:p>
    <w:p w14:paraId="343DF762" w14:textId="77777777" w:rsidR="005B0DEB" w:rsidRPr="005B0DEB" w:rsidRDefault="005B0DEB" w:rsidP="00140C5B">
      <w:pPr>
        <w:pStyle w:val="ANorm"/>
        <w:numPr>
          <w:ilvl w:val="0"/>
          <w:numId w:val="131"/>
        </w:numPr>
        <w:rPr>
          <w:rFonts w:asciiTheme="minorHAnsi" w:hAnsiTheme="minorHAnsi" w:cstheme="minorHAnsi"/>
          <w:b/>
          <w:bCs/>
        </w:rPr>
      </w:pPr>
      <w:r w:rsidRPr="005B0DEB">
        <w:rPr>
          <w:rStyle w:val="normaltextrun"/>
          <w:rFonts w:asciiTheme="minorHAnsi" w:hAnsiTheme="minorHAnsi" w:cstheme="minorHAnsi"/>
          <w:b/>
          <w:bCs/>
        </w:rPr>
        <w:t>Has providing digital mental health interventions impacted multidisciplinary case planning or communication with other health professionals? If yes, how?</w:t>
      </w:r>
      <w:r w:rsidRPr="005B0DEB">
        <w:rPr>
          <w:rStyle w:val="eop"/>
          <w:rFonts w:asciiTheme="minorHAnsi" w:hAnsiTheme="minorHAnsi" w:cstheme="minorHAnsi"/>
          <w:b/>
          <w:bCs/>
        </w:rPr>
        <w:t> </w:t>
      </w:r>
    </w:p>
    <w:p w14:paraId="484845A4" w14:textId="77777777" w:rsidR="005B0DEB" w:rsidRPr="005B0DEB" w:rsidRDefault="005B0DEB" w:rsidP="00140C5B">
      <w:pPr>
        <w:pStyle w:val="ANorm"/>
        <w:numPr>
          <w:ilvl w:val="0"/>
          <w:numId w:val="131"/>
        </w:numPr>
        <w:rPr>
          <w:rFonts w:asciiTheme="minorHAnsi" w:hAnsiTheme="minorHAnsi" w:cstheme="minorHAnsi"/>
          <w:b/>
          <w:bCs/>
        </w:rPr>
      </w:pPr>
      <w:r w:rsidRPr="005B0DEB">
        <w:rPr>
          <w:rStyle w:val="normaltextrun"/>
          <w:rFonts w:asciiTheme="minorHAnsi" w:hAnsiTheme="minorHAnsi" w:cstheme="minorHAnsi"/>
          <w:b/>
          <w:bCs/>
        </w:rPr>
        <w:t>Have you found that providing digital mental health interventions has had positive impacts for you? If so, what have these impacts been?</w:t>
      </w:r>
      <w:r w:rsidRPr="005B0DEB">
        <w:rPr>
          <w:rStyle w:val="eop"/>
          <w:rFonts w:asciiTheme="minorHAnsi" w:hAnsiTheme="minorHAnsi" w:cstheme="minorHAnsi"/>
          <w:b/>
          <w:bCs/>
        </w:rPr>
        <w:t> </w:t>
      </w:r>
    </w:p>
    <w:p w14:paraId="17A472A8" w14:textId="77777777" w:rsidR="005B0DEB" w:rsidRPr="005B0DEB" w:rsidRDefault="005B0DEB" w:rsidP="00140C5B">
      <w:pPr>
        <w:pStyle w:val="ANorm"/>
        <w:numPr>
          <w:ilvl w:val="0"/>
          <w:numId w:val="131"/>
        </w:numPr>
        <w:rPr>
          <w:rFonts w:asciiTheme="minorHAnsi" w:hAnsiTheme="minorHAnsi" w:cstheme="minorHAnsi"/>
          <w:b/>
          <w:bCs/>
        </w:rPr>
      </w:pPr>
      <w:r w:rsidRPr="005B0DEB">
        <w:rPr>
          <w:rStyle w:val="normaltextrun"/>
          <w:rFonts w:asciiTheme="minorHAnsi" w:hAnsiTheme="minorHAnsi" w:cstheme="minorHAnsi"/>
          <w:b/>
          <w:bCs/>
        </w:rPr>
        <w:t>Have you found that providing digital mental health interventions has had negative impacts for you? If so, what have these impacts been?</w:t>
      </w:r>
      <w:r w:rsidRPr="005B0DEB">
        <w:rPr>
          <w:rStyle w:val="eop"/>
          <w:rFonts w:asciiTheme="minorHAnsi" w:hAnsiTheme="minorHAnsi" w:cstheme="minorHAnsi"/>
          <w:b/>
          <w:bCs/>
        </w:rPr>
        <w:t> </w:t>
      </w:r>
    </w:p>
    <w:p w14:paraId="1ACF54DA" w14:textId="77777777" w:rsidR="005B0DEB" w:rsidRPr="005B0DEB" w:rsidRDefault="005B0DEB" w:rsidP="00140C5B">
      <w:pPr>
        <w:pStyle w:val="ANorm"/>
        <w:numPr>
          <w:ilvl w:val="0"/>
          <w:numId w:val="131"/>
        </w:numPr>
        <w:rPr>
          <w:rFonts w:asciiTheme="minorHAnsi" w:hAnsiTheme="minorHAnsi" w:cstheme="minorHAnsi"/>
          <w:b/>
          <w:bCs/>
        </w:rPr>
      </w:pPr>
      <w:r w:rsidRPr="005B0DEB">
        <w:rPr>
          <w:rStyle w:val="normaltextrun"/>
          <w:rFonts w:asciiTheme="minorHAnsi" w:hAnsiTheme="minorHAnsi" w:cstheme="minorHAnsi"/>
          <w:b/>
          <w:bCs/>
        </w:rPr>
        <w:t>Would you say that being able to provide supported digital mental health interventions has benefited consumers under your care? If so, in what way(s)?</w:t>
      </w:r>
      <w:r w:rsidRPr="005B0DEB">
        <w:rPr>
          <w:rStyle w:val="eop"/>
          <w:rFonts w:asciiTheme="minorHAnsi" w:hAnsiTheme="minorHAnsi" w:cstheme="minorHAnsi"/>
          <w:b/>
          <w:bCs/>
        </w:rPr>
        <w:t> </w:t>
      </w:r>
    </w:p>
    <w:p w14:paraId="1EF6DD0E" w14:textId="77777777" w:rsidR="005B0DEB" w:rsidRPr="005B0DEB" w:rsidRDefault="005B0DEB" w:rsidP="00140C5B">
      <w:pPr>
        <w:pStyle w:val="ANorm"/>
        <w:numPr>
          <w:ilvl w:val="0"/>
          <w:numId w:val="131"/>
        </w:numPr>
        <w:rPr>
          <w:rFonts w:asciiTheme="minorHAnsi" w:hAnsiTheme="minorHAnsi" w:cstheme="minorHAnsi"/>
          <w:b/>
          <w:bCs/>
        </w:rPr>
      </w:pPr>
      <w:r w:rsidRPr="005B0DEB">
        <w:rPr>
          <w:rStyle w:val="normaltextrun"/>
          <w:rFonts w:asciiTheme="minorHAnsi" w:hAnsiTheme="minorHAnsi" w:cstheme="minorHAnsi"/>
          <w:b/>
          <w:bCs/>
        </w:rPr>
        <w:t>Would you say that being able to provide supported digital mental health interventions has had any negative impacts for consumers under your care? If so, what?</w:t>
      </w:r>
      <w:r w:rsidRPr="005B0DEB">
        <w:rPr>
          <w:rStyle w:val="eop"/>
          <w:rFonts w:asciiTheme="minorHAnsi" w:hAnsiTheme="minorHAnsi" w:cstheme="minorHAnsi"/>
          <w:b/>
          <w:bCs/>
        </w:rPr>
        <w:t> </w:t>
      </w:r>
    </w:p>
    <w:p w14:paraId="7F8B1BDA" w14:textId="77777777" w:rsidR="005B0DEB" w:rsidRPr="005B0DEB" w:rsidRDefault="005B0DEB" w:rsidP="00140C5B">
      <w:pPr>
        <w:pStyle w:val="ANorm"/>
        <w:numPr>
          <w:ilvl w:val="0"/>
          <w:numId w:val="131"/>
        </w:numPr>
        <w:rPr>
          <w:rFonts w:asciiTheme="minorHAnsi" w:hAnsiTheme="minorHAnsi" w:cstheme="minorHAnsi"/>
          <w:b/>
          <w:bCs/>
        </w:rPr>
      </w:pPr>
      <w:r w:rsidRPr="005B0DEB">
        <w:rPr>
          <w:rStyle w:val="normaltextrun"/>
          <w:rFonts w:asciiTheme="minorHAnsi" w:hAnsiTheme="minorHAnsi" w:cstheme="minorHAnsi"/>
          <w:b/>
          <w:bCs/>
        </w:rPr>
        <w:t>What changes are needed to improve the use of digital mental health interventions?</w:t>
      </w:r>
      <w:r w:rsidRPr="005B0DEB">
        <w:rPr>
          <w:rStyle w:val="eop"/>
          <w:rFonts w:asciiTheme="minorHAnsi" w:hAnsiTheme="minorHAnsi" w:cstheme="minorHAnsi"/>
          <w:b/>
          <w:bCs/>
        </w:rPr>
        <w:t> </w:t>
      </w:r>
    </w:p>
    <w:p w14:paraId="3E7E89E7" w14:textId="3F820B70" w:rsidR="005B0DEB" w:rsidRPr="003B614B" w:rsidRDefault="005B0DEB" w:rsidP="00140C5B">
      <w:pPr>
        <w:pStyle w:val="ANorm"/>
        <w:numPr>
          <w:ilvl w:val="0"/>
          <w:numId w:val="131"/>
        </w:numPr>
        <w:rPr>
          <w:rFonts w:asciiTheme="minorHAnsi" w:hAnsiTheme="minorHAnsi" w:cstheme="minorHAnsi"/>
          <w:b/>
          <w:bCs/>
        </w:rPr>
      </w:pPr>
      <w:r w:rsidRPr="005B0DEB">
        <w:rPr>
          <w:rStyle w:val="normaltextrun"/>
          <w:rFonts w:asciiTheme="minorHAnsi" w:hAnsiTheme="minorHAnsi" w:cstheme="minorHAnsi"/>
          <w:b/>
          <w:bCs/>
        </w:rPr>
        <w:t>How can digital mental health interventions be better integrated within the mental health system?</w:t>
      </w:r>
      <w:r w:rsidRPr="005B0DEB">
        <w:rPr>
          <w:rStyle w:val="eop"/>
          <w:rFonts w:asciiTheme="minorHAnsi" w:hAnsiTheme="minorHAnsi" w:cstheme="minorHAnsi"/>
          <w:b/>
          <w:bCs/>
        </w:rPr>
        <w:t> </w:t>
      </w:r>
    </w:p>
    <w:p w14:paraId="304D5EA8" w14:textId="7D0CC9D5" w:rsidR="006939F7" w:rsidRPr="003B614B" w:rsidRDefault="005B0DEB" w:rsidP="003B614B">
      <w:pPr>
        <w:pStyle w:val="ANorm"/>
        <w:jc w:val="center"/>
        <w:rPr>
          <w:rFonts w:ascii="Segoe UI" w:hAnsi="Segoe UI" w:cs="Segoe UI"/>
          <w:sz w:val="18"/>
          <w:szCs w:val="18"/>
        </w:rPr>
      </w:pPr>
      <w:r w:rsidRPr="002376A5">
        <w:rPr>
          <w:rStyle w:val="normaltextrun"/>
          <w:rFonts w:cs="Calibri"/>
        </w:rPr>
        <w:t>Thank you for participating in the interview</w:t>
      </w:r>
      <w:r w:rsidR="006939F7">
        <w:br w:type="page"/>
      </w:r>
    </w:p>
    <w:p w14:paraId="27BD387F" w14:textId="66D769D1" w:rsidR="00803637" w:rsidRDefault="00BE2AE1" w:rsidP="00E357F8">
      <w:pPr>
        <w:pStyle w:val="Heading1"/>
      </w:pPr>
      <w:bookmarkStart w:id="336" w:name="_Toc108784930"/>
      <w:r>
        <w:lastRenderedPageBreak/>
        <w:t xml:space="preserve">Appendix </w:t>
      </w:r>
      <w:r w:rsidR="00803637">
        <w:t>F: Strengths of supported DMHSs word clouds</w:t>
      </w:r>
      <w:bookmarkEnd w:id="336"/>
    </w:p>
    <w:p w14:paraId="212D2BE4" w14:textId="77777777" w:rsidR="00803637" w:rsidRPr="00C54DAA" w:rsidRDefault="00803637" w:rsidP="00803637">
      <w:pPr>
        <w:pStyle w:val="ANorm"/>
      </w:pPr>
      <w:r w:rsidRPr="009420F4">
        <w:rPr>
          <w:noProof/>
          <w:lang w:eastAsia="en-AU"/>
        </w:rPr>
        <w:drawing>
          <wp:inline distT="0" distB="0" distL="0" distR="0" wp14:anchorId="7616B888" wp14:editId="60B23E54">
            <wp:extent cx="4895850" cy="2857448"/>
            <wp:effectExtent l="0" t="0" r="0" b="635"/>
            <wp:docPr id="10" name="Content Placeholder 3" descr="Graphical user interface, text, application, email&#10;&#10;Description automatically generated"/>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3" descr="Graphical user interface, text, application, email&#10;&#10;Description automatically generated"/>
                    <pic:cNvPicPr>
                      <a:picLocks noGrp="1" noChangeAspect="1"/>
                    </pic:cNvPicPr>
                  </pic:nvPicPr>
                  <pic:blipFill>
                    <a:blip r:embed="rId101"/>
                    <a:stretch>
                      <a:fillRect/>
                    </a:stretch>
                  </pic:blipFill>
                  <pic:spPr>
                    <a:xfrm>
                      <a:off x="0" y="0"/>
                      <a:ext cx="4901985" cy="2861029"/>
                    </a:xfrm>
                    <a:prstGeom prst="rect">
                      <a:avLst/>
                    </a:prstGeom>
                  </pic:spPr>
                </pic:pic>
              </a:graphicData>
            </a:graphic>
          </wp:inline>
        </w:drawing>
      </w:r>
      <w:r w:rsidRPr="009420F4">
        <w:rPr>
          <w:noProof/>
          <w:lang w:eastAsia="en-AU"/>
        </w:rPr>
        <w:drawing>
          <wp:inline distT="0" distB="0" distL="0" distR="0" wp14:anchorId="310DFF59" wp14:editId="0109C337">
            <wp:extent cx="5305425" cy="3025373"/>
            <wp:effectExtent l="0" t="0" r="0" b="3810"/>
            <wp:docPr id="3" name="Picture 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Graphical user interface, text, application&#10;&#10;Description automatically generated"/>
                    <pic:cNvPicPr>
                      <a:picLocks noChangeAspect="1"/>
                    </pic:cNvPicPr>
                  </pic:nvPicPr>
                  <pic:blipFill>
                    <a:blip r:embed="rId102"/>
                    <a:stretch>
                      <a:fillRect/>
                    </a:stretch>
                  </pic:blipFill>
                  <pic:spPr>
                    <a:xfrm>
                      <a:off x="0" y="0"/>
                      <a:ext cx="5329659" cy="3039192"/>
                    </a:xfrm>
                    <a:prstGeom prst="rect">
                      <a:avLst/>
                    </a:prstGeom>
                  </pic:spPr>
                </pic:pic>
              </a:graphicData>
            </a:graphic>
          </wp:inline>
        </w:drawing>
      </w:r>
      <w:r w:rsidRPr="009420F4">
        <w:rPr>
          <w:noProof/>
          <w:lang w:eastAsia="en-AU"/>
        </w:rPr>
        <w:drawing>
          <wp:inline distT="0" distB="0" distL="0" distR="0" wp14:anchorId="6E92CC33" wp14:editId="10B0BBB7">
            <wp:extent cx="3695700" cy="2015046"/>
            <wp:effectExtent l="0" t="0" r="0" b="4445"/>
            <wp:docPr id="7"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Text&#10;&#10;Description automatically generated"/>
                    <pic:cNvPicPr>
                      <a:picLocks noChangeAspect="1"/>
                    </pic:cNvPicPr>
                  </pic:nvPicPr>
                  <pic:blipFill>
                    <a:blip r:embed="rId103"/>
                    <a:stretch>
                      <a:fillRect/>
                    </a:stretch>
                  </pic:blipFill>
                  <pic:spPr>
                    <a:xfrm>
                      <a:off x="0" y="0"/>
                      <a:ext cx="3728689" cy="2033033"/>
                    </a:xfrm>
                    <a:prstGeom prst="rect">
                      <a:avLst/>
                    </a:prstGeom>
                  </pic:spPr>
                </pic:pic>
              </a:graphicData>
            </a:graphic>
          </wp:inline>
        </w:drawing>
      </w:r>
    </w:p>
    <w:p w14:paraId="5CF995CE" w14:textId="6B1E1CDC" w:rsidR="00803637" w:rsidRDefault="00803637" w:rsidP="00E357F8">
      <w:pPr>
        <w:pStyle w:val="Heading1"/>
      </w:pPr>
      <w:bookmarkStart w:id="337" w:name="_Toc108784931"/>
      <w:r>
        <w:lastRenderedPageBreak/>
        <w:t>Appendix G: Barriers to use of supported DMHSs word clouds</w:t>
      </w:r>
      <w:bookmarkEnd w:id="337"/>
    </w:p>
    <w:p w14:paraId="6DF4E0B7" w14:textId="77777777" w:rsidR="00803637" w:rsidRPr="009420F4" w:rsidRDefault="00803637" w:rsidP="00803637">
      <w:r w:rsidRPr="009420F4">
        <w:rPr>
          <w:noProof/>
          <w:lang w:eastAsia="en-AU"/>
        </w:rPr>
        <w:drawing>
          <wp:inline distT="0" distB="0" distL="0" distR="0" wp14:anchorId="671E0BCF" wp14:editId="06B7E41C">
            <wp:extent cx="5399172" cy="3228975"/>
            <wp:effectExtent l="0" t="0" r="0" b="0"/>
            <wp:docPr id="11" name="Content Placeholder 3" descr="Graphical user interface, text, application, email&#10;&#10;Description automatically generated"/>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3" descr="Graphical user interface, text, application, email&#10;&#10;Description automatically generated"/>
                    <pic:cNvPicPr>
                      <a:picLocks noGrp="1" noChangeAspect="1"/>
                    </pic:cNvPicPr>
                  </pic:nvPicPr>
                  <pic:blipFill>
                    <a:blip r:embed="rId104"/>
                    <a:stretch>
                      <a:fillRect/>
                    </a:stretch>
                  </pic:blipFill>
                  <pic:spPr>
                    <a:xfrm>
                      <a:off x="0" y="0"/>
                      <a:ext cx="5399172" cy="3228975"/>
                    </a:xfrm>
                    <a:prstGeom prst="rect">
                      <a:avLst/>
                    </a:prstGeom>
                  </pic:spPr>
                </pic:pic>
              </a:graphicData>
            </a:graphic>
          </wp:inline>
        </w:drawing>
      </w:r>
      <w:r w:rsidRPr="009420F4">
        <w:rPr>
          <w:noProof/>
          <w:lang w:eastAsia="en-AU"/>
        </w:rPr>
        <w:drawing>
          <wp:inline distT="0" distB="0" distL="0" distR="0" wp14:anchorId="57B6CCD4" wp14:editId="1ADCC5DF">
            <wp:extent cx="4292600" cy="2398665"/>
            <wp:effectExtent l="0" t="0" r="0" b="1905"/>
            <wp:docPr id="5" name="Picture 4"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Graphical user interface, text, application, chat or text message&#10;&#10;Description automatically generated"/>
                    <pic:cNvPicPr>
                      <a:picLocks noChangeAspect="1"/>
                    </pic:cNvPicPr>
                  </pic:nvPicPr>
                  <pic:blipFill>
                    <a:blip r:embed="rId105"/>
                    <a:stretch>
                      <a:fillRect/>
                    </a:stretch>
                  </pic:blipFill>
                  <pic:spPr>
                    <a:xfrm>
                      <a:off x="0" y="0"/>
                      <a:ext cx="4316687" cy="2412125"/>
                    </a:xfrm>
                    <a:prstGeom prst="rect">
                      <a:avLst/>
                    </a:prstGeom>
                  </pic:spPr>
                </pic:pic>
              </a:graphicData>
            </a:graphic>
          </wp:inline>
        </w:drawing>
      </w:r>
      <w:r w:rsidRPr="009420F4">
        <w:rPr>
          <w:noProof/>
          <w:lang w:eastAsia="en-AU"/>
        </w:rPr>
        <w:drawing>
          <wp:inline distT="0" distB="0" distL="0" distR="0" wp14:anchorId="229FC239" wp14:editId="65EABFC0">
            <wp:extent cx="4007272" cy="2286000"/>
            <wp:effectExtent l="0" t="0" r="0" b="0"/>
            <wp:docPr id="6"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Text&#10;&#10;Description automatically generated"/>
                    <pic:cNvPicPr>
                      <a:picLocks noChangeAspect="1"/>
                    </pic:cNvPicPr>
                  </pic:nvPicPr>
                  <pic:blipFill>
                    <a:blip r:embed="rId106"/>
                    <a:stretch>
                      <a:fillRect/>
                    </a:stretch>
                  </pic:blipFill>
                  <pic:spPr>
                    <a:xfrm>
                      <a:off x="0" y="0"/>
                      <a:ext cx="4014672" cy="2290221"/>
                    </a:xfrm>
                    <a:prstGeom prst="rect">
                      <a:avLst/>
                    </a:prstGeom>
                  </pic:spPr>
                </pic:pic>
              </a:graphicData>
            </a:graphic>
          </wp:inline>
        </w:drawing>
      </w:r>
    </w:p>
    <w:p w14:paraId="7E9F717E" w14:textId="3544F28B" w:rsidR="00BB3E05" w:rsidRDefault="00803637" w:rsidP="00BB3E05">
      <w:pPr>
        <w:pStyle w:val="Heading1"/>
      </w:pPr>
      <w:bookmarkStart w:id="338" w:name="_Toc108784932"/>
      <w:r>
        <w:lastRenderedPageBreak/>
        <w:t>Appendix H: Effectiveness of supported DMHSs word clouds</w:t>
      </w:r>
      <w:bookmarkEnd w:id="338"/>
    </w:p>
    <w:p w14:paraId="23E34676" w14:textId="6112DA75" w:rsidR="00BB3E05" w:rsidRPr="00BB3E05" w:rsidRDefault="00BB3E05" w:rsidP="00BB3E05">
      <w:pPr>
        <w:jc w:val="center"/>
      </w:pPr>
      <w:r w:rsidRPr="009420F4">
        <w:rPr>
          <w:noProof/>
          <w:lang w:eastAsia="en-AU"/>
        </w:rPr>
        <w:drawing>
          <wp:inline distT="0" distB="0" distL="0" distR="0" wp14:anchorId="2B53A02F" wp14:editId="4234F135">
            <wp:extent cx="3340100" cy="2151923"/>
            <wp:effectExtent l="0" t="0" r="0" b="0"/>
            <wp:docPr id="8" name="Content Placeholder 3" descr="Graphical user interface, text, application&#10;&#10;Description automatically generated"/>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3" descr="Graphical user interface, text, application&#10;&#10;Description automatically generated"/>
                    <pic:cNvPicPr>
                      <a:picLocks noGrp="1" noChangeAspect="1"/>
                    </pic:cNvPicPr>
                  </pic:nvPicPr>
                  <pic:blipFill>
                    <a:blip r:embed="rId107"/>
                    <a:stretch>
                      <a:fillRect/>
                    </a:stretch>
                  </pic:blipFill>
                  <pic:spPr>
                    <a:xfrm>
                      <a:off x="0" y="0"/>
                      <a:ext cx="3356001" cy="2162168"/>
                    </a:xfrm>
                    <a:prstGeom prst="rect">
                      <a:avLst/>
                    </a:prstGeom>
                  </pic:spPr>
                </pic:pic>
              </a:graphicData>
            </a:graphic>
          </wp:inline>
        </w:drawing>
      </w:r>
    </w:p>
    <w:p w14:paraId="01A1170B" w14:textId="16E88D19" w:rsidR="00803637" w:rsidRPr="009420F4" w:rsidRDefault="00803637" w:rsidP="00BB3E05">
      <w:pPr>
        <w:jc w:val="center"/>
      </w:pPr>
      <w:r w:rsidRPr="009420F4">
        <w:rPr>
          <w:noProof/>
          <w:lang w:eastAsia="en-AU"/>
        </w:rPr>
        <w:drawing>
          <wp:inline distT="0" distB="0" distL="0" distR="0" wp14:anchorId="03803127" wp14:editId="7279BD3D">
            <wp:extent cx="3429000" cy="2231927"/>
            <wp:effectExtent l="0" t="0" r="0" b="3810"/>
            <wp:docPr id="9" name="Picture 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 descr="Graphical user interface, text, application&#10;&#10;Description automatically generated"/>
                    <pic:cNvPicPr>
                      <a:picLocks noChangeAspect="1"/>
                    </pic:cNvPicPr>
                  </pic:nvPicPr>
                  <pic:blipFill>
                    <a:blip r:embed="rId108"/>
                    <a:stretch>
                      <a:fillRect/>
                    </a:stretch>
                  </pic:blipFill>
                  <pic:spPr>
                    <a:xfrm>
                      <a:off x="0" y="0"/>
                      <a:ext cx="3445092" cy="2242402"/>
                    </a:xfrm>
                    <a:prstGeom prst="rect">
                      <a:avLst/>
                    </a:prstGeom>
                  </pic:spPr>
                </pic:pic>
              </a:graphicData>
            </a:graphic>
          </wp:inline>
        </w:drawing>
      </w:r>
    </w:p>
    <w:p w14:paraId="1BFDB4A0" w14:textId="77777777" w:rsidR="00803637" w:rsidRDefault="00803637" w:rsidP="00BB3E05">
      <w:pPr>
        <w:jc w:val="center"/>
      </w:pPr>
      <w:r>
        <w:rPr>
          <w:noProof/>
          <w:lang w:eastAsia="en-AU"/>
        </w:rPr>
        <w:drawing>
          <wp:inline distT="0" distB="0" distL="0" distR="0" wp14:anchorId="22C515B9" wp14:editId="2CA0539D">
            <wp:extent cx="3771900" cy="2419315"/>
            <wp:effectExtent l="0" t="0" r="0" b="0"/>
            <wp:docPr id="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109"/>
                    <a:stretch>
                      <a:fillRect/>
                    </a:stretch>
                  </pic:blipFill>
                  <pic:spPr>
                    <a:xfrm>
                      <a:off x="0" y="0"/>
                      <a:ext cx="3771900" cy="2419315"/>
                    </a:xfrm>
                    <a:prstGeom prst="rect">
                      <a:avLst/>
                    </a:prstGeom>
                  </pic:spPr>
                </pic:pic>
              </a:graphicData>
            </a:graphic>
          </wp:inline>
        </w:drawing>
      </w:r>
    </w:p>
    <w:p w14:paraId="0B7D0DC8" w14:textId="77777777" w:rsidR="00BB3E05" w:rsidRDefault="00BB3E05" w:rsidP="00E357F8">
      <w:pPr>
        <w:pStyle w:val="Heading1"/>
      </w:pPr>
      <w:r>
        <w:br w:type="page"/>
      </w:r>
    </w:p>
    <w:p w14:paraId="7E187428" w14:textId="4156B0AE" w:rsidR="00803637" w:rsidRPr="00BB3E05" w:rsidRDefault="00803637" w:rsidP="00BB3E05">
      <w:pPr>
        <w:pStyle w:val="Heading1"/>
      </w:pPr>
      <w:bookmarkStart w:id="339" w:name="_Toc108784933"/>
      <w:r>
        <w:lastRenderedPageBreak/>
        <w:t>Appendix I: Most and least important features of supported DMHSs</w:t>
      </w:r>
      <w:bookmarkEnd w:id="339"/>
    </w:p>
    <w:tbl>
      <w:tblPr>
        <w:tblStyle w:val="TableGrid"/>
        <w:tblW w:w="0" w:type="auto"/>
        <w:tblLook w:val="04A0" w:firstRow="1" w:lastRow="0" w:firstColumn="1" w:lastColumn="0" w:noHBand="0" w:noVBand="1"/>
      </w:tblPr>
      <w:tblGrid>
        <w:gridCol w:w="9016"/>
      </w:tblGrid>
      <w:tr w:rsidR="00803637" w:rsidRPr="00BB3E05" w14:paraId="5E2FD151" w14:textId="77777777" w:rsidTr="00BD431E">
        <w:tc>
          <w:tcPr>
            <w:tcW w:w="9016" w:type="dxa"/>
            <w:shd w:val="clear" w:color="auto" w:fill="000000" w:themeFill="text1"/>
          </w:tcPr>
          <w:p w14:paraId="0B2D26A2" w14:textId="77777777" w:rsidR="00803637" w:rsidRPr="00BB3E05" w:rsidRDefault="00803637" w:rsidP="00BB3E05">
            <w:pPr>
              <w:snapToGrid w:val="0"/>
              <w:rPr>
                <w:rFonts w:asciiTheme="minorHAnsi" w:hAnsiTheme="minorHAnsi" w:cstheme="minorHAnsi"/>
                <w:b/>
                <w:bCs/>
              </w:rPr>
            </w:pPr>
            <w:r w:rsidRPr="00BB3E05">
              <w:rPr>
                <w:rFonts w:asciiTheme="minorHAnsi" w:hAnsiTheme="minorHAnsi" w:cstheme="minorHAnsi"/>
                <w:b/>
                <w:bCs/>
              </w:rPr>
              <w:t>Optimal site - most important features</w:t>
            </w:r>
          </w:p>
        </w:tc>
      </w:tr>
      <w:tr w:rsidR="00803637" w:rsidRPr="00BB3E05" w14:paraId="5BEC7DB5" w14:textId="77777777" w:rsidTr="00BD431E">
        <w:tc>
          <w:tcPr>
            <w:tcW w:w="9016" w:type="dxa"/>
          </w:tcPr>
          <w:p w14:paraId="6B7E00AB"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Accessibility</w:t>
            </w:r>
          </w:p>
        </w:tc>
      </w:tr>
      <w:tr w:rsidR="00803637" w:rsidRPr="00BB3E05" w14:paraId="6ED87B6C" w14:textId="77777777" w:rsidTr="00BD431E">
        <w:tc>
          <w:tcPr>
            <w:tcW w:w="9016" w:type="dxa"/>
          </w:tcPr>
          <w:p w14:paraId="1A9F5DA6"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Clarity of language so that everyone can understand</w:t>
            </w:r>
          </w:p>
        </w:tc>
      </w:tr>
      <w:tr w:rsidR="00803637" w:rsidRPr="00BB3E05" w14:paraId="69EC3B42" w14:textId="77777777" w:rsidTr="00BD431E">
        <w:tc>
          <w:tcPr>
            <w:tcW w:w="9016" w:type="dxa"/>
          </w:tcPr>
          <w:p w14:paraId="0203E170"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Video contents</w:t>
            </w:r>
          </w:p>
        </w:tc>
      </w:tr>
      <w:tr w:rsidR="00803637" w:rsidRPr="00BB3E05" w14:paraId="6E8B1CCA" w14:textId="77777777" w:rsidTr="00BD431E">
        <w:tc>
          <w:tcPr>
            <w:tcW w:w="9016" w:type="dxa"/>
          </w:tcPr>
          <w:p w14:paraId="26AA4E50"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Visually accessible, different language supports, spaced out text, screen reader support, subtitled videos, colour contrast options</w:t>
            </w:r>
          </w:p>
        </w:tc>
      </w:tr>
      <w:tr w:rsidR="00803637" w:rsidRPr="00BB3E05" w14:paraId="47776AD4" w14:textId="77777777" w:rsidTr="00BD431E">
        <w:tc>
          <w:tcPr>
            <w:tcW w:w="9016" w:type="dxa"/>
          </w:tcPr>
          <w:p w14:paraId="69DC6765"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Video content</w:t>
            </w:r>
          </w:p>
        </w:tc>
      </w:tr>
      <w:tr w:rsidR="00803637" w:rsidRPr="00BB3E05" w14:paraId="749671D7" w14:textId="77777777" w:rsidTr="00BD431E">
        <w:tc>
          <w:tcPr>
            <w:tcW w:w="9016" w:type="dxa"/>
          </w:tcPr>
          <w:p w14:paraId="4B4A1863"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User friendly</w:t>
            </w:r>
          </w:p>
        </w:tc>
      </w:tr>
      <w:tr w:rsidR="00803637" w:rsidRPr="00BB3E05" w14:paraId="1C1C90F8" w14:textId="77777777" w:rsidTr="00BD431E">
        <w:tc>
          <w:tcPr>
            <w:tcW w:w="9016" w:type="dxa"/>
          </w:tcPr>
          <w:p w14:paraId="4A9A4A2E"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Caters to your situation</w:t>
            </w:r>
            <w:r w:rsidRPr="00BB3E05">
              <w:rPr>
                <w:rFonts w:asciiTheme="minorHAnsi" w:hAnsiTheme="minorHAnsi" w:cstheme="minorHAnsi"/>
              </w:rPr>
              <w:br/>
              <w:t>Meets your needs</w:t>
            </w:r>
          </w:p>
        </w:tc>
      </w:tr>
      <w:tr w:rsidR="00803637" w:rsidRPr="00BB3E05" w14:paraId="7BD3AB52" w14:textId="77777777" w:rsidTr="00BD431E">
        <w:tc>
          <w:tcPr>
            <w:tcW w:w="9016" w:type="dxa"/>
          </w:tcPr>
          <w:p w14:paraId="0EF22DCC"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Inclusive, accessible, culturally sensitive, comprehensive without being too overwhelming</w:t>
            </w:r>
          </w:p>
        </w:tc>
      </w:tr>
      <w:tr w:rsidR="00803637" w:rsidRPr="00BB3E05" w14:paraId="45BD200F" w14:textId="77777777" w:rsidTr="00BD431E">
        <w:tc>
          <w:tcPr>
            <w:tcW w:w="9016" w:type="dxa"/>
          </w:tcPr>
          <w:p w14:paraId="02605C2F" w14:textId="3B78098B"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Address intersectionality…content now single MH issue, don’t include impact of life experiences, e.g.</w:t>
            </w:r>
            <w:r w:rsidR="000F231C">
              <w:rPr>
                <w:rFonts w:asciiTheme="minorHAnsi" w:hAnsiTheme="minorHAnsi" w:cstheme="minorHAnsi"/>
              </w:rPr>
              <w:t>,</w:t>
            </w:r>
            <w:r w:rsidRPr="00BB3E05">
              <w:rPr>
                <w:rFonts w:asciiTheme="minorHAnsi" w:hAnsiTheme="minorHAnsi" w:cstheme="minorHAnsi"/>
              </w:rPr>
              <w:t xml:space="preserve"> physical disability, LGBTQI+, non</w:t>
            </w:r>
            <w:r w:rsidR="000F231C">
              <w:rPr>
                <w:rFonts w:asciiTheme="minorHAnsi" w:hAnsiTheme="minorHAnsi" w:cstheme="minorHAnsi"/>
              </w:rPr>
              <w:t>-</w:t>
            </w:r>
            <w:r w:rsidRPr="00BB3E05">
              <w:rPr>
                <w:rFonts w:asciiTheme="minorHAnsi" w:hAnsiTheme="minorHAnsi" w:cstheme="minorHAnsi"/>
              </w:rPr>
              <w:t>English speaking, neurodiverse, use gender neutral language, impact of life trauma.</w:t>
            </w:r>
          </w:p>
        </w:tc>
      </w:tr>
      <w:tr w:rsidR="00803637" w:rsidRPr="00BB3E05" w14:paraId="71763CE3" w14:textId="77777777" w:rsidTr="00BD431E">
        <w:tc>
          <w:tcPr>
            <w:tcW w:w="9016" w:type="dxa"/>
          </w:tcPr>
          <w:p w14:paraId="0383C702"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Give people hope</w:t>
            </w:r>
          </w:p>
        </w:tc>
      </w:tr>
      <w:tr w:rsidR="00803637" w:rsidRPr="00BB3E05" w14:paraId="1A7DFBAA" w14:textId="77777777" w:rsidTr="00BD431E">
        <w:tc>
          <w:tcPr>
            <w:tcW w:w="9016" w:type="dxa"/>
          </w:tcPr>
          <w:p w14:paraId="600AD443"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Inclusiveness</w:t>
            </w:r>
          </w:p>
        </w:tc>
      </w:tr>
      <w:tr w:rsidR="00803637" w:rsidRPr="00BB3E05" w14:paraId="36EF5A90" w14:textId="77777777" w:rsidTr="00BD431E">
        <w:tc>
          <w:tcPr>
            <w:tcW w:w="9016" w:type="dxa"/>
          </w:tcPr>
          <w:p w14:paraId="6E2C5CC1"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Ease of navigation</w:t>
            </w:r>
          </w:p>
        </w:tc>
      </w:tr>
      <w:tr w:rsidR="00803637" w:rsidRPr="00BB3E05" w14:paraId="11A6FA11" w14:textId="77777777" w:rsidTr="00BD431E">
        <w:tc>
          <w:tcPr>
            <w:tcW w:w="9016" w:type="dxa"/>
          </w:tcPr>
          <w:p w14:paraId="1772294C"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Visuals</w:t>
            </w:r>
          </w:p>
        </w:tc>
      </w:tr>
      <w:tr w:rsidR="00803637" w:rsidRPr="00BB3E05" w14:paraId="5B098D19" w14:textId="77777777" w:rsidTr="00BD431E">
        <w:tc>
          <w:tcPr>
            <w:tcW w:w="9016" w:type="dxa"/>
          </w:tcPr>
          <w:p w14:paraId="4DD40D28"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Keep track of my progress</w:t>
            </w:r>
          </w:p>
        </w:tc>
      </w:tr>
      <w:tr w:rsidR="00803637" w:rsidRPr="00BB3E05" w14:paraId="23DE3FB3" w14:textId="77777777" w:rsidTr="00BD431E">
        <w:tc>
          <w:tcPr>
            <w:tcW w:w="9016" w:type="dxa"/>
          </w:tcPr>
          <w:p w14:paraId="1876E28F"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Design, visual, attractive</w:t>
            </w:r>
          </w:p>
        </w:tc>
      </w:tr>
      <w:tr w:rsidR="00803637" w:rsidRPr="00BB3E05" w14:paraId="1631423A" w14:textId="77777777" w:rsidTr="00BD431E">
        <w:tc>
          <w:tcPr>
            <w:tcW w:w="9016" w:type="dxa"/>
          </w:tcPr>
          <w:p w14:paraId="203E6EE6"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Not overwhelming</w:t>
            </w:r>
          </w:p>
        </w:tc>
      </w:tr>
      <w:tr w:rsidR="00803637" w:rsidRPr="00BB3E05" w14:paraId="289BA1B8" w14:textId="77777777" w:rsidTr="00BD431E">
        <w:tc>
          <w:tcPr>
            <w:tcW w:w="9016" w:type="dxa"/>
          </w:tcPr>
          <w:p w14:paraId="7AC66849"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Can narrow and personalise to respond to me</w:t>
            </w:r>
          </w:p>
        </w:tc>
      </w:tr>
      <w:tr w:rsidR="00803637" w:rsidRPr="00BB3E05" w14:paraId="600F2EB1" w14:textId="77777777" w:rsidTr="00BD431E">
        <w:tc>
          <w:tcPr>
            <w:tcW w:w="9016" w:type="dxa"/>
          </w:tcPr>
          <w:p w14:paraId="7597EA94"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Marketed to people who can use it</w:t>
            </w:r>
          </w:p>
        </w:tc>
      </w:tr>
      <w:tr w:rsidR="00803637" w:rsidRPr="00BB3E05" w14:paraId="478C0631" w14:textId="77777777" w:rsidTr="00BD431E">
        <w:tc>
          <w:tcPr>
            <w:tcW w:w="9016" w:type="dxa"/>
          </w:tcPr>
          <w:p w14:paraId="417F311D"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Anonymity of user</w:t>
            </w:r>
          </w:p>
        </w:tc>
      </w:tr>
      <w:tr w:rsidR="00803637" w:rsidRPr="00BB3E05" w14:paraId="79F1934C" w14:textId="77777777" w:rsidTr="00BD431E">
        <w:tc>
          <w:tcPr>
            <w:tcW w:w="9016" w:type="dxa"/>
          </w:tcPr>
          <w:p w14:paraId="61D66BC7" w14:textId="36DC5328"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HOPE - no mention of hope and recovery, need that….</w:t>
            </w:r>
          </w:p>
        </w:tc>
      </w:tr>
      <w:tr w:rsidR="00803637" w:rsidRPr="00BB3E05" w14:paraId="548BFABA" w14:textId="77777777" w:rsidTr="00BD431E">
        <w:tc>
          <w:tcPr>
            <w:tcW w:w="9016" w:type="dxa"/>
          </w:tcPr>
          <w:p w14:paraId="43ACBAED"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How communities of recovery can be offered, see examples of this, mini videos of people chatting about experiences and journeys, referencing well established consumer movements.</w:t>
            </w:r>
          </w:p>
        </w:tc>
      </w:tr>
      <w:tr w:rsidR="00803637" w:rsidRPr="00BB3E05" w14:paraId="4383B091" w14:textId="77777777" w:rsidTr="00BD431E">
        <w:tc>
          <w:tcPr>
            <w:tcW w:w="9016" w:type="dxa"/>
          </w:tcPr>
          <w:p w14:paraId="191E893D"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Show how you can find and access a supported community</w:t>
            </w:r>
            <w:proofErr w:type="gramStart"/>
            <w:r w:rsidRPr="00BB3E05">
              <w:rPr>
                <w:rFonts w:asciiTheme="minorHAnsi" w:hAnsiTheme="minorHAnsi" w:cstheme="minorHAnsi"/>
              </w:rPr>
              <w:t>….links</w:t>
            </w:r>
            <w:proofErr w:type="gramEnd"/>
            <w:r w:rsidRPr="00BB3E05">
              <w:rPr>
                <w:rFonts w:asciiTheme="minorHAnsi" w:hAnsiTheme="minorHAnsi" w:cstheme="minorHAnsi"/>
              </w:rPr>
              <w:t xml:space="preserve"> that show how to do what is recommended.</w:t>
            </w:r>
          </w:p>
        </w:tc>
      </w:tr>
      <w:tr w:rsidR="00803637" w:rsidRPr="00BB3E05" w14:paraId="2495E6C6" w14:textId="77777777" w:rsidTr="00BD431E">
        <w:tc>
          <w:tcPr>
            <w:tcW w:w="9016" w:type="dxa"/>
          </w:tcPr>
          <w:p w14:paraId="2E19887D"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Links to both online and in person communities.</w:t>
            </w:r>
          </w:p>
        </w:tc>
      </w:tr>
      <w:tr w:rsidR="00803637" w:rsidRPr="00BB3E05" w14:paraId="43CC8CED" w14:textId="77777777" w:rsidTr="00BD431E">
        <w:tc>
          <w:tcPr>
            <w:tcW w:w="9016" w:type="dxa"/>
          </w:tcPr>
          <w:p w14:paraId="25C2F8B9"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Innovations, transformative, peer and grass roots spaces need to be in an engaged space that can be updated</w:t>
            </w:r>
          </w:p>
        </w:tc>
      </w:tr>
      <w:tr w:rsidR="00803637" w:rsidRPr="00BB3E05" w14:paraId="5B306D3F" w14:textId="77777777" w:rsidTr="00BD431E">
        <w:tc>
          <w:tcPr>
            <w:tcW w:w="9016" w:type="dxa"/>
          </w:tcPr>
          <w:p w14:paraId="19473106" w14:textId="3D6EF6E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Peer based service navigation models worth trained peers.</w:t>
            </w:r>
          </w:p>
        </w:tc>
      </w:tr>
      <w:tr w:rsidR="00803637" w:rsidRPr="00BB3E05" w14:paraId="722B9528" w14:textId="77777777" w:rsidTr="00BD431E">
        <w:tc>
          <w:tcPr>
            <w:tcW w:w="9016" w:type="dxa"/>
          </w:tcPr>
          <w:p w14:paraId="6BDC0152"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If codesigned and coproduced with people with living experience then issues with design, language, would change and be improved.</w:t>
            </w:r>
          </w:p>
        </w:tc>
      </w:tr>
      <w:tr w:rsidR="00803637" w:rsidRPr="00BB3E05" w14:paraId="3C729E46" w14:textId="77777777" w:rsidTr="00BD431E">
        <w:tc>
          <w:tcPr>
            <w:tcW w:w="9016" w:type="dxa"/>
          </w:tcPr>
          <w:p w14:paraId="0D060ECE"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Bringing a human element to the site would be more engaging and relevant.</w:t>
            </w:r>
          </w:p>
        </w:tc>
      </w:tr>
      <w:tr w:rsidR="00803637" w:rsidRPr="00BB3E05" w14:paraId="5CF25656" w14:textId="77777777" w:rsidTr="00BD431E">
        <w:tc>
          <w:tcPr>
            <w:tcW w:w="9016" w:type="dxa"/>
          </w:tcPr>
          <w:p w14:paraId="142EA811"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Missing housing, income security, advocacy, trauma dealing with Centrelink and NDIS.</w:t>
            </w:r>
          </w:p>
        </w:tc>
      </w:tr>
      <w:tr w:rsidR="00803637" w:rsidRPr="00BB3E05" w14:paraId="55772C90" w14:textId="77777777" w:rsidTr="00BD431E">
        <w:tc>
          <w:tcPr>
            <w:tcW w:w="9016" w:type="dxa"/>
          </w:tcPr>
          <w:p w14:paraId="57E709FE"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Addressing basic needs - homelessness, financial, employment, social factors, building blocks…how can you work on wellbeing if you struggle with the basics</w:t>
            </w:r>
          </w:p>
        </w:tc>
      </w:tr>
      <w:tr w:rsidR="00803637" w:rsidRPr="00BB3E05" w14:paraId="0079E35D" w14:textId="77777777" w:rsidTr="00BD431E">
        <w:tc>
          <w:tcPr>
            <w:tcW w:w="9016" w:type="dxa"/>
          </w:tcPr>
          <w:p w14:paraId="57F5819A"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Advocacy plus, plus</w:t>
            </w:r>
          </w:p>
        </w:tc>
      </w:tr>
      <w:tr w:rsidR="00803637" w:rsidRPr="00BB3E05" w14:paraId="2359D5D5" w14:textId="77777777" w:rsidTr="00BD431E">
        <w:tc>
          <w:tcPr>
            <w:tcW w:w="9016" w:type="dxa"/>
          </w:tcPr>
          <w:p w14:paraId="5F142845" w14:textId="77777777" w:rsidR="00803637" w:rsidRPr="00BB3E05" w:rsidRDefault="00803637" w:rsidP="00BB3E05">
            <w:pPr>
              <w:snapToGrid w:val="0"/>
              <w:rPr>
                <w:rFonts w:asciiTheme="minorHAnsi" w:hAnsiTheme="minorHAnsi" w:cstheme="minorHAnsi"/>
              </w:rPr>
            </w:pPr>
            <w:r w:rsidRPr="00BB3E05">
              <w:rPr>
                <w:rFonts w:asciiTheme="minorHAnsi" w:hAnsiTheme="minorHAnsi" w:cstheme="minorHAnsi"/>
              </w:rPr>
              <w:t>Human rights, peak consumer bodies, ombudsman services, disability justice</w:t>
            </w:r>
          </w:p>
        </w:tc>
      </w:tr>
      <w:tr w:rsidR="00803637" w:rsidRPr="00BB3E05" w14:paraId="19C5790B" w14:textId="77777777" w:rsidTr="00BD431E">
        <w:tc>
          <w:tcPr>
            <w:tcW w:w="9016" w:type="dxa"/>
            <w:shd w:val="clear" w:color="auto" w:fill="000000" w:themeFill="text1"/>
          </w:tcPr>
          <w:p w14:paraId="486D077F" w14:textId="77777777" w:rsidR="00803637" w:rsidRPr="00BB3E05" w:rsidRDefault="00803637" w:rsidP="00BB3E05">
            <w:pPr>
              <w:snapToGrid w:val="0"/>
              <w:rPr>
                <w:rFonts w:asciiTheme="minorHAnsi" w:hAnsiTheme="minorHAnsi" w:cstheme="minorHAnsi"/>
                <w:b/>
                <w:bCs/>
                <w:color w:val="FFFFFF" w:themeColor="background1"/>
                <w:lang w:eastAsia="en-AU"/>
              </w:rPr>
            </w:pPr>
            <w:r w:rsidRPr="00BB3E05">
              <w:rPr>
                <w:rFonts w:asciiTheme="minorHAnsi" w:hAnsiTheme="minorHAnsi" w:cstheme="minorHAnsi"/>
                <w:b/>
                <w:bCs/>
                <w:color w:val="FFFFFF" w:themeColor="background1"/>
                <w:lang w:eastAsia="en-AU"/>
              </w:rPr>
              <w:t>Optimal site - least important features</w:t>
            </w:r>
          </w:p>
        </w:tc>
      </w:tr>
      <w:tr w:rsidR="00803637" w:rsidRPr="00BB3E05" w14:paraId="5E1A478F" w14:textId="77777777" w:rsidTr="00BD431E">
        <w:tc>
          <w:tcPr>
            <w:tcW w:w="9016" w:type="dxa"/>
          </w:tcPr>
          <w:p w14:paraId="47C14FAC" w14:textId="77777777" w:rsidR="00803637" w:rsidRPr="00BB3E05" w:rsidRDefault="00803637" w:rsidP="00BB3E05">
            <w:pPr>
              <w:snapToGrid w:val="0"/>
              <w:rPr>
                <w:rFonts w:asciiTheme="minorHAnsi" w:hAnsiTheme="minorHAnsi" w:cstheme="minorHAnsi"/>
                <w:color w:val="000000"/>
                <w:lang w:eastAsia="en-AU"/>
              </w:rPr>
            </w:pPr>
            <w:r w:rsidRPr="00BB3E05">
              <w:rPr>
                <w:rFonts w:asciiTheme="minorHAnsi" w:hAnsiTheme="minorHAnsi" w:cstheme="minorHAnsi"/>
                <w:color w:val="000000"/>
                <w:lang w:eastAsia="en-AU"/>
              </w:rPr>
              <w:t xml:space="preserve">The branding </w:t>
            </w:r>
          </w:p>
        </w:tc>
      </w:tr>
      <w:tr w:rsidR="00803637" w:rsidRPr="00BB3E05" w14:paraId="50C24F35" w14:textId="77777777" w:rsidTr="00BD431E">
        <w:tc>
          <w:tcPr>
            <w:tcW w:w="9016" w:type="dxa"/>
          </w:tcPr>
          <w:p w14:paraId="31381D21" w14:textId="77777777" w:rsidR="00803637" w:rsidRPr="00BB3E05" w:rsidRDefault="00803637" w:rsidP="00BB3E05">
            <w:pPr>
              <w:snapToGrid w:val="0"/>
              <w:rPr>
                <w:rFonts w:asciiTheme="minorHAnsi" w:hAnsiTheme="minorHAnsi" w:cstheme="minorHAnsi"/>
                <w:color w:val="000000"/>
                <w:lang w:eastAsia="en-AU"/>
              </w:rPr>
            </w:pPr>
            <w:r w:rsidRPr="00BB3E05">
              <w:rPr>
                <w:rFonts w:asciiTheme="minorHAnsi" w:hAnsiTheme="minorHAnsi" w:cstheme="minorHAnsi"/>
                <w:color w:val="000000"/>
                <w:lang w:eastAsia="en-AU"/>
              </w:rPr>
              <w:t>Medical jargon or confusing language</w:t>
            </w:r>
          </w:p>
        </w:tc>
      </w:tr>
      <w:tr w:rsidR="00803637" w:rsidRPr="00BB3E05" w14:paraId="5694A587" w14:textId="77777777" w:rsidTr="00BD431E">
        <w:tc>
          <w:tcPr>
            <w:tcW w:w="9016" w:type="dxa"/>
          </w:tcPr>
          <w:p w14:paraId="49658463" w14:textId="77777777" w:rsidR="00803637" w:rsidRPr="00BB3E05" w:rsidRDefault="00803637" w:rsidP="00BB3E05">
            <w:pPr>
              <w:snapToGrid w:val="0"/>
              <w:rPr>
                <w:rFonts w:asciiTheme="minorHAnsi" w:hAnsiTheme="minorHAnsi" w:cstheme="minorHAnsi"/>
                <w:color w:val="000000"/>
                <w:lang w:eastAsia="en-AU"/>
              </w:rPr>
            </w:pPr>
            <w:r w:rsidRPr="00BB3E05">
              <w:rPr>
                <w:rFonts w:asciiTheme="minorHAnsi" w:hAnsiTheme="minorHAnsi" w:cstheme="minorHAnsi"/>
                <w:color w:val="000000"/>
                <w:lang w:eastAsia="en-AU"/>
              </w:rPr>
              <w:t>All relevant</w:t>
            </w:r>
          </w:p>
        </w:tc>
      </w:tr>
      <w:tr w:rsidR="00803637" w:rsidRPr="00BB3E05" w14:paraId="327DC31A" w14:textId="77777777" w:rsidTr="00BD431E">
        <w:tc>
          <w:tcPr>
            <w:tcW w:w="9016" w:type="dxa"/>
          </w:tcPr>
          <w:p w14:paraId="1F9F0489" w14:textId="77777777" w:rsidR="00803637" w:rsidRPr="00BB3E05" w:rsidRDefault="00803637" w:rsidP="00BB3E05">
            <w:pPr>
              <w:snapToGrid w:val="0"/>
              <w:rPr>
                <w:rFonts w:asciiTheme="minorHAnsi" w:hAnsiTheme="minorHAnsi" w:cstheme="minorHAnsi"/>
                <w:color w:val="000000"/>
                <w:lang w:eastAsia="en-AU"/>
              </w:rPr>
            </w:pPr>
            <w:r w:rsidRPr="00BB3E05">
              <w:rPr>
                <w:rFonts w:asciiTheme="minorHAnsi" w:hAnsiTheme="minorHAnsi" w:cstheme="minorHAnsi"/>
                <w:color w:val="000000"/>
                <w:lang w:eastAsia="en-AU"/>
              </w:rPr>
              <w:t>Referral back to MH professional (when you're already meant to be supported by them)</w:t>
            </w:r>
          </w:p>
        </w:tc>
      </w:tr>
      <w:tr w:rsidR="00803637" w:rsidRPr="00BB3E05" w14:paraId="66C9455D" w14:textId="77777777" w:rsidTr="00BD431E">
        <w:tc>
          <w:tcPr>
            <w:tcW w:w="9016" w:type="dxa"/>
          </w:tcPr>
          <w:p w14:paraId="1DB2934A" w14:textId="77777777" w:rsidR="00803637" w:rsidRPr="00BB3E05" w:rsidRDefault="00803637" w:rsidP="00BB3E05">
            <w:pPr>
              <w:snapToGrid w:val="0"/>
              <w:rPr>
                <w:rFonts w:asciiTheme="minorHAnsi" w:hAnsiTheme="minorHAnsi" w:cstheme="minorHAnsi"/>
                <w:color w:val="000000"/>
                <w:lang w:eastAsia="en-AU"/>
              </w:rPr>
            </w:pPr>
            <w:r w:rsidRPr="00BB3E05">
              <w:rPr>
                <w:rFonts w:asciiTheme="minorHAnsi" w:hAnsiTheme="minorHAnsi" w:cstheme="minorHAnsi"/>
                <w:color w:val="000000"/>
                <w:lang w:eastAsia="en-AU"/>
              </w:rPr>
              <w:t>Deficit focus language…not hopeful, off putting</w:t>
            </w:r>
          </w:p>
        </w:tc>
      </w:tr>
      <w:tr w:rsidR="00803637" w:rsidRPr="00BB3E05" w14:paraId="3651AAEB" w14:textId="77777777" w:rsidTr="00BD431E">
        <w:tc>
          <w:tcPr>
            <w:tcW w:w="9016" w:type="dxa"/>
          </w:tcPr>
          <w:p w14:paraId="5276E590" w14:textId="77777777" w:rsidR="00803637" w:rsidRPr="00BB3E05" w:rsidRDefault="00803637" w:rsidP="00BB3E05">
            <w:pPr>
              <w:snapToGrid w:val="0"/>
              <w:rPr>
                <w:rFonts w:asciiTheme="minorHAnsi" w:hAnsiTheme="minorHAnsi" w:cstheme="minorHAnsi"/>
                <w:color w:val="000000"/>
                <w:lang w:eastAsia="en-AU"/>
              </w:rPr>
            </w:pPr>
            <w:r w:rsidRPr="00BB3E05">
              <w:rPr>
                <w:rFonts w:asciiTheme="minorHAnsi" w:hAnsiTheme="minorHAnsi" w:cstheme="minorHAnsi"/>
                <w:color w:val="000000"/>
                <w:lang w:eastAsia="en-AU"/>
              </w:rPr>
              <w:t>Don’t see point of putting all the basic info there…wasting time and space instead of addressing the more complex needs</w:t>
            </w:r>
          </w:p>
        </w:tc>
      </w:tr>
    </w:tbl>
    <w:p w14:paraId="11AB18E8" w14:textId="0A9008BA" w:rsidR="007300FA" w:rsidRPr="007300FA" w:rsidRDefault="00BE2AE1" w:rsidP="00584FB8">
      <w:pPr>
        <w:pStyle w:val="Heading1"/>
      </w:pPr>
      <w:bookmarkStart w:id="340" w:name="_Toc108784934"/>
      <w:r>
        <w:lastRenderedPageBreak/>
        <w:t xml:space="preserve">Appendix </w:t>
      </w:r>
      <w:r w:rsidR="00803637">
        <w:t>J</w:t>
      </w:r>
      <w:r>
        <w:t xml:space="preserve">: </w:t>
      </w:r>
      <w:r w:rsidRPr="00BE2AE1">
        <w:t>Survey questions for a</w:t>
      </w:r>
      <w:r w:rsidR="0098177E" w:rsidRPr="00BE2AE1">
        <w:t xml:space="preserve">dditional health professionals </w:t>
      </w:r>
      <w:r w:rsidR="00A2757C" w:rsidRPr="00BE2AE1">
        <w:t>delivering (or referring consumers to) mental health services</w:t>
      </w:r>
      <w:bookmarkEnd w:id="340"/>
    </w:p>
    <w:p w14:paraId="306A8918" w14:textId="77777777" w:rsidR="00842F35" w:rsidRPr="00C65783" w:rsidRDefault="00842F35" w:rsidP="007300FA">
      <w:pPr>
        <w:contextualSpacing/>
        <w:rPr>
          <w:rFonts w:ascii="Calibri" w:hAnsi="Calibri" w:cs="Calibri"/>
          <w:b/>
          <w:bCs/>
          <w:color w:val="000000" w:themeColor="text1"/>
          <w:sz w:val="21"/>
          <w:szCs w:val="21"/>
        </w:rPr>
      </w:pPr>
      <w:r w:rsidRPr="00C65783">
        <w:rPr>
          <w:rFonts w:ascii="Calibri" w:hAnsi="Calibri" w:cs="Calibri"/>
          <w:b/>
          <w:bCs/>
          <w:color w:val="000000" w:themeColor="text1"/>
          <w:sz w:val="21"/>
          <w:szCs w:val="21"/>
        </w:rPr>
        <w:t>What is your profession?</w:t>
      </w:r>
    </w:p>
    <w:p w14:paraId="021A2A00" w14:textId="77777777" w:rsidR="00842F35" w:rsidRPr="00C65783" w:rsidRDefault="00842F35" w:rsidP="00634B19">
      <w:pPr>
        <w:numPr>
          <w:ilvl w:val="0"/>
          <w:numId w:val="18"/>
        </w:numPr>
        <w:ind w:left="633"/>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GP</w:t>
      </w:r>
    </w:p>
    <w:p w14:paraId="40C9F208" w14:textId="77777777" w:rsidR="00842F35" w:rsidRPr="00C65783" w:rsidRDefault="00842F35" w:rsidP="00634B19">
      <w:pPr>
        <w:numPr>
          <w:ilvl w:val="0"/>
          <w:numId w:val="18"/>
        </w:numPr>
        <w:ind w:left="633"/>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Psychiatrist</w:t>
      </w:r>
    </w:p>
    <w:p w14:paraId="1E56E0F2" w14:textId="77777777" w:rsidR="00842F35" w:rsidRPr="00C65783" w:rsidRDefault="00842F35" w:rsidP="00634B19">
      <w:pPr>
        <w:numPr>
          <w:ilvl w:val="0"/>
          <w:numId w:val="18"/>
        </w:numPr>
        <w:ind w:left="633"/>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General Psychologist</w:t>
      </w:r>
    </w:p>
    <w:p w14:paraId="06006BB3" w14:textId="77777777" w:rsidR="00842F35" w:rsidRPr="00C65783" w:rsidRDefault="00842F35" w:rsidP="00634B19">
      <w:pPr>
        <w:numPr>
          <w:ilvl w:val="0"/>
          <w:numId w:val="18"/>
        </w:numPr>
        <w:ind w:left="633"/>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Clinical Psychologist</w:t>
      </w:r>
    </w:p>
    <w:p w14:paraId="593065F4" w14:textId="77777777" w:rsidR="00842F35" w:rsidRPr="00C65783" w:rsidRDefault="00842F35" w:rsidP="00634B19">
      <w:pPr>
        <w:numPr>
          <w:ilvl w:val="0"/>
          <w:numId w:val="18"/>
        </w:numPr>
        <w:ind w:left="633"/>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Mental health nurse</w:t>
      </w:r>
    </w:p>
    <w:p w14:paraId="30C416C3" w14:textId="77777777" w:rsidR="00842F35" w:rsidRPr="00C65783" w:rsidRDefault="00842F35" w:rsidP="00634B19">
      <w:pPr>
        <w:numPr>
          <w:ilvl w:val="0"/>
          <w:numId w:val="18"/>
        </w:numPr>
        <w:ind w:left="633"/>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Social worker</w:t>
      </w:r>
    </w:p>
    <w:p w14:paraId="6DA9F780" w14:textId="77777777" w:rsidR="00842F35" w:rsidRPr="00C65783" w:rsidRDefault="00842F35" w:rsidP="00634B19">
      <w:pPr>
        <w:numPr>
          <w:ilvl w:val="0"/>
          <w:numId w:val="18"/>
        </w:numPr>
        <w:ind w:left="633"/>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Occupational therapist</w:t>
      </w:r>
    </w:p>
    <w:p w14:paraId="2C88E056" w14:textId="77777777" w:rsidR="00842F35" w:rsidRPr="00C65783" w:rsidRDefault="00842F35" w:rsidP="00634B19">
      <w:pPr>
        <w:numPr>
          <w:ilvl w:val="0"/>
          <w:numId w:val="18"/>
        </w:numPr>
        <w:ind w:left="633"/>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Peer support worker</w:t>
      </w:r>
    </w:p>
    <w:p w14:paraId="1A132061" w14:textId="77777777" w:rsidR="00842F35" w:rsidRPr="00C65783" w:rsidRDefault="00842F35" w:rsidP="00634B19">
      <w:pPr>
        <w:numPr>
          <w:ilvl w:val="0"/>
          <w:numId w:val="18"/>
        </w:numPr>
        <w:ind w:left="633"/>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Aboriginal and Torres Strait Islander Health/Mental Health Worker</w:t>
      </w:r>
    </w:p>
    <w:p w14:paraId="6ACDFA9C" w14:textId="77777777" w:rsidR="00842F35" w:rsidRPr="00C65783" w:rsidRDefault="00842F35" w:rsidP="00634B19">
      <w:pPr>
        <w:numPr>
          <w:ilvl w:val="0"/>
          <w:numId w:val="18"/>
        </w:numPr>
        <w:ind w:left="633"/>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 xml:space="preserve">Other, </w:t>
      </w:r>
      <w:proofErr w:type="gramStart"/>
      <w:r w:rsidRPr="00C65783">
        <w:rPr>
          <w:rFonts w:ascii="Calibri" w:eastAsia="MS Mincho" w:hAnsi="Calibri" w:cs="Calibri"/>
          <w:color w:val="000000" w:themeColor="text1"/>
          <w:sz w:val="21"/>
          <w:szCs w:val="21"/>
          <w:lang w:val="en-US"/>
        </w:rPr>
        <w:t>specify:_</w:t>
      </w:r>
      <w:proofErr w:type="gramEnd"/>
      <w:r w:rsidRPr="00C65783">
        <w:rPr>
          <w:rFonts w:ascii="Calibri" w:eastAsia="MS Mincho" w:hAnsi="Calibri" w:cs="Calibri"/>
          <w:color w:val="000000" w:themeColor="text1"/>
          <w:sz w:val="21"/>
          <w:szCs w:val="21"/>
          <w:lang w:val="en-US"/>
        </w:rPr>
        <w:t>________________</w:t>
      </w:r>
    </w:p>
    <w:p w14:paraId="7B14168C" w14:textId="77777777" w:rsidR="00842F35" w:rsidRPr="00C65783" w:rsidRDefault="00842F35" w:rsidP="007300FA">
      <w:pPr>
        <w:ind w:left="1080"/>
        <w:contextualSpacing/>
        <w:rPr>
          <w:rFonts w:ascii="Calibri" w:hAnsi="Calibri" w:cs="Calibri"/>
          <w:color w:val="000000" w:themeColor="text1"/>
          <w:sz w:val="21"/>
          <w:szCs w:val="21"/>
        </w:rPr>
      </w:pPr>
    </w:p>
    <w:p w14:paraId="4CB1FE02" w14:textId="77777777" w:rsidR="00842F35" w:rsidRPr="00C65783" w:rsidRDefault="00842F35" w:rsidP="007300FA">
      <w:pPr>
        <w:contextualSpacing/>
        <w:rPr>
          <w:rFonts w:ascii="Calibri" w:hAnsi="Calibri" w:cs="Calibri"/>
          <w:b/>
          <w:bCs/>
          <w:color w:val="000000" w:themeColor="text1"/>
          <w:sz w:val="21"/>
          <w:szCs w:val="21"/>
        </w:rPr>
      </w:pPr>
      <w:r w:rsidRPr="00C65783">
        <w:rPr>
          <w:rFonts w:ascii="Calibri" w:hAnsi="Calibri" w:cs="Calibri"/>
          <w:b/>
          <w:bCs/>
          <w:color w:val="000000" w:themeColor="text1"/>
          <w:sz w:val="21"/>
          <w:szCs w:val="21"/>
        </w:rPr>
        <w:t>How long have you been working in this profession?</w:t>
      </w:r>
    </w:p>
    <w:p w14:paraId="636A6406" w14:textId="77777777" w:rsidR="00842F35" w:rsidRPr="00C65783" w:rsidRDefault="00842F35" w:rsidP="00634B19">
      <w:pPr>
        <w:numPr>
          <w:ilvl w:val="0"/>
          <w:numId w:val="18"/>
        </w:numPr>
        <w:ind w:left="633"/>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Less than 1 year</w:t>
      </w:r>
    </w:p>
    <w:p w14:paraId="038C1718" w14:textId="77777777" w:rsidR="00842F35" w:rsidRPr="00C65783" w:rsidRDefault="00842F35" w:rsidP="00634B19">
      <w:pPr>
        <w:numPr>
          <w:ilvl w:val="0"/>
          <w:numId w:val="18"/>
        </w:numPr>
        <w:ind w:left="633"/>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1-5 years</w:t>
      </w:r>
    </w:p>
    <w:p w14:paraId="305EB030" w14:textId="77777777" w:rsidR="00842F35" w:rsidRPr="00C65783" w:rsidRDefault="00842F35" w:rsidP="00634B19">
      <w:pPr>
        <w:numPr>
          <w:ilvl w:val="0"/>
          <w:numId w:val="18"/>
        </w:numPr>
        <w:ind w:left="633"/>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 xml:space="preserve">6-10 years </w:t>
      </w:r>
    </w:p>
    <w:p w14:paraId="3B99EB51" w14:textId="77777777" w:rsidR="00842F35" w:rsidRPr="00C65783" w:rsidRDefault="00842F35" w:rsidP="00634B19">
      <w:pPr>
        <w:numPr>
          <w:ilvl w:val="0"/>
          <w:numId w:val="18"/>
        </w:numPr>
        <w:ind w:left="633"/>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 xml:space="preserve">11-15 years </w:t>
      </w:r>
    </w:p>
    <w:p w14:paraId="1AE56004" w14:textId="77777777" w:rsidR="00842F35" w:rsidRPr="00C65783" w:rsidRDefault="00842F35" w:rsidP="00634B19">
      <w:pPr>
        <w:numPr>
          <w:ilvl w:val="0"/>
          <w:numId w:val="18"/>
        </w:numPr>
        <w:ind w:left="633"/>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 xml:space="preserve">16-20 years </w:t>
      </w:r>
    </w:p>
    <w:p w14:paraId="6CA127E8" w14:textId="77777777" w:rsidR="00842F35" w:rsidRPr="00C65783" w:rsidRDefault="00842F35" w:rsidP="00634B19">
      <w:pPr>
        <w:numPr>
          <w:ilvl w:val="0"/>
          <w:numId w:val="18"/>
        </w:numPr>
        <w:ind w:left="633"/>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More than 20 years</w:t>
      </w:r>
    </w:p>
    <w:p w14:paraId="7D84E0CB" w14:textId="571D9D3F" w:rsidR="00842F35" w:rsidRPr="00C65783" w:rsidRDefault="00842F35" w:rsidP="007300FA">
      <w:pPr>
        <w:contextualSpacing/>
        <w:rPr>
          <w:rFonts w:ascii="Calibri" w:eastAsia="MS Mincho" w:hAnsi="Calibri" w:cs="Calibri"/>
          <w:color w:val="000000" w:themeColor="text1"/>
          <w:sz w:val="21"/>
          <w:szCs w:val="21"/>
          <w:lang w:val="en-US"/>
        </w:rPr>
      </w:pPr>
    </w:p>
    <w:p w14:paraId="6DB0D324" w14:textId="77777777" w:rsidR="00842F35" w:rsidRPr="00C65783" w:rsidRDefault="00842F35" w:rsidP="007300FA">
      <w:pPr>
        <w:rPr>
          <w:rFonts w:ascii="Calibri" w:eastAsia="MS Mincho" w:hAnsi="Calibri" w:cs="Calibri"/>
          <w:b/>
          <w:color w:val="000000" w:themeColor="text1"/>
          <w:sz w:val="21"/>
          <w:szCs w:val="21"/>
          <w:lang w:val="en-US"/>
        </w:rPr>
      </w:pPr>
      <w:r w:rsidRPr="00C65783">
        <w:rPr>
          <w:rFonts w:ascii="Calibri" w:eastAsia="MS Mincho" w:hAnsi="Calibri" w:cs="Calibri"/>
          <w:b/>
          <w:color w:val="000000" w:themeColor="text1"/>
          <w:sz w:val="21"/>
          <w:szCs w:val="21"/>
          <w:lang w:val="en-US"/>
        </w:rPr>
        <w:t xml:space="preserve">What type of </w:t>
      </w:r>
      <w:proofErr w:type="spellStart"/>
      <w:r w:rsidRPr="00C65783">
        <w:rPr>
          <w:rFonts w:ascii="Calibri" w:eastAsia="MS Mincho" w:hAnsi="Calibri" w:cs="Calibri"/>
          <w:b/>
          <w:color w:val="000000" w:themeColor="text1"/>
          <w:sz w:val="21"/>
          <w:szCs w:val="21"/>
          <w:lang w:val="en-US"/>
        </w:rPr>
        <w:t>organisation</w:t>
      </w:r>
      <w:proofErr w:type="spellEnd"/>
      <w:r w:rsidRPr="00C65783">
        <w:rPr>
          <w:rFonts w:ascii="Calibri" w:eastAsia="MS Mincho" w:hAnsi="Calibri" w:cs="Calibri"/>
          <w:b/>
          <w:color w:val="000000" w:themeColor="text1"/>
          <w:sz w:val="21"/>
          <w:szCs w:val="21"/>
          <w:lang w:val="en-US"/>
        </w:rPr>
        <w:t xml:space="preserve"> do you work in?</w:t>
      </w:r>
    </w:p>
    <w:p w14:paraId="33A0EE9C" w14:textId="77777777" w:rsidR="00842F35" w:rsidRPr="00C65783" w:rsidRDefault="00842F35" w:rsidP="00634B19">
      <w:pPr>
        <w:pStyle w:val="ListParagraph"/>
        <w:numPr>
          <w:ilvl w:val="0"/>
          <w:numId w:val="19"/>
        </w:numPr>
        <w:ind w:left="720"/>
        <w:rPr>
          <w:rFonts w:ascii="Calibri" w:eastAsia="MS Mincho" w:hAnsi="Calibri" w:cs="Calibri"/>
          <w:bCs/>
          <w:color w:val="000000" w:themeColor="text1"/>
          <w:lang w:val="en-US"/>
        </w:rPr>
      </w:pPr>
      <w:r w:rsidRPr="00C65783">
        <w:rPr>
          <w:rFonts w:ascii="Calibri" w:eastAsia="MS Mincho" w:hAnsi="Calibri" w:cs="Calibri"/>
          <w:bCs/>
          <w:color w:val="000000" w:themeColor="text1"/>
          <w:lang w:val="en-US"/>
        </w:rPr>
        <w:t>Digital/online mental health service</w:t>
      </w:r>
    </w:p>
    <w:p w14:paraId="3FEEAB1E" w14:textId="77777777" w:rsidR="00842F35" w:rsidRPr="00C65783" w:rsidRDefault="00842F35" w:rsidP="00634B19">
      <w:pPr>
        <w:pStyle w:val="ListParagraph"/>
        <w:numPr>
          <w:ilvl w:val="0"/>
          <w:numId w:val="19"/>
        </w:numPr>
        <w:ind w:left="720"/>
        <w:rPr>
          <w:rFonts w:ascii="Calibri" w:eastAsia="MS Mincho" w:hAnsi="Calibri" w:cs="Calibri"/>
          <w:bCs/>
          <w:color w:val="000000" w:themeColor="text1"/>
          <w:lang w:val="en-US"/>
        </w:rPr>
      </w:pPr>
      <w:r w:rsidRPr="00C65783">
        <w:rPr>
          <w:rFonts w:ascii="Calibri" w:eastAsia="MS Mincho" w:hAnsi="Calibri" w:cs="Calibri"/>
          <w:bCs/>
          <w:color w:val="000000" w:themeColor="text1"/>
          <w:lang w:val="en-US"/>
        </w:rPr>
        <w:t>Face-to-face mental health service</w:t>
      </w:r>
    </w:p>
    <w:p w14:paraId="42276C93" w14:textId="77777777" w:rsidR="00842F35" w:rsidRPr="00C65783" w:rsidRDefault="00842F35" w:rsidP="00634B19">
      <w:pPr>
        <w:pStyle w:val="ListParagraph"/>
        <w:numPr>
          <w:ilvl w:val="0"/>
          <w:numId w:val="19"/>
        </w:numPr>
        <w:ind w:left="720"/>
        <w:rPr>
          <w:rFonts w:ascii="Calibri" w:eastAsia="MS Mincho" w:hAnsi="Calibri" w:cs="Calibri"/>
          <w:bCs/>
          <w:color w:val="000000" w:themeColor="text1"/>
          <w:lang w:val="en-US"/>
        </w:rPr>
      </w:pPr>
      <w:r w:rsidRPr="00C65783">
        <w:rPr>
          <w:rFonts w:ascii="Calibri" w:eastAsia="MS Mincho" w:hAnsi="Calibri" w:cs="Calibri"/>
          <w:bCs/>
          <w:color w:val="000000" w:themeColor="text1"/>
          <w:lang w:val="en-US"/>
        </w:rPr>
        <w:t>Telephone mental health service</w:t>
      </w:r>
    </w:p>
    <w:p w14:paraId="7D7D1299" w14:textId="77777777" w:rsidR="00842F35" w:rsidRPr="00C65783" w:rsidRDefault="00842F35" w:rsidP="00634B19">
      <w:pPr>
        <w:pStyle w:val="ListParagraph"/>
        <w:numPr>
          <w:ilvl w:val="0"/>
          <w:numId w:val="19"/>
        </w:numPr>
        <w:ind w:left="720"/>
        <w:rPr>
          <w:rFonts w:ascii="Calibri" w:eastAsia="MS Mincho" w:hAnsi="Calibri" w:cs="Calibri"/>
          <w:bCs/>
          <w:color w:val="000000" w:themeColor="text1"/>
          <w:lang w:val="en-US"/>
        </w:rPr>
      </w:pPr>
      <w:r w:rsidRPr="00C65783">
        <w:rPr>
          <w:rFonts w:ascii="Calibri" w:eastAsia="MS Mincho" w:hAnsi="Calibri" w:cs="Calibri"/>
          <w:bCs/>
          <w:color w:val="000000" w:themeColor="text1"/>
          <w:lang w:val="en-US"/>
        </w:rPr>
        <w:t>Private practice – mental health</w:t>
      </w:r>
    </w:p>
    <w:p w14:paraId="423F778F" w14:textId="77777777" w:rsidR="00842F35" w:rsidRPr="00C65783" w:rsidRDefault="00842F35" w:rsidP="00634B19">
      <w:pPr>
        <w:pStyle w:val="ListParagraph"/>
        <w:numPr>
          <w:ilvl w:val="0"/>
          <w:numId w:val="19"/>
        </w:numPr>
        <w:ind w:left="720"/>
        <w:rPr>
          <w:rFonts w:ascii="Calibri" w:eastAsia="MS Mincho" w:hAnsi="Calibri" w:cs="Calibri"/>
          <w:b/>
          <w:color w:val="000000" w:themeColor="text1"/>
          <w:lang w:val="en-US"/>
        </w:rPr>
      </w:pPr>
      <w:r w:rsidRPr="00C65783">
        <w:rPr>
          <w:rFonts w:ascii="Calibri" w:eastAsia="MS Mincho" w:hAnsi="Calibri" w:cs="Calibri"/>
          <w:bCs/>
          <w:color w:val="000000" w:themeColor="text1"/>
          <w:lang w:val="en-US"/>
        </w:rPr>
        <w:t>General practice</w:t>
      </w:r>
    </w:p>
    <w:p w14:paraId="17DA8C15" w14:textId="77777777" w:rsidR="00842F35" w:rsidRPr="00C65783" w:rsidRDefault="00842F35" w:rsidP="00634B19">
      <w:pPr>
        <w:pStyle w:val="ListParagraph"/>
        <w:numPr>
          <w:ilvl w:val="0"/>
          <w:numId w:val="19"/>
        </w:numPr>
        <w:ind w:left="720"/>
        <w:rPr>
          <w:rFonts w:ascii="Calibri" w:eastAsia="MS Mincho" w:hAnsi="Calibri" w:cs="Calibri"/>
          <w:b/>
          <w:color w:val="000000" w:themeColor="text1"/>
          <w:lang w:val="en-US"/>
        </w:rPr>
      </w:pPr>
      <w:r w:rsidRPr="00C65783">
        <w:rPr>
          <w:rFonts w:ascii="Calibri" w:eastAsia="MS Mincho" w:hAnsi="Calibri" w:cs="Calibri"/>
          <w:bCs/>
          <w:color w:val="000000" w:themeColor="text1"/>
          <w:lang w:val="en-US"/>
        </w:rPr>
        <w:t>Private hospital</w:t>
      </w:r>
    </w:p>
    <w:p w14:paraId="363CC105" w14:textId="77777777" w:rsidR="00842F35" w:rsidRPr="00C65783" w:rsidRDefault="00842F35" w:rsidP="00634B19">
      <w:pPr>
        <w:pStyle w:val="ListParagraph"/>
        <w:numPr>
          <w:ilvl w:val="0"/>
          <w:numId w:val="19"/>
        </w:numPr>
        <w:ind w:left="720"/>
        <w:rPr>
          <w:rFonts w:ascii="Calibri" w:eastAsia="MS Mincho" w:hAnsi="Calibri" w:cs="Calibri"/>
          <w:b/>
          <w:color w:val="000000" w:themeColor="text1"/>
          <w:lang w:val="en-US"/>
        </w:rPr>
      </w:pPr>
      <w:r w:rsidRPr="00C65783">
        <w:rPr>
          <w:rFonts w:ascii="Calibri" w:eastAsia="MS Mincho" w:hAnsi="Calibri" w:cs="Calibri"/>
          <w:bCs/>
          <w:color w:val="000000" w:themeColor="text1"/>
          <w:lang w:val="en-US"/>
        </w:rPr>
        <w:t>Public hospital</w:t>
      </w:r>
    </w:p>
    <w:p w14:paraId="53C5A9EB" w14:textId="77777777" w:rsidR="00842F35" w:rsidRPr="00C65783" w:rsidRDefault="00842F35" w:rsidP="00634B19">
      <w:pPr>
        <w:pStyle w:val="ListParagraph"/>
        <w:numPr>
          <w:ilvl w:val="0"/>
          <w:numId w:val="19"/>
        </w:numPr>
        <w:ind w:left="720"/>
        <w:rPr>
          <w:rFonts w:ascii="Calibri" w:eastAsia="MS Mincho" w:hAnsi="Calibri" w:cs="Calibri"/>
          <w:b/>
          <w:color w:val="000000" w:themeColor="text1"/>
          <w:lang w:val="en-US"/>
        </w:rPr>
      </w:pPr>
      <w:r w:rsidRPr="00C65783">
        <w:rPr>
          <w:rFonts w:ascii="Calibri" w:eastAsia="MS Mincho" w:hAnsi="Calibri" w:cs="Calibri"/>
          <w:bCs/>
          <w:color w:val="000000" w:themeColor="text1"/>
          <w:lang w:val="en-US"/>
        </w:rPr>
        <w:t>Not-for-profit community organization</w:t>
      </w:r>
    </w:p>
    <w:p w14:paraId="611472B0" w14:textId="77777777" w:rsidR="00842F35" w:rsidRPr="00C65783" w:rsidRDefault="00842F35" w:rsidP="00634B19">
      <w:pPr>
        <w:pStyle w:val="ListParagraph"/>
        <w:numPr>
          <w:ilvl w:val="0"/>
          <w:numId w:val="19"/>
        </w:numPr>
        <w:ind w:left="720"/>
        <w:rPr>
          <w:rFonts w:ascii="Calibri" w:eastAsia="MS Mincho" w:hAnsi="Calibri" w:cs="Calibri"/>
          <w:b/>
          <w:color w:val="000000" w:themeColor="text1"/>
          <w:lang w:val="en-US"/>
        </w:rPr>
      </w:pPr>
      <w:r w:rsidRPr="00C65783">
        <w:rPr>
          <w:rFonts w:ascii="Calibri" w:eastAsia="MS Mincho" w:hAnsi="Calibri" w:cs="Calibri"/>
          <w:bCs/>
          <w:color w:val="000000" w:themeColor="text1"/>
          <w:lang w:val="en-US"/>
        </w:rPr>
        <w:t>PHN</w:t>
      </w:r>
    </w:p>
    <w:p w14:paraId="2B87CA6A" w14:textId="67E45360" w:rsidR="00842F35" w:rsidRPr="00584FB8" w:rsidRDefault="00842F35" w:rsidP="00584FB8">
      <w:pPr>
        <w:pStyle w:val="ListParagraph"/>
        <w:numPr>
          <w:ilvl w:val="0"/>
          <w:numId w:val="19"/>
        </w:numPr>
        <w:ind w:left="720"/>
        <w:rPr>
          <w:rFonts w:ascii="Calibri" w:eastAsia="MS Mincho" w:hAnsi="Calibri" w:cs="Calibri"/>
          <w:b/>
          <w:color w:val="000000" w:themeColor="text1"/>
          <w:lang w:val="en-US"/>
        </w:rPr>
      </w:pPr>
      <w:r w:rsidRPr="00C65783">
        <w:rPr>
          <w:rFonts w:ascii="Calibri" w:eastAsia="MS Mincho" w:hAnsi="Calibri" w:cs="Calibri"/>
          <w:bCs/>
          <w:color w:val="000000" w:themeColor="text1"/>
          <w:lang w:val="en-US"/>
        </w:rPr>
        <w:t xml:space="preserve">Other, please </w:t>
      </w:r>
      <w:proofErr w:type="gramStart"/>
      <w:r w:rsidRPr="00C65783">
        <w:rPr>
          <w:rFonts w:ascii="Calibri" w:eastAsia="MS Mincho" w:hAnsi="Calibri" w:cs="Calibri"/>
          <w:bCs/>
          <w:color w:val="000000" w:themeColor="text1"/>
          <w:lang w:val="en-US"/>
        </w:rPr>
        <w:t>specify:_</w:t>
      </w:r>
      <w:proofErr w:type="gramEnd"/>
      <w:r w:rsidRPr="00C65783">
        <w:rPr>
          <w:rFonts w:ascii="Calibri" w:eastAsia="MS Mincho" w:hAnsi="Calibri" w:cs="Calibri"/>
          <w:bCs/>
          <w:color w:val="000000" w:themeColor="text1"/>
          <w:lang w:val="en-US"/>
        </w:rPr>
        <w:t>________________</w:t>
      </w:r>
    </w:p>
    <w:p w14:paraId="57D10071" w14:textId="3F3DBD0B" w:rsidR="00842F35" w:rsidRPr="00584FB8" w:rsidRDefault="00842F35" w:rsidP="00584FB8">
      <w:pPr>
        <w:rPr>
          <w:rFonts w:ascii="Calibri" w:eastAsia="MS Mincho" w:hAnsi="Calibri" w:cs="Calibri"/>
          <w:b/>
          <w:color w:val="000000" w:themeColor="text1"/>
          <w:sz w:val="21"/>
          <w:szCs w:val="21"/>
          <w:lang w:val="en-US"/>
        </w:rPr>
      </w:pPr>
      <w:r w:rsidRPr="00C65783">
        <w:rPr>
          <w:rFonts w:ascii="Calibri" w:eastAsia="MS Mincho" w:hAnsi="Calibri" w:cs="Calibri"/>
          <w:b/>
          <w:color w:val="000000" w:themeColor="text1"/>
          <w:sz w:val="21"/>
          <w:szCs w:val="21"/>
          <w:lang w:val="en-US"/>
        </w:rPr>
        <w:t xml:space="preserve">What is your role in the </w:t>
      </w:r>
      <w:proofErr w:type="spellStart"/>
      <w:r w:rsidRPr="00C65783">
        <w:rPr>
          <w:rFonts w:ascii="Calibri" w:eastAsia="MS Mincho" w:hAnsi="Calibri" w:cs="Calibri"/>
          <w:b/>
          <w:color w:val="000000" w:themeColor="text1"/>
          <w:sz w:val="21"/>
          <w:szCs w:val="21"/>
          <w:lang w:val="en-US"/>
        </w:rPr>
        <w:t>organisation</w:t>
      </w:r>
      <w:proofErr w:type="spellEnd"/>
      <w:r w:rsidRPr="00C65783">
        <w:rPr>
          <w:rFonts w:ascii="Calibri" w:eastAsia="MS Mincho" w:hAnsi="Calibri" w:cs="Calibri"/>
          <w:b/>
          <w:color w:val="000000" w:themeColor="text1"/>
          <w:sz w:val="21"/>
          <w:szCs w:val="21"/>
          <w:lang w:val="en-US"/>
        </w:rPr>
        <w:t>?</w:t>
      </w:r>
    </w:p>
    <w:p w14:paraId="080AC466" w14:textId="77777777" w:rsidR="00842F35" w:rsidRPr="007300FA" w:rsidRDefault="00842F35" w:rsidP="007300FA">
      <w:pPr>
        <w:contextualSpacing/>
        <w:rPr>
          <w:rFonts w:asciiTheme="minorHAnsi" w:hAnsiTheme="minorHAnsi" w:cstheme="minorHAnsi"/>
          <w:b/>
          <w:bCs/>
          <w:color w:val="000000" w:themeColor="text1"/>
          <w:sz w:val="21"/>
          <w:szCs w:val="21"/>
        </w:rPr>
      </w:pPr>
      <w:r w:rsidRPr="007300FA">
        <w:rPr>
          <w:rFonts w:asciiTheme="minorHAnsi" w:hAnsiTheme="minorHAnsi" w:cstheme="minorHAnsi"/>
          <w:b/>
          <w:bCs/>
          <w:color w:val="000000" w:themeColor="text1"/>
          <w:sz w:val="21"/>
          <w:szCs w:val="21"/>
        </w:rPr>
        <w:t xml:space="preserve">What is your postcode? </w:t>
      </w:r>
    </w:p>
    <w:p w14:paraId="201D2C43" w14:textId="77777777" w:rsidR="00842F35" w:rsidRPr="00C65783" w:rsidRDefault="00842F35" w:rsidP="007300FA">
      <w:pPr>
        <w:ind w:left="360"/>
        <w:contextualSpacing/>
        <w:rPr>
          <w:rFonts w:ascii="Calibri" w:hAnsi="Calibri" w:cs="Calibri"/>
          <w:b/>
          <w:bCs/>
          <w:color w:val="000000" w:themeColor="text1"/>
          <w:sz w:val="21"/>
          <w:szCs w:val="21"/>
        </w:rPr>
      </w:pPr>
    </w:p>
    <w:p w14:paraId="1A37CA74" w14:textId="77777777" w:rsidR="00842F35" w:rsidRPr="00C65783" w:rsidRDefault="00842F35" w:rsidP="007300FA">
      <w:pPr>
        <w:contextualSpacing/>
        <w:rPr>
          <w:rFonts w:ascii="Calibri" w:hAnsi="Calibri" w:cs="Calibri"/>
          <w:b/>
          <w:bCs/>
          <w:color w:val="000000" w:themeColor="text1"/>
          <w:sz w:val="21"/>
          <w:szCs w:val="21"/>
        </w:rPr>
      </w:pPr>
      <w:r w:rsidRPr="00C65783">
        <w:rPr>
          <w:rFonts w:ascii="Calibri" w:hAnsi="Calibri" w:cs="Calibri"/>
          <w:b/>
          <w:bCs/>
          <w:color w:val="000000" w:themeColor="text1"/>
          <w:sz w:val="21"/>
          <w:szCs w:val="21"/>
        </w:rPr>
        <w:t>What is your gender?</w:t>
      </w:r>
    </w:p>
    <w:p w14:paraId="695E7BE3" w14:textId="77777777" w:rsidR="00842F35" w:rsidRPr="00C65783" w:rsidRDefault="00842F35" w:rsidP="00634B19">
      <w:pPr>
        <w:numPr>
          <w:ilvl w:val="0"/>
          <w:numId w:val="20"/>
        </w:numPr>
        <w:ind w:left="720"/>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Female</w:t>
      </w:r>
    </w:p>
    <w:p w14:paraId="68C392B2" w14:textId="77777777" w:rsidR="00842F35" w:rsidRPr="00C65783" w:rsidRDefault="00842F35" w:rsidP="00634B19">
      <w:pPr>
        <w:numPr>
          <w:ilvl w:val="0"/>
          <w:numId w:val="20"/>
        </w:numPr>
        <w:ind w:left="720"/>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Male</w:t>
      </w:r>
    </w:p>
    <w:p w14:paraId="6DB0DD3E" w14:textId="4E9DCC14" w:rsidR="00842F35" w:rsidRPr="00584FB8" w:rsidRDefault="00842F35" w:rsidP="00584FB8">
      <w:pPr>
        <w:numPr>
          <w:ilvl w:val="0"/>
          <w:numId w:val="20"/>
        </w:numPr>
        <w:ind w:left="720"/>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I do not identify with either term</w:t>
      </w:r>
    </w:p>
    <w:p w14:paraId="45A46A1C" w14:textId="77777777" w:rsidR="007300FA" w:rsidRDefault="007300FA">
      <w:pPr>
        <w:rPr>
          <w:rFonts w:ascii="Calibri" w:hAnsi="Calibri" w:cs="Calibri"/>
          <w:b/>
          <w:bCs/>
          <w:color w:val="000000" w:themeColor="text1"/>
          <w:sz w:val="21"/>
          <w:szCs w:val="21"/>
        </w:rPr>
      </w:pPr>
      <w:r>
        <w:rPr>
          <w:rFonts w:ascii="Calibri" w:hAnsi="Calibri" w:cs="Calibri"/>
          <w:b/>
          <w:bCs/>
          <w:color w:val="000000" w:themeColor="text1"/>
          <w:sz w:val="21"/>
          <w:szCs w:val="21"/>
        </w:rPr>
        <w:br w:type="page"/>
      </w:r>
    </w:p>
    <w:p w14:paraId="35247CB9" w14:textId="3F1938CA" w:rsidR="00842F35" w:rsidRPr="00C65783" w:rsidRDefault="00842F35" w:rsidP="007300FA">
      <w:pPr>
        <w:contextualSpacing/>
        <w:rPr>
          <w:rFonts w:ascii="Calibri" w:eastAsiaTheme="minorEastAsia" w:hAnsi="Calibri" w:cs="Calibri"/>
          <w:b/>
          <w:bCs/>
          <w:color w:val="000000" w:themeColor="text1"/>
          <w:sz w:val="21"/>
          <w:szCs w:val="21"/>
        </w:rPr>
      </w:pPr>
      <w:r w:rsidRPr="00C65783">
        <w:rPr>
          <w:rFonts w:ascii="Calibri" w:hAnsi="Calibri" w:cs="Calibri"/>
          <w:b/>
          <w:bCs/>
          <w:color w:val="000000" w:themeColor="text1"/>
          <w:sz w:val="21"/>
          <w:szCs w:val="21"/>
        </w:rPr>
        <w:lastRenderedPageBreak/>
        <w:t>What is your age?</w:t>
      </w:r>
    </w:p>
    <w:p w14:paraId="53D19FF2" w14:textId="77777777" w:rsidR="00842F35" w:rsidRPr="00C65783" w:rsidRDefault="00842F35" w:rsidP="00584FB8">
      <w:pPr>
        <w:numPr>
          <w:ilvl w:val="0"/>
          <w:numId w:val="21"/>
        </w:numPr>
        <w:ind w:left="720"/>
        <w:rPr>
          <w:rFonts w:eastAsiaTheme="minorEastAsia"/>
          <w:color w:val="000000" w:themeColor="text1"/>
          <w:sz w:val="21"/>
          <w:szCs w:val="21"/>
          <w:lang w:val="en-US"/>
        </w:rPr>
      </w:pPr>
      <w:r w:rsidRPr="00C65783">
        <w:rPr>
          <w:rFonts w:ascii="Calibri" w:eastAsia="MS Mincho" w:hAnsi="Calibri" w:cs="Calibri"/>
          <w:color w:val="000000" w:themeColor="text1"/>
          <w:sz w:val="21"/>
          <w:szCs w:val="21"/>
          <w:lang w:val="en-US"/>
        </w:rPr>
        <w:t>18-19 years</w:t>
      </w:r>
    </w:p>
    <w:p w14:paraId="2BF1DF7B" w14:textId="77777777" w:rsidR="00842F35" w:rsidRPr="00C65783" w:rsidRDefault="00842F35" w:rsidP="00634B19">
      <w:pPr>
        <w:numPr>
          <w:ilvl w:val="0"/>
          <w:numId w:val="21"/>
        </w:numPr>
        <w:ind w:left="720"/>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20-29 years</w:t>
      </w:r>
    </w:p>
    <w:p w14:paraId="79173FFB" w14:textId="77777777" w:rsidR="00842F35" w:rsidRPr="00C65783" w:rsidRDefault="00842F35" w:rsidP="00634B19">
      <w:pPr>
        <w:numPr>
          <w:ilvl w:val="0"/>
          <w:numId w:val="21"/>
        </w:numPr>
        <w:ind w:left="720"/>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30-39 years</w:t>
      </w:r>
    </w:p>
    <w:p w14:paraId="0BFE7945" w14:textId="77777777" w:rsidR="00842F35" w:rsidRPr="00C65783" w:rsidRDefault="00842F35" w:rsidP="00634B19">
      <w:pPr>
        <w:numPr>
          <w:ilvl w:val="0"/>
          <w:numId w:val="21"/>
        </w:numPr>
        <w:ind w:left="720"/>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40-49 years</w:t>
      </w:r>
    </w:p>
    <w:p w14:paraId="3C7F13EC" w14:textId="77777777" w:rsidR="00842F35" w:rsidRPr="00C65783" w:rsidRDefault="00842F35" w:rsidP="00634B19">
      <w:pPr>
        <w:numPr>
          <w:ilvl w:val="0"/>
          <w:numId w:val="21"/>
        </w:numPr>
        <w:ind w:left="720"/>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50-59 years</w:t>
      </w:r>
    </w:p>
    <w:p w14:paraId="722C25FD" w14:textId="77777777" w:rsidR="00842F35" w:rsidRPr="00C65783" w:rsidRDefault="00842F35" w:rsidP="00634B19">
      <w:pPr>
        <w:numPr>
          <w:ilvl w:val="0"/>
          <w:numId w:val="21"/>
        </w:numPr>
        <w:ind w:left="720"/>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60-69 years</w:t>
      </w:r>
    </w:p>
    <w:p w14:paraId="22BA5246" w14:textId="77777777" w:rsidR="00842F35" w:rsidRPr="00C65783" w:rsidRDefault="00842F35" w:rsidP="00634B19">
      <w:pPr>
        <w:numPr>
          <w:ilvl w:val="0"/>
          <w:numId w:val="21"/>
        </w:numPr>
        <w:ind w:left="720"/>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70-79 years</w:t>
      </w:r>
    </w:p>
    <w:p w14:paraId="669B906A" w14:textId="7D487213" w:rsidR="00842F35" w:rsidRPr="00584FB8" w:rsidRDefault="00842F35" w:rsidP="00584FB8">
      <w:pPr>
        <w:numPr>
          <w:ilvl w:val="0"/>
          <w:numId w:val="21"/>
        </w:numPr>
        <w:snapToGrid w:val="0"/>
        <w:ind w:left="714" w:hanging="357"/>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80 years or older</w:t>
      </w:r>
    </w:p>
    <w:p w14:paraId="79001D21" w14:textId="77777777" w:rsidR="00842F35" w:rsidRPr="00C65783" w:rsidRDefault="00842F35" w:rsidP="007300FA">
      <w:pPr>
        <w:contextualSpacing/>
        <w:rPr>
          <w:rFonts w:ascii="Calibri" w:eastAsiaTheme="minorEastAsia" w:hAnsi="Calibri" w:cs="Calibri"/>
          <w:b/>
          <w:bCs/>
          <w:color w:val="000000" w:themeColor="text1"/>
          <w:sz w:val="21"/>
          <w:szCs w:val="21"/>
        </w:rPr>
      </w:pPr>
      <w:r w:rsidRPr="00C65783">
        <w:rPr>
          <w:rFonts w:ascii="Calibri" w:hAnsi="Calibri" w:cs="Calibri"/>
          <w:b/>
          <w:bCs/>
          <w:color w:val="000000" w:themeColor="text1"/>
          <w:sz w:val="21"/>
          <w:szCs w:val="21"/>
        </w:rPr>
        <w:t>Do you identify as Aboriginal and/or Torres Strait Islander?</w:t>
      </w:r>
    </w:p>
    <w:p w14:paraId="146A670A" w14:textId="77777777" w:rsidR="00842F35" w:rsidRPr="00C65783" w:rsidRDefault="00842F35" w:rsidP="00634B19">
      <w:pPr>
        <w:numPr>
          <w:ilvl w:val="0"/>
          <w:numId w:val="22"/>
        </w:numPr>
        <w:ind w:left="720"/>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 xml:space="preserve">Aboriginal </w:t>
      </w:r>
    </w:p>
    <w:p w14:paraId="50FF9B69" w14:textId="77777777" w:rsidR="00842F35" w:rsidRPr="00C65783" w:rsidRDefault="00842F35" w:rsidP="00634B19">
      <w:pPr>
        <w:numPr>
          <w:ilvl w:val="0"/>
          <w:numId w:val="22"/>
        </w:numPr>
        <w:ind w:left="720"/>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 xml:space="preserve">Torres Strait Islander </w:t>
      </w:r>
      <w:r w:rsidRPr="00C65783">
        <w:rPr>
          <w:rFonts w:ascii="Calibri" w:eastAsia="MS Mincho" w:hAnsi="Calibri" w:cs="Calibri"/>
          <w:color w:val="000000" w:themeColor="text1"/>
          <w:sz w:val="21"/>
          <w:szCs w:val="21"/>
          <w:lang w:val="en-US"/>
        </w:rPr>
        <w:tab/>
      </w:r>
    </w:p>
    <w:p w14:paraId="78F9EE7F" w14:textId="77777777" w:rsidR="00842F35" w:rsidRPr="00C65783" w:rsidRDefault="00842F35" w:rsidP="00634B19">
      <w:pPr>
        <w:numPr>
          <w:ilvl w:val="0"/>
          <w:numId w:val="22"/>
        </w:numPr>
        <w:ind w:left="720"/>
        <w:contextualSpacing/>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Both Aboriginal and Torres Strait Islander</w:t>
      </w:r>
    </w:p>
    <w:p w14:paraId="4909EAEC" w14:textId="29BC2B16" w:rsidR="00842F35" w:rsidRPr="00584FB8" w:rsidRDefault="00842F35" w:rsidP="00842F35">
      <w:pPr>
        <w:numPr>
          <w:ilvl w:val="0"/>
          <w:numId w:val="22"/>
        </w:numPr>
        <w:snapToGrid w:val="0"/>
        <w:ind w:left="714" w:hanging="357"/>
        <w:rPr>
          <w:rFonts w:ascii="Calibri" w:eastAsia="MS Mincho" w:hAnsi="Calibri" w:cs="Calibri"/>
          <w:color w:val="000000" w:themeColor="text1"/>
          <w:sz w:val="21"/>
          <w:szCs w:val="21"/>
          <w:lang w:val="en-US"/>
        </w:rPr>
      </w:pPr>
      <w:r w:rsidRPr="00C65783">
        <w:rPr>
          <w:rFonts w:ascii="Calibri" w:eastAsia="MS Mincho" w:hAnsi="Calibri" w:cs="Calibri"/>
          <w:color w:val="000000" w:themeColor="text1"/>
          <w:sz w:val="21"/>
          <w:szCs w:val="21"/>
          <w:lang w:val="en-US"/>
        </w:rPr>
        <w:t>Neither Aboriginal nor Torres Strait Islander</w:t>
      </w:r>
    </w:p>
    <w:p w14:paraId="650AE62F" w14:textId="5E58443A" w:rsidR="00842F35" w:rsidRDefault="00842F35" w:rsidP="00842F35">
      <w:pPr>
        <w:contextualSpacing/>
        <w:rPr>
          <w:rFonts w:ascii="Calibri" w:eastAsia="MS Mincho" w:hAnsi="Calibri" w:cs="Calibri"/>
          <w:b/>
          <w:bCs/>
          <w:color w:val="000000" w:themeColor="text1"/>
          <w:sz w:val="21"/>
          <w:szCs w:val="21"/>
          <w:lang w:val="en-US"/>
        </w:rPr>
      </w:pPr>
      <w:r>
        <w:rPr>
          <w:rFonts w:ascii="Calibri" w:eastAsia="MS Mincho" w:hAnsi="Calibri" w:cs="Calibri"/>
          <w:b/>
          <w:bCs/>
          <w:color w:val="000000" w:themeColor="text1"/>
          <w:sz w:val="21"/>
          <w:szCs w:val="21"/>
          <w:lang w:val="en-US"/>
        </w:rPr>
        <w:t xml:space="preserve">What type of internet do you have? </w:t>
      </w:r>
    </w:p>
    <w:p w14:paraId="6E2D839F" w14:textId="77777777" w:rsidR="00842F35" w:rsidRPr="004A71F1" w:rsidRDefault="00842F35" w:rsidP="00634B19">
      <w:pPr>
        <w:pStyle w:val="ListParagraph"/>
        <w:numPr>
          <w:ilvl w:val="0"/>
          <w:numId w:val="30"/>
        </w:numPr>
        <w:rPr>
          <w:rFonts w:ascii="Calibri" w:eastAsia="MS Mincho" w:hAnsi="Calibri" w:cs="Calibri"/>
          <w:color w:val="000000" w:themeColor="text1"/>
          <w:lang w:val="en-US"/>
        </w:rPr>
      </w:pPr>
      <w:r w:rsidRPr="004A71F1">
        <w:rPr>
          <w:rFonts w:ascii="Calibri" w:eastAsia="MS Mincho" w:hAnsi="Calibri" w:cs="Calibri"/>
          <w:color w:val="000000" w:themeColor="text1"/>
          <w:lang w:val="en-US"/>
        </w:rPr>
        <w:t>Dial up</w:t>
      </w:r>
    </w:p>
    <w:p w14:paraId="631F4FD7" w14:textId="77777777" w:rsidR="00842F35" w:rsidRPr="004A71F1" w:rsidRDefault="00842F35" w:rsidP="00634B19">
      <w:pPr>
        <w:pStyle w:val="ListParagraph"/>
        <w:numPr>
          <w:ilvl w:val="0"/>
          <w:numId w:val="30"/>
        </w:numPr>
        <w:rPr>
          <w:rFonts w:ascii="Calibri" w:eastAsia="MS Mincho" w:hAnsi="Calibri" w:cs="Calibri"/>
          <w:color w:val="000000" w:themeColor="text1"/>
          <w:lang w:val="en-US"/>
        </w:rPr>
      </w:pPr>
      <w:r w:rsidRPr="004A71F1">
        <w:rPr>
          <w:rFonts w:ascii="Calibri" w:eastAsia="MS Mincho" w:hAnsi="Calibri" w:cs="Calibri"/>
          <w:color w:val="000000" w:themeColor="text1"/>
          <w:lang w:val="en-US"/>
        </w:rPr>
        <w:t>ADSL or ADSL2+</w:t>
      </w:r>
    </w:p>
    <w:p w14:paraId="4346C64B" w14:textId="77777777" w:rsidR="00842F35" w:rsidRPr="004A71F1" w:rsidRDefault="00842F35" w:rsidP="00634B19">
      <w:pPr>
        <w:pStyle w:val="ListParagraph"/>
        <w:numPr>
          <w:ilvl w:val="0"/>
          <w:numId w:val="30"/>
        </w:numPr>
        <w:rPr>
          <w:rFonts w:ascii="Calibri" w:eastAsia="MS Mincho" w:hAnsi="Calibri" w:cs="Calibri"/>
          <w:color w:val="000000" w:themeColor="text1"/>
          <w:lang w:val="en-US"/>
        </w:rPr>
      </w:pPr>
      <w:r w:rsidRPr="004A71F1">
        <w:rPr>
          <w:rFonts w:ascii="Calibri" w:eastAsia="MS Mincho" w:hAnsi="Calibri" w:cs="Calibri"/>
          <w:color w:val="000000" w:themeColor="text1"/>
          <w:lang w:val="en-US"/>
        </w:rPr>
        <w:t>Cable</w:t>
      </w:r>
    </w:p>
    <w:p w14:paraId="0D320743" w14:textId="77777777" w:rsidR="00842F35" w:rsidRPr="004A71F1" w:rsidRDefault="00842F35" w:rsidP="00634B19">
      <w:pPr>
        <w:pStyle w:val="ListParagraph"/>
        <w:numPr>
          <w:ilvl w:val="0"/>
          <w:numId w:val="30"/>
        </w:numPr>
        <w:rPr>
          <w:rFonts w:ascii="Calibri" w:eastAsia="MS Mincho" w:hAnsi="Calibri" w:cs="Calibri"/>
          <w:color w:val="000000" w:themeColor="text1"/>
          <w:lang w:val="en-US"/>
        </w:rPr>
      </w:pPr>
      <w:r w:rsidRPr="004A71F1">
        <w:rPr>
          <w:rFonts w:ascii="Calibri" w:eastAsia="MS Mincho" w:hAnsi="Calibri" w:cs="Calibri"/>
          <w:color w:val="000000" w:themeColor="text1"/>
          <w:lang w:val="en-US"/>
        </w:rPr>
        <w:t>National Broadband Network (NBN)</w:t>
      </w:r>
    </w:p>
    <w:p w14:paraId="534D4AEA" w14:textId="77777777" w:rsidR="00842F35" w:rsidRPr="004A71F1" w:rsidRDefault="00842F35" w:rsidP="00634B19">
      <w:pPr>
        <w:pStyle w:val="ListParagraph"/>
        <w:numPr>
          <w:ilvl w:val="0"/>
          <w:numId w:val="30"/>
        </w:numPr>
        <w:rPr>
          <w:rFonts w:ascii="Calibri" w:eastAsia="MS Mincho" w:hAnsi="Calibri" w:cs="Calibri"/>
          <w:color w:val="000000" w:themeColor="text1"/>
          <w:lang w:val="en-US"/>
        </w:rPr>
      </w:pPr>
      <w:r w:rsidRPr="004A71F1">
        <w:rPr>
          <w:rFonts w:ascii="Calibri" w:eastAsia="MS Mincho" w:hAnsi="Calibri" w:cs="Calibri"/>
          <w:color w:val="000000" w:themeColor="text1"/>
          <w:lang w:val="en-US"/>
        </w:rPr>
        <w:t>Satellite Connection</w:t>
      </w:r>
    </w:p>
    <w:p w14:paraId="573FC7FA" w14:textId="77777777" w:rsidR="00842F35" w:rsidRPr="004A71F1" w:rsidRDefault="00842F35" w:rsidP="00634B19">
      <w:pPr>
        <w:pStyle w:val="ListParagraph"/>
        <w:numPr>
          <w:ilvl w:val="0"/>
          <w:numId w:val="30"/>
        </w:numPr>
        <w:rPr>
          <w:rFonts w:ascii="Calibri" w:eastAsia="MS Mincho" w:hAnsi="Calibri" w:cs="Calibri"/>
          <w:color w:val="000000" w:themeColor="text1"/>
          <w:lang w:val="en-US"/>
        </w:rPr>
      </w:pPr>
      <w:r w:rsidRPr="004A71F1">
        <w:rPr>
          <w:rFonts w:ascii="Calibri" w:eastAsia="MS Mincho" w:hAnsi="Calibri" w:cs="Calibri"/>
          <w:color w:val="000000" w:themeColor="text1"/>
          <w:lang w:val="en-US"/>
        </w:rPr>
        <w:t>Wireless Router</w:t>
      </w:r>
    </w:p>
    <w:p w14:paraId="44E79AE9" w14:textId="77777777" w:rsidR="00842F35" w:rsidRPr="004A71F1" w:rsidRDefault="00842F35" w:rsidP="00634B19">
      <w:pPr>
        <w:pStyle w:val="ListParagraph"/>
        <w:numPr>
          <w:ilvl w:val="0"/>
          <w:numId w:val="30"/>
        </w:numPr>
        <w:rPr>
          <w:rFonts w:ascii="Calibri" w:eastAsia="MS Mincho" w:hAnsi="Calibri" w:cs="Calibri"/>
          <w:color w:val="000000" w:themeColor="text1"/>
          <w:lang w:val="en-US"/>
        </w:rPr>
      </w:pPr>
      <w:r w:rsidRPr="004A71F1">
        <w:rPr>
          <w:rFonts w:ascii="Calibri" w:eastAsia="MS Mincho" w:hAnsi="Calibri" w:cs="Calibri"/>
          <w:color w:val="000000" w:themeColor="text1"/>
          <w:lang w:val="en-US"/>
        </w:rPr>
        <w:t>Mobile Broadband (e.g., hot spot, dongle)</w:t>
      </w:r>
    </w:p>
    <w:p w14:paraId="0EF066A9" w14:textId="07678543" w:rsidR="00842F35" w:rsidRPr="00584FB8" w:rsidRDefault="00842F35" w:rsidP="00842F35">
      <w:pPr>
        <w:pStyle w:val="ListParagraph"/>
        <w:numPr>
          <w:ilvl w:val="0"/>
          <w:numId w:val="30"/>
        </w:numPr>
        <w:rPr>
          <w:rFonts w:ascii="Calibri" w:eastAsia="MS Mincho" w:hAnsi="Calibri" w:cs="Calibri"/>
          <w:color w:val="000000" w:themeColor="text1"/>
          <w:lang w:val="en-US"/>
        </w:rPr>
      </w:pPr>
      <w:r w:rsidRPr="004A71F1">
        <w:rPr>
          <w:rFonts w:ascii="Calibri" w:eastAsia="MS Mincho" w:hAnsi="Calibri" w:cs="Calibri"/>
          <w:color w:val="000000" w:themeColor="text1"/>
          <w:lang w:val="en-US"/>
        </w:rPr>
        <w:t>Other</w:t>
      </w:r>
      <w:r>
        <w:rPr>
          <w:rFonts w:ascii="Calibri" w:eastAsia="MS Mincho" w:hAnsi="Calibri" w:cs="Calibri"/>
          <w:color w:val="000000" w:themeColor="text1"/>
          <w:lang w:val="en-US"/>
        </w:rPr>
        <w:t>____________</w:t>
      </w:r>
    </w:p>
    <w:p w14:paraId="379F2BE0" w14:textId="77777777" w:rsidR="00842F35" w:rsidRDefault="00842F35" w:rsidP="00842F35">
      <w:pPr>
        <w:rPr>
          <w:rFonts w:ascii="Calibri" w:eastAsia="MS Mincho" w:hAnsi="Calibri" w:cs="Calibri"/>
          <w:b/>
          <w:bCs/>
          <w:color w:val="000000" w:themeColor="text1"/>
          <w:sz w:val="21"/>
          <w:szCs w:val="21"/>
          <w:lang w:val="en-US"/>
        </w:rPr>
      </w:pPr>
      <w:r>
        <w:rPr>
          <w:rFonts w:ascii="Calibri" w:eastAsia="MS Mincho" w:hAnsi="Calibri" w:cs="Calibri"/>
          <w:b/>
          <w:bCs/>
          <w:color w:val="000000" w:themeColor="text1"/>
          <w:sz w:val="21"/>
          <w:szCs w:val="21"/>
          <w:lang w:val="en-US"/>
        </w:rPr>
        <w:t>How reliable is your internet?</w:t>
      </w:r>
    </w:p>
    <w:p w14:paraId="7062F8FA" w14:textId="77777777" w:rsidR="00842F35" w:rsidRPr="004A71F1" w:rsidRDefault="00842F35" w:rsidP="00634B19">
      <w:pPr>
        <w:pStyle w:val="ListParagraph"/>
        <w:numPr>
          <w:ilvl w:val="0"/>
          <w:numId w:val="31"/>
        </w:numPr>
        <w:rPr>
          <w:rFonts w:ascii="Calibri" w:eastAsia="MS Mincho" w:hAnsi="Calibri" w:cs="Calibri"/>
          <w:color w:val="000000" w:themeColor="text1"/>
          <w:lang w:val="en-US"/>
        </w:rPr>
      </w:pPr>
      <w:r w:rsidRPr="004A71F1">
        <w:rPr>
          <w:rFonts w:ascii="Calibri" w:eastAsia="MS Mincho" w:hAnsi="Calibri" w:cs="Calibri"/>
          <w:color w:val="000000" w:themeColor="text1"/>
          <w:lang w:val="en-US"/>
        </w:rPr>
        <w:t xml:space="preserve">Unreliable </w:t>
      </w:r>
      <w:proofErr w:type="gramStart"/>
      <w:r w:rsidRPr="004A71F1">
        <w:rPr>
          <w:rFonts w:ascii="Calibri" w:eastAsia="MS Mincho" w:hAnsi="Calibri" w:cs="Calibri"/>
          <w:color w:val="000000" w:themeColor="text1"/>
          <w:lang w:val="en-US"/>
        </w:rPr>
        <w:t>all of</w:t>
      </w:r>
      <w:proofErr w:type="gramEnd"/>
      <w:r w:rsidRPr="004A71F1">
        <w:rPr>
          <w:rFonts w:ascii="Calibri" w:eastAsia="MS Mincho" w:hAnsi="Calibri" w:cs="Calibri"/>
          <w:color w:val="000000" w:themeColor="text1"/>
          <w:lang w:val="en-US"/>
        </w:rPr>
        <w:t xml:space="preserve"> the time</w:t>
      </w:r>
    </w:p>
    <w:p w14:paraId="1FF68F66" w14:textId="77777777" w:rsidR="00842F35" w:rsidRPr="004A71F1" w:rsidRDefault="00842F35" w:rsidP="00634B19">
      <w:pPr>
        <w:pStyle w:val="ListParagraph"/>
        <w:numPr>
          <w:ilvl w:val="0"/>
          <w:numId w:val="31"/>
        </w:numPr>
        <w:rPr>
          <w:rFonts w:ascii="Calibri" w:eastAsia="MS Mincho" w:hAnsi="Calibri" w:cs="Calibri"/>
          <w:color w:val="000000" w:themeColor="text1"/>
          <w:lang w:val="en-US"/>
        </w:rPr>
      </w:pPr>
      <w:r w:rsidRPr="004A71F1">
        <w:rPr>
          <w:rFonts w:ascii="Calibri" w:eastAsia="MS Mincho" w:hAnsi="Calibri" w:cs="Calibri"/>
          <w:color w:val="000000" w:themeColor="text1"/>
          <w:lang w:val="en-US"/>
        </w:rPr>
        <w:t>Unreliable most of the time</w:t>
      </w:r>
    </w:p>
    <w:p w14:paraId="50E80A34" w14:textId="77777777" w:rsidR="00842F35" w:rsidRPr="004A71F1" w:rsidRDefault="00842F35" w:rsidP="00634B19">
      <w:pPr>
        <w:pStyle w:val="ListParagraph"/>
        <w:numPr>
          <w:ilvl w:val="0"/>
          <w:numId w:val="31"/>
        </w:numPr>
        <w:rPr>
          <w:rFonts w:ascii="Calibri" w:eastAsia="MS Mincho" w:hAnsi="Calibri" w:cs="Calibri"/>
          <w:color w:val="000000" w:themeColor="text1"/>
          <w:lang w:val="en-US"/>
        </w:rPr>
      </w:pPr>
      <w:r w:rsidRPr="004A71F1">
        <w:rPr>
          <w:rFonts w:ascii="Calibri" w:eastAsia="MS Mincho" w:hAnsi="Calibri" w:cs="Calibri"/>
          <w:color w:val="000000" w:themeColor="text1"/>
          <w:lang w:val="en-US"/>
        </w:rPr>
        <w:t>Unreliable/reliable some of the time</w:t>
      </w:r>
    </w:p>
    <w:p w14:paraId="70DC5809" w14:textId="77777777" w:rsidR="00842F35" w:rsidRPr="004A71F1" w:rsidRDefault="00842F35" w:rsidP="00634B19">
      <w:pPr>
        <w:pStyle w:val="ListParagraph"/>
        <w:numPr>
          <w:ilvl w:val="0"/>
          <w:numId w:val="31"/>
        </w:numPr>
        <w:rPr>
          <w:rFonts w:ascii="Calibri" w:eastAsia="MS Mincho" w:hAnsi="Calibri" w:cs="Calibri"/>
          <w:color w:val="000000" w:themeColor="text1"/>
          <w:lang w:val="en-US"/>
        </w:rPr>
      </w:pPr>
      <w:r w:rsidRPr="004A71F1">
        <w:rPr>
          <w:rFonts w:ascii="Calibri" w:eastAsia="MS Mincho" w:hAnsi="Calibri" w:cs="Calibri"/>
          <w:color w:val="000000" w:themeColor="text1"/>
          <w:lang w:val="en-US"/>
        </w:rPr>
        <w:t>Reliable most of the time</w:t>
      </w:r>
    </w:p>
    <w:p w14:paraId="010EB185" w14:textId="01CBF7E8" w:rsidR="00842F35" w:rsidRPr="00584FB8" w:rsidRDefault="00842F35" w:rsidP="00842F35">
      <w:pPr>
        <w:pStyle w:val="ListParagraph"/>
        <w:numPr>
          <w:ilvl w:val="0"/>
          <w:numId w:val="31"/>
        </w:numPr>
        <w:rPr>
          <w:rFonts w:ascii="Calibri" w:eastAsia="MS Mincho" w:hAnsi="Calibri" w:cs="Calibri"/>
          <w:color w:val="000000" w:themeColor="text1"/>
          <w:lang w:val="en-US"/>
        </w:rPr>
      </w:pPr>
      <w:r w:rsidRPr="004A71F1">
        <w:rPr>
          <w:rFonts w:ascii="Calibri" w:eastAsia="MS Mincho" w:hAnsi="Calibri" w:cs="Calibri"/>
          <w:color w:val="000000" w:themeColor="text1"/>
          <w:lang w:val="en-US"/>
        </w:rPr>
        <w:t xml:space="preserve">Reliable </w:t>
      </w:r>
      <w:proofErr w:type="gramStart"/>
      <w:r w:rsidRPr="004A71F1">
        <w:rPr>
          <w:rFonts w:ascii="Calibri" w:eastAsia="MS Mincho" w:hAnsi="Calibri" w:cs="Calibri"/>
          <w:color w:val="000000" w:themeColor="text1"/>
          <w:lang w:val="en-US"/>
        </w:rPr>
        <w:t>all of</w:t>
      </w:r>
      <w:proofErr w:type="gramEnd"/>
      <w:r w:rsidRPr="004A71F1">
        <w:rPr>
          <w:rFonts w:ascii="Calibri" w:eastAsia="MS Mincho" w:hAnsi="Calibri" w:cs="Calibri"/>
          <w:color w:val="000000" w:themeColor="text1"/>
          <w:lang w:val="en-US"/>
        </w:rPr>
        <w:t xml:space="preserve"> the time</w:t>
      </w:r>
    </w:p>
    <w:p w14:paraId="0AE80A80" w14:textId="79ED1FCA" w:rsidR="00842F35" w:rsidRPr="007300FA" w:rsidRDefault="00842F35" w:rsidP="00842F35">
      <w:pPr>
        <w:rPr>
          <w:rFonts w:asciiTheme="minorHAnsi" w:eastAsia="MS Mincho" w:hAnsiTheme="minorHAnsi" w:cstheme="minorHAnsi"/>
          <w:color w:val="000000" w:themeColor="text1"/>
          <w:sz w:val="21"/>
          <w:szCs w:val="21"/>
          <w:lang w:val="en-US"/>
        </w:rPr>
      </w:pPr>
      <w:r w:rsidRPr="007300FA">
        <w:rPr>
          <w:rFonts w:asciiTheme="minorHAnsi" w:eastAsia="MS Mincho" w:hAnsiTheme="minorHAnsi" w:cstheme="minorHAnsi"/>
          <w:color w:val="000000" w:themeColor="text1"/>
          <w:sz w:val="21"/>
          <w:szCs w:val="21"/>
          <w:lang w:val="en-US"/>
        </w:rPr>
        <w:t>The following questions ask about your views and experiences of delivering or recommending digital mental health services.</w:t>
      </w:r>
      <w:r w:rsidRPr="007300FA">
        <w:rPr>
          <w:rFonts w:asciiTheme="minorHAnsi" w:eastAsiaTheme="minorEastAsia" w:hAnsiTheme="minorHAnsi" w:cstheme="minorHAnsi"/>
          <w:color w:val="000000" w:themeColor="text1"/>
          <w:sz w:val="21"/>
          <w:szCs w:val="21"/>
        </w:rPr>
        <w:t xml:space="preserve"> </w:t>
      </w:r>
      <w:r w:rsidRPr="007300FA">
        <w:rPr>
          <w:rFonts w:asciiTheme="minorHAnsi" w:eastAsia="MS Mincho" w:hAnsiTheme="minorHAnsi" w:cstheme="minorHAnsi"/>
          <w:color w:val="000000" w:themeColor="text1"/>
          <w:sz w:val="21"/>
          <w:szCs w:val="21"/>
          <w:lang w:val="en-US"/>
        </w:rPr>
        <w:t>We are interested in mental health services that are delivered online via desktop computers or mobile devices (</w:t>
      </w:r>
      <w:r w:rsidRPr="007300FA">
        <w:rPr>
          <w:rFonts w:asciiTheme="minorHAnsi" w:eastAsia="MS Mincho" w:hAnsiTheme="minorHAnsi" w:cstheme="minorHAnsi"/>
          <w:color w:val="000000" w:themeColor="text1"/>
          <w:sz w:val="21"/>
          <w:szCs w:val="21"/>
          <w:u w:val="single"/>
          <w:lang w:val="en-US"/>
        </w:rPr>
        <w:t>not</w:t>
      </w:r>
      <w:r w:rsidRPr="007300FA">
        <w:rPr>
          <w:rFonts w:asciiTheme="minorHAnsi" w:eastAsia="MS Mincho" w:hAnsiTheme="minorHAnsi" w:cstheme="minorHAnsi"/>
          <w:color w:val="000000" w:themeColor="text1"/>
          <w:sz w:val="21"/>
          <w:szCs w:val="21"/>
          <w:lang w:val="en-US"/>
        </w:rPr>
        <w:t xml:space="preserve"> telehealth items </w:t>
      </w:r>
      <w:proofErr w:type="spellStart"/>
      <w:r w:rsidRPr="007300FA">
        <w:rPr>
          <w:rFonts w:asciiTheme="minorHAnsi" w:eastAsia="MS Mincho" w:hAnsiTheme="minorHAnsi" w:cstheme="minorHAnsi"/>
          <w:color w:val="000000" w:themeColor="text1"/>
          <w:sz w:val="21"/>
          <w:szCs w:val="21"/>
          <w:lang w:val="en-US"/>
        </w:rPr>
        <w:t>subsidised</w:t>
      </w:r>
      <w:proofErr w:type="spellEnd"/>
      <w:r w:rsidRPr="007300FA">
        <w:rPr>
          <w:rFonts w:asciiTheme="minorHAnsi" w:eastAsia="MS Mincho" w:hAnsiTheme="minorHAnsi" w:cstheme="minorHAnsi"/>
          <w:color w:val="000000" w:themeColor="text1"/>
          <w:sz w:val="21"/>
          <w:szCs w:val="21"/>
          <w:lang w:val="en-US"/>
        </w:rPr>
        <w:t xml:space="preserve"> by the MBS). When we refer to supported digital mental health services, we mean that the digital service includes the option of receiving support from a therapist within the program.</w:t>
      </w:r>
    </w:p>
    <w:p w14:paraId="02E77F39" w14:textId="77777777" w:rsidR="00842F35" w:rsidRDefault="00842F35" w:rsidP="00842F35">
      <w:pPr>
        <w:contextualSpacing/>
        <w:rPr>
          <w:rFonts w:ascii="Calibri" w:eastAsia="MS Mincho" w:hAnsi="Calibri" w:cs="Calibri"/>
          <w:b/>
          <w:bCs/>
          <w:color w:val="000000" w:themeColor="text1"/>
          <w:sz w:val="21"/>
          <w:szCs w:val="21"/>
          <w:lang w:val="en-US"/>
        </w:rPr>
      </w:pPr>
      <w:r>
        <w:rPr>
          <w:rFonts w:ascii="Calibri" w:eastAsia="MS Mincho" w:hAnsi="Calibri" w:cs="Calibri"/>
          <w:b/>
          <w:bCs/>
          <w:color w:val="000000" w:themeColor="text1"/>
          <w:sz w:val="21"/>
          <w:szCs w:val="21"/>
          <w:lang w:val="en-US"/>
        </w:rPr>
        <w:t>Do you provide onsite space/technology for clients/patients to access digital mental health services?</w:t>
      </w:r>
    </w:p>
    <w:p w14:paraId="060857B5" w14:textId="77777777" w:rsidR="00842F35" w:rsidRDefault="00842F35" w:rsidP="00634B19">
      <w:pPr>
        <w:pStyle w:val="ListParagraph"/>
        <w:numPr>
          <w:ilvl w:val="0"/>
          <w:numId w:val="32"/>
        </w:numPr>
        <w:rPr>
          <w:rFonts w:ascii="Calibri" w:eastAsia="MS Mincho" w:hAnsi="Calibri" w:cs="Calibri"/>
          <w:b/>
          <w:bCs/>
          <w:color w:val="000000" w:themeColor="text1"/>
          <w:lang w:val="en-US"/>
        </w:rPr>
      </w:pPr>
      <w:r>
        <w:rPr>
          <w:rFonts w:ascii="Calibri" w:eastAsia="MS Mincho" w:hAnsi="Calibri" w:cs="Calibri"/>
          <w:b/>
          <w:bCs/>
          <w:color w:val="000000" w:themeColor="text1"/>
          <w:lang w:val="en-US"/>
        </w:rPr>
        <w:t>Yes</w:t>
      </w:r>
    </w:p>
    <w:p w14:paraId="316E519A" w14:textId="366CDF17" w:rsidR="00842F35" w:rsidRPr="00584FB8" w:rsidRDefault="00842F35" w:rsidP="00842F35">
      <w:pPr>
        <w:pStyle w:val="ListParagraph"/>
        <w:numPr>
          <w:ilvl w:val="0"/>
          <w:numId w:val="32"/>
        </w:numPr>
        <w:rPr>
          <w:rFonts w:ascii="Calibri" w:eastAsia="MS Mincho" w:hAnsi="Calibri" w:cs="Calibri"/>
          <w:b/>
          <w:bCs/>
          <w:color w:val="000000" w:themeColor="text1"/>
          <w:lang w:val="en-US"/>
        </w:rPr>
      </w:pPr>
      <w:r>
        <w:rPr>
          <w:rFonts w:ascii="Calibri" w:eastAsia="MS Mincho" w:hAnsi="Calibri" w:cs="Calibri"/>
          <w:b/>
          <w:bCs/>
          <w:color w:val="000000" w:themeColor="text1"/>
          <w:lang w:val="en-US"/>
        </w:rPr>
        <w:t>No</w:t>
      </w:r>
    </w:p>
    <w:p w14:paraId="3BA49EF8" w14:textId="77777777" w:rsidR="00E54A95" w:rsidRDefault="00E54A95">
      <w:pPr>
        <w:rPr>
          <w:rFonts w:asciiTheme="minorHAnsi" w:eastAsiaTheme="minorEastAsia" w:hAnsiTheme="minorHAnsi" w:cstheme="minorHAnsi"/>
          <w:b/>
          <w:bCs/>
          <w:color w:val="000000" w:themeColor="text1"/>
          <w:sz w:val="21"/>
          <w:szCs w:val="21"/>
        </w:rPr>
      </w:pPr>
      <w:r>
        <w:rPr>
          <w:rFonts w:asciiTheme="minorHAnsi" w:eastAsiaTheme="minorEastAsia" w:hAnsiTheme="minorHAnsi" w:cstheme="minorHAnsi"/>
          <w:b/>
          <w:bCs/>
          <w:color w:val="000000" w:themeColor="text1"/>
          <w:sz w:val="21"/>
          <w:szCs w:val="21"/>
        </w:rPr>
        <w:br w:type="page"/>
      </w:r>
    </w:p>
    <w:p w14:paraId="703D542E" w14:textId="734BBD28" w:rsidR="00842F35" w:rsidRPr="001B3889" w:rsidRDefault="00842F35" w:rsidP="001B3889">
      <w:pPr>
        <w:rPr>
          <w:rFonts w:asciiTheme="minorHAnsi" w:eastAsiaTheme="minorEastAsia" w:hAnsiTheme="minorHAnsi" w:cstheme="minorHAnsi"/>
          <w:b/>
          <w:bCs/>
          <w:color w:val="000000" w:themeColor="text1"/>
          <w:sz w:val="21"/>
          <w:szCs w:val="21"/>
        </w:rPr>
      </w:pPr>
      <w:r w:rsidRPr="001B3889">
        <w:rPr>
          <w:rFonts w:asciiTheme="minorHAnsi" w:eastAsiaTheme="minorEastAsia" w:hAnsiTheme="minorHAnsi" w:cstheme="minorHAnsi"/>
          <w:b/>
          <w:bCs/>
          <w:color w:val="000000" w:themeColor="text1"/>
          <w:sz w:val="21"/>
          <w:szCs w:val="21"/>
        </w:rPr>
        <w:lastRenderedPageBreak/>
        <w:t xml:space="preserve">Do you deliver any digital mental health services? </w:t>
      </w:r>
    </w:p>
    <w:p w14:paraId="7BD35218" w14:textId="77777777" w:rsidR="00842F35" w:rsidRPr="001B3889" w:rsidRDefault="00842F35" w:rsidP="00634B19">
      <w:pPr>
        <w:numPr>
          <w:ilvl w:val="0"/>
          <w:numId w:val="25"/>
        </w:numPr>
        <w:ind w:left="709"/>
        <w:contextualSpacing/>
        <w:rPr>
          <w:rFonts w:asciiTheme="minorHAnsi" w:eastAsiaTheme="minorEastAsia" w:hAnsiTheme="minorHAnsi" w:cstheme="minorHAnsi"/>
          <w:color w:val="000000" w:themeColor="text1"/>
          <w:sz w:val="21"/>
          <w:szCs w:val="21"/>
        </w:rPr>
      </w:pPr>
      <w:r w:rsidRPr="001B3889">
        <w:rPr>
          <w:rFonts w:asciiTheme="minorHAnsi" w:eastAsiaTheme="minorEastAsia" w:hAnsiTheme="minorHAnsi" w:cstheme="minorHAnsi"/>
          <w:color w:val="000000" w:themeColor="text1"/>
          <w:sz w:val="21"/>
          <w:szCs w:val="21"/>
        </w:rPr>
        <w:t>Yes</w:t>
      </w:r>
    </w:p>
    <w:p w14:paraId="51200AC6" w14:textId="62E1D4A9" w:rsidR="00842F35" w:rsidRPr="00584FB8" w:rsidRDefault="00842F35" w:rsidP="00584FB8">
      <w:pPr>
        <w:numPr>
          <w:ilvl w:val="0"/>
          <w:numId w:val="25"/>
        </w:numPr>
        <w:snapToGrid w:val="0"/>
        <w:ind w:left="709" w:hanging="357"/>
        <w:rPr>
          <w:rFonts w:asciiTheme="minorHAnsi" w:eastAsiaTheme="minorEastAsia" w:hAnsiTheme="minorHAnsi" w:cstheme="minorHAnsi"/>
          <w:color w:val="000000" w:themeColor="text1"/>
          <w:sz w:val="21"/>
          <w:szCs w:val="21"/>
        </w:rPr>
      </w:pPr>
      <w:r w:rsidRPr="001B3889">
        <w:rPr>
          <w:rFonts w:asciiTheme="minorHAnsi" w:eastAsiaTheme="minorEastAsia" w:hAnsiTheme="minorHAnsi" w:cstheme="minorHAnsi"/>
          <w:color w:val="000000" w:themeColor="text1"/>
          <w:sz w:val="21"/>
          <w:szCs w:val="21"/>
        </w:rPr>
        <w:t>No</w:t>
      </w:r>
    </w:p>
    <w:p w14:paraId="1A4EB1F2" w14:textId="7094F88A" w:rsidR="00842F35" w:rsidRPr="001B3889" w:rsidRDefault="00842F35" w:rsidP="00617173">
      <w:pPr>
        <w:ind w:left="720"/>
        <w:contextualSpacing/>
        <w:rPr>
          <w:rFonts w:asciiTheme="minorHAnsi" w:eastAsiaTheme="minorEastAsia" w:hAnsiTheme="minorHAnsi" w:cstheme="minorHAnsi"/>
          <w:b/>
          <w:bCs/>
          <w:color w:val="000000" w:themeColor="text1"/>
          <w:sz w:val="21"/>
          <w:szCs w:val="21"/>
        </w:rPr>
      </w:pPr>
      <w:r w:rsidRPr="001B3889">
        <w:rPr>
          <w:rFonts w:asciiTheme="minorHAnsi" w:eastAsiaTheme="minorEastAsia" w:hAnsiTheme="minorHAnsi" w:cstheme="minorHAnsi"/>
          <w:b/>
          <w:bCs/>
          <w:color w:val="000000" w:themeColor="text1"/>
          <w:sz w:val="21"/>
          <w:szCs w:val="21"/>
        </w:rPr>
        <w:t>If yes</w:t>
      </w:r>
      <w:r w:rsidR="00617173">
        <w:rPr>
          <w:rFonts w:asciiTheme="minorHAnsi" w:eastAsiaTheme="minorEastAsia" w:hAnsiTheme="minorHAnsi" w:cstheme="minorHAnsi"/>
          <w:b/>
          <w:bCs/>
          <w:color w:val="000000" w:themeColor="text1"/>
          <w:sz w:val="21"/>
          <w:szCs w:val="21"/>
        </w:rPr>
        <w:t>, w</w:t>
      </w:r>
      <w:r w:rsidRPr="001B3889">
        <w:rPr>
          <w:rFonts w:asciiTheme="minorHAnsi" w:eastAsiaTheme="minorEastAsia" w:hAnsiTheme="minorHAnsi" w:cstheme="minorHAnsi"/>
          <w:b/>
          <w:bCs/>
          <w:color w:val="000000" w:themeColor="text1"/>
          <w:sz w:val="21"/>
          <w:szCs w:val="21"/>
        </w:rPr>
        <w:t xml:space="preserve">hich ones? </w:t>
      </w:r>
    </w:p>
    <w:p w14:paraId="710984EF" w14:textId="75060FDC" w:rsidR="00D6358F" w:rsidRPr="00E54A95" w:rsidRDefault="00842F35" w:rsidP="00D6358F">
      <w:pPr>
        <w:ind w:left="709" w:firstLine="22"/>
        <w:rPr>
          <w:rFonts w:asciiTheme="minorHAnsi" w:eastAsiaTheme="minorEastAsia" w:hAnsiTheme="minorHAnsi" w:cstheme="minorHAnsi"/>
          <w:b/>
          <w:bCs/>
          <w:color w:val="000000" w:themeColor="text1"/>
          <w:sz w:val="21"/>
          <w:szCs w:val="21"/>
        </w:rPr>
      </w:pPr>
      <w:r w:rsidRPr="00E54A95">
        <w:rPr>
          <w:rFonts w:asciiTheme="minorHAnsi" w:eastAsiaTheme="minorEastAsia" w:hAnsiTheme="minorHAnsi" w:cstheme="minorHAnsi"/>
          <w:b/>
          <w:bCs/>
          <w:color w:val="000000" w:themeColor="text1"/>
          <w:sz w:val="21"/>
          <w:szCs w:val="21"/>
        </w:rPr>
        <w:t>If no</w:t>
      </w:r>
      <w:r w:rsidR="001B3889" w:rsidRPr="00E54A95">
        <w:rPr>
          <w:rFonts w:asciiTheme="minorHAnsi" w:eastAsiaTheme="minorEastAsia" w:hAnsiTheme="minorHAnsi" w:cstheme="minorHAnsi"/>
          <w:b/>
          <w:bCs/>
          <w:color w:val="000000" w:themeColor="text1"/>
          <w:sz w:val="21"/>
          <w:szCs w:val="21"/>
        </w:rPr>
        <w:t>,</w:t>
      </w:r>
      <w:r w:rsidRPr="00E54A95">
        <w:rPr>
          <w:rFonts w:asciiTheme="minorHAnsi" w:eastAsiaTheme="minorEastAsia" w:hAnsiTheme="minorHAnsi" w:cstheme="minorHAnsi"/>
          <w:b/>
          <w:bCs/>
          <w:color w:val="000000" w:themeColor="text1"/>
          <w:sz w:val="21"/>
          <w:szCs w:val="21"/>
        </w:rPr>
        <w:t xml:space="preserve"> </w:t>
      </w:r>
      <w:r w:rsidR="00D6358F" w:rsidRPr="00E54A95">
        <w:rPr>
          <w:rFonts w:asciiTheme="minorHAnsi" w:eastAsiaTheme="minorEastAsia" w:hAnsiTheme="minorHAnsi" w:cstheme="minorHAnsi"/>
          <w:b/>
          <w:bCs/>
          <w:color w:val="000000" w:themeColor="text1"/>
          <w:sz w:val="21"/>
          <w:szCs w:val="21"/>
        </w:rPr>
        <w:t>do you recommend any digital mental health services to your patients?</w:t>
      </w:r>
    </w:p>
    <w:p w14:paraId="153DBA17" w14:textId="77777777" w:rsidR="00D6358F" w:rsidRPr="00E54A95" w:rsidRDefault="00D6358F" w:rsidP="00634B19">
      <w:pPr>
        <w:numPr>
          <w:ilvl w:val="2"/>
          <w:numId w:val="27"/>
        </w:numPr>
        <w:contextualSpacing/>
        <w:rPr>
          <w:rFonts w:asciiTheme="minorHAnsi" w:eastAsiaTheme="minorEastAsia" w:hAnsiTheme="minorHAnsi" w:cstheme="minorHAnsi"/>
          <w:color w:val="000000" w:themeColor="text1"/>
          <w:sz w:val="21"/>
          <w:szCs w:val="21"/>
        </w:rPr>
      </w:pPr>
      <w:r w:rsidRPr="00E54A95">
        <w:rPr>
          <w:rFonts w:asciiTheme="minorHAnsi" w:eastAsiaTheme="minorEastAsia" w:hAnsiTheme="minorHAnsi" w:cstheme="minorHAnsi"/>
          <w:color w:val="000000" w:themeColor="text1"/>
          <w:sz w:val="21"/>
          <w:szCs w:val="21"/>
        </w:rPr>
        <w:t>Yes</w:t>
      </w:r>
    </w:p>
    <w:p w14:paraId="5CDDE634" w14:textId="1084F5BD" w:rsidR="00D6358F" w:rsidRPr="00E54A95" w:rsidRDefault="00D6358F" w:rsidP="00634B19">
      <w:pPr>
        <w:numPr>
          <w:ilvl w:val="2"/>
          <w:numId w:val="27"/>
        </w:numPr>
        <w:contextualSpacing/>
        <w:rPr>
          <w:rFonts w:asciiTheme="minorHAnsi" w:eastAsiaTheme="minorEastAsia" w:hAnsiTheme="minorHAnsi" w:cstheme="minorHAnsi"/>
          <w:color w:val="000000" w:themeColor="text1"/>
          <w:sz w:val="21"/>
          <w:szCs w:val="21"/>
        </w:rPr>
      </w:pPr>
      <w:r w:rsidRPr="00E54A95">
        <w:rPr>
          <w:rFonts w:asciiTheme="minorHAnsi" w:eastAsiaTheme="minorEastAsia" w:hAnsiTheme="minorHAnsi" w:cstheme="minorHAnsi"/>
          <w:color w:val="000000" w:themeColor="text1"/>
          <w:sz w:val="21"/>
          <w:szCs w:val="21"/>
        </w:rPr>
        <w:t>No</w:t>
      </w:r>
    </w:p>
    <w:p w14:paraId="47D53906" w14:textId="77777777" w:rsidR="00D6358F" w:rsidRPr="00E54A95" w:rsidRDefault="00D6358F" w:rsidP="00D6358F">
      <w:pPr>
        <w:ind w:left="1440"/>
        <w:rPr>
          <w:rFonts w:asciiTheme="minorHAnsi" w:eastAsiaTheme="minorEastAsia" w:hAnsiTheme="minorHAnsi" w:cstheme="minorHAnsi"/>
          <w:b/>
          <w:bCs/>
          <w:color w:val="000000" w:themeColor="text1"/>
          <w:sz w:val="21"/>
          <w:szCs w:val="21"/>
        </w:rPr>
      </w:pPr>
      <w:r w:rsidRPr="00E54A95">
        <w:rPr>
          <w:rFonts w:asciiTheme="minorHAnsi" w:eastAsiaTheme="minorEastAsia" w:hAnsiTheme="minorHAnsi" w:cstheme="minorHAnsi"/>
          <w:b/>
          <w:bCs/>
          <w:color w:val="000000" w:themeColor="text1"/>
          <w:sz w:val="21"/>
          <w:szCs w:val="21"/>
        </w:rPr>
        <w:t>If yes:</w:t>
      </w:r>
    </w:p>
    <w:p w14:paraId="59F976BE" w14:textId="77777777" w:rsidR="00D6358F" w:rsidRPr="00E54A95" w:rsidRDefault="00D6358F" w:rsidP="00D6358F">
      <w:pPr>
        <w:ind w:left="2160"/>
        <w:rPr>
          <w:rFonts w:asciiTheme="minorHAnsi" w:eastAsiaTheme="minorEastAsia" w:hAnsiTheme="minorHAnsi" w:cstheme="minorHAnsi"/>
          <w:b/>
          <w:bCs/>
          <w:color w:val="000000" w:themeColor="text1"/>
          <w:sz w:val="21"/>
          <w:szCs w:val="21"/>
        </w:rPr>
      </w:pPr>
      <w:r w:rsidRPr="00E54A95">
        <w:rPr>
          <w:rFonts w:asciiTheme="minorHAnsi" w:eastAsiaTheme="minorEastAsia" w:hAnsiTheme="minorHAnsi" w:cstheme="minorHAnsi"/>
          <w:b/>
          <w:bCs/>
          <w:color w:val="000000" w:themeColor="text1"/>
          <w:sz w:val="21"/>
          <w:szCs w:val="21"/>
        </w:rPr>
        <w:t xml:space="preserve">Which one(s)? </w:t>
      </w:r>
    </w:p>
    <w:p w14:paraId="524D2F83" w14:textId="77777777" w:rsidR="00D6358F" w:rsidRPr="00E54A95" w:rsidRDefault="00D6358F" w:rsidP="00D6358F">
      <w:pPr>
        <w:ind w:left="2160"/>
        <w:rPr>
          <w:rFonts w:asciiTheme="minorHAnsi" w:eastAsiaTheme="minorEastAsia" w:hAnsiTheme="minorHAnsi" w:cstheme="minorHAnsi"/>
          <w:b/>
          <w:bCs/>
          <w:color w:val="000000" w:themeColor="text1"/>
          <w:sz w:val="21"/>
          <w:szCs w:val="21"/>
        </w:rPr>
      </w:pPr>
      <w:r w:rsidRPr="00E54A95">
        <w:rPr>
          <w:rFonts w:asciiTheme="minorHAnsi" w:eastAsiaTheme="minorEastAsia" w:hAnsiTheme="minorHAnsi" w:cstheme="minorHAnsi"/>
          <w:b/>
          <w:bCs/>
          <w:color w:val="000000" w:themeColor="text1"/>
          <w:sz w:val="21"/>
          <w:szCs w:val="21"/>
        </w:rPr>
        <w:t>Why?</w:t>
      </w:r>
    </w:p>
    <w:p w14:paraId="7624A248" w14:textId="77777777" w:rsidR="00D6358F" w:rsidRPr="00E54A95" w:rsidRDefault="00D6358F" w:rsidP="00D6358F">
      <w:pPr>
        <w:ind w:left="2160"/>
        <w:contextualSpacing/>
        <w:rPr>
          <w:rFonts w:asciiTheme="minorHAnsi" w:eastAsiaTheme="minorEastAsia" w:hAnsiTheme="minorHAnsi" w:cstheme="minorHAnsi"/>
          <w:b/>
          <w:bCs/>
          <w:color w:val="000000" w:themeColor="text1"/>
          <w:sz w:val="21"/>
          <w:szCs w:val="21"/>
        </w:rPr>
      </w:pPr>
      <w:r w:rsidRPr="00E54A95">
        <w:rPr>
          <w:rFonts w:asciiTheme="minorHAnsi" w:eastAsiaTheme="minorEastAsia" w:hAnsiTheme="minorHAnsi" w:cstheme="minorHAnsi"/>
          <w:b/>
          <w:bCs/>
          <w:color w:val="000000" w:themeColor="text1"/>
          <w:sz w:val="21"/>
          <w:szCs w:val="21"/>
        </w:rPr>
        <w:t>To what extent do the digital mental health services benefit your clients’/patients’ mental health?</w:t>
      </w:r>
    </w:p>
    <w:p w14:paraId="7672A15C" w14:textId="77777777" w:rsidR="00D6358F" w:rsidRPr="00E54A95" w:rsidRDefault="00D6358F" w:rsidP="00634B19">
      <w:pPr>
        <w:numPr>
          <w:ilvl w:val="0"/>
          <w:numId w:val="26"/>
        </w:numPr>
        <w:ind w:left="2880"/>
        <w:contextualSpacing/>
        <w:rPr>
          <w:rFonts w:asciiTheme="minorHAnsi" w:eastAsiaTheme="minorEastAsia" w:hAnsiTheme="minorHAnsi" w:cstheme="minorHAnsi"/>
          <w:color w:val="000000" w:themeColor="text1"/>
          <w:sz w:val="21"/>
          <w:szCs w:val="21"/>
        </w:rPr>
      </w:pPr>
      <w:r w:rsidRPr="00E54A95">
        <w:rPr>
          <w:rFonts w:asciiTheme="minorHAnsi" w:eastAsiaTheme="minorEastAsia" w:hAnsiTheme="minorHAnsi" w:cstheme="minorHAnsi"/>
          <w:color w:val="000000" w:themeColor="text1"/>
          <w:sz w:val="21"/>
          <w:szCs w:val="21"/>
        </w:rPr>
        <w:t>No benefit</w:t>
      </w:r>
    </w:p>
    <w:p w14:paraId="26A53458" w14:textId="77777777" w:rsidR="00D6358F" w:rsidRPr="00E54A95" w:rsidRDefault="00D6358F" w:rsidP="00634B19">
      <w:pPr>
        <w:numPr>
          <w:ilvl w:val="0"/>
          <w:numId w:val="26"/>
        </w:numPr>
        <w:ind w:left="2880"/>
        <w:contextualSpacing/>
        <w:rPr>
          <w:rFonts w:asciiTheme="minorHAnsi" w:eastAsiaTheme="minorEastAsia" w:hAnsiTheme="minorHAnsi" w:cstheme="minorHAnsi"/>
          <w:color w:val="000000" w:themeColor="text1"/>
          <w:sz w:val="21"/>
          <w:szCs w:val="21"/>
        </w:rPr>
      </w:pPr>
      <w:r w:rsidRPr="00E54A95">
        <w:rPr>
          <w:rFonts w:asciiTheme="minorHAnsi" w:eastAsiaTheme="minorEastAsia" w:hAnsiTheme="minorHAnsi" w:cstheme="minorHAnsi"/>
          <w:color w:val="000000" w:themeColor="text1"/>
          <w:sz w:val="21"/>
          <w:szCs w:val="21"/>
        </w:rPr>
        <w:t>Some benefit</w:t>
      </w:r>
    </w:p>
    <w:p w14:paraId="2AD5D96E" w14:textId="77777777" w:rsidR="00D6358F" w:rsidRPr="00E54A95" w:rsidRDefault="00D6358F" w:rsidP="00634B19">
      <w:pPr>
        <w:numPr>
          <w:ilvl w:val="0"/>
          <w:numId w:val="26"/>
        </w:numPr>
        <w:ind w:left="2880"/>
        <w:contextualSpacing/>
        <w:rPr>
          <w:rFonts w:asciiTheme="minorHAnsi" w:eastAsiaTheme="minorEastAsia" w:hAnsiTheme="minorHAnsi" w:cstheme="minorHAnsi"/>
          <w:color w:val="000000" w:themeColor="text1"/>
          <w:sz w:val="21"/>
          <w:szCs w:val="21"/>
        </w:rPr>
      </w:pPr>
      <w:r w:rsidRPr="00E54A95">
        <w:rPr>
          <w:rFonts w:asciiTheme="minorHAnsi" w:eastAsiaTheme="minorEastAsia" w:hAnsiTheme="minorHAnsi" w:cstheme="minorHAnsi"/>
          <w:color w:val="000000" w:themeColor="text1"/>
          <w:sz w:val="21"/>
          <w:szCs w:val="21"/>
        </w:rPr>
        <w:t>Much benefit</w:t>
      </w:r>
    </w:p>
    <w:p w14:paraId="6903130C" w14:textId="77777777" w:rsidR="00D6358F" w:rsidRPr="00E54A95" w:rsidRDefault="00D6358F" w:rsidP="00D6358F">
      <w:pPr>
        <w:ind w:left="2160"/>
        <w:contextualSpacing/>
        <w:rPr>
          <w:rFonts w:asciiTheme="minorHAnsi" w:eastAsiaTheme="minorEastAsia" w:hAnsiTheme="minorHAnsi" w:cstheme="minorHAnsi"/>
          <w:b/>
          <w:bCs/>
          <w:color w:val="000000" w:themeColor="text1"/>
          <w:sz w:val="21"/>
          <w:szCs w:val="21"/>
        </w:rPr>
      </w:pPr>
      <w:r w:rsidRPr="00E54A95">
        <w:rPr>
          <w:rFonts w:asciiTheme="minorHAnsi" w:eastAsiaTheme="minorEastAsia" w:hAnsiTheme="minorHAnsi" w:cstheme="minorHAnsi"/>
          <w:b/>
          <w:bCs/>
          <w:color w:val="000000" w:themeColor="text1"/>
          <w:sz w:val="21"/>
          <w:szCs w:val="21"/>
        </w:rPr>
        <w:t>Was support from a therapist provided as a feature of the digital mental health service?</w:t>
      </w:r>
    </w:p>
    <w:p w14:paraId="35FE9524" w14:textId="77777777" w:rsidR="00D6358F" w:rsidRPr="00E54A95" w:rsidRDefault="00D6358F" w:rsidP="00634B19">
      <w:pPr>
        <w:numPr>
          <w:ilvl w:val="0"/>
          <w:numId w:val="26"/>
        </w:numPr>
        <w:ind w:left="2880"/>
        <w:contextualSpacing/>
        <w:rPr>
          <w:rFonts w:asciiTheme="minorHAnsi" w:eastAsiaTheme="minorEastAsia" w:hAnsiTheme="minorHAnsi" w:cstheme="minorHAnsi"/>
          <w:color w:val="000000" w:themeColor="text1"/>
          <w:sz w:val="21"/>
          <w:szCs w:val="21"/>
        </w:rPr>
      </w:pPr>
      <w:r w:rsidRPr="00E54A95">
        <w:rPr>
          <w:rFonts w:asciiTheme="minorHAnsi" w:eastAsiaTheme="minorEastAsia" w:hAnsiTheme="minorHAnsi" w:cstheme="minorHAnsi"/>
          <w:color w:val="000000" w:themeColor="text1"/>
          <w:sz w:val="21"/>
          <w:szCs w:val="21"/>
        </w:rPr>
        <w:t>Yes</w:t>
      </w:r>
    </w:p>
    <w:p w14:paraId="02AC617F" w14:textId="77777777" w:rsidR="00D6358F" w:rsidRPr="00E54A95" w:rsidRDefault="00D6358F" w:rsidP="00634B19">
      <w:pPr>
        <w:numPr>
          <w:ilvl w:val="0"/>
          <w:numId w:val="26"/>
        </w:numPr>
        <w:ind w:left="2880"/>
        <w:contextualSpacing/>
        <w:rPr>
          <w:rFonts w:asciiTheme="minorHAnsi" w:eastAsiaTheme="minorEastAsia" w:hAnsiTheme="minorHAnsi" w:cstheme="minorHAnsi"/>
          <w:color w:val="000000" w:themeColor="text1"/>
          <w:sz w:val="21"/>
          <w:szCs w:val="21"/>
        </w:rPr>
      </w:pPr>
      <w:r w:rsidRPr="00E54A95">
        <w:rPr>
          <w:rFonts w:asciiTheme="minorHAnsi" w:eastAsiaTheme="minorEastAsia" w:hAnsiTheme="minorHAnsi" w:cstheme="minorHAnsi"/>
          <w:color w:val="000000" w:themeColor="text1"/>
          <w:sz w:val="21"/>
          <w:szCs w:val="21"/>
        </w:rPr>
        <w:t>No</w:t>
      </w:r>
    </w:p>
    <w:p w14:paraId="65180B17" w14:textId="295A545B" w:rsidR="00D6358F" w:rsidRPr="00584FB8" w:rsidRDefault="00D6358F" w:rsidP="00D6358F">
      <w:pPr>
        <w:numPr>
          <w:ilvl w:val="0"/>
          <w:numId w:val="26"/>
        </w:numPr>
        <w:ind w:left="2880"/>
        <w:contextualSpacing/>
        <w:rPr>
          <w:rFonts w:asciiTheme="minorHAnsi" w:eastAsiaTheme="minorEastAsia" w:hAnsiTheme="minorHAnsi" w:cstheme="minorHAnsi"/>
          <w:color w:val="000000" w:themeColor="text1"/>
          <w:sz w:val="21"/>
          <w:szCs w:val="21"/>
        </w:rPr>
      </w:pPr>
      <w:r w:rsidRPr="00E54A95">
        <w:rPr>
          <w:rFonts w:asciiTheme="minorHAnsi" w:eastAsiaTheme="minorEastAsia" w:hAnsiTheme="minorHAnsi" w:cstheme="minorHAnsi"/>
          <w:color w:val="000000" w:themeColor="text1"/>
          <w:sz w:val="21"/>
          <w:szCs w:val="21"/>
        </w:rPr>
        <w:t>Unsure</w:t>
      </w:r>
    </w:p>
    <w:p w14:paraId="332A4D9A" w14:textId="781A5255" w:rsidR="00D6358F" w:rsidRPr="00617173" w:rsidRDefault="00D6358F" w:rsidP="00584FB8">
      <w:pPr>
        <w:ind w:left="1440"/>
        <w:rPr>
          <w:rFonts w:asciiTheme="minorHAnsi" w:eastAsiaTheme="minorEastAsia" w:hAnsiTheme="minorHAnsi" w:cstheme="minorHAnsi"/>
          <w:b/>
          <w:bCs/>
          <w:color w:val="000000" w:themeColor="text1"/>
          <w:sz w:val="21"/>
          <w:szCs w:val="21"/>
        </w:rPr>
      </w:pPr>
      <w:r w:rsidRPr="00E54A95">
        <w:rPr>
          <w:rFonts w:asciiTheme="minorHAnsi" w:eastAsiaTheme="minorEastAsia" w:hAnsiTheme="minorHAnsi" w:cstheme="minorHAnsi"/>
          <w:b/>
          <w:bCs/>
          <w:color w:val="000000" w:themeColor="text1"/>
          <w:sz w:val="21"/>
          <w:szCs w:val="21"/>
        </w:rPr>
        <w:t>If no, why not?</w:t>
      </w:r>
    </w:p>
    <w:p w14:paraId="2E290A06" w14:textId="023BD042" w:rsidR="00842F35" w:rsidRPr="00617173" w:rsidRDefault="00842F35" w:rsidP="00842F35">
      <w:pPr>
        <w:contextualSpacing/>
        <w:rPr>
          <w:rFonts w:asciiTheme="minorHAnsi" w:eastAsia="MS Mincho" w:hAnsiTheme="minorHAnsi" w:cstheme="minorHAnsi"/>
          <w:color w:val="000000" w:themeColor="text1"/>
          <w:sz w:val="21"/>
          <w:szCs w:val="21"/>
          <w:lang w:val="en-US"/>
        </w:rPr>
      </w:pPr>
      <w:r w:rsidRPr="00617173">
        <w:rPr>
          <w:rFonts w:asciiTheme="minorHAnsi" w:eastAsiaTheme="minorEastAsia" w:hAnsiTheme="minorHAnsi" w:cstheme="minorHAnsi"/>
          <w:b/>
          <w:color w:val="000000" w:themeColor="text1"/>
          <w:sz w:val="21"/>
          <w:szCs w:val="21"/>
        </w:rPr>
        <w:t>What kind of support do you provide to users of digital mental health services? Please tick all that best describe what you do.</w:t>
      </w:r>
    </w:p>
    <w:p w14:paraId="77726098" w14:textId="77777777" w:rsidR="00842F35" w:rsidRPr="00617173" w:rsidRDefault="00842F35" w:rsidP="00634B19">
      <w:pPr>
        <w:numPr>
          <w:ilvl w:val="0"/>
          <w:numId w:val="24"/>
        </w:numPr>
        <w:ind w:left="709"/>
        <w:contextualSpacing/>
        <w:rPr>
          <w:rFonts w:asciiTheme="minorHAnsi" w:eastAsia="MS Mincho" w:hAnsiTheme="minorHAnsi" w:cstheme="minorHAnsi"/>
          <w:color w:val="000000" w:themeColor="text1"/>
          <w:sz w:val="21"/>
          <w:szCs w:val="21"/>
          <w:lang w:val="en-US"/>
        </w:rPr>
      </w:pPr>
      <w:r w:rsidRPr="00617173">
        <w:rPr>
          <w:rFonts w:asciiTheme="minorHAnsi" w:eastAsia="MS Mincho" w:hAnsiTheme="minorHAnsi" w:cstheme="minorHAnsi"/>
          <w:color w:val="000000" w:themeColor="text1"/>
          <w:sz w:val="21"/>
          <w:szCs w:val="21"/>
          <w:lang w:val="en-US"/>
        </w:rPr>
        <w:t>I provide counselling</w:t>
      </w:r>
    </w:p>
    <w:p w14:paraId="79F08DF1" w14:textId="77777777" w:rsidR="00842F35" w:rsidRPr="00617173" w:rsidRDefault="00842F35" w:rsidP="00634B19">
      <w:pPr>
        <w:numPr>
          <w:ilvl w:val="0"/>
          <w:numId w:val="24"/>
        </w:numPr>
        <w:ind w:left="709"/>
        <w:contextualSpacing/>
        <w:rPr>
          <w:rFonts w:asciiTheme="minorHAnsi" w:eastAsia="MS Mincho" w:hAnsiTheme="minorHAnsi" w:cstheme="minorHAnsi"/>
          <w:color w:val="000000" w:themeColor="text1"/>
          <w:sz w:val="21"/>
          <w:szCs w:val="21"/>
          <w:lang w:val="en-US"/>
        </w:rPr>
      </w:pPr>
      <w:r w:rsidRPr="00617173">
        <w:rPr>
          <w:rFonts w:asciiTheme="minorHAnsi" w:eastAsia="MS Mincho" w:hAnsiTheme="minorHAnsi" w:cstheme="minorHAnsi"/>
          <w:color w:val="000000" w:themeColor="text1"/>
          <w:sz w:val="21"/>
          <w:szCs w:val="21"/>
          <w:lang w:val="en-US"/>
        </w:rPr>
        <w:t>I reinforce strategies learnt through the online modules</w:t>
      </w:r>
    </w:p>
    <w:p w14:paraId="1C8257F4" w14:textId="77777777" w:rsidR="00842F35" w:rsidRPr="00617173" w:rsidRDefault="00842F35" w:rsidP="00634B19">
      <w:pPr>
        <w:numPr>
          <w:ilvl w:val="0"/>
          <w:numId w:val="24"/>
        </w:numPr>
        <w:ind w:left="709"/>
        <w:contextualSpacing/>
        <w:rPr>
          <w:rFonts w:asciiTheme="minorHAnsi" w:eastAsia="MS Mincho" w:hAnsiTheme="minorHAnsi" w:cstheme="minorHAnsi"/>
          <w:color w:val="000000" w:themeColor="text1"/>
          <w:sz w:val="21"/>
          <w:szCs w:val="21"/>
          <w:lang w:val="en-US"/>
        </w:rPr>
      </w:pPr>
      <w:r w:rsidRPr="00617173">
        <w:rPr>
          <w:rFonts w:asciiTheme="minorHAnsi" w:eastAsia="MS Mincho" w:hAnsiTheme="minorHAnsi" w:cstheme="minorHAnsi"/>
          <w:color w:val="000000" w:themeColor="text1"/>
          <w:sz w:val="21"/>
          <w:szCs w:val="21"/>
          <w:lang w:val="en-US"/>
        </w:rPr>
        <w:t xml:space="preserve">I provide </w:t>
      </w:r>
      <w:proofErr w:type="gramStart"/>
      <w:r w:rsidRPr="00617173">
        <w:rPr>
          <w:rFonts w:asciiTheme="minorHAnsi" w:eastAsia="MS Mincho" w:hAnsiTheme="minorHAnsi" w:cstheme="minorHAnsi"/>
          <w:color w:val="000000" w:themeColor="text1"/>
          <w:sz w:val="21"/>
          <w:szCs w:val="21"/>
          <w:lang w:val="en-US"/>
        </w:rPr>
        <w:t>psycho-education</w:t>
      </w:r>
      <w:proofErr w:type="gramEnd"/>
    </w:p>
    <w:p w14:paraId="4F74F9CA" w14:textId="77777777" w:rsidR="00842F35" w:rsidRPr="00617173" w:rsidRDefault="00842F35" w:rsidP="00634B19">
      <w:pPr>
        <w:numPr>
          <w:ilvl w:val="0"/>
          <w:numId w:val="24"/>
        </w:numPr>
        <w:ind w:left="709"/>
        <w:contextualSpacing/>
        <w:rPr>
          <w:rFonts w:asciiTheme="minorHAnsi" w:eastAsia="MS Mincho" w:hAnsiTheme="minorHAnsi" w:cstheme="minorHAnsi"/>
          <w:color w:val="000000" w:themeColor="text1"/>
          <w:sz w:val="21"/>
          <w:szCs w:val="21"/>
          <w:lang w:val="en-US"/>
        </w:rPr>
      </w:pPr>
      <w:r w:rsidRPr="00617173">
        <w:rPr>
          <w:rFonts w:asciiTheme="minorHAnsi" w:eastAsia="MS Mincho" w:hAnsiTheme="minorHAnsi" w:cstheme="minorHAnsi"/>
          <w:color w:val="000000" w:themeColor="text1"/>
          <w:sz w:val="21"/>
          <w:szCs w:val="21"/>
          <w:lang w:val="en-US"/>
        </w:rPr>
        <w:t xml:space="preserve">I provide cognitive </w:t>
      </w:r>
      <w:proofErr w:type="spellStart"/>
      <w:r w:rsidRPr="00617173">
        <w:rPr>
          <w:rFonts w:asciiTheme="minorHAnsi" w:eastAsia="MS Mincho" w:hAnsiTheme="minorHAnsi" w:cstheme="minorHAnsi"/>
          <w:color w:val="000000" w:themeColor="text1"/>
          <w:sz w:val="21"/>
          <w:szCs w:val="21"/>
          <w:lang w:val="en-US"/>
        </w:rPr>
        <w:t>behavioural</w:t>
      </w:r>
      <w:proofErr w:type="spellEnd"/>
      <w:r w:rsidRPr="00617173">
        <w:rPr>
          <w:rFonts w:asciiTheme="minorHAnsi" w:eastAsia="MS Mincho" w:hAnsiTheme="minorHAnsi" w:cstheme="minorHAnsi"/>
          <w:color w:val="000000" w:themeColor="text1"/>
          <w:sz w:val="21"/>
          <w:szCs w:val="21"/>
          <w:lang w:val="en-US"/>
        </w:rPr>
        <w:t xml:space="preserve"> therapy</w:t>
      </w:r>
    </w:p>
    <w:p w14:paraId="559FA587" w14:textId="77777777" w:rsidR="00842F35" w:rsidRPr="00617173" w:rsidRDefault="00842F35" w:rsidP="00634B19">
      <w:pPr>
        <w:numPr>
          <w:ilvl w:val="0"/>
          <w:numId w:val="24"/>
        </w:numPr>
        <w:ind w:left="709"/>
        <w:contextualSpacing/>
        <w:rPr>
          <w:rFonts w:asciiTheme="minorHAnsi" w:eastAsia="MS Mincho" w:hAnsiTheme="minorHAnsi" w:cstheme="minorHAnsi"/>
          <w:color w:val="000000" w:themeColor="text1"/>
          <w:sz w:val="21"/>
          <w:szCs w:val="21"/>
          <w:lang w:val="en-US"/>
        </w:rPr>
      </w:pPr>
      <w:r w:rsidRPr="00617173">
        <w:rPr>
          <w:rFonts w:asciiTheme="minorHAnsi" w:eastAsia="MS Mincho" w:hAnsiTheme="minorHAnsi" w:cstheme="minorHAnsi"/>
          <w:color w:val="000000" w:themeColor="text1"/>
          <w:sz w:val="21"/>
          <w:szCs w:val="21"/>
          <w:lang w:val="en-US"/>
        </w:rPr>
        <w:t>I provide mindfulness and relaxation interventions</w:t>
      </w:r>
    </w:p>
    <w:p w14:paraId="689E2281" w14:textId="77777777" w:rsidR="00842F35" w:rsidRPr="00617173" w:rsidRDefault="00842F35" w:rsidP="00634B19">
      <w:pPr>
        <w:numPr>
          <w:ilvl w:val="0"/>
          <w:numId w:val="24"/>
        </w:numPr>
        <w:ind w:left="709"/>
        <w:contextualSpacing/>
        <w:rPr>
          <w:rFonts w:asciiTheme="minorHAnsi" w:eastAsia="MS Mincho" w:hAnsiTheme="minorHAnsi" w:cstheme="minorHAnsi"/>
          <w:color w:val="000000" w:themeColor="text1"/>
          <w:sz w:val="21"/>
          <w:szCs w:val="21"/>
          <w:lang w:val="en-US"/>
        </w:rPr>
      </w:pPr>
      <w:r w:rsidRPr="00617173">
        <w:rPr>
          <w:rFonts w:asciiTheme="minorHAnsi" w:eastAsia="MS Mincho" w:hAnsiTheme="minorHAnsi" w:cstheme="minorHAnsi"/>
          <w:color w:val="000000" w:themeColor="text1"/>
          <w:sz w:val="21"/>
          <w:szCs w:val="21"/>
          <w:lang w:val="en-US"/>
        </w:rPr>
        <w:t xml:space="preserve">I provide </w:t>
      </w:r>
      <w:proofErr w:type="spellStart"/>
      <w:r w:rsidRPr="00617173">
        <w:rPr>
          <w:rFonts w:asciiTheme="minorHAnsi" w:eastAsia="MS Mincho" w:hAnsiTheme="minorHAnsi" w:cstheme="minorHAnsi"/>
          <w:color w:val="000000" w:themeColor="text1"/>
          <w:sz w:val="21"/>
          <w:szCs w:val="21"/>
          <w:lang w:val="en-US"/>
        </w:rPr>
        <w:t>carer</w:t>
      </w:r>
      <w:proofErr w:type="spellEnd"/>
      <w:r w:rsidRPr="00617173">
        <w:rPr>
          <w:rFonts w:asciiTheme="minorHAnsi" w:eastAsia="MS Mincho" w:hAnsiTheme="minorHAnsi" w:cstheme="minorHAnsi"/>
          <w:color w:val="000000" w:themeColor="text1"/>
          <w:sz w:val="21"/>
          <w:szCs w:val="21"/>
          <w:lang w:val="en-US"/>
        </w:rPr>
        <w:t xml:space="preserve"> supports</w:t>
      </w:r>
    </w:p>
    <w:p w14:paraId="159E8F60" w14:textId="77777777" w:rsidR="00842F35" w:rsidRPr="00617173" w:rsidRDefault="00842F35" w:rsidP="00634B19">
      <w:pPr>
        <w:numPr>
          <w:ilvl w:val="0"/>
          <w:numId w:val="24"/>
        </w:numPr>
        <w:ind w:left="709"/>
        <w:contextualSpacing/>
        <w:rPr>
          <w:rFonts w:asciiTheme="minorHAnsi" w:eastAsia="MS Mincho" w:hAnsiTheme="minorHAnsi" w:cstheme="minorHAnsi"/>
          <w:color w:val="000000" w:themeColor="text1"/>
          <w:sz w:val="21"/>
          <w:szCs w:val="21"/>
          <w:lang w:val="en-US"/>
        </w:rPr>
      </w:pPr>
      <w:r w:rsidRPr="00617173">
        <w:rPr>
          <w:rFonts w:asciiTheme="minorHAnsi" w:eastAsia="MS Mincho" w:hAnsiTheme="minorHAnsi" w:cstheme="minorHAnsi"/>
          <w:color w:val="000000" w:themeColor="text1"/>
          <w:sz w:val="21"/>
          <w:szCs w:val="21"/>
          <w:lang w:val="en-US"/>
        </w:rPr>
        <w:t>I conduct risk assessments</w:t>
      </w:r>
    </w:p>
    <w:p w14:paraId="7EEF078D" w14:textId="77777777" w:rsidR="00842F35" w:rsidRPr="00617173" w:rsidRDefault="00842F35" w:rsidP="00634B19">
      <w:pPr>
        <w:numPr>
          <w:ilvl w:val="0"/>
          <w:numId w:val="24"/>
        </w:numPr>
        <w:ind w:left="709"/>
        <w:contextualSpacing/>
        <w:rPr>
          <w:rFonts w:asciiTheme="minorHAnsi" w:eastAsia="MS Mincho" w:hAnsiTheme="minorHAnsi" w:cstheme="minorHAnsi"/>
          <w:color w:val="000000" w:themeColor="text1"/>
          <w:sz w:val="21"/>
          <w:szCs w:val="21"/>
          <w:lang w:val="en-US"/>
        </w:rPr>
      </w:pPr>
      <w:r w:rsidRPr="00617173">
        <w:rPr>
          <w:rFonts w:asciiTheme="minorHAnsi" w:eastAsia="MS Mincho" w:hAnsiTheme="minorHAnsi" w:cstheme="minorHAnsi"/>
          <w:color w:val="000000" w:themeColor="text1"/>
          <w:sz w:val="21"/>
          <w:szCs w:val="21"/>
          <w:lang w:val="en-US"/>
        </w:rPr>
        <w:t>I make referrals to other services</w:t>
      </w:r>
    </w:p>
    <w:p w14:paraId="5EF6694F" w14:textId="61B9B41C" w:rsidR="00842F35" w:rsidRPr="00584FB8" w:rsidRDefault="00842F35" w:rsidP="00584FB8">
      <w:pPr>
        <w:numPr>
          <w:ilvl w:val="0"/>
          <w:numId w:val="24"/>
        </w:numPr>
        <w:snapToGrid w:val="0"/>
        <w:ind w:left="709" w:hanging="357"/>
        <w:rPr>
          <w:rFonts w:asciiTheme="minorHAnsi" w:eastAsia="MS Mincho" w:hAnsiTheme="minorHAnsi" w:cstheme="minorHAnsi"/>
          <w:color w:val="000000" w:themeColor="text1"/>
          <w:sz w:val="21"/>
          <w:szCs w:val="21"/>
          <w:lang w:val="en-US"/>
        </w:rPr>
      </w:pPr>
      <w:r w:rsidRPr="00617173">
        <w:rPr>
          <w:rFonts w:asciiTheme="minorHAnsi" w:eastAsia="MS Mincho" w:hAnsiTheme="minorHAnsi" w:cstheme="minorHAnsi"/>
          <w:color w:val="000000" w:themeColor="text1"/>
          <w:sz w:val="21"/>
          <w:szCs w:val="21"/>
          <w:lang w:val="en-US"/>
        </w:rPr>
        <w:t xml:space="preserve">Other, </w:t>
      </w:r>
      <w:proofErr w:type="gramStart"/>
      <w:r w:rsidRPr="00617173">
        <w:rPr>
          <w:rFonts w:asciiTheme="minorHAnsi" w:eastAsia="MS Mincho" w:hAnsiTheme="minorHAnsi" w:cstheme="minorHAnsi"/>
          <w:color w:val="000000" w:themeColor="text1"/>
          <w:sz w:val="21"/>
          <w:szCs w:val="21"/>
          <w:lang w:val="en-US"/>
        </w:rPr>
        <w:t>specify:_</w:t>
      </w:r>
      <w:proofErr w:type="gramEnd"/>
      <w:r w:rsidRPr="00617173">
        <w:rPr>
          <w:rFonts w:asciiTheme="minorHAnsi" w:eastAsia="MS Mincho" w:hAnsiTheme="minorHAnsi" w:cstheme="minorHAnsi"/>
          <w:color w:val="000000" w:themeColor="text1"/>
          <w:sz w:val="21"/>
          <w:szCs w:val="21"/>
          <w:lang w:val="en-US"/>
        </w:rPr>
        <w:t>_______________________</w:t>
      </w:r>
    </w:p>
    <w:p w14:paraId="2E32F53C" w14:textId="77777777" w:rsidR="00842F35" w:rsidRPr="00617173" w:rsidRDefault="00842F35" w:rsidP="00842F35">
      <w:pPr>
        <w:rPr>
          <w:rFonts w:asciiTheme="minorHAnsi" w:eastAsiaTheme="minorEastAsia" w:hAnsiTheme="minorHAnsi" w:cstheme="minorHAnsi"/>
          <w:b/>
          <w:bCs/>
          <w:color w:val="000000" w:themeColor="text1"/>
          <w:sz w:val="21"/>
          <w:szCs w:val="21"/>
        </w:rPr>
      </w:pPr>
      <w:r w:rsidRPr="00617173">
        <w:rPr>
          <w:rFonts w:asciiTheme="minorHAnsi" w:eastAsiaTheme="minorEastAsia" w:hAnsiTheme="minorHAnsi" w:cstheme="minorHAnsi"/>
          <w:b/>
          <w:bCs/>
          <w:color w:val="000000" w:themeColor="text1"/>
          <w:sz w:val="21"/>
          <w:szCs w:val="21"/>
        </w:rPr>
        <w:t>How easy do you find the process of providing supported digital mental health services?</w:t>
      </w:r>
    </w:p>
    <w:p w14:paraId="73F6CA19" w14:textId="77777777" w:rsidR="00842F35" w:rsidRPr="001457EE" w:rsidRDefault="00842F35" w:rsidP="00634B19">
      <w:pPr>
        <w:numPr>
          <w:ilvl w:val="0"/>
          <w:numId w:val="24"/>
        </w:numPr>
        <w:ind w:left="709"/>
        <w:contextualSpacing/>
        <w:rPr>
          <w:rFonts w:asciiTheme="minorHAnsi" w:eastAsia="MS Mincho" w:hAnsiTheme="minorHAnsi" w:cstheme="minorHAnsi"/>
          <w:color w:val="000000" w:themeColor="text1"/>
          <w:sz w:val="21"/>
          <w:szCs w:val="21"/>
          <w:lang w:val="en-US"/>
        </w:rPr>
      </w:pPr>
      <w:r w:rsidRPr="001457EE">
        <w:rPr>
          <w:rFonts w:asciiTheme="minorHAnsi" w:eastAsia="MS Mincho" w:hAnsiTheme="minorHAnsi" w:cstheme="minorHAnsi"/>
          <w:color w:val="000000" w:themeColor="text1"/>
          <w:sz w:val="21"/>
          <w:szCs w:val="21"/>
          <w:lang w:val="en-US"/>
        </w:rPr>
        <w:t>Very easy</w:t>
      </w:r>
    </w:p>
    <w:p w14:paraId="5DB40FF9" w14:textId="77777777" w:rsidR="00842F35" w:rsidRPr="001457EE" w:rsidRDefault="00842F35" w:rsidP="00634B19">
      <w:pPr>
        <w:numPr>
          <w:ilvl w:val="0"/>
          <w:numId w:val="24"/>
        </w:numPr>
        <w:ind w:left="709"/>
        <w:contextualSpacing/>
        <w:rPr>
          <w:rFonts w:asciiTheme="minorHAnsi" w:eastAsia="MS Mincho" w:hAnsiTheme="minorHAnsi" w:cstheme="minorHAnsi"/>
          <w:color w:val="000000" w:themeColor="text1"/>
          <w:sz w:val="21"/>
          <w:szCs w:val="21"/>
          <w:lang w:val="en-US"/>
        </w:rPr>
      </w:pPr>
      <w:r w:rsidRPr="001457EE">
        <w:rPr>
          <w:rFonts w:asciiTheme="minorHAnsi" w:eastAsia="MS Mincho" w:hAnsiTheme="minorHAnsi" w:cstheme="minorHAnsi"/>
          <w:color w:val="000000" w:themeColor="text1"/>
          <w:sz w:val="21"/>
          <w:szCs w:val="21"/>
          <w:lang w:val="en-US"/>
        </w:rPr>
        <w:t>Easy</w:t>
      </w:r>
    </w:p>
    <w:p w14:paraId="5FD5BD10" w14:textId="77777777" w:rsidR="00842F35" w:rsidRPr="001457EE" w:rsidRDefault="00842F35" w:rsidP="00634B19">
      <w:pPr>
        <w:numPr>
          <w:ilvl w:val="0"/>
          <w:numId w:val="24"/>
        </w:numPr>
        <w:ind w:left="709"/>
        <w:contextualSpacing/>
        <w:rPr>
          <w:rFonts w:asciiTheme="minorHAnsi" w:eastAsia="MS Mincho" w:hAnsiTheme="minorHAnsi" w:cstheme="minorHAnsi"/>
          <w:color w:val="000000" w:themeColor="text1"/>
          <w:sz w:val="21"/>
          <w:szCs w:val="21"/>
          <w:lang w:val="en-US"/>
        </w:rPr>
      </w:pPr>
      <w:r w:rsidRPr="001457EE">
        <w:rPr>
          <w:rFonts w:asciiTheme="minorHAnsi" w:eastAsia="MS Mincho" w:hAnsiTheme="minorHAnsi" w:cstheme="minorHAnsi"/>
          <w:color w:val="000000" w:themeColor="text1"/>
          <w:sz w:val="21"/>
          <w:szCs w:val="21"/>
          <w:lang w:val="en-US"/>
        </w:rPr>
        <w:t>Somewhat easy</w:t>
      </w:r>
    </w:p>
    <w:p w14:paraId="25C30773" w14:textId="77777777" w:rsidR="00842F35" w:rsidRPr="001457EE" w:rsidRDefault="00842F35" w:rsidP="00634B19">
      <w:pPr>
        <w:numPr>
          <w:ilvl w:val="0"/>
          <w:numId w:val="24"/>
        </w:numPr>
        <w:ind w:left="709"/>
        <w:contextualSpacing/>
        <w:rPr>
          <w:rFonts w:asciiTheme="minorHAnsi" w:eastAsia="MS Mincho" w:hAnsiTheme="minorHAnsi" w:cstheme="minorHAnsi"/>
          <w:color w:val="000000" w:themeColor="text1"/>
          <w:sz w:val="21"/>
          <w:szCs w:val="21"/>
          <w:lang w:val="en-US"/>
        </w:rPr>
      </w:pPr>
      <w:r w:rsidRPr="001457EE">
        <w:rPr>
          <w:rFonts w:asciiTheme="minorHAnsi" w:eastAsia="MS Mincho" w:hAnsiTheme="minorHAnsi" w:cstheme="minorHAnsi"/>
          <w:color w:val="000000" w:themeColor="text1"/>
          <w:sz w:val="21"/>
          <w:szCs w:val="21"/>
          <w:lang w:val="en-US"/>
        </w:rPr>
        <w:t>Difficult</w:t>
      </w:r>
    </w:p>
    <w:p w14:paraId="4445840F" w14:textId="56F973F0" w:rsidR="00842F35" w:rsidRPr="00584FB8" w:rsidRDefault="00842F35" w:rsidP="00584FB8">
      <w:pPr>
        <w:numPr>
          <w:ilvl w:val="0"/>
          <w:numId w:val="24"/>
        </w:numPr>
        <w:ind w:left="709"/>
        <w:contextualSpacing/>
        <w:rPr>
          <w:rFonts w:asciiTheme="minorHAnsi" w:eastAsia="MS Mincho" w:hAnsiTheme="minorHAnsi" w:cstheme="minorHAnsi"/>
          <w:color w:val="000000" w:themeColor="text1"/>
          <w:sz w:val="21"/>
          <w:szCs w:val="21"/>
          <w:lang w:val="en-US"/>
        </w:rPr>
      </w:pPr>
      <w:r w:rsidRPr="001457EE">
        <w:rPr>
          <w:rFonts w:asciiTheme="minorHAnsi" w:eastAsia="MS Mincho" w:hAnsiTheme="minorHAnsi" w:cstheme="minorHAnsi"/>
          <w:color w:val="000000" w:themeColor="text1"/>
          <w:sz w:val="21"/>
          <w:szCs w:val="21"/>
          <w:lang w:val="en-US"/>
        </w:rPr>
        <w:t>Very difficult</w:t>
      </w:r>
    </w:p>
    <w:p w14:paraId="23818542" w14:textId="77777777" w:rsidR="006E1230" w:rsidRDefault="006E1230">
      <w:pPr>
        <w:rPr>
          <w:rFonts w:asciiTheme="minorHAnsi" w:eastAsiaTheme="minorEastAsia" w:hAnsiTheme="minorHAnsi" w:cstheme="minorHAnsi"/>
          <w:b/>
          <w:bCs/>
          <w:color w:val="000000" w:themeColor="text1"/>
          <w:sz w:val="21"/>
          <w:szCs w:val="21"/>
        </w:rPr>
      </w:pPr>
      <w:r>
        <w:rPr>
          <w:rFonts w:asciiTheme="minorHAnsi" w:eastAsiaTheme="minorEastAsia" w:hAnsiTheme="minorHAnsi" w:cstheme="minorHAnsi"/>
          <w:b/>
          <w:bCs/>
          <w:color w:val="000000" w:themeColor="text1"/>
          <w:sz w:val="21"/>
          <w:szCs w:val="21"/>
        </w:rPr>
        <w:br w:type="page"/>
      </w:r>
    </w:p>
    <w:p w14:paraId="39E80233" w14:textId="622E4107" w:rsidR="00842F35" w:rsidRPr="00617173" w:rsidRDefault="00842F35" w:rsidP="00842F35">
      <w:pPr>
        <w:rPr>
          <w:rFonts w:asciiTheme="minorHAnsi" w:eastAsiaTheme="minorEastAsia" w:hAnsiTheme="minorHAnsi" w:cstheme="minorHAnsi"/>
          <w:b/>
          <w:bCs/>
          <w:color w:val="000000" w:themeColor="text1"/>
          <w:sz w:val="21"/>
          <w:szCs w:val="21"/>
        </w:rPr>
      </w:pPr>
      <w:r w:rsidRPr="00617173">
        <w:rPr>
          <w:rFonts w:asciiTheme="minorHAnsi" w:eastAsiaTheme="minorEastAsia" w:hAnsiTheme="minorHAnsi" w:cstheme="minorHAnsi"/>
          <w:b/>
          <w:bCs/>
          <w:color w:val="000000" w:themeColor="text1"/>
          <w:sz w:val="21"/>
          <w:szCs w:val="21"/>
        </w:rPr>
        <w:lastRenderedPageBreak/>
        <w:t xml:space="preserve">Have you experienced any difficulties associated with supporting users of digital mental health services? </w:t>
      </w:r>
    </w:p>
    <w:p w14:paraId="14A934B3" w14:textId="77777777" w:rsidR="00842F35" w:rsidRPr="001457EE" w:rsidRDefault="00842F35" w:rsidP="00634B19">
      <w:pPr>
        <w:numPr>
          <w:ilvl w:val="0"/>
          <w:numId w:val="24"/>
        </w:numPr>
        <w:ind w:left="709"/>
        <w:contextualSpacing/>
        <w:rPr>
          <w:rFonts w:asciiTheme="minorHAnsi" w:eastAsia="MS Mincho" w:hAnsiTheme="minorHAnsi" w:cstheme="minorHAnsi"/>
          <w:color w:val="000000" w:themeColor="text1"/>
          <w:sz w:val="21"/>
          <w:szCs w:val="21"/>
          <w:lang w:val="en-US"/>
        </w:rPr>
      </w:pPr>
      <w:r w:rsidRPr="001457EE">
        <w:rPr>
          <w:rFonts w:asciiTheme="minorHAnsi" w:eastAsia="MS Mincho" w:hAnsiTheme="minorHAnsi" w:cstheme="minorHAnsi"/>
          <w:color w:val="000000" w:themeColor="text1"/>
          <w:sz w:val="21"/>
          <w:szCs w:val="21"/>
          <w:lang w:val="en-US"/>
        </w:rPr>
        <w:t xml:space="preserve">Yes </w:t>
      </w:r>
    </w:p>
    <w:p w14:paraId="45F6F009" w14:textId="7553816E" w:rsidR="00842F35" w:rsidRPr="00584FB8" w:rsidRDefault="00842F35" w:rsidP="00584FB8">
      <w:pPr>
        <w:numPr>
          <w:ilvl w:val="0"/>
          <w:numId w:val="24"/>
        </w:numPr>
        <w:ind w:left="709"/>
        <w:contextualSpacing/>
        <w:rPr>
          <w:rFonts w:asciiTheme="minorHAnsi" w:eastAsia="MS Mincho" w:hAnsiTheme="minorHAnsi" w:cstheme="minorHAnsi"/>
          <w:color w:val="000000" w:themeColor="text1"/>
          <w:sz w:val="21"/>
          <w:szCs w:val="21"/>
          <w:lang w:val="en-US"/>
        </w:rPr>
      </w:pPr>
      <w:r w:rsidRPr="001457EE">
        <w:rPr>
          <w:rFonts w:asciiTheme="minorHAnsi" w:eastAsia="MS Mincho" w:hAnsiTheme="minorHAnsi" w:cstheme="minorHAnsi"/>
          <w:color w:val="000000" w:themeColor="text1"/>
          <w:sz w:val="21"/>
          <w:szCs w:val="21"/>
          <w:lang w:val="en-US"/>
        </w:rPr>
        <w:t xml:space="preserve">No </w:t>
      </w:r>
    </w:p>
    <w:p w14:paraId="2D636B81" w14:textId="77777777" w:rsidR="00842F35" w:rsidRPr="00617173" w:rsidRDefault="00842F35" w:rsidP="001457EE">
      <w:pPr>
        <w:ind w:left="720"/>
        <w:rPr>
          <w:rFonts w:asciiTheme="minorHAnsi" w:eastAsiaTheme="minorEastAsia" w:hAnsiTheme="minorHAnsi" w:cstheme="minorHAnsi"/>
          <w:b/>
          <w:bCs/>
          <w:color w:val="000000" w:themeColor="text1"/>
          <w:sz w:val="21"/>
          <w:szCs w:val="21"/>
        </w:rPr>
      </w:pPr>
      <w:r w:rsidRPr="00617173">
        <w:rPr>
          <w:rFonts w:asciiTheme="minorHAnsi" w:eastAsiaTheme="minorEastAsia" w:hAnsiTheme="minorHAnsi" w:cstheme="minorHAnsi"/>
          <w:b/>
          <w:bCs/>
          <w:color w:val="000000" w:themeColor="text1"/>
          <w:sz w:val="21"/>
          <w:szCs w:val="21"/>
        </w:rPr>
        <w:t>If yes, please select all that apply.</w:t>
      </w:r>
    </w:p>
    <w:p w14:paraId="5A1FEC5C" w14:textId="77777777" w:rsidR="00842F35" w:rsidRPr="00617173" w:rsidRDefault="00842F35" w:rsidP="00634B19">
      <w:pPr>
        <w:numPr>
          <w:ilvl w:val="2"/>
          <w:numId w:val="28"/>
        </w:numPr>
        <w:ind w:left="1242"/>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Lack of user background information</w:t>
      </w:r>
    </w:p>
    <w:p w14:paraId="15BB5D9E" w14:textId="77777777" w:rsidR="00842F35" w:rsidRPr="00617173" w:rsidRDefault="00842F35" w:rsidP="00634B19">
      <w:pPr>
        <w:numPr>
          <w:ilvl w:val="2"/>
          <w:numId w:val="28"/>
        </w:numPr>
        <w:ind w:left="1242"/>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Difficulties with rapport building</w:t>
      </w:r>
    </w:p>
    <w:p w14:paraId="500321DB" w14:textId="77777777" w:rsidR="00842F35" w:rsidRPr="00617173" w:rsidRDefault="00842F35" w:rsidP="00634B19">
      <w:pPr>
        <w:numPr>
          <w:ilvl w:val="2"/>
          <w:numId w:val="28"/>
        </w:numPr>
        <w:ind w:left="1242"/>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Unfamiliar with resources close to users’ home</w:t>
      </w:r>
    </w:p>
    <w:p w14:paraId="2336B5E3" w14:textId="77777777" w:rsidR="00842F35" w:rsidRPr="00617173" w:rsidRDefault="00842F35" w:rsidP="00634B19">
      <w:pPr>
        <w:numPr>
          <w:ilvl w:val="2"/>
          <w:numId w:val="28"/>
        </w:numPr>
        <w:ind w:left="1242"/>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Problems with connections</w:t>
      </w:r>
    </w:p>
    <w:p w14:paraId="04EC8B74" w14:textId="77777777" w:rsidR="00842F35" w:rsidRPr="00617173" w:rsidRDefault="00842F35" w:rsidP="00634B19">
      <w:pPr>
        <w:numPr>
          <w:ilvl w:val="2"/>
          <w:numId w:val="28"/>
        </w:numPr>
        <w:ind w:left="1242"/>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Lack of multidisciplinary care planning</w:t>
      </w:r>
    </w:p>
    <w:p w14:paraId="01AE8749" w14:textId="77777777" w:rsidR="00842F35" w:rsidRPr="00617173" w:rsidRDefault="00842F35" w:rsidP="00634B19">
      <w:pPr>
        <w:numPr>
          <w:ilvl w:val="2"/>
          <w:numId w:val="28"/>
        </w:numPr>
        <w:ind w:left="1242"/>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Lack of communication with other health professionals</w:t>
      </w:r>
    </w:p>
    <w:p w14:paraId="1F889A18" w14:textId="77777777" w:rsidR="00842F35" w:rsidRPr="00617173" w:rsidRDefault="00842F35" w:rsidP="00634B19">
      <w:pPr>
        <w:numPr>
          <w:ilvl w:val="2"/>
          <w:numId w:val="28"/>
        </w:numPr>
        <w:ind w:left="1242"/>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Online program not suitable for consumer’s needs</w:t>
      </w:r>
    </w:p>
    <w:p w14:paraId="568C4264" w14:textId="77777777" w:rsidR="00842F35" w:rsidRPr="00617173" w:rsidRDefault="00842F35" w:rsidP="00634B19">
      <w:pPr>
        <w:numPr>
          <w:ilvl w:val="2"/>
          <w:numId w:val="28"/>
        </w:numPr>
        <w:ind w:left="1242"/>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Technical problems</w:t>
      </w:r>
    </w:p>
    <w:p w14:paraId="5803EE4E" w14:textId="0D740F6C" w:rsidR="00842F35" w:rsidRPr="00584FB8" w:rsidRDefault="00842F35" w:rsidP="00584FB8">
      <w:pPr>
        <w:numPr>
          <w:ilvl w:val="2"/>
          <w:numId w:val="28"/>
        </w:numPr>
        <w:snapToGrid w:val="0"/>
        <w:ind w:left="1242" w:hanging="357"/>
        <w:rPr>
          <w:rFonts w:asciiTheme="minorHAnsi" w:eastAsiaTheme="minorEastAsia" w:hAnsiTheme="minorHAnsi" w:cstheme="minorHAnsi"/>
          <w:b/>
          <w:bCs/>
          <w:color w:val="000000" w:themeColor="text1"/>
          <w:sz w:val="21"/>
          <w:szCs w:val="21"/>
        </w:rPr>
      </w:pPr>
      <w:r w:rsidRPr="00617173">
        <w:rPr>
          <w:rFonts w:asciiTheme="minorHAnsi" w:eastAsiaTheme="minorEastAsia" w:hAnsiTheme="minorHAnsi" w:cstheme="minorHAnsi"/>
          <w:color w:val="000000" w:themeColor="text1"/>
          <w:sz w:val="21"/>
          <w:szCs w:val="21"/>
        </w:rPr>
        <w:t>Other (specify</w:t>
      </w:r>
      <w:proofErr w:type="gramStart"/>
      <w:r w:rsidRPr="00617173">
        <w:rPr>
          <w:rFonts w:asciiTheme="minorHAnsi" w:eastAsiaTheme="minorEastAsia" w:hAnsiTheme="minorHAnsi" w:cstheme="minorHAnsi"/>
          <w:color w:val="000000" w:themeColor="text1"/>
          <w:sz w:val="21"/>
          <w:szCs w:val="21"/>
        </w:rPr>
        <w:t>):_</w:t>
      </w:r>
      <w:proofErr w:type="gramEnd"/>
      <w:r w:rsidRPr="00617173">
        <w:rPr>
          <w:rFonts w:asciiTheme="minorHAnsi" w:eastAsiaTheme="minorEastAsia" w:hAnsiTheme="minorHAnsi" w:cstheme="minorHAnsi"/>
          <w:color w:val="000000" w:themeColor="text1"/>
          <w:sz w:val="21"/>
          <w:szCs w:val="21"/>
        </w:rPr>
        <w:t>_____________________________</w:t>
      </w:r>
    </w:p>
    <w:p w14:paraId="29DA0A5E" w14:textId="77777777" w:rsidR="00842F35" w:rsidRPr="00617173" w:rsidRDefault="00842F35" w:rsidP="00842F35">
      <w:pPr>
        <w:rPr>
          <w:rFonts w:asciiTheme="minorHAnsi" w:eastAsiaTheme="minorEastAsia" w:hAnsiTheme="minorHAnsi" w:cstheme="minorHAnsi"/>
          <w:b/>
          <w:bCs/>
          <w:color w:val="000000" w:themeColor="text1"/>
          <w:sz w:val="21"/>
          <w:szCs w:val="21"/>
        </w:rPr>
      </w:pPr>
      <w:r w:rsidRPr="00617173">
        <w:rPr>
          <w:rFonts w:asciiTheme="minorHAnsi" w:eastAsiaTheme="minorEastAsia" w:hAnsiTheme="minorHAnsi" w:cstheme="minorHAnsi"/>
          <w:b/>
          <w:bCs/>
          <w:color w:val="000000" w:themeColor="text1"/>
          <w:sz w:val="21"/>
          <w:szCs w:val="21"/>
        </w:rPr>
        <w:t>To what extent do you think that digital mental health services are meeting users’ needs?</w:t>
      </w:r>
    </w:p>
    <w:p w14:paraId="2CCC7E6F" w14:textId="77777777" w:rsidR="00842F35" w:rsidRPr="001457EE" w:rsidRDefault="00842F35" w:rsidP="00634B19">
      <w:pPr>
        <w:numPr>
          <w:ilvl w:val="0"/>
          <w:numId w:val="24"/>
        </w:numPr>
        <w:ind w:left="709"/>
        <w:contextualSpacing/>
        <w:rPr>
          <w:rFonts w:asciiTheme="minorHAnsi" w:eastAsia="MS Mincho" w:hAnsiTheme="minorHAnsi" w:cstheme="minorHAnsi"/>
          <w:color w:val="000000" w:themeColor="text1"/>
          <w:sz w:val="21"/>
          <w:szCs w:val="21"/>
          <w:lang w:val="en-US"/>
        </w:rPr>
      </w:pPr>
      <w:r w:rsidRPr="001457EE">
        <w:rPr>
          <w:rFonts w:asciiTheme="minorHAnsi" w:eastAsia="MS Mincho" w:hAnsiTheme="minorHAnsi" w:cstheme="minorHAnsi"/>
          <w:color w:val="000000" w:themeColor="text1"/>
          <w:sz w:val="21"/>
          <w:szCs w:val="21"/>
          <w:lang w:val="en-US"/>
        </w:rPr>
        <w:t xml:space="preserve">Not at all </w:t>
      </w:r>
    </w:p>
    <w:p w14:paraId="3C1B2A56" w14:textId="77777777" w:rsidR="00842F35" w:rsidRPr="001457EE" w:rsidRDefault="00842F35" w:rsidP="00634B19">
      <w:pPr>
        <w:numPr>
          <w:ilvl w:val="0"/>
          <w:numId w:val="24"/>
        </w:numPr>
        <w:ind w:left="709"/>
        <w:contextualSpacing/>
        <w:rPr>
          <w:rFonts w:asciiTheme="minorHAnsi" w:eastAsia="MS Mincho" w:hAnsiTheme="minorHAnsi" w:cstheme="minorHAnsi"/>
          <w:color w:val="000000" w:themeColor="text1"/>
          <w:sz w:val="21"/>
          <w:szCs w:val="21"/>
          <w:lang w:val="en-US"/>
        </w:rPr>
      </w:pPr>
      <w:r w:rsidRPr="001457EE">
        <w:rPr>
          <w:rFonts w:asciiTheme="minorHAnsi" w:eastAsia="MS Mincho" w:hAnsiTheme="minorHAnsi" w:cstheme="minorHAnsi"/>
          <w:color w:val="000000" w:themeColor="text1"/>
          <w:sz w:val="21"/>
          <w:szCs w:val="21"/>
          <w:lang w:val="en-US"/>
        </w:rPr>
        <w:t xml:space="preserve">Somewhat </w:t>
      </w:r>
    </w:p>
    <w:p w14:paraId="7934000D" w14:textId="77777777" w:rsidR="00842F35" w:rsidRPr="001457EE" w:rsidRDefault="00842F35" w:rsidP="00634B19">
      <w:pPr>
        <w:numPr>
          <w:ilvl w:val="0"/>
          <w:numId w:val="24"/>
        </w:numPr>
        <w:ind w:left="709"/>
        <w:contextualSpacing/>
        <w:rPr>
          <w:rFonts w:asciiTheme="minorHAnsi" w:eastAsia="MS Mincho" w:hAnsiTheme="minorHAnsi" w:cstheme="minorHAnsi"/>
          <w:color w:val="000000" w:themeColor="text1"/>
          <w:sz w:val="21"/>
          <w:szCs w:val="21"/>
          <w:lang w:val="en-US"/>
        </w:rPr>
      </w:pPr>
      <w:r w:rsidRPr="001457EE">
        <w:rPr>
          <w:rFonts w:asciiTheme="minorHAnsi" w:eastAsia="MS Mincho" w:hAnsiTheme="minorHAnsi" w:cstheme="minorHAnsi"/>
          <w:color w:val="000000" w:themeColor="text1"/>
          <w:sz w:val="21"/>
          <w:szCs w:val="21"/>
          <w:lang w:val="en-US"/>
        </w:rPr>
        <w:t>Mostly</w:t>
      </w:r>
    </w:p>
    <w:p w14:paraId="3638B604" w14:textId="16B8311A" w:rsidR="00842F35" w:rsidRPr="00584FB8" w:rsidRDefault="00842F35" w:rsidP="00584FB8">
      <w:pPr>
        <w:numPr>
          <w:ilvl w:val="0"/>
          <w:numId w:val="24"/>
        </w:numPr>
        <w:snapToGrid w:val="0"/>
        <w:ind w:left="709" w:hanging="357"/>
        <w:rPr>
          <w:rFonts w:asciiTheme="minorHAnsi" w:eastAsia="MS Mincho" w:hAnsiTheme="minorHAnsi" w:cstheme="minorHAnsi"/>
          <w:color w:val="000000" w:themeColor="text1"/>
          <w:sz w:val="21"/>
          <w:szCs w:val="21"/>
          <w:lang w:val="en-US"/>
        </w:rPr>
      </w:pPr>
      <w:r w:rsidRPr="001457EE">
        <w:rPr>
          <w:rFonts w:asciiTheme="minorHAnsi" w:eastAsia="MS Mincho" w:hAnsiTheme="minorHAnsi" w:cstheme="minorHAnsi"/>
          <w:color w:val="000000" w:themeColor="text1"/>
          <w:sz w:val="21"/>
          <w:szCs w:val="21"/>
          <w:lang w:val="en-US"/>
        </w:rPr>
        <w:t>Completely</w:t>
      </w:r>
    </w:p>
    <w:p w14:paraId="38AB9185" w14:textId="77777777" w:rsidR="00842F35" w:rsidRPr="00617173" w:rsidRDefault="00842F35" w:rsidP="00842F35">
      <w:pPr>
        <w:rPr>
          <w:rFonts w:asciiTheme="minorHAnsi" w:eastAsiaTheme="minorEastAsia" w:hAnsiTheme="minorHAnsi" w:cstheme="minorHAnsi"/>
          <w:b/>
          <w:bCs/>
          <w:color w:val="000000" w:themeColor="text1"/>
          <w:sz w:val="21"/>
          <w:szCs w:val="21"/>
        </w:rPr>
      </w:pPr>
      <w:r w:rsidRPr="00617173">
        <w:rPr>
          <w:rFonts w:asciiTheme="minorHAnsi" w:eastAsiaTheme="minorEastAsia" w:hAnsiTheme="minorHAnsi" w:cstheme="minorHAnsi"/>
          <w:b/>
          <w:bCs/>
          <w:color w:val="000000" w:themeColor="text1"/>
          <w:sz w:val="21"/>
          <w:szCs w:val="21"/>
        </w:rPr>
        <w:t>Have supported digital mental health services benefited consumers under your care?</w:t>
      </w:r>
    </w:p>
    <w:p w14:paraId="28FA5B88" w14:textId="77777777" w:rsidR="00842F35" w:rsidRPr="001457EE" w:rsidRDefault="00842F35" w:rsidP="00634B19">
      <w:pPr>
        <w:numPr>
          <w:ilvl w:val="0"/>
          <w:numId w:val="24"/>
        </w:numPr>
        <w:ind w:left="709"/>
        <w:contextualSpacing/>
        <w:rPr>
          <w:rFonts w:asciiTheme="minorHAnsi" w:eastAsia="MS Mincho" w:hAnsiTheme="minorHAnsi" w:cstheme="minorHAnsi"/>
          <w:color w:val="000000" w:themeColor="text1"/>
          <w:sz w:val="21"/>
          <w:szCs w:val="21"/>
          <w:lang w:val="en-US"/>
        </w:rPr>
      </w:pPr>
      <w:r w:rsidRPr="001457EE">
        <w:rPr>
          <w:rFonts w:asciiTheme="minorHAnsi" w:eastAsia="MS Mincho" w:hAnsiTheme="minorHAnsi" w:cstheme="minorHAnsi"/>
          <w:color w:val="000000" w:themeColor="text1"/>
          <w:sz w:val="21"/>
          <w:szCs w:val="21"/>
          <w:lang w:val="en-US"/>
        </w:rPr>
        <w:t>Yes</w:t>
      </w:r>
    </w:p>
    <w:p w14:paraId="27963D6F" w14:textId="77777777" w:rsidR="00842F35" w:rsidRPr="001457EE" w:rsidRDefault="00842F35" w:rsidP="00634B19">
      <w:pPr>
        <w:numPr>
          <w:ilvl w:val="0"/>
          <w:numId w:val="24"/>
        </w:numPr>
        <w:ind w:left="709"/>
        <w:contextualSpacing/>
        <w:rPr>
          <w:rFonts w:asciiTheme="minorHAnsi" w:eastAsia="MS Mincho" w:hAnsiTheme="minorHAnsi" w:cstheme="minorHAnsi"/>
          <w:color w:val="000000" w:themeColor="text1"/>
          <w:sz w:val="21"/>
          <w:szCs w:val="21"/>
          <w:lang w:val="en-US"/>
        </w:rPr>
      </w:pPr>
      <w:r w:rsidRPr="001457EE">
        <w:rPr>
          <w:rFonts w:asciiTheme="minorHAnsi" w:eastAsia="MS Mincho" w:hAnsiTheme="minorHAnsi" w:cstheme="minorHAnsi"/>
          <w:color w:val="000000" w:themeColor="text1"/>
          <w:sz w:val="21"/>
          <w:szCs w:val="21"/>
          <w:lang w:val="en-US"/>
        </w:rPr>
        <w:t>No</w:t>
      </w:r>
    </w:p>
    <w:p w14:paraId="49BF9AAC" w14:textId="77777777" w:rsidR="00842F35" w:rsidRPr="00617173" w:rsidRDefault="00842F35" w:rsidP="00E941C5">
      <w:pPr>
        <w:ind w:left="1276" w:hanging="425"/>
        <w:rPr>
          <w:rFonts w:asciiTheme="minorHAnsi" w:eastAsiaTheme="minorEastAsia" w:hAnsiTheme="minorHAnsi" w:cstheme="minorHAnsi"/>
          <w:b/>
          <w:bCs/>
          <w:color w:val="000000" w:themeColor="text1"/>
          <w:sz w:val="21"/>
          <w:szCs w:val="21"/>
        </w:rPr>
      </w:pPr>
      <w:r w:rsidRPr="00617173">
        <w:rPr>
          <w:rFonts w:asciiTheme="minorHAnsi" w:eastAsiaTheme="minorEastAsia" w:hAnsiTheme="minorHAnsi" w:cstheme="minorHAnsi"/>
          <w:b/>
          <w:bCs/>
          <w:color w:val="000000" w:themeColor="text1"/>
          <w:sz w:val="21"/>
          <w:szCs w:val="21"/>
        </w:rPr>
        <w:t>If yes, please select all the benefits that apply</w:t>
      </w:r>
    </w:p>
    <w:p w14:paraId="569DA009" w14:textId="77777777" w:rsidR="00842F35" w:rsidRPr="00617173" w:rsidRDefault="00842F35" w:rsidP="00634B19">
      <w:pPr>
        <w:numPr>
          <w:ilvl w:val="2"/>
          <w:numId w:val="28"/>
        </w:numPr>
        <w:ind w:left="1276" w:hanging="425"/>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Improved mental health and wellbeing</w:t>
      </w:r>
    </w:p>
    <w:p w14:paraId="78115428" w14:textId="77777777" w:rsidR="00842F35" w:rsidRPr="00617173" w:rsidRDefault="00842F35" w:rsidP="00634B19">
      <w:pPr>
        <w:numPr>
          <w:ilvl w:val="2"/>
          <w:numId w:val="28"/>
        </w:numPr>
        <w:ind w:left="1276" w:hanging="425"/>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Improved access to care</w:t>
      </w:r>
    </w:p>
    <w:p w14:paraId="4BD66908" w14:textId="77777777" w:rsidR="00842F35" w:rsidRPr="00617173" w:rsidRDefault="00842F35" w:rsidP="00634B19">
      <w:pPr>
        <w:numPr>
          <w:ilvl w:val="2"/>
          <w:numId w:val="28"/>
        </w:numPr>
        <w:ind w:left="1276" w:hanging="425"/>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Improved privacy</w:t>
      </w:r>
    </w:p>
    <w:p w14:paraId="7B884453" w14:textId="77777777" w:rsidR="00842F35" w:rsidRPr="00617173" w:rsidRDefault="00842F35" w:rsidP="00634B19">
      <w:pPr>
        <w:numPr>
          <w:ilvl w:val="2"/>
          <w:numId w:val="28"/>
        </w:numPr>
        <w:ind w:left="1276" w:hanging="425"/>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Improved waiting times for services</w:t>
      </w:r>
    </w:p>
    <w:p w14:paraId="35B21DFD" w14:textId="77777777" w:rsidR="00842F35" w:rsidRPr="00617173" w:rsidRDefault="00842F35" w:rsidP="00634B19">
      <w:pPr>
        <w:numPr>
          <w:ilvl w:val="2"/>
          <w:numId w:val="28"/>
        </w:numPr>
        <w:ind w:left="1276" w:hanging="425"/>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Reduced costs associated with care (travel and cost of sessions)</w:t>
      </w:r>
    </w:p>
    <w:p w14:paraId="0D3533E0" w14:textId="77777777" w:rsidR="00842F35" w:rsidRPr="00617173" w:rsidRDefault="00842F35" w:rsidP="00634B19">
      <w:pPr>
        <w:numPr>
          <w:ilvl w:val="2"/>
          <w:numId w:val="28"/>
        </w:numPr>
        <w:ind w:left="1276" w:hanging="425"/>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Improved convenience of care (access from own home 24/7)</w:t>
      </w:r>
    </w:p>
    <w:p w14:paraId="0E463BED" w14:textId="665FEB8D" w:rsidR="00842F35" w:rsidRPr="00584FB8" w:rsidRDefault="00842F35" w:rsidP="00584FB8">
      <w:pPr>
        <w:numPr>
          <w:ilvl w:val="2"/>
          <w:numId w:val="28"/>
        </w:numPr>
        <w:snapToGrid w:val="0"/>
        <w:ind w:left="1276" w:hanging="425"/>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Other please specify __________________________</w:t>
      </w:r>
    </w:p>
    <w:p w14:paraId="3775B808" w14:textId="77777777" w:rsidR="00842F35" w:rsidRPr="00617173" w:rsidRDefault="00842F35" w:rsidP="00842F35">
      <w:pPr>
        <w:rPr>
          <w:rFonts w:asciiTheme="minorHAnsi" w:eastAsiaTheme="minorEastAsia" w:hAnsiTheme="minorHAnsi" w:cstheme="minorHAnsi"/>
          <w:b/>
          <w:bCs/>
          <w:color w:val="000000" w:themeColor="text1"/>
          <w:sz w:val="21"/>
          <w:szCs w:val="21"/>
        </w:rPr>
      </w:pPr>
      <w:r w:rsidRPr="00617173">
        <w:rPr>
          <w:rFonts w:asciiTheme="minorHAnsi" w:eastAsiaTheme="minorEastAsia" w:hAnsiTheme="minorHAnsi" w:cstheme="minorHAnsi"/>
          <w:b/>
          <w:bCs/>
          <w:color w:val="000000" w:themeColor="text1"/>
          <w:sz w:val="21"/>
          <w:szCs w:val="21"/>
        </w:rPr>
        <w:t>Have supported digital mental health services had negative impacts on consumers under your care?</w:t>
      </w:r>
    </w:p>
    <w:p w14:paraId="3A21E8F1" w14:textId="77777777" w:rsidR="00842F35" w:rsidRPr="001457EE" w:rsidRDefault="00842F35" w:rsidP="00634B19">
      <w:pPr>
        <w:numPr>
          <w:ilvl w:val="0"/>
          <w:numId w:val="24"/>
        </w:numPr>
        <w:ind w:left="709"/>
        <w:contextualSpacing/>
        <w:rPr>
          <w:rFonts w:asciiTheme="minorHAnsi" w:eastAsia="MS Mincho" w:hAnsiTheme="minorHAnsi" w:cstheme="minorHAnsi"/>
          <w:color w:val="000000" w:themeColor="text1"/>
          <w:sz w:val="21"/>
          <w:szCs w:val="21"/>
          <w:lang w:val="en-US"/>
        </w:rPr>
      </w:pPr>
      <w:bookmarkStart w:id="341" w:name="_Hlk76648653"/>
      <w:r w:rsidRPr="001457EE">
        <w:rPr>
          <w:rFonts w:asciiTheme="minorHAnsi" w:eastAsia="MS Mincho" w:hAnsiTheme="minorHAnsi" w:cstheme="minorHAnsi"/>
          <w:color w:val="000000" w:themeColor="text1"/>
          <w:sz w:val="21"/>
          <w:szCs w:val="21"/>
          <w:lang w:val="en-US"/>
        </w:rPr>
        <w:t>Yes</w:t>
      </w:r>
    </w:p>
    <w:p w14:paraId="41F23DD1" w14:textId="77777777" w:rsidR="00842F35" w:rsidRPr="001457EE" w:rsidRDefault="00842F35" w:rsidP="00634B19">
      <w:pPr>
        <w:numPr>
          <w:ilvl w:val="0"/>
          <w:numId w:val="24"/>
        </w:numPr>
        <w:ind w:left="709"/>
        <w:contextualSpacing/>
        <w:rPr>
          <w:rFonts w:asciiTheme="minorHAnsi" w:eastAsia="MS Mincho" w:hAnsiTheme="minorHAnsi" w:cstheme="minorHAnsi"/>
          <w:color w:val="000000" w:themeColor="text1"/>
          <w:sz w:val="21"/>
          <w:szCs w:val="21"/>
          <w:lang w:val="en-US"/>
        </w:rPr>
      </w:pPr>
      <w:r w:rsidRPr="001457EE">
        <w:rPr>
          <w:rFonts w:asciiTheme="minorHAnsi" w:eastAsia="MS Mincho" w:hAnsiTheme="minorHAnsi" w:cstheme="minorHAnsi"/>
          <w:color w:val="000000" w:themeColor="text1"/>
          <w:sz w:val="21"/>
          <w:szCs w:val="21"/>
          <w:lang w:val="en-US"/>
        </w:rPr>
        <w:t>No</w:t>
      </w:r>
    </w:p>
    <w:bookmarkEnd w:id="341"/>
    <w:p w14:paraId="053A53B8" w14:textId="77777777" w:rsidR="00842F35" w:rsidRPr="00617173" w:rsidRDefault="00842F35" w:rsidP="00E54A95">
      <w:pPr>
        <w:ind w:left="1276" w:hanging="425"/>
        <w:rPr>
          <w:rFonts w:asciiTheme="minorHAnsi" w:eastAsiaTheme="minorEastAsia" w:hAnsiTheme="minorHAnsi" w:cstheme="minorHAnsi"/>
          <w:b/>
          <w:bCs/>
          <w:color w:val="000000" w:themeColor="text1"/>
          <w:sz w:val="21"/>
          <w:szCs w:val="21"/>
        </w:rPr>
      </w:pPr>
      <w:r w:rsidRPr="00617173">
        <w:rPr>
          <w:rFonts w:asciiTheme="minorHAnsi" w:eastAsiaTheme="minorEastAsia" w:hAnsiTheme="minorHAnsi" w:cstheme="minorHAnsi"/>
          <w:b/>
          <w:bCs/>
          <w:color w:val="000000" w:themeColor="text1"/>
          <w:sz w:val="21"/>
          <w:szCs w:val="21"/>
        </w:rPr>
        <w:t>If yes, please select all the negative impacts that apply</w:t>
      </w:r>
    </w:p>
    <w:p w14:paraId="29AA76B0" w14:textId="77777777" w:rsidR="00842F35" w:rsidRPr="00617173" w:rsidRDefault="00842F35" w:rsidP="00634B19">
      <w:pPr>
        <w:numPr>
          <w:ilvl w:val="2"/>
          <w:numId w:val="28"/>
        </w:numPr>
        <w:ind w:left="1276" w:hanging="425"/>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Consumers are not getting the level of care they need</w:t>
      </w:r>
    </w:p>
    <w:p w14:paraId="0B98044C" w14:textId="77777777" w:rsidR="00842F35" w:rsidRPr="00617173" w:rsidRDefault="00842F35" w:rsidP="00634B19">
      <w:pPr>
        <w:numPr>
          <w:ilvl w:val="2"/>
          <w:numId w:val="28"/>
        </w:numPr>
        <w:ind w:left="1276" w:hanging="425"/>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Digital mental health is isolating for consumers</w:t>
      </w:r>
    </w:p>
    <w:p w14:paraId="61E9A096" w14:textId="77777777" w:rsidR="00842F35" w:rsidRPr="00617173" w:rsidRDefault="00842F35" w:rsidP="00634B19">
      <w:pPr>
        <w:numPr>
          <w:ilvl w:val="2"/>
          <w:numId w:val="28"/>
        </w:numPr>
        <w:ind w:left="1276" w:hanging="425"/>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Consumers are dropping out of care</w:t>
      </w:r>
    </w:p>
    <w:p w14:paraId="763CB5C4" w14:textId="5B2C90C3" w:rsidR="00842F35" w:rsidRPr="00584FB8" w:rsidRDefault="00842F35" w:rsidP="00584FB8">
      <w:pPr>
        <w:numPr>
          <w:ilvl w:val="2"/>
          <w:numId w:val="28"/>
        </w:numPr>
        <w:snapToGrid w:val="0"/>
        <w:ind w:left="1276" w:hanging="425"/>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Other please specify __________________________</w:t>
      </w:r>
    </w:p>
    <w:p w14:paraId="12160D3A" w14:textId="3F9509A5" w:rsidR="00842F35" w:rsidRPr="00617173" w:rsidRDefault="00842F35" w:rsidP="00842F35">
      <w:pPr>
        <w:rPr>
          <w:rFonts w:asciiTheme="minorHAnsi" w:eastAsiaTheme="minorEastAsia" w:hAnsiTheme="minorHAnsi" w:cstheme="minorHAnsi"/>
          <w:b/>
          <w:bCs/>
          <w:color w:val="000000" w:themeColor="text1"/>
          <w:sz w:val="21"/>
          <w:szCs w:val="21"/>
        </w:rPr>
      </w:pPr>
      <w:r w:rsidRPr="00617173">
        <w:rPr>
          <w:rFonts w:asciiTheme="minorHAnsi" w:eastAsiaTheme="minorEastAsia" w:hAnsiTheme="minorHAnsi" w:cstheme="minorHAnsi"/>
          <w:b/>
          <w:bCs/>
          <w:color w:val="000000" w:themeColor="text1"/>
          <w:sz w:val="21"/>
          <w:szCs w:val="21"/>
        </w:rPr>
        <w:t>Is providing supported digital mental health services your preferred way to deliver mental health care?</w:t>
      </w:r>
    </w:p>
    <w:p w14:paraId="730628A2" w14:textId="77777777" w:rsidR="00842F35" w:rsidRPr="00617173" w:rsidRDefault="00842F35" w:rsidP="00634B19">
      <w:pPr>
        <w:numPr>
          <w:ilvl w:val="2"/>
          <w:numId w:val="29"/>
        </w:numPr>
        <w:ind w:left="709"/>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Yes</w:t>
      </w:r>
    </w:p>
    <w:p w14:paraId="319B53C4" w14:textId="66253528" w:rsidR="00842F35" w:rsidRPr="00E54A95" w:rsidRDefault="00842F35" w:rsidP="00634B19">
      <w:pPr>
        <w:numPr>
          <w:ilvl w:val="2"/>
          <w:numId w:val="29"/>
        </w:numPr>
        <w:ind w:left="709"/>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No</w:t>
      </w:r>
    </w:p>
    <w:p w14:paraId="2EE94D16" w14:textId="77777777" w:rsidR="00842F35" w:rsidRPr="00617173" w:rsidRDefault="00842F35" w:rsidP="00E54A95">
      <w:pPr>
        <w:ind w:left="720"/>
        <w:rPr>
          <w:rFonts w:asciiTheme="minorHAnsi" w:eastAsiaTheme="minorEastAsia" w:hAnsiTheme="minorHAnsi" w:cstheme="minorHAnsi"/>
          <w:b/>
          <w:bCs/>
          <w:color w:val="000000" w:themeColor="text1"/>
          <w:sz w:val="21"/>
          <w:szCs w:val="21"/>
        </w:rPr>
      </w:pPr>
      <w:r w:rsidRPr="00617173">
        <w:rPr>
          <w:rFonts w:asciiTheme="minorHAnsi" w:eastAsiaTheme="minorEastAsia" w:hAnsiTheme="minorHAnsi" w:cstheme="minorHAnsi"/>
          <w:b/>
          <w:bCs/>
          <w:color w:val="000000" w:themeColor="text1"/>
          <w:sz w:val="21"/>
          <w:szCs w:val="21"/>
        </w:rPr>
        <w:t>If no, please indicate how you would prefer to deliver mental health services. Please select all that apply.</w:t>
      </w:r>
    </w:p>
    <w:p w14:paraId="473F1863" w14:textId="77777777" w:rsidR="00842F35" w:rsidRPr="00617173" w:rsidRDefault="00842F35" w:rsidP="00634B19">
      <w:pPr>
        <w:numPr>
          <w:ilvl w:val="2"/>
          <w:numId w:val="29"/>
        </w:numPr>
        <w:ind w:left="1440"/>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Face-to-face</w:t>
      </w:r>
    </w:p>
    <w:p w14:paraId="5A976E2C" w14:textId="77777777" w:rsidR="00842F35" w:rsidRPr="00617173" w:rsidRDefault="00842F35" w:rsidP="00634B19">
      <w:pPr>
        <w:numPr>
          <w:ilvl w:val="2"/>
          <w:numId w:val="29"/>
        </w:numPr>
        <w:ind w:left="1440"/>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Phone</w:t>
      </w:r>
    </w:p>
    <w:p w14:paraId="7E6A7083" w14:textId="77777777" w:rsidR="00842F35" w:rsidRPr="00617173" w:rsidRDefault="00842F35" w:rsidP="00634B19">
      <w:pPr>
        <w:numPr>
          <w:ilvl w:val="2"/>
          <w:numId w:val="29"/>
        </w:numPr>
        <w:ind w:left="1440"/>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Video</w:t>
      </w:r>
    </w:p>
    <w:p w14:paraId="335BD402" w14:textId="058E565A" w:rsidR="00842F35" w:rsidRPr="003B614B" w:rsidRDefault="00842F35" w:rsidP="003B614B">
      <w:pPr>
        <w:numPr>
          <w:ilvl w:val="2"/>
          <w:numId w:val="29"/>
        </w:numPr>
        <w:snapToGrid w:val="0"/>
        <w:ind w:left="1434" w:hanging="357"/>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Other</w:t>
      </w:r>
    </w:p>
    <w:p w14:paraId="64E131FB" w14:textId="77777777" w:rsidR="00842F35" w:rsidRPr="00617173" w:rsidRDefault="00842F35" w:rsidP="00842F35">
      <w:pPr>
        <w:rPr>
          <w:rFonts w:asciiTheme="minorHAnsi" w:eastAsiaTheme="minorEastAsia" w:hAnsiTheme="minorHAnsi" w:cstheme="minorHAnsi"/>
          <w:b/>
          <w:bCs/>
          <w:color w:val="000000" w:themeColor="text1"/>
          <w:sz w:val="21"/>
          <w:szCs w:val="21"/>
        </w:rPr>
      </w:pPr>
      <w:r w:rsidRPr="00617173">
        <w:rPr>
          <w:rFonts w:asciiTheme="minorHAnsi" w:eastAsiaTheme="minorEastAsia" w:hAnsiTheme="minorHAnsi" w:cstheme="minorHAnsi"/>
          <w:b/>
          <w:bCs/>
          <w:color w:val="000000" w:themeColor="text1"/>
          <w:sz w:val="21"/>
          <w:szCs w:val="21"/>
        </w:rPr>
        <w:t>Overall, how satisfied are you with providing supported digital mental health services?</w:t>
      </w:r>
    </w:p>
    <w:p w14:paraId="2E47618C" w14:textId="77777777" w:rsidR="00842F35" w:rsidRPr="001457EE" w:rsidRDefault="00842F35" w:rsidP="00634B19">
      <w:pPr>
        <w:numPr>
          <w:ilvl w:val="0"/>
          <w:numId w:val="24"/>
        </w:numPr>
        <w:ind w:left="709"/>
        <w:contextualSpacing/>
        <w:rPr>
          <w:rFonts w:asciiTheme="minorHAnsi" w:eastAsia="MS Mincho" w:hAnsiTheme="minorHAnsi" w:cstheme="minorHAnsi"/>
          <w:color w:val="000000" w:themeColor="text1"/>
          <w:sz w:val="21"/>
          <w:szCs w:val="21"/>
          <w:lang w:val="en-US"/>
        </w:rPr>
      </w:pPr>
      <w:r w:rsidRPr="001457EE">
        <w:rPr>
          <w:rFonts w:asciiTheme="minorHAnsi" w:eastAsia="MS Mincho" w:hAnsiTheme="minorHAnsi" w:cstheme="minorHAnsi"/>
          <w:color w:val="000000" w:themeColor="text1"/>
          <w:sz w:val="21"/>
          <w:szCs w:val="21"/>
          <w:lang w:val="en-US"/>
        </w:rPr>
        <w:t>Not at all satisfied</w:t>
      </w:r>
    </w:p>
    <w:p w14:paraId="0375F8E7" w14:textId="77777777" w:rsidR="00842F35" w:rsidRPr="001457EE" w:rsidRDefault="00842F35" w:rsidP="00634B19">
      <w:pPr>
        <w:numPr>
          <w:ilvl w:val="0"/>
          <w:numId w:val="24"/>
        </w:numPr>
        <w:ind w:left="709"/>
        <w:contextualSpacing/>
        <w:rPr>
          <w:rFonts w:asciiTheme="minorHAnsi" w:eastAsia="MS Mincho" w:hAnsiTheme="minorHAnsi" w:cstheme="minorHAnsi"/>
          <w:color w:val="000000" w:themeColor="text1"/>
          <w:sz w:val="21"/>
          <w:szCs w:val="21"/>
          <w:lang w:val="en-US"/>
        </w:rPr>
      </w:pPr>
      <w:r w:rsidRPr="001457EE">
        <w:rPr>
          <w:rFonts w:asciiTheme="minorHAnsi" w:eastAsia="MS Mincho" w:hAnsiTheme="minorHAnsi" w:cstheme="minorHAnsi"/>
          <w:color w:val="000000" w:themeColor="text1"/>
          <w:sz w:val="21"/>
          <w:szCs w:val="21"/>
          <w:lang w:val="en-US"/>
        </w:rPr>
        <w:t>Somewhat satisfied</w:t>
      </w:r>
    </w:p>
    <w:p w14:paraId="5FDA5C81" w14:textId="77777777" w:rsidR="00842F35" w:rsidRPr="001457EE" w:rsidRDefault="00842F35" w:rsidP="00634B19">
      <w:pPr>
        <w:numPr>
          <w:ilvl w:val="0"/>
          <w:numId w:val="24"/>
        </w:numPr>
        <w:ind w:left="709"/>
        <w:contextualSpacing/>
        <w:rPr>
          <w:rFonts w:asciiTheme="minorHAnsi" w:eastAsia="MS Mincho" w:hAnsiTheme="minorHAnsi" w:cstheme="minorHAnsi"/>
          <w:color w:val="000000" w:themeColor="text1"/>
          <w:sz w:val="21"/>
          <w:szCs w:val="21"/>
          <w:lang w:val="en-US"/>
        </w:rPr>
      </w:pPr>
      <w:r w:rsidRPr="001457EE">
        <w:rPr>
          <w:rFonts w:asciiTheme="minorHAnsi" w:eastAsia="MS Mincho" w:hAnsiTheme="minorHAnsi" w:cstheme="minorHAnsi"/>
          <w:color w:val="000000" w:themeColor="text1"/>
          <w:sz w:val="21"/>
          <w:szCs w:val="21"/>
          <w:lang w:val="en-US"/>
        </w:rPr>
        <w:t>Satisfied</w:t>
      </w:r>
    </w:p>
    <w:p w14:paraId="571BAF9B" w14:textId="77777777" w:rsidR="00842F35" w:rsidRPr="001457EE" w:rsidRDefault="00842F35" w:rsidP="00634B19">
      <w:pPr>
        <w:numPr>
          <w:ilvl w:val="0"/>
          <w:numId w:val="24"/>
        </w:numPr>
        <w:ind w:left="709"/>
        <w:contextualSpacing/>
        <w:rPr>
          <w:rFonts w:asciiTheme="minorHAnsi" w:eastAsia="MS Mincho" w:hAnsiTheme="minorHAnsi" w:cstheme="minorHAnsi"/>
          <w:color w:val="000000" w:themeColor="text1"/>
          <w:sz w:val="21"/>
          <w:szCs w:val="21"/>
          <w:lang w:val="en-US"/>
        </w:rPr>
      </w:pPr>
      <w:r w:rsidRPr="001457EE">
        <w:rPr>
          <w:rFonts w:asciiTheme="minorHAnsi" w:eastAsia="MS Mincho" w:hAnsiTheme="minorHAnsi" w:cstheme="minorHAnsi"/>
          <w:color w:val="000000" w:themeColor="text1"/>
          <w:sz w:val="21"/>
          <w:szCs w:val="21"/>
          <w:lang w:val="en-US"/>
        </w:rPr>
        <w:t>Very satisfied</w:t>
      </w:r>
    </w:p>
    <w:p w14:paraId="3AC14FB3" w14:textId="0206FA68" w:rsidR="00842F35" w:rsidRPr="003B614B" w:rsidRDefault="00842F35" w:rsidP="003B614B">
      <w:pPr>
        <w:numPr>
          <w:ilvl w:val="0"/>
          <w:numId w:val="24"/>
        </w:numPr>
        <w:snapToGrid w:val="0"/>
        <w:ind w:left="709" w:hanging="357"/>
        <w:rPr>
          <w:rFonts w:asciiTheme="minorHAnsi" w:eastAsia="MS Mincho" w:hAnsiTheme="minorHAnsi" w:cstheme="minorHAnsi"/>
          <w:color w:val="000000" w:themeColor="text1"/>
          <w:sz w:val="21"/>
          <w:szCs w:val="21"/>
          <w:lang w:val="en-US"/>
        </w:rPr>
      </w:pPr>
      <w:r w:rsidRPr="001457EE">
        <w:rPr>
          <w:rFonts w:asciiTheme="minorHAnsi" w:eastAsia="MS Mincho" w:hAnsiTheme="minorHAnsi" w:cstheme="minorHAnsi"/>
          <w:color w:val="000000" w:themeColor="text1"/>
          <w:sz w:val="21"/>
          <w:szCs w:val="21"/>
          <w:lang w:val="en-US"/>
        </w:rPr>
        <w:t>Completely satisfied</w:t>
      </w:r>
    </w:p>
    <w:p w14:paraId="43209F21" w14:textId="36DD2C7A" w:rsidR="00842F35" w:rsidRPr="00617173" w:rsidRDefault="00842F35" w:rsidP="006E1230">
      <w:pPr>
        <w:rPr>
          <w:rFonts w:asciiTheme="minorHAnsi" w:eastAsiaTheme="minorEastAsia" w:hAnsiTheme="minorHAnsi" w:cstheme="minorHAnsi"/>
          <w:b/>
          <w:bCs/>
          <w:color w:val="000000" w:themeColor="text1"/>
          <w:sz w:val="21"/>
          <w:szCs w:val="21"/>
        </w:rPr>
      </w:pPr>
      <w:r w:rsidRPr="00617173">
        <w:rPr>
          <w:rFonts w:asciiTheme="minorHAnsi" w:eastAsiaTheme="minorEastAsia" w:hAnsiTheme="minorHAnsi" w:cstheme="minorHAnsi"/>
          <w:b/>
          <w:bCs/>
          <w:color w:val="000000" w:themeColor="text1"/>
          <w:sz w:val="21"/>
          <w:szCs w:val="21"/>
        </w:rPr>
        <w:lastRenderedPageBreak/>
        <w:t>What severity of mental health problems do you think are suitable for digital mental health services? Select all responses that apply</w:t>
      </w:r>
    </w:p>
    <w:p w14:paraId="558588AF" w14:textId="77777777" w:rsidR="00842F35" w:rsidRPr="00617173" w:rsidRDefault="00842F35" w:rsidP="00634B19">
      <w:pPr>
        <w:numPr>
          <w:ilvl w:val="0"/>
          <w:numId w:val="23"/>
        </w:numPr>
        <w:ind w:left="720"/>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Mild</w:t>
      </w:r>
    </w:p>
    <w:p w14:paraId="7ED9774A" w14:textId="77777777" w:rsidR="00842F35" w:rsidRPr="00617173" w:rsidRDefault="00842F35" w:rsidP="00634B19">
      <w:pPr>
        <w:numPr>
          <w:ilvl w:val="0"/>
          <w:numId w:val="23"/>
        </w:numPr>
        <w:ind w:left="720"/>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Moderate</w:t>
      </w:r>
    </w:p>
    <w:p w14:paraId="73A8F530" w14:textId="4A3FE57B" w:rsidR="00842F35" w:rsidRPr="003B614B" w:rsidRDefault="00842F35" w:rsidP="003B614B">
      <w:pPr>
        <w:numPr>
          <w:ilvl w:val="0"/>
          <w:numId w:val="23"/>
        </w:numPr>
        <w:ind w:left="720"/>
        <w:contextualSpacing/>
        <w:rPr>
          <w:rFonts w:asciiTheme="minorHAnsi" w:eastAsiaTheme="minorEastAsia" w:hAnsiTheme="minorHAnsi" w:cstheme="minorHAnsi"/>
          <w:color w:val="000000" w:themeColor="text1"/>
          <w:sz w:val="21"/>
          <w:szCs w:val="21"/>
        </w:rPr>
      </w:pPr>
      <w:r w:rsidRPr="00617173">
        <w:rPr>
          <w:rFonts w:asciiTheme="minorHAnsi" w:eastAsiaTheme="minorEastAsia" w:hAnsiTheme="minorHAnsi" w:cstheme="minorHAnsi"/>
          <w:color w:val="000000" w:themeColor="text1"/>
          <w:sz w:val="21"/>
          <w:szCs w:val="21"/>
        </w:rPr>
        <w:t>Severe</w:t>
      </w:r>
    </w:p>
    <w:p w14:paraId="33D31977" w14:textId="77777777" w:rsidR="00842F35" w:rsidRPr="00617173" w:rsidRDefault="00842F35" w:rsidP="006E1230">
      <w:pPr>
        <w:pStyle w:val="xmsonormal"/>
        <w:rPr>
          <w:rFonts w:asciiTheme="minorHAnsi" w:hAnsiTheme="minorHAnsi" w:cstheme="minorHAnsi"/>
          <w:sz w:val="21"/>
          <w:szCs w:val="21"/>
        </w:rPr>
      </w:pPr>
      <w:r w:rsidRPr="00617173">
        <w:rPr>
          <w:rFonts w:asciiTheme="minorHAnsi" w:hAnsiTheme="minorHAnsi" w:cstheme="minorHAnsi"/>
          <w:b/>
          <w:bCs/>
          <w:sz w:val="21"/>
          <w:szCs w:val="21"/>
        </w:rPr>
        <w:t xml:space="preserve">In your experience, do you think digital mental health services are suitable for any </w:t>
      </w:r>
      <w:proofErr w:type="gramStart"/>
      <w:r w:rsidRPr="00617173">
        <w:rPr>
          <w:rFonts w:asciiTheme="minorHAnsi" w:hAnsiTheme="minorHAnsi" w:cstheme="minorHAnsi"/>
          <w:b/>
          <w:bCs/>
          <w:sz w:val="21"/>
          <w:szCs w:val="21"/>
        </w:rPr>
        <w:t>particular mental</w:t>
      </w:r>
      <w:proofErr w:type="gramEnd"/>
      <w:r w:rsidRPr="00617173">
        <w:rPr>
          <w:rFonts w:asciiTheme="minorHAnsi" w:hAnsiTheme="minorHAnsi" w:cstheme="minorHAnsi"/>
          <w:b/>
          <w:bCs/>
          <w:sz w:val="21"/>
          <w:szCs w:val="21"/>
        </w:rPr>
        <w:t xml:space="preserve"> health problems? Please select all that apply.</w:t>
      </w:r>
    </w:p>
    <w:p w14:paraId="4484BAC7" w14:textId="77777777" w:rsidR="00842F35" w:rsidRPr="00617173" w:rsidRDefault="00842F35" w:rsidP="006E1230">
      <w:pPr>
        <w:pStyle w:val="xmsonormal"/>
        <w:rPr>
          <w:rFonts w:asciiTheme="minorHAnsi" w:hAnsiTheme="minorHAnsi" w:cstheme="minorHAnsi"/>
          <w:sz w:val="21"/>
          <w:szCs w:val="21"/>
        </w:rPr>
      </w:pPr>
      <w:r w:rsidRPr="00617173">
        <w:rPr>
          <w:rFonts w:asciiTheme="minorHAnsi" w:hAnsiTheme="minorHAnsi" w:cstheme="minorHAnsi"/>
          <w:b/>
          <w:bCs/>
          <w:sz w:val="21"/>
          <w:szCs w:val="21"/>
        </w:rPr>
        <w:t>Digital mental health services are suitable for people with:</w:t>
      </w:r>
    </w:p>
    <w:p w14:paraId="32FE4840" w14:textId="77777777" w:rsidR="00842F35" w:rsidRPr="00617173" w:rsidRDefault="00842F35" w:rsidP="003B614B">
      <w:pPr>
        <w:pStyle w:val="xmsonormal"/>
        <w:numPr>
          <w:ilvl w:val="0"/>
          <w:numId w:val="33"/>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Depression</w:t>
      </w:r>
    </w:p>
    <w:p w14:paraId="60267E90" w14:textId="77777777" w:rsidR="00842F35" w:rsidRPr="00617173" w:rsidRDefault="00842F35" w:rsidP="003B614B">
      <w:pPr>
        <w:pStyle w:val="xmsonormal"/>
        <w:numPr>
          <w:ilvl w:val="0"/>
          <w:numId w:val="33"/>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Anxiety</w:t>
      </w:r>
    </w:p>
    <w:p w14:paraId="3FD246CF" w14:textId="77777777" w:rsidR="00842F35" w:rsidRPr="00617173" w:rsidRDefault="00842F35" w:rsidP="003B614B">
      <w:pPr>
        <w:pStyle w:val="xmsonormal"/>
        <w:numPr>
          <w:ilvl w:val="0"/>
          <w:numId w:val="33"/>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PTSD</w:t>
      </w:r>
    </w:p>
    <w:p w14:paraId="00F34DA4" w14:textId="77777777" w:rsidR="00842F35" w:rsidRPr="00617173" w:rsidRDefault="00842F35" w:rsidP="003B614B">
      <w:pPr>
        <w:pStyle w:val="xmsonormal"/>
        <w:numPr>
          <w:ilvl w:val="0"/>
          <w:numId w:val="33"/>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OCD</w:t>
      </w:r>
    </w:p>
    <w:p w14:paraId="10F64946" w14:textId="77777777" w:rsidR="00842F35" w:rsidRPr="00617173" w:rsidRDefault="00842F35" w:rsidP="003B614B">
      <w:pPr>
        <w:pStyle w:val="xmsonormal"/>
        <w:numPr>
          <w:ilvl w:val="0"/>
          <w:numId w:val="33"/>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Eating disorders</w:t>
      </w:r>
    </w:p>
    <w:p w14:paraId="5365BADA" w14:textId="77777777" w:rsidR="00842F35" w:rsidRPr="00617173" w:rsidRDefault="00842F35" w:rsidP="003B614B">
      <w:pPr>
        <w:pStyle w:val="xmsonormal"/>
        <w:numPr>
          <w:ilvl w:val="0"/>
          <w:numId w:val="33"/>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Bipolar disorders</w:t>
      </w:r>
    </w:p>
    <w:p w14:paraId="00BE19EC" w14:textId="6F4A0ADC" w:rsidR="00842F35" w:rsidRPr="00617173" w:rsidRDefault="00842F35" w:rsidP="003B614B">
      <w:pPr>
        <w:pStyle w:val="xmsonormal"/>
        <w:numPr>
          <w:ilvl w:val="0"/>
          <w:numId w:val="33"/>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Psychotic disorders (e.g.,</w:t>
      </w:r>
      <w:r w:rsidR="00346912">
        <w:rPr>
          <w:rFonts w:asciiTheme="minorHAnsi" w:eastAsia="Times New Roman" w:hAnsiTheme="minorHAnsi" w:cstheme="minorHAnsi"/>
          <w:color w:val="000000"/>
          <w:sz w:val="21"/>
          <w:szCs w:val="21"/>
        </w:rPr>
        <w:t xml:space="preserve"> </w:t>
      </w:r>
      <w:r w:rsidR="00E941C5">
        <w:rPr>
          <w:rFonts w:asciiTheme="minorHAnsi" w:eastAsia="Times New Roman" w:hAnsiTheme="minorHAnsi" w:cstheme="minorHAnsi"/>
          <w:color w:val="000000"/>
          <w:sz w:val="21"/>
          <w:szCs w:val="21"/>
        </w:rPr>
        <w:t>s</w:t>
      </w:r>
      <w:r w:rsidRPr="00617173">
        <w:rPr>
          <w:rFonts w:asciiTheme="minorHAnsi" w:eastAsia="Times New Roman" w:hAnsiTheme="minorHAnsi" w:cstheme="minorHAnsi"/>
          <w:color w:val="000000"/>
          <w:sz w:val="21"/>
          <w:szCs w:val="21"/>
        </w:rPr>
        <w:t>chizophrenia)</w:t>
      </w:r>
    </w:p>
    <w:p w14:paraId="17F530ED" w14:textId="77777777" w:rsidR="00842F35" w:rsidRPr="00617173" w:rsidRDefault="00842F35" w:rsidP="003B614B">
      <w:pPr>
        <w:pStyle w:val="xmsonormal"/>
        <w:numPr>
          <w:ilvl w:val="0"/>
          <w:numId w:val="33"/>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Personality disorders</w:t>
      </w:r>
    </w:p>
    <w:p w14:paraId="3462C4CC" w14:textId="77777777" w:rsidR="00842F35" w:rsidRPr="00617173" w:rsidRDefault="00842F35" w:rsidP="003B614B">
      <w:pPr>
        <w:pStyle w:val="xmsonormal"/>
        <w:numPr>
          <w:ilvl w:val="0"/>
          <w:numId w:val="33"/>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Self-harm</w:t>
      </w:r>
    </w:p>
    <w:p w14:paraId="4C249D23" w14:textId="77777777" w:rsidR="00842F35" w:rsidRPr="00617173" w:rsidRDefault="00842F35" w:rsidP="003B614B">
      <w:pPr>
        <w:pStyle w:val="xmsonormal"/>
        <w:numPr>
          <w:ilvl w:val="0"/>
          <w:numId w:val="33"/>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Suicidal ideation</w:t>
      </w:r>
    </w:p>
    <w:p w14:paraId="33AD33CD" w14:textId="77777777" w:rsidR="00842F35" w:rsidRPr="00617173" w:rsidRDefault="00842F35" w:rsidP="003B614B">
      <w:pPr>
        <w:pStyle w:val="xmsonormal"/>
        <w:numPr>
          <w:ilvl w:val="0"/>
          <w:numId w:val="33"/>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Substance use disorders</w:t>
      </w:r>
    </w:p>
    <w:p w14:paraId="16A906CF" w14:textId="77777777" w:rsidR="00842F35" w:rsidRPr="00617173" w:rsidRDefault="00842F35" w:rsidP="003B614B">
      <w:pPr>
        <w:pStyle w:val="xmsonormal"/>
        <w:numPr>
          <w:ilvl w:val="0"/>
          <w:numId w:val="33"/>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 xml:space="preserve">Other, </w:t>
      </w:r>
      <w:proofErr w:type="gramStart"/>
      <w:r w:rsidRPr="00617173">
        <w:rPr>
          <w:rFonts w:asciiTheme="minorHAnsi" w:eastAsia="Times New Roman" w:hAnsiTheme="minorHAnsi" w:cstheme="minorHAnsi"/>
          <w:color w:val="000000"/>
          <w:sz w:val="21"/>
          <w:szCs w:val="21"/>
        </w:rPr>
        <w:t>specify:_</w:t>
      </w:r>
      <w:proofErr w:type="gramEnd"/>
      <w:r w:rsidRPr="00617173">
        <w:rPr>
          <w:rFonts w:asciiTheme="minorHAnsi" w:eastAsia="Times New Roman" w:hAnsiTheme="minorHAnsi" w:cstheme="minorHAnsi"/>
          <w:color w:val="000000"/>
          <w:sz w:val="21"/>
          <w:szCs w:val="21"/>
        </w:rPr>
        <w:t>__________________</w:t>
      </w:r>
    </w:p>
    <w:p w14:paraId="6D76E3AD" w14:textId="77777777" w:rsidR="00842F35" w:rsidRPr="00617173" w:rsidRDefault="00842F35" w:rsidP="00634B19">
      <w:pPr>
        <w:pStyle w:val="xmsonormal"/>
        <w:numPr>
          <w:ilvl w:val="0"/>
          <w:numId w:val="33"/>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Unsure</w:t>
      </w:r>
    </w:p>
    <w:p w14:paraId="050951B2" w14:textId="77777777" w:rsidR="00842F35" w:rsidRPr="00617173" w:rsidRDefault="00842F35" w:rsidP="006E1230">
      <w:pPr>
        <w:pStyle w:val="xmsonormal"/>
        <w:rPr>
          <w:rFonts w:asciiTheme="minorHAnsi" w:hAnsiTheme="minorHAnsi" w:cstheme="minorHAnsi"/>
          <w:sz w:val="21"/>
          <w:szCs w:val="21"/>
        </w:rPr>
      </w:pPr>
      <w:r w:rsidRPr="00617173">
        <w:rPr>
          <w:rFonts w:asciiTheme="minorHAnsi" w:hAnsiTheme="minorHAnsi" w:cstheme="minorHAnsi"/>
          <w:b/>
          <w:bCs/>
          <w:sz w:val="21"/>
          <w:szCs w:val="21"/>
        </w:rPr>
        <w:t xml:space="preserve">In your experience, do you think digital mental health services are not suitable for any </w:t>
      </w:r>
      <w:proofErr w:type="gramStart"/>
      <w:r w:rsidRPr="00617173">
        <w:rPr>
          <w:rFonts w:asciiTheme="minorHAnsi" w:hAnsiTheme="minorHAnsi" w:cstheme="minorHAnsi"/>
          <w:b/>
          <w:bCs/>
          <w:sz w:val="21"/>
          <w:szCs w:val="21"/>
        </w:rPr>
        <w:t>particular mental</w:t>
      </w:r>
      <w:proofErr w:type="gramEnd"/>
      <w:r w:rsidRPr="00617173">
        <w:rPr>
          <w:rFonts w:asciiTheme="minorHAnsi" w:hAnsiTheme="minorHAnsi" w:cstheme="minorHAnsi"/>
          <w:b/>
          <w:bCs/>
          <w:sz w:val="21"/>
          <w:szCs w:val="21"/>
        </w:rPr>
        <w:t xml:space="preserve"> health problems? Please select all that apply.</w:t>
      </w:r>
    </w:p>
    <w:p w14:paraId="518FD83A" w14:textId="77777777" w:rsidR="00842F35" w:rsidRPr="00617173" w:rsidRDefault="00842F35" w:rsidP="006E1230">
      <w:pPr>
        <w:pStyle w:val="xmsonormal"/>
        <w:ind w:left="720"/>
        <w:rPr>
          <w:rFonts w:asciiTheme="minorHAnsi" w:hAnsiTheme="minorHAnsi" w:cstheme="minorHAnsi"/>
          <w:sz w:val="21"/>
          <w:szCs w:val="21"/>
        </w:rPr>
      </w:pPr>
      <w:r w:rsidRPr="00617173">
        <w:rPr>
          <w:rFonts w:asciiTheme="minorHAnsi" w:hAnsiTheme="minorHAnsi" w:cstheme="minorHAnsi"/>
          <w:b/>
          <w:bCs/>
          <w:sz w:val="21"/>
          <w:szCs w:val="21"/>
        </w:rPr>
        <w:t>Digital mental health services are not suitable for people with:</w:t>
      </w:r>
    </w:p>
    <w:p w14:paraId="16671C9D" w14:textId="77777777" w:rsidR="00842F35" w:rsidRPr="00617173" w:rsidRDefault="00842F35" w:rsidP="003B614B">
      <w:pPr>
        <w:pStyle w:val="xmsonormal"/>
        <w:numPr>
          <w:ilvl w:val="0"/>
          <w:numId w:val="34"/>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Depression</w:t>
      </w:r>
    </w:p>
    <w:p w14:paraId="0CC169F6" w14:textId="77777777" w:rsidR="00842F35" w:rsidRPr="00617173" w:rsidRDefault="00842F35" w:rsidP="003B614B">
      <w:pPr>
        <w:pStyle w:val="xmsonormal"/>
        <w:numPr>
          <w:ilvl w:val="0"/>
          <w:numId w:val="34"/>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Anxiety</w:t>
      </w:r>
    </w:p>
    <w:p w14:paraId="730ABB4F" w14:textId="77777777" w:rsidR="00842F35" w:rsidRPr="00617173" w:rsidRDefault="00842F35" w:rsidP="003B614B">
      <w:pPr>
        <w:pStyle w:val="xmsonormal"/>
        <w:numPr>
          <w:ilvl w:val="0"/>
          <w:numId w:val="34"/>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PTSD</w:t>
      </w:r>
    </w:p>
    <w:p w14:paraId="7DC0C7B2" w14:textId="77777777" w:rsidR="00842F35" w:rsidRPr="00617173" w:rsidRDefault="00842F35" w:rsidP="003B614B">
      <w:pPr>
        <w:pStyle w:val="xmsonormal"/>
        <w:numPr>
          <w:ilvl w:val="0"/>
          <w:numId w:val="34"/>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OCD</w:t>
      </w:r>
    </w:p>
    <w:p w14:paraId="67B9FD8F" w14:textId="77777777" w:rsidR="00842F35" w:rsidRPr="00617173" w:rsidRDefault="00842F35" w:rsidP="003B614B">
      <w:pPr>
        <w:pStyle w:val="xmsonormal"/>
        <w:numPr>
          <w:ilvl w:val="0"/>
          <w:numId w:val="34"/>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Eating disorders</w:t>
      </w:r>
    </w:p>
    <w:p w14:paraId="65414791" w14:textId="77777777" w:rsidR="00842F35" w:rsidRPr="00617173" w:rsidRDefault="00842F35" w:rsidP="003B614B">
      <w:pPr>
        <w:pStyle w:val="xmsonormal"/>
        <w:numPr>
          <w:ilvl w:val="0"/>
          <w:numId w:val="34"/>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Bipolar disorders</w:t>
      </w:r>
    </w:p>
    <w:p w14:paraId="14635FBE" w14:textId="7A8EA674" w:rsidR="00842F35" w:rsidRPr="00617173" w:rsidRDefault="00842F35" w:rsidP="003B614B">
      <w:pPr>
        <w:pStyle w:val="xmsonormal"/>
        <w:numPr>
          <w:ilvl w:val="0"/>
          <w:numId w:val="34"/>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Psychotic disorders (e.g.,</w:t>
      </w:r>
      <w:r w:rsidR="00346912" w:rsidRPr="00617173">
        <w:rPr>
          <w:rFonts w:asciiTheme="minorHAnsi" w:eastAsia="Times New Roman" w:hAnsiTheme="minorHAnsi" w:cstheme="minorHAnsi"/>
          <w:color w:val="000000"/>
          <w:sz w:val="21"/>
          <w:szCs w:val="21"/>
        </w:rPr>
        <w:t xml:space="preserve"> </w:t>
      </w:r>
      <w:r w:rsidRPr="00617173">
        <w:rPr>
          <w:rFonts w:asciiTheme="minorHAnsi" w:eastAsia="Times New Roman" w:hAnsiTheme="minorHAnsi" w:cstheme="minorHAnsi"/>
          <w:color w:val="000000"/>
          <w:sz w:val="21"/>
          <w:szCs w:val="21"/>
        </w:rPr>
        <w:t>Schizophrenia)</w:t>
      </w:r>
    </w:p>
    <w:p w14:paraId="435CBC3D" w14:textId="77777777" w:rsidR="00842F35" w:rsidRPr="00617173" w:rsidRDefault="00842F35" w:rsidP="003B614B">
      <w:pPr>
        <w:pStyle w:val="xmsonormal"/>
        <w:numPr>
          <w:ilvl w:val="0"/>
          <w:numId w:val="34"/>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Personality disorders</w:t>
      </w:r>
    </w:p>
    <w:p w14:paraId="57AE3D2F" w14:textId="77777777" w:rsidR="00842F35" w:rsidRPr="00617173" w:rsidRDefault="00842F35" w:rsidP="003B614B">
      <w:pPr>
        <w:pStyle w:val="xmsonormal"/>
        <w:numPr>
          <w:ilvl w:val="0"/>
          <w:numId w:val="34"/>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Self-harm</w:t>
      </w:r>
    </w:p>
    <w:p w14:paraId="526E29C9" w14:textId="77777777" w:rsidR="00842F35" w:rsidRPr="00617173" w:rsidRDefault="00842F35" w:rsidP="003B614B">
      <w:pPr>
        <w:pStyle w:val="xmsonormal"/>
        <w:numPr>
          <w:ilvl w:val="0"/>
          <w:numId w:val="34"/>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Suicidal ideation</w:t>
      </w:r>
    </w:p>
    <w:p w14:paraId="6745EB91" w14:textId="77777777" w:rsidR="00842F35" w:rsidRPr="00617173" w:rsidRDefault="00842F35" w:rsidP="003B614B">
      <w:pPr>
        <w:pStyle w:val="xmsonormal"/>
        <w:numPr>
          <w:ilvl w:val="0"/>
          <w:numId w:val="34"/>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Substance use disorders</w:t>
      </w:r>
    </w:p>
    <w:p w14:paraId="006B1AEE" w14:textId="77777777" w:rsidR="00842F35" w:rsidRPr="00617173" w:rsidRDefault="00842F35" w:rsidP="003B614B">
      <w:pPr>
        <w:pStyle w:val="xmsonormal"/>
        <w:numPr>
          <w:ilvl w:val="0"/>
          <w:numId w:val="34"/>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 xml:space="preserve">Other, </w:t>
      </w:r>
      <w:proofErr w:type="gramStart"/>
      <w:r w:rsidRPr="00617173">
        <w:rPr>
          <w:rFonts w:asciiTheme="minorHAnsi" w:eastAsia="Times New Roman" w:hAnsiTheme="minorHAnsi" w:cstheme="minorHAnsi"/>
          <w:color w:val="000000"/>
          <w:sz w:val="21"/>
          <w:szCs w:val="21"/>
        </w:rPr>
        <w:t>specify:_</w:t>
      </w:r>
      <w:proofErr w:type="gramEnd"/>
      <w:r w:rsidRPr="00617173">
        <w:rPr>
          <w:rFonts w:asciiTheme="minorHAnsi" w:eastAsia="Times New Roman" w:hAnsiTheme="minorHAnsi" w:cstheme="minorHAnsi"/>
          <w:color w:val="000000"/>
          <w:sz w:val="21"/>
          <w:szCs w:val="21"/>
        </w:rPr>
        <w:t>__________________</w:t>
      </w:r>
    </w:p>
    <w:p w14:paraId="77BFC600" w14:textId="7BA608B5" w:rsidR="00842F35" w:rsidRPr="00584FB8" w:rsidRDefault="00842F35" w:rsidP="00584FB8">
      <w:pPr>
        <w:pStyle w:val="xmsonormal"/>
        <w:numPr>
          <w:ilvl w:val="0"/>
          <w:numId w:val="34"/>
        </w:numPr>
        <w:ind w:left="720"/>
        <w:rPr>
          <w:rFonts w:asciiTheme="minorHAnsi" w:eastAsia="Times New Roman" w:hAnsiTheme="minorHAnsi" w:cstheme="minorHAnsi"/>
          <w:color w:val="000000"/>
          <w:sz w:val="21"/>
          <w:szCs w:val="21"/>
        </w:rPr>
      </w:pPr>
      <w:r w:rsidRPr="00617173">
        <w:rPr>
          <w:rFonts w:asciiTheme="minorHAnsi" w:eastAsia="Times New Roman" w:hAnsiTheme="minorHAnsi" w:cstheme="minorHAnsi"/>
          <w:color w:val="000000"/>
          <w:sz w:val="21"/>
          <w:szCs w:val="21"/>
        </w:rPr>
        <w:t>Unsure</w:t>
      </w:r>
    </w:p>
    <w:p w14:paraId="3252F9BE" w14:textId="6A933195" w:rsidR="00842F35" w:rsidRPr="00D54EB4" w:rsidRDefault="00842F35" w:rsidP="00842F35">
      <w:pPr>
        <w:pStyle w:val="xmsonormal"/>
        <w:rPr>
          <w:rFonts w:asciiTheme="minorHAnsi" w:hAnsiTheme="minorHAnsi" w:cstheme="minorHAnsi"/>
          <w:b/>
          <w:bCs/>
          <w:sz w:val="21"/>
          <w:szCs w:val="21"/>
        </w:rPr>
      </w:pPr>
      <w:r w:rsidRPr="00617173">
        <w:rPr>
          <w:rFonts w:asciiTheme="minorHAnsi" w:hAnsiTheme="minorHAnsi" w:cstheme="minorHAnsi"/>
          <w:b/>
          <w:bCs/>
          <w:color w:val="000000"/>
          <w:sz w:val="21"/>
          <w:szCs w:val="21"/>
        </w:rPr>
        <w:t xml:space="preserve">Are there any consumer groups </w:t>
      </w:r>
      <w:r w:rsidRPr="00617173">
        <w:rPr>
          <w:rFonts w:asciiTheme="minorHAnsi" w:hAnsiTheme="minorHAnsi" w:cstheme="minorHAnsi"/>
          <w:b/>
          <w:bCs/>
          <w:sz w:val="21"/>
          <w:szCs w:val="21"/>
        </w:rPr>
        <w:t xml:space="preserve">who </w:t>
      </w:r>
      <w:r w:rsidRPr="00617173">
        <w:rPr>
          <w:rFonts w:asciiTheme="minorHAnsi" w:hAnsiTheme="minorHAnsi" w:cstheme="minorHAnsi"/>
          <w:b/>
          <w:bCs/>
          <w:color w:val="000000"/>
          <w:sz w:val="21"/>
          <w:szCs w:val="21"/>
        </w:rPr>
        <w:t xml:space="preserve">would benefit from digital mental health services but </w:t>
      </w:r>
      <w:r w:rsidRPr="00617173">
        <w:rPr>
          <w:rFonts w:asciiTheme="minorHAnsi" w:hAnsiTheme="minorHAnsi" w:cstheme="minorHAnsi"/>
          <w:b/>
          <w:bCs/>
          <w:sz w:val="21"/>
          <w:szCs w:val="21"/>
        </w:rPr>
        <w:t xml:space="preserve">for whom </w:t>
      </w:r>
      <w:r w:rsidRPr="00617173">
        <w:rPr>
          <w:rFonts w:asciiTheme="minorHAnsi" w:hAnsiTheme="minorHAnsi" w:cstheme="minorHAnsi"/>
          <w:b/>
          <w:bCs/>
          <w:color w:val="000000"/>
          <w:sz w:val="21"/>
          <w:szCs w:val="21"/>
        </w:rPr>
        <w:t>programs have not yet been tailored?</w:t>
      </w:r>
    </w:p>
    <w:p w14:paraId="3443BD26" w14:textId="77777777" w:rsidR="00842F35" w:rsidRPr="00617173" w:rsidRDefault="00842F35" w:rsidP="003B614B">
      <w:pPr>
        <w:pStyle w:val="xmsonormal"/>
        <w:numPr>
          <w:ilvl w:val="0"/>
          <w:numId w:val="35"/>
        </w:numPr>
        <w:snapToGrid w:val="0"/>
        <w:rPr>
          <w:rFonts w:asciiTheme="minorHAnsi" w:hAnsiTheme="minorHAnsi" w:cstheme="minorHAnsi"/>
          <w:sz w:val="21"/>
          <w:szCs w:val="21"/>
        </w:rPr>
      </w:pPr>
      <w:r w:rsidRPr="00617173">
        <w:rPr>
          <w:rFonts w:asciiTheme="minorHAnsi" w:hAnsiTheme="minorHAnsi" w:cstheme="minorHAnsi"/>
          <w:sz w:val="21"/>
          <w:szCs w:val="21"/>
        </w:rPr>
        <w:t>Yes</w:t>
      </w:r>
    </w:p>
    <w:p w14:paraId="3F287C07" w14:textId="770FC9D7" w:rsidR="00842F35" w:rsidRPr="00046AA3" w:rsidRDefault="00842F35" w:rsidP="003B614B">
      <w:pPr>
        <w:pStyle w:val="xmsonormal"/>
        <w:numPr>
          <w:ilvl w:val="0"/>
          <w:numId w:val="35"/>
        </w:numPr>
        <w:snapToGrid w:val="0"/>
        <w:rPr>
          <w:rFonts w:asciiTheme="minorHAnsi" w:hAnsiTheme="minorHAnsi" w:cstheme="minorHAnsi"/>
          <w:sz w:val="21"/>
          <w:szCs w:val="21"/>
        </w:rPr>
      </w:pPr>
      <w:r w:rsidRPr="00617173">
        <w:rPr>
          <w:rFonts w:asciiTheme="minorHAnsi" w:hAnsiTheme="minorHAnsi" w:cstheme="minorHAnsi"/>
          <w:sz w:val="21"/>
          <w:szCs w:val="21"/>
        </w:rPr>
        <w:t>No</w:t>
      </w:r>
    </w:p>
    <w:p w14:paraId="7F5C175B" w14:textId="1AE81412" w:rsidR="00842F35" w:rsidRPr="00D54EB4" w:rsidRDefault="00842F35" w:rsidP="003B614B">
      <w:pPr>
        <w:pStyle w:val="xmsonormal"/>
        <w:snapToGrid w:val="0"/>
        <w:ind w:left="1080"/>
        <w:rPr>
          <w:rFonts w:asciiTheme="minorHAnsi" w:hAnsiTheme="minorHAnsi" w:cstheme="minorHAnsi"/>
          <w:b/>
          <w:bCs/>
          <w:sz w:val="21"/>
          <w:szCs w:val="21"/>
        </w:rPr>
      </w:pPr>
      <w:r w:rsidRPr="00617173">
        <w:rPr>
          <w:rFonts w:asciiTheme="minorHAnsi" w:hAnsiTheme="minorHAnsi" w:cstheme="minorHAnsi"/>
          <w:b/>
          <w:bCs/>
          <w:sz w:val="21"/>
          <w:szCs w:val="21"/>
        </w:rPr>
        <w:t>If yes, please specify who these consumer groups are:</w:t>
      </w:r>
    </w:p>
    <w:p w14:paraId="0AF8E8FC" w14:textId="77777777" w:rsidR="00842F35" w:rsidRPr="00617173" w:rsidRDefault="00842F35" w:rsidP="003B614B">
      <w:pPr>
        <w:pStyle w:val="xmsonormal"/>
        <w:numPr>
          <w:ilvl w:val="0"/>
          <w:numId w:val="36"/>
        </w:numPr>
        <w:snapToGrid w:val="0"/>
        <w:ind w:left="1800"/>
        <w:rPr>
          <w:rFonts w:asciiTheme="minorHAnsi" w:hAnsiTheme="minorHAnsi" w:cstheme="minorHAnsi"/>
          <w:sz w:val="21"/>
          <w:szCs w:val="21"/>
        </w:rPr>
      </w:pPr>
      <w:r w:rsidRPr="00617173">
        <w:rPr>
          <w:rFonts w:asciiTheme="minorHAnsi" w:hAnsiTheme="minorHAnsi" w:cstheme="minorHAnsi"/>
          <w:color w:val="000000"/>
          <w:sz w:val="21"/>
          <w:szCs w:val="21"/>
        </w:rPr>
        <w:t>Aboriginal and</w:t>
      </w:r>
      <w:r w:rsidRPr="00617173">
        <w:rPr>
          <w:rFonts w:asciiTheme="minorHAnsi" w:hAnsiTheme="minorHAnsi" w:cstheme="minorHAnsi"/>
          <w:sz w:val="21"/>
          <w:szCs w:val="21"/>
        </w:rPr>
        <w:t>/or</w:t>
      </w:r>
      <w:r w:rsidRPr="00617173">
        <w:rPr>
          <w:rFonts w:asciiTheme="minorHAnsi" w:hAnsiTheme="minorHAnsi" w:cstheme="minorHAnsi"/>
          <w:color w:val="000000"/>
          <w:sz w:val="21"/>
          <w:szCs w:val="21"/>
        </w:rPr>
        <w:t xml:space="preserve"> Torres Strait Islander</w:t>
      </w:r>
      <w:r w:rsidRPr="00617173">
        <w:rPr>
          <w:rFonts w:asciiTheme="minorHAnsi" w:hAnsiTheme="minorHAnsi" w:cstheme="minorHAnsi"/>
          <w:sz w:val="21"/>
          <w:szCs w:val="21"/>
        </w:rPr>
        <w:t xml:space="preserve"> peoples</w:t>
      </w:r>
    </w:p>
    <w:p w14:paraId="0A0EC6D2" w14:textId="77777777" w:rsidR="00842F35" w:rsidRPr="00617173" w:rsidRDefault="00842F35" w:rsidP="003B614B">
      <w:pPr>
        <w:pStyle w:val="xmsonormal"/>
        <w:numPr>
          <w:ilvl w:val="0"/>
          <w:numId w:val="36"/>
        </w:numPr>
        <w:snapToGrid w:val="0"/>
        <w:ind w:left="1800"/>
        <w:rPr>
          <w:rFonts w:asciiTheme="minorHAnsi" w:hAnsiTheme="minorHAnsi" w:cstheme="minorHAnsi"/>
          <w:sz w:val="21"/>
          <w:szCs w:val="21"/>
        </w:rPr>
      </w:pPr>
      <w:r w:rsidRPr="00617173">
        <w:rPr>
          <w:rFonts w:asciiTheme="minorHAnsi" w:hAnsiTheme="minorHAnsi" w:cstheme="minorHAnsi"/>
          <w:sz w:val="21"/>
          <w:szCs w:val="21"/>
        </w:rPr>
        <w:t>People who are from c</w:t>
      </w:r>
      <w:r w:rsidRPr="00617173">
        <w:rPr>
          <w:rFonts w:asciiTheme="minorHAnsi" w:hAnsiTheme="minorHAnsi" w:cstheme="minorHAnsi"/>
          <w:color w:val="000000"/>
          <w:sz w:val="21"/>
          <w:szCs w:val="21"/>
        </w:rPr>
        <w:t>ulturally and linguistically diverse</w:t>
      </w:r>
      <w:r w:rsidRPr="00617173">
        <w:rPr>
          <w:rFonts w:asciiTheme="minorHAnsi" w:hAnsiTheme="minorHAnsi" w:cstheme="minorHAnsi"/>
          <w:sz w:val="21"/>
          <w:szCs w:val="21"/>
        </w:rPr>
        <w:t xml:space="preserve"> backgrounds or whose </w:t>
      </w:r>
      <w:r w:rsidRPr="00617173">
        <w:rPr>
          <w:rFonts w:asciiTheme="minorHAnsi" w:hAnsiTheme="minorHAnsi" w:cstheme="minorHAnsi"/>
          <w:color w:val="000000"/>
          <w:sz w:val="21"/>
          <w:szCs w:val="21"/>
        </w:rPr>
        <w:t>main language spoken at home is not English</w:t>
      </w:r>
    </w:p>
    <w:p w14:paraId="73EE0D66" w14:textId="77777777" w:rsidR="00842F35" w:rsidRPr="00617173" w:rsidRDefault="00842F35" w:rsidP="003B614B">
      <w:pPr>
        <w:pStyle w:val="xmsonormal"/>
        <w:numPr>
          <w:ilvl w:val="0"/>
          <w:numId w:val="36"/>
        </w:numPr>
        <w:snapToGrid w:val="0"/>
        <w:ind w:left="1800"/>
        <w:rPr>
          <w:rFonts w:asciiTheme="minorHAnsi" w:hAnsiTheme="minorHAnsi" w:cstheme="minorHAnsi"/>
          <w:sz w:val="21"/>
          <w:szCs w:val="21"/>
        </w:rPr>
      </w:pPr>
      <w:r w:rsidRPr="00617173">
        <w:rPr>
          <w:rFonts w:asciiTheme="minorHAnsi" w:hAnsiTheme="minorHAnsi" w:cstheme="minorHAnsi"/>
          <w:sz w:val="21"/>
          <w:szCs w:val="21"/>
        </w:rPr>
        <w:t>People l</w:t>
      </w:r>
      <w:r w:rsidRPr="00617173">
        <w:rPr>
          <w:rFonts w:asciiTheme="minorHAnsi" w:hAnsiTheme="minorHAnsi" w:cstheme="minorHAnsi"/>
          <w:color w:val="000000"/>
          <w:sz w:val="21"/>
          <w:szCs w:val="21"/>
        </w:rPr>
        <w:t>iving in a rural or remote location</w:t>
      </w:r>
    </w:p>
    <w:p w14:paraId="0E84FB38" w14:textId="77777777" w:rsidR="00842F35" w:rsidRPr="00617173" w:rsidRDefault="00842F35" w:rsidP="003B614B">
      <w:pPr>
        <w:pStyle w:val="xmsonormal"/>
        <w:numPr>
          <w:ilvl w:val="0"/>
          <w:numId w:val="36"/>
        </w:numPr>
        <w:snapToGrid w:val="0"/>
        <w:ind w:left="1800"/>
        <w:rPr>
          <w:rFonts w:asciiTheme="minorHAnsi" w:hAnsiTheme="minorHAnsi" w:cstheme="minorHAnsi"/>
          <w:sz w:val="21"/>
          <w:szCs w:val="21"/>
        </w:rPr>
      </w:pPr>
      <w:r w:rsidRPr="00617173">
        <w:rPr>
          <w:rFonts w:asciiTheme="minorHAnsi" w:hAnsiTheme="minorHAnsi" w:cstheme="minorHAnsi"/>
          <w:sz w:val="21"/>
          <w:szCs w:val="21"/>
        </w:rPr>
        <w:t xml:space="preserve">People who identify as </w:t>
      </w:r>
      <w:r w:rsidRPr="00617173">
        <w:rPr>
          <w:rFonts w:asciiTheme="minorHAnsi" w:hAnsiTheme="minorHAnsi" w:cstheme="minorHAnsi"/>
          <w:color w:val="000000"/>
          <w:sz w:val="21"/>
          <w:szCs w:val="21"/>
        </w:rPr>
        <w:t>LGBTQIA+</w:t>
      </w:r>
    </w:p>
    <w:p w14:paraId="6A540AD7" w14:textId="7FDDE4E0" w:rsidR="00842F35" w:rsidRPr="00584FB8" w:rsidRDefault="00842F35" w:rsidP="00584FB8">
      <w:pPr>
        <w:pStyle w:val="xmsonormal"/>
        <w:numPr>
          <w:ilvl w:val="0"/>
          <w:numId w:val="36"/>
        </w:numPr>
        <w:ind w:left="1800"/>
        <w:rPr>
          <w:rFonts w:asciiTheme="minorHAnsi" w:hAnsiTheme="minorHAnsi" w:cstheme="minorHAnsi"/>
          <w:sz w:val="21"/>
          <w:szCs w:val="21"/>
        </w:rPr>
      </w:pPr>
      <w:r w:rsidRPr="00617173">
        <w:rPr>
          <w:rFonts w:asciiTheme="minorHAnsi" w:hAnsiTheme="minorHAnsi" w:cstheme="minorHAnsi"/>
          <w:color w:val="000000"/>
          <w:sz w:val="21"/>
          <w:szCs w:val="21"/>
        </w:rPr>
        <w:t>Other, please specify _____________</w:t>
      </w:r>
    </w:p>
    <w:p w14:paraId="2C50F019" w14:textId="10D2806D" w:rsidR="00842F35" w:rsidRPr="00046AA3" w:rsidRDefault="00842F35" w:rsidP="00046AA3">
      <w:pPr>
        <w:pStyle w:val="xmsonormal"/>
        <w:ind w:left="1440"/>
        <w:rPr>
          <w:rFonts w:asciiTheme="minorHAnsi" w:hAnsiTheme="minorHAnsi" w:cstheme="minorHAnsi"/>
          <w:b/>
          <w:bCs/>
          <w:sz w:val="21"/>
          <w:szCs w:val="21"/>
        </w:rPr>
      </w:pPr>
      <w:r w:rsidRPr="00617173">
        <w:rPr>
          <w:rFonts w:asciiTheme="minorHAnsi" w:hAnsiTheme="minorHAnsi" w:cstheme="minorHAnsi"/>
          <w:b/>
          <w:bCs/>
          <w:color w:val="000000"/>
          <w:sz w:val="21"/>
          <w:szCs w:val="21"/>
        </w:rPr>
        <w:t xml:space="preserve">Please describe the modifications needed for </w:t>
      </w:r>
      <w:r w:rsidRPr="00617173">
        <w:rPr>
          <w:rFonts w:asciiTheme="minorHAnsi" w:hAnsiTheme="minorHAnsi" w:cstheme="minorHAnsi"/>
          <w:b/>
          <w:bCs/>
          <w:sz w:val="21"/>
          <w:szCs w:val="21"/>
        </w:rPr>
        <w:t>each</w:t>
      </w:r>
      <w:r w:rsidRPr="00617173">
        <w:rPr>
          <w:rFonts w:asciiTheme="minorHAnsi" w:hAnsiTheme="minorHAnsi" w:cstheme="minorHAnsi"/>
          <w:b/>
          <w:bCs/>
          <w:color w:val="000000"/>
          <w:sz w:val="21"/>
          <w:szCs w:val="21"/>
        </w:rPr>
        <w:t xml:space="preserve"> group you’ve selected</w:t>
      </w:r>
      <w:r w:rsidR="0060225A">
        <w:rPr>
          <w:rFonts w:asciiTheme="minorHAnsi" w:hAnsiTheme="minorHAnsi" w:cstheme="minorHAnsi"/>
          <w:b/>
          <w:bCs/>
          <w:color w:val="000000"/>
          <w:sz w:val="21"/>
          <w:szCs w:val="21"/>
        </w:rPr>
        <w:t>.</w:t>
      </w:r>
    </w:p>
    <w:p w14:paraId="71F274DB" w14:textId="77777777" w:rsidR="00437B7E" w:rsidRDefault="00437B7E" w:rsidP="00584FB8">
      <w:pPr>
        <w:rPr>
          <w:rFonts w:asciiTheme="minorHAnsi" w:eastAsiaTheme="minorEastAsia" w:hAnsiTheme="minorHAnsi" w:cstheme="minorHAnsi"/>
          <w:b/>
          <w:bCs/>
          <w:color w:val="000000" w:themeColor="text1"/>
          <w:sz w:val="21"/>
          <w:szCs w:val="21"/>
        </w:rPr>
      </w:pPr>
      <w:r>
        <w:rPr>
          <w:rFonts w:asciiTheme="minorHAnsi" w:eastAsiaTheme="minorEastAsia" w:hAnsiTheme="minorHAnsi" w:cstheme="minorHAnsi"/>
          <w:b/>
          <w:bCs/>
          <w:color w:val="000000" w:themeColor="text1"/>
          <w:sz w:val="21"/>
          <w:szCs w:val="21"/>
        </w:rPr>
        <w:br w:type="page"/>
      </w:r>
    </w:p>
    <w:p w14:paraId="697E2BDB" w14:textId="3EDE51BC" w:rsidR="00842F35" w:rsidRPr="00617173" w:rsidRDefault="00842F35" w:rsidP="00584FB8">
      <w:pPr>
        <w:rPr>
          <w:rFonts w:asciiTheme="minorHAnsi" w:eastAsiaTheme="minorEastAsia" w:hAnsiTheme="minorHAnsi" w:cstheme="minorHAnsi"/>
          <w:b/>
          <w:bCs/>
          <w:color w:val="000000" w:themeColor="text1"/>
          <w:sz w:val="21"/>
          <w:szCs w:val="21"/>
        </w:rPr>
      </w:pPr>
      <w:r w:rsidRPr="00617173">
        <w:rPr>
          <w:rFonts w:asciiTheme="minorHAnsi" w:eastAsiaTheme="minorEastAsia" w:hAnsiTheme="minorHAnsi" w:cstheme="minorHAnsi"/>
          <w:b/>
          <w:bCs/>
          <w:color w:val="000000" w:themeColor="text1"/>
          <w:sz w:val="21"/>
          <w:szCs w:val="21"/>
        </w:rPr>
        <w:lastRenderedPageBreak/>
        <w:t>What are the barriers to the use of digital mental health services?</w:t>
      </w:r>
    </w:p>
    <w:p w14:paraId="5686FBCE" w14:textId="69F61791" w:rsidR="00842F35" w:rsidRPr="00617173" w:rsidRDefault="00842F35" w:rsidP="00156686">
      <w:pPr>
        <w:rPr>
          <w:rFonts w:asciiTheme="minorHAnsi" w:eastAsiaTheme="minorEastAsia" w:hAnsiTheme="minorHAnsi" w:cstheme="minorHAnsi"/>
          <w:b/>
          <w:bCs/>
          <w:color w:val="000000" w:themeColor="text1"/>
          <w:sz w:val="21"/>
          <w:szCs w:val="21"/>
        </w:rPr>
      </w:pPr>
      <w:r w:rsidRPr="00617173">
        <w:rPr>
          <w:rFonts w:asciiTheme="minorHAnsi" w:eastAsiaTheme="minorEastAsia" w:hAnsiTheme="minorHAnsi" w:cstheme="minorHAnsi"/>
          <w:b/>
          <w:bCs/>
          <w:color w:val="000000" w:themeColor="text1"/>
          <w:sz w:val="21"/>
          <w:szCs w:val="21"/>
        </w:rPr>
        <w:t>What changes are needed to improve the use of digital mental health services?</w:t>
      </w:r>
    </w:p>
    <w:p w14:paraId="53FEA561" w14:textId="1413D7A1" w:rsidR="00842F35" w:rsidRPr="00617173" w:rsidRDefault="00842F35" w:rsidP="00584FB8">
      <w:pPr>
        <w:rPr>
          <w:rFonts w:asciiTheme="minorHAnsi" w:eastAsiaTheme="minorEastAsia" w:hAnsiTheme="minorHAnsi" w:cstheme="minorHAnsi"/>
          <w:b/>
          <w:bCs/>
          <w:color w:val="000000" w:themeColor="text1"/>
          <w:sz w:val="21"/>
          <w:szCs w:val="21"/>
        </w:rPr>
      </w:pPr>
      <w:r w:rsidRPr="00617173">
        <w:rPr>
          <w:rFonts w:asciiTheme="minorHAnsi" w:eastAsiaTheme="minorEastAsia" w:hAnsiTheme="minorHAnsi" w:cstheme="minorHAnsi"/>
          <w:b/>
          <w:bCs/>
          <w:color w:val="000000" w:themeColor="text1"/>
          <w:sz w:val="21"/>
          <w:szCs w:val="21"/>
        </w:rPr>
        <w:t>How can digital mental health services be better integrated within the mental health system?</w:t>
      </w:r>
    </w:p>
    <w:p w14:paraId="6B1B6934" w14:textId="77777777" w:rsidR="00842F35" w:rsidRPr="00617173" w:rsidRDefault="00842F35" w:rsidP="00156686">
      <w:pPr>
        <w:rPr>
          <w:rFonts w:asciiTheme="minorHAnsi" w:eastAsiaTheme="minorEastAsia" w:hAnsiTheme="minorHAnsi" w:cstheme="minorHAnsi"/>
          <w:b/>
          <w:bCs/>
          <w:color w:val="000000" w:themeColor="text1"/>
          <w:sz w:val="21"/>
          <w:szCs w:val="21"/>
        </w:rPr>
      </w:pPr>
      <w:r w:rsidRPr="00617173">
        <w:rPr>
          <w:rFonts w:asciiTheme="minorHAnsi" w:eastAsiaTheme="minorEastAsia" w:hAnsiTheme="minorHAnsi" w:cstheme="minorHAnsi"/>
          <w:b/>
          <w:bCs/>
          <w:color w:val="000000" w:themeColor="text1"/>
          <w:sz w:val="21"/>
          <w:szCs w:val="21"/>
        </w:rPr>
        <w:t>Provide other comments, if you have any, about digital mental health services.</w:t>
      </w:r>
    </w:p>
    <w:p w14:paraId="73DF9C72" w14:textId="77777777" w:rsidR="0098177E" w:rsidRDefault="0098177E">
      <w:pPr>
        <w:rPr>
          <w:rFonts w:asciiTheme="minorHAnsi" w:eastAsiaTheme="majorEastAsia" w:hAnsiTheme="minorHAnsi" w:cstheme="minorBidi"/>
          <w:b/>
          <w:color w:val="2F5496" w:themeColor="accent1" w:themeShade="BF"/>
          <w:sz w:val="40"/>
          <w:szCs w:val="40"/>
        </w:rPr>
      </w:pPr>
      <w:r>
        <w:br w:type="page"/>
      </w:r>
    </w:p>
    <w:p w14:paraId="6B71DA44" w14:textId="09E1F59D" w:rsidR="00AF37BB" w:rsidRDefault="000021AB" w:rsidP="00BB3E05">
      <w:pPr>
        <w:pStyle w:val="Heading1"/>
      </w:pPr>
      <w:bookmarkStart w:id="342" w:name="_Toc108784935"/>
      <w:r>
        <w:lastRenderedPageBreak/>
        <w:t xml:space="preserve">Appendix </w:t>
      </w:r>
      <w:r w:rsidR="00803637">
        <w:t>K</w:t>
      </w:r>
      <w:r>
        <w:t xml:space="preserve">: </w:t>
      </w:r>
      <w:r w:rsidR="0098177E">
        <w:t>Other key stakeholder interview/survey questions</w:t>
      </w:r>
      <w:bookmarkEnd w:id="342"/>
    </w:p>
    <w:p w14:paraId="519FEAD6" w14:textId="0943690D" w:rsidR="00CB11DB" w:rsidRPr="00CB11DB" w:rsidRDefault="00CB11DB" w:rsidP="00AF6D50">
      <w:pPr>
        <w:spacing w:after="120"/>
        <w:rPr>
          <w:rFonts w:asciiTheme="minorHAnsi" w:hAnsiTheme="minorHAnsi" w:cstheme="minorHAnsi"/>
          <w:color w:val="000000"/>
          <w:sz w:val="21"/>
          <w:szCs w:val="21"/>
          <w:lang w:eastAsia="zh-CN"/>
        </w:rPr>
      </w:pPr>
      <w:r w:rsidRPr="00CB11DB">
        <w:rPr>
          <w:rFonts w:asciiTheme="minorHAnsi" w:hAnsiTheme="minorHAnsi" w:cstheme="minorHAnsi"/>
          <w:color w:val="000000"/>
          <w:sz w:val="21"/>
          <w:szCs w:val="21"/>
          <w:lang w:eastAsia="zh-CN"/>
        </w:rPr>
        <w:t xml:space="preserve">Participants were asked 35 questions in the survey/interview </w:t>
      </w:r>
      <w:r w:rsidRPr="00CB11DB">
        <w:rPr>
          <w:rFonts w:asciiTheme="minorHAnsi" w:hAnsiTheme="minorHAnsi" w:cstheme="minorHAnsi"/>
          <w:color w:val="000000" w:themeColor="text1"/>
          <w:sz w:val="21"/>
          <w:szCs w:val="21"/>
          <w:lang w:eastAsia="zh-CN"/>
        </w:rPr>
        <w:t xml:space="preserve">– 3 relating to the organisation being represented, 17 relating to the supported DMHS evaluation, 10 relating to the Head to Health evaluation and 5 demographic questions. The 20 questions relating to the organisation and supported DMHS evaluation are listed here. </w:t>
      </w:r>
      <w:r w:rsidRPr="00CB11DB">
        <w:rPr>
          <w:rFonts w:asciiTheme="minorHAnsi" w:hAnsiTheme="minorHAnsi" w:cstheme="minorHAnsi"/>
          <w:color w:val="000000"/>
          <w:sz w:val="21"/>
          <w:szCs w:val="21"/>
          <w:lang w:eastAsia="zh-CN"/>
        </w:rPr>
        <w:t>All questions were optional and were mostly short answer questions, with a few multiple-choice questions.</w:t>
      </w:r>
    </w:p>
    <w:p w14:paraId="7F00F6A5" w14:textId="77777777" w:rsidR="00CB11DB" w:rsidRPr="00CB11DB" w:rsidRDefault="00CB11DB">
      <w:pPr>
        <w:numPr>
          <w:ilvl w:val="0"/>
          <w:numId w:val="154"/>
        </w:numPr>
        <w:spacing w:line="259" w:lineRule="auto"/>
        <w:ind w:left="426" w:hanging="426"/>
        <w:contextualSpacing/>
        <w:rPr>
          <w:rFonts w:asciiTheme="minorHAnsi" w:eastAsia="MS Mincho" w:hAnsiTheme="minorHAnsi" w:cstheme="minorHAnsi"/>
          <w:bCs/>
          <w:sz w:val="21"/>
          <w:szCs w:val="21"/>
          <w:lang w:eastAsia="zh-CN"/>
        </w:rPr>
      </w:pPr>
      <w:r w:rsidRPr="00CB11DB">
        <w:rPr>
          <w:rFonts w:asciiTheme="minorHAnsi" w:eastAsia="MS Mincho" w:hAnsiTheme="minorHAnsi" w:cstheme="minorHAnsi"/>
          <w:bCs/>
          <w:sz w:val="21"/>
          <w:szCs w:val="21"/>
          <w:lang w:eastAsia="zh-CN"/>
        </w:rPr>
        <w:t>What is the name of organisation(s) you are representing?</w:t>
      </w:r>
    </w:p>
    <w:p w14:paraId="63030F27" w14:textId="77777777" w:rsidR="00CB11DB" w:rsidRPr="00CB11DB" w:rsidRDefault="00CB11DB">
      <w:pPr>
        <w:numPr>
          <w:ilvl w:val="0"/>
          <w:numId w:val="154"/>
        </w:numPr>
        <w:spacing w:line="259" w:lineRule="auto"/>
        <w:ind w:left="426" w:hanging="426"/>
        <w:contextualSpacing/>
        <w:rPr>
          <w:rFonts w:asciiTheme="minorHAnsi" w:eastAsia="MS Mincho" w:hAnsiTheme="minorHAnsi" w:cstheme="minorHAnsi"/>
          <w:bCs/>
          <w:sz w:val="21"/>
          <w:szCs w:val="21"/>
          <w:lang w:eastAsia="zh-CN"/>
        </w:rPr>
      </w:pPr>
      <w:r w:rsidRPr="00CB11DB">
        <w:rPr>
          <w:rFonts w:asciiTheme="minorHAnsi" w:eastAsia="MS Mincho" w:hAnsiTheme="minorHAnsi" w:cstheme="minorHAnsi"/>
          <w:bCs/>
          <w:sz w:val="21"/>
          <w:szCs w:val="21"/>
          <w:lang w:eastAsia="zh-CN"/>
        </w:rPr>
        <w:t xml:space="preserve">What is your job/position title?  </w:t>
      </w:r>
    </w:p>
    <w:p w14:paraId="076924B6" w14:textId="77777777" w:rsidR="00CB11DB" w:rsidRPr="00CB11DB" w:rsidRDefault="00CB11DB">
      <w:pPr>
        <w:numPr>
          <w:ilvl w:val="0"/>
          <w:numId w:val="154"/>
        </w:numPr>
        <w:spacing w:line="259" w:lineRule="auto"/>
        <w:ind w:left="426" w:hanging="426"/>
        <w:contextualSpacing/>
        <w:rPr>
          <w:rFonts w:asciiTheme="minorHAnsi" w:eastAsia="MS Mincho" w:hAnsiTheme="minorHAnsi" w:cstheme="minorHAnsi"/>
          <w:bCs/>
          <w:sz w:val="21"/>
          <w:szCs w:val="21"/>
          <w:lang w:val="en-US" w:eastAsia="zh-CN"/>
        </w:rPr>
      </w:pPr>
      <w:r w:rsidRPr="00CB11DB">
        <w:rPr>
          <w:rFonts w:asciiTheme="minorHAnsi" w:eastAsia="MS Mincho" w:hAnsiTheme="minorHAnsi" w:cstheme="minorHAnsi"/>
          <w:bCs/>
          <w:sz w:val="21"/>
          <w:szCs w:val="21"/>
          <w:lang w:val="en-US" w:eastAsia="zh-CN"/>
        </w:rPr>
        <w:t xml:space="preserve">What is your/your </w:t>
      </w:r>
      <w:proofErr w:type="spellStart"/>
      <w:r w:rsidRPr="00CB11DB">
        <w:rPr>
          <w:rFonts w:asciiTheme="minorHAnsi" w:eastAsia="MS Mincho" w:hAnsiTheme="minorHAnsi" w:cstheme="minorHAnsi"/>
          <w:bCs/>
          <w:sz w:val="21"/>
          <w:szCs w:val="21"/>
          <w:lang w:val="en-US" w:eastAsia="zh-CN"/>
        </w:rPr>
        <w:t>organisation’s</w:t>
      </w:r>
      <w:proofErr w:type="spellEnd"/>
      <w:r w:rsidRPr="00CB11DB">
        <w:rPr>
          <w:rFonts w:asciiTheme="minorHAnsi" w:eastAsia="MS Mincho" w:hAnsiTheme="minorHAnsi" w:cstheme="minorHAnsi"/>
          <w:bCs/>
          <w:sz w:val="21"/>
          <w:szCs w:val="21"/>
          <w:lang w:val="en-US" w:eastAsia="zh-CN"/>
        </w:rPr>
        <w:t xml:space="preserve"> role in mental health service delivery?</w:t>
      </w:r>
    </w:p>
    <w:p w14:paraId="67B20FEA" w14:textId="77777777" w:rsidR="00CB11DB" w:rsidRPr="00CB11DB" w:rsidRDefault="00CB11DB">
      <w:pPr>
        <w:numPr>
          <w:ilvl w:val="0"/>
          <w:numId w:val="154"/>
        </w:numPr>
        <w:spacing w:line="259" w:lineRule="auto"/>
        <w:ind w:left="426" w:hanging="426"/>
        <w:contextualSpacing/>
        <w:rPr>
          <w:rFonts w:asciiTheme="minorHAnsi" w:eastAsia="DengXian" w:hAnsiTheme="minorHAnsi" w:cstheme="minorHAnsi"/>
          <w:bCs/>
          <w:color w:val="000000" w:themeColor="text1"/>
          <w:sz w:val="21"/>
          <w:szCs w:val="21"/>
          <w:lang w:eastAsia="zh-CN"/>
        </w:rPr>
      </w:pPr>
      <w:r w:rsidRPr="00CB11DB">
        <w:rPr>
          <w:rFonts w:asciiTheme="minorHAnsi" w:eastAsia="Calibri" w:hAnsiTheme="minorHAnsi" w:cstheme="minorHAnsi"/>
          <w:bCs/>
          <w:color w:val="000000" w:themeColor="text1"/>
          <w:sz w:val="21"/>
          <w:szCs w:val="21"/>
          <w:lang w:val="en-US" w:eastAsia="zh-CN"/>
        </w:rPr>
        <w:t xml:space="preserve">How are you/your </w:t>
      </w:r>
      <w:proofErr w:type="spellStart"/>
      <w:r w:rsidRPr="00CB11DB">
        <w:rPr>
          <w:rFonts w:asciiTheme="minorHAnsi" w:eastAsia="Calibri" w:hAnsiTheme="minorHAnsi" w:cstheme="minorHAnsi"/>
          <w:bCs/>
          <w:color w:val="000000" w:themeColor="text1"/>
          <w:sz w:val="21"/>
          <w:szCs w:val="21"/>
          <w:lang w:val="en-US" w:eastAsia="zh-CN"/>
        </w:rPr>
        <w:t>organisation</w:t>
      </w:r>
      <w:proofErr w:type="spellEnd"/>
      <w:r w:rsidRPr="00CB11DB">
        <w:rPr>
          <w:rFonts w:asciiTheme="minorHAnsi" w:eastAsia="Calibri" w:hAnsiTheme="minorHAnsi" w:cstheme="minorHAnsi"/>
          <w:bCs/>
          <w:color w:val="000000" w:themeColor="text1"/>
          <w:sz w:val="21"/>
          <w:szCs w:val="21"/>
          <w:lang w:val="en-US" w:eastAsia="zh-CN"/>
        </w:rPr>
        <w:t xml:space="preserve"> engaged with digital mental health services? Which services? Are any </w:t>
      </w:r>
      <w:r w:rsidRPr="00CB11DB">
        <w:rPr>
          <w:rFonts w:asciiTheme="minorHAnsi" w:eastAsia="Calibri" w:hAnsiTheme="minorHAnsi" w:cstheme="minorHAnsi"/>
          <w:bCs/>
          <w:color w:val="000000" w:themeColor="text1"/>
          <w:sz w:val="21"/>
          <w:szCs w:val="21"/>
          <w:u w:val="single"/>
          <w:lang w:val="en-US" w:eastAsia="zh-CN"/>
        </w:rPr>
        <w:t>supported</w:t>
      </w:r>
      <w:r w:rsidRPr="00CB11DB">
        <w:rPr>
          <w:rFonts w:asciiTheme="minorHAnsi" w:eastAsia="Calibri" w:hAnsiTheme="minorHAnsi" w:cstheme="minorHAnsi"/>
          <w:bCs/>
          <w:color w:val="000000" w:themeColor="text1"/>
          <w:sz w:val="21"/>
          <w:szCs w:val="21"/>
          <w:lang w:val="en-US" w:eastAsia="zh-CN"/>
        </w:rPr>
        <w:t xml:space="preserve"> digital mental health services?</w:t>
      </w:r>
    </w:p>
    <w:p w14:paraId="35196DE2" w14:textId="77777777" w:rsidR="00CB11DB" w:rsidRPr="00CB11DB" w:rsidRDefault="00CB11DB">
      <w:pPr>
        <w:numPr>
          <w:ilvl w:val="0"/>
          <w:numId w:val="154"/>
        </w:numPr>
        <w:spacing w:line="259" w:lineRule="auto"/>
        <w:ind w:left="426" w:hanging="426"/>
        <w:contextualSpacing/>
        <w:rPr>
          <w:rFonts w:asciiTheme="minorHAnsi" w:eastAsia="DengXian" w:hAnsiTheme="minorHAnsi" w:cstheme="minorHAnsi"/>
          <w:bCs/>
          <w:color w:val="000000" w:themeColor="text1"/>
          <w:sz w:val="21"/>
          <w:szCs w:val="21"/>
          <w:lang w:eastAsia="zh-CN"/>
        </w:rPr>
      </w:pPr>
      <w:r w:rsidRPr="00CB11DB">
        <w:rPr>
          <w:rFonts w:asciiTheme="minorHAnsi" w:eastAsia="Calibri" w:hAnsiTheme="minorHAnsi" w:cstheme="minorHAnsi"/>
          <w:bCs/>
          <w:color w:val="000000" w:themeColor="text1"/>
          <w:sz w:val="21"/>
          <w:szCs w:val="21"/>
          <w:lang w:val="en-US" w:eastAsia="zh-CN"/>
        </w:rPr>
        <w:t xml:space="preserve">How are you/your </w:t>
      </w:r>
      <w:proofErr w:type="spellStart"/>
      <w:r w:rsidRPr="00CB11DB">
        <w:rPr>
          <w:rFonts w:asciiTheme="minorHAnsi" w:eastAsia="Calibri" w:hAnsiTheme="minorHAnsi" w:cstheme="minorHAnsi"/>
          <w:bCs/>
          <w:color w:val="000000" w:themeColor="text1"/>
          <w:sz w:val="21"/>
          <w:szCs w:val="21"/>
          <w:lang w:val="en-US" w:eastAsia="zh-CN"/>
        </w:rPr>
        <w:t>organisation</w:t>
      </w:r>
      <w:proofErr w:type="spellEnd"/>
      <w:r w:rsidRPr="00CB11DB">
        <w:rPr>
          <w:rFonts w:asciiTheme="minorHAnsi" w:eastAsia="Calibri" w:hAnsiTheme="minorHAnsi" w:cstheme="minorHAnsi"/>
          <w:bCs/>
          <w:color w:val="000000" w:themeColor="text1"/>
          <w:sz w:val="21"/>
          <w:szCs w:val="21"/>
          <w:lang w:val="en-US" w:eastAsia="zh-CN"/>
        </w:rPr>
        <w:t xml:space="preserve"> facilitating or promoting the use of digital mental health services?</w:t>
      </w:r>
    </w:p>
    <w:p w14:paraId="2B9943D4" w14:textId="77777777" w:rsidR="00CB11DB" w:rsidRPr="00CB11DB" w:rsidRDefault="00CB11DB">
      <w:pPr>
        <w:numPr>
          <w:ilvl w:val="0"/>
          <w:numId w:val="154"/>
        </w:numPr>
        <w:spacing w:line="259" w:lineRule="auto"/>
        <w:ind w:left="426" w:hanging="426"/>
        <w:contextualSpacing/>
        <w:rPr>
          <w:rFonts w:asciiTheme="minorHAnsi" w:eastAsia="DengXian" w:hAnsiTheme="minorHAnsi" w:cstheme="minorHAnsi"/>
          <w:bCs/>
          <w:color w:val="000000" w:themeColor="text1"/>
          <w:sz w:val="21"/>
          <w:szCs w:val="21"/>
          <w:lang w:eastAsia="zh-CN"/>
        </w:rPr>
      </w:pPr>
      <w:r w:rsidRPr="00CB11DB">
        <w:rPr>
          <w:rFonts w:asciiTheme="minorHAnsi" w:eastAsia="Calibri" w:hAnsiTheme="minorHAnsi" w:cstheme="minorHAnsi"/>
          <w:bCs/>
          <w:color w:val="000000" w:themeColor="text1"/>
          <w:sz w:val="21"/>
          <w:szCs w:val="21"/>
          <w:lang w:eastAsia="zh-CN"/>
        </w:rPr>
        <w:t xml:space="preserve">How might digital mental health services in general, and </w:t>
      </w:r>
      <w:r w:rsidRPr="00CB11DB">
        <w:rPr>
          <w:rFonts w:asciiTheme="minorHAnsi" w:eastAsia="Calibri" w:hAnsiTheme="minorHAnsi" w:cstheme="minorHAnsi"/>
          <w:bCs/>
          <w:color w:val="000000" w:themeColor="text1"/>
          <w:sz w:val="21"/>
          <w:szCs w:val="21"/>
          <w:u w:val="single"/>
          <w:lang w:eastAsia="zh-CN"/>
        </w:rPr>
        <w:t>supported</w:t>
      </w:r>
      <w:r w:rsidRPr="00CB11DB">
        <w:rPr>
          <w:rFonts w:asciiTheme="minorHAnsi" w:eastAsia="Calibri" w:hAnsiTheme="minorHAnsi" w:cstheme="minorHAnsi"/>
          <w:bCs/>
          <w:color w:val="000000" w:themeColor="text1"/>
          <w:sz w:val="21"/>
          <w:szCs w:val="21"/>
          <w:lang w:eastAsia="zh-CN"/>
        </w:rPr>
        <w:t xml:space="preserve"> digital mental health services specifically, be better integrated and used in mental health care across Australia?</w:t>
      </w:r>
    </w:p>
    <w:p w14:paraId="31CBF5DB" w14:textId="77777777" w:rsidR="00CB11DB" w:rsidRPr="00CB11DB" w:rsidRDefault="00CB11DB">
      <w:pPr>
        <w:numPr>
          <w:ilvl w:val="0"/>
          <w:numId w:val="154"/>
        </w:numPr>
        <w:spacing w:line="259" w:lineRule="auto"/>
        <w:ind w:left="426" w:hanging="426"/>
        <w:contextualSpacing/>
        <w:rPr>
          <w:rFonts w:asciiTheme="minorHAnsi" w:eastAsia="DengXian" w:hAnsiTheme="minorHAnsi" w:cstheme="minorHAnsi"/>
          <w:bCs/>
          <w:color w:val="000000" w:themeColor="text1"/>
          <w:sz w:val="21"/>
          <w:szCs w:val="21"/>
          <w:lang w:eastAsia="zh-CN"/>
        </w:rPr>
      </w:pPr>
      <w:r w:rsidRPr="00CB11DB">
        <w:rPr>
          <w:rFonts w:asciiTheme="minorHAnsi" w:eastAsia="Calibri" w:hAnsiTheme="minorHAnsi" w:cstheme="minorHAnsi"/>
          <w:bCs/>
          <w:color w:val="000000" w:themeColor="text1"/>
          <w:sz w:val="21"/>
          <w:szCs w:val="21"/>
          <w:lang w:eastAsia="zh-CN"/>
        </w:rPr>
        <w:t xml:space="preserve">How can digital mental health services in general, and </w:t>
      </w:r>
      <w:r w:rsidRPr="00CB11DB">
        <w:rPr>
          <w:rFonts w:asciiTheme="minorHAnsi" w:eastAsia="Calibri" w:hAnsiTheme="minorHAnsi" w:cstheme="minorHAnsi"/>
          <w:bCs/>
          <w:color w:val="000000" w:themeColor="text1"/>
          <w:sz w:val="21"/>
          <w:szCs w:val="21"/>
          <w:u w:val="single"/>
          <w:lang w:eastAsia="zh-CN"/>
        </w:rPr>
        <w:t>supported</w:t>
      </w:r>
      <w:r w:rsidRPr="00CB11DB">
        <w:rPr>
          <w:rFonts w:asciiTheme="minorHAnsi" w:eastAsia="Calibri" w:hAnsiTheme="minorHAnsi" w:cstheme="minorHAnsi"/>
          <w:bCs/>
          <w:color w:val="000000" w:themeColor="text1"/>
          <w:sz w:val="21"/>
          <w:szCs w:val="21"/>
          <w:lang w:eastAsia="zh-CN"/>
        </w:rPr>
        <w:t xml:space="preserve"> digital mental health services specifically, improve access to mental health care?</w:t>
      </w:r>
    </w:p>
    <w:p w14:paraId="78A3A43A" w14:textId="77777777" w:rsidR="00CB11DB" w:rsidRPr="00CB11DB" w:rsidRDefault="00CB11DB">
      <w:pPr>
        <w:numPr>
          <w:ilvl w:val="0"/>
          <w:numId w:val="154"/>
        </w:numPr>
        <w:spacing w:line="259" w:lineRule="auto"/>
        <w:ind w:left="426" w:hanging="426"/>
        <w:contextualSpacing/>
        <w:rPr>
          <w:rFonts w:asciiTheme="minorHAnsi" w:eastAsia="DengXian" w:hAnsiTheme="minorHAnsi" w:cstheme="minorHAnsi"/>
          <w:bCs/>
          <w:color w:val="000000" w:themeColor="text1"/>
          <w:sz w:val="21"/>
          <w:szCs w:val="21"/>
          <w:lang w:eastAsia="zh-CN"/>
        </w:rPr>
      </w:pPr>
      <w:r w:rsidRPr="00CB11DB">
        <w:rPr>
          <w:rFonts w:asciiTheme="minorHAnsi" w:eastAsia="Calibri" w:hAnsiTheme="minorHAnsi" w:cstheme="minorHAnsi"/>
          <w:bCs/>
          <w:color w:val="000000" w:themeColor="text1"/>
          <w:sz w:val="21"/>
          <w:szCs w:val="21"/>
          <w:lang w:eastAsia="zh-CN"/>
        </w:rPr>
        <w:t xml:space="preserve">How might digital mental health services in general, and </w:t>
      </w:r>
      <w:r w:rsidRPr="00CB11DB">
        <w:rPr>
          <w:rFonts w:asciiTheme="minorHAnsi" w:eastAsia="Calibri" w:hAnsiTheme="minorHAnsi" w:cstheme="minorHAnsi"/>
          <w:bCs/>
          <w:color w:val="000000" w:themeColor="text1"/>
          <w:sz w:val="21"/>
          <w:szCs w:val="21"/>
          <w:u w:val="single"/>
          <w:lang w:eastAsia="zh-CN"/>
        </w:rPr>
        <w:t>supported</w:t>
      </w:r>
      <w:r w:rsidRPr="00CB11DB">
        <w:rPr>
          <w:rFonts w:asciiTheme="minorHAnsi" w:eastAsia="Calibri" w:hAnsiTheme="minorHAnsi" w:cstheme="minorHAnsi"/>
          <w:bCs/>
          <w:color w:val="000000" w:themeColor="text1"/>
          <w:sz w:val="21"/>
          <w:szCs w:val="21"/>
          <w:lang w:eastAsia="zh-CN"/>
        </w:rPr>
        <w:t xml:space="preserve"> digital mental health services specifically, be improved in the future?</w:t>
      </w:r>
    </w:p>
    <w:p w14:paraId="38E044D3" w14:textId="77777777" w:rsidR="00CB11DB" w:rsidRPr="00CB11DB" w:rsidRDefault="00CB11DB">
      <w:pPr>
        <w:numPr>
          <w:ilvl w:val="0"/>
          <w:numId w:val="154"/>
        </w:numPr>
        <w:spacing w:line="259" w:lineRule="auto"/>
        <w:ind w:left="426" w:hanging="426"/>
        <w:contextualSpacing/>
        <w:rPr>
          <w:rFonts w:asciiTheme="minorHAnsi" w:eastAsia="DengXian" w:hAnsiTheme="minorHAnsi" w:cstheme="minorHAnsi"/>
          <w:bCs/>
          <w:color w:val="000000" w:themeColor="text1"/>
          <w:sz w:val="21"/>
          <w:szCs w:val="21"/>
          <w:lang w:eastAsia="zh-CN"/>
        </w:rPr>
      </w:pPr>
      <w:r w:rsidRPr="00CB11DB">
        <w:rPr>
          <w:rFonts w:asciiTheme="minorHAnsi" w:eastAsia="Calibri" w:hAnsiTheme="minorHAnsi" w:cstheme="minorHAnsi"/>
          <w:bCs/>
          <w:color w:val="000000" w:themeColor="text1"/>
          <w:sz w:val="21"/>
          <w:szCs w:val="21"/>
          <w:lang w:eastAsia="zh-CN"/>
        </w:rPr>
        <w:t>What effects have digital mental health services in general, and s</w:t>
      </w:r>
      <w:r w:rsidRPr="00CB11DB">
        <w:rPr>
          <w:rFonts w:asciiTheme="minorHAnsi" w:eastAsia="Calibri" w:hAnsiTheme="minorHAnsi" w:cstheme="minorHAnsi"/>
          <w:bCs/>
          <w:color w:val="000000" w:themeColor="text1"/>
          <w:sz w:val="21"/>
          <w:szCs w:val="21"/>
          <w:u w:val="single"/>
          <w:lang w:eastAsia="zh-CN"/>
        </w:rPr>
        <w:t>upported</w:t>
      </w:r>
      <w:r w:rsidRPr="00CB11DB">
        <w:rPr>
          <w:rFonts w:asciiTheme="minorHAnsi" w:eastAsia="Calibri" w:hAnsiTheme="minorHAnsi" w:cstheme="minorHAnsi"/>
          <w:bCs/>
          <w:color w:val="000000" w:themeColor="text1"/>
          <w:sz w:val="21"/>
          <w:szCs w:val="21"/>
          <w:lang w:eastAsia="zh-CN"/>
        </w:rPr>
        <w:t xml:space="preserve"> digital mental health services specifically, had on consumers and carers?</w:t>
      </w:r>
    </w:p>
    <w:p w14:paraId="0EBD20F5" w14:textId="77777777" w:rsidR="00CB11DB" w:rsidRPr="00CB11DB" w:rsidRDefault="00CB11DB">
      <w:pPr>
        <w:numPr>
          <w:ilvl w:val="0"/>
          <w:numId w:val="154"/>
        </w:numPr>
        <w:spacing w:line="259" w:lineRule="auto"/>
        <w:ind w:left="426" w:hanging="426"/>
        <w:contextualSpacing/>
        <w:rPr>
          <w:rFonts w:asciiTheme="minorHAnsi" w:eastAsia="DengXian" w:hAnsiTheme="minorHAnsi" w:cstheme="minorHAnsi"/>
          <w:bCs/>
          <w:color w:val="000000" w:themeColor="text1"/>
          <w:sz w:val="21"/>
          <w:szCs w:val="21"/>
          <w:lang w:eastAsia="zh-CN"/>
        </w:rPr>
      </w:pPr>
      <w:r w:rsidRPr="00CB11DB">
        <w:rPr>
          <w:rFonts w:asciiTheme="minorHAnsi" w:eastAsia="Calibri" w:hAnsiTheme="minorHAnsi" w:cstheme="minorHAnsi"/>
          <w:bCs/>
          <w:color w:val="000000" w:themeColor="text1"/>
          <w:sz w:val="21"/>
          <w:szCs w:val="21"/>
          <w:lang w:eastAsia="zh-CN"/>
        </w:rPr>
        <w:t xml:space="preserve">How has clinical care for people with mental health problems changed since the introduction of digital mental health services in general, and </w:t>
      </w:r>
      <w:r w:rsidRPr="00CB11DB">
        <w:rPr>
          <w:rFonts w:asciiTheme="minorHAnsi" w:eastAsia="Calibri" w:hAnsiTheme="minorHAnsi" w:cstheme="minorHAnsi"/>
          <w:bCs/>
          <w:color w:val="000000" w:themeColor="text1"/>
          <w:sz w:val="21"/>
          <w:szCs w:val="21"/>
          <w:u w:val="single"/>
          <w:lang w:eastAsia="zh-CN"/>
        </w:rPr>
        <w:t>supported</w:t>
      </w:r>
      <w:r w:rsidRPr="00CB11DB">
        <w:rPr>
          <w:rFonts w:asciiTheme="minorHAnsi" w:eastAsia="Calibri" w:hAnsiTheme="minorHAnsi" w:cstheme="minorHAnsi"/>
          <w:bCs/>
          <w:color w:val="000000" w:themeColor="text1"/>
          <w:sz w:val="21"/>
          <w:szCs w:val="21"/>
          <w:lang w:eastAsia="zh-CN"/>
        </w:rPr>
        <w:t xml:space="preserve"> digital mental health services specifically?</w:t>
      </w:r>
    </w:p>
    <w:p w14:paraId="08A6035D" w14:textId="77777777" w:rsidR="00CB11DB" w:rsidRPr="00CB11DB" w:rsidRDefault="00CB11DB">
      <w:pPr>
        <w:numPr>
          <w:ilvl w:val="0"/>
          <w:numId w:val="154"/>
        </w:numPr>
        <w:spacing w:line="259" w:lineRule="auto"/>
        <w:ind w:left="426" w:hanging="426"/>
        <w:contextualSpacing/>
        <w:rPr>
          <w:rFonts w:asciiTheme="minorHAnsi" w:eastAsia="DengXian" w:hAnsiTheme="minorHAnsi" w:cstheme="minorHAnsi"/>
          <w:bCs/>
          <w:color w:val="000000" w:themeColor="text1"/>
          <w:sz w:val="21"/>
          <w:szCs w:val="21"/>
          <w:lang w:eastAsia="zh-CN"/>
        </w:rPr>
      </w:pPr>
      <w:r w:rsidRPr="00CB11DB">
        <w:rPr>
          <w:rFonts w:asciiTheme="minorHAnsi" w:eastAsia="Calibri" w:hAnsiTheme="minorHAnsi" w:cstheme="minorHAnsi"/>
          <w:bCs/>
          <w:color w:val="000000" w:themeColor="text1"/>
          <w:sz w:val="21"/>
          <w:szCs w:val="21"/>
          <w:lang w:val="en-US" w:eastAsia="zh-CN"/>
        </w:rPr>
        <w:t xml:space="preserve">What severity of mental health problems do you think are suitable for digital mental health services in general? Select all responses that apply </w:t>
      </w:r>
    </w:p>
    <w:p w14:paraId="63DBCEA4" w14:textId="77777777" w:rsidR="00CB11DB" w:rsidRPr="00CB11DB" w:rsidRDefault="00CB11DB" w:rsidP="00140C5B">
      <w:pPr>
        <w:numPr>
          <w:ilvl w:val="0"/>
          <w:numId w:val="38"/>
        </w:numPr>
        <w:spacing w:line="259" w:lineRule="auto"/>
        <w:ind w:left="1276" w:hanging="426"/>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Mild</w:t>
      </w:r>
    </w:p>
    <w:p w14:paraId="02934AD7" w14:textId="77777777" w:rsidR="00CB11DB" w:rsidRPr="00CB11DB" w:rsidRDefault="00CB11DB" w:rsidP="00140C5B">
      <w:pPr>
        <w:numPr>
          <w:ilvl w:val="0"/>
          <w:numId w:val="38"/>
        </w:numPr>
        <w:spacing w:line="259" w:lineRule="auto"/>
        <w:ind w:left="1276" w:hanging="426"/>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Moderate</w:t>
      </w:r>
    </w:p>
    <w:p w14:paraId="67AAC4BD" w14:textId="77777777" w:rsidR="00CB11DB" w:rsidRPr="00CB11DB" w:rsidRDefault="00CB11DB" w:rsidP="00140C5B">
      <w:pPr>
        <w:numPr>
          <w:ilvl w:val="0"/>
          <w:numId w:val="38"/>
        </w:numPr>
        <w:spacing w:line="259" w:lineRule="auto"/>
        <w:ind w:left="1276" w:hanging="426"/>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Severe</w:t>
      </w:r>
    </w:p>
    <w:p w14:paraId="1D4A6E11" w14:textId="77777777" w:rsidR="00CB11DB" w:rsidRPr="00CB11DB" w:rsidRDefault="00CB11DB">
      <w:pPr>
        <w:numPr>
          <w:ilvl w:val="0"/>
          <w:numId w:val="154"/>
        </w:numPr>
        <w:spacing w:line="259" w:lineRule="auto"/>
        <w:ind w:left="426" w:hanging="426"/>
        <w:contextualSpacing/>
        <w:rPr>
          <w:rFonts w:asciiTheme="minorHAnsi" w:eastAsia="DengXian" w:hAnsiTheme="minorHAnsi" w:cstheme="minorHAnsi"/>
          <w:bCs/>
          <w:color w:val="000000" w:themeColor="text1"/>
          <w:sz w:val="21"/>
          <w:szCs w:val="21"/>
          <w:lang w:eastAsia="zh-CN"/>
        </w:rPr>
      </w:pPr>
      <w:r w:rsidRPr="00CB11DB">
        <w:rPr>
          <w:rFonts w:asciiTheme="minorHAnsi" w:eastAsia="Calibri" w:hAnsiTheme="minorHAnsi" w:cstheme="minorHAnsi"/>
          <w:bCs/>
          <w:color w:val="000000" w:themeColor="text1"/>
          <w:sz w:val="21"/>
          <w:szCs w:val="21"/>
          <w:lang w:val="en-US" w:eastAsia="zh-CN"/>
        </w:rPr>
        <w:t xml:space="preserve">What severity of mental health problems do you think are suitable for </w:t>
      </w:r>
      <w:r w:rsidRPr="00CB11DB">
        <w:rPr>
          <w:rFonts w:asciiTheme="minorHAnsi" w:eastAsia="Calibri" w:hAnsiTheme="minorHAnsi" w:cstheme="minorHAnsi"/>
          <w:bCs/>
          <w:color w:val="000000" w:themeColor="text1"/>
          <w:sz w:val="21"/>
          <w:szCs w:val="21"/>
          <w:u w:val="single"/>
          <w:lang w:val="en-US" w:eastAsia="zh-CN"/>
        </w:rPr>
        <w:t>supported</w:t>
      </w:r>
      <w:r w:rsidRPr="00CB11DB">
        <w:rPr>
          <w:rFonts w:asciiTheme="minorHAnsi" w:eastAsia="Calibri" w:hAnsiTheme="minorHAnsi" w:cstheme="minorHAnsi"/>
          <w:bCs/>
          <w:color w:val="000000" w:themeColor="text1"/>
          <w:sz w:val="21"/>
          <w:szCs w:val="21"/>
          <w:lang w:val="en-US" w:eastAsia="zh-CN"/>
        </w:rPr>
        <w:t xml:space="preserve"> digital mental health services specifically? Select all responses that apply </w:t>
      </w:r>
    </w:p>
    <w:p w14:paraId="4B6D3FC4" w14:textId="77777777" w:rsidR="00CB11DB" w:rsidRPr="00CB11DB" w:rsidRDefault="00CB11DB" w:rsidP="00140C5B">
      <w:pPr>
        <w:numPr>
          <w:ilvl w:val="0"/>
          <w:numId w:val="38"/>
        </w:numPr>
        <w:spacing w:line="259" w:lineRule="auto"/>
        <w:ind w:left="1276" w:hanging="426"/>
        <w:contextualSpacing/>
        <w:rPr>
          <w:rFonts w:asciiTheme="minorHAnsi" w:eastAsia="DengXian" w:hAnsiTheme="minorHAnsi" w:cstheme="minorHAnsi"/>
          <w:bCs/>
          <w:color w:val="000000" w:themeColor="text1"/>
          <w:sz w:val="21"/>
          <w:szCs w:val="21"/>
          <w:lang w:eastAsia="zh-CN"/>
        </w:rPr>
      </w:pPr>
      <w:r w:rsidRPr="00CB11DB">
        <w:rPr>
          <w:rFonts w:asciiTheme="minorHAnsi" w:eastAsia="Calibri" w:hAnsiTheme="minorHAnsi" w:cstheme="minorHAnsi"/>
          <w:bCs/>
          <w:color w:val="000000" w:themeColor="text1"/>
          <w:sz w:val="21"/>
          <w:szCs w:val="21"/>
          <w:lang w:val="en-US" w:eastAsia="zh-CN"/>
        </w:rPr>
        <w:t>Mild</w:t>
      </w:r>
    </w:p>
    <w:p w14:paraId="393427E2" w14:textId="77777777" w:rsidR="00CB11DB" w:rsidRPr="00CB11DB" w:rsidRDefault="00CB11DB" w:rsidP="00140C5B">
      <w:pPr>
        <w:numPr>
          <w:ilvl w:val="0"/>
          <w:numId w:val="38"/>
        </w:numPr>
        <w:spacing w:line="259" w:lineRule="auto"/>
        <w:ind w:left="1276" w:hanging="426"/>
        <w:contextualSpacing/>
        <w:rPr>
          <w:rFonts w:asciiTheme="minorHAnsi" w:eastAsia="DengXian" w:hAnsiTheme="minorHAnsi" w:cstheme="minorHAnsi"/>
          <w:bCs/>
          <w:color w:val="000000" w:themeColor="text1"/>
          <w:sz w:val="21"/>
          <w:szCs w:val="21"/>
          <w:lang w:eastAsia="zh-CN"/>
        </w:rPr>
      </w:pPr>
      <w:r w:rsidRPr="00CB11DB">
        <w:rPr>
          <w:rFonts w:asciiTheme="minorHAnsi" w:eastAsia="Calibri" w:hAnsiTheme="minorHAnsi" w:cstheme="minorHAnsi"/>
          <w:bCs/>
          <w:color w:val="000000" w:themeColor="text1"/>
          <w:sz w:val="21"/>
          <w:szCs w:val="21"/>
          <w:lang w:val="en-US" w:eastAsia="zh-CN"/>
        </w:rPr>
        <w:t>Moderate</w:t>
      </w:r>
    </w:p>
    <w:p w14:paraId="20EACF3D" w14:textId="67595711" w:rsidR="000F231C" w:rsidRDefault="00CB11DB" w:rsidP="00140C5B">
      <w:pPr>
        <w:numPr>
          <w:ilvl w:val="0"/>
          <w:numId w:val="38"/>
        </w:numPr>
        <w:spacing w:line="259" w:lineRule="auto"/>
        <w:ind w:left="1276" w:hanging="426"/>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Severe</w:t>
      </w:r>
    </w:p>
    <w:p w14:paraId="7D169B86" w14:textId="274EEC1C" w:rsidR="00CB11DB" w:rsidRPr="000F231C" w:rsidRDefault="000F231C" w:rsidP="000F231C">
      <w:pPr>
        <w:spacing w:after="200"/>
        <w:rPr>
          <w:rFonts w:asciiTheme="minorHAnsi" w:eastAsia="Calibri" w:hAnsiTheme="minorHAnsi" w:cstheme="minorHAnsi"/>
          <w:bCs/>
          <w:color w:val="000000" w:themeColor="text1"/>
          <w:sz w:val="21"/>
          <w:szCs w:val="21"/>
          <w:lang w:val="en-US" w:eastAsia="zh-CN"/>
        </w:rPr>
      </w:pPr>
      <w:r>
        <w:rPr>
          <w:rFonts w:asciiTheme="minorHAnsi" w:eastAsia="Calibri" w:hAnsiTheme="minorHAnsi" w:cstheme="minorHAnsi"/>
          <w:bCs/>
          <w:color w:val="000000" w:themeColor="text1"/>
          <w:sz w:val="21"/>
          <w:szCs w:val="21"/>
          <w:lang w:val="en-US" w:eastAsia="zh-CN"/>
        </w:rPr>
        <w:br w:type="page"/>
      </w:r>
    </w:p>
    <w:p w14:paraId="6B1D0B3C" w14:textId="77777777" w:rsidR="00CB11DB" w:rsidRPr="00CB11DB" w:rsidRDefault="00CB11DB">
      <w:pPr>
        <w:numPr>
          <w:ilvl w:val="0"/>
          <w:numId w:val="154"/>
        </w:numPr>
        <w:spacing w:line="259" w:lineRule="auto"/>
        <w:ind w:left="426" w:hanging="426"/>
        <w:rPr>
          <w:rFonts w:asciiTheme="minorHAnsi" w:eastAsia="Calibri" w:hAnsiTheme="minorHAnsi" w:cstheme="minorHAnsi"/>
          <w:bCs/>
          <w:sz w:val="21"/>
          <w:szCs w:val="21"/>
          <w:lang w:eastAsia="en-AU"/>
        </w:rPr>
      </w:pPr>
      <w:r w:rsidRPr="00CB11DB">
        <w:rPr>
          <w:rFonts w:asciiTheme="minorHAnsi" w:eastAsia="Calibri" w:hAnsiTheme="minorHAnsi" w:cstheme="minorHAnsi"/>
          <w:bCs/>
          <w:sz w:val="21"/>
          <w:szCs w:val="21"/>
          <w:lang w:eastAsia="en-AU"/>
        </w:rPr>
        <w:lastRenderedPageBreak/>
        <w:t xml:space="preserve">In your experience, do you think digital mental health services are suitable for any </w:t>
      </w:r>
      <w:proofErr w:type="gramStart"/>
      <w:r w:rsidRPr="00CB11DB">
        <w:rPr>
          <w:rFonts w:asciiTheme="minorHAnsi" w:eastAsia="Calibri" w:hAnsiTheme="minorHAnsi" w:cstheme="minorHAnsi"/>
          <w:bCs/>
          <w:sz w:val="21"/>
          <w:szCs w:val="21"/>
          <w:lang w:eastAsia="en-AU"/>
        </w:rPr>
        <w:t>particular mental</w:t>
      </w:r>
      <w:proofErr w:type="gramEnd"/>
      <w:r w:rsidRPr="00CB11DB">
        <w:rPr>
          <w:rFonts w:asciiTheme="minorHAnsi" w:eastAsia="Calibri" w:hAnsiTheme="minorHAnsi" w:cstheme="minorHAnsi"/>
          <w:bCs/>
          <w:sz w:val="21"/>
          <w:szCs w:val="21"/>
          <w:lang w:eastAsia="en-AU"/>
        </w:rPr>
        <w:t xml:space="preserve"> health problems? Please select all that apply.</w:t>
      </w:r>
    </w:p>
    <w:p w14:paraId="5444DFDA" w14:textId="77777777" w:rsidR="00CB11DB" w:rsidRPr="00CB11DB" w:rsidRDefault="00CB11DB" w:rsidP="00CB11DB">
      <w:pPr>
        <w:ind w:left="852" w:hanging="426"/>
        <w:rPr>
          <w:rFonts w:asciiTheme="minorHAnsi" w:eastAsia="Calibri" w:hAnsiTheme="minorHAnsi" w:cstheme="minorHAnsi"/>
          <w:bCs/>
          <w:sz w:val="21"/>
          <w:szCs w:val="21"/>
          <w:lang w:eastAsia="en-AU"/>
        </w:rPr>
      </w:pPr>
      <w:r w:rsidRPr="00CB11DB">
        <w:rPr>
          <w:rFonts w:asciiTheme="minorHAnsi" w:eastAsia="Calibri" w:hAnsiTheme="minorHAnsi" w:cstheme="minorHAnsi"/>
          <w:bCs/>
          <w:sz w:val="21"/>
          <w:szCs w:val="21"/>
          <w:lang w:eastAsia="en-AU"/>
        </w:rPr>
        <w:t>Digital mental health services are suitable for people with:</w:t>
      </w:r>
    </w:p>
    <w:p w14:paraId="714C8D20" w14:textId="77777777" w:rsidR="00CB11DB" w:rsidRPr="00CB11DB" w:rsidRDefault="00CB11DB" w:rsidP="00140C5B">
      <w:pPr>
        <w:numPr>
          <w:ilvl w:val="0"/>
          <w:numId w:val="38"/>
        </w:numPr>
        <w:spacing w:line="259" w:lineRule="auto"/>
        <w:ind w:left="1276" w:hanging="426"/>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Depression</w:t>
      </w:r>
    </w:p>
    <w:p w14:paraId="20CF0A26" w14:textId="77777777" w:rsidR="00CB11DB" w:rsidRPr="00CB11DB" w:rsidRDefault="00CB11DB" w:rsidP="00140C5B">
      <w:pPr>
        <w:numPr>
          <w:ilvl w:val="0"/>
          <w:numId w:val="38"/>
        </w:numPr>
        <w:spacing w:line="259" w:lineRule="auto"/>
        <w:ind w:left="1276" w:hanging="426"/>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Anxiety</w:t>
      </w:r>
    </w:p>
    <w:p w14:paraId="41C521A8" w14:textId="77777777" w:rsidR="00CB11DB" w:rsidRPr="00CB11DB" w:rsidRDefault="00CB11DB" w:rsidP="00140C5B">
      <w:pPr>
        <w:numPr>
          <w:ilvl w:val="0"/>
          <w:numId w:val="38"/>
        </w:numPr>
        <w:spacing w:line="259" w:lineRule="auto"/>
        <w:ind w:left="1276" w:hanging="426"/>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PTSD</w:t>
      </w:r>
    </w:p>
    <w:p w14:paraId="42A8F94E" w14:textId="77777777" w:rsidR="00CB11DB" w:rsidRPr="00CB11DB" w:rsidRDefault="00CB11DB" w:rsidP="00140C5B">
      <w:pPr>
        <w:numPr>
          <w:ilvl w:val="0"/>
          <w:numId w:val="38"/>
        </w:numPr>
        <w:spacing w:line="259" w:lineRule="auto"/>
        <w:ind w:left="1276" w:hanging="426"/>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OCD</w:t>
      </w:r>
    </w:p>
    <w:p w14:paraId="677105EB" w14:textId="77777777" w:rsidR="00CB11DB" w:rsidRPr="00CB11DB" w:rsidRDefault="00CB11DB" w:rsidP="00140C5B">
      <w:pPr>
        <w:numPr>
          <w:ilvl w:val="0"/>
          <w:numId w:val="38"/>
        </w:numPr>
        <w:spacing w:line="259" w:lineRule="auto"/>
        <w:ind w:left="1276" w:hanging="426"/>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Eating disorders</w:t>
      </w:r>
    </w:p>
    <w:p w14:paraId="75FCE761" w14:textId="77777777" w:rsidR="00CB11DB" w:rsidRPr="00CB11DB" w:rsidRDefault="00CB11DB" w:rsidP="00140C5B">
      <w:pPr>
        <w:numPr>
          <w:ilvl w:val="0"/>
          <w:numId w:val="38"/>
        </w:numPr>
        <w:spacing w:line="259" w:lineRule="auto"/>
        <w:ind w:left="1276" w:hanging="426"/>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Bipolar disorders</w:t>
      </w:r>
    </w:p>
    <w:p w14:paraId="02455A5F" w14:textId="7A21E07A" w:rsidR="00CB11DB" w:rsidRPr="00CB11DB" w:rsidRDefault="00CB11DB" w:rsidP="00140C5B">
      <w:pPr>
        <w:numPr>
          <w:ilvl w:val="0"/>
          <w:numId w:val="38"/>
        </w:numPr>
        <w:spacing w:line="259" w:lineRule="auto"/>
        <w:ind w:left="1276" w:hanging="426"/>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Psychotic disorders (e.g.,</w:t>
      </w:r>
      <w:r w:rsidR="00AF6D50">
        <w:rPr>
          <w:rFonts w:asciiTheme="minorHAnsi" w:eastAsia="Calibri" w:hAnsiTheme="minorHAnsi" w:cstheme="minorHAnsi"/>
          <w:bCs/>
          <w:color w:val="000000" w:themeColor="text1"/>
          <w:sz w:val="21"/>
          <w:szCs w:val="21"/>
          <w:lang w:val="en-US" w:eastAsia="zh-CN"/>
        </w:rPr>
        <w:t xml:space="preserve"> </w:t>
      </w:r>
      <w:r w:rsidRPr="00CB11DB">
        <w:rPr>
          <w:rFonts w:asciiTheme="minorHAnsi" w:eastAsia="Calibri" w:hAnsiTheme="minorHAnsi" w:cstheme="minorHAnsi"/>
          <w:bCs/>
          <w:color w:val="000000" w:themeColor="text1"/>
          <w:sz w:val="21"/>
          <w:szCs w:val="21"/>
          <w:lang w:val="en-US" w:eastAsia="zh-CN"/>
        </w:rPr>
        <w:t>Schizophrenia)</w:t>
      </w:r>
    </w:p>
    <w:p w14:paraId="39A891CE" w14:textId="77777777" w:rsidR="00CB11DB" w:rsidRPr="00CB11DB" w:rsidRDefault="00CB11DB" w:rsidP="00140C5B">
      <w:pPr>
        <w:numPr>
          <w:ilvl w:val="0"/>
          <w:numId w:val="38"/>
        </w:numPr>
        <w:spacing w:line="259" w:lineRule="auto"/>
        <w:ind w:left="1276" w:hanging="426"/>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Personality disorders</w:t>
      </w:r>
    </w:p>
    <w:p w14:paraId="12EE5486" w14:textId="77777777" w:rsidR="00CB11DB" w:rsidRPr="00CB11DB" w:rsidRDefault="00CB11DB" w:rsidP="00140C5B">
      <w:pPr>
        <w:numPr>
          <w:ilvl w:val="0"/>
          <w:numId w:val="38"/>
        </w:numPr>
        <w:spacing w:line="259" w:lineRule="auto"/>
        <w:ind w:left="1276" w:hanging="426"/>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Self-harm</w:t>
      </w:r>
    </w:p>
    <w:p w14:paraId="5C2D4423" w14:textId="77777777" w:rsidR="00CB11DB" w:rsidRPr="00CB11DB" w:rsidRDefault="00CB11DB" w:rsidP="00140C5B">
      <w:pPr>
        <w:numPr>
          <w:ilvl w:val="0"/>
          <w:numId w:val="38"/>
        </w:numPr>
        <w:spacing w:line="259" w:lineRule="auto"/>
        <w:ind w:left="1276" w:hanging="426"/>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Suicidal ideation</w:t>
      </w:r>
    </w:p>
    <w:p w14:paraId="4F9BDA0A" w14:textId="77777777" w:rsidR="00CB11DB" w:rsidRPr="00CB11DB" w:rsidRDefault="00CB11DB" w:rsidP="00140C5B">
      <w:pPr>
        <w:numPr>
          <w:ilvl w:val="0"/>
          <w:numId w:val="38"/>
        </w:numPr>
        <w:spacing w:line="259" w:lineRule="auto"/>
        <w:ind w:left="1276" w:hanging="426"/>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Substance use disorders</w:t>
      </w:r>
    </w:p>
    <w:p w14:paraId="29089DFB" w14:textId="77777777" w:rsidR="00CB11DB" w:rsidRPr="00CB11DB" w:rsidRDefault="00CB11DB" w:rsidP="00140C5B">
      <w:pPr>
        <w:numPr>
          <w:ilvl w:val="0"/>
          <w:numId w:val="38"/>
        </w:numPr>
        <w:spacing w:line="259" w:lineRule="auto"/>
        <w:ind w:left="1276" w:hanging="426"/>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 xml:space="preserve">Other, </w:t>
      </w:r>
      <w:proofErr w:type="gramStart"/>
      <w:r w:rsidRPr="00CB11DB">
        <w:rPr>
          <w:rFonts w:asciiTheme="minorHAnsi" w:eastAsia="Calibri" w:hAnsiTheme="minorHAnsi" w:cstheme="minorHAnsi"/>
          <w:bCs/>
          <w:color w:val="000000" w:themeColor="text1"/>
          <w:sz w:val="21"/>
          <w:szCs w:val="21"/>
          <w:lang w:val="en-US" w:eastAsia="zh-CN"/>
        </w:rPr>
        <w:t>specify:_</w:t>
      </w:r>
      <w:proofErr w:type="gramEnd"/>
      <w:r w:rsidRPr="00CB11DB">
        <w:rPr>
          <w:rFonts w:asciiTheme="minorHAnsi" w:eastAsia="Calibri" w:hAnsiTheme="minorHAnsi" w:cstheme="minorHAnsi"/>
          <w:bCs/>
          <w:color w:val="000000" w:themeColor="text1"/>
          <w:sz w:val="21"/>
          <w:szCs w:val="21"/>
          <w:lang w:val="en-US" w:eastAsia="zh-CN"/>
        </w:rPr>
        <w:t>__________________</w:t>
      </w:r>
    </w:p>
    <w:p w14:paraId="2EB98EDF" w14:textId="036C0A95" w:rsidR="00CB11DB" w:rsidRPr="00CB11DB" w:rsidRDefault="00CB11DB" w:rsidP="00140C5B">
      <w:pPr>
        <w:numPr>
          <w:ilvl w:val="0"/>
          <w:numId w:val="38"/>
        </w:numPr>
        <w:spacing w:line="259" w:lineRule="auto"/>
        <w:ind w:left="1276" w:hanging="426"/>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Unsure</w:t>
      </w:r>
    </w:p>
    <w:p w14:paraId="1FAADF0D" w14:textId="77777777" w:rsidR="00CB11DB" w:rsidRPr="00CB11DB" w:rsidRDefault="00CB11DB">
      <w:pPr>
        <w:numPr>
          <w:ilvl w:val="0"/>
          <w:numId w:val="154"/>
        </w:numPr>
        <w:spacing w:line="259" w:lineRule="auto"/>
        <w:ind w:left="426" w:hanging="426"/>
        <w:rPr>
          <w:rFonts w:asciiTheme="minorHAnsi" w:eastAsia="Calibri" w:hAnsiTheme="minorHAnsi" w:cstheme="minorHAnsi"/>
          <w:bCs/>
          <w:sz w:val="21"/>
          <w:szCs w:val="21"/>
          <w:lang w:eastAsia="en-AU"/>
        </w:rPr>
      </w:pPr>
      <w:r w:rsidRPr="00CB11DB">
        <w:rPr>
          <w:rFonts w:asciiTheme="minorHAnsi" w:eastAsia="Calibri" w:hAnsiTheme="minorHAnsi" w:cstheme="minorHAnsi"/>
          <w:bCs/>
          <w:sz w:val="21"/>
          <w:szCs w:val="21"/>
          <w:lang w:eastAsia="en-AU"/>
        </w:rPr>
        <w:t xml:space="preserve">In your experience, do you think </w:t>
      </w:r>
      <w:r w:rsidRPr="00CB11DB">
        <w:rPr>
          <w:rFonts w:asciiTheme="minorHAnsi" w:eastAsia="Calibri" w:hAnsiTheme="minorHAnsi" w:cstheme="minorHAnsi"/>
          <w:bCs/>
          <w:sz w:val="21"/>
          <w:szCs w:val="21"/>
          <w:u w:val="single"/>
          <w:lang w:eastAsia="en-AU"/>
        </w:rPr>
        <w:t xml:space="preserve">supported </w:t>
      </w:r>
      <w:r w:rsidRPr="00CB11DB">
        <w:rPr>
          <w:rFonts w:asciiTheme="minorHAnsi" w:eastAsia="Calibri" w:hAnsiTheme="minorHAnsi" w:cstheme="minorHAnsi"/>
          <w:bCs/>
          <w:sz w:val="21"/>
          <w:szCs w:val="21"/>
          <w:lang w:eastAsia="en-AU"/>
        </w:rPr>
        <w:t xml:space="preserve">digital mental health services are suitable for any </w:t>
      </w:r>
      <w:proofErr w:type="gramStart"/>
      <w:r w:rsidRPr="00CB11DB">
        <w:rPr>
          <w:rFonts w:asciiTheme="minorHAnsi" w:eastAsia="Calibri" w:hAnsiTheme="minorHAnsi" w:cstheme="minorHAnsi"/>
          <w:bCs/>
          <w:sz w:val="21"/>
          <w:szCs w:val="21"/>
          <w:lang w:eastAsia="en-AU"/>
        </w:rPr>
        <w:t>particular mental</w:t>
      </w:r>
      <w:proofErr w:type="gramEnd"/>
      <w:r w:rsidRPr="00CB11DB">
        <w:rPr>
          <w:rFonts w:asciiTheme="minorHAnsi" w:eastAsia="Calibri" w:hAnsiTheme="minorHAnsi" w:cstheme="minorHAnsi"/>
          <w:bCs/>
          <w:sz w:val="21"/>
          <w:szCs w:val="21"/>
          <w:lang w:eastAsia="en-AU"/>
        </w:rPr>
        <w:t xml:space="preserve"> health problems? Please select all that apply.</w:t>
      </w:r>
    </w:p>
    <w:p w14:paraId="793BA79F" w14:textId="77777777" w:rsidR="00CB11DB" w:rsidRPr="00CB11DB" w:rsidRDefault="00CB11DB" w:rsidP="00CB11DB">
      <w:pPr>
        <w:ind w:left="852" w:hanging="426"/>
        <w:rPr>
          <w:rFonts w:asciiTheme="minorHAnsi" w:eastAsia="Calibri" w:hAnsiTheme="minorHAnsi" w:cstheme="minorHAnsi"/>
          <w:bCs/>
          <w:sz w:val="21"/>
          <w:szCs w:val="21"/>
          <w:lang w:eastAsia="en-AU"/>
        </w:rPr>
      </w:pPr>
      <w:r w:rsidRPr="00CB11DB">
        <w:rPr>
          <w:rFonts w:asciiTheme="minorHAnsi" w:eastAsia="Calibri" w:hAnsiTheme="minorHAnsi" w:cstheme="minorHAnsi"/>
          <w:bCs/>
          <w:sz w:val="21"/>
          <w:szCs w:val="21"/>
          <w:lang w:eastAsia="en-AU"/>
        </w:rPr>
        <w:t>Digital mental health services are suitable for people with:</w:t>
      </w:r>
    </w:p>
    <w:p w14:paraId="009A7DEB" w14:textId="77777777" w:rsidR="00CB11DB" w:rsidRPr="00CB11DB" w:rsidRDefault="00CB11DB" w:rsidP="00140C5B">
      <w:pPr>
        <w:numPr>
          <w:ilvl w:val="0"/>
          <w:numId w:val="38"/>
        </w:numPr>
        <w:spacing w:line="259" w:lineRule="auto"/>
        <w:ind w:left="1276" w:hanging="426"/>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See list in question 13</w:t>
      </w:r>
    </w:p>
    <w:p w14:paraId="41DD5D4A" w14:textId="77777777" w:rsidR="00CB11DB" w:rsidRPr="00CB11DB" w:rsidRDefault="00CB11DB">
      <w:pPr>
        <w:numPr>
          <w:ilvl w:val="0"/>
          <w:numId w:val="154"/>
        </w:numPr>
        <w:spacing w:line="259" w:lineRule="auto"/>
        <w:ind w:left="426" w:hanging="426"/>
        <w:rPr>
          <w:rFonts w:asciiTheme="minorHAnsi" w:eastAsia="Calibri" w:hAnsiTheme="minorHAnsi" w:cstheme="minorHAnsi"/>
          <w:bCs/>
          <w:sz w:val="21"/>
          <w:szCs w:val="21"/>
          <w:lang w:eastAsia="en-AU"/>
        </w:rPr>
      </w:pPr>
      <w:r w:rsidRPr="00CB11DB">
        <w:rPr>
          <w:rFonts w:asciiTheme="minorHAnsi" w:eastAsia="Calibri" w:hAnsiTheme="minorHAnsi" w:cstheme="minorHAnsi"/>
          <w:bCs/>
          <w:sz w:val="21"/>
          <w:szCs w:val="21"/>
          <w:lang w:eastAsia="en-AU"/>
        </w:rPr>
        <w:t xml:space="preserve">In your experience, do you think digital mental health services are not suitable for any </w:t>
      </w:r>
      <w:proofErr w:type="gramStart"/>
      <w:r w:rsidRPr="00CB11DB">
        <w:rPr>
          <w:rFonts w:asciiTheme="minorHAnsi" w:eastAsia="Calibri" w:hAnsiTheme="minorHAnsi" w:cstheme="minorHAnsi"/>
          <w:bCs/>
          <w:sz w:val="21"/>
          <w:szCs w:val="21"/>
          <w:lang w:eastAsia="en-AU"/>
        </w:rPr>
        <w:t>particular mental</w:t>
      </w:r>
      <w:proofErr w:type="gramEnd"/>
      <w:r w:rsidRPr="00CB11DB">
        <w:rPr>
          <w:rFonts w:asciiTheme="minorHAnsi" w:eastAsia="Calibri" w:hAnsiTheme="minorHAnsi" w:cstheme="minorHAnsi"/>
          <w:bCs/>
          <w:sz w:val="21"/>
          <w:szCs w:val="21"/>
          <w:lang w:eastAsia="en-AU"/>
        </w:rPr>
        <w:t xml:space="preserve"> health problems? Please select all that apply.</w:t>
      </w:r>
    </w:p>
    <w:p w14:paraId="6450AD35" w14:textId="77777777" w:rsidR="00CB11DB" w:rsidRPr="00CB11DB" w:rsidRDefault="00CB11DB" w:rsidP="00CB11DB">
      <w:pPr>
        <w:ind w:left="852" w:hanging="426"/>
        <w:rPr>
          <w:rFonts w:asciiTheme="minorHAnsi" w:eastAsia="Calibri" w:hAnsiTheme="minorHAnsi" w:cstheme="minorHAnsi"/>
          <w:bCs/>
          <w:sz w:val="21"/>
          <w:szCs w:val="21"/>
          <w:lang w:eastAsia="en-AU"/>
        </w:rPr>
      </w:pPr>
      <w:r w:rsidRPr="00CB11DB">
        <w:rPr>
          <w:rFonts w:asciiTheme="minorHAnsi" w:eastAsia="Calibri" w:hAnsiTheme="minorHAnsi" w:cstheme="minorHAnsi"/>
          <w:bCs/>
          <w:sz w:val="21"/>
          <w:szCs w:val="21"/>
          <w:lang w:eastAsia="en-AU"/>
        </w:rPr>
        <w:t>Digital mental health services are not suitable for people with:</w:t>
      </w:r>
    </w:p>
    <w:p w14:paraId="0611C0F2" w14:textId="77777777" w:rsidR="00CB11DB" w:rsidRPr="00CB11DB" w:rsidRDefault="00CB11DB" w:rsidP="00140C5B">
      <w:pPr>
        <w:numPr>
          <w:ilvl w:val="0"/>
          <w:numId w:val="38"/>
        </w:numPr>
        <w:spacing w:line="259" w:lineRule="auto"/>
        <w:ind w:left="1276" w:hanging="426"/>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See list in question 13</w:t>
      </w:r>
    </w:p>
    <w:p w14:paraId="7223AC99" w14:textId="77777777" w:rsidR="00CB11DB" w:rsidRPr="00CB11DB" w:rsidRDefault="00CB11DB">
      <w:pPr>
        <w:numPr>
          <w:ilvl w:val="0"/>
          <w:numId w:val="154"/>
        </w:numPr>
        <w:spacing w:line="259" w:lineRule="auto"/>
        <w:ind w:left="426" w:hanging="426"/>
        <w:rPr>
          <w:rFonts w:asciiTheme="minorHAnsi" w:eastAsia="Calibri" w:hAnsiTheme="minorHAnsi" w:cstheme="minorHAnsi"/>
          <w:bCs/>
          <w:sz w:val="21"/>
          <w:szCs w:val="21"/>
          <w:lang w:eastAsia="en-AU"/>
        </w:rPr>
      </w:pPr>
      <w:r w:rsidRPr="00CB11DB">
        <w:rPr>
          <w:rFonts w:asciiTheme="minorHAnsi" w:eastAsia="Calibri" w:hAnsiTheme="minorHAnsi" w:cstheme="minorHAnsi"/>
          <w:bCs/>
          <w:sz w:val="21"/>
          <w:szCs w:val="21"/>
          <w:lang w:eastAsia="en-AU"/>
        </w:rPr>
        <w:t xml:space="preserve">In your experience, do you think </w:t>
      </w:r>
      <w:r w:rsidRPr="00CB11DB">
        <w:rPr>
          <w:rFonts w:asciiTheme="minorHAnsi" w:eastAsia="Calibri" w:hAnsiTheme="minorHAnsi" w:cstheme="minorHAnsi"/>
          <w:bCs/>
          <w:sz w:val="21"/>
          <w:szCs w:val="21"/>
          <w:u w:val="single"/>
          <w:lang w:eastAsia="en-AU"/>
        </w:rPr>
        <w:t xml:space="preserve">supported </w:t>
      </w:r>
      <w:r w:rsidRPr="00CB11DB">
        <w:rPr>
          <w:rFonts w:asciiTheme="minorHAnsi" w:eastAsia="Calibri" w:hAnsiTheme="minorHAnsi" w:cstheme="minorHAnsi"/>
          <w:bCs/>
          <w:sz w:val="21"/>
          <w:szCs w:val="21"/>
          <w:lang w:eastAsia="en-AU"/>
        </w:rPr>
        <w:t xml:space="preserve">digital mental health services are not suitable for any </w:t>
      </w:r>
      <w:proofErr w:type="gramStart"/>
      <w:r w:rsidRPr="00CB11DB">
        <w:rPr>
          <w:rFonts w:asciiTheme="minorHAnsi" w:eastAsia="Calibri" w:hAnsiTheme="minorHAnsi" w:cstheme="minorHAnsi"/>
          <w:bCs/>
          <w:sz w:val="21"/>
          <w:szCs w:val="21"/>
          <w:lang w:eastAsia="en-AU"/>
        </w:rPr>
        <w:t>particular mental</w:t>
      </w:r>
      <w:proofErr w:type="gramEnd"/>
      <w:r w:rsidRPr="00CB11DB">
        <w:rPr>
          <w:rFonts w:asciiTheme="minorHAnsi" w:eastAsia="Calibri" w:hAnsiTheme="minorHAnsi" w:cstheme="minorHAnsi"/>
          <w:bCs/>
          <w:sz w:val="21"/>
          <w:szCs w:val="21"/>
          <w:lang w:eastAsia="en-AU"/>
        </w:rPr>
        <w:t xml:space="preserve"> health problems? Please select all that apply.</w:t>
      </w:r>
    </w:p>
    <w:p w14:paraId="5DA15B9F" w14:textId="77777777" w:rsidR="00CB11DB" w:rsidRPr="00CB11DB" w:rsidRDefault="00CB11DB" w:rsidP="00CB11DB">
      <w:pPr>
        <w:ind w:left="852" w:hanging="426"/>
        <w:rPr>
          <w:rFonts w:asciiTheme="minorHAnsi" w:eastAsia="Calibri" w:hAnsiTheme="minorHAnsi" w:cstheme="minorHAnsi"/>
          <w:bCs/>
          <w:sz w:val="21"/>
          <w:szCs w:val="21"/>
          <w:lang w:eastAsia="en-AU"/>
        </w:rPr>
      </w:pPr>
      <w:r w:rsidRPr="00CB11DB">
        <w:rPr>
          <w:rFonts w:asciiTheme="minorHAnsi" w:eastAsia="Calibri" w:hAnsiTheme="minorHAnsi" w:cstheme="minorHAnsi"/>
          <w:bCs/>
          <w:sz w:val="21"/>
          <w:szCs w:val="21"/>
          <w:lang w:eastAsia="en-AU"/>
        </w:rPr>
        <w:t>Digital mental health services are not suitable for people with:</w:t>
      </w:r>
    </w:p>
    <w:p w14:paraId="1244CE49" w14:textId="77777777" w:rsidR="00CB11DB" w:rsidRPr="00CB11DB" w:rsidRDefault="00CB11DB" w:rsidP="00140C5B">
      <w:pPr>
        <w:numPr>
          <w:ilvl w:val="0"/>
          <w:numId w:val="38"/>
        </w:numPr>
        <w:tabs>
          <w:tab w:val="num" w:pos="720"/>
        </w:tabs>
        <w:spacing w:line="259" w:lineRule="auto"/>
        <w:ind w:left="1276" w:hanging="426"/>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See list in question 13</w:t>
      </w:r>
    </w:p>
    <w:p w14:paraId="74AA9318" w14:textId="77777777" w:rsidR="00CB11DB" w:rsidRPr="00CB11DB" w:rsidRDefault="00CB11DB">
      <w:pPr>
        <w:numPr>
          <w:ilvl w:val="0"/>
          <w:numId w:val="154"/>
        </w:numPr>
        <w:spacing w:line="259" w:lineRule="auto"/>
        <w:ind w:left="426" w:hanging="426"/>
        <w:rPr>
          <w:rFonts w:asciiTheme="minorHAnsi" w:eastAsia="Calibri" w:hAnsiTheme="minorHAnsi" w:cstheme="minorHAnsi"/>
          <w:bCs/>
          <w:sz w:val="21"/>
          <w:szCs w:val="21"/>
          <w:lang w:eastAsia="en-AU"/>
        </w:rPr>
      </w:pPr>
      <w:r w:rsidRPr="00CB11DB">
        <w:rPr>
          <w:rFonts w:asciiTheme="minorHAnsi" w:eastAsia="Calibri" w:hAnsiTheme="minorHAnsi" w:cstheme="minorHAnsi"/>
          <w:bCs/>
          <w:color w:val="000000"/>
          <w:sz w:val="21"/>
          <w:szCs w:val="21"/>
          <w:lang w:eastAsia="en-AU"/>
        </w:rPr>
        <w:t xml:space="preserve">Are there any consumer groups </w:t>
      </w:r>
      <w:r w:rsidRPr="00CB11DB">
        <w:rPr>
          <w:rFonts w:asciiTheme="minorHAnsi" w:eastAsia="Calibri" w:hAnsiTheme="minorHAnsi" w:cstheme="minorHAnsi"/>
          <w:bCs/>
          <w:sz w:val="21"/>
          <w:szCs w:val="21"/>
          <w:lang w:eastAsia="en-AU"/>
        </w:rPr>
        <w:t xml:space="preserve">who </w:t>
      </w:r>
      <w:r w:rsidRPr="00CB11DB">
        <w:rPr>
          <w:rFonts w:asciiTheme="minorHAnsi" w:eastAsia="Calibri" w:hAnsiTheme="minorHAnsi" w:cstheme="minorHAnsi"/>
          <w:bCs/>
          <w:color w:val="000000"/>
          <w:sz w:val="21"/>
          <w:szCs w:val="21"/>
          <w:lang w:eastAsia="en-AU"/>
        </w:rPr>
        <w:t xml:space="preserve">would benefit from digital mental health services but </w:t>
      </w:r>
      <w:r w:rsidRPr="00CB11DB">
        <w:rPr>
          <w:rFonts w:asciiTheme="minorHAnsi" w:eastAsia="Calibri" w:hAnsiTheme="minorHAnsi" w:cstheme="minorHAnsi"/>
          <w:bCs/>
          <w:sz w:val="21"/>
          <w:szCs w:val="21"/>
          <w:lang w:eastAsia="en-AU"/>
        </w:rPr>
        <w:t xml:space="preserve">for whom </w:t>
      </w:r>
      <w:r w:rsidRPr="00CB11DB">
        <w:rPr>
          <w:rFonts w:asciiTheme="minorHAnsi" w:eastAsia="Calibri" w:hAnsiTheme="minorHAnsi" w:cstheme="minorHAnsi"/>
          <w:bCs/>
          <w:color w:val="000000"/>
          <w:sz w:val="21"/>
          <w:szCs w:val="21"/>
          <w:lang w:eastAsia="en-AU"/>
        </w:rPr>
        <w:t>programs have not yet been tailored?</w:t>
      </w:r>
    </w:p>
    <w:p w14:paraId="4ED9F1FC" w14:textId="77777777" w:rsidR="00CB11DB" w:rsidRPr="00CB11DB" w:rsidRDefault="00CB11DB" w:rsidP="00140C5B">
      <w:pPr>
        <w:numPr>
          <w:ilvl w:val="0"/>
          <w:numId w:val="38"/>
        </w:numPr>
        <w:spacing w:line="259" w:lineRule="auto"/>
        <w:ind w:left="1276" w:hanging="426"/>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Yes</w:t>
      </w:r>
    </w:p>
    <w:p w14:paraId="1A252A8A" w14:textId="77777777" w:rsidR="00CB11DB" w:rsidRPr="00CB11DB" w:rsidRDefault="00CB11DB" w:rsidP="00140C5B">
      <w:pPr>
        <w:numPr>
          <w:ilvl w:val="0"/>
          <w:numId w:val="38"/>
        </w:numPr>
        <w:spacing w:line="259" w:lineRule="auto"/>
        <w:ind w:left="1276" w:hanging="426"/>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No</w:t>
      </w:r>
    </w:p>
    <w:p w14:paraId="38B7BF63" w14:textId="4031D437" w:rsidR="00CB11DB" w:rsidRPr="00CB11DB" w:rsidRDefault="00CB11DB" w:rsidP="00A506C0">
      <w:pPr>
        <w:ind w:left="851" w:hanging="426"/>
        <w:rPr>
          <w:rFonts w:asciiTheme="minorHAnsi" w:eastAsia="Calibri" w:hAnsiTheme="minorHAnsi" w:cstheme="minorHAnsi"/>
          <w:bCs/>
          <w:sz w:val="21"/>
          <w:szCs w:val="21"/>
          <w:lang w:eastAsia="en-AU"/>
        </w:rPr>
      </w:pPr>
      <w:r w:rsidRPr="00CB11DB">
        <w:rPr>
          <w:rFonts w:asciiTheme="minorHAnsi" w:eastAsia="Calibri" w:hAnsiTheme="minorHAnsi" w:cstheme="minorHAnsi"/>
          <w:bCs/>
          <w:color w:val="000000"/>
          <w:sz w:val="21"/>
          <w:szCs w:val="21"/>
          <w:lang w:eastAsia="en-AU"/>
        </w:rPr>
        <w:t>I</w:t>
      </w:r>
      <w:r w:rsidRPr="00CB11DB">
        <w:rPr>
          <w:rFonts w:asciiTheme="minorHAnsi" w:eastAsia="Calibri" w:hAnsiTheme="minorHAnsi" w:cstheme="minorHAnsi"/>
          <w:bCs/>
          <w:sz w:val="21"/>
          <w:szCs w:val="21"/>
          <w:lang w:eastAsia="en-AU"/>
        </w:rPr>
        <w:t>f yes, please specify who these consumer groups are:</w:t>
      </w:r>
    </w:p>
    <w:p w14:paraId="7C3607F0" w14:textId="77777777" w:rsidR="00CB11DB" w:rsidRPr="00CB11DB" w:rsidRDefault="00CB11DB" w:rsidP="00140C5B">
      <w:pPr>
        <w:numPr>
          <w:ilvl w:val="0"/>
          <w:numId w:val="38"/>
        </w:numPr>
        <w:spacing w:line="259" w:lineRule="auto"/>
        <w:ind w:left="1985"/>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Aboriginal and/or Torres Strait Islander peoples</w:t>
      </w:r>
    </w:p>
    <w:p w14:paraId="3FDB6D43" w14:textId="77777777" w:rsidR="00CB11DB" w:rsidRPr="00CB11DB" w:rsidRDefault="00CB11DB" w:rsidP="00140C5B">
      <w:pPr>
        <w:numPr>
          <w:ilvl w:val="0"/>
          <w:numId w:val="38"/>
        </w:numPr>
        <w:spacing w:line="259" w:lineRule="auto"/>
        <w:ind w:left="1985"/>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People who are from culturally and linguistically diverse backgrounds or whose main language spoken at home is not English</w:t>
      </w:r>
    </w:p>
    <w:p w14:paraId="5FFB6C8B" w14:textId="77777777" w:rsidR="00CB11DB" w:rsidRPr="00CB11DB" w:rsidRDefault="00CB11DB" w:rsidP="00140C5B">
      <w:pPr>
        <w:numPr>
          <w:ilvl w:val="0"/>
          <w:numId w:val="38"/>
        </w:numPr>
        <w:spacing w:line="259" w:lineRule="auto"/>
        <w:ind w:left="1985"/>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People living in a rural or remote location</w:t>
      </w:r>
    </w:p>
    <w:p w14:paraId="4B7FFC18" w14:textId="77777777" w:rsidR="00CB11DB" w:rsidRPr="00CB11DB" w:rsidRDefault="00CB11DB" w:rsidP="00140C5B">
      <w:pPr>
        <w:numPr>
          <w:ilvl w:val="0"/>
          <w:numId w:val="38"/>
        </w:numPr>
        <w:spacing w:line="259" w:lineRule="auto"/>
        <w:ind w:left="1985"/>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People who identify as LGBTQIA+</w:t>
      </w:r>
    </w:p>
    <w:p w14:paraId="07F6F844" w14:textId="77777777" w:rsidR="00CB11DB" w:rsidRPr="00CB11DB" w:rsidRDefault="00CB11DB" w:rsidP="00140C5B">
      <w:pPr>
        <w:numPr>
          <w:ilvl w:val="0"/>
          <w:numId w:val="38"/>
        </w:numPr>
        <w:spacing w:line="259" w:lineRule="auto"/>
        <w:ind w:left="1985"/>
        <w:contextualSpacing/>
        <w:rPr>
          <w:rFonts w:asciiTheme="minorHAnsi" w:eastAsia="Calibri" w:hAnsiTheme="minorHAnsi" w:cstheme="minorHAnsi"/>
          <w:bCs/>
          <w:color w:val="000000" w:themeColor="text1"/>
          <w:sz w:val="21"/>
          <w:szCs w:val="21"/>
          <w:lang w:val="en-US" w:eastAsia="zh-CN"/>
        </w:rPr>
      </w:pPr>
      <w:r w:rsidRPr="00CB11DB">
        <w:rPr>
          <w:rFonts w:asciiTheme="minorHAnsi" w:eastAsia="Calibri" w:hAnsiTheme="minorHAnsi" w:cstheme="minorHAnsi"/>
          <w:bCs/>
          <w:color w:val="000000" w:themeColor="text1"/>
          <w:sz w:val="21"/>
          <w:szCs w:val="21"/>
          <w:lang w:val="en-US" w:eastAsia="zh-CN"/>
        </w:rPr>
        <w:t>Other, please specify _____________</w:t>
      </w:r>
    </w:p>
    <w:p w14:paraId="289F107C" w14:textId="77777777" w:rsidR="00CB11DB" w:rsidRPr="00CB11DB" w:rsidRDefault="00CB11DB" w:rsidP="00A506C0">
      <w:pPr>
        <w:ind w:left="426"/>
        <w:rPr>
          <w:rFonts w:asciiTheme="minorHAnsi" w:eastAsia="Calibri" w:hAnsiTheme="minorHAnsi" w:cstheme="minorHAnsi"/>
          <w:bCs/>
          <w:color w:val="000000"/>
          <w:sz w:val="21"/>
          <w:szCs w:val="21"/>
          <w:lang w:eastAsia="en-AU"/>
        </w:rPr>
      </w:pPr>
      <w:r w:rsidRPr="00CB11DB">
        <w:rPr>
          <w:rFonts w:asciiTheme="minorHAnsi" w:eastAsia="Calibri" w:hAnsiTheme="minorHAnsi" w:cstheme="minorHAnsi"/>
          <w:bCs/>
          <w:color w:val="000000"/>
          <w:sz w:val="21"/>
          <w:szCs w:val="21"/>
          <w:lang w:eastAsia="en-AU"/>
        </w:rPr>
        <w:t xml:space="preserve">Please describe the modifications needed for </w:t>
      </w:r>
      <w:r w:rsidRPr="00CB11DB">
        <w:rPr>
          <w:rFonts w:asciiTheme="minorHAnsi" w:eastAsia="Calibri" w:hAnsiTheme="minorHAnsi" w:cstheme="minorHAnsi"/>
          <w:bCs/>
          <w:sz w:val="21"/>
          <w:szCs w:val="21"/>
          <w:lang w:eastAsia="en-AU"/>
        </w:rPr>
        <w:t>each</w:t>
      </w:r>
      <w:r w:rsidRPr="00CB11DB">
        <w:rPr>
          <w:rFonts w:asciiTheme="minorHAnsi" w:eastAsia="Calibri" w:hAnsiTheme="minorHAnsi" w:cstheme="minorHAnsi"/>
          <w:bCs/>
          <w:color w:val="000000"/>
          <w:sz w:val="21"/>
          <w:szCs w:val="21"/>
          <w:lang w:eastAsia="en-AU"/>
        </w:rPr>
        <w:t xml:space="preserve"> group you’ve selected.</w:t>
      </w:r>
    </w:p>
    <w:p w14:paraId="79483F55" w14:textId="77777777" w:rsidR="00CB11DB" w:rsidRPr="00CB11DB" w:rsidRDefault="00CB11DB">
      <w:pPr>
        <w:numPr>
          <w:ilvl w:val="0"/>
          <w:numId w:val="154"/>
        </w:numPr>
        <w:spacing w:line="259" w:lineRule="auto"/>
        <w:ind w:left="426" w:hanging="426"/>
        <w:contextualSpacing/>
        <w:rPr>
          <w:rFonts w:asciiTheme="minorHAnsi" w:eastAsia="DengXian" w:hAnsiTheme="minorHAnsi" w:cstheme="minorHAnsi"/>
          <w:bCs/>
          <w:color w:val="000000" w:themeColor="text1"/>
          <w:sz w:val="21"/>
          <w:szCs w:val="21"/>
          <w:lang w:eastAsia="zh-CN"/>
        </w:rPr>
      </w:pPr>
      <w:r w:rsidRPr="00CB11DB">
        <w:rPr>
          <w:rFonts w:asciiTheme="minorHAnsi" w:eastAsia="Calibri" w:hAnsiTheme="minorHAnsi" w:cstheme="minorHAnsi"/>
          <w:bCs/>
          <w:color w:val="000000" w:themeColor="text1"/>
          <w:sz w:val="21"/>
          <w:szCs w:val="21"/>
          <w:lang w:eastAsia="zh-CN"/>
        </w:rPr>
        <w:t xml:space="preserve">What are the barriers to the use of digital mental health interventions in general and </w:t>
      </w:r>
      <w:r w:rsidRPr="00CB11DB">
        <w:rPr>
          <w:rFonts w:asciiTheme="minorHAnsi" w:eastAsia="Calibri" w:hAnsiTheme="minorHAnsi" w:cstheme="minorHAnsi"/>
          <w:bCs/>
          <w:color w:val="000000" w:themeColor="text1"/>
          <w:sz w:val="21"/>
          <w:szCs w:val="21"/>
          <w:u w:val="single"/>
          <w:lang w:eastAsia="zh-CN"/>
        </w:rPr>
        <w:t>supported</w:t>
      </w:r>
      <w:r w:rsidRPr="00CB11DB">
        <w:rPr>
          <w:rFonts w:asciiTheme="minorHAnsi" w:eastAsia="Calibri" w:hAnsiTheme="minorHAnsi" w:cstheme="minorHAnsi"/>
          <w:bCs/>
          <w:color w:val="000000" w:themeColor="text1"/>
          <w:sz w:val="21"/>
          <w:szCs w:val="21"/>
          <w:lang w:eastAsia="zh-CN"/>
        </w:rPr>
        <w:t xml:space="preserve"> digital mental health services specifically?</w:t>
      </w:r>
    </w:p>
    <w:p w14:paraId="63B29B5C" w14:textId="77777777" w:rsidR="00CB11DB" w:rsidRPr="00CB11DB" w:rsidRDefault="00CB11DB">
      <w:pPr>
        <w:numPr>
          <w:ilvl w:val="0"/>
          <w:numId w:val="154"/>
        </w:numPr>
        <w:spacing w:line="259" w:lineRule="auto"/>
        <w:ind w:left="426" w:hanging="426"/>
        <w:contextualSpacing/>
        <w:rPr>
          <w:rFonts w:asciiTheme="minorHAnsi" w:eastAsia="DengXian" w:hAnsiTheme="minorHAnsi" w:cstheme="minorHAnsi"/>
          <w:bCs/>
          <w:color w:val="000000" w:themeColor="text1"/>
          <w:sz w:val="21"/>
          <w:szCs w:val="21"/>
          <w:lang w:eastAsia="zh-CN"/>
        </w:rPr>
      </w:pPr>
      <w:r w:rsidRPr="00CB11DB">
        <w:rPr>
          <w:rFonts w:asciiTheme="minorHAnsi" w:eastAsia="Calibri" w:hAnsiTheme="minorHAnsi" w:cstheme="minorHAnsi"/>
          <w:bCs/>
          <w:color w:val="000000" w:themeColor="text1"/>
          <w:sz w:val="21"/>
          <w:szCs w:val="21"/>
          <w:lang w:eastAsia="zh-CN"/>
        </w:rPr>
        <w:t xml:space="preserve">What changes are needed to improve the use of digital mental health services in general and </w:t>
      </w:r>
      <w:r w:rsidRPr="00CB11DB">
        <w:rPr>
          <w:rFonts w:asciiTheme="minorHAnsi" w:eastAsia="Calibri" w:hAnsiTheme="minorHAnsi" w:cstheme="minorHAnsi"/>
          <w:bCs/>
          <w:color w:val="000000" w:themeColor="text1"/>
          <w:sz w:val="21"/>
          <w:szCs w:val="21"/>
          <w:u w:val="single"/>
          <w:lang w:eastAsia="zh-CN"/>
        </w:rPr>
        <w:t>supported</w:t>
      </w:r>
      <w:r w:rsidRPr="00CB11DB">
        <w:rPr>
          <w:rFonts w:asciiTheme="minorHAnsi" w:eastAsia="Calibri" w:hAnsiTheme="minorHAnsi" w:cstheme="minorHAnsi"/>
          <w:bCs/>
          <w:color w:val="000000" w:themeColor="text1"/>
          <w:sz w:val="21"/>
          <w:szCs w:val="21"/>
          <w:lang w:eastAsia="zh-CN"/>
        </w:rPr>
        <w:t xml:space="preserve"> digital mental health services specifically?</w:t>
      </w:r>
    </w:p>
    <w:p w14:paraId="55FEFF72" w14:textId="77777777" w:rsidR="00CB11DB" w:rsidRPr="00CB11DB" w:rsidRDefault="00CB11DB">
      <w:pPr>
        <w:numPr>
          <w:ilvl w:val="0"/>
          <w:numId w:val="154"/>
        </w:numPr>
        <w:spacing w:line="259" w:lineRule="auto"/>
        <w:ind w:left="426" w:hanging="426"/>
        <w:contextualSpacing/>
        <w:rPr>
          <w:rFonts w:asciiTheme="minorHAnsi" w:eastAsia="DengXian" w:hAnsiTheme="minorHAnsi" w:cstheme="minorHAnsi"/>
          <w:bCs/>
          <w:color w:val="000000" w:themeColor="text1"/>
          <w:sz w:val="21"/>
          <w:szCs w:val="21"/>
          <w:lang w:eastAsia="zh-CN"/>
        </w:rPr>
      </w:pPr>
      <w:r w:rsidRPr="00CB11DB">
        <w:rPr>
          <w:rFonts w:asciiTheme="minorHAnsi" w:eastAsia="Calibri" w:hAnsiTheme="minorHAnsi" w:cstheme="minorHAnsi"/>
          <w:bCs/>
          <w:color w:val="000000" w:themeColor="text1"/>
          <w:sz w:val="21"/>
          <w:szCs w:val="21"/>
          <w:lang w:eastAsia="zh-CN"/>
        </w:rPr>
        <w:t>Provide other comments, if you have any, about digital mental health services</w:t>
      </w:r>
      <w:r w:rsidRPr="00CB11DB">
        <w:rPr>
          <w:rFonts w:asciiTheme="minorHAnsi" w:hAnsiTheme="minorHAnsi" w:cstheme="minorHAnsi"/>
          <w:bCs/>
          <w:color w:val="000000" w:themeColor="text1"/>
          <w:sz w:val="21"/>
          <w:szCs w:val="21"/>
          <w:lang w:eastAsia="zh-CN"/>
        </w:rPr>
        <w:t xml:space="preserve"> </w:t>
      </w:r>
      <w:r w:rsidRPr="00CB11DB">
        <w:rPr>
          <w:rFonts w:asciiTheme="minorHAnsi" w:eastAsia="Calibri" w:hAnsiTheme="minorHAnsi" w:cstheme="minorHAnsi"/>
          <w:bCs/>
          <w:color w:val="000000" w:themeColor="text1"/>
          <w:sz w:val="21"/>
          <w:szCs w:val="21"/>
          <w:lang w:eastAsia="zh-CN"/>
        </w:rPr>
        <w:t xml:space="preserve">in general and </w:t>
      </w:r>
      <w:r w:rsidRPr="00CB11DB">
        <w:rPr>
          <w:rFonts w:asciiTheme="minorHAnsi" w:eastAsia="Calibri" w:hAnsiTheme="minorHAnsi" w:cstheme="minorHAnsi"/>
          <w:bCs/>
          <w:color w:val="000000" w:themeColor="text1"/>
          <w:sz w:val="21"/>
          <w:szCs w:val="21"/>
          <w:u w:val="single"/>
          <w:lang w:eastAsia="zh-CN"/>
        </w:rPr>
        <w:t>supported</w:t>
      </w:r>
      <w:r w:rsidRPr="00CB11DB">
        <w:rPr>
          <w:rFonts w:asciiTheme="minorHAnsi" w:eastAsia="Calibri" w:hAnsiTheme="minorHAnsi" w:cstheme="minorHAnsi"/>
          <w:bCs/>
          <w:color w:val="000000" w:themeColor="text1"/>
          <w:sz w:val="21"/>
          <w:szCs w:val="21"/>
          <w:lang w:eastAsia="zh-CN"/>
        </w:rPr>
        <w:t xml:space="preserve"> digital mental health services specifically.</w:t>
      </w:r>
    </w:p>
    <w:p w14:paraId="60E2EFA2" w14:textId="77777777" w:rsidR="00BE37E3" w:rsidRDefault="00BE37E3">
      <w:pPr>
        <w:rPr>
          <w:rFonts w:asciiTheme="minorHAnsi" w:eastAsiaTheme="minorHAnsi" w:hAnsiTheme="minorHAnsi" w:cstheme="minorHAnsi"/>
          <w:bCs/>
          <w:sz w:val="21"/>
          <w:szCs w:val="21"/>
          <w:lang w:eastAsia="en-AU"/>
        </w:rPr>
      </w:pPr>
      <w:r>
        <w:rPr>
          <w:rFonts w:asciiTheme="minorHAnsi" w:hAnsiTheme="minorHAnsi" w:cstheme="minorHAnsi"/>
          <w:bCs/>
          <w:sz w:val="21"/>
          <w:szCs w:val="21"/>
        </w:rPr>
        <w:br w:type="page"/>
      </w:r>
    </w:p>
    <w:p w14:paraId="5D2A7A4A" w14:textId="11935D7D" w:rsidR="007929A7" w:rsidRPr="00A00873" w:rsidRDefault="007929A7" w:rsidP="009E76DC">
      <w:pPr>
        <w:pStyle w:val="Heading1"/>
      </w:pPr>
      <w:bookmarkStart w:id="343" w:name="_Toc108784936"/>
      <w:r w:rsidRPr="007929A7">
        <w:lastRenderedPageBreak/>
        <w:t xml:space="preserve">Appendix </w:t>
      </w:r>
      <w:r>
        <w:t>L:</w:t>
      </w:r>
      <w:r w:rsidR="009E76DC">
        <w:t xml:space="preserve"> </w:t>
      </w:r>
      <w:r w:rsidR="00C22FE0" w:rsidRPr="4CC07626">
        <w:t>Cost effectiveness modelling</w:t>
      </w:r>
      <w:bookmarkEnd w:id="343"/>
    </w:p>
    <w:bookmarkEnd w:id="0"/>
    <w:bookmarkEnd w:id="1"/>
    <w:p w14:paraId="3469F746" w14:textId="4C755935" w:rsidR="00C22FE0" w:rsidRDefault="00C754B0" w:rsidP="4CC07626">
      <w:pPr>
        <w:outlineLvl w:val="2"/>
        <w:rPr>
          <w:rFonts w:asciiTheme="minorHAnsi" w:hAnsiTheme="minorHAnsi" w:cstheme="minorBidi"/>
          <w:b/>
          <w:bCs/>
          <w:color w:val="2F5496" w:themeColor="accent1" w:themeShade="BF"/>
        </w:rPr>
      </w:pPr>
      <w:r>
        <w:rPr>
          <w:rFonts w:asciiTheme="minorHAnsi" w:hAnsiTheme="minorHAnsi" w:cstheme="minorBidi"/>
          <w:b/>
          <w:bCs/>
          <w:color w:val="2F5496" w:themeColor="accent1" w:themeShade="BF"/>
        </w:rPr>
        <w:t>L1</w:t>
      </w:r>
      <w:r w:rsidR="00C22FE0" w:rsidRPr="41D9E992">
        <w:rPr>
          <w:rFonts w:asciiTheme="minorHAnsi" w:hAnsiTheme="minorHAnsi" w:cstheme="minorBidi"/>
          <w:b/>
          <w:bCs/>
          <w:color w:val="2F5496" w:themeColor="accent1" w:themeShade="BF"/>
        </w:rPr>
        <w:t>. Economic model</w:t>
      </w:r>
    </w:p>
    <w:p w14:paraId="171873D0" w14:textId="238A0834" w:rsidR="00C22FE0" w:rsidRPr="00C22FE0" w:rsidRDefault="00C22FE0" w:rsidP="00D6551D">
      <w:pPr>
        <w:spacing w:after="240"/>
        <w:rPr>
          <w:rFonts w:ascii="Calibri" w:eastAsiaTheme="minorEastAsia" w:hAnsi="Calibri" w:cs="Arial"/>
          <w:color w:val="000000" w:themeColor="text1"/>
          <w:sz w:val="21"/>
          <w:szCs w:val="21"/>
          <w:lang w:eastAsia="zh-CN"/>
        </w:rPr>
      </w:pPr>
      <w:r w:rsidRPr="00C22FE0">
        <w:rPr>
          <w:rFonts w:ascii="Calibri" w:eastAsiaTheme="minorEastAsia" w:hAnsi="Calibri" w:cs="Arial"/>
          <w:iCs/>
          <w:color w:val="000000" w:themeColor="text1"/>
          <w:sz w:val="21"/>
          <w:szCs w:val="21"/>
          <w:lang w:eastAsia="zh-CN"/>
        </w:rPr>
        <w:t xml:space="preserve">Our economic model is based on a model we previously developed to evaluate the cost-effectiveness of a treatment program offered by </w:t>
      </w:r>
      <w:proofErr w:type="spellStart"/>
      <w:r w:rsidRPr="00C22FE0">
        <w:rPr>
          <w:rFonts w:ascii="Calibri" w:eastAsiaTheme="minorEastAsia" w:hAnsi="Calibri" w:cs="Arial"/>
          <w:iCs/>
          <w:color w:val="000000" w:themeColor="text1"/>
          <w:sz w:val="21"/>
          <w:szCs w:val="21"/>
          <w:lang w:eastAsia="zh-CN"/>
        </w:rPr>
        <w:t>MindSpot</w:t>
      </w:r>
      <w:proofErr w:type="spellEnd"/>
      <w:r w:rsidRPr="00C22FE0">
        <w:rPr>
          <w:rFonts w:ascii="Calibri" w:eastAsiaTheme="minorEastAsia" w:hAnsi="Calibri" w:cs="Arial"/>
          <w:iCs/>
          <w:color w:val="000000" w:themeColor="text1"/>
          <w:sz w:val="21"/>
          <w:szCs w:val="21"/>
          <w:lang w:eastAsia="zh-CN"/>
        </w:rPr>
        <w:t xml:space="preserve"> for people with symptoms of depression and/or anxiety (</w:t>
      </w:r>
      <w:r w:rsidRPr="00F11A85">
        <w:rPr>
          <w:rFonts w:ascii="Calibri" w:eastAsiaTheme="minorEastAsia" w:hAnsi="Calibri" w:cs="Arial"/>
          <w:color w:val="000000" w:themeColor="text1"/>
          <w:sz w:val="21"/>
          <w:szCs w:val="21"/>
          <w:lang w:eastAsia="zh-CN"/>
        </w:rPr>
        <w:t>Lee et al, 2017</w:t>
      </w:r>
      <w:r w:rsidRPr="00F11A85">
        <w:rPr>
          <w:rFonts w:ascii="Calibri" w:eastAsiaTheme="minorEastAsia" w:hAnsi="Calibri" w:cs="Arial"/>
          <w:iCs/>
          <w:color w:val="000000" w:themeColor="text1"/>
          <w:sz w:val="21"/>
          <w:szCs w:val="21"/>
          <w:lang w:eastAsia="zh-CN"/>
        </w:rPr>
        <w:t>).</w:t>
      </w:r>
      <w:r w:rsidR="00C90F8D" w:rsidRPr="00F11A85">
        <w:rPr>
          <w:rFonts w:ascii="Calibri" w:eastAsiaTheme="minorEastAsia" w:hAnsi="Calibri" w:cs="Arial"/>
          <w:iCs/>
          <w:color w:val="000000" w:themeColor="text1"/>
          <w:sz w:val="21"/>
          <w:szCs w:val="21"/>
          <w:lang w:eastAsia="zh-CN"/>
        </w:rPr>
        <w:fldChar w:fldCharType="begin"/>
      </w:r>
      <w:r w:rsidR="004469A2">
        <w:rPr>
          <w:rFonts w:ascii="Calibri" w:eastAsiaTheme="minorEastAsia" w:hAnsi="Calibri" w:cs="Arial"/>
          <w:iCs/>
          <w:color w:val="000000" w:themeColor="text1"/>
          <w:sz w:val="21"/>
          <w:szCs w:val="21"/>
          <w:lang w:eastAsia="zh-CN"/>
        </w:rPr>
        <w:instrText xml:space="preserve"> ADDIN EN.CITE &lt;EndNote&gt;&lt;Cite&gt;&lt;Author&gt;Lee&lt;/Author&gt;&lt;Year&gt;2017&lt;/Year&gt;&lt;RecNum&gt;27&lt;/RecNum&gt;&lt;DisplayText&gt;&lt;style face="superscript"&gt;83&lt;/style&gt;&lt;/DisplayText&gt;&lt;record&gt;&lt;rec-number&gt;27&lt;/rec-number&gt;&lt;foreign-keys&gt;&lt;key app="EN" db-id="dawtr0zrkrzfa5edzzlpe2we0xa00t90vvr2" timestamp="1623067866"&gt;27&lt;/key&gt;&lt;/foreign-keys&gt;&lt;ref-type name="Journal Article"&gt;17&lt;/ref-type&gt;&lt;contributors&gt;&lt;authors&gt;&lt;author&gt;Lee, Yu-Chen&lt;/author&gt;&lt;author&gt;Gao, Lan&lt;/author&gt;&lt;author&gt;Dear, Blake F&lt;/author&gt;&lt;author&gt;Titov, Nickolai&lt;/author&gt;&lt;author&gt;Mihalopoulos, Cathrine&lt;/author&gt;&lt;/authors&gt;&lt;/contributors&gt;&lt;titles&gt;&lt;title&gt;The cost-effectiveness of the online MindSpot Clinic for the treatment of depression and anxiety in Australia&lt;/title&gt;&lt;secondary-title&gt;J Ment Health Policy Econ&lt;/secondary-title&gt;&lt;/titles&gt;&lt;periodical&gt;&lt;full-title&gt;J Ment Health Policy Econ&lt;/full-title&gt;&lt;/periodical&gt;&lt;pages&gt;155-166&lt;/pages&gt;&lt;volume&gt;20&lt;/volume&gt;&lt;number&gt;4&lt;/number&gt;&lt;dates&gt;&lt;year&gt;2017&lt;/year&gt;&lt;/dates&gt;&lt;urls&gt;&lt;/urls&gt;&lt;/record&gt;&lt;/Cite&gt;&lt;/EndNote&gt;</w:instrText>
      </w:r>
      <w:r w:rsidR="00C90F8D" w:rsidRPr="00F11A85">
        <w:rPr>
          <w:rFonts w:ascii="Calibri" w:eastAsiaTheme="minorEastAsia" w:hAnsi="Calibri" w:cs="Arial"/>
          <w:iCs/>
          <w:color w:val="000000" w:themeColor="text1"/>
          <w:sz w:val="21"/>
          <w:szCs w:val="21"/>
          <w:lang w:eastAsia="zh-CN"/>
        </w:rPr>
        <w:fldChar w:fldCharType="separate"/>
      </w:r>
      <w:r w:rsidR="004469A2" w:rsidRPr="004469A2">
        <w:rPr>
          <w:rFonts w:ascii="Calibri" w:eastAsiaTheme="minorEastAsia" w:hAnsi="Calibri" w:cs="Arial"/>
          <w:iCs/>
          <w:noProof/>
          <w:color w:val="000000" w:themeColor="text1"/>
          <w:sz w:val="21"/>
          <w:szCs w:val="21"/>
          <w:vertAlign w:val="superscript"/>
          <w:lang w:eastAsia="zh-CN"/>
        </w:rPr>
        <w:t>83</w:t>
      </w:r>
      <w:r w:rsidR="00C90F8D" w:rsidRPr="00F11A85">
        <w:rPr>
          <w:rFonts w:ascii="Calibri" w:eastAsiaTheme="minorEastAsia" w:hAnsi="Calibri" w:cs="Arial"/>
          <w:iCs/>
          <w:color w:val="000000" w:themeColor="text1"/>
          <w:sz w:val="21"/>
          <w:szCs w:val="21"/>
          <w:lang w:eastAsia="zh-CN"/>
        </w:rPr>
        <w:fldChar w:fldCharType="end"/>
      </w:r>
      <w:r w:rsidRPr="00F11A85">
        <w:rPr>
          <w:rFonts w:ascii="Calibri" w:eastAsiaTheme="minorEastAsia" w:hAnsi="Calibri" w:cs="Arial"/>
          <w:iCs/>
          <w:color w:val="000000" w:themeColor="text1"/>
          <w:sz w:val="21"/>
          <w:szCs w:val="21"/>
          <w:lang w:eastAsia="zh-CN"/>
        </w:rPr>
        <w:t xml:space="preserve"> Figure </w:t>
      </w:r>
      <w:r w:rsidR="00C754B0">
        <w:rPr>
          <w:rFonts w:ascii="Calibri" w:eastAsiaTheme="minorEastAsia" w:hAnsi="Calibri" w:cs="Arial"/>
          <w:color w:val="000000" w:themeColor="text1"/>
          <w:sz w:val="21"/>
          <w:szCs w:val="21"/>
          <w:lang w:eastAsia="zh-CN"/>
        </w:rPr>
        <w:t>L1</w:t>
      </w:r>
      <w:r w:rsidRPr="00F11A85">
        <w:rPr>
          <w:rFonts w:ascii="Calibri" w:eastAsiaTheme="minorEastAsia" w:hAnsi="Calibri" w:cs="Arial"/>
          <w:iCs/>
          <w:color w:val="000000" w:themeColor="text1"/>
          <w:sz w:val="21"/>
          <w:szCs w:val="21"/>
          <w:lang w:eastAsia="zh-CN"/>
        </w:rPr>
        <w:t xml:space="preserve"> presents a schematic representation of the model structure, developed using decisi</w:t>
      </w:r>
      <w:r w:rsidRPr="00C22FE0">
        <w:rPr>
          <w:rFonts w:ascii="Calibri" w:eastAsiaTheme="minorEastAsia" w:hAnsi="Calibri" w:cs="Arial"/>
          <w:iCs/>
          <w:color w:val="000000" w:themeColor="text1"/>
          <w:sz w:val="21"/>
          <w:szCs w:val="21"/>
          <w:lang w:eastAsia="zh-CN"/>
        </w:rPr>
        <w:t>on tree methodology. This methodology is easy to understand and interpret and has been used in previous research of online-based mental health interventions</w:t>
      </w:r>
      <w:r w:rsidR="00F11A85">
        <w:rPr>
          <w:rFonts w:ascii="Calibri" w:eastAsiaTheme="minorEastAsia" w:hAnsi="Calibri" w:cs="Arial"/>
          <w:iCs/>
          <w:color w:val="000000" w:themeColor="text1"/>
          <w:sz w:val="21"/>
          <w:szCs w:val="21"/>
          <w:lang w:eastAsia="zh-CN"/>
        </w:rPr>
        <w:t>.</w:t>
      </w:r>
      <w:r w:rsidR="00F11A85">
        <w:rPr>
          <w:rFonts w:ascii="Calibri" w:eastAsiaTheme="minorEastAsia" w:hAnsi="Calibri" w:cs="Arial"/>
          <w:iCs/>
          <w:color w:val="000000" w:themeColor="text1"/>
          <w:sz w:val="21"/>
          <w:szCs w:val="21"/>
          <w:lang w:eastAsia="zh-CN"/>
        </w:rPr>
        <w:fldChar w:fldCharType="begin"/>
      </w:r>
      <w:r w:rsidR="00F11A85">
        <w:rPr>
          <w:rFonts w:ascii="Calibri" w:eastAsiaTheme="minorEastAsia" w:hAnsi="Calibri" w:cs="Arial"/>
          <w:iCs/>
          <w:color w:val="000000" w:themeColor="text1"/>
          <w:sz w:val="21"/>
          <w:szCs w:val="21"/>
          <w:lang w:eastAsia="zh-CN"/>
        </w:rPr>
        <w:instrText xml:space="preserve"> ADDIN EN.CITE &lt;EndNote&gt;&lt;Cite&gt;&lt;Author&gt;Kaltenthaler&lt;/Author&gt;&lt;Year&gt;2006&lt;/Year&gt;&lt;RecNum&gt;163&lt;/RecNum&gt;&lt;DisplayText&gt;&lt;style face="superscript"&gt;93&lt;/style&gt;&lt;/DisplayText&gt;&lt;record&gt;&lt;rec-number&gt;163&lt;/rec-number&gt;&lt;foreign-keys&gt;&lt;key app="EN" db-id="dawtr0zrkrzfa5edzzlpe2we0xa00t90vvr2" timestamp="1654857493"&gt;163&lt;/key&gt;&lt;/foreign-keys&gt;&lt;ref-type name="Journal Article"&gt;17&lt;/ref-type&gt;&lt;contributors&gt;&lt;authors&gt;&lt;author&gt;Kaltenthaler, E.&lt;/author&gt;&lt;author&gt;Brazier, J.&lt;/author&gt;&lt;author&gt;De Nigris, E.&lt;/author&gt;&lt;author&gt;Tumur, I.&lt;/author&gt;&lt;author&gt;Ferriter, M.&lt;/author&gt;&lt;author&gt;Beverley, C.&lt;/author&gt;&lt;author&gt;Parry, G.&lt;/author&gt;&lt;author&gt;Rooney, G.&lt;/author&gt;&lt;author&gt;Sutcliffe, P.&lt;/author&gt;&lt;/authors&gt;&lt;/contributors&gt;&lt;auth-address&gt;School of Health and Related Research, University of Sheffield, UK.&lt;/auth-address&gt;&lt;titles&gt;&lt;title&gt;Computerised cognitive behaviour therapy for depression and anxiety update: a systematic review and economic evaluation&lt;/title&gt;&lt;secondary-title&gt;Health Technol Assess&lt;/secondary-title&gt;&lt;/titles&gt;&lt;periodical&gt;&lt;full-title&gt;Health Technol Assess&lt;/full-title&gt;&lt;/periodical&gt;&lt;pages&gt;iii, xi-xiv, 1-168&lt;/pages&gt;&lt;volume&gt;10&lt;/volume&gt;&lt;number&gt;33&lt;/number&gt;&lt;edition&gt;2006/09/09&lt;/edition&gt;&lt;keywords&gt;&lt;keyword&gt;Anxiety Disorders/*therapy&lt;/keyword&gt;&lt;keyword&gt;*Cognitive Behavioral Therapy&lt;/keyword&gt;&lt;keyword&gt;Cost-Benefit Analysis&lt;/keyword&gt;&lt;keyword&gt;Depression/*therapy&lt;/keyword&gt;&lt;keyword&gt;Humans&lt;/keyword&gt;&lt;keyword&gt;Models, Econometric&lt;/keyword&gt;&lt;keyword&gt;State Medicine&lt;/keyword&gt;&lt;keyword&gt;Therapy, Computer-Assisted/*economics&lt;/keyword&gt;&lt;keyword&gt;United Kingdom&lt;/keyword&gt;&lt;/keywords&gt;&lt;dates&gt;&lt;year&gt;2006&lt;/year&gt;&lt;pub-dates&gt;&lt;date&gt;Sep&lt;/date&gt;&lt;/pub-dates&gt;&lt;/dates&gt;&lt;isbn&gt;1366-5278 (Print)&amp;#xD;1366-5278&lt;/isbn&gt;&lt;accession-num&gt;16959169&lt;/accession-num&gt;&lt;urls&gt;&lt;/urls&gt;&lt;electronic-resource-num&gt;10.3310/hta10330&lt;/electronic-resource-num&gt;&lt;remote-database-provider&gt;NLM&lt;/remote-database-provider&gt;&lt;language&gt;eng&lt;/language&gt;&lt;/record&gt;&lt;/Cite&gt;&lt;/EndNote&gt;</w:instrText>
      </w:r>
      <w:r w:rsidR="00F11A85">
        <w:rPr>
          <w:rFonts w:ascii="Calibri" w:eastAsiaTheme="minorEastAsia" w:hAnsi="Calibri" w:cs="Arial"/>
          <w:iCs/>
          <w:color w:val="000000" w:themeColor="text1"/>
          <w:sz w:val="21"/>
          <w:szCs w:val="21"/>
          <w:lang w:eastAsia="zh-CN"/>
        </w:rPr>
        <w:fldChar w:fldCharType="separate"/>
      </w:r>
      <w:r w:rsidR="00F11A85" w:rsidRPr="00F11A85">
        <w:rPr>
          <w:rFonts w:ascii="Calibri" w:eastAsiaTheme="minorEastAsia" w:hAnsi="Calibri" w:cs="Arial"/>
          <w:iCs/>
          <w:noProof/>
          <w:color w:val="000000" w:themeColor="text1"/>
          <w:sz w:val="21"/>
          <w:szCs w:val="21"/>
          <w:vertAlign w:val="superscript"/>
          <w:lang w:eastAsia="zh-CN"/>
        </w:rPr>
        <w:t>93</w:t>
      </w:r>
      <w:r w:rsidR="00F11A85">
        <w:rPr>
          <w:rFonts w:ascii="Calibri" w:eastAsiaTheme="minorEastAsia" w:hAnsi="Calibri" w:cs="Arial"/>
          <w:iCs/>
          <w:color w:val="000000" w:themeColor="text1"/>
          <w:sz w:val="21"/>
          <w:szCs w:val="21"/>
          <w:lang w:eastAsia="zh-CN"/>
        </w:rPr>
        <w:fldChar w:fldCharType="end"/>
      </w:r>
      <w:r w:rsidRPr="00C22FE0">
        <w:rPr>
          <w:rFonts w:ascii="Calibri" w:eastAsiaTheme="minorEastAsia" w:hAnsi="Calibri" w:cs="Arial"/>
          <w:iCs/>
          <w:color w:val="000000" w:themeColor="text1"/>
          <w:sz w:val="21"/>
          <w:szCs w:val="21"/>
          <w:lang w:eastAsia="zh-CN"/>
        </w:rPr>
        <w:t xml:space="preserve"> A one-year time horizon was chosen for the model given the relatively short lifespan of the DMHSs and the lack of longer-term information on both treatment outcomes and cost impacts. We believe this is a reasonable and conservative approach because no assumptions are made regarding treatment benefits accrued beyond one year. </w:t>
      </w:r>
    </w:p>
    <w:p w14:paraId="0012DD3C" w14:textId="06BD4D46" w:rsidR="00DA5A57" w:rsidRDefault="00DA5A57" w:rsidP="00D6551D">
      <w:pPr>
        <w:spacing w:after="240"/>
        <w:rPr>
          <w:rFonts w:ascii="Calibri" w:hAnsi="Calibri" w:cs="Arial"/>
          <w:iCs/>
          <w:color w:val="000000" w:themeColor="text1"/>
          <w:sz w:val="21"/>
          <w:szCs w:val="21"/>
          <w:lang w:eastAsia="zh-CN"/>
        </w:rPr>
      </w:pPr>
      <w:r w:rsidRPr="00C22FE0">
        <w:rPr>
          <w:i/>
          <w:iCs/>
          <w:noProof/>
          <w:lang w:eastAsia="en-AU"/>
        </w:rPr>
        <mc:AlternateContent>
          <mc:Choice Requires="wpg">
            <w:drawing>
              <wp:inline distT="0" distB="0" distL="0" distR="0" wp14:anchorId="63FF3E7E" wp14:editId="222E2920">
                <wp:extent cx="4991735" cy="2705100"/>
                <wp:effectExtent l="0" t="0" r="18415" b="38100"/>
                <wp:docPr id="155" name="Group 155" descr="A graphic that shows the structure of the decision-tree model. It illustrates the pathways available to patients with depression and/or anxiety and the four possible health states that can occur after treatment. The four health states are fully recovered, partially recovered, no improvement and deteriorated."/>
                <wp:cNvGraphicFramePr/>
                <a:graphic xmlns:a="http://schemas.openxmlformats.org/drawingml/2006/main">
                  <a:graphicData uri="http://schemas.microsoft.com/office/word/2010/wordprocessingGroup">
                    <wpg:wgp>
                      <wpg:cNvGrpSpPr/>
                      <wpg:grpSpPr>
                        <a:xfrm>
                          <a:off x="0" y="0"/>
                          <a:ext cx="4991735" cy="2705100"/>
                          <a:chOff x="0" y="0"/>
                          <a:chExt cx="4992153" cy="2705670"/>
                        </a:xfrm>
                      </wpg:grpSpPr>
                      <wps:wsp>
                        <wps:cNvPr id="156" name="Straight Connector 156"/>
                        <wps:cNvCnPr/>
                        <wps:spPr>
                          <a:xfrm flipV="1">
                            <a:off x="81023" y="1545220"/>
                            <a:ext cx="1004254" cy="5286"/>
                          </a:xfrm>
                          <a:prstGeom prst="line">
                            <a:avLst/>
                          </a:prstGeom>
                          <a:noFill/>
                          <a:ln w="6350" cap="flat" cmpd="sng" algn="ctr">
                            <a:solidFill>
                              <a:srgbClr val="4472C4"/>
                            </a:solidFill>
                            <a:prstDash val="solid"/>
                            <a:miter lim="800000"/>
                          </a:ln>
                          <a:effectLst/>
                        </wps:spPr>
                        <wps:bodyPr/>
                      </wps:wsp>
                      <wps:wsp>
                        <wps:cNvPr id="157" name="Rectangle 157"/>
                        <wps:cNvSpPr/>
                        <wps:spPr>
                          <a:xfrm>
                            <a:off x="1082233" y="1406324"/>
                            <a:ext cx="195566" cy="216161"/>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Straight Connector 158"/>
                        <wps:cNvCnPr/>
                        <wps:spPr>
                          <a:xfrm flipV="1">
                            <a:off x="1279002" y="746567"/>
                            <a:ext cx="237281" cy="634437"/>
                          </a:xfrm>
                          <a:prstGeom prst="line">
                            <a:avLst/>
                          </a:prstGeom>
                          <a:noFill/>
                          <a:ln w="6350" cap="flat" cmpd="sng" algn="ctr">
                            <a:solidFill>
                              <a:srgbClr val="4472C4"/>
                            </a:solidFill>
                            <a:prstDash val="solid"/>
                            <a:miter lim="800000"/>
                          </a:ln>
                          <a:effectLst/>
                        </wps:spPr>
                        <wps:bodyPr/>
                      </wps:wsp>
                      <wps:wsp>
                        <wps:cNvPr id="159" name="Straight Connector 159"/>
                        <wps:cNvCnPr/>
                        <wps:spPr>
                          <a:xfrm flipH="1" flipV="1">
                            <a:off x="1279002" y="1626243"/>
                            <a:ext cx="196770" cy="532435"/>
                          </a:xfrm>
                          <a:prstGeom prst="line">
                            <a:avLst/>
                          </a:prstGeom>
                          <a:noFill/>
                          <a:ln w="6350" cap="flat" cmpd="sng" algn="ctr">
                            <a:solidFill>
                              <a:srgbClr val="4472C4"/>
                            </a:solidFill>
                            <a:prstDash val="solid"/>
                            <a:miter lim="800000"/>
                          </a:ln>
                          <a:effectLst/>
                        </wps:spPr>
                        <wps:bodyPr/>
                      </wps:wsp>
                      <wps:wsp>
                        <wps:cNvPr id="160" name="Straight Connector 160"/>
                        <wps:cNvCnPr/>
                        <wps:spPr>
                          <a:xfrm>
                            <a:off x="1504709" y="746567"/>
                            <a:ext cx="765810" cy="0"/>
                          </a:xfrm>
                          <a:prstGeom prst="line">
                            <a:avLst/>
                          </a:prstGeom>
                          <a:noFill/>
                          <a:ln w="6350" cap="flat" cmpd="sng" algn="ctr">
                            <a:solidFill>
                              <a:srgbClr val="4472C4"/>
                            </a:solidFill>
                            <a:prstDash val="solid"/>
                            <a:miter lim="800000"/>
                          </a:ln>
                          <a:effectLst/>
                        </wps:spPr>
                        <wps:bodyPr/>
                      </wps:wsp>
                      <wps:wsp>
                        <wps:cNvPr id="161" name="Straight Connector 161"/>
                        <wps:cNvCnPr/>
                        <wps:spPr>
                          <a:xfrm>
                            <a:off x="1487347" y="2164465"/>
                            <a:ext cx="765924" cy="0"/>
                          </a:xfrm>
                          <a:prstGeom prst="line">
                            <a:avLst/>
                          </a:prstGeom>
                          <a:noFill/>
                          <a:ln w="6350" cap="flat" cmpd="sng" algn="ctr">
                            <a:solidFill>
                              <a:srgbClr val="4472C4"/>
                            </a:solidFill>
                            <a:prstDash val="solid"/>
                            <a:miter lim="800000"/>
                          </a:ln>
                          <a:effectLst/>
                        </wps:spPr>
                        <wps:bodyPr/>
                      </wps:wsp>
                      <wps:wsp>
                        <wps:cNvPr id="162" name="Text Box 2"/>
                        <wps:cNvSpPr txBox="1">
                          <a:spLocks noChangeArrowheads="1"/>
                        </wps:cNvSpPr>
                        <wps:spPr bwMode="auto">
                          <a:xfrm>
                            <a:off x="0" y="1070658"/>
                            <a:ext cx="987507" cy="451579"/>
                          </a:xfrm>
                          <a:prstGeom prst="rect">
                            <a:avLst/>
                          </a:prstGeom>
                          <a:solidFill>
                            <a:srgbClr val="FFFFFF"/>
                          </a:solidFill>
                          <a:ln w="9525">
                            <a:noFill/>
                            <a:miter lim="800000"/>
                            <a:headEnd/>
                            <a:tailEnd/>
                          </a:ln>
                        </wps:spPr>
                        <wps:txbx>
                          <w:txbxContent>
                            <w:p w14:paraId="1BEBA1A6" w14:textId="77777777" w:rsidR="00A56C43" w:rsidRPr="002301D0" w:rsidRDefault="00A56C43" w:rsidP="00C22FE0">
                              <w:pPr>
                                <w:jc w:val="center"/>
                                <w:rPr>
                                  <w:sz w:val="16"/>
                                </w:rPr>
                              </w:pPr>
                              <w:r w:rsidRPr="002301D0">
                                <w:rPr>
                                  <w:sz w:val="16"/>
                                </w:rPr>
                                <w:t>Patients with depression and/or anxiety</w:t>
                              </w:r>
                            </w:p>
                          </w:txbxContent>
                        </wps:txbx>
                        <wps:bodyPr rot="0" vert="horz" wrap="square" lIns="91440" tIns="45720" rIns="91440" bIns="45720" anchor="t" anchorCtr="0">
                          <a:spAutoFit/>
                        </wps:bodyPr>
                      </wps:wsp>
                      <wps:wsp>
                        <wps:cNvPr id="163" name="Text Box 2"/>
                        <wps:cNvSpPr txBox="1">
                          <a:spLocks noChangeArrowheads="1"/>
                        </wps:cNvSpPr>
                        <wps:spPr bwMode="auto">
                          <a:xfrm>
                            <a:off x="1232704" y="235173"/>
                            <a:ext cx="1084670" cy="451579"/>
                          </a:xfrm>
                          <a:prstGeom prst="rect">
                            <a:avLst/>
                          </a:prstGeom>
                          <a:solidFill>
                            <a:srgbClr val="FFFFFF"/>
                          </a:solidFill>
                          <a:ln w="9525">
                            <a:noFill/>
                            <a:miter lim="800000"/>
                            <a:headEnd/>
                            <a:tailEnd/>
                          </a:ln>
                        </wps:spPr>
                        <wps:txbx>
                          <w:txbxContent>
                            <w:p w14:paraId="39A519EC" w14:textId="77777777" w:rsidR="00A56C43" w:rsidRDefault="00A56C43" w:rsidP="00C22FE0">
                              <w:pPr>
                                <w:jc w:val="center"/>
                                <w:rPr>
                                  <w:sz w:val="16"/>
                                </w:rPr>
                              </w:pPr>
                              <w:r w:rsidRPr="002301D0">
                                <w:rPr>
                                  <w:sz w:val="16"/>
                                </w:rPr>
                                <w:t>Supported online mental health service</w:t>
                              </w:r>
                            </w:p>
                            <w:p w14:paraId="0DE04A8E" w14:textId="77777777" w:rsidR="00A56C43" w:rsidRPr="002301D0" w:rsidRDefault="00A56C43" w:rsidP="00C22FE0">
                              <w:pPr>
                                <w:jc w:val="center"/>
                                <w:rPr>
                                  <w:sz w:val="16"/>
                                </w:rPr>
                              </w:pPr>
                              <w:r>
                                <w:rPr>
                                  <w:sz w:val="16"/>
                                </w:rPr>
                                <w:t>(“Intervention” arm)</w:t>
                              </w:r>
                            </w:p>
                          </w:txbxContent>
                        </wps:txbx>
                        <wps:bodyPr rot="0" vert="horz" wrap="square" lIns="91440" tIns="45720" rIns="91440" bIns="45720" anchor="t" anchorCtr="0">
                          <a:spAutoFit/>
                        </wps:bodyPr>
                      </wps:wsp>
                      <wps:wsp>
                        <wps:cNvPr id="164" name="Text Box 2"/>
                        <wps:cNvSpPr txBox="1">
                          <a:spLocks noChangeArrowheads="1"/>
                        </wps:cNvSpPr>
                        <wps:spPr bwMode="auto">
                          <a:xfrm>
                            <a:off x="1209554" y="2187615"/>
                            <a:ext cx="1033231" cy="334715"/>
                          </a:xfrm>
                          <a:prstGeom prst="rect">
                            <a:avLst/>
                          </a:prstGeom>
                          <a:solidFill>
                            <a:srgbClr val="FFFFFF"/>
                          </a:solidFill>
                          <a:ln w="9525">
                            <a:noFill/>
                            <a:miter lim="800000"/>
                            <a:headEnd/>
                            <a:tailEnd/>
                          </a:ln>
                        </wps:spPr>
                        <wps:txbx>
                          <w:txbxContent>
                            <w:p w14:paraId="7098D890" w14:textId="77777777" w:rsidR="00A56C43" w:rsidRDefault="00A56C43" w:rsidP="00C22FE0">
                              <w:pPr>
                                <w:jc w:val="center"/>
                                <w:rPr>
                                  <w:sz w:val="16"/>
                                </w:rPr>
                              </w:pPr>
                              <w:r w:rsidRPr="002301D0">
                                <w:rPr>
                                  <w:sz w:val="16"/>
                                </w:rPr>
                                <w:t>Routine / Usual care</w:t>
                              </w:r>
                            </w:p>
                            <w:p w14:paraId="32B9083F" w14:textId="77777777" w:rsidR="00A56C43" w:rsidRPr="002301D0" w:rsidRDefault="00A56C43" w:rsidP="00C22FE0">
                              <w:pPr>
                                <w:jc w:val="center"/>
                                <w:rPr>
                                  <w:sz w:val="16"/>
                                </w:rPr>
                              </w:pPr>
                              <w:r>
                                <w:rPr>
                                  <w:sz w:val="16"/>
                                </w:rPr>
                                <w:t>(“Comparator” arm)</w:t>
                              </w:r>
                            </w:p>
                          </w:txbxContent>
                        </wps:txbx>
                        <wps:bodyPr rot="0" vert="horz" wrap="square" lIns="91440" tIns="45720" rIns="91440" bIns="45720" anchor="t" anchorCtr="0">
                          <a:spAutoFit/>
                        </wps:bodyPr>
                      </wps:wsp>
                      <wpg:grpSp>
                        <wpg:cNvPr id="165" name="Group 165"/>
                        <wpg:cNvGrpSpPr/>
                        <wpg:grpSpPr>
                          <a:xfrm>
                            <a:off x="2268638" y="0"/>
                            <a:ext cx="2723515" cy="1270000"/>
                            <a:chOff x="0" y="0"/>
                            <a:chExt cx="2723591" cy="1270454"/>
                          </a:xfrm>
                        </wpg:grpSpPr>
                        <wps:wsp>
                          <wps:cNvPr id="166" name="Oval 166"/>
                          <wps:cNvSpPr/>
                          <wps:spPr>
                            <a:xfrm>
                              <a:off x="0" y="630820"/>
                              <a:ext cx="253706" cy="248420"/>
                            </a:xfrm>
                            <a:prstGeom prst="ellipse">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Straight Connector 167"/>
                          <wps:cNvCnPr/>
                          <wps:spPr>
                            <a:xfrm flipV="1">
                              <a:off x="243068" y="237281"/>
                              <a:ext cx="296726" cy="437810"/>
                            </a:xfrm>
                            <a:prstGeom prst="line">
                              <a:avLst/>
                            </a:prstGeom>
                            <a:noFill/>
                            <a:ln w="6350" cap="flat" cmpd="sng" algn="ctr">
                              <a:solidFill>
                                <a:srgbClr val="4472C4"/>
                              </a:solidFill>
                              <a:prstDash val="solid"/>
                              <a:miter lim="800000"/>
                            </a:ln>
                            <a:effectLst/>
                          </wps:spPr>
                          <wps:bodyPr/>
                        </wps:wsp>
                        <wps:wsp>
                          <wps:cNvPr id="168" name="Straight Connector 168"/>
                          <wps:cNvCnPr/>
                          <wps:spPr>
                            <a:xfrm flipV="1">
                              <a:off x="272005" y="549797"/>
                              <a:ext cx="257364" cy="169150"/>
                            </a:xfrm>
                            <a:prstGeom prst="line">
                              <a:avLst/>
                            </a:prstGeom>
                            <a:noFill/>
                            <a:ln w="6350" cap="flat" cmpd="sng" algn="ctr">
                              <a:solidFill>
                                <a:srgbClr val="4472C4"/>
                              </a:solidFill>
                              <a:prstDash val="solid"/>
                              <a:miter lim="800000"/>
                            </a:ln>
                            <a:effectLst/>
                          </wps:spPr>
                          <wps:bodyPr/>
                        </wps:wsp>
                        <wps:wsp>
                          <wps:cNvPr id="169" name="Straight Connector 169"/>
                          <wps:cNvCnPr/>
                          <wps:spPr>
                            <a:xfrm>
                              <a:off x="214132" y="839164"/>
                              <a:ext cx="296726" cy="348198"/>
                            </a:xfrm>
                            <a:prstGeom prst="line">
                              <a:avLst/>
                            </a:prstGeom>
                            <a:noFill/>
                            <a:ln w="6350" cap="flat" cmpd="sng" algn="ctr">
                              <a:solidFill>
                                <a:srgbClr val="4472C4"/>
                              </a:solidFill>
                              <a:prstDash val="solid"/>
                              <a:miter lim="800000"/>
                            </a:ln>
                            <a:effectLst/>
                          </wps:spPr>
                          <wps:bodyPr/>
                        </wps:wsp>
                        <wps:wsp>
                          <wps:cNvPr id="170" name="Straight Connector 170"/>
                          <wps:cNvCnPr/>
                          <wps:spPr>
                            <a:xfrm>
                              <a:off x="254643" y="787078"/>
                              <a:ext cx="260392" cy="78723"/>
                            </a:xfrm>
                            <a:prstGeom prst="line">
                              <a:avLst/>
                            </a:prstGeom>
                            <a:noFill/>
                            <a:ln w="6350" cap="flat" cmpd="sng" algn="ctr">
                              <a:solidFill>
                                <a:srgbClr val="4472C4"/>
                              </a:solidFill>
                              <a:prstDash val="solid"/>
                              <a:miter lim="800000"/>
                            </a:ln>
                            <a:effectLst/>
                          </wps:spPr>
                          <wps:bodyPr/>
                        </wps:wsp>
                        <wps:wsp>
                          <wps:cNvPr id="171" name="Isosceles Triangle 20"/>
                          <wps:cNvSpPr/>
                          <wps:spPr>
                            <a:xfrm rot="16200000">
                              <a:off x="2581154" y="167833"/>
                              <a:ext cx="171382" cy="113493"/>
                            </a:xfrm>
                            <a:prstGeom prst="triangle">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Isosceles Triangle 21"/>
                          <wps:cNvSpPr/>
                          <wps:spPr>
                            <a:xfrm rot="16200000">
                              <a:off x="2569579" y="486137"/>
                              <a:ext cx="170815" cy="113030"/>
                            </a:xfrm>
                            <a:prstGeom prst="triangle">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Isosceles Triangle 22"/>
                          <wps:cNvSpPr/>
                          <wps:spPr>
                            <a:xfrm rot="16200000">
                              <a:off x="2558005" y="798653"/>
                              <a:ext cx="170815" cy="113030"/>
                            </a:xfrm>
                            <a:prstGeom prst="triangle">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 name="Isosceles Triangle 23"/>
                          <wps:cNvSpPr/>
                          <wps:spPr>
                            <a:xfrm rot="16200000">
                              <a:off x="2563792" y="1128532"/>
                              <a:ext cx="170815" cy="113030"/>
                            </a:xfrm>
                            <a:prstGeom prst="triangle">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Straight Connector 175"/>
                          <wps:cNvCnPr/>
                          <wps:spPr>
                            <a:xfrm flipH="1">
                              <a:off x="549797" y="219919"/>
                              <a:ext cx="2062287" cy="12111"/>
                            </a:xfrm>
                            <a:prstGeom prst="line">
                              <a:avLst/>
                            </a:prstGeom>
                            <a:noFill/>
                            <a:ln w="6350" cap="flat" cmpd="sng" algn="ctr">
                              <a:solidFill>
                                <a:srgbClr val="4472C4"/>
                              </a:solidFill>
                              <a:prstDash val="solid"/>
                              <a:miter lim="800000"/>
                            </a:ln>
                            <a:effectLst/>
                          </wps:spPr>
                          <wps:bodyPr/>
                        </wps:wsp>
                        <wps:wsp>
                          <wps:cNvPr id="176" name="Straight Connector 176"/>
                          <wps:cNvCnPr/>
                          <wps:spPr>
                            <a:xfrm flipH="1">
                              <a:off x="538223" y="532435"/>
                              <a:ext cx="2062287" cy="12111"/>
                            </a:xfrm>
                            <a:prstGeom prst="line">
                              <a:avLst/>
                            </a:prstGeom>
                            <a:noFill/>
                            <a:ln w="6350" cap="flat" cmpd="sng" algn="ctr">
                              <a:solidFill>
                                <a:srgbClr val="4472C4"/>
                              </a:solidFill>
                              <a:prstDash val="solid"/>
                              <a:miter lim="800000"/>
                            </a:ln>
                            <a:effectLst/>
                          </wps:spPr>
                          <wps:bodyPr/>
                        </wps:wsp>
                        <wps:wsp>
                          <wps:cNvPr id="177" name="Straight Connector 177"/>
                          <wps:cNvCnPr/>
                          <wps:spPr>
                            <a:xfrm flipH="1">
                              <a:off x="526648" y="850739"/>
                              <a:ext cx="2062287" cy="12111"/>
                            </a:xfrm>
                            <a:prstGeom prst="line">
                              <a:avLst/>
                            </a:prstGeom>
                            <a:noFill/>
                            <a:ln w="6350" cap="flat" cmpd="sng" algn="ctr">
                              <a:solidFill>
                                <a:srgbClr val="4472C4"/>
                              </a:solidFill>
                              <a:prstDash val="solid"/>
                              <a:miter lim="800000"/>
                            </a:ln>
                            <a:effectLst/>
                          </wps:spPr>
                          <wps:bodyPr/>
                        </wps:wsp>
                        <wps:wsp>
                          <wps:cNvPr id="180" name="Straight Connector 180"/>
                          <wps:cNvCnPr/>
                          <wps:spPr>
                            <a:xfrm flipH="1">
                              <a:off x="526648" y="1180618"/>
                              <a:ext cx="2062287" cy="12111"/>
                            </a:xfrm>
                            <a:prstGeom prst="line">
                              <a:avLst/>
                            </a:prstGeom>
                            <a:noFill/>
                            <a:ln w="6350" cap="flat" cmpd="sng" algn="ctr">
                              <a:solidFill>
                                <a:srgbClr val="4472C4"/>
                              </a:solidFill>
                              <a:prstDash val="solid"/>
                              <a:miter lim="800000"/>
                            </a:ln>
                            <a:effectLst/>
                          </wps:spPr>
                          <wps:bodyPr/>
                        </wps:wsp>
                        <wps:wsp>
                          <wps:cNvPr id="181" name="Text Box 2"/>
                          <wps:cNvSpPr txBox="1">
                            <a:spLocks noChangeArrowheads="1"/>
                          </wps:cNvSpPr>
                          <wps:spPr bwMode="auto">
                            <a:xfrm>
                              <a:off x="1030147" y="0"/>
                              <a:ext cx="1075809" cy="217928"/>
                            </a:xfrm>
                            <a:prstGeom prst="rect">
                              <a:avLst/>
                            </a:prstGeom>
                            <a:solidFill>
                              <a:srgbClr val="FFFFFF"/>
                            </a:solidFill>
                            <a:ln w="9525">
                              <a:noFill/>
                              <a:miter lim="800000"/>
                              <a:headEnd/>
                              <a:tailEnd/>
                            </a:ln>
                          </wps:spPr>
                          <wps:txbx>
                            <w:txbxContent>
                              <w:p w14:paraId="7F7E1D25" w14:textId="77777777" w:rsidR="00A56C43" w:rsidRPr="002301D0" w:rsidRDefault="00A56C43" w:rsidP="00C22FE0">
                                <w:pPr>
                                  <w:jc w:val="center"/>
                                  <w:rPr>
                                    <w:sz w:val="16"/>
                                  </w:rPr>
                                </w:pPr>
                                <w:r w:rsidRPr="002301D0">
                                  <w:rPr>
                                    <w:sz w:val="16"/>
                                  </w:rPr>
                                  <w:t>Fully recovered</w:t>
                                </w:r>
                              </w:p>
                            </w:txbxContent>
                          </wps:txbx>
                          <wps:bodyPr rot="0" vert="horz" wrap="square" lIns="91440" tIns="45720" rIns="91440" bIns="45720" anchor="t" anchorCtr="0">
                            <a:spAutoFit/>
                          </wps:bodyPr>
                        </wps:wsp>
                        <wps:wsp>
                          <wps:cNvPr id="182" name="Text Box 2"/>
                          <wps:cNvSpPr txBox="1">
                            <a:spLocks noChangeArrowheads="1"/>
                          </wps:cNvSpPr>
                          <wps:spPr bwMode="auto">
                            <a:xfrm>
                              <a:off x="1041721" y="300933"/>
                              <a:ext cx="1075809" cy="217928"/>
                            </a:xfrm>
                            <a:prstGeom prst="rect">
                              <a:avLst/>
                            </a:prstGeom>
                            <a:solidFill>
                              <a:srgbClr val="FFFFFF"/>
                            </a:solidFill>
                            <a:ln w="9525">
                              <a:noFill/>
                              <a:miter lim="800000"/>
                              <a:headEnd/>
                              <a:tailEnd/>
                            </a:ln>
                          </wps:spPr>
                          <wps:txbx>
                            <w:txbxContent>
                              <w:p w14:paraId="2431007D" w14:textId="77777777" w:rsidR="00A56C43" w:rsidRPr="002301D0" w:rsidRDefault="00A56C43" w:rsidP="00C22FE0">
                                <w:pPr>
                                  <w:jc w:val="center"/>
                                  <w:rPr>
                                    <w:sz w:val="16"/>
                                  </w:rPr>
                                </w:pPr>
                                <w:r w:rsidRPr="002301D0">
                                  <w:rPr>
                                    <w:sz w:val="16"/>
                                  </w:rPr>
                                  <w:t>Partially recovered</w:t>
                                </w:r>
                              </w:p>
                            </w:txbxContent>
                          </wps:txbx>
                          <wps:bodyPr rot="0" vert="horz" wrap="square" lIns="91440" tIns="45720" rIns="91440" bIns="45720" anchor="t" anchorCtr="0">
                            <a:spAutoFit/>
                          </wps:bodyPr>
                        </wps:wsp>
                        <wps:wsp>
                          <wps:cNvPr id="183" name="Text Box 2"/>
                          <wps:cNvSpPr txBox="1">
                            <a:spLocks noChangeArrowheads="1"/>
                          </wps:cNvSpPr>
                          <wps:spPr bwMode="auto">
                            <a:xfrm>
                              <a:off x="1018572" y="630820"/>
                              <a:ext cx="1075809" cy="217928"/>
                            </a:xfrm>
                            <a:prstGeom prst="rect">
                              <a:avLst/>
                            </a:prstGeom>
                            <a:solidFill>
                              <a:srgbClr val="FFFFFF"/>
                            </a:solidFill>
                            <a:ln w="9525">
                              <a:noFill/>
                              <a:miter lim="800000"/>
                              <a:headEnd/>
                              <a:tailEnd/>
                            </a:ln>
                          </wps:spPr>
                          <wps:txbx>
                            <w:txbxContent>
                              <w:p w14:paraId="06EC928E" w14:textId="77777777" w:rsidR="00A56C43" w:rsidRPr="002301D0" w:rsidRDefault="00A56C43" w:rsidP="00C22FE0">
                                <w:pPr>
                                  <w:jc w:val="center"/>
                                  <w:rPr>
                                    <w:sz w:val="16"/>
                                  </w:rPr>
                                </w:pPr>
                                <w:r w:rsidRPr="002301D0">
                                  <w:rPr>
                                    <w:sz w:val="16"/>
                                  </w:rPr>
                                  <w:t>No improvement</w:t>
                                </w:r>
                              </w:p>
                            </w:txbxContent>
                          </wps:txbx>
                          <wps:bodyPr rot="0" vert="horz" wrap="square" lIns="91440" tIns="45720" rIns="91440" bIns="45720" anchor="t" anchorCtr="0">
                            <a:spAutoFit/>
                          </wps:bodyPr>
                        </wps:wsp>
                        <wps:wsp>
                          <wps:cNvPr id="184" name="Text Box 2"/>
                          <wps:cNvSpPr txBox="1">
                            <a:spLocks noChangeArrowheads="1"/>
                          </wps:cNvSpPr>
                          <wps:spPr bwMode="auto">
                            <a:xfrm>
                              <a:off x="989635" y="960699"/>
                              <a:ext cx="1075809" cy="217928"/>
                            </a:xfrm>
                            <a:prstGeom prst="rect">
                              <a:avLst/>
                            </a:prstGeom>
                            <a:solidFill>
                              <a:srgbClr val="FFFFFF"/>
                            </a:solidFill>
                            <a:ln w="9525">
                              <a:noFill/>
                              <a:miter lim="800000"/>
                              <a:headEnd/>
                              <a:tailEnd/>
                            </a:ln>
                          </wps:spPr>
                          <wps:txbx>
                            <w:txbxContent>
                              <w:p w14:paraId="3CBF0E94" w14:textId="77777777" w:rsidR="00A56C43" w:rsidRPr="002301D0" w:rsidRDefault="00A56C43" w:rsidP="00C22FE0">
                                <w:pPr>
                                  <w:jc w:val="center"/>
                                  <w:rPr>
                                    <w:sz w:val="16"/>
                                  </w:rPr>
                                </w:pPr>
                                <w:r w:rsidRPr="002301D0">
                                  <w:rPr>
                                    <w:sz w:val="16"/>
                                  </w:rPr>
                                  <w:t>Deteriorated</w:t>
                                </w:r>
                              </w:p>
                            </w:txbxContent>
                          </wps:txbx>
                          <wps:bodyPr rot="0" vert="horz" wrap="square" lIns="91440" tIns="45720" rIns="91440" bIns="45720" anchor="t" anchorCtr="0">
                            <a:spAutoFit/>
                          </wps:bodyPr>
                        </wps:wsp>
                      </wpg:grpSp>
                      <wpg:grpSp>
                        <wpg:cNvPr id="185" name="Group 185"/>
                        <wpg:cNvGrpSpPr/>
                        <wpg:grpSpPr>
                          <a:xfrm>
                            <a:off x="2274425" y="1429473"/>
                            <a:ext cx="2711547" cy="1276197"/>
                            <a:chOff x="0" y="0"/>
                            <a:chExt cx="2711547" cy="1276197"/>
                          </a:xfrm>
                        </wpg:grpSpPr>
                        <wps:wsp>
                          <wps:cNvPr id="186" name="Oval 186"/>
                          <wps:cNvSpPr/>
                          <wps:spPr>
                            <a:xfrm>
                              <a:off x="0" y="613458"/>
                              <a:ext cx="253706" cy="248420"/>
                            </a:xfrm>
                            <a:prstGeom prst="ellipse">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Straight Connector 187"/>
                          <wps:cNvCnPr/>
                          <wps:spPr>
                            <a:xfrm flipV="1">
                              <a:off x="231494" y="237281"/>
                              <a:ext cx="296545" cy="437515"/>
                            </a:xfrm>
                            <a:prstGeom prst="line">
                              <a:avLst/>
                            </a:prstGeom>
                            <a:noFill/>
                            <a:ln w="6350" cap="flat" cmpd="sng" algn="ctr">
                              <a:solidFill>
                                <a:srgbClr val="4472C4"/>
                              </a:solidFill>
                              <a:prstDash val="solid"/>
                              <a:miter lim="800000"/>
                            </a:ln>
                            <a:effectLst/>
                          </wps:spPr>
                          <wps:bodyPr/>
                        </wps:wsp>
                        <wps:wsp>
                          <wps:cNvPr id="188" name="Straight Connector 188"/>
                          <wps:cNvCnPr/>
                          <wps:spPr>
                            <a:xfrm flipV="1">
                              <a:off x="260431" y="549797"/>
                              <a:ext cx="257175" cy="168910"/>
                            </a:xfrm>
                            <a:prstGeom prst="line">
                              <a:avLst/>
                            </a:prstGeom>
                            <a:noFill/>
                            <a:ln w="6350" cap="flat" cmpd="sng" algn="ctr">
                              <a:solidFill>
                                <a:srgbClr val="4472C4"/>
                              </a:solidFill>
                              <a:prstDash val="solid"/>
                              <a:miter lim="800000"/>
                            </a:ln>
                            <a:effectLst/>
                          </wps:spPr>
                          <wps:bodyPr/>
                        </wps:wsp>
                        <wps:wsp>
                          <wps:cNvPr id="192" name="Straight Connector 192"/>
                          <wps:cNvCnPr/>
                          <wps:spPr>
                            <a:xfrm>
                              <a:off x="202557" y="839165"/>
                              <a:ext cx="296545" cy="347980"/>
                            </a:xfrm>
                            <a:prstGeom prst="line">
                              <a:avLst/>
                            </a:prstGeom>
                            <a:noFill/>
                            <a:ln w="6350" cap="flat" cmpd="sng" algn="ctr">
                              <a:solidFill>
                                <a:srgbClr val="4472C4"/>
                              </a:solidFill>
                              <a:prstDash val="solid"/>
                              <a:miter lim="800000"/>
                            </a:ln>
                            <a:effectLst/>
                          </wps:spPr>
                          <wps:bodyPr/>
                        </wps:wsp>
                        <wps:wsp>
                          <wps:cNvPr id="196" name="Straight Connector 196"/>
                          <wps:cNvCnPr/>
                          <wps:spPr>
                            <a:xfrm>
                              <a:off x="248856" y="787078"/>
                              <a:ext cx="260350" cy="78105"/>
                            </a:xfrm>
                            <a:prstGeom prst="line">
                              <a:avLst/>
                            </a:prstGeom>
                            <a:noFill/>
                            <a:ln w="6350" cap="flat" cmpd="sng" algn="ctr">
                              <a:solidFill>
                                <a:srgbClr val="4472C4"/>
                              </a:solidFill>
                              <a:prstDash val="solid"/>
                              <a:miter lim="800000"/>
                            </a:ln>
                            <a:effectLst/>
                          </wps:spPr>
                          <wps:bodyPr/>
                        </wps:wsp>
                        <wpg:grpSp>
                          <wpg:cNvPr id="197" name="Group 197"/>
                          <wpg:cNvGrpSpPr/>
                          <wpg:grpSpPr>
                            <a:xfrm>
                              <a:off x="2575367" y="138896"/>
                              <a:ext cx="136180" cy="1137301"/>
                              <a:chOff x="0" y="0"/>
                              <a:chExt cx="136180" cy="1137301"/>
                            </a:xfrm>
                          </wpg:grpSpPr>
                          <wps:wsp>
                            <wps:cNvPr id="198" name="Isosceles Triangle 72"/>
                            <wps:cNvSpPr/>
                            <wps:spPr>
                              <a:xfrm rot="16200000">
                                <a:off x="-5743" y="28893"/>
                                <a:ext cx="170815" cy="113030"/>
                              </a:xfrm>
                              <a:prstGeom prst="triangle">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Isosceles Triangle 74"/>
                            <wps:cNvSpPr/>
                            <wps:spPr>
                              <a:xfrm rot="16200000">
                                <a:off x="-17318" y="341410"/>
                                <a:ext cx="170815" cy="113030"/>
                              </a:xfrm>
                              <a:prstGeom prst="triangle">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Isosceles Triangle 75"/>
                            <wps:cNvSpPr/>
                            <wps:spPr>
                              <a:xfrm rot="16200000">
                                <a:off x="-28893" y="665501"/>
                                <a:ext cx="170815" cy="113030"/>
                              </a:xfrm>
                              <a:prstGeom prst="triangle">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Isosceles Triangle 88"/>
                            <wps:cNvSpPr/>
                            <wps:spPr>
                              <a:xfrm rot="16200000">
                                <a:off x="-23105" y="995379"/>
                                <a:ext cx="170815" cy="113030"/>
                              </a:xfrm>
                              <a:prstGeom prst="triangle">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6" name="Straight Connector 206"/>
                          <wps:cNvCnPr/>
                          <wps:spPr>
                            <a:xfrm flipH="1">
                              <a:off x="538223" y="219919"/>
                              <a:ext cx="2061845" cy="12065"/>
                            </a:xfrm>
                            <a:prstGeom prst="line">
                              <a:avLst/>
                            </a:prstGeom>
                            <a:noFill/>
                            <a:ln w="6350" cap="flat" cmpd="sng" algn="ctr">
                              <a:solidFill>
                                <a:srgbClr val="4472C4"/>
                              </a:solidFill>
                              <a:prstDash val="solid"/>
                              <a:miter lim="800000"/>
                            </a:ln>
                            <a:effectLst/>
                          </wps:spPr>
                          <wps:bodyPr/>
                        </wps:wsp>
                        <wps:wsp>
                          <wps:cNvPr id="207" name="Straight Connector 207"/>
                          <wps:cNvCnPr/>
                          <wps:spPr>
                            <a:xfrm flipH="1">
                              <a:off x="526648" y="538223"/>
                              <a:ext cx="2061845" cy="12065"/>
                            </a:xfrm>
                            <a:prstGeom prst="line">
                              <a:avLst/>
                            </a:prstGeom>
                            <a:noFill/>
                            <a:ln w="6350" cap="flat" cmpd="sng" algn="ctr">
                              <a:solidFill>
                                <a:srgbClr val="4472C4"/>
                              </a:solidFill>
                              <a:prstDash val="solid"/>
                              <a:miter lim="800000"/>
                            </a:ln>
                            <a:effectLst/>
                          </wps:spPr>
                          <wps:bodyPr/>
                        </wps:wsp>
                        <wps:wsp>
                          <wps:cNvPr id="208" name="Straight Connector 208"/>
                          <wps:cNvCnPr/>
                          <wps:spPr>
                            <a:xfrm flipH="1">
                              <a:off x="520861" y="850739"/>
                              <a:ext cx="2061845" cy="12065"/>
                            </a:xfrm>
                            <a:prstGeom prst="line">
                              <a:avLst/>
                            </a:prstGeom>
                            <a:noFill/>
                            <a:ln w="6350" cap="flat" cmpd="sng" algn="ctr">
                              <a:solidFill>
                                <a:srgbClr val="4472C4"/>
                              </a:solidFill>
                              <a:prstDash val="solid"/>
                              <a:miter lim="800000"/>
                            </a:ln>
                            <a:effectLst/>
                          </wps:spPr>
                          <wps:bodyPr/>
                        </wps:wsp>
                        <wps:wsp>
                          <wps:cNvPr id="209" name="Straight Connector 209"/>
                          <wps:cNvCnPr/>
                          <wps:spPr>
                            <a:xfrm flipH="1">
                              <a:off x="515074" y="1180618"/>
                              <a:ext cx="2061845" cy="12065"/>
                            </a:xfrm>
                            <a:prstGeom prst="line">
                              <a:avLst/>
                            </a:prstGeom>
                            <a:noFill/>
                            <a:ln w="6350" cap="flat" cmpd="sng" algn="ctr">
                              <a:solidFill>
                                <a:srgbClr val="4472C4"/>
                              </a:solidFill>
                              <a:prstDash val="solid"/>
                              <a:miter lim="800000"/>
                            </a:ln>
                            <a:effectLst/>
                          </wps:spPr>
                          <wps:bodyPr/>
                        </wps:wsp>
                        <wps:wsp>
                          <wps:cNvPr id="210" name="Text Box 2"/>
                          <wps:cNvSpPr txBox="1">
                            <a:spLocks noChangeArrowheads="1"/>
                          </wps:cNvSpPr>
                          <wps:spPr bwMode="auto">
                            <a:xfrm>
                              <a:off x="1006998" y="0"/>
                              <a:ext cx="1075779" cy="217850"/>
                            </a:xfrm>
                            <a:prstGeom prst="rect">
                              <a:avLst/>
                            </a:prstGeom>
                            <a:solidFill>
                              <a:srgbClr val="FFFFFF"/>
                            </a:solidFill>
                            <a:ln w="9525">
                              <a:noFill/>
                              <a:miter lim="800000"/>
                              <a:headEnd/>
                              <a:tailEnd/>
                            </a:ln>
                          </wps:spPr>
                          <wps:txbx>
                            <w:txbxContent>
                              <w:p w14:paraId="089F1810" w14:textId="77777777" w:rsidR="00A56C43" w:rsidRPr="002301D0" w:rsidRDefault="00A56C43" w:rsidP="00C22FE0">
                                <w:pPr>
                                  <w:jc w:val="center"/>
                                  <w:rPr>
                                    <w:sz w:val="16"/>
                                  </w:rPr>
                                </w:pPr>
                                <w:r w:rsidRPr="002301D0">
                                  <w:rPr>
                                    <w:sz w:val="16"/>
                                  </w:rPr>
                                  <w:t>Fully recovered</w:t>
                                </w:r>
                              </w:p>
                            </w:txbxContent>
                          </wps:txbx>
                          <wps:bodyPr rot="0" vert="horz" wrap="square" lIns="91440" tIns="45720" rIns="91440" bIns="45720" anchor="t" anchorCtr="0">
                            <a:spAutoFit/>
                          </wps:bodyPr>
                        </wps:wsp>
                        <wps:wsp>
                          <wps:cNvPr id="211" name="Text Box 2"/>
                          <wps:cNvSpPr txBox="1">
                            <a:spLocks noChangeArrowheads="1"/>
                          </wps:cNvSpPr>
                          <wps:spPr bwMode="auto">
                            <a:xfrm>
                              <a:off x="1012785" y="312516"/>
                              <a:ext cx="1075779" cy="217850"/>
                            </a:xfrm>
                            <a:prstGeom prst="rect">
                              <a:avLst/>
                            </a:prstGeom>
                            <a:solidFill>
                              <a:srgbClr val="FFFFFF"/>
                            </a:solidFill>
                            <a:ln w="9525">
                              <a:noFill/>
                              <a:miter lim="800000"/>
                              <a:headEnd/>
                              <a:tailEnd/>
                            </a:ln>
                          </wps:spPr>
                          <wps:txbx>
                            <w:txbxContent>
                              <w:p w14:paraId="5A6ADE8D" w14:textId="77777777" w:rsidR="00A56C43" w:rsidRPr="002301D0" w:rsidRDefault="00A56C43" w:rsidP="00C22FE0">
                                <w:pPr>
                                  <w:jc w:val="center"/>
                                  <w:rPr>
                                    <w:sz w:val="16"/>
                                  </w:rPr>
                                </w:pPr>
                                <w:r w:rsidRPr="002301D0">
                                  <w:rPr>
                                    <w:sz w:val="16"/>
                                  </w:rPr>
                                  <w:t>Partially recovered</w:t>
                                </w:r>
                              </w:p>
                            </w:txbxContent>
                          </wps:txbx>
                          <wps:bodyPr rot="0" vert="horz" wrap="square" lIns="91440" tIns="45720" rIns="91440" bIns="45720" anchor="t" anchorCtr="0">
                            <a:spAutoFit/>
                          </wps:bodyPr>
                        </wps:wsp>
                        <wps:wsp>
                          <wps:cNvPr id="218" name="Text Box 2"/>
                          <wps:cNvSpPr txBox="1">
                            <a:spLocks noChangeArrowheads="1"/>
                          </wps:cNvSpPr>
                          <wps:spPr bwMode="auto">
                            <a:xfrm>
                              <a:off x="1006998" y="625033"/>
                              <a:ext cx="1075779" cy="217850"/>
                            </a:xfrm>
                            <a:prstGeom prst="rect">
                              <a:avLst/>
                            </a:prstGeom>
                            <a:solidFill>
                              <a:srgbClr val="FFFFFF"/>
                            </a:solidFill>
                            <a:ln w="9525">
                              <a:noFill/>
                              <a:miter lim="800000"/>
                              <a:headEnd/>
                              <a:tailEnd/>
                            </a:ln>
                          </wps:spPr>
                          <wps:txbx>
                            <w:txbxContent>
                              <w:p w14:paraId="50E89EAA" w14:textId="77777777" w:rsidR="00A56C43" w:rsidRPr="002301D0" w:rsidRDefault="00A56C43" w:rsidP="00C22FE0">
                                <w:pPr>
                                  <w:jc w:val="center"/>
                                  <w:rPr>
                                    <w:sz w:val="16"/>
                                  </w:rPr>
                                </w:pPr>
                                <w:r w:rsidRPr="002301D0">
                                  <w:rPr>
                                    <w:sz w:val="16"/>
                                  </w:rPr>
                                  <w:t>No improvement</w:t>
                                </w:r>
                              </w:p>
                            </w:txbxContent>
                          </wps:txbx>
                          <wps:bodyPr rot="0" vert="horz" wrap="square" lIns="91440" tIns="45720" rIns="91440" bIns="45720" anchor="t" anchorCtr="0">
                            <a:spAutoFit/>
                          </wps:bodyPr>
                        </wps:wsp>
                        <wps:wsp>
                          <wps:cNvPr id="219" name="Text Box 2"/>
                          <wps:cNvSpPr txBox="1">
                            <a:spLocks noChangeArrowheads="1"/>
                          </wps:cNvSpPr>
                          <wps:spPr bwMode="auto">
                            <a:xfrm>
                              <a:off x="995423" y="949124"/>
                              <a:ext cx="1075779" cy="217850"/>
                            </a:xfrm>
                            <a:prstGeom prst="rect">
                              <a:avLst/>
                            </a:prstGeom>
                            <a:solidFill>
                              <a:srgbClr val="FFFFFF"/>
                            </a:solidFill>
                            <a:ln w="9525">
                              <a:noFill/>
                              <a:miter lim="800000"/>
                              <a:headEnd/>
                              <a:tailEnd/>
                            </a:ln>
                          </wps:spPr>
                          <wps:txbx>
                            <w:txbxContent>
                              <w:p w14:paraId="071BB8A0" w14:textId="77777777" w:rsidR="00A56C43" w:rsidRPr="002301D0" w:rsidRDefault="00A56C43" w:rsidP="00C22FE0">
                                <w:pPr>
                                  <w:jc w:val="center"/>
                                  <w:rPr>
                                    <w:sz w:val="16"/>
                                  </w:rPr>
                                </w:pPr>
                                <w:r w:rsidRPr="002301D0">
                                  <w:rPr>
                                    <w:sz w:val="16"/>
                                  </w:rPr>
                                  <w:t>Deteriorated</w:t>
                                </w:r>
                              </w:p>
                            </w:txbxContent>
                          </wps:txbx>
                          <wps:bodyPr rot="0" vert="horz" wrap="square" lIns="91440" tIns="45720" rIns="91440" bIns="45720" anchor="t" anchorCtr="0">
                            <a:spAutoFit/>
                          </wps:bodyPr>
                        </wps:wsp>
                      </wpg:grpSp>
                    </wpg:wgp>
                  </a:graphicData>
                </a:graphic>
              </wp:inline>
            </w:drawing>
          </mc:Choice>
          <mc:Fallback xmlns:oel="http://schemas.microsoft.com/office/2019/extlst">
            <w:pict>
              <v:group w14:anchorId="63FF3E7E" id="Group 155" o:spid="_x0000_s1026" alt="A graphic that shows the structure of the decision-tree model. It illustrates the pathways available to patients with depression and/or anxiety and the four possible health states that can occur after treatment. The four health states are fully recovered, partially recovered, no improvement and deteriorated." style="width:393.05pt;height:213pt;mso-position-horizontal-relative:char;mso-position-vertical-relative:line" coordsize="49921,27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">
                <v:line id="Straight Connector 156" o:spid="_x0000_s1027" style="position:absolute;flip:y;visibility:visible;mso-wrap-style:square" from="810,15452" to="10852,15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" strokecolor="#4472c4" strokeweight=".5pt">
                  <v:stroke joinstyle="miter"/>
                </v:line>
                <v:rect id="Rectangle 157" o:spid="_x0000_s1028" style="position:absolute;left:10822;top:14063;width:1955;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" fillcolor="window" strokecolor="#70ad47" strokeweight="1pt"/>
                <v:line id="Straight Connector 158" o:spid="_x0000_s1029" style="position:absolute;flip:y;visibility:visible;mso-wrap-style:square" from="12790,7465" to="15162,1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" strokecolor="#4472c4" strokeweight=".5pt">
                  <v:stroke joinstyle="miter"/>
                </v:line>
                <v:line id="Straight Connector 159" o:spid="_x0000_s1030" style="position:absolute;flip:x y;visibility:visible;mso-wrap-style:square" from="12790,16262" to="14757,21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" strokecolor="#4472c4" strokeweight=".5pt">
                  <v:stroke joinstyle="miter"/>
                </v:line>
                <v:line id="Straight Connector 160" o:spid="_x0000_s1031" style="position:absolute;visibility:visible;mso-wrap-style:square" from="15047,7465" to="22705,7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" strokecolor="#4472c4" strokeweight=".5pt">
                  <v:stroke joinstyle="miter"/>
                </v:line>
                <v:line id="Straight Connector 161" o:spid="_x0000_s1032" style="position:absolute;visibility:visible;mso-wrap-style:square" from="14873,21644" to="22532,21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" strokecolor="#4472c4" strokeweight=".5pt">
                  <v:stroke joinstyle="miter"/>
                </v:line>
                <v:shapetype id="_x0000_t202" coordsize="21600,21600" o:spt="202" path="m,l,21600r21600,l21600,xe">
                  <v:stroke joinstyle="miter"/>
                  <v:path gradientshapeok="t" o:connecttype="rect"/>
                </v:shapetype>
                <v:shape id="Text Box 2" o:spid="_x0000_s1033" type="#_x0000_t202" style="position:absolute;top:10706;width:9875;height:4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" stroked="f">
                  <v:textbox style="mso-fit-shape-to-text:t">
                    <w:txbxContent>
                      <w:p w14:paraId="1BEBA1A6" w14:textId="77777777" w:rsidR="00A56C43" w:rsidRPr="002301D0" w:rsidRDefault="00A56C43" w:rsidP="00C22FE0">
                        <w:pPr>
                          <w:jc w:val="center"/>
                          <w:rPr>
                            <w:sz w:val="16"/>
                          </w:rPr>
                        </w:pPr>
                        <w:r w:rsidRPr="002301D0">
                          <w:rPr>
                            <w:sz w:val="16"/>
                          </w:rPr>
                          <w:t>Patients with depression and/or anxiety</w:t>
                        </w:r>
                      </w:p>
                    </w:txbxContent>
                  </v:textbox>
                </v:shape>
                <v:shape id="Text Box 2" o:spid="_x0000_s1034" type="#_x0000_t202" style="position:absolute;left:12327;top:2351;width:10846;height:4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" stroked="f">
                  <v:textbox style="mso-fit-shape-to-text:t">
                    <w:txbxContent>
                      <w:p w14:paraId="39A519EC" w14:textId="77777777" w:rsidR="00A56C43" w:rsidRDefault="00A56C43" w:rsidP="00C22FE0">
                        <w:pPr>
                          <w:jc w:val="center"/>
                          <w:rPr>
                            <w:sz w:val="16"/>
                          </w:rPr>
                        </w:pPr>
                        <w:r w:rsidRPr="002301D0">
                          <w:rPr>
                            <w:sz w:val="16"/>
                          </w:rPr>
                          <w:t>Supported online mental health service</w:t>
                        </w:r>
                      </w:p>
                      <w:p w14:paraId="0DE04A8E" w14:textId="77777777" w:rsidR="00A56C43" w:rsidRPr="002301D0" w:rsidRDefault="00A56C43" w:rsidP="00C22FE0">
                        <w:pPr>
                          <w:jc w:val="center"/>
                          <w:rPr>
                            <w:sz w:val="16"/>
                          </w:rPr>
                        </w:pPr>
                        <w:r>
                          <w:rPr>
                            <w:sz w:val="16"/>
                          </w:rPr>
                          <w:t>(“Intervention” arm)</w:t>
                        </w:r>
                      </w:p>
                    </w:txbxContent>
                  </v:textbox>
                </v:shape>
                <v:shape id="Text Box 2" o:spid="_x0000_s1035" type="#_x0000_t202" style="position:absolute;left:12095;top:21876;width:10332;height:3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" stroked="f">
                  <v:textbox style="mso-fit-shape-to-text:t">
                    <w:txbxContent>
                      <w:p w14:paraId="7098D890" w14:textId="77777777" w:rsidR="00A56C43" w:rsidRDefault="00A56C43" w:rsidP="00C22FE0">
                        <w:pPr>
                          <w:jc w:val="center"/>
                          <w:rPr>
                            <w:sz w:val="16"/>
                          </w:rPr>
                        </w:pPr>
                        <w:r w:rsidRPr="002301D0">
                          <w:rPr>
                            <w:sz w:val="16"/>
                          </w:rPr>
                          <w:t>Routine / Usual care</w:t>
                        </w:r>
                      </w:p>
                      <w:p w14:paraId="32B9083F" w14:textId="77777777" w:rsidR="00A56C43" w:rsidRPr="002301D0" w:rsidRDefault="00A56C43" w:rsidP="00C22FE0">
                        <w:pPr>
                          <w:jc w:val="center"/>
                          <w:rPr>
                            <w:sz w:val="16"/>
                          </w:rPr>
                        </w:pPr>
                        <w:r>
                          <w:rPr>
                            <w:sz w:val="16"/>
                          </w:rPr>
                          <w:t>(“Comparator” arm)</w:t>
                        </w:r>
                      </w:p>
                    </w:txbxContent>
                  </v:textbox>
                </v:shape>
                <v:group id="Group 165" o:spid="_x0000_s1036" style="position:absolute;left:22686;width:27235;height:12700" coordsize="27235,12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">
                  <v:oval id="Oval 166" o:spid="_x0000_s1037" style="position:absolute;top:6308;width:2537;height:2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" fillcolor="window" strokecolor="#70ad47" strokeweight="1pt">
                    <v:stroke joinstyle="miter"/>
                  </v:oval>
                  <v:line id="Straight Connector 167" o:spid="_x0000_s1038" style="position:absolute;flip:y;visibility:visible;mso-wrap-style:square" from="2430,2372" to="5397,6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" strokecolor="#4472c4" strokeweight=".5pt">
                    <v:stroke joinstyle="miter"/>
                  </v:line>
                  <v:line id="Straight Connector 168" o:spid="_x0000_s1039" style="position:absolute;flip:y;visibility:visible;mso-wrap-style:square" from="2720,5497" to="5293,7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" strokecolor="#4472c4" strokeweight=".5pt">
                    <v:stroke joinstyle="miter"/>
                  </v:line>
                  <v:line id="Straight Connector 169" o:spid="_x0000_s1040" style="position:absolute;visibility:visible;mso-wrap-style:square" from="2141,8391" to="5108,1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" strokecolor="#4472c4" strokeweight=".5pt">
                    <v:stroke joinstyle="miter"/>
                  </v:line>
                  <v:line id="Straight Connector 170" o:spid="_x0000_s1041" style="position:absolute;visibility:visible;mso-wrap-style:square" from="2546,7870" to="5150,8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" strokecolor="#4472c4" strokeweight=".5pt">
                    <v:stroke joinstyle="miter"/>
                  </v:lin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0" o:spid="_x0000_s1042" type="#_x0000_t5" style="position:absolute;left:25811;top:1677;width:1714;height:113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" fillcolor="window" strokecolor="#70ad47" strokeweight="1pt"/>
                  <v:shape id="Isosceles Triangle 21" o:spid="_x0000_s1043" type="#_x0000_t5" style="position:absolute;left:25696;top:4860;width:1708;height:11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" fillcolor="window" strokecolor="#70ad47" strokeweight="1pt"/>
                  <v:shape id="Isosceles Triangle 22" o:spid="_x0000_s1044" type="#_x0000_t5" style="position:absolute;left:25580;top:7985;width:1708;height:11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" fillcolor="window" strokecolor="#70ad47" strokeweight="1pt"/>
                  <v:shape id="Isosceles Triangle 23" o:spid="_x0000_s1045" type="#_x0000_t5" style="position:absolute;left:25638;top:11284;width:1708;height:11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" fillcolor="window" strokecolor="#70ad47" strokeweight="1pt"/>
                  <v:line id="Straight Connector 175" o:spid="_x0000_s1046" style="position:absolute;flip:x;visibility:visible;mso-wrap-style:square" from="5497,2199" to="26120,2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" strokecolor="#4472c4" strokeweight=".5pt">
                    <v:stroke joinstyle="miter"/>
                  </v:line>
                  <v:line id="Straight Connector 176" o:spid="_x0000_s1047" style="position:absolute;flip:x;visibility:visible;mso-wrap-style:square" from="5382,5324" to="26005,5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" strokecolor="#4472c4" strokeweight=".5pt">
                    <v:stroke joinstyle="miter"/>
                  </v:line>
                  <v:line id="Straight Connector 177" o:spid="_x0000_s1048" style="position:absolute;flip:x;visibility:visible;mso-wrap-style:square" from="5266,8507" to="25889,8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" strokecolor="#4472c4" strokeweight=".5pt">
                    <v:stroke joinstyle="miter"/>
                  </v:line>
                  <v:line id="Straight Connector 180" o:spid="_x0000_s1049" style="position:absolute;flip:x;visibility:visible;mso-wrap-style:square" from="5266,11806" to="25889,11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" strokecolor="#4472c4" strokeweight=".5pt">
                    <v:stroke joinstyle="miter"/>
                  </v:line>
                  <v:shape id="Text Box 2" o:spid="_x0000_s1050" type="#_x0000_t202" style="position:absolute;left:10301;width:10758;height:2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" stroked="f">
                    <v:textbox style="mso-fit-shape-to-text:t">
                      <w:txbxContent>
                        <w:p w14:paraId="7F7E1D25" w14:textId="77777777" w:rsidR="00A56C43" w:rsidRPr="002301D0" w:rsidRDefault="00A56C43" w:rsidP="00C22FE0">
                          <w:pPr>
                            <w:jc w:val="center"/>
                            <w:rPr>
                              <w:sz w:val="16"/>
                            </w:rPr>
                          </w:pPr>
                          <w:r w:rsidRPr="002301D0">
                            <w:rPr>
                              <w:sz w:val="16"/>
                            </w:rPr>
                            <w:t>Fully recovered</w:t>
                          </w:r>
                        </w:p>
                      </w:txbxContent>
                    </v:textbox>
                  </v:shape>
                  <v:shape id="Text Box 2" o:spid="_x0000_s1051" type="#_x0000_t202" style="position:absolute;left:10417;top:3009;width:10758;height:2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" stroked="f">
                    <v:textbox style="mso-fit-shape-to-text:t">
                      <w:txbxContent>
                        <w:p w14:paraId="2431007D" w14:textId="77777777" w:rsidR="00A56C43" w:rsidRPr="002301D0" w:rsidRDefault="00A56C43" w:rsidP="00C22FE0">
                          <w:pPr>
                            <w:jc w:val="center"/>
                            <w:rPr>
                              <w:sz w:val="16"/>
                            </w:rPr>
                          </w:pPr>
                          <w:r w:rsidRPr="002301D0">
                            <w:rPr>
                              <w:sz w:val="16"/>
                            </w:rPr>
                            <w:t>Partially recovered</w:t>
                          </w:r>
                        </w:p>
                      </w:txbxContent>
                    </v:textbox>
                  </v:shape>
                  <v:shape id="Text Box 2" o:spid="_x0000_s1052" type="#_x0000_t202" style="position:absolute;left:10185;top:6308;width:10758;height:2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" stroked="f">
                    <v:textbox style="mso-fit-shape-to-text:t">
                      <w:txbxContent>
                        <w:p w14:paraId="06EC928E" w14:textId="77777777" w:rsidR="00A56C43" w:rsidRPr="002301D0" w:rsidRDefault="00A56C43" w:rsidP="00C22FE0">
                          <w:pPr>
                            <w:jc w:val="center"/>
                            <w:rPr>
                              <w:sz w:val="16"/>
                            </w:rPr>
                          </w:pPr>
                          <w:r w:rsidRPr="002301D0">
                            <w:rPr>
                              <w:sz w:val="16"/>
                            </w:rPr>
                            <w:t>No improvement</w:t>
                          </w:r>
                        </w:p>
                      </w:txbxContent>
                    </v:textbox>
                  </v:shape>
                  <v:shape id="Text Box 2" o:spid="_x0000_s1053" type="#_x0000_t202" style="position:absolute;left:9896;top:9606;width:10758;height:2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" stroked="f">
                    <v:textbox style="mso-fit-shape-to-text:t">
                      <w:txbxContent>
                        <w:p w14:paraId="3CBF0E94" w14:textId="77777777" w:rsidR="00A56C43" w:rsidRPr="002301D0" w:rsidRDefault="00A56C43" w:rsidP="00C22FE0">
                          <w:pPr>
                            <w:jc w:val="center"/>
                            <w:rPr>
                              <w:sz w:val="16"/>
                            </w:rPr>
                          </w:pPr>
                          <w:r w:rsidRPr="002301D0">
                            <w:rPr>
                              <w:sz w:val="16"/>
                            </w:rPr>
                            <w:t>Deteriorated</w:t>
                          </w:r>
                        </w:p>
                      </w:txbxContent>
                    </v:textbox>
                  </v:shape>
                </v:group>
                <v:group id="Group 185" o:spid="_x0000_s1054" style="position:absolute;left:22744;top:14294;width:27115;height:12762" coordsize="27115,12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">
                  <v:oval id="Oval 186" o:spid="_x0000_s1055" style="position:absolute;top:6134;width:2537;height:2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" fillcolor="window" strokecolor="#70ad47" strokeweight="1pt">
                    <v:stroke joinstyle="miter"/>
                  </v:oval>
                  <v:line id="Straight Connector 187" o:spid="_x0000_s1056" style="position:absolute;flip:y;visibility:visible;mso-wrap-style:square" from="2314,2372" to="5280,6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" strokecolor="#4472c4" strokeweight=".5pt">
                    <v:stroke joinstyle="miter"/>
                  </v:line>
                  <v:line id="Straight Connector 188" o:spid="_x0000_s1057" style="position:absolute;flip:y;visibility:visible;mso-wrap-style:square" from="2604,5497" to="5176,7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" strokecolor="#4472c4" strokeweight=".5pt">
                    <v:stroke joinstyle="miter"/>
                  </v:line>
                  <v:line id="Straight Connector 192" o:spid="_x0000_s1058" style="position:absolute;visibility:visible;mso-wrap-style:square" from="2025,8391" to="4991,11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" strokecolor="#4472c4" strokeweight=".5pt">
                    <v:stroke joinstyle="miter"/>
                  </v:line>
                  <v:line id="Straight Connector 196" o:spid="_x0000_s1059" style="position:absolute;visibility:visible;mso-wrap-style:square" from="2488,7870" to="5092,8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" strokecolor="#4472c4" strokeweight=".5pt">
                    <v:stroke joinstyle="miter"/>
                  </v:line>
                  <v:group id="Group 197" o:spid="_x0000_s1060" style="position:absolute;left:25753;top:1388;width:1362;height:11373" coordsize="1361,11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">
                    <v:shape id="Isosceles Triangle 72" o:spid="_x0000_s1061" type="#_x0000_t5" style="position:absolute;left:-58;top:289;width:1708;height:113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" fillcolor="window" strokecolor="#70ad47" strokeweight="1pt"/>
                    <v:shape id="Isosceles Triangle 74" o:spid="_x0000_s1062" type="#_x0000_t5" style="position:absolute;left:-173;top:3413;width:1708;height:11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" fillcolor="window" strokecolor="#70ad47" strokeweight="1pt"/>
                    <v:shape id="Isosceles Triangle 75" o:spid="_x0000_s1063" type="#_x0000_t5" style="position:absolute;left:-289;top:6655;width:1708;height:113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" fillcolor="window" strokecolor="#70ad47" strokeweight="1pt"/>
                    <v:shape id="Isosceles Triangle 88" o:spid="_x0000_s1064" type="#_x0000_t5" style="position:absolute;left:-232;top:9953;width:1709;height:11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" fillcolor="window" strokecolor="#70ad47" strokeweight="1pt"/>
                  </v:group>
                  <v:line id="Straight Connector 206" o:spid="_x0000_s1065" style="position:absolute;flip:x;visibility:visible;mso-wrap-style:square" from="5382,2199" to="26000,2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" strokecolor="#4472c4" strokeweight=".5pt">
                    <v:stroke joinstyle="miter"/>
                  </v:line>
                  <v:line id="Straight Connector 207" o:spid="_x0000_s1066" style="position:absolute;flip:x;visibility:visible;mso-wrap-style:square" from="5266,5382" to="25884,5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" strokecolor="#4472c4" strokeweight=".5pt">
                    <v:stroke joinstyle="miter"/>
                  </v:line>
                  <v:line id="Straight Connector 208" o:spid="_x0000_s1067" style="position:absolute;flip:x;visibility:visible;mso-wrap-style:square" from="5208,8507" to="25827,8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" strokecolor="#4472c4" strokeweight=".5pt">
                    <v:stroke joinstyle="miter"/>
                  </v:line>
                  <v:line id="Straight Connector 209" o:spid="_x0000_s1068" style="position:absolute;flip:x;visibility:visible;mso-wrap-style:square" from="5150,11806" to="25769,11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" strokecolor="#4472c4" strokeweight=".5pt">
                    <v:stroke joinstyle="miter"/>
                  </v:line>
                  <v:shape id="Text Box 2" o:spid="_x0000_s1069" type="#_x0000_t202" style="position:absolute;left:10069;width:10758;height: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" stroked="f">
                    <v:textbox style="mso-fit-shape-to-text:t">
                      <w:txbxContent>
                        <w:p w14:paraId="089F1810" w14:textId="77777777" w:rsidR="00A56C43" w:rsidRPr="002301D0" w:rsidRDefault="00A56C43" w:rsidP="00C22FE0">
                          <w:pPr>
                            <w:jc w:val="center"/>
                            <w:rPr>
                              <w:sz w:val="16"/>
                            </w:rPr>
                          </w:pPr>
                          <w:r w:rsidRPr="002301D0">
                            <w:rPr>
                              <w:sz w:val="16"/>
                            </w:rPr>
                            <w:t>Fully recovered</w:t>
                          </w:r>
                        </w:p>
                      </w:txbxContent>
                    </v:textbox>
                  </v:shape>
                  <v:shape id="Text Box 2" o:spid="_x0000_s1070" type="#_x0000_t202" style="position:absolute;left:10127;top:3125;width:10758;height: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" stroked="f">
                    <v:textbox style="mso-fit-shape-to-text:t">
                      <w:txbxContent>
                        <w:p w14:paraId="5A6ADE8D" w14:textId="77777777" w:rsidR="00A56C43" w:rsidRPr="002301D0" w:rsidRDefault="00A56C43" w:rsidP="00C22FE0">
                          <w:pPr>
                            <w:jc w:val="center"/>
                            <w:rPr>
                              <w:sz w:val="16"/>
                            </w:rPr>
                          </w:pPr>
                          <w:r w:rsidRPr="002301D0">
                            <w:rPr>
                              <w:sz w:val="16"/>
                            </w:rPr>
                            <w:t>Partially recovered</w:t>
                          </w:r>
                        </w:p>
                      </w:txbxContent>
                    </v:textbox>
                  </v:shape>
                  <v:shape id="Text Box 2" o:spid="_x0000_s1071" type="#_x0000_t202" style="position:absolute;left:10069;top:6250;width:10758;height: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" stroked="f">
                    <v:textbox style="mso-fit-shape-to-text:t">
                      <w:txbxContent>
                        <w:p w14:paraId="50E89EAA" w14:textId="77777777" w:rsidR="00A56C43" w:rsidRPr="002301D0" w:rsidRDefault="00A56C43" w:rsidP="00C22FE0">
                          <w:pPr>
                            <w:jc w:val="center"/>
                            <w:rPr>
                              <w:sz w:val="16"/>
                            </w:rPr>
                          </w:pPr>
                          <w:r w:rsidRPr="002301D0">
                            <w:rPr>
                              <w:sz w:val="16"/>
                            </w:rPr>
                            <w:t>No improvement</w:t>
                          </w:r>
                        </w:p>
                      </w:txbxContent>
                    </v:textbox>
                  </v:shape>
                  <v:shape id="Text Box 2" o:spid="_x0000_s1072" type="#_x0000_t202" style="position:absolute;left:9954;top:9491;width:10758;height: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" stroked="f">
                    <v:textbox style="mso-fit-shape-to-text:t">
                      <w:txbxContent>
                        <w:p w14:paraId="071BB8A0" w14:textId="77777777" w:rsidR="00A56C43" w:rsidRPr="002301D0" w:rsidRDefault="00A56C43" w:rsidP="00C22FE0">
                          <w:pPr>
                            <w:jc w:val="center"/>
                            <w:rPr>
                              <w:sz w:val="16"/>
                            </w:rPr>
                          </w:pPr>
                          <w:r w:rsidRPr="002301D0">
                            <w:rPr>
                              <w:sz w:val="16"/>
                            </w:rPr>
                            <w:t>Deteriorated</w:t>
                          </w:r>
                        </w:p>
                      </w:txbxContent>
                    </v:textbox>
                  </v:shape>
                </v:group>
                <w10:anchorlock/>
              </v:group>
            </w:pict>
          </mc:Fallback>
        </mc:AlternateContent>
      </w:r>
    </w:p>
    <w:p w14:paraId="09E854C4" w14:textId="5EC16AB9" w:rsidR="003A5280" w:rsidRPr="008C02F0" w:rsidRDefault="003A5280" w:rsidP="008E7F21">
      <w:pPr>
        <w:pStyle w:val="Caption"/>
        <w:spacing w:after="240"/>
        <w:rPr>
          <w:rFonts w:ascii="Calibri" w:hAnsi="Calibri" w:cs="Arial"/>
          <w:b/>
          <w:i w:val="0"/>
          <w:noProof/>
          <w:color w:val="auto"/>
          <w:sz w:val="21"/>
          <w:szCs w:val="21"/>
        </w:rPr>
      </w:pPr>
      <w:r>
        <w:rPr>
          <w:b/>
          <w:i w:val="0"/>
          <w:color w:val="auto"/>
          <w:sz w:val="21"/>
          <w:szCs w:val="21"/>
        </w:rPr>
        <w:t xml:space="preserve">Figure </w:t>
      </w:r>
      <w:r w:rsidR="00C754B0">
        <w:rPr>
          <w:b/>
          <w:i w:val="0"/>
          <w:color w:val="auto"/>
          <w:sz w:val="21"/>
          <w:szCs w:val="21"/>
        </w:rPr>
        <w:t>L1</w:t>
      </w:r>
      <w:r w:rsidRPr="008C02F0">
        <w:rPr>
          <w:b/>
          <w:i w:val="0"/>
          <w:color w:val="auto"/>
          <w:sz w:val="21"/>
          <w:szCs w:val="21"/>
        </w:rPr>
        <w:t xml:space="preserve">. </w:t>
      </w:r>
      <w:r>
        <w:rPr>
          <w:b/>
          <w:i w:val="0"/>
          <w:color w:val="auto"/>
          <w:sz w:val="21"/>
          <w:szCs w:val="21"/>
        </w:rPr>
        <w:t>Diagrammatic structure of the decision-tree model</w:t>
      </w:r>
    </w:p>
    <w:p w14:paraId="5EDDC58C" w14:textId="4AD23664" w:rsidR="00C22FE0" w:rsidRPr="00C22FE0" w:rsidRDefault="00C22FE0" w:rsidP="00D6551D">
      <w:pPr>
        <w:spacing w:after="240"/>
        <w:rPr>
          <w:rFonts w:ascii="Calibri" w:hAnsi="Calibri" w:cs="Arial"/>
          <w:iCs/>
          <w:color w:val="000000" w:themeColor="text1"/>
          <w:sz w:val="21"/>
          <w:szCs w:val="21"/>
          <w:lang w:eastAsia="zh-CN"/>
        </w:rPr>
      </w:pPr>
      <w:r w:rsidRPr="00C22FE0">
        <w:rPr>
          <w:rFonts w:ascii="Calibri" w:hAnsi="Calibri" w:cs="Arial"/>
          <w:iCs/>
          <w:color w:val="000000" w:themeColor="text1"/>
          <w:sz w:val="21"/>
          <w:szCs w:val="21"/>
          <w:lang w:eastAsia="zh-CN"/>
        </w:rPr>
        <w:t>The model population is the number of consumers completing assessment at the respective DMHS and eligible for treatment. The treatment effects are categorised into four health states: (</w:t>
      </w:r>
      <w:proofErr w:type="spellStart"/>
      <w:r w:rsidRPr="00C22FE0">
        <w:rPr>
          <w:rFonts w:ascii="Calibri" w:hAnsi="Calibri" w:cs="Arial"/>
          <w:iCs/>
          <w:color w:val="000000" w:themeColor="text1"/>
          <w:sz w:val="21"/>
          <w:szCs w:val="21"/>
          <w:lang w:eastAsia="zh-CN"/>
        </w:rPr>
        <w:t>i</w:t>
      </w:r>
      <w:proofErr w:type="spellEnd"/>
      <w:r w:rsidRPr="00C22FE0">
        <w:rPr>
          <w:rFonts w:ascii="Calibri" w:hAnsi="Calibri" w:cs="Arial"/>
          <w:iCs/>
          <w:color w:val="000000" w:themeColor="text1"/>
          <w:sz w:val="21"/>
          <w:szCs w:val="21"/>
          <w:lang w:eastAsia="zh-CN"/>
        </w:rPr>
        <w:t>) fully recovered, (ii) partially recovered, (iii) no improvement and (iv) deteriorated. The four health states are based on diagnostic cut-off points of instruments that measure depression and anxiety such as the PHQ-9 and GAD-7 (</w:t>
      </w:r>
      <w:r w:rsidRPr="00443B5D">
        <w:rPr>
          <w:rFonts w:ascii="Calibri" w:hAnsi="Calibri" w:cs="Arial"/>
          <w:color w:val="000000" w:themeColor="text1"/>
          <w:sz w:val="21"/>
          <w:szCs w:val="21"/>
          <w:lang w:eastAsia="zh-CN"/>
        </w:rPr>
        <w:t>Lee et al, 2017</w:t>
      </w:r>
      <w:r w:rsidRPr="00443B5D">
        <w:rPr>
          <w:rFonts w:ascii="Calibri" w:hAnsi="Calibri" w:cs="Arial"/>
          <w:iCs/>
          <w:color w:val="000000" w:themeColor="text1"/>
          <w:sz w:val="21"/>
          <w:szCs w:val="21"/>
          <w:lang w:eastAsia="zh-CN"/>
        </w:rPr>
        <w:t>).</w:t>
      </w:r>
      <w:r w:rsidR="0019434E" w:rsidRPr="00443B5D">
        <w:rPr>
          <w:rFonts w:ascii="Calibri" w:hAnsi="Calibri" w:cs="Arial"/>
          <w:iCs/>
          <w:color w:val="000000" w:themeColor="text1"/>
          <w:sz w:val="21"/>
          <w:szCs w:val="21"/>
          <w:lang w:eastAsia="zh-CN"/>
        </w:rPr>
        <w:fldChar w:fldCharType="begin"/>
      </w:r>
      <w:r w:rsidR="004469A2">
        <w:rPr>
          <w:rFonts w:ascii="Calibri" w:hAnsi="Calibri" w:cs="Arial"/>
          <w:iCs/>
          <w:color w:val="000000" w:themeColor="text1"/>
          <w:sz w:val="21"/>
          <w:szCs w:val="21"/>
          <w:lang w:eastAsia="zh-CN"/>
        </w:rPr>
        <w:instrText xml:space="preserve"> ADDIN EN.CITE &lt;EndNote&gt;&lt;Cite&gt;&lt;Author&gt;Lee&lt;/Author&gt;&lt;Year&gt;2017&lt;/Year&gt;&lt;RecNum&gt;27&lt;/RecNum&gt;&lt;DisplayText&gt;&lt;style face="superscript"&gt;83&lt;/style&gt;&lt;/DisplayText&gt;&lt;record&gt;&lt;rec-number&gt;27&lt;/rec-number&gt;&lt;foreign-keys&gt;&lt;key app="EN" db-id="dawtr0zrkrzfa5edzzlpe2we0xa00t90vvr2" timestamp="1623067866"&gt;27&lt;/key&gt;&lt;/foreign-keys&gt;&lt;ref-type name="Journal Article"&gt;17&lt;/ref-type&gt;&lt;contributors&gt;&lt;authors&gt;&lt;author&gt;Lee, Yu-Chen&lt;/author&gt;&lt;author&gt;Gao, Lan&lt;/author&gt;&lt;author&gt;Dear, Blake F&lt;/author&gt;&lt;author&gt;Titov, Nickolai&lt;/author&gt;&lt;author&gt;Mihalopoulos, Cathrine&lt;/author&gt;&lt;/authors&gt;&lt;/contributors&gt;&lt;titles&gt;&lt;title&gt;The cost-effectiveness of the online MindSpot Clinic for the treatment of depression and anxiety in Australia&lt;/title&gt;&lt;secondary-title&gt;J Ment Health Policy Econ&lt;/secondary-title&gt;&lt;/titles&gt;&lt;periodical&gt;&lt;full-title&gt;J Ment Health Policy Econ&lt;/full-title&gt;&lt;/periodical&gt;&lt;pages&gt;155-166&lt;/pages&gt;&lt;volume&gt;20&lt;/volume&gt;&lt;number&gt;4&lt;/number&gt;&lt;dates&gt;&lt;year&gt;2017&lt;/year&gt;&lt;/dates&gt;&lt;urls&gt;&lt;/urls&gt;&lt;/record&gt;&lt;/Cite&gt;&lt;/EndNote&gt;</w:instrText>
      </w:r>
      <w:r w:rsidR="0019434E" w:rsidRPr="00443B5D">
        <w:rPr>
          <w:rFonts w:ascii="Calibri" w:hAnsi="Calibri" w:cs="Arial"/>
          <w:iCs/>
          <w:color w:val="000000" w:themeColor="text1"/>
          <w:sz w:val="21"/>
          <w:szCs w:val="21"/>
          <w:lang w:eastAsia="zh-CN"/>
        </w:rPr>
        <w:fldChar w:fldCharType="separate"/>
      </w:r>
      <w:r w:rsidR="004469A2" w:rsidRPr="004469A2">
        <w:rPr>
          <w:rFonts w:ascii="Calibri" w:hAnsi="Calibri" w:cs="Arial"/>
          <w:iCs/>
          <w:noProof/>
          <w:color w:val="000000" w:themeColor="text1"/>
          <w:sz w:val="21"/>
          <w:szCs w:val="21"/>
          <w:vertAlign w:val="superscript"/>
          <w:lang w:eastAsia="zh-CN"/>
        </w:rPr>
        <w:t>83</w:t>
      </w:r>
      <w:r w:rsidR="0019434E" w:rsidRPr="00443B5D">
        <w:rPr>
          <w:rFonts w:ascii="Calibri" w:hAnsi="Calibri" w:cs="Arial"/>
          <w:iCs/>
          <w:color w:val="000000" w:themeColor="text1"/>
          <w:sz w:val="21"/>
          <w:szCs w:val="21"/>
          <w:lang w:eastAsia="zh-CN"/>
        </w:rPr>
        <w:fldChar w:fldCharType="end"/>
      </w:r>
      <w:r w:rsidRPr="00C22FE0">
        <w:rPr>
          <w:rFonts w:ascii="Calibri" w:hAnsi="Calibri" w:cs="Arial"/>
          <w:iCs/>
          <w:color w:val="000000" w:themeColor="text1"/>
          <w:sz w:val="21"/>
          <w:szCs w:val="21"/>
          <w:lang w:eastAsia="zh-CN"/>
        </w:rPr>
        <w:t xml:space="preserve"> Further information about the model parameters such as transition probabilities (the probability of moving from one health state to another) and utility weights are presented in sub-section </w:t>
      </w:r>
      <w:r w:rsidR="00C754B0">
        <w:rPr>
          <w:rFonts w:ascii="Calibri" w:hAnsi="Calibri" w:cs="Arial"/>
          <w:iCs/>
          <w:color w:val="000000" w:themeColor="text1"/>
          <w:sz w:val="21"/>
          <w:szCs w:val="21"/>
          <w:lang w:eastAsia="zh-CN"/>
        </w:rPr>
        <w:t>L3</w:t>
      </w:r>
      <w:r w:rsidRPr="00C22FE0">
        <w:rPr>
          <w:rFonts w:ascii="Calibri" w:hAnsi="Calibri" w:cs="Arial"/>
          <w:iCs/>
          <w:color w:val="000000" w:themeColor="text1"/>
          <w:sz w:val="21"/>
          <w:szCs w:val="21"/>
          <w:lang w:eastAsia="zh-CN"/>
        </w:rPr>
        <w:t>.</w:t>
      </w:r>
    </w:p>
    <w:p w14:paraId="3171080C" w14:textId="5806E93E" w:rsidR="00C22FE0" w:rsidRPr="00C22FE0" w:rsidRDefault="00C754B0" w:rsidP="00C22FE0">
      <w:pPr>
        <w:outlineLvl w:val="2"/>
        <w:rPr>
          <w:rFonts w:asciiTheme="minorHAnsi" w:hAnsiTheme="minorHAnsi" w:cstheme="minorHAnsi"/>
          <w:b/>
          <w:bCs/>
          <w:color w:val="2F5496" w:themeColor="accent1" w:themeShade="BF"/>
        </w:rPr>
      </w:pPr>
      <w:r>
        <w:rPr>
          <w:rFonts w:asciiTheme="minorHAnsi" w:hAnsiTheme="minorHAnsi" w:cstheme="minorHAnsi"/>
          <w:b/>
          <w:bCs/>
          <w:color w:val="2F5496" w:themeColor="accent1" w:themeShade="BF"/>
        </w:rPr>
        <w:t>L2</w:t>
      </w:r>
      <w:r w:rsidR="00C22FE0" w:rsidRPr="00C22FE0">
        <w:rPr>
          <w:rFonts w:asciiTheme="minorHAnsi" w:hAnsiTheme="minorHAnsi" w:cstheme="minorHAnsi"/>
          <w:b/>
          <w:bCs/>
          <w:color w:val="2F5496" w:themeColor="accent1" w:themeShade="BF"/>
        </w:rPr>
        <w:t>. Usual care comparison</w:t>
      </w:r>
    </w:p>
    <w:p w14:paraId="584E90E5" w14:textId="649F3DAE" w:rsidR="00C22FE0" w:rsidRPr="00C22FE0" w:rsidRDefault="00C22FE0" w:rsidP="00D6551D">
      <w:pPr>
        <w:spacing w:after="240"/>
        <w:rPr>
          <w:rFonts w:asciiTheme="minorHAnsi" w:eastAsiaTheme="minorEastAsia" w:hAnsiTheme="minorHAnsi" w:cstheme="minorBidi"/>
          <w:sz w:val="21"/>
          <w:szCs w:val="21"/>
          <w:lang w:eastAsia="zh-CN"/>
        </w:rPr>
      </w:pPr>
      <w:r w:rsidRPr="00C22FE0">
        <w:rPr>
          <w:rFonts w:asciiTheme="minorHAnsi" w:eastAsiaTheme="minorEastAsia" w:hAnsiTheme="minorHAnsi" w:cstheme="minorBidi"/>
          <w:sz w:val="21"/>
          <w:szCs w:val="21"/>
          <w:lang w:eastAsia="zh-CN"/>
        </w:rPr>
        <w:t>We used data from two recent RCTs of mental health care located in primary care based in Australia – the Link-me RCT and the Target-D RCT. It is likely that the participants in these trials are generally representative of the types of consumers who receive usual care services if they do not have access to DMHSs. In addition, economic evaluations were conducted alongside these trials (Chatterton et al, 2022; Lee et al</w:t>
      </w:r>
      <w:r w:rsidR="00F97184">
        <w:rPr>
          <w:rFonts w:asciiTheme="minorHAnsi" w:eastAsiaTheme="minorEastAsia" w:hAnsiTheme="minorHAnsi" w:cstheme="minorBidi"/>
          <w:sz w:val="21"/>
          <w:szCs w:val="21"/>
          <w:lang w:eastAsia="zh-CN"/>
        </w:rPr>
        <w:t>,</w:t>
      </w:r>
      <w:r w:rsidRPr="00C22FE0">
        <w:rPr>
          <w:rFonts w:asciiTheme="minorHAnsi" w:eastAsiaTheme="minorEastAsia" w:hAnsiTheme="minorHAnsi" w:cstheme="minorBidi"/>
          <w:sz w:val="21"/>
          <w:szCs w:val="21"/>
          <w:lang w:eastAsia="zh-CN"/>
        </w:rPr>
        <w:t xml:space="preserve"> 2022)</w:t>
      </w:r>
      <w:r w:rsidR="00443B5D">
        <w:rPr>
          <w:rFonts w:asciiTheme="minorHAnsi" w:eastAsiaTheme="minorEastAsia" w:hAnsiTheme="minorHAnsi" w:cstheme="minorBidi"/>
          <w:sz w:val="21"/>
          <w:szCs w:val="21"/>
          <w:lang w:eastAsia="zh-CN"/>
        </w:rPr>
        <w:fldChar w:fldCharType="begin"/>
      </w:r>
      <w:r w:rsidR="004469A2">
        <w:rPr>
          <w:rFonts w:asciiTheme="minorHAnsi" w:eastAsiaTheme="minorEastAsia" w:hAnsiTheme="minorHAnsi" w:cstheme="minorBidi"/>
          <w:sz w:val="21"/>
          <w:szCs w:val="21"/>
          <w:lang w:eastAsia="zh-CN"/>
        </w:rPr>
        <w:instrText xml:space="preserve"> ADDIN EN.CITE &lt;EndNote&gt;&lt;Cite&gt;&lt;Author&gt;Lee&lt;/Author&gt;&lt;Year&gt;2017&lt;/Year&gt;&lt;RecNum&gt;27&lt;/RecNum&gt;&lt;DisplayText&gt;&lt;style face="superscript"&gt;83, 94&lt;/style&gt;&lt;/DisplayText&gt;&lt;record&gt;&lt;rec-number&gt;27&lt;/rec-number&gt;&lt;foreign-keys&gt;&lt;key app="EN" db-id="dawtr0zrkrzfa5edzzlpe2we0xa00t90vvr2" timestamp="1623067866"&gt;27&lt;/key&gt;&lt;/foreign-keys&gt;&lt;ref-type name="Journal Article"&gt;17&lt;/ref-type&gt;&lt;contributors&gt;&lt;authors&gt;&lt;author&gt;Lee, Yu-Chen&lt;/author&gt;&lt;author&gt;Gao, Lan&lt;/author&gt;&lt;author&gt;Dear, Blake F&lt;/author&gt;&lt;author&gt;Titov, Nickolai&lt;/author&gt;&lt;author&gt;Mihalopoulos, Cathrine&lt;/author&gt;&lt;/authors&gt;&lt;/contributors&gt;&lt;titles&gt;&lt;title&gt;The cost-effectiveness of the online MindSpot Clinic for the treatment of depression and anxiety in Australia&lt;/title&gt;&lt;secondary-title&gt;J Ment Health Policy Econ&lt;/secondary-title&gt;&lt;/titles&gt;&lt;periodical&gt;&lt;full-title&gt;J Ment Health Policy Econ&lt;/full-title&gt;&lt;/periodical&gt;&lt;pages&gt;155-166&lt;/pages&gt;&lt;volume&gt;20&lt;/volume&gt;&lt;number&gt;4&lt;/number&gt;&lt;dates&gt;&lt;year&gt;2017&lt;/year&gt;&lt;/dates&gt;&lt;urls&gt;&lt;/urls&gt;&lt;/record&gt;&lt;/Cite&gt;&lt;Cite&gt;&lt;Author&gt;Chatterton&lt;/Author&gt;&lt;Year&gt;2022&lt;/Year&gt;&lt;RecNum&gt;166&lt;/RecNum&gt;&lt;record&gt;&lt;rec-number&gt;166&lt;/rec-number&gt;&lt;foreign-keys&gt;&lt;key app="EN" db-id="dawtr0zrkrzfa5edzzlpe2we0xa00t90vvr2" timestamp="1654857631"&gt;166&lt;/key&gt;&lt;/foreign-keys&gt;&lt;ref-type name="Journal Article"&gt;17&lt;/ref-type&gt;&lt;contributors&gt;&lt;authors&gt;&lt;author&gt;Chatterton, ML&lt;/author&gt;&lt;author&gt;Harris, M&lt;/author&gt;&lt;author&gt;Burgess, P&lt;/author&gt;&lt;author&gt;Fletcher, S&lt;/author&gt;&lt;author&gt;Spittal, MJ&lt;/author&gt;&lt;author&gt;Faller, J&lt;/author&gt;&lt;author&gt;Palmer, V&lt;/author&gt;&lt;author&gt;Chondros, P&lt;/author&gt;&lt;author&gt;Bassilios, B&lt;/author&gt;&lt;author&gt;Pirkis, J&lt;/author&gt;&lt;author&gt;Gunn, J&lt;/author&gt;&lt;author&gt;Mihalopoulos, C&lt;/author&gt;&lt;/authors&gt;&lt;/contributors&gt;&lt;titles&gt;&lt;title&gt;Economic evaluation of a Decision Support Tool to guide intensity of mental health care in general practice: the Link-me pragmatic randomised controlled trial&lt;/title&gt;&lt;secondary-title&gt;(under review)&lt;/secondary-title&gt;&lt;/titles&gt;&lt;periodical&gt;&lt;full-title&gt;(under review)&lt;/full-title&gt;&lt;/periodical&gt;&lt;dates&gt;&lt;year&gt;2022&lt;/year&gt;&lt;/dates&gt;&lt;urls&gt;&lt;/urls&gt;&lt;/record&gt;&lt;/Cite&gt;&lt;/EndNote&gt;</w:instrText>
      </w:r>
      <w:r w:rsidR="00443B5D">
        <w:rPr>
          <w:rFonts w:asciiTheme="minorHAnsi" w:eastAsiaTheme="minorEastAsia" w:hAnsiTheme="minorHAnsi" w:cstheme="minorBidi"/>
          <w:sz w:val="21"/>
          <w:szCs w:val="21"/>
          <w:lang w:eastAsia="zh-CN"/>
        </w:rPr>
        <w:fldChar w:fldCharType="separate"/>
      </w:r>
      <w:r w:rsidR="004469A2" w:rsidRPr="004469A2">
        <w:rPr>
          <w:rFonts w:asciiTheme="minorHAnsi" w:eastAsiaTheme="minorEastAsia" w:hAnsiTheme="minorHAnsi" w:cstheme="minorBidi"/>
          <w:noProof/>
          <w:sz w:val="21"/>
          <w:szCs w:val="21"/>
          <w:vertAlign w:val="superscript"/>
          <w:lang w:eastAsia="zh-CN"/>
        </w:rPr>
        <w:t>83, 94</w:t>
      </w:r>
      <w:r w:rsidR="00443B5D">
        <w:rPr>
          <w:rFonts w:asciiTheme="minorHAnsi" w:eastAsiaTheme="minorEastAsia" w:hAnsiTheme="minorHAnsi" w:cstheme="minorBidi"/>
          <w:sz w:val="21"/>
          <w:szCs w:val="21"/>
          <w:lang w:eastAsia="zh-CN"/>
        </w:rPr>
        <w:fldChar w:fldCharType="end"/>
      </w:r>
      <w:r w:rsidRPr="00C22FE0">
        <w:rPr>
          <w:rFonts w:asciiTheme="minorHAnsi" w:eastAsiaTheme="minorEastAsia" w:hAnsiTheme="minorHAnsi" w:cstheme="minorBidi"/>
          <w:sz w:val="21"/>
          <w:szCs w:val="21"/>
          <w:lang w:eastAsia="zh-CN"/>
        </w:rPr>
        <w:t xml:space="preserve"> and therefore we had access to relevant cost data that we could compare with those of DMHSs.</w:t>
      </w:r>
    </w:p>
    <w:p w14:paraId="4371BDFB" w14:textId="016971C2" w:rsidR="00C22FE0" w:rsidRPr="00C22FE0" w:rsidRDefault="00C22FE0" w:rsidP="00D6551D">
      <w:pPr>
        <w:spacing w:after="240"/>
        <w:rPr>
          <w:rFonts w:asciiTheme="minorHAnsi" w:eastAsiaTheme="minorEastAsia" w:hAnsiTheme="minorHAnsi" w:cstheme="minorBidi"/>
          <w:sz w:val="21"/>
          <w:szCs w:val="21"/>
          <w:lang w:eastAsia="zh-CN"/>
        </w:rPr>
      </w:pPr>
      <w:r w:rsidRPr="00C22FE0">
        <w:rPr>
          <w:rFonts w:asciiTheme="minorHAnsi" w:eastAsiaTheme="minorEastAsia" w:hAnsiTheme="minorHAnsi" w:cstheme="minorBidi"/>
          <w:sz w:val="21"/>
          <w:szCs w:val="21"/>
          <w:lang w:eastAsia="zh-CN"/>
        </w:rPr>
        <w:t>The Link-me RCT (Fletcher et al, 2019; Fletcher et al, 2021a)</w:t>
      </w:r>
      <w:r w:rsidR="00644A15">
        <w:rPr>
          <w:rFonts w:asciiTheme="minorHAnsi" w:eastAsiaTheme="minorEastAsia" w:hAnsiTheme="minorHAnsi" w:cstheme="minorBidi"/>
          <w:sz w:val="21"/>
          <w:szCs w:val="21"/>
          <w:lang w:eastAsia="zh-CN"/>
        </w:rPr>
        <w:fldChar w:fldCharType="begin">
          <w:fldData xml:space="preserve">PEVuZE5vdGU+PENpdGU+PEF1dGhvcj5GbGV0Y2hlcjwvQXV0aG9yPjxZZWFyPjIwMTk8L1llYXI+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</w:fldData>
        </w:fldChar>
      </w:r>
      <w:r w:rsidR="004469A2">
        <w:rPr>
          <w:rFonts w:asciiTheme="minorHAnsi" w:eastAsiaTheme="minorEastAsia" w:hAnsiTheme="minorHAnsi" w:cstheme="minorBidi"/>
          <w:sz w:val="21"/>
          <w:szCs w:val="21"/>
          <w:lang w:eastAsia="zh-CN"/>
        </w:rPr>
        <w:instrText xml:space="preserve"> ADDIN EN.CITE </w:instrText>
      </w:r>
      <w:r w:rsidR="004469A2">
        <w:rPr>
          <w:rFonts w:asciiTheme="minorHAnsi" w:eastAsiaTheme="minorEastAsia" w:hAnsiTheme="minorHAnsi" w:cstheme="minorBidi"/>
          <w:sz w:val="21"/>
          <w:szCs w:val="21"/>
          <w:lang w:eastAsia="zh-CN"/>
        </w:rPr>
        <w:fldChar w:fldCharType="begin">
          <w:fldData xml:space="preserve">PEVuZE5vdGU+PENpdGU+PEF1dGhvcj5GbGV0Y2hlcjwvQXV0aG9yPjxZZWFyPjIwMTk8L1llYXI+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</w:fldData>
        </w:fldChar>
      </w:r>
      <w:r w:rsidR="004469A2">
        <w:rPr>
          <w:rFonts w:asciiTheme="minorHAnsi" w:eastAsiaTheme="minorEastAsia" w:hAnsiTheme="minorHAnsi" w:cstheme="minorBidi"/>
          <w:sz w:val="21"/>
          <w:szCs w:val="21"/>
          <w:lang w:eastAsia="zh-CN"/>
        </w:rPr>
        <w:instrText xml:space="preserve"> ADDIN EN.CITE.DATA </w:instrText>
      </w:r>
      <w:r w:rsidR="004469A2">
        <w:rPr>
          <w:rFonts w:asciiTheme="minorHAnsi" w:eastAsiaTheme="minorEastAsia" w:hAnsiTheme="minorHAnsi" w:cstheme="minorBidi"/>
          <w:sz w:val="21"/>
          <w:szCs w:val="21"/>
          <w:lang w:eastAsia="zh-CN"/>
        </w:rPr>
      </w:r>
      <w:r w:rsidR="004469A2">
        <w:rPr>
          <w:rFonts w:asciiTheme="minorHAnsi" w:eastAsiaTheme="minorEastAsia" w:hAnsiTheme="minorHAnsi" w:cstheme="minorBidi"/>
          <w:sz w:val="21"/>
          <w:szCs w:val="21"/>
          <w:lang w:eastAsia="zh-CN"/>
        </w:rPr>
        <w:fldChar w:fldCharType="end"/>
      </w:r>
      <w:r w:rsidR="00644A15">
        <w:rPr>
          <w:rFonts w:asciiTheme="minorHAnsi" w:eastAsiaTheme="minorEastAsia" w:hAnsiTheme="minorHAnsi" w:cstheme="minorBidi"/>
          <w:sz w:val="21"/>
          <w:szCs w:val="21"/>
          <w:lang w:eastAsia="zh-CN"/>
        </w:rPr>
      </w:r>
      <w:r w:rsidR="00644A15">
        <w:rPr>
          <w:rFonts w:asciiTheme="minorHAnsi" w:eastAsiaTheme="minorEastAsia" w:hAnsiTheme="minorHAnsi" w:cstheme="minorBidi"/>
          <w:sz w:val="21"/>
          <w:szCs w:val="21"/>
          <w:lang w:eastAsia="zh-CN"/>
        </w:rPr>
        <w:fldChar w:fldCharType="separate"/>
      </w:r>
      <w:r w:rsidR="004469A2" w:rsidRPr="004469A2">
        <w:rPr>
          <w:rFonts w:asciiTheme="minorHAnsi" w:eastAsiaTheme="minorEastAsia" w:hAnsiTheme="minorHAnsi" w:cstheme="minorBidi"/>
          <w:noProof/>
          <w:sz w:val="21"/>
          <w:szCs w:val="21"/>
          <w:vertAlign w:val="superscript"/>
          <w:lang w:eastAsia="zh-CN"/>
        </w:rPr>
        <w:t>76, 95</w:t>
      </w:r>
      <w:r w:rsidR="00644A15">
        <w:rPr>
          <w:rFonts w:asciiTheme="minorHAnsi" w:eastAsiaTheme="minorEastAsia" w:hAnsiTheme="minorHAnsi" w:cstheme="minorBidi"/>
          <w:sz w:val="21"/>
          <w:szCs w:val="21"/>
          <w:lang w:eastAsia="zh-CN"/>
        </w:rPr>
        <w:fldChar w:fldCharType="end"/>
      </w:r>
      <w:r w:rsidRPr="00C22FE0">
        <w:rPr>
          <w:rFonts w:asciiTheme="minorHAnsi" w:eastAsiaTheme="minorEastAsia" w:hAnsiTheme="minorHAnsi" w:cstheme="minorBidi"/>
          <w:sz w:val="21"/>
          <w:szCs w:val="21"/>
          <w:lang w:eastAsia="zh-CN"/>
        </w:rPr>
        <w:t xml:space="preserve"> was conducted in 23 general practices in three states (New South Wales, </w:t>
      </w:r>
      <w:proofErr w:type="gramStart"/>
      <w:r w:rsidRPr="00C22FE0">
        <w:rPr>
          <w:rFonts w:asciiTheme="minorHAnsi" w:eastAsiaTheme="minorEastAsia" w:hAnsiTheme="minorHAnsi" w:cstheme="minorBidi"/>
          <w:sz w:val="21"/>
          <w:szCs w:val="21"/>
          <w:lang w:eastAsia="zh-CN"/>
        </w:rPr>
        <w:t>Victoria</w:t>
      </w:r>
      <w:proofErr w:type="gramEnd"/>
      <w:r w:rsidRPr="00C22FE0">
        <w:rPr>
          <w:rFonts w:asciiTheme="minorHAnsi" w:eastAsiaTheme="minorEastAsia" w:hAnsiTheme="minorHAnsi" w:cstheme="minorBidi"/>
          <w:sz w:val="21"/>
          <w:szCs w:val="21"/>
          <w:lang w:eastAsia="zh-CN"/>
        </w:rPr>
        <w:t xml:space="preserve"> and Queensland) across metropolitan, outer metropolitan and regional locations in collaboration with three Primary Health Networks (PHNs). Adults attending a participating general practice for any reason were invited to complete an eligibility screening tool. The inclusion criteria were individuals aged 18-75 years; proficient in English; providing a phone number and email address; having a Medicare card; reporting current anxiety or depression symptoms </w:t>
      </w:r>
      <w:r w:rsidRPr="00C22FE0">
        <w:rPr>
          <w:rFonts w:asciiTheme="minorHAnsi" w:eastAsiaTheme="minorHAnsi" w:hAnsiTheme="minorHAnsi" w:cstheme="minorBidi"/>
          <w:sz w:val="21"/>
          <w:szCs w:val="21"/>
          <w:lang w:eastAsia="en-US"/>
        </w:rPr>
        <w:t>(</w:t>
      </w:r>
      <w:r w:rsidRPr="00C22FE0">
        <w:rPr>
          <w:rFonts w:asciiTheme="minorHAnsi" w:eastAsia="Helvetica-Light" w:hAnsiTheme="minorHAnsi" w:cstheme="minorBidi"/>
          <w:sz w:val="21"/>
          <w:szCs w:val="21"/>
          <w:lang w:eastAsia="en-US"/>
        </w:rPr>
        <w:t>≥</w:t>
      </w:r>
      <w:r w:rsidRPr="00C22FE0">
        <w:rPr>
          <w:rFonts w:asciiTheme="minorHAnsi" w:eastAsiaTheme="minorHAnsi" w:hAnsiTheme="minorHAnsi" w:cstheme="minorBidi"/>
          <w:sz w:val="21"/>
          <w:szCs w:val="21"/>
          <w:lang w:eastAsia="en-US"/>
        </w:rPr>
        <w:t>2 on the 2-item version of the PHQ)</w:t>
      </w:r>
      <w:r w:rsidRPr="00C22FE0">
        <w:rPr>
          <w:rFonts w:asciiTheme="minorHAnsi" w:eastAsiaTheme="minorEastAsia" w:hAnsiTheme="minorHAnsi" w:cstheme="minorBidi"/>
          <w:sz w:val="21"/>
          <w:szCs w:val="21"/>
          <w:lang w:eastAsia="zh-CN"/>
        </w:rPr>
        <w:t xml:space="preserve"> or use of medication for mental health. Eligible participants were classified into three prognostic groups – minimal/mild, </w:t>
      </w:r>
      <w:proofErr w:type="gramStart"/>
      <w:r w:rsidRPr="00C22FE0">
        <w:rPr>
          <w:rFonts w:asciiTheme="minorHAnsi" w:eastAsiaTheme="minorEastAsia" w:hAnsiTheme="minorHAnsi" w:cstheme="minorBidi"/>
          <w:sz w:val="21"/>
          <w:szCs w:val="21"/>
          <w:lang w:eastAsia="zh-CN"/>
        </w:rPr>
        <w:t>moderate</w:t>
      </w:r>
      <w:proofErr w:type="gramEnd"/>
      <w:r w:rsidRPr="00C22FE0">
        <w:rPr>
          <w:rFonts w:asciiTheme="minorHAnsi" w:eastAsiaTheme="minorEastAsia" w:hAnsiTheme="minorHAnsi" w:cstheme="minorBidi"/>
          <w:sz w:val="21"/>
          <w:szCs w:val="21"/>
          <w:lang w:eastAsia="zh-CN"/>
        </w:rPr>
        <w:t xml:space="preserve"> and severe – based on a patient-completed Decision Support Tool that predicted their anxiety and </w:t>
      </w:r>
      <w:r w:rsidRPr="00C22FE0">
        <w:rPr>
          <w:rFonts w:asciiTheme="minorHAnsi" w:eastAsiaTheme="minorEastAsia" w:hAnsiTheme="minorHAnsi" w:cstheme="minorBidi"/>
          <w:sz w:val="21"/>
          <w:szCs w:val="21"/>
          <w:lang w:eastAsia="zh-CN"/>
        </w:rPr>
        <w:lastRenderedPageBreak/>
        <w:t xml:space="preserve">depressive symptom trajectory over the next three months. Participants categorised into the minimal/mild and severe groups were individually randomised to the intervention or control group. Participants randomised to the control group for both prognostic groups received advice to discuss any mental health concerns with their GP. </w:t>
      </w:r>
    </w:p>
    <w:p w14:paraId="6A2B349E" w14:textId="01FFAAFD" w:rsidR="00C22FE0" w:rsidRPr="00C22FE0" w:rsidRDefault="00C22FE0" w:rsidP="00D6551D">
      <w:pPr>
        <w:spacing w:after="240"/>
        <w:rPr>
          <w:rFonts w:asciiTheme="minorHAnsi" w:hAnsiTheme="minorHAnsi" w:cstheme="minorBidi"/>
          <w:lang w:eastAsia="zh-CN"/>
        </w:rPr>
      </w:pPr>
      <w:r w:rsidRPr="00C22FE0">
        <w:rPr>
          <w:rFonts w:asciiTheme="minorHAnsi" w:eastAsiaTheme="minorHAnsi" w:hAnsiTheme="minorHAnsi" w:cstheme="minorBidi"/>
          <w:sz w:val="21"/>
          <w:szCs w:val="21"/>
          <w:lang w:eastAsia="en-US"/>
        </w:rPr>
        <w:t>Similarly, the Target-D RCT (Fletcher et al, 2021b)</w:t>
      </w:r>
      <w:r w:rsidR="00A65193">
        <w:rPr>
          <w:rFonts w:asciiTheme="minorHAnsi" w:eastAsiaTheme="minorHAnsi" w:hAnsiTheme="minorHAnsi" w:cstheme="minorBidi"/>
          <w:sz w:val="21"/>
          <w:szCs w:val="21"/>
          <w:lang w:eastAsia="en-US"/>
        </w:rPr>
        <w:fldChar w:fldCharType="begin"/>
      </w:r>
      <w:r w:rsidR="00644A15">
        <w:rPr>
          <w:rFonts w:asciiTheme="minorHAnsi" w:eastAsiaTheme="minorHAnsi" w:hAnsiTheme="minorHAnsi" w:cstheme="minorBidi"/>
          <w:sz w:val="21"/>
          <w:szCs w:val="21"/>
          <w:lang w:eastAsia="en-US"/>
        </w:rPr>
        <w:instrText xml:space="preserve"> ADDIN EN.CITE &lt;EndNote&gt;&lt;Cite&gt;&lt;Author&gt;Fletcher&lt;/Author&gt;&lt;Year&gt;2021&lt;/Year&gt;&lt;RecNum&gt;158&lt;/RecNum&gt;&lt;DisplayText&gt;&lt;style face="superscript"&gt;96&lt;/style&gt;&lt;/DisplayText&gt;&lt;record&gt;&lt;rec-number&gt;158&lt;/rec-number&gt;&lt;foreign-keys&gt;&lt;key app="EN" db-id="dawtr0zrkrzfa5edzzlpe2we0xa00t90vvr2" timestamp="1654857265"&gt;158&lt;/key&gt;&lt;/foreign-keys&gt;&lt;ref-type name="Journal Article"&gt;17&lt;/ref-type&gt;&lt;contributors&gt;&lt;authors&gt;&lt;author&gt;Fletcher, Susan&lt;/author&gt;&lt;author&gt;Chondros, Patty&lt;/author&gt;&lt;author&gt;Densley, Konstancja&lt;/author&gt;&lt;author&gt;Murray, Elizabeth&lt;/author&gt;&lt;author&gt;Dowrick, Christopher&lt;/author&gt;&lt;author&gt;Coe, Amy&lt;/author&gt;&lt;author&gt;Hegarty, Kelsey&lt;/author&gt;&lt;author&gt;Davidson, Sandra&lt;/author&gt;&lt;author&gt;Wachtler, Caroline&lt;/author&gt;&lt;author&gt;Mihalopoulos, Cathrine&lt;/author&gt;&lt;author&gt;Lee, Yong Yi&lt;/author&gt;&lt;author&gt;Chatterton, Mary Lou&lt;/author&gt;&lt;author&gt;Palmer, Victoria J&lt;/author&gt;&lt;author&gt;Gunn, Jane&lt;/author&gt;&lt;/authors&gt;&lt;/contributors&gt;&lt;titles&gt;&lt;title&gt;Matching depression management to severity prognosis in primary care: results of the Target-D randomised controlled trial&lt;/title&gt;&lt;secondary-title&gt;British Journal of General Practice&lt;/secondary-title&gt;&lt;/titles&gt;&lt;periodical&gt;&lt;full-title&gt;British Journal of General Practice&lt;/full-title&gt;&lt;/periodical&gt;&lt;pages&gt;e85-e94&lt;/pages&gt;&lt;volume&gt;71&lt;/volume&gt;&lt;number&gt;703&lt;/number&gt;&lt;dates&gt;&lt;year&gt;2021&lt;/year&gt;&lt;/dates&gt;&lt;urls&gt;&lt;related-urls&gt;&lt;url&gt;https://bjgp.org/content/bjgp/71/703/e85.full.pdf&lt;/url&gt;&lt;/related-urls&gt;&lt;/urls&gt;&lt;electronic-resource-num&gt;10.3399/bjgp.2020.0783&lt;/electronic-resource-num&gt;&lt;/record&gt;&lt;/Cite&gt;&lt;/EndNote&gt;</w:instrText>
      </w:r>
      <w:r w:rsidR="00A65193">
        <w:rPr>
          <w:rFonts w:asciiTheme="minorHAnsi" w:eastAsiaTheme="minorHAnsi" w:hAnsiTheme="minorHAnsi" w:cstheme="minorBidi"/>
          <w:sz w:val="21"/>
          <w:szCs w:val="21"/>
          <w:lang w:eastAsia="en-US"/>
        </w:rPr>
        <w:fldChar w:fldCharType="separate"/>
      </w:r>
      <w:r w:rsidR="00644A15" w:rsidRPr="00644A15">
        <w:rPr>
          <w:rFonts w:asciiTheme="minorHAnsi" w:eastAsiaTheme="minorHAnsi" w:hAnsiTheme="minorHAnsi" w:cstheme="minorBidi"/>
          <w:noProof/>
          <w:sz w:val="21"/>
          <w:szCs w:val="21"/>
          <w:vertAlign w:val="superscript"/>
          <w:lang w:eastAsia="en-US"/>
        </w:rPr>
        <w:t>96</w:t>
      </w:r>
      <w:r w:rsidR="00A65193">
        <w:rPr>
          <w:rFonts w:asciiTheme="minorHAnsi" w:eastAsiaTheme="minorHAnsi" w:hAnsiTheme="minorHAnsi" w:cstheme="minorBidi"/>
          <w:sz w:val="21"/>
          <w:szCs w:val="21"/>
          <w:lang w:eastAsia="en-US"/>
        </w:rPr>
        <w:fldChar w:fldCharType="end"/>
      </w:r>
      <w:r w:rsidRPr="00C22FE0">
        <w:rPr>
          <w:rFonts w:asciiTheme="minorHAnsi" w:eastAsiaTheme="minorHAnsi" w:hAnsiTheme="minorHAnsi" w:cstheme="minorBidi"/>
          <w:sz w:val="21"/>
          <w:szCs w:val="21"/>
          <w:lang w:eastAsia="en-US"/>
        </w:rPr>
        <w:t xml:space="preserve"> recruited participants from the waiting rooms of 14 general practices in metropolitan Melbourne, Australia. Adults aged 18-65 years were invited to complete an eligibility survey on an iPad. Participants were eligible if they reported: current depressive symptoms (</w:t>
      </w:r>
      <w:r w:rsidRPr="00C22FE0">
        <w:rPr>
          <w:rFonts w:asciiTheme="minorHAnsi" w:eastAsia="Helvetica-Light" w:hAnsiTheme="minorHAnsi" w:cstheme="minorBidi"/>
          <w:sz w:val="21"/>
          <w:szCs w:val="21"/>
          <w:lang w:eastAsia="en-US"/>
        </w:rPr>
        <w:t>≥</w:t>
      </w:r>
      <w:r w:rsidRPr="00C22FE0">
        <w:rPr>
          <w:rFonts w:asciiTheme="minorHAnsi" w:eastAsiaTheme="minorHAnsi" w:hAnsiTheme="minorHAnsi" w:cstheme="minorBidi"/>
          <w:sz w:val="21"/>
          <w:szCs w:val="21"/>
          <w:lang w:eastAsia="en-US"/>
        </w:rPr>
        <w:t>2 on the 2-item version of the PHQ); no self-reported change to antidepressant medication in the past month; had access to the internet; and sufficient written English to follow an internet-based cognitive behavioural therapy (</w:t>
      </w:r>
      <w:proofErr w:type="spellStart"/>
      <w:r w:rsidRPr="00C22FE0">
        <w:rPr>
          <w:rFonts w:asciiTheme="minorHAnsi" w:eastAsiaTheme="minorHAnsi" w:hAnsiTheme="minorHAnsi" w:cstheme="minorBidi"/>
          <w:sz w:val="21"/>
          <w:szCs w:val="21"/>
          <w:lang w:eastAsia="en-US"/>
        </w:rPr>
        <w:t>iCBT</w:t>
      </w:r>
      <w:proofErr w:type="spellEnd"/>
      <w:r w:rsidRPr="00C22FE0">
        <w:rPr>
          <w:rFonts w:asciiTheme="minorHAnsi" w:eastAsiaTheme="minorHAnsi" w:hAnsiTheme="minorHAnsi" w:cstheme="minorBidi"/>
          <w:sz w:val="21"/>
          <w:szCs w:val="21"/>
          <w:lang w:eastAsia="en-US"/>
        </w:rPr>
        <w:t xml:space="preserve">) program. A clinical prediction tool with self-reported biopsychosocial data was used to classify </w:t>
      </w:r>
      <w:r w:rsidRPr="00C22FE0">
        <w:rPr>
          <w:rFonts w:asciiTheme="minorHAnsi" w:hAnsiTheme="minorHAnsi" w:cstheme="minorBidi"/>
          <w:sz w:val="21"/>
          <w:szCs w:val="21"/>
          <w:lang w:eastAsia="zh-CN"/>
        </w:rPr>
        <w:t xml:space="preserve">eligible participants into one of three prognostic groups – minimal/mild, </w:t>
      </w:r>
      <w:proofErr w:type="gramStart"/>
      <w:r w:rsidRPr="00C22FE0">
        <w:rPr>
          <w:rFonts w:asciiTheme="minorHAnsi" w:hAnsiTheme="minorHAnsi" w:cstheme="minorBidi"/>
          <w:sz w:val="21"/>
          <w:szCs w:val="21"/>
          <w:lang w:eastAsia="zh-CN"/>
        </w:rPr>
        <w:t>moderate</w:t>
      </w:r>
      <w:proofErr w:type="gramEnd"/>
      <w:r w:rsidRPr="00C22FE0">
        <w:rPr>
          <w:rFonts w:asciiTheme="minorHAnsi" w:hAnsiTheme="minorHAnsi" w:cstheme="minorBidi"/>
          <w:sz w:val="21"/>
          <w:szCs w:val="21"/>
          <w:lang w:eastAsia="zh-CN"/>
        </w:rPr>
        <w:t xml:space="preserve"> or severe – based on predicted severity of their depressive symptoms in the next three months. </w:t>
      </w:r>
      <w:r w:rsidRPr="00C22FE0">
        <w:rPr>
          <w:rFonts w:asciiTheme="minorHAnsi" w:eastAsiaTheme="minorHAnsi" w:hAnsiTheme="minorHAnsi" w:cstheme="minorBidi"/>
          <w:sz w:val="21"/>
          <w:szCs w:val="21"/>
          <w:lang w:eastAsia="en-US"/>
        </w:rPr>
        <w:t xml:space="preserve">Participants randomised to the control group received usual care plus attention control in the form of a telephone call from a research assistant about trial involvement and views about research participation. </w:t>
      </w:r>
      <w:r w:rsidRPr="00C22FE0">
        <w:rPr>
          <w:rFonts w:asciiTheme="minorHAnsi" w:hAnsiTheme="minorHAnsi" w:cstheme="minorBidi"/>
          <w:sz w:val="21"/>
          <w:szCs w:val="21"/>
          <w:lang w:eastAsia="zh-CN"/>
        </w:rPr>
        <w:t>We used the Link-me and Target-D control groups as the indirect comparator groups representing usual care.</w:t>
      </w:r>
    </w:p>
    <w:p w14:paraId="727540A8" w14:textId="20C6141C" w:rsidR="00C22FE0" w:rsidRPr="00C22FE0" w:rsidRDefault="00C754B0" w:rsidP="00EE2BF9">
      <w:pPr>
        <w:spacing w:after="240"/>
        <w:outlineLvl w:val="2"/>
        <w:rPr>
          <w:rFonts w:asciiTheme="minorHAnsi" w:hAnsiTheme="minorHAnsi" w:cstheme="minorHAnsi"/>
          <w:b/>
          <w:bCs/>
          <w:color w:val="2F5496" w:themeColor="accent1" w:themeShade="BF"/>
        </w:rPr>
      </w:pPr>
      <w:r>
        <w:rPr>
          <w:rFonts w:asciiTheme="minorHAnsi" w:hAnsiTheme="minorHAnsi" w:cstheme="minorHAnsi"/>
          <w:b/>
          <w:bCs/>
          <w:color w:val="2F5496" w:themeColor="accent1" w:themeShade="BF"/>
        </w:rPr>
        <w:t>L3</w:t>
      </w:r>
      <w:r w:rsidR="00C22FE0" w:rsidRPr="00C22FE0">
        <w:rPr>
          <w:rFonts w:asciiTheme="minorHAnsi" w:hAnsiTheme="minorHAnsi" w:cstheme="minorHAnsi"/>
          <w:b/>
          <w:bCs/>
          <w:color w:val="2F5496" w:themeColor="accent1" w:themeShade="BF"/>
        </w:rPr>
        <w:t>. Model parameters and sensitivity analysis</w:t>
      </w:r>
    </w:p>
    <w:p w14:paraId="173E4FB7" w14:textId="5AC96659" w:rsidR="00C22FE0" w:rsidRPr="00C22FE0" w:rsidRDefault="00C754B0" w:rsidP="00EE2BF9">
      <w:pPr>
        <w:spacing w:after="240"/>
        <w:outlineLvl w:val="2"/>
        <w:rPr>
          <w:rFonts w:asciiTheme="minorHAnsi" w:hAnsiTheme="minorHAnsi" w:cstheme="minorHAnsi"/>
          <w:b/>
          <w:bCs/>
          <w:color w:val="2F5496" w:themeColor="accent1" w:themeShade="BF"/>
          <w:sz w:val="21"/>
          <w:szCs w:val="21"/>
        </w:rPr>
      </w:pPr>
      <w:r>
        <w:rPr>
          <w:rFonts w:asciiTheme="minorHAnsi" w:hAnsiTheme="minorHAnsi" w:cstheme="minorHAnsi"/>
          <w:b/>
          <w:bCs/>
          <w:color w:val="2F5496" w:themeColor="accent1" w:themeShade="BF"/>
          <w:sz w:val="21"/>
          <w:szCs w:val="21"/>
        </w:rPr>
        <w:t>L3</w:t>
      </w:r>
      <w:r w:rsidR="00C22FE0" w:rsidRPr="00C22FE0">
        <w:rPr>
          <w:rFonts w:asciiTheme="minorHAnsi" w:hAnsiTheme="minorHAnsi" w:cstheme="minorHAnsi"/>
          <w:b/>
          <w:bCs/>
          <w:color w:val="2F5496" w:themeColor="accent1" w:themeShade="BF"/>
          <w:sz w:val="21"/>
          <w:szCs w:val="21"/>
        </w:rPr>
        <w:t>.1 Transition probabilities</w:t>
      </w:r>
    </w:p>
    <w:p w14:paraId="430337C6" w14:textId="6034B6B0" w:rsidR="00C22FE0" w:rsidRPr="00C22FE0" w:rsidRDefault="00C22FE0" w:rsidP="00EE2BF9">
      <w:pPr>
        <w:spacing w:after="240"/>
        <w:contextualSpacing/>
        <w:rPr>
          <w:rFonts w:ascii="Calibri" w:eastAsiaTheme="minorEastAsia" w:hAnsi="Calibri" w:cs="Arial"/>
          <w:iCs/>
          <w:color w:val="000000" w:themeColor="text1"/>
          <w:sz w:val="21"/>
          <w:szCs w:val="21"/>
          <w:lang w:eastAsia="zh-CN"/>
        </w:rPr>
      </w:pPr>
      <w:r w:rsidRPr="00C22FE0">
        <w:rPr>
          <w:rFonts w:ascii="Calibri" w:hAnsi="Calibri" w:cs="Arial"/>
          <w:color w:val="000000" w:themeColor="text1"/>
          <w:sz w:val="21"/>
          <w:szCs w:val="21"/>
          <w:lang w:eastAsia="zh-CN"/>
        </w:rPr>
        <w:t xml:space="preserve">To operationalise the model, transition probabilities for the four health states described in Figure </w:t>
      </w:r>
      <w:r w:rsidR="00C754B0">
        <w:rPr>
          <w:rFonts w:ascii="Calibri" w:hAnsi="Calibri" w:cs="Arial"/>
          <w:color w:val="000000" w:themeColor="text1"/>
          <w:sz w:val="21"/>
          <w:szCs w:val="21"/>
          <w:lang w:eastAsia="zh-CN"/>
        </w:rPr>
        <w:t>L1</w:t>
      </w:r>
      <w:r w:rsidRPr="00C22FE0">
        <w:rPr>
          <w:rFonts w:ascii="Calibri" w:hAnsi="Calibri" w:cs="Arial"/>
          <w:color w:val="000000" w:themeColor="text1"/>
          <w:sz w:val="21"/>
          <w:szCs w:val="21"/>
          <w:lang w:eastAsia="zh-CN"/>
        </w:rPr>
        <w:t xml:space="preserve"> were estimated. As previously mentioned, we received mental health outcome data for each DMHS through their routinely collected service use data or peer-reviewed publications. These data include clinical outcomes such as K6, K10, PHQ-9 and GAD-7 (presented in Section 4), which we used to derive transition probabilities for each health state. Transition probabilities specific to a service pathway (i.e</w:t>
      </w:r>
      <w:r w:rsidRPr="64796A57">
        <w:rPr>
          <w:rFonts w:ascii="Calibri" w:hAnsi="Calibri" w:cs="Arial"/>
          <w:color w:val="000000" w:themeColor="text1"/>
          <w:sz w:val="21"/>
          <w:szCs w:val="21"/>
          <w:lang w:eastAsia="zh-CN"/>
        </w:rPr>
        <w:t>.,</w:t>
      </w:r>
      <w:r w:rsidRPr="00C22FE0">
        <w:rPr>
          <w:rFonts w:ascii="Calibri" w:hAnsi="Calibri" w:cs="Arial"/>
          <w:color w:val="000000" w:themeColor="text1"/>
          <w:sz w:val="21"/>
          <w:szCs w:val="21"/>
          <w:lang w:eastAsia="zh-CN"/>
        </w:rPr>
        <w:t xml:space="preserve"> </w:t>
      </w:r>
      <w:proofErr w:type="gramStart"/>
      <w:r w:rsidRPr="00C22FE0">
        <w:rPr>
          <w:rFonts w:ascii="Calibri" w:hAnsi="Calibri" w:cs="Arial"/>
          <w:color w:val="000000" w:themeColor="text1"/>
          <w:sz w:val="21"/>
          <w:szCs w:val="21"/>
          <w:lang w:eastAsia="zh-CN"/>
        </w:rPr>
        <w:t>self-directed</w:t>
      </w:r>
      <w:proofErr w:type="gramEnd"/>
      <w:r w:rsidRPr="00C22FE0">
        <w:rPr>
          <w:rFonts w:ascii="Calibri" w:hAnsi="Calibri" w:cs="Arial"/>
          <w:color w:val="000000" w:themeColor="text1"/>
          <w:sz w:val="21"/>
          <w:szCs w:val="21"/>
          <w:lang w:eastAsia="zh-CN"/>
        </w:rPr>
        <w:t xml:space="preserve"> or therapist-supported) were calculated if data were available and, if not, the probabilities were assumed to be the same for all service pathways. </w:t>
      </w:r>
      <w:r w:rsidRPr="00C22FE0">
        <w:rPr>
          <w:rFonts w:ascii="Calibri" w:eastAsiaTheme="minorEastAsia" w:hAnsi="Calibri" w:cs="Arial"/>
          <w:iCs/>
          <w:color w:val="000000" w:themeColor="text1"/>
          <w:sz w:val="21"/>
          <w:szCs w:val="21"/>
          <w:lang w:eastAsia="zh-CN"/>
        </w:rPr>
        <w:t xml:space="preserve">The transition probabilities for the model were calculated based on the treatment outcomes that were presented in Section 4 (Figure </w:t>
      </w:r>
      <w:r w:rsidRPr="2BDB3F61">
        <w:rPr>
          <w:rFonts w:ascii="Calibri" w:eastAsiaTheme="minorEastAsia" w:hAnsi="Calibri" w:cs="Arial"/>
          <w:color w:val="000000" w:themeColor="text1"/>
          <w:sz w:val="21"/>
          <w:szCs w:val="21"/>
          <w:lang w:eastAsia="zh-CN"/>
        </w:rPr>
        <w:t>8</w:t>
      </w:r>
      <w:r w:rsidRPr="00C22FE0">
        <w:rPr>
          <w:rFonts w:ascii="Calibri" w:eastAsiaTheme="minorEastAsia" w:hAnsi="Calibri" w:cs="Arial"/>
          <w:iCs/>
          <w:color w:val="000000" w:themeColor="text1"/>
          <w:sz w:val="21"/>
          <w:szCs w:val="21"/>
          <w:lang w:eastAsia="zh-CN"/>
        </w:rPr>
        <w:t xml:space="preserve"> in sub-section 4.4 and </w:t>
      </w:r>
      <w:r w:rsidRPr="2BDB3F61">
        <w:rPr>
          <w:rFonts w:ascii="Calibri" w:eastAsiaTheme="minorEastAsia" w:hAnsi="Calibri" w:cs="Arial"/>
          <w:color w:val="000000" w:themeColor="text1"/>
          <w:sz w:val="21"/>
          <w:szCs w:val="21"/>
          <w:lang w:eastAsia="zh-CN"/>
        </w:rPr>
        <w:t xml:space="preserve">Figure </w:t>
      </w:r>
      <w:r w:rsidRPr="4AB07BAD">
        <w:rPr>
          <w:rFonts w:ascii="Calibri" w:eastAsiaTheme="minorEastAsia" w:hAnsi="Calibri" w:cs="Arial"/>
          <w:color w:val="000000" w:themeColor="text1"/>
          <w:sz w:val="21"/>
          <w:szCs w:val="21"/>
          <w:lang w:eastAsia="zh-CN"/>
        </w:rPr>
        <w:t>13</w:t>
      </w:r>
      <w:r w:rsidRPr="00C22FE0">
        <w:rPr>
          <w:rFonts w:ascii="Calibri" w:eastAsiaTheme="minorEastAsia" w:hAnsi="Calibri" w:cs="Arial"/>
          <w:iCs/>
          <w:color w:val="000000" w:themeColor="text1"/>
          <w:sz w:val="21"/>
          <w:szCs w:val="21"/>
          <w:lang w:eastAsia="zh-CN"/>
        </w:rPr>
        <w:t xml:space="preserve"> in sub-section 4.5). Table </w:t>
      </w:r>
      <w:r w:rsidR="00C754B0">
        <w:rPr>
          <w:rFonts w:ascii="Calibri" w:eastAsiaTheme="minorEastAsia" w:hAnsi="Calibri" w:cs="Arial"/>
          <w:iCs/>
          <w:color w:val="000000" w:themeColor="text1"/>
          <w:sz w:val="21"/>
          <w:szCs w:val="21"/>
          <w:lang w:eastAsia="zh-CN"/>
        </w:rPr>
        <w:t>L1</w:t>
      </w:r>
      <w:r w:rsidRPr="00C22FE0">
        <w:rPr>
          <w:rFonts w:ascii="Calibri" w:eastAsiaTheme="minorEastAsia" w:hAnsi="Calibri" w:cs="Arial"/>
          <w:iCs/>
          <w:color w:val="000000" w:themeColor="text1"/>
          <w:sz w:val="21"/>
          <w:szCs w:val="21"/>
          <w:lang w:eastAsia="zh-CN"/>
        </w:rPr>
        <w:t xml:space="preserve">.1 and </w:t>
      </w:r>
      <w:r w:rsidR="00C754B0">
        <w:rPr>
          <w:rFonts w:ascii="Calibri" w:eastAsiaTheme="minorEastAsia" w:hAnsi="Calibri" w:cs="Arial"/>
          <w:iCs/>
          <w:color w:val="000000" w:themeColor="text1"/>
          <w:sz w:val="21"/>
          <w:szCs w:val="21"/>
          <w:lang w:eastAsia="zh-CN"/>
        </w:rPr>
        <w:t>L1</w:t>
      </w:r>
      <w:r w:rsidRPr="00C22FE0">
        <w:rPr>
          <w:rFonts w:ascii="Calibri" w:eastAsiaTheme="minorEastAsia" w:hAnsi="Calibri" w:cs="Arial"/>
          <w:iCs/>
          <w:color w:val="000000" w:themeColor="text1"/>
          <w:sz w:val="21"/>
          <w:szCs w:val="21"/>
          <w:lang w:eastAsia="zh-CN"/>
        </w:rPr>
        <w:t xml:space="preserve">.2 present the PHQ-9 and GAD-7 outcomes in three health states (deteriorated, no change and improved) for consumers who commenced treatment. The number of cases in each health state were then converted to proportions, which represent the transition probabilities used in our cost-effectiveness modelling. The ‘deteriorated’ and ‘no change’ health states were equivalent to the corresponding health states in our model. The ‘improved’ health state was equivalent to the combination of ‘fully recovered’ and ‘partially recovered’ health states in our model. We assume that 70% of the ‘improved’ health state can be attributed to ‘fully recovered’ and the balance 30% can be attributed to ‘partially recovered’. This assumption is based on the ratio of ‘fully recovered’ and ‘partially recovered’ health states estimated in a prior economic evaluation of </w:t>
      </w:r>
      <w:proofErr w:type="spellStart"/>
      <w:r w:rsidRPr="00AC5DF1">
        <w:rPr>
          <w:rFonts w:ascii="Calibri" w:eastAsiaTheme="minorEastAsia" w:hAnsi="Calibri" w:cs="Arial"/>
          <w:iCs/>
          <w:color w:val="000000" w:themeColor="text1"/>
          <w:sz w:val="21"/>
          <w:szCs w:val="21"/>
          <w:lang w:eastAsia="zh-CN"/>
        </w:rPr>
        <w:t>MindSpot</w:t>
      </w:r>
      <w:proofErr w:type="spellEnd"/>
      <w:r w:rsidRPr="00AC5DF1">
        <w:rPr>
          <w:rFonts w:ascii="Calibri" w:eastAsiaTheme="minorEastAsia" w:hAnsi="Calibri" w:cs="Arial"/>
          <w:iCs/>
          <w:color w:val="000000" w:themeColor="text1"/>
          <w:sz w:val="21"/>
          <w:szCs w:val="21"/>
          <w:lang w:eastAsia="zh-CN"/>
        </w:rPr>
        <w:t xml:space="preserve"> (Table 3 in Lee et al</w:t>
      </w:r>
      <w:r w:rsidR="006C255C">
        <w:rPr>
          <w:rFonts w:ascii="Calibri" w:eastAsiaTheme="minorEastAsia" w:hAnsi="Calibri" w:cs="Arial"/>
          <w:iCs/>
          <w:color w:val="000000" w:themeColor="text1"/>
          <w:sz w:val="21"/>
          <w:szCs w:val="21"/>
          <w:lang w:eastAsia="zh-CN"/>
        </w:rPr>
        <w:t>,</w:t>
      </w:r>
      <w:r w:rsidRPr="00AC5DF1">
        <w:rPr>
          <w:rFonts w:ascii="Calibri" w:eastAsiaTheme="minorEastAsia" w:hAnsi="Calibri" w:cs="Arial"/>
          <w:iCs/>
          <w:color w:val="000000" w:themeColor="text1"/>
          <w:sz w:val="21"/>
          <w:szCs w:val="21"/>
          <w:lang w:eastAsia="zh-CN"/>
        </w:rPr>
        <w:t xml:space="preserve"> 2017).</w:t>
      </w:r>
      <w:r w:rsidR="00AD0F5C" w:rsidRPr="00AC5DF1">
        <w:rPr>
          <w:rFonts w:ascii="Calibri" w:eastAsiaTheme="minorEastAsia" w:hAnsi="Calibri" w:cs="Arial"/>
          <w:iCs/>
          <w:color w:val="000000" w:themeColor="text1"/>
          <w:sz w:val="21"/>
          <w:szCs w:val="21"/>
          <w:lang w:eastAsia="zh-CN"/>
        </w:rPr>
        <w:fldChar w:fldCharType="begin"/>
      </w:r>
      <w:r w:rsidR="00AD0F5C" w:rsidRPr="00AC5DF1">
        <w:rPr>
          <w:rFonts w:ascii="Calibri" w:eastAsiaTheme="minorEastAsia" w:hAnsi="Calibri" w:cs="Arial"/>
          <w:iCs/>
          <w:color w:val="000000" w:themeColor="text1"/>
          <w:sz w:val="21"/>
          <w:szCs w:val="21"/>
          <w:lang w:eastAsia="zh-CN"/>
        </w:rPr>
        <w:instrText xml:space="preserve"> ADDIN EN.CITE &lt;EndNote&gt;&lt;Cite&gt;&lt;Author&gt;Lee&lt;/Author&gt;&lt;Year&gt;2017&lt;/Year&gt;&lt;RecNum&gt;27&lt;/RecNum&gt;&lt;DisplayText&gt;&lt;style face="superscript"&gt;83&lt;/style&gt;&lt;/DisplayText&gt;&lt;record&gt;&lt;rec-number&gt;27&lt;/rec-number&gt;&lt;foreign-keys&gt;&lt;key app="EN" db-id="dawtr0zrkrzfa5edzzlpe2we0xa00t90vvr2" timestamp="1623067866"&gt;27&lt;/key&gt;&lt;/foreign-keys&gt;&lt;ref-type name="Journal Article"&gt;17&lt;/ref-type&gt;&lt;contributors&gt;&lt;authors&gt;&lt;author&gt;Lee, Yu-Chen&lt;/author&gt;&lt;author&gt;Gao, Lan&lt;/author&gt;&lt;author&gt;Dear, Blake F&lt;/author&gt;&lt;author&gt;Titov, Nickolai&lt;/author&gt;&lt;author&gt;Mihalopoulos, Cathrine&lt;/author&gt;&lt;/authors&gt;&lt;/contributors&gt;&lt;titles&gt;&lt;title&gt;The cost-effectiveness of the online MindSpot Clinic for the treatment of depression and anxiety in Australia&lt;/title&gt;&lt;secondary-title&gt;J Ment Health Policy Econ&lt;/secondary-title&gt;&lt;/titles&gt;&lt;periodical&gt;&lt;full-title&gt;J Ment Health Policy Econ&lt;/full-title&gt;&lt;/periodical&gt;&lt;pages&gt;155-166&lt;/pages&gt;&lt;volume&gt;20&lt;/volume&gt;&lt;number&gt;4&lt;/number&gt;&lt;dates&gt;&lt;year&gt;2017&lt;/year&gt;&lt;/dates&gt;&lt;urls&gt;&lt;/urls&gt;&lt;/record&gt;&lt;/Cite&gt;&lt;/EndNote&gt;</w:instrText>
      </w:r>
      <w:r w:rsidR="00AD0F5C" w:rsidRPr="00AC5DF1">
        <w:rPr>
          <w:rFonts w:ascii="Calibri" w:eastAsiaTheme="minorEastAsia" w:hAnsi="Calibri" w:cs="Arial"/>
          <w:iCs/>
          <w:color w:val="000000" w:themeColor="text1"/>
          <w:sz w:val="21"/>
          <w:szCs w:val="21"/>
          <w:lang w:eastAsia="zh-CN"/>
        </w:rPr>
        <w:fldChar w:fldCharType="separate"/>
      </w:r>
      <w:r w:rsidR="00AD0F5C" w:rsidRPr="00AC5DF1">
        <w:rPr>
          <w:rFonts w:ascii="Calibri" w:eastAsiaTheme="minorEastAsia" w:hAnsi="Calibri" w:cs="Arial"/>
          <w:iCs/>
          <w:noProof/>
          <w:color w:val="000000" w:themeColor="text1"/>
          <w:sz w:val="21"/>
          <w:szCs w:val="21"/>
          <w:vertAlign w:val="superscript"/>
          <w:lang w:eastAsia="zh-CN"/>
        </w:rPr>
        <w:t>83</w:t>
      </w:r>
      <w:r w:rsidR="00AD0F5C" w:rsidRPr="00AC5DF1">
        <w:rPr>
          <w:rFonts w:ascii="Calibri" w:eastAsiaTheme="minorEastAsia" w:hAnsi="Calibri" w:cs="Arial"/>
          <w:iCs/>
          <w:color w:val="000000" w:themeColor="text1"/>
          <w:sz w:val="21"/>
          <w:szCs w:val="21"/>
          <w:lang w:eastAsia="zh-CN"/>
        </w:rPr>
        <w:fldChar w:fldCharType="end"/>
      </w:r>
    </w:p>
    <w:p w14:paraId="144EF93C" w14:textId="17C4F0BB" w:rsidR="008E7F21" w:rsidRDefault="00C22FE0" w:rsidP="00D6551D">
      <w:pPr>
        <w:spacing w:after="240"/>
        <w:rPr>
          <w:rFonts w:ascii="Calibri" w:eastAsiaTheme="minorEastAsia" w:hAnsi="Calibri" w:cs="Arial"/>
          <w:iCs/>
          <w:color w:val="000000" w:themeColor="text1"/>
          <w:sz w:val="21"/>
          <w:szCs w:val="21"/>
          <w:lang w:eastAsia="zh-CN"/>
        </w:rPr>
      </w:pPr>
      <w:r w:rsidRPr="00C22FE0">
        <w:rPr>
          <w:rFonts w:ascii="Calibri" w:eastAsiaTheme="minorEastAsia" w:hAnsi="Calibri" w:cs="Arial"/>
          <w:iCs/>
          <w:color w:val="000000" w:themeColor="text1"/>
          <w:sz w:val="21"/>
          <w:szCs w:val="21"/>
          <w:lang w:eastAsia="zh-CN"/>
        </w:rPr>
        <w:t xml:space="preserve">The transition probabilities for the indirect comparator groups were based on the values estimated in a published economic evaluation of </w:t>
      </w:r>
      <w:proofErr w:type="spellStart"/>
      <w:r w:rsidRPr="00C22FE0">
        <w:rPr>
          <w:rFonts w:ascii="Calibri" w:eastAsiaTheme="minorEastAsia" w:hAnsi="Calibri" w:cs="Arial"/>
          <w:iCs/>
          <w:color w:val="000000" w:themeColor="text1"/>
          <w:sz w:val="21"/>
          <w:szCs w:val="21"/>
          <w:lang w:eastAsia="zh-CN"/>
        </w:rPr>
        <w:t>MindSpot</w:t>
      </w:r>
      <w:proofErr w:type="spellEnd"/>
      <w:r w:rsidRPr="00C22FE0">
        <w:rPr>
          <w:rFonts w:ascii="Calibri" w:eastAsiaTheme="minorEastAsia" w:hAnsi="Calibri" w:cs="Arial"/>
          <w:iCs/>
          <w:color w:val="000000" w:themeColor="text1"/>
          <w:sz w:val="21"/>
          <w:szCs w:val="21"/>
          <w:lang w:eastAsia="zh-CN"/>
        </w:rPr>
        <w:t xml:space="preserve"> in 2017</w:t>
      </w:r>
      <w:r w:rsidR="00FF02DC">
        <w:rPr>
          <w:rFonts w:ascii="Calibri" w:eastAsiaTheme="minorEastAsia" w:hAnsi="Calibri" w:cs="Arial"/>
          <w:iCs/>
          <w:color w:val="000000" w:themeColor="text1"/>
          <w:sz w:val="21"/>
          <w:szCs w:val="21"/>
          <w:lang w:eastAsia="zh-CN"/>
        </w:rPr>
        <w:t>.</w:t>
      </w:r>
      <w:r w:rsidR="00D967DD">
        <w:rPr>
          <w:rFonts w:ascii="Calibri" w:eastAsiaTheme="minorEastAsia" w:hAnsi="Calibri" w:cs="Arial"/>
          <w:iCs/>
          <w:color w:val="000000" w:themeColor="text1"/>
          <w:sz w:val="21"/>
          <w:szCs w:val="21"/>
          <w:lang w:eastAsia="zh-CN"/>
        </w:rPr>
        <w:fldChar w:fldCharType="begin"/>
      </w:r>
      <w:r w:rsidR="004469A2">
        <w:rPr>
          <w:rFonts w:ascii="Calibri" w:eastAsiaTheme="minorEastAsia" w:hAnsi="Calibri" w:cs="Arial"/>
          <w:iCs/>
          <w:color w:val="000000" w:themeColor="text1"/>
          <w:sz w:val="21"/>
          <w:szCs w:val="21"/>
          <w:lang w:eastAsia="zh-CN"/>
        </w:rPr>
        <w:instrText xml:space="preserve"> ADDIN EN.CITE &lt;EndNote&gt;&lt;Cite&gt;&lt;Author&gt;Lee&lt;/Author&gt;&lt;Year&gt;2017&lt;/Year&gt;&lt;RecNum&gt;27&lt;/RecNum&gt;&lt;DisplayText&gt;&lt;style face="superscript"&gt;83&lt;/style&gt;&lt;/DisplayText&gt;&lt;record&gt;&lt;rec-number&gt;27&lt;/rec-number&gt;&lt;foreign-keys&gt;&lt;key app="EN" db-id="dawtr0zrkrzfa5edzzlpe2we0xa00t90vvr2" timestamp="1623067866"&gt;27&lt;/key&gt;&lt;/foreign-keys&gt;&lt;ref-type name="Journal Article"&gt;17&lt;/ref-type&gt;&lt;contributors&gt;&lt;authors&gt;&lt;author&gt;Lee, Yu-Chen&lt;/author&gt;&lt;author&gt;Gao, Lan&lt;/author&gt;&lt;author&gt;Dear, Blake F&lt;/author&gt;&lt;author&gt;Titov, Nickolai&lt;/author&gt;&lt;author&gt;Mihalopoulos, Cathrine&lt;/author&gt;&lt;/authors&gt;&lt;/contributors&gt;&lt;titles&gt;&lt;title&gt;The cost-effectiveness of the online MindSpot Clinic for the treatment of depression and anxiety in Australia&lt;/title&gt;&lt;secondary-title&gt;J Ment Health Policy Econ&lt;/secondary-title&gt;&lt;/titles&gt;&lt;periodical&gt;&lt;full-title&gt;J Ment Health Policy Econ&lt;/full-title&gt;&lt;/periodical&gt;&lt;pages&gt;155-166&lt;/pages&gt;&lt;volume&gt;20&lt;/volume&gt;&lt;number&gt;4&lt;/number&gt;&lt;dates&gt;&lt;year&gt;2017&lt;/year&gt;&lt;/dates&gt;&lt;urls&gt;&lt;/urls&gt;&lt;/record&gt;&lt;/Cite&gt;&lt;/EndNote&gt;</w:instrText>
      </w:r>
      <w:r w:rsidR="00D967DD">
        <w:rPr>
          <w:rFonts w:ascii="Calibri" w:eastAsiaTheme="minorEastAsia" w:hAnsi="Calibri" w:cs="Arial"/>
          <w:iCs/>
          <w:color w:val="000000" w:themeColor="text1"/>
          <w:sz w:val="21"/>
          <w:szCs w:val="21"/>
          <w:lang w:eastAsia="zh-CN"/>
        </w:rPr>
        <w:fldChar w:fldCharType="separate"/>
      </w:r>
      <w:r w:rsidR="004469A2" w:rsidRPr="004469A2">
        <w:rPr>
          <w:rFonts w:ascii="Calibri" w:eastAsiaTheme="minorEastAsia" w:hAnsi="Calibri" w:cs="Arial"/>
          <w:iCs/>
          <w:noProof/>
          <w:color w:val="000000" w:themeColor="text1"/>
          <w:sz w:val="21"/>
          <w:szCs w:val="21"/>
          <w:vertAlign w:val="superscript"/>
          <w:lang w:eastAsia="zh-CN"/>
        </w:rPr>
        <w:t>83</w:t>
      </w:r>
      <w:r w:rsidR="00D967DD">
        <w:rPr>
          <w:rFonts w:ascii="Calibri" w:eastAsiaTheme="minorEastAsia" w:hAnsi="Calibri" w:cs="Arial"/>
          <w:iCs/>
          <w:color w:val="000000" w:themeColor="text1"/>
          <w:sz w:val="21"/>
          <w:szCs w:val="21"/>
          <w:lang w:eastAsia="zh-CN"/>
        </w:rPr>
        <w:fldChar w:fldCharType="end"/>
      </w:r>
      <w:r w:rsidRPr="00C22FE0">
        <w:rPr>
          <w:rFonts w:ascii="Calibri" w:eastAsiaTheme="minorEastAsia" w:hAnsi="Calibri" w:cs="Arial"/>
          <w:iCs/>
          <w:color w:val="000000" w:themeColor="text1"/>
          <w:sz w:val="21"/>
          <w:szCs w:val="21"/>
          <w:lang w:eastAsia="zh-CN"/>
        </w:rPr>
        <w:t xml:space="preserve"> These values were calculated based on data from the National Mental Health Survey and an internal dataset provided by </w:t>
      </w:r>
      <w:proofErr w:type="spellStart"/>
      <w:r w:rsidRPr="00C22FE0">
        <w:rPr>
          <w:rFonts w:ascii="Calibri" w:eastAsiaTheme="minorEastAsia" w:hAnsi="Calibri" w:cs="Arial"/>
          <w:iCs/>
          <w:color w:val="000000" w:themeColor="text1"/>
          <w:sz w:val="21"/>
          <w:szCs w:val="21"/>
          <w:lang w:eastAsia="zh-CN"/>
        </w:rPr>
        <w:t>MindSpot</w:t>
      </w:r>
      <w:proofErr w:type="spellEnd"/>
      <w:r w:rsidRPr="00C22FE0">
        <w:rPr>
          <w:rFonts w:ascii="Calibri" w:eastAsiaTheme="minorEastAsia" w:hAnsi="Calibri" w:cs="Arial"/>
          <w:iCs/>
          <w:color w:val="000000" w:themeColor="text1"/>
          <w:sz w:val="21"/>
          <w:szCs w:val="21"/>
          <w:lang w:eastAsia="zh-CN"/>
        </w:rPr>
        <w:t xml:space="preserve"> at the time of this previous evaluation.</w:t>
      </w:r>
    </w:p>
    <w:p w14:paraId="3F5DB513" w14:textId="77777777" w:rsidR="008E7F21" w:rsidRDefault="008E7F21">
      <w:pPr>
        <w:spacing w:after="200"/>
        <w:rPr>
          <w:rFonts w:ascii="Calibri" w:eastAsiaTheme="minorEastAsia" w:hAnsi="Calibri" w:cs="Arial"/>
          <w:iCs/>
          <w:color w:val="000000" w:themeColor="text1"/>
          <w:sz w:val="21"/>
          <w:szCs w:val="21"/>
          <w:lang w:eastAsia="zh-CN"/>
        </w:rPr>
      </w:pPr>
      <w:r>
        <w:rPr>
          <w:rFonts w:ascii="Calibri" w:eastAsiaTheme="minorEastAsia" w:hAnsi="Calibri" w:cs="Arial"/>
          <w:iCs/>
          <w:color w:val="000000" w:themeColor="text1"/>
          <w:sz w:val="21"/>
          <w:szCs w:val="21"/>
          <w:lang w:eastAsia="zh-CN"/>
        </w:rPr>
        <w:br w:type="page"/>
      </w:r>
    </w:p>
    <w:p w14:paraId="34BC23A7" w14:textId="5A1C3CD9" w:rsidR="00C22FE0" w:rsidRPr="00C22FE0" w:rsidRDefault="00C22FE0" w:rsidP="00C22FE0">
      <w:pPr>
        <w:keepLines/>
        <w:spacing w:after="120"/>
        <w:outlineLvl w:val="2"/>
        <w:rPr>
          <w:rFonts w:asciiTheme="minorHAnsi" w:eastAsiaTheme="majorEastAsia" w:hAnsiTheme="minorHAnsi" w:cstheme="majorBidi"/>
          <w:b/>
          <w:i/>
          <w:color w:val="000000" w:themeColor="text1"/>
          <w:sz w:val="21"/>
          <w:szCs w:val="21"/>
          <w:lang w:val="en-US" w:eastAsia="en-US"/>
        </w:rPr>
      </w:pPr>
      <w:r w:rsidRPr="00C22FE0">
        <w:rPr>
          <w:rFonts w:asciiTheme="minorHAnsi" w:eastAsiaTheme="majorEastAsia" w:hAnsiTheme="minorHAnsi" w:cstheme="majorBidi"/>
          <w:b/>
          <w:color w:val="000000" w:themeColor="text1"/>
          <w:sz w:val="21"/>
          <w:szCs w:val="21"/>
          <w:lang w:val="en-US" w:eastAsia="en-US"/>
        </w:rPr>
        <w:lastRenderedPageBreak/>
        <w:t xml:space="preserve">Table </w:t>
      </w:r>
      <w:r w:rsidR="00C754B0">
        <w:rPr>
          <w:rFonts w:asciiTheme="minorHAnsi" w:eastAsiaTheme="majorEastAsia" w:hAnsiTheme="minorHAnsi" w:cstheme="majorBidi"/>
          <w:b/>
          <w:color w:val="000000" w:themeColor="text1"/>
          <w:sz w:val="21"/>
          <w:szCs w:val="21"/>
          <w:lang w:val="en-US" w:eastAsia="en-US"/>
        </w:rPr>
        <w:t>L1</w:t>
      </w:r>
      <w:r w:rsidRPr="008E7F21">
        <w:rPr>
          <w:rFonts w:asciiTheme="minorHAnsi" w:eastAsiaTheme="majorEastAsia" w:hAnsiTheme="minorHAnsi" w:cstheme="majorBidi"/>
          <w:b/>
          <w:color w:val="000000" w:themeColor="text1"/>
          <w:sz w:val="21"/>
          <w:szCs w:val="21"/>
          <w:lang w:val="en-US" w:eastAsia="en-US"/>
        </w:rPr>
        <w:t>.1.</w:t>
      </w:r>
      <w:r w:rsidRPr="00C22FE0">
        <w:rPr>
          <w:rFonts w:asciiTheme="minorHAnsi" w:eastAsiaTheme="majorEastAsia" w:hAnsiTheme="minorHAnsi" w:cstheme="majorBidi"/>
          <w:b/>
          <w:color w:val="000000" w:themeColor="text1"/>
          <w:sz w:val="21"/>
          <w:szCs w:val="21"/>
          <w:lang w:val="en-US" w:eastAsia="en-US"/>
        </w:rPr>
        <w:t xml:space="preserve"> The PHQ-9 outcomes for consumers who commenced treatment by service and treatment pathway </w:t>
      </w:r>
    </w:p>
    <w:tbl>
      <w:tblPr>
        <w:tblStyle w:val="PlainTable413"/>
        <w:tblW w:w="8495" w:type="dxa"/>
        <w:tblInd w:w="0" w:type="dxa"/>
        <w:tblBorders>
          <w:top w:val="single" w:sz="8" w:space="0" w:color="auto"/>
          <w:left w:val="single" w:sz="8" w:space="0" w:color="auto"/>
          <w:bottom w:val="single" w:sz="8" w:space="0" w:color="auto"/>
          <w:right w:val="single" w:sz="8" w:space="0" w:color="auto"/>
          <w:insideV w:val="single" w:sz="8" w:space="0" w:color="auto"/>
        </w:tblBorders>
        <w:tblLayout w:type="fixed"/>
        <w:tblLook w:val="04A0" w:firstRow="1" w:lastRow="0" w:firstColumn="1" w:lastColumn="0" w:noHBand="0" w:noVBand="1"/>
        <w:tblCaption w:val="Table L1.1. The PHQ-9 outcomes for consumers who commenced treatment by service and treatment pathway "/>
        <w:tblDescription w:val="A table providing the Patient Health Questionnaire 9 outcomes for consumers who commenced treatment. The number of cases and proportion of consumers associated with three health states are presented by digital mental health service and treatment pathway."/>
      </w:tblPr>
      <w:tblGrid>
        <w:gridCol w:w="4101"/>
        <w:gridCol w:w="1464"/>
        <w:gridCol w:w="1465"/>
        <w:gridCol w:w="1465"/>
      </w:tblGrid>
      <w:tr w:rsidR="00C22FE0" w:rsidRPr="00C22FE0" w14:paraId="3F4285F4" w14:textId="77777777" w:rsidTr="00A56C43">
        <w:trPr>
          <w:cnfStyle w:val="100000000000" w:firstRow="1" w:lastRow="0" w:firstColumn="0" w:lastColumn="0" w:oddVBand="0" w:evenVBand="0" w:oddHBand="0" w:evenHBand="0" w:firstRowFirstColumn="0" w:firstRowLastColumn="0" w:lastRowFirstColumn="0" w:lastRowLastColumn="0"/>
          <w:trHeight w:val="610"/>
          <w:tblHeader/>
        </w:trPr>
        <w:tc>
          <w:tcPr>
            <w:cnfStyle w:val="001000000000" w:firstRow="0" w:lastRow="0" w:firstColumn="1" w:lastColumn="0" w:oddVBand="0" w:evenVBand="0" w:oddHBand="0" w:evenHBand="0" w:firstRowFirstColumn="0" w:firstRowLastColumn="0" w:lastRowFirstColumn="0" w:lastRowLastColumn="0"/>
            <w:tcW w:w="4101" w:type="dxa"/>
            <w:tcBorders>
              <w:top w:val="single" w:sz="8" w:space="0" w:color="auto"/>
              <w:left w:val="single" w:sz="8" w:space="0" w:color="auto"/>
              <w:bottom w:val="nil"/>
              <w:right w:val="single" w:sz="8" w:space="0" w:color="auto"/>
            </w:tcBorders>
            <w:shd w:val="clear" w:color="auto" w:fill="000000" w:themeFill="text1"/>
            <w:noWrap/>
          </w:tcPr>
          <w:p w14:paraId="30B081A1" w14:textId="77777777" w:rsidR="00C22FE0" w:rsidRPr="00C22FE0" w:rsidRDefault="00C22FE0" w:rsidP="00C22FE0">
            <w:pPr>
              <w:snapToGrid w:val="0"/>
              <w:rPr>
                <w:rFonts w:ascii="Calibri" w:hAnsi="Calibri" w:cs="Calibri"/>
                <w:color w:val="FFFFFF" w:themeColor="background1"/>
                <w:sz w:val="18"/>
                <w:szCs w:val="18"/>
                <w:lang w:eastAsia="en-AU"/>
              </w:rPr>
            </w:pPr>
          </w:p>
        </w:tc>
        <w:tc>
          <w:tcPr>
            <w:tcW w:w="1464" w:type="dxa"/>
            <w:tcBorders>
              <w:top w:val="single" w:sz="8" w:space="0" w:color="auto"/>
              <w:left w:val="single" w:sz="8" w:space="0" w:color="auto"/>
              <w:bottom w:val="nil"/>
              <w:right w:val="single" w:sz="8" w:space="0" w:color="auto"/>
            </w:tcBorders>
            <w:shd w:val="clear" w:color="auto" w:fill="000000" w:themeFill="text1"/>
          </w:tcPr>
          <w:p w14:paraId="7E69CDA8"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Deteriorated</w:t>
            </w:r>
          </w:p>
        </w:tc>
        <w:tc>
          <w:tcPr>
            <w:tcW w:w="1465" w:type="dxa"/>
            <w:tcBorders>
              <w:top w:val="single" w:sz="8" w:space="0" w:color="auto"/>
              <w:left w:val="single" w:sz="8" w:space="0" w:color="auto"/>
              <w:bottom w:val="nil"/>
              <w:right w:val="single" w:sz="8" w:space="0" w:color="auto"/>
            </w:tcBorders>
            <w:shd w:val="clear" w:color="auto" w:fill="000000" w:themeFill="text1"/>
          </w:tcPr>
          <w:p w14:paraId="3C03B3DF"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No change</w:t>
            </w:r>
          </w:p>
        </w:tc>
        <w:tc>
          <w:tcPr>
            <w:tcW w:w="1465" w:type="dxa"/>
            <w:tcBorders>
              <w:top w:val="single" w:sz="8" w:space="0" w:color="auto"/>
              <w:left w:val="single" w:sz="8" w:space="0" w:color="auto"/>
              <w:bottom w:val="nil"/>
              <w:right w:val="single" w:sz="8" w:space="0" w:color="auto"/>
            </w:tcBorders>
            <w:shd w:val="clear" w:color="auto" w:fill="000000" w:themeFill="text1"/>
          </w:tcPr>
          <w:p w14:paraId="75184601"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Improved</w:t>
            </w:r>
          </w:p>
        </w:tc>
      </w:tr>
      <w:tr w:rsidR="00C22FE0" w:rsidRPr="00C22FE0" w14:paraId="554FD844"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nil"/>
              <w:right w:val="single" w:sz="8" w:space="0" w:color="auto"/>
            </w:tcBorders>
            <w:shd w:val="clear" w:color="auto" w:fill="auto"/>
            <w:noWrap/>
            <w:vAlign w:val="center"/>
          </w:tcPr>
          <w:p w14:paraId="7619C990"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MINDSPOT </w:t>
            </w:r>
          </w:p>
        </w:tc>
        <w:tc>
          <w:tcPr>
            <w:tcW w:w="1464" w:type="dxa"/>
            <w:tcBorders>
              <w:top w:val="nil"/>
              <w:left w:val="single" w:sz="8" w:space="0" w:color="auto"/>
              <w:bottom w:val="nil"/>
              <w:right w:val="single" w:sz="8" w:space="0" w:color="auto"/>
            </w:tcBorders>
            <w:shd w:val="clear" w:color="auto" w:fill="auto"/>
            <w:vAlign w:val="center"/>
          </w:tcPr>
          <w:p w14:paraId="5656970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52ED530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7597A2D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r>
      <w:tr w:rsidR="00C22FE0" w:rsidRPr="00C22FE0" w14:paraId="1FB62233"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nil"/>
              <w:right w:val="single" w:sz="8" w:space="0" w:color="auto"/>
            </w:tcBorders>
            <w:shd w:val="clear" w:color="auto" w:fill="auto"/>
            <w:noWrap/>
            <w:vAlign w:val="center"/>
          </w:tcPr>
          <w:p w14:paraId="73289CC4"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Therapist-supported treatment (n=3,532)</w:t>
            </w:r>
          </w:p>
        </w:tc>
        <w:tc>
          <w:tcPr>
            <w:tcW w:w="1464" w:type="dxa"/>
            <w:tcBorders>
              <w:top w:val="nil"/>
              <w:left w:val="single" w:sz="8" w:space="0" w:color="auto"/>
              <w:bottom w:val="nil"/>
              <w:right w:val="single" w:sz="8" w:space="0" w:color="auto"/>
            </w:tcBorders>
            <w:shd w:val="clear" w:color="auto" w:fill="auto"/>
            <w:vAlign w:val="center"/>
          </w:tcPr>
          <w:p w14:paraId="7812F2E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09FD70B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5ADB075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r>
      <w:tr w:rsidR="00C22FE0" w:rsidRPr="00C22FE0" w14:paraId="6F37E93E"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nil"/>
              <w:right w:val="single" w:sz="8" w:space="0" w:color="auto"/>
            </w:tcBorders>
            <w:shd w:val="clear" w:color="auto" w:fill="auto"/>
            <w:noWrap/>
            <w:vAlign w:val="center"/>
          </w:tcPr>
          <w:p w14:paraId="294AC6D6"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Number of cases</w:t>
            </w:r>
          </w:p>
        </w:tc>
        <w:tc>
          <w:tcPr>
            <w:tcW w:w="1464" w:type="dxa"/>
            <w:tcBorders>
              <w:top w:val="nil"/>
              <w:left w:val="single" w:sz="8" w:space="0" w:color="auto"/>
              <w:bottom w:val="nil"/>
              <w:right w:val="single" w:sz="8" w:space="0" w:color="auto"/>
            </w:tcBorders>
            <w:shd w:val="clear" w:color="auto" w:fill="auto"/>
            <w:vAlign w:val="center"/>
          </w:tcPr>
          <w:p w14:paraId="34BABE1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258</w:t>
            </w:r>
          </w:p>
        </w:tc>
        <w:tc>
          <w:tcPr>
            <w:tcW w:w="1465" w:type="dxa"/>
            <w:tcBorders>
              <w:top w:val="nil"/>
              <w:left w:val="single" w:sz="8" w:space="0" w:color="auto"/>
              <w:bottom w:val="nil"/>
              <w:right w:val="single" w:sz="8" w:space="0" w:color="auto"/>
            </w:tcBorders>
            <w:shd w:val="clear" w:color="auto" w:fill="auto"/>
            <w:vAlign w:val="center"/>
          </w:tcPr>
          <w:p w14:paraId="7B1B0A4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987</w:t>
            </w:r>
          </w:p>
        </w:tc>
        <w:tc>
          <w:tcPr>
            <w:tcW w:w="1465" w:type="dxa"/>
            <w:tcBorders>
              <w:top w:val="nil"/>
              <w:left w:val="single" w:sz="8" w:space="0" w:color="auto"/>
              <w:bottom w:val="nil"/>
              <w:right w:val="single" w:sz="8" w:space="0" w:color="auto"/>
            </w:tcBorders>
            <w:shd w:val="clear" w:color="auto" w:fill="auto"/>
            <w:vAlign w:val="center"/>
          </w:tcPr>
          <w:p w14:paraId="576595F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2,287</w:t>
            </w:r>
          </w:p>
        </w:tc>
      </w:tr>
      <w:tr w:rsidR="00C22FE0" w:rsidRPr="00C22FE0" w14:paraId="192809A0"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nil"/>
              <w:right w:val="single" w:sz="8" w:space="0" w:color="auto"/>
            </w:tcBorders>
            <w:shd w:val="clear" w:color="auto" w:fill="auto"/>
            <w:noWrap/>
            <w:vAlign w:val="center"/>
          </w:tcPr>
          <w:p w14:paraId="4EFBE3A9"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Proportion</w:t>
            </w:r>
          </w:p>
        </w:tc>
        <w:tc>
          <w:tcPr>
            <w:tcW w:w="1464" w:type="dxa"/>
            <w:tcBorders>
              <w:top w:val="nil"/>
              <w:left w:val="single" w:sz="8" w:space="0" w:color="auto"/>
              <w:bottom w:val="nil"/>
              <w:right w:val="single" w:sz="8" w:space="0" w:color="auto"/>
            </w:tcBorders>
            <w:shd w:val="clear" w:color="auto" w:fill="auto"/>
            <w:vAlign w:val="center"/>
          </w:tcPr>
          <w:p w14:paraId="3059B93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0.073</w:t>
            </w:r>
          </w:p>
        </w:tc>
        <w:tc>
          <w:tcPr>
            <w:tcW w:w="1465" w:type="dxa"/>
            <w:tcBorders>
              <w:top w:val="nil"/>
              <w:left w:val="single" w:sz="8" w:space="0" w:color="auto"/>
              <w:bottom w:val="nil"/>
              <w:right w:val="single" w:sz="8" w:space="0" w:color="auto"/>
            </w:tcBorders>
            <w:shd w:val="clear" w:color="auto" w:fill="auto"/>
            <w:vAlign w:val="center"/>
          </w:tcPr>
          <w:p w14:paraId="7D233F4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0.280</w:t>
            </w:r>
          </w:p>
        </w:tc>
        <w:tc>
          <w:tcPr>
            <w:tcW w:w="1465" w:type="dxa"/>
            <w:tcBorders>
              <w:top w:val="nil"/>
              <w:left w:val="single" w:sz="8" w:space="0" w:color="auto"/>
              <w:bottom w:val="nil"/>
              <w:right w:val="single" w:sz="8" w:space="0" w:color="auto"/>
            </w:tcBorders>
            <w:shd w:val="clear" w:color="auto" w:fill="auto"/>
            <w:vAlign w:val="center"/>
          </w:tcPr>
          <w:p w14:paraId="4C3E9D5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0.647</w:t>
            </w:r>
          </w:p>
        </w:tc>
      </w:tr>
      <w:tr w:rsidR="00C22FE0" w:rsidRPr="00C22FE0" w14:paraId="43E10846"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nil"/>
              <w:right w:val="single" w:sz="8" w:space="0" w:color="auto"/>
            </w:tcBorders>
            <w:shd w:val="clear" w:color="auto" w:fill="auto"/>
            <w:noWrap/>
            <w:vAlign w:val="center"/>
          </w:tcPr>
          <w:p w14:paraId="3005F6DF" w14:textId="77777777" w:rsidR="00C22FE0" w:rsidRPr="00C22FE0" w:rsidRDefault="00C22FE0" w:rsidP="00C22FE0">
            <w:pPr>
              <w:snapToGrid w:val="0"/>
              <w:rPr>
                <w:rFonts w:ascii="Calibri" w:hAnsi="Calibri" w:cs="Calibri"/>
                <w:color w:val="000000"/>
                <w:sz w:val="18"/>
                <w:szCs w:val="18"/>
                <w:lang w:eastAsia="en-AU"/>
              </w:rPr>
            </w:pPr>
          </w:p>
        </w:tc>
        <w:tc>
          <w:tcPr>
            <w:tcW w:w="1464" w:type="dxa"/>
            <w:tcBorders>
              <w:top w:val="nil"/>
              <w:left w:val="single" w:sz="8" w:space="0" w:color="auto"/>
              <w:bottom w:val="nil"/>
              <w:right w:val="single" w:sz="8" w:space="0" w:color="auto"/>
            </w:tcBorders>
            <w:shd w:val="clear" w:color="auto" w:fill="auto"/>
            <w:vAlign w:val="center"/>
          </w:tcPr>
          <w:p w14:paraId="6FDCA83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7F2F4D8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54BF245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r>
      <w:tr w:rsidR="00C22FE0" w:rsidRPr="00C22FE0" w14:paraId="0DAF8430"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nil"/>
              <w:right w:val="single" w:sz="8" w:space="0" w:color="auto"/>
            </w:tcBorders>
            <w:shd w:val="clear" w:color="auto" w:fill="auto"/>
            <w:noWrap/>
            <w:vAlign w:val="center"/>
          </w:tcPr>
          <w:p w14:paraId="2B073EE5"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THIS WAY UP</w:t>
            </w:r>
          </w:p>
        </w:tc>
        <w:tc>
          <w:tcPr>
            <w:tcW w:w="1464" w:type="dxa"/>
            <w:tcBorders>
              <w:top w:val="nil"/>
              <w:left w:val="single" w:sz="8" w:space="0" w:color="auto"/>
              <w:bottom w:val="nil"/>
              <w:right w:val="single" w:sz="8" w:space="0" w:color="auto"/>
            </w:tcBorders>
            <w:shd w:val="clear" w:color="auto" w:fill="auto"/>
            <w:vAlign w:val="center"/>
          </w:tcPr>
          <w:p w14:paraId="5004AC6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5E56199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2820CEF0"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r>
      <w:tr w:rsidR="00C22FE0" w:rsidRPr="00C22FE0" w14:paraId="53A532FD"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nil"/>
              <w:right w:val="single" w:sz="8" w:space="0" w:color="auto"/>
            </w:tcBorders>
            <w:shd w:val="clear" w:color="auto" w:fill="auto"/>
            <w:noWrap/>
            <w:vAlign w:val="center"/>
          </w:tcPr>
          <w:p w14:paraId="216EE55B" w14:textId="20A6A720"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Self-directed treatment</w:t>
            </w:r>
            <w:r w:rsidR="0004226A">
              <w:rPr>
                <w:rFonts w:ascii="Calibri" w:hAnsi="Calibri" w:cs="Calibri"/>
                <w:color w:val="000000"/>
                <w:sz w:val="18"/>
                <w:szCs w:val="18"/>
                <w:lang w:eastAsia="en-AU"/>
              </w:rPr>
              <w:t xml:space="preserve"> </w:t>
            </w:r>
            <w:r w:rsidRPr="00C22FE0">
              <w:rPr>
                <w:rFonts w:ascii="Calibri" w:hAnsi="Calibri" w:cs="Calibri"/>
                <w:color w:val="000000"/>
                <w:sz w:val="18"/>
                <w:szCs w:val="18"/>
                <w:lang w:eastAsia="en-AU"/>
              </w:rPr>
              <w:t>(n=26,602)</w:t>
            </w:r>
          </w:p>
        </w:tc>
        <w:tc>
          <w:tcPr>
            <w:tcW w:w="1464" w:type="dxa"/>
            <w:tcBorders>
              <w:top w:val="nil"/>
              <w:left w:val="single" w:sz="8" w:space="0" w:color="auto"/>
              <w:bottom w:val="nil"/>
              <w:right w:val="single" w:sz="8" w:space="0" w:color="auto"/>
            </w:tcBorders>
            <w:shd w:val="clear" w:color="auto" w:fill="auto"/>
            <w:vAlign w:val="center"/>
          </w:tcPr>
          <w:p w14:paraId="3661853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5640487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7B2849D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r>
      <w:tr w:rsidR="00C22FE0" w:rsidRPr="00C22FE0" w14:paraId="34C17D18"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nil"/>
              <w:right w:val="single" w:sz="8" w:space="0" w:color="auto"/>
            </w:tcBorders>
            <w:shd w:val="clear" w:color="auto" w:fill="auto"/>
            <w:noWrap/>
            <w:vAlign w:val="center"/>
          </w:tcPr>
          <w:p w14:paraId="03A2002F"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Number of cases</w:t>
            </w:r>
          </w:p>
        </w:tc>
        <w:tc>
          <w:tcPr>
            <w:tcW w:w="1464" w:type="dxa"/>
            <w:tcBorders>
              <w:top w:val="nil"/>
              <w:left w:val="single" w:sz="8" w:space="0" w:color="auto"/>
              <w:bottom w:val="nil"/>
              <w:right w:val="single" w:sz="8" w:space="0" w:color="auto"/>
            </w:tcBorders>
            <w:shd w:val="clear" w:color="auto" w:fill="auto"/>
            <w:vAlign w:val="center"/>
          </w:tcPr>
          <w:p w14:paraId="78EDD09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1,799</w:t>
            </w:r>
          </w:p>
        </w:tc>
        <w:tc>
          <w:tcPr>
            <w:tcW w:w="1465" w:type="dxa"/>
            <w:tcBorders>
              <w:top w:val="nil"/>
              <w:left w:val="single" w:sz="8" w:space="0" w:color="auto"/>
              <w:bottom w:val="nil"/>
              <w:right w:val="single" w:sz="8" w:space="0" w:color="auto"/>
            </w:tcBorders>
            <w:shd w:val="clear" w:color="auto" w:fill="auto"/>
            <w:vAlign w:val="center"/>
          </w:tcPr>
          <w:p w14:paraId="5668B9B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8,709</w:t>
            </w:r>
          </w:p>
        </w:tc>
        <w:tc>
          <w:tcPr>
            <w:tcW w:w="1465" w:type="dxa"/>
            <w:tcBorders>
              <w:top w:val="nil"/>
              <w:left w:val="single" w:sz="8" w:space="0" w:color="auto"/>
              <w:bottom w:val="nil"/>
              <w:right w:val="single" w:sz="8" w:space="0" w:color="auto"/>
            </w:tcBorders>
            <w:shd w:val="clear" w:color="auto" w:fill="auto"/>
            <w:vAlign w:val="center"/>
          </w:tcPr>
          <w:p w14:paraId="0AA9F24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16,093</w:t>
            </w:r>
          </w:p>
        </w:tc>
      </w:tr>
      <w:tr w:rsidR="00C22FE0" w:rsidRPr="00C22FE0" w14:paraId="50E4A888"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nil"/>
              <w:right w:val="single" w:sz="8" w:space="0" w:color="auto"/>
            </w:tcBorders>
            <w:shd w:val="clear" w:color="auto" w:fill="auto"/>
            <w:noWrap/>
            <w:vAlign w:val="center"/>
          </w:tcPr>
          <w:p w14:paraId="7DE8C4A0"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Proportion</w:t>
            </w:r>
          </w:p>
        </w:tc>
        <w:tc>
          <w:tcPr>
            <w:tcW w:w="1464" w:type="dxa"/>
            <w:tcBorders>
              <w:top w:val="nil"/>
              <w:left w:val="single" w:sz="8" w:space="0" w:color="auto"/>
              <w:bottom w:val="nil"/>
              <w:right w:val="single" w:sz="8" w:space="0" w:color="auto"/>
            </w:tcBorders>
            <w:shd w:val="clear" w:color="auto" w:fill="auto"/>
            <w:vAlign w:val="center"/>
          </w:tcPr>
          <w:p w14:paraId="65CC363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0.068</w:t>
            </w:r>
          </w:p>
        </w:tc>
        <w:tc>
          <w:tcPr>
            <w:tcW w:w="1465" w:type="dxa"/>
            <w:tcBorders>
              <w:top w:val="nil"/>
              <w:left w:val="single" w:sz="8" w:space="0" w:color="auto"/>
              <w:bottom w:val="nil"/>
              <w:right w:val="single" w:sz="8" w:space="0" w:color="auto"/>
            </w:tcBorders>
            <w:shd w:val="clear" w:color="auto" w:fill="auto"/>
            <w:vAlign w:val="center"/>
          </w:tcPr>
          <w:p w14:paraId="6647F09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0.327</w:t>
            </w:r>
          </w:p>
        </w:tc>
        <w:tc>
          <w:tcPr>
            <w:tcW w:w="1465" w:type="dxa"/>
            <w:tcBorders>
              <w:top w:val="nil"/>
              <w:left w:val="single" w:sz="8" w:space="0" w:color="auto"/>
              <w:bottom w:val="nil"/>
              <w:right w:val="single" w:sz="8" w:space="0" w:color="auto"/>
            </w:tcBorders>
            <w:shd w:val="clear" w:color="auto" w:fill="auto"/>
            <w:vAlign w:val="center"/>
          </w:tcPr>
          <w:p w14:paraId="70E65F5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0.605</w:t>
            </w:r>
          </w:p>
        </w:tc>
      </w:tr>
      <w:tr w:rsidR="00C22FE0" w:rsidRPr="00C22FE0" w14:paraId="0679DF8C"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nil"/>
              <w:right w:val="single" w:sz="8" w:space="0" w:color="auto"/>
            </w:tcBorders>
            <w:shd w:val="clear" w:color="auto" w:fill="auto"/>
            <w:noWrap/>
            <w:vAlign w:val="center"/>
          </w:tcPr>
          <w:p w14:paraId="6F224318" w14:textId="77777777" w:rsidR="00C22FE0" w:rsidRPr="00C22FE0" w:rsidRDefault="00C22FE0" w:rsidP="00C22FE0">
            <w:pPr>
              <w:snapToGrid w:val="0"/>
              <w:rPr>
                <w:rFonts w:ascii="Calibri" w:hAnsi="Calibri" w:cs="Calibri"/>
                <w:color w:val="000000"/>
                <w:sz w:val="18"/>
                <w:szCs w:val="18"/>
                <w:lang w:eastAsia="en-AU"/>
              </w:rPr>
            </w:pPr>
          </w:p>
        </w:tc>
        <w:tc>
          <w:tcPr>
            <w:tcW w:w="1464" w:type="dxa"/>
            <w:tcBorders>
              <w:top w:val="nil"/>
              <w:left w:val="single" w:sz="8" w:space="0" w:color="auto"/>
              <w:bottom w:val="nil"/>
              <w:right w:val="single" w:sz="8" w:space="0" w:color="auto"/>
            </w:tcBorders>
            <w:shd w:val="clear" w:color="auto" w:fill="auto"/>
            <w:vAlign w:val="center"/>
          </w:tcPr>
          <w:p w14:paraId="1074D9D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6DD5088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20B6236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r>
      <w:tr w:rsidR="00C22FE0" w:rsidRPr="00C22FE0" w14:paraId="6CD07F4C"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nil"/>
              <w:right w:val="single" w:sz="8" w:space="0" w:color="auto"/>
            </w:tcBorders>
            <w:shd w:val="clear" w:color="auto" w:fill="auto"/>
            <w:noWrap/>
            <w:vAlign w:val="center"/>
          </w:tcPr>
          <w:p w14:paraId="0C81B443"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Therapist-supported treatment (n=27,530)</w:t>
            </w:r>
          </w:p>
        </w:tc>
        <w:tc>
          <w:tcPr>
            <w:tcW w:w="1464" w:type="dxa"/>
            <w:tcBorders>
              <w:top w:val="nil"/>
              <w:left w:val="single" w:sz="8" w:space="0" w:color="auto"/>
              <w:bottom w:val="nil"/>
              <w:right w:val="single" w:sz="8" w:space="0" w:color="auto"/>
            </w:tcBorders>
            <w:shd w:val="clear" w:color="auto" w:fill="auto"/>
            <w:vAlign w:val="center"/>
          </w:tcPr>
          <w:p w14:paraId="66ED1CD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3179692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19C31A3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r>
      <w:tr w:rsidR="00C22FE0" w:rsidRPr="00C22FE0" w14:paraId="09B7726A"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nil"/>
              <w:right w:val="single" w:sz="8" w:space="0" w:color="auto"/>
            </w:tcBorders>
            <w:shd w:val="clear" w:color="auto" w:fill="auto"/>
            <w:noWrap/>
            <w:vAlign w:val="center"/>
          </w:tcPr>
          <w:p w14:paraId="15B07AFA"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Number of cases</w:t>
            </w:r>
          </w:p>
        </w:tc>
        <w:tc>
          <w:tcPr>
            <w:tcW w:w="1464" w:type="dxa"/>
            <w:tcBorders>
              <w:top w:val="nil"/>
              <w:left w:val="single" w:sz="8" w:space="0" w:color="auto"/>
              <w:bottom w:val="nil"/>
              <w:right w:val="single" w:sz="8" w:space="0" w:color="auto"/>
            </w:tcBorders>
            <w:shd w:val="clear" w:color="auto" w:fill="auto"/>
            <w:vAlign w:val="center"/>
          </w:tcPr>
          <w:p w14:paraId="2E6A7FB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1,743</w:t>
            </w:r>
          </w:p>
        </w:tc>
        <w:tc>
          <w:tcPr>
            <w:tcW w:w="1465" w:type="dxa"/>
            <w:tcBorders>
              <w:top w:val="nil"/>
              <w:left w:val="single" w:sz="8" w:space="0" w:color="auto"/>
              <w:bottom w:val="nil"/>
              <w:right w:val="single" w:sz="8" w:space="0" w:color="auto"/>
            </w:tcBorders>
            <w:shd w:val="clear" w:color="auto" w:fill="auto"/>
            <w:vAlign w:val="center"/>
          </w:tcPr>
          <w:p w14:paraId="46B37B5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10,857</w:t>
            </w:r>
          </w:p>
        </w:tc>
        <w:tc>
          <w:tcPr>
            <w:tcW w:w="1465" w:type="dxa"/>
            <w:tcBorders>
              <w:top w:val="nil"/>
              <w:left w:val="single" w:sz="8" w:space="0" w:color="auto"/>
              <w:bottom w:val="nil"/>
              <w:right w:val="single" w:sz="8" w:space="0" w:color="auto"/>
            </w:tcBorders>
            <w:shd w:val="clear" w:color="auto" w:fill="auto"/>
            <w:vAlign w:val="center"/>
          </w:tcPr>
          <w:p w14:paraId="6E8F478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14,930</w:t>
            </w:r>
          </w:p>
        </w:tc>
      </w:tr>
      <w:tr w:rsidR="00C22FE0" w:rsidRPr="00C22FE0" w14:paraId="504209A9"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single" w:sz="4" w:space="0" w:color="auto"/>
              <w:right w:val="single" w:sz="8" w:space="0" w:color="auto"/>
            </w:tcBorders>
            <w:shd w:val="clear" w:color="auto" w:fill="auto"/>
            <w:noWrap/>
            <w:vAlign w:val="center"/>
          </w:tcPr>
          <w:p w14:paraId="5DAD0FDE"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Proportion</w:t>
            </w:r>
          </w:p>
        </w:tc>
        <w:tc>
          <w:tcPr>
            <w:tcW w:w="1464" w:type="dxa"/>
            <w:tcBorders>
              <w:top w:val="nil"/>
              <w:left w:val="single" w:sz="8" w:space="0" w:color="auto"/>
              <w:bottom w:val="single" w:sz="4" w:space="0" w:color="auto"/>
              <w:right w:val="single" w:sz="8" w:space="0" w:color="auto"/>
            </w:tcBorders>
            <w:shd w:val="clear" w:color="auto" w:fill="auto"/>
            <w:vAlign w:val="center"/>
          </w:tcPr>
          <w:p w14:paraId="53469CC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0.063</w:t>
            </w:r>
          </w:p>
        </w:tc>
        <w:tc>
          <w:tcPr>
            <w:tcW w:w="1465" w:type="dxa"/>
            <w:tcBorders>
              <w:top w:val="nil"/>
              <w:left w:val="single" w:sz="8" w:space="0" w:color="auto"/>
              <w:bottom w:val="single" w:sz="4" w:space="0" w:color="auto"/>
              <w:right w:val="single" w:sz="8" w:space="0" w:color="auto"/>
            </w:tcBorders>
            <w:shd w:val="clear" w:color="auto" w:fill="auto"/>
            <w:vAlign w:val="center"/>
          </w:tcPr>
          <w:p w14:paraId="56FA468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0.394</w:t>
            </w:r>
          </w:p>
        </w:tc>
        <w:tc>
          <w:tcPr>
            <w:tcW w:w="1465" w:type="dxa"/>
            <w:tcBorders>
              <w:top w:val="nil"/>
              <w:left w:val="single" w:sz="8" w:space="0" w:color="auto"/>
              <w:bottom w:val="single" w:sz="4" w:space="0" w:color="auto"/>
              <w:right w:val="single" w:sz="8" w:space="0" w:color="auto"/>
            </w:tcBorders>
            <w:shd w:val="clear" w:color="auto" w:fill="auto"/>
            <w:vAlign w:val="center"/>
          </w:tcPr>
          <w:p w14:paraId="5A71868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0.542</w:t>
            </w:r>
          </w:p>
        </w:tc>
      </w:tr>
    </w:tbl>
    <w:p w14:paraId="10796978" w14:textId="77777777" w:rsidR="00C22FE0" w:rsidRPr="00C22FE0" w:rsidRDefault="00C22FE0" w:rsidP="00C22FE0">
      <w:pPr>
        <w:jc w:val="both"/>
        <w:rPr>
          <w:rFonts w:ascii="Calibri" w:eastAsiaTheme="minorEastAsia" w:hAnsi="Calibri" w:cs="Arial"/>
          <w:iCs/>
          <w:color w:val="000000" w:themeColor="text1"/>
          <w:sz w:val="21"/>
          <w:szCs w:val="21"/>
          <w:lang w:eastAsia="zh-CN"/>
        </w:rPr>
      </w:pPr>
    </w:p>
    <w:p w14:paraId="1CCFE89A" w14:textId="14FCB3D0" w:rsidR="00C22FE0" w:rsidRPr="00C22FE0" w:rsidRDefault="00C22FE0" w:rsidP="00C22FE0">
      <w:pPr>
        <w:keepLines/>
        <w:spacing w:after="120"/>
        <w:outlineLvl w:val="2"/>
        <w:rPr>
          <w:rFonts w:asciiTheme="minorHAnsi" w:eastAsiaTheme="majorEastAsia" w:hAnsiTheme="minorHAnsi" w:cstheme="majorBidi"/>
          <w:b/>
          <w:i/>
          <w:color w:val="000000" w:themeColor="text1"/>
          <w:sz w:val="21"/>
          <w:szCs w:val="21"/>
          <w:lang w:val="en-US" w:eastAsia="en-US"/>
        </w:rPr>
      </w:pPr>
      <w:r w:rsidRPr="00C22FE0">
        <w:rPr>
          <w:rFonts w:asciiTheme="minorHAnsi" w:eastAsiaTheme="majorEastAsia" w:hAnsiTheme="minorHAnsi" w:cstheme="majorBidi"/>
          <w:b/>
          <w:color w:val="000000" w:themeColor="text1"/>
          <w:sz w:val="21"/>
          <w:szCs w:val="21"/>
          <w:lang w:val="en-US" w:eastAsia="en-US"/>
        </w:rPr>
        <w:t xml:space="preserve">Table </w:t>
      </w:r>
      <w:r w:rsidR="00C754B0">
        <w:rPr>
          <w:rFonts w:asciiTheme="minorHAnsi" w:eastAsiaTheme="majorEastAsia" w:hAnsiTheme="minorHAnsi" w:cstheme="majorBidi"/>
          <w:b/>
          <w:color w:val="000000" w:themeColor="text1"/>
          <w:sz w:val="21"/>
          <w:szCs w:val="21"/>
          <w:lang w:val="en-US" w:eastAsia="en-US"/>
        </w:rPr>
        <w:t>L1</w:t>
      </w:r>
      <w:r w:rsidRPr="008E7F21">
        <w:rPr>
          <w:rFonts w:asciiTheme="minorHAnsi" w:eastAsiaTheme="majorEastAsia" w:hAnsiTheme="minorHAnsi" w:cstheme="majorBidi"/>
          <w:b/>
          <w:color w:val="000000" w:themeColor="text1"/>
          <w:sz w:val="21"/>
          <w:szCs w:val="21"/>
          <w:lang w:val="en-US" w:eastAsia="en-US"/>
        </w:rPr>
        <w:t>.2.</w:t>
      </w:r>
      <w:r w:rsidRPr="00C22FE0">
        <w:rPr>
          <w:rFonts w:asciiTheme="minorHAnsi" w:eastAsiaTheme="majorEastAsia" w:hAnsiTheme="minorHAnsi" w:cstheme="majorBidi"/>
          <w:b/>
          <w:color w:val="000000" w:themeColor="text1"/>
          <w:sz w:val="21"/>
          <w:szCs w:val="21"/>
          <w:lang w:val="en-US" w:eastAsia="en-US"/>
        </w:rPr>
        <w:t xml:space="preserve"> </w:t>
      </w:r>
      <w:bookmarkStart w:id="344" w:name="_Hlk108611696"/>
      <w:r w:rsidRPr="00C22FE0">
        <w:rPr>
          <w:rFonts w:asciiTheme="minorHAnsi" w:eastAsiaTheme="majorEastAsia" w:hAnsiTheme="minorHAnsi" w:cstheme="majorBidi"/>
          <w:b/>
          <w:color w:val="000000" w:themeColor="text1"/>
          <w:sz w:val="21"/>
          <w:szCs w:val="21"/>
          <w:lang w:val="en-US" w:eastAsia="en-US"/>
        </w:rPr>
        <w:t xml:space="preserve">The GAD-7 outcomes for consumers who commenced treatment by service and treatment pathway </w:t>
      </w:r>
      <w:bookmarkEnd w:id="344"/>
    </w:p>
    <w:tbl>
      <w:tblPr>
        <w:tblStyle w:val="PlainTable413"/>
        <w:tblW w:w="8495" w:type="dxa"/>
        <w:tblInd w:w="0" w:type="dxa"/>
        <w:tblBorders>
          <w:top w:val="single" w:sz="8" w:space="0" w:color="auto"/>
          <w:left w:val="single" w:sz="8" w:space="0" w:color="auto"/>
          <w:bottom w:val="single" w:sz="8" w:space="0" w:color="auto"/>
          <w:right w:val="single" w:sz="8" w:space="0" w:color="auto"/>
          <w:insideV w:val="single" w:sz="8" w:space="0" w:color="auto"/>
        </w:tblBorders>
        <w:tblLayout w:type="fixed"/>
        <w:tblLook w:val="04A0" w:firstRow="1" w:lastRow="0" w:firstColumn="1" w:lastColumn="0" w:noHBand="0" w:noVBand="1"/>
        <w:tblCaption w:val="Table L1.2. The GAD-7 outcomes for consumers who commenced treatment by service and treatment pathway "/>
        <w:tblDescription w:val="A table providing the Generalized Anxiety Disorder 7 outcomes for consumers who commenced treatment. The number of cases and proportion of consumers associated with three health states are presented by digital mental health service and treatment pathway."/>
      </w:tblPr>
      <w:tblGrid>
        <w:gridCol w:w="4101"/>
        <w:gridCol w:w="1464"/>
        <w:gridCol w:w="1465"/>
        <w:gridCol w:w="1465"/>
      </w:tblGrid>
      <w:tr w:rsidR="00C22FE0" w:rsidRPr="00C22FE0" w14:paraId="4B7967DF" w14:textId="77777777" w:rsidTr="00A56C43">
        <w:trPr>
          <w:cnfStyle w:val="100000000000" w:firstRow="1" w:lastRow="0" w:firstColumn="0" w:lastColumn="0" w:oddVBand="0" w:evenVBand="0" w:oddHBand="0" w:evenHBand="0" w:firstRowFirstColumn="0" w:firstRowLastColumn="0" w:lastRowFirstColumn="0" w:lastRowLastColumn="0"/>
          <w:trHeight w:val="610"/>
          <w:tblHeader/>
        </w:trPr>
        <w:tc>
          <w:tcPr>
            <w:cnfStyle w:val="001000000000" w:firstRow="0" w:lastRow="0" w:firstColumn="1" w:lastColumn="0" w:oddVBand="0" w:evenVBand="0" w:oddHBand="0" w:evenHBand="0" w:firstRowFirstColumn="0" w:firstRowLastColumn="0" w:lastRowFirstColumn="0" w:lastRowLastColumn="0"/>
            <w:tcW w:w="4101" w:type="dxa"/>
            <w:tcBorders>
              <w:top w:val="single" w:sz="8" w:space="0" w:color="auto"/>
              <w:left w:val="single" w:sz="8" w:space="0" w:color="auto"/>
              <w:bottom w:val="nil"/>
              <w:right w:val="single" w:sz="8" w:space="0" w:color="auto"/>
            </w:tcBorders>
            <w:shd w:val="clear" w:color="auto" w:fill="000000" w:themeFill="text1"/>
            <w:noWrap/>
          </w:tcPr>
          <w:p w14:paraId="6F1B24C6" w14:textId="77777777" w:rsidR="00C22FE0" w:rsidRPr="00C22FE0" w:rsidRDefault="00C22FE0" w:rsidP="00C22FE0">
            <w:pPr>
              <w:snapToGrid w:val="0"/>
              <w:rPr>
                <w:rFonts w:ascii="Calibri" w:hAnsi="Calibri" w:cs="Calibri"/>
                <w:color w:val="FFFFFF" w:themeColor="background1"/>
                <w:sz w:val="18"/>
                <w:szCs w:val="18"/>
                <w:lang w:eastAsia="en-AU"/>
              </w:rPr>
            </w:pPr>
          </w:p>
        </w:tc>
        <w:tc>
          <w:tcPr>
            <w:tcW w:w="1464" w:type="dxa"/>
            <w:tcBorders>
              <w:top w:val="single" w:sz="8" w:space="0" w:color="auto"/>
              <w:left w:val="single" w:sz="8" w:space="0" w:color="auto"/>
              <w:bottom w:val="nil"/>
              <w:right w:val="single" w:sz="8" w:space="0" w:color="auto"/>
            </w:tcBorders>
            <w:shd w:val="clear" w:color="auto" w:fill="000000" w:themeFill="text1"/>
          </w:tcPr>
          <w:p w14:paraId="7F5EAF0B"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Deteriorated</w:t>
            </w:r>
          </w:p>
        </w:tc>
        <w:tc>
          <w:tcPr>
            <w:tcW w:w="1465" w:type="dxa"/>
            <w:tcBorders>
              <w:top w:val="single" w:sz="8" w:space="0" w:color="auto"/>
              <w:left w:val="single" w:sz="8" w:space="0" w:color="auto"/>
              <w:bottom w:val="nil"/>
              <w:right w:val="single" w:sz="8" w:space="0" w:color="auto"/>
            </w:tcBorders>
            <w:shd w:val="clear" w:color="auto" w:fill="000000" w:themeFill="text1"/>
          </w:tcPr>
          <w:p w14:paraId="6E6E4795"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No change</w:t>
            </w:r>
          </w:p>
        </w:tc>
        <w:tc>
          <w:tcPr>
            <w:tcW w:w="1465" w:type="dxa"/>
            <w:tcBorders>
              <w:top w:val="single" w:sz="8" w:space="0" w:color="auto"/>
              <w:left w:val="single" w:sz="8" w:space="0" w:color="auto"/>
              <w:bottom w:val="nil"/>
              <w:right w:val="single" w:sz="8" w:space="0" w:color="auto"/>
            </w:tcBorders>
            <w:shd w:val="clear" w:color="auto" w:fill="000000" w:themeFill="text1"/>
          </w:tcPr>
          <w:p w14:paraId="17BD1272"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Improved</w:t>
            </w:r>
          </w:p>
        </w:tc>
      </w:tr>
      <w:tr w:rsidR="00C22FE0" w:rsidRPr="00C22FE0" w14:paraId="405E4FE3"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nil"/>
              <w:right w:val="single" w:sz="8" w:space="0" w:color="auto"/>
            </w:tcBorders>
            <w:shd w:val="clear" w:color="auto" w:fill="auto"/>
            <w:noWrap/>
            <w:vAlign w:val="center"/>
          </w:tcPr>
          <w:p w14:paraId="0B92A24B"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MINDSPOT </w:t>
            </w:r>
          </w:p>
        </w:tc>
        <w:tc>
          <w:tcPr>
            <w:tcW w:w="1464" w:type="dxa"/>
            <w:tcBorders>
              <w:top w:val="nil"/>
              <w:left w:val="single" w:sz="8" w:space="0" w:color="auto"/>
              <w:bottom w:val="nil"/>
              <w:right w:val="single" w:sz="8" w:space="0" w:color="auto"/>
            </w:tcBorders>
            <w:shd w:val="clear" w:color="auto" w:fill="auto"/>
            <w:vAlign w:val="center"/>
          </w:tcPr>
          <w:p w14:paraId="1368C74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35B1B2D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7D26462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r>
      <w:tr w:rsidR="00C22FE0" w:rsidRPr="00C22FE0" w14:paraId="786C9297"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nil"/>
              <w:right w:val="single" w:sz="8" w:space="0" w:color="auto"/>
            </w:tcBorders>
            <w:shd w:val="clear" w:color="auto" w:fill="auto"/>
            <w:noWrap/>
            <w:vAlign w:val="center"/>
          </w:tcPr>
          <w:p w14:paraId="7D2B8BE8"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Therapist-supported treatment (n=3,532)</w:t>
            </w:r>
          </w:p>
        </w:tc>
        <w:tc>
          <w:tcPr>
            <w:tcW w:w="1464" w:type="dxa"/>
            <w:tcBorders>
              <w:top w:val="nil"/>
              <w:left w:val="single" w:sz="8" w:space="0" w:color="auto"/>
              <w:bottom w:val="nil"/>
              <w:right w:val="single" w:sz="8" w:space="0" w:color="auto"/>
            </w:tcBorders>
            <w:shd w:val="clear" w:color="auto" w:fill="auto"/>
            <w:vAlign w:val="center"/>
          </w:tcPr>
          <w:p w14:paraId="0AA33853"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32B4712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4F65334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r>
      <w:tr w:rsidR="00C22FE0" w:rsidRPr="00C22FE0" w14:paraId="3018D945"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nil"/>
              <w:right w:val="single" w:sz="8" w:space="0" w:color="auto"/>
            </w:tcBorders>
            <w:shd w:val="clear" w:color="auto" w:fill="auto"/>
            <w:noWrap/>
            <w:vAlign w:val="center"/>
          </w:tcPr>
          <w:p w14:paraId="7840915B"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Number of cases</w:t>
            </w:r>
          </w:p>
        </w:tc>
        <w:tc>
          <w:tcPr>
            <w:tcW w:w="1464" w:type="dxa"/>
            <w:tcBorders>
              <w:top w:val="nil"/>
              <w:left w:val="single" w:sz="8" w:space="0" w:color="auto"/>
              <w:bottom w:val="nil"/>
              <w:right w:val="single" w:sz="8" w:space="0" w:color="auto"/>
            </w:tcBorders>
            <w:shd w:val="clear" w:color="auto" w:fill="auto"/>
            <w:vAlign w:val="center"/>
          </w:tcPr>
          <w:p w14:paraId="60153C7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242</w:t>
            </w:r>
          </w:p>
        </w:tc>
        <w:tc>
          <w:tcPr>
            <w:tcW w:w="1465" w:type="dxa"/>
            <w:tcBorders>
              <w:top w:val="nil"/>
              <w:left w:val="single" w:sz="8" w:space="0" w:color="auto"/>
              <w:bottom w:val="nil"/>
              <w:right w:val="single" w:sz="8" w:space="0" w:color="auto"/>
            </w:tcBorders>
            <w:shd w:val="clear" w:color="auto" w:fill="auto"/>
            <w:vAlign w:val="center"/>
          </w:tcPr>
          <w:p w14:paraId="29BE0E3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1,163</w:t>
            </w:r>
          </w:p>
        </w:tc>
        <w:tc>
          <w:tcPr>
            <w:tcW w:w="1465" w:type="dxa"/>
            <w:tcBorders>
              <w:top w:val="nil"/>
              <w:left w:val="single" w:sz="8" w:space="0" w:color="auto"/>
              <w:bottom w:val="nil"/>
              <w:right w:val="single" w:sz="8" w:space="0" w:color="auto"/>
            </w:tcBorders>
            <w:shd w:val="clear" w:color="auto" w:fill="auto"/>
            <w:vAlign w:val="center"/>
          </w:tcPr>
          <w:p w14:paraId="7B34B53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2,127</w:t>
            </w:r>
          </w:p>
        </w:tc>
      </w:tr>
      <w:tr w:rsidR="00C22FE0" w:rsidRPr="00C22FE0" w14:paraId="0D59503B"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nil"/>
              <w:right w:val="single" w:sz="8" w:space="0" w:color="auto"/>
            </w:tcBorders>
            <w:shd w:val="clear" w:color="auto" w:fill="auto"/>
            <w:noWrap/>
            <w:vAlign w:val="center"/>
          </w:tcPr>
          <w:p w14:paraId="44540143"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Proportion</w:t>
            </w:r>
          </w:p>
        </w:tc>
        <w:tc>
          <w:tcPr>
            <w:tcW w:w="1464" w:type="dxa"/>
            <w:tcBorders>
              <w:top w:val="nil"/>
              <w:left w:val="single" w:sz="8" w:space="0" w:color="auto"/>
              <w:bottom w:val="nil"/>
              <w:right w:val="single" w:sz="8" w:space="0" w:color="auto"/>
            </w:tcBorders>
            <w:shd w:val="clear" w:color="auto" w:fill="auto"/>
            <w:vAlign w:val="center"/>
          </w:tcPr>
          <w:p w14:paraId="65C12EF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0.068</w:t>
            </w:r>
          </w:p>
        </w:tc>
        <w:tc>
          <w:tcPr>
            <w:tcW w:w="1465" w:type="dxa"/>
            <w:tcBorders>
              <w:top w:val="nil"/>
              <w:left w:val="single" w:sz="8" w:space="0" w:color="auto"/>
              <w:bottom w:val="nil"/>
              <w:right w:val="single" w:sz="8" w:space="0" w:color="auto"/>
            </w:tcBorders>
            <w:shd w:val="clear" w:color="auto" w:fill="auto"/>
            <w:vAlign w:val="center"/>
          </w:tcPr>
          <w:p w14:paraId="3F33D2C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0.329</w:t>
            </w:r>
          </w:p>
        </w:tc>
        <w:tc>
          <w:tcPr>
            <w:tcW w:w="1465" w:type="dxa"/>
            <w:tcBorders>
              <w:top w:val="nil"/>
              <w:left w:val="single" w:sz="8" w:space="0" w:color="auto"/>
              <w:bottom w:val="nil"/>
              <w:right w:val="single" w:sz="8" w:space="0" w:color="auto"/>
            </w:tcBorders>
            <w:shd w:val="clear" w:color="auto" w:fill="auto"/>
            <w:vAlign w:val="center"/>
          </w:tcPr>
          <w:p w14:paraId="422B2C8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0.602</w:t>
            </w:r>
          </w:p>
        </w:tc>
      </w:tr>
      <w:tr w:rsidR="00C22FE0" w:rsidRPr="00C22FE0" w14:paraId="1663717C"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nil"/>
              <w:right w:val="single" w:sz="8" w:space="0" w:color="auto"/>
            </w:tcBorders>
            <w:shd w:val="clear" w:color="auto" w:fill="auto"/>
            <w:noWrap/>
            <w:vAlign w:val="center"/>
          </w:tcPr>
          <w:p w14:paraId="36679896" w14:textId="77777777" w:rsidR="00C22FE0" w:rsidRPr="00C22FE0" w:rsidRDefault="00C22FE0" w:rsidP="00C22FE0">
            <w:pPr>
              <w:snapToGrid w:val="0"/>
              <w:rPr>
                <w:rFonts w:ascii="Calibri" w:hAnsi="Calibri" w:cs="Calibri"/>
                <w:color w:val="000000"/>
                <w:sz w:val="18"/>
                <w:szCs w:val="18"/>
                <w:lang w:eastAsia="en-AU"/>
              </w:rPr>
            </w:pPr>
          </w:p>
        </w:tc>
        <w:tc>
          <w:tcPr>
            <w:tcW w:w="1464" w:type="dxa"/>
            <w:tcBorders>
              <w:top w:val="nil"/>
              <w:left w:val="single" w:sz="8" w:space="0" w:color="auto"/>
              <w:bottom w:val="nil"/>
              <w:right w:val="single" w:sz="8" w:space="0" w:color="auto"/>
            </w:tcBorders>
            <w:shd w:val="clear" w:color="auto" w:fill="auto"/>
            <w:vAlign w:val="center"/>
          </w:tcPr>
          <w:p w14:paraId="3F55925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50DB603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0B0693D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r>
      <w:tr w:rsidR="00C22FE0" w:rsidRPr="00C22FE0" w14:paraId="24E855DC"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nil"/>
              <w:right w:val="single" w:sz="8" w:space="0" w:color="auto"/>
            </w:tcBorders>
            <w:shd w:val="clear" w:color="auto" w:fill="auto"/>
            <w:noWrap/>
            <w:vAlign w:val="center"/>
          </w:tcPr>
          <w:p w14:paraId="0005609E"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THIS WAY UP</w:t>
            </w:r>
          </w:p>
        </w:tc>
        <w:tc>
          <w:tcPr>
            <w:tcW w:w="1464" w:type="dxa"/>
            <w:tcBorders>
              <w:top w:val="nil"/>
              <w:left w:val="single" w:sz="8" w:space="0" w:color="auto"/>
              <w:bottom w:val="nil"/>
              <w:right w:val="single" w:sz="8" w:space="0" w:color="auto"/>
            </w:tcBorders>
            <w:shd w:val="clear" w:color="auto" w:fill="auto"/>
            <w:vAlign w:val="center"/>
          </w:tcPr>
          <w:p w14:paraId="6958343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77D7D8E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2EA9031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r>
      <w:tr w:rsidR="00C22FE0" w:rsidRPr="00C22FE0" w14:paraId="7A61E430"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nil"/>
              <w:right w:val="single" w:sz="8" w:space="0" w:color="auto"/>
            </w:tcBorders>
            <w:shd w:val="clear" w:color="auto" w:fill="auto"/>
            <w:noWrap/>
            <w:vAlign w:val="center"/>
          </w:tcPr>
          <w:p w14:paraId="00329DDC"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Self-directed </w:t>
            </w:r>
            <w:proofErr w:type="gramStart"/>
            <w:r w:rsidRPr="00C22FE0">
              <w:rPr>
                <w:rFonts w:ascii="Calibri" w:hAnsi="Calibri" w:cs="Calibri"/>
                <w:color w:val="000000"/>
                <w:sz w:val="18"/>
                <w:szCs w:val="18"/>
                <w:lang w:eastAsia="en-AU"/>
              </w:rPr>
              <w:t>treatment  (</w:t>
            </w:r>
            <w:proofErr w:type="gramEnd"/>
            <w:r w:rsidRPr="00C22FE0">
              <w:rPr>
                <w:rFonts w:ascii="Calibri" w:hAnsi="Calibri" w:cs="Calibri"/>
                <w:color w:val="000000"/>
                <w:sz w:val="18"/>
                <w:szCs w:val="18"/>
                <w:lang w:eastAsia="en-AU"/>
              </w:rPr>
              <w:t>n=19,292)</w:t>
            </w:r>
          </w:p>
        </w:tc>
        <w:tc>
          <w:tcPr>
            <w:tcW w:w="1464" w:type="dxa"/>
            <w:tcBorders>
              <w:top w:val="nil"/>
              <w:left w:val="single" w:sz="8" w:space="0" w:color="auto"/>
              <w:bottom w:val="nil"/>
              <w:right w:val="single" w:sz="8" w:space="0" w:color="auto"/>
            </w:tcBorders>
            <w:shd w:val="clear" w:color="auto" w:fill="auto"/>
            <w:vAlign w:val="center"/>
          </w:tcPr>
          <w:p w14:paraId="30DEB89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6B5C777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5560B73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r>
      <w:tr w:rsidR="00C22FE0" w:rsidRPr="00C22FE0" w14:paraId="100EEDD1"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nil"/>
              <w:right w:val="single" w:sz="8" w:space="0" w:color="auto"/>
            </w:tcBorders>
            <w:shd w:val="clear" w:color="auto" w:fill="auto"/>
            <w:noWrap/>
            <w:vAlign w:val="center"/>
          </w:tcPr>
          <w:p w14:paraId="187C0784"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Number of cases</w:t>
            </w:r>
          </w:p>
        </w:tc>
        <w:tc>
          <w:tcPr>
            <w:tcW w:w="1464" w:type="dxa"/>
            <w:tcBorders>
              <w:top w:val="nil"/>
              <w:left w:val="single" w:sz="8" w:space="0" w:color="auto"/>
              <w:bottom w:val="nil"/>
              <w:right w:val="single" w:sz="8" w:space="0" w:color="auto"/>
            </w:tcBorders>
            <w:shd w:val="clear" w:color="auto" w:fill="auto"/>
            <w:vAlign w:val="center"/>
          </w:tcPr>
          <w:p w14:paraId="6939130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948</w:t>
            </w:r>
          </w:p>
        </w:tc>
        <w:tc>
          <w:tcPr>
            <w:tcW w:w="1465" w:type="dxa"/>
            <w:tcBorders>
              <w:top w:val="nil"/>
              <w:left w:val="single" w:sz="8" w:space="0" w:color="auto"/>
              <w:bottom w:val="nil"/>
              <w:right w:val="single" w:sz="8" w:space="0" w:color="auto"/>
            </w:tcBorders>
            <w:shd w:val="clear" w:color="auto" w:fill="auto"/>
            <w:vAlign w:val="center"/>
          </w:tcPr>
          <w:p w14:paraId="4D9B65E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6,646</w:t>
            </w:r>
          </w:p>
        </w:tc>
        <w:tc>
          <w:tcPr>
            <w:tcW w:w="1465" w:type="dxa"/>
            <w:tcBorders>
              <w:top w:val="nil"/>
              <w:left w:val="single" w:sz="8" w:space="0" w:color="auto"/>
              <w:bottom w:val="nil"/>
              <w:right w:val="single" w:sz="8" w:space="0" w:color="auto"/>
            </w:tcBorders>
            <w:shd w:val="clear" w:color="auto" w:fill="auto"/>
            <w:vAlign w:val="center"/>
          </w:tcPr>
          <w:p w14:paraId="5DA14CD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11,698</w:t>
            </w:r>
          </w:p>
        </w:tc>
      </w:tr>
      <w:tr w:rsidR="00C22FE0" w:rsidRPr="00C22FE0" w14:paraId="438C4D83"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nil"/>
              <w:right w:val="single" w:sz="8" w:space="0" w:color="auto"/>
            </w:tcBorders>
            <w:shd w:val="clear" w:color="auto" w:fill="auto"/>
            <w:noWrap/>
            <w:vAlign w:val="center"/>
          </w:tcPr>
          <w:p w14:paraId="27C6267F"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Proportion</w:t>
            </w:r>
          </w:p>
        </w:tc>
        <w:tc>
          <w:tcPr>
            <w:tcW w:w="1464" w:type="dxa"/>
            <w:tcBorders>
              <w:top w:val="nil"/>
              <w:left w:val="single" w:sz="8" w:space="0" w:color="auto"/>
              <w:bottom w:val="nil"/>
              <w:right w:val="single" w:sz="8" w:space="0" w:color="auto"/>
            </w:tcBorders>
            <w:shd w:val="clear" w:color="auto" w:fill="auto"/>
            <w:vAlign w:val="center"/>
          </w:tcPr>
          <w:p w14:paraId="77BF991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0.049</w:t>
            </w:r>
          </w:p>
        </w:tc>
        <w:tc>
          <w:tcPr>
            <w:tcW w:w="1465" w:type="dxa"/>
            <w:tcBorders>
              <w:top w:val="nil"/>
              <w:left w:val="single" w:sz="8" w:space="0" w:color="auto"/>
              <w:bottom w:val="nil"/>
              <w:right w:val="single" w:sz="8" w:space="0" w:color="auto"/>
            </w:tcBorders>
            <w:shd w:val="clear" w:color="auto" w:fill="auto"/>
            <w:vAlign w:val="center"/>
          </w:tcPr>
          <w:p w14:paraId="0C6222F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0.344</w:t>
            </w:r>
          </w:p>
        </w:tc>
        <w:tc>
          <w:tcPr>
            <w:tcW w:w="1465" w:type="dxa"/>
            <w:tcBorders>
              <w:top w:val="nil"/>
              <w:left w:val="single" w:sz="8" w:space="0" w:color="auto"/>
              <w:bottom w:val="nil"/>
              <w:right w:val="single" w:sz="8" w:space="0" w:color="auto"/>
            </w:tcBorders>
            <w:shd w:val="clear" w:color="auto" w:fill="auto"/>
            <w:vAlign w:val="center"/>
          </w:tcPr>
          <w:p w14:paraId="2BE3219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0.606</w:t>
            </w:r>
          </w:p>
        </w:tc>
      </w:tr>
      <w:tr w:rsidR="00C22FE0" w:rsidRPr="00C22FE0" w14:paraId="3EF12C40"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nil"/>
              <w:right w:val="single" w:sz="8" w:space="0" w:color="auto"/>
            </w:tcBorders>
            <w:shd w:val="clear" w:color="auto" w:fill="auto"/>
            <w:noWrap/>
            <w:vAlign w:val="center"/>
          </w:tcPr>
          <w:p w14:paraId="78866225" w14:textId="77777777" w:rsidR="00C22FE0" w:rsidRPr="00C22FE0" w:rsidRDefault="00C22FE0" w:rsidP="00C22FE0">
            <w:pPr>
              <w:snapToGrid w:val="0"/>
              <w:rPr>
                <w:rFonts w:ascii="Calibri" w:hAnsi="Calibri" w:cs="Calibri"/>
                <w:color w:val="000000"/>
                <w:sz w:val="18"/>
                <w:szCs w:val="18"/>
                <w:lang w:eastAsia="en-AU"/>
              </w:rPr>
            </w:pPr>
          </w:p>
        </w:tc>
        <w:tc>
          <w:tcPr>
            <w:tcW w:w="1464" w:type="dxa"/>
            <w:tcBorders>
              <w:top w:val="nil"/>
              <w:left w:val="single" w:sz="8" w:space="0" w:color="auto"/>
              <w:bottom w:val="nil"/>
              <w:right w:val="single" w:sz="8" w:space="0" w:color="auto"/>
            </w:tcBorders>
            <w:shd w:val="clear" w:color="auto" w:fill="auto"/>
            <w:vAlign w:val="center"/>
          </w:tcPr>
          <w:p w14:paraId="56701130"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2450401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35B6C00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r>
      <w:tr w:rsidR="00C22FE0" w:rsidRPr="00C22FE0" w14:paraId="16C0F43C"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nil"/>
              <w:right w:val="single" w:sz="8" w:space="0" w:color="auto"/>
            </w:tcBorders>
            <w:shd w:val="clear" w:color="auto" w:fill="auto"/>
            <w:noWrap/>
            <w:vAlign w:val="center"/>
          </w:tcPr>
          <w:p w14:paraId="453B6213"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Therapist-supported treatment (n=18,236)</w:t>
            </w:r>
          </w:p>
        </w:tc>
        <w:tc>
          <w:tcPr>
            <w:tcW w:w="1464" w:type="dxa"/>
            <w:tcBorders>
              <w:top w:val="nil"/>
              <w:left w:val="single" w:sz="8" w:space="0" w:color="auto"/>
              <w:bottom w:val="nil"/>
              <w:right w:val="single" w:sz="8" w:space="0" w:color="auto"/>
            </w:tcBorders>
            <w:shd w:val="clear" w:color="auto" w:fill="auto"/>
            <w:vAlign w:val="center"/>
          </w:tcPr>
          <w:p w14:paraId="122E500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15C1610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465" w:type="dxa"/>
            <w:tcBorders>
              <w:top w:val="nil"/>
              <w:left w:val="single" w:sz="8" w:space="0" w:color="auto"/>
              <w:bottom w:val="nil"/>
              <w:right w:val="single" w:sz="8" w:space="0" w:color="auto"/>
            </w:tcBorders>
            <w:shd w:val="clear" w:color="auto" w:fill="auto"/>
            <w:vAlign w:val="center"/>
          </w:tcPr>
          <w:p w14:paraId="36B3473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r>
      <w:tr w:rsidR="00C22FE0" w:rsidRPr="00C22FE0" w14:paraId="4DEED705"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nil"/>
              <w:right w:val="single" w:sz="8" w:space="0" w:color="auto"/>
            </w:tcBorders>
            <w:shd w:val="clear" w:color="auto" w:fill="auto"/>
            <w:noWrap/>
            <w:vAlign w:val="center"/>
          </w:tcPr>
          <w:p w14:paraId="03666C0E"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Number of cases</w:t>
            </w:r>
          </w:p>
        </w:tc>
        <w:tc>
          <w:tcPr>
            <w:tcW w:w="1464" w:type="dxa"/>
            <w:tcBorders>
              <w:top w:val="nil"/>
              <w:left w:val="single" w:sz="8" w:space="0" w:color="auto"/>
              <w:bottom w:val="nil"/>
              <w:right w:val="single" w:sz="8" w:space="0" w:color="auto"/>
            </w:tcBorders>
            <w:shd w:val="clear" w:color="auto" w:fill="auto"/>
            <w:vAlign w:val="center"/>
          </w:tcPr>
          <w:p w14:paraId="0B4C08C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1,007</w:t>
            </w:r>
          </w:p>
        </w:tc>
        <w:tc>
          <w:tcPr>
            <w:tcW w:w="1465" w:type="dxa"/>
            <w:tcBorders>
              <w:top w:val="nil"/>
              <w:left w:val="single" w:sz="8" w:space="0" w:color="auto"/>
              <w:bottom w:val="nil"/>
              <w:right w:val="single" w:sz="8" w:space="0" w:color="auto"/>
            </w:tcBorders>
            <w:shd w:val="clear" w:color="auto" w:fill="auto"/>
            <w:vAlign w:val="center"/>
          </w:tcPr>
          <w:p w14:paraId="7EF9ED9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5,788</w:t>
            </w:r>
          </w:p>
        </w:tc>
        <w:tc>
          <w:tcPr>
            <w:tcW w:w="1465" w:type="dxa"/>
            <w:tcBorders>
              <w:top w:val="nil"/>
              <w:left w:val="single" w:sz="8" w:space="0" w:color="auto"/>
              <w:bottom w:val="nil"/>
              <w:right w:val="single" w:sz="8" w:space="0" w:color="auto"/>
            </w:tcBorders>
            <w:shd w:val="clear" w:color="auto" w:fill="auto"/>
            <w:vAlign w:val="center"/>
          </w:tcPr>
          <w:p w14:paraId="551CD39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11,440</w:t>
            </w:r>
          </w:p>
        </w:tc>
      </w:tr>
      <w:tr w:rsidR="00C22FE0" w:rsidRPr="00C22FE0" w14:paraId="633C5861"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101" w:type="dxa"/>
            <w:tcBorders>
              <w:top w:val="nil"/>
              <w:left w:val="single" w:sz="8" w:space="0" w:color="auto"/>
              <w:bottom w:val="single" w:sz="4" w:space="0" w:color="auto"/>
              <w:right w:val="single" w:sz="8" w:space="0" w:color="auto"/>
            </w:tcBorders>
            <w:shd w:val="clear" w:color="auto" w:fill="auto"/>
            <w:noWrap/>
            <w:vAlign w:val="center"/>
          </w:tcPr>
          <w:p w14:paraId="5EBBC25E"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Proportion</w:t>
            </w:r>
          </w:p>
        </w:tc>
        <w:tc>
          <w:tcPr>
            <w:tcW w:w="1464" w:type="dxa"/>
            <w:tcBorders>
              <w:top w:val="nil"/>
              <w:left w:val="single" w:sz="8" w:space="0" w:color="auto"/>
              <w:bottom w:val="single" w:sz="4" w:space="0" w:color="auto"/>
              <w:right w:val="single" w:sz="8" w:space="0" w:color="auto"/>
            </w:tcBorders>
            <w:shd w:val="clear" w:color="auto" w:fill="auto"/>
            <w:vAlign w:val="center"/>
          </w:tcPr>
          <w:p w14:paraId="641C6B0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0.055</w:t>
            </w:r>
          </w:p>
        </w:tc>
        <w:tc>
          <w:tcPr>
            <w:tcW w:w="1465" w:type="dxa"/>
            <w:tcBorders>
              <w:top w:val="nil"/>
              <w:left w:val="single" w:sz="8" w:space="0" w:color="auto"/>
              <w:bottom w:val="single" w:sz="4" w:space="0" w:color="auto"/>
              <w:right w:val="single" w:sz="8" w:space="0" w:color="auto"/>
            </w:tcBorders>
            <w:shd w:val="clear" w:color="auto" w:fill="auto"/>
            <w:vAlign w:val="center"/>
          </w:tcPr>
          <w:p w14:paraId="31431EC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0.317</w:t>
            </w:r>
          </w:p>
        </w:tc>
        <w:tc>
          <w:tcPr>
            <w:tcW w:w="1465" w:type="dxa"/>
            <w:tcBorders>
              <w:top w:val="nil"/>
              <w:left w:val="single" w:sz="8" w:space="0" w:color="auto"/>
              <w:bottom w:val="single" w:sz="4" w:space="0" w:color="auto"/>
              <w:right w:val="single" w:sz="8" w:space="0" w:color="auto"/>
            </w:tcBorders>
            <w:shd w:val="clear" w:color="auto" w:fill="auto"/>
            <w:vAlign w:val="center"/>
          </w:tcPr>
          <w:p w14:paraId="770057F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0.627</w:t>
            </w:r>
          </w:p>
        </w:tc>
      </w:tr>
    </w:tbl>
    <w:p w14:paraId="261348A9" w14:textId="0BE46FEB" w:rsidR="008E7F21" w:rsidRPr="00C22FE0" w:rsidRDefault="00C22FE0" w:rsidP="431F4AC4">
      <w:pPr>
        <w:spacing w:before="240" w:after="240"/>
        <w:jc w:val="both"/>
        <w:rPr>
          <w:rFonts w:ascii="Calibri" w:eastAsiaTheme="minorEastAsia" w:hAnsi="Calibri" w:cs="Arial"/>
          <w:color w:val="000000" w:themeColor="text1"/>
          <w:sz w:val="21"/>
          <w:szCs w:val="21"/>
          <w:lang w:eastAsia="zh-CN"/>
        </w:rPr>
      </w:pPr>
      <w:r w:rsidRPr="00C22FE0">
        <w:rPr>
          <w:rFonts w:ascii="Calibri" w:eastAsiaTheme="minorEastAsia" w:hAnsi="Calibri" w:cs="Arial"/>
          <w:iCs/>
          <w:color w:val="000000" w:themeColor="text1"/>
          <w:sz w:val="21"/>
          <w:szCs w:val="21"/>
          <w:lang w:eastAsia="zh-CN"/>
        </w:rPr>
        <w:t xml:space="preserve">Tables </w:t>
      </w:r>
      <w:r w:rsidR="00C754B0">
        <w:rPr>
          <w:rFonts w:ascii="Calibri" w:eastAsiaTheme="minorEastAsia" w:hAnsi="Calibri" w:cs="Arial"/>
          <w:iCs/>
          <w:color w:val="000000" w:themeColor="text1"/>
          <w:sz w:val="21"/>
          <w:szCs w:val="21"/>
          <w:lang w:eastAsia="zh-CN"/>
        </w:rPr>
        <w:t>L1</w:t>
      </w:r>
      <w:r w:rsidRPr="00C22FE0">
        <w:rPr>
          <w:rFonts w:ascii="Calibri" w:eastAsiaTheme="minorEastAsia" w:hAnsi="Calibri" w:cs="Arial"/>
          <w:iCs/>
          <w:color w:val="000000" w:themeColor="text1"/>
          <w:sz w:val="21"/>
          <w:szCs w:val="21"/>
          <w:lang w:eastAsia="zh-CN"/>
        </w:rPr>
        <w:t xml:space="preserve">.3 and </w:t>
      </w:r>
      <w:r w:rsidR="00C754B0">
        <w:rPr>
          <w:rFonts w:ascii="Calibri" w:eastAsiaTheme="minorEastAsia" w:hAnsi="Calibri" w:cs="Arial"/>
          <w:color w:val="000000" w:themeColor="text1"/>
          <w:sz w:val="21"/>
          <w:szCs w:val="21"/>
          <w:lang w:eastAsia="zh-CN"/>
        </w:rPr>
        <w:t>L1</w:t>
      </w:r>
      <w:r w:rsidRPr="00C22FE0">
        <w:rPr>
          <w:rFonts w:ascii="Calibri" w:eastAsiaTheme="minorEastAsia" w:hAnsi="Calibri" w:cs="Arial"/>
          <w:iCs/>
          <w:color w:val="000000" w:themeColor="text1"/>
          <w:sz w:val="21"/>
          <w:szCs w:val="21"/>
          <w:lang w:eastAsia="zh-CN"/>
        </w:rPr>
        <w:t xml:space="preserve">.4 presents the transition probabilities used in our cost-effectiveness modelling, based on PHQ-9 and GAD-7 outcomes, respectively. Due to data unavailability, the transition probabilities for Mental Health Online were assumed to be the average of those for </w:t>
      </w:r>
      <w:proofErr w:type="spellStart"/>
      <w:r w:rsidRPr="00C22FE0">
        <w:rPr>
          <w:rFonts w:ascii="Calibri" w:eastAsiaTheme="minorEastAsia" w:hAnsi="Calibri" w:cs="Arial"/>
          <w:iCs/>
          <w:color w:val="000000" w:themeColor="text1"/>
          <w:sz w:val="21"/>
          <w:szCs w:val="21"/>
          <w:lang w:eastAsia="zh-CN"/>
        </w:rPr>
        <w:t>MindSpot</w:t>
      </w:r>
      <w:proofErr w:type="spellEnd"/>
      <w:r w:rsidRPr="00C22FE0">
        <w:rPr>
          <w:rFonts w:ascii="Calibri" w:eastAsiaTheme="minorEastAsia" w:hAnsi="Calibri" w:cs="Arial"/>
          <w:iCs/>
          <w:color w:val="000000" w:themeColor="text1"/>
          <w:sz w:val="21"/>
          <w:szCs w:val="21"/>
          <w:lang w:eastAsia="zh-CN"/>
        </w:rPr>
        <w:t xml:space="preserve"> and THIS WAY UP.</w:t>
      </w:r>
    </w:p>
    <w:p w14:paraId="7A355CCD" w14:textId="77777777" w:rsidR="008E7F21" w:rsidRDefault="008E7F21">
      <w:pPr>
        <w:spacing w:after="200"/>
        <w:rPr>
          <w:rFonts w:ascii="Calibri" w:eastAsiaTheme="minorEastAsia" w:hAnsi="Calibri" w:cs="Arial"/>
          <w:iCs/>
          <w:color w:val="000000" w:themeColor="text1"/>
          <w:sz w:val="21"/>
          <w:szCs w:val="21"/>
          <w:lang w:eastAsia="zh-CN"/>
        </w:rPr>
      </w:pPr>
      <w:r>
        <w:rPr>
          <w:rFonts w:ascii="Calibri" w:eastAsiaTheme="minorEastAsia" w:hAnsi="Calibri" w:cs="Arial"/>
          <w:iCs/>
          <w:color w:val="000000" w:themeColor="text1"/>
          <w:sz w:val="21"/>
          <w:szCs w:val="21"/>
          <w:lang w:eastAsia="zh-CN"/>
        </w:rPr>
        <w:br w:type="page"/>
      </w:r>
    </w:p>
    <w:p w14:paraId="79EE077C" w14:textId="67C77DAA" w:rsidR="00C22FE0" w:rsidRPr="00C22FE0" w:rsidRDefault="00C22FE0" w:rsidP="00C22FE0">
      <w:pPr>
        <w:keepLines/>
        <w:spacing w:after="120"/>
        <w:outlineLvl w:val="2"/>
        <w:rPr>
          <w:rFonts w:asciiTheme="minorHAnsi" w:eastAsiaTheme="majorEastAsia" w:hAnsiTheme="minorHAnsi" w:cstheme="majorBidi"/>
          <w:b/>
          <w:i/>
          <w:color w:val="000000" w:themeColor="text1"/>
          <w:sz w:val="21"/>
          <w:szCs w:val="21"/>
          <w:lang w:val="en-US" w:eastAsia="en-US"/>
        </w:rPr>
      </w:pPr>
      <w:r w:rsidRPr="00C22FE0">
        <w:rPr>
          <w:rFonts w:asciiTheme="minorHAnsi" w:eastAsiaTheme="majorEastAsia" w:hAnsiTheme="minorHAnsi" w:cstheme="majorBidi"/>
          <w:b/>
          <w:color w:val="000000" w:themeColor="text1"/>
          <w:sz w:val="21"/>
          <w:szCs w:val="21"/>
          <w:lang w:val="en-US" w:eastAsia="en-US"/>
        </w:rPr>
        <w:lastRenderedPageBreak/>
        <w:t xml:space="preserve">Table </w:t>
      </w:r>
      <w:r w:rsidR="00C754B0">
        <w:rPr>
          <w:rFonts w:asciiTheme="minorHAnsi" w:eastAsiaTheme="majorEastAsia" w:hAnsiTheme="minorHAnsi" w:cstheme="majorBidi"/>
          <w:b/>
          <w:color w:val="000000" w:themeColor="text1"/>
          <w:sz w:val="21"/>
          <w:szCs w:val="21"/>
          <w:lang w:val="en-US" w:eastAsia="en-US"/>
        </w:rPr>
        <w:t>L1</w:t>
      </w:r>
      <w:r w:rsidRPr="008E7F21">
        <w:rPr>
          <w:rFonts w:asciiTheme="minorHAnsi" w:eastAsiaTheme="majorEastAsia" w:hAnsiTheme="minorHAnsi" w:cstheme="majorBidi"/>
          <w:b/>
          <w:color w:val="000000" w:themeColor="text1"/>
          <w:sz w:val="21"/>
          <w:szCs w:val="21"/>
          <w:lang w:val="en-US" w:eastAsia="en-US"/>
        </w:rPr>
        <w:t>.3</w:t>
      </w:r>
      <w:r w:rsidRPr="00C22FE0">
        <w:rPr>
          <w:rFonts w:asciiTheme="minorHAnsi" w:eastAsiaTheme="majorEastAsia" w:hAnsiTheme="minorHAnsi" w:cstheme="majorBidi"/>
          <w:b/>
          <w:color w:val="000000" w:themeColor="text1"/>
          <w:sz w:val="21"/>
          <w:szCs w:val="21"/>
          <w:lang w:val="en-US" w:eastAsia="en-US"/>
        </w:rPr>
        <w:t xml:space="preserve"> Transition probabilities used in the cost-effectiveness modelling (based on PHQ-9 outcomes)</w:t>
      </w:r>
    </w:p>
    <w:tbl>
      <w:tblPr>
        <w:tblStyle w:val="PlainTable413"/>
        <w:tblW w:w="9000" w:type="dxa"/>
        <w:tblInd w:w="0" w:type="dxa"/>
        <w:tblBorders>
          <w:top w:val="single" w:sz="8" w:space="0" w:color="auto"/>
          <w:left w:val="single" w:sz="8" w:space="0" w:color="auto"/>
          <w:bottom w:val="single" w:sz="8" w:space="0" w:color="auto"/>
          <w:right w:val="single" w:sz="8" w:space="0" w:color="auto"/>
          <w:insideV w:val="single" w:sz="8" w:space="0" w:color="auto"/>
        </w:tblBorders>
        <w:tblLayout w:type="fixed"/>
        <w:tblLook w:val="04A0" w:firstRow="1" w:lastRow="0" w:firstColumn="1" w:lastColumn="0" w:noHBand="0" w:noVBand="1"/>
        <w:tblCaption w:val="Table L1.3 Transition probabilities used in the cost-effectiveness modelling (based on PHQ-9 outcomes)"/>
        <w:tblDescription w:val="A table providing the transition probabilities for the four health states based on Patient Health Questionnaire 9 that are used in the cost-effectiveness modelling. The transition probabilities are presented for the indirect comparator group and the three digital mental health service, grouped according to self-directed treatment and therapist-supported treatment.  "/>
      </w:tblPr>
      <w:tblGrid>
        <w:gridCol w:w="2897"/>
        <w:gridCol w:w="1525"/>
        <w:gridCol w:w="1526"/>
        <w:gridCol w:w="1526"/>
        <w:gridCol w:w="1526"/>
      </w:tblGrid>
      <w:tr w:rsidR="00C22FE0" w:rsidRPr="00C22FE0" w14:paraId="2AA24A63" w14:textId="77777777" w:rsidTr="00A56C43">
        <w:trPr>
          <w:cnfStyle w:val="100000000000" w:firstRow="1" w:lastRow="0" w:firstColumn="0" w:lastColumn="0" w:oddVBand="0" w:evenVBand="0" w:oddHBand="0" w:evenHBand="0" w:firstRowFirstColumn="0" w:firstRowLastColumn="0" w:lastRowFirstColumn="0" w:lastRowLastColumn="0"/>
          <w:trHeight w:val="610"/>
          <w:tblHeader/>
        </w:trPr>
        <w:tc>
          <w:tcPr>
            <w:cnfStyle w:val="001000000000" w:firstRow="0" w:lastRow="0" w:firstColumn="1" w:lastColumn="0" w:oddVBand="0" w:evenVBand="0" w:oddHBand="0" w:evenHBand="0" w:firstRowFirstColumn="0" w:firstRowLastColumn="0" w:lastRowFirstColumn="0" w:lastRowLastColumn="0"/>
            <w:tcW w:w="2897" w:type="dxa"/>
            <w:tcBorders>
              <w:top w:val="single" w:sz="8" w:space="0" w:color="auto"/>
              <w:left w:val="single" w:sz="8" w:space="0" w:color="auto"/>
              <w:bottom w:val="nil"/>
              <w:right w:val="single" w:sz="8" w:space="0" w:color="auto"/>
            </w:tcBorders>
            <w:shd w:val="clear" w:color="auto" w:fill="000000" w:themeFill="text1"/>
            <w:noWrap/>
            <w:hideMark/>
          </w:tcPr>
          <w:p w14:paraId="3BA22472" w14:textId="77777777" w:rsidR="00C22FE0" w:rsidRPr="00C22FE0" w:rsidRDefault="00C22FE0" w:rsidP="00C22FE0">
            <w:pPr>
              <w:snapToGrid w:val="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Parameter</w:t>
            </w:r>
          </w:p>
        </w:tc>
        <w:tc>
          <w:tcPr>
            <w:tcW w:w="1525" w:type="dxa"/>
            <w:tcBorders>
              <w:top w:val="single" w:sz="8" w:space="0" w:color="auto"/>
              <w:left w:val="single" w:sz="8" w:space="0" w:color="auto"/>
              <w:bottom w:val="nil"/>
              <w:right w:val="single" w:sz="8" w:space="0" w:color="auto"/>
            </w:tcBorders>
            <w:shd w:val="clear" w:color="auto" w:fill="000000" w:themeFill="text1"/>
          </w:tcPr>
          <w:p w14:paraId="565D01C1"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 xml:space="preserve">Indirect </w:t>
            </w:r>
            <w:proofErr w:type="spellStart"/>
            <w:r w:rsidRPr="00C22FE0">
              <w:rPr>
                <w:rFonts w:ascii="Calibri" w:hAnsi="Calibri" w:cs="Calibri"/>
                <w:color w:val="FFFFFF" w:themeColor="background1"/>
                <w:sz w:val="18"/>
                <w:szCs w:val="18"/>
                <w:lang w:eastAsia="en-AU"/>
              </w:rPr>
              <w:t>comparator</w:t>
            </w:r>
            <w:r w:rsidRPr="00C22FE0">
              <w:rPr>
                <w:sz w:val="18"/>
                <w:szCs w:val="18"/>
                <w:vertAlign w:val="superscript"/>
                <w:lang w:eastAsia="en-US"/>
              </w:rPr>
              <w:t>a</w:t>
            </w:r>
            <w:proofErr w:type="spellEnd"/>
          </w:p>
        </w:tc>
        <w:tc>
          <w:tcPr>
            <w:tcW w:w="1526" w:type="dxa"/>
            <w:tcBorders>
              <w:top w:val="single" w:sz="8" w:space="0" w:color="auto"/>
              <w:left w:val="single" w:sz="8" w:space="0" w:color="auto"/>
              <w:bottom w:val="nil"/>
              <w:right w:val="single" w:sz="8" w:space="0" w:color="auto"/>
            </w:tcBorders>
            <w:shd w:val="clear" w:color="auto" w:fill="000000" w:themeFill="text1"/>
          </w:tcPr>
          <w:p w14:paraId="491928DF"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 xml:space="preserve">Mental Health </w:t>
            </w:r>
            <w:proofErr w:type="spellStart"/>
            <w:r w:rsidRPr="00C22FE0">
              <w:rPr>
                <w:rFonts w:ascii="Calibri" w:hAnsi="Calibri" w:cs="Calibri"/>
                <w:color w:val="FFFFFF" w:themeColor="background1"/>
                <w:sz w:val="18"/>
                <w:szCs w:val="18"/>
                <w:lang w:eastAsia="en-AU"/>
              </w:rPr>
              <w:t>Online</w:t>
            </w:r>
            <w:r w:rsidRPr="00C22FE0">
              <w:rPr>
                <w:sz w:val="18"/>
                <w:szCs w:val="18"/>
                <w:vertAlign w:val="superscript"/>
                <w:lang w:eastAsia="en-US"/>
              </w:rPr>
              <w:t>b</w:t>
            </w:r>
            <w:proofErr w:type="spellEnd"/>
          </w:p>
        </w:tc>
        <w:tc>
          <w:tcPr>
            <w:tcW w:w="1526" w:type="dxa"/>
            <w:tcBorders>
              <w:top w:val="single" w:sz="8" w:space="0" w:color="auto"/>
              <w:left w:val="single" w:sz="8" w:space="0" w:color="auto"/>
              <w:bottom w:val="nil"/>
              <w:right w:val="single" w:sz="8" w:space="0" w:color="auto"/>
            </w:tcBorders>
            <w:shd w:val="clear" w:color="auto" w:fill="000000" w:themeFill="text1"/>
          </w:tcPr>
          <w:p w14:paraId="6541D218"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proofErr w:type="spellStart"/>
            <w:r w:rsidRPr="00C22FE0">
              <w:rPr>
                <w:rFonts w:ascii="Calibri" w:hAnsi="Calibri" w:cs="Calibri"/>
                <w:color w:val="FFFFFF" w:themeColor="background1"/>
                <w:sz w:val="18"/>
                <w:szCs w:val="18"/>
                <w:lang w:eastAsia="en-AU"/>
              </w:rPr>
              <w:t>MindSpot</w:t>
            </w:r>
            <w:r w:rsidRPr="00C22FE0">
              <w:rPr>
                <w:sz w:val="18"/>
                <w:szCs w:val="18"/>
                <w:vertAlign w:val="superscript"/>
                <w:lang w:eastAsia="en-US"/>
              </w:rPr>
              <w:t>c</w:t>
            </w:r>
            <w:proofErr w:type="spellEnd"/>
          </w:p>
        </w:tc>
        <w:tc>
          <w:tcPr>
            <w:tcW w:w="1526" w:type="dxa"/>
            <w:tcBorders>
              <w:top w:val="single" w:sz="8" w:space="0" w:color="auto"/>
              <w:left w:val="single" w:sz="8" w:space="0" w:color="auto"/>
              <w:bottom w:val="nil"/>
              <w:right w:val="single" w:sz="8" w:space="0" w:color="auto"/>
            </w:tcBorders>
            <w:shd w:val="clear" w:color="auto" w:fill="000000" w:themeFill="text1"/>
          </w:tcPr>
          <w:p w14:paraId="2925CFD1"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 xml:space="preserve">THIS WAY </w:t>
            </w:r>
            <w:proofErr w:type="spellStart"/>
            <w:r w:rsidRPr="00C22FE0">
              <w:rPr>
                <w:rFonts w:ascii="Calibri" w:hAnsi="Calibri" w:cs="Calibri"/>
                <w:color w:val="FFFFFF" w:themeColor="background1"/>
                <w:sz w:val="18"/>
                <w:szCs w:val="18"/>
                <w:lang w:eastAsia="en-AU"/>
              </w:rPr>
              <w:t>UP</w:t>
            </w:r>
            <w:r w:rsidRPr="00C22FE0">
              <w:rPr>
                <w:sz w:val="18"/>
                <w:szCs w:val="18"/>
                <w:vertAlign w:val="superscript"/>
                <w:lang w:eastAsia="en-US"/>
              </w:rPr>
              <w:t>d</w:t>
            </w:r>
            <w:proofErr w:type="spellEnd"/>
          </w:p>
        </w:tc>
      </w:tr>
      <w:tr w:rsidR="00C22FE0" w:rsidRPr="00C22FE0" w14:paraId="68755F5F"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2F0C7A0E"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Self-directed treatment</w:t>
            </w:r>
          </w:p>
        </w:tc>
        <w:tc>
          <w:tcPr>
            <w:tcW w:w="1525" w:type="dxa"/>
            <w:tcBorders>
              <w:top w:val="nil"/>
              <w:left w:val="single" w:sz="8" w:space="0" w:color="auto"/>
              <w:bottom w:val="nil"/>
              <w:right w:val="single" w:sz="8" w:space="0" w:color="auto"/>
            </w:tcBorders>
            <w:shd w:val="clear" w:color="auto" w:fill="auto"/>
          </w:tcPr>
          <w:p w14:paraId="0CB3268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4FD8FE4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529FB45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53D689E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r>
      <w:tr w:rsidR="00C22FE0" w:rsidRPr="00C22FE0" w14:paraId="6C2CAEC0"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79D8B466" w14:textId="3DB27B0D" w:rsidR="00C22FE0" w:rsidRPr="00C22FE0" w:rsidRDefault="00C22FE0" w:rsidP="009B4ED0">
            <w:pPr>
              <w:snapToGrid w:val="0"/>
              <w:ind w:left="165"/>
              <w:rPr>
                <w:rFonts w:ascii="Calibri" w:hAnsi="Calibri" w:cs="Calibri"/>
                <w:color w:val="000000"/>
                <w:sz w:val="18"/>
                <w:szCs w:val="18"/>
                <w:lang w:eastAsia="en-AU"/>
              </w:rPr>
            </w:pPr>
            <w:r w:rsidRPr="00C22FE0">
              <w:rPr>
                <w:rFonts w:ascii="Calibri" w:hAnsi="Calibri" w:cs="Calibri"/>
                <w:color w:val="000000"/>
                <w:sz w:val="18"/>
                <w:szCs w:val="18"/>
                <w:lang w:eastAsia="en-AU"/>
              </w:rPr>
              <w:t>Transition probabilities:</w:t>
            </w:r>
          </w:p>
        </w:tc>
        <w:tc>
          <w:tcPr>
            <w:tcW w:w="1525" w:type="dxa"/>
            <w:tcBorders>
              <w:top w:val="nil"/>
              <w:left w:val="single" w:sz="8" w:space="0" w:color="auto"/>
              <w:bottom w:val="nil"/>
              <w:right w:val="single" w:sz="8" w:space="0" w:color="auto"/>
            </w:tcBorders>
            <w:shd w:val="clear" w:color="auto" w:fill="auto"/>
          </w:tcPr>
          <w:p w14:paraId="098D94A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178DB92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3304836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4F32D54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r>
      <w:tr w:rsidR="00C22FE0" w:rsidRPr="00C22FE0" w14:paraId="41179ABD"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0938F12B" w14:textId="35AC119A" w:rsidR="00C22FE0" w:rsidRPr="00C22FE0" w:rsidRDefault="00C22FE0" w:rsidP="009B4ED0">
            <w:pPr>
              <w:snapToGrid w:val="0"/>
              <w:ind w:left="448"/>
              <w:rPr>
                <w:rFonts w:ascii="Calibri" w:hAnsi="Calibri" w:cs="Calibri"/>
                <w:color w:val="000000"/>
                <w:sz w:val="18"/>
                <w:szCs w:val="18"/>
                <w:lang w:eastAsia="en-AU"/>
              </w:rPr>
            </w:pPr>
            <w:r w:rsidRPr="00C22FE0">
              <w:rPr>
                <w:rFonts w:ascii="Calibri" w:hAnsi="Calibri" w:cs="Calibri"/>
                <w:color w:val="000000"/>
                <w:sz w:val="18"/>
                <w:szCs w:val="18"/>
                <w:lang w:eastAsia="en-AU"/>
              </w:rPr>
              <w:t>Fully recovered</w:t>
            </w:r>
          </w:p>
        </w:tc>
        <w:tc>
          <w:tcPr>
            <w:tcW w:w="1525" w:type="dxa"/>
            <w:tcBorders>
              <w:top w:val="nil"/>
              <w:left w:val="single" w:sz="8" w:space="0" w:color="auto"/>
              <w:bottom w:val="nil"/>
              <w:right w:val="single" w:sz="8" w:space="0" w:color="auto"/>
            </w:tcBorders>
            <w:shd w:val="clear" w:color="auto" w:fill="auto"/>
            <w:vAlign w:val="center"/>
          </w:tcPr>
          <w:p w14:paraId="6888A40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0.111</w:t>
            </w:r>
          </w:p>
        </w:tc>
        <w:tc>
          <w:tcPr>
            <w:tcW w:w="1526" w:type="dxa"/>
            <w:tcBorders>
              <w:top w:val="nil"/>
              <w:left w:val="single" w:sz="8" w:space="0" w:color="auto"/>
              <w:bottom w:val="nil"/>
              <w:right w:val="single" w:sz="8" w:space="0" w:color="auto"/>
            </w:tcBorders>
            <w:shd w:val="clear" w:color="auto" w:fill="auto"/>
            <w:vAlign w:val="center"/>
          </w:tcPr>
          <w:p w14:paraId="5D08D31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0.438</w:t>
            </w:r>
          </w:p>
        </w:tc>
        <w:tc>
          <w:tcPr>
            <w:tcW w:w="1526" w:type="dxa"/>
            <w:tcBorders>
              <w:top w:val="nil"/>
              <w:left w:val="single" w:sz="8" w:space="0" w:color="auto"/>
              <w:bottom w:val="nil"/>
              <w:right w:val="single" w:sz="8" w:space="0" w:color="auto"/>
            </w:tcBorders>
            <w:shd w:val="clear" w:color="auto" w:fill="auto"/>
            <w:vAlign w:val="center"/>
          </w:tcPr>
          <w:p w14:paraId="3696140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0.453</w:t>
            </w:r>
          </w:p>
        </w:tc>
        <w:tc>
          <w:tcPr>
            <w:tcW w:w="1526" w:type="dxa"/>
            <w:tcBorders>
              <w:top w:val="nil"/>
              <w:left w:val="single" w:sz="8" w:space="0" w:color="auto"/>
              <w:bottom w:val="nil"/>
              <w:right w:val="single" w:sz="8" w:space="0" w:color="auto"/>
            </w:tcBorders>
            <w:shd w:val="clear" w:color="auto" w:fill="auto"/>
            <w:vAlign w:val="center"/>
          </w:tcPr>
          <w:p w14:paraId="368C57F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0.423</w:t>
            </w:r>
          </w:p>
        </w:tc>
      </w:tr>
      <w:tr w:rsidR="00C22FE0" w:rsidRPr="00C22FE0" w14:paraId="539DF115"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41980FBD" w14:textId="41B38A36" w:rsidR="00C22FE0" w:rsidRPr="00C22FE0" w:rsidRDefault="00C22FE0" w:rsidP="009B4ED0">
            <w:pPr>
              <w:snapToGrid w:val="0"/>
              <w:ind w:left="448"/>
              <w:rPr>
                <w:rFonts w:ascii="Calibri" w:hAnsi="Calibri" w:cs="Calibri"/>
                <w:color w:val="000000"/>
                <w:sz w:val="18"/>
                <w:szCs w:val="18"/>
                <w:lang w:eastAsia="en-AU"/>
              </w:rPr>
            </w:pPr>
            <w:r w:rsidRPr="00C22FE0">
              <w:rPr>
                <w:rFonts w:ascii="Calibri" w:hAnsi="Calibri" w:cs="Calibri"/>
                <w:color w:val="000000"/>
                <w:sz w:val="18"/>
                <w:szCs w:val="18"/>
                <w:lang w:eastAsia="en-AU"/>
              </w:rPr>
              <w:t>Partially recovered</w:t>
            </w:r>
          </w:p>
        </w:tc>
        <w:tc>
          <w:tcPr>
            <w:tcW w:w="1525" w:type="dxa"/>
            <w:tcBorders>
              <w:top w:val="nil"/>
              <w:left w:val="single" w:sz="8" w:space="0" w:color="auto"/>
              <w:bottom w:val="nil"/>
              <w:right w:val="single" w:sz="8" w:space="0" w:color="auto"/>
            </w:tcBorders>
            <w:shd w:val="clear" w:color="auto" w:fill="auto"/>
            <w:vAlign w:val="center"/>
          </w:tcPr>
          <w:p w14:paraId="01A09FA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0.044</w:t>
            </w:r>
          </w:p>
        </w:tc>
        <w:tc>
          <w:tcPr>
            <w:tcW w:w="1526" w:type="dxa"/>
            <w:tcBorders>
              <w:top w:val="nil"/>
              <w:left w:val="single" w:sz="8" w:space="0" w:color="auto"/>
              <w:bottom w:val="nil"/>
              <w:right w:val="single" w:sz="8" w:space="0" w:color="auto"/>
            </w:tcBorders>
            <w:shd w:val="clear" w:color="auto" w:fill="auto"/>
            <w:vAlign w:val="center"/>
          </w:tcPr>
          <w:p w14:paraId="0A1982E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0.188</w:t>
            </w:r>
          </w:p>
        </w:tc>
        <w:tc>
          <w:tcPr>
            <w:tcW w:w="1526" w:type="dxa"/>
            <w:tcBorders>
              <w:top w:val="nil"/>
              <w:left w:val="single" w:sz="8" w:space="0" w:color="auto"/>
              <w:bottom w:val="nil"/>
              <w:right w:val="single" w:sz="8" w:space="0" w:color="auto"/>
            </w:tcBorders>
            <w:shd w:val="clear" w:color="auto" w:fill="auto"/>
            <w:vAlign w:val="center"/>
          </w:tcPr>
          <w:p w14:paraId="0FC01C2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0.194</w:t>
            </w:r>
          </w:p>
        </w:tc>
        <w:tc>
          <w:tcPr>
            <w:tcW w:w="1526" w:type="dxa"/>
            <w:tcBorders>
              <w:top w:val="nil"/>
              <w:left w:val="single" w:sz="8" w:space="0" w:color="auto"/>
              <w:bottom w:val="nil"/>
              <w:right w:val="single" w:sz="8" w:space="0" w:color="auto"/>
            </w:tcBorders>
            <w:shd w:val="clear" w:color="auto" w:fill="auto"/>
            <w:vAlign w:val="center"/>
          </w:tcPr>
          <w:p w14:paraId="5805050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0.181</w:t>
            </w:r>
          </w:p>
        </w:tc>
      </w:tr>
      <w:tr w:rsidR="00C22FE0" w:rsidRPr="00C22FE0" w14:paraId="6AB789B3"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6D36A292" w14:textId="20115A0D" w:rsidR="00C22FE0" w:rsidRPr="00C22FE0" w:rsidRDefault="00C22FE0" w:rsidP="009B4ED0">
            <w:pPr>
              <w:snapToGrid w:val="0"/>
              <w:ind w:left="448"/>
              <w:rPr>
                <w:rFonts w:ascii="Calibri" w:hAnsi="Calibri" w:cs="Calibri"/>
                <w:color w:val="000000"/>
                <w:sz w:val="18"/>
                <w:szCs w:val="18"/>
                <w:lang w:eastAsia="en-AU"/>
              </w:rPr>
            </w:pPr>
            <w:r w:rsidRPr="00C22FE0">
              <w:rPr>
                <w:rFonts w:ascii="Calibri" w:hAnsi="Calibri" w:cs="Calibri"/>
                <w:color w:val="000000"/>
                <w:sz w:val="18"/>
                <w:szCs w:val="18"/>
                <w:lang w:eastAsia="en-AU"/>
              </w:rPr>
              <w:t>No improvement</w:t>
            </w:r>
          </w:p>
        </w:tc>
        <w:tc>
          <w:tcPr>
            <w:tcW w:w="1525" w:type="dxa"/>
            <w:tcBorders>
              <w:top w:val="nil"/>
              <w:left w:val="single" w:sz="8" w:space="0" w:color="auto"/>
              <w:bottom w:val="nil"/>
              <w:right w:val="single" w:sz="8" w:space="0" w:color="auto"/>
            </w:tcBorders>
            <w:shd w:val="clear" w:color="auto" w:fill="auto"/>
            <w:vAlign w:val="center"/>
          </w:tcPr>
          <w:p w14:paraId="6407A31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0.689</w:t>
            </w:r>
          </w:p>
        </w:tc>
        <w:tc>
          <w:tcPr>
            <w:tcW w:w="1526" w:type="dxa"/>
            <w:tcBorders>
              <w:top w:val="nil"/>
              <w:left w:val="single" w:sz="8" w:space="0" w:color="auto"/>
              <w:bottom w:val="nil"/>
              <w:right w:val="single" w:sz="8" w:space="0" w:color="auto"/>
            </w:tcBorders>
            <w:shd w:val="clear" w:color="auto" w:fill="auto"/>
            <w:vAlign w:val="center"/>
          </w:tcPr>
          <w:p w14:paraId="140974E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0.304</w:t>
            </w:r>
          </w:p>
        </w:tc>
        <w:tc>
          <w:tcPr>
            <w:tcW w:w="1526" w:type="dxa"/>
            <w:tcBorders>
              <w:top w:val="nil"/>
              <w:left w:val="single" w:sz="8" w:space="0" w:color="auto"/>
              <w:bottom w:val="nil"/>
              <w:right w:val="single" w:sz="8" w:space="0" w:color="auto"/>
            </w:tcBorders>
            <w:shd w:val="clear" w:color="auto" w:fill="auto"/>
            <w:vAlign w:val="center"/>
          </w:tcPr>
          <w:p w14:paraId="49D705A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0.280</w:t>
            </w:r>
          </w:p>
        </w:tc>
        <w:tc>
          <w:tcPr>
            <w:tcW w:w="1526" w:type="dxa"/>
            <w:tcBorders>
              <w:top w:val="nil"/>
              <w:left w:val="single" w:sz="8" w:space="0" w:color="auto"/>
              <w:bottom w:val="nil"/>
              <w:right w:val="single" w:sz="8" w:space="0" w:color="auto"/>
            </w:tcBorders>
            <w:shd w:val="clear" w:color="auto" w:fill="auto"/>
            <w:vAlign w:val="center"/>
          </w:tcPr>
          <w:p w14:paraId="58FFDC6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0.327</w:t>
            </w:r>
          </w:p>
        </w:tc>
      </w:tr>
      <w:tr w:rsidR="00C22FE0" w:rsidRPr="00C22FE0" w14:paraId="0EA0C9C4"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1E2A84E7" w14:textId="4F4FF411" w:rsidR="00C22FE0" w:rsidRPr="00C22FE0" w:rsidRDefault="00C22FE0" w:rsidP="009B4ED0">
            <w:pPr>
              <w:snapToGrid w:val="0"/>
              <w:ind w:left="448"/>
              <w:rPr>
                <w:rFonts w:ascii="Calibri" w:hAnsi="Calibri" w:cs="Calibri"/>
                <w:color w:val="000000"/>
                <w:sz w:val="18"/>
                <w:szCs w:val="18"/>
                <w:lang w:eastAsia="en-AU"/>
              </w:rPr>
            </w:pPr>
            <w:r w:rsidRPr="00C22FE0">
              <w:rPr>
                <w:rFonts w:ascii="Calibri" w:hAnsi="Calibri" w:cs="Calibri"/>
                <w:color w:val="000000"/>
                <w:sz w:val="18"/>
                <w:szCs w:val="18"/>
                <w:lang w:eastAsia="en-AU"/>
              </w:rPr>
              <w:t>Deteriorated</w:t>
            </w:r>
          </w:p>
        </w:tc>
        <w:tc>
          <w:tcPr>
            <w:tcW w:w="1525" w:type="dxa"/>
            <w:tcBorders>
              <w:top w:val="nil"/>
              <w:left w:val="single" w:sz="8" w:space="0" w:color="auto"/>
              <w:bottom w:val="nil"/>
              <w:right w:val="single" w:sz="8" w:space="0" w:color="auto"/>
            </w:tcBorders>
            <w:shd w:val="clear" w:color="auto" w:fill="auto"/>
            <w:vAlign w:val="center"/>
          </w:tcPr>
          <w:p w14:paraId="6039427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0.156</w:t>
            </w:r>
          </w:p>
        </w:tc>
        <w:tc>
          <w:tcPr>
            <w:tcW w:w="1526" w:type="dxa"/>
            <w:tcBorders>
              <w:top w:val="nil"/>
              <w:left w:val="single" w:sz="8" w:space="0" w:color="auto"/>
              <w:bottom w:val="nil"/>
              <w:right w:val="single" w:sz="8" w:space="0" w:color="auto"/>
            </w:tcBorders>
            <w:shd w:val="clear" w:color="auto" w:fill="auto"/>
            <w:vAlign w:val="center"/>
          </w:tcPr>
          <w:p w14:paraId="0FB7EA6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0.071</w:t>
            </w:r>
          </w:p>
        </w:tc>
        <w:tc>
          <w:tcPr>
            <w:tcW w:w="1526" w:type="dxa"/>
            <w:tcBorders>
              <w:top w:val="nil"/>
              <w:left w:val="single" w:sz="8" w:space="0" w:color="auto"/>
              <w:bottom w:val="nil"/>
              <w:right w:val="single" w:sz="8" w:space="0" w:color="auto"/>
            </w:tcBorders>
            <w:shd w:val="clear" w:color="auto" w:fill="auto"/>
            <w:vAlign w:val="center"/>
          </w:tcPr>
          <w:p w14:paraId="1DA8787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0.073</w:t>
            </w:r>
          </w:p>
        </w:tc>
        <w:tc>
          <w:tcPr>
            <w:tcW w:w="1526" w:type="dxa"/>
            <w:tcBorders>
              <w:top w:val="nil"/>
              <w:left w:val="single" w:sz="8" w:space="0" w:color="auto"/>
              <w:bottom w:val="nil"/>
              <w:right w:val="single" w:sz="8" w:space="0" w:color="auto"/>
            </w:tcBorders>
            <w:shd w:val="clear" w:color="auto" w:fill="auto"/>
            <w:vAlign w:val="center"/>
          </w:tcPr>
          <w:p w14:paraId="632146A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0.068</w:t>
            </w:r>
          </w:p>
        </w:tc>
      </w:tr>
      <w:tr w:rsidR="00C22FE0" w:rsidRPr="00C22FE0" w14:paraId="1F251106"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49692E28" w14:textId="77777777" w:rsidR="00C22FE0" w:rsidRPr="00C22FE0" w:rsidRDefault="00C22FE0" w:rsidP="00C22FE0">
            <w:pPr>
              <w:snapToGrid w:val="0"/>
              <w:rPr>
                <w:rFonts w:ascii="Calibri" w:hAnsi="Calibri" w:cs="Calibri"/>
                <w:color w:val="000000"/>
                <w:sz w:val="18"/>
                <w:szCs w:val="18"/>
                <w:lang w:eastAsia="en-AU"/>
              </w:rPr>
            </w:pPr>
          </w:p>
        </w:tc>
        <w:tc>
          <w:tcPr>
            <w:tcW w:w="1525" w:type="dxa"/>
            <w:tcBorders>
              <w:top w:val="nil"/>
              <w:left w:val="single" w:sz="8" w:space="0" w:color="auto"/>
              <w:bottom w:val="nil"/>
              <w:right w:val="single" w:sz="8" w:space="0" w:color="auto"/>
            </w:tcBorders>
            <w:shd w:val="clear" w:color="auto" w:fill="auto"/>
            <w:vAlign w:val="center"/>
          </w:tcPr>
          <w:p w14:paraId="631C991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5B29B1B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69929ED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38E4087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r>
      <w:tr w:rsidR="00C22FE0" w:rsidRPr="00C22FE0" w14:paraId="63DAFEB8"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6C0AE693"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Therapist-supported treatment</w:t>
            </w:r>
          </w:p>
        </w:tc>
        <w:tc>
          <w:tcPr>
            <w:tcW w:w="1525" w:type="dxa"/>
            <w:tcBorders>
              <w:top w:val="nil"/>
              <w:left w:val="single" w:sz="8" w:space="0" w:color="auto"/>
              <w:bottom w:val="nil"/>
              <w:right w:val="single" w:sz="8" w:space="0" w:color="auto"/>
            </w:tcBorders>
            <w:shd w:val="clear" w:color="auto" w:fill="auto"/>
            <w:vAlign w:val="center"/>
          </w:tcPr>
          <w:p w14:paraId="793C759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1F78C43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770BD35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1BB758E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r>
      <w:tr w:rsidR="00C22FE0" w:rsidRPr="00C22FE0" w14:paraId="6567B90B"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636AC065" w14:textId="377DC6F3" w:rsidR="00C22FE0" w:rsidRPr="00C22FE0" w:rsidRDefault="00C22FE0" w:rsidP="009B4ED0">
            <w:pPr>
              <w:snapToGrid w:val="0"/>
              <w:ind w:left="165"/>
              <w:rPr>
                <w:rFonts w:ascii="Calibri" w:hAnsi="Calibri" w:cs="Calibri"/>
                <w:color w:val="000000"/>
                <w:sz w:val="18"/>
                <w:szCs w:val="18"/>
                <w:lang w:eastAsia="en-AU"/>
              </w:rPr>
            </w:pPr>
            <w:r w:rsidRPr="00C22FE0">
              <w:rPr>
                <w:rFonts w:ascii="Calibri" w:hAnsi="Calibri" w:cs="Calibri"/>
                <w:color w:val="000000"/>
                <w:sz w:val="18"/>
                <w:szCs w:val="18"/>
                <w:lang w:eastAsia="en-AU"/>
              </w:rPr>
              <w:t>Transition probabilities:</w:t>
            </w:r>
          </w:p>
        </w:tc>
        <w:tc>
          <w:tcPr>
            <w:tcW w:w="1525" w:type="dxa"/>
            <w:tcBorders>
              <w:top w:val="nil"/>
              <w:left w:val="single" w:sz="8" w:space="0" w:color="auto"/>
              <w:bottom w:val="nil"/>
              <w:right w:val="single" w:sz="8" w:space="0" w:color="auto"/>
            </w:tcBorders>
            <w:shd w:val="clear" w:color="auto" w:fill="auto"/>
            <w:vAlign w:val="center"/>
          </w:tcPr>
          <w:p w14:paraId="1163BD9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3A6CBD4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78A5C61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0AAE8D1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r>
      <w:tr w:rsidR="00C22FE0" w:rsidRPr="00C22FE0" w14:paraId="6E391503"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5732C757" w14:textId="11F0E4C5" w:rsidR="00C22FE0" w:rsidRPr="00C22FE0" w:rsidRDefault="00C22FE0" w:rsidP="009B4ED0">
            <w:pPr>
              <w:snapToGrid w:val="0"/>
              <w:ind w:left="448"/>
              <w:rPr>
                <w:rFonts w:ascii="Calibri" w:hAnsi="Calibri" w:cs="Calibri"/>
                <w:color w:val="000000"/>
                <w:sz w:val="18"/>
                <w:szCs w:val="18"/>
                <w:lang w:eastAsia="en-AU"/>
              </w:rPr>
            </w:pPr>
            <w:r w:rsidRPr="00C22FE0">
              <w:rPr>
                <w:rFonts w:ascii="Calibri" w:hAnsi="Calibri" w:cs="Calibri"/>
                <w:color w:val="000000"/>
                <w:sz w:val="18"/>
                <w:szCs w:val="18"/>
                <w:lang w:eastAsia="en-AU"/>
              </w:rPr>
              <w:t>Fully recovered</w:t>
            </w:r>
          </w:p>
        </w:tc>
        <w:tc>
          <w:tcPr>
            <w:tcW w:w="1525" w:type="dxa"/>
            <w:tcBorders>
              <w:top w:val="nil"/>
              <w:left w:val="single" w:sz="8" w:space="0" w:color="auto"/>
              <w:bottom w:val="nil"/>
              <w:right w:val="single" w:sz="8" w:space="0" w:color="auto"/>
            </w:tcBorders>
            <w:shd w:val="clear" w:color="auto" w:fill="auto"/>
            <w:vAlign w:val="center"/>
          </w:tcPr>
          <w:p w14:paraId="5216477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0.111</w:t>
            </w:r>
          </w:p>
        </w:tc>
        <w:tc>
          <w:tcPr>
            <w:tcW w:w="1526" w:type="dxa"/>
            <w:tcBorders>
              <w:top w:val="nil"/>
              <w:left w:val="single" w:sz="8" w:space="0" w:color="auto"/>
              <w:bottom w:val="nil"/>
              <w:right w:val="single" w:sz="8" w:space="0" w:color="auto"/>
            </w:tcBorders>
            <w:shd w:val="clear" w:color="auto" w:fill="auto"/>
            <w:vAlign w:val="center"/>
          </w:tcPr>
          <w:p w14:paraId="3BC0B1E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0.417</w:t>
            </w:r>
          </w:p>
        </w:tc>
        <w:tc>
          <w:tcPr>
            <w:tcW w:w="1526" w:type="dxa"/>
            <w:tcBorders>
              <w:top w:val="nil"/>
              <w:left w:val="single" w:sz="8" w:space="0" w:color="auto"/>
              <w:bottom w:val="nil"/>
              <w:right w:val="single" w:sz="8" w:space="0" w:color="auto"/>
            </w:tcBorders>
            <w:shd w:val="clear" w:color="auto" w:fill="auto"/>
            <w:vAlign w:val="center"/>
          </w:tcPr>
          <w:p w14:paraId="6A7555D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0.453</w:t>
            </w:r>
          </w:p>
        </w:tc>
        <w:tc>
          <w:tcPr>
            <w:tcW w:w="1526" w:type="dxa"/>
            <w:tcBorders>
              <w:top w:val="nil"/>
              <w:left w:val="single" w:sz="8" w:space="0" w:color="auto"/>
              <w:bottom w:val="nil"/>
              <w:right w:val="single" w:sz="8" w:space="0" w:color="auto"/>
            </w:tcBorders>
            <w:shd w:val="clear" w:color="auto" w:fill="auto"/>
            <w:vAlign w:val="center"/>
          </w:tcPr>
          <w:p w14:paraId="326BD78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0.380</w:t>
            </w:r>
          </w:p>
        </w:tc>
      </w:tr>
      <w:tr w:rsidR="00C22FE0" w:rsidRPr="00C22FE0" w14:paraId="4C80ADA6"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1EE7F74C" w14:textId="3D8DB5F8" w:rsidR="00C22FE0" w:rsidRPr="00C22FE0" w:rsidRDefault="00C22FE0" w:rsidP="009B4ED0">
            <w:pPr>
              <w:snapToGrid w:val="0"/>
              <w:ind w:left="448"/>
              <w:rPr>
                <w:rFonts w:ascii="Calibri" w:hAnsi="Calibri" w:cs="Calibri"/>
                <w:color w:val="000000"/>
                <w:sz w:val="18"/>
                <w:szCs w:val="18"/>
                <w:lang w:eastAsia="en-AU"/>
              </w:rPr>
            </w:pPr>
            <w:r w:rsidRPr="00C22FE0">
              <w:rPr>
                <w:rFonts w:ascii="Calibri" w:hAnsi="Calibri" w:cs="Calibri"/>
                <w:color w:val="000000"/>
                <w:sz w:val="18"/>
                <w:szCs w:val="18"/>
                <w:lang w:eastAsia="en-AU"/>
              </w:rPr>
              <w:t>Partially recovered</w:t>
            </w:r>
          </w:p>
        </w:tc>
        <w:tc>
          <w:tcPr>
            <w:tcW w:w="1525" w:type="dxa"/>
            <w:tcBorders>
              <w:top w:val="nil"/>
              <w:left w:val="single" w:sz="8" w:space="0" w:color="auto"/>
              <w:bottom w:val="nil"/>
              <w:right w:val="single" w:sz="8" w:space="0" w:color="auto"/>
            </w:tcBorders>
            <w:shd w:val="clear" w:color="auto" w:fill="auto"/>
            <w:vAlign w:val="center"/>
          </w:tcPr>
          <w:p w14:paraId="4406E4F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0.044</w:t>
            </w:r>
          </w:p>
        </w:tc>
        <w:tc>
          <w:tcPr>
            <w:tcW w:w="1526" w:type="dxa"/>
            <w:tcBorders>
              <w:top w:val="nil"/>
              <w:left w:val="single" w:sz="8" w:space="0" w:color="auto"/>
              <w:bottom w:val="nil"/>
              <w:right w:val="single" w:sz="8" w:space="0" w:color="auto"/>
            </w:tcBorders>
            <w:shd w:val="clear" w:color="auto" w:fill="auto"/>
            <w:vAlign w:val="center"/>
          </w:tcPr>
          <w:p w14:paraId="578AC71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0.179</w:t>
            </w:r>
          </w:p>
        </w:tc>
        <w:tc>
          <w:tcPr>
            <w:tcW w:w="1526" w:type="dxa"/>
            <w:tcBorders>
              <w:top w:val="nil"/>
              <w:left w:val="single" w:sz="8" w:space="0" w:color="auto"/>
              <w:bottom w:val="nil"/>
              <w:right w:val="single" w:sz="8" w:space="0" w:color="auto"/>
            </w:tcBorders>
            <w:shd w:val="clear" w:color="auto" w:fill="auto"/>
            <w:vAlign w:val="center"/>
          </w:tcPr>
          <w:p w14:paraId="0203FA9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0.194</w:t>
            </w:r>
          </w:p>
        </w:tc>
        <w:tc>
          <w:tcPr>
            <w:tcW w:w="1526" w:type="dxa"/>
            <w:tcBorders>
              <w:top w:val="nil"/>
              <w:left w:val="single" w:sz="8" w:space="0" w:color="auto"/>
              <w:bottom w:val="nil"/>
              <w:right w:val="single" w:sz="8" w:space="0" w:color="auto"/>
            </w:tcBorders>
            <w:shd w:val="clear" w:color="auto" w:fill="auto"/>
            <w:vAlign w:val="center"/>
          </w:tcPr>
          <w:p w14:paraId="6DB1792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0.163</w:t>
            </w:r>
          </w:p>
        </w:tc>
      </w:tr>
      <w:tr w:rsidR="00C22FE0" w:rsidRPr="00C22FE0" w14:paraId="1D1831B0"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7F928ECB" w14:textId="2AC68FBD" w:rsidR="00C22FE0" w:rsidRPr="00C22FE0" w:rsidRDefault="00C22FE0" w:rsidP="009B4ED0">
            <w:pPr>
              <w:snapToGrid w:val="0"/>
              <w:ind w:left="448"/>
              <w:rPr>
                <w:rFonts w:ascii="Calibri" w:hAnsi="Calibri" w:cs="Calibri"/>
                <w:color w:val="000000"/>
                <w:sz w:val="18"/>
                <w:szCs w:val="18"/>
                <w:lang w:eastAsia="en-AU"/>
              </w:rPr>
            </w:pPr>
            <w:r w:rsidRPr="00C22FE0">
              <w:rPr>
                <w:rFonts w:ascii="Calibri" w:hAnsi="Calibri" w:cs="Calibri"/>
                <w:color w:val="000000"/>
                <w:sz w:val="18"/>
                <w:szCs w:val="18"/>
                <w:lang w:eastAsia="en-AU"/>
              </w:rPr>
              <w:t>No improvement</w:t>
            </w:r>
          </w:p>
        </w:tc>
        <w:tc>
          <w:tcPr>
            <w:tcW w:w="1525" w:type="dxa"/>
            <w:tcBorders>
              <w:top w:val="nil"/>
              <w:left w:val="single" w:sz="8" w:space="0" w:color="auto"/>
              <w:bottom w:val="nil"/>
              <w:right w:val="single" w:sz="8" w:space="0" w:color="auto"/>
            </w:tcBorders>
            <w:shd w:val="clear" w:color="auto" w:fill="auto"/>
            <w:vAlign w:val="center"/>
          </w:tcPr>
          <w:p w14:paraId="347D0B9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0.689</w:t>
            </w:r>
          </w:p>
        </w:tc>
        <w:tc>
          <w:tcPr>
            <w:tcW w:w="1526" w:type="dxa"/>
            <w:tcBorders>
              <w:top w:val="nil"/>
              <w:left w:val="single" w:sz="8" w:space="0" w:color="auto"/>
              <w:bottom w:val="nil"/>
              <w:right w:val="single" w:sz="8" w:space="0" w:color="auto"/>
            </w:tcBorders>
            <w:shd w:val="clear" w:color="auto" w:fill="auto"/>
            <w:vAlign w:val="center"/>
          </w:tcPr>
          <w:p w14:paraId="3C33684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0.337</w:t>
            </w:r>
          </w:p>
        </w:tc>
        <w:tc>
          <w:tcPr>
            <w:tcW w:w="1526" w:type="dxa"/>
            <w:tcBorders>
              <w:top w:val="nil"/>
              <w:left w:val="single" w:sz="8" w:space="0" w:color="auto"/>
              <w:bottom w:val="nil"/>
              <w:right w:val="single" w:sz="8" w:space="0" w:color="auto"/>
            </w:tcBorders>
            <w:shd w:val="clear" w:color="auto" w:fill="auto"/>
            <w:vAlign w:val="center"/>
          </w:tcPr>
          <w:p w14:paraId="1B33D79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0.280</w:t>
            </w:r>
          </w:p>
        </w:tc>
        <w:tc>
          <w:tcPr>
            <w:tcW w:w="1526" w:type="dxa"/>
            <w:tcBorders>
              <w:top w:val="nil"/>
              <w:left w:val="single" w:sz="8" w:space="0" w:color="auto"/>
              <w:bottom w:val="nil"/>
              <w:right w:val="single" w:sz="8" w:space="0" w:color="auto"/>
            </w:tcBorders>
            <w:shd w:val="clear" w:color="auto" w:fill="auto"/>
            <w:vAlign w:val="center"/>
          </w:tcPr>
          <w:p w14:paraId="2EE1878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0.394</w:t>
            </w:r>
          </w:p>
        </w:tc>
      </w:tr>
      <w:tr w:rsidR="00C22FE0" w:rsidRPr="00C22FE0" w14:paraId="2AEA9A4C"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single" w:sz="4" w:space="0" w:color="auto"/>
              <w:right w:val="single" w:sz="8" w:space="0" w:color="auto"/>
            </w:tcBorders>
            <w:shd w:val="clear" w:color="auto" w:fill="auto"/>
            <w:noWrap/>
            <w:vAlign w:val="center"/>
          </w:tcPr>
          <w:p w14:paraId="4436EDE7" w14:textId="3DDB5CF2" w:rsidR="00C22FE0" w:rsidRPr="00C22FE0" w:rsidRDefault="00C22FE0" w:rsidP="009B4ED0">
            <w:pPr>
              <w:snapToGrid w:val="0"/>
              <w:ind w:left="448"/>
              <w:rPr>
                <w:rFonts w:ascii="Calibri" w:hAnsi="Calibri" w:cs="Calibri"/>
                <w:color w:val="000000"/>
                <w:sz w:val="18"/>
                <w:szCs w:val="18"/>
                <w:lang w:eastAsia="en-AU"/>
              </w:rPr>
            </w:pPr>
            <w:r w:rsidRPr="00C22FE0">
              <w:rPr>
                <w:rFonts w:ascii="Calibri" w:hAnsi="Calibri" w:cs="Calibri"/>
                <w:color w:val="000000"/>
                <w:sz w:val="18"/>
                <w:szCs w:val="18"/>
                <w:lang w:eastAsia="en-AU"/>
              </w:rPr>
              <w:t>Deteriorated</w:t>
            </w:r>
          </w:p>
        </w:tc>
        <w:tc>
          <w:tcPr>
            <w:tcW w:w="1525" w:type="dxa"/>
            <w:tcBorders>
              <w:top w:val="nil"/>
              <w:left w:val="single" w:sz="8" w:space="0" w:color="auto"/>
              <w:bottom w:val="single" w:sz="4" w:space="0" w:color="auto"/>
              <w:right w:val="single" w:sz="8" w:space="0" w:color="auto"/>
            </w:tcBorders>
            <w:shd w:val="clear" w:color="auto" w:fill="auto"/>
            <w:vAlign w:val="center"/>
          </w:tcPr>
          <w:p w14:paraId="0A517CE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0.156</w:t>
            </w:r>
          </w:p>
        </w:tc>
        <w:tc>
          <w:tcPr>
            <w:tcW w:w="1526" w:type="dxa"/>
            <w:tcBorders>
              <w:top w:val="nil"/>
              <w:left w:val="single" w:sz="8" w:space="0" w:color="auto"/>
              <w:bottom w:val="single" w:sz="4" w:space="0" w:color="auto"/>
              <w:right w:val="single" w:sz="8" w:space="0" w:color="auto"/>
            </w:tcBorders>
            <w:shd w:val="clear" w:color="auto" w:fill="auto"/>
            <w:vAlign w:val="center"/>
          </w:tcPr>
          <w:p w14:paraId="7331766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0.068</w:t>
            </w:r>
          </w:p>
        </w:tc>
        <w:tc>
          <w:tcPr>
            <w:tcW w:w="1526" w:type="dxa"/>
            <w:tcBorders>
              <w:top w:val="nil"/>
              <w:left w:val="single" w:sz="8" w:space="0" w:color="auto"/>
              <w:bottom w:val="single" w:sz="4" w:space="0" w:color="auto"/>
              <w:right w:val="single" w:sz="8" w:space="0" w:color="auto"/>
            </w:tcBorders>
            <w:shd w:val="clear" w:color="auto" w:fill="auto"/>
            <w:vAlign w:val="center"/>
          </w:tcPr>
          <w:p w14:paraId="4B98D22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0.073</w:t>
            </w:r>
          </w:p>
        </w:tc>
        <w:tc>
          <w:tcPr>
            <w:tcW w:w="1526" w:type="dxa"/>
            <w:tcBorders>
              <w:top w:val="nil"/>
              <w:left w:val="single" w:sz="8" w:space="0" w:color="auto"/>
              <w:bottom w:val="single" w:sz="4" w:space="0" w:color="auto"/>
              <w:right w:val="single" w:sz="8" w:space="0" w:color="auto"/>
            </w:tcBorders>
            <w:shd w:val="clear" w:color="auto" w:fill="auto"/>
            <w:vAlign w:val="center"/>
          </w:tcPr>
          <w:p w14:paraId="40C399A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0.063</w:t>
            </w:r>
          </w:p>
        </w:tc>
      </w:tr>
    </w:tbl>
    <w:p w14:paraId="052E2E67" w14:textId="1F45F136" w:rsidR="00C22FE0" w:rsidRPr="00C22FE0" w:rsidRDefault="00C22FE0" w:rsidP="00C22FE0">
      <w:pPr>
        <w:snapToGrid w:val="0"/>
        <w:jc w:val="both"/>
        <w:rPr>
          <w:rFonts w:asciiTheme="minorHAnsi" w:eastAsiaTheme="minorEastAsia" w:hAnsiTheme="minorHAnsi" w:cstheme="minorBidi"/>
          <w:iCs/>
          <w:sz w:val="16"/>
          <w:szCs w:val="16"/>
        </w:rPr>
      </w:pPr>
      <w:proofErr w:type="spellStart"/>
      <w:r w:rsidRPr="00C22FE0">
        <w:rPr>
          <w:rFonts w:asciiTheme="minorHAnsi" w:eastAsiaTheme="minorEastAsia" w:hAnsiTheme="minorHAnsi" w:cstheme="minorBidi"/>
          <w:iCs/>
          <w:sz w:val="16"/>
          <w:szCs w:val="16"/>
          <w:vertAlign w:val="superscript"/>
        </w:rPr>
        <w:t>a</w:t>
      </w:r>
      <w:r w:rsidRPr="00C22FE0">
        <w:rPr>
          <w:rFonts w:asciiTheme="minorHAnsi" w:eastAsiaTheme="minorEastAsia" w:hAnsiTheme="minorHAnsi" w:cstheme="minorBidi"/>
          <w:iCs/>
          <w:sz w:val="16"/>
          <w:szCs w:val="16"/>
        </w:rPr>
        <w:t>As</w:t>
      </w:r>
      <w:proofErr w:type="spellEnd"/>
      <w:r w:rsidRPr="00C22FE0">
        <w:rPr>
          <w:rFonts w:asciiTheme="minorHAnsi" w:eastAsiaTheme="minorEastAsia" w:hAnsiTheme="minorHAnsi" w:cstheme="minorBidi"/>
          <w:iCs/>
          <w:sz w:val="16"/>
          <w:szCs w:val="16"/>
        </w:rPr>
        <w:t xml:space="preserve"> estimated </w:t>
      </w:r>
      <w:r w:rsidRPr="00B80571">
        <w:rPr>
          <w:rFonts w:asciiTheme="minorHAnsi" w:eastAsiaTheme="minorEastAsia" w:hAnsiTheme="minorHAnsi" w:cstheme="minorBidi"/>
          <w:iCs/>
          <w:sz w:val="16"/>
          <w:szCs w:val="16"/>
        </w:rPr>
        <w:t>in Lee et al</w:t>
      </w:r>
      <w:r w:rsidR="002E6309">
        <w:rPr>
          <w:rFonts w:asciiTheme="minorHAnsi" w:eastAsiaTheme="minorEastAsia" w:hAnsiTheme="minorHAnsi" w:cstheme="minorBidi"/>
          <w:iCs/>
          <w:sz w:val="16"/>
          <w:szCs w:val="16"/>
        </w:rPr>
        <w:t xml:space="preserve"> </w:t>
      </w:r>
      <w:r w:rsidRPr="00B80571">
        <w:rPr>
          <w:rFonts w:asciiTheme="minorHAnsi" w:eastAsiaTheme="minorEastAsia" w:hAnsiTheme="minorHAnsi" w:cstheme="minorBidi"/>
          <w:iCs/>
          <w:sz w:val="16"/>
          <w:szCs w:val="16"/>
        </w:rPr>
        <w:t xml:space="preserve"> (2017)</w:t>
      </w:r>
      <w:r w:rsidR="00BB7B3A" w:rsidRPr="00B80571">
        <w:rPr>
          <w:rFonts w:asciiTheme="minorHAnsi" w:eastAsiaTheme="minorEastAsia" w:hAnsiTheme="minorHAnsi" w:cstheme="minorBidi"/>
          <w:iCs/>
          <w:sz w:val="16"/>
          <w:szCs w:val="16"/>
        </w:rPr>
        <w:fldChar w:fldCharType="begin"/>
      </w:r>
      <w:r w:rsidR="00BB7B3A" w:rsidRPr="00B80571">
        <w:rPr>
          <w:rFonts w:asciiTheme="minorHAnsi" w:eastAsiaTheme="minorEastAsia" w:hAnsiTheme="minorHAnsi" w:cstheme="minorBidi"/>
          <w:iCs/>
          <w:sz w:val="16"/>
          <w:szCs w:val="16"/>
        </w:rPr>
        <w:instrText xml:space="preserve"> ADDIN EN.CITE &lt;EndNote&gt;&lt;Cite&gt;&lt;Author&gt;Lee&lt;/Author&gt;&lt;Year&gt;2017&lt;/Year&gt;&lt;RecNum&gt;27&lt;/RecNum&gt;&lt;DisplayText&gt;&lt;style face="superscript"&gt;83&lt;/style&gt;&lt;/DisplayText&gt;&lt;record&gt;&lt;rec-number&gt;27&lt;/rec-number&gt;&lt;foreign-keys&gt;&lt;key app="EN" db-id="dawtr0zrkrzfa5edzzlpe2we0xa00t90vvr2" timestamp="1623067866"&gt;27&lt;/key&gt;&lt;/foreign-keys&gt;&lt;ref-type name="Journal Article"&gt;17&lt;/ref-type&gt;&lt;contributors&gt;&lt;authors&gt;&lt;author&gt;Lee, Yu-Chen&lt;/author&gt;&lt;author&gt;Gao, Lan&lt;/author&gt;&lt;author&gt;Dear, Blake F&lt;/author&gt;&lt;author&gt;Titov, Nickolai&lt;/author&gt;&lt;author&gt;Mihalopoulos, Cathrine&lt;/author&gt;&lt;/authors&gt;&lt;/contributors&gt;&lt;titles&gt;&lt;title&gt;The cost-effectiveness of the online MindSpot Clinic for the treatment of depression and anxiety in Australia&lt;/title&gt;&lt;secondary-title&gt;J Ment Health Policy Econ&lt;/secondary-title&gt;&lt;/titles&gt;&lt;periodical&gt;&lt;full-title&gt;J Ment Health Policy Econ&lt;/full-title&gt;&lt;/periodical&gt;&lt;pages&gt;155-166&lt;/pages&gt;&lt;volume&gt;20&lt;/volume&gt;&lt;number&gt;4&lt;/number&gt;&lt;dates&gt;&lt;year&gt;2017&lt;/year&gt;&lt;/dates&gt;&lt;urls&gt;&lt;/urls&gt;&lt;/record&gt;&lt;/Cite&gt;&lt;/EndNote&gt;</w:instrText>
      </w:r>
      <w:r w:rsidR="00BB7B3A" w:rsidRPr="00B80571">
        <w:rPr>
          <w:rFonts w:asciiTheme="minorHAnsi" w:eastAsiaTheme="minorEastAsia" w:hAnsiTheme="minorHAnsi" w:cstheme="minorBidi"/>
          <w:iCs/>
          <w:sz w:val="16"/>
          <w:szCs w:val="16"/>
        </w:rPr>
        <w:fldChar w:fldCharType="separate"/>
      </w:r>
      <w:r w:rsidR="00BB7B3A" w:rsidRPr="00B80571">
        <w:rPr>
          <w:rFonts w:asciiTheme="minorHAnsi" w:eastAsiaTheme="minorEastAsia" w:hAnsiTheme="minorHAnsi" w:cstheme="minorBidi"/>
          <w:iCs/>
          <w:noProof/>
          <w:sz w:val="16"/>
          <w:szCs w:val="16"/>
          <w:vertAlign w:val="superscript"/>
        </w:rPr>
        <w:t>83</w:t>
      </w:r>
      <w:r w:rsidR="00BB7B3A" w:rsidRPr="00B80571">
        <w:rPr>
          <w:rFonts w:asciiTheme="minorHAnsi" w:eastAsiaTheme="minorEastAsia" w:hAnsiTheme="minorHAnsi" w:cstheme="minorBidi"/>
          <w:iCs/>
          <w:sz w:val="16"/>
          <w:szCs w:val="16"/>
        </w:rPr>
        <w:fldChar w:fldCharType="end"/>
      </w:r>
      <w:r w:rsidRPr="00B80571">
        <w:rPr>
          <w:rFonts w:asciiTheme="minorHAnsi" w:eastAsiaTheme="minorEastAsia" w:hAnsiTheme="minorHAnsi" w:cstheme="minorBidi"/>
          <w:iCs/>
          <w:sz w:val="16"/>
          <w:szCs w:val="16"/>
        </w:rPr>
        <w:t xml:space="preserve"> based</w:t>
      </w:r>
      <w:r w:rsidRPr="00C22FE0">
        <w:rPr>
          <w:rFonts w:asciiTheme="minorHAnsi" w:eastAsiaTheme="minorEastAsia" w:hAnsiTheme="minorHAnsi" w:cstheme="minorBidi"/>
          <w:iCs/>
          <w:sz w:val="16"/>
          <w:szCs w:val="16"/>
        </w:rPr>
        <w:t xml:space="preserve"> on datasets from (</w:t>
      </w:r>
      <w:proofErr w:type="spellStart"/>
      <w:r w:rsidRPr="00C22FE0">
        <w:rPr>
          <w:rFonts w:asciiTheme="minorHAnsi" w:eastAsiaTheme="minorEastAsia" w:hAnsiTheme="minorHAnsi" w:cstheme="minorBidi"/>
          <w:iCs/>
          <w:sz w:val="16"/>
          <w:szCs w:val="16"/>
        </w:rPr>
        <w:t>i</w:t>
      </w:r>
      <w:proofErr w:type="spellEnd"/>
      <w:r w:rsidRPr="00C22FE0">
        <w:rPr>
          <w:rFonts w:asciiTheme="minorHAnsi" w:eastAsiaTheme="minorEastAsia" w:hAnsiTheme="minorHAnsi" w:cstheme="minorBidi"/>
          <w:iCs/>
          <w:sz w:val="16"/>
          <w:szCs w:val="16"/>
        </w:rPr>
        <w:t>) the National Survey of Mental Health and Wellbeing (NSMHWB), a population-level survey collecting epidemiology and health resource use of common mental disorders and (ii) a 8-week “waitlist” dataset. The transition probabilities for self-directed treatment were assumed to be the same as those for therapist-supported treatment.</w:t>
      </w:r>
    </w:p>
    <w:p w14:paraId="57B6E242" w14:textId="77777777" w:rsidR="00C22FE0" w:rsidRPr="00C22FE0" w:rsidRDefault="00C22FE0" w:rsidP="00C22FE0">
      <w:pPr>
        <w:snapToGrid w:val="0"/>
        <w:jc w:val="both"/>
        <w:rPr>
          <w:rFonts w:asciiTheme="minorHAnsi" w:eastAsiaTheme="minorEastAsia" w:hAnsiTheme="minorHAnsi" w:cstheme="minorBidi"/>
          <w:iCs/>
          <w:sz w:val="16"/>
          <w:szCs w:val="16"/>
        </w:rPr>
      </w:pPr>
      <w:proofErr w:type="spellStart"/>
      <w:r w:rsidRPr="00C22FE0">
        <w:rPr>
          <w:rFonts w:asciiTheme="minorHAnsi" w:eastAsiaTheme="minorEastAsia" w:hAnsiTheme="minorHAnsi" w:cstheme="minorBidi"/>
          <w:iCs/>
          <w:sz w:val="16"/>
          <w:szCs w:val="16"/>
          <w:vertAlign w:val="superscript"/>
        </w:rPr>
        <w:t>b</w:t>
      </w:r>
      <w:r w:rsidRPr="00C22FE0">
        <w:rPr>
          <w:rFonts w:asciiTheme="minorHAnsi" w:eastAsiaTheme="minorEastAsia" w:hAnsiTheme="minorHAnsi" w:cstheme="minorBidi"/>
          <w:iCs/>
          <w:sz w:val="16"/>
          <w:szCs w:val="16"/>
        </w:rPr>
        <w:t>Due</w:t>
      </w:r>
      <w:proofErr w:type="spellEnd"/>
      <w:r w:rsidRPr="00C22FE0">
        <w:rPr>
          <w:rFonts w:asciiTheme="minorHAnsi" w:eastAsiaTheme="minorEastAsia" w:hAnsiTheme="minorHAnsi" w:cstheme="minorBidi"/>
          <w:iCs/>
          <w:sz w:val="16"/>
          <w:szCs w:val="16"/>
        </w:rPr>
        <w:t xml:space="preserve"> to data unavailability, the transition probabilities for Mental Health Online were assumed to be the average of </w:t>
      </w:r>
      <w:proofErr w:type="spellStart"/>
      <w:r w:rsidRPr="00C22FE0">
        <w:rPr>
          <w:rFonts w:asciiTheme="minorHAnsi" w:eastAsiaTheme="minorEastAsia" w:hAnsiTheme="minorHAnsi" w:cstheme="minorBidi"/>
          <w:iCs/>
          <w:sz w:val="16"/>
          <w:szCs w:val="16"/>
        </w:rPr>
        <w:t>MindSpot</w:t>
      </w:r>
      <w:proofErr w:type="spellEnd"/>
      <w:r w:rsidRPr="00C22FE0">
        <w:rPr>
          <w:rFonts w:asciiTheme="minorHAnsi" w:eastAsiaTheme="minorEastAsia" w:hAnsiTheme="minorHAnsi" w:cstheme="minorBidi"/>
          <w:iCs/>
          <w:sz w:val="16"/>
          <w:szCs w:val="16"/>
        </w:rPr>
        <w:t xml:space="preserve"> and THIS WAY UP.</w:t>
      </w:r>
    </w:p>
    <w:p w14:paraId="1E12EAB3" w14:textId="417F33EB" w:rsidR="00C22FE0" w:rsidRPr="00C22FE0" w:rsidRDefault="00C22FE0" w:rsidP="00C22FE0">
      <w:pPr>
        <w:snapToGrid w:val="0"/>
        <w:jc w:val="both"/>
        <w:rPr>
          <w:rFonts w:asciiTheme="minorHAnsi" w:eastAsiaTheme="minorEastAsia" w:hAnsiTheme="minorHAnsi" w:cstheme="minorBidi"/>
          <w:iCs/>
          <w:sz w:val="16"/>
          <w:szCs w:val="16"/>
        </w:rPr>
      </w:pPr>
      <w:proofErr w:type="spellStart"/>
      <w:r w:rsidRPr="00C22FE0">
        <w:rPr>
          <w:rFonts w:asciiTheme="minorHAnsi" w:eastAsiaTheme="minorEastAsia" w:hAnsiTheme="minorHAnsi" w:cstheme="minorBidi"/>
          <w:iCs/>
          <w:sz w:val="16"/>
          <w:szCs w:val="16"/>
          <w:vertAlign w:val="superscript"/>
        </w:rPr>
        <w:t>c</w:t>
      </w:r>
      <w:r w:rsidRPr="00C22FE0">
        <w:rPr>
          <w:rFonts w:asciiTheme="minorHAnsi" w:eastAsiaTheme="minorEastAsia" w:hAnsiTheme="minorHAnsi" w:cstheme="minorBidi"/>
          <w:iCs/>
          <w:sz w:val="16"/>
          <w:szCs w:val="16"/>
        </w:rPr>
        <w:t>Transition</w:t>
      </w:r>
      <w:proofErr w:type="spellEnd"/>
      <w:r w:rsidRPr="00C22FE0">
        <w:rPr>
          <w:rFonts w:asciiTheme="minorHAnsi" w:eastAsiaTheme="minorEastAsia" w:hAnsiTheme="minorHAnsi" w:cstheme="minorBidi"/>
          <w:iCs/>
          <w:sz w:val="16"/>
          <w:szCs w:val="16"/>
        </w:rPr>
        <w:t xml:space="preserve"> probabilities for </w:t>
      </w:r>
      <w:proofErr w:type="spellStart"/>
      <w:r w:rsidRPr="00C22FE0">
        <w:rPr>
          <w:rFonts w:asciiTheme="minorHAnsi" w:eastAsiaTheme="minorEastAsia" w:hAnsiTheme="minorHAnsi" w:cstheme="minorBidi"/>
          <w:iCs/>
          <w:sz w:val="16"/>
          <w:szCs w:val="16"/>
        </w:rPr>
        <w:t>MindSpot</w:t>
      </w:r>
      <w:proofErr w:type="spellEnd"/>
      <w:r w:rsidRPr="00C22FE0">
        <w:rPr>
          <w:rFonts w:asciiTheme="minorHAnsi" w:eastAsiaTheme="minorEastAsia" w:hAnsiTheme="minorHAnsi" w:cstheme="minorBidi"/>
          <w:iCs/>
          <w:sz w:val="16"/>
          <w:szCs w:val="16"/>
        </w:rPr>
        <w:t xml:space="preserve"> were estimated using the proportion of consumers moving between symptom severity groups (based on PHQ-9 cut-off points) after commencing therapist-supported treatment, as presented by </w:t>
      </w:r>
      <w:r w:rsidRPr="457FE75D">
        <w:rPr>
          <w:rFonts w:asciiTheme="minorHAnsi" w:eastAsiaTheme="minorEastAsia" w:hAnsiTheme="minorHAnsi" w:cstheme="minorBidi"/>
          <w:sz w:val="16"/>
          <w:szCs w:val="16"/>
        </w:rPr>
        <w:t>Figure 8</w:t>
      </w:r>
      <w:r w:rsidRPr="00C22FE0">
        <w:rPr>
          <w:rFonts w:asciiTheme="minorHAnsi" w:eastAsiaTheme="minorEastAsia" w:hAnsiTheme="minorHAnsi" w:cstheme="minorBidi"/>
          <w:iCs/>
          <w:sz w:val="16"/>
          <w:szCs w:val="16"/>
        </w:rPr>
        <w:t xml:space="preserve"> in </w:t>
      </w:r>
      <w:r w:rsidRPr="457FE75D">
        <w:rPr>
          <w:rFonts w:asciiTheme="minorHAnsi" w:eastAsiaTheme="minorEastAsia" w:hAnsiTheme="minorHAnsi" w:cstheme="minorBidi"/>
          <w:sz w:val="16"/>
          <w:szCs w:val="16"/>
        </w:rPr>
        <w:t>sub-section 4.4.</w:t>
      </w:r>
      <w:r w:rsidRPr="00C22FE0">
        <w:rPr>
          <w:rFonts w:asciiTheme="minorHAnsi" w:eastAsiaTheme="minorEastAsia" w:hAnsiTheme="minorHAnsi" w:cstheme="minorBidi"/>
          <w:iCs/>
          <w:sz w:val="16"/>
          <w:szCs w:val="16"/>
        </w:rPr>
        <w:t xml:space="preserve"> The transition probabilities for self-directed treatment were assumed to be the same as those for therapist-supported treatment.</w:t>
      </w:r>
    </w:p>
    <w:p w14:paraId="0334896C" w14:textId="0170401C" w:rsidR="00C22FE0" w:rsidRPr="00C22FE0" w:rsidRDefault="00C22FE0" w:rsidP="431F4AC4">
      <w:pPr>
        <w:spacing w:after="240"/>
        <w:jc w:val="both"/>
        <w:rPr>
          <w:rFonts w:asciiTheme="minorHAnsi" w:eastAsiaTheme="minorEastAsia" w:hAnsiTheme="minorHAnsi" w:cstheme="minorBidi"/>
          <w:sz w:val="16"/>
          <w:szCs w:val="16"/>
          <w:lang w:eastAsia="zh-CN"/>
        </w:rPr>
      </w:pPr>
      <w:proofErr w:type="spellStart"/>
      <w:r w:rsidRPr="00C22FE0">
        <w:rPr>
          <w:rFonts w:asciiTheme="minorHAnsi" w:eastAsiaTheme="minorEastAsia" w:hAnsiTheme="minorHAnsi" w:cstheme="minorBidi"/>
          <w:iCs/>
          <w:sz w:val="16"/>
          <w:szCs w:val="16"/>
          <w:vertAlign w:val="superscript"/>
        </w:rPr>
        <w:t>d</w:t>
      </w:r>
      <w:r w:rsidRPr="00C22FE0">
        <w:rPr>
          <w:rFonts w:asciiTheme="minorHAnsi" w:eastAsiaTheme="minorEastAsia" w:hAnsiTheme="minorHAnsi" w:cstheme="minorBidi"/>
          <w:iCs/>
          <w:sz w:val="16"/>
          <w:szCs w:val="16"/>
        </w:rPr>
        <w:t>Transition</w:t>
      </w:r>
      <w:proofErr w:type="spellEnd"/>
      <w:r w:rsidRPr="00C22FE0">
        <w:rPr>
          <w:rFonts w:asciiTheme="minorHAnsi" w:eastAsiaTheme="minorEastAsia" w:hAnsiTheme="minorHAnsi" w:cstheme="minorBidi"/>
          <w:iCs/>
          <w:sz w:val="16"/>
          <w:szCs w:val="16"/>
        </w:rPr>
        <w:t xml:space="preserve"> probabilities for THIS WAY UP were estimated using the proportion of consumers moving between symptom severity groups (based on PHQ-9 cut-off points) after commencing therapist-supported treatment, as presented by </w:t>
      </w:r>
      <w:r w:rsidRPr="457FE75D">
        <w:rPr>
          <w:rFonts w:asciiTheme="minorHAnsi" w:eastAsiaTheme="minorEastAsia" w:hAnsiTheme="minorHAnsi" w:cstheme="minorBidi"/>
          <w:sz w:val="16"/>
          <w:szCs w:val="16"/>
        </w:rPr>
        <w:t>Figure 13</w:t>
      </w:r>
      <w:r w:rsidRPr="00C22FE0">
        <w:rPr>
          <w:rFonts w:asciiTheme="minorHAnsi" w:eastAsiaTheme="minorEastAsia" w:hAnsiTheme="minorHAnsi" w:cstheme="minorBidi"/>
          <w:iCs/>
          <w:sz w:val="16"/>
          <w:szCs w:val="16"/>
        </w:rPr>
        <w:t xml:space="preserve"> in sub-section </w:t>
      </w:r>
      <w:r w:rsidRPr="457FE75D">
        <w:rPr>
          <w:rFonts w:asciiTheme="minorHAnsi" w:eastAsiaTheme="minorEastAsia" w:hAnsiTheme="minorHAnsi" w:cstheme="minorBidi"/>
          <w:sz w:val="16"/>
          <w:szCs w:val="16"/>
        </w:rPr>
        <w:t>4.5</w:t>
      </w:r>
      <w:r w:rsidRPr="00C22FE0">
        <w:rPr>
          <w:rFonts w:asciiTheme="minorHAnsi" w:eastAsiaTheme="minorEastAsia" w:hAnsiTheme="minorHAnsi" w:cstheme="minorBidi"/>
          <w:iCs/>
          <w:sz w:val="16"/>
          <w:szCs w:val="16"/>
        </w:rPr>
        <w:t xml:space="preserve">. </w:t>
      </w:r>
    </w:p>
    <w:p w14:paraId="1188ADC8" w14:textId="327C3B04" w:rsidR="00C22FE0" w:rsidRPr="00C22FE0" w:rsidRDefault="00C22FE0" w:rsidP="00C22FE0">
      <w:pPr>
        <w:keepLines/>
        <w:spacing w:after="120"/>
        <w:outlineLvl w:val="2"/>
        <w:rPr>
          <w:rFonts w:asciiTheme="minorHAnsi" w:eastAsiaTheme="majorEastAsia" w:hAnsiTheme="minorHAnsi" w:cstheme="majorBidi"/>
          <w:b/>
          <w:i/>
          <w:color w:val="000000" w:themeColor="text1"/>
          <w:sz w:val="21"/>
          <w:szCs w:val="21"/>
          <w:lang w:val="en-US" w:eastAsia="en-US"/>
        </w:rPr>
      </w:pPr>
      <w:r w:rsidRPr="008E7F21">
        <w:rPr>
          <w:rFonts w:asciiTheme="minorHAnsi" w:eastAsiaTheme="majorEastAsia" w:hAnsiTheme="minorHAnsi" w:cstheme="majorBidi"/>
          <w:b/>
          <w:color w:val="000000" w:themeColor="text1"/>
          <w:sz w:val="21"/>
          <w:szCs w:val="21"/>
          <w:lang w:val="en-US" w:eastAsia="en-US"/>
        </w:rPr>
        <w:t xml:space="preserve">Table </w:t>
      </w:r>
      <w:r w:rsidR="00C754B0">
        <w:rPr>
          <w:rFonts w:asciiTheme="minorHAnsi" w:eastAsiaTheme="majorEastAsia" w:hAnsiTheme="minorHAnsi" w:cstheme="majorBidi"/>
          <w:b/>
          <w:color w:val="000000" w:themeColor="text1"/>
          <w:sz w:val="21"/>
          <w:szCs w:val="21"/>
          <w:lang w:val="en-US" w:eastAsia="en-US"/>
        </w:rPr>
        <w:t>L1</w:t>
      </w:r>
      <w:r w:rsidRPr="008E7F21">
        <w:rPr>
          <w:rFonts w:asciiTheme="minorHAnsi" w:eastAsiaTheme="majorEastAsia" w:hAnsiTheme="minorHAnsi" w:cstheme="majorBidi"/>
          <w:b/>
          <w:color w:val="000000" w:themeColor="text1"/>
          <w:sz w:val="21"/>
          <w:szCs w:val="21"/>
          <w:lang w:val="en-US" w:eastAsia="en-US"/>
        </w:rPr>
        <w:t>.4 Transition</w:t>
      </w:r>
      <w:r w:rsidRPr="00C22FE0">
        <w:rPr>
          <w:rFonts w:asciiTheme="minorHAnsi" w:eastAsiaTheme="majorEastAsia" w:hAnsiTheme="minorHAnsi" w:cstheme="majorBidi"/>
          <w:b/>
          <w:color w:val="000000" w:themeColor="text1"/>
          <w:sz w:val="21"/>
          <w:szCs w:val="21"/>
          <w:lang w:val="en-US" w:eastAsia="en-US"/>
        </w:rPr>
        <w:t xml:space="preserve"> probabilities used in the cost-effectiveness modelling (based on GAD-7 outcomes)</w:t>
      </w:r>
    </w:p>
    <w:tbl>
      <w:tblPr>
        <w:tblStyle w:val="PlainTable413"/>
        <w:tblW w:w="9000" w:type="dxa"/>
        <w:tblInd w:w="0" w:type="dxa"/>
        <w:tblBorders>
          <w:top w:val="single" w:sz="8" w:space="0" w:color="auto"/>
          <w:left w:val="single" w:sz="8" w:space="0" w:color="auto"/>
          <w:bottom w:val="single" w:sz="8" w:space="0" w:color="auto"/>
          <w:right w:val="single" w:sz="8" w:space="0" w:color="auto"/>
          <w:insideV w:val="single" w:sz="8" w:space="0" w:color="auto"/>
        </w:tblBorders>
        <w:tblLayout w:type="fixed"/>
        <w:tblLook w:val="04A0" w:firstRow="1" w:lastRow="0" w:firstColumn="1" w:lastColumn="0" w:noHBand="0" w:noVBand="1"/>
        <w:tblCaption w:val="Table L1.4 Transition probabilities used in the cost-effectiveness modelling (based on GAD-7 outcomes)"/>
        <w:tblDescription w:val="A table providing the transition probabilities for the four health states based on Generalized Anxiety Disorder 7 that are used in the cost-effectiveness modelling. The transition probabilities are presented for the indirect comparator group and the three digital mental health service, grouped according to self-directed treatment and therapist-supported treatment.  "/>
      </w:tblPr>
      <w:tblGrid>
        <w:gridCol w:w="2897"/>
        <w:gridCol w:w="1525"/>
        <w:gridCol w:w="1526"/>
        <w:gridCol w:w="1526"/>
        <w:gridCol w:w="1526"/>
      </w:tblGrid>
      <w:tr w:rsidR="00C22FE0" w:rsidRPr="00C22FE0" w14:paraId="78705BCF" w14:textId="77777777" w:rsidTr="00A56C43">
        <w:trPr>
          <w:cnfStyle w:val="100000000000" w:firstRow="1" w:lastRow="0" w:firstColumn="0" w:lastColumn="0" w:oddVBand="0" w:evenVBand="0" w:oddHBand="0" w:evenHBand="0" w:firstRowFirstColumn="0" w:firstRowLastColumn="0" w:lastRowFirstColumn="0" w:lastRowLastColumn="0"/>
          <w:trHeight w:val="610"/>
          <w:tblHeader/>
        </w:trPr>
        <w:tc>
          <w:tcPr>
            <w:cnfStyle w:val="001000000000" w:firstRow="0" w:lastRow="0" w:firstColumn="1" w:lastColumn="0" w:oddVBand="0" w:evenVBand="0" w:oddHBand="0" w:evenHBand="0" w:firstRowFirstColumn="0" w:firstRowLastColumn="0" w:lastRowFirstColumn="0" w:lastRowLastColumn="0"/>
            <w:tcW w:w="2897" w:type="dxa"/>
            <w:tcBorders>
              <w:top w:val="single" w:sz="8" w:space="0" w:color="auto"/>
              <w:left w:val="single" w:sz="8" w:space="0" w:color="auto"/>
              <w:bottom w:val="nil"/>
              <w:right w:val="single" w:sz="8" w:space="0" w:color="auto"/>
            </w:tcBorders>
            <w:shd w:val="clear" w:color="auto" w:fill="000000" w:themeFill="text1"/>
            <w:noWrap/>
            <w:hideMark/>
          </w:tcPr>
          <w:p w14:paraId="437F9851" w14:textId="77777777" w:rsidR="00C22FE0" w:rsidRPr="00C22FE0" w:rsidRDefault="00C22FE0" w:rsidP="00C22FE0">
            <w:pPr>
              <w:snapToGrid w:val="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Parameter</w:t>
            </w:r>
          </w:p>
        </w:tc>
        <w:tc>
          <w:tcPr>
            <w:tcW w:w="1525" w:type="dxa"/>
            <w:tcBorders>
              <w:top w:val="single" w:sz="8" w:space="0" w:color="auto"/>
              <w:left w:val="single" w:sz="8" w:space="0" w:color="auto"/>
              <w:bottom w:val="nil"/>
              <w:right w:val="single" w:sz="8" w:space="0" w:color="auto"/>
            </w:tcBorders>
            <w:shd w:val="clear" w:color="auto" w:fill="000000" w:themeFill="text1"/>
          </w:tcPr>
          <w:p w14:paraId="110330EC"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 xml:space="preserve">Indirect </w:t>
            </w:r>
            <w:proofErr w:type="spellStart"/>
            <w:r w:rsidRPr="00C22FE0">
              <w:rPr>
                <w:rFonts w:ascii="Calibri" w:hAnsi="Calibri" w:cs="Calibri"/>
                <w:color w:val="FFFFFF" w:themeColor="background1"/>
                <w:sz w:val="18"/>
                <w:szCs w:val="18"/>
                <w:lang w:eastAsia="en-AU"/>
              </w:rPr>
              <w:t>comparator</w:t>
            </w:r>
            <w:r w:rsidRPr="00C22FE0">
              <w:rPr>
                <w:sz w:val="18"/>
                <w:szCs w:val="18"/>
                <w:vertAlign w:val="superscript"/>
                <w:lang w:eastAsia="en-US"/>
              </w:rPr>
              <w:t>a</w:t>
            </w:r>
            <w:proofErr w:type="spellEnd"/>
          </w:p>
        </w:tc>
        <w:tc>
          <w:tcPr>
            <w:tcW w:w="1526" w:type="dxa"/>
            <w:tcBorders>
              <w:top w:val="single" w:sz="8" w:space="0" w:color="auto"/>
              <w:left w:val="single" w:sz="8" w:space="0" w:color="auto"/>
              <w:bottom w:val="nil"/>
              <w:right w:val="single" w:sz="8" w:space="0" w:color="auto"/>
            </w:tcBorders>
            <w:shd w:val="clear" w:color="auto" w:fill="000000" w:themeFill="text1"/>
          </w:tcPr>
          <w:p w14:paraId="42788AE0"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 xml:space="preserve">Mental Health </w:t>
            </w:r>
            <w:proofErr w:type="spellStart"/>
            <w:r w:rsidRPr="00C22FE0">
              <w:rPr>
                <w:rFonts w:ascii="Calibri" w:hAnsi="Calibri" w:cs="Calibri"/>
                <w:color w:val="FFFFFF" w:themeColor="background1"/>
                <w:sz w:val="18"/>
                <w:szCs w:val="18"/>
                <w:lang w:eastAsia="en-AU"/>
              </w:rPr>
              <w:t>Online</w:t>
            </w:r>
            <w:r w:rsidRPr="00C22FE0">
              <w:rPr>
                <w:sz w:val="18"/>
                <w:szCs w:val="18"/>
                <w:vertAlign w:val="superscript"/>
                <w:lang w:eastAsia="en-US"/>
              </w:rPr>
              <w:t>b</w:t>
            </w:r>
            <w:proofErr w:type="spellEnd"/>
          </w:p>
        </w:tc>
        <w:tc>
          <w:tcPr>
            <w:tcW w:w="1526" w:type="dxa"/>
            <w:tcBorders>
              <w:top w:val="single" w:sz="8" w:space="0" w:color="auto"/>
              <w:left w:val="single" w:sz="8" w:space="0" w:color="auto"/>
              <w:bottom w:val="nil"/>
              <w:right w:val="single" w:sz="8" w:space="0" w:color="auto"/>
            </w:tcBorders>
            <w:shd w:val="clear" w:color="auto" w:fill="000000" w:themeFill="text1"/>
          </w:tcPr>
          <w:p w14:paraId="2574959C"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proofErr w:type="spellStart"/>
            <w:r w:rsidRPr="00C22FE0">
              <w:rPr>
                <w:rFonts w:ascii="Calibri" w:hAnsi="Calibri" w:cs="Calibri"/>
                <w:color w:val="FFFFFF" w:themeColor="background1"/>
                <w:sz w:val="18"/>
                <w:szCs w:val="18"/>
                <w:lang w:eastAsia="en-AU"/>
              </w:rPr>
              <w:t>MindSpot</w:t>
            </w:r>
            <w:r w:rsidRPr="00C22FE0">
              <w:rPr>
                <w:sz w:val="18"/>
                <w:szCs w:val="18"/>
                <w:vertAlign w:val="superscript"/>
                <w:lang w:eastAsia="en-US"/>
              </w:rPr>
              <w:t>c</w:t>
            </w:r>
            <w:proofErr w:type="spellEnd"/>
          </w:p>
        </w:tc>
        <w:tc>
          <w:tcPr>
            <w:tcW w:w="1526" w:type="dxa"/>
            <w:tcBorders>
              <w:top w:val="single" w:sz="8" w:space="0" w:color="auto"/>
              <w:left w:val="single" w:sz="8" w:space="0" w:color="auto"/>
              <w:bottom w:val="nil"/>
              <w:right w:val="single" w:sz="8" w:space="0" w:color="auto"/>
            </w:tcBorders>
            <w:shd w:val="clear" w:color="auto" w:fill="000000" w:themeFill="text1"/>
          </w:tcPr>
          <w:p w14:paraId="049C3A2C"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 xml:space="preserve">THIS WAY </w:t>
            </w:r>
            <w:proofErr w:type="spellStart"/>
            <w:r w:rsidRPr="00C22FE0">
              <w:rPr>
                <w:rFonts w:ascii="Calibri" w:hAnsi="Calibri" w:cs="Calibri"/>
                <w:color w:val="FFFFFF" w:themeColor="background1"/>
                <w:sz w:val="18"/>
                <w:szCs w:val="18"/>
                <w:lang w:eastAsia="en-AU"/>
              </w:rPr>
              <w:t>UP</w:t>
            </w:r>
            <w:r w:rsidRPr="00C22FE0">
              <w:rPr>
                <w:sz w:val="18"/>
                <w:szCs w:val="18"/>
                <w:vertAlign w:val="superscript"/>
                <w:lang w:eastAsia="en-US"/>
              </w:rPr>
              <w:t>d</w:t>
            </w:r>
            <w:proofErr w:type="spellEnd"/>
          </w:p>
        </w:tc>
      </w:tr>
      <w:tr w:rsidR="00C22FE0" w:rsidRPr="00C22FE0" w14:paraId="3D41855F"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097F0C63"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Self-directed treatment</w:t>
            </w:r>
          </w:p>
        </w:tc>
        <w:tc>
          <w:tcPr>
            <w:tcW w:w="1525" w:type="dxa"/>
            <w:tcBorders>
              <w:top w:val="nil"/>
              <w:left w:val="single" w:sz="8" w:space="0" w:color="auto"/>
              <w:bottom w:val="nil"/>
              <w:right w:val="single" w:sz="8" w:space="0" w:color="auto"/>
            </w:tcBorders>
            <w:shd w:val="clear" w:color="auto" w:fill="auto"/>
          </w:tcPr>
          <w:p w14:paraId="6A0AF2E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41165A7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119893E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256F634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r>
      <w:tr w:rsidR="00C22FE0" w:rsidRPr="00C22FE0" w14:paraId="4518554B"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15A665C8"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Transition probabilities:</w:t>
            </w:r>
          </w:p>
        </w:tc>
        <w:tc>
          <w:tcPr>
            <w:tcW w:w="1525" w:type="dxa"/>
            <w:tcBorders>
              <w:top w:val="nil"/>
              <w:left w:val="single" w:sz="8" w:space="0" w:color="auto"/>
              <w:bottom w:val="nil"/>
              <w:right w:val="single" w:sz="8" w:space="0" w:color="auto"/>
            </w:tcBorders>
            <w:shd w:val="clear" w:color="auto" w:fill="auto"/>
          </w:tcPr>
          <w:p w14:paraId="2B9B5C1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022874D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6516FC1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3DD23A6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r>
      <w:tr w:rsidR="00C22FE0" w:rsidRPr="00C22FE0" w14:paraId="4807551D"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518CF516"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Fully recovered</w:t>
            </w:r>
          </w:p>
        </w:tc>
        <w:tc>
          <w:tcPr>
            <w:tcW w:w="1525" w:type="dxa"/>
            <w:tcBorders>
              <w:top w:val="nil"/>
              <w:left w:val="single" w:sz="8" w:space="0" w:color="auto"/>
              <w:bottom w:val="nil"/>
              <w:right w:val="single" w:sz="8" w:space="0" w:color="auto"/>
            </w:tcBorders>
            <w:shd w:val="clear" w:color="auto" w:fill="auto"/>
            <w:vAlign w:val="center"/>
          </w:tcPr>
          <w:p w14:paraId="27A33AD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0.111</w:t>
            </w:r>
          </w:p>
        </w:tc>
        <w:tc>
          <w:tcPr>
            <w:tcW w:w="1526" w:type="dxa"/>
            <w:tcBorders>
              <w:top w:val="nil"/>
              <w:left w:val="single" w:sz="8" w:space="0" w:color="auto"/>
              <w:bottom w:val="nil"/>
              <w:right w:val="single" w:sz="8" w:space="0" w:color="auto"/>
            </w:tcBorders>
            <w:shd w:val="clear" w:color="auto" w:fill="auto"/>
            <w:vAlign w:val="center"/>
          </w:tcPr>
          <w:p w14:paraId="3C15088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0.423</w:t>
            </w:r>
          </w:p>
        </w:tc>
        <w:tc>
          <w:tcPr>
            <w:tcW w:w="1526" w:type="dxa"/>
            <w:tcBorders>
              <w:top w:val="nil"/>
              <w:left w:val="single" w:sz="8" w:space="0" w:color="auto"/>
              <w:bottom w:val="nil"/>
              <w:right w:val="single" w:sz="8" w:space="0" w:color="auto"/>
            </w:tcBorders>
            <w:shd w:val="clear" w:color="auto" w:fill="auto"/>
            <w:vAlign w:val="center"/>
          </w:tcPr>
          <w:p w14:paraId="0DF4BBE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0.422</w:t>
            </w:r>
          </w:p>
        </w:tc>
        <w:tc>
          <w:tcPr>
            <w:tcW w:w="1526" w:type="dxa"/>
            <w:tcBorders>
              <w:top w:val="nil"/>
              <w:left w:val="single" w:sz="8" w:space="0" w:color="auto"/>
              <w:bottom w:val="nil"/>
              <w:right w:val="single" w:sz="8" w:space="0" w:color="auto"/>
            </w:tcBorders>
            <w:shd w:val="clear" w:color="auto" w:fill="auto"/>
            <w:vAlign w:val="center"/>
          </w:tcPr>
          <w:p w14:paraId="00DA0BE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0.424</w:t>
            </w:r>
          </w:p>
        </w:tc>
      </w:tr>
      <w:tr w:rsidR="00C22FE0" w:rsidRPr="00C22FE0" w14:paraId="2690F34C"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5C591C37"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Partially recovered</w:t>
            </w:r>
          </w:p>
        </w:tc>
        <w:tc>
          <w:tcPr>
            <w:tcW w:w="1525" w:type="dxa"/>
            <w:tcBorders>
              <w:top w:val="nil"/>
              <w:left w:val="single" w:sz="8" w:space="0" w:color="auto"/>
              <w:bottom w:val="nil"/>
              <w:right w:val="single" w:sz="8" w:space="0" w:color="auto"/>
            </w:tcBorders>
            <w:shd w:val="clear" w:color="auto" w:fill="auto"/>
            <w:vAlign w:val="center"/>
          </w:tcPr>
          <w:p w14:paraId="619C57C0"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0.044</w:t>
            </w:r>
          </w:p>
        </w:tc>
        <w:tc>
          <w:tcPr>
            <w:tcW w:w="1526" w:type="dxa"/>
            <w:tcBorders>
              <w:top w:val="nil"/>
              <w:left w:val="single" w:sz="8" w:space="0" w:color="auto"/>
              <w:bottom w:val="nil"/>
              <w:right w:val="single" w:sz="8" w:space="0" w:color="auto"/>
            </w:tcBorders>
            <w:shd w:val="clear" w:color="auto" w:fill="auto"/>
            <w:vAlign w:val="center"/>
          </w:tcPr>
          <w:p w14:paraId="45DF3E8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0.182</w:t>
            </w:r>
          </w:p>
        </w:tc>
        <w:tc>
          <w:tcPr>
            <w:tcW w:w="1526" w:type="dxa"/>
            <w:tcBorders>
              <w:top w:val="nil"/>
              <w:left w:val="single" w:sz="8" w:space="0" w:color="auto"/>
              <w:bottom w:val="nil"/>
              <w:right w:val="single" w:sz="8" w:space="0" w:color="auto"/>
            </w:tcBorders>
            <w:shd w:val="clear" w:color="auto" w:fill="auto"/>
            <w:vAlign w:val="center"/>
          </w:tcPr>
          <w:p w14:paraId="206FDDA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0.181</w:t>
            </w:r>
          </w:p>
        </w:tc>
        <w:tc>
          <w:tcPr>
            <w:tcW w:w="1526" w:type="dxa"/>
            <w:tcBorders>
              <w:top w:val="nil"/>
              <w:left w:val="single" w:sz="8" w:space="0" w:color="auto"/>
              <w:bottom w:val="nil"/>
              <w:right w:val="single" w:sz="8" w:space="0" w:color="auto"/>
            </w:tcBorders>
            <w:shd w:val="clear" w:color="auto" w:fill="auto"/>
            <w:vAlign w:val="center"/>
          </w:tcPr>
          <w:p w14:paraId="7E97F4A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0.182</w:t>
            </w:r>
          </w:p>
        </w:tc>
      </w:tr>
      <w:tr w:rsidR="00C22FE0" w:rsidRPr="00C22FE0" w14:paraId="208C3083"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21D27B9C"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No improvement</w:t>
            </w:r>
          </w:p>
        </w:tc>
        <w:tc>
          <w:tcPr>
            <w:tcW w:w="1525" w:type="dxa"/>
            <w:tcBorders>
              <w:top w:val="nil"/>
              <w:left w:val="single" w:sz="8" w:space="0" w:color="auto"/>
              <w:bottom w:val="nil"/>
              <w:right w:val="single" w:sz="8" w:space="0" w:color="auto"/>
            </w:tcBorders>
            <w:shd w:val="clear" w:color="auto" w:fill="auto"/>
            <w:vAlign w:val="center"/>
          </w:tcPr>
          <w:p w14:paraId="22DCD0B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0.689</w:t>
            </w:r>
          </w:p>
        </w:tc>
        <w:tc>
          <w:tcPr>
            <w:tcW w:w="1526" w:type="dxa"/>
            <w:tcBorders>
              <w:top w:val="nil"/>
              <w:left w:val="single" w:sz="8" w:space="0" w:color="auto"/>
              <w:bottom w:val="nil"/>
              <w:right w:val="single" w:sz="8" w:space="0" w:color="auto"/>
            </w:tcBorders>
            <w:shd w:val="clear" w:color="auto" w:fill="auto"/>
            <w:vAlign w:val="center"/>
          </w:tcPr>
          <w:p w14:paraId="0C3FA31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0.337</w:t>
            </w:r>
          </w:p>
        </w:tc>
        <w:tc>
          <w:tcPr>
            <w:tcW w:w="1526" w:type="dxa"/>
            <w:tcBorders>
              <w:top w:val="nil"/>
              <w:left w:val="single" w:sz="8" w:space="0" w:color="auto"/>
              <w:bottom w:val="nil"/>
              <w:right w:val="single" w:sz="8" w:space="0" w:color="auto"/>
            </w:tcBorders>
            <w:shd w:val="clear" w:color="auto" w:fill="auto"/>
            <w:vAlign w:val="center"/>
          </w:tcPr>
          <w:p w14:paraId="005FB1E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0.329</w:t>
            </w:r>
          </w:p>
        </w:tc>
        <w:tc>
          <w:tcPr>
            <w:tcW w:w="1526" w:type="dxa"/>
            <w:tcBorders>
              <w:top w:val="nil"/>
              <w:left w:val="single" w:sz="8" w:space="0" w:color="auto"/>
              <w:bottom w:val="nil"/>
              <w:right w:val="single" w:sz="8" w:space="0" w:color="auto"/>
            </w:tcBorders>
            <w:shd w:val="clear" w:color="auto" w:fill="auto"/>
            <w:vAlign w:val="center"/>
          </w:tcPr>
          <w:p w14:paraId="7239700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0.344</w:t>
            </w:r>
          </w:p>
        </w:tc>
      </w:tr>
      <w:tr w:rsidR="00C22FE0" w:rsidRPr="00C22FE0" w14:paraId="42FC8392"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3D2DE3A3"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Deteriorated</w:t>
            </w:r>
          </w:p>
        </w:tc>
        <w:tc>
          <w:tcPr>
            <w:tcW w:w="1525" w:type="dxa"/>
            <w:tcBorders>
              <w:top w:val="nil"/>
              <w:left w:val="single" w:sz="8" w:space="0" w:color="auto"/>
              <w:bottom w:val="nil"/>
              <w:right w:val="single" w:sz="8" w:space="0" w:color="auto"/>
            </w:tcBorders>
            <w:shd w:val="clear" w:color="auto" w:fill="auto"/>
            <w:vAlign w:val="center"/>
          </w:tcPr>
          <w:p w14:paraId="2482BA1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0.156</w:t>
            </w:r>
          </w:p>
        </w:tc>
        <w:tc>
          <w:tcPr>
            <w:tcW w:w="1526" w:type="dxa"/>
            <w:tcBorders>
              <w:top w:val="nil"/>
              <w:left w:val="single" w:sz="8" w:space="0" w:color="auto"/>
              <w:bottom w:val="nil"/>
              <w:right w:val="single" w:sz="8" w:space="0" w:color="auto"/>
            </w:tcBorders>
            <w:shd w:val="clear" w:color="auto" w:fill="auto"/>
            <w:vAlign w:val="center"/>
          </w:tcPr>
          <w:p w14:paraId="4629979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0.059</w:t>
            </w:r>
          </w:p>
        </w:tc>
        <w:tc>
          <w:tcPr>
            <w:tcW w:w="1526" w:type="dxa"/>
            <w:tcBorders>
              <w:top w:val="nil"/>
              <w:left w:val="single" w:sz="8" w:space="0" w:color="auto"/>
              <w:bottom w:val="nil"/>
              <w:right w:val="single" w:sz="8" w:space="0" w:color="auto"/>
            </w:tcBorders>
            <w:shd w:val="clear" w:color="auto" w:fill="auto"/>
            <w:vAlign w:val="center"/>
          </w:tcPr>
          <w:p w14:paraId="44AA2FA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0.068</w:t>
            </w:r>
          </w:p>
        </w:tc>
        <w:tc>
          <w:tcPr>
            <w:tcW w:w="1526" w:type="dxa"/>
            <w:tcBorders>
              <w:top w:val="nil"/>
              <w:left w:val="single" w:sz="8" w:space="0" w:color="auto"/>
              <w:bottom w:val="nil"/>
              <w:right w:val="single" w:sz="8" w:space="0" w:color="auto"/>
            </w:tcBorders>
            <w:shd w:val="clear" w:color="auto" w:fill="auto"/>
            <w:vAlign w:val="center"/>
          </w:tcPr>
          <w:p w14:paraId="4FF34720"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0.049</w:t>
            </w:r>
          </w:p>
        </w:tc>
      </w:tr>
      <w:tr w:rsidR="00C22FE0" w:rsidRPr="00C22FE0" w14:paraId="2D5EDB12"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6C5055EC" w14:textId="77777777" w:rsidR="00C22FE0" w:rsidRPr="00C22FE0" w:rsidRDefault="00C22FE0" w:rsidP="00C22FE0">
            <w:pPr>
              <w:snapToGrid w:val="0"/>
              <w:rPr>
                <w:rFonts w:ascii="Calibri" w:hAnsi="Calibri" w:cs="Calibri"/>
                <w:color w:val="000000"/>
                <w:sz w:val="18"/>
                <w:szCs w:val="18"/>
                <w:lang w:eastAsia="en-AU"/>
              </w:rPr>
            </w:pPr>
          </w:p>
        </w:tc>
        <w:tc>
          <w:tcPr>
            <w:tcW w:w="1525" w:type="dxa"/>
            <w:tcBorders>
              <w:top w:val="nil"/>
              <w:left w:val="single" w:sz="8" w:space="0" w:color="auto"/>
              <w:bottom w:val="nil"/>
              <w:right w:val="single" w:sz="8" w:space="0" w:color="auto"/>
            </w:tcBorders>
            <w:shd w:val="clear" w:color="auto" w:fill="auto"/>
            <w:vAlign w:val="center"/>
          </w:tcPr>
          <w:p w14:paraId="60FD2F6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6C1149A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6E4287F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09661C7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r>
      <w:tr w:rsidR="00C22FE0" w:rsidRPr="00C22FE0" w14:paraId="546F0D27"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2B071336"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Therapist-supported treatment</w:t>
            </w:r>
          </w:p>
        </w:tc>
        <w:tc>
          <w:tcPr>
            <w:tcW w:w="1525" w:type="dxa"/>
            <w:tcBorders>
              <w:top w:val="nil"/>
              <w:left w:val="single" w:sz="8" w:space="0" w:color="auto"/>
              <w:bottom w:val="nil"/>
              <w:right w:val="single" w:sz="8" w:space="0" w:color="auto"/>
            </w:tcBorders>
            <w:shd w:val="clear" w:color="auto" w:fill="auto"/>
            <w:vAlign w:val="center"/>
          </w:tcPr>
          <w:p w14:paraId="4978D80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3C0392F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7029666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7F49FCA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p>
        </w:tc>
      </w:tr>
      <w:tr w:rsidR="00C22FE0" w:rsidRPr="00C22FE0" w14:paraId="307ECF01"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435873B3"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Transition probabilities:</w:t>
            </w:r>
          </w:p>
        </w:tc>
        <w:tc>
          <w:tcPr>
            <w:tcW w:w="1525" w:type="dxa"/>
            <w:tcBorders>
              <w:top w:val="nil"/>
              <w:left w:val="single" w:sz="8" w:space="0" w:color="auto"/>
              <w:bottom w:val="nil"/>
              <w:right w:val="single" w:sz="8" w:space="0" w:color="auto"/>
            </w:tcBorders>
            <w:shd w:val="clear" w:color="auto" w:fill="auto"/>
            <w:vAlign w:val="center"/>
          </w:tcPr>
          <w:p w14:paraId="335B6E6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55A706C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03BB3A2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40B3102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r>
      <w:tr w:rsidR="00C22FE0" w:rsidRPr="00C22FE0" w14:paraId="7A939355"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0BD82D5D"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Fully recovered</w:t>
            </w:r>
          </w:p>
        </w:tc>
        <w:tc>
          <w:tcPr>
            <w:tcW w:w="1525" w:type="dxa"/>
            <w:tcBorders>
              <w:top w:val="nil"/>
              <w:left w:val="single" w:sz="8" w:space="0" w:color="auto"/>
              <w:bottom w:val="nil"/>
              <w:right w:val="single" w:sz="8" w:space="0" w:color="auto"/>
            </w:tcBorders>
            <w:shd w:val="clear" w:color="auto" w:fill="auto"/>
            <w:vAlign w:val="center"/>
          </w:tcPr>
          <w:p w14:paraId="7F50EDA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0.111</w:t>
            </w:r>
          </w:p>
        </w:tc>
        <w:tc>
          <w:tcPr>
            <w:tcW w:w="1526" w:type="dxa"/>
            <w:tcBorders>
              <w:top w:val="nil"/>
              <w:left w:val="single" w:sz="8" w:space="0" w:color="auto"/>
              <w:bottom w:val="nil"/>
              <w:right w:val="single" w:sz="8" w:space="0" w:color="auto"/>
            </w:tcBorders>
            <w:shd w:val="clear" w:color="auto" w:fill="auto"/>
            <w:vAlign w:val="center"/>
          </w:tcPr>
          <w:p w14:paraId="5EB9E13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0.439</w:t>
            </w:r>
          </w:p>
        </w:tc>
        <w:tc>
          <w:tcPr>
            <w:tcW w:w="1526" w:type="dxa"/>
            <w:tcBorders>
              <w:top w:val="nil"/>
              <w:left w:val="single" w:sz="8" w:space="0" w:color="auto"/>
              <w:bottom w:val="nil"/>
              <w:right w:val="single" w:sz="8" w:space="0" w:color="auto"/>
            </w:tcBorders>
            <w:shd w:val="clear" w:color="auto" w:fill="auto"/>
            <w:vAlign w:val="center"/>
          </w:tcPr>
          <w:p w14:paraId="1C026BE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0.422</w:t>
            </w:r>
          </w:p>
        </w:tc>
        <w:tc>
          <w:tcPr>
            <w:tcW w:w="1526" w:type="dxa"/>
            <w:tcBorders>
              <w:top w:val="nil"/>
              <w:left w:val="single" w:sz="8" w:space="0" w:color="auto"/>
              <w:bottom w:val="nil"/>
              <w:right w:val="single" w:sz="8" w:space="0" w:color="auto"/>
            </w:tcBorders>
            <w:shd w:val="clear" w:color="auto" w:fill="auto"/>
            <w:vAlign w:val="center"/>
          </w:tcPr>
          <w:p w14:paraId="23F1493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0.439</w:t>
            </w:r>
          </w:p>
        </w:tc>
      </w:tr>
      <w:tr w:rsidR="00C22FE0" w:rsidRPr="00C22FE0" w14:paraId="5D5674EA"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0A880C7B"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Partially recovered</w:t>
            </w:r>
          </w:p>
        </w:tc>
        <w:tc>
          <w:tcPr>
            <w:tcW w:w="1525" w:type="dxa"/>
            <w:tcBorders>
              <w:top w:val="nil"/>
              <w:left w:val="single" w:sz="8" w:space="0" w:color="auto"/>
              <w:bottom w:val="nil"/>
              <w:right w:val="single" w:sz="8" w:space="0" w:color="auto"/>
            </w:tcBorders>
            <w:shd w:val="clear" w:color="auto" w:fill="auto"/>
            <w:vAlign w:val="center"/>
          </w:tcPr>
          <w:p w14:paraId="2053940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0.044</w:t>
            </w:r>
          </w:p>
        </w:tc>
        <w:tc>
          <w:tcPr>
            <w:tcW w:w="1526" w:type="dxa"/>
            <w:tcBorders>
              <w:top w:val="nil"/>
              <w:left w:val="single" w:sz="8" w:space="0" w:color="auto"/>
              <w:bottom w:val="nil"/>
              <w:right w:val="single" w:sz="8" w:space="0" w:color="auto"/>
            </w:tcBorders>
            <w:shd w:val="clear" w:color="auto" w:fill="auto"/>
            <w:vAlign w:val="center"/>
          </w:tcPr>
          <w:p w14:paraId="416316C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0.188</w:t>
            </w:r>
          </w:p>
        </w:tc>
        <w:tc>
          <w:tcPr>
            <w:tcW w:w="1526" w:type="dxa"/>
            <w:tcBorders>
              <w:top w:val="nil"/>
              <w:left w:val="single" w:sz="8" w:space="0" w:color="auto"/>
              <w:bottom w:val="nil"/>
              <w:right w:val="single" w:sz="8" w:space="0" w:color="auto"/>
            </w:tcBorders>
            <w:shd w:val="clear" w:color="auto" w:fill="auto"/>
            <w:vAlign w:val="center"/>
          </w:tcPr>
          <w:p w14:paraId="116EA82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0.181</w:t>
            </w:r>
          </w:p>
        </w:tc>
        <w:tc>
          <w:tcPr>
            <w:tcW w:w="1526" w:type="dxa"/>
            <w:tcBorders>
              <w:top w:val="nil"/>
              <w:left w:val="single" w:sz="8" w:space="0" w:color="auto"/>
              <w:bottom w:val="nil"/>
              <w:right w:val="single" w:sz="8" w:space="0" w:color="auto"/>
            </w:tcBorders>
            <w:shd w:val="clear" w:color="auto" w:fill="auto"/>
            <w:vAlign w:val="center"/>
          </w:tcPr>
          <w:p w14:paraId="5D35359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0.188</w:t>
            </w:r>
          </w:p>
        </w:tc>
      </w:tr>
      <w:tr w:rsidR="00C22FE0" w:rsidRPr="00C22FE0" w14:paraId="4D8C7A72"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58D02DA4"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No improvement</w:t>
            </w:r>
          </w:p>
        </w:tc>
        <w:tc>
          <w:tcPr>
            <w:tcW w:w="1525" w:type="dxa"/>
            <w:tcBorders>
              <w:top w:val="nil"/>
              <w:left w:val="single" w:sz="8" w:space="0" w:color="auto"/>
              <w:bottom w:val="nil"/>
              <w:right w:val="single" w:sz="8" w:space="0" w:color="auto"/>
            </w:tcBorders>
            <w:shd w:val="clear" w:color="auto" w:fill="auto"/>
            <w:vAlign w:val="center"/>
          </w:tcPr>
          <w:p w14:paraId="4573D75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0.689</w:t>
            </w:r>
          </w:p>
        </w:tc>
        <w:tc>
          <w:tcPr>
            <w:tcW w:w="1526" w:type="dxa"/>
            <w:tcBorders>
              <w:top w:val="nil"/>
              <w:left w:val="single" w:sz="8" w:space="0" w:color="auto"/>
              <w:bottom w:val="nil"/>
              <w:right w:val="single" w:sz="8" w:space="0" w:color="auto"/>
            </w:tcBorders>
            <w:shd w:val="clear" w:color="auto" w:fill="auto"/>
            <w:vAlign w:val="center"/>
          </w:tcPr>
          <w:p w14:paraId="08196B5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0.317</w:t>
            </w:r>
          </w:p>
        </w:tc>
        <w:tc>
          <w:tcPr>
            <w:tcW w:w="1526" w:type="dxa"/>
            <w:tcBorders>
              <w:top w:val="nil"/>
              <w:left w:val="single" w:sz="8" w:space="0" w:color="auto"/>
              <w:bottom w:val="nil"/>
              <w:right w:val="single" w:sz="8" w:space="0" w:color="auto"/>
            </w:tcBorders>
            <w:shd w:val="clear" w:color="auto" w:fill="auto"/>
            <w:vAlign w:val="center"/>
          </w:tcPr>
          <w:p w14:paraId="5236D12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0.329</w:t>
            </w:r>
          </w:p>
        </w:tc>
        <w:tc>
          <w:tcPr>
            <w:tcW w:w="1526" w:type="dxa"/>
            <w:tcBorders>
              <w:top w:val="nil"/>
              <w:left w:val="single" w:sz="8" w:space="0" w:color="auto"/>
              <w:bottom w:val="nil"/>
              <w:right w:val="single" w:sz="8" w:space="0" w:color="auto"/>
            </w:tcBorders>
            <w:shd w:val="clear" w:color="auto" w:fill="auto"/>
            <w:vAlign w:val="center"/>
          </w:tcPr>
          <w:p w14:paraId="1C03818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0.317</w:t>
            </w:r>
          </w:p>
        </w:tc>
      </w:tr>
      <w:tr w:rsidR="00C22FE0" w:rsidRPr="00C22FE0" w14:paraId="2653D11D"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single" w:sz="4" w:space="0" w:color="auto"/>
              <w:right w:val="single" w:sz="8" w:space="0" w:color="auto"/>
            </w:tcBorders>
            <w:shd w:val="clear" w:color="auto" w:fill="auto"/>
            <w:noWrap/>
            <w:vAlign w:val="center"/>
          </w:tcPr>
          <w:p w14:paraId="21424AEC"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Deteriorated</w:t>
            </w:r>
          </w:p>
        </w:tc>
        <w:tc>
          <w:tcPr>
            <w:tcW w:w="1525" w:type="dxa"/>
            <w:tcBorders>
              <w:top w:val="nil"/>
              <w:left w:val="single" w:sz="8" w:space="0" w:color="auto"/>
              <w:bottom w:val="single" w:sz="4" w:space="0" w:color="auto"/>
              <w:right w:val="single" w:sz="8" w:space="0" w:color="auto"/>
            </w:tcBorders>
            <w:shd w:val="clear" w:color="auto" w:fill="auto"/>
            <w:vAlign w:val="center"/>
          </w:tcPr>
          <w:p w14:paraId="0740FB9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0.156</w:t>
            </w:r>
          </w:p>
        </w:tc>
        <w:tc>
          <w:tcPr>
            <w:tcW w:w="1526" w:type="dxa"/>
            <w:tcBorders>
              <w:top w:val="nil"/>
              <w:left w:val="single" w:sz="8" w:space="0" w:color="auto"/>
              <w:bottom w:val="single" w:sz="4" w:space="0" w:color="auto"/>
              <w:right w:val="single" w:sz="8" w:space="0" w:color="auto"/>
            </w:tcBorders>
            <w:shd w:val="clear" w:color="auto" w:fill="auto"/>
            <w:vAlign w:val="center"/>
          </w:tcPr>
          <w:p w14:paraId="630121C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0.055</w:t>
            </w:r>
          </w:p>
        </w:tc>
        <w:tc>
          <w:tcPr>
            <w:tcW w:w="1526" w:type="dxa"/>
            <w:tcBorders>
              <w:top w:val="nil"/>
              <w:left w:val="single" w:sz="8" w:space="0" w:color="auto"/>
              <w:bottom w:val="single" w:sz="4" w:space="0" w:color="auto"/>
              <w:right w:val="single" w:sz="8" w:space="0" w:color="auto"/>
            </w:tcBorders>
            <w:shd w:val="clear" w:color="auto" w:fill="auto"/>
            <w:vAlign w:val="center"/>
          </w:tcPr>
          <w:p w14:paraId="3D7AB40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0.068</w:t>
            </w:r>
          </w:p>
        </w:tc>
        <w:tc>
          <w:tcPr>
            <w:tcW w:w="1526" w:type="dxa"/>
            <w:tcBorders>
              <w:top w:val="nil"/>
              <w:left w:val="single" w:sz="8" w:space="0" w:color="auto"/>
              <w:bottom w:val="single" w:sz="4" w:space="0" w:color="auto"/>
              <w:right w:val="single" w:sz="8" w:space="0" w:color="auto"/>
            </w:tcBorders>
            <w:shd w:val="clear" w:color="auto" w:fill="auto"/>
            <w:vAlign w:val="center"/>
          </w:tcPr>
          <w:p w14:paraId="2759425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hAnsi="Calibri" w:cs="Calibri"/>
                <w:sz w:val="18"/>
                <w:szCs w:val="18"/>
                <w:lang w:eastAsia="en-AU"/>
              </w:rPr>
              <w:t>0.055</w:t>
            </w:r>
          </w:p>
        </w:tc>
      </w:tr>
    </w:tbl>
    <w:p w14:paraId="788A0B84" w14:textId="59436787" w:rsidR="00C22FE0" w:rsidRPr="00C22FE0" w:rsidRDefault="00C22FE0" w:rsidP="00C22FE0">
      <w:pPr>
        <w:snapToGrid w:val="0"/>
        <w:jc w:val="both"/>
        <w:rPr>
          <w:rFonts w:asciiTheme="minorHAnsi" w:eastAsiaTheme="minorEastAsia" w:hAnsiTheme="minorHAnsi" w:cstheme="minorBidi"/>
          <w:iCs/>
          <w:sz w:val="16"/>
          <w:szCs w:val="16"/>
        </w:rPr>
      </w:pPr>
      <w:proofErr w:type="spellStart"/>
      <w:r w:rsidRPr="00C22FE0">
        <w:rPr>
          <w:rFonts w:asciiTheme="minorHAnsi" w:eastAsiaTheme="minorEastAsia" w:hAnsiTheme="minorHAnsi" w:cstheme="minorBidi"/>
          <w:iCs/>
          <w:sz w:val="16"/>
          <w:szCs w:val="16"/>
          <w:vertAlign w:val="superscript"/>
        </w:rPr>
        <w:t>a</w:t>
      </w:r>
      <w:r w:rsidRPr="00C22FE0">
        <w:rPr>
          <w:rFonts w:asciiTheme="minorHAnsi" w:eastAsiaTheme="minorEastAsia" w:hAnsiTheme="minorHAnsi" w:cstheme="minorBidi"/>
          <w:iCs/>
          <w:sz w:val="16"/>
          <w:szCs w:val="16"/>
        </w:rPr>
        <w:t>As</w:t>
      </w:r>
      <w:proofErr w:type="spellEnd"/>
      <w:r w:rsidRPr="00C22FE0">
        <w:rPr>
          <w:rFonts w:asciiTheme="minorHAnsi" w:eastAsiaTheme="minorEastAsia" w:hAnsiTheme="minorHAnsi" w:cstheme="minorBidi"/>
          <w:iCs/>
          <w:sz w:val="16"/>
          <w:szCs w:val="16"/>
        </w:rPr>
        <w:t xml:space="preserve"> estimated </w:t>
      </w:r>
      <w:r w:rsidRPr="00B80571">
        <w:rPr>
          <w:rFonts w:asciiTheme="minorHAnsi" w:eastAsiaTheme="minorEastAsia" w:hAnsiTheme="minorHAnsi" w:cstheme="minorBidi"/>
          <w:iCs/>
          <w:sz w:val="16"/>
          <w:szCs w:val="16"/>
        </w:rPr>
        <w:t>in Lee et al (2017)</w:t>
      </w:r>
      <w:r w:rsidR="00B80571" w:rsidRPr="00B80571">
        <w:rPr>
          <w:rFonts w:asciiTheme="minorHAnsi" w:eastAsiaTheme="minorEastAsia" w:hAnsiTheme="minorHAnsi" w:cstheme="minorBidi"/>
          <w:iCs/>
          <w:sz w:val="16"/>
          <w:szCs w:val="16"/>
        </w:rPr>
        <w:fldChar w:fldCharType="begin"/>
      </w:r>
      <w:r w:rsidR="00B80571" w:rsidRPr="00B80571">
        <w:rPr>
          <w:rFonts w:asciiTheme="minorHAnsi" w:eastAsiaTheme="minorEastAsia" w:hAnsiTheme="minorHAnsi" w:cstheme="minorBidi"/>
          <w:iCs/>
          <w:sz w:val="16"/>
          <w:szCs w:val="16"/>
        </w:rPr>
        <w:instrText xml:space="preserve"> ADDIN EN.CITE &lt;EndNote&gt;&lt;Cite&gt;&lt;Author&gt;Lee&lt;/Author&gt;&lt;Year&gt;2017&lt;/Year&gt;&lt;RecNum&gt;27&lt;/RecNum&gt;&lt;DisplayText&gt;&lt;style face="superscript"&gt;83&lt;/style&gt;&lt;/DisplayText&gt;&lt;record&gt;&lt;rec-number&gt;27&lt;/rec-number&gt;&lt;foreign-keys&gt;&lt;key app="EN" db-id="dawtr0zrkrzfa5edzzlpe2we0xa00t90vvr2" timestamp="1623067866"&gt;27&lt;/key&gt;&lt;/foreign-keys&gt;&lt;ref-type name="Journal Article"&gt;17&lt;/ref-type&gt;&lt;contributors&gt;&lt;authors&gt;&lt;author&gt;Lee, Yu-Chen&lt;/author&gt;&lt;author&gt;Gao, Lan&lt;/author&gt;&lt;author&gt;Dear, Blake F&lt;/author&gt;&lt;author&gt;Titov, Nickolai&lt;/author&gt;&lt;author&gt;Mihalopoulos, Cathrine&lt;/author&gt;&lt;/authors&gt;&lt;/contributors&gt;&lt;titles&gt;&lt;title&gt;The cost-effectiveness of the online MindSpot Clinic for the treatment of depression and anxiety in Australia&lt;/title&gt;&lt;secondary-title&gt;J Ment Health Policy Econ&lt;/secondary-title&gt;&lt;/titles&gt;&lt;periodical&gt;&lt;full-title&gt;J Ment Health Policy Econ&lt;/full-title&gt;&lt;/periodical&gt;&lt;pages&gt;155-166&lt;/pages&gt;&lt;volume&gt;20&lt;/volume&gt;&lt;number&gt;4&lt;/number&gt;&lt;dates&gt;&lt;year&gt;2017&lt;/year&gt;&lt;/dates&gt;&lt;urls&gt;&lt;/urls&gt;&lt;/record&gt;&lt;/Cite&gt;&lt;/EndNote&gt;</w:instrText>
      </w:r>
      <w:r w:rsidR="00B80571" w:rsidRPr="00B80571">
        <w:rPr>
          <w:rFonts w:asciiTheme="minorHAnsi" w:eastAsiaTheme="minorEastAsia" w:hAnsiTheme="minorHAnsi" w:cstheme="minorBidi"/>
          <w:iCs/>
          <w:sz w:val="16"/>
          <w:szCs w:val="16"/>
        </w:rPr>
        <w:fldChar w:fldCharType="separate"/>
      </w:r>
      <w:r w:rsidR="00B80571" w:rsidRPr="00B80571">
        <w:rPr>
          <w:rFonts w:asciiTheme="minorHAnsi" w:eastAsiaTheme="minorEastAsia" w:hAnsiTheme="minorHAnsi" w:cstheme="minorBidi"/>
          <w:iCs/>
          <w:noProof/>
          <w:sz w:val="16"/>
          <w:szCs w:val="16"/>
          <w:vertAlign w:val="superscript"/>
        </w:rPr>
        <w:t>83</w:t>
      </w:r>
      <w:r w:rsidR="00B80571" w:rsidRPr="00B80571">
        <w:rPr>
          <w:rFonts w:asciiTheme="minorHAnsi" w:eastAsiaTheme="minorEastAsia" w:hAnsiTheme="minorHAnsi" w:cstheme="minorBidi"/>
          <w:iCs/>
          <w:sz w:val="16"/>
          <w:szCs w:val="16"/>
        </w:rPr>
        <w:fldChar w:fldCharType="end"/>
      </w:r>
      <w:r w:rsidRPr="00C22FE0">
        <w:rPr>
          <w:rFonts w:asciiTheme="minorHAnsi" w:eastAsiaTheme="minorEastAsia" w:hAnsiTheme="minorHAnsi" w:cstheme="minorBidi"/>
          <w:iCs/>
          <w:sz w:val="16"/>
          <w:szCs w:val="16"/>
        </w:rPr>
        <w:t xml:space="preserve"> based on datasets from (</w:t>
      </w:r>
      <w:proofErr w:type="spellStart"/>
      <w:r w:rsidRPr="00C22FE0">
        <w:rPr>
          <w:rFonts w:asciiTheme="minorHAnsi" w:eastAsiaTheme="minorEastAsia" w:hAnsiTheme="minorHAnsi" w:cstheme="minorBidi"/>
          <w:iCs/>
          <w:sz w:val="16"/>
          <w:szCs w:val="16"/>
        </w:rPr>
        <w:t>i</w:t>
      </w:r>
      <w:proofErr w:type="spellEnd"/>
      <w:r w:rsidRPr="00C22FE0">
        <w:rPr>
          <w:rFonts w:asciiTheme="minorHAnsi" w:eastAsiaTheme="minorEastAsia" w:hAnsiTheme="minorHAnsi" w:cstheme="minorBidi"/>
          <w:iCs/>
          <w:sz w:val="16"/>
          <w:szCs w:val="16"/>
        </w:rPr>
        <w:t>) the National Survey of Mental Health and Wellbeing (NSMHWB), a population-level survey collecting epidemiology and health resource use of common mental disorders and (ii) a 8-week “waitlist” dataset. The transition probabilities for self-directed treatment were assumed to be the same as those for therapist-supported treatment.</w:t>
      </w:r>
    </w:p>
    <w:p w14:paraId="62E8B9D1" w14:textId="77777777" w:rsidR="00C22FE0" w:rsidRPr="00C22FE0" w:rsidRDefault="00C22FE0" w:rsidP="00C22FE0">
      <w:pPr>
        <w:snapToGrid w:val="0"/>
        <w:jc w:val="both"/>
        <w:rPr>
          <w:rFonts w:asciiTheme="minorHAnsi" w:eastAsiaTheme="minorEastAsia" w:hAnsiTheme="minorHAnsi" w:cstheme="minorBidi"/>
          <w:iCs/>
          <w:sz w:val="16"/>
          <w:szCs w:val="16"/>
        </w:rPr>
      </w:pPr>
      <w:proofErr w:type="spellStart"/>
      <w:r w:rsidRPr="00C22FE0">
        <w:rPr>
          <w:rFonts w:asciiTheme="minorHAnsi" w:eastAsiaTheme="minorEastAsia" w:hAnsiTheme="minorHAnsi" w:cstheme="minorBidi"/>
          <w:iCs/>
          <w:sz w:val="16"/>
          <w:szCs w:val="16"/>
          <w:vertAlign w:val="superscript"/>
        </w:rPr>
        <w:t>b</w:t>
      </w:r>
      <w:r w:rsidRPr="00C22FE0">
        <w:rPr>
          <w:rFonts w:asciiTheme="minorHAnsi" w:eastAsiaTheme="minorEastAsia" w:hAnsiTheme="minorHAnsi" w:cstheme="minorBidi"/>
          <w:iCs/>
          <w:sz w:val="16"/>
          <w:szCs w:val="16"/>
        </w:rPr>
        <w:t>Due</w:t>
      </w:r>
      <w:proofErr w:type="spellEnd"/>
      <w:r w:rsidRPr="00C22FE0">
        <w:rPr>
          <w:rFonts w:asciiTheme="minorHAnsi" w:eastAsiaTheme="minorEastAsia" w:hAnsiTheme="minorHAnsi" w:cstheme="minorBidi"/>
          <w:iCs/>
          <w:sz w:val="16"/>
          <w:szCs w:val="16"/>
        </w:rPr>
        <w:t xml:space="preserve"> to data unavailability, the transition probabilities for Mental Health Online were assumed to be the average of </w:t>
      </w:r>
      <w:proofErr w:type="spellStart"/>
      <w:r w:rsidRPr="00C22FE0">
        <w:rPr>
          <w:rFonts w:asciiTheme="minorHAnsi" w:eastAsiaTheme="minorEastAsia" w:hAnsiTheme="minorHAnsi" w:cstheme="minorBidi"/>
          <w:iCs/>
          <w:sz w:val="16"/>
          <w:szCs w:val="16"/>
        </w:rPr>
        <w:t>MindSpot</w:t>
      </w:r>
      <w:proofErr w:type="spellEnd"/>
      <w:r w:rsidRPr="00C22FE0">
        <w:rPr>
          <w:rFonts w:asciiTheme="minorHAnsi" w:eastAsiaTheme="minorEastAsia" w:hAnsiTheme="minorHAnsi" w:cstheme="minorBidi"/>
          <w:iCs/>
          <w:sz w:val="16"/>
          <w:szCs w:val="16"/>
        </w:rPr>
        <w:t xml:space="preserve"> and THIS WAY UP.</w:t>
      </w:r>
    </w:p>
    <w:p w14:paraId="152D724D" w14:textId="35AA696C" w:rsidR="00C22FE0" w:rsidRPr="00C22FE0" w:rsidRDefault="00C22FE0" w:rsidP="00C22FE0">
      <w:pPr>
        <w:snapToGrid w:val="0"/>
        <w:jc w:val="both"/>
        <w:rPr>
          <w:rFonts w:asciiTheme="minorHAnsi" w:eastAsiaTheme="minorEastAsia" w:hAnsiTheme="minorHAnsi" w:cstheme="minorBidi"/>
          <w:iCs/>
          <w:sz w:val="16"/>
          <w:szCs w:val="16"/>
        </w:rPr>
      </w:pPr>
      <w:proofErr w:type="spellStart"/>
      <w:r w:rsidRPr="00C22FE0">
        <w:rPr>
          <w:rFonts w:asciiTheme="minorHAnsi" w:eastAsiaTheme="minorEastAsia" w:hAnsiTheme="minorHAnsi" w:cstheme="minorBidi"/>
          <w:iCs/>
          <w:sz w:val="16"/>
          <w:szCs w:val="16"/>
          <w:vertAlign w:val="superscript"/>
        </w:rPr>
        <w:t>c</w:t>
      </w:r>
      <w:r w:rsidRPr="00C22FE0">
        <w:rPr>
          <w:rFonts w:asciiTheme="minorHAnsi" w:eastAsiaTheme="minorEastAsia" w:hAnsiTheme="minorHAnsi" w:cstheme="minorBidi"/>
          <w:iCs/>
          <w:sz w:val="16"/>
          <w:szCs w:val="16"/>
        </w:rPr>
        <w:t>Transition</w:t>
      </w:r>
      <w:proofErr w:type="spellEnd"/>
      <w:r w:rsidRPr="00C22FE0">
        <w:rPr>
          <w:rFonts w:asciiTheme="minorHAnsi" w:eastAsiaTheme="minorEastAsia" w:hAnsiTheme="minorHAnsi" w:cstheme="minorBidi"/>
          <w:iCs/>
          <w:sz w:val="16"/>
          <w:szCs w:val="16"/>
        </w:rPr>
        <w:t xml:space="preserve"> probabilities for </w:t>
      </w:r>
      <w:proofErr w:type="spellStart"/>
      <w:r w:rsidRPr="00C22FE0">
        <w:rPr>
          <w:rFonts w:asciiTheme="minorHAnsi" w:eastAsiaTheme="minorEastAsia" w:hAnsiTheme="minorHAnsi" w:cstheme="minorBidi"/>
          <w:iCs/>
          <w:sz w:val="16"/>
          <w:szCs w:val="16"/>
        </w:rPr>
        <w:t>MindSpot</w:t>
      </w:r>
      <w:proofErr w:type="spellEnd"/>
      <w:r w:rsidRPr="00C22FE0">
        <w:rPr>
          <w:rFonts w:asciiTheme="minorHAnsi" w:eastAsiaTheme="minorEastAsia" w:hAnsiTheme="minorHAnsi" w:cstheme="minorBidi"/>
          <w:iCs/>
          <w:sz w:val="16"/>
          <w:szCs w:val="16"/>
        </w:rPr>
        <w:t xml:space="preserve"> were estimated using the proportion of consumers moving between symptom severity groups (based on GAD-7 cut-off points) after commencing therapist-supported treatment, as presented by </w:t>
      </w:r>
      <w:r w:rsidRPr="457FE75D">
        <w:rPr>
          <w:rFonts w:asciiTheme="minorHAnsi" w:eastAsiaTheme="minorEastAsia" w:hAnsiTheme="minorHAnsi" w:cstheme="minorBidi"/>
          <w:sz w:val="16"/>
          <w:szCs w:val="16"/>
        </w:rPr>
        <w:t>Figure 8</w:t>
      </w:r>
      <w:r w:rsidRPr="00C22FE0">
        <w:rPr>
          <w:rFonts w:asciiTheme="minorHAnsi" w:eastAsiaTheme="minorEastAsia" w:hAnsiTheme="minorHAnsi" w:cstheme="minorBidi"/>
          <w:iCs/>
          <w:sz w:val="16"/>
          <w:szCs w:val="16"/>
        </w:rPr>
        <w:t xml:space="preserve"> in </w:t>
      </w:r>
      <w:r w:rsidRPr="457FE75D">
        <w:rPr>
          <w:rFonts w:asciiTheme="minorHAnsi" w:eastAsiaTheme="minorEastAsia" w:hAnsiTheme="minorHAnsi" w:cstheme="minorBidi"/>
          <w:sz w:val="16"/>
          <w:szCs w:val="16"/>
        </w:rPr>
        <w:t>sub-section 4.4.</w:t>
      </w:r>
      <w:r w:rsidRPr="00C22FE0">
        <w:rPr>
          <w:rFonts w:asciiTheme="minorHAnsi" w:eastAsiaTheme="minorEastAsia" w:hAnsiTheme="minorHAnsi" w:cstheme="minorBidi"/>
          <w:iCs/>
          <w:sz w:val="16"/>
          <w:szCs w:val="16"/>
        </w:rPr>
        <w:t xml:space="preserve"> The transition probabilities for self-directed treatment were assumed to be the same as those for therapist-supported treatment.</w:t>
      </w:r>
    </w:p>
    <w:p w14:paraId="497F052E" w14:textId="67E5F975" w:rsidR="00C22FE0" w:rsidRPr="00C22FE0" w:rsidRDefault="00C22FE0" w:rsidP="008E7F21">
      <w:pPr>
        <w:spacing w:after="240"/>
        <w:jc w:val="both"/>
        <w:rPr>
          <w:rFonts w:asciiTheme="minorHAnsi" w:eastAsiaTheme="minorEastAsia" w:hAnsiTheme="minorHAnsi" w:cstheme="minorBidi"/>
          <w:sz w:val="16"/>
          <w:szCs w:val="16"/>
        </w:rPr>
      </w:pPr>
      <w:proofErr w:type="spellStart"/>
      <w:r w:rsidRPr="00C22FE0">
        <w:rPr>
          <w:rFonts w:asciiTheme="minorHAnsi" w:eastAsiaTheme="minorEastAsia" w:hAnsiTheme="minorHAnsi" w:cstheme="minorBidi"/>
          <w:iCs/>
          <w:sz w:val="16"/>
          <w:szCs w:val="16"/>
          <w:vertAlign w:val="superscript"/>
        </w:rPr>
        <w:t>d</w:t>
      </w:r>
      <w:r w:rsidRPr="00C22FE0">
        <w:rPr>
          <w:rFonts w:asciiTheme="minorHAnsi" w:eastAsiaTheme="minorEastAsia" w:hAnsiTheme="minorHAnsi" w:cstheme="minorBidi"/>
          <w:iCs/>
          <w:sz w:val="16"/>
          <w:szCs w:val="16"/>
        </w:rPr>
        <w:t>Transition</w:t>
      </w:r>
      <w:proofErr w:type="spellEnd"/>
      <w:r w:rsidRPr="00C22FE0">
        <w:rPr>
          <w:rFonts w:asciiTheme="minorHAnsi" w:eastAsiaTheme="minorEastAsia" w:hAnsiTheme="minorHAnsi" w:cstheme="minorBidi"/>
          <w:iCs/>
          <w:sz w:val="16"/>
          <w:szCs w:val="16"/>
        </w:rPr>
        <w:t xml:space="preserve"> probabilities for THIS WAY UP were estimated using the proportion of consumers moving between symptom severity groups (based on GAD-7 cut-off points) after commencing therapist-supported treatment, as presented by </w:t>
      </w:r>
      <w:r w:rsidRPr="457FE75D">
        <w:rPr>
          <w:rFonts w:asciiTheme="minorHAnsi" w:eastAsiaTheme="minorEastAsia" w:hAnsiTheme="minorHAnsi" w:cstheme="minorBidi"/>
          <w:sz w:val="16"/>
          <w:szCs w:val="16"/>
        </w:rPr>
        <w:t>Figure 13</w:t>
      </w:r>
      <w:r w:rsidRPr="00C22FE0">
        <w:rPr>
          <w:rFonts w:asciiTheme="minorHAnsi" w:eastAsiaTheme="minorEastAsia" w:hAnsiTheme="minorHAnsi" w:cstheme="minorBidi"/>
          <w:iCs/>
          <w:sz w:val="16"/>
          <w:szCs w:val="16"/>
        </w:rPr>
        <w:t xml:space="preserve"> in sub-section </w:t>
      </w:r>
      <w:r w:rsidRPr="457FE75D">
        <w:rPr>
          <w:rFonts w:asciiTheme="minorHAnsi" w:eastAsiaTheme="minorEastAsia" w:hAnsiTheme="minorHAnsi" w:cstheme="minorBidi"/>
          <w:sz w:val="16"/>
          <w:szCs w:val="16"/>
        </w:rPr>
        <w:t>4.5</w:t>
      </w:r>
      <w:r w:rsidRPr="00C22FE0">
        <w:rPr>
          <w:rFonts w:asciiTheme="minorHAnsi" w:eastAsiaTheme="minorEastAsia" w:hAnsiTheme="minorHAnsi" w:cstheme="minorBidi"/>
          <w:iCs/>
          <w:sz w:val="16"/>
          <w:szCs w:val="16"/>
        </w:rPr>
        <w:t xml:space="preserve">. </w:t>
      </w:r>
    </w:p>
    <w:p w14:paraId="72349FEC" w14:textId="77777777" w:rsidR="001A3AC3" w:rsidRDefault="001A3AC3" w:rsidP="00C22FE0">
      <w:pPr>
        <w:outlineLvl w:val="2"/>
        <w:rPr>
          <w:rFonts w:asciiTheme="minorHAnsi" w:hAnsiTheme="minorHAnsi" w:cstheme="minorHAnsi"/>
          <w:b/>
          <w:bCs/>
          <w:color w:val="2F5496" w:themeColor="accent1" w:themeShade="BF"/>
          <w:sz w:val="21"/>
          <w:szCs w:val="21"/>
        </w:rPr>
      </w:pPr>
      <w:r>
        <w:rPr>
          <w:rFonts w:asciiTheme="minorHAnsi" w:hAnsiTheme="minorHAnsi" w:cstheme="minorHAnsi"/>
          <w:b/>
          <w:bCs/>
          <w:color w:val="2F5496" w:themeColor="accent1" w:themeShade="BF"/>
          <w:sz w:val="21"/>
          <w:szCs w:val="21"/>
        </w:rPr>
        <w:br w:type="page"/>
      </w:r>
    </w:p>
    <w:p w14:paraId="28F68EE1" w14:textId="6C958815" w:rsidR="00C22FE0" w:rsidRPr="00C22FE0" w:rsidRDefault="00C754B0" w:rsidP="00C22FE0">
      <w:pPr>
        <w:outlineLvl w:val="2"/>
        <w:rPr>
          <w:rFonts w:asciiTheme="minorHAnsi" w:hAnsiTheme="minorHAnsi" w:cstheme="minorHAnsi"/>
          <w:b/>
          <w:bCs/>
          <w:color w:val="2F5496" w:themeColor="accent1" w:themeShade="BF"/>
          <w:sz w:val="21"/>
          <w:szCs w:val="21"/>
        </w:rPr>
      </w:pPr>
      <w:r>
        <w:rPr>
          <w:rFonts w:asciiTheme="minorHAnsi" w:hAnsiTheme="minorHAnsi" w:cstheme="minorHAnsi"/>
          <w:b/>
          <w:bCs/>
          <w:color w:val="2F5496" w:themeColor="accent1" w:themeShade="BF"/>
          <w:sz w:val="21"/>
          <w:szCs w:val="21"/>
        </w:rPr>
        <w:lastRenderedPageBreak/>
        <w:t>L3</w:t>
      </w:r>
      <w:r w:rsidR="00C22FE0" w:rsidRPr="00C22FE0">
        <w:rPr>
          <w:rFonts w:asciiTheme="minorHAnsi" w:hAnsiTheme="minorHAnsi" w:cstheme="minorHAnsi"/>
          <w:b/>
          <w:bCs/>
          <w:color w:val="2F5496" w:themeColor="accent1" w:themeShade="BF"/>
          <w:sz w:val="21"/>
          <w:szCs w:val="21"/>
        </w:rPr>
        <w:t>.2 Utility weights</w:t>
      </w:r>
    </w:p>
    <w:p w14:paraId="15D40710" w14:textId="124FA533" w:rsidR="00C22FE0" w:rsidRPr="008F0ACA" w:rsidRDefault="00C22FE0" w:rsidP="00D6551D">
      <w:pPr>
        <w:spacing w:after="240"/>
        <w:rPr>
          <w:rFonts w:ascii="Calibri" w:hAnsi="Calibri" w:cs="Arial"/>
          <w:color w:val="000000" w:themeColor="text1"/>
          <w:sz w:val="21"/>
          <w:szCs w:val="21"/>
          <w:lang w:eastAsia="zh-CN"/>
        </w:rPr>
      </w:pPr>
      <w:r w:rsidRPr="00C22FE0">
        <w:rPr>
          <w:rFonts w:ascii="Calibri" w:hAnsi="Calibri" w:cs="Arial"/>
          <w:iCs/>
          <w:color w:val="000000" w:themeColor="text1"/>
          <w:sz w:val="21"/>
          <w:szCs w:val="21"/>
          <w:lang w:eastAsia="zh-CN"/>
        </w:rPr>
        <w:t xml:space="preserve">The utility </w:t>
      </w:r>
      <w:r w:rsidRPr="00C22FE0">
        <w:rPr>
          <w:rFonts w:ascii="Calibri" w:eastAsiaTheme="minorEastAsia" w:hAnsi="Calibri" w:cs="Arial"/>
          <w:iCs/>
          <w:color w:val="000000" w:themeColor="text1"/>
          <w:sz w:val="21"/>
          <w:szCs w:val="21"/>
          <w:lang w:eastAsia="zh-CN"/>
        </w:rPr>
        <w:t>weights</w:t>
      </w:r>
      <w:r w:rsidRPr="00C22FE0">
        <w:rPr>
          <w:rFonts w:ascii="Calibri" w:hAnsi="Calibri" w:cs="Arial"/>
          <w:iCs/>
          <w:color w:val="000000" w:themeColor="text1"/>
          <w:sz w:val="21"/>
          <w:szCs w:val="21"/>
          <w:lang w:eastAsia="zh-CN"/>
        </w:rPr>
        <w:t xml:space="preserve"> used to calculate QALYs were derived from individual-level and population-representative datasets with clinical outcomes as described in Lee et al (2017). Utilities are typically expressed as being between </w:t>
      </w:r>
      <w:r w:rsidRPr="008F0ACA">
        <w:rPr>
          <w:rFonts w:ascii="Calibri" w:hAnsi="Calibri" w:cs="Arial"/>
          <w:iCs/>
          <w:color w:val="000000" w:themeColor="text1"/>
          <w:sz w:val="21"/>
          <w:szCs w:val="21"/>
          <w:lang w:eastAsia="zh-CN"/>
        </w:rPr>
        <w:t xml:space="preserve">zero and one, where the value of one represents perfect health and zero represents death. The QALYs of the four health states were calculated by multiplying the period spent in a particular health state (in this case, one year) by the utility assigned to that health state. Table </w:t>
      </w:r>
      <w:r w:rsidR="00C754B0" w:rsidRPr="008F0ACA">
        <w:rPr>
          <w:rFonts w:ascii="Calibri" w:hAnsi="Calibri" w:cs="Arial"/>
          <w:iCs/>
          <w:color w:val="000000" w:themeColor="text1"/>
          <w:sz w:val="21"/>
          <w:szCs w:val="21"/>
          <w:lang w:eastAsia="zh-CN"/>
        </w:rPr>
        <w:t>L1</w:t>
      </w:r>
      <w:r w:rsidRPr="008F0ACA">
        <w:rPr>
          <w:rFonts w:ascii="Calibri" w:hAnsi="Calibri" w:cs="Arial"/>
          <w:iCs/>
          <w:color w:val="000000" w:themeColor="text1"/>
          <w:sz w:val="21"/>
          <w:szCs w:val="21"/>
          <w:lang w:eastAsia="zh-CN"/>
        </w:rPr>
        <w:t>.9 in the Appendix lists the utility weights used in our modelling.</w:t>
      </w:r>
      <w:r w:rsidRPr="008F0ACA">
        <w:rPr>
          <w:rFonts w:ascii="Calibri" w:eastAsiaTheme="minorEastAsia" w:hAnsi="Calibri" w:cs="Arial"/>
          <w:iCs/>
          <w:color w:val="000000" w:themeColor="text1"/>
          <w:lang w:eastAsia="zh-CN"/>
        </w:rPr>
        <w:t xml:space="preserve"> </w:t>
      </w:r>
      <w:r w:rsidRPr="008F0ACA">
        <w:rPr>
          <w:rFonts w:ascii="Calibri" w:hAnsi="Calibri" w:cs="Arial"/>
          <w:iCs/>
          <w:color w:val="000000" w:themeColor="text1"/>
          <w:sz w:val="21"/>
          <w:szCs w:val="21"/>
          <w:lang w:eastAsia="zh-CN"/>
        </w:rPr>
        <w:t xml:space="preserve">Table </w:t>
      </w:r>
      <w:r w:rsidR="00C754B0" w:rsidRPr="008F0ACA">
        <w:rPr>
          <w:rFonts w:ascii="Calibri" w:hAnsi="Calibri" w:cs="Arial"/>
          <w:iCs/>
          <w:color w:val="000000" w:themeColor="text1"/>
          <w:sz w:val="21"/>
          <w:szCs w:val="21"/>
          <w:lang w:eastAsia="zh-CN"/>
        </w:rPr>
        <w:t>L1</w:t>
      </w:r>
      <w:r w:rsidRPr="008F0ACA">
        <w:rPr>
          <w:rFonts w:ascii="Calibri" w:hAnsi="Calibri" w:cs="Arial"/>
          <w:iCs/>
          <w:color w:val="000000" w:themeColor="text1"/>
          <w:sz w:val="21"/>
          <w:szCs w:val="21"/>
          <w:lang w:eastAsia="zh-CN"/>
        </w:rPr>
        <w:t>.9 presents the utility weights used in the analysis, which were based on estimates reported in Lee et al (2017).</w:t>
      </w:r>
      <w:r w:rsidR="00757878" w:rsidRPr="008F0ACA">
        <w:rPr>
          <w:rFonts w:ascii="Calibri" w:hAnsi="Calibri" w:cs="Arial"/>
          <w:iCs/>
          <w:color w:val="000000" w:themeColor="text1"/>
          <w:sz w:val="21"/>
          <w:szCs w:val="21"/>
          <w:lang w:eastAsia="zh-CN"/>
        </w:rPr>
        <w:fldChar w:fldCharType="begin"/>
      </w:r>
      <w:r w:rsidR="00757878" w:rsidRPr="008F0ACA">
        <w:rPr>
          <w:rFonts w:ascii="Calibri" w:hAnsi="Calibri" w:cs="Arial"/>
          <w:iCs/>
          <w:color w:val="000000" w:themeColor="text1"/>
          <w:sz w:val="21"/>
          <w:szCs w:val="21"/>
          <w:lang w:eastAsia="zh-CN"/>
        </w:rPr>
        <w:instrText xml:space="preserve"> ADDIN EN.CITE &lt;EndNote&gt;&lt;Cite&gt;&lt;Author&gt;Lee&lt;/Author&gt;&lt;Year&gt;2017&lt;/Year&gt;&lt;RecNum&gt;27&lt;/RecNum&gt;&lt;DisplayText&gt;&lt;style face="superscript"&gt;83&lt;/style&gt;&lt;/DisplayText&gt;&lt;record&gt;&lt;rec-number&gt;27&lt;/rec-number&gt;&lt;foreign-keys&gt;&lt;key app="EN" db-id="dawtr0zrkrzfa5edzzlpe2we0xa00t90vvr2" timestamp="1623067866"&gt;27&lt;/key&gt;&lt;/foreign-keys&gt;&lt;ref-type name="Journal Article"&gt;17&lt;/ref-type&gt;&lt;contributors&gt;&lt;authors&gt;&lt;author&gt;Lee, Yu-Chen&lt;/author&gt;&lt;author&gt;Gao, Lan&lt;/author&gt;&lt;author&gt;Dear, Blake F&lt;/author&gt;&lt;author&gt;Titov, Nickolai&lt;/author&gt;&lt;author&gt;Mihalopoulos, Cathrine&lt;/author&gt;&lt;/authors&gt;&lt;/contributors&gt;&lt;titles&gt;&lt;title&gt;The cost-effectiveness of the online MindSpot Clinic for the treatment of depression and anxiety in Australia&lt;/title&gt;&lt;secondary-title&gt;J Ment Health Policy Econ&lt;/secondary-title&gt;&lt;/titles&gt;&lt;periodical&gt;&lt;full-title&gt;J Ment Health Policy Econ&lt;/full-title&gt;&lt;/periodical&gt;&lt;pages&gt;155-166&lt;/pages&gt;&lt;volume&gt;20&lt;/volume&gt;&lt;number&gt;4&lt;/number&gt;&lt;dates&gt;&lt;year&gt;2017&lt;/year&gt;&lt;/dates&gt;&lt;urls&gt;&lt;/urls&gt;&lt;/record&gt;&lt;/Cite&gt;&lt;/EndNote&gt;</w:instrText>
      </w:r>
      <w:r w:rsidR="00757878" w:rsidRPr="008F0ACA">
        <w:rPr>
          <w:rFonts w:ascii="Calibri" w:hAnsi="Calibri" w:cs="Arial"/>
          <w:iCs/>
          <w:color w:val="000000" w:themeColor="text1"/>
          <w:sz w:val="21"/>
          <w:szCs w:val="21"/>
          <w:lang w:eastAsia="zh-CN"/>
        </w:rPr>
        <w:fldChar w:fldCharType="separate"/>
      </w:r>
      <w:r w:rsidR="00757878" w:rsidRPr="008F0ACA">
        <w:rPr>
          <w:rFonts w:ascii="Calibri" w:hAnsi="Calibri" w:cs="Arial"/>
          <w:iCs/>
          <w:noProof/>
          <w:color w:val="000000" w:themeColor="text1"/>
          <w:sz w:val="21"/>
          <w:szCs w:val="21"/>
          <w:vertAlign w:val="superscript"/>
          <w:lang w:eastAsia="zh-CN"/>
        </w:rPr>
        <w:t>83</w:t>
      </w:r>
      <w:r w:rsidR="00757878" w:rsidRPr="008F0ACA">
        <w:rPr>
          <w:rFonts w:ascii="Calibri" w:hAnsi="Calibri" w:cs="Arial"/>
          <w:iCs/>
          <w:color w:val="000000" w:themeColor="text1"/>
          <w:sz w:val="21"/>
          <w:szCs w:val="21"/>
          <w:lang w:eastAsia="zh-CN"/>
        </w:rPr>
        <w:fldChar w:fldCharType="end"/>
      </w:r>
    </w:p>
    <w:p w14:paraId="12AC5F88" w14:textId="668C1441" w:rsidR="00C22FE0" w:rsidRPr="008F0ACA" w:rsidRDefault="00C22FE0" w:rsidP="00C22FE0">
      <w:pPr>
        <w:keepLines/>
        <w:spacing w:after="120"/>
        <w:outlineLvl w:val="2"/>
        <w:rPr>
          <w:rFonts w:asciiTheme="minorHAnsi" w:eastAsiaTheme="majorEastAsia" w:hAnsiTheme="minorHAnsi" w:cstheme="majorBidi"/>
          <w:b/>
          <w:i/>
          <w:color w:val="000000" w:themeColor="text1"/>
          <w:sz w:val="21"/>
          <w:szCs w:val="21"/>
          <w:lang w:val="en-US" w:eastAsia="en-US"/>
        </w:rPr>
      </w:pPr>
      <w:r w:rsidRPr="008F0ACA">
        <w:rPr>
          <w:rFonts w:asciiTheme="minorHAnsi" w:eastAsiaTheme="majorEastAsia" w:hAnsiTheme="minorHAnsi" w:cstheme="majorBidi"/>
          <w:b/>
          <w:color w:val="000000" w:themeColor="text1"/>
          <w:sz w:val="21"/>
          <w:szCs w:val="21"/>
          <w:lang w:val="en-US" w:eastAsia="en-US"/>
        </w:rPr>
        <w:t xml:space="preserve">Table </w:t>
      </w:r>
      <w:r w:rsidR="00C754B0" w:rsidRPr="008F0ACA">
        <w:rPr>
          <w:rFonts w:asciiTheme="minorHAnsi" w:eastAsiaTheme="majorEastAsia" w:hAnsiTheme="minorHAnsi" w:cstheme="majorBidi"/>
          <w:b/>
          <w:color w:val="000000" w:themeColor="text1"/>
          <w:sz w:val="21"/>
          <w:szCs w:val="21"/>
          <w:lang w:val="en-US" w:eastAsia="en-US"/>
        </w:rPr>
        <w:t>L1</w:t>
      </w:r>
      <w:r w:rsidRPr="008F0ACA">
        <w:rPr>
          <w:rFonts w:asciiTheme="minorHAnsi" w:eastAsiaTheme="majorEastAsia" w:hAnsiTheme="minorHAnsi" w:cstheme="majorBidi"/>
          <w:b/>
          <w:color w:val="000000" w:themeColor="text1"/>
          <w:sz w:val="21"/>
          <w:szCs w:val="21"/>
          <w:lang w:val="en-US" w:eastAsia="en-US"/>
        </w:rPr>
        <w:t>.9 Utility weights used in the cost-effectiveness modelling</w:t>
      </w:r>
    </w:p>
    <w:tbl>
      <w:tblPr>
        <w:tblStyle w:val="PlainTable413"/>
        <w:tblW w:w="9062" w:type="dxa"/>
        <w:tblInd w:w="0" w:type="dxa"/>
        <w:tblBorders>
          <w:top w:val="single" w:sz="8" w:space="0" w:color="auto"/>
          <w:left w:val="single" w:sz="8" w:space="0" w:color="auto"/>
          <w:bottom w:val="single" w:sz="8" w:space="0" w:color="auto"/>
          <w:right w:val="single" w:sz="8" w:space="0" w:color="auto"/>
          <w:insideV w:val="single" w:sz="8" w:space="0" w:color="auto"/>
        </w:tblBorders>
        <w:tblLayout w:type="fixed"/>
        <w:tblLook w:val="04A0" w:firstRow="1" w:lastRow="0" w:firstColumn="1" w:lastColumn="0" w:noHBand="0" w:noVBand="1"/>
        <w:tblCaption w:val="Table L1.9 Utility weights used in the cost-effectiveness modelling"/>
        <w:tblDescription w:val="A table providing the utility weights used in the cost-effectiveness modelling. The transition probabilities are presented for each of the four health states, including 95% confidence interval values.  "/>
      </w:tblPr>
      <w:tblGrid>
        <w:gridCol w:w="3490"/>
        <w:gridCol w:w="2786"/>
        <w:gridCol w:w="2786"/>
      </w:tblGrid>
      <w:tr w:rsidR="00C22FE0" w:rsidRPr="008F0ACA" w14:paraId="42DA5F19" w14:textId="77777777" w:rsidTr="00A56C43">
        <w:trPr>
          <w:cnfStyle w:val="100000000000" w:firstRow="1" w:lastRow="0" w:firstColumn="0" w:lastColumn="0" w:oddVBand="0" w:evenVBand="0" w:oddHBand="0" w:evenHBand="0" w:firstRowFirstColumn="0" w:firstRowLastColumn="0" w:lastRowFirstColumn="0" w:lastRowLastColumn="0"/>
          <w:trHeight w:val="610"/>
          <w:tblHeader/>
        </w:trPr>
        <w:tc>
          <w:tcPr>
            <w:cnfStyle w:val="001000000000" w:firstRow="0" w:lastRow="0" w:firstColumn="1" w:lastColumn="0" w:oddVBand="0" w:evenVBand="0" w:oddHBand="0" w:evenHBand="0" w:firstRowFirstColumn="0" w:firstRowLastColumn="0" w:lastRowFirstColumn="0" w:lastRowLastColumn="0"/>
            <w:tcW w:w="3490" w:type="dxa"/>
            <w:tcBorders>
              <w:top w:val="single" w:sz="8" w:space="0" w:color="auto"/>
              <w:left w:val="single" w:sz="8" w:space="0" w:color="auto"/>
              <w:bottom w:val="nil"/>
              <w:right w:val="single" w:sz="8" w:space="0" w:color="auto"/>
            </w:tcBorders>
            <w:shd w:val="clear" w:color="auto" w:fill="000000" w:themeFill="text1"/>
            <w:noWrap/>
            <w:hideMark/>
          </w:tcPr>
          <w:p w14:paraId="79D9A97D" w14:textId="77777777" w:rsidR="00C22FE0" w:rsidRPr="008F0ACA" w:rsidRDefault="00C22FE0" w:rsidP="00C22FE0">
            <w:pPr>
              <w:snapToGrid w:val="0"/>
              <w:rPr>
                <w:rFonts w:ascii="Calibri" w:hAnsi="Calibri" w:cs="Calibri"/>
                <w:color w:val="FFFFFF" w:themeColor="background1"/>
                <w:sz w:val="18"/>
                <w:szCs w:val="18"/>
                <w:lang w:eastAsia="en-AU"/>
              </w:rPr>
            </w:pPr>
            <w:r w:rsidRPr="008F0ACA">
              <w:rPr>
                <w:rFonts w:ascii="Calibri" w:hAnsi="Calibri" w:cs="Calibri"/>
                <w:color w:val="FFFFFF" w:themeColor="background1"/>
                <w:sz w:val="18"/>
                <w:szCs w:val="18"/>
                <w:lang w:eastAsia="en-AU"/>
              </w:rPr>
              <w:t>Parameter</w:t>
            </w:r>
          </w:p>
        </w:tc>
        <w:tc>
          <w:tcPr>
            <w:tcW w:w="2786" w:type="dxa"/>
            <w:tcBorders>
              <w:top w:val="single" w:sz="8" w:space="0" w:color="auto"/>
              <w:left w:val="single" w:sz="8" w:space="0" w:color="auto"/>
              <w:bottom w:val="nil"/>
              <w:right w:val="single" w:sz="8" w:space="0" w:color="auto"/>
            </w:tcBorders>
            <w:shd w:val="clear" w:color="auto" w:fill="000000" w:themeFill="text1"/>
          </w:tcPr>
          <w:p w14:paraId="2E482363" w14:textId="298AF5BE" w:rsidR="00C22FE0" w:rsidRPr="008F0ACA" w:rsidRDefault="000B4F75"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8F0ACA">
              <w:rPr>
                <w:rFonts w:ascii="Calibri" w:hAnsi="Calibri" w:cs="Calibri"/>
                <w:color w:val="FFFFFF" w:themeColor="background1"/>
                <w:sz w:val="18"/>
                <w:szCs w:val="18"/>
                <w:lang w:eastAsia="en-AU"/>
              </w:rPr>
              <w:t>Parameter</w:t>
            </w:r>
            <w:r w:rsidR="00C22FE0" w:rsidRPr="008F0ACA">
              <w:rPr>
                <w:rFonts w:ascii="Calibri" w:hAnsi="Calibri" w:cs="Calibri"/>
                <w:color w:val="FFFFFF" w:themeColor="background1"/>
                <w:sz w:val="18"/>
                <w:szCs w:val="18"/>
                <w:lang w:eastAsia="en-AU"/>
              </w:rPr>
              <w:t xml:space="preserve"> value</w:t>
            </w:r>
          </w:p>
        </w:tc>
        <w:tc>
          <w:tcPr>
            <w:tcW w:w="2786" w:type="dxa"/>
            <w:tcBorders>
              <w:top w:val="single" w:sz="8" w:space="0" w:color="auto"/>
              <w:left w:val="single" w:sz="8" w:space="0" w:color="auto"/>
              <w:bottom w:val="nil"/>
              <w:right w:val="single" w:sz="8" w:space="0" w:color="auto"/>
            </w:tcBorders>
            <w:shd w:val="clear" w:color="auto" w:fill="000000" w:themeFill="text1"/>
          </w:tcPr>
          <w:p w14:paraId="208253ED" w14:textId="77777777" w:rsidR="00C22FE0" w:rsidRPr="008F0ACA"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8F0ACA">
              <w:rPr>
                <w:rFonts w:ascii="Calibri" w:hAnsi="Calibri" w:cs="Calibri"/>
                <w:color w:val="FFFFFF" w:themeColor="background1"/>
                <w:sz w:val="18"/>
                <w:szCs w:val="18"/>
                <w:lang w:eastAsia="en-AU"/>
              </w:rPr>
              <w:t>95% confidence interval</w:t>
            </w:r>
          </w:p>
        </w:tc>
      </w:tr>
      <w:tr w:rsidR="00C22FE0" w:rsidRPr="008F0ACA" w14:paraId="22EE8D5F"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90" w:type="dxa"/>
            <w:tcBorders>
              <w:top w:val="nil"/>
              <w:left w:val="single" w:sz="8" w:space="0" w:color="auto"/>
              <w:bottom w:val="nil"/>
              <w:right w:val="single" w:sz="8" w:space="0" w:color="auto"/>
            </w:tcBorders>
            <w:shd w:val="clear" w:color="auto" w:fill="auto"/>
            <w:noWrap/>
            <w:hideMark/>
          </w:tcPr>
          <w:p w14:paraId="4E7F1E2B" w14:textId="77777777" w:rsidR="00C22FE0" w:rsidRPr="008F0ACA" w:rsidRDefault="00C22FE0" w:rsidP="00C22FE0">
            <w:pPr>
              <w:snapToGrid w:val="0"/>
              <w:rPr>
                <w:rFonts w:ascii="Calibri" w:hAnsi="Calibri" w:cs="Calibri"/>
                <w:color w:val="000000"/>
                <w:sz w:val="18"/>
                <w:szCs w:val="18"/>
                <w:lang w:eastAsia="en-AU"/>
              </w:rPr>
            </w:pPr>
            <w:r w:rsidRPr="008F0ACA">
              <w:rPr>
                <w:rFonts w:ascii="Calibri" w:hAnsi="Calibri" w:cs="Calibri"/>
                <w:color w:val="000000"/>
                <w:sz w:val="18"/>
                <w:szCs w:val="18"/>
                <w:lang w:eastAsia="en-AU"/>
              </w:rPr>
              <w:t xml:space="preserve">Utility </w:t>
            </w:r>
            <w:proofErr w:type="spellStart"/>
            <w:r w:rsidRPr="008F0ACA">
              <w:rPr>
                <w:rFonts w:ascii="Calibri" w:hAnsi="Calibri" w:cs="Calibri"/>
                <w:color w:val="000000"/>
                <w:sz w:val="18"/>
                <w:szCs w:val="18"/>
                <w:lang w:eastAsia="en-AU"/>
              </w:rPr>
              <w:t>weight</w:t>
            </w:r>
            <w:r w:rsidRPr="008F0ACA">
              <w:rPr>
                <w:sz w:val="18"/>
                <w:szCs w:val="18"/>
                <w:vertAlign w:val="superscript"/>
                <w:lang w:eastAsia="en-US"/>
              </w:rPr>
              <w:t>a</w:t>
            </w:r>
            <w:proofErr w:type="spellEnd"/>
          </w:p>
        </w:tc>
        <w:tc>
          <w:tcPr>
            <w:tcW w:w="2786" w:type="dxa"/>
            <w:tcBorders>
              <w:top w:val="nil"/>
              <w:left w:val="single" w:sz="8" w:space="0" w:color="auto"/>
              <w:bottom w:val="nil"/>
              <w:right w:val="single" w:sz="8" w:space="0" w:color="auto"/>
            </w:tcBorders>
            <w:shd w:val="clear" w:color="auto" w:fill="auto"/>
          </w:tcPr>
          <w:p w14:paraId="7DB53A86" w14:textId="77777777" w:rsidR="00C22FE0" w:rsidRPr="008F0ACA"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2786" w:type="dxa"/>
            <w:tcBorders>
              <w:top w:val="nil"/>
              <w:left w:val="single" w:sz="8" w:space="0" w:color="auto"/>
              <w:bottom w:val="nil"/>
              <w:right w:val="single" w:sz="8" w:space="0" w:color="auto"/>
            </w:tcBorders>
            <w:shd w:val="clear" w:color="auto" w:fill="auto"/>
          </w:tcPr>
          <w:p w14:paraId="2C931DE4" w14:textId="77777777" w:rsidR="00C22FE0" w:rsidRPr="008F0ACA"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r>
      <w:tr w:rsidR="00C22FE0" w:rsidRPr="008F0ACA" w14:paraId="187266D4"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3490" w:type="dxa"/>
            <w:tcBorders>
              <w:top w:val="nil"/>
              <w:left w:val="single" w:sz="8" w:space="0" w:color="auto"/>
              <w:bottom w:val="nil"/>
              <w:right w:val="single" w:sz="8" w:space="0" w:color="auto"/>
            </w:tcBorders>
            <w:shd w:val="clear" w:color="auto" w:fill="auto"/>
            <w:noWrap/>
          </w:tcPr>
          <w:p w14:paraId="34B22B50" w14:textId="77777777" w:rsidR="00C22FE0" w:rsidRPr="008F0ACA" w:rsidRDefault="00C22FE0" w:rsidP="00C22FE0">
            <w:pPr>
              <w:snapToGrid w:val="0"/>
              <w:rPr>
                <w:rFonts w:ascii="Calibri" w:hAnsi="Calibri" w:cs="Calibri"/>
                <w:color w:val="000000"/>
                <w:sz w:val="18"/>
                <w:szCs w:val="18"/>
                <w:lang w:eastAsia="en-AU"/>
              </w:rPr>
            </w:pPr>
            <w:r w:rsidRPr="008F0ACA">
              <w:rPr>
                <w:rFonts w:ascii="Calibri" w:hAnsi="Calibri" w:cs="Calibri"/>
                <w:color w:val="000000"/>
                <w:sz w:val="18"/>
                <w:szCs w:val="18"/>
                <w:lang w:eastAsia="en-AU"/>
              </w:rPr>
              <w:t xml:space="preserve">     Fully recovered</w:t>
            </w:r>
          </w:p>
        </w:tc>
        <w:tc>
          <w:tcPr>
            <w:tcW w:w="2786" w:type="dxa"/>
            <w:tcBorders>
              <w:top w:val="nil"/>
              <w:left w:val="single" w:sz="8" w:space="0" w:color="auto"/>
              <w:bottom w:val="nil"/>
              <w:right w:val="single" w:sz="8" w:space="0" w:color="auto"/>
            </w:tcBorders>
            <w:shd w:val="clear" w:color="auto" w:fill="auto"/>
          </w:tcPr>
          <w:p w14:paraId="32345F93" w14:textId="77777777" w:rsidR="00C22FE0" w:rsidRPr="008F0ACA"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8F0ACA">
              <w:rPr>
                <w:rFonts w:ascii="Calibri" w:hAnsi="Calibri" w:cs="Calibri"/>
                <w:color w:val="000000"/>
                <w:sz w:val="18"/>
                <w:szCs w:val="18"/>
                <w:lang w:eastAsia="en-AU"/>
              </w:rPr>
              <w:t>0.858</w:t>
            </w:r>
          </w:p>
        </w:tc>
        <w:tc>
          <w:tcPr>
            <w:tcW w:w="2786" w:type="dxa"/>
            <w:tcBorders>
              <w:top w:val="nil"/>
              <w:left w:val="single" w:sz="8" w:space="0" w:color="auto"/>
              <w:bottom w:val="nil"/>
              <w:right w:val="single" w:sz="8" w:space="0" w:color="auto"/>
            </w:tcBorders>
            <w:shd w:val="clear" w:color="auto" w:fill="auto"/>
          </w:tcPr>
          <w:p w14:paraId="1E435722" w14:textId="77777777" w:rsidR="00C22FE0" w:rsidRPr="008F0ACA"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8F0ACA">
              <w:rPr>
                <w:rFonts w:ascii="Calibri" w:hAnsi="Calibri" w:cs="Calibri"/>
                <w:color w:val="000000"/>
                <w:sz w:val="18"/>
                <w:szCs w:val="18"/>
                <w:lang w:eastAsia="en-AU"/>
              </w:rPr>
              <w:t>0.835-0.881</w:t>
            </w:r>
          </w:p>
        </w:tc>
      </w:tr>
      <w:tr w:rsidR="00C22FE0" w:rsidRPr="008F0ACA" w14:paraId="419C6DA6"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90" w:type="dxa"/>
            <w:tcBorders>
              <w:top w:val="nil"/>
              <w:left w:val="single" w:sz="8" w:space="0" w:color="auto"/>
              <w:bottom w:val="nil"/>
              <w:right w:val="single" w:sz="8" w:space="0" w:color="auto"/>
            </w:tcBorders>
            <w:shd w:val="clear" w:color="auto" w:fill="auto"/>
            <w:noWrap/>
          </w:tcPr>
          <w:p w14:paraId="77DFA4AF" w14:textId="77777777" w:rsidR="00C22FE0" w:rsidRPr="008F0ACA" w:rsidRDefault="00C22FE0" w:rsidP="00C22FE0">
            <w:pPr>
              <w:snapToGrid w:val="0"/>
              <w:rPr>
                <w:rFonts w:ascii="Calibri" w:hAnsi="Calibri" w:cs="Calibri"/>
                <w:color w:val="000000"/>
                <w:sz w:val="18"/>
                <w:szCs w:val="18"/>
                <w:lang w:eastAsia="en-AU"/>
              </w:rPr>
            </w:pPr>
            <w:r w:rsidRPr="008F0ACA">
              <w:rPr>
                <w:rFonts w:ascii="Calibri" w:hAnsi="Calibri" w:cs="Calibri"/>
                <w:color w:val="000000"/>
                <w:sz w:val="18"/>
                <w:szCs w:val="18"/>
                <w:lang w:eastAsia="en-AU"/>
              </w:rPr>
              <w:t xml:space="preserve">     Partially recovered</w:t>
            </w:r>
          </w:p>
        </w:tc>
        <w:tc>
          <w:tcPr>
            <w:tcW w:w="2786" w:type="dxa"/>
            <w:tcBorders>
              <w:top w:val="nil"/>
              <w:left w:val="single" w:sz="8" w:space="0" w:color="auto"/>
              <w:bottom w:val="nil"/>
              <w:right w:val="single" w:sz="8" w:space="0" w:color="auto"/>
            </w:tcBorders>
            <w:shd w:val="clear" w:color="auto" w:fill="auto"/>
          </w:tcPr>
          <w:p w14:paraId="59BDCD53" w14:textId="77777777" w:rsidR="00C22FE0" w:rsidRPr="008F0ACA"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8F0ACA">
              <w:rPr>
                <w:rFonts w:ascii="Calibri" w:hAnsi="Calibri" w:cs="Calibri"/>
                <w:color w:val="000000"/>
                <w:sz w:val="18"/>
                <w:szCs w:val="18"/>
                <w:lang w:eastAsia="en-AU"/>
              </w:rPr>
              <w:t xml:space="preserve">0.839 </w:t>
            </w:r>
          </w:p>
        </w:tc>
        <w:tc>
          <w:tcPr>
            <w:tcW w:w="2786" w:type="dxa"/>
            <w:tcBorders>
              <w:top w:val="nil"/>
              <w:left w:val="single" w:sz="8" w:space="0" w:color="auto"/>
              <w:bottom w:val="nil"/>
              <w:right w:val="single" w:sz="8" w:space="0" w:color="auto"/>
            </w:tcBorders>
            <w:shd w:val="clear" w:color="auto" w:fill="auto"/>
          </w:tcPr>
          <w:p w14:paraId="617ADDD0" w14:textId="77777777" w:rsidR="00C22FE0" w:rsidRPr="008F0ACA"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8F0ACA">
              <w:rPr>
                <w:rFonts w:ascii="Calibri" w:hAnsi="Calibri" w:cs="Calibri"/>
                <w:color w:val="000000"/>
                <w:sz w:val="18"/>
                <w:szCs w:val="18"/>
                <w:lang w:eastAsia="en-AU"/>
              </w:rPr>
              <w:t>0.798-0.879</w:t>
            </w:r>
          </w:p>
        </w:tc>
      </w:tr>
      <w:tr w:rsidR="00C22FE0" w:rsidRPr="008F0ACA" w14:paraId="08DA92AA"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3490" w:type="dxa"/>
            <w:tcBorders>
              <w:top w:val="nil"/>
              <w:left w:val="single" w:sz="8" w:space="0" w:color="auto"/>
              <w:bottom w:val="nil"/>
              <w:right w:val="single" w:sz="8" w:space="0" w:color="auto"/>
            </w:tcBorders>
            <w:shd w:val="clear" w:color="auto" w:fill="auto"/>
            <w:noWrap/>
          </w:tcPr>
          <w:p w14:paraId="2927412A" w14:textId="77777777" w:rsidR="00C22FE0" w:rsidRPr="008F0ACA" w:rsidRDefault="00C22FE0" w:rsidP="00C22FE0">
            <w:pPr>
              <w:snapToGrid w:val="0"/>
              <w:rPr>
                <w:rFonts w:ascii="Calibri" w:hAnsi="Calibri" w:cs="Calibri"/>
                <w:color w:val="000000"/>
                <w:sz w:val="18"/>
                <w:szCs w:val="18"/>
                <w:lang w:eastAsia="en-AU"/>
              </w:rPr>
            </w:pPr>
            <w:r w:rsidRPr="008F0ACA">
              <w:rPr>
                <w:rFonts w:ascii="Calibri" w:hAnsi="Calibri" w:cs="Calibri"/>
                <w:color w:val="000000"/>
                <w:sz w:val="18"/>
                <w:szCs w:val="18"/>
                <w:lang w:eastAsia="en-AU"/>
              </w:rPr>
              <w:t xml:space="preserve">     No improvement</w:t>
            </w:r>
          </w:p>
        </w:tc>
        <w:tc>
          <w:tcPr>
            <w:tcW w:w="2786" w:type="dxa"/>
            <w:tcBorders>
              <w:top w:val="nil"/>
              <w:left w:val="single" w:sz="8" w:space="0" w:color="auto"/>
              <w:bottom w:val="nil"/>
              <w:right w:val="single" w:sz="8" w:space="0" w:color="auto"/>
            </w:tcBorders>
            <w:shd w:val="clear" w:color="auto" w:fill="auto"/>
          </w:tcPr>
          <w:p w14:paraId="61FBA326" w14:textId="77777777" w:rsidR="00C22FE0" w:rsidRPr="008F0ACA"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8F0ACA">
              <w:rPr>
                <w:rFonts w:ascii="Calibri" w:hAnsi="Calibri" w:cs="Calibri"/>
                <w:color w:val="000000"/>
                <w:sz w:val="18"/>
                <w:szCs w:val="18"/>
                <w:lang w:eastAsia="en-AU"/>
              </w:rPr>
              <w:t>0.779</w:t>
            </w:r>
          </w:p>
        </w:tc>
        <w:tc>
          <w:tcPr>
            <w:tcW w:w="2786" w:type="dxa"/>
            <w:tcBorders>
              <w:top w:val="nil"/>
              <w:left w:val="single" w:sz="8" w:space="0" w:color="auto"/>
              <w:bottom w:val="nil"/>
              <w:right w:val="single" w:sz="8" w:space="0" w:color="auto"/>
            </w:tcBorders>
            <w:shd w:val="clear" w:color="auto" w:fill="auto"/>
          </w:tcPr>
          <w:p w14:paraId="0DAEE02B" w14:textId="77777777" w:rsidR="00C22FE0" w:rsidRPr="008F0ACA"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8F0ACA">
              <w:rPr>
                <w:rFonts w:ascii="Calibri" w:hAnsi="Calibri" w:cs="Calibri"/>
                <w:color w:val="000000"/>
                <w:sz w:val="18"/>
                <w:szCs w:val="18"/>
                <w:lang w:eastAsia="en-AU"/>
              </w:rPr>
              <w:t>0.746-0.812</w:t>
            </w:r>
          </w:p>
        </w:tc>
      </w:tr>
      <w:tr w:rsidR="00C22FE0" w:rsidRPr="008F0ACA" w14:paraId="7DA04CE5"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490" w:type="dxa"/>
            <w:tcBorders>
              <w:top w:val="nil"/>
              <w:left w:val="single" w:sz="8" w:space="0" w:color="auto"/>
              <w:bottom w:val="single" w:sz="4" w:space="0" w:color="auto"/>
              <w:right w:val="single" w:sz="8" w:space="0" w:color="auto"/>
            </w:tcBorders>
            <w:shd w:val="clear" w:color="auto" w:fill="auto"/>
            <w:noWrap/>
          </w:tcPr>
          <w:p w14:paraId="44392A59" w14:textId="77777777" w:rsidR="00C22FE0" w:rsidRPr="008F0ACA" w:rsidRDefault="00C22FE0" w:rsidP="00C22FE0">
            <w:pPr>
              <w:snapToGrid w:val="0"/>
              <w:rPr>
                <w:rFonts w:ascii="Calibri" w:hAnsi="Calibri" w:cs="Calibri"/>
                <w:color w:val="000000"/>
                <w:sz w:val="18"/>
                <w:szCs w:val="18"/>
                <w:lang w:eastAsia="en-AU"/>
              </w:rPr>
            </w:pPr>
            <w:r w:rsidRPr="008F0ACA">
              <w:rPr>
                <w:rFonts w:ascii="Calibri" w:hAnsi="Calibri" w:cs="Calibri"/>
                <w:color w:val="000000"/>
                <w:sz w:val="18"/>
                <w:szCs w:val="18"/>
                <w:lang w:eastAsia="en-AU"/>
              </w:rPr>
              <w:t xml:space="preserve">     Deterioration</w:t>
            </w:r>
          </w:p>
        </w:tc>
        <w:tc>
          <w:tcPr>
            <w:tcW w:w="2786" w:type="dxa"/>
            <w:tcBorders>
              <w:top w:val="nil"/>
              <w:left w:val="single" w:sz="8" w:space="0" w:color="auto"/>
              <w:bottom w:val="single" w:sz="4" w:space="0" w:color="auto"/>
              <w:right w:val="single" w:sz="8" w:space="0" w:color="auto"/>
            </w:tcBorders>
            <w:shd w:val="clear" w:color="auto" w:fill="auto"/>
          </w:tcPr>
          <w:p w14:paraId="601A60B6" w14:textId="77777777" w:rsidR="00C22FE0" w:rsidRPr="008F0ACA"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8F0ACA">
              <w:rPr>
                <w:rFonts w:ascii="Calibri" w:hAnsi="Calibri" w:cs="Calibri"/>
                <w:color w:val="000000"/>
                <w:sz w:val="18"/>
                <w:szCs w:val="18"/>
                <w:lang w:eastAsia="en-AU"/>
              </w:rPr>
              <w:t>0.712</w:t>
            </w:r>
          </w:p>
        </w:tc>
        <w:tc>
          <w:tcPr>
            <w:tcW w:w="2786" w:type="dxa"/>
            <w:tcBorders>
              <w:top w:val="nil"/>
              <w:left w:val="single" w:sz="8" w:space="0" w:color="auto"/>
              <w:bottom w:val="single" w:sz="4" w:space="0" w:color="auto"/>
              <w:right w:val="single" w:sz="8" w:space="0" w:color="auto"/>
            </w:tcBorders>
            <w:shd w:val="clear" w:color="auto" w:fill="auto"/>
          </w:tcPr>
          <w:p w14:paraId="6EFD11C9" w14:textId="77777777" w:rsidR="00C22FE0" w:rsidRPr="008F0ACA"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8F0ACA">
              <w:rPr>
                <w:rFonts w:ascii="Calibri" w:hAnsi="Calibri" w:cs="Calibri"/>
                <w:color w:val="000000"/>
                <w:sz w:val="18"/>
                <w:szCs w:val="18"/>
                <w:lang w:eastAsia="en-AU"/>
              </w:rPr>
              <w:t>0.473-0.952</w:t>
            </w:r>
          </w:p>
        </w:tc>
      </w:tr>
    </w:tbl>
    <w:p w14:paraId="09B2D738" w14:textId="14813DD7" w:rsidR="00C22FE0" w:rsidRPr="00C22FE0" w:rsidRDefault="00C22FE0" w:rsidP="00CA74AD">
      <w:pPr>
        <w:snapToGrid w:val="0"/>
        <w:spacing w:after="240"/>
        <w:rPr>
          <w:rFonts w:asciiTheme="minorHAnsi" w:hAnsiTheme="minorHAnsi" w:cstheme="minorHAnsi"/>
          <w:iCs/>
          <w:sz w:val="16"/>
          <w:szCs w:val="16"/>
        </w:rPr>
      </w:pPr>
      <w:proofErr w:type="spellStart"/>
      <w:r w:rsidRPr="008F0ACA">
        <w:rPr>
          <w:rFonts w:asciiTheme="minorHAnsi" w:hAnsiTheme="minorHAnsi" w:cstheme="minorHAnsi"/>
          <w:iCs/>
          <w:sz w:val="16"/>
          <w:szCs w:val="16"/>
          <w:vertAlign w:val="superscript"/>
        </w:rPr>
        <w:t>a</w:t>
      </w:r>
      <w:r w:rsidRPr="008F0ACA">
        <w:rPr>
          <w:rFonts w:asciiTheme="minorHAnsi" w:hAnsiTheme="minorHAnsi" w:cstheme="minorHAnsi"/>
          <w:iCs/>
          <w:sz w:val="16"/>
          <w:szCs w:val="16"/>
        </w:rPr>
        <w:t>As</w:t>
      </w:r>
      <w:proofErr w:type="spellEnd"/>
      <w:r w:rsidRPr="008F0ACA">
        <w:rPr>
          <w:rFonts w:asciiTheme="minorHAnsi" w:hAnsiTheme="minorHAnsi" w:cstheme="minorHAnsi"/>
          <w:iCs/>
          <w:sz w:val="16"/>
          <w:szCs w:val="16"/>
        </w:rPr>
        <w:t xml:space="preserve"> estimated in Lee et al (2017)</w:t>
      </w:r>
      <w:r w:rsidR="008F0ACA" w:rsidRPr="008F0ACA">
        <w:rPr>
          <w:rFonts w:asciiTheme="minorHAnsi" w:hAnsiTheme="minorHAnsi" w:cstheme="minorHAnsi"/>
          <w:iCs/>
          <w:sz w:val="16"/>
          <w:szCs w:val="16"/>
        </w:rPr>
        <w:fldChar w:fldCharType="begin"/>
      </w:r>
      <w:r w:rsidR="008F0ACA" w:rsidRPr="008F0ACA">
        <w:rPr>
          <w:rFonts w:asciiTheme="minorHAnsi" w:hAnsiTheme="minorHAnsi" w:cstheme="minorHAnsi"/>
          <w:iCs/>
          <w:sz w:val="16"/>
          <w:szCs w:val="16"/>
        </w:rPr>
        <w:instrText xml:space="preserve"> ADDIN EN.CITE &lt;EndNote&gt;&lt;Cite&gt;&lt;Author&gt;Lee&lt;/Author&gt;&lt;Year&gt;2017&lt;/Year&gt;&lt;RecNum&gt;27&lt;/RecNum&gt;&lt;DisplayText&gt;&lt;style face="superscript"&gt;83&lt;/style&gt;&lt;/DisplayText&gt;&lt;record&gt;&lt;rec-number&gt;27&lt;/rec-number&gt;&lt;foreign-keys&gt;&lt;key app="EN" db-id="dawtr0zrkrzfa5edzzlpe2we0xa00t90vvr2" timestamp="1623067866"&gt;27&lt;/key&gt;&lt;/foreign-keys&gt;&lt;ref-type name="Journal Article"&gt;17&lt;/ref-type&gt;&lt;contributors&gt;&lt;authors&gt;&lt;author&gt;Lee, Yu-Chen&lt;/author&gt;&lt;author&gt;Gao, Lan&lt;/author&gt;&lt;author&gt;Dear, Blake F&lt;/author&gt;&lt;author&gt;Titov, Nickolai&lt;/author&gt;&lt;author&gt;Mihalopoulos, Cathrine&lt;/author&gt;&lt;/authors&gt;&lt;/contributors&gt;&lt;titles&gt;&lt;title&gt;The cost-effectiveness of the online MindSpot Clinic for the treatment of depression and anxiety in Australia&lt;/title&gt;&lt;secondary-title&gt;J Ment Health Policy Econ&lt;/secondary-title&gt;&lt;/titles&gt;&lt;periodical&gt;&lt;full-title&gt;J Ment Health Policy Econ&lt;/full-title&gt;&lt;/periodical&gt;&lt;pages&gt;155-166&lt;/pages&gt;&lt;volume&gt;20&lt;/volume&gt;&lt;number&gt;4&lt;/number&gt;&lt;dates&gt;&lt;year&gt;2017&lt;/year&gt;&lt;/dates&gt;&lt;urls&gt;&lt;/urls&gt;&lt;/record&gt;&lt;/Cite&gt;&lt;/EndNote&gt;</w:instrText>
      </w:r>
      <w:r w:rsidR="008F0ACA" w:rsidRPr="008F0ACA">
        <w:rPr>
          <w:rFonts w:asciiTheme="minorHAnsi" w:hAnsiTheme="minorHAnsi" w:cstheme="minorHAnsi"/>
          <w:iCs/>
          <w:sz w:val="16"/>
          <w:szCs w:val="16"/>
        </w:rPr>
        <w:fldChar w:fldCharType="separate"/>
      </w:r>
      <w:r w:rsidR="008F0ACA" w:rsidRPr="008F0ACA">
        <w:rPr>
          <w:rFonts w:asciiTheme="minorHAnsi" w:hAnsiTheme="minorHAnsi" w:cstheme="minorHAnsi"/>
          <w:iCs/>
          <w:noProof/>
          <w:sz w:val="16"/>
          <w:szCs w:val="16"/>
          <w:vertAlign w:val="superscript"/>
        </w:rPr>
        <w:t>83</w:t>
      </w:r>
      <w:r w:rsidR="008F0ACA" w:rsidRPr="008F0ACA">
        <w:rPr>
          <w:rFonts w:asciiTheme="minorHAnsi" w:hAnsiTheme="minorHAnsi" w:cstheme="minorHAnsi"/>
          <w:iCs/>
          <w:sz w:val="16"/>
          <w:szCs w:val="16"/>
        </w:rPr>
        <w:fldChar w:fldCharType="end"/>
      </w:r>
      <w:r w:rsidRPr="008F0ACA">
        <w:rPr>
          <w:rFonts w:asciiTheme="minorHAnsi" w:hAnsiTheme="minorHAnsi" w:cstheme="minorHAnsi"/>
          <w:iCs/>
          <w:sz w:val="16"/>
          <w:szCs w:val="16"/>
        </w:rPr>
        <w:t xml:space="preserve"> based on an 8-week dataset using EQ-5D-5L as the measurement tool. QALYs of the four health states were</w:t>
      </w:r>
      <w:r w:rsidRPr="00C22FE0">
        <w:rPr>
          <w:rFonts w:asciiTheme="minorHAnsi" w:hAnsiTheme="minorHAnsi" w:cstheme="minorHAnsi"/>
          <w:iCs/>
          <w:sz w:val="16"/>
          <w:szCs w:val="16"/>
        </w:rPr>
        <w:t xml:space="preserve"> calculated by multiplying the period spent in a particular health state by the utility assigned to that state.</w:t>
      </w:r>
    </w:p>
    <w:p w14:paraId="2287F269" w14:textId="6F44B094" w:rsidR="00C22FE0" w:rsidRPr="00C22FE0" w:rsidRDefault="00C754B0" w:rsidP="00C22FE0">
      <w:pPr>
        <w:outlineLvl w:val="2"/>
        <w:rPr>
          <w:rFonts w:asciiTheme="minorHAnsi" w:hAnsiTheme="minorHAnsi" w:cstheme="minorHAnsi"/>
          <w:b/>
          <w:bCs/>
          <w:color w:val="2F5496" w:themeColor="accent1" w:themeShade="BF"/>
          <w:sz w:val="21"/>
          <w:szCs w:val="21"/>
        </w:rPr>
      </w:pPr>
      <w:r>
        <w:rPr>
          <w:rFonts w:asciiTheme="minorHAnsi" w:hAnsiTheme="minorHAnsi" w:cstheme="minorHAnsi"/>
          <w:b/>
          <w:bCs/>
          <w:color w:val="2F5496" w:themeColor="accent1" w:themeShade="BF"/>
          <w:sz w:val="21"/>
          <w:szCs w:val="21"/>
        </w:rPr>
        <w:t>L3</w:t>
      </w:r>
      <w:r w:rsidR="00C22FE0" w:rsidRPr="00C22FE0">
        <w:rPr>
          <w:rFonts w:asciiTheme="minorHAnsi" w:hAnsiTheme="minorHAnsi" w:cstheme="minorHAnsi"/>
          <w:b/>
          <w:bCs/>
          <w:color w:val="2F5496" w:themeColor="accent1" w:themeShade="BF"/>
          <w:sz w:val="21"/>
          <w:szCs w:val="21"/>
        </w:rPr>
        <w:t>.3 Sensitivity analysis</w:t>
      </w:r>
    </w:p>
    <w:p w14:paraId="546B7472" w14:textId="5A6B80B2" w:rsidR="00C22FE0" w:rsidRPr="00C22FE0" w:rsidRDefault="00C22FE0" w:rsidP="00D6551D">
      <w:pPr>
        <w:spacing w:after="240"/>
        <w:rPr>
          <w:rFonts w:asciiTheme="minorHAnsi" w:hAnsiTheme="minorHAnsi" w:cstheme="minorHAnsi"/>
          <w:sz w:val="21"/>
          <w:szCs w:val="21"/>
          <w:lang w:eastAsia="zh-CN"/>
        </w:rPr>
      </w:pPr>
      <w:r w:rsidRPr="00C22FE0">
        <w:rPr>
          <w:rFonts w:ascii="Calibri" w:hAnsi="Calibri" w:cs="Arial"/>
          <w:iCs/>
          <w:color w:val="000000" w:themeColor="text1"/>
          <w:sz w:val="21"/>
          <w:szCs w:val="21"/>
          <w:lang w:eastAsia="zh-CN"/>
        </w:rPr>
        <w:t xml:space="preserve">A deterministic sensitivity analysis was also conducted to evaluate the robustness of our modelling results. This includes replacing the transition probabilities calculated based on PHQ-9 cut-off points (Table </w:t>
      </w:r>
      <w:r w:rsidR="00C754B0">
        <w:rPr>
          <w:rFonts w:ascii="Calibri" w:hAnsi="Calibri" w:cs="Arial"/>
          <w:iCs/>
          <w:color w:val="000000" w:themeColor="text1"/>
          <w:sz w:val="21"/>
          <w:szCs w:val="21"/>
          <w:lang w:eastAsia="zh-CN"/>
        </w:rPr>
        <w:t>L1</w:t>
      </w:r>
      <w:r w:rsidRPr="00C22FE0">
        <w:rPr>
          <w:rFonts w:ascii="Calibri" w:hAnsi="Calibri" w:cs="Arial"/>
          <w:iCs/>
          <w:color w:val="000000" w:themeColor="text1"/>
          <w:sz w:val="21"/>
          <w:szCs w:val="21"/>
          <w:lang w:eastAsia="zh-CN"/>
        </w:rPr>
        <w:t xml:space="preserve">.3) with those that were calculated based on GAD-7 cut-off points (Table </w:t>
      </w:r>
      <w:r w:rsidR="00C754B0">
        <w:rPr>
          <w:rFonts w:ascii="Calibri" w:hAnsi="Calibri" w:cs="Arial"/>
          <w:iCs/>
          <w:color w:val="000000" w:themeColor="text1"/>
          <w:sz w:val="21"/>
          <w:szCs w:val="21"/>
          <w:lang w:eastAsia="zh-CN"/>
        </w:rPr>
        <w:t>L1</w:t>
      </w:r>
      <w:r w:rsidRPr="00C22FE0">
        <w:rPr>
          <w:rFonts w:ascii="Calibri" w:hAnsi="Calibri" w:cs="Arial"/>
          <w:iCs/>
          <w:color w:val="000000" w:themeColor="text1"/>
          <w:sz w:val="21"/>
          <w:szCs w:val="21"/>
          <w:lang w:eastAsia="zh-CN"/>
        </w:rPr>
        <w:t xml:space="preserve">.4), to determine if our results were sensitive to the type of depression or anxiety measures. Another sensitivity test involves sequentially setting the transition probability of each health state for the DMHSs to be equal to that of the indirect comparator group (Tables </w:t>
      </w:r>
      <w:r w:rsidR="00C754B0">
        <w:rPr>
          <w:rFonts w:ascii="Calibri" w:hAnsi="Calibri" w:cs="Arial"/>
          <w:iCs/>
          <w:color w:val="000000" w:themeColor="text1"/>
          <w:sz w:val="21"/>
          <w:szCs w:val="21"/>
          <w:lang w:eastAsia="zh-CN"/>
        </w:rPr>
        <w:t>L1</w:t>
      </w:r>
      <w:r w:rsidRPr="00C22FE0">
        <w:rPr>
          <w:rFonts w:ascii="Calibri" w:hAnsi="Calibri" w:cs="Arial"/>
          <w:iCs/>
          <w:color w:val="000000" w:themeColor="text1"/>
          <w:sz w:val="21"/>
          <w:szCs w:val="21"/>
          <w:lang w:eastAsia="zh-CN"/>
        </w:rPr>
        <w:t xml:space="preserve">.5-1.8). Lastly, the utility values for each health state were varied by the lower or higher 95% confidence interval to test if our results were influenced by these values (Table </w:t>
      </w:r>
      <w:r w:rsidR="00C754B0">
        <w:rPr>
          <w:rFonts w:ascii="Calibri" w:hAnsi="Calibri" w:cs="Arial"/>
          <w:iCs/>
          <w:color w:val="000000" w:themeColor="text1"/>
          <w:sz w:val="21"/>
          <w:szCs w:val="21"/>
          <w:lang w:eastAsia="zh-CN"/>
        </w:rPr>
        <w:t>L1</w:t>
      </w:r>
      <w:r w:rsidRPr="00C22FE0">
        <w:rPr>
          <w:rFonts w:ascii="Calibri" w:hAnsi="Calibri" w:cs="Arial"/>
          <w:iCs/>
          <w:color w:val="000000" w:themeColor="text1"/>
          <w:sz w:val="21"/>
          <w:szCs w:val="21"/>
          <w:lang w:eastAsia="zh-CN"/>
        </w:rPr>
        <w:t>.9).</w:t>
      </w:r>
    </w:p>
    <w:p w14:paraId="0E616293" w14:textId="5A8CAC55" w:rsidR="00F15B90" w:rsidRDefault="00C22FE0" w:rsidP="00D6551D">
      <w:pPr>
        <w:spacing w:after="240"/>
        <w:outlineLvl w:val="2"/>
        <w:rPr>
          <w:rFonts w:ascii="Calibri" w:hAnsi="Calibri" w:cs="Arial"/>
          <w:iCs/>
          <w:color w:val="000000" w:themeColor="text1"/>
          <w:sz w:val="21"/>
          <w:szCs w:val="21"/>
          <w:lang w:eastAsia="zh-CN"/>
        </w:rPr>
      </w:pPr>
      <w:r w:rsidRPr="00C22FE0">
        <w:rPr>
          <w:rFonts w:ascii="Calibri" w:hAnsi="Calibri" w:cs="Arial"/>
          <w:iCs/>
          <w:color w:val="000000" w:themeColor="text1"/>
          <w:sz w:val="21"/>
          <w:szCs w:val="21"/>
          <w:lang w:eastAsia="zh-CN"/>
        </w:rPr>
        <w:t>We also conducted another sensitivity analysis by setting the DMHS’s transition probability of one health state to be equal to that of the indirect comparator’s corresponding health state and redistributing the initial difference among the remaining health states. This was done sequentially for each health state. For example, the difference of ‘fully recovered’ between MHO and the indirect comparator, based on PHQ-9 outcomes, was 0.438-0.111=0.327. The transition probability of ‘fully recovered’ for MHO was then set to 0.111 and the initial difference (i.e.</w:t>
      </w:r>
      <w:r w:rsidR="00E91B03">
        <w:rPr>
          <w:rFonts w:ascii="Calibri" w:hAnsi="Calibri" w:cs="Arial"/>
          <w:iCs/>
          <w:color w:val="000000" w:themeColor="text1"/>
          <w:sz w:val="21"/>
          <w:szCs w:val="21"/>
          <w:lang w:eastAsia="zh-CN"/>
        </w:rPr>
        <w:t>,</w:t>
      </w:r>
      <w:r w:rsidRPr="00C22FE0">
        <w:rPr>
          <w:rFonts w:ascii="Calibri" w:hAnsi="Calibri" w:cs="Arial"/>
          <w:iCs/>
          <w:color w:val="000000" w:themeColor="text1"/>
          <w:sz w:val="21"/>
          <w:szCs w:val="21"/>
          <w:lang w:eastAsia="zh-CN"/>
        </w:rPr>
        <w:t xml:space="preserve"> 0.327) was re-distributed equally to the remaining health states for MHO (i.e.</w:t>
      </w:r>
      <w:r w:rsidR="00E91B03">
        <w:rPr>
          <w:rFonts w:ascii="Calibri" w:hAnsi="Calibri" w:cs="Arial"/>
          <w:iCs/>
          <w:color w:val="000000" w:themeColor="text1"/>
          <w:sz w:val="21"/>
          <w:szCs w:val="21"/>
          <w:lang w:eastAsia="zh-CN"/>
        </w:rPr>
        <w:t>,</w:t>
      </w:r>
      <w:r w:rsidRPr="00C22FE0">
        <w:rPr>
          <w:rFonts w:ascii="Calibri" w:hAnsi="Calibri" w:cs="Arial"/>
          <w:iCs/>
          <w:color w:val="000000" w:themeColor="text1"/>
          <w:sz w:val="21"/>
          <w:szCs w:val="21"/>
          <w:lang w:eastAsia="zh-CN"/>
        </w:rPr>
        <w:t xml:space="preserve"> 0.109 was added to ‘partially recovered’, ‘no improvement’ and ‘deteriorated’). Table </w:t>
      </w:r>
      <w:r w:rsidR="00C754B0">
        <w:rPr>
          <w:rFonts w:ascii="Calibri" w:hAnsi="Calibri" w:cs="Arial"/>
          <w:iCs/>
          <w:color w:val="000000" w:themeColor="text1"/>
          <w:sz w:val="21"/>
          <w:szCs w:val="21"/>
          <w:lang w:eastAsia="zh-CN"/>
        </w:rPr>
        <w:t>L1</w:t>
      </w:r>
      <w:r w:rsidRPr="00C22FE0">
        <w:rPr>
          <w:rFonts w:ascii="Calibri" w:hAnsi="Calibri" w:cs="Arial"/>
          <w:iCs/>
          <w:color w:val="000000" w:themeColor="text1"/>
          <w:sz w:val="21"/>
          <w:szCs w:val="21"/>
          <w:lang w:eastAsia="zh-CN"/>
        </w:rPr>
        <w:t>.5-1.8 present the transition probabilities used for this sensitivity analysis.</w:t>
      </w:r>
    </w:p>
    <w:p w14:paraId="62F7A61D" w14:textId="77777777" w:rsidR="00F15B90" w:rsidRDefault="00F15B90">
      <w:pPr>
        <w:spacing w:after="200"/>
        <w:rPr>
          <w:rFonts w:ascii="Calibri" w:hAnsi="Calibri" w:cs="Arial"/>
          <w:iCs/>
          <w:color w:val="000000" w:themeColor="text1"/>
          <w:sz w:val="21"/>
          <w:szCs w:val="21"/>
          <w:lang w:eastAsia="zh-CN"/>
        </w:rPr>
      </w:pPr>
      <w:r>
        <w:rPr>
          <w:rFonts w:ascii="Calibri" w:hAnsi="Calibri" w:cs="Arial"/>
          <w:iCs/>
          <w:color w:val="000000" w:themeColor="text1"/>
          <w:sz w:val="21"/>
          <w:szCs w:val="21"/>
          <w:lang w:eastAsia="zh-CN"/>
        </w:rPr>
        <w:br w:type="page"/>
      </w:r>
    </w:p>
    <w:p w14:paraId="6D54A09B" w14:textId="4F48AD0F" w:rsidR="00C22FE0" w:rsidRPr="00C22FE0" w:rsidRDefault="00C22FE0" w:rsidP="00C22FE0">
      <w:pPr>
        <w:keepLines/>
        <w:spacing w:after="120"/>
        <w:outlineLvl w:val="2"/>
        <w:rPr>
          <w:rFonts w:asciiTheme="minorHAnsi" w:eastAsiaTheme="majorEastAsia" w:hAnsiTheme="minorHAnsi" w:cstheme="majorBidi"/>
          <w:b/>
          <w:i/>
          <w:color w:val="000000" w:themeColor="text1"/>
          <w:sz w:val="21"/>
          <w:szCs w:val="21"/>
          <w:lang w:val="en-US" w:eastAsia="en-US"/>
        </w:rPr>
      </w:pPr>
      <w:r w:rsidRPr="00C22FE0">
        <w:rPr>
          <w:rFonts w:asciiTheme="minorHAnsi" w:eastAsiaTheme="majorEastAsia" w:hAnsiTheme="minorHAnsi" w:cstheme="majorBidi"/>
          <w:b/>
          <w:color w:val="000000" w:themeColor="text1"/>
          <w:sz w:val="21"/>
          <w:szCs w:val="21"/>
          <w:lang w:val="en-US" w:eastAsia="en-US"/>
        </w:rPr>
        <w:lastRenderedPageBreak/>
        <w:t xml:space="preserve">Table </w:t>
      </w:r>
      <w:r w:rsidR="00C754B0">
        <w:rPr>
          <w:rFonts w:asciiTheme="minorHAnsi" w:eastAsiaTheme="majorEastAsia" w:hAnsiTheme="minorHAnsi" w:cstheme="majorBidi"/>
          <w:b/>
          <w:color w:val="000000" w:themeColor="text1"/>
          <w:sz w:val="21"/>
          <w:szCs w:val="21"/>
          <w:lang w:val="en-US" w:eastAsia="en-US"/>
        </w:rPr>
        <w:t>L1</w:t>
      </w:r>
      <w:r w:rsidRPr="00F15B90">
        <w:rPr>
          <w:rFonts w:asciiTheme="minorHAnsi" w:eastAsiaTheme="majorEastAsia" w:hAnsiTheme="minorHAnsi" w:cstheme="majorBidi"/>
          <w:b/>
          <w:color w:val="000000" w:themeColor="text1"/>
          <w:sz w:val="21"/>
          <w:szCs w:val="21"/>
          <w:lang w:val="en-US" w:eastAsia="en-US"/>
        </w:rPr>
        <w:t>.5</w:t>
      </w:r>
      <w:r w:rsidRPr="00C22FE0">
        <w:rPr>
          <w:rFonts w:asciiTheme="minorHAnsi" w:eastAsiaTheme="majorEastAsia" w:hAnsiTheme="minorHAnsi" w:cstheme="majorBidi"/>
          <w:b/>
          <w:color w:val="000000" w:themeColor="text1"/>
          <w:sz w:val="21"/>
          <w:szCs w:val="21"/>
          <w:lang w:val="en-US" w:eastAsia="en-US"/>
        </w:rPr>
        <w:t xml:space="preserve"> Transition probabilities for sensitivity analysis (‘fully recovered’ value equals to indirect comparator)</w:t>
      </w:r>
    </w:p>
    <w:tbl>
      <w:tblPr>
        <w:tblStyle w:val="PlainTable413"/>
        <w:tblW w:w="9000" w:type="dxa"/>
        <w:tblInd w:w="0" w:type="dxa"/>
        <w:tblBorders>
          <w:top w:val="single" w:sz="8" w:space="0" w:color="auto"/>
          <w:left w:val="single" w:sz="8" w:space="0" w:color="auto"/>
          <w:bottom w:val="single" w:sz="8" w:space="0" w:color="auto"/>
          <w:right w:val="single" w:sz="8" w:space="0" w:color="auto"/>
          <w:insideV w:val="single" w:sz="8" w:space="0" w:color="auto"/>
        </w:tblBorders>
        <w:tblLayout w:type="fixed"/>
        <w:tblLook w:val="04A0" w:firstRow="1" w:lastRow="0" w:firstColumn="1" w:lastColumn="0" w:noHBand="0" w:noVBand="1"/>
        <w:tblCaption w:val="Table L1.5 Transition probabilities for sensitivity analysis (‘fully recovered’ value equals to indirect comparator)"/>
        <w:tblDescription w:val="A table providing the transition probabilities used for sensitivity analysis, where the ‘fully recovered’ health state’s transition probability value was set to be equal to that of the indirect comparator group. The transition probabilities are presented for each of the four health states and according to the indirect comparator group and digital mental health services and service pathway. "/>
      </w:tblPr>
      <w:tblGrid>
        <w:gridCol w:w="2897"/>
        <w:gridCol w:w="1525"/>
        <w:gridCol w:w="1526"/>
        <w:gridCol w:w="1526"/>
        <w:gridCol w:w="1526"/>
      </w:tblGrid>
      <w:tr w:rsidR="00C22FE0" w:rsidRPr="00C22FE0" w14:paraId="13F37241" w14:textId="77777777" w:rsidTr="00A56C43">
        <w:trPr>
          <w:cnfStyle w:val="100000000000" w:firstRow="1" w:lastRow="0" w:firstColumn="0" w:lastColumn="0" w:oddVBand="0" w:evenVBand="0" w:oddHBand="0" w:evenHBand="0" w:firstRowFirstColumn="0" w:firstRowLastColumn="0" w:lastRowFirstColumn="0" w:lastRowLastColumn="0"/>
          <w:trHeight w:val="610"/>
          <w:tblHeader/>
        </w:trPr>
        <w:tc>
          <w:tcPr>
            <w:cnfStyle w:val="001000000000" w:firstRow="0" w:lastRow="0" w:firstColumn="1" w:lastColumn="0" w:oddVBand="0" w:evenVBand="0" w:oddHBand="0" w:evenHBand="0" w:firstRowFirstColumn="0" w:firstRowLastColumn="0" w:lastRowFirstColumn="0" w:lastRowLastColumn="0"/>
            <w:tcW w:w="2897" w:type="dxa"/>
            <w:tcBorders>
              <w:top w:val="single" w:sz="8" w:space="0" w:color="auto"/>
              <w:left w:val="single" w:sz="8" w:space="0" w:color="auto"/>
              <w:bottom w:val="nil"/>
              <w:right w:val="single" w:sz="8" w:space="0" w:color="auto"/>
            </w:tcBorders>
            <w:shd w:val="clear" w:color="auto" w:fill="000000" w:themeFill="text1"/>
            <w:noWrap/>
            <w:hideMark/>
          </w:tcPr>
          <w:p w14:paraId="62A241B5" w14:textId="77777777" w:rsidR="00C22FE0" w:rsidRPr="00C22FE0" w:rsidRDefault="00C22FE0" w:rsidP="00C22FE0">
            <w:pPr>
              <w:snapToGrid w:val="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Parameter</w:t>
            </w:r>
          </w:p>
        </w:tc>
        <w:tc>
          <w:tcPr>
            <w:tcW w:w="1525" w:type="dxa"/>
            <w:tcBorders>
              <w:top w:val="single" w:sz="8" w:space="0" w:color="auto"/>
              <w:left w:val="single" w:sz="8" w:space="0" w:color="auto"/>
              <w:bottom w:val="nil"/>
              <w:right w:val="single" w:sz="8" w:space="0" w:color="auto"/>
            </w:tcBorders>
            <w:shd w:val="clear" w:color="auto" w:fill="000000" w:themeFill="text1"/>
          </w:tcPr>
          <w:p w14:paraId="05BFB013"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 xml:space="preserve">Indirect </w:t>
            </w:r>
            <w:proofErr w:type="spellStart"/>
            <w:r w:rsidRPr="00C22FE0">
              <w:rPr>
                <w:rFonts w:ascii="Calibri" w:hAnsi="Calibri" w:cs="Calibri"/>
                <w:color w:val="FFFFFF" w:themeColor="background1"/>
                <w:sz w:val="18"/>
                <w:szCs w:val="18"/>
                <w:lang w:eastAsia="en-AU"/>
              </w:rPr>
              <w:t>comparator</w:t>
            </w:r>
            <w:r w:rsidRPr="00C22FE0">
              <w:rPr>
                <w:sz w:val="18"/>
                <w:szCs w:val="18"/>
                <w:vertAlign w:val="superscript"/>
                <w:lang w:eastAsia="en-US"/>
              </w:rPr>
              <w:t>a</w:t>
            </w:r>
            <w:proofErr w:type="spellEnd"/>
          </w:p>
        </w:tc>
        <w:tc>
          <w:tcPr>
            <w:tcW w:w="1526" w:type="dxa"/>
            <w:tcBorders>
              <w:top w:val="single" w:sz="8" w:space="0" w:color="auto"/>
              <w:left w:val="single" w:sz="8" w:space="0" w:color="auto"/>
              <w:bottom w:val="nil"/>
              <w:right w:val="single" w:sz="8" w:space="0" w:color="auto"/>
            </w:tcBorders>
            <w:shd w:val="clear" w:color="auto" w:fill="000000" w:themeFill="text1"/>
          </w:tcPr>
          <w:p w14:paraId="25D26AEC"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 xml:space="preserve">Mental Health </w:t>
            </w:r>
            <w:proofErr w:type="spellStart"/>
            <w:r w:rsidRPr="00C22FE0">
              <w:rPr>
                <w:rFonts w:ascii="Calibri" w:hAnsi="Calibri" w:cs="Calibri"/>
                <w:color w:val="FFFFFF" w:themeColor="background1"/>
                <w:sz w:val="18"/>
                <w:szCs w:val="18"/>
                <w:lang w:eastAsia="en-AU"/>
              </w:rPr>
              <w:t>Online</w:t>
            </w:r>
            <w:r w:rsidRPr="00C22FE0">
              <w:rPr>
                <w:sz w:val="18"/>
                <w:szCs w:val="18"/>
                <w:vertAlign w:val="superscript"/>
                <w:lang w:eastAsia="en-US"/>
              </w:rPr>
              <w:t>b</w:t>
            </w:r>
            <w:proofErr w:type="spellEnd"/>
          </w:p>
        </w:tc>
        <w:tc>
          <w:tcPr>
            <w:tcW w:w="1526" w:type="dxa"/>
            <w:tcBorders>
              <w:top w:val="single" w:sz="8" w:space="0" w:color="auto"/>
              <w:left w:val="single" w:sz="8" w:space="0" w:color="auto"/>
              <w:bottom w:val="nil"/>
              <w:right w:val="single" w:sz="8" w:space="0" w:color="auto"/>
            </w:tcBorders>
            <w:shd w:val="clear" w:color="auto" w:fill="000000" w:themeFill="text1"/>
          </w:tcPr>
          <w:p w14:paraId="145CA50C"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proofErr w:type="spellStart"/>
            <w:r w:rsidRPr="00C22FE0">
              <w:rPr>
                <w:rFonts w:ascii="Calibri" w:hAnsi="Calibri" w:cs="Calibri"/>
                <w:color w:val="FFFFFF" w:themeColor="background1"/>
                <w:sz w:val="18"/>
                <w:szCs w:val="18"/>
                <w:lang w:eastAsia="en-AU"/>
              </w:rPr>
              <w:t>MindSpot</w:t>
            </w:r>
            <w:r w:rsidRPr="00C22FE0">
              <w:rPr>
                <w:sz w:val="18"/>
                <w:szCs w:val="18"/>
                <w:vertAlign w:val="superscript"/>
                <w:lang w:eastAsia="en-US"/>
              </w:rPr>
              <w:t>c</w:t>
            </w:r>
            <w:proofErr w:type="spellEnd"/>
          </w:p>
        </w:tc>
        <w:tc>
          <w:tcPr>
            <w:tcW w:w="1526" w:type="dxa"/>
            <w:tcBorders>
              <w:top w:val="single" w:sz="8" w:space="0" w:color="auto"/>
              <w:left w:val="single" w:sz="8" w:space="0" w:color="auto"/>
              <w:bottom w:val="nil"/>
              <w:right w:val="single" w:sz="8" w:space="0" w:color="auto"/>
            </w:tcBorders>
            <w:shd w:val="clear" w:color="auto" w:fill="000000" w:themeFill="text1"/>
          </w:tcPr>
          <w:p w14:paraId="41347182"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 xml:space="preserve">THIS WAY </w:t>
            </w:r>
            <w:proofErr w:type="spellStart"/>
            <w:r w:rsidRPr="00C22FE0">
              <w:rPr>
                <w:rFonts w:ascii="Calibri" w:hAnsi="Calibri" w:cs="Calibri"/>
                <w:color w:val="FFFFFF" w:themeColor="background1"/>
                <w:sz w:val="18"/>
                <w:szCs w:val="18"/>
                <w:lang w:eastAsia="en-AU"/>
              </w:rPr>
              <w:t>UP</w:t>
            </w:r>
            <w:r w:rsidRPr="00C22FE0">
              <w:rPr>
                <w:sz w:val="18"/>
                <w:szCs w:val="18"/>
                <w:vertAlign w:val="superscript"/>
                <w:lang w:eastAsia="en-US"/>
              </w:rPr>
              <w:t>d</w:t>
            </w:r>
            <w:proofErr w:type="spellEnd"/>
          </w:p>
        </w:tc>
      </w:tr>
      <w:tr w:rsidR="00C22FE0" w:rsidRPr="00C22FE0" w14:paraId="39E8DD79"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7D72DBE9"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Self-directed treatment</w:t>
            </w:r>
          </w:p>
        </w:tc>
        <w:tc>
          <w:tcPr>
            <w:tcW w:w="1525" w:type="dxa"/>
            <w:tcBorders>
              <w:top w:val="nil"/>
              <w:left w:val="single" w:sz="8" w:space="0" w:color="auto"/>
              <w:bottom w:val="nil"/>
              <w:right w:val="single" w:sz="8" w:space="0" w:color="auto"/>
            </w:tcBorders>
            <w:shd w:val="clear" w:color="auto" w:fill="auto"/>
          </w:tcPr>
          <w:p w14:paraId="3A6B719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46F219C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50D4CD2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0ECF186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r>
      <w:tr w:rsidR="00C22FE0" w:rsidRPr="00C22FE0" w14:paraId="1B04CDA5"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35853690"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Transition probabilities:</w:t>
            </w:r>
          </w:p>
        </w:tc>
        <w:tc>
          <w:tcPr>
            <w:tcW w:w="1525" w:type="dxa"/>
            <w:tcBorders>
              <w:top w:val="nil"/>
              <w:left w:val="single" w:sz="8" w:space="0" w:color="auto"/>
              <w:bottom w:val="nil"/>
              <w:right w:val="single" w:sz="8" w:space="0" w:color="auto"/>
            </w:tcBorders>
            <w:shd w:val="clear" w:color="auto" w:fill="auto"/>
          </w:tcPr>
          <w:p w14:paraId="528AF05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373395D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51076D0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24EFB523"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r>
      <w:tr w:rsidR="00C22FE0" w:rsidRPr="00C22FE0" w14:paraId="7CF24E8D"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2251E2D3"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Fully recovered</w:t>
            </w:r>
          </w:p>
        </w:tc>
        <w:tc>
          <w:tcPr>
            <w:tcW w:w="1525" w:type="dxa"/>
            <w:tcBorders>
              <w:top w:val="nil"/>
              <w:left w:val="single" w:sz="8" w:space="0" w:color="auto"/>
              <w:bottom w:val="nil"/>
              <w:right w:val="single" w:sz="8" w:space="0" w:color="auto"/>
            </w:tcBorders>
            <w:shd w:val="clear" w:color="auto" w:fill="auto"/>
            <w:vAlign w:val="center"/>
          </w:tcPr>
          <w:p w14:paraId="3A776EC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0.111</w:t>
            </w:r>
          </w:p>
        </w:tc>
        <w:tc>
          <w:tcPr>
            <w:tcW w:w="1526" w:type="dxa"/>
            <w:tcBorders>
              <w:top w:val="nil"/>
              <w:left w:val="single" w:sz="8" w:space="0" w:color="auto"/>
              <w:bottom w:val="nil"/>
              <w:right w:val="single" w:sz="8" w:space="0" w:color="auto"/>
            </w:tcBorders>
            <w:shd w:val="clear" w:color="auto" w:fill="auto"/>
            <w:vAlign w:val="center"/>
          </w:tcPr>
          <w:p w14:paraId="12E09B2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hAnsi="Calibri" w:cs="Calibri"/>
                <w:color w:val="000000"/>
                <w:sz w:val="18"/>
                <w:szCs w:val="18"/>
                <w:lang w:eastAsia="en-AU"/>
              </w:rPr>
              <w:t>0.111</w:t>
            </w:r>
          </w:p>
        </w:tc>
        <w:tc>
          <w:tcPr>
            <w:tcW w:w="1526" w:type="dxa"/>
            <w:tcBorders>
              <w:top w:val="nil"/>
              <w:left w:val="single" w:sz="8" w:space="0" w:color="auto"/>
              <w:bottom w:val="nil"/>
              <w:right w:val="single" w:sz="8" w:space="0" w:color="auto"/>
            </w:tcBorders>
            <w:shd w:val="clear" w:color="auto" w:fill="auto"/>
            <w:vAlign w:val="center"/>
          </w:tcPr>
          <w:p w14:paraId="4DAC49F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hAnsi="Calibri" w:cs="Calibri"/>
                <w:color w:val="000000"/>
                <w:sz w:val="18"/>
                <w:szCs w:val="18"/>
                <w:lang w:eastAsia="en-AU"/>
              </w:rPr>
              <w:t>0.111</w:t>
            </w:r>
          </w:p>
        </w:tc>
        <w:tc>
          <w:tcPr>
            <w:tcW w:w="1526" w:type="dxa"/>
            <w:tcBorders>
              <w:top w:val="nil"/>
              <w:left w:val="single" w:sz="8" w:space="0" w:color="auto"/>
              <w:bottom w:val="nil"/>
              <w:right w:val="single" w:sz="8" w:space="0" w:color="auto"/>
            </w:tcBorders>
            <w:shd w:val="clear" w:color="auto" w:fill="auto"/>
            <w:vAlign w:val="center"/>
          </w:tcPr>
          <w:p w14:paraId="659E175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hAnsi="Calibri" w:cs="Calibri"/>
                <w:color w:val="000000"/>
                <w:sz w:val="18"/>
                <w:szCs w:val="18"/>
                <w:lang w:eastAsia="en-AU"/>
              </w:rPr>
              <w:t>0.111</w:t>
            </w:r>
          </w:p>
        </w:tc>
      </w:tr>
      <w:tr w:rsidR="00C22FE0" w:rsidRPr="00C22FE0" w14:paraId="63CC4A28"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76BC7147"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Partially recovered</w:t>
            </w:r>
          </w:p>
        </w:tc>
        <w:tc>
          <w:tcPr>
            <w:tcW w:w="1525" w:type="dxa"/>
            <w:tcBorders>
              <w:top w:val="nil"/>
              <w:left w:val="single" w:sz="8" w:space="0" w:color="auto"/>
              <w:bottom w:val="nil"/>
              <w:right w:val="single" w:sz="8" w:space="0" w:color="auto"/>
            </w:tcBorders>
            <w:shd w:val="clear" w:color="auto" w:fill="auto"/>
            <w:vAlign w:val="center"/>
          </w:tcPr>
          <w:p w14:paraId="3652ACF3"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0.044</w:t>
            </w:r>
          </w:p>
        </w:tc>
        <w:tc>
          <w:tcPr>
            <w:tcW w:w="1526" w:type="dxa"/>
            <w:tcBorders>
              <w:top w:val="nil"/>
              <w:left w:val="single" w:sz="8" w:space="0" w:color="auto"/>
              <w:bottom w:val="nil"/>
              <w:right w:val="single" w:sz="8" w:space="0" w:color="auto"/>
            </w:tcBorders>
            <w:shd w:val="clear" w:color="auto" w:fill="auto"/>
            <w:vAlign w:val="center"/>
          </w:tcPr>
          <w:p w14:paraId="1CC1BF5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0.297</w:t>
            </w:r>
          </w:p>
        </w:tc>
        <w:tc>
          <w:tcPr>
            <w:tcW w:w="1526" w:type="dxa"/>
            <w:tcBorders>
              <w:top w:val="nil"/>
              <w:left w:val="single" w:sz="8" w:space="0" w:color="auto"/>
              <w:bottom w:val="nil"/>
              <w:right w:val="single" w:sz="8" w:space="0" w:color="auto"/>
            </w:tcBorders>
            <w:shd w:val="clear" w:color="auto" w:fill="auto"/>
            <w:vAlign w:val="center"/>
          </w:tcPr>
          <w:p w14:paraId="4FD751D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0.308</w:t>
            </w:r>
          </w:p>
        </w:tc>
        <w:tc>
          <w:tcPr>
            <w:tcW w:w="1526" w:type="dxa"/>
            <w:tcBorders>
              <w:top w:val="nil"/>
              <w:left w:val="single" w:sz="8" w:space="0" w:color="auto"/>
              <w:bottom w:val="nil"/>
              <w:right w:val="single" w:sz="8" w:space="0" w:color="auto"/>
            </w:tcBorders>
            <w:shd w:val="clear" w:color="auto" w:fill="auto"/>
            <w:vAlign w:val="center"/>
          </w:tcPr>
          <w:p w14:paraId="126C678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0.285</w:t>
            </w:r>
          </w:p>
        </w:tc>
      </w:tr>
      <w:tr w:rsidR="00C22FE0" w:rsidRPr="00C22FE0" w14:paraId="61FEF6A5"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2F45CF80"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No improvement</w:t>
            </w:r>
          </w:p>
        </w:tc>
        <w:tc>
          <w:tcPr>
            <w:tcW w:w="1525" w:type="dxa"/>
            <w:tcBorders>
              <w:top w:val="nil"/>
              <w:left w:val="single" w:sz="8" w:space="0" w:color="auto"/>
              <w:bottom w:val="nil"/>
              <w:right w:val="single" w:sz="8" w:space="0" w:color="auto"/>
            </w:tcBorders>
            <w:shd w:val="clear" w:color="auto" w:fill="auto"/>
            <w:vAlign w:val="center"/>
          </w:tcPr>
          <w:p w14:paraId="24363BB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0.689</w:t>
            </w:r>
          </w:p>
        </w:tc>
        <w:tc>
          <w:tcPr>
            <w:tcW w:w="1526" w:type="dxa"/>
            <w:tcBorders>
              <w:top w:val="nil"/>
              <w:left w:val="single" w:sz="8" w:space="0" w:color="auto"/>
              <w:bottom w:val="nil"/>
              <w:right w:val="single" w:sz="8" w:space="0" w:color="auto"/>
            </w:tcBorders>
            <w:shd w:val="clear" w:color="auto" w:fill="auto"/>
            <w:vAlign w:val="center"/>
          </w:tcPr>
          <w:p w14:paraId="4F9DA9A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0.413</w:t>
            </w:r>
          </w:p>
        </w:tc>
        <w:tc>
          <w:tcPr>
            <w:tcW w:w="1526" w:type="dxa"/>
            <w:tcBorders>
              <w:top w:val="nil"/>
              <w:left w:val="single" w:sz="8" w:space="0" w:color="auto"/>
              <w:bottom w:val="nil"/>
              <w:right w:val="single" w:sz="8" w:space="0" w:color="auto"/>
            </w:tcBorders>
            <w:shd w:val="clear" w:color="auto" w:fill="auto"/>
            <w:vAlign w:val="center"/>
          </w:tcPr>
          <w:p w14:paraId="6E8170A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0.394</w:t>
            </w:r>
          </w:p>
        </w:tc>
        <w:tc>
          <w:tcPr>
            <w:tcW w:w="1526" w:type="dxa"/>
            <w:tcBorders>
              <w:top w:val="nil"/>
              <w:left w:val="single" w:sz="8" w:space="0" w:color="auto"/>
              <w:bottom w:val="nil"/>
              <w:right w:val="single" w:sz="8" w:space="0" w:color="auto"/>
            </w:tcBorders>
            <w:shd w:val="clear" w:color="auto" w:fill="auto"/>
            <w:vAlign w:val="center"/>
          </w:tcPr>
          <w:p w14:paraId="76CAED4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0.431</w:t>
            </w:r>
          </w:p>
        </w:tc>
      </w:tr>
      <w:tr w:rsidR="00C22FE0" w:rsidRPr="00C22FE0" w14:paraId="2558F69D"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0D48F707"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Deteriorated</w:t>
            </w:r>
          </w:p>
        </w:tc>
        <w:tc>
          <w:tcPr>
            <w:tcW w:w="1525" w:type="dxa"/>
            <w:tcBorders>
              <w:top w:val="nil"/>
              <w:left w:val="single" w:sz="8" w:space="0" w:color="auto"/>
              <w:bottom w:val="nil"/>
              <w:right w:val="single" w:sz="8" w:space="0" w:color="auto"/>
            </w:tcBorders>
            <w:shd w:val="clear" w:color="auto" w:fill="auto"/>
            <w:vAlign w:val="center"/>
          </w:tcPr>
          <w:p w14:paraId="43398E4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0.156</w:t>
            </w:r>
          </w:p>
        </w:tc>
        <w:tc>
          <w:tcPr>
            <w:tcW w:w="1526" w:type="dxa"/>
            <w:tcBorders>
              <w:top w:val="nil"/>
              <w:left w:val="single" w:sz="8" w:space="0" w:color="auto"/>
              <w:bottom w:val="nil"/>
              <w:right w:val="single" w:sz="8" w:space="0" w:color="auto"/>
            </w:tcBorders>
            <w:shd w:val="clear" w:color="auto" w:fill="auto"/>
            <w:vAlign w:val="center"/>
          </w:tcPr>
          <w:p w14:paraId="1213FF4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0.180</w:t>
            </w:r>
          </w:p>
        </w:tc>
        <w:tc>
          <w:tcPr>
            <w:tcW w:w="1526" w:type="dxa"/>
            <w:tcBorders>
              <w:top w:val="nil"/>
              <w:left w:val="single" w:sz="8" w:space="0" w:color="auto"/>
              <w:bottom w:val="nil"/>
              <w:right w:val="single" w:sz="8" w:space="0" w:color="auto"/>
            </w:tcBorders>
            <w:shd w:val="clear" w:color="auto" w:fill="auto"/>
            <w:vAlign w:val="center"/>
          </w:tcPr>
          <w:p w14:paraId="243422B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0.187</w:t>
            </w:r>
          </w:p>
        </w:tc>
        <w:tc>
          <w:tcPr>
            <w:tcW w:w="1526" w:type="dxa"/>
            <w:tcBorders>
              <w:top w:val="nil"/>
              <w:left w:val="single" w:sz="8" w:space="0" w:color="auto"/>
              <w:bottom w:val="nil"/>
              <w:right w:val="single" w:sz="8" w:space="0" w:color="auto"/>
            </w:tcBorders>
            <w:shd w:val="clear" w:color="auto" w:fill="auto"/>
            <w:vAlign w:val="center"/>
          </w:tcPr>
          <w:p w14:paraId="7F240EC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0.172</w:t>
            </w:r>
          </w:p>
        </w:tc>
      </w:tr>
      <w:tr w:rsidR="00C22FE0" w:rsidRPr="00C22FE0" w14:paraId="7780D976"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60F9AF96" w14:textId="77777777" w:rsidR="00C22FE0" w:rsidRPr="00C22FE0" w:rsidRDefault="00C22FE0" w:rsidP="00C22FE0">
            <w:pPr>
              <w:snapToGrid w:val="0"/>
              <w:rPr>
                <w:rFonts w:ascii="Calibri" w:hAnsi="Calibri" w:cs="Calibri"/>
                <w:color w:val="000000"/>
                <w:sz w:val="18"/>
                <w:szCs w:val="18"/>
                <w:lang w:eastAsia="en-AU"/>
              </w:rPr>
            </w:pPr>
          </w:p>
        </w:tc>
        <w:tc>
          <w:tcPr>
            <w:tcW w:w="1525" w:type="dxa"/>
            <w:tcBorders>
              <w:top w:val="nil"/>
              <w:left w:val="single" w:sz="8" w:space="0" w:color="auto"/>
              <w:bottom w:val="nil"/>
              <w:right w:val="single" w:sz="8" w:space="0" w:color="auto"/>
            </w:tcBorders>
            <w:shd w:val="clear" w:color="auto" w:fill="auto"/>
            <w:vAlign w:val="center"/>
          </w:tcPr>
          <w:p w14:paraId="65D2036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44DA690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09FD0C9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4BD9A44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r>
      <w:tr w:rsidR="00C22FE0" w:rsidRPr="00C22FE0" w14:paraId="6EA1145F"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25238C9D"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Therapist-supported treatment</w:t>
            </w:r>
          </w:p>
        </w:tc>
        <w:tc>
          <w:tcPr>
            <w:tcW w:w="1525" w:type="dxa"/>
            <w:tcBorders>
              <w:top w:val="nil"/>
              <w:left w:val="single" w:sz="8" w:space="0" w:color="auto"/>
              <w:bottom w:val="nil"/>
              <w:right w:val="single" w:sz="8" w:space="0" w:color="auto"/>
            </w:tcBorders>
            <w:shd w:val="clear" w:color="auto" w:fill="auto"/>
            <w:vAlign w:val="center"/>
          </w:tcPr>
          <w:p w14:paraId="5FD6298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3604906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682500F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6EA297A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p>
        </w:tc>
      </w:tr>
      <w:tr w:rsidR="00C22FE0" w:rsidRPr="00C22FE0" w14:paraId="19952947"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34976298"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Transition probabilities:</w:t>
            </w:r>
          </w:p>
        </w:tc>
        <w:tc>
          <w:tcPr>
            <w:tcW w:w="1525" w:type="dxa"/>
            <w:tcBorders>
              <w:top w:val="nil"/>
              <w:left w:val="single" w:sz="8" w:space="0" w:color="auto"/>
              <w:bottom w:val="nil"/>
              <w:right w:val="single" w:sz="8" w:space="0" w:color="auto"/>
            </w:tcBorders>
            <w:shd w:val="clear" w:color="auto" w:fill="auto"/>
            <w:vAlign w:val="center"/>
          </w:tcPr>
          <w:p w14:paraId="2EAE323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6BC94F6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24F72F8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39E8230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r>
      <w:tr w:rsidR="00C22FE0" w:rsidRPr="00C22FE0" w14:paraId="6775672F"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0A5D38D3"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Fully recovered</w:t>
            </w:r>
          </w:p>
        </w:tc>
        <w:tc>
          <w:tcPr>
            <w:tcW w:w="1525" w:type="dxa"/>
            <w:tcBorders>
              <w:top w:val="nil"/>
              <w:left w:val="single" w:sz="8" w:space="0" w:color="auto"/>
              <w:bottom w:val="nil"/>
              <w:right w:val="single" w:sz="8" w:space="0" w:color="auto"/>
            </w:tcBorders>
            <w:shd w:val="clear" w:color="auto" w:fill="auto"/>
            <w:vAlign w:val="center"/>
          </w:tcPr>
          <w:p w14:paraId="3559BAB0"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0.111</w:t>
            </w:r>
          </w:p>
        </w:tc>
        <w:tc>
          <w:tcPr>
            <w:tcW w:w="1526" w:type="dxa"/>
            <w:tcBorders>
              <w:top w:val="nil"/>
              <w:left w:val="single" w:sz="8" w:space="0" w:color="auto"/>
              <w:bottom w:val="nil"/>
              <w:right w:val="single" w:sz="8" w:space="0" w:color="auto"/>
            </w:tcBorders>
            <w:shd w:val="clear" w:color="auto" w:fill="auto"/>
            <w:vAlign w:val="center"/>
          </w:tcPr>
          <w:p w14:paraId="4E5BC91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hAnsi="Calibri" w:cs="Calibri"/>
                <w:color w:val="000000"/>
                <w:sz w:val="18"/>
                <w:szCs w:val="18"/>
                <w:lang w:eastAsia="en-AU"/>
              </w:rPr>
              <w:t>0.111</w:t>
            </w:r>
          </w:p>
        </w:tc>
        <w:tc>
          <w:tcPr>
            <w:tcW w:w="1526" w:type="dxa"/>
            <w:tcBorders>
              <w:top w:val="nil"/>
              <w:left w:val="single" w:sz="8" w:space="0" w:color="auto"/>
              <w:bottom w:val="nil"/>
              <w:right w:val="single" w:sz="8" w:space="0" w:color="auto"/>
            </w:tcBorders>
            <w:shd w:val="clear" w:color="auto" w:fill="auto"/>
            <w:vAlign w:val="center"/>
          </w:tcPr>
          <w:p w14:paraId="323DE79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hAnsi="Calibri" w:cs="Calibri"/>
                <w:color w:val="000000"/>
                <w:sz w:val="18"/>
                <w:szCs w:val="18"/>
                <w:lang w:eastAsia="en-AU"/>
              </w:rPr>
              <w:t>0.111</w:t>
            </w:r>
          </w:p>
        </w:tc>
        <w:tc>
          <w:tcPr>
            <w:tcW w:w="1526" w:type="dxa"/>
            <w:tcBorders>
              <w:top w:val="nil"/>
              <w:left w:val="single" w:sz="8" w:space="0" w:color="auto"/>
              <w:bottom w:val="nil"/>
              <w:right w:val="single" w:sz="8" w:space="0" w:color="auto"/>
            </w:tcBorders>
            <w:shd w:val="clear" w:color="auto" w:fill="auto"/>
            <w:vAlign w:val="center"/>
          </w:tcPr>
          <w:p w14:paraId="0BEB930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hAnsi="Calibri" w:cs="Calibri"/>
                <w:color w:val="000000"/>
                <w:sz w:val="18"/>
                <w:szCs w:val="18"/>
                <w:lang w:eastAsia="en-AU"/>
              </w:rPr>
              <w:t>0.111</w:t>
            </w:r>
          </w:p>
        </w:tc>
      </w:tr>
      <w:tr w:rsidR="00C22FE0" w:rsidRPr="00C22FE0" w14:paraId="4CD33BBB"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1E0473E2"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Partially recovered</w:t>
            </w:r>
          </w:p>
        </w:tc>
        <w:tc>
          <w:tcPr>
            <w:tcW w:w="1525" w:type="dxa"/>
            <w:tcBorders>
              <w:top w:val="nil"/>
              <w:left w:val="single" w:sz="8" w:space="0" w:color="auto"/>
              <w:bottom w:val="nil"/>
              <w:right w:val="single" w:sz="8" w:space="0" w:color="auto"/>
            </w:tcBorders>
            <w:shd w:val="clear" w:color="auto" w:fill="auto"/>
            <w:vAlign w:val="center"/>
          </w:tcPr>
          <w:p w14:paraId="2BDE579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0.044</w:t>
            </w:r>
          </w:p>
        </w:tc>
        <w:tc>
          <w:tcPr>
            <w:tcW w:w="1526" w:type="dxa"/>
            <w:tcBorders>
              <w:top w:val="nil"/>
              <w:left w:val="single" w:sz="8" w:space="0" w:color="auto"/>
              <w:bottom w:val="nil"/>
              <w:right w:val="single" w:sz="8" w:space="0" w:color="auto"/>
            </w:tcBorders>
            <w:shd w:val="clear" w:color="auto" w:fill="auto"/>
            <w:vAlign w:val="center"/>
          </w:tcPr>
          <w:p w14:paraId="0BD3991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0.281</w:t>
            </w:r>
          </w:p>
        </w:tc>
        <w:tc>
          <w:tcPr>
            <w:tcW w:w="1526" w:type="dxa"/>
            <w:tcBorders>
              <w:top w:val="nil"/>
              <w:left w:val="single" w:sz="8" w:space="0" w:color="auto"/>
              <w:bottom w:val="nil"/>
              <w:right w:val="single" w:sz="8" w:space="0" w:color="auto"/>
            </w:tcBorders>
            <w:shd w:val="clear" w:color="auto" w:fill="auto"/>
            <w:vAlign w:val="center"/>
          </w:tcPr>
          <w:p w14:paraId="4FA5FC7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0.308</w:t>
            </w:r>
          </w:p>
        </w:tc>
        <w:tc>
          <w:tcPr>
            <w:tcW w:w="1526" w:type="dxa"/>
            <w:tcBorders>
              <w:top w:val="nil"/>
              <w:left w:val="single" w:sz="8" w:space="0" w:color="auto"/>
              <w:bottom w:val="nil"/>
              <w:right w:val="single" w:sz="8" w:space="0" w:color="auto"/>
            </w:tcBorders>
            <w:shd w:val="clear" w:color="auto" w:fill="auto"/>
            <w:vAlign w:val="center"/>
          </w:tcPr>
          <w:p w14:paraId="2DD483D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0.253</w:t>
            </w:r>
          </w:p>
        </w:tc>
      </w:tr>
      <w:tr w:rsidR="00C22FE0" w:rsidRPr="00C22FE0" w14:paraId="4F2E9676"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5EA7403C"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No improvement</w:t>
            </w:r>
          </w:p>
        </w:tc>
        <w:tc>
          <w:tcPr>
            <w:tcW w:w="1525" w:type="dxa"/>
            <w:tcBorders>
              <w:top w:val="nil"/>
              <w:left w:val="single" w:sz="8" w:space="0" w:color="auto"/>
              <w:bottom w:val="nil"/>
              <w:right w:val="single" w:sz="8" w:space="0" w:color="auto"/>
            </w:tcBorders>
            <w:shd w:val="clear" w:color="auto" w:fill="auto"/>
            <w:vAlign w:val="center"/>
          </w:tcPr>
          <w:p w14:paraId="51582CB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0.689</w:t>
            </w:r>
          </w:p>
        </w:tc>
        <w:tc>
          <w:tcPr>
            <w:tcW w:w="1526" w:type="dxa"/>
            <w:tcBorders>
              <w:top w:val="nil"/>
              <w:left w:val="single" w:sz="8" w:space="0" w:color="auto"/>
              <w:bottom w:val="nil"/>
              <w:right w:val="single" w:sz="8" w:space="0" w:color="auto"/>
            </w:tcBorders>
            <w:shd w:val="clear" w:color="auto" w:fill="auto"/>
            <w:vAlign w:val="center"/>
          </w:tcPr>
          <w:p w14:paraId="3EB7558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0.439</w:t>
            </w:r>
          </w:p>
        </w:tc>
        <w:tc>
          <w:tcPr>
            <w:tcW w:w="1526" w:type="dxa"/>
            <w:tcBorders>
              <w:top w:val="nil"/>
              <w:left w:val="single" w:sz="8" w:space="0" w:color="auto"/>
              <w:bottom w:val="nil"/>
              <w:right w:val="single" w:sz="8" w:space="0" w:color="auto"/>
            </w:tcBorders>
            <w:shd w:val="clear" w:color="auto" w:fill="auto"/>
            <w:vAlign w:val="center"/>
          </w:tcPr>
          <w:p w14:paraId="1A59AE2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0.394</w:t>
            </w:r>
          </w:p>
        </w:tc>
        <w:tc>
          <w:tcPr>
            <w:tcW w:w="1526" w:type="dxa"/>
            <w:tcBorders>
              <w:top w:val="nil"/>
              <w:left w:val="single" w:sz="8" w:space="0" w:color="auto"/>
              <w:bottom w:val="nil"/>
              <w:right w:val="single" w:sz="8" w:space="0" w:color="auto"/>
            </w:tcBorders>
            <w:shd w:val="clear" w:color="auto" w:fill="auto"/>
            <w:vAlign w:val="center"/>
          </w:tcPr>
          <w:p w14:paraId="7D7A12C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0.484</w:t>
            </w:r>
          </w:p>
        </w:tc>
      </w:tr>
      <w:tr w:rsidR="00C22FE0" w:rsidRPr="00C22FE0" w14:paraId="5B9FD24F"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single" w:sz="4" w:space="0" w:color="auto"/>
              <w:right w:val="single" w:sz="8" w:space="0" w:color="auto"/>
            </w:tcBorders>
            <w:shd w:val="clear" w:color="auto" w:fill="auto"/>
            <w:noWrap/>
            <w:vAlign w:val="center"/>
          </w:tcPr>
          <w:p w14:paraId="494EFB9E"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Deteriorated</w:t>
            </w:r>
          </w:p>
        </w:tc>
        <w:tc>
          <w:tcPr>
            <w:tcW w:w="1525" w:type="dxa"/>
            <w:tcBorders>
              <w:top w:val="nil"/>
              <w:left w:val="single" w:sz="8" w:space="0" w:color="auto"/>
              <w:bottom w:val="single" w:sz="4" w:space="0" w:color="auto"/>
              <w:right w:val="single" w:sz="8" w:space="0" w:color="auto"/>
            </w:tcBorders>
            <w:shd w:val="clear" w:color="auto" w:fill="auto"/>
            <w:vAlign w:val="center"/>
          </w:tcPr>
          <w:p w14:paraId="7617B29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0.156</w:t>
            </w:r>
          </w:p>
        </w:tc>
        <w:tc>
          <w:tcPr>
            <w:tcW w:w="1526" w:type="dxa"/>
            <w:tcBorders>
              <w:top w:val="nil"/>
              <w:left w:val="single" w:sz="8" w:space="0" w:color="auto"/>
              <w:bottom w:val="single" w:sz="4" w:space="0" w:color="auto"/>
              <w:right w:val="single" w:sz="8" w:space="0" w:color="auto"/>
            </w:tcBorders>
            <w:shd w:val="clear" w:color="auto" w:fill="auto"/>
            <w:vAlign w:val="center"/>
          </w:tcPr>
          <w:p w14:paraId="062A3A2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0.170</w:t>
            </w:r>
          </w:p>
        </w:tc>
        <w:tc>
          <w:tcPr>
            <w:tcW w:w="1526" w:type="dxa"/>
            <w:tcBorders>
              <w:top w:val="nil"/>
              <w:left w:val="single" w:sz="8" w:space="0" w:color="auto"/>
              <w:bottom w:val="single" w:sz="4" w:space="0" w:color="auto"/>
              <w:right w:val="single" w:sz="8" w:space="0" w:color="auto"/>
            </w:tcBorders>
            <w:shd w:val="clear" w:color="auto" w:fill="auto"/>
            <w:vAlign w:val="center"/>
          </w:tcPr>
          <w:p w14:paraId="1D06673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0.187</w:t>
            </w:r>
          </w:p>
        </w:tc>
        <w:tc>
          <w:tcPr>
            <w:tcW w:w="1526" w:type="dxa"/>
            <w:tcBorders>
              <w:top w:val="nil"/>
              <w:left w:val="single" w:sz="8" w:space="0" w:color="auto"/>
              <w:bottom w:val="single" w:sz="4" w:space="0" w:color="auto"/>
              <w:right w:val="single" w:sz="8" w:space="0" w:color="auto"/>
            </w:tcBorders>
            <w:shd w:val="clear" w:color="auto" w:fill="auto"/>
            <w:vAlign w:val="center"/>
          </w:tcPr>
          <w:p w14:paraId="19B1F8B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0.153</w:t>
            </w:r>
          </w:p>
        </w:tc>
      </w:tr>
    </w:tbl>
    <w:p w14:paraId="1D53F944" w14:textId="77777777" w:rsidR="00C22FE0" w:rsidRPr="00C22FE0" w:rsidRDefault="00C22FE0" w:rsidP="00C22FE0">
      <w:pPr>
        <w:jc w:val="both"/>
        <w:outlineLvl w:val="2"/>
        <w:rPr>
          <w:rFonts w:asciiTheme="minorHAnsi" w:hAnsiTheme="minorHAnsi" w:cstheme="minorHAnsi"/>
          <w:b/>
          <w:bCs/>
          <w:color w:val="2F5496" w:themeColor="accent1" w:themeShade="BF"/>
        </w:rPr>
      </w:pPr>
    </w:p>
    <w:p w14:paraId="398E7401" w14:textId="2A0CBBCC" w:rsidR="00C22FE0" w:rsidRPr="00C22FE0" w:rsidRDefault="00C22FE0" w:rsidP="00C22FE0">
      <w:pPr>
        <w:keepLines/>
        <w:spacing w:after="120"/>
        <w:outlineLvl w:val="2"/>
        <w:rPr>
          <w:rFonts w:asciiTheme="minorHAnsi" w:eastAsiaTheme="majorEastAsia" w:hAnsiTheme="minorHAnsi" w:cstheme="majorBidi"/>
          <w:b/>
          <w:i/>
          <w:color w:val="000000" w:themeColor="text1"/>
          <w:sz w:val="21"/>
          <w:szCs w:val="21"/>
          <w:lang w:val="en-US" w:eastAsia="en-US"/>
        </w:rPr>
      </w:pPr>
      <w:r w:rsidRPr="00C22FE0">
        <w:rPr>
          <w:rFonts w:asciiTheme="minorHAnsi" w:eastAsiaTheme="majorEastAsia" w:hAnsiTheme="minorHAnsi" w:cstheme="majorBidi"/>
          <w:b/>
          <w:color w:val="000000" w:themeColor="text1"/>
          <w:sz w:val="21"/>
          <w:szCs w:val="21"/>
          <w:lang w:val="en-US" w:eastAsia="en-US"/>
        </w:rPr>
        <w:t xml:space="preserve">Table </w:t>
      </w:r>
      <w:r w:rsidR="00C754B0">
        <w:rPr>
          <w:rFonts w:asciiTheme="minorHAnsi" w:eastAsiaTheme="majorEastAsia" w:hAnsiTheme="minorHAnsi" w:cstheme="majorBidi"/>
          <w:b/>
          <w:color w:val="000000" w:themeColor="text1"/>
          <w:sz w:val="21"/>
          <w:szCs w:val="21"/>
          <w:lang w:val="en-US" w:eastAsia="en-US"/>
        </w:rPr>
        <w:t>L1</w:t>
      </w:r>
      <w:r w:rsidRPr="00F15B90">
        <w:rPr>
          <w:rFonts w:asciiTheme="minorHAnsi" w:eastAsiaTheme="majorEastAsia" w:hAnsiTheme="minorHAnsi" w:cstheme="majorBidi"/>
          <w:b/>
          <w:color w:val="000000" w:themeColor="text1"/>
          <w:sz w:val="21"/>
          <w:szCs w:val="21"/>
          <w:lang w:val="en-US" w:eastAsia="en-US"/>
        </w:rPr>
        <w:t>.6</w:t>
      </w:r>
      <w:r w:rsidRPr="00C22FE0">
        <w:rPr>
          <w:rFonts w:asciiTheme="minorHAnsi" w:eastAsiaTheme="majorEastAsia" w:hAnsiTheme="minorHAnsi" w:cstheme="majorBidi"/>
          <w:b/>
          <w:color w:val="000000" w:themeColor="text1"/>
          <w:sz w:val="21"/>
          <w:szCs w:val="21"/>
          <w:lang w:val="en-US" w:eastAsia="en-US"/>
        </w:rPr>
        <w:t xml:space="preserve"> Transition probabilities for sensitivity analysis (‘partially recovered’ value equals to indirect comparator)</w:t>
      </w:r>
    </w:p>
    <w:tbl>
      <w:tblPr>
        <w:tblStyle w:val="PlainTable413"/>
        <w:tblW w:w="9000" w:type="dxa"/>
        <w:tblInd w:w="0" w:type="dxa"/>
        <w:tblBorders>
          <w:top w:val="single" w:sz="8" w:space="0" w:color="auto"/>
          <w:left w:val="single" w:sz="8" w:space="0" w:color="auto"/>
          <w:bottom w:val="single" w:sz="8" w:space="0" w:color="auto"/>
          <w:right w:val="single" w:sz="8" w:space="0" w:color="auto"/>
          <w:insideV w:val="single" w:sz="8" w:space="0" w:color="auto"/>
        </w:tblBorders>
        <w:tblLayout w:type="fixed"/>
        <w:tblLook w:val="04A0" w:firstRow="1" w:lastRow="0" w:firstColumn="1" w:lastColumn="0" w:noHBand="0" w:noVBand="1"/>
        <w:tblCaption w:val="Table L1.6 Transition probabilities for sensitivity analysis (‘partially recovered’ value equals to indirect comparator)"/>
        <w:tblDescription w:val="A table providing the transition probabilities used for sensitivity analysis, where the ‘partially recovered’ health state’s transition probability value was set to be equal to that of the indirect comparator group. The transition probabilities are presented for each of the four health states and according to the indirect comparator group and digital mental health services and service pathway. "/>
      </w:tblPr>
      <w:tblGrid>
        <w:gridCol w:w="2897"/>
        <w:gridCol w:w="1525"/>
        <w:gridCol w:w="1526"/>
        <w:gridCol w:w="1526"/>
        <w:gridCol w:w="1526"/>
      </w:tblGrid>
      <w:tr w:rsidR="00C22FE0" w:rsidRPr="00C22FE0" w14:paraId="0F1CB4E8" w14:textId="77777777" w:rsidTr="00A56C43">
        <w:trPr>
          <w:cnfStyle w:val="100000000000" w:firstRow="1" w:lastRow="0" w:firstColumn="0" w:lastColumn="0" w:oddVBand="0" w:evenVBand="0" w:oddHBand="0" w:evenHBand="0" w:firstRowFirstColumn="0" w:firstRowLastColumn="0" w:lastRowFirstColumn="0" w:lastRowLastColumn="0"/>
          <w:trHeight w:val="610"/>
          <w:tblHeader/>
        </w:trPr>
        <w:tc>
          <w:tcPr>
            <w:cnfStyle w:val="001000000000" w:firstRow="0" w:lastRow="0" w:firstColumn="1" w:lastColumn="0" w:oddVBand="0" w:evenVBand="0" w:oddHBand="0" w:evenHBand="0" w:firstRowFirstColumn="0" w:firstRowLastColumn="0" w:lastRowFirstColumn="0" w:lastRowLastColumn="0"/>
            <w:tcW w:w="2897" w:type="dxa"/>
            <w:tcBorders>
              <w:top w:val="single" w:sz="8" w:space="0" w:color="auto"/>
              <w:left w:val="single" w:sz="8" w:space="0" w:color="auto"/>
              <w:bottom w:val="nil"/>
              <w:right w:val="single" w:sz="8" w:space="0" w:color="auto"/>
            </w:tcBorders>
            <w:shd w:val="clear" w:color="auto" w:fill="000000" w:themeFill="text1"/>
            <w:noWrap/>
            <w:hideMark/>
          </w:tcPr>
          <w:p w14:paraId="29051D16" w14:textId="77777777" w:rsidR="00C22FE0" w:rsidRPr="00C22FE0" w:rsidRDefault="00C22FE0" w:rsidP="00C22FE0">
            <w:pPr>
              <w:snapToGrid w:val="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Parameter</w:t>
            </w:r>
          </w:p>
        </w:tc>
        <w:tc>
          <w:tcPr>
            <w:tcW w:w="1525" w:type="dxa"/>
            <w:tcBorders>
              <w:top w:val="single" w:sz="8" w:space="0" w:color="auto"/>
              <w:left w:val="single" w:sz="8" w:space="0" w:color="auto"/>
              <w:bottom w:val="nil"/>
              <w:right w:val="single" w:sz="8" w:space="0" w:color="auto"/>
            </w:tcBorders>
            <w:shd w:val="clear" w:color="auto" w:fill="000000" w:themeFill="text1"/>
          </w:tcPr>
          <w:p w14:paraId="44399CD9"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 xml:space="preserve">Indirect </w:t>
            </w:r>
            <w:proofErr w:type="spellStart"/>
            <w:r w:rsidRPr="00C22FE0">
              <w:rPr>
                <w:rFonts w:ascii="Calibri" w:hAnsi="Calibri" w:cs="Calibri"/>
                <w:color w:val="FFFFFF" w:themeColor="background1"/>
                <w:sz w:val="18"/>
                <w:szCs w:val="18"/>
                <w:lang w:eastAsia="en-AU"/>
              </w:rPr>
              <w:t>comparator</w:t>
            </w:r>
            <w:r w:rsidRPr="00C22FE0">
              <w:rPr>
                <w:sz w:val="18"/>
                <w:szCs w:val="18"/>
                <w:vertAlign w:val="superscript"/>
                <w:lang w:eastAsia="en-US"/>
              </w:rPr>
              <w:t>a</w:t>
            </w:r>
            <w:proofErr w:type="spellEnd"/>
          </w:p>
        </w:tc>
        <w:tc>
          <w:tcPr>
            <w:tcW w:w="1526" w:type="dxa"/>
            <w:tcBorders>
              <w:top w:val="single" w:sz="8" w:space="0" w:color="auto"/>
              <w:left w:val="single" w:sz="8" w:space="0" w:color="auto"/>
              <w:bottom w:val="nil"/>
              <w:right w:val="single" w:sz="8" w:space="0" w:color="auto"/>
            </w:tcBorders>
            <w:shd w:val="clear" w:color="auto" w:fill="000000" w:themeFill="text1"/>
          </w:tcPr>
          <w:p w14:paraId="71431216"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 xml:space="preserve">Mental Health </w:t>
            </w:r>
            <w:proofErr w:type="spellStart"/>
            <w:r w:rsidRPr="00C22FE0">
              <w:rPr>
                <w:rFonts w:ascii="Calibri" w:hAnsi="Calibri" w:cs="Calibri"/>
                <w:color w:val="FFFFFF" w:themeColor="background1"/>
                <w:sz w:val="18"/>
                <w:szCs w:val="18"/>
                <w:lang w:eastAsia="en-AU"/>
              </w:rPr>
              <w:t>Online</w:t>
            </w:r>
            <w:r w:rsidRPr="00C22FE0">
              <w:rPr>
                <w:sz w:val="18"/>
                <w:szCs w:val="18"/>
                <w:vertAlign w:val="superscript"/>
                <w:lang w:eastAsia="en-US"/>
              </w:rPr>
              <w:t>b</w:t>
            </w:r>
            <w:proofErr w:type="spellEnd"/>
          </w:p>
        </w:tc>
        <w:tc>
          <w:tcPr>
            <w:tcW w:w="1526" w:type="dxa"/>
            <w:tcBorders>
              <w:top w:val="single" w:sz="8" w:space="0" w:color="auto"/>
              <w:left w:val="single" w:sz="8" w:space="0" w:color="auto"/>
              <w:bottom w:val="nil"/>
              <w:right w:val="single" w:sz="8" w:space="0" w:color="auto"/>
            </w:tcBorders>
            <w:shd w:val="clear" w:color="auto" w:fill="000000" w:themeFill="text1"/>
          </w:tcPr>
          <w:p w14:paraId="3519CD5B"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proofErr w:type="spellStart"/>
            <w:r w:rsidRPr="00C22FE0">
              <w:rPr>
                <w:rFonts w:ascii="Calibri" w:hAnsi="Calibri" w:cs="Calibri"/>
                <w:color w:val="FFFFFF" w:themeColor="background1"/>
                <w:sz w:val="18"/>
                <w:szCs w:val="18"/>
                <w:lang w:eastAsia="en-AU"/>
              </w:rPr>
              <w:t>MindSpot</w:t>
            </w:r>
            <w:r w:rsidRPr="00C22FE0">
              <w:rPr>
                <w:sz w:val="18"/>
                <w:szCs w:val="18"/>
                <w:vertAlign w:val="superscript"/>
                <w:lang w:eastAsia="en-US"/>
              </w:rPr>
              <w:t>c</w:t>
            </w:r>
            <w:proofErr w:type="spellEnd"/>
          </w:p>
        </w:tc>
        <w:tc>
          <w:tcPr>
            <w:tcW w:w="1526" w:type="dxa"/>
            <w:tcBorders>
              <w:top w:val="single" w:sz="8" w:space="0" w:color="auto"/>
              <w:left w:val="single" w:sz="8" w:space="0" w:color="auto"/>
              <w:bottom w:val="nil"/>
              <w:right w:val="single" w:sz="8" w:space="0" w:color="auto"/>
            </w:tcBorders>
            <w:shd w:val="clear" w:color="auto" w:fill="000000" w:themeFill="text1"/>
          </w:tcPr>
          <w:p w14:paraId="39E7DD2C"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 xml:space="preserve">THIS WAY </w:t>
            </w:r>
            <w:proofErr w:type="spellStart"/>
            <w:r w:rsidRPr="00C22FE0">
              <w:rPr>
                <w:rFonts w:ascii="Calibri" w:hAnsi="Calibri" w:cs="Calibri"/>
                <w:color w:val="FFFFFF" w:themeColor="background1"/>
                <w:sz w:val="18"/>
                <w:szCs w:val="18"/>
                <w:lang w:eastAsia="en-AU"/>
              </w:rPr>
              <w:t>UP</w:t>
            </w:r>
            <w:r w:rsidRPr="00C22FE0">
              <w:rPr>
                <w:sz w:val="18"/>
                <w:szCs w:val="18"/>
                <w:vertAlign w:val="superscript"/>
                <w:lang w:eastAsia="en-US"/>
              </w:rPr>
              <w:t>d</w:t>
            </w:r>
            <w:proofErr w:type="spellEnd"/>
          </w:p>
        </w:tc>
      </w:tr>
      <w:tr w:rsidR="00C22FE0" w:rsidRPr="00C22FE0" w14:paraId="35A46AA6"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5B54EC8A"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Self-directed treatment</w:t>
            </w:r>
          </w:p>
        </w:tc>
        <w:tc>
          <w:tcPr>
            <w:tcW w:w="1525" w:type="dxa"/>
            <w:tcBorders>
              <w:top w:val="nil"/>
              <w:left w:val="single" w:sz="8" w:space="0" w:color="auto"/>
              <w:bottom w:val="nil"/>
              <w:right w:val="single" w:sz="8" w:space="0" w:color="auto"/>
            </w:tcBorders>
            <w:shd w:val="clear" w:color="auto" w:fill="auto"/>
          </w:tcPr>
          <w:p w14:paraId="6403562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6F0DF9B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063143D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2B0338B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r>
      <w:tr w:rsidR="00C22FE0" w:rsidRPr="00C22FE0" w14:paraId="0C150389"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7F9C40C9"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Transition probabilities:</w:t>
            </w:r>
          </w:p>
        </w:tc>
        <w:tc>
          <w:tcPr>
            <w:tcW w:w="1525" w:type="dxa"/>
            <w:tcBorders>
              <w:top w:val="nil"/>
              <w:left w:val="single" w:sz="8" w:space="0" w:color="auto"/>
              <w:bottom w:val="nil"/>
              <w:right w:val="single" w:sz="8" w:space="0" w:color="auto"/>
            </w:tcBorders>
            <w:shd w:val="clear" w:color="auto" w:fill="auto"/>
          </w:tcPr>
          <w:p w14:paraId="286E611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2D8FBC2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7E31BCE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552874C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r>
      <w:tr w:rsidR="00C22FE0" w:rsidRPr="00C22FE0" w14:paraId="4E3BE586"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1D35614F"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Fully recovered</w:t>
            </w:r>
          </w:p>
        </w:tc>
        <w:tc>
          <w:tcPr>
            <w:tcW w:w="1525" w:type="dxa"/>
            <w:tcBorders>
              <w:top w:val="nil"/>
              <w:left w:val="single" w:sz="8" w:space="0" w:color="auto"/>
              <w:bottom w:val="nil"/>
              <w:right w:val="single" w:sz="8" w:space="0" w:color="auto"/>
            </w:tcBorders>
            <w:shd w:val="clear" w:color="auto" w:fill="auto"/>
            <w:vAlign w:val="center"/>
          </w:tcPr>
          <w:p w14:paraId="23E2D29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0.111</w:t>
            </w:r>
          </w:p>
        </w:tc>
        <w:tc>
          <w:tcPr>
            <w:tcW w:w="1526" w:type="dxa"/>
            <w:tcBorders>
              <w:top w:val="nil"/>
              <w:left w:val="single" w:sz="8" w:space="0" w:color="auto"/>
              <w:bottom w:val="nil"/>
              <w:right w:val="single" w:sz="8" w:space="0" w:color="auto"/>
            </w:tcBorders>
            <w:shd w:val="clear" w:color="auto" w:fill="auto"/>
            <w:vAlign w:val="center"/>
          </w:tcPr>
          <w:p w14:paraId="4FB4C75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0.486</w:t>
            </w:r>
          </w:p>
        </w:tc>
        <w:tc>
          <w:tcPr>
            <w:tcW w:w="1526" w:type="dxa"/>
            <w:tcBorders>
              <w:top w:val="nil"/>
              <w:left w:val="single" w:sz="8" w:space="0" w:color="auto"/>
              <w:bottom w:val="nil"/>
              <w:right w:val="single" w:sz="8" w:space="0" w:color="auto"/>
            </w:tcBorders>
            <w:shd w:val="clear" w:color="auto" w:fill="auto"/>
            <w:vAlign w:val="center"/>
          </w:tcPr>
          <w:p w14:paraId="6551079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0.503</w:t>
            </w:r>
          </w:p>
        </w:tc>
        <w:tc>
          <w:tcPr>
            <w:tcW w:w="1526" w:type="dxa"/>
            <w:tcBorders>
              <w:top w:val="nil"/>
              <w:left w:val="single" w:sz="8" w:space="0" w:color="auto"/>
              <w:bottom w:val="nil"/>
              <w:right w:val="single" w:sz="8" w:space="0" w:color="auto"/>
            </w:tcBorders>
            <w:shd w:val="clear" w:color="auto" w:fill="auto"/>
            <w:vAlign w:val="center"/>
          </w:tcPr>
          <w:p w14:paraId="709CE64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0.469</w:t>
            </w:r>
          </w:p>
        </w:tc>
      </w:tr>
      <w:tr w:rsidR="00C22FE0" w:rsidRPr="00C22FE0" w14:paraId="5AEA6F8A"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6AE11F84"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Partially recovered</w:t>
            </w:r>
          </w:p>
        </w:tc>
        <w:tc>
          <w:tcPr>
            <w:tcW w:w="1525" w:type="dxa"/>
            <w:tcBorders>
              <w:top w:val="nil"/>
              <w:left w:val="single" w:sz="8" w:space="0" w:color="auto"/>
              <w:bottom w:val="nil"/>
              <w:right w:val="single" w:sz="8" w:space="0" w:color="auto"/>
            </w:tcBorders>
            <w:shd w:val="clear" w:color="auto" w:fill="auto"/>
            <w:vAlign w:val="center"/>
          </w:tcPr>
          <w:p w14:paraId="598302F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0.044</w:t>
            </w:r>
          </w:p>
        </w:tc>
        <w:tc>
          <w:tcPr>
            <w:tcW w:w="1526" w:type="dxa"/>
            <w:tcBorders>
              <w:top w:val="nil"/>
              <w:left w:val="single" w:sz="8" w:space="0" w:color="auto"/>
              <w:bottom w:val="nil"/>
              <w:right w:val="single" w:sz="8" w:space="0" w:color="auto"/>
            </w:tcBorders>
            <w:shd w:val="clear" w:color="auto" w:fill="auto"/>
            <w:vAlign w:val="center"/>
          </w:tcPr>
          <w:p w14:paraId="12167D7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0.044</w:t>
            </w:r>
          </w:p>
        </w:tc>
        <w:tc>
          <w:tcPr>
            <w:tcW w:w="1526" w:type="dxa"/>
            <w:tcBorders>
              <w:top w:val="nil"/>
              <w:left w:val="single" w:sz="8" w:space="0" w:color="auto"/>
              <w:bottom w:val="nil"/>
              <w:right w:val="single" w:sz="8" w:space="0" w:color="auto"/>
            </w:tcBorders>
            <w:shd w:val="clear" w:color="auto" w:fill="auto"/>
            <w:vAlign w:val="center"/>
          </w:tcPr>
          <w:p w14:paraId="03D780F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0.044</w:t>
            </w:r>
          </w:p>
        </w:tc>
        <w:tc>
          <w:tcPr>
            <w:tcW w:w="1526" w:type="dxa"/>
            <w:tcBorders>
              <w:top w:val="nil"/>
              <w:left w:val="single" w:sz="8" w:space="0" w:color="auto"/>
              <w:bottom w:val="nil"/>
              <w:right w:val="single" w:sz="8" w:space="0" w:color="auto"/>
            </w:tcBorders>
            <w:shd w:val="clear" w:color="auto" w:fill="auto"/>
            <w:vAlign w:val="center"/>
          </w:tcPr>
          <w:p w14:paraId="7D7A610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0.044</w:t>
            </w:r>
          </w:p>
        </w:tc>
      </w:tr>
      <w:tr w:rsidR="00C22FE0" w:rsidRPr="00C22FE0" w14:paraId="4C2D29EE"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6EC5DAF8"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No improvement</w:t>
            </w:r>
          </w:p>
        </w:tc>
        <w:tc>
          <w:tcPr>
            <w:tcW w:w="1525" w:type="dxa"/>
            <w:tcBorders>
              <w:top w:val="nil"/>
              <w:left w:val="single" w:sz="8" w:space="0" w:color="auto"/>
              <w:bottom w:val="nil"/>
              <w:right w:val="single" w:sz="8" w:space="0" w:color="auto"/>
            </w:tcBorders>
            <w:shd w:val="clear" w:color="auto" w:fill="auto"/>
            <w:vAlign w:val="center"/>
          </w:tcPr>
          <w:p w14:paraId="376E542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0.689</w:t>
            </w:r>
          </w:p>
        </w:tc>
        <w:tc>
          <w:tcPr>
            <w:tcW w:w="1526" w:type="dxa"/>
            <w:tcBorders>
              <w:top w:val="nil"/>
              <w:left w:val="single" w:sz="8" w:space="0" w:color="auto"/>
              <w:bottom w:val="nil"/>
              <w:right w:val="single" w:sz="8" w:space="0" w:color="auto"/>
            </w:tcBorders>
            <w:shd w:val="clear" w:color="auto" w:fill="auto"/>
            <w:vAlign w:val="center"/>
          </w:tcPr>
          <w:p w14:paraId="1E9E4F8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0.352</w:t>
            </w:r>
          </w:p>
        </w:tc>
        <w:tc>
          <w:tcPr>
            <w:tcW w:w="1526" w:type="dxa"/>
            <w:tcBorders>
              <w:top w:val="nil"/>
              <w:left w:val="single" w:sz="8" w:space="0" w:color="auto"/>
              <w:bottom w:val="nil"/>
              <w:right w:val="single" w:sz="8" w:space="0" w:color="auto"/>
            </w:tcBorders>
            <w:shd w:val="clear" w:color="auto" w:fill="auto"/>
            <w:vAlign w:val="center"/>
          </w:tcPr>
          <w:p w14:paraId="3A5DCA3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0.330</w:t>
            </w:r>
          </w:p>
        </w:tc>
        <w:tc>
          <w:tcPr>
            <w:tcW w:w="1526" w:type="dxa"/>
            <w:tcBorders>
              <w:top w:val="nil"/>
              <w:left w:val="single" w:sz="8" w:space="0" w:color="auto"/>
              <w:bottom w:val="nil"/>
              <w:right w:val="single" w:sz="8" w:space="0" w:color="auto"/>
            </w:tcBorders>
            <w:shd w:val="clear" w:color="auto" w:fill="auto"/>
            <w:vAlign w:val="center"/>
          </w:tcPr>
          <w:p w14:paraId="3B2316C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0.373</w:t>
            </w:r>
          </w:p>
        </w:tc>
      </w:tr>
      <w:tr w:rsidR="00C22FE0" w:rsidRPr="00C22FE0" w14:paraId="075D0797"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7BAE694C"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Deteriorated</w:t>
            </w:r>
          </w:p>
        </w:tc>
        <w:tc>
          <w:tcPr>
            <w:tcW w:w="1525" w:type="dxa"/>
            <w:tcBorders>
              <w:top w:val="nil"/>
              <w:left w:val="single" w:sz="8" w:space="0" w:color="auto"/>
              <w:bottom w:val="nil"/>
              <w:right w:val="single" w:sz="8" w:space="0" w:color="auto"/>
            </w:tcBorders>
            <w:shd w:val="clear" w:color="auto" w:fill="auto"/>
            <w:vAlign w:val="center"/>
          </w:tcPr>
          <w:p w14:paraId="6D0A80A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0.156</w:t>
            </w:r>
          </w:p>
        </w:tc>
        <w:tc>
          <w:tcPr>
            <w:tcW w:w="1526" w:type="dxa"/>
            <w:tcBorders>
              <w:top w:val="nil"/>
              <w:left w:val="single" w:sz="8" w:space="0" w:color="auto"/>
              <w:bottom w:val="nil"/>
              <w:right w:val="single" w:sz="8" w:space="0" w:color="auto"/>
            </w:tcBorders>
            <w:shd w:val="clear" w:color="auto" w:fill="auto"/>
            <w:vAlign w:val="center"/>
          </w:tcPr>
          <w:p w14:paraId="46F6137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0.119</w:t>
            </w:r>
          </w:p>
        </w:tc>
        <w:tc>
          <w:tcPr>
            <w:tcW w:w="1526" w:type="dxa"/>
            <w:tcBorders>
              <w:top w:val="nil"/>
              <w:left w:val="single" w:sz="8" w:space="0" w:color="auto"/>
              <w:bottom w:val="nil"/>
              <w:right w:val="single" w:sz="8" w:space="0" w:color="auto"/>
            </w:tcBorders>
            <w:shd w:val="clear" w:color="auto" w:fill="auto"/>
            <w:vAlign w:val="center"/>
          </w:tcPr>
          <w:p w14:paraId="695631E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0.123</w:t>
            </w:r>
          </w:p>
        </w:tc>
        <w:tc>
          <w:tcPr>
            <w:tcW w:w="1526" w:type="dxa"/>
            <w:tcBorders>
              <w:top w:val="nil"/>
              <w:left w:val="single" w:sz="8" w:space="0" w:color="auto"/>
              <w:bottom w:val="nil"/>
              <w:right w:val="single" w:sz="8" w:space="0" w:color="auto"/>
            </w:tcBorders>
            <w:shd w:val="clear" w:color="auto" w:fill="auto"/>
            <w:vAlign w:val="center"/>
          </w:tcPr>
          <w:p w14:paraId="2AC5F53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0.114</w:t>
            </w:r>
          </w:p>
        </w:tc>
      </w:tr>
      <w:tr w:rsidR="00C22FE0" w:rsidRPr="00C22FE0" w14:paraId="308A713B"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16F8DFB5" w14:textId="77777777" w:rsidR="00C22FE0" w:rsidRPr="00C22FE0" w:rsidRDefault="00C22FE0" w:rsidP="00C22FE0">
            <w:pPr>
              <w:snapToGrid w:val="0"/>
              <w:rPr>
                <w:rFonts w:ascii="Calibri" w:hAnsi="Calibri" w:cs="Calibri"/>
                <w:color w:val="000000"/>
                <w:sz w:val="18"/>
                <w:szCs w:val="18"/>
                <w:lang w:eastAsia="en-AU"/>
              </w:rPr>
            </w:pPr>
          </w:p>
        </w:tc>
        <w:tc>
          <w:tcPr>
            <w:tcW w:w="1525" w:type="dxa"/>
            <w:tcBorders>
              <w:top w:val="nil"/>
              <w:left w:val="single" w:sz="8" w:space="0" w:color="auto"/>
              <w:bottom w:val="nil"/>
              <w:right w:val="single" w:sz="8" w:space="0" w:color="auto"/>
            </w:tcBorders>
            <w:shd w:val="clear" w:color="auto" w:fill="auto"/>
            <w:vAlign w:val="center"/>
          </w:tcPr>
          <w:p w14:paraId="64AAF0E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0CE8B91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5710914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31A20AF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r>
      <w:tr w:rsidR="00C22FE0" w:rsidRPr="00C22FE0" w14:paraId="337EF039"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4A26A851"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Therapist-supported treatment</w:t>
            </w:r>
          </w:p>
        </w:tc>
        <w:tc>
          <w:tcPr>
            <w:tcW w:w="1525" w:type="dxa"/>
            <w:tcBorders>
              <w:top w:val="nil"/>
              <w:left w:val="single" w:sz="8" w:space="0" w:color="auto"/>
              <w:bottom w:val="nil"/>
              <w:right w:val="single" w:sz="8" w:space="0" w:color="auto"/>
            </w:tcBorders>
            <w:shd w:val="clear" w:color="auto" w:fill="auto"/>
            <w:vAlign w:val="center"/>
          </w:tcPr>
          <w:p w14:paraId="48141AF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465C6DD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62EFD78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262D50B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p>
        </w:tc>
      </w:tr>
      <w:tr w:rsidR="00C22FE0" w:rsidRPr="00C22FE0" w14:paraId="1266B362"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27D28FD4"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Transition probabilities:</w:t>
            </w:r>
          </w:p>
        </w:tc>
        <w:tc>
          <w:tcPr>
            <w:tcW w:w="1525" w:type="dxa"/>
            <w:tcBorders>
              <w:top w:val="nil"/>
              <w:left w:val="single" w:sz="8" w:space="0" w:color="auto"/>
              <w:bottom w:val="nil"/>
              <w:right w:val="single" w:sz="8" w:space="0" w:color="auto"/>
            </w:tcBorders>
            <w:shd w:val="clear" w:color="auto" w:fill="auto"/>
            <w:vAlign w:val="center"/>
          </w:tcPr>
          <w:p w14:paraId="53E478A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7EF67BA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50F3C58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32EEE8D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r>
      <w:tr w:rsidR="00C22FE0" w:rsidRPr="00C22FE0" w14:paraId="3A88D985"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08FC6A15"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Fully recovered</w:t>
            </w:r>
          </w:p>
        </w:tc>
        <w:tc>
          <w:tcPr>
            <w:tcW w:w="1525" w:type="dxa"/>
            <w:tcBorders>
              <w:top w:val="nil"/>
              <w:left w:val="single" w:sz="8" w:space="0" w:color="auto"/>
              <w:bottom w:val="nil"/>
              <w:right w:val="single" w:sz="8" w:space="0" w:color="auto"/>
            </w:tcBorders>
            <w:shd w:val="clear" w:color="auto" w:fill="auto"/>
            <w:vAlign w:val="center"/>
          </w:tcPr>
          <w:p w14:paraId="567E52F0"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0.111</w:t>
            </w:r>
          </w:p>
        </w:tc>
        <w:tc>
          <w:tcPr>
            <w:tcW w:w="1526" w:type="dxa"/>
            <w:tcBorders>
              <w:top w:val="nil"/>
              <w:left w:val="single" w:sz="8" w:space="0" w:color="auto"/>
              <w:bottom w:val="nil"/>
              <w:right w:val="single" w:sz="8" w:space="0" w:color="auto"/>
            </w:tcBorders>
            <w:shd w:val="clear" w:color="auto" w:fill="auto"/>
            <w:vAlign w:val="center"/>
          </w:tcPr>
          <w:p w14:paraId="47409A9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0.462</w:t>
            </w:r>
          </w:p>
        </w:tc>
        <w:tc>
          <w:tcPr>
            <w:tcW w:w="1526" w:type="dxa"/>
            <w:tcBorders>
              <w:top w:val="nil"/>
              <w:left w:val="single" w:sz="8" w:space="0" w:color="auto"/>
              <w:bottom w:val="nil"/>
              <w:right w:val="single" w:sz="8" w:space="0" w:color="auto"/>
            </w:tcBorders>
            <w:shd w:val="clear" w:color="auto" w:fill="auto"/>
            <w:vAlign w:val="center"/>
          </w:tcPr>
          <w:p w14:paraId="1476EDF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0.503</w:t>
            </w:r>
          </w:p>
        </w:tc>
        <w:tc>
          <w:tcPr>
            <w:tcW w:w="1526" w:type="dxa"/>
            <w:tcBorders>
              <w:top w:val="nil"/>
              <w:left w:val="single" w:sz="8" w:space="0" w:color="auto"/>
              <w:bottom w:val="nil"/>
              <w:right w:val="single" w:sz="8" w:space="0" w:color="auto"/>
            </w:tcBorders>
            <w:shd w:val="clear" w:color="auto" w:fill="auto"/>
            <w:vAlign w:val="center"/>
          </w:tcPr>
          <w:p w14:paraId="3194F50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0.420</w:t>
            </w:r>
          </w:p>
        </w:tc>
      </w:tr>
      <w:tr w:rsidR="00C22FE0" w:rsidRPr="00C22FE0" w14:paraId="7B1C643E"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2F0DA433"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Partially recovered</w:t>
            </w:r>
          </w:p>
        </w:tc>
        <w:tc>
          <w:tcPr>
            <w:tcW w:w="1525" w:type="dxa"/>
            <w:tcBorders>
              <w:top w:val="nil"/>
              <w:left w:val="single" w:sz="8" w:space="0" w:color="auto"/>
              <w:bottom w:val="nil"/>
              <w:right w:val="single" w:sz="8" w:space="0" w:color="auto"/>
            </w:tcBorders>
            <w:shd w:val="clear" w:color="auto" w:fill="auto"/>
            <w:vAlign w:val="center"/>
          </w:tcPr>
          <w:p w14:paraId="39610D0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0.044</w:t>
            </w:r>
          </w:p>
        </w:tc>
        <w:tc>
          <w:tcPr>
            <w:tcW w:w="1526" w:type="dxa"/>
            <w:tcBorders>
              <w:top w:val="nil"/>
              <w:left w:val="single" w:sz="8" w:space="0" w:color="auto"/>
              <w:bottom w:val="nil"/>
              <w:right w:val="single" w:sz="8" w:space="0" w:color="auto"/>
            </w:tcBorders>
            <w:shd w:val="clear" w:color="auto" w:fill="auto"/>
            <w:vAlign w:val="center"/>
          </w:tcPr>
          <w:p w14:paraId="5B3E5B0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0.044</w:t>
            </w:r>
          </w:p>
        </w:tc>
        <w:tc>
          <w:tcPr>
            <w:tcW w:w="1526" w:type="dxa"/>
            <w:tcBorders>
              <w:top w:val="nil"/>
              <w:left w:val="single" w:sz="8" w:space="0" w:color="auto"/>
              <w:bottom w:val="nil"/>
              <w:right w:val="single" w:sz="8" w:space="0" w:color="auto"/>
            </w:tcBorders>
            <w:shd w:val="clear" w:color="auto" w:fill="auto"/>
            <w:vAlign w:val="center"/>
          </w:tcPr>
          <w:p w14:paraId="0236007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0.044</w:t>
            </w:r>
          </w:p>
        </w:tc>
        <w:tc>
          <w:tcPr>
            <w:tcW w:w="1526" w:type="dxa"/>
            <w:tcBorders>
              <w:top w:val="nil"/>
              <w:left w:val="single" w:sz="8" w:space="0" w:color="auto"/>
              <w:bottom w:val="nil"/>
              <w:right w:val="single" w:sz="8" w:space="0" w:color="auto"/>
            </w:tcBorders>
            <w:shd w:val="clear" w:color="auto" w:fill="auto"/>
            <w:vAlign w:val="center"/>
          </w:tcPr>
          <w:p w14:paraId="6CBBC90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0.044</w:t>
            </w:r>
          </w:p>
        </w:tc>
      </w:tr>
      <w:tr w:rsidR="00C22FE0" w:rsidRPr="00C22FE0" w14:paraId="42AB884A"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0B3E86C1"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No improvement</w:t>
            </w:r>
          </w:p>
        </w:tc>
        <w:tc>
          <w:tcPr>
            <w:tcW w:w="1525" w:type="dxa"/>
            <w:tcBorders>
              <w:top w:val="nil"/>
              <w:left w:val="single" w:sz="8" w:space="0" w:color="auto"/>
              <w:bottom w:val="nil"/>
              <w:right w:val="single" w:sz="8" w:space="0" w:color="auto"/>
            </w:tcBorders>
            <w:shd w:val="clear" w:color="auto" w:fill="auto"/>
            <w:vAlign w:val="center"/>
          </w:tcPr>
          <w:p w14:paraId="78C440B3"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0.689</w:t>
            </w:r>
          </w:p>
        </w:tc>
        <w:tc>
          <w:tcPr>
            <w:tcW w:w="1526" w:type="dxa"/>
            <w:tcBorders>
              <w:top w:val="nil"/>
              <w:left w:val="single" w:sz="8" w:space="0" w:color="auto"/>
              <w:bottom w:val="nil"/>
              <w:right w:val="single" w:sz="8" w:space="0" w:color="auto"/>
            </w:tcBorders>
            <w:shd w:val="clear" w:color="auto" w:fill="auto"/>
            <w:vAlign w:val="center"/>
          </w:tcPr>
          <w:p w14:paraId="1BF301C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0.382</w:t>
            </w:r>
          </w:p>
        </w:tc>
        <w:tc>
          <w:tcPr>
            <w:tcW w:w="1526" w:type="dxa"/>
            <w:tcBorders>
              <w:top w:val="nil"/>
              <w:left w:val="single" w:sz="8" w:space="0" w:color="auto"/>
              <w:bottom w:val="nil"/>
              <w:right w:val="single" w:sz="8" w:space="0" w:color="auto"/>
            </w:tcBorders>
            <w:shd w:val="clear" w:color="auto" w:fill="auto"/>
            <w:vAlign w:val="center"/>
          </w:tcPr>
          <w:p w14:paraId="5497CE63"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0.330</w:t>
            </w:r>
          </w:p>
        </w:tc>
        <w:tc>
          <w:tcPr>
            <w:tcW w:w="1526" w:type="dxa"/>
            <w:tcBorders>
              <w:top w:val="nil"/>
              <w:left w:val="single" w:sz="8" w:space="0" w:color="auto"/>
              <w:bottom w:val="nil"/>
              <w:right w:val="single" w:sz="8" w:space="0" w:color="auto"/>
            </w:tcBorders>
            <w:shd w:val="clear" w:color="auto" w:fill="auto"/>
            <w:vAlign w:val="center"/>
          </w:tcPr>
          <w:p w14:paraId="5ED5946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0.434</w:t>
            </w:r>
          </w:p>
        </w:tc>
      </w:tr>
      <w:tr w:rsidR="00C22FE0" w:rsidRPr="00C22FE0" w14:paraId="743F24F5"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single" w:sz="4" w:space="0" w:color="auto"/>
              <w:right w:val="single" w:sz="8" w:space="0" w:color="auto"/>
            </w:tcBorders>
            <w:shd w:val="clear" w:color="auto" w:fill="auto"/>
            <w:noWrap/>
            <w:vAlign w:val="center"/>
          </w:tcPr>
          <w:p w14:paraId="49985A4C"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Deteriorated</w:t>
            </w:r>
          </w:p>
        </w:tc>
        <w:tc>
          <w:tcPr>
            <w:tcW w:w="1525" w:type="dxa"/>
            <w:tcBorders>
              <w:top w:val="nil"/>
              <w:left w:val="single" w:sz="8" w:space="0" w:color="auto"/>
              <w:bottom w:val="single" w:sz="4" w:space="0" w:color="auto"/>
              <w:right w:val="single" w:sz="8" w:space="0" w:color="auto"/>
            </w:tcBorders>
            <w:shd w:val="clear" w:color="auto" w:fill="auto"/>
            <w:vAlign w:val="center"/>
          </w:tcPr>
          <w:p w14:paraId="74CCE02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0.156</w:t>
            </w:r>
          </w:p>
        </w:tc>
        <w:tc>
          <w:tcPr>
            <w:tcW w:w="1526" w:type="dxa"/>
            <w:tcBorders>
              <w:top w:val="nil"/>
              <w:left w:val="single" w:sz="8" w:space="0" w:color="auto"/>
              <w:bottom w:val="single" w:sz="4" w:space="0" w:color="auto"/>
              <w:right w:val="single" w:sz="8" w:space="0" w:color="auto"/>
            </w:tcBorders>
            <w:shd w:val="clear" w:color="auto" w:fill="auto"/>
            <w:vAlign w:val="center"/>
          </w:tcPr>
          <w:p w14:paraId="72C07AD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0.113</w:t>
            </w:r>
          </w:p>
        </w:tc>
        <w:tc>
          <w:tcPr>
            <w:tcW w:w="1526" w:type="dxa"/>
            <w:tcBorders>
              <w:top w:val="nil"/>
              <w:left w:val="single" w:sz="8" w:space="0" w:color="auto"/>
              <w:bottom w:val="single" w:sz="4" w:space="0" w:color="auto"/>
              <w:right w:val="single" w:sz="8" w:space="0" w:color="auto"/>
            </w:tcBorders>
            <w:shd w:val="clear" w:color="auto" w:fill="auto"/>
            <w:vAlign w:val="center"/>
          </w:tcPr>
          <w:p w14:paraId="5D35139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0.123</w:t>
            </w:r>
          </w:p>
        </w:tc>
        <w:tc>
          <w:tcPr>
            <w:tcW w:w="1526" w:type="dxa"/>
            <w:tcBorders>
              <w:top w:val="nil"/>
              <w:left w:val="single" w:sz="8" w:space="0" w:color="auto"/>
              <w:bottom w:val="single" w:sz="4" w:space="0" w:color="auto"/>
              <w:right w:val="single" w:sz="8" w:space="0" w:color="auto"/>
            </w:tcBorders>
            <w:shd w:val="clear" w:color="auto" w:fill="auto"/>
            <w:vAlign w:val="center"/>
          </w:tcPr>
          <w:p w14:paraId="583E974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0.103</w:t>
            </w:r>
          </w:p>
        </w:tc>
      </w:tr>
    </w:tbl>
    <w:p w14:paraId="72CC9A11" w14:textId="77777777" w:rsidR="00F15B90" w:rsidRDefault="00F15B90">
      <w:pPr>
        <w:spacing w:after="200"/>
        <w:rPr>
          <w:rFonts w:asciiTheme="minorHAnsi" w:hAnsiTheme="minorHAnsi" w:cstheme="minorHAnsi"/>
          <w:b/>
          <w:bCs/>
          <w:color w:val="2F5496" w:themeColor="accent1" w:themeShade="BF"/>
        </w:rPr>
      </w:pPr>
      <w:r>
        <w:rPr>
          <w:rFonts w:asciiTheme="minorHAnsi" w:hAnsiTheme="minorHAnsi" w:cstheme="minorHAnsi"/>
          <w:b/>
          <w:bCs/>
          <w:color w:val="2F5496" w:themeColor="accent1" w:themeShade="BF"/>
        </w:rPr>
        <w:br w:type="page"/>
      </w:r>
    </w:p>
    <w:p w14:paraId="1D27B9FC" w14:textId="559FEABB" w:rsidR="00C22FE0" w:rsidRPr="00C22FE0" w:rsidRDefault="00C22FE0" w:rsidP="00C22FE0">
      <w:pPr>
        <w:keepLines/>
        <w:spacing w:after="120"/>
        <w:outlineLvl w:val="2"/>
        <w:rPr>
          <w:rFonts w:asciiTheme="minorHAnsi" w:eastAsiaTheme="majorEastAsia" w:hAnsiTheme="minorHAnsi" w:cstheme="majorBidi"/>
          <w:b/>
          <w:i/>
          <w:color w:val="000000" w:themeColor="text1"/>
          <w:sz w:val="21"/>
          <w:szCs w:val="21"/>
          <w:lang w:val="en-US" w:eastAsia="en-US"/>
        </w:rPr>
      </w:pPr>
      <w:r w:rsidRPr="00C22FE0">
        <w:rPr>
          <w:rFonts w:asciiTheme="minorHAnsi" w:eastAsiaTheme="majorEastAsia" w:hAnsiTheme="minorHAnsi" w:cstheme="majorBidi"/>
          <w:b/>
          <w:color w:val="000000" w:themeColor="text1"/>
          <w:sz w:val="21"/>
          <w:szCs w:val="21"/>
          <w:lang w:val="en-US" w:eastAsia="en-US"/>
        </w:rPr>
        <w:lastRenderedPageBreak/>
        <w:t xml:space="preserve">Table </w:t>
      </w:r>
      <w:r w:rsidR="00C754B0">
        <w:rPr>
          <w:rFonts w:asciiTheme="minorHAnsi" w:eastAsiaTheme="majorEastAsia" w:hAnsiTheme="minorHAnsi" w:cstheme="majorBidi"/>
          <w:b/>
          <w:color w:val="000000" w:themeColor="text1"/>
          <w:sz w:val="21"/>
          <w:szCs w:val="21"/>
          <w:lang w:val="en-US" w:eastAsia="en-US"/>
        </w:rPr>
        <w:t>L1</w:t>
      </w:r>
      <w:r w:rsidRPr="00F15B90">
        <w:rPr>
          <w:rFonts w:asciiTheme="minorHAnsi" w:eastAsiaTheme="majorEastAsia" w:hAnsiTheme="minorHAnsi" w:cstheme="majorBidi"/>
          <w:b/>
          <w:color w:val="000000" w:themeColor="text1"/>
          <w:sz w:val="21"/>
          <w:szCs w:val="21"/>
          <w:lang w:val="en-US" w:eastAsia="en-US"/>
        </w:rPr>
        <w:t>.</w:t>
      </w:r>
      <w:r w:rsidRPr="00C22FE0">
        <w:rPr>
          <w:rFonts w:asciiTheme="minorHAnsi" w:eastAsiaTheme="majorEastAsia" w:hAnsiTheme="minorHAnsi" w:cstheme="majorBidi"/>
          <w:b/>
          <w:color w:val="000000" w:themeColor="text1"/>
          <w:sz w:val="21"/>
          <w:szCs w:val="21"/>
          <w:lang w:val="en-US" w:eastAsia="en-US"/>
        </w:rPr>
        <w:t>7 Transition probabilities for sensitivity analysis (‘no improvement’ value equals to indirect comparator)</w:t>
      </w:r>
    </w:p>
    <w:tbl>
      <w:tblPr>
        <w:tblStyle w:val="PlainTable413"/>
        <w:tblW w:w="9000" w:type="dxa"/>
        <w:tblInd w:w="0" w:type="dxa"/>
        <w:tblBorders>
          <w:top w:val="single" w:sz="8" w:space="0" w:color="auto"/>
          <w:left w:val="single" w:sz="8" w:space="0" w:color="auto"/>
          <w:bottom w:val="single" w:sz="8" w:space="0" w:color="auto"/>
          <w:right w:val="single" w:sz="8" w:space="0" w:color="auto"/>
          <w:insideV w:val="single" w:sz="8" w:space="0" w:color="auto"/>
        </w:tblBorders>
        <w:tblLayout w:type="fixed"/>
        <w:tblLook w:val="04A0" w:firstRow="1" w:lastRow="0" w:firstColumn="1" w:lastColumn="0" w:noHBand="0" w:noVBand="1"/>
        <w:tblCaption w:val="Table L1.7 Transition probabilities for sensitivity analysis (‘no improvement’ value equals to indirect comparator)"/>
        <w:tblDescription w:val="A table providing the transition probabilities used for sensitivity analysis, where the ‘no improvement’ health state’s transition probability value was set to be equal to that of the indirect comparator group. The transition probabilities are presented for each of the four health states and according to the indirect comparator group and digital mental health services and service pathway. "/>
      </w:tblPr>
      <w:tblGrid>
        <w:gridCol w:w="2897"/>
        <w:gridCol w:w="1525"/>
        <w:gridCol w:w="1526"/>
        <w:gridCol w:w="1526"/>
        <w:gridCol w:w="1526"/>
      </w:tblGrid>
      <w:tr w:rsidR="00C22FE0" w:rsidRPr="00C22FE0" w14:paraId="1303D525" w14:textId="77777777" w:rsidTr="00A56C43">
        <w:trPr>
          <w:cnfStyle w:val="100000000000" w:firstRow="1" w:lastRow="0" w:firstColumn="0" w:lastColumn="0" w:oddVBand="0" w:evenVBand="0" w:oddHBand="0" w:evenHBand="0" w:firstRowFirstColumn="0" w:firstRowLastColumn="0" w:lastRowFirstColumn="0" w:lastRowLastColumn="0"/>
          <w:trHeight w:val="610"/>
          <w:tblHeader/>
        </w:trPr>
        <w:tc>
          <w:tcPr>
            <w:cnfStyle w:val="001000000000" w:firstRow="0" w:lastRow="0" w:firstColumn="1" w:lastColumn="0" w:oddVBand="0" w:evenVBand="0" w:oddHBand="0" w:evenHBand="0" w:firstRowFirstColumn="0" w:firstRowLastColumn="0" w:lastRowFirstColumn="0" w:lastRowLastColumn="0"/>
            <w:tcW w:w="2897" w:type="dxa"/>
            <w:tcBorders>
              <w:top w:val="single" w:sz="8" w:space="0" w:color="auto"/>
              <w:left w:val="single" w:sz="8" w:space="0" w:color="auto"/>
              <w:bottom w:val="nil"/>
              <w:right w:val="single" w:sz="8" w:space="0" w:color="auto"/>
            </w:tcBorders>
            <w:shd w:val="clear" w:color="auto" w:fill="000000" w:themeFill="text1"/>
            <w:noWrap/>
            <w:hideMark/>
          </w:tcPr>
          <w:p w14:paraId="1816BF95" w14:textId="77777777" w:rsidR="00C22FE0" w:rsidRPr="00C22FE0" w:rsidRDefault="00C22FE0" w:rsidP="00C22FE0">
            <w:pPr>
              <w:snapToGrid w:val="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Parameter</w:t>
            </w:r>
          </w:p>
        </w:tc>
        <w:tc>
          <w:tcPr>
            <w:tcW w:w="1525" w:type="dxa"/>
            <w:tcBorders>
              <w:top w:val="single" w:sz="8" w:space="0" w:color="auto"/>
              <w:left w:val="single" w:sz="8" w:space="0" w:color="auto"/>
              <w:bottom w:val="nil"/>
              <w:right w:val="single" w:sz="8" w:space="0" w:color="auto"/>
            </w:tcBorders>
            <w:shd w:val="clear" w:color="auto" w:fill="000000" w:themeFill="text1"/>
          </w:tcPr>
          <w:p w14:paraId="3BC07219"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 xml:space="preserve">Indirect </w:t>
            </w:r>
            <w:proofErr w:type="spellStart"/>
            <w:r w:rsidRPr="00C22FE0">
              <w:rPr>
                <w:rFonts w:ascii="Calibri" w:hAnsi="Calibri" w:cs="Calibri"/>
                <w:color w:val="FFFFFF" w:themeColor="background1"/>
                <w:sz w:val="18"/>
                <w:szCs w:val="18"/>
                <w:lang w:eastAsia="en-AU"/>
              </w:rPr>
              <w:t>comparator</w:t>
            </w:r>
            <w:r w:rsidRPr="00C22FE0">
              <w:rPr>
                <w:sz w:val="18"/>
                <w:szCs w:val="18"/>
                <w:vertAlign w:val="superscript"/>
                <w:lang w:eastAsia="en-US"/>
              </w:rPr>
              <w:t>a</w:t>
            </w:r>
            <w:proofErr w:type="spellEnd"/>
          </w:p>
        </w:tc>
        <w:tc>
          <w:tcPr>
            <w:tcW w:w="1526" w:type="dxa"/>
            <w:tcBorders>
              <w:top w:val="single" w:sz="8" w:space="0" w:color="auto"/>
              <w:left w:val="single" w:sz="8" w:space="0" w:color="auto"/>
              <w:bottom w:val="nil"/>
              <w:right w:val="single" w:sz="8" w:space="0" w:color="auto"/>
            </w:tcBorders>
            <w:shd w:val="clear" w:color="auto" w:fill="000000" w:themeFill="text1"/>
          </w:tcPr>
          <w:p w14:paraId="60E6010C"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 xml:space="preserve">Mental Health </w:t>
            </w:r>
            <w:proofErr w:type="spellStart"/>
            <w:r w:rsidRPr="00C22FE0">
              <w:rPr>
                <w:rFonts w:ascii="Calibri" w:hAnsi="Calibri" w:cs="Calibri"/>
                <w:color w:val="FFFFFF" w:themeColor="background1"/>
                <w:sz w:val="18"/>
                <w:szCs w:val="18"/>
                <w:lang w:eastAsia="en-AU"/>
              </w:rPr>
              <w:t>Online</w:t>
            </w:r>
            <w:r w:rsidRPr="00C22FE0">
              <w:rPr>
                <w:sz w:val="18"/>
                <w:szCs w:val="18"/>
                <w:vertAlign w:val="superscript"/>
                <w:lang w:eastAsia="en-US"/>
              </w:rPr>
              <w:t>b</w:t>
            </w:r>
            <w:proofErr w:type="spellEnd"/>
          </w:p>
        </w:tc>
        <w:tc>
          <w:tcPr>
            <w:tcW w:w="1526" w:type="dxa"/>
            <w:tcBorders>
              <w:top w:val="single" w:sz="8" w:space="0" w:color="auto"/>
              <w:left w:val="single" w:sz="8" w:space="0" w:color="auto"/>
              <w:bottom w:val="nil"/>
              <w:right w:val="single" w:sz="8" w:space="0" w:color="auto"/>
            </w:tcBorders>
            <w:shd w:val="clear" w:color="auto" w:fill="000000" w:themeFill="text1"/>
          </w:tcPr>
          <w:p w14:paraId="72C30CA3"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proofErr w:type="spellStart"/>
            <w:r w:rsidRPr="00C22FE0">
              <w:rPr>
                <w:rFonts w:ascii="Calibri" w:hAnsi="Calibri" w:cs="Calibri"/>
                <w:color w:val="FFFFFF" w:themeColor="background1"/>
                <w:sz w:val="18"/>
                <w:szCs w:val="18"/>
                <w:lang w:eastAsia="en-AU"/>
              </w:rPr>
              <w:t>MindSpot</w:t>
            </w:r>
            <w:r w:rsidRPr="00C22FE0">
              <w:rPr>
                <w:sz w:val="18"/>
                <w:szCs w:val="18"/>
                <w:vertAlign w:val="superscript"/>
                <w:lang w:eastAsia="en-US"/>
              </w:rPr>
              <w:t>c</w:t>
            </w:r>
            <w:proofErr w:type="spellEnd"/>
          </w:p>
        </w:tc>
        <w:tc>
          <w:tcPr>
            <w:tcW w:w="1526" w:type="dxa"/>
            <w:tcBorders>
              <w:top w:val="single" w:sz="8" w:space="0" w:color="auto"/>
              <w:left w:val="single" w:sz="8" w:space="0" w:color="auto"/>
              <w:bottom w:val="nil"/>
              <w:right w:val="single" w:sz="8" w:space="0" w:color="auto"/>
            </w:tcBorders>
            <w:shd w:val="clear" w:color="auto" w:fill="000000" w:themeFill="text1"/>
          </w:tcPr>
          <w:p w14:paraId="3FC8BCE8"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 xml:space="preserve">THIS WAY </w:t>
            </w:r>
            <w:proofErr w:type="spellStart"/>
            <w:r w:rsidRPr="00C22FE0">
              <w:rPr>
                <w:rFonts w:ascii="Calibri" w:hAnsi="Calibri" w:cs="Calibri"/>
                <w:color w:val="FFFFFF" w:themeColor="background1"/>
                <w:sz w:val="18"/>
                <w:szCs w:val="18"/>
                <w:lang w:eastAsia="en-AU"/>
              </w:rPr>
              <w:t>UP</w:t>
            </w:r>
            <w:r w:rsidRPr="00C22FE0">
              <w:rPr>
                <w:sz w:val="18"/>
                <w:szCs w:val="18"/>
                <w:vertAlign w:val="superscript"/>
                <w:lang w:eastAsia="en-US"/>
              </w:rPr>
              <w:t>d</w:t>
            </w:r>
            <w:proofErr w:type="spellEnd"/>
          </w:p>
        </w:tc>
      </w:tr>
      <w:tr w:rsidR="00C22FE0" w:rsidRPr="00C22FE0" w14:paraId="6CD6EA06"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15149D26"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Self-directed treatment</w:t>
            </w:r>
          </w:p>
        </w:tc>
        <w:tc>
          <w:tcPr>
            <w:tcW w:w="1525" w:type="dxa"/>
            <w:tcBorders>
              <w:top w:val="nil"/>
              <w:left w:val="single" w:sz="8" w:space="0" w:color="auto"/>
              <w:bottom w:val="nil"/>
              <w:right w:val="single" w:sz="8" w:space="0" w:color="auto"/>
            </w:tcBorders>
            <w:shd w:val="clear" w:color="auto" w:fill="auto"/>
          </w:tcPr>
          <w:p w14:paraId="52DD70D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143E4D6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352D5BB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282349E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r>
      <w:tr w:rsidR="00C22FE0" w:rsidRPr="00C22FE0" w14:paraId="30B5B094"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0BDCD07C"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Transition probabilities:</w:t>
            </w:r>
          </w:p>
        </w:tc>
        <w:tc>
          <w:tcPr>
            <w:tcW w:w="1525" w:type="dxa"/>
            <w:tcBorders>
              <w:top w:val="nil"/>
              <w:left w:val="single" w:sz="8" w:space="0" w:color="auto"/>
              <w:bottom w:val="nil"/>
              <w:right w:val="single" w:sz="8" w:space="0" w:color="auto"/>
            </w:tcBorders>
            <w:shd w:val="clear" w:color="auto" w:fill="auto"/>
          </w:tcPr>
          <w:p w14:paraId="3136D28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1F3768B3"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2BB864D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5C0115F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r>
      <w:tr w:rsidR="00C22FE0" w:rsidRPr="00C22FE0" w14:paraId="352D7B4F"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4543E88B"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Fully recovered</w:t>
            </w:r>
          </w:p>
        </w:tc>
        <w:tc>
          <w:tcPr>
            <w:tcW w:w="1525" w:type="dxa"/>
            <w:tcBorders>
              <w:top w:val="nil"/>
              <w:left w:val="single" w:sz="8" w:space="0" w:color="auto"/>
              <w:bottom w:val="nil"/>
              <w:right w:val="single" w:sz="8" w:space="0" w:color="auto"/>
            </w:tcBorders>
            <w:shd w:val="clear" w:color="auto" w:fill="auto"/>
            <w:vAlign w:val="center"/>
          </w:tcPr>
          <w:p w14:paraId="593D00F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0.111</w:t>
            </w:r>
          </w:p>
        </w:tc>
        <w:tc>
          <w:tcPr>
            <w:tcW w:w="1526" w:type="dxa"/>
            <w:tcBorders>
              <w:top w:val="nil"/>
              <w:left w:val="single" w:sz="8" w:space="0" w:color="auto"/>
              <w:bottom w:val="nil"/>
              <w:right w:val="single" w:sz="8" w:space="0" w:color="auto"/>
            </w:tcBorders>
            <w:shd w:val="clear" w:color="auto" w:fill="auto"/>
            <w:vAlign w:val="center"/>
          </w:tcPr>
          <w:p w14:paraId="145B408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0.310</w:t>
            </w:r>
          </w:p>
        </w:tc>
        <w:tc>
          <w:tcPr>
            <w:tcW w:w="1526" w:type="dxa"/>
            <w:tcBorders>
              <w:top w:val="nil"/>
              <w:left w:val="single" w:sz="8" w:space="0" w:color="auto"/>
              <w:bottom w:val="nil"/>
              <w:right w:val="single" w:sz="8" w:space="0" w:color="auto"/>
            </w:tcBorders>
            <w:shd w:val="clear" w:color="auto" w:fill="auto"/>
            <w:vAlign w:val="center"/>
          </w:tcPr>
          <w:p w14:paraId="0BC830E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0.317</w:t>
            </w:r>
          </w:p>
        </w:tc>
        <w:tc>
          <w:tcPr>
            <w:tcW w:w="1526" w:type="dxa"/>
            <w:tcBorders>
              <w:top w:val="nil"/>
              <w:left w:val="single" w:sz="8" w:space="0" w:color="auto"/>
              <w:bottom w:val="nil"/>
              <w:right w:val="single" w:sz="8" w:space="0" w:color="auto"/>
            </w:tcBorders>
            <w:shd w:val="clear" w:color="auto" w:fill="auto"/>
            <w:vAlign w:val="center"/>
          </w:tcPr>
          <w:p w14:paraId="1A07B81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0.302</w:t>
            </w:r>
          </w:p>
        </w:tc>
      </w:tr>
      <w:tr w:rsidR="00C22FE0" w:rsidRPr="00C22FE0" w14:paraId="500354FB"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2CE04757"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Partially recovered</w:t>
            </w:r>
          </w:p>
        </w:tc>
        <w:tc>
          <w:tcPr>
            <w:tcW w:w="1525" w:type="dxa"/>
            <w:tcBorders>
              <w:top w:val="nil"/>
              <w:left w:val="single" w:sz="8" w:space="0" w:color="auto"/>
              <w:bottom w:val="nil"/>
              <w:right w:val="single" w:sz="8" w:space="0" w:color="auto"/>
            </w:tcBorders>
            <w:shd w:val="clear" w:color="auto" w:fill="auto"/>
            <w:vAlign w:val="center"/>
          </w:tcPr>
          <w:p w14:paraId="331D8C9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0.044</w:t>
            </w:r>
          </w:p>
        </w:tc>
        <w:tc>
          <w:tcPr>
            <w:tcW w:w="1526" w:type="dxa"/>
            <w:tcBorders>
              <w:top w:val="nil"/>
              <w:left w:val="single" w:sz="8" w:space="0" w:color="auto"/>
              <w:bottom w:val="nil"/>
              <w:right w:val="single" w:sz="8" w:space="0" w:color="auto"/>
            </w:tcBorders>
            <w:shd w:val="clear" w:color="auto" w:fill="auto"/>
            <w:vAlign w:val="center"/>
          </w:tcPr>
          <w:p w14:paraId="0FA6D78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0.060</w:t>
            </w:r>
          </w:p>
        </w:tc>
        <w:tc>
          <w:tcPr>
            <w:tcW w:w="1526" w:type="dxa"/>
            <w:tcBorders>
              <w:top w:val="nil"/>
              <w:left w:val="single" w:sz="8" w:space="0" w:color="auto"/>
              <w:bottom w:val="nil"/>
              <w:right w:val="single" w:sz="8" w:space="0" w:color="auto"/>
            </w:tcBorders>
            <w:shd w:val="clear" w:color="auto" w:fill="auto"/>
            <w:vAlign w:val="center"/>
          </w:tcPr>
          <w:p w14:paraId="0EA7B7C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0.058</w:t>
            </w:r>
          </w:p>
        </w:tc>
        <w:tc>
          <w:tcPr>
            <w:tcW w:w="1526" w:type="dxa"/>
            <w:tcBorders>
              <w:top w:val="nil"/>
              <w:left w:val="single" w:sz="8" w:space="0" w:color="auto"/>
              <w:bottom w:val="nil"/>
              <w:right w:val="single" w:sz="8" w:space="0" w:color="auto"/>
            </w:tcBorders>
            <w:shd w:val="clear" w:color="auto" w:fill="auto"/>
            <w:vAlign w:val="center"/>
          </w:tcPr>
          <w:p w14:paraId="5343182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0.060</w:t>
            </w:r>
          </w:p>
        </w:tc>
      </w:tr>
      <w:tr w:rsidR="00C22FE0" w:rsidRPr="00C22FE0" w14:paraId="5B6CE6D1"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2AE00AD6"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No improvement</w:t>
            </w:r>
          </w:p>
        </w:tc>
        <w:tc>
          <w:tcPr>
            <w:tcW w:w="1525" w:type="dxa"/>
            <w:tcBorders>
              <w:top w:val="nil"/>
              <w:left w:val="single" w:sz="8" w:space="0" w:color="auto"/>
              <w:bottom w:val="nil"/>
              <w:right w:val="single" w:sz="8" w:space="0" w:color="auto"/>
            </w:tcBorders>
            <w:shd w:val="clear" w:color="auto" w:fill="auto"/>
            <w:vAlign w:val="center"/>
          </w:tcPr>
          <w:p w14:paraId="700C6B9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0.689</w:t>
            </w:r>
          </w:p>
        </w:tc>
        <w:tc>
          <w:tcPr>
            <w:tcW w:w="1526" w:type="dxa"/>
            <w:tcBorders>
              <w:top w:val="nil"/>
              <w:left w:val="single" w:sz="8" w:space="0" w:color="auto"/>
              <w:bottom w:val="nil"/>
              <w:right w:val="single" w:sz="8" w:space="0" w:color="auto"/>
            </w:tcBorders>
            <w:shd w:val="clear" w:color="auto" w:fill="auto"/>
            <w:vAlign w:val="center"/>
          </w:tcPr>
          <w:p w14:paraId="2787598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0.689</w:t>
            </w:r>
          </w:p>
        </w:tc>
        <w:tc>
          <w:tcPr>
            <w:tcW w:w="1526" w:type="dxa"/>
            <w:tcBorders>
              <w:top w:val="nil"/>
              <w:left w:val="single" w:sz="8" w:space="0" w:color="auto"/>
              <w:bottom w:val="nil"/>
              <w:right w:val="single" w:sz="8" w:space="0" w:color="auto"/>
            </w:tcBorders>
            <w:shd w:val="clear" w:color="auto" w:fill="auto"/>
            <w:vAlign w:val="center"/>
          </w:tcPr>
          <w:p w14:paraId="0E81ED8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0.689</w:t>
            </w:r>
          </w:p>
        </w:tc>
        <w:tc>
          <w:tcPr>
            <w:tcW w:w="1526" w:type="dxa"/>
            <w:tcBorders>
              <w:top w:val="nil"/>
              <w:left w:val="single" w:sz="8" w:space="0" w:color="auto"/>
              <w:bottom w:val="nil"/>
              <w:right w:val="single" w:sz="8" w:space="0" w:color="auto"/>
            </w:tcBorders>
            <w:shd w:val="clear" w:color="auto" w:fill="auto"/>
            <w:vAlign w:val="center"/>
          </w:tcPr>
          <w:p w14:paraId="29812B7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0.689</w:t>
            </w:r>
          </w:p>
        </w:tc>
      </w:tr>
      <w:tr w:rsidR="00C22FE0" w:rsidRPr="00C22FE0" w14:paraId="4DE8031B"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7BDFCC6B"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Deteriorated</w:t>
            </w:r>
          </w:p>
        </w:tc>
        <w:tc>
          <w:tcPr>
            <w:tcW w:w="1525" w:type="dxa"/>
            <w:tcBorders>
              <w:top w:val="nil"/>
              <w:left w:val="single" w:sz="8" w:space="0" w:color="auto"/>
              <w:bottom w:val="nil"/>
              <w:right w:val="single" w:sz="8" w:space="0" w:color="auto"/>
            </w:tcBorders>
            <w:shd w:val="clear" w:color="auto" w:fill="auto"/>
            <w:vAlign w:val="center"/>
          </w:tcPr>
          <w:p w14:paraId="53B225A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0.156</w:t>
            </w:r>
          </w:p>
        </w:tc>
        <w:tc>
          <w:tcPr>
            <w:tcW w:w="1526" w:type="dxa"/>
            <w:tcBorders>
              <w:top w:val="nil"/>
              <w:left w:val="single" w:sz="8" w:space="0" w:color="auto"/>
              <w:bottom w:val="nil"/>
              <w:right w:val="single" w:sz="8" w:space="0" w:color="auto"/>
            </w:tcBorders>
            <w:shd w:val="clear" w:color="auto" w:fill="auto"/>
            <w:vAlign w:val="center"/>
          </w:tcPr>
          <w:p w14:paraId="745C1A9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-0.057</w:t>
            </w:r>
          </w:p>
        </w:tc>
        <w:tc>
          <w:tcPr>
            <w:tcW w:w="1526" w:type="dxa"/>
            <w:tcBorders>
              <w:top w:val="nil"/>
              <w:left w:val="single" w:sz="8" w:space="0" w:color="auto"/>
              <w:bottom w:val="nil"/>
              <w:right w:val="single" w:sz="8" w:space="0" w:color="auto"/>
            </w:tcBorders>
            <w:shd w:val="clear" w:color="auto" w:fill="auto"/>
            <w:vAlign w:val="center"/>
          </w:tcPr>
          <w:p w14:paraId="0C75DEC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-0.063</w:t>
            </w:r>
          </w:p>
        </w:tc>
        <w:tc>
          <w:tcPr>
            <w:tcW w:w="1526" w:type="dxa"/>
            <w:tcBorders>
              <w:top w:val="nil"/>
              <w:left w:val="single" w:sz="8" w:space="0" w:color="auto"/>
              <w:bottom w:val="nil"/>
              <w:right w:val="single" w:sz="8" w:space="0" w:color="auto"/>
            </w:tcBorders>
            <w:shd w:val="clear" w:color="auto" w:fill="auto"/>
            <w:vAlign w:val="center"/>
          </w:tcPr>
          <w:p w14:paraId="20F0B8A3"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-0.053</w:t>
            </w:r>
          </w:p>
        </w:tc>
      </w:tr>
      <w:tr w:rsidR="00C22FE0" w:rsidRPr="00C22FE0" w14:paraId="55C37700"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58CBFDFF" w14:textId="77777777" w:rsidR="00C22FE0" w:rsidRPr="00C22FE0" w:rsidRDefault="00C22FE0" w:rsidP="00C22FE0">
            <w:pPr>
              <w:snapToGrid w:val="0"/>
              <w:rPr>
                <w:rFonts w:ascii="Calibri" w:hAnsi="Calibri" w:cs="Calibri"/>
                <w:color w:val="000000"/>
                <w:sz w:val="18"/>
                <w:szCs w:val="18"/>
                <w:lang w:eastAsia="en-AU"/>
              </w:rPr>
            </w:pPr>
          </w:p>
        </w:tc>
        <w:tc>
          <w:tcPr>
            <w:tcW w:w="1525" w:type="dxa"/>
            <w:tcBorders>
              <w:top w:val="nil"/>
              <w:left w:val="single" w:sz="8" w:space="0" w:color="auto"/>
              <w:bottom w:val="nil"/>
              <w:right w:val="single" w:sz="8" w:space="0" w:color="auto"/>
            </w:tcBorders>
            <w:shd w:val="clear" w:color="auto" w:fill="auto"/>
            <w:vAlign w:val="center"/>
          </w:tcPr>
          <w:p w14:paraId="24DBFBA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2651EB3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2FBA7E7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209380D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r>
      <w:tr w:rsidR="00C22FE0" w:rsidRPr="00C22FE0" w14:paraId="0FEC8122"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46B9173D"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Therapist-supported treatment</w:t>
            </w:r>
          </w:p>
        </w:tc>
        <w:tc>
          <w:tcPr>
            <w:tcW w:w="1525" w:type="dxa"/>
            <w:tcBorders>
              <w:top w:val="nil"/>
              <w:left w:val="single" w:sz="8" w:space="0" w:color="auto"/>
              <w:bottom w:val="nil"/>
              <w:right w:val="single" w:sz="8" w:space="0" w:color="auto"/>
            </w:tcBorders>
            <w:shd w:val="clear" w:color="auto" w:fill="auto"/>
            <w:vAlign w:val="center"/>
          </w:tcPr>
          <w:p w14:paraId="45BD49A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09BEE130"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7AD1A24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574BBF0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p>
        </w:tc>
      </w:tr>
      <w:tr w:rsidR="00C22FE0" w:rsidRPr="00C22FE0" w14:paraId="1350FFD5"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7F22A60D"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Transition probabilities:</w:t>
            </w:r>
          </w:p>
        </w:tc>
        <w:tc>
          <w:tcPr>
            <w:tcW w:w="1525" w:type="dxa"/>
            <w:tcBorders>
              <w:top w:val="nil"/>
              <w:left w:val="single" w:sz="8" w:space="0" w:color="auto"/>
              <w:bottom w:val="nil"/>
              <w:right w:val="single" w:sz="8" w:space="0" w:color="auto"/>
            </w:tcBorders>
            <w:shd w:val="clear" w:color="auto" w:fill="auto"/>
            <w:vAlign w:val="center"/>
          </w:tcPr>
          <w:p w14:paraId="6F49437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68AE517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0277703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3B1798E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r>
      <w:tr w:rsidR="00C22FE0" w:rsidRPr="00C22FE0" w14:paraId="45BA639F"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25733DCF"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Fully recovered</w:t>
            </w:r>
          </w:p>
        </w:tc>
        <w:tc>
          <w:tcPr>
            <w:tcW w:w="1525" w:type="dxa"/>
            <w:tcBorders>
              <w:top w:val="nil"/>
              <w:left w:val="single" w:sz="8" w:space="0" w:color="auto"/>
              <w:bottom w:val="nil"/>
              <w:right w:val="single" w:sz="8" w:space="0" w:color="auto"/>
            </w:tcBorders>
            <w:shd w:val="clear" w:color="auto" w:fill="auto"/>
            <w:vAlign w:val="center"/>
          </w:tcPr>
          <w:p w14:paraId="5117073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0.111</w:t>
            </w:r>
          </w:p>
        </w:tc>
        <w:tc>
          <w:tcPr>
            <w:tcW w:w="1526" w:type="dxa"/>
            <w:tcBorders>
              <w:top w:val="nil"/>
              <w:left w:val="single" w:sz="8" w:space="0" w:color="auto"/>
              <w:bottom w:val="nil"/>
              <w:right w:val="single" w:sz="8" w:space="0" w:color="auto"/>
            </w:tcBorders>
            <w:shd w:val="clear" w:color="auto" w:fill="auto"/>
            <w:vAlign w:val="center"/>
          </w:tcPr>
          <w:p w14:paraId="7B7C9AB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0.300</w:t>
            </w:r>
          </w:p>
        </w:tc>
        <w:tc>
          <w:tcPr>
            <w:tcW w:w="1526" w:type="dxa"/>
            <w:tcBorders>
              <w:top w:val="nil"/>
              <w:left w:val="single" w:sz="8" w:space="0" w:color="auto"/>
              <w:bottom w:val="nil"/>
              <w:right w:val="single" w:sz="8" w:space="0" w:color="auto"/>
            </w:tcBorders>
            <w:shd w:val="clear" w:color="auto" w:fill="auto"/>
            <w:vAlign w:val="center"/>
          </w:tcPr>
          <w:p w14:paraId="7648B1E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0.317</w:t>
            </w:r>
          </w:p>
        </w:tc>
        <w:tc>
          <w:tcPr>
            <w:tcW w:w="1526" w:type="dxa"/>
            <w:tcBorders>
              <w:top w:val="nil"/>
              <w:left w:val="single" w:sz="8" w:space="0" w:color="auto"/>
              <w:bottom w:val="nil"/>
              <w:right w:val="single" w:sz="8" w:space="0" w:color="auto"/>
            </w:tcBorders>
            <w:shd w:val="clear" w:color="auto" w:fill="auto"/>
            <w:vAlign w:val="center"/>
          </w:tcPr>
          <w:p w14:paraId="5DDEC1B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0.282</w:t>
            </w:r>
          </w:p>
        </w:tc>
      </w:tr>
      <w:tr w:rsidR="00C22FE0" w:rsidRPr="00C22FE0" w14:paraId="49A65BDF"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1A8C91F2"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Partially recovered</w:t>
            </w:r>
          </w:p>
        </w:tc>
        <w:tc>
          <w:tcPr>
            <w:tcW w:w="1525" w:type="dxa"/>
            <w:tcBorders>
              <w:top w:val="nil"/>
              <w:left w:val="single" w:sz="8" w:space="0" w:color="auto"/>
              <w:bottom w:val="nil"/>
              <w:right w:val="single" w:sz="8" w:space="0" w:color="auto"/>
            </w:tcBorders>
            <w:shd w:val="clear" w:color="auto" w:fill="auto"/>
            <w:vAlign w:val="center"/>
          </w:tcPr>
          <w:p w14:paraId="1DC7B9D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0.044</w:t>
            </w:r>
          </w:p>
        </w:tc>
        <w:tc>
          <w:tcPr>
            <w:tcW w:w="1526" w:type="dxa"/>
            <w:tcBorders>
              <w:top w:val="nil"/>
              <w:left w:val="single" w:sz="8" w:space="0" w:color="auto"/>
              <w:bottom w:val="nil"/>
              <w:right w:val="single" w:sz="8" w:space="0" w:color="auto"/>
            </w:tcBorders>
            <w:shd w:val="clear" w:color="auto" w:fill="auto"/>
            <w:vAlign w:val="center"/>
          </w:tcPr>
          <w:p w14:paraId="12307D0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0.062</w:t>
            </w:r>
          </w:p>
        </w:tc>
        <w:tc>
          <w:tcPr>
            <w:tcW w:w="1526" w:type="dxa"/>
            <w:tcBorders>
              <w:top w:val="nil"/>
              <w:left w:val="single" w:sz="8" w:space="0" w:color="auto"/>
              <w:bottom w:val="nil"/>
              <w:right w:val="single" w:sz="8" w:space="0" w:color="auto"/>
            </w:tcBorders>
            <w:shd w:val="clear" w:color="auto" w:fill="auto"/>
            <w:vAlign w:val="center"/>
          </w:tcPr>
          <w:p w14:paraId="6938C01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0.058</w:t>
            </w:r>
          </w:p>
        </w:tc>
        <w:tc>
          <w:tcPr>
            <w:tcW w:w="1526" w:type="dxa"/>
            <w:tcBorders>
              <w:top w:val="nil"/>
              <w:left w:val="single" w:sz="8" w:space="0" w:color="auto"/>
              <w:bottom w:val="nil"/>
              <w:right w:val="single" w:sz="8" w:space="0" w:color="auto"/>
            </w:tcBorders>
            <w:shd w:val="clear" w:color="auto" w:fill="auto"/>
            <w:vAlign w:val="center"/>
          </w:tcPr>
          <w:p w14:paraId="412F2B8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0.065</w:t>
            </w:r>
          </w:p>
        </w:tc>
      </w:tr>
      <w:tr w:rsidR="00C22FE0" w:rsidRPr="00C22FE0" w14:paraId="7750F37A"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0E1F54D4"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No improvement</w:t>
            </w:r>
          </w:p>
        </w:tc>
        <w:tc>
          <w:tcPr>
            <w:tcW w:w="1525" w:type="dxa"/>
            <w:tcBorders>
              <w:top w:val="nil"/>
              <w:left w:val="single" w:sz="8" w:space="0" w:color="auto"/>
              <w:bottom w:val="nil"/>
              <w:right w:val="single" w:sz="8" w:space="0" w:color="auto"/>
            </w:tcBorders>
            <w:shd w:val="clear" w:color="auto" w:fill="auto"/>
            <w:vAlign w:val="center"/>
          </w:tcPr>
          <w:p w14:paraId="6306022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0.689</w:t>
            </w:r>
          </w:p>
        </w:tc>
        <w:tc>
          <w:tcPr>
            <w:tcW w:w="1526" w:type="dxa"/>
            <w:tcBorders>
              <w:top w:val="nil"/>
              <w:left w:val="single" w:sz="8" w:space="0" w:color="auto"/>
              <w:bottom w:val="nil"/>
              <w:right w:val="single" w:sz="8" w:space="0" w:color="auto"/>
            </w:tcBorders>
            <w:shd w:val="clear" w:color="auto" w:fill="auto"/>
            <w:vAlign w:val="center"/>
          </w:tcPr>
          <w:p w14:paraId="788EB59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0.689</w:t>
            </w:r>
          </w:p>
        </w:tc>
        <w:tc>
          <w:tcPr>
            <w:tcW w:w="1526" w:type="dxa"/>
            <w:tcBorders>
              <w:top w:val="nil"/>
              <w:left w:val="single" w:sz="8" w:space="0" w:color="auto"/>
              <w:bottom w:val="nil"/>
              <w:right w:val="single" w:sz="8" w:space="0" w:color="auto"/>
            </w:tcBorders>
            <w:shd w:val="clear" w:color="auto" w:fill="auto"/>
            <w:vAlign w:val="center"/>
          </w:tcPr>
          <w:p w14:paraId="15DA417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0.689</w:t>
            </w:r>
          </w:p>
        </w:tc>
        <w:tc>
          <w:tcPr>
            <w:tcW w:w="1526" w:type="dxa"/>
            <w:tcBorders>
              <w:top w:val="nil"/>
              <w:left w:val="single" w:sz="8" w:space="0" w:color="auto"/>
              <w:bottom w:val="nil"/>
              <w:right w:val="single" w:sz="8" w:space="0" w:color="auto"/>
            </w:tcBorders>
            <w:shd w:val="clear" w:color="auto" w:fill="auto"/>
            <w:vAlign w:val="center"/>
          </w:tcPr>
          <w:p w14:paraId="710F698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0.689</w:t>
            </w:r>
          </w:p>
        </w:tc>
      </w:tr>
      <w:tr w:rsidR="00C22FE0" w:rsidRPr="00C22FE0" w14:paraId="1DCEB57B"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single" w:sz="4" w:space="0" w:color="auto"/>
              <w:right w:val="single" w:sz="8" w:space="0" w:color="auto"/>
            </w:tcBorders>
            <w:shd w:val="clear" w:color="auto" w:fill="auto"/>
            <w:noWrap/>
            <w:vAlign w:val="center"/>
          </w:tcPr>
          <w:p w14:paraId="7799846E"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Deteriorated</w:t>
            </w:r>
          </w:p>
        </w:tc>
        <w:tc>
          <w:tcPr>
            <w:tcW w:w="1525" w:type="dxa"/>
            <w:tcBorders>
              <w:top w:val="nil"/>
              <w:left w:val="single" w:sz="8" w:space="0" w:color="auto"/>
              <w:bottom w:val="single" w:sz="4" w:space="0" w:color="auto"/>
              <w:right w:val="single" w:sz="8" w:space="0" w:color="auto"/>
            </w:tcBorders>
            <w:shd w:val="clear" w:color="auto" w:fill="auto"/>
            <w:vAlign w:val="center"/>
          </w:tcPr>
          <w:p w14:paraId="577A6C9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0.156</w:t>
            </w:r>
          </w:p>
        </w:tc>
        <w:tc>
          <w:tcPr>
            <w:tcW w:w="1526" w:type="dxa"/>
            <w:tcBorders>
              <w:top w:val="nil"/>
              <w:left w:val="single" w:sz="8" w:space="0" w:color="auto"/>
              <w:bottom w:val="single" w:sz="4" w:space="0" w:color="auto"/>
              <w:right w:val="single" w:sz="8" w:space="0" w:color="auto"/>
            </w:tcBorders>
            <w:shd w:val="clear" w:color="auto" w:fill="auto"/>
            <w:vAlign w:val="center"/>
          </w:tcPr>
          <w:p w14:paraId="0EA3D33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-0.049</w:t>
            </w:r>
          </w:p>
        </w:tc>
        <w:tc>
          <w:tcPr>
            <w:tcW w:w="1526" w:type="dxa"/>
            <w:tcBorders>
              <w:top w:val="nil"/>
              <w:left w:val="single" w:sz="8" w:space="0" w:color="auto"/>
              <w:bottom w:val="single" w:sz="4" w:space="0" w:color="auto"/>
              <w:right w:val="single" w:sz="8" w:space="0" w:color="auto"/>
            </w:tcBorders>
            <w:shd w:val="clear" w:color="auto" w:fill="auto"/>
            <w:vAlign w:val="center"/>
          </w:tcPr>
          <w:p w14:paraId="3DEAA4F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-0.063</w:t>
            </w:r>
          </w:p>
        </w:tc>
        <w:tc>
          <w:tcPr>
            <w:tcW w:w="1526" w:type="dxa"/>
            <w:tcBorders>
              <w:top w:val="nil"/>
              <w:left w:val="single" w:sz="8" w:space="0" w:color="auto"/>
              <w:bottom w:val="single" w:sz="4" w:space="0" w:color="auto"/>
              <w:right w:val="single" w:sz="8" w:space="0" w:color="auto"/>
            </w:tcBorders>
            <w:shd w:val="clear" w:color="auto" w:fill="auto"/>
            <w:vAlign w:val="center"/>
          </w:tcPr>
          <w:p w14:paraId="6DC79C9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-0.035</w:t>
            </w:r>
          </w:p>
        </w:tc>
      </w:tr>
    </w:tbl>
    <w:p w14:paraId="1E14EFC0" w14:textId="77777777" w:rsidR="00C22FE0" w:rsidRPr="00C22FE0" w:rsidRDefault="00C22FE0" w:rsidP="00C22FE0">
      <w:pPr>
        <w:outlineLvl w:val="2"/>
        <w:rPr>
          <w:rFonts w:asciiTheme="minorHAnsi" w:hAnsiTheme="minorHAnsi" w:cstheme="minorHAnsi"/>
          <w:b/>
          <w:bCs/>
          <w:color w:val="2F5496" w:themeColor="accent1" w:themeShade="BF"/>
        </w:rPr>
      </w:pPr>
    </w:p>
    <w:p w14:paraId="243E57D7" w14:textId="6D2B9B0B" w:rsidR="00C22FE0" w:rsidRPr="00C22FE0" w:rsidRDefault="00C22FE0" w:rsidP="00C22FE0">
      <w:pPr>
        <w:keepLines/>
        <w:spacing w:after="120"/>
        <w:outlineLvl w:val="2"/>
        <w:rPr>
          <w:rFonts w:asciiTheme="minorHAnsi" w:eastAsiaTheme="majorEastAsia" w:hAnsiTheme="minorHAnsi" w:cstheme="majorBidi"/>
          <w:b/>
          <w:i/>
          <w:color w:val="000000" w:themeColor="text1"/>
          <w:sz w:val="21"/>
          <w:szCs w:val="21"/>
          <w:lang w:val="en-US" w:eastAsia="en-US"/>
        </w:rPr>
      </w:pPr>
      <w:r w:rsidRPr="00C22FE0">
        <w:rPr>
          <w:rFonts w:asciiTheme="minorHAnsi" w:eastAsiaTheme="majorEastAsia" w:hAnsiTheme="minorHAnsi" w:cstheme="majorBidi"/>
          <w:b/>
          <w:color w:val="000000" w:themeColor="text1"/>
          <w:sz w:val="21"/>
          <w:szCs w:val="21"/>
          <w:lang w:val="en-US" w:eastAsia="en-US"/>
        </w:rPr>
        <w:t xml:space="preserve">Table </w:t>
      </w:r>
      <w:r w:rsidR="00C754B0">
        <w:rPr>
          <w:rFonts w:asciiTheme="minorHAnsi" w:eastAsiaTheme="majorEastAsia" w:hAnsiTheme="minorHAnsi" w:cstheme="majorBidi"/>
          <w:b/>
          <w:color w:val="000000" w:themeColor="text1"/>
          <w:sz w:val="21"/>
          <w:szCs w:val="21"/>
          <w:lang w:val="en-US" w:eastAsia="en-US"/>
        </w:rPr>
        <w:t>L1</w:t>
      </w:r>
      <w:r w:rsidRPr="00C71D57">
        <w:rPr>
          <w:rFonts w:asciiTheme="minorHAnsi" w:eastAsiaTheme="majorEastAsia" w:hAnsiTheme="minorHAnsi" w:cstheme="majorBidi"/>
          <w:b/>
          <w:color w:val="000000" w:themeColor="text1"/>
          <w:sz w:val="21"/>
          <w:szCs w:val="21"/>
          <w:lang w:val="en-US" w:eastAsia="en-US"/>
        </w:rPr>
        <w:t>.8</w:t>
      </w:r>
      <w:r w:rsidRPr="00C22FE0">
        <w:rPr>
          <w:rFonts w:asciiTheme="minorHAnsi" w:eastAsiaTheme="majorEastAsia" w:hAnsiTheme="minorHAnsi" w:cstheme="majorBidi"/>
          <w:b/>
          <w:color w:val="000000" w:themeColor="text1"/>
          <w:sz w:val="21"/>
          <w:szCs w:val="21"/>
          <w:lang w:val="en-US" w:eastAsia="en-US"/>
        </w:rPr>
        <w:t xml:space="preserve"> Transition probabilities for sensitivity analysis (‘deteriorated’ value equals to indirect comparator)</w:t>
      </w:r>
    </w:p>
    <w:tbl>
      <w:tblPr>
        <w:tblStyle w:val="PlainTable413"/>
        <w:tblW w:w="9000" w:type="dxa"/>
        <w:tblInd w:w="0" w:type="dxa"/>
        <w:tblBorders>
          <w:top w:val="single" w:sz="8" w:space="0" w:color="auto"/>
          <w:left w:val="single" w:sz="8" w:space="0" w:color="auto"/>
          <w:bottom w:val="single" w:sz="8" w:space="0" w:color="auto"/>
          <w:right w:val="single" w:sz="8" w:space="0" w:color="auto"/>
          <w:insideV w:val="single" w:sz="8" w:space="0" w:color="auto"/>
        </w:tblBorders>
        <w:tblLayout w:type="fixed"/>
        <w:tblLook w:val="04A0" w:firstRow="1" w:lastRow="0" w:firstColumn="1" w:lastColumn="0" w:noHBand="0" w:noVBand="1"/>
        <w:tblCaption w:val="Table L1.8 Transition probabilities for sensitivity analysis (‘deteriorated’ value equals to indirect comparator)"/>
        <w:tblDescription w:val="A table providing the transition probabilities used for sensitivity analysis, where the ‘deteriorated’ health state’s transition probability value was set to be equal to that of the indirect comparator group. The transition probabilities are presented for each of the four health states and according to the indirect comparator group, digital mental health services and service pathway. "/>
      </w:tblPr>
      <w:tblGrid>
        <w:gridCol w:w="2897"/>
        <w:gridCol w:w="1525"/>
        <w:gridCol w:w="1526"/>
        <w:gridCol w:w="1526"/>
        <w:gridCol w:w="1526"/>
      </w:tblGrid>
      <w:tr w:rsidR="00C22FE0" w:rsidRPr="00C22FE0" w14:paraId="2B89F1DA" w14:textId="77777777" w:rsidTr="00A56C43">
        <w:trPr>
          <w:cnfStyle w:val="100000000000" w:firstRow="1" w:lastRow="0" w:firstColumn="0" w:lastColumn="0" w:oddVBand="0" w:evenVBand="0" w:oddHBand="0" w:evenHBand="0" w:firstRowFirstColumn="0" w:firstRowLastColumn="0" w:lastRowFirstColumn="0" w:lastRowLastColumn="0"/>
          <w:trHeight w:val="610"/>
          <w:tblHeader/>
        </w:trPr>
        <w:tc>
          <w:tcPr>
            <w:cnfStyle w:val="001000000000" w:firstRow="0" w:lastRow="0" w:firstColumn="1" w:lastColumn="0" w:oddVBand="0" w:evenVBand="0" w:oddHBand="0" w:evenHBand="0" w:firstRowFirstColumn="0" w:firstRowLastColumn="0" w:lastRowFirstColumn="0" w:lastRowLastColumn="0"/>
            <w:tcW w:w="2897" w:type="dxa"/>
            <w:tcBorders>
              <w:top w:val="single" w:sz="8" w:space="0" w:color="auto"/>
              <w:left w:val="single" w:sz="8" w:space="0" w:color="auto"/>
              <w:bottom w:val="nil"/>
              <w:right w:val="single" w:sz="8" w:space="0" w:color="auto"/>
            </w:tcBorders>
            <w:shd w:val="clear" w:color="auto" w:fill="000000" w:themeFill="text1"/>
            <w:noWrap/>
            <w:hideMark/>
          </w:tcPr>
          <w:p w14:paraId="06BCAAB3" w14:textId="77777777" w:rsidR="00C22FE0" w:rsidRPr="00C22FE0" w:rsidRDefault="00C22FE0" w:rsidP="00C22FE0">
            <w:pPr>
              <w:snapToGrid w:val="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Parameter</w:t>
            </w:r>
          </w:p>
        </w:tc>
        <w:tc>
          <w:tcPr>
            <w:tcW w:w="1525" w:type="dxa"/>
            <w:tcBorders>
              <w:top w:val="single" w:sz="8" w:space="0" w:color="auto"/>
              <w:left w:val="single" w:sz="8" w:space="0" w:color="auto"/>
              <w:bottom w:val="nil"/>
              <w:right w:val="single" w:sz="8" w:space="0" w:color="auto"/>
            </w:tcBorders>
            <w:shd w:val="clear" w:color="auto" w:fill="000000" w:themeFill="text1"/>
          </w:tcPr>
          <w:p w14:paraId="0EED5578"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 xml:space="preserve">Indirect </w:t>
            </w:r>
            <w:proofErr w:type="spellStart"/>
            <w:r w:rsidRPr="00C22FE0">
              <w:rPr>
                <w:rFonts w:ascii="Calibri" w:hAnsi="Calibri" w:cs="Calibri"/>
                <w:color w:val="FFFFFF" w:themeColor="background1"/>
                <w:sz w:val="18"/>
                <w:szCs w:val="18"/>
                <w:lang w:eastAsia="en-AU"/>
              </w:rPr>
              <w:t>comparator</w:t>
            </w:r>
            <w:r w:rsidRPr="00C22FE0">
              <w:rPr>
                <w:sz w:val="18"/>
                <w:szCs w:val="18"/>
                <w:vertAlign w:val="superscript"/>
                <w:lang w:eastAsia="en-US"/>
              </w:rPr>
              <w:t>a</w:t>
            </w:r>
            <w:proofErr w:type="spellEnd"/>
          </w:p>
        </w:tc>
        <w:tc>
          <w:tcPr>
            <w:tcW w:w="1526" w:type="dxa"/>
            <w:tcBorders>
              <w:top w:val="single" w:sz="8" w:space="0" w:color="auto"/>
              <w:left w:val="single" w:sz="8" w:space="0" w:color="auto"/>
              <w:bottom w:val="nil"/>
              <w:right w:val="single" w:sz="8" w:space="0" w:color="auto"/>
            </w:tcBorders>
            <w:shd w:val="clear" w:color="auto" w:fill="000000" w:themeFill="text1"/>
          </w:tcPr>
          <w:p w14:paraId="41F49829"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 xml:space="preserve">Mental Health </w:t>
            </w:r>
            <w:proofErr w:type="spellStart"/>
            <w:r w:rsidRPr="00C22FE0">
              <w:rPr>
                <w:rFonts w:ascii="Calibri" w:hAnsi="Calibri" w:cs="Calibri"/>
                <w:color w:val="FFFFFF" w:themeColor="background1"/>
                <w:sz w:val="18"/>
                <w:szCs w:val="18"/>
                <w:lang w:eastAsia="en-AU"/>
              </w:rPr>
              <w:t>Online</w:t>
            </w:r>
            <w:r w:rsidRPr="00C22FE0">
              <w:rPr>
                <w:sz w:val="18"/>
                <w:szCs w:val="18"/>
                <w:vertAlign w:val="superscript"/>
                <w:lang w:eastAsia="en-US"/>
              </w:rPr>
              <w:t>b</w:t>
            </w:r>
            <w:proofErr w:type="spellEnd"/>
          </w:p>
        </w:tc>
        <w:tc>
          <w:tcPr>
            <w:tcW w:w="1526" w:type="dxa"/>
            <w:tcBorders>
              <w:top w:val="single" w:sz="8" w:space="0" w:color="auto"/>
              <w:left w:val="single" w:sz="8" w:space="0" w:color="auto"/>
              <w:bottom w:val="nil"/>
              <w:right w:val="single" w:sz="8" w:space="0" w:color="auto"/>
            </w:tcBorders>
            <w:shd w:val="clear" w:color="auto" w:fill="000000" w:themeFill="text1"/>
          </w:tcPr>
          <w:p w14:paraId="5F7E463E"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proofErr w:type="spellStart"/>
            <w:r w:rsidRPr="00C22FE0">
              <w:rPr>
                <w:rFonts w:ascii="Calibri" w:hAnsi="Calibri" w:cs="Calibri"/>
                <w:color w:val="FFFFFF" w:themeColor="background1"/>
                <w:sz w:val="18"/>
                <w:szCs w:val="18"/>
                <w:lang w:eastAsia="en-AU"/>
              </w:rPr>
              <w:t>MindSpot</w:t>
            </w:r>
            <w:r w:rsidRPr="00C22FE0">
              <w:rPr>
                <w:sz w:val="18"/>
                <w:szCs w:val="18"/>
                <w:vertAlign w:val="superscript"/>
                <w:lang w:eastAsia="en-US"/>
              </w:rPr>
              <w:t>c</w:t>
            </w:r>
            <w:proofErr w:type="spellEnd"/>
          </w:p>
        </w:tc>
        <w:tc>
          <w:tcPr>
            <w:tcW w:w="1526" w:type="dxa"/>
            <w:tcBorders>
              <w:top w:val="single" w:sz="8" w:space="0" w:color="auto"/>
              <w:left w:val="single" w:sz="8" w:space="0" w:color="auto"/>
              <w:bottom w:val="nil"/>
              <w:right w:val="single" w:sz="8" w:space="0" w:color="auto"/>
            </w:tcBorders>
            <w:shd w:val="clear" w:color="auto" w:fill="000000" w:themeFill="text1"/>
          </w:tcPr>
          <w:p w14:paraId="0A59A134"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 xml:space="preserve">THIS WAY </w:t>
            </w:r>
            <w:proofErr w:type="spellStart"/>
            <w:r w:rsidRPr="00C22FE0">
              <w:rPr>
                <w:rFonts w:ascii="Calibri" w:hAnsi="Calibri" w:cs="Calibri"/>
                <w:color w:val="FFFFFF" w:themeColor="background1"/>
                <w:sz w:val="18"/>
                <w:szCs w:val="18"/>
                <w:lang w:eastAsia="en-AU"/>
              </w:rPr>
              <w:t>UP</w:t>
            </w:r>
            <w:r w:rsidRPr="00C22FE0">
              <w:rPr>
                <w:sz w:val="18"/>
                <w:szCs w:val="18"/>
                <w:vertAlign w:val="superscript"/>
                <w:lang w:eastAsia="en-US"/>
              </w:rPr>
              <w:t>d</w:t>
            </w:r>
            <w:proofErr w:type="spellEnd"/>
          </w:p>
        </w:tc>
      </w:tr>
      <w:tr w:rsidR="00C22FE0" w:rsidRPr="00C22FE0" w14:paraId="7913A0CE"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6610073E"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Self-directed treatment</w:t>
            </w:r>
          </w:p>
        </w:tc>
        <w:tc>
          <w:tcPr>
            <w:tcW w:w="1525" w:type="dxa"/>
            <w:tcBorders>
              <w:top w:val="nil"/>
              <w:left w:val="single" w:sz="8" w:space="0" w:color="auto"/>
              <w:bottom w:val="nil"/>
              <w:right w:val="single" w:sz="8" w:space="0" w:color="auto"/>
            </w:tcBorders>
            <w:shd w:val="clear" w:color="auto" w:fill="auto"/>
          </w:tcPr>
          <w:p w14:paraId="0FF2C79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6FDECAA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5112809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4DDB81E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r>
      <w:tr w:rsidR="00C22FE0" w:rsidRPr="00C22FE0" w14:paraId="30A0567F"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010D04E3"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Transition probabilities:</w:t>
            </w:r>
          </w:p>
        </w:tc>
        <w:tc>
          <w:tcPr>
            <w:tcW w:w="1525" w:type="dxa"/>
            <w:tcBorders>
              <w:top w:val="nil"/>
              <w:left w:val="single" w:sz="8" w:space="0" w:color="auto"/>
              <w:bottom w:val="nil"/>
              <w:right w:val="single" w:sz="8" w:space="0" w:color="auto"/>
            </w:tcBorders>
            <w:shd w:val="clear" w:color="auto" w:fill="auto"/>
          </w:tcPr>
          <w:p w14:paraId="6B812A4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5540511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1F72EC0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tcPr>
          <w:p w14:paraId="16D626E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r>
      <w:tr w:rsidR="00C22FE0" w:rsidRPr="00C22FE0" w14:paraId="38E4AA91"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12231E68"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Fully recovered</w:t>
            </w:r>
          </w:p>
        </w:tc>
        <w:tc>
          <w:tcPr>
            <w:tcW w:w="1525" w:type="dxa"/>
            <w:tcBorders>
              <w:top w:val="nil"/>
              <w:left w:val="single" w:sz="8" w:space="0" w:color="auto"/>
              <w:bottom w:val="nil"/>
              <w:right w:val="single" w:sz="8" w:space="0" w:color="auto"/>
            </w:tcBorders>
            <w:shd w:val="clear" w:color="auto" w:fill="auto"/>
            <w:vAlign w:val="center"/>
          </w:tcPr>
          <w:p w14:paraId="68522E3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0.111</w:t>
            </w:r>
          </w:p>
        </w:tc>
        <w:tc>
          <w:tcPr>
            <w:tcW w:w="1526" w:type="dxa"/>
            <w:tcBorders>
              <w:top w:val="nil"/>
              <w:left w:val="single" w:sz="8" w:space="0" w:color="auto"/>
              <w:bottom w:val="nil"/>
              <w:right w:val="single" w:sz="8" w:space="0" w:color="auto"/>
            </w:tcBorders>
            <w:shd w:val="clear" w:color="auto" w:fill="auto"/>
            <w:vAlign w:val="center"/>
          </w:tcPr>
          <w:p w14:paraId="33C38A7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0.410</w:t>
            </w:r>
          </w:p>
        </w:tc>
        <w:tc>
          <w:tcPr>
            <w:tcW w:w="1526" w:type="dxa"/>
            <w:tcBorders>
              <w:top w:val="nil"/>
              <w:left w:val="single" w:sz="8" w:space="0" w:color="auto"/>
              <w:bottom w:val="nil"/>
              <w:right w:val="single" w:sz="8" w:space="0" w:color="auto"/>
            </w:tcBorders>
            <w:shd w:val="clear" w:color="auto" w:fill="auto"/>
            <w:vAlign w:val="center"/>
          </w:tcPr>
          <w:p w14:paraId="6FA3973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0.425</w:t>
            </w:r>
          </w:p>
        </w:tc>
        <w:tc>
          <w:tcPr>
            <w:tcW w:w="1526" w:type="dxa"/>
            <w:tcBorders>
              <w:top w:val="nil"/>
              <w:left w:val="single" w:sz="8" w:space="0" w:color="auto"/>
              <w:bottom w:val="nil"/>
              <w:right w:val="single" w:sz="8" w:space="0" w:color="auto"/>
            </w:tcBorders>
            <w:shd w:val="clear" w:color="auto" w:fill="auto"/>
            <w:vAlign w:val="center"/>
          </w:tcPr>
          <w:p w14:paraId="71ED550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0.394</w:t>
            </w:r>
          </w:p>
        </w:tc>
      </w:tr>
      <w:tr w:rsidR="00C22FE0" w:rsidRPr="00C22FE0" w14:paraId="0025380A"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3770443C"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Partially recovered</w:t>
            </w:r>
          </w:p>
        </w:tc>
        <w:tc>
          <w:tcPr>
            <w:tcW w:w="1525" w:type="dxa"/>
            <w:tcBorders>
              <w:top w:val="nil"/>
              <w:left w:val="single" w:sz="8" w:space="0" w:color="auto"/>
              <w:bottom w:val="nil"/>
              <w:right w:val="single" w:sz="8" w:space="0" w:color="auto"/>
            </w:tcBorders>
            <w:shd w:val="clear" w:color="auto" w:fill="auto"/>
            <w:vAlign w:val="center"/>
          </w:tcPr>
          <w:p w14:paraId="68F6772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0.044</w:t>
            </w:r>
          </w:p>
        </w:tc>
        <w:tc>
          <w:tcPr>
            <w:tcW w:w="1526" w:type="dxa"/>
            <w:tcBorders>
              <w:top w:val="nil"/>
              <w:left w:val="single" w:sz="8" w:space="0" w:color="auto"/>
              <w:bottom w:val="nil"/>
              <w:right w:val="single" w:sz="8" w:space="0" w:color="auto"/>
            </w:tcBorders>
            <w:shd w:val="clear" w:color="auto" w:fill="auto"/>
            <w:vAlign w:val="center"/>
          </w:tcPr>
          <w:p w14:paraId="5247013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0.160</w:t>
            </w:r>
          </w:p>
        </w:tc>
        <w:tc>
          <w:tcPr>
            <w:tcW w:w="1526" w:type="dxa"/>
            <w:tcBorders>
              <w:top w:val="nil"/>
              <w:left w:val="single" w:sz="8" w:space="0" w:color="auto"/>
              <w:bottom w:val="nil"/>
              <w:right w:val="single" w:sz="8" w:space="0" w:color="auto"/>
            </w:tcBorders>
            <w:shd w:val="clear" w:color="auto" w:fill="auto"/>
            <w:vAlign w:val="center"/>
          </w:tcPr>
          <w:p w14:paraId="09059AB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0.166</w:t>
            </w:r>
          </w:p>
        </w:tc>
        <w:tc>
          <w:tcPr>
            <w:tcW w:w="1526" w:type="dxa"/>
            <w:tcBorders>
              <w:top w:val="nil"/>
              <w:left w:val="single" w:sz="8" w:space="0" w:color="auto"/>
              <w:bottom w:val="nil"/>
              <w:right w:val="single" w:sz="8" w:space="0" w:color="auto"/>
            </w:tcBorders>
            <w:shd w:val="clear" w:color="auto" w:fill="auto"/>
            <w:vAlign w:val="center"/>
          </w:tcPr>
          <w:p w14:paraId="370CC66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0.152</w:t>
            </w:r>
          </w:p>
        </w:tc>
      </w:tr>
      <w:tr w:rsidR="00C22FE0" w:rsidRPr="00C22FE0" w14:paraId="77D9CFB4"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2EE39573"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No improvement</w:t>
            </w:r>
          </w:p>
        </w:tc>
        <w:tc>
          <w:tcPr>
            <w:tcW w:w="1525" w:type="dxa"/>
            <w:tcBorders>
              <w:top w:val="nil"/>
              <w:left w:val="single" w:sz="8" w:space="0" w:color="auto"/>
              <w:bottom w:val="nil"/>
              <w:right w:val="single" w:sz="8" w:space="0" w:color="auto"/>
            </w:tcBorders>
            <w:shd w:val="clear" w:color="auto" w:fill="auto"/>
            <w:vAlign w:val="center"/>
          </w:tcPr>
          <w:p w14:paraId="6BE930F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0.689</w:t>
            </w:r>
          </w:p>
        </w:tc>
        <w:tc>
          <w:tcPr>
            <w:tcW w:w="1526" w:type="dxa"/>
            <w:tcBorders>
              <w:top w:val="nil"/>
              <w:left w:val="single" w:sz="8" w:space="0" w:color="auto"/>
              <w:bottom w:val="nil"/>
              <w:right w:val="single" w:sz="8" w:space="0" w:color="auto"/>
            </w:tcBorders>
            <w:shd w:val="clear" w:color="auto" w:fill="auto"/>
            <w:vAlign w:val="center"/>
          </w:tcPr>
          <w:p w14:paraId="6C09952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0.276</w:t>
            </w:r>
          </w:p>
        </w:tc>
        <w:tc>
          <w:tcPr>
            <w:tcW w:w="1526" w:type="dxa"/>
            <w:tcBorders>
              <w:top w:val="nil"/>
              <w:left w:val="single" w:sz="8" w:space="0" w:color="auto"/>
              <w:bottom w:val="nil"/>
              <w:right w:val="single" w:sz="8" w:space="0" w:color="auto"/>
            </w:tcBorders>
            <w:shd w:val="clear" w:color="auto" w:fill="auto"/>
            <w:vAlign w:val="center"/>
          </w:tcPr>
          <w:p w14:paraId="46ABF66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0.252</w:t>
            </w:r>
          </w:p>
        </w:tc>
        <w:tc>
          <w:tcPr>
            <w:tcW w:w="1526" w:type="dxa"/>
            <w:tcBorders>
              <w:top w:val="nil"/>
              <w:left w:val="single" w:sz="8" w:space="0" w:color="auto"/>
              <w:bottom w:val="nil"/>
              <w:right w:val="single" w:sz="8" w:space="0" w:color="auto"/>
            </w:tcBorders>
            <w:shd w:val="clear" w:color="auto" w:fill="auto"/>
            <w:vAlign w:val="center"/>
          </w:tcPr>
          <w:p w14:paraId="4E17886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0.298</w:t>
            </w:r>
          </w:p>
        </w:tc>
      </w:tr>
      <w:tr w:rsidR="00C22FE0" w:rsidRPr="00C22FE0" w14:paraId="341AADC1"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7A02343B"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Deteriorated</w:t>
            </w:r>
          </w:p>
        </w:tc>
        <w:tc>
          <w:tcPr>
            <w:tcW w:w="1525" w:type="dxa"/>
            <w:tcBorders>
              <w:top w:val="nil"/>
              <w:left w:val="single" w:sz="8" w:space="0" w:color="auto"/>
              <w:bottom w:val="nil"/>
              <w:right w:val="single" w:sz="8" w:space="0" w:color="auto"/>
            </w:tcBorders>
            <w:shd w:val="clear" w:color="auto" w:fill="auto"/>
            <w:vAlign w:val="center"/>
          </w:tcPr>
          <w:p w14:paraId="419AC7C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0.156</w:t>
            </w:r>
          </w:p>
        </w:tc>
        <w:tc>
          <w:tcPr>
            <w:tcW w:w="1526" w:type="dxa"/>
            <w:tcBorders>
              <w:top w:val="nil"/>
              <w:left w:val="single" w:sz="8" w:space="0" w:color="auto"/>
              <w:bottom w:val="nil"/>
              <w:right w:val="single" w:sz="8" w:space="0" w:color="auto"/>
            </w:tcBorders>
            <w:shd w:val="clear" w:color="auto" w:fill="auto"/>
            <w:vAlign w:val="center"/>
          </w:tcPr>
          <w:p w14:paraId="69EED90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0.156</w:t>
            </w:r>
          </w:p>
        </w:tc>
        <w:tc>
          <w:tcPr>
            <w:tcW w:w="1526" w:type="dxa"/>
            <w:tcBorders>
              <w:top w:val="nil"/>
              <w:left w:val="single" w:sz="8" w:space="0" w:color="auto"/>
              <w:bottom w:val="nil"/>
              <w:right w:val="single" w:sz="8" w:space="0" w:color="auto"/>
            </w:tcBorders>
            <w:shd w:val="clear" w:color="auto" w:fill="auto"/>
            <w:vAlign w:val="center"/>
          </w:tcPr>
          <w:p w14:paraId="0B08190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0.156</w:t>
            </w:r>
          </w:p>
        </w:tc>
        <w:tc>
          <w:tcPr>
            <w:tcW w:w="1526" w:type="dxa"/>
            <w:tcBorders>
              <w:top w:val="nil"/>
              <w:left w:val="single" w:sz="8" w:space="0" w:color="auto"/>
              <w:bottom w:val="nil"/>
              <w:right w:val="single" w:sz="8" w:space="0" w:color="auto"/>
            </w:tcBorders>
            <w:shd w:val="clear" w:color="auto" w:fill="auto"/>
            <w:vAlign w:val="center"/>
          </w:tcPr>
          <w:p w14:paraId="50B4688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0.156</w:t>
            </w:r>
          </w:p>
        </w:tc>
      </w:tr>
      <w:tr w:rsidR="00C22FE0" w:rsidRPr="00C22FE0" w14:paraId="0558193E"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7E888D1E" w14:textId="77777777" w:rsidR="00C22FE0" w:rsidRPr="00C22FE0" w:rsidRDefault="00C22FE0" w:rsidP="00C22FE0">
            <w:pPr>
              <w:snapToGrid w:val="0"/>
              <w:rPr>
                <w:rFonts w:ascii="Calibri" w:hAnsi="Calibri" w:cs="Calibri"/>
                <w:color w:val="000000"/>
                <w:sz w:val="18"/>
                <w:szCs w:val="18"/>
                <w:lang w:eastAsia="en-AU"/>
              </w:rPr>
            </w:pPr>
          </w:p>
        </w:tc>
        <w:tc>
          <w:tcPr>
            <w:tcW w:w="1525" w:type="dxa"/>
            <w:tcBorders>
              <w:top w:val="nil"/>
              <w:left w:val="single" w:sz="8" w:space="0" w:color="auto"/>
              <w:bottom w:val="nil"/>
              <w:right w:val="single" w:sz="8" w:space="0" w:color="auto"/>
            </w:tcBorders>
            <w:shd w:val="clear" w:color="auto" w:fill="auto"/>
            <w:vAlign w:val="center"/>
          </w:tcPr>
          <w:p w14:paraId="579AA71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63090C7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6D30661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74CA061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r>
      <w:tr w:rsidR="00C22FE0" w:rsidRPr="00C22FE0" w14:paraId="0E3C922C"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1FCD0943"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Therapist-supported treatment</w:t>
            </w:r>
          </w:p>
        </w:tc>
        <w:tc>
          <w:tcPr>
            <w:tcW w:w="1525" w:type="dxa"/>
            <w:tcBorders>
              <w:top w:val="nil"/>
              <w:left w:val="single" w:sz="8" w:space="0" w:color="auto"/>
              <w:bottom w:val="nil"/>
              <w:right w:val="single" w:sz="8" w:space="0" w:color="auto"/>
            </w:tcBorders>
            <w:shd w:val="clear" w:color="auto" w:fill="auto"/>
            <w:vAlign w:val="center"/>
          </w:tcPr>
          <w:p w14:paraId="17E9097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621DB21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2845E03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1BB873B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p>
        </w:tc>
      </w:tr>
      <w:tr w:rsidR="00C22FE0" w:rsidRPr="00C22FE0" w14:paraId="0CD3C71C"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44C04F2B"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Transition probabilities:</w:t>
            </w:r>
          </w:p>
        </w:tc>
        <w:tc>
          <w:tcPr>
            <w:tcW w:w="1525" w:type="dxa"/>
            <w:tcBorders>
              <w:top w:val="nil"/>
              <w:left w:val="single" w:sz="8" w:space="0" w:color="auto"/>
              <w:bottom w:val="nil"/>
              <w:right w:val="single" w:sz="8" w:space="0" w:color="auto"/>
            </w:tcBorders>
            <w:shd w:val="clear" w:color="auto" w:fill="auto"/>
            <w:vAlign w:val="center"/>
          </w:tcPr>
          <w:p w14:paraId="20A9EC6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31DF05B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53EAC5D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c>
          <w:tcPr>
            <w:tcW w:w="1526" w:type="dxa"/>
            <w:tcBorders>
              <w:top w:val="nil"/>
              <w:left w:val="single" w:sz="8" w:space="0" w:color="auto"/>
              <w:bottom w:val="nil"/>
              <w:right w:val="single" w:sz="8" w:space="0" w:color="auto"/>
            </w:tcBorders>
            <w:shd w:val="clear" w:color="auto" w:fill="auto"/>
            <w:vAlign w:val="center"/>
          </w:tcPr>
          <w:p w14:paraId="70B5E30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p>
        </w:tc>
      </w:tr>
      <w:tr w:rsidR="00C22FE0" w:rsidRPr="00C22FE0" w14:paraId="386C6692"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338A33F2"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Fully recovered</w:t>
            </w:r>
          </w:p>
        </w:tc>
        <w:tc>
          <w:tcPr>
            <w:tcW w:w="1525" w:type="dxa"/>
            <w:tcBorders>
              <w:top w:val="nil"/>
              <w:left w:val="single" w:sz="8" w:space="0" w:color="auto"/>
              <w:bottom w:val="nil"/>
              <w:right w:val="single" w:sz="8" w:space="0" w:color="auto"/>
            </w:tcBorders>
            <w:shd w:val="clear" w:color="auto" w:fill="auto"/>
            <w:vAlign w:val="center"/>
          </w:tcPr>
          <w:p w14:paraId="57F79C4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0.111</w:t>
            </w:r>
          </w:p>
        </w:tc>
        <w:tc>
          <w:tcPr>
            <w:tcW w:w="1526" w:type="dxa"/>
            <w:tcBorders>
              <w:top w:val="nil"/>
              <w:left w:val="single" w:sz="8" w:space="0" w:color="auto"/>
              <w:bottom w:val="nil"/>
              <w:right w:val="single" w:sz="8" w:space="0" w:color="auto"/>
            </w:tcBorders>
            <w:shd w:val="clear" w:color="auto" w:fill="auto"/>
            <w:vAlign w:val="center"/>
          </w:tcPr>
          <w:p w14:paraId="5133806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0.388</w:t>
            </w:r>
          </w:p>
        </w:tc>
        <w:tc>
          <w:tcPr>
            <w:tcW w:w="1526" w:type="dxa"/>
            <w:tcBorders>
              <w:top w:val="nil"/>
              <w:left w:val="single" w:sz="8" w:space="0" w:color="auto"/>
              <w:bottom w:val="nil"/>
              <w:right w:val="single" w:sz="8" w:space="0" w:color="auto"/>
            </w:tcBorders>
            <w:shd w:val="clear" w:color="auto" w:fill="auto"/>
            <w:vAlign w:val="center"/>
          </w:tcPr>
          <w:p w14:paraId="3FD1A7C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0.425</w:t>
            </w:r>
          </w:p>
        </w:tc>
        <w:tc>
          <w:tcPr>
            <w:tcW w:w="1526" w:type="dxa"/>
            <w:tcBorders>
              <w:top w:val="nil"/>
              <w:left w:val="single" w:sz="8" w:space="0" w:color="auto"/>
              <w:bottom w:val="nil"/>
              <w:right w:val="single" w:sz="8" w:space="0" w:color="auto"/>
            </w:tcBorders>
            <w:shd w:val="clear" w:color="auto" w:fill="auto"/>
            <w:vAlign w:val="center"/>
          </w:tcPr>
          <w:p w14:paraId="691DD47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0.349</w:t>
            </w:r>
          </w:p>
        </w:tc>
      </w:tr>
      <w:tr w:rsidR="00C22FE0" w:rsidRPr="00C22FE0" w14:paraId="7E86C74D"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31A7AF41"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Partially recovered</w:t>
            </w:r>
          </w:p>
        </w:tc>
        <w:tc>
          <w:tcPr>
            <w:tcW w:w="1525" w:type="dxa"/>
            <w:tcBorders>
              <w:top w:val="nil"/>
              <w:left w:val="single" w:sz="8" w:space="0" w:color="auto"/>
              <w:bottom w:val="nil"/>
              <w:right w:val="single" w:sz="8" w:space="0" w:color="auto"/>
            </w:tcBorders>
            <w:shd w:val="clear" w:color="auto" w:fill="auto"/>
            <w:vAlign w:val="center"/>
          </w:tcPr>
          <w:p w14:paraId="08FB1DA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0.044</w:t>
            </w:r>
          </w:p>
        </w:tc>
        <w:tc>
          <w:tcPr>
            <w:tcW w:w="1526" w:type="dxa"/>
            <w:tcBorders>
              <w:top w:val="nil"/>
              <w:left w:val="single" w:sz="8" w:space="0" w:color="auto"/>
              <w:bottom w:val="nil"/>
              <w:right w:val="single" w:sz="8" w:space="0" w:color="auto"/>
            </w:tcBorders>
            <w:shd w:val="clear" w:color="auto" w:fill="auto"/>
            <w:vAlign w:val="center"/>
          </w:tcPr>
          <w:p w14:paraId="24ACEBE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0.150</w:t>
            </w:r>
          </w:p>
        </w:tc>
        <w:tc>
          <w:tcPr>
            <w:tcW w:w="1526" w:type="dxa"/>
            <w:tcBorders>
              <w:top w:val="nil"/>
              <w:left w:val="single" w:sz="8" w:space="0" w:color="auto"/>
              <w:bottom w:val="nil"/>
              <w:right w:val="single" w:sz="8" w:space="0" w:color="auto"/>
            </w:tcBorders>
            <w:shd w:val="clear" w:color="auto" w:fill="auto"/>
            <w:vAlign w:val="center"/>
          </w:tcPr>
          <w:p w14:paraId="18E3CAA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0.166</w:t>
            </w:r>
          </w:p>
        </w:tc>
        <w:tc>
          <w:tcPr>
            <w:tcW w:w="1526" w:type="dxa"/>
            <w:tcBorders>
              <w:top w:val="nil"/>
              <w:left w:val="single" w:sz="8" w:space="0" w:color="auto"/>
              <w:bottom w:val="nil"/>
              <w:right w:val="single" w:sz="8" w:space="0" w:color="auto"/>
            </w:tcBorders>
            <w:shd w:val="clear" w:color="auto" w:fill="auto"/>
            <w:vAlign w:val="center"/>
          </w:tcPr>
          <w:p w14:paraId="75E21D3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0.132</w:t>
            </w:r>
          </w:p>
        </w:tc>
      </w:tr>
      <w:tr w:rsidR="00C22FE0" w:rsidRPr="00C22FE0" w14:paraId="6D2833BB"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1398C166"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No improvement</w:t>
            </w:r>
          </w:p>
        </w:tc>
        <w:tc>
          <w:tcPr>
            <w:tcW w:w="1525" w:type="dxa"/>
            <w:tcBorders>
              <w:top w:val="nil"/>
              <w:left w:val="single" w:sz="8" w:space="0" w:color="auto"/>
              <w:bottom w:val="nil"/>
              <w:right w:val="single" w:sz="8" w:space="0" w:color="auto"/>
            </w:tcBorders>
            <w:shd w:val="clear" w:color="auto" w:fill="auto"/>
            <w:vAlign w:val="center"/>
          </w:tcPr>
          <w:p w14:paraId="6640133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0.689</w:t>
            </w:r>
          </w:p>
        </w:tc>
        <w:tc>
          <w:tcPr>
            <w:tcW w:w="1526" w:type="dxa"/>
            <w:tcBorders>
              <w:top w:val="nil"/>
              <w:left w:val="single" w:sz="8" w:space="0" w:color="auto"/>
              <w:bottom w:val="nil"/>
              <w:right w:val="single" w:sz="8" w:space="0" w:color="auto"/>
            </w:tcBorders>
            <w:shd w:val="clear" w:color="auto" w:fill="auto"/>
            <w:vAlign w:val="center"/>
          </w:tcPr>
          <w:p w14:paraId="432ED2F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0.308</w:t>
            </w:r>
          </w:p>
        </w:tc>
        <w:tc>
          <w:tcPr>
            <w:tcW w:w="1526" w:type="dxa"/>
            <w:tcBorders>
              <w:top w:val="nil"/>
              <w:left w:val="single" w:sz="8" w:space="0" w:color="auto"/>
              <w:bottom w:val="nil"/>
              <w:right w:val="single" w:sz="8" w:space="0" w:color="auto"/>
            </w:tcBorders>
            <w:shd w:val="clear" w:color="auto" w:fill="auto"/>
            <w:vAlign w:val="center"/>
          </w:tcPr>
          <w:p w14:paraId="765F41D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0.252</w:t>
            </w:r>
          </w:p>
        </w:tc>
        <w:tc>
          <w:tcPr>
            <w:tcW w:w="1526" w:type="dxa"/>
            <w:tcBorders>
              <w:top w:val="nil"/>
              <w:left w:val="single" w:sz="8" w:space="0" w:color="auto"/>
              <w:bottom w:val="nil"/>
              <w:right w:val="single" w:sz="8" w:space="0" w:color="auto"/>
            </w:tcBorders>
            <w:shd w:val="clear" w:color="auto" w:fill="auto"/>
            <w:vAlign w:val="center"/>
          </w:tcPr>
          <w:p w14:paraId="3F6DAA3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0.363</w:t>
            </w:r>
          </w:p>
        </w:tc>
      </w:tr>
      <w:tr w:rsidR="00C22FE0" w:rsidRPr="00C22FE0" w14:paraId="12E2097F"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single" w:sz="4" w:space="0" w:color="auto"/>
              <w:right w:val="single" w:sz="8" w:space="0" w:color="auto"/>
            </w:tcBorders>
            <w:shd w:val="clear" w:color="auto" w:fill="auto"/>
            <w:noWrap/>
            <w:vAlign w:val="center"/>
          </w:tcPr>
          <w:p w14:paraId="3A5583C5"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Deteriorated</w:t>
            </w:r>
          </w:p>
        </w:tc>
        <w:tc>
          <w:tcPr>
            <w:tcW w:w="1525" w:type="dxa"/>
            <w:tcBorders>
              <w:top w:val="nil"/>
              <w:left w:val="single" w:sz="8" w:space="0" w:color="auto"/>
              <w:bottom w:val="single" w:sz="4" w:space="0" w:color="auto"/>
              <w:right w:val="single" w:sz="8" w:space="0" w:color="auto"/>
            </w:tcBorders>
            <w:shd w:val="clear" w:color="auto" w:fill="auto"/>
            <w:vAlign w:val="center"/>
          </w:tcPr>
          <w:p w14:paraId="7DACF9B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0.156</w:t>
            </w:r>
          </w:p>
        </w:tc>
        <w:tc>
          <w:tcPr>
            <w:tcW w:w="1526" w:type="dxa"/>
            <w:tcBorders>
              <w:top w:val="nil"/>
              <w:left w:val="single" w:sz="8" w:space="0" w:color="auto"/>
              <w:bottom w:val="single" w:sz="4" w:space="0" w:color="auto"/>
              <w:right w:val="single" w:sz="8" w:space="0" w:color="auto"/>
            </w:tcBorders>
            <w:shd w:val="clear" w:color="auto" w:fill="auto"/>
            <w:vAlign w:val="center"/>
          </w:tcPr>
          <w:p w14:paraId="6FF43FC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0.156</w:t>
            </w:r>
          </w:p>
        </w:tc>
        <w:tc>
          <w:tcPr>
            <w:tcW w:w="1526" w:type="dxa"/>
            <w:tcBorders>
              <w:top w:val="nil"/>
              <w:left w:val="single" w:sz="8" w:space="0" w:color="auto"/>
              <w:bottom w:val="single" w:sz="4" w:space="0" w:color="auto"/>
              <w:right w:val="single" w:sz="8" w:space="0" w:color="auto"/>
            </w:tcBorders>
            <w:shd w:val="clear" w:color="auto" w:fill="auto"/>
            <w:vAlign w:val="center"/>
          </w:tcPr>
          <w:p w14:paraId="083EFFD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0.156</w:t>
            </w:r>
          </w:p>
        </w:tc>
        <w:tc>
          <w:tcPr>
            <w:tcW w:w="1526" w:type="dxa"/>
            <w:tcBorders>
              <w:top w:val="nil"/>
              <w:left w:val="single" w:sz="8" w:space="0" w:color="auto"/>
              <w:bottom w:val="single" w:sz="4" w:space="0" w:color="auto"/>
              <w:right w:val="single" w:sz="8" w:space="0" w:color="auto"/>
            </w:tcBorders>
            <w:shd w:val="clear" w:color="auto" w:fill="auto"/>
            <w:vAlign w:val="center"/>
          </w:tcPr>
          <w:p w14:paraId="73EAD45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en-AU"/>
              </w:rPr>
            </w:pPr>
            <w:r w:rsidRPr="00C22FE0">
              <w:rPr>
                <w:rFonts w:ascii="Calibri" w:eastAsiaTheme="minorHAnsi" w:hAnsi="Calibri" w:cs="Calibri"/>
                <w:color w:val="000000"/>
                <w:sz w:val="18"/>
                <w:szCs w:val="18"/>
                <w:lang w:eastAsia="en-US"/>
              </w:rPr>
              <w:t>0.156</w:t>
            </w:r>
          </w:p>
        </w:tc>
      </w:tr>
    </w:tbl>
    <w:p w14:paraId="16185DE2" w14:textId="38C7FA95" w:rsidR="00C71D57" w:rsidRDefault="00C22FE0" w:rsidP="00C71D57">
      <w:pPr>
        <w:spacing w:before="240"/>
        <w:outlineLvl w:val="2"/>
        <w:rPr>
          <w:rFonts w:ascii="Calibri" w:hAnsi="Calibri" w:cs="Arial"/>
          <w:iCs/>
          <w:color w:val="000000" w:themeColor="text1"/>
          <w:sz w:val="21"/>
          <w:szCs w:val="21"/>
          <w:lang w:eastAsia="zh-CN"/>
        </w:rPr>
      </w:pPr>
      <w:r w:rsidRPr="00C22FE0">
        <w:rPr>
          <w:rFonts w:ascii="Calibri" w:hAnsi="Calibri" w:cs="Arial"/>
          <w:iCs/>
          <w:color w:val="000000" w:themeColor="text1"/>
          <w:sz w:val="21"/>
          <w:szCs w:val="21"/>
          <w:lang w:eastAsia="zh-CN"/>
        </w:rPr>
        <w:t xml:space="preserve">A further sensitivity analysis was conducted for </w:t>
      </w:r>
      <w:proofErr w:type="spellStart"/>
      <w:r w:rsidRPr="00C22FE0">
        <w:rPr>
          <w:rFonts w:ascii="Calibri" w:hAnsi="Calibri" w:cs="Arial"/>
          <w:iCs/>
          <w:color w:val="000000" w:themeColor="text1"/>
          <w:sz w:val="21"/>
          <w:szCs w:val="21"/>
          <w:lang w:eastAsia="zh-CN"/>
        </w:rPr>
        <w:t>MindSpot</w:t>
      </w:r>
      <w:proofErr w:type="spellEnd"/>
      <w:r w:rsidRPr="00C22FE0">
        <w:rPr>
          <w:rFonts w:ascii="Calibri" w:hAnsi="Calibri" w:cs="Arial"/>
          <w:iCs/>
          <w:color w:val="000000" w:themeColor="text1"/>
          <w:sz w:val="21"/>
          <w:szCs w:val="21"/>
          <w:lang w:eastAsia="zh-CN"/>
        </w:rPr>
        <w:t xml:space="preserve"> by using data from a previously publication of treatment outcomes of consumers who completed online treatment at the </w:t>
      </w:r>
      <w:proofErr w:type="spellStart"/>
      <w:r w:rsidRPr="00C22FE0">
        <w:rPr>
          <w:rFonts w:ascii="Calibri" w:hAnsi="Calibri" w:cs="Arial"/>
          <w:iCs/>
          <w:color w:val="000000" w:themeColor="text1"/>
          <w:sz w:val="21"/>
          <w:szCs w:val="21"/>
          <w:lang w:eastAsia="zh-CN"/>
        </w:rPr>
        <w:t>MindSpot</w:t>
      </w:r>
      <w:proofErr w:type="spellEnd"/>
      <w:r w:rsidRPr="00C22FE0">
        <w:rPr>
          <w:rFonts w:ascii="Calibri" w:hAnsi="Calibri" w:cs="Arial"/>
          <w:iCs/>
          <w:color w:val="000000" w:themeColor="text1"/>
          <w:sz w:val="21"/>
          <w:szCs w:val="21"/>
          <w:lang w:eastAsia="zh-CN"/>
        </w:rPr>
        <w:t xml:space="preserve"> clinic.</w:t>
      </w:r>
      <w:r w:rsidR="00BA3DAD">
        <w:rPr>
          <w:rFonts w:ascii="Calibri" w:hAnsi="Calibri" w:cs="Arial"/>
          <w:iCs/>
          <w:color w:val="000000" w:themeColor="text1"/>
          <w:sz w:val="21"/>
          <w:szCs w:val="21"/>
          <w:lang w:eastAsia="zh-CN"/>
        </w:rPr>
        <w:fldChar w:fldCharType="begin"/>
      </w:r>
      <w:r w:rsidR="00BA3DAD">
        <w:rPr>
          <w:rFonts w:ascii="Calibri" w:hAnsi="Calibri" w:cs="Arial"/>
          <w:iCs/>
          <w:color w:val="000000" w:themeColor="text1"/>
          <w:sz w:val="21"/>
          <w:szCs w:val="21"/>
          <w:lang w:eastAsia="zh-CN"/>
        </w:rPr>
        <w:instrText xml:space="preserve"> ADDIN EN.CITE &lt;EndNote&gt;&lt;Cite&gt;&lt;Author&gt;Kayrouz&lt;/Author&gt;&lt;Year&gt;2020&lt;/Year&gt;&lt;RecNum&gt;137&lt;/RecNum&gt;&lt;DisplayText&gt;&lt;style face="superscript"&gt;66&lt;/style&gt;&lt;/DisplayText&gt;&lt;record&gt;&lt;rec-number&gt;137&lt;/rec-number&gt;&lt;foreign-keys&gt;&lt;key app="EN" db-id="dawtr0zrkrzfa5edzzlpe2we0xa00t90vvr2" timestamp="1650429449"&gt;137&lt;/key&gt;&lt;/foreign-keys&gt;&lt;ref-type name="Journal Article"&gt;17&lt;/ref-type&gt;&lt;contributors&gt;&lt;authors&gt;&lt;author&gt;Kayrouz, Rony&lt;/author&gt;&lt;author&gt;Karin, Eyal&lt;/author&gt;&lt;author&gt;Staples, Lauren G.&lt;/author&gt;&lt;author&gt;Nielssen, Olav&lt;/author&gt;&lt;author&gt;Dear, Blake F.&lt;/author&gt;&lt;author&gt;Titov, Nickolai&lt;/author&gt;&lt;/authors&gt;&lt;/contributors&gt;&lt;titles&gt;&lt;title&gt;A comparison of the characteristics and treatment outcomes of migrant and Australian-born users of a national digital mental health service&lt;/title&gt;&lt;secondary-title&gt;BMC Psychiatry&lt;/secondary-title&gt;&lt;/titles&gt;&lt;periodical&gt;&lt;full-title&gt;BMC Psychiatry&lt;/full-title&gt;&lt;/periodical&gt;&lt;pages&gt;111&lt;/pages&gt;&lt;volume&gt;20&lt;/volume&gt;&lt;number&gt;1&lt;/number&gt;&lt;dates&gt;&lt;year&gt;2020&lt;/year&gt;&lt;pub-dates&gt;&lt;date&gt;2020/03/11&lt;/date&gt;&lt;/pub-dates&gt;&lt;/dates&gt;&lt;isbn&gt;1471-244X&lt;/isbn&gt;&lt;urls&gt;&lt;related-urls&gt;&lt;url&gt;https://doi.org/10.1186/s12888-020-02486-3&lt;/url&gt;&lt;/related-urls&gt;&lt;/urls&gt;&lt;electronic-resource-num&gt;10.1186/s12888-020-02486-3&lt;/electronic-resource-num&gt;&lt;/record&gt;&lt;/Cite&gt;&lt;/EndNote&gt;</w:instrText>
      </w:r>
      <w:r w:rsidR="00BA3DAD">
        <w:rPr>
          <w:rFonts w:ascii="Calibri" w:hAnsi="Calibri" w:cs="Arial"/>
          <w:iCs/>
          <w:color w:val="000000" w:themeColor="text1"/>
          <w:sz w:val="21"/>
          <w:szCs w:val="21"/>
          <w:lang w:eastAsia="zh-CN"/>
        </w:rPr>
        <w:fldChar w:fldCharType="separate"/>
      </w:r>
      <w:r w:rsidR="00BA3DAD" w:rsidRPr="00BA3DAD">
        <w:rPr>
          <w:rFonts w:ascii="Calibri" w:hAnsi="Calibri" w:cs="Arial"/>
          <w:iCs/>
          <w:noProof/>
          <w:color w:val="000000" w:themeColor="text1"/>
          <w:sz w:val="21"/>
          <w:szCs w:val="21"/>
          <w:vertAlign w:val="superscript"/>
          <w:lang w:eastAsia="zh-CN"/>
        </w:rPr>
        <w:t>66</w:t>
      </w:r>
      <w:r w:rsidR="00BA3DAD">
        <w:rPr>
          <w:rFonts w:ascii="Calibri" w:hAnsi="Calibri" w:cs="Arial"/>
          <w:iCs/>
          <w:color w:val="000000" w:themeColor="text1"/>
          <w:sz w:val="21"/>
          <w:szCs w:val="21"/>
          <w:lang w:eastAsia="zh-CN"/>
        </w:rPr>
        <w:fldChar w:fldCharType="end"/>
      </w:r>
      <w:r w:rsidRPr="00C22FE0">
        <w:rPr>
          <w:rFonts w:ascii="Calibri" w:hAnsi="Calibri" w:cs="Arial"/>
          <w:iCs/>
          <w:color w:val="000000" w:themeColor="text1"/>
          <w:sz w:val="21"/>
          <w:szCs w:val="21"/>
          <w:lang w:eastAsia="zh-CN"/>
        </w:rPr>
        <w:t xml:space="preserve"> These outcomes were presented in four categories – remission, minimal response, non-response and deterioration – and were converted to transition probabilities and mapped accordingly to the four health states in our model. Table </w:t>
      </w:r>
      <w:r w:rsidR="00C754B0">
        <w:rPr>
          <w:rFonts w:ascii="Calibri" w:hAnsi="Calibri" w:cs="Arial"/>
          <w:iCs/>
          <w:color w:val="000000" w:themeColor="text1"/>
          <w:sz w:val="21"/>
          <w:szCs w:val="21"/>
          <w:lang w:eastAsia="zh-CN"/>
        </w:rPr>
        <w:t>L1</w:t>
      </w:r>
      <w:r w:rsidRPr="00C22FE0">
        <w:rPr>
          <w:rFonts w:ascii="Calibri" w:hAnsi="Calibri" w:cs="Arial"/>
          <w:iCs/>
          <w:color w:val="000000" w:themeColor="text1"/>
          <w:sz w:val="21"/>
          <w:szCs w:val="21"/>
          <w:lang w:eastAsia="zh-CN"/>
        </w:rPr>
        <w:t xml:space="preserve">.9 presents the transition probabilities used for </w:t>
      </w:r>
      <w:proofErr w:type="spellStart"/>
      <w:r w:rsidRPr="00C22FE0">
        <w:rPr>
          <w:rFonts w:ascii="Calibri" w:hAnsi="Calibri" w:cs="Arial"/>
          <w:iCs/>
          <w:color w:val="000000" w:themeColor="text1"/>
          <w:sz w:val="21"/>
          <w:szCs w:val="21"/>
          <w:lang w:eastAsia="zh-CN"/>
        </w:rPr>
        <w:t>MindSpot</w:t>
      </w:r>
      <w:proofErr w:type="spellEnd"/>
      <w:r w:rsidRPr="00C22FE0">
        <w:rPr>
          <w:rFonts w:ascii="Calibri" w:hAnsi="Calibri" w:cs="Arial"/>
          <w:iCs/>
          <w:color w:val="000000" w:themeColor="text1"/>
          <w:sz w:val="21"/>
          <w:szCs w:val="21"/>
          <w:lang w:eastAsia="zh-CN"/>
        </w:rPr>
        <w:t xml:space="preserve"> in this sensitivity analysis.</w:t>
      </w:r>
    </w:p>
    <w:p w14:paraId="25F6FBB2" w14:textId="77777777" w:rsidR="00C71D57" w:rsidRDefault="00C71D57">
      <w:pPr>
        <w:spacing w:after="200"/>
        <w:rPr>
          <w:rFonts w:ascii="Calibri" w:hAnsi="Calibri" w:cs="Arial"/>
          <w:iCs/>
          <w:color w:val="000000" w:themeColor="text1"/>
          <w:sz w:val="21"/>
          <w:szCs w:val="21"/>
          <w:lang w:eastAsia="zh-CN"/>
        </w:rPr>
      </w:pPr>
      <w:r>
        <w:rPr>
          <w:rFonts w:ascii="Calibri" w:hAnsi="Calibri" w:cs="Arial"/>
          <w:iCs/>
          <w:color w:val="000000" w:themeColor="text1"/>
          <w:sz w:val="21"/>
          <w:szCs w:val="21"/>
          <w:lang w:eastAsia="zh-CN"/>
        </w:rPr>
        <w:br w:type="page"/>
      </w:r>
    </w:p>
    <w:p w14:paraId="3FD66584" w14:textId="77777777" w:rsidR="00C22FE0" w:rsidRPr="00C22FE0" w:rsidRDefault="00C22FE0" w:rsidP="00C71D57">
      <w:pPr>
        <w:spacing w:before="240"/>
        <w:outlineLvl w:val="2"/>
        <w:rPr>
          <w:rFonts w:asciiTheme="minorHAnsi" w:hAnsiTheme="minorHAnsi" w:cstheme="minorHAnsi"/>
          <w:b/>
          <w:bCs/>
          <w:color w:val="2F5496" w:themeColor="accent1" w:themeShade="BF"/>
        </w:rPr>
      </w:pPr>
    </w:p>
    <w:p w14:paraId="1F015E8F" w14:textId="3D2E304E" w:rsidR="00C22FE0" w:rsidRPr="00C22FE0" w:rsidRDefault="00C22FE0" w:rsidP="00C22FE0">
      <w:pPr>
        <w:keepLines/>
        <w:spacing w:after="120"/>
        <w:outlineLvl w:val="2"/>
        <w:rPr>
          <w:rFonts w:asciiTheme="minorHAnsi" w:eastAsiaTheme="majorEastAsia" w:hAnsiTheme="minorHAnsi" w:cstheme="majorBidi"/>
          <w:b/>
          <w:i/>
          <w:color w:val="000000" w:themeColor="text1"/>
          <w:sz w:val="21"/>
          <w:szCs w:val="21"/>
          <w:lang w:val="en-US" w:eastAsia="en-US"/>
        </w:rPr>
      </w:pPr>
      <w:r w:rsidRPr="00C22FE0">
        <w:rPr>
          <w:rFonts w:asciiTheme="minorHAnsi" w:eastAsiaTheme="majorEastAsia" w:hAnsiTheme="minorHAnsi" w:cstheme="majorBidi"/>
          <w:b/>
          <w:color w:val="000000" w:themeColor="text1"/>
          <w:sz w:val="21"/>
          <w:szCs w:val="21"/>
          <w:lang w:val="en-US" w:eastAsia="en-US"/>
        </w:rPr>
        <w:t xml:space="preserve">Table </w:t>
      </w:r>
      <w:r w:rsidR="00C754B0">
        <w:rPr>
          <w:rFonts w:asciiTheme="minorHAnsi" w:eastAsiaTheme="majorEastAsia" w:hAnsiTheme="minorHAnsi" w:cstheme="majorBidi"/>
          <w:b/>
          <w:color w:val="000000" w:themeColor="text1"/>
          <w:sz w:val="21"/>
          <w:szCs w:val="21"/>
          <w:lang w:val="en-US" w:eastAsia="en-US"/>
        </w:rPr>
        <w:t>L1</w:t>
      </w:r>
      <w:r w:rsidRPr="000C7EEC">
        <w:rPr>
          <w:rFonts w:asciiTheme="minorHAnsi" w:eastAsiaTheme="majorEastAsia" w:hAnsiTheme="minorHAnsi" w:cstheme="majorBidi"/>
          <w:b/>
          <w:color w:val="000000" w:themeColor="text1"/>
          <w:sz w:val="21"/>
          <w:szCs w:val="21"/>
          <w:lang w:val="en-US" w:eastAsia="en-US"/>
        </w:rPr>
        <w:t>.</w:t>
      </w:r>
      <w:r w:rsidRPr="00C22FE0">
        <w:rPr>
          <w:rFonts w:asciiTheme="minorHAnsi" w:eastAsiaTheme="majorEastAsia" w:hAnsiTheme="minorHAnsi" w:cstheme="majorBidi"/>
          <w:b/>
          <w:color w:val="000000" w:themeColor="text1"/>
          <w:sz w:val="21"/>
          <w:szCs w:val="21"/>
          <w:lang w:val="en-US" w:eastAsia="en-US"/>
        </w:rPr>
        <w:t xml:space="preserve">9 Transition probabilities of </w:t>
      </w:r>
      <w:proofErr w:type="spellStart"/>
      <w:r w:rsidRPr="00C22FE0">
        <w:rPr>
          <w:rFonts w:asciiTheme="minorHAnsi" w:eastAsiaTheme="majorEastAsia" w:hAnsiTheme="minorHAnsi" w:cstheme="majorBidi"/>
          <w:b/>
          <w:color w:val="000000" w:themeColor="text1"/>
          <w:sz w:val="21"/>
          <w:szCs w:val="21"/>
          <w:lang w:val="en-US" w:eastAsia="en-US"/>
        </w:rPr>
        <w:t>MindSpot</w:t>
      </w:r>
      <w:proofErr w:type="spellEnd"/>
      <w:r w:rsidRPr="00C22FE0">
        <w:rPr>
          <w:rFonts w:asciiTheme="minorHAnsi" w:eastAsiaTheme="majorEastAsia" w:hAnsiTheme="minorHAnsi" w:cstheme="majorBidi"/>
          <w:b/>
          <w:color w:val="000000" w:themeColor="text1"/>
          <w:sz w:val="21"/>
          <w:szCs w:val="21"/>
          <w:lang w:val="en-US" w:eastAsia="en-US"/>
        </w:rPr>
        <w:t xml:space="preserve"> for sensitivity analysis (based on </w:t>
      </w:r>
      <w:proofErr w:type="spellStart"/>
      <w:r w:rsidRPr="00C22FE0">
        <w:rPr>
          <w:rFonts w:asciiTheme="minorHAnsi" w:eastAsiaTheme="majorEastAsia" w:hAnsiTheme="minorHAnsi" w:cstheme="majorBidi"/>
          <w:b/>
          <w:color w:val="000000" w:themeColor="text1"/>
          <w:sz w:val="21"/>
          <w:szCs w:val="21"/>
          <w:lang w:val="en-US" w:eastAsia="en-US"/>
        </w:rPr>
        <w:t>Kayrouz</w:t>
      </w:r>
      <w:proofErr w:type="spellEnd"/>
      <w:r w:rsidRPr="00C22FE0">
        <w:rPr>
          <w:rFonts w:asciiTheme="minorHAnsi" w:eastAsiaTheme="majorEastAsia" w:hAnsiTheme="minorHAnsi" w:cstheme="majorBidi"/>
          <w:b/>
          <w:color w:val="000000" w:themeColor="text1"/>
          <w:sz w:val="21"/>
          <w:szCs w:val="21"/>
          <w:lang w:val="en-US" w:eastAsia="en-US"/>
        </w:rPr>
        <w:t xml:space="preserve"> et al, 2020)</w:t>
      </w:r>
      <w:r w:rsidR="00186C77">
        <w:rPr>
          <w:rFonts w:asciiTheme="minorHAnsi" w:eastAsiaTheme="majorEastAsia" w:hAnsiTheme="minorHAnsi" w:cstheme="majorBidi"/>
          <w:b/>
          <w:color w:val="000000" w:themeColor="text1"/>
          <w:sz w:val="21"/>
          <w:szCs w:val="21"/>
          <w:lang w:val="en-US" w:eastAsia="en-US"/>
        </w:rPr>
        <w:fldChar w:fldCharType="begin"/>
      </w:r>
      <w:r w:rsidR="00186C77">
        <w:rPr>
          <w:rFonts w:asciiTheme="minorHAnsi" w:eastAsiaTheme="majorEastAsia" w:hAnsiTheme="minorHAnsi" w:cstheme="majorBidi"/>
          <w:b/>
          <w:color w:val="000000" w:themeColor="text1"/>
          <w:sz w:val="21"/>
          <w:szCs w:val="21"/>
          <w:lang w:val="en-US" w:eastAsia="en-US"/>
        </w:rPr>
        <w:instrText xml:space="preserve"> ADDIN EN.CITE &lt;EndNote&gt;&lt;Cite&gt;&lt;Author&gt;Kayrouz&lt;/Author&gt;&lt;Year&gt;2020&lt;/Year&gt;&lt;RecNum&gt;137&lt;/RecNum&gt;&lt;DisplayText&gt;&lt;style face="superscript"&gt;66&lt;/style&gt;&lt;/DisplayText&gt;&lt;record&gt;&lt;rec-number&gt;137&lt;/rec-number&gt;&lt;foreign-keys&gt;&lt;key app="EN" db-id="dawtr0zrkrzfa5edzzlpe2we0xa00t90vvr2" timestamp="1650429449"&gt;137&lt;/key&gt;&lt;/foreign-keys&gt;&lt;ref-type name="Journal Article"&gt;17&lt;/ref-type&gt;&lt;contributors&gt;&lt;authors&gt;&lt;author&gt;Kayrouz, Rony&lt;/author&gt;&lt;author&gt;Karin, Eyal&lt;/author&gt;&lt;author&gt;Staples, Lauren G.&lt;/author&gt;&lt;author&gt;Nielssen, Olav&lt;/author&gt;&lt;author&gt;Dear, Blake F.&lt;/author&gt;&lt;author&gt;Titov, Nickolai&lt;/author&gt;&lt;/authors&gt;&lt;/contributors&gt;&lt;titles&gt;&lt;title&gt;A comparison of the characteristics and treatment outcomes of migrant and Australian-born users of a national digital mental health service&lt;/title&gt;&lt;secondary-title&gt;BMC Psychiatry&lt;/secondary-title&gt;&lt;/titles&gt;&lt;periodical&gt;&lt;full-title&gt;BMC Psychiatry&lt;/full-title&gt;&lt;/periodical&gt;&lt;pages&gt;111&lt;/pages&gt;&lt;volume&gt;20&lt;/volume&gt;&lt;number&gt;1&lt;/number&gt;&lt;dates&gt;&lt;year&gt;2020&lt;/year&gt;&lt;pub-dates&gt;&lt;date&gt;2020/03/11&lt;/date&gt;&lt;/pub-dates&gt;&lt;/dates&gt;&lt;isbn&gt;1471-244X&lt;/isbn&gt;&lt;urls&gt;&lt;related-urls&gt;&lt;url&gt;https://doi.org/10.1186/s12888-020-02486-3&lt;/url&gt;&lt;/related-urls&gt;&lt;/urls&gt;&lt;electronic-resource-num&gt;10.1186/s12888-020-02486-3&lt;/electronic-resource-num&gt;&lt;/record&gt;&lt;/Cite&gt;&lt;/EndNote&gt;</w:instrText>
      </w:r>
      <w:r w:rsidR="00186C77">
        <w:rPr>
          <w:rFonts w:asciiTheme="minorHAnsi" w:eastAsiaTheme="majorEastAsia" w:hAnsiTheme="minorHAnsi" w:cstheme="majorBidi"/>
          <w:b/>
          <w:color w:val="000000" w:themeColor="text1"/>
          <w:sz w:val="21"/>
          <w:szCs w:val="21"/>
          <w:lang w:val="en-US" w:eastAsia="en-US"/>
        </w:rPr>
        <w:fldChar w:fldCharType="separate"/>
      </w:r>
      <w:r w:rsidR="00186C77" w:rsidRPr="00186C77">
        <w:rPr>
          <w:rFonts w:asciiTheme="minorHAnsi" w:eastAsiaTheme="majorEastAsia" w:hAnsiTheme="minorHAnsi" w:cstheme="majorBidi"/>
          <w:b/>
          <w:noProof/>
          <w:color w:val="000000" w:themeColor="text1"/>
          <w:sz w:val="21"/>
          <w:szCs w:val="21"/>
          <w:vertAlign w:val="superscript"/>
          <w:lang w:val="en-US" w:eastAsia="en-US"/>
        </w:rPr>
        <w:t>66</w:t>
      </w:r>
      <w:r w:rsidR="00186C77">
        <w:rPr>
          <w:rFonts w:asciiTheme="minorHAnsi" w:eastAsiaTheme="majorEastAsia" w:hAnsiTheme="minorHAnsi" w:cstheme="majorBidi"/>
          <w:b/>
          <w:color w:val="000000" w:themeColor="text1"/>
          <w:sz w:val="21"/>
          <w:szCs w:val="21"/>
          <w:lang w:val="en-US" w:eastAsia="en-US"/>
        </w:rPr>
        <w:fldChar w:fldCharType="end"/>
      </w:r>
    </w:p>
    <w:tbl>
      <w:tblPr>
        <w:tblStyle w:val="PlainTable413"/>
        <w:tblW w:w="4422" w:type="dxa"/>
        <w:tblInd w:w="0" w:type="dxa"/>
        <w:tblBorders>
          <w:top w:val="single" w:sz="8" w:space="0" w:color="auto"/>
          <w:left w:val="single" w:sz="8" w:space="0" w:color="auto"/>
          <w:bottom w:val="single" w:sz="8" w:space="0" w:color="auto"/>
          <w:right w:val="single" w:sz="8" w:space="0" w:color="auto"/>
          <w:insideV w:val="single" w:sz="8" w:space="0" w:color="auto"/>
        </w:tblBorders>
        <w:tblLayout w:type="fixed"/>
        <w:tblLook w:val="04A0" w:firstRow="1" w:lastRow="0" w:firstColumn="1" w:lastColumn="0" w:noHBand="0" w:noVBand="1"/>
        <w:tblCaption w:val="Table L1.9 Transition probabilities of MindSpot for sensitivity analysis (based on Kayrouz et al., 2020)"/>
        <w:tblDescription w:val="A table providing the transition probabilities used for sensitivity analysis of MindSpot, which were based on published outcomes in a previous publication. The transition probabilities are presented for each of the four health states and service pathway. "/>
      </w:tblPr>
      <w:tblGrid>
        <w:gridCol w:w="2897"/>
        <w:gridCol w:w="1525"/>
      </w:tblGrid>
      <w:tr w:rsidR="00C22FE0" w:rsidRPr="00C22FE0" w14:paraId="4100A166" w14:textId="77777777" w:rsidTr="00A56C43">
        <w:trPr>
          <w:cnfStyle w:val="100000000000" w:firstRow="1" w:lastRow="0" w:firstColumn="0" w:lastColumn="0" w:oddVBand="0" w:evenVBand="0" w:oddHBand="0" w:evenHBand="0" w:firstRowFirstColumn="0" w:firstRowLastColumn="0" w:lastRowFirstColumn="0" w:lastRowLastColumn="0"/>
          <w:trHeight w:val="610"/>
          <w:tblHeader/>
        </w:trPr>
        <w:tc>
          <w:tcPr>
            <w:cnfStyle w:val="001000000000" w:firstRow="0" w:lastRow="0" w:firstColumn="1" w:lastColumn="0" w:oddVBand="0" w:evenVBand="0" w:oddHBand="0" w:evenHBand="0" w:firstRowFirstColumn="0" w:firstRowLastColumn="0" w:lastRowFirstColumn="0" w:lastRowLastColumn="0"/>
            <w:tcW w:w="2897" w:type="dxa"/>
            <w:tcBorders>
              <w:top w:val="single" w:sz="8" w:space="0" w:color="auto"/>
              <w:left w:val="single" w:sz="8" w:space="0" w:color="auto"/>
              <w:bottom w:val="nil"/>
              <w:right w:val="single" w:sz="8" w:space="0" w:color="auto"/>
            </w:tcBorders>
            <w:shd w:val="clear" w:color="auto" w:fill="000000" w:themeFill="text1"/>
            <w:noWrap/>
            <w:hideMark/>
          </w:tcPr>
          <w:p w14:paraId="1295531E" w14:textId="77777777" w:rsidR="00C22FE0" w:rsidRPr="00C22FE0" w:rsidRDefault="00C22FE0" w:rsidP="00C22FE0">
            <w:pPr>
              <w:snapToGrid w:val="0"/>
              <w:rPr>
                <w:rFonts w:ascii="Calibri" w:hAnsi="Calibri" w:cs="Calibri"/>
                <w:color w:val="FFFFFF" w:themeColor="background1"/>
                <w:sz w:val="18"/>
                <w:szCs w:val="18"/>
                <w:lang w:eastAsia="en-AU"/>
              </w:rPr>
            </w:pPr>
            <w:r w:rsidRPr="00C22FE0">
              <w:rPr>
                <w:rFonts w:ascii="Calibri" w:hAnsi="Calibri" w:cs="Calibri"/>
                <w:color w:val="FFFFFF" w:themeColor="background1"/>
                <w:sz w:val="18"/>
                <w:szCs w:val="18"/>
                <w:lang w:eastAsia="en-AU"/>
              </w:rPr>
              <w:t>Parameter</w:t>
            </w:r>
          </w:p>
        </w:tc>
        <w:tc>
          <w:tcPr>
            <w:tcW w:w="1525" w:type="dxa"/>
            <w:tcBorders>
              <w:top w:val="single" w:sz="8" w:space="0" w:color="auto"/>
              <w:left w:val="single" w:sz="8" w:space="0" w:color="auto"/>
              <w:bottom w:val="nil"/>
              <w:right w:val="single" w:sz="8" w:space="0" w:color="auto"/>
            </w:tcBorders>
            <w:shd w:val="clear" w:color="auto" w:fill="000000" w:themeFill="text1"/>
          </w:tcPr>
          <w:p w14:paraId="05A25E19"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8"/>
                <w:szCs w:val="18"/>
                <w:lang w:eastAsia="en-AU"/>
              </w:rPr>
            </w:pPr>
            <w:proofErr w:type="spellStart"/>
            <w:r w:rsidRPr="00C22FE0">
              <w:rPr>
                <w:rFonts w:ascii="Calibri" w:hAnsi="Calibri" w:cs="Calibri"/>
                <w:color w:val="FFFFFF" w:themeColor="background1"/>
                <w:sz w:val="18"/>
                <w:szCs w:val="18"/>
                <w:lang w:eastAsia="en-AU"/>
              </w:rPr>
              <w:t>MindSpot</w:t>
            </w:r>
            <w:proofErr w:type="spellEnd"/>
          </w:p>
        </w:tc>
      </w:tr>
      <w:tr w:rsidR="00C22FE0" w:rsidRPr="00C22FE0" w14:paraId="0969E653"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503CA85C"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Self-directed treatment</w:t>
            </w:r>
          </w:p>
        </w:tc>
        <w:tc>
          <w:tcPr>
            <w:tcW w:w="1525" w:type="dxa"/>
            <w:tcBorders>
              <w:top w:val="nil"/>
              <w:left w:val="single" w:sz="8" w:space="0" w:color="auto"/>
              <w:bottom w:val="nil"/>
              <w:right w:val="single" w:sz="8" w:space="0" w:color="auto"/>
            </w:tcBorders>
            <w:shd w:val="clear" w:color="auto" w:fill="auto"/>
          </w:tcPr>
          <w:p w14:paraId="4213B74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r>
      <w:tr w:rsidR="00C22FE0" w:rsidRPr="00C22FE0" w14:paraId="72B1B06F"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3EB5A9FC"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Transition probabilities:</w:t>
            </w:r>
          </w:p>
        </w:tc>
        <w:tc>
          <w:tcPr>
            <w:tcW w:w="1525" w:type="dxa"/>
            <w:tcBorders>
              <w:top w:val="nil"/>
              <w:left w:val="single" w:sz="8" w:space="0" w:color="auto"/>
              <w:bottom w:val="nil"/>
              <w:right w:val="single" w:sz="8" w:space="0" w:color="auto"/>
            </w:tcBorders>
            <w:shd w:val="clear" w:color="auto" w:fill="auto"/>
          </w:tcPr>
          <w:p w14:paraId="5A470C5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r>
      <w:tr w:rsidR="00C22FE0" w:rsidRPr="00C22FE0" w14:paraId="1DB8BA58"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25CA8710"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Fully recovered</w:t>
            </w:r>
          </w:p>
        </w:tc>
        <w:tc>
          <w:tcPr>
            <w:tcW w:w="1525" w:type="dxa"/>
            <w:tcBorders>
              <w:top w:val="nil"/>
              <w:left w:val="single" w:sz="8" w:space="0" w:color="auto"/>
              <w:bottom w:val="nil"/>
              <w:right w:val="single" w:sz="8" w:space="0" w:color="auto"/>
            </w:tcBorders>
            <w:shd w:val="clear" w:color="auto" w:fill="auto"/>
            <w:vAlign w:val="center"/>
          </w:tcPr>
          <w:p w14:paraId="65AC4AA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0.560</w:t>
            </w:r>
          </w:p>
        </w:tc>
      </w:tr>
      <w:tr w:rsidR="00C22FE0" w:rsidRPr="00C22FE0" w14:paraId="4466720A"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52D174FE"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Partially recovered</w:t>
            </w:r>
          </w:p>
        </w:tc>
        <w:tc>
          <w:tcPr>
            <w:tcW w:w="1525" w:type="dxa"/>
            <w:tcBorders>
              <w:top w:val="nil"/>
              <w:left w:val="single" w:sz="8" w:space="0" w:color="auto"/>
              <w:bottom w:val="nil"/>
              <w:right w:val="single" w:sz="8" w:space="0" w:color="auto"/>
            </w:tcBorders>
            <w:shd w:val="clear" w:color="auto" w:fill="auto"/>
            <w:vAlign w:val="center"/>
          </w:tcPr>
          <w:p w14:paraId="488228D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0.190</w:t>
            </w:r>
          </w:p>
        </w:tc>
      </w:tr>
      <w:tr w:rsidR="00C22FE0" w:rsidRPr="00C22FE0" w14:paraId="6E9BD61A"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2931B59D"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No improvement</w:t>
            </w:r>
          </w:p>
        </w:tc>
        <w:tc>
          <w:tcPr>
            <w:tcW w:w="1525" w:type="dxa"/>
            <w:tcBorders>
              <w:top w:val="nil"/>
              <w:left w:val="single" w:sz="8" w:space="0" w:color="auto"/>
              <w:bottom w:val="nil"/>
              <w:right w:val="single" w:sz="8" w:space="0" w:color="auto"/>
            </w:tcBorders>
            <w:shd w:val="clear" w:color="auto" w:fill="auto"/>
            <w:vAlign w:val="center"/>
          </w:tcPr>
          <w:p w14:paraId="7311028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0.210</w:t>
            </w:r>
          </w:p>
        </w:tc>
      </w:tr>
      <w:tr w:rsidR="00C22FE0" w:rsidRPr="00C22FE0" w14:paraId="4F554E47"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6B719F73"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Deteriorated</w:t>
            </w:r>
          </w:p>
        </w:tc>
        <w:tc>
          <w:tcPr>
            <w:tcW w:w="1525" w:type="dxa"/>
            <w:tcBorders>
              <w:top w:val="nil"/>
              <w:left w:val="single" w:sz="8" w:space="0" w:color="auto"/>
              <w:bottom w:val="nil"/>
              <w:right w:val="single" w:sz="8" w:space="0" w:color="auto"/>
            </w:tcBorders>
            <w:shd w:val="clear" w:color="auto" w:fill="auto"/>
            <w:vAlign w:val="center"/>
          </w:tcPr>
          <w:p w14:paraId="00FEF04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r w:rsidRPr="00C22FE0">
              <w:rPr>
                <w:rFonts w:ascii="Calibri" w:hAnsi="Calibri" w:cs="Calibri"/>
                <w:color w:val="000000"/>
                <w:sz w:val="18"/>
                <w:szCs w:val="18"/>
                <w:lang w:eastAsia="en-AU"/>
              </w:rPr>
              <w:t>0.050</w:t>
            </w:r>
          </w:p>
        </w:tc>
      </w:tr>
      <w:tr w:rsidR="00C22FE0" w:rsidRPr="00C22FE0" w14:paraId="5FD8AEB5"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16A8DC41" w14:textId="77777777" w:rsidR="00C22FE0" w:rsidRPr="00C22FE0" w:rsidRDefault="00C22FE0" w:rsidP="00C22FE0">
            <w:pPr>
              <w:snapToGrid w:val="0"/>
              <w:rPr>
                <w:rFonts w:ascii="Calibri" w:hAnsi="Calibri" w:cs="Calibri"/>
                <w:color w:val="000000"/>
                <w:sz w:val="18"/>
                <w:szCs w:val="18"/>
                <w:lang w:eastAsia="en-AU"/>
              </w:rPr>
            </w:pPr>
          </w:p>
        </w:tc>
        <w:tc>
          <w:tcPr>
            <w:tcW w:w="1525" w:type="dxa"/>
            <w:tcBorders>
              <w:top w:val="nil"/>
              <w:left w:val="single" w:sz="8" w:space="0" w:color="auto"/>
              <w:bottom w:val="nil"/>
              <w:right w:val="single" w:sz="8" w:space="0" w:color="auto"/>
            </w:tcBorders>
            <w:shd w:val="clear" w:color="auto" w:fill="auto"/>
            <w:vAlign w:val="center"/>
          </w:tcPr>
          <w:p w14:paraId="67165C1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r>
      <w:tr w:rsidR="00C22FE0" w:rsidRPr="00C22FE0" w14:paraId="493F9FAE"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16B33E5B"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Therapist-supported treatment</w:t>
            </w:r>
          </w:p>
        </w:tc>
        <w:tc>
          <w:tcPr>
            <w:tcW w:w="1525" w:type="dxa"/>
            <w:tcBorders>
              <w:top w:val="nil"/>
              <w:left w:val="single" w:sz="8" w:space="0" w:color="auto"/>
              <w:bottom w:val="nil"/>
              <w:right w:val="single" w:sz="8" w:space="0" w:color="auto"/>
            </w:tcBorders>
            <w:shd w:val="clear" w:color="auto" w:fill="auto"/>
            <w:vAlign w:val="center"/>
          </w:tcPr>
          <w:p w14:paraId="756BF26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AU"/>
              </w:rPr>
            </w:pPr>
          </w:p>
        </w:tc>
      </w:tr>
      <w:tr w:rsidR="00C22FE0" w:rsidRPr="00C22FE0" w14:paraId="7CC0F512"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28DDA1AA"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Transition probabilities:</w:t>
            </w:r>
          </w:p>
        </w:tc>
        <w:tc>
          <w:tcPr>
            <w:tcW w:w="1525" w:type="dxa"/>
            <w:tcBorders>
              <w:top w:val="nil"/>
              <w:left w:val="single" w:sz="8" w:space="0" w:color="auto"/>
              <w:bottom w:val="nil"/>
              <w:right w:val="single" w:sz="8" w:space="0" w:color="auto"/>
            </w:tcBorders>
            <w:shd w:val="clear" w:color="auto" w:fill="auto"/>
            <w:vAlign w:val="center"/>
          </w:tcPr>
          <w:p w14:paraId="598FCD3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AU"/>
              </w:rPr>
            </w:pPr>
          </w:p>
        </w:tc>
      </w:tr>
      <w:tr w:rsidR="00C22FE0" w:rsidRPr="00C22FE0" w14:paraId="29054F01"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1186ACED"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Fully recovered</w:t>
            </w:r>
          </w:p>
        </w:tc>
        <w:tc>
          <w:tcPr>
            <w:tcW w:w="1525" w:type="dxa"/>
            <w:tcBorders>
              <w:top w:val="nil"/>
              <w:left w:val="single" w:sz="8" w:space="0" w:color="auto"/>
              <w:bottom w:val="nil"/>
              <w:right w:val="single" w:sz="8" w:space="0" w:color="auto"/>
            </w:tcBorders>
            <w:shd w:val="clear" w:color="auto" w:fill="auto"/>
            <w:vAlign w:val="center"/>
          </w:tcPr>
          <w:p w14:paraId="76A4BD7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0.560</w:t>
            </w:r>
          </w:p>
        </w:tc>
      </w:tr>
      <w:tr w:rsidR="00C22FE0" w:rsidRPr="00C22FE0" w14:paraId="0C66EF34"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4BB4AC02"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Partially recovered</w:t>
            </w:r>
          </w:p>
        </w:tc>
        <w:tc>
          <w:tcPr>
            <w:tcW w:w="1525" w:type="dxa"/>
            <w:tcBorders>
              <w:top w:val="nil"/>
              <w:left w:val="single" w:sz="8" w:space="0" w:color="auto"/>
              <w:bottom w:val="nil"/>
              <w:right w:val="single" w:sz="8" w:space="0" w:color="auto"/>
            </w:tcBorders>
            <w:shd w:val="clear" w:color="auto" w:fill="auto"/>
            <w:vAlign w:val="center"/>
          </w:tcPr>
          <w:p w14:paraId="6D37AFF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0.190</w:t>
            </w:r>
          </w:p>
        </w:tc>
      </w:tr>
      <w:tr w:rsidR="00C22FE0" w:rsidRPr="00C22FE0" w14:paraId="70855F04"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nil"/>
              <w:right w:val="single" w:sz="8" w:space="0" w:color="auto"/>
            </w:tcBorders>
            <w:shd w:val="clear" w:color="auto" w:fill="auto"/>
            <w:noWrap/>
            <w:vAlign w:val="center"/>
          </w:tcPr>
          <w:p w14:paraId="63F34839"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No improvement</w:t>
            </w:r>
          </w:p>
        </w:tc>
        <w:tc>
          <w:tcPr>
            <w:tcW w:w="1525" w:type="dxa"/>
            <w:tcBorders>
              <w:top w:val="nil"/>
              <w:left w:val="single" w:sz="8" w:space="0" w:color="auto"/>
              <w:bottom w:val="nil"/>
              <w:right w:val="single" w:sz="8" w:space="0" w:color="auto"/>
            </w:tcBorders>
            <w:shd w:val="clear" w:color="auto" w:fill="auto"/>
            <w:vAlign w:val="center"/>
          </w:tcPr>
          <w:p w14:paraId="0726A49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0.210</w:t>
            </w:r>
          </w:p>
        </w:tc>
      </w:tr>
      <w:tr w:rsidR="00C22FE0" w:rsidRPr="00C22FE0" w14:paraId="408D2E2F"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897" w:type="dxa"/>
            <w:tcBorders>
              <w:top w:val="nil"/>
              <w:left w:val="single" w:sz="8" w:space="0" w:color="auto"/>
              <w:bottom w:val="single" w:sz="4" w:space="0" w:color="auto"/>
              <w:right w:val="single" w:sz="8" w:space="0" w:color="auto"/>
            </w:tcBorders>
            <w:shd w:val="clear" w:color="auto" w:fill="auto"/>
            <w:noWrap/>
            <w:vAlign w:val="center"/>
          </w:tcPr>
          <w:p w14:paraId="479B09B3" w14:textId="77777777" w:rsidR="00C22FE0" w:rsidRPr="00C22FE0" w:rsidRDefault="00C22FE0" w:rsidP="00C22FE0">
            <w:pPr>
              <w:snapToGrid w:val="0"/>
              <w:rPr>
                <w:rFonts w:ascii="Calibri" w:hAnsi="Calibri" w:cs="Calibri"/>
                <w:color w:val="000000"/>
                <w:sz w:val="18"/>
                <w:szCs w:val="18"/>
                <w:lang w:eastAsia="en-AU"/>
              </w:rPr>
            </w:pPr>
            <w:r w:rsidRPr="00C22FE0">
              <w:rPr>
                <w:rFonts w:ascii="Calibri" w:hAnsi="Calibri" w:cs="Calibri"/>
                <w:color w:val="000000"/>
                <w:sz w:val="18"/>
                <w:szCs w:val="18"/>
                <w:lang w:eastAsia="en-AU"/>
              </w:rPr>
              <w:t xml:space="preserve">          Deteriorated</w:t>
            </w:r>
          </w:p>
        </w:tc>
        <w:tc>
          <w:tcPr>
            <w:tcW w:w="1525" w:type="dxa"/>
            <w:tcBorders>
              <w:top w:val="nil"/>
              <w:left w:val="single" w:sz="8" w:space="0" w:color="auto"/>
              <w:bottom w:val="single" w:sz="4" w:space="0" w:color="auto"/>
              <w:right w:val="single" w:sz="8" w:space="0" w:color="auto"/>
            </w:tcBorders>
            <w:shd w:val="clear" w:color="auto" w:fill="auto"/>
            <w:vAlign w:val="center"/>
          </w:tcPr>
          <w:p w14:paraId="21CFEB9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18"/>
                <w:szCs w:val="18"/>
                <w:lang w:eastAsia="en-AU"/>
              </w:rPr>
            </w:pPr>
            <w:r w:rsidRPr="00C22FE0">
              <w:rPr>
                <w:rFonts w:ascii="Calibri" w:hAnsi="Calibri" w:cs="Calibri"/>
                <w:color w:val="000000"/>
                <w:sz w:val="18"/>
                <w:szCs w:val="18"/>
                <w:lang w:eastAsia="en-AU"/>
              </w:rPr>
              <w:t>0.050</w:t>
            </w:r>
          </w:p>
        </w:tc>
      </w:tr>
    </w:tbl>
    <w:p w14:paraId="03319B5E" w14:textId="794BA6F0" w:rsidR="00045050" w:rsidRDefault="00045050" w:rsidP="00C22FE0">
      <w:pPr>
        <w:outlineLvl w:val="2"/>
        <w:rPr>
          <w:rFonts w:asciiTheme="minorHAnsi" w:hAnsiTheme="minorHAnsi" w:cstheme="minorHAnsi"/>
          <w:b/>
          <w:bCs/>
          <w:color w:val="2F5496" w:themeColor="accent1" w:themeShade="BF"/>
        </w:rPr>
      </w:pPr>
    </w:p>
    <w:p w14:paraId="4583125F" w14:textId="77777777" w:rsidR="00045050" w:rsidRDefault="00045050">
      <w:pPr>
        <w:spacing w:after="200"/>
        <w:rPr>
          <w:rFonts w:asciiTheme="minorHAnsi" w:hAnsiTheme="minorHAnsi" w:cstheme="minorHAnsi"/>
          <w:b/>
          <w:bCs/>
          <w:color w:val="2F5496" w:themeColor="accent1" w:themeShade="BF"/>
        </w:rPr>
      </w:pPr>
      <w:r>
        <w:rPr>
          <w:rFonts w:asciiTheme="minorHAnsi" w:hAnsiTheme="minorHAnsi" w:cstheme="minorHAnsi"/>
          <w:b/>
          <w:bCs/>
          <w:color w:val="2F5496" w:themeColor="accent1" w:themeShade="BF"/>
        </w:rPr>
        <w:br w:type="page"/>
      </w:r>
    </w:p>
    <w:p w14:paraId="212213E8" w14:textId="603C6CE6" w:rsidR="00C22FE0" w:rsidRPr="00C22FE0" w:rsidRDefault="00C754B0" w:rsidP="00C22FE0">
      <w:pPr>
        <w:outlineLvl w:val="2"/>
        <w:rPr>
          <w:rFonts w:asciiTheme="minorHAnsi" w:hAnsiTheme="minorHAnsi" w:cstheme="minorHAnsi"/>
          <w:b/>
          <w:bCs/>
          <w:color w:val="2F5496" w:themeColor="accent1" w:themeShade="BF"/>
        </w:rPr>
      </w:pPr>
      <w:r>
        <w:rPr>
          <w:rFonts w:asciiTheme="minorHAnsi" w:hAnsiTheme="minorHAnsi" w:cstheme="minorHAnsi"/>
          <w:b/>
          <w:bCs/>
          <w:color w:val="2F5496" w:themeColor="accent1" w:themeShade="BF"/>
        </w:rPr>
        <w:lastRenderedPageBreak/>
        <w:t>L4</w:t>
      </w:r>
      <w:r w:rsidR="00C22FE0" w:rsidRPr="00C22FE0">
        <w:rPr>
          <w:rFonts w:asciiTheme="minorHAnsi" w:hAnsiTheme="minorHAnsi" w:cstheme="minorHAnsi"/>
          <w:b/>
          <w:bCs/>
          <w:color w:val="2F5496" w:themeColor="accent1" w:themeShade="BF"/>
        </w:rPr>
        <w:t>. Results of sensitivity analysis</w:t>
      </w:r>
    </w:p>
    <w:p w14:paraId="33626BF3" w14:textId="4AFDFA4D" w:rsidR="00C22FE0" w:rsidRPr="00C22FE0" w:rsidRDefault="00C22FE0" w:rsidP="00C22FE0">
      <w:pPr>
        <w:keepLines/>
        <w:spacing w:after="120"/>
        <w:outlineLvl w:val="2"/>
        <w:rPr>
          <w:rFonts w:asciiTheme="minorHAnsi" w:eastAsiaTheme="majorEastAsia" w:hAnsiTheme="minorHAnsi" w:cstheme="majorBidi"/>
          <w:b/>
          <w:color w:val="000000" w:themeColor="text1"/>
          <w:sz w:val="21"/>
          <w:szCs w:val="21"/>
          <w:lang w:val="en-US" w:eastAsia="en-US"/>
        </w:rPr>
      </w:pPr>
      <w:r w:rsidRPr="00C22FE0">
        <w:rPr>
          <w:rFonts w:asciiTheme="minorHAnsi" w:eastAsiaTheme="majorEastAsia" w:hAnsiTheme="minorHAnsi" w:cstheme="majorBidi"/>
          <w:b/>
          <w:color w:val="000000" w:themeColor="text1"/>
          <w:sz w:val="21"/>
          <w:szCs w:val="21"/>
          <w:lang w:val="en-US" w:eastAsia="en-US"/>
        </w:rPr>
        <w:t xml:space="preserve">Table </w:t>
      </w:r>
      <w:r w:rsidR="00C754B0">
        <w:rPr>
          <w:rFonts w:asciiTheme="minorHAnsi" w:eastAsiaTheme="majorEastAsia" w:hAnsiTheme="minorHAnsi" w:cstheme="majorBidi"/>
          <w:b/>
          <w:color w:val="000000" w:themeColor="text1"/>
          <w:sz w:val="21"/>
          <w:szCs w:val="21"/>
          <w:lang w:val="en-US" w:eastAsia="en-US"/>
        </w:rPr>
        <w:t>L2</w:t>
      </w:r>
      <w:r w:rsidRPr="00045050">
        <w:rPr>
          <w:rFonts w:asciiTheme="minorHAnsi" w:eastAsiaTheme="majorEastAsia" w:hAnsiTheme="minorHAnsi" w:cstheme="majorBidi"/>
          <w:b/>
          <w:color w:val="000000" w:themeColor="text1"/>
          <w:sz w:val="21"/>
          <w:szCs w:val="21"/>
          <w:lang w:val="en-US" w:eastAsia="en-US"/>
        </w:rPr>
        <w:t>.</w:t>
      </w:r>
      <w:r w:rsidRPr="00C22FE0">
        <w:rPr>
          <w:rFonts w:asciiTheme="minorHAnsi" w:eastAsiaTheme="majorEastAsia" w:hAnsiTheme="minorHAnsi" w:cstheme="majorBidi"/>
          <w:b/>
          <w:color w:val="000000" w:themeColor="text1"/>
          <w:sz w:val="21"/>
          <w:szCs w:val="21"/>
          <w:lang w:val="en-US" w:eastAsia="en-US"/>
        </w:rPr>
        <w:t>1 Results of economic modelling for Mental Health Online (utility values based on GAD-7 cut-off points)</w:t>
      </w:r>
    </w:p>
    <w:tbl>
      <w:tblPr>
        <w:tblStyle w:val="PlainTable413"/>
        <w:tblW w:w="9629" w:type="dxa"/>
        <w:tblInd w:w="0" w:type="dxa"/>
        <w:tblBorders>
          <w:top w:val="single" w:sz="8" w:space="0" w:color="auto"/>
          <w:left w:val="single" w:sz="8" w:space="0" w:color="auto"/>
          <w:bottom w:val="single" w:sz="8" w:space="0" w:color="auto"/>
          <w:right w:val="single" w:sz="8" w:space="0" w:color="auto"/>
          <w:insideV w:val="single" w:sz="8" w:space="0" w:color="auto"/>
        </w:tblBorders>
        <w:tblLayout w:type="fixed"/>
        <w:tblLook w:val="04A0" w:firstRow="1" w:lastRow="0" w:firstColumn="1" w:lastColumn="0" w:noHBand="0" w:noVBand="1"/>
        <w:tblCaption w:val="Table L2.1 Results of economic modelling for Mental Health Online (utility values based on GAD-7 cut-off points)"/>
        <w:tblDescription w:val="A table presenting the economic modelling results for Mental Health Online in comparison to all indirect comparator groups. This is a sensitivity analysis conducted by using the utility values based on Generalized Anxiety Disorder 7 cut-off points. The results include the numbers of input population, fully recovered, partially recovered, no improvement, deteriorated, quality-adjusted life years, total costs including and excluding productivity losses and costs per quality-adjusted life years gained. Items were presented by self-directed treatment and therapist-supported treatment."/>
      </w:tblPr>
      <w:tblGrid>
        <w:gridCol w:w="1833"/>
        <w:gridCol w:w="1113"/>
        <w:gridCol w:w="1114"/>
        <w:gridCol w:w="1114"/>
        <w:gridCol w:w="1113"/>
        <w:gridCol w:w="1114"/>
        <w:gridCol w:w="1114"/>
        <w:gridCol w:w="1114"/>
      </w:tblGrid>
      <w:tr w:rsidR="00C22FE0" w:rsidRPr="00C22FE0" w14:paraId="1D9D4FFD" w14:textId="77777777" w:rsidTr="00A56C43">
        <w:trPr>
          <w:cnfStyle w:val="100000000000" w:firstRow="1" w:lastRow="0" w:firstColumn="0" w:lastColumn="0" w:oddVBand="0" w:evenVBand="0" w:oddHBand="0" w:evenHBand="0" w:firstRowFirstColumn="0" w:firstRowLastColumn="0" w:lastRowFirstColumn="0" w:lastRowLastColumn="0"/>
          <w:trHeight w:val="969"/>
          <w:tblHeader/>
        </w:trPr>
        <w:tc>
          <w:tcPr>
            <w:cnfStyle w:val="001000000000" w:firstRow="0" w:lastRow="0" w:firstColumn="1" w:lastColumn="0" w:oddVBand="0" w:evenVBand="0" w:oddHBand="0" w:evenHBand="0" w:firstRowFirstColumn="0" w:firstRowLastColumn="0" w:lastRowFirstColumn="0" w:lastRowLastColumn="0"/>
            <w:tcW w:w="1833" w:type="dxa"/>
            <w:tcBorders>
              <w:top w:val="single" w:sz="8" w:space="0" w:color="auto"/>
              <w:left w:val="single" w:sz="8" w:space="0" w:color="auto"/>
              <w:bottom w:val="nil"/>
              <w:right w:val="single" w:sz="8" w:space="0" w:color="auto"/>
            </w:tcBorders>
            <w:shd w:val="clear" w:color="auto" w:fill="000000" w:themeFill="text1"/>
            <w:noWrap/>
            <w:vAlign w:val="center"/>
            <w:hideMark/>
          </w:tcPr>
          <w:p w14:paraId="61D40A63" w14:textId="77777777" w:rsidR="00C22FE0" w:rsidRPr="00C22FE0" w:rsidRDefault="00C22FE0" w:rsidP="00C22FE0">
            <w:pPr>
              <w:snapToGrid w:val="0"/>
              <w:rPr>
                <w:rFonts w:ascii="Calibri" w:hAnsi="Calibri" w:cs="Calibri"/>
                <w:color w:val="FFFFFF" w:themeColor="background1"/>
                <w:sz w:val="18"/>
                <w:szCs w:val="18"/>
                <w:lang w:eastAsia="en-AU"/>
              </w:rPr>
            </w:pPr>
          </w:p>
        </w:tc>
        <w:tc>
          <w:tcPr>
            <w:tcW w:w="1113" w:type="dxa"/>
            <w:tcBorders>
              <w:top w:val="single" w:sz="8" w:space="0" w:color="auto"/>
              <w:left w:val="single" w:sz="8" w:space="0" w:color="auto"/>
              <w:right w:val="single" w:sz="8" w:space="0" w:color="auto"/>
            </w:tcBorders>
            <w:shd w:val="clear" w:color="auto" w:fill="000000" w:themeFill="text1"/>
            <w:vAlign w:val="center"/>
          </w:tcPr>
          <w:p w14:paraId="1E9F7240"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Mental Health Online</w:t>
            </w:r>
          </w:p>
        </w:tc>
        <w:tc>
          <w:tcPr>
            <w:tcW w:w="1114" w:type="dxa"/>
            <w:tcBorders>
              <w:top w:val="single" w:sz="8" w:space="0" w:color="auto"/>
              <w:left w:val="single" w:sz="8" w:space="0" w:color="auto"/>
              <w:right w:val="single" w:sz="8" w:space="0" w:color="auto"/>
            </w:tcBorders>
            <w:shd w:val="clear" w:color="auto" w:fill="000000" w:themeFill="text1"/>
            <w:vAlign w:val="center"/>
          </w:tcPr>
          <w:p w14:paraId="65EEC582"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Indirect comparator: Link-me</w:t>
            </w:r>
          </w:p>
          <w:p w14:paraId="141BF847"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w:t>
            </w:r>
            <w:proofErr w:type="gramStart"/>
            <w:r w:rsidRPr="00C22FE0">
              <w:rPr>
                <w:rFonts w:ascii="Calibri" w:hAnsi="Calibri" w:cs="Calibri"/>
                <w:color w:val="FFFFFF" w:themeColor="background1"/>
                <w:sz w:val="16"/>
                <w:szCs w:val="16"/>
                <w:lang w:eastAsia="en-AU"/>
              </w:rPr>
              <w:t>all</w:t>
            </w:r>
            <w:proofErr w:type="gramEnd"/>
            <w:r w:rsidRPr="00C22FE0">
              <w:rPr>
                <w:rFonts w:ascii="Calibri" w:hAnsi="Calibri" w:cs="Calibri"/>
                <w:color w:val="FFFFFF" w:themeColor="background1"/>
                <w:sz w:val="16"/>
                <w:szCs w:val="16"/>
                <w:lang w:eastAsia="en-AU"/>
              </w:rPr>
              <w:t xml:space="preserve"> participants)</w:t>
            </w:r>
          </w:p>
        </w:tc>
        <w:tc>
          <w:tcPr>
            <w:tcW w:w="1114" w:type="dxa"/>
            <w:tcBorders>
              <w:top w:val="single" w:sz="8" w:space="0" w:color="auto"/>
              <w:left w:val="single" w:sz="8" w:space="0" w:color="auto"/>
              <w:right w:val="single" w:sz="8" w:space="0" w:color="auto"/>
            </w:tcBorders>
            <w:shd w:val="clear" w:color="auto" w:fill="000000" w:themeFill="text1"/>
            <w:vAlign w:val="center"/>
          </w:tcPr>
          <w:p w14:paraId="10106C6D"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Indirect comparator: Target-D</w:t>
            </w:r>
          </w:p>
          <w:p w14:paraId="611C40A7"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w:t>
            </w:r>
            <w:proofErr w:type="gramStart"/>
            <w:r w:rsidRPr="00C22FE0">
              <w:rPr>
                <w:rFonts w:ascii="Calibri" w:hAnsi="Calibri" w:cs="Calibri"/>
                <w:color w:val="FFFFFF" w:themeColor="background1"/>
                <w:sz w:val="16"/>
                <w:szCs w:val="16"/>
                <w:lang w:eastAsia="en-AU"/>
              </w:rPr>
              <w:t>all</w:t>
            </w:r>
            <w:proofErr w:type="gramEnd"/>
            <w:r w:rsidRPr="00C22FE0">
              <w:rPr>
                <w:rFonts w:ascii="Calibri" w:hAnsi="Calibri" w:cs="Calibri"/>
                <w:color w:val="FFFFFF" w:themeColor="background1"/>
                <w:sz w:val="16"/>
                <w:szCs w:val="16"/>
                <w:lang w:eastAsia="en-AU"/>
              </w:rPr>
              <w:t xml:space="preserve"> participants)</w:t>
            </w:r>
          </w:p>
        </w:tc>
        <w:tc>
          <w:tcPr>
            <w:tcW w:w="1113" w:type="dxa"/>
            <w:tcBorders>
              <w:top w:val="single" w:sz="8" w:space="0" w:color="auto"/>
              <w:left w:val="single" w:sz="8" w:space="0" w:color="auto"/>
              <w:right w:val="single" w:sz="8" w:space="0" w:color="auto"/>
            </w:tcBorders>
            <w:shd w:val="clear" w:color="auto" w:fill="000000" w:themeFill="text1"/>
            <w:vAlign w:val="center"/>
          </w:tcPr>
          <w:p w14:paraId="13E92335"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Indirect comparator: Link-me (minimal/ mild group)</w:t>
            </w:r>
          </w:p>
        </w:tc>
        <w:tc>
          <w:tcPr>
            <w:tcW w:w="1114" w:type="dxa"/>
            <w:tcBorders>
              <w:top w:val="single" w:sz="8" w:space="0" w:color="auto"/>
              <w:left w:val="single" w:sz="8" w:space="0" w:color="auto"/>
              <w:bottom w:val="nil"/>
              <w:right w:val="single" w:sz="8" w:space="0" w:color="auto"/>
            </w:tcBorders>
            <w:shd w:val="clear" w:color="auto" w:fill="000000" w:themeFill="text1"/>
            <w:vAlign w:val="center"/>
          </w:tcPr>
          <w:p w14:paraId="71F8683D"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Indirect comparator: Target-D (minimal/ mild group)</w:t>
            </w:r>
          </w:p>
        </w:tc>
        <w:tc>
          <w:tcPr>
            <w:tcW w:w="1114" w:type="dxa"/>
            <w:tcBorders>
              <w:top w:val="single" w:sz="8" w:space="0" w:color="auto"/>
              <w:left w:val="single" w:sz="8" w:space="0" w:color="auto"/>
              <w:bottom w:val="nil"/>
              <w:right w:val="single" w:sz="8" w:space="0" w:color="auto"/>
            </w:tcBorders>
            <w:shd w:val="clear" w:color="auto" w:fill="000000" w:themeFill="text1"/>
            <w:vAlign w:val="center"/>
          </w:tcPr>
          <w:p w14:paraId="61C3F102"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Indirect comparator: Link-me (severe group)</w:t>
            </w:r>
          </w:p>
        </w:tc>
        <w:tc>
          <w:tcPr>
            <w:tcW w:w="1114" w:type="dxa"/>
            <w:tcBorders>
              <w:top w:val="single" w:sz="8" w:space="0" w:color="auto"/>
              <w:left w:val="single" w:sz="8" w:space="0" w:color="auto"/>
              <w:bottom w:val="nil"/>
              <w:right w:val="single" w:sz="8" w:space="0" w:color="auto"/>
            </w:tcBorders>
            <w:shd w:val="clear" w:color="auto" w:fill="000000" w:themeFill="text1"/>
            <w:vAlign w:val="center"/>
          </w:tcPr>
          <w:p w14:paraId="3501B584"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Indirect comparator: Target-D (severe group)</w:t>
            </w:r>
          </w:p>
        </w:tc>
      </w:tr>
      <w:tr w:rsidR="00C22FE0" w:rsidRPr="00C22FE0" w14:paraId="78179E77"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371257E1"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Self-directed </w:t>
            </w:r>
            <w:proofErr w:type="spellStart"/>
            <w:r w:rsidRPr="00C22FE0">
              <w:rPr>
                <w:rFonts w:ascii="Calibri" w:hAnsi="Calibri" w:cs="Calibri"/>
                <w:color w:val="000000"/>
                <w:sz w:val="16"/>
                <w:szCs w:val="16"/>
                <w:lang w:eastAsia="en-AU"/>
              </w:rPr>
              <w:t>treatment</w:t>
            </w:r>
            <w:r w:rsidRPr="00C22FE0">
              <w:rPr>
                <w:rFonts w:asciiTheme="minorHAnsi" w:hAnsiTheme="minorHAnsi" w:cstheme="minorHAnsi"/>
                <w:sz w:val="16"/>
                <w:szCs w:val="16"/>
                <w:vertAlign w:val="superscript"/>
                <w:lang w:eastAsia="en-US"/>
              </w:rPr>
              <w:t>a</w:t>
            </w:r>
            <w:proofErr w:type="spellEnd"/>
          </w:p>
        </w:tc>
        <w:tc>
          <w:tcPr>
            <w:tcW w:w="1113" w:type="dxa"/>
            <w:tcBorders>
              <w:top w:val="nil"/>
              <w:left w:val="single" w:sz="8" w:space="0" w:color="auto"/>
              <w:bottom w:val="nil"/>
              <w:right w:val="single" w:sz="8" w:space="0" w:color="auto"/>
            </w:tcBorders>
            <w:shd w:val="clear" w:color="auto" w:fill="auto"/>
            <w:vAlign w:val="center"/>
          </w:tcPr>
          <w:p w14:paraId="55C22AB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14ED1EA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67BE79C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1153E56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5A95374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2977615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63DEDED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r>
      <w:tr w:rsidR="00C22FE0" w:rsidRPr="00C22FE0" w14:paraId="1C049E0D"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3D273C8F"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Input population (n)</w:t>
            </w:r>
          </w:p>
        </w:tc>
        <w:tc>
          <w:tcPr>
            <w:tcW w:w="1113" w:type="dxa"/>
            <w:tcBorders>
              <w:top w:val="nil"/>
              <w:left w:val="single" w:sz="8" w:space="0" w:color="auto"/>
              <w:bottom w:val="nil"/>
              <w:right w:val="single" w:sz="8" w:space="0" w:color="auto"/>
            </w:tcBorders>
            <w:shd w:val="clear" w:color="auto" w:fill="auto"/>
            <w:vAlign w:val="center"/>
          </w:tcPr>
          <w:p w14:paraId="254B013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7,354</w:t>
            </w:r>
          </w:p>
        </w:tc>
        <w:tc>
          <w:tcPr>
            <w:tcW w:w="1114" w:type="dxa"/>
            <w:tcBorders>
              <w:top w:val="nil"/>
              <w:left w:val="single" w:sz="8" w:space="0" w:color="auto"/>
              <w:bottom w:val="nil"/>
              <w:right w:val="single" w:sz="8" w:space="0" w:color="auto"/>
            </w:tcBorders>
            <w:shd w:val="clear" w:color="auto" w:fill="auto"/>
            <w:vAlign w:val="center"/>
          </w:tcPr>
          <w:p w14:paraId="497A1E2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7,354</w:t>
            </w:r>
          </w:p>
        </w:tc>
        <w:tc>
          <w:tcPr>
            <w:tcW w:w="1114" w:type="dxa"/>
            <w:tcBorders>
              <w:top w:val="nil"/>
              <w:left w:val="single" w:sz="8" w:space="0" w:color="auto"/>
              <w:bottom w:val="nil"/>
              <w:right w:val="single" w:sz="8" w:space="0" w:color="auto"/>
            </w:tcBorders>
            <w:shd w:val="clear" w:color="auto" w:fill="auto"/>
            <w:vAlign w:val="center"/>
          </w:tcPr>
          <w:p w14:paraId="6CE2A39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7,354</w:t>
            </w:r>
          </w:p>
        </w:tc>
        <w:tc>
          <w:tcPr>
            <w:tcW w:w="1113" w:type="dxa"/>
            <w:tcBorders>
              <w:top w:val="nil"/>
              <w:left w:val="single" w:sz="8" w:space="0" w:color="auto"/>
              <w:bottom w:val="nil"/>
              <w:right w:val="single" w:sz="8" w:space="0" w:color="auto"/>
            </w:tcBorders>
            <w:shd w:val="clear" w:color="auto" w:fill="auto"/>
            <w:vAlign w:val="center"/>
          </w:tcPr>
          <w:p w14:paraId="4DAABC4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7,354</w:t>
            </w:r>
          </w:p>
        </w:tc>
        <w:tc>
          <w:tcPr>
            <w:tcW w:w="1114" w:type="dxa"/>
            <w:tcBorders>
              <w:top w:val="nil"/>
              <w:left w:val="single" w:sz="8" w:space="0" w:color="auto"/>
              <w:bottom w:val="nil"/>
              <w:right w:val="single" w:sz="8" w:space="0" w:color="auto"/>
            </w:tcBorders>
            <w:shd w:val="clear" w:color="auto" w:fill="auto"/>
            <w:vAlign w:val="center"/>
          </w:tcPr>
          <w:p w14:paraId="2A05191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7,354</w:t>
            </w:r>
          </w:p>
        </w:tc>
        <w:tc>
          <w:tcPr>
            <w:tcW w:w="1114" w:type="dxa"/>
            <w:tcBorders>
              <w:top w:val="nil"/>
              <w:left w:val="single" w:sz="8" w:space="0" w:color="auto"/>
              <w:bottom w:val="nil"/>
              <w:right w:val="single" w:sz="8" w:space="0" w:color="auto"/>
            </w:tcBorders>
            <w:shd w:val="clear" w:color="auto" w:fill="auto"/>
            <w:vAlign w:val="center"/>
          </w:tcPr>
          <w:p w14:paraId="20A0CE3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7,354</w:t>
            </w:r>
          </w:p>
        </w:tc>
        <w:tc>
          <w:tcPr>
            <w:tcW w:w="1114" w:type="dxa"/>
            <w:tcBorders>
              <w:top w:val="nil"/>
              <w:left w:val="single" w:sz="8" w:space="0" w:color="auto"/>
              <w:bottom w:val="nil"/>
              <w:right w:val="single" w:sz="8" w:space="0" w:color="auto"/>
            </w:tcBorders>
            <w:shd w:val="clear" w:color="auto" w:fill="auto"/>
            <w:vAlign w:val="center"/>
          </w:tcPr>
          <w:p w14:paraId="5413F0A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7,354</w:t>
            </w:r>
          </w:p>
        </w:tc>
      </w:tr>
      <w:tr w:rsidR="00C22FE0" w:rsidRPr="00C22FE0" w14:paraId="5E06E283"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78300899"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Fully recovered (n)</w:t>
            </w:r>
          </w:p>
        </w:tc>
        <w:tc>
          <w:tcPr>
            <w:tcW w:w="1113" w:type="dxa"/>
            <w:tcBorders>
              <w:top w:val="nil"/>
              <w:left w:val="single" w:sz="8" w:space="0" w:color="auto"/>
              <w:bottom w:val="nil"/>
              <w:right w:val="single" w:sz="8" w:space="0" w:color="auto"/>
            </w:tcBorders>
            <w:shd w:val="clear" w:color="auto" w:fill="auto"/>
            <w:vAlign w:val="center"/>
          </w:tcPr>
          <w:p w14:paraId="65C6D86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3,111</w:t>
            </w:r>
          </w:p>
        </w:tc>
        <w:tc>
          <w:tcPr>
            <w:tcW w:w="1114" w:type="dxa"/>
            <w:tcBorders>
              <w:top w:val="nil"/>
              <w:left w:val="single" w:sz="8" w:space="0" w:color="auto"/>
              <w:bottom w:val="nil"/>
              <w:right w:val="single" w:sz="8" w:space="0" w:color="auto"/>
            </w:tcBorders>
            <w:shd w:val="clear" w:color="auto" w:fill="auto"/>
            <w:vAlign w:val="center"/>
          </w:tcPr>
          <w:p w14:paraId="1868ED5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816</w:t>
            </w:r>
          </w:p>
        </w:tc>
        <w:tc>
          <w:tcPr>
            <w:tcW w:w="1114" w:type="dxa"/>
            <w:tcBorders>
              <w:top w:val="nil"/>
              <w:left w:val="single" w:sz="8" w:space="0" w:color="auto"/>
              <w:bottom w:val="nil"/>
              <w:right w:val="single" w:sz="8" w:space="0" w:color="auto"/>
            </w:tcBorders>
            <w:shd w:val="clear" w:color="auto" w:fill="auto"/>
            <w:vAlign w:val="center"/>
          </w:tcPr>
          <w:p w14:paraId="0C65069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816</w:t>
            </w:r>
          </w:p>
        </w:tc>
        <w:tc>
          <w:tcPr>
            <w:tcW w:w="1113" w:type="dxa"/>
            <w:tcBorders>
              <w:top w:val="nil"/>
              <w:left w:val="single" w:sz="8" w:space="0" w:color="auto"/>
              <w:bottom w:val="nil"/>
              <w:right w:val="single" w:sz="8" w:space="0" w:color="auto"/>
            </w:tcBorders>
            <w:shd w:val="clear" w:color="auto" w:fill="auto"/>
            <w:vAlign w:val="center"/>
          </w:tcPr>
          <w:p w14:paraId="1ABB3B6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816</w:t>
            </w:r>
          </w:p>
        </w:tc>
        <w:tc>
          <w:tcPr>
            <w:tcW w:w="1114" w:type="dxa"/>
            <w:tcBorders>
              <w:top w:val="nil"/>
              <w:left w:val="single" w:sz="8" w:space="0" w:color="auto"/>
              <w:bottom w:val="nil"/>
              <w:right w:val="single" w:sz="8" w:space="0" w:color="auto"/>
            </w:tcBorders>
            <w:shd w:val="clear" w:color="auto" w:fill="auto"/>
            <w:vAlign w:val="center"/>
          </w:tcPr>
          <w:p w14:paraId="1BE2C91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816</w:t>
            </w:r>
          </w:p>
        </w:tc>
        <w:tc>
          <w:tcPr>
            <w:tcW w:w="1114" w:type="dxa"/>
            <w:tcBorders>
              <w:top w:val="nil"/>
              <w:left w:val="single" w:sz="8" w:space="0" w:color="auto"/>
              <w:bottom w:val="nil"/>
              <w:right w:val="single" w:sz="8" w:space="0" w:color="auto"/>
            </w:tcBorders>
            <w:shd w:val="clear" w:color="auto" w:fill="auto"/>
            <w:vAlign w:val="center"/>
          </w:tcPr>
          <w:p w14:paraId="664A508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816</w:t>
            </w:r>
          </w:p>
        </w:tc>
        <w:tc>
          <w:tcPr>
            <w:tcW w:w="1114" w:type="dxa"/>
            <w:tcBorders>
              <w:top w:val="nil"/>
              <w:left w:val="single" w:sz="8" w:space="0" w:color="auto"/>
              <w:bottom w:val="nil"/>
              <w:right w:val="single" w:sz="8" w:space="0" w:color="auto"/>
            </w:tcBorders>
            <w:shd w:val="clear" w:color="auto" w:fill="auto"/>
            <w:vAlign w:val="center"/>
          </w:tcPr>
          <w:p w14:paraId="4C01041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816</w:t>
            </w:r>
          </w:p>
        </w:tc>
      </w:tr>
      <w:tr w:rsidR="00C22FE0" w:rsidRPr="00C22FE0" w14:paraId="4A69AED4"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492C949B"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Partially recovered (n)</w:t>
            </w:r>
          </w:p>
        </w:tc>
        <w:tc>
          <w:tcPr>
            <w:tcW w:w="1113" w:type="dxa"/>
            <w:tcBorders>
              <w:top w:val="nil"/>
              <w:left w:val="single" w:sz="8" w:space="0" w:color="auto"/>
              <w:bottom w:val="nil"/>
              <w:right w:val="single" w:sz="8" w:space="0" w:color="auto"/>
            </w:tcBorders>
            <w:shd w:val="clear" w:color="auto" w:fill="auto"/>
            <w:vAlign w:val="center"/>
          </w:tcPr>
          <w:p w14:paraId="4E4DD00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1,338</w:t>
            </w:r>
          </w:p>
        </w:tc>
        <w:tc>
          <w:tcPr>
            <w:tcW w:w="1114" w:type="dxa"/>
            <w:tcBorders>
              <w:top w:val="nil"/>
              <w:left w:val="single" w:sz="8" w:space="0" w:color="auto"/>
              <w:bottom w:val="nil"/>
              <w:right w:val="single" w:sz="8" w:space="0" w:color="auto"/>
            </w:tcBorders>
            <w:shd w:val="clear" w:color="auto" w:fill="auto"/>
            <w:vAlign w:val="center"/>
          </w:tcPr>
          <w:p w14:paraId="1A33897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324</w:t>
            </w:r>
          </w:p>
        </w:tc>
        <w:tc>
          <w:tcPr>
            <w:tcW w:w="1114" w:type="dxa"/>
            <w:tcBorders>
              <w:top w:val="nil"/>
              <w:left w:val="single" w:sz="8" w:space="0" w:color="auto"/>
              <w:bottom w:val="nil"/>
              <w:right w:val="single" w:sz="8" w:space="0" w:color="auto"/>
            </w:tcBorders>
            <w:shd w:val="clear" w:color="auto" w:fill="auto"/>
            <w:vAlign w:val="center"/>
          </w:tcPr>
          <w:p w14:paraId="462CA48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324</w:t>
            </w:r>
          </w:p>
        </w:tc>
        <w:tc>
          <w:tcPr>
            <w:tcW w:w="1113" w:type="dxa"/>
            <w:tcBorders>
              <w:top w:val="nil"/>
              <w:left w:val="single" w:sz="8" w:space="0" w:color="auto"/>
              <w:bottom w:val="nil"/>
              <w:right w:val="single" w:sz="8" w:space="0" w:color="auto"/>
            </w:tcBorders>
            <w:shd w:val="clear" w:color="auto" w:fill="auto"/>
            <w:vAlign w:val="center"/>
          </w:tcPr>
          <w:p w14:paraId="39B04E7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324</w:t>
            </w:r>
          </w:p>
        </w:tc>
        <w:tc>
          <w:tcPr>
            <w:tcW w:w="1114" w:type="dxa"/>
            <w:tcBorders>
              <w:top w:val="nil"/>
              <w:left w:val="single" w:sz="8" w:space="0" w:color="auto"/>
              <w:bottom w:val="nil"/>
              <w:right w:val="single" w:sz="8" w:space="0" w:color="auto"/>
            </w:tcBorders>
            <w:shd w:val="clear" w:color="auto" w:fill="auto"/>
            <w:vAlign w:val="center"/>
          </w:tcPr>
          <w:p w14:paraId="3BBE33D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324</w:t>
            </w:r>
          </w:p>
        </w:tc>
        <w:tc>
          <w:tcPr>
            <w:tcW w:w="1114" w:type="dxa"/>
            <w:tcBorders>
              <w:top w:val="nil"/>
              <w:left w:val="single" w:sz="8" w:space="0" w:color="auto"/>
              <w:bottom w:val="nil"/>
              <w:right w:val="single" w:sz="8" w:space="0" w:color="auto"/>
            </w:tcBorders>
            <w:shd w:val="clear" w:color="auto" w:fill="auto"/>
            <w:vAlign w:val="center"/>
          </w:tcPr>
          <w:p w14:paraId="0AD8BE4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324</w:t>
            </w:r>
          </w:p>
        </w:tc>
        <w:tc>
          <w:tcPr>
            <w:tcW w:w="1114" w:type="dxa"/>
            <w:tcBorders>
              <w:top w:val="nil"/>
              <w:left w:val="single" w:sz="8" w:space="0" w:color="auto"/>
              <w:bottom w:val="nil"/>
              <w:right w:val="single" w:sz="8" w:space="0" w:color="auto"/>
            </w:tcBorders>
            <w:shd w:val="clear" w:color="auto" w:fill="auto"/>
            <w:vAlign w:val="center"/>
          </w:tcPr>
          <w:p w14:paraId="3808F34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324</w:t>
            </w:r>
          </w:p>
        </w:tc>
      </w:tr>
      <w:tr w:rsidR="00C22FE0" w:rsidRPr="00C22FE0" w14:paraId="0F6C69A4"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5364D228"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No improvement (n)</w:t>
            </w:r>
          </w:p>
        </w:tc>
        <w:tc>
          <w:tcPr>
            <w:tcW w:w="1113" w:type="dxa"/>
            <w:tcBorders>
              <w:top w:val="nil"/>
              <w:left w:val="single" w:sz="8" w:space="0" w:color="auto"/>
              <w:bottom w:val="nil"/>
              <w:right w:val="single" w:sz="8" w:space="0" w:color="auto"/>
            </w:tcBorders>
            <w:shd w:val="clear" w:color="auto" w:fill="auto"/>
            <w:vAlign w:val="center"/>
          </w:tcPr>
          <w:p w14:paraId="5DDF2BE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2,478</w:t>
            </w:r>
          </w:p>
        </w:tc>
        <w:tc>
          <w:tcPr>
            <w:tcW w:w="1114" w:type="dxa"/>
            <w:tcBorders>
              <w:top w:val="nil"/>
              <w:left w:val="single" w:sz="8" w:space="0" w:color="auto"/>
              <w:bottom w:val="nil"/>
              <w:right w:val="single" w:sz="8" w:space="0" w:color="auto"/>
            </w:tcBorders>
            <w:shd w:val="clear" w:color="auto" w:fill="auto"/>
            <w:vAlign w:val="center"/>
          </w:tcPr>
          <w:p w14:paraId="55A377C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5,067</w:t>
            </w:r>
          </w:p>
        </w:tc>
        <w:tc>
          <w:tcPr>
            <w:tcW w:w="1114" w:type="dxa"/>
            <w:tcBorders>
              <w:top w:val="nil"/>
              <w:left w:val="single" w:sz="8" w:space="0" w:color="auto"/>
              <w:bottom w:val="nil"/>
              <w:right w:val="single" w:sz="8" w:space="0" w:color="auto"/>
            </w:tcBorders>
            <w:shd w:val="clear" w:color="auto" w:fill="auto"/>
            <w:vAlign w:val="center"/>
          </w:tcPr>
          <w:p w14:paraId="7B36349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5,067</w:t>
            </w:r>
          </w:p>
        </w:tc>
        <w:tc>
          <w:tcPr>
            <w:tcW w:w="1113" w:type="dxa"/>
            <w:tcBorders>
              <w:top w:val="nil"/>
              <w:left w:val="single" w:sz="8" w:space="0" w:color="auto"/>
              <w:bottom w:val="nil"/>
              <w:right w:val="single" w:sz="8" w:space="0" w:color="auto"/>
            </w:tcBorders>
            <w:shd w:val="clear" w:color="auto" w:fill="auto"/>
            <w:vAlign w:val="center"/>
          </w:tcPr>
          <w:p w14:paraId="698BE93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5,067</w:t>
            </w:r>
          </w:p>
        </w:tc>
        <w:tc>
          <w:tcPr>
            <w:tcW w:w="1114" w:type="dxa"/>
            <w:tcBorders>
              <w:top w:val="nil"/>
              <w:left w:val="single" w:sz="8" w:space="0" w:color="auto"/>
              <w:bottom w:val="nil"/>
              <w:right w:val="single" w:sz="8" w:space="0" w:color="auto"/>
            </w:tcBorders>
            <w:shd w:val="clear" w:color="auto" w:fill="auto"/>
            <w:vAlign w:val="center"/>
          </w:tcPr>
          <w:p w14:paraId="377E6F3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5,067</w:t>
            </w:r>
          </w:p>
        </w:tc>
        <w:tc>
          <w:tcPr>
            <w:tcW w:w="1114" w:type="dxa"/>
            <w:tcBorders>
              <w:top w:val="nil"/>
              <w:left w:val="single" w:sz="8" w:space="0" w:color="auto"/>
              <w:bottom w:val="nil"/>
              <w:right w:val="single" w:sz="8" w:space="0" w:color="auto"/>
            </w:tcBorders>
            <w:shd w:val="clear" w:color="auto" w:fill="auto"/>
            <w:vAlign w:val="center"/>
          </w:tcPr>
          <w:p w14:paraId="087C9BF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5,067</w:t>
            </w:r>
          </w:p>
        </w:tc>
        <w:tc>
          <w:tcPr>
            <w:tcW w:w="1114" w:type="dxa"/>
            <w:tcBorders>
              <w:top w:val="nil"/>
              <w:left w:val="single" w:sz="8" w:space="0" w:color="auto"/>
              <w:bottom w:val="nil"/>
              <w:right w:val="single" w:sz="8" w:space="0" w:color="auto"/>
            </w:tcBorders>
            <w:shd w:val="clear" w:color="auto" w:fill="auto"/>
            <w:vAlign w:val="center"/>
          </w:tcPr>
          <w:p w14:paraId="2F77510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5,067</w:t>
            </w:r>
          </w:p>
        </w:tc>
      </w:tr>
      <w:tr w:rsidR="00C22FE0" w:rsidRPr="00C22FE0" w14:paraId="5AA1B7A1"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4D1D61DD"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Deteriorated (n)</w:t>
            </w:r>
          </w:p>
        </w:tc>
        <w:tc>
          <w:tcPr>
            <w:tcW w:w="1113" w:type="dxa"/>
            <w:tcBorders>
              <w:top w:val="nil"/>
              <w:left w:val="single" w:sz="8" w:space="0" w:color="auto"/>
              <w:bottom w:val="nil"/>
              <w:right w:val="single" w:sz="8" w:space="0" w:color="auto"/>
            </w:tcBorders>
            <w:shd w:val="clear" w:color="auto" w:fill="auto"/>
            <w:vAlign w:val="center"/>
          </w:tcPr>
          <w:p w14:paraId="7B40385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434</w:t>
            </w:r>
          </w:p>
        </w:tc>
        <w:tc>
          <w:tcPr>
            <w:tcW w:w="1114" w:type="dxa"/>
            <w:tcBorders>
              <w:top w:val="nil"/>
              <w:left w:val="single" w:sz="8" w:space="0" w:color="auto"/>
              <w:bottom w:val="nil"/>
              <w:right w:val="single" w:sz="8" w:space="0" w:color="auto"/>
            </w:tcBorders>
            <w:shd w:val="clear" w:color="auto" w:fill="auto"/>
            <w:vAlign w:val="center"/>
          </w:tcPr>
          <w:p w14:paraId="69BE78B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1,147</w:t>
            </w:r>
          </w:p>
        </w:tc>
        <w:tc>
          <w:tcPr>
            <w:tcW w:w="1114" w:type="dxa"/>
            <w:tcBorders>
              <w:top w:val="nil"/>
              <w:left w:val="single" w:sz="8" w:space="0" w:color="auto"/>
              <w:bottom w:val="nil"/>
              <w:right w:val="single" w:sz="8" w:space="0" w:color="auto"/>
            </w:tcBorders>
            <w:shd w:val="clear" w:color="auto" w:fill="auto"/>
            <w:vAlign w:val="center"/>
          </w:tcPr>
          <w:p w14:paraId="4B2AAC5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1,147</w:t>
            </w:r>
          </w:p>
        </w:tc>
        <w:tc>
          <w:tcPr>
            <w:tcW w:w="1113" w:type="dxa"/>
            <w:tcBorders>
              <w:top w:val="nil"/>
              <w:left w:val="single" w:sz="8" w:space="0" w:color="auto"/>
              <w:bottom w:val="nil"/>
              <w:right w:val="single" w:sz="8" w:space="0" w:color="auto"/>
            </w:tcBorders>
            <w:shd w:val="clear" w:color="auto" w:fill="auto"/>
            <w:vAlign w:val="center"/>
          </w:tcPr>
          <w:p w14:paraId="3F239DD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1,147</w:t>
            </w:r>
          </w:p>
        </w:tc>
        <w:tc>
          <w:tcPr>
            <w:tcW w:w="1114" w:type="dxa"/>
            <w:tcBorders>
              <w:top w:val="nil"/>
              <w:left w:val="single" w:sz="8" w:space="0" w:color="auto"/>
              <w:bottom w:val="nil"/>
              <w:right w:val="single" w:sz="8" w:space="0" w:color="auto"/>
            </w:tcBorders>
            <w:shd w:val="clear" w:color="auto" w:fill="auto"/>
            <w:vAlign w:val="center"/>
          </w:tcPr>
          <w:p w14:paraId="546A249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1,147</w:t>
            </w:r>
          </w:p>
        </w:tc>
        <w:tc>
          <w:tcPr>
            <w:tcW w:w="1114" w:type="dxa"/>
            <w:tcBorders>
              <w:top w:val="nil"/>
              <w:left w:val="single" w:sz="8" w:space="0" w:color="auto"/>
              <w:bottom w:val="nil"/>
              <w:right w:val="single" w:sz="8" w:space="0" w:color="auto"/>
            </w:tcBorders>
            <w:shd w:val="clear" w:color="auto" w:fill="auto"/>
            <w:vAlign w:val="center"/>
          </w:tcPr>
          <w:p w14:paraId="070A30D0"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1,147</w:t>
            </w:r>
          </w:p>
        </w:tc>
        <w:tc>
          <w:tcPr>
            <w:tcW w:w="1114" w:type="dxa"/>
            <w:tcBorders>
              <w:top w:val="nil"/>
              <w:left w:val="single" w:sz="8" w:space="0" w:color="auto"/>
              <w:bottom w:val="nil"/>
              <w:right w:val="single" w:sz="8" w:space="0" w:color="auto"/>
            </w:tcBorders>
            <w:shd w:val="clear" w:color="auto" w:fill="auto"/>
            <w:vAlign w:val="center"/>
          </w:tcPr>
          <w:p w14:paraId="2CFF566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1,147</w:t>
            </w:r>
          </w:p>
        </w:tc>
      </w:tr>
      <w:tr w:rsidR="00C22FE0" w:rsidRPr="00C22FE0" w14:paraId="424596BE"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90E8704"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QALY</w:t>
            </w:r>
          </w:p>
        </w:tc>
        <w:tc>
          <w:tcPr>
            <w:tcW w:w="1113" w:type="dxa"/>
            <w:tcBorders>
              <w:top w:val="nil"/>
              <w:left w:val="single" w:sz="8" w:space="0" w:color="auto"/>
              <w:bottom w:val="nil"/>
              <w:right w:val="single" w:sz="8" w:space="0" w:color="auto"/>
            </w:tcBorders>
            <w:shd w:val="clear" w:color="auto" w:fill="auto"/>
            <w:vAlign w:val="center"/>
          </w:tcPr>
          <w:p w14:paraId="0D5E4AA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6,031</w:t>
            </w:r>
          </w:p>
        </w:tc>
        <w:tc>
          <w:tcPr>
            <w:tcW w:w="1114" w:type="dxa"/>
            <w:tcBorders>
              <w:top w:val="nil"/>
              <w:left w:val="single" w:sz="8" w:space="0" w:color="auto"/>
              <w:bottom w:val="nil"/>
              <w:right w:val="single" w:sz="8" w:space="0" w:color="auto"/>
            </w:tcBorders>
            <w:shd w:val="clear" w:color="auto" w:fill="auto"/>
            <w:vAlign w:val="center"/>
          </w:tcPr>
          <w:p w14:paraId="75634E0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5,736</w:t>
            </w:r>
          </w:p>
        </w:tc>
        <w:tc>
          <w:tcPr>
            <w:tcW w:w="1114" w:type="dxa"/>
            <w:tcBorders>
              <w:top w:val="nil"/>
              <w:left w:val="single" w:sz="8" w:space="0" w:color="auto"/>
              <w:bottom w:val="nil"/>
              <w:right w:val="single" w:sz="8" w:space="0" w:color="auto"/>
            </w:tcBorders>
            <w:shd w:val="clear" w:color="auto" w:fill="auto"/>
            <w:vAlign w:val="center"/>
          </w:tcPr>
          <w:p w14:paraId="7DB5161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5,736</w:t>
            </w:r>
          </w:p>
        </w:tc>
        <w:tc>
          <w:tcPr>
            <w:tcW w:w="1113" w:type="dxa"/>
            <w:tcBorders>
              <w:top w:val="nil"/>
              <w:left w:val="single" w:sz="8" w:space="0" w:color="auto"/>
              <w:bottom w:val="nil"/>
              <w:right w:val="single" w:sz="8" w:space="0" w:color="auto"/>
            </w:tcBorders>
            <w:shd w:val="clear" w:color="auto" w:fill="auto"/>
            <w:vAlign w:val="center"/>
          </w:tcPr>
          <w:p w14:paraId="271D6F5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5,736</w:t>
            </w:r>
          </w:p>
        </w:tc>
        <w:tc>
          <w:tcPr>
            <w:tcW w:w="1114" w:type="dxa"/>
            <w:tcBorders>
              <w:top w:val="nil"/>
              <w:left w:val="single" w:sz="8" w:space="0" w:color="auto"/>
              <w:bottom w:val="nil"/>
              <w:right w:val="single" w:sz="8" w:space="0" w:color="auto"/>
            </w:tcBorders>
            <w:shd w:val="clear" w:color="auto" w:fill="auto"/>
            <w:vAlign w:val="center"/>
          </w:tcPr>
          <w:p w14:paraId="2F45F1C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5,736</w:t>
            </w:r>
          </w:p>
        </w:tc>
        <w:tc>
          <w:tcPr>
            <w:tcW w:w="1114" w:type="dxa"/>
            <w:tcBorders>
              <w:top w:val="nil"/>
              <w:left w:val="single" w:sz="8" w:space="0" w:color="auto"/>
              <w:bottom w:val="nil"/>
              <w:right w:val="single" w:sz="8" w:space="0" w:color="auto"/>
            </w:tcBorders>
            <w:shd w:val="clear" w:color="auto" w:fill="auto"/>
            <w:vAlign w:val="center"/>
          </w:tcPr>
          <w:p w14:paraId="2958C1C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5,736</w:t>
            </w:r>
          </w:p>
        </w:tc>
        <w:tc>
          <w:tcPr>
            <w:tcW w:w="1114" w:type="dxa"/>
            <w:tcBorders>
              <w:top w:val="nil"/>
              <w:left w:val="single" w:sz="8" w:space="0" w:color="auto"/>
              <w:bottom w:val="nil"/>
              <w:right w:val="single" w:sz="8" w:space="0" w:color="auto"/>
            </w:tcBorders>
            <w:shd w:val="clear" w:color="auto" w:fill="auto"/>
            <w:vAlign w:val="center"/>
          </w:tcPr>
          <w:p w14:paraId="4D0E8D0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5,736</w:t>
            </w:r>
          </w:p>
        </w:tc>
      </w:tr>
      <w:tr w:rsidR="00C22FE0" w:rsidRPr="00C22FE0" w14:paraId="3E947522"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2B4D643"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Total costs excluding productivity losses</w:t>
            </w:r>
          </w:p>
        </w:tc>
        <w:tc>
          <w:tcPr>
            <w:tcW w:w="1113" w:type="dxa"/>
            <w:tcBorders>
              <w:top w:val="nil"/>
              <w:left w:val="single" w:sz="8" w:space="0" w:color="auto"/>
              <w:bottom w:val="nil"/>
              <w:right w:val="single" w:sz="8" w:space="0" w:color="auto"/>
            </w:tcBorders>
            <w:shd w:val="clear" w:color="auto" w:fill="auto"/>
            <w:vAlign w:val="center"/>
          </w:tcPr>
          <w:p w14:paraId="6E8C76A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$6,223,175</w:t>
            </w:r>
          </w:p>
        </w:tc>
        <w:tc>
          <w:tcPr>
            <w:tcW w:w="1114" w:type="dxa"/>
            <w:tcBorders>
              <w:top w:val="nil"/>
              <w:left w:val="single" w:sz="8" w:space="0" w:color="auto"/>
              <w:bottom w:val="nil"/>
              <w:right w:val="single" w:sz="8" w:space="0" w:color="auto"/>
            </w:tcBorders>
            <w:shd w:val="clear" w:color="auto" w:fill="auto"/>
            <w:vAlign w:val="center"/>
          </w:tcPr>
          <w:p w14:paraId="1DB07B8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$21,155,546</w:t>
            </w:r>
          </w:p>
        </w:tc>
        <w:tc>
          <w:tcPr>
            <w:tcW w:w="1114" w:type="dxa"/>
            <w:tcBorders>
              <w:top w:val="nil"/>
              <w:left w:val="single" w:sz="8" w:space="0" w:color="auto"/>
              <w:bottom w:val="nil"/>
              <w:right w:val="single" w:sz="8" w:space="0" w:color="auto"/>
            </w:tcBorders>
            <w:shd w:val="clear" w:color="auto" w:fill="auto"/>
            <w:vAlign w:val="center"/>
          </w:tcPr>
          <w:p w14:paraId="167F9D8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$13,648,215</w:t>
            </w:r>
          </w:p>
        </w:tc>
        <w:tc>
          <w:tcPr>
            <w:tcW w:w="1113" w:type="dxa"/>
            <w:tcBorders>
              <w:top w:val="nil"/>
              <w:left w:val="single" w:sz="8" w:space="0" w:color="auto"/>
              <w:bottom w:val="nil"/>
              <w:right w:val="single" w:sz="8" w:space="0" w:color="auto"/>
            </w:tcBorders>
            <w:shd w:val="clear" w:color="auto" w:fill="auto"/>
            <w:vAlign w:val="center"/>
          </w:tcPr>
          <w:p w14:paraId="38CAC8F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$4,858,126</w:t>
            </w:r>
          </w:p>
        </w:tc>
        <w:tc>
          <w:tcPr>
            <w:tcW w:w="1114" w:type="dxa"/>
            <w:tcBorders>
              <w:top w:val="nil"/>
              <w:left w:val="single" w:sz="8" w:space="0" w:color="auto"/>
              <w:bottom w:val="nil"/>
              <w:right w:val="single" w:sz="8" w:space="0" w:color="auto"/>
            </w:tcBorders>
            <w:shd w:val="clear" w:color="auto" w:fill="auto"/>
            <w:vAlign w:val="center"/>
          </w:tcPr>
          <w:p w14:paraId="568D6B4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$11,879,578</w:t>
            </w:r>
          </w:p>
        </w:tc>
        <w:tc>
          <w:tcPr>
            <w:tcW w:w="1114" w:type="dxa"/>
            <w:tcBorders>
              <w:top w:val="nil"/>
              <w:left w:val="single" w:sz="8" w:space="0" w:color="auto"/>
              <w:bottom w:val="nil"/>
              <w:right w:val="single" w:sz="8" w:space="0" w:color="auto"/>
            </w:tcBorders>
            <w:shd w:val="clear" w:color="auto" w:fill="auto"/>
            <w:vAlign w:val="center"/>
          </w:tcPr>
          <w:p w14:paraId="0A5A373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$37,255,585</w:t>
            </w:r>
          </w:p>
        </w:tc>
        <w:tc>
          <w:tcPr>
            <w:tcW w:w="1114" w:type="dxa"/>
            <w:tcBorders>
              <w:top w:val="nil"/>
              <w:left w:val="single" w:sz="8" w:space="0" w:color="auto"/>
              <w:bottom w:val="nil"/>
              <w:right w:val="single" w:sz="8" w:space="0" w:color="auto"/>
            </w:tcBorders>
            <w:shd w:val="clear" w:color="auto" w:fill="auto"/>
            <w:vAlign w:val="center"/>
          </w:tcPr>
          <w:p w14:paraId="42046B4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$19,978,906</w:t>
            </w:r>
          </w:p>
        </w:tc>
      </w:tr>
      <w:tr w:rsidR="00C22FE0" w:rsidRPr="00C22FE0" w14:paraId="42D297A9"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605E7A3B"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Costs per QALY </w:t>
            </w:r>
          </w:p>
          <w:p w14:paraId="23842451"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gained</w:t>
            </w:r>
          </w:p>
        </w:tc>
        <w:tc>
          <w:tcPr>
            <w:tcW w:w="1113" w:type="dxa"/>
            <w:tcBorders>
              <w:top w:val="nil"/>
              <w:left w:val="single" w:sz="8" w:space="0" w:color="auto"/>
              <w:bottom w:val="nil"/>
              <w:right w:val="single" w:sz="8" w:space="0" w:color="auto"/>
            </w:tcBorders>
            <w:shd w:val="clear" w:color="auto" w:fill="auto"/>
            <w:vAlign w:val="center"/>
          </w:tcPr>
          <w:p w14:paraId="1F720D1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w:t>
            </w:r>
          </w:p>
        </w:tc>
        <w:tc>
          <w:tcPr>
            <w:tcW w:w="1114" w:type="dxa"/>
            <w:tcBorders>
              <w:top w:val="nil"/>
              <w:left w:val="single" w:sz="8" w:space="0" w:color="auto"/>
              <w:bottom w:val="nil"/>
              <w:right w:val="single" w:sz="8" w:space="0" w:color="auto"/>
            </w:tcBorders>
            <w:shd w:val="clear" w:color="auto" w:fill="auto"/>
            <w:vAlign w:val="center"/>
          </w:tcPr>
          <w:p w14:paraId="756C369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5378256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3" w:type="dxa"/>
            <w:tcBorders>
              <w:top w:val="nil"/>
              <w:left w:val="single" w:sz="8" w:space="0" w:color="auto"/>
              <w:bottom w:val="nil"/>
              <w:right w:val="single" w:sz="8" w:space="0" w:color="auto"/>
            </w:tcBorders>
            <w:shd w:val="clear" w:color="auto" w:fill="auto"/>
            <w:vAlign w:val="center"/>
          </w:tcPr>
          <w:p w14:paraId="433F26A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$4,617</w:t>
            </w:r>
          </w:p>
        </w:tc>
        <w:tc>
          <w:tcPr>
            <w:tcW w:w="1114" w:type="dxa"/>
            <w:tcBorders>
              <w:top w:val="nil"/>
              <w:left w:val="single" w:sz="8" w:space="0" w:color="auto"/>
              <w:bottom w:val="nil"/>
              <w:right w:val="single" w:sz="8" w:space="0" w:color="auto"/>
            </w:tcBorders>
            <w:shd w:val="clear" w:color="auto" w:fill="auto"/>
            <w:vAlign w:val="center"/>
          </w:tcPr>
          <w:p w14:paraId="68BA866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56C3A81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2B143F7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r>
      <w:tr w:rsidR="00C22FE0" w:rsidRPr="00C22FE0" w14:paraId="2505FAA5"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410FE6C"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Total costs including productivity losses     </w:t>
            </w:r>
          </w:p>
        </w:tc>
        <w:tc>
          <w:tcPr>
            <w:tcW w:w="1113" w:type="dxa"/>
            <w:tcBorders>
              <w:top w:val="nil"/>
              <w:left w:val="single" w:sz="8" w:space="0" w:color="auto"/>
              <w:bottom w:val="nil"/>
              <w:right w:val="single" w:sz="8" w:space="0" w:color="auto"/>
            </w:tcBorders>
            <w:shd w:val="clear" w:color="auto" w:fill="auto"/>
            <w:vAlign w:val="center"/>
          </w:tcPr>
          <w:p w14:paraId="3AFD286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$12,368,031</w:t>
            </w:r>
          </w:p>
        </w:tc>
        <w:tc>
          <w:tcPr>
            <w:tcW w:w="1114" w:type="dxa"/>
            <w:tcBorders>
              <w:top w:val="nil"/>
              <w:left w:val="single" w:sz="8" w:space="0" w:color="auto"/>
              <w:bottom w:val="nil"/>
              <w:right w:val="single" w:sz="8" w:space="0" w:color="auto"/>
            </w:tcBorders>
            <w:shd w:val="clear" w:color="auto" w:fill="auto"/>
            <w:vAlign w:val="center"/>
          </w:tcPr>
          <w:p w14:paraId="1D04204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$83,665,576</w:t>
            </w:r>
          </w:p>
        </w:tc>
        <w:tc>
          <w:tcPr>
            <w:tcW w:w="1114" w:type="dxa"/>
            <w:tcBorders>
              <w:top w:val="nil"/>
              <w:left w:val="single" w:sz="8" w:space="0" w:color="auto"/>
              <w:bottom w:val="nil"/>
              <w:right w:val="single" w:sz="8" w:space="0" w:color="auto"/>
            </w:tcBorders>
            <w:shd w:val="clear" w:color="auto" w:fill="auto"/>
            <w:vAlign w:val="center"/>
          </w:tcPr>
          <w:p w14:paraId="42583A3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$133,127,109</w:t>
            </w:r>
          </w:p>
        </w:tc>
        <w:tc>
          <w:tcPr>
            <w:tcW w:w="1113" w:type="dxa"/>
            <w:tcBorders>
              <w:top w:val="nil"/>
              <w:left w:val="single" w:sz="8" w:space="0" w:color="auto"/>
              <w:bottom w:val="nil"/>
              <w:right w:val="single" w:sz="8" w:space="0" w:color="auto"/>
            </w:tcBorders>
            <w:shd w:val="clear" w:color="auto" w:fill="auto"/>
            <w:vAlign w:val="center"/>
          </w:tcPr>
          <w:p w14:paraId="4DBDF65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$36,048,646</w:t>
            </w:r>
          </w:p>
        </w:tc>
        <w:tc>
          <w:tcPr>
            <w:tcW w:w="1114" w:type="dxa"/>
            <w:tcBorders>
              <w:top w:val="nil"/>
              <w:left w:val="single" w:sz="8" w:space="0" w:color="auto"/>
              <w:bottom w:val="nil"/>
              <w:right w:val="single" w:sz="8" w:space="0" w:color="auto"/>
            </w:tcBorders>
            <w:shd w:val="clear" w:color="auto" w:fill="auto"/>
            <w:vAlign w:val="center"/>
          </w:tcPr>
          <w:p w14:paraId="0BA067D0"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$131,442,013</w:t>
            </w:r>
          </w:p>
        </w:tc>
        <w:tc>
          <w:tcPr>
            <w:tcW w:w="1114" w:type="dxa"/>
            <w:tcBorders>
              <w:top w:val="nil"/>
              <w:left w:val="single" w:sz="8" w:space="0" w:color="auto"/>
              <w:bottom w:val="nil"/>
              <w:right w:val="single" w:sz="8" w:space="0" w:color="auto"/>
            </w:tcBorders>
            <w:shd w:val="clear" w:color="auto" w:fill="auto"/>
            <w:vAlign w:val="center"/>
          </w:tcPr>
          <w:p w14:paraId="23BB41E0"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$130,720,880</w:t>
            </w:r>
          </w:p>
        </w:tc>
        <w:tc>
          <w:tcPr>
            <w:tcW w:w="1114" w:type="dxa"/>
            <w:tcBorders>
              <w:top w:val="nil"/>
              <w:left w:val="single" w:sz="8" w:space="0" w:color="auto"/>
              <w:bottom w:val="nil"/>
              <w:right w:val="single" w:sz="8" w:space="0" w:color="auto"/>
            </w:tcBorders>
            <w:shd w:val="clear" w:color="auto" w:fill="auto"/>
            <w:vAlign w:val="center"/>
          </w:tcPr>
          <w:p w14:paraId="61DAE16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127,001,374</w:t>
            </w:r>
          </w:p>
        </w:tc>
      </w:tr>
      <w:tr w:rsidR="00C22FE0" w:rsidRPr="00C22FE0" w14:paraId="0344F7CE"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716D57B1"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Costs per QALY    </w:t>
            </w:r>
          </w:p>
          <w:p w14:paraId="0ACA13A5"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gained</w:t>
            </w:r>
          </w:p>
        </w:tc>
        <w:tc>
          <w:tcPr>
            <w:tcW w:w="1113" w:type="dxa"/>
            <w:tcBorders>
              <w:top w:val="nil"/>
              <w:left w:val="single" w:sz="8" w:space="0" w:color="auto"/>
              <w:bottom w:val="nil"/>
              <w:right w:val="single" w:sz="8" w:space="0" w:color="auto"/>
            </w:tcBorders>
            <w:shd w:val="clear" w:color="auto" w:fill="auto"/>
            <w:vAlign w:val="center"/>
          </w:tcPr>
          <w:p w14:paraId="05605B9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w:t>
            </w:r>
          </w:p>
        </w:tc>
        <w:tc>
          <w:tcPr>
            <w:tcW w:w="1114" w:type="dxa"/>
            <w:tcBorders>
              <w:top w:val="nil"/>
              <w:left w:val="single" w:sz="8" w:space="0" w:color="auto"/>
              <w:bottom w:val="nil"/>
              <w:right w:val="single" w:sz="8" w:space="0" w:color="auto"/>
            </w:tcBorders>
            <w:shd w:val="clear" w:color="auto" w:fill="auto"/>
            <w:vAlign w:val="center"/>
          </w:tcPr>
          <w:p w14:paraId="5CA7522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1A06896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3" w:type="dxa"/>
            <w:tcBorders>
              <w:top w:val="nil"/>
              <w:left w:val="single" w:sz="8" w:space="0" w:color="auto"/>
              <w:bottom w:val="nil"/>
              <w:right w:val="single" w:sz="8" w:space="0" w:color="auto"/>
            </w:tcBorders>
            <w:shd w:val="clear" w:color="auto" w:fill="auto"/>
            <w:vAlign w:val="center"/>
          </w:tcPr>
          <w:p w14:paraId="07D18D2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0D210A7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479BC71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3E31458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r>
      <w:tr w:rsidR="00C22FE0" w:rsidRPr="00C22FE0" w14:paraId="5BE749F5"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7E35050" w14:textId="77777777" w:rsidR="00C22FE0" w:rsidRPr="00C22FE0" w:rsidRDefault="00C22FE0" w:rsidP="00C22FE0">
            <w:pPr>
              <w:snapToGrid w:val="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368CC29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5110F34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1252E290"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10CA5F0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3EABF8D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6676288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5DFD5D0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r>
      <w:tr w:rsidR="00C22FE0" w:rsidRPr="00C22FE0" w14:paraId="62DEF04C"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530D2979"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Therapist-supported </w:t>
            </w:r>
            <w:proofErr w:type="spellStart"/>
            <w:r w:rsidRPr="00C22FE0">
              <w:rPr>
                <w:rFonts w:ascii="Calibri" w:hAnsi="Calibri" w:cs="Calibri"/>
                <w:color w:val="000000"/>
                <w:sz w:val="16"/>
                <w:szCs w:val="16"/>
                <w:lang w:eastAsia="en-AU"/>
              </w:rPr>
              <w:t>treatment</w:t>
            </w:r>
            <w:r w:rsidRPr="00C22FE0">
              <w:rPr>
                <w:rFonts w:asciiTheme="minorHAnsi" w:hAnsiTheme="minorHAnsi" w:cstheme="minorHAnsi"/>
                <w:sz w:val="16"/>
                <w:szCs w:val="16"/>
                <w:vertAlign w:val="superscript"/>
                <w:lang w:eastAsia="en-US"/>
              </w:rPr>
              <w:t>b</w:t>
            </w:r>
            <w:proofErr w:type="spellEnd"/>
          </w:p>
        </w:tc>
        <w:tc>
          <w:tcPr>
            <w:tcW w:w="1113" w:type="dxa"/>
            <w:tcBorders>
              <w:top w:val="nil"/>
              <w:left w:val="single" w:sz="8" w:space="0" w:color="auto"/>
              <w:bottom w:val="nil"/>
              <w:right w:val="single" w:sz="8" w:space="0" w:color="auto"/>
            </w:tcBorders>
            <w:shd w:val="clear" w:color="auto" w:fill="auto"/>
            <w:vAlign w:val="center"/>
          </w:tcPr>
          <w:p w14:paraId="3AFCEF4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14738AD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2FA17DF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616976B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25FC477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5A4E52C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09CB99F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r>
      <w:tr w:rsidR="00C22FE0" w:rsidRPr="00C22FE0" w14:paraId="75E01312"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1DB583B4"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Input population (n)</w:t>
            </w:r>
          </w:p>
        </w:tc>
        <w:tc>
          <w:tcPr>
            <w:tcW w:w="1113" w:type="dxa"/>
            <w:tcBorders>
              <w:top w:val="nil"/>
              <w:left w:val="single" w:sz="8" w:space="0" w:color="auto"/>
              <w:bottom w:val="nil"/>
              <w:right w:val="single" w:sz="8" w:space="0" w:color="auto"/>
            </w:tcBorders>
            <w:shd w:val="clear" w:color="auto" w:fill="auto"/>
            <w:vAlign w:val="center"/>
          </w:tcPr>
          <w:p w14:paraId="578A600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578</w:t>
            </w:r>
          </w:p>
        </w:tc>
        <w:tc>
          <w:tcPr>
            <w:tcW w:w="1114" w:type="dxa"/>
            <w:tcBorders>
              <w:top w:val="nil"/>
              <w:left w:val="single" w:sz="8" w:space="0" w:color="auto"/>
              <w:bottom w:val="nil"/>
              <w:right w:val="single" w:sz="8" w:space="0" w:color="auto"/>
            </w:tcBorders>
            <w:shd w:val="clear" w:color="auto" w:fill="auto"/>
            <w:vAlign w:val="center"/>
          </w:tcPr>
          <w:p w14:paraId="72933CB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578</w:t>
            </w:r>
          </w:p>
        </w:tc>
        <w:tc>
          <w:tcPr>
            <w:tcW w:w="1114" w:type="dxa"/>
            <w:tcBorders>
              <w:top w:val="nil"/>
              <w:left w:val="single" w:sz="8" w:space="0" w:color="auto"/>
              <w:bottom w:val="nil"/>
              <w:right w:val="single" w:sz="8" w:space="0" w:color="auto"/>
            </w:tcBorders>
            <w:shd w:val="clear" w:color="auto" w:fill="auto"/>
            <w:vAlign w:val="center"/>
          </w:tcPr>
          <w:p w14:paraId="158C431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578</w:t>
            </w:r>
          </w:p>
        </w:tc>
        <w:tc>
          <w:tcPr>
            <w:tcW w:w="1113" w:type="dxa"/>
            <w:tcBorders>
              <w:top w:val="nil"/>
              <w:left w:val="single" w:sz="8" w:space="0" w:color="auto"/>
              <w:bottom w:val="nil"/>
              <w:right w:val="single" w:sz="8" w:space="0" w:color="auto"/>
            </w:tcBorders>
            <w:shd w:val="clear" w:color="auto" w:fill="auto"/>
            <w:vAlign w:val="center"/>
          </w:tcPr>
          <w:p w14:paraId="40F5CB40"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578</w:t>
            </w:r>
          </w:p>
        </w:tc>
        <w:tc>
          <w:tcPr>
            <w:tcW w:w="1114" w:type="dxa"/>
            <w:tcBorders>
              <w:top w:val="nil"/>
              <w:left w:val="single" w:sz="8" w:space="0" w:color="auto"/>
              <w:bottom w:val="nil"/>
              <w:right w:val="single" w:sz="8" w:space="0" w:color="auto"/>
            </w:tcBorders>
            <w:shd w:val="clear" w:color="auto" w:fill="auto"/>
            <w:vAlign w:val="center"/>
          </w:tcPr>
          <w:p w14:paraId="30833B8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578</w:t>
            </w:r>
          </w:p>
        </w:tc>
        <w:tc>
          <w:tcPr>
            <w:tcW w:w="1114" w:type="dxa"/>
            <w:tcBorders>
              <w:top w:val="nil"/>
              <w:left w:val="single" w:sz="8" w:space="0" w:color="auto"/>
              <w:bottom w:val="nil"/>
              <w:right w:val="single" w:sz="8" w:space="0" w:color="auto"/>
            </w:tcBorders>
            <w:shd w:val="clear" w:color="auto" w:fill="auto"/>
            <w:vAlign w:val="center"/>
          </w:tcPr>
          <w:p w14:paraId="3590803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578</w:t>
            </w:r>
          </w:p>
        </w:tc>
        <w:tc>
          <w:tcPr>
            <w:tcW w:w="1114" w:type="dxa"/>
            <w:tcBorders>
              <w:top w:val="nil"/>
              <w:left w:val="single" w:sz="8" w:space="0" w:color="auto"/>
              <w:bottom w:val="nil"/>
              <w:right w:val="single" w:sz="8" w:space="0" w:color="auto"/>
            </w:tcBorders>
            <w:shd w:val="clear" w:color="auto" w:fill="auto"/>
            <w:vAlign w:val="center"/>
          </w:tcPr>
          <w:p w14:paraId="0394933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578</w:t>
            </w:r>
          </w:p>
        </w:tc>
      </w:tr>
      <w:tr w:rsidR="00C22FE0" w:rsidRPr="00C22FE0" w14:paraId="6DEE1D50"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304889EF"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Fully recovered (n)</w:t>
            </w:r>
          </w:p>
        </w:tc>
        <w:tc>
          <w:tcPr>
            <w:tcW w:w="1113" w:type="dxa"/>
            <w:tcBorders>
              <w:top w:val="nil"/>
              <w:left w:val="single" w:sz="8" w:space="0" w:color="auto"/>
              <w:bottom w:val="nil"/>
              <w:right w:val="single" w:sz="8" w:space="0" w:color="auto"/>
            </w:tcBorders>
            <w:shd w:val="clear" w:color="auto" w:fill="auto"/>
            <w:vAlign w:val="center"/>
          </w:tcPr>
          <w:p w14:paraId="69E05AF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254</w:t>
            </w:r>
          </w:p>
        </w:tc>
        <w:tc>
          <w:tcPr>
            <w:tcW w:w="1114" w:type="dxa"/>
            <w:tcBorders>
              <w:top w:val="nil"/>
              <w:left w:val="single" w:sz="8" w:space="0" w:color="auto"/>
              <w:bottom w:val="nil"/>
              <w:right w:val="single" w:sz="8" w:space="0" w:color="auto"/>
            </w:tcBorders>
            <w:shd w:val="clear" w:color="auto" w:fill="auto"/>
            <w:vAlign w:val="center"/>
          </w:tcPr>
          <w:p w14:paraId="5F0F421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64</w:t>
            </w:r>
          </w:p>
        </w:tc>
        <w:tc>
          <w:tcPr>
            <w:tcW w:w="1114" w:type="dxa"/>
            <w:tcBorders>
              <w:top w:val="nil"/>
              <w:left w:val="single" w:sz="8" w:space="0" w:color="auto"/>
              <w:bottom w:val="nil"/>
              <w:right w:val="single" w:sz="8" w:space="0" w:color="auto"/>
            </w:tcBorders>
            <w:shd w:val="clear" w:color="auto" w:fill="auto"/>
            <w:vAlign w:val="center"/>
          </w:tcPr>
          <w:p w14:paraId="6768918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64</w:t>
            </w:r>
          </w:p>
        </w:tc>
        <w:tc>
          <w:tcPr>
            <w:tcW w:w="1113" w:type="dxa"/>
            <w:tcBorders>
              <w:top w:val="nil"/>
              <w:left w:val="single" w:sz="8" w:space="0" w:color="auto"/>
              <w:bottom w:val="nil"/>
              <w:right w:val="single" w:sz="8" w:space="0" w:color="auto"/>
            </w:tcBorders>
            <w:shd w:val="clear" w:color="auto" w:fill="auto"/>
            <w:vAlign w:val="center"/>
          </w:tcPr>
          <w:p w14:paraId="31A3C1F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64</w:t>
            </w:r>
          </w:p>
        </w:tc>
        <w:tc>
          <w:tcPr>
            <w:tcW w:w="1114" w:type="dxa"/>
            <w:tcBorders>
              <w:top w:val="nil"/>
              <w:left w:val="single" w:sz="8" w:space="0" w:color="auto"/>
              <w:bottom w:val="nil"/>
              <w:right w:val="single" w:sz="8" w:space="0" w:color="auto"/>
            </w:tcBorders>
            <w:shd w:val="clear" w:color="auto" w:fill="auto"/>
            <w:vAlign w:val="center"/>
          </w:tcPr>
          <w:p w14:paraId="7254ACA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64</w:t>
            </w:r>
          </w:p>
        </w:tc>
        <w:tc>
          <w:tcPr>
            <w:tcW w:w="1114" w:type="dxa"/>
            <w:tcBorders>
              <w:top w:val="nil"/>
              <w:left w:val="single" w:sz="8" w:space="0" w:color="auto"/>
              <w:bottom w:val="nil"/>
              <w:right w:val="single" w:sz="8" w:space="0" w:color="auto"/>
            </w:tcBorders>
            <w:shd w:val="clear" w:color="auto" w:fill="auto"/>
            <w:vAlign w:val="center"/>
          </w:tcPr>
          <w:p w14:paraId="35700B3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64</w:t>
            </w:r>
          </w:p>
        </w:tc>
        <w:tc>
          <w:tcPr>
            <w:tcW w:w="1114" w:type="dxa"/>
            <w:tcBorders>
              <w:top w:val="nil"/>
              <w:left w:val="single" w:sz="8" w:space="0" w:color="auto"/>
              <w:bottom w:val="nil"/>
              <w:right w:val="single" w:sz="8" w:space="0" w:color="auto"/>
            </w:tcBorders>
            <w:shd w:val="clear" w:color="auto" w:fill="auto"/>
            <w:vAlign w:val="center"/>
          </w:tcPr>
          <w:p w14:paraId="266AE55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64</w:t>
            </w:r>
          </w:p>
        </w:tc>
      </w:tr>
      <w:tr w:rsidR="00C22FE0" w:rsidRPr="00C22FE0" w14:paraId="31380936"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62E781EB"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Partially recovered (n)</w:t>
            </w:r>
          </w:p>
        </w:tc>
        <w:tc>
          <w:tcPr>
            <w:tcW w:w="1113" w:type="dxa"/>
            <w:tcBorders>
              <w:top w:val="nil"/>
              <w:left w:val="single" w:sz="8" w:space="0" w:color="auto"/>
              <w:bottom w:val="nil"/>
              <w:right w:val="single" w:sz="8" w:space="0" w:color="auto"/>
            </w:tcBorders>
            <w:shd w:val="clear" w:color="auto" w:fill="auto"/>
            <w:vAlign w:val="center"/>
          </w:tcPr>
          <w:p w14:paraId="666FF7F3"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109</w:t>
            </w:r>
          </w:p>
        </w:tc>
        <w:tc>
          <w:tcPr>
            <w:tcW w:w="1114" w:type="dxa"/>
            <w:tcBorders>
              <w:top w:val="nil"/>
              <w:left w:val="single" w:sz="8" w:space="0" w:color="auto"/>
              <w:bottom w:val="nil"/>
              <w:right w:val="single" w:sz="8" w:space="0" w:color="auto"/>
            </w:tcBorders>
            <w:shd w:val="clear" w:color="auto" w:fill="auto"/>
            <w:vAlign w:val="center"/>
          </w:tcPr>
          <w:p w14:paraId="70880E7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25</w:t>
            </w:r>
          </w:p>
        </w:tc>
        <w:tc>
          <w:tcPr>
            <w:tcW w:w="1114" w:type="dxa"/>
            <w:tcBorders>
              <w:top w:val="nil"/>
              <w:left w:val="single" w:sz="8" w:space="0" w:color="auto"/>
              <w:bottom w:val="nil"/>
              <w:right w:val="single" w:sz="8" w:space="0" w:color="auto"/>
            </w:tcBorders>
            <w:shd w:val="clear" w:color="auto" w:fill="auto"/>
            <w:vAlign w:val="center"/>
          </w:tcPr>
          <w:p w14:paraId="2EA0390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25</w:t>
            </w:r>
          </w:p>
        </w:tc>
        <w:tc>
          <w:tcPr>
            <w:tcW w:w="1113" w:type="dxa"/>
            <w:tcBorders>
              <w:top w:val="nil"/>
              <w:left w:val="single" w:sz="8" w:space="0" w:color="auto"/>
              <w:bottom w:val="nil"/>
              <w:right w:val="single" w:sz="8" w:space="0" w:color="auto"/>
            </w:tcBorders>
            <w:shd w:val="clear" w:color="auto" w:fill="auto"/>
            <w:vAlign w:val="center"/>
          </w:tcPr>
          <w:p w14:paraId="53B9CD1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25</w:t>
            </w:r>
          </w:p>
        </w:tc>
        <w:tc>
          <w:tcPr>
            <w:tcW w:w="1114" w:type="dxa"/>
            <w:tcBorders>
              <w:top w:val="nil"/>
              <w:left w:val="single" w:sz="8" w:space="0" w:color="auto"/>
              <w:bottom w:val="nil"/>
              <w:right w:val="single" w:sz="8" w:space="0" w:color="auto"/>
            </w:tcBorders>
            <w:shd w:val="clear" w:color="auto" w:fill="auto"/>
            <w:vAlign w:val="center"/>
          </w:tcPr>
          <w:p w14:paraId="19FDC0A0"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25</w:t>
            </w:r>
          </w:p>
        </w:tc>
        <w:tc>
          <w:tcPr>
            <w:tcW w:w="1114" w:type="dxa"/>
            <w:tcBorders>
              <w:top w:val="nil"/>
              <w:left w:val="single" w:sz="8" w:space="0" w:color="auto"/>
              <w:bottom w:val="nil"/>
              <w:right w:val="single" w:sz="8" w:space="0" w:color="auto"/>
            </w:tcBorders>
            <w:shd w:val="clear" w:color="auto" w:fill="auto"/>
            <w:vAlign w:val="center"/>
          </w:tcPr>
          <w:p w14:paraId="36D388B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25</w:t>
            </w:r>
          </w:p>
        </w:tc>
        <w:tc>
          <w:tcPr>
            <w:tcW w:w="1114" w:type="dxa"/>
            <w:tcBorders>
              <w:top w:val="nil"/>
              <w:left w:val="single" w:sz="8" w:space="0" w:color="auto"/>
              <w:bottom w:val="nil"/>
              <w:right w:val="single" w:sz="8" w:space="0" w:color="auto"/>
            </w:tcBorders>
            <w:shd w:val="clear" w:color="auto" w:fill="auto"/>
            <w:vAlign w:val="center"/>
          </w:tcPr>
          <w:p w14:paraId="6C310FC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25</w:t>
            </w:r>
          </w:p>
        </w:tc>
      </w:tr>
      <w:tr w:rsidR="00C22FE0" w:rsidRPr="00C22FE0" w14:paraId="6112DB41"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4DC61915"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No improvement (n)</w:t>
            </w:r>
          </w:p>
        </w:tc>
        <w:tc>
          <w:tcPr>
            <w:tcW w:w="1113" w:type="dxa"/>
            <w:tcBorders>
              <w:top w:val="nil"/>
              <w:left w:val="single" w:sz="8" w:space="0" w:color="auto"/>
              <w:bottom w:val="nil"/>
              <w:right w:val="single" w:sz="8" w:space="0" w:color="auto"/>
            </w:tcBorders>
            <w:shd w:val="clear" w:color="auto" w:fill="auto"/>
            <w:vAlign w:val="center"/>
          </w:tcPr>
          <w:p w14:paraId="43BD2AD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183</w:t>
            </w:r>
          </w:p>
        </w:tc>
        <w:tc>
          <w:tcPr>
            <w:tcW w:w="1114" w:type="dxa"/>
            <w:tcBorders>
              <w:top w:val="nil"/>
              <w:left w:val="single" w:sz="8" w:space="0" w:color="auto"/>
              <w:bottom w:val="nil"/>
              <w:right w:val="single" w:sz="8" w:space="0" w:color="auto"/>
            </w:tcBorders>
            <w:shd w:val="clear" w:color="auto" w:fill="auto"/>
            <w:vAlign w:val="center"/>
          </w:tcPr>
          <w:p w14:paraId="4B228A9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398</w:t>
            </w:r>
          </w:p>
        </w:tc>
        <w:tc>
          <w:tcPr>
            <w:tcW w:w="1114" w:type="dxa"/>
            <w:tcBorders>
              <w:top w:val="nil"/>
              <w:left w:val="single" w:sz="8" w:space="0" w:color="auto"/>
              <w:bottom w:val="nil"/>
              <w:right w:val="single" w:sz="8" w:space="0" w:color="auto"/>
            </w:tcBorders>
            <w:shd w:val="clear" w:color="auto" w:fill="auto"/>
            <w:vAlign w:val="center"/>
          </w:tcPr>
          <w:p w14:paraId="072BE46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398</w:t>
            </w:r>
          </w:p>
        </w:tc>
        <w:tc>
          <w:tcPr>
            <w:tcW w:w="1113" w:type="dxa"/>
            <w:tcBorders>
              <w:top w:val="nil"/>
              <w:left w:val="single" w:sz="8" w:space="0" w:color="auto"/>
              <w:bottom w:val="nil"/>
              <w:right w:val="single" w:sz="8" w:space="0" w:color="auto"/>
            </w:tcBorders>
            <w:shd w:val="clear" w:color="auto" w:fill="auto"/>
            <w:vAlign w:val="center"/>
          </w:tcPr>
          <w:p w14:paraId="39E60E9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398</w:t>
            </w:r>
          </w:p>
        </w:tc>
        <w:tc>
          <w:tcPr>
            <w:tcW w:w="1114" w:type="dxa"/>
            <w:tcBorders>
              <w:top w:val="nil"/>
              <w:left w:val="single" w:sz="8" w:space="0" w:color="auto"/>
              <w:bottom w:val="nil"/>
              <w:right w:val="single" w:sz="8" w:space="0" w:color="auto"/>
            </w:tcBorders>
            <w:shd w:val="clear" w:color="auto" w:fill="auto"/>
            <w:vAlign w:val="center"/>
          </w:tcPr>
          <w:p w14:paraId="49C9D7F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398</w:t>
            </w:r>
          </w:p>
        </w:tc>
        <w:tc>
          <w:tcPr>
            <w:tcW w:w="1114" w:type="dxa"/>
            <w:tcBorders>
              <w:top w:val="nil"/>
              <w:left w:val="single" w:sz="8" w:space="0" w:color="auto"/>
              <w:bottom w:val="nil"/>
              <w:right w:val="single" w:sz="8" w:space="0" w:color="auto"/>
            </w:tcBorders>
            <w:shd w:val="clear" w:color="auto" w:fill="auto"/>
            <w:vAlign w:val="center"/>
          </w:tcPr>
          <w:p w14:paraId="5F702D1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398</w:t>
            </w:r>
          </w:p>
        </w:tc>
        <w:tc>
          <w:tcPr>
            <w:tcW w:w="1114" w:type="dxa"/>
            <w:tcBorders>
              <w:top w:val="nil"/>
              <w:left w:val="single" w:sz="8" w:space="0" w:color="auto"/>
              <w:bottom w:val="nil"/>
              <w:right w:val="single" w:sz="8" w:space="0" w:color="auto"/>
            </w:tcBorders>
            <w:shd w:val="clear" w:color="auto" w:fill="auto"/>
            <w:vAlign w:val="center"/>
          </w:tcPr>
          <w:p w14:paraId="6D7FF62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398</w:t>
            </w:r>
          </w:p>
        </w:tc>
      </w:tr>
      <w:tr w:rsidR="00C22FE0" w:rsidRPr="00C22FE0" w14:paraId="056EECC4"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B724985"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Deteriorated (n)</w:t>
            </w:r>
          </w:p>
        </w:tc>
        <w:tc>
          <w:tcPr>
            <w:tcW w:w="1113" w:type="dxa"/>
            <w:tcBorders>
              <w:top w:val="nil"/>
              <w:left w:val="single" w:sz="8" w:space="0" w:color="auto"/>
              <w:bottom w:val="nil"/>
              <w:right w:val="single" w:sz="8" w:space="0" w:color="auto"/>
            </w:tcBorders>
            <w:shd w:val="clear" w:color="auto" w:fill="auto"/>
            <w:vAlign w:val="center"/>
          </w:tcPr>
          <w:p w14:paraId="5A7B454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32</w:t>
            </w:r>
          </w:p>
        </w:tc>
        <w:tc>
          <w:tcPr>
            <w:tcW w:w="1114" w:type="dxa"/>
            <w:tcBorders>
              <w:top w:val="nil"/>
              <w:left w:val="single" w:sz="8" w:space="0" w:color="auto"/>
              <w:bottom w:val="nil"/>
              <w:right w:val="single" w:sz="8" w:space="0" w:color="auto"/>
            </w:tcBorders>
            <w:shd w:val="clear" w:color="auto" w:fill="auto"/>
            <w:vAlign w:val="center"/>
          </w:tcPr>
          <w:p w14:paraId="461DF6C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90</w:t>
            </w:r>
          </w:p>
        </w:tc>
        <w:tc>
          <w:tcPr>
            <w:tcW w:w="1114" w:type="dxa"/>
            <w:tcBorders>
              <w:top w:val="nil"/>
              <w:left w:val="single" w:sz="8" w:space="0" w:color="auto"/>
              <w:bottom w:val="nil"/>
              <w:right w:val="single" w:sz="8" w:space="0" w:color="auto"/>
            </w:tcBorders>
            <w:shd w:val="clear" w:color="auto" w:fill="auto"/>
            <w:vAlign w:val="center"/>
          </w:tcPr>
          <w:p w14:paraId="06913AC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90</w:t>
            </w:r>
          </w:p>
        </w:tc>
        <w:tc>
          <w:tcPr>
            <w:tcW w:w="1113" w:type="dxa"/>
            <w:tcBorders>
              <w:top w:val="nil"/>
              <w:left w:val="single" w:sz="8" w:space="0" w:color="auto"/>
              <w:bottom w:val="nil"/>
              <w:right w:val="single" w:sz="8" w:space="0" w:color="auto"/>
            </w:tcBorders>
            <w:shd w:val="clear" w:color="auto" w:fill="auto"/>
            <w:vAlign w:val="center"/>
          </w:tcPr>
          <w:p w14:paraId="0C88181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90</w:t>
            </w:r>
          </w:p>
        </w:tc>
        <w:tc>
          <w:tcPr>
            <w:tcW w:w="1114" w:type="dxa"/>
            <w:tcBorders>
              <w:top w:val="nil"/>
              <w:left w:val="single" w:sz="8" w:space="0" w:color="auto"/>
              <w:bottom w:val="nil"/>
              <w:right w:val="single" w:sz="8" w:space="0" w:color="auto"/>
            </w:tcBorders>
            <w:shd w:val="clear" w:color="auto" w:fill="auto"/>
            <w:vAlign w:val="center"/>
          </w:tcPr>
          <w:p w14:paraId="5C110E9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90</w:t>
            </w:r>
          </w:p>
        </w:tc>
        <w:tc>
          <w:tcPr>
            <w:tcW w:w="1114" w:type="dxa"/>
            <w:tcBorders>
              <w:top w:val="nil"/>
              <w:left w:val="single" w:sz="8" w:space="0" w:color="auto"/>
              <w:bottom w:val="nil"/>
              <w:right w:val="single" w:sz="8" w:space="0" w:color="auto"/>
            </w:tcBorders>
            <w:shd w:val="clear" w:color="auto" w:fill="auto"/>
            <w:vAlign w:val="center"/>
          </w:tcPr>
          <w:p w14:paraId="156A51D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90</w:t>
            </w:r>
          </w:p>
        </w:tc>
        <w:tc>
          <w:tcPr>
            <w:tcW w:w="1114" w:type="dxa"/>
            <w:tcBorders>
              <w:top w:val="nil"/>
              <w:left w:val="single" w:sz="8" w:space="0" w:color="auto"/>
              <w:bottom w:val="nil"/>
              <w:right w:val="single" w:sz="8" w:space="0" w:color="auto"/>
            </w:tcBorders>
            <w:shd w:val="clear" w:color="auto" w:fill="auto"/>
            <w:vAlign w:val="center"/>
          </w:tcPr>
          <w:p w14:paraId="2AD340E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90</w:t>
            </w:r>
          </w:p>
        </w:tc>
      </w:tr>
      <w:tr w:rsidR="00C22FE0" w:rsidRPr="00C22FE0" w14:paraId="79BAA0E2"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B7DC9D0"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QALY</w:t>
            </w:r>
          </w:p>
        </w:tc>
        <w:tc>
          <w:tcPr>
            <w:tcW w:w="1113" w:type="dxa"/>
            <w:tcBorders>
              <w:top w:val="nil"/>
              <w:left w:val="single" w:sz="8" w:space="0" w:color="auto"/>
              <w:bottom w:val="nil"/>
              <w:right w:val="single" w:sz="8" w:space="0" w:color="auto"/>
            </w:tcBorders>
            <w:shd w:val="clear" w:color="auto" w:fill="auto"/>
            <w:vAlign w:val="center"/>
          </w:tcPr>
          <w:p w14:paraId="73B3E34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473</w:t>
            </w:r>
          </w:p>
        </w:tc>
        <w:tc>
          <w:tcPr>
            <w:tcW w:w="1114" w:type="dxa"/>
            <w:tcBorders>
              <w:top w:val="nil"/>
              <w:left w:val="single" w:sz="8" w:space="0" w:color="auto"/>
              <w:bottom w:val="nil"/>
              <w:right w:val="single" w:sz="8" w:space="0" w:color="auto"/>
            </w:tcBorders>
            <w:shd w:val="clear" w:color="auto" w:fill="auto"/>
            <w:vAlign w:val="center"/>
          </w:tcPr>
          <w:p w14:paraId="5723669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451</w:t>
            </w:r>
          </w:p>
        </w:tc>
        <w:tc>
          <w:tcPr>
            <w:tcW w:w="1114" w:type="dxa"/>
            <w:tcBorders>
              <w:top w:val="nil"/>
              <w:left w:val="single" w:sz="8" w:space="0" w:color="auto"/>
              <w:bottom w:val="nil"/>
              <w:right w:val="single" w:sz="8" w:space="0" w:color="auto"/>
            </w:tcBorders>
            <w:shd w:val="clear" w:color="auto" w:fill="auto"/>
            <w:vAlign w:val="center"/>
          </w:tcPr>
          <w:p w14:paraId="0423D7D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451</w:t>
            </w:r>
          </w:p>
        </w:tc>
        <w:tc>
          <w:tcPr>
            <w:tcW w:w="1113" w:type="dxa"/>
            <w:tcBorders>
              <w:top w:val="nil"/>
              <w:left w:val="single" w:sz="8" w:space="0" w:color="auto"/>
              <w:bottom w:val="nil"/>
              <w:right w:val="single" w:sz="8" w:space="0" w:color="auto"/>
            </w:tcBorders>
            <w:shd w:val="clear" w:color="auto" w:fill="auto"/>
            <w:vAlign w:val="center"/>
          </w:tcPr>
          <w:p w14:paraId="6E1B5DC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451</w:t>
            </w:r>
          </w:p>
        </w:tc>
        <w:tc>
          <w:tcPr>
            <w:tcW w:w="1114" w:type="dxa"/>
            <w:tcBorders>
              <w:top w:val="nil"/>
              <w:left w:val="single" w:sz="8" w:space="0" w:color="auto"/>
              <w:bottom w:val="nil"/>
              <w:right w:val="single" w:sz="8" w:space="0" w:color="auto"/>
            </w:tcBorders>
            <w:shd w:val="clear" w:color="auto" w:fill="auto"/>
            <w:vAlign w:val="center"/>
          </w:tcPr>
          <w:p w14:paraId="2AE9172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451</w:t>
            </w:r>
          </w:p>
        </w:tc>
        <w:tc>
          <w:tcPr>
            <w:tcW w:w="1114" w:type="dxa"/>
            <w:tcBorders>
              <w:top w:val="nil"/>
              <w:left w:val="single" w:sz="8" w:space="0" w:color="auto"/>
              <w:bottom w:val="nil"/>
              <w:right w:val="single" w:sz="8" w:space="0" w:color="auto"/>
            </w:tcBorders>
            <w:shd w:val="clear" w:color="auto" w:fill="auto"/>
            <w:vAlign w:val="center"/>
          </w:tcPr>
          <w:p w14:paraId="4B2ACD4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451</w:t>
            </w:r>
          </w:p>
        </w:tc>
        <w:tc>
          <w:tcPr>
            <w:tcW w:w="1114" w:type="dxa"/>
            <w:tcBorders>
              <w:top w:val="nil"/>
              <w:left w:val="single" w:sz="8" w:space="0" w:color="auto"/>
              <w:bottom w:val="nil"/>
              <w:right w:val="single" w:sz="8" w:space="0" w:color="auto"/>
            </w:tcBorders>
            <w:shd w:val="clear" w:color="auto" w:fill="auto"/>
            <w:vAlign w:val="center"/>
          </w:tcPr>
          <w:p w14:paraId="4411CB8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451</w:t>
            </w:r>
          </w:p>
        </w:tc>
      </w:tr>
      <w:tr w:rsidR="00C22FE0" w:rsidRPr="00C22FE0" w14:paraId="1D17A899"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7BAF4F1"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Total costs excluding productivity losses</w:t>
            </w:r>
          </w:p>
        </w:tc>
        <w:tc>
          <w:tcPr>
            <w:tcW w:w="1113" w:type="dxa"/>
            <w:tcBorders>
              <w:top w:val="nil"/>
              <w:left w:val="single" w:sz="8" w:space="0" w:color="auto"/>
              <w:bottom w:val="nil"/>
              <w:right w:val="single" w:sz="8" w:space="0" w:color="auto"/>
            </w:tcBorders>
            <w:shd w:val="clear" w:color="auto" w:fill="auto"/>
            <w:vAlign w:val="center"/>
          </w:tcPr>
          <w:p w14:paraId="2A537853"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$625,932</w:t>
            </w:r>
          </w:p>
        </w:tc>
        <w:tc>
          <w:tcPr>
            <w:tcW w:w="1114" w:type="dxa"/>
            <w:tcBorders>
              <w:top w:val="nil"/>
              <w:left w:val="single" w:sz="8" w:space="0" w:color="auto"/>
              <w:bottom w:val="nil"/>
              <w:right w:val="single" w:sz="8" w:space="0" w:color="auto"/>
            </w:tcBorders>
            <w:shd w:val="clear" w:color="auto" w:fill="auto"/>
            <w:vAlign w:val="center"/>
          </w:tcPr>
          <w:p w14:paraId="5F3BD98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$1,662,756</w:t>
            </w:r>
          </w:p>
        </w:tc>
        <w:tc>
          <w:tcPr>
            <w:tcW w:w="1114" w:type="dxa"/>
            <w:tcBorders>
              <w:top w:val="nil"/>
              <w:left w:val="single" w:sz="8" w:space="0" w:color="auto"/>
              <w:bottom w:val="nil"/>
              <w:right w:val="single" w:sz="8" w:space="0" w:color="auto"/>
            </w:tcBorders>
            <w:shd w:val="clear" w:color="auto" w:fill="auto"/>
            <w:vAlign w:val="center"/>
          </w:tcPr>
          <w:p w14:paraId="1614CD90"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$1,072,704</w:t>
            </w:r>
          </w:p>
        </w:tc>
        <w:tc>
          <w:tcPr>
            <w:tcW w:w="1113" w:type="dxa"/>
            <w:tcBorders>
              <w:top w:val="nil"/>
              <w:left w:val="single" w:sz="8" w:space="0" w:color="auto"/>
              <w:bottom w:val="nil"/>
              <w:right w:val="single" w:sz="8" w:space="0" w:color="auto"/>
            </w:tcBorders>
            <w:shd w:val="clear" w:color="auto" w:fill="auto"/>
            <w:vAlign w:val="center"/>
          </w:tcPr>
          <w:p w14:paraId="371EC5A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$381,833</w:t>
            </w:r>
          </w:p>
        </w:tc>
        <w:tc>
          <w:tcPr>
            <w:tcW w:w="1114" w:type="dxa"/>
            <w:tcBorders>
              <w:top w:val="nil"/>
              <w:left w:val="single" w:sz="8" w:space="0" w:color="auto"/>
              <w:bottom w:val="nil"/>
              <w:right w:val="single" w:sz="8" w:space="0" w:color="auto"/>
            </w:tcBorders>
            <w:shd w:val="clear" w:color="auto" w:fill="auto"/>
            <w:vAlign w:val="center"/>
          </w:tcPr>
          <w:p w14:paraId="3291AEA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$933,695</w:t>
            </w:r>
          </w:p>
        </w:tc>
        <w:tc>
          <w:tcPr>
            <w:tcW w:w="1114" w:type="dxa"/>
            <w:tcBorders>
              <w:top w:val="nil"/>
              <w:left w:val="single" w:sz="8" w:space="0" w:color="auto"/>
              <w:bottom w:val="nil"/>
              <w:right w:val="single" w:sz="8" w:space="0" w:color="auto"/>
            </w:tcBorders>
            <w:shd w:val="clear" w:color="auto" w:fill="auto"/>
            <w:vAlign w:val="center"/>
          </w:tcPr>
          <w:p w14:paraId="19E5F05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$2,928,165</w:t>
            </w:r>
          </w:p>
        </w:tc>
        <w:tc>
          <w:tcPr>
            <w:tcW w:w="1114" w:type="dxa"/>
            <w:tcBorders>
              <w:top w:val="nil"/>
              <w:left w:val="single" w:sz="8" w:space="0" w:color="auto"/>
              <w:bottom w:val="nil"/>
              <w:right w:val="single" w:sz="8" w:space="0" w:color="auto"/>
            </w:tcBorders>
            <w:shd w:val="clear" w:color="auto" w:fill="auto"/>
            <w:vAlign w:val="center"/>
          </w:tcPr>
          <w:p w14:paraId="25432CB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$1,570,276</w:t>
            </w:r>
          </w:p>
        </w:tc>
      </w:tr>
      <w:tr w:rsidR="00C22FE0" w:rsidRPr="00C22FE0" w14:paraId="5DB289E0"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FABC4EF"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Costs per QALY </w:t>
            </w:r>
          </w:p>
          <w:p w14:paraId="6BAEC602"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gained</w:t>
            </w:r>
          </w:p>
        </w:tc>
        <w:tc>
          <w:tcPr>
            <w:tcW w:w="1113" w:type="dxa"/>
            <w:tcBorders>
              <w:top w:val="nil"/>
              <w:left w:val="single" w:sz="8" w:space="0" w:color="auto"/>
              <w:bottom w:val="nil"/>
              <w:right w:val="single" w:sz="8" w:space="0" w:color="auto"/>
            </w:tcBorders>
            <w:shd w:val="clear" w:color="auto" w:fill="auto"/>
            <w:vAlign w:val="center"/>
          </w:tcPr>
          <w:p w14:paraId="2AEF3BF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w:t>
            </w:r>
          </w:p>
        </w:tc>
        <w:tc>
          <w:tcPr>
            <w:tcW w:w="1114" w:type="dxa"/>
            <w:tcBorders>
              <w:top w:val="nil"/>
              <w:left w:val="single" w:sz="8" w:space="0" w:color="auto"/>
              <w:bottom w:val="nil"/>
              <w:right w:val="single" w:sz="8" w:space="0" w:color="auto"/>
            </w:tcBorders>
            <w:shd w:val="clear" w:color="auto" w:fill="auto"/>
            <w:vAlign w:val="center"/>
          </w:tcPr>
          <w:p w14:paraId="36DCCC6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4F9A321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3" w:type="dxa"/>
            <w:tcBorders>
              <w:top w:val="nil"/>
              <w:left w:val="single" w:sz="8" w:space="0" w:color="auto"/>
              <w:bottom w:val="nil"/>
              <w:right w:val="single" w:sz="8" w:space="0" w:color="auto"/>
            </w:tcBorders>
            <w:shd w:val="clear" w:color="auto" w:fill="auto"/>
            <w:vAlign w:val="center"/>
          </w:tcPr>
          <w:p w14:paraId="69801EF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$11,570</w:t>
            </w:r>
          </w:p>
        </w:tc>
        <w:tc>
          <w:tcPr>
            <w:tcW w:w="1114" w:type="dxa"/>
            <w:tcBorders>
              <w:top w:val="nil"/>
              <w:left w:val="single" w:sz="8" w:space="0" w:color="auto"/>
              <w:bottom w:val="nil"/>
              <w:right w:val="single" w:sz="8" w:space="0" w:color="auto"/>
            </w:tcBorders>
            <w:shd w:val="clear" w:color="auto" w:fill="auto"/>
            <w:vAlign w:val="center"/>
          </w:tcPr>
          <w:p w14:paraId="7331445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4418CB6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063FEEA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r>
      <w:tr w:rsidR="00C22FE0" w:rsidRPr="00C22FE0" w14:paraId="3A5E65F4"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5604C17"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Total costs including productivity losses     </w:t>
            </w:r>
          </w:p>
        </w:tc>
        <w:tc>
          <w:tcPr>
            <w:tcW w:w="1113" w:type="dxa"/>
            <w:tcBorders>
              <w:top w:val="nil"/>
              <w:left w:val="single" w:sz="8" w:space="0" w:color="auto"/>
              <w:bottom w:val="nil"/>
              <w:right w:val="single" w:sz="8" w:space="0" w:color="auto"/>
            </w:tcBorders>
            <w:shd w:val="clear" w:color="auto" w:fill="auto"/>
            <w:vAlign w:val="center"/>
          </w:tcPr>
          <w:p w14:paraId="7A53CF8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$1,135,897</w:t>
            </w:r>
          </w:p>
        </w:tc>
        <w:tc>
          <w:tcPr>
            <w:tcW w:w="1114" w:type="dxa"/>
            <w:tcBorders>
              <w:top w:val="nil"/>
              <w:left w:val="single" w:sz="8" w:space="0" w:color="auto"/>
              <w:bottom w:val="nil"/>
              <w:right w:val="single" w:sz="8" w:space="0" w:color="auto"/>
            </w:tcBorders>
            <w:shd w:val="clear" w:color="auto" w:fill="auto"/>
            <w:vAlign w:val="center"/>
          </w:tcPr>
          <w:p w14:paraId="7C4DE26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$6,575,837</w:t>
            </w:r>
          </w:p>
        </w:tc>
        <w:tc>
          <w:tcPr>
            <w:tcW w:w="1114" w:type="dxa"/>
            <w:tcBorders>
              <w:top w:val="nil"/>
              <w:left w:val="single" w:sz="8" w:space="0" w:color="auto"/>
              <w:bottom w:val="nil"/>
              <w:right w:val="single" w:sz="8" w:space="0" w:color="auto"/>
            </w:tcBorders>
            <w:shd w:val="clear" w:color="auto" w:fill="auto"/>
            <w:vAlign w:val="center"/>
          </w:tcPr>
          <w:p w14:paraId="52F2B02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$10,463,349</w:t>
            </w:r>
          </w:p>
        </w:tc>
        <w:tc>
          <w:tcPr>
            <w:tcW w:w="1113" w:type="dxa"/>
            <w:tcBorders>
              <w:top w:val="nil"/>
              <w:left w:val="single" w:sz="8" w:space="0" w:color="auto"/>
              <w:bottom w:val="nil"/>
              <w:right w:val="single" w:sz="8" w:space="0" w:color="auto"/>
            </w:tcBorders>
            <w:shd w:val="clear" w:color="auto" w:fill="auto"/>
            <w:vAlign w:val="center"/>
          </w:tcPr>
          <w:p w14:paraId="435DA1D0"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$2,833,304</w:t>
            </w:r>
          </w:p>
        </w:tc>
        <w:tc>
          <w:tcPr>
            <w:tcW w:w="1114" w:type="dxa"/>
            <w:tcBorders>
              <w:top w:val="nil"/>
              <w:left w:val="single" w:sz="8" w:space="0" w:color="auto"/>
              <w:bottom w:val="nil"/>
              <w:right w:val="single" w:sz="8" w:space="0" w:color="auto"/>
            </w:tcBorders>
            <w:shd w:val="clear" w:color="auto" w:fill="auto"/>
            <w:vAlign w:val="center"/>
          </w:tcPr>
          <w:p w14:paraId="7A157EE0"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$10,330,906</w:t>
            </w:r>
          </w:p>
        </w:tc>
        <w:tc>
          <w:tcPr>
            <w:tcW w:w="1114" w:type="dxa"/>
            <w:tcBorders>
              <w:top w:val="nil"/>
              <w:left w:val="single" w:sz="8" w:space="0" w:color="auto"/>
              <w:bottom w:val="nil"/>
              <w:right w:val="single" w:sz="8" w:space="0" w:color="auto"/>
            </w:tcBorders>
            <w:shd w:val="clear" w:color="auto" w:fill="auto"/>
            <w:vAlign w:val="center"/>
          </w:tcPr>
          <w:p w14:paraId="25B1612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$10,274,227</w:t>
            </w:r>
          </w:p>
        </w:tc>
        <w:tc>
          <w:tcPr>
            <w:tcW w:w="1114" w:type="dxa"/>
            <w:tcBorders>
              <w:top w:val="nil"/>
              <w:left w:val="single" w:sz="8" w:space="0" w:color="auto"/>
              <w:bottom w:val="nil"/>
              <w:right w:val="single" w:sz="8" w:space="0" w:color="auto"/>
            </w:tcBorders>
            <w:shd w:val="clear" w:color="auto" w:fill="auto"/>
            <w:vAlign w:val="center"/>
          </w:tcPr>
          <w:p w14:paraId="20E989F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$9,981,887</w:t>
            </w:r>
          </w:p>
        </w:tc>
      </w:tr>
      <w:tr w:rsidR="00C22FE0" w:rsidRPr="00C22FE0" w14:paraId="253048C1"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single" w:sz="4" w:space="0" w:color="auto"/>
              <w:right w:val="single" w:sz="8" w:space="0" w:color="auto"/>
            </w:tcBorders>
            <w:shd w:val="clear" w:color="auto" w:fill="auto"/>
            <w:noWrap/>
            <w:vAlign w:val="center"/>
          </w:tcPr>
          <w:p w14:paraId="527A1556"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Costs per QALY </w:t>
            </w:r>
          </w:p>
          <w:p w14:paraId="309159F6"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gained</w:t>
            </w:r>
          </w:p>
        </w:tc>
        <w:tc>
          <w:tcPr>
            <w:tcW w:w="1113" w:type="dxa"/>
            <w:tcBorders>
              <w:top w:val="nil"/>
              <w:left w:val="single" w:sz="8" w:space="0" w:color="auto"/>
              <w:bottom w:val="single" w:sz="4" w:space="0" w:color="auto"/>
              <w:right w:val="single" w:sz="8" w:space="0" w:color="auto"/>
            </w:tcBorders>
            <w:shd w:val="clear" w:color="auto" w:fill="auto"/>
            <w:vAlign w:val="center"/>
          </w:tcPr>
          <w:p w14:paraId="5335046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w:t>
            </w:r>
          </w:p>
        </w:tc>
        <w:tc>
          <w:tcPr>
            <w:tcW w:w="1114" w:type="dxa"/>
            <w:tcBorders>
              <w:top w:val="nil"/>
              <w:left w:val="single" w:sz="8" w:space="0" w:color="auto"/>
              <w:bottom w:val="single" w:sz="4" w:space="0" w:color="auto"/>
              <w:right w:val="single" w:sz="8" w:space="0" w:color="auto"/>
            </w:tcBorders>
            <w:shd w:val="clear" w:color="auto" w:fill="auto"/>
            <w:vAlign w:val="center"/>
          </w:tcPr>
          <w:p w14:paraId="33F72C6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2C6E3ED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3" w:type="dxa"/>
            <w:tcBorders>
              <w:top w:val="nil"/>
              <w:left w:val="single" w:sz="8" w:space="0" w:color="auto"/>
              <w:bottom w:val="single" w:sz="4" w:space="0" w:color="auto"/>
              <w:right w:val="single" w:sz="8" w:space="0" w:color="auto"/>
            </w:tcBorders>
            <w:shd w:val="clear" w:color="auto" w:fill="auto"/>
            <w:vAlign w:val="center"/>
          </w:tcPr>
          <w:p w14:paraId="1C6E4B8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4E551A9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31E9FFC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7907395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r>
    </w:tbl>
    <w:p w14:paraId="4863CEC8" w14:textId="77777777" w:rsidR="00C22FE0" w:rsidRPr="00C22FE0" w:rsidRDefault="00C22FE0" w:rsidP="00C22FE0">
      <w:pPr>
        <w:snapToGrid w:val="0"/>
        <w:rPr>
          <w:rFonts w:asciiTheme="minorHAnsi" w:hAnsiTheme="minorHAnsi" w:cstheme="minorHAnsi"/>
          <w:iCs/>
          <w:sz w:val="16"/>
          <w:szCs w:val="16"/>
          <w:vertAlign w:val="superscript"/>
        </w:rPr>
      </w:pPr>
      <w:r w:rsidRPr="00C22FE0">
        <w:rPr>
          <w:rFonts w:asciiTheme="minorHAnsi" w:hAnsiTheme="minorHAnsi" w:cstheme="minorHAnsi"/>
          <w:iCs/>
          <w:sz w:val="16"/>
          <w:szCs w:val="16"/>
        </w:rPr>
        <w:t>A ‘dominant’ costs per QALY gained indicates that the DMHS was found to have lower costs and greater benefits.</w:t>
      </w:r>
    </w:p>
    <w:p w14:paraId="3800B11D" w14:textId="66C875D2" w:rsidR="00C22FE0" w:rsidRPr="00C22FE0" w:rsidRDefault="00C22FE0" w:rsidP="00C22FE0">
      <w:pPr>
        <w:snapToGrid w:val="0"/>
        <w:rPr>
          <w:rFonts w:asciiTheme="minorHAnsi" w:hAnsiTheme="minorHAnsi" w:cstheme="minorHAnsi"/>
          <w:iCs/>
          <w:sz w:val="16"/>
          <w:szCs w:val="16"/>
        </w:rPr>
      </w:pPr>
      <w:proofErr w:type="spellStart"/>
      <w:r w:rsidRPr="00C22FE0">
        <w:rPr>
          <w:rFonts w:asciiTheme="minorHAnsi" w:hAnsiTheme="minorHAnsi" w:cstheme="minorHAnsi"/>
          <w:iCs/>
          <w:sz w:val="16"/>
          <w:szCs w:val="16"/>
          <w:vertAlign w:val="superscript"/>
        </w:rPr>
        <w:t>a</w:t>
      </w:r>
      <w:r w:rsidRPr="00C22FE0">
        <w:rPr>
          <w:rFonts w:asciiTheme="minorHAnsi" w:hAnsiTheme="minorHAnsi" w:cstheme="minorHAnsi"/>
          <w:iCs/>
          <w:sz w:val="16"/>
          <w:szCs w:val="16"/>
        </w:rPr>
        <w:t>Based</w:t>
      </w:r>
      <w:proofErr w:type="spellEnd"/>
      <w:r w:rsidRPr="00C22FE0">
        <w:rPr>
          <w:rFonts w:asciiTheme="minorHAnsi" w:hAnsiTheme="minorHAnsi" w:cstheme="minorHAnsi"/>
          <w:iCs/>
          <w:sz w:val="16"/>
          <w:szCs w:val="16"/>
        </w:rPr>
        <w:t xml:space="preserve"> on (</w:t>
      </w:r>
      <w:proofErr w:type="spellStart"/>
      <w:r w:rsidRPr="00C22FE0">
        <w:rPr>
          <w:rFonts w:asciiTheme="minorHAnsi" w:hAnsiTheme="minorHAnsi" w:cstheme="minorHAnsi"/>
          <w:iCs/>
          <w:sz w:val="16"/>
          <w:szCs w:val="16"/>
        </w:rPr>
        <w:t>i</w:t>
      </w:r>
      <w:proofErr w:type="spellEnd"/>
      <w:r w:rsidRPr="00C22FE0">
        <w:rPr>
          <w:rFonts w:asciiTheme="minorHAnsi" w:hAnsiTheme="minorHAnsi" w:cstheme="minorHAnsi"/>
          <w:iCs/>
          <w:sz w:val="16"/>
          <w:szCs w:val="16"/>
        </w:rPr>
        <w:t xml:space="preserve">) an input population of 7,354 consumers and annual cost of service delivery per consumer as reported in Table </w:t>
      </w:r>
      <w:r w:rsidR="2994E5E7" w:rsidRPr="452D831E">
        <w:rPr>
          <w:rFonts w:asciiTheme="minorHAnsi" w:hAnsiTheme="minorHAnsi" w:cstheme="minorBidi"/>
          <w:sz w:val="16"/>
          <w:szCs w:val="16"/>
        </w:rPr>
        <w:t>52</w:t>
      </w:r>
      <w:r w:rsidRPr="00C22FE0">
        <w:rPr>
          <w:rFonts w:asciiTheme="minorHAnsi" w:hAnsiTheme="minorHAnsi" w:cstheme="minorHAnsi"/>
          <w:iCs/>
          <w:sz w:val="16"/>
          <w:szCs w:val="16"/>
        </w:rPr>
        <w:t xml:space="preserve"> and (ii) health care cost and productivity losses as reported in Table </w:t>
      </w:r>
      <w:r w:rsidR="2994E5E7" w:rsidRPr="452D831E">
        <w:rPr>
          <w:rFonts w:asciiTheme="minorHAnsi" w:hAnsiTheme="minorHAnsi" w:cstheme="minorBidi"/>
          <w:sz w:val="16"/>
          <w:szCs w:val="16"/>
        </w:rPr>
        <w:t>58</w:t>
      </w:r>
      <w:r w:rsidRPr="00C22FE0">
        <w:rPr>
          <w:rFonts w:asciiTheme="minorHAnsi" w:hAnsiTheme="minorHAnsi" w:cstheme="minorHAnsi"/>
          <w:iCs/>
          <w:sz w:val="16"/>
          <w:szCs w:val="16"/>
        </w:rPr>
        <w:t>.</w:t>
      </w:r>
    </w:p>
    <w:p w14:paraId="0D9772F1" w14:textId="5B01C5ED" w:rsidR="00C22FE0" w:rsidRPr="00C22FE0" w:rsidRDefault="00C22FE0" w:rsidP="00C22FE0">
      <w:pPr>
        <w:snapToGrid w:val="0"/>
        <w:rPr>
          <w:rFonts w:asciiTheme="minorHAnsi" w:hAnsiTheme="minorHAnsi" w:cstheme="minorHAnsi"/>
          <w:iCs/>
          <w:sz w:val="16"/>
          <w:szCs w:val="16"/>
        </w:rPr>
      </w:pPr>
      <w:proofErr w:type="spellStart"/>
      <w:r w:rsidRPr="00C22FE0">
        <w:rPr>
          <w:rFonts w:asciiTheme="minorHAnsi" w:hAnsiTheme="minorHAnsi" w:cstheme="minorHAnsi"/>
          <w:iCs/>
          <w:sz w:val="16"/>
          <w:szCs w:val="16"/>
          <w:vertAlign w:val="superscript"/>
        </w:rPr>
        <w:t>b</w:t>
      </w:r>
      <w:r w:rsidRPr="00C22FE0">
        <w:rPr>
          <w:rFonts w:asciiTheme="minorHAnsi" w:hAnsiTheme="minorHAnsi" w:cstheme="minorHAnsi"/>
          <w:iCs/>
          <w:sz w:val="16"/>
          <w:szCs w:val="16"/>
        </w:rPr>
        <w:t>B</w:t>
      </w:r>
      <w:r w:rsidRPr="00C22FE0">
        <w:rPr>
          <w:rFonts w:asciiTheme="minorHAnsi" w:hAnsiTheme="minorHAnsi" w:cstheme="minorHAnsi"/>
          <w:iCs/>
          <w:color w:val="44546A" w:themeColor="text2"/>
          <w:sz w:val="16"/>
          <w:szCs w:val="16"/>
        </w:rPr>
        <w:t>a</w:t>
      </w:r>
      <w:r w:rsidRPr="00C22FE0">
        <w:rPr>
          <w:rFonts w:asciiTheme="minorHAnsi" w:hAnsiTheme="minorHAnsi" w:cstheme="minorHAnsi"/>
          <w:iCs/>
          <w:sz w:val="16"/>
          <w:szCs w:val="16"/>
        </w:rPr>
        <w:t>sed</w:t>
      </w:r>
      <w:proofErr w:type="spellEnd"/>
      <w:r w:rsidRPr="00C22FE0">
        <w:rPr>
          <w:rFonts w:asciiTheme="minorHAnsi" w:hAnsiTheme="minorHAnsi" w:cstheme="minorHAnsi"/>
          <w:iCs/>
          <w:sz w:val="16"/>
          <w:szCs w:val="16"/>
        </w:rPr>
        <w:t xml:space="preserve"> on (</w:t>
      </w:r>
      <w:proofErr w:type="spellStart"/>
      <w:r w:rsidRPr="00C22FE0">
        <w:rPr>
          <w:rFonts w:asciiTheme="minorHAnsi" w:hAnsiTheme="minorHAnsi" w:cstheme="minorHAnsi"/>
          <w:iCs/>
          <w:sz w:val="16"/>
          <w:szCs w:val="16"/>
        </w:rPr>
        <w:t>i</w:t>
      </w:r>
      <w:proofErr w:type="spellEnd"/>
      <w:r w:rsidRPr="00C22FE0">
        <w:rPr>
          <w:rFonts w:asciiTheme="minorHAnsi" w:hAnsiTheme="minorHAnsi" w:cstheme="minorHAnsi"/>
          <w:iCs/>
          <w:sz w:val="16"/>
          <w:szCs w:val="16"/>
        </w:rPr>
        <w:t xml:space="preserve">) an input population of 578 consumers and annual cost of service delivery per consumer as reported in Table </w:t>
      </w:r>
      <w:r w:rsidR="2994E5E7" w:rsidRPr="452D831E">
        <w:rPr>
          <w:rFonts w:asciiTheme="minorHAnsi" w:hAnsiTheme="minorHAnsi" w:cstheme="minorBidi"/>
          <w:sz w:val="16"/>
          <w:szCs w:val="16"/>
        </w:rPr>
        <w:t>52</w:t>
      </w:r>
      <w:r w:rsidRPr="00C22FE0">
        <w:rPr>
          <w:rFonts w:asciiTheme="minorHAnsi" w:hAnsiTheme="minorHAnsi" w:cstheme="minorHAnsi"/>
          <w:iCs/>
          <w:sz w:val="16"/>
          <w:szCs w:val="16"/>
        </w:rPr>
        <w:t xml:space="preserve"> and (ii) health care cost and productivity losses as reported in Table </w:t>
      </w:r>
      <w:r w:rsidR="2994E5E7" w:rsidRPr="452D831E">
        <w:rPr>
          <w:rFonts w:asciiTheme="minorHAnsi" w:hAnsiTheme="minorHAnsi" w:cstheme="minorBidi"/>
          <w:sz w:val="16"/>
          <w:szCs w:val="16"/>
        </w:rPr>
        <w:t>58</w:t>
      </w:r>
      <w:r w:rsidRPr="00C22FE0">
        <w:rPr>
          <w:rFonts w:asciiTheme="minorHAnsi" w:hAnsiTheme="minorHAnsi" w:cstheme="minorHAnsi"/>
          <w:iCs/>
          <w:sz w:val="16"/>
          <w:szCs w:val="16"/>
        </w:rPr>
        <w:t>.</w:t>
      </w:r>
    </w:p>
    <w:p w14:paraId="4DA1B08C" w14:textId="77777777" w:rsidR="00045050" w:rsidRDefault="00045050">
      <w:pPr>
        <w:spacing w:after="200"/>
        <w:rPr>
          <w:rFonts w:asciiTheme="minorHAnsi" w:eastAsiaTheme="majorEastAsia" w:hAnsiTheme="minorHAnsi" w:cstheme="majorBidi"/>
          <w:b/>
          <w:color w:val="000000" w:themeColor="text1"/>
          <w:sz w:val="21"/>
          <w:szCs w:val="21"/>
          <w:lang w:val="en-US" w:eastAsia="en-US"/>
        </w:rPr>
      </w:pPr>
      <w:r>
        <w:rPr>
          <w:rFonts w:asciiTheme="minorHAnsi" w:eastAsiaTheme="majorEastAsia" w:hAnsiTheme="minorHAnsi" w:cstheme="majorBidi"/>
          <w:b/>
          <w:color w:val="000000" w:themeColor="text1"/>
          <w:sz w:val="21"/>
          <w:szCs w:val="21"/>
          <w:lang w:val="en-US" w:eastAsia="en-US"/>
        </w:rPr>
        <w:br w:type="page"/>
      </w:r>
    </w:p>
    <w:p w14:paraId="41C8C566" w14:textId="7A144579" w:rsidR="00C22FE0" w:rsidRPr="00C22FE0" w:rsidRDefault="00C22FE0" w:rsidP="00C22FE0">
      <w:pPr>
        <w:keepLines/>
        <w:spacing w:after="120"/>
        <w:outlineLvl w:val="2"/>
        <w:rPr>
          <w:rFonts w:asciiTheme="minorHAnsi" w:eastAsiaTheme="majorEastAsia" w:hAnsiTheme="minorHAnsi" w:cstheme="majorBidi"/>
          <w:b/>
          <w:color w:val="000000" w:themeColor="text1"/>
          <w:sz w:val="21"/>
          <w:szCs w:val="21"/>
          <w:lang w:val="en-US" w:eastAsia="en-US"/>
        </w:rPr>
      </w:pPr>
      <w:r w:rsidRPr="00C22FE0">
        <w:rPr>
          <w:rFonts w:asciiTheme="minorHAnsi" w:eastAsiaTheme="majorEastAsia" w:hAnsiTheme="minorHAnsi" w:cstheme="majorBidi"/>
          <w:b/>
          <w:color w:val="000000" w:themeColor="text1"/>
          <w:sz w:val="21"/>
          <w:szCs w:val="21"/>
          <w:lang w:val="en-US" w:eastAsia="en-US"/>
        </w:rPr>
        <w:lastRenderedPageBreak/>
        <w:t xml:space="preserve">Table </w:t>
      </w:r>
      <w:r w:rsidR="00C754B0">
        <w:rPr>
          <w:rFonts w:asciiTheme="minorHAnsi" w:eastAsiaTheme="majorEastAsia" w:hAnsiTheme="minorHAnsi" w:cstheme="majorBidi"/>
          <w:b/>
          <w:color w:val="000000" w:themeColor="text1"/>
          <w:sz w:val="21"/>
          <w:szCs w:val="21"/>
          <w:lang w:val="en-US" w:eastAsia="en-US"/>
        </w:rPr>
        <w:t>L2</w:t>
      </w:r>
      <w:r w:rsidRPr="00045050">
        <w:rPr>
          <w:rFonts w:asciiTheme="minorHAnsi" w:eastAsiaTheme="majorEastAsia" w:hAnsiTheme="minorHAnsi" w:cstheme="majorBidi"/>
          <w:b/>
          <w:color w:val="000000" w:themeColor="text1"/>
          <w:sz w:val="21"/>
          <w:szCs w:val="21"/>
          <w:lang w:val="en-US" w:eastAsia="en-US"/>
        </w:rPr>
        <w:t>.2</w:t>
      </w:r>
      <w:r w:rsidRPr="00C22FE0">
        <w:rPr>
          <w:rFonts w:asciiTheme="minorHAnsi" w:eastAsiaTheme="majorEastAsia" w:hAnsiTheme="minorHAnsi" w:cstheme="majorBidi"/>
          <w:b/>
          <w:color w:val="000000" w:themeColor="text1"/>
          <w:sz w:val="21"/>
          <w:szCs w:val="21"/>
          <w:lang w:val="en-US" w:eastAsia="en-US"/>
        </w:rPr>
        <w:t xml:space="preserve"> Results of economic modelling for </w:t>
      </w:r>
      <w:proofErr w:type="spellStart"/>
      <w:r w:rsidRPr="00C22FE0">
        <w:rPr>
          <w:rFonts w:asciiTheme="minorHAnsi" w:eastAsiaTheme="majorEastAsia" w:hAnsiTheme="minorHAnsi" w:cstheme="majorBidi"/>
          <w:b/>
          <w:color w:val="000000" w:themeColor="text1"/>
          <w:sz w:val="21"/>
          <w:szCs w:val="21"/>
          <w:lang w:val="en-US" w:eastAsia="en-US"/>
        </w:rPr>
        <w:t>MindSpot</w:t>
      </w:r>
      <w:proofErr w:type="spellEnd"/>
      <w:r w:rsidRPr="00C22FE0">
        <w:rPr>
          <w:rFonts w:asciiTheme="minorHAnsi" w:eastAsiaTheme="majorEastAsia" w:hAnsiTheme="minorHAnsi" w:cstheme="majorBidi"/>
          <w:b/>
          <w:color w:val="000000" w:themeColor="text1"/>
          <w:sz w:val="21"/>
          <w:szCs w:val="21"/>
          <w:lang w:val="en-US" w:eastAsia="en-US"/>
        </w:rPr>
        <w:t xml:space="preserve"> (utility values based on GAD-7 cut-off points)</w:t>
      </w:r>
    </w:p>
    <w:tbl>
      <w:tblPr>
        <w:tblStyle w:val="PlainTable413"/>
        <w:tblW w:w="9629" w:type="dxa"/>
        <w:tblInd w:w="0" w:type="dxa"/>
        <w:tblBorders>
          <w:top w:val="single" w:sz="8" w:space="0" w:color="auto"/>
          <w:left w:val="single" w:sz="8" w:space="0" w:color="auto"/>
          <w:bottom w:val="single" w:sz="8" w:space="0" w:color="auto"/>
          <w:right w:val="single" w:sz="8" w:space="0" w:color="auto"/>
          <w:insideV w:val="single" w:sz="8" w:space="0" w:color="auto"/>
        </w:tblBorders>
        <w:tblLayout w:type="fixed"/>
        <w:tblLook w:val="04A0" w:firstRow="1" w:lastRow="0" w:firstColumn="1" w:lastColumn="0" w:noHBand="0" w:noVBand="1"/>
        <w:tblCaption w:val="Table L2.2 Results of economic modelling for MindSpot (utility values based on GAD-7 cut-off points)"/>
        <w:tblDescription w:val="A table presenting the economic modelling results for MindSpot in comparison to all indirect comparator groups. This is a sensitivity analysis conducted by using the utility values based on Generalized Anxiety Disorder 7 cut-off points. The results include the numbers of input population, fully recovered, partially recovered, no improvement, deteriorated, quality-adjusted life years, total costs including and excluding productivity losses and costs per quality-adjusted life years gained. Items were presented by self-directed treatment and therapist-supported treatment."/>
      </w:tblPr>
      <w:tblGrid>
        <w:gridCol w:w="1833"/>
        <w:gridCol w:w="1113"/>
        <w:gridCol w:w="1114"/>
        <w:gridCol w:w="1114"/>
        <w:gridCol w:w="1113"/>
        <w:gridCol w:w="1114"/>
        <w:gridCol w:w="1114"/>
        <w:gridCol w:w="1114"/>
      </w:tblGrid>
      <w:tr w:rsidR="00C22FE0" w:rsidRPr="00C22FE0" w14:paraId="7B3787D0" w14:textId="77777777" w:rsidTr="00A56C43">
        <w:trPr>
          <w:cnfStyle w:val="100000000000" w:firstRow="1" w:lastRow="0" w:firstColumn="0" w:lastColumn="0" w:oddVBand="0" w:evenVBand="0" w:oddHBand="0" w:evenHBand="0" w:firstRowFirstColumn="0" w:firstRowLastColumn="0" w:lastRowFirstColumn="0" w:lastRowLastColumn="0"/>
          <w:trHeight w:val="969"/>
          <w:tblHeader/>
        </w:trPr>
        <w:tc>
          <w:tcPr>
            <w:cnfStyle w:val="001000000000" w:firstRow="0" w:lastRow="0" w:firstColumn="1" w:lastColumn="0" w:oddVBand="0" w:evenVBand="0" w:oddHBand="0" w:evenHBand="0" w:firstRowFirstColumn="0" w:firstRowLastColumn="0" w:lastRowFirstColumn="0" w:lastRowLastColumn="0"/>
            <w:tcW w:w="1833" w:type="dxa"/>
            <w:tcBorders>
              <w:top w:val="single" w:sz="8" w:space="0" w:color="auto"/>
              <w:left w:val="single" w:sz="8" w:space="0" w:color="auto"/>
              <w:bottom w:val="nil"/>
              <w:right w:val="single" w:sz="8" w:space="0" w:color="auto"/>
            </w:tcBorders>
            <w:shd w:val="clear" w:color="auto" w:fill="000000" w:themeFill="text1"/>
            <w:noWrap/>
            <w:vAlign w:val="center"/>
            <w:hideMark/>
          </w:tcPr>
          <w:p w14:paraId="4E49B6D1" w14:textId="77777777" w:rsidR="00C22FE0" w:rsidRPr="00C22FE0" w:rsidRDefault="00C22FE0" w:rsidP="00C22FE0">
            <w:pPr>
              <w:snapToGrid w:val="0"/>
              <w:rPr>
                <w:rFonts w:ascii="Calibri" w:hAnsi="Calibri" w:cs="Calibri"/>
                <w:color w:val="FFFFFF" w:themeColor="background1"/>
                <w:sz w:val="18"/>
                <w:szCs w:val="18"/>
                <w:lang w:eastAsia="en-AU"/>
              </w:rPr>
            </w:pPr>
          </w:p>
        </w:tc>
        <w:tc>
          <w:tcPr>
            <w:tcW w:w="1113" w:type="dxa"/>
            <w:tcBorders>
              <w:top w:val="single" w:sz="8" w:space="0" w:color="auto"/>
              <w:left w:val="single" w:sz="8" w:space="0" w:color="auto"/>
              <w:right w:val="single" w:sz="8" w:space="0" w:color="auto"/>
            </w:tcBorders>
            <w:shd w:val="clear" w:color="auto" w:fill="000000" w:themeFill="text1"/>
            <w:vAlign w:val="center"/>
          </w:tcPr>
          <w:p w14:paraId="7CF744D1"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proofErr w:type="spellStart"/>
            <w:r w:rsidRPr="00C22FE0">
              <w:rPr>
                <w:rFonts w:ascii="Calibri" w:hAnsi="Calibri" w:cs="Calibri"/>
                <w:color w:val="FFFFFF" w:themeColor="background1"/>
                <w:sz w:val="16"/>
                <w:szCs w:val="16"/>
                <w:lang w:eastAsia="en-AU"/>
              </w:rPr>
              <w:t>MindSpot</w:t>
            </w:r>
            <w:proofErr w:type="spellEnd"/>
          </w:p>
        </w:tc>
        <w:tc>
          <w:tcPr>
            <w:tcW w:w="1114" w:type="dxa"/>
            <w:tcBorders>
              <w:top w:val="single" w:sz="8" w:space="0" w:color="auto"/>
              <w:left w:val="single" w:sz="8" w:space="0" w:color="auto"/>
              <w:right w:val="single" w:sz="8" w:space="0" w:color="auto"/>
            </w:tcBorders>
            <w:shd w:val="clear" w:color="auto" w:fill="000000" w:themeFill="text1"/>
            <w:vAlign w:val="center"/>
          </w:tcPr>
          <w:p w14:paraId="3517FE69"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Indirect comparator: Link-me</w:t>
            </w:r>
          </w:p>
          <w:p w14:paraId="7487DEFA"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w:t>
            </w:r>
            <w:proofErr w:type="gramStart"/>
            <w:r w:rsidRPr="00C22FE0">
              <w:rPr>
                <w:rFonts w:ascii="Calibri" w:hAnsi="Calibri" w:cs="Calibri"/>
                <w:color w:val="FFFFFF" w:themeColor="background1"/>
                <w:sz w:val="16"/>
                <w:szCs w:val="16"/>
                <w:lang w:eastAsia="en-AU"/>
              </w:rPr>
              <w:t>all</w:t>
            </w:r>
            <w:proofErr w:type="gramEnd"/>
            <w:r w:rsidRPr="00C22FE0">
              <w:rPr>
                <w:rFonts w:ascii="Calibri" w:hAnsi="Calibri" w:cs="Calibri"/>
                <w:color w:val="FFFFFF" w:themeColor="background1"/>
                <w:sz w:val="16"/>
                <w:szCs w:val="16"/>
                <w:lang w:eastAsia="en-AU"/>
              </w:rPr>
              <w:t xml:space="preserve"> participants)</w:t>
            </w:r>
          </w:p>
        </w:tc>
        <w:tc>
          <w:tcPr>
            <w:tcW w:w="1114" w:type="dxa"/>
            <w:tcBorders>
              <w:top w:val="single" w:sz="8" w:space="0" w:color="auto"/>
              <w:left w:val="single" w:sz="8" w:space="0" w:color="auto"/>
              <w:right w:val="single" w:sz="8" w:space="0" w:color="auto"/>
            </w:tcBorders>
            <w:shd w:val="clear" w:color="auto" w:fill="000000" w:themeFill="text1"/>
            <w:vAlign w:val="center"/>
          </w:tcPr>
          <w:p w14:paraId="1B821F0C"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Indirect comparator: Target-D</w:t>
            </w:r>
          </w:p>
          <w:p w14:paraId="69EDDD82"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w:t>
            </w:r>
            <w:proofErr w:type="gramStart"/>
            <w:r w:rsidRPr="00C22FE0">
              <w:rPr>
                <w:rFonts w:ascii="Calibri" w:hAnsi="Calibri" w:cs="Calibri"/>
                <w:color w:val="FFFFFF" w:themeColor="background1"/>
                <w:sz w:val="16"/>
                <w:szCs w:val="16"/>
                <w:lang w:eastAsia="en-AU"/>
              </w:rPr>
              <w:t>all</w:t>
            </w:r>
            <w:proofErr w:type="gramEnd"/>
            <w:r w:rsidRPr="00C22FE0">
              <w:rPr>
                <w:rFonts w:ascii="Calibri" w:hAnsi="Calibri" w:cs="Calibri"/>
                <w:color w:val="FFFFFF" w:themeColor="background1"/>
                <w:sz w:val="16"/>
                <w:szCs w:val="16"/>
                <w:lang w:eastAsia="en-AU"/>
              </w:rPr>
              <w:t xml:space="preserve"> participants)</w:t>
            </w:r>
          </w:p>
        </w:tc>
        <w:tc>
          <w:tcPr>
            <w:tcW w:w="1113" w:type="dxa"/>
            <w:tcBorders>
              <w:top w:val="single" w:sz="8" w:space="0" w:color="auto"/>
              <w:left w:val="single" w:sz="8" w:space="0" w:color="auto"/>
              <w:right w:val="single" w:sz="8" w:space="0" w:color="auto"/>
            </w:tcBorders>
            <w:shd w:val="clear" w:color="auto" w:fill="000000" w:themeFill="text1"/>
            <w:vAlign w:val="center"/>
          </w:tcPr>
          <w:p w14:paraId="6557AF5F"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Indirect comparator: Link-me (minimal/ mild group)</w:t>
            </w:r>
          </w:p>
        </w:tc>
        <w:tc>
          <w:tcPr>
            <w:tcW w:w="1114" w:type="dxa"/>
            <w:tcBorders>
              <w:top w:val="single" w:sz="8" w:space="0" w:color="auto"/>
              <w:left w:val="single" w:sz="8" w:space="0" w:color="auto"/>
              <w:bottom w:val="nil"/>
              <w:right w:val="single" w:sz="8" w:space="0" w:color="auto"/>
            </w:tcBorders>
            <w:shd w:val="clear" w:color="auto" w:fill="000000" w:themeFill="text1"/>
            <w:vAlign w:val="center"/>
          </w:tcPr>
          <w:p w14:paraId="6FEFC5F9"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Indirect comparator: Target-D (minimal/ mild group)</w:t>
            </w:r>
          </w:p>
        </w:tc>
        <w:tc>
          <w:tcPr>
            <w:tcW w:w="1114" w:type="dxa"/>
            <w:tcBorders>
              <w:top w:val="single" w:sz="8" w:space="0" w:color="auto"/>
              <w:left w:val="single" w:sz="8" w:space="0" w:color="auto"/>
              <w:bottom w:val="nil"/>
              <w:right w:val="single" w:sz="8" w:space="0" w:color="auto"/>
            </w:tcBorders>
            <w:shd w:val="clear" w:color="auto" w:fill="000000" w:themeFill="text1"/>
            <w:vAlign w:val="center"/>
          </w:tcPr>
          <w:p w14:paraId="5C8AC1F7"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Indirect comparator: Link-me (severe group)</w:t>
            </w:r>
          </w:p>
        </w:tc>
        <w:tc>
          <w:tcPr>
            <w:tcW w:w="1114" w:type="dxa"/>
            <w:tcBorders>
              <w:top w:val="single" w:sz="8" w:space="0" w:color="auto"/>
              <w:left w:val="single" w:sz="8" w:space="0" w:color="auto"/>
              <w:bottom w:val="nil"/>
              <w:right w:val="single" w:sz="8" w:space="0" w:color="auto"/>
            </w:tcBorders>
            <w:shd w:val="clear" w:color="auto" w:fill="000000" w:themeFill="text1"/>
            <w:vAlign w:val="center"/>
          </w:tcPr>
          <w:p w14:paraId="523FF8C5"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Indirect comparator: Target-D (severe group)</w:t>
            </w:r>
          </w:p>
        </w:tc>
      </w:tr>
      <w:tr w:rsidR="00C22FE0" w:rsidRPr="00C22FE0" w14:paraId="16A8FB93"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1C622622"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Self-directed </w:t>
            </w:r>
            <w:proofErr w:type="spellStart"/>
            <w:r w:rsidRPr="00C22FE0">
              <w:rPr>
                <w:rFonts w:ascii="Calibri" w:hAnsi="Calibri" w:cs="Calibri"/>
                <w:color w:val="000000"/>
                <w:sz w:val="16"/>
                <w:szCs w:val="16"/>
                <w:lang w:eastAsia="en-AU"/>
              </w:rPr>
              <w:t>treatment</w:t>
            </w:r>
            <w:r w:rsidRPr="00C22FE0">
              <w:rPr>
                <w:rFonts w:asciiTheme="minorHAnsi" w:hAnsiTheme="minorHAnsi" w:cstheme="minorHAnsi"/>
                <w:sz w:val="16"/>
                <w:szCs w:val="16"/>
                <w:vertAlign w:val="superscript"/>
                <w:lang w:eastAsia="en-US"/>
              </w:rPr>
              <w:t>a</w:t>
            </w:r>
            <w:proofErr w:type="spellEnd"/>
          </w:p>
        </w:tc>
        <w:tc>
          <w:tcPr>
            <w:tcW w:w="1113" w:type="dxa"/>
            <w:tcBorders>
              <w:top w:val="nil"/>
              <w:left w:val="single" w:sz="8" w:space="0" w:color="auto"/>
              <w:bottom w:val="nil"/>
              <w:right w:val="single" w:sz="8" w:space="0" w:color="auto"/>
            </w:tcBorders>
            <w:shd w:val="clear" w:color="auto" w:fill="auto"/>
            <w:vAlign w:val="center"/>
          </w:tcPr>
          <w:p w14:paraId="7C5DABA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308F4CE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04864A4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2EDD6D0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7FAB6A9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6E25420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2661F2B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r>
      <w:tr w:rsidR="00C22FE0" w:rsidRPr="00C22FE0" w14:paraId="6D7A5116"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6BC7E681"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Input population (n)</w:t>
            </w:r>
          </w:p>
        </w:tc>
        <w:tc>
          <w:tcPr>
            <w:tcW w:w="1113" w:type="dxa"/>
            <w:tcBorders>
              <w:top w:val="nil"/>
              <w:left w:val="single" w:sz="8" w:space="0" w:color="auto"/>
              <w:bottom w:val="nil"/>
              <w:right w:val="single" w:sz="8" w:space="0" w:color="auto"/>
            </w:tcBorders>
            <w:shd w:val="clear" w:color="auto" w:fill="auto"/>
            <w:vAlign w:val="center"/>
          </w:tcPr>
          <w:p w14:paraId="6EE2D43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1,117</w:t>
            </w:r>
          </w:p>
        </w:tc>
        <w:tc>
          <w:tcPr>
            <w:tcW w:w="1114" w:type="dxa"/>
            <w:tcBorders>
              <w:top w:val="nil"/>
              <w:left w:val="single" w:sz="8" w:space="0" w:color="auto"/>
              <w:bottom w:val="nil"/>
              <w:right w:val="single" w:sz="8" w:space="0" w:color="auto"/>
            </w:tcBorders>
            <w:shd w:val="clear" w:color="auto" w:fill="auto"/>
            <w:vAlign w:val="center"/>
          </w:tcPr>
          <w:p w14:paraId="0EF4AE8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1,117</w:t>
            </w:r>
          </w:p>
        </w:tc>
        <w:tc>
          <w:tcPr>
            <w:tcW w:w="1114" w:type="dxa"/>
            <w:tcBorders>
              <w:top w:val="nil"/>
              <w:left w:val="single" w:sz="8" w:space="0" w:color="auto"/>
              <w:bottom w:val="nil"/>
              <w:right w:val="single" w:sz="8" w:space="0" w:color="auto"/>
            </w:tcBorders>
            <w:shd w:val="clear" w:color="auto" w:fill="auto"/>
            <w:vAlign w:val="center"/>
          </w:tcPr>
          <w:p w14:paraId="5BD85BD0"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1,117</w:t>
            </w:r>
          </w:p>
        </w:tc>
        <w:tc>
          <w:tcPr>
            <w:tcW w:w="1113" w:type="dxa"/>
            <w:tcBorders>
              <w:top w:val="nil"/>
              <w:left w:val="single" w:sz="8" w:space="0" w:color="auto"/>
              <w:bottom w:val="nil"/>
              <w:right w:val="single" w:sz="8" w:space="0" w:color="auto"/>
            </w:tcBorders>
            <w:shd w:val="clear" w:color="auto" w:fill="auto"/>
            <w:vAlign w:val="center"/>
          </w:tcPr>
          <w:p w14:paraId="1647348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1,117</w:t>
            </w:r>
          </w:p>
        </w:tc>
        <w:tc>
          <w:tcPr>
            <w:tcW w:w="1114" w:type="dxa"/>
            <w:tcBorders>
              <w:top w:val="nil"/>
              <w:left w:val="single" w:sz="8" w:space="0" w:color="auto"/>
              <w:bottom w:val="nil"/>
              <w:right w:val="single" w:sz="8" w:space="0" w:color="auto"/>
            </w:tcBorders>
            <w:shd w:val="clear" w:color="auto" w:fill="auto"/>
            <w:vAlign w:val="center"/>
          </w:tcPr>
          <w:p w14:paraId="44B7AD9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1,117</w:t>
            </w:r>
          </w:p>
        </w:tc>
        <w:tc>
          <w:tcPr>
            <w:tcW w:w="1114" w:type="dxa"/>
            <w:tcBorders>
              <w:top w:val="nil"/>
              <w:left w:val="single" w:sz="8" w:space="0" w:color="auto"/>
              <w:bottom w:val="nil"/>
              <w:right w:val="single" w:sz="8" w:space="0" w:color="auto"/>
            </w:tcBorders>
            <w:shd w:val="clear" w:color="auto" w:fill="auto"/>
            <w:vAlign w:val="center"/>
          </w:tcPr>
          <w:p w14:paraId="558C0FD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1,117</w:t>
            </w:r>
          </w:p>
        </w:tc>
        <w:tc>
          <w:tcPr>
            <w:tcW w:w="1114" w:type="dxa"/>
            <w:tcBorders>
              <w:top w:val="nil"/>
              <w:left w:val="single" w:sz="8" w:space="0" w:color="auto"/>
              <w:bottom w:val="nil"/>
              <w:right w:val="single" w:sz="8" w:space="0" w:color="auto"/>
            </w:tcBorders>
            <w:shd w:val="clear" w:color="auto" w:fill="auto"/>
            <w:vAlign w:val="center"/>
          </w:tcPr>
          <w:p w14:paraId="7948809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1,117</w:t>
            </w:r>
          </w:p>
        </w:tc>
      </w:tr>
      <w:tr w:rsidR="00C22FE0" w:rsidRPr="00C22FE0" w14:paraId="36FA546C"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8859B3A"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Fully recovered (n)</w:t>
            </w:r>
          </w:p>
        </w:tc>
        <w:tc>
          <w:tcPr>
            <w:tcW w:w="1113" w:type="dxa"/>
            <w:tcBorders>
              <w:top w:val="nil"/>
              <w:left w:val="single" w:sz="8" w:space="0" w:color="auto"/>
              <w:bottom w:val="nil"/>
              <w:right w:val="single" w:sz="8" w:space="0" w:color="auto"/>
            </w:tcBorders>
            <w:shd w:val="clear" w:color="auto" w:fill="auto"/>
            <w:vAlign w:val="center"/>
          </w:tcPr>
          <w:p w14:paraId="08A0B8A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471</w:t>
            </w:r>
          </w:p>
        </w:tc>
        <w:tc>
          <w:tcPr>
            <w:tcW w:w="1114" w:type="dxa"/>
            <w:tcBorders>
              <w:top w:val="nil"/>
              <w:left w:val="single" w:sz="8" w:space="0" w:color="auto"/>
              <w:bottom w:val="nil"/>
              <w:right w:val="single" w:sz="8" w:space="0" w:color="auto"/>
            </w:tcBorders>
            <w:shd w:val="clear" w:color="auto" w:fill="auto"/>
            <w:vAlign w:val="center"/>
          </w:tcPr>
          <w:p w14:paraId="18D84AB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124</w:t>
            </w:r>
          </w:p>
        </w:tc>
        <w:tc>
          <w:tcPr>
            <w:tcW w:w="1114" w:type="dxa"/>
            <w:tcBorders>
              <w:top w:val="nil"/>
              <w:left w:val="single" w:sz="8" w:space="0" w:color="auto"/>
              <w:bottom w:val="nil"/>
              <w:right w:val="single" w:sz="8" w:space="0" w:color="auto"/>
            </w:tcBorders>
            <w:shd w:val="clear" w:color="auto" w:fill="auto"/>
            <w:vAlign w:val="center"/>
          </w:tcPr>
          <w:p w14:paraId="3CB8025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124</w:t>
            </w:r>
          </w:p>
        </w:tc>
        <w:tc>
          <w:tcPr>
            <w:tcW w:w="1113" w:type="dxa"/>
            <w:tcBorders>
              <w:top w:val="nil"/>
              <w:left w:val="single" w:sz="8" w:space="0" w:color="auto"/>
              <w:bottom w:val="nil"/>
              <w:right w:val="single" w:sz="8" w:space="0" w:color="auto"/>
            </w:tcBorders>
            <w:shd w:val="clear" w:color="auto" w:fill="auto"/>
            <w:vAlign w:val="center"/>
          </w:tcPr>
          <w:p w14:paraId="7A3F6B1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124</w:t>
            </w:r>
          </w:p>
        </w:tc>
        <w:tc>
          <w:tcPr>
            <w:tcW w:w="1114" w:type="dxa"/>
            <w:tcBorders>
              <w:top w:val="nil"/>
              <w:left w:val="single" w:sz="8" w:space="0" w:color="auto"/>
              <w:bottom w:val="nil"/>
              <w:right w:val="single" w:sz="8" w:space="0" w:color="auto"/>
            </w:tcBorders>
            <w:shd w:val="clear" w:color="auto" w:fill="auto"/>
            <w:vAlign w:val="center"/>
          </w:tcPr>
          <w:p w14:paraId="6DFD6D1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124</w:t>
            </w:r>
          </w:p>
        </w:tc>
        <w:tc>
          <w:tcPr>
            <w:tcW w:w="1114" w:type="dxa"/>
            <w:tcBorders>
              <w:top w:val="nil"/>
              <w:left w:val="single" w:sz="8" w:space="0" w:color="auto"/>
              <w:bottom w:val="nil"/>
              <w:right w:val="single" w:sz="8" w:space="0" w:color="auto"/>
            </w:tcBorders>
            <w:shd w:val="clear" w:color="auto" w:fill="auto"/>
            <w:vAlign w:val="center"/>
          </w:tcPr>
          <w:p w14:paraId="2E4EC35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124</w:t>
            </w:r>
          </w:p>
        </w:tc>
        <w:tc>
          <w:tcPr>
            <w:tcW w:w="1114" w:type="dxa"/>
            <w:tcBorders>
              <w:top w:val="nil"/>
              <w:left w:val="single" w:sz="8" w:space="0" w:color="auto"/>
              <w:bottom w:val="nil"/>
              <w:right w:val="single" w:sz="8" w:space="0" w:color="auto"/>
            </w:tcBorders>
            <w:shd w:val="clear" w:color="auto" w:fill="auto"/>
            <w:vAlign w:val="center"/>
          </w:tcPr>
          <w:p w14:paraId="1EA83B5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124</w:t>
            </w:r>
          </w:p>
        </w:tc>
      </w:tr>
      <w:tr w:rsidR="00C22FE0" w:rsidRPr="00C22FE0" w14:paraId="5EBA9215"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3C8593D1"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Partially recovered (n)</w:t>
            </w:r>
          </w:p>
        </w:tc>
        <w:tc>
          <w:tcPr>
            <w:tcW w:w="1113" w:type="dxa"/>
            <w:tcBorders>
              <w:top w:val="nil"/>
              <w:left w:val="single" w:sz="8" w:space="0" w:color="auto"/>
              <w:bottom w:val="nil"/>
              <w:right w:val="single" w:sz="8" w:space="0" w:color="auto"/>
            </w:tcBorders>
            <w:shd w:val="clear" w:color="auto" w:fill="auto"/>
            <w:vAlign w:val="center"/>
          </w:tcPr>
          <w:p w14:paraId="6B8497E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202</w:t>
            </w:r>
          </w:p>
        </w:tc>
        <w:tc>
          <w:tcPr>
            <w:tcW w:w="1114" w:type="dxa"/>
            <w:tcBorders>
              <w:top w:val="nil"/>
              <w:left w:val="single" w:sz="8" w:space="0" w:color="auto"/>
              <w:bottom w:val="nil"/>
              <w:right w:val="single" w:sz="8" w:space="0" w:color="auto"/>
            </w:tcBorders>
            <w:shd w:val="clear" w:color="auto" w:fill="auto"/>
            <w:vAlign w:val="center"/>
          </w:tcPr>
          <w:p w14:paraId="58C591F3"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49</w:t>
            </w:r>
          </w:p>
        </w:tc>
        <w:tc>
          <w:tcPr>
            <w:tcW w:w="1114" w:type="dxa"/>
            <w:tcBorders>
              <w:top w:val="nil"/>
              <w:left w:val="single" w:sz="8" w:space="0" w:color="auto"/>
              <w:bottom w:val="nil"/>
              <w:right w:val="single" w:sz="8" w:space="0" w:color="auto"/>
            </w:tcBorders>
            <w:shd w:val="clear" w:color="auto" w:fill="auto"/>
            <w:vAlign w:val="center"/>
          </w:tcPr>
          <w:p w14:paraId="2E7D074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49</w:t>
            </w:r>
          </w:p>
        </w:tc>
        <w:tc>
          <w:tcPr>
            <w:tcW w:w="1113" w:type="dxa"/>
            <w:tcBorders>
              <w:top w:val="nil"/>
              <w:left w:val="single" w:sz="8" w:space="0" w:color="auto"/>
              <w:bottom w:val="nil"/>
              <w:right w:val="single" w:sz="8" w:space="0" w:color="auto"/>
            </w:tcBorders>
            <w:shd w:val="clear" w:color="auto" w:fill="auto"/>
            <w:vAlign w:val="center"/>
          </w:tcPr>
          <w:p w14:paraId="0D8DB74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49</w:t>
            </w:r>
          </w:p>
        </w:tc>
        <w:tc>
          <w:tcPr>
            <w:tcW w:w="1114" w:type="dxa"/>
            <w:tcBorders>
              <w:top w:val="nil"/>
              <w:left w:val="single" w:sz="8" w:space="0" w:color="auto"/>
              <w:bottom w:val="nil"/>
              <w:right w:val="single" w:sz="8" w:space="0" w:color="auto"/>
            </w:tcBorders>
            <w:shd w:val="clear" w:color="auto" w:fill="auto"/>
            <w:vAlign w:val="center"/>
          </w:tcPr>
          <w:p w14:paraId="10BD731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49</w:t>
            </w:r>
          </w:p>
        </w:tc>
        <w:tc>
          <w:tcPr>
            <w:tcW w:w="1114" w:type="dxa"/>
            <w:tcBorders>
              <w:top w:val="nil"/>
              <w:left w:val="single" w:sz="8" w:space="0" w:color="auto"/>
              <w:bottom w:val="nil"/>
              <w:right w:val="single" w:sz="8" w:space="0" w:color="auto"/>
            </w:tcBorders>
            <w:shd w:val="clear" w:color="auto" w:fill="auto"/>
            <w:vAlign w:val="center"/>
          </w:tcPr>
          <w:p w14:paraId="4EF41D3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49</w:t>
            </w:r>
          </w:p>
        </w:tc>
        <w:tc>
          <w:tcPr>
            <w:tcW w:w="1114" w:type="dxa"/>
            <w:tcBorders>
              <w:top w:val="nil"/>
              <w:left w:val="single" w:sz="8" w:space="0" w:color="auto"/>
              <w:bottom w:val="nil"/>
              <w:right w:val="single" w:sz="8" w:space="0" w:color="auto"/>
            </w:tcBorders>
            <w:shd w:val="clear" w:color="auto" w:fill="auto"/>
            <w:vAlign w:val="center"/>
          </w:tcPr>
          <w:p w14:paraId="06113F6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49</w:t>
            </w:r>
          </w:p>
        </w:tc>
      </w:tr>
      <w:tr w:rsidR="00C22FE0" w:rsidRPr="00C22FE0" w14:paraId="1F759AFD"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368321E5"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No improvement (n)</w:t>
            </w:r>
          </w:p>
        </w:tc>
        <w:tc>
          <w:tcPr>
            <w:tcW w:w="1113" w:type="dxa"/>
            <w:tcBorders>
              <w:top w:val="nil"/>
              <w:left w:val="single" w:sz="8" w:space="0" w:color="auto"/>
              <w:bottom w:val="nil"/>
              <w:right w:val="single" w:sz="8" w:space="0" w:color="auto"/>
            </w:tcBorders>
            <w:shd w:val="clear" w:color="auto" w:fill="auto"/>
            <w:vAlign w:val="center"/>
          </w:tcPr>
          <w:p w14:paraId="5FB8281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367</w:t>
            </w:r>
          </w:p>
        </w:tc>
        <w:tc>
          <w:tcPr>
            <w:tcW w:w="1114" w:type="dxa"/>
            <w:tcBorders>
              <w:top w:val="nil"/>
              <w:left w:val="single" w:sz="8" w:space="0" w:color="auto"/>
              <w:bottom w:val="nil"/>
              <w:right w:val="single" w:sz="8" w:space="0" w:color="auto"/>
            </w:tcBorders>
            <w:shd w:val="clear" w:color="auto" w:fill="auto"/>
            <w:vAlign w:val="center"/>
          </w:tcPr>
          <w:p w14:paraId="36E76C7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770</w:t>
            </w:r>
          </w:p>
        </w:tc>
        <w:tc>
          <w:tcPr>
            <w:tcW w:w="1114" w:type="dxa"/>
            <w:tcBorders>
              <w:top w:val="nil"/>
              <w:left w:val="single" w:sz="8" w:space="0" w:color="auto"/>
              <w:bottom w:val="nil"/>
              <w:right w:val="single" w:sz="8" w:space="0" w:color="auto"/>
            </w:tcBorders>
            <w:shd w:val="clear" w:color="auto" w:fill="auto"/>
            <w:vAlign w:val="center"/>
          </w:tcPr>
          <w:p w14:paraId="67384D0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770</w:t>
            </w:r>
          </w:p>
        </w:tc>
        <w:tc>
          <w:tcPr>
            <w:tcW w:w="1113" w:type="dxa"/>
            <w:tcBorders>
              <w:top w:val="nil"/>
              <w:left w:val="single" w:sz="8" w:space="0" w:color="auto"/>
              <w:bottom w:val="nil"/>
              <w:right w:val="single" w:sz="8" w:space="0" w:color="auto"/>
            </w:tcBorders>
            <w:shd w:val="clear" w:color="auto" w:fill="auto"/>
            <w:vAlign w:val="center"/>
          </w:tcPr>
          <w:p w14:paraId="75F093F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770</w:t>
            </w:r>
          </w:p>
        </w:tc>
        <w:tc>
          <w:tcPr>
            <w:tcW w:w="1114" w:type="dxa"/>
            <w:tcBorders>
              <w:top w:val="nil"/>
              <w:left w:val="single" w:sz="8" w:space="0" w:color="auto"/>
              <w:bottom w:val="nil"/>
              <w:right w:val="single" w:sz="8" w:space="0" w:color="auto"/>
            </w:tcBorders>
            <w:shd w:val="clear" w:color="auto" w:fill="auto"/>
            <w:vAlign w:val="center"/>
          </w:tcPr>
          <w:p w14:paraId="29690C9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770</w:t>
            </w:r>
          </w:p>
        </w:tc>
        <w:tc>
          <w:tcPr>
            <w:tcW w:w="1114" w:type="dxa"/>
            <w:tcBorders>
              <w:top w:val="nil"/>
              <w:left w:val="single" w:sz="8" w:space="0" w:color="auto"/>
              <w:bottom w:val="nil"/>
              <w:right w:val="single" w:sz="8" w:space="0" w:color="auto"/>
            </w:tcBorders>
            <w:shd w:val="clear" w:color="auto" w:fill="auto"/>
            <w:vAlign w:val="center"/>
          </w:tcPr>
          <w:p w14:paraId="3E15275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770</w:t>
            </w:r>
          </w:p>
        </w:tc>
        <w:tc>
          <w:tcPr>
            <w:tcW w:w="1114" w:type="dxa"/>
            <w:tcBorders>
              <w:top w:val="nil"/>
              <w:left w:val="single" w:sz="8" w:space="0" w:color="auto"/>
              <w:bottom w:val="nil"/>
              <w:right w:val="single" w:sz="8" w:space="0" w:color="auto"/>
            </w:tcBorders>
            <w:shd w:val="clear" w:color="auto" w:fill="auto"/>
            <w:vAlign w:val="center"/>
          </w:tcPr>
          <w:p w14:paraId="4C92312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770</w:t>
            </w:r>
          </w:p>
        </w:tc>
      </w:tr>
      <w:tr w:rsidR="00C22FE0" w:rsidRPr="00C22FE0" w14:paraId="0187BD86"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7DC79740"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Deteriorated (n)</w:t>
            </w:r>
          </w:p>
        </w:tc>
        <w:tc>
          <w:tcPr>
            <w:tcW w:w="1113" w:type="dxa"/>
            <w:tcBorders>
              <w:top w:val="nil"/>
              <w:left w:val="single" w:sz="8" w:space="0" w:color="auto"/>
              <w:bottom w:val="nil"/>
              <w:right w:val="single" w:sz="8" w:space="0" w:color="auto"/>
            </w:tcBorders>
            <w:shd w:val="clear" w:color="auto" w:fill="auto"/>
            <w:vAlign w:val="center"/>
          </w:tcPr>
          <w:p w14:paraId="6D026D0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76</w:t>
            </w:r>
          </w:p>
        </w:tc>
        <w:tc>
          <w:tcPr>
            <w:tcW w:w="1114" w:type="dxa"/>
            <w:tcBorders>
              <w:top w:val="nil"/>
              <w:left w:val="single" w:sz="8" w:space="0" w:color="auto"/>
              <w:bottom w:val="nil"/>
              <w:right w:val="single" w:sz="8" w:space="0" w:color="auto"/>
            </w:tcBorders>
            <w:shd w:val="clear" w:color="auto" w:fill="auto"/>
            <w:vAlign w:val="center"/>
          </w:tcPr>
          <w:p w14:paraId="111EA73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174</w:t>
            </w:r>
          </w:p>
        </w:tc>
        <w:tc>
          <w:tcPr>
            <w:tcW w:w="1114" w:type="dxa"/>
            <w:tcBorders>
              <w:top w:val="nil"/>
              <w:left w:val="single" w:sz="8" w:space="0" w:color="auto"/>
              <w:bottom w:val="nil"/>
              <w:right w:val="single" w:sz="8" w:space="0" w:color="auto"/>
            </w:tcBorders>
            <w:shd w:val="clear" w:color="auto" w:fill="auto"/>
            <w:vAlign w:val="center"/>
          </w:tcPr>
          <w:p w14:paraId="600125C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174</w:t>
            </w:r>
          </w:p>
        </w:tc>
        <w:tc>
          <w:tcPr>
            <w:tcW w:w="1113" w:type="dxa"/>
            <w:tcBorders>
              <w:top w:val="nil"/>
              <w:left w:val="single" w:sz="8" w:space="0" w:color="auto"/>
              <w:bottom w:val="nil"/>
              <w:right w:val="single" w:sz="8" w:space="0" w:color="auto"/>
            </w:tcBorders>
            <w:shd w:val="clear" w:color="auto" w:fill="auto"/>
            <w:vAlign w:val="center"/>
          </w:tcPr>
          <w:p w14:paraId="2712D30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174</w:t>
            </w:r>
          </w:p>
        </w:tc>
        <w:tc>
          <w:tcPr>
            <w:tcW w:w="1114" w:type="dxa"/>
            <w:tcBorders>
              <w:top w:val="nil"/>
              <w:left w:val="single" w:sz="8" w:space="0" w:color="auto"/>
              <w:bottom w:val="nil"/>
              <w:right w:val="single" w:sz="8" w:space="0" w:color="auto"/>
            </w:tcBorders>
            <w:shd w:val="clear" w:color="auto" w:fill="auto"/>
            <w:vAlign w:val="center"/>
          </w:tcPr>
          <w:p w14:paraId="183692E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174</w:t>
            </w:r>
          </w:p>
        </w:tc>
        <w:tc>
          <w:tcPr>
            <w:tcW w:w="1114" w:type="dxa"/>
            <w:tcBorders>
              <w:top w:val="nil"/>
              <w:left w:val="single" w:sz="8" w:space="0" w:color="auto"/>
              <w:bottom w:val="nil"/>
              <w:right w:val="single" w:sz="8" w:space="0" w:color="auto"/>
            </w:tcBorders>
            <w:shd w:val="clear" w:color="auto" w:fill="auto"/>
            <w:vAlign w:val="center"/>
          </w:tcPr>
          <w:p w14:paraId="00AF70B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174</w:t>
            </w:r>
          </w:p>
        </w:tc>
        <w:tc>
          <w:tcPr>
            <w:tcW w:w="1114" w:type="dxa"/>
            <w:tcBorders>
              <w:top w:val="nil"/>
              <w:left w:val="single" w:sz="8" w:space="0" w:color="auto"/>
              <w:bottom w:val="nil"/>
              <w:right w:val="single" w:sz="8" w:space="0" w:color="auto"/>
            </w:tcBorders>
            <w:shd w:val="clear" w:color="auto" w:fill="auto"/>
            <w:vAlign w:val="center"/>
          </w:tcPr>
          <w:p w14:paraId="658384B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174</w:t>
            </w:r>
          </w:p>
        </w:tc>
      </w:tr>
      <w:tr w:rsidR="00C22FE0" w:rsidRPr="00C22FE0" w14:paraId="1C1F21CE"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4F7E767A"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QALY</w:t>
            </w:r>
          </w:p>
        </w:tc>
        <w:tc>
          <w:tcPr>
            <w:tcW w:w="1113" w:type="dxa"/>
            <w:tcBorders>
              <w:top w:val="nil"/>
              <w:left w:val="single" w:sz="8" w:space="0" w:color="auto"/>
              <w:bottom w:val="nil"/>
              <w:right w:val="single" w:sz="8" w:space="0" w:color="auto"/>
            </w:tcBorders>
            <w:shd w:val="clear" w:color="auto" w:fill="auto"/>
            <w:vAlign w:val="center"/>
          </w:tcPr>
          <w:p w14:paraId="4193F40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914</w:t>
            </w:r>
          </w:p>
        </w:tc>
        <w:tc>
          <w:tcPr>
            <w:tcW w:w="1114" w:type="dxa"/>
            <w:tcBorders>
              <w:top w:val="nil"/>
              <w:left w:val="single" w:sz="8" w:space="0" w:color="auto"/>
              <w:bottom w:val="nil"/>
              <w:right w:val="single" w:sz="8" w:space="0" w:color="auto"/>
            </w:tcBorders>
            <w:shd w:val="clear" w:color="auto" w:fill="auto"/>
            <w:vAlign w:val="center"/>
          </w:tcPr>
          <w:p w14:paraId="640556F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871</w:t>
            </w:r>
          </w:p>
        </w:tc>
        <w:tc>
          <w:tcPr>
            <w:tcW w:w="1114" w:type="dxa"/>
            <w:tcBorders>
              <w:top w:val="nil"/>
              <w:left w:val="single" w:sz="8" w:space="0" w:color="auto"/>
              <w:bottom w:val="nil"/>
              <w:right w:val="single" w:sz="8" w:space="0" w:color="auto"/>
            </w:tcBorders>
            <w:shd w:val="clear" w:color="auto" w:fill="auto"/>
            <w:vAlign w:val="center"/>
          </w:tcPr>
          <w:p w14:paraId="3BE6BBF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871</w:t>
            </w:r>
          </w:p>
        </w:tc>
        <w:tc>
          <w:tcPr>
            <w:tcW w:w="1113" w:type="dxa"/>
            <w:tcBorders>
              <w:top w:val="nil"/>
              <w:left w:val="single" w:sz="8" w:space="0" w:color="auto"/>
              <w:bottom w:val="nil"/>
              <w:right w:val="single" w:sz="8" w:space="0" w:color="auto"/>
            </w:tcBorders>
            <w:shd w:val="clear" w:color="auto" w:fill="auto"/>
            <w:vAlign w:val="center"/>
          </w:tcPr>
          <w:p w14:paraId="1DC6CCD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871</w:t>
            </w:r>
          </w:p>
        </w:tc>
        <w:tc>
          <w:tcPr>
            <w:tcW w:w="1114" w:type="dxa"/>
            <w:tcBorders>
              <w:top w:val="nil"/>
              <w:left w:val="single" w:sz="8" w:space="0" w:color="auto"/>
              <w:bottom w:val="nil"/>
              <w:right w:val="single" w:sz="8" w:space="0" w:color="auto"/>
            </w:tcBorders>
            <w:shd w:val="clear" w:color="auto" w:fill="auto"/>
            <w:vAlign w:val="center"/>
          </w:tcPr>
          <w:p w14:paraId="6EAC946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871</w:t>
            </w:r>
          </w:p>
        </w:tc>
        <w:tc>
          <w:tcPr>
            <w:tcW w:w="1114" w:type="dxa"/>
            <w:tcBorders>
              <w:top w:val="nil"/>
              <w:left w:val="single" w:sz="8" w:space="0" w:color="auto"/>
              <w:bottom w:val="nil"/>
              <w:right w:val="single" w:sz="8" w:space="0" w:color="auto"/>
            </w:tcBorders>
            <w:shd w:val="clear" w:color="auto" w:fill="auto"/>
            <w:vAlign w:val="center"/>
          </w:tcPr>
          <w:p w14:paraId="6DC6979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871</w:t>
            </w:r>
          </w:p>
        </w:tc>
        <w:tc>
          <w:tcPr>
            <w:tcW w:w="1114" w:type="dxa"/>
            <w:tcBorders>
              <w:top w:val="nil"/>
              <w:left w:val="single" w:sz="8" w:space="0" w:color="auto"/>
              <w:bottom w:val="nil"/>
              <w:right w:val="single" w:sz="8" w:space="0" w:color="auto"/>
            </w:tcBorders>
            <w:shd w:val="clear" w:color="auto" w:fill="auto"/>
            <w:vAlign w:val="center"/>
          </w:tcPr>
          <w:p w14:paraId="76B1BFF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871</w:t>
            </w:r>
          </w:p>
        </w:tc>
      </w:tr>
      <w:tr w:rsidR="00C22FE0" w:rsidRPr="00C22FE0" w14:paraId="3C486ED9"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7160AE08"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Total costs excluding productivity losses</w:t>
            </w:r>
          </w:p>
        </w:tc>
        <w:tc>
          <w:tcPr>
            <w:tcW w:w="1113" w:type="dxa"/>
            <w:tcBorders>
              <w:top w:val="nil"/>
              <w:left w:val="single" w:sz="8" w:space="0" w:color="auto"/>
              <w:bottom w:val="nil"/>
              <w:right w:val="single" w:sz="8" w:space="0" w:color="auto"/>
            </w:tcBorders>
            <w:shd w:val="clear" w:color="auto" w:fill="auto"/>
            <w:vAlign w:val="center"/>
          </w:tcPr>
          <w:p w14:paraId="25014CB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$2,251,112</w:t>
            </w:r>
          </w:p>
        </w:tc>
        <w:tc>
          <w:tcPr>
            <w:tcW w:w="1114" w:type="dxa"/>
            <w:tcBorders>
              <w:top w:val="nil"/>
              <w:left w:val="single" w:sz="8" w:space="0" w:color="auto"/>
              <w:bottom w:val="nil"/>
              <w:right w:val="single" w:sz="8" w:space="0" w:color="auto"/>
            </w:tcBorders>
            <w:shd w:val="clear" w:color="auto" w:fill="auto"/>
            <w:vAlign w:val="center"/>
          </w:tcPr>
          <w:p w14:paraId="3DE8B9D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$3,213,319</w:t>
            </w:r>
          </w:p>
        </w:tc>
        <w:tc>
          <w:tcPr>
            <w:tcW w:w="1114" w:type="dxa"/>
            <w:tcBorders>
              <w:top w:val="nil"/>
              <w:left w:val="single" w:sz="8" w:space="0" w:color="auto"/>
              <w:bottom w:val="nil"/>
              <w:right w:val="single" w:sz="8" w:space="0" w:color="auto"/>
            </w:tcBorders>
            <w:shd w:val="clear" w:color="auto" w:fill="auto"/>
            <w:vAlign w:val="center"/>
          </w:tcPr>
          <w:p w14:paraId="242EFB4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$2,073,029</w:t>
            </w:r>
          </w:p>
        </w:tc>
        <w:tc>
          <w:tcPr>
            <w:tcW w:w="1113" w:type="dxa"/>
            <w:tcBorders>
              <w:top w:val="nil"/>
              <w:left w:val="single" w:sz="8" w:space="0" w:color="auto"/>
              <w:bottom w:val="nil"/>
              <w:right w:val="single" w:sz="8" w:space="0" w:color="auto"/>
            </w:tcBorders>
            <w:shd w:val="clear" w:color="auto" w:fill="auto"/>
            <w:vAlign w:val="center"/>
          </w:tcPr>
          <w:p w14:paraId="396B6C4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$737,901</w:t>
            </w:r>
          </w:p>
        </w:tc>
        <w:tc>
          <w:tcPr>
            <w:tcW w:w="1114" w:type="dxa"/>
            <w:tcBorders>
              <w:top w:val="nil"/>
              <w:left w:val="single" w:sz="8" w:space="0" w:color="auto"/>
              <w:bottom w:val="nil"/>
              <w:right w:val="single" w:sz="8" w:space="0" w:color="auto"/>
            </w:tcBorders>
            <w:shd w:val="clear" w:color="auto" w:fill="auto"/>
            <w:vAlign w:val="center"/>
          </w:tcPr>
          <w:p w14:paraId="692689B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$1,804,391</w:t>
            </w:r>
          </w:p>
        </w:tc>
        <w:tc>
          <w:tcPr>
            <w:tcW w:w="1114" w:type="dxa"/>
            <w:tcBorders>
              <w:top w:val="nil"/>
              <w:left w:val="single" w:sz="8" w:space="0" w:color="auto"/>
              <w:bottom w:val="nil"/>
              <w:right w:val="single" w:sz="8" w:space="0" w:color="auto"/>
            </w:tcBorders>
            <w:shd w:val="clear" w:color="auto" w:fill="auto"/>
            <w:vAlign w:val="center"/>
          </w:tcPr>
          <w:p w14:paraId="067DC66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$5,658,756</w:t>
            </w:r>
          </w:p>
        </w:tc>
        <w:tc>
          <w:tcPr>
            <w:tcW w:w="1114" w:type="dxa"/>
            <w:tcBorders>
              <w:top w:val="nil"/>
              <w:left w:val="single" w:sz="8" w:space="0" w:color="auto"/>
              <w:bottom w:val="nil"/>
              <w:right w:val="single" w:sz="8" w:space="0" w:color="auto"/>
            </w:tcBorders>
            <w:shd w:val="clear" w:color="auto" w:fill="auto"/>
            <w:vAlign w:val="center"/>
          </w:tcPr>
          <w:p w14:paraId="2230917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$3,034,599</w:t>
            </w:r>
          </w:p>
        </w:tc>
      </w:tr>
      <w:tr w:rsidR="00C22FE0" w:rsidRPr="00C22FE0" w14:paraId="74C862C6"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41D149A8"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Costs per QALY </w:t>
            </w:r>
          </w:p>
          <w:p w14:paraId="15038F2C"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gained</w:t>
            </w:r>
          </w:p>
        </w:tc>
        <w:tc>
          <w:tcPr>
            <w:tcW w:w="1113" w:type="dxa"/>
            <w:tcBorders>
              <w:top w:val="nil"/>
              <w:left w:val="single" w:sz="8" w:space="0" w:color="auto"/>
              <w:bottom w:val="nil"/>
              <w:right w:val="single" w:sz="8" w:space="0" w:color="auto"/>
            </w:tcBorders>
            <w:shd w:val="clear" w:color="auto" w:fill="auto"/>
            <w:vAlign w:val="center"/>
          </w:tcPr>
          <w:p w14:paraId="449835F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w:t>
            </w:r>
          </w:p>
        </w:tc>
        <w:tc>
          <w:tcPr>
            <w:tcW w:w="1114" w:type="dxa"/>
            <w:tcBorders>
              <w:top w:val="nil"/>
              <w:left w:val="single" w:sz="8" w:space="0" w:color="auto"/>
              <w:bottom w:val="nil"/>
              <w:right w:val="single" w:sz="8" w:space="0" w:color="auto"/>
            </w:tcBorders>
            <w:shd w:val="clear" w:color="auto" w:fill="auto"/>
            <w:vAlign w:val="center"/>
          </w:tcPr>
          <w:p w14:paraId="1E5C352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526FF7E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$4,121</w:t>
            </w:r>
          </w:p>
        </w:tc>
        <w:tc>
          <w:tcPr>
            <w:tcW w:w="1113" w:type="dxa"/>
            <w:tcBorders>
              <w:top w:val="nil"/>
              <w:left w:val="single" w:sz="8" w:space="0" w:color="auto"/>
              <w:bottom w:val="nil"/>
              <w:right w:val="single" w:sz="8" w:space="0" w:color="auto"/>
            </w:tcBorders>
            <w:shd w:val="clear" w:color="auto" w:fill="auto"/>
            <w:vAlign w:val="center"/>
          </w:tcPr>
          <w:p w14:paraId="2C853CF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$35,019</w:t>
            </w:r>
          </w:p>
        </w:tc>
        <w:tc>
          <w:tcPr>
            <w:tcW w:w="1114" w:type="dxa"/>
            <w:tcBorders>
              <w:top w:val="nil"/>
              <w:left w:val="single" w:sz="8" w:space="0" w:color="auto"/>
              <w:bottom w:val="nil"/>
              <w:right w:val="single" w:sz="8" w:space="0" w:color="auto"/>
            </w:tcBorders>
            <w:shd w:val="clear" w:color="auto" w:fill="auto"/>
            <w:vAlign w:val="center"/>
          </w:tcPr>
          <w:p w14:paraId="0E81B65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$10,338</w:t>
            </w:r>
          </w:p>
        </w:tc>
        <w:tc>
          <w:tcPr>
            <w:tcW w:w="1114" w:type="dxa"/>
            <w:tcBorders>
              <w:top w:val="nil"/>
              <w:left w:val="single" w:sz="8" w:space="0" w:color="auto"/>
              <w:bottom w:val="nil"/>
              <w:right w:val="single" w:sz="8" w:space="0" w:color="auto"/>
            </w:tcBorders>
            <w:shd w:val="clear" w:color="auto" w:fill="auto"/>
            <w:vAlign w:val="center"/>
          </w:tcPr>
          <w:p w14:paraId="213CE7D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3896305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r>
      <w:tr w:rsidR="00C22FE0" w:rsidRPr="00C22FE0" w14:paraId="3624929A"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46822D7B"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Total costs including productivity losses     </w:t>
            </w:r>
          </w:p>
        </w:tc>
        <w:tc>
          <w:tcPr>
            <w:tcW w:w="1113" w:type="dxa"/>
            <w:tcBorders>
              <w:top w:val="nil"/>
              <w:left w:val="single" w:sz="8" w:space="0" w:color="auto"/>
              <w:bottom w:val="nil"/>
              <w:right w:val="single" w:sz="8" w:space="0" w:color="auto"/>
            </w:tcBorders>
            <w:shd w:val="clear" w:color="auto" w:fill="auto"/>
            <w:vAlign w:val="center"/>
          </w:tcPr>
          <w:p w14:paraId="0B17A2B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$2,911,539</w:t>
            </w:r>
          </w:p>
        </w:tc>
        <w:tc>
          <w:tcPr>
            <w:tcW w:w="1114" w:type="dxa"/>
            <w:tcBorders>
              <w:top w:val="nil"/>
              <w:left w:val="single" w:sz="8" w:space="0" w:color="auto"/>
              <w:bottom w:val="nil"/>
              <w:right w:val="single" w:sz="8" w:space="0" w:color="auto"/>
            </w:tcBorders>
            <w:shd w:val="clear" w:color="auto" w:fill="auto"/>
            <w:vAlign w:val="center"/>
          </w:tcPr>
          <w:p w14:paraId="24CA614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$12,707,975</w:t>
            </w:r>
          </w:p>
        </w:tc>
        <w:tc>
          <w:tcPr>
            <w:tcW w:w="1114" w:type="dxa"/>
            <w:tcBorders>
              <w:top w:val="nil"/>
              <w:left w:val="single" w:sz="8" w:space="0" w:color="auto"/>
              <w:bottom w:val="nil"/>
              <w:right w:val="single" w:sz="8" w:space="0" w:color="auto"/>
            </w:tcBorders>
            <w:shd w:val="clear" w:color="auto" w:fill="auto"/>
            <w:vAlign w:val="center"/>
          </w:tcPr>
          <w:p w14:paraId="0302EB5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$20,220,694</w:t>
            </w:r>
          </w:p>
        </w:tc>
        <w:tc>
          <w:tcPr>
            <w:tcW w:w="1113" w:type="dxa"/>
            <w:tcBorders>
              <w:top w:val="nil"/>
              <w:left w:val="single" w:sz="8" w:space="0" w:color="auto"/>
              <w:bottom w:val="nil"/>
              <w:right w:val="single" w:sz="8" w:space="0" w:color="auto"/>
            </w:tcBorders>
            <w:shd w:val="clear" w:color="auto" w:fill="auto"/>
            <w:vAlign w:val="center"/>
          </w:tcPr>
          <w:p w14:paraId="220B167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$5,475,434</w:t>
            </w:r>
          </w:p>
        </w:tc>
        <w:tc>
          <w:tcPr>
            <w:tcW w:w="1114" w:type="dxa"/>
            <w:tcBorders>
              <w:top w:val="nil"/>
              <w:left w:val="single" w:sz="8" w:space="0" w:color="auto"/>
              <w:bottom w:val="nil"/>
              <w:right w:val="single" w:sz="8" w:space="0" w:color="auto"/>
            </w:tcBorders>
            <w:shd w:val="clear" w:color="auto" w:fill="auto"/>
            <w:vAlign w:val="center"/>
          </w:tcPr>
          <w:p w14:paraId="1E698D0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$19,964,744</w:t>
            </w:r>
          </w:p>
        </w:tc>
        <w:tc>
          <w:tcPr>
            <w:tcW w:w="1114" w:type="dxa"/>
            <w:tcBorders>
              <w:top w:val="nil"/>
              <w:left w:val="single" w:sz="8" w:space="0" w:color="auto"/>
              <w:bottom w:val="nil"/>
              <w:right w:val="single" w:sz="8" w:space="0" w:color="auto"/>
            </w:tcBorders>
            <w:shd w:val="clear" w:color="auto" w:fill="auto"/>
            <w:vAlign w:val="center"/>
          </w:tcPr>
          <w:p w14:paraId="52532B9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$19,855,211</w:t>
            </w:r>
          </w:p>
        </w:tc>
        <w:tc>
          <w:tcPr>
            <w:tcW w:w="1114" w:type="dxa"/>
            <w:tcBorders>
              <w:top w:val="nil"/>
              <w:left w:val="single" w:sz="8" w:space="0" w:color="auto"/>
              <w:bottom w:val="nil"/>
              <w:right w:val="single" w:sz="8" w:space="0" w:color="auto"/>
            </w:tcBorders>
            <w:shd w:val="clear" w:color="auto" w:fill="auto"/>
            <w:vAlign w:val="center"/>
          </w:tcPr>
          <w:p w14:paraId="5BBB291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$19,290,255</w:t>
            </w:r>
          </w:p>
        </w:tc>
      </w:tr>
      <w:tr w:rsidR="00C22FE0" w:rsidRPr="00C22FE0" w14:paraId="7DDF9910"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3418F4B7"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Costs per QALY    </w:t>
            </w:r>
          </w:p>
          <w:p w14:paraId="3C70D0FF"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gained</w:t>
            </w:r>
          </w:p>
        </w:tc>
        <w:tc>
          <w:tcPr>
            <w:tcW w:w="1113" w:type="dxa"/>
            <w:tcBorders>
              <w:top w:val="nil"/>
              <w:left w:val="single" w:sz="8" w:space="0" w:color="auto"/>
              <w:bottom w:val="nil"/>
              <w:right w:val="single" w:sz="8" w:space="0" w:color="auto"/>
            </w:tcBorders>
            <w:shd w:val="clear" w:color="auto" w:fill="auto"/>
            <w:vAlign w:val="center"/>
          </w:tcPr>
          <w:p w14:paraId="4F0E892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w:t>
            </w:r>
          </w:p>
        </w:tc>
        <w:tc>
          <w:tcPr>
            <w:tcW w:w="1114" w:type="dxa"/>
            <w:tcBorders>
              <w:top w:val="nil"/>
              <w:left w:val="single" w:sz="8" w:space="0" w:color="auto"/>
              <w:bottom w:val="nil"/>
              <w:right w:val="single" w:sz="8" w:space="0" w:color="auto"/>
            </w:tcBorders>
            <w:shd w:val="clear" w:color="auto" w:fill="auto"/>
            <w:vAlign w:val="center"/>
          </w:tcPr>
          <w:p w14:paraId="7BB1423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5A45FAA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3" w:type="dxa"/>
            <w:tcBorders>
              <w:top w:val="nil"/>
              <w:left w:val="single" w:sz="8" w:space="0" w:color="auto"/>
              <w:bottom w:val="nil"/>
              <w:right w:val="single" w:sz="8" w:space="0" w:color="auto"/>
            </w:tcBorders>
            <w:shd w:val="clear" w:color="auto" w:fill="auto"/>
            <w:vAlign w:val="center"/>
          </w:tcPr>
          <w:p w14:paraId="49AE3F1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3CB6844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40FDA9D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5E69048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r>
      <w:tr w:rsidR="00C22FE0" w:rsidRPr="00C22FE0" w14:paraId="12543B91"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5FFFBD8" w14:textId="77777777" w:rsidR="00C22FE0" w:rsidRPr="00C22FE0" w:rsidRDefault="00C22FE0" w:rsidP="00C22FE0">
            <w:pPr>
              <w:snapToGrid w:val="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486D38D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212AE38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056888B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1650BA6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320CD66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318A932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2C3BEF33"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r>
      <w:tr w:rsidR="00C22FE0" w:rsidRPr="00C22FE0" w14:paraId="624A713A"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447DDA74"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Therapist-supported </w:t>
            </w:r>
            <w:proofErr w:type="spellStart"/>
            <w:r w:rsidRPr="00C22FE0">
              <w:rPr>
                <w:rFonts w:ascii="Calibri" w:hAnsi="Calibri" w:cs="Calibri"/>
                <w:color w:val="000000"/>
                <w:sz w:val="16"/>
                <w:szCs w:val="16"/>
                <w:lang w:eastAsia="en-AU"/>
              </w:rPr>
              <w:t>treatment</w:t>
            </w:r>
            <w:r w:rsidRPr="00C22FE0">
              <w:rPr>
                <w:rFonts w:asciiTheme="minorHAnsi" w:hAnsiTheme="minorHAnsi" w:cstheme="minorHAnsi"/>
                <w:sz w:val="16"/>
                <w:szCs w:val="16"/>
                <w:vertAlign w:val="superscript"/>
                <w:lang w:eastAsia="en-US"/>
              </w:rPr>
              <w:t>b</w:t>
            </w:r>
            <w:proofErr w:type="spellEnd"/>
          </w:p>
        </w:tc>
        <w:tc>
          <w:tcPr>
            <w:tcW w:w="1113" w:type="dxa"/>
            <w:tcBorders>
              <w:top w:val="nil"/>
              <w:left w:val="single" w:sz="8" w:space="0" w:color="auto"/>
              <w:bottom w:val="nil"/>
              <w:right w:val="single" w:sz="8" w:space="0" w:color="auto"/>
            </w:tcBorders>
            <w:shd w:val="clear" w:color="auto" w:fill="auto"/>
            <w:vAlign w:val="center"/>
          </w:tcPr>
          <w:p w14:paraId="2B32777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4A1F176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25D2BE1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20D2434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3D6AED7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4A254B7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13CE096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r>
      <w:tr w:rsidR="00C22FE0" w:rsidRPr="00C22FE0" w14:paraId="22040455"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5CE6B79A"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Input population (n)</w:t>
            </w:r>
          </w:p>
        </w:tc>
        <w:tc>
          <w:tcPr>
            <w:tcW w:w="1113" w:type="dxa"/>
            <w:tcBorders>
              <w:top w:val="nil"/>
              <w:left w:val="single" w:sz="8" w:space="0" w:color="auto"/>
              <w:bottom w:val="nil"/>
              <w:right w:val="single" w:sz="8" w:space="0" w:color="auto"/>
            </w:tcBorders>
            <w:shd w:val="clear" w:color="auto" w:fill="auto"/>
            <w:vAlign w:val="center"/>
          </w:tcPr>
          <w:p w14:paraId="1A1E809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5,198</w:t>
            </w:r>
          </w:p>
        </w:tc>
        <w:tc>
          <w:tcPr>
            <w:tcW w:w="1114" w:type="dxa"/>
            <w:tcBorders>
              <w:top w:val="nil"/>
              <w:left w:val="single" w:sz="8" w:space="0" w:color="auto"/>
              <w:bottom w:val="nil"/>
              <w:right w:val="single" w:sz="8" w:space="0" w:color="auto"/>
            </w:tcBorders>
            <w:shd w:val="clear" w:color="auto" w:fill="auto"/>
            <w:vAlign w:val="center"/>
          </w:tcPr>
          <w:p w14:paraId="1F38CF9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5,198</w:t>
            </w:r>
          </w:p>
        </w:tc>
        <w:tc>
          <w:tcPr>
            <w:tcW w:w="1114" w:type="dxa"/>
            <w:tcBorders>
              <w:top w:val="nil"/>
              <w:left w:val="single" w:sz="8" w:space="0" w:color="auto"/>
              <w:bottom w:val="nil"/>
              <w:right w:val="single" w:sz="8" w:space="0" w:color="auto"/>
            </w:tcBorders>
            <w:shd w:val="clear" w:color="auto" w:fill="auto"/>
            <w:vAlign w:val="center"/>
          </w:tcPr>
          <w:p w14:paraId="617FC0E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5,198</w:t>
            </w:r>
          </w:p>
        </w:tc>
        <w:tc>
          <w:tcPr>
            <w:tcW w:w="1113" w:type="dxa"/>
            <w:tcBorders>
              <w:top w:val="nil"/>
              <w:left w:val="single" w:sz="8" w:space="0" w:color="auto"/>
              <w:bottom w:val="nil"/>
              <w:right w:val="single" w:sz="8" w:space="0" w:color="auto"/>
            </w:tcBorders>
            <w:shd w:val="clear" w:color="auto" w:fill="auto"/>
            <w:vAlign w:val="center"/>
          </w:tcPr>
          <w:p w14:paraId="7D18F00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5,198</w:t>
            </w:r>
          </w:p>
        </w:tc>
        <w:tc>
          <w:tcPr>
            <w:tcW w:w="1114" w:type="dxa"/>
            <w:tcBorders>
              <w:top w:val="nil"/>
              <w:left w:val="single" w:sz="8" w:space="0" w:color="auto"/>
              <w:bottom w:val="nil"/>
              <w:right w:val="single" w:sz="8" w:space="0" w:color="auto"/>
            </w:tcBorders>
            <w:shd w:val="clear" w:color="auto" w:fill="auto"/>
            <w:vAlign w:val="center"/>
          </w:tcPr>
          <w:p w14:paraId="40BC4123"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5,198</w:t>
            </w:r>
          </w:p>
        </w:tc>
        <w:tc>
          <w:tcPr>
            <w:tcW w:w="1114" w:type="dxa"/>
            <w:tcBorders>
              <w:top w:val="nil"/>
              <w:left w:val="single" w:sz="8" w:space="0" w:color="auto"/>
              <w:bottom w:val="nil"/>
              <w:right w:val="single" w:sz="8" w:space="0" w:color="auto"/>
            </w:tcBorders>
            <w:shd w:val="clear" w:color="auto" w:fill="auto"/>
            <w:vAlign w:val="center"/>
          </w:tcPr>
          <w:p w14:paraId="111BAF6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5,198</w:t>
            </w:r>
          </w:p>
        </w:tc>
        <w:tc>
          <w:tcPr>
            <w:tcW w:w="1114" w:type="dxa"/>
            <w:tcBorders>
              <w:top w:val="nil"/>
              <w:left w:val="single" w:sz="8" w:space="0" w:color="auto"/>
              <w:bottom w:val="nil"/>
              <w:right w:val="single" w:sz="8" w:space="0" w:color="auto"/>
            </w:tcBorders>
            <w:shd w:val="clear" w:color="auto" w:fill="auto"/>
            <w:vAlign w:val="center"/>
          </w:tcPr>
          <w:p w14:paraId="6E2524D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5,198</w:t>
            </w:r>
          </w:p>
        </w:tc>
      </w:tr>
      <w:tr w:rsidR="00C22FE0" w:rsidRPr="00C22FE0" w14:paraId="790964DB"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F2706D3"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Fully recovered (n)</w:t>
            </w:r>
          </w:p>
        </w:tc>
        <w:tc>
          <w:tcPr>
            <w:tcW w:w="1113" w:type="dxa"/>
            <w:tcBorders>
              <w:top w:val="nil"/>
              <w:left w:val="single" w:sz="8" w:space="0" w:color="auto"/>
              <w:bottom w:val="nil"/>
              <w:right w:val="single" w:sz="8" w:space="0" w:color="auto"/>
            </w:tcBorders>
            <w:shd w:val="clear" w:color="auto" w:fill="auto"/>
            <w:vAlign w:val="center"/>
          </w:tcPr>
          <w:p w14:paraId="673D8D3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2,194</w:t>
            </w:r>
          </w:p>
        </w:tc>
        <w:tc>
          <w:tcPr>
            <w:tcW w:w="1114" w:type="dxa"/>
            <w:tcBorders>
              <w:top w:val="nil"/>
              <w:left w:val="single" w:sz="8" w:space="0" w:color="auto"/>
              <w:bottom w:val="nil"/>
              <w:right w:val="single" w:sz="8" w:space="0" w:color="auto"/>
            </w:tcBorders>
            <w:shd w:val="clear" w:color="auto" w:fill="auto"/>
            <w:vAlign w:val="center"/>
          </w:tcPr>
          <w:p w14:paraId="3F604D0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577</w:t>
            </w:r>
          </w:p>
        </w:tc>
        <w:tc>
          <w:tcPr>
            <w:tcW w:w="1114" w:type="dxa"/>
            <w:tcBorders>
              <w:top w:val="nil"/>
              <w:left w:val="single" w:sz="8" w:space="0" w:color="auto"/>
              <w:bottom w:val="nil"/>
              <w:right w:val="single" w:sz="8" w:space="0" w:color="auto"/>
            </w:tcBorders>
            <w:shd w:val="clear" w:color="auto" w:fill="auto"/>
            <w:vAlign w:val="center"/>
          </w:tcPr>
          <w:p w14:paraId="6C77E6A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577</w:t>
            </w:r>
          </w:p>
        </w:tc>
        <w:tc>
          <w:tcPr>
            <w:tcW w:w="1113" w:type="dxa"/>
            <w:tcBorders>
              <w:top w:val="nil"/>
              <w:left w:val="single" w:sz="8" w:space="0" w:color="auto"/>
              <w:bottom w:val="nil"/>
              <w:right w:val="single" w:sz="8" w:space="0" w:color="auto"/>
            </w:tcBorders>
            <w:shd w:val="clear" w:color="auto" w:fill="auto"/>
            <w:vAlign w:val="center"/>
          </w:tcPr>
          <w:p w14:paraId="4ED857B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577</w:t>
            </w:r>
          </w:p>
        </w:tc>
        <w:tc>
          <w:tcPr>
            <w:tcW w:w="1114" w:type="dxa"/>
            <w:tcBorders>
              <w:top w:val="nil"/>
              <w:left w:val="single" w:sz="8" w:space="0" w:color="auto"/>
              <w:bottom w:val="nil"/>
              <w:right w:val="single" w:sz="8" w:space="0" w:color="auto"/>
            </w:tcBorders>
            <w:shd w:val="clear" w:color="auto" w:fill="auto"/>
            <w:vAlign w:val="center"/>
          </w:tcPr>
          <w:p w14:paraId="5CAA6A4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577</w:t>
            </w:r>
          </w:p>
        </w:tc>
        <w:tc>
          <w:tcPr>
            <w:tcW w:w="1114" w:type="dxa"/>
            <w:tcBorders>
              <w:top w:val="nil"/>
              <w:left w:val="single" w:sz="8" w:space="0" w:color="auto"/>
              <w:bottom w:val="nil"/>
              <w:right w:val="single" w:sz="8" w:space="0" w:color="auto"/>
            </w:tcBorders>
            <w:shd w:val="clear" w:color="auto" w:fill="auto"/>
            <w:vAlign w:val="center"/>
          </w:tcPr>
          <w:p w14:paraId="10BC6C0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577</w:t>
            </w:r>
          </w:p>
        </w:tc>
        <w:tc>
          <w:tcPr>
            <w:tcW w:w="1114" w:type="dxa"/>
            <w:tcBorders>
              <w:top w:val="nil"/>
              <w:left w:val="single" w:sz="8" w:space="0" w:color="auto"/>
              <w:bottom w:val="nil"/>
              <w:right w:val="single" w:sz="8" w:space="0" w:color="auto"/>
            </w:tcBorders>
            <w:shd w:val="clear" w:color="auto" w:fill="auto"/>
            <w:vAlign w:val="center"/>
          </w:tcPr>
          <w:p w14:paraId="278A206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577</w:t>
            </w:r>
          </w:p>
        </w:tc>
      </w:tr>
      <w:tr w:rsidR="00C22FE0" w:rsidRPr="00C22FE0" w14:paraId="17CE7AEF"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786F1F2A"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Partially recovered (n)</w:t>
            </w:r>
          </w:p>
        </w:tc>
        <w:tc>
          <w:tcPr>
            <w:tcW w:w="1113" w:type="dxa"/>
            <w:tcBorders>
              <w:top w:val="nil"/>
              <w:left w:val="single" w:sz="8" w:space="0" w:color="auto"/>
              <w:bottom w:val="nil"/>
              <w:right w:val="single" w:sz="8" w:space="0" w:color="auto"/>
            </w:tcBorders>
            <w:shd w:val="clear" w:color="auto" w:fill="auto"/>
            <w:vAlign w:val="center"/>
          </w:tcPr>
          <w:p w14:paraId="5A0B86F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941</w:t>
            </w:r>
          </w:p>
        </w:tc>
        <w:tc>
          <w:tcPr>
            <w:tcW w:w="1114" w:type="dxa"/>
            <w:tcBorders>
              <w:top w:val="nil"/>
              <w:left w:val="single" w:sz="8" w:space="0" w:color="auto"/>
              <w:bottom w:val="nil"/>
              <w:right w:val="single" w:sz="8" w:space="0" w:color="auto"/>
            </w:tcBorders>
            <w:shd w:val="clear" w:color="auto" w:fill="auto"/>
            <w:vAlign w:val="center"/>
          </w:tcPr>
          <w:p w14:paraId="0745A38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229</w:t>
            </w:r>
          </w:p>
        </w:tc>
        <w:tc>
          <w:tcPr>
            <w:tcW w:w="1114" w:type="dxa"/>
            <w:tcBorders>
              <w:top w:val="nil"/>
              <w:left w:val="single" w:sz="8" w:space="0" w:color="auto"/>
              <w:bottom w:val="nil"/>
              <w:right w:val="single" w:sz="8" w:space="0" w:color="auto"/>
            </w:tcBorders>
            <w:shd w:val="clear" w:color="auto" w:fill="auto"/>
            <w:vAlign w:val="center"/>
          </w:tcPr>
          <w:p w14:paraId="15A0085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229</w:t>
            </w:r>
          </w:p>
        </w:tc>
        <w:tc>
          <w:tcPr>
            <w:tcW w:w="1113" w:type="dxa"/>
            <w:tcBorders>
              <w:top w:val="nil"/>
              <w:left w:val="single" w:sz="8" w:space="0" w:color="auto"/>
              <w:bottom w:val="nil"/>
              <w:right w:val="single" w:sz="8" w:space="0" w:color="auto"/>
            </w:tcBorders>
            <w:shd w:val="clear" w:color="auto" w:fill="auto"/>
            <w:vAlign w:val="center"/>
          </w:tcPr>
          <w:p w14:paraId="376C498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229</w:t>
            </w:r>
          </w:p>
        </w:tc>
        <w:tc>
          <w:tcPr>
            <w:tcW w:w="1114" w:type="dxa"/>
            <w:tcBorders>
              <w:top w:val="nil"/>
              <w:left w:val="single" w:sz="8" w:space="0" w:color="auto"/>
              <w:bottom w:val="nil"/>
              <w:right w:val="single" w:sz="8" w:space="0" w:color="auto"/>
            </w:tcBorders>
            <w:shd w:val="clear" w:color="auto" w:fill="auto"/>
            <w:vAlign w:val="center"/>
          </w:tcPr>
          <w:p w14:paraId="504D465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229</w:t>
            </w:r>
          </w:p>
        </w:tc>
        <w:tc>
          <w:tcPr>
            <w:tcW w:w="1114" w:type="dxa"/>
            <w:tcBorders>
              <w:top w:val="nil"/>
              <w:left w:val="single" w:sz="8" w:space="0" w:color="auto"/>
              <w:bottom w:val="nil"/>
              <w:right w:val="single" w:sz="8" w:space="0" w:color="auto"/>
            </w:tcBorders>
            <w:shd w:val="clear" w:color="auto" w:fill="auto"/>
            <w:vAlign w:val="center"/>
          </w:tcPr>
          <w:p w14:paraId="3F9034F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229</w:t>
            </w:r>
          </w:p>
        </w:tc>
        <w:tc>
          <w:tcPr>
            <w:tcW w:w="1114" w:type="dxa"/>
            <w:tcBorders>
              <w:top w:val="nil"/>
              <w:left w:val="single" w:sz="8" w:space="0" w:color="auto"/>
              <w:bottom w:val="nil"/>
              <w:right w:val="single" w:sz="8" w:space="0" w:color="auto"/>
            </w:tcBorders>
            <w:shd w:val="clear" w:color="auto" w:fill="auto"/>
            <w:vAlign w:val="center"/>
          </w:tcPr>
          <w:p w14:paraId="1A4D053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229</w:t>
            </w:r>
          </w:p>
        </w:tc>
      </w:tr>
      <w:tr w:rsidR="00C22FE0" w:rsidRPr="00C22FE0" w14:paraId="14AB3A45"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674ED5C6"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No improvement (n)</w:t>
            </w:r>
          </w:p>
        </w:tc>
        <w:tc>
          <w:tcPr>
            <w:tcW w:w="1113" w:type="dxa"/>
            <w:tcBorders>
              <w:top w:val="nil"/>
              <w:left w:val="single" w:sz="8" w:space="0" w:color="auto"/>
              <w:bottom w:val="nil"/>
              <w:right w:val="single" w:sz="8" w:space="0" w:color="auto"/>
            </w:tcBorders>
            <w:shd w:val="clear" w:color="auto" w:fill="auto"/>
            <w:vAlign w:val="center"/>
          </w:tcPr>
          <w:p w14:paraId="566BFA8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1,710</w:t>
            </w:r>
          </w:p>
        </w:tc>
        <w:tc>
          <w:tcPr>
            <w:tcW w:w="1114" w:type="dxa"/>
            <w:tcBorders>
              <w:top w:val="nil"/>
              <w:left w:val="single" w:sz="8" w:space="0" w:color="auto"/>
              <w:bottom w:val="nil"/>
              <w:right w:val="single" w:sz="8" w:space="0" w:color="auto"/>
            </w:tcBorders>
            <w:shd w:val="clear" w:color="auto" w:fill="auto"/>
            <w:vAlign w:val="center"/>
          </w:tcPr>
          <w:p w14:paraId="0777C31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3,581</w:t>
            </w:r>
          </w:p>
        </w:tc>
        <w:tc>
          <w:tcPr>
            <w:tcW w:w="1114" w:type="dxa"/>
            <w:tcBorders>
              <w:top w:val="nil"/>
              <w:left w:val="single" w:sz="8" w:space="0" w:color="auto"/>
              <w:bottom w:val="nil"/>
              <w:right w:val="single" w:sz="8" w:space="0" w:color="auto"/>
            </w:tcBorders>
            <w:shd w:val="clear" w:color="auto" w:fill="auto"/>
            <w:vAlign w:val="center"/>
          </w:tcPr>
          <w:p w14:paraId="188461B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3,581</w:t>
            </w:r>
          </w:p>
        </w:tc>
        <w:tc>
          <w:tcPr>
            <w:tcW w:w="1113" w:type="dxa"/>
            <w:tcBorders>
              <w:top w:val="nil"/>
              <w:left w:val="single" w:sz="8" w:space="0" w:color="auto"/>
              <w:bottom w:val="nil"/>
              <w:right w:val="single" w:sz="8" w:space="0" w:color="auto"/>
            </w:tcBorders>
            <w:shd w:val="clear" w:color="auto" w:fill="auto"/>
            <w:vAlign w:val="center"/>
          </w:tcPr>
          <w:p w14:paraId="29A45AF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3,581</w:t>
            </w:r>
          </w:p>
        </w:tc>
        <w:tc>
          <w:tcPr>
            <w:tcW w:w="1114" w:type="dxa"/>
            <w:tcBorders>
              <w:top w:val="nil"/>
              <w:left w:val="single" w:sz="8" w:space="0" w:color="auto"/>
              <w:bottom w:val="nil"/>
              <w:right w:val="single" w:sz="8" w:space="0" w:color="auto"/>
            </w:tcBorders>
            <w:shd w:val="clear" w:color="auto" w:fill="auto"/>
            <w:vAlign w:val="center"/>
          </w:tcPr>
          <w:p w14:paraId="214311F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3,581</w:t>
            </w:r>
          </w:p>
        </w:tc>
        <w:tc>
          <w:tcPr>
            <w:tcW w:w="1114" w:type="dxa"/>
            <w:tcBorders>
              <w:top w:val="nil"/>
              <w:left w:val="single" w:sz="8" w:space="0" w:color="auto"/>
              <w:bottom w:val="nil"/>
              <w:right w:val="single" w:sz="8" w:space="0" w:color="auto"/>
            </w:tcBorders>
            <w:shd w:val="clear" w:color="auto" w:fill="auto"/>
            <w:vAlign w:val="center"/>
          </w:tcPr>
          <w:p w14:paraId="251444B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3,581</w:t>
            </w:r>
          </w:p>
        </w:tc>
        <w:tc>
          <w:tcPr>
            <w:tcW w:w="1114" w:type="dxa"/>
            <w:tcBorders>
              <w:top w:val="nil"/>
              <w:left w:val="single" w:sz="8" w:space="0" w:color="auto"/>
              <w:bottom w:val="nil"/>
              <w:right w:val="single" w:sz="8" w:space="0" w:color="auto"/>
            </w:tcBorders>
            <w:shd w:val="clear" w:color="auto" w:fill="auto"/>
            <w:vAlign w:val="center"/>
          </w:tcPr>
          <w:p w14:paraId="159BCA4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3,581</w:t>
            </w:r>
          </w:p>
        </w:tc>
      </w:tr>
      <w:tr w:rsidR="00C22FE0" w:rsidRPr="00C22FE0" w14:paraId="19AD39C0"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7E718F3"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Deteriorated (n)</w:t>
            </w:r>
          </w:p>
        </w:tc>
        <w:tc>
          <w:tcPr>
            <w:tcW w:w="1113" w:type="dxa"/>
            <w:tcBorders>
              <w:top w:val="nil"/>
              <w:left w:val="single" w:sz="8" w:space="0" w:color="auto"/>
              <w:bottom w:val="nil"/>
              <w:right w:val="single" w:sz="8" w:space="0" w:color="auto"/>
            </w:tcBorders>
            <w:shd w:val="clear" w:color="auto" w:fill="auto"/>
            <w:vAlign w:val="center"/>
          </w:tcPr>
          <w:p w14:paraId="47B4D860"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353</w:t>
            </w:r>
          </w:p>
        </w:tc>
        <w:tc>
          <w:tcPr>
            <w:tcW w:w="1114" w:type="dxa"/>
            <w:tcBorders>
              <w:top w:val="nil"/>
              <w:left w:val="single" w:sz="8" w:space="0" w:color="auto"/>
              <w:bottom w:val="nil"/>
              <w:right w:val="single" w:sz="8" w:space="0" w:color="auto"/>
            </w:tcBorders>
            <w:shd w:val="clear" w:color="auto" w:fill="auto"/>
            <w:vAlign w:val="center"/>
          </w:tcPr>
          <w:p w14:paraId="7FDDBA4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811</w:t>
            </w:r>
          </w:p>
        </w:tc>
        <w:tc>
          <w:tcPr>
            <w:tcW w:w="1114" w:type="dxa"/>
            <w:tcBorders>
              <w:top w:val="nil"/>
              <w:left w:val="single" w:sz="8" w:space="0" w:color="auto"/>
              <w:bottom w:val="nil"/>
              <w:right w:val="single" w:sz="8" w:space="0" w:color="auto"/>
            </w:tcBorders>
            <w:shd w:val="clear" w:color="auto" w:fill="auto"/>
            <w:vAlign w:val="center"/>
          </w:tcPr>
          <w:p w14:paraId="783F589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811</w:t>
            </w:r>
          </w:p>
        </w:tc>
        <w:tc>
          <w:tcPr>
            <w:tcW w:w="1113" w:type="dxa"/>
            <w:tcBorders>
              <w:top w:val="nil"/>
              <w:left w:val="single" w:sz="8" w:space="0" w:color="auto"/>
              <w:bottom w:val="nil"/>
              <w:right w:val="single" w:sz="8" w:space="0" w:color="auto"/>
            </w:tcBorders>
            <w:shd w:val="clear" w:color="auto" w:fill="auto"/>
            <w:vAlign w:val="center"/>
          </w:tcPr>
          <w:p w14:paraId="3136277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811</w:t>
            </w:r>
          </w:p>
        </w:tc>
        <w:tc>
          <w:tcPr>
            <w:tcW w:w="1114" w:type="dxa"/>
            <w:tcBorders>
              <w:top w:val="nil"/>
              <w:left w:val="single" w:sz="8" w:space="0" w:color="auto"/>
              <w:bottom w:val="nil"/>
              <w:right w:val="single" w:sz="8" w:space="0" w:color="auto"/>
            </w:tcBorders>
            <w:shd w:val="clear" w:color="auto" w:fill="auto"/>
            <w:vAlign w:val="center"/>
          </w:tcPr>
          <w:p w14:paraId="0594EA4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811</w:t>
            </w:r>
          </w:p>
        </w:tc>
        <w:tc>
          <w:tcPr>
            <w:tcW w:w="1114" w:type="dxa"/>
            <w:tcBorders>
              <w:top w:val="nil"/>
              <w:left w:val="single" w:sz="8" w:space="0" w:color="auto"/>
              <w:bottom w:val="nil"/>
              <w:right w:val="single" w:sz="8" w:space="0" w:color="auto"/>
            </w:tcBorders>
            <w:shd w:val="clear" w:color="auto" w:fill="auto"/>
            <w:vAlign w:val="center"/>
          </w:tcPr>
          <w:p w14:paraId="3CEB9A4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811</w:t>
            </w:r>
          </w:p>
        </w:tc>
        <w:tc>
          <w:tcPr>
            <w:tcW w:w="1114" w:type="dxa"/>
            <w:tcBorders>
              <w:top w:val="nil"/>
              <w:left w:val="single" w:sz="8" w:space="0" w:color="auto"/>
              <w:bottom w:val="nil"/>
              <w:right w:val="single" w:sz="8" w:space="0" w:color="auto"/>
            </w:tcBorders>
            <w:shd w:val="clear" w:color="auto" w:fill="auto"/>
            <w:vAlign w:val="center"/>
          </w:tcPr>
          <w:p w14:paraId="358A676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811</w:t>
            </w:r>
          </w:p>
        </w:tc>
      </w:tr>
      <w:tr w:rsidR="00C22FE0" w:rsidRPr="00C22FE0" w14:paraId="7BD3AB8C"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58D4D19"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QALY</w:t>
            </w:r>
          </w:p>
        </w:tc>
        <w:tc>
          <w:tcPr>
            <w:tcW w:w="1113" w:type="dxa"/>
            <w:tcBorders>
              <w:top w:val="nil"/>
              <w:left w:val="single" w:sz="8" w:space="0" w:color="auto"/>
              <w:bottom w:val="nil"/>
              <w:right w:val="single" w:sz="8" w:space="0" w:color="auto"/>
            </w:tcBorders>
            <w:shd w:val="clear" w:color="auto" w:fill="auto"/>
            <w:vAlign w:val="center"/>
          </w:tcPr>
          <w:p w14:paraId="38D3837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4,255</w:t>
            </w:r>
          </w:p>
        </w:tc>
        <w:tc>
          <w:tcPr>
            <w:tcW w:w="1114" w:type="dxa"/>
            <w:tcBorders>
              <w:top w:val="nil"/>
              <w:left w:val="single" w:sz="8" w:space="0" w:color="auto"/>
              <w:bottom w:val="nil"/>
              <w:right w:val="single" w:sz="8" w:space="0" w:color="auto"/>
            </w:tcBorders>
            <w:shd w:val="clear" w:color="auto" w:fill="auto"/>
            <w:vAlign w:val="center"/>
          </w:tcPr>
          <w:p w14:paraId="2567155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4,054</w:t>
            </w:r>
          </w:p>
        </w:tc>
        <w:tc>
          <w:tcPr>
            <w:tcW w:w="1114" w:type="dxa"/>
            <w:tcBorders>
              <w:top w:val="nil"/>
              <w:left w:val="single" w:sz="8" w:space="0" w:color="auto"/>
              <w:bottom w:val="nil"/>
              <w:right w:val="single" w:sz="8" w:space="0" w:color="auto"/>
            </w:tcBorders>
            <w:shd w:val="clear" w:color="auto" w:fill="auto"/>
            <w:vAlign w:val="center"/>
          </w:tcPr>
          <w:p w14:paraId="7EAB864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4,054</w:t>
            </w:r>
          </w:p>
        </w:tc>
        <w:tc>
          <w:tcPr>
            <w:tcW w:w="1113" w:type="dxa"/>
            <w:tcBorders>
              <w:top w:val="nil"/>
              <w:left w:val="single" w:sz="8" w:space="0" w:color="auto"/>
              <w:bottom w:val="nil"/>
              <w:right w:val="single" w:sz="8" w:space="0" w:color="auto"/>
            </w:tcBorders>
            <w:shd w:val="clear" w:color="auto" w:fill="auto"/>
            <w:vAlign w:val="center"/>
          </w:tcPr>
          <w:p w14:paraId="154AFE1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4,054</w:t>
            </w:r>
          </w:p>
        </w:tc>
        <w:tc>
          <w:tcPr>
            <w:tcW w:w="1114" w:type="dxa"/>
            <w:tcBorders>
              <w:top w:val="nil"/>
              <w:left w:val="single" w:sz="8" w:space="0" w:color="auto"/>
              <w:bottom w:val="nil"/>
              <w:right w:val="single" w:sz="8" w:space="0" w:color="auto"/>
            </w:tcBorders>
            <w:shd w:val="clear" w:color="auto" w:fill="auto"/>
            <w:vAlign w:val="center"/>
          </w:tcPr>
          <w:p w14:paraId="7902063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4,054</w:t>
            </w:r>
          </w:p>
        </w:tc>
        <w:tc>
          <w:tcPr>
            <w:tcW w:w="1114" w:type="dxa"/>
            <w:tcBorders>
              <w:top w:val="nil"/>
              <w:left w:val="single" w:sz="8" w:space="0" w:color="auto"/>
              <w:bottom w:val="nil"/>
              <w:right w:val="single" w:sz="8" w:space="0" w:color="auto"/>
            </w:tcBorders>
            <w:shd w:val="clear" w:color="auto" w:fill="auto"/>
            <w:vAlign w:val="center"/>
          </w:tcPr>
          <w:p w14:paraId="5DB5CB6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4,054</w:t>
            </w:r>
          </w:p>
        </w:tc>
        <w:tc>
          <w:tcPr>
            <w:tcW w:w="1114" w:type="dxa"/>
            <w:tcBorders>
              <w:top w:val="nil"/>
              <w:left w:val="single" w:sz="8" w:space="0" w:color="auto"/>
              <w:bottom w:val="nil"/>
              <w:right w:val="single" w:sz="8" w:space="0" w:color="auto"/>
            </w:tcBorders>
            <w:shd w:val="clear" w:color="auto" w:fill="auto"/>
            <w:vAlign w:val="center"/>
          </w:tcPr>
          <w:p w14:paraId="2249948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4,054</w:t>
            </w:r>
          </w:p>
        </w:tc>
      </w:tr>
      <w:tr w:rsidR="00C22FE0" w:rsidRPr="00C22FE0" w14:paraId="1D1768CF"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2691605"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Total costs excluding productivity losses</w:t>
            </w:r>
          </w:p>
        </w:tc>
        <w:tc>
          <w:tcPr>
            <w:tcW w:w="1113" w:type="dxa"/>
            <w:tcBorders>
              <w:top w:val="nil"/>
              <w:left w:val="single" w:sz="8" w:space="0" w:color="auto"/>
              <w:bottom w:val="nil"/>
              <w:right w:val="single" w:sz="8" w:space="0" w:color="auto"/>
            </w:tcBorders>
            <w:shd w:val="clear" w:color="auto" w:fill="auto"/>
            <w:vAlign w:val="center"/>
          </w:tcPr>
          <w:p w14:paraId="147E708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$11,139,262</w:t>
            </w:r>
          </w:p>
        </w:tc>
        <w:tc>
          <w:tcPr>
            <w:tcW w:w="1114" w:type="dxa"/>
            <w:tcBorders>
              <w:top w:val="nil"/>
              <w:left w:val="single" w:sz="8" w:space="0" w:color="auto"/>
              <w:bottom w:val="nil"/>
              <w:right w:val="single" w:sz="8" w:space="0" w:color="auto"/>
            </w:tcBorders>
            <w:shd w:val="clear" w:color="auto" w:fill="auto"/>
            <w:vAlign w:val="center"/>
          </w:tcPr>
          <w:p w14:paraId="51B05D3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$14,953,295</w:t>
            </w:r>
          </w:p>
        </w:tc>
        <w:tc>
          <w:tcPr>
            <w:tcW w:w="1114" w:type="dxa"/>
            <w:tcBorders>
              <w:top w:val="nil"/>
              <w:left w:val="single" w:sz="8" w:space="0" w:color="auto"/>
              <w:bottom w:val="nil"/>
              <w:right w:val="single" w:sz="8" w:space="0" w:color="auto"/>
            </w:tcBorders>
            <w:shd w:val="clear" w:color="auto" w:fill="auto"/>
            <w:vAlign w:val="center"/>
          </w:tcPr>
          <w:p w14:paraId="75F4D3D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$9,646,916</w:t>
            </w:r>
          </w:p>
        </w:tc>
        <w:tc>
          <w:tcPr>
            <w:tcW w:w="1113" w:type="dxa"/>
            <w:tcBorders>
              <w:top w:val="nil"/>
              <w:left w:val="single" w:sz="8" w:space="0" w:color="auto"/>
              <w:bottom w:val="nil"/>
              <w:right w:val="single" w:sz="8" w:space="0" w:color="auto"/>
            </w:tcBorders>
            <w:shd w:val="clear" w:color="auto" w:fill="auto"/>
            <w:vAlign w:val="center"/>
          </w:tcPr>
          <w:p w14:paraId="4C70605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$3,433,851</w:t>
            </w:r>
          </w:p>
        </w:tc>
        <w:tc>
          <w:tcPr>
            <w:tcW w:w="1114" w:type="dxa"/>
            <w:tcBorders>
              <w:top w:val="nil"/>
              <w:left w:val="single" w:sz="8" w:space="0" w:color="auto"/>
              <w:bottom w:val="nil"/>
              <w:right w:val="single" w:sz="8" w:space="0" w:color="auto"/>
            </w:tcBorders>
            <w:shd w:val="clear" w:color="auto" w:fill="auto"/>
            <w:vAlign w:val="center"/>
          </w:tcPr>
          <w:p w14:paraId="0E2C8CC0"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$8,396,797</w:t>
            </w:r>
          </w:p>
        </w:tc>
        <w:tc>
          <w:tcPr>
            <w:tcW w:w="1114" w:type="dxa"/>
            <w:tcBorders>
              <w:top w:val="nil"/>
              <w:left w:val="single" w:sz="8" w:space="0" w:color="auto"/>
              <w:bottom w:val="nil"/>
              <w:right w:val="single" w:sz="8" w:space="0" w:color="auto"/>
            </w:tcBorders>
            <w:shd w:val="clear" w:color="auto" w:fill="auto"/>
            <w:vAlign w:val="center"/>
          </w:tcPr>
          <w:p w14:paraId="5E205C7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$26,333,224</w:t>
            </w:r>
          </w:p>
        </w:tc>
        <w:tc>
          <w:tcPr>
            <w:tcW w:w="1114" w:type="dxa"/>
            <w:tcBorders>
              <w:top w:val="nil"/>
              <w:left w:val="single" w:sz="8" w:space="0" w:color="auto"/>
              <w:bottom w:val="nil"/>
              <w:right w:val="single" w:sz="8" w:space="0" w:color="auto"/>
            </w:tcBorders>
            <w:shd w:val="clear" w:color="auto" w:fill="auto"/>
            <w:vAlign w:val="center"/>
          </w:tcPr>
          <w:p w14:paraId="1A893733"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$14,1216,15</w:t>
            </w:r>
          </w:p>
        </w:tc>
      </w:tr>
      <w:tr w:rsidR="00C22FE0" w:rsidRPr="00C22FE0" w14:paraId="7DFA35C6"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61C9967"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Costs per QALY </w:t>
            </w:r>
          </w:p>
          <w:p w14:paraId="3235D3D8"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gained</w:t>
            </w:r>
          </w:p>
        </w:tc>
        <w:tc>
          <w:tcPr>
            <w:tcW w:w="1113" w:type="dxa"/>
            <w:tcBorders>
              <w:top w:val="nil"/>
              <w:left w:val="single" w:sz="8" w:space="0" w:color="auto"/>
              <w:bottom w:val="nil"/>
              <w:right w:val="single" w:sz="8" w:space="0" w:color="auto"/>
            </w:tcBorders>
            <w:shd w:val="clear" w:color="auto" w:fill="auto"/>
            <w:vAlign w:val="center"/>
          </w:tcPr>
          <w:p w14:paraId="560CCDA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w:t>
            </w:r>
          </w:p>
        </w:tc>
        <w:tc>
          <w:tcPr>
            <w:tcW w:w="1114" w:type="dxa"/>
            <w:tcBorders>
              <w:top w:val="nil"/>
              <w:left w:val="single" w:sz="8" w:space="0" w:color="auto"/>
              <w:bottom w:val="nil"/>
              <w:right w:val="single" w:sz="8" w:space="0" w:color="auto"/>
            </w:tcBorders>
            <w:shd w:val="clear" w:color="auto" w:fill="auto"/>
            <w:vAlign w:val="center"/>
          </w:tcPr>
          <w:p w14:paraId="443949E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64D496B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$7,421</w:t>
            </w:r>
          </w:p>
        </w:tc>
        <w:tc>
          <w:tcPr>
            <w:tcW w:w="1113" w:type="dxa"/>
            <w:tcBorders>
              <w:top w:val="nil"/>
              <w:left w:val="single" w:sz="8" w:space="0" w:color="auto"/>
              <w:bottom w:val="nil"/>
              <w:right w:val="single" w:sz="8" w:space="0" w:color="auto"/>
            </w:tcBorders>
            <w:shd w:val="clear" w:color="auto" w:fill="auto"/>
            <w:vAlign w:val="center"/>
          </w:tcPr>
          <w:p w14:paraId="4AA6604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$38,319</w:t>
            </w:r>
          </w:p>
        </w:tc>
        <w:tc>
          <w:tcPr>
            <w:tcW w:w="1114" w:type="dxa"/>
            <w:tcBorders>
              <w:top w:val="nil"/>
              <w:left w:val="single" w:sz="8" w:space="0" w:color="auto"/>
              <w:bottom w:val="nil"/>
              <w:right w:val="single" w:sz="8" w:space="0" w:color="auto"/>
            </w:tcBorders>
            <w:shd w:val="clear" w:color="auto" w:fill="auto"/>
            <w:vAlign w:val="center"/>
          </w:tcPr>
          <w:p w14:paraId="6BC8DC1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$13,638</w:t>
            </w:r>
          </w:p>
        </w:tc>
        <w:tc>
          <w:tcPr>
            <w:tcW w:w="1114" w:type="dxa"/>
            <w:tcBorders>
              <w:top w:val="nil"/>
              <w:left w:val="single" w:sz="8" w:space="0" w:color="auto"/>
              <w:bottom w:val="nil"/>
              <w:right w:val="single" w:sz="8" w:space="0" w:color="auto"/>
            </w:tcBorders>
            <w:shd w:val="clear" w:color="auto" w:fill="auto"/>
            <w:vAlign w:val="center"/>
          </w:tcPr>
          <w:p w14:paraId="13B1073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096EE2A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r>
      <w:tr w:rsidR="00C22FE0" w:rsidRPr="00C22FE0" w14:paraId="673DCE4F"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2EDD89B"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Total costs including productivity losses     </w:t>
            </w:r>
          </w:p>
        </w:tc>
        <w:tc>
          <w:tcPr>
            <w:tcW w:w="1113" w:type="dxa"/>
            <w:tcBorders>
              <w:top w:val="nil"/>
              <w:left w:val="single" w:sz="8" w:space="0" w:color="auto"/>
              <w:bottom w:val="nil"/>
              <w:right w:val="single" w:sz="8" w:space="0" w:color="auto"/>
            </w:tcBorders>
            <w:shd w:val="clear" w:color="auto" w:fill="auto"/>
            <w:vAlign w:val="center"/>
          </w:tcPr>
          <w:p w14:paraId="799B668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$14,212,580</w:t>
            </w:r>
          </w:p>
        </w:tc>
        <w:tc>
          <w:tcPr>
            <w:tcW w:w="1114" w:type="dxa"/>
            <w:tcBorders>
              <w:top w:val="nil"/>
              <w:left w:val="single" w:sz="8" w:space="0" w:color="auto"/>
              <w:bottom w:val="nil"/>
              <w:right w:val="single" w:sz="8" w:space="0" w:color="auto"/>
            </w:tcBorders>
            <w:shd w:val="clear" w:color="auto" w:fill="auto"/>
            <w:vAlign w:val="center"/>
          </w:tcPr>
          <w:p w14:paraId="59B9606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$59,137,022</w:t>
            </w:r>
          </w:p>
        </w:tc>
        <w:tc>
          <w:tcPr>
            <w:tcW w:w="1114" w:type="dxa"/>
            <w:tcBorders>
              <w:top w:val="nil"/>
              <w:left w:val="single" w:sz="8" w:space="0" w:color="auto"/>
              <w:bottom w:val="nil"/>
              <w:right w:val="single" w:sz="8" w:space="0" w:color="auto"/>
            </w:tcBorders>
            <w:shd w:val="clear" w:color="auto" w:fill="auto"/>
            <w:vAlign w:val="center"/>
          </w:tcPr>
          <w:p w14:paraId="37B416A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$94,097,731</w:t>
            </w:r>
          </w:p>
        </w:tc>
        <w:tc>
          <w:tcPr>
            <w:tcW w:w="1113" w:type="dxa"/>
            <w:tcBorders>
              <w:top w:val="nil"/>
              <w:left w:val="single" w:sz="8" w:space="0" w:color="auto"/>
              <w:bottom w:val="nil"/>
              <w:right w:val="single" w:sz="8" w:space="0" w:color="auto"/>
            </w:tcBorders>
            <w:shd w:val="clear" w:color="auto" w:fill="auto"/>
            <w:vAlign w:val="center"/>
          </w:tcPr>
          <w:p w14:paraId="12D6BAB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$25,480,128</w:t>
            </w:r>
          </w:p>
        </w:tc>
        <w:tc>
          <w:tcPr>
            <w:tcW w:w="1114" w:type="dxa"/>
            <w:tcBorders>
              <w:top w:val="nil"/>
              <w:left w:val="single" w:sz="8" w:space="0" w:color="auto"/>
              <w:bottom w:val="nil"/>
              <w:right w:val="single" w:sz="8" w:space="0" w:color="auto"/>
            </w:tcBorders>
            <w:shd w:val="clear" w:color="auto" w:fill="auto"/>
            <w:vAlign w:val="center"/>
          </w:tcPr>
          <w:p w14:paraId="52C616C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$92,906,661</w:t>
            </w:r>
          </w:p>
        </w:tc>
        <w:tc>
          <w:tcPr>
            <w:tcW w:w="1114" w:type="dxa"/>
            <w:tcBorders>
              <w:top w:val="nil"/>
              <w:left w:val="single" w:sz="8" w:space="0" w:color="auto"/>
              <w:bottom w:val="nil"/>
              <w:right w:val="single" w:sz="8" w:space="0" w:color="auto"/>
            </w:tcBorders>
            <w:shd w:val="clear" w:color="auto" w:fill="auto"/>
            <w:vAlign w:val="center"/>
          </w:tcPr>
          <w:p w14:paraId="1465E79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$92,396,945</w:t>
            </w:r>
          </w:p>
        </w:tc>
        <w:tc>
          <w:tcPr>
            <w:tcW w:w="1114" w:type="dxa"/>
            <w:tcBorders>
              <w:top w:val="nil"/>
              <w:left w:val="single" w:sz="8" w:space="0" w:color="auto"/>
              <w:bottom w:val="nil"/>
              <w:right w:val="single" w:sz="8" w:space="0" w:color="auto"/>
            </w:tcBorders>
            <w:shd w:val="clear" w:color="auto" w:fill="auto"/>
            <w:vAlign w:val="center"/>
          </w:tcPr>
          <w:p w14:paraId="2472E81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$89,767,901</w:t>
            </w:r>
          </w:p>
        </w:tc>
      </w:tr>
      <w:tr w:rsidR="00C22FE0" w:rsidRPr="00C22FE0" w14:paraId="3BA27E29"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single" w:sz="4" w:space="0" w:color="auto"/>
              <w:right w:val="single" w:sz="8" w:space="0" w:color="auto"/>
            </w:tcBorders>
            <w:shd w:val="clear" w:color="auto" w:fill="auto"/>
            <w:noWrap/>
            <w:vAlign w:val="center"/>
          </w:tcPr>
          <w:p w14:paraId="49208963"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Costs per QALY </w:t>
            </w:r>
          </w:p>
          <w:p w14:paraId="004368E5"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gained</w:t>
            </w:r>
          </w:p>
        </w:tc>
        <w:tc>
          <w:tcPr>
            <w:tcW w:w="1113" w:type="dxa"/>
            <w:tcBorders>
              <w:top w:val="nil"/>
              <w:left w:val="single" w:sz="8" w:space="0" w:color="auto"/>
              <w:bottom w:val="single" w:sz="4" w:space="0" w:color="auto"/>
              <w:right w:val="single" w:sz="8" w:space="0" w:color="auto"/>
            </w:tcBorders>
            <w:shd w:val="clear" w:color="auto" w:fill="auto"/>
            <w:vAlign w:val="center"/>
          </w:tcPr>
          <w:p w14:paraId="351BC91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w:t>
            </w:r>
          </w:p>
        </w:tc>
        <w:tc>
          <w:tcPr>
            <w:tcW w:w="1114" w:type="dxa"/>
            <w:tcBorders>
              <w:top w:val="nil"/>
              <w:left w:val="single" w:sz="8" w:space="0" w:color="auto"/>
              <w:bottom w:val="single" w:sz="4" w:space="0" w:color="auto"/>
              <w:right w:val="single" w:sz="8" w:space="0" w:color="auto"/>
            </w:tcBorders>
            <w:shd w:val="clear" w:color="auto" w:fill="auto"/>
            <w:vAlign w:val="center"/>
          </w:tcPr>
          <w:p w14:paraId="05FD940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6C23B1C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3" w:type="dxa"/>
            <w:tcBorders>
              <w:top w:val="nil"/>
              <w:left w:val="single" w:sz="8" w:space="0" w:color="auto"/>
              <w:bottom w:val="single" w:sz="4" w:space="0" w:color="auto"/>
              <w:right w:val="single" w:sz="8" w:space="0" w:color="auto"/>
            </w:tcBorders>
            <w:shd w:val="clear" w:color="auto" w:fill="auto"/>
            <w:vAlign w:val="center"/>
          </w:tcPr>
          <w:p w14:paraId="3067B06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14E63C9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5FAF9EB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6F69746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r>
    </w:tbl>
    <w:p w14:paraId="63CECB53" w14:textId="77777777" w:rsidR="00C22FE0" w:rsidRPr="00C22FE0" w:rsidRDefault="00C22FE0" w:rsidP="00C22FE0">
      <w:pPr>
        <w:snapToGrid w:val="0"/>
        <w:rPr>
          <w:rFonts w:asciiTheme="minorHAnsi" w:hAnsiTheme="minorHAnsi" w:cstheme="minorHAnsi"/>
          <w:iCs/>
          <w:sz w:val="16"/>
          <w:szCs w:val="16"/>
          <w:vertAlign w:val="superscript"/>
        </w:rPr>
      </w:pPr>
      <w:r w:rsidRPr="00C22FE0">
        <w:rPr>
          <w:rFonts w:asciiTheme="minorHAnsi" w:hAnsiTheme="minorHAnsi" w:cstheme="minorHAnsi"/>
          <w:iCs/>
          <w:sz w:val="16"/>
          <w:szCs w:val="16"/>
        </w:rPr>
        <w:t>A ‘dominant’ costs per QALY gained indicates that the DMHS was found to have lower costs and greater benefits.</w:t>
      </w:r>
    </w:p>
    <w:p w14:paraId="0F5B2697" w14:textId="4B6567B8" w:rsidR="00C22FE0" w:rsidRPr="00C22FE0" w:rsidRDefault="00C22FE0" w:rsidP="00C22FE0">
      <w:pPr>
        <w:snapToGrid w:val="0"/>
        <w:rPr>
          <w:rFonts w:asciiTheme="minorHAnsi" w:hAnsiTheme="minorHAnsi" w:cstheme="minorHAnsi"/>
          <w:iCs/>
          <w:sz w:val="16"/>
          <w:szCs w:val="16"/>
        </w:rPr>
      </w:pPr>
      <w:proofErr w:type="spellStart"/>
      <w:r w:rsidRPr="00C22FE0">
        <w:rPr>
          <w:rFonts w:asciiTheme="minorHAnsi" w:hAnsiTheme="minorHAnsi" w:cstheme="minorHAnsi"/>
          <w:iCs/>
          <w:sz w:val="16"/>
          <w:szCs w:val="16"/>
          <w:vertAlign w:val="superscript"/>
        </w:rPr>
        <w:t>a</w:t>
      </w:r>
      <w:r w:rsidRPr="00C22FE0">
        <w:rPr>
          <w:rFonts w:asciiTheme="minorHAnsi" w:hAnsiTheme="minorHAnsi" w:cstheme="minorHAnsi"/>
          <w:iCs/>
          <w:sz w:val="16"/>
          <w:szCs w:val="16"/>
        </w:rPr>
        <w:t>Based</w:t>
      </w:r>
      <w:proofErr w:type="spellEnd"/>
      <w:r w:rsidRPr="00C22FE0">
        <w:rPr>
          <w:rFonts w:asciiTheme="minorHAnsi" w:hAnsiTheme="minorHAnsi" w:cstheme="minorHAnsi"/>
          <w:iCs/>
          <w:sz w:val="16"/>
          <w:szCs w:val="16"/>
        </w:rPr>
        <w:t xml:space="preserve"> on (</w:t>
      </w:r>
      <w:proofErr w:type="spellStart"/>
      <w:r w:rsidRPr="00C22FE0">
        <w:rPr>
          <w:rFonts w:asciiTheme="minorHAnsi" w:hAnsiTheme="minorHAnsi" w:cstheme="minorHAnsi"/>
          <w:iCs/>
          <w:sz w:val="16"/>
          <w:szCs w:val="16"/>
        </w:rPr>
        <w:t>i</w:t>
      </w:r>
      <w:proofErr w:type="spellEnd"/>
      <w:r w:rsidRPr="00C22FE0">
        <w:rPr>
          <w:rFonts w:asciiTheme="minorHAnsi" w:hAnsiTheme="minorHAnsi" w:cstheme="minorHAnsi"/>
          <w:iCs/>
          <w:sz w:val="16"/>
          <w:szCs w:val="16"/>
        </w:rPr>
        <w:t xml:space="preserve">) an input population of 1,117 consumers and annual cost of service delivery per consumer as reported in Table </w:t>
      </w:r>
      <w:r w:rsidR="2994E5E7" w:rsidRPr="452D831E">
        <w:rPr>
          <w:rFonts w:asciiTheme="minorHAnsi" w:hAnsiTheme="minorHAnsi" w:cstheme="minorBidi"/>
          <w:sz w:val="16"/>
          <w:szCs w:val="16"/>
        </w:rPr>
        <w:t>54</w:t>
      </w:r>
      <w:r w:rsidRPr="00C22FE0">
        <w:rPr>
          <w:rFonts w:asciiTheme="minorHAnsi" w:hAnsiTheme="minorHAnsi" w:cstheme="minorHAnsi"/>
          <w:iCs/>
          <w:sz w:val="16"/>
          <w:szCs w:val="16"/>
        </w:rPr>
        <w:t xml:space="preserve"> and (ii) health care cost and productivity losses as reported in Table </w:t>
      </w:r>
      <w:r w:rsidR="2994E5E7" w:rsidRPr="452D831E">
        <w:rPr>
          <w:rFonts w:asciiTheme="minorHAnsi" w:hAnsiTheme="minorHAnsi" w:cstheme="minorBidi"/>
          <w:sz w:val="16"/>
          <w:szCs w:val="16"/>
        </w:rPr>
        <w:t>58</w:t>
      </w:r>
      <w:r w:rsidRPr="00C22FE0">
        <w:rPr>
          <w:rFonts w:asciiTheme="minorHAnsi" w:hAnsiTheme="minorHAnsi" w:cstheme="minorHAnsi"/>
          <w:iCs/>
          <w:sz w:val="16"/>
          <w:szCs w:val="16"/>
        </w:rPr>
        <w:t>.</w:t>
      </w:r>
    </w:p>
    <w:p w14:paraId="36E436DD" w14:textId="4EBBC03A" w:rsidR="00C22FE0" w:rsidRPr="00C22FE0" w:rsidRDefault="00C22FE0" w:rsidP="00C22FE0">
      <w:pPr>
        <w:snapToGrid w:val="0"/>
        <w:rPr>
          <w:rFonts w:asciiTheme="minorHAnsi" w:hAnsiTheme="minorHAnsi" w:cstheme="minorHAnsi"/>
          <w:iCs/>
          <w:sz w:val="16"/>
          <w:szCs w:val="16"/>
        </w:rPr>
      </w:pPr>
      <w:proofErr w:type="spellStart"/>
      <w:r w:rsidRPr="00C22FE0">
        <w:rPr>
          <w:rFonts w:asciiTheme="minorHAnsi" w:hAnsiTheme="minorHAnsi" w:cstheme="minorHAnsi"/>
          <w:iCs/>
          <w:sz w:val="16"/>
          <w:szCs w:val="16"/>
          <w:vertAlign w:val="superscript"/>
        </w:rPr>
        <w:t>b</w:t>
      </w:r>
      <w:r w:rsidRPr="00C22FE0">
        <w:rPr>
          <w:rFonts w:asciiTheme="minorHAnsi" w:hAnsiTheme="minorHAnsi" w:cstheme="minorHAnsi"/>
          <w:iCs/>
          <w:sz w:val="16"/>
          <w:szCs w:val="16"/>
        </w:rPr>
        <w:t>B</w:t>
      </w:r>
      <w:r w:rsidRPr="00C22FE0">
        <w:rPr>
          <w:rFonts w:asciiTheme="minorHAnsi" w:hAnsiTheme="minorHAnsi" w:cstheme="minorHAnsi"/>
          <w:iCs/>
          <w:color w:val="44546A" w:themeColor="text2"/>
          <w:sz w:val="16"/>
          <w:szCs w:val="16"/>
        </w:rPr>
        <w:t>a</w:t>
      </w:r>
      <w:r w:rsidRPr="00C22FE0">
        <w:rPr>
          <w:rFonts w:asciiTheme="minorHAnsi" w:hAnsiTheme="minorHAnsi" w:cstheme="minorHAnsi"/>
          <w:iCs/>
          <w:sz w:val="16"/>
          <w:szCs w:val="16"/>
        </w:rPr>
        <w:t>sed</w:t>
      </w:r>
      <w:proofErr w:type="spellEnd"/>
      <w:r w:rsidRPr="00C22FE0">
        <w:rPr>
          <w:rFonts w:asciiTheme="minorHAnsi" w:hAnsiTheme="minorHAnsi" w:cstheme="minorHAnsi"/>
          <w:iCs/>
          <w:sz w:val="16"/>
          <w:szCs w:val="16"/>
        </w:rPr>
        <w:t xml:space="preserve"> on (</w:t>
      </w:r>
      <w:proofErr w:type="spellStart"/>
      <w:r w:rsidRPr="00C22FE0">
        <w:rPr>
          <w:rFonts w:asciiTheme="minorHAnsi" w:hAnsiTheme="minorHAnsi" w:cstheme="minorHAnsi"/>
          <w:iCs/>
          <w:sz w:val="16"/>
          <w:szCs w:val="16"/>
        </w:rPr>
        <w:t>i</w:t>
      </w:r>
      <w:proofErr w:type="spellEnd"/>
      <w:r w:rsidRPr="00C22FE0">
        <w:rPr>
          <w:rFonts w:asciiTheme="minorHAnsi" w:hAnsiTheme="minorHAnsi" w:cstheme="minorHAnsi"/>
          <w:iCs/>
          <w:sz w:val="16"/>
          <w:szCs w:val="16"/>
        </w:rPr>
        <w:t xml:space="preserve">) an input population of 5,198 consumers and annual cost of service delivery per consumer as reported in Table </w:t>
      </w:r>
      <w:r w:rsidR="2994E5E7" w:rsidRPr="452D831E">
        <w:rPr>
          <w:rFonts w:asciiTheme="minorHAnsi" w:hAnsiTheme="minorHAnsi" w:cstheme="minorBidi"/>
          <w:sz w:val="16"/>
          <w:szCs w:val="16"/>
        </w:rPr>
        <w:t>54</w:t>
      </w:r>
      <w:r w:rsidRPr="00C22FE0">
        <w:rPr>
          <w:rFonts w:asciiTheme="minorHAnsi" w:hAnsiTheme="minorHAnsi" w:cstheme="minorHAnsi"/>
          <w:iCs/>
          <w:sz w:val="16"/>
          <w:szCs w:val="16"/>
        </w:rPr>
        <w:t xml:space="preserve"> and (ii) health care cost and productivity losses as reported in Table </w:t>
      </w:r>
      <w:r w:rsidR="2994E5E7" w:rsidRPr="452D831E">
        <w:rPr>
          <w:rFonts w:asciiTheme="minorHAnsi" w:hAnsiTheme="minorHAnsi" w:cstheme="minorBidi"/>
          <w:sz w:val="16"/>
          <w:szCs w:val="16"/>
        </w:rPr>
        <w:t>58</w:t>
      </w:r>
      <w:r w:rsidRPr="00C22FE0">
        <w:rPr>
          <w:rFonts w:asciiTheme="minorHAnsi" w:hAnsiTheme="minorHAnsi" w:cstheme="minorHAnsi"/>
          <w:iCs/>
          <w:sz w:val="16"/>
          <w:szCs w:val="16"/>
        </w:rPr>
        <w:t>.</w:t>
      </w:r>
    </w:p>
    <w:p w14:paraId="6452C644" w14:textId="77777777" w:rsidR="0074288B" w:rsidRDefault="0074288B">
      <w:pPr>
        <w:spacing w:after="200"/>
        <w:rPr>
          <w:rFonts w:asciiTheme="minorHAnsi" w:eastAsiaTheme="majorEastAsia" w:hAnsiTheme="minorHAnsi" w:cstheme="majorBidi"/>
          <w:b/>
          <w:color w:val="000000" w:themeColor="text1"/>
          <w:sz w:val="21"/>
          <w:szCs w:val="21"/>
          <w:lang w:val="en-US" w:eastAsia="en-US"/>
        </w:rPr>
      </w:pPr>
      <w:r>
        <w:rPr>
          <w:rFonts w:asciiTheme="minorHAnsi" w:eastAsiaTheme="majorEastAsia" w:hAnsiTheme="minorHAnsi" w:cstheme="majorBidi"/>
          <w:b/>
          <w:color w:val="000000" w:themeColor="text1"/>
          <w:sz w:val="21"/>
          <w:szCs w:val="21"/>
          <w:lang w:val="en-US" w:eastAsia="en-US"/>
        </w:rPr>
        <w:br w:type="page"/>
      </w:r>
    </w:p>
    <w:p w14:paraId="2A1498A8" w14:textId="604F3D62" w:rsidR="00C22FE0" w:rsidRPr="00C22FE0" w:rsidRDefault="00C22FE0" w:rsidP="00C22FE0">
      <w:pPr>
        <w:keepLines/>
        <w:spacing w:after="120"/>
        <w:outlineLvl w:val="2"/>
        <w:rPr>
          <w:rFonts w:asciiTheme="minorHAnsi" w:eastAsiaTheme="majorEastAsia" w:hAnsiTheme="minorHAnsi" w:cstheme="majorBidi"/>
          <w:b/>
          <w:color w:val="000000" w:themeColor="text1"/>
          <w:sz w:val="21"/>
          <w:szCs w:val="21"/>
          <w:lang w:val="en-US" w:eastAsia="en-US"/>
        </w:rPr>
      </w:pPr>
      <w:r w:rsidRPr="00C22FE0">
        <w:rPr>
          <w:rFonts w:asciiTheme="minorHAnsi" w:eastAsiaTheme="majorEastAsia" w:hAnsiTheme="minorHAnsi" w:cstheme="majorBidi"/>
          <w:b/>
          <w:color w:val="000000" w:themeColor="text1"/>
          <w:sz w:val="21"/>
          <w:szCs w:val="21"/>
          <w:lang w:val="en-US" w:eastAsia="en-US"/>
        </w:rPr>
        <w:lastRenderedPageBreak/>
        <w:t xml:space="preserve">Table </w:t>
      </w:r>
      <w:r w:rsidR="00C754B0">
        <w:rPr>
          <w:rFonts w:asciiTheme="minorHAnsi" w:eastAsiaTheme="majorEastAsia" w:hAnsiTheme="minorHAnsi" w:cstheme="majorBidi"/>
          <w:b/>
          <w:color w:val="000000" w:themeColor="text1"/>
          <w:sz w:val="21"/>
          <w:szCs w:val="21"/>
          <w:lang w:val="en-US" w:eastAsia="en-US"/>
        </w:rPr>
        <w:t>L2</w:t>
      </w:r>
      <w:r w:rsidRPr="0074288B">
        <w:rPr>
          <w:rFonts w:asciiTheme="minorHAnsi" w:eastAsiaTheme="majorEastAsia" w:hAnsiTheme="minorHAnsi" w:cstheme="majorBidi"/>
          <w:b/>
          <w:color w:val="000000" w:themeColor="text1"/>
          <w:sz w:val="21"/>
          <w:szCs w:val="21"/>
          <w:lang w:val="en-US" w:eastAsia="en-US"/>
        </w:rPr>
        <w:t>.3</w:t>
      </w:r>
      <w:r w:rsidRPr="00C22FE0">
        <w:rPr>
          <w:rFonts w:asciiTheme="minorHAnsi" w:eastAsiaTheme="majorEastAsia" w:hAnsiTheme="minorHAnsi" w:cstheme="majorBidi"/>
          <w:b/>
          <w:color w:val="000000" w:themeColor="text1"/>
          <w:sz w:val="21"/>
          <w:szCs w:val="21"/>
          <w:lang w:val="en-US" w:eastAsia="en-US"/>
        </w:rPr>
        <w:t xml:space="preserve"> Results of economic modelling for THIS WAY UP (utility values based on GAD-7 cut-off points)</w:t>
      </w:r>
    </w:p>
    <w:tbl>
      <w:tblPr>
        <w:tblStyle w:val="PlainTable413"/>
        <w:tblW w:w="9629" w:type="dxa"/>
        <w:tblInd w:w="0" w:type="dxa"/>
        <w:tblBorders>
          <w:top w:val="single" w:sz="8" w:space="0" w:color="auto"/>
          <w:left w:val="single" w:sz="8" w:space="0" w:color="auto"/>
          <w:bottom w:val="single" w:sz="8" w:space="0" w:color="auto"/>
          <w:right w:val="single" w:sz="8" w:space="0" w:color="auto"/>
          <w:insideV w:val="single" w:sz="8" w:space="0" w:color="auto"/>
        </w:tblBorders>
        <w:tblLayout w:type="fixed"/>
        <w:tblLook w:val="04A0" w:firstRow="1" w:lastRow="0" w:firstColumn="1" w:lastColumn="0" w:noHBand="0" w:noVBand="1"/>
        <w:tblCaption w:val="Table L2.3 Results of economic modelling for THIS WAY UP (utility values based on GAD-7 cut-off points)"/>
        <w:tblDescription w:val="A table presenting the economic modelling results for MindSpot in comparison to all indirect comparator groups. This is a sensitivity analysis conducted by using transition probabilities based on published outcomes in a previous publication. The results include the numbers of input population, fully recovered, partially recovered, no improvement, deteriorated, quality-adjusted life years, total costs including and excluding productivity losses and costs per quality-adjusted life years gained. Items were presented by self-directed treatment and therapist-supported treatment."/>
      </w:tblPr>
      <w:tblGrid>
        <w:gridCol w:w="1833"/>
        <w:gridCol w:w="1113"/>
        <w:gridCol w:w="1114"/>
        <w:gridCol w:w="1114"/>
        <w:gridCol w:w="1113"/>
        <w:gridCol w:w="1114"/>
        <w:gridCol w:w="1114"/>
        <w:gridCol w:w="1114"/>
      </w:tblGrid>
      <w:tr w:rsidR="00C22FE0" w:rsidRPr="00C22FE0" w14:paraId="25031EB7" w14:textId="77777777" w:rsidTr="00A56C43">
        <w:trPr>
          <w:cnfStyle w:val="100000000000" w:firstRow="1" w:lastRow="0" w:firstColumn="0" w:lastColumn="0" w:oddVBand="0" w:evenVBand="0" w:oddHBand="0" w:evenHBand="0" w:firstRowFirstColumn="0" w:firstRowLastColumn="0" w:lastRowFirstColumn="0" w:lastRowLastColumn="0"/>
          <w:trHeight w:val="969"/>
          <w:tblHeader/>
        </w:trPr>
        <w:tc>
          <w:tcPr>
            <w:cnfStyle w:val="001000000000" w:firstRow="0" w:lastRow="0" w:firstColumn="1" w:lastColumn="0" w:oddVBand="0" w:evenVBand="0" w:oddHBand="0" w:evenHBand="0" w:firstRowFirstColumn="0" w:firstRowLastColumn="0" w:lastRowFirstColumn="0" w:lastRowLastColumn="0"/>
            <w:tcW w:w="1833" w:type="dxa"/>
            <w:tcBorders>
              <w:top w:val="single" w:sz="8" w:space="0" w:color="auto"/>
              <w:left w:val="single" w:sz="8" w:space="0" w:color="auto"/>
              <w:bottom w:val="nil"/>
              <w:right w:val="single" w:sz="8" w:space="0" w:color="auto"/>
            </w:tcBorders>
            <w:shd w:val="clear" w:color="auto" w:fill="000000" w:themeFill="text1"/>
            <w:noWrap/>
            <w:vAlign w:val="center"/>
            <w:hideMark/>
          </w:tcPr>
          <w:p w14:paraId="733126E4" w14:textId="77777777" w:rsidR="00C22FE0" w:rsidRPr="00C22FE0" w:rsidRDefault="00C22FE0" w:rsidP="00C22FE0">
            <w:pPr>
              <w:snapToGrid w:val="0"/>
              <w:rPr>
                <w:rFonts w:ascii="Calibri" w:hAnsi="Calibri" w:cs="Calibri"/>
                <w:color w:val="FFFFFF" w:themeColor="background1"/>
                <w:sz w:val="18"/>
                <w:szCs w:val="18"/>
                <w:lang w:eastAsia="en-AU"/>
              </w:rPr>
            </w:pPr>
          </w:p>
        </w:tc>
        <w:tc>
          <w:tcPr>
            <w:tcW w:w="1113" w:type="dxa"/>
            <w:tcBorders>
              <w:top w:val="single" w:sz="8" w:space="0" w:color="auto"/>
              <w:left w:val="single" w:sz="8" w:space="0" w:color="auto"/>
              <w:right w:val="single" w:sz="8" w:space="0" w:color="auto"/>
            </w:tcBorders>
            <w:shd w:val="clear" w:color="auto" w:fill="000000" w:themeFill="text1"/>
            <w:vAlign w:val="center"/>
          </w:tcPr>
          <w:p w14:paraId="3FADEC11"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THIS WAY UP</w:t>
            </w:r>
          </w:p>
        </w:tc>
        <w:tc>
          <w:tcPr>
            <w:tcW w:w="1114" w:type="dxa"/>
            <w:tcBorders>
              <w:top w:val="single" w:sz="8" w:space="0" w:color="auto"/>
              <w:left w:val="single" w:sz="8" w:space="0" w:color="auto"/>
              <w:right w:val="single" w:sz="8" w:space="0" w:color="auto"/>
            </w:tcBorders>
            <w:shd w:val="clear" w:color="auto" w:fill="000000" w:themeFill="text1"/>
            <w:vAlign w:val="center"/>
          </w:tcPr>
          <w:p w14:paraId="0E46301B"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Indirect comparator: Link-me</w:t>
            </w:r>
          </w:p>
          <w:p w14:paraId="35B02CD0"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w:t>
            </w:r>
            <w:proofErr w:type="gramStart"/>
            <w:r w:rsidRPr="00C22FE0">
              <w:rPr>
                <w:rFonts w:ascii="Calibri" w:hAnsi="Calibri" w:cs="Calibri"/>
                <w:color w:val="FFFFFF" w:themeColor="background1"/>
                <w:sz w:val="16"/>
                <w:szCs w:val="16"/>
                <w:lang w:eastAsia="en-AU"/>
              </w:rPr>
              <w:t>all</w:t>
            </w:r>
            <w:proofErr w:type="gramEnd"/>
            <w:r w:rsidRPr="00C22FE0">
              <w:rPr>
                <w:rFonts w:ascii="Calibri" w:hAnsi="Calibri" w:cs="Calibri"/>
                <w:color w:val="FFFFFF" w:themeColor="background1"/>
                <w:sz w:val="16"/>
                <w:szCs w:val="16"/>
                <w:lang w:eastAsia="en-AU"/>
              </w:rPr>
              <w:t xml:space="preserve"> participants)</w:t>
            </w:r>
          </w:p>
        </w:tc>
        <w:tc>
          <w:tcPr>
            <w:tcW w:w="1114" w:type="dxa"/>
            <w:tcBorders>
              <w:top w:val="single" w:sz="8" w:space="0" w:color="auto"/>
              <w:left w:val="single" w:sz="8" w:space="0" w:color="auto"/>
              <w:right w:val="single" w:sz="8" w:space="0" w:color="auto"/>
            </w:tcBorders>
            <w:shd w:val="clear" w:color="auto" w:fill="000000" w:themeFill="text1"/>
            <w:vAlign w:val="center"/>
          </w:tcPr>
          <w:p w14:paraId="42B3F976"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Indirect comparator: Target-D</w:t>
            </w:r>
          </w:p>
          <w:p w14:paraId="0D75EBCD"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w:t>
            </w:r>
            <w:proofErr w:type="gramStart"/>
            <w:r w:rsidRPr="00C22FE0">
              <w:rPr>
                <w:rFonts w:ascii="Calibri" w:hAnsi="Calibri" w:cs="Calibri"/>
                <w:color w:val="FFFFFF" w:themeColor="background1"/>
                <w:sz w:val="16"/>
                <w:szCs w:val="16"/>
                <w:lang w:eastAsia="en-AU"/>
              </w:rPr>
              <w:t>all</w:t>
            </w:r>
            <w:proofErr w:type="gramEnd"/>
            <w:r w:rsidRPr="00C22FE0">
              <w:rPr>
                <w:rFonts w:ascii="Calibri" w:hAnsi="Calibri" w:cs="Calibri"/>
                <w:color w:val="FFFFFF" w:themeColor="background1"/>
                <w:sz w:val="16"/>
                <w:szCs w:val="16"/>
                <w:lang w:eastAsia="en-AU"/>
              </w:rPr>
              <w:t xml:space="preserve"> participants)</w:t>
            </w:r>
          </w:p>
        </w:tc>
        <w:tc>
          <w:tcPr>
            <w:tcW w:w="1113" w:type="dxa"/>
            <w:tcBorders>
              <w:top w:val="single" w:sz="8" w:space="0" w:color="auto"/>
              <w:left w:val="single" w:sz="8" w:space="0" w:color="auto"/>
              <w:right w:val="single" w:sz="8" w:space="0" w:color="auto"/>
            </w:tcBorders>
            <w:shd w:val="clear" w:color="auto" w:fill="000000" w:themeFill="text1"/>
            <w:vAlign w:val="center"/>
          </w:tcPr>
          <w:p w14:paraId="7FE3D955"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Indirect comparator: Link-me (minimal/ mild group)</w:t>
            </w:r>
          </w:p>
        </w:tc>
        <w:tc>
          <w:tcPr>
            <w:tcW w:w="1114" w:type="dxa"/>
            <w:tcBorders>
              <w:top w:val="single" w:sz="8" w:space="0" w:color="auto"/>
              <w:left w:val="single" w:sz="8" w:space="0" w:color="auto"/>
              <w:bottom w:val="nil"/>
              <w:right w:val="single" w:sz="8" w:space="0" w:color="auto"/>
            </w:tcBorders>
            <w:shd w:val="clear" w:color="auto" w:fill="000000" w:themeFill="text1"/>
            <w:vAlign w:val="center"/>
          </w:tcPr>
          <w:p w14:paraId="6315851E"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Indirect comparator: Target-D (minimal/ mild group)</w:t>
            </w:r>
          </w:p>
        </w:tc>
        <w:tc>
          <w:tcPr>
            <w:tcW w:w="1114" w:type="dxa"/>
            <w:tcBorders>
              <w:top w:val="single" w:sz="8" w:space="0" w:color="auto"/>
              <w:left w:val="single" w:sz="8" w:space="0" w:color="auto"/>
              <w:bottom w:val="nil"/>
              <w:right w:val="single" w:sz="8" w:space="0" w:color="auto"/>
            </w:tcBorders>
            <w:shd w:val="clear" w:color="auto" w:fill="000000" w:themeFill="text1"/>
            <w:vAlign w:val="center"/>
          </w:tcPr>
          <w:p w14:paraId="4BA0B7D3"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Indirect comparator: Link-me (severe group)</w:t>
            </w:r>
          </w:p>
        </w:tc>
        <w:tc>
          <w:tcPr>
            <w:tcW w:w="1114" w:type="dxa"/>
            <w:tcBorders>
              <w:top w:val="single" w:sz="8" w:space="0" w:color="auto"/>
              <w:left w:val="single" w:sz="8" w:space="0" w:color="auto"/>
              <w:bottom w:val="nil"/>
              <w:right w:val="single" w:sz="8" w:space="0" w:color="auto"/>
            </w:tcBorders>
            <w:shd w:val="clear" w:color="auto" w:fill="000000" w:themeFill="text1"/>
            <w:vAlign w:val="center"/>
          </w:tcPr>
          <w:p w14:paraId="6FB8F104"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Indirect comparator: Target-D (severe group)</w:t>
            </w:r>
          </w:p>
        </w:tc>
      </w:tr>
      <w:tr w:rsidR="00C22FE0" w:rsidRPr="00C22FE0" w14:paraId="6E2E3042"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3BE1A7E"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Self-directed </w:t>
            </w:r>
            <w:proofErr w:type="spellStart"/>
            <w:r w:rsidRPr="00C22FE0">
              <w:rPr>
                <w:rFonts w:ascii="Calibri" w:hAnsi="Calibri" w:cs="Calibri"/>
                <w:color w:val="000000"/>
                <w:sz w:val="16"/>
                <w:szCs w:val="16"/>
                <w:lang w:eastAsia="en-AU"/>
              </w:rPr>
              <w:t>treatment</w:t>
            </w:r>
            <w:r w:rsidRPr="00C22FE0">
              <w:rPr>
                <w:rFonts w:asciiTheme="minorHAnsi" w:hAnsiTheme="minorHAnsi" w:cstheme="minorHAnsi"/>
                <w:sz w:val="16"/>
                <w:szCs w:val="16"/>
                <w:vertAlign w:val="superscript"/>
                <w:lang w:eastAsia="en-US"/>
              </w:rPr>
              <w:t>a</w:t>
            </w:r>
            <w:proofErr w:type="spellEnd"/>
          </w:p>
        </w:tc>
        <w:tc>
          <w:tcPr>
            <w:tcW w:w="1113" w:type="dxa"/>
            <w:tcBorders>
              <w:top w:val="nil"/>
              <w:left w:val="single" w:sz="8" w:space="0" w:color="auto"/>
              <w:bottom w:val="nil"/>
              <w:right w:val="single" w:sz="8" w:space="0" w:color="auto"/>
            </w:tcBorders>
            <w:shd w:val="clear" w:color="auto" w:fill="auto"/>
            <w:vAlign w:val="center"/>
          </w:tcPr>
          <w:p w14:paraId="2F0AF63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5295714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4A2798F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6C2341D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1FA1013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7EB7577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5AA45A6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r>
      <w:tr w:rsidR="00C22FE0" w:rsidRPr="00C22FE0" w14:paraId="65E4D51A"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7CFE4F4E"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Input population (n)</w:t>
            </w:r>
          </w:p>
        </w:tc>
        <w:tc>
          <w:tcPr>
            <w:tcW w:w="1113" w:type="dxa"/>
            <w:tcBorders>
              <w:top w:val="nil"/>
              <w:left w:val="single" w:sz="8" w:space="0" w:color="auto"/>
              <w:bottom w:val="nil"/>
              <w:right w:val="single" w:sz="8" w:space="0" w:color="auto"/>
            </w:tcBorders>
            <w:shd w:val="clear" w:color="auto" w:fill="auto"/>
            <w:vAlign w:val="center"/>
          </w:tcPr>
          <w:p w14:paraId="433562F0"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3,330</w:t>
            </w:r>
          </w:p>
        </w:tc>
        <w:tc>
          <w:tcPr>
            <w:tcW w:w="1114" w:type="dxa"/>
            <w:tcBorders>
              <w:top w:val="nil"/>
              <w:left w:val="single" w:sz="8" w:space="0" w:color="auto"/>
              <w:bottom w:val="nil"/>
              <w:right w:val="single" w:sz="8" w:space="0" w:color="auto"/>
            </w:tcBorders>
            <w:shd w:val="clear" w:color="auto" w:fill="auto"/>
            <w:vAlign w:val="center"/>
          </w:tcPr>
          <w:p w14:paraId="722177E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3,330</w:t>
            </w:r>
          </w:p>
        </w:tc>
        <w:tc>
          <w:tcPr>
            <w:tcW w:w="1114" w:type="dxa"/>
            <w:tcBorders>
              <w:top w:val="nil"/>
              <w:left w:val="single" w:sz="8" w:space="0" w:color="auto"/>
              <w:bottom w:val="nil"/>
              <w:right w:val="single" w:sz="8" w:space="0" w:color="auto"/>
            </w:tcBorders>
            <w:shd w:val="clear" w:color="auto" w:fill="auto"/>
            <w:vAlign w:val="center"/>
          </w:tcPr>
          <w:p w14:paraId="090226F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3,330</w:t>
            </w:r>
          </w:p>
        </w:tc>
        <w:tc>
          <w:tcPr>
            <w:tcW w:w="1113" w:type="dxa"/>
            <w:tcBorders>
              <w:top w:val="nil"/>
              <w:left w:val="single" w:sz="8" w:space="0" w:color="auto"/>
              <w:bottom w:val="nil"/>
              <w:right w:val="single" w:sz="8" w:space="0" w:color="auto"/>
            </w:tcBorders>
            <w:shd w:val="clear" w:color="auto" w:fill="auto"/>
            <w:vAlign w:val="center"/>
          </w:tcPr>
          <w:p w14:paraId="329DE5B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3,330</w:t>
            </w:r>
          </w:p>
        </w:tc>
        <w:tc>
          <w:tcPr>
            <w:tcW w:w="1114" w:type="dxa"/>
            <w:tcBorders>
              <w:top w:val="nil"/>
              <w:left w:val="single" w:sz="8" w:space="0" w:color="auto"/>
              <w:bottom w:val="nil"/>
              <w:right w:val="single" w:sz="8" w:space="0" w:color="auto"/>
            </w:tcBorders>
            <w:shd w:val="clear" w:color="auto" w:fill="auto"/>
            <w:vAlign w:val="center"/>
          </w:tcPr>
          <w:p w14:paraId="6E826D5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3,330</w:t>
            </w:r>
          </w:p>
        </w:tc>
        <w:tc>
          <w:tcPr>
            <w:tcW w:w="1114" w:type="dxa"/>
            <w:tcBorders>
              <w:top w:val="nil"/>
              <w:left w:val="single" w:sz="8" w:space="0" w:color="auto"/>
              <w:bottom w:val="nil"/>
              <w:right w:val="single" w:sz="8" w:space="0" w:color="auto"/>
            </w:tcBorders>
            <w:shd w:val="clear" w:color="auto" w:fill="auto"/>
            <w:vAlign w:val="center"/>
          </w:tcPr>
          <w:p w14:paraId="1CAA07A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3,330</w:t>
            </w:r>
          </w:p>
        </w:tc>
        <w:tc>
          <w:tcPr>
            <w:tcW w:w="1114" w:type="dxa"/>
            <w:tcBorders>
              <w:top w:val="nil"/>
              <w:left w:val="single" w:sz="8" w:space="0" w:color="auto"/>
              <w:bottom w:val="nil"/>
              <w:right w:val="single" w:sz="8" w:space="0" w:color="auto"/>
            </w:tcBorders>
            <w:shd w:val="clear" w:color="auto" w:fill="auto"/>
            <w:vAlign w:val="center"/>
          </w:tcPr>
          <w:p w14:paraId="41F4C2E0"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3,330</w:t>
            </w:r>
          </w:p>
        </w:tc>
      </w:tr>
      <w:tr w:rsidR="00C22FE0" w:rsidRPr="00C22FE0" w14:paraId="3AFF2E52"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16D03C76"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Fully recovered (n)</w:t>
            </w:r>
          </w:p>
        </w:tc>
        <w:tc>
          <w:tcPr>
            <w:tcW w:w="1113" w:type="dxa"/>
            <w:tcBorders>
              <w:top w:val="nil"/>
              <w:left w:val="single" w:sz="8" w:space="0" w:color="auto"/>
              <w:bottom w:val="nil"/>
              <w:right w:val="single" w:sz="8" w:space="0" w:color="auto"/>
            </w:tcBorders>
            <w:shd w:val="clear" w:color="auto" w:fill="auto"/>
            <w:vAlign w:val="center"/>
          </w:tcPr>
          <w:p w14:paraId="4DAC319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1,412</w:t>
            </w:r>
          </w:p>
        </w:tc>
        <w:tc>
          <w:tcPr>
            <w:tcW w:w="1114" w:type="dxa"/>
            <w:tcBorders>
              <w:top w:val="nil"/>
              <w:left w:val="single" w:sz="8" w:space="0" w:color="auto"/>
              <w:bottom w:val="nil"/>
              <w:right w:val="single" w:sz="8" w:space="0" w:color="auto"/>
            </w:tcBorders>
            <w:shd w:val="clear" w:color="auto" w:fill="auto"/>
            <w:vAlign w:val="center"/>
          </w:tcPr>
          <w:p w14:paraId="61F6521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370</w:t>
            </w:r>
          </w:p>
        </w:tc>
        <w:tc>
          <w:tcPr>
            <w:tcW w:w="1114" w:type="dxa"/>
            <w:tcBorders>
              <w:top w:val="nil"/>
              <w:left w:val="single" w:sz="8" w:space="0" w:color="auto"/>
              <w:bottom w:val="nil"/>
              <w:right w:val="single" w:sz="8" w:space="0" w:color="auto"/>
            </w:tcBorders>
            <w:shd w:val="clear" w:color="auto" w:fill="auto"/>
            <w:vAlign w:val="center"/>
          </w:tcPr>
          <w:p w14:paraId="41B7B14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370</w:t>
            </w:r>
          </w:p>
        </w:tc>
        <w:tc>
          <w:tcPr>
            <w:tcW w:w="1113" w:type="dxa"/>
            <w:tcBorders>
              <w:top w:val="nil"/>
              <w:left w:val="single" w:sz="8" w:space="0" w:color="auto"/>
              <w:bottom w:val="nil"/>
              <w:right w:val="single" w:sz="8" w:space="0" w:color="auto"/>
            </w:tcBorders>
            <w:shd w:val="clear" w:color="auto" w:fill="auto"/>
            <w:vAlign w:val="center"/>
          </w:tcPr>
          <w:p w14:paraId="3F185C0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370</w:t>
            </w:r>
          </w:p>
        </w:tc>
        <w:tc>
          <w:tcPr>
            <w:tcW w:w="1114" w:type="dxa"/>
            <w:tcBorders>
              <w:top w:val="nil"/>
              <w:left w:val="single" w:sz="8" w:space="0" w:color="auto"/>
              <w:bottom w:val="nil"/>
              <w:right w:val="single" w:sz="8" w:space="0" w:color="auto"/>
            </w:tcBorders>
            <w:shd w:val="clear" w:color="auto" w:fill="auto"/>
            <w:vAlign w:val="center"/>
          </w:tcPr>
          <w:p w14:paraId="248FB96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370</w:t>
            </w:r>
          </w:p>
        </w:tc>
        <w:tc>
          <w:tcPr>
            <w:tcW w:w="1114" w:type="dxa"/>
            <w:tcBorders>
              <w:top w:val="nil"/>
              <w:left w:val="single" w:sz="8" w:space="0" w:color="auto"/>
              <w:bottom w:val="nil"/>
              <w:right w:val="single" w:sz="8" w:space="0" w:color="auto"/>
            </w:tcBorders>
            <w:shd w:val="clear" w:color="auto" w:fill="auto"/>
            <w:vAlign w:val="center"/>
          </w:tcPr>
          <w:p w14:paraId="38C8B97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370</w:t>
            </w:r>
          </w:p>
        </w:tc>
        <w:tc>
          <w:tcPr>
            <w:tcW w:w="1114" w:type="dxa"/>
            <w:tcBorders>
              <w:top w:val="nil"/>
              <w:left w:val="single" w:sz="8" w:space="0" w:color="auto"/>
              <w:bottom w:val="nil"/>
              <w:right w:val="single" w:sz="8" w:space="0" w:color="auto"/>
            </w:tcBorders>
            <w:shd w:val="clear" w:color="auto" w:fill="auto"/>
            <w:vAlign w:val="center"/>
          </w:tcPr>
          <w:p w14:paraId="077F557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370</w:t>
            </w:r>
          </w:p>
        </w:tc>
      </w:tr>
      <w:tr w:rsidR="00C22FE0" w:rsidRPr="00C22FE0" w14:paraId="3792499C"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6AA0C313"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Partially recovered (n)</w:t>
            </w:r>
          </w:p>
        </w:tc>
        <w:tc>
          <w:tcPr>
            <w:tcW w:w="1113" w:type="dxa"/>
            <w:tcBorders>
              <w:top w:val="nil"/>
              <w:left w:val="single" w:sz="8" w:space="0" w:color="auto"/>
              <w:bottom w:val="nil"/>
              <w:right w:val="single" w:sz="8" w:space="0" w:color="auto"/>
            </w:tcBorders>
            <w:shd w:val="clear" w:color="auto" w:fill="auto"/>
            <w:vAlign w:val="center"/>
          </w:tcPr>
          <w:p w14:paraId="34688E1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606</w:t>
            </w:r>
          </w:p>
        </w:tc>
        <w:tc>
          <w:tcPr>
            <w:tcW w:w="1114" w:type="dxa"/>
            <w:tcBorders>
              <w:top w:val="nil"/>
              <w:left w:val="single" w:sz="8" w:space="0" w:color="auto"/>
              <w:bottom w:val="nil"/>
              <w:right w:val="single" w:sz="8" w:space="0" w:color="auto"/>
            </w:tcBorders>
            <w:shd w:val="clear" w:color="auto" w:fill="auto"/>
            <w:vAlign w:val="center"/>
          </w:tcPr>
          <w:p w14:paraId="2A1FC83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147</w:t>
            </w:r>
          </w:p>
        </w:tc>
        <w:tc>
          <w:tcPr>
            <w:tcW w:w="1114" w:type="dxa"/>
            <w:tcBorders>
              <w:top w:val="nil"/>
              <w:left w:val="single" w:sz="8" w:space="0" w:color="auto"/>
              <w:bottom w:val="nil"/>
              <w:right w:val="single" w:sz="8" w:space="0" w:color="auto"/>
            </w:tcBorders>
            <w:shd w:val="clear" w:color="auto" w:fill="auto"/>
            <w:vAlign w:val="center"/>
          </w:tcPr>
          <w:p w14:paraId="204FF6B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147</w:t>
            </w:r>
          </w:p>
        </w:tc>
        <w:tc>
          <w:tcPr>
            <w:tcW w:w="1113" w:type="dxa"/>
            <w:tcBorders>
              <w:top w:val="nil"/>
              <w:left w:val="single" w:sz="8" w:space="0" w:color="auto"/>
              <w:bottom w:val="nil"/>
              <w:right w:val="single" w:sz="8" w:space="0" w:color="auto"/>
            </w:tcBorders>
            <w:shd w:val="clear" w:color="auto" w:fill="auto"/>
            <w:vAlign w:val="center"/>
          </w:tcPr>
          <w:p w14:paraId="36B88813"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147</w:t>
            </w:r>
          </w:p>
        </w:tc>
        <w:tc>
          <w:tcPr>
            <w:tcW w:w="1114" w:type="dxa"/>
            <w:tcBorders>
              <w:top w:val="nil"/>
              <w:left w:val="single" w:sz="8" w:space="0" w:color="auto"/>
              <w:bottom w:val="nil"/>
              <w:right w:val="single" w:sz="8" w:space="0" w:color="auto"/>
            </w:tcBorders>
            <w:shd w:val="clear" w:color="auto" w:fill="auto"/>
            <w:vAlign w:val="center"/>
          </w:tcPr>
          <w:p w14:paraId="6049003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147</w:t>
            </w:r>
          </w:p>
        </w:tc>
        <w:tc>
          <w:tcPr>
            <w:tcW w:w="1114" w:type="dxa"/>
            <w:tcBorders>
              <w:top w:val="nil"/>
              <w:left w:val="single" w:sz="8" w:space="0" w:color="auto"/>
              <w:bottom w:val="nil"/>
              <w:right w:val="single" w:sz="8" w:space="0" w:color="auto"/>
            </w:tcBorders>
            <w:shd w:val="clear" w:color="auto" w:fill="auto"/>
            <w:vAlign w:val="center"/>
          </w:tcPr>
          <w:p w14:paraId="6B9A2A7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147</w:t>
            </w:r>
          </w:p>
        </w:tc>
        <w:tc>
          <w:tcPr>
            <w:tcW w:w="1114" w:type="dxa"/>
            <w:tcBorders>
              <w:top w:val="nil"/>
              <w:left w:val="single" w:sz="8" w:space="0" w:color="auto"/>
              <w:bottom w:val="nil"/>
              <w:right w:val="single" w:sz="8" w:space="0" w:color="auto"/>
            </w:tcBorders>
            <w:shd w:val="clear" w:color="auto" w:fill="auto"/>
            <w:vAlign w:val="center"/>
          </w:tcPr>
          <w:p w14:paraId="145C64C3"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147</w:t>
            </w:r>
          </w:p>
        </w:tc>
      </w:tr>
      <w:tr w:rsidR="00C22FE0" w:rsidRPr="00C22FE0" w14:paraId="29725E70"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21EA511"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No improvement (n)</w:t>
            </w:r>
          </w:p>
        </w:tc>
        <w:tc>
          <w:tcPr>
            <w:tcW w:w="1113" w:type="dxa"/>
            <w:tcBorders>
              <w:top w:val="nil"/>
              <w:left w:val="single" w:sz="8" w:space="0" w:color="auto"/>
              <w:bottom w:val="nil"/>
              <w:right w:val="single" w:sz="8" w:space="0" w:color="auto"/>
            </w:tcBorders>
            <w:shd w:val="clear" w:color="auto" w:fill="auto"/>
            <w:vAlign w:val="center"/>
          </w:tcPr>
          <w:p w14:paraId="6CAF23E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1,146</w:t>
            </w:r>
          </w:p>
        </w:tc>
        <w:tc>
          <w:tcPr>
            <w:tcW w:w="1114" w:type="dxa"/>
            <w:tcBorders>
              <w:top w:val="nil"/>
              <w:left w:val="single" w:sz="8" w:space="0" w:color="auto"/>
              <w:bottom w:val="nil"/>
              <w:right w:val="single" w:sz="8" w:space="0" w:color="auto"/>
            </w:tcBorders>
            <w:shd w:val="clear" w:color="auto" w:fill="auto"/>
            <w:vAlign w:val="center"/>
          </w:tcPr>
          <w:p w14:paraId="16019E5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2,294</w:t>
            </w:r>
          </w:p>
        </w:tc>
        <w:tc>
          <w:tcPr>
            <w:tcW w:w="1114" w:type="dxa"/>
            <w:tcBorders>
              <w:top w:val="nil"/>
              <w:left w:val="single" w:sz="8" w:space="0" w:color="auto"/>
              <w:bottom w:val="nil"/>
              <w:right w:val="single" w:sz="8" w:space="0" w:color="auto"/>
            </w:tcBorders>
            <w:shd w:val="clear" w:color="auto" w:fill="auto"/>
            <w:vAlign w:val="center"/>
          </w:tcPr>
          <w:p w14:paraId="5723D0A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2,294</w:t>
            </w:r>
          </w:p>
        </w:tc>
        <w:tc>
          <w:tcPr>
            <w:tcW w:w="1113" w:type="dxa"/>
            <w:tcBorders>
              <w:top w:val="nil"/>
              <w:left w:val="single" w:sz="8" w:space="0" w:color="auto"/>
              <w:bottom w:val="nil"/>
              <w:right w:val="single" w:sz="8" w:space="0" w:color="auto"/>
            </w:tcBorders>
            <w:shd w:val="clear" w:color="auto" w:fill="auto"/>
            <w:vAlign w:val="center"/>
          </w:tcPr>
          <w:p w14:paraId="1408BC9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2,294</w:t>
            </w:r>
          </w:p>
        </w:tc>
        <w:tc>
          <w:tcPr>
            <w:tcW w:w="1114" w:type="dxa"/>
            <w:tcBorders>
              <w:top w:val="nil"/>
              <w:left w:val="single" w:sz="8" w:space="0" w:color="auto"/>
              <w:bottom w:val="nil"/>
              <w:right w:val="single" w:sz="8" w:space="0" w:color="auto"/>
            </w:tcBorders>
            <w:shd w:val="clear" w:color="auto" w:fill="auto"/>
            <w:vAlign w:val="center"/>
          </w:tcPr>
          <w:p w14:paraId="2E3699A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2,294</w:t>
            </w:r>
          </w:p>
        </w:tc>
        <w:tc>
          <w:tcPr>
            <w:tcW w:w="1114" w:type="dxa"/>
            <w:tcBorders>
              <w:top w:val="nil"/>
              <w:left w:val="single" w:sz="8" w:space="0" w:color="auto"/>
              <w:bottom w:val="nil"/>
              <w:right w:val="single" w:sz="8" w:space="0" w:color="auto"/>
            </w:tcBorders>
            <w:shd w:val="clear" w:color="auto" w:fill="auto"/>
            <w:vAlign w:val="center"/>
          </w:tcPr>
          <w:p w14:paraId="7FB0B3F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2,294</w:t>
            </w:r>
          </w:p>
        </w:tc>
        <w:tc>
          <w:tcPr>
            <w:tcW w:w="1114" w:type="dxa"/>
            <w:tcBorders>
              <w:top w:val="nil"/>
              <w:left w:val="single" w:sz="8" w:space="0" w:color="auto"/>
              <w:bottom w:val="nil"/>
              <w:right w:val="single" w:sz="8" w:space="0" w:color="auto"/>
            </w:tcBorders>
            <w:shd w:val="clear" w:color="auto" w:fill="auto"/>
            <w:vAlign w:val="center"/>
          </w:tcPr>
          <w:p w14:paraId="38F4FBF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2,294</w:t>
            </w:r>
          </w:p>
        </w:tc>
      </w:tr>
      <w:tr w:rsidR="00C22FE0" w:rsidRPr="00C22FE0" w14:paraId="2D2BE71D"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39DBB44"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Deteriorated (n)</w:t>
            </w:r>
          </w:p>
        </w:tc>
        <w:tc>
          <w:tcPr>
            <w:tcW w:w="1113" w:type="dxa"/>
            <w:tcBorders>
              <w:top w:val="nil"/>
              <w:left w:val="single" w:sz="8" w:space="0" w:color="auto"/>
              <w:bottom w:val="nil"/>
              <w:right w:val="single" w:sz="8" w:space="0" w:color="auto"/>
            </w:tcBorders>
            <w:shd w:val="clear" w:color="auto" w:fill="auto"/>
            <w:vAlign w:val="center"/>
          </w:tcPr>
          <w:p w14:paraId="7525EB9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163</w:t>
            </w:r>
          </w:p>
        </w:tc>
        <w:tc>
          <w:tcPr>
            <w:tcW w:w="1114" w:type="dxa"/>
            <w:tcBorders>
              <w:top w:val="nil"/>
              <w:left w:val="single" w:sz="8" w:space="0" w:color="auto"/>
              <w:bottom w:val="nil"/>
              <w:right w:val="single" w:sz="8" w:space="0" w:color="auto"/>
            </w:tcBorders>
            <w:shd w:val="clear" w:color="auto" w:fill="auto"/>
            <w:vAlign w:val="center"/>
          </w:tcPr>
          <w:p w14:paraId="4ACC733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519</w:t>
            </w:r>
          </w:p>
        </w:tc>
        <w:tc>
          <w:tcPr>
            <w:tcW w:w="1114" w:type="dxa"/>
            <w:tcBorders>
              <w:top w:val="nil"/>
              <w:left w:val="single" w:sz="8" w:space="0" w:color="auto"/>
              <w:bottom w:val="nil"/>
              <w:right w:val="single" w:sz="8" w:space="0" w:color="auto"/>
            </w:tcBorders>
            <w:shd w:val="clear" w:color="auto" w:fill="auto"/>
            <w:vAlign w:val="center"/>
          </w:tcPr>
          <w:p w14:paraId="206D2A5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519</w:t>
            </w:r>
          </w:p>
        </w:tc>
        <w:tc>
          <w:tcPr>
            <w:tcW w:w="1113" w:type="dxa"/>
            <w:tcBorders>
              <w:top w:val="nil"/>
              <w:left w:val="single" w:sz="8" w:space="0" w:color="auto"/>
              <w:bottom w:val="nil"/>
              <w:right w:val="single" w:sz="8" w:space="0" w:color="auto"/>
            </w:tcBorders>
            <w:shd w:val="clear" w:color="auto" w:fill="auto"/>
            <w:vAlign w:val="center"/>
          </w:tcPr>
          <w:p w14:paraId="16FE6D9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519</w:t>
            </w:r>
          </w:p>
        </w:tc>
        <w:tc>
          <w:tcPr>
            <w:tcW w:w="1114" w:type="dxa"/>
            <w:tcBorders>
              <w:top w:val="nil"/>
              <w:left w:val="single" w:sz="8" w:space="0" w:color="auto"/>
              <w:bottom w:val="nil"/>
              <w:right w:val="single" w:sz="8" w:space="0" w:color="auto"/>
            </w:tcBorders>
            <w:shd w:val="clear" w:color="auto" w:fill="auto"/>
            <w:vAlign w:val="center"/>
          </w:tcPr>
          <w:p w14:paraId="39BF7B8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519</w:t>
            </w:r>
          </w:p>
        </w:tc>
        <w:tc>
          <w:tcPr>
            <w:tcW w:w="1114" w:type="dxa"/>
            <w:tcBorders>
              <w:top w:val="nil"/>
              <w:left w:val="single" w:sz="8" w:space="0" w:color="auto"/>
              <w:bottom w:val="nil"/>
              <w:right w:val="single" w:sz="8" w:space="0" w:color="auto"/>
            </w:tcBorders>
            <w:shd w:val="clear" w:color="auto" w:fill="auto"/>
            <w:vAlign w:val="center"/>
          </w:tcPr>
          <w:p w14:paraId="01F3721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519</w:t>
            </w:r>
          </w:p>
        </w:tc>
        <w:tc>
          <w:tcPr>
            <w:tcW w:w="1114" w:type="dxa"/>
            <w:tcBorders>
              <w:top w:val="nil"/>
              <w:left w:val="single" w:sz="8" w:space="0" w:color="auto"/>
              <w:bottom w:val="nil"/>
              <w:right w:val="single" w:sz="8" w:space="0" w:color="auto"/>
            </w:tcBorders>
            <w:shd w:val="clear" w:color="auto" w:fill="auto"/>
            <w:vAlign w:val="center"/>
          </w:tcPr>
          <w:p w14:paraId="736CBA1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519</w:t>
            </w:r>
          </w:p>
        </w:tc>
      </w:tr>
      <w:tr w:rsidR="00C22FE0" w:rsidRPr="00C22FE0" w14:paraId="170E0966"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84E1D87"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QALY</w:t>
            </w:r>
          </w:p>
        </w:tc>
        <w:tc>
          <w:tcPr>
            <w:tcW w:w="1113" w:type="dxa"/>
            <w:tcBorders>
              <w:top w:val="nil"/>
              <w:left w:val="single" w:sz="8" w:space="0" w:color="auto"/>
              <w:bottom w:val="nil"/>
              <w:right w:val="single" w:sz="8" w:space="0" w:color="auto"/>
            </w:tcBorders>
            <w:shd w:val="clear" w:color="auto" w:fill="auto"/>
            <w:vAlign w:val="center"/>
          </w:tcPr>
          <w:p w14:paraId="37CF7D4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2,728</w:t>
            </w:r>
          </w:p>
        </w:tc>
        <w:tc>
          <w:tcPr>
            <w:tcW w:w="1114" w:type="dxa"/>
            <w:tcBorders>
              <w:top w:val="nil"/>
              <w:left w:val="single" w:sz="8" w:space="0" w:color="auto"/>
              <w:bottom w:val="nil"/>
              <w:right w:val="single" w:sz="8" w:space="0" w:color="auto"/>
            </w:tcBorders>
            <w:shd w:val="clear" w:color="auto" w:fill="auto"/>
            <w:vAlign w:val="center"/>
          </w:tcPr>
          <w:p w14:paraId="2E06510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2,597</w:t>
            </w:r>
          </w:p>
        </w:tc>
        <w:tc>
          <w:tcPr>
            <w:tcW w:w="1114" w:type="dxa"/>
            <w:tcBorders>
              <w:top w:val="nil"/>
              <w:left w:val="single" w:sz="8" w:space="0" w:color="auto"/>
              <w:bottom w:val="nil"/>
              <w:right w:val="single" w:sz="8" w:space="0" w:color="auto"/>
            </w:tcBorders>
            <w:shd w:val="clear" w:color="auto" w:fill="auto"/>
            <w:vAlign w:val="center"/>
          </w:tcPr>
          <w:p w14:paraId="435F6EE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2,597</w:t>
            </w:r>
          </w:p>
        </w:tc>
        <w:tc>
          <w:tcPr>
            <w:tcW w:w="1113" w:type="dxa"/>
            <w:tcBorders>
              <w:top w:val="nil"/>
              <w:left w:val="single" w:sz="8" w:space="0" w:color="auto"/>
              <w:bottom w:val="nil"/>
              <w:right w:val="single" w:sz="8" w:space="0" w:color="auto"/>
            </w:tcBorders>
            <w:shd w:val="clear" w:color="auto" w:fill="auto"/>
            <w:vAlign w:val="center"/>
          </w:tcPr>
          <w:p w14:paraId="3F2D98D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2,597</w:t>
            </w:r>
          </w:p>
        </w:tc>
        <w:tc>
          <w:tcPr>
            <w:tcW w:w="1114" w:type="dxa"/>
            <w:tcBorders>
              <w:top w:val="nil"/>
              <w:left w:val="single" w:sz="8" w:space="0" w:color="auto"/>
              <w:bottom w:val="nil"/>
              <w:right w:val="single" w:sz="8" w:space="0" w:color="auto"/>
            </w:tcBorders>
            <w:shd w:val="clear" w:color="auto" w:fill="auto"/>
            <w:vAlign w:val="center"/>
          </w:tcPr>
          <w:p w14:paraId="534C2CB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2,597</w:t>
            </w:r>
          </w:p>
        </w:tc>
        <w:tc>
          <w:tcPr>
            <w:tcW w:w="1114" w:type="dxa"/>
            <w:tcBorders>
              <w:top w:val="nil"/>
              <w:left w:val="single" w:sz="8" w:space="0" w:color="auto"/>
              <w:bottom w:val="nil"/>
              <w:right w:val="single" w:sz="8" w:space="0" w:color="auto"/>
            </w:tcBorders>
            <w:shd w:val="clear" w:color="auto" w:fill="auto"/>
            <w:vAlign w:val="center"/>
          </w:tcPr>
          <w:p w14:paraId="2C5B66E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2,597</w:t>
            </w:r>
          </w:p>
        </w:tc>
        <w:tc>
          <w:tcPr>
            <w:tcW w:w="1114" w:type="dxa"/>
            <w:tcBorders>
              <w:top w:val="nil"/>
              <w:left w:val="single" w:sz="8" w:space="0" w:color="auto"/>
              <w:bottom w:val="nil"/>
              <w:right w:val="single" w:sz="8" w:space="0" w:color="auto"/>
            </w:tcBorders>
            <w:shd w:val="clear" w:color="auto" w:fill="auto"/>
            <w:vAlign w:val="center"/>
          </w:tcPr>
          <w:p w14:paraId="4988902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2,597</w:t>
            </w:r>
          </w:p>
        </w:tc>
      </w:tr>
      <w:tr w:rsidR="00C22FE0" w:rsidRPr="00C22FE0" w14:paraId="206D653F"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108B4581"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Total costs excluding productivity losses</w:t>
            </w:r>
          </w:p>
        </w:tc>
        <w:tc>
          <w:tcPr>
            <w:tcW w:w="1113" w:type="dxa"/>
            <w:tcBorders>
              <w:top w:val="nil"/>
              <w:left w:val="single" w:sz="8" w:space="0" w:color="auto"/>
              <w:bottom w:val="nil"/>
              <w:right w:val="single" w:sz="8" w:space="0" w:color="auto"/>
            </w:tcBorders>
            <w:shd w:val="clear" w:color="auto" w:fill="auto"/>
            <w:vAlign w:val="center"/>
          </w:tcPr>
          <w:p w14:paraId="49F6293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$6,292,268</w:t>
            </w:r>
          </w:p>
        </w:tc>
        <w:tc>
          <w:tcPr>
            <w:tcW w:w="1114" w:type="dxa"/>
            <w:tcBorders>
              <w:top w:val="nil"/>
              <w:left w:val="single" w:sz="8" w:space="0" w:color="auto"/>
              <w:bottom w:val="nil"/>
              <w:right w:val="single" w:sz="8" w:space="0" w:color="auto"/>
            </w:tcBorders>
            <w:shd w:val="clear" w:color="auto" w:fill="auto"/>
            <w:vAlign w:val="center"/>
          </w:tcPr>
          <w:p w14:paraId="039854D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$9,579,544</w:t>
            </w:r>
          </w:p>
        </w:tc>
        <w:tc>
          <w:tcPr>
            <w:tcW w:w="1114" w:type="dxa"/>
            <w:tcBorders>
              <w:top w:val="nil"/>
              <w:left w:val="single" w:sz="8" w:space="0" w:color="auto"/>
              <w:bottom w:val="nil"/>
              <w:right w:val="single" w:sz="8" w:space="0" w:color="auto"/>
            </w:tcBorders>
            <w:shd w:val="clear" w:color="auto" w:fill="auto"/>
            <w:vAlign w:val="center"/>
          </w:tcPr>
          <w:p w14:paraId="05FC5E0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$6,180,114</w:t>
            </w:r>
          </w:p>
        </w:tc>
        <w:tc>
          <w:tcPr>
            <w:tcW w:w="1113" w:type="dxa"/>
            <w:tcBorders>
              <w:top w:val="nil"/>
              <w:left w:val="single" w:sz="8" w:space="0" w:color="auto"/>
              <w:bottom w:val="nil"/>
              <w:right w:val="single" w:sz="8" w:space="0" w:color="auto"/>
            </w:tcBorders>
            <w:shd w:val="clear" w:color="auto" w:fill="auto"/>
            <w:vAlign w:val="center"/>
          </w:tcPr>
          <w:p w14:paraId="3DAF1D4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$2,199,831</w:t>
            </w:r>
          </w:p>
        </w:tc>
        <w:tc>
          <w:tcPr>
            <w:tcW w:w="1114" w:type="dxa"/>
            <w:tcBorders>
              <w:top w:val="nil"/>
              <w:left w:val="single" w:sz="8" w:space="0" w:color="auto"/>
              <w:bottom w:val="nil"/>
              <w:right w:val="single" w:sz="8" w:space="0" w:color="auto"/>
            </w:tcBorders>
            <w:shd w:val="clear" w:color="auto" w:fill="auto"/>
            <w:vAlign w:val="center"/>
          </w:tcPr>
          <w:p w14:paraId="020359F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$5,379,249</w:t>
            </w:r>
          </w:p>
        </w:tc>
        <w:tc>
          <w:tcPr>
            <w:tcW w:w="1114" w:type="dxa"/>
            <w:tcBorders>
              <w:top w:val="nil"/>
              <w:left w:val="single" w:sz="8" w:space="0" w:color="auto"/>
              <w:bottom w:val="nil"/>
              <w:right w:val="single" w:sz="8" w:space="0" w:color="auto"/>
            </w:tcBorders>
            <w:shd w:val="clear" w:color="auto" w:fill="auto"/>
            <w:vAlign w:val="center"/>
          </w:tcPr>
          <w:p w14:paraId="559EB6B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$16,869,880</w:t>
            </w:r>
          </w:p>
        </w:tc>
        <w:tc>
          <w:tcPr>
            <w:tcW w:w="1114" w:type="dxa"/>
            <w:tcBorders>
              <w:top w:val="nil"/>
              <w:left w:val="single" w:sz="8" w:space="0" w:color="auto"/>
              <w:bottom w:val="nil"/>
              <w:right w:val="single" w:sz="8" w:space="0" w:color="auto"/>
            </w:tcBorders>
            <w:shd w:val="clear" w:color="auto" w:fill="auto"/>
            <w:vAlign w:val="center"/>
          </w:tcPr>
          <w:p w14:paraId="44D4527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$9,046,744</w:t>
            </w:r>
          </w:p>
        </w:tc>
      </w:tr>
      <w:tr w:rsidR="00C22FE0" w:rsidRPr="00C22FE0" w14:paraId="515B2F7C"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1FD1E194"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Costs per QALY </w:t>
            </w:r>
          </w:p>
          <w:p w14:paraId="51C7AD60"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gained</w:t>
            </w:r>
          </w:p>
        </w:tc>
        <w:tc>
          <w:tcPr>
            <w:tcW w:w="1113" w:type="dxa"/>
            <w:tcBorders>
              <w:top w:val="nil"/>
              <w:left w:val="single" w:sz="8" w:space="0" w:color="auto"/>
              <w:bottom w:val="nil"/>
              <w:right w:val="single" w:sz="8" w:space="0" w:color="auto"/>
            </w:tcBorders>
            <w:shd w:val="clear" w:color="auto" w:fill="auto"/>
            <w:vAlign w:val="center"/>
          </w:tcPr>
          <w:p w14:paraId="7453281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w:t>
            </w:r>
          </w:p>
        </w:tc>
        <w:tc>
          <w:tcPr>
            <w:tcW w:w="1114" w:type="dxa"/>
            <w:tcBorders>
              <w:top w:val="nil"/>
              <w:left w:val="single" w:sz="8" w:space="0" w:color="auto"/>
              <w:bottom w:val="nil"/>
              <w:right w:val="single" w:sz="8" w:space="0" w:color="auto"/>
            </w:tcBorders>
            <w:shd w:val="clear" w:color="auto" w:fill="auto"/>
            <w:vAlign w:val="center"/>
          </w:tcPr>
          <w:p w14:paraId="35351F7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52050BD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$855</w:t>
            </w:r>
          </w:p>
        </w:tc>
        <w:tc>
          <w:tcPr>
            <w:tcW w:w="1113" w:type="dxa"/>
            <w:tcBorders>
              <w:top w:val="nil"/>
              <w:left w:val="single" w:sz="8" w:space="0" w:color="auto"/>
              <w:bottom w:val="nil"/>
              <w:right w:val="single" w:sz="8" w:space="0" w:color="auto"/>
            </w:tcBorders>
            <w:shd w:val="clear" w:color="auto" w:fill="auto"/>
            <w:vAlign w:val="center"/>
          </w:tcPr>
          <w:p w14:paraId="26A441B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$31,194</w:t>
            </w:r>
          </w:p>
        </w:tc>
        <w:tc>
          <w:tcPr>
            <w:tcW w:w="1114" w:type="dxa"/>
            <w:tcBorders>
              <w:top w:val="nil"/>
              <w:left w:val="single" w:sz="8" w:space="0" w:color="auto"/>
              <w:bottom w:val="nil"/>
              <w:right w:val="single" w:sz="8" w:space="0" w:color="auto"/>
            </w:tcBorders>
            <w:shd w:val="clear" w:color="auto" w:fill="auto"/>
            <w:vAlign w:val="center"/>
          </w:tcPr>
          <w:p w14:paraId="067A316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$6,959</w:t>
            </w:r>
          </w:p>
        </w:tc>
        <w:tc>
          <w:tcPr>
            <w:tcW w:w="1114" w:type="dxa"/>
            <w:tcBorders>
              <w:top w:val="nil"/>
              <w:left w:val="single" w:sz="8" w:space="0" w:color="auto"/>
              <w:bottom w:val="nil"/>
              <w:right w:val="single" w:sz="8" w:space="0" w:color="auto"/>
            </w:tcBorders>
            <w:shd w:val="clear" w:color="auto" w:fill="auto"/>
            <w:vAlign w:val="center"/>
          </w:tcPr>
          <w:p w14:paraId="18C5CBB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7724945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r>
      <w:tr w:rsidR="00C22FE0" w:rsidRPr="00C22FE0" w14:paraId="6BD0CDCD"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3239814A"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Total costs including productivity losses     </w:t>
            </w:r>
          </w:p>
        </w:tc>
        <w:tc>
          <w:tcPr>
            <w:tcW w:w="1113" w:type="dxa"/>
            <w:tcBorders>
              <w:top w:val="nil"/>
              <w:left w:val="single" w:sz="8" w:space="0" w:color="auto"/>
              <w:bottom w:val="nil"/>
              <w:right w:val="single" w:sz="8" w:space="0" w:color="auto"/>
            </w:tcBorders>
            <w:shd w:val="clear" w:color="auto" w:fill="auto"/>
            <w:vAlign w:val="center"/>
          </w:tcPr>
          <w:p w14:paraId="6321B42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$8,878,646</w:t>
            </w:r>
          </w:p>
        </w:tc>
        <w:tc>
          <w:tcPr>
            <w:tcW w:w="1114" w:type="dxa"/>
            <w:tcBorders>
              <w:top w:val="nil"/>
              <w:left w:val="single" w:sz="8" w:space="0" w:color="auto"/>
              <w:bottom w:val="nil"/>
              <w:right w:val="single" w:sz="8" w:space="0" w:color="auto"/>
            </w:tcBorders>
            <w:shd w:val="clear" w:color="auto" w:fill="auto"/>
            <w:vAlign w:val="center"/>
          </w:tcPr>
          <w:p w14:paraId="1F09CFF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$37,885,010</w:t>
            </w:r>
          </w:p>
        </w:tc>
        <w:tc>
          <w:tcPr>
            <w:tcW w:w="1114" w:type="dxa"/>
            <w:tcBorders>
              <w:top w:val="nil"/>
              <w:left w:val="single" w:sz="8" w:space="0" w:color="auto"/>
              <w:bottom w:val="nil"/>
              <w:right w:val="single" w:sz="8" w:space="0" w:color="auto"/>
            </w:tcBorders>
            <w:shd w:val="clear" w:color="auto" w:fill="auto"/>
            <w:vAlign w:val="center"/>
          </w:tcPr>
          <w:p w14:paraId="567C9B6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$60,281,924</w:t>
            </w:r>
          </w:p>
        </w:tc>
        <w:tc>
          <w:tcPr>
            <w:tcW w:w="1113" w:type="dxa"/>
            <w:tcBorders>
              <w:top w:val="nil"/>
              <w:left w:val="single" w:sz="8" w:space="0" w:color="auto"/>
              <w:bottom w:val="nil"/>
              <w:right w:val="single" w:sz="8" w:space="0" w:color="auto"/>
            </w:tcBorders>
            <w:shd w:val="clear" w:color="auto" w:fill="auto"/>
            <w:vAlign w:val="center"/>
          </w:tcPr>
          <w:p w14:paraId="0562F313"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$16,323,360</w:t>
            </w:r>
          </w:p>
        </w:tc>
        <w:tc>
          <w:tcPr>
            <w:tcW w:w="1114" w:type="dxa"/>
            <w:tcBorders>
              <w:top w:val="nil"/>
              <w:left w:val="single" w:sz="8" w:space="0" w:color="auto"/>
              <w:bottom w:val="nil"/>
              <w:right w:val="single" w:sz="8" w:space="0" w:color="auto"/>
            </w:tcBorders>
            <w:shd w:val="clear" w:color="auto" w:fill="auto"/>
            <w:vAlign w:val="center"/>
          </w:tcPr>
          <w:p w14:paraId="4013D0E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$59,518,888</w:t>
            </w:r>
          </w:p>
        </w:tc>
        <w:tc>
          <w:tcPr>
            <w:tcW w:w="1114" w:type="dxa"/>
            <w:tcBorders>
              <w:top w:val="nil"/>
              <w:left w:val="single" w:sz="8" w:space="0" w:color="auto"/>
              <w:bottom w:val="nil"/>
              <w:right w:val="single" w:sz="8" w:space="0" w:color="auto"/>
            </w:tcBorders>
            <w:shd w:val="clear" w:color="auto" w:fill="auto"/>
            <w:vAlign w:val="center"/>
          </w:tcPr>
          <w:p w14:paraId="5342262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$59,192,348</w:t>
            </w:r>
          </w:p>
        </w:tc>
        <w:tc>
          <w:tcPr>
            <w:tcW w:w="1114" w:type="dxa"/>
            <w:tcBorders>
              <w:top w:val="nil"/>
              <w:left w:val="single" w:sz="8" w:space="0" w:color="auto"/>
              <w:bottom w:val="nil"/>
              <w:right w:val="single" w:sz="8" w:space="0" w:color="auto"/>
            </w:tcBorders>
            <w:shd w:val="clear" w:color="auto" w:fill="auto"/>
            <w:vAlign w:val="center"/>
          </w:tcPr>
          <w:p w14:paraId="2BBF7AA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$57,508,101</w:t>
            </w:r>
          </w:p>
        </w:tc>
      </w:tr>
      <w:tr w:rsidR="00C22FE0" w:rsidRPr="00C22FE0" w14:paraId="76B8EB7F"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447424B6"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Costs per QALY    </w:t>
            </w:r>
          </w:p>
          <w:p w14:paraId="36B1420B"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gained</w:t>
            </w:r>
          </w:p>
        </w:tc>
        <w:tc>
          <w:tcPr>
            <w:tcW w:w="1113" w:type="dxa"/>
            <w:tcBorders>
              <w:top w:val="nil"/>
              <w:left w:val="single" w:sz="8" w:space="0" w:color="auto"/>
              <w:bottom w:val="nil"/>
              <w:right w:val="single" w:sz="8" w:space="0" w:color="auto"/>
            </w:tcBorders>
            <w:shd w:val="clear" w:color="auto" w:fill="auto"/>
            <w:vAlign w:val="center"/>
          </w:tcPr>
          <w:p w14:paraId="493F775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w:t>
            </w:r>
          </w:p>
        </w:tc>
        <w:tc>
          <w:tcPr>
            <w:tcW w:w="1114" w:type="dxa"/>
            <w:tcBorders>
              <w:top w:val="nil"/>
              <w:left w:val="single" w:sz="8" w:space="0" w:color="auto"/>
              <w:bottom w:val="nil"/>
              <w:right w:val="single" w:sz="8" w:space="0" w:color="auto"/>
            </w:tcBorders>
            <w:shd w:val="clear" w:color="auto" w:fill="auto"/>
            <w:vAlign w:val="center"/>
          </w:tcPr>
          <w:p w14:paraId="22D2FCA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13348D8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3" w:type="dxa"/>
            <w:tcBorders>
              <w:top w:val="nil"/>
              <w:left w:val="single" w:sz="8" w:space="0" w:color="auto"/>
              <w:bottom w:val="nil"/>
              <w:right w:val="single" w:sz="8" w:space="0" w:color="auto"/>
            </w:tcBorders>
            <w:shd w:val="clear" w:color="auto" w:fill="auto"/>
            <w:vAlign w:val="center"/>
          </w:tcPr>
          <w:p w14:paraId="6225761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52301D3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1ADE483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5C85090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r>
      <w:tr w:rsidR="00C22FE0" w:rsidRPr="00C22FE0" w14:paraId="7AAFD7B1"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F2F54AF" w14:textId="77777777" w:rsidR="00C22FE0" w:rsidRPr="00C22FE0" w:rsidRDefault="00C22FE0" w:rsidP="00C22FE0">
            <w:pPr>
              <w:snapToGrid w:val="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45D086A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6BC9AC2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32DE099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0B22D35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5211FF7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1781D8F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6B6E1F33"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r>
      <w:tr w:rsidR="00C22FE0" w:rsidRPr="00C22FE0" w14:paraId="559227F7"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46F29E5B"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Therapist-supported </w:t>
            </w:r>
            <w:proofErr w:type="spellStart"/>
            <w:r w:rsidRPr="00C22FE0">
              <w:rPr>
                <w:rFonts w:ascii="Calibri" w:hAnsi="Calibri" w:cs="Calibri"/>
                <w:color w:val="000000"/>
                <w:sz w:val="16"/>
                <w:szCs w:val="16"/>
                <w:lang w:eastAsia="en-AU"/>
              </w:rPr>
              <w:t>treatment</w:t>
            </w:r>
            <w:r w:rsidRPr="00C22FE0">
              <w:rPr>
                <w:rFonts w:asciiTheme="minorHAnsi" w:hAnsiTheme="minorHAnsi" w:cstheme="minorHAnsi"/>
                <w:sz w:val="16"/>
                <w:szCs w:val="16"/>
                <w:vertAlign w:val="superscript"/>
                <w:lang w:eastAsia="en-US"/>
              </w:rPr>
              <w:t>b</w:t>
            </w:r>
            <w:proofErr w:type="spellEnd"/>
          </w:p>
        </w:tc>
        <w:tc>
          <w:tcPr>
            <w:tcW w:w="1113" w:type="dxa"/>
            <w:tcBorders>
              <w:top w:val="nil"/>
              <w:left w:val="single" w:sz="8" w:space="0" w:color="auto"/>
              <w:bottom w:val="nil"/>
              <w:right w:val="single" w:sz="8" w:space="0" w:color="auto"/>
            </w:tcBorders>
            <w:shd w:val="clear" w:color="auto" w:fill="auto"/>
            <w:vAlign w:val="center"/>
          </w:tcPr>
          <w:p w14:paraId="64B1E90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184618A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542B6C7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20EE0AB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671E12B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07C15A4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1FB09D6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r>
      <w:tr w:rsidR="00C22FE0" w:rsidRPr="00C22FE0" w14:paraId="3B2FEE4B"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6314227E"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Input population (n)</w:t>
            </w:r>
          </w:p>
        </w:tc>
        <w:tc>
          <w:tcPr>
            <w:tcW w:w="1113" w:type="dxa"/>
            <w:tcBorders>
              <w:top w:val="nil"/>
              <w:left w:val="single" w:sz="8" w:space="0" w:color="auto"/>
              <w:bottom w:val="nil"/>
              <w:right w:val="single" w:sz="8" w:space="0" w:color="auto"/>
            </w:tcBorders>
            <w:shd w:val="clear" w:color="auto" w:fill="auto"/>
            <w:vAlign w:val="center"/>
          </w:tcPr>
          <w:p w14:paraId="167C2DF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13,407</w:t>
            </w:r>
          </w:p>
        </w:tc>
        <w:tc>
          <w:tcPr>
            <w:tcW w:w="1114" w:type="dxa"/>
            <w:tcBorders>
              <w:top w:val="nil"/>
              <w:left w:val="single" w:sz="8" w:space="0" w:color="auto"/>
              <w:bottom w:val="nil"/>
              <w:right w:val="single" w:sz="8" w:space="0" w:color="auto"/>
            </w:tcBorders>
            <w:shd w:val="clear" w:color="auto" w:fill="auto"/>
            <w:vAlign w:val="center"/>
          </w:tcPr>
          <w:p w14:paraId="34FC2FA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13,407</w:t>
            </w:r>
          </w:p>
        </w:tc>
        <w:tc>
          <w:tcPr>
            <w:tcW w:w="1114" w:type="dxa"/>
            <w:tcBorders>
              <w:top w:val="nil"/>
              <w:left w:val="single" w:sz="8" w:space="0" w:color="auto"/>
              <w:bottom w:val="nil"/>
              <w:right w:val="single" w:sz="8" w:space="0" w:color="auto"/>
            </w:tcBorders>
            <w:shd w:val="clear" w:color="auto" w:fill="auto"/>
            <w:vAlign w:val="center"/>
          </w:tcPr>
          <w:p w14:paraId="49BDDC9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13,407</w:t>
            </w:r>
          </w:p>
        </w:tc>
        <w:tc>
          <w:tcPr>
            <w:tcW w:w="1113" w:type="dxa"/>
            <w:tcBorders>
              <w:top w:val="nil"/>
              <w:left w:val="single" w:sz="8" w:space="0" w:color="auto"/>
              <w:bottom w:val="nil"/>
              <w:right w:val="single" w:sz="8" w:space="0" w:color="auto"/>
            </w:tcBorders>
            <w:shd w:val="clear" w:color="auto" w:fill="auto"/>
            <w:vAlign w:val="center"/>
          </w:tcPr>
          <w:p w14:paraId="13C5219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13,407</w:t>
            </w:r>
          </w:p>
        </w:tc>
        <w:tc>
          <w:tcPr>
            <w:tcW w:w="1114" w:type="dxa"/>
            <w:tcBorders>
              <w:top w:val="nil"/>
              <w:left w:val="single" w:sz="8" w:space="0" w:color="auto"/>
              <w:bottom w:val="nil"/>
              <w:right w:val="single" w:sz="8" w:space="0" w:color="auto"/>
            </w:tcBorders>
            <w:shd w:val="clear" w:color="auto" w:fill="auto"/>
            <w:vAlign w:val="center"/>
          </w:tcPr>
          <w:p w14:paraId="0CA589C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13,407</w:t>
            </w:r>
          </w:p>
        </w:tc>
        <w:tc>
          <w:tcPr>
            <w:tcW w:w="1114" w:type="dxa"/>
            <w:tcBorders>
              <w:top w:val="nil"/>
              <w:left w:val="single" w:sz="8" w:space="0" w:color="auto"/>
              <w:bottom w:val="nil"/>
              <w:right w:val="single" w:sz="8" w:space="0" w:color="auto"/>
            </w:tcBorders>
            <w:shd w:val="clear" w:color="auto" w:fill="auto"/>
            <w:vAlign w:val="center"/>
          </w:tcPr>
          <w:p w14:paraId="45A433F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13,407</w:t>
            </w:r>
          </w:p>
        </w:tc>
        <w:tc>
          <w:tcPr>
            <w:tcW w:w="1114" w:type="dxa"/>
            <w:tcBorders>
              <w:top w:val="nil"/>
              <w:left w:val="single" w:sz="8" w:space="0" w:color="auto"/>
              <w:bottom w:val="nil"/>
              <w:right w:val="single" w:sz="8" w:space="0" w:color="auto"/>
            </w:tcBorders>
            <w:shd w:val="clear" w:color="auto" w:fill="auto"/>
            <w:vAlign w:val="center"/>
          </w:tcPr>
          <w:p w14:paraId="4769A6C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13,407</w:t>
            </w:r>
          </w:p>
        </w:tc>
      </w:tr>
      <w:tr w:rsidR="00C22FE0" w:rsidRPr="00C22FE0" w14:paraId="6B29F9F9"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38D59075"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Fully recovered (n)</w:t>
            </w:r>
          </w:p>
        </w:tc>
        <w:tc>
          <w:tcPr>
            <w:tcW w:w="1113" w:type="dxa"/>
            <w:tcBorders>
              <w:top w:val="nil"/>
              <w:left w:val="single" w:sz="8" w:space="0" w:color="auto"/>
              <w:bottom w:val="nil"/>
              <w:right w:val="single" w:sz="8" w:space="0" w:color="auto"/>
            </w:tcBorders>
            <w:shd w:val="clear" w:color="auto" w:fill="auto"/>
            <w:vAlign w:val="center"/>
          </w:tcPr>
          <w:p w14:paraId="7413B0D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5,886</w:t>
            </w:r>
          </w:p>
        </w:tc>
        <w:tc>
          <w:tcPr>
            <w:tcW w:w="1114" w:type="dxa"/>
            <w:tcBorders>
              <w:top w:val="nil"/>
              <w:left w:val="single" w:sz="8" w:space="0" w:color="auto"/>
              <w:bottom w:val="nil"/>
              <w:right w:val="single" w:sz="8" w:space="0" w:color="auto"/>
            </w:tcBorders>
            <w:shd w:val="clear" w:color="auto" w:fill="auto"/>
            <w:vAlign w:val="center"/>
          </w:tcPr>
          <w:p w14:paraId="32742E3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1,488</w:t>
            </w:r>
          </w:p>
        </w:tc>
        <w:tc>
          <w:tcPr>
            <w:tcW w:w="1114" w:type="dxa"/>
            <w:tcBorders>
              <w:top w:val="nil"/>
              <w:left w:val="single" w:sz="8" w:space="0" w:color="auto"/>
              <w:bottom w:val="nil"/>
              <w:right w:val="single" w:sz="8" w:space="0" w:color="auto"/>
            </w:tcBorders>
            <w:shd w:val="clear" w:color="auto" w:fill="auto"/>
            <w:vAlign w:val="center"/>
          </w:tcPr>
          <w:p w14:paraId="2E1E464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1,488</w:t>
            </w:r>
          </w:p>
        </w:tc>
        <w:tc>
          <w:tcPr>
            <w:tcW w:w="1113" w:type="dxa"/>
            <w:tcBorders>
              <w:top w:val="nil"/>
              <w:left w:val="single" w:sz="8" w:space="0" w:color="auto"/>
              <w:bottom w:val="nil"/>
              <w:right w:val="single" w:sz="8" w:space="0" w:color="auto"/>
            </w:tcBorders>
            <w:shd w:val="clear" w:color="auto" w:fill="auto"/>
            <w:vAlign w:val="center"/>
          </w:tcPr>
          <w:p w14:paraId="5A7BF30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1,488</w:t>
            </w:r>
          </w:p>
        </w:tc>
        <w:tc>
          <w:tcPr>
            <w:tcW w:w="1114" w:type="dxa"/>
            <w:tcBorders>
              <w:top w:val="nil"/>
              <w:left w:val="single" w:sz="8" w:space="0" w:color="auto"/>
              <w:bottom w:val="nil"/>
              <w:right w:val="single" w:sz="8" w:space="0" w:color="auto"/>
            </w:tcBorders>
            <w:shd w:val="clear" w:color="auto" w:fill="auto"/>
            <w:vAlign w:val="center"/>
          </w:tcPr>
          <w:p w14:paraId="602650F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1,488</w:t>
            </w:r>
          </w:p>
        </w:tc>
        <w:tc>
          <w:tcPr>
            <w:tcW w:w="1114" w:type="dxa"/>
            <w:tcBorders>
              <w:top w:val="nil"/>
              <w:left w:val="single" w:sz="8" w:space="0" w:color="auto"/>
              <w:bottom w:val="nil"/>
              <w:right w:val="single" w:sz="8" w:space="0" w:color="auto"/>
            </w:tcBorders>
            <w:shd w:val="clear" w:color="auto" w:fill="auto"/>
            <w:vAlign w:val="center"/>
          </w:tcPr>
          <w:p w14:paraId="38FC16C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1,488</w:t>
            </w:r>
          </w:p>
        </w:tc>
        <w:tc>
          <w:tcPr>
            <w:tcW w:w="1114" w:type="dxa"/>
            <w:tcBorders>
              <w:top w:val="nil"/>
              <w:left w:val="single" w:sz="8" w:space="0" w:color="auto"/>
              <w:bottom w:val="nil"/>
              <w:right w:val="single" w:sz="8" w:space="0" w:color="auto"/>
            </w:tcBorders>
            <w:shd w:val="clear" w:color="auto" w:fill="auto"/>
            <w:vAlign w:val="center"/>
          </w:tcPr>
          <w:p w14:paraId="3A019E7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1,488</w:t>
            </w:r>
          </w:p>
        </w:tc>
      </w:tr>
      <w:tr w:rsidR="00C22FE0" w:rsidRPr="00C22FE0" w14:paraId="54031BC4"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4467BA1F"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Partially recovered (n)</w:t>
            </w:r>
          </w:p>
        </w:tc>
        <w:tc>
          <w:tcPr>
            <w:tcW w:w="1113" w:type="dxa"/>
            <w:tcBorders>
              <w:top w:val="nil"/>
              <w:left w:val="single" w:sz="8" w:space="0" w:color="auto"/>
              <w:bottom w:val="nil"/>
              <w:right w:val="single" w:sz="8" w:space="0" w:color="auto"/>
            </w:tcBorders>
            <w:shd w:val="clear" w:color="auto" w:fill="auto"/>
            <w:vAlign w:val="center"/>
          </w:tcPr>
          <w:p w14:paraId="5A5C0A0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2,521</w:t>
            </w:r>
          </w:p>
        </w:tc>
        <w:tc>
          <w:tcPr>
            <w:tcW w:w="1114" w:type="dxa"/>
            <w:tcBorders>
              <w:top w:val="nil"/>
              <w:left w:val="single" w:sz="8" w:space="0" w:color="auto"/>
              <w:bottom w:val="nil"/>
              <w:right w:val="single" w:sz="8" w:space="0" w:color="auto"/>
            </w:tcBorders>
            <w:shd w:val="clear" w:color="auto" w:fill="auto"/>
            <w:vAlign w:val="center"/>
          </w:tcPr>
          <w:p w14:paraId="17FAB04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590</w:t>
            </w:r>
          </w:p>
        </w:tc>
        <w:tc>
          <w:tcPr>
            <w:tcW w:w="1114" w:type="dxa"/>
            <w:tcBorders>
              <w:top w:val="nil"/>
              <w:left w:val="single" w:sz="8" w:space="0" w:color="auto"/>
              <w:bottom w:val="nil"/>
              <w:right w:val="single" w:sz="8" w:space="0" w:color="auto"/>
            </w:tcBorders>
            <w:shd w:val="clear" w:color="auto" w:fill="auto"/>
            <w:vAlign w:val="center"/>
          </w:tcPr>
          <w:p w14:paraId="07494A9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590</w:t>
            </w:r>
          </w:p>
        </w:tc>
        <w:tc>
          <w:tcPr>
            <w:tcW w:w="1113" w:type="dxa"/>
            <w:tcBorders>
              <w:top w:val="nil"/>
              <w:left w:val="single" w:sz="8" w:space="0" w:color="auto"/>
              <w:bottom w:val="nil"/>
              <w:right w:val="single" w:sz="8" w:space="0" w:color="auto"/>
            </w:tcBorders>
            <w:shd w:val="clear" w:color="auto" w:fill="auto"/>
            <w:vAlign w:val="center"/>
          </w:tcPr>
          <w:p w14:paraId="21BE6E0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590</w:t>
            </w:r>
          </w:p>
        </w:tc>
        <w:tc>
          <w:tcPr>
            <w:tcW w:w="1114" w:type="dxa"/>
            <w:tcBorders>
              <w:top w:val="nil"/>
              <w:left w:val="single" w:sz="8" w:space="0" w:color="auto"/>
              <w:bottom w:val="nil"/>
              <w:right w:val="single" w:sz="8" w:space="0" w:color="auto"/>
            </w:tcBorders>
            <w:shd w:val="clear" w:color="auto" w:fill="auto"/>
            <w:vAlign w:val="center"/>
          </w:tcPr>
          <w:p w14:paraId="2190A63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590</w:t>
            </w:r>
          </w:p>
        </w:tc>
        <w:tc>
          <w:tcPr>
            <w:tcW w:w="1114" w:type="dxa"/>
            <w:tcBorders>
              <w:top w:val="nil"/>
              <w:left w:val="single" w:sz="8" w:space="0" w:color="auto"/>
              <w:bottom w:val="nil"/>
              <w:right w:val="single" w:sz="8" w:space="0" w:color="auto"/>
            </w:tcBorders>
            <w:shd w:val="clear" w:color="auto" w:fill="auto"/>
            <w:vAlign w:val="center"/>
          </w:tcPr>
          <w:p w14:paraId="454650D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590</w:t>
            </w:r>
          </w:p>
        </w:tc>
        <w:tc>
          <w:tcPr>
            <w:tcW w:w="1114" w:type="dxa"/>
            <w:tcBorders>
              <w:top w:val="nil"/>
              <w:left w:val="single" w:sz="8" w:space="0" w:color="auto"/>
              <w:bottom w:val="nil"/>
              <w:right w:val="single" w:sz="8" w:space="0" w:color="auto"/>
            </w:tcBorders>
            <w:shd w:val="clear" w:color="auto" w:fill="auto"/>
            <w:vAlign w:val="center"/>
          </w:tcPr>
          <w:p w14:paraId="3599454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590</w:t>
            </w:r>
          </w:p>
        </w:tc>
      </w:tr>
      <w:tr w:rsidR="00C22FE0" w:rsidRPr="00C22FE0" w14:paraId="41CC94D8"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164D14C8"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No improvement (n)</w:t>
            </w:r>
          </w:p>
        </w:tc>
        <w:tc>
          <w:tcPr>
            <w:tcW w:w="1113" w:type="dxa"/>
            <w:tcBorders>
              <w:top w:val="nil"/>
              <w:left w:val="single" w:sz="8" w:space="0" w:color="auto"/>
              <w:bottom w:val="nil"/>
              <w:right w:val="single" w:sz="8" w:space="0" w:color="auto"/>
            </w:tcBorders>
            <w:shd w:val="clear" w:color="auto" w:fill="auto"/>
            <w:vAlign w:val="center"/>
          </w:tcPr>
          <w:p w14:paraId="262309A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4,250</w:t>
            </w:r>
          </w:p>
        </w:tc>
        <w:tc>
          <w:tcPr>
            <w:tcW w:w="1114" w:type="dxa"/>
            <w:tcBorders>
              <w:top w:val="nil"/>
              <w:left w:val="single" w:sz="8" w:space="0" w:color="auto"/>
              <w:bottom w:val="nil"/>
              <w:right w:val="single" w:sz="8" w:space="0" w:color="auto"/>
            </w:tcBorders>
            <w:shd w:val="clear" w:color="auto" w:fill="auto"/>
            <w:vAlign w:val="center"/>
          </w:tcPr>
          <w:p w14:paraId="29374DE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9,237</w:t>
            </w:r>
          </w:p>
        </w:tc>
        <w:tc>
          <w:tcPr>
            <w:tcW w:w="1114" w:type="dxa"/>
            <w:tcBorders>
              <w:top w:val="nil"/>
              <w:left w:val="single" w:sz="8" w:space="0" w:color="auto"/>
              <w:bottom w:val="nil"/>
              <w:right w:val="single" w:sz="8" w:space="0" w:color="auto"/>
            </w:tcBorders>
            <w:shd w:val="clear" w:color="auto" w:fill="auto"/>
            <w:vAlign w:val="center"/>
          </w:tcPr>
          <w:p w14:paraId="49B53E4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9,237</w:t>
            </w:r>
          </w:p>
        </w:tc>
        <w:tc>
          <w:tcPr>
            <w:tcW w:w="1113" w:type="dxa"/>
            <w:tcBorders>
              <w:top w:val="nil"/>
              <w:left w:val="single" w:sz="8" w:space="0" w:color="auto"/>
              <w:bottom w:val="nil"/>
              <w:right w:val="single" w:sz="8" w:space="0" w:color="auto"/>
            </w:tcBorders>
            <w:shd w:val="clear" w:color="auto" w:fill="auto"/>
            <w:vAlign w:val="center"/>
          </w:tcPr>
          <w:p w14:paraId="4923516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9,237</w:t>
            </w:r>
          </w:p>
        </w:tc>
        <w:tc>
          <w:tcPr>
            <w:tcW w:w="1114" w:type="dxa"/>
            <w:tcBorders>
              <w:top w:val="nil"/>
              <w:left w:val="single" w:sz="8" w:space="0" w:color="auto"/>
              <w:bottom w:val="nil"/>
              <w:right w:val="single" w:sz="8" w:space="0" w:color="auto"/>
            </w:tcBorders>
            <w:shd w:val="clear" w:color="auto" w:fill="auto"/>
            <w:vAlign w:val="center"/>
          </w:tcPr>
          <w:p w14:paraId="6AF6E94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9,237</w:t>
            </w:r>
          </w:p>
        </w:tc>
        <w:tc>
          <w:tcPr>
            <w:tcW w:w="1114" w:type="dxa"/>
            <w:tcBorders>
              <w:top w:val="nil"/>
              <w:left w:val="single" w:sz="8" w:space="0" w:color="auto"/>
              <w:bottom w:val="nil"/>
              <w:right w:val="single" w:sz="8" w:space="0" w:color="auto"/>
            </w:tcBorders>
            <w:shd w:val="clear" w:color="auto" w:fill="auto"/>
            <w:vAlign w:val="center"/>
          </w:tcPr>
          <w:p w14:paraId="1D605B9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9,237</w:t>
            </w:r>
          </w:p>
        </w:tc>
        <w:tc>
          <w:tcPr>
            <w:tcW w:w="1114" w:type="dxa"/>
            <w:tcBorders>
              <w:top w:val="nil"/>
              <w:left w:val="single" w:sz="8" w:space="0" w:color="auto"/>
              <w:bottom w:val="nil"/>
              <w:right w:val="single" w:sz="8" w:space="0" w:color="auto"/>
            </w:tcBorders>
            <w:shd w:val="clear" w:color="auto" w:fill="auto"/>
            <w:vAlign w:val="center"/>
          </w:tcPr>
          <w:p w14:paraId="14A6105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9,237</w:t>
            </w:r>
          </w:p>
        </w:tc>
      </w:tr>
      <w:tr w:rsidR="00C22FE0" w:rsidRPr="00C22FE0" w14:paraId="5BD8F531"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6076FCC1"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Deteriorated (n)</w:t>
            </w:r>
          </w:p>
        </w:tc>
        <w:tc>
          <w:tcPr>
            <w:tcW w:w="1113" w:type="dxa"/>
            <w:tcBorders>
              <w:top w:val="nil"/>
              <w:left w:val="single" w:sz="8" w:space="0" w:color="auto"/>
              <w:bottom w:val="nil"/>
              <w:right w:val="single" w:sz="8" w:space="0" w:color="auto"/>
            </w:tcBorders>
            <w:shd w:val="clear" w:color="auto" w:fill="auto"/>
            <w:vAlign w:val="center"/>
          </w:tcPr>
          <w:p w14:paraId="4FCB739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737</w:t>
            </w:r>
          </w:p>
        </w:tc>
        <w:tc>
          <w:tcPr>
            <w:tcW w:w="1114" w:type="dxa"/>
            <w:tcBorders>
              <w:top w:val="nil"/>
              <w:left w:val="single" w:sz="8" w:space="0" w:color="auto"/>
              <w:bottom w:val="nil"/>
              <w:right w:val="single" w:sz="8" w:space="0" w:color="auto"/>
            </w:tcBorders>
            <w:shd w:val="clear" w:color="auto" w:fill="auto"/>
            <w:vAlign w:val="center"/>
          </w:tcPr>
          <w:p w14:paraId="4B1E753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2,091</w:t>
            </w:r>
          </w:p>
        </w:tc>
        <w:tc>
          <w:tcPr>
            <w:tcW w:w="1114" w:type="dxa"/>
            <w:tcBorders>
              <w:top w:val="nil"/>
              <w:left w:val="single" w:sz="8" w:space="0" w:color="auto"/>
              <w:bottom w:val="nil"/>
              <w:right w:val="single" w:sz="8" w:space="0" w:color="auto"/>
            </w:tcBorders>
            <w:shd w:val="clear" w:color="auto" w:fill="auto"/>
            <w:vAlign w:val="center"/>
          </w:tcPr>
          <w:p w14:paraId="6A84C25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2,091</w:t>
            </w:r>
          </w:p>
        </w:tc>
        <w:tc>
          <w:tcPr>
            <w:tcW w:w="1113" w:type="dxa"/>
            <w:tcBorders>
              <w:top w:val="nil"/>
              <w:left w:val="single" w:sz="8" w:space="0" w:color="auto"/>
              <w:bottom w:val="nil"/>
              <w:right w:val="single" w:sz="8" w:space="0" w:color="auto"/>
            </w:tcBorders>
            <w:shd w:val="clear" w:color="auto" w:fill="auto"/>
            <w:vAlign w:val="center"/>
          </w:tcPr>
          <w:p w14:paraId="0221206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2,091</w:t>
            </w:r>
          </w:p>
        </w:tc>
        <w:tc>
          <w:tcPr>
            <w:tcW w:w="1114" w:type="dxa"/>
            <w:tcBorders>
              <w:top w:val="nil"/>
              <w:left w:val="single" w:sz="8" w:space="0" w:color="auto"/>
              <w:bottom w:val="nil"/>
              <w:right w:val="single" w:sz="8" w:space="0" w:color="auto"/>
            </w:tcBorders>
            <w:shd w:val="clear" w:color="auto" w:fill="auto"/>
            <w:vAlign w:val="center"/>
          </w:tcPr>
          <w:p w14:paraId="4BE51F9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2,091</w:t>
            </w:r>
          </w:p>
        </w:tc>
        <w:tc>
          <w:tcPr>
            <w:tcW w:w="1114" w:type="dxa"/>
            <w:tcBorders>
              <w:top w:val="nil"/>
              <w:left w:val="single" w:sz="8" w:space="0" w:color="auto"/>
              <w:bottom w:val="nil"/>
              <w:right w:val="single" w:sz="8" w:space="0" w:color="auto"/>
            </w:tcBorders>
            <w:shd w:val="clear" w:color="auto" w:fill="auto"/>
            <w:vAlign w:val="center"/>
          </w:tcPr>
          <w:p w14:paraId="2FF95CE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2,091</w:t>
            </w:r>
          </w:p>
        </w:tc>
        <w:tc>
          <w:tcPr>
            <w:tcW w:w="1114" w:type="dxa"/>
            <w:tcBorders>
              <w:top w:val="nil"/>
              <w:left w:val="single" w:sz="8" w:space="0" w:color="auto"/>
              <w:bottom w:val="nil"/>
              <w:right w:val="single" w:sz="8" w:space="0" w:color="auto"/>
            </w:tcBorders>
            <w:shd w:val="clear" w:color="auto" w:fill="auto"/>
            <w:vAlign w:val="center"/>
          </w:tcPr>
          <w:p w14:paraId="0C6D656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2,091</w:t>
            </w:r>
          </w:p>
        </w:tc>
      </w:tr>
      <w:tr w:rsidR="00C22FE0" w:rsidRPr="00C22FE0" w14:paraId="5E777ED5"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D43368A"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QALY</w:t>
            </w:r>
          </w:p>
        </w:tc>
        <w:tc>
          <w:tcPr>
            <w:tcW w:w="1113" w:type="dxa"/>
            <w:tcBorders>
              <w:top w:val="nil"/>
              <w:left w:val="single" w:sz="8" w:space="0" w:color="auto"/>
              <w:bottom w:val="nil"/>
              <w:right w:val="single" w:sz="8" w:space="0" w:color="auto"/>
            </w:tcBorders>
            <w:shd w:val="clear" w:color="auto" w:fill="auto"/>
            <w:vAlign w:val="center"/>
          </w:tcPr>
          <w:p w14:paraId="0690088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11,000</w:t>
            </w:r>
          </w:p>
        </w:tc>
        <w:tc>
          <w:tcPr>
            <w:tcW w:w="1114" w:type="dxa"/>
            <w:tcBorders>
              <w:top w:val="nil"/>
              <w:left w:val="single" w:sz="8" w:space="0" w:color="auto"/>
              <w:bottom w:val="nil"/>
              <w:right w:val="single" w:sz="8" w:space="0" w:color="auto"/>
            </w:tcBorders>
            <w:shd w:val="clear" w:color="auto" w:fill="auto"/>
            <w:vAlign w:val="center"/>
          </w:tcPr>
          <w:p w14:paraId="5EA3E5F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10,457</w:t>
            </w:r>
          </w:p>
        </w:tc>
        <w:tc>
          <w:tcPr>
            <w:tcW w:w="1114" w:type="dxa"/>
            <w:tcBorders>
              <w:top w:val="nil"/>
              <w:left w:val="single" w:sz="8" w:space="0" w:color="auto"/>
              <w:bottom w:val="nil"/>
              <w:right w:val="single" w:sz="8" w:space="0" w:color="auto"/>
            </w:tcBorders>
            <w:shd w:val="clear" w:color="auto" w:fill="auto"/>
            <w:vAlign w:val="center"/>
          </w:tcPr>
          <w:p w14:paraId="50B9A35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10,457</w:t>
            </w:r>
          </w:p>
        </w:tc>
        <w:tc>
          <w:tcPr>
            <w:tcW w:w="1113" w:type="dxa"/>
            <w:tcBorders>
              <w:top w:val="nil"/>
              <w:left w:val="single" w:sz="8" w:space="0" w:color="auto"/>
              <w:bottom w:val="nil"/>
              <w:right w:val="single" w:sz="8" w:space="0" w:color="auto"/>
            </w:tcBorders>
            <w:shd w:val="clear" w:color="auto" w:fill="auto"/>
            <w:vAlign w:val="center"/>
          </w:tcPr>
          <w:p w14:paraId="7CBC61C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10,457</w:t>
            </w:r>
          </w:p>
        </w:tc>
        <w:tc>
          <w:tcPr>
            <w:tcW w:w="1114" w:type="dxa"/>
            <w:tcBorders>
              <w:top w:val="nil"/>
              <w:left w:val="single" w:sz="8" w:space="0" w:color="auto"/>
              <w:bottom w:val="nil"/>
              <w:right w:val="single" w:sz="8" w:space="0" w:color="auto"/>
            </w:tcBorders>
            <w:shd w:val="clear" w:color="auto" w:fill="auto"/>
            <w:vAlign w:val="center"/>
          </w:tcPr>
          <w:p w14:paraId="61FFDDF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10,457</w:t>
            </w:r>
          </w:p>
        </w:tc>
        <w:tc>
          <w:tcPr>
            <w:tcW w:w="1114" w:type="dxa"/>
            <w:tcBorders>
              <w:top w:val="nil"/>
              <w:left w:val="single" w:sz="8" w:space="0" w:color="auto"/>
              <w:bottom w:val="nil"/>
              <w:right w:val="single" w:sz="8" w:space="0" w:color="auto"/>
            </w:tcBorders>
            <w:shd w:val="clear" w:color="auto" w:fill="auto"/>
          </w:tcPr>
          <w:p w14:paraId="2FF3427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10,457</w:t>
            </w:r>
          </w:p>
        </w:tc>
        <w:tc>
          <w:tcPr>
            <w:tcW w:w="1114" w:type="dxa"/>
            <w:tcBorders>
              <w:top w:val="nil"/>
              <w:left w:val="single" w:sz="8" w:space="0" w:color="auto"/>
              <w:bottom w:val="nil"/>
              <w:right w:val="single" w:sz="8" w:space="0" w:color="auto"/>
            </w:tcBorders>
            <w:shd w:val="clear" w:color="auto" w:fill="auto"/>
          </w:tcPr>
          <w:p w14:paraId="2248D09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10,457</w:t>
            </w:r>
          </w:p>
        </w:tc>
      </w:tr>
      <w:tr w:rsidR="00C22FE0" w:rsidRPr="00C22FE0" w14:paraId="368E467A"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94997E2"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Total costs excluding productivity losses</w:t>
            </w:r>
          </w:p>
        </w:tc>
        <w:tc>
          <w:tcPr>
            <w:tcW w:w="1113" w:type="dxa"/>
            <w:tcBorders>
              <w:top w:val="nil"/>
              <w:left w:val="single" w:sz="8" w:space="0" w:color="auto"/>
              <w:bottom w:val="nil"/>
              <w:right w:val="single" w:sz="8" w:space="0" w:color="auto"/>
            </w:tcBorders>
            <w:shd w:val="clear" w:color="auto" w:fill="auto"/>
            <w:vAlign w:val="center"/>
          </w:tcPr>
          <w:p w14:paraId="07547F2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$24,926,563</w:t>
            </w:r>
          </w:p>
        </w:tc>
        <w:tc>
          <w:tcPr>
            <w:tcW w:w="1114" w:type="dxa"/>
            <w:tcBorders>
              <w:top w:val="nil"/>
              <w:left w:val="single" w:sz="8" w:space="0" w:color="auto"/>
              <w:bottom w:val="nil"/>
              <w:right w:val="single" w:sz="8" w:space="0" w:color="auto"/>
            </w:tcBorders>
            <w:shd w:val="clear" w:color="auto" w:fill="auto"/>
            <w:vAlign w:val="center"/>
          </w:tcPr>
          <w:p w14:paraId="4F9F1B5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$38,568,453</w:t>
            </w:r>
          </w:p>
        </w:tc>
        <w:tc>
          <w:tcPr>
            <w:tcW w:w="1114" w:type="dxa"/>
            <w:tcBorders>
              <w:top w:val="nil"/>
              <w:left w:val="single" w:sz="8" w:space="0" w:color="auto"/>
              <w:bottom w:val="nil"/>
              <w:right w:val="single" w:sz="8" w:space="0" w:color="auto"/>
            </w:tcBorders>
            <w:shd w:val="clear" w:color="auto" w:fill="auto"/>
            <w:vAlign w:val="center"/>
          </w:tcPr>
          <w:p w14:paraId="25E9A5F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$24,881,917</w:t>
            </w:r>
          </w:p>
        </w:tc>
        <w:tc>
          <w:tcPr>
            <w:tcW w:w="1113" w:type="dxa"/>
            <w:tcBorders>
              <w:top w:val="nil"/>
              <w:left w:val="single" w:sz="8" w:space="0" w:color="auto"/>
              <w:bottom w:val="nil"/>
              <w:right w:val="single" w:sz="8" w:space="0" w:color="auto"/>
            </w:tcBorders>
            <w:shd w:val="clear" w:color="auto" w:fill="auto"/>
            <w:vAlign w:val="center"/>
          </w:tcPr>
          <w:p w14:paraId="0F90ACC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$8,856,798</w:t>
            </w:r>
          </w:p>
        </w:tc>
        <w:tc>
          <w:tcPr>
            <w:tcW w:w="1114" w:type="dxa"/>
            <w:tcBorders>
              <w:top w:val="nil"/>
              <w:left w:val="single" w:sz="8" w:space="0" w:color="auto"/>
              <w:bottom w:val="nil"/>
              <w:right w:val="single" w:sz="8" w:space="0" w:color="auto"/>
            </w:tcBorders>
            <w:shd w:val="clear" w:color="auto" w:fill="auto"/>
            <w:vAlign w:val="center"/>
          </w:tcPr>
          <w:p w14:paraId="3C41230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$21,657,534</w:t>
            </w:r>
          </w:p>
        </w:tc>
        <w:tc>
          <w:tcPr>
            <w:tcW w:w="1114" w:type="dxa"/>
            <w:tcBorders>
              <w:top w:val="nil"/>
              <w:left w:val="single" w:sz="8" w:space="0" w:color="auto"/>
              <w:bottom w:val="nil"/>
              <w:right w:val="single" w:sz="8" w:space="0" w:color="auto"/>
            </w:tcBorders>
            <w:shd w:val="clear" w:color="auto" w:fill="auto"/>
            <w:vAlign w:val="center"/>
          </w:tcPr>
          <w:p w14:paraId="29E9FAD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$67,920,264</w:t>
            </w:r>
          </w:p>
        </w:tc>
        <w:tc>
          <w:tcPr>
            <w:tcW w:w="1114" w:type="dxa"/>
            <w:tcBorders>
              <w:top w:val="nil"/>
              <w:left w:val="single" w:sz="8" w:space="0" w:color="auto"/>
              <w:bottom w:val="nil"/>
              <w:right w:val="single" w:sz="8" w:space="0" w:color="auto"/>
            </w:tcBorders>
            <w:shd w:val="clear" w:color="auto" w:fill="auto"/>
            <w:vAlign w:val="center"/>
          </w:tcPr>
          <w:p w14:paraId="1048090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$36,423,333</w:t>
            </w:r>
          </w:p>
        </w:tc>
      </w:tr>
      <w:tr w:rsidR="00C22FE0" w:rsidRPr="00C22FE0" w14:paraId="2C97C9A4"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B328B5E"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Costs per QALY </w:t>
            </w:r>
          </w:p>
          <w:p w14:paraId="2D194ED8"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gained</w:t>
            </w:r>
          </w:p>
        </w:tc>
        <w:tc>
          <w:tcPr>
            <w:tcW w:w="1113" w:type="dxa"/>
            <w:tcBorders>
              <w:top w:val="nil"/>
              <w:left w:val="single" w:sz="8" w:space="0" w:color="auto"/>
              <w:bottom w:val="nil"/>
              <w:right w:val="single" w:sz="8" w:space="0" w:color="auto"/>
            </w:tcBorders>
            <w:shd w:val="clear" w:color="auto" w:fill="auto"/>
            <w:vAlign w:val="center"/>
          </w:tcPr>
          <w:p w14:paraId="3EF2891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w:t>
            </w:r>
          </w:p>
        </w:tc>
        <w:tc>
          <w:tcPr>
            <w:tcW w:w="1114" w:type="dxa"/>
            <w:tcBorders>
              <w:top w:val="nil"/>
              <w:left w:val="single" w:sz="8" w:space="0" w:color="auto"/>
              <w:bottom w:val="nil"/>
              <w:right w:val="single" w:sz="8" w:space="0" w:color="auto"/>
            </w:tcBorders>
            <w:shd w:val="clear" w:color="auto" w:fill="auto"/>
            <w:vAlign w:val="center"/>
          </w:tcPr>
          <w:p w14:paraId="7981076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6606A78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$82</w:t>
            </w:r>
          </w:p>
        </w:tc>
        <w:tc>
          <w:tcPr>
            <w:tcW w:w="1113" w:type="dxa"/>
            <w:tcBorders>
              <w:top w:val="nil"/>
              <w:left w:val="single" w:sz="8" w:space="0" w:color="auto"/>
              <w:bottom w:val="nil"/>
              <w:right w:val="single" w:sz="8" w:space="0" w:color="auto"/>
            </w:tcBorders>
            <w:shd w:val="clear" w:color="auto" w:fill="auto"/>
            <w:vAlign w:val="center"/>
          </w:tcPr>
          <w:p w14:paraId="2856CD0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$29,566</w:t>
            </w:r>
          </w:p>
        </w:tc>
        <w:tc>
          <w:tcPr>
            <w:tcW w:w="1114" w:type="dxa"/>
            <w:tcBorders>
              <w:top w:val="nil"/>
              <w:left w:val="single" w:sz="8" w:space="0" w:color="auto"/>
              <w:bottom w:val="nil"/>
              <w:right w:val="single" w:sz="8" w:space="0" w:color="auto"/>
            </w:tcBorders>
            <w:shd w:val="clear" w:color="auto" w:fill="auto"/>
            <w:vAlign w:val="center"/>
          </w:tcPr>
          <w:p w14:paraId="2504423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$6,015</w:t>
            </w:r>
          </w:p>
        </w:tc>
        <w:tc>
          <w:tcPr>
            <w:tcW w:w="1114" w:type="dxa"/>
            <w:tcBorders>
              <w:top w:val="nil"/>
              <w:left w:val="single" w:sz="8" w:space="0" w:color="auto"/>
              <w:bottom w:val="nil"/>
              <w:right w:val="single" w:sz="8" w:space="0" w:color="auto"/>
            </w:tcBorders>
            <w:shd w:val="clear" w:color="auto" w:fill="auto"/>
            <w:vAlign w:val="center"/>
          </w:tcPr>
          <w:p w14:paraId="2F6DD69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23CDE35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r>
      <w:tr w:rsidR="00C22FE0" w:rsidRPr="00C22FE0" w14:paraId="50E55738"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561F592A"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Total costs including productivity losses     </w:t>
            </w:r>
          </w:p>
        </w:tc>
        <w:tc>
          <w:tcPr>
            <w:tcW w:w="1113" w:type="dxa"/>
            <w:tcBorders>
              <w:top w:val="nil"/>
              <w:left w:val="single" w:sz="8" w:space="0" w:color="auto"/>
              <w:bottom w:val="nil"/>
              <w:right w:val="single" w:sz="8" w:space="0" w:color="auto"/>
            </w:tcBorders>
            <w:shd w:val="clear" w:color="auto" w:fill="auto"/>
            <w:vAlign w:val="center"/>
          </w:tcPr>
          <w:p w14:paraId="0BAC902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$35,339,645</w:t>
            </w:r>
          </w:p>
        </w:tc>
        <w:tc>
          <w:tcPr>
            <w:tcW w:w="1114" w:type="dxa"/>
            <w:tcBorders>
              <w:top w:val="nil"/>
              <w:left w:val="single" w:sz="8" w:space="0" w:color="auto"/>
              <w:bottom w:val="nil"/>
              <w:right w:val="single" w:sz="8" w:space="0" w:color="auto"/>
            </w:tcBorders>
            <w:shd w:val="clear" w:color="auto" w:fill="auto"/>
            <w:vAlign w:val="center"/>
          </w:tcPr>
          <w:p w14:paraId="7621FCB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$152,529,830</w:t>
            </w:r>
          </w:p>
        </w:tc>
        <w:tc>
          <w:tcPr>
            <w:tcW w:w="1114" w:type="dxa"/>
            <w:tcBorders>
              <w:top w:val="nil"/>
              <w:left w:val="single" w:sz="8" w:space="0" w:color="auto"/>
              <w:bottom w:val="nil"/>
              <w:right w:val="single" w:sz="8" w:space="0" w:color="auto"/>
            </w:tcBorders>
            <w:shd w:val="clear" w:color="auto" w:fill="auto"/>
            <w:vAlign w:val="center"/>
          </w:tcPr>
          <w:p w14:paraId="10E97B5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$242,702,631</w:t>
            </w:r>
          </w:p>
        </w:tc>
        <w:tc>
          <w:tcPr>
            <w:tcW w:w="1113" w:type="dxa"/>
            <w:tcBorders>
              <w:top w:val="nil"/>
              <w:left w:val="single" w:sz="8" w:space="0" w:color="auto"/>
              <w:bottom w:val="nil"/>
              <w:right w:val="single" w:sz="8" w:space="0" w:color="auto"/>
            </w:tcBorders>
            <w:shd w:val="clear" w:color="auto" w:fill="auto"/>
            <w:vAlign w:val="center"/>
          </w:tcPr>
          <w:p w14:paraId="682E41C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$65,719,907</w:t>
            </w:r>
          </w:p>
        </w:tc>
        <w:tc>
          <w:tcPr>
            <w:tcW w:w="1114" w:type="dxa"/>
            <w:tcBorders>
              <w:top w:val="nil"/>
              <w:left w:val="single" w:sz="8" w:space="0" w:color="auto"/>
              <w:bottom w:val="nil"/>
              <w:right w:val="single" w:sz="8" w:space="0" w:color="auto"/>
            </w:tcBorders>
            <w:shd w:val="clear" w:color="auto" w:fill="auto"/>
            <w:vAlign w:val="center"/>
          </w:tcPr>
          <w:p w14:paraId="519E427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$239,630,551</w:t>
            </w:r>
          </w:p>
        </w:tc>
        <w:tc>
          <w:tcPr>
            <w:tcW w:w="1114" w:type="dxa"/>
            <w:tcBorders>
              <w:top w:val="nil"/>
              <w:left w:val="single" w:sz="8" w:space="0" w:color="auto"/>
              <w:bottom w:val="nil"/>
              <w:right w:val="single" w:sz="8" w:space="0" w:color="auto"/>
            </w:tcBorders>
            <w:shd w:val="clear" w:color="auto" w:fill="auto"/>
            <w:vAlign w:val="center"/>
          </w:tcPr>
          <w:p w14:paraId="3F689A8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$238,315,860</w:t>
            </w:r>
          </w:p>
        </w:tc>
        <w:tc>
          <w:tcPr>
            <w:tcW w:w="1114" w:type="dxa"/>
            <w:tcBorders>
              <w:top w:val="nil"/>
              <w:left w:val="single" w:sz="8" w:space="0" w:color="auto"/>
              <w:bottom w:val="nil"/>
              <w:right w:val="single" w:sz="8" w:space="0" w:color="auto"/>
            </w:tcBorders>
            <w:shd w:val="clear" w:color="auto" w:fill="auto"/>
            <w:vAlign w:val="center"/>
          </w:tcPr>
          <w:p w14:paraId="2AFD424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$231,534,868</w:t>
            </w:r>
          </w:p>
        </w:tc>
      </w:tr>
      <w:tr w:rsidR="00C22FE0" w:rsidRPr="00C22FE0" w14:paraId="2C9C9C9C"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single" w:sz="4" w:space="0" w:color="auto"/>
              <w:right w:val="single" w:sz="8" w:space="0" w:color="auto"/>
            </w:tcBorders>
            <w:shd w:val="clear" w:color="auto" w:fill="auto"/>
            <w:noWrap/>
            <w:vAlign w:val="center"/>
          </w:tcPr>
          <w:p w14:paraId="094FD19E"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Costs per QALY </w:t>
            </w:r>
          </w:p>
          <w:p w14:paraId="56295ECF"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gained</w:t>
            </w:r>
          </w:p>
        </w:tc>
        <w:tc>
          <w:tcPr>
            <w:tcW w:w="1113" w:type="dxa"/>
            <w:tcBorders>
              <w:top w:val="nil"/>
              <w:left w:val="single" w:sz="8" w:space="0" w:color="auto"/>
              <w:bottom w:val="single" w:sz="4" w:space="0" w:color="auto"/>
              <w:right w:val="single" w:sz="8" w:space="0" w:color="auto"/>
            </w:tcBorders>
            <w:shd w:val="clear" w:color="auto" w:fill="auto"/>
            <w:vAlign w:val="center"/>
          </w:tcPr>
          <w:p w14:paraId="0C26FED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w:t>
            </w:r>
          </w:p>
        </w:tc>
        <w:tc>
          <w:tcPr>
            <w:tcW w:w="1114" w:type="dxa"/>
            <w:tcBorders>
              <w:top w:val="nil"/>
              <w:left w:val="single" w:sz="8" w:space="0" w:color="auto"/>
              <w:bottom w:val="single" w:sz="4" w:space="0" w:color="auto"/>
              <w:right w:val="single" w:sz="8" w:space="0" w:color="auto"/>
            </w:tcBorders>
            <w:shd w:val="clear" w:color="auto" w:fill="auto"/>
            <w:vAlign w:val="center"/>
          </w:tcPr>
          <w:p w14:paraId="4F0A8D0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62D18EC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3" w:type="dxa"/>
            <w:tcBorders>
              <w:top w:val="nil"/>
              <w:left w:val="single" w:sz="8" w:space="0" w:color="auto"/>
              <w:bottom w:val="single" w:sz="4" w:space="0" w:color="auto"/>
              <w:right w:val="single" w:sz="8" w:space="0" w:color="auto"/>
            </w:tcBorders>
            <w:shd w:val="clear" w:color="auto" w:fill="auto"/>
            <w:vAlign w:val="center"/>
          </w:tcPr>
          <w:p w14:paraId="1C6023F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2F509E3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42D3460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3E32596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r>
    </w:tbl>
    <w:p w14:paraId="0F30DE7F" w14:textId="77777777" w:rsidR="00C22FE0" w:rsidRPr="00C22FE0" w:rsidRDefault="00C22FE0" w:rsidP="00C22FE0">
      <w:pPr>
        <w:snapToGrid w:val="0"/>
        <w:rPr>
          <w:rFonts w:asciiTheme="minorHAnsi" w:hAnsiTheme="minorHAnsi" w:cstheme="minorHAnsi"/>
          <w:iCs/>
          <w:sz w:val="16"/>
          <w:szCs w:val="16"/>
          <w:vertAlign w:val="superscript"/>
        </w:rPr>
      </w:pPr>
      <w:r w:rsidRPr="00C22FE0">
        <w:rPr>
          <w:rFonts w:asciiTheme="minorHAnsi" w:hAnsiTheme="minorHAnsi" w:cstheme="minorHAnsi"/>
          <w:iCs/>
          <w:sz w:val="16"/>
          <w:szCs w:val="16"/>
        </w:rPr>
        <w:t>A ‘dominant’ costs per QALY gained indicates that the DMHS was found to have lower costs and greater benefits.</w:t>
      </w:r>
    </w:p>
    <w:p w14:paraId="60D46F19" w14:textId="492B4181" w:rsidR="00C22FE0" w:rsidRPr="00C22FE0" w:rsidRDefault="00C22FE0" w:rsidP="00C22FE0">
      <w:pPr>
        <w:snapToGrid w:val="0"/>
        <w:rPr>
          <w:rFonts w:asciiTheme="minorHAnsi" w:hAnsiTheme="minorHAnsi" w:cstheme="minorHAnsi"/>
          <w:iCs/>
          <w:sz w:val="16"/>
          <w:szCs w:val="16"/>
        </w:rPr>
      </w:pPr>
      <w:proofErr w:type="spellStart"/>
      <w:r w:rsidRPr="00C22FE0">
        <w:rPr>
          <w:rFonts w:asciiTheme="minorHAnsi" w:hAnsiTheme="minorHAnsi" w:cstheme="minorHAnsi"/>
          <w:iCs/>
          <w:sz w:val="16"/>
          <w:szCs w:val="16"/>
          <w:vertAlign w:val="superscript"/>
        </w:rPr>
        <w:t>a</w:t>
      </w:r>
      <w:r w:rsidRPr="00C22FE0">
        <w:rPr>
          <w:rFonts w:asciiTheme="minorHAnsi" w:hAnsiTheme="minorHAnsi" w:cstheme="minorHAnsi"/>
          <w:iCs/>
          <w:sz w:val="16"/>
          <w:szCs w:val="16"/>
        </w:rPr>
        <w:t>Based</w:t>
      </w:r>
      <w:proofErr w:type="spellEnd"/>
      <w:r w:rsidRPr="00C22FE0">
        <w:rPr>
          <w:rFonts w:asciiTheme="minorHAnsi" w:hAnsiTheme="minorHAnsi" w:cstheme="minorHAnsi"/>
          <w:iCs/>
          <w:sz w:val="16"/>
          <w:szCs w:val="16"/>
        </w:rPr>
        <w:t xml:space="preserve"> on (</w:t>
      </w:r>
      <w:proofErr w:type="spellStart"/>
      <w:r w:rsidRPr="00C22FE0">
        <w:rPr>
          <w:rFonts w:asciiTheme="minorHAnsi" w:hAnsiTheme="minorHAnsi" w:cstheme="minorHAnsi"/>
          <w:iCs/>
          <w:sz w:val="16"/>
          <w:szCs w:val="16"/>
        </w:rPr>
        <w:t>i</w:t>
      </w:r>
      <w:proofErr w:type="spellEnd"/>
      <w:r w:rsidRPr="00C22FE0">
        <w:rPr>
          <w:rFonts w:asciiTheme="minorHAnsi" w:hAnsiTheme="minorHAnsi" w:cstheme="minorHAnsi"/>
          <w:iCs/>
          <w:sz w:val="16"/>
          <w:szCs w:val="16"/>
        </w:rPr>
        <w:t xml:space="preserve">) an input population of 3,330 consumers and annual cost of service delivery per consumer as reported in Table </w:t>
      </w:r>
      <w:r w:rsidR="2994E5E7" w:rsidRPr="452D831E">
        <w:rPr>
          <w:rFonts w:asciiTheme="minorHAnsi" w:hAnsiTheme="minorHAnsi" w:cstheme="minorBidi"/>
          <w:sz w:val="16"/>
          <w:szCs w:val="16"/>
        </w:rPr>
        <w:t>55</w:t>
      </w:r>
      <w:r w:rsidRPr="00C22FE0">
        <w:rPr>
          <w:rFonts w:asciiTheme="minorHAnsi" w:hAnsiTheme="minorHAnsi" w:cstheme="minorHAnsi"/>
          <w:iCs/>
          <w:sz w:val="16"/>
          <w:szCs w:val="16"/>
        </w:rPr>
        <w:t xml:space="preserve"> and (ii) health care cost and productivity losses as reported in Table </w:t>
      </w:r>
      <w:r w:rsidR="2994E5E7" w:rsidRPr="452D831E">
        <w:rPr>
          <w:rFonts w:asciiTheme="minorHAnsi" w:hAnsiTheme="minorHAnsi" w:cstheme="minorBidi"/>
          <w:sz w:val="16"/>
          <w:szCs w:val="16"/>
        </w:rPr>
        <w:t>58</w:t>
      </w:r>
      <w:r w:rsidRPr="00C22FE0">
        <w:rPr>
          <w:rFonts w:asciiTheme="minorHAnsi" w:hAnsiTheme="minorHAnsi" w:cstheme="minorHAnsi"/>
          <w:iCs/>
          <w:sz w:val="16"/>
          <w:szCs w:val="16"/>
        </w:rPr>
        <w:t>.</w:t>
      </w:r>
      <w:r>
        <w:tab/>
      </w:r>
    </w:p>
    <w:p w14:paraId="50B6FE6D" w14:textId="55137FD0" w:rsidR="00C22FE0" w:rsidRPr="00C22FE0" w:rsidRDefault="00C22FE0" w:rsidP="00C22FE0">
      <w:pPr>
        <w:snapToGrid w:val="0"/>
        <w:rPr>
          <w:rFonts w:asciiTheme="minorHAnsi" w:hAnsiTheme="minorHAnsi" w:cstheme="minorHAnsi"/>
          <w:iCs/>
          <w:sz w:val="16"/>
          <w:szCs w:val="16"/>
        </w:rPr>
      </w:pPr>
      <w:proofErr w:type="spellStart"/>
      <w:r w:rsidRPr="00C22FE0">
        <w:rPr>
          <w:rFonts w:asciiTheme="minorHAnsi" w:hAnsiTheme="minorHAnsi" w:cstheme="minorHAnsi"/>
          <w:iCs/>
          <w:sz w:val="16"/>
          <w:szCs w:val="16"/>
          <w:vertAlign w:val="superscript"/>
        </w:rPr>
        <w:t>b</w:t>
      </w:r>
      <w:r w:rsidRPr="00C22FE0">
        <w:rPr>
          <w:rFonts w:asciiTheme="minorHAnsi" w:hAnsiTheme="minorHAnsi" w:cstheme="minorHAnsi"/>
          <w:iCs/>
          <w:sz w:val="16"/>
          <w:szCs w:val="16"/>
        </w:rPr>
        <w:t>B</w:t>
      </w:r>
      <w:r w:rsidRPr="00C22FE0">
        <w:rPr>
          <w:rFonts w:asciiTheme="minorHAnsi" w:hAnsiTheme="minorHAnsi" w:cstheme="minorHAnsi"/>
          <w:iCs/>
          <w:color w:val="44546A" w:themeColor="text2"/>
          <w:sz w:val="16"/>
          <w:szCs w:val="16"/>
        </w:rPr>
        <w:t>a</w:t>
      </w:r>
      <w:r w:rsidRPr="00C22FE0">
        <w:rPr>
          <w:rFonts w:asciiTheme="minorHAnsi" w:hAnsiTheme="minorHAnsi" w:cstheme="minorHAnsi"/>
          <w:iCs/>
          <w:sz w:val="16"/>
          <w:szCs w:val="16"/>
        </w:rPr>
        <w:t>sed</w:t>
      </w:r>
      <w:proofErr w:type="spellEnd"/>
      <w:r w:rsidRPr="00C22FE0">
        <w:rPr>
          <w:rFonts w:asciiTheme="minorHAnsi" w:hAnsiTheme="minorHAnsi" w:cstheme="minorHAnsi"/>
          <w:iCs/>
          <w:sz w:val="16"/>
          <w:szCs w:val="16"/>
        </w:rPr>
        <w:t xml:space="preserve"> on (</w:t>
      </w:r>
      <w:proofErr w:type="spellStart"/>
      <w:r w:rsidRPr="00C22FE0">
        <w:rPr>
          <w:rFonts w:asciiTheme="minorHAnsi" w:hAnsiTheme="minorHAnsi" w:cstheme="minorHAnsi"/>
          <w:iCs/>
          <w:sz w:val="16"/>
          <w:szCs w:val="16"/>
        </w:rPr>
        <w:t>i</w:t>
      </w:r>
      <w:proofErr w:type="spellEnd"/>
      <w:r w:rsidRPr="00C22FE0">
        <w:rPr>
          <w:rFonts w:asciiTheme="minorHAnsi" w:hAnsiTheme="minorHAnsi" w:cstheme="minorHAnsi"/>
          <w:iCs/>
          <w:sz w:val="16"/>
          <w:szCs w:val="16"/>
        </w:rPr>
        <w:t xml:space="preserve">) an input population of 13,407 consumers and annual cost of service delivery per consumer as reported in Table </w:t>
      </w:r>
      <w:r w:rsidR="2994E5E7" w:rsidRPr="452D831E">
        <w:rPr>
          <w:rFonts w:asciiTheme="minorHAnsi" w:hAnsiTheme="minorHAnsi" w:cstheme="minorBidi"/>
          <w:sz w:val="16"/>
          <w:szCs w:val="16"/>
        </w:rPr>
        <w:t>55</w:t>
      </w:r>
      <w:r w:rsidRPr="00C22FE0">
        <w:rPr>
          <w:rFonts w:asciiTheme="minorHAnsi" w:hAnsiTheme="minorHAnsi" w:cstheme="minorHAnsi"/>
          <w:iCs/>
          <w:sz w:val="16"/>
          <w:szCs w:val="16"/>
        </w:rPr>
        <w:t xml:space="preserve"> and (ii) health care cost and productivity losses as reported in Table </w:t>
      </w:r>
      <w:r w:rsidR="2994E5E7" w:rsidRPr="452D831E">
        <w:rPr>
          <w:rFonts w:asciiTheme="minorHAnsi" w:hAnsiTheme="minorHAnsi" w:cstheme="minorBidi"/>
          <w:sz w:val="16"/>
          <w:szCs w:val="16"/>
        </w:rPr>
        <w:t>58</w:t>
      </w:r>
      <w:r w:rsidRPr="00C22FE0">
        <w:rPr>
          <w:rFonts w:asciiTheme="minorHAnsi" w:hAnsiTheme="minorHAnsi" w:cstheme="minorHAnsi"/>
          <w:iCs/>
          <w:sz w:val="16"/>
          <w:szCs w:val="16"/>
        </w:rPr>
        <w:t>.</w:t>
      </w:r>
    </w:p>
    <w:p w14:paraId="1FB2B7BE" w14:textId="77777777" w:rsidR="003A2428" w:rsidRDefault="003A2428">
      <w:pPr>
        <w:spacing w:after="200"/>
        <w:rPr>
          <w:rFonts w:asciiTheme="minorHAnsi" w:eastAsiaTheme="majorEastAsia" w:hAnsiTheme="minorHAnsi" w:cstheme="majorBidi"/>
          <w:b/>
          <w:color w:val="000000" w:themeColor="text1"/>
          <w:sz w:val="21"/>
          <w:szCs w:val="21"/>
          <w:lang w:val="en-US" w:eastAsia="en-US"/>
        </w:rPr>
      </w:pPr>
      <w:r>
        <w:rPr>
          <w:rFonts w:asciiTheme="minorHAnsi" w:eastAsiaTheme="majorEastAsia" w:hAnsiTheme="minorHAnsi" w:cstheme="majorBidi"/>
          <w:b/>
          <w:color w:val="000000" w:themeColor="text1"/>
          <w:sz w:val="21"/>
          <w:szCs w:val="21"/>
          <w:lang w:val="en-US" w:eastAsia="en-US"/>
        </w:rPr>
        <w:br w:type="page"/>
      </w:r>
    </w:p>
    <w:p w14:paraId="0435994C" w14:textId="2FFFF9F4" w:rsidR="00C22FE0" w:rsidRPr="00C22FE0" w:rsidRDefault="00C22FE0" w:rsidP="00C22FE0">
      <w:pPr>
        <w:keepLines/>
        <w:spacing w:after="120"/>
        <w:outlineLvl w:val="2"/>
        <w:rPr>
          <w:rFonts w:asciiTheme="minorHAnsi" w:eastAsiaTheme="majorEastAsia" w:hAnsiTheme="minorHAnsi" w:cstheme="majorBidi"/>
          <w:b/>
          <w:color w:val="000000" w:themeColor="text1"/>
          <w:sz w:val="21"/>
          <w:szCs w:val="21"/>
          <w:lang w:val="en-US" w:eastAsia="en-US"/>
        </w:rPr>
      </w:pPr>
      <w:r w:rsidRPr="00C22FE0">
        <w:rPr>
          <w:rFonts w:asciiTheme="minorHAnsi" w:eastAsiaTheme="majorEastAsia" w:hAnsiTheme="minorHAnsi" w:cstheme="majorBidi"/>
          <w:b/>
          <w:color w:val="000000" w:themeColor="text1"/>
          <w:sz w:val="21"/>
          <w:szCs w:val="21"/>
          <w:lang w:val="en-US" w:eastAsia="en-US"/>
        </w:rPr>
        <w:lastRenderedPageBreak/>
        <w:t xml:space="preserve">Table </w:t>
      </w:r>
      <w:r w:rsidR="00C754B0">
        <w:rPr>
          <w:rFonts w:asciiTheme="minorHAnsi" w:eastAsiaTheme="majorEastAsia" w:hAnsiTheme="minorHAnsi" w:cstheme="majorBidi"/>
          <w:b/>
          <w:color w:val="000000" w:themeColor="text1"/>
          <w:sz w:val="21"/>
          <w:szCs w:val="21"/>
          <w:lang w:val="en-US" w:eastAsia="en-US"/>
        </w:rPr>
        <w:t>L2</w:t>
      </w:r>
      <w:r w:rsidRPr="003A2428">
        <w:rPr>
          <w:rFonts w:asciiTheme="minorHAnsi" w:eastAsiaTheme="majorEastAsia" w:hAnsiTheme="minorHAnsi" w:cstheme="majorBidi"/>
          <w:b/>
          <w:color w:val="000000" w:themeColor="text1"/>
          <w:sz w:val="21"/>
          <w:szCs w:val="21"/>
          <w:lang w:val="en-US" w:eastAsia="en-US"/>
        </w:rPr>
        <w:t>.</w:t>
      </w:r>
      <w:r w:rsidRPr="00C22FE0">
        <w:rPr>
          <w:rFonts w:asciiTheme="minorHAnsi" w:eastAsiaTheme="majorEastAsia" w:hAnsiTheme="minorHAnsi" w:cstheme="majorBidi"/>
          <w:b/>
          <w:color w:val="000000" w:themeColor="text1"/>
          <w:sz w:val="21"/>
          <w:szCs w:val="21"/>
          <w:lang w:val="en-US" w:eastAsia="en-US"/>
        </w:rPr>
        <w:t xml:space="preserve">4 Results of economic modelling for </w:t>
      </w:r>
      <w:proofErr w:type="spellStart"/>
      <w:r w:rsidRPr="00C22FE0">
        <w:rPr>
          <w:rFonts w:asciiTheme="minorHAnsi" w:eastAsiaTheme="majorEastAsia" w:hAnsiTheme="minorHAnsi" w:cstheme="majorBidi"/>
          <w:b/>
          <w:color w:val="000000" w:themeColor="text1"/>
          <w:sz w:val="21"/>
          <w:szCs w:val="21"/>
          <w:lang w:val="en-US" w:eastAsia="en-US"/>
        </w:rPr>
        <w:t>MindSpot</w:t>
      </w:r>
      <w:proofErr w:type="spellEnd"/>
      <w:r w:rsidRPr="00C22FE0">
        <w:rPr>
          <w:rFonts w:asciiTheme="minorHAnsi" w:eastAsiaTheme="majorEastAsia" w:hAnsiTheme="minorHAnsi" w:cstheme="majorBidi"/>
          <w:b/>
          <w:color w:val="000000" w:themeColor="text1"/>
          <w:sz w:val="21"/>
          <w:szCs w:val="21"/>
          <w:lang w:val="en-US" w:eastAsia="en-US"/>
        </w:rPr>
        <w:t xml:space="preserve"> (transition probabilities based on </w:t>
      </w:r>
      <w:proofErr w:type="spellStart"/>
      <w:r w:rsidRPr="00C22FE0">
        <w:rPr>
          <w:rFonts w:asciiTheme="minorHAnsi" w:eastAsiaTheme="majorEastAsia" w:hAnsiTheme="minorHAnsi" w:cstheme="majorBidi"/>
          <w:b/>
          <w:color w:val="000000" w:themeColor="text1"/>
          <w:sz w:val="21"/>
          <w:szCs w:val="21"/>
          <w:lang w:val="en-US" w:eastAsia="en-US"/>
        </w:rPr>
        <w:t>Kayrouz</w:t>
      </w:r>
      <w:proofErr w:type="spellEnd"/>
      <w:r w:rsidRPr="00C22FE0">
        <w:rPr>
          <w:rFonts w:asciiTheme="minorHAnsi" w:eastAsiaTheme="majorEastAsia" w:hAnsiTheme="minorHAnsi" w:cstheme="majorBidi"/>
          <w:b/>
          <w:color w:val="000000" w:themeColor="text1"/>
          <w:sz w:val="21"/>
          <w:szCs w:val="21"/>
          <w:lang w:val="en-US" w:eastAsia="en-US"/>
        </w:rPr>
        <w:t xml:space="preserve"> et al, 2020)</w:t>
      </w:r>
      <w:r w:rsidR="00FF02DC">
        <w:rPr>
          <w:rFonts w:asciiTheme="minorHAnsi" w:eastAsiaTheme="majorEastAsia" w:hAnsiTheme="minorHAnsi" w:cstheme="majorBidi"/>
          <w:b/>
          <w:color w:val="000000" w:themeColor="text1"/>
          <w:sz w:val="21"/>
          <w:szCs w:val="21"/>
          <w:lang w:val="en-US" w:eastAsia="en-US"/>
        </w:rPr>
        <w:fldChar w:fldCharType="begin"/>
      </w:r>
      <w:r w:rsidR="004469A2">
        <w:rPr>
          <w:rFonts w:asciiTheme="minorHAnsi" w:eastAsiaTheme="majorEastAsia" w:hAnsiTheme="minorHAnsi" w:cstheme="majorBidi"/>
          <w:b/>
          <w:color w:val="000000" w:themeColor="text1"/>
          <w:sz w:val="21"/>
          <w:szCs w:val="21"/>
          <w:lang w:val="en-US" w:eastAsia="en-US"/>
        </w:rPr>
        <w:instrText xml:space="preserve"> ADDIN EN.CITE &lt;EndNote&gt;&lt;Cite&gt;&lt;Author&gt;Kayrouz&lt;/Author&gt;&lt;Year&gt;2020&lt;/Year&gt;&lt;RecNum&gt;137&lt;/RecNum&gt;&lt;DisplayText&gt;&lt;style face="superscript"&gt;66&lt;/style&gt;&lt;/DisplayText&gt;&lt;record&gt;&lt;rec-number&gt;137&lt;/rec-number&gt;&lt;foreign-keys&gt;&lt;key app="EN" db-id="dawtr0zrkrzfa5edzzlpe2we0xa00t90vvr2" timestamp="1650429449"&gt;137&lt;/key&gt;&lt;/foreign-keys&gt;&lt;ref-type name="Journal Article"&gt;17&lt;/ref-type&gt;&lt;contributors&gt;&lt;authors&gt;&lt;author&gt;Kayrouz, Rony&lt;/author&gt;&lt;author&gt;Karin, Eyal&lt;/author&gt;&lt;author&gt;Staples, Lauren G.&lt;/author&gt;&lt;author&gt;Nielssen, Olav&lt;/author&gt;&lt;author&gt;Dear, Blake F.&lt;/author&gt;&lt;author&gt;Titov, Nickolai&lt;/author&gt;&lt;/authors&gt;&lt;/contributors&gt;&lt;titles&gt;&lt;title&gt;A comparison of the characteristics and treatment outcomes of migrant and Australian-born users of a national digital mental health service&lt;/title&gt;&lt;secondary-title&gt;BMC Psychiatry&lt;/secondary-title&gt;&lt;/titles&gt;&lt;periodical&gt;&lt;full-title&gt;BMC Psychiatry&lt;/full-title&gt;&lt;/periodical&gt;&lt;pages&gt;111&lt;/pages&gt;&lt;volume&gt;20&lt;/volume&gt;&lt;number&gt;1&lt;/number&gt;&lt;dates&gt;&lt;year&gt;2020&lt;/year&gt;&lt;pub-dates&gt;&lt;date&gt;2020/03/11&lt;/date&gt;&lt;/pub-dates&gt;&lt;/dates&gt;&lt;isbn&gt;1471-244X&lt;/isbn&gt;&lt;urls&gt;&lt;related-urls&gt;&lt;url&gt;https://doi.org/10.1186/s12888-020-02486-3&lt;/url&gt;&lt;/related-urls&gt;&lt;/urls&gt;&lt;electronic-resource-num&gt;10.1186/s12888-020-02486-3&lt;/electronic-resource-num&gt;&lt;/record&gt;&lt;/Cite&gt;&lt;/EndNote&gt;</w:instrText>
      </w:r>
      <w:r w:rsidR="00FF02DC">
        <w:rPr>
          <w:rFonts w:asciiTheme="minorHAnsi" w:eastAsiaTheme="majorEastAsia" w:hAnsiTheme="minorHAnsi" w:cstheme="majorBidi"/>
          <w:b/>
          <w:color w:val="000000" w:themeColor="text1"/>
          <w:sz w:val="21"/>
          <w:szCs w:val="21"/>
          <w:lang w:val="en-US" w:eastAsia="en-US"/>
        </w:rPr>
        <w:fldChar w:fldCharType="separate"/>
      </w:r>
      <w:r w:rsidR="004469A2" w:rsidRPr="004469A2">
        <w:rPr>
          <w:rFonts w:asciiTheme="minorHAnsi" w:eastAsiaTheme="majorEastAsia" w:hAnsiTheme="minorHAnsi" w:cstheme="majorBidi"/>
          <w:b/>
          <w:noProof/>
          <w:color w:val="000000" w:themeColor="text1"/>
          <w:sz w:val="21"/>
          <w:szCs w:val="21"/>
          <w:vertAlign w:val="superscript"/>
          <w:lang w:val="en-US" w:eastAsia="en-US"/>
        </w:rPr>
        <w:t>66</w:t>
      </w:r>
      <w:r w:rsidR="00FF02DC">
        <w:rPr>
          <w:rFonts w:asciiTheme="minorHAnsi" w:eastAsiaTheme="majorEastAsia" w:hAnsiTheme="minorHAnsi" w:cstheme="majorBidi"/>
          <w:b/>
          <w:color w:val="000000" w:themeColor="text1"/>
          <w:sz w:val="21"/>
          <w:szCs w:val="21"/>
          <w:lang w:val="en-US" w:eastAsia="en-US"/>
        </w:rPr>
        <w:fldChar w:fldCharType="end"/>
      </w:r>
    </w:p>
    <w:tbl>
      <w:tblPr>
        <w:tblStyle w:val="PlainTable413"/>
        <w:tblW w:w="9629" w:type="dxa"/>
        <w:tblInd w:w="0" w:type="dxa"/>
        <w:tblBorders>
          <w:top w:val="single" w:sz="8" w:space="0" w:color="auto"/>
          <w:left w:val="single" w:sz="8" w:space="0" w:color="auto"/>
          <w:bottom w:val="single" w:sz="8" w:space="0" w:color="auto"/>
          <w:right w:val="single" w:sz="8" w:space="0" w:color="auto"/>
          <w:insideV w:val="single" w:sz="8" w:space="0" w:color="auto"/>
        </w:tblBorders>
        <w:tblLayout w:type="fixed"/>
        <w:tblLook w:val="04A0" w:firstRow="1" w:lastRow="0" w:firstColumn="1" w:lastColumn="0" w:noHBand="0" w:noVBand="1"/>
        <w:tblCaption w:val="Table L2.4 Results of economic modelling for MindSpot (transition probabilities based on Kayrouz et al., 2020"/>
        <w:tblDescription w:val="A table presenting the economic modelling results for MindSpot in comparison to all indirect comparator groups. This is a sensitivity analysis conducted by using transition probabilities based on published outcomes in a previous publication. The results include the numbers of input population, fully recovered, partially recovered, no improvement, deteriorated, quality-adjusted life years, total costs including and excluding productivity losses and costs per quality-adjusted life years gained. Items were presented by self-directed treatment and therapist-supported treatment."/>
      </w:tblPr>
      <w:tblGrid>
        <w:gridCol w:w="1833"/>
        <w:gridCol w:w="1113"/>
        <w:gridCol w:w="1114"/>
        <w:gridCol w:w="1114"/>
        <w:gridCol w:w="1113"/>
        <w:gridCol w:w="1114"/>
        <w:gridCol w:w="1114"/>
        <w:gridCol w:w="1114"/>
      </w:tblGrid>
      <w:tr w:rsidR="00C22FE0" w:rsidRPr="00C22FE0" w14:paraId="2DD83479" w14:textId="77777777" w:rsidTr="00A56C43">
        <w:trPr>
          <w:cnfStyle w:val="100000000000" w:firstRow="1" w:lastRow="0" w:firstColumn="0" w:lastColumn="0" w:oddVBand="0" w:evenVBand="0" w:oddHBand="0" w:evenHBand="0" w:firstRowFirstColumn="0" w:firstRowLastColumn="0" w:lastRowFirstColumn="0" w:lastRowLastColumn="0"/>
          <w:trHeight w:val="969"/>
          <w:tblHeader/>
        </w:trPr>
        <w:tc>
          <w:tcPr>
            <w:cnfStyle w:val="001000000000" w:firstRow="0" w:lastRow="0" w:firstColumn="1" w:lastColumn="0" w:oddVBand="0" w:evenVBand="0" w:oddHBand="0" w:evenHBand="0" w:firstRowFirstColumn="0" w:firstRowLastColumn="0" w:lastRowFirstColumn="0" w:lastRowLastColumn="0"/>
            <w:tcW w:w="1833" w:type="dxa"/>
            <w:tcBorders>
              <w:top w:val="single" w:sz="8" w:space="0" w:color="auto"/>
              <w:left w:val="single" w:sz="8" w:space="0" w:color="auto"/>
              <w:bottom w:val="nil"/>
              <w:right w:val="single" w:sz="8" w:space="0" w:color="auto"/>
            </w:tcBorders>
            <w:shd w:val="clear" w:color="auto" w:fill="000000" w:themeFill="text1"/>
            <w:noWrap/>
            <w:vAlign w:val="center"/>
            <w:hideMark/>
          </w:tcPr>
          <w:p w14:paraId="1746AA84" w14:textId="77777777" w:rsidR="00C22FE0" w:rsidRPr="00C22FE0" w:rsidRDefault="00C22FE0" w:rsidP="00C22FE0">
            <w:pPr>
              <w:snapToGrid w:val="0"/>
              <w:rPr>
                <w:rFonts w:ascii="Calibri" w:hAnsi="Calibri" w:cs="Calibri"/>
                <w:color w:val="FFFFFF" w:themeColor="background1"/>
                <w:sz w:val="18"/>
                <w:szCs w:val="18"/>
                <w:lang w:eastAsia="en-AU"/>
              </w:rPr>
            </w:pPr>
          </w:p>
        </w:tc>
        <w:tc>
          <w:tcPr>
            <w:tcW w:w="1113" w:type="dxa"/>
            <w:tcBorders>
              <w:top w:val="single" w:sz="8" w:space="0" w:color="auto"/>
              <w:left w:val="single" w:sz="8" w:space="0" w:color="auto"/>
              <w:right w:val="single" w:sz="8" w:space="0" w:color="auto"/>
            </w:tcBorders>
            <w:shd w:val="clear" w:color="auto" w:fill="000000" w:themeFill="text1"/>
            <w:vAlign w:val="center"/>
          </w:tcPr>
          <w:p w14:paraId="0D083C62"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proofErr w:type="spellStart"/>
            <w:r w:rsidRPr="00C22FE0">
              <w:rPr>
                <w:rFonts w:ascii="Calibri" w:hAnsi="Calibri" w:cs="Calibri"/>
                <w:color w:val="FFFFFF" w:themeColor="background1"/>
                <w:sz w:val="16"/>
                <w:szCs w:val="16"/>
                <w:lang w:eastAsia="en-AU"/>
              </w:rPr>
              <w:t>MindSpot</w:t>
            </w:r>
            <w:proofErr w:type="spellEnd"/>
          </w:p>
        </w:tc>
        <w:tc>
          <w:tcPr>
            <w:tcW w:w="1114" w:type="dxa"/>
            <w:tcBorders>
              <w:top w:val="single" w:sz="8" w:space="0" w:color="auto"/>
              <w:left w:val="single" w:sz="8" w:space="0" w:color="auto"/>
              <w:right w:val="single" w:sz="8" w:space="0" w:color="auto"/>
            </w:tcBorders>
            <w:shd w:val="clear" w:color="auto" w:fill="000000" w:themeFill="text1"/>
            <w:vAlign w:val="center"/>
          </w:tcPr>
          <w:p w14:paraId="10013872"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Indirect comparator: Link-me</w:t>
            </w:r>
          </w:p>
          <w:p w14:paraId="19DF33C6"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w:t>
            </w:r>
            <w:proofErr w:type="gramStart"/>
            <w:r w:rsidRPr="00C22FE0">
              <w:rPr>
                <w:rFonts w:ascii="Calibri" w:hAnsi="Calibri" w:cs="Calibri"/>
                <w:color w:val="FFFFFF" w:themeColor="background1"/>
                <w:sz w:val="16"/>
                <w:szCs w:val="16"/>
                <w:lang w:eastAsia="en-AU"/>
              </w:rPr>
              <w:t>all</w:t>
            </w:r>
            <w:proofErr w:type="gramEnd"/>
            <w:r w:rsidRPr="00C22FE0">
              <w:rPr>
                <w:rFonts w:ascii="Calibri" w:hAnsi="Calibri" w:cs="Calibri"/>
                <w:color w:val="FFFFFF" w:themeColor="background1"/>
                <w:sz w:val="16"/>
                <w:szCs w:val="16"/>
                <w:lang w:eastAsia="en-AU"/>
              </w:rPr>
              <w:t xml:space="preserve"> participants)</w:t>
            </w:r>
          </w:p>
        </w:tc>
        <w:tc>
          <w:tcPr>
            <w:tcW w:w="1114" w:type="dxa"/>
            <w:tcBorders>
              <w:top w:val="single" w:sz="8" w:space="0" w:color="auto"/>
              <w:left w:val="single" w:sz="8" w:space="0" w:color="auto"/>
              <w:right w:val="single" w:sz="8" w:space="0" w:color="auto"/>
            </w:tcBorders>
            <w:shd w:val="clear" w:color="auto" w:fill="000000" w:themeFill="text1"/>
            <w:vAlign w:val="center"/>
          </w:tcPr>
          <w:p w14:paraId="22D1FBE9"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Indirect comparator: Target-D</w:t>
            </w:r>
          </w:p>
          <w:p w14:paraId="6CB9F056"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w:t>
            </w:r>
            <w:proofErr w:type="gramStart"/>
            <w:r w:rsidRPr="00C22FE0">
              <w:rPr>
                <w:rFonts w:ascii="Calibri" w:hAnsi="Calibri" w:cs="Calibri"/>
                <w:color w:val="FFFFFF" w:themeColor="background1"/>
                <w:sz w:val="16"/>
                <w:szCs w:val="16"/>
                <w:lang w:eastAsia="en-AU"/>
              </w:rPr>
              <w:t>all</w:t>
            </w:r>
            <w:proofErr w:type="gramEnd"/>
            <w:r w:rsidRPr="00C22FE0">
              <w:rPr>
                <w:rFonts w:ascii="Calibri" w:hAnsi="Calibri" w:cs="Calibri"/>
                <w:color w:val="FFFFFF" w:themeColor="background1"/>
                <w:sz w:val="16"/>
                <w:szCs w:val="16"/>
                <w:lang w:eastAsia="en-AU"/>
              </w:rPr>
              <w:t xml:space="preserve"> participants)</w:t>
            </w:r>
          </w:p>
        </w:tc>
        <w:tc>
          <w:tcPr>
            <w:tcW w:w="1113" w:type="dxa"/>
            <w:tcBorders>
              <w:top w:val="single" w:sz="8" w:space="0" w:color="auto"/>
              <w:left w:val="single" w:sz="8" w:space="0" w:color="auto"/>
              <w:right w:val="single" w:sz="8" w:space="0" w:color="auto"/>
            </w:tcBorders>
            <w:shd w:val="clear" w:color="auto" w:fill="000000" w:themeFill="text1"/>
            <w:vAlign w:val="center"/>
          </w:tcPr>
          <w:p w14:paraId="3445F327"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Indirect comparator: Link-me (minimal/ mild group)</w:t>
            </w:r>
          </w:p>
        </w:tc>
        <w:tc>
          <w:tcPr>
            <w:tcW w:w="1114" w:type="dxa"/>
            <w:tcBorders>
              <w:top w:val="single" w:sz="8" w:space="0" w:color="auto"/>
              <w:left w:val="single" w:sz="8" w:space="0" w:color="auto"/>
              <w:bottom w:val="nil"/>
              <w:right w:val="single" w:sz="8" w:space="0" w:color="auto"/>
            </w:tcBorders>
            <w:shd w:val="clear" w:color="auto" w:fill="000000" w:themeFill="text1"/>
            <w:vAlign w:val="center"/>
          </w:tcPr>
          <w:p w14:paraId="7A8DE5D2"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Indirect comparator: Target-D (minimal/ mild group)</w:t>
            </w:r>
          </w:p>
        </w:tc>
        <w:tc>
          <w:tcPr>
            <w:tcW w:w="1114" w:type="dxa"/>
            <w:tcBorders>
              <w:top w:val="single" w:sz="8" w:space="0" w:color="auto"/>
              <w:left w:val="single" w:sz="8" w:space="0" w:color="auto"/>
              <w:bottom w:val="nil"/>
              <w:right w:val="single" w:sz="8" w:space="0" w:color="auto"/>
            </w:tcBorders>
            <w:shd w:val="clear" w:color="auto" w:fill="000000" w:themeFill="text1"/>
            <w:vAlign w:val="center"/>
          </w:tcPr>
          <w:p w14:paraId="30B6B482"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Indirect comparator: Link-me (severe group)</w:t>
            </w:r>
          </w:p>
        </w:tc>
        <w:tc>
          <w:tcPr>
            <w:tcW w:w="1114" w:type="dxa"/>
            <w:tcBorders>
              <w:top w:val="single" w:sz="8" w:space="0" w:color="auto"/>
              <w:left w:val="single" w:sz="8" w:space="0" w:color="auto"/>
              <w:bottom w:val="nil"/>
              <w:right w:val="single" w:sz="8" w:space="0" w:color="auto"/>
            </w:tcBorders>
            <w:shd w:val="clear" w:color="auto" w:fill="000000" w:themeFill="text1"/>
            <w:vAlign w:val="center"/>
          </w:tcPr>
          <w:p w14:paraId="6C37A595" w14:textId="77777777" w:rsidR="00C22FE0" w:rsidRPr="00C22FE0" w:rsidRDefault="00C22FE0" w:rsidP="00C22FE0">
            <w:pPr>
              <w:snapToGrid w:val="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6"/>
                <w:szCs w:val="16"/>
                <w:lang w:eastAsia="en-AU"/>
              </w:rPr>
            </w:pPr>
            <w:r w:rsidRPr="00C22FE0">
              <w:rPr>
                <w:rFonts w:ascii="Calibri" w:hAnsi="Calibri" w:cs="Calibri"/>
                <w:color w:val="FFFFFF" w:themeColor="background1"/>
                <w:sz w:val="16"/>
                <w:szCs w:val="16"/>
                <w:lang w:eastAsia="en-AU"/>
              </w:rPr>
              <w:t>Indirect comparator: Target-D (severe group)</w:t>
            </w:r>
          </w:p>
        </w:tc>
      </w:tr>
      <w:tr w:rsidR="00C22FE0" w:rsidRPr="00C22FE0" w14:paraId="5640BE74"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5A61DCCC"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Self-directed </w:t>
            </w:r>
            <w:proofErr w:type="spellStart"/>
            <w:r w:rsidRPr="00C22FE0">
              <w:rPr>
                <w:rFonts w:ascii="Calibri" w:hAnsi="Calibri" w:cs="Calibri"/>
                <w:color w:val="000000"/>
                <w:sz w:val="16"/>
                <w:szCs w:val="16"/>
                <w:lang w:eastAsia="en-AU"/>
              </w:rPr>
              <w:t>treatment</w:t>
            </w:r>
            <w:r w:rsidRPr="00C22FE0">
              <w:rPr>
                <w:rFonts w:asciiTheme="minorHAnsi" w:hAnsiTheme="minorHAnsi" w:cstheme="minorHAnsi"/>
                <w:sz w:val="16"/>
                <w:szCs w:val="16"/>
                <w:vertAlign w:val="superscript"/>
                <w:lang w:eastAsia="en-US"/>
              </w:rPr>
              <w:t>a</w:t>
            </w:r>
            <w:proofErr w:type="spellEnd"/>
          </w:p>
        </w:tc>
        <w:tc>
          <w:tcPr>
            <w:tcW w:w="1113" w:type="dxa"/>
            <w:tcBorders>
              <w:top w:val="nil"/>
              <w:left w:val="single" w:sz="8" w:space="0" w:color="auto"/>
              <w:bottom w:val="nil"/>
              <w:right w:val="single" w:sz="8" w:space="0" w:color="auto"/>
            </w:tcBorders>
            <w:shd w:val="clear" w:color="auto" w:fill="auto"/>
            <w:vAlign w:val="center"/>
          </w:tcPr>
          <w:p w14:paraId="77606BF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491A546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1225728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41A8515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7145EA7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2241ED3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56354FB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r>
      <w:tr w:rsidR="00C22FE0" w:rsidRPr="00C22FE0" w14:paraId="455C3885"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CD75C35"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Input population (n)</w:t>
            </w:r>
          </w:p>
        </w:tc>
        <w:tc>
          <w:tcPr>
            <w:tcW w:w="1113" w:type="dxa"/>
            <w:tcBorders>
              <w:top w:val="nil"/>
              <w:left w:val="single" w:sz="8" w:space="0" w:color="auto"/>
              <w:bottom w:val="nil"/>
              <w:right w:val="single" w:sz="8" w:space="0" w:color="auto"/>
            </w:tcBorders>
            <w:shd w:val="clear" w:color="auto" w:fill="auto"/>
            <w:vAlign w:val="center"/>
          </w:tcPr>
          <w:p w14:paraId="3CF91E9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1,117</w:t>
            </w:r>
          </w:p>
        </w:tc>
        <w:tc>
          <w:tcPr>
            <w:tcW w:w="1114" w:type="dxa"/>
            <w:tcBorders>
              <w:top w:val="nil"/>
              <w:left w:val="single" w:sz="8" w:space="0" w:color="auto"/>
              <w:bottom w:val="nil"/>
              <w:right w:val="single" w:sz="8" w:space="0" w:color="auto"/>
            </w:tcBorders>
            <w:shd w:val="clear" w:color="auto" w:fill="auto"/>
            <w:vAlign w:val="center"/>
          </w:tcPr>
          <w:p w14:paraId="3C176FA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1,117</w:t>
            </w:r>
          </w:p>
        </w:tc>
        <w:tc>
          <w:tcPr>
            <w:tcW w:w="1114" w:type="dxa"/>
            <w:tcBorders>
              <w:top w:val="nil"/>
              <w:left w:val="single" w:sz="8" w:space="0" w:color="auto"/>
              <w:bottom w:val="nil"/>
              <w:right w:val="single" w:sz="8" w:space="0" w:color="auto"/>
            </w:tcBorders>
            <w:shd w:val="clear" w:color="auto" w:fill="auto"/>
            <w:vAlign w:val="center"/>
          </w:tcPr>
          <w:p w14:paraId="6A24447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1,117</w:t>
            </w:r>
          </w:p>
        </w:tc>
        <w:tc>
          <w:tcPr>
            <w:tcW w:w="1113" w:type="dxa"/>
            <w:tcBorders>
              <w:top w:val="nil"/>
              <w:left w:val="single" w:sz="8" w:space="0" w:color="auto"/>
              <w:bottom w:val="nil"/>
              <w:right w:val="single" w:sz="8" w:space="0" w:color="auto"/>
            </w:tcBorders>
            <w:shd w:val="clear" w:color="auto" w:fill="auto"/>
            <w:vAlign w:val="center"/>
          </w:tcPr>
          <w:p w14:paraId="0C639CC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1,117</w:t>
            </w:r>
          </w:p>
        </w:tc>
        <w:tc>
          <w:tcPr>
            <w:tcW w:w="1114" w:type="dxa"/>
            <w:tcBorders>
              <w:top w:val="nil"/>
              <w:left w:val="single" w:sz="8" w:space="0" w:color="auto"/>
              <w:bottom w:val="nil"/>
              <w:right w:val="single" w:sz="8" w:space="0" w:color="auto"/>
            </w:tcBorders>
            <w:shd w:val="clear" w:color="auto" w:fill="auto"/>
            <w:vAlign w:val="center"/>
          </w:tcPr>
          <w:p w14:paraId="6481D7A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1,117</w:t>
            </w:r>
          </w:p>
        </w:tc>
        <w:tc>
          <w:tcPr>
            <w:tcW w:w="1114" w:type="dxa"/>
            <w:tcBorders>
              <w:top w:val="nil"/>
              <w:left w:val="single" w:sz="8" w:space="0" w:color="auto"/>
              <w:bottom w:val="nil"/>
              <w:right w:val="single" w:sz="8" w:space="0" w:color="auto"/>
            </w:tcBorders>
            <w:shd w:val="clear" w:color="auto" w:fill="auto"/>
            <w:vAlign w:val="center"/>
          </w:tcPr>
          <w:p w14:paraId="643A1FD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1,117</w:t>
            </w:r>
          </w:p>
        </w:tc>
        <w:tc>
          <w:tcPr>
            <w:tcW w:w="1114" w:type="dxa"/>
            <w:tcBorders>
              <w:top w:val="nil"/>
              <w:left w:val="single" w:sz="8" w:space="0" w:color="auto"/>
              <w:bottom w:val="nil"/>
              <w:right w:val="single" w:sz="8" w:space="0" w:color="auto"/>
            </w:tcBorders>
            <w:shd w:val="clear" w:color="auto" w:fill="auto"/>
            <w:vAlign w:val="center"/>
          </w:tcPr>
          <w:p w14:paraId="24E3771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1,117</w:t>
            </w:r>
          </w:p>
        </w:tc>
      </w:tr>
      <w:tr w:rsidR="00C22FE0" w:rsidRPr="00C22FE0" w14:paraId="3E146D44"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7DF122A0"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Fully recovered (n)</w:t>
            </w:r>
          </w:p>
        </w:tc>
        <w:tc>
          <w:tcPr>
            <w:tcW w:w="1113" w:type="dxa"/>
            <w:tcBorders>
              <w:top w:val="nil"/>
              <w:left w:val="single" w:sz="8" w:space="0" w:color="auto"/>
              <w:bottom w:val="nil"/>
              <w:right w:val="single" w:sz="8" w:space="0" w:color="auto"/>
            </w:tcBorders>
            <w:shd w:val="clear" w:color="auto" w:fill="auto"/>
            <w:vAlign w:val="center"/>
          </w:tcPr>
          <w:p w14:paraId="26CA4BF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623</w:t>
            </w:r>
          </w:p>
        </w:tc>
        <w:tc>
          <w:tcPr>
            <w:tcW w:w="1114" w:type="dxa"/>
            <w:tcBorders>
              <w:top w:val="nil"/>
              <w:left w:val="single" w:sz="8" w:space="0" w:color="auto"/>
              <w:bottom w:val="nil"/>
              <w:right w:val="single" w:sz="8" w:space="0" w:color="auto"/>
            </w:tcBorders>
            <w:shd w:val="clear" w:color="auto" w:fill="auto"/>
            <w:vAlign w:val="center"/>
          </w:tcPr>
          <w:p w14:paraId="39CFFAB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124</w:t>
            </w:r>
          </w:p>
        </w:tc>
        <w:tc>
          <w:tcPr>
            <w:tcW w:w="1114" w:type="dxa"/>
            <w:tcBorders>
              <w:top w:val="nil"/>
              <w:left w:val="single" w:sz="8" w:space="0" w:color="auto"/>
              <w:bottom w:val="nil"/>
              <w:right w:val="single" w:sz="8" w:space="0" w:color="auto"/>
            </w:tcBorders>
            <w:shd w:val="clear" w:color="auto" w:fill="auto"/>
            <w:vAlign w:val="center"/>
          </w:tcPr>
          <w:p w14:paraId="7AD352F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124</w:t>
            </w:r>
          </w:p>
        </w:tc>
        <w:tc>
          <w:tcPr>
            <w:tcW w:w="1113" w:type="dxa"/>
            <w:tcBorders>
              <w:top w:val="nil"/>
              <w:left w:val="single" w:sz="8" w:space="0" w:color="auto"/>
              <w:bottom w:val="nil"/>
              <w:right w:val="single" w:sz="8" w:space="0" w:color="auto"/>
            </w:tcBorders>
            <w:shd w:val="clear" w:color="auto" w:fill="auto"/>
            <w:vAlign w:val="center"/>
          </w:tcPr>
          <w:p w14:paraId="1821D46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124</w:t>
            </w:r>
          </w:p>
        </w:tc>
        <w:tc>
          <w:tcPr>
            <w:tcW w:w="1114" w:type="dxa"/>
            <w:tcBorders>
              <w:top w:val="nil"/>
              <w:left w:val="single" w:sz="8" w:space="0" w:color="auto"/>
              <w:bottom w:val="nil"/>
              <w:right w:val="single" w:sz="8" w:space="0" w:color="auto"/>
            </w:tcBorders>
            <w:shd w:val="clear" w:color="auto" w:fill="auto"/>
            <w:vAlign w:val="center"/>
          </w:tcPr>
          <w:p w14:paraId="64DF0A3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124</w:t>
            </w:r>
          </w:p>
        </w:tc>
        <w:tc>
          <w:tcPr>
            <w:tcW w:w="1114" w:type="dxa"/>
            <w:tcBorders>
              <w:top w:val="nil"/>
              <w:left w:val="single" w:sz="8" w:space="0" w:color="auto"/>
              <w:bottom w:val="nil"/>
              <w:right w:val="single" w:sz="8" w:space="0" w:color="auto"/>
            </w:tcBorders>
            <w:shd w:val="clear" w:color="auto" w:fill="auto"/>
            <w:vAlign w:val="center"/>
          </w:tcPr>
          <w:p w14:paraId="5B98287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124</w:t>
            </w:r>
          </w:p>
        </w:tc>
        <w:tc>
          <w:tcPr>
            <w:tcW w:w="1114" w:type="dxa"/>
            <w:tcBorders>
              <w:top w:val="nil"/>
              <w:left w:val="single" w:sz="8" w:space="0" w:color="auto"/>
              <w:bottom w:val="nil"/>
              <w:right w:val="single" w:sz="8" w:space="0" w:color="auto"/>
            </w:tcBorders>
            <w:shd w:val="clear" w:color="auto" w:fill="auto"/>
            <w:vAlign w:val="center"/>
          </w:tcPr>
          <w:p w14:paraId="77561FF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124</w:t>
            </w:r>
          </w:p>
        </w:tc>
      </w:tr>
      <w:tr w:rsidR="00C22FE0" w:rsidRPr="00C22FE0" w14:paraId="61F7AA2E"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30B0A857"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Partially recovered (n)</w:t>
            </w:r>
          </w:p>
        </w:tc>
        <w:tc>
          <w:tcPr>
            <w:tcW w:w="1113" w:type="dxa"/>
            <w:tcBorders>
              <w:top w:val="nil"/>
              <w:left w:val="single" w:sz="8" w:space="0" w:color="auto"/>
              <w:bottom w:val="nil"/>
              <w:right w:val="single" w:sz="8" w:space="0" w:color="auto"/>
            </w:tcBorders>
            <w:shd w:val="clear" w:color="auto" w:fill="auto"/>
            <w:vAlign w:val="center"/>
          </w:tcPr>
          <w:p w14:paraId="0436D4E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212</w:t>
            </w:r>
          </w:p>
        </w:tc>
        <w:tc>
          <w:tcPr>
            <w:tcW w:w="1114" w:type="dxa"/>
            <w:tcBorders>
              <w:top w:val="nil"/>
              <w:left w:val="single" w:sz="8" w:space="0" w:color="auto"/>
              <w:bottom w:val="nil"/>
              <w:right w:val="single" w:sz="8" w:space="0" w:color="auto"/>
            </w:tcBorders>
            <w:shd w:val="clear" w:color="auto" w:fill="auto"/>
            <w:vAlign w:val="center"/>
          </w:tcPr>
          <w:p w14:paraId="46920D03"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49</w:t>
            </w:r>
          </w:p>
        </w:tc>
        <w:tc>
          <w:tcPr>
            <w:tcW w:w="1114" w:type="dxa"/>
            <w:tcBorders>
              <w:top w:val="nil"/>
              <w:left w:val="single" w:sz="8" w:space="0" w:color="auto"/>
              <w:bottom w:val="nil"/>
              <w:right w:val="single" w:sz="8" w:space="0" w:color="auto"/>
            </w:tcBorders>
            <w:shd w:val="clear" w:color="auto" w:fill="auto"/>
            <w:vAlign w:val="center"/>
          </w:tcPr>
          <w:p w14:paraId="6C0A124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49</w:t>
            </w:r>
          </w:p>
        </w:tc>
        <w:tc>
          <w:tcPr>
            <w:tcW w:w="1113" w:type="dxa"/>
            <w:tcBorders>
              <w:top w:val="nil"/>
              <w:left w:val="single" w:sz="8" w:space="0" w:color="auto"/>
              <w:bottom w:val="nil"/>
              <w:right w:val="single" w:sz="8" w:space="0" w:color="auto"/>
            </w:tcBorders>
            <w:shd w:val="clear" w:color="auto" w:fill="auto"/>
            <w:vAlign w:val="center"/>
          </w:tcPr>
          <w:p w14:paraId="596C97C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49</w:t>
            </w:r>
          </w:p>
        </w:tc>
        <w:tc>
          <w:tcPr>
            <w:tcW w:w="1114" w:type="dxa"/>
            <w:tcBorders>
              <w:top w:val="nil"/>
              <w:left w:val="single" w:sz="8" w:space="0" w:color="auto"/>
              <w:bottom w:val="nil"/>
              <w:right w:val="single" w:sz="8" w:space="0" w:color="auto"/>
            </w:tcBorders>
            <w:shd w:val="clear" w:color="auto" w:fill="auto"/>
            <w:vAlign w:val="center"/>
          </w:tcPr>
          <w:p w14:paraId="36082AC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49</w:t>
            </w:r>
          </w:p>
        </w:tc>
        <w:tc>
          <w:tcPr>
            <w:tcW w:w="1114" w:type="dxa"/>
            <w:tcBorders>
              <w:top w:val="nil"/>
              <w:left w:val="single" w:sz="8" w:space="0" w:color="auto"/>
              <w:bottom w:val="nil"/>
              <w:right w:val="single" w:sz="8" w:space="0" w:color="auto"/>
            </w:tcBorders>
            <w:shd w:val="clear" w:color="auto" w:fill="auto"/>
            <w:vAlign w:val="center"/>
          </w:tcPr>
          <w:p w14:paraId="725DDA93"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49</w:t>
            </w:r>
          </w:p>
        </w:tc>
        <w:tc>
          <w:tcPr>
            <w:tcW w:w="1114" w:type="dxa"/>
            <w:tcBorders>
              <w:top w:val="nil"/>
              <w:left w:val="single" w:sz="8" w:space="0" w:color="auto"/>
              <w:bottom w:val="nil"/>
              <w:right w:val="single" w:sz="8" w:space="0" w:color="auto"/>
            </w:tcBorders>
            <w:shd w:val="clear" w:color="auto" w:fill="auto"/>
            <w:vAlign w:val="center"/>
          </w:tcPr>
          <w:p w14:paraId="159721C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49</w:t>
            </w:r>
          </w:p>
        </w:tc>
      </w:tr>
      <w:tr w:rsidR="00C22FE0" w:rsidRPr="00C22FE0" w14:paraId="385F4894"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75488D36"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No improvement (n)</w:t>
            </w:r>
          </w:p>
        </w:tc>
        <w:tc>
          <w:tcPr>
            <w:tcW w:w="1113" w:type="dxa"/>
            <w:tcBorders>
              <w:top w:val="nil"/>
              <w:left w:val="single" w:sz="8" w:space="0" w:color="auto"/>
              <w:bottom w:val="nil"/>
              <w:right w:val="single" w:sz="8" w:space="0" w:color="auto"/>
            </w:tcBorders>
            <w:shd w:val="clear" w:color="auto" w:fill="auto"/>
            <w:vAlign w:val="center"/>
          </w:tcPr>
          <w:p w14:paraId="7B5E3D0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235</w:t>
            </w:r>
          </w:p>
        </w:tc>
        <w:tc>
          <w:tcPr>
            <w:tcW w:w="1114" w:type="dxa"/>
            <w:tcBorders>
              <w:top w:val="nil"/>
              <w:left w:val="single" w:sz="8" w:space="0" w:color="auto"/>
              <w:bottom w:val="nil"/>
              <w:right w:val="single" w:sz="8" w:space="0" w:color="auto"/>
            </w:tcBorders>
            <w:shd w:val="clear" w:color="auto" w:fill="auto"/>
            <w:vAlign w:val="center"/>
          </w:tcPr>
          <w:p w14:paraId="69587C2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770</w:t>
            </w:r>
          </w:p>
        </w:tc>
        <w:tc>
          <w:tcPr>
            <w:tcW w:w="1114" w:type="dxa"/>
            <w:tcBorders>
              <w:top w:val="nil"/>
              <w:left w:val="single" w:sz="8" w:space="0" w:color="auto"/>
              <w:bottom w:val="nil"/>
              <w:right w:val="single" w:sz="8" w:space="0" w:color="auto"/>
            </w:tcBorders>
            <w:shd w:val="clear" w:color="auto" w:fill="auto"/>
            <w:vAlign w:val="center"/>
          </w:tcPr>
          <w:p w14:paraId="02A0B89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770</w:t>
            </w:r>
          </w:p>
        </w:tc>
        <w:tc>
          <w:tcPr>
            <w:tcW w:w="1113" w:type="dxa"/>
            <w:tcBorders>
              <w:top w:val="nil"/>
              <w:left w:val="single" w:sz="8" w:space="0" w:color="auto"/>
              <w:bottom w:val="nil"/>
              <w:right w:val="single" w:sz="8" w:space="0" w:color="auto"/>
            </w:tcBorders>
            <w:shd w:val="clear" w:color="auto" w:fill="auto"/>
            <w:vAlign w:val="center"/>
          </w:tcPr>
          <w:p w14:paraId="6AD573E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770</w:t>
            </w:r>
          </w:p>
        </w:tc>
        <w:tc>
          <w:tcPr>
            <w:tcW w:w="1114" w:type="dxa"/>
            <w:tcBorders>
              <w:top w:val="nil"/>
              <w:left w:val="single" w:sz="8" w:space="0" w:color="auto"/>
              <w:bottom w:val="nil"/>
              <w:right w:val="single" w:sz="8" w:space="0" w:color="auto"/>
            </w:tcBorders>
            <w:shd w:val="clear" w:color="auto" w:fill="auto"/>
            <w:vAlign w:val="center"/>
          </w:tcPr>
          <w:p w14:paraId="19CD68D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770</w:t>
            </w:r>
          </w:p>
        </w:tc>
        <w:tc>
          <w:tcPr>
            <w:tcW w:w="1114" w:type="dxa"/>
            <w:tcBorders>
              <w:top w:val="nil"/>
              <w:left w:val="single" w:sz="8" w:space="0" w:color="auto"/>
              <w:bottom w:val="nil"/>
              <w:right w:val="single" w:sz="8" w:space="0" w:color="auto"/>
            </w:tcBorders>
            <w:shd w:val="clear" w:color="auto" w:fill="auto"/>
            <w:vAlign w:val="center"/>
          </w:tcPr>
          <w:p w14:paraId="783B3EB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770</w:t>
            </w:r>
          </w:p>
        </w:tc>
        <w:tc>
          <w:tcPr>
            <w:tcW w:w="1114" w:type="dxa"/>
            <w:tcBorders>
              <w:top w:val="nil"/>
              <w:left w:val="single" w:sz="8" w:space="0" w:color="auto"/>
              <w:bottom w:val="nil"/>
              <w:right w:val="single" w:sz="8" w:space="0" w:color="auto"/>
            </w:tcBorders>
            <w:shd w:val="clear" w:color="auto" w:fill="auto"/>
            <w:vAlign w:val="center"/>
          </w:tcPr>
          <w:p w14:paraId="13E0F68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770</w:t>
            </w:r>
          </w:p>
        </w:tc>
      </w:tr>
      <w:tr w:rsidR="00C22FE0" w:rsidRPr="00C22FE0" w14:paraId="2539A359"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3A7028F0"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Deteriorated (n)</w:t>
            </w:r>
          </w:p>
        </w:tc>
        <w:tc>
          <w:tcPr>
            <w:tcW w:w="1113" w:type="dxa"/>
            <w:tcBorders>
              <w:top w:val="nil"/>
              <w:left w:val="single" w:sz="8" w:space="0" w:color="auto"/>
              <w:bottom w:val="nil"/>
              <w:right w:val="single" w:sz="8" w:space="0" w:color="auto"/>
            </w:tcBorders>
            <w:shd w:val="clear" w:color="auto" w:fill="auto"/>
            <w:vAlign w:val="center"/>
          </w:tcPr>
          <w:p w14:paraId="7BDF4A7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56</w:t>
            </w:r>
          </w:p>
        </w:tc>
        <w:tc>
          <w:tcPr>
            <w:tcW w:w="1114" w:type="dxa"/>
            <w:tcBorders>
              <w:top w:val="nil"/>
              <w:left w:val="single" w:sz="8" w:space="0" w:color="auto"/>
              <w:bottom w:val="nil"/>
              <w:right w:val="single" w:sz="8" w:space="0" w:color="auto"/>
            </w:tcBorders>
            <w:shd w:val="clear" w:color="auto" w:fill="auto"/>
            <w:vAlign w:val="center"/>
          </w:tcPr>
          <w:p w14:paraId="40398C4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174</w:t>
            </w:r>
          </w:p>
        </w:tc>
        <w:tc>
          <w:tcPr>
            <w:tcW w:w="1114" w:type="dxa"/>
            <w:tcBorders>
              <w:top w:val="nil"/>
              <w:left w:val="single" w:sz="8" w:space="0" w:color="auto"/>
              <w:bottom w:val="nil"/>
              <w:right w:val="single" w:sz="8" w:space="0" w:color="auto"/>
            </w:tcBorders>
            <w:shd w:val="clear" w:color="auto" w:fill="auto"/>
            <w:vAlign w:val="center"/>
          </w:tcPr>
          <w:p w14:paraId="7AC85F9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174</w:t>
            </w:r>
          </w:p>
        </w:tc>
        <w:tc>
          <w:tcPr>
            <w:tcW w:w="1113" w:type="dxa"/>
            <w:tcBorders>
              <w:top w:val="nil"/>
              <w:left w:val="single" w:sz="8" w:space="0" w:color="auto"/>
              <w:bottom w:val="nil"/>
              <w:right w:val="single" w:sz="8" w:space="0" w:color="auto"/>
            </w:tcBorders>
            <w:shd w:val="clear" w:color="auto" w:fill="auto"/>
            <w:vAlign w:val="center"/>
          </w:tcPr>
          <w:p w14:paraId="7407A96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174</w:t>
            </w:r>
          </w:p>
        </w:tc>
        <w:tc>
          <w:tcPr>
            <w:tcW w:w="1114" w:type="dxa"/>
            <w:tcBorders>
              <w:top w:val="nil"/>
              <w:left w:val="single" w:sz="8" w:space="0" w:color="auto"/>
              <w:bottom w:val="nil"/>
              <w:right w:val="single" w:sz="8" w:space="0" w:color="auto"/>
            </w:tcBorders>
            <w:shd w:val="clear" w:color="auto" w:fill="auto"/>
            <w:vAlign w:val="center"/>
          </w:tcPr>
          <w:p w14:paraId="64FA98F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174</w:t>
            </w:r>
          </w:p>
        </w:tc>
        <w:tc>
          <w:tcPr>
            <w:tcW w:w="1114" w:type="dxa"/>
            <w:tcBorders>
              <w:top w:val="nil"/>
              <w:left w:val="single" w:sz="8" w:space="0" w:color="auto"/>
              <w:bottom w:val="nil"/>
              <w:right w:val="single" w:sz="8" w:space="0" w:color="auto"/>
            </w:tcBorders>
            <w:shd w:val="clear" w:color="auto" w:fill="auto"/>
            <w:vAlign w:val="center"/>
          </w:tcPr>
          <w:p w14:paraId="7CCB9073"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174</w:t>
            </w:r>
          </w:p>
        </w:tc>
        <w:tc>
          <w:tcPr>
            <w:tcW w:w="1114" w:type="dxa"/>
            <w:tcBorders>
              <w:top w:val="nil"/>
              <w:left w:val="single" w:sz="8" w:space="0" w:color="auto"/>
              <w:bottom w:val="nil"/>
              <w:right w:val="single" w:sz="8" w:space="0" w:color="auto"/>
            </w:tcBorders>
            <w:shd w:val="clear" w:color="auto" w:fill="auto"/>
            <w:vAlign w:val="center"/>
          </w:tcPr>
          <w:p w14:paraId="28717F9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174</w:t>
            </w:r>
          </w:p>
        </w:tc>
      </w:tr>
      <w:tr w:rsidR="00C22FE0" w:rsidRPr="00C22FE0" w14:paraId="4F5A90DF"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F3C43BB"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QALY</w:t>
            </w:r>
          </w:p>
        </w:tc>
        <w:tc>
          <w:tcPr>
            <w:tcW w:w="1113" w:type="dxa"/>
            <w:tcBorders>
              <w:top w:val="nil"/>
              <w:left w:val="single" w:sz="8" w:space="0" w:color="auto"/>
              <w:bottom w:val="nil"/>
              <w:right w:val="single" w:sz="8" w:space="0" w:color="auto"/>
            </w:tcBorders>
            <w:shd w:val="clear" w:color="auto" w:fill="auto"/>
            <w:vAlign w:val="center"/>
          </w:tcPr>
          <w:p w14:paraId="35FF31D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937</w:t>
            </w:r>
          </w:p>
        </w:tc>
        <w:tc>
          <w:tcPr>
            <w:tcW w:w="1114" w:type="dxa"/>
            <w:tcBorders>
              <w:top w:val="nil"/>
              <w:left w:val="single" w:sz="8" w:space="0" w:color="auto"/>
              <w:bottom w:val="nil"/>
              <w:right w:val="single" w:sz="8" w:space="0" w:color="auto"/>
            </w:tcBorders>
            <w:shd w:val="clear" w:color="auto" w:fill="auto"/>
            <w:vAlign w:val="center"/>
          </w:tcPr>
          <w:p w14:paraId="1A27642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871</w:t>
            </w:r>
          </w:p>
        </w:tc>
        <w:tc>
          <w:tcPr>
            <w:tcW w:w="1114" w:type="dxa"/>
            <w:tcBorders>
              <w:top w:val="nil"/>
              <w:left w:val="single" w:sz="8" w:space="0" w:color="auto"/>
              <w:bottom w:val="nil"/>
              <w:right w:val="single" w:sz="8" w:space="0" w:color="auto"/>
            </w:tcBorders>
            <w:shd w:val="clear" w:color="auto" w:fill="auto"/>
            <w:vAlign w:val="center"/>
          </w:tcPr>
          <w:p w14:paraId="74396F8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871</w:t>
            </w:r>
          </w:p>
        </w:tc>
        <w:tc>
          <w:tcPr>
            <w:tcW w:w="1113" w:type="dxa"/>
            <w:tcBorders>
              <w:top w:val="nil"/>
              <w:left w:val="single" w:sz="8" w:space="0" w:color="auto"/>
              <w:bottom w:val="nil"/>
              <w:right w:val="single" w:sz="8" w:space="0" w:color="auto"/>
            </w:tcBorders>
            <w:shd w:val="clear" w:color="auto" w:fill="auto"/>
            <w:vAlign w:val="center"/>
          </w:tcPr>
          <w:p w14:paraId="5A79501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871</w:t>
            </w:r>
          </w:p>
        </w:tc>
        <w:tc>
          <w:tcPr>
            <w:tcW w:w="1114" w:type="dxa"/>
            <w:tcBorders>
              <w:top w:val="nil"/>
              <w:left w:val="single" w:sz="8" w:space="0" w:color="auto"/>
              <w:bottom w:val="nil"/>
              <w:right w:val="single" w:sz="8" w:space="0" w:color="auto"/>
            </w:tcBorders>
            <w:shd w:val="clear" w:color="auto" w:fill="auto"/>
            <w:vAlign w:val="center"/>
          </w:tcPr>
          <w:p w14:paraId="7B022A2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871</w:t>
            </w:r>
          </w:p>
        </w:tc>
        <w:tc>
          <w:tcPr>
            <w:tcW w:w="1114" w:type="dxa"/>
            <w:tcBorders>
              <w:top w:val="nil"/>
              <w:left w:val="single" w:sz="8" w:space="0" w:color="auto"/>
              <w:bottom w:val="nil"/>
              <w:right w:val="single" w:sz="8" w:space="0" w:color="auto"/>
            </w:tcBorders>
            <w:shd w:val="clear" w:color="auto" w:fill="auto"/>
            <w:vAlign w:val="center"/>
          </w:tcPr>
          <w:p w14:paraId="1D17923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871</w:t>
            </w:r>
          </w:p>
        </w:tc>
        <w:tc>
          <w:tcPr>
            <w:tcW w:w="1114" w:type="dxa"/>
            <w:tcBorders>
              <w:top w:val="nil"/>
              <w:left w:val="single" w:sz="8" w:space="0" w:color="auto"/>
              <w:bottom w:val="nil"/>
              <w:right w:val="single" w:sz="8" w:space="0" w:color="auto"/>
            </w:tcBorders>
            <w:shd w:val="clear" w:color="auto" w:fill="auto"/>
            <w:vAlign w:val="center"/>
          </w:tcPr>
          <w:p w14:paraId="2C518B5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871</w:t>
            </w:r>
          </w:p>
        </w:tc>
      </w:tr>
      <w:tr w:rsidR="00C22FE0" w:rsidRPr="00C22FE0" w14:paraId="291CEC01"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60748ACF"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Total costs excluding productivity losses</w:t>
            </w:r>
          </w:p>
        </w:tc>
        <w:tc>
          <w:tcPr>
            <w:tcW w:w="1113" w:type="dxa"/>
            <w:tcBorders>
              <w:top w:val="nil"/>
              <w:left w:val="single" w:sz="8" w:space="0" w:color="auto"/>
              <w:bottom w:val="nil"/>
              <w:right w:val="single" w:sz="8" w:space="0" w:color="auto"/>
            </w:tcBorders>
            <w:shd w:val="clear" w:color="auto" w:fill="auto"/>
            <w:vAlign w:val="center"/>
          </w:tcPr>
          <w:p w14:paraId="71FE123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$2,251,112</w:t>
            </w:r>
          </w:p>
        </w:tc>
        <w:tc>
          <w:tcPr>
            <w:tcW w:w="1114" w:type="dxa"/>
            <w:tcBorders>
              <w:top w:val="nil"/>
              <w:left w:val="single" w:sz="8" w:space="0" w:color="auto"/>
              <w:bottom w:val="nil"/>
              <w:right w:val="single" w:sz="8" w:space="0" w:color="auto"/>
            </w:tcBorders>
            <w:shd w:val="clear" w:color="auto" w:fill="auto"/>
            <w:vAlign w:val="center"/>
          </w:tcPr>
          <w:p w14:paraId="3B0CF0B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$3,213,319</w:t>
            </w:r>
          </w:p>
        </w:tc>
        <w:tc>
          <w:tcPr>
            <w:tcW w:w="1114" w:type="dxa"/>
            <w:tcBorders>
              <w:top w:val="nil"/>
              <w:left w:val="single" w:sz="8" w:space="0" w:color="auto"/>
              <w:bottom w:val="nil"/>
              <w:right w:val="single" w:sz="8" w:space="0" w:color="auto"/>
            </w:tcBorders>
            <w:shd w:val="clear" w:color="auto" w:fill="auto"/>
            <w:vAlign w:val="center"/>
          </w:tcPr>
          <w:p w14:paraId="7A7A78C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$2,073,029</w:t>
            </w:r>
          </w:p>
        </w:tc>
        <w:tc>
          <w:tcPr>
            <w:tcW w:w="1113" w:type="dxa"/>
            <w:tcBorders>
              <w:top w:val="nil"/>
              <w:left w:val="single" w:sz="8" w:space="0" w:color="auto"/>
              <w:bottom w:val="nil"/>
              <w:right w:val="single" w:sz="8" w:space="0" w:color="auto"/>
            </w:tcBorders>
            <w:shd w:val="clear" w:color="auto" w:fill="auto"/>
            <w:vAlign w:val="center"/>
          </w:tcPr>
          <w:p w14:paraId="4777AF1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$737,901</w:t>
            </w:r>
          </w:p>
        </w:tc>
        <w:tc>
          <w:tcPr>
            <w:tcW w:w="1114" w:type="dxa"/>
            <w:tcBorders>
              <w:top w:val="nil"/>
              <w:left w:val="single" w:sz="8" w:space="0" w:color="auto"/>
              <w:bottom w:val="nil"/>
              <w:right w:val="single" w:sz="8" w:space="0" w:color="auto"/>
            </w:tcBorders>
            <w:shd w:val="clear" w:color="auto" w:fill="auto"/>
            <w:vAlign w:val="center"/>
          </w:tcPr>
          <w:p w14:paraId="55853F6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$1,804,391</w:t>
            </w:r>
          </w:p>
        </w:tc>
        <w:tc>
          <w:tcPr>
            <w:tcW w:w="1114" w:type="dxa"/>
            <w:tcBorders>
              <w:top w:val="nil"/>
              <w:left w:val="single" w:sz="8" w:space="0" w:color="auto"/>
              <w:bottom w:val="nil"/>
              <w:right w:val="single" w:sz="8" w:space="0" w:color="auto"/>
            </w:tcBorders>
            <w:shd w:val="clear" w:color="auto" w:fill="auto"/>
            <w:vAlign w:val="center"/>
          </w:tcPr>
          <w:p w14:paraId="73DE2CC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$5,658,756</w:t>
            </w:r>
          </w:p>
        </w:tc>
        <w:tc>
          <w:tcPr>
            <w:tcW w:w="1114" w:type="dxa"/>
            <w:tcBorders>
              <w:top w:val="nil"/>
              <w:left w:val="single" w:sz="8" w:space="0" w:color="auto"/>
              <w:bottom w:val="nil"/>
              <w:right w:val="single" w:sz="8" w:space="0" w:color="auto"/>
            </w:tcBorders>
            <w:shd w:val="clear" w:color="auto" w:fill="auto"/>
            <w:vAlign w:val="center"/>
          </w:tcPr>
          <w:p w14:paraId="2D68D0B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$3,034,599</w:t>
            </w:r>
          </w:p>
        </w:tc>
      </w:tr>
      <w:tr w:rsidR="00C22FE0" w:rsidRPr="00C22FE0" w14:paraId="04D0D970"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5596BA2E"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Costs per QALY </w:t>
            </w:r>
          </w:p>
          <w:p w14:paraId="12714C0F"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gained</w:t>
            </w:r>
          </w:p>
        </w:tc>
        <w:tc>
          <w:tcPr>
            <w:tcW w:w="1113" w:type="dxa"/>
            <w:tcBorders>
              <w:top w:val="nil"/>
              <w:left w:val="single" w:sz="8" w:space="0" w:color="auto"/>
              <w:bottom w:val="nil"/>
              <w:right w:val="single" w:sz="8" w:space="0" w:color="auto"/>
            </w:tcBorders>
            <w:shd w:val="clear" w:color="auto" w:fill="auto"/>
            <w:vAlign w:val="center"/>
          </w:tcPr>
          <w:p w14:paraId="1F7F8AA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w:t>
            </w:r>
          </w:p>
        </w:tc>
        <w:tc>
          <w:tcPr>
            <w:tcW w:w="1114" w:type="dxa"/>
            <w:tcBorders>
              <w:top w:val="nil"/>
              <w:left w:val="single" w:sz="8" w:space="0" w:color="auto"/>
              <w:bottom w:val="nil"/>
              <w:right w:val="single" w:sz="8" w:space="0" w:color="auto"/>
            </w:tcBorders>
            <w:shd w:val="clear" w:color="auto" w:fill="auto"/>
            <w:vAlign w:val="center"/>
          </w:tcPr>
          <w:p w14:paraId="7AF7132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73A62A2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$2,697</w:t>
            </w:r>
          </w:p>
        </w:tc>
        <w:tc>
          <w:tcPr>
            <w:tcW w:w="1113" w:type="dxa"/>
            <w:tcBorders>
              <w:top w:val="nil"/>
              <w:left w:val="single" w:sz="8" w:space="0" w:color="auto"/>
              <w:bottom w:val="nil"/>
              <w:right w:val="single" w:sz="8" w:space="0" w:color="auto"/>
            </w:tcBorders>
            <w:shd w:val="clear" w:color="auto" w:fill="auto"/>
            <w:vAlign w:val="center"/>
          </w:tcPr>
          <w:p w14:paraId="48AD52A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$22,913</w:t>
            </w:r>
          </w:p>
        </w:tc>
        <w:tc>
          <w:tcPr>
            <w:tcW w:w="1114" w:type="dxa"/>
            <w:tcBorders>
              <w:top w:val="nil"/>
              <w:left w:val="single" w:sz="8" w:space="0" w:color="auto"/>
              <w:bottom w:val="nil"/>
              <w:right w:val="single" w:sz="8" w:space="0" w:color="auto"/>
            </w:tcBorders>
            <w:shd w:val="clear" w:color="auto" w:fill="auto"/>
            <w:vAlign w:val="center"/>
          </w:tcPr>
          <w:p w14:paraId="3C49653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$6,764</w:t>
            </w:r>
          </w:p>
        </w:tc>
        <w:tc>
          <w:tcPr>
            <w:tcW w:w="1114" w:type="dxa"/>
            <w:tcBorders>
              <w:top w:val="nil"/>
              <w:left w:val="single" w:sz="8" w:space="0" w:color="auto"/>
              <w:bottom w:val="nil"/>
              <w:right w:val="single" w:sz="8" w:space="0" w:color="auto"/>
            </w:tcBorders>
            <w:shd w:val="clear" w:color="auto" w:fill="auto"/>
            <w:vAlign w:val="center"/>
          </w:tcPr>
          <w:p w14:paraId="66BD4C9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07312E7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r>
      <w:tr w:rsidR="00C22FE0" w:rsidRPr="00C22FE0" w14:paraId="76DDDCB8"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5B324C5E"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Total costs including productivity losses     </w:t>
            </w:r>
          </w:p>
        </w:tc>
        <w:tc>
          <w:tcPr>
            <w:tcW w:w="1113" w:type="dxa"/>
            <w:tcBorders>
              <w:top w:val="nil"/>
              <w:left w:val="single" w:sz="8" w:space="0" w:color="auto"/>
              <w:bottom w:val="nil"/>
              <w:right w:val="single" w:sz="8" w:space="0" w:color="auto"/>
            </w:tcBorders>
            <w:shd w:val="clear" w:color="auto" w:fill="auto"/>
            <w:vAlign w:val="center"/>
          </w:tcPr>
          <w:p w14:paraId="33A8923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$2,911,539</w:t>
            </w:r>
          </w:p>
        </w:tc>
        <w:tc>
          <w:tcPr>
            <w:tcW w:w="1114" w:type="dxa"/>
            <w:tcBorders>
              <w:top w:val="nil"/>
              <w:left w:val="single" w:sz="8" w:space="0" w:color="auto"/>
              <w:bottom w:val="nil"/>
              <w:right w:val="single" w:sz="8" w:space="0" w:color="auto"/>
            </w:tcBorders>
            <w:shd w:val="clear" w:color="auto" w:fill="auto"/>
            <w:vAlign w:val="center"/>
          </w:tcPr>
          <w:p w14:paraId="64FDCFD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$12,707,975</w:t>
            </w:r>
          </w:p>
        </w:tc>
        <w:tc>
          <w:tcPr>
            <w:tcW w:w="1114" w:type="dxa"/>
            <w:tcBorders>
              <w:top w:val="nil"/>
              <w:left w:val="single" w:sz="8" w:space="0" w:color="auto"/>
              <w:bottom w:val="nil"/>
              <w:right w:val="single" w:sz="8" w:space="0" w:color="auto"/>
            </w:tcBorders>
            <w:shd w:val="clear" w:color="auto" w:fill="auto"/>
            <w:vAlign w:val="center"/>
          </w:tcPr>
          <w:p w14:paraId="781B9471"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$20,220,694</w:t>
            </w:r>
          </w:p>
        </w:tc>
        <w:tc>
          <w:tcPr>
            <w:tcW w:w="1113" w:type="dxa"/>
            <w:tcBorders>
              <w:top w:val="nil"/>
              <w:left w:val="single" w:sz="8" w:space="0" w:color="auto"/>
              <w:bottom w:val="nil"/>
              <w:right w:val="single" w:sz="8" w:space="0" w:color="auto"/>
            </w:tcBorders>
            <w:shd w:val="clear" w:color="auto" w:fill="auto"/>
            <w:vAlign w:val="center"/>
          </w:tcPr>
          <w:p w14:paraId="551AA05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$5,475,434</w:t>
            </w:r>
          </w:p>
        </w:tc>
        <w:tc>
          <w:tcPr>
            <w:tcW w:w="1114" w:type="dxa"/>
            <w:tcBorders>
              <w:top w:val="nil"/>
              <w:left w:val="single" w:sz="8" w:space="0" w:color="auto"/>
              <w:bottom w:val="nil"/>
              <w:right w:val="single" w:sz="8" w:space="0" w:color="auto"/>
            </w:tcBorders>
            <w:shd w:val="clear" w:color="auto" w:fill="auto"/>
            <w:vAlign w:val="center"/>
          </w:tcPr>
          <w:p w14:paraId="798736F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$19,964,744</w:t>
            </w:r>
          </w:p>
        </w:tc>
        <w:tc>
          <w:tcPr>
            <w:tcW w:w="1114" w:type="dxa"/>
            <w:tcBorders>
              <w:top w:val="nil"/>
              <w:left w:val="single" w:sz="8" w:space="0" w:color="auto"/>
              <w:bottom w:val="nil"/>
              <w:right w:val="single" w:sz="8" w:space="0" w:color="auto"/>
            </w:tcBorders>
            <w:shd w:val="clear" w:color="auto" w:fill="auto"/>
            <w:vAlign w:val="center"/>
          </w:tcPr>
          <w:p w14:paraId="5353EB5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$19,855,211</w:t>
            </w:r>
          </w:p>
        </w:tc>
        <w:tc>
          <w:tcPr>
            <w:tcW w:w="1114" w:type="dxa"/>
            <w:tcBorders>
              <w:top w:val="nil"/>
              <w:left w:val="single" w:sz="8" w:space="0" w:color="auto"/>
              <w:bottom w:val="nil"/>
              <w:right w:val="single" w:sz="8" w:space="0" w:color="auto"/>
            </w:tcBorders>
            <w:shd w:val="clear" w:color="auto" w:fill="auto"/>
            <w:vAlign w:val="center"/>
          </w:tcPr>
          <w:p w14:paraId="5577FAD0"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$19,290,255</w:t>
            </w:r>
          </w:p>
        </w:tc>
      </w:tr>
      <w:tr w:rsidR="00C22FE0" w:rsidRPr="00C22FE0" w14:paraId="3F67FD42"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386972E9"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Costs per QALY    </w:t>
            </w:r>
          </w:p>
          <w:p w14:paraId="406A160F"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gained</w:t>
            </w:r>
          </w:p>
        </w:tc>
        <w:tc>
          <w:tcPr>
            <w:tcW w:w="1113" w:type="dxa"/>
            <w:tcBorders>
              <w:top w:val="nil"/>
              <w:left w:val="single" w:sz="8" w:space="0" w:color="auto"/>
              <w:bottom w:val="nil"/>
              <w:right w:val="single" w:sz="8" w:space="0" w:color="auto"/>
            </w:tcBorders>
            <w:shd w:val="clear" w:color="auto" w:fill="auto"/>
            <w:vAlign w:val="center"/>
          </w:tcPr>
          <w:p w14:paraId="40DD06E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w:t>
            </w:r>
          </w:p>
        </w:tc>
        <w:tc>
          <w:tcPr>
            <w:tcW w:w="1114" w:type="dxa"/>
            <w:tcBorders>
              <w:top w:val="nil"/>
              <w:left w:val="single" w:sz="8" w:space="0" w:color="auto"/>
              <w:bottom w:val="nil"/>
              <w:right w:val="single" w:sz="8" w:space="0" w:color="auto"/>
            </w:tcBorders>
            <w:shd w:val="clear" w:color="auto" w:fill="auto"/>
            <w:vAlign w:val="center"/>
          </w:tcPr>
          <w:p w14:paraId="7A5DBFE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7996E1E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3" w:type="dxa"/>
            <w:tcBorders>
              <w:top w:val="nil"/>
              <w:left w:val="single" w:sz="8" w:space="0" w:color="auto"/>
              <w:bottom w:val="nil"/>
              <w:right w:val="single" w:sz="8" w:space="0" w:color="auto"/>
            </w:tcBorders>
            <w:shd w:val="clear" w:color="auto" w:fill="auto"/>
            <w:vAlign w:val="center"/>
          </w:tcPr>
          <w:p w14:paraId="2C65E3C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5BE09A1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528553A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5FE716F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r>
      <w:tr w:rsidR="00C22FE0" w:rsidRPr="00C22FE0" w14:paraId="6D0A444A"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136BA16C" w14:textId="77777777" w:rsidR="00C22FE0" w:rsidRPr="00C22FE0" w:rsidRDefault="00C22FE0" w:rsidP="00C22FE0">
            <w:pPr>
              <w:snapToGrid w:val="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231C7AE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16A40BD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2E67371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48B903C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7CD20F3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219F178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6F56B92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p>
        </w:tc>
      </w:tr>
      <w:tr w:rsidR="00C22FE0" w:rsidRPr="00C22FE0" w14:paraId="2D80EF47"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3DEAC863"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Therapist-supported </w:t>
            </w:r>
            <w:proofErr w:type="spellStart"/>
            <w:r w:rsidRPr="00C22FE0">
              <w:rPr>
                <w:rFonts w:ascii="Calibri" w:hAnsi="Calibri" w:cs="Calibri"/>
                <w:color w:val="000000"/>
                <w:sz w:val="16"/>
                <w:szCs w:val="16"/>
                <w:lang w:eastAsia="en-AU"/>
              </w:rPr>
              <w:t>treatment</w:t>
            </w:r>
            <w:r w:rsidRPr="00C22FE0">
              <w:rPr>
                <w:rFonts w:asciiTheme="minorHAnsi" w:hAnsiTheme="minorHAnsi" w:cstheme="minorHAnsi"/>
                <w:sz w:val="16"/>
                <w:szCs w:val="16"/>
                <w:vertAlign w:val="superscript"/>
                <w:lang w:eastAsia="en-US"/>
              </w:rPr>
              <w:t>b</w:t>
            </w:r>
            <w:proofErr w:type="spellEnd"/>
          </w:p>
        </w:tc>
        <w:tc>
          <w:tcPr>
            <w:tcW w:w="1113" w:type="dxa"/>
            <w:tcBorders>
              <w:top w:val="nil"/>
              <w:left w:val="single" w:sz="8" w:space="0" w:color="auto"/>
              <w:bottom w:val="nil"/>
              <w:right w:val="single" w:sz="8" w:space="0" w:color="auto"/>
            </w:tcBorders>
            <w:shd w:val="clear" w:color="auto" w:fill="auto"/>
            <w:vAlign w:val="center"/>
          </w:tcPr>
          <w:p w14:paraId="7316616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3CA33AF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5D1985C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3" w:type="dxa"/>
            <w:tcBorders>
              <w:top w:val="nil"/>
              <w:left w:val="single" w:sz="8" w:space="0" w:color="auto"/>
              <w:bottom w:val="nil"/>
              <w:right w:val="single" w:sz="8" w:space="0" w:color="auto"/>
            </w:tcBorders>
            <w:shd w:val="clear" w:color="auto" w:fill="auto"/>
            <w:vAlign w:val="center"/>
          </w:tcPr>
          <w:p w14:paraId="372DBC5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709E62E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07449B2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c>
          <w:tcPr>
            <w:tcW w:w="1114" w:type="dxa"/>
            <w:tcBorders>
              <w:top w:val="nil"/>
              <w:left w:val="single" w:sz="8" w:space="0" w:color="auto"/>
              <w:bottom w:val="nil"/>
              <w:right w:val="single" w:sz="8" w:space="0" w:color="auto"/>
            </w:tcBorders>
            <w:shd w:val="clear" w:color="auto" w:fill="auto"/>
            <w:vAlign w:val="center"/>
          </w:tcPr>
          <w:p w14:paraId="6E00BDD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p>
        </w:tc>
      </w:tr>
      <w:tr w:rsidR="00C22FE0" w:rsidRPr="00C22FE0" w14:paraId="7333E0BF"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4668338F"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Input population (n)</w:t>
            </w:r>
          </w:p>
        </w:tc>
        <w:tc>
          <w:tcPr>
            <w:tcW w:w="1113" w:type="dxa"/>
            <w:tcBorders>
              <w:top w:val="nil"/>
              <w:left w:val="single" w:sz="8" w:space="0" w:color="auto"/>
              <w:bottom w:val="nil"/>
              <w:right w:val="single" w:sz="8" w:space="0" w:color="auto"/>
            </w:tcBorders>
            <w:shd w:val="clear" w:color="auto" w:fill="auto"/>
            <w:vAlign w:val="center"/>
          </w:tcPr>
          <w:p w14:paraId="268EDAB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5,198</w:t>
            </w:r>
          </w:p>
        </w:tc>
        <w:tc>
          <w:tcPr>
            <w:tcW w:w="1114" w:type="dxa"/>
            <w:tcBorders>
              <w:top w:val="nil"/>
              <w:left w:val="single" w:sz="8" w:space="0" w:color="auto"/>
              <w:bottom w:val="nil"/>
              <w:right w:val="single" w:sz="8" w:space="0" w:color="auto"/>
            </w:tcBorders>
            <w:shd w:val="clear" w:color="auto" w:fill="auto"/>
            <w:vAlign w:val="center"/>
          </w:tcPr>
          <w:p w14:paraId="5168F87E"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5,198</w:t>
            </w:r>
          </w:p>
        </w:tc>
        <w:tc>
          <w:tcPr>
            <w:tcW w:w="1114" w:type="dxa"/>
            <w:tcBorders>
              <w:top w:val="nil"/>
              <w:left w:val="single" w:sz="8" w:space="0" w:color="auto"/>
              <w:bottom w:val="nil"/>
              <w:right w:val="single" w:sz="8" w:space="0" w:color="auto"/>
            </w:tcBorders>
            <w:shd w:val="clear" w:color="auto" w:fill="auto"/>
            <w:vAlign w:val="center"/>
          </w:tcPr>
          <w:p w14:paraId="4311D01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5,198</w:t>
            </w:r>
          </w:p>
        </w:tc>
        <w:tc>
          <w:tcPr>
            <w:tcW w:w="1113" w:type="dxa"/>
            <w:tcBorders>
              <w:top w:val="nil"/>
              <w:left w:val="single" w:sz="8" w:space="0" w:color="auto"/>
              <w:bottom w:val="nil"/>
              <w:right w:val="single" w:sz="8" w:space="0" w:color="auto"/>
            </w:tcBorders>
            <w:shd w:val="clear" w:color="auto" w:fill="auto"/>
            <w:vAlign w:val="center"/>
          </w:tcPr>
          <w:p w14:paraId="1D68E5C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5,198</w:t>
            </w:r>
          </w:p>
        </w:tc>
        <w:tc>
          <w:tcPr>
            <w:tcW w:w="1114" w:type="dxa"/>
            <w:tcBorders>
              <w:top w:val="nil"/>
              <w:left w:val="single" w:sz="8" w:space="0" w:color="auto"/>
              <w:bottom w:val="nil"/>
              <w:right w:val="single" w:sz="8" w:space="0" w:color="auto"/>
            </w:tcBorders>
            <w:shd w:val="clear" w:color="auto" w:fill="auto"/>
            <w:vAlign w:val="center"/>
          </w:tcPr>
          <w:p w14:paraId="5C442B4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5,198</w:t>
            </w:r>
          </w:p>
        </w:tc>
        <w:tc>
          <w:tcPr>
            <w:tcW w:w="1114" w:type="dxa"/>
            <w:tcBorders>
              <w:top w:val="nil"/>
              <w:left w:val="single" w:sz="8" w:space="0" w:color="auto"/>
              <w:bottom w:val="nil"/>
              <w:right w:val="single" w:sz="8" w:space="0" w:color="auto"/>
            </w:tcBorders>
            <w:shd w:val="clear" w:color="auto" w:fill="auto"/>
            <w:vAlign w:val="center"/>
          </w:tcPr>
          <w:p w14:paraId="3E3D4C23"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5,198</w:t>
            </w:r>
          </w:p>
        </w:tc>
        <w:tc>
          <w:tcPr>
            <w:tcW w:w="1114" w:type="dxa"/>
            <w:tcBorders>
              <w:top w:val="nil"/>
              <w:left w:val="single" w:sz="8" w:space="0" w:color="auto"/>
              <w:bottom w:val="nil"/>
              <w:right w:val="single" w:sz="8" w:space="0" w:color="auto"/>
            </w:tcBorders>
            <w:shd w:val="clear" w:color="auto" w:fill="auto"/>
            <w:vAlign w:val="center"/>
          </w:tcPr>
          <w:p w14:paraId="509EB28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5,198</w:t>
            </w:r>
          </w:p>
        </w:tc>
      </w:tr>
      <w:tr w:rsidR="00C22FE0" w:rsidRPr="00C22FE0" w14:paraId="2B6983A7"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2841FB52"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Fully recovered (n)</w:t>
            </w:r>
          </w:p>
        </w:tc>
        <w:tc>
          <w:tcPr>
            <w:tcW w:w="1113" w:type="dxa"/>
            <w:tcBorders>
              <w:top w:val="nil"/>
              <w:left w:val="single" w:sz="8" w:space="0" w:color="auto"/>
              <w:bottom w:val="nil"/>
              <w:right w:val="single" w:sz="8" w:space="0" w:color="auto"/>
            </w:tcBorders>
            <w:shd w:val="clear" w:color="auto" w:fill="auto"/>
            <w:vAlign w:val="center"/>
          </w:tcPr>
          <w:p w14:paraId="06533D0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2,911</w:t>
            </w:r>
          </w:p>
        </w:tc>
        <w:tc>
          <w:tcPr>
            <w:tcW w:w="1114" w:type="dxa"/>
            <w:tcBorders>
              <w:top w:val="nil"/>
              <w:left w:val="single" w:sz="8" w:space="0" w:color="auto"/>
              <w:bottom w:val="nil"/>
              <w:right w:val="single" w:sz="8" w:space="0" w:color="auto"/>
            </w:tcBorders>
            <w:shd w:val="clear" w:color="auto" w:fill="auto"/>
            <w:vAlign w:val="center"/>
          </w:tcPr>
          <w:p w14:paraId="4259E16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577</w:t>
            </w:r>
          </w:p>
        </w:tc>
        <w:tc>
          <w:tcPr>
            <w:tcW w:w="1114" w:type="dxa"/>
            <w:tcBorders>
              <w:top w:val="nil"/>
              <w:left w:val="single" w:sz="8" w:space="0" w:color="auto"/>
              <w:bottom w:val="nil"/>
              <w:right w:val="single" w:sz="8" w:space="0" w:color="auto"/>
            </w:tcBorders>
            <w:shd w:val="clear" w:color="auto" w:fill="auto"/>
            <w:vAlign w:val="center"/>
          </w:tcPr>
          <w:p w14:paraId="0D2929C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577</w:t>
            </w:r>
          </w:p>
        </w:tc>
        <w:tc>
          <w:tcPr>
            <w:tcW w:w="1113" w:type="dxa"/>
            <w:tcBorders>
              <w:top w:val="nil"/>
              <w:left w:val="single" w:sz="8" w:space="0" w:color="auto"/>
              <w:bottom w:val="nil"/>
              <w:right w:val="single" w:sz="8" w:space="0" w:color="auto"/>
            </w:tcBorders>
            <w:shd w:val="clear" w:color="auto" w:fill="auto"/>
            <w:vAlign w:val="center"/>
          </w:tcPr>
          <w:p w14:paraId="7F346658"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577</w:t>
            </w:r>
          </w:p>
        </w:tc>
        <w:tc>
          <w:tcPr>
            <w:tcW w:w="1114" w:type="dxa"/>
            <w:tcBorders>
              <w:top w:val="nil"/>
              <w:left w:val="single" w:sz="8" w:space="0" w:color="auto"/>
              <w:bottom w:val="nil"/>
              <w:right w:val="single" w:sz="8" w:space="0" w:color="auto"/>
            </w:tcBorders>
            <w:shd w:val="clear" w:color="auto" w:fill="auto"/>
            <w:vAlign w:val="center"/>
          </w:tcPr>
          <w:p w14:paraId="184740DF"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577</w:t>
            </w:r>
          </w:p>
        </w:tc>
        <w:tc>
          <w:tcPr>
            <w:tcW w:w="1114" w:type="dxa"/>
            <w:tcBorders>
              <w:top w:val="nil"/>
              <w:left w:val="single" w:sz="8" w:space="0" w:color="auto"/>
              <w:bottom w:val="nil"/>
              <w:right w:val="single" w:sz="8" w:space="0" w:color="auto"/>
            </w:tcBorders>
            <w:shd w:val="clear" w:color="auto" w:fill="auto"/>
            <w:vAlign w:val="center"/>
          </w:tcPr>
          <w:p w14:paraId="00906B1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577</w:t>
            </w:r>
          </w:p>
        </w:tc>
        <w:tc>
          <w:tcPr>
            <w:tcW w:w="1114" w:type="dxa"/>
            <w:tcBorders>
              <w:top w:val="nil"/>
              <w:left w:val="single" w:sz="8" w:space="0" w:color="auto"/>
              <w:bottom w:val="nil"/>
              <w:right w:val="single" w:sz="8" w:space="0" w:color="auto"/>
            </w:tcBorders>
            <w:shd w:val="clear" w:color="auto" w:fill="auto"/>
            <w:vAlign w:val="center"/>
          </w:tcPr>
          <w:p w14:paraId="3F689D5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577</w:t>
            </w:r>
          </w:p>
        </w:tc>
      </w:tr>
      <w:tr w:rsidR="00C22FE0" w:rsidRPr="00C22FE0" w14:paraId="38DD60E1"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09EC6993"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Partially recovered (n)</w:t>
            </w:r>
          </w:p>
        </w:tc>
        <w:tc>
          <w:tcPr>
            <w:tcW w:w="1113" w:type="dxa"/>
            <w:tcBorders>
              <w:top w:val="nil"/>
              <w:left w:val="single" w:sz="8" w:space="0" w:color="auto"/>
              <w:bottom w:val="nil"/>
              <w:right w:val="single" w:sz="8" w:space="0" w:color="auto"/>
            </w:tcBorders>
            <w:shd w:val="clear" w:color="auto" w:fill="auto"/>
            <w:vAlign w:val="center"/>
          </w:tcPr>
          <w:p w14:paraId="4D9ADFF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988</w:t>
            </w:r>
          </w:p>
        </w:tc>
        <w:tc>
          <w:tcPr>
            <w:tcW w:w="1114" w:type="dxa"/>
            <w:tcBorders>
              <w:top w:val="nil"/>
              <w:left w:val="single" w:sz="8" w:space="0" w:color="auto"/>
              <w:bottom w:val="nil"/>
              <w:right w:val="single" w:sz="8" w:space="0" w:color="auto"/>
            </w:tcBorders>
            <w:shd w:val="clear" w:color="auto" w:fill="auto"/>
            <w:vAlign w:val="center"/>
          </w:tcPr>
          <w:p w14:paraId="498E6C4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229</w:t>
            </w:r>
          </w:p>
        </w:tc>
        <w:tc>
          <w:tcPr>
            <w:tcW w:w="1114" w:type="dxa"/>
            <w:tcBorders>
              <w:top w:val="nil"/>
              <w:left w:val="single" w:sz="8" w:space="0" w:color="auto"/>
              <w:bottom w:val="nil"/>
              <w:right w:val="single" w:sz="8" w:space="0" w:color="auto"/>
            </w:tcBorders>
            <w:shd w:val="clear" w:color="auto" w:fill="auto"/>
            <w:vAlign w:val="center"/>
          </w:tcPr>
          <w:p w14:paraId="77DCDB6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229</w:t>
            </w:r>
          </w:p>
        </w:tc>
        <w:tc>
          <w:tcPr>
            <w:tcW w:w="1113" w:type="dxa"/>
            <w:tcBorders>
              <w:top w:val="nil"/>
              <w:left w:val="single" w:sz="8" w:space="0" w:color="auto"/>
              <w:bottom w:val="nil"/>
              <w:right w:val="single" w:sz="8" w:space="0" w:color="auto"/>
            </w:tcBorders>
            <w:shd w:val="clear" w:color="auto" w:fill="auto"/>
            <w:vAlign w:val="center"/>
          </w:tcPr>
          <w:p w14:paraId="6EDAB33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229</w:t>
            </w:r>
          </w:p>
        </w:tc>
        <w:tc>
          <w:tcPr>
            <w:tcW w:w="1114" w:type="dxa"/>
            <w:tcBorders>
              <w:top w:val="nil"/>
              <w:left w:val="single" w:sz="8" w:space="0" w:color="auto"/>
              <w:bottom w:val="nil"/>
              <w:right w:val="single" w:sz="8" w:space="0" w:color="auto"/>
            </w:tcBorders>
            <w:shd w:val="clear" w:color="auto" w:fill="auto"/>
            <w:vAlign w:val="center"/>
          </w:tcPr>
          <w:p w14:paraId="571973D5"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229</w:t>
            </w:r>
          </w:p>
        </w:tc>
        <w:tc>
          <w:tcPr>
            <w:tcW w:w="1114" w:type="dxa"/>
            <w:tcBorders>
              <w:top w:val="nil"/>
              <w:left w:val="single" w:sz="8" w:space="0" w:color="auto"/>
              <w:bottom w:val="nil"/>
              <w:right w:val="single" w:sz="8" w:space="0" w:color="auto"/>
            </w:tcBorders>
            <w:shd w:val="clear" w:color="auto" w:fill="auto"/>
            <w:vAlign w:val="center"/>
          </w:tcPr>
          <w:p w14:paraId="067D972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229</w:t>
            </w:r>
          </w:p>
        </w:tc>
        <w:tc>
          <w:tcPr>
            <w:tcW w:w="1114" w:type="dxa"/>
            <w:tcBorders>
              <w:top w:val="nil"/>
              <w:left w:val="single" w:sz="8" w:space="0" w:color="auto"/>
              <w:bottom w:val="nil"/>
              <w:right w:val="single" w:sz="8" w:space="0" w:color="auto"/>
            </w:tcBorders>
            <w:shd w:val="clear" w:color="auto" w:fill="auto"/>
            <w:vAlign w:val="center"/>
          </w:tcPr>
          <w:p w14:paraId="1B1CBF23"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229</w:t>
            </w:r>
          </w:p>
        </w:tc>
      </w:tr>
      <w:tr w:rsidR="00C22FE0" w:rsidRPr="00C22FE0" w14:paraId="342A402C"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1FDA764D"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No improvement (n)</w:t>
            </w:r>
          </w:p>
        </w:tc>
        <w:tc>
          <w:tcPr>
            <w:tcW w:w="1113" w:type="dxa"/>
            <w:tcBorders>
              <w:top w:val="nil"/>
              <w:left w:val="single" w:sz="8" w:space="0" w:color="auto"/>
              <w:bottom w:val="nil"/>
              <w:right w:val="single" w:sz="8" w:space="0" w:color="auto"/>
            </w:tcBorders>
            <w:shd w:val="clear" w:color="auto" w:fill="auto"/>
            <w:vAlign w:val="center"/>
          </w:tcPr>
          <w:p w14:paraId="1AF9244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1,092</w:t>
            </w:r>
          </w:p>
        </w:tc>
        <w:tc>
          <w:tcPr>
            <w:tcW w:w="1114" w:type="dxa"/>
            <w:tcBorders>
              <w:top w:val="nil"/>
              <w:left w:val="single" w:sz="8" w:space="0" w:color="auto"/>
              <w:bottom w:val="nil"/>
              <w:right w:val="single" w:sz="8" w:space="0" w:color="auto"/>
            </w:tcBorders>
            <w:shd w:val="clear" w:color="auto" w:fill="auto"/>
            <w:vAlign w:val="center"/>
          </w:tcPr>
          <w:p w14:paraId="62F20D30"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3,581</w:t>
            </w:r>
          </w:p>
        </w:tc>
        <w:tc>
          <w:tcPr>
            <w:tcW w:w="1114" w:type="dxa"/>
            <w:tcBorders>
              <w:top w:val="nil"/>
              <w:left w:val="single" w:sz="8" w:space="0" w:color="auto"/>
              <w:bottom w:val="nil"/>
              <w:right w:val="single" w:sz="8" w:space="0" w:color="auto"/>
            </w:tcBorders>
            <w:shd w:val="clear" w:color="auto" w:fill="auto"/>
            <w:vAlign w:val="center"/>
          </w:tcPr>
          <w:p w14:paraId="7AF0D043"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3,581</w:t>
            </w:r>
          </w:p>
        </w:tc>
        <w:tc>
          <w:tcPr>
            <w:tcW w:w="1113" w:type="dxa"/>
            <w:tcBorders>
              <w:top w:val="nil"/>
              <w:left w:val="single" w:sz="8" w:space="0" w:color="auto"/>
              <w:bottom w:val="nil"/>
              <w:right w:val="single" w:sz="8" w:space="0" w:color="auto"/>
            </w:tcBorders>
            <w:shd w:val="clear" w:color="auto" w:fill="auto"/>
            <w:vAlign w:val="center"/>
          </w:tcPr>
          <w:p w14:paraId="037294C7"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3,581</w:t>
            </w:r>
          </w:p>
        </w:tc>
        <w:tc>
          <w:tcPr>
            <w:tcW w:w="1114" w:type="dxa"/>
            <w:tcBorders>
              <w:top w:val="nil"/>
              <w:left w:val="single" w:sz="8" w:space="0" w:color="auto"/>
              <w:bottom w:val="nil"/>
              <w:right w:val="single" w:sz="8" w:space="0" w:color="auto"/>
            </w:tcBorders>
            <w:shd w:val="clear" w:color="auto" w:fill="auto"/>
            <w:vAlign w:val="center"/>
          </w:tcPr>
          <w:p w14:paraId="5DC2424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3,581</w:t>
            </w:r>
          </w:p>
        </w:tc>
        <w:tc>
          <w:tcPr>
            <w:tcW w:w="1114" w:type="dxa"/>
            <w:tcBorders>
              <w:top w:val="nil"/>
              <w:left w:val="single" w:sz="8" w:space="0" w:color="auto"/>
              <w:bottom w:val="nil"/>
              <w:right w:val="single" w:sz="8" w:space="0" w:color="auto"/>
            </w:tcBorders>
            <w:shd w:val="clear" w:color="auto" w:fill="auto"/>
            <w:vAlign w:val="center"/>
          </w:tcPr>
          <w:p w14:paraId="0075692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3,581</w:t>
            </w:r>
          </w:p>
        </w:tc>
        <w:tc>
          <w:tcPr>
            <w:tcW w:w="1114" w:type="dxa"/>
            <w:tcBorders>
              <w:top w:val="nil"/>
              <w:left w:val="single" w:sz="8" w:space="0" w:color="auto"/>
              <w:bottom w:val="nil"/>
              <w:right w:val="single" w:sz="8" w:space="0" w:color="auto"/>
            </w:tcBorders>
            <w:shd w:val="clear" w:color="auto" w:fill="auto"/>
            <w:vAlign w:val="center"/>
          </w:tcPr>
          <w:p w14:paraId="33508C7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3,581</w:t>
            </w:r>
          </w:p>
        </w:tc>
      </w:tr>
      <w:tr w:rsidR="00C22FE0" w:rsidRPr="00C22FE0" w14:paraId="069EDF6D"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53ECB622" w14:textId="77777777" w:rsidR="00C22FE0" w:rsidRPr="00C22FE0" w:rsidRDefault="00C22FE0" w:rsidP="00C22FE0">
            <w:pPr>
              <w:snapToGrid w:val="0"/>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Deteriorated (n)</w:t>
            </w:r>
          </w:p>
        </w:tc>
        <w:tc>
          <w:tcPr>
            <w:tcW w:w="1113" w:type="dxa"/>
            <w:tcBorders>
              <w:top w:val="nil"/>
              <w:left w:val="single" w:sz="8" w:space="0" w:color="auto"/>
              <w:bottom w:val="nil"/>
              <w:right w:val="single" w:sz="8" w:space="0" w:color="auto"/>
            </w:tcBorders>
            <w:shd w:val="clear" w:color="auto" w:fill="auto"/>
            <w:vAlign w:val="center"/>
          </w:tcPr>
          <w:p w14:paraId="3B1405E3"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260</w:t>
            </w:r>
          </w:p>
        </w:tc>
        <w:tc>
          <w:tcPr>
            <w:tcW w:w="1114" w:type="dxa"/>
            <w:tcBorders>
              <w:top w:val="nil"/>
              <w:left w:val="single" w:sz="8" w:space="0" w:color="auto"/>
              <w:bottom w:val="nil"/>
              <w:right w:val="single" w:sz="8" w:space="0" w:color="auto"/>
            </w:tcBorders>
            <w:shd w:val="clear" w:color="auto" w:fill="auto"/>
            <w:vAlign w:val="center"/>
          </w:tcPr>
          <w:p w14:paraId="0A32BB39"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811</w:t>
            </w:r>
          </w:p>
        </w:tc>
        <w:tc>
          <w:tcPr>
            <w:tcW w:w="1114" w:type="dxa"/>
            <w:tcBorders>
              <w:top w:val="nil"/>
              <w:left w:val="single" w:sz="8" w:space="0" w:color="auto"/>
              <w:bottom w:val="nil"/>
              <w:right w:val="single" w:sz="8" w:space="0" w:color="auto"/>
            </w:tcBorders>
            <w:shd w:val="clear" w:color="auto" w:fill="auto"/>
            <w:vAlign w:val="center"/>
          </w:tcPr>
          <w:p w14:paraId="5745207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811</w:t>
            </w:r>
          </w:p>
        </w:tc>
        <w:tc>
          <w:tcPr>
            <w:tcW w:w="1113" w:type="dxa"/>
            <w:tcBorders>
              <w:top w:val="nil"/>
              <w:left w:val="single" w:sz="8" w:space="0" w:color="auto"/>
              <w:bottom w:val="nil"/>
              <w:right w:val="single" w:sz="8" w:space="0" w:color="auto"/>
            </w:tcBorders>
            <w:shd w:val="clear" w:color="auto" w:fill="auto"/>
            <w:vAlign w:val="center"/>
          </w:tcPr>
          <w:p w14:paraId="11FA8BB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811</w:t>
            </w:r>
          </w:p>
        </w:tc>
        <w:tc>
          <w:tcPr>
            <w:tcW w:w="1114" w:type="dxa"/>
            <w:tcBorders>
              <w:top w:val="nil"/>
              <w:left w:val="single" w:sz="8" w:space="0" w:color="auto"/>
              <w:bottom w:val="nil"/>
              <w:right w:val="single" w:sz="8" w:space="0" w:color="auto"/>
            </w:tcBorders>
            <w:shd w:val="clear" w:color="auto" w:fill="auto"/>
            <w:vAlign w:val="center"/>
          </w:tcPr>
          <w:p w14:paraId="53CF685D"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811</w:t>
            </w:r>
          </w:p>
        </w:tc>
        <w:tc>
          <w:tcPr>
            <w:tcW w:w="1114" w:type="dxa"/>
            <w:tcBorders>
              <w:top w:val="nil"/>
              <w:left w:val="single" w:sz="8" w:space="0" w:color="auto"/>
              <w:bottom w:val="nil"/>
              <w:right w:val="single" w:sz="8" w:space="0" w:color="auto"/>
            </w:tcBorders>
            <w:shd w:val="clear" w:color="auto" w:fill="auto"/>
            <w:vAlign w:val="center"/>
          </w:tcPr>
          <w:p w14:paraId="56E3930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811</w:t>
            </w:r>
          </w:p>
        </w:tc>
        <w:tc>
          <w:tcPr>
            <w:tcW w:w="1114" w:type="dxa"/>
            <w:tcBorders>
              <w:top w:val="nil"/>
              <w:left w:val="single" w:sz="8" w:space="0" w:color="auto"/>
              <w:bottom w:val="nil"/>
              <w:right w:val="single" w:sz="8" w:space="0" w:color="auto"/>
            </w:tcBorders>
            <w:shd w:val="clear" w:color="auto" w:fill="auto"/>
            <w:vAlign w:val="center"/>
          </w:tcPr>
          <w:p w14:paraId="738D165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811</w:t>
            </w:r>
          </w:p>
        </w:tc>
      </w:tr>
      <w:tr w:rsidR="00C22FE0" w:rsidRPr="00C22FE0" w14:paraId="1EC58882"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17EE0795"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QALY</w:t>
            </w:r>
          </w:p>
        </w:tc>
        <w:tc>
          <w:tcPr>
            <w:tcW w:w="1113" w:type="dxa"/>
            <w:tcBorders>
              <w:top w:val="nil"/>
              <w:left w:val="single" w:sz="8" w:space="0" w:color="auto"/>
              <w:bottom w:val="nil"/>
              <w:right w:val="single" w:sz="8" w:space="0" w:color="auto"/>
            </w:tcBorders>
            <w:shd w:val="clear" w:color="auto" w:fill="auto"/>
            <w:vAlign w:val="center"/>
          </w:tcPr>
          <w:p w14:paraId="21A58E56"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4,362</w:t>
            </w:r>
          </w:p>
        </w:tc>
        <w:tc>
          <w:tcPr>
            <w:tcW w:w="1114" w:type="dxa"/>
            <w:tcBorders>
              <w:top w:val="nil"/>
              <w:left w:val="single" w:sz="8" w:space="0" w:color="auto"/>
              <w:bottom w:val="nil"/>
              <w:right w:val="single" w:sz="8" w:space="0" w:color="auto"/>
            </w:tcBorders>
            <w:shd w:val="clear" w:color="auto" w:fill="auto"/>
            <w:vAlign w:val="center"/>
          </w:tcPr>
          <w:p w14:paraId="67523D5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4,054</w:t>
            </w:r>
          </w:p>
        </w:tc>
        <w:tc>
          <w:tcPr>
            <w:tcW w:w="1114" w:type="dxa"/>
            <w:tcBorders>
              <w:top w:val="nil"/>
              <w:left w:val="single" w:sz="8" w:space="0" w:color="auto"/>
              <w:bottom w:val="nil"/>
              <w:right w:val="single" w:sz="8" w:space="0" w:color="auto"/>
            </w:tcBorders>
            <w:shd w:val="clear" w:color="auto" w:fill="auto"/>
            <w:vAlign w:val="center"/>
          </w:tcPr>
          <w:p w14:paraId="590883C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4,054</w:t>
            </w:r>
          </w:p>
        </w:tc>
        <w:tc>
          <w:tcPr>
            <w:tcW w:w="1113" w:type="dxa"/>
            <w:tcBorders>
              <w:top w:val="nil"/>
              <w:left w:val="single" w:sz="8" w:space="0" w:color="auto"/>
              <w:bottom w:val="nil"/>
              <w:right w:val="single" w:sz="8" w:space="0" w:color="auto"/>
            </w:tcBorders>
            <w:shd w:val="clear" w:color="auto" w:fill="auto"/>
            <w:vAlign w:val="center"/>
          </w:tcPr>
          <w:p w14:paraId="36B5551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4,054</w:t>
            </w:r>
          </w:p>
        </w:tc>
        <w:tc>
          <w:tcPr>
            <w:tcW w:w="1114" w:type="dxa"/>
            <w:tcBorders>
              <w:top w:val="nil"/>
              <w:left w:val="single" w:sz="8" w:space="0" w:color="auto"/>
              <w:bottom w:val="nil"/>
              <w:right w:val="single" w:sz="8" w:space="0" w:color="auto"/>
            </w:tcBorders>
            <w:shd w:val="clear" w:color="auto" w:fill="auto"/>
            <w:vAlign w:val="center"/>
          </w:tcPr>
          <w:p w14:paraId="658D683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4,054</w:t>
            </w:r>
          </w:p>
        </w:tc>
        <w:tc>
          <w:tcPr>
            <w:tcW w:w="1114" w:type="dxa"/>
            <w:tcBorders>
              <w:top w:val="nil"/>
              <w:left w:val="single" w:sz="8" w:space="0" w:color="auto"/>
              <w:bottom w:val="nil"/>
              <w:right w:val="single" w:sz="8" w:space="0" w:color="auto"/>
            </w:tcBorders>
            <w:shd w:val="clear" w:color="auto" w:fill="auto"/>
            <w:vAlign w:val="center"/>
          </w:tcPr>
          <w:p w14:paraId="7CE39CD5"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4,054</w:t>
            </w:r>
          </w:p>
        </w:tc>
        <w:tc>
          <w:tcPr>
            <w:tcW w:w="1114" w:type="dxa"/>
            <w:tcBorders>
              <w:top w:val="nil"/>
              <w:left w:val="single" w:sz="8" w:space="0" w:color="auto"/>
              <w:bottom w:val="nil"/>
              <w:right w:val="single" w:sz="8" w:space="0" w:color="auto"/>
            </w:tcBorders>
            <w:shd w:val="clear" w:color="auto" w:fill="auto"/>
            <w:vAlign w:val="center"/>
          </w:tcPr>
          <w:p w14:paraId="43048094"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4,054</w:t>
            </w:r>
          </w:p>
        </w:tc>
      </w:tr>
      <w:tr w:rsidR="00C22FE0" w:rsidRPr="00C22FE0" w14:paraId="3CED006F"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1B12956E"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Total costs excluding productivity losses</w:t>
            </w:r>
          </w:p>
        </w:tc>
        <w:tc>
          <w:tcPr>
            <w:tcW w:w="1113" w:type="dxa"/>
            <w:tcBorders>
              <w:top w:val="nil"/>
              <w:left w:val="single" w:sz="8" w:space="0" w:color="auto"/>
              <w:bottom w:val="nil"/>
              <w:right w:val="single" w:sz="8" w:space="0" w:color="auto"/>
            </w:tcBorders>
            <w:shd w:val="clear" w:color="auto" w:fill="auto"/>
            <w:vAlign w:val="center"/>
          </w:tcPr>
          <w:p w14:paraId="32FB6B43"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$11,139,262</w:t>
            </w:r>
          </w:p>
        </w:tc>
        <w:tc>
          <w:tcPr>
            <w:tcW w:w="1114" w:type="dxa"/>
            <w:tcBorders>
              <w:top w:val="nil"/>
              <w:left w:val="single" w:sz="8" w:space="0" w:color="auto"/>
              <w:bottom w:val="nil"/>
              <w:right w:val="single" w:sz="8" w:space="0" w:color="auto"/>
            </w:tcBorders>
            <w:shd w:val="clear" w:color="auto" w:fill="auto"/>
            <w:vAlign w:val="center"/>
          </w:tcPr>
          <w:p w14:paraId="724EBC0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$14,953,295</w:t>
            </w:r>
          </w:p>
        </w:tc>
        <w:tc>
          <w:tcPr>
            <w:tcW w:w="1114" w:type="dxa"/>
            <w:tcBorders>
              <w:top w:val="nil"/>
              <w:left w:val="single" w:sz="8" w:space="0" w:color="auto"/>
              <w:bottom w:val="nil"/>
              <w:right w:val="single" w:sz="8" w:space="0" w:color="auto"/>
            </w:tcBorders>
            <w:shd w:val="clear" w:color="auto" w:fill="auto"/>
            <w:vAlign w:val="center"/>
          </w:tcPr>
          <w:p w14:paraId="519179A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$9,646,916</w:t>
            </w:r>
          </w:p>
        </w:tc>
        <w:tc>
          <w:tcPr>
            <w:tcW w:w="1113" w:type="dxa"/>
            <w:tcBorders>
              <w:top w:val="nil"/>
              <w:left w:val="single" w:sz="8" w:space="0" w:color="auto"/>
              <w:bottom w:val="nil"/>
              <w:right w:val="single" w:sz="8" w:space="0" w:color="auto"/>
            </w:tcBorders>
            <w:shd w:val="clear" w:color="auto" w:fill="auto"/>
            <w:vAlign w:val="center"/>
          </w:tcPr>
          <w:p w14:paraId="54F57674"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$3,433,851</w:t>
            </w:r>
          </w:p>
        </w:tc>
        <w:tc>
          <w:tcPr>
            <w:tcW w:w="1114" w:type="dxa"/>
            <w:tcBorders>
              <w:top w:val="nil"/>
              <w:left w:val="single" w:sz="8" w:space="0" w:color="auto"/>
              <w:bottom w:val="nil"/>
              <w:right w:val="single" w:sz="8" w:space="0" w:color="auto"/>
            </w:tcBorders>
            <w:shd w:val="clear" w:color="auto" w:fill="auto"/>
            <w:vAlign w:val="center"/>
          </w:tcPr>
          <w:p w14:paraId="67CE181B"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$8,396,797</w:t>
            </w:r>
          </w:p>
        </w:tc>
        <w:tc>
          <w:tcPr>
            <w:tcW w:w="1114" w:type="dxa"/>
            <w:tcBorders>
              <w:top w:val="nil"/>
              <w:left w:val="single" w:sz="8" w:space="0" w:color="auto"/>
              <w:bottom w:val="nil"/>
              <w:right w:val="single" w:sz="8" w:space="0" w:color="auto"/>
            </w:tcBorders>
            <w:shd w:val="clear" w:color="auto" w:fill="auto"/>
            <w:vAlign w:val="center"/>
          </w:tcPr>
          <w:p w14:paraId="687FA716"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$26,333,224</w:t>
            </w:r>
          </w:p>
        </w:tc>
        <w:tc>
          <w:tcPr>
            <w:tcW w:w="1114" w:type="dxa"/>
            <w:tcBorders>
              <w:top w:val="nil"/>
              <w:left w:val="single" w:sz="8" w:space="0" w:color="auto"/>
              <w:bottom w:val="nil"/>
              <w:right w:val="single" w:sz="8" w:space="0" w:color="auto"/>
            </w:tcBorders>
            <w:shd w:val="clear" w:color="auto" w:fill="auto"/>
            <w:vAlign w:val="center"/>
          </w:tcPr>
          <w:p w14:paraId="0439EAAF"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$14,1216,15</w:t>
            </w:r>
          </w:p>
        </w:tc>
      </w:tr>
      <w:tr w:rsidR="00C22FE0" w:rsidRPr="00C22FE0" w14:paraId="4D0B0484"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6B367963"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Costs per QALY </w:t>
            </w:r>
          </w:p>
          <w:p w14:paraId="23DBCDB7"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gained</w:t>
            </w:r>
          </w:p>
        </w:tc>
        <w:tc>
          <w:tcPr>
            <w:tcW w:w="1113" w:type="dxa"/>
            <w:tcBorders>
              <w:top w:val="nil"/>
              <w:left w:val="single" w:sz="8" w:space="0" w:color="auto"/>
              <w:bottom w:val="nil"/>
              <w:right w:val="single" w:sz="8" w:space="0" w:color="auto"/>
            </w:tcBorders>
            <w:shd w:val="clear" w:color="auto" w:fill="auto"/>
            <w:vAlign w:val="center"/>
          </w:tcPr>
          <w:p w14:paraId="426FBDF9"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w:t>
            </w:r>
          </w:p>
        </w:tc>
        <w:tc>
          <w:tcPr>
            <w:tcW w:w="1114" w:type="dxa"/>
            <w:tcBorders>
              <w:top w:val="nil"/>
              <w:left w:val="single" w:sz="8" w:space="0" w:color="auto"/>
              <w:bottom w:val="nil"/>
              <w:right w:val="single" w:sz="8" w:space="0" w:color="auto"/>
            </w:tcBorders>
            <w:shd w:val="clear" w:color="auto" w:fill="auto"/>
            <w:vAlign w:val="center"/>
          </w:tcPr>
          <w:p w14:paraId="53D7C0C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170BDC3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$4,856</w:t>
            </w:r>
          </w:p>
        </w:tc>
        <w:tc>
          <w:tcPr>
            <w:tcW w:w="1113" w:type="dxa"/>
            <w:tcBorders>
              <w:top w:val="nil"/>
              <w:left w:val="single" w:sz="8" w:space="0" w:color="auto"/>
              <w:bottom w:val="nil"/>
              <w:right w:val="single" w:sz="8" w:space="0" w:color="auto"/>
            </w:tcBorders>
            <w:shd w:val="clear" w:color="auto" w:fill="auto"/>
            <w:vAlign w:val="center"/>
          </w:tcPr>
          <w:p w14:paraId="3D0C648D"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$25,073</w:t>
            </w:r>
          </w:p>
        </w:tc>
        <w:tc>
          <w:tcPr>
            <w:tcW w:w="1114" w:type="dxa"/>
            <w:tcBorders>
              <w:top w:val="nil"/>
              <w:left w:val="single" w:sz="8" w:space="0" w:color="auto"/>
              <w:bottom w:val="nil"/>
              <w:right w:val="single" w:sz="8" w:space="0" w:color="auto"/>
            </w:tcBorders>
            <w:shd w:val="clear" w:color="auto" w:fill="auto"/>
            <w:vAlign w:val="center"/>
          </w:tcPr>
          <w:p w14:paraId="1F7A5A0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$8,924</w:t>
            </w:r>
          </w:p>
        </w:tc>
        <w:tc>
          <w:tcPr>
            <w:tcW w:w="1114" w:type="dxa"/>
            <w:tcBorders>
              <w:top w:val="nil"/>
              <w:left w:val="single" w:sz="8" w:space="0" w:color="auto"/>
              <w:bottom w:val="nil"/>
              <w:right w:val="single" w:sz="8" w:space="0" w:color="auto"/>
            </w:tcBorders>
            <w:shd w:val="clear" w:color="auto" w:fill="auto"/>
            <w:vAlign w:val="center"/>
          </w:tcPr>
          <w:p w14:paraId="33DB979B"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nil"/>
              <w:right w:val="single" w:sz="8" w:space="0" w:color="auto"/>
            </w:tcBorders>
            <w:shd w:val="clear" w:color="auto" w:fill="auto"/>
            <w:vAlign w:val="center"/>
          </w:tcPr>
          <w:p w14:paraId="0A53D47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r>
      <w:tr w:rsidR="00C22FE0" w:rsidRPr="00C22FE0" w14:paraId="329FF025" w14:textId="77777777" w:rsidTr="00A56C43">
        <w:trPr>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nil"/>
              <w:right w:val="single" w:sz="8" w:space="0" w:color="auto"/>
            </w:tcBorders>
            <w:shd w:val="clear" w:color="auto" w:fill="auto"/>
            <w:noWrap/>
            <w:vAlign w:val="center"/>
          </w:tcPr>
          <w:p w14:paraId="3AB91EA2"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Total costs including productivity losses     </w:t>
            </w:r>
          </w:p>
        </w:tc>
        <w:tc>
          <w:tcPr>
            <w:tcW w:w="1113" w:type="dxa"/>
            <w:tcBorders>
              <w:top w:val="nil"/>
              <w:left w:val="single" w:sz="8" w:space="0" w:color="auto"/>
              <w:bottom w:val="nil"/>
              <w:right w:val="single" w:sz="8" w:space="0" w:color="auto"/>
            </w:tcBorders>
            <w:shd w:val="clear" w:color="auto" w:fill="auto"/>
            <w:vAlign w:val="center"/>
          </w:tcPr>
          <w:p w14:paraId="6AD90F28"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$14,212,580</w:t>
            </w:r>
          </w:p>
        </w:tc>
        <w:tc>
          <w:tcPr>
            <w:tcW w:w="1114" w:type="dxa"/>
            <w:tcBorders>
              <w:top w:val="nil"/>
              <w:left w:val="single" w:sz="8" w:space="0" w:color="auto"/>
              <w:bottom w:val="nil"/>
              <w:right w:val="single" w:sz="8" w:space="0" w:color="auto"/>
            </w:tcBorders>
            <w:shd w:val="clear" w:color="auto" w:fill="auto"/>
            <w:vAlign w:val="center"/>
          </w:tcPr>
          <w:p w14:paraId="2427575C"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$59,137,022</w:t>
            </w:r>
          </w:p>
        </w:tc>
        <w:tc>
          <w:tcPr>
            <w:tcW w:w="1114" w:type="dxa"/>
            <w:tcBorders>
              <w:top w:val="nil"/>
              <w:left w:val="single" w:sz="8" w:space="0" w:color="auto"/>
              <w:bottom w:val="nil"/>
              <w:right w:val="single" w:sz="8" w:space="0" w:color="auto"/>
            </w:tcBorders>
            <w:shd w:val="clear" w:color="auto" w:fill="auto"/>
            <w:vAlign w:val="center"/>
          </w:tcPr>
          <w:p w14:paraId="144F3892"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$94,097,731</w:t>
            </w:r>
          </w:p>
        </w:tc>
        <w:tc>
          <w:tcPr>
            <w:tcW w:w="1113" w:type="dxa"/>
            <w:tcBorders>
              <w:top w:val="nil"/>
              <w:left w:val="single" w:sz="8" w:space="0" w:color="auto"/>
              <w:bottom w:val="nil"/>
              <w:right w:val="single" w:sz="8" w:space="0" w:color="auto"/>
            </w:tcBorders>
            <w:shd w:val="clear" w:color="auto" w:fill="auto"/>
            <w:vAlign w:val="center"/>
          </w:tcPr>
          <w:p w14:paraId="3E39EBD7"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$25,480,128</w:t>
            </w:r>
          </w:p>
        </w:tc>
        <w:tc>
          <w:tcPr>
            <w:tcW w:w="1114" w:type="dxa"/>
            <w:tcBorders>
              <w:top w:val="nil"/>
              <w:left w:val="single" w:sz="8" w:space="0" w:color="auto"/>
              <w:bottom w:val="nil"/>
              <w:right w:val="single" w:sz="8" w:space="0" w:color="auto"/>
            </w:tcBorders>
            <w:shd w:val="clear" w:color="auto" w:fill="auto"/>
            <w:vAlign w:val="center"/>
          </w:tcPr>
          <w:p w14:paraId="4F1976C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$92,906,661</w:t>
            </w:r>
          </w:p>
        </w:tc>
        <w:tc>
          <w:tcPr>
            <w:tcW w:w="1114" w:type="dxa"/>
            <w:tcBorders>
              <w:top w:val="nil"/>
              <w:left w:val="single" w:sz="8" w:space="0" w:color="auto"/>
              <w:bottom w:val="nil"/>
              <w:right w:val="single" w:sz="8" w:space="0" w:color="auto"/>
            </w:tcBorders>
            <w:shd w:val="clear" w:color="auto" w:fill="auto"/>
            <w:vAlign w:val="center"/>
          </w:tcPr>
          <w:p w14:paraId="1EEEFB80"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$92,396,945</w:t>
            </w:r>
          </w:p>
        </w:tc>
        <w:tc>
          <w:tcPr>
            <w:tcW w:w="1114" w:type="dxa"/>
            <w:tcBorders>
              <w:top w:val="nil"/>
              <w:left w:val="single" w:sz="8" w:space="0" w:color="auto"/>
              <w:bottom w:val="nil"/>
              <w:right w:val="single" w:sz="8" w:space="0" w:color="auto"/>
            </w:tcBorders>
            <w:shd w:val="clear" w:color="auto" w:fill="auto"/>
            <w:vAlign w:val="center"/>
          </w:tcPr>
          <w:p w14:paraId="5133285A" w14:textId="77777777" w:rsidR="00C22FE0" w:rsidRPr="00C22FE0" w:rsidRDefault="00C22FE0" w:rsidP="00C22FE0">
            <w:pPr>
              <w:snapToGrid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$89,767,901</w:t>
            </w:r>
          </w:p>
        </w:tc>
      </w:tr>
      <w:tr w:rsidR="00C22FE0" w:rsidRPr="00C22FE0" w14:paraId="6CF21049" w14:textId="77777777" w:rsidTr="00A56C4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33" w:type="dxa"/>
            <w:tcBorders>
              <w:top w:val="nil"/>
              <w:left w:val="single" w:sz="8" w:space="0" w:color="auto"/>
              <w:bottom w:val="single" w:sz="4" w:space="0" w:color="auto"/>
              <w:right w:val="single" w:sz="8" w:space="0" w:color="auto"/>
            </w:tcBorders>
            <w:shd w:val="clear" w:color="auto" w:fill="auto"/>
            <w:noWrap/>
            <w:vAlign w:val="center"/>
          </w:tcPr>
          <w:p w14:paraId="3CCC810D"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Costs per QALY </w:t>
            </w:r>
          </w:p>
          <w:p w14:paraId="0C7F9FC0" w14:textId="77777777" w:rsidR="00C22FE0" w:rsidRPr="00C22FE0" w:rsidRDefault="00C22FE0" w:rsidP="00C22FE0">
            <w:pPr>
              <w:snapToGrid w:val="0"/>
              <w:ind w:left="169"/>
              <w:rPr>
                <w:rFonts w:ascii="Calibri" w:hAnsi="Calibri" w:cs="Calibri"/>
                <w:color w:val="000000"/>
                <w:sz w:val="16"/>
                <w:szCs w:val="16"/>
                <w:lang w:eastAsia="en-AU"/>
              </w:rPr>
            </w:pPr>
            <w:r w:rsidRPr="00C22FE0">
              <w:rPr>
                <w:rFonts w:ascii="Calibri" w:hAnsi="Calibri" w:cs="Calibri"/>
                <w:color w:val="000000"/>
                <w:sz w:val="16"/>
                <w:szCs w:val="16"/>
                <w:lang w:eastAsia="en-AU"/>
              </w:rPr>
              <w:t xml:space="preserve">     gained</w:t>
            </w:r>
          </w:p>
        </w:tc>
        <w:tc>
          <w:tcPr>
            <w:tcW w:w="1113" w:type="dxa"/>
            <w:tcBorders>
              <w:top w:val="nil"/>
              <w:left w:val="single" w:sz="8" w:space="0" w:color="auto"/>
              <w:bottom w:val="single" w:sz="4" w:space="0" w:color="auto"/>
              <w:right w:val="single" w:sz="8" w:space="0" w:color="auto"/>
            </w:tcBorders>
            <w:shd w:val="clear" w:color="auto" w:fill="auto"/>
            <w:vAlign w:val="center"/>
          </w:tcPr>
          <w:p w14:paraId="17203BEE"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w:t>
            </w:r>
          </w:p>
        </w:tc>
        <w:tc>
          <w:tcPr>
            <w:tcW w:w="1114" w:type="dxa"/>
            <w:tcBorders>
              <w:top w:val="nil"/>
              <w:left w:val="single" w:sz="8" w:space="0" w:color="auto"/>
              <w:bottom w:val="single" w:sz="4" w:space="0" w:color="auto"/>
              <w:right w:val="single" w:sz="8" w:space="0" w:color="auto"/>
            </w:tcBorders>
            <w:shd w:val="clear" w:color="auto" w:fill="auto"/>
            <w:vAlign w:val="center"/>
          </w:tcPr>
          <w:p w14:paraId="4AA7CF4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22C700DA"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3" w:type="dxa"/>
            <w:tcBorders>
              <w:top w:val="nil"/>
              <w:left w:val="single" w:sz="8" w:space="0" w:color="auto"/>
              <w:bottom w:val="single" w:sz="4" w:space="0" w:color="auto"/>
              <w:right w:val="single" w:sz="8" w:space="0" w:color="auto"/>
            </w:tcBorders>
            <w:shd w:val="clear" w:color="auto" w:fill="auto"/>
            <w:vAlign w:val="center"/>
          </w:tcPr>
          <w:p w14:paraId="477877EC"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739D729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8"/>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7A414312"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c>
          <w:tcPr>
            <w:tcW w:w="1114" w:type="dxa"/>
            <w:tcBorders>
              <w:top w:val="nil"/>
              <w:left w:val="single" w:sz="8" w:space="0" w:color="auto"/>
              <w:bottom w:val="single" w:sz="4" w:space="0" w:color="auto"/>
              <w:right w:val="single" w:sz="8" w:space="0" w:color="auto"/>
            </w:tcBorders>
            <w:shd w:val="clear" w:color="auto" w:fill="auto"/>
            <w:vAlign w:val="center"/>
          </w:tcPr>
          <w:p w14:paraId="34B70971" w14:textId="77777777" w:rsidR="00C22FE0" w:rsidRPr="00C22FE0" w:rsidRDefault="00C22FE0" w:rsidP="00C22FE0">
            <w:pPr>
              <w:snapToGrid w:val="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6"/>
                <w:szCs w:val="16"/>
                <w:lang w:eastAsia="en-AU"/>
              </w:rPr>
            </w:pPr>
            <w:r w:rsidRPr="00C22FE0">
              <w:rPr>
                <w:rFonts w:ascii="Calibri" w:hAnsi="Calibri" w:cs="Calibri"/>
                <w:color w:val="000000"/>
                <w:sz w:val="16"/>
                <w:szCs w:val="16"/>
                <w:lang w:eastAsia="en-AU"/>
              </w:rPr>
              <w:t>[dominant]</w:t>
            </w:r>
          </w:p>
        </w:tc>
      </w:tr>
    </w:tbl>
    <w:p w14:paraId="1D67B15D" w14:textId="77777777" w:rsidR="00C22FE0" w:rsidRPr="00C22FE0" w:rsidRDefault="00C22FE0" w:rsidP="00C22FE0">
      <w:pPr>
        <w:snapToGrid w:val="0"/>
        <w:rPr>
          <w:rFonts w:asciiTheme="minorHAnsi" w:hAnsiTheme="minorHAnsi" w:cstheme="minorHAnsi"/>
          <w:iCs/>
          <w:sz w:val="16"/>
          <w:szCs w:val="16"/>
          <w:vertAlign w:val="superscript"/>
        </w:rPr>
      </w:pPr>
      <w:r w:rsidRPr="00C22FE0">
        <w:rPr>
          <w:rFonts w:asciiTheme="minorHAnsi" w:hAnsiTheme="minorHAnsi" w:cstheme="minorHAnsi"/>
          <w:iCs/>
          <w:sz w:val="16"/>
          <w:szCs w:val="16"/>
        </w:rPr>
        <w:t>A ‘dominant’ costs per QALY gained indicates that the DMHS was found to have lower costs and greater benefits.</w:t>
      </w:r>
    </w:p>
    <w:p w14:paraId="2E0C058B" w14:textId="5497BC40" w:rsidR="00C22FE0" w:rsidRPr="00C22FE0" w:rsidRDefault="00C22FE0" w:rsidP="00C22FE0">
      <w:pPr>
        <w:snapToGrid w:val="0"/>
        <w:rPr>
          <w:rFonts w:asciiTheme="minorHAnsi" w:hAnsiTheme="minorHAnsi" w:cstheme="minorHAnsi"/>
          <w:iCs/>
          <w:sz w:val="16"/>
          <w:szCs w:val="16"/>
        </w:rPr>
      </w:pPr>
      <w:proofErr w:type="spellStart"/>
      <w:r w:rsidRPr="00C22FE0">
        <w:rPr>
          <w:rFonts w:asciiTheme="minorHAnsi" w:hAnsiTheme="minorHAnsi" w:cstheme="minorHAnsi"/>
          <w:iCs/>
          <w:sz w:val="16"/>
          <w:szCs w:val="16"/>
          <w:vertAlign w:val="superscript"/>
        </w:rPr>
        <w:t>a</w:t>
      </w:r>
      <w:r w:rsidRPr="00C22FE0">
        <w:rPr>
          <w:rFonts w:asciiTheme="minorHAnsi" w:hAnsiTheme="minorHAnsi" w:cstheme="minorHAnsi"/>
          <w:iCs/>
          <w:sz w:val="16"/>
          <w:szCs w:val="16"/>
        </w:rPr>
        <w:t>Based</w:t>
      </w:r>
      <w:proofErr w:type="spellEnd"/>
      <w:r w:rsidRPr="00C22FE0">
        <w:rPr>
          <w:rFonts w:asciiTheme="minorHAnsi" w:hAnsiTheme="minorHAnsi" w:cstheme="minorHAnsi"/>
          <w:iCs/>
          <w:sz w:val="16"/>
          <w:szCs w:val="16"/>
        </w:rPr>
        <w:t xml:space="preserve"> on (</w:t>
      </w:r>
      <w:proofErr w:type="spellStart"/>
      <w:r w:rsidRPr="00C22FE0">
        <w:rPr>
          <w:rFonts w:asciiTheme="minorHAnsi" w:hAnsiTheme="minorHAnsi" w:cstheme="minorHAnsi"/>
          <w:iCs/>
          <w:sz w:val="16"/>
          <w:szCs w:val="16"/>
        </w:rPr>
        <w:t>i</w:t>
      </w:r>
      <w:proofErr w:type="spellEnd"/>
      <w:r w:rsidRPr="00C22FE0">
        <w:rPr>
          <w:rFonts w:asciiTheme="minorHAnsi" w:hAnsiTheme="minorHAnsi" w:cstheme="minorHAnsi"/>
          <w:iCs/>
          <w:sz w:val="16"/>
          <w:szCs w:val="16"/>
        </w:rPr>
        <w:t xml:space="preserve">) an input population of 1,117 consumers and annual cost of service delivery per consumer as reported in Table </w:t>
      </w:r>
      <w:r w:rsidR="2994E5E7" w:rsidRPr="452D831E">
        <w:rPr>
          <w:rFonts w:asciiTheme="minorHAnsi" w:hAnsiTheme="minorHAnsi" w:cstheme="minorBidi"/>
          <w:sz w:val="16"/>
          <w:szCs w:val="16"/>
        </w:rPr>
        <w:t>54</w:t>
      </w:r>
      <w:r w:rsidRPr="00C22FE0">
        <w:rPr>
          <w:rFonts w:asciiTheme="minorHAnsi" w:hAnsiTheme="minorHAnsi" w:cstheme="minorHAnsi"/>
          <w:iCs/>
          <w:sz w:val="16"/>
          <w:szCs w:val="16"/>
        </w:rPr>
        <w:t xml:space="preserve"> and (ii) health care cost and productivity losses as reported in Table </w:t>
      </w:r>
      <w:r w:rsidR="2994E5E7" w:rsidRPr="452D831E">
        <w:rPr>
          <w:rFonts w:asciiTheme="minorHAnsi" w:hAnsiTheme="minorHAnsi" w:cstheme="minorBidi"/>
          <w:sz w:val="16"/>
          <w:szCs w:val="16"/>
        </w:rPr>
        <w:t>58</w:t>
      </w:r>
      <w:r w:rsidRPr="00C22FE0">
        <w:rPr>
          <w:rFonts w:asciiTheme="minorHAnsi" w:hAnsiTheme="minorHAnsi" w:cstheme="minorHAnsi"/>
          <w:iCs/>
          <w:sz w:val="16"/>
          <w:szCs w:val="16"/>
        </w:rPr>
        <w:t>.</w:t>
      </w:r>
    </w:p>
    <w:p w14:paraId="1E3D6749" w14:textId="06D31FC0" w:rsidR="00C70A18" w:rsidRPr="00C22FE0" w:rsidRDefault="00C22FE0" w:rsidP="00C22FE0">
      <w:pPr>
        <w:snapToGrid w:val="0"/>
        <w:rPr>
          <w:rFonts w:asciiTheme="minorHAnsi" w:hAnsiTheme="minorHAnsi" w:cstheme="minorHAnsi"/>
          <w:sz w:val="16"/>
          <w:szCs w:val="16"/>
        </w:rPr>
      </w:pPr>
      <w:proofErr w:type="spellStart"/>
      <w:r w:rsidRPr="00C22FE0">
        <w:rPr>
          <w:rFonts w:asciiTheme="minorHAnsi" w:hAnsiTheme="minorHAnsi" w:cstheme="minorHAnsi"/>
          <w:iCs/>
          <w:sz w:val="16"/>
          <w:szCs w:val="16"/>
          <w:vertAlign w:val="superscript"/>
        </w:rPr>
        <w:t>b</w:t>
      </w:r>
      <w:r w:rsidRPr="00C22FE0">
        <w:rPr>
          <w:rFonts w:asciiTheme="minorHAnsi" w:hAnsiTheme="minorHAnsi" w:cstheme="minorHAnsi"/>
          <w:iCs/>
          <w:sz w:val="16"/>
          <w:szCs w:val="16"/>
        </w:rPr>
        <w:t>B</w:t>
      </w:r>
      <w:r w:rsidRPr="00C22FE0">
        <w:rPr>
          <w:rFonts w:asciiTheme="minorHAnsi" w:hAnsiTheme="minorHAnsi" w:cstheme="minorHAnsi"/>
          <w:iCs/>
          <w:color w:val="44546A" w:themeColor="text2"/>
          <w:sz w:val="16"/>
          <w:szCs w:val="16"/>
        </w:rPr>
        <w:t>a</w:t>
      </w:r>
      <w:r w:rsidRPr="00C22FE0">
        <w:rPr>
          <w:rFonts w:asciiTheme="minorHAnsi" w:hAnsiTheme="minorHAnsi" w:cstheme="minorHAnsi"/>
          <w:iCs/>
          <w:sz w:val="16"/>
          <w:szCs w:val="16"/>
        </w:rPr>
        <w:t>sed</w:t>
      </w:r>
      <w:proofErr w:type="spellEnd"/>
      <w:r w:rsidRPr="00C22FE0">
        <w:rPr>
          <w:rFonts w:asciiTheme="minorHAnsi" w:hAnsiTheme="minorHAnsi" w:cstheme="minorHAnsi"/>
          <w:iCs/>
          <w:sz w:val="16"/>
          <w:szCs w:val="16"/>
        </w:rPr>
        <w:t xml:space="preserve"> on (</w:t>
      </w:r>
      <w:proofErr w:type="spellStart"/>
      <w:r w:rsidRPr="00C22FE0">
        <w:rPr>
          <w:rFonts w:asciiTheme="minorHAnsi" w:hAnsiTheme="minorHAnsi" w:cstheme="minorHAnsi"/>
          <w:iCs/>
          <w:sz w:val="16"/>
          <w:szCs w:val="16"/>
        </w:rPr>
        <w:t>i</w:t>
      </w:r>
      <w:proofErr w:type="spellEnd"/>
      <w:r w:rsidRPr="00C22FE0">
        <w:rPr>
          <w:rFonts w:asciiTheme="minorHAnsi" w:hAnsiTheme="minorHAnsi" w:cstheme="minorHAnsi"/>
          <w:iCs/>
          <w:sz w:val="16"/>
          <w:szCs w:val="16"/>
        </w:rPr>
        <w:t xml:space="preserve">) an input population of 5,198 consumers and annual cost of service delivery per consumer as reported in Table </w:t>
      </w:r>
      <w:r w:rsidR="2994E5E7" w:rsidRPr="452D831E">
        <w:rPr>
          <w:rFonts w:asciiTheme="minorHAnsi" w:hAnsiTheme="minorHAnsi" w:cstheme="minorBidi"/>
          <w:sz w:val="16"/>
          <w:szCs w:val="16"/>
        </w:rPr>
        <w:t>54</w:t>
      </w:r>
      <w:r w:rsidRPr="00C22FE0">
        <w:rPr>
          <w:rFonts w:asciiTheme="minorHAnsi" w:hAnsiTheme="minorHAnsi" w:cstheme="minorHAnsi"/>
          <w:iCs/>
          <w:sz w:val="16"/>
          <w:szCs w:val="16"/>
        </w:rPr>
        <w:t xml:space="preserve"> and (ii) health care cost and productivity losses as reported in Table </w:t>
      </w:r>
      <w:r w:rsidR="2994E5E7" w:rsidRPr="452D831E">
        <w:rPr>
          <w:rFonts w:asciiTheme="minorHAnsi" w:hAnsiTheme="minorHAnsi" w:cstheme="minorBidi"/>
          <w:sz w:val="16"/>
          <w:szCs w:val="16"/>
        </w:rPr>
        <w:t>58</w:t>
      </w:r>
      <w:r w:rsidRPr="00C22FE0">
        <w:rPr>
          <w:rFonts w:asciiTheme="minorHAnsi" w:hAnsiTheme="minorHAnsi" w:cstheme="minorHAnsi"/>
          <w:iCs/>
          <w:sz w:val="16"/>
          <w:szCs w:val="16"/>
        </w:rPr>
        <w:t>.</w:t>
      </w:r>
    </w:p>
    <w:sectPr w:rsidR="00C70A18" w:rsidRPr="00C22FE0" w:rsidSect="00E81E3F">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9CE5C1" w14:textId="77777777" w:rsidR="00501178" w:rsidRDefault="00501178" w:rsidP="007949A9">
      <w:r>
        <w:separator/>
      </w:r>
    </w:p>
  </w:endnote>
  <w:endnote w:type="continuationSeparator" w:id="0">
    <w:p w14:paraId="4A726519" w14:textId="77777777" w:rsidR="00501178" w:rsidRDefault="00501178" w:rsidP="007949A9">
      <w:r>
        <w:continuationSeparator/>
      </w:r>
    </w:p>
  </w:endnote>
  <w:endnote w:type="continuationNotice" w:id="1">
    <w:p w14:paraId="29F316DD" w14:textId="77777777" w:rsidR="00501178" w:rsidRDefault="00501178" w:rsidP="007949A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Shaker 2 Lancet">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Symbol">
    <w:panose1 w:val="020B0502040204020203"/>
    <w:charset w:val="00"/>
    <w:family w:val="swiss"/>
    <w:pitch w:val="variable"/>
    <w:sig w:usb0="800001E3" w:usb1="1200FFEF" w:usb2="00040000" w:usb3="00000000" w:csb0="00000001" w:csb1="00000000"/>
  </w:font>
  <w:font w:name="Angsana New">
    <w:panose1 w:val="02020603050405020304"/>
    <w:charset w:val="DE"/>
    <w:family w:val="roman"/>
    <w:pitch w:val="variable"/>
    <w:sig w:usb0="81000003" w:usb1="00000000" w:usb2="00000000" w:usb3="00000000" w:csb0="00010001"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Helvetica-Light">
    <w:altName w:val="MS Gothic"/>
    <w:charset w:val="00"/>
    <w:family w:val="swiss"/>
    <w:pitch w:val="variable"/>
    <w:sig w:usb0="800000AF" w:usb1="4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52588" w14:textId="2F910A45" w:rsidR="00A56C43" w:rsidRDefault="00A56C43" w:rsidP="007949A9">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p w14:paraId="15716BE6" w14:textId="77777777" w:rsidR="00A56C43" w:rsidRDefault="00A56C43" w:rsidP="007949A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28E8B" w14:textId="61B8E401" w:rsidR="00A56C43" w:rsidRPr="00D74BF0" w:rsidRDefault="00A56C43" w:rsidP="007949A9">
    <w:pPr>
      <w:pStyle w:val="Footer"/>
      <w:rPr>
        <w:rStyle w:val="PageNumber"/>
      </w:rPr>
    </w:pPr>
  </w:p>
  <w:p w14:paraId="57761C78" w14:textId="77777777" w:rsidR="00A56C43" w:rsidRPr="00D74BF0" w:rsidRDefault="00A56C43" w:rsidP="007949A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671A1" w14:textId="0C05747E" w:rsidR="00A56C43" w:rsidRPr="00D74BF0" w:rsidRDefault="009B3225" w:rsidP="006B73DE">
    <w:pPr>
      <w:pStyle w:val="Footer"/>
      <w:jc w:val="center"/>
      <w:rPr>
        <w:rStyle w:val="PageNumber"/>
      </w:rPr>
    </w:pPr>
    <w:sdt>
      <w:sdtPr>
        <w:rPr>
          <w:rStyle w:val="PageNumber"/>
        </w:rPr>
        <w:id w:val="631059615"/>
        <w:docPartObj>
          <w:docPartGallery w:val="Page Numbers (Bottom of Page)"/>
          <w:docPartUnique/>
        </w:docPartObj>
      </w:sdtPr>
      <w:sdtEndPr>
        <w:rPr>
          <w:rStyle w:val="PageNumber"/>
        </w:rPr>
      </w:sdtEndPr>
      <w:sdtContent>
        <w:r w:rsidR="00A56C43" w:rsidRPr="00D74BF0">
          <w:rPr>
            <w:rStyle w:val="PageNumber"/>
          </w:rPr>
          <w:fldChar w:fldCharType="begin"/>
        </w:r>
        <w:r w:rsidR="00A56C43" w:rsidRPr="00D74BF0">
          <w:rPr>
            <w:rStyle w:val="PageNumber"/>
          </w:rPr>
          <w:instrText xml:space="preserve"> PAGE </w:instrText>
        </w:r>
        <w:r w:rsidR="00A56C43" w:rsidRPr="00D74BF0">
          <w:rPr>
            <w:rStyle w:val="PageNumber"/>
          </w:rPr>
          <w:fldChar w:fldCharType="separate"/>
        </w:r>
        <w:r w:rsidR="001F5626">
          <w:rPr>
            <w:rStyle w:val="PageNumber"/>
            <w:noProof/>
          </w:rPr>
          <w:t>60</w:t>
        </w:r>
        <w:r w:rsidR="00A56C43" w:rsidRPr="00D74BF0">
          <w:rPr>
            <w:rStyle w:val="PageNumber"/>
          </w:rPr>
          <w:fldChar w:fldCharType="end"/>
        </w:r>
      </w:sdtContent>
    </w:sdt>
  </w:p>
  <w:p w14:paraId="070239C2" w14:textId="77777777" w:rsidR="00A56C43" w:rsidRDefault="00A56C43" w:rsidP="007949A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C15D42" w14:textId="77777777" w:rsidR="00501178" w:rsidRDefault="00501178" w:rsidP="007949A9">
      <w:r>
        <w:separator/>
      </w:r>
    </w:p>
  </w:footnote>
  <w:footnote w:type="continuationSeparator" w:id="0">
    <w:p w14:paraId="5E254D26" w14:textId="77777777" w:rsidR="00501178" w:rsidRDefault="00501178" w:rsidP="007949A9">
      <w:r>
        <w:continuationSeparator/>
      </w:r>
    </w:p>
  </w:footnote>
  <w:footnote w:type="continuationNotice" w:id="1">
    <w:p w14:paraId="195EA2D9" w14:textId="77777777" w:rsidR="00501178" w:rsidRDefault="00501178" w:rsidP="007949A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9F1E0" w14:textId="77777777" w:rsidR="00A56C43" w:rsidRDefault="00A56C43" w:rsidP="007949A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830"/>
      <w:gridCol w:w="2830"/>
      <w:gridCol w:w="2830"/>
    </w:tblGrid>
    <w:tr w:rsidR="00A56C43" w14:paraId="13526A02" w14:textId="77777777" w:rsidTr="00A973CF">
      <w:tc>
        <w:tcPr>
          <w:tcW w:w="2830" w:type="dxa"/>
        </w:tcPr>
        <w:p w14:paraId="10D4351B" w14:textId="77777777" w:rsidR="00A56C43" w:rsidRDefault="00A56C43" w:rsidP="007949A9">
          <w:pPr>
            <w:pStyle w:val="Header"/>
          </w:pPr>
        </w:p>
      </w:tc>
      <w:tc>
        <w:tcPr>
          <w:tcW w:w="2830" w:type="dxa"/>
        </w:tcPr>
        <w:p w14:paraId="38060694" w14:textId="77777777" w:rsidR="00A56C43" w:rsidRDefault="00A56C43" w:rsidP="007949A9">
          <w:pPr>
            <w:pStyle w:val="Header"/>
          </w:pPr>
        </w:p>
      </w:tc>
      <w:tc>
        <w:tcPr>
          <w:tcW w:w="2830" w:type="dxa"/>
        </w:tcPr>
        <w:p w14:paraId="5A373754" w14:textId="77777777" w:rsidR="00A56C43" w:rsidRDefault="00A56C43" w:rsidP="007949A9">
          <w:pPr>
            <w:pStyle w:val="Header"/>
          </w:pPr>
        </w:p>
      </w:tc>
    </w:tr>
  </w:tbl>
  <w:p w14:paraId="5BB9960F" w14:textId="77777777" w:rsidR="00A56C43" w:rsidRDefault="00A56C43" w:rsidP="007949A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27355"/>
    <w:multiLevelType w:val="hybridMultilevel"/>
    <w:tmpl w:val="8EF249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14E2E83"/>
    <w:multiLevelType w:val="hybridMultilevel"/>
    <w:tmpl w:val="40C0712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1706018"/>
    <w:multiLevelType w:val="multilevel"/>
    <w:tmpl w:val="788C2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25D5C54"/>
    <w:multiLevelType w:val="hybridMultilevel"/>
    <w:tmpl w:val="B604243A"/>
    <w:lvl w:ilvl="0" w:tplc="0C090001">
      <w:start w:val="1"/>
      <w:numFmt w:val="bullet"/>
      <w:lvlText w:val=""/>
      <w:lvlJc w:val="left"/>
      <w:pPr>
        <w:ind w:left="1636"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30C24B5"/>
    <w:multiLevelType w:val="multilevel"/>
    <w:tmpl w:val="F642CB5A"/>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4100388"/>
    <w:multiLevelType w:val="hybridMultilevel"/>
    <w:tmpl w:val="4EB600A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 w15:restartNumberingAfterBreak="0">
    <w:nsid w:val="056063C8"/>
    <w:multiLevelType w:val="hybridMultilevel"/>
    <w:tmpl w:val="86C80AA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 w15:restartNumberingAfterBreak="0">
    <w:nsid w:val="05F12A97"/>
    <w:multiLevelType w:val="hybridMultilevel"/>
    <w:tmpl w:val="3EAEF212"/>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8" w15:restartNumberingAfterBreak="0">
    <w:nsid w:val="068F5B78"/>
    <w:multiLevelType w:val="multilevel"/>
    <w:tmpl w:val="A4C48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7131539"/>
    <w:multiLevelType w:val="multilevel"/>
    <w:tmpl w:val="9F5C3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71E3F0B"/>
    <w:multiLevelType w:val="hybridMultilevel"/>
    <w:tmpl w:val="86363DD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 w15:restartNumberingAfterBreak="0">
    <w:nsid w:val="08CB01ED"/>
    <w:multiLevelType w:val="hybridMultilevel"/>
    <w:tmpl w:val="14ECEC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9011E51"/>
    <w:multiLevelType w:val="multilevel"/>
    <w:tmpl w:val="74F2C4F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9775D55"/>
    <w:multiLevelType w:val="multilevel"/>
    <w:tmpl w:val="B3229390"/>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A674F6F"/>
    <w:multiLevelType w:val="hybridMultilevel"/>
    <w:tmpl w:val="25AA54E8"/>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5" w15:restartNumberingAfterBreak="0">
    <w:nsid w:val="0AB57F96"/>
    <w:multiLevelType w:val="hybridMultilevel"/>
    <w:tmpl w:val="E36E94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B3513A6"/>
    <w:multiLevelType w:val="hybridMultilevel"/>
    <w:tmpl w:val="BBCC2BEC"/>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 w15:restartNumberingAfterBreak="0">
    <w:nsid w:val="0B4A4A66"/>
    <w:multiLevelType w:val="hybridMultilevel"/>
    <w:tmpl w:val="D200C57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8" w15:restartNumberingAfterBreak="0">
    <w:nsid w:val="0BA8560F"/>
    <w:multiLevelType w:val="multilevel"/>
    <w:tmpl w:val="C828441E"/>
    <w:lvl w:ilvl="0">
      <w:start w:val="23"/>
      <w:numFmt w:val="decimal"/>
      <w:lvlText w:val="%1."/>
      <w:lvlJc w:val="left"/>
      <w:pPr>
        <w:tabs>
          <w:tab w:val="num" w:pos="720"/>
        </w:tabs>
        <w:ind w:left="720" w:hanging="360"/>
      </w:pPr>
      <w:rPr>
        <w:rFonts w:asciiTheme="minorHAnsi" w:hAnsiTheme="minorHAnsi" w:cstheme="minorHAnsi"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0C210643"/>
    <w:multiLevelType w:val="hybridMultilevel"/>
    <w:tmpl w:val="CBA0345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0" w15:restartNumberingAfterBreak="0">
    <w:nsid w:val="0D233517"/>
    <w:multiLevelType w:val="hybridMultilevel"/>
    <w:tmpl w:val="E62823D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1" w15:restartNumberingAfterBreak="0">
    <w:nsid w:val="0D6B6C87"/>
    <w:multiLevelType w:val="multilevel"/>
    <w:tmpl w:val="A6245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0EC95DEA"/>
    <w:multiLevelType w:val="hybridMultilevel"/>
    <w:tmpl w:val="60D89C0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2364EDA"/>
    <w:multiLevelType w:val="multilevel"/>
    <w:tmpl w:val="3A424CF0"/>
    <w:lvl w:ilvl="0">
      <w:start w:val="1"/>
      <w:numFmt w:val="decimal"/>
      <w:lvlText w:val="%1."/>
      <w:lvlJc w:val="left"/>
      <w:pPr>
        <w:ind w:left="360" w:hanging="360"/>
      </w:pPr>
      <w:rPr>
        <w:rFonts w:hint="default"/>
      </w:rPr>
    </w:lvl>
    <w:lvl w:ilvl="1">
      <w:start w:val="1"/>
      <w:numFmt w:val="decimal"/>
      <w:lvlText w:val="10.%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12E45617"/>
    <w:multiLevelType w:val="hybridMultilevel"/>
    <w:tmpl w:val="01DC90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3955E87"/>
    <w:multiLevelType w:val="hybridMultilevel"/>
    <w:tmpl w:val="62E4354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6" w15:restartNumberingAfterBreak="0">
    <w:nsid w:val="13B41FA7"/>
    <w:multiLevelType w:val="multilevel"/>
    <w:tmpl w:val="F8DEEE5C"/>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14640330"/>
    <w:multiLevelType w:val="hybridMultilevel"/>
    <w:tmpl w:val="0520E3B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8" w15:restartNumberingAfterBreak="0">
    <w:nsid w:val="14C50093"/>
    <w:multiLevelType w:val="multilevel"/>
    <w:tmpl w:val="4656CB04"/>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15CF58BB"/>
    <w:multiLevelType w:val="multilevel"/>
    <w:tmpl w:val="7E340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18CF63F0"/>
    <w:multiLevelType w:val="hybridMultilevel"/>
    <w:tmpl w:val="56149322"/>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1" w15:restartNumberingAfterBreak="0">
    <w:nsid w:val="199F160C"/>
    <w:multiLevelType w:val="hybridMultilevel"/>
    <w:tmpl w:val="16D685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9A8016D"/>
    <w:multiLevelType w:val="hybridMultilevel"/>
    <w:tmpl w:val="B898388A"/>
    <w:lvl w:ilvl="0" w:tplc="08090001">
      <w:start w:val="1"/>
      <w:numFmt w:val="bullet"/>
      <w:lvlText w:val=""/>
      <w:lvlJc w:val="left"/>
      <w:pPr>
        <w:ind w:left="763" w:hanging="360"/>
      </w:pPr>
      <w:rPr>
        <w:rFonts w:ascii="Symbol" w:hAnsi="Symbol" w:hint="default"/>
      </w:rPr>
    </w:lvl>
    <w:lvl w:ilvl="1" w:tplc="08090003" w:tentative="1">
      <w:start w:val="1"/>
      <w:numFmt w:val="bullet"/>
      <w:lvlText w:val="o"/>
      <w:lvlJc w:val="left"/>
      <w:pPr>
        <w:ind w:left="1483" w:hanging="360"/>
      </w:pPr>
      <w:rPr>
        <w:rFonts w:ascii="Courier New" w:hAnsi="Courier New" w:cs="Courier New" w:hint="default"/>
      </w:rPr>
    </w:lvl>
    <w:lvl w:ilvl="2" w:tplc="08090005" w:tentative="1">
      <w:start w:val="1"/>
      <w:numFmt w:val="bullet"/>
      <w:lvlText w:val=""/>
      <w:lvlJc w:val="left"/>
      <w:pPr>
        <w:ind w:left="2203" w:hanging="360"/>
      </w:pPr>
      <w:rPr>
        <w:rFonts w:ascii="Wingdings" w:hAnsi="Wingdings" w:hint="default"/>
      </w:rPr>
    </w:lvl>
    <w:lvl w:ilvl="3" w:tplc="08090001" w:tentative="1">
      <w:start w:val="1"/>
      <w:numFmt w:val="bullet"/>
      <w:lvlText w:val=""/>
      <w:lvlJc w:val="left"/>
      <w:pPr>
        <w:ind w:left="2923" w:hanging="360"/>
      </w:pPr>
      <w:rPr>
        <w:rFonts w:ascii="Symbol" w:hAnsi="Symbol" w:hint="default"/>
      </w:rPr>
    </w:lvl>
    <w:lvl w:ilvl="4" w:tplc="08090003" w:tentative="1">
      <w:start w:val="1"/>
      <w:numFmt w:val="bullet"/>
      <w:lvlText w:val="o"/>
      <w:lvlJc w:val="left"/>
      <w:pPr>
        <w:ind w:left="3643" w:hanging="360"/>
      </w:pPr>
      <w:rPr>
        <w:rFonts w:ascii="Courier New" w:hAnsi="Courier New" w:cs="Courier New" w:hint="default"/>
      </w:rPr>
    </w:lvl>
    <w:lvl w:ilvl="5" w:tplc="08090005" w:tentative="1">
      <w:start w:val="1"/>
      <w:numFmt w:val="bullet"/>
      <w:lvlText w:val=""/>
      <w:lvlJc w:val="left"/>
      <w:pPr>
        <w:ind w:left="4363" w:hanging="360"/>
      </w:pPr>
      <w:rPr>
        <w:rFonts w:ascii="Wingdings" w:hAnsi="Wingdings" w:hint="default"/>
      </w:rPr>
    </w:lvl>
    <w:lvl w:ilvl="6" w:tplc="08090001" w:tentative="1">
      <w:start w:val="1"/>
      <w:numFmt w:val="bullet"/>
      <w:lvlText w:val=""/>
      <w:lvlJc w:val="left"/>
      <w:pPr>
        <w:ind w:left="5083" w:hanging="360"/>
      </w:pPr>
      <w:rPr>
        <w:rFonts w:ascii="Symbol" w:hAnsi="Symbol" w:hint="default"/>
      </w:rPr>
    </w:lvl>
    <w:lvl w:ilvl="7" w:tplc="08090003" w:tentative="1">
      <w:start w:val="1"/>
      <w:numFmt w:val="bullet"/>
      <w:lvlText w:val="o"/>
      <w:lvlJc w:val="left"/>
      <w:pPr>
        <w:ind w:left="5803" w:hanging="360"/>
      </w:pPr>
      <w:rPr>
        <w:rFonts w:ascii="Courier New" w:hAnsi="Courier New" w:cs="Courier New" w:hint="default"/>
      </w:rPr>
    </w:lvl>
    <w:lvl w:ilvl="8" w:tplc="08090005" w:tentative="1">
      <w:start w:val="1"/>
      <w:numFmt w:val="bullet"/>
      <w:lvlText w:val=""/>
      <w:lvlJc w:val="left"/>
      <w:pPr>
        <w:ind w:left="6523" w:hanging="360"/>
      </w:pPr>
      <w:rPr>
        <w:rFonts w:ascii="Wingdings" w:hAnsi="Wingdings" w:hint="default"/>
      </w:rPr>
    </w:lvl>
  </w:abstractNum>
  <w:abstractNum w:abstractNumId="33" w15:restartNumberingAfterBreak="0">
    <w:nsid w:val="1AA60A7B"/>
    <w:multiLevelType w:val="hybridMultilevel"/>
    <w:tmpl w:val="18B88E1C"/>
    <w:lvl w:ilvl="0" w:tplc="08090001">
      <w:start w:val="1"/>
      <w:numFmt w:val="bullet"/>
      <w:lvlText w:val=""/>
      <w:lvlJc w:val="left"/>
      <w:pPr>
        <w:ind w:left="-252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1080" w:hanging="360"/>
      </w:pPr>
      <w:rPr>
        <w:rFonts w:ascii="Wingdings" w:hAnsi="Wingdings" w:hint="default"/>
      </w:rPr>
    </w:lvl>
    <w:lvl w:ilvl="3" w:tplc="08090001" w:tentative="1">
      <w:start w:val="1"/>
      <w:numFmt w:val="bullet"/>
      <w:lvlText w:val=""/>
      <w:lvlJc w:val="left"/>
      <w:pPr>
        <w:ind w:left="-360" w:hanging="360"/>
      </w:pPr>
      <w:rPr>
        <w:rFonts w:ascii="Symbol" w:hAnsi="Symbol" w:hint="default"/>
      </w:rPr>
    </w:lvl>
    <w:lvl w:ilvl="4" w:tplc="08090003" w:tentative="1">
      <w:start w:val="1"/>
      <w:numFmt w:val="bullet"/>
      <w:lvlText w:val="o"/>
      <w:lvlJc w:val="left"/>
      <w:pPr>
        <w:ind w:left="360" w:hanging="360"/>
      </w:pPr>
      <w:rPr>
        <w:rFonts w:ascii="Courier New" w:hAnsi="Courier New" w:cs="Courier New" w:hint="default"/>
      </w:rPr>
    </w:lvl>
    <w:lvl w:ilvl="5" w:tplc="08090005" w:tentative="1">
      <w:start w:val="1"/>
      <w:numFmt w:val="bullet"/>
      <w:lvlText w:val=""/>
      <w:lvlJc w:val="left"/>
      <w:pPr>
        <w:ind w:left="1080" w:hanging="360"/>
      </w:pPr>
      <w:rPr>
        <w:rFonts w:ascii="Wingdings" w:hAnsi="Wingdings" w:hint="default"/>
      </w:rPr>
    </w:lvl>
    <w:lvl w:ilvl="6" w:tplc="08090001" w:tentative="1">
      <w:start w:val="1"/>
      <w:numFmt w:val="bullet"/>
      <w:lvlText w:val=""/>
      <w:lvlJc w:val="left"/>
      <w:pPr>
        <w:ind w:left="1800" w:hanging="360"/>
      </w:pPr>
      <w:rPr>
        <w:rFonts w:ascii="Symbol" w:hAnsi="Symbol" w:hint="default"/>
      </w:rPr>
    </w:lvl>
    <w:lvl w:ilvl="7" w:tplc="08090003" w:tentative="1">
      <w:start w:val="1"/>
      <w:numFmt w:val="bullet"/>
      <w:lvlText w:val="o"/>
      <w:lvlJc w:val="left"/>
      <w:pPr>
        <w:ind w:left="2520" w:hanging="360"/>
      </w:pPr>
      <w:rPr>
        <w:rFonts w:ascii="Courier New" w:hAnsi="Courier New" w:cs="Courier New" w:hint="default"/>
      </w:rPr>
    </w:lvl>
    <w:lvl w:ilvl="8" w:tplc="08090005" w:tentative="1">
      <w:start w:val="1"/>
      <w:numFmt w:val="bullet"/>
      <w:lvlText w:val=""/>
      <w:lvlJc w:val="left"/>
      <w:pPr>
        <w:ind w:left="3240" w:hanging="360"/>
      </w:pPr>
      <w:rPr>
        <w:rFonts w:ascii="Wingdings" w:hAnsi="Wingdings" w:hint="default"/>
      </w:rPr>
    </w:lvl>
  </w:abstractNum>
  <w:abstractNum w:abstractNumId="34" w15:restartNumberingAfterBreak="0">
    <w:nsid w:val="1C1509A6"/>
    <w:multiLevelType w:val="multilevel"/>
    <w:tmpl w:val="B0403EC8"/>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1C174482"/>
    <w:multiLevelType w:val="hybridMultilevel"/>
    <w:tmpl w:val="E1C293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1C5A528B"/>
    <w:multiLevelType w:val="hybridMultilevel"/>
    <w:tmpl w:val="BAA00040"/>
    <w:lvl w:ilvl="0" w:tplc="0C090001">
      <w:start w:val="1"/>
      <w:numFmt w:val="bullet"/>
      <w:lvlText w:val=""/>
      <w:lvlJc w:val="left"/>
      <w:pPr>
        <w:ind w:left="1080" w:hanging="360"/>
      </w:pPr>
      <w:rPr>
        <w:rFonts w:ascii="Symbol" w:hAnsi="Symbol" w:hint="default"/>
      </w:rPr>
    </w:lvl>
    <w:lvl w:ilvl="1" w:tplc="0C090001">
      <w:start w:val="1"/>
      <w:numFmt w:val="bullet"/>
      <w:lvlText w:val=""/>
      <w:lvlJc w:val="left"/>
      <w:pPr>
        <w:ind w:left="1800" w:hanging="360"/>
      </w:pPr>
      <w:rPr>
        <w:rFonts w:ascii="Symbol" w:hAnsi="Symbol"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7" w15:restartNumberingAfterBreak="0">
    <w:nsid w:val="1C8D00DD"/>
    <w:multiLevelType w:val="hybridMultilevel"/>
    <w:tmpl w:val="07349D8A"/>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 w15:restartNumberingAfterBreak="0">
    <w:nsid w:val="1CA479C4"/>
    <w:multiLevelType w:val="hybridMultilevel"/>
    <w:tmpl w:val="5B08BD46"/>
    <w:lvl w:ilvl="0" w:tplc="0C090001">
      <w:start w:val="1"/>
      <w:numFmt w:val="bullet"/>
      <w:lvlText w:val=""/>
      <w:lvlJc w:val="left"/>
      <w:pPr>
        <w:ind w:left="2346" w:hanging="360"/>
      </w:pPr>
      <w:rPr>
        <w:rFonts w:ascii="Symbol" w:hAnsi="Symbol" w:hint="default"/>
      </w:rPr>
    </w:lvl>
    <w:lvl w:ilvl="1" w:tplc="0C090003" w:tentative="1">
      <w:start w:val="1"/>
      <w:numFmt w:val="bullet"/>
      <w:lvlText w:val="o"/>
      <w:lvlJc w:val="left"/>
      <w:pPr>
        <w:ind w:left="3066" w:hanging="360"/>
      </w:pPr>
      <w:rPr>
        <w:rFonts w:ascii="Courier New" w:hAnsi="Courier New" w:cs="Courier New" w:hint="default"/>
      </w:rPr>
    </w:lvl>
    <w:lvl w:ilvl="2" w:tplc="0C090005" w:tentative="1">
      <w:start w:val="1"/>
      <w:numFmt w:val="bullet"/>
      <w:lvlText w:val=""/>
      <w:lvlJc w:val="left"/>
      <w:pPr>
        <w:ind w:left="3786" w:hanging="360"/>
      </w:pPr>
      <w:rPr>
        <w:rFonts w:ascii="Wingdings" w:hAnsi="Wingdings" w:hint="default"/>
      </w:rPr>
    </w:lvl>
    <w:lvl w:ilvl="3" w:tplc="0C090001" w:tentative="1">
      <w:start w:val="1"/>
      <w:numFmt w:val="bullet"/>
      <w:lvlText w:val=""/>
      <w:lvlJc w:val="left"/>
      <w:pPr>
        <w:ind w:left="4506" w:hanging="360"/>
      </w:pPr>
      <w:rPr>
        <w:rFonts w:ascii="Symbol" w:hAnsi="Symbol" w:hint="default"/>
      </w:rPr>
    </w:lvl>
    <w:lvl w:ilvl="4" w:tplc="0C090003" w:tentative="1">
      <w:start w:val="1"/>
      <w:numFmt w:val="bullet"/>
      <w:lvlText w:val="o"/>
      <w:lvlJc w:val="left"/>
      <w:pPr>
        <w:ind w:left="5226" w:hanging="360"/>
      </w:pPr>
      <w:rPr>
        <w:rFonts w:ascii="Courier New" w:hAnsi="Courier New" w:cs="Courier New" w:hint="default"/>
      </w:rPr>
    </w:lvl>
    <w:lvl w:ilvl="5" w:tplc="0C090005" w:tentative="1">
      <w:start w:val="1"/>
      <w:numFmt w:val="bullet"/>
      <w:lvlText w:val=""/>
      <w:lvlJc w:val="left"/>
      <w:pPr>
        <w:ind w:left="5946" w:hanging="360"/>
      </w:pPr>
      <w:rPr>
        <w:rFonts w:ascii="Wingdings" w:hAnsi="Wingdings" w:hint="default"/>
      </w:rPr>
    </w:lvl>
    <w:lvl w:ilvl="6" w:tplc="0C090001" w:tentative="1">
      <w:start w:val="1"/>
      <w:numFmt w:val="bullet"/>
      <w:lvlText w:val=""/>
      <w:lvlJc w:val="left"/>
      <w:pPr>
        <w:ind w:left="6666" w:hanging="360"/>
      </w:pPr>
      <w:rPr>
        <w:rFonts w:ascii="Symbol" w:hAnsi="Symbol" w:hint="default"/>
      </w:rPr>
    </w:lvl>
    <w:lvl w:ilvl="7" w:tplc="0C090003" w:tentative="1">
      <w:start w:val="1"/>
      <w:numFmt w:val="bullet"/>
      <w:lvlText w:val="o"/>
      <w:lvlJc w:val="left"/>
      <w:pPr>
        <w:ind w:left="7386" w:hanging="360"/>
      </w:pPr>
      <w:rPr>
        <w:rFonts w:ascii="Courier New" w:hAnsi="Courier New" w:cs="Courier New" w:hint="default"/>
      </w:rPr>
    </w:lvl>
    <w:lvl w:ilvl="8" w:tplc="0C090005" w:tentative="1">
      <w:start w:val="1"/>
      <w:numFmt w:val="bullet"/>
      <w:lvlText w:val=""/>
      <w:lvlJc w:val="left"/>
      <w:pPr>
        <w:ind w:left="8106" w:hanging="360"/>
      </w:pPr>
      <w:rPr>
        <w:rFonts w:ascii="Wingdings" w:hAnsi="Wingdings" w:hint="default"/>
      </w:rPr>
    </w:lvl>
  </w:abstractNum>
  <w:abstractNum w:abstractNumId="39" w15:restartNumberingAfterBreak="0">
    <w:nsid w:val="1EA84C2F"/>
    <w:multiLevelType w:val="hybridMultilevel"/>
    <w:tmpl w:val="F312B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1EC46F32"/>
    <w:multiLevelType w:val="multilevel"/>
    <w:tmpl w:val="2F067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1F7B73F0"/>
    <w:multiLevelType w:val="multilevel"/>
    <w:tmpl w:val="0BBA5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1FC042A0"/>
    <w:multiLevelType w:val="hybridMultilevel"/>
    <w:tmpl w:val="910AABE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3" w15:restartNumberingAfterBreak="0">
    <w:nsid w:val="20A80742"/>
    <w:multiLevelType w:val="multilevel"/>
    <w:tmpl w:val="4D867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1B14571"/>
    <w:multiLevelType w:val="multilevel"/>
    <w:tmpl w:val="73AE758E"/>
    <w:lvl w:ilvl="0">
      <w:start w:val="3"/>
      <w:numFmt w:val="decimal"/>
      <w:lvlText w:val="%1"/>
      <w:lvlJc w:val="left"/>
      <w:pPr>
        <w:ind w:left="500" w:hanging="500"/>
      </w:pPr>
      <w:rPr>
        <w:rFonts w:hint="default"/>
      </w:rPr>
    </w:lvl>
    <w:lvl w:ilvl="1">
      <w:start w:val="3"/>
      <w:numFmt w:val="decimal"/>
      <w:lvlText w:val="%1.%2"/>
      <w:lvlJc w:val="left"/>
      <w:pPr>
        <w:ind w:left="500" w:hanging="5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2288660D"/>
    <w:multiLevelType w:val="hybridMultilevel"/>
    <w:tmpl w:val="C10C9E22"/>
    <w:lvl w:ilvl="0" w:tplc="08090001">
      <w:start w:val="1"/>
      <w:numFmt w:val="bullet"/>
      <w:lvlText w:val=""/>
      <w:lvlJc w:val="left"/>
      <w:pPr>
        <w:ind w:left="1440" w:hanging="360"/>
      </w:pPr>
      <w:rPr>
        <w:rFonts w:ascii="Symbol" w:hAnsi="Symbol" w:hint="default"/>
      </w:rPr>
    </w:lvl>
    <w:lvl w:ilvl="1" w:tplc="2CA66864">
      <w:numFmt w:val="bullet"/>
      <w:lvlText w:val="•"/>
      <w:lvlJc w:val="left"/>
      <w:pPr>
        <w:ind w:left="2520" w:hanging="720"/>
      </w:pPr>
      <w:rPr>
        <w:rFonts w:ascii="Calibri" w:eastAsiaTheme="minorEastAsia" w:hAnsi="Calibri" w:cs="Calibri"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6" w15:restartNumberingAfterBreak="0">
    <w:nsid w:val="22CF1D18"/>
    <w:multiLevelType w:val="multilevel"/>
    <w:tmpl w:val="9F2E3EB0"/>
    <w:lvl w:ilvl="0">
      <w:start w:val="2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230B0D2A"/>
    <w:multiLevelType w:val="hybridMultilevel"/>
    <w:tmpl w:val="7688C2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24A7428C"/>
    <w:multiLevelType w:val="multilevel"/>
    <w:tmpl w:val="5ADCF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25432DAF"/>
    <w:multiLevelType w:val="hybridMultilevel"/>
    <w:tmpl w:val="BEF2D71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0" w15:restartNumberingAfterBreak="0">
    <w:nsid w:val="25E9105D"/>
    <w:multiLevelType w:val="hybridMultilevel"/>
    <w:tmpl w:val="DBCA69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26AF3A2A"/>
    <w:multiLevelType w:val="multilevel"/>
    <w:tmpl w:val="32963348"/>
    <w:lvl w:ilvl="0">
      <w:start w:val="3"/>
      <w:numFmt w:val="decimal"/>
      <w:lvlText w:val="%1"/>
      <w:lvlJc w:val="left"/>
      <w:pPr>
        <w:ind w:left="500" w:hanging="500"/>
      </w:pPr>
      <w:rPr>
        <w:rFonts w:hint="default"/>
      </w:rPr>
    </w:lvl>
    <w:lvl w:ilvl="1">
      <w:start w:val="2"/>
      <w:numFmt w:val="decimal"/>
      <w:lvlText w:val="%1.%2"/>
      <w:lvlJc w:val="left"/>
      <w:pPr>
        <w:ind w:left="500" w:hanging="5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15:restartNumberingAfterBreak="0">
    <w:nsid w:val="28515E01"/>
    <w:multiLevelType w:val="hybridMultilevel"/>
    <w:tmpl w:val="188E5452"/>
    <w:lvl w:ilvl="0" w:tplc="373A2E9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 w15:restartNumberingAfterBreak="0">
    <w:nsid w:val="289A48B4"/>
    <w:multiLevelType w:val="multilevel"/>
    <w:tmpl w:val="DE063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28F03490"/>
    <w:multiLevelType w:val="hybridMultilevel"/>
    <w:tmpl w:val="FF8AEAC8"/>
    <w:lvl w:ilvl="0" w:tplc="FFFFFFFF">
      <w:start w:val="1"/>
      <w:numFmt w:val="decimal"/>
      <w:lvlText w:val="%1."/>
      <w:lvlJc w:val="left"/>
      <w:pPr>
        <w:ind w:left="720" w:hanging="360"/>
      </w:pPr>
      <w:rPr>
        <w:rFonts w:hint="default"/>
      </w:rPr>
    </w:lvl>
    <w:lvl w:ilvl="1" w:tplc="08090001">
      <w:start w:val="1"/>
      <w:numFmt w:val="bullet"/>
      <w:lvlText w:val=""/>
      <w:lvlJc w:val="left"/>
      <w:pPr>
        <w:ind w:left="107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2986295E"/>
    <w:multiLevelType w:val="hybridMultilevel"/>
    <w:tmpl w:val="72488F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2BF221B4"/>
    <w:multiLevelType w:val="multilevel"/>
    <w:tmpl w:val="715E8698"/>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2C015C85"/>
    <w:multiLevelType w:val="hybridMultilevel"/>
    <w:tmpl w:val="9F32D124"/>
    <w:lvl w:ilvl="0" w:tplc="BEE4A924">
      <w:start w:val="1"/>
      <w:numFmt w:val="decimal"/>
      <w:lvlText w:val="%1."/>
      <w:lvlJc w:val="left"/>
      <w:pPr>
        <w:ind w:left="643"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2C3234BD"/>
    <w:multiLevelType w:val="multilevel"/>
    <w:tmpl w:val="05CCD22E"/>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2C835A05"/>
    <w:multiLevelType w:val="hybridMultilevel"/>
    <w:tmpl w:val="7576CC5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0" w15:restartNumberingAfterBreak="0">
    <w:nsid w:val="2CAB61BA"/>
    <w:multiLevelType w:val="hybridMultilevel"/>
    <w:tmpl w:val="CB0C25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2D5979B2"/>
    <w:multiLevelType w:val="hybridMultilevel"/>
    <w:tmpl w:val="EDC090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2E4538C6"/>
    <w:multiLevelType w:val="hybridMultilevel"/>
    <w:tmpl w:val="A3D0E9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2EFD51EE"/>
    <w:multiLevelType w:val="multilevel"/>
    <w:tmpl w:val="A9FE1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2FAB5D5D"/>
    <w:multiLevelType w:val="multilevel"/>
    <w:tmpl w:val="FC46CAAE"/>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2FAE5F60"/>
    <w:multiLevelType w:val="multilevel"/>
    <w:tmpl w:val="478053E6"/>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30295022"/>
    <w:multiLevelType w:val="hybridMultilevel"/>
    <w:tmpl w:val="C9822C2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7" w15:restartNumberingAfterBreak="0">
    <w:nsid w:val="303C1C06"/>
    <w:multiLevelType w:val="multilevel"/>
    <w:tmpl w:val="A1224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31750A6B"/>
    <w:multiLevelType w:val="hybridMultilevel"/>
    <w:tmpl w:val="A2040D36"/>
    <w:lvl w:ilvl="0" w:tplc="3662A9A0">
      <w:start w:val="1"/>
      <w:numFmt w:val="bullet"/>
      <w:lvlText w:val=""/>
      <w:lvlJc w:val="left"/>
      <w:pPr>
        <w:ind w:left="3144" w:hanging="360"/>
      </w:pPr>
      <w:rPr>
        <w:rFonts w:ascii="Symbol" w:hAnsi="Symbol" w:hint="default"/>
      </w:rPr>
    </w:lvl>
    <w:lvl w:ilvl="1" w:tplc="D5747AA2">
      <w:start w:val="1"/>
      <w:numFmt w:val="bullet"/>
      <w:lvlText w:val="o"/>
      <w:lvlJc w:val="left"/>
      <w:pPr>
        <w:ind w:left="3864" w:hanging="360"/>
      </w:pPr>
      <w:rPr>
        <w:rFonts w:ascii="Courier New" w:hAnsi="Courier New" w:hint="default"/>
      </w:rPr>
    </w:lvl>
    <w:lvl w:ilvl="2" w:tplc="3BDCC1BA">
      <w:start w:val="1"/>
      <w:numFmt w:val="bullet"/>
      <w:lvlText w:val=""/>
      <w:lvlJc w:val="left"/>
      <w:pPr>
        <w:ind w:left="4584" w:hanging="360"/>
      </w:pPr>
      <w:rPr>
        <w:rFonts w:ascii="Wingdings" w:hAnsi="Wingdings" w:hint="default"/>
      </w:rPr>
    </w:lvl>
    <w:lvl w:ilvl="3" w:tplc="957052CE">
      <w:start w:val="1"/>
      <w:numFmt w:val="bullet"/>
      <w:lvlText w:val=""/>
      <w:lvlJc w:val="left"/>
      <w:pPr>
        <w:ind w:left="5304" w:hanging="360"/>
      </w:pPr>
      <w:rPr>
        <w:rFonts w:ascii="Symbol" w:hAnsi="Symbol" w:hint="default"/>
      </w:rPr>
    </w:lvl>
    <w:lvl w:ilvl="4" w:tplc="300EFBAE">
      <w:start w:val="1"/>
      <w:numFmt w:val="bullet"/>
      <w:lvlText w:val="o"/>
      <w:lvlJc w:val="left"/>
      <w:pPr>
        <w:ind w:left="6024" w:hanging="360"/>
      </w:pPr>
      <w:rPr>
        <w:rFonts w:ascii="Courier New" w:hAnsi="Courier New" w:hint="default"/>
      </w:rPr>
    </w:lvl>
    <w:lvl w:ilvl="5" w:tplc="F466B7F4">
      <w:start w:val="1"/>
      <w:numFmt w:val="bullet"/>
      <w:lvlText w:val=""/>
      <w:lvlJc w:val="left"/>
      <w:pPr>
        <w:ind w:left="6744" w:hanging="360"/>
      </w:pPr>
      <w:rPr>
        <w:rFonts w:ascii="Wingdings" w:hAnsi="Wingdings" w:hint="default"/>
      </w:rPr>
    </w:lvl>
    <w:lvl w:ilvl="6" w:tplc="ADB8E53E">
      <w:start w:val="1"/>
      <w:numFmt w:val="bullet"/>
      <w:lvlText w:val=""/>
      <w:lvlJc w:val="left"/>
      <w:pPr>
        <w:ind w:left="7464" w:hanging="360"/>
      </w:pPr>
      <w:rPr>
        <w:rFonts w:ascii="Symbol" w:hAnsi="Symbol" w:hint="default"/>
      </w:rPr>
    </w:lvl>
    <w:lvl w:ilvl="7" w:tplc="2DBA7FBC">
      <w:start w:val="1"/>
      <w:numFmt w:val="bullet"/>
      <w:lvlText w:val="o"/>
      <w:lvlJc w:val="left"/>
      <w:pPr>
        <w:ind w:left="8184" w:hanging="360"/>
      </w:pPr>
      <w:rPr>
        <w:rFonts w:ascii="Courier New" w:hAnsi="Courier New" w:hint="default"/>
      </w:rPr>
    </w:lvl>
    <w:lvl w:ilvl="8" w:tplc="D57691C2">
      <w:start w:val="1"/>
      <w:numFmt w:val="bullet"/>
      <w:lvlText w:val=""/>
      <w:lvlJc w:val="left"/>
      <w:pPr>
        <w:ind w:left="8904" w:hanging="360"/>
      </w:pPr>
      <w:rPr>
        <w:rFonts w:ascii="Wingdings" w:hAnsi="Wingdings" w:hint="default"/>
      </w:rPr>
    </w:lvl>
  </w:abstractNum>
  <w:abstractNum w:abstractNumId="69" w15:restartNumberingAfterBreak="0">
    <w:nsid w:val="323B32E6"/>
    <w:multiLevelType w:val="multilevel"/>
    <w:tmpl w:val="9D229454"/>
    <w:lvl w:ilvl="0">
      <w:start w:val="3"/>
      <w:numFmt w:val="decimal"/>
      <w:lvlText w:val="%1."/>
      <w:lvlJc w:val="left"/>
      <w:pPr>
        <w:ind w:left="560" w:hanging="5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33494777"/>
    <w:multiLevelType w:val="multilevel"/>
    <w:tmpl w:val="C40A39B2"/>
    <w:lvl w:ilvl="0">
      <w:start w:val="7"/>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1" w15:restartNumberingAfterBreak="0">
    <w:nsid w:val="35984C2B"/>
    <w:multiLevelType w:val="hybridMultilevel"/>
    <w:tmpl w:val="883E4536"/>
    <w:lvl w:ilvl="0" w:tplc="0C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36C27AF8"/>
    <w:multiLevelType w:val="hybridMultilevel"/>
    <w:tmpl w:val="BCC2E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37201423"/>
    <w:multiLevelType w:val="multilevel"/>
    <w:tmpl w:val="7B1099A2"/>
    <w:lvl w:ilvl="0">
      <w:start w:val="2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375C73EF"/>
    <w:multiLevelType w:val="hybridMultilevel"/>
    <w:tmpl w:val="C74C2A22"/>
    <w:lvl w:ilvl="0" w:tplc="08090001">
      <w:start w:val="1"/>
      <w:numFmt w:val="bullet"/>
      <w:lvlText w:val=""/>
      <w:lvlJc w:val="left"/>
      <w:pPr>
        <w:ind w:left="1080" w:hanging="360"/>
      </w:pPr>
      <w:rPr>
        <w:rFonts w:ascii="Symbol" w:hAnsi="Symbol" w:hint="default"/>
      </w:rPr>
    </w:lvl>
    <w:lvl w:ilvl="1" w:tplc="0C090001">
      <w:start w:val="1"/>
      <w:numFmt w:val="bullet"/>
      <w:lvlText w:val=""/>
      <w:lvlJc w:val="left"/>
      <w:pPr>
        <w:ind w:left="1800" w:hanging="360"/>
      </w:pPr>
      <w:rPr>
        <w:rFonts w:ascii="Symbol" w:hAnsi="Symbol"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5" w15:restartNumberingAfterBreak="0">
    <w:nsid w:val="3849791B"/>
    <w:multiLevelType w:val="hybridMultilevel"/>
    <w:tmpl w:val="908CE6CA"/>
    <w:lvl w:ilvl="0" w:tplc="08090001">
      <w:start w:val="1"/>
      <w:numFmt w:val="bullet"/>
      <w:lvlText w:val=""/>
      <w:lvlJc w:val="left"/>
      <w:pPr>
        <w:ind w:left="1080" w:hanging="360"/>
      </w:pPr>
      <w:rPr>
        <w:rFonts w:ascii="Symbol" w:hAnsi="Symbol" w:hint="default"/>
      </w:rPr>
    </w:lvl>
    <w:lvl w:ilvl="1" w:tplc="0C090001">
      <w:start w:val="1"/>
      <w:numFmt w:val="bullet"/>
      <w:lvlText w:val=""/>
      <w:lvlJc w:val="left"/>
      <w:pPr>
        <w:ind w:left="1800" w:hanging="360"/>
      </w:pPr>
      <w:rPr>
        <w:rFonts w:ascii="Symbol" w:hAnsi="Symbol"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6" w15:restartNumberingAfterBreak="0">
    <w:nsid w:val="392E5D16"/>
    <w:multiLevelType w:val="multilevel"/>
    <w:tmpl w:val="D3F0388E"/>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3AB573F4"/>
    <w:multiLevelType w:val="multilevel"/>
    <w:tmpl w:val="48FAE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3ACD15A4"/>
    <w:multiLevelType w:val="multilevel"/>
    <w:tmpl w:val="F7B20C1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3C210274"/>
    <w:multiLevelType w:val="hybridMultilevel"/>
    <w:tmpl w:val="9A763824"/>
    <w:lvl w:ilvl="0" w:tplc="53D0CE8E">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 w15:restartNumberingAfterBreak="0">
    <w:nsid w:val="3C526035"/>
    <w:multiLevelType w:val="multilevel"/>
    <w:tmpl w:val="4CCA7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3D2C738F"/>
    <w:multiLevelType w:val="multilevel"/>
    <w:tmpl w:val="2A50C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3D3442FE"/>
    <w:multiLevelType w:val="multilevel"/>
    <w:tmpl w:val="C40A39B2"/>
    <w:lvl w:ilvl="0">
      <w:start w:val="7"/>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3" w15:restartNumberingAfterBreak="0">
    <w:nsid w:val="3DE361AB"/>
    <w:multiLevelType w:val="multilevel"/>
    <w:tmpl w:val="59523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3FC0678E"/>
    <w:multiLevelType w:val="hybridMultilevel"/>
    <w:tmpl w:val="D9309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404272DE"/>
    <w:multiLevelType w:val="hybridMultilevel"/>
    <w:tmpl w:val="FACAC23A"/>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6" w15:restartNumberingAfterBreak="0">
    <w:nsid w:val="405664B3"/>
    <w:multiLevelType w:val="hybridMultilevel"/>
    <w:tmpl w:val="DE38C4D6"/>
    <w:lvl w:ilvl="0" w:tplc="0C090001">
      <w:start w:val="1"/>
      <w:numFmt w:val="bullet"/>
      <w:lvlText w:val=""/>
      <w:lvlJc w:val="left"/>
      <w:pPr>
        <w:ind w:left="3240" w:hanging="360"/>
      </w:pPr>
      <w:rPr>
        <w:rFonts w:ascii="Symbol" w:hAnsi="Symbol" w:hint="default"/>
      </w:rPr>
    </w:lvl>
    <w:lvl w:ilvl="1" w:tplc="0C090003" w:tentative="1">
      <w:start w:val="1"/>
      <w:numFmt w:val="bullet"/>
      <w:lvlText w:val="o"/>
      <w:lvlJc w:val="left"/>
      <w:pPr>
        <w:ind w:left="3960" w:hanging="360"/>
      </w:pPr>
      <w:rPr>
        <w:rFonts w:ascii="Courier New" w:hAnsi="Courier New" w:cs="Courier New" w:hint="default"/>
      </w:rPr>
    </w:lvl>
    <w:lvl w:ilvl="2" w:tplc="0C090005" w:tentative="1">
      <w:start w:val="1"/>
      <w:numFmt w:val="bullet"/>
      <w:lvlText w:val=""/>
      <w:lvlJc w:val="left"/>
      <w:pPr>
        <w:ind w:left="4680" w:hanging="360"/>
      </w:pPr>
      <w:rPr>
        <w:rFonts w:ascii="Wingdings" w:hAnsi="Wingdings" w:hint="default"/>
      </w:rPr>
    </w:lvl>
    <w:lvl w:ilvl="3" w:tplc="0C090001" w:tentative="1">
      <w:start w:val="1"/>
      <w:numFmt w:val="bullet"/>
      <w:lvlText w:val=""/>
      <w:lvlJc w:val="left"/>
      <w:pPr>
        <w:ind w:left="5400" w:hanging="360"/>
      </w:pPr>
      <w:rPr>
        <w:rFonts w:ascii="Symbol" w:hAnsi="Symbol" w:hint="default"/>
      </w:rPr>
    </w:lvl>
    <w:lvl w:ilvl="4" w:tplc="0C090003" w:tentative="1">
      <w:start w:val="1"/>
      <w:numFmt w:val="bullet"/>
      <w:lvlText w:val="o"/>
      <w:lvlJc w:val="left"/>
      <w:pPr>
        <w:ind w:left="6120" w:hanging="360"/>
      </w:pPr>
      <w:rPr>
        <w:rFonts w:ascii="Courier New" w:hAnsi="Courier New" w:cs="Courier New" w:hint="default"/>
      </w:rPr>
    </w:lvl>
    <w:lvl w:ilvl="5" w:tplc="0C090005" w:tentative="1">
      <w:start w:val="1"/>
      <w:numFmt w:val="bullet"/>
      <w:lvlText w:val=""/>
      <w:lvlJc w:val="left"/>
      <w:pPr>
        <w:ind w:left="6840" w:hanging="360"/>
      </w:pPr>
      <w:rPr>
        <w:rFonts w:ascii="Wingdings" w:hAnsi="Wingdings" w:hint="default"/>
      </w:rPr>
    </w:lvl>
    <w:lvl w:ilvl="6" w:tplc="0C090001" w:tentative="1">
      <w:start w:val="1"/>
      <w:numFmt w:val="bullet"/>
      <w:lvlText w:val=""/>
      <w:lvlJc w:val="left"/>
      <w:pPr>
        <w:ind w:left="7560" w:hanging="360"/>
      </w:pPr>
      <w:rPr>
        <w:rFonts w:ascii="Symbol" w:hAnsi="Symbol" w:hint="default"/>
      </w:rPr>
    </w:lvl>
    <w:lvl w:ilvl="7" w:tplc="0C090003" w:tentative="1">
      <w:start w:val="1"/>
      <w:numFmt w:val="bullet"/>
      <w:lvlText w:val="o"/>
      <w:lvlJc w:val="left"/>
      <w:pPr>
        <w:ind w:left="8280" w:hanging="360"/>
      </w:pPr>
      <w:rPr>
        <w:rFonts w:ascii="Courier New" w:hAnsi="Courier New" w:cs="Courier New" w:hint="default"/>
      </w:rPr>
    </w:lvl>
    <w:lvl w:ilvl="8" w:tplc="0C090005" w:tentative="1">
      <w:start w:val="1"/>
      <w:numFmt w:val="bullet"/>
      <w:lvlText w:val=""/>
      <w:lvlJc w:val="left"/>
      <w:pPr>
        <w:ind w:left="9000" w:hanging="360"/>
      </w:pPr>
      <w:rPr>
        <w:rFonts w:ascii="Wingdings" w:hAnsi="Wingdings" w:hint="default"/>
      </w:rPr>
    </w:lvl>
  </w:abstractNum>
  <w:abstractNum w:abstractNumId="87" w15:restartNumberingAfterBreak="0">
    <w:nsid w:val="40BA6B29"/>
    <w:multiLevelType w:val="hybridMultilevel"/>
    <w:tmpl w:val="C7B27D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41AB76DC"/>
    <w:multiLevelType w:val="multilevel"/>
    <w:tmpl w:val="720808E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4369609A"/>
    <w:multiLevelType w:val="hybridMultilevel"/>
    <w:tmpl w:val="903E0DEE"/>
    <w:lvl w:ilvl="0" w:tplc="04090001">
      <w:start w:val="1"/>
      <w:numFmt w:val="bullet"/>
      <w:lvlText w:val=""/>
      <w:lvlJc w:val="left"/>
      <w:pPr>
        <w:ind w:left="2430" w:hanging="360"/>
      </w:pPr>
      <w:rPr>
        <w:rFonts w:ascii="Symbol" w:hAnsi="Symbol" w:hint="default"/>
      </w:rPr>
    </w:lvl>
    <w:lvl w:ilvl="1" w:tplc="04090003" w:tentative="1">
      <w:start w:val="1"/>
      <w:numFmt w:val="bullet"/>
      <w:lvlText w:val="o"/>
      <w:lvlJc w:val="left"/>
      <w:pPr>
        <w:ind w:left="3150" w:hanging="360"/>
      </w:pPr>
      <w:rPr>
        <w:rFonts w:ascii="Courier New" w:hAnsi="Courier New" w:cs="Courier New" w:hint="default"/>
      </w:rPr>
    </w:lvl>
    <w:lvl w:ilvl="2" w:tplc="04090005" w:tentative="1">
      <w:start w:val="1"/>
      <w:numFmt w:val="bullet"/>
      <w:lvlText w:val=""/>
      <w:lvlJc w:val="left"/>
      <w:pPr>
        <w:ind w:left="3870" w:hanging="360"/>
      </w:pPr>
      <w:rPr>
        <w:rFonts w:ascii="Wingdings" w:hAnsi="Wingdings" w:hint="default"/>
      </w:rPr>
    </w:lvl>
    <w:lvl w:ilvl="3" w:tplc="04090001" w:tentative="1">
      <w:start w:val="1"/>
      <w:numFmt w:val="bullet"/>
      <w:lvlText w:val=""/>
      <w:lvlJc w:val="left"/>
      <w:pPr>
        <w:ind w:left="4590" w:hanging="360"/>
      </w:pPr>
      <w:rPr>
        <w:rFonts w:ascii="Symbol" w:hAnsi="Symbol" w:hint="default"/>
      </w:rPr>
    </w:lvl>
    <w:lvl w:ilvl="4" w:tplc="04090003" w:tentative="1">
      <w:start w:val="1"/>
      <w:numFmt w:val="bullet"/>
      <w:lvlText w:val="o"/>
      <w:lvlJc w:val="left"/>
      <w:pPr>
        <w:ind w:left="5310" w:hanging="360"/>
      </w:pPr>
      <w:rPr>
        <w:rFonts w:ascii="Courier New" w:hAnsi="Courier New" w:cs="Courier New" w:hint="default"/>
      </w:rPr>
    </w:lvl>
    <w:lvl w:ilvl="5" w:tplc="04090005" w:tentative="1">
      <w:start w:val="1"/>
      <w:numFmt w:val="bullet"/>
      <w:lvlText w:val=""/>
      <w:lvlJc w:val="left"/>
      <w:pPr>
        <w:ind w:left="6030" w:hanging="360"/>
      </w:pPr>
      <w:rPr>
        <w:rFonts w:ascii="Wingdings" w:hAnsi="Wingdings" w:hint="default"/>
      </w:rPr>
    </w:lvl>
    <w:lvl w:ilvl="6" w:tplc="04090001" w:tentative="1">
      <w:start w:val="1"/>
      <w:numFmt w:val="bullet"/>
      <w:lvlText w:val=""/>
      <w:lvlJc w:val="left"/>
      <w:pPr>
        <w:ind w:left="6750" w:hanging="360"/>
      </w:pPr>
      <w:rPr>
        <w:rFonts w:ascii="Symbol" w:hAnsi="Symbol" w:hint="default"/>
      </w:rPr>
    </w:lvl>
    <w:lvl w:ilvl="7" w:tplc="04090003" w:tentative="1">
      <w:start w:val="1"/>
      <w:numFmt w:val="bullet"/>
      <w:lvlText w:val="o"/>
      <w:lvlJc w:val="left"/>
      <w:pPr>
        <w:ind w:left="7470" w:hanging="360"/>
      </w:pPr>
      <w:rPr>
        <w:rFonts w:ascii="Courier New" w:hAnsi="Courier New" w:cs="Courier New" w:hint="default"/>
      </w:rPr>
    </w:lvl>
    <w:lvl w:ilvl="8" w:tplc="04090005" w:tentative="1">
      <w:start w:val="1"/>
      <w:numFmt w:val="bullet"/>
      <w:lvlText w:val=""/>
      <w:lvlJc w:val="left"/>
      <w:pPr>
        <w:ind w:left="8190" w:hanging="360"/>
      </w:pPr>
      <w:rPr>
        <w:rFonts w:ascii="Wingdings" w:hAnsi="Wingdings" w:hint="default"/>
      </w:rPr>
    </w:lvl>
  </w:abstractNum>
  <w:abstractNum w:abstractNumId="90" w15:restartNumberingAfterBreak="0">
    <w:nsid w:val="442B72CD"/>
    <w:multiLevelType w:val="hybridMultilevel"/>
    <w:tmpl w:val="280CBAAE"/>
    <w:lvl w:ilvl="0" w:tplc="0C090001">
      <w:start w:val="1"/>
      <w:numFmt w:val="bullet"/>
      <w:lvlText w:val=""/>
      <w:lvlJc w:val="left"/>
      <w:pPr>
        <w:ind w:left="360" w:hanging="360"/>
      </w:pPr>
      <w:rPr>
        <w:rFonts w:ascii="Symbol" w:hAnsi="Symbol" w:hint="default"/>
      </w:rPr>
    </w:lvl>
    <w:lvl w:ilvl="1" w:tplc="0C243EAA">
      <w:start w:val="11"/>
      <w:numFmt w:val="bullet"/>
      <w:lvlText w:val="-"/>
      <w:lvlJc w:val="left"/>
      <w:pPr>
        <w:ind w:left="1080" w:hanging="360"/>
      </w:pPr>
      <w:rPr>
        <w:rFonts w:ascii="Calibri" w:eastAsiaTheme="minorHAnsi" w:hAnsi="Calibri" w:cs="Calibri" w:hint="default"/>
      </w:rPr>
    </w:lvl>
    <w:lvl w:ilvl="2" w:tplc="3B5CC39A">
      <w:numFmt w:val="bullet"/>
      <w:lvlText w:val="•"/>
      <w:lvlJc w:val="left"/>
      <w:pPr>
        <w:ind w:left="2160" w:hanging="720"/>
      </w:pPr>
      <w:rPr>
        <w:rFonts w:ascii="Calibri" w:eastAsia="Times New Roman" w:hAnsi="Calibri" w:cs="Calibri"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1" w15:restartNumberingAfterBreak="0">
    <w:nsid w:val="45102845"/>
    <w:multiLevelType w:val="hybridMultilevel"/>
    <w:tmpl w:val="1B200E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135" w:hanging="360"/>
      </w:pPr>
      <w:rPr>
        <w:rFonts w:ascii="Courier New" w:hAnsi="Courier New" w:cs="Courier New" w:hint="default"/>
      </w:rPr>
    </w:lvl>
    <w:lvl w:ilvl="2" w:tplc="0C090005" w:tentative="1">
      <w:start w:val="1"/>
      <w:numFmt w:val="bullet"/>
      <w:lvlText w:val=""/>
      <w:lvlJc w:val="left"/>
      <w:pPr>
        <w:ind w:left="1855" w:hanging="360"/>
      </w:pPr>
      <w:rPr>
        <w:rFonts w:ascii="Wingdings" w:hAnsi="Wingdings" w:hint="default"/>
      </w:rPr>
    </w:lvl>
    <w:lvl w:ilvl="3" w:tplc="0C090001" w:tentative="1">
      <w:start w:val="1"/>
      <w:numFmt w:val="bullet"/>
      <w:lvlText w:val=""/>
      <w:lvlJc w:val="left"/>
      <w:pPr>
        <w:ind w:left="2575" w:hanging="360"/>
      </w:pPr>
      <w:rPr>
        <w:rFonts w:ascii="Symbol" w:hAnsi="Symbol" w:hint="default"/>
      </w:rPr>
    </w:lvl>
    <w:lvl w:ilvl="4" w:tplc="0C090003" w:tentative="1">
      <w:start w:val="1"/>
      <w:numFmt w:val="bullet"/>
      <w:lvlText w:val="o"/>
      <w:lvlJc w:val="left"/>
      <w:pPr>
        <w:ind w:left="3295" w:hanging="360"/>
      </w:pPr>
      <w:rPr>
        <w:rFonts w:ascii="Courier New" w:hAnsi="Courier New" w:cs="Courier New" w:hint="default"/>
      </w:rPr>
    </w:lvl>
    <w:lvl w:ilvl="5" w:tplc="0C090005" w:tentative="1">
      <w:start w:val="1"/>
      <w:numFmt w:val="bullet"/>
      <w:lvlText w:val=""/>
      <w:lvlJc w:val="left"/>
      <w:pPr>
        <w:ind w:left="4015" w:hanging="360"/>
      </w:pPr>
      <w:rPr>
        <w:rFonts w:ascii="Wingdings" w:hAnsi="Wingdings" w:hint="default"/>
      </w:rPr>
    </w:lvl>
    <w:lvl w:ilvl="6" w:tplc="0C090001" w:tentative="1">
      <w:start w:val="1"/>
      <w:numFmt w:val="bullet"/>
      <w:lvlText w:val=""/>
      <w:lvlJc w:val="left"/>
      <w:pPr>
        <w:ind w:left="4735" w:hanging="360"/>
      </w:pPr>
      <w:rPr>
        <w:rFonts w:ascii="Symbol" w:hAnsi="Symbol" w:hint="default"/>
      </w:rPr>
    </w:lvl>
    <w:lvl w:ilvl="7" w:tplc="0C090003" w:tentative="1">
      <w:start w:val="1"/>
      <w:numFmt w:val="bullet"/>
      <w:lvlText w:val="o"/>
      <w:lvlJc w:val="left"/>
      <w:pPr>
        <w:ind w:left="5455" w:hanging="360"/>
      </w:pPr>
      <w:rPr>
        <w:rFonts w:ascii="Courier New" w:hAnsi="Courier New" w:cs="Courier New" w:hint="default"/>
      </w:rPr>
    </w:lvl>
    <w:lvl w:ilvl="8" w:tplc="0C090005" w:tentative="1">
      <w:start w:val="1"/>
      <w:numFmt w:val="bullet"/>
      <w:lvlText w:val=""/>
      <w:lvlJc w:val="left"/>
      <w:pPr>
        <w:ind w:left="6175" w:hanging="360"/>
      </w:pPr>
      <w:rPr>
        <w:rFonts w:ascii="Wingdings" w:hAnsi="Wingdings" w:hint="default"/>
      </w:rPr>
    </w:lvl>
  </w:abstractNum>
  <w:abstractNum w:abstractNumId="92" w15:restartNumberingAfterBreak="0">
    <w:nsid w:val="45312C00"/>
    <w:multiLevelType w:val="multilevel"/>
    <w:tmpl w:val="AF920A52"/>
    <w:lvl w:ilvl="0">
      <w:start w:val="3"/>
      <w:numFmt w:val="decimal"/>
      <w:lvlText w:val="%1."/>
      <w:lvlJc w:val="left"/>
      <w:pPr>
        <w:ind w:left="720" w:hanging="720"/>
      </w:pPr>
    </w:lvl>
    <w:lvl w:ilvl="1">
      <w:start w:val="1"/>
      <w:numFmt w:val="decimal"/>
      <w:lvlRestart w:val="0"/>
      <w:lvlText w:val="%1.%2."/>
      <w:lvlJc w:val="left"/>
      <w:pPr>
        <w:ind w:left="1004" w:hanging="720"/>
      </w:pPr>
      <w:rPr>
        <w:rFonts w:ascii="Calibri" w:hAnsi="Calibri" w:hint="default"/>
        <w:b/>
        <w:i w:val="0"/>
        <w:sz w:val="28"/>
      </w:rPr>
    </w:lvl>
    <w:lvl w:ilvl="2">
      <w:start w:val="1"/>
      <w:numFmt w:val="decimal"/>
      <w:lvlRestart w:val="0"/>
      <w:lvlText w:val="%1.%2.%3."/>
      <w:lvlJc w:val="left"/>
      <w:pPr>
        <w:ind w:left="720" w:hanging="720"/>
      </w:pPr>
      <w:rPr>
        <w:rFonts w:hint="default"/>
      </w:rPr>
    </w:lvl>
    <w:lvl w:ilvl="3">
      <w:start w:val="1"/>
      <w:numFmt w:val="decimal"/>
      <w:lvlRestart w:val="0"/>
      <w:pStyle w:val="Heading4"/>
      <w:lvlText w:val="%1.%2.%3.%4."/>
      <w:lvlJc w:val="left"/>
      <w:pPr>
        <w:ind w:left="720" w:hanging="720"/>
      </w:p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3" w15:restartNumberingAfterBreak="0">
    <w:nsid w:val="453951AC"/>
    <w:multiLevelType w:val="hybridMultilevel"/>
    <w:tmpl w:val="1AD81A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4" w15:restartNumberingAfterBreak="0">
    <w:nsid w:val="487D289D"/>
    <w:multiLevelType w:val="multilevel"/>
    <w:tmpl w:val="B97416EC"/>
    <w:lvl w:ilvl="0">
      <w:start w:val="1"/>
      <w:numFmt w:val="decimal"/>
      <w:lvlText w:val="%1."/>
      <w:lvlJc w:val="left"/>
      <w:pPr>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48BA4057"/>
    <w:multiLevelType w:val="hybridMultilevel"/>
    <w:tmpl w:val="203E5C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4A270B3F"/>
    <w:multiLevelType w:val="multilevel"/>
    <w:tmpl w:val="6096EBF4"/>
    <w:lvl w:ilvl="0">
      <w:start w:val="1"/>
      <w:numFmt w:val="bullet"/>
      <w:lvlText w:val=""/>
      <w:lvlJc w:val="left"/>
      <w:pPr>
        <w:tabs>
          <w:tab w:val="num" w:pos="2487"/>
        </w:tabs>
        <w:ind w:left="2487"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4B4B4281"/>
    <w:multiLevelType w:val="multilevel"/>
    <w:tmpl w:val="0CB60FC4"/>
    <w:lvl w:ilvl="0">
      <w:start w:val="1"/>
      <w:numFmt w:val="bullet"/>
      <w:lvlText w:val=""/>
      <w:lvlJc w:val="left"/>
      <w:pPr>
        <w:tabs>
          <w:tab w:val="num" w:pos="2992"/>
        </w:tabs>
        <w:ind w:left="2992" w:hanging="360"/>
      </w:pPr>
      <w:rPr>
        <w:rFonts w:ascii="Symbol" w:hAnsi="Symbol" w:hint="default"/>
        <w:sz w:val="20"/>
      </w:rPr>
    </w:lvl>
    <w:lvl w:ilvl="1" w:tentative="1">
      <w:start w:val="1"/>
      <w:numFmt w:val="bullet"/>
      <w:lvlText w:val=""/>
      <w:lvlJc w:val="left"/>
      <w:pPr>
        <w:tabs>
          <w:tab w:val="num" w:pos="3712"/>
        </w:tabs>
        <w:ind w:left="3712" w:hanging="360"/>
      </w:pPr>
      <w:rPr>
        <w:rFonts w:ascii="Symbol" w:hAnsi="Symbol" w:hint="default"/>
        <w:sz w:val="20"/>
      </w:rPr>
    </w:lvl>
    <w:lvl w:ilvl="2" w:tentative="1">
      <w:start w:val="1"/>
      <w:numFmt w:val="bullet"/>
      <w:lvlText w:val=""/>
      <w:lvlJc w:val="left"/>
      <w:pPr>
        <w:tabs>
          <w:tab w:val="num" w:pos="4432"/>
        </w:tabs>
        <w:ind w:left="4432" w:hanging="360"/>
      </w:pPr>
      <w:rPr>
        <w:rFonts w:ascii="Symbol" w:hAnsi="Symbol" w:hint="default"/>
        <w:sz w:val="20"/>
      </w:rPr>
    </w:lvl>
    <w:lvl w:ilvl="3" w:tentative="1">
      <w:start w:val="1"/>
      <w:numFmt w:val="bullet"/>
      <w:lvlText w:val=""/>
      <w:lvlJc w:val="left"/>
      <w:pPr>
        <w:tabs>
          <w:tab w:val="num" w:pos="5152"/>
        </w:tabs>
        <w:ind w:left="5152" w:hanging="360"/>
      </w:pPr>
      <w:rPr>
        <w:rFonts w:ascii="Symbol" w:hAnsi="Symbol" w:hint="default"/>
        <w:sz w:val="20"/>
      </w:rPr>
    </w:lvl>
    <w:lvl w:ilvl="4" w:tentative="1">
      <w:start w:val="1"/>
      <w:numFmt w:val="bullet"/>
      <w:lvlText w:val=""/>
      <w:lvlJc w:val="left"/>
      <w:pPr>
        <w:tabs>
          <w:tab w:val="num" w:pos="5872"/>
        </w:tabs>
        <w:ind w:left="5872" w:hanging="360"/>
      </w:pPr>
      <w:rPr>
        <w:rFonts w:ascii="Symbol" w:hAnsi="Symbol" w:hint="default"/>
        <w:sz w:val="20"/>
      </w:rPr>
    </w:lvl>
    <w:lvl w:ilvl="5" w:tentative="1">
      <w:start w:val="1"/>
      <w:numFmt w:val="bullet"/>
      <w:lvlText w:val=""/>
      <w:lvlJc w:val="left"/>
      <w:pPr>
        <w:tabs>
          <w:tab w:val="num" w:pos="6592"/>
        </w:tabs>
        <w:ind w:left="6592" w:hanging="360"/>
      </w:pPr>
      <w:rPr>
        <w:rFonts w:ascii="Symbol" w:hAnsi="Symbol" w:hint="default"/>
        <w:sz w:val="20"/>
      </w:rPr>
    </w:lvl>
    <w:lvl w:ilvl="6" w:tentative="1">
      <w:start w:val="1"/>
      <w:numFmt w:val="bullet"/>
      <w:lvlText w:val=""/>
      <w:lvlJc w:val="left"/>
      <w:pPr>
        <w:tabs>
          <w:tab w:val="num" w:pos="7312"/>
        </w:tabs>
        <w:ind w:left="7312" w:hanging="360"/>
      </w:pPr>
      <w:rPr>
        <w:rFonts w:ascii="Symbol" w:hAnsi="Symbol" w:hint="default"/>
        <w:sz w:val="20"/>
      </w:rPr>
    </w:lvl>
    <w:lvl w:ilvl="7" w:tentative="1">
      <w:start w:val="1"/>
      <w:numFmt w:val="bullet"/>
      <w:lvlText w:val=""/>
      <w:lvlJc w:val="left"/>
      <w:pPr>
        <w:tabs>
          <w:tab w:val="num" w:pos="8032"/>
        </w:tabs>
        <w:ind w:left="8032" w:hanging="360"/>
      </w:pPr>
      <w:rPr>
        <w:rFonts w:ascii="Symbol" w:hAnsi="Symbol" w:hint="default"/>
        <w:sz w:val="20"/>
      </w:rPr>
    </w:lvl>
    <w:lvl w:ilvl="8" w:tentative="1">
      <w:start w:val="1"/>
      <w:numFmt w:val="bullet"/>
      <w:lvlText w:val=""/>
      <w:lvlJc w:val="left"/>
      <w:pPr>
        <w:tabs>
          <w:tab w:val="num" w:pos="8752"/>
        </w:tabs>
        <w:ind w:left="8752" w:hanging="360"/>
      </w:pPr>
      <w:rPr>
        <w:rFonts w:ascii="Symbol" w:hAnsi="Symbol" w:hint="default"/>
        <w:sz w:val="20"/>
      </w:rPr>
    </w:lvl>
  </w:abstractNum>
  <w:abstractNum w:abstractNumId="98" w15:restartNumberingAfterBreak="0">
    <w:nsid w:val="4D3A5F55"/>
    <w:multiLevelType w:val="hybridMultilevel"/>
    <w:tmpl w:val="2294D9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4DFD24BC"/>
    <w:multiLevelType w:val="multilevel"/>
    <w:tmpl w:val="812CF7F2"/>
    <w:lvl w:ilvl="0">
      <w:start w:val="4"/>
      <w:numFmt w:val="decimal"/>
      <w:lvlText w:val="%1."/>
      <w:lvlJc w:val="left"/>
      <w:pPr>
        <w:ind w:left="720" w:hanging="720"/>
      </w:pPr>
      <w:rPr>
        <w:rFonts w:hint="default"/>
      </w:rPr>
    </w:lvl>
    <w:lvl w:ilvl="1">
      <w:start w:val="4"/>
      <w:numFmt w:val="decimal"/>
      <w:lvlRestart w:val="0"/>
      <w:lvlText w:val="%1.%2."/>
      <w:lvlJc w:val="left"/>
      <w:pPr>
        <w:ind w:left="720" w:hanging="720"/>
      </w:pPr>
      <w:rPr>
        <w:rFonts w:ascii="Calibri" w:hAnsi="Calibri" w:hint="default"/>
        <w:b/>
        <w:i w:val="0"/>
        <w:sz w:val="28"/>
      </w:rPr>
    </w:lvl>
    <w:lvl w:ilvl="2">
      <w:start w:val="2"/>
      <w:numFmt w:val="decimal"/>
      <w:lvlRestart w:val="0"/>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0" w15:restartNumberingAfterBreak="0">
    <w:nsid w:val="4F6C1C37"/>
    <w:multiLevelType w:val="hybridMultilevel"/>
    <w:tmpl w:val="219E12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15:restartNumberingAfterBreak="0">
    <w:nsid w:val="4FAC42C6"/>
    <w:multiLevelType w:val="hybridMultilevel"/>
    <w:tmpl w:val="B8203C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2" w15:restartNumberingAfterBreak="0">
    <w:nsid w:val="50051E8E"/>
    <w:multiLevelType w:val="multilevel"/>
    <w:tmpl w:val="E4C26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500D4DE2"/>
    <w:multiLevelType w:val="hybridMultilevel"/>
    <w:tmpl w:val="4D4E07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503B3A16"/>
    <w:multiLevelType w:val="multilevel"/>
    <w:tmpl w:val="57D26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510450BB"/>
    <w:multiLevelType w:val="multilevel"/>
    <w:tmpl w:val="B82E6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51CD5C00"/>
    <w:multiLevelType w:val="hybridMultilevel"/>
    <w:tmpl w:val="707481B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7" w15:restartNumberingAfterBreak="0">
    <w:nsid w:val="520C6A33"/>
    <w:multiLevelType w:val="hybridMultilevel"/>
    <w:tmpl w:val="98F2197E"/>
    <w:lvl w:ilvl="0" w:tplc="FFFFFFFF">
      <w:start w:val="1"/>
      <w:numFmt w:val="decimal"/>
      <w:lvlText w:val="%1."/>
      <w:lvlJc w:val="left"/>
      <w:pPr>
        <w:ind w:left="720" w:hanging="360"/>
      </w:pPr>
      <w:rPr>
        <w:rFonts w:hint="default"/>
      </w:rPr>
    </w:lvl>
    <w:lvl w:ilvl="1" w:tplc="08090001">
      <w:start w:val="1"/>
      <w:numFmt w:val="bullet"/>
      <w:lvlText w:val=""/>
      <w:lvlJc w:val="left"/>
      <w:pPr>
        <w:ind w:left="107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52374D1D"/>
    <w:multiLevelType w:val="multilevel"/>
    <w:tmpl w:val="F9C0CFA0"/>
    <w:lvl w:ilvl="0">
      <w:start w:val="1"/>
      <w:numFmt w:val="decimal"/>
      <w:lvlText w:val="%1."/>
      <w:lvlJc w:val="left"/>
      <w:pPr>
        <w:ind w:left="720" w:hanging="720"/>
      </w:pPr>
      <w:rPr>
        <w:rFonts w:hint="default"/>
      </w:rPr>
    </w:lvl>
    <w:lvl w:ilvl="1">
      <w:start w:val="3"/>
      <w:numFmt w:val="decimal"/>
      <w:lvlRestart w:val="0"/>
      <w:lvlText w:val="%1.%2."/>
      <w:lvlJc w:val="left"/>
      <w:pPr>
        <w:ind w:left="720" w:hanging="720"/>
      </w:pPr>
      <w:rPr>
        <w:rFonts w:ascii="Calibri" w:hAnsi="Calibri" w:hint="default"/>
        <w:b/>
        <w:i w:val="0"/>
        <w:sz w:val="28"/>
      </w:rPr>
    </w:lvl>
    <w:lvl w:ilvl="2">
      <w:start w:val="1"/>
      <w:numFmt w:val="decimal"/>
      <w:lvlRestart w:val="0"/>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9" w15:restartNumberingAfterBreak="0">
    <w:nsid w:val="52FF483F"/>
    <w:multiLevelType w:val="hybridMultilevel"/>
    <w:tmpl w:val="519C3C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5311042B"/>
    <w:multiLevelType w:val="hybridMultilevel"/>
    <w:tmpl w:val="10F6EC7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1" w15:restartNumberingAfterBreak="0">
    <w:nsid w:val="539E0A65"/>
    <w:multiLevelType w:val="hybridMultilevel"/>
    <w:tmpl w:val="1012C0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53B17502"/>
    <w:multiLevelType w:val="multilevel"/>
    <w:tmpl w:val="622E0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5495197D"/>
    <w:multiLevelType w:val="multilevel"/>
    <w:tmpl w:val="114E53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55237924"/>
    <w:multiLevelType w:val="multilevel"/>
    <w:tmpl w:val="7F92A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55D04EB9"/>
    <w:multiLevelType w:val="multilevel"/>
    <w:tmpl w:val="CB54FD30"/>
    <w:lvl w:ilvl="0">
      <w:start w:val="2"/>
      <w:numFmt w:val="decimal"/>
      <w:lvlText w:val="%1."/>
      <w:lvlJc w:val="left"/>
      <w:pPr>
        <w:ind w:left="440" w:hanging="440"/>
      </w:pPr>
      <w:rPr>
        <w:rFonts w:hint="default"/>
      </w:rPr>
    </w:lvl>
    <w:lvl w:ilvl="1">
      <w:start w:val="1"/>
      <w:numFmt w:val="decimal"/>
      <w:lvlText w:val="%1.%2."/>
      <w:lvlJc w:val="left"/>
      <w:pPr>
        <w:ind w:left="720" w:hanging="720"/>
      </w:pPr>
      <w:rPr>
        <w:rFonts w:hint="default"/>
        <w:b/>
        <w:bCs/>
      </w:rPr>
    </w:lvl>
    <w:lvl w:ilvl="2">
      <w:start w:val="1"/>
      <w:numFmt w:val="decimal"/>
      <w:pStyle w:val="Heading3"/>
      <w:lvlText w:val="%1.%2.%3."/>
      <w:lvlJc w:val="left"/>
      <w:pPr>
        <w:ind w:left="862" w:hanging="720"/>
      </w:p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6" w15:restartNumberingAfterBreak="0">
    <w:nsid w:val="561C2915"/>
    <w:multiLevelType w:val="multilevel"/>
    <w:tmpl w:val="7F9AA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5630497A"/>
    <w:multiLevelType w:val="hybridMultilevel"/>
    <w:tmpl w:val="2F3C986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8" w15:restartNumberingAfterBreak="0">
    <w:nsid w:val="56A23A18"/>
    <w:multiLevelType w:val="hybridMultilevel"/>
    <w:tmpl w:val="B1A6ACD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9" w15:restartNumberingAfterBreak="0">
    <w:nsid w:val="573C6401"/>
    <w:multiLevelType w:val="hybridMultilevel"/>
    <w:tmpl w:val="97C6FD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0" w15:restartNumberingAfterBreak="0">
    <w:nsid w:val="59084EA4"/>
    <w:multiLevelType w:val="hybridMultilevel"/>
    <w:tmpl w:val="6520D85C"/>
    <w:lvl w:ilvl="0" w:tplc="0C090001">
      <w:start w:val="1"/>
      <w:numFmt w:val="bullet"/>
      <w:lvlText w:val=""/>
      <w:lvlJc w:val="left"/>
      <w:pPr>
        <w:ind w:left="1035" w:hanging="360"/>
      </w:pPr>
      <w:rPr>
        <w:rFonts w:ascii="Symbol" w:hAnsi="Symbol" w:hint="default"/>
      </w:rPr>
    </w:lvl>
    <w:lvl w:ilvl="1" w:tplc="0C090003" w:tentative="1">
      <w:start w:val="1"/>
      <w:numFmt w:val="bullet"/>
      <w:lvlText w:val="o"/>
      <w:lvlJc w:val="left"/>
      <w:pPr>
        <w:ind w:left="1755" w:hanging="360"/>
      </w:pPr>
      <w:rPr>
        <w:rFonts w:ascii="Courier New" w:hAnsi="Courier New" w:cs="Courier New" w:hint="default"/>
      </w:rPr>
    </w:lvl>
    <w:lvl w:ilvl="2" w:tplc="0C090005" w:tentative="1">
      <w:start w:val="1"/>
      <w:numFmt w:val="bullet"/>
      <w:lvlText w:val=""/>
      <w:lvlJc w:val="left"/>
      <w:pPr>
        <w:ind w:left="2475" w:hanging="360"/>
      </w:pPr>
      <w:rPr>
        <w:rFonts w:ascii="Wingdings" w:hAnsi="Wingdings" w:hint="default"/>
      </w:rPr>
    </w:lvl>
    <w:lvl w:ilvl="3" w:tplc="0C090001" w:tentative="1">
      <w:start w:val="1"/>
      <w:numFmt w:val="bullet"/>
      <w:lvlText w:val=""/>
      <w:lvlJc w:val="left"/>
      <w:pPr>
        <w:ind w:left="3195" w:hanging="360"/>
      </w:pPr>
      <w:rPr>
        <w:rFonts w:ascii="Symbol" w:hAnsi="Symbol" w:hint="default"/>
      </w:rPr>
    </w:lvl>
    <w:lvl w:ilvl="4" w:tplc="0C090003" w:tentative="1">
      <w:start w:val="1"/>
      <w:numFmt w:val="bullet"/>
      <w:lvlText w:val="o"/>
      <w:lvlJc w:val="left"/>
      <w:pPr>
        <w:ind w:left="3915" w:hanging="360"/>
      </w:pPr>
      <w:rPr>
        <w:rFonts w:ascii="Courier New" w:hAnsi="Courier New" w:cs="Courier New" w:hint="default"/>
      </w:rPr>
    </w:lvl>
    <w:lvl w:ilvl="5" w:tplc="0C090005" w:tentative="1">
      <w:start w:val="1"/>
      <w:numFmt w:val="bullet"/>
      <w:lvlText w:val=""/>
      <w:lvlJc w:val="left"/>
      <w:pPr>
        <w:ind w:left="4635" w:hanging="360"/>
      </w:pPr>
      <w:rPr>
        <w:rFonts w:ascii="Wingdings" w:hAnsi="Wingdings" w:hint="default"/>
      </w:rPr>
    </w:lvl>
    <w:lvl w:ilvl="6" w:tplc="0C090001" w:tentative="1">
      <w:start w:val="1"/>
      <w:numFmt w:val="bullet"/>
      <w:lvlText w:val=""/>
      <w:lvlJc w:val="left"/>
      <w:pPr>
        <w:ind w:left="5355" w:hanging="360"/>
      </w:pPr>
      <w:rPr>
        <w:rFonts w:ascii="Symbol" w:hAnsi="Symbol" w:hint="default"/>
      </w:rPr>
    </w:lvl>
    <w:lvl w:ilvl="7" w:tplc="0C090003" w:tentative="1">
      <w:start w:val="1"/>
      <w:numFmt w:val="bullet"/>
      <w:lvlText w:val="o"/>
      <w:lvlJc w:val="left"/>
      <w:pPr>
        <w:ind w:left="6075" w:hanging="360"/>
      </w:pPr>
      <w:rPr>
        <w:rFonts w:ascii="Courier New" w:hAnsi="Courier New" w:cs="Courier New" w:hint="default"/>
      </w:rPr>
    </w:lvl>
    <w:lvl w:ilvl="8" w:tplc="0C090005" w:tentative="1">
      <w:start w:val="1"/>
      <w:numFmt w:val="bullet"/>
      <w:lvlText w:val=""/>
      <w:lvlJc w:val="left"/>
      <w:pPr>
        <w:ind w:left="6795" w:hanging="360"/>
      </w:pPr>
      <w:rPr>
        <w:rFonts w:ascii="Wingdings" w:hAnsi="Wingdings" w:hint="default"/>
      </w:rPr>
    </w:lvl>
  </w:abstractNum>
  <w:abstractNum w:abstractNumId="121" w15:restartNumberingAfterBreak="0">
    <w:nsid w:val="59A0095E"/>
    <w:multiLevelType w:val="hybridMultilevel"/>
    <w:tmpl w:val="14DC98C4"/>
    <w:lvl w:ilvl="0" w:tplc="08090001">
      <w:start w:val="1"/>
      <w:numFmt w:val="bullet"/>
      <w:lvlText w:val=""/>
      <w:lvlJc w:val="left"/>
      <w:pPr>
        <w:ind w:left="1440" w:hanging="360"/>
      </w:pPr>
      <w:rPr>
        <w:rFonts w:ascii="Symbol" w:hAnsi="Symbol" w:hint="default"/>
      </w:rPr>
    </w:lvl>
    <w:lvl w:ilvl="1" w:tplc="2CA66864">
      <w:numFmt w:val="bullet"/>
      <w:lvlText w:val="•"/>
      <w:lvlJc w:val="left"/>
      <w:pPr>
        <w:ind w:left="2520" w:hanging="720"/>
      </w:pPr>
      <w:rPr>
        <w:rFonts w:ascii="Calibri" w:eastAsiaTheme="minorEastAsia" w:hAnsi="Calibri" w:cs="Calibri" w:hint="default"/>
      </w:rPr>
    </w:lvl>
    <w:lvl w:ilvl="2" w:tplc="0C090001">
      <w:start w:val="1"/>
      <w:numFmt w:val="bullet"/>
      <w:lvlText w:val=""/>
      <w:lvlJc w:val="left"/>
      <w:pPr>
        <w:ind w:left="2880" w:hanging="360"/>
      </w:pPr>
      <w:rPr>
        <w:rFonts w:ascii="Symbol" w:hAnsi="Symbol" w:hint="default"/>
      </w:rPr>
    </w:lvl>
    <w:lvl w:ilvl="3" w:tplc="0809000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2" w15:restartNumberingAfterBreak="0">
    <w:nsid w:val="5D6417A0"/>
    <w:multiLevelType w:val="hybridMultilevel"/>
    <w:tmpl w:val="39748EF6"/>
    <w:lvl w:ilvl="0" w:tplc="08090001">
      <w:start w:val="1"/>
      <w:numFmt w:val="bullet"/>
      <w:lvlText w:val=""/>
      <w:lvlJc w:val="left"/>
      <w:pPr>
        <w:ind w:left="3240" w:hanging="360"/>
      </w:pPr>
      <w:rPr>
        <w:rFonts w:ascii="Symbol" w:hAnsi="Symbol" w:hint="default"/>
      </w:rPr>
    </w:lvl>
    <w:lvl w:ilvl="1" w:tplc="0C090003">
      <w:start w:val="1"/>
      <w:numFmt w:val="bullet"/>
      <w:lvlText w:val="o"/>
      <w:lvlJc w:val="left"/>
      <w:pPr>
        <w:ind w:left="3240" w:hanging="360"/>
      </w:pPr>
      <w:rPr>
        <w:rFonts w:ascii="Courier New" w:hAnsi="Courier New" w:cs="Courier New" w:hint="default"/>
      </w:rPr>
    </w:lvl>
    <w:lvl w:ilvl="2" w:tplc="0C090001">
      <w:start w:val="1"/>
      <w:numFmt w:val="bullet"/>
      <w:lvlText w:val=""/>
      <w:lvlJc w:val="left"/>
      <w:pPr>
        <w:ind w:left="3960" w:hanging="360"/>
      </w:pPr>
      <w:rPr>
        <w:rFonts w:ascii="Symbol" w:hAnsi="Symbol" w:hint="default"/>
      </w:rPr>
    </w:lvl>
    <w:lvl w:ilvl="3" w:tplc="0C090001">
      <w:start w:val="1"/>
      <w:numFmt w:val="bullet"/>
      <w:lvlText w:val=""/>
      <w:lvlJc w:val="left"/>
      <w:pPr>
        <w:ind w:left="4680" w:hanging="360"/>
      </w:pPr>
      <w:rPr>
        <w:rFonts w:ascii="Symbol" w:hAnsi="Symbol" w:hint="default"/>
      </w:rPr>
    </w:lvl>
    <w:lvl w:ilvl="4" w:tplc="0C090003" w:tentative="1">
      <w:start w:val="1"/>
      <w:numFmt w:val="bullet"/>
      <w:lvlText w:val="o"/>
      <w:lvlJc w:val="left"/>
      <w:pPr>
        <w:ind w:left="5400" w:hanging="360"/>
      </w:pPr>
      <w:rPr>
        <w:rFonts w:ascii="Courier New" w:hAnsi="Courier New" w:cs="Courier New" w:hint="default"/>
      </w:rPr>
    </w:lvl>
    <w:lvl w:ilvl="5" w:tplc="0C090005" w:tentative="1">
      <w:start w:val="1"/>
      <w:numFmt w:val="bullet"/>
      <w:lvlText w:val=""/>
      <w:lvlJc w:val="left"/>
      <w:pPr>
        <w:ind w:left="6120" w:hanging="360"/>
      </w:pPr>
      <w:rPr>
        <w:rFonts w:ascii="Wingdings" w:hAnsi="Wingdings" w:hint="default"/>
      </w:rPr>
    </w:lvl>
    <w:lvl w:ilvl="6" w:tplc="0C090001" w:tentative="1">
      <w:start w:val="1"/>
      <w:numFmt w:val="bullet"/>
      <w:lvlText w:val=""/>
      <w:lvlJc w:val="left"/>
      <w:pPr>
        <w:ind w:left="6840" w:hanging="360"/>
      </w:pPr>
      <w:rPr>
        <w:rFonts w:ascii="Symbol" w:hAnsi="Symbol" w:hint="default"/>
      </w:rPr>
    </w:lvl>
    <w:lvl w:ilvl="7" w:tplc="0C090003" w:tentative="1">
      <w:start w:val="1"/>
      <w:numFmt w:val="bullet"/>
      <w:lvlText w:val="o"/>
      <w:lvlJc w:val="left"/>
      <w:pPr>
        <w:ind w:left="7560" w:hanging="360"/>
      </w:pPr>
      <w:rPr>
        <w:rFonts w:ascii="Courier New" w:hAnsi="Courier New" w:cs="Courier New" w:hint="default"/>
      </w:rPr>
    </w:lvl>
    <w:lvl w:ilvl="8" w:tplc="0C090005" w:tentative="1">
      <w:start w:val="1"/>
      <w:numFmt w:val="bullet"/>
      <w:lvlText w:val=""/>
      <w:lvlJc w:val="left"/>
      <w:pPr>
        <w:ind w:left="8280" w:hanging="360"/>
      </w:pPr>
      <w:rPr>
        <w:rFonts w:ascii="Wingdings" w:hAnsi="Wingdings" w:hint="default"/>
      </w:rPr>
    </w:lvl>
  </w:abstractNum>
  <w:abstractNum w:abstractNumId="123" w15:restartNumberingAfterBreak="0">
    <w:nsid w:val="5DD510D0"/>
    <w:multiLevelType w:val="hybridMultilevel"/>
    <w:tmpl w:val="4B7EA17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4" w15:restartNumberingAfterBreak="0">
    <w:nsid w:val="5E67553D"/>
    <w:multiLevelType w:val="multilevel"/>
    <w:tmpl w:val="EE34F79A"/>
    <w:lvl w:ilvl="0">
      <w:start w:val="3"/>
      <w:numFmt w:val="decimal"/>
      <w:lvlText w:val="%1."/>
      <w:lvlJc w:val="left"/>
      <w:pPr>
        <w:ind w:left="720" w:hanging="720"/>
      </w:pPr>
      <w:rPr>
        <w:rFonts w:hint="default"/>
        <w:sz w:val="36"/>
        <w:szCs w:val="36"/>
      </w:rPr>
    </w:lvl>
    <w:lvl w:ilvl="1">
      <w:start w:val="1"/>
      <w:numFmt w:val="decimal"/>
      <w:lvlRestart w:val="0"/>
      <w:pStyle w:val="Heading2"/>
      <w:lvlText w:val="%1.%2."/>
      <w:lvlJc w:val="left"/>
      <w:pPr>
        <w:ind w:left="720" w:hanging="720"/>
      </w:pPr>
      <w:rPr>
        <w:sz w:val="28"/>
        <w:szCs w:val="28"/>
      </w:rPr>
    </w:lvl>
    <w:lvl w:ilvl="2">
      <w:start w:val="1"/>
      <w:numFmt w:val="decimal"/>
      <w:lvlRestart w:val="0"/>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5" w15:restartNumberingAfterBreak="0">
    <w:nsid w:val="5E9A0D48"/>
    <w:multiLevelType w:val="hybridMultilevel"/>
    <w:tmpl w:val="7A7C5E5A"/>
    <w:lvl w:ilvl="0" w:tplc="08090001">
      <w:start w:val="1"/>
      <w:numFmt w:val="bullet"/>
      <w:lvlText w:val=""/>
      <w:lvlJc w:val="left"/>
      <w:pPr>
        <w:ind w:left="762" w:hanging="360"/>
      </w:pPr>
      <w:rPr>
        <w:rFonts w:ascii="Symbol" w:hAnsi="Symbol" w:hint="default"/>
      </w:rPr>
    </w:lvl>
    <w:lvl w:ilvl="1" w:tplc="08090003" w:tentative="1">
      <w:start w:val="1"/>
      <w:numFmt w:val="bullet"/>
      <w:lvlText w:val="o"/>
      <w:lvlJc w:val="left"/>
      <w:pPr>
        <w:ind w:left="1482" w:hanging="360"/>
      </w:pPr>
      <w:rPr>
        <w:rFonts w:ascii="Courier New" w:hAnsi="Courier New" w:cs="Courier New" w:hint="default"/>
      </w:rPr>
    </w:lvl>
    <w:lvl w:ilvl="2" w:tplc="08090005" w:tentative="1">
      <w:start w:val="1"/>
      <w:numFmt w:val="bullet"/>
      <w:lvlText w:val=""/>
      <w:lvlJc w:val="left"/>
      <w:pPr>
        <w:ind w:left="2202" w:hanging="360"/>
      </w:pPr>
      <w:rPr>
        <w:rFonts w:ascii="Wingdings" w:hAnsi="Wingdings" w:hint="default"/>
      </w:rPr>
    </w:lvl>
    <w:lvl w:ilvl="3" w:tplc="08090001" w:tentative="1">
      <w:start w:val="1"/>
      <w:numFmt w:val="bullet"/>
      <w:lvlText w:val=""/>
      <w:lvlJc w:val="left"/>
      <w:pPr>
        <w:ind w:left="2922" w:hanging="360"/>
      </w:pPr>
      <w:rPr>
        <w:rFonts w:ascii="Symbol" w:hAnsi="Symbol" w:hint="default"/>
      </w:rPr>
    </w:lvl>
    <w:lvl w:ilvl="4" w:tplc="08090003" w:tentative="1">
      <w:start w:val="1"/>
      <w:numFmt w:val="bullet"/>
      <w:lvlText w:val="o"/>
      <w:lvlJc w:val="left"/>
      <w:pPr>
        <w:ind w:left="3642" w:hanging="360"/>
      </w:pPr>
      <w:rPr>
        <w:rFonts w:ascii="Courier New" w:hAnsi="Courier New" w:cs="Courier New" w:hint="default"/>
      </w:rPr>
    </w:lvl>
    <w:lvl w:ilvl="5" w:tplc="08090005" w:tentative="1">
      <w:start w:val="1"/>
      <w:numFmt w:val="bullet"/>
      <w:lvlText w:val=""/>
      <w:lvlJc w:val="left"/>
      <w:pPr>
        <w:ind w:left="4362" w:hanging="360"/>
      </w:pPr>
      <w:rPr>
        <w:rFonts w:ascii="Wingdings" w:hAnsi="Wingdings" w:hint="default"/>
      </w:rPr>
    </w:lvl>
    <w:lvl w:ilvl="6" w:tplc="08090001" w:tentative="1">
      <w:start w:val="1"/>
      <w:numFmt w:val="bullet"/>
      <w:lvlText w:val=""/>
      <w:lvlJc w:val="left"/>
      <w:pPr>
        <w:ind w:left="5082" w:hanging="360"/>
      </w:pPr>
      <w:rPr>
        <w:rFonts w:ascii="Symbol" w:hAnsi="Symbol" w:hint="default"/>
      </w:rPr>
    </w:lvl>
    <w:lvl w:ilvl="7" w:tplc="08090003" w:tentative="1">
      <w:start w:val="1"/>
      <w:numFmt w:val="bullet"/>
      <w:lvlText w:val="o"/>
      <w:lvlJc w:val="left"/>
      <w:pPr>
        <w:ind w:left="5802" w:hanging="360"/>
      </w:pPr>
      <w:rPr>
        <w:rFonts w:ascii="Courier New" w:hAnsi="Courier New" w:cs="Courier New" w:hint="default"/>
      </w:rPr>
    </w:lvl>
    <w:lvl w:ilvl="8" w:tplc="08090005" w:tentative="1">
      <w:start w:val="1"/>
      <w:numFmt w:val="bullet"/>
      <w:lvlText w:val=""/>
      <w:lvlJc w:val="left"/>
      <w:pPr>
        <w:ind w:left="6522" w:hanging="360"/>
      </w:pPr>
      <w:rPr>
        <w:rFonts w:ascii="Wingdings" w:hAnsi="Wingdings" w:hint="default"/>
      </w:rPr>
    </w:lvl>
  </w:abstractNum>
  <w:abstractNum w:abstractNumId="126" w15:restartNumberingAfterBreak="0">
    <w:nsid w:val="5F7B45F6"/>
    <w:multiLevelType w:val="hybridMultilevel"/>
    <w:tmpl w:val="58CCF67E"/>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1">
      <w:start w:val="1"/>
      <w:numFmt w:val="bullet"/>
      <w:lvlText w:val=""/>
      <w:lvlJc w:val="left"/>
      <w:pPr>
        <w:ind w:left="1440" w:hanging="360"/>
      </w:pPr>
      <w:rPr>
        <w:rFonts w:ascii="Symbol" w:hAnsi="Symbol" w:hint="default"/>
      </w:rPr>
    </w:lvl>
    <w:lvl w:ilvl="3" w:tplc="0809000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7" w15:restartNumberingAfterBreak="0">
    <w:nsid w:val="5FD964AC"/>
    <w:multiLevelType w:val="hybridMultilevel"/>
    <w:tmpl w:val="EE4A320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8" w15:restartNumberingAfterBreak="0">
    <w:nsid w:val="609A50A5"/>
    <w:multiLevelType w:val="multilevel"/>
    <w:tmpl w:val="39C6DBBE"/>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15:restartNumberingAfterBreak="0">
    <w:nsid w:val="618E45EB"/>
    <w:multiLevelType w:val="multilevel"/>
    <w:tmpl w:val="0F627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61960085"/>
    <w:multiLevelType w:val="multilevel"/>
    <w:tmpl w:val="5F12B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1" w15:restartNumberingAfterBreak="0">
    <w:nsid w:val="628E296B"/>
    <w:multiLevelType w:val="hybridMultilevel"/>
    <w:tmpl w:val="522E43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631324D8"/>
    <w:multiLevelType w:val="multilevel"/>
    <w:tmpl w:val="0C09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3" w15:restartNumberingAfterBreak="0">
    <w:nsid w:val="652D3644"/>
    <w:multiLevelType w:val="multilevel"/>
    <w:tmpl w:val="3EF21960"/>
    <w:lvl w:ilvl="0">
      <w:start w:val="1"/>
      <w:numFmt w:val="decimal"/>
      <w:lvlText w:val="%1."/>
      <w:lvlJc w:val="left"/>
      <w:pPr>
        <w:ind w:left="720" w:hanging="720"/>
      </w:pPr>
      <w:rPr>
        <w:rFonts w:hint="default"/>
      </w:rPr>
    </w:lvl>
    <w:lvl w:ilvl="1">
      <w:start w:val="1"/>
      <w:numFmt w:val="decimal"/>
      <w:lvlRestart w:val="0"/>
      <w:lvlText w:val="%1.%2."/>
      <w:lvlJc w:val="left"/>
      <w:pPr>
        <w:ind w:left="720" w:hanging="720"/>
      </w:pPr>
      <w:rPr>
        <w:rFonts w:ascii="Calibri" w:hAnsi="Calibri" w:hint="default"/>
        <w:b/>
        <w:i w:val="0"/>
        <w:sz w:val="28"/>
      </w:rPr>
    </w:lvl>
    <w:lvl w:ilvl="2">
      <w:start w:val="2"/>
      <w:numFmt w:val="decimal"/>
      <w:lvlRestart w:val="0"/>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4" w15:restartNumberingAfterBreak="0">
    <w:nsid w:val="660173B5"/>
    <w:multiLevelType w:val="hybridMultilevel"/>
    <w:tmpl w:val="66D8F2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66BD1ABD"/>
    <w:multiLevelType w:val="hybridMultilevel"/>
    <w:tmpl w:val="D40E9B84"/>
    <w:lvl w:ilvl="0" w:tplc="3C7EFA54">
      <w:start w:val="1"/>
      <w:numFmt w:val="decimal"/>
      <w:lvlText w:val="%1."/>
      <w:lvlJc w:val="left"/>
      <w:pPr>
        <w:ind w:left="720" w:hanging="360"/>
      </w:pPr>
      <w:rPr>
        <w:rFonts w:cs="Times New Roman" w:hint="default"/>
        <w:sz w:val="19"/>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6" w15:restartNumberingAfterBreak="0">
    <w:nsid w:val="66F918E6"/>
    <w:multiLevelType w:val="multilevel"/>
    <w:tmpl w:val="C9A07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684A1EB1"/>
    <w:multiLevelType w:val="multilevel"/>
    <w:tmpl w:val="24228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15:restartNumberingAfterBreak="0">
    <w:nsid w:val="69F65022"/>
    <w:multiLevelType w:val="multilevel"/>
    <w:tmpl w:val="CF7AF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15:restartNumberingAfterBreak="0">
    <w:nsid w:val="6A145CA8"/>
    <w:multiLevelType w:val="hybridMultilevel"/>
    <w:tmpl w:val="A2A4FE14"/>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start w:val="1"/>
      <w:numFmt w:val="bullet"/>
      <w:lvlText w:val="o"/>
      <w:lvlJc w:val="left"/>
      <w:pPr>
        <w:ind w:left="4320" w:hanging="360"/>
      </w:pPr>
      <w:rPr>
        <w:rFonts w:ascii="Courier New" w:hAnsi="Courier New" w:cs="Courier New" w:hint="default"/>
      </w:rPr>
    </w:lvl>
    <w:lvl w:ilvl="5" w:tplc="0C090005">
      <w:start w:val="1"/>
      <w:numFmt w:val="bullet"/>
      <w:lvlText w:val=""/>
      <w:lvlJc w:val="left"/>
      <w:pPr>
        <w:ind w:left="5040" w:hanging="360"/>
      </w:pPr>
      <w:rPr>
        <w:rFonts w:ascii="Wingdings" w:hAnsi="Wingdings" w:hint="default"/>
      </w:rPr>
    </w:lvl>
    <w:lvl w:ilvl="6" w:tplc="0C090001">
      <w:start w:val="1"/>
      <w:numFmt w:val="bullet"/>
      <w:lvlText w:val=""/>
      <w:lvlJc w:val="left"/>
      <w:pPr>
        <w:ind w:left="5760" w:hanging="360"/>
      </w:pPr>
      <w:rPr>
        <w:rFonts w:ascii="Symbol" w:hAnsi="Symbol" w:hint="default"/>
      </w:rPr>
    </w:lvl>
    <w:lvl w:ilvl="7" w:tplc="0C090003">
      <w:start w:val="1"/>
      <w:numFmt w:val="bullet"/>
      <w:lvlText w:val="o"/>
      <w:lvlJc w:val="left"/>
      <w:pPr>
        <w:ind w:left="6480" w:hanging="360"/>
      </w:pPr>
      <w:rPr>
        <w:rFonts w:ascii="Courier New" w:hAnsi="Courier New" w:cs="Courier New" w:hint="default"/>
      </w:rPr>
    </w:lvl>
    <w:lvl w:ilvl="8" w:tplc="0C090005">
      <w:start w:val="1"/>
      <w:numFmt w:val="bullet"/>
      <w:lvlText w:val=""/>
      <w:lvlJc w:val="left"/>
      <w:pPr>
        <w:ind w:left="7200" w:hanging="360"/>
      </w:pPr>
      <w:rPr>
        <w:rFonts w:ascii="Wingdings" w:hAnsi="Wingdings" w:hint="default"/>
      </w:rPr>
    </w:lvl>
  </w:abstractNum>
  <w:abstractNum w:abstractNumId="140" w15:restartNumberingAfterBreak="0">
    <w:nsid w:val="6AE220A4"/>
    <w:multiLevelType w:val="multilevel"/>
    <w:tmpl w:val="CCE2898C"/>
    <w:lvl w:ilvl="0">
      <w:start w:val="2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 w15:restartNumberingAfterBreak="0">
    <w:nsid w:val="6B916A94"/>
    <w:multiLevelType w:val="multilevel"/>
    <w:tmpl w:val="E9E82742"/>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15:restartNumberingAfterBreak="0">
    <w:nsid w:val="6DB16DE5"/>
    <w:multiLevelType w:val="hybridMultilevel"/>
    <w:tmpl w:val="71346E18"/>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43" w15:restartNumberingAfterBreak="0">
    <w:nsid w:val="6DEC4D8A"/>
    <w:multiLevelType w:val="multilevel"/>
    <w:tmpl w:val="BDACF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15:restartNumberingAfterBreak="0">
    <w:nsid w:val="6E3D6E33"/>
    <w:multiLevelType w:val="multilevel"/>
    <w:tmpl w:val="CA4E8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5" w15:restartNumberingAfterBreak="0">
    <w:nsid w:val="6EA048A5"/>
    <w:multiLevelType w:val="multilevel"/>
    <w:tmpl w:val="4880D630"/>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15:restartNumberingAfterBreak="0">
    <w:nsid w:val="6EB863C7"/>
    <w:multiLevelType w:val="hybridMultilevel"/>
    <w:tmpl w:val="2A1250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7" w15:restartNumberingAfterBreak="0">
    <w:nsid w:val="6EE17B6F"/>
    <w:multiLevelType w:val="multilevel"/>
    <w:tmpl w:val="4A1C8FF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6EEE01B4"/>
    <w:multiLevelType w:val="hybridMultilevel"/>
    <w:tmpl w:val="163C82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9" w15:restartNumberingAfterBreak="0">
    <w:nsid w:val="6F223DBB"/>
    <w:multiLevelType w:val="hybridMultilevel"/>
    <w:tmpl w:val="EA4AC5C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0" w15:restartNumberingAfterBreak="0">
    <w:nsid w:val="7012258D"/>
    <w:multiLevelType w:val="multilevel"/>
    <w:tmpl w:val="B7DA9C20"/>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15:restartNumberingAfterBreak="0">
    <w:nsid w:val="70EC4B67"/>
    <w:multiLevelType w:val="hybridMultilevel"/>
    <w:tmpl w:val="9072E586"/>
    <w:lvl w:ilvl="0" w:tplc="AA6EEC52">
      <w:start w:val="4"/>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2" w15:restartNumberingAfterBreak="0">
    <w:nsid w:val="71F1084E"/>
    <w:multiLevelType w:val="hybridMultilevel"/>
    <w:tmpl w:val="B5C4BC0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3" w15:restartNumberingAfterBreak="0">
    <w:nsid w:val="730D1C1D"/>
    <w:multiLevelType w:val="hybridMultilevel"/>
    <w:tmpl w:val="275C47A2"/>
    <w:lvl w:ilvl="0" w:tplc="7FE4E160">
      <w:start w:val="1"/>
      <w:numFmt w:val="decimal"/>
      <w:lvlText w:val="%1."/>
      <w:lvlJc w:val="left"/>
      <w:pPr>
        <w:ind w:left="720" w:hanging="360"/>
      </w:pPr>
      <w:rPr>
        <w:rFonts w:hint="default"/>
      </w:rPr>
    </w:lvl>
    <w:lvl w:ilvl="1" w:tplc="0C090019">
      <w:start w:val="1"/>
      <w:numFmt w:val="lowerLetter"/>
      <w:lvlText w:val="%2."/>
      <w:lvlJc w:val="left"/>
      <w:pPr>
        <w:ind w:left="107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4" w15:restartNumberingAfterBreak="0">
    <w:nsid w:val="73711972"/>
    <w:multiLevelType w:val="hybridMultilevel"/>
    <w:tmpl w:val="E5BE37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5" w15:restartNumberingAfterBreak="0">
    <w:nsid w:val="73D44E16"/>
    <w:multiLevelType w:val="multilevel"/>
    <w:tmpl w:val="C88AC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6" w15:restartNumberingAfterBreak="0">
    <w:nsid w:val="7448404D"/>
    <w:multiLevelType w:val="hybridMultilevel"/>
    <w:tmpl w:val="158849EE"/>
    <w:lvl w:ilvl="0" w:tplc="08090001">
      <w:start w:val="1"/>
      <w:numFmt w:val="bullet"/>
      <w:lvlText w:val=""/>
      <w:lvlJc w:val="left"/>
      <w:pPr>
        <w:ind w:left="1080" w:hanging="360"/>
      </w:pPr>
      <w:rPr>
        <w:rFonts w:ascii="Symbol" w:hAnsi="Symbol" w:hint="default"/>
      </w:rPr>
    </w:lvl>
    <w:lvl w:ilvl="1" w:tplc="0C090001">
      <w:start w:val="1"/>
      <w:numFmt w:val="bullet"/>
      <w:lvlText w:val=""/>
      <w:lvlJc w:val="left"/>
      <w:pPr>
        <w:ind w:left="1800" w:hanging="360"/>
      </w:pPr>
      <w:rPr>
        <w:rFonts w:ascii="Symbol" w:hAnsi="Symbol"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57" w15:restartNumberingAfterBreak="0">
    <w:nsid w:val="74856943"/>
    <w:multiLevelType w:val="hybridMultilevel"/>
    <w:tmpl w:val="15F0097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8" w15:restartNumberingAfterBreak="0">
    <w:nsid w:val="76573F86"/>
    <w:multiLevelType w:val="multilevel"/>
    <w:tmpl w:val="794CB39C"/>
    <w:lvl w:ilvl="0">
      <w:start w:val="1"/>
      <w:numFmt w:val="decimal"/>
      <w:lvlText w:val="%1."/>
      <w:lvlJc w:val="left"/>
      <w:pPr>
        <w:ind w:left="720" w:hanging="720"/>
      </w:pPr>
      <w:rPr>
        <w:rFonts w:hint="default"/>
      </w:rPr>
    </w:lvl>
    <w:lvl w:ilvl="1">
      <w:start w:val="4"/>
      <w:numFmt w:val="decimal"/>
      <w:lvlRestart w:val="0"/>
      <w:lvlText w:val="%1.%2."/>
      <w:lvlJc w:val="left"/>
      <w:pPr>
        <w:ind w:left="720" w:hanging="720"/>
      </w:pPr>
      <w:rPr>
        <w:rFonts w:ascii="Calibri" w:hAnsi="Calibri" w:hint="default"/>
        <w:b/>
        <w:i w:val="0"/>
        <w:sz w:val="28"/>
      </w:rPr>
    </w:lvl>
    <w:lvl w:ilvl="2">
      <w:start w:val="2"/>
      <w:numFmt w:val="decimal"/>
      <w:lvlRestart w:val="0"/>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9" w15:restartNumberingAfterBreak="0">
    <w:nsid w:val="76F27827"/>
    <w:multiLevelType w:val="multilevel"/>
    <w:tmpl w:val="7D3E3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0" w15:restartNumberingAfterBreak="0">
    <w:nsid w:val="78D711E1"/>
    <w:multiLevelType w:val="multilevel"/>
    <w:tmpl w:val="3F8A0158"/>
    <w:lvl w:ilvl="0">
      <w:start w:val="3"/>
      <w:numFmt w:val="decimal"/>
      <w:lvlText w:val="%1."/>
      <w:lvlJc w:val="left"/>
      <w:pPr>
        <w:ind w:left="560" w:hanging="560"/>
      </w:pPr>
      <w:rPr>
        <w:rFonts w:hint="default"/>
      </w:rPr>
    </w:lvl>
    <w:lvl w:ilvl="1">
      <w:start w:val="5"/>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1" w15:restartNumberingAfterBreak="0">
    <w:nsid w:val="794233FA"/>
    <w:multiLevelType w:val="hybridMultilevel"/>
    <w:tmpl w:val="787C9C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2" w15:restartNumberingAfterBreak="0">
    <w:nsid w:val="7D127296"/>
    <w:multiLevelType w:val="hybridMultilevel"/>
    <w:tmpl w:val="6114C6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3" w15:restartNumberingAfterBreak="0">
    <w:nsid w:val="7EAE264A"/>
    <w:multiLevelType w:val="hybridMultilevel"/>
    <w:tmpl w:val="4C0A6ADC"/>
    <w:lvl w:ilvl="0" w:tplc="91AE2F2A">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60"/>
  </w:num>
  <w:num w:numId="2">
    <w:abstractNumId w:val="123"/>
  </w:num>
  <w:num w:numId="3">
    <w:abstractNumId w:val="103"/>
  </w:num>
  <w:num w:numId="4">
    <w:abstractNumId w:val="90"/>
  </w:num>
  <w:num w:numId="5">
    <w:abstractNumId w:val="134"/>
  </w:num>
  <w:num w:numId="6">
    <w:abstractNumId w:val="16"/>
  </w:num>
  <w:num w:numId="7">
    <w:abstractNumId w:val="109"/>
  </w:num>
  <w:num w:numId="8">
    <w:abstractNumId w:val="71"/>
  </w:num>
  <w:num w:numId="9">
    <w:abstractNumId w:val="32"/>
  </w:num>
  <w:num w:numId="10">
    <w:abstractNumId w:val="15"/>
  </w:num>
  <w:num w:numId="11">
    <w:abstractNumId w:val="84"/>
  </w:num>
  <w:num w:numId="12">
    <w:abstractNumId w:val="31"/>
  </w:num>
  <w:num w:numId="13">
    <w:abstractNumId w:val="163"/>
  </w:num>
  <w:num w:numId="14">
    <w:abstractNumId w:val="132"/>
  </w:num>
  <w:num w:numId="15">
    <w:abstractNumId w:val="72"/>
  </w:num>
  <w:num w:numId="16">
    <w:abstractNumId w:val="131"/>
  </w:num>
  <w:num w:numId="17">
    <w:abstractNumId w:val="47"/>
  </w:num>
  <w:num w:numId="18">
    <w:abstractNumId w:val="127"/>
  </w:num>
  <w:num w:numId="19">
    <w:abstractNumId w:val="37"/>
  </w:num>
  <w:num w:numId="20">
    <w:abstractNumId w:val="75"/>
  </w:num>
  <w:num w:numId="21">
    <w:abstractNumId w:val="74"/>
  </w:num>
  <w:num w:numId="22">
    <w:abstractNumId w:val="156"/>
  </w:num>
  <w:num w:numId="23">
    <w:abstractNumId w:val="142"/>
  </w:num>
  <w:num w:numId="24">
    <w:abstractNumId w:val="91"/>
  </w:num>
  <w:num w:numId="25">
    <w:abstractNumId w:val="33"/>
  </w:num>
  <w:num w:numId="26">
    <w:abstractNumId w:val="45"/>
  </w:num>
  <w:num w:numId="27">
    <w:abstractNumId w:val="126"/>
  </w:num>
  <w:num w:numId="28">
    <w:abstractNumId w:val="122"/>
  </w:num>
  <w:num w:numId="29">
    <w:abstractNumId w:val="121"/>
  </w:num>
  <w:num w:numId="30">
    <w:abstractNumId w:val="62"/>
  </w:num>
  <w:num w:numId="31">
    <w:abstractNumId w:val="66"/>
  </w:num>
  <w:num w:numId="32">
    <w:abstractNumId w:val="39"/>
  </w:num>
  <w:num w:numId="33">
    <w:abstractNumId w:val="6"/>
  </w:num>
  <w:num w:numId="34">
    <w:abstractNumId w:val="38"/>
  </w:num>
  <w:num w:numId="35">
    <w:abstractNumId w:val="117"/>
  </w:num>
  <w:num w:numId="36">
    <w:abstractNumId w:val="86"/>
  </w:num>
  <w:num w:numId="37">
    <w:abstractNumId w:val="95"/>
  </w:num>
  <w:num w:numId="38">
    <w:abstractNumId w:val="68"/>
  </w:num>
  <w:num w:numId="39">
    <w:abstractNumId w:val="111"/>
  </w:num>
  <w:num w:numId="40">
    <w:abstractNumId w:val="146"/>
  </w:num>
  <w:num w:numId="41">
    <w:abstractNumId w:val="139"/>
  </w:num>
  <w:num w:numId="42">
    <w:abstractNumId w:val="152"/>
  </w:num>
  <w:num w:numId="43">
    <w:abstractNumId w:val="20"/>
  </w:num>
  <w:num w:numId="44">
    <w:abstractNumId w:val="157"/>
  </w:num>
  <w:num w:numId="45">
    <w:abstractNumId w:val="5"/>
  </w:num>
  <w:num w:numId="46">
    <w:abstractNumId w:val="118"/>
  </w:num>
  <w:num w:numId="47">
    <w:abstractNumId w:val="61"/>
  </w:num>
  <w:num w:numId="48">
    <w:abstractNumId w:val="100"/>
  </w:num>
  <w:num w:numId="49">
    <w:abstractNumId w:val="17"/>
  </w:num>
  <w:num w:numId="50">
    <w:abstractNumId w:val="50"/>
  </w:num>
  <w:num w:numId="51">
    <w:abstractNumId w:val="14"/>
  </w:num>
  <w:num w:numId="52">
    <w:abstractNumId w:val="10"/>
  </w:num>
  <w:num w:numId="53">
    <w:abstractNumId w:val="22"/>
  </w:num>
  <w:num w:numId="54">
    <w:abstractNumId w:val="30"/>
  </w:num>
  <w:num w:numId="55">
    <w:abstractNumId w:val="120"/>
  </w:num>
  <w:num w:numId="56">
    <w:abstractNumId w:val="106"/>
  </w:num>
  <w:num w:numId="57">
    <w:abstractNumId w:val="0"/>
  </w:num>
  <w:num w:numId="58">
    <w:abstractNumId w:val="25"/>
  </w:num>
  <w:num w:numId="59">
    <w:abstractNumId w:val="27"/>
  </w:num>
  <w:num w:numId="60">
    <w:abstractNumId w:val="49"/>
  </w:num>
  <w:num w:numId="61">
    <w:abstractNumId w:val="19"/>
  </w:num>
  <w:num w:numId="62">
    <w:abstractNumId w:val="11"/>
  </w:num>
  <w:num w:numId="63">
    <w:abstractNumId w:val="148"/>
  </w:num>
  <w:num w:numId="64">
    <w:abstractNumId w:val="162"/>
  </w:num>
  <w:num w:numId="65">
    <w:abstractNumId w:val="85"/>
  </w:num>
  <w:num w:numId="66">
    <w:abstractNumId w:val="153"/>
  </w:num>
  <w:num w:numId="67">
    <w:abstractNumId w:val="151"/>
  </w:num>
  <w:num w:numId="68">
    <w:abstractNumId w:val="42"/>
  </w:num>
  <w:num w:numId="69">
    <w:abstractNumId w:val="59"/>
  </w:num>
  <w:num w:numId="70">
    <w:abstractNumId w:val="135"/>
  </w:num>
  <w:num w:numId="71">
    <w:abstractNumId w:val="36"/>
  </w:num>
  <w:num w:numId="72">
    <w:abstractNumId w:val="15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41"/>
  </w:num>
  <w:num w:numId="74">
    <w:abstractNumId w:val="94"/>
  </w:num>
  <w:num w:numId="75">
    <w:abstractNumId w:val="113"/>
  </w:num>
  <w:num w:numId="76">
    <w:abstractNumId w:val="78"/>
  </w:num>
  <w:num w:numId="77">
    <w:abstractNumId w:val="144"/>
  </w:num>
  <w:num w:numId="78">
    <w:abstractNumId w:val="21"/>
  </w:num>
  <w:num w:numId="79">
    <w:abstractNumId w:val="40"/>
  </w:num>
  <w:num w:numId="80">
    <w:abstractNumId w:val="12"/>
  </w:num>
  <w:num w:numId="81">
    <w:abstractNumId w:val="136"/>
  </w:num>
  <w:num w:numId="82">
    <w:abstractNumId w:val="29"/>
  </w:num>
  <w:num w:numId="83">
    <w:abstractNumId w:val="147"/>
  </w:num>
  <w:num w:numId="84">
    <w:abstractNumId w:val="48"/>
  </w:num>
  <w:num w:numId="85">
    <w:abstractNumId w:val="88"/>
  </w:num>
  <w:num w:numId="86">
    <w:abstractNumId w:val="155"/>
  </w:num>
  <w:num w:numId="87">
    <w:abstractNumId w:val="83"/>
  </w:num>
  <w:num w:numId="88">
    <w:abstractNumId w:val="130"/>
  </w:num>
  <w:num w:numId="89">
    <w:abstractNumId w:val="34"/>
  </w:num>
  <w:num w:numId="90">
    <w:abstractNumId w:val="41"/>
  </w:num>
  <w:num w:numId="91">
    <w:abstractNumId w:val="80"/>
  </w:num>
  <w:num w:numId="92">
    <w:abstractNumId w:val="65"/>
  </w:num>
  <w:num w:numId="93">
    <w:abstractNumId w:val="143"/>
  </w:num>
  <w:num w:numId="94">
    <w:abstractNumId w:val="104"/>
  </w:num>
  <w:num w:numId="95">
    <w:abstractNumId w:val="114"/>
  </w:num>
  <w:num w:numId="96">
    <w:abstractNumId w:val="56"/>
  </w:num>
  <w:num w:numId="97">
    <w:abstractNumId w:val="63"/>
  </w:num>
  <w:num w:numId="98">
    <w:abstractNumId w:val="9"/>
  </w:num>
  <w:num w:numId="99">
    <w:abstractNumId w:val="129"/>
  </w:num>
  <w:num w:numId="100">
    <w:abstractNumId w:val="76"/>
  </w:num>
  <w:num w:numId="101">
    <w:abstractNumId w:val="105"/>
  </w:num>
  <w:num w:numId="102">
    <w:abstractNumId w:val="53"/>
  </w:num>
  <w:num w:numId="103">
    <w:abstractNumId w:val="2"/>
  </w:num>
  <w:num w:numId="104">
    <w:abstractNumId w:val="128"/>
  </w:num>
  <w:num w:numId="105">
    <w:abstractNumId w:val="159"/>
  </w:num>
  <w:num w:numId="106">
    <w:abstractNumId w:val="81"/>
  </w:num>
  <w:num w:numId="107">
    <w:abstractNumId w:val="28"/>
  </w:num>
  <w:num w:numId="108">
    <w:abstractNumId w:val="4"/>
  </w:num>
  <w:num w:numId="109">
    <w:abstractNumId w:val="13"/>
  </w:num>
  <w:num w:numId="110">
    <w:abstractNumId w:val="26"/>
  </w:num>
  <w:num w:numId="111">
    <w:abstractNumId w:val="58"/>
  </w:num>
  <w:num w:numId="112">
    <w:abstractNumId w:val="150"/>
  </w:num>
  <w:num w:numId="113">
    <w:abstractNumId w:val="116"/>
  </w:num>
  <w:num w:numId="114">
    <w:abstractNumId w:val="96"/>
  </w:num>
  <w:num w:numId="115">
    <w:abstractNumId w:val="112"/>
  </w:num>
  <w:num w:numId="116">
    <w:abstractNumId w:val="145"/>
  </w:num>
  <w:num w:numId="117">
    <w:abstractNumId w:val="43"/>
  </w:num>
  <w:num w:numId="118">
    <w:abstractNumId w:val="137"/>
  </w:num>
  <w:num w:numId="119">
    <w:abstractNumId w:val="64"/>
  </w:num>
  <w:num w:numId="120">
    <w:abstractNumId w:val="77"/>
  </w:num>
  <w:num w:numId="121">
    <w:abstractNumId w:val="140"/>
  </w:num>
  <w:num w:numId="122">
    <w:abstractNumId w:val="102"/>
  </w:num>
  <w:num w:numId="123">
    <w:abstractNumId w:val="8"/>
  </w:num>
  <w:num w:numId="124">
    <w:abstractNumId w:val="18"/>
  </w:num>
  <w:num w:numId="125">
    <w:abstractNumId w:val="138"/>
  </w:num>
  <w:num w:numId="126">
    <w:abstractNumId w:val="67"/>
  </w:num>
  <w:num w:numId="127">
    <w:abstractNumId w:val="73"/>
  </w:num>
  <w:num w:numId="128">
    <w:abstractNumId w:val="46"/>
  </w:num>
  <w:num w:numId="129">
    <w:abstractNumId w:val="97"/>
  </w:num>
  <w:num w:numId="130">
    <w:abstractNumId w:val="89"/>
  </w:num>
  <w:num w:numId="131">
    <w:abstractNumId w:val="23"/>
  </w:num>
  <w:num w:numId="132">
    <w:abstractNumId w:val="99"/>
  </w:num>
  <w:num w:numId="133">
    <w:abstractNumId w:val="158"/>
  </w:num>
  <w:num w:numId="134">
    <w:abstractNumId w:val="133"/>
  </w:num>
  <w:num w:numId="135">
    <w:abstractNumId w:val="108"/>
  </w:num>
  <w:num w:numId="136">
    <w:abstractNumId w:val="124"/>
  </w:num>
  <w:num w:numId="137">
    <w:abstractNumId w:val="35"/>
  </w:num>
  <w:num w:numId="138">
    <w:abstractNumId w:val="98"/>
  </w:num>
  <w:num w:numId="139">
    <w:abstractNumId w:val="24"/>
  </w:num>
  <w:num w:numId="140">
    <w:abstractNumId w:val="161"/>
  </w:num>
  <w:num w:numId="141">
    <w:abstractNumId w:val="154"/>
  </w:num>
  <w:num w:numId="142">
    <w:abstractNumId w:val="115"/>
  </w:num>
  <w:num w:numId="143">
    <w:abstractNumId w:val="51"/>
  </w:num>
  <w:num w:numId="144">
    <w:abstractNumId w:val="44"/>
  </w:num>
  <w:num w:numId="145">
    <w:abstractNumId w:val="115"/>
  </w:num>
  <w:num w:numId="146">
    <w:abstractNumId w:val="115"/>
  </w:num>
  <w:num w:numId="147">
    <w:abstractNumId w:val="69"/>
  </w:num>
  <w:num w:numId="148">
    <w:abstractNumId w:val="1"/>
  </w:num>
  <w:num w:numId="149">
    <w:abstractNumId w:val="3"/>
  </w:num>
  <w:num w:numId="150">
    <w:abstractNumId w:val="101"/>
  </w:num>
  <w:num w:numId="151">
    <w:abstractNumId w:val="93"/>
  </w:num>
  <w:num w:numId="152">
    <w:abstractNumId w:val="87"/>
  </w:num>
  <w:num w:numId="153">
    <w:abstractNumId w:val="55"/>
  </w:num>
  <w:num w:numId="154">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7"/>
  </w:num>
  <w:num w:numId="156">
    <w:abstractNumId w:val="119"/>
  </w:num>
  <w:num w:numId="157">
    <w:abstractNumId w:val="110"/>
  </w:num>
  <w:num w:numId="158">
    <w:abstractNumId w:val="54"/>
  </w:num>
  <w:num w:numId="159">
    <w:abstractNumId w:val="107"/>
  </w:num>
  <w:num w:numId="160">
    <w:abstractNumId w:val="149"/>
  </w:num>
  <w:num w:numId="161">
    <w:abstractNumId w:val="125"/>
  </w:num>
  <w:num w:numId="162">
    <w:abstractNumId w:val="115"/>
    <w:lvlOverride w:ilvl="0">
      <w:startOverride w:val="7"/>
    </w:lvlOverride>
    <w:lvlOverride w:ilvl="1">
      <w:startOverride w:val="1"/>
    </w:lvlOverride>
  </w:num>
  <w:num w:numId="163">
    <w:abstractNumId w:val="115"/>
  </w:num>
  <w:num w:numId="164">
    <w:abstractNumId w:val="92"/>
  </w:num>
  <w:num w:numId="165">
    <w:abstractNumId w:val="124"/>
  </w:num>
  <w:num w:numId="166">
    <w:abstractNumId w:val="124"/>
    <w:lvlOverride w:ilvl="0">
      <w:startOverride w:val="4"/>
    </w:lvlOverride>
    <w:lvlOverride w:ilvl="1">
      <w:startOverride w:val="2"/>
    </w:lvlOverride>
    <w:lvlOverride w:ilvl="2">
      <w:startOverride w:val="1"/>
    </w:lvlOverride>
  </w:num>
  <w:num w:numId="167">
    <w:abstractNumId w:val="160"/>
  </w:num>
  <w:num w:numId="168">
    <w:abstractNumId w:val="12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12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124"/>
  </w:num>
  <w:num w:numId="171">
    <w:abstractNumId w:val="70"/>
  </w:num>
  <w:num w:numId="172">
    <w:abstractNumId w:val="82"/>
  </w:num>
  <w:num w:numId="173">
    <w:abstractNumId w:val="124"/>
  </w:num>
  <w:num w:numId="174">
    <w:abstractNumId w:val="12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124"/>
  </w:num>
  <w:num w:numId="176">
    <w:abstractNumId w:val="124"/>
  </w:num>
  <w:num w:numId="177">
    <w:abstractNumId w:val="12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124"/>
  </w:num>
  <w:num w:numId="179">
    <w:abstractNumId w:val="124"/>
  </w:num>
  <w:num w:numId="180">
    <w:abstractNumId w:val="124"/>
  </w:num>
  <w:num w:numId="181">
    <w:abstractNumId w:val="52"/>
  </w:num>
  <w:num w:numId="182">
    <w:abstractNumId w:val="79"/>
  </w:num>
  <w:numIdMacAtCleanup w:val="1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fr-FR" w:vendorID="64" w:dllVersion="6" w:nlCheck="1" w:checkStyle="0"/>
  <w:activeWritingStyle w:appName="MSWord" w:lang="en-AU" w:vendorID="64" w:dllVersion="6" w:nlCheck="1" w:checkStyle="1"/>
  <w:activeWritingStyle w:appName="MSWord" w:lang="en-US" w:vendorID="64" w:dllVersion="6" w:nlCheck="1" w:checkStyle="1"/>
  <w:activeWritingStyle w:appName="MSWord" w:lang="en-GB" w:vendorID="64" w:dllVersion="6" w:nlCheck="1" w:checkStyle="1"/>
  <w:activeWritingStyle w:appName="MSWord" w:lang="en-AU" w:vendorID="64" w:dllVersion="0" w:nlCheck="1" w:checkStyle="0"/>
  <w:activeWritingStyle w:appName="MSWord" w:lang="en-US" w:vendorID="64" w:dllVersion="0" w:nlCheck="1" w:checkStyle="0"/>
  <w:activeWritingStyle w:appName="MSWord" w:lang="en-GB" w:vendorID="64" w:dllVersion="0" w:nlCheck="1" w:checkStyle="0"/>
  <w:activeWritingStyle w:appName="MSWord" w:lang="it-IT" w:vendorID="64" w:dllVersion="0" w:nlCheck="1" w:checkStyle="0"/>
  <w:activeWritingStyle w:appName="MSWord" w:lang="fr-FR" w:vendorID="64" w:dllVersion="0" w:nlCheck="1" w:checkStyle="0"/>
  <w:activeWritingStyle w:appName="MSWord" w:lang="da-DK"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LAwNDcxNjM0tTAxMjRW0lEKTi0uzszPAykwrQUAuaJxeSwAAAA="/>
    <w:docVar w:name="EN.InstantFormat" w:val="&lt;ENInstantFormat&gt;&lt;Enabled&gt;1&lt;/Enabled&gt;&lt;ScanUnformatted&gt;1&lt;/ScanUnformatted&gt;&lt;ScanChanges&gt;1&lt;/ScanChanges&gt;&lt;Suspended&gt;1&lt;/Suspended&gt;&lt;/ENInstantFormat&gt;"/>
    <w:docVar w:name="EN.Layout" w:val="&lt;ENLayout&gt;&lt;Style&gt;Archives Gen Psyc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awtr0zrkrzfa5edzzlpe2we0xa00t90vvr2&quot;&gt;Supported online services&lt;record-ids&gt;&lt;item&gt;1&lt;/item&gt;&lt;item&gt;2&lt;/item&gt;&lt;item&gt;3&lt;/item&gt;&lt;item&gt;7&lt;/item&gt;&lt;item&gt;10&lt;/item&gt;&lt;item&gt;21&lt;/item&gt;&lt;item&gt;22&lt;/item&gt;&lt;item&gt;27&lt;/item&gt;&lt;item&gt;29&lt;/item&gt;&lt;item&gt;48&lt;/item&gt;&lt;item&gt;63&lt;/item&gt;&lt;item&gt;64&lt;/item&gt;&lt;item&gt;69&lt;/item&gt;&lt;item&gt;71&lt;/item&gt;&lt;item&gt;77&lt;/item&gt;&lt;item&gt;103&lt;/item&gt;&lt;item&gt;110&lt;/item&gt;&lt;item&gt;116&lt;/item&gt;&lt;item&gt;117&lt;/item&gt;&lt;item&gt;118&lt;/item&gt;&lt;item&gt;121&lt;/item&gt;&lt;item&gt;122&lt;/item&gt;&lt;item&gt;123&lt;/item&gt;&lt;item&gt;125&lt;/item&gt;&lt;item&gt;126&lt;/item&gt;&lt;item&gt;127&lt;/item&gt;&lt;item&gt;128&lt;/item&gt;&lt;item&gt;129&lt;/item&gt;&lt;item&gt;130&lt;/item&gt;&lt;item&gt;132&lt;/item&gt;&lt;item&gt;133&lt;/item&gt;&lt;item&gt;134&lt;/item&gt;&lt;item&gt;135&lt;/item&gt;&lt;item&gt;136&lt;/item&gt;&lt;item&gt;137&lt;/item&gt;&lt;item&gt;138&lt;/item&gt;&lt;item&gt;139&lt;/item&gt;&lt;item&gt;140&lt;/item&gt;&lt;item&gt;141&lt;/item&gt;&lt;item&gt;142&lt;/item&gt;&lt;item&gt;143&lt;/item&gt;&lt;item&gt;144&lt;/item&gt;&lt;item&gt;145&lt;/item&gt;&lt;item&gt;146&lt;/item&gt;&lt;item&gt;149&lt;/item&gt;&lt;item&gt;150&lt;/item&gt;&lt;item&gt;151&lt;/item&gt;&lt;item&gt;152&lt;/item&gt;&lt;item&gt;154&lt;/item&gt;&lt;item&gt;156&lt;/item&gt;&lt;item&gt;158&lt;/item&gt;&lt;item&gt;159&lt;/item&gt;&lt;item&gt;160&lt;/item&gt;&lt;item&gt;161&lt;/item&gt;&lt;item&gt;162&lt;/item&gt;&lt;item&gt;163&lt;/item&gt;&lt;item&gt;164&lt;/item&gt;&lt;item&gt;165&lt;/item&gt;&lt;item&gt;166&lt;/item&gt;&lt;item&gt;170&lt;/item&gt;&lt;item&gt;171&lt;/item&gt;&lt;item&gt;172&lt;/item&gt;&lt;item&gt;173&lt;/item&gt;&lt;item&gt;174&lt;/item&gt;&lt;item&gt;177&lt;/item&gt;&lt;item&gt;178&lt;/item&gt;&lt;item&gt;179&lt;/item&gt;&lt;item&gt;180&lt;/item&gt;&lt;item&gt;181&lt;/item&gt;&lt;item&gt;182&lt;/item&gt;&lt;item&gt;183&lt;/item&gt;&lt;item&gt;184&lt;/item&gt;&lt;item&gt;186&lt;/item&gt;&lt;item&gt;188&lt;/item&gt;&lt;item&gt;189&lt;/item&gt;&lt;item&gt;190&lt;/item&gt;&lt;item&gt;191&lt;/item&gt;&lt;item&gt;192&lt;/item&gt;&lt;item&gt;193&lt;/item&gt;&lt;item&gt;194&lt;/item&gt;&lt;item&gt;196&lt;/item&gt;&lt;item&gt;197&lt;/item&gt;&lt;item&gt;198&lt;/item&gt;&lt;item&gt;199&lt;/item&gt;&lt;item&gt;200&lt;/item&gt;&lt;item&gt;201&lt;/item&gt;&lt;item&gt;202&lt;/item&gt;&lt;item&gt;203&lt;/item&gt;&lt;item&gt;204&lt;/item&gt;&lt;item&gt;205&lt;/item&gt;&lt;item&gt;206&lt;/item&gt;&lt;item&gt;207&lt;/item&gt;&lt;item&gt;209&lt;/item&gt;&lt;item&gt;210&lt;/item&gt;&lt;item&gt;211&lt;/item&gt;&lt;item&gt;212&lt;/item&gt;&lt;/record-ids&gt;&lt;/item&gt;&lt;/Libraries&gt;"/>
  </w:docVars>
  <w:rsids>
    <w:rsidRoot w:val="00467BF2"/>
    <w:rsid w:val="000001A4"/>
    <w:rsid w:val="0000034B"/>
    <w:rsid w:val="00000526"/>
    <w:rsid w:val="00000985"/>
    <w:rsid w:val="00000B4F"/>
    <w:rsid w:val="00000BB4"/>
    <w:rsid w:val="00000EF6"/>
    <w:rsid w:val="000010B6"/>
    <w:rsid w:val="0000117D"/>
    <w:rsid w:val="00001756"/>
    <w:rsid w:val="00001A56"/>
    <w:rsid w:val="00001B72"/>
    <w:rsid w:val="00002137"/>
    <w:rsid w:val="000021AB"/>
    <w:rsid w:val="0000233C"/>
    <w:rsid w:val="00002488"/>
    <w:rsid w:val="000026DE"/>
    <w:rsid w:val="00002952"/>
    <w:rsid w:val="00002C05"/>
    <w:rsid w:val="00002D1F"/>
    <w:rsid w:val="00003059"/>
    <w:rsid w:val="000030EA"/>
    <w:rsid w:val="000036DD"/>
    <w:rsid w:val="00003A9D"/>
    <w:rsid w:val="00003AD1"/>
    <w:rsid w:val="00003ED9"/>
    <w:rsid w:val="0000434D"/>
    <w:rsid w:val="00004388"/>
    <w:rsid w:val="00004793"/>
    <w:rsid w:val="00004F43"/>
    <w:rsid w:val="0000521A"/>
    <w:rsid w:val="00005373"/>
    <w:rsid w:val="0000546C"/>
    <w:rsid w:val="00005737"/>
    <w:rsid w:val="0000580D"/>
    <w:rsid w:val="00005C37"/>
    <w:rsid w:val="00005E20"/>
    <w:rsid w:val="00006030"/>
    <w:rsid w:val="00006888"/>
    <w:rsid w:val="00006DEE"/>
    <w:rsid w:val="00006FAB"/>
    <w:rsid w:val="0000710C"/>
    <w:rsid w:val="00007625"/>
    <w:rsid w:val="0000769E"/>
    <w:rsid w:val="000077D3"/>
    <w:rsid w:val="000078B6"/>
    <w:rsid w:val="00007E6B"/>
    <w:rsid w:val="00007E7A"/>
    <w:rsid w:val="00010749"/>
    <w:rsid w:val="00010886"/>
    <w:rsid w:val="00010ED8"/>
    <w:rsid w:val="000110E9"/>
    <w:rsid w:val="000112B9"/>
    <w:rsid w:val="000116D0"/>
    <w:rsid w:val="00011996"/>
    <w:rsid w:val="000126A6"/>
    <w:rsid w:val="0001271B"/>
    <w:rsid w:val="0001272F"/>
    <w:rsid w:val="00012816"/>
    <w:rsid w:val="000130B8"/>
    <w:rsid w:val="00013246"/>
    <w:rsid w:val="0001335D"/>
    <w:rsid w:val="000133F2"/>
    <w:rsid w:val="00013AAB"/>
    <w:rsid w:val="00013B3E"/>
    <w:rsid w:val="00014350"/>
    <w:rsid w:val="00014458"/>
    <w:rsid w:val="000145B0"/>
    <w:rsid w:val="000147D9"/>
    <w:rsid w:val="000148BB"/>
    <w:rsid w:val="00014E6B"/>
    <w:rsid w:val="0001529C"/>
    <w:rsid w:val="000153E1"/>
    <w:rsid w:val="000156D4"/>
    <w:rsid w:val="00015A16"/>
    <w:rsid w:val="00015DAC"/>
    <w:rsid w:val="00015DBD"/>
    <w:rsid w:val="00015DFE"/>
    <w:rsid w:val="00015F52"/>
    <w:rsid w:val="000161B5"/>
    <w:rsid w:val="000161E2"/>
    <w:rsid w:val="00016706"/>
    <w:rsid w:val="00016715"/>
    <w:rsid w:val="0001680C"/>
    <w:rsid w:val="00016952"/>
    <w:rsid w:val="000170D2"/>
    <w:rsid w:val="00017202"/>
    <w:rsid w:val="000173A7"/>
    <w:rsid w:val="0001740B"/>
    <w:rsid w:val="000179F8"/>
    <w:rsid w:val="00017C7B"/>
    <w:rsid w:val="00017DC9"/>
    <w:rsid w:val="00020175"/>
    <w:rsid w:val="00020E8E"/>
    <w:rsid w:val="00020E9E"/>
    <w:rsid w:val="00020F47"/>
    <w:rsid w:val="00021CAB"/>
    <w:rsid w:val="00021E30"/>
    <w:rsid w:val="00022138"/>
    <w:rsid w:val="00022384"/>
    <w:rsid w:val="00022436"/>
    <w:rsid w:val="000229B1"/>
    <w:rsid w:val="00022BAA"/>
    <w:rsid w:val="00022C33"/>
    <w:rsid w:val="00022FA0"/>
    <w:rsid w:val="00023B65"/>
    <w:rsid w:val="00024089"/>
    <w:rsid w:val="000240A3"/>
    <w:rsid w:val="000241AC"/>
    <w:rsid w:val="0002425D"/>
    <w:rsid w:val="000242FE"/>
    <w:rsid w:val="000245D6"/>
    <w:rsid w:val="0002482D"/>
    <w:rsid w:val="00024A08"/>
    <w:rsid w:val="00024B8C"/>
    <w:rsid w:val="000251DA"/>
    <w:rsid w:val="00025386"/>
    <w:rsid w:val="000253A9"/>
    <w:rsid w:val="00025510"/>
    <w:rsid w:val="0002564C"/>
    <w:rsid w:val="00025893"/>
    <w:rsid w:val="00026901"/>
    <w:rsid w:val="0002699A"/>
    <w:rsid w:val="00026E3E"/>
    <w:rsid w:val="00026FE0"/>
    <w:rsid w:val="00027123"/>
    <w:rsid w:val="000271DF"/>
    <w:rsid w:val="00027D65"/>
    <w:rsid w:val="00027F0C"/>
    <w:rsid w:val="00030058"/>
    <w:rsid w:val="000300DF"/>
    <w:rsid w:val="00030284"/>
    <w:rsid w:val="00030448"/>
    <w:rsid w:val="00030696"/>
    <w:rsid w:val="00030BD2"/>
    <w:rsid w:val="00030FC0"/>
    <w:rsid w:val="00031391"/>
    <w:rsid w:val="00031809"/>
    <w:rsid w:val="00031C80"/>
    <w:rsid w:val="000320DE"/>
    <w:rsid w:val="00032564"/>
    <w:rsid w:val="000326BC"/>
    <w:rsid w:val="0003289F"/>
    <w:rsid w:val="000328F9"/>
    <w:rsid w:val="00032990"/>
    <w:rsid w:val="00032C49"/>
    <w:rsid w:val="00032F45"/>
    <w:rsid w:val="00033128"/>
    <w:rsid w:val="000336E0"/>
    <w:rsid w:val="00033894"/>
    <w:rsid w:val="000338F5"/>
    <w:rsid w:val="00033936"/>
    <w:rsid w:val="00033E1B"/>
    <w:rsid w:val="00033EE9"/>
    <w:rsid w:val="00033F55"/>
    <w:rsid w:val="00033F69"/>
    <w:rsid w:val="000344B4"/>
    <w:rsid w:val="000345BE"/>
    <w:rsid w:val="00034648"/>
    <w:rsid w:val="00034F30"/>
    <w:rsid w:val="000357C9"/>
    <w:rsid w:val="00035B87"/>
    <w:rsid w:val="00035CCE"/>
    <w:rsid w:val="000361DF"/>
    <w:rsid w:val="00036391"/>
    <w:rsid w:val="0003644E"/>
    <w:rsid w:val="00036615"/>
    <w:rsid w:val="0003674C"/>
    <w:rsid w:val="00036B82"/>
    <w:rsid w:val="00036E4D"/>
    <w:rsid w:val="00036EC6"/>
    <w:rsid w:val="00037049"/>
    <w:rsid w:val="000371B4"/>
    <w:rsid w:val="0003781B"/>
    <w:rsid w:val="00037950"/>
    <w:rsid w:val="00037965"/>
    <w:rsid w:val="00037A56"/>
    <w:rsid w:val="000406FD"/>
    <w:rsid w:val="0004091F"/>
    <w:rsid w:val="00040B0D"/>
    <w:rsid w:val="00041162"/>
    <w:rsid w:val="00041583"/>
    <w:rsid w:val="00041590"/>
    <w:rsid w:val="00041B3D"/>
    <w:rsid w:val="00041BC2"/>
    <w:rsid w:val="0004211F"/>
    <w:rsid w:val="0004226A"/>
    <w:rsid w:val="0004294E"/>
    <w:rsid w:val="00042B61"/>
    <w:rsid w:val="00042E35"/>
    <w:rsid w:val="00042E79"/>
    <w:rsid w:val="0004301D"/>
    <w:rsid w:val="000430D8"/>
    <w:rsid w:val="00043167"/>
    <w:rsid w:val="0004320C"/>
    <w:rsid w:val="00043BB2"/>
    <w:rsid w:val="00043C42"/>
    <w:rsid w:val="00044066"/>
    <w:rsid w:val="00044290"/>
    <w:rsid w:val="00044494"/>
    <w:rsid w:val="000448AD"/>
    <w:rsid w:val="00044C8C"/>
    <w:rsid w:val="00045050"/>
    <w:rsid w:val="00045082"/>
    <w:rsid w:val="00045347"/>
    <w:rsid w:val="0004547A"/>
    <w:rsid w:val="000455C7"/>
    <w:rsid w:val="000455CE"/>
    <w:rsid w:val="0004565C"/>
    <w:rsid w:val="0004577A"/>
    <w:rsid w:val="000458B2"/>
    <w:rsid w:val="00045F50"/>
    <w:rsid w:val="00046046"/>
    <w:rsid w:val="00046806"/>
    <w:rsid w:val="00046AA3"/>
    <w:rsid w:val="00046B62"/>
    <w:rsid w:val="0004709C"/>
    <w:rsid w:val="0004799C"/>
    <w:rsid w:val="00047BA3"/>
    <w:rsid w:val="00047EBA"/>
    <w:rsid w:val="00047ED8"/>
    <w:rsid w:val="00047F6F"/>
    <w:rsid w:val="0004E67A"/>
    <w:rsid w:val="000502A1"/>
    <w:rsid w:val="000507F9"/>
    <w:rsid w:val="00050B12"/>
    <w:rsid w:val="000512A1"/>
    <w:rsid w:val="0005157F"/>
    <w:rsid w:val="00051582"/>
    <w:rsid w:val="00051857"/>
    <w:rsid w:val="00051AD0"/>
    <w:rsid w:val="00051C8A"/>
    <w:rsid w:val="00051D9A"/>
    <w:rsid w:val="000521F9"/>
    <w:rsid w:val="000524CF"/>
    <w:rsid w:val="0005286B"/>
    <w:rsid w:val="00052F63"/>
    <w:rsid w:val="0005302B"/>
    <w:rsid w:val="000531C7"/>
    <w:rsid w:val="00053271"/>
    <w:rsid w:val="000537AE"/>
    <w:rsid w:val="000537C4"/>
    <w:rsid w:val="00053B03"/>
    <w:rsid w:val="00053B25"/>
    <w:rsid w:val="00053FCA"/>
    <w:rsid w:val="00054146"/>
    <w:rsid w:val="0005462C"/>
    <w:rsid w:val="000548B5"/>
    <w:rsid w:val="00054D74"/>
    <w:rsid w:val="00055583"/>
    <w:rsid w:val="000555CA"/>
    <w:rsid w:val="000570D8"/>
    <w:rsid w:val="00057306"/>
    <w:rsid w:val="00057346"/>
    <w:rsid w:val="00057688"/>
    <w:rsid w:val="000578B8"/>
    <w:rsid w:val="00057E91"/>
    <w:rsid w:val="00060181"/>
    <w:rsid w:val="000601CA"/>
    <w:rsid w:val="00060945"/>
    <w:rsid w:val="0006095C"/>
    <w:rsid w:val="00060D10"/>
    <w:rsid w:val="00061190"/>
    <w:rsid w:val="0006121C"/>
    <w:rsid w:val="0006152D"/>
    <w:rsid w:val="00061578"/>
    <w:rsid w:val="000616EE"/>
    <w:rsid w:val="00061B55"/>
    <w:rsid w:val="00061D2D"/>
    <w:rsid w:val="00061DB3"/>
    <w:rsid w:val="00061F88"/>
    <w:rsid w:val="000620BD"/>
    <w:rsid w:val="000623E3"/>
    <w:rsid w:val="000625EB"/>
    <w:rsid w:val="00062889"/>
    <w:rsid w:val="00062C1E"/>
    <w:rsid w:val="000630A3"/>
    <w:rsid w:val="0006312C"/>
    <w:rsid w:val="000632AF"/>
    <w:rsid w:val="0006399F"/>
    <w:rsid w:val="000639D9"/>
    <w:rsid w:val="00063C56"/>
    <w:rsid w:val="00063DFD"/>
    <w:rsid w:val="000640D6"/>
    <w:rsid w:val="00064795"/>
    <w:rsid w:val="000649D1"/>
    <w:rsid w:val="00064C17"/>
    <w:rsid w:val="00064C56"/>
    <w:rsid w:val="00064DE6"/>
    <w:rsid w:val="00064EA9"/>
    <w:rsid w:val="00064FCD"/>
    <w:rsid w:val="000651A2"/>
    <w:rsid w:val="000657D6"/>
    <w:rsid w:val="000666A4"/>
    <w:rsid w:val="00066752"/>
    <w:rsid w:val="000667E2"/>
    <w:rsid w:val="00066B77"/>
    <w:rsid w:val="00066D46"/>
    <w:rsid w:val="00066DF4"/>
    <w:rsid w:val="00066F92"/>
    <w:rsid w:val="000670AA"/>
    <w:rsid w:val="000671B8"/>
    <w:rsid w:val="00067828"/>
    <w:rsid w:val="000678F0"/>
    <w:rsid w:val="00067E9C"/>
    <w:rsid w:val="000706D3"/>
    <w:rsid w:val="00070C33"/>
    <w:rsid w:val="00070EF7"/>
    <w:rsid w:val="00071790"/>
    <w:rsid w:val="0007203B"/>
    <w:rsid w:val="0007236C"/>
    <w:rsid w:val="0007281D"/>
    <w:rsid w:val="0007286C"/>
    <w:rsid w:val="00072B95"/>
    <w:rsid w:val="000746D6"/>
    <w:rsid w:val="000747DF"/>
    <w:rsid w:val="00074915"/>
    <w:rsid w:val="00074942"/>
    <w:rsid w:val="000749E5"/>
    <w:rsid w:val="00074AAB"/>
    <w:rsid w:val="00074BDC"/>
    <w:rsid w:val="00074CC2"/>
    <w:rsid w:val="00075247"/>
    <w:rsid w:val="000755CA"/>
    <w:rsid w:val="000756EA"/>
    <w:rsid w:val="00075724"/>
    <w:rsid w:val="00076082"/>
    <w:rsid w:val="0007681D"/>
    <w:rsid w:val="00076C72"/>
    <w:rsid w:val="00076DE5"/>
    <w:rsid w:val="00077486"/>
    <w:rsid w:val="000776AF"/>
    <w:rsid w:val="0007770D"/>
    <w:rsid w:val="00077768"/>
    <w:rsid w:val="00077819"/>
    <w:rsid w:val="00077B14"/>
    <w:rsid w:val="00077E73"/>
    <w:rsid w:val="00077F02"/>
    <w:rsid w:val="00077F88"/>
    <w:rsid w:val="00077FD6"/>
    <w:rsid w:val="0008014D"/>
    <w:rsid w:val="000802DD"/>
    <w:rsid w:val="00080617"/>
    <w:rsid w:val="00080DEE"/>
    <w:rsid w:val="00080F90"/>
    <w:rsid w:val="00081119"/>
    <w:rsid w:val="000818D8"/>
    <w:rsid w:val="00081DE6"/>
    <w:rsid w:val="00081F4D"/>
    <w:rsid w:val="00081F54"/>
    <w:rsid w:val="000821B5"/>
    <w:rsid w:val="000823E1"/>
    <w:rsid w:val="000823F4"/>
    <w:rsid w:val="000825D3"/>
    <w:rsid w:val="000827FE"/>
    <w:rsid w:val="00082A73"/>
    <w:rsid w:val="00082E64"/>
    <w:rsid w:val="00083259"/>
    <w:rsid w:val="0008340B"/>
    <w:rsid w:val="00083415"/>
    <w:rsid w:val="00083667"/>
    <w:rsid w:val="00083851"/>
    <w:rsid w:val="00083C35"/>
    <w:rsid w:val="00083C41"/>
    <w:rsid w:val="00083EE7"/>
    <w:rsid w:val="00083FE8"/>
    <w:rsid w:val="000840ED"/>
    <w:rsid w:val="00084279"/>
    <w:rsid w:val="000844E0"/>
    <w:rsid w:val="000844F3"/>
    <w:rsid w:val="000845EB"/>
    <w:rsid w:val="00084738"/>
    <w:rsid w:val="000849B3"/>
    <w:rsid w:val="00084FA9"/>
    <w:rsid w:val="00084FE6"/>
    <w:rsid w:val="000850AA"/>
    <w:rsid w:val="00085187"/>
    <w:rsid w:val="0008529F"/>
    <w:rsid w:val="00085654"/>
    <w:rsid w:val="000856DB"/>
    <w:rsid w:val="0008573F"/>
    <w:rsid w:val="00085A64"/>
    <w:rsid w:val="00085D01"/>
    <w:rsid w:val="00086465"/>
    <w:rsid w:val="00086641"/>
    <w:rsid w:val="000868AB"/>
    <w:rsid w:val="00086CC0"/>
    <w:rsid w:val="00086F7E"/>
    <w:rsid w:val="00087246"/>
    <w:rsid w:val="00087548"/>
    <w:rsid w:val="00087F4E"/>
    <w:rsid w:val="0009014F"/>
    <w:rsid w:val="00090253"/>
    <w:rsid w:val="00090412"/>
    <w:rsid w:val="000906EB"/>
    <w:rsid w:val="0009096E"/>
    <w:rsid w:val="000913D7"/>
    <w:rsid w:val="0009180A"/>
    <w:rsid w:val="000919AC"/>
    <w:rsid w:val="00091A74"/>
    <w:rsid w:val="00091B90"/>
    <w:rsid w:val="00092263"/>
    <w:rsid w:val="0009285F"/>
    <w:rsid w:val="000929B2"/>
    <w:rsid w:val="00092B26"/>
    <w:rsid w:val="00092C96"/>
    <w:rsid w:val="000931F8"/>
    <w:rsid w:val="000935A4"/>
    <w:rsid w:val="00093814"/>
    <w:rsid w:val="00093829"/>
    <w:rsid w:val="000939EB"/>
    <w:rsid w:val="00093BE5"/>
    <w:rsid w:val="00093C51"/>
    <w:rsid w:val="00093D50"/>
    <w:rsid w:val="00093F88"/>
    <w:rsid w:val="000940FD"/>
    <w:rsid w:val="00094336"/>
    <w:rsid w:val="000950F7"/>
    <w:rsid w:val="0009521C"/>
    <w:rsid w:val="0009545D"/>
    <w:rsid w:val="000956D7"/>
    <w:rsid w:val="000957EE"/>
    <w:rsid w:val="000957F9"/>
    <w:rsid w:val="000958AB"/>
    <w:rsid w:val="000959E4"/>
    <w:rsid w:val="00095BB7"/>
    <w:rsid w:val="00095C4F"/>
    <w:rsid w:val="00095FA4"/>
    <w:rsid w:val="00095FBF"/>
    <w:rsid w:val="00096325"/>
    <w:rsid w:val="00096386"/>
    <w:rsid w:val="00096414"/>
    <w:rsid w:val="0009663D"/>
    <w:rsid w:val="0009696D"/>
    <w:rsid w:val="00096C45"/>
    <w:rsid w:val="00096E2B"/>
    <w:rsid w:val="00096E3C"/>
    <w:rsid w:val="0009767C"/>
    <w:rsid w:val="00097CF1"/>
    <w:rsid w:val="00097E69"/>
    <w:rsid w:val="00097E8B"/>
    <w:rsid w:val="00097F33"/>
    <w:rsid w:val="000A0433"/>
    <w:rsid w:val="000A06A6"/>
    <w:rsid w:val="000A0A93"/>
    <w:rsid w:val="000A0BA5"/>
    <w:rsid w:val="000A0BF4"/>
    <w:rsid w:val="000A0FA8"/>
    <w:rsid w:val="000A10C5"/>
    <w:rsid w:val="000A1429"/>
    <w:rsid w:val="000A16DE"/>
    <w:rsid w:val="000A18D5"/>
    <w:rsid w:val="000A1A63"/>
    <w:rsid w:val="000A1BB9"/>
    <w:rsid w:val="000A202E"/>
    <w:rsid w:val="000A21A8"/>
    <w:rsid w:val="000A2CE4"/>
    <w:rsid w:val="000A2D13"/>
    <w:rsid w:val="000A33D4"/>
    <w:rsid w:val="000A3777"/>
    <w:rsid w:val="000A3834"/>
    <w:rsid w:val="000A3898"/>
    <w:rsid w:val="000A3B16"/>
    <w:rsid w:val="000A3C9F"/>
    <w:rsid w:val="000A407E"/>
    <w:rsid w:val="000A4464"/>
    <w:rsid w:val="000A4599"/>
    <w:rsid w:val="000A4641"/>
    <w:rsid w:val="000A4A92"/>
    <w:rsid w:val="000A4C7B"/>
    <w:rsid w:val="000A4EA3"/>
    <w:rsid w:val="000A5164"/>
    <w:rsid w:val="000A536A"/>
    <w:rsid w:val="000A555F"/>
    <w:rsid w:val="000A575B"/>
    <w:rsid w:val="000A5C0A"/>
    <w:rsid w:val="000A65D4"/>
    <w:rsid w:val="000A66BD"/>
    <w:rsid w:val="000A6823"/>
    <w:rsid w:val="000A6A05"/>
    <w:rsid w:val="000A6DE4"/>
    <w:rsid w:val="000A7141"/>
    <w:rsid w:val="000A7613"/>
    <w:rsid w:val="000A7949"/>
    <w:rsid w:val="000A7AB8"/>
    <w:rsid w:val="000A7B77"/>
    <w:rsid w:val="000A7C55"/>
    <w:rsid w:val="000B0165"/>
    <w:rsid w:val="000B01C7"/>
    <w:rsid w:val="000B039F"/>
    <w:rsid w:val="000B09A5"/>
    <w:rsid w:val="000B09D4"/>
    <w:rsid w:val="000B0A98"/>
    <w:rsid w:val="000B1134"/>
    <w:rsid w:val="000B13D1"/>
    <w:rsid w:val="000B15D1"/>
    <w:rsid w:val="000B166D"/>
    <w:rsid w:val="000B1E8F"/>
    <w:rsid w:val="000B1F95"/>
    <w:rsid w:val="000B220F"/>
    <w:rsid w:val="000B22FC"/>
    <w:rsid w:val="000B2314"/>
    <w:rsid w:val="000B2440"/>
    <w:rsid w:val="000B2D29"/>
    <w:rsid w:val="000B2E17"/>
    <w:rsid w:val="000B2E40"/>
    <w:rsid w:val="000B2F3A"/>
    <w:rsid w:val="000B2F47"/>
    <w:rsid w:val="000B30EC"/>
    <w:rsid w:val="000B33F7"/>
    <w:rsid w:val="000B3614"/>
    <w:rsid w:val="000B36CF"/>
    <w:rsid w:val="000B3840"/>
    <w:rsid w:val="000B3857"/>
    <w:rsid w:val="000B3955"/>
    <w:rsid w:val="000B3BC2"/>
    <w:rsid w:val="000B3C1C"/>
    <w:rsid w:val="000B3D78"/>
    <w:rsid w:val="000B3EB7"/>
    <w:rsid w:val="000B4069"/>
    <w:rsid w:val="000B4154"/>
    <w:rsid w:val="000B46EF"/>
    <w:rsid w:val="000B48D4"/>
    <w:rsid w:val="000B492B"/>
    <w:rsid w:val="000B4EB4"/>
    <w:rsid w:val="000B4F75"/>
    <w:rsid w:val="000B4FC1"/>
    <w:rsid w:val="000B5279"/>
    <w:rsid w:val="000B5446"/>
    <w:rsid w:val="000B568A"/>
    <w:rsid w:val="000B571F"/>
    <w:rsid w:val="000B57B5"/>
    <w:rsid w:val="000B594E"/>
    <w:rsid w:val="000B5FE5"/>
    <w:rsid w:val="000B6536"/>
    <w:rsid w:val="000B6629"/>
    <w:rsid w:val="000B6634"/>
    <w:rsid w:val="000B696C"/>
    <w:rsid w:val="000B6B35"/>
    <w:rsid w:val="000B6B5E"/>
    <w:rsid w:val="000B7100"/>
    <w:rsid w:val="000B7AAF"/>
    <w:rsid w:val="000B7DCF"/>
    <w:rsid w:val="000B7E96"/>
    <w:rsid w:val="000C009C"/>
    <w:rsid w:val="000C055A"/>
    <w:rsid w:val="000C0EDA"/>
    <w:rsid w:val="000C0F14"/>
    <w:rsid w:val="000C11A4"/>
    <w:rsid w:val="000C1290"/>
    <w:rsid w:val="000C1AB6"/>
    <w:rsid w:val="000C1EC0"/>
    <w:rsid w:val="000C1F10"/>
    <w:rsid w:val="000C1FB7"/>
    <w:rsid w:val="000C21E9"/>
    <w:rsid w:val="000C2501"/>
    <w:rsid w:val="000C2810"/>
    <w:rsid w:val="000C28D9"/>
    <w:rsid w:val="000C2BE6"/>
    <w:rsid w:val="000C2E4D"/>
    <w:rsid w:val="000C319F"/>
    <w:rsid w:val="000C3503"/>
    <w:rsid w:val="000C3C1E"/>
    <w:rsid w:val="000C3E3F"/>
    <w:rsid w:val="000C4B09"/>
    <w:rsid w:val="000C4D6C"/>
    <w:rsid w:val="000C4D9F"/>
    <w:rsid w:val="000C4FE8"/>
    <w:rsid w:val="000C5397"/>
    <w:rsid w:val="000C5A16"/>
    <w:rsid w:val="000C5C56"/>
    <w:rsid w:val="000C5EAB"/>
    <w:rsid w:val="000C625E"/>
    <w:rsid w:val="000C63BE"/>
    <w:rsid w:val="000C650C"/>
    <w:rsid w:val="000C6962"/>
    <w:rsid w:val="000C6E1E"/>
    <w:rsid w:val="000C71F3"/>
    <w:rsid w:val="000C775A"/>
    <w:rsid w:val="000C77AC"/>
    <w:rsid w:val="000C786C"/>
    <w:rsid w:val="000C7D68"/>
    <w:rsid w:val="000C7EEC"/>
    <w:rsid w:val="000D02CA"/>
    <w:rsid w:val="000D0ABB"/>
    <w:rsid w:val="000D0FFD"/>
    <w:rsid w:val="000D10B9"/>
    <w:rsid w:val="000D15CE"/>
    <w:rsid w:val="000D1883"/>
    <w:rsid w:val="000D1895"/>
    <w:rsid w:val="000D1986"/>
    <w:rsid w:val="000D1E82"/>
    <w:rsid w:val="000D2051"/>
    <w:rsid w:val="000D226D"/>
    <w:rsid w:val="000D22C4"/>
    <w:rsid w:val="000D2430"/>
    <w:rsid w:val="000D3217"/>
    <w:rsid w:val="000D32CE"/>
    <w:rsid w:val="000D3588"/>
    <w:rsid w:val="000D38C8"/>
    <w:rsid w:val="000D3AD4"/>
    <w:rsid w:val="000D4189"/>
    <w:rsid w:val="000D4A90"/>
    <w:rsid w:val="000D4C8E"/>
    <w:rsid w:val="000D501E"/>
    <w:rsid w:val="000D5333"/>
    <w:rsid w:val="000D5732"/>
    <w:rsid w:val="000D5B75"/>
    <w:rsid w:val="000D5F6D"/>
    <w:rsid w:val="000D6050"/>
    <w:rsid w:val="000D60AD"/>
    <w:rsid w:val="000D65E7"/>
    <w:rsid w:val="000D6FB6"/>
    <w:rsid w:val="000D759B"/>
    <w:rsid w:val="000D791F"/>
    <w:rsid w:val="000D7A85"/>
    <w:rsid w:val="000D7CBA"/>
    <w:rsid w:val="000E014B"/>
    <w:rsid w:val="000E0178"/>
    <w:rsid w:val="000E01A5"/>
    <w:rsid w:val="000E01AD"/>
    <w:rsid w:val="000E0279"/>
    <w:rsid w:val="000E04D9"/>
    <w:rsid w:val="000E04F4"/>
    <w:rsid w:val="000E055C"/>
    <w:rsid w:val="000E06E1"/>
    <w:rsid w:val="000E0740"/>
    <w:rsid w:val="000E0BB4"/>
    <w:rsid w:val="000E14FD"/>
    <w:rsid w:val="000E1964"/>
    <w:rsid w:val="000E197B"/>
    <w:rsid w:val="000E2578"/>
    <w:rsid w:val="000E259A"/>
    <w:rsid w:val="000E276E"/>
    <w:rsid w:val="000E27CB"/>
    <w:rsid w:val="000E2C21"/>
    <w:rsid w:val="000E2D93"/>
    <w:rsid w:val="000E33F5"/>
    <w:rsid w:val="000E3A7B"/>
    <w:rsid w:val="000E3F0C"/>
    <w:rsid w:val="000E410B"/>
    <w:rsid w:val="000E440E"/>
    <w:rsid w:val="000E44F3"/>
    <w:rsid w:val="000E455A"/>
    <w:rsid w:val="000E4D46"/>
    <w:rsid w:val="000E4EDB"/>
    <w:rsid w:val="000E55F5"/>
    <w:rsid w:val="000E5A60"/>
    <w:rsid w:val="000E5AC7"/>
    <w:rsid w:val="000E5C81"/>
    <w:rsid w:val="000E67CE"/>
    <w:rsid w:val="000E69D3"/>
    <w:rsid w:val="000E6AD8"/>
    <w:rsid w:val="000E7089"/>
    <w:rsid w:val="000E70B0"/>
    <w:rsid w:val="000E7197"/>
    <w:rsid w:val="000E729C"/>
    <w:rsid w:val="000E7532"/>
    <w:rsid w:val="000F0238"/>
    <w:rsid w:val="000F0351"/>
    <w:rsid w:val="000F09BD"/>
    <w:rsid w:val="000F0B49"/>
    <w:rsid w:val="000F1270"/>
    <w:rsid w:val="000F1661"/>
    <w:rsid w:val="000F17B8"/>
    <w:rsid w:val="000F1970"/>
    <w:rsid w:val="000F1F51"/>
    <w:rsid w:val="000F1F86"/>
    <w:rsid w:val="000F1F89"/>
    <w:rsid w:val="000F231C"/>
    <w:rsid w:val="000F23F8"/>
    <w:rsid w:val="000F28AD"/>
    <w:rsid w:val="000F2CDA"/>
    <w:rsid w:val="000F30C7"/>
    <w:rsid w:val="000F35EF"/>
    <w:rsid w:val="000F37A8"/>
    <w:rsid w:val="000F3912"/>
    <w:rsid w:val="000F3AD4"/>
    <w:rsid w:val="000F3ADE"/>
    <w:rsid w:val="000F4293"/>
    <w:rsid w:val="000F47FB"/>
    <w:rsid w:val="000F49E6"/>
    <w:rsid w:val="000F4A05"/>
    <w:rsid w:val="000F4B2A"/>
    <w:rsid w:val="000F4B89"/>
    <w:rsid w:val="000F5838"/>
    <w:rsid w:val="000F5D5B"/>
    <w:rsid w:val="000F5F11"/>
    <w:rsid w:val="000F5F87"/>
    <w:rsid w:val="000F6303"/>
    <w:rsid w:val="000F631F"/>
    <w:rsid w:val="000F65C2"/>
    <w:rsid w:val="000F6F3F"/>
    <w:rsid w:val="000F739C"/>
    <w:rsid w:val="000F73F8"/>
    <w:rsid w:val="000F75CE"/>
    <w:rsid w:val="000F761C"/>
    <w:rsid w:val="000F7998"/>
    <w:rsid w:val="00100461"/>
    <w:rsid w:val="001004A2"/>
    <w:rsid w:val="001004CD"/>
    <w:rsid w:val="00100A8F"/>
    <w:rsid w:val="00100F9B"/>
    <w:rsid w:val="001013EB"/>
    <w:rsid w:val="00101662"/>
    <w:rsid w:val="00101BBD"/>
    <w:rsid w:val="001021FA"/>
    <w:rsid w:val="001025DC"/>
    <w:rsid w:val="0010263B"/>
    <w:rsid w:val="00102A4A"/>
    <w:rsid w:val="0010307F"/>
    <w:rsid w:val="001030A9"/>
    <w:rsid w:val="001031CD"/>
    <w:rsid w:val="00103744"/>
    <w:rsid w:val="00103835"/>
    <w:rsid w:val="001038BD"/>
    <w:rsid w:val="00103D0E"/>
    <w:rsid w:val="00103DF9"/>
    <w:rsid w:val="00104240"/>
    <w:rsid w:val="00104765"/>
    <w:rsid w:val="001049F8"/>
    <w:rsid w:val="00105136"/>
    <w:rsid w:val="001058A0"/>
    <w:rsid w:val="001058AF"/>
    <w:rsid w:val="00105E2A"/>
    <w:rsid w:val="0010600A"/>
    <w:rsid w:val="0010633D"/>
    <w:rsid w:val="0010650E"/>
    <w:rsid w:val="00106770"/>
    <w:rsid w:val="00106809"/>
    <w:rsid w:val="00106AA7"/>
    <w:rsid w:val="00106D83"/>
    <w:rsid w:val="0010723E"/>
    <w:rsid w:val="00107371"/>
    <w:rsid w:val="00107584"/>
    <w:rsid w:val="001075B8"/>
    <w:rsid w:val="0010761E"/>
    <w:rsid w:val="00107D60"/>
    <w:rsid w:val="00107ED2"/>
    <w:rsid w:val="00107FA6"/>
    <w:rsid w:val="001108D5"/>
    <w:rsid w:val="00110BCB"/>
    <w:rsid w:val="0011137D"/>
    <w:rsid w:val="001113C9"/>
    <w:rsid w:val="0011194D"/>
    <w:rsid w:val="00111F94"/>
    <w:rsid w:val="00112293"/>
    <w:rsid w:val="001129F3"/>
    <w:rsid w:val="001130BC"/>
    <w:rsid w:val="00113695"/>
    <w:rsid w:val="00113700"/>
    <w:rsid w:val="0011383B"/>
    <w:rsid w:val="0011391A"/>
    <w:rsid w:val="00113FD9"/>
    <w:rsid w:val="0011424B"/>
    <w:rsid w:val="00114381"/>
    <w:rsid w:val="0011485A"/>
    <w:rsid w:val="0011497C"/>
    <w:rsid w:val="001149BA"/>
    <w:rsid w:val="00114BF6"/>
    <w:rsid w:val="00114CE6"/>
    <w:rsid w:val="00114D53"/>
    <w:rsid w:val="00114F69"/>
    <w:rsid w:val="00115272"/>
    <w:rsid w:val="001154B3"/>
    <w:rsid w:val="001157AF"/>
    <w:rsid w:val="001161EA"/>
    <w:rsid w:val="001164B7"/>
    <w:rsid w:val="00116623"/>
    <w:rsid w:val="00116AFC"/>
    <w:rsid w:val="001173B0"/>
    <w:rsid w:val="00117A6D"/>
    <w:rsid w:val="00117BF4"/>
    <w:rsid w:val="00120059"/>
    <w:rsid w:val="001200CA"/>
    <w:rsid w:val="001206F2"/>
    <w:rsid w:val="00120723"/>
    <w:rsid w:val="00120EC7"/>
    <w:rsid w:val="0012153A"/>
    <w:rsid w:val="0012192C"/>
    <w:rsid w:val="00121949"/>
    <w:rsid w:val="0012194D"/>
    <w:rsid w:val="001219A9"/>
    <w:rsid w:val="00121A91"/>
    <w:rsid w:val="00121ABA"/>
    <w:rsid w:val="00121BC7"/>
    <w:rsid w:val="00122105"/>
    <w:rsid w:val="001222E9"/>
    <w:rsid w:val="00122309"/>
    <w:rsid w:val="0012240E"/>
    <w:rsid w:val="0012256D"/>
    <w:rsid w:val="00122934"/>
    <w:rsid w:val="0012310A"/>
    <w:rsid w:val="001231C0"/>
    <w:rsid w:val="00123461"/>
    <w:rsid w:val="00123590"/>
    <w:rsid w:val="0012361B"/>
    <w:rsid w:val="00123716"/>
    <w:rsid w:val="00123751"/>
    <w:rsid w:val="0012397B"/>
    <w:rsid w:val="00123B77"/>
    <w:rsid w:val="00123CA6"/>
    <w:rsid w:val="00123FB8"/>
    <w:rsid w:val="00124350"/>
    <w:rsid w:val="001243C7"/>
    <w:rsid w:val="001247B4"/>
    <w:rsid w:val="0012499D"/>
    <w:rsid w:val="00124AFE"/>
    <w:rsid w:val="001250E1"/>
    <w:rsid w:val="00125145"/>
    <w:rsid w:val="001255D4"/>
    <w:rsid w:val="001255DB"/>
    <w:rsid w:val="00125B18"/>
    <w:rsid w:val="00125FB9"/>
    <w:rsid w:val="0012608F"/>
    <w:rsid w:val="001260AB"/>
    <w:rsid w:val="001262E9"/>
    <w:rsid w:val="0012644F"/>
    <w:rsid w:val="0012686A"/>
    <w:rsid w:val="00126B1D"/>
    <w:rsid w:val="00126F88"/>
    <w:rsid w:val="001274CF"/>
    <w:rsid w:val="00127942"/>
    <w:rsid w:val="00127CD6"/>
    <w:rsid w:val="00130510"/>
    <w:rsid w:val="00130913"/>
    <w:rsid w:val="00130BE7"/>
    <w:rsid w:val="0013116C"/>
    <w:rsid w:val="001317E3"/>
    <w:rsid w:val="001322F3"/>
    <w:rsid w:val="0013231E"/>
    <w:rsid w:val="001323B8"/>
    <w:rsid w:val="001327FF"/>
    <w:rsid w:val="00132A6B"/>
    <w:rsid w:val="00133028"/>
    <w:rsid w:val="00133342"/>
    <w:rsid w:val="001336D4"/>
    <w:rsid w:val="00133D1B"/>
    <w:rsid w:val="001343E5"/>
    <w:rsid w:val="0013440E"/>
    <w:rsid w:val="00134B8A"/>
    <w:rsid w:val="001350CA"/>
    <w:rsid w:val="00135154"/>
    <w:rsid w:val="0013592B"/>
    <w:rsid w:val="0013592F"/>
    <w:rsid w:val="00135960"/>
    <w:rsid w:val="00135990"/>
    <w:rsid w:val="001359A2"/>
    <w:rsid w:val="00135A25"/>
    <w:rsid w:val="00135F16"/>
    <w:rsid w:val="00136104"/>
    <w:rsid w:val="00136169"/>
    <w:rsid w:val="00136447"/>
    <w:rsid w:val="00136737"/>
    <w:rsid w:val="00136D6F"/>
    <w:rsid w:val="00136EC4"/>
    <w:rsid w:val="00137326"/>
    <w:rsid w:val="0013739C"/>
    <w:rsid w:val="00137469"/>
    <w:rsid w:val="00137894"/>
    <w:rsid w:val="00137940"/>
    <w:rsid w:val="0013EB7F"/>
    <w:rsid w:val="00140192"/>
    <w:rsid w:val="00140756"/>
    <w:rsid w:val="00140C5B"/>
    <w:rsid w:val="00140E15"/>
    <w:rsid w:val="00140FDD"/>
    <w:rsid w:val="00141289"/>
    <w:rsid w:val="00141677"/>
    <w:rsid w:val="00141736"/>
    <w:rsid w:val="00141ED4"/>
    <w:rsid w:val="0014228F"/>
    <w:rsid w:val="00142752"/>
    <w:rsid w:val="0014277A"/>
    <w:rsid w:val="0014280B"/>
    <w:rsid w:val="00142D65"/>
    <w:rsid w:val="00142E47"/>
    <w:rsid w:val="00143759"/>
    <w:rsid w:val="00143877"/>
    <w:rsid w:val="001438A4"/>
    <w:rsid w:val="00143A09"/>
    <w:rsid w:val="00143AEA"/>
    <w:rsid w:val="00143B53"/>
    <w:rsid w:val="00143C2B"/>
    <w:rsid w:val="00143D98"/>
    <w:rsid w:val="00144583"/>
    <w:rsid w:val="00144629"/>
    <w:rsid w:val="00144885"/>
    <w:rsid w:val="00144D26"/>
    <w:rsid w:val="00144FBF"/>
    <w:rsid w:val="001453F9"/>
    <w:rsid w:val="001457EE"/>
    <w:rsid w:val="00145C72"/>
    <w:rsid w:val="00145CC9"/>
    <w:rsid w:val="0014603C"/>
    <w:rsid w:val="001461B1"/>
    <w:rsid w:val="001461F8"/>
    <w:rsid w:val="00146560"/>
    <w:rsid w:val="001465D5"/>
    <w:rsid w:val="00146834"/>
    <w:rsid w:val="00146CA8"/>
    <w:rsid w:val="00146FAB"/>
    <w:rsid w:val="00146FDC"/>
    <w:rsid w:val="001470B5"/>
    <w:rsid w:val="0014729E"/>
    <w:rsid w:val="00147334"/>
    <w:rsid w:val="00147BC6"/>
    <w:rsid w:val="00147E37"/>
    <w:rsid w:val="00147E5B"/>
    <w:rsid w:val="00147EDA"/>
    <w:rsid w:val="001505AB"/>
    <w:rsid w:val="001508B8"/>
    <w:rsid w:val="001508E5"/>
    <w:rsid w:val="00150CDF"/>
    <w:rsid w:val="00150D88"/>
    <w:rsid w:val="00150E36"/>
    <w:rsid w:val="00151126"/>
    <w:rsid w:val="00151565"/>
    <w:rsid w:val="001515EC"/>
    <w:rsid w:val="00151628"/>
    <w:rsid w:val="00151B4E"/>
    <w:rsid w:val="00151E08"/>
    <w:rsid w:val="00151F6D"/>
    <w:rsid w:val="00152031"/>
    <w:rsid w:val="00152363"/>
    <w:rsid w:val="001529B0"/>
    <w:rsid w:val="00152EC7"/>
    <w:rsid w:val="001530E7"/>
    <w:rsid w:val="00153130"/>
    <w:rsid w:val="0015343B"/>
    <w:rsid w:val="001534BA"/>
    <w:rsid w:val="00153CFA"/>
    <w:rsid w:val="00153D38"/>
    <w:rsid w:val="001540C4"/>
    <w:rsid w:val="001541B3"/>
    <w:rsid w:val="0015432E"/>
    <w:rsid w:val="001545E3"/>
    <w:rsid w:val="001546C7"/>
    <w:rsid w:val="001547FA"/>
    <w:rsid w:val="0015480C"/>
    <w:rsid w:val="00154B95"/>
    <w:rsid w:val="00154CDA"/>
    <w:rsid w:val="00154E0C"/>
    <w:rsid w:val="0015520B"/>
    <w:rsid w:val="00155460"/>
    <w:rsid w:val="0015554D"/>
    <w:rsid w:val="00155576"/>
    <w:rsid w:val="00155A0D"/>
    <w:rsid w:val="00155BDA"/>
    <w:rsid w:val="00155F08"/>
    <w:rsid w:val="00156686"/>
    <w:rsid w:val="0015673A"/>
    <w:rsid w:val="00156D69"/>
    <w:rsid w:val="0015705A"/>
    <w:rsid w:val="00157637"/>
    <w:rsid w:val="001577DE"/>
    <w:rsid w:val="00157877"/>
    <w:rsid w:val="001578BA"/>
    <w:rsid w:val="00157BF4"/>
    <w:rsid w:val="00160498"/>
    <w:rsid w:val="00160517"/>
    <w:rsid w:val="001605BD"/>
    <w:rsid w:val="001606D8"/>
    <w:rsid w:val="0016190D"/>
    <w:rsid w:val="00161DC2"/>
    <w:rsid w:val="001623FA"/>
    <w:rsid w:val="00162687"/>
    <w:rsid w:val="0016319C"/>
    <w:rsid w:val="001631A9"/>
    <w:rsid w:val="001633D6"/>
    <w:rsid w:val="00163559"/>
    <w:rsid w:val="00163611"/>
    <w:rsid w:val="00163E25"/>
    <w:rsid w:val="00164100"/>
    <w:rsid w:val="00164132"/>
    <w:rsid w:val="001643C4"/>
    <w:rsid w:val="001648FD"/>
    <w:rsid w:val="00164C96"/>
    <w:rsid w:val="00165298"/>
    <w:rsid w:val="00165B1F"/>
    <w:rsid w:val="00165D49"/>
    <w:rsid w:val="00166401"/>
    <w:rsid w:val="00166422"/>
    <w:rsid w:val="001664E2"/>
    <w:rsid w:val="001665B2"/>
    <w:rsid w:val="001666A1"/>
    <w:rsid w:val="0016672A"/>
    <w:rsid w:val="00166B99"/>
    <w:rsid w:val="00166D4F"/>
    <w:rsid w:val="00167100"/>
    <w:rsid w:val="001672F0"/>
    <w:rsid w:val="00167478"/>
    <w:rsid w:val="0016795D"/>
    <w:rsid w:val="00167F26"/>
    <w:rsid w:val="00170047"/>
    <w:rsid w:val="00170C17"/>
    <w:rsid w:val="00170C1A"/>
    <w:rsid w:val="0017105E"/>
    <w:rsid w:val="00171853"/>
    <w:rsid w:val="00171BCF"/>
    <w:rsid w:val="00171E64"/>
    <w:rsid w:val="00172A28"/>
    <w:rsid w:val="00172B69"/>
    <w:rsid w:val="0017382F"/>
    <w:rsid w:val="00173A2F"/>
    <w:rsid w:val="001740AA"/>
    <w:rsid w:val="00174AAB"/>
    <w:rsid w:val="00175482"/>
    <w:rsid w:val="001754F2"/>
    <w:rsid w:val="00175687"/>
    <w:rsid w:val="001756E8"/>
    <w:rsid w:val="00175968"/>
    <w:rsid w:val="00176089"/>
    <w:rsid w:val="001762C6"/>
    <w:rsid w:val="001766F5"/>
    <w:rsid w:val="00176D2C"/>
    <w:rsid w:val="001770F5"/>
    <w:rsid w:val="00177163"/>
    <w:rsid w:val="001771F6"/>
    <w:rsid w:val="00177951"/>
    <w:rsid w:val="00180030"/>
    <w:rsid w:val="001803F0"/>
    <w:rsid w:val="00180668"/>
    <w:rsid w:val="001812D9"/>
    <w:rsid w:val="001815FB"/>
    <w:rsid w:val="0018185C"/>
    <w:rsid w:val="00181A04"/>
    <w:rsid w:val="00181A6F"/>
    <w:rsid w:val="00181C0E"/>
    <w:rsid w:val="00181FDC"/>
    <w:rsid w:val="001820B9"/>
    <w:rsid w:val="00182179"/>
    <w:rsid w:val="001821F4"/>
    <w:rsid w:val="001828E2"/>
    <w:rsid w:val="00182D16"/>
    <w:rsid w:val="0018326E"/>
    <w:rsid w:val="00183421"/>
    <w:rsid w:val="00183ADF"/>
    <w:rsid w:val="00183DE4"/>
    <w:rsid w:val="0018414D"/>
    <w:rsid w:val="00184287"/>
    <w:rsid w:val="0018499C"/>
    <w:rsid w:val="001849E2"/>
    <w:rsid w:val="00184B36"/>
    <w:rsid w:val="00184B96"/>
    <w:rsid w:val="00184BCB"/>
    <w:rsid w:val="00184D2F"/>
    <w:rsid w:val="00184E27"/>
    <w:rsid w:val="00184FA5"/>
    <w:rsid w:val="001850FF"/>
    <w:rsid w:val="00185256"/>
    <w:rsid w:val="00185A0B"/>
    <w:rsid w:val="00185BFF"/>
    <w:rsid w:val="00186301"/>
    <w:rsid w:val="0018646E"/>
    <w:rsid w:val="001866F0"/>
    <w:rsid w:val="0018673C"/>
    <w:rsid w:val="00186766"/>
    <w:rsid w:val="00186AE3"/>
    <w:rsid w:val="00186B2E"/>
    <w:rsid w:val="00186C77"/>
    <w:rsid w:val="00186D3A"/>
    <w:rsid w:val="00187693"/>
    <w:rsid w:val="0018774B"/>
    <w:rsid w:val="00187E8B"/>
    <w:rsid w:val="001901C1"/>
    <w:rsid w:val="00190426"/>
    <w:rsid w:val="00190459"/>
    <w:rsid w:val="00190704"/>
    <w:rsid w:val="001909B1"/>
    <w:rsid w:val="00190B03"/>
    <w:rsid w:val="00191067"/>
    <w:rsid w:val="0019138F"/>
    <w:rsid w:val="0019139D"/>
    <w:rsid w:val="00191504"/>
    <w:rsid w:val="001917DD"/>
    <w:rsid w:val="00191915"/>
    <w:rsid w:val="00191A86"/>
    <w:rsid w:val="00191FEE"/>
    <w:rsid w:val="00191FF7"/>
    <w:rsid w:val="001923C8"/>
    <w:rsid w:val="001927D3"/>
    <w:rsid w:val="001933E3"/>
    <w:rsid w:val="001933FA"/>
    <w:rsid w:val="001934E2"/>
    <w:rsid w:val="00194013"/>
    <w:rsid w:val="0019434E"/>
    <w:rsid w:val="00194B29"/>
    <w:rsid w:val="00194CD3"/>
    <w:rsid w:val="0019562D"/>
    <w:rsid w:val="001956C7"/>
    <w:rsid w:val="00195947"/>
    <w:rsid w:val="00195957"/>
    <w:rsid w:val="00195A3E"/>
    <w:rsid w:val="00195DB4"/>
    <w:rsid w:val="00195EFE"/>
    <w:rsid w:val="00195FA1"/>
    <w:rsid w:val="0019621E"/>
    <w:rsid w:val="0019683A"/>
    <w:rsid w:val="00196874"/>
    <w:rsid w:val="001969C2"/>
    <w:rsid w:val="00196AB5"/>
    <w:rsid w:val="00196E3B"/>
    <w:rsid w:val="0019771F"/>
    <w:rsid w:val="001A06D2"/>
    <w:rsid w:val="001A0921"/>
    <w:rsid w:val="001A0E3B"/>
    <w:rsid w:val="001A0EDF"/>
    <w:rsid w:val="001A0FCF"/>
    <w:rsid w:val="001A12DC"/>
    <w:rsid w:val="001A13F9"/>
    <w:rsid w:val="001A17DF"/>
    <w:rsid w:val="001A22A8"/>
    <w:rsid w:val="001A23A8"/>
    <w:rsid w:val="001A23BD"/>
    <w:rsid w:val="001A2C69"/>
    <w:rsid w:val="001A31A1"/>
    <w:rsid w:val="001A35B1"/>
    <w:rsid w:val="001A3935"/>
    <w:rsid w:val="001A3AC3"/>
    <w:rsid w:val="001A43F9"/>
    <w:rsid w:val="001A445E"/>
    <w:rsid w:val="001A465C"/>
    <w:rsid w:val="001A468C"/>
    <w:rsid w:val="001A46D8"/>
    <w:rsid w:val="001A50C9"/>
    <w:rsid w:val="001A599B"/>
    <w:rsid w:val="001A5C9B"/>
    <w:rsid w:val="001A5EB3"/>
    <w:rsid w:val="001A5F7A"/>
    <w:rsid w:val="001A5FA6"/>
    <w:rsid w:val="001A600F"/>
    <w:rsid w:val="001A6688"/>
    <w:rsid w:val="001A6943"/>
    <w:rsid w:val="001A6944"/>
    <w:rsid w:val="001A6DC5"/>
    <w:rsid w:val="001A70FE"/>
    <w:rsid w:val="001A7676"/>
    <w:rsid w:val="001A768C"/>
    <w:rsid w:val="001A7A01"/>
    <w:rsid w:val="001A7A0F"/>
    <w:rsid w:val="001A7A5F"/>
    <w:rsid w:val="001A7AC6"/>
    <w:rsid w:val="001B050B"/>
    <w:rsid w:val="001B08CF"/>
    <w:rsid w:val="001B0BF3"/>
    <w:rsid w:val="001B0D2D"/>
    <w:rsid w:val="001B0D76"/>
    <w:rsid w:val="001B0DBE"/>
    <w:rsid w:val="001B0DFE"/>
    <w:rsid w:val="001B16B5"/>
    <w:rsid w:val="001B1717"/>
    <w:rsid w:val="001B17AE"/>
    <w:rsid w:val="001B17BF"/>
    <w:rsid w:val="001B1B0D"/>
    <w:rsid w:val="001B1B99"/>
    <w:rsid w:val="001B1FC0"/>
    <w:rsid w:val="001B2235"/>
    <w:rsid w:val="001B22C4"/>
    <w:rsid w:val="001B2517"/>
    <w:rsid w:val="001B26B4"/>
    <w:rsid w:val="001B27F8"/>
    <w:rsid w:val="001B313C"/>
    <w:rsid w:val="001B324C"/>
    <w:rsid w:val="001B3620"/>
    <w:rsid w:val="001B3889"/>
    <w:rsid w:val="001B392A"/>
    <w:rsid w:val="001B3A58"/>
    <w:rsid w:val="001B3CDD"/>
    <w:rsid w:val="001B40FC"/>
    <w:rsid w:val="001B41EC"/>
    <w:rsid w:val="001B47F8"/>
    <w:rsid w:val="001B503B"/>
    <w:rsid w:val="001B5555"/>
    <w:rsid w:val="001B55FC"/>
    <w:rsid w:val="001B569D"/>
    <w:rsid w:val="001B5DEC"/>
    <w:rsid w:val="001B5E4C"/>
    <w:rsid w:val="001B5F0F"/>
    <w:rsid w:val="001B605E"/>
    <w:rsid w:val="001B607F"/>
    <w:rsid w:val="001B6279"/>
    <w:rsid w:val="001B64E0"/>
    <w:rsid w:val="001B6FD7"/>
    <w:rsid w:val="001B7098"/>
    <w:rsid w:val="001B74ED"/>
    <w:rsid w:val="001B78A5"/>
    <w:rsid w:val="001B78A9"/>
    <w:rsid w:val="001B7C66"/>
    <w:rsid w:val="001B7DE4"/>
    <w:rsid w:val="001C02D4"/>
    <w:rsid w:val="001C04AE"/>
    <w:rsid w:val="001C0B51"/>
    <w:rsid w:val="001C0E18"/>
    <w:rsid w:val="001C10C7"/>
    <w:rsid w:val="001C12ED"/>
    <w:rsid w:val="001C13F2"/>
    <w:rsid w:val="001C148C"/>
    <w:rsid w:val="001C182E"/>
    <w:rsid w:val="001C1C12"/>
    <w:rsid w:val="001C1D27"/>
    <w:rsid w:val="001C1DB2"/>
    <w:rsid w:val="001C1E77"/>
    <w:rsid w:val="001C21FB"/>
    <w:rsid w:val="001C241E"/>
    <w:rsid w:val="001C24A1"/>
    <w:rsid w:val="001C2658"/>
    <w:rsid w:val="001C2978"/>
    <w:rsid w:val="001C36B7"/>
    <w:rsid w:val="001C3D35"/>
    <w:rsid w:val="001C3E5A"/>
    <w:rsid w:val="001C3EBC"/>
    <w:rsid w:val="001C44E0"/>
    <w:rsid w:val="001C475E"/>
    <w:rsid w:val="001C4883"/>
    <w:rsid w:val="001C4A0F"/>
    <w:rsid w:val="001C4BAA"/>
    <w:rsid w:val="001C4F5D"/>
    <w:rsid w:val="001C5143"/>
    <w:rsid w:val="001C5738"/>
    <w:rsid w:val="001C57F2"/>
    <w:rsid w:val="001C58F2"/>
    <w:rsid w:val="001C5B15"/>
    <w:rsid w:val="001C5C46"/>
    <w:rsid w:val="001C602B"/>
    <w:rsid w:val="001C6304"/>
    <w:rsid w:val="001C64EA"/>
    <w:rsid w:val="001C660B"/>
    <w:rsid w:val="001C6634"/>
    <w:rsid w:val="001C66C2"/>
    <w:rsid w:val="001C6904"/>
    <w:rsid w:val="001C6950"/>
    <w:rsid w:val="001C69E0"/>
    <w:rsid w:val="001C6A8A"/>
    <w:rsid w:val="001C6C48"/>
    <w:rsid w:val="001C6D99"/>
    <w:rsid w:val="001C7614"/>
    <w:rsid w:val="001C7798"/>
    <w:rsid w:val="001C792E"/>
    <w:rsid w:val="001C7DB7"/>
    <w:rsid w:val="001D0078"/>
    <w:rsid w:val="001D00F5"/>
    <w:rsid w:val="001D04E0"/>
    <w:rsid w:val="001D06F5"/>
    <w:rsid w:val="001D0AAA"/>
    <w:rsid w:val="001D0E24"/>
    <w:rsid w:val="001D11A8"/>
    <w:rsid w:val="001D13D7"/>
    <w:rsid w:val="001D1575"/>
    <w:rsid w:val="001D178E"/>
    <w:rsid w:val="001D2028"/>
    <w:rsid w:val="001D20AA"/>
    <w:rsid w:val="001D2112"/>
    <w:rsid w:val="001D21FC"/>
    <w:rsid w:val="001D225D"/>
    <w:rsid w:val="001D258E"/>
    <w:rsid w:val="001D26AA"/>
    <w:rsid w:val="001D26DB"/>
    <w:rsid w:val="001D2C24"/>
    <w:rsid w:val="001D2E29"/>
    <w:rsid w:val="001D2F68"/>
    <w:rsid w:val="001D2FCD"/>
    <w:rsid w:val="001D32BE"/>
    <w:rsid w:val="001D3662"/>
    <w:rsid w:val="001D3AF8"/>
    <w:rsid w:val="001D3C19"/>
    <w:rsid w:val="001D3D29"/>
    <w:rsid w:val="001D3E57"/>
    <w:rsid w:val="001D3E75"/>
    <w:rsid w:val="001D4EF8"/>
    <w:rsid w:val="001D520B"/>
    <w:rsid w:val="001D5362"/>
    <w:rsid w:val="001D58C8"/>
    <w:rsid w:val="001D59D2"/>
    <w:rsid w:val="001D5A97"/>
    <w:rsid w:val="001D5D44"/>
    <w:rsid w:val="001D6004"/>
    <w:rsid w:val="001D6498"/>
    <w:rsid w:val="001D666E"/>
    <w:rsid w:val="001D6D19"/>
    <w:rsid w:val="001D6E21"/>
    <w:rsid w:val="001D76E0"/>
    <w:rsid w:val="001D7819"/>
    <w:rsid w:val="001E01BE"/>
    <w:rsid w:val="001E02CB"/>
    <w:rsid w:val="001E0394"/>
    <w:rsid w:val="001E1067"/>
    <w:rsid w:val="001E1260"/>
    <w:rsid w:val="001E12B2"/>
    <w:rsid w:val="001E1546"/>
    <w:rsid w:val="001E168A"/>
    <w:rsid w:val="001E1869"/>
    <w:rsid w:val="001E1DE7"/>
    <w:rsid w:val="001E2485"/>
    <w:rsid w:val="001E25B1"/>
    <w:rsid w:val="001E2610"/>
    <w:rsid w:val="001E288F"/>
    <w:rsid w:val="001E3292"/>
    <w:rsid w:val="001E3396"/>
    <w:rsid w:val="001E36BE"/>
    <w:rsid w:val="001E37BF"/>
    <w:rsid w:val="001E385C"/>
    <w:rsid w:val="001E39A3"/>
    <w:rsid w:val="001E3BE4"/>
    <w:rsid w:val="001E3CF9"/>
    <w:rsid w:val="001E40FE"/>
    <w:rsid w:val="001E4159"/>
    <w:rsid w:val="001E4204"/>
    <w:rsid w:val="001E4279"/>
    <w:rsid w:val="001E4D31"/>
    <w:rsid w:val="001E50A2"/>
    <w:rsid w:val="001E5905"/>
    <w:rsid w:val="001E5B7B"/>
    <w:rsid w:val="001E5C13"/>
    <w:rsid w:val="001E63CE"/>
    <w:rsid w:val="001E64F3"/>
    <w:rsid w:val="001E672B"/>
    <w:rsid w:val="001E678B"/>
    <w:rsid w:val="001E67BB"/>
    <w:rsid w:val="001E6CF3"/>
    <w:rsid w:val="001E71EA"/>
    <w:rsid w:val="001E7435"/>
    <w:rsid w:val="001E7A67"/>
    <w:rsid w:val="001E7B4B"/>
    <w:rsid w:val="001F01A5"/>
    <w:rsid w:val="001F03E3"/>
    <w:rsid w:val="001F0413"/>
    <w:rsid w:val="001F05BA"/>
    <w:rsid w:val="001F0AB3"/>
    <w:rsid w:val="001F0FC1"/>
    <w:rsid w:val="001F11CC"/>
    <w:rsid w:val="001F18CB"/>
    <w:rsid w:val="001F19A0"/>
    <w:rsid w:val="001F1B2E"/>
    <w:rsid w:val="001F1BF0"/>
    <w:rsid w:val="001F1D6D"/>
    <w:rsid w:val="001F2584"/>
    <w:rsid w:val="001F25AE"/>
    <w:rsid w:val="001F2637"/>
    <w:rsid w:val="001F2900"/>
    <w:rsid w:val="001F2B4B"/>
    <w:rsid w:val="001F2DFA"/>
    <w:rsid w:val="001F31C6"/>
    <w:rsid w:val="001F3215"/>
    <w:rsid w:val="001F326B"/>
    <w:rsid w:val="001F3811"/>
    <w:rsid w:val="001F3823"/>
    <w:rsid w:val="001F3908"/>
    <w:rsid w:val="001F39F5"/>
    <w:rsid w:val="001F43EF"/>
    <w:rsid w:val="001F4596"/>
    <w:rsid w:val="001F49DC"/>
    <w:rsid w:val="001F4E3C"/>
    <w:rsid w:val="001F4ECE"/>
    <w:rsid w:val="001F4F70"/>
    <w:rsid w:val="001F51B2"/>
    <w:rsid w:val="001F51E4"/>
    <w:rsid w:val="001F52B6"/>
    <w:rsid w:val="001F52BB"/>
    <w:rsid w:val="001F5626"/>
    <w:rsid w:val="001F5873"/>
    <w:rsid w:val="001F590C"/>
    <w:rsid w:val="001F59B3"/>
    <w:rsid w:val="001F5AB4"/>
    <w:rsid w:val="001F5B37"/>
    <w:rsid w:val="001F5B9E"/>
    <w:rsid w:val="001F5BF6"/>
    <w:rsid w:val="001F5FAF"/>
    <w:rsid w:val="001F6070"/>
    <w:rsid w:val="001F63C8"/>
    <w:rsid w:val="001F63E3"/>
    <w:rsid w:val="001F6424"/>
    <w:rsid w:val="001F650C"/>
    <w:rsid w:val="001F66E4"/>
    <w:rsid w:val="001F680F"/>
    <w:rsid w:val="001F6D2F"/>
    <w:rsid w:val="001F7C17"/>
    <w:rsid w:val="001F7D50"/>
    <w:rsid w:val="00200131"/>
    <w:rsid w:val="00200266"/>
    <w:rsid w:val="00200675"/>
    <w:rsid w:val="00200BD2"/>
    <w:rsid w:val="00200CAC"/>
    <w:rsid w:val="00200D4D"/>
    <w:rsid w:val="00201009"/>
    <w:rsid w:val="0020161C"/>
    <w:rsid w:val="00201EF7"/>
    <w:rsid w:val="00201F7B"/>
    <w:rsid w:val="00202048"/>
    <w:rsid w:val="002027E3"/>
    <w:rsid w:val="002028B8"/>
    <w:rsid w:val="00202958"/>
    <w:rsid w:val="002029DC"/>
    <w:rsid w:val="00202B79"/>
    <w:rsid w:val="00202DAB"/>
    <w:rsid w:val="00202E68"/>
    <w:rsid w:val="00202FE1"/>
    <w:rsid w:val="00202FEE"/>
    <w:rsid w:val="00203077"/>
    <w:rsid w:val="002037C2"/>
    <w:rsid w:val="00203A72"/>
    <w:rsid w:val="00203A73"/>
    <w:rsid w:val="00203B2F"/>
    <w:rsid w:val="00203D70"/>
    <w:rsid w:val="00204496"/>
    <w:rsid w:val="002045CC"/>
    <w:rsid w:val="0020482A"/>
    <w:rsid w:val="00204A10"/>
    <w:rsid w:val="00204DE3"/>
    <w:rsid w:val="00204F41"/>
    <w:rsid w:val="00204FE8"/>
    <w:rsid w:val="002051DD"/>
    <w:rsid w:val="00205554"/>
    <w:rsid w:val="0020560D"/>
    <w:rsid w:val="002057ED"/>
    <w:rsid w:val="00206028"/>
    <w:rsid w:val="002061AF"/>
    <w:rsid w:val="002065C5"/>
    <w:rsid w:val="0020680F"/>
    <w:rsid w:val="00206B66"/>
    <w:rsid w:val="002072CF"/>
    <w:rsid w:val="00207770"/>
    <w:rsid w:val="00207779"/>
    <w:rsid w:val="0020779B"/>
    <w:rsid w:val="002078A5"/>
    <w:rsid w:val="00207AF0"/>
    <w:rsid w:val="00207CB1"/>
    <w:rsid w:val="00207D7F"/>
    <w:rsid w:val="0021048F"/>
    <w:rsid w:val="00210494"/>
    <w:rsid w:val="002105C7"/>
    <w:rsid w:val="002106B0"/>
    <w:rsid w:val="00210772"/>
    <w:rsid w:val="00210919"/>
    <w:rsid w:val="00210B24"/>
    <w:rsid w:val="00210C41"/>
    <w:rsid w:val="00210E7F"/>
    <w:rsid w:val="00210FAD"/>
    <w:rsid w:val="002111F7"/>
    <w:rsid w:val="002117FF"/>
    <w:rsid w:val="00211847"/>
    <w:rsid w:val="00211C1D"/>
    <w:rsid w:val="002121EF"/>
    <w:rsid w:val="00212423"/>
    <w:rsid w:val="002126FB"/>
    <w:rsid w:val="002129C2"/>
    <w:rsid w:val="00212B80"/>
    <w:rsid w:val="00212F24"/>
    <w:rsid w:val="00213426"/>
    <w:rsid w:val="002135FA"/>
    <w:rsid w:val="0021387B"/>
    <w:rsid w:val="002138F8"/>
    <w:rsid w:val="00213A2B"/>
    <w:rsid w:val="00213B66"/>
    <w:rsid w:val="00213C3B"/>
    <w:rsid w:val="00213EC1"/>
    <w:rsid w:val="0021431A"/>
    <w:rsid w:val="002149FC"/>
    <w:rsid w:val="00214A3B"/>
    <w:rsid w:val="00214D2D"/>
    <w:rsid w:val="00214D4A"/>
    <w:rsid w:val="00214FAC"/>
    <w:rsid w:val="002154EC"/>
    <w:rsid w:val="00215BF3"/>
    <w:rsid w:val="002162C8"/>
    <w:rsid w:val="00216754"/>
    <w:rsid w:val="00216BC5"/>
    <w:rsid w:val="00216CB7"/>
    <w:rsid w:val="00216D43"/>
    <w:rsid w:val="00216DF1"/>
    <w:rsid w:val="0021702D"/>
    <w:rsid w:val="00217303"/>
    <w:rsid w:val="00217372"/>
    <w:rsid w:val="002173C6"/>
    <w:rsid w:val="002176B6"/>
    <w:rsid w:val="00217981"/>
    <w:rsid w:val="00217D1B"/>
    <w:rsid w:val="00217E8F"/>
    <w:rsid w:val="0022008A"/>
    <w:rsid w:val="00220130"/>
    <w:rsid w:val="00220198"/>
    <w:rsid w:val="002202BA"/>
    <w:rsid w:val="002205AB"/>
    <w:rsid w:val="002207E3"/>
    <w:rsid w:val="00220A4F"/>
    <w:rsid w:val="00220A78"/>
    <w:rsid w:val="00220AF6"/>
    <w:rsid w:val="00220E39"/>
    <w:rsid w:val="002210ED"/>
    <w:rsid w:val="00221189"/>
    <w:rsid w:val="002213D9"/>
    <w:rsid w:val="00221605"/>
    <w:rsid w:val="002218CF"/>
    <w:rsid w:val="00222309"/>
    <w:rsid w:val="00222312"/>
    <w:rsid w:val="00222482"/>
    <w:rsid w:val="002227F5"/>
    <w:rsid w:val="00222869"/>
    <w:rsid w:val="00222922"/>
    <w:rsid w:val="00222B33"/>
    <w:rsid w:val="00222B4E"/>
    <w:rsid w:val="00222EAA"/>
    <w:rsid w:val="00222F32"/>
    <w:rsid w:val="0022317C"/>
    <w:rsid w:val="002232F5"/>
    <w:rsid w:val="00223667"/>
    <w:rsid w:val="0022391B"/>
    <w:rsid w:val="00223938"/>
    <w:rsid w:val="00223B9E"/>
    <w:rsid w:val="002241BE"/>
    <w:rsid w:val="002243A9"/>
    <w:rsid w:val="00224893"/>
    <w:rsid w:val="00224BA4"/>
    <w:rsid w:val="00224CD4"/>
    <w:rsid w:val="00224F65"/>
    <w:rsid w:val="00225348"/>
    <w:rsid w:val="00225615"/>
    <w:rsid w:val="002257B5"/>
    <w:rsid w:val="002257C6"/>
    <w:rsid w:val="00225B0D"/>
    <w:rsid w:val="00225CA7"/>
    <w:rsid w:val="00225DB9"/>
    <w:rsid w:val="00226210"/>
    <w:rsid w:val="0022652D"/>
    <w:rsid w:val="002266E3"/>
    <w:rsid w:val="002267BA"/>
    <w:rsid w:val="00226BD2"/>
    <w:rsid w:val="00226EA3"/>
    <w:rsid w:val="002271F3"/>
    <w:rsid w:val="00227917"/>
    <w:rsid w:val="0022793E"/>
    <w:rsid w:val="00227B92"/>
    <w:rsid w:val="00227F0D"/>
    <w:rsid w:val="002307AC"/>
    <w:rsid w:val="00230820"/>
    <w:rsid w:val="002308FD"/>
    <w:rsid w:val="00230AE3"/>
    <w:rsid w:val="00230BD0"/>
    <w:rsid w:val="00230BEE"/>
    <w:rsid w:val="00230C62"/>
    <w:rsid w:val="00230D87"/>
    <w:rsid w:val="00230D89"/>
    <w:rsid w:val="002313F5"/>
    <w:rsid w:val="00231FAA"/>
    <w:rsid w:val="00231FB5"/>
    <w:rsid w:val="00231FB8"/>
    <w:rsid w:val="00232277"/>
    <w:rsid w:val="002324F5"/>
    <w:rsid w:val="00232630"/>
    <w:rsid w:val="00232C2D"/>
    <w:rsid w:val="0023342D"/>
    <w:rsid w:val="00233528"/>
    <w:rsid w:val="00233C43"/>
    <w:rsid w:val="00234137"/>
    <w:rsid w:val="00234839"/>
    <w:rsid w:val="00234A11"/>
    <w:rsid w:val="00234CB7"/>
    <w:rsid w:val="00234D0C"/>
    <w:rsid w:val="00235360"/>
    <w:rsid w:val="00235632"/>
    <w:rsid w:val="002358CF"/>
    <w:rsid w:val="0023591A"/>
    <w:rsid w:val="00236176"/>
    <w:rsid w:val="0023629D"/>
    <w:rsid w:val="002363A3"/>
    <w:rsid w:val="00236EFA"/>
    <w:rsid w:val="0023739F"/>
    <w:rsid w:val="0023762E"/>
    <w:rsid w:val="00237B05"/>
    <w:rsid w:val="00237BE5"/>
    <w:rsid w:val="002407A1"/>
    <w:rsid w:val="002407C6"/>
    <w:rsid w:val="002407F9"/>
    <w:rsid w:val="00240C5A"/>
    <w:rsid w:val="00240DB0"/>
    <w:rsid w:val="002414B5"/>
    <w:rsid w:val="00241859"/>
    <w:rsid w:val="00241905"/>
    <w:rsid w:val="00241B53"/>
    <w:rsid w:val="002425F3"/>
    <w:rsid w:val="00242A1D"/>
    <w:rsid w:val="00242FDD"/>
    <w:rsid w:val="0024372D"/>
    <w:rsid w:val="00244101"/>
    <w:rsid w:val="0024417E"/>
    <w:rsid w:val="00244288"/>
    <w:rsid w:val="0024503F"/>
    <w:rsid w:val="00245150"/>
    <w:rsid w:val="002451EA"/>
    <w:rsid w:val="002456D3"/>
    <w:rsid w:val="0024588E"/>
    <w:rsid w:val="002459FB"/>
    <w:rsid w:val="00245EEF"/>
    <w:rsid w:val="00246542"/>
    <w:rsid w:val="0024697F"/>
    <w:rsid w:val="00246B9F"/>
    <w:rsid w:val="00246BBE"/>
    <w:rsid w:val="00246C23"/>
    <w:rsid w:val="00246D04"/>
    <w:rsid w:val="00246F99"/>
    <w:rsid w:val="00246FBB"/>
    <w:rsid w:val="00247148"/>
    <w:rsid w:val="0024737E"/>
    <w:rsid w:val="00247477"/>
    <w:rsid w:val="0024791D"/>
    <w:rsid w:val="00247A21"/>
    <w:rsid w:val="00250382"/>
    <w:rsid w:val="00250D17"/>
    <w:rsid w:val="00250D80"/>
    <w:rsid w:val="00250DA5"/>
    <w:rsid w:val="0025106B"/>
    <w:rsid w:val="0025123D"/>
    <w:rsid w:val="002513B2"/>
    <w:rsid w:val="00251F4B"/>
    <w:rsid w:val="002523CF"/>
    <w:rsid w:val="002524C9"/>
    <w:rsid w:val="00252828"/>
    <w:rsid w:val="00252915"/>
    <w:rsid w:val="002529B1"/>
    <w:rsid w:val="00252F2D"/>
    <w:rsid w:val="00252FEE"/>
    <w:rsid w:val="0025309F"/>
    <w:rsid w:val="0025324E"/>
    <w:rsid w:val="002533C0"/>
    <w:rsid w:val="002535B4"/>
    <w:rsid w:val="00253614"/>
    <w:rsid w:val="00253C84"/>
    <w:rsid w:val="00254111"/>
    <w:rsid w:val="00254515"/>
    <w:rsid w:val="00254B57"/>
    <w:rsid w:val="00254FAB"/>
    <w:rsid w:val="002555DF"/>
    <w:rsid w:val="00255CAB"/>
    <w:rsid w:val="00255D33"/>
    <w:rsid w:val="00255E94"/>
    <w:rsid w:val="00256669"/>
    <w:rsid w:val="002566F7"/>
    <w:rsid w:val="002568FA"/>
    <w:rsid w:val="00256BC9"/>
    <w:rsid w:val="00256D93"/>
    <w:rsid w:val="002570B8"/>
    <w:rsid w:val="00257887"/>
    <w:rsid w:val="00257F70"/>
    <w:rsid w:val="00260022"/>
    <w:rsid w:val="0026008B"/>
    <w:rsid w:val="002603B2"/>
    <w:rsid w:val="002603FD"/>
    <w:rsid w:val="002605C6"/>
    <w:rsid w:val="002609C3"/>
    <w:rsid w:val="00260B43"/>
    <w:rsid w:val="00260FB1"/>
    <w:rsid w:val="00261041"/>
    <w:rsid w:val="002617C5"/>
    <w:rsid w:val="002617DE"/>
    <w:rsid w:val="00261F70"/>
    <w:rsid w:val="00262661"/>
    <w:rsid w:val="002627AE"/>
    <w:rsid w:val="00262C36"/>
    <w:rsid w:val="002630C7"/>
    <w:rsid w:val="0026386E"/>
    <w:rsid w:val="00263DB6"/>
    <w:rsid w:val="00263FEA"/>
    <w:rsid w:val="002642CD"/>
    <w:rsid w:val="00264BAE"/>
    <w:rsid w:val="00264D68"/>
    <w:rsid w:val="002658BB"/>
    <w:rsid w:val="002660E6"/>
    <w:rsid w:val="002661D4"/>
    <w:rsid w:val="002664BE"/>
    <w:rsid w:val="00266AFD"/>
    <w:rsid w:val="00266EAD"/>
    <w:rsid w:val="00266F57"/>
    <w:rsid w:val="00267599"/>
    <w:rsid w:val="0026798B"/>
    <w:rsid w:val="00267A75"/>
    <w:rsid w:val="00267B48"/>
    <w:rsid w:val="00270450"/>
    <w:rsid w:val="00270570"/>
    <w:rsid w:val="0027069A"/>
    <w:rsid w:val="00270D82"/>
    <w:rsid w:val="00270E41"/>
    <w:rsid w:val="00271250"/>
    <w:rsid w:val="002715BC"/>
    <w:rsid w:val="0027168E"/>
    <w:rsid w:val="00271E34"/>
    <w:rsid w:val="0027279E"/>
    <w:rsid w:val="002727C2"/>
    <w:rsid w:val="00272F16"/>
    <w:rsid w:val="0027327E"/>
    <w:rsid w:val="002734B9"/>
    <w:rsid w:val="00273A16"/>
    <w:rsid w:val="00273C37"/>
    <w:rsid w:val="00273DBC"/>
    <w:rsid w:val="00273E2F"/>
    <w:rsid w:val="00273E3E"/>
    <w:rsid w:val="00273ED8"/>
    <w:rsid w:val="00273F24"/>
    <w:rsid w:val="0027412F"/>
    <w:rsid w:val="002749F7"/>
    <w:rsid w:val="00274E02"/>
    <w:rsid w:val="0027536D"/>
    <w:rsid w:val="00275BDD"/>
    <w:rsid w:val="00275E5D"/>
    <w:rsid w:val="0027617F"/>
    <w:rsid w:val="00276327"/>
    <w:rsid w:val="00276C9C"/>
    <w:rsid w:val="00276FA9"/>
    <w:rsid w:val="00277385"/>
    <w:rsid w:val="0027747F"/>
    <w:rsid w:val="00277506"/>
    <w:rsid w:val="00277CAB"/>
    <w:rsid w:val="00277F37"/>
    <w:rsid w:val="0028010F"/>
    <w:rsid w:val="00280322"/>
    <w:rsid w:val="002809A5"/>
    <w:rsid w:val="002809FB"/>
    <w:rsid w:val="00280E0B"/>
    <w:rsid w:val="00280F5B"/>
    <w:rsid w:val="002814E0"/>
    <w:rsid w:val="002817B8"/>
    <w:rsid w:val="0028191F"/>
    <w:rsid w:val="00281944"/>
    <w:rsid w:val="00281B58"/>
    <w:rsid w:val="00282470"/>
    <w:rsid w:val="002826BC"/>
    <w:rsid w:val="002829DE"/>
    <w:rsid w:val="00282C85"/>
    <w:rsid w:val="00282DCD"/>
    <w:rsid w:val="00282E85"/>
    <w:rsid w:val="00282FD6"/>
    <w:rsid w:val="00283789"/>
    <w:rsid w:val="002837D7"/>
    <w:rsid w:val="002841B3"/>
    <w:rsid w:val="002842D3"/>
    <w:rsid w:val="0028476D"/>
    <w:rsid w:val="002848D8"/>
    <w:rsid w:val="00284E59"/>
    <w:rsid w:val="00284EDB"/>
    <w:rsid w:val="00284F84"/>
    <w:rsid w:val="002850B1"/>
    <w:rsid w:val="002852BD"/>
    <w:rsid w:val="002853B9"/>
    <w:rsid w:val="0028542E"/>
    <w:rsid w:val="0028545D"/>
    <w:rsid w:val="002859FA"/>
    <w:rsid w:val="00285B0C"/>
    <w:rsid w:val="00285C2C"/>
    <w:rsid w:val="00285C96"/>
    <w:rsid w:val="00285CC3"/>
    <w:rsid w:val="00286474"/>
    <w:rsid w:val="0028678D"/>
    <w:rsid w:val="0028684B"/>
    <w:rsid w:val="0028684F"/>
    <w:rsid w:val="00286D75"/>
    <w:rsid w:val="0028749A"/>
    <w:rsid w:val="00287A66"/>
    <w:rsid w:val="00287BFD"/>
    <w:rsid w:val="00287EE3"/>
    <w:rsid w:val="00290A50"/>
    <w:rsid w:val="00290A8A"/>
    <w:rsid w:val="00290B68"/>
    <w:rsid w:val="002911FA"/>
    <w:rsid w:val="002914EF"/>
    <w:rsid w:val="0029161D"/>
    <w:rsid w:val="00291706"/>
    <w:rsid w:val="00291CBA"/>
    <w:rsid w:val="00291D3D"/>
    <w:rsid w:val="00291F61"/>
    <w:rsid w:val="00292185"/>
    <w:rsid w:val="00292224"/>
    <w:rsid w:val="00292310"/>
    <w:rsid w:val="00293526"/>
    <w:rsid w:val="00293A5F"/>
    <w:rsid w:val="00293ABB"/>
    <w:rsid w:val="00293C05"/>
    <w:rsid w:val="0029418B"/>
    <w:rsid w:val="002944D6"/>
    <w:rsid w:val="002945C6"/>
    <w:rsid w:val="00294691"/>
    <w:rsid w:val="00294742"/>
    <w:rsid w:val="002949CE"/>
    <w:rsid w:val="00294ADF"/>
    <w:rsid w:val="00294C13"/>
    <w:rsid w:val="00294DB1"/>
    <w:rsid w:val="00294EEE"/>
    <w:rsid w:val="00294FA0"/>
    <w:rsid w:val="00295163"/>
    <w:rsid w:val="00295690"/>
    <w:rsid w:val="0029583A"/>
    <w:rsid w:val="00295A76"/>
    <w:rsid w:val="00295AFC"/>
    <w:rsid w:val="002960F8"/>
    <w:rsid w:val="0029612C"/>
    <w:rsid w:val="002963FF"/>
    <w:rsid w:val="002966D2"/>
    <w:rsid w:val="0029673E"/>
    <w:rsid w:val="00296ADE"/>
    <w:rsid w:val="00296F93"/>
    <w:rsid w:val="00297859"/>
    <w:rsid w:val="002A02B3"/>
    <w:rsid w:val="002A058D"/>
    <w:rsid w:val="002A06A9"/>
    <w:rsid w:val="002A08D0"/>
    <w:rsid w:val="002A125A"/>
    <w:rsid w:val="002A1AD9"/>
    <w:rsid w:val="002A1FF9"/>
    <w:rsid w:val="002A200A"/>
    <w:rsid w:val="002A2198"/>
    <w:rsid w:val="002A263A"/>
    <w:rsid w:val="002A26C3"/>
    <w:rsid w:val="002A3F7A"/>
    <w:rsid w:val="002A421A"/>
    <w:rsid w:val="002A43A5"/>
    <w:rsid w:val="002A4930"/>
    <w:rsid w:val="002A4E6C"/>
    <w:rsid w:val="002A4F69"/>
    <w:rsid w:val="002A5068"/>
    <w:rsid w:val="002A5165"/>
    <w:rsid w:val="002A5B54"/>
    <w:rsid w:val="002A5E64"/>
    <w:rsid w:val="002A6045"/>
    <w:rsid w:val="002A6093"/>
    <w:rsid w:val="002A622C"/>
    <w:rsid w:val="002A65A0"/>
    <w:rsid w:val="002A664D"/>
    <w:rsid w:val="002A6760"/>
    <w:rsid w:val="002A67F4"/>
    <w:rsid w:val="002A6CFA"/>
    <w:rsid w:val="002A6D09"/>
    <w:rsid w:val="002A7298"/>
    <w:rsid w:val="002A729B"/>
    <w:rsid w:val="002A7662"/>
    <w:rsid w:val="002A79AE"/>
    <w:rsid w:val="002A7DE7"/>
    <w:rsid w:val="002A7ED9"/>
    <w:rsid w:val="002B01A1"/>
    <w:rsid w:val="002B026A"/>
    <w:rsid w:val="002B0566"/>
    <w:rsid w:val="002B0DE3"/>
    <w:rsid w:val="002B0F74"/>
    <w:rsid w:val="002B14B7"/>
    <w:rsid w:val="002B14DB"/>
    <w:rsid w:val="002B1710"/>
    <w:rsid w:val="002B1963"/>
    <w:rsid w:val="002B19BF"/>
    <w:rsid w:val="002B1ACD"/>
    <w:rsid w:val="002B1B62"/>
    <w:rsid w:val="002B1E7C"/>
    <w:rsid w:val="002B2481"/>
    <w:rsid w:val="002B28A6"/>
    <w:rsid w:val="002B299C"/>
    <w:rsid w:val="002B2E76"/>
    <w:rsid w:val="002B2FD3"/>
    <w:rsid w:val="002B34EF"/>
    <w:rsid w:val="002B366A"/>
    <w:rsid w:val="002B3983"/>
    <w:rsid w:val="002B3D6E"/>
    <w:rsid w:val="002B40FD"/>
    <w:rsid w:val="002B4840"/>
    <w:rsid w:val="002B4A6C"/>
    <w:rsid w:val="002B51FF"/>
    <w:rsid w:val="002B52D1"/>
    <w:rsid w:val="002B5785"/>
    <w:rsid w:val="002B5787"/>
    <w:rsid w:val="002B5813"/>
    <w:rsid w:val="002B5A5C"/>
    <w:rsid w:val="002B5A84"/>
    <w:rsid w:val="002B5D01"/>
    <w:rsid w:val="002B5DFE"/>
    <w:rsid w:val="002B6311"/>
    <w:rsid w:val="002B6665"/>
    <w:rsid w:val="002B66ED"/>
    <w:rsid w:val="002B6977"/>
    <w:rsid w:val="002B6995"/>
    <w:rsid w:val="002B6E43"/>
    <w:rsid w:val="002B70EE"/>
    <w:rsid w:val="002B7269"/>
    <w:rsid w:val="002B7417"/>
    <w:rsid w:val="002B762B"/>
    <w:rsid w:val="002B76C5"/>
    <w:rsid w:val="002B7C16"/>
    <w:rsid w:val="002B7C89"/>
    <w:rsid w:val="002B7D12"/>
    <w:rsid w:val="002C004E"/>
    <w:rsid w:val="002C0845"/>
    <w:rsid w:val="002C09A1"/>
    <w:rsid w:val="002C0AB4"/>
    <w:rsid w:val="002C0AFD"/>
    <w:rsid w:val="002C1544"/>
    <w:rsid w:val="002C1A1A"/>
    <w:rsid w:val="002C22CC"/>
    <w:rsid w:val="002C24AF"/>
    <w:rsid w:val="002C2A11"/>
    <w:rsid w:val="002C2B70"/>
    <w:rsid w:val="002C2EFC"/>
    <w:rsid w:val="002C30F0"/>
    <w:rsid w:val="002C370F"/>
    <w:rsid w:val="002C3909"/>
    <w:rsid w:val="002C39F0"/>
    <w:rsid w:val="002C3A30"/>
    <w:rsid w:val="002C3B1F"/>
    <w:rsid w:val="002C3B91"/>
    <w:rsid w:val="002C3CC3"/>
    <w:rsid w:val="002C4096"/>
    <w:rsid w:val="002C4495"/>
    <w:rsid w:val="002C4701"/>
    <w:rsid w:val="002C4925"/>
    <w:rsid w:val="002C4E35"/>
    <w:rsid w:val="002C538B"/>
    <w:rsid w:val="002C5460"/>
    <w:rsid w:val="002C5A6D"/>
    <w:rsid w:val="002C5AAC"/>
    <w:rsid w:val="002C5EAF"/>
    <w:rsid w:val="002C6026"/>
    <w:rsid w:val="002C6349"/>
    <w:rsid w:val="002C6911"/>
    <w:rsid w:val="002C6B2D"/>
    <w:rsid w:val="002C725B"/>
    <w:rsid w:val="002C728F"/>
    <w:rsid w:val="002C7360"/>
    <w:rsid w:val="002C75DA"/>
    <w:rsid w:val="002C77CF"/>
    <w:rsid w:val="002C7D86"/>
    <w:rsid w:val="002D0313"/>
    <w:rsid w:val="002D063B"/>
    <w:rsid w:val="002D08F3"/>
    <w:rsid w:val="002D0DD5"/>
    <w:rsid w:val="002D0ED7"/>
    <w:rsid w:val="002D141B"/>
    <w:rsid w:val="002D1498"/>
    <w:rsid w:val="002D15FB"/>
    <w:rsid w:val="002D1713"/>
    <w:rsid w:val="002D176C"/>
    <w:rsid w:val="002D1D7C"/>
    <w:rsid w:val="002D231F"/>
    <w:rsid w:val="002D27E5"/>
    <w:rsid w:val="002D3361"/>
    <w:rsid w:val="002D36E0"/>
    <w:rsid w:val="002D3A8C"/>
    <w:rsid w:val="002D3BE5"/>
    <w:rsid w:val="002D4028"/>
    <w:rsid w:val="002D4106"/>
    <w:rsid w:val="002D41BA"/>
    <w:rsid w:val="002D457B"/>
    <w:rsid w:val="002D45F4"/>
    <w:rsid w:val="002D4EFF"/>
    <w:rsid w:val="002D51B3"/>
    <w:rsid w:val="002D54DD"/>
    <w:rsid w:val="002D5589"/>
    <w:rsid w:val="002D5B16"/>
    <w:rsid w:val="002D620A"/>
    <w:rsid w:val="002D63FB"/>
    <w:rsid w:val="002D643D"/>
    <w:rsid w:val="002D646B"/>
    <w:rsid w:val="002D64DB"/>
    <w:rsid w:val="002D64DF"/>
    <w:rsid w:val="002D65A3"/>
    <w:rsid w:val="002D66C5"/>
    <w:rsid w:val="002D6DE6"/>
    <w:rsid w:val="002D71E4"/>
    <w:rsid w:val="002D789C"/>
    <w:rsid w:val="002D7AA4"/>
    <w:rsid w:val="002E01B1"/>
    <w:rsid w:val="002E0E3F"/>
    <w:rsid w:val="002E141A"/>
    <w:rsid w:val="002E16B6"/>
    <w:rsid w:val="002E18E1"/>
    <w:rsid w:val="002E193A"/>
    <w:rsid w:val="002E1D53"/>
    <w:rsid w:val="002E200A"/>
    <w:rsid w:val="002E23E4"/>
    <w:rsid w:val="002E2408"/>
    <w:rsid w:val="002E26C0"/>
    <w:rsid w:val="002E2AD3"/>
    <w:rsid w:val="002E2D89"/>
    <w:rsid w:val="002E2D8E"/>
    <w:rsid w:val="002E30FC"/>
    <w:rsid w:val="002E342B"/>
    <w:rsid w:val="002E35EE"/>
    <w:rsid w:val="002E377C"/>
    <w:rsid w:val="002E3F7F"/>
    <w:rsid w:val="002E41C0"/>
    <w:rsid w:val="002E45D4"/>
    <w:rsid w:val="002E4B3A"/>
    <w:rsid w:val="002E4B42"/>
    <w:rsid w:val="002E4E94"/>
    <w:rsid w:val="002E5484"/>
    <w:rsid w:val="002E56E8"/>
    <w:rsid w:val="002E59AD"/>
    <w:rsid w:val="002E62F3"/>
    <w:rsid w:val="002E6309"/>
    <w:rsid w:val="002E6729"/>
    <w:rsid w:val="002E6918"/>
    <w:rsid w:val="002E6C60"/>
    <w:rsid w:val="002E7486"/>
    <w:rsid w:val="002E75A6"/>
    <w:rsid w:val="002E79D3"/>
    <w:rsid w:val="002F0080"/>
    <w:rsid w:val="002F0526"/>
    <w:rsid w:val="002F09D4"/>
    <w:rsid w:val="002F0B9F"/>
    <w:rsid w:val="002F0C2F"/>
    <w:rsid w:val="002F0ECA"/>
    <w:rsid w:val="002F0F67"/>
    <w:rsid w:val="002F149E"/>
    <w:rsid w:val="002F22FF"/>
    <w:rsid w:val="002F3689"/>
    <w:rsid w:val="002F394D"/>
    <w:rsid w:val="002F3BB9"/>
    <w:rsid w:val="002F3D15"/>
    <w:rsid w:val="002F3D9F"/>
    <w:rsid w:val="002F411F"/>
    <w:rsid w:val="002F486A"/>
    <w:rsid w:val="002F4B56"/>
    <w:rsid w:val="002F4BD5"/>
    <w:rsid w:val="002F562A"/>
    <w:rsid w:val="002F5775"/>
    <w:rsid w:val="002F58EE"/>
    <w:rsid w:val="002F5938"/>
    <w:rsid w:val="002F59EC"/>
    <w:rsid w:val="002F5A4D"/>
    <w:rsid w:val="002F5B08"/>
    <w:rsid w:val="002F5BFA"/>
    <w:rsid w:val="002F679A"/>
    <w:rsid w:val="002F6883"/>
    <w:rsid w:val="002F6BA3"/>
    <w:rsid w:val="002F6F68"/>
    <w:rsid w:val="002F7061"/>
    <w:rsid w:val="002F7067"/>
    <w:rsid w:val="002F7DFE"/>
    <w:rsid w:val="00300264"/>
    <w:rsid w:val="003002FA"/>
    <w:rsid w:val="003003D6"/>
    <w:rsid w:val="003004A3"/>
    <w:rsid w:val="00300B4F"/>
    <w:rsid w:val="00300B5A"/>
    <w:rsid w:val="00300E82"/>
    <w:rsid w:val="00301028"/>
    <w:rsid w:val="00301109"/>
    <w:rsid w:val="00301311"/>
    <w:rsid w:val="00301A59"/>
    <w:rsid w:val="00301D13"/>
    <w:rsid w:val="00301DA7"/>
    <w:rsid w:val="003021A2"/>
    <w:rsid w:val="00302433"/>
    <w:rsid w:val="00302A69"/>
    <w:rsid w:val="00302ACE"/>
    <w:rsid w:val="00302DDF"/>
    <w:rsid w:val="00302F05"/>
    <w:rsid w:val="00303332"/>
    <w:rsid w:val="00303611"/>
    <w:rsid w:val="00303B3D"/>
    <w:rsid w:val="00303C8E"/>
    <w:rsid w:val="00304BE8"/>
    <w:rsid w:val="00304E54"/>
    <w:rsid w:val="00305095"/>
    <w:rsid w:val="003054F6"/>
    <w:rsid w:val="00305EC5"/>
    <w:rsid w:val="00305FB6"/>
    <w:rsid w:val="00305FED"/>
    <w:rsid w:val="003063E6"/>
    <w:rsid w:val="003066F6"/>
    <w:rsid w:val="00306AD7"/>
    <w:rsid w:val="00306CEC"/>
    <w:rsid w:val="00306E08"/>
    <w:rsid w:val="003070E2"/>
    <w:rsid w:val="00307AA2"/>
    <w:rsid w:val="00307CD2"/>
    <w:rsid w:val="00307F55"/>
    <w:rsid w:val="003103C8"/>
    <w:rsid w:val="0031052E"/>
    <w:rsid w:val="0031058A"/>
    <w:rsid w:val="00310C90"/>
    <w:rsid w:val="00310D82"/>
    <w:rsid w:val="003111BF"/>
    <w:rsid w:val="003112B8"/>
    <w:rsid w:val="00311354"/>
    <w:rsid w:val="003113AA"/>
    <w:rsid w:val="00311AE1"/>
    <w:rsid w:val="00311BF5"/>
    <w:rsid w:val="003126BC"/>
    <w:rsid w:val="0031279D"/>
    <w:rsid w:val="003127CE"/>
    <w:rsid w:val="0031292D"/>
    <w:rsid w:val="00312F9B"/>
    <w:rsid w:val="00313335"/>
    <w:rsid w:val="0031338C"/>
    <w:rsid w:val="00313393"/>
    <w:rsid w:val="00313B72"/>
    <w:rsid w:val="00313F78"/>
    <w:rsid w:val="00313FF7"/>
    <w:rsid w:val="003141F0"/>
    <w:rsid w:val="00314508"/>
    <w:rsid w:val="003146AE"/>
    <w:rsid w:val="0031473B"/>
    <w:rsid w:val="00314761"/>
    <w:rsid w:val="00314CC2"/>
    <w:rsid w:val="003157F1"/>
    <w:rsid w:val="00315889"/>
    <w:rsid w:val="00315BD4"/>
    <w:rsid w:val="00315DAD"/>
    <w:rsid w:val="00315E4F"/>
    <w:rsid w:val="00316040"/>
    <w:rsid w:val="00316427"/>
    <w:rsid w:val="00316569"/>
    <w:rsid w:val="003169C8"/>
    <w:rsid w:val="00316A15"/>
    <w:rsid w:val="00316E61"/>
    <w:rsid w:val="00317028"/>
    <w:rsid w:val="003171CC"/>
    <w:rsid w:val="00317305"/>
    <w:rsid w:val="00317427"/>
    <w:rsid w:val="003177D5"/>
    <w:rsid w:val="00320090"/>
    <w:rsid w:val="00320150"/>
    <w:rsid w:val="003202E6"/>
    <w:rsid w:val="00320371"/>
    <w:rsid w:val="00320690"/>
    <w:rsid w:val="0032070D"/>
    <w:rsid w:val="003212D8"/>
    <w:rsid w:val="00321402"/>
    <w:rsid w:val="00321B77"/>
    <w:rsid w:val="00321B97"/>
    <w:rsid w:val="00322069"/>
    <w:rsid w:val="003221D0"/>
    <w:rsid w:val="00322386"/>
    <w:rsid w:val="0032245F"/>
    <w:rsid w:val="003226A4"/>
    <w:rsid w:val="00322AC9"/>
    <w:rsid w:val="00322B45"/>
    <w:rsid w:val="00323786"/>
    <w:rsid w:val="00323AB4"/>
    <w:rsid w:val="00323AC2"/>
    <w:rsid w:val="00323D51"/>
    <w:rsid w:val="0032437F"/>
    <w:rsid w:val="00324792"/>
    <w:rsid w:val="003248E4"/>
    <w:rsid w:val="00324B89"/>
    <w:rsid w:val="00324F27"/>
    <w:rsid w:val="0032500C"/>
    <w:rsid w:val="00325053"/>
    <w:rsid w:val="0032507E"/>
    <w:rsid w:val="00325588"/>
    <w:rsid w:val="00325A1D"/>
    <w:rsid w:val="00325CA9"/>
    <w:rsid w:val="00325E0D"/>
    <w:rsid w:val="00325E3C"/>
    <w:rsid w:val="00325FFA"/>
    <w:rsid w:val="003262A7"/>
    <w:rsid w:val="003269DB"/>
    <w:rsid w:val="003270D0"/>
    <w:rsid w:val="003272C7"/>
    <w:rsid w:val="0033041D"/>
    <w:rsid w:val="0033050A"/>
    <w:rsid w:val="0033072B"/>
    <w:rsid w:val="0033081E"/>
    <w:rsid w:val="0033089F"/>
    <w:rsid w:val="00330A7C"/>
    <w:rsid w:val="00330D6A"/>
    <w:rsid w:val="00330E1A"/>
    <w:rsid w:val="00331008"/>
    <w:rsid w:val="00331149"/>
    <w:rsid w:val="00331283"/>
    <w:rsid w:val="00331868"/>
    <w:rsid w:val="00331D60"/>
    <w:rsid w:val="00332024"/>
    <w:rsid w:val="00332F29"/>
    <w:rsid w:val="0033340F"/>
    <w:rsid w:val="00333469"/>
    <w:rsid w:val="00333481"/>
    <w:rsid w:val="00333578"/>
    <w:rsid w:val="00333DD3"/>
    <w:rsid w:val="00333F31"/>
    <w:rsid w:val="00333FA0"/>
    <w:rsid w:val="003345BC"/>
    <w:rsid w:val="0033487A"/>
    <w:rsid w:val="00334ADB"/>
    <w:rsid w:val="00334D97"/>
    <w:rsid w:val="00334E0D"/>
    <w:rsid w:val="003356F4"/>
    <w:rsid w:val="00335816"/>
    <w:rsid w:val="00335AFA"/>
    <w:rsid w:val="00335CA7"/>
    <w:rsid w:val="003361FB"/>
    <w:rsid w:val="00336424"/>
    <w:rsid w:val="003365D3"/>
    <w:rsid w:val="003369A3"/>
    <w:rsid w:val="00336AAC"/>
    <w:rsid w:val="00336B49"/>
    <w:rsid w:val="00336BD1"/>
    <w:rsid w:val="003370AE"/>
    <w:rsid w:val="003373F7"/>
    <w:rsid w:val="00337789"/>
    <w:rsid w:val="00337891"/>
    <w:rsid w:val="003378F7"/>
    <w:rsid w:val="00337A55"/>
    <w:rsid w:val="00337B23"/>
    <w:rsid w:val="00337FD8"/>
    <w:rsid w:val="0034037A"/>
    <w:rsid w:val="00340E09"/>
    <w:rsid w:val="00340FB6"/>
    <w:rsid w:val="00341243"/>
    <w:rsid w:val="0034138E"/>
    <w:rsid w:val="00341544"/>
    <w:rsid w:val="00341A41"/>
    <w:rsid w:val="00342052"/>
    <w:rsid w:val="003421CB"/>
    <w:rsid w:val="0034231C"/>
    <w:rsid w:val="00342871"/>
    <w:rsid w:val="00342AF0"/>
    <w:rsid w:val="00342D36"/>
    <w:rsid w:val="00342D55"/>
    <w:rsid w:val="00342E3A"/>
    <w:rsid w:val="00342FBC"/>
    <w:rsid w:val="003431DF"/>
    <w:rsid w:val="003434D8"/>
    <w:rsid w:val="003434D9"/>
    <w:rsid w:val="0034352E"/>
    <w:rsid w:val="00343EDE"/>
    <w:rsid w:val="003445C6"/>
    <w:rsid w:val="0034465E"/>
    <w:rsid w:val="003446E1"/>
    <w:rsid w:val="003449F3"/>
    <w:rsid w:val="00344C98"/>
    <w:rsid w:val="00345C5D"/>
    <w:rsid w:val="00345DFB"/>
    <w:rsid w:val="00346262"/>
    <w:rsid w:val="003463DF"/>
    <w:rsid w:val="00346491"/>
    <w:rsid w:val="003464D9"/>
    <w:rsid w:val="003468F2"/>
    <w:rsid w:val="00346912"/>
    <w:rsid w:val="00346A54"/>
    <w:rsid w:val="00346A5B"/>
    <w:rsid w:val="00346CBE"/>
    <w:rsid w:val="00346CEC"/>
    <w:rsid w:val="00346FDC"/>
    <w:rsid w:val="00346FFD"/>
    <w:rsid w:val="0034752E"/>
    <w:rsid w:val="00347CA8"/>
    <w:rsid w:val="00347E38"/>
    <w:rsid w:val="0035047B"/>
    <w:rsid w:val="0035062D"/>
    <w:rsid w:val="003507D3"/>
    <w:rsid w:val="003509C0"/>
    <w:rsid w:val="00350C1A"/>
    <w:rsid w:val="00350F1D"/>
    <w:rsid w:val="00351125"/>
    <w:rsid w:val="0035121D"/>
    <w:rsid w:val="00351309"/>
    <w:rsid w:val="00351333"/>
    <w:rsid w:val="0035158C"/>
    <w:rsid w:val="003521F4"/>
    <w:rsid w:val="00352243"/>
    <w:rsid w:val="00352407"/>
    <w:rsid w:val="00352A32"/>
    <w:rsid w:val="00352AF3"/>
    <w:rsid w:val="00353067"/>
    <w:rsid w:val="00353342"/>
    <w:rsid w:val="00354187"/>
    <w:rsid w:val="003541BE"/>
    <w:rsid w:val="00354407"/>
    <w:rsid w:val="003546AB"/>
    <w:rsid w:val="003547C6"/>
    <w:rsid w:val="00354846"/>
    <w:rsid w:val="003548A7"/>
    <w:rsid w:val="00354DE5"/>
    <w:rsid w:val="00354E21"/>
    <w:rsid w:val="0035502F"/>
    <w:rsid w:val="003554A7"/>
    <w:rsid w:val="0035561F"/>
    <w:rsid w:val="003556BB"/>
    <w:rsid w:val="00355711"/>
    <w:rsid w:val="00355DAA"/>
    <w:rsid w:val="003561CF"/>
    <w:rsid w:val="00356FB0"/>
    <w:rsid w:val="00357036"/>
    <w:rsid w:val="00357217"/>
    <w:rsid w:val="00357417"/>
    <w:rsid w:val="00357483"/>
    <w:rsid w:val="0035780B"/>
    <w:rsid w:val="00357966"/>
    <w:rsid w:val="003579D1"/>
    <w:rsid w:val="00357B1D"/>
    <w:rsid w:val="00357BD5"/>
    <w:rsid w:val="00360323"/>
    <w:rsid w:val="00360692"/>
    <w:rsid w:val="003607A5"/>
    <w:rsid w:val="00360A81"/>
    <w:rsid w:val="00360BE7"/>
    <w:rsid w:val="00360DF4"/>
    <w:rsid w:val="00360EF4"/>
    <w:rsid w:val="00361140"/>
    <w:rsid w:val="00361363"/>
    <w:rsid w:val="00361474"/>
    <w:rsid w:val="003616B6"/>
    <w:rsid w:val="003616FD"/>
    <w:rsid w:val="003617CC"/>
    <w:rsid w:val="00361899"/>
    <w:rsid w:val="00361D27"/>
    <w:rsid w:val="0036211E"/>
    <w:rsid w:val="003621F7"/>
    <w:rsid w:val="0036239D"/>
    <w:rsid w:val="0036244F"/>
    <w:rsid w:val="00362783"/>
    <w:rsid w:val="0036286A"/>
    <w:rsid w:val="0036286B"/>
    <w:rsid w:val="00362ABD"/>
    <w:rsid w:val="00362DDA"/>
    <w:rsid w:val="003631FC"/>
    <w:rsid w:val="003637A7"/>
    <w:rsid w:val="00363C19"/>
    <w:rsid w:val="00363D10"/>
    <w:rsid w:val="00363DD6"/>
    <w:rsid w:val="00364353"/>
    <w:rsid w:val="00364D81"/>
    <w:rsid w:val="00364DC4"/>
    <w:rsid w:val="003656B2"/>
    <w:rsid w:val="003658A7"/>
    <w:rsid w:val="003658F6"/>
    <w:rsid w:val="00365977"/>
    <w:rsid w:val="00365E11"/>
    <w:rsid w:val="003660C9"/>
    <w:rsid w:val="00366473"/>
    <w:rsid w:val="003665E7"/>
    <w:rsid w:val="00366BE8"/>
    <w:rsid w:val="00367128"/>
    <w:rsid w:val="003671E8"/>
    <w:rsid w:val="003675C0"/>
    <w:rsid w:val="00367890"/>
    <w:rsid w:val="00367B5E"/>
    <w:rsid w:val="00367E23"/>
    <w:rsid w:val="003707D5"/>
    <w:rsid w:val="00371192"/>
    <w:rsid w:val="003712CA"/>
    <w:rsid w:val="00371462"/>
    <w:rsid w:val="0037186A"/>
    <w:rsid w:val="003728EE"/>
    <w:rsid w:val="003729D2"/>
    <w:rsid w:val="00372ACE"/>
    <w:rsid w:val="00372B93"/>
    <w:rsid w:val="00372D74"/>
    <w:rsid w:val="003733A6"/>
    <w:rsid w:val="00373541"/>
    <w:rsid w:val="0037360E"/>
    <w:rsid w:val="0037362E"/>
    <w:rsid w:val="00373641"/>
    <w:rsid w:val="003739AE"/>
    <w:rsid w:val="003739BF"/>
    <w:rsid w:val="00373A81"/>
    <w:rsid w:val="00373C7E"/>
    <w:rsid w:val="00373E06"/>
    <w:rsid w:val="003741EA"/>
    <w:rsid w:val="00374A3E"/>
    <w:rsid w:val="00374AA4"/>
    <w:rsid w:val="00374C45"/>
    <w:rsid w:val="0037503C"/>
    <w:rsid w:val="00375085"/>
    <w:rsid w:val="003754B8"/>
    <w:rsid w:val="003757B5"/>
    <w:rsid w:val="003758B1"/>
    <w:rsid w:val="00375B2D"/>
    <w:rsid w:val="00375ED0"/>
    <w:rsid w:val="0037634E"/>
    <w:rsid w:val="00376383"/>
    <w:rsid w:val="00376E42"/>
    <w:rsid w:val="00376F14"/>
    <w:rsid w:val="00377477"/>
    <w:rsid w:val="003774AF"/>
    <w:rsid w:val="003777D4"/>
    <w:rsid w:val="00377AA6"/>
    <w:rsid w:val="00377C8C"/>
    <w:rsid w:val="0037A640"/>
    <w:rsid w:val="00380665"/>
    <w:rsid w:val="00380757"/>
    <w:rsid w:val="00380880"/>
    <w:rsid w:val="00380EB0"/>
    <w:rsid w:val="003810AF"/>
    <w:rsid w:val="0038115B"/>
    <w:rsid w:val="00381898"/>
    <w:rsid w:val="0038195C"/>
    <w:rsid w:val="00381D98"/>
    <w:rsid w:val="00381EB6"/>
    <w:rsid w:val="00381F76"/>
    <w:rsid w:val="0038201A"/>
    <w:rsid w:val="0038205A"/>
    <w:rsid w:val="0038249F"/>
    <w:rsid w:val="00382627"/>
    <w:rsid w:val="003828E6"/>
    <w:rsid w:val="00382949"/>
    <w:rsid w:val="00382D97"/>
    <w:rsid w:val="00382F28"/>
    <w:rsid w:val="00383153"/>
    <w:rsid w:val="003833BB"/>
    <w:rsid w:val="00383B4F"/>
    <w:rsid w:val="00383D92"/>
    <w:rsid w:val="00384199"/>
    <w:rsid w:val="0038448F"/>
    <w:rsid w:val="003846AD"/>
    <w:rsid w:val="00384AF5"/>
    <w:rsid w:val="00384D77"/>
    <w:rsid w:val="00384E7D"/>
    <w:rsid w:val="0038516B"/>
    <w:rsid w:val="00385383"/>
    <w:rsid w:val="00385D88"/>
    <w:rsid w:val="003861BE"/>
    <w:rsid w:val="003862F1"/>
    <w:rsid w:val="00386D0A"/>
    <w:rsid w:val="00386FC7"/>
    <w:rsid w:val="00387245"/>
    <w:rsid w:val="003873D0"/>
    <w:rsid w:val="00387502"/>
    <w:rsid w:val="00387667"/>
    <w:rsid w:val="003903B2"/>
    <w:rsid w:val="00390410"/>
    <w:rsid w:val="00390437"/>
    <w:rsid w:val="00390604"/>
    <w:rsid w:val="0039067C"/>
    <w:rsid w:val="003908D4"/>
    <w:rsid w:val="00390A24"/>
    <w:rsid w:val="00390AC3"/>
    <w:rsid w:val="00390DD4"/>
    <w:rsid w:val="00390E19"/>
    <w:rsid w:val="00390E59"/>
    <w:rsid w:val="00391077"/>
    <w:rsid w:val="00391208"/>
    <w:rsid w:val="003915E5"/>
    <w:rsid w:val="00391A8B"/>
    <w:rsid w:val="00391DFB"/>
    <w:rsid w:val="00391FC9"/>
    <w:rsid w:val="00392119"/>
    <w:rsid w:val="003925B9"/>
    <w:rsid w:val="003925BA"/>
    <w:rsid w:val="00392952"/>
    <w:rsid w:val="00392B60"/>
    <w:rsid w:val="00392DED"/>
    <w:rsid w:val="00392E5F"/>
    <w:rsid w:val="0039353B"/>
    <w:rsid w:val="003938B5"/>
    <w:rsid w:val="00393D5D"/>
    <w:rsid w:val="00393DD1"/>
    <w:rsid w:val="0039432F"/>
    <w:rsid w:val="003946FE"/>
    <w:rsid w:val="0039496E"/>
    <w:rsid w:val="00394A4C"/>
    <w:rsid w:val="00394A8C"/>
    <w:rsid w:val="00394C39"/>
    <w:rsid w:val="00394C5B"/>
    <w:rsid w:val="00394F22"/>
    <w:rsid w:val="00394F7A"/>
    <w:rsid w:val="0039555F"/>
    <w:rsid w:val="00395C2B"/>
    <w:rsid w:val="00396A5E"/>
    <w:rsid w:val="00396DC4"/>
    <w:rsid w:val="00396E35"/>
    <w:rsid w:val="00397497"/>
    <w:rsid w:val="00397610"/>
    <w:rsid w:val="0039761B"/>
    <w:rsid w:val="00397872"/>
    <w:rsid w:val="003978C7"/>
    <w:rsid w:val="00397945"/>
    <w:rsid w:val="00397A74"/>
    <w:rsid w:val="00397A91"/>
    <w:rsid w:val="00397AB0"/>
    <w:rsid w:val="00397C7B"/>
    <w:rsid w:val="00397E22"/>
    <w:rsid w:val="003A0170"/>
    <w:rsid w:val="003A038B"/>
    <w:rsid w:val="003A0669"/>
    <w:rsid w:val="003A0808"/>
    <w:rsid w:val="003A080E"/>
    <w:rsid w:val="003A0C34"/>
    <w:rsid w:val="003A0C66"/>
    <w:rsid w:val="003A1246"/>
    <w:rsid w:val="003A132D"/>
    <w:rsid w:val="003A1655"/>
    <w:rsid w:val="003A1855"/>
    <w:rsid w:val="003A19BF"/>
    <w:rsid w:val="003A1B9B"/>
    <w:rsid w:val="003A2428"/>
    <w:rsid w:val="003A2575"/>
    <w:rsid w:val="003A28B2"/>
    <w:rsid w:val="003A2C55"/>
    <w:rsid w:val="003A2F1E"/>
    <w:rsid w:val="003A3128"/>
    <w:rsid w:val="003A3A4E"/>
    <w:rsid w:val="003A3A8C"/>
    <w:rsid w:val="003A3BF2"/>
    <w:rsid w:val="003A41B7"/>
    <w:rsid w:val="003A41CC"/>
    <w:rsid w:val="003A431E"/>
    <w:rsid w:val="003A456B"/>
    <w:rsid w:val="003A4606"/>
    <w:rsid w:val="003A4DE0"/>
    <w:rsid w:val="003A5044"/>
    <w:rsid w:val="003A5280"/>
    <w:rsid w:val="003A56C4"/>
    <w:rsid w:val="003A572F"/>
    <w:rsid w:val="003A5A09"/>
    <w:rsid w:val="003A5B46"/>
    <w:rsid w:val="003A5C9C"/>
    <w:rsid w:val="003A5DC5"/>
    <w:rsid w:val="003A5E0F"/>
    <w:rsid w:val="003A6A63"/>
    <w:rsid w:val="003A6ABF"/>
    <w:rsid w:val="003A6BBD"/>
    <w:rsid w:val="003A6CD8"/>
    <w:rsid w:val="003A75DC"/>
    <w:rsid w:val="003A7B03"/>
    <w:rsid w:val="003A7BEF"/>
    <w:rsid w:val="003A7F2E"/>
    <w:rsid w:val="003B018B"/>
    <w:rsid w:val="003B08B3"/>
    <w:rsid w:val="003B0F78"/>
    <w:rsid w:val="003B1B88"/>
    <w:rsid w:val="003B215E"/>
    <w:rsid w:val="003B221F"/>
    <w:rsid w:val="003B2747"/>
    <w:rsid w:val="003B29AF"/>
    <w:rsid w:val="003B2AB1"/>
    <w:rsid w:val="003B2D03"/>
    <w:rsid w:val="003B2D30"/>
    <w:rsid w:val="003B2D87"/>
    <w:rsid w:val="003B3078"/>
    <w:rsid w:val="003B30F4"/>
    <w:rsid w:val="003B3442"/>
    <w:rsid w:val="003B352C"/>
    <w:rsid w:val="003B379E"/>
    <w:rsid w:val="003B38BB"/>
    <w:rsid w:val="003B39DC"/>
    <w:rsid w:val="003B3CE7"/>
    <w:rsid w:val="003B3D01"/>
    <w:rsid w:val="003B46BE"/>
    <w:rsid w:val="003B470F"/>
    <w:rsid w:val="003B4C03"/>
    <w:rsid w:val="003B4E39"/>
    <w:rsid w:val="003B51C7"/>
    <w:rsid w:val="003B526D"/>
    <w:rsid w:val="003B583B"/>
    <w:rsid w:val="003B59C1"/>
    <w:rsid w:val="003B5FB8"/>
    <w:rsid w:val="003B614B"/>
    <w:rsid w:val="003B6475"/>
    <w:rsid w:val="003B655E"/>
    <w:rsid w:val="003B69D6"/>
    <w:rsid w:val="003B6BB5"/>
    <w:rsid w:val="003B6C2D"/>
    <w:rsid w:val="003B6E51"/>
    <w:rsid w:val="003B769B"/>
    <w:rsid w:val="003B76F9"/>
    <w:rsid w:val="003B7D0E"/>
    <w:rsid w:val="003B7F81"/>
    <w:rsid w:val="003B7F9C"/>
    <w:rsid w:val="003C06F0"/>
    <w:rsid w:val="003C09C0"/>
    <w:rsid w:val="003C0D78"/>
    <w:rsid w:val="003C0D8F"/>
    <w:rsid w:val="003C167D"/>
    <w:rsid w:val="003C18D3"/>
    <w:rsid w:val="003C1BB4"/>
    <w:rsid w:val="003C1C4E"/>
    <w:rsid w:val="003C2755"/>
    <w:rsid w:val="003C2832"/>
    <w:rsid w:val="003C2E6E"/>
    <w:rsid w:val="003C37C5"/>
    <w:rsid w:val="003C394D"/>
    <w:rsid w:val="003C3D48"/>
    <w:rsid w:val="003C44E9"/>
    <w:rsid w:val="003C4D04"/>
    <w:rsid w:val="003C5245"/>
    <w:rsid w:val="003C53D9"/>
    <w:rsid w:val="003C5434"/>
    <w:rsid w:val="003C5974"/>
    <w:rsid w:val="003C5BA9"/>
    <w:rsid w:val="003C5DDA"/>
    <w:rsid w:val="003C6360"/>
    <w:rsid w:val="003C67B6"/>
    <w:rsid w:val="003C67C3"/>
    <w:rsid w:val="003C6BF3"/>
    <w:rsid w:val="003C6D00"/>
    <w:rsid w:val="003C70A5"/>
    <w:rsid w:val="003C70DE"/>
    <w:rsid w:val="003C757B"/>
    <w:rsid w:val="003C7FBD"/>
    <w:rsid w:val="003D0235"/>
    <w:rsid w:val="003D041D"/>
    <w:rsid w:val="003D0BD1"/>
    <w:rsid w:val="003D17BA"/>
    <w:rsid w:val="003D1CA1"/>
    <w:rsid w:val="003D1FD4"/>
    <w:rsid w:val="003D2071"/>
    <w:rsid w:val="003D20AA"/>
    <w:rsid w:val="003D21F9"/>
    <w:rsid w:val="003D22AE"/>
    <w:rsid w:val="003D2517"/>
    <w:rsid w:val="003D26C1"/>
    <w:rsid w:val="003D2BAA"/>
    <w:rsid w:val="003D2D12"/>
    <w:rsid w:val="003D2D1D"/>
    <w:rsid w:val="003D2F0C"/>
    <w:rsid w:val="003D3B5C"/>
    <w:rsid w:val="003D3C34"/>
    <w:rsid w:val="003D3D53"/>
    <w:rsid w:val="003D3E1F"/>
    <w:rsid w:val="003D3FE9"/>
    <w:rsid w:val="003D4210"/>
    <w:rsid w:val="003D4227"/>
    <w:rsid w:val="003D4464"/>
    <w:rsid w:val="003D4546"/>
    <w:rsid w:val="003D45CF"/>
    <w:rsid w:val="003D5026"/>
    <w:rsid w:val="003D5152"/>
    <w:rsid w:val="003D529B"/>
    <w:rsid w:val="003D52C1"/>
    <w:rsid w:val="003D55E3"/>
    <w:rsid w:val="003D57D6"/>
    <w:rsid w:val="003D584F"/>
    <w:rsid w:val="003D59A5"/>
    <w:rsid w:val="003D5A5B"/>
    <w:rsid w:val="003D5BF2"/>
    <w:rsid w:val="003D5DD6"/>
    <w:rsid w:val="003D5E92"/>
    <w:rsid w:val="003D63F1"/>
    <w:rsid w:val="003D6574"/>
    <w:rsid w:val="003D66D0"/>
    <w:rsid w:val="003D6780"/>
    <w:rsid w:val="003D6DD4"/>
    <w:rsid w:val="003D7561"/>
    <w:rsid w:val="003D7773"/>
    <w:rsid w:val="003D786C"/>
    <w:rsid w:val="003D7948"/>
    <w:rsid w:val="003D7D70"/>
    <w:rsid w:val="003E01A0"/>
    <w:rsid w:val="003E0875"/>
    <w:rsid w:val="003E08E8"/>
    <w:rsid w:val="003E092A"/>
    <w:rsid w:val="003E093E"/>
    <w:rsid w:val="003E0CF8"/>
    <w:rsid w:val="003E0E1A"/>
    <w:rsid w:val="003E0FFE"/>
    <w:rsid w:val="003E1056"/>
    <w:rsid w:val="003E1291"/>
    <w:rsid w:val="003E1297"/>
    <w:rsid w:val="003E1633"/>
    <w:rsid w:val="003E1CF8"/>
    <w:rsid w:val="003E1E3D"/>
    <w:rsid w:val="003E20CD"/>
    <w:rsid w:val="003E21F6"/>
    <w:rsid w:val="003E2220"/>
    <w:rsid w:val="003E26CE"/>
    <w:rsid w:val="003E2A55"/>
    <w:rsid w:val="003E2CB7"/>
    <w:rsid w:val="003E3435"/>
    <w:rsid w:val="003E345B"/>
    <w:rsid w:val="003E34DB"/>
    <w:rsid w:val="003E3804"/>
    <w:rsid w:val="003E466B"/>
    <w:rsid w:val="003E472D"/>
    <w:rsid w:val="003E4C1F"/>
    <w:rsid w:val="003E51DE"/>
    <w:rsid w:val="003E554B"/>
    <w:rsid w:val="003E57FA"/>
    <w:rsid w:val="003E5BE4"/>
    <w:rsid w:val="003E6044"/>
    <w:rsid w:val="003E61AD"/>
    <w:rsid w:val="003E624F"/>
    <w:rsid w:val="003E6868"/>
    <w:rsid w:val="003E6B31"/>
    <w:rsid w:val="003E7153"/>
    <w:rsid w:val="003E748D"/>
    <w:rsid w:val="003E74CD"/>
    <w:rsid w:val="003E75E6"/>
    <w:rsid w:val="003E7B7D"/>
    <w:rsid w:val="003E7E2B"/>
    <w:rsid w:val="003E7E82"/>
    <w:rsid w:val="003F02C8"/>
    <w:rsid w:val="003F0336"/>
    <w:rsid w:val="003F056D"/>
    <w:rsid w:val="003F0B1C"/>
    <w:rsid w:val="003F0E83"/>
    <w:rsid w:val="003F0E94"/>
    <w:rsid w:val="003F0EAA"/>
    <w:rsid w:val="003F134A"/>
    <w:rsid w:val="003F1A5D"/>
    <w:rsid w:val="003F1BC8"/>
    <w:rsid w:val="003F1C45"/>
    <w:rsid w:val="003F22FC"/>
    <w:rsid w:val="003F23FD"/>
    <w:rsid w:val="003F27B7"/>
    <w:rsid w:val="003F2963"/>
    <w:rsid w:val="003F326D"/>
    <w:rsid w:val="003F349C"/>
    <w:rsid w:val="003F3A5C"/>
    <w:rsid w:val="003F47ED"/>
    <w:rsid w:val="003F4A42"/>
    <w:rsid w:val="003F4AF3"/>
    <w:rsid w:val="003F4C3B"/>
    <w:rsid w:val="003F5003"/>
    <w:rsid w:val="003F512B"/>
    <w:rsid w:val="003F53C0"/>
    <w:rsid w:val="003F54BD"/>
    <w:rsid w:val="003F5A43"/>
    <w:rsid w:val="003F5AEF"/>
    <w:rsid w:val="003F5E86"/>
    <w:rsid w:val="003F603F"/>
    <w:rsid w:val="003F6154"/>
    <w:rsid w:val="003F6A26"/>
    <w:rsid w:val="003F6D1A"/>
    <w:rsid w:val="003F71D3"/>
    <w:rsid w:val="003F724A"/>
    <w:rsid w:val="003F7341"/>
    <w:rsid w:val="003F76FA"/>
    <w:rsid w:val="003F77C0"/>
    <w:rsid w:val="003F7987"/>
    <w:rsid w:val="003F7A63"/>
    <w:rsid w:val="003F7B7C"/>
    <w:rsid w:val="003F7BCA"/>
    <w:rsid w:val="00400084"/>
    <w:rsid w:val="004004F0"/>
    <w:rsid w:val="00400DBB"/>
    <w:rsid w:val="00400F39"/>
    <w:rsid w:val="00400F97"/>
    <w:rsid w:val="00400F9F"/>
    <w:rsid w:val="00401996"/>
    <w:rsid w:val="00401B88"/>
    <w:rsid w:val="00402512"/>
    <w:rsid w:val="0040255F"/>
    <w:rsid w:val="004027E0"/>
    <w:rsid w:val="00402ABD"/>
    <w:rsid w:val="00402E00"/>
    <w:rsid w:val="00402F74"/>
    <w:rsid w:val="00402FBC"/>
    <w:rsid w:val="004030C5"/>
    <w:rsid w:val="004033C4"/>
    <w:rsid w:val="004037CB"/>
    <w:rsid w:val="00403C1E"/>
    <w:rsid w:val="00403D27"/>
    <w:rsid w:val="00403E3F"/>
    <w:rsid w:val="00403E85"/>
    <w:rsid w:val="00403FFE"/>
    <w:rsid w:val="004040AC"/>
    <w:rsid w:val="004045A9"/>
    <w:rsid w:val="00404A0F"/>
    <w:rsid w:val="00404A4B"/>
    <w:rsid w:val="00404BAE"/>
    <w:rsid w:val="00404C41"/>
    <w:rsid w:val="00405119"/>
    <w:rsid w:val="004051A9"/>
    <w:rsid w:val="0040536F"/>
    <w:rsid w:val="0040548D"/>
    <w:rsid w:val="004060D0"/>
    <w:rsid w:val="0040635E"/>
    <w:rsid w:val="00406AD0"/>
    <w:rsid w:val="00406D8F"/>
    <w:rsid w:val="00406EC8"/>
    <w:rsid w:val="0040709A"/>
    <w:rsid w:val="00407222"/>
    <w:rsid w:val="00407320"/>
    <w:rsid w:val="00407601"/>
    <w:rsid w:val="004076BD"/>
    <w:rsid w:val="0040788A"/>
    <w:rsid w:val="00407899"/>
    <w:rsid w:val="00407901"/>
    <w:rsid w:val="00407A94"/>
    <w:rsid w:val="004101F8"/>
    <w:rsid w:val="00410799"/>
    <w:rsid w:val="00410AB2"/>
    <w:rsid w:val="00411668"/>
    <w:rsid w:val="0041172F"/>
    <w:rsid w:val="00411A37"/>
    <w:rsid w:val="00411DC0"/>
    <w:rsid w:val="004122D2"/>
    <w:rsid w:val="004123CB"/>
    <w:rsid w:val="0041260B"/>
    <w:rsid w:val="004129A2"/>
    <w:rsid w:val="00412C6D"/>
    <w:rsid w:val="00412EC2"/>
    <w:rsid w:val="00412ED5"/>
    <w:rsid w:val="004133CD"/>
    <w:rsid w:val="00413603"/>
    <w:rsid w:val="0041366E"/>
    <w:rsid w:val="0041391C"/>
    <w:rsid w:val="00413B3B"/>
    <w:rsid w:val="0041406B"/>
    <w:rsid w:val="004141A1"/>
    <w:rsid w:val="004146E1"/>
    <w:rsid w:val="00414A2F"/>
    <w:rsid w:val="00414C6F"/>
    <w:rsid w:val="004150CB"/>
    <w:rsid w:val="00415738"/>
    <w:rsid w:val="004159E0"/>
    <w:rsid w:val="00415B91"/>
    <w:rsid w:val="0041613A"/>
    <w:rsid w:val="00416262"/>
    <w:rsid w:val="00416270"/>
    <w:rsid w:val="00416703"/>
    <w:rsid w:val="00416D16"/>
    <w:rsid w:val="004172AF"/>
    <w:rsid w:val="004176BC"/>
    <w:rsid w:val="00417AFD"/>
    <w:rsid w:val="00417D01"/>
    <w:rsid w:val="00417EE4"/>
    <w:rsid w:val="00417F8E"/>
    <w:rsid w:val="00420070"/>
    <w:rsid w:val="00420103"/>
    <w:rsid w:val="004203EA"/>
    <w:rsid w:val="00421110"/>
    <w:rsid w:val="004213F6"/>
    <w:rsid w:val="004217DF"/>
    <w:rsid w:val="00421B04"/>
    <w:rsid w:val="004221A3"/>
    <w:rsid w:val="004227F2"/>
    <w:rsid w:val="0042300D"/>
    <w:rsid w:val="004238B8"/>
    <w:rsid w:val="00423C89"/>
    <w:rsid w:val="00424315"/>
    <w:rsid w:val="00424779"/>
    <w:rsid w:val="00424871"/>
    <w:rsid w:val="00424BF2"/>
    <w:rsid w:val="00424C4B"/>
    <w:rsid w:val="00424C5E"/>
    <w:rsid w:val="00424CBD"/>
    <w:rsid w:val="0042547A"/>
    <w:rsid w:val="00425495"/>
    <w:rsid w:val="00425EE7"/>
    <w:rsid w:val="00425FE0"/>
    <w:rsid w:val="00426650"/>
    <w:rsid w:val="00426780"/>
    <w:rsid w:val="0042687A"/>
    <w:rsid w:val="00426928"/>
    <w:rsid w:val="00426A00"/>
    <w:rsid w:val="00427300"/>
    <w:rsid w:val="004278B6"/>
    <w:rsid w:val="00427B9D"/>
    <w:rsid w:val="00427CF5"/>
    <w:rsid w:val="00427D38"/>
    <w:rsid w:val="00430011"/>
    <w:rsid w:val="0043005E"/>
    <w:rsid w:val="00430151"/>
    <w:rsid w:val="004301AA"/>
    <w:rsid w:val="0043046D"/>
    <w:rsid w:val="00430523"/>
    <w:rsid w:val="004307C5"/>
    <w:rsid w:val="0043148E"/>
    <w:rsid w:val="00431545"/>
    <w:rsid w:val="004315D6"/>
    <w:rsid w:val="00431920"/>
    <w:rsid w:val="00431922"/>
    <w:rsid w:val="00431A09"/>
    <w:rsid w:val="00431B72"/>
    <w:rsid w:val="00431DCB"/>
    <w:rsid w:val="00431F38"/>
    <w:rsid w:val="004320AF"/>
    <w:rsid w:val="00432178"/>
    <w:rsid w:val="004325FC"/>
    <w:rsid w:val="0043268E"/>
    <w:rsid w:val="004326B3"/>
    <w:rsid w:val="00432C72"/>
    <w:rsid w:val="00432C7E"/>
    <w:rsid w:val="004339A9"/>
    <w:rsid w:val="00433D51"/>
    <w:rsid w:val="004341B9"/>
    <w:rsid w:val="00434744"/>
    <w:rsid w:val="004347B5"/>
    <w:rsid w:val="00434B4E"/>
    <w:rsid w:val="00434E4B"/>
    <w:rsid w:val="00434E6F"/>
    <w:rsid w:val="00435278"/>
    <w:rsid w:val="004353B4"/>
    <w:rsid w:val="004357BB"/>
    <w:rsid w:val="00435AF1"/>
    <w:rsid w:val="00436EB6"/>
    <w:rsid w:val="0043729B"/>
    <w:rsid w:val="004374E3"/>
    <w:rsid w:val="004375D4"/>
    <w:rsid w:val="00437608"/>
    <w:rsid w:val="004376E7"/>
    <w:rsid w:val="00437887"/>
    <w:rsid w:val="00437B7E"/>
    <w:rsid w:val="00437BD3"/>
    <w:rsid w:val="0044003D"/>
    <w:rsid w:val="00440074"/>
    <w:rsid w:val="004404B6"/>
    <w:rsid w:val="004404D6"/>
    <w:rsid w:val="004404E5"/>
    <w:rsid w:val="0044055A"/>
    <w:rsid w:val="00440693"/>
    <w:rsid w:val="004408D9"/>
    <w:rsid w:val="00440DC9"/>
    <w:rsid w:val="00441225"/>
    <w:rsid w:val="0044137C"/>
    <w:rsid w:val="00441D00"/>
    <w:rsid w:val="00441F4F"/>
    <w:rsid w:val="00441FEF"/>
    <w:rsid w:val="0044220A"/>
    <w:rsid w:val="004425BA"/>
    <w:rsid w:val="00442964"/>
    <w:rsid w:val="00442AC1"/>
    <w:rsid w:val="00442B36"/>
    <w:rsid w:val="00442C38"/>
    <w:rsid w:val="0044323E"/>
    <w:rsid w:val="0044331A"/>
    <w:rsid w:val="00443352"/>
    <w:rsid w:val="00443512"/>
    <w:rsid w:val="00443B5D"/>
    <w:rsid w:val="00443B60"/>
    <w:rsid w:val="00443BFE"/>
    <w:rsid w:val="00443C15"/>
    <w:rsid w:val="004440AC"/>
    <w:rsid w:val="0044467F"/>
    <w:rsid w:val="0044482E"/>
    <w:rsid w:val="00445000"/>
    <w:rsid w:val="004450A8"/>
    <w:rsid w:val="004455ED"/>
    <w:rsid w:val="00446266"/>
    <w:rsid w:val="004463E6"/>
    <w:rsid w:val="00446471"/>
    <w:rsid w:val="0044675C"/>
    <w:rsid w:val="004469A2"/>
    <w:rsid w:val="00446A90"/>
    <w:rsid w:val="00446B4E"/>
    <w:rsid w:val="00446B96"/>
    <w:rsid w:val="00446F68"/>
    <w:rsid w:val="00447120"/>
    <w:rsid w:val="00447483"/>
    <w:rsid w:val="00447870"/>
    <w:rsid w:val="00447A97"/>
    <w:rsid w:val="00447BA8"/>
    <w:rsid w:val="00447C1C"/>
    <w:rsid w:val="00450D73"/>
    <w:rsid w:val="00450F62"/>
    <w:rsid w:val="00451283"/>
    <w:rsid w:val="00451E0B"/>
    <w:rsid w:val="00451EB4"/>
    <w:rsid w:val="0045223B"/>
    <w:rsid w:val="00452440"/>
    <w:rsid w:val="004524D7"/>
    <w:rsid w:val="004527A4"/>
    <w:rsid w:val="00452819"/>
    <w:rsid w:val="0045293A"/>
    <w:rsid w:val="004529BD"/>
    <w:rsid w:val="00452B5C"/>
    <w:rsid w:val="00452E3B"/>
    <w:rsid w:val="00452F8E"/>
    <w:rsid w:val="00453118"/>
    <w:rsid w:val="0045317C"/>
    <w:rsid w:val="004532C0"/>
    <w:rsid w:val="0045346E"/>
    <w:rsid w:val="00453750"/>
    <w:rsid w:val="00453B41"/>
    <w:rsid w:val="00453BD1"/>
    <w:rsid w:val="00453CE2"/>
    <w:rsid w:val="0045406A"/>
    <w:rsid w:val="0045426B"/>
    <w:rsid w:val="00454282"/>
    <w:rsid w:val="00454698"/>
    <w:rsid w:val="0045471F"/>
    <w:rsid w:val="00454916"/>
    <w:rsid w:val="00454A55"/>
    <w:rsid w:val="00454D08"/>
    <w:rsid w:val="00454F62"/>
    <w:rsid w:val="004550D6"/>
    <w:rsid w:val="00455445"/>
    <w:rsid w:val="004557F6"/>
    <w:rsid w:val="00455993"/>
    <w:rsid w:val="00455BFE"/>
    <w:rsid w:val="00455D53"/>
    <w:rsid w:val="00455D88"/>
    <w:rsid w:val="00456149"/>
    <w:rsid w:val="0045637B"/>
    <w:rsid w:val="004563D3"/>
    <w:rsid w:val="004566C0"/>
    <w:rsid w:val="004566E3"/>
    <w:rsid w:val="00456751"/>
    <w:rsid w:val="0045697B"/>
    <w:rsid w:val="00456A2F"/>
    <w:rsid w:val="00456A99"/>
    <w:rsid w:val="00456DB1"/>
    <w:rsid w:val="00457191"/>
    <w:rsid w:val="004573BB"/>
    <w:rsid w:val="004578DB"/>
    <w:rsid w:val="00457E00"/>
    <w:rsid w:val="0046006F"/>
    <w:rsid w:val="00460212"/>
    <w:rsid w:val="0046060A"/>
    <w:rsid w:val="004606B5"/>
    <w:rsid w:val="004606CE"/>
    <w:rsid w:val="00460A99"/>
    <w:rsid w:val="00460C66"/>
    <w:rsid w:val="00461637"/>
    <w:rsid w:val="004619D0"/>
    <w:rsid w:val="00461F48"/>
    <w:rsid w:val="0046269F"/>
    <w:rsid w:val="00462742"/>
    <w:rsid w:val="004627F0"/>
    <w:rsid w:val="00462836"/>
    <w:rsid w:val="00463011"/>
    <w:rsid w:val="0046334D"/>
    <w:rsid w:val="00463359"/>
    <w:rsid w:val="00463D19"/>
    <w:rsid w:val="00463F18"/>
    <w:rsid w:val="0046409A"/>
    <w:rsid w:val="004642C0"/>
    <w:rsid w:val="004646DD"/>
    <w:rsid w:val="00464C94"/>
    <w:rsid w:val="00464DB3"/>
    <w:rsid w:val="0046505D"/>
    <w:rsid w:val="00465294"/>
    <w:rsid w:val="004652A3"/>
    <w:rsid w:val="00465429"/>
    <w:rsid w:val="0046572E"/>
    <w:rsid w:val="00465ECA"/>
    <w:rsid w:val="00465F08"/>
    <w:rsid w:val="004664B0"/>
    <w:rsid w:val="004664EE"/>
    <w:rsid w:val="00466632"/>
    <w:rsid w:val="004668B8"/>
    <w:rsid w:val="00466972"/>
    <w:rsid w:val="00466E91"/>
    <w:rsid w:val="00466FDA"/>
    <w:rsid w:val="004677C4"/>
    <w:rsid w:val="00467BF2"/>
    <w:rsid w:val="00467DA1"/>
    <w:rsid w:val="00470472"/>
    <w:rsid w:val="004705F8"/>
    <w:rsid w:val="00470942"/>
    <w:rsid w:val="00471930"/>
    <w:rsid w:val="00471C8A"/>
    <w:rsid w:val="00471D71"/>
    <w:rsid w:val="00472559"/>
    <w:rsid w:val="00472788"/>
    <w:rsid w:val="00472801"/>
    <w:rsid w:val="00472A74"/>
    <w:rsid w:val="00472BD1"/>
    <w:rsid w:val="00472D3A"/>
    <w:rsid w:val="00472FC0"/>
    <w:rsid w:val="0047314B"/>
    <w:rsid w:val="004738A2"/>
    <w:rsid w:val="004739A3"/>
    <w:rsid w:val="004739F5"/>
    <w:rsid w:val="00473FD1"/>
    <w:rsid w:val="00474038"/>
    <w:rsid w:val="0047412F"/>
    <w:rsid w:val="00474185"/>
    <w:rsid w:val="004742B6"/>
    <w:rsid w:val="004744DE"/>
    <w:rsid w:val="0047457B"/>
    <w:rsid w:val="0047464C"/>
    <w:rsid w:val="00474BF1"/>
    <w:rsid w:val="00474D00"/>
    <w:rsid w:val="00474D47"/>
    <w:rsid w:val="00474D5B"/>
    <w:rsid w:val="00474E3A"/>
    <w:rsid w:val="004751FC"/>
    <w:rsid w:val="0047528B"/>
    <w:rsid w:val="00475355"/>
    <w:rsid w:val="004756A7"/>
    <w:rsid w:val="004756F5"/>
    <w:rsid w:val="00475A1E"/>
    <w:rsid w:val="00475AA1"/>
    <w:rsid w:val="004762BD"/>
    <w:rsid w:val="0047641E"/>
    <w:rsid w:val="004765EC"/>
    <w:rsid w:val="00476909"/>
    <w:rsid w:val="00476963"/>
    <w:rsid w:val="00476A1A"/>
    <w:rsid w:val="00476BE7"/>
    <w:rsid w:val="00477102"/>
    <w:rsid w:val="00477358"/>
    <w:rsid w:val="00477631"/>
    <w:rsid w:val="004778BA"/>
    <w:rsid w:val="00477B2E"/>
    <w:rsid w:val="00477C0F"/>
    <w:rsid w:val="0048000D"/>
    <w:rsid w:val="0048060B"/>
    <w:rsid w:val="00480696"/>
    <w:rsid w:val="004809C1"/>
    <w:rsid w:val="00480B66"/>
    <w:rsid w:val="00480D90"/>
    <w:rsid w:val="00480DFE"/>
    <w:rsid w:val="004810C5"/>
    <w:rsid w:val="004813E7"/>
    <w:rsid w:val="004816D1"/>
    <w:rsid w:val="0048184C"/>
    <w:rsid w:val="00481B43"/>
    <w:rsid w:val="00481C2D"/>
    <w:rsid w:val="00481C2E"/>
    <w:rsid w:val="0048201E"/>
    <w:rsid w:val="004823D6"/>
    <w:rsid w:val="00482D38"/>
    <w:rsid w:val="00482EA4"/>
    <w:rsid w:val="00483146"/>
    <w:rsid w:val="00483388"/>
    <w:rsid w:val="0048343C"/>
    <w:rsid w:val="004836F0"/>
    <w:rsid w:val="0048391D"/>
    <w:rsid w:val="0048397F"/>
    <w:rsid w:val="00483D37"/>
    <w:rsid w:val="00483FBB"/>
    <w:rsid w:val="004841BA"/>
    <w:rsid w:val="004847B9"/>
    <w:rsid w:val="00484E39"/>
    <w:rsid w:val="00485DAA"/>
    <w:rsid w:val="00485F1D"/>
    <w:rsid w:val="00485FD5"/>
    <w:rsid w:val="0048641E"/>
    <w:rsid w:val="004864AA"/>
    <w:rsid w:val="00486856"/>
    <w:rsid w:val="00486E0B"/>
    <w:rsid w:val="00486E89"/>
    <w:rsid w:val="00486EE7"/>
    <w:rsid w:val="004872C0"/>
    <w:rsid w:val="004872FB"/>
    <w:rsid w:val="004873EC"/>
    <w:rsid w:val="00487879"/>
    <w:rsid w:val="00487BBC"/>
    <w:rsid w:val="004903F6"/>
    <w:rsid w:val="0049082A"/>
    <w:rsid w:val="00490832"/>
    <w:rsid w:val="004909A8"/>
    <w:rsid w:val="00490BEE"/>
    <w:rsid w:val="00490E55"/>
    <w:rsid w:val="0049190D"/>
    <w:rsid w:val="004919E6"/>
    <w:rsid w:val="004920FC"/>
    <w:rsid w:val="0049247C"/>
    <w:rsid w:val="00492A82"/>
    <w:rsid w:val="00492AFD"/>
    <w:rsid w:val="00492D22"/>
    <w:rsid w:val="00492D82"/>
    <w:rsid w:val="00492D9E"/>
    <w:rsid w:val="0049307E"/>
    <w:rsid w:val="004930AD"/>
    <w:rsid w:val="004930F2"/>
    <w:rsid w:val="004933EA"/>
    <w:rsid w:val="0049480F"/>
    <w:rsid w:val="00494954"/>
    <w:rsid w:val="0049497E"/>
    <w:rsid w:val="004949F3"/>
    <w:rsid w:val="00494A02"/>
    <w:rsid w:val="00494AFA"/>
    <w:rsid w:val="00494B1B"/>
    <w:rsid w:val="00494EF4"/>
    <w:rsid w:val="004951C1"/>
    <w:rsid w:val="004951F5"/>
    <w:rsid w:val="00495393"/>
    <w:rsid w:val="00495410"/>
    <w:rsid w:val="0049567F"/>
    <w:rsid w:val="00495D31"/>
    <w:rsid w:val="00495ECC"/>
    <w:rsid w:val="004964AD"/>
    <w:rsid w:val="00496624"/>
    <w:rsid w:val="0049662F"/>
    <w:rsid w:val="0049666B"/>
    <w:rsid w:val="00496D79"/>
    <w:rsid w:val="00497118"/>
    <w:rsid w:val="00497365"/>
    <w:rsid w:val="00497ECB"/>
    <w:rsid w:val="004A044D"/>
    <w:rsid w:val="004A06A7"/>
    <w:rsid w:val="004A09D7"/>
    <w:rsid w:val="004A0A81"/>
    <w:rsid w:val="004A10EE"/>
    <w:rsid w:val="004A11D8"/>
    <w:rsid w:val="004A16A0"/>
    <w:rsid w:val="004A1896"/>
    <w:rsid w:val="004A18AD"/>
    <w:rsid w:val="004A18EA"/>
    <w:rsid w:val="004A1A66"/>
    <w:rsid w:val="004A1D78"/>
    <w:rsid w:val="004A1EAD"/>
    <w:rsid w:val="004A1F69"/>
    <w:rsid w:val="004A1FF3"/>
    <w:rsid w:val="004A203C"/>
    <w:rsid w:val="004A26CA"/>
    <w:rsid w:val="004A2AB7"/>
    <w:rsid w:val="004A2F22"/>
    <w:rsid w:val="004A3071"/>
    <w:rsid w:val="004A3479"/>
    <w:rsid w:val="004A36F6"/>
    <w:rsid w:val="004A37BB"/>
    <w:rsid w:val="004A4DA8"/>
    <w:rsid w:val="004A5035"/>
    <w:rsid w:val="004A5547"/>
    <w:rsid w:val="004A55E8"/>
    <w:rsid w:val="004A59F8"/>
    <w:rsid w:val="004A5B3D"/>
    <w:rsid w:val="004A5E35"/>
    <w:rsid w:val="004A5F26"/>
    <w:rsid w:val="004A63FB"/>
    <w:rsid w:val="004A6415"/>
    <w:rsid w:val="004A6423"/>
    <w:rsid w:val="004A6849"/>
    <w:rsid w:val="004A69B9"/>
    <w:rsid w:val="004A6CED"/>
    <w:rsid w:val="004A6E63"/>
    <w:rsid w:val="004A713C"/>
    <w:rsid w:val="004A7294"/>
    <w:rsid w:val="004A7C07"/>
    <w:rsid w:val="004A7E98"/>
    <w:rsid w:val="004B0032"/>
    <w:rsid w:val="004B0254"/>
    <w:rsid w:val="004B0497"/>
    <w:rsid w:val="004B07DA"/>
    <w:rsid w:val="004B0E21"/>
    <w:rsid w:val="004B0F01"/>
    <w:rsid w:val="004B1056"/>
    <w:rsid w:val="004B11CF"/>
    <w:rsid w:val="004B1271"/>
    <w:rsid w:val="004B1390"/>
    <w:rsid w:val="004B1A55"/>
    <w:rsid w:val="004B1B5E"/>
    <w:rsid w:val="004B1CCB"/>
    <w:rsid w:val="004B1CE4"/>
    <w:rsid w:val="004B2177"/>
    <w:rsid w:val="004B23E3"/>
    <w:rsid w:val="004B2525"/>
    <w:rsid w:val="004B2991"/>
    <w:rsid w:val="004B3051"/>
    <w:rsid w:val="004B3958"/>
    <w:rsid w:val="004B4062"/>
    <w:rsid w:val="004B456E"/>
    <w:rsid w:val="004B4600"/>
    <w:rsid w:val="004B5181"/>
    <w:rsid w:val="004B54ED"/>
    <w:rsid w:val="004B59F1"/>
    <w:rsid w:val="004B6547"/>
    <w:rsid w:val="004B6C95"/>
    <w:rsid w:val="004B6EF6"/>
    <w:rsid w:val="004B6F01"/>
    <w:rsid w:val="004B7437"/>
    <w:rsid w:val="004B7471"/>
    <w:rsid w:val="004B749D"/>
    <w:rsid w:val="004B74D8"/>
    <w:rsid w:val="004B7783"/>
    <w:rsid w:val="004B7811"/>
    <w:rsid w:val="004B7A98"/>
    <w:rsid w:val="004B7BBE"/>
    <w:rsid w:val="004B7EC5"/>
    <w:rsid w:val="004B7F70"/>
    <w:rsid w:val="004B7FE5"/>
    <w:rsid w:val="004C07B5"/>
    <w:rsid w:val="004C0D64"/>
    <w:rsid w:val="004C12EC"/>
    <w:rsid w:val="004C150F"/>
    <w:rsid w:val="004C1808"/>
    <w:rsid w:val="004C1842"/>
    <w:rsid w:val="004C188B"/>
    <w:rsid w:val="004C18AE"/>
    <w:rsid w:val="004C1B98"/>
    <w:rsid w:val="004C1D4A"/>
    <w:rsid w:val="004C2057"/>
    <w:rsid w:val="004C236D"/>
    <w:rsid w:val="004C23D1"/>
    <w:rsid w:val="004C295D"/>
    <w:rsid w:val="004C2B2D"/>
    <w:rsid w:val="004C2B4C"/>
    <w:rsid w:val="004C2C7B"/>
    <w:rsid w:val="004C2F01"/>
    <w:rsid w:val="004C2F0F"/>
    <w:rsid w:val="004C312E"/>
    <w:rsid w:val="004C324D"/>
    <w:rsid w:val="004C3B4F"/>
    <w:rsid w:val="004C3D98"/>
    <w:rsid w:val="004C4095"/>
    <w:rsid w:val="004C40F8"/>
    <w:rsid w:val="004C41FB"/>
    <w:rsid w:val="004C4222"/>
    <w:rsid w:val="004C44CB"/>
    <w:rsid w:val="004C4AB9"/>
    <w:rsid w:val="004C4B28"/>
    <w:rsid w:val="004C4C29"/>
    <w:rsid w:val="004C4C57"/>
    <w:rsid w:val="004C4D33"/>
    <w:rsid w:val="004C58F1"/>
    <w:rsid w:val="004C5B0D"/>
    <w:rsid w:val="004C5D00"/>
    <w:rsid w:val="004C5EEA"/>
    <w:rsid w:val="004C611C"/>
    <w:rsid w:val="004C61CE"/>
    <w:rsid w:val="004C6358"/>
    <w:rsid w:val="004C63A3"/>
    <w:rsid w:val="004C66F4"/>
    <w:rsid w:val="004C6996"/>
    <w:rsid w:val="004C6CF0"/>
    <w:rsid w:val="004C6E77"/>
    <w:rsid w:val="004C7549"/>
    <w:rsid w:val="004C7664"/>
    <w:rsid w:val="004C76F7"/>
    <w:rsid w:val="004C77E6"/>
    <w:rsid w:val="004C7BC8"/>
    <w:rsid w:val="004C7F8B"/>
    <w:rsid w:val="004D01F0"/>
    <w:rsid w:val="004D0453"/>
    <w:rsid w:val="004D068E"/>
    <w:rsid w:val="004D078B"/>
    <w:rsid w:val="004D0A0E"/>
    <w:rsid w:val="004D0F5D"/>
    <w:rsid w:val="004D1A81"/>
    <w:rsid w:val="004D1CCD"/>
    <w:rsid w:val="004D1CEC"/>
    <w:rsid w:val="004D1E20"/>
    <w:rsid w:val="004D1EB6"/>
    <w:rsid w:val="004D2032"/>
    <w:rsid w:val="004D2268"/>
    <w:rsid w:val="004D2560"/>
    <w:rsid w:val="004D26D4"/>
    <w:rsid w:val="004D284D"/>
    <w:rsid w:val="004D28AC"/>
    <w:rsid w:val="004D2D2C"/>
    <w:rsid w:val="004D30E3"/>
    <w:rsid w:val="004D3102"/>
    <w:rsid w:val="004D3EF3"/>
    <w:rsid w:val="004D43EA"/>
    <w:rsid w:val="004D476F"/>
    <w:rsid w:val="004D47A0"/>
    <w:rsid w:val="004D4853"/>
    <w:rsid w:val="004D4958"/>
    <w:rsid w:val="004D4EA9"/>
    <w:rsid w:val="004D4F41"/>
    <w:rsid w:val="004D5062"/>
    <w:rsid w:val="004D507F"/>
    <w:rsid w:val="004D569A"/>
    <w:rsid w:val="004D5738"/>
    <w:rsid w:val="004D5739"/>
    <w:rsid w:val="004D589A"/>
    <w:rsid w:val="004D5D4C"/>
    <w:rsid w:val="004D5D9E"/>
    <w:rsid w:val="004D5DD1"/>
    <w:rsid w:val="004D5E38"/>
    <w:rsid w:val="004D6004"/>
    <w:rsid w:val="004D6321"/>
    <w:rsid w:val="004D6502"/>
    <w:rsid w:val="004D6E1A"/>
    <w:rsid w:val="004D7116"/>
    <w:rsid w:val="004D7390"/>
    <w:rsid w:val="004D7391"/>
    <w:rsid w:val="004D76FC"/>
    <w:rsid w:val="004D792C"/>
    <w:rsid w:val="004D7ACC"/>
    <w:rsid w:val="004D7C00"/>
    <w:rsid w:val="004D7CB9"/>
    <w:rsid w:val="004E03B5"/>
    <w:rsid w:val="004E0786"/>
    <w:rsid w:val="004E087C"/>
    <w:rsid w:val="004E10D2"/>
    <w:rsid w:val="004E225C"/>
    <w:rsid w:val="004E297F"/>
    <w:rsid w:val="004E2C6D"/>
    <w:rsid w:val="004E2EA1"/>
    <w:rsid w:val="004E2ED0"/>
    <w:rsid w:val="004E30D5"/>
    <w:rsid w:val="004E30F6"/>
    <w:rsid w:val="004E3466"/>
    <w:rsid w:val="004E379A"/>
    <w:rsid w:val="004E3A2D"/>
    <w:rsid w:val="004E3B7F"/>
    <w:rsid w:val="004E3F10"/>
    <w:rsid w:val="004E4199"/>
    <w:rsid w:val="004E4247"/>
    <w:rsid w:val="004E4492"/>
    <w:rsid w:val="004E4C49"/>
    <w:rsid w:val="004E5172"/>
    <w:rsid w:val="004E5A16"/>
    <w:rsid w:val="004E5CA5"/>
    <w:rsid w:val="004E6037"/>
    <w:rsid w:val="004E623A"/>
    <w:rsid w:val="004E65F3"/>
    <w:rsid w:val="004E6AE3"/>
    <w:rsid w:val="004E6E64"/>
    <w:rsid w:val="004E70E3"/>
    <w:rsid w:val="004E72E6"/>
    <w:rsid w:val="004E7705"/>
    <w:rsid w:val="004E77D0"/>
    <w:rsid w:val="004E7A8F"/>
    <w:rsid w:val="004E7B19"/>
    <w:rsid w:val="004E7B42"/>
    <w:rsid w:val="004F0127"/>
    <w:rsid w:val="004F0164"/>
    <w:rsid w:val="004F0824"/>
    <w:rsid w:val="004F09E7"/>
    <w:rsid w:val="004F0A5B"/>
    <w:rsid w:val="004F1153"/>
    <w:rsid w:val="004F188D"/>
    <w:rsid w:val="004F1ADF"/>
    <w:rsid w:val="004F1E0C"/>
    <w:rsid w:val="004F2517"/>
    <w:rsid w:val="004F2753"/>
    <w:rsid w:val="004F2820"/>
    <w:rsid w:val="004F2A72"/>
    <w:rsid w:val="004F2D5D"/>
    <w:rsid w:val="004F2F28"/>
    <w:rsid w:val="004F2FF7"/>
    <w:rsid w:val="004F3024"/>
    <w:rsid w:val="004F35C4"/>
    <w:rsid w:val="004F3691"/>
    <w:rsid w:val="004F388F"/>
    <w:rsid w:val="004F3AA3"/>
    <w:rsid w:val="004F3BE4"/>
    <w:rsid w:val="004F3D62"/>
    <w:rsid w:val="004F4D04"/>
    <w:rsid w:val="004F55FA"/>
    <w:rsid w:val="004F5622"/>
    <w:rsid w:val="004F5A49"/>
    <w:rsid w:val="004F5B3A"/>
    <w:rsid w:val="004F6098"/>
    <w:rsid w:val="004F6262"/>
    <w:rsid w:val="004F652C"/>
    <w:rsid w:val="004F68E1"/>
    <w:rsid w:val="004F6D8E"/>
    <w:rsid w:val="004F6DE3"/>
    <w:rsid w:val="004F73EC"/>
    <w:rsid w:val="004F7573"/>
    <w:rsid w:val="004F7664"/>
    <w:rsid w:val="004F7BAD"/>
    <w:rsid w:val="004F7EEF"/>
    <w:rsid w:val="004F7FAB"/>
    <w:rsid w:val="00500192"/>
    <w:rsid w:val="005002F5"/>
    <w:rsid w:val="00500394"/>
    <w:rsid w:val="0050082E"/>
    <w:rsid w:val="00500B0F"/>
    <w:rsid w:val="00501126"/>
    <w:rsid w:val="00501178"/>
    <w:rsid w:val="0050132C"/>
    <w:rsid w:val="00501373"/>
    <w:rsid w:val="005013C2"/>
    <w:rsid w:val="005013E5"/>
    <w:rsid w:val="0050157F"/>
    <w:rsid w:val="005016DF"/>
    <w:rsid w:val="00501DEF"/>
    <w:rsid w:val="00501EFB"/>
    <w:rsid w:val="00502070"/>
    <w:rsid w:val="005025E6"/>
    <w:rsid w:val="0050269F"/>
    <w:rsid w:val="005026FD"/>
    <w:rsid w:val="00502BB1"/>
    <w:rsid w:val="00502D22"/>
    <w:rsid w:val="00503012"/>
    <w:rsid w:val="0050313C"/>
    <w:rsid w:val="0050326B"/>
    <w:rsid w:val="00503760"/>
    <w:rsid w:val="00503981"/>
    <w:rsid w:val="00503A92"/>
    <w:rsid w:val="00503DF3"/>
    <w:rsid w:val="005042C8"/>
    <w:rsid w:val="00504FD8"/>
    <w:rsid w:val="005051DE"/>
    <w:rsid w:val="005053CE"/>
    <w:rsid w:val="0050540A"/>
    <w:rsid w:val="00505556"/>
    <w:rsid w:val="00505A10"/>
    <w:rsid w:val="00506307"/>
    <w:rsid w:val="005064CF"/>
    <w:rsid w:val="005075BD"/>
    <w:rsid w:val="0050787C"/>
    <w:rsid w:val="005079C0"/>
    <w:rsid w:val="00507CE6"/>
    <w:rsid w:val="005100C0"/>
    <w:rsid w:val="00510438"/>
    <w:rsid w:val="00510774"/>
    <w:rsid w:val="00510AE9"/>
    <w:rsid w:val="00510B4A"/>
    <w:rsid w:val="00510B65"/>
    <w:rsid w:val="00510F8E"/>
    <w:rsid w:val="00511393"/>
    <w:rsid w:val="0051184A"/>
    <w:rsid w:val="00511C77"/>
    <w:rsid w:val="00511CFE"/>
    <w:rsid w:val="005123A3"/>
    <w:rsid w:val="00512829"/>
    <w:rsid w:val="00512E92"/>
    <w:rsid w:val="0051323C"/>
    <w:rsid w:val="005132C3"/>
    <w:rsid w:val="00513344"/>
    <w:rsid w:val="00513DB0"/>
    <w:rsid w:val="00513DDD"/>
    <w:rsid w:val="00514284"/>
    <w:rsid w:val="005143F2"/>
    <w:rsid w:val="005146F2"/>
    <w:rsid w:val="00514968"/>
    <w:rsid w:val="00514B72"/>
    <w:rsid w:val="00514BD9"/>
    <w:rsid w:val="00514D12"/>
    <w:rsid w:val="00515045"/>
    <w:rsid w:val="00515843"/>
    <w:rsid w:val="00515896"/>
    <w:rsid w:val="005158EB"/>
    <w:rsid w:val="00516602"/>
    <w:rsid w:val="00516671"/>
    <w:rsid w:val="00516DEA"/>
    <w:rsid w:val="00516EF1"/>
    <w:rsid w:val="00516F59"/>
    <w:rsid w:val="00517005"/>
    <w:rsid w:val="00517274"/>
    <w:rsid w:val="00517649"/>
    <w:rsid w:val="00517836"/>
    <w:rsid w:val="00517A72"/>
    <w:rsid w:val="00520216"/>
    <w:rsid w:val="005204DC"/>
    <w:rsid w:val="00520828"/>
    <w:rsid w:val="00520ED0"/>
    <w:rsid w:val="00521196"/>
    <w:rsid w:val="005211A8"/>
    <w:rsid w:val="00521305"/>
    <w:rsid w:val="00521456"/>
    <w:rsid w:val="0052165B"/>
    <w:rsid w:val="00521A9E"/>
    <w:rsid w:val="00522128"/>
    <w:rsid w:val="0052239E"/>
    <w:rsid w:val="00522611"/>
    <w:rsid w:val="00522636"/>
    <w:rsid w:val="005226B7"/>
    <w:rsid w:val="0052318D"/>
    <w:rsid w:val="00523962"/>
    <w:rsid w:val="005240DE"/>
    <w:rsid w:val="0052414C"/>
    <w:rsid w:val="005243D9"/>
    <w:rsid w:val="005243FD"/>
    <w:rsid w:val="00524C80"/>
    <w:rsid w:val="00524E57"/>
    <w:rsid w:val="00525438"/>
    <w:rsid w:val="00525A6A"/>
    <w:rsid w:val="00525AE5"/>
    <w:rsid w:val="00525B23"/>
    <w:rsid w:val="0052604C"/>
    <w:rsid w:val="00526151"/>
    <w:rsid w:val="0052630C"/>
    <w:rsid w:val="0052641E"/>
    <w:rsid w:val="005303A9"/>
    <w:rsid w:val="005304AD"/>
    <w:rsid w:val="00530767"/>
    <w:rsid w:val="00530983"/>
    <w:rsid w:val="00530A5A"/>
    <w:rsid w:val="00530D77"/>
    <w:rsid w:val="00530DA2"/>
    <w:rsid w:val="00530F04"/>
    <w:rsid w:val="00531459"/>
    <w:rsid w:val="00531736"/>
    <w:rsid w:val="00531A66"/>
    <w:rsid w:val="00531B17"/>
    <w:rsid w:val="00531E38"/>
    <w:rsid w:val="00531E68"/>
    <w:rsid w:val="00532662"/>
    <w:rsid w:val="00532891"/>
    <w:rsid w:val="00532932"/>
    <w:rsid w:val="005329DD"/>
    <w:rsid w:val="00532A46"/>
    <w:rsid w:val="00532C86"/>
    <w:rsid w:val="00532CFC"/>
    <w:rsid w:val="005331B4"/>
    <w:rsid w:val="005332CE"/>
    <w:rsid w:val="00533328"/>
    <w:rsid w:val="00534255"/>
    <w:rsid w:val="00534D02"/>
    <w:rsid w:val="005355CA"/>
    <w:rsid w:val="00535663"/>
    <w:rsid w:val="005356F9"/>
    <w:rsid w:val="0053571B"/>
    <w:rsid w:val="005359A8"/>
    <w:rsid w:val="00535CD7"/>
    <w:rsid w:val="00535E49"/>
    <w:rsid w:val="00535F40"/>
    <w:rsid w:val="00535F58"/>
    <w:rsid w:val="00536316"/>
    <w:rsid w:val="00536E99"/>
    <w:rsid w:val="00536EA6"/>
    <w:rsid w:val="005373BD"/>
    <w:rsid w:val="005374B8"/>
    <w:rsid w:val="00537533"/>
    <w:rsid w:val="005375F5"/>
    <w:rsid w:val="00537A28"/>
    <w:rsid w:val="00537D4D"/>
    <w:rsid w:val="00540067"/>
    <w:rsid w:val="00540195"/>
    <w:rsid w:val="005403EB"/>
    <w:rsid w:val="00540879"/>
    <w:rsid w:val="0054095E"/>
    <w:rsid w:val="00540F27"/>
    <w:rsid w:val="005411FC"/>
    <w:rsid w:val="00541297"/>
    <w:rsid w:val="005414C9"/>
    <w:rsid w:val="0054152A"/>
    <w:rsid w:val="005415A5"/>
    <w:rsid w:val="005416B9"/>
    <w:rsid w:val="00541810"/>
    <w:rsid w:val="00541895"/>
    <w:rsid w:val="005418FE"/>
    <w:rsid w:val="00541B79"/>
    <w:rsid w:val="00541FD5"/>
    <w:rsid w:val="005425F9"/>
    <w:rsid w:val="0054297D"/>
    <w:rsid w:val="00542A3E"/>
    <w:rsid w:val="00542CC0"/>
    <w:rsid w:val="00542E9F"/>
    <w:rsid w:val="00542FA1"/>
    <w:rsid w:val="0054357C"/>
    <w:rsid w:val="005436AC"/>
    <w:rsid w:val="005438A5"/>
    <w:rsid w:val="00543A2B"/>
    <w:rsid w:val="00543C10"/>
    <w:rsid w:val="00544195"/>
    <w:rsid w:val="00544197"/>
    <w:rsid w:val="0054431D"/>
    <w:rsid w:val="005446A7"/>
    <w:rsid w:val="005446DA"/>
    <w:rsid w:val="00544D87"/>
    <w:rsid w:val="00544E99"/>
    <w:rsid w:val="00545254"/>
    <w:rsid w:val="005457F1"/>
    <w:rsid w:val="00545838"/>
    <w:rsid w:val="00545BAF"/>
    <w:rsid w:val="00545C3F"/>
    <w:rsid w:val="00545E4C"/>
    <w:rsid w:val="00546259"/>
    <w:rsid w:val="00546426"/>
    <w:rsid w:val="00546598"/>
    <w:rsid w:val="00546643"/>
    <w:rsid w:val="00546773"/>
    <w:rsid w:val="0054690D"/>
    <w:rsid w:val="00546B4A"/>
    <w:rsid w:val="00546BBA"/>
    <w:rsid w:val="00546DFD"/>
    <w:rsid w:val="00547A4D"/>
    <w:rsid w:val="00547A53"/>
    <w:rsid w:val="00547B95"/>
    <w:rsid w:val="00550098"/>
    <w:rsid w:val="005501C4"/>
    <w:rsid w:val="0055041D"/>
    <w:rsid w:val="00550B15"/>
    <w:rsid w:val="00550D36"/>
    <w:rsid w:val="0055106E"/>
    <w:rsid w:val="00552475"/>
    <w:rsid w:val="005524AC"/>
    <w:rsid w:val="0055284E"/>
    <w:rsid w:val="00552922"/>
    <w:rsid w:val="00552DE6"/>
    <w:rsid w:val="00553031"/>
    <w:rsid w:val="005531F2"/>
    <w:rsid w:val="0055327B"/>
    <w:rsid w:val="00553584"/>
    <w:rsid w:val="00553D72"/>
    <w:rsid w:val="00553E11"/>
    <w:rsid w:val="00553F81"/>
    <w:rsid w:val="005542AF"/>
    <w:rsid w:val="005543CD"/>
    <w:rsid w:val="0055447B"/>
    <w:rsid w:val="005546D6"/>
    <w:rsid w:val="0055473D"/>
    <w:rsid w:val="005549D6"/>
    <w:rsid w:val="00554A83"/>
    <w:rsid w:val="00554B40"/>
    <w:rsid w:val="005554A0"/>
    <w:rsid w:val="00555654"/>
    <w:rsid w:val="00555803"/>
    <w:rsid w:val="00555A20"/>
    <w:rsid w:val="00555D4C"/>
    <w:rsid w:val="005560FF"/>
    <w:rsid w:val="005563CC"/>
    <w:rsid w:val="00556470"/>
    <w:rsid w:val="00556920"/>
    <w:rsid w:val="005569DC"/>
    <w:rsid w:val="00556B14"/>
    <w:rsid w:val="00556CEB"/>
    <w:rsid w:val="00556DE8"/>
    <w:rsid w:val="0055718F"/>
    <w:rsid w:val="005571EE"/>
    <w:rsid w:val="005572B2"/>
    <w:rsid w:val="00557321"/>
    <w:rsid w:val="00557593"/>
    <w:rsid w:val="00557B41"/>
    <w:rsid w:val="00557D2F"/>
    <w:rsid w:val="00560066"/>
    <w:rsid w:val="005602F0"/>
    <w:rsid w:val="005602FD"/>
    <w:rsid w:val="00560516"/>
    <w:rsid w:val="00560A6D"/>
    <w:rsid w:val="00560ADE"/>
    <w:rsid w:val="00560D63"/>
    <w:rsid w:val="0056108A"/>
    <w:rsid w:val="00561BFD"/>
    <w:rsid w:val="00561E87"/>
    <w:rsid w:val="00561F2F"/>
    <w:rsid w:val="00562621"/>
    <w:rsid w:val="005628F8"/>
    <w:rsid w:val="0056290E"/>
    <w:rsid w:val="00562A9C"/>
    <w:rsid w:val="00562BEA"/>
    <w:rsid w:val="00562D6D"/>
    <w:rsid w:val="00562FA9"/>
    <w:rsid w:val="005634E5"/>
    <w:rsid w:val="005636C1"/>
    <w:rsid w:val="00563D3A"/>
    <w:rsid w:val="0056427A"/>
    <w:rsid w:val="0056462C"/>
    <w:rsid w:val="0056485A"/>
    <w:rsid w:val="0056487B"/>
    <w:rsid w:val="00564CFD"/>
    <w:rsid w:val="00564DF2"/>
    <w:rsid w:val="0056503E"/>
    <w:rsid w:val="005650A2"/>
    <w:rsid w:val="005652A2"/>
    <w:rsid w:val="005656A1"/>
    <w:rsid w:val="00565A6F"/>
    <w:rsid w:val="00565A8E"/>
    <w:rsid w:val="00565FCD"/>
    <w:rsid w:val="005663FF"/>
    <w:rsid w:val="0056654E"/>
    <w:rsid w:val="005667B9"/>
    <w:rsid w:val="005667C0"/>
    <w:rsid w:val="00566A26"/>
    <w:rsid w:val="00566CC2"/>
    <w:rsid w:val="00566E4B"/>
    <w:rsid w:val="005671E6"/>
    <w:rsid w:val="00567553"/>
    <w:rsid w:val="00567610"/>
    <w:rsid w:val="00567B03"/>
    <w:rsid w:val="00570254"/>
    <w:rsid w:val="005702B9"/>
    <w:rsid w:val="005702CD"/>
    <w:rsid w:val="005702D6"/>
    <w:rsid w:val="0057060F"/>
    <w:rsid w:val="00570745"/>
    <w:rsid w:val="0057124E"/>
    <w:rsid w:val="005713D5"/>
    <w:rsid w:val="0057163D"/>
    <w:rsid w:val="00571E25"/>
    <w:rsid w:val="00571EB3"/>
    <w:rsid w:val="00571FCA"/>
    <w:rsid w:val="00572656"/>
    <w:rsid w:val="005729B8"/>
    <w:rsid w:val="00572C7E"/>
    <w:rsid w:val="00572DAC"/>
    <w:rsid w:val="005730DB"/>
    <w:rsid w:val="005731EA"/>
    <w:rsid w:val="0057331C"/>
    <w:rsid w:val="005736CF"/>
    <w:rsid w:val="005739E3"/>
    <w:rsid w:val="00573D73"/>
    <w:rsid w:val="00573D97"/>
    <w:rsid w:val="00573F87"/>
    <w:rsid w:val="005745DE"/>
    <w:rsid w:val="0057469E"/>
    <w:rsid w:val="0057494C"/>
    <w:rsid w:val="0057499D"/>
    <w:rsid w:val="00574D0E"/>
    <w:rsid w:val="00574DC8"/>
    <w:rsid w:val="0057542D"/>
    <w:rsid w:val="00575585"/>
    <w:rsid w:val="00575680"/>
    <w:rsid w:val="005759D2"/>
    <w:rsid w:val="00575EC6"/>
    <w:rsid w:val="00575F1E"/>
    <w:rsid w:val="0057626B"/>
    <w:rsid w:val="00576528"/>
    <w:rsid w:val="005766A0"/>
    <w:rsid w:val="00576E19"/>
    <w:rsid w:val="00577D06"/>
    <w:rsid w:val="00580141"/>
    <w:rsid w:val="0058047C"/>
    <w:rsid w:val="00580A37"/>
    <w:rsid w:val="00580B01"/>
    <w:rsid w:val="00580DD9"/>
    <w:rsid w:val="00581831"/>
    <w:rsid w:val="00581841"/>
    <w:rsid w:val="005821B1"/>
    <w:rsid w:val="00582223"/>
    <w:rsid w:val="00582354"/>
    <w:rsid w:val="00582C23"/>
    <w:rsid w:val="00582CB5"/>
    <w:rsid w:val="005830C2"/>
    <w:rsid w:val="00583138"/>
    <w:rsid w:val="005831F6"/>
    <w:rsid w:val="005837BE"/>
    <w:rsid w:val="005839EE"/>
    <w:rsid w:val="00583A64"/>
    <w:rsid w:val="00583A84"/>
    <w:rsid w:val="00583E72"/>
    <w:rsid w:val="00584087"/>
    <w:rsid w:val="005840CB"/>
    <w:rsid w:val="00584132"/>
    <w:rsid w:val="0058476D"/>
    <w:rsid w:val="00584921"/>
    <w:rsid w:val="00584AB1"/>
    <w:rsid w:val="00584CEE"/>
    <w:rsid w:val="00584FB8"/>
    <w:rsid w:val="0058545C"/>
    <w:rsid w:val="00585B63"/>
    <w:rsid w:val="00585BA6"/>
    <w:rsid w:val="00586140"/>
    <w:rsid w:val="005863A6"/>
    <w:rsid w:val="005863F4"/>
    <w:rsid w:val="0058666F"/>
    <w:rsid w:val="00586C87"/>
    <w:rsid w:val="00587083"/>
    <w:rsid w:val="005870E3"/>
    <w:rsid w:val="0058753F"/>
    <w:rsid w:val="0058766F"/>
    <w:rsid w:val="0058768D"/>
    <w:rsid w:val="005876A2"/>
    <w:rsid w:val="00587A5C"/>
    <w:rsid w:val="00587E35"/>
    <w:rsid w:val="0059053E"/>
    <w:rsid w:val="00590BE0"/>
    <w:rsid w:val="00590DBE"/>
    <w:rsid w:val="00590DD9"/>
    <w:rsid w:val="005913B3"/>
    <w:rsid w:val="005913F6"/>
    <w:rsid w:val="005913FC"/>
    <w:rsid w:val="005915CD"/>
    <w:rsid w:val="005918D1"/>
    <w:rsid w:val="00591B71"/>
    <w:rsid w:val="00592061"/>
    <w:rsid w:val="005921D3"/>
    <w:rsid w:val="0059224E"/>
    <w:rsid w:val="005923B4"/>
    <w:rsid w:val="005926D9"/>
    <w:rsid w:val="0059295D"/>
    <w:rsid w:val="00592D71"/>
    <w:rsid w:val="005930EF"/>
    <w:rsid w:val="00593263"/>
    <w:rsid w:val="00593273"/>
    <w:rsid w:val="00593A2C"/>
    <w:rsid w:val="00593AAA"/>
    <w:rsid w:val="00593C4E"/>
    <w:rsid w:val="00593E55"/>
    <w:rsid w:val="00594256"/>
    <w:rsid w:val="00594284"/>
    <w:rsid w:val="00594734"/>
    <w:rsid w:val="00594CC5"/>
    <w:rsid w:val="005955DC"/>
    <w:rsid w:val="005956AB"/>
    <w:rsid w:val="00595D20"/>
    <w:rsid w:val="00596071"/>
    <w:rsid w:val="00596381"/>
    <w:rsid w:val="0059649B"/>
    <w:rsid w:val="00596560"/>
    <w:rsid w:val="00596A43"/>
    <w:rsid w:val="00596AE7"/>
    <w:rsid w:val="00596E82"/>
    <w:rsid w:val="005971E4"/>
    <w:rsid w:val="005978EA"/>
    <w:rsid w:val="00597BCF"/>
    <w:rsid w:val="00597F7C"/>
    <w:rsid w:val="00597F86"/>
    <w:rsid w:val="005A04EA"/>
    <w:rsid w:val="005A0913"/>
    <w:rsid w:val="005A126A"/>
    <w:rsid w:val="005A12BD"/>
    <w:rsid w:val="005A137B"/>
    <w:rsid w:val="005A16C4"/>
    <w:rsid w:val="005A2A98"/>
    <w:rsid w:val="005A316C"/>
    <w:rsid w:val="005A3381"/>
    <w:rsid w:val="005A3394"/>
    <w:rsid w:val="005A36FA"/>
    <w:rsid w:val="005A3D11"/>
    <w:rsid w:val="005A3F3A"/>
    <w:rsid w:val="005A4038"/>
    <w:rsid w:val="005A43F8"/>
    <w:rsid w:val="005A44CF"/>
    <w:rsid w:val="005A456A"/>
    <w:rsid w:val="005A4B19"/>
    <w:rsid w:val="005A4EC7"/>
    <w:rsid w:val="005A4F7D"/>
    <w:rsid w:val="005A50D9"/>
    <w:rsid w:val="005A5184"/>
    <w:rsid w:val="005A52FC"/>
    <w:rsid w:val="005A537E"/>
    <w:rsid w:val="005A56C5"/>
    <w:rsid w:val="005A5752"/>
    <w:rsid w:val="005A5CDE"/>
    <w:rsid w:val="005A613E"/>
    <w:rsid w:val="005A67A4"/>
    <w:rsid w:val="005A6B0B"/>
    <w:rsid w:val="005A70D6"/>
    <w:rsid w:val="005A764E"/>
    <w:rsid w:val="005A7ADA"/>
    <w:rsid w:val="005A7DF7"/>
    <w:rsid w:val="005A7EB1"/>
    <w:rsid w:val="005B0160"/>
    <w:rsid w:val="005B01FA"/>
    <w:rsid w:val="005B02BF"/>
    <w:rsid w:val="005B02CC"/>
    <w:rsid w:val="005B0DEB"/>
    <w:rsid w:val="005B1260"/>
    <w:rsid w:val="005B139E"/>
    <w:rsid w:val="005B1525"/>
    <w:rsid w:val="005B1552"/>
    <w:rsid w:val="005B1600"/>
    <w:rsid w:val="005B175D"/>
    <w:rsid w:val="005B1998"/>
    <w:rsid w:val="005B1CEA"/>
    <w:rsid w:val="005B206C"/>
    <w:rsid w:val="005B27E9"/>
    <w:rsid w:val="005B28F2"/>
    <w:rsid w:val="005B2D79"/>
    <w:rsid w:val="005B3014"/>
    <w:rsid w:val="005B37AA"/>
    <w:rsid w:val="005B3C14"/>
    <w:rsid w:val="005B3D0E"/>
    <w:rsid w:val="005B4404"/>
    <w:rsid w:val="005B45DB"/>
    <w:rsid w:val="005B4660"/>
    <w:rsid w:val="005B478F"/>
    <w:rsid w:val="005B4960"/>
    <w:rsid w:val="005B4967"/>
    <w:rsid w:val="005B4DBD"/>
    <w:rsid w:val="005B51B4"/>
    <w:rsid w:val="005B5402"/>
    <w:rsid w:val="005B5561"/>
    <w:rsid w:val="005B564F"/>
    <w:rsid w:val="005B5852"/>
    <w:rsid w:val="005B5C1E"/>
    <w:rsid w:val="005B5C29"/>
    <w:rsid w:val="005B5E70"/>
    <w:rsid w:val="005B6226"/>
    <w:rsid w:val="005B6262"/>
    <w:rsid w:val="005B631D"/>
    <w:rsid w:val="005B64AD"/>
    <w:rsid w:val="005B681A"/>
    <w:rsid w:val="005B6863"/>
    <w:rsid w:val="005B7185"/>
    <w:rsid w:val="005B71F3"/>
    <w:rsid w:val="005B78B1"/>
    <w:rsid w:val="005B7FB0"/>
    <w:rsid w:val="005C0031"/>
    <w:rsid w:val="005C0274"/>
    <w:rsid w:val="005C0351"/>
    <w:rsid w:val="005C0484"/>
    <w:rsid w:val="005C05EB"/>
    <w:rsid w:val="005C0913"/>
    <w:rsid w:val="005C0939"/>
    <w:rsid w:val="005C0A5F"/>
    <w:rsid w:val="005C0BB1"/>
    <w:rsid w:val="005C1082"/>
    <w:rsid w:val="005C11D9"/>
    <w:rsid w:val="005C138D"/>
    <w:rsid w:val="005C17DC"/>
    <w:rsid w:val="005C1FFF"/>
    <w:rsid w:val="005C221F"/>
    <w:rsid w:val="005C2380"/>
    <w:rsid w:val="005C31AA"/>
    <w:rsid w:val="005C3659"/>
    <w:rsid w:val="005C3866"/>
    <w:rsid w:val="005C39C4"/>
    <w:rsid w:val="005C4349"/>
    <w:rsid w:val="005C4A47"/>
    <w:rsid w:val="005C4BB7"/>
    <w:rsid w:val="005C55BD"/>
    <w:rsid w:val="005C5B53"/>
    <w:rsid w:val="005C5BBF"/>
    <w:rsid w:val="005C63C0"/>
    <w:rsid w:val="005C6843"/>
    <w:rsid w:val="005C68D7"/>
    <w:rsid w:val="005C6941"/>
    <w:rsid w:val="005C6BAA"/>
    <w:rsid w:val="005C6BC3"/>
    <w:rsid w:val="005C6D3D"/>
    <w:rsid w:val="005C769F"/>
    <w:rsid w:val="005C7835"/>
    <w:rsid w:val="005C7C53"/>
    <w:rsid w:val="005C7F28"/>
    <w:rsid w:val="005D00C5"/>
    <w:rsid w:val="005D084A"/>
    <w:rsid w:val="005D0A1D"/>
    <w:rsid w:val="005D0A93"/>
    <w:rsid w:val="005D0D14"/>
    <w:rsid w:val="005D1289"/>
    <w:rsid w:val="005D13F6"/>
    <w:rsid w:val="005D1656"/>
    <w:rsid w:val="005D175C"/>
    <w:rsid w:val="005D1AFB"/>
    <w:rsid w:val="005D1DCF"/>
    <w:rsid w:val="005D1E29"/>
    <w:rsid w:val="005D1EB6"/>
    <w:rsid w:val="005D239A"/>
    <w:rsid w:val="005D2CE7"/>
    <w:rsid w:val="005D2D1C"/>
    <w:rsid w:val="005D2E44"/>
    <w:rsid w:val="005D3091"/>
    <w:rsid w:val="005D30E1"/>
    <w:rsid w:val="005D3863"/>
    <w:rsid w:val="005D3F44"/>
    <w:rsid w:val="005D4556"/>
    <w:rsid w:val="005D479A"/>
    <w:rsid w:val="005D49EA"/>
    <w:rsid w:val="005D4CB6"/>
    <w:rsid w:val="005D4DE6"/>
    <w:rsid w:val="005D50BE"/>
    <w:rsid w:val="005D526A"/>
    <w:rsid w:val="005D5278"/>
    <w:rsid w:val="005D53ED"/>
    <w:rsid w:val="005D54F6"/>
    <w:rsid w:val="005D59C5"/>
    <w:rsid w:val="005D6090"/>
    <w:rsid w:val="005D60E0"/>
    <w:rsid w:val="005D61B7"/>
    <w:rsid w:val="005D64E7"/>
    <w:rsid w:val="005D654C"/>
    <w:rsid w:val="005D732A"/>
    <w:rsid w:val="005D7375"/>
    <w:rsid w:val="005D79FA"/>
    <w:rsid w:val="005D7B3B"/>
    <w:rsid w:val="005D7BEF"/>
    <w:rsid w:val="005D7D9F"/>
    <w:rsid w:val="005E008F"/>
    <w:rsid w:val="005E055E"/>
    <w:rsid w:val="005E05D6"/>
    <w:rsid w:val="005E070A"/>
    <w:rsid w:val="005E07B6"/>
    <w:rsid w:val="005E0863"/>
    <w:rsid w:val="005E08D2"/>
    <w:rsid w:val="005E09E1"/>
    <w:rsid w:val="005E0BFF"/>
    <w:rsid w:val="005E0E04"/>
    <w:rsid w:val="005E0F4A"/>
    <w:rsid w:val="005E127F"/>
    <w:rsid w:val="005E1453"/>
    <w:rsid w:val="005E1DD8"/>
    <w:rsid w:val="005E21F3"/>
    <w:rsid w:val="005E2335"/>
    <w:rsid w:val="005E2349"/>
    <w:rsid w:val="005E26D5"/>
    <w:rsid w:val="005E28CD"/>
    <w:rsid w:val="005E2BB9"/>
    <w:rsid w:val="005E2CF5"/>
    <w:rsid w:val="005E2E44"/>
    <w:rsid w:val="005E2EAC"/>
    <w:rsid w:val="005E3189"/>
    <w:rsid w:val="005E3218"/>
    <w:rsid w:val="005E322D"/>
    <w:rsid w:val="005E33A1"/>
    <w:rsid w:val="005E3D72"/>
    <w:rsid w:val="005E4095"/>
    <w:rsid w:val="005E4144"/>
    <w:rsid w:val="005E4922"/>
    <w:rsid w:val="005E4F8E"/>
    <w:rsid w:val="005E510C"/>
    <w:rsid w:val="005E523C"/>
    <w:rsid w:val="005E5391"/>
    <w:rsid w:val="005E5399"/>
    <w:rsid w:val="005E53D6"/>
    <w:rsid w:val="005E5449"/>
    <w:rsid w:val="005E567B"/>
    <w:rsid w:val="005E5723"/>
    <w:rsid w:val="005E5878"/>
    <w:rsid w:val="005E58B1"/>
    <w:rsid w:val="005E5FD6"/>
    <w:rsid w:val="005E61A0"/>
    <w:rsid w:val="005E68EA"/>
    <w:rsid w:val="005E6E51"/>
    <w:rsid w:val="005E6FCA"/>
    <w:rsid w:val="005E7073"/>
    <w:rsid w:val="005E7E92"/>
    <w:rsid w:val="005E7FDB"/>
    <w:rsid w:val="005F0313"/>
    <w:rsid w:val="005F093C"/>
    <w:rsid w:val="005F0D7F"/>
    <w:rsid w:val="005F0E92"/>
    <w:rsid w:val="005F12B4"/>
    <w:rsid w:val="005F1384"/>
    <w:rsid w:val="005F13C0"/>
    <w:rsid w:val="005F159F"/>
    <w:rsid w:val="005F16A1"/>
    <w:rsid w:val="005F1822"/>
    <w:rsid w:val="005F1A40"/>
    <w:rsid w:val="005F26D4"/>
    <w:rsid w:val="005F278D"/>
    <w:rsid w:val="005F27E3"/>
    <w:rsid w:val="005F2BEB"/>
    <w:rsid w:val="005F2F97"/>
    <w:rsid w:val="005F2FE0"/>
    <w:rsid w:val="005F320B"/>
    <w:rsid w:val="005F3391"/>
    <w:rsid w:val="005F3410"/>
    <w:rsid w:val="005F3569"/>
    <w:rsid w:val="005F3719"/>
    <w:rsid w:val="005F3937"/>
    <w:rsid w:val="005F3CB6"/>
    <w:rsid w:val="005F3E0C"/>
    <w:rsid w:val="005F40A5"/>
    <w:rsid w:val="005F419A"/>
    <w:rsid w:val="005F42E0"/>
    <w:rsid w:val="005F4ADE"/>
    <w:rsid w:val="005F4B4B"/>
    <w:rsid w:val="005F4CCC"/>
    <w:rsid w:val="005F537A"/>
    <w:rsid w:val="005F540A"/>
    <w:rsid w:val="005F540C"/>
    <w:rsid w:val="005F5526"/>
    <w:rsid w:val="005F56C6"/>
    <w:rsid w:val="005F583B"/>
    <w:rsid w:val="005F59C1"/>
    <w:rsid w:val="005F63D2"/>
    <w:rsid w:val="005F65FE"/>
    <w:rsid w:val="005F67C5"/>
    <w:rsid w:val="005F67C6"/>
    <w:rsid w:val="005F6C5F"/>
    <w:rsid w:val="005F6CA9"/>
    <w:rsid w:val="005F74B7"/>
    <w:rsid w:val="005F7672"/>
    <w:rsid w:val="005F79AB"/>
    <w:rsid w:val="005F79D9"/>
    <w:rsid w:val="005F7A3D"/>
    <w:rsid w:val="00600086"/>
    <w:rsid w:val="00600D11"/>
    <w:rsid w:val="00600F7C"/>
    <w:rsid w:val="0060121E"/>
    <w:rsid w:val="00601B52"/>
    <w:rsid w:val="00601DE8"/>
    <w:rsid w:val="00601E10"/>
    <w:rsid w:val="00601E70"/>
    <w:rsid w:val="0060225A"/>
    <w:rsid w:val="006022AA"/>
    <w:rsid w:val="00602847"/>
    <w:rsid w:val="00602F61"/>
    <w:rsid w:val="00603183"/>
    <w:rsid w:val="0060372B"/>
    <w:rsid w:val="0060401D"/>
    <w:rsid w:val="00604475"/>
    <w:rsid w:val="00604AD5"/>
    <w:rsid w:val="00604ADC"/>
    <w:rsid w:val="00604D62"/>
    <w:rsid w:val="006051EF"/>
    <w:rsid w:val="0060554B"/>
    <w:rsid w:val="006056F9"/>
    <w:rsid w:val="00605737"/>
    <w:rsid w:val="0060583A"/>
    <w:rsid w:val="00605AC6"/>
    <w:rsid w:val="00606310"/>
    <w:rsid w:val="00606ADE"/>
    <w:rsid w:val="00606B8F"/>
    <w:rsid w:val="00607104"/>
    <w:rsid w:val="00607A88"/>
    <w:rsid w:val="006106D0"/>
    <w:rsid w:val="006106DC"/>
    <w:rsid w:val="00610D4A"/>
    <w:rsid w:val="006112D6"/>
    <w:rsid w:val="006115F5"/>
    <w:rsid w:val="00611730"/>
    <w:rsid w:val="00611B34"/>
    <w:rsid w:val="00611F29"/>
    <w:rsid w:val="0061217B"/>
    <w:rsid w:val="00612581"/>
    <w:rsid w:val="0061296F"/>
    <w:rsid w:val="00612B86"/>
    <w:rsid w:val="00612BA7"/>
    <w:rsid w:val="006130C1"/>
    <w:rsid w:val="00613192"/>
    <w:rsid w:val="006131FF"/>
    <w:rsid w:val="00613355"/>
    <w:rsid w:val="00613702"/>
    <w:rsid w:val="00613C1E"/>
    <w:rsid w:val="00613DCA"/>
    <w:rsid w:val="0061421F"/>
    <w:rsid w:val="00614322"/>
    <w:rsid w:val="0061435D"/>
    <w:rsid w:val="0061437E"/>
    <w:rsid w:val="00614CDA"/>
    <w:rsid w:val="00614DE2"/>
    <w:rsid w:val="00614E9B"/>
    <w:rsid w:val="006151D9"/>
    <w:rsid w:val="0061534B"/>
    <w:rsid w:val="0061580A"/>
    <w:rsid w:val="00615A66"/>
    <w:rsid w:val="00615B44"/>
    <w:rsid w:val="006164BE"/>
    <w:rsid w:val="0061650E"/>
    <w:rsid w:val="006166BF"/>
    <w:rsid w:val="0061683F"/>
    <w:rsid w:val="00616D33"/>
    <w:rsid w:val="00617173"/>
    <w:rsid w:val="00617405"/>
    <w:rsid w:val="00617D5B"/>
    <w:rsid w:val="00617EEC"/>
    <w:rsid w:val="0062068A"/>
    <w:rsid w:val="00620783"/>
    <w:rsid w:val="00620AB7"/>
    <w:rsid w:val="00620C8F"/>
    <w:rsid w:val="00620CBE"/>
    <w:rsid w:val="00620F6F"/>
    <w:rsid w:val="00620F7F"/>
    <w:rsid w:val="006214B3"/>
    <w:rsid w:val="00621765"/>
    <w:rsid w:val="00621B46"/>
    <w:rsid w:val="00621BF4"/>
    <w:rsid w:val="00621E61"/>
    <w:rsid w:val="00622644"/>
    <w:rsid w:val="006228DF"/>
    <w:rsid w:val="00622971"/>
    <w:rsid w:val="00622ABF"/>
    <w:rsid w:val="00622C56"/>
    <w:rsid w:val="00622D56"/>
    <w:rsid w:val="00622F3F"/>
    <w:rsid w:val="0062328C"/>
    <w:rsid w:val="00623540"/>
    <w:rsid w:val="006235A1"/>
    <w:rsid w:val="00623692"/>
    <w:rsid w:val="0062379B"/>
    <w:rsid w:val="00623A68"/>
    <w:rsid w:val="00623F43"/>
    <w:rsid w:val="006241BF"/>
    <w:rsid w:val="006242D5"/>
    <w:rsid w:val="006249B4"/>
    <w:rsid w:val="00624AD0"/>
    <w:rsid w:val="00624C0D"/>
    <w:rsid w:val="00624DE1"/>
    <w:rsid w:val="00624FFE"/>
    <w:rsid w:val="006253BC"/>
    <w:rsid w:val="006255D5"/>
    <w:rsid w:val="006259C3"/>
    <w:rsid w:val="00625B7C"/>
    <w:rsid w:val="00625FAA"/>
    <w:rsid w:val="00625FB0"/>
    <w:rsid w:val="00626118"/>
    <w:rsid w:val="006261DD"/>
    <w:rsid w:val="006262CD"/>
    <w:rsid w:val="006267E5"/>
    <w:rsid w:val="00626E80"/>
    <w:rsid w:val="00626FB7"/>
    <w:rsid w:val="00627366"/>
    <w:rsid w:val="00630434"/>
    <w:rsid w:val="00630595"/>
    <w:rsid w:val="00630AA3"/>
    <w:rsid w:val="00630B22"/>
    <w:rsid w:val="00630CB4"/>
    <w:rsid w:val="006311C1"/>
    <w:rsid w:val="00631253"/>
    <w:rsid w:val="0063188F"/>
    <w:rsid w:val="006318CC"/>
    <w:rsid w:val="00631B03"/>
    <w:rsid w:val="00631D43"/>
    <w:rsid w:val="00631EC2"/>
    <w:rsid w:val="00632585"/>
    <w:rsid w:val="0063272F"/>
    <w:rsid w:val="00632756"/>
    <w:rsid w:val="00632CD6"/>
    <w:rsid w:val="00632E23"/>
    <w:rsid w:val="00632F4F"/>
    <w:rsid w:val="0063325D"/>
    <w:rsid w:val="006337F2"/>
    <w:rsid w:val="00633A86"/>
    <w:rsid w:val="00633A8F"/>
    <w:rsid w:val="00633C9A"/>
    <w:rsid w:val="00633DAB"/>
    <w:rsid w:val="00633E27"/>
    <w:rsid w:val="00634290"/>
    <w:rsid w:val="006342F5"/>
    <w:rsid w:val="0063467C"/>
    <w:rsid w:val="006346E8"/>
    <w:rsid w:val="006347C6"/>
    <w:rsid w:val="006349FC"/>
    <w:rsid w:val="00634B19"/>
    <w:rsid w:val="00634BDE"/>
    <w:rsid w:val="0063531E"/>
    <w:rsid w:val="00635508"/>
    <w:rsid w:val="00635A15"/>
    <w:rsid w:val="00635B46"/>
    <w:rsid w:val="00635D74"/>
    <w:rsid w:val="00636124"/>
    <w:rsid w:val="00636618"/>
    <w:rsid w:val="00636C03"/>
    <w:rsid w:val="00636DC7"/>
    <w:rsid w:val="00636E57"/>
    <w:rsid w:val="00636E92"/>
    <w:rsid w:val="00636FE7"/>
    <w:rsid w:val="006373B4"/>
    <w:rsid w:val="0063775D"/>
    <w:rsid w:val="006377C7"/>
    <w:rsid w:val="00637869"/>
    <w:rsid w:val="00640190"/>
    <w:rsid w:val="00640394"/>
    <w:rsid w:val="006403D6"/>
    <w:rsid w:val="0064044A"/>
    <w:rsid w:val="00640468"/>
    <w:rsid w:val="0064051F"/>
    <w:rsid w:val="006406AE"/>
    <w:rsid w:val="006407AC"/>
    <w:rsid w:val="00640934"/>
    <w:rsid w:val="006409D8"/>
    <w:rsid w:val="00640B33"/>
    <w:rsid w:val="00640E1F"/>
    <w:rsid w:val="00640FB5"/>
    <w:rsid w:val="006412A4"/>
    <w:rsid w:val="00641971"/>
    <w:rsid w:val="006419F0"/>
    <w:rsid w:val="00641C37"/>
    <w:rsid w:val="00641EE2"/>
    <w:rsid w:val="006421C3"/>
    <w:rsid w:val="00642256"/>
    <w:rsid w:val="00642311"/>
    <w:rsid w:val="006423D2"/>
    <w:rsid w:val="00642A0C"/>
    <w:rsid w:val="00642AE7"/>
    <w:rsid w:val="00642D78"/>
    <w:rsid w:val="00642DAB"/>
    <w:rsid w:val="006430C5"/>
    <w:rsid w:val="00643126"/>
    <w:rsid w:val="00643690"/>
    <w:rsid w:val="00643AD3"/>
    <w:rsid w:val="00643B2B"/>
    <w:rsid w:val="00643BF8"/>
    <w:rsid w:val="00643C7A"/>
    <w:rsid w:val="00643D1B"/>
    <w:rsid w:val="00643FC9"/>
    <w:rsid w:val="00644018"/>
    <w:rsid w:val="006440C8"/>
    <w:rsid w:val="00644188"/>
    <w:rsid w:val="006443A1"/>
    <w:rsid w:val="00644409"/>
    <w:rsid w:val="00644821"/>
    <w:rsid w:val="00644853"/>
    <w:rsid w:val="0064493C"/>
    <w:rsid w:val="00644A15"/>
    <w:rsid w:val="00644A87"/>
    <w:rsid w:val="00644DF7"/>
    <w:rsid w:val="00645389"/>
    <w:rsid w:val="006453CC"/>
    <w:rsid w:val="0064586A"/>
    <w:rsid w:val="00645AED"/>
    <w:rsid w:val="00645CB4"/>
    <w:rsid w:val="0064602A"/>
    <w:rsid w:val="0064653C"/>
    <w:rsid w:val="00646A42"/>
    <w:rsid w:val="00647175"/>
    <w:rsid w:val="006473D3"/>
    <w:rsid w:val="0064769C"/>
    <w:rsid w:val="006479A2"/>
    <w:rsid w:val="006479F9"/>
    <w:rsid w:val="00650183"/>
    <w:rsid w:val="006502EC"/>
    <w:rsid w:val="006505D0"/>
    <w:rsid w:val="006507FC"/>
    <w:rsid w:val="006508D8"/>
    <w:rsid w:val="006513E6"/>
    <w:rsid w:val="0065174F"/>
    <w:rsid w:val="006517BF"/>
    <w:rsid w:val="00651EC1"/>
    <w:rsid w:val="0065285D"/>
    <w:rsid w:val="00652BA6"/>
    <w:rsid w:val="00652CE7"/>
    <w:rsid w:val="00652D51"/>
    <w:rsid w:val="00652F1A"/>
    <w:rsid w:val="00653060"/>
    <w:rsid w:val="006531A3"/>
    <w:rsid w:val="006533C5"/>
    <w:rsid w:val="006535DD"/>
    <w:rsid w:val="006536A0"/>
    <w:rsid w:val="0065377A"/>
    <w:rsid w:val="00653AC4"/>
    <w:rsid w:val="00653BBF"/>
    <w:rsid w:val="00653F7B"/>
    <w:rsid w:val="00653F9A"/>
    <w:rsid w:val="006542B3"/>
    <w:rsid w:val="006542DC"/>
    <w:rsid w:val="0065467F"/>
    <w:rsid w:val="0065473A"/>
    <w:rsid w:val="0065498E"/>
    <w:rsid w:val="00654B0D"/>
    <w:rsid w:val="00654F8C"/>
    <w:rsid w:val="006556A6"/>
    <w:rsid w:val="006557B1"/>
    <w:rsid w:val="00655A6F"/>
    <w:rsid w:val="006561B6"/>
    <w:rsid w:val="00656847"/>
    <w:rsid w:val="00657252"/>
    <w:rsid w:val="006572F0"/>
    <w:rsid w:val="0065750D"/>
    <w:rsid w:val="0065793E"/>
    <w:rsid w:val="00657A70"/>
    <w:rsid w:val="00657DE7"/>
    <w:rsid w:val="00657FC2"/>
    <w:rsid w:val="00660940"/>
    <w:rsid w:val="00660C0A"/>
    <w:rsid w:val="00660E74"/>
    <w:rsid w:val="00660F58"/>
    <w:rsid w:val="0066121E"/>
    <w:rsid w:val="0066134B"/>
    <w:rsid w:val="006614E2"/>
    <w:rsid w:val="0066166A"/>
    <w:rsid w:val="00661826"/>
    <w:rsid w:val="0066195E"/>
    <w:rsid w:val="00661991"/>
    <w:rsid w:val="00661B2E"/>
    <w:rsid w:val="00661D61"/>
    <w:rsid w:val="00661EF4"/>
    <w:rsid w:val="0066250B"/>
    <w:rsid w:val="006629C1"/>
    <w:rsid w:val="00662A4D"/>
    <w:rsid w:val="00662AA6"/>
    <w:rsid w:val="00662DDA"/>
    <w:rsid w:val="00662F3C"/>
    <w:rsid w:val="006630D3"/>
    <w:rsid w:val="006636A3"/>
    <w:rsid w:val="006637D9"/>
    <w:rsid w:val="00663898"/>
    <w:rsid w:val="0066391F"/>
    <w:rsid w:val="00664235"/>
    <w:rsid w:val="006645C4"/>
    <w:rsid w:val="006645FD"/>
    <w:rsid w:val="00664895"/>
    <w:rsid w:val="00665223"/>
    <w:rsid w:val="0066565E"/>
    <w:rsid w:val="006656F7"/>
    <w:rsid w:val="00665B72"/>
    <w:rsid w:val="00665C37"/>
    <w:rsid w:val="00665FA3"/>
    <w:rsid w:val="0066617C"/>
    <w:rsid w:val="006662FA"/>
    <w:rsid w:val="00666A70"/>
    <w:rsid w:val="00666B11"/>
    <w:rsid w:val="00666EBB"/>
    <w:rsid w:val="006672E5"/>
    <w:rsid w:val="00667781"/>
    <w:rsid w:val="006678E5"/>
    <w:rsid w:val="00667F51"/>
    <w:rsid w:val="00670166"/>
    <w:rsid w:val="0067026E"/>
    <w:rsid w:val="00670DFA"/>
    <w:rsid w:val="0067153B"/>
    <w:rsid w:val="00671609"/>
    <w:rsid w:val="006716B1"/>
    <w:rsid w:val="006718F6"/>
    <w:rsid w:val="00671C3D"/>
    <w:rsid w:val="00671F4B"/>
    <w:rsid w:val="006721E0"/>
    <w:rsid w:val="006722AC"/>
    <w:rsid w:val="0067274A"/>
    <w:rsid w:val="00672EDC"/>
    <w:rsid w:val="0067327B"/>
    <w:rsid w:val="006735AF"/>
    <w:rsid w:val="00673750"/>
    <w:rsid w:val="00673AB3"/>
    <w:rsid w:val="0067407D"/>
    <w:rsid w:val="0067425B"/>
    <w:rsid w:val="00674ACE"/>
    <w:rsid w:val="0067574F"/>
    <w:rsid w:val="00675823"/>
    <w:rsid w:val="00675A47"/>
    <w:rsid w:val="00675B12"/>
    <w:rsid w:val="00675B32"/>
    <w:rsid w:val="00675FB0"/>
    <w:rsid w:val="0067627C"/>
    <w:rsid w:val="00676685"/>
    <w:rsid w:val="00676966"/>
    <w:rsid w:val="00676A18"/>
    <w:rsid w:val="00676D3D"/>
    <w:rsid w:val="00676E37"/>
    <w:rsid w:val="00676F24"/>
    <w:rsid w:val="0067729A"/>
    <w:rsid w:val="006777D7"/>
    <w:rsid w:val="00677A98"/>
    <w:rsid w:val="00677F80"/>
    <w:rsid w:val="00680429"/>
    <w:rsid w:val="006805D9"/>
    <w:rsid w:val="00680899"/>
    <w:rsid w:val="0068110D"/>
    <w:rsid w:val="00681794"/>
    <w:rsid w:val="00681E61"/>
    <w:rsid w:val="00681E68"/>
    <w:rsid w:val="00681ED6"/>
    <w:rsid w:val="00681EEE"/>
    <w:rsid w:val="00681F1A"/>
    <w:rsid w:val="006823B3"/>
    <w:rsid w:val="00682583"/>
    <w:rsid w:val="006825E2"/>
    <w:rsid w:val="0068277D"/>
    <w:rsid w:val="00682CAE"/>
    <w:rsid w:val="0068338A"/>
    <w:rsid w:val="006838F4"/>
    <w:rsid w:val="00683DF7"/>
    <w:rsid w:val="00683F33"/>
    <w:rsid w:val="00683F36"/>
    <w:rsid w:val="00684051"/>
    <w:rsid w:val="00684A52"/>
    <w:rsid w:val="00684E56"/>
    <w:rsid w:val="006852AC"/>
    <w:rsid w:val="006853EC"/>
    <w:rsid w:val="00685F60"/>
    <w:rsid w:val="006862F6"/>
    <w:rsid w:val="00686305"/>
    <w:rsid w:val="006868F5"/>
    <w:rsid w:val="00686A9D"/>
    <w:rsid w:val="00686C94"/>
    <w:rsid w:val="00686DFE"/>
    <w:rsid w:val="006870A4"/>
    <w:rsid w:val="00687188"/>
    <w:rsid w:val="00687CE9"/>
    <w:rsid w:val="00687F4C"/>
    <w:rsid w:val="00690202"/>
    <w:rsid w:val="00690371"/>
    <w:rsid w:val="006904D7"/>
    <w:rsid w:val="006907D8"/>
    <w:rsid w:val="00691234"/>
    <w:rsid w:val="0069123F"/>
    <w:rsid w:val="0069132B"/>
    <w:rsid w:val="0069139C"/>
    <w:rsid w:val="006916A7"/>
    <w:rsid w:val="00691ADF"/>
    <w:rsid w:val="006921ED"/>
    <w:rsid w:val="0069278F"/>
    <w:rsid w:val="00692831"/>
    <w:rsid w:val="00692A72"/>
    <w:rsid w:val="00692CEC"/>
    <w:rsid w:val="00692E71"/>
    <w:rsid w:val="00692F44"/>
    <w:rsid w:val="006930EF"/>
    <w:rsid w:val="006933DA"/>
    <w:rsid w:val="00693480"/>
    <w:rsid w:val="00693517"/>
    <w:rsid w:val="006935BB"/>
    <w:rsid w:val="006938D7"/>
    <w:rsid w:val="006939F7"/>
    <w:rsid w:val="00693B2C"/>
    <w:rsid w:val="00693B6A"/>
    <w:rsid w:val="00693BC0"/>
    <w:rsid w:val="0069466F"/>
    <w:rsid w:val="006946FB"/>
    <w:rsid w:val="0069594C"/>
    <w:rsid w:val="00695F13"/>
    <w:rsid w:val="00695F20"/>
    <w:rsid w:val="006966C7"/>
    <w:rsid w:val="00696977"/>
    <w:rsid w:val="00696BE0"/>
    <w:rsid w:val="00696C99"/>
    <w:rsid w:val="00696C9F"/>
    <w:rsid w:val="00697269"/>
    <w:rsid w:val="0069734F"/>
    <w:rsid w:val="00697825"/>
    <w:rsid w:val="00697855"/>
    <w:rsid w:val="006A041B"/>
    <w:rsid w:val="006A07D8"/>
    <w:rsid w:val="006A0AC4"/>
    <w:rsid w:val="006A0AF0"/>
    <w:rsid w:val="006A0C17"/>
    <w:rsid w:val="006A0ED7"/>
    <w:rsid w:val="006A0F1B"/>
    <w:rsid w:val="006A0FB4"/>
    <w:rsid w:val="006A1206"/>
    <w:rsid w:val="006A13F2"/>
    <w:rsid w:val="006A16A1"/>
    <w:rsid w:val="006A16FE"/>
    <w:rsid w:val="006A19B0"/>
    <w:rsid w:val="006A1ABB"/>
    <w:rsid w:val="006A1B97"/>
    <w:rsid w:val="006A1C48"/>
    <w:rsid w:val="006A1FB6"/>
    <w:rsid w:val="006A2653"/>
    <w:rsid w:val="006A27EB"/>
    <w:rsid w:val="006A292F"/>
    <w:rsid w:val="006A3384"/>
    <w:rsid w:val="006A373B"/>
    <w:rsid w:val="006A3802"/>
    <w:rsid w:val="006A3885"/>
    <w:rsid w:val="006A3B88"/>
    <w:rsid w:val="006A3C58"/>
    <w:rsid w:val="006A3D20"/>
    <w:rsid w:val="006A3D7A"/>
    <w:rsid w:val="006A4091"/>
    <w:rsid w:val="006A477E"/>
    <w:rsid w:val="006A4A63"/>
    <w:rsid w:val="006A4BDD"/>
    <w:rsid w:val="006A4EE3"/>
    <w:rsid w:val="006A5476"/>
    <w:rsid w:val="006A5AE8"/>
    <w:rsid w:val="006A5B44"/>
    <w:rsid w:val="006A5BB0"/>
    <w:rsid w:val="006A628C"/>
    <w:rsid w:val="006A66C5"/>
    <w:rsid w:val="006A6A11"/>
    <w:rsid w:val="006A6D3E"/>
    <w:rsid w:val="006A6EA0"/>
    <w:rsid w:val="006A70EA"/>
    <w:rsid w:val="006A71B0"/>
    <w:rsid w:val="006A728C"/>
    <w:rsid w:val="006A75F8"/>
    <w:rsid w:val="006A760B"/>
    <w:rsid w:val="006A7943"/>
    <w:rsid w:val="006A7BE8"/>
    <w:rsid w:val="006A7C40"/>
    <w:rsid w:val="006A7E23"/>
    <w:rsid w:val="006B0140"/>
    <w:rsid w:val="006B0761"/>
    <w:rsid w:val="006B0984"/>
    <w:rsid w:val="006B09F9"/>
    <w:rsid w:val="006B0A5C"/>
    <w:rsid w:val="006B0CAC"/>
    <w:rsid w:val="006B0DFF"/>
    <w:rsid w:val="006B0EC4"/>
    <w:rsid w:val="006B0F3D"/>
    <w:rsid w:val="006B1060"/>
    <w:rsid w:val="006B12A7"/>
    <w:rsid w:val="006B136D"/>
    <w:rsid w:val="006B138B"/>
    <w:rsid w:val="006B1764"/>
    <w:rsid w:val="006B1861"/>
    <w:rsid w:val="006B1BFD"/>
    <w:rsid w:val="006B1D32"/>
    <w:rsid w:val="006B230F"/>
    <w:rsid w:val="006B2501"/>
    <w:rsid w:val="006B254F"/>
    <w:rsid w:val="006B2888"/>
    <w:rsid w:val="006B2954"/>
    <w:rsid w:val="006B29B7"/>
    <w:rsid w:val="006B2F9D"/>
    <w:rsid w:val="006B30EB"/>
    <w:rsid w:val="006B33DA"/>
    <w:rsid w:val="006B3660"/>
    <w:rsid w:val="006B3A9E"/>
    <w:rsid w:val="006B3C02"/>
    <w:rsid w:val="006B3EB9"/>
    <w:rsid w:val="006B43C9"/>
    <w:rsid w:val="006B485C"/>
    <w:rsid w:val="006B498E"/>
    <w:rsid w:val="006B4E28"/>
    <w:rsid w:val="006B502C"/>
    <w:rsid w:val="006B50EE"/>
    <w:rsid w:val="006B515C"/>
    <w:rsid w:val="006B5558"/>
    <w:rsid w:val="006B5750"/>
    <w:rsid w:val="006B588E"/>
    <w:rsid w:val="006B58C6"/>
    <w:rsid w:val="006B5992"/>
    <w:rsid w:val="006B5E51"/>
    <w:rsid w:val="006B5E6D"/>
    <w:rsid w:val="006B60E1"/>
    <w:rsid w:val="006B613E"/>
    <w:rsid w:val="006B661B"/>
    <w:rsid w:val="006B676F"/>
    <w:rsid w:val="006B67ED"/>
    <w:rsid w:val="006B6BC3"/>
    <w:rsid w:val="006B6EDF"/>
    <w:rsid w:val="006B6FC9"/>
    <w:rsid w:val="006B7125"/>
    <w:rsid w:val="006B73DE"/>
    <w:rsid w:val="006B7984"/>
    <w:rsid w:val="006B7A6E"/>
    <w:rsid w:val="006B7D1E"/>
    <w:rsid w:val="006B7E54"/>
    <w:rsid w:val="006C077A"/>
    <w:rsid w:val="006C1183"/>
    <w:rsid w:val="006C16BE"/>
    <w:rsid w:val="006C17B5"/>
    <w:rsid w:val="006C1C84"/>
    <w:rsid w:val="006C1D49"/>
    <w:rsid w:val="006C1D52"/>
    <w:rsid w:val="006C255C"/>
    <w:rsid w:val="006C25BC"/>
    <w:rsid w:val="006C2717"/>
    <w:rsid w:val="006C2952"/>
    <w:rsid w:val="006C2973"/>
    <w:rsid w:val="006C2BB5"/>
    <w:rsid w:val="006C30DE"/>
    <w:rsid w:val="006C315C"/>
    <w:rsid w:val="006C3597"/>
    <w:rsid w:val="006C35CD"/>
    <w:rsid w:val="006C3C5C"/>
    <w:rsid w:val="006C3CFE"/>
    <w:rsid w:val="006C3EEA"/>
    <w:rsid w:val="006C3F28"/>
    <w:rsid w:val="006C42B2"/>
    <w:rsid w:val="006C4346"/>
    <w:rsid w:val="006C438A"/>
    <w:rsid w:val="006C48BD"/>
    <w:rsid w:val="006C497D"/>
    <w:rsid w:val="006C4A53"/>
    <w:rsid w:val="006C5275"/>
    <w:rsid w:val="006C5546"/>
    <w:rsid w:val="006C5B5E"/>
    <w:rsid w:val="006C6468"/>
    <w:rsid w:val="006C66BF"/>
    <w:rsid w:val="006C681A"/>
    <w:rsid w:val="006C69B2"/>
    <w:rsid w:val="006C6A4D"/>
    <w:rsid w:val="006C6B15"/>
    <w:rsid w:val="006C6C21"/>
    <w:rsid w:val="006C6FAD"/>
    <w:rsid w:val="006C7A2F"/>
    <w:rsid w:val="006C7D4C"/>
    <w:rsid w:val="006D0122"/>
    <w:rsid w:val="006D051A"/>
    <w:rsid w:val="006D0C31"/>
    <w:rsid w:val="006D0DFA"/>
    <w:rsid w:val="006D1512"/>
    <w:rsid w:val="006D165C"/>
    <w:rsid w:val="006D181B"/>
    <w:rsid w:val="006D184D"/>
    <w:rsid w:val="006D2381"/>
    <w:rsid w:val="006D259F"/>
    <w:rsid w:val="006D27F3"/>
    <w:rsid w:val="006D2B2C"/>
    <w:rsid w:val="006D3062"/>
    <w:rsid w:val="006D32C6"/>
    <w:rsid w:val="006D33B3"/>
    <w:rsid w:val="006D36EB"/>
    <w:rsid w:val="006D37F9"/>
    <w:rsid w:val="006D3B10"/>
    <w:rsid w:val="006D3F1D"/>
    <w:rsid w:val="006D4613"/>
    <w:rsid w:val="006D464A"/>
    <w:rsid w:val="006D4CA4"/>
    <w:rsid w:val="006D50AE"/>
    <w:rsid w:val="006D5258"/>
    <w:rsid w:val="006D5497"/>
    <w:rsid w:val="006D5633"/>
    <w:rsid w:val="006D5C63"/>
    <w:rsid w:val="006D5D8E"/>
    <w:rsid w:val="006D637A"/>
    <w:rsid w:val="006D6F6D"/>
    <w:rsid w:val="006D6FAC"/>
    <w:rsid w:val="006D735C"/>
    <w:rsid w:val="006D74C1"/>
    <w:rsid w:val="006D7541"/>
    <w:rsid w:val="006D7720"/>
    <w:rsid w:val="006D79FD"/>
    <w:rsid w:val="006D7AB2"/>
    <w:rsid w:val="006D7F71"/>
    <w:rsid w:val="006E0251"/>
    <w:rsid w:val="006E0275"/>
    <w:rsid w:val="006E0464"/>
    <w:rsid w:val="006E0B90"/>
    <w:rsid w:val="006E0C6A"/>
    <w:rsid w:val="006E0DEB"/>
    <w:rsid w:val="006E10A7"/>
    <w:rsid w:val="006E1202"/>
    <w:rsid w:val="006E1230"/>
    <w:rsid w:val="006E1E48"/>
    <w:rsid w:val="006E2544"/>
    <w:rsid w:val="006E30D1"/>
    <w:rsid w:val="006E3F4A"/>
    <w:rsid w:val="006E48CE"/>
    <w:rsid w:val="006E4AAA"/>
    <w:rsid w:val="006E4B33"/>
    <w:rsid w:val="006E553A"/>
    <w:rsid w:val="006E579F"/>
    <w:rsid w:val="006E5E31"/>
    <w:rsid w:val="006E5E3C"/>
    <w:rsid w:val="006E5E46"/>
    <w:rsid w:val="006E5E9A"/>
    <w:rsid w:val="006E5F7B"/>
    <w:rsid w:val="006E616F"/>
    <w:rsid w:val="006E61EA"/>
    <w:rsid w:val="006E65E5"/>
    <w:rsid w:val="006E66E5"/>
    <w:rsid w:val="006E6B35"/>
    <w:rsid w:val="006E6CF2"/>
    <w:rsid w:val="006E6EE5"/>
    <w:rsid w:val="006E6F45"/>
    <w:rsid w:val="006E6FC9"/>
    <w:rsid w:val="006E7A9F"/>
    <w:rsid w:val="006E7CDD"/>
    <w:rsid w:val="006E7EB4"/>
    <w:rsid w:val="006F0037"/>
    <w:rsid w:val="006F0082"/>
    <w:rsid w:val="006F0090"/>
    <w:rsid w:val="006F016F"/>
    <w:rsid w:val="006F05D6"/>
    <w:rsid w:val="006F0671"/>
    <w:rsid w:val="006F069B"/>
    <w:rsid w:val="006F074D"/>
    <w:rsid w:val="006F0804"/>
    <w:rsid w:val="006F0A0F"/>
    <w:rsid w:val="006F0B82"/>
    <w:rsid w:val="006F0D00"/>
    <w:rsid w:val="006F1341"/>
    <w:rsid w:val="006F1488"/>
    <w:rsid w:val="006F1F7C"/>
    <w:rsid w:val="006F1FE8"/>
    <w:rsid w:val="006F204F"/>
    <w:rsid w:val="006F20C6"/>
    <w:rsid w:val="006F25CE"/>
    <w:rsid w:val="006F28CD"/>
    <w:rsid w:val="006F28D7"/>
    <w:rsid w:val="006F2E29"/>
    <w:rsid w:val="006F3054"/>
    <w:rsid w:val="006F3091"/>
    <w:rsid w:val="006F3159"/>
    <w:rsid w:val="006F328A"/>
    <w:rsid w:val="006F32B0"/>
    <w:rsid w:val="006F3446"/>
    <w:rsid w:val="006F362A"/>
    <w:rsid w:val="006F47ED"/>
    <w:rsid w:val="006F4C1C"/>
    <w:rsid w:val="006F4E3B"/>
    <w:rsid w:val="006F5094"/>
    <w:rsid w:val="006F5109"/>
    <w:rsid w:val="006F56F0"/>
    <w:rsid w:val="006F5905"/>
    <w:rsid w:val="006F5AFE"/>
    <w:rsid w:val="006F5C5F"/>
    <w:rsid w:val="006F5F6D"/>
    <w:rsid w:val="006F5F8F"/>
    <w:rsid w:val="006F645D"/>
    <w:rsid w:val="006F6825"/>
    <w:rsid w:val="006F6ADE"/>
    <w:rsid w:val="006F6C9C"/>
    <w:rsid w:val="006F6D02"/>
    <w:rsid w:val="006F6DCB"/>
    <w:rsid w:val="006F6E86"/>
    <w:rsid w:val="006F6F73"/>
    <w:rsid w:val="006F70C8"/>
    <w:rsid w:val="006F727C"/>
    <w:rsid w:val="006F74AC"/>
    <w:rsid w:val="006F7514"/>
    <w:rsid w:val="006F7562"/>
    <w:rsid w:val="006F7905"/>
    <w:rsid w:val="006F79CC"/>
    <w:rsid w:val="006F7DFB"/>
    <w:rsid w:val="006F7E2D"/>
    <w:rsid w:val="00700758"/>
    <w:rsid w:val="00700B3F"/>
    <w:rsid w:val="00700C7E"/>
    <w:rsid w:val="007011CA"/>
    <w:rsid w:val="00701208"/>
    <w:rsid w:val="0070147C"/>
    <w:rsid w:val="007016CF"/>
    <w:rsid w:val="00701961"/>
    <w:rsid w:val="00701978"/>
    <w:rsid w:val="00701E93"/>
    <w:rsid w:val="00701F75"/>
    <w:rsid w:val="00701FF5"/>
    <w:rsid w:val="00702576"/>
    <w:rsid w:val="00702651"/>
    <w:rsid w:val="00702B72"/>
    <w:rsid w:val="00702BA7"/>
    <w:rsid w:val="0070313C"/>
    <w:rsid w:val="00703149"/>
    <w:rsid w:val="0070323D"/>
    <w:rsid w:val="00703281"/>
    <w:rsid w:val="00703582"/>
    <w:rsid w:val="00703588"/>
    <w:rsid w:val="00703CEA"/>
    <w:rsid w:val="00703E9A"/>
    <w:rsid w:val="00704240"/>
    <w:rsid w:val="007045CC"/>
    <w:rsid w:val="00704D08"/>
    <w:rsid w:val="00705051"/>
    <w:rsid w:val="007056E1"/>
    <w:rsid w:val="007060B1"/>
    <w:rsid w:val="0070657E"/>
    <w:rsid w:val="00706AAD"/>
    <w:rsid w:val="0070722F"/>
    <w:rsid w:val="00707955"/>
    <w:rsid w:val="00707CF3"/>
    <w:rsid w:val="00707CF4"/>
    <w:rsid w:val="0071003C"/>
    <w:rsid w:val="00710259"/>
    <w:rsid w:val="007102A6"/>
    <w:rsid w:val="00710573"/>
    <w:rsid w:val="00710E5D"/>
    <w:rsid w:val="007111D1"/>
    <w:rsid w:val="00711255"/>
    <w:rsid w:val="0071147A"/>
    <w:rsid w:val="007114BF"/>
    <w:rsid w:val="00711D6C"/>
    <w:rsid w:val="00712005"/>
    <w:rsid w:val="00712204"/>
    <w:rsid w:val="00712370"/>
    <w:rsid w:val="00712697"/>
    <w:rsid w:val="00712AB7"/>
    <w:rsid w:val="00712D8F"/>
    <w:rsid w:val="007133DE"/>
    <w:rsid w:val="0071343C"/>
    <w:rsid w:val="00713B89"/>
    <w:rsid w:val="00713C4D"/>
    <w:rsid w:val="00714229"/>
    <w:rsid w:val="0071455A"/>
    <w:rsid w:val="007149AC"/>
    <w:rsid w:val="007149C9"/>
    <w:rsid w:val="00714BA0"/>
    <w:rsid w:val="00715376"/>
    <w:rsid w:val="00715578"/>
    <w:rsid w:val="0071571A"/>
    <w:rsid w:val="00715799"/>
    <w:rsid w:val="00715FAB"/>
    <w:rsid w:val="00716087"/>
    <w:rsid w:val="007161C7"/>
    <w:rsid w:val="007161F1"/>
    <w:rsid w:val="00716272"/>
    <w:rsid w:val="007167F7"/>
    <w:rsid w:val="00717140"/>
    <w:rsid w:val="00717163"/>
    <w:rsid w:val="007175D2"/>
    <w:rsid w:val="0071777D"/>
    <w:rsid w:val="00717CA6"/>
    <w:rsid w:val="00717D55"/>
    <w:rsid w:val="00720473"/>
    <w:rsid w:val="00720A8B"/>
    <w:rsid w:val="00720ED2"/>
    <w:rsid w:val="007213F4"/>
    <w:rsid w:val="0072143D"/>
    <w:rsid w:val="00721546"/>
    <w:rsid w:val="00721BF4"/>
    <w:rsid w:val="00721D6E"/>
    <w:rsid w:val="00722048"/>
    <w:rsid w:val="00722134"/>
    <w:rsid w:val="0072221A"/>
    <w:rsid w:val="00722294"/>
    <w:rsid w:val="007227C6"/>
    <w:rsid w:val="00722A7D"/>
    <w:rsid w:val="00723079"/>
    <w:rsid w:val="00723402"/>
    <w:rsid w:val="00723633"/>
    <w:rsid w:val="00723982"/>
    <w:rsid w:val="00723ECE"/>
    <w:rsid w:val="007244DC"/>
    <w:rsid w:val="00724546"/>
    <w:rsid w:val="007245B7"/>
    <w:rsid w:val="00724703"/>
    <w:rsid w:val="00724A00"/>
    <w:rsid w:val="00724DBB"/>
    <w:rsid w:val="00724DD2"/>
    <w:rsid w:val="00724DD5"/>
    <w:rsid w:val="00725172"/>
    <w:rsid w:val="0072520F"/>
    <w:rsid w:val="007252DF"/>
    <w:rsid w:val="0072533D"/>
    <w:rsid w:val="00725412"/>
    <w:rsid w:val="007257CD"/>
    <w:rsid w:val="00725B3B"/>
    <w:rsid w:val="00725D24"/>
    <w:rsid w:val="00725ED2"/>
    <w:rsid w:val="00725FF8"/>
    <w:rsid w:val="00726446"/>
    <w:rsid w:val="0072696E"/>
    <w:rsid w:val="00726C61"/>
    <w:rsid w:val="00727151"/>
    <w:rsid w:val="00727537"/>
    <w:rsid w:val="007276B6"/>
    <w:rsid w:val="0073009D"/>
    <w:rsid w:val="007300FA"/>
    <w:rsid w:val="007304D6"/>
    <w:rsid w:val="00730C14"/>
    <w:rsid w:val="00730C60"/>
    <w:rsid w:val="00730E2F"/>
    <w:rsid w:val="00731057"/>
    <w:rsid w:val="007311E9"/>
    <w:rsid w:val="007317A8"/>
    <w:rsid w:val="00731B54"/>
    <w:rsid w:val="00731BA1"/>
    <w:rsid w:val="00731E78"/>
    <w:rsid w:val="00732298"/>
    <w:rsid w:val="0073241F"/>
    <w:rsid w:val="00732A42"/>
    <w:rsid w:val="00732EEA"/>
    <w:rsid w:val="0073331D"/>
    <w:rsid w:val="0073334A"/>
    <w:rsid w:val="00733D09"/>
    <w:rsid w:val="00733F76"/>
    <w:rsid w:val="0073402C"/>
    <w:rsid w:val="00734166"/>
    <w:rsid w:val="00734183"/>
    <w:rsid w:val="007344F0"/>
    <w:rsid w:val="007348B5"/>
    <w:rsid w:val="00734ADA"/>
    <w:rsid w:val="00735128"/>
    <w:rsid w:val="00735612"/>
    <w:rsid w:val="00735713"/>
    <w:rsid w:val="00735786"/>
    <w:rsid w:val="00735A3B"/>
    <w:rsid w:val="00735DB7"/>
    <w:rsid w:val="00736850"/>
    <w:rsid w:val="00737396"/>
    <w:rsid w:val="00737778"/>
    <w:rsid w:val="007379E0"/>
    <w:rsid w:val="00737BCC"/>
    <w:rsid w:val="00737BF6"/>
    <w:rsid w:val="00740745"/>
    <w:rsid w:val="00740C54"/>
    <w:rsid w:val="00741A6A"/>
    <w:rsid w:val="00741F75"/>
    <w:rsid w:val="007420F1"/>
    <w:rsid w:val="007427DD"/>
    <w:rsid w:val="0074288B"/>
    <w:rsid w:val="007429A6"/>
    <w:rsid w:val="00742D15"/>
    <w:rsid w:val="00742F6C"/>
    <w:rsid w:val="0074304D"/>
    <w:rsid w:val="007432D2"/>
    <w:rsid w:val="00743641"/>
    <w:rsid w:val="0074370E"/>
    <w:rsid w:val="007438E4"/>
    <w:rsid w:val="0074393C"/>
    <w:rsid w:val="00743B5D"/>
    <w:rsid w:val="00743F44"/>
    <w:rsid w:val="0074422D"/>
    <w:rsid w:val="0074437A"/>
    <w:rsid w:val="00744573"/>
    <w:rsid w:val="007445EA"/>
    <w:rsid w:val="007447E9"/>
    <w:rsid w:val="00744C23"/>
    <w:rsid w:val="00744E92"/>
    <w:rsid w:val="007454B0"/>
    <w:rsid w:val="00745CCA"/>
    <w:rsid w:val="007463A6"/>
    <w:rsid w:val="0074658D"/>
    <w:rsid w:val="00746B6C"/>
    <w:rsid w:val="00746DD9"/>
    <w:rsid w:val="00747AE4"/>
    <w:rsid w:val="00747B64"/>
    <w:rsid w:val="00747B8F"/>
    <w:rsid w:val="00747D2E"/>
    <w:rsid w:val="007500CC"/>
    <w:rsid w:val="00750E99"/>
    <w:rsid w:val="00751309"/>
    <w:rsid w:val="007519AB"/>
    <w:rsid w:val="00751D17"/>
    <w:rsid w:val="00752639"/>
    <w:rsid w:val="00752791"/>
    <w:rsid w:val="00752956"/>
    <w:rsid w:val="007530CA"/>
    <w:rsid w:val="00753414"/>
    <w:rsid w:val="00753518"/>
    <w:rsid w:val="00753527"/>
    <w:rsid w:val="0075388D"/>
    <w:rsid w:val="00753975"/>
    <w:rsid w:val="00753DE6"/>
    <w:rsid w:val="0075417A"/>
    <w:rsid w:val="00754202"/>
    <w:rsid w:val="00754204"/>
    <w:rsid w:val="00754E57"/>
    <w:rsid w:val="00755052"/>
    <w:rsid w:val="00755695"/>
    <w:rsid w:val="007558A5"/>
    <w:rsid w:val="00755A08"/>
    <w:rsid w:val="00755DB6"/>
    <w:rsid w:val="007560FC"/>
    <w:rsid w:val="00756520"/>
    <w:rsid w:val="00756931"/>
    <w:rsid w:val="007570E1"/>
    <w:rsid w:val="007572DC"/>
    <w:rsid w:val="007574C5"/>
    <w:rsid w:val="007575E8"/>
    <w:rsid w:val="00757878"/>
    <w:rsid w:val="00757896"/>
    <w:rsid w:val="00757E08"/>
    <w:rsid w:val="00760434"/>
    <w:rsid w:val="00760CC1"/>
    <w:rsid w:val="00760E5B"/>
    <w:rsid w:val="0076137D"/>
    <w:rsid w:val="00761407"/>
    <w:rsid w:val="007617D2"/>
    <w:rsid w:val="007619EC"/>
    <w:rsid w:val="00761D50"/>
    <w:rsid w:val="00761E16"/>
    <w:rsid w:val="00761EEE"/>
    <w:rsid w:val="0076242A"/>
    <w:rsid w:val="00762910"/>
    <w:rsid w:val="0076293B"/>
    <w:rsid w:val="0076294C"/>
    <w:rsid w:val="00762A7C"/>
    <w:rsid w:val="00763214"/>
    <w:rsid w:val="007640E0"/>
    <w:rsid w:val="007642E3"/>
    <w:rsid w:val="00764357"/>
    <w:rsid w:val="00764538"/>
    <w:rsid w:val="00764681"/>
    <w:rsid w:val="00764B2B"/>
    <w:rsid w:val="00764EB6"/>
    <w:rsid w:val="0076527F"/>
    <w:rsid w:val="007653DA"/>
    <w:rsid w:val="00765656"/>
    <w:rsid w:val="00765746"/>
    <w:rsid w:val="0076589B"/>
    <w:rsid w:val="00765BFA"/>
    <w:rsid w:val="007660CA"/>
    <w:rsid w:val="007661EE"/>
    <w:rsid w:val="00766938"/>
    <w:rsid w:val="007669BB"/>
    <w:rsid w:val="00766C76"/>
    <w:rsid w:val="00767035"/>
    <w:rsid w:val="007678CF"/>
    <w:rsid w:val="00767F10"/>
    <w:rsid w:val="00770091"/>
    <w:rsid w:val="00770519"/>
    <w:rsid w:val="00770791"/>
    <w:rsid w:val="00770B9E"/>
    <w:rsid w:val="00770EAA"/>
    <w:rsid w:val="007711E0"/>
    <w:rsid w:val="007713C7"/>
    <w:rsid w:val="00771719"/>
    <w:rsid w:val="007717E0"/>
    <w:rsid w:val="00771830"/>
    <w:rsid w:val="007718EA"/>
    <w:rsid w:val="0077233A"/>
    <w:rsid w:val="0077273C"/>
    <w:rsid w:val="00772DEE"/>
    <w:rsid w:val="007731D3"/>
    <w:rsid w:val="0077325D"/>
    <w:rsid w:val="007734D0"/>
    <w:rsid w:val="00773739"/>
    <w:rsid w:val="00773792"/>
    <w:rsid w:val="00773A15"/>
    <w:rsid w:val="0077400E"/>
    <w:rsid w:val="00774631"/>
    <w:rsid w:val="00774BC5"/>
    <w:rsid w:val="00774D02"/>
    <w:rsid w:val="007752D9"/>
    <w:rsid w:val="00776426"/>
    <w:rsid w:val="00776984"/>
    <w:rsid w:val="00776AED"/>
    <w:rsid w:val="007771B0"/>
    <w:rsid w:val="007771FA"/>
    <w:rsid w:val="00777534"/>
    <w:rsid w:val="00777B5F"/>
    <w:rsid w:val="00777FE7"/>
    <w:rsid w:val="00780511"/>
    <w:rsid w:val="007806FA"/>
    <w:rsid w:val="0078090B"/>
    <w:rsid w:val="00780964"/>
    <w:rsid w:val="00780BF4"/>
    <w:rsid w:val="00781161"/>
    <w:rsid w:val="007818A9"/>
    <w:rsid w:val="0078191D"/>
    <w:rsid w:val="00781A59"/>
    <w:rsid w:val="00781DB6"/>
    <w:rsid w:val="00781F32"/>
    <w:rsid w:val="00781F97"/>
    <w:rsid w:val="00782424"/>
    <w:rsid w:val="00782D37"/>
    <w:rsid w:val="00783030"/>
    <w:rsid w:val="007831E6"/>
    <w:rsid w:val="00783648"/>
    <w:rsid w:val="00783774"/>
    <w:rsid w:val="007838A0"/>
    <w:rsid w:val="007838D6"/>
    <w:rsid w:val="00784062"/>
    <w:rsid w:val="007841FA"/>
    <w:rsid w:val="00784563"/>
    <w:rsid w:val="0078465C"/>
    <w:rsid w:val="007848A4"/>
    <w:rsid w:val="00784AD9"/>
    <w:rsid w:val="00784BBD"/>
    <w:rsid w:val="00785310"/>
    <w:rsid w:val="0078590D"/>
    <w:rsid w:val="00785A0E"/>
    <w:rsid w:val="00785A15"/>
    <w:rsid w:val="00785F76"/>
    <w:rsid w:val="00786439"/>
    <w:rsid w:val="00786738"/>
    <w:rsid w:val="00786C4B"/>
    <w:rsid w:val="0078712F"/>
    <w:rsid w:val="00787319"/>
    <w:rsid w:val="0078742A"/>
    <w:rsid w:val="00787B49"/>
    <w:rsid w:val="00787D6F"/>
    <w:rsid w:val="00787EA4"/>
    <w:rsid w:val="00790341"/>
    <w:rsid w:val="0079036B"/>
    <w:rsid w:val="0079059C"/>
    <w:rsid w:val="00790ABE"/>
    <w:rsid w:val="00790D58"/>
    <w:rsid w:val="007914AB"/>
    <w:rsid w:val="007914C5"/>
    <w:rsid w:val="007917A1"/>
    <w:rsid w:val="00791B35"/>
    <w:rsid w:val="00791C3B"/>
    <w:rsid w:val="00791C77"/>
    <w:rsid w:val="007921CF"/>
    <w:rsid w:val="00792456"/>
    <w:rsid w:val="0079294B"/>
    <w:rsid w:val="007929A7"/>
    <w:rsid w:val="00792A66"/>
    <w:rsid w:val="00792C42"/>
    <w:rsid w:val="00792DC1"/>
    <w:rsid w:val="00793243"/>
    <w:rsid w:val="007933B1"/>
    <w:rsid w:val="007936D1"/>
    <w:rsid w:val="007938EF"/>
    <w:rsid w:val="00793A39"/>
    <w:rsid w:val="00793F79"/>
    <w:rsid w:val="007941EB"/>
    <w:rsid w:val="00794221"/>
    <w:rsid w:val="007946C8"/>
    <w:rsid w:val="007948EE"/>
    <w:rsid w:val="007949A9"/>
    <w:rsid w:val="00794BFE"/>
    <w:rsid w:val="00795EA8"/>
    <w:rsid w:val="00796139"/>
    <w:rsid w:val="00796313"/>
    <w:rsid w:val="007964FF"/>
    <w:rsid w:val="00796CCF"/>
    <w:rsid w:val="00797114"/>
    <w:rsid w:val="0079745A"/>
    <w:rsid w:val="007975CB"/>
    <w:rsid w:val="00797913"/>
    <w:rsid w:val="00797A7D"/>
    <w:rsid w:val="00797D03"/>
    <w:rsid w:val="00797FE5"/>
    <w:rsid w:val="007A0383"/>
    <w:rsid w:val="007A0AF8"/>
    <w:rsid w:val="007A0BD9"/>
    <w:rsid w:val="007A0F24"/>
    <w:rsid w:val="007A1462"/>
    <w:rsid w:val="007A14A2"/>
    <w:rsid w:val="007A14D4"/>
    <w:rsid w:val="007A14EE"/>
    <w:rsid w:val="007A15FC"/>
    <w:rsid w:val="007A18D5"/>
    <w:rsid w:val="007A18E7"/>
    <w:rsid w:val="007A194B"/>
    <w:rsid w:val="007A1995"/>
    <w:rsid w:val="007A1C10"/>
    <w:rsid w:val="007A1D60"/>
    <w:rsid w:val="007A1F4B"/>
    <w:rsid w:val="007A23A2"/>
    <w:rsid w:val="007A2994"/>
    <w:rsid w:val="007A2996"/>
    <w:rsid w:val="007A2CB6"/>
    <w:rsid w:val="007A2E22"/>
    <w:rsid w:val="007A2E43"/>
    <w:rsid w:val="007A2F4C"/>
    <w:rsid w:val="007A32C9"/>
    <w:rsid w:val="007A32D6"/>
    <w:rsid w:val="007A33EF"/>
    <w:rsid w:val="007A3A23"/>
    <w:rsid w:val="007A3AFD"/>
    <w:rsid w:val="007A3FC4"/>
    <w:rsid w:val="007A40A5"/>
    <w:rsid w:val="007A4418"/>
    <w:rsid w:val="007A472F"/>
    <w:rsid w:val="007A4751"/>
    <w:rsid w:val="007A4B9F"/>
    <w:rsid w:val="007A4E92"/>
    <w:rsid w:val="007A4F05"/>
    <w:rsid w:val="007A50CD"/>
    <w:rsid w:val="007A56B4"/>
    <w:rsid w:val="007A5716"/>
    <w:rsid w:val="007A6386"/>
    <w:rsid w:val="007A66F6"/>
    <w:rsid w:val="007A6700"/>
    <w:rsid w:val="007A6BF6"/>
    <w:rsid w:val="007A711F"/>
    <w:rsid w:val="007A79BF"/>
    <w:rsid w:val="007A7BB0"/>
    <w:rsid w:val="007B025C"/>
    <w:rsid w:val="007B0275"/>
    <w:rsid w:val="007B0294"/>
    <w:rsid w:val="007B0302"/>
    <w:rsid w:val="007B0320"/>
    <w:rsid w:val="007B0474"/>
    <w:rsid w:val="007B088A"/>
    <w:rsid w:val="007B0DA4"/>
    <w:rsid w:val="007B0EC0"/>
    <w:rsid w:val="007B0FC2"/>
    <w:rsid w:val="007B0FC8"/>
    <w:rsid w:val="007B1191"/>
    <w:rsid w:val="007B145E"/>
    <w:rsid w:val="007B190B"/>
    <w:rsid w:val="007B261D"/>
    <w:rsid w:val="007B2BEC"/>
    <w:rsid w:val="007B2C04"/>
    <w:rsid w:val="007B2C30"/>
    <w:rsid w:val="007B3174"/>
    <w:rsid w:val="007B3288"/>
    <w:rsid w:val="007B3335"/>
    <w:rsid w:val="007B3393"/>
    <w:rsid w:val="007B34D9"/>
    <w:rsid w:val="007B3681"/>
    <w:rsid w:val="007B3757"/>
    <w:rsid w:val="007B37E6"/>
    <w:rsid w:val="007B37F7"/>
    <w:rsid w:val="007B3BFB"/>
    <w:rsid w:val="007B3D40"/>
    <w:rsid w:val="007B40B5"/>
    <w:rsid w:val="007B4147"/>
    <w:rsid w:val="007B41CB"/>
    <w:rsid w:val="007B4948"/>
    <w:rsid w:val="007B4A40"/>
    <w:rsid w:val="007B4DE5"/>
    <w:rsid w:val="007B4DFA"/>
    <w:rsid w:val="007B4F1E"/>
    <w:rsid w:val="007B4F71"/>
    <w:rsid w:val="007B5223"/>
    <w:rsid w:val="007B5521"/>
    <w:rsid w:val="007B58D9"/>
    <w:rsid w:val="007B5A50"/>
    <w:rsid w:val="007B5C9F"/>
    <w:rsid w:val="007B6305"/>
    <w:rsid w:val="007B6371"/>
    <w:rsid w:val="007B64D7"/>
    <w:rsid w:val="007B6D49"/>
    <w:rsid w:val="007B73E0"/>
    <w:rsid w:val="007B78B7"/>
    <w:rsid w:val="007B795B"/>
    <w:rsid w:val="007B795E"/>
    <w:rsid w:val="007B79E3"/>
    <w:rsid w:val="007B7B07"/>
    <w:rsid w:val="007B7B15"/>
    <w:rsid w:val="007BB327"/>
    <w:rsid w:val="007C01FF"/>
    <w:rsid w:val="007C0374"/>
    <w:rsid w:val="007C0904"/>
    <w:rsid w:val="007C116B"/>
    <w:rsid w:val="007C118C"/>
    <w:rsid w:val="007C1362"/>
    <w:rsid w:val="007C1712"/>
    <w:rsid w:val="007C1B68"/>
    <w:rsid w:val="007C1C82"/>
    <w:rsid w:val="007C1D2A"/>
    <w:rsid w:val="007C1E07"/>
    <w:rsid w:val="007C23DF"/>
    <w:rsid w:val="007C267E"/>
    <w:rsid w:val="007C2A89"/>
    <w:rsid w:val="007C2AB2"/>
    <w:rsid w:val="007C2EC2"/>
    <w:rsid w:val="007C311F"/>
    <w:rsid w:val="007C3375"/>
    <w:rsid w:val="007C338B"/>
    <w:rsid w:val="007C3721"/>
    <w:rsid w:val="007C3D67"/>
    <w:rsid w:val="007C3F56"/>
    <w:rsid w:val="007C4097"/>
    <w:rsid w:val="007C4680"/>
    <w:rsid w:val="007C480C"/>
    <w:rsid w:val="007C4D42"/>
    <w:rsid w:val="007C4E9B"/>
    <w:rsid w:val="007C4F02"/>
    <w:rsid w:val="007C4F46"/>
    <w:rsid w:val="007C57F5"/>
    <w:rsid w:val="007C58EF"/>
    <w:rsid w:val="007C5944"/>
    <w:rsid w:val="007C59FE"/>
    <w:rsid w:val="007C5C50"/>
    <w:rsid w:val="007C5DF4"/>
    <w:rsid w:val="007C609F"/>
    <w:rsid w:val="007C60CA"/>
    <w:rsid w:val="007C620B"/>
    <w:rsid w:val="007C6880"/>
    <w:rsid w:val="007C6945"/>
    <w:rsid w:val="007C6B7D"/>
    <w:rsid w:val="007C703C"/>
    <w:rsid w:val="007C7098"/>
    <w:rsid w:val="007C70EC"/>
    <w:rsid w:val="007C73F0"/>
    <w:rsid w:val="007C78CB"/>
    <w:rsid w:val="007C7F79"/>
    <w:rsid w:val="007D019B"/>
    <w:rsid w:val="007D0704"/>
    <w:rsid w:val="007D078F"/>
    <w:rsid w:val="007D07BF"/>
    <w:rsid w:val="007D1373"/>
    <w:rsid w:val="007D175D"/>
    <w:rsid w:val="007D19DB"/>
    <w:rsid w:val="007D1D25"/>
    <w:rsid w:val="007D1F25"/>
    <w:rsid w:val="007D2112"/>
    <w:rsid w:val="007D214E"/>
    <w:rsid w:val="007D2349"/>
    <w:rsid w:val="007D29F0"/>
    <w:rsid w:val="007D2B0E"/>
    <w:rsid w:val="007D319C"/>
    <w:rsid w:val="007D3262"/>
    <w:rsid w:val="007D3754"/>
    <w:rsid w:val="007D3B49"/>
    <w:rsid w:val="007D3F71"/>
    <w:rsid w:val="007D3F76"/>
    <w:rsid w:val="007D4208"/>
    <w:rsid w:val="007D42CA"/>
    <w:rsid w:val="007D42E7"/>
    <w:rsid w:val="007D4A1E"/>
    <w:rsid w:val="007D5370"/>
    <w:rsid w:val="007D53A3"/>
    <w:rsid w:val="007D540D"/>
    <w:rsid w:val="007D54F7"/>
    <w:rsid w:val="007D573F"/>
    <w:rsid w:val="007D57C0"/>
    <w:rsid w:val="007D59DB"/>
    <w:rsid w:val="007D5D9C"/>
    <w:rsid w:val="007D5E07"/>
    <w:rsid w:val="007D62ED"/>
    <w:rsid w:val="007D63BF"/>
    <w:rsid w:val="007D6885"/>
    <w:rsid w:val="007D6BC9"/>
    <w:rsid w:val="007D71A8"/>
    <w:rsid w:val="007D77CF"/>
    <w:rsid w:val="007D78C1"/>
    <w:rsid w:val="007D79DE"/>
    <w:rsid w:val="007E0234"/>
    <w:rsid w:val="007E042E"/>
    <w:rsid w:val="007E05C6"/>
    <w:rsid w:val="007E090E"/>
    <w:rsid w:val="007E0D19"/>
    <w:rsid w:val="007E1066"/>
    <w:rsid w:val="007E1786"/>
    <w:rsid w:val="007E1C82"/>
    <w:rsid w:val="007E1D12"/>
    <w:rsid w:val="007E20A8"/>
    <w:rsid w:val="007E220B"/>
    <w:rsid w:val="007E22D2"/>
    <w:rsid w:val="007E2472"/>
    <w:rsid w:val="007E2B26"/>
    <w:rsid w:val="007E2FFE"/>
    <w:rsid w:val="007E3A0F"/>
    <w:rsid w:val="007E3B83"/>
    <w:rsid w:val="007E3FA5"/>
    <w:rsid w:val="007E42C9"/>
    <w:rsid w:val="007E42DA"/>
    <w:rsid w:val="007E43B9"/>
    <w:rsid w:val="007E471A"/>
    <w:rsid w:val="007E48E1"/>
    <w:rsid w:val="007E4B69"/>
    <w:rsid w:val="007E4BF5"/>
    <w:rsid w:val="007E5363"/>
    <w:rsid w:val="007E58FE"/>
    <w:rsid w:val="007E5A9A"/>
    <w:rsid w:val="007E5B9C"/>
    <w:rsid w:val="007E6A1F"/>
    <w:rsid w:val="007E6AD5"/>
    <w:rsid w:val="007E6F93"/>
    <w:rsid w:val="007E6FB9"/>
    <w:rsid w:val="007E7053"/>
    <w:rsid w:val="007E72FF"/>
    <w:rsid w:val="007E743E"/>
    <w:rsid w:val="007E7444"/>
    <w:rsid w:val="007E7506"/>
    <w:rsid w:val="007F00BC"/>
    <w:rsid w:val="007F01DF"/>
    <w:rsid w:val="007F0284"/>
    <w:rsid w:val="007F03E0"/>
    <w:rsid w:val="007F04B7"/>
    <w:rsid w:val="007F0603"/>
    <w:rsid w:val="007F0BE2"/>
    <w:rsid w:val="007F0D76"/>
    <w:rsid w:val="007F11B1"/>
    <w:rsid w:val="007F1240"/>
    <w:rsid w:val="007F16AD"/>
    <w:rsid w:val="007F1757"/>
    <w:rsid w:val="007F1913"/>
    <w:rsid w:val="007F1D3B"/>
    <w:rsid w:val="007F206F"/>
    <w:rsid w:val="007F23BC"/>
    <w:rsid w:val="007F276F"/>
    <w:rsid w:val="007F2890"/>
    <w:rsid w:val="007F2B88"/>
    <w:rsid w:val="007F2BE4"/>
    <w:rsid w:val="007F2E69"/>
    <w:rsid w:val="007F2EA7"/>
    <w:rsid w:val="007F2EE5"/>
    <w:rsid w:val="007F3339"/>
    <w:rsid w:val="007F3348"/>
    <w:rsid w:val="007F340C"/>
    <w:rsid w:val="007F351D"/>
    <w:rsid w:val="007F3AC6"/>
    <w:rsid w:val="007F3C68"/>
    <w:rsid w:val="007F3D1D"/>
    <w:rsid w:val="007F3F9D"/>
    <w:rsid w:val="007F4198"/>
    <w:rsid w:val="007F46CA"/>
    <w:rsid w:val="007F48A2"/>
    <w:rsid w:val="007F49E8"/>
    <w:rsid w:val="007F4B3A"/>
    <w:rsid w:val="007F5BAC"/>
    <w:rsid w:val="007F5BF7"/>
    <w:rsid w:val="007F5F52"/>
    <w:rsid w:val="007F600C"/>
    <w:rsid w:val="007F601E"/>
    <w:rsid w:val="007F6B9B"/>
    <w:rsid w:val="007F6C15"/>
    <w:rsid w:val="007F6D9D"/>
    <w:rsid w:val="007F7079"/>
    <w:rsid w:val="007F70A6"/>
    <w:rsid w:val="007F7168"/>
    <w:rsid w:val="007F7176"/>
    <w:rsid w:val="007F73B3"/>
    <w:rsid w:val="007F7465"/>
    <w:rsid w:val="007F789B"/>
    <w:rsid w:val="007F7902"/>
    <w:rsid w:val="007F797B"/>
    <w:rsid w:val="007F7B52"/>
    <w:rsid w:val="007F7FCF"/>
    <w:rsid w:val="00800273"/>
    <w:rsid w:val="00800299"/>
    <w:rsid w:val="00800408"/>
    <w:rsid w:val="008004F4"/>
    <w:rsid w:val="00800A06"/>
    <w:rsid w:val="00800F74"/>
    <w:rsid w:val="00801550"/>
    <w:rsid w:val="00801865"/>
    <w:rsid w:val="008019B6"/>
    <w:rsid w:val="00801D0F"/>
    <w:rsid w:val="00801D74"/>
    <w:rsid w:val="00801E5C"/>
    <w:rsid w:val="008024B5"/>
    <w:rsid w:val="008024BC"/>
    <w:rsid w:val="00802625"/>
    <w:rsid w:val="008029CF"/>
    <w:rsid w:val="00802C4B"/>
    <w:rsid w:val="00802C68"/>
    <w:rsid w:val="0080329A"/>
    <w:rsid w:val="00803637"/>
    <w:rsid w:val="0080426F"/>
    <w:rsid w:val="008043B0"/>
    <w:rsid w:val="0080453D"/>
    <w:rsid w:val="00804DB7"/>
    <w:rsid w:val="00804DBD"/>
    <w:rsid w:val="00804EFB"/>
    <w:rsid w:val="0080532A"/>
    <w:rsid w:val="0080564D"/>
    <w:rsid w:val="00805B27"/>
    <w:rsid w:val="00805D96"/>
    <w:rsid w:val="00806143"/>
    <w:rsid w:val="008064B3"/>
    <w:rsid w:val="008067B2"/>
    <w:rsid w:val="008067E5"/>
    <w:rsid w:val="00807325"/>
    <w:rsid w:val="00807B5A"/>
    <w:rsid w:val="00807CCF"/>
    <w:rsid w:val="00810942"/>
    <w:rsid w:val="00810AA4"/>
    <w:rsid w:val="00810D36"/>
    <w:rsid w:val="00810D4D"/>
    <w:rsid w:val="00810EC3"/>
    <w:rsid w:val="008114F9"/>
    <w:rsid w:val="00811688"/>
    <w:rsid w:val="00811ADD"/>
    <w:rsid w:val="00811C9A"/>
    <w:rsid w:val="00811D1E"/>
    <w:rsid w:val="00811D2E"/>
    <w:rsid w:val="00811FE1"/>
    <w:rsid w:val="00812321"/>
    <w:rsid w:val="008125CC"/>
    <w:rsid w:val="008129CA"/>
    <w:rsid w:val="00812B16"/>
    <w:rsid w:val="00812B63"/>
    <w:rsid w:val="00812D19"/>
    <w:rsid w:val="008130B1"/>
    <w:rsid w:val="00813191"/>
    <w:rsid w:val="00813196"/>
    <w:rsid w:val="00813426"/>
    <w:rsid w:val="008136BF"/>
    <w:rsid w:val="008139E4"/>
    <w:rsid w:val="00813AD8"/>
    <w:rsid w:val="00813D02"/>
    <w:rsid w:val="008143B5"/>
    <w:rsid w:val="0081448F"/>
    <w:rsid w:val="00814776"/>
    <w:rsid w:val="00814842"/>
    <w:rsid w:val="00814C2B"/>
    <w:rsid w:val="00815684"/>
    <w:rsid w:val="00815784"/>
    <w:rsid w:val="008162E4"/>
    <w:rsid w:val="00816639"/>
    <w:rsid w:val="0081668F"/>
    <w:rsid w:val="008168FB"/>
    <w:rsid w:val="00816B03"/>
    <w:rsid w:val="00816E90"/>
    <w:rsid w:val="0081742B"/>
    <w:rsid w:val="00817F0A"/>
    <w:rsid w:val="00817FAA"/>
    <w:rsid w:val="008201FF"/>
    <w:rsid w:val="0082031C"/>
    <w:rsid w:val="00820389"/>
    <w:rsid w:val="0082100A"/>
    <w:rsid w:val="008213CA"/>
    <w:rsid w:val="00821695"/>
    <w:rsid w:val="00821847"/>
    <w:rsid w:val="00821F2E"/>
    <w:rsid w:val="00822471"/>
    <w:rsid w:val="008224C1"/>
    <w:rsid w:val="008225FB"/>
    <w:rsid w:val="0082260A"/>
    <w:rsid w:val="00822A19"/>
    <w:rsid w:val="00822D19"/>
    <w:rsid w:val="00822EE0"/>
    <w:rsid w:val="00822F9B"/>
    <w:rsid w:val="0082306A"/>
    <w:rsid w:val="00823160"/>
    <w:rsid w:val="00823D4C"/>
    <w:rsid w:val="00824055"/>
    <w:rsid w:val="00824280"/>
    <w:rsid w:val="0082438F"/>
    <w:rsid w:val="0082461D"/>
    <w:rsid w:val="00824712"/>
    <w:rsid w:val="00824B65"/>
    <w:rsid w:val="00824BAC"/>
    <w:rsid w:val="00824ED2"/>
    <w:rsid w:val="00824F17"/>
    <w:rsid w:val="00824FA8"/>
    <w:rsid w:val="00824FC1"/>
    <w:rsid w:val="008253F2"/>
    <w:rsid w:val="008255C2"/>
    <w:rsid w:val="00825878"/>
    <w:rsid w:val="00825E21"/>
    <w:rsid w:val="00825FAD"/>
    <w:rsid w:val="00826410"/>
    <w:rsid w:val="008265AD"/>
    <w:rsid w:val="008266C2"/>
    <w:rsid w:val="008269B1"/>
    <w:rsid w:val="00826BAB"/>
    <w:rsid w:val="008276B6"/>
    <w:rsid w:val="00827FBC"/>
    <w:rsid w:val="00830044"/>
    <w:rsid w:val="00830112"/>
    <w:rsid w:val="00830675"/>
    <w:rsid w:val="008306D8"/>
    <w:rsid w:val="00830CE4"/>
    <w:rsid w:val="00831050"/>
    <w:rsid w:val="008311C9"/>
    <w:rsid w:val="0083126E"/>
    <w:rsid w:val="0083188D"/>
    <w:rsid w:val="00831B28"/>
    <w:rsid w:val="00831C50"/>
    <w:rsid w:val="00831FB5"/>
    <w:rsid w:val="0083237A"/>
    <w:rsid w:val="00832584"/>
    <w:rsid w:val="00832650"/>
    <w:rsid w:val="00832C61"/>
    <w:rsid w:val="00833247"/>
    <w:rsid w:val="00833538"/>
    <w:rsid w:val="00833799"/>
    <w:rsid w:val="0083382A"/>
    <w:rsid w:val="00833837"/>
    <w:rsid w:val="00833CB4"/>
    <w:rsid w:val="00833E73"/>
    <w:rsid w:val="00834303"/>
    <w:rsid w:val="00834358"/>
    <w:rsid w:val="00834C96"/>
    <w:rsid w:val="008356FE"/>
    <w:rsid w:val="00835EFD"/>
    <w:rsid w:val="00835F8A"/>
    <w:rsid w:val="00836423"/>
    <w:rsid w:val="00836450"/>
    <w:rsid w:val="008365BC"/>
    <w:rsid w:val="00836AF0"/>
    <w:rsid w:val="00836C9F"/>
    <w:rsid w:val="00836E2D"/>
    <w:rsid w:val="00836F01"/>
    <w:rsid w:val="0083703F"/>
    <w:rsid w:val="008370B6"/>
    <w:rsid w:val="008371C6"/>
    <w:rsid w:val="008374A7"/>
    <w:rsid w:val="00837D4B"/>
    <w:rsid w:val="00837E79"/>
    <w:rsid w:val="00840245"/>
    <w:rsid w:val="0084058B"/>
    <w:rsid w:val="00840D97"/>
    <w:rsid w:val="008411CA"/>
    <w:rsid w:val="00841252"/>
    <w:rsid w:val="0084151F"/>
    <w:rsid w:val="00841A44"/>
    <w:rsid w:val="00841AD4"/>
    <w:rsid w:val="00841E64"/>
    <w:rsid w:val="00842AD2"/>
    <w:rsid w:val="00842F35"/>
    <w:rsid w:val="00843280"/>
    <w:rsid w:val="0084336A"/>
    <w:rsid w:val="0084399A"/>
    <w:rsid w:val="008439F6"/>
    <w:rsid w:val="00843DBF"/>
    <w:rsid w:val="00844305"/>
    <w:rsid w:val="00844AC9"/>
    <w:rsid w:val="00844B91"/>
    <w:rsid w:val="00844DA2"/>
    <w:rsid w:val="008450B0"/>
    <w:rsid w:val="00845255"/>
    <w:rsid w:val="00845963"/>
    <w:rsid w:val="00846369"/>
    <w:rsid w:val="0084695E"/>
    <w:rsid w:val="00846CD3"/>
    <w:rsid w:val="00846DD9"/>
    <w:rsid w:val="008472D4"/>
    <w:rsid w:val="00847E85"/>
    <w:rsid w:val="0084D5BC"/>
    <w:rsid w:val="0085021C"/>
    <w:rsid w:val="0085022B"/>
    <w:rsid w:val="00850354"/>
    <w:rsid w:val="008504A8"/>
    <w:rsid w:val="00850D63"/>
    <w:rsid w:val="00851064"/>
    <w:rsid w:val="008514E9"/>
    <w:rsid w:val="0085163D"/>
    <w:rsid w:val="008520E0"/>
    <w:rsid w:val="00852541"/>
    <w:rsid w:val="0085268A"/>
    <w:rsid w:val="008526F8"/>
    <w:rsid w:val="00852821"/>
    <w:rsid w:val="00852849"/>
    <w:rsid w:val="00852914"/>
    <w:rsid w:val="00852942"/>
    <w:rsid w:val="00852A42"/>
    <w:rsid w:val="00852C30"/>
    <w:rsid w:val="00853EAC"/>
    <w:rsid w:val="00854715"/>
    <w:rsid w:val="00854752"/>
    <w:rsid w:val="00854E40"/>
    <w:rsid w:val="00854E86"/>
    <w:rsid w:val="0085525A"/>
    <w:rsid w:val="0085558A"/>
    <w:rsid w:val="0085597F"/>
    <w:rsid w:val="00855B50"/>
    <w:rsid w:val="00855E44"/>
    <w:rsid w:val="008562DA"/>
    <w:rsid w:val="0085634F"/>
    <w:rsid w:val="008569B9"/>
    <w:rsid w:val="00856E0C"/>
    <w:rsid w:val="00857008"/>
    <w:rsid w:val="008571DC"/>
    <w:rsid w:val="00857292"/>
    <w:rsid w:val="00857CB7"/>
    <w:rsid w:val="00857DF4"/>
    <w:rsid w:val="00860027"/>
    <w:rsid w:val="008600A5"/>
    <w:rsid w:val="00860342"/>
    <w:rsid w:val="0086098E"/>
    <w:rsid w:val="00860D1B"/>
    <w:rsid w:val="00860FA0"/>
    <w:rsid w:val="0086137C"/>
    <w:rsid w:val="008615CF"/>
    <w:rsid w:val="008621D0"/>
    <w:rsid w:val="008622F9"/>
    <w:rsid w:val="00862350"/>
    <w:rsid w:val="00862825"/>
    <w:rsid w:val="008628D1"/>
    <w:rsid w:val="008636B6"/>
    <w:rsid w:val="00863DBD"/>
    <w:rsid w:val="00863F81"/>
    <w:rsid w:val="00864168"/>
    <w:rsid w:val="00864247"/>
    <w:rsid w:val="008644F4"/>
    <w:rsid w:val="00864A59"/>
    <w:rsid w:val="00864D13"/>
    <w:rsid w:val="00864D72"/>
    <w:rsid w:val="00864E9C"/>
    <w:rsid w:val="00865395"/>
    <w:rsid w:val="0086546B"/>
    <w:rsid w:val="008659FD"/>
    <w:rsid w:val="00865DD3"/>
    <w:rsid w:val="00865E31"/>
    <w:rsid w:val="00865FFE"/>
    <w:rsid w:val="008663E7"/>
    <w:rsid w:val="0086662D"/>
    <w:rsid w:val="008667AE"/>
    <w:rsid w:val="00866A8D"/>
    <w:rsid w:val="00866B24"/>
    <w:rsid w:val="00866CCC"/>
    <w:rsid w:val="00866FC3"/>
    <w:rsid w:val="00870082"/>
    <w:rsid w:val="0087023F"/>
    <w:rsid w:val="008705F6"/>
    <w:rsid w:val="00870896"/>
    <w:rsid w:val="008709A0"/>
    <w:rsid w:val="008711E7"/>
    <w:rsid w:val="00871583"/>
    <w:rsid w:val="00871792"/>
    <w:rsid w:val="00871DB8"/>
    <w:rsid w:val="00871F24"/>
    <w:rsid w:val="00872212"/>
    <w:rsid w:val="008724B5"/>
    <w:rsid w:val="00872888"/>
    <w:rsid w:val="00872AC5"/>
    <w:rsid w:val="00872D9A"/>
    <w:rsid w:val="00872FA4"/>
    <w:rsid w:val="008730ED"/>
    <w:rsid w:val="00873863"/>
    <w:rsid w:val="00873B4E"/>
    <w:rsid w:val="00873E7B"/>
    <w:rsid w:val="00873EAE"/>
    <w:rsid w:val="00874240"/>
    <w:rsid w:val="0087466B"/>
    <w:rsid w:val="008747AB"/>
    <w:rsid w:val="00874DBD"/>
    <w:rsid w:val="00874E19"/>
    <w:rsid w:val="008752A7"/>
    <w:rsid w:val="00875427"/>
    <w:rsid w:val="008756F5"/>
    <w:rsid w:val="00875E1D"/>
    <w:rsid w:val="00875FA0"/>
    <w:rsid w:val="008762B3"/>
    <w:rsid w:val="0087637C"/>
    <w:rsid w:val="008763B3"/>
    <w:rsid w:val="00876900"/>
    <w:rsid w:val="00876A1A"/>
    <w:rsid w:val="00876C45"/>
    <w:rsid w:val="00877056"/>
    <w:rsid w:val="008773E7"/>
    <w:rsid w:val="008774E5"/>
    <w:rsid w:val="0087768D"/>
    <w:rsid w:val="008776A4"/>
    <w:rsid w:val="00877900"/>
    <w:rsid w:val="00877E81"/>
    <w:rsid w:val="00877F7D"/>
    <w:rsid w:val="00877FDC"/>
    <w:rsid w:val="00880156"/>
    <w:rsid w:val="0088029B"/>
    <w:rsid w:val="0088097A"/>
    <w:rsid w:val="00881345"/>
    <w:rsid w:val="00881494"/>
    <w:rsid w:val="008815F4"/>
    <w:rsid w:val="008817A5"/>
    <w:rsid w:val="00881996"/>
    <w:rsid w:val="008819FA"/>
    <w:rsid w:val="00881AB0"/>
    <w:rsid w:val="00881B18"/>
    <w:rsid w:val="00882401"/>
    <w:rsid w:val="008824D8"/>
    <w:rsid w:val="00882825"/>
    <w:rsid w:val="008828FF"/>
    <w:rsid w:val="00882A75"/>
    <w:rsid w:val="00882A8D"/>
    <w:rsid w:val="00882B65"/>
    <w:rsid w:val="00883525"/>
    <w:rsid w:val="008837B5"/>
    <w:rsid w:val="008837E2"/>
    <w:rsid w:val="00883D84"/>
    <w:rsid w:val="00883E93"/>
    <w:rsid w:val="008840E4"/>
    <w:rsid w:val="00884153"/>
    <w:rsid w:val="00884232"/>
    <w:rsid w:val="0088446F"/>
    <w:rsid w:val="00884474"/>
    <w:rsid w:val="008845B9"/>
    <w:rsid w:val="00884AA0"/>
    <w:rsid w:val="00884B1E"/>
    <w:rsid w:val="00884C80"/>
    <w:rsid w:val="00884C8E"/>
    <w:rsid w:val="00884D46"/>
    <w:rsid w:val="00884F74"/>
    <w:rsid w:val="00885266"/>
    <w:rsid w:val="008854AB"/>
    <w:rsid w:val="00885E41"/>
    <w:rsid w:val="008860D8"/>
    <w:rsid w:val="00886586"/>
    <w:rsid w:val="00886D36"/>
    <w:rsid w:val="00887099"/>
    <w:rsid w:val="008876D6"/>
    <w:rsid w:val="008878A2"/>
    <w:rsid w:val="00890066"/>
    <w:rsid w:val="008903A1"/>
    <w:rsid w:val="008905EF"/>
    <w:rsid w:val="00890829"/>
    <w:rsid w:val="00890E06"/>
    <w:rsid w:val="00890F61"/>
    <w:rsid w:val="0089117D"/>
    <w:rsid w:val="00891550"/>
    <w:rsid w:val="0089166B"/>
    <w:rsid w:val="00891933"/>
    <w:rsid w:val="00891B43"/>
    <w:rsid w:val="00891BAF"/>
    <w:rsid w:val="00891DF1"/>
    <w:rsid w:val="008927C6"/>
    <w:rsid w:val="0089294D"/>
    <w:rsid w:val="0089326F"/>
    <w:rsid w:val="0089342A"/>
    <w:rsid w:val="00893466"/>
    <w:rsid w:val="00893E0D"/>
    <w:rsid w:val="00893EF0"/>
    <w:rsid w:val="00893FB9"/>
    <w:rsid w:val="00894201"/>
    <w:rsid w:val="0089422C"/>
    <w:rsid w:val="008944EC"/>
    <w:rsid w:val="00894A30"/>
    <w:rsid w:val="00894CF3"/>
    <w:rsid w:val="0089520F"/>
    <w:rsid w:val="00895913"/>
    <w:rsid w:val="008959DD"/>
    <w:rsid w:val="00895BAC"/>
    <w:rsid w:val="00895CE7"/>
    <w:rsid w:val="00895D70"/>
    <w:rsid w:val="00895E45"/>
    <w:rsid w:val="00895EE6"/>
    <w:rsid w:val="008969CF"/>
    <w:rsid w:val="00896A76"/>
    <w:rsid w:val="00896B31"/>
    <w:rsid w:val="00896BE0"/>
    <w:rsid w:val="00896C97"/>
    <w:rsid w:val="00896CF8"/>
    <w:rsid w:val="00896D2F"/>
    <w:rsid w:val="00897332"/>
    <w:rsid w:val="00897394"/>
    <w:rsid w:val="00897457"/>
    <w:rsid w:val="00897CC1"/>
    <w:rsid w:val="00897CD3"/>
    <w:rsid w:val="00897F42"/>
    <w:rsid w:val="008A015B"/>
    <w:rsid w:val="008A044A"/>
    <w:rsid w:val="008A0471"/>
    <w:rsid w:val="008A063B"/>
    <w:rsid w:val="008A0742"/>
    <w:rsid w:val="008A07F1"/>
    <w:rsid w:val="008A0AA1"/>
    <w:rsid w:val="008A0BAF"/>
    <w:rsid w:val="008A0E40"/>
    <w:rsid w:val="008A16C0"/>
    <w:rsid w:val="008A1AE1"/>
    <w:rsid w:val="008A1E27"/>
    <w:rsid w:val="008A222E"/>
    <w:rsid w:val="008A24A6"/>
    <w:rsid w:val="008A2641"/>
    <w:rsid w:val="008A2A08"/>
    <w:rsid w:val="008A2D3A"/>
    <w:rsid w:val="008A373D"/>
    <w:rsid w:val="008A3BAD"/>
    <w:rsid w:val="008A3F80"/>
    <w:rsid w:val="008A4E89"/>
    <w:rsid w:val="008A5180"/>
    <w:rsid w:val="008A55E2"/>
    <w:rsid w:val="008A569B"/>
    <w:rsid w:val="008A5720"/>
    <w:rsid w:val="008A5773"/>
    <w:rsid w:val="008A5E44"/>
    <w:rsid w:val="008A62B1"/>
    <w:rsid w:val="008A67EC"/>
    <w:rsid w:val="008A67EF"/>
    <w:rsid w:val="008A689E"/>
    <w:rsid w:val="008A68D1"/>
    <w:rsid w:val="008A68FA"/>
    <w:rsid w:val="008A6AA4"/>
    <w:rsid w:val="008A6B27"/>
    <w:rsid w:val="008A6D85"/>
    <w:rsid w:val="008A6E0B"/>
    <w:rsid w:val="008A729B"/>
    <w:rsid w:val="008A76A2"/>
    <w:rsid w:val="008A778A"/>
    <w:rsid w:val="008A790D"/>
    <w:rsid w:val="008A7EA3"/>
    <w:rsid w:val="008A7F8D"/>
    <w:rsid w:val="008B04CF"/>
    <w:rsid w:val="008B0E16"/>
    <w:rsid w:val="008B0FF6"/>
    <w:rsid w:val="008B1128"/>
    <w:rsid w:val="008B168E"/>
    <w:rsid w:val="008B1737"/>
    <w:rsid w:val="008B184A"/>
    <w:rsid w:val="008B1F6B"/>
    <w:rsid w:val="008B26D0"/>
    <w:rsid w:val="008B2AD5"/>
    <w:rsid w:val="008B2CB7"/>
    <w:rsid w:val="008B2E5D"/>
    <w:rsid w:val="008B3017"/>
    <w:rsid w:val="008B30E9"/>
    <w:rsid w:val="008B35D7"/>
    <w:rsid w:val="008B37AF"/>
    <w:rsid w:val="008B3BBE"/>
    <w:rsid w:val="008B3E4C"/>
    <w:rsid w:val="008B4219"/>
    <w:rsid w:val="008B42FF"/>
    <w:rsid w:val="008B4603"/>
    <w:rsid w:val="008B4605"/>
    <w:rsid w:val="008B474C"/>
    <w:rsid w:val="008B4784"/>
    <w:rsid w:val="008B48F4"/>
    <w:rsid w:val="008B49FE"/>
    <w:rsid w:val="008B4B74"/>
    <w:rsid w:val="008B56F6"/>
    <w:rsid w:val="008B5796"/>
    <w:rsid w:val="008B5B3A"/>
    <w:rsid w:val="008B5CE0"/>
    <w:rsid w:val="008B5EBB"/>
    <w:rsid w:val="008B6083"/>
    <w:rsid w:val="008B63A6"/>
    <w:rsid w:val="008B64AD"/>
    <w:rsid w:val="008B71F5"/>
    <w:rsid w:val="008B76AC"/>
    <w:rsid w:val="008B76BB"/>
    <w:rsid w:val="008B7EA2"/>
    <w:rsid w:val="008C05B5"/>
    <w:rsid w:val="008C071B"/>
    <w:rsid w:val="008C077A"/>
    <w:rsid w:val="008C0AA3"/>
    <w:rsid w:val="008C1485"/>
    <w:rsid w:val="008C1611"/>
    <w:rsid w:val="008C1634"/>
    <w:rsid w:val="008C1AC6"/>
    <w:rsid w:val="008C1BDB"/>
    <w:rsid w:val="008C1BEF"/>
    <w:rsid w:val="008C24F9"/>
    <w:rsid w:val="008C2825"/>
    <w:rsid w:val="008C2B5E"/>
    <w:rsid w:val="008C2DA5"/>
    <w:rsid w:val="008C2FB5"/>
    <w:rsid w:val="008C301D"/>
    <w:rsid w:val="008C3C29"/>
    <w:rsid w:val="008C41F3"/>
    <w:rsid w:val="008C43FB"/>
    <w:rsid w:val="008C4465"/>
    <w:rsid w:val="008C45FF"/>
    <w:rsid w:val="008C47CF"/>
    <w:rsid w:val="008C4E1E"/>
    <w:rsid w:val="008C58CD"/>
    <w:rsid w:val="008C58DB"/>
    <w:rsid w:val="008C5DAA"/>
    <w:rsid w:val="008C6585"/>
    <w:rsid w:val="008C667F"/>
    <w:rsid w:val="008C67D6"/>
    <w:rsid w:val="008C69C2"/>
    <w:rsid w:val="008C6BB5"/>
    <w:rsid w:val="008C7528"/>
    <w:rsid w:val="008C75C5"/>
    <w:rsid w:val="008C7936"/>
    <w:rsid w:val="008C7B5F"/>
    <w:rsid w:val="008C7D75"/>
    <w:rsid w:val="008C7EEC"/>
    <w:rsid w:val="008D038D"/>
    <w:rsid w:val="008D075E"/>
    <w:rsid w:val="008D0A20"/>
    <w:rsid w:val="008D0A42"/>
    <w:rsid w:val="008D0C0D"/>
    <w:rsid w:val="008D0FC4"/>
    <w:rsid w:val="008D10DC"/>
    <w:rsid w:val="008D2580"/>
    <w:rsid w:val="008D2693"/>
    <w:rsid w:val="008D2928"/>
    <w:rsid w:val="008D2D0D"/>
    <w:rsid w:val="008D305E"/>
    <w:rsid w:val="008D326F"/>
    <w:rsid w:val="008D3410"/>
    <w:rsid w:val="008D3905"/>
    <w:rsid w:val="008D3A0D"/>
    <w:rsid w:val="008D3E94"/>
    <w:rsid w:val="008D41BB"/>
    <w:rsid w:val="008D42F2"/>
    <w:rsid w:val="008D4592"/>
    <w:rsid w:val="008D4646"/>
    <w:rsid w:val="008D464E"/>
    <w:rsid w:val="008D480B"/>
    <w:rsid w:val="008D4833"/>
    <w:rsid w:val="008D488A"/>
    <w:rsid w:val="008D4928"/>
    <w:rsid w:val="008D49FC"/>
    <w:rsid w:val="008D4A32"/>
    <w:rsid w:val="008D4EC7"/>
    <w:rsid w:val="008D5548"/>
    <w:rsid w:val="008D560D"/>
    <w:rsid w:val="008D5707"/>
    <w:rsid w:val="008D5AE5"/>
    <w:rsid w:val="008D5BC2"/>
    <w:rsid w:val="008D5CFA"/>
    <w:rsid w:val="008D6090"/>
    <w:rsid w:val="008D632A"/>
    <w:rsid w:val="008D6347"/>
    <w:rsid w:val="008D6399"/>
    <w:rsid w:val="008D6429"/>
    <w:rsid w:val="008D6536"/>
    <w:rsid w:val="008D6931"/>
    <w:rsid w:val="008D6961"/>
    <w:rsid w:val="008D6A3F"/>
    <w:rsid w:val="008D709F"/>
    <w:rsid w:val="008D74E1"/>
    <w:rsid w:val="008D7578"/>
    <w:rsid w:val="008D7686"/>
    <w:rsid w:val="008D78AC"/>
    <w:rsid w:val="008D7910"/>
    <w:rsid w:val="008D7DB9"/>
    <w:rsid w:val="008E04BF"/>
    <w:rsid w:val="008E06E2"/>
    <w:rsid w:val="008E0870"/>
    <w:rsid w:val="008E088D"/>
    <w:rsid w:val="008E0E7D"/>
    <w:rsid w:val="008E1450"/>
    <w:rsid w:val="008E16A5"/>
    <w:rsid w:val="008E2643"/>
    <w:rsid w:val="008E28A4"/>
    <w:rsid w:val="008E296F"/>
    <w:rsid w:val="008E2A7E"/>
    <w:rsid w:val="008E2B74"/>
    <w:rsid w:val="008E2D0F"/>
    <w:rsid w:val="008E3001"/>
    <w:rsid w:val="008E30FB"/>
    <w:rsid w:val="008E3AB0"/>
    <w:rsid w:val="008E45B2"/>
    <w:rsid w:val="008E47B3"/>
    <w:rsid w:val="008E4900"/>
    <w:rsid w:val="008E4C2B"/>
    <w:rsid w:val="008E56D4"/>
    <w:rsid w:val="008E58FC"/>
    <w:rsid w:val="008E6077"/>
    <w:rsid w:val="008E6325"/>
    <w:rsid w:val="008E6669"/>
    <w:rsid w:val="008E6703"/>
    <w:rsid w:val="008E6714"/>
    <w:rsid w:val="008E686A"/>
    <w:rsid w:val="008E6B9E"/>
    <w:rsid w:val="008E6CB1"/>
    <w:rsid w:val="008E6DDD"/>
    <w:rsid w:val="008E6E2E"/>
    <w:rsid w:val="008E74CD"/>
    <w:rsid w:val="008E762D"/>
    <w:rsid w:val="008E7709"/>
    <w:rsid w:val="008E7889"/>
    <w:rsid w:val="008E79F7"/>
    <w:rsid w:val="008E7A9E"/>
    <w:rsid w:val="008E7F21"/>
    <w:rsid w:val="008F0264"/>
    <w:rsid w:val="008F02B2"/>
    <w:rsid w:val="008F0ACA"/>
    <w:rsid w:val="008F0F31"/>
    <w:rsid w:val="008F0F85"/>
    <w:rsid w:val="008F1188"/>
    <w:rsid w:val="008F1242"/>
    <w:rsid w:val="008F153D"/>
    <w:rsid w:val="008F181B"/>
    <w:rsid w:val="008F1B60"/>
    <w:rsid w:val="008F1D51"/>
    <w:rsid w:val="008F2750"/>
    <w:rsid w:val="008F297F"/>
    <w:rsid w:val="008F32AE"/>
    <w:rsid w:val="008F34A3"/>
    <w:rsid w:val="008F3B25"/>
    <w:rsid w:val="008F3BDA"/>
    <w:rsid w:val="008F3CE8"/>
    <w:rsid w:val="008F3F7A"/>
    <w:rsid w:val="008F4A54"/>
    <w:rsid w:val="008F4B72"/>
    <w:rsid w:val="008F5831"/>
    <w:rsid w:val="008F59EF"/>
    <w:rsid w:val="008F5AA5"/>
    <w:rsid w:val="008F5B99"/>
    <w:rsid w:val="008F6396"/>
    <w:rsid w:val="008F66FE"/>
    <w:rsid w:val="008F6807"/>
    <w:rsid w:val="008F683E"/>
    <w:rsid w:val="008F6A38"/>
    <w:rsid w:val="008F6C4F"/>
    <w:rsid w:val="008F6CAA"/>
    <w:rsid w:val="008F6DC6"/>
    <w:rsid w:val="008F7112"/>
    <w:rsid w:val="008F714D"/>
    <w:rsid w:val="008F7170"/>
    <w:rsid w:val="008F7199"/>
    <w:rsid w:val="008F760A"/>
    <w:rsid w:val="008F767F"/>
    <w:rsid w:val="008F76D8"/>
    <w:rsid w:val="008F772E"/>
    <w:rsid w:val="008F7859"/>
    <w:rsid w:val="008F78A9"/>
    <w:rsid w:val="008F7A0E"/>
    <w:rsid w:val="008F7A88"/>
    <w:rsid w:val="008F7C1D"/>
    <w:rsid w:val="009001EB"/>
    <w:rsid w:val="00900504"/>
    <w:rsid w:val="0090074B"/>
    <w:rsid w:val="00900C7C"/>
    <w:rsid w:val="00900DBD"/>
    <w:rsid w:val="0090116C"/>
    <w:rsid w:val="00901215"/>
    <w:rsid w:val="00901CDE"/>
    <w:rsid w:val="00901DB5"/>
    <w:rsid w:val="00901EDA"/>
    <w:rsid w:val="009023FB"/>
    <w:rsid w:val="00902663"/>
    <w:rsid w:val="0090271F"/>
    <w:rsid w:val="00902D19"/>
    <w:rsid w:val="00902F96"/>
    <w:rsid w:val="0090307D"/>
    <w:rsid w:val="009030FD"/>
    <w:rsid w:val="009037B0"/>
    <w:rsid w:val="00904045"/>
    <w:rsid w:val="00904293"/>
    <w:rsid w:val="0090433F"/>
    <w:rsid w:val="00904417"/>
    <w:rsid w:val="00904CB8"/>
    <w:rsid w:val="009050AD"/>
    <w:rsid w:val="009051AF"/>
    <w:rsid w:val="00905299"/>
    <w:rsid w:val="0090573B"/>
    <w:rsid w:val="00905A1B"/>
    <w:rsid w:val="00905B6B"/>
    <w:rsid w:val="00905D64"/>
    <w:rsid w:val="00905D9F"/>
    <w:rsid w:val="00905FB8"/>
    <w:rsid w:val="009067EA"/>
    <w:rsid w:val="00906A14"/>
    <w:rsid w:val="00906A38"/>
    <w:rsid w:val="00906F4A"/>
    <w:rsid w:val="009072CF"/>
    <w:rsid w:val="00907435"/>
    <w:rsid w:val="00907AF0"/>
    <w:rsid w:val="00907B4F"/>
    <w:rsid w:val="00907C53"/>
    <w:rsid w:val="00910090"/>
    <w:rsid w:val="00910179"/>
    <w:rsid w:val="0091026E"/>
    <w:rsid w:val="009105AD"/>
    <w:rsid w:val="0091069E"/>
    <w:rsid w:val="009106FD"/>
    <w:rsid w:val="0091075D"/>
    <w:rsid w:val="009107B8"/>
    <w:rsid w:val="00910809"/>
    <w:rsid w:val="00910B74"/>
    <w:rsid w:val="00910F7A"/>
    <w:rsid w:val="00910FBA"/>
    <w:rsid w:val="009111CD"/>
    <w:rsid w:val="00911202"/>
    <w:rsid w:val="00911AD0"/>
    <w:rsid w:val="00912476"/>
    <w:rsid w:val="00912586"/>
    <w:rsid w:val="00912800"/>
    <w:rsid w:val="009128C1"/>
    <w:rsid w:val="00912912"/>
    <w:rsid w:val="009129FC"/>
    <w:rsid w:val="00912CDC"/>
    <w:rsid w:val="00913305"/>
    <w:rsid w:val="009135A7"/>
    <w:rsid w:val="009137D1"/>
    <w:rsid w:val="00914069"/>
    <w:rsid w:val="00914D4B"/>
    <w:rsid w:val="00914F0A"/>
    <w:rsid w:val="00914F24"/>
    <w:rsid w:val="009155B4"/>
    <w:rsid w:val="00915E35"/>
    <w:rsid w:val="00916473"/>
    <w:rsid w:val="009164C2"/>
    <w:rsid w:val="009165E8"/>
    <w:rsid w:val="0091697C"/>
    <w:rsid w:val="00916A65"/>
    <w:rsid w:val="009172A8"/>
    <w:rsid w:val="00917586"/>
    <w:rsid w:val="00917806"/>
    <w:rsid w:val="009200C3"/>
    <w:rsid w:val="00920188"/>
    <w:rsid w:val="009204C9"/>
    <w:rsid w:val="00920998"/>
    <w:rsid w:val="009209EF"/>
    <w:rsid w:val="009211A1"/>
    <w:rsid w:val="0092121B"/>
    <w:rsid w:val="009213C3"/>
    <w:rsid w:val="00921504"/>
    <w:rsid w:val="00921739"/>
    <w:rsid w:val="009217AD"/>
    <w:rsid w:val="009219EC"/>
    <w:rsid w:val="00921A78"/>
    <w:rsid w:val="009223FA"/>
    <w:rsid w:val="00922505"/>
    <w:rsid w:val="00922515"/>
    <w:rsid w:val="0092261D"/>
    <w:rsid w:val="0092269B"/>
    <w:rsid w:val="00922977"/>
    <w:rsid w:val="00922D5C"/>
    <w:rsid w:val="0092306C"/>
    <w:rsid w:val="0092317E"/>
    <w:rsid w:val="00923289"/>
    <w:rsid w:val="009238F4"/>
    <w:rsid w:val="00923E9A"/>
    <w:rsid w:val="009242BB"/>
    <w:rsid w:val="0092435A"/>
    <w:rsid w:val="0092442A"/>
    <w:rsid w:val="0092448F"/>
    <w:rsid w:val="009244F9"/>
    <w:rsid w:val="00924617"/>
    <w:rsid w:val="00924628"/>
    <w:rsid w:val="009248A0"/>
    <w:rsid w:val="00924D89"/>
    <w:rsid w:val="00924FDA"/>
    <w:rsid w:val="00925152"/>
    <w:rsid w:val="0092523A"/>
    <w:rsid w:val="00925512"/>
    <w:rsid w:val="009257BB"/>
    <w:rsid w:val="00925E17"/>
    <w:rsid w:val="009263EF"/>
    <w:rsid w:val="00926822"/>
    <w:rsid w:val="00926A26"/>
    <w:rsid w:val="00926C17"/>
    <w:rsid w:val="00926DA4"/>
    <w:rsid w:val="00926EAF"/>
    <w:rsid w:val="00926FA0"/>
    <w:rsid w:val="0092708B"/>
    <w:rsid w:val="00927234"/>
    <w:rsid w:val="00930A1A"/>
    <w:rsid w:val="00930C84"/>
    <w:rsid w:val="009312CA"/>
    <w:rsid w:val="009315D7"/>
    <w:rsid w:val="009315F5"/>
    <w:rsid w:val="00931652"/>
    <w:rsid w:val="009318CE"/>
    <w:rsid w:val="00931C40"/>
    <w:rsid w:val="00931E3A"/>
    <w:rsid w:val="00931F0A"/>
    <w:rsid w:val="00932127"/>
    <w:rsid w:val="00932356"/>
    <w:rsid w:val="0093263B"/>
    <w:rsid w:val="0093293D"/>
    <w:rsid w:val="00932D6F"/>
    <w:rsid w:val="00932DD8"/>
    <w:rsid w:val="009330F3"/>
    <w:rsid w:val="00933344"/>
    <w:rsid w:val="009333AC"/>
    <w:rsid w:val="00933497"/>
    <w:rsid w:val="009338D2"/>
    <w:rsid w:val="00933BBE"/>
    <w:rsid w:val="00933BEF"/>
    <w:rsid w:val="00933BFA"/>
    <w:rsid w:val="00933F6A"/>
    <w:rsid w:val="00933FF7"/>
    <w:rsid w:val="00934047"/>
    <w:rsid w:val="0093449A"/>
    <w:rsid w:val="00934795"/>
    <w:rsid w:val="00934BAE"/>
    <w:rsid w:val="009350AB"/>
    <w:rsid w:val="009354D1"/>
    <w:rsid w:val="0093591A"/>
    <w:rsid w:val="00935BB0"/>
    <w:rsid w:val="00935EC0"/>
    <w:rsid w:val="00935F14"/>
    <w:rsid w:val="0093613B"/>
    <w:rsid w:val="0093630D"/>
    <w:rsid w:val="00936367"/>
    <w:rsid w:val="009364DF"/>
    <w:rsid w:val="00936503"/>
    <w:rsid w:val="009372E7"/>
    <w:rsid w:val="00937432"/>
    <w:rsid w:val="00937BF6"/>
    <w:rsid w:val="00937DF7"/>
    <w:rsid w:val="00940170"/>
    <w:rsid w:val="0094036F"/>
    <w:rsid w:val="0094091C"/>
    <w:rsid w:val="00940B36"/>
    <w:rsid w:val="00940B5F"/>
    <w:rsid w:val="00940CF0"/>
    <w:rsid w:val="00940E44"/>
    <w:rsid w:val="0094119D"/>
    <w:rsid w:val="00941575"/>
    <w:rsid w:val="0094182B"/>
    <w:rsid w:val="00941C95"/>
    <w:rsid w:val="00941FD8"/>
    <w:rsid w:val="00942121"/>
    <w:rsid w:val="009423A6"/>
    <w:rsid w:val="00942926"/>
    <w:rsid w:val="0094299C"/>
    <w:rsid w:val="00942A10"/>
    <w:rsid w:val="00942DE4"/>
    <w:rsid w:val="00942F17"/>
    <w:rsid w:val="00943152"/>
    <w:rsid w:val="00943473"/>
    <w:rsid w:val="009434E8"/>
    <w:rsid w:val="00943744"/>
    <w:rsid w:val="00943B14"/>
    <w:rsid w:val="00943C46"/>
    <w:rsid w:val="00943DF7"/>
    <w:rsid w:val="00943EF3"/>
    <w:rsid w:val="00943F8D"/>
    <w:rsid w:val="009446D2"/>
    <w:rsid w:val="00944E64"/>
    <w:rsid w:val="00944E9A"/>
    <w:rsid w:val="00944ED2"/>
    <w:rsid w:val="00944EF5"/>
    <w:rsid w:val="00944F4A"/>
    <w:rsid w:val="009455CA"/>
    <w:rsid w:val="00945CF0"/>
    <w:rsid w:val="00945FEE"/>
    <w:rsid w:val="00946097"/>
    <w:rsid w:val="009461DF"/>
    <w:rsid w:val="00946435"/>
    <w:rsid w:val="009469D8"/>
    <w:rsid w:val="00946A25"/>
    <w:rsid w:val="00946B71"/>
    <w:rsid w:val="00947141"/>
    <w:rsid w:val="009471BB"/>
    <w:rsid w:val="009471EB"/>
    <w:rsid w:val="00947305"/>
    <w:rsid w:val="00947C98"/>
    <w:rsid w:val="00947DFA"/>
    <w:rsid w:val="00950742"/>
    <w:rsid w:val="009507E7"/>
    <w:rsid w:val="0095086C"/>
    <w:rsid w:val="00950901"/>
    <w:rsid w:val="00950B07"/>
    <w:rsid w:val="00950CBE"/>
    <w:rsid w:val="00950E7C"/>
    <w:rsid w:val="0095150C"/>
    <w:rsid w:val="00951E26"/>
    <w:rsid w:val="00951EEB"/>
    <w:rsid w:val="009523C0"/>
    <w:rsid w:val="00952698"/>
    <w:rsid w:val="0095272F"/>
    <w:rsid w:val="00952D98"/>
    <w:rsid w:val="00952ED6"/>
    <w:rsid w:val="009539A9"/>
    <w:rsid w:val="00953AF4"/>
    <w:rsid w:val="00953DCC"/>
    <w:rsid w:val="00953F30"/>
    <w:rsid w:val="009541E1"/>
    <w:rsid w:val="00954441"/>
    <w:rsid w:val="00954CA0"/>
    <w:rsid w:val="00954E47"/>
    <w:rsid w:val="00954ED2"/>
    <w:rsid w:val="00955058"/>
    <w:rsid w:val="009551ED"/>
    <w:rsid w:val="009555D7"/>
    <w:rsid w:val="009555E7"/>
    <w:rsid w:val="0095579E"/>
    <w:rsid w:val="0095580E"/>
    <w:rsid w:val="00955AEB"/>
    <w:rsid w:val="00955D11"/>
    <w:rsid w:val="00955DE7"/>
    <w:rsid w:val="00955EA4"/>
    <w:rsid w:val="00956191"/>
    <w:rsid w:val="009567E5"/>
    <w:rsid w:val="00956B55"/>
    <w:rsid w:val="009570A7"/>
    <w:rsid w:val="0095726E"/>
    <w:rsid w:val="00957F39"/>
    <w:rsid w:val="009603A8"/>
    <w:rsid w:val="00960759"/>
    <w:rsid w:val="009607D6"/>
    <w:rsid w:val="009609E6"/>
    <w:rsid w:val="00960C61"/>
    <w:rsid w:val="00961195"/>
    <w:rsid w:val="00961231"/>
    <w:rsid w:val="00961381"/>
    <w:rsid w:val="00961444"/>
    <w:rsid w:val="009615DC"/>
    <w:rsid w:val="0096169B"/>
    <w:rsid w:val="009619A7"/>
    <w:rsid w:val="00961A78"/>
    <w:rsid w:val="00961BAF"/>
    <w:rsid w:val="00961D6F"/>
    <w:rsid w:val="00961FB2"/>
    <w:rsid w:val="009623EB"/>
    <w:rsid w:val="009625CA"/>
    <w:rsid w:val="00962979"/>
    <w:rsid w:val="00962A98"/>
    <w:rsid w:val="00962C9F"/>
    <w:rsid w:val="0096349F"/>
    <w:rsid w:val="009636EC"/>
    <w:rsid w:val="00963B91"/>
    <w:rsid w:val="00964246"/>
    <w:rsid w:val="009645DB"/>
    <w:rsid w:val="0096486F"/>
    <w:rsid w:val="0096492A"/>
    <w:rsid w:val="00964977"/>
    <w:rsid w:val="00964F27"/>
    <w:rsid w:val="00965466"/>
    <w:rsid w:val="00965E98"/>
    <w:rsid w:val="009665B2"/>
    <w:rsid w:val="00966C3A"/>
    <w:rsid w:val="00966F5B"/>
    <w:rsid w:val="00967370"/>
    <w:rsid w:val="0096763A"/>
    <w:rsid w:val="009676C8"/>
    <w:rsid w:val="00967961"/>
    <w:rsid w:val="00967AB6"/>
    <w:rsid w:val="00967E1B"/>
    <w:rsid w:val="00967E8E"/>
    <w:rsid w:val="009704B2"/>
    <w:rsid w:val="0097064C"/>
    <w:rsid w:val="00970861"/>
    <w:rsid w:val="0097092B"/>
    <w:rsid w:val="009709DE"/>
    <w:rsid w:val="00970F0B"/>
    <w:rsid w:val="009715E5"/>
    <w:rsid w:val="009718EB"/>
    <w:rsid w:val="00971B6F"/>
    <w:rsid w:val="009721BD"/>
    <w:rsid w:val="009724F1"/>
    <w:rsid w:val="0097259F"/>
    <w:rsid w:val="00972772"/>
    <w:rsid w:val="00972804"/>
    <w:rsid w:val="009729E2"/>
    <w:rsid w:val="00972CC6"/>
    <w:rsid w:val="00972EAE"/>
    <w:rsid w:val="00972EB1"/>
    <w:rsid w:val="009730E3"/>
    <w:rsid w:val="009731E6"/>
    <w:rsid w:val="00973B26"/>
    <w:rsid w:val="00973CD4"/>
    <w:rsid w:val="00973DDB"/>
    <w:rsid w:val="0097404E"/>
    <w:rsid w:val="00974148"/>
    <w:rsid w:val="00974467"/>
    <w:rsid w:val="00974699"/>
    <w:rsid w:val="00974E92"/>
    <w:rsid w:val="00975378"/>
    <w:rsid w:val="009757F4"/>
    <w:rsid w:val="0097584A"/>
    <w:rsid w:val="00975A13"/>
    <w:rsid w:val="00975B4D"/>
    <w:rsid w:val="00975C37"/>
    <w:rsid w:val="00975CE2"/>
    <w:rsid w:val="009761AE"/>
    <w:rsid w:val="0097624A"/>
    <w:rsid w:val="009766F2"/>
    <w:rsid w:val="00976C24"/>
    <w:rsid w:val="009771A9"/>
    <w:rsid w:val="009774D2"/>
    <w:rsid w:val="00977C46"/>
    <w:rsid w:val="0098021D"/>
    <w:rsid w:val="00980283"/>
    <w:rsid w:val="00980323"/>
    <w:rsid w:val="00980435"/>
    <w:rsid w:val="00980690"/>
    <w:rsid w:val="00980BE5"/>
    <w:rsid w:val="0098177E"/>
    <w:rsid w:val="009818B6"/>
    <w:rsid w:val="00981936"/>
    <w:rsid w:val="00981D23"/>
    <w:rsid w:val="0098211C"/>
    <w:rsid w:val="00982589"/>
    <w:rsid w:val="009825AC"/>
    <w:rsid w:val="00982607"/>
    <w:rsid w:val="009827C3"/>
    <w:rsid w:val="0098288D"/>
    <w:rsid w:val="00982AB9"/>
    <w:rsid w:val="00982C3A"/>
    <w:rsid w:val="00982E72"/>
    <w:rsid w:val="00983172"/>
    <w:rsid w:val="00983245"/>
    <w:rsid w:val="0098332C"/>
    <w:rsid w:val="009834DD"/>
    <w:rsid w:val="0098395A"/>
    <w:rsid w:val="009839D3"/>
    <w:rsid w:val="00983AB7"/>
    <w:rsid w:val="00983AE0"/>
    <w:rsid w:val="009844DE"/>
    <w:rsid w:val="0098452F"/>
    <w:rsid w:val="0098481B"/>
    <w:rsid w:val="00984D8C"/>
    <w:rsid w:val="0098513A"/>
    <w:rsid w:val="0098520A"/>
    <w:rsid w:val="00985311"/>
    <w:rsid w:val="009858CC"/>
    <w:rsid w:val="00985B2D"/>
    <w:rsid w:val="00985B80"/>
    <w:rsid w:val="00985DB9"/>
    <w:rsid w:val="00985EFF"/>
    <w:rsid w:val="00986905"/>
    <w:rsid w:val="00986999"/>
    <w:rsid w:val="00986A53"/>
    <w:rsid w:val="0098701D"/>
    <w:rsid w:val="0098733E"/>
    <w:rsid w:val="0098740E"/>
    <w:rsid w:val="00990081"/>
    <w:rsid w:val="0099046E"/>
    <w:rsid w:val="0099066D"/>
    <w:rsid w:val="009906E1"/>
    <w:rsid w:val="009908F8"/>
    <w:rsid w:val="00990DBA"/>
    <w:rsid w:val="00990F0C"/>
    <w:rsid w:val="0099108F"/>
    <w:rsid w:val="009912B8"/>
    <w:rsid w:val="0099132D"/>
    <w:rsid w:val="009913CA"/>
    <w:rsid w:val="009914DE"/>
    <w:rsid w:val="009917F8"/>
    <w:rsid w:val="009918F1"/>
    <w:rsid w:val="00991F61"/>
    <w:rsid w:val="0099204D"/>
    <w:rsid w:val="0099224A"/>
    <w:rsid w:val="00992890"/>
    <w:rsid w:val="009928D0"/>
    <w:rsid w:val="00992ABF"/>
    <w:rsid w:val="00992B12"/>
    <w:rsid w:val="00992E63"/>
    <w:rsid w:val="00992ED8"/>
    <w:rsid w:val="009931F4"/>
    <w:rsid w:val="009936D6"/>
    <w:rsid w:val="009948F5"/>
    <w:rsid w:val="009948FD"/>
    <w:rsid w:val="00994D26"/>
    <w:rsid w:val="00995219"/>
    <w:rsid w:val="00995370"/>
    <w:rsid w:val="0099568E"/>
    <w:rsid w:val="00995B1E"/>
    <w:rsid w:val="00995C03"/>
    <w:rsid w:val="0099636D"/>
    <w:rsid w:val="00996638"/>
    <w:rsid w:val="00996806"/>
    <w:rsid w:val="009968A6"/>
    <w:rsid w:val="009973A1"/>
    <w:rsid w:val="00997546"/>
    <w:rsid w:val="00997711"/>
    <w:rsid w:val="00997844"/>
    <w:rsid w:val="00997849"/>
    <w:rsid w:val="00997E0B"/>
    <w:rsid w:val="009A040E"/>
    <w:rsid w:val="009A04ED"/>
    <w:rsid w:val="009A050D"/>
    <w:rsid w:val="009A0723"/>
    <w:rsid w:val="009A0D0E"/>
    <w:rsid w:val="009A0EA5"/>
    <w:rsid w:val="009A0EBF"/>
    <w:rsid w:val="009A0ECE"/>
    <w:rsid w:val="009A0F5E"/>
    <w:rsid w:val="009A10FE"/>
    <w:rsid w:val="009A1564"/>
    <w:rsid w:val="009A1864"/>
    <w:rsid w:val="009A19D2"/>
    <w:rsid w:val="009A1A4E"/>
    <w:rsid w:val="009A20D0"/>
    <w:rsid w:val="009A2AD1"/>
    <w:rsid w:val="009A2C7B"/>
    <w:rsid w:val="009A2D83"/>
    <w:rsid w:val="009A3329"/>
    <w:rsid w:val="009A33DC"/>
    <w:rsid w:val="009A39D7"/>
    <w:rsid w:val="009A3EFE"/>
    <w:rsid w:val="009A3F30"/>
    <w:rsid w:val="009A4038"/>
    <w:rsid w:val="009A47B8"/>
    <w:rsid w:val="009A4885"/>
    <w:rsid w:val="009A4C89"/>
    <w:rsid w:val="009A5347"/>
    <w:rsid w:val="009A54B8"/>
    <w:rsid w:val="009A5797"/>
    <w:rsid w:val="009A5A04"/>
    <w:rsid w:val="009A5B8A"/>
    <w:rsid w:val="009A5FC2"/>
    <w:rsid w:val="009A625D"/>
    <w:rsid w:val="009A6298"/>
    <w:rsid w:val="009A63D5"/>
    <w:rsid w:val="009A667F"/>
    <w:rsid w:val="009A69D1"/>
    <w:rsid w:val="009A6E96"/>
    <w:rsid w:val="009A7463"/>
    <w:rsid w:val="009A7A35"/>
    <w:rsid w:val="009B0283"/>
    <w:rsid w:val="009B070E"/>
    <w:rsid w:val="009B0A63"/>
    <w:rsid w:val="009B0A86"/>
    <w:rsid w:val="009B113D"/>
    <w:rsid w:val="009B13A6"/>
    <w:rsid w:val="009B1676"/>
    <w:rsid w:val="009B1A67"/>
    <w:rsid w:val="009B1A6B"/>
    <w:rsid w:val="009B1B6D"/>
    <w:rsid w:val="009B1F00"/>
    <w:rsid w:val="009B231F"/>
    <w:rsid w:val="009B2370"/>
    <w:rsid w:val="009B2512"/>
    <w:rsid w:val="009B303D"/>
    <w:rsid w:val="009B3225"/>
    <w:rsid w:val="009B339A"/>
    <w:rsid w:val="009B360F"/>
    <w:rsid w:val="009B3670"/>
    <w:rsid w:val="009B3827"/>
    <w:rsid w:val="009B39AA"/>
    <w:rsid w:val="009B3C44"/>
    <w:rsid w:val="009B3D67"/>
    <w:rsid w:val="009B3E8B"/>
    <w:rsid w:val="009B3F89"/>
    <w:rsid w:val="009B409E"/>
    <w:rsid w:val="009B4426"/>
    <w:rsid w:val="009B45CC"/>
    <w:rsid w:val="009B49FA"/>
    <w:rsid w:val="009B4ED0"/>
    <w:rsid w:val="009B51A4"/>
    <w:rsid w:val="009B5215"/>
    <w:rsid w:val="009B56BA"/>
    <w:rsid w:val="009B5A68"/>
    <w:rsid w:val="009B5BB8"/>
    <w:rsid w:val="009B5C6C"/>
    <w:rsid w:val="009B601E"/>
    <w:rsid w:val="009B66BC"/>
    <w:rsid w:val="009B686A"/>
    <w:rsid w:val="009B690C"/>
    <w:rsid w:val="009B703F"/>
    <w:rsid w:val="009B76D2"/>
    <w:rsid w:val="009B7849"/>
    <w:rsid w:val="009B7BB0"/>
    <w:rsid w:val="009C0655"/>
    <w:rsid w:val="009C0749"/>
    <w:rsid w:val="009C0910"/>
    <w:rsid w:val="009C093B"/>
    <w:rsid w:val="009C0DE3"/>
    <w:rsid w:val="009C1105"/>
    <w:rsid w:val="009C1B85"/>
    <w:rsid w:val="009C1BDE"/>
    <w:rsid w:val="009C1C46"/>
    <w:rsid w:val="009C1FF1"/>
    <w:rsid w:val="009C204D"/>
    <w:rsid w:val="009C2267"/>
    <w:rsid w:val="009C25BD"/>
    <w:rsid w:val="009C285F"/>
    <w:rsid w:val="009C2A56"/>
    <w:rsid w:val="009C2C56"/>
    <w:rsid w:val="009C2FB4"/>
    <w:rsid w:val="009C3183"/>
    <w:rsid w:val="009C3188"/>
    <w:rsid w:val="009C4137"/>
    <w:rsid w:val="009C426C"/>
    <w:rsid w:val="009C4942"/>
    <w:rsid w:val="009C4BC7"/>
    <w:rsid w:val="009C4D97"/>
    <w:rsid w:val="009C5529"/>
    <w:rsid w:val="009C5547"/>
    <w:rsid w:val="009C573F"/>
    <w:rsid w:val="009C5DAA"/>
    <w:rsid w:val="009C63AB"/>
    <w:rsid w:val="009C65AD"/>
    <w:rsid w:val="009C693B"/>
    <w:rsid w:val="009C6EE8"/>
    <w:rsid w:val="009C739D"/>
    <w:rsid w:val="009C73A4"/>
    <w:rsid w:val="009C7621"/>
    <w:rsid w:val="009C78C6"/>
    <w:rsid w:val="009C7E1F"/>
    <w:rsid w:val="009D01D6"/>
    <w:rsid w:val="009D0B58"/>
    <w:rsid w:val="009D0E31"/>
    <w:rsid w:val="009D14F1"/>
    <w:rsid w:val="009D1599"/>
    <w:rsid w:val="009D1DDA"/>
    <w:rsid w:val="009D2C76"/>
    <w:rsid w:val="009D2F89"/>
    <w:rsid w:val="009D3290"/>
    <w:rsid w:val="009D3A6C"/>
    <w:rsid w:val="009D3AA7"/>
    <w:rsid w:val="009D3B2E"/>
    <w:rsid w:val="009D3D0B"/>
    <w:rsid w:val="009D3EF1"/>
    <w:rsid w:val="009D4676"/>
    <w:rsid w:val="009D483A"/>
    <w:rsid w:val="009D4B3B"/>
    <w:rsid w:val="009D4D6E"/>
    <w:rsid w:val="009D4F36"/>
    <w:rsid w:val="009D537C"/>
    <w:rsid w:val="009D5537"/>
    <w:rsid w:val="009D5661"/>
    <w:rsid w:val="009D56DF"/>
    <w:rsid w:val="009D5C30"/>
    <w:rsid w:val="009D5F22"/>
    <w:rsid w:val="009D61A6"/>
    <w:rsid w:val="009D6BF2"/>
    <w:rsid w:val="009D6E37"/>
    <w:rsid w:val="009D7014"/>
    <w:rsid w:val="009D7030"/>
    <w:rsid w:val="009D7144"/>
    <w:rsid w:val="009D71B9"/>
    <w:rsid w:val="009D731E"/>
    <w:rsid w:val="009D7F3C"/>
    <w:rsid w:val="009E02AD"/>
    <w:rsid w:val="009E056C"/>
    <w:rsid w:val="009E061B"/>
    <w:rsid w:val="009E0786"/>
    <w:rsid w:val="009E08C1"/>
    <w:rsid w:val="009E17F4"/>
    <w:rsid w:val="009E1950"/>
    <w:rsid w:val="009E1DB7"/>
    <w:rsid w:val="009E2602"/>
    <w:rsid w:val="009E27A6"/>
    <w:rsid w:val="009E27AE"/>
    <w:rsid w:val="009E2955"/>
    <w:rsid w:val="009E2A33"/>
    <w:rsid w:val="009E2AC8"/>
    <w:rsid w:val="009E2E06"/>
    <w:rsid w:val="009E2FC5"/>
    <w:rsid w:val="009E32DD"/>
    <w:rsid w:val="009E337E"/>
    <w:rsid w:val="009E369B"/>
    <w:rsid w:val="009E397E"/>
    <w:rsid w:val="009E3A72"/>
    <w:rsid w:val="009E3CB3"/>
    <w:rsid w:val="009E3DC2"/>
    <w:rsid w:val="009E411B"/>
    <w:rsid w:val="009E4220"/>
    <w:rsid w:val="009E4663"/>
    <w:rsid w:val="009E47D0"/>
    <w:rsid w:val="009E4954"/>
    <w:rsid w:val="009E4B67"/>
    <w:rsid w:val="009E4D1F"/>
    <w:rsid w:val="009E5726"/>
    <w:rsid w:val="009E5BB8"/>
    <w:rsid w:val="009E6056"/>
    <w:rsid w:val="009E6085"/>
    <w:rsid w:val="009E6785"/>
    <w:rsid w:val="009E69B6"/>
    <w:rsid w:val="009E6F45"/>
    <w:rsid w:val="009E76DC"/>
    <w:rsid w:val="009E77F6"/>
    <w:rsid w:val="009E78C6"/>
    <w:rsid w:val="009F053B"/>
    <w:rsid w:val="009F0A25"/>
    <w:rsid w:val="009F0B4F"/>
    <w:rsid w:val="009F0DFC"/>
    <w:rsid w:val="009F0F0E"/>
    <w:rsid w:val="009F1360"/>
    <w:rsid w:val="009F147E"/>
    <w:rsid w:val="009F16DE"/>
    <w:rsid w:val="009F170B"/>
    <w:rsid w:val="009F1927"/>
    <w:rsid w:val="009F1AA4"/>
    <w:rsid w:val="009F1AF1"/>
    <w:rsid w:val="009F1CE5"/>
    <w:rsid w:val="009F1D81"/>
    <w:rsid w:val="009F1DF7"/>
    <w:rsid w:val="009F2338"/>
    <w:rsid w:val="009F2343"/>
    <w:rsid w:val="009F2601"/>
    <w:rsid w:val="009F26B6"/>
    <w:rsid w:val="009F2D86"/>
    <w:rsid w:val="009F2F0D"/>
    <w:rsid w:val="009F31CF"/>
    <w:rsid w:val="009F3390"/>
    <w:rsid w:val="009F3770"/>
    <w:rsid w:val="009F37E3"/>
    <w:rsid w:val="009F4881"/>
    <w:rsid w:val="009F4A62"/>
    <w:rsid w:val="009F55B9"/>
    <w:rsid w:val="009F62D7"/>
    <w:rsid w:val="009F675C"/>
    <w:rsid w:val="009F6BD3"/>
    <w:rsid w:val="009F7486"/>
    <w:rsid w:val="009F7550"/>
    <w:rsid w:val="009F791D"/>
    <w:rsid w:val="00A00436"/>
    <w:rsid w:val="00A00757"/>
    <w:rsid w:val="00A0082A"/>
    <w:rsid w:val="00A00873"/>
    <w:rsid w:val="00A00A90"/>
    <w:rsid w:val="00A01253"/>
    <w:rsid w:val="00A01870"/>
    <w:rsid w:val="00A01959"/>
    <w:rsid w:val="00A02037"/>
    <w:rsid w:val="00A02096"/>
    <w:rsid w:val="00A0297E"/>
    <w:rsid w:val="00A02B1A"/>
    <w:rsid w:val="00A02B65"/>
    <w:rsid w:val="00A02BF6"/>
    <w:rsid w:val="00A02C7E"/>
    <w:rsid w:val="00A03304"/>
    <w:rsid w:val="00A0333C"/>
    <w:rsid w:val="00A033D0"/>
    <w:rsid w:val="00A033EA"/>
    <w:rsid w:val="00A03E59"/>
    <w:rsid w:val="00A0408B"/>
    <w:rsid w:val="00A0428C"/>
    <w:rsid w:val="00A047BC"/>
    <w:rsid w:val="00A04CF8"/>
    <w:rsid w:val="00A051EF"/>
    <w:rsid w:val="00A0521F"/>
    <w:rsid w:val="00A05810"/>
    <w:rsid w:val="00A0581D"/>
    <w:rsid w:val="00A05D53"/>
    <w:rsid w:val="00A064AB"/>
    <w:rsid w:val="00A0660A"/>
    <w:rsid w:val="00A06662"/>
    <w:rsid w:val="00A0698C"/>
    <w:rsid w:val="00A06A22"/>
    <w:rsid w:val="00A06CB6"/>
    <w:rsid w:val="00A076BF"/>
    <w:rsid w:val="00A079D4"/>
    <w:rsid w:val="00A07E68"/>
    <w:rsid w:val="00A10317"/>
    <w:rsid w:val="00A104C3"/>
    <w:rsid w:val="00A1076E"/>
    <w:rsid w:val="00A10B54"/>
    <w:rsid w:val="00A10CD8"/>
    <w:rsid w:val="00A10D24"/>
    <w:rsid w:val="00A1108D"/>
    <w:rsid w:val="00A113AE"/>
    <w:rsid w:val="00A11479"/>
    <w:rsid w:val="00A115F0"/>
    <w:rsid w:val="00A11A28"/>
    <w:rsid w:val="00A11CB5"/>
    <w:rsid w:val="00A11CF3"/>
    <w:rsid w:val="00A12098"/>
    <w:rsid w:val="00A120B0"/>
    <w:rsid w:val="00A122DC"/>
    <w:rsid w:val="00A12892"/>
    <w:rsid w:val="00A12A9E"/>
    <w:rsid w:val="00A12C74"/>
    <w:rsid w:val="00A12FCD"/>
    <w:rsid w:val="00A13573"/>
    <w:rsid w:val="00A135B3"/>
    <w:rsid w:val="00A135E4"/>
    <w:rsid w:val="00A137B3"/>
    <w:rsid w:val="00A138DB"/>
    <w:rsid w:val="00A1399C"/>
    <w:rsid w:val="00A139ED"/>
    <w:rsid w:val="00A13C4F"/>
    <w:rsid w:val="00A13EDC"/>
    <w:rsid w:val="00A1456E"/>
    <w:rsid w:val="00A14EE9"/>
    <w:rsid w:val="00A14FAD"/>
    <w:rsid w:val="00A1513F"/>
    <w:rsid w:val="00A1550F"/>
    <w:rsid w:val="00A1551B"/>
    <w:rsid w:val="00A15B5B"/>
    <w:rsid w:val="00A1611C"/>
    <w:rsid w:val="00A162F4"/>
    <w:rsid w:val="00A16382"/>
    <w:rsid w:val="00A16564"/>
    <w:rsid w:val="00A16B82"/>
    <w:rsid w:val="00A16D91"/>
    <w:rsid w:val="00A16DD3"/>
    <w:rsid w:val="00A16E2C"/>
    <w:rsid w:val="00A173D8"/>
    <w:rsid w:val="00A179AC"/>
    <w:rsid w:val="00A17A4B"/>
    <w:rsid w:val="00A17B6D"/>
    <w:rsid w:val="00A200A0"/>
    <w:rsid w:val="00A202C6"/>
    <w:rsid w:val="00A2042E"/>
    <w:rsid w:val="00A20624"/>
    <w:rsid w:val="00A20A20"/>
    <w:rsid w:val="00A20A77"/>
    <w:rsid w:val="00A20BCB"/>
    <w:rsid w:val="00A20C3F"/>
    <w:rsid w:val="00A20EA1"/>
    <w:rsid w:val="00A21039"/>
    <w:rsid w:val="00A21158"/>
    <w:rsid w:val="00A214B7"/>
    <w:rsid w:val="00A216B2"/>
    <w:rsid w:val="00A21737"/>
    <w:rsid w:val="00A21981"/>
    <w:rsid w:val="00A21C41"/>
    <w:rsid w:val="00A23017"/>
    <w:rsid w:val="00A231FE"/>
    <w:rsid w:val="00A232DE"/>
    <w:rsid w:val="00A23327"/>
    <w:rsid w:val="00A2383D"/>
    <w:rsid w:val="00A23C19"/>
    <w:rsid w:val="00A23DB9"/>
    <w:rsid w:val="00A23F7C"/>
    <w:rsid w:val="00A2417D"/>
    <w:rsid w:val="00A241B3"/>
    <w:rsid w:val="00A2443A"/>
    <w:rsid w:val="00A2461E"/>
    <w:rsid w:val="00A24C03"/>
    <w:rsid w:val="00A24C3D"/>
    <w:rsid w:val="00A24C63"/>
    <w:rsid w:val="00A250D4"/>
    <w:rsid w:val="00A2543E"/>
    <w:rsid w:val="00A254A4"/>
    <w:rsid w:val="00A25A33"/>
    <w:rsid w:val="00A25C29"/>
    <w:rsid w:val="00A260B7"/>
    <w:rsid w:val="00A2622F"/>
    <w:rsid w:val="00A264E1"/>
    <w:rsid w:val="00A26620"/>
    <w:rsid w:val="00A267D0"/>
    <w:rsid w:val="00A26983"/>
    <w:rsid w:val="00A26BF1"/>
    <w:rsid w:val="00A2717F"/>
    <w:rsid w:val="00A271EB"/>
    <w:rsid w:val="00A272F8"/>
    <w:rsid w:val="00A2757C"/>
    <w:rsid w:val="00A27A2D"/>
    <w:rsid w:val="00A30039"/>
    <w:rsid w:val="00A30432"/>
    <w:rsid w:val="00A30888"/>
    <w:rsid w:val="00A30985"/>
    <w:rsid w:val="00A309CF"/>
    <w:rsid w:val="00A30AE5"/>
    <w:rsid w:val="00A30D33"/>
    <w:rsid w:val="00A31131"/>
    <w:rsid w:val="00A31645"/>
    <w:rsid w:val="00A31717"/>
    <w:rsid w:val="00A318B5"/>
    <w:rsid w:val="00A31996"/>
    <w:rsid w:val="00A31B31"/>
    <w:rsid w:val="00A31D44"/>
    <w:rsid w:val="00A31D88"/>
    <w:rsid w:val="00A3238A"/>
    <w:rsid w:val="00A32A48"/>
    <w:rsid w:val="00A32C5B"/>
    <w:rsid w:val="00A33092"/>
    <w:rsid w:val="00A3366A"/>
    <w:rsid w:val="00A33788"/>
    <w:rsid w:val="00A337C8"/>
    <w:rsid w:val="00A337F6"/>
    <w:rsid w:val="00A3387C"/>
    <w:rsid w:val="00A33B64"/>
    <w:rsid w:val="00A341F3"/>
    <w:rsid w:val="00A343F4"/>
    <w:rsid w:val="00A34541"/>
    <w:rsid w:val="00A34968"/>
    <w:rsid w:val="00A34D6A"/>
    <w:rsid w:val="00A34E61"/>
    <w:rsid w:val="00A351E5"/>
    <w:rsid w:val="00A35215"/>
    <w:rsid w:val="00A3540B"/>
    <w:rsid w:val="00A35754"/>
    <w:rsid w:val="00A359A6"/>
    <w:rsid w:val="00A35BDD"/>
    <w:rsid w:val="00A35C00"/>
    <w:rsid w:val="00A35C7E"/>
    <w:rsid w:val="00A36378"/>
    <w:rsid w:val="00A3681C"/>
    <w:rsid w:val="00A36CDC"/>
    <w:rsid w:val="00A376B8"/>
    <w:rsid w:val="00A378E1"/>
    <w:rsid w:val="00A4069A"/>
    <w:rsid w:val="00A408FB"/>
    <w:rsid w:val="00A40930"/>
    <w:rsid w:val="00A40F27"/>
    <w:rsid w:val="00A40FF0"/>
    <w:rsid w:val="00A41017"/>
    <w:rsid w:val="00A41485"/>
    <w:rsid w:val="00A4148D"/>
    <w:rsid w:val="00A415FD"/>
    <w:rsid w:val="00A41B0E"/>
    <w:rsid w:val="00A41CF2"/>
    <w:rsid w:val="00A41DA8"/>
    <w:rsid w:val="00A41EDB"/>
    <w:rsid w:val="00A42194"/>
    <w:rsid w:val="00A4226F"/>
    <w:rsid w:val="00A42DAC"/>
    <w:rsid w:val="00A42FCF"/>
    <w:rsid w:val="00A433C7"/>
    <w:rsid w:val="00A434C1"/>
    <w:rsid w:val="00A437BE"/>
    <w:rsid w:val="00A43DAE"/>
    <w:rsid w:val="00A43F3E"/>
    <w:rsid w:val="00A4410F"/>
    <w:rsid w:val="00A44153"/>
    <w:rsid w:val="00A44369"/>
    <w:rsid w:val="00A4458B"/>
    <w:rsid w:val="00A446F6"/>
    <w:rsid w:val="00A4481E"/>
    <w:rsid w:val="00A44C27"/>
    <w:rsid w:val="00A450B1"/>
    <w:rsid w:val="00A450ED"/>
    <w:rsid w:val="00A4518B"/>
    <w:rsid w:val="00A451FA"/>
    <w:rsid w:val="00A454A7"/>
    <w:rsid w:val="00A454FA"/>
    <w:rsid w:val="00A4596A"/>
    <w:rsid w:val="00A45ACB"/>
    <w:rsid w:val="00A45DDF"/>
    <w:rsid w:val="00A45F9E"/>
    <w:rsid w:val="00A461A0"/>
    <w:rsid w:val="00A467D9"/>
    <w:rsid w:val="00A46B4F"/>
    <w:rsid w:val="00A46F09"/>
    <w:rsid w:val="00A47161"/>
    <w:rsid w:val="00A4772C"/>
    <w:rsid w:val="00A500FB"/>
    <w:rsid w:val="00A506C0"/>
    <w:rsid w:val="00A506E3"/>
    <w:rsid w:val="00A507A6"/>
    <w:rsid w:val="00A5083C"/>
    <w:rsid w:val="00A508C2"/>
    <w:rsid w:val="00A50B57"/>
    <w:rsid w:val="00A513A6"/>
    <w:rsid w:val="00A5149A"/>
    <w:rsid w:val="00A51741"/>
    <w:rsid w:val="00A517EF"/>
    <w:rsid w:val="00A51915"/>
    <w:rsid w:val="00A51D9C"/>
    <w:rsid w:val="00A51FB2"/>
    <w:rsid w:val="00A52136"/>
    <w:rsid w:val="00A52144"/>
    <w:rsid w:val="00A52BF3"/>
    <w:rsid w:val="00A533FF"/>
    <w:rsid w:val="00A534F3"/>
    <w:rsid w:val="00A5369F"/>
    <w:rsid w:val="00A53739"/>
    <w:rsid w:val="00A53E82"/>
    <w:rsid w:val="00A53F46"/>
    <w:rsid w:val="00A53FE4"/>
    <w:rsid w:val="00A544DF"/>
    <w:rsid w:val="00A545C4"/>
    <w:rsid w:val="00A54633"/>
    <w:rsid w:val="00A54658"/>
    <w:rsid w:val="00A5477B"/>
    <w:rsid w:val="00A5498B"/>
    <w:rsid w:val="00A54FE1"/>
    <w:rsid w:val="00A558B1"/>
    <w:rsid w:val="00A55B6C"/>
    <w:rsid w:val="00A55DDF"/>
    <w:rsid w:val="00A55E57"/>
    <w:rsid w:val="00A56026"/>
    <w:rsid w:val="00A5635B"/>
    <w:rsid w:val="00A5656D"/>
    <w:rsid w:val="00A565FC"/>
    <w:rsid w:val="00A567EE"/>
    <w:rsid w:val="00A56C43"/>
    <w:rsid w:val="00A56CC6"/>
    <w:rsid w:val="00A56DF4"/>
    <w:rsid w:val="00A5771D"/>
    <w:rsid w:val="00A57804"/>
    <w:rsid w:val="00A57AFA"/>
    <w:rsid w:val="00A57E11"/>
    <w:rsid w:val="00A602F9"/>
    <w:rsid w:val="00A60471"/>
    <w:rsid w:val="00A607DC"/>
    <w:rsid w:val="00A60D6F"/>
    <w:rsid w:val="00A61044"/>
    <w:rsid w:val="00A614AF"/>
    <w:rsid w:val="00A618A4"/>
    <w:rsid w:val="00A621DC"/>
    <w:rsid w:val="00A626F3"/>
    <w:rsid w:val="00A627CF"/>
    <w:rsid w:val="00A62942"/>
    <w:rsid w:val="00A629CC"/>
    <w:rsid w:val="00A62A11"/>
    <w:rsid w:val="00A62A5F"/>
    <w:rsid w:val="00A62AF1"/>
    <w:rsid w:val="00A62FB4"/>
    <w:rsid w:val="00A635A4"/>
    <w:rsid w:val="00A63BAA"/>
    <w:rsid w:val="00A63E20"/>
    <w:rsid w:val="00A63E5B"/>
    <w:rsid w:val="00A642D4"/>
    <w:rsid w:val="00A64572"/>
    <w:rsid w:val="00A64ECF"/>
    <w:rsid w:val="00A6500E"/>
    <w:rsid w:val="00A65193"/>
    <w:rsid w:val="00A65284"/>
    <w:rsid w:val="00A65328"/>
    <w:rsid w:val="00A656D6"/>
    <w:rsid w:val="00A6574B"/>
    <w:rsid w:val="00A6575E"/>
    <w:rsid w:val="00A658A1"/>
    <w:rsid w:val="00A65AE8"/>
    <w:rsid w:val="00A65B0A"/>
    <w:rsid w:val="00A65C62"/>
    <w:rsid w:val="00A65E25"/>
    <w:rsid w:val="00A65FA6"/>
    <w:rsid w:val="00A6650A"/>
    <w:rsid w:val="00A66688"/>
    <w:rsid w:val="00A66CD3"/>
    <w:rsid w:val="00A66EAC"/>
    <w:rsid w:val="00A672EB"/>
    <w:rsid w:val="00A67CC6"/>
    <w:rsid w:val="00A67E08"/>
    <w:rsid w:val="00A67F8F"/>
    <w:rsid w:val="00A67FD7"/>
    <w:rsid w:val="00A703AF"/>
    <w:rsid w:val="00A70641"/>
    <w:rsid w:val="00A706FC"/>
    <w:rsid w:val="00A7075E"/>
    <w:rsid w:val="00A70BFA"/>
    <w:rsid w:val="00A70E3F"/>
    <w:rsid w:val="00A70F8F"/>
    <w:rsid w:val="00A710D3"/>
    <w:rsid w:val="00A710E7"/>
    <w:rsid w:val="00A713F2"/>
    <w:rsid w:val="00A71653"/>
    <w:rsid w:val="00A718DB"/>
    <w:rsid w:val="00A71B36"/>
    <w:rsid w:val="00A71DC9"/>
    <w:rsid w:val="00A7221F"/>
    <w:rsid w:val="00A72B99"/>
    <w:rsid w:val="00A72FBE"/>
    <w:rsid w:val="00A73259"/>
    <w:rsid w:val="00A73954"/>
    <w:rsid w:val="00A73A97"/>
    <w:rsid w:val="00A73E4D"/>
    <w:rsid w:val="00A73FA0"/>
    <w:rsid w:val="00A741C7"/>
    <w:rsid w:val="00A742D7"/>
    <w:rsid w:val="00A74E40"/>
    <w:rsid w:val="00A74F08"/>
    <w:rsid w:val="00A75144"/>
    <w:rsid w:val="00A756DA"/>
    <w:rsid w:val="00A758AB"/>
    <w:rsid w:val="00A75D2F"/>
    <w:rsid w:val="00A769CA"/>
    <w:rsid w:val="00A76CF4"/>
    <w:rsid w:val="00A76D9A"/>
    <w:rsid w:val="00A76E2A"/>
    <w:rsid w:val="00A76ED4"/>
    <w:rsid w:val="00A76FBC"/>
    <w:rsid w:val="00A7742A"/>
    <w:rsid w:val="00A778BC"/>
    <w:rsid w:val="00A77EBE"/>
    <w:rsid w:val="00A813CB"/>
    <w:rsid w:val="00A816E7"/>
    <w:rsid w:val="00A818CE"/>
    <w:rsid w:val="00A81B8B"/>
    <w:rsid w:val="00A81C34"/>
    <w:rsid w:val="00A81D0C"/>
    <w:rsid w:val="00A81ED8"/>
    <w:rsid w:val="00A81F21"/>
    <w:rsid w:val="00A81F4C"/>
    <w:rsid w:val="00A820D6"/>
    <w:rsid w:val="00A82186"/>
    <w:rsid w:val="00A8222D"/>
    <w:rsid w:val="00A828DA"/>
    <w:rsid w:val="00A8336F"/>
    <w:rsid w:val="00A83A17"/>
    <w:rsid w:val="00A83AED"/>
    <w:rsid w:val="00A83EEB"/>
    <w:rsid w:val="00A84031"/>
    <w:rsid w:val="00A841F6"/>
    <w:rsid w:val="00A843A2"/>
    <w:rsid w:val="00A8491B"/>
    <w:rsid w:val="00A8492A"/>
    <w:rsid w:val="00A84B92"/>
    <w:rsid w:val="00A84D05"/>
    <w:rsid w:val="00A84DD0"/>
    <w:rsid w:val="00A84E36"/>
    <w:rsid w:val="00A856C8"/>
    <w:rsid w:val="00A8655A"/>
    <w:rsid w:val="00A86E0C"/>
    <w:rsid w:val="00A86F76"/>
    <w:rsid w:val="00A87081"/>
    <w:rsid w:val="00A870AC"/>
    <w:rsid w:val="00A873CA"/>
    <w:rsid w:val="00A873F9"/>
    <w:rsid w:val="00A87AEB"/>
    <w:rsid w:val="00A87C7F"/>
    <w:rsid w:val="00A87CB0"/>
    <w:rsid w:val="00A905A3"/>
    <w:rsid w:val="00A9066C"/>
    <w:rsid w:val="00A90AD2"/>
    <w:rsid w:val="00A90C4C"/>
    <w:rsid w:val="00A90EAB"/>
    <w:rsid w:val="00A919AB"/>
    <w:rsid w:val="00A91C0A"/>
    <w:rsid w:val="00A925EB"/>
    <w:rsid w:val="00A927B7"/>
    <w:rsid w:val="00A92970"/>
    <w:rsid w:val="00A929F7"/>
    <w:rsid w:val="00A92D33"/>
    <w:rsid w:val="00A92E6C"/>
    <w:rsid w:val="00A93224"/>
    <w:rsid w:val="00A936C1"/>
    <w:rsid w:val="00A9370F"/>
    <w:rsid w:val="00A93985"/>
    <w:rsid w:val="00A939CA"/>
    <w:rsid w:val="00A93D90"/>
    <w:rsid w:val="00A94266"/>
    <w:rsid w:val="00A9445F"/>
    <w:rsid w:val="00A9449D"/>
    <w:rsid w:val="00A94573"/>
    <w:rsid w:val="00A9466F"/>
    <w:rsid w:val="00A947E1"/>
    <w:rsid w:val="00A94B4D"/>
    <w:rsid w:val="00A94D34"/>
    <w:rsid w:val="00A94E82"/>
    <w:rsid w:val="00A94F4B"/>
    <w:rsid w:val="00A95002"/>
    <w:rsid w:val="00A9546C"/>
    <w:rsid w:val="00A9563D"/>
    <w:rsid w:val="00A95B5D"/>
    <w:rsid w:val="00A95BA6"/>
    <w:rsid w:val="00A961C7"/>
    <w:rsid w:val="00A9648F"/>
    <w:rsid w:val="00A9693A"/>
    <w:rsid w:val="00A96B75"/>
    <w:rsid w:val="00A96C1F"/>
    <w:rsid w:val="00A96ED8"/>
    <w:rsid w:val="00A96EFC"/>
    <w:rsid w:val="00A96F38"/>
    <w:rsid w:val="00A97204"/>
    <w:rsid w:val="00A973CF"/>
    <w:rsid w:val="00A974A3"/>
    <w:rsid w:val="00A976C0"/>
    <w:rsid w:val="00A97753"/>
    <w:rsid w:val="00A97A43"/>
    <w:rsid w:val="00A97D2B"/>
    <w:rsid w:val="00A97D70"/>
    <w:rsid w:val="00A97ED6"/>
    <w:rsid w:val="00AA0014"/>
    <w:rsid w:val="00AA009E"/>
    <w:rsid w:val="00AA0366"/>
    <w:rsid w:val="00AA0C32"/>
    <w:rsid w:val="00AA0D73"/>
    <w:rsid w:val="00AA1054"/>
    <w:rsid w:val="00AA148B"/>
    <w:rsid w:val="00AA1564"/>
    <w:rsid w:val="00AA1B59"/>
    <w:rsid w:val="00AA1CB4"/>
    <w:rsid w:val="00AA1F99"/>
    <w:rsid w:val="00AA251B"/>
    <w:rsid w:val="00AA2EC0"/>
    <w:rsid w:val="00AA2EC2"/>
    <w:rsid w:val="00AA3245"/>
    <w:rsid w:val="00AA328A"/>
    <w:rsid w:val="00AA34C4"/>
    <w:rsid w:val="00AA38F7"/>
    <w:rsid w:val="00AA4134"/>
    <w:rsid w:val="00AA4AE8"/>
    <w:rsid w:val="00AA4D0F"/>
    <w:rsid w:val="00AA5181"/>
    <w:rsid w:val="00AA5361"/>
    <w:rsid w:val="00AA5938"/>
    <w:rsid w:val="00AA5AA7"/>
    <w:rsid w:val="00AA62EF"/>
    <w:rsid w:val="00AA64DA"/>
    <w:rsid w:val="00AA68DC"/>
    <w:rsid w:val="00AA6B0C"/>
    <w:rsid w:val="00AA6B28"/>
    <w:rsid w:val="00AA6F5A"/>
    <w:rsid w:val="00AA6FE6"/>
    <w:rsid w:val="00AA70DD"/>
    <w:rsid w:val="00AA7479"/>
    <w:rsid w:val="00AA762B"/>
    <w:rsid w:val="00AA78B7"/>
    <w:rsid w:val="00AA7A4E"/>
    <w:rsid w:val="00AA7F60"/>
    <w:rsid w:val="00AB00DC"/>
    <w:rsid w:val="00AB0F59"/>
    <w:rsid w:val="00AB10EE"/>
    <w:rsid w:val="00AB125B"/>
    <w:rsid w:val="00AB1430"/>
    <w:rsid w:val="00AB15A0"/>
    <w:rsid w:val="00AB1FFE"/>
    <w:rsid w:val="00AB24E2"/>
    <w:rsid w:val="00AB2EAB"/>
    <w:rsid w:val="00AB361A"/>
    <w:rsid w:val="00AB37CE"/>
    <w:rsid w:val="00AB383D"/>
    <w:rsid w:val="00AB3985"/>
    <w:rsid w:val="00AB3BF6"/>
    <w:rsid w:val="00AB3F55"/>
    <w:rsid w:val="00AB4019"/>
    <w:rsid w:val="00AB407E"/>
    <w:rsid w:val="00AB4440"/>
    <w:rsid w:val="00AB48BF"/>
    <w:rsid w:val="00AB4ADE"/>
    <w:rsid w:val="00AB4E95"/>
    <w:rsid w:val="00AB4F79"/>
    <w:rsid w:val="00AB56EE"/>
    <w:rsid w:val="00AB57BA"/>
    <w:rsid w:val="00AB5A2D"/>
    <w:rsid w:val="00AB5F35"/>
    <w:rsid w:val="00AB611A"/>
    <w:rsid w:val="00AB68C1"/>
    <w:rsid w:val="00AB6A81"/>
    <w:rsid w:val="00AB6AA7"/>
    <w:rsid w:val="00AB704F"/>
    <w:rsid w:val="00AB751E"/>
    <w:rsid w:val="00AB7785"/>
    <w:rsid w:val="00AB7950"/>
    <w:rsid w:val="00AB7F8D"/>
    <w:rsid w:val="00AC0238"/>
    <w:rsid w:val="00AC09CC"/>
    <w:rsid w:val="00AC0AAD"/>
    <w:rsid w:val="00AC15B4"/>
    <w:rsid w:val="00AC16EB"/>
    <w:rsid w:val="00AC1C17"/>
    <w:rsid w:val="00AC1FE6"/>
    <w:rsid w:val="00AC2498"/>
    <w:rsid w:val="00AC283D"/>
    <w:rsid w:val="00AC2A7B"/>
    <w:rsid w:val="00AC3253"/>
    <w:rsid w:val="00AC3635"/>
    <w:rsid w:val="00AC363D"/>
    <w:rsid w:val="00AC3822"/>
    <w:rsid w:val="00AC3C11"/>
    <w:rsid w:val="00AC3E2C"/>
    <w:rsid w:val="00AC3F1F"/>
    <w:rsid w:val="00AC428F"/>
    <w:rsid w:val="00AC4E4D"/>
    <w:rsid w:val="00AC50A8"/>
    <w:rsid w:val="00AC591A"/>
    <w:rsid w:val="00AC5972"/>
    <w:rsid w:val="00AC5D22"/>
    <w:rsid w:val="00AC5DF1"/>
    <w:rsid w:val="00AC63CE"/>
    <w:rsid w:val="00AC6785"/>
    <w:rsid w:val="00AC6918"/>
    <w:rsid w:val="00AC6AFB"/>
    <w:rsid w:val="00AC6D25"/>
    <w:rsid w:val="00AC6E48"/>
    <w:rsid w:val="00AC6F02"/>
    <w:rsid w:val="00AC7280"/>
    <w:rsid w:val="00AC7556"/>
    <w:rsid w:val="00AC7F90"/>
    <w:rsid w:val="00AC7FD3"/>
    <w:rsid w:val="00AD08F6"/>
    <w:rsid w:val="00AD0A9B"/>
    <w:rsid w:val="00AD0AEF"/>
    <w:rsid w:val="00AD0CCA"/>
    <w:rsid w:val="00AD0EBC"/>
    <w:rsid w:val="00AD0EE1"/>
    <w:rsid w:val="00AD0F5C"/>
    <w:rsid w:val="00AD1020"/>
    <w:rsid w:val="00AD1194"/>
    <w:rsid w:val="00AD12A5"/>
    <w:rsid w:val="00AD19DB"/>
    <w:rsid w:val="00AD20AA"/>
    <w:rsid w:val="00AD22CF"/>
    <w:rsid w:val="00AD291F"/>
    <w:rsid w:val="00AD2962"/>
    <w:rsid w:val="00AD29CB"/>
    <w:rsid w:val="00AD2E0B"/>
    <w:rsid w:val="00AD3106"/>
    <w:rsid w:val="00AD3170"/>
    <w:rsid w:val="00AD339C"/>
    <w:rsid w:val="00AD3601"/>
    <w:rsid w:val="00AD3C5C"/>
    <w:rsid w:val="00AD417D"/>
    <w:rsid w:val="00AD41C8"/>
    <w:rsid w:val="00AD423E"/>
    <w:rsid w:val="00AD4865"/>
    <w:rsid w:val="00AD4BBB"/>
    <w:rsid w:val="00AD4FCD"/>
    <w:rsid w:val="00AD5019"/>
    <w:rsid w:val="00AD50D6"/>
    <w:rsid w:val="00AD5114"/>
    <w:rsid w:val="00AD5208"/>
    <w:rsid w:val="00AD57F3"/>
    <w:rsid w:val="00AD5F7B"/>
    <w:rsid w:val="00AD62D7"/>
    <w:rsid w:val="00AD65FC"/>
    <w:rsid w:val="00AD6649"/>
    <w:rsid w:val="00AD664A"/>
    <w:rsid w:val="00AD740D"/>
    <w:rsid w:val="00AD7997"/>
    <w:rsid w:val="00AD7D65"/>
    <w:rsid w:val="00AE01BC"/>
    <w:rsid w:val="00AE01CE"/>
    <w:rsid w:val="00AE0D4E"/>
    <w:rsid w:val="00AE0E4A"/>
    <w:rsid w:val="00AE1234"/>
    <w:rsid w:val="00AE1CBD"/>
    <w:rsid w:val="00AE1D34"/>
    <w:rsid w:val="00AE29A1"/>
    <w:rsid w:val="00AE2A7D"/>
    <w:rsid w:val="00AE2E34"/>
    <w:rsid w:val="00AE30E7"/>
    <w:rsid w:val="00AE312F"/>
    <w:rsid w:val="00AE314C"/>
    <w:rsid w:val="00AE3196"/>
    <w:rsid w:val="00AE3EF4"/>
    <w:rsid w:val="00AE40A4"/>
    <w:rsid w:val="00AE461B"/>
    <w:rsid w:val="00AE4A36"/>
    <w:rsid w:val="00AE4FFA"/>
    <w:rsid w:val="00AE5127"/>
    <w:rsid w:val="00AE5131"/>
    <w:rsid w:val="00AE5272"/>
    <w:rsid w:val="00AE52F3"/>
    <w:rsid w:val="00AE576C"/>
    <w:rsid w:val="00AE5782"/>
    <w:rsid w:val="00AE57E9"/>
    <w:rsid w:val="00AE58B9"/>
    <w:rsid w:val="00AE5986"/>
    <w:rsid w:val="00AE5D60"/>
    <w:rsid w:val="00AE5DE9"/>
    <w:rsid w:val="00AE642E"/>
    <w:rsid w:val="00AE65B7"/>
    <w:rsid w:val="00AE70C0"/>
    <w:rsid w:val="00AE7794"/>
    <w:rsid w:val="00AE780E"/>
    <w:rsid w:val="00AE7AF2"/>
    <w:rsid w:val="00AE7EF9"/>
    <w:rsid w:val="00AE7FB7"/>
    <w:rsid w:val="00AF03FB"/>
    <w:rsid w:val="00AF0513"/>
    <w:rsid w:val="00AF0A2B"/>
    <w:rsid w:val="00AF19D3"/>
    <w:rsid w:val="00AF1ACE"/>
    <w:rsid w:val="00AF1CBC"/>
    <w:rsid w:val="00AF1DAE"/>
    <w:rsid w:val="00AF1FA4"/>
    <w:rsid w:val="00AF23D3"/>
    <w:rsid w:val="00AF2C7C"/>
    <w:rsid w:val="00AF2C80"/>
    <w:rsid w:val="00AF2CF6"/>
    <w:rsid w:val="00AF2E3C"/>
    <w:rsid w:val="00AF305C"/>
    <w:rsid w:val="00AF37BB"/>
    <w:rsid w:val="00AF3AC4"/>
    <w:rsid w:val="00AF3CEB"/>
    <w:rsid w:val="00AF4517"/>
    <w:rsid w:val="00AF48F4"/>
    <w:rsid w:val="00AF4925"/>
    <w:rsid w:val="00AF4A18"/>
    <w:rsid w:val="00AF4BA1"/>
    <w:rsid w:val="00AF4CE5"/>
    <w:rsid w:val="00AF4D88"/>
    <w:rsid w:val="00AF4FC9"/>
    <w:rsid w:val="00AF55E0"/>
    <w:rsid w:val="00AF5F1C"/>
    <w:rsid w:val="00AF5FBA"/>
    <w:rsid w:val="00AF60C0"/>
    <w:rsid w:val="00AF63AA"/>
    <w:rsid w:val="00AF6D50"/>
    <w:rsid w:val="00AF6E7D"/>
    <w:rsid w:val="00AF6F58"/>
    <w:rsid w:val="00AF72C9"/>
    <w:rsid w:val="00AF7522"/>
    <w:rsid w:val="00AF7CC4"/>
    <w:rsid w:val="00AF7E75"/>
    <w:rsid w:val="00B001DA"/>
    <w:rsid w:val="00B00716"/>
    <w:rsid w:val="00B00B03"/>
    <w:rsid w:val="00B00FF0"/>
    <w:rsid w:val="00B011C3"/>
    <w:rsid w:val="00B01244"/>
    <w:rsid w:val="00B0130C"/>
    <w:rsid w:val="00B0156A"/>
    <w:rsid w:val="00B01705"/>
    <w:rsid w:val="00B01ABA"/>
    <w:rsid w:val="00B02173"/>
    <w:rsid w:val="00B0217F"/>
    <w:rsid w:val="00B025FE"/>
    <w:rsid w:val="00B027F1"/>
    <w:rsid w:val="00B02F6B"/>
    <w:rsid w:val="00B030A5"/>
    <w:rsid w:val="00B03389"/>
    <w:rsid w:val="00B03394"/>
    <w:rsid w:val="00B037B3"/>
    <w:rsid w:val="00B03952"/>
    <w:rsid w:val="00B03EA7"/>
    <w:rsid w:val="00B04050"/>
    <w:rsid w:val="00B0479C"/>
    <w:rsid w:val="00B04B4E"/>
    <w:rsid w:val="00B04CB2"/>
    <w:rsid w:val="00B0517D"/>
    <w:rsid w:val="00B05285"/>
    <w:rsid w:val="00B055F0"/>
    <w:rsid w:val="00B05937"/>
    <w:rsid w:val="00B05F82"/>
    <w:rsid w:val="00B06598"/>
    <w:rsid w:val="00B06B3E"/>
    <w:rsid w:val="00B073DC"/>
    <w:rsid w:val="00B075D1"/>
    <w:rsid w:val="00B106C7"/>
    <w:rsid w:val="00B106E3"/>
    <w:rsid w:val="00B115A6"/>
    <w:rsid w:val="00B1194C"/>
    <w:rsid w:val="00B11B7E"/>
    <w:rsid w:val="00B11F1E"/>
    <w:rsid w:val="00B11F77"/>
    <w:rsid w:val="00B12356"/>
    <w:rsid w:val="00B1290F"/>
    <w:rsid w:val="00B12F78"/>
    <w:rsid w:val="00B133E9"/>
    <w:rsid w:val="00B1367C"/>
    <w:rsid w:val="00B13694"/>
    <w:rsid w:val="00B138B1"/>
    <w:rsid w:val="00B13E58"/>
    <w:rsid w:val="00B14388"/>
    <w:rsid w:val="00B14452"/>
    <w:rsid w:val="00B144D0"/>
    <w:rsid w:val="00B14B9B"/>
    <w:rsid w:val="00B14EAF"/>
    <w:rsid w:val="00B15672"/>
    <w:rsid w:val="00B15808"/>
    <w:rsid w:val="00B1582C"/>
    <w:rsid w:val="00B158BD"/>
    <w:rsid w:val="00B15944"/>
    <w:rsid w:val="00B1594A"/>
    <w:rsid w:val="00B15B54"/>
    <w:rsid w:val="00B16191"/>
    <w:rsid w:val="00B165BD"/>
    <w:rsid w:val="00B16A29"/>
    <w:rsid w:val="00B17262"/>
    <w:rsid w:val="00B17423"/>
    <w:rsid w:val="00B1781F"/>
    <w:rsid w:val="00B20345"/>
    <w:rsid w:val="00B20380"/>
    <w:rsid w:val="00B20871"/>
    <w:rsid w:val="00B2087F"/>
    <w:rsid w:val="00B20A4A"/>
    <w:rsid w:val="00B20D57"/>
    <w:rsid w:val="00B21BBB"/>
    <w:rsid w:val="00B220F3"/>
    <w:rsid w:val="00B22245"/>
    <w:rsid w:val="00B22296"/>
    <w:rsid w:val="00B22599"/>
    <w:rsid w:val="00B22723"/>
    <w:rsid w:val="00B227A6"/>
    <w:rsid w:val="00B228FE"/>
    <w:rsid w:val="00B229CF"/>
    <w:rsid w:val="00B22E4A"/>
    <w:rsid w:val="00B231BE"/>
    <w:rsid w:val="00B23493"/>
    <w:rsid w:val="00B235EB"/>
    <w:rsid w:val="00B23689"/>
    <w:rsid w:val="00B236CB"/>
    <w:rsid w:val="00B2378D"/>
    <w:rsid w:val="00B23D34"/>
    <w:rsid w:val="00B23F01"/>
    <w:rsid w:val="00B2400E"/>
    <w:rsid w:val="00B242C3"/>
    <w:rsid w:val="00B24601"/>
    <w:rsid w:val="00B24AAD"/>
    <w:rsid w:val="00B25300"/>
    <w:rsid w:val="00B25375"/>
    <w:rsid w:val="00B25682"/>
    <w:rsid w:val="00B2594F"/>
    <w:rsid w:val="00B259E2"/>
    <w:rsid w:val="00B25A17"/>
    <w:rsid w:val="00B25A46"/>
    <w:rsid w:val="00B25AC1"/>
    <w:rsid w:val="00B25AFC"/>
    <w:rsid w:val="00B25B69"/>
    <w:rsid w:val="00B25EC3"/>
    <w:rsid w:val="00B2604D"/>
    <w:rsid w:val="00B2621E"/>
    <w:rsid w:val="00B2640B"/>
    <w:rsid w:val="00B26B07"/>
    <w:rsid w:val="00B26C8F"/>
    <w:rsid w:val="00B26CEE"/>
    <w:rsid w:val="00B273B4"/>
    <w:rsid w:val="00B27579"/>
    <w:rsid w:val="00B276EB"/>
    <w:rsid w:val="00B27897"/>
    <w:rsid w:val="00B27C2A"/>
    <w:rsid w:val="00B27D19"/>
    <w:rsid w:val="00B27EDC"/>
    <w:rsid w:val="00B27FA5"/>
    <w:rsid w:val="00B3001D"/>
    <w:rsid w:val="00B301D5"/>
    <w:rsid w:val="00B309F9"/>
    <w:rsid w:val="00B30FC5"/>
    <w:rsid w:val="00B3129A"/>
    <w:rsid w:val="00B31305"/>
    <w:rsid w:val="00B31477"/>
    <w:rsid w:val="00B31548"/>
    <w:rsid w:val="00B31924"/>
    <w:rsid w:val="00B31EAC"/>
    <w:rsid w:val="00B32027"/>
    <w:rsid w:val="00B3207F"/>
    <w:rsid w:val="00B32175"/>
    <w:rsid w:val="00B321B2"/>
    <w:rsid w:val="00B3258D"/>
    <w:rsid w:val="00B32CB4"/>
    <w:rsid w:val="00B32E46"/>
    <w:rsid w:val="00B33696"/>
    <w:rsid w:val="00B3390C"/>
    <w:rsid w:val="00B33A0E"/>
    <w:rsid w:val="00B342B8"/>
    <w:rsid w:val="00B343CB"/>
    <w:rsid w:val="00B3454E"/>
    <w:rsid w:val="00B3459E"/>
    <w:rsid w:val="00B346D5"/>
    <w:rsid w:val="00B34F40"/>
    <w:rsid w:val="00B350B2"/>
    <w:rsid w:val="00B35421"/>
    <w:rsid w:val="00B3549B"/>
    <w:rsid w:val="00B35B2E"/>
    <w:rsid w:val="00B35CC7"/>
    <w:rsid w:val="00B35D61"/>
    <w:rsid w:val="00B35EB7"/>
    <w:rsid w:val="00B35FCE"/>
    <w:rsid w:val="00B36104"/>
    <w:rsid w:val="00B3612A"/>
    <w:rsid w:val="00B361D1"/>
    <w:rsid w:val="00B36288"/>
    <w:rsid w:val="00B363C6"/>
    <w:rsid w:val="00B36837"/>
    <w:rsid w:val="00B368E6"/>
    <w:rsid w:val="00B36F2F"/>
    <w:rsid w:val="00B373C1"/>
    <w:rsid w:val="00B37566"/>
    <w:rsid w:val="00B37669"/>
    <w:rsid w:val="00B3796F"/>
    <w:rsid w:val="00B37A28"/>
    <w:rsid w:val="00B37A8E"/>
    <w:rsid w:val="00B37BD9"/>
    <w:rsid w:val="00B37E8A"/>
    <w:rsid w:val="00B400EA"/>
    <w:rsid w:val="00B403B9"/>
    <w:rsid w:val="00B405AE"/>
    <w:rsid w:val="00B408E9"/>
    <w:rsid w:val="00B40E0C"/>
    <w:rsid w:val="00B41FE6"/>
    <w:rsid w:val="00B421FE"/>
    <w:rsid w:val="00B4276A"/>
    <w:rsid w:val="00B42C5B"/>
    <w:rsid w:val="00B42D48"/>
    <w:rsid w:val="00B4302B"/>
    <w:rsid w:val="00B4317E"/>
    <w:rsid w:val="00B43446"/>
    <w:rsid w:val="00B43AA5"/>
    <w:rsid w:val="00B43BCE"/>
    <w:rsid w:val="00B43F84"/>
    <w:rsid w:val="00B44087"/>
    <w:rsid w:val="00B44117"/>
    <w:rsid w:val="00B4436C"/>
    <w:rsid w:val="00B44566"/>
    <w:rsid w:val="00B446DF"/>
    <w:rsid w:val="00B44927"/>
    <w:rsid w:val="00B4495F"/>
    <w:rsid w:val="00B44973"/>
    <w:rsid w:val="00B44A08"/>
    <w:rsid w:val="00B44AD3"/>
    <w:rsid w:val="00B44D5B"/>
    <w:rsid w:val="00B44FE8"/>
    <w:rsid w:val="00B451E2"/>
    <w:rsid w:val="00B451F4"/>
    <w:rsid w:val="00B4530E"/>
    <w:rsid w:val="00B4546F"/>
    <w:rsid w:val="00B4554B"/>
    <w:rsid w:val="00B45862"/>
    <w:rsid w:val="00B468CF"/>
    <w:rsid w:val="00B46981"/>
    <w:rsid w:val="00B46DD4"/>
    <w:rsid w:val="00B47055"/>
    <w:rsid w:val="00B47533"/>
    <w:rsid w:val="00B475DE"/>
    <w:rsid w:val="00B47647"/>
    <w:rsid w:val="00B476DB"/>
    <w:rsid w:val="00B47ADA"/>
    <w:rsid w:val="00B50370"/>
    <w:rsid w:val="00B503F6"/>
    <w:rsid w:val="00B50620"/>
    <w:rsid w:val="00B50AA1"/>
    <w:rsid w:val="00B50E36"/>
    <w:rsid w:val="00B514AB"/>
    <w:rsid w:val="00B518FE"/>
    <w:rsid w:val="00B51BAA"/>
    <w:rsid w:val="00B51DF3"/>
    <w:rsid w:val="00B51E31"/>
    <w:rsid w:val="00B5232F"/>
    <w:rsid w:val="00B524DF"/>
    <w:rsid w:val="00B526E0"/>
    <w:rsid w:val="00B52703"/>
    <w:rsid w:val="00B5270F"/>
    <w:rsid w:val="00B52941"/>
    <w:rsid w:val="00B529FA"/>
    <w:rsid w:val="00B52F9F"/>
    <w:rsid w:val="00B531FA"/>
    <w:rsid w:val="00B533A0"/>
    <w:rsid w:val="00B534B3"/>
    <w:rsid w:val="00B53954"/>
    <w:rsid w:val="00B53D10"/>
    <w:rsid w:val="00B540AE"/>
    <w:rsid w:val="00B54184"/>
    <w:rsid w:val="00B54243"/>
    <w:rsid w:val="00B543A1"/>
    <w:rsid w:val="00B54430"/>
    <w:rsid w:val="00B54609"/>
    <w:rsid w:val="00B5488D"/>
    <w:rsid w:val="00B54B05"/>
    <w:rsid w:val="00B54B06"/>
    <w:rsid w:val="00B54CF6"/>
    <w:rsid w:val="00B54F30"/>
    <w:rsid w:val="00B54FF6"/>
    <w:rsid w:val="00B551B7"/>
    <w:rsid w:val="00B55228"/>
    <w:rsid w:val="00B555CE"/>
    <w:rsid w:val="00B557DD"/>
    <w:rsid w:val="00B558BA"/>
    <w:rsid w:val="00B55954"/>
    <w:rsid w:val="00B5596D"/>
    <w:rsid w:val="00B55A7A"/>
    <w:rsid w:val="00B55FE2"/>
    <w:rsid w:val="00B56357"/>
    <w:rsid w:val="00B56381"/>
    <w:rsid w:val="00B56798"/>
    <w:rsid w:val="00B56AF8"/>
    <w:rsid w:val="00B56C15"/>
    <w:rsid w:val="00B56F90"/>
    <w:rsid w:val="00B57519"/>
    <w:rsid w:val="00B57A4C"/>
    <w:rsid w:val="00B6006B"/>
    <w:rsid w:val="00B60A6E"/>
    <w:rsid w:val="00B60BAF"/>
    <w:rsid w:val="00B60BE8"/>
    <w:rsid w:val="00B60C54"/>
    <w:rsid w:val="00B60CA7"/>
    <w:rsid w:val="00B60FC7"/>
    <w:rsid w:val="00B61927"/>
    <w:rsid w:val="00B61BCE"/>
    <w:rsid w:val="00B61EF6"/>
    <w:rsid w:val="00B62177"/>
    <w:rsid w:val="00B6253B"/>
    <w:rsid w:val="00B62FF0"/>
    <w:rsid w:val="00B63226"/>
    <w:rsid w:val="00B632D5"/>
    <w:rsid w:val="00B6380C"/>
    <w:rsid w:val="00B63927"/>
    <w:rsid w:val="00B63B03"/>
    <w:rsid w:val="00B63CE0"/>
    <w:rsid w:val="00B63DCC"/>
    <w:rsid w:val="00B64CCA"/>
    <w:rsid w:val="00B64EBB"/>
    <w:rsid w:val="00B64ED6"/>
    <w:rsid w:val="00B65555"/>
    <w:rsid w:val="00B656A4"/>
    <w:rsid w:val="00B6583B"/>
    <w:rsid w:val="00B65A57"/>
    <w:rsid w:val="00B65E02"/>
    <w:rsid w:val="00B6605B"/>
    <w:rsid w:val="00B663C2"/>
    <w:rsid w:val="00B6650D"/>
    <w:rsid w:val="00B66538"/>
    <w:rsid w:val="00B665F6"/>
    <w:rsid w:val="00B66612"/>
    <w:rsid w:val="00B6672B"/>
    <w:rsid w:val="00B66B9E"/>
    <w:rsid w:val="00B66F32"/>
    <w:rsid w:val="00B67032"/>
    <w:rsid w:val="00B6720A"/>
    <w:rsid w:val="00B67666"/>
    <w:rsid w:val="00B67767"/>
    <w:rsid w:val="00B700D6"/>
    <w:rsid w:val="00B701F0"/>
    <w:rsid w:val="00B702AD"/>
    <w:rsid w:val="00B7061E"/>
    <w:rsid w:val="00B707EF"/>
    <w:rsid w:val="00B70BE2"/>
    <w:rsid w:val="00B711C1"/>
    <w:rsid w:val="00B71245"/>
    <w:rsid w:val="00B71996"/>
    <w:rsid w:val="00B719E8"/>
    <w:rsid w:val="00B71AC1"/>
    <w:rsid w:val="00B71AFA"/>
    <w:rsid w:val="00B71B76"/>
    <w:rsid w:val="00B71C39"/>
    <w:rsid w:val="00B71C6B"/>
    <w:rsid w:val="00B726A4"/>
    <w:rsid w:val="00B732B2"/>
    <w:rsid w:val="00B735B6"/>
    <w:rsid w:val="00B738E4"/>
    <w:rsid w:val="00B74208"/>
    <w:rsid w:val="00B746BA"/>
    <w:rsid w:val="00B747CD"/>
    <w:rsid w:val="00B7486F"/>
    <w:rsid w:val="00B75142"/>
    <w:rsid w:val="00B7558A"/>
    <w:rsid w:val="00B7577B"/>
    <w:rsid w:val="00B75890"/>
    <w:rsid w:val="00B759A3"/>
    <w:rsid w:val="00B75D4C"/>
    <w:rsid w:val="00B75FF8"/>
    <w:rsid w:val="00B764ED"/>
    <w:rsid w:val="00B76A2A"/>
    <w:rsid w:val="00B76BB8"/>
    <w:rsid w:val="00B76CD2"/>
    <w:rsid w:val="00B76DD7"/>
    <w:rsid w:val="00B76E37"/>
    <w:rsid w:val="00B77C54"/>
    <w:rsid w:val="00B80227"/>
    <w:rsid w:val="00B80400"/>
    <w:rsid w:val="00B80571"/>
    <w:rsid w:val="00B81268"/>
    <w:rsid w:val="00B8154F"/>
    <w:rsid w:val="00B8164F"/>
    <w:rsid w:val="00B81774"/>
    <w:rsid w:val="00B817AF"/>
    <w:rsid w:val="00B81CB1"/>
    <w:rsid w:val="00B82A23"/>
    <w:rsid w:val="00B833DB"/>
    <w:rsid w:val="00B83832"/>
    <w:rsid w:val="00B83881"/>
    <w:rsid w:val="00B83CF1"/>
    <w:rsid w:val="00B83F32"/>
    <w:rsid w:val="00B84A89"/>
    <w:rsid w:val="00B84D4A"/>
    <w:rsid w:val="00B85379"/>
    <w:rsid w:val="00B8552C"/>
    <w:rsid w:val="00B8558B"/>
    <w:rsid w:val="00B85992"/>
    <w:rsid w:val="00B85AA9"/>
    <w:rsid w:val="00B85F3B"/>
    <w:rsid w:val="00B85F43"/>
    <w:rsid w:val="00B85F65"/>
    <w:rsid w:val="00B86290"/>
    <w:rsid w:val="00B86BF9"/>
    <w:rsid w:val="00B870E0"/>
    <w:rsid w:val="00B871B7"/>
    <w:rsid w:val="00B87214"/>
    <w:rsid w:val="00B874A8"/>
    <w:rsid w:val="00B8761B"/>
    <w:rsid w:val="00B87915"/>
    <w:rsid w:val="00B87B1F"/>
    <w:rsid w:val="00B87B87"/>
    <w:rsid w:val="00B87BBA"/>
    <w:rsid w:val="00B87BC2"/>
    <w:rsid w:val="00B90641"/>
    <w:rsid w:val="00B90776"/>
    <w:rsid w:val="00B90A42"/>
    <w:rsid w:val="00B90FA2"/>
    <w:rsid w:val="00B91287"/>
    <w:rsid w:val="00B9142D"/>
    <w:rsid w:val="00B914C4"/>
    <w:rsid w:val="00B9178D"/>
    <w:rsid w:val="00B92386"/>
    <w:rsid w:val="00B924E3"/>
    <w:rsid w:val="00B92A50"/>
    <w:rsid w:val="00B92D18"/>
    <w:rsid w:val="00B92E3F"/>
    <w:rsid w:val="00B92F94"/>
    <w:rsid w:val="00B93BF5"/>
    <w:rsid w:val="00B93C88"/>
    <w:rsid w:val="00B94114"/>
    <w:rsid w:val="00B94246"/>
    <w:rsid w:val="00B948B9"/>
    <w:rsid w:val="00B94B80"/>
    <w:rsid w:val="00B94C6A"/>
    <w:rsid w:val="00B94CE2"/>
    <w:rsid w:val="00B9501A"/>
    <w:rsid w:val="00B95660"/>
    <w:rsid w:val="00B95731"/>
    <w:rsid w:val="00B9591E"/>
    <w:rsid w:val="00B959F6"/>
    <w:rsid w:val="00B95A4F"/>
    <w:rsid w:val="00B95C4F"/>
    <w:rsid w:val="00B95CC3"/>
    <w:rsid w:val="00B95EDD"/>
    <w:rsid w:val="00B96083"/>
    <w:rsid w:val="00B9672D"/>
    <w:rsid w:val="00B9675B"/>
    <w:rsid w:val="00B967E8"/>
    <w:rsid w:val="00B9680D"/>
    <w:rsid w:val="00B96926"/>
    <w:rsid w:val="00B96B62"/>
    <w:rsid w:val="00B96E57"/>
    <w:rsid w:val="00B96FCC"/>
    <w:rsid w:val="00B97028"/>
    <w:rsid w:val="00B973ED"/>
    <w:rsid w:val="00B97863"/>
    <w:rsid w:val="00B97A2A"/>
    <w:rsid w:val="00B97C01"/>
    <w:rsid w:val="00B97C0C"/>
    <w:rsid w:val="00B97CBC"/>
    <w:rsid w:val="00BA00F8"/>
    <w:rsid w:val="00BA01AD"/>
    <w:rsid w:val="00BA01CB"/>
    <w:rsid w:val="00BA0655"/>
    <w:rsid w:val="00BA07C0"/>
    <w:rsid w:val="00BA09CE"/>
    <w:rsid w:val="00BA0FDE"/>
    <w:rsid w:val="00BA13C0"/>
    <w:rsid w:val="00BA13F9"/>
    <w:rsid w:val="00BA15C8"/>
    <w:rsid w:val="00BA1946"/>
    <w:rsid w:val="00BA19B6"/>
    <w:rsid w:val="00BA1CBF"/>
    <w:rsid w:val="00BA2416"/>
    <w:rsid w:val="00BA2944"/>
    <w:rsid w:val="00BA2C8D"/>
    <w:rsid w:val="00BA2DEE"/>
    <w:rsid w:val="00BA3199"/>
    <w:rsid w:val="00BA351C"/>
    <w:rsid w:val="00BA3756"/>
    <w:rsid w:val="00BA3764"/>
    <w:rsid w:val="00BA3C5A"/>
    <w:rsid w:val="00BA3DAD"/>
    <w:rsid w:val="00BA4124"/>
    <w:rsid w:val="00BA4435"/>
    <w:rsid w:val="00BA4439"/>
    <w:rsid w:val="00BA48B4"/>
    <w:rsid w:val="00BA49AD"/>
    <w:rsid w:val="00BA49AE"/>
    <w:rsid w:val="00BA4D78"/>
    <w:rsid w:val="00BA4E2B"/>
    <w:rsid w:val="00BA5587"/>
    <w:rsid w:val="00BA57B3"/>
    <w:rsid w:val="00BA5E11"/>
    <w:rsid w:val="00BA6168"/>
    <w:rsid w:val="00BA62BC"/>
    <w:rsid w:val="00BA6633"/>
    <w:rsid w:val="00BA66A1"/>
    <w:rsid w:val="00BA68E0"/>
    <w:rsid w:val="00BA7228"/>
    <w:rsid w:val="00BA74F5"/>
    <w:rsid w:val="00BA77D8"/>
    <w:rsid w:val="00BA7BA6"/>
    <w:rsid w:val="00BA7EA6"/>
    <w:rsid w:val="00BA7F4D"/>
    <w:rsid w:val="00BB03F1"/>
    <w:rsid w:val="00BB0529"/>
    <w:rsid w:val="00BB0C6D"/>
    <w:rsid w:val="00BB11C3"/>
    <w:rsid w:val="00BB1605"/>
    <w:rsid w:val="00BB16DD"/>
    <w:rsid w:val="00BB174F"/>
    <w:rsid w:val="00BB18A9"/>
    <w:rsid w:val="00BB1CA1"/>
    <w:rsid w:val="00BB1E55"/>
    <w:rsid w:val="00BB2963"/>
    <w:rsid w:val="00BB2A79"/>
    <w:rsid w:val="00BB2AA7"/>
    <w:rsid w:val="00BB2AFB"/>
    <w:rsid w:val="00BB2EF6"/>
    <w:rsid w:val="00BB317C"/>
    <w:rsid w:val="00BB320E"/>
    <w:rsid w:val="00BB33A0"/>
    <w:rsid w:val="00BB3787"/>
    <w:rsid w:val="00BB38CA"/>
    <w:rsid w:val="00BB3E05"/>
    <w:rsid w:val="00BB3FC5"/>
    <w:rsid w:val="00BB40B9"/>
    <w:rsid w:val="00BB4210"/>
    <w:rsid w:val="00BB4814"/>
    <w:rsid w:val="00BB4833"/>
    <w:rsid w:val="00BB4876"/>
    <w:rsid w:val="00BB4D3B"/>
    <w:rsid w:val="00BB531C"/>
    <w:rsid w:val="00BB5D25"/>
    <w:rsid w:val="00BB5E4F"/>
    <w:rsid w:val="00BB6183"/>
    <w:rsid w:val="00BB64F1"/>
    <w:rsid w:val="00BB6730"/>
    <w:rsid w:val="00BB67C3"/>
    <w:rsid w:val="00BB69C3"/>
    <w:rsid w:val="00BB6A2C"/>
    <w:rsid w:val="00BB6B17"/>
    <w:rsid w:val="00BB6F6B"/>
    <w:rsid w:val="00BB7069"/>
    <w:rsid w:val="00BB7423"/>
    <w:rsid w:val="00BB76FA"/>
    <w:rsid w:val="00BB7901"/>
    <w:rsid w:val="00BB7A06"/>
    <w:rsid w:val="00BB7B3A"/>
    <w:rsid w:val="00BC0052"/>
    <w:rsid w:val="00BC0137"/>
    <w:rsid w:val="00BC0153"/>
    <w:rsid w:val="00BC0402"/>
    <w:rsid w:val="00BC059F"/>
    <w:rsid w:val="00BC05BB"/>
    <w:rsid w:val="00BC0BE5"/>
    <w:rsid w:val="00BC1315"/>
    <w:rsid w:val="00BC1A9A"/>
    <w:rsid w:val="00BC1B9F"/>
    <w:rsid w:val="00BC1D40"/>
    <w:rsid w:val="00BC1E9D"/>
    <w:rsid w:val="00BC1F88"/>
    <w:rsid w:val="00BC2028"/>
    <w:rsid w:val="00BC2175"/>
    <w:rsid w:val="00BC226E"/>
    <w:rsid w:val="00BC23E1"/>
    <w:rsid w:val="00BC24E8"/>
    <w:rsid w:val="00BC2512"/>
    <w:rsid w:val="00BC28E0"/>
    <w:rsid w:val="00BC2CB5"/>
    <w:rsid w:val="00BC2D9B"/>
    <w:rsid w:val="00BC31D0"/>
    <w:rsid w:val="00BC31D4"/>
    <w:rsid w:val="00BC3276"/>
    <w:rsid w:val="00BC3549"/>
    <w:rsid w:val="00BC37B7"/>
    <w:rsid w:val="00BC3880"/>
    <w:rsid w:val="00BC3D0C"/>
    <w:rsid w:val="00BC4423"/>
    <w:rsid w:val="00BC452A"/>
    <w:rsid w:val="00BC4A43"/>
    <w:rsid w:val="00BC4DB9"/>
    <w:rsid w:val="00BC5405"/>
    <w:rsid w:val="00BC56C2"/>
    <w:rsid w:val="00BC5765"/>
    <w:rsid w:val="00BC6EC0"/>
    <w:rsid w:val="00BC6FD2"/>
    <w:rsid w:val="00BC71D9"/>
    <w:rsid w:val="00BC7680"/>
    <w:rsid w:val="00BC77C8"/>
    <w:rsid w:val="00BC7835"/>
    <w:rsid w:val="00BC7CBC"/>
    <w:rsid w:val="00BC7E1B"/>
    <w:rsid w:val="00BD0006"/>
    <w:rsid w:val="00BD00E1"/>
    <w:rsid w:val="00BD0315"/>
    <w:rsid w:val="00BD0521"/>
    <w:rsid w:val="00BD0849"/>
    <w:rsid w:val="00BD0A1C"/>
    <w:rsid w:val="00BD0DC4"/>
    <w:rsid w:val="00BD11FD"/>
    <w:rsid w:val="00BD144C"/>
    <w:rsid w:val="00BD17CA"/>
    <w:rsid w:val="00BD20AB"/>
    <w:rsid w:val="00BD20E6"/>
    <w:rsid w:val="00BD21AF"/>
    <w:rsid w:val="00BD22BF"/>
    <w:rsid w:val="00BD2B54"/>
    <w:rsid w:val="00BD2B56"/>
    <w:rsid w:val="00BD2C58"/>
    <w:rsid w:val="00BD3098"/>
    <w:rsid w:val="00BD3151"/>
    <w:rsid w:val="00BD34DF"/>
    <w:rsid w:val="00BD36DA"/>
    <w:rsid w:val="00BD38A6"/>
    <w:rsid w:val="00BD3A11"/>
    <w:rsid w:val="00BD3C16"/>
    <w:rsid w:val="00BD401E"/>
    <w:rsid w:val="00BD407A"/>
    <w:rsid w:val="00BD419C"/>
    <w:rsid w:val="00BD431E"/>
    <w:rsid w:val="00BD4570"/>
    <w:rsid w:val="00BD4BC3"/>
    <w:rsid w:val="00BD4BF6"/>
    <w:rsid w:val="00BD4E73"/>
    <w:rsid w:val="00BD4E89"/>
    <w:rsid w:val="00BD51B5"/>
    <w:rsid w:val="00BD530B"/>
    <w:rsid w:val="00BD5407"/>
    <w:rsid w:val="00BD5482"/>
    <w:rsid w:val="00BD5724"/>
    <w:rsid w:val="00BD5907"/>
    <w:rsid w:val="00BD5AAC"/>
    <w:rsid w:val="00BD5B6C"/>
    <w:rsid w:val="00BD6152"/>
    <w:rsid w:val="00BD62C0"/>
    <w:rsid w:val="00BD6615"/>
    <w:rsid w:val="00BD6624"/>
    <w:rsid w:val="00BD6655"/>
    <w:rsid w:val="00BD6AB5"/>
    <w:rsid w:val="00BD6C31"/>
    <w:rsid w:val="00BD7467"/>
    <w:rsid w:val="00BD7B06"/>
    <w:rsid w:val="00BD7B94"/>
    <w:rsid w:val="00BD7D22"/>
    <w:rsid w:val="00BE0322"/>
    <w:rsid w:val="00BE067A"/>
    <w:rsid w:val="00BE06B6"/>
    <w:rsid w:val="00BE090B"/>
    <w:rsid w:val="00BE0931"/>
    <w:rsid w:val="00BE0BFF"/>
    <w:rsid w:val="00BE14CB"/>
    <w:rsid w:val="00BE17C1"/>
    <w:rsid w:val="00BE181E"/>
    <w:rsid w:val="00BE1C37"/>
    <w:rsid w:val="00BE240B"/>
    <w:rsid w:val="00BE26FB"/>
    <w:rsid w:val="00BE28CF"/>
    <w:rsid w:val="00BE2AE1"/>
    <w:rsid w:val="00BE2C6B"/>
    <w:rsid w:val="00BE2EB3"/>
    <w:rsid w:val="00BE2EE6"/>
    <w:rsid w:val="00BE37E3"/>
    <w:rsid w:val="00BE384F"/>
    <w:rsid w:val="00BE3A77"/>
    <w:rsid w:val="00BE3F82"/>
    <w:rsid w:val="00BE4033"/>
    <w:rsid w:val="00BE4569"/>
    <w:rsid w:val="00BE4EFE"/>
    <w:rsid w:val="00BE4FF2"/>
    <w:rsid w:val="00BE509E"/>
    <w:rsid w:val="00BE526C"/>
    <w:rsid w:val="00BE5720"/>
    <w:rsid w:val="00BE63A7"/>
    <w:rsid w:val="00BE64E6"/>
    <w:rsid w:val="00BE65B1"/>
    <w:rsid w:val="00BE6FC8"/>
    <w:rsid w:val="00BE71DD"/>
    <w:rsid w:val="00BE771D"/>
    <w:rsid w:val="00BF01A5"/>
    <w:rsid w:val="00BF0683"/>
    <w:rsid w:val="00BF0974"/>
    <w:rsid w:val="00BF09C4"/>
    <w:rsid w:val="00BF0B17"/>
    <w:rsid w:val="00BF0C5B"/>
    <w:rsid w:val="00BF1064"/>
    <w:rsid w:val="00BF14D6"/>
    <w:rsid w:val="00BF164C"/>
    <w:rsid w:val="00BF169C"/>
    <w:rsid w:val="00BF19CC"/>
    <w:rsid w:val="00BF1A27"/>
    <w:rsid w:val="00BF1A30"/>
    <w:rsid w:val="00BF1BF1"/>
    <w:rsid w:val="00BF1C32"/>
    <w:rsid w:val="00BF1DBC"/>
    <w:rsid w:val="00BF218F"/>
    <w:rsid w:val="00BF25F5"/>
    <w:rsid w:val="00BF2746"/>
    <w:rsid w:val="00BF27BF"/>
    <w:rsid w:val="00BF2DC2"/>
    <w:rsid w:val="00BF2F0D"/>
    <w:rsid w:val="00BF34B5"/>
    <w:rsid w:val="00BF44AA"/>
    <w:rsid w:val="00BF45E5"/>
    <w:rsid w:val="00BF4FFA"/>
    <w:rsid w:val="00BF512E"/>
    <w:rsid w:val="00BF55E0"/>
    <w:rsid w:val="00BF5627"/>
    <w:rsid w:val="00BF56B7"/>
    <w:rsid w:val="00BF5922"/>
    <w:rsid w:val="00BF59C6"/>
    <w:rsid w:val="00BF5CEB"/>
    <w:rsid w:val="00BF5DD6"/>
    <w:rsid w:val="00BF6990"/>
    <w:rsid w:val="00BF69C9"/>
    <w:rsid w:val="00BF6FB3"/>
    <w:rsid w:val="00BF7128"/>
    <w:rsid w:val="00BF75D9"/>
    <w:rsid w:val="00BF79F0"/>
    <w:rsid w:val="00BF7BE1"/>
    <w:rsid w:val="00C00602"/>
    <w:rsid w:val="00C009D4"/>
    <w:rsid w:val="00C00A8B"/>
    <w:rsid w:val="00C0101C"/>
    <w:rsid w:val="00C010A9"/>
    <w:rsid w:val="00C012BE"/>
    <w:rsid w:val="00C014B8"/>
    <w:rsid w:val="00C017E6"/>
    <w:rsid w:val="00C01A95"/>
    <w:rsid w:val="00C01DDB"/>
    <w:rsid w:val="00C01E0B"/>
    <w:rsid w:val="00C01E5C"/>
    <w:rsid w:val="00C01F59"/>
    <w:rsid w:val="00C022AA"/>
    <w:rsid w:val="00C02901"/>
    <w:rsid w:val="00C02E4B"/>
    <w:rsid w:val="00C02FA1"/>
    <w:rsid w:val="00C03197"/>
    <w:rsid w:val="00C0373C"/>
    <w:rsid w:val="00C03976"/>
    <w:rsid w:val="00C04125"/>
    <w:rsid w:val="00C0447C"/>
    <w:rsid w:val="00C04604"/>
    <w:rsid w:val="00C0466B"/>
    <w:rsid w:val="00C04ED7"/>
    <w:rsid w:val="00C04FCE"/>
    <w:rsid w:val="00C05007"/>
    <w:rsid w:val="00C0521D"/>
    <w:rsid w:val="00C05465"/>
    <w:rsid w:val="00C0549F"/>
    <w:rsid w:val="00C0558E"/>
    <w:rsid w:val="00C05D81"/>
    <w:rsid w:val="00C0670D"/>
    <w:rsid w:val="00C06926"/>
    <w:rsid w:val="00C06DC8"/>
    <w:rsid w:val="00C074B9"/>
    <w:rsid w:val="00C1006A"/>
    <w:rsid w:val="00C10A75"/>
    <w:rsid w:val="00C10D8E"/>
    <w:rsid w:val="00C10E4B"/>
    <w:rsid w:val="00C10ED7"/>
    <w:rsid w:val="00C11C3F"/>
    <w:rsid w:val="00C11C42"/>
    <w:rsid w:val="00C11FE6"/>
    <w:rsid w:val="00C12523"/>
    <w:rsid w:val="00C12537"/>
    <w:rsid w:val="00C128AF"/>
    <w:rsid w:val="00C12B7F"/>
    <w:rsid w:val="00C12BE0"/>
    <w:rsid w:val="00C1338D"/>
    <w:rsid w:val="00C13393"/>
    <w:rsid w:val="00C13E5E"/>
    <w:rsid w:val="00C14842"/>
    <w:rsid w:val="00C14A33"/>
    <w:rsid w:val="00C14DF3"/>
    <w:rsid w:val="00C14E83"/>
    <w:rsid w:val="00C151FE"/>
    <w:rsid w:val="00C15466"/>
    <w:rsid w:val="00C155EF"/>
    <w:rsid w:val="00C15716"/>
    <w:rsid w:val="00C15DB6"/>
    <w:rsid w:val="00C15E02"/>
    <w:rsid w:val="00C15F0F"/>
    <w:rsid w:val="00C15F65"/>
    <w:rsid w:val="00C160A2"/>
    <w:rsid w:val="00C1676E"/>
    <w:rsid w:val="00C1682D"/>
    <w:rsid w:val="00C16D78"/>
    <w:rsid w:val="00C170BA"/>
    <w:rsid w:val="00C173B1"/>
    <w:rsid w:val="00C178C5"/>
    <w:rsid w:val="00C17C34"/>
    <w:rsid w:val="00C17FC2"/>
    <w:rsid w:val="00C200BB"/>
    <w:rsid w:val="00C203E4"/>
    <w:rsid w:val="00C2044F"/>
    <w:rsid w:val="00C20568"/>
    <w:rsid w:val="00C205F2"/>
    <w:rsid w:val="00C20600"/>
    <w:rsid w:val="00C20605"/>
    <w:rsid w:val="00C20E15"/>
    <w:rsid w:val="00C211A4"/>
    <w:rsid w:val="00C211B4"/>
    <w:rsid w:val="00C2130C"/>
    <w:rsid w:val="00C2137B"/>
    <w:rsid w:val="00C215F9"/>
    <w:rsid w:val="00C21B67"/>
    <w:rsid w:val="00C21C02"/>
    <w:rsid w:val="00C22645"/>
    <w:rsid w:val="00C228C4"/>
    <w:rsid w:val="00C22A34"/>
    <w:rsid w:val="00C22DC0"/>
    <w:rsid w:val="00C22FE0"/>
    <w:rsid w:val="00C2338D"/>
    <w:rsid w:val="00C23625"/>
    <w:rsid w:val="00C23DCA"/>
    <w:rsid w:val="00C23FE7"/>
    <w:rsid w:val="00C241C2"/>
    <w:rsid w:val="00C24B7B"/>
    <w:rsid w:val="00C24C09"/>
    <w:rsid w:val="00C251BB"/>
    <w:rsid w:val="00C25330"/>
    <w:rsid w:val="00C25EDA"/>
    <w:rsid w:val="00C25F0F"/>
    <w:rsid w:val="00C269D5"/>
    <w:rsid w:val="00C26B54"/>
    <w:rsid w:val="00C26D80"/>
    <w:rsid w:val="00C27070"/>
    <w:rsid w:val="00C272AD"/>
    <w:rsid w:val="00C276A5"/>
    <w:rsid w:val="00C276C7"/>
    <w:rsid w:val="00C27812"/>
    <w:rsid w:val="00C2788D"/>
    <w:rsid w:val="00C27DAB"/>
    <w:rsid w:val="00C3012C"/>
    <w:rsid w:val="00C3023F"/>
    <w:rsid w:val="00C309A0"/>
    <w:rsid w:val="00C3102D"/>
    <w:rsid w:val="00C310BF"/>
    <w:rsid w:val="00C311CE"/>
    <w:rsid w:val="00C3169C"/>
    <w:rsid w:val="00C316F4"/>
    <w:rsid w:val="00C31990"/>
    <w:rsid w:val="00C31F1C"/>
    <w:rsid w:val="00C321A4"/>
    <w:rsid w:val="00C32396"/>
    <w:rsid w:val="00C324D0"/>
    <w:rsid w:val="00C326FA"/>
    <w:rsid w:val="00C329FB"/>
    <w:rsid w:val="00C33391"/>
    <w:rsid w:val="00C3359D"/>
    <w:rsid w:val="00C336BB"/>
    <w:rsid w:val="00C336E4"/>
    <w:rsid w:val="00C33832"/>
    <w:rsid w:val="00C33B68"/>
    <w:rsid w:val="00C34217"/>
    <w:rsid w:val="00C34228"/>
    <w:rsid w:val="00C342B0"/>
    <w:rsid w:val="00C34518"/>
    <w:rsid w:val="00C345AC"/>
    <w:rsid w:val="00C34A07"/>
    <w:rsid w:val="00C34AA8"/>
    <w:rsid w:val="00C3556A"/>
    <w:rsid w:val="00C355A8"/>
    <w:rsid w:val="00C35626"/>
    <w:rsid w:val="00C3628E"/>
    <w:rsid w:val="00C366B6"/>
    <w:rsid w:val="00C366EE"/>
    <w:rsid w:val="00C36F78"/>
    <w:rsid w:val="00C36FC4"/>
    <w:rsid w:val="00C373F3"/>
    <w:rsid w:val="00C37E87"/>
    <w:rsid w:val="00C40120"/>
    <w:rsid w:val="00C40145"/>
    <w:rsid w:val="00C402A2"/>
    <w:rsid w:val="00C4074E"/>
    <w:rsid w:val="00C40858"/>
    <w:rsid w:val="00C409A0"/>
    <w:rsid w:val="00C40B0D"/>
    <w:rsid w:val="00C40C98"/>
    <w:rsid w:val="00C40EF0"/>
    <w:rsid w:val="00C41049"/>
    <w:rsid w:val="00C410DE"/>
    <w:rsid w:val="00C4153B"/>
    <w:rsid w:val="00C415CB"/>
    <w:rsid w:val="00C4167D"/>
    <w:rsid w:val="00C417F6"/>
    <w:rsid w:val="00C41B16"/>
    <w:rsid w:val="00C4209B"/>
    <w:rsid w:val="00C423A9"/>
    <w:rsid w:val="00C424EC"/>
    <w:rsid w:val="00C42629"/>
    <w:rsid w:val="00C42931"/>
    <w:rsid w:val="00C429E9"/>
    <w:rsid w:val="00C43822"/>
    <w:rsid w:val="00C43ACD"/>
    <w:rsid w:val="00C43D9B"/>
    <w:rsid w:val="00C43F3C"/>
    <w:rsid w:val="00C44236"/>
    <w:rsid w:val="00C447EB"/>
    <w:rsid w:val="00C44928"/>
    <w:rsid w:val="00C45043"/>
    <w:rsid w:val="00C45770"/>
    <w:rsid w:val="00C45F66"/>
    <w:rsid w:val="00C4625D"/>
    <w:rsid w:val="00C46709"/>
    <w:rsid w:val="00C46A8D"/>
    <w:rsid w:val="00C46B38"/>
    <w:rsid w:val="00C47524"/>
    <w:rsid w:val="00C475CA"/>
    <w:rsid w:val="00C47FD6"/>
    <w:rsid w:val="00C502C6"/>
    <w:rsid w:val="00C50727"/>
    <w:rsid w:val="00C5090B"/>
    <w:rsid w:val="00C50A58"/>
    <w:rsid w:val="00C50AF8"/>
    <w:rsid w:val="00C50AFF"/>
    <w:rsid w:val="00C50C27"/>
    <w:rsid w:val="00C50CB4"/>
    <w:rsid w:val="00C515C2"/>
    <w:rsid w:val="00C5172A"/>
    <w:rsid w:val="00C5176E"/>
    <w:rsid w:val="00C51801"/>
    <w:rsid w:val="00C51FE2"/>
    <w:rsid w:val="00C5215C"/>
    <w:rsid w:val="00C52A31"/>
    <w:rsid w:val="00C53077"/>
    <w:rsid w:val="00C53283"/>
    <w:rsid w:val="00C53412"/>
    <w:rsid w:val="00C5349F"/>
    <w:rsid w:val="00C5363B"/>
    <w:rsid w:val="00C5383B"/>
    <w:rsid w:val="00C53F82"/>
    <w:rsid w:val="00C54486"/>
    <w:rsid w:val="00C54516"/>
    <w:rsid w:val="00C54582"/>
    <w:rsid w:val="00C546BF"/>
    <w:rsid w:val="00C54A23"/>
    <w:rsid w:val="00C55401"/>
    <w:rsid w:val="00C555FC"/>
    <w:rsid w:val="00C55716"/>
    <w:rsid w:val="00C55821"/>
    <w:rsid w:val="00C55A1D"/>
    <w:rsid w:val="00C55DF4"/>
    <w:rsid w:val="00C55F3A"/>
    <w:rsid w:val="00C55F4B"/>
    <w:rsid w:val="00C56995"/>
    <w:rsid w:val="00C56E44"/>
    <w:rsid w:val="00C56F9C"/>
    <w:rsid w:val="00C570E4"/>
    <w:rsid w:val="00C57262"/>
    <w:rsid w:val="00C576E7"/>
    <w:rsid w:val="00C57995"/>
    <w:rsid w:val="00C57A24"/>
    <w:rsid w:val="00C57A41"/>
    <w:rsid w:val="00C57A93"/>
    <w:rsid w:val="00C57B09"/>
    <w:rsid w:val="00C57BFF"/>
    <w:rsid w:val="00C57E26"/>
    <w:rsid w:val="00C604EB"/>
    <w:rsid w:val="00C60D1D"/>
    <w:rsid w:val="00C60D8B"/>
    <w:rsid w:val="00C60E65"/>
    <w:rsid w:val="00C612A3"/>
    <w:rsid w:val="00C61547"/>
    <w:rsid w:val="00C617DF"/>
    <w:rsid w:val="00C6182E"/>
    <w:rsid w:val="00C61FC8"/>
    <w:rsid w:val="00C62EAD"/>
    <w:rsid w:val="00C62FC5"/>
    <w:rsid w:val="00C62FEF"/>
    <w:rsid w:val="00C6334C"/>
    <w:rsid w:val="00C63452"/>
    <w:rsid w:val="00C634F9"/>
    <w:rsid w:val="00C6394E"/>
    <w:rsid w:val="00C63A09"/>
    <w:rsid w:val="00C63DB4"/>
    <w:rsid w:val="00C63E6C"/>
    <w:rsid w:val="00C6449B"/>
    <w:rsid w:val="00C64BD8"/>
    <w:rsid w:val="00C64CAA"/>
    <w:rsid w:val="00C64D76"/>
    <w:rsid w:val="00C65066"/>
    <w:rsid w:val="00C654A1"/>
    <w:rsid w:val="00C654B6"/>
    <w:rsid w:val="00C6573F"/>
    <w:rsid w:val="00C65DAC"/>
    <w:rsid w:val="00C66925"/>
    <w:rsid w:val="00C66A2D"/>
    <w:rsid w:val="00C66BCD"/>
    <w:rsid w:val="00C66BCE"/>
    <w:rsid w:val="00C67010"/>
    <w:rsid w:val="00C672ED"/>
    <w:rsid w:val="00C67582"/>
    <w:rsid w:val="00C67F38"/>
    <w:rsid w:val="00C700F4"/>
    <w:rsid w:val="00C70A18"/>
    <w:rsid w:val="00C70B23"/>
    <w:rsid w:val="00C70F7C"/>
    <w:rsid w:val="00C71335"/>
    <w:rsid w:val="00C71A19"/>
    <w:rsid w:val="00C71A52"/>
    <w:rsid w:val="00C71D57"/>
    <w:rsid w:val="00C71EC2"/>
    <w:rsid w:val="00C71EC3"/>
    <w:rsid w:val="00C72247"/>
    <w:rsid w:val="00C723F9"/>
    <w:rsid w:val="00C72BCB"/>
    <w:rsid w:val="00C72F67"/>
    <w:rsid w:val="00C7300F"/>
    <w:rsid w:val="00C732E4"/>
    <w:rsid w:val="00C73456"/>
    <w:rsid w:val="00C735CB"/>
    <w:rsid w:val="00C73945"/>
    <w:rsid w:val="00C7396D"/>
    <w:rsid w:val="00C73FA8"/>
    <w:rsid w:val="00C744AD"/>
    <w:rsid w:val="00C74B27"/>
    <w:rsid w:val="00C74CCD"/>
    <w:rsid w:val="00C750BD"/>
    <w:rsid w:val="00C750DC"/>
    <w:rsid w:val="00C751C6"/>
    <w:rsid w:val="00C75461"/>
    <w:rsid w:val="00C754B0"/>
    <w:rsid w:val="00C75C31"/>
    <w:rsid w:val="00C7644F"/>
    <w:rsid w:val="00C7646A"/>
    <w:rsid w:val="00C764AF"/>
    <w:rsid w:val="00C766C8"/>
    <w:rsid w:val="00C769A1"/>
    <w:rsid w:val="00C76A80"/>
    <w:rsid w:val="00C76CB8"/>
    <w:rsid w:val="00C76FC2"/>
    <w:rsid w:val="00C76FD0"/>
    <w:rsid w:val="00C7715E"/>
    <w:rsid w:val="00C77AFB"/>
    <w:rsid w:val="00C77D61"/>
    <w:rsid w:val="00C77EEF"/>
    <w:rsid w:val="00C809F8"/>
    <w:rsid w:val="00C80BC4"/>
    <w:rsid w:val="00C80FBF"/>
    <w:rsid w:val="00C810EA"/>
    <w:rsid w:val="00C814F7"/>
    <w:rsid w:val="00C81545"/>
    <w:rsid w:val="00C81F04"/>
    <w:rsid w:val="00C826AD"/>
    <w:rsid w:val="00C826ED"/>
    <w:rsid w:val="00C82A39"/>
    <w:rsid w:val="00C82DC6"/>
    <w:rsid w:val="00C8344D"/>
    <w:rsid w:val="00C8374A"/>
    <w:rsid w:val="00C8395D"/>
    <w:rsid w:val="00C83A5C"/>
    <w:rsid w:val="00C83AC2"/>
    <w:rsid w:val="00C83D9A"/>
    <w:rsid w:val="00C83DCF"/>
    <w:rsid w:val="00C84281"/>
    <w:rsid w:val="00C843C0"/>
    <w:rsid w:val="00C845FD"/>
    <w:rsid w:val="00C8468E"/>
    <w:rsid w:val="00C84756"/>
    <w:rsid w:val="00C8480E"/>
    <w:rsid w:val="00C84E0F"/>
    <w:rsid w:val="00C84E99"/>
    <w:rsid w:val="00C84FBB"/>
    <w:rsid w:val="00C852B1"/>
    <w:rsid w:val="00C8541D"/>
    <w:rsid w:val="00C85A63"/>
    <w:rsid w:val="00C86A50"/>
    <w:rsid w:val="00C86F1D"/>
    <w:rsid w:val="00C87077"/>
    <w:rsid w:val="00C870A4"/>
    <w:rsid w:val="00C87182"/>
    <w:rsid w:val="00C872C0"/>
    <w:rsid w:val="00C8735A"/>
    <w:rsid w:val="00C879DF"/>
    <w:rsid w:val="00C87BA9"/>
    <w:rsid w:val="00C90094"/>
    <w:rsid w:val="00C9049D"/>
    <w:rsid w:val="00C90952"/>
    <w:rsid w:val="00C90CDF"/>
    <w:rsid w:val="00C90F8D"/>
    <w:rsid w:val="00C910A3"/>
    <w:rsid w:val="00C914E7"/>
    <w:rsid w:val="00C91547"/>
    <w:rsid w:val="00C91837"/>
    <w:rsid w:val="00C918F3"/>
    <w:rsid w:val="00C91A9A"/>
    <w:rsid w:val="00C91D1C"/>
    <w:rsid w:val="00C91DD4"/>
    <w:rsid w:val="00C91F1F"/>
    <w:rsid w:val="00C91FD3"/>
    <w:rsid w:val="00C92383"/>
    <w:rsid w:val="00C92571"/>
    <w:rsid w:val="00C92719"/>
    <w:rsid w:val="00C927FA"/>
    <w:rsid w:val="00C92856"/>
    <w:rsid w:val="00C92EC9"/>
    <w:rsid w:val="00C933B9"/>
    <w:rsid w:val="00C9346E"/>
    <w:rsid w:val="00C93718"/>
    <w:rsid w:val="00C93A21"/>
    <w:rsid w:val="00C93AE0"/>
    <w:rsid w:val="00C93B0A"/>
    <w:rsid w:val="00C93F55"/>
    <w:rsid w:val="00C94129"/>
    <w:rsid w:val="00C94E54"/>
    <w:rsid w:val="00C94FA5"/>
    <w:rsid w:val="00C95091"/>
    <w:rsid w:val="00C95132"/>
    <w:rsid w:val="00C959FB"/>
    <w:rsid w:val="00C95A8F"/>
    <w:rsid w:val="00C95B1F"/>
    <w:rsid w:val="00C96A8B"/>
    <w:rsid w:val="00C96E8F"/>
    <w:rsid w:val="00C975AF"/>
    <w:rsid w:val="00C975C6"/>
    <w:rsid w:val="00C97654"/>
    <w:rsid w:val="00C97720"/>
    <w:rsid w:val="00C977CF"/>
    <w:rsid w:val="00C97A09"/>
    <w:rsid w:val="00C97C3C"/>
    <w:rsid w:val="00C97DA5"/>
    <w:rsid w:val="00C97FAA"/>
    <w:rsid w:val="00CA03DA"/>
    <w:rsid w:val="00CA07F7"/>
    <w:rsid w:val="00CA0CB9"/>
    <w:rsid w:val="00CA0D61"/>
    <w:rsid w:val="00CA0E18"/>
    <w:rsid w:val="00CA12C2"/>
    <w:rsid w:val="00CA1473"/>
    <w:rsid w:val="00CA1723"/>
    <w:rsid w:val="00CA174A"/>
    <w:rsid w:val="00CA17AD"/>
    <w:rsid w:val="00CA188C"/>
    <w:rsid w:val="00CA19D0"/>
    <w:rsid w:val="00CA1C89"/>
    <w:rsid w:val="00CA1ECD"/>
    <w:rsid w:val="00CA2180"/>
    <w:rsid w:val="00CA22A7"/>
    <w:rsid w:val="00CA22B3"/>
    <w:rsid w:val="00CA2C2E"/>
    <w:rsid w:val="00CA2D84"/>
    <w:rsid w:val="00CA34F7"/>
    <w:rsid w:val="00CA36E1"/>
    <w:rsid w:val="00CA402E"/>
    <w:rsid w:val="00CA41F9"/>
    <w:rsid w:val="00CA4516"/>
    <w:rsid w:val="00CA4518"/>
    <w:rsid w:val="00CA471B"/>
    <w:rsid w:val="00CA4DD5"/>
    <w:rsid w:val="00CA4DE9"/>
    <w:rsid w:val="00CA53F8"/>
    <w:rsid w:val="00CA541E"/>
    <w:rsid w:val="00CA5990"/>
    <w:rsid w:val="00CA6171"/>
    <w:rsid w:val="00CA62E7"/>
    <w:rsid w:val="00CA632E"/>
    <w:rsid w:val="00CA642E"/>
    <w:rsid w:val="00CA64E6"/>
    <w:rsid w:val="00CA6C1D"/>
    <w:rsid w:val="00CA6D96"/>
    <w:rsid w:val="00CA6FC4"/>
    <w:rsid w:val="00CA7202"/>
    <w:rsid w:val="00CA747A"/>
    <w:rsid w:val="00CA74AD"/>
    <w:rsid w:val="00CA764D"/>
    <w:rsid w:val="00CA7A6B"/>
    <w:rsid w:val="00CA7E86"/>
    <w:rsid w:val="00CB06E0"/>
    <w:rsid w:val="00CB0821"/>
    <w:rsid w:val="00CB0823"/>
    <w:rsid w:val="00CB098D"/>
    <w:rsid w:val="00CB0B42"/>
    <w:rsid w:val="00CB0D29"/>
    <w:rsid w:val="00CB0D82"/>
    <w:rsid w:val="00CB1114"/>
    <w:rsid w:val="00CB11DB"/>
    <w:rsid w:val="00CB1644"/>
    <w:rsid w:val="00CB1838"/>
    <w:rsid w:val="00CB18BD"/>
    <w:rsid w:val="00CB1922"/>
    <w:rsid w:val="00CB1CC2"/>
    <w:rsid w:val="00CB2113"/>
    <w:rsid w:val="00CB21FF"/>
    <w:rsid w:val="00CB23BF"/>
    <w:rsid w:val="00CB2575"/>
    <w:rsid w:val="00CB290A"/>
    <w:rsid w:val="00CB2D34"/>
    <w:rsid w:val="00CB2F77"/>
    <w:rsid w:val="00CB314C"/>
    <w:rsid w:val="00CB33EC"/>
    <w:rsid w:val="00CB34AE"/>
    <w:rsid w:val="00CB3800"/>
    <w:rsid w:val="00CB3D53"/>
    <w:rsid w:val="00CB3DE1"/>
    <w:rsid w:val="00CB3E3A"/>
    <w:rsid w:val="00CB4203"/>
    <w:rsid w:val="00CB4292"/>
    <w:rsid w:val="00CB42D5"/>
    <w:rsid w:val="00CB44C8"/>
    <w:rsid w:val="00CB47C0"/>
    <w:rsid w:val="00CB4B83"/>
    <w:rsid w:val="00CB508E"/>
    <w:rsid w:val="00CB527C"/>
    <w:rsid w:val="00CB547E"/>
    <w:rsid w:val="00CB55F4"/>
    <w:rsid w:val="00CB5C4E"/>
    <w:rsid w:val="00CB5FE1"/>
    <w:rsid w:val="00CB638D"/>
    <w:rsid w:val="00CB6423"/>
    <w:rsid w:val="00CB66E6"/>
    <w:rsid w:val="00CB6757"/>
    <w:rsid w:val="00CB68C3"/>
    <w:rsid w:val="00CB71EE"/>
    <w:rsid w:val="00CB7221"/>
    <w:rsid w:val="00CC0F10"/>
    <w:rsid w:val="00CC0F1F"/>
    <w:rsid w:val="00CC1103"/>
    <w:rsid w:val="00CC17F1"/>
    <w:rsid w:val="00CC18FD"/>
    <w:rsid w:val="00CC2032"/>
    <w:rsid w:val="00CC208C"/>
    <w:rsid w:val="00CC2331"/>
    <w:rsid w:val="00CC255F"/>
    <w:rsid w:val="00CC276F"/>
    <w:rsid w:val="00CC2A8A"/>
    <w:rsid w:val="00CC2C78"/>
    <w:rsid w:val="00CC2F27"/>
    <w:rsid w:val="00CC2F56"/>
    <w:rsid w:val="00CC2F9B"/>
    <w:rsid w:val="00CC3807"/>
    <w:rsid w:val="00CC3BBA"/>
    <w:rsid w:val="00CC3CF3"/>
    <w:rsid w:val="00CC4545"/>
    <w:rsid w:val="00CC45E5"/>
    <w:rsid w:val="00CC48FF"/>
    <w:rsid w:val="00CC4D12"/>
    <w:rsid w:val="00CC4DEC"/>
    <w:rsid w:val="00CC5229"/>
    <w:rsid w:val="00CC5E3E"/>
    <w:rsid w:val="00CC608D"/>
    <w:rsid w:val="00CC6507"/>
    <w:rsid w:val="00CC67E2"/>
    <w:rsid w:val="00CC68B6"/>
    <w:rsid w:val="00CC6AB3"/>
    <w:rsid w:val="00CC6B3D"/>
    <w:rsid w:val="00CC6C69"/>
    <w:rsid w:val="00CC6CD3"/>
    <w:rsid w:val="00CC70E5"/>
    <w:rsid w:val="00CC7E13"/>
    <w:rsid w:val="00CD0339"/>
    <w:rsid w:val="00CD043A"/>
    <w:rsid w:val="00CD0576"/>
    <w:rsid w:val="00CD0B84"/>
    <w:rsid w:val="00CD0BDD"/>
    <w:rsid w:val="00CD12CB"/>
    <w:rsid w:val="00CD14AD"/>
    <w:rsid w:val="00CD16ED"/>
    <w:rsid w:val="00CD18BB"/>
    <w:rsid w:val="00CD18BD"/>
    <w:rsid w:val="00CD1C5C"/>
    <w:rsid w:val="00CD1FA3"/>
    <w:rsid w:val="00CD241B"/>
    <w:rsid w:val="00CD26CB"/>
    <w:rsid w:val="00CD27C0"/>
    <w:rsid w:val="00CD2AF5"/>
    <w:rsid w:val="00CD3F90"/>
    <w:rsid w:val="00CD41F7"/>
    <w:rsid w:val="00CD4452"/>
    <w:rsid w:val="00CD4601"/>
    <w:rsid w:val="00CD4766"/>
    <w:rsid w:val="00CD48F8"/>
    <w:rsid w:val="00CD4BA8"/>
    <w:rsid w:val="00CD4D2C"/>
    <w:rsid w:val="00CD526E"/>
    <w:rsid w:val="00CD5337"/>
    <w:rsid w:val="00CD5363"/>
    <w:rsid w:val="00CD632D"/>
    <w:rsid w:val="00CD633B"/>
    <w:rsid w:val="00CD678C"/>
    <w:rsid w:val="00CD719F"/>
    <w:rsid w:val="00CD71BB"/>
    <w:rsid w:val="00CD7CCF"/>
    <w:rsid w:val="00CE01F3"/>
    <w:rsid w:val="00CE046A"/>
    <w:rsid w:val="00CE068A"/>
    <w:rsid w:val="00CE177F"/>
    <w:rsid w:val="00CE17AC"/>
    <w:rsid w:val="00CE18D8"/>
    <w:rsid w:val="00CE19C9"/>
    <w:rsid w:val="00CE1BA0"/>
    <w:rsid w:val="00CE1EBB"/>
    <w:rsid w:val="00CE224D"/>
    <w:rsid w:val="00CE243D"/>
    <w:rsid w:val="00CE2617"/>
    <w:rsid w:val="00CE2F2D"/>
    <w:rsid w:val="00CE313A"/>
    <w:rsid w:val="00CE43FA"/>
    <w:rsid w:val="00CE4A8B"/>
    <w:rsid w:val="00CE56D5"/>
    <w:rsid w:val="00CE581E"/>
    <w:rsid w:val="00CE59F2"/>
    <w:rsid w:val="00CE5DA6"/>
    <w:rsid w:val="00CE6164"/>
    <w:rsid w:val="00CE6625"/>
    <w:rsid w:val="00CE664C"/>
    <w:rsid w:val="00CE6726"/>
    <w:rsid w:val="00CE6F3F"/>
    <w:rsid w:val="00CE749D"/>
    <w:rsid w:val="00CE7660"/>
    <w:rsid w:val="00CE790A"/>
    <w:rsid w:val="00CE7AC9"/>
    <w:rsid w:val="00CE7D3E"/>
    <w:rsid w:val="00CE7ECC"/>
    <w:rsid w:val="00CEEBAE"/>
    <w:rsid w:val="00CF01B7"/>
    <w:rsid w:val="00CF0608"/>
    <w:rsid w:val="00CF0941"/>
    <w:rsid w:val="00CF0B40"/>
    <w:rsid w:val="00CF0E59"/>
    <w:rsid w:val="00CF10FF"/>
    <w:rsid w:val="00CF1379"/>
    <w:rsid w:val="00CF145D"/>
    <w:rsid w:val="00CF152E"/>
    <w:rsid w:val="00CF1B32"/>
    <w:rsid w:val="00CF22F2"/>
    <w:rsid w:val="00CF263A"/>
    <w:rsid w:val="00CF2D6E"/>
    <w:rsid w:val="00CF2D8C"/>
    <w:rsid w:val="00CF3629"/>
    <w:rsid w:val="00CF36BE"/>
    <w:rsid w:val="00CF3A18"/>
    <w:rsid w:val="00CF3E52"/>
    <w:rsid w:val="00CF3FFD"/>
    <w:rsid w:val="00CF45E7"/>
    <w:rsid w:val="00CF47D8"/>
    <w:rsid w:val="00CF4837"/>
    <w:rsid w:val="00CF4EB4"/>
    <w:rsid w:val="00CF50FE"/>
    <w:rsid w:val="00CF54CE"/>
    <w:rsid w:val="00CF5715"/>
    <w:rsid w:val="00CF5947"/>
    <w:rsid w:val="00CF5C25"/>
    <w:rsid w:val="00CF5D2C"/>
    <w:rsid w:val="00CF60E6"/>
    <w:rsid w:val="00CF6ABB"/>
    <w:rsid w:val="00CF6EF3"/>
    <w:rsid w:val="00CF74D0"/>
    <w:rsid w:val="00CF789E"/>
    <w:rsid w:val="00CF7AB2"/>
    <w:rsid w:val="00CF7C6D"/>
    <w:rsid w:val="00CF7CD0"/>
    <w:rsid w:val="00D0015C"/>
    <w:rsid w:val="00D0019F"/>
    <w:rsid w:val="00D00426"/>
    <w:rsid w:val="00D00531"/>
    <w:rsid w:val="00D006FB"/>
    <w:rsid w:val="00D00745"/>
    <w:rsid w:val="00D00774"/>
    <w:rsid w:val="00D00931"/>
    <w:rsid w:val="00D00EAA"/>
    <w:rsid w:val="00D01207"/>
    <w:rsid w:val="00D01B80"/>
    <w:rsid w:val="00D01CA7"/>
    <w:rsid w:val="00D01CC3"/>
    <w:rsid w:val="00D01F00"/>
    <w:rsid w:val="00D02325"/>
    <w:rsid w:val="00D0241B"/>
    <w:rsid w:val="00D02584"/>
    <w:rsid w:val="00D027C7"/>
    <w:rsid w:val="00D028C2"/>
    <w:rsid w:val="00D028FE"/>
    <w:rsid w:val="00D02C86"/>
    <w:rsid w:val="00D02DDC"/>
    <w:rsid w:val="00D03715"/>
    <w:rsid w:val="00D03733"/>
    <w:rsid w:val="00D0379C"/>
    <w:rsid w:val="00D03D43"/>
    <w:rsid w:val="00D03DC3"/>
    <w:rsid w:val="00D042B0"/>
    <w:rsid w:val="00D04379"/>
    <w:rsid w:val="00D0441A"/>
    <w:rsid w:val="00D04AA5"/>
    <w:rsid w:val="00D0513E"/>
    <w:rsid w:val="00D0515E"/>
    <w:rsid w:val="00D055AC"/>
    <w:rsid w:val="00D056B4"/>
    <w:rsid w:val="00D05A08"/>
    <w:rsid w:val="00D05B53"/>
    <w:rsid w:val="00D05CAD"/>
    <w:rsid w:val="00D05FFE"/>
    <w:rsid w:val="00D0659A"/>
    <w:rsid w:val="00D065A3"/>
    <w:rsid w:val="00D067AA"/>
    <w:rsid w:val="00D072A1"/>
    <w:rsid w:val="00D0740D"/>
    <w:rsid w:val="00D075A7"/>
    <w:rsid w:val="00D076B9"/>
    <w:rsid w:val="00D07A5A"/>
    <w:rsid w:val="00D07B52"/>
    <w:rsid w:val="00D07B75"/>
    <w:rsid w:val="00D07E85"/>
    <w:rsid w:val="00D07F6C"/>
    <w:rsid w:val="00D07FDF"/>
    <w:rsid w:val="00D10091"/>
    <w:rsid w:val="00D104B3"/>
    <w:rsid w:val="00D10562"/>
    <w:rsid w:val="00D1071D"/>
    <w:rsid w:val="00D10899"/>
    <w:rsid w:val="00D11145"/>
    <w:rsid w:val="00D11276"/>
    <w:rsid w:val="00D1137B"/>
    <w:rsid w:val="00D114BC"/>
    <w:rsid w:val="00D11601"/>
    <w:rsid w:val="00D1167D"/>
    <w:rsid w:val="00D11A6E"/>
    <w:rsid w:val="00D1228F"/>
    <w:rsid w:val="00D129C5"/>
    <w:rsid w:val="00D12AFA"/>
    <w:rsid w:val="00D12BFF"/>
    <w:rsid w:val="00D12CA7"/>
    <w:rsid w:val="00D12F83"/>
    <w:rsid w:val="00D13079"/>
    <w:rsid w:val="00D13193"/>
    <w:rsid w:val="00D13201"/>
    <w:rsid w:val="00D132EC"/>
    <w:rsid w:val="00D133DD"/>
    <w:rsid w:val="00D1352C"/>
    <w:rsid w:val="00D13A5D"/>
    <w:rsid w:val="00D14120"/>
    <w:rsid w:val="00D141BB"/>
    <w:rsid w:val="00D14705"/>
    <w:rsid w:val="00D149D2"/>
    <w:rsid w:val="00D14D90"/>
    <w:rsid w:val="00D14E6D"/>
    <w:rsid w:val="00D1524B"/>
    <w:rsid w:val="00D15EE2"/>
    <w:rsid w:val="00D16781"/>
    <w:rsid w:val="00D16A55"/>
    <w:rsid w:val="00D16CE1"/>
    <w:rsid w:val="00D16E73"/>
    <w:rsid w:val="00D17059"/>
    <w:rsid w:val="00D175CE"/>
    <w:rsid w:val="00D175E1"/>
    <w:rsid w:val="00D1773C"/>
    <w:rsid w:val="00D17C29"/>
    <w:rsid w:val="00D17E9E"/>
    <w:rsid w:val="00D207A1"/>
    <w:rsid w:val="00D20BEA"/>
    <w:rsid w:val="00D20C05"/>
    <w:rsid w:val="00D20C19"/>
    <w:rsid w:val="00D20CD6"/>
    <w:rsid w:val="00D20FBE"/>
    <w:rsid w:val="00D2135D"/>
    <w:rsid w:val="00D21489"/>
    <w:rsid w:val="00D21B34"/>
    <w:rsid w:val="00D220E6"/>
    <w:rsid w:val="00D22826"/>
    <w:rsid w:val="00D22B7D"/>
    <w:rsid w:val="00D23100"/>
    <w:rsid w:val="00D234B6"/>
    <w:rsid w:val="00D24081"/>
    <w:rsid w:val="00D2431C"/>
    <w:rsid w:val="00D24657"/>
    <w:rsid w:val="00D2466D"/>
    <w:rsid w:val="00D24DF5"/>
    <w:rsid w:val="00D254D0"/>
    <w:rsid w:val="00D25679"/>
    <w:rsid w:val="00D25872"/>
    <w:rsid w:val="00D262AE"/>
    <w:rsid w:val="00D26DF8"/>
    <w:rsid w:val="00D26ECF"/>
    <w:rsid w:val="00D26FC3"/>
    <w:rsid w:val="00D27135"/>
    <w:rsid w:val="00D27394"/>
    <w:rsid w:val="00D27D7F"/>
    <w:rsid w:val="00D27E4A"/>
    <w:rsid w:val="00D30516"/>
    <w:rsid w:val="00D30725"/>
    <w:rsid w:val="00D311CC"/>
    <w:rsid w:val="00D314B6"/>
    <w:rsid w:val="00D31565"/>
    <w:rsid w:val="00D31DF0"/>
    <w:rsid w:val="00D31E3E"/>
    <w:rsid w:val="00D321D9"/>
    <w:rsid w:val="00D322DC"/>
    <w:rsid w:val="00D325E2"/>
    <w:rsid w:val="00D32A56"/>
    <w:rsid w:val="00D3376C"/>
    <w:rsid w:val="00D33775"/>
    <w:rsid w:val="00D33802"/>
    <w:rsid w:val="00D34029"/>
    <w:rsid w:val="00D341F9"/>
    <w:rsid w:val="00D34324"/>
    <w:rsid w:val="00D34D56"/>
    <w:rsid w:val="00D35430"/>
    <w:rsid w:val="00D355DF"/>
    <w:rsid w:val="00D3565C"/>
    <w:rsid w:val="00D35B79"/>
    <w:rsid w:val="00D35C9A"/>
    <w:rsid w:val="00D35F36"/>
    <w:rsid w:val="00D36065"/>
    <w:rsid w:val="00D360D9"/>
    <w:rsid w:val="00D3653E"/>
    <w:rsid w:val="00D36B68"/>
    <w:rsid w:val="00D36C76"/>
    <w:rsid w:val="00D36CCC"/>
    <w:rsid w:val="00D36EF6"/>
    <w:rsid w:val="00D36F0E"/>
    <w:rsid w:val="00D36FC4"/>
    <w:rsid w:val="00D37512"/>
    <w:rsid w:val="00D375FD"/>
    <w:rsid w:val="00D376B6"/>
    <w:rsid w:val="00D37A57"/>
    <w:rsid w:val="00D37D17"/>
    <w:rsid w:val="00D37FFB"/>
    <w:rsid w:val="00D40225"/>
    <w:rsid w:val="00D40364"/>
    <w:rsid w:val="00D406FB"/>
    <w:rsid w:val="00D40C22"/>
    <w:rsid w:val="00D40CA7"/>
    <w:rsid w:val="00D40E9D"/>
    <w:rsid w:val="00D40EED"/>
    <w:rsid w:val="00D40F77"/>
    <w:rsid w:val="00D40F86"/>
    <w:rsid w:val="00D41191"/>
    <w:rsid w:val="00D411C0"/>
    <w:rsid w:val="00D41751"/>
    <w:rsid w:val="00D41B4C"/>
    <w:rsid w:val="00D41B50"/>
    <w:rsid w:val="00D41F4F"/>
    <w:rsid w:val="00D42146"/>
    <w:rsid w:val="00D421D2"/>
    <w:rsid w:val="00D42422"/>
    <w:rsid w:val="00D42457"/>
    <w:rsid w:val="00D42B9E"/>
    <w:rsid w:val="00D43118"/>
    <w:rsid w:val="00D432AA"/>
    <w:rsid w:val="00D4393D"/>
    <w:rsid w:val="00D43D1E"/>
    <w:rsid w:val="00D43EFB"/>
    <w:rsid w:val="00D440F6"/>
    <w:rsid w:val="00D4423E"/>
    <w:rsid w:val="00D4433A"/>
    <w:rsid w:val="00D448CC"/>
    <w:rsid w:val="00D44D3C"/>
    <w:rsid w:val="00D452D6"/>
    <w:rsid w:val="00D45798"/>
    <w:rsid w:val="00D45C27"/>
    <w:rsid w:val="00D45FF3"/>
    <w:rsid w:val="00D465B9"/>
    <w:rsid w:val="00D46659"/>
    <w:rsid w:val="00D467F0"/>
    <w:rsid w:val="00D469AC"/>
    <w:rsid w:val="00D47B2D"/>
    <w:rsid w:val="00D47DAE"/>
    <w:rsid w:val="00D47DFB"/>
    <w:rsid w:val="00D504DF"/>
    <w:rsid w:val="00D509F3"/>
    <w:rsid w:val="00D50B38"/>
    <w:rsid w:val="00D50B72"/>
    <w:rsid w:val="00D50BA7"/>
    <w:rsid w:val="00D50C49"/>
    <w:rsid w:val="00D50DF5"/>
    <w:rsid w:val="00D50EB8"/>
    <w:rsid w:val="00D50FFB"/>
    <w:rsid w:val="00D510DF"/>
    <w:rsid w:val="00D51101"/>
    <w:rsid w:val="00D5118B"/>
    <w:rsid w:val="00D511EE"/>
    <w:rsid w:val="00D51430"/>
    <w:rsid w:val="00D5172D"/>
    <w:rsid w:val="00D519B9"/>
    <w:rsid w:val="00D51A0F"/>
    <w:rsid w:val="00D51F50"/>
    <w:rsid w:val="00D52228"/>
    <w:rsid w:val="00D52BC8"/>
    <w:rsid w:val="00D52DB0"/>
    <w:rsid w:val="00D5306E"/>
    <w:rsid w:val="00D538BC"/>
    <w:rsid w:val="00D5398D"/>
    <w:rsid w:val="00D53A6E"/>
    <w:rsid w:val="00D53DAB"/>
    <w:rsid w:val="00D53FC8"/>
    <w:rsid w:val="00D53FFD"/>
    <w:rsid w:val="00D5488B"/>
    <w:rsid w:val="00D54A1B"/>
    <w:rsid w:val="00D54D73"/>
    <w:rsid w:val="00D54EB4"/>
    <w:rsid w:val="00D55013"/>
    <w:rsid w:val="00D55295"/>
    <w:rsid w:val="00D553B7"/>
    <w:rsid w:val="00D555D8"/>
    <w:rsid w:val="00D55715"/>
    <w:rsid w:val="00D55743"/>
    <w:rsid w:val="00D55A93"/>
    <w:rsid w:val="00D55ADA"/>
    <w:rsid w:val="00D56905"/>
    <w:rsid w:val="00D56B06"/>
    <w:rsid w:val="00D56C75"/>
    <w:rsid w:val="00D56D5F"/>
    <w:rsid w:val="00D56EEE"/>
    <w:rsid w:val="00D57301"/>
    <w:rsid w:val="00D573B7"/>
    <w:rsid w:val="00D57568"/>
    <w:rsid w:val="00D57628"/>
    <w:rsid w:val="00D57AD6"/>
    <w:rsid w:val="00D57D9A"/>
    <w:rsid w:val="00D57E25"/>
    <w:rsid w:val="00D57F46"/>
    <w:rsid w:val="00D60F01"/>
    <w:rsid w:val="00D60FEF"/>
    <w:rsid w:val="00D61243"/>
    <w:rsid w:val="00D61288"/>
    <w:rsid w:val="00D61716"/>
    <w:rsid w:val="00D61724"/>
    <w:rsid w:val="00D61750"/>
    <w:rsid w:val="00D61B2A"/>
    <w:rsid w:val="00D6287A"/>
    <w:rsid w:val="00D62D98"/>
    <w:rsid w:val="00D634CF"/>
    <w:rsid w:val="00D6358F"/>
    <w:rsid w:val="00D63C5E"/>
    <w:rsid w:val="00D63C93"/>
    <w:rsid w:val="00D6453F"/>
    <w:rsid w:val="00D64822"/>
    <w:rsid w:val="00D64B9F"/>
    <w:rsid w:val="00D64CFA"/>
    <w:rsid w:val="00D64DD9"/>
    <w:rsid w:val="00D64E21"/>
    <w:rsid w:val="00D65213"/>
    <w:rsid w:val="00D65300"/>
    <w:rsid w:val="00D6551D"/>
    <w:rsid w:val="00D65AFF"/>
    <w:rsid w:val="00D65B13"/>
    <w:rsid w:val="00D65DA9"/>
    <w:rsid w:val="00D6673F"/>
    <w:rsid w:val="00D6680F"/>
    <w:rsid w:val="00D66828"/>
    <w:rsid w:val="00D669EC"/>
    <w:rsid w:val="00D66B4B"/>
    <w:rsid w:val="00D66E4C"/>
    <w:rsid w:val="00D66F11"/>
    <w:rsid w:val="00D67D33"/>
    <w:rsid w:val="00D67D81"/>
    <w:rsid w:val="00D67D8F"/>
    <w:rsid w:val="00D67E3E"/>
    <w:rsid w:val="00D67FC2"/>
    <w:rsid w:val="00D70394"/>
    <w:rsid w:val="00D70503"/>
    <w:rsid w:val="00D705C8"/>
    <w:rsid w:val="00D705D2"/>
    <w:rsid w:val="00D707C3"/>
    <w:rsid w:val="00D70849"/>
    <w:rsid w:val="00D70B69"/>
    <w:rsid w:val="00D70EDC"/>
    <w:rsid w:val="00D70FD8"/>
    <w:rsid w:val="00D710A8"/>
    <w:rsid w:val="00D710DF"/>
    <w:rsid w:val="00D711A4"/>
    <w:rsid w:val="00D714D3"/>
    <w:rsid w:val="00D71B35"/>
    <w:rsid w:val="00D71D64"/>
    <w:rsid w:val="00D7279D"/>
    <w:rsid w:val="00D727D9"/>
    <w:rsid w:val="00D72AC7"/>
    <w:rsid w:val="00D72F37"/>
    <w:rsid w:val="00D7323E"/>
    <w:rsid w:val="00D73B41"/>
    <w:rsid w:val="00D74023"/>
    <w:rsid w:val="00D740B7"/>
    <w:rsid w:val="00D74495"/>
    <w:rsid w:val="00D744C9"/>
    <w:rsid w:val="00D7455B"/>
    <w:rsid w:val="00D7469E"/>
    <w:rsid w:val="00D749A0"/>
    <w:rsid w:val="00D74A57"/>
    <w:rsid w:val="00D74BE5"/>
    <w:rsid w:val="00D74BF0"/>
    <w:rsid w:val="00D74C01"/>
    <w:rsid w:val="00D74D61"/>
    <w:rsid w:val="00D74F43"/>
    <w:rsid w:val="00D750A8"/>
    <w:rsid w:val="00D75235"/>
    <w:rsid w:val="00D75458"/>
    <w:rsid w:val="00D75C3D"/>
    <w:rsid w:val="00D76328"/>
    <w:rsid w:val="00D76370"/>
    <w:rsid w:val="00D76623"/>
    <w:rsid w:val="00D767D0"/>
    <w:rsid w:val="00D77589"/>
    <w:rsid w:val="00D77699"/>
    <w:rsid w:val="00D779FC"/>
    <w:rsid w:val="00D77D0F"/>
    <w:rsid w:val="00D80548"/>
    <w:rsid w:val="00D807B8"/>
    <w:rsid w:val="00D808D0"/>
    <w:rsid w:val="00D809F7"/>
    <w:rsid w:val="00D80B3D"/>
    <w:rsid w:val="00D80D4E"/>
    <w:rsid w:val="00D81989"/>
    <w:rsid w:val="00D81C52"/>
    <w:rsid w:val="00D82294"/>
    <w:rsid w:val="00D82440"/>
    <w:rsid w:val="00D829DE"/>
    <w:rsid w:val="00D83519"/>
    <w:rsid w:val="00D83692"/>
    <w:rsid w:val="00D83A28"/>
    <w:rsid w:val="00D83BBA"/>
    <w:rsid w:val="00D844A6"/>
    <w:rsid w:val="00D8460E"/>
    <w:rsid w:val="00D84815"/>
    <w:rsid w:val="00D84B6E"/>
    <w:rsid w:val="00D84D15"/>
    <w:rsid w:val="00D84EB3"/>
    <w:rsid w:val="00D84F8C"/>
    <w:rsid w:val="00D8551B"/>
    <w:rsid w:val="00D855A3"/>
    <w:rsid w:val="00D85879"/>
    <w:rsid w:val="00D858E6"/>
    <w:rsid w:val="00D85C81"/>
    <w:rsid w:val="00D85D33"/>
    <w:rsid w:val="00D860DC"/>
    <w:rsid w:val="00D86127"/>
    <w:rsid w:val="00D861CE"/>
    <w:rsid w:val="00D861E4"/>
    <w:rsid w:val="00D86547"/>
    <w:rsid w:val="00D86790"/>
    <w:rsid w:val="00D871B4"/>
    <w:rsid w:val="00D872CB"/>
    <w:rsid w:val="00D8740B"/>
    <w:rsid w:val="00D876E7"/>
    <w:rsid w:val="00D87781"/>
    <w:rsid w:val="00D8787B"/>
    <w:rsid w:val="00D87984"/>
    <w:rsid w:val="00D87CEB"/>
    <w:rsid w:val="00D87F1E"/>
    <w:rsid w:val="00D892E6"/>
    <w:rsid w:val="00D901EC"/>
    <w:rsid w:val="00D90294"/>
    <w:rsid w:val="00D905AB"/>
    <w:rsid w:val="00D90782"/>
    <w:rsid w:val="00D90905"/>
    <w:rsid w:val="00D9091E"/>
    <w:rsid w:val="00D90ABC"/>
    <w:rsid w:val="00D90B07"/>
    <w:rsid w:val="00D90C3F"/>
    <w:rsid w:val="00D90D5F"/>
    <w:rsid w:val="00D90D99"/>
    <w:rsid w:val="00D90E88"/>
    <w:rsid w:val="00D90FC5"/>
    <w:rsid w:val="00D91278"/>
    <w:rsid w:val="00D912D4"/>
    <w:rsid w:val="00D91CF0"/>
    <w:rsid w:val="00D91D5B"/>
    <w:rsid w:val="00D9214C"/>
    <w:rsid w:val="00D92415"/>
    <w:rsid w:val="00D925CF"/>
    <w:rsid w:val="00D92959"/>
    <w:rsid w:val="00D929B6"/>
    <w:rsid w:val="00D92B25"/>
    <w:rsid w:val="00D92F33"/>
    <w:rsid w:val="00D930C4"/>
    <w:rsid w:val="00D93CF3"/>
    <w:rsid w:val="00D93E81"/>
    <w:rsid w:val="00D9485B"/>
    <w:rsid w:val="00D94CE0"/>
    <w:rsid w:val="00D94DC7"/>
    <w:rsid w:val="00D94E54"/>
    <w:rsid w:val="00D950B7"/>
    <w:rsid w:val="00D95300"/>
    <w:rsid w:val="00D95801"/>
    <w:rsid w:val="00D95875"/>
    <w:rsid w:val="00D95A51"/>
    <w:rsid w:val="00D95DA1"/>
    <w:rsid w:val="00D96257"/>
    <w:rsid w:val="00D963EA"/>
    <w:rsid w:val="00D96786"/>
    <w:rsid w:val="00D967CD"/>
    <w:rsid w:val="00D967DD"/>
    <w:rsid w:val="00D96A60"/>
    <w:rsid w:val="00D96D6D"/>
    <w:rsid w:val="00D96D79"/>
    <w:rsid w:val="00D96DA3"/>
    <w:rsid w:val="00D9728A"/>
    <w:rsid w:val="00D973CC"/>
    <w:rsid w:val="00D976DB"/>
    <w:rsid w:val="00D97888"/>
    <w:rsid w:val="00D9F16A"/>
    <w:rsid w:val="00DA001C"/>
    <w:rsid w:val="00DA0214"/>
    <w:rsid w:val="00DA081D"/>
    <w:rsid w:val="00DA08FC"/>
    <w:rsid w:val="00DA0A00"/>
    <w:rsid w:val="00DA0B96"/>
    <w:rsid w:val="00DA0DC0"/>
    <w:rsid w:val="00DA0F25"/>
    <w:rsid w:val="00DA1321"/>
    <w:rsid w:val="00DA1326"/>
    <w:rsid w:val="00DA13B3"/>
    <w:rsid w:val="00DA17CD"/>
    <w:rsid w:val="00DA1EB0"/>
    <w:rsid w:val="00DA209A"/>
    <w:rsid w:val="00DA215D"/>
    <w:rsid w:val="00DA253A"/>
    <w:rsid w:val="00DA2739"/>
    <w:rsid w:val="00DA2DD0"/>
    <w:rsid w:val="00DA2E56"/>
    <w:rsid w:val="00DA2FD5"/>
    <w:rsid w:val="00DA3278"/>
    <w:rsid w:val="00DA32A0"/>
    <w:rsid w:val="00DA3520"/>
    <w:rsid w:val="00DA36C7"/>
    <w:rsid w:val="00DA36CA"/>
    <w:rsid w:val="00DA37BE"/>
    <w:rsid w:val="00DA404F"/>
    <w:rsid w:val="00DA4066"/>
    <w:rsid w:val="00DA420D"/>
    <w:rsid w:val="00DA49BD"/>
    <w:rsid w:val="00DA4DB0"/>
    <w:rsid w:val="00DA4DF8"/>
    <w:rsid w:val="00DA4F7C"/>
    <w:rsid w:val="00DA5171"/>
    <w:rsid w:val="00DA5745"/>
    <w:rsid w:val="00DA579A"/>
    <w:rsid w:val="00DA5996"/>
    <w:rsid w:val="00DA5A57"/>
    <w:rsid w:val="00DA5BD4"/>
    <w:rsid w:val="00DA5D40"/>
    <w:rsid w:val="00DA6198"/>
    <w:rsid w:val="00DA61B1"/>
    <w:rsid w:val="00DA6245"/>
    <w:rsid w:val="00DA6247"/>
    <w:rsid w:val="00DA65BD"/>
    <w:rsid w:val="00DA68D7"/>
    <w:rsid w:val="00DA6DF3"/>
    <w:rsid w:val="00DA6FF0"/>
    <w:rsid w:val="00DA7258"/>
    <w:rsid w:val="00DA762B"/>
    <w:rsid w:val="00DA7653"/>
    <w:rsid w:val="00DA7D38"/>
    <w:rsid w:val="00DA7D9C"/>
    <w:rsid w:val="00DB037D"/>
    <w:rsid w:val="00DB1152"/>
    <w:rsid w:val="00DB1555"/>
    <w:rsid w:val="00DB1737"/>
    <w:rsid w:val="00DB1C2E"/>
    <w:rsid w:val="00DB1CB0"/>
    <w:rsid w:val="00DB2150"/>
    <w:rsid w:val="00DB22C3"/>
    <w:rsid w:val="00DB2E15"/>
    <w:rsid w:val="00DB31A5"/>
    <w:rsid w:val="00DB3442"/>
    <w:rsid w:val="00DB3581"/>
    <w:rsid w:val="00DB3743"/>
    <w:rsid w:val="00DB3B57"/>
    <w:rsid w:val="00DB3D5C"/>
    <w:rsid w:val="00DB3E4C"/>
    <w:rsid w:val="00DB408A"/>
    <w:rsid w:val="00DB4268"/>
    <w:rsid w:val="00DB4467"/>
    <w:rsid w:val="00DB44EA"/>
    <w:rsid w:val="00DB461C"/>
    <w:rsid w:val="00DB4E05"/>
    <w:rsid w:val="00DB4E42"/>
    <w:rsid w:val="00DB4F16"/>
    <w:rsid w:val="00DB5850"/>
    <w:rsid w:val="00DB585E"/>
    <w:rsid w:val="00DB5939"/>
    <w:rsid w:val="00DB6041"/>
    <w:rsid w:val="00DB64BF"/>
    <w:rsid w:val="00DB6706"/>
    <w:rsid w:val="00DB67B6"/>
    <w:rsid w:val="00DB68DD"/>
    <w:rsid w:val="00DB6B32"/>
    <w:rsid w:val="00DB6DA7"/>
    <w:rsid w:val="00DB706D"/>
    <w:rsid w:val="00DB7348"/>
    <w:rsid w:val="00DB7486"/>
    <w:rsid w:val="00DB7D42"/>
    <w:rsid w:val="00DB7DCB"/>
    <w:rsid w:val="00DC069D"/>
    <w:rsid w:val="00DC0AD6"/>
    <w:rsid w:val="00DC0B43"/>
    <w:rsid w:val="00DC0E5E"/>
    <w:rsid w:val="00DC126E"/>
    <w:rsid w:val="00DC1877"/>
    <w:rsid w:val="00DC1CCD"/>
    <w:rsid w:val="00DC1DAC"/>
    <w:rsid w:val="00DC2280"/>
    <w:rsid w:val="00DC2335"/>
    <w:rsid w:val="00DC2505"/>
    <w:rsid w:val="00DC2635"/>
    <w:rsid w:val="00DC28C8"/>
    <w:rsid w:val="00DC29B5"/>
    <w:rsid w:val="00DC2A57"/>
    <w:rsid w:val="00DC2D6C"/>
    <w:rsid w:val="00DC3676"/>
    <w:rsid w:val="00DC36E5"/>
    <w:rsid w:val="00DC3A11"/>
    <w:rsid w:val="00DC3ECA"/>
    <w:rsid w:val="00DC416F"/>
    <w:rsid w:val="00DC43BA"/>
    <w:rsid w:val="00DC498B"/>
    <w:rsid w:val="00DC4AB7"/>
    <w:rsid w:val="00DC4DDC"/>
    <w:rsid w:val="00DC4E3B"/>
    <w:rsid w:val="00DC50DE"/>
    <w:rsid w:val="00DC591D"/>
    <w:rsid w:val="00DC5AC3"/>
    <w:rsid w:val="00DC5DE0"/>
    <w:rsid w:val="00DC5EDF"/>
    <w:rsid w:val="00DC60BE"/>
    <w:rsid w:val="00DC6848"/>
    <w:rsid w:val="00DC7209"/>
    <w:rsid w:val="00DC7516"/>
    <w:rsid w:val="00DC7B36"/>
    <w:rsid w:val="00DC7CDE"/>
    <w:rsid w:val="00DD0087"/>
    <w:rsid w:val="00DD0277"/>
    <w:rsid w:val="00DD0A4C"/>
    <w:rsid w:val="00DD0CB3"/>
    <w:rsid w:val="00DD0FEE"/>
    <w:rsid w:val="00DD127A"/>
    <w:rsid w:val="00DD133E"/>
    <w:rsid w:val="00DD1626"/>
    <w:rsid w:val="00DD16EF"/>
    <w:rsid w:val="00DD1770"/>
    <w:rsid w:val="00DD1EC0"/>
    <w:rsid w:val="00DD1F5C"/>
    <w:rsid w:val="00DD20DC"/>
    <w:rsid w:val="00DD2157"/>
    <w:rsid w:val="00DD220A"/>
    <w:rsid w:val="00DD2C12"/>
    <w:rsid w:val="00DD2F61"/>
    <w:rsid w:val="00DD309A"/>
    <w:rsid w:val="00DD3390"/>
    <w:rsid w:val="00DD3B57"/>
    <w:rsid w:val="00DD3B83"/>
    <w:rsid w:val="00DD3C4C"/>
    <w:rsid w:val="00DD3CC8"/>
    <w:rsid w:val="00DD4057"/>
    <w:rsid w:val="00DD4219"/>
    <w:rsid w:val="00DD4583"/>
    <w:rsid w:val="00DD4F39"/>
    <w:rsid w:val="00DD4FC1"/>
    <w:rsid w:val="00DD501A"/>
    <w:rsid w:val="00DD552D"/>
    <w:rsid w:val="00DD5697"/>
    <w:rsid w:val="00DD59EF"/>
    <w:rsid w:val="00DD5C42"/>
    <w:rsid w:val="00DD5FFA"/>
    <w:rsid w:val="00DD62EB"/>
    <w:rsid w:val="00DD6423"/>
    <w:rsid w:val="00DD6646"/>
    <w:rsid w:val="00DD6740"/>
    <w:rsid w:val="00DD6BD8"/>
    <w:rsid w:val="00DD6E2A"/>
    <w:rsid w:val="00DD6E78"/>
    <w:rsid w:val="00DD7035"/>
    <w:rsid w:val="00DD7831"/>
    <w:rsid w:val="00DD7A1B"/>
    <w:rsid w:val="00DE00AF"/>
    <w:rsid w:val="00DE05BF"/>
    <w:rsid w:val="00DE074D"/>
    <w:rsid w:val="00DE084F"/>
    <w:rsid w:val="00DE0A6A"/>
    <w:rsid w:val="00DE0B73"/>
    <w:rsid w:val="00DE0BD6"/>
    <w:rsid w:val="00DE0D02"/>
    <w:rsid w:val="00DE0DC4"/>
    <w:rsid w:val="00DE0F28"/>
    <w:rsid w:val="00DE1657"/>
    <w:rsid w:val="00DE1953"/>
    <w:rsid w:val="00DE22B8"/>
    <w:rsid w:val="00DE2D97"/>
    <w:rsid w:val="00DE325E"/>
    <w:rsid w:val="00DE33B7"/>
    <w:rsid w:val="00DE3445"/>
    <w:rsid w:val="00DE3831"/>
    <w:rsid w:val="00DE38D3"/>
    <w:rsid w:val="00DE3EA4"/>
    <w:rsid w:val="00DE3F6B"/>
    <w:rsid w:val="00DE42E1"/>
    <w:rsid w:val="00DE48D1"/>
    <w:rsid w:val="00DE4A55"/>
    <w:rsid w:val="00DE4FC7"/>
    <w:rsid w:val="00DE5120"/>
    <w:rsid w:val="00DE5884"/>
    <w:rsid w:val="00DE5A85"/>
    <w:rsid w:val="00DE5B24"/>
    <w:rsid w:val="00DE5DD3"/>
    <w:rsid w:val="00DE60FC"/>
    <w:rsid w:val="00DE6244"/>
    <w:rsid w:val="00DE65B8"/>
    <w:rsid w:val="00DE6748"/>
    <w:rsid w:val="00DE69AA"/>
    <w:rsid w:val="00DE6A78"/>
    <w:rsid w:val="00DE6CA6"/>
    <w:rsid w:val="00DE7231"/>
    <w:rsid w:val="00DE755F"/>
    <w:rsid w:val="00DF01C1"/>
    <w:rsid w:val="00DF0F01"/>
    <w:rsid w:val="00DF11B5"/>
    <w:rsid w:val="00DF123F"/>
    <w:rsid w:val="00DF14CA"/>
    <w:rsid w:val="00DF18F8"/>
    <w:rsid w:val="00DF1BC7"/>
    <w:rsid w:val="00DF1E13"/>
    <w:rsid w:val="00DF1EA6"/>
    <w:rsid w:val="00DF1ECF"/>
    <w:rsid w:val="00DF2077"/>
    <w:rsid w:val="00DF211A"/>
    <w:rsid w:val="00DF25AD"/>
    <w:rsid w:val="00DF2856"/>
    <w:rsid w:val="00DF2C48"/>
    <w:rsid w:val="00DF2CE1"/>
    <w:rsid w:val="00DF2D9F"/>
    <w:rsid w:val="00DF2EB5"/>
    <w:rsid w:val="00DF338B"/>
    <w:rsid w:val="00DF3CC2"/>
    <w:rsid w:val="00DF4943"/>
    <w:rsid w:val="00DF4C7B"/>
    <w:rsid w:val="00DF4DF7"/>
    <w:rsid w:val="00DF5009"/>
    <w:rsid w:val="00DF50B6"/>
    <w:rsid w:val="00DF536D"/>
    <w:rsid w:val="00DF57F2"/>
    <w:rsid w:val="00DF5BAE"/>
    <w:rsid w:val="00DF5F06"/>
    <w:rsid w:val="00DF6067"/>
    <w:rsid w:val="00DF6432"/>
    <w:rsid w:val="00DF6779"/>
    <w:rsid w:val="00DF679E"/>
    <w:rsid w:val="00DF6866"/>
    <w:rsid w:val="00DF6C51"/>
    <w:rsid w:val="00DF6D20"/>
    <w:rsid w:val="00DF6F0B"/>
    <w:rsid w:val="00DF764C"/>
    <w:rsid w:val="00DF7BE3"/>
    <w:rsid w:val="00DF7C41"/>
    <w:rsid w:val="00DF7CE4"/>
    <w:rsid w:val="00DF7D6F"/>
    <w:rsid w:val="00E0079F"/>
    <w:rsid w:val="00E00A33"/>
    <w:rsid w:val="00E00B9D"/>
    <w:rsid w:val="00E00D31"/>
    <w:rsid w:val="00E00E1C"/>
    <w:rsid w:val="00E010A9"/>
    <w:rsid w:val="00E012AC"/>
    <w:rsid w:val="00E014E3"/>
    <w:rsid w:val="00E0150A"/>
    <w:rsid w:val="00E018D2"/>
    <w:rsid w:val="00E01DC3"/>
    <w:rsid w:val="00E01F19"/>
    <w:rsid w:val="00E02687"/>
    <w:rsid w:val="00E026BA"/>
    <w:rsid w:val="00E035E5"/>
    <w:rsid w:val="00E036CE"/>
    <w:rsid w:val="00E037ED"/>
    <w:rsid w:val="00E038A4"/>
    <w:rsid w:val="00E038F7"/>
    <w:rsid w:val="00E03924"/>
    <w:rsid w:val="00E04156"/>
    <w:rsid w:val="00E0447D"/>
    <w:rsid w:val="00E0476B"/>
    <w:rsid w:val="00E0476C"/>
    <w:rsid w:val="00E05199"/>
    <w:rsid w:val="00E05547"/>
    <w:rsid w:val="00E05AC5"/>
    <w:rsid w:val="00E05C8A"/>
    <w:rsid w:val="00E05DC8"/>
    <w:rsid w:val="00E0621B"/>
    <w:rsid w:val="00E0630B"/>
    <w:rsid w:val="00E06C02"/>
    <w:rsid w:val="00E06E3C"/>
    <w:rsid w:val="00E070A6"/>
    <w:rsid w:val="00E073BD"/>
    <w:rsid w:val="00E0763D"/>
    <w:rsid w:val="00E1009E"/>
    <w:rsid w:val="00E103BB"/>
    <w:rsid w:val="00E10449"/>
    <w:rsid w:val="00E10564"/>
    <w:rsid w:val="00E1067B"/>
    <w:rsid w:val="00E10A44"/>
    <w:rsid w:val="00E10DFE"/>
    <w:rsid w:val="00E1109E"/>
    <w:rsid w:val="00E111B7"/>
    <w:rsid w:val="00E1122F"/>
    <w:rsid w:val="00E1140D"/>
    <w:rsid w:val="00E117D0"/>
    <w:rsid w:val="00E121A0"/>
    <w:rsid w:val="00E1281B"/>
    <w:rsid w:val="00E12872"/>
    <w:rsid w:val="00E13685"/>
    <w:rsid w:val="00E13757"/>
    <w:rsid w:val="00E13C6D"/>
    <w:rsid w:val="00E14247"/>
    <w:rsid w:val="00E146F4"/>
    <w:rsid w:val="00E14759"/>
    <w:rsid w:val="00E14DA5"/>
    <w:rsid w:val="00E14DD1"/>
    <w:rsid w:val="00E14E76"/>
    <w:rsid w:val="00E14F4C"/>
    <w:rsid w:val="00E1508F"/>
    <w:rsid w:val="00E1524D"/>
    <w:rsid w:val="00E154CD"/>
    <w:rsid w:val="00E15618"/>
    <w:rsid w:val="00E156A6"/>
    <w:rsid w:val="00E15860"/>
    <w:rsid w:val="00E158CF"/>
    <w:rsid w:val="00E159BD"/>
    <w:rsid w:val="00E15C89"/>
    <w:rsid w:val="00E15F0C"/>
    <w:rsid w:val="00E165EF"/>
    <w:rsid w:val="00E1663B"/>
    <w:rsid w:val="00E16823"/>
    <w:rsid w:val="00E1696B"/>
    <w:rsid w:val="00E16A18"/>
    <w:rsid w:val="00E16B88"/>
    <w:rsid w:val="00E16D31"/>
    <w:rsid w:val="00E16DFB"/>
    <w:rsid w:val="00E16EF2"/>
    <w:rsid w:val="00E1716D"/>
    <w:rsid w:val="00E171F4"/>
    <w:rsid w:val="00E1741F"/>
    <w:rsid w:val="00E17B67"/>
    <w:rsid w:val="00E17BDA"/>
    <w:rsid w:val="00E202DA"/>
    <w:rsid w:val="00E203E1"/>
    <w:rsid w:val="00E203F4"/>
    <w:rsid w:val="00E2072E"/>
    <w:rsid w:val="00E207EC"/>
    <w:rsid w:val="00E207F1"/>
    <w:rsid w:val="00E20CD6"/>
    <w:rsid w:val="00E20D8F"/>
    <w:rsid w:val="00E21045"/>
    <w:rsid w:val="00E211AB"/>
    <w:rsid w:val="00E212A6"/>
    <w:rsid w:val="00E21415"/>
    <w:rsid w:val="00E21595"/>
    <w:rsid w:val="00E21982"/>
    <w:rsid w:val="00E21A68"/>
    <w:rsid w:val="00E21CFC"/>
    <w:rsid w:val="00E21D5D"/>
    <w:rsid w:val="00E21E08"/>
    <w:rsid w:val="00E220A4"/>
    <w:rsid w:val="00E22220"/>
    <w:rsid w:val="00E2237C"/>
    <w:rsid w:val="00E22612"/>
    <w:rsid w:val="00E226EE"/>
    <w:rsid w:val="00E2288C"/>
    <w:rsid w:val="00E229BF"/>
    <w:rsid w:val="00E22EB8"/>
    <w:rsid w:val="00E2445A"/>
    <w:rsid w:val="00E249AE"/>
    <w:rsid w:val="00E24BB3"/>
    <w:rsid w:val="00E254D0"/>
    <w:rsid w:val="00E255F3"/>
    <w:rsid w:val="00E257CD"/>
    <w:rsid w:val="00E25B5F"/>
    <w:rsid w:val="00E260D7"/>
    <w:rsid w:val="00E26A44"/>
    <w:rsid w:val="00E26B07"/>
    <w:rsid w:val="00E26C9F"/>
    <w:rsid w:val="00E26FD1"/>
    <w:rsid w:val="00E27064"/>
    <w:rsid w:val="00E274B9"/>
    <w:rsid w:val="00E277D1"/>
    <w:rsid w:val="00E27F3D"/>
    <w:rsid w:val="00E30199"/>
    <w:rsid w:val="00E30216"/>
    <w:rsid w:val="00E304C2"/>
    <w:rsid w:val="00E3052A"/>
    <w:rsid w:val="00E306DA"/>
    <w:rsid w:val="00E30A0C"/>
    <w:rsid w:val="00E30CC2"/>
    <w:rsid w:val="00E30FB7"/>
    <w:rsid w:val="00E31014"/>
    <w:rsid w:val="00E310A2"/>
    <w:rsid w:val="00E31648"/>
    <w:rsid w:val="00E31691"/>
    <w:rsid w:val="00E317B3"/>
    <w:rsid w:val="00E31CDF"/>
    <w:rsid w:val="00E320AB"/>
    <w:rsid w:val="00E320FA"/>
    <w:rsid w:val="00E32CE8"/>
    <w:rsid w:val="00E330EB"/>
    <w:rsid w:val="00E33421"/>
    <w:rsid w:val="00E33548"/>
    <w:rsid w:val="00E33DDA"/>
    <w:rsid w:val="00E349B8"/>
    <w:rsid w:val="00E34BA2"/>
    <w:rsid w:val="00E34D47"/>
    <w:rsid w:val="00E34E8C"/>
    <w:rsid w:val="00E35551"/>
    <w:rsid w:val="00E357F8"/>
    <w:rsid w:val="00E36501"/>
    <w:rsid w:val="00E367D6"/>
    <w:rsid w:val="00E36B02"/>
    <w:rsid w:val="00E36FB0"/>
    <w:rsid w:val="00E37549"/>
    <w:rsid w:val="00E403EA"/>
    <w:rsid w:val="00E40580"/>
    <w:rsid w:val="00E40644"/>
    <w:rsid w:val="00E40A4C"/>
    <w:rsid w:val="00E40F75"/>
    <w:rsid w:val="00E41237"/>
    <w:rsid w:val="00E4125B"/>
    <w:rsid w:val="00E4141F"/>
    <w:rsid w:val="00E41505"/>
    <w:rsid w:val="00E41600"/>
    <w:rsid w:val="00E4170D"/>
    <w:rsid w:val="00E41B7C"/>
    <w:rsid w:val="00E421B6"/>
    <w:rsid w:val="00E422C9"/>
    <w:rsid w:val="00E424E3"/>
    <w:rsid w:val="00E42503"/>
    <w:rsid w:val="00E426CF"/>
    <w:rsid w:val="00E42C76"/>
    <w:rsid w:val="00E43034"/>
    <w:rsid w:val="00E4306E"/>
    <w:rsid w:val="00E43221"/>
    <w:rsid w:val="00E434DE"/>
    <w:rsid w:val="00E43620"/>
    <w:rsid w:val="00E43776"/>
    <w:rsid w:val="00E43A7F"/>
    <w:rsid w:val="00E43C3E"/>
    <w:rsid w:val="00E43D22"/>
    <w:rsid w:val="00E43DFC"/>
    <w:rsid w:val="00E4463B"/>
    <w:rsid w:val="00E44B25"/>
    <w:rsid w:val="00E44DE3"/>
    <w:rsid w:val="00E454C3"/>
    <w:rsid w:val="00E458A0"/>
    <w:rsid w:val="00E45D0D"/>
    <w:rsid w:val="00E45DB3"/>
    <w:rsid w:val="00E45ECE"/>
    <w:rsid w:val="00E4606E"/>
    <w:rsid w:val="00E46371"/>
    <w:rsid w:val="00E464B6"/>
    <w:rsid w:val="00E4695E"/>
    <w:rsid w:val="00E46E0A"/>
    <w:rsid w:val="00E4721E"/>
    <w:rsid w:val="00E4765E"/>
    <w:rsid w:val="00E47F34"/>
    <w:rsid w:val="00E501C5"/>
    <w:rsid w:val="00E50320"/>
    <w:rsid w:val="00E5050E"/>
    <w:rsid w:val="00E509E3"/>
    <w:rsid w:val="00E50C1B"/>
    <w:rsid w:val="00E5121E"/>
    <w:rsid w:val="00E51510"/>
    <w:rsid w:val="00E5167C"/>
    <w:rsid w:val="00E51CA2"/>
    <w:rsid w:val="00E5262A"/>
    <w:rsid w:val="00E52795"/>
    <w:rsid w:val="00E52C53"/>
    <w:rsid w:val="00E530C6"/>
    <w:rsid w:val="00E5312B"/>
    <w:rsid w:val="00E533E8"/>
    <w:rsid w:val="00E5350F"/>
    <w:rsid w:val="00E53711"/>
    <w:rsid w:val="00E53A6D"/>
    <w:rsid w:val="00E54374"/>
    <w:rsid w:val="00E547E1"/>
    <w:rsid w:val="00E549B8"/>
    <w:rsid w:val="00E549FF"/>
    <w:rsid w:val="00E54A95"/>
    <w:rsid w:val="00E54B7D"/>
    <w:rsid w:val="00E54E7C"/>
    <w:rsid w:val="00E54EBF"/>
    <w:rsid w:val="00E55261"/>
    <w:rsid w:val="00E55365"/>
    <w:rsid w:val="00E55436"/>
    <w:rsid w:val="00E554F9"/>
    <w:rsid w:val="00E5556D"/>
    <w:rsid w:val="00E55B47"/>
    <w:rsid w:val="00E55D01"/>
    <w:rsid w:val="00E56476"/>
    <w:rsid w:val="00E5673B"/>
    <w:rsid w:val="00E56745"/>
    <w:rsid w:val="00E567E3"/>
    <w:rsid w:val="00E5691F"/>
    <w:rsid w:val="00E56962"/>
    <w:rsid w:val="00E570AD"/>
    <w:rsid w:val="00E572DC"/>
    <w:rsid w:val="00E575AE"/>
    <w:rsid w:val="00E575D7"/>
    <w:rsid w:val="00E578E8"/>
    <w:rsid w:val="00E57A28"/>
    <w:rsid w:val="00E57D98"/>
    <w:rsid w:val="00E600AF"/>
    <w:rsid w:val="00E6025C"/>
    <w:rsid w:val="00E602D3"/>
    <w:rsid w:val="00E603E3"/>
    <w:rsid w:val="00E604B8"/>
    <w:rsid w:val="00E60C43"/>
    <w:rsid w:val="00E60E5E"/>
    <w:rsid w:val="00E611CF"/>
    <w:rsid w:val="00E61521"/>
    <w:rsid w:val="00E615A1"/>
    <w:rsid w:val="00E617BA"/>
    <w:rsid w:val="00E6182B"/>
    <w:rsid w:val="00E61925"/>
    <w:rsid w:val="00E61F18"/>
    <w:rsid w:val="00E62029"/>
    <w:rsid w:val="00E62405"/>
    <w:rsid w:val="00E628D9"/>
    <w:rsid w:val="00E62971"/>
    <w:rsid w:val="00E62F4C"/>
    <w:rsid w:val="00E6357F"/>
    <w:rsid w:val="00E6375B"/>
    <w:rsid w:val="00E63AE3"/>
    <w:rsid w:val="00E63EAC"/>
    <w:rsid w:val="00E64526"/>
    <w:rsid w:val="00E646FA"/>
    <w:rsid w:val="00E64BC7"/>
    <w:rsid w:val="00E64E0D"/>
    <w:rsid w:val="00E6514B"/>
    <w:rsid w:val="00E651E0"/>
    <w:rsid w:val="00E6537A"/>
    <w:rsid w:val="00E65412"/>
    <w:rsid w:val="00E6541B"/>
    <w:rsid w:val="00E658CA"/>
    <w:rsid w:val="00E659DA"/>
    <w:rsid w:val="00E65B01"/>
    <w:rsid w:val="00E65E74"/>
    <w:rsid w:val="00E65EE4"/>
    <w:rsid w:val="00E65FAD"/>
    <w:rsid w:val="00E66AB4"/>
    <w:rsid w:val="00E66B18"/>
    <w:rsid w:val="00E66C62"/>
    <w:rsid w:val="00E66CBC"/>
    <w:rsid w:val="00E67213"/>
    <w:rsid w:val="00E677AD"/>
    <w:rsid w:val="00E678A0"/>
    <w:rsid w:val="00E67977"/>
    <w:rsid w:val="00E67D77"/>
    <w:rsid w:val="00E67F2F"/>
    <w:rsid w:val="00E7023B"/>
    <w:rsid w:val="00E7039B"/>
    <w:rsid w:val="00E70D06"/>
    <w:rsid w:val="00E70E29"/>
    <w:rsid w:val="00E7149F"/>
    <w:rsid w:val="00E71604"/>
    <w:rsid w:val="00E718FE"/>
    <w:rsid w:val="00E7196E"/>
    <w:rsid w:val="00E719E2"/>
    <w:rsid w:val="00E7255F"/>
    <w:rsid w:val="00E725CB"/>
    <w:rsid w:val="00E7260E"/>
    <w:rsid w:val="00E73559"/>
    <w:rsid w:val="00E739FA"/>
    <w:rsid w:val="00E73B1A"/>
    <w:rsid w:val="00E73D4B"/>
    <w:rsid w:val="00E740A0"/>
    <w:rsid w:val="00E7428D"/>
    <w:rsid w:val="00E747BD"/>
    <w:rsid w:val="00E749A1"/>
    <w:rsid w:val="00E74B0A"/>
    <w:rsid w:val="00E74B61"/>
    <w:rsid w:val="00E74E1F"/>
    <w:rsid w:val="00E7502C"/>
    <w:rsid w:val="00E7522D"/>
    <w:rsid w:val="00E755CC"/>
    <w:rsid w:val="00E758F4"/>
    <w:rsid w:val="00E75B8E"/>
    <w:rsid w:val="00E75C97"/>
    <w:rsid w:val="00E75D13"/>
    <w:rsid w:val="00E75D71"/>
    <w:rsid w:val="00E76211"/>
    <w:rsid w:val="00E763B0"/>
    <w:rsid w:val="00E76D78"/>
    <w:rsid w:val="00E76E08"/>
    <w:rsid w:val="00E76EBA"/>
    <w:rsid w:val="00E76F1E"/>
    <w:rsid w:val="00E772BC"/>
    <w:rsid w:val="00E7747B"/>
    <w:rsid w:val="00E77C9B"/>
    <w:rsid w:val="00E77CEA"/>
    <w:rsid w:val="00E77F46"/>
    <w:rsid w:val="00E80BD9"/>
    <w:rsid w:val="00E8117F"/>
    <w:rsid w:val="00E8124B"/>
    <w:rsid w:val="00E813A9"/>
    <w:rsid w:val="00E81906"/>
    <w:rsid w:val="00E81CC1"/>
    <w:rsid w:val="00E81E3F"/>
    <w:rsid w:val="00E81E41"/>
    <w:rsid w:val="00E81EFE"/>
    <w:rsid w:val="00E81FB6"/>
    <w:rsid w:val="00E81FBA"/>
    <w:rsid w:val="00E82078"/>
    <w:rsid w:val="00E82B20"/>
    <w:rsid w:val="00E82F01"/>
    <w:rsid w:val="00E82FFC"/>
    <w:rsid w:val="00E83021"/>
    <w:rsid w:val="00E83822"/>
    <w:rsid w:val="00E83AC9"/>
    <w:rsid w:val="00E83E4D"/>
    <w:rsid w:val="00E83F4D"/>
    <w:rsid w:val="00E84256"/>
    <w:rsid w:val="00E84293"/>
    <w:rsid w:val="00E8454F"/>
    <w:rsid w:val="00E84A33"/>
    <w:rsid w:val="00E85111"/>
    <w:rsid w:val="00E8556C"/>
    <w:rsid w:val="00E85B00"/>
    <w:rsid w:val="00E85E27"/>
    <w:rsid w:val="00E861B8"/>
    <w:rsid w:val="00E863C3"/>
    <w:rsid w:val="00E86B9C"/>
    <w:rsid w:val="00E86C0A"/>
    <w:rsid w:val="00E86C68"/>
    <w:rsid w:val="00E86E17"/>
    <w:rsid w:val="00E87022"/>
    <w:rsid w:val="00E8711B"/>
    <w:rsid w:val="00E875FB"/>
    <w:rsid w:val="00E87968"/>
    <w:rsid w:val="00E879F1"/>
    <w:rsid w:val="00E900DD"/>
    <w:rsid w:val="00E902CC"/>
    <w:rsid w:val="00E90342"/>
    <w:rsid w:val="00E90ACA"/>
    <w:rsid w:val="00E90FD0"/>
    <w:rsid w:val="00E910B1"/>
    <w:rsid w:val="00E910CE"/>
    <w:rsid w:val="00E9139A"/>
    <w:rsid w:val="00E91693"/>
    <w:rsid w:val="00E91864"/>
    <w:rsid w:val="00E91B03"/>
    <w:rsid w:val="00E91EF6"/>
    <w:rsid w:val="00E9216E"/>
    <w:rsid w:val="00E92272"/>
    <w:rsid w:val="00E92DC8"/>
    <w:rsid w:val="00E92F0C"/>
    <w:rsid w:val="00E93837"/>
    <w:rsid w:val="00E9394E"/>
    <w:rsid w:val="00E93E3D"/>
    <w:rsid w:val="00E941C5"/>
    <w:rsid w:val="00E944C6"/>
    <w:rsid w:val="00E94739"/>
    <w:rsid w:val="00E94B3B"/>
    <w:rsid w:val="00E953AE"/>
    <w:rsid w:val="00E95519"/>
    <w:rsid w:val="00E957DA"/>
    <w:rsid w:val="00E957F6"/>
    <w:rsid w:val="00E95FB0"/>
    <w:rsid w:val="00E961E0"/>
    <w:rsid w:val="00E96271"/>
    <w:rsid w:val="00E964EB"/>
    <w:rsid w:val="00E96C95"/>
    <w:rsid w:val="00E974FA"/>
    <w:rsid w:val="00E978EB"/>
    <w:rsid w:val="00E9794B"/>
    <w:rsid w:val="00E97994"/>
    <w:rsid w:val="00E97D45"/>
    <w:rsid w:val="00EA02F3"/>
    <w:rsid w:val="00EA035C"/>
    <w:rsid w:val="00EA116E"/>
    <w:rsid w:val="00EA129D"/>
    <w:rsid w:val="00EA143B"/>
    <w:rsid w:val="00EA1857"/>
    <w:rsid w:val="00EA1AE8"/>
    <w:rsid w:val="00EA1CD7"/>
    <w:rsid w:val="00EA1D32"/>
    <w:rsid w:val="00EA1E1E"/>
    <w:rsid w:val="00EA27F6"/>
    <w:rsid w:val="00EA2891"/>
    <w:rsid w:val="00EA2BDF"/>
    <w:rsid w:val="00EA2D51"/>
    <w:rsid w:val="00EA2F02"/>
    <w:rsid w:val="00EA311F"/>
    <w:rsid w:val="00EA31C0"/>
    <w:rsid w:val="00EA3B85"/>
    <w:rsid w:val="00EA3EA7"/>
    <w:rsid w:val="00EA4980"/>
    <w:rsid w:val="00EA4AED"/>
    <w:rsid w:val="00EA4E23"/>
    <w:rsid w:val="00EA52A0"/>
    <w:rsid w:val="00EA5468"/>
    <w:rsid w:val="00EA5B66"/>
    <w:rsid w:val="00EA5BBE"/>
    <w:rsid w:val="00EA6579"/>
    <w:rsid w:val="00EA6D47"/>
    <w:rsid w:val="00EA75C9"/>
    <w:rsid w:val="00EA7C66"/>
    <w:rsid w:val="00EA7F03"/>
    <w:rsid w:val="00EB0A95"/>
    <w:rsid w:val="00EB105A"/>
    <w:rsid w:val="00EB1191"/>
    <w:rsid w:val="00EB1C12"/>
    <w:rsid w:val="00EB1D05"/>
    <w:rsid w:val="00EB1E15"/>
    <w:rsid w:val="00EB1EA9"/>
    <w:rsid w:val="00EB2056"/>
    <w:rsid w:val="00EB206C"/>
    <w:rsid w:val="00EB261A"/>
    <w:rsid w:val="00EB2779"/>
    <w:rsid w:val="00EB28F5"/>
    <w:rsid w:val="00EB2D5F"/>
    <w:rsid w:val="00EB2F4E"/>
    <w:rsid w:val="00EB302B"/>
    <w:rsid w:val="00EB32A0"/>
    <w:rsid w:val="00EB3473"/>
    <w:rsid w:val="00EB35EC"/>
    <w:rsid w:val="00EB3861"/>
    <w:rsid w:val="00EB388A"/>
    <w:rsid w:val="00EB3910"/>
    <w:rsid w:val="00EB4221"/>
    <w:rsid w:val="00EB4242"/>
    <w:rsid w:val="00EB4461"/>
    <w:rsid w:val="00EB4A8F"/>
    <w:rsid w:val="00EB5050"/>
    <w:rsid w:val="00EB54BD"/>
    <w:rsid w:val="00EB5570"/>
    <w:rsid w:val="00EB55B8"/>
    <w:rsid w:val="00EB5687"/>
    <w:rsid w:val="00EB56BB"/>
    <w:rsid w:val="00EB573B"/>
    <w:rsid w:val="00EB5AE6"/>
    <w:rsid w:val="00EB5D2D"/>
    <w:rsid w:val="00EB622E"/>
    <w:rsid w:val="00EB6422"/>
    <w:rsid w:val="00EB651D"/>
    <w:rsid w:val="00EB6670"/>
    <w:rsid w:val="00EB66ED"/>
    <w:rsid w:val="00EB6A18"/>
    <w:rsid w:val="00EB6BAB"/>
    <w:rsid w:val="00EB6C80"/>
    <w:rsid w:val="00EB70CE"/>
    <w:rsid w:val="00EB72DB"/>
    <w:rsid w:val="00EB73CE"/>
    <w:rsid w:val="00EB7463"/>
    <w:rsid w:val="00EB7472"/>
    <w:rsid w:val="00EB7516"/>
    <w:rsid w:val="00EB7872"/>
    <w:rsid w:val="00EB7B1F"/>
    <w:rsid w:val="00EB7B54"/>
    <w:rsid w:val="00EB7F15"/>
    <w:rsid w:val="00EC0034"/>
    <w:rsid w:val="00EC00BE"/>
    <w:rsid w:val="00EC0134"/>
    <w:rsid w:val="00EC0A98"/>
    <w:rsid w:val="00EC0AC9"/>
    <w:rsid w:val="00EC0CC8"/>
    <w:rsid w:val="00EC0CEC"/>
    <w:rsid w:val="00EC10B7"/>
    <w:rsid w:val="00EC127F"/>
    <w:rsid w:val="00EC1D89"/>
    <w:rsid w:val="00EC1F14"/>
    <w:rsid w:val="00EC1F15"/>
    <w:rsid w:val="00EC1F85"/>
    <w:rsid w:val="00EC214E"/>
    <w:rsid w:val="00EC21E5"/>
    <w:rsid w:val="00EC2645"/>
    <w:rsid w:val="00EC26FB"/>
    <w:rsid w:val="00EC2947"/>
    <w:rsid w:val="00EC2C22"/>
    <w:rsid w:val="00EC2E83"/>
    <w:rsid w:val="00EC2EE2"/>
    <w:rsid w:val="00EC2FEC"/>
    <w:rsid w:val="00EC319B"/>
    <w:rsid w:val="00EC39CB"/>
    <w:rsid w:val="00EC3C66"/>
    <w:rsid w:val="00EC429D"/>
    <w:rsid w:val="00EC43D0"/>
    <w:rsid w:val="00EC4A91"/>
    <w:rsid w:val="00EC4E24"/>
    <w:rsid w:val="00EC4F89"/>
    <w:rsid w:val="00EC5047"/>
    <w:rsid w:val="00EC55C3"/>
    <w:rsid w:val="00EC5BB6"/>
    <w:rsid w:val="00EC5D0F"/>
    <w:rsid w:val="00EC6454"/>
    <w:rsid w:val="00EC6530"/>
    <w:rsid w:val="00EC672F"/>
    <w:rsid w:val="00EC68E6"/>
    <w:rsid w:val="00EC6B80"/>
    <w:rsid w:val="00EC6C28"/>
    <w:rsid w:val="00EC6D73"/>
    <w:rsid w:val="00EC7290"/>
    <w:rsid w:val="00EC73BE"/>
    <w:rsid w:val="00EC7ABE"/>
    <w:rsid w:val="00EC7C1F"/>
    <w:rsid w:val="00EC7E31"/>
    <w:rsid w:val="00EC7E41"/>
    <w:rsid w:val="00EC7FA7"/>
    <w:rsid w:val="00ED0194"/>
    <w:rsid w:val="00ED040A"/>
    <w:rsid w:val="00ED068D"/>
    <w:rsid w:val="00ED0C5D"/>
    <w:rsid w:val="00ED0CE7"/>
    <w:rsid w:val="00ED1031"/>
    <w:rsid w:val="00ED142C"/>
    <w:rsid w:val="00ED19C3"/>
    <w:rsid w:val="00ED1B20"/>
    <w:rsid w:val="00ED1BBC"/>
    <w:rsid w:val="00ED2149"/>
    <w:rsid w:val="00ED23B8"/>
    <w:rsid w:val="00ED2A66"/>
    <w:rsid w:val="00ED2E6C"/>
    <w:rsid w:val="00ED37F0"/>
    <w:rsid w:val="00ED3AE0"/>
    <w:rsid w:val="00ED3B1B"/>
    <w:rsid w:val="00ED4088"/>
    <w:rsid w:val="00ED4784"/>
    <w:rsid w:val="00ED4D5A"/>
    <w:rsid w:val="00ED4F39"/>
    <w:rsid w:val="00ED51E0"/>
    <w:rsid w:val="00ED53C5"/>
    <w:rsid w:val="00ED69A9"/>
    <w:rsid w:val="00ED69DB"/>
    <w:rsid w:val="00ED6B37"/>
    <w:rsid w:val="00ED739C"/>
    <w:rsid w:val="00ED7440"/>
    <w:rsid w:val="00ED7643"/>
    <w:rsid w:val="00ED7808"/>
    <w:rsid w:val="00ED7975"/>
    <w:rsid w:val="00ED7AA4"/>
    <w:rsid w:val="00ED7F86"/>
    <w:rsid w:val="00EE0008"/>
    <w:rsid w:val="00EE0E5D"/>
    <w:rsid w:val="00EE1121"/>
    <w:rsid w:val="00EE13CB"/>
    <w:rsid w:val="00EE1409"/>
    <w:rsid w:val="00EE14AA"/>
    <w:rsid w:val="00EE1604"/>
    <w:rsid w:val="00EE1923"/>
    <w:rsid w:val="00EE1AE6"/>
    <w:rsid w:val="00EE1D75"/>
    <w:rsid w:val="00EE2BF9"/>
    <w:rsid w:val="00EE2D7A"/>
    <w:rsid w:val="00EE2F59"/>
    <w:rsid w:val="00EE2F86"/>
    <w:rsid w:val="00EE2F93"/>
    <w:rsid w:val="00EE3080"/>
    <w:rsid w:val="00EE3454"/>
    <w:rsid w:val="00EE3638"/>
    <w:rsid w:val="00EE3714"/>
    <w:rsid w:val="00EE3878"/>
    <w:rsid w:val="00EE3980"/>
    <w:rsid w:val="00EE3ACA"/>
    <w:rsid w:val="00EE40E9"/>
    <w:rsid w:val="00EE4367"/>
    <w:rsid w:val="00EE45BE"/>
    <w:rsid w:val="00EE48E5"/>
    <w:rsid w:val="00EE4A9C"/>
    <w:rsid w:val="00EE4DBA"/>
    <w:rsid w:val="00EE5066"/>
    <w:rsid w:val="00EE5306"/>
    <w:rsid w:val="00EE5322"/>
    <w:rsid w:val="00EE5987"/>
    <w:rsid w:val="00EE5A2F"/>
    <w:rsid w:val="00EE5D8A"/>
    <w:rsid w:val="00EE608C"/>
    <w:rsid w:val="00EE661F"/>
    <w:rsid w:val="00EE66B8"/>
    <w:rsid w:val="00EE69D7"/>
    <w:rsid w:val="00EE6A2E"/>
    <w:rsid w:val="00EE6CD2"/>
    <w:rsid w:val="00EE6D86"/>
    <w:rsid w:val="00EE7611"/>
    <w:rsid w:val="00EE772C"/>
    <w:rsid w:val="00EE7B02"/>
    <w:rsid w:val="00EF0336"/>
    <w:rsid w:val="00EF0718"/>
    <w:rsid w:val="00EF0951"/>
    <w:rsid w:val="00EF0CF0"/>
    <w:rsid w:val="00EF0F80"/>
    <w:rsid w:val="00EF12D6"/>
    <w:rsid w:val="00EF1CDC"/>
    <w:rsid w:val="00EF2BE9"/>
    <w:rsid w:val="00EF2C7E"/>
    <w:rsid w:val="00EF2CB7"/>
    <w:rsid w:val="00EF2F6F"/>
    <w:rsid w:val="00EF30B3"/>
    <w:rsid w:val="00EF336F"/>
    <w:rsid w:val="00EF37A7"/>
    <w:rsid w:val="00EF3D6E"/>
    <w:rsid w:val="00EF4286"/>
    <w:rsid w:val="00EF4674"/>
    <w:rsid w:val="00EF480A"/>
    <w:rsid w:val="00EF4A84"/>
    <w:rsid w:val="00EF507F"/>
    <w:rsid w:val="00EF5559"/>
    <w:rsid w:val="00EF5B2B"/>
    <w:rsid w:val="00EF5CA9"/>
    <w:rsid w:val="00EF5D3F"/>
    <w:rsid w:val="00EF5E23"/>
    <w:rsid w:val="00EF5ECF"/>
    <w:rsid w:val="00EF5EFC"/>
    <w:rsid w:val="00EF7040"/>
    <w:rsid w:val="00EF733F"/>
    <w:rsid w:val="00EF743E"/>
    <w:rsid w:val="00EF744F"/>
    <w:rsid w:val="00EF74BB"/>
    <w:rsid w:val="00EF7614"/>
    <w:rsid w:val="00EF774A"/>
    <w:rsid w:val="00EF77BD"/>
    <w:rsid w:val="00EF77E4"/>
    <w:rsid w:val="00EF790E"/>
    <w:rsid w:val="00F0040F"/>
    <w:rsid w:val="00F007BF"/>
    <w:rsid w:val="00F007DB"/>
    <w:rsid w:val="00F00891"/>
    <w:rsid w:val="00F0091E"/>
    <w:rsid w:val="00F009A9"/>
    <w:rsid w:val="00F00C32"/>
    <w:rsid w:val="00F00FCC"/>
    <w:rsid w:val="00F0107A"/>
    <w:rsid w:val="00F01918"/>
    <w:rsid w:val="00F019DF"/>
    <w:rsid w:val="00F01A36"/>
    <w:rsid w:val="00F01C00"/>
    <w:rsid w:val="00F01D9E"/>
    <w:rsid w:val="00F01EE4"/>
    <w:rsid w:val="00F0209C"/>
    <w:rsid w:val="00F022C3"/>
    <w:rsid w:val="00F024C7"/>
    <w:rsid w:val="00F02AA9"/>
    <w:rsid w:val="00F02ECD"/>
    <w:rsid w:val="00F03273"/>
    <w:rsid w:val="00F03894"/>
    <w:rsid w:val="00F03903"/>
    <w:rsid w:val="00F0391B"/>
    <w:rsid w:val="00F03EFF"/>
    <w:rsid w:val="00F03F11"/>
    <w:rsid w:val="00F044E0"/>
    <w:rsid w:val="00F0487C"/>
    <w:rsid w:val="00F04BC5"/>
    <w:rsid w:val="00F04C00"/>
    <w:rsid w:val="00F051DB"/>
    <w:rsid w:val="00F0552B"/>
    <w:rsid w:val="00F056B2"/>
    <w:rsid w:val="00F05E4D"/>
    <w:rsid w:val="00F05F80"/>
    <w:rsid w:val="00F06514"/>
    <w:rsid w:val="00F06A5C"/>
    <w:rsid w:val="00F06D95"/>
    <w:rsid w:val="00F074FC"/>
    <w:rsid w:val="00F07707"/>
    <w:rsid w:val="00F077CE"/>
    <w:rsid w:val="00F07937"/>
    <w:rsid w:val="00F0795E"/>
    <w:rsid w:val="00F07E42"/>
    <w:rsid w:val="00F105CB"/>
    <w:rsid w:val="00F106A0"/>
    <w:rsid w:val="00F10858"/>
    <w:rsid w:val="00F10A03"/>
    <w:rsid w:val="00F10A3A"/>
    <w:rsid w:val="00F10CFA"/>
    <w:rsid w:val="00F10E2E"/>
    <w:rsid w:val="00F11405"/>
    <w:rsid w:val="00F1143C"/>
    <w:rsid w:val="00F11785"/>
    <w:rsid w:val="00F11A85"/>
    <w:rsid w:val="00F11B4A"/>
    <w:rsid w:val="00F11F5A"/>
    <w:rsid w:val="00F12013"/>
    <w:rsid w:val="00F120AF"/>
    <w:rsid w:val="00F12419"/>
    <w:rsid w:val="00F12491"/>
    <w:rsid w:val="00F12586"/>
    <w:rsid w:val="00F125A3"/>
    <w:rsid w:val="00F12882"/>
    <w:rsid w:val="00F12C02"/>
    <w:rsid w:val="00F13074"/>
    <w:rsid w:val="00F13B0E"/>
    <w:rsid w:val="00F13B14"/>
    <w:rsid w:val="00F13C09"/>
    <w:rsid w:val="00F13D49"/>
    <w:rsid w:val="00F13D88"/>
    <w:rsid w:val="00F147E6"/>
    <w:rsid w:val="00F151E4"/>
    <w:rsid w:val="00F1548D"/>
    <w:rsid w:val="00F1564B"/>
    <w:rsid w:val="00F158A7"/>
    <w:rsid w:val="00F15B90"/>
    <w:rsid w:val="00F15DEC"/>
    <w:rsid w:val="00F15F7C"/>
    <w:rsid w:val="00F16528"/>
    <w:rsid w:val="00F1656E"/>
    <w:rsid w:val="00F16BD3"/>
    <w:rsid w:val="00F17053"/>
    <w:rsid w:val="00F17673"/>
    <w:rsid w:val="00F17B34"/>
    <w:rsid w:val="00F17B6D"/>
    <w:rsid w:val="00F17B94"/>
    <w:rsid w:val="00F17FED"/>
    <w:rsid w:val="00F201F1"/>
    <w:rsid w:val="00F20543"/>
    <w:rsid w:val="00F20569"/>
    <w:rsid w:val="00F208DD"/>
    <w:rsid w:val="00F21484"/>
    <w:rsid w:val="00F21500"/>
    <w:rsid w:val="00F2182B"/>
    <w:rsid w:val="00F21C95"/>
    <w:rsid w:val="00F21CA3"/>
    <w:rsid w:val="00F21EC3"/>
    <w:rsid w:val="00F220E7"/>
    <w:rsid w:val="00F22533"/>
    <w:rsid w:val="00F227FD"/>
    <w:rsid w:val="00F22979"/>
    <w:rsid w:val="00F2316F"/>
    <w:rsid w:val="00F231D5"/>
    <w:rsid w:val="00F23487"/>
    <w:rsid w:val="00F2370B"/>
    <w:rsid w:val="00F23AF4"/>
    <w:rsid w:val="00F23BDA"/>
    <w:rsid w:val="00F23CB8"/>
    <w:rsid w:val="00F23E99"/>
    <w:rsid w:val="00F24370"/>
    <w:rsid w:val="00F24E46"/>
    <w:rsid w:val="00F24F80"/>
    <w:rsid w:val="00F2518B"/>
    <w:rsid w:val="00F2547F"/>
    <w:rsid w:val="00F254EF"/>
    <w:rsid w:val="00F25A61"/>
    <w:rsid w:val="00F25C56"/>
    <w:rsid w:val="00F25D61"/>
    <w:rsid w:val="00F25D75"/>
    <w:rsid w:val="00F2634D"/>
    <w:rsid w:val="00F264E2"/>
    <w:rsid w:val="00F268C5"/>
    <w:rsid w:val="00F268DE"/>
    <w:rsid w:val="00F26937"/>
    <w:rsid w:val="00F269EB"/>
    <w:rsid w:val="00F26DB0"/>
    <w:rsid w:val="00F26EC0"/>
    <w:rsid w:val="00F26F09"/>
    <w:rsid w:val="00F27028"/>
    <w:rsid w:val="00F27460"/>
    <w:rsid w:val="00F2774B"/>
    <w:rsid w:val="00F277A1"/>
    <w:rsid w:val="00F279BC"/>
    <w:rsid w:val="00F27AE0"/>
    <w:rsid w:val="00F27DDC"/>
    <w:rsid w:val="00F27E85"/>
    <w:rsid w:val="00F30448"/>
    <w:rsid w:val="00F30650"/>
    <w:rsid w:val="00F30BCC"/>
    <w:rsid w:val="00F30F89"/>
    <w:rsid w:val="00F31436"/>
    <w:rsid w:val="00F31849"/>
    <w:rsid w:val="00F31BCA"/>
    <w:rsid w:val="00F3219F"/>
    <w:rsid w:val="00F322A7"/>
    <w:rsid w:val="00F32526"/>
    <w:rsid w:val="00F32740"/>
    <w:rsid w:val="00F32872"/>
    <w:rsid w:val="00F32D75"/>
    <w:rsid w:val="00F32DE6"/>
    <w:rsid w:val="00F3326C"/>
    <w:rsid w:val="00F33284"/>
    <w:rsid w:val="00F332CF"/>
    <w:rsid w:val="00F33B13"/>
    <w:rsid w:val="00F34519"/>
    <w:rsid w:val="00F34E44"/>
    <w:rsid w:val="00F35348"/>
    <w:rsid w:val="00F3539B"/>
    <w:rsid w:val="00F3558E"/>
    <w:rsid w:val="00F35A85"/>
    <w:rsid w:val="00F35B16"/>
    <w:rsid w:val="00F36365"/>
    <w:rsid w:val="00F3642E"/>
    <w:rsid w:val="00F367F9"/>
    <w:rsid w:val="00F36A9C"/>
    <w:rsid w:val="00F36AB3"/>
    <w:rsid w:val="00F36AF7"/>
    <w:rsid w:val="00F36CB7"/>
    <w:rsid w:val="00F36F3A"/>
    <w:rsid w:val="00F3703C"/>
    <w:rsid w:val="00F37776"/>
    <w:rsid w:val="00F37A6F"/>
    <w:rsid w:val="00F37B10"/>
    <w:rsid w:val="00F37FE3"/>
    <w:rsid w:val="00F409E8"/>
    <w:rsid w:val="00F40C85"/>
    <w:rsid w:val="00F40C9F"/>
    <w:rsid w:val="00F40D5E"/>
    <w:rsid w:val="00F40EF4"/>
    <w:rsid w:val="00F40F45"/>
    <w:rsid w:val="00F4102F"/>
    <w:rsid w:val="00F4112A"/>
    <w:rsid w:val="00F411BD"/>
    <w:rsid w:val="00F41353"/>
    <w:rsid w:val="00F41374"/>
    <w:rsid w:val="00F416A9"/>
    <w:rsid w:val="00F41823"/>
    <w:rsid w:val="00F41AA3"/>
    <w:rsid w:val="00F41E9A"/>
    <w:rsid w:val="00F41ED7"/>
    <w:rsid w:val="00F41F2C"/>
    <w:rsid w:val="00F41FF5"/>
    <w:rsid w:val="00F4260D"/>
    <w:rsid w:val="00F42626"/>
    <w:rsid w:val="00F42D68"/>
    <w:rsid w:val="00F43154"/>
    <w:rsid w:val="00F432EC"/>
    <w:rsid w:val="00F434D5"/>
    <w:rsid w:val="00F43566"/>
    <w:rsid w:val="00F43739"/>
    <w:rsid w:val="00F437D5"/>
    <w:rsid w:val="00F438F0"/>
    <w:rsid w:val="00F43BFC"/>
    <w:rsid w:val="00F44052"/>
    <w:rsid w:val="00F441AD"/>
    <w:rsid w:val="00F44547"/>
    <w:rsid w:val="00F44561"/>
    <w:rsid w:val="00F445A4"/>
    <w:rsid w:val="00F4462F"/>
    <w:rsid w:val="00F44B48"/>
    <w:rsid w:val="00F44C91"/>
    <w:rsid w:val="00F44E51"/>
    <w:rsid w:val="00F451A6"/>
    <w:rsid w:val="00F45324"/>
    <w:rsid w:val="00F45432"/>
    <w:rsid w:val="00F45529"/>
    <w:rsid w:val="00F45531"/>
    <w:rsid w:val="00F4589C"/>
    <w:rsid w:val="00F4595E"/>
    <w:rsid w:val="00F45A3F"/>
    <w:rsid w:val="00F45AA7"/>
    <w:rsid w:val="00F45D57"/>
    <w:rsid w:val="00F46006"/>
    <w:rsid w:val="00F460F9"/>
    <w:rsid w:val="00F461A8"/>
    <w:rsid w:val="00F463A4"/>
    <w:rsid w:val="00F465A9"/>
    <w:rsid w:val="00F46629"/>
    <w:rsid w:val="00F46CFD"/>
    <w:rsid w:val="00F46D40"/>
    <w:rsid w:val="00F46EA9"/>
    <w:rsid w:val="00F47025"/>
    <w:rsid w:val="00F470B7"/>
    <w:rsid w:val="00F47377"/>
    <w:rsid w:val="00F4759D"/>
    <w:rsid w:val="00F4785B"/>
    <w:rsid w:val="00F47C0F"/>
    <w:rsid w:val="00F47C5B"/>
    <w:rsid w:val="00F47DBF"/>
    <w:rsid w:val="00F5066F"/>
    <w:rsid w:val="00F50B93"/>
    <w:rsid w:val="00F50BE2"/>
    <w:rsid w:val="00F50C57"/>
    <w:rsid w:val="00F515C0"/>
    <w:rsid w:val="00F51608"/>
    <w:rsid w:val="00F51A6F"/>
    <w:rsid w:val="00F51D86"/>
    <w:rsid w:val="00F52222"/>
    <w:rsid w:val="00F523AA"/>
    <w:rsid w:val="00F525BA"/>
    <w:rsid w:val="00F5271E"/>
    <w:rsid w:val="00F52A65"/>
    <w:rsid w:val="00F52D0B"/>
    <w:rsid w:val="00F52D91"/>
    <w:rsid w:val="00F5322D"/>
    <w:rsid w:val="00F53231"/>
    <w:rsid w:val="00F5383E"/>
    <w:rsid w:val="00F53D28"/>
    <w:rsid w:val="00F53F04"/>
    <w:rsid w:val="00F543AE"/>
    <w:rsid w:val="00F5476A"/>
    <w:rsid w:val="00F556BB"/>
    <w:rsid w:val="00F5587F"/>
    <w:rsid w:val="00F559F2"/>
    <w:rsid w:val="00F55E80"/>
    <w:rsid w:val="00F55EF4"/>
    <w:rsid w:val="00F5605F"/>
    <w:rsid w:val="00F560BD"/>
    <w:rsid w:val="00F561D9"/>
    <w:rsid w:val="00F56465"/>
    <w:rsid w:val="00F56543"/>
    <w:rsid w:val="00F56E2E"/>
    <w:rsid w:val="00F5713B"/>
    <w:rsid w:val="00F575AA"/>
    <w:rsid w:val="00F576FF"/>
    <w:rsid w:val="00F5798B"/>
    <w:rsid w:val="00F57A9C"/>
    <w:rsid w:val="00F57D09"/>
    <w:rsid w:val="00F6019E"/>
    <w:rsid w:val="00F60390"/>
    <w:rsid w:val="00F6058A"/>
    <w:rsid w:val="00F6075C"/>
    <w:rsid w:val="00F60D67"/>
    <w:rsid w:val="00F60FFA"/>
    <w:rsid w:val="00F616FD"/>
    <w:rsid w:val="00F6170F"/>
    <w:rsid w:val="00F61E88"/>
    <w:rsid w:val="00F61E99"/>
    <w:rsid w:val="00F6210B"/>
    <w:rsid w:val="00F6258D"/>
    <w:rsid w:val="00F62770"/>
    <w:rsid w:val="00F62977"/>
    <w:rsid w:val="00F62FF4"/>
    <w:rsid w:val="00F63118"/>
    <w:rsid w:val="00F63B36"/>
    <w:rsid w:val="00F63B55"/>
    <w:rsid w:val="00F63FF1"/>
    <w:rsid w:val="00F6406E"/>
    <w:rsid w:val="00F6447A"/>
    <w:rsid w:val="00F644FB"/>
    <w:rsid w:val="00F6459E"/>
    <w:rsid w:val="00F64ADE"/>
    <w:rsid w:val="00F64AF7"/>
    <w:rsid w:val="00F64C8E"/>
    <w:rsid w:val="00F64E90"/>
    <w:rsid w:val="00F655FA"/>
    <w:rsid w:val="00F6564F"/>
    <w:rsid w:val="00F65D52"/>
    <w:rsid w:val="00F661E8"/>
    <w:rsid w:val="00F6658C"/>
    <w:rsid w:val="00F66683"/>
    <w:rsid w:val="00F6685E"/>
    <w:rsid w:val="00F66926"/>
    <w:rsid w:val="00F66BD0"/>
    <w:rsid w:val="00F66D27"/>
    <w:rsid w:val="00F66FF8"/>
    <w:rsid w:val="00F676B7"/>
    <w:rsid w:val="00F6794B"/>
    <w:rsid w:val="00F67E40"/>
    <w:rsid w:val="00F67EC0"/>
    <w:rsid w:val="00F70322"/>
    <w:rsid w:val="00F706E2"/>
    <w:rsid w:val="00F70DB8"/>
    <w:rsid w:val="00F70F21"/>
    <w:rsid w:val="00F713C3"/>
    <w:rsid w:val="00F7164A"/>
    <w:rsid w:val="00F716BC"/>
    <w:rsid w:val="00F717E3"/>
    <w:rsid w:val="00F718C3"/>
    <w:rsid w:val="00F71ED2"/>
    <w:rsid w:val="00F72573"/>
    <w:rsid w:val="00F725F5"/>
    <w:rsid w:val="00F7262E"/>
    <w:rsid w:val="00F72929"/>
    <w:rsid w:val="00F7294F"/>
    <w:rsid w:val="00F731D9"/>
    <w:rsid w:val="00F733CF"/>
    <w:rsid w:val="00F73464"/>
    <w:rsid w:val="00F73476"/>
    <w:rsid w:val="00F736DD"/>
    <w:rsid w:val="00F73EFC"/>
    <w:rsid w:val="00F74475"/>
    <w:rsid w:val="00F750E8"/>
    <w:rsid w:val="00F75560"/>
    <w:rsid w:val="00F75774"/>
    <w:rsid w:val="00F75D08"/>
    <w:rsid w:val="00F7605E"/>
    <w:rsid w:val="00F761C6"/>
    <w:rsid w:val="00F76900"/>
    <w:rsid w:val="00F77030"/>
    <w:rsid w:val="00F77137"/>
    <w:rsid w:val="00F77462"/>
    <w:rsid w:val="00F7759B"/>
    <w:rsid w:val="00F776F6"/>
    <w:rsid w:val="00F777A5"/>
    <w:rsid w:val="00F77C4A"/>
    <w:rsid w:val="00F80700"/>
    <w:rsid w:val="00F8143B"/>
    <w:rsid w:val="00F815C6"/>
    <w:rsid w:val="00F81AB7"/>
    <w:rsid w:val="00F81D25"/>
    <w:rsid w:val="00F81F57"/>
    <w:rsid w:val="00F821C7"/>
    <w:rsid w:val="00F8223D"/>
    <w:rsid w:val="00F8246D"/>
    <w:rsid w:val="00F8298D"/>
    <w:rsid w:val="00F82BF3"/>
    <w:rsid w:val="00F83B04"/>
    <w:rsid w:val="00F83BCE"/>
    <w:rsid w:val="00F83FAD"/>
    <w:rsid w:val="00F83FD6"/>
    <w:rsid w:val="00F841F5"/>
    <w:rsid w:val="00F84ED2"/>
    <w:rsid w:val="00F85830"/>
    <w:rsid w:val="00F85993"/>
    <w:rsid w:val="00F85D07"/>
    <w:rsid w:val="00F86744"/>
    <w:rsid w:val="00F86808"/>
    <w:rsid w:val="00F868FE"/>
    <w:rsid w:val="00F869E6"/>
    <w:rsid w:val="00F86FD1"/>
    <w:rsid w:val="00F8700F"/>
    <w:rsid w:val="00F87177"/>
    <w:rsid w:val="00F872E5"/>
    <w:rsid w:val="00F87508"/>
    <w:rsid w:val="00F87EF7"/>
    <w:rsid w:val="00F87F9A"/>
    <w:rsid w:val="00F90354"/>
    <w:rsid w:val="00F903F4"/>
    <w:rsid w:val="00F904A9"/>
    <w:rsid w:val="00F90B79"/>
    <w:rsid w:val="00F90CE9"/>
    <w:rsid w:val="00F91197"/>
    <w:rsid w:val="00F91284"/>
    <w:rsid w:val="00F91590"/>
    <w:rsid w:val="00F91818"/>
    <w:rsid w:val="00F91A98"/>
    <w:rsid w:val="00F91ABD"/>
    <w:rsid w:val="00F91DC8"/>
    <w:rsid w:val="00F92354"/>
    <w:rsid w:val="00F923FE"/>
    <w:rsid w:val="00F92545"/>
    <w:rsid w:val="00F92905"/>
    <w:rsid w:val="00F92FC4"/>
    <w:rsid w:val="00F935DC"/>
    <w:rsid w:val="00F93662"/>
    <w:rsid w:val="00F93821"/>
    <w:rsid w:val="00F93A0E"/>
    <w:rsid w:val="00F93AD2"/>
    <w:rsid w:val="00F93CBC"/>
    <w:rsid w:val="00F93D2A"/>
    <w:rsid w:val="00F94F8D"/>
    <w:rsid w:val="00F9509E"/>
    <w:rsid w:val="00F95742"/>
    <w:rsid w:val="00F9577A"/>
    <w:rsid w:val="00F95F01"/>
    <w:rsid w:val="00F95FE8"/>
    <w:rsid w:val="00F960F4"/>
    <w:rsid w:val="00F9667C"/>
    <w:rsid w:val="00F96740"/>
    <w:rsid w:val="00F96B67"/>
    <w:rsid w:val="00F96D66"/>
    <w:rsid w:val="00F96F2E"/>
    <w:rsid w:val="00F97053"/>
    <w:rsid w:val="00F97184"/>
    <w:rsid w:val="00F97675"/>
    <w:rsid w:val="00F97A49"/>
    <w:rsid w:val="00F97AEB"/>
    <w:rsid w:val="00F97F3E"/>
    <w:rsid w:val="00F97FA6"/>
    <w:rsid w:val="00FA06C0"/>
    <w:rsid w:val="00FA09F6"/>
    <w:rsid w:val="00FA189E"/>
    <w:rsid w:val="00FA1A6B"/>
    <w:rsid w:val="00FA1AB1"/>
    <w:rsid w:val="00FA22EA"/>
    <w:rsid w:val="00FA256F"/>
    <w:rsid w:val="00FA2893"/>
    <w:rsid w:val="00FA319B"/>
    <w:rsid w:val="00FA340E"/>
    <w:rsid w:val="00FA356D"/>
    <w:rsid w:val="00FA39B5"/>
    <w:rsid w:val="00FA39DB"/>
    <w:rsid w:val="00FA3AAB"/>
    <w:rsid w:val="00FA3C19"/>
    <w:rsid w:val="00FA4096"/>
    <w:rsid w:val="00FA426A"/>
    <w:rsid w:val="00FA46DD"/>
    <w:rsid w:val="00FA47BD"/>
    <w:rsid w:val="00FA4A0C"/>
    <w:rsid w:val="00FA4A46"/>
    <w:rsid w:val="00FA4CD4"/>
    <w:rsid w:val="00FA4E26"/>
    <w:rsid w:val="00FA5011"/>
    <w:rsid w:val="00FA54A1"/>
    <w:rsid w:val="00FA56CD"/>
    <w:rsid w:val="00FA5BA1"/>
    <w:rsid w:val="00FA5D37"/>
    <w:rsid w:val="00FA5E48"/>
    <w:rsid w:val="00FA6335"/>
    <w:rsid w:val="00FA6930"/>
    <w:rsid w:val="00FA69E2"/>
    <w:rsid w:val="00FA6AAF"/>
    <w:rsid w:val="00FA6D77"/>
    <w:rsid w:val="00FA6F90"/>
    <w:rsid w:val="00FA770A"/>
    <w:rsid w:val="00FA770F"/>
    <w:rsid w:val="00FA7A3E"/>
    <w:rsid w:val="00FA7A60"/>
    <w:rsid w:val="00FA7AA7"/>
    <w:rsid w:val="00FB0566"/>
    <w:rsid w:val="00FB06B7"/>
    <w:rsid w:val="00FB0C85"/>
    <w:rsid w:val="00FB0CDE"/>
    <w:rsid w:val="00FB1398"/>
    <w:rsid w:val="00FB1B4B"/>
    <w:rsid w:val="00FB1BB0"/>
    <w:rsid w:val="00FB1F87"/>
    <w:rsid w:val="00FB1FBA"/>
    <w:rsid w:val="00FB2097"/>
    <w:rsid w:val="00FB2C77"/>
    <w:rsid w:val="00FB3131"/>
    <w:rsid w:val="00FB34C0"/>
    <w:rsid w:val="00FB3ABF"/>
    <w:rsid w:val="00FB3B36"/>
    <w:rsid w:val="00FB443D"/>
    <w:rsid w:val="00FB4A44"/>
    <w:rsid w:val="00FB4C3C"/>
    <w:rsid w:val="00FB4D97"/>
    <w:rsid w:val="00FB4F19"/>
    <w:rsid w:val="00FB5178"/>
    <w:rsid w:val="00FB57DE"/>
    <w:rsid w:val="00FB5BE0"/>
    <w:rsid w:val="00FB5CE2"/>
    <w:rsid w:val="00FB5ECE"/>
    <w:rsid w:val="00FB60A7"/>
    <w:rsid w:val="00FB6978"/>
    <w:rsid w:val="00FB7635"/>
    <w:rsid w:val="00FB7B01"/>
    <w:rsid w:val="00FB7B11"/>
    <w:rsid w:val="00FB7C9A"/>
    <w:rsid w:val="00FC00EC"/>
    <w:rsid w:val="00FC066A"/>
    <w:rsid w:val="00FC0A70"/>
    <w:rsid w:val="00FC0C19"/>
    <w:rsid w:val="00FC0C46"/>
    <w:rsid w:val="00FC13B3"/>
    <w:rsid w:val="00FC1581"/>
    <w:rsid w:val="00FC18EB"/>
    <w:rsid w:val="00FC1C6A"/>
    <w:rsid w:val="00FC1C9B"/>
    <w:rsid w:val="00FC1CAA"/>
    <w:rsid w:val="00FC1CCE"/>
    <w:rsid w:val="00FC1DCC"/>
    <w:rsid w:val="00FC25B4"/>
    <w:rsid w:val="00FC264D"/>
    <w:rsid w:val="00FC2775"/>
    <w:rsid w:val="00FC2A04"/>
    <w:rsid w:val="00FC2B73"/>
    <w:rsid w:val="00FC346A"/>
    <w:rsid w:val="00FC3720"/>
    <w:rsid w:val="00FC379E"/>
    <w:rsid w:val="00FC37BF"/>
    <w:rsid w:val="00FC39B7"/>
    <w:rsid w:val="00FC404C"/>
    <w:rsid w:val="00FC48CD"/>
    <w:rsid w:val="00FC496D"/>
    <w:rsid w:val="00FC4C50"/>
    <w:rsid w:val="00FC4CBB"/>
    <w:rsid w:val="00FC4E8E"/>
    <w:rsid w:val="00FC5111"/>
    <w:rsid w:val="00FC5A9B"/>
    <w:rsid w:val="00FC5F0E"/>
    <w:rsid w:val="00FC5F31"/>
    <w:rsid w:val="00FC62EB"/>
    <w:rsid w:val="00FC65CE"/>
    <w:rsid w:val="00FC670F"/>
    <w:rsid w:val="00FC6EC9"/>
    <w:rsid w:val="00FC6F85"/>
    <w:rsid w:val="00FC6FA4"/>
    <w:rsid w:val="00FC70C7"/>
    <w:rsid w:val="00FC73F9"/>
    <w:rsid w:val="00FC7758"/>
    <w:rsid w:val="00FC7F72"/>
    <w:rsid w:val="00FD0385"/>
    <w:rsid w:val="00FD07BE"/>
    <w:rsid w:val="00FD081D"/>
    <w:rsid w:val="00FD0E13"/>
    <w:rsid w:val="00FD0F80"/>
    <w:rsid w:val="00FD0FDA"/>
    <w:rsid w:val="00FD1585"/>
    <w:rsid w:val="00FD1886"/>
    <w:rsid w:val="00FD1CAF"/>
    <w:rsid w:val="00FD2718"/>
    <w:rsid w:val="00FD2C84"/>
    <w:rsid w:val="00FD2D94"/>
    <w:rsid w:val="00FD2DDA"/>
    <w:rsid w:val="00FD3332"/>
    <w:rsid w:val="00FD3D0E"/>
    <w:rsid w:val="00FD42A7"/>
    <w:rsid w:val="00FD4594"/>
    <w:rsid w:val="00FD4769"/>
    <w:rsid w:val="00FD4A10"/>
    <w:rsid w:val="00FD55DA"/>
    <w:rsid w:val="00FD58A4"/>
    <w:rsid w:val="00FD5C19"/>
    <w:rsid w:val="00FD5FC5"/>
    <w:rsid w:val="00FD62F4"/>
    <w:rsid w:val="00FD6F17"/>
    <w:rsid w:val="00FD702E"/>
    <w:rsid w:val="00FD7069"/>
    <w:rsid w:val="00FD7121"/>
    <w:rsid w:val="00FD74AC"/>
    <w:rsid w:val="00FD759C"/>
    <w:rsid w:val="00FD77FF"/>
    <w:rsid w:val="00FD788F"/>
    <w:rsid w:val="00FD7A21"/>
    <w:rsid w:val="00FD7E7A"/>
    <w:rsid w:val="00FE062D"/>
    <w:rsid w:val="00FE0CFE"/>
    <w:rsid w:val="00FE153B"/>
    <w:rsid w:val="00FE15A4"/>
    <w:rsid w:val="00FE189B"/>
    <w:rsid w:val="00FE20CD"/>
    <w:rsid w:val="00FE231E"/>
    <w:rsid w:val="00FE24C7"/>
    <w:rsid w:val="00FE2E84"/>
    <w:rsid w:val="00FE311D"/>
    <w:rsid w:val="00FE3E03"/>
    <w:rsid w:val="00FE3E1D"/>
    <w:rsid w:val="00FE3EC7"/>
    <w:rsid w:val="00FE420B"/>
    <w:rsid w:val="00FE4696"/>
    <w:rsid w:val="00FE469B"/>
    <w:rsid w:val="00FE46C2"/>
    <w:rsid w:val="00FE4AA9"/>
    <w:rsid w:val="00FE4E96"/>
    <w:rsid w:val="00FE507B"/>
    <w:rsid w:val="00FE536A"/>
    <w:rsid w:val="00FE55BE"/>
    <w:rsid w:val="00FE585A"/>
    <w:rsid w:val="00FE5A35"/>
    <w:rsid w:val="00FE5C27"/>
    <w:rsid w:val="00FE60CB"/>
    <w:rsid w:val="00FE6226"/>
    <w:rsid w:val="00FE65CA"/>
    <w:rsid w:val="00FE757E"/>
    <w:rsid w:val="00FE79BA"/>
    <w:rsid w:val="00FE7C0E"/>
    <w:rsid w:val="00FF02DC"/>
    <w:rsid w:val="00FF08D4"/>
    <w:rsid w:val="00FF0B21"/>
    <w:rsid w:val="00FF1186"/>
    <w:rsid w:val="00FF1DB3"/>
    <w:rsid w:val="00FF1FEC"/>
    <w:rsid w:val="00FF2063"/>
    <w:rsid w:val="00FF2640"/>
    <w:rsid w:val="00FF279D"/>
    <w:rsid w:val="00FF27B4"/>
    <w:rsid w:val="00FF2B52"/>
    <w:rsid w:val="00FF2B59"/>
    <w:rsid w:val="00FF2B97"/>
    <w:rsid w:val="00FF2EFC"/>
    <w:rsid w:val="00FF3273"/>
    <w:rsid w:val="00FF3381"/>
    <w:rsid w:val="00FF37A0"/>
    <w:rsid w:val="00FF410E"/>
    <w:rsid w:val="00FF48EF"/>
    <w:rsid w:val="00FF4D62"/>
    <w:rsid w:val="00FF56FF"/>
    <w:rsid w:val="00FF5EAC"/>
    <w:rsid w:val="00FF5F46"/>
    <w:rsid w:val="00FF601F"/>
    <w:rsid w:val="00FF604A"/>
    <w:rsid w:val="00FF6368"/>
    <w:rsid w:val="00FF65A8"/>
    <w:rsid w:val="00FF7080"/>
    <w:rsid w:val="00FF7163"/>
    <w:rsid w:val="00FF76BA"/>
    <w:rsid w:val="00FF77DB"/>
    <w:rsid w:val="01046D3B"/>
    <w:rsid w:val="010B70A8"/>
    <w:rsid w:val="012BBB65"/>
    <w:rsid w:val="014864EC"/>
    <w:rsid w:val="01701A8A"/>
    <w:rsid w:val="017A83A7"/>
    <w:rsid w:val="01819A31"/>
    <w:rsid w:val="0181CD02"/>
    <w:rsid w:val="01AB0471"/>
    <w:rsid w:val="01B30030"/>
    <w:rsid w:val="01E26E04"/>
    <w:rsid w:val="01EEC212"/>
    <w:rsid w:val="01F38EA2"/>
    <w:rsid w:val="0214A702"/>
    <w:rsid w:val="02270D51"/>
    <w:rsid w:val="0234C9AF"/>
    <w:rsid w:val="028274AE"/>
    <w:rsid w:val="028AC5E0"/>
    <w:rsid w:val="02A9407A"/>
    <w:rsid w:val="02B201E6"/>
    <w:rsid w:val="03177645"/>
    <w:rsid w:val="031B1EFB"/>
    <w:rsid w:val="032284E8"/>
    <w:rsid w:val="0324B28A"/>
    <w:rsid w:val="032E57D9"/>
    <w:rsid w:val="033A2C64"/>
    <w:rsid w:val="0340E943"/>
    <w:rsid w:val="0344D50C"/>
    <w:rsid w:val="03493924"/>
    <w:rsid w:val="034DAE5E"/>
    <w:rsid w:val="036662DE"/>
    <w:rsid w:val="03A7ED5D"/>
    <w:rsid w:val="03AB48EC"/>
    <w:rsid w:val="03B2A992"/>
    <w:rsid w:val="03C1AEC2"/>
    <w:rsid w:val="03CA4DEC"/>
    <w:rsid w:val="03CC7299"/>
    <w:rsid w:val="03CE8A1A"/>
    <w:rsid w:val="03E05F92"/>
    <w:rsid w:val="03EBDC8B"/>
    <w:rsid w:val="03ED60AE"/>
    <w:rsid w:val="041779D3"/>
    <w:rsid w:val="041AE526"/>
    <w:rsid w:val="042071AD"/>
    <w:rsid w:val="04218661"/>
    <w:rsid w:val="046D5EB1"/>
    <w:rsid w:val="04750E4D"/>
    <w:rsid w:val="04AC2E01"/>
    <w:rsid w:val="04FCDBB4"/>
    <w:rsid w:val="0506E27E"/>
    <w:rsid w:val="051197C8"/>
    <w:rsid w:val="051E874E"/>
    <w:rsid w:val="053592F2"/>
    <w:rsid w:val="0542B8D2"/>
    <w:rsid w:val="05A41441"/>
    <w:rsid w:val="05A53D20"/>
    <w:rsid w:val="05B89A92"/>
    <w:rsid w:val="05BD22AE"/>
    <w:rsid w:val="05C2BD49"/>
    <w:rsid w:val="05CB7BBC"/>
    <w:rsid w:val="05CDECEF"/>
    <w:rsid w:val="05E11EA5"/>
    <w:rsid w:val="05E2BF25"/>
    <w:rsid w:val="05F1976F"/>
    <w:rsid w:val="0601321E"/>
    <w:rsid w:val="06079AFA"/>
    <w:rsid w:val="0613462B"/>
    <w:rsid w:val="061D7709"/>
    <w:rsid w:val="0632C77C"/>
    <w:rsid w:val="063794D1"/>
    <w:rsid w:val="06495490"/>
    <w:rsid w:val="065E225F"/>
    <w:rsid w:val="066180CE"/>
    <w:rsid w:val="06770C90"/>
    <w:rsid w:val="06B817FD"/>
    <w:rsid w:val="06C00921"/>
    <w:rsid w:val="06EB83DC"/>
    <w:rsid w:val="06F398A0"/>
    <w:rsid w:val="070BF6B4"/>
    <w:rsid w:val="0712FE4E"/>
    <w:rsid w:val="0715EEBF"/>
    <w:rsid w:val="07225C8A"/>
    <w:rsid w:val="0726E47E"/>
    <w:rsid w:val="0728F2E7"/>
    <w:rsid w:val="072E0448"/>
    <w:rsid w:val="0744584F"/>
    <w:rsid w:val="0750EDA3"/>
    <w:rsid w:val="0759F657"/>
    <w:rsid w:val="075B37EF"/>
    <w:rsid w:val="079A07DF"/>
    <w:rsid w:val="07A27583"/>
    <w:rsid w:val="07D1F1DC"/>
    <w:rsid w:val="07E38B5E"/>
    <w:rsid w:val="07F4A4F3"/>
    <w:rsid w:val="08298FFB"/>
    <w:rsid w:val="08331EF2"/>
    <w:rsid w:val="085B21E4"/>
    <w:rsid w:val="086F2D8E"/>
    <w:rsid w:val="08815558"/>
    <w:rsid w:val="0884AE5C"/>
    <w:rsid w:val="089915BC"/>
    <w:rsid w:val="08C8256E"/>
    <w:rsid w:val="08CB11A4"/>
    <w:rsid w:val="08D5A9A8"/>
    <w:rsid w:val="08D702BE"/>
    <w:rsid w:val="08DBAECB"/>
    <w:rsid w:val="08DCDDE2"/>
    <w:rsid w:val="0948D787"/>
    <w:rsid w:val="0960274B"/>
    <w:rsid w:val="096698C8"/>
    <w:rsid w:val="096B29C6"/>
    <w:rsid w:val="098739C6"/>
    <w:rsid w:val="09BD3191"/>
    <w:rsid w:val="09CEA020"/>
    <w:rsid w:val="09D8A322"/>
    <w:rsid w:val="09E45621"/>
    <w:rsid w:val="0A04F4C9"/>
    <w:rsid w:val="0A25C42E"/>
    <w:rsid w:val="0A38B687"/>
    <w:rsid w:val="0A4A9EA5"/>
    <w:rsid w:val="0A5CD2A1"/>
    <w:rsid w:val="0A5DEDF1"/>
    <w:rsid w:val="0A618242"/>
    <w:rsid w:val="0A6AEB00"/>
    <w:rsid w:val="0AD5B56D"/>
    <w:rsid w:val="0ADA95AB"/>
    <w:rsid w:val="0AF19E1E"/>
    <w:rsid w:val="0AFDC081"/>
    <w:rsid w:val="0B344727"/>
    <w:rsid w:val="0B3E8609"/>
    <w:rsid w:val="0B41DF3D"/>
    <w:rsid w:val="0B61EF73"/>
    <w:rsid w:val="0B660668"/>
    <w:rsid w:val="0B72BF6B"/>
    <w:rsid w:val="0B8F8F05"/>
    <w:rsid w:val="0BA0008E"/>
    <w:rsid w:val="0BACF4DB"/>
    <w:rsid w:val="0BC96192"/>
    <w:rsid w:val="0C0070F5"/>
    <w:rsid w:val="0C22985E"/>
    <w:rsid w:val="0C3464E0"/>
    <w:rsid w:val="0C8983AE"/>
    <w:rsid w:val="0C923A82"/>
    <w:rsid w:val="0D03F83F"/>
    <w:rsid w:val="0D2D10B1"/>
    <w:rsid w:val="0D3E14CD"/>
    <w:rsid w:val="0D4E77D6"/>
    <w:rsid w:val="0D567288"/>
    <w:rsid w:val="0DA0A01C"/>
    <w:rsid w:val="0DAA1152"/>
    <w:rsid w:val="0DB174C6"/>
    <w:rsid w:val="0DB52911"/>
    <w:rsid w:val="0DB6C2E6"/>
    <w:rsid w:val="0DC6881B"/>
    <w:rsid w:val="0DD4770A"/>
    <w:rsid w:val="0DDDC2D2"/>
    <w:rsid w:val="0E1A8A79"/>
    <w:rsid w:val="0E1FDAD7"/>
    <w:rsid w:val="0E5B59BA"/>
    <w:rsid w:val="0E731DD3"/>
    <w:rsid w:val="0E75148F"/>
    <w:rsid w:val="0EB15099"/>
    <w:rsid w:val="0EB3D31A"/>
    <w:rsid w:val="0EB98264"/>
    <w:rsid w:val="0EDBC617"/>
    <w:rsid w:val="0EF75CDB"/>
    <w:rsid w:val="0F1796BF"/>
    <w:rsid w:val="0F33E9E5"/>
    <w:rsid w:val="0F358DCB"/>
    <w:rsid w:val="0F3BE6BF"/>
    <w:rsid w:val="0F52138C"/>
    <w:rsid w:val="0F7603A2"/>
    <w:rsid w:val="0F86AD5E"/>
    <w:rsid w:val="0F8800EB"/>
    <w:rsid w:val="0F908902"/>
    <w:rsid w:val="0F9DCF49"/>
    <w:rsid w:val="0FB671C7"/>
    <w:rsid w:val="0FD00E7D"/>
    <w:rsid w:val="0FDF9E0F"/>
    <w:rsid w:val="0FE8C2C4"/>
    <w:rsid w:val="1013AD6F"/>
    <w:rsid w:val="101E9619"/>
    <w:rsid w:val="101FAA2D"/>
    <w:rsid w:val="10275785"/>
    <w:rsid w:val="103A094D"/>
    <w:rsid w:val="103EC79C"/>
    <w:rsid w:val="1040DEEB"/>
    <w:rsid w:val="104153C8"/>
    <w:rsid w:val="10428633"/>
    <w:rsid w:val="105FC634"/>
    <w:rsid w:val="106805DF"/>
    <w:rsid w:val="10690D24"/>
    <w:rsid w:val="10692701"/>
    <w:rsid w:val="106F6F25"/>
    <w:rsid w:val="107B4863"/>
    <w:rsid w:val="107CA62A"/>
    <w:rsid w:val="108D3032"/>
    <w:rsid w:val="109E1153"/>
    <w:rsid w:val="10ABE7BA"/>
    <w:rsid w:val="10DF1EC7"/>
    <w:rsid w:val="111555C4"/>
    <w:rsid w:val="1126501B"/>
    <w:rsid w:val="11678940"/>
    <w:rsid w:val="117A3791"/>
    <w:rsid w:val="11B7E767"/>
    <w:rsid w:val="11C8C224"/>
    <w:rsid w:val="11DDF93F"/>
    <w:rsid w:val="11E4456E"/>
    <w:rsid w:val="11FC3767"/>
    <w:rsid w:val="11FE9C3D"/>
    <w:rsid w:val="121AAC78"/>
    <w:rsid w:val="1227CE64"/>
    <w:rsid w:val="124F1BF6"/>
    <w:rsid w:val="125D5C5B"/>
    <w:rsid w:val="12AE79F9"/>
    <w:rsid w:val="12C451F2"/>
    <w:rsid w:val="130A0FB9"/>
    <w:rsid w:val="1323F1B4"/>
    <w:rsid w:val="1353A1B3"/>
    <w:rsid w:val="135D6F48"/>
    <w:rsid w:val="1367E304"/>
    <w:rsid w:val="13682656"/>
    <w:rsid w:val="137DE220"/>
    <w:rsid w:val="138A1AF7"/>
    <w:rsid w:val="138D94F3"/>
    <w:rsid w:val="139D6E09"/>
    <w:rsid w:val="13AB44E1"/>
    <w:rsid w:val="13B958ED"/>
    <w:rsid w:val="13BB0D3C"/>
    <w:rsid w:val="13BF3680"/>
    <w:rsid w:val="13CA7B3B"/>
    <w:rsid w:val="13CEB369"/>
    <w:rsid w:val="13CF06EC"/>
    <w:rsid w:val="13EC90EA"/>
    <w:rsid w:val="13F07587"/>
    <w:rsid w:val="13F0865C"/>
    <w:rsid w:val="140C51BA"/>
    <w:rsid w:val="14184B71"/>
    <w:rsid w:val="141BEEF9"/>
    <w:rsid w:val="147C7FD1"/>
    <w:rsid w:val="1484BB82"/>
    <w:rsid w:val="14D434A9"/>
    <w:rsid w:val="14D4BE14"/>
    <w:rsid w:val="15246328"/>
    <w:rsid w:val="153E61A0"/>
    <w:rsid w:val="154A750D"/>
    <w:rsid w:val="1555294E"/>
    <w:rsid w:val="15780E3B"/>
    <w:rsid w:val="15AEB418"/>
    <w:rsid w:val="15B82D6A"/>
    <w:rsid w:val="15CE6A9E"/>
    <w:rsid w:val="15D722C5"/>
    <w:rsid w:val="15F3C941"/>
    <w:rsid w:val="15FB4584"/>
    <w:rsid w:val="16041EC7"/>
    <w:rsid w:val="16091F56"/>
    <w:rsid w:val="163EA6E8"/>
    <w:rsid w:val="164971EE"/>
    <w:rsid w:val="167FA74E"/>
    <w:rsid w:val="1687EF9A"/>
    <w:rsid w:val="16BFA687"/>
    <w:rsid w:val="16DA557B"/>
    <w:rsid w:val="16DCB461"/>
    <w:rsid w:val="16E41F8E"/>
    <w:rsid w:val="17013867"/>
    <w:rsid w:val="170F173A"/>
    <w:rsid w:val="171B26D9"/>
    <w:rsid w:val="1743613C"/>
    <w:rsid w:val="174EE7B8"/>
    <w:rsid w:val="1770598F"/>
    <w:rsid w:val="1772C482"/>
    <w:rsid w:val="17A83C3F"/>
    <w:rsid w:val="17D47CEF"/>
    <w:rsid w:val="17D74383"/>
    <w:rsid w:val="17E84877"/>
    <w:rsid w:val="18276788"/>
    <w:rsid w:val="18294A48"/>
    <w:rsid w:val="182A4A0E"/>
    <w:rsid w:val="1832F40B"/>
    <w:rsid w:val="18459C7F"/>
    <w:rsid w:val="18473BA9"/>
    <w:rsid w:val="1878BA74"/>
    <w:rsid w:val="18B5E961"/>
    <w:rsid w:val="18CBDD4E"/>
    <w:rsid w:val="18EB1F8F"/>
    <w:rsid w:val="18EFE08F"/>
    <w:rsid w:val="191CDE11"/>
    <w:rsid w:val="191FC2D9"/>
    <w:rsid w:val="192359CC"/>
    <w:rsid w:val="193D89A9"/>
    <w:rsid w:val="193E1E6C"/>
    <w:rsid w:val="194A730B"/>
    <w:rsid w:val="1987C3BF"/>
    <w:rsid w:val="198EF600"/>
    <w:rsid w:val="19DF076F"/>
    <w:rsid w:val="19E69184"/>
    <w:rsid w:val="19E8C7ED"/>
    <w:rsid w:val="19ED77F9"/>
    <w:rsid w:val="19F966A2"/>
    <w:rsid w:val="1A22B0BC"/>
    <w:rsid w:val="1A2401B3"/>
    <w:rsid w:val="1A5A2B2C"/>
    <w:rsid w:val="1AA90276"/>
    <w:rsid w:val="1AC1DB7A"/>
    <w:rsid w:val="1AE3DD63"/>
    <w:rsid w:val="1AF6E6CB"/>
    <w:rsid w:val="1B10D78F"/>
    <w:rsid w:val="1B12CFA2"/>
    <w:rsid w:val="1B22461E"/>
    <w:rsid w:val="1B3CBA2C"/>
    <w:rsid w:val="1B4E1306"/>
    <w:rsid w:val="1B5ACC23"/>
    <w:rsid w:val="1B5BF072"/>
    <w:rsid w:val="1B6D2EAB"/>
    <w:rsid w:val="1B882AB7"/>
    <w:rsid w:val="1BA97E29"/>
    <w:rsid w:val="1BB4A940"/>
    <w:rsid w:val="1BC18E13"/>
    <w:rsid w:val="1BCC61F5"/>
    <w:rsid w:val="1BDDDA35"/>
    <w:rsid w:val="1C0A03D1"/>
    <w:rsid w:val="1C3F47ED"/>
    <w:rsid w:val="1C7947F1"/>
    <w:rsid w:val="1CC0F4B6"/>
    <w:rsid w:val="1CD0285A"/>
    <w:rsid w:val="1CD2F356"/>
    <w:rsid w:val="1CE56CC5"/>
    <w:rsid w:val="1D2DF731"/>
    <w:rsid w:val="1D3D2D12"/>
    <w:rsid w:val="1D49334D"/>
    <w:rsid w:val="1D5402D3"/>
    <w:rsid w:val="1D6099A2"/>
    <w:rsid w:val="1D75A3EF"/>
    <w:rsid w:val="1D7F6494"/>
    <w:rsid w:val="1D8A9076"/>
    <w:rsid w:val="1D8AB6EF"/>
    <w:rsid w:val="1D95A214"/>
    <w:rsid w:val="1DA40332"/>
    <w:rsid w:val="1DA9DB26"/>
    <w:rsid w:val="1DAC5592"/>
    <w:rsid w:val="1DB832D6"/>
    <w:rsid w:val="1DC24B5D"/>
    <w:rsid w:val="1DC548B7"/>
    <w:rsid w:val="1E191ED1"/>
    <w:rsid w:val="1E19520E"/>
    <w:rsid w:val="1E4359CC"/>
    <w:rsid w:val="1E4FF8A7"/>
    <w:rsid w:val="1E59F693"/>
    <w:rsid w:val="1E6561F9"/>
    <w:rsid w:val="1E753343"/>
    <w:rsid w:val="1EA0DA6D"/>
    <w:rsid w:val="1ECF18AA"/>
    <w:rsid w:val="1EF513F5"/>
    <w:rsid w:val="1F160CD8"/>
    <w:rsid w:val="1F48FB40"/>
    <w:rsid w:val="1F6D006C"/>
    <w:rsid w:val="1F78FD91"/>
    <w:rsid w:val="1F800FBD"/>
    <w:rsid w:val="1F83CE47"/>
    <w:rsid w:val="1F98082F"/>
    <w:rsid w:val="1F9D3AFF"/>
    <w:rsid w:val="1FA41656"/>
    <w:rsid w:val="1FB16D04"/>
    <w:rsid w:val="1FB1E644"/>
    <w:rsid w:val="1FE2F57B"/>
    <w:rsid w:val="1FF64EB9"/>
    <w:rsid w:val="20183804"/>
    <w:rsid w:val="2021E34A"/>
    <w:rsid w:val="20294C59"/>
    <w:rsid w:val="204ECA9F"/>
    <w:rsid w:val="207549F8"/>
    <w:rsid w:val="20C71CEF"/>
    <w:rsid w:val="20EC696F"/>
    <w:rsid w:val="21264BB6"/>
    <w:rsid w:val="213E412C"/>
    <w:rsid w:val="2152D0B1"/>
    <w:rsid w:val="216574D8"/>
    <w:rsid w:val="21713FCD"/>
    <w:rsid w:val="218F99FC"/>
    <w:rsid w:val="21BFDA68"/>
    <w:rsid w:val="21CDB873"/>
    <w:rsid w:val="21EC5787"/>
    <w:rsid w:val="21ED21D0"/>
    <w:rsid w:val="222B7C51"/>
    <w:rsid w:val="222D2E34"/>
    <w:rsid w:val="22331F76"/>
    <w:rsid w:val="2266D72C"/>
    <w:rsid w:val="2297395B"/>
    <w:rsid w:val="229920D7"/>
    <w:rsid w:val="22BAC942"/>
    <w:rsid w:val="22BFCFDB"/>
    <w:rsid w:val="22C06658"/>
    <w:rsid w:val="22CCDBD2"/>
    <w:rsid w:val="22E163FF"/>
    <w:rsid w:val="22EED2BF"/>
    <w:rsid w:val="2305E07F"/>
    <w:rsid w:val="23140868"/>
    <w:rsid w:val="233158CD"/>
    <w:rsid w:val="23420161"/>
    <w:rsid w:val="234447B1"/>
    <w:rsid w:val="234907C5"/>
    <w:rsid w:val="236AC70E"/>
    <w:rsid w:val="2378106E"/>
    <w:rsid w:val="23936035"/>
    <w:rsid w:val="23C3073D"/>
    <w:rsid w:val="23DAC341"/>
    <w:rsid w:val="23DEEAEE"/>
    <w:rsid w:val="2423D1B3"/>
    <w:rsid w:val="2430FF9F"/>
    <w:rsid w:val="244953B9"/>
    <w:rsid w:val="2453A5E1"/>
    <w:rsid w:val="246D2F11"/>
    <w:rsid w:val="247F35D1"/>
    <w:rsid w:val="24876590"/>
    <w:rsid w:val="24AE9A8C"/>
    <w:rsid w:val="24D584C5"/>
    <w:rsid w:val="24D89FEC"/>
    <w:rsid w:val="24E458FD"/>
    <w:rsid w:val="2507D0F7"/>
    <w:rsid w:val="25134958"/>
    <w:rsid w:val="254C83E6"/>
    <w:rsid w:val="2569DAD5"/>
    <w:rsid w:val="2585E9CA"/>
    <w:rsid w:val="258DB188"/>
    <w:rsid w:val="259DCEAD"/>
    <w:rsid w:val="25A21D4D"/>
    <w:rsid w:val="25ADBEE9"/>
    <w:rsid w:val="25DCDA60"/>
    <w:rsid w:val="25F317A8"/>
    <w:rsid w:val="261409AC"/>
    <w:rsid w:val="26374669"/>
    <w:rsid w:val="263D61DF"/>
    <w:rsid w:val="2649121D"/>
    <w:rsid w:val="26710E1F"/>
    <w:rsid w:val="267637FC"/>
    <w:rsid w:val="267916E6"/>
    <w:rsid w:val="267D2F9B"/>
    <w:rsid w:val="268B4344"/>
    <w:rsid w:val="26918D30"/>
    <w:rsid w:val="269B465E"/>
    <w:rsid w:val="26B60D31"/>
    <w:rsid w:val="26C48DC8"/>
    <w:rsid w:val="26C68CC7"/>
    <w:rsid w:val="26FD66B2"/>
    <w:rsid w:val="270EDF0E"/>
    <w:rsid w:val="270F70ED"/>
    <w:rsid w:val="2724A063"/>
    <w:rsid w:val="27352BA2"/>
    <w:rsid w:val="27570A31"/>
    <w:rsid w:val="2760FC92"/>
    <w:rsid w:val="276117C2"/>
    <w:rsid w:val="27686D90"/>
    <w:rsid w:val="27F2C015"/>
    <w:rsid w:val="27FC6D09"/>
    <w:rsid w:val="28133515"/>
    <w:rsid w:val="2824F179"/>
    <w:rsid w:val="282CA34B"/>
    <w:rsid w:val="284EE8E9"/>
    <w:rsid w:val="2860812A"/>
    <w:rsid w:val="28746CA9"/>
    <w:rsid w:val="28759517"/>
    <w:rsid w:val="289A649E"/>
    <w:rsid w:val="28A4B223"/>
    <w:rsid w:val="28CEEBC2"/>
    <w:rsid w:val="28E4638C"/>
    <w:rsid w:val="2901CDB0"/>
    <w:rsid w:val="29598D35"/>
    <w:rsid w:val="2964276E"/>
    <w:rsid w:val="298CC800"/>
    <w:rsid w:val="2994E5E7"/>
    <w:rsid w:val="29A55241"/>
    <w:rsid w:val="29B49D8C"/>
    <w:rsid w:val="29C8FE3E"/>
    <w:rsid w:val="29DBD35A"/>
    <w:rsid w:val="29E126AF"/>
    <w:rsid w:val="29F7F658"/>
    <w:rsid w:val="2A19A6FE"/>
    <w:rsid w:val="2A27F3BE"/>
    <w:rsid w:val="2A37CD49"/>
    <w:rsid w:val="2A56B3B3"/>
    <w:rsid w:val="2A5C3D4A"/>
    <w:rsid w:val="2A5D1B34"/>
    <w:rsid w:val="2AA00E52"/>
    <w:rsid w:val="2AA82A5E"/>
    <w:rsid w:val="2AAE879D"/>
    <w:rsid w:val="2ACAEA06"/>
    <w:rsid w:val="2ACB84B9"/>
    <w:rsid w:val="2ACC327C"/>
    <w:rsid w:val="2ADE797C"/>
    <w:rsid w:val="2AF1A112"/>
    <w:rsid w:val="2B14AA0D"/>
    <w:rsid w:val="2B21CF31"/>
    <w:rsid w:val="2B37D270"/>
    <w:rsid w:val="2B66E393"/>
    <w:rsid w:val="2B8102D7"/>
    <w:rsid w:val="2B8BB1E9"/>
    <w:rsid w:val="2BB235B7"/>
    <w:rsid w:val="2BB6C27D"/>
    <w:rsid w:val="2BBB3F21"/>
    <w:rsid w:val="2BC4AF54"/>
    <w:rsid w:val="2BCD4441"/>
    <w:rsid w:val="2BDA44FD"/>
    <w:rsid w:val="2BDB3F61"/>
    <w:rsid w:val="2BDE89B0"/>
    <w:rsid w:val="2BE6A90C"/>
    <w:rsid w:val="2C104B85"/>
    <w:rsid w:val="2C10EFBD"/>
    <w:rsid w:val="2C13C1D1"/>
    <w:rsid w:val="2C1D541E"/>
    <w:rsid w:val="2C260100"/>
    <w:rsid w:val="2C27B01D"/>
    <w:rsid w:val="2C8D2991"/>
    <w:rsid w:val="2C9F82B9"/>
    <w:rsid w:val="2CAE6004"/>
    <w:rsid w:val="2CE273CD"/>
    <w:rsid w:val="2D079EB2"/>
    <w:rsid w:val="2D2CB00E"/>
    <w:rsid w:val="2D3D2897"/>
    <w:rsid w:val="2D5B32CF"/>
    <w:rsid w:val="2D60A5CF"/>
    <w:rsid w:val="2D7F2B2C"/>
    <w:rsid w:val="2DA099F8"/>
    <w:rsid w:val="2DA91363"/>
    <w:rsid w:val="2DB252B4"/>
    <w:rsid w:val="2DC6A467"/>
    <w:rsid w:val="2DDF743E"/>
    <w:rsid w:val="2DEFE674"/>
    <w:rsid w:val="2E0447EF"/>
    <w:rsid w:val="2E0D3CD3"/>
    <w:rsid w:val="2E177BFF"/>
    <w:rsid w:val="2E1EF213"/>
    <w:rsid w:val="2E56731E"/>
    <w:rsid w:val="2E842DD1"/>
    <w:rsid w:val="2EAEF33A"/>
    <w:rsid w:val="2EB491F1"/>
    <w:rsid w:val="2F0A7A14"/>
    <w:rsid w:val="2F13D3DB"/>
    <w:rsid w:val="2F3EC73E"/>
    <w:rsid w:val="2F6E69C4"/>
    <w:rsid w:val="2F7F3F83"/>
    <w:rsid w:val="2F91C106"/>
    <w:rsid w:val="2FCDCE50"/>
    <w:rsid w:val="2FD04BE3"/>
    <w:rsid w:val="2FD49A5C"/>
    <w:rsid w:val="2FE076DD"/>
    <w:rsid w:val="30070F4E"/>
    <w:rsid w:val="301291DB"/>
    <w:rsid w:val="30150219"/>
    <w:rsid w:val="301B516E"/>
    <w:rsid w:val="30224B79"/>
    <w:rsid w:val="30412C2C"/>
    <w:rsid w:val="3044D883"/>
    <w:rsid w:val="30875B31"/>
    <w:rsid w:val="309A0CF9"/>
    <w:rsid w:val="309C14B2"/>
    <w:rsid w:val="30A34FB2"/>
    <w:rsid w:val="30ACD0CF"/>
    <w:rsid w:val="30B392E9"/>
    <w:rsid w:val="30C98F99"/>
    <w:rsid w:val="30D99B80"/>
    <w:rsid w:val="30E07B1C"/>
    <w:rsid w:val="30F91CD1"/>
    <w:rsid w:val="3106ADE9"/>
    <w:rsid w:val="3135046B"/>
    <w:rsid w:val="31461C27"/>
    <w:rsid w:val="31995632"/>
    <w:rsid w:val="319A4566"/>
    <w:rsid w:val="31A7842E"/>
    <w:rsid w:val="31BA529C"/>
    <w:rsid w:val="31C60960"/>
    <w:rsid w:val="31D60AAF"/>
    <w:rsid w:val="31D61FDF"/>
    <w:rsid w:val="31E61119"/>
    <w:rsid w:val="31FE8436"/>
    <w:rsid w:val="32378D97"/>
    <w:rsid w:val="32384BD8"/>
    <w:rsid w:val="32412177"/>
    <w:rsid w:val="3243445B"/>
    <w:rsid w:val="3260B4E5"/>
    <w:rsid w:val="32713FB1"/>
    <w:rsid w:val="32A9C149"/>
    <w:rsid w:val="32C2CA05"/>
    <w:rsid w:val="32CE860E"/>
    <w:rsid w:val="32D5FE3D"/>
    <w:rsid w:val="32E224F8"/>
    <w:rsid w:val="332FAB08"/>
    <w:rsid w:val="333936F7"/>
    <w:rsid w:val="3369CA52"/>
    <w:rsid w:val="33721A07"/>
    <w:rsid w:val="338C1F54"/>
    <w:rsid w:val="33A0A992"/>
    <w:rsid w:val="33AB960D"/>
    <w:rsid w:val="33B050BB"/>
    <w:rsid w:val="33BE647B"/>
    <w:rsid w:val="33ECE379"/>
    <w:rsid w:val="33F9383D"/>
    <w:rsid w:val="344331F2"/>
    <w:rsid w:val="344FDA3D"/>
    <w:rsid w:val="346BCEBE"/>
    <w:rsid w:val="348A730E"/>
    <w:rsid w:val="34916DC9"/>
    <w:rsid w:val="3494D12C"/>
    <w:rsid w:val="349E5BE6"/>
    <w:rsid w:val="34B8B9A7"/>
    <w:rsid w:val="35255567"/>
    <w:rsid w:val="354DEE25"/>
    <w:rsid w:val="355081E9"/>
    <w:rsid w:val="3573FE16"/>
    <w:rsid w:val="35800F21"/>
    <w:rsid w:val="358426F5"/>
    <w:rsid w:val="3584AB17"/>
    <w:rsid w:val="35A327DA"/>
    <w:rsid w:val="35A89069"/>
    <w:rsid w:val="35AEF900"/>
    <w:rsid w:val="35C538E1"/>
    <w:rsid w:val="35D08A03"/>
    <w:rsid w:val="35DBFF8E"/>
    <w:rsid w:val="35DFD6DB"/>
    <w:rsid w:val="3615A830"/>
    <w:rsid w:val="361A9122"/>
    <w:rsid w:val="361A9A27"/>
    <w:rsid w:val="361D08D6"/>
    <w:rsid w:val="36410FE4"/>
    <w:rsid w:val="368B37C8"/>
    <w:rsid w:val="369A0AC8"/>
    <w:rsid w:val="36AF854F"/>
    <w:rsid w:val="36CA938A"/>
    <w:rsid w:val="36DDA51E"/>
    <w:rsid w:val="36E3F585"/>
    <w:rsid w:val="37046B4D"/>
    <w:rsid w:val="373519D5"/>
    <w:rsid w:val="3748CF6E"/>
    <w:rsid w:val="374BC19A"/>
    <w:rsid w:val="3783697D"/>
    <w:rsid w:val="37851287"/>
    <w:rsid w:val="37A397B9"/>
    <w:rsid w:val="37BB9586"/>
    <w:rsid w:val="38002D0B"/>
    <w:rsid w:val="3817660D"/>
    <w:rsid w:val="381AD163"/>
    <w:rsid w:val="381BAD37"/>
    <w:rsid w:val="383CDD60"/>
    <w:rsid w:val="384523FA"/>
    <w:rsid w:val="384E509D"/>
    <w:rsid w:val="387836C5"/>
    <w:rsid w:val="38872996"/>
    <w:rsid w:val="388F1317"/>
    <w:rsid w:val="389170F7"/>
    <w:rsid w:val="38FCCDFB"/>
    <w:rsid w:val="38FDB585"/>
    <w:rsid w:val="390FD9E7"/>
    <w:rsid w:val="391AD1F5"/>
    <w:rsid w:val="39500F1A"/>
    <w:rsid w:val="3951E991"/>
    <w:rsid w:val="39732081"/>
    <w:rsid w:val="397A6F2C"/>
    <w:rsid w:val="39860ED1"/>
    <w:rsid w:val="39971354"/>
    <w:rsid w:val="39A232E4"/>
    <w:rsid w:val="39A4B84C"/>
    <w:rsid w:val="39A4E100"/>
    <w:rsid w:val="39C5F78F"/>
    <w:rsid w:val="39C88BAF"/>
    <w:rsid w:val="39DB2CCE"/>
    <w:rsid w:val="39F13EA6"/>
    <w:rsid w:val="39FA402D"/>
    <w:rsid w:val="3A321A60"/>
    <w:rsid w:val="3A62E7D9"/>
    <w:rsid w:val="3A68E9FB"/>
    <w:rsid w:val="3A6A9CB1"/>
    <w:rsid w:val="3A72CEC4"/>
    <w:rsid w:val="3A80A373"/>
    <w:rsid w:val="3A837170"/>
    <w:rsid w:val="3A92ABE5"/>
    <w:rsid w:val="3AC58EB8"/>
    <w:rsid w:val="3AD3D337"/>
    <w:rsid w:val="3ADA197B"/>
    <w:rsid w:val="3AF8A5DA"/>
    <w:rsid w:val="3B054021"/>
    <w:rsid w:val="3B15EF97"/>
    <w:rsid w:val="3B2533B4"/>
    <w:rsid w:val="3B34A69F"/>
    <w:rsid w:val="3B36779F"/>
    <w:rsid w:val="3B43E938"/>
    <w:rsid w:val="3B4A1AEE"/>
    <w:rsid w:val="3B4F3BB8"/>
    <w:rsid w:val="3B5A6B75"/>
    <w:rsid w:val="3B6299E5"/>
    <w:rsid w:val="3B629ADB"/>
    <w:rsid w:val="3B85B54B"/>
    <w:rsid w:val="3BE97819"/>
    <w:rsid w:val="3BF6FC67"/>
    <w:rsid w:val="3BFCD88B"/>
    <w:rsid w:val="3C0F329E"/>
    <w:rsid w:val="3C29FD29"/>
    <w:rsid w:val="3C2FBDC3"/>
    <w:rsid w:val="3C3259EE"/>
    <w:rsid w:val="3C451569"/>
    <w:rsid w:val="3C48E01C"/>
    <w:rsid w:val="3C6EF418"/>
    <w:rsid w:val="3C70CD36"/>
    <w:rsid w:val="3C777692"/>
    <w:rsid w:val="3C86F588"/>
    <w:rsid w:val="3C883A8B"/>
    <w:rsid w:val="3C8DD359"/>
    <w:rsid w:val="3CA84B2B"/>
    <w:rsid w:val="3CB44FAE"/>
    <w:rsid w:val="3CD10948"/>
    <w:rsid w:val="3CD9BB33"/>
    <w:rsid w:val="3CDAE15C"/>
    <w:rsid w:val="3CDE5ED1"/>
    <w:rsid w:val="3CE1D33F"/>
    <w:rsid w:val="3D11400A"/>
    <w:rsid w:val="3D4560C9"/>
    <w:rsid w:val="3D489C7A"/>
    <w:rsid w:val="3D737C78"/>
    <w:rsid w:val="3D74C6C3"/>
    <w:rsid w:val="3D89E003"/>
    <w:rsid w:val="3DE01939"/>
    <w:rsid w:val="3E30A859"/>
    <w:rsid w:val="3E31A23A"/>
    <w:rsid w:val="3E3A0E5B"/>
    <w:rsid w:val="3E468183"/>
    <w:rsid w:val="3E4B3374"/>
    <w:rsid w:val="3E500357"/>
    <w:rsid w:val="3E5BA61A"/>
    <w:rsid w:val="3E8D5B5A"/>
    <w:rsid w:val="3E8E351E"/>
    <w:rsid w:val="3E91A9A4"/>
    <w:rsid w:val="3EA1D91F"/>
    <w:rsid w:val="3ED105AA"/>
    <w:rsid w:val="3ED27570"/>
    <w:rsid w:val="3EDE6EA3"/>
    <w:rsid w:val="3EE4EFD0"/>
    <w:rsid w:val="3F0BA76A"/>
    <w:rsid w:val="3F1E18C2"/>
    <w:rsid w:val="3F1F307A"/>
    <w:rsid w:val="3F53D3B9"/>
    <w:rsid w:val="3F6883BF"/>
    <w:rsid w:val="3FC4DCA3"/>
    <w:rsid w:val="3FDCD610"/>
    <w:rsid w:val="3FE3C67C"/>
    <w:rsid w:val="3FE5DC7B"/>
    <w:rsid w:val="3FF1E4BD"/>
    <w:rsid w:val="3FF27C35"/>
    <w:rsid w:val="3FFC32B4"/>
    <w:rsid w:val="401A945F"/>
    <w:rsid w:val="401CCF21"/>
    <w:rsid w:val="402FCD49"/>
    <w:rsid w:val="40422236"/>
    <w:rsid w:val="4046633D"/>
    <w:rsid w:val="404ECA81"/>
    <w:rsid w:val="4067ACA3"/>
    <w:rsid w:val="408B79DB"/>
    <w:rsid w:val="40A0F6F0"/>
    <w:rsid w:val="40AA66A2"/>
    <w:rsid w:val="40AC432C"/>
    <w:rsid w:val="40E4F1B6"/>
    <w:rsid w:val="4104A11D"/>
    <w:rsid w:val="41128DA6"/>
    <w:rsid w:val="411F0B0B"/>
    <w:rsid w:val="413B1028"/>
    <w:rsid w:val="4145FCA3"/>
    <w:rsid w:val="4153089A"/>
    <w:rsid w:val="417E4E45"/>
    <w:rsid w:val="41927B5D"/>
    <w:rsid w:val="41D9E992"/>
    <w:rsid w:val="41DA586E"/>
    <w:rsid w:val="41F1FA8D"/>
    <w:rsid w:val="421B0B18"/>
    <w:rsid w:val="421BCD5C"/>
    <w:rsid w:val="423EB62E"/>
    <w:rsid w:val="425672CD"/>
    <w:rsid w:val="42608E75"/>
    <w:rsid w:val="4260B13C"/>
    <w:rsid w:val="426D9545"/>
    <w:rsid w:val="42728A71"/>
    <w:rsid w:val="4288EF3E"/>
    <w:rsid w:val="42B3C265"/>
    <w:rsid w:val="42CD7E0C"/>
    <w:rsid w:val="42D3EB31"/>
    <w:rsid w:val="42E01FDD"/>
    <w:rsid w:val="42E6F708"/>
    <w:rsid w:val="431F4AC4"/>
    <w:rsid w:val="433D5B9F"/>
    <w:rsid w:val="4348A257"/>
    <w:rsid w:val="4351E813"/>
    <w:rsid w:val="435646A4"/>
    <w:rsid w:val="436C6BA7"/>
    <w:rsid w:val="43736E31"/>
    <w:rsid w:val="43865B84"/>
    <w:rsid w:val="43976207"/>
    <w:rsid w:val="43B08BDD"/>
    <w:rsid w:val="43B630A3"/>
    <w:rsid w:val="43BC5D02"/>
    <w:rsid w:val="43D30D12"/>
    <w:rsid w:val="43E46CDB"/>
    <w:rsid w:val="43F85FB4"/>
    <w:rsid w:val="44185044"/>
    <w:rsid w:val="442FFB5E"/>
    <w:rsid w:val="44380EFE"/>
    <w:rsid w:val="443CBF2B"/>
    <w:rsid w:val="445D7A04"/>
    <w:rsid w:val="446B5044"/>
    <w:rsid w:val="447EFE2B"/>
    <w:rsid w:val="449167F2"/>
    <w:rsid w:val="449BBCEA"/>
    <w:rsid w:val="44A56908"/>
    <w:rsid w:val="44BE6574"/>
    <w:rsid w:val="44CC9A23"/>
    <w:rsid w:val="44D65EE1"/>
    <w:rsid w:val="44F2B904"/>
    <w:rsid w:val="4507CFCD"/>
    <w:rsid w:val="450B493D"/>
    <w:rsid w:val="450E0B75"/>
    <w:rsid w:val="4523C84C"/>
    <w:rsid w:val="452D831E"/>
    <w:rsid w:val="4530BE8C"/>
    <w:rsid w:val="4546D027"/>
    <w:rsid w:val="456C9A00"/>
    <w:rsid w:val="457FE75D"/>
    <w:rsid w:val="458CA402"/>
    <w:rsid w:val="45A6DDCE"/>
    <w:rsid w:val="45A8F335"/>
    <w:rsid w:val="45B12C48"/>
    <w:rsid w:val="45E0AEE8"/>
    <w:rsid w:val="45E141B8"/>
    <w:rsid w:val="460E9D6A"/>
    <w:rsid w:val="461175A8"/>
    <w:rsid w:val="4657734E"/>
    <w:rsid w:val="465A89AC"/>
    <w:rsid w:val="46717C55"/>
    <w:rsid w:val="46B50A45"/>
    <w:rsid w:val="46C029C8"/>
    <w:rsid w:val="46C1ADC2"/>
    <w:rsid w:val="46C50709"/>
    <w:rsid w:val="46D3424A"/>
    <w:rsid w:val="471AA1D4"/>
    <w:rsid w:val="4725FE0C"/>
    <w:rsid w:val="47534593"/>
    <w:rsid w:val="475D629F"/>
    <w:rsid w:val="476485DC"/>
    <w:rsid w:val="476ADED0"/>
    <w:rsid w:val="479673FA"/>
    <w:rsid w:val="479B5B4A"/>
    <w:rsid w:val="47C14DFF"/>
    <w:rsid w:val="47D07FC8"/>
    <w:rsid w:val="47E0CF50"/>
    <w:rsid w:val="480773DE"/>
    <w:rsid w:val="4817E4F2"/>
    <w:rsid w:val="481F765A"/>
    <w:rsid w:val="484996C9"/>
    <w:rsid w:val="485A10BA"/>
    <w:rsid w:val="485FCF72"/>
    <w:rsid w:val="4895DCD9"/>
    <w:rsid w:val="489CF589"/>
    <w:rsid w:val="48CECE15"/>
    <w:rsid w:val="48DFF8E5"/>
    <w:rsid w:val="492CF9B0"/>
    <w:rsid w:val="493A8AF7"/>
    <w:rsid w:val="493BF1EA"/>
    <w:rsid w:val="495897DE"/>
    <w:rsid w:val="49744C8A"/>
    <w:rsid w:val="4977BD04"/>
    <w:rsid w:val="497B707F"/>
    <w:rsid w:val="499608B1"/>
    <w:rsid w:val="49A6D2CB"/>
    <w:rsid w:val="49DEBC24"/>
    <w:rsid w:val="49EE5D33"/>
    <w:rsid w:val="49F4B4B3"/>
    <w:rsid w:val="4A065A86"/>
    <w:rsid w:val="4A1B9093"/>
    <w:rsid w:val="4A342D21"/>
    <w:rsid w:val="4A4CEFDC"/>
    <w:rsid w:val="4A74EA98"/>
    <w:rsid w:val="4A900C58"/>
    <w:rsid w:val="4AB07BAD"/>
    <w:rsid w:val="4AD2AFD5"/>
    <w:rsid w:val="4AD982B8"/>
    <w:rsid w:val="4AE25537"/>
    <w:rsid w:val="4AFF283B"/>
    <w:rsid w:val="4B177FBD"/>
    <w:rsid w:val="4B32168C"/>
    <w:rsid w:val="4B42F135"/>
    <w:rsid w:val="4B4F90C1"/>
    <w:rsid w:val="4B586A7B"/>
    <w:rsid w:val="4B5A3FD3"/>
    <w:rsid w:val="4B5FF350"/>
    <w:rsid w:val="4B8B59EB"/>
    <w:rsid w:val="4B941A89"/>
    <w:rsid w:val="4BBA5D2B"/>
    <w:rsid w:val="4BCB7027"/>
    <w:rsid w:val="4BD9E895"/>
    <w:rsid w:val="4BE34FCF"/>
    <w:rsid w:val="4BE8C591"/>
    <w:rsid w:val="4BEF1D11"/>
    <w:rsid w:val="4C0AF345"/>
    <w:rsid w:val="4C2CF96A"/>
    <w:rsid w:val="4C64B5AB"/>
    <w:rsid w:val="4C92BCD0"/>
    <w:rsid w:val="4C945A7B"/>
    <w:rsid w:val="4CC07626"/>
    <w:rsid w:val="4CC74A71"/>
    <w:rsid w:val="4CC8A1E7"/>
    <w:rsid w:val="4CEC318E"/>
    <w:rsid w:val="4D0E85C7"/>
    <w:rsid w:val="4D382D38"/>
    <w:rsid w:val="4D4CA069"/>
    <w:rsid w:val="4D79724D"/>
    <w:rsid w:val="4D805451"/>
    <w:rsid w:val="4D826D8B"/>
    <w:rsid w:val="4D887BDD"/>
    <w:rsid w:val="4D968B26"/>
    <w:rsid w:val="4DAF313B"/>
    <w:rsid w:val="4DCB0396"/>
    <w:rsid w:val="4DD2D5D9"/>
    <w:rsid w:val="4E605A24"/>
    <w:rsid w:val="4E6DF87D"/>
    <w:rsid w:val="4E6E231E"/>
    <w:rsid w:val="4E748419"/>
    <w:rsid w:val="4E833574"/>
    <w:rsid w:val="4EB10371"/>
    <w:rsid w:val="4EB9C69B"/>
    <w:rsid w:val="4ED8BBD4"/>
    <w:rsid w:val="4EE839E4"/>
    <w:rsid w:val="4F186D3B"/>
    <w:rsid w:val="4F1FCDFD"/>
    <w:rsid w:val="4F232948"/>
    <w:rsid w:val="4F41A8B8"/>
    <w:rsid w:val="4F710666"/>
    <w:rsid w:val="4F79CED2"/>
    <w:rsid w:val="4F8FEC3F"/>
    <w:rsid w:val="4FADD272"/>
    <w:rsid w:val="4FB605A1"/>
    <w:rsid w:val="4FB77617"/>
    <w:rsid w:val="4FC77DE1"/>
    <w:rsid w:val="4FE141B7"/>
    <w:rsid w:val="4FFF5D46"/>
    <w:rsid w:val="5012A172"/>
    <w:rsid w:val="50172FCC"/>
    <w:rsid w:val="50274FD8"/>
    <w:rsid w:val="50344A42"/>
    <w:rsid w:val="505F73D5"/>
    <w:rsid w:val="507C8CAE"/>
    <w:rsid w:val="509378A9"/>
    <w:rsid w:val="50B7F82A"/>
    <w:rsid w:val="50BFA71D"/>
    <w:rsid w:val="50C4B7E2"/>
    <w:rsid w:val="50C7060E"/>
    <w:rsid w:val="50E1C025"/>
    <w:rsid w:val="51054564"/>
    <w:rsid w:val="51067A8C"/>
    <w:rsid w:val="511FAD81"/>
    <w:rsid w:val="5122263C"/>
    <w:rsid w:val="5128B16E"/>
    <w:rsid w:val="512CB5B9"/>
    <w:rsid w:val="513050E0"/>
    <w:rsid w:val="5131498F"/>
    <w:rsid w:val="5162172B"/>
    <w:rsid w:val="51694F7E"/>
    <w:rsid w:val="519C671D"/>
    <w:rsid w:val="519C83F8"/>
    <w:rsid w:val="51A90E7F"/>
    <w:rsid w:val="51B72EFF"/>
    <w:rsid w:val="51C3750E"/>
    <w:rsid w:val="51C5635A"/>
    <w:rsid w:val="51D2382B"/>
    <w:rsid w:val="51E38EA4"/>
    <w:rsid w:val="51F78EBA"/>
    <w:rsid w:val="5203A021"/>
    <w:rsid w:val="520AFD48"/>
    <w:rsid w:val="52210ECD"/>
    <w:rsid w:val="522CD452"/>
    <w:rsid w:val="5266555E"/>
    <w:rsid w:val="52C33B86"/>
    <w:rsid w:val="52C79E44"/>
    <w:rsid w:val="52D60705"/>
    <w:rsid w:val="52DBC23B"/>
    <w:rsid w:val="52E9D424"/>
    <w:rsid w:val="52EC3A0A"/>
    <w:rsid w:val="52F0139E"/>
    <w:rsid w:val="52F37F6F"/>
    <w:rsid w:val="52F98465"/>
    <w:rsid w:val="53225A46"/>
    <w:rsid w:val="5339E55F"/>
    <w:rsid w:val="534F5089"/>
    <w:rsid w:val="534F7718"/>
    <w:rsid w:val="537C88AA"/>
    <w:rsid w:val="539622CD"/>
    <w:rsid w:val="53B7EC16"/>
    <w:rsid w:val="53C5FFBF"/>
    <w:rsid w:val="53D6AEB1"/>
    <w:rsid w:val="53E9879D"/>
    <w:rsid w:val="53FEF1CE"/>
    <w:rsid w:val="540052FB"/>
    <w:rsid w:val="540137F1"/>
    <w:rsid w:val="54040646"/>
    <w:rsid w:val="541C5E1E"/>
    <w:rsid w:val="5452C1FE"/>
    <w:rsid w:val="54555555"/>
    <w:rsid w:val="545A8009"/>
    <w:rsid w:val="546E5629"/>
    <w:rsid w:val="5484BEF7"/>
    <w:rsid w:val="5484CF63"/>
    <w:rsid w:val="54899B33"/>
    <w:rsid w:val="54980995"/>
    <w:rsid w:val="54999D8E"/>
    <w:rsid w:val="549BADBA"/>
    <w:rsid w:val="54CB1E39"/>
    <w:rsid w:val="54D02A74"/>
    <w:rsid w:val="55043E2A"/>
    <w:rsid w:val="552A089D"/>
    <w:rsid w:val="556B0F71"/>
    <w:rsid w:val="558691A0"/>
    <w:rsid w:val="55950662"/>
    <w:rsid w:val="559A2A57"/>
    <w:rsid w:val="55A2D7D0"/>
    <w:rsid w:val="55A33C28"/>
    <w:rsid w:val="55C7C39A"/>
    <w:rsid w:val="55DE1508"/>
    <w:rsid w:val="55E39DC9"/>
    <w:rsid w:val="55EF0B07"/>
    <w:rsid w:val="55FBFE98"/>
    <w:rsid w:val="560496E4"/>
    <w:rsid w:val="561BEF4B"/>
    <w:rsid w:val="56252186"/>
    <w:rsid w:val="564FC7BA"/>
    <w:rsid w:val="566A00AB"/>
    <w:rsid w:val="5671888F"/>
    <w:rsid w:val="568F6D68"/>
    <w:rsid w:val="56B2F2FA"/>
    <w:rsid w:val="56C06021"/>
    <w:rsid w:val="56DE355B"/>
    <w:rsid w:val="56E2F243"/>
    <w:rsid w:val="56EAA03D"/>
    <w:rsid w:val="56EFB3AE"/>
    <w:rsid w:val="57223BCF"/>
    <w:rsid w:val="57264E97"/>
    <w:rsid w:val="5736EA97"/>
    <w:rsid w:val="574CA02C"/>
    <w:rsid w:val="57960199"/>
    <w:rsid w:val="5797CD17"/>
    <w:rsid w:val="57CDB43E"/>
    <w:rsid w:val="57D5BBF0"/>
    <w:rsid w:val="57D61103"/>
    <w:rsid w:val="57DBF86B"/>
    <w:rsid w:val="57E1B2A3"/>
    <w:rsid w:val="57F5CDF5"/>
    <w:rsid w:val="57FABAB1"/>
    <w:rsid w:val="58090662"/>
    <w:rsid w:val="582A5A45"/>
    <w:rsid w:val="58333DCD"/>
    <w:rsid w:val="58484DE2"/>
    <w:rsid w:val="5862B265"/>
    <w:rsid w:val="58642CC6"/>
    <w:rsid w:val="586CEE32"/>
    <w:rsid w:val="58EAD62D"/>
    <w:rsid w:val="58F21FEB"/>
    <w:rsid w:val="58F57E83"/>
    <w:rsid w:val="59026F3C"/>
    <w:rsid w:val="590EDBAA"/>
    <w:rsid w:val="590FC704"/>
    <w:rsid w:val="5918FE97"/>
    <w:rsid w:val="59338AB6"/>
    <w:rsid w:val="594DD81F"/>
    <w:rsid w:val="59789EFF"/>
    <w:rsid w:val="5990986C"/>
    <w:rsid w:val="59991718"/>
    <w:rsid w:val="599D5369"/>
    <w:rsid w:val="59BD26AF"/>
    <w:rsid w:val="59C19DEC"/>
    <w:rsid w:val="5A01EF2D"/>
    <w:rsid w:val="5A0EF0A6"/>
    <w:rsid w:val="5A13CC2E"/>
    <w:rsid w:val="5A220E2E"/>
    <w:rsid w:val="5A2CC8D3"/>
    <w:rsid w:val="5A43C526"/>
    <w:rsid w:val="5A45D67F"/>
    <w:rsid w:val="5A6C7A3B"/>
    <w:rsid w:val="5A88BC15"/>
    <w:rsid w:val="5A9F2C83"/>
    <w:rsid w:val="5AA76002"/>
    <w:rsid w:val="5AE0B240"/>
    <w:rsid w:val="5AE914A9"/>
    <w:rsid w:val="5AFAB086"/>
    <w:rsid w:val="5AFBDE10"/>
    <w:rsid w:val="5B0CEE65"/>
    <w:rsid w:val="5B0E589A"/>
    <w:rsid w:val="5B244971"/>
    <w:rsid w:val="5B2E8C7A"/>
    <w:rsid w:val="5B3BCF67"/>
    <w:rsid w:val="5B3D71CE"/>
    <w:rsid w:val="5B4789D2"/>
    <w:rsid w:val="5B4F75F3"/>
    <w:rsid w:val="5B65CED3"/>
    <w:rsid w:val="5B68D581"/>
    <w:rsid w:val="5B73C854"/>
    <w:rsid w:val="5B976CD2"/>
    <w:rsid w:val="5B9DEDFF"/>
    <w:rsid w:val="5BAC0C40"/>
    <w:rsid w:val="5BD11D37"/>
    <w:rsid w:val="5BDC05BC"/>
    <w:rsid w:val="5BE26901"/>
    <w:rsid w:val="5BEFF1D3"/>
    <w:rsid w:val="5BF85842"/>
    <w:rsid w:val="5BFA0E12"/>
    <w:rsid w:val="5C07A16C"/>
    <w:rsid w:val="5C1D52E8"/>
    <w:rsid w:val="5C3DBF0B"/>
    <w:rsid w:val="5C47F3BF"/>
    <w:rsid w:val="5C6CE7FC"/>
    <w:rsid w:val="5C6D8675"/>
    <w:rsid w:val="5C6DD983"/>
    <w:rsid w:val="5C730F1A"/>
    <w:rsid w:val="5C7333D4"/>
    <w:rsid w:val="5C82AAC7"/>
    <w:rsid w:val="5C89CE04"/>
    <w:rsid w:val="5CA37D47"/>
    <w:rsid w:val="5CC7A1B6"/>
    <w:rsid w:val="5CDE0F16"/>
    <w:rsid w:val="5D14535A"/>
    <w:rsid w:val="5D1AB7E1"/>
    <w:rsid w:val="5D1CCA52"/>
    <w:rsid w:val="5D3E379B"/>
    <w:rsid w:val="5D3FDE4B"/>
    <w:rsid w:val="5D697A70"/>
    <w:rsid w:val="5D785976"/>
    <w:rsid w:val="5D7E2BF2"/>
    <w:rsid w:val="5D8C0379"/>
    <w:rsid w:val="5DAB23D0"/>
    <w:rsid w:val="5DBFC4A7"/>
    <w:rsid w:val="5DCC3AD9"/>
    <w:rsid w:val="5DEA8D3A"/>
    <w:rsid w:val="5DF98574"/>
    <w:rsid w:val="5E1D641D"/>
    <w:rsid w:val="5E20965A"/>
    <w:rsid w:val="5E295ABA"/>
    <w:rsid w:val="5E2CF473"/>
    <w:rsid w:val="5E3405E5"/>
    <w:rsid w:val="5E38D233"/>
    <w:rsid w:val="5E3EEB2E"/>
    <w:rsid w:val="5E4D1558"/>
    <w:rsid w:val="5E64406F"/>
    <w:rsid w:val="5E888DA6"/>
    <w:rsid w:val="5EA04D34"/>
    <w:rsid w:val="5F05F0DA"/>
    <w:rsid w:val="5F0FB11F"/>
    <w:rsid w:val="5F228C03"/>
    <w:rsid w:val="5F47F271"/>
    <w:rsid w:val="5F4ED65E"/>
    <w:rsid w:val="5F50449E"/>
    <w:rsid w:val="5F50AF3B"/>
    <w:rsid w:val="5F5FEBDE"/>
    <w:rsid w:val="5F64E00E"/>
    <w:rsid w:val="5F753793"/>
    <w:rsid w:val="5F7BFD18"/>
    <w:rsid w:val="5FAB9604"/>
    <w:rsid w:val="5FBB59F3"/>
    <w:rsid w:val="5FFB6EF9"/>
    <w:rsid w:val="5FFC8B84"/>
    <w:rsid w:val="600A2EF3"/>
    <w:rsid w:val="600D725C"/>
    <w:rsid w:val="60377902"/>
    <w:rsid w:val="6055DF0D"/>
    <w:rsid w:val="6081D54E"/>
    <w:rsid w:val="608AA747"/>
    <w:rsid w:val="609B4AA6"/>
    <w:rsid w:val="60A6BF18"/>
    <w:rsid w:val="60BEC5D5"/>
    <w:rsid w:val="60E5893A"/>
    <w:rsid w:val="60E59633"/>
    <w:rsid w:val="60EED343"/>
    <w:rsid w:val="61101E44"/>
    <w:rsid w:val="611EEBAB"/>
    <w:rsid w:val="615DCF54"/>
    <w:rsid w:val="6181DFE4"/>
    <w:rsid w:val="618720D0"/>
    <w:rsid w:val="619D9CB8"/>
    <w:rsid w:val="61C875FD"/>
    <w:rsid w:val="61C93913"/>
    <w:rsid w:val="61EB6C8B"/>
    <w:rsid w:val="62246B6D"/>
    <w:rsid w:val="6232E67F"/>
    <w:rsid w:val="623C4C5F"/>
    <w:rsid w:val="624800B7"/>
    <w:rsid w:val="625E40E2"/>
    <w:rsid w:val="62780B4F"/>
    <w:rsid w:val="62785AB7"/>
    <w:rsid w:val="627AFA3A"/>
    <w:rsid w:val="6281325D"/>
    <w:rsid w:val="6282D92F"/>
    <w:rsid w:val="62A048D5"/>
    <w:rsid w:val="62A731B6"/>
    <w:rsid w:val="62B4087C"/>
    <w:rsid w:val="62B4746B"/>
    <w:rsid w:val="62B4D84A"/>
    <w:rsid w:val="62B6ED4D"/>
    <w:rsid w:val="62B80995"/>
    <w:rsid w:val="62CB15E7"/>
    <w:rsid w:val="62FA7BE1"/>
    <w:rsid w:val="63020AD7"/>
    <w:rsid w:val="63071420"/>
    <w:rsid w:val="63082AE3"/>
    <w:rsid w:val="6332DDC5"/>
    <w:rsid w:val="633F69B9"/>
    <w:rsid w:val="6355686C"/>
    <w:rsid w:val="63673566"/>
    <w:rsid w:val="636AE849"/>
    <w:rsid w:val="638BAE02"/>
    <w:rsid w:val="63A64D95"/>
    <w:rsid w:val="63AE4888"/>
    <w:rsid w:val="63D9A31B"/>
    <w:rsid w:val="63E1BA95"/>
    <w:rsid w:val="63F1150D"/>
    <w:rsid w:val="64137DF5"/>
    <w:rsid w:val="64263CAD"/>
    <w:rsid w:val="64319AC0"/>
    <w:rsid w:val="6449777D"/>
    <w:rsid w:val="644E8CE6"/>
    <w:rsid w:val="6457E118"/>
    <w:rsid w:val="64635A73"/>
    <w:rsid w:val="64694428"/>
    <w:rsid w:val="6470DDFD"/>
    <w:rsid w:val="64796A57"/>
    <w:rsid w:val="6485C589"/>
    <w:rsid w:val="648D5805"/>
    <w:rsid w:val="64A51EA1"/>
    <w:rsid w:val="64B5925A"/>
    <w:rsid w:val="64C0BA0E"/>
    <w:rsid w:val="64CA943F"/>
    <w:rsid w:val="64D24EF4"/>
    <w:rsid w:val="64DDA016"/>
    <w:rsid w:val="64F2C8EC"/>
    <w:rsid w:val="65128919"/>
    <w:rsid w:val="65205F87"/>
    <w:rsid w:val="65441094"/>
    <w:rsid w:val="657344B8"/>
    <w:rsid w:val="6578FB9C"/>
    <w:rsid w:val="65C57A6F"/>
    <w:rsid w:val="661A6C26"/>
    <w:rsid w:val="6620FE72"/>
    <w:rsid w:val="665CB8A6"/>
    <w:rsid w:val="66747849"/>
    <w:rsid w:val="667EF585"/>
    <w:rsid w:val="66A0045C"/>
    <w:rsid w:val="66A8B7AB"/>
    <w:rsid w:val="66BECBC7"/>
    <w:rsid w:val="66CC11DF"/>
    <w:rsid w:val="66DF87E1"/>
    <w:rsid w:val="66E060DF"/>
    <w:rsid w:val="67003E28"/>
    <w:rsid w:val="6705EE0B"/>
    <w:rsid w:val="670CD2FA"/>
    <w:rsid w:val="671F329D"/>
    <w:rsid w:val="67256924"/>
    <w:rsid w:val="673B3322"/>
    <w:rsid w:val="67432E76"/>
    <w:rsid w:val="676819DA"/>
    <w:rsid w:val="6794A146"/>
    <w:rsid w:val="67DFCB83"/>
    <w:rsid w:val="67F31469"/>
    <w:rsid w:val="6800CBE0"/>
    <w:rsid w:val="6853BFF8"/>
    <w:rsid w:val="6882B251"/>
    <w:rsid w:val="68A9F30F"/>
    <w:rsid w:val="68C56E9D"/>
    <w:rsid w:val="68CE2876"/>
    <w:rsid w:val="68FD16C5"/>
    <w:rsid w:val="68FEF8D1"/>
    <w:rsid w:val="695E8BA7"/>
    <w:rsid w:val="6962C911"/>
    <w:rsid w:val="6983495A"/>
    <w:rsid w:val="69A33A7D"/>
    <w:rsid w:val="69A65157"/>
    <w:rsid w:val="69B67DBE"/>
    <w:rsid w:val="69BD54DD"/>
    <w:rsid w:val="69FF23A3"/>
    <w:rsid w:val="6A1938A3"/>
    <w:rsid w:val="6A2A6668"/>
    <w:rsid w:val="6A2A72BD"/>
    <w:rsid w:val="6A7D2E8C"/>
    <w:rsid w:val="6A7E13EE"/>
    <w:rsid w:val="6A919CD9"/>
    <w:rsid w:val="6AD5046F"/>
    <w:rsid w:val="6AE8D3AE"/>
    <w:rsid w:val="6B0D9C79"/>
    <w:rsid w:val="6B2AF8CC"/>
    <w:rsid w:val="6B780F17"/>
    <w:rsid w:val="6B7E302D"/>
    <w:rsid w:val="6B7F642A"/>
    <w:rsid w:val="6BA21741"/>
    <w:rsid w:val="6BAC4285"/>
    <w:rsid w:val="6BADAEF3"/>
    <w:rsid w:val="6BC4B055"/>
    <w:rsid w:val="6BC95DDF"/>
    <w:rsid w:val="6BD2A96E"/>
    <w:rsid w:val="6BD662F4"/>
    <w:rsid w:val="6C18A947"/>
    <w:rsid w:val="6C1B9396"/>
    <w:rsid w:val="6C3160DD"/>
    <w:rsid w:val="6C33BFD4"/>
    <w:rsid w:val="6C3D39BE"/>
    <w:rsid w:val="6C3D8EAB"/>
    <w:rsid w:val="6C500331"/>
    <w:rsid w:val="6C5911A0"/>
    <w:rsid w:val="6C601499"/>
    <w:rsid w:val="6C745BC3"/>
    <w:rsid w:val="6C830BC6"/>
    <w:rsid w:val="6C9D6DAB"/>
    <w:rsid w:val="6CA2054F"/>
    <w:rsid w:val="6CAC0C60"/>
    <w:rsid w:val="6CDB89A1"/>
    <w:rsid w:val="6CED3AEA"/>
    <w:rsid w:val="6CF7B63B"/>
    <w:rsid w:val="6D0C37A3"/>
    <w:rsid w:val="6D3CFB17"/>
    <w:rsid w:val="6D7341E9"/>
    <w:rsid w:val="6D7E0CDB"/>
    <w:rsid w:val="6D864328"/>
    <w:rsid w:val="6D9C328C"/>
    <w:rsid w:val="6DA3A7DD"/>
    <w:rsid w:val="6DAEB8B6"/>
    <w:rsid w:val="6DBA278B"/>
    <w:rsid w:val="6DBAF3E8"/>
    <w:rsid w:val="6DE1B329"/>
    <w:rsid w:val="6DEEAC7C"/>
    <w:rsid w:val="6DFF42C4"/>
    <w:rsid w:val="6E0B84DD"/>
    <w:rsid w:val="6E0BF78E"/>
    <w:rsid w:val="6E251807"/>
    <w:rsid w:val="6E4B4D08"/>
    <w:rsid w:val="6E6E59D2"/>
    <w:rsid w:val="6E812958"/>
    <w:rsid w:val="6EA9E653"/>
    <w:rsid w:val="6EB750FE"/>
    <w:rsid w:val="6EB8A31B"/>
    <w:rsid w:val="6EBBDCDD"/>
    <w:rsid w:val="6EBDC5C8"/>
    <w:rsid w:val="6EC8670E"/>
    <w:rsid w:val="6EF31DC9"/>
    <w:rsid w:val="6F0F6C91"/>
    <w:rsid w:val="6F129F1A"/>
    <w:rsid w:val="6F2861E5"/>
    <w:rsid w:val="6F2C5DF4"/>
    <w:rsid w:val="6F4D1ECB"/>
    <w:rsid w:val="6F5897A7"/>
    <w:rsid w:val="6F63EB8B"/>
    <w:rsid w:val="6F77D536"/>
    <w:rsid w:val="6F887320"/>
    <w:rsid w:val="6FA0D783"/>
    <w:rsid w:val="6FA1AC64"/>
    <w:rsid w:val="6FACD164"/>
    <w:rsid w:val="6FCD6799"/>
    <w:rsid w:val="6FD6AFFE"/>
    <w:rsid w:val="6FE707FA"/>
    <w:rsid w:val="6FF6A544"/>
    <w:rsid w:val="70137CDD"/>
    <w:rsid w:val="70290991"/>
    <w:rsid w:val="704B5801"/>
    <w:rsid w:val="70785583"/>
    <w:rsid w:val="7088BC74"/>
    <w:rsid w:val="70C7DBC6"/>
    <w:rsid w:val="71147586"/>
    <w:rsid w:val="711E8016"/>
    <w:rsid w:val="715937AF"/>
    <w:rsid w:val="71597146"/>
    <w:rsid w:val="71637932"/>
    <w:rsid w:val="716ADA5F"/>
    <w:rsid w:val="716BB3CF"/>
    <w:rsid w:val="717E1DAC"/>
    <w:rsid w:val="71A87A00"/>
    <w:rsid w:val="71B32EDE"/>
    <w:rsid w:val="71D816B6"/>
    <w:rsid w:val="71EE3301"/>
    <w:rsid w:val="71F2499D"/>
    <w:rsid w:val="7224E9CD"/>
    <w:rsid w:val="7228CF81"/>
    <w:rsid w:val="722BF951"/>
    <w:rsid w:val="727672F0"/>
    <w:rsid w:val="72A440AC"/>
    <w:rsid w:val="72A663E2"/>
    <w:rsid w:val="72E3D358"/>
    <w:rsid w:val="732D9146"/>
    <w:rsid w:val="73325FD8"/>
    <w:rsid w:val="737B01A0"/>
    <w:rsid w:val="737F6118"/>
    <w:rsid w:val="73966C0B"/>
    <w:rsid w:val="739922BC"/>
    <w:rsid w:val="73A0B011"/>
    <w:rsid w:val="73A73981"/>
    <w:rsid w:val="73F0F125"/>
    <w:rsid w:val="73F7BA53"/>
    <w:rsid w:val="740DB870"/>
    <w:rsid w:val="742E8136"/>
    <w:rsid w:val="7439781E"/>
    <w:rsid w:val="744E4628"/>
    <w:rsid w:val="7454E8C0"/>
    <w:rsid w:val="74787052"/>
    <w:rsid w:val="747A0A54"/>
    <w:rsid w:val="74916FD1"/>
    <w:rsid w:val="7496326F"/>
    <w:rsid w:val="74B81661"/>
    <w:rsid w:val="74BA81B0"/>
    <w:rsid w:val="74CA6D2D"/>
    <w:rsid w:val="7500404A"/>
    <w:rsid w:val="754F6396"/>
    <w:rsid w:val="755CC23F"/>
    <w:rsid w:val="755E6252"/>
    <w:rsid w:val="755E633E"/>
    <w:rsid w:val="75739881"/>
    <w:rsid w:val="758C41C7"/>
    <w:rsid w:val="75E34065"/>
    <w:rsid w:val="75E91DC2"/>
    <w:rsid w:val="75F420FC"/>
    <w:rsid w:val="75F58C68"/>
    <w:rsid w:val="75F85D03"/>
    <w:rsid w:val="75FE788E"/>
    <w:rsid w:val="762AF076"/>
    <w:rsid w:val="764739B6"/>
    <w:rsid w:val="764E55C0"/>
    <w:rsid w:val="765FCCC0"/>
    <w:rsid w:val="766636A4"/>
    <w:rsid w:val="766D13FB"/>
    <w:rsid w:val="76965A2D"/>
    <w:rsid w:val="76ABE941"/>
    <w:rsid w:val="76BDA72F"/>
    <w:rsid w:val="76C64AA0"/>
    <w:rsid w:val="76E9416B"/>
    <w:rsid w:val="76E9A73A"/>
    <w:rsid w:val="76F94414"/>
    <w:rsid w:val="7712F65A"/>
    <w:rsid w:val="7723FED7"/>
    <w:rsid w:val="773FDAAC"/>
    <w:rsid w:val="7778AB90"/>
    <w:rsid w:val="77C3F2BF"/>
    <w:rsid w:val="77C93FAA"/>
    <w:rsid w:val="77D233E7"/>
    <w:rsid w:val="77E737FC"/>
    <w:rsid w:val="77F66C52"/>
    <w:rsid w:val="782D8979"/>
    <w:rsid w:val="783614AF"/>
    <w:rsid w:val="784D4447"/>
    <w:rsid w:val="785817C5"/>
    <w:rsid w:val="785B168E"/>
    <w:rsid w:val="78A6F137"/>
    <w:rsid w:val="78ACAE65"/>
    <w:rsid w:val="78DEDA0B"/>
    <w:rsid w:val="78ED31E5"/>
    <w:rsid w:val="78F4A76B"/>
    <w:rsid w:val="7900CEB7"/>
    <w:rsid w:val="790EE8DD"/>
    <w:rsid w:val="7916ADD9"/>
    <w:rsid w:val="792FFDC5"/>
    <w:rsid w:val="7937B6CB"/>
    <w:rsid w:val="7950EC11"/>
    <w:rsid w:val="795F2656"/>
    <w:rsid w:val="796009CD"/>
    <w:rsid w:val="797A2A4B"/>
    <w:rsid w:val="797BAC17"/>
    <w:rsid w:val="7985AC60"/>
    <w:rsid w:val="79BB6555"/>
    <w:rsid w:val="79BED83E"/>
    <w:rsid w:val="79C20AFF"/>
    <w:rsid w:val="79CB3112"/>
    <w:rsid w:val="7A05FF65"/>
    <w:rsid w:val="7A118E06"/>
    <w:rsid w:val="7A3A4DCC"/>
    <w:rsid w:val="7A63B941"/>
    <w:rsid w:val="7A7462BB"/>
    <w:rsid w:val="7A795B06"/>
    <w:rsid w:val="7A858109"/>
    <w:rsid w:val="7A8C4F76"/>
    <w:rsid w:val="7A8F87D3"/>
    <w:rsid w:val="7AAEDC8B"/>
    <w:rsid w:val="7AB26EF0"/>
    <w:rsid w:val="7AD55F63"/>
    <w:rsid w:val="7B0B680D"/>
    <w:rsid w:val="7B16C645"/>
    <w:rsid w:val="7B387B23"/>
    <w:rsid w:val="7B5C280D"/>
    <w:rsid w:val="7B753E87"/>
    <w:rsid w:val="7BB037F2"/>
    <w:rsid w:val="7BD0410A"/>
    <w:rsid w:val="7BE6ABE7"/>
    <w:rsid w:val="7BE85C77"/>
    <w:rsid w:val="7BEA93DD"/>
    <w:rsid w:val="7BEF5122"/>
    <w:rsid w:val="7C0E7D5D"/>
    <w:rsid w:val="7C21AACA"/>
    <w:rsid w:val="7C5E54B3"/>
    <w:rsid w:val="7C70BA02"/>
    <w:rsid w:val="7C932859"/>
    <w:rsid w:val="7C9802FE"/>
    <w:rsid w:val="7CC3555B"/>
    <w:rsid w:val="7CDC6239"/>
    <w:rsid w:val="7CDF81AC"/>
    <w:rsid w:val="7D1829C0"/>
    <w:rsid w:val="7D7FAE99"/>
    <w:rsid w:val="7D812A70"/>
    <w:rsid w:val="7D88C3A3"/>
    <w:rsid w:val="7D8A2564"/>
    <w:rsid w:val="7DAABA52"/>
    <w:rsid w:val="7DB353BE"/>
    <w:rsid w:val="7DBA4CAE"/>
    <w:rsid w:val="7DBFD287"/>
    <w:rsid w:val="7DD06A7A"/>
    <w:rsid w:val="7DDEBDC4"/>
    <w:rsid w:val="7E023FF8"/>
    <w:rsid w:val="7E093507"/>
    <w:rsid w:val="7E0B397B"/>
    <w:rsid w:val="7E1D2086"/>
    <w:rsid w:val="7E2177E3"/>
    <w:rsid w:val="7E24C29E"/>
    <w:rsid w:val="7E2B0F95"/>
    <w:rsid w:val="7E312F50"/>
    <w:rsid w:val="7E37C2D0"/>
    <w:rsid w:val="7E61D29E"/>
    <w:rsid w:val="7EA81A65"/>
    <w:rsid w:val="7EA9B6E9"/>
    <w:rsid w:val="7EA9D757"/>
    <w:rsid w:val="7EAE0A17"/>
    <w:rsid w:val="7EAF6196"/>
    <w:rsid w:val="7ED8CED1"/>
    <w:rsid w:val="7EE002B7"/>
    <w:rsid w:val="7EE6C052"/>
    <w:rsid w:val="7EED02EB"/>
    <w:rsid w:val="7EF00406"/>
    <w:rsid w:val="7F08F664"/>
    <w:rsid w:val="7F1B43B2"/>
    <w:rsid w:val="7F22222C"/>
    <w:rsid w:val="7F264D33"/>
    <w:rsid w:val="7F31B721"/>
    <w:rsid w:val="7F457BC7"/>
    <w:rsid w:val="7F682A2D"/>
    <w:rsid w:val="7FA53396"/>
    <w:rsid w:val="7FAA8BC7"/>
    <w:rsid w:val="7FBE2922"/>
    <w:rsid w:val="7FCDB957"/>
    <w:rsid w:val="7FF9A87F"/>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34CBED"/>
  <w15:docId w15:val="{43738289-C4C8-474A-8322-2C6C74DE53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1AA4"/>
    <w:pPr>
      <w:spacing w:after="0"/>
    </w:pPr>
    <w:rPr>
      <w:rFonts w:ascii="Times New Roman" w:eastAsia="Times New Roman" w:hAnsi="Times New Roman" w:cs="Times New Roman"/>
      <w:lang w:eastAsia="en-GB"/>
    </w:rPr>
  </w:style>
  <w:style w:type="paragraph" w:styleId="Heading1">
    <w:name w:val="heading 1"/>
    <w:basedOn w:val="Normal"/>
    <w:next w:val="Normal"/>
    <w:link w:val="Heading1Char"/>
    <w:uiPriority w:val="99"/>
    <w:qFormat/>
    <w:rsid w:val="00346A54"/>
    <w:pPr>
      <w:keepNext/>
      <w:keepLines/>
      <w:spacing w:after="120"/>
      <w:outlineLvl w:val="0"/>
    </w:pPr>
    <w:rPr>
      <w:rFonts w:asciiTheme="minorHAnsi" w:eastAsiaTheme="majorEastAsia" w:hAnsiTheme="minorHAnsi" w:cstheme="minorBidi"/>
      <w:b/>
      <w:color w:val="2F5496" w:themeColor="accent1" w:themeShade="BF"/>
      <w:sz w:val="40"/>
      <w:szCs w:val="40"/>
    </w:rPr>
  </w:style>
  <w:style w:type="paragraph" w:styleId="Heading2">
    <w:name w:val="heading 2"/>
    <w:basedOn w:val="Normal"/>
    <w:next w:val="Normal"/>
    <w:link w:val="Heading2Char"/>
    <w:uiPriority w:val="9"/>
    <w:qFormat/>
    <w:rsid w:val="006F6DCB"/>
    <w:pPr>
      <w:keepNext/>
      <w:numPr>
        <w:ilvl w:val="1"/>
        <w:numId w:val="136"/>
      </w:numPr>
      <w:spacing w:after="120"/>
      <w:outlineLvl w:val="1"/>
    </w:pPr>
    <w:rPr>
      <w:rFonts w:ascii="Calibri" w:hAnsi="Calibri" w:cs="Arial"/>
      <w:b/>
      <w:bCs/>
      <w:iCs/>
      <w:color w:val="2F5496" w:themeColor="accent1" w:themeShade="BF"/>
      <w:sz w:val="28"/>
      <w:szCs w:val="28"/>
    </w:rPr>
  </w:style>
  <w:style w:type="paragraph" w:styleId="Heading3">
    <w:name w:val="heading 3"/>
    <w:basedOn w:val="Normal"/>
    <w:next w:val="Normal"/>
    <w:link w:val="Heading3Char"/>
    <w:uiPriority w:val="9"/>
    <w:unhideWhenUsed/>
    <w:qFormat/>
    <w:rsid w:val="003D59A5"/>
    <w:pPr>
      <w:numPr>
        <w:ilvl w:val="2"/>
        <w:numId w:val="142"/>
      </w:numPr>
      <w:spacing w:after="120"/>
      <w:outlineLvl w:val="2"/>
    </w:pPr>
    <w:rPr>
      <w:rFonts w:asciiTheme="minorHAnsi" w:hAnsiTheme="minorHAnsi" w:cstheme="minorHAnsi"/>
      <w:b/>
      <w:bCs/>
      <w:color w:val="2F5496" w:themeColor="accent1" w:themeShade="BF"/>
    </w:rPr>
  </w:style>
  <w:style w:type="paragraph" w:styleId="Heading4">
    <w:name w:val="heading 4"/>
    <w:basedOn w:val="Normal"/>
    <w:next w:val="Normal"/>
    <w:link w:val="Heading4Char"/>
    <w:uiPriority w:val="9"/>
    <w:unhideWhenUsed/>
    <w:qFormat/>
    <w:rsid w:val="00BF1BF1"/>
    <w:pPr>
      <w:keepNext/>
      <w:keepLines/>
      <w:numPr>
        <w:ilvl w:val="3"/>
        <w:numId w:val="164"/>
      </w:numPr>
      <w:spacing w:before="40"/>
      <w:outlineLvl w:val="3"/>
    </w:pPr>
    <w:rPr>
      <w:rFonts w:asciiTheme="minorHAnsi" w:eastAsiaTheme="majorEastAsia" w:hAnsiTheme="minorHAnsi" w:cstheme="minorHAnsi"/>
      <w:b/>
      <w:bCs/>
      <w:color w:val="2F5496" w:themeColor="accent1" w:themeShade="BF"/>
      <w:sz w:val="21"/>
      <w:szCs w:val="21"/>
    </w:rPr>
  </w:style>
  <w:style w:type="paragraph" w:styleId="Heading5">
    <w:name w:val="heading 5"/>
    <w:basedOn w:val="Normal"/>
    <w:next w:val="Normal"/>
    <w:link w:val="Heading5Char"/>
    <w:uiPriority w:val="9"/>
    <w:qFormat/>
    <w:rsid w:val="00372ACE"/>
    <w:pPr>
      <w:keepNext/>
      <w:outlineLvl w:val="4"/>
    </w:pPr>
    <w:rPr>
      <w:rFonts w:asciiTheme="minorHAnsi" w:hAnsiTheme="minorHAnsi" w:cstheme="minorHAnsi"/>
      <w:bCs/>
      <w:i/>
      <w:color w:val="2F5496" w:themeColor="accent1" w:themeShade="BF"/>
      <w:sz w:val="21"/>
      <w:szCs w:val="21"/>
      <w:lang w:eastAsia="en-US"/>
    </w:rPr>
  </w:style>
  <w:style w:type="paragraph" w:styleId="Heading6">
    <w:name w:val="heading 6"/>
    <w:basedOn w:val="Normal"/>
    <w:next w:val="Normal"/>
    <w:link w:val="Heading6Char"/>
    <w:qFormat/>
    <w:rsid w:val="00702651"/>
    <w:pPr>
      <w:keepNext/>
      <w:jc w:val="center"/>
      <w:outlineLvl w:val="5"/>
    </w:pPr>
    <w:rPr>
      <w:i/>
      <w:sz w:val="36"/>
      <w:szCs w:val="20"/>
      <w:lang w:eastAsia="en-US"/>
    </w:rPr>
  </w:style>
  <w:style w:type="paragraph" w:styleId="Heading7">
    <w:name w:val="heading 7"/>
    <w:basedOn w:val="Normal"/>
    <w:next w:val="Normal"/>
    <w:link w:val="Heading7Char"/>
    <w:qFormat/>
    <w:rsid w:val="00702651"/>
    <w:pPr>
      <w:keepNext/>
      <w:tabs>
        <w:tab w:val="num" w:pos="1296"/>
      </w:tabs>
      <w:ind w:left="1296" w:hanging="1296"/>
      <w:jc w:val="center"/>
      <w:outlineLvl w:val="6"/>
    </w:pPr>
    <w:rPr>
      <w:i/>
      <w:sz w:val="36"/>
      <w:szCs w:val="20"/>
      <w:lang w:eastAsia="en-US"/>
    </w:rPr>
  </w:style>
  <w:style w:type="paragraph" w:styleId="Heading8">
    <w:name w:val="heading 8"/>
    <w:basedOn w:val="Normal"/>
    <w:next w:val="Normal"/>
    <w:link w:val="Heading8Char"/>
    <w:qFormat/>
    <w:rsid w:val="00702651"/>
    <w:pPr>
      <w:keepNext/>
      <w:tabs>
        <w:tab w:val="num" w:pos="1440"/>
      </w:tabs>
      <w:ind w:left="1440" w:hanging="1440"/>
      <w:jc w:val="center"/>
      <w:outlineLvl w:val="7"/>
    </w:pPr>
    <w:rPr>
      <w:b/>
      <w:szCs w:val="20"/>
      <w:lang w:eastAsia="en-US"/>
    </w:rPr>
  </w:style>
  <w:style w:type="paragraph" w:styleId="Heading9">
    <w:name w:val="heading 9"/>
    <w:basedOn w:val="Normal"/>
    <w:next w:val="Normal"/>
    <w:link w:val="Heading9Char"/>
    <w:qFormat/>
    <w:rsid w:val="00702651"/>
    <w:pPr>
      <w:tabs>
        <w:tab w:val="num" w:pos="1584"/>
      </w:tabs>
      <w:spacing w:before="240" w:after="60"/>
      <w:ind w:left="1584" w:hanging="1584"/>
      <w:outlineLvl w:val="8"/>
    </w:pPr>
    <w:rPr>
      <w:rFonts w:ascii="Arial" w:hAnsi="Arial"/>
      <w:sz w:val="22"/>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6F6DCB"/>
    <w:rPr>
      <w:rFonts w:ascii="Calibri" w:eastAsia="Times New Roman" w:hAnsi="Calibri" w:cs="Arial"/>
      <w:b/>
      <w:bCs/>
      <w:iCs/>
      <w:color w:val="2F5496" w:themeColor="accent1" w:themeShade="BF"/>
      <w:sz w:val="28"/>
      <w:szCs w:val="28"/>
      <w:lang w:eastAsia="en-GB"/>
    </w:rPr>
  </w:style>
  <w:style w:type="paragraph" w:styleId="NormalWeb">
    <w:name w:val="Normal (Web)"/>
    <w:basedOn w:val="Normal"/>
    <w:uiPriority w:val="99"/>
    <w:rsid w:val="001606D8"/>
    <w:pPr>
      <w:spacing w:before="100" w:beforeAutospacing="1" w:after="100" w:afterAutospacing="1"/>
    </w:pPr>
    <w:rPr>
      <w:rFonts w:asciiTheme="minorHAnsi" w:hAnsiTheme="minorHAnsi" w:cstheme="minorHAnsi"/>
      <w:sz w:val="21"/>
      <w:szCs w:val="21"/>
    </w:rPr>
  </w:style>
  <w:style w:type="character" w:styleId="Hyperlink">
    <w:name w:val="Hyperlink"/>
    <w:basedOn w:val="DefaultParagraphFont"/>
    <w:uiPriority w:val="99"/>
    <w:rsid w:val="005013E5"/>
    <w:rPr>
      <w:rFonts w:cs="Times New Roman"/>
      <w:color w:val="0000FF"/>
      <w:u w:val="single"/>
    </w:rPr>
  </w:style>
  <w:style w:type="character" w:customStyle="1" w:styleId="Heading1Char">
    <w:name w:val="Heading 1 Char"/>
    <w:basedOn w:val="DefaultParagraphFont"/>
    <w:link w:val="Heading1"/>
    <w:uiPriority w:val="99"/>
    <w:rsid w:val="00E357F8"/>
    <w:rPr>
      <w:rFonts w:eastAsiaTheme="majorEastAsia"/>
      <w:b/>
      <w:color w:val="2F5496" w:themeColor="accent1" w:themeShade="BF"/>
      <w:sz w:val="40"/>
      <w:szCs w:val="40"/>
      <w:lang w:eastAsia="en-GB"/>
    </w:rPr>
  </w:style>
  <w:style w:type="paragraph" w:customStyle="1" w:styleId="Default">
    <w:name w:val="Default"/>
    <w:rsid w:val="000F6303"/>
    <w:pPr>
      <w:widowControl w:val="0"/>
      <w:autoSpaceDE w:val="0"/>
      <w:autoSpaceDN w:val="0"/>
      <w:adjustRightInd w:val="0"/>
    </w:pPr>
    <w:rPr>
      <w:rFonts w:ascii="Times New Roman" w:eastAsia="Times New Roman" w:hAnsi="Times New Roman" w:cs="Times New Roman"/>
      <w:color w:val="000000"/>
      <w:lang w:val="en-US"/>
    </w:rPr>
  </w:style>
  <w:style w:type="paragraph" w:styleId="ListParagraph">
    <w:name w:val="List Paragraph"/>
    <w:aliases w:val="List Paragraph1,List Paragraph11,Recommendation,First level bullet point,Bullet point,Bullets,CV text,Dot pt,F5 List Paragraph,FooterText,L,List Paragraph111,List Paragraph2,Medium Grid 1 - Accent 21,NAST Quote,NFP GP Bulleted List,列,Ha"/>
    <w:basedOn w:val="Normal"/>
    <w:link w:val="ListParagraphChar"/>
    <w:uiPriority w:val="34"/>
    <w:qFormat/>
    <w:rsid w:val="000F6303"/>
    <w:pPr>
      <w:ind w:left="720"/>
      <w:contextualSpacing/>
    </w:pPr>
    <w:rPr>
      <w:rFonts w:asciiTheme="minorHAnsi" w:hAnsiTheme="minorHAnsi" w:cstheme="minorHAnsi"/>
      <w:sz w:val="21"/>
      <w:szCs w:val="21"/>
    </w:rPr>
  </w:style>
  <w:style w:type="character" w:customStyle="1" w:styleId="ListParagraphChar">
    <w:name w:val="List Paragraph Char"/>
    <w:aliases w:val="List Paragraph1 Char,List Paragraph11 Char,Recommendation Char,First level bullet point Char,Bullet point Char,Bullets Char,CV text Char,Dot pt Char,F5 List Paragraph Char,FooterText Char,L Char,List Paragraph111 Char,NAST Quote Char"/>
    <w:link w:val="ListParagraph"/>
    <w:uiPriority w:val="34"/>
    <w:qFormat/>
    <w:locked/>
    <w:rsid w:val="000F6303"/>
    <w:rPr>
      <w:rFonts w:ascii="Times New Roman" w:eastAsia="Times New Roman" w:hAnsi="Times New Roman" w:cs="Times New Roman"/>
      <w:lang w:eastAsia="zh-CN"/>
    </w:rPr>
  </w:style>
  <w:style w:type="paragraph" w:customStyle="1" w:styleId="xyiv1798135566msonormal">
    <w:name w:val="x_yiv1798135566msonormal"/>
    <w:basedOn w:val="Normal"/>
    <w:link w:val="xyiv1798135566msonormalChar"/>
    <w:rsid w:val="00D705C8"/>
    <w:rPr>
      <w:rFonts w:ascii="Calibri" w:hAnsi="Calibri" w:cs="Calibri"/>
      <w:sz w:val="22"/>
      <w:szCs w:val="22"/>
      <w:lang w:eastAsia="en-AU"/>
    </w:rPr>
  </w:style>
  <w:style w:type="character" w:customStyle="1" w:styleId="xyiv1798135566apple-converted-space">
    <w:name w:val="x_yiv1798135566apple-converted-space"/>
    <w:basedOn w:val="DefaultParagraphFont"/>
    <w:rsid w:val="00D705C8"/>
  </w:style>
  <w:style w:type="character" w:customStyle="1" w:styleId="xyiv1798135566msonormalChar">
    <w:name w:val="x_yiv1798135566msonormal Char"/>
    <w:basedOn w:val="DefaultParagraphFont"/>
    <w:link w:val="xyiv1798135566msonormal"/>
    <w:rsid w:val="00D705C8"/>
    <w:rPr>
      <w:rFonts w:ascii="Calibri" w:hAnsi="Calibri" w:cs="Calibri"/>
      <w:sz w:val="22"/>
      <w:szCs w:val="22"/>
      <w:lang w:eastAsia="en-AU"/>
    </w:rPr>
  </w:style>
  <w:style w:type="paragraph" w:styleId="TOCHeading">
    <w:name w:val="TOC Heading"/>
    <w:basedOn w:val="Heading1"/>
    <w:next w:val="Normal"/>
    <w:uiPriority w:val="39"/>
    <w:unhideWhenUsed/>
    <w:qFormat/>
    <w:rsid w:val="002D71E4"/>
    <w:pPr>
      <w:spacing w:before="480" w:line="276" w:lineRule="auto"/>
      <w:outlineLvl w:val="9"/>
    </w:pPr>
    <w:rPr>
      <w:b w:val="0"/>
      <w:bCs/>
      <w:sz w:val="28"/>
      <w:szCs w:val="28"/>
      <w:lang w:val="en-US"/>
    </w:rPr>
  </w:style>
  <w:style w:type="paragraph" w:styleId="TOC1">
    <w:name w:val="toc 1"/>
    <w:basedOn w:val="Normal"/>
    <w:next w:val="Normal"/>
    <w:autoRedefine/>
    <w:uiPriority w:val="39"/>
    <w:unhideWhenUsed/>
    <w:rsid w:val="001E1067"/>
    <w:pPr>
      <w:spacing w:before="120" w:after="120"/>
    </w:pPr>
    <w:rPr>
      <w:rFonts w:asciiTheme="minorHAnsi" w:hAnsiTheme="minorHAnsi" w:cstheme="minorHAnsi"/>
      <w:b/>
      <w:bCs/>
      <w:caps/>
      <w:sz w:val="20"/>
      <w:szCs w:val="20"/>
    </w:rPr>
  </w:style>
  <w:style w:type="paragraph" w:styleId="TOC2">
    <w:name w:val="toc 2"/>
    <w:basedOn w:val="Normal"/>
    <w:next w:val="Normal"/>
    <w:autoRedefine/>
    <w:uiPriority w:val="39"/>
    <w:unhideWhenUsed/>
    <w:rsid w:val="002D71E4"/>
    <w:pPr>
      <w:ind w:left="240"/>
    </w:pPr>
    <w:rPr>
      <w:rFonts w:asciiTheme="minorHAnsi" w:hAnsiTheme="minorHAnsi" w:cstheme="minorHAnsi"/>
      <w:smallCaps/>
      <w:sz w:val="20"/>
      <w:szCs w:val="20"/>
    </w:rPr>
  </w:style>
  <w:style w:type="paragraph" w:styleId="TOC3">
    <w:name w:val="toc 3"/>
    <w:basedOn w:val="Normal"/>
    <w:next w:val="Normal"/>
    <w:autoRedefine/>
    <w:uiPriority w:val="39"/>
    <w:unhideWhenUsed/>
    <w:rsid w:val="002D71E4"/>
    <w:pPr>
      <w:ind w:left="480"/>
    </w:pPr>
    <w:rPr>
      <w:rFonts w:asciiTheme="minorHAnsi" w:hAnsiTheme="minorHAnsi" w:cstheme="minorHAnsi"/>
      <w:i/>
      <w:iCs/>
      <w:sz w:val="20"/>
      <w:szCs w:val="20"/>
    </w:rPr>
  </w:style>
  <w:style w:type="paragraph" w:styleId="TOC4">
    <w:name w:val="toc 4"/>
    <w:basedOn w:val="Normal"/>
    <w:next w:val="Normal"/>
    <w:autoRedefine/>
    <w:uiPriority w:val="39"/>
    <w:unhideWhenUsed/>
    <w:rsid w:val="002D71E4"/>
    <w:pPr>
      <w:ind w:left="720"/>
    </w:pPr>
    <w:rPr>
      <w:rFonts w:asciiTheme="minorHAnsi" w:hAnsiTheme="minorHAnsi" w:cstheme="minorHAnsi"/>
      <w:sz w:val="18"/>
      <w:szCs w:val="18"/>
    </w:rPr>
  </w:style>
  <w:style w:type="paragraph" w:styleId="TOC5">
    <w:name w:val="toc 5"/>
    <w:basedOn w:val="Normal"/>
    <w:next w:val="Normal"/>
    <w:autoRedefine/>
    <w:uiPriority w:val="39"/>
    <w:unhideWhenUsed/>
    <w:rsid w:val="002D71E4"/>
    <w:pPr>
      <w:ind w:left="960"/>
    </w:pPr>
    <w:rPr>
      <w:rFonts w:asciiTheme="minorHAnsi" w:hAnsiTheme="minorHAnsi" w:cstheme="minorHAnsi"/>
      <w:sz w:val="18"/>
      <w:szCs w:val="18"/>
    </w:rPr>
  </w:style>
  <w:style w:type="paragraph" w:styleId="TOC6">
    <w:name w:val="toc 6"/>
    <w:basedOn w:val="Normal"/>
    <w:next w:val="Normal"/>
    <w:autoRedefine/>
    <w:uiPriority w:val="39"/>
    <w:unhideWhenUsed/>
    <w:rsid w:val="002D71E4"/>
    <w:pPr>
      <w:ind w:left="1200"/>
    </w:pPr>
    <w:rPr>
      <w:rFonts w:asciiTheme="minorHAnsi" w:hAnsiTheme="minorHAnsi" w:cstheme="minorHAnsi"/>
      <w:sz w:val="18"/>
      <w:szCs w:val="18"/>
    </w:rPr>
  </w:style>
  <w:style w:type="paragraph" w:styleId="TOC7">
    <w:name w:val="toc 7"/>
    <w:basedOn w:val="Normal"/>
    <w:next w:val="Normal"/>
    <w:autoRedefine/>
    <w:uiPriority w:val="39"/>
    <w:unhideWhenUsed/>
    <w:rsid w:val="002D71E4"/>
    <w:pPr>
      <w:ind w:left="1440"/>
    </w:pPr>
    <w:rPr>
      <w:rFonts w:asciiTheme="minorHAnsi" w:hAnsiTheme="minorHAnsi" w:cstheme="minorHAnsi"/>
      <w:sz w:val="18"/>
      <w:szCs w:val="18"/>
    </w:rPr>
  </w:style>
  <w:style w:type="paragraph" w:styleId="TOC8">
    <w:name w:val="toc 8"/>
    <w:basedOn w:val="Normal"/>
    <w:next w:val="Normal"/>
    <w:autoRedefine/>
    <w:uiPriority w:val="39"/>
    <w:unhideWhenUsed/>
    <w:rsid w:val="002D71E4"/>
    <w:pPr>
      <w:ind w:left="1680"/>
    </w:pPr>
    <w:rPr>
      <w:rFonts w:asciiTheme="minorHAnsi" w:hAnsiTheme="minorHAnsi" w:cstheme="minorHAnsi"/>
      <w:sz w:val="18"/>
      <w:szCs w:val="18"/>
    </w:rPr>
  </w:style>
  <w:style w:type="paragraph" w:styleId="TOC9">
    <w:name w:val="toc 9"/>
    <w:basedOn w:val="Normal"/>
    <w:next w:val="Normal"/>
    <w:autoRedefine/>
    <w:uiPriority w:val="39"/>
    <w:unhideWhenUsed/>
    <w:rsid w:val="002D71E4"/>
    <w:pPr>
      <w:ind w:left="1920"/>
    </w:pPr>
    <w:rPr>
      <w:rFonts w:asciiTheme="minorHAnsi" w:hAnsiTheme="minorHAnsi" w:cstheme="minorHAnsi"/>
      <w:sz w:val="18"/>
      <w:szCs w:val="18"/>
    </w:rPr>
  </w:style>
  <w:style w:type="character" w:customStyle="1" w:styleId="Heading3Char">
    <w:name w:val="Heading 3 Char"/>
    <w:basedOn w:val="DefaultParagraphFont"/>
    <w:link w:val="Heading3"/>
    <w:uiPriority w:val="9"/>
    <w:rsid w:val="003D59A5"/>
    <w:rPr>
      <w:rFonts w:eastAsia="Times New Roman" w:cstheme="minorHAnsi"/>
      <w:b/>
      <w:bCs/>
      <w:color w:val="2F5496" w:themeColor="accent1" w:themeShade="BF"/>
      <w:lang w:eastAsia="en-GB"/>
    </w:rPr>
  </w:style>
  <w:style w:type="character" w:customStyle="1" w:styleId="apple-converted-space">
    <w:name w:val="apple-converted-space"/>
    <w:basedOn w:val="DefaultParagraphFont"/>
    <w:rsid w:val="005C3659"/>
  </w:style>
  <w:style w:type="character" w:styleId="CommentReference">
    <w:name w:val="annotation reference"/>
    <w:basedOn w:val="DefaultParagraphFont"/>
    <w:uiPriority w:val="99"/>
    <w:semiHidden/>
    <w:unhideWhenUsed/>
    <w:rsid w:val="00E05DC8"/>
    <w:rPr>
      <w:sz w:val="16"/>
      <w:szCs w:val="16"/>
    </w:rPr>
  </w:style>
  <w:style w:type="paragraph" w:styleId="CommentText">
    <w:name w:val="annotation text"/>
    <w:basedOn w:val="Normal"/>
    <w:link w:val="CommentTextChar"/>
    <w:uiPriority w:val="99"/>
    <w:unhideWhenUsed/>
    <w:rsid w:val="00E05DC8"/>
    <w:rPr>
      <w:rFonts w:asciiTheme="minorHAnsi" w:hAnsiTheme="minorHAnsi" w:cstheme="minorHAnsi"/>
      <w:sz w:val="20"/>
      <w:szCs w:val="20"/>
    </w:rPr>
  </w:style>
  <w:style w:type="character" w:customStyle="1" w:styleId="CommentTextChar">
    <w:name w:val="Comment Text Char"/>
    <w:basedOn w:val="DefaultParagraphFont"/>
    <w:link w:val="CommentText"/>
    <w:uiPriority w:val="99"/>
    <w:rsid w:val="00E05DC8"/>
    <w:rPr>
      <w:rFonts w:ascii="Times New Roman" w:eastAsia="Times New Roman" w:hAnsi="Times New Roman" w:cs="Times New Roman"/>
      <w:sz w:val="20"/>
      <w:szCs w:val="20"/>
      <w:lang w:eastAsia="zh-CN"/>
    </w:rPr>
  </w:style>
  <w:style w:type="paragraph" w:styleId="CommentSubject">
    <w:name w:val="annotation subject"/>
    <w:basedOn w:val="CommentText"/>
    <w:next w:val="CommentText"/>
    <w:link w:val="CommentSubjectChar"/>
    <w:uiPriority w:val="99"/>
    <w:semiHidden/>
    <w:unhideWhenUsed/>
    <w:rsid w:val="00E05DC8"/>
    <w:rPr>
      <w:b/>
      <w:bCs/>
    </w:rPr>
  </w:style>
  <w:style w:type="character" w:customStyle="1" w:styleId="CommentSubjectChar">
    <w:name w:val="Comment Subject Char"/>
    <w:basedOn w:val="CommentTextChar"/>
    <w:link w:val="CommentSubject"/>
    <w:uiPriority w:val="99"/>
    <w:semiHidden/>
    <w:rsid w:val="00E05DC8"/>
    <w:rPr>
      <w:rFonts w:ascii="Times New Roman" w:eastAsia="Times New Roman" w:hAnsi="Times New Roman" w:cs="Times New Roman"/>
      <w:b/>
      <w:bCs/>
      <w:sz w:val="20"/>
      <w:szCs w:val="20"/>
      <w:lang w:eastAsia="zh-CN"/>
    </w:rPr>
  </w:style>
  <w:style w:type="paragraph" w:styleId="Footer">
    <w:name w:val="footer"/>
    <w:basedOn w:val="Normal"/>
    <w:link w:val="FooterChar"/>
    <w:uiPriority w:val="99"/>
    <w:unhideWhenUsed/>
    <w:rsid w:val="00EB622E"/>
    <w:pPr>
      <w:tabs>
        <w:tab w:val="center" w:pos="4513"/>
        <w:tab w:val="right" w:pos="9026"/>
      </w:tabs>
    </w:pPr>
    <w:rPr>
      <w:rFonts w:asciiTheme="minorHAnsi" w:hAnsiTheme="minorHAnsi" w:cstheme="minorHAnsi"/>
      <w:sz w:val="21"/>
      <w:szCs w:val="21"/>
    </w:rPr>
  </w:style>
  <w:style w:type="character" w:customStyle="1" w:styleId="FooterChar">
    <w:name w:val="Footer Char"/>
    <w:basedOn w:val="DefaultParagraphFont"/>
    <w:link w:val="Footer"/>
    <w:uiPriority w:val="99"/>
    <w:rsid w:val="00EB622E"/>
    <w:rPr>
      <w:rFonts w:ascii="Times New Roman" w:eastAsia="Times New Roman" w:hAnsi="Times New Roman" w:cs="Times New Roman"/>
      <w:lang w:eastAsia="zh-CN"/>
    </w:rPr>
  </w:style>
  <w:style w:type="character" w:styleId="PageNumber">
    <w:name w:val="page number"/>
    <w:basedOn w:val="DefaultParagraphFont"/>
    <w:uiPriority w:val="99"/>
    <w:semiHidden/>
    <w:unhideWhenUsed/>
    <w:rsid w:val="00EB622E"/>
  </w:style>
  <w:style w:type="paragraph" w:styleId="Header">
    <w:name w:val="header"/>
    <w:basedOn w:val="Normal"/>
    <w:link w:val="HeaderChar"/>
    <w:uiPriority w:val="99"/>
    <w:unhideWhenUsed/>
    <w:rsid w:val="00EB622E"/>
    <w:pPr>
      <w:tabs>
        <w:tab w:val="center" w:pos="4513"/>
        <w:tab w:val="right" w:pos="9026"/>
      </w:tabs>
    </w:pPr>
    <w:rPr>
      <w:rFonts w:asciiTheme="minorHAnsi" w:hAnsiTheme="minorHAnsi" w:cstheme="minorHAnsi"/>
      <w:sz w:val="21"/>
      <w:szCs w:val="21"/>
    </w:rPr>
  </w:style>
  <w:style w:type="character" w:customStyle="1" w:styleId="HeaderChar">
    <w:name w:val="Header Char"/>
    <w:basedOn w:val="DefaultParagraphFont"/>
    <w:link w:val="Header"/>
    <w:uiPriority w:val="99"/>
    <w:rsid w:val="00EB622E"/>
    <w:rPr>
      <w:rFonts w:ascii="Times New Roman" w:eastAsia="Times New Roman" w:hAnsi="Times New Roman" w:cs="Times New Roman"/>
      <w:lang w:eastAsia="zh-CN"/>
    </w:rPr>
  </w:style>
  <w:style w:type="paragraph" w:styleId="Revision">
    <w:name w:val="Revision"/>
    <w:hidden/>
    <w:uiPriority w:val="99"/>
    <w:semiHidden/>
    <w:rsid w:val="001D26AA"/>
    <w:rPr>
      <w:rFonts w:ascii="Times New Roman" w:eastAsia="Times New Roman" w:hAnsi="Times New Roman" w:cs="Times New Roman"/>
      <w:lang w:eastAsia="zh-CN"/>
    </w:rPr>
  </w:style>
  <w:style w:type="paragraph" w:styleId="BalloonText">
    <w:name w:val="Balloon Text"/>
    <w:basedOn w:val="Normal"/>
    <w:link w:val="BalloonTextChar"/>
    <w:uiPriority w:val="99"/>
    <w:semiHidden/>
    <w:unhideWhenUsed/>
    <w:rsid w:val="003B65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B655E"/>
    <w:rPr>
      <w:rFonts w:ascii="Segoe UI" w:eastAsia="Times New Roman" w:hAnsi="Segoe UI" w:cs="Segoe UI"/>
      <w:sz w:val="18"/>
      <w:szCs w:val="18"/>
      <w:lang w:eastAsia="zh-CN"/>
    </w:rPr>
  </w:style>
  <w:style w:type="paragraph" w:customStyle="1" w:styleId="paragraph">
    <w:name w:val="paragraph"/>
    <w:basedOn w:val="Normal"/>
    <w:link w:val="paragraphChar"/>
    <w:rsid w:val="004F68E1"/>
    <w:pPr>
      <w:spacing w:before="100" w:beforeAutospacing="1" w:after="100" w:afterAutospacing="1"/>
    </w:pPr>
    <w:rPr>
      <w:rFonts w:asciiTheme="minorHAnsi" w:hAnsiTheme="minorHAnsi" w:cstheme="minorHAnsi"/>
      <w:sz w:val="21"/>
      <w:szCs w:val="21"/>
      <w:lang w:eastAsia="en-AU"/>
    </w:rPr>
  </w:style>
  <w:style w:type="table" w:customStyle="1" w:styleId="GridTable41">
    <w:name w:val="Grid Table 41"/>
    <w:basedOn w:val="TableNormal"/>
    <w:uiPriority w:val="49"/>
    <w:rsid w:val="002B6977"/>
    <w:rPr>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eop">
    <w:name w:val="eop"/>
    <w:basedOn w:val="DefaultParagraphFont"/>
    <w:rsid w:val="00A5656D"/>
  </w:style>
  <w:style w:type="character" w:customStyle="1" w:styleId="paragraphChar">
    <w:name w:val="paragraph Char"/>
    <w:basedOn w:val="DefaultParagraphFont"/>
    <w:link w:val="paragraph"/>
    <w:rsid w:val="00A5656D"/>
    <w:rPr>
      <w:rFonts w:ascii="Times New Roman" w:eastAsia="Times New Roman" w:hAnsi="Times New Roman" w:cs="Times New Roman"/>
      <w:lang w:eastAsia="en-AU"/>
    </w:rPr>
  </w:style>
  <w:style w:type="character" w:customStyle="1" w:styleId="normaltextrun">
    <w:name w:val="normaltextrun"/>
    <w:basedOn w:val="DefaultParagraphFont"/>
    <w:rsid w:val="00E21D5D"/>
  </w:style>
  <w:style w:type="paragraph" w:customStyle="1" w:styleId="ANorm">
    <w:name w:val="A Norm"/>
    <w:basedOn w:val="Normal"/>
    <w:link w:val="ANormChar"/>
    <w:qFormat/>
    <w:rsid w:val="0074422D"/>
    <w:rPr>
      <w:rFonts w:ascii="Calibri" w:hAnsi="Calibri" w:cs="Arial"/>
      <w:color w:val="000000" w:themeColor="text1"/>
      <w:sz w:val="21"/>
      <w:szCs w:val="21"/>
    </w:rPr>
  </w:style>
  <w:style w:type="character" w:customStyle="1" w:styleId="ANormChar">
    <w:name w:val="A Norm Char"/>
    <w:basedOn w:val="DefaultParagraphFont"/>
    <w:link w:val="ANorm"/>
    <w:rsid w:val="0074422D"/>
    <w:rPr>
      <w:rFonts w:ascii="Calibri" w:eastAsia="Times New Roman" w:hAnsi="Calibri" w:cs="Arial"/>
      <w:color w:val="000000" w:themeColor="text1"/>
      <w:sz w:val="21"/>
      <w:szCs w:val="21"/>
      <w:lang w:eastAsia="en-GB"/>
    </w:rPr>
  </w:style>
  <w:style w:type="paragraph" w:customStyle="1" w:styleId="Pa15">
    <w:name w:val="Pa15"/>
    <w:basedOn w:val="Normal"/>
    <w:next w:val="Normal"/>
    <w:uiPriority w:val="99"/>
    <w:rsid w:val="00DC0AD6"/>
    <w:pPr>
      <w:autoSpaceDE w:val="0"/>
      <w:autoSpaceDN w:val="0"/>
      <w:adjustRightInd w:val="0"/>
      <w:spacing w:line="140" w:lineRule="atLeast"/>
    </w:pPr>
    <w:rPr>
      <w:rFonts w:ascii="Shaker 2 Lancet" w:eastAsiaTheme="minorHAnsi" w:hAnsi="Shaker 2 Lancet" w:cstheme="minorBidi"/>
      <w:sz w:val="21"/>
      <w:szCs w:val="21"/>
      <w:lang w:eastAsia="en-US"/>
    </w:rPr>
  </w:style>
  <w:style w:type="character" w:styleId="FollowedHyperlink">
    <w:name w:val="FollowedHyperlink"/>
    <w:basedOn w:val="DefaultParagraphFont"/>
    <w:uiPriority w:val="99"/>
    <w:semiHidden/>
    <w:unhideWhenUsed/>
    <w:rsid w:val="00C91837"/>
    <w:rPr>
      <w:color w:val="954F72" w:themeColor="followedHyperlink"/>
      <w:u w:val="single"/>
    </w:rPr>
  </w:style>
  <w:style w:type="paragraph" w:customStyle="1" w:styleId="EndNoteBibliographyTitle">
    <w:name w:val="EndNote Bibliography Title"/>
    <w:basedOn w:val="Normal"/>
    <w:link w:val="EndNoteBibliographyTitleChar"/>
    <w:rsid w:val="00C251BB"/>
    <w:pPr>
      <w:jc w:val="center"/>
    </w:pPr>
    <w:rPr>
      <w:szCs w:val="21"/>
      <w:lang w:val="en-GB"/>
    </w:rPr>
  </w:style>
  <w:style w:type="character" w:customStyle="1" w:styleId="EndNoteBibliographyTitleChar">
    <w:name w:val="EndNote Bibliography Title Char"/>
    <w:basedOn w:val="DefaultParagraphFont"/>
    <w:link w:val="EndNoteBibliographyTitle"/>
    <w:rsid w:val="00C251BB"/>
    <w:rPr>
      <w:rFonts w:ascii="Times New Roman" w:eastAsia="Times New Roman" w:hAnsi="Times New Roman" w:cs="Times New Roman"/>
      <w:szCs w:val="21"/>
      <w:lang w:val="en-GB" w:eastAsia="en-GB"/>
    </w:rPr>
  </w:style>
  <w:style w:type="paragraph" w:customStyle="1" w:styleId="EndNoteBibliography">
    <w:name w:val="EndNote Bibliography"/>
    <w:basedOn w:val="Normal"/>
    <w:link w:val="EndNoteBibliographyChar"/>
    <w:rsid w:val="00C251BB"/>
    <w:rPr>
      <w:szCs w:val="21"/>
      <w:lang w:val="en-GB"/>
    </w:rPr>
  </w:style>
  <w:style w:type="character" w:customStyle="1" w:styleId="EndNoteBibliographyChar">
    <w:name w:val="EndNote Bibliography Char"/>
    <w:basedOn w:val="DefaultParagraphFont"/>
    <w:link w:val="EndNoteBibliography"/>
    <w:rsid w:val="00C251BB"/>
    <w:rPr>
      <w:rFonts w:ascii="Times New Roman" w:eastAsia="Times New Roman" w:hAnsi="Times New Roman" w:cs="Times New Roman"/>
      <w:szCs w:val="21"/>
      <w:lang w:val="en-GB" w:eastAsia="en-GB"/>
    </w:rPr>
  </w:style>
  <w:style w:type="character" w:customStyle="1" w:styleId="Heading4Char">
    <w:name w:val="Heading 4 Char"/>
    <w:basedOn w:val="DefaultParagraphFont"/>
    <w:link w:val="Heading4"/>
    <w:uiPriority w:val="9"/>
    <w:rsid w:val="00BF1BF1"/>
    <w:rPr>
      <w:rFonts w:eastAsiaTheme="majorEastAsia" w:cstheme="minorHAnsi"/>
      <w:b/>
      <w:bCs/>
      <w:color w:val="2F5496" w:themeColor="accent1" w:themeShade="BF"/>
      <w:sz w:val="21"/>
      <w:szCs w:val="21"/>
      <w:lang w:eastAsia="en-GB"/>
    </w:rPr>
  </w:style>
  <w:style w:type="character" w:customStyle="1" w:styleId="normaltextrun1">
    <w:name w:val="normaltextrun1"/>
    <w:basedOn w:val="DefaultParagraphFont"/>
    <w:rsid w:val="00216754"/>
  </w:style>
  <w:style w:type="paragraph" w:customStyle="1" w:styleId="abstract-paragraph">
    <w:name w:val="abstract-paragraph"/>
    <w:basedOn w:val="Normal"/>
    <w:rsid w:val="006F0037"/>
    <w:pPr>
      <w:spacing w:before="100" w:beforeAutospacing="1" w:after="100" w:afterAutospacing="1"/>
    </w:pPr>
    <w:rPr>
      <w:rFonts w:asciiTheme="minorHAnsi" w:hAnsiTheme="minorHAnsi" w:cstheme="minorHAnsi"/>
      <w:sz w:val="21"/>
      <w:szCs w:val="21"/>
      <w:lang w:eastAsia="en-AU"/>
    </w:rPr>
  </w:style>
  <w:style w:type="character" w:customStyle="1" w:styleId="UnresolvedMention1">
    <w:name w:val="Unresolved Mention1"/>
    <w:basedOn w:val="DefaultParagraphFont"/>
    <w:uiPriority w:val="99"/>
    <w:semiHidden/>
    <w:unhideWhenUsed/>
    <w:rsid w:val="00F4589C"/>
    <w:rPr>
      <w:color w:val="605E5C"/>
      <w:shd w:val="clear" w:color="auto" w:fill="E1DFDD"/>
    </w:rPr>
  </w:style>
  <w:style w:type="character" w:customStyle="1" w:styleId="UnresolvedMention2">
    <w:name w:val="Unresolved Mention2"/>
    <w:basedOn w:val="DefaultParagraphFont"/>
    <w:uiPriority w:val="99"/>
    <w:unhideWhenUsed/>
    <w:rsid w:val="00DC3ECA"/>
    <w:rPr>
      <w:color w:val="605E5C"/>
      <w:shd w:val="clear" w:color="auto" w:fill="E1DFDD"/>
    </w:rPr>
  </w:style>
  <w:style w:type="table" w:styleId="TableGrid">
    <w:name w:val="Table Grid"/>
    <w:basedOn w:val="TableNormal"/>
    <w:uiPriority w:val="39"/>
    <w:rsid w:val="00B4495F"/>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link w:val="tableheadingChar"/>
    <w:qFormat/>
    <w:rsid w:val="003D1CA1"/>
    <w:pPr>
      <w:keepLines/>
      <w:spacing w:after="60"/>
      <w:outlineLvl w:val="2"/>
    </w:pPr>
    <w:rPr>
      <w:rFonts w:asciiTheme="minorHAnsi" w:eastAsiaTheme="majorEastAsia" w:hAnsiTheme="minorHAnsi" w:cstheme="minorHAnsi"/>
      <w:b/>
      <w:color w:val="000000" w:themeColor="text1"/>
      <w:sz w:val="21"/>
      <w:szCs w:val="21"/>
      <w:lang w:val="en-US" w:eastAsia="en-US"/>
    </w:rPr>
  </w:style>
  <w:style w:type="character" w:customStyle="1" w:styleId="tableheadingChar">
    <w:name w:val="table heading Char"/>
    <w:basedOn w:val="DefaultParagraphFont"/>
    <w:link w:val="tableheading"/>
    <w:rsid w:val="003D1CA1"/>
    <w:rPr>
      <w:rFonts w:eastAsiaTheme="majorEastAsia" w:cstheme="minorHAnsi"/>
      <w:b/>
      <w:color w:val="000000" w:themeColor="text1"/>
      <w:sz w:val="21"/>
      <w:szCs w:val="21"/>
      <w:lang w:val="en-US"/>
    </w:rPr>
  </w:style>
  <w:style w:type="paragraph" w:customStyle="1" w:styleId="msonormal0">
    <w:name w:val="msonormal"/>
    <w:basedOn w:val="Normal"/>
    <w:rsid w:val="00A8492A"/>
    <w:pPr>
      <w:spacing w:before="100" w:beforeAutospacing="1" w:after="100" w:afterAutospacing="1"/>
    </w:pPr>
    <w:rPr>
      <w:rFonts w:asciiTheme="minorHAnsi" w:hAnsiTheme="minorHAnsi" w:cstheme="minorHAnsi"/>
      <w:sz w:val="21"/>
      <w:szCs w:val="21"/>
    </w:rPr>
  </w:style>
  <w:style w:type="paragraph" w:customStyle="1" w:styleId="xl65">
    <w:name w:val="xl65"/>
    <w:basedOn w:val="Normal"/>
    <w:rsid w:val="00A8492A"/>
    <w:pPr>
      <w:spacing w:before="100" w:beforeAutospacing="1" w:after="100" w:afterAutospacing="1"/>
    </w:pPr>
    <w:rPr>
      <w:rFonts w:asciiTheme="minorHAnsi" w:hAnsiTheme="minorHAnsi" w:cstheme="minorHAnsi"/>
      <w:sz w:val="21"/>
      <w:szCs w:val="21"/>
    </w:rPr>
  </w:style>
  <w:style w:type="paragraph" w:customStyle="1" w:styleId="xl66">
    <w:name w:val="xl66"/>
    <w:basedOn w:val="Normal"/>
    <w:rsid w:val="00A8492A"/>
    <w:pPr>
      <w:spacing w:before="100" w:beforeAutospacing="1" w:after="100" w:afterAutospacing="1"/>
    </w:pPr>
    <w:rPr>
      <w:rFonts w:asciiTheme="minorHAnsi" w:hAnsiTheme="minorHAnsi" w:cstheme="minorHAnsi"/>
      <w:color w:val="000000"/>
      <w:sz w:val="21"/>
      <w:szCs w:val="21"/>
    </w:rPr>
  </w:style>
  <w:style w:type="paragraph" w:customStyle="1" w:styleId="xl68">
    <w:name w:val="xl68"/>
    <w:basedOn w:val="Normal"/>
    <w:rsid w:val="00A8492A"/>
    <w:pPr>
      <w:pBdr>
        <w:top w:val="single" w:sz="4" w:space="0" w:color="8EA9DB"/>
      </w:pBdr>
      <w:shd w:val="clear" w:color="D9E1F2" w:fill="D9E1F2"/>
      <w:spacing w:before="100" w:beforeAutospacing="1" w:after="100" w:afterAutospacing="1"/>
    </w:pPr>
    <w:rPr>
      <w:rFonts w:asciiTheme="minorHAnsi" w:hAnsiTheme="minorHAnsi" w:cstheme="minorHAnsi"/>
      <w:b/>
      <w:bCs/>
      <w:color w:val="000000"/>
      <w:sz w:val="21"/>
      <w:szCs w:val="21"/>
    </w:rPr>
  </w:style>
  <w:style w:type="paragraph" w:customStyle="1" w:styleId="xl69">
    <w:name w:val="xl69"/>
    <w:basedOn w:val="Normal"/>
    <w:rsid w:val="00A8492A"/>
    <w:pPr>
      <w:pBdr>
        <w:bottom w:val="single" w:sz="4" w:space="0" w:color="8EA9DB"/>
      </w:pBdr>
      <w:shd w:val="clear" w:color="000000" w:fill="D9D9D9"/>
      <w:spacing w:before="100" w:beforeAutospacing="1" w:after="100" w:afterAutospacing="1"/>
    </w:pPr>
    <w:rPr>
      <w:rFonts w:asciiTheme="minorHAnsi" w:hAnsiTheme="minorHAnsi" w:cstheme="minorHAnsi"/>
      <w:b/>
      <w:bCs/>
      <w:color w:val="000000"/>
      <w:sz w:val="21"/>
      <w:szCs w:val="21"/>
    </w:rPr>
  </w:style>
  <w:style w:type="paragraph" w:customStyle="1" w:styleId="xl70">
    <w:name w:val="xl70"/>
    <w:basedOn w:val="Normal"/>
    <w:rsid w:val="00A8492A"/>
    <w:pPr>
      <w:spacing w:before="100" w:beforeAutospacing="1" w:after="100" w:afterAutospacing="1"/>
    </w:pPr>
    <w:rPr>
      <w:rFonts w:asciiTheme="minorHAnsi" w:hAnsiTheme="minorHAnsi" w:cstheme="minorHAnsi"/>
      <w:color w:val="000000"/>
      <w:sz w:val="21"/>
      <w:szCs w:val="21"/>
    </w:rPr>
  </w:style>
  <w:style w:type="paragraph" w:customStyle="1" w:styleId="xl71">
    <w:name w:val="xl71"/>
    <w:basedOn w:val="Normal"/>
    <w:rsid w:val="00A8492A"/>
    <w:pPr>
      <w:spacing w:before="100" w:beforeAutospacing="1" w:after="100" w:afterAutospacing="1"/>
    </w:pPr>
    <w:rPr>
      <w:rFonts w:asciiTheme="minorHAnsi" w:hAnsiTheme="minorHAnsi" w:cstheme="minorHAnsi"/>
      <w:color w:val="000000"/>
      <w:sz w:val="21"/>
      <w:szCs w:val="21"/>
    </w:rPr>
  </w:style>
  <w:style w:type="paragraph" w:customStyle="1" w:styleId="xl72">
    <w:name w:val="xl72"/>
    <w:basedOn w:val="Normal"/>
    <w:rsid w:val="00A8492A"/>
    <w:pPr>
      <w:pBdr>
        <w:bottom w:val="single" w:sz="4" w:space="0" w:color="8EA9DB"/>
      </w:pBdr>
      <w:shd w:val="clear" w:color="D9E1F2" w:fill="D9E1F2"/>
      <w:spacing w:before="100" w:beforeAutospacing="1" w:after="100" w:afterAutospacing="1"/>
    </w:pPr>
    <w:rPr>
      <w:rFonts w:asciiTheme="minorHAnsi" w:hAnsiTheme="minorHAnsi" w:cstheme="minorHAnsi"/>
      <w:b/>
      <w:bCs/>
      <w:color w:val="000000"/>
      <w:sz w:val="21"/>
      <w:szCs w:val="21"/>
    </w:rPr>
  </w:style>
  <w:style w:type="paragraph" w:customStyle="1" w:styleId="xl73">
    <w:name w:val="xl73"/>
    <w:basedOn w:val="Normal"/>
    <w:rsid w:val="00A8492A"/>
    <w:pPr>
      <w:pBdr>
        <w:bottom w:val="single" w:sz="4" w:space="0" w:color="8EA9DB"/>
      </w:pBdr>
      <w:shd w:val="clear" w:color="000000" w:fill="D9D9D9"/>
      <w:spacing w:before="100" w:beforeAutospacing="1" w:after="100" w:afterAutospacing="1"/>
    </w:pPr>
    <w:rPr>
      <w:rFonts w:asciiTheme="minorHAnsi" w:hAnsiTheme="minorHAnsi" w:cstheme="minorHAnsi"/>
      <w:b/>
      <w:bCs/>
      <w:color w:val="000000"/>
      <w:sz w:val="21"/>
      <w:szCs w:val="21"/>
    </w:rPr>
  </w:style>
  <w:style w:type="paragraph" w:customStyle="1" w:styleId="xl74">
    <w:name w:val="xl74"/>
    <w:basedOn w:val="Normal"/>
    <w:rsid w:val="00A8492A"/>
    <w:pPr>
      <w:pBdr>
        <w:top w:val="single" w:sz="4" w:space="0" w:color="8EA9DB"/>
      </w:pBdr>
      <w:shd w:val="clear" w:color="D9E1F2" w:fill="D9E1F2"/>
      <w:spacing w:before="100" w:beforeAutospacing="1" w:after="100" w:afterAutospacing="1"/>
    </w:pPr>
    <w:rPr>
      <w:rFonts w:asciiTheme="minorHAnsi" w:hAnsiTheme="minorHAnsi" w:cstheme="minorHAnsi"/>
      <w:b/>
      <w:bCs/>
      <w:color w:val="000000"/>
      <w:sz w:val="21"/>
      <w:szCs w:val="21"/>
    </w:rPr>
  </w:style>
  <w:style w:type="table" w:styleId="GridTable4">
    <w:name w:val="Grid Table 4"/>
    <w:basedOn w:val="TableNormal"/>
    <w:uiPriority w:val="49"/>
    <w:rsid w:val="00AB0F59"/>
    <w:rPr>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5Char">
    <w:name w:val="Heading 5 Char"/>
    <w:basedOn w:val="DefaultParagraphFont"/>
    <w:link w:val="Heading5"/>
    <w:uiPriority w:val="9"/>
    <w:rsid w:val="00702651"/>
    <w:rPr>
      <w:rFonts w:eastAsia="Times New Roman" w:cstheme="minorHAnsi"/>
      <w:bCs/>
      <w:i/>
      <w:color w:val="2F5496" w:themeColor="accent1" w:themeShade="BF"/>
      <w:sz w:val="21"/>
      <w:szCs w:val="21"/>
    </w:rPr>
  </w:style>
  <w:style w:type="character" w:customStyle="1" w:styleId="Heading6Char">
    <w:name w:val="Heading 6 Char"/>
    <w:basedOn w:val="DefaultParagraphFont"/>
    <w:link w:val="Heading6"/>
    <w:rsid w:val="00702651"/>
    <w:rPr>
      <w:rFonts w:ascii="Times New Roman" w:eastAsia="Times New Roman" w:hAnsi="Times New Roman" w:cs="Times New Roman"/>
      <w:i/>
      <w:sz w:val="36"/>
      <w:szCs w:val="20"/>
    </w:rPr>
  </w:style>
  <w:style w:type="character" w:customStyle="1" w:styleId="Heading7Char">
    <w:name w:val="Heading 7 Char"/>
    <w:basedOn w:val="DefaultParagraphFont"/>
    <w:link w:val="Heading7"/>
    <w:rsid w:val="00702651"/>
    <w:rPr>
      <w:rFonts w:ascii="Times New Roman" w:eastAsia="Times New Roman" w:hAnsi="Times New Roman" w:cs="Times New Roman"/>
      <w:i/>
      <w:sz w:val="36"/>
      <w:szCs w:val="20"/>
    </w:rPr>
  </w:style>
  <w:style w:type="character" w:customStyle="1" w:styleId="Heading8Char">
    <w:name w:val="Heading 8 Char"/>
    <w:basedOn w:val="DefaultParagraphFont"/>
    <w:link w:val="Heading8"/>
    <w:rsid w:val="00702651"/>
    <w:rPr>
      <w:rFonts w:ascii="Times New Roman" w:eastAsia="Times New Roman" w:hAnsi="Times New Roman" w:cs="Times New Roman"/>
      <w:b/>
      <w:szCs w:val="20"/>
    </w:rPr>
  </w:style>
  <w:style w:type="character" w:customStyle="1" w:styleId="Heading9Char">
    <w:name w:val="Heading 9 Char"/>
    <w:basedOn w:val="DefaultParagraphFont"/>
    <w:link w:val="Heading9"/>
    <w:rsid w:val="00702651"/>
    <w:rPr>
      <w:rFonts w:ascii="Arial" w:eastAsia="Times New Roman" w:hAnsi="Arial" w:cs="Times New Roman"/>
      <w:sz w:val="22"/>
      <w:szCs w:val="20"/>
    </w:rPr>
  </w:style>
  <w:style w:type="table" w:styleId="ListTable6Colorful">
    <w:name w:val="List Table 6 Colorful"/>
    <w:basedOn w:val="TableNormal"/>
    <w:uiPriority w:val="51"/>
    <w:rsid w:val="008A55E2"/>
    <w:rPr>
      <w:color w:val="000000" w:themeColor="text1"/>
      <w:sz w:val="22"/>
      <w:szCs w:val="22"/>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
    <w:name w:val="List Table 3"/>
    <w:basedOn w:val="TableNormal"/>
    <w:uiPriority w:val="48"/>
    <w:rsid w:val="00F750E8"/>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xmsonormal">
    <w:name w:val="x_msonormal"/>
    <w:basedOn w:val="Normal"/>
    <w:rsid w:val="008F5AA5"/>
    <w:rPr>
      <w:rFonts w:ascii="Calibri" w:eastAsiaTheme="minorHAnsi" w:hAnsi="Calibri" w:cs="Calibri"/>
      <w:sz w:val="22"/>
      <w:szCs w:val="22"/>
      <w:lang w:eastAsia="en-AU"/>
    </w:rPr>
  </w:style>
  <w:style w:type="character" w:styleId="PlaceholderText">
    <w:name w:val="Placeholder Text"/>
    <w:basedOn w:val="DefaultParagraphFont"/>
    <w:uiPriority w:val="99"/>
    <w:semiHidden/>
    <w:rsid w:val="0089294D"/>
    <w:rPr>
      <w:color w:val="808080"/>
    </w:rPr>
  </w:style>
  <w:style w:type="paragraph" w:customStyle="1" w:styleId="pf0">
    <w:name w:val="pf0"/>
    <w:basedOn w:val="Normal"/>
    <w:rsid w:val="00266F57"/>
    <w:pPr>
      <w:spacing w:before="100" w:beforeAutospacing="1" w:after="100" w:afterAutospacing="1"/>
    </w:pPr>
    <w:rPr>
      <w:lang w:eastAsia="en-AU"/>
    </w:rPr>
  </w:style>
  <w:style w:type="character" w:customStyle="1" w:styleId="cf01">
    <w:name w:val="cf01"/>
    <w:basedOn w:val="DefaultParagraphFont"/>
    <w:rsid w:val="00266F57"/>
    <w:rPr>
      <w:rFonts w:ascii="Segoe UI" w:hAnsi="Segoe UI" w:cs="Segoe UI" w:hint="default"/>
      <w:sz w:val="18"/>
      <w:szCs w:val="18"/>
    </w:rPr>
  </w:style>
  <w:style w:type="paragraph" w:styleId="Caption">
    <w:name w:val="caption"/>
    <w:basedOn w:val="Normal"/>
    <w:next w:val="Normal"/>
    <w:uiPriority w:val="35"/>
    <w:unhideWhenUsed/>
    <w:qFormat/>
    <w:rsid w:val="00AF1DAE"/>
    <w:rPr>
      <w:rFonts w:asciiTheme="minorHAnsi" w:hAnsiTheme="minorHAnsi" w:cstheme="minorHAnsi"/>
      <w:i/>
      <w:iCs/>
      <w:color w:val="44546A" w:themeColor="text2"/>
      <w:sz w:val="18"/>
      <w:szCs w:val="18"/>
    </w:rPr>
  </w:style>
  <w:style w:type="table" w:customStyle="1" w:styleId="PlainTable41">
    <w:name w:val="Plain Table 41"/>
    <w:basedOn w:val="TableNormal"/>
    <w:uiPriority w:val="44"/>
    <w:rsid w:val="00AF1DAE"/>
    <w:rPr>
      <w:sz w:val="22"/>
      <w:szCs w:val="22"/>
    </w:rPr>
    <w:tblPr>
      <w:tblStyleRowBandSize w:val="1"/>
      <w:tblStyleColBandSize w:val="1"/>
      <w:tblInd w:w="0" w:type="nil"/>
      <w:tblBorders>
        <w:top w:val="single" w:sz="4" w:space="0" w:color="BFBFBF" w:themeColor="background1" w:themeShade="BF"/>
        <w:bottom w:val="single" w:sz="4" w:space="0" w:color="BFBFBF" w:themeColor="background1" w:themeShade="BF"/>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D9D9D9" w:themeFill="background1" w:themeFillShade="D9"/>
      </w:tcPr>
    </w:tblStylePr>
  </w:style>
  <w:style w:type="table" w:customStyle="1" w:styleId="TableGrid1">
    <w:name w:val="Table Grid1"/>
    <w:basedOn w:val="TableNormal"/>
    <w:next w:val="TableGrid"/>
    <w:uiPriority w:val="59"/>
    <w:rsid w:val="003774AF"/>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qFormat/>
    <w:rsid w:val="00484E39"/>
    <w:pPr>
      <w:spacing w:before="60" w:after="60"/>
    </w:pPr>
    <w:rPr>
      <w:rFonts w:eastAsiaTheme="minorHAnsi" w:cstheme="minorBidi"/>
      <w:sz w:val="20"/>
      <w:szCs w:val="22"/>
      <w:lang w:val="en-GB" w:eastAsia="en-US"/>
    </w:rPr>
  </w:style>
  <w:style w:type="paragraph" w:customStyle="1" w:styleId="TableText0">
    <w:name w:val="TableText"/>
    <w:basedOn w:val="Normal"/>
    <w:link w:val="TableTextChar"/>
    <w:qFormat/>
    <w:rsid w:val="00484E39"/>
    <w:pPr>
      <w:suppressAutoHyphens/>
    </w:pPr>
    <w:rPr>
      <w:color w:val="000000"/>
      <w:sz w:val="16"/>
      <w:szCs w:val="16"/>
      <w:shd w:val="clear" w:color="auto" w:fill="FFFFFF"/>
      <w:lang w:eastAsia="en-AU"/>
    </w:rPr>
  </w:style>
  <w:style w:type="character" w:customStyle="1" w:styleId="TableTextChar">
    <w:name w:val="TableText Char"/>
    <w:link w:val="TableText0"/>
    <w:rsid w:val="00484E39"/>
    <w:rPr>
      <w:rFonts w:ascii="Times New Roman" w:eastAsia="Times New Roman" w:hAnsi="Times New Roman" w:cs="Times New Roman"/>
      <w:color w:val="000000"/>
      <w:sz w:val="16"/>
      <w:szCs w:val="16"/>
      <w:lang w:eastAsia="en-AU"/>
    </w:rPr>
  </w:style>
  <w:style w:type="paragraph" w:styleId="Title">
    <w:name w:val="Title"/>
    <w:basedOn w:val="Normal"/>
    <w:next w:val="Normal"/>
    <w:link w:val="TitleChar"/>
    <w:uiPriority w:val="10"/>
    <w:qFormat/>
    <w:rsid w:val="00484E39"/>
    <w:pPr>
      <w:contextualSpacing/>
    </w:pPr>
    <w:rPr>
      <w:rFonts w:eastAsiaTheme="majorEastAsia" w:cstheme="majorBidi"/>
      <w:b/>
      <w:spacing w:val="-10"/>
      <w:kern w:val="28"/>
      <w:szCs w:val="56"/>
      <w:lang w:val="en-GB" w:eastAsia="en-US"/>
    </w:rPr>
  </w:style>
  <w:style w:type="character" w:customStyle="1" w:styleId="TitleChar">
    <w:name w:val="Title Char"/>
    <w:basedOn w:val="DefaultParagraphFont"/>
    <w:link w:val="Title"/>
    <w:uiPriority w:val="10"/>
    <w:rsid w:val="00484E39"/>
    <w:rPr>
      <w:rFonts w:ascii="Times New Roman" w:eastAsiaTheme="majorEastAsia" w:hAnsi="Times New Roman" w:cstheme="majorBidi"/>
      <w:b/>
      <w:spacing w:val="-10"/>
      <w:kern w:val="28"/>
      <w:szCs w:val="56"/>
      <w:lang w:val="en-GB"/>
    </w:rPr>
  </w:style>
  <w:style w:type="character" w:styleId="Strong">
    <w:name w:val="Strong"/>
    <w:uiPriority w:val="22"/>
    <w:qFormat/>
    <w:rsid w:val="00484E39"/>
    <w:rPr>
      <w:b/>
      <w:bCs/>
    </w:rPr>
  </w:style>
  <w:style w:type="character" w:styleId="Emphasis">
    <w:name w:val="Emphasis"/>
    <w:basedOn w:val="DefaultParagraphFont"/>
    <w:uiPriority w:val="20"/>
    <w:qFormat/>
    <w:rsid w:val="00484E39"/>
    <w:rPr>
      <w:i/>
      <w:iCs/>
    </w:rPr>
  </w:style>
  <w:style w:type="paragraph" w:styleId="Quote">
    <w:name w:val="Quote"/>
    <w:basedOn w:val="Normal"/>
    <w:next w:val="Normal"/>
    <w:link w:val="QuoteChar"/>
    <w:uiPriority w:val="29"/>
    <w:qFormat/>
    <w:rsid w:val="00484E39"/>
    <w:pPr>
      <w:suppressAutoHyphens/>
      <w:spacing w:before="120" w:after="120" w:line="360" w:lineRule="auto"/>
      <w:jc w:val="both"/>
    </w:pPr>
    <w:rPr>
      <w:i/>
      <w:iCs/>
      <w:color w:val="000000"/>
      <w:shd w:val="clear" w:color="auto" w:fill="FFFFFF"/>
      <w:lang w:eastAsia="en-AU"/>
    </w:rPr>
  </w:style>
  <w:style w:type="character" w:customStyle="1" w:styleId="QuoteChar">
    <w:name w:val="Quote Char"/>
    <w:basedOn w:val="DefaultParagraphFont"/>
    <w:link w:val="Quote"/>
    <w:uiPriority w:val="29"/>
    <w:rsid w:val="00484E39"/>
    <w:rPr>
      <w:rFonts w:ascii="Times New Roman" w:eastAsia="Times New Roman" w:hAnsi="Times New Roman" w:cs="Times New Roman"/>
      <w:i/>
      <w:iCs/>
      <w:color w:val="000000"/>
      <w:lang w:eastAsia="en-AU"/>
    </w:rPr>
  </w:style>
  <w:style w:type="character" w:customStyle="1" w:styleId="pagebreaktextspan">
    <w:name w:val="pagebreaktextspan"/>
    <w:basedOn w:val="DefaultParagraphFont"/>
    <w:rsid w:val="00484E39"/>
  </w:style>
  <w:style w:type="table" w:styleId="LightList">
    <w:name w:val="Light List"/>
    <w:basedOn w:val="TableNormal"/>
    <w:uiPriority w:val="61"/>
    <w:rsid w:val="00484E39"/>
    <w:rPr>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Subtitle">
    <w:name w:val="Subtitle"/>
    <w:basedOn w:val="Normal"/>
    <w:next w:val="Normal"/>
    <w:link w:val="SubtitleChar"/>
    <w:uiPriority w:val="11"/>
    <w:qFormat/>
    <w:rsid w:val="00484E39"/>
    <w:pPr>
      <w:numPr>
        <w:ilvl w:val="1"/>
      </w:numPr>
      <w:spacing w:line="276" w:lineRule="auto"/>
    </w:pPr>
    <w:rPr>
      <w:rFonts w:asciiTheme="majorHAnsi" w:eastAsiaTheme="majorEastAsia" w:hAnsiTheme="majorHAnsi" w:cstheme="majorBidi"/>
      <w:i/>
      <w:iCs/>
      <w:color w:val="4472C4" w:themeColor="accent1"/>
      <w:spacing w:val="15"/>
      <w:lang w:eastAsia="en-US"/>
    </w:rPr>
  </w:style>
  <w:style w:type="character" w:customStyle="1" w:styleId="SubtitleChar">
    <w:name w:val="Subtitle Char"/>
    <w:basedOn w:val="DefaultParagraphFont"/>
    <w:link w:val="Subtitle"/>
    <w:uiPriority w:val="11"/>
    <w:rsid w:val="00484E39"/>
    <w:rPr>
      <w:rFonts w:asciiTheme="majorHAnsi" w:eastAsiaTheme="majorEastAsia" w:hAnsiTheme="majorHAnsi" w:cstheme="majorBidi"/>
      <w:i/>
      <w:iCs/>
      <w:color w:val="4472C4" w:themeColor="accent1"/>
      <w:spacing w:val="15"/>
    </w:rPr>
  </w:style>
  <w:style w:type="character" w:styleId="IntenseEmphasis">
    <w:name w:val="Intense Emphasis"/>
    <w:basedOn w:val="DefaultParagraphFont"/>
    <w:uiPriority w:val="21"/>
    <w:qFormat/>
    <w:rsid w:val="00484E39"/>
    <w:rPr>
      <w:b/>
      <w:bCs/>
      <w:i/>
      <w:iCs/>
      <w:color w:val="4472C4" w:themeColor="accent1"/>
    </w:rPr>
  </w:style>
  <w:style w:type="character" w:customStyle="1" w:styleId="textrun">
    <w:name w:val="textrun"/>
    <w:basedOn w:val="DefaultParagraphFont"/>
    <w:rsid w:val="00484E39"/>
  </w:style>
  <w:style w:type="paragraph" w:customStyle="1" w:styleId="outlineelement">
    <w:name w:val="outlineelement"/>
    <w:basedOn w:val="Normal"/>
    <w:rsid w:val="00484E39"/>
    <w:pPr>
      <w:spacing w:before="100" w:beforeAutospacing="1" w:after="100" w:afterAutospacing="1"/>
    </w:pPr>
    <w:rPr>
      <w:lang w:val="en-US" w:eastAsia="en-US"/>
    </w:rPr>
  </w:style>
  <w:style w:type="character" w:customStyle="1" w:styleId="pagebreakblob">
    <w:name w:val="pagebreakblob"/>
    <w:basedOn w:val="DefaultParagraphFont"/>
    <w:rsid w:val="00484E39"/>
  </w:style>
  <w:style w:type="character" w:customStyle="1" w:styleId="pagebreakborderspan">
    <w:name w:val="pagebreakborderspan"/>
    <w:basedOn w:val="DefaultParagraphFont"/>
    <w:rsid w:val="00484E39"/>
  </w:style>
  <w:style w:type="character" w:customStyle="1" w:styleId="tabrun">
    <w:name w:val="tabrun"/>
    <w:basedOn w:val="DefaultParagraphFont"/>
    <w:rsid w:val="00484E39"/>
  </w:style>
  <w:style w:type="character" w:customStyle="1" w:styleId="tabchar">
    <w:name w:val="tabchar"/>
    <w:basedOn w:val="DefaultParagraphFont"/>
    <w:rsid w:val="00484E39"/>
  </w:style>
  <w:style w:type="character" w:customStyle="1" w:styleId="tableaderchars">
    <w:name w:val="tableaderchars"/>
    <w:basedOn w:val="DefaultParagraphFont"/>
    <w:rsid w:val="00484E39"/>
  </w:style>
  <w:style w:type="table" w:customStyle="1" w:styleId="TableGrid2">
    <w:name w:val="Table Grid2"/>
    <w:basedOn w:val="TableNormal"/>
    <w:next w:val="TableGrid"/>
    <w:uiPriority w:val="39"/>
    <w:rsid w:val="00484E39"/>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1">
    <w:name w:val="Light List1"/>
    <w:basedOn w:val="TableNormal"/>
    <w:next w:val="LightList"/>
    <w:uiPriority w:val="61"/>
    <w:rsid w:val="00484E39"/>
    <w:rPr>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FootnoteText">
    <w:name w:val="footnote text"/>
    <w:basedOn w:val="Normal"/>
    <w:link w:val="FootnoteTextChar"/>
    <w:uiPriority w:val="99"/>
    <w:semiHidden/>
    <w:unhideWhenUsed/>
    <w:rsid w:val="00484E39"/>
    <w:rPr>
      <w:sz w:val="20"/>
      <w:szCs w:val="20"/>
    </w:rPr>
  </w:style>
  <w:style w:type="character" w:customStyle="1" w:styleId="FootnoteTextChar">
    <w:name w:val="Footnote Text Char"/>
    <w:basedOn w:val="DefaultParagraphFont"/>
    <w:link w:val="FootnoteText"/>
    <w:uiPriority w:val="99"/>
    <w:semiHidden/>
    <w:rsid w:val="00484E39"/>
    <w:rPr>
      <w:rFonts w:ascii="Times New Roman" w:eastAsia="Times New Roman" w:hAnsi="Times New Roman" w:cs="Times New Roman"/>
      <w:sz w:val="20"/>
      <w:szCs w:val="20"/>
      <w:lang w:eastAsia="en-GB"/>
    </w:rPr>
  </w:style>
  <w:style w:type="character" w:styleId="FootnoteReference">
    <w:name w:val="footnote reference"/>
    <w:basedOn w:val="DefaultParagraphFont"/>
    <w:uiPriority w:val="99"/>
    <w:semiHidden/>
    <w:unhideWhenUsed/>
    <w:rsid w:val="00484E39"/>
    <w:rPr>
      <w:vertAlign w:val="superscript"/>
    </w:rPr>
  </w:style>
  <w:style w:type="paragraph" w:customStyle="1" w:styleId="elementtoproof">
    <w:name w:val="elementtoproof"/>
    <w:basedOn w:val="Normal"/>
    <w:rsid w:val="00284F84"/>
    <w:pPr>
      <w:spacing w:before="100" w:beforeAutospacing="1" w:after="100" w:afterAutospacing="1"/>
    </w:pPr>
  </w:style>
  <w:style w:type="table" w:customStyle="1" w:styleId="PlainTable411">
    <w:name w:val="Plain Table 411"/>
    <w:basedOn w:val="TableNormal"/>
    <w:uiPriority w:val="44"/>
    <w:rsid w:val="00A00873"/>
    <w:pPr>
      <w:spacing w:after="0"/>
    </w:pPr>
    <w:rPr>
      <w:sz w:val="22"/>
      <w:szCs w:val="22"/>
    </w:rPr>
    <w:tblPr>
      <w:tblStyleRowBandSize w:val="1"/>
      <w:tblStyleColBandSize w:val="1"/>
      <w:tblInd w:w="0" w:type="nil"/>
      <w:tblBorders>
        <w:top w:val="single" w:sz="4" w:space="0" w:color="BFBFBF" w:themeColor="background1" w:themeShade="BF"/>
        <w:bottom w:val="single" w:sz="4" w:space="0" w:color="BFBFBF" w:themeColor="background1" w:themeShade="BF"/>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D9D9D9" w:themeFill="background1" w:themeFillShade="D9"/>
      </w:tcPr>
    </w:tblStylePr>
  </w:style>
  <w:style w:type="character" w:customStyle="1" w:styleId="highwire-citation-authors">
    <w:name w:val="highwire-citation-authors"/>
    <w:basedOn w:val="DefaultParagraphFont"/>
    <w:rsid w:val="00A00873"/>
  </w:style>
  <w:style w:type="character" w:customStyle="1" w:styleId="highwire-citation-author">
    <w:name w:val="highwire-citation-author"/>
    <w:basedOn w:val="DefaultParagraphFont"/>
    <w:rsid w:val="00A00873"/>
  </w:style>
  <w:style w:type="character" w:customStyle="1" w:styleId="highwire-cite-metadata-journal">
    <w:name w:val="highwire-cite-metadata-journal"/>
    <w:basedOn w:val="DefaultParagraphFont"/>
    <w:rsid w:val="00A00873"/>
  </w:style>
  <w:style w:type="character" w:customStyle="1" w:styleId="highwire-cite-metadata-date">
    <w:name w:val="highwire-cite-metadata-date"/>
    <w:basedOn w:val="DefaultParagraphFont"/>
    <w:rsid w:val="00A00873"/>
  </w:style>
  <w:style w:type="character" w:customStyle="1" w:styleId="highwire-cite-metadata-volume">
    <w:name w:val="highwire-cite-metadata-volume"/>
    <w:basedOn w:val="DefaultParagraphFont"/>
    <w:rsid w:val="00A00873"/>
  </w:style>
  <w:style w:type="character" w:customStyle="1" w:styleId="highwire-cite-metadata-issue">
    <w:name w:val="highwire-cite-metadata-issue"/>
    <w:basedOn w:val="DefaultParagraphFont"/>
    <w:rsid w:val="00A00873"/>
  </w:style>
  <w:style w:type="character" w:customStyle="1" w:styleId="highwire-cite-metadata-pages">
    <w:name w:val="highwire-cite-metadata-pages"/>
    <w:basedOn w:val="DefaultParagraphFont"/>
    <w:rsid w:val="00A00873"/>
  </w:style>
  <w:style w:type="character" w:customStyle="1" w:styleId="highwire-cite-metadata-doi">
    <w:name w:val="highwire-cite-metadata-doi"/>
    <w:basedOn w:val="DefaultParagraphFont"/>
    <w:rsid w:val="00A00873"/>
  </w:style>
  <w:style w:type="character" w:customStyle="1" w:styleId="label">
    <w:name w:val="label"/>
    <w:basedOn w:val="DefaultParagraphFont"/>
    <w:rsid w:val="00A00873"/>
  </w:style>
  <w:style w:type="character" w:customStyle="1" w:styleId="spellingerrorsuperscript">
    <w:name w:val="spellingerrorsuperscript"/>
    <w:basedOn w:val="DefaultParagraphFont"/>
    <w:rsid w:val="007D175D"/>
  </w:style>
  <w:style w:type="table" w:customStyle="1" w:styleId="TableGrid3">
    <w:name w:val="Table Grid3"/>
    <w:basedOn w:val="TableNormal"/>
    <w:next w:val="TableGrid"/>
    <w:uiPriority w:val="59"/>
    <w:rsid w:val="00692F44"/>
    <w:pPr>
      <w:spacing w:after="0"/>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692F44"/>
    <w:pPr>
      <w:spacing w:after="0"/>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DMHSNormal">
    <w:name w:val="SDMHS_Normal"/>
    <w:basedOn w:val="ANorm"/>
    <w:link w:val="SDMHSNormalChar"/>
    <w:qFormat/>
    <w:rsid w:val="00692F44"/>
  </w:style>
  <w:style w:type="character" w:customStyle="1" w:styleId="SDMHSNormalChar">
    <w:name w:val="SDMHS_Normal Char"/>
    <w:basedOn w:val="ANormChar"/>
    <w:link w:val="SDMHSNormal"/>
    <w:rsid w:val="00692F44"/>
    <w:rPr>
      <w:rFonts w:ascii="Calibri" w:eastAsia="Times New Roman" w:hAnsi="Calibri" w:cs="Arial"/>
      <w:color w:val="000000" w:themeColor="text1"/>
      <w:sz w:val="21"/>
      <w:szCs w:val="21"/>
      <w:lang w:eastAsia="en-GB"/>
    </w:rPr>
  </w:style>
  <w:style w:type="table" w:customStyle="1" w:styleId="GridTable42">
    <w:name w:val="Grid Table 42"/>
    <w:basedOn w:val="TableNormal"/>
    <w:next w:val="GridTable4"/>
    <w:uiPriority w:val="49"/>
    <w:rsid w:val="00692F44"/>
    <w:pPr>
      <w:spacing w:after="0"/>
    </w:pPr>
    <w:rPr>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ghtList2">
    <w:name w:val="Light List2"/>
    <w:basedOn w:val="TableNormal"/>
    <w:next w:val="LightList"/>
    <w:uiPriority w:val="61"/>
    <w:rsid w:val="00692F44"/>
    <w:pPr>
      <w:spacing w:after="0"/>
    </w:pPr>
    <w:rPr>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411">
    <w:name w:val="Grid Table 411"/>
    <w:basedOn w:val="TableNormal"/>
    <w:uiPriority w:val="49"/>
    <w:rsid w:val="00F6075C"/>
    <w:pPr>
      <w:spacing w:after="0"/>
    </w:pPr>
    <w:rPr>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20">
    <w:name w:val="Unresolved Mention2"/>
    <w:basedOn w:val="DefaultParagraphFont"/>
    <w:uiPriority w:val="99"/>
    <w:unhideWhenUsed/>
    <w:rsid w:val="00F6075C"/>
    <w:rPr>
      <w:color w:val="605E5C"/>
      <w:shd w:val="clear" w:color="auto" w:fill="E1DFDD"/>
    </w:rPr>
  </w:style>
  <w:style w:type="table" w:customStyle="1" w:styleId="TableGrid4">
    <w:name w:val="Table Grid4"/>
    <w:basedOn w:val="TableNormal"/>
    <w:next w:val="TableGrid"/>
    <w:uiPriority w:val="39"/>
    <w:rsid w:val="00F6075C"/>
    <w:pPr>
      <w:spacing w:after="0"/>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3">
    <w:name w:val="Grid Table 43"/>
    <w:basedOn w:val="TableNormal"/>
    <w:next w:val="GridTable4"/>
    <w:uiPriority w:val="49"/>
    <w:rsid w:val="00F6075C"/>
    <w:pPr>
      <w:spacing w:after="0"/>
    </w:pPr>
    <w:rPr>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6Colourful1">
    <w:name w:val="List Table 6 Colourful1"/>
    <w:basedOn w:val="TableNormal"/>
    <w:next w:val="ListTable6Colorful"/>
    <w:uiPriority w:val="51"/>
    <w:rsid w:val="00F6075C"/>
    <w:pPr>
      <w:spacing w:after="0"/>
    </w:pPr>
    <w:rPr>
      <w:color w:val="000000" w:themeColor="text1"/>
      <w:sz w:val="22"/>
      <w:szCs w:val="22"/>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31">
    <w:name w:val="List Table 31"/>
    <w:basedOn w:val="TableNormal"/>
    <w:next w:val="ListTable3"/>
    <w:uiPriority w:val="48"/>
    <w:rsid w:val="00F6075C"/>
    <w:pPr>
      <w:spacing w:after="0"/>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PlainTable412">
    <w:name w:val="Plain Table 412"/>
    <w:basedOn w:val="TableNormal"/>
    <w:uiPriority w:val="44"/>
    <w:rsid w:val="00F6075C"/>
    <w:pPr>
      <w:spacing w:after="0"/>
    </w:pPr>
    <w:rPr>
      <w:sz w:val="22"/>
      <w:szCs w:val="22"/>
    </w:rPr>
    <w:tblPr>
      <w:tblStyleRowBandSize w:val="1"/>
      <w:tblStyleColBandSize w:val="1"/>
      <w:tblInd w:w="0" w:type="nil"/>
      <w:tblBorders>
        <w:top w:val="single" w:sz="4" w:space="0" w:color="BFBFBF" w:themeColor="background1" w:themeShade="BF"/>
        <w:bottom w:val="single" w:sz="4" w:space="0" w:color="BFBFBF" w:themeColor="background1" w:themeShade="BF"/>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D9D9D9" w:themeFill="background1" w:themeFillShade="D9"/>
      </w:tcPr>
    </w:tblStylePr>
  </w:style>
  <w:style w:type="table" w:customStyle="1" w:styleId="TableGrid12">
    <w:name w:val="Table Grid12"/>
    <w:basedOn w:val="TableNormal"/>
    <w:next w:val="TableGrid"/>
    <w:uiPriority w:val="59"/>
    <w:rsid w:val="00F6075C"/>
    <w:pPr>
      <w:spacing w:after="0"/>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3">
    <w:name w:val="Light List3"/>
    <w:basedOn w:val="TableNormal"/>
    <w:next w:val="LightList"/>
    <w:uiPriority w:val="61"/>
    <w:rsid w:val="00F6075C"/>
    <w:pPr>
      <w:spacing w:after="0"/>
    </w:pPr>
    <w:rPr>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Grid21">
    <w:name w:val="Table Grid21"/>
    <w:basedOn w:val="TableNormal"/>
    <w:next w:val="TableGrid"/>
    <w:uiPriority w:val="39"/>
    <w:rsid w:val="00F6075C"/>
    <w:pPr>
      <w:spacing w:after="0"/>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11">
    <w:name w:val="Light List11"/>
    <w:basedOn w:val="TableNormal"/>
    <w:next w:val="LightList"/>
    <w:uiPriority w:val="61"/>
    <w:rsid w:val="00F6075C"/>
    <w:pPr>
      <w:spacing w:after="0"/>
    </w:pPr>
    <w:rPr>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412">
    <w:name w:val="Grid Table 412"/>
    <w:basedOn w:val="TableNormal"/>
    <w:uiPriority w:val="49"/>
    <w:rsid w:val="00C22FE0"/>
    <w:pPr>
      <w:spacing w:after="0"/>
    </w:pPr>
    <w:rPr>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5">
    <w:name w:val="Table Grid5"/>
    <w:basedOn w:val="TableNormal"/>
    <w:next w:val="TableGrid"/>
    <w:uiPriority w:val="39"/>
    <w:rsid w:val="00C22FE0"/>
    <w:pPr>
      <w:spacing w:after="0"/>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4">
    <w:name w:val="Grid Table 44"/>
    <w:basedOn w:val="TableNormal"/>
    <w:next w:val="GridTable4"/>
    <w:uiPriority w:val="49"/>
    <w:rsid w:val="00C22FE0"/>
    <w:pPr>
      <w:spacing w:after="0"/>
    </w:pPr>
    <w:rPr>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6Colourful2">
    <w:name w:val="List Table 6 Colourful2"/>
    <w:basedOn w:val="TableNormal"/>
    <w:next w:val="ListTable6Colorful"/>
    <w:uiPriority w:val="51"/>
    <w:rsid w:val="00C22FE0"/>
    <w:pPr>
      <w:spacing w:after="0"/>
    </w:pPr>
    <w:rPr>
      <w:color w:val="000000" w:themeColor="text1"/>
      <w:sz w:val="22"/>
      <w:szCs w:val="22"/>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32">
    <w:name w:val="List Table 32"/>
    <w:basedOn w:val="TableNormal"/>
    <w:next w:val="ListTable3"/>
    <w:uiPriority w:val="48"/>
    <w:rsid w:val="00C22FE0"/>
    <w:pPr>
      <w:spacing w:after="0"/>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PlainTable413">
    <w:name w:val="Plain Table 413"/>
    <w:basedOn w:val="TableNormal"/>
    <w:uiPriority w:val="44"/>
    <w:rsid w:val="00C22FE0"/>
    <w:pPr>
      <w:spacing w:after="0"/>
    </w:pPr>
    <w:rPr>
      <w:sz w:val="22"/>
      <w:szCs w:val="22"/>
    </w:rPr>
    <w:tblPr>
      <w:tblStyleRowBandSize w:val="1"/>
      <w:tblStyleColBandSize w:val="1"/>
      <w:tblInd w:w="0" w:type="nil"/>
      <w:tblBorders>
        <w:top w:val="single" w:sz="4" w:space="0" w:color="BFBFBF" w:themeColor="background1" w:themeShade="BF"/>
        <w:bottom w:val="single" w:sz="4" w:space="0" w:color="BFBFBF" w:themeColor="background1" w:themeShade="BF"/>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D9D9D9" w:themeFill="background1" w:themeFillShade="D9"/>
      </w:tcPr>
    </w:tblStylePr>
  </w:style>
  <w:style w:type="table" w:customStyle="1" w:styleId="TableGrid13">
    <w:name w:val="Table Grid13"/>
    <w:basedOn w:val="TableNormal"/>
    <w:next w:val="TableGrid"/>
    <w:uiPriority w:val="59"/>
    <w:rsid w:val="00C22FE0"/>
    <w:pPr>
      <w:spacing w:after="0"/>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4">
    <w:name w:val="Light List4"/>
    <w:basedOn w:val="TableNormal"/>
    <w:next w:val="LightList"/>
    <w:uiPriority w:val="61"/>
    <w:rsid w:val="00C22FE0"/>
    <w:pPr>
      <w:spacing w:after="0"/>
    </w:pPr>
    <w:rPr>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Grid22">
    <w:name w:val="Table Grid22"/>
    <w:basedOn w:val="TableNormal"/>
    <w:next w:val="TableGrid"/>
    <w:uiPriority w:val="39"/>
    <w:rsid w:val="00C22FE0"/>
    <w:pPr>
      <w:spacing w:after="0"/>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12">
    <w:name w:val="Light List12"/>
    <w:basedOn w:val="TableNormal"/>
    <w:next w:val="LightList"/>
    <w:uiPriority w:val="61"/>
    <w:rsid w:val="00C22FE0"/>
    <w:pPr>
      <w:spacing w:after="0"/>
    </w:pPr>
    <w:rPr>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UnresolvedMention200">
    <w:name w:val="Unresolved Mention20"/>
    <w:basedOn w:val="DefaultParagraphFont"/>
    <w:uiPriority w:val="99"/>
    <w:unhideWhenUsed/>
    <w:rsid w:val="007C1D2A"/>
    <w:rPr>
      <w:color w:val="605E5C"/>
      <w:shd w:val="clear" w:color="auto" w:fill="E1DFDD"/>
    </w:rPr>
  </w:style>
  <w:style w:type="character" w:customStyle="1" w:styleId="UnresolvedMention2000">
    <w:name w:val="Unresolved Mention200"/>
    <w:basedOn w:val="DefaultParagraphFont"/>
    <w:uiPriority w:val="99"/>
    <w:unhideWhenUsed/>
    <w:rsid w:val="008E7F21"/>
    <w:rPr>
      <w:color w:val="605E5C"/>
      <w:shd w:val="clear" w:color="auto" w:fill="E1DFDD"/>
    </w:rPr>
  </w:style>
  <w:style w:type="character" w:customStyle="1" w:styleId="UnresolvedMention20000">
    <w:name w:val="Unresolved Mention2000"/>
    <w:basedOn w:val="DefaultParagraphFont"/>
    <w:uiPriority w:val="99"/>
    <w:unhideWhenUsed/>
    <w:rsid w:val="00045050"/>
    <w:rPr>
      <w:color w:val="605E5C"/>
      <w:shd w:val="clear" w:color="auto" w:fill="E1DFDD"/>
    </w:rPr>
  </w:style>
  <w:style w:type="character" w:customStyle="1" w:styleId="UnresolvedMention200000">
    <w:name w:val="Unresolved Mention20000"/>
    <w:basedOn w:val="DefaultParagraphFont"/>
    <w:uiPriority w:val="99"/>
    <w:unhideWhenUsed/>
    <w:rsid w:val="00424871"/>
    <w:rPr>
      <w:color w:val="605E5C"/>
      <w:shd w:val="clear" w:color="auto" w:fill="E1DFDD"/>
    </w:rPr>
  </w:style>
  <w:style w:type="table" w:customStyle="1" w:styleId="TableGrid6">
    <w:name w:val="Table Grid6"/>
    <w:basedOn w:val="TableNormal"/>
    <w:next w:val="TableGrid"/>
    <w:uiPriority w:val="39"/>
    <w:rsid w:val="00D967CD"/>
    <w:pPr>
      <w:spacing w:after="0"/>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orm0">
    <w:name w:val="anorm"/>
    <w:basedOn w:val="Normal"/>
    <w:rsid w:val="00D967CD"/>
    <w:pPr>
      <w:spacing w:before="100" w:beforeAutospacing="1" w:after="100" w:afterAutospacing="1"/>
    </w:pPr>
  </w:style>
  <w:style w:type="character" w:customStyle="1" w:styleId="UnresolvedMention2000000">
    <w:name w:val="Unresolved Mention200000"/>
    <w:basedOn w:val="DefaultParagraphFont"/>
    <w:uiPriority w:val="99"/>
    <w:unhideWhenUsed/>
    <w:rsid w:val="00D967CD"/>
    <w:rPr>
      <w:color w:val="605E5C"/>
      <w:shd w:val="clear" w:color="auto" w:fill="E1DFDD"/>
    </w:rPr>
  </w:style>
  <w:style w:type="character" w:customStyle="1" w:styleId="UnresolvedMention20000000">
    <w:name w:val="Unresolved Mention2000000"/>
    <w:basedOn w:val="DefaultParagraphFont"/>
    <w:uiPriority w:val="99"/>
    <w:semiHidden/>
    <w:unhideWhenUsed/>
    <w:rsid w:val="00D861E4"/>
    <w:rPr>
      <w:color w:val="605E5C"/>
      <w:shd w:val="clear" w:color="auto" w:fill="E1DFDD"/>
    </w:rPr>
  </w:style>
  <w:style w:type="character" w:customStyle="1" w:styleId="UnresolvedMention3">
    <w:name w:val="Unresolved Mention3"/>
    <w:basedOn w:val="DefaultParagraphFont"/>
    <w:uiPriority w:val="99"/>
    <w:semiHidden/>
    <w:unhideWhenUsed/>
    <w:rsid w:val="003925BA"/>
    <w:rPr>
      <w:color w:val="605E5C"/>
      <w:shd w:val="clear" w:color="auto" w:fill="E1DFDD"/>
    </w:rPr>
  </w:style>
  <w:style w:type="character" w:customStyle="1" w:styleId="Mention1">
    <w:name w:val="Mention1"/>
    <w:basedOn w:val="DefaultParagraphFont"/>
    <w:uiPriority w:val="99"/>
    <w:unhideWhenUsed/>
    <w:rsid w:val="003925BA"/>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86437">
      <w:bodyDiv w:val="1"/>
      <w:marLeft w:val="0"/>
      <w:marRight w:val="0"/>
      <w:marTop w:val="0"/>
      <w:marBottom w:val="0"/>
      <w:divBdr>
        <w:top w:val="none" w:sz="0" w:space="0" w:color="auto"/>
        <w:left w:val="none" w:sz="0" w:space="0" w:color="auto"/>
        <w:bottom w:val="none" w:sz="0" w:space="0" w:color="auto"/>
        <w:right w:val="none" w:sz="0" w:space="0" w:color="auto"/>
      </w:divBdr>
    </w:div>
    <w:div w:id="24793394">
      <w:bodyDiv w:val="1"/>
      <w:marLeft w:val="0"/>
      <w:marRight w:val="0"/>
      <w:marTop w:val="0"/>
      <w:marBottom w:val="0"/>
      <w:divBdr>
        <w:top w:val="none" w:sz="0" w:space="0" w:color="auto"/>
        <w:left w:val="none" w:sz="0" w:space="0" w:color="auto"/>
        <w:bottom w:val="none" w:sz="0" w:space="0" w:color="auto"/>
        <w:right w:val="none" w:sz="0" w:space="0" w:color="auto"/>
      </w:divBdr>
    </w:div>
    <w:div w:id="36317115">
      <w:bodyDiv w:val="1"/>
      <w:marLeft w:val="0"/>
      <w:marRight w:val="0"/>
      <w:marTop w:val="0"/>
      <w:marBottom w:val="0"/>
      <w:divBdr>
        <w:top w:val="none" w:sz="0" w:space="0" w:color="auto"/>
        <w:left w:val="none" w:sz="0" w:space="0" w:color="auto"/>
        <w:bottom w:val="none" w:sz="0" w:space="0" w:color="auto"/>
        <w:right w:val="none" w:sz="0" w:space="0" w:color="auto"/>
      </w:divBdr>
    </w:div>
    <w:div w:id="44763724">
      <w:bodyDiv w:val="1"/>
      <w:marLeft w:val="0"/>
      <w:marRight w:val="0"/>
      <w:marTop w:val="0"/>
      <w:marBottom w:val="0"/>
      <w:divBdr>
        <w:top w:val="none" w:sz="0" w:space="0" w:color="auto"/>
        <w:left w:val="none" w:sz="0" w:space="0" w:color="auto"/>
        <w:bottom w:val="none" w:sz="0" w:space="0" w:color="auto"/>
        <w:right w:val="none" w:sz="0" w:space="0" w:color="auto"/>
      </w:divBdr>
    </w:div>
    <w:div w:id="48768709">
      <w:bodyDiv w:val="1"/>
      <w:marLeft w:val="0"/>
      <w:marRight w:val="0"/>
      <w:marTop w:val="0"/>
      <w:marBottom w:val="0"/>
      <w:divBdr>
        <w:top w:val="none" w:sz="0" w:space="0" w:color="auto"/>
        <w:left w:val="none" w:sz="0" w:space="0" w:color="auto"/>
        <w:bottom w:val="none" w:sz="0" w:space="0" w:color="auto"/>
        <w:right w:val="none" w:sz="0" w:space="0" w:color="auto"/>
      </w:divBdr>
    </w:div>
    <w:div w:id="87772977">
      <w:bodyDiv w:val="1"/>
      <w:marLeft w:val="0"/>
      <w:marRight w:val="0"/>
      <w:marTop w:val="0"/>
      <w:marBottom w:val="0"/>
      <w:divBdr>
        <w:top w:val="none" w:sz="0" w:space="0" w:color="auto"/>
        <w:left w:val="none" w:sz="0" w:space="0" w:color="auto"/>
        <w:bottom w:val="none" w:sz="0" w:space="0" w:color="auto"/>
        <w:right w:val="none" w:sz="0" w:space="0" w:color="auto"/>
      </w:divBdr>
    </w:div>
    <w:div w:id="118769730">
      <w:bodyDiv w:val="1"/>
      <w:marLeft w:val="0"/>
      <w:marRight w:val="0"/>
      <w:marTop w:val="0"/>
      <w:marBottom w:val="0"/>
      <w:divBdr>
        <w:top w:val="none" w:sz="0" w:space="0" w:color="auto"/>
        <w:left w:val="none" w:sz="0" w:space="0" w:color="auto"/>
        <w:bottom w:val="none" w:sz="0" w:space="0" w:color="auto"/>
        <w:right w:val="none" w:sz="0" w:space="0" w:color="auto"/>
      </w:divBdr>
    </w:div>
    <w:div w:id="129444689">
      <w:bodyDiv w:val="1"/>
      <w:marLeft w:val="0"/>
      <w:marRight w:val="0"/>
      <w:marTop w:val="0"/>
      <w:marBottom w:val="0"/>
      <w:divBdr>
        <w:top w:val="none" w:sz="0" w:space="0" w:color="auto"/>
        <w:left w:val="none" w:sz="0" w:space="0" w:color="auto"/>
        <w:bottom w:val="none" w:sz="0" w:space="0" w:color="auto"/>
        <w:right w:val="none" w:sz="0" w:space="0" w:color="auto"/>
      </w:divBdr>
    </w:div>
    <w:div w:id="137962457">
      <w:bodyDiv w:val="1"/>
      <w:marLeft w:val="0"/>
      <w:marRight w:val="0"/>
      <w:marTop w:val="0"/>
      <w:marBottom w:val="0"/>
      <w:divBdr>
        <w:top w:val="none" w:sz="0" w:space="0" w:color="auto"/>
        <w:left w:val="none" w:sz="0" w:space="0" w:color="auto"/>
        <w:bottom w:val="none" w:sz="0" w:space="0" w:color="auto"/>
        <w:right w:val="none" w:sz="0" w:space="0" w:color="auto"/>
      </w:divBdr>
    </w:div>
    <w:div w:id="159545672">
      <w:bodyDiv w:val="1"/>
      <w:marLeft w:val="0"/>
      <w:marRight w:val="0"/>
      <w:marTop w:val="0"/>
      <w:marBottom w:val="0"/>
      <w:divBdr>
        <w:top w:val="none" w:sz="0" w:space="0" w:color="auto"/>
        <w:left w:val="none" w:sz="0" w:space="0" w:color="auto"/>
        <w:bottom w:val="none" w:sz="0" w:space="0" w:color="auto"/>
        <w:right w:val="none" w:sz="0" w:space="0" w:color="auto"/>
      </w:divBdr>
    </w:div>
    <w:div w:id="164515033">
      <w:bodyDiv w:val="1"/>
      <w:marLeft w:val="0"/>
      <w:marRight w:val="0"/>
      <w:marTop w:val="0"/>
      <w:marBottom w:val="0"/>
      <w:divBdr>
        <w:top w:val="none" w:sz="0" w:space="0" w:color="auto"/>
        <w:left w:val="none" w:sz="0" w:space="0" w:color="auto"/>
        <w:bottom w:val="none" w:sz="0" w:space="0" w:color="auto"/>
        <w:right w:val="none" w:sz="0" w:space="0" w:color="auto"/>
      </w:divBdr>
    </w:div>
    <w:div w:id="172846466">
      <w:bodyDiv w:val="1"/>
      <w:marLeft w:val="0"/>
      <w:marRight w:val="0"/>
      <w:marTop w:val="0"/>
      <w:marBottom w:val="0"/>
      <w:divBdr>
        <w:top w:val="none" w:sz="0" w:space="0" w:color="auto"/>
        <w:left w:val="none" w:sz="0" w:space="0" w:color="auto"/>
        <w:bottom w:val="none" w:sz="0" w:space="0" w:color="auto"/>
        <w:right w:val="none" w:sz="0" w:space="0" w:color="auto"/>
      </w:divBdr>
    </w:div>
    <w:div w:id="173304167">
      <w:bodyDiv w:val="1"/>
      <w:marLeft w:val="0"/>
      <w:marRight w:val="0"/>
      <w:marTop w:val="0"/>
      <w:marBottom w:val="0"/>
      <w:divBdr>
        <w:top w:val="none" w:sz="0" w:space="0" w:color="auto"/>
        <w:left w:val="none" w:sz="0" w:space="0" w:color="auto"/>
        <w:bottom w:val="none" w:sz="0" w:space="0" w:color="auto"/>
        <w:right w:val="none" w:sz="0" w:space="0" w:color="auto"/>
      </w:divBdr>
    </w:div>
    <w:div w:id="198010359">
      <w:bodyDiv w:val="1"/>
      <w:marLeft w:val="0"/>
      <w:marRight w:val="0"/>
      <w:marTop w:val="0"/>
      <w:marBottom w:val="0"/>
      <w:divBdr>
        <w:top w:val="none" w:sz="0" w:space="0" w:color="auto"/>
        <w:left w:val="none" w:sz="0" w:space="0" w:color="auto"/>
        <w:bottom w:val="none" w:sz="0" w:space="0" w:color="auto"/>
        <w:right w:val="none" w:sz="0" w:space="0" w:color="auto"/>
      </w:divBdr>
    </w:div>
    <w:div w:id="219290603">
      <w:bodyDiv w:val="1"/>
      <w:marLeft w:val="0"/>
      <w:marRight w:val="0"/>
      <w:marTop w:val="0"/>
      <w:marBottom w:val="0"/>
      <w:divBdr>
        <w:top w:val="none" w:sz="0" w:space="0" w:color="auto"/>
        <w:left w:val="none" w:sz="0" w:space="0" w:color="auto"/>
        <w:bottom w:val="none" w:sz="0" w:space="0" w:color="auto"/>
        <w:right w:val="none" w:sz="0" w:space="0" w:color="auto"/>
      </w:divBdr>
    </w:div>
    <w:div w:id="248738179">
      <w:bodyDiv w:val="1"/>
      <w:marLeft w:val="0"/>
      <w:marRight w:val="0"/>
      <w:marTop w:val="0"/>
      <w:marBottom w:val="0"/>
      <w:divBdr>
        <w:top w:val="none" w:sz="0" w:space="0" w:color="auto"/>
        <w:left w:val="none" w:sz="0" w:space="0" w:color="auto"/>
        <w:bottom w:val="none" w:sz="0" w:space="0" w:color="auto"/>
        <w:right w:val="none" w:sz="0" w:space="0" w:color="auto"/>
      </w:divBdr>
    </w:div>
    <w:div w:id="248778003">
      <w:bodyDiv w:val="1"/>
      <w:marLeft w:val="0"/>
      <w:marRight w:val="0"/>
      <w:marTop w:val="0"/>
      <w:marBottom w:val="0"/>
      <w:divBdr>
        <w:top w:val="none" w:sz="0" w:space="0" w:color="auto"/>
        <w:left w:val="none" w:sz="0" w:space="0" w:color="auto"/>
        <w:bottom w:val="none" w:sz="0" w:space="0" w:color="auto"/>
        <w:right w:val="none" w:sz="0" w:space="0" w:color="auto"/>
      </w:divBdr>
    </w:div>
    <w:div w:id="282031978">
      <w:bodyDiv w:val="1"/>
      <w:marLeft w:val="0"/>
      <w:marRight w:val="0"/>
      <w:marTop w:val="0"/>
      <w:marBottom w:val="0"/>
      <w:divBdr>
        <w:top w:val="none" w:sz="0" w:space="0" w:color="auto"/>
        <w:left w:val="none" w:sz="0" w:space="0" w:color="auto"/>
        <w:bottom w:val="none" w:sz="0" w:space="0" w:color="auto"/>
        <w:right w:val="none" w:sz="0" w:space="0" w:color="auto"/>
      </w:divBdr>
    </w:div>
    <w:div w:id="322507594">
      <w:bodyDiv w:val="1"/>
      <w:marLeft w:val="0"/>
      <w:marRight w:val="0"/>
      <w:marTop w:val="0"/>
      <w:marBottom w:val="0"/>
      <w:divBdr>
        <w:top w:val="none" w:sz="0" w:space="0" w:color="auto"/>
        <w:left w:val="none" w:sz="0" w:space="0" w:color="auto"/>
        <w:bottom w:val="none" w:sz="0" w:space="0" w:color="auto"/>
        <w:right w:val="none" w:sz="0" w:space="0" w:color="auto"/>
      </w:divBdr>
    </w:div>
    <w:div w:id="334462264">
      <w:bodyDiv w:val="1"/>
      <w:marLeft w:val="0"/>
      <w:marRight w:val="0"/>
      <w:marTop w:val="0"/>
      <w:marBottom w:val="0"/>
      <w:divBdr>
        <w:top w:val="none" w:sz="0" w:space="0" w:color="auto"/>
        <w:left w:val="none" w:sz="0" w:space="0" w:color="auto"/>
        <w:bottom w:val="none" w:sz="0" w:space="0" w:color="auto"/>
        <w:right w:val="none" w:sz="0" w:space="0" w:color="auto"/>
      </w:divBdr>
    </w:div>
    <w:div w:id="424111650">
      <w:bodyDiv w:val="1"/>
      <w:marLeft w:val="0"/>
      <w:marRight w:val="0"/>
      <w:marTop w:val="0"/>
      <w:marBottom w:val="0"/>
      <w:divBdr>
        <w:top w:val="none" w:sz="0" w:space="0" w:color="auto"/>
        <w:left w:val="none" w:sz="0" w:space="0" w:color="auto"/>
        <w:bottom w:val="none" w:sz="0" w:space="0" w:color="auto"/>
        <w:right w:val="none" w:sz="0" w:space="0" w:color="auto"/>
      </w:divBdr>
    </w:div>
    <w:div w:id="437411492">
      <w:bodyDiv w:val="1"/>
      <w:marLeft w:val="0"/>
      <w:marRight w:val="0"/>
      <w:marTop w:val="0"/>
      <w:marBottom w:val="0"/>
      <w:divBdr>
        <w:top w:val="none" w:sz="0" w:space="0" w:color="auto"/>
        <w:left w:val="none" w:sz="0" w:space="0" w:color="auto"/>
        <w:bottom w:val="none" w:sz="0" w:space="0" w:color="auto"/>
        <w:right w:val="none" w:sz="0" w:space="0" w:color="auto"/>
      </w:divBdr>
    </w:div>
    <w:div w:id="437991290">
      <w:bodyDiv w:val="1"/>
      <w:marLeft w:val="0"/>
      <w:marRight w:val="0"/>
      <w:marTop w:val="0"/>
      <w:marBottom w:val="0"/>
      <w:divBdr>
        <w:top w:val="none" w:sz="0" w:space="0" w:color="auto"/>
        <w:left w:val="none" w:sz="0" w:space="0" w:color="auto"/>
        <w:bottom w:val="none" w:sz="0" w:space="0" w:color="auto"/>
        <w:right w:val="none" w:sz="0" w:space="0" w:color="auto"/>
      </w:divBdr>
    </w:div>
    <w:div w:id="446395014">
      <w:bodyDiv w:val="1"/>
      <w:marLeft w:val="0"/>
      <w:marRight w:val="0"/>
      <w:marTop w:val="0"/>
      <w:marBottom w:val="0"/>
      <w:divBdr>
        <w:top w:val="none" w:sz="0" w:space="0" w:color="auto"/>
        <w:left w:val="none" w:sz="0" w:space="0" w:color="auto"/>
        <w:bottom w:val="none" w:sz="0" w:space="0" w:color="auto"/>
        <w:right w:val="none" w:sz="0" w:space="0" w:color="auto"/>
      </w:divBdr>
    </w:div>
    <w:div w:id="467404084">
      <w:bodyDiv w:val="1"/>
      <w:marLeft w:val="0"/>
      <w:marRight w:val="0"/>
      <w:marTop w:val="0"/>
      <w:marBottom w:val="0"/>
      <w:divBdr>
        <w:top w:val="none" w:sz="0" w:space="0" w:color="auto"/>
        <w:left w:val="none" w:sz="0" w:space="0" w:color="auto"/>
        <w:bottom w:val="none" w:sz="0" w:space="0" w:color="auto"/>
        <w:right w:val="none" w:sz="0" w:space="0" w:color="auto"/>
      </w:divBdr>
    </w:div>
    <w:div w:id="511068021">
      <w:bodyDiv w:val="1"/>
      <w:marLeft w:val="0"/>
      <w:marRight w:val="0"/>
      <w:marTop w:val="0"/>
      <w:marBottom w:val="0"/>
      <w:divBdr>
        <w:top w:val="none" w:sz="0" w:space="0" w:color="auto"/>
        <w:left w:val="none" w:sz="0" w:space="0" w:color="auto"/>
        <w:bottom w:val="none" w:sz="0" w:space="0" w:color="auto"/>
        <w:right w:val="none" w:sz="0" w:space="0" w:color="auto"/>
      </w:divBdr>
    </w:div>
    <w:div w:id="524293822">
      <w:bodyDiv w:val="1"/>
      <w:marLeft w:val="0"/>
      <w:marRight w:val="0"/>
      <w:marTop w:val="0"/>
      <w:marBottom w:val="0"/>
      <w:divBdr>
        <w:top w:val="none" w:sz="0" w:space="0" w:color="auto"/>
        <w:left w:val="none" w:sz="0" w:space="0" w:color="auto"/>
        <w:bottom w:val="none" w:sz="0" w:space="0" w:color="auto"/>
        <w:right w:val="none" w:sz="0" w:space="0" w:color="auto"/>
      </w:divBdr>
    </w:div>
    <w:div w:id="548302783">
      <w:bodyDiv w:val="1"/>
      <w:marLeft w:val="0"/>
      <w:marRight w:val="0"/>
      <w:marTop w:val="0"/>
      <w:marBottom w:val="0"/>
      <w:divBdr>
        <w:top w:val="none" w:sz="0" w:space="0" w:color="auto"/>
        <w:left w:val="none" w:sz="0" w:space="0" w:color="auto"/>
        <w:bottom w:val="none" w:sz="0" w:space="0" w:color="auto"/>
        <w:right w:val="none" w:sz="0" w:space="0" w:color="auto"/>
      </w:divBdr>
    </w:div>
    <w:div w:id="550196082">
      <w:bodyDiv w:val="1"/>
      <w:marLeft w:val="0"/>
      <w:marRight w:val="0"/>
      <w:marTop w:val="0"/>
      <w:marBottom w:val="0"/>
      <w:divBdr>
        <w:top w:val="none" w:sz="0" w:space="0" w:color="auto"/>
        <w:left w:val="none" w:sz="0" w:space="0" w:color="auto"/>
        <w:bottom w:val="none" w:sz="0" w:space="0" w:color="auto"/>
        <w:right w:val="none" w:sz="0" w:space="0" w:color="auto"/>
      </w:divBdr>
    </w:div>
    <w:div w:id="564609922">
      <w:bodyDiv w:val="1"/>
      <w:marLeft w:val="0"/>
      <w:marRight w:val="0"/>
      <w:marTop w:val="0"/>
      <w:marBottom w:val="0"/>
      <w:divBdr>
        <w:top w:val="none" w:sz="0" w:space="0" w:color="auto"/>
        <w:left w:val="none" w:sz="0" w:space="0" w:color="auto"/>
        <w:bottom w:val="none" w:sz="0" w:space="0" w:color="auto"/>
        <w:right w:val="none" w:sz="0" w:space="0" w:color="auto"/>
      </w:divBdr>
    </w:div>
    <w:div w:id="587084824">
      <w:bodyDiv w:val="1"/>
      <w:marLeft w:val="0"/>
      <w:marRight w:val="0"/>
      <w:marTop w:val="0"/>
      <w:marBottom w:val="0"/>
      <w:divBdr>
        <w:top w:val="none" w:sz="0" w:space="0" w:color="auto"/>
        <w:left w:val="none" w:sz="0" w:space="0" w:color="auto"/>
        <w:bottom w:val="none" w:sz="0" w:space="0" w:color="auto"/>
        <w:right w:val="none" w:sz="0" w:space="0" w:color="auto"/>
      </w:divBdr>
    </w:div>
    <w:div w:id="590282825">
      <w:bodyDiv w:val="1"/>
      <w:marLeft w:val="0"/>
      <w:marRight w:val="0"/>
      <w:marTop w:val="0"/>
      <w:marBottom w:val="0"/>
      <w:divBdr>
        <w:top w:val="none" w:sz="0" w:space="0" w:color="auto"/>
        <w:left w:val="none" w:sz="0" w:space="0" w:color="auto"/>
        <w:bottom w:val="none" w:sz="0" w:space="0" w:color="auto"/>
        <w:right w:val="none" w:sz="0" w:space="0" w:color="auto"/>
      </w:divBdr>
    </w:div>
    <w:div w:id="634336188">
      <w:bodyDiv w:val="1"/>
      <w:marLeft w:val="0"/>
      <w:marRight w:val="0"/>
      <w:marTop w:val="0"/>
      <w:marBottom w:val="0"/>
      <w:divBdr>
        <w:top w:val="none" w:sz="0" w:space="0" w:color="auto"/>
        <w:left w:val="none" w:sz="0" w:space="0" w:color="auto"/>
        <w:bottom w:val="none" w:sz="0" w:space="0" w:color="auto"/>
        <w:right w:val="none" w:sz="0" w:space="0" w:color="auto"/>
      </w:divBdr>
    </w:div>
    <w:div w:id="636641619">
      <w:bodyDiv w:val="1"/>
      <w:marLeft w:val="0"/>
      <w:marRight w:val="0"/>
      <w:marTop w:val="0"/>
      <w:marBottom w:val="0"/>
      <w:divBdr>
        <w:top w:val="none" w:sz="0" w:space="0" w:color="auto"/>
        <w:left w:val="none" w:sz="0" w:space="0" w:color="auto"/>
        <w:bottom w:val="none" w:sz="0" w:space="0" w:color="auto"/>
        <w:right w:val="none" w:sz="0" w:space="0" w:color="auto"/>
      </w:divBdr>
    </w:div>
    <w:div w:id="674461874">
      <w:bodyDiv w:val="1"/>
      <w:marLeft w:val="0"/>
      <w:marRight w:val="0"/>
      <w:marTop w:val="0"/>
      <w:marBottom w:val="0"/>
      <w:divBdr>
        <w:top w:val="none" w:sz="0" w:space="0" w:color="auto"/>
        <w:left w:val="none" w:sz="0" w:space="0" w:color="auto"/>
        <w:bottom w:val="none" w:sz="0" w:space="0" w:color="auto"/>
        <w:right w:val="none" w:sz="0" w:space="0" w:color="auto"/>
      </w:divBdr>
    </w:div>
    <w:div w:id="677194540">
      <w:bodyDiv w:val="1"/>
      <w:marLeft w:val="0"/>
      <w:marRight w:val="0"/>
      <w:marTop w:val="0"/>
      <w:marBottom w:val="0"/>
      <w:divBdr>
        <w:top w:val="none" w:sz="0" w:space="0" w:color="auto"/>
        <w:left w:val="none" w:sz="0" w:space="0" w:color="auto"/>
        <w:bottom w:val="none" w:sz="0" w:space="0" w:color="auto"/>
        <w:right w:val="none" w:sz="0" w:space="0" w:color="auto"/>
      </w:divBdr>
    </w:div>
    <w:div w:id="678391275">
      <w:bodyDiv w:val="1"/>
      <w:marLeft w:val="0"/>
      <w:marRight w:val="0"/>
      <w:marTop w:val="0"/>
      <w:marBottom w:val="0"/>
      <w:divBdr>
        <w:top w:val="none" w:sz="0" w:space="0" w:color="auto"/>
        <w:left w:val="none" w:sz="0" w:space="0" w:color="auto"/>
        <w:bottom w:val="none" w:sz="0" w:space="0" w:color="auto"/>
        <w:right w:val="none" w:sz="0" w:space="0" w:color="auto"/>
      </w:divBdr>
    </w:div>
    <w:div w:id="744571224">
      <w:bodyDiv w:val="1"/>
      <w:marLeft w:val="0"/>
      <w:marRight w:val="0"/>
      <w:marTop w:val="0"/>
      <w:marBottom w:val="0"/>
      <w:divBdr>
        <w:top w:val="none" w:sz="0" w:space="0" w:color="auto"/>
        <w:left w:val="none" w:sz="0" w:space="0" w:color="auto"/>
        <w:bottom w:val="none" w:sz="0" w:space="0" w:color="auto"/>
        <w:right w:val="none" w:sz="0" w:space="0" w:color="auto"/>
      </w:divBdr>
    </w:div>
    <w:div w:id="749036578">
      <w:bodyDiv w:val="1"/>
      <w:marLeft w:val="0"/>
      <w:marRight w:val="0"/>
      <w:marTop w:val="0"/>
      <w:marBottom w:val="0"/>
      <w:divBdr>
        <w:top w:val="none" w:sz="0" w:space="0" w:color="auto"/>
        <w:left w:val="none" w:sz="0" w:space="0" w:color="auto"/>
        <w:bottom w:val="none" w:sz="0" w:space="0" w:color="auto"/>
        <w:right w:val="none" w:sz="0" w:space="0" w:color="auto"/>
      </w:divBdr>
    </w:div>
    <w:div w:id="773938045">
      <w:bodyDiv w:val="1"/>
      <w:marLeft w:val="0"/>
      <w:marRight w:val="0"/>
      <w:marTop w:val="0"/>
      <w:marBottom w:val="0"/>
      <w:divBdr>
        <w:top w:val="none" w:sz="0" w:space="0" w:color="auto"/>
        <w:left w:val="none" w:sz="0" w:space="0" w:color="auto"/>
        <w:bottom w:val="none" w:sz="0" w:space="0" w:color="auto"/>
        <w:right w:val="none" w:sz="0" w:space="0" w:color="auto"/>
      </w:divBdr>
    </w:div>
    <w:div w:id="776096642">
      <w:bodyDiv w:val="1"/>
      <w:marLeft w:val="0"/>
      <w:marRight w:val="0"/>
      <w:marTop w:val="0"/>
      <w:marBottom w:val="0"/>
      <w:divBdr>
        <w:top w:val="none" w:sz="0" w:space="0" w:color="auto"/>
        <w:left w:val="none" w:sz="0" w:space="0" w:color="auto"/>
        <w:bottom w:val="none" w:sz="0" w:space="0" w:color="auto"/>
        <w:right w:val="none" w:sz="0" w:space="0" w:color="auto"/>
      </w:divBdr>
    </w:div>
    <w:div w:id="787626400">
      <w:bodyDiv w:val="1"/>
      <w:marLeft w:val="0"/>
      <w:marRight w:val="0"/>
      <w:marTop w:val="0"/>
      <w:marBottom w:val="0"/>
      <w:divBdr>
        <w:top w:val="none" w:sz="0" w:space="0" w:color="auto"/>
        <w:left w:val="none" w:sz="0" w:space="0" w:color="auto"/>
        <w:bottom w:val="none" w:sz="0" w:space="0" w:color="auto"/>
        <w:right w:val="none" w:sz="0" w:space="0" w:color="auto"/>
      </w:divBdr>
    </w:div>
    <w:div w:id="797341250">
      <w:bodyDiv w:val="1"/>
      <w:marLeft w:val="0"/>
      <w:marRight w:val="0"/>
      <w:marTop w:val="0"/>
      <w:marBottom w:val="0"/>
      <w:divBdr>
        <w:top w:val="none" w:sz="0" w:space="0" w:color="auto"/>
        <w:left w:val="none" w:sz="0" w:space="0" w:color="auto"/>
        <w:bottom w:val="none" w:sz="0" w:space="0" w:color="auto"/>
        <w:right w:val="none" w:sz="0" w:space="0" w:color="auto"/>
      </w:divBdr>
    </w:div>
    <w:div w:id="814831867">
      <w:bodyDiv w:val="1"/>
      <w:marLeft w:val="0"/>
      <w:marRight w:val="0"/>
      <w:marTop w:val="0"/>
      <w:marBottom w:val="0"/>
      <w:divBdr>
        <w:top w:val="none" w:sz="0" w:space="0" w:color="auto"/>
        <w:left w:val="none" w:sz="0" w:space="0" w:color="auto"/>
        <w:bottom w:val="none" w:sz="0" w:space="0" w:color="auto"/>
        <w:right w:val="none" w:sz="0" w:space="0" w:color="auto"/>
      </w:divBdr>
    </w:div>
    <w:div w:id="873495199">
      <w:bodyDiv w:val="1"/>
      <w:marLeft w:val="0"/>
      <w:marRight w:val="0"/>
      <w:marTop w:val="0"/>
      <w:marBottom w:val="0"/>
      <w:divBdr>
        <w:top w:val="none" w:sz="0" w:space="0" w:color="auto"/>
        <w:left w:val="none" w:sz="0" w:space="0" w:color="auto"/>
        <w:bottom w:val="none" w:sz="0" w:space="0" w:color="auto"/>
        <w:right w:val="none" w:sz="0" w:space="0" w:color="auto"/>
      </w:divBdr>
    </w:div>
    <w:div w:id="873813102">
      <w:bodyDiv w:val="1"/>
      <w:marLeft w:val="0"/>
      <w:marRight w:val="0"/>
      <w:marTop w:val="0"/>
      <w:marBottom w:val="0"/>
      <w:divBdr>
        <w:top w:val="none" w:sz="0" w:space="0" w:color="auto"/>
        <w:left w:val="none" w:sz="0" w:space="0" w:color="auto"/>
        <w:bottom w:val="none" w:sz="0" w:space="0" w:color="auto"/>
        <w:right w:val="none" w:sz="0" w:space="0" w:color="auto"/>
      </w:divBdr>
    </w:div>
    <w:div w:id="888880798">
      <w:bodyDiv w:val="1"/>
      <w:marLeft w:val="0"/>
      <w:marRight w:val="0"/>
      <w:marTop w:val="0"/>
      <w:marBottom w:val="0"/>
      <w:divBdr>
        <w:top w:val="none" w:sz="0" w:space="0" w:color="auto"/>
        <w:left w:val="none" w:sz="0" w:space="0" w:color="auto"/>
        <w:bottom w:val="none" w:sz="0" w:space="0" w:color="auto"/>
        <w:right w:val="none" w:sz="0" w:space="0" w:color="auto"/>
      </w:divBdr>
    </w:div>
    <w:div w:id="903761734">
      <w:bodyDiv w:val="1"/>
      <w:marLeft w:val="0"/>
      <w:marRight w:val="0"/>
      <w:marTop w:val="0"/>
      <w:marBottom w:val="0"/>
      <w:divBdr>
        <w:top w:val="none" w:sz="0" w:space="0" w:color="auto"/>
        <w:left w:val="none" w:sz="0" w:space="0" w:color="auto"/>
        <w:bottom w:val="none" w:sz="0" w:space="0" w:color="auto"/>
        <w:right w:val="none" w:sz="0" w:space="0" w:color="auto"/>
      </w:divBdr>
    </w:div>
    <w:div w:id="944921566">
      <w:bodyDiv w:val="1"/>
      <w:marLeft w:val="0"/>
      <w:marRight w:val="0"/>
      <w:marTop w:val="0"/>
      <w:marBottom w:val="0"/>
      <w:divBdr>
        <w:top w:val="none" w:sz="0" w:space="0" w:color="auto"/>
        <w:left w:val="none" w:sz="0" w:space="0" w:color="auto"/>
        <w:bottom w:val="none" w:sz="0" w:space="0" w:color="auto"/>
        <w:right w:val="none" w:sz="0" w:space="0" w:color="auto"/>
      </w:divBdr>
    </w:div>
    <w:div w:id="945887268">
      <w:bodyDiv w:val="1"/>
      <w:marLeft w:val="0"/>
      <w:marRight w:val="0"/>
      <w:marTop w:val="0"/>
      <w:marBottom w:val="0"/>
      <w:divBdr>
        <w:top w:val="none" w:sz="0" w:space="0" w:color="auto"/>
        <w:left w:val="none" w:sz="0" w:space="0" w:color="auto"/>
        <w:bottom w:val="none" w:sz="0" w:space="0" w:color="auto"/>
        <w:right w:val="none" w:sz="0" w:space="0" w:color="auto"/>
      </w:divBdr>
    </w:div>
    <w:div w:id="958292547">
      <w:bodyDiv w:val="1"/>
      <w:marLeft w:val="0"/>
      <w:marRight w:val="0"/>
      <w:marTop w:val="0"/>
      <w:marBottom w:val="0"/>
      <w:divBdr>
        <w:top w:val="none" w:sz="0" w:space="0" w:color="auto"/>
        <w:left w:val="none" w:sz="0" w:space="0" w:color="auto"/>
        <w:bottom w:val="none" w:sz="0" w:space="0" w:color="auto"/>
        <w:right w:val="none" w:sz="0" w:space="0" w:color="auto"/>
      </w:divBdr>
    </w:div>
    <w:div w:id="969018680">
      <w:bodyDiv w:val="1"/>
      <w:marLeft w:val="0"/>
      <w:marRight w:val="0"/>
      <w:marTop w:val="0"/>
      <w:marBottom w:val="0"/>
      <w:divBdr>
        <w:top w:val="none" w:sz="0" w:space="0" w:color="auto"/>
        <w:left w:val="none" w:sz="0" w:space="0" w:color="auto"/>
        <w:bottom w:val="none" w:sz="0" w:space="0" w:color="auto"/>
        <w:right w:val="none" w:sz="0" w:space="0" w:color="auto"/>
      </w:divBdr>
    </w:div>
    <w:div w:id="977346623">
      <w:bodyDiv w:val="1"/>
      <w:marLeft w:val="0"/>
      <w:marRight w:val="0"/>
      <w:marTop w:val="0"/>
      <w:marBottom w:val="0"/>
      <w:divBdr>
        <w:top w:val="none" w:sz="0" w:space="0" w:color="auto"/>
        <w:left w:val="none" w:sz="0" w:space="0" w:color="auto"/>
        <w:bottom w:val="none" w:sz="0" w:space="0" w:color="auto"/>
        <w:right w:val="none" w:sz="0" w:space="0" w:color="auto"/>
      </w:divBdr>
    </w:div>
    <w:div w:id="985662933">
      <w:bodyDiv w:val="1"/>
      <w:marLeft w:val="0"/>
      <w:marRight w:val="0"/>
      <w:marTop w:val="0"/>
      <w:marBottom w:val="0"/>
      <w:divBdr>
        <w:top w:val="none" w:sz="0" w:space="0" w:color="auto"/>
        <w:left w:val="none" w:sz="0" w:space="0" w:color="auto"/>
        <w:bottom w:val="none" w:sz="0" w:space="0" w:color="auto"/>
        <w:right w:val="none" w:sz="0" w:space="0" w:color="auto"/>
      </w:divBdr>
    </w:div>
    <w:div w:id="989947794">
      <w:bodyDiv w:val="1"/>
      <w:marLeft w:val="0"/>
      <w:marRight w:val="0"/>
      <w:marTop w:val="0"/>
      <w:marBottom w:val="0"/>
      <w:divBdr>
        <w:top w:val="none" w:sz="0" w:space="0" w:color="auto"/>
        <w:left w:val="none" w:sz="0" w:space="0" w:color="auto"/>
        <w:bottom w:val="none" w:sz="0" w:space="0" w:color="auto"/>
        <w:right w:val="none" w:sz="0" w:space="0" w:color="auto"/>
      </w:divBdr>
    </w:div>
    <w:div w:id="991564653">
      <w:bodyDiv w:val="1"/>
      <w:marLeft w:val="0"/>
      <w:marRight w:val="0"/>
      <w:marTop w:val="0"/>
      <w:marBottom w:val="0"/>
      <w:divBdr>
        <w:top w:val="none" w:sz="0" w:space="0" w:color="auto"/>
        <w:left w:val="none" w:sz="0" w:space="0" w:color="auto"/>
        <w:bottom w:val="none" w:sz="0" w:space="0" w:color="auto"/>
        <w:right w:val="none" w:sz="0" w:space="0" w:color="auto"/>
      </w:divBdr>
    </w:div>
    <w:div w:id="992031257">
      <w:bodyDiv w:val="1"/>
      <w:marLeft w:val="0"/>
      <w:marRight w:val="0"/>
      <w:marTop w:val="0"/>
      <w:marBottom w:val="0"/>
      <w:divBdr>
        <w:top w:val="none" w:sz="0" w:space="0" w:color="auto"/>
        <w:left w:val="none" w:sz="0" w:space="0" w:color="auto"/>
        <w:bottom w:val="none" w:sz="0" w:space="0" w:color="auto"/>
        <w:right w:val="none" w:sz="0" w:space="0" w:color="auto"/>
      </w:divBdr>
    </w:div>
    <w:div w:id="1025639702">
      <w:bodyDiv w:val="1"/>
      <w:marLeft w:val="0"/>
      <w:marRight w:val="0"/>
      <w:marTop w:val="0"/>
      <w:marBottom w:val="0"/>
      <w:divBdr>
        <w:top w:val="none" w:sz="0" w:space="0" w:color="auto"/>
        <w:left w:val="none" w:sz="0" w:space="0" w:color="auto"/>
        <w:bottom w:val="none" w:sz="0" w:space="0" w:color="auto"/>
        <w:right w:val="none" w:sz="0" w:space="0" w:color="auto"/>
      </w:divBdr>
    </w:div>
    <w:div w:id="1032192746">
      <w:bodyDiv w:val="1"/>
      <w:marLeft w:val="0"/>
      <w:marRight w:val="0"/>
      <w:marTop w:val="0"/>
      <w:marBottom w:val="0"/>
      <w:divBdr>
        <w:top w:val="none" w:sz="0" w:space="0" w:color="auto"/>
        <w:left w:val="none" w:sz="0" w:space="0" w:color="auto"/>
        <w:bottom w:val="none" w:sz="0" w:space="0" w:color="auto"/>
        <w:right w:val="none" w:sz="0" w:space="0" w:color="auto"/>
      </w:divBdr>
    </w:div>
    <w:div w:id="1038312020">
      <w:bodyDiv w:val="1"/>
      <w:marLeft w:val="0"/>
      <w:marRight w:val="0"/>
      <w:marTop w:val="0"/>
      <w:marBottom w:val="0"/>
      <w:divBdr>
        <w:top w:val="none" w:sz="0" w:space="0" w:color="auto"/>
        <w:left w:val="none" w:sz="0" w:space="0" w:color="auto"/>
        <w:bottom w:val="none" w:sz="0" w:space="0" w:color="auto"/>
        <w:right w:val="none" w:sz="0" w:space="0" w:color="auto"/>
      </w:divBdr>
    </w:div>
    <w:div w:id="1039934755">
      <w:bodyDiv w:val="1"/>
      <w:marLeft w:val="0"/>
      <w:marRight w:val="0"/>
      <w:marTop w:val="0"/>
      <w:marBottom w:val="0"/>
      <w:divBdr>
        <w:top w:val="none" w:sz="0" w:space="0" w:color="auto"/>
        <w:left w:val="none" w:sz="0" w:space="0" w:color="auto"/>
        <w:bottom w:val="none" w:sz="0" w:space="0" w:color="auto"/>
        <w:right w:val="none" w:sz="0" w:space="0" w:color="auto"/>
      </w:divBdr>
    </w:div>
    <w:div w:id="1053963942">
      <w:bodyDiv w:val="1"/>
      <w:marLeft w:val="0"/>
      <w:marRight w:val="0"/>
      <w:marTop w:val="0"/>
      <w:marBottom w:val="0"/>
      <w:divBdr>
        <w:top w:val="none" w:sz="0" w:space="0" w:color="auto"/>
        <w:left w:val="none" w:sz="0" w:space="0" w:color="auto"/>
        <w:bottom w:val="none" w:sz="0" w:space="0" w:color="auto"/>
        <w:right w:val="none" w:sz="0" w:space="0" w:color="auto"/>
      </w:divBdr>
    </w:div>
    <w:div w:id="1072855102">
      <w:bodyDiv w:val="1"/>
      <w:marLeft w:val="0"/>
      <w:marRight w:val="0"/>
      <w:marTop w:val="0"/>
      <w:marBottom w:val="0"/>
      <w:divBdr>
        <w:top w:val="none" w:sz="0" w:space="0" w:color="auto"/>
        <w:left w:val="none" w:sz="0" w:space="0" w:color="auto"/>
        <w:bottom w:val="none" w:sz="0" w:space="0" w:color="auto"/>
        <w:right w:val="none" w:sz="0" w:space="0" w:color="auto"/>
      </w:divBdr>
    </w:div>
    <w:div w:id="1078749566">
      <w:bodyDiv w:val="1"/>
      <w:marLeft w:val="0"/>
      <w:marRight w:val="0"/>
      <w:marTop w:val="0"/>
      <w:marBottom w:val="0"/>
      <w:divBdr>
        <w:top w:val="none" w:sz="0" w:space="0" w:color="auto"/>
        <w:left w:val="none" w:sz="0" w:space="0" w:color="auto"/>
        <w:bottom w:val="none" w:sz="0" w:space="0" w:color="auto"/>
        <w:right w:val="none" w:sz="0" w:space="0" w:color="auto"/>
      </w:divBdr>
    </w:div>
    <w:div w:id="1078790547">
      <w:bodyDiv w:val="1"/>
      <w:marLeft w:val="0"/>
      <w:marRight w:val="0"/>
      <w:marTop w:val="0"/>
      <w:marBottom w:val="0"/>
      <w:divBdr>
        <w:top w:val="none" w:sz="0" w:space="0" w:color="auto"/>
        <w:left w:val="none" w:sz="0" w:space="0" w:color="auto"/>
        <w:bottom w:val="none" w:sz="0" w:space="0" w:color="auto"/>
        <w:right w:val="none" w:sz="0" w:space="0" w:color="auto"/>
      </w:divBdr>
    </w:div>
    <w:div w:id="1081751662">
      <w:bodyDiv w:val="1"/>
      <w:marLeft w:val="0"/>
      <w:marRight w:val="0"/>
      <w:marTop w:val="0"/>
      <w:marBottom w:val="0"/>
      <w:divBdr>
        <w:top w:val="none" w:sz="0" w:space="0" w:color="auto"/>
        <w:left w:val="none" w:sz="0" w:space="0" w:color="auto"/>
        <w:bottom w:val="none" w:sz="0" w:space="0" w:color="auto"/>
        <w:right w:val="none" w:sz="0" w:space="0" w:color="auto"/>
      </w:divBdr>
    </w:div>
    <w:div w:id="1089080666">
      <w:bodyDiv w:val="1"/>
      <w:marLeft w:val="0"/>
      <w:marRight w:val="0"/>
      <w:marTop w:val="0"/>
      <w:marBottom w:val="0"/>
      <w:divBdr>
        <w:top w:val="none" w:sz="0" w:space="0" w:color="auto"/>
        <w:left w:val="none" w:sz="0" w:space="0" w:color="auto"/>
        <w:bottom w:val="none" w:sz="0" w:space="0" w:color="auto"/>
        <w:right w:val="none" w:sz="0" w:space="0" w:color="auto"/>
      </w:divBdr>
    </w:div>
    <w:div w:id="1116752363">
      <w:bodyDiv w:val="1"/>
      <w:marLeft w:val="0"/>
      <w:marRight w:val="0"/>
      <w:marTop w:val="0"/>
      <w:marBottom w:val="0"/>
      <w:divBdr>
        <w:top w:val="none" w:sz="0" w:space="0" w:color="auto"/>
        <w:left w:val="none" w:sz="0" w:space="0" w:color="auto"/>
        <w:bottom w:val="none" w:sz="0" w:space="0" w:color="auto"/>
        <w:right w:val="none" w:sz="0" w:space="0" w:color="auto"/>
      </w:divBdr>
    </w:div>
    <w:div w:id="1121270412">
      <w:bodyDiv w:val="1"/>
      <w:marLeft w:val="0"/>
      <w:marRight w:val="0"/>
      <w:marTop w:val="0"/>
      <w:marBottom w:val="0"/>
      <w:divBdr>
        <w:top w:val="none" w:sz="0" w:space="0" w:color="auto"/>
        <w:left w:val="none" w:sz="0" w:space="0" w:color="auto"/>
        <w:bottom w:val="none" w:sz="0" w:space="0" w:color="auto"/>
        <w:right w:val="none" w:sz="0" w:space="0" w:color="auto"/>
      </w:divBdr>
    </w:div>
    <w:div w:id="1129320929">
      <w:bodyDiv w:val="1"/>
      <w:marLeft w:val="0"/>
      <w:marRight w:val="0"/>
      <w:marTop w:val="0"/>
      <w:marBottom w:val="0"/>
      <w:divBdr>
        <w:top w:val="none" w:sz="0" w:space="0" w:color="auto"/>
        <w:left w:val="none" w:sz="0" w:space="0" w:color="auto"/>
        <w:bottom w:val="none" w:sz="0" w:space="0" w:color="auto"/>
        <w:right w:val="none" w:sz="0" w:space="0" w:color="auto"/>
      </w:divBdr>
    </w:div>
    <w:div w:id="1156805636">
      <w:bodyDiv w:val="1"/>
      <w:marLeft w:val="0"/>
      <w:marRight w:val="0"/>
      <w:marTop w:val="0"/>
      <w:marBottom w:val="0"/>
      <w:divBdr>
        <w:top w:val="none" w:sz="0" w:space="0" w:color="auto"/>
        <w:left w:val="none" w:sz="0" w:space="0" w:color="auto"/>
        <w:bottom w:val="none" w:sz="0" w:space="0" w:color="auto"/>
        <w:right w:val="none" w:sz="0" w:space="0" w:color="auto"/>
      </w:divBdr>
    </w:div>
    <w:div w:id="1294216179">
      <w:bodyDiv w:val="1"/>
      <w:marLeft w:val="0"/>
      <w:marRight w:val="0"/>
      <w:marTop w:val="0"/>
      <w:marBottom w:val="0"/>
      <w:divBdr>
        <w:top w:val="none" w:sz="0" w:space="0" w:color="auto"/>
        <w:left w:val="none" w:sz="0" w:space="0" w:color="auto"/>
        <w:bottom w:val="none" w:sz="0" w:space="0" w:color="auto"/>
        <w:right w:val="none" w:sz="0" w:space="0" w:color="auto"/>
      </w:divBdr>
    </w:div>
    <w:div w:id="1308319365">
      <w:bodyDiv w:val="1"/>
      <w:marLeft w:val="0"/>
      <w:marRight w:val="0"/>
      <w:marTop w:val="0"/>
      <w:marBottom w:val="0"/>
      <w:divBdr>
        <w:top w:val="none" w:sz="0" w:space="0" w:color="auto"/>
        <w:left w:val="none" w:sz="0" w:space="0" w:color="auto"/>
        <w:bottom w:val="none" w:sz="0" w:space="0" w:color="auto"/>
        <w:right w:val="none" w:sz="0" w:space="0" w:color="auto"/>
      </w:divBdr>
    </w:div>
    <w:div w:id="1364861530">
      <w:bodyDiv w:val="1"/>
      <w:marLeft w:val="0"/>
      <w:marRight w:val="0"/>
      <w:marTop w:val="0"/>
      <w:marBottom w:val="0"/>
      <w:divBdr>
        <w:top w:val="none" w:sz="0" w:space="0" w:color="auto"/>
        <w:left w:val="none" w:sz="0" w:space="0" w:color="auto"/>
        <w:bottom w:val="none" w:sz="0" w:space="0" w:color="auto"/>
        <w:right w:val="none" w:sz="0" w:space="0" w:color="auto"/>
      </w:divBdr>
    </w:div>
    <w:div w:id="1373068187">
      <w:bodyDiv w:val="1"/>
      <w:marLeft w:val="0"/>
      <w:marRight w:val="0"/>
      <w:marTop w:val="0"/>
      <w:marBottom w:val="0"/>
      <w:divBdr>
        <w:top w:val="none" w:sz="0" w:space="0" w:color="auto"/>
        <w:left w:val="none" w:sz="0" w:space="0" w:color="auto"/>
        <w:bottom w:val="none" w:sz="0" w:space="0" w:color="auto"/>
        <w:right w:val="none" w:sz="0" w:space="0" w:color="auto"/>
      </w:divBdr>
    </w:div>
    <w:div w:id="1374497848">
      <w:bodyDiv w:val="1"/>
      <w:marLeft w:val="0"/>
      <w:marRight w:val="0"/>
      <w:marTop w:val="0"/>
      <w:marBottom w:val="0"/>
      <w:divBdr>
        <w:top w:val="none" w:sz="0" w:space="0" w:color="auto"/>
        <w:left w:val="none" w:sz="0" w:space="0" w:color="auto"/>
        <w:bottom w:val="none" w:sz="0" w:space="0" w:color="auto"/>
        <w:right w:val="none" w:sz="0" w:space="0" w:color="auto"/>
      </w:divBdr>
    </w:div>
    <w:div w:id="1384409893">
      <w:bodyDiv w:val="1"/>
      <w:marLeft w:val="0"/>
      <w:marRight w:val="0"/>
      <w:marTop w:val="0"/>
      <w:marBottom w:val="0"/>
      <w:divBdr>
        <w:top w:val="none" w:sz="0" w:space="0" w:color="auto"/>
        <w:left w:val="none" w:sz="0" w:space="0" w:color="auto"/>
        <w:bottom w:val="none" w:sz="0" w:space="0" w:color="auto"/>
        <w:right w:val="none" w:sz="0" w:space="0" w:color="auto"/>
      </w:divBdr>
    </w:div>
    <w:div w:id="1394085413">
      <w:bodyDiv w:val="1"/>
      <w:marLeft w:val="0"/>
      <w:marRight w:val="0"/>
      <w:marTop w:val="0"/>
      <w:marBottom w:val="0"/>
      <w:divBdr>
        <w:top w:val="none" w:sz="0" w:space="0" w:color="auto"/>
        <w:left w:val="none" w:sz="0" w:space="0" w:color="auto"/>
        <w:bottom w:val="none" w:sz="0" w:space="0" w:color="auto"/>
        <w:right w:val="none" w:sz="0" w:space="0" w:color="auto"/>
      </w:divBdr>
    </w:div>
    <w:div w:id="1395471065">
      <w:bodyDiv w:val="1"/>
      <w:marLeft w:val="0"/>
      <w:marRight w:val="0"/>
      <w:marTop w:val="0"/>
      <w:marBottom w:val="0"/>
      <w:divBdr>
        <w:top w:val="none" w:sz="0" w:space="0" w:color="auto"/>
        <w:left w:val="none" w:sz="0" w:space="0" w:color="auto"/>
        <w:bottom w:val="none" w:sz="0" w:space="0" w:color="auto"/>
        <w:right w:val="none" w:sz="0" w:space="0" w:color="auto"/>
      </w:divBdr>
    </w:div>
    <w:div w:id="1408648976">
      <w:bodyDiv w:val="1"/>
      <w:marLeft w:val="0"/>
      <w:marRight w:val="0"/>
      <w:marTop w:val="0"/>
      <w:marBottom w:val="0"/>
      <w:divBdr>
        <w:top w:val="none" w:sz="0" w:space="0" w:color="auto"/>
        <w:left w:val="none" w:sz="0" w:space="0" w:color="auto"/>
        <w:bottom w:val="none" w:sz="0" w:space="0" w:color="auto"/>
        <w:right w:val="none" w:sz="0" w:space="0" w:color="auto"/>
      </w:divBdr>
    </w:div>
    <w:div w:id="1425036710">
      <w:bodyDiv w:val="1"/>
      <w:marLeft w:val="0"/>
      <w:marRight w:val="0"/>
      <w:marTop w:val="0"/>
      <w:marBottom w:val="0"/>
      <w:divBdr>
        <w:top w:val="none" w:sz="0" w:space="0" w:color="auto"/>
        <w:left w:val="none" w:sz="0" w:space="0" w:color="auto"/>
        <w:bottom w:val="none" w:sz="0" w:space="0" w:color="auto"/>
        <w:right w:val="none" w:sz="0" w:space="0" w:color="auto"/>
      </w:divBdr>
      <w:divsChild>
        <w:div w:id="1454400965">
          <w:marLeft w:val="0"/>
          <w:marRight w:val="0"/>
          <w:marTop w:val="0"/>
          <w:marBottom w:val="0"/>
          <w:divBdr>
            <w:top w:val="none" w:sz="0" w:space="0" w:color="auto"/>
            <w:left w:val="none" w:sz="0" w:space="0" w:color="auto"/>
            <w:bottom w:val="none" w:sz="0" w:space="0" w:color="auto"/>
            <w:right w:val="none" w:sz="0" w:space="0" w:color="auto"/>
          </w:divBdr>
        </w:div>
      </w:divsChild>
    </w:div>
    <w:div w:id="1427918391">
      <w:bodyDiv w:val="1"/>
      <w:marLeft w:val="0"/>
      <w:marRight w:val="0"/>
      <w:marTop w:val="0"/>
      <w:marBottom w:val="0"/>
      <w:divBdr>
        <w:top w:val="none" w:sz="0" w:space="0" w:color="auto"/>
        <w:left w:val="none" w:sz="0" w:space="0" w:color="auto"/>
        <w:bottom w:val="none" w:sz="0" w:space="0" w:color="auto"/>
        <w:right w:val="none" w:sz="0" w:space="0" w:color="auto"/>
      </w:divBdr>
    </w:div>
    <w:div w:id="1430077572">
      <w:bodyDiv w:val="1"/>
      <w:marLeft w:val="0"/>
      <w:marRight w:val="0"/>
      <w:marTop w:val="0"/>
      <w:marBottom w:val="0"/>
      <w:divBdr>
        <w:top w:val="none" w:sz="0" w:space="0" w:color="auto"/>
        <w:left w:val="none" w:sz="0" w:space="0" w:color="auto"/>
        <w:bottom w:val="none" w:sz="0" w:space="0" w:color="auto"/>
        <w:right w:val="none" w:sz="0" w:space="0" w:color="auto"/>
      </w:divBdr>
    </w:div>
    <w:div w:id="1499617300">
      <w:bodyDiv w:val="1"/>
      <w:marLeft w:val="0"/>
      <w:marRight w:val="0"/>
      <w:marTop w:val="0"/>
      <w:marBottom w:val="0"/>
      <w:divBdr>
        <w:top w:val="none" w:sz="0" w:space="0" w:color="auto"/>
        <w:left w:val="none" w:sz="0" w:space="0" w:color="auto"/>
        <w:bottom w:val="none" w:sz="0" w:space="0" w:color="auto"/>
        <w:right w:val="none" w:sz="0" w:space="0" w:color="auto"/>
      </w:divBdr>
    </w:div>
    <w:div w:id="1516529341">
      <w:bodyDiv w:val="1"/>
      <w:marLeft w:val="0"/>
      <w:marRight w:val="0"/>
      <w:marTop w:val="0"/>
      <w:marBottom w:val="0"/>
      <w:divBdr>
        <w:top w:val="none" w:sz="0" w:space="0" w:color="auto"/>
        <w:left w:val="none" w:sz="0" w:space="0" w:color="auto"/>
        <w:bottom w:val="none" w:sz="0" w:space="0" w:color="auto"/>
        <w:right w:val="none" w:sz="0" w:space="0" w:color="auto"/>
      </w:divBdr>
    </w:div>
    <w:div w:id="1519658469">
      <w:bodyDiv w:val="1"/>
      <w:marLeft w:val="0"/>
      <w:marRight w:val="0"/>
      <w:marTop w:val="0"/>
      <w:marBottom w:val="0"/>
      <w:divBdr>
        <w:top w:val="none" w:sz="0" w:space="0" w:color="auto"/>
        <w:left w:val="none" w:sz="0" w:space="0" w:color="auto"/>
        <w:bottom w:val="none" w:sz="0" w:space="0" w:color="auto"/>
        <w:right w:val="none" w:sz="0" w:space="0" w:color="auto"/>
      </w:divBdr>
    </w:div>
    <w:div w:id="1534268494">
      <w:bodyDiv w:val="1"/>
      <w:marLeft w:val="0"/>
      <w:marRight w:val="0"/>
      <w:marTop w:val="0"/>
      <w:marBottom w:val="0"/>
      <w:divBdr>
        <w:top w:val="none" w:sz="0" w:space="0" w:color="auto"/>
        <w:left w:val="none" w:sz="0" w:space="0" w:color="auto"/>
        <w:bottom w:val="none" w:sz="0" w:space="0" w:color="auto"/>
        <w:right w:val="none" w:sz="0" w:space="0" w:color="auto"/>
      </w:divBdr>
    </w:div>
    <w:div w:id="1594048118">
      <w:bodyDiv w:val="1"/>
      <w:marLeft w:val="0"/>
      <w:marRight w:val="0"/>
      <w:marTop w:val="0"/>
      <w:marBottom w:val="0"/>
      <w:divBdr>
        <w:top w:val="none" w:sz="0" w:space="0" w:color="auto"/>
        <w:left w:val="none" w:sz="0" w:space="0" w:color="auto"/>
        <w:bottom w:val="none" w:sz="0" w:space="0" w:color="auto"/>
        <w:right w:val="none" w:sz="0" w:space="0" w:color="auto"/>
      </w:divBdr>
    </w:div>
    <w:div w:id="1612710933">
      <w:bodyDiv w:val="1"/>
      <w:marLeft w:val="0"/>
      <w:marRight w:val="0"/>
      <w:marTop w:val="0"/>
      <w:marBottom w:val="0"/>
      <w:divBdr>
        <w:top w:val="none" w:sz="0" w:space="0" w:color="auto"/>
        <w:left w:val="none" w:sz="0" w:space="0" w:color="auto"/>
        <w:bottom w:val="none" w:sz="0" w:space="0" w:color="auto"/>
        <w:right w:val="none" w:sz="0" w:space="0" w:color="auto"/>
      </w:divBdr>
    </w:div>
    <w:div w:id="1651707766">
      <w:bodyDiv w:val="1"/>
      <w:marLeft w:val="0"/>
      <w:marRight w:val="0"/>
      <w:marTop w:val="0"/>
      <w:marBottom w:val="0"/>
      <w:divBdr>
        <w:top w:val="none" w:sz="0" w:space="0" w:color="auto"/>
        <w:left w:val="none" w:sz="0" w:space="0" w:color="auto"/>
        <w:bottom w:val="none" w:sz="0" w:space="0" w:color="auto"/>
        <w:right w:val="none" w:sz="0" w:space="0" w:color="auto"/>
      </w:divBdr>
    </w:div>
    <w:div w:id="1686593656">
      <w:bodyDiv w:val="1"/>
      <w:marLeft w:val="0"/>
      <w:marRight w:val="0"/>
      <w:marTop w:val="0"/>
      <w:marBottom w:val="0"/>
      <w:divBdr>
        <w:top w:val="none" w:sz="0" w:space="0" w:color="auto"/>
        <w:left w:val="none" w:sz="0" w:space="0" w:color="auto"/>
        <w:bottom w:val="none" w:sz="0" w:space="0" w:color="auto"/>
        <w:right w:val="none" w:sz="0" w:space="0" w:color="auto"/>
      </w:divBdr>
    </w:div>
    <w:div w:id="1708484564">
      <w:bodyDiv w:val="1"/>
      <w:marLeft w:val="0"/>
      <w:marRight w:val="0"/>
      <w:marTop w:val="0"/>
      <w:marBottom w:val="0"/>
      <w:divBdr>
        <w:top w:val="none" w:sz="0" w:space="0" w:color="auto"/>
        <w:left w:val="none" w:sz="0" w:space="0" w:color="auto"/>
        <w:bottom w:val="none" w:sz="0" w:space="0" w:color="auto"/>
        <w:right w:val="none" w:sz="0" w:space="0" w:color="auto"/>
      </w:divBdr>
    </w:div>
    <w:div w:id="1712028159">
      <w:bodyDiv w:val="1"/>
      <w:marLeft w:val="0"/>
      <w:marRight w:val="0"/>
      <w:marTop w:val="0"/>
      <w:marBottom w:val="0"/>
      <w:divBdr>
        <w:top w:val="none" w:sz="0" w:space="0" w:color="auto"/>
        <w:left w:val="none" w:sz="0" w:space="0" w:color="auto"/>
        <w:bottom w:val="none" w:sz="0" w:space="0" w:color="auto"/>
        <w:right w:val="none" w:sz="0" w:space="0" w:color="auto"/>
      </w:divBdr>
    </w:div>
    <w:div w:id="1715152032">
      <w:bodyDiv w:val="1"/>
      <w:marLeft w:val="0"/>
      <w:marRight w:val="0"/>
      <w:marTop w:val="0"/>
      <w:marBottom w:val="0"/>
      <w:divBdr>
        <w:top w:val="none" w:sz="0" w:space="0" w:color="auto"/>
        <w:left w:val="none" w:sz="0" w:space="0" w:color="auto"/>
        <w:bottom w:val="none" w:sz="0" w:space="0" w:color="auto"/>
        <w:right w:val="none" w:sz="0" w:space="0" w:color="auto"/>
      </w:divBdr>
    </w:div>
    <w:div w:id="1744453438">
      <w:bodyDiv w:val="1"/>
      <w:marLeft w:val="0"/>
      <w:marRight w:val="0"/>
      <w:marTop w:val="0"/>
      <w:marBottom w:val="0"/>
      <w:divBdr>
        <w:top w:val="none" w:sz="0" w:space="0" w:color="auto"/>
        <w:left w:val="none" w:sz="0" w:space="0" w:color="auto"/>
        <w:bottom w:val="none" w:sz="0" w:space="0" w:color="auto"/>
        <w:right w:val="none" w:sz="0" w:space="0" w:color="auto"/>
      </w:divBdr>
    </w:div>
    <w:div w:id="1773889559">
      <w:bodyDiv w:val="1"/>
      <w:marLeft w:val="0"/>
      <w:marRight w:val="0"/>
      <w:marTop w:val="0"/>
      <w:marBottom w:val="0"/>
      <w:divBdr>
        <w:top w:val="none" w:sz="0" w:space="0" w:color="auto"/>
        <w:left w:val="none" w:sz="0" w:space="0" w:color="auto"/>
        <w:bottom w:val="none" w:sz="0" w:space="0" w:color="auto"/>
        <w:right w:val="none" w:sz="0" w:space="0" w:color="auto"/>
      </w:divBdr>
    </w:div>
    <w:div w:id="1787844301">
      <w:bodyDiv w:val="1"/>
      <w:marLeft w:val="0"/>
      <w:marRight w:val="0"/>
      <w:marTop w:val="0"/>
      <w:marBottom w:val="0"/>
      <w:divBdr>
        <w:top w:val="none" w:sz="0" w:space="0" w:color="auto"/>
        <w:left w:val="none" w:sz="0" w:space="0" w:color="auto"/>
        <w:bottom w:val="none" w:sz="0" w:space="0" w:color="auto"/>
        <w:right w:val="none" w:sz="0" w:space="0" w:color="auto"/>
      </w:divBdr>
    </w:div>
    <w:div w:id="1793086298">
      <w:bodyDiv w:val="1"/>
      <w:marLeft w:val="0"/>
      <w:marRight w:val="0"/>
      <w:marTop w:val="0"/>
      <w:marBottom w:val="0"/>
      <w:divBdr>
        <w:top w:val="none" w:sz="0" w:space="0" w:color="auto"/>
        <w:left w:val="none" w:sz="0" w:space="0" w:color="auto"/>
        <w:bottom w:val="none" w:sz="0" w:space="0" w:color="auto"/>
        <w:right w:val="none" w:sz="0" w:space="0" w:color="auto"/>
      </w:divBdr>
    </w:div>
    <w:div w:id="1812549895">
      <w:bodyDiv w:val="1"/>
      <w:marLeft w:val="0"/>
      <w:marRight w:val="0"/>
      <w:marTop w:val="0"/>
      <w:marBottom w:val="0"/>
      <w:divBdr>
        <w:top w:val="none" w:sz="0" w:space="0" w:color="auto"/>
        <w:left w:val="none" w:sz="0" w:space="0" w:color="auto"/>
        <w:bottom w:val="none" w:sz="0" w:space="0" w:color="auto"/>
        <w:right w:val="none" w:sz="0" w:space="0" w:color="auto"/>
      </w:divBdr>
    </w:div>
    <w:div w:id="1816297236">
      <w:bodyDiv w:val="1"/>
      <w:marLeft w:val="0"/>
      <w:marRight w:val="0"/>
      <w:marTop w:val="0"/>
      <w:marBottom w:val="0"/>
      <w:divBdr>
        <w:top w:val="none" w:sz="0" w:space="0" w:color="auto"/>
        <w:left w:val="none" w:sz="0" w:space="0" w:color="auto"/>
        <w:bottom w:val="none" w:sz="0" w:space="0" w:color="auto"/>
        <w:right w:val="none" w:sz="0" w:space="0" w:color="auto"/>
      </w:divBdr>
    </w:div>
    <w:div w:id="1848204398">
      <w:bodyDiv w:val="1"/>
      <w:marLeft w:val="0"/>
      <w:marRight w:val="0"/>
      <w:marTop w:val="0"/>
      <w:marBottom w:val="0"/>
      <w:divBdr>
        <w:top w:val="none" w:sz="0" w:space="0" w:color="auto"/>
        <w:left w:val="none" w:sz="0" w:space="0" w:color="auto"/>
        <w:bottom w:val="none" w:sz="0" w:space="0" w:color="auto"/>
        <w:right w:val="none" w:sz="0" w:space="0" w:color="auto"/>
      </w:divBdr>
    </w:div>
    <w:div w:id="1851721924">
      <w:bodyDiv w:val="1"/>
      <w:marLeft w:val="0"/>
      <w:marRight w:val="0"/>
      <w:marTop w:val="0"/>
      <w:marBottom w:val="0"/>
      <w:divBdr>
        <w:top w:val="none" w:sz="0" w:space="0" w:color="auto"/>
        <w:left w:val="none" w:sz="0" w:space="0" w:color="auto"/>
        <w:bottom w:val="none" w:sz="0" w:space="0" w:color="auto"/>
        <w:right w:val="none" w:sz="0" w:space="0" w:color="auto"/>
      </w:divBdr>
    </w:div>
    <w:div w:id="1853761120">
      <w:bodyDiv w:val="1"/>
      <w:marLeft w:val="0"/>
      <w:marRight w:val="0"/>
      <w:marTop w:val="0"/>
      <w:marBottom w:val="0"/>
      <w:divBdr>
        <w:top w:val="none" w:sz="0" w:space="0" w:color="auto"/>
        <w:left w:val="none" w:sz="0" w:space="0" w:color="auto"/>
        <w:bottom w:val="none" w:sz="0" w:space="0" w:color="auto"/>
        <w:right w:val="none" w:sz="0" w:space="0" w:color="auto"/>
      </w:divBdr>
    </w:div>
    <w:div w:id="1865900417">
      <w:bodyDiv w:val="1"/>
      <w:marLeft w:val="0"/>
      <w:marRight w:val="0"/>
      <w:marTop w:val="0"/>
      <w:marBottom w:val="0"/>
      <w:divBdr>
        <w:top w:val="none" w:sz="0" w:space="0" w:color="auto"/>
        <w:left w:val="none" w:sz="0" w:space="0" w:color="auto"/>
        <w:bottom w:val="none" w:sz="0" w:space="0" w:color="auto"/>
        <w:right w:val="none" w:sz="0" w:space="0" w:color="auto"/>
      </w:divBdr>
    </w:div>
    <w:div w:id="1873154783">
      <w:bodyDiv w:val="1"/>
      <w:marLeft w:val="0"/>
      <w:marRight w:val="0"/>
      <w:marTop w:val="0"/>
      <w:marBottom w:val="0"/>
      <w:divBdr>
        <w:top w:val="none" w:sz="0" w:space="0" w:color="auto"/>
        <w:left w:val="none" w:sz="0" w:space="0" w:color="auto"/>
        <w:bottom w:val="none" w:sz="0" w:space="0" w:color="auto"/>
        <w:right w:val="none" w:sz="0" w:space="0" w:color="auto"/>
      </w:divBdr>
    </w:div>
    <w:div w:id="1890605890">
      <w:bodyDiv w:val="1"/>
      <w:marLeft w:val="0"/>
      <w:marRight w:val="0"/>
      <w:marTop w:val="0"/>
      <w:marBottom w:val="0"/>
      <w:divBdr>
        <w:top w:val="none" w:sz="0" w:space="0" w:color="auto"/>
        <w:left w:val="none" w:sz="0" w:space="0" w:color="auto"/>
        <w:bottom w:val="none" w:sz="0" w:space="0" w:color="auto"/>
        <w:right w:val="none" w:sz="0" w:space="0" w:color="auto"/>
      </w:divBdr>
    </w:div>
    <w:div w:id="1901593623">
      <w:bodyDiv w:val="1"/>
      <w:marLeft w:val="0"/>
      <w:marRight w:val="0"/>
      <w:marTop w:val="0"/>
      <w:marBottom w:val="0"/>
      <w:divBdr>
        <w:top w:val="none" w:sz="0" w:space="0" w:color="auto"/>
        <w:left w:val="none" w:sz="0" w:space="0" w:color="auto"/>
        <w:bottom w:val="none" w:sz="0" w:space="0" w:color="auto"/>
        <w:right w:val="none" w:sz="0" w:space="0" w:color="auto"/>
      </w:divBdr>
    </w:div>
    <w:div w:id="1913655507">
      <w:bodyDiv w:val="1"/>
      <w:marLeft w:val="0"/>
      <w:marRight w:val="0"/>
      <w:marTop w:val="0"/>
      <w:marBottom w:val="0"/>
      <w:divBdr>
        <w:top w:val="none" w:sz="0" w:space="0" w:color="auto"/>
        <w:left w:val="none" w:sz="0" w:space="0" w:color="auto"/>
        <w:bottom w:val="none" w:sz="0" w:space="0" w:color="auto"/>
        <w:right w:val="none" w:sz="0" w:space="0" w:color="auto"/>
      </w:divBdr>
    </w:div>
    <w:div w:id="1946111010">
      <w:bodyDiv w:val="1"/>
      <w:marLeft w:val="0"/>
      <w:marRight w:val="0"/>
      <w:marTop w:val="0"/>
      <w:marBottom w:val="0"/>
      <w:divBdr>
        <w:top w:val="none" w:sz="0" w:space="0" w:color="auto"/>
        <w:left w:val="none" w:sz="0" w:space="0" w:color="auto"/>
        <w:bottom w:val="none" w:sz="0" w:space="0" w:color="auto"/>
        <w:right w:val="none" w:sz="0" w:space="0" w:color="auto"/>
      </w:divBdr>
    </w:div>
    <w:div w:id="1951161037">
      <w:bodyDiv w:val="1"/>
      <w:marLeft w:val="0"/>
      <w:marRight w:val="0"/>
      <w:marTop w:val="0"/>
      <w:marBottom w:val="0"/>
      <w:divBdr>
        <w:top w:val="none" w:sz="0" w:space="0" w:color="auto"/>
        <w:left w:val="none" w:sz="0" w:space="0" w:color="auto"/>
        <w:bottom w:val="none" w:sz="0" w:space="0" w:color="auto"/>
        <w:right w:val="none" w:sz="0" w:space="0" w:color="auto"/>
      </w:divBdr>
    </w:div>
    <w:div w:id="1978291681">
      <w:bodyDiv w:val="1"/>
      <w:marLeft w:val="0"/>
      <w:marRight w:val="0"/>
      <w:marTop w:val="0"/>
      <w:marBottom w:val="0"/>
      <w:divBdr>
        <w:top w:val="none" w:sz="0" w:space="0" w:color="auto"/>
        <w:left w:val="none" w:sz="0" w:space="0" w:color="auto"/>
        <w:bottom w:val="none" w:sz="0" w:space="0" w:color="auto"/>
        <w:right w:val="none" w:sz="0" w:space="0" w:color="auto"/>
      </w:divBdr>
    </w:div>
    <w:div w:id="1985158654">
      <w:bodyDiv w:val="1"/>
      <w:marLeft w:val="0"/>
      <w:marRight w:val="0"/>
      <w:marTop w:val="0"/>
      <w:marBottom w:val="0"/>
      <w:divBdr>
        <w:top w:val="none" w:sz="0" w:space="0" w:color="auto"/>
        <w:left w:val="none" w:sz="0" w:space="0" w:color="auto"/>
        <w:bottom w:val="none" w:sz="0" w:space="0" w:color="auto"/>
        <w:right w:val="none" w:sz="0" w:space="0" w:color="auto"/>
      </w:divBdr>
    </w:div>
    <w:div w:id="1986812560">
      <w:bodyDiv w:val="1"/>
      <w:marLeft w:val="0"/>
      <w:marRight w:val="0"/>
      <w:marTop w:val="0"/>
      <w:marBottom w:val="0"/>
      <w:divBdr>
        <w:top w:val="none" w:sz="0" w:space="0" w:color="auto"/>
        <w:left w:val="none" w:sz="0" w:space="0" w:color="auto"/>
        <w:bottom w:val="none" w:sz="0" w:space="0" w:color="auto"/>
        <w:right w:val="none" w:sz="0" w:space="0" w:color="auto"/>
      </w:divBdr>
    </w:div>
    <w:div w:id="2061981216">
      <w:bodyDiv w:val="1"/>
      <w:marLeft w:val="0"/>
      <w:marRight w:val="0"/>
      <w:marTop w:val="0"/>
      <w:marBottom w:val="0"/>
      <w:divBdr>
        <w:top w:val="none" w:sz="0" w:space="0" w:color="auto"/>
        <w:left w:val="none" w:sz="0" w:space="0" w:color="auto"/>
        <w:bottom w:val="none" w:sz="0" w:space="0" w:color="auto"/>
        <w:right w:val="none" w:sz="0" w:space="0" w:color="auto"/>
      </w:divBdr>
    </w:div>
    <w:div w:id="2082481491">
      <w:bodyDiv w:val="1"/>
      <w:marLeft w:val="0"/>
      <w:marRight w:val="0"/>
      <w:marTop w:val="0"/>
      <w:marBottom w:val="0"/>
      <w:divBdr>
        <w:top w:val="none" w:sz="0" w:space="0" w:color="auto"/>
        <w:left w:val="none" w:sz="0" w:space="0" w:color="auto"/>
        <w:bottom w:val="none" w:sz="0" w:space="0" w:color="auto"/>
        <w:right w:val="none" w:sz="0" w:space="0" w:color="auto"/>
      </w:divBdr>
    </w:div>
    <w:div w:id="2109351858">
      <w:bodyDiv w:val="1"/>
      <w:marLeft w:val="0"/>
      <w:marRight w:val="0"/>
      <w:marTop w:val="0"/>
      <w:marBottom w:val="0"/>
      <w:divBdr>
        <w:top w:val="none" w:sz="0" w:space="0" w:color="auto"/>
        <w:left w:val="none" w:sz="0" w:space="0" w:color="auto"/>
        <w:bottom w:val="none" w:sz="0" w:space="0" w:color="auto"/>
        <w:right w:val="none" w:sz="0" w:space="0" w:color="auto"/>
      </w:divBdr>
    </w:div>
    <w:div w:id="21417277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3.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chart" Target="charts/chart7.xml"/><Relationship Id="rId89" Type="http://schemas.openxmlformats.org/officeDocument/2006/relationships/hyperlink" Target="https://headtohealth.gov.au/" TargetMode="Externa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image" Target="media/image11.png"/><Relationship Id="rId107" Type="http://schemas.openxmlformats.org/officeDocument/2006/relationships/image" Target="media/image70.png"/><Relationship Id="rId11" Type="http://schemas.openxmlformats.org/officeDocument/2006/relationships/hyperlink" Target="http://www.headtohealth.gov.au" TargetMode="Externa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8.png"/><Relationship Id="rId74" Type="http://schemas.openxmlformats.org/officeDocument/2006/relationships/image" Target="media/image56.png"/><Relationship Id="rId79" Type="http://schemas.openxmlformats.org/officeDocument/2006/relationships/image" Target="media/image61.png"/><Relationship Id="rId87" Type="http://schemas.openxmlformats.org/officeDocument/2006/relationships/chart" Target="charts/chart10.xml"/><Relationship Id="rId102" Type="http://schemas.openxmlformats.org/officeDocument/2006/relationships/image" Target="media/image65.png"/><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chart" Target="charts/chart5.xml"/><Relationship Id="rId90" Type="http://schemas.openxmlformats.org/officeDocument/2006/relationships/hyperlink" Target="https://www.abs.gov.au/articles/first-insights-national-study-mental-health-and-wellbeing-2020-21" TargetMode="External"/><Relationship Id="rId95" Type="http://schemas.openxmlformats.org/officeDocument/2006/relationships/hyperlink" Target="https://digital.nhs.uk/data-and-information/publications/statistical/psychological-therapies-annual-reports-on-the-use-of-iapt-services/annual-report-2020-21" TargetMode="External"/><Relationship Id="rId19" Type="http://schemas.openxmlformats.org/officeDocument/2006/relationships/header" Target="header2.xml"/><Relationship Id="rId14" Type="http://schemas.openxmlformats.org/officeDocument/2006/relationships/chart" Target="charts/chart1.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9.png"/><Relationship Id="rId100" Type="http://schemas.openxmlformats.org/officeDocument/2006/relationships/hyperlink" Target="https://www.abs.gov.au/AUSSTATS/abs@.nsf/Lookup/6306.0Main+Features1May%202018" TargetMode="External"/><Relationship Id="rId105" Type="http://schemas.openxmlformats.org/officeDocument/2006/relationships/image" Target="media/image68.png"/><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54.png"/><Relationship Id="rId80" Type="http://schemas.openxmlformats.org/officeDocument/2006/relationships/image" Target="media/image62.png"/><Relationship Id="rId85" Type="http://schemas.openxmlformats.org/officeDocument/2006/relationships/chart" Target="charts/chart8.xml"/><Relationship Id="rId93" Type="http://schemas.openxmlformats.org/officeDocument/2006/relationships/hyperlink" Target="https://www.amhocn.org/publications/kessler-10" TargetMode="External"/><Relationship Id="rId98" Type="http://schemas.openxmlformats.org/officeDocument/2006/relationships/hyperlink" Target="https://www.ihpa.gov.au/publications/national-hospital-cost-data-collection-report-public-sector-round-21-financial-year" TargetMode="External"/><Relationship Id="rId3" Type="http://schemas.openxmlformats.org/officeDocument/2006/relationships/styles" Target="styles.xml"/><Relationship Id="rId12" Type="http://schemas.openxmlformats.org/officeDocument/2006/relationships/hyperlink" Target="http://www.headtohealth.gov.au" TargetMode="External"/><Relationship Id="rId17" Type="http://schemas.openxmlformats.org/officeDocument/2006/relationships/chart" Target="charts/chart4.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103" Type="http://schemas.openxmlformats.org/officeDocument/2006/relationships/image" Target="media/image66.png"/><Relationship Id="rId108" Type="http://schemas.openxmlformats.org/officeDocument/2006/relationships/image" Target="media/image71.png"/><Relationship Id="rId20" Type="http://schemas.openxmlformats.org/officeDocument/2006/relationships/image" Target="media/image2.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chart" Target="charts/chart6.xml"/><Relationship Id="rId88" Type="http://schemas.openxmlformats.org/officeDocument/2006/relationships/chart" Target="charts/chart11.xml"/><Relationship Id="rId91" Type="http://schemas.openxmlformats.org/officeDocument/2006/relationships/hyperlink" Target="http://medicarestatistics.humanservices.gov.au/statistics/mbs_item.jsp" TargetMode="External"/><Relationship Id="rId96" Type="http://schemas.openxmlformats.org/officeDocument/2006/relationships/hyperlink" Target="https://cciprogram.org/researcher-services/types-of-community-involvement/" TargetMode="External"/><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6" Type="http://schemas.openxmlformats.org/officeDocument/2006/relationships/image" Target="media/image69.png"/><Relationship Id="rId10" Type="http://schemas.openxmlformats.org/officeDocument/2006/relationships/footer" Target="footer2.xm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chart" Target="charts/chart9.xml"/><Relationship Id="rId94" Type="http://schemas.openxmlformats.org/officeDocument/2006/relationships/hyperlink" Target="https://www.psyctc.org/stats/rcsc.htm" TargetMode="External"/><Relationship Id="rId99" Type="http://schemas.openxmlformats.org/officeDocument/2006/relationships/hyperlink" Target="https://www.pc.gov.au/research/ongoing/report-on-government-services/2019/health/ambulance-services/rogs-2019-parte-chapter11.pdf" TargetMode="External"/><Relationship Id="rId101" Type="http://schemas.openxmlformats.org/officeDocument/2006/relationships/image" Target="media/image64.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header" Target="header1.xml"/><Relationship Id="rId39" Type="http://schemas.openxmlformats.org/officeDocument/2006/relationships/image" Target="media/image21.png"/><Relationship Id="rId109" Type="http://schemas.openxmlformats.org/officeDocument/2006/relationships/image" Target="media/image72.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hyperlink" Target="https://www.abs.gov.au/statistics/labour/earnings-and-working-conditions/employee-earnings-and-hours-australia/may-2018" TargetMode="External"/><Relationship Id="rId104"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hyperlink" Target="https://www.abs.gov.au/ausstats/abs@.nsf/Lookup/4817.0.55.001Chapter92007-08"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bbass\OneDrive%20-%20The%20University%20of%20Melbourne\Supported%20online%20services\Existing%20data\Routinely%20collected%20data\Swinburne%20-%20MHOnline\Uptake%20and%20outcome%20data\MHO_UoM%20Summary%20Data.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tanandr.homes.deakin.edu.au\my-home\My%20Documents\My%20Projects\UoM%20Consultancy%20-%20Supported%20Online%20Mental%20Health%20Services\Deliverables\Final%20Report\MindSpot%20model%20AT.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tanandr.homes.deakin.edu.au\my-home\My%20Documents\My%20Projects\UoM%20Consultancy%20-%20Supported%20Online%20Mental%20Health%20Services\Deliverables\Final%20Report\MindSpot%20model%20AT.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var\folders\ws\cb5ykdf967s_mrt57g9shlwh0000gp\T\com.microsoft.Outlook\Outlook%20Temp\MHO_UoM%20Summary%20Data_Mindspot_KS%5b91%5d.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var\folders\ws\cb5ykdf967s_mrt57g9shlwh0000gp\T\com.microsoft.Outlook\Outlook%20Temp\THIS%20WAY%20UP%20-%20Uni%20of%20Melb%20Data%20-%20Part%201%20-%20KEQ1%20KEQ%203%20KEQ4%20Assessment%20-%20April%202022_KS%20Barcharts20220714%5b61%5d.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var\folders\ws\cb5ykdf967s_mrt57g9shlwh0000gp\T\com.microsoft.Outlook\Outlook%20Temp\THIS%20WAY%20UP%20-%20Uni%20of%20Melb%20Data%20-%20Part%201%20-%20KEQ1%20KEQ%203%20KEQ4%20Assessment%20-%20April%202022_KS%20Barcharts20220714%5b61%5d.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1.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tanandr.homes.deakin.edu.au\my-home\My%20Documents\My%20Projects\UoM%20Consultancy%20-%20Supported%20Online%20Mental%20Health%20Services\Leo's%20Data%20Requests\Actual%20Data%20from%20Services\MindSpot\MindSpot%20Health%20Economic%20Data_AT.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tanandr.homes.deakin.edu.au\my-home\My%20Documents\My%20Projects\UoM%20Consultancy%20-%20Supported%20Online%20Mental%20Health%20Services\Deliverables\Final%20Report\MindSpot%20model%20AT.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tanandr.homes.deakin.edu.au\my-home\My%20Documents\My%20Projects\UoM%20Consultancy%20-%20Supported%20Online%20Mental%20Health%20Services\Deliverables\Final%20Report\MindSpot%20model%20AT.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tanandr.homes.deakin.edu.au\my-home\My%20Documents\My%20Projects\UoM%20Consultancy%20-%20Supported%20Online%20Mental%20Health%20Services\Deliverables\Final%20Report\MindSpot%20model%20AT.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tanandr.homes.deakin.edu.au\my-home\My%20Documents\My%20Projects\UoM%20Consultancy%20-%20Supported%20Online%20Mental%20Health%20Services\Deliverables\Final%20Report\MindSpot%20model%20A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'6 month overall data'!$B$1</c:f>
              <c:strCache>
                <c:ptCount val="1"/>
                <c:pt idx="0">
                  <c:v>half</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'6 month overall data'!$A$2:$A$15</c:f>
              <c:strCache>
                <c:ptCount val="14"/>
                <c:pt idx="0">
                  <c:v>Jan-Jun 2015</c:v>
                </c:pt>
                <c:pt idx="1">
                  <c:v>Jul-Dec 2015</c:v>
                </c:pt>
                <c:pt idx="2">
                  <c:v>Jan-Jun 2016</c:v>
                </c:pt>
                <c:pt idx="3">
                  <c:v>Jul-Dec 2016</c:v>
                </c:pt>
                <c:pt idx="4">
                  <c:v>Jan-Jun 2017</c:v>
                </c:pt>
                <c:pt idx="5">
                  <c:v>Jul-Dec 2017</c:v>
                </c:pt>
                <c:pt idx="6">
                  <c:v>Jan-Jun 2018</c:v>
                </c:pt>
                <c:pt idx="7">
                  <c:v>Jul-Dec 2018</c:v>
                </c:pt>
                <c:pt idx="8">
                  <c:v>Jan-Jun 2019</c:v>
                </c:pt>
                <c:pt idx="9">
                  <c:v>Jul-Dec 2019</c:v>
                </c:pt>
                <c:pt idx="10">
                  <c:v>Jan-Jun 2020</c:v>
                </c:pt>
                <c:pt idx="11">
                  <c:v>Jul-Dec 2020</c:v>
                </c:pt>
                <c:pt idx="12">
                  <c:v>Jan-Jun 2021</c:v>
                </c:pt>
                <c:pt idx="13">
                  <c:v>Jul-Dec 2021</c:v>
                </c:pt>
              </c:strCache>
            </c:strRef>
          </c:cat>
          <c:val>
            <c:numRef>
              <c:f>'6 month overall data'!$B$2:$B$15</c:f>
            </c:numRef>
          </c:val>
          <c:extLst>
            <c:ext xmlns:c16="http://schemas.microsoft.com/office/drawing/2014/chart" uri="{C3380CC4-5D6E-409C-BE32-E72D297353CC}">
              <c16:uniqueId val="{00000000-A847-B045-8E06-94B6E3699B3F}"/>
            </c:ext>
          </c:extLst>
        </c:ser>
        <c:ser>
          <c:idx val="1"/>
          <c:order val="1"/>
          <c:tx>
            <c:strRef>
              <c:f>'6 month overall data'!$C$1</c:f>
              <c:strCache>
                <c:ptCount val="1"/>
                <c:pt idx="0">
                  <c:v>Program registrations</c:v>
                </c:pt>
              </c:strCache>
            </c:strRef>
          </c:tx>
          <c:spPr>
            <a:solidFill>
              <a:schemeClr val="accent2"/>
            </a:solidFill>
            <a:ln>
              <a:noFill/>
            </a:ln>
            <a:effectLst/>
          </c:spPr>
          <c:invertIfNegative val="0"/>
          <c:dLbls>
            <c:delete val="1"/>
          </c:dLbls>
          <c:cat>
            <c:strRef>
              <c:f>'6 month overall data'!$A$2:$A$15</c:f>
              <c:strCache>
                <c:ptCount val="14"/>
                <c:pt idx="0">
                  <c:v>Jan-Jun 2015</c:v>
                </c:pt>
                <c:pt idx="1">
                  <c:v>Jul-Dec 2015</c:v>
                </c:pt>
                <c:pt idx="2">
                  <c:v>Jan-Jun 2016</c:v>
                </c:pt>
                <c:pt idx="3">
                  <c:v>Jul-Dec 2016</c:v>
                </c:pt>
                <c:pt idx="4">
                  <c:v>Jan-Jun 2017</c:v>
                </c:pt>
                <c:pt idx="5">
                  <c:v>Jul-Dec 2017</c:v>
                </c:pt>
                <c:pt idx="6">
                  <c:v>Jan-Jun 2018</c:v>
                </c:pt>
                <c:pt idx="7">
                  <c:v>Jul-Dec 2018</c:v>
                </c:pt>
                <c:pt idx="8">
                  <c:v>Jan-Jun 2019</c:v>
                </c:pt>
                <c:pt idx="9">
                  <c:v>Jul-Dec 2019</c:v>
                </c:pt>
                <c:pt idx="10">
                  <c:v>Jan-Jun 2020</c:v>
                </c:pt>
                <c:pt idx="11">
                  <c:v>Jul-Dec 2020</c:v>
                </c:pt>
                <c:pt idx="12">
                  <c:v>Jan-Jun 2021</c:v>
                </c:pt>
                <c:pt idx="13">
                  <c:v>Jul-Dec 2021</c:v>
                </c:pt>
              </c:strCache>
            </c:strRef>
          </c:cat>
          <c:val>
            <c:numRef>
              <c:f>'6 month overall data'!$C$2:$C$15</c:f>
              <c:numCache>
                <c:formatCode>General</c:formatCode>
                <c:ptCount val="14"/>
                <c:pt idx="0">
                  <c:v>542</c:v>
                </c:pt>
                <c:pt idx="1">
                  <c:v>492</c:v>
                </c:pt>
                <c:pt idx="2">
                  <c:v>528</c:v>
                </c:pt>
                <c:pt idx="3">
                  <c:v>460</c:v>
                </c:pt>
                <c:pt idx="4">
                  <c:v>439</c:v>
                </c:pt>
                <c:pt idx="5">
                  <c:v>379</c:v>
                </c:pt>
                <c:pt idx="6">
                  <c:v>570</c:v>
                </c:pt>
                <c:pt idx="7">
                  <c:v>713</c:v>
                </c:pt>
                <c:pt idx="8">
                  <c:v>1660</c:v>
                </c:pt>
                <c:pt idx="9">
                  <c:v>2065</c:v>
                </c:pt>
                <c:pt idx="10">
                  <c:v>3461</c:v>
                </c:pt>
                <c:pt idx="11">
                  <c:v>3915</c:v>
                </c:pt>
                <c:pt idx="12">
                  <c:v>3429</c:v>
                </c:pt>
                <c:pt idx="13">
                  <c:v>3345</c:v>
                </c:pt>
              </c:numCache>
            </c:numRef>
          </c:val>
          <c:extLst>
            <c:ext xmlns:c16="http://schemas.microsoft.com/office/drawing/2014/chart" uri="{C3380CC4-5D6E-409C-BE32-E72D297353CC}">
              <c16:uniqueId val="{00000001-A847-B045-8E06-94B6E3699B3F}"/>
            </c:ext>
          </c:extLst>
        </c:ser>
        <c:ser>
          <c:idx val="2"/>
          <c:order val="2"/>
          <c:tx>
            <c:strRef>
              <c:f>'6 month overall data'!$D$1</c:f>
              <c:strCache>
                <c:ptCount val="1"/>
                <c:pt idx="0">
                  <c:v>Therapist Assist registrations</c:v>
                </c:pt>
              </c:strCache>
            </c:strRef>
          </c:tx>
          <c:spPr>
            <a:solidFill>
              <a:schemeClr val="accent3"/>
            </a:solidFill>
            <a:ln>
              <a:noFill/>
            </a:ln>
            <a:effectLst/>
          </c:spPr>
          <c:invertIfNegative val="0"/>
          <c:dLbls>
            <c:delete val="1"/>
          </c:dLbls>
          <c:cat>
            <c:strRef>
              <c:f>'6 month overall data'!$A$2:$A$15</c:f>
              <c:strCache>
                <c:ptCount val="14"/>
                <c:pt idx="0">
                  <c:v>Jan-Jun 2015</c:v>
                </c:pt>
                <c:pt idx="1">
                  <c:v>Jul-Dec 2015</c:v>
                </c:pt>
                <c:pt idx="2">
                  <c:v>Jan-Jun 2016</c:v>
                </c:pt>
                <c:pt idx="3">
                  <c:v>Jul-Dec 2016</c:v>
                </c:pt>
                <c:pt idx="4">
                  <c:v>Jan-Jun 2017</c:v>
                </c:pt>
                <c:pt idx="5">
                  <c:v>Jul-Dec 2017</c:v>
                </c:pt>
                <c:pt idx="6">
                  <c:v>Jan-Jun 2018</c:v>
                </c:pt>
                <c:pt idx="7">
                  <c:v>Jul-Dec 2018</c:v>
                </c:pt>
                <c:pt idx="8">
                  <c:v>Jan-Jun 2019</c:v>
                </c:pt>
                <c:pt idx="9">
                  <c:v>Jul-Dec 2019</c:v>
                </c:pt>
                <c:pt idx="10">
                  <c:v>Jan-Jun 2020</c:v>
                </c:pt>
                <c:pt idx="11">
                  <c:v>Jul-Dec 2020</c:v>
                </c:pt>
                <c:pt idx="12">
                  <c:v>Jan-Jun 2021</c:v>
                </c:pt>
                <c:pt idx="13">
                  <c:v>Jul-Dec 2021</c:v>
                </c:pt>
              </c:strCache>
            </c:strRef>
          </c:cat>
          <c:val>
            <c:numRef>
              <c:f>'6 month overall data'!$D$2:$D$15</c:f>
              <c:numCache>
                <c:formatCode>General</c:formatCode>
                <c:ptCount val="14"/>
                <c:pt idx="0">
                  <c:v>55</c:v>
                </c:pt>
                <c:pt idx="1">
                  <c:v>37</c:v>
                </c:pt>
                <c:pt idx="2">
                  <c:v>36</c:v>
                </c:pt>
                <c:pt idx="3">
                  <c:v>42</c:v>
                </c:pt>
                <c:pt idx="4">
                  <c:v>43</c:v>
                </c:pt>
                <c:pt idx="5">
                  <c:v>29</c:v>
                </c:pt>
                <c:pt idx="6">
                  <c:v>45</c:v>
                </c:pt>
                <c:pt idx="7">
                  <c:v>171</c:v>
                </c:pt>
                <c:pt idx="8">
                  <c:v>329</c:v>
                </c:pt>
                <c:pt idx="9">
                  <c:v>420</c:v>
                </c:pt>
                <c:pt idx="10">
                  <c:v>435</c:v>
                </c:pt>
                <c:pt idx="11">
                  <c:v>318</c:v>
                </c:pt>
                <c:pt idx="12">
                  <c:v>260</c:v>
                </c:pt>
                <c:pt idx="13">
                  <c:v>280</c:v>
                </c:pt>
              </c:numCache>
            </c:numRef>
          </c:val>
          <c:extLst>
            <c:ext xmlns:c16="http://schemas.microsoft.com/office/drawing/2014/chart" uri="{C3380CC4-5D6E-409C-BE32-E72D297353CC}">
              <c16:uniqueId val="{00000002-A847-B045-8E06-94B6E3699B3F}"/>
            </c:ext>
          </c:extLst>
        </c:ser>
        <c:ser>
          <c:idx val="3"/>
          <c:order val="3"/>
          <c:tx>
            <c:strRef>
              <c:f>'6 month overall data'!$E$1</c:f>
              <c:strCache>
                <c:ptCount val="1"/>
                <c:pt idx="0">
                  <c:v>Therapist Assist allocations</c:v>
                </c:pt>
              </c:strCache>
            </c:strRef>
          </c:tx>
          <c:spPr>
            <a:solidFill>
              <a:schemeClr val="accent4"/>
            </a:solidFill>
            <a:ln>
              <a:noFill/>
            </a:ln>
            <a:effectLst/>
          </c:spPr>
          <c:invertIfNegative val="0"/>
          <c:dLbls>
            <c:delete val="1"/>
          </c:dLbls>
          <c:cat>
            <c:strRef>
              <c:f>'6 month overall data'!$A$2:$A$15</c:f>
              <c:strCache>
                <c:ptCount val="14"/>
                <c:pt idx="0">
                  <c:v>Jan-Jun 2015</c:v>
                </c:pt>
                <c:pt idx="1">
                  <c:v>Jul-Dec 2015</c:v>
                </c:pt>
                <c:pt idx="2">
                  <c:v>Jan-Jun 2016</c:v>
                </c:pt>
                <c:pt idx="3">
                  <c:v>Jul-Dec 2016</c:v>
                </c:pt>
                <c:pt idx="4">
                  <c:v>Jan-Jun 2017</c:v>
                </c:pt>
                <c:pt idx="5">
                  <c:v>Jul-Dec 2017</c:v>
                </c:pt>
                <c:pt idx="6">
                  <c:v>Jan-Jun 2018</c:v>
                </c:pt>
                <c:pt idx="7">
                  <c:v>Jul-Dec 2018</c:v>
                </c:pt>
                <c:pt idx="8">
                  <c:v>Jan-Jun 2019</c:v>
                </c:pt>
                <c:pt idx="9">
                  <c:v>Jul-Dec 2019</c:v>
                </c:pt>
                <c:pt idx="10">
                  <c:v>Jan-Jun 2020</c:v>
                </c:pt>
                <c:pt idx="11">
                  <c:v>Jul-Dec 2020</c:v>
                </c:pt>
                <c:pt idx="12">
                  <c:v>Jan-Jun 2021</c:v>
                </c:pt>
                <c:pt idx="13">
                  <c:v>Jul-Dec 2021</c:v>
                </c:pt>
              </c:strCache>
            </c:strRef>
          </c:cat>
          <c:val>
            <c:numRef>
              <c:f>'6 month overall data'!$E$2:$E$15</c:f>
              <c:numCache>
                <c:formatCode>General</c:formatCode>
                <c:ptCount val="14"/>
                <c:pt idx="0">
                  <c:v>6</c:v>
                </c:pt>
                <c:pt idx="1">
                  <c:v>7</c:v>
                </c:pt>
                <c:pt idx="2">
                  <c:v>22</c:v>
                </c:pt>
                <c:pt idx="3">
                  <c:v>22</c:v>
                </c:pt>
                <c:pt idx="4">
                  <c:v>22</c:v>
                </c:pt>
                <c:pt idx="5">
                  <c:v>29</c:v>
                </c:pt>
                <c:pt idx="6">
                  <c:v>26</c:v>
                </c:pt>
                <c:pt idx="7">
                  <c:v>94</c:v>
                </c:pt>
                <c:pt idx="8">
                  <c:v>157</c:v>
                </c:pt>
                <c:pt idx="9">
                  <c:v>143</c:v>
                </c:pt>
                <c:pt idx="10">
                  <c:v>137</c:v>
                </c:pt>
                <c:pt idx="11">
                  <c:v>168</c:v>
                </c:pt>
                <c:pt idx="12">
                  <c:v>120</c:v>
                </c:pt>
                <c:pt idx="13">
                  <c:v>129</c:v>
                </c:pt>
              </c:numCache>
            </c:numRef>
          </c:val>
          <c:extLst>
            <c:ext xmlns:c16="http://schemas.microsoft.com/office/drawing/2014/chart" uri="{C3380CC4-5D6E-409C-BE32-E72D297353CC}">
              <c16:uniqueId val="{00000003-A847-B045-8E06-94B6E3699B3F}"/>
            </c:ext>
          </c:extLst>
        </c:ser>
        <c:ser>
          <c:idx val="4"/>
          <c:order val="4"/>
          <c:tx>
            <c:strRef>
              <c:f>'6 month overall data'!$F$1</c:f>
              <c:strCache>
                <c:ptCount val="1"/>
                <c:pt idx="0">
                  <c:v>Therapist Assist completions</c:v>
                </c:pt>
              </c:strCache>
            </c:strRef>
          </c:tx>
          <c:spPr>
            <a:solidFill>
              <a:schemeClr val="accent5"/>
            </a:solidFill>
            <a:ln>
              <a:noFill/>
            </a:ln>
            <a:effectLst/>
          </c:spPr>
          <c:invertIfNegative val="0"/>
          <c:dLbls>
            <c:delete val="1"/>
          </c:dLbls>
          <c:cat>
            <c:strRef>
              <c:f>'6 month overall data'!$A$2:$A$15</c:f>
              <c:strCache>
                <c:ptCount val="14"/>
                <c:pt idx="0">
                  <c:v>Jan-Jun 2015</c:v>
                </c:pt>
                <c:pt idx="1">
                  <c:v>Jul-Dec 2015</c:v>
                </c:pt>
                <c:pt idx="2">
                  <c:v>Jan-Jun 2016</c:v>
                </c:pt>
                <c:pt idx="3">
                  <c:v>Jul-Dec 2016</c:v>
                </c:pt>
                <c:pt idx="4">
                  <c:v>Jan-Jun 2017</c:v>
                </c:pt>
                <c:pt idx="5">
                  <c:v>Jul-Dec 2017</c:v>
                </c:pt>
                <c:pt idx="6">
                  <c:v>Jan-Jun 2018</c:v>
                </c:pt>
                <c:pt idx="7">
                  <c:v>Jul-Dec 2018</c:v>
                </c:pt>
                <c:pt idx="8">
                  <c:v>Jan-Jun 2019</c:v>
                </c:pt>
                <c:pt idx="9">
                  <c:v>Jul-Dec 2019</c:v>
                </c:pt>
                <c:pt idx="10">
                  <c:v>Jan-Jun 2020</c:v>
                </c:pt>
                <c:pt idx="11">
                  <c:v>Jul-Dec 2020</c:v>
                </c:pt>
                <c:pt idx="12">
                  <c:v>Jan-Jun 2021</c:v>
                </c:pt>
                <c:pt idx="13">
                  <c:v>Jul-Dec 2021</c:v>
                </c:pt>
              </c:strCache>
            </c:strRef>
          </c:cat>
          <c:val>
            <c:numRef>
              <c:f>'6 month overall data'!$F$2:$F$15</c:f>
            </c:numRef>
          </c:val>
          <c:extLst>
            <c:ext xmlns:c16="http://schemas.microsoft.com/office/drawing/2014/chart" uri="{C3380CC4-5D6E-409C-BE32-E72D297353CC}">
              <c16:uniqueId val="{00000004-A847-B045-8E06-94B6E3699B3F}"/>
            </c:ext>
          </c:extLst>
        </c:ser>
        <c:dLbls>
          <c:dLblPos val="inEnd"/>
          <c:showLegendKey val="0"/>
          <c:showVal val="1"/>
          <c:showCatName val="0"/>
          <c:showSerName val="0"/>
          <c:showPercent val="0"/>
          <c:showBubbleSize val="0"/>
        </c:dLbls>
        <c:gapWidth val="219"/>
        <c:overlap val="-27"/>
        <c:axId val="704635647"/>
        <c:axId val="704637295"/>
      </c:barChart>
      <c:catAx>
        <c:axId val="70463564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Half 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800" b="0" i="0" u="none" strike="noStrike" kern="1200" baseline="0">
                <a:ln>
                  <a:noFill/>
                </a:ln>
                <a:solidFill>
                  <a:schemeClr val="tx1">
                    <a:lumMod val="65000"/>
                    <a:lumOff val="35000"/>
                  </a:schemeClr>
                </a:solidFill>
                <a:latin typeface="Calibri" panose="020F0502020204030204" pitchFamily="34" charset="0"/>
                <a:ea typeface="+mn-ea"/>
                <a:cs typeface="+mn-cs"/>
              </a:defRPr>
            </a:pPr>
            <a:endParaRPr lang="en-US"/>
          </a:p>
        </c:txPr>
        <c:crossAx val="704637295"/>
        <c:crosses val="autoZero"/>
        <c:auto val="0"/>
        <c:lblAlgn val="ctr"/>
        <c:lblOffset val="100"/>
        <c:noMultiLvlLbl val="0"/>
      </c:catAx>
      <c:valAx>
        <c:axId val="70463729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46356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ICER</a:t>
            </a:r>
            <a:r>
              <a:rPr lang="en-AU" baseline="0"/>
              <a:t> for self-directed treatment</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'THIS WAY UP SA2'!$B$19</c:f>
              <c:strCache>
                <c:ptCount val="1"/>
                <c:pt idx="0">
                  <c:v>lower bound</c:v>
                </c:pt>
              </c:strCache>
            </c:strRef>
          </c:tx>
          <c:spPr>
            <a:solidFill>
              <a:schemeClr val="accent1"/>
            </a:solidFill>
            <a:ln>
              <a:noFill/>
            </a:ln>
            <a:effectLst/>
          </c:spPr>
          <c:invertIfNegative val="0"/>
          <c:cat>
            <c:strRef>
              <c:f>'THIS WAY UP SA2'!$A$20:$A$27</c:f>
              <c:strCache>
                <c:ptCount val="8"/>
                <c:pt idx="0">
                  <c:v>Utility of deterioration (95% CI)</c:v>
                </c:pt>
                <c:pt idx="1">
                  <c:v>Utility of no improvement (95% CI)</c:v>
                </c:pt>
                <c:pt idx="2">
                  <c:v>Utility of partially recovered (95% CI)</c:v>
                </c:pt>
                <c:pt idx="3">
                  <c:v>Utility of fully recovered (95% CI)</c:v>
                </c:pt>
                <c:pt idx="4">
                  <c:v>TP of deteriorated</c:v>
                </c:pt>
                <c:pt idx="5">
                  <c:v>TP of no improvement</c:v>
                </c:pt>
                <c:pt idx="6">
                  <c:v>TP of partially recovered</c:v>
                </c:pt>
                <c:pt idx="7">
                  <c:v>TP of fully recovered</c:v>
                </c:pt>
              </c:strCache>
            </c:strRef>
          </c:cat>
          <c:val>
            <c:numRef>
              <c:f>'THIS WAY UP SA2'!$B$20:$B$27</c:f>
              <c:numCache>
                <c:formatCode>#,##0.00</c:formatCode>
                <c:ptCount val="8"/>
                <c:pt idx="0">
                  <c:v>20823.830421742801</c:v>
                </c:pt>
                <c:pt idx="1">
                  <c:v>24613.166169313601</c:v>
                </c:pt>
                <c:pt idx="2">
                  <c:v>37968.363816114601</c:v>
                </c:pt>
                <c:pt idx="3">
                  <c:v>39889.642636891702</c:v>
                </c:pt>
                <c:pt idx="4">
                  <c:v>42617.47</c:v>
                </c:pt>
                <c:pt idx="5">
                  <c:v>43130.48</c:v>
                </c:pt>
                <c:pt idx="6">
                  <c:v>39521.480000000003</c:v>
                </c:pt>
                <c:pt idx="7">
                  <c:v>97466.89</c:v>
                </c:pt>
              </c:numCache>
            </c:numRef>
          </c:val>
          <c:extLst>
            <c:ext xmlns:c16="http://schemas.microsoft.com/office/drawing/2014/chart" uri="{C3380CC4-5D6E-409C-BE32-E72D297353CC}">
              <c16:uniqueId val="{00000000-DD28-2F46-B8F5-1AACB749A9F0}"/>
            </c:ext>
          </c:extLst>
        </c:ser>
        <c:ser>
          <c:idx val="1"/>
          <c:order val="1"/>
          <c:tx>
            <c:strRef>
              <c:f>'THIS WAY UP SA2'!$C$19</c:f>
              <c:strCache>
                <c:ptCount val="1"/>
                <c:pt idx="0">
                  <c:v>upper bound</c:v>
                </c:pt>
              </c:strCache>
            </c:strRef>
          </c:tx>
          <c:spPr>
            <a:solidFill>
              <a:schemeClr val="accent2"/>
            </a:solidFill>
            <a:ln>
              <a:noFill/>
            </a:ln>
            <a:effectLst/>
          </c:spPr>
          <c:invertIfNegative val="0"/>
          <c:cat>
            <c:strRef>
              <c:f>'THIS WAY UP SA2'!$A$20:$A$27</c:f>
              <c:strCache>
                <c:ptCount val="8"/>
                <c:pt idx="0">
                  <c:v>Utility of deterioration (95% CI)</c:v>
                </c:pt>
                <c:pt idx="1">
                  <c:v>Utility of no improvement (95% CI)</c:v>
                </c:pt>
                <c:pt idx="2">
                  <c:v>Utility of partially recovered (95% CI)</c:v>
                </c:pt>
                <c:pt idx="3">
                  <c:v>Utility of fully recovered (95% CI)</c:v>
                </c:pt>
                <c:pt idx="4">
                  <c:v>TP of deteriorated</c:v>
                </c:pt>
                <c:pt idx="5">
                  <c:v>TP of no improvement</c:v>
                </c:pt>
                <c:pt idx="6">
                  <c:v>TP of partially recovered</c:v>
                </c:pt>
                <c:pt idx="7">
                  <c:v>TP of fully recovered</c:v>
                </c:pt>
              </c:strCache>
            </c:strRef>
          </c:cat>
          <c:val>
            <c:numRef>
              <c:f>'THIS WAY UP SA2'!$C$20:$C$27</c:f>
              <c:numCache>
                <c:formatCode>#,##0.00</c:formatCode>
                <c:ptCount val="8"/>
                <c:pt idx="0">
                  <c:v>72870.441743254894</c:v>
                </c:pt>
                <c:pt idx="1">
                  <c:v>47196.896962248902</c:v>
                </c:pt>
                <c:pt idx="2">
                  <c:v>28274.703784654299</c:v>
                </c:pt>
                <c:pt idx="3">
                  <c:v>27212.860654104101</c:v>
                </c:pt>
              </c:numCache>
            </c:numRef>
          </c:val>
          <c:extLst>
            <c:ext xmlns:c16="http://schemas.microsoft.com/office/drawing/2014/chart" uri="{C3380CC4-5D6E-409C-BE32-E72D297353CC}">
              <c16:uniqueId val="{00000001-DD28-2F46-B8F5-1AACB749A9F0}"/>
            </c:ext>
          </c:extLst>
        </c:ser>
        <c:dLbls>
          <c:showLegendKey val="0"/>
          <c:showVal val="0"/>
          <c:showCatName val="0"/>
          <c:showSerName val="0"/>
          <c:showPercent val="0"/>
          <c:showBubbleSize val="0"/>
        </c:dLbls>
        <c:gapWidth val="85"/>
        <c:overlap val="100"/>
        <c:axId val="626825840"/>
        <c:axId val="626826824"/>
      </c:barChart>
      <c:catAx>
        <c:axId val="6268258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826824"/>
        <c:crossesAt val="32353.82"/>
        <c:auto val="1"/>
        <c:lblAlgn val="ctr"/>
        <c:lblOffset val="100"/>
        <c:noMultiLvlLbl val="0"/>
      </c:catAx>
      <c:valAx>
        <c:axId val="626826824"/>
        <c:scaling>
          <c:orientation val="minMax"/>
          <c:max val="100000"/>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825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ICER</a:t>
            </a:r>
            <a:r>
              <a:rPr lang="en-AU" baseline="0"/>
              <a:t> for therapist-supported treatment</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'THIS WAY UP SA2'!$B$29</c:f>
              <c:strCache>
                <c:ptCount val="1"/>
                <c:pt idx="0">
                  <c:v>lower bound</c:v>
                </c:pt>
              </c:strCache>
            </c:strRef>
          </c:tx>
          <c:spPr>
            <a:solidFill>
              <a:schemeClr val="accent1"/>
            </a:solidFill>
            <a:ln>
              <a:noFill/>
            </a:ln>
            <a:effectLst/>
          </c:spPr>
          <c:invertIfNegative val="0"/>
          <c:cat>
            <c:strRef>
              <c:f>'THIS WAY UP SA2'!$A$30:$A$37</c:f>
              <c:strCache>
                <c:ptCount val="8"/>
                <c:pt idx="0">
                  <c:v>Utility of deterioration (95% CI)</c:v>
                </c:pt>
                <c:pt idx="1">
                  <c:v>Utility of no improvement (95% CI)</c:v>
                </c:pt>
                <c:pt idx="2">
                  <c:v>Utility of partially recovered (95% CI)</c:v>
                </c:pt>
                <c:pt idx="3">
                  <c:v>Utility of fully recovered (95% CI)</c:v>
                </c:pt>
                <c:pt idx="4">
                  <c:v>TP of deteriorated</c:v>
                </c:pt>
                <c:pt idx="5">
                  <c:v>TP of no improvement</c:v>
                </c:pt>
                <c:pt idx="6">
                  <c:v>TP of partially recovered</c:v>
                </c:pt>
                <c:pt idx="7">
                  <c:v>TP of fully recovered</c:v>
                </c:pt>
              </c:strCache>
            </c:strRef>
          </c:cat>
          <c:val>
            <c:numRef>
              <c:f>'THIS WAY UP SA2'!$B$30:$B$37</c:f>
              <c:numCache>
                <c:formatCode>#,##0.00</c:formatCode>
                <c:ptCount val="8"/>
                <c:pt idx="0">
                  <c:v>21084.099984168599</c:v>
                </c:pt>
                <c:pt idx="1">
                  <c:v>27021.890569695799</c:v>
                </c:pt>
                <c:pt idx="2">
                  <c:v>40298.8938573782</c:v>
                </c:pt>
                <c:pt idx="3">
                  <c:v>42152.628802531901</c:v>
                </c:pt>
                <c:pt idx="4">
                  <c:v>49772.03</c:v>
                </c:pt>
                <c:pt idx="5">
                  <c:v>42286.47</c:v>
                </c:pt>
                <c:pt idx="6">
                  <c:v>41703.839999999997</c:v>
                </c:pt>
                <c:pt idx="7">
                  <c:v>88654.59</c:v>
                </c:pt>
              </c:numCache>
            </c:numRef>
          </c:val>
          <c:extLst>
            <c:ext xmlns:c16="http://schemas.microsoft.com/office/drawing/2014/chart" uri="{C3380CC4-5D6E-409C-BE32-E72D297353CC}">
              <c16:uniqueId val="{00000000-6216-2349-9C90-A70F23BB471B}"/>
            </c:ext>
          </c:extLst>
        </c:ser>
        <c:ser>
          <c:idx val="1"/>
          <c:order val="1"/>
          <c:tx>
            <c:strRef>
              <c:f>'THIS WAY UP SA2'!$C$29</c:f>
              <c:strCache>
                <c:ptCount val="1"/>
                <c:pt idx="0">
                  <c:v>upper bound</c:v>
                </c:pt>
              </c:strCache>
            </c:strRef>
          </c:tx>
          <c:spPr>
            <a:solidFill>
              <a:schemeClr val="accent2"/>
            </a:solidFill>
            <a:ln>
              <a:noFill/>
            </a:ln>
            <a:effectLst/>
          </c:spPr>
          <c:invertIfNegative val="0"/>
          <c:cat>
            <c:strRef>
              <c:f>'THIS WAY UP SA2'!$A$30:$A$37</c:f>
              <c:strCache>
                <c:ptCount val="8"/>
                <c:pt idx="0">
                  <c:v>Utility of deterioration (95% CI)</c:v>
                </c:pt>
                <c:pt idx="1">
                  <c:v>Utility of no improvement (95% CI)</c:v>
                </c:pt>
                <c:pt idx="2">
                  <c:v>Utility of partially recovered (95% CI)</c:v>
                </c:pt>
                <c:pt idx="3">
                  <c:v>Utility of fully recovered (95% CI)</c:v>
                </c:pt>
                <c:pt idx="4">
                  <c:v>TP of deteriorated</c:v>
                </c:pt>
                <c:pt idx="5">
                  <c:v>TP of no improvement</c:v>
                </c:pt>
                <c:pt idx="6">
                  <c:v>TP of partially recovered</c:v>
                </c:pt>
                <c:pt idx="7">
                  <c:v>TP of fully recovered</c:v>
                </c:pt>
              </c:strCache>
            </c:strRef>
          </c:cat>
          <c:val>
            <c:numRef>
              <c:f>'THIS WAY UP SA2'!$C$30:$C$37</c:f>
              <c:numCache>
                <c:formatCode>#,##0.00</c:formatCode>
                <c:ptCount val="8"/>
                <c:pt idx="0">
                  <c:v>97432.124857745104</c:v>
                </c:pt>
                <c:pt idx="1">
                  <c:v>48162.092658817703</c:v>
                </c:pt>
                <c:pt idx="2">
                  <c:v>30435.4781372201</c:v>
                </c:pt>
                <c:pt idx="3">
                  <c:v>29371.217133475599</c:v>
                </c:pt>
              </c:numCache>
            </c:numRef>
          </c:val>
          <c:extLst>
            <c:ext xmlns:c16="http://schemas.microsoft.com/office/drawing/2014/chart" uri="{C3380CC4-5D6E-409C-BE32-E72D297353CC}">
              <c16:uniqueId val="{00000001-6216-2349-9C90-A70F23BB471B}"/>
            </c:ext>
          </c:extLst>
        </c:ser>
        <c:dLbls>
          <c:showLegendKey val="0"/>
          <c:showVal val="0"/>
          <c:showCatName val="0"/>
          <c:showSerName val="0"/>
          <c:showPercent val="0"/>
          <c:showBubbleSize val="0"/>
        </c:dLbls>
        <c:gapWidth val="85"/>
        <c:overlap val="100"/>
        <c:axId val="604521816"/>
        <c:axId val="604523784"/>
      </c:barChart>
      <c:catAx>
        <c:axId val="604521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4523784"/>
        <c:crossesAt val="34619.89"/>
        <c:auto val="1"/>
        <c:lblAlgn val="ctr"/>
        <c:lblOffset val="100"/>
        <c:noMultiLvlLbl val="0"/>
      </c:catAx>
      <c:valAx>
        <c:axId val="604523784"/>
        <c:scaling>
          <c:orientation val="minMax"/>
          <c:max val="100000"/>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4521816"/>
        <c:crosses val="autoZero"/>
        <c:crossBetween val="between"/>
        <c:majorUnit val="2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Sheet1!$E$2</c:f>
              <c:strCache>
                <c:ptCount val="1"/>
                <c:pt idx="0">
                  <c:v>Enrolled in treatment</c:v>
                </c:pt>
              </c:strCache>
            </c:strRef>
          </c:tx>
          <c:spPr>
            <a:solidFill>
              <a:schemeClr val="accent2"/>
            </a:solidFill>
            <a:ln>
              <a:noFill/>
            </a:ln>
            <a:effectLst/>
          </c:spPr>
          <c:invertIfNegative val="0"/>
          <c:cat>
            <c:strRef>
              <c:f>Sheet1!$C$3:$C$20</c:f>
              <c:strCache>
                <c:ptCount val="18"/>
                <c:pt idx="0">
                  <c:v>Jan-Jun 2013</c:v>
                </c:pt>
                <c:pt idx="1">
                  <c:v>Jul-Dec 2013</c:v>
                </c:pt>
                <c:pt idx="2">
                  <c:v>Jan-Jun 2014</c:v>
                </c:pt>
                <c:pt idx="3">
                  <c:v>Jul-Dec 2014</c:v>
                </c:pt>
                <c:pt idx="4">
                  <c:v>Jan-Jun 2015</c:v>
                </c:pt>
                <c:pt idx="5">
                  <c:v>Jul-Dec 2015</c:v>
                </c:pt>
                <c:pt idx="6">
                  <c:v>Jan-Jun 2016</c:v>
                </c:pt>
                <c:pt idx="7">
                  <c:v>Jul-Dec 2016</c:v>
                </c:pt>
                <c:pt idx="8">
                  <c:v>Jan-Jun 2017</c:v>
                </c:pt>
                <c:pt idx="9">
                  <c:v>Jul-Dec 2017</c:v>
                </c:pt>
                <c:pt idx="10">
                  <c:v>Jan-Jun 2018</c:v>
                </c:pt>
                <c:pt idx="11">
                  <c:v>Jul-Dec 2018</c:v>
                </c:pt>
                <c:pt idx="12">
                  <c:v>Jan-Jun 2019</c:v>
                </c:pt>
                <c:pt idx="13">
                  <c:v>Jul-Dec 2019</c:v>
                </c:pt>
                <c:pt idx="14">
                  <c:v>Jan-Jun 2020</c:v>
                </c:pt>
                <c:pt idx="15">
                  <c:v>Jul-Dec 2020</c:v>
                </c:pt>
                <c:pt idx="16">
                  <c:v>Jan-Jun 2021</c:v>
                </c:pt>
                <c:pt idx="17">
                  <c:v>Jul-Dec 2021</c:v>
                </c:pt>
              </c:strCache>
            </c:strRef>
          </c:cat>
          <c:val>
            <c:numRef>
              <c:f>Sheet1!$E$3:$E$20</c:f>
              <c:numCache>
                <c:formatCode>General</c:formatCode>
                <c:ptCount val="18"/>
                <c:pt idx="0">
                  <c:v>1128</c:v>
                </c:pt>
                <c:pt idx="1">
                  <c:v>1172</c:v>
                </c:pt>
                <c:pt idx="2">
                  <c:v>852</c:v>
                </c:pt>
                <c:pt idx="3">
                  <c:v>1824</c:v>
                </c:pt>
                <c:pt idx="4">
                  <c:v>1577</c:v>
                </c:pt>
                <c:pt idx="5">
                  <c:v>1785</c:v>
                </c:pt>
                <c:pt idx="6">
                  <c:v>1903</c:v>
                </c:pt>
                <c:pt idx="7">
                  <c:v>1867</c:v>
                </c:pt>
                <c:pt idx="8">
                  <c:v>2104</c:v>
                </c:pt>
                <c:pt idx="9">
                  <c:v>2145</c:v>
                </c:pt>
                <c:pt idx="10">
                  <c:v>1791</c:v>
                </c:pt>
                <c:pt idx="11">
                  <c:v>1816</c:v>
                </c:pt>
                <c:pt idx="12">
                  <c:v>1988</c:v>
                </c:pt>
                <c:pt idx="13">
                  <c:v>2000</c:v>
                </c:pt>
                <c:pt idx="14">
                  <c:v>2822</c:v>
                </c:pt>
                <c:pt idx="15">
                  <c:v>2775</c:v>
                </c:pt>
                <c:pt idx="16">
                  <c:v>2423</c:v>
                </c:pt>
                <c:pt idx="17">
                  <c:v>2418</c:v>
                </c:pt>
              </c:numCache>
            </c:numRef>
          </c:val>
          <c:extLst>
            <c:ext xmlns:c16="http://schemas.microsoft.com/office/drawing/2014/chart" uri="{C3380CC4-5D6E-409C-BE32-E72D297353CC}">
              <c16:uniqueId val="{00000000-D1D5-2140-A9B4-C49D6C499871}"/>
            </c:ext>
          </c:extLst>
        </c:ser>
        <c:ser>
          <c:idx val="2"/>
          <c:order val="2"/>
          <c:tx>
            <c:strRef>
              <c:f>Sheet1!$F$2</c:f>
              <c:strCache>
                <c:ptCount val="1"/>
                <c:pt idx="0">
                  <c:v>Started treatment</c:v>
                </c:pt>
              </c:strCache>
            </c:strRef>
          </c:tx>
          <c:spPr>
            <a:solidFill>
              <a:schemeClr val="accent3"/>
            </a:solidFill>
            <a:ln>
              <a:noFill/>
            </a:ln>
            <a:effectLst/>
          </c:spPr>
          <c:invertIfNegative val="0"/>
          <c:cat>
            <c:strRef>
              <c:f>Sheet1!$C$3:$C$20</c:f>
              <c:strCache>
                <c:ptCount val="18"/>
                <c:pt idx="0">
                  <c:v>Jan-Jun 2013</c:v>
                </c:pt>
                <c:pt idx="1">
                  <c:v>Jul-Dec 2013</c:v>
                </c:pt>
                <c:pt idx="2">
                  <c:v>Jan-Jun 2014</c:v>
                </c:pt>
                <c:pt idx="3">
                  <c:v>Jul-Dec 2014</c:v>
                </c:pt>
                <c:pt idx="4">
                  <c:v>Jan-Jun 2015</c:v>
                </c:pt>
                <c:pt idx="5">
                  <c:v>Jul-Dec 2015</c:v>
                </c:pt>
                <c:pt idx="6">
                  <c:v>Jan-Jun 2016</c:v>
                </c:pt>
                <c:pt idx="7">
                  <c:v>Jul-Dec 2016</c:v>
                </c:pt>
                <c:pt idx="8">
                  <c:v>Jan-Jun 2017</c:v>
                </c:pt>
                <c:pt idx="9">
                  <c:v>Jul-Dec 2017</c:v>
                </c:pt>
                <c:pt idx="10">
                  <c:v>Jan-Jun 2018</c:v>
                </c:pt>
                <c:pt idx="11">
                  <c:v>Jul-Dec 2018</c:v>
                </c:pt>
                <c:pt idx="12">
                  <c:v>Jan-Jun 2019</c:v>
                </c:pt>
                <c:pt idx="13">
                  <c:v>Jul-Dec 2019</c:v>
                </c:pt>
                <c:pt idx="14">
                  <c:v>Jan-Jun 2020</c:v>
                </c:pt>
                <c:pt idx="15">
                  <c:v>Jul-Dec 2020</c:v>
                </c:pt>
                <c:pt idx="16">
                  <c:v>Jan-Jun 2021</c:v>
                </c:pt>
                <c:pt idx="17">
                  <c:v>Jul-Dec 2021</c:v>
                </c:pt>
              </c:strCache>
            </c:strRef>
          </c:cat>
          <c:val>
            <c:numRef>
              <c:f>Sheet1!$F$3:$F$20</c:f>
              <c:numCache>
                <c:formatCode>General</c:formatCode>
                <c:ptCount val="18"/>
                <c:pt idx="0">
                  <c:v>1035</c:v>
                </c:pt>
                <c:pt idx="1">
                  <c:v>1082</c:v>
                </c:pt>
                <c:pt idx="2">
                  <c:v>792</c:v>
                </c:pt>
                <c:pt idx="3">
                  <c:v>1687</c:v>
                </c:pt>
                <c:pt idx="4">
                  <c:v>1456</c:v>
                </c:pt>
                <c:pt idx="5">
                  <c:v>1646</c:v>
                </c:pt>
                <c:pt idx="6">
                  <c:v>1740</c:v>
                </c:pt>
                <c:pt idx="7">
                  <c:v>1683</c:v>
                </c:pt>
                <c:pt idx="8">
                  <c:v>1911</c:v>
                </c:pt>
                <c:pt idx="9">
                  <c:v>1936</c:v>
                </c:pt>
                <c:pt idx="10">
                  <c:v>1603</c:v>
                </c:pt>
                <c:pt idx="11">
                  <c:v>1642</c:v>
                </c:pt>
                <c:pt idx="12">
                  <c:v>1761</c:v>
                </c:pt>
                <c:pt idx="13">
                  <c:v>1771</c:v>
                </c:pt>
                <c:pt idx="14">
                  <c:v>2479</c:v>
                </c:pt>
                <c:pt idx="15">
                  <c:v>2497</c:v>
                </c:pt>
                <c:pt idx="16">
                  <c:v>2111</c:v>
                </c:pt>
              </c:numCache>
            </c:numRef>
          </c:val>
          <c:extLst>
            <c:ext xmlns:c16="http://schemas.microsoft.com/office/drawing/2014/chart" uri="{C3380CC4-5D6E-409C-BE32-E72D297353CC}">
              <c16:uniqueId val="{00000001-D1D5-2140-A9B4-C49D6C499871}"/>
            </c:ext>
          </c:extLst>
        </c:ser>
        <c:ser>
          <c:idx val="3"/>
          <c:order val="3"/>
          <c:tx>
            <c:strRef>
              <c:f>Sheet1!$G$2</c:f>
              <c:strCache>
                <c:ptCount val="1"/>
                <c:pt idx="0">
                  <c:v>Completed treatment (4 or more sessions)</c:v>
                </c:pt>
              </c:strCache>
            </c:strRef>
          </c:tx>
          <c:spPr>
            <a:solidFill>
              <a:schemeClr val="accent4"/>
            </a:solidFill>
            <a:ln>
              <a:noFill/>
            </a:ln>
            <a:effectLst/>
          </c:spPr>
          <c:invertIfNegative val="0"/>
          <c:cat>
            <c:strRef>
              <c:f>Sheet1!$C$3:$C$20</c:f>
              <c:strCache>
                <c:ptCount val="18"/>
                <c:pt idx="0">
                  <c:v>Jan-Jun 2013</c:v>
                </c:pt>
                <c:pt idx="1">
                  <c:v>Jul-Dec 2013</c:v>
                </c:pt>
                <c:pt idx="2">
                  <c:v>Jan-Jun 2014</c:v>
                </c:pt>
                <c:pt idx="3">
                  <c:v>Jul-Dec 2014</c:v>
                </c:pt>
                <c:pt idx="4">
                  <c:v>Jan-Jun 2015</c:v>
                </c:pt>
                <c:pt idx="5">
                  <c:v>Jul-Dec 2015</c:v>
                </c:pt>
                <c:pt idx="6">
                  <c:v>Jan-Jun 2016</c:v>
                </c:pt>
                <c:pt idx="7">
                  <c:v>Jul-Dec 2016</c:v>
                </c:pt>
                <c:pt idx="8">
                  <c:v>Jan-Jun 2017</c:v>
                </c:pt>
                <c:pt idx="9">
                  <c:v>Jul-Dec 2017</c:v>
                </c:pt>
                <c:pt idx="10">
                  <c:v>Jan-Jun 2018</c:v>
                </c:pt>
                <c:pt idx="11">
                  <c:v>Jul-Dec 2018</c:v>
                </c:pt>
                <c:pt idx="12">
                  <c:v>Jan-Jun 2019</c:v>
                </c:pt>
                <c:pt idx="13">
                  <c:v>Jul-Dec 2019</c:v>
                </c:pt>
                <c:pt idx="14">
                  <c:v>Jan-Jun 2020</c:v>
                </c:pt>
                <c:pt idx="15">
                  <c:v>Jul-Dec 2020</c:v>
                </c:pt>
                <c:pt idx="16">
                  <c:v>Jan-Jun 2021</c:v>
                </c:pt>
                <c:pt idx="17">
                  <c:v>Jul-Dec 2021</c:v>
                </c:pt>
              </c:strCache>
            </c:strRef>
          </c:cat>
          <c:val>
            <c:numRef>
              <c:f>Sheet1!$G$3:$G$20</c:f>
              <c:numCache>
                <c:formatCode>General</c:formatCode>
                <c:ptCount val="18"/>
                <c:pt idx="0">
                  <c:v>723</c:v>
                </c:pt>
                <c:pt idx="1">
                  <c:v>767</c:v>
                </c:pt>
                <c:pt idx="2">
                  <c:v>605</c:v>
                </c:pt>
                <c:pt idx="3">
                  <c:v>1176</c:v>
                </c:pt>
                <c:pt idx="4">
                  <c:v>1020</c:v>
                </c:pt>
                <c:pt idx="5">
                  <c:v>1071</c:v>
                </c:pt>
                <c:pt idx="6">
                  <c:v>1172</c:v>
                </c:pt>
                <c:pt idx="7">
                  <c:v>1055</c:v>
                </c:pt>
                <c:pt idx="8">
                  <c:v>1210</c:v>
                </c:pt>
                <c:pt idx="9">
                  <c:v>1201</c:v>
                </c:pt>
                <c:pt idx="10">
                  <c:v>1054</c:v>
                </c:pt>
                <c:pt idx="11">
                  <c:v>1091</c:v>
                </c:pt>
                <c:pt idx="12">
                  <c:v>1190</c:v>
                </c:pt>
                <c:pt idx="13">
                  <c:v>1168</c:v>
                </c:pt>
                <c:pt idx="14">
                  <c:v>1456</c:v>
                </c:pt>
                <c:pt idx="15">
                  <c:v>1518</c:v>
                </c:pt>
                <c:pt idx="16">
                  <c:v>1238</c:v>
                </c:pt>
              </c:numCache>
            </c:numRef>
          </c:val>
          <c:extLst>
            <c:ext xmlns:c16="http://schemas.microsoft.com/office/drawing/2014/chart" uri="{C3380CC4-5D6E-409C-BE32-E72D297353CC}">
              <c16:uniqueId val="{00000002-D1D5-2140-A9B4-C49D6C499871}"/>
            </c:ext>
          </c:extLst>
        </c:ser>
        <c:dLbls>
          <c:showLegendKey val="0"/>
          <c:showVal val="0"/>
          <c:showCatName val="0"/>
          <c:showSerName val="0"/>
          <c:showPercent val="0"/>
          <c:showBubbleSize val="0"/>
        </c:dLbls>
        <c:gapWidth val="219"/>
        <c:overlap val="-27"/>
        <c:axId val="1244685679"/>
        <c:axId val="1244693583"/>
        <c:extLst>
          <c:ext xmlns:c15="http://schemas.microsoft.com/office/drawing/2012/chart" uri="{02D57815-91ED-43cb-92C2-25804820EDAC}">
            <c15:filteredBarSeries>
              <c15:ser>
                <c:idx val="0"/>
                <c:order val="0"/>
                <c:tx>
                  <c:strRef>
                    <c:extLst>
                      <c:ext uri="{02D57815-91ED-43cb-92C2-25804820EDAC}">
                        <c15:formulaRef>
                          <c15:sqref>Sheet1!$D$2</c15:sqref>
                        </c15:formulaRef>
                      </c:ext>
                    </c:extLst>
                    <c:strCache>
                      <c:ptCount val="1"/>
                      <c:pt idx="0">
                        <c:v>Nstartedassessment</c:v>
                      </c:pt>
                    </c:strCache>
                  </c:strRef>
                </c:tx>
                <c:spPr>
                  <a:solidFill>
                    <a:schemeClr val="accent1"/>
                  </a:solidFill>
                  <a:ln>
                    <a:noFill/>
                  </a:ln>
                  <a:effectLst/>
                </c:spPr>
                <c:invertIfNegative val="0"/>
                <c:trendline>
                  <c:spPr>
                    <a:ln w="19050" cap="rnd">
                      <a:solidFill>
                        <a:schemeClr val="accent1"/>
                      </a:solidFill>
                      <a:prstDash val="sysDot"/>
                    </a:ln>
                    <a:effectLst/>
                  </c:spPr>
                  <c:trendlineType val="movingAvg"/>
                  <c:period val="2"/>
                  <c:dispRSqr val="0"/>
                  <c:dispEq val="0"/>
                </c:trendline>
                <c:cat>
                  <c:strRef>
                    <c:extLst>
                      <c:ext uri="{02D57815-91ED-43cb-92C2-25804820EDAC}">
                        <c15:formulaRef>
                          <c15:sqref>Sheet1!$C$3:$C$20</c15:sqref>
                        </c15:formulaRef>
                      </c:ext>
                    </c:extLst>
                    <c:strCache>
                      <c:ptCount val="18"/>
                      <c:pt idx="0">
                        <c:v>Jan-Jun 2013</c:v>
                      </c:pt>
                      <c:pt idx="1">
                        <c:v>Jul-Dec 2013</c:v>
                      </c:pt>
                      <c:pt idx="2">
                        <c:v>Jan-Jun 2014</c:v>
                      </c:pt>
                      <c:pt idx="3">
                        <c:v>Jul-Dec 2014</c:v>
                      </c:pt>
                      <c:pt idx="4">
                        <c:v>Jan-Jun 2015</c:v>
                      </c:pt>
                      <c:pt idx="5">
                        <c:v>Jul-Dec 2015</c:v>
                      </c:pt>
                      <c:pt idx="6">
                        <c:v>Jan-Jun 2016</c:v>
                      </c:pt>
                      <c:pt idx="7">
                        <c:v>Jul-Dec 2016</c:v>
                      </c:pt>
                      <c:pt idx="8">
                        <c:v>Jan-Jun 2017</c:v>
                      </c:pt>
                      <c:pt idx="9">
                        <c:v>Jul-Dec 2017</c:v>
                      </c:pt>
                      <c:pt idx="10">
                        <c:v>Jan-Jun 2018</c:v>
                      </c:pt>
                      <c:pt idx="11">
                        <c:v>Jul-Dec 2018</c:v>
                      </c:pt>
                      <c:pt idx="12">
                        <c:v>Jan-Jun 2019</c:v>
                      </c:pt>
                      <c:pt idx="13">
                        <c:v>Jul-Dec 2019</c:v>
                      </c:pt>
                      <c:pt idx="14">
                        <c:v>Jan-Jun 2020</c:v>
                      </c:pt>
                      <c:pt idx="15">
                        <c:v>Jul-Dec 2020</c:v>
                      </c:pt>
                      <c:pt idx="16">
                        <c:v>Jan-Jun 2021</c:v>
                      </c:pt>
                      <c:pt idx="17">
                        <c:v>Jul-Dec 2021</c:v>
                      </c:pt>
                    </c:strCache>
                  </c:strRef>
                </c:cat>
                <c:val>
                  <c:numRef>
                    <c:extLst>
                      <c:ext uri="{02D57815-91ED-43cb-92C2-25804820EDAC}">
                        <c15:formulaRef>
                          <c15:sqref>Sheet1!$D$3:$D$20</c15:sqref>
                        </c15:formulaRef>
                      </c:ext>
                    </c:extLst>
                    <c:numCache>
                      <c:formatCode>General</c:formatCode>
                      <c:ptCount val="18"/>
                      <c:pt idx="0">
                        <c:v>3662</c:v>
                      </c:pt>
                      <c:pt idx="1">
                        <c:v>5267</c:v>
                      </c:pt>
                      <c:pt idx="2">
                        <c:v>5637</c:v>
                      </c:pt>
                      <c:pt idx="3">
                        <c:v>9092</c:v>
                      </c:pt>
                      <c:pt idx="4">
                        <c:v>8140</c:v>
                      </c:pt>
                      <c:pt idx="5">
                        <c:v>8777</c:v>
                      </c:pt>
                      <c:pt idx="6">
                        <c:v>10209</c:v>
                      </c:pt>
                      <c:pt idx="7">
                        <c:v>10463</c:v>
                      </c:pt>
                      <c:pt idx="8">
                        <c:v>10226</c:v>
                      </c:pt>
                      <c:pt idx="9">
                        <c:v>10235</c:v>
                      </c:pt>
                      <c:pt idx="10">
                        <c:v>10125</c:v>
                      </c:pt>
                      <c:pt idx="11">
                        <c:v>9535</c:v>
                      </c:pt>
                      <c:pt idx="12">
                        <c:v>10249</c:v>
                      </c:pt>
                      <c:pt idx="13">
                        <c:v>10035</c:v>
                      </c:pt>
                      <c:pt idx="14">
                        <c:v>11342</c:v>
                      </c:pt>
                      <c:pt idx="15">
                        <c:v>11490</c:v>
                      </c:pt>
                      <c:pt idx="16">
                        <c:v>12166</c:v>
                      </c:pt>
                      <c:pt idx="17">
                        <c:v>14420</c:v>
                      </c:pt>
                    </c:numCache>
                  </c:numRef>
                </c:val>
                <c:extLst>
                  <c:ext xmlns:c16="http://schemas.microsoft.com/office/drawing/2014/chart" uri="{C3380CC4-5D6E-409C-BE32-E72D297353CC}">
                    <c16:uniqueId val="{00000004-D1D5-2140-A9B4-C49D6C499871}"/>
                  </c:ext>
                </c:extLst>
              </c15:ser>
            </c15:filteredBarSeries>
          </c:ext>
        </c:extLst>
      </c:barChart>
      <c:catAx>
        <c:axId val="124468567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Half 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44693583"/>
        <c:crosses val="autoZero"/>
        <c:auto val="1"/>
        <c:lblAlgn val="ctr"/>
        <c:lblOffset val="100"/>
        <c:noMultiLvlLbl val="0"/>
      </c:catAx>
      <c:valAx>
        <c:axId val="124469358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446856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'KS - Therapist Supported Graph'!$E$1</c:f>
              <c:strCache>
                <c:ptCount val="1"/>
                <c:pt idx="0">
                  <c:v>Enrolled in treatment </c:v>
                </c:pt>
              </c:strCache>
            </c:strRef>
          </c:tx>
          <c:spPr>
            <a:solidFill>
              <a:schemeClr val="accent2"/>
            </a:solidFill>
            <a:ln>
              <a:noFill/>
            </a:ln>
            <a:effectLst/>
          </c:spPr>
          <c:invertIfNegative val="0"/>
          <c:cat>
            <c:strRef>
              <c:f>'KS - Therapist Supported Graph'!$D$7:$D$19</c:f>
              <c:strCache>
                <c:ptCount val="13"/>
                <c:pt idx="0">
                  <c:v>Jul-Dec 2015</c:v>
                </c:pt>
                <c:pt idx="1">
                  <c:v>Jan-Jun 2016</c:v>
                </c:pt>
                <c:pt idx="2">
                  <c:v>Jul-Dec 2016</c:v>
                </c:pt>
                <c:pt idx="3">
                  <c:v>Jan-Jun 2017</c:v>
                </c:pt>
                <c:pt idx="4">
                  <c:v>Jul-Dec 2017</c:v>
                </c:pt>
                <c:pt idx="5">
                  <c:v>Jan-Jun 2018</c:v>
                </c:pt>
                <c:pt idx="6">
                  <c:v>Jul-Dec 2018</c:v>
                </c:pt>
                <c:pt idx="7">
                  <c:v>Jan-Jun 2019</c:v>
                </c:pt>
                <c:pt idx="8">
                  <c:v>Jul-Dec 2019</c:v>
                </c:pt>
                <c:pt idx="9">
                  <c:v>Jan-Jun 2020</c:v>
                </c:pt>
                <c:pt idx="10">
                  <c:v>Jul-Dec 2020</c:v>
                </c:pt>
                <c:pt idx="11">
                  <c:v>Jan-Jun 2021</c:v>
                </c:pt>
                <c:pt idx="12">
                  <c:v>Jul-Dec 2021</c:v>
                </c:pt>
              </c:strCache>
            </c:strRef>
          </c:cat>
          <c:val>
            <c:numRef>
              <c:f>'KS - Therapist Supported Graph'!$E$7:$E$19</c:f>
              <c:numCache>
                <c:formatCode>General</c:formatCode>
                <c:ptCount val="13"/>
                <c:pt idx="0">
                  <c:v>107</c:v>
                </c:pt>
                <c:pt idx="1">
                  <c:v>388</c:v>
                </c:pt>
                <c:pt idx="2">
                  <c:v>412</c:v>
                </c:pt>
                <c:pt idx="3">
                  <c:v>453</c:v>
                </c:pt>
                <c:pt idx="4">
                  <c:v>570</c:v>
                </c:pt>
                <c:pt idx="5">
                  <c:v>704</c:v>
                </c:pt>
                <c:pt idx="6">
                  <c:v>794</c:v>
                </c:pt>
                <c:pt idx="7">
                  <c:v>670</c:v>
                </c:pt>
                <c:pt idx="8">
                  <c:v>773</c:v>
                </c:pt>
                <c:pt idx="9">
                  <c:v>4159</c:v>
                </c:pt>
                <c:pt idx="10">
                  <c:v>5576</c:v>
                </c:pt>
                <c:pt idx="11">
                  <c:v>7831</c:v>
                </c:pt>
                <c:pt idx="12">
                  <c:v>11611</c:v>
                </c:pt>
              </c:numCache>
            </c:numRef>
          </c:val>
          <c:extLst>
            <c:ext xmlns:c16="http://schemas.microsoft.com/office/drawing/2014/chart" uri="{C3380CC4-5D6E-409C-BE32-E72D297353CC}">
              <c16:uniqueId val="{00000000-8BFE-DE4A-9A75-E1DE28B9B118}"/>
            </c:ext>
          </c:extLst>
        </c:ser>
        <c:ser>
          <c:idx val="1"/>
          <c:order val="1"/>
          <c:tx>
            <c:strRef>
              <c:f>'KS - Therapist Supported Graph'!$F$1</c:f>
              <c:strCache>
                <c:ptCount val="1"/>
                <c:pt idx="0">
                  <c:v>Started treatment</c:v>
                </c:pt>
              </c:strCache>
            </c:strRef>
          </c:tx>
          <c:spPr>
            <a:solidFill>
              <a:schemeClr val="accent3"/>
            </a:solidFill>
            <a:ln>
              <a:noFill/>
            </a:ln>
            <a:effectLst/>
          </c:spPr>
          <c:invertIfNegative val="0"/>
          <c:cat>
            <c:strRef>
              <c:f>'KS - Therapist Supported Graph'!$D$7:$D$19</c:f>
              <c:strCache>
                <c:ptCount val="13"/>
                <c:pt idx="0">
                  <c:v>Jul-Dec 2015</c:v>
                </c:pt>
                <c:pt idx="1">
                  <c:v>Jan-Jun 2016</c:v>
                </c:pt>
                <c:pt idx="2">
                  <c:v>Jul-Dec 2016</c:v>
                </c:pt>
                <c:pt idx="3">
                  <c:v>Jan-Jun 2017</c:v>
                </c:pt>
                <c:pt idx="4">
                  <c:v>Jul-Dec 2017</c:v>
                </c:pt>
                <c:pt idx="5">
                  <c:v>Jan-Jun 2018</c:v>
                </c:pt>
                <c:pt idx="6">
                  <c:v>Jul-Dec 2018</c:v>
                </c:pt>
                <c:pt idx="7">
                  <c:v>Jan-Jun 2019</c:v>
                </c:pt>
                <c:pt idx="8">
                  <c:v>Jul-Dec 2019</c:v>
                </c:pt>
                <c:pt idx="9">
                  <c:v>Jan-Jun 2020</c:v>
                </c:pt>
                <c:pt idx="10">
                  <c:v>Jul-Dec 2020</c:v>
                </c:pt>
                <c:pt idx="11">
                  <c:v>Jan-Jun 2021</c:v>
                </c:pt>
                <c:pt idx="12">
                  <c:v>Jul-Dec 2021</c:v>
                </c:pt>
              </c:strCache>
            </c:strRef>
          </c:cat>
          <c:val>
            <c:numRef>
              <c:f>'KS - Therapist Supported Graph'!$F$7:$F$19</c:f>
              <c:numCache>
                <c:formatCode>General</c:formatCode>
                <c:ptCount val="13"/>
                <c:pt idx="0">
                  <c:v>103</c:v>
                </c:pt>
                <c:pt idx="1">
                  <c:v>360</c:v>
                </c:pt>
                <c:pt idx="2">
                  <c:v>380</c:v>
                </c:pt>
                <c:pt idx="3">
                  <c:v>424</c:v>
                </c:pt>
                <c:pt idx="4">
                  <c:v>510</c:v>
                </c:pt>
                <c:pt idx="5">
                  <c:v>612</c:v>
                </c:pt>
                <c:pt idx="6">
                  <c:v>674</c:v>
                </c:pt>
                <c:pt idx="7">
                  <c:v>594</c:v>
                </c:pt>
                <c:pt idx="8">
                  <c:v>689</c:v>
                </c:pt>
                <c:pt idx="9">
                  <c:v>3331</c:v>
                </c:pt>
                <c:pt idx="10">
                  <c:v>4407</c:v>
                </c:pt>
                <c:pt idx="11">
                  <c:v>6137</c:v>
                </c:pt>
                <c:pt idx="12">
                  <c:v>9184</c:v>
                </c:pt>
              </c:numCache>
            </c:numRef>
          </c:val>
          <c:extLst>
            <c:ext xmlns:c16="http://schemas.microsoft.com/office/drawing/2014/chart" uri="{C3380CC4-5D6E-409C-BE32-E72D297353CC}">
              <c16:uniqueId val="{00000001-8BFE-DE4A-9A75-E1DE28B9B118}"/>
            </c:ext>
          </c:extLst>
        </c:ser>
        <c:ser>
          <c:idx val="2"/>
          <c:order val="2"/>
          <c:tx>
            <c:strRef>
              <c:f>'KS - Therapist Supported Graph'!$G$1</c:f>
              <c:strCache>
                <c:ptCount val="1"/>
                <c:pt idx="0">
                  <c:v>Completed treatment (4 or more sessions)</c:v>
                </c:pt>
              </c:strCache>
            </c:strRef>
          </c:tx>
          <c:spPr>
            <a:solidFill>
              <a:schemeClr val="accent4"/>
            </a:solidFill>
            <a:ln>
              <a:noFill/>
            </a:ln>
            <a:effectLst/>
          </c:spPr>
          <c:invertIfNegative val="0"/>
          <c:cat>
            <c:strRef>
              <c:f>'KS - Therapist Supported Graph'!$D$7:$D$19</c:f>
              <c:strCache>
                <c:ptCount val="13"/>
                <c:pt idx="0">
                  <c:v>Jul-Dec 2015</c:v>
                </c:pt>
                <c:pt idx="1">
                  <c:v>Jan-Jun 2016</c:v>
                </c:pt>
                <c:pt idx="2">
                  <c:v>Jul-Dec 2016</c:v>
                </c:pt>
                <c:pt idx="3">
                  <c:v>Jan-Jun 2017</c:v>
                </c:pt>
                <c:pt idx="4">
                  <c:v>Jul-Dec 2017</c:v>
                </c:pt>
                <c:pt idx="5">
                  <c:v>Jan-Jun 2018</c:v>
                </c:pt>
                <c:pt idx="6">
                  <c:v>Jul-Dec 2018</c:v>
                </c:pt>
                <c:pt idx="7">
                  <c:v>Jan-Jun 2019</c:v>
                </c:pt>
                <c:pt idx="8">
                  <c:v>Jul-Dec 2019</c:v>
                </c:pt>
                <c:pt idx="9">
                  <c:v>Jan-Jun 2020</c:v>
                </c:pt>
                <c:pt idx="10">
                  <c:v>Jul-Dec 2020</c:v>
                </c:pt>
                <c:pt idx="11">
                  <c:v>Jan-Jun 2021</c:v>
                </c:pt>
                <c:pt idx="12">
                  <c:v>Jul-Dec 2021</c:v>
                </c:pt>
              </c:strCache>
            </c:strRef>
          </c:cat>
          <c:val>
            <c:numRef>
              <c:f>'KS - Therapist Supported Graph'!$G$7:$G$19</c:f>
              <c:numCache>
                <c:formatCode>General</c:formatCode>
                <c:ptCount val="13"/>
                <c:pt idx="0">
                  <c:v>57</c:v>
                </c:pt>
                <c:pt idx="1">
                  <c:v>188</c:v>
                </c:pt>
                <c:pt idx="2">
                  <c:v>224</c:v>
                </c:pt>
                <c:pt idx="3">
                  <c:v>247</c:v>
                </c:pt>
                <c:pt idx="4">
                  <c:v>300</c:v>
                </c:pt>
                <c:pt idx="5">
                  <c:v>350</c:v>
                </c:pt>
                <c:pt idx="6">
                  <c:v>380</c:v>
                </c:pt>
                <c:pt idx="7">
                  <c:v>348</c:v>
                </c:pt>
                <c:pt idx="8">
                  <c:v>399</c:v>
                </c:pt>
                <c:pt idx="9">
                  <c:v>1551</c:v>
                </c:pt>
                <c:pt idx="10">
                  <c:v>2158</c:v>
                </c:pt>
                <c:pt idx="11">
                  <c:v>2947</c:v>
                </c:pt>
                <c:pt idx="12">
                  <c:v>4282</c:v>
                </c:pt>
              </c:numCache>
            </c:numRef>
          </c:val>
          <c:extLst>
            <c:ext xmlns:c16="http://schemas.microsoft.com/office/drawing/2014/chart" uri="{C3380CC4-5D6E-409C-BE32-E72D297353CC}">
              <c16:uniqueId val="{00000002-8BFE-DE4A-9A75-E1DE28B9B118}"/>
            </c:ext>
          </c:extLst>
        </c:ser>
        <c:dLbls>
          <c:showLegendKey val="0"/>
          <c:showVal val="0"/>
          <c:showCatName val="0"/>
          <c:showSerName val="0"/>
          <c:showPercent val="0"/>
          <c:showBubbleSize val="0"/>
        </c:dLbls>
        <c:gapWidth val="219"/>
        <c:overlap val="-27"/>
        <c:axId val="929282719"/>
        <c:axId val="929273567"/>
      </c:barChart>
      <c:catAx>
        <c:axId val="92928271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Half 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929273567"/>
        <c:crosses val="autoZero"/>
        <c:auto val="1"/>
        <c:lblAlgn val="ctr"/>
        <c:lblOffset val="100"/>
        <c:noMultiLvlLbl val="0"/>
      </c:catAx>
      <c:valAx>
        <c:axId val="9292735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929282719"/>
        <c:crosses val="autoZero"/>
        <c:crossBetween val="between"/>
        <c:majorUnit val="1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24415956269929"/>
          <c:y val="3.5714285714285712E-2"/>
          <c:w val="0.86509468341250728"/>
          <c:h val="0.68828262092238468"/>
        </c:manualLayout>
      </c:layout>
      <c:barChart>
        <c:barDir val="col"/>
        <c:grouping val="clustered"/>
        <c:varyColors val="0"/>
        <c:ser>
          <c:idx val="0"/>
          <c:order val="0"/>
          <c:tx>
            <c:strRef>
              <c:f>'KS - Self-directed graph (3)'!$B$2</c:f>
              <c:strCache>
                <c:ptCount val="1"/>
                <c:pt idx="0">
                  <c:v>Enrolled in treatment </c:v>
                </c:pt>
              </c:strCache>
            </c:strRef>
          </c:tx>
          <c:spPr>
            <a:solidFill>
              <a:schemeClr val="accent2"/>
            </a:solidFill>
            <a:ln>
              <a:noFill/>
            </a:ln>
            <a:effectLst/>
          </c:spPr>
          <c:invertIfNegative val="0"/>
          <c:cat>
            <c:strRef>
              <c:f>'KS - Self-directed graph (3)'!$A$8:$A$20</c:f>
              <c:strCache>
                <c:ptCount val="13"/>
                <c:pt idx="0">
                  <c:v>Jul-Dec 2015</c:v>
                </c:pt>
                <c:pt idx="1">
                  <c:v>Jan-Jun 2016</c:v>
                </c:pt>
                <c:pt idx="2">
                  <c:v>Jul-Dec 2016</c:v>
                </c:pt>
                <c:pt idx="3">
                  <c:v>Jan-Jun 2017</c:v>
                </c:pt>
                <c:pt idx="4">
                  <c:v>Jul-Dec 2017</c:v>
                </c:pt>
                <c:pt idx="5">
                  <c:v>Jan-Jun 2018</c:v>
                </c:pt>
                <c:pt idx="6">
                  <c:v>Jul-Dec 2018</c:v>
                </c:pt>
                <c:pt idx="7">
                  <c:v>Jan-Jun 2019</c:v>
                </c:pt>
                <c:pt idx="8">
                  <c:v>Jul-Dec 2019</c:v>
                </c:pt>
                <c:pt idx="9">
                  <c:v>Jan-Jun 2020</c:v>
                </c:pt>
                <c:pt idx="10">
                  <c:v>Jul-Dec 2020</c:v>
                </c:pt>
                <c:pt idx="11">
                  <c:v>Jan-Jun 2021</c:v>
                </c:pt>
                <c:pt idx="12">
                  <c:v>Jul-Dec 2021</c:v>
                </c:pt>
              </c:strCache>
            </c:strRef>
          </c:cat>
          <c:val>
            <c:numRef>
              <c:f>'KS - Self-directed graph (3)'!$B$8:$B$20</c:f>
              <c:numCache>
                <c:formatCode>General</c:formatCode>
                <c:ptCount val="13"/>
                <c:pt idx="0">
                  <c:v>109</c:v>
                </c:pt>
                <c:pt idx="1">
                  <c:v>486</c:v>
                </c:pt>
                <c:pt idx="2">
                  <c:v>523</c:v>
                </c:pt>
                <c:pt idx="3">
                  <c:v>589</c:v>
                </c:pt>
                <c:pt idx="4">
                  <c:v>692</c:v>
                </c:pt>
                <c:pt idx="5">
                  <c:v>751</c:v>
                </c:pt>
                <c:pt idx="6">
                  <c:v>902</c:v>
                </c:pt>
                <c:pt idx="7">
                  <c:v>1195</c:v>
                </c:pt>
                <c:pt idx="8">
                  <c:v>1523</c:v>
                </c:pt>
                <c:pt idx="9">
                  <c:v>7000</c:v>
                </c:pt>
                <c:pt idx="10">
                  <c:v>1929</c:v>
                </c:pt>
                <c:pt idx="11">
                  <c:v>1401</c:v>
                </c:pt>
                <c:pt idx="12">
                  <c:v>2070</c:v>
                </c:pt>
              </c:numCache>
            </c:numRef>
          </c:val>
          <c:extLst>
            <c:ext xmlns:c16="http://schemas.microsoft.com/office/drawing/2014/chart" uri="{C3380CC4-5D6E-409C-BE32-E72D297353CC}">
              <c16:uniqueId val="{00000000-38E1-2945-B791-4043018B4AF8}"/>
            </c:ext>
          </c:extLst>
        </c:ser>
        <c:ser>
          <c:idx val="1"/>
          <c:order val="1"/>
          <c:tx>
            <c:strRef>
              <c:f>'KS - Self-directed graph (3)'!$C$2</c:f>
              <c:strCache>
                <c:ptCount val="1"/>
                <c:pt idx="0">
                  <c:v>Started treatment</c:v>
                </c:pt>
              </c:strCache>
            </c:strRef>
          </c:tx>
          <c:spPr>
            <a:solidFill>
              <a:schemeClr val="accent3"/>
            </a:solidFill>
            <a:ln>
              <a:noFill/>
            </a:ln>
            <a:effectLst/>
          </c:spPr>
          <c:invertIfNegative val="0"/>
          <c:cat>
            <c:strRef>
              <c:f>'KS - Self-directed graph (3)'!$A$8:$A$20</c:f>
              <c:strCache>
                <c:ptCount val="13"/>
                <c:pt idx="0">
                  <c:v>Jul-Dec 2015</c:v>
                </c:pt>
                <c:pt idx="1">
                  <c:v>Jan-Jun 2016</c:v>
                </c:pt>
                <c:pt idx="2">
                  <c:v>Jul-Dec 2016</c:v>
                </c:pt>
                <c:pt idx="3">
                  <c:v>Jan-Jun 2017</c:v>
                </c:pt>
                <c:pt idx="4">
                  <c:v>Jul-Dec 2017</c:v>
                </c:pt>
                <c:pt idx="5">
                  <c:v>Jan-Jun 2018</c:v>
                </c:pt>
                <c:pt idx="6">
                  <c:v>Jul-Dec 2018</c:v>
                </c:pt>
                <c:pt idx="7">
                  <c:v>Jan-Jun 2019</c:v>
                </c:pt>
                <c:pt idx="8">
                  <c:v>Jul-Dec 2019</c:v>
                </c:pt>
                <c:pt idx="9">
                  <c:v>Jan-Jun 2020</c:v>
                </c:pt>
                <c:pt idx="10">
                  <c:v>Jul-Dec 2020</c:v>
                </c:pt>
                <c:pt idx="11">
                  <c:v>Jan-Jun 2021</c:v>
                </c:pt>
                <c:pt idx="12">
                  <c:v>Jul-Dec 2021</c:v>
                </c:pt>
              </c:strCache>
            </c:strRef>
          </c:cat>
          <c:val>
            <c:numRef>
              <c:f>'KS - Self-directed graph (3)'!$C$8:$C$20</c:f>
              <c:numCache>
                <c:formatCode>General</c:formatCode>
                <c:ptCount val="13"/>
                <c:pt idx="0">
                  <c:v>102</c:v>
                </c:pt>
                <c:pt idx="1">
                  <c:v>442</c:v>
                </c:pt>
                <c:pt idx="2">
                  <c:v>488</c:v>
                </c:pt>
                <c:pt idx="3">
                  <c:v>551</c:v>
                </c:pt>
                <c:pt idx="4">
                  <c:v>628</c:v>
                </c:pt>
                <c:pt idx="5">
                  <c:v>673</c:v>
                </c:pt>
                <c:pt idx="6">
                  <c:v>829</c:v>
                </c:pt>
                <c:pt idx="7">
                  <c:v>1091</c:v>
                </c:pt>
                <c:pt idx="8">
                  <c:v>1306</c:v>
                </c:pt>
                <c:pt idx="9">
                  <c:v>7000</c:v>
                </c:pt>
                <c:pt idx="10">
                  <c:v>1688</c:v>
                </c:pt>
                <c:pt idx="11">
                  <c:v>1234</c:v>
                </c:pt>
                <c:pt idx="12">
                  <c:v>1792</c:v>
                </c:pt>
              </c:numCache>
            </c:numRef>
          </c:val>
          <c:extLst>
            <c:ext xmlns:c16="http://schemas.microsoft.com/office/drawing/2014/chart" uri="{C3380CC4-5D6E-409C-BE32-E72D297353CC}">
              <c16:uniqueId val="{00000001-38E1-2945-B791-4043018B4AF8}"/>
            </c:ext>
          </c:extLst>
        </c:ser>
        <c:ser>
          <c:idx val="2"/>
          <c:order val="2"/>
          <c:tx>
            <c:strRef>
              <c:f>'KS - Self-directed graph (3)'!$D$2</c:f>
              <c:strCache>
                <c:ptCount val="1"/>
                <c:pt idx="0">
                  <c:v>Completed treatment (4 or more sessions)</c:v>
                </c:pt>
              </c:strCache>
            </c:strRef>
          </c:tx>
          <c:spPr>
            <a:solidFill>
              <a:schemeClr val="accent4"/>
            </a:solidFill>
            <a:ln>
              <a:noFill/>
            </a:ln>
            <a:effectLst/>
          </c:spPr>
          <c:invertIfNegative val="0"/>
          <c:cat>
            <c:strRef>
              <c:f>'KS - Self-directed graph (3)'!$A$8:$A$20</c:f>
              <c:strCache>
                <c:ptCount val="13"/>
                <c:pt idx="0">
                  <c:v>Jul-Dec 2015</c:v>
                </c:pt>
                <c:pt idx="1">
                  <c:v>Jan-Jun 2016</c:v>
                </c:pt>
                <c:pt idx="2">
                  <c:v>Jul-Dec 2016</c:v>
                </c:pt>
                <c:pt idx="3">
                  <c:v>Jan-Jun 2017</c:v>
                </c:pt>
                <c:pt idx="4">
                  <c:v>Jul-Dec 2017</c:v>
                </c:pt>
                <c:pt idx="5">
                  <c:v>Jan-Jun 2018</c:v>
                </c:pt>
                <c:pt idx="6">
                  <c:v>Jul-Dec 2018</c:v>
                </c:pt>
                <c:pt idx="7">
                  <c:v>Jan-Jun 2019</c:v>
                </c:pt>
                <c:pt idx="8">
                  <c:v>Jul-Dec 2019</c:v>
                </c:pt>
                <c:pt idx="9">
                  <c:v>Jan-Jun 2020</c:v>
                </c:pt>
                <c:pt idx="10">
                  <c:v>Jul-Dec 2020</c:v>
                </c:pt>
                <c:pt idx="11">
                  <c:v>Jan-Jun 2021</c:v>
                </c:pt>
                <c:pt idx="12">
                  <c:v>Jul-Dec 2021</c:v>
                </c:pt>
              </c:strCache>
            </c:strRef>
          </c:cat>
          <c:val>
            <c:numRef>
              <c:f>'KS - Self-directed graph (3)'!$D$8:$D$20</c:f>
              <c:numCache>
                <c:formatCode>General</c:formatCode>
                <c:ptCount val="13"/>
                <c:pt idx="0">
                  <c:v>44</c:v>
                </c:pt>
                <c:pt idx="1">
                  <c:v>234</c:v>
                </c:pt>
                <c:pt idx="2">
                  <c:v>278</c:v>
                </c:pt>
                <c:pt idx="3">
                  <c:v>296</c:v>
                </c:pt>
                <c:pt idx="4">
                  <c:v>346</c:v>
                </c:pt>
                <c:pt idx="5">
                  <c:v>363</c:v>
                </c:pt>
                <c:pt idx="6">
                  <c:v>427</c:v>
                </c:pt>
                <c:pt idx="7">
                  <c:v>583</c:v>
                </c:pt>
                <c:pt idx="8">
                  <c:v>664</c:v>
                </c:pt>
                <c:pt idx="9">
                  <c:v>5754</c:v>
                </c:pt>
                <c:pt idx="10">
                  <c:v>945</c:v>
                </c:pt>
                <c:pt idx="11">
                  <c:v>678</c:v>
                </c:pt>
                <c:pt idx="12">
                  <c:v>946</c:v>
                </c:pt>
              </c:numCache>
            </c:numRef>
          </c:val>
          <c:extLst>
            <c:ext xmlns:c16="http://schemas.microsoft.com/office/drawing/2014/chart" uri="{C3380CC4-5D6E-409C-BE32-E72D297353CC}">
              <c16:uniqueId val="{00000002-38E1-2945-B791-4043018B4AF8}"/>
            </c:ext>
          </c:extLst>
        </c:ser>
        <c:dLbls>
          <c:showLegendKey val="0"/>
          <c:showVal val="0"/>
          <c:showCatName val="0"/>
          <c:showSerName val="0"/>
          <c:showPercent val="0"/>
          <c:showBubbleSize val="0"/>
        </c:dLbls>
        <c:gapWidth val="219"/>
        <c:overlap val="-27"/>
        <c:axId val="976740287"/>
        <c:axId val="976746943"/>
      </c:barChart>
      <c:catAx>
        <c:axId val="9767402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6746943"/>
        <c:crosses val="autoZero"/>
        <c:auto val="1"/>
        <c:lblAlgn val="ctr"/>
        <c:lblOffset val="100"/>
        <c:noMultiLvlLbl val="0"/>
      </c:catAx>
      <c:valAx>
        <c:axId val="97674694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6740287"/>
        <c:crosses val="autoZero"/>
        <c:crossBetween val="between"/>
        <c:majorUnit val="1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8"/>
          <c:order val="8"/>
          <c:tx>
            <c:strRef>
              <c:f>'Therapist-Guided Costs'!$B$35</c:f>
              <c:strCache>
                <c:ptCount val="1"/>
                <c:pt idx="0">
                  <c:v>No. consumers enrolled in therapist-supported treatment</c:v>
                </c:pt>
              </c:strCache>
            </c:strRef>
          </c:tx>
          <c:spPr>
            <a:ln w="28575" cap="rnd">
              <a:solidFill>
                <a:schemeClr val="accent3">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'Therapist-Guided Costs'!$C$26:$J$26</c:f>
              <c:strCache>
                <c:ptCount val="8"/>
                <c:pt idx="0">
                  <c:v>FY 14-15</c:v>
                </c:pt>
                <c:pt idx="1">
                  <c:v>FY 15-16</c:v>
                </c:pt>
                <c:pt idx="2">
                  <c:v>FY 16-17</c:v>
                </c:pt>
                <c:pt idx="3">
                  <c:v>FY 17-18</c:v>
                </c:pt>
                <c:pt idx="4">
                  <c:v>FY 18-19</c:v>
                </c:pt>
                <c:pt idx="5">
                  <c:v>FY 19-20</c:v>
                </c:pt>
                <c:pt idx="6">
                  <c:v>FY 20-21</c:v>
                </c:pt>
                <c:pt idx="7">
                  <c:v>Estimated FY 21-22</c:v>
                </c:pt>
              </c:strCache>
            </c:strRef>
          </c:cat>
          <c:val>
            <c:numRef>
              <c:f>'Therapist-Guided Costs'!$C$35:$J$35</c:f>
              <c:numCache>
                <c:formatCode>_-* #,##0_-;\-* #,##0_-;_-* "-"??_-;_-@_-</c:formatCode>
                <c:ptCount val="8"/>
                <c:pt idx="0">
                  <c:v>3401</c:v>
                </c:pt>
                <c:pt idx="1">
                  <c:v>3688</c:v>
                </c:pt>
                <c:pt idx="2">
                  <c:v>3971</c:v>
                </c:pt>
                <c:pt idx="3">
                  <c:v>3936</c:v>
                </c:pt>
                <c:pt idx="4">
                  <c:v>3804</c:v>
                </c:pt>
                <c:pt idx="5">
                  <c:v>4822</c:v>
                </c:pt>
                <c:pt idx="6">
                  <c:v>5198</c:v>
                </c:pt>
                <c:pt idx="7">
                  <c:v>5613</c:v>
                </c:pt>
              </c:numCache>
            </c:numRef>
          </c:val>
          <c:smooth val="0"/>
          <c:extLst>
            <c:ext xmlns:c16="http://schemas.microsoft.com/office/drawing/2014/chart" uri="{C3380CC4-5D6E-409C-BE32-E72D297353CC}">
              <c16:uniqueId val="{00000000-AB78-5D45-B5F1-598B4510E3B1}"/>
            </c:ext>
          </c:extLst>
        </c:ser>
        <c:dLbls>
          <c:showLegendKey val="0"/>
          <c:showVal val="0"/>
          <c:showCatName val="0"/>
          <c:showSerName val="0"/>
          <c:showPercent val="0"/>
          <c:showBubbleSize val="0"/>
        </c:dLbls>
        <c:marker val="1"/>
        <c:smooth val="0"/>
        <c:axId val="1955428960"/>
        <c:axId val="1955429376"/>
        <c:extLst>
          <c:ext xmlns:c15="http://schemas.microsoft.com/office/drawing/2012/chart" uri="{02D57815-91ED-43cb-92C2-25804820EDAC}">
            <c15:filteredLineSeries>
              <c15:ser>
                <c:idx val="0"/>
                <c:order val="0"/>
                <c:tx>
                  <c:strRef>
                    <c:extLst>
                      <c:ext uri="{02D57815-91ED-43cb-92C2-25804820EDAC}">
                        <c15:formulaRef>
                          <c15:sqref>'Therapist-Guided Costs'!$B$27</c15:sqref>
                        </c15:formulaRef>
                      </c:ext>
                    </c:extLst>
                    <c:strCache>
                      <c:ptCount val="1"/>
                      <c:pt idx="0">
                        <c:v>Therapist cost </c:v>
                      </c:pt>
                    </c:strCache>
                  </c:strRef>
                </c:tx>
                <c:spPr>
                  <a:ln w="28575" cap="rnd">
                    <a:solidFill>
                      <a:schemeClr val="accent1"/>
                    </a:solidFill>
                    <a:round/>
                  </a:ln>
                  <a:effectLst/>
                </c:spPr>
                <c:marker>
                  <c:symbol val="none"/>
                </c:marker>
                <c:cat>
                  <c:strRef>
                    <c:extLst>
                      <c:ext uri="{02D57815-91ED-43cb-92C2-25804820EDAC}">
                        <c15:formulaRef>
                          <c15:sqref>'Therapist-Guided Costs'!$C$26:$J$26</c15:sqref>
                        </c15:formulaRef>
                      </c:ext>
                    </c:extLst>
                    <c:strCache>
                      <c:ptCount val="8"/>
                      <c:pt idx="0">
                        <c:v>FY 14-15</c:v>
                      </c:pt>
                      <c:pt idx="1">
                        <c:v>FY 15-16</c:v>
                      </c:pt>
                      <c:pt idx="2">
                        <c:v>FY 16-17</c:v>
                      </c:pt>
                      <c:pt idx="3">
                        <c:v>FY 17-18</c:v>
                      </c:pt>
                      <c:pt idx="4">
                        <c:v>FY 18-19</c:v>
                      </c:pt>
                      <c:pt idx="5">
                        <c:v>FY 19-20</c:v>
                      </c:pt>
                      <c:pt idx="6">
                        <c:v>FY 20-21</c:v>
                      </c:pt>
                      <c:pt idx="7">
                        <c:v>Estimated FY 21-22</c:v>
                      </c:pt>
                    </c:strCache>
                  </c:strRef>
                </c:cat>
                <c:val>
                  <c:numRef>
                    <c:extLst>
                      <c:ext uri="{02D57815-91ED-43cb-92C2-25804820EDAC}">
                        <c15:formulaRef>
                          <c15:sqref>'Therapist-Guided Costs'!$C$27:$J$27</c15:sqref>
                        </c15:formulaRef>
                      </c:ext>
                    </c:extLst>
                    <c:numCache>
                      <c:formatCode>_("$"* #,##0.00_);_("$"* \(#,##0.00\);_("$"* "-"??_);_(@_)</c:formatCode>
                      <c:ptCount val="8"/>
                      <c:pt idx="0">
                        <c:v>984613.83853723924</c:v>
                      </c:pt>
                      <c:pt idx="1">
                        <c:v>985199.09967642161</c:v>
                      </c:pt>
                      <c:pt idx="2">
                        <c:v>996278.82012462523</c:v>
                      </c:pt>
                      <c:pt idx="3">
                        <c:v>931180.44748949516</c:v>
                      </c:pt>
                      <c:pt idx="4">
                        <c:v>890518.12438711838</c:v>
                      </c:pt>
                      <c:pt idx="5">
                        <c:v>937293.97089357383</c:v>
                      </c:pt>
                      <c:pt idx="6">
                        <c:v>870722.4215628088</c:v>
                      </c:pt>
                      <c:pt idx="7">
                        <c:v>789206.93233730888</c:v>
                      </c:pt>
                    </c:numCache>
                  </c:numRef>
                </c:val>
                <c:smooth val="0"/>
                <c:extLst>
                  <c:ext xmlns:c16="http://schemas.microsoft.com/office/drawing/2014/chart" uri="{C3380CC4-5D6E-409C-BE32-E72D297353CC}">
                    <c16:uniqueId val="{00000004-AB78-5D45-B5F1-598B4510E3B1}"/>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'Therapist-Guided Costs'!$B$28</c15:sqref>
                        </c15:formulaRef>
                      </c:ext>
                    </c:extLst>
                    <c:strCache>
                      <c:ptCount val="1"/>
                      <c:pt idx="0">
                        <c:v>Supervisors cost</c:v>
                      </c:pt>
                    </c:strCache>
                  </c:strRef>
                </c:tx>
                <c:spPr>
                  <a:ln w="28575" cap="rnd">
                    <a:solidFill>
                      <a:schemeClr val="accent2"/>
                    </a:solidFill>
                    <a:round/>
                  </a:ln>
                  <a:effectLst/>
                </c:spPr>
                <c:marker>
                  <c:symbol val="none"/>
                </c:marker>
                <c:cat>
                  <c:strRef>
                    <c:extLst xmlns:c15="http://schemas.microsoft.com/office/drawing/2012/chart">
                      <c:ext xmlns:c15="http://schemas.microsoft.com/office/drawing/2012/chart" uri="{02D57815-91ED-43cb-92C2-25804820EDAC}">
                        <c15:formulaRef>
                          <c15:sqref>'Therapist-Guided Costs'!$C$26:$J$26</c15:sqref>
                        </c15:formulaRef>
                      </c:ext>
                    </c:extLst>
                    <c:strCache>
                      <c:ptCount val="8"/>
                      <c:pt idx="0">
                        <c:v>FY 14-15</c:v>
                      </c:pt>
                      <c:pt idx="1">
                        <c:v>FY 15-16</c:v>
                      </c:pt>
                      <c:pt idx="2">
                        <c:v>FY 16-17</c:v>
                      </c:pt>
                      <c:pt idx="3">
                        <c:v>FY 17-18</c:v>
                      </c:pt>
                      <c:pt idx="4">
                        <c:v>FY 18-19</c:v>
                      </c:pt>
                      <c:pt idx="5">
                        <c:v>FY 19-20</c:v>
                      </c:pt>
                      <c:pt idx="6">
                        <c:v>FY 20-21</c:v>
                      </c:pt>
                      <c:pt idx="7">
                        <c:v>Estimated FY 21-22</c:v>
                      </c:pt>
                    </c:strCache>
                  </c:strRef>
                </c:cat>
                <c:val>
                  <c:numRef>
                    <c:extLst xmlns:c15="http://schemas.microsoft.com/office/drawing/2012/chart">
                      <c:ext xmlns:c15="http://schemas.microsoft.com/office/drawing/2012/chart" uri="{02D57815-91ED-43cb-92C2-25804820EDAC}">
                        <c15:formulaRef>
                          <c15:sqref>'Therapist-Guided Costs'!$C$28:$J$28</c15:sqref>
                        </c15:formulaRef>
                      </c:ext>
                    </c:extLst>
                    <c:numCache>
                      <c:formatCode>_("$"* #,##0.00_);_("$"* \(#,##0.00\);_("$"* "-"??_);_(@_)</c:formatCode>
                      <c:ptCount val="8"/>
                      <c:pt idx="0">
                        <c:v>141101.16605059116</c:v>
                      </c:pt>
                      <c:pt idx="1">
                        <c:v>141185.0375400529</c:v>
                      </c:pt>
                      <c:pt idx="2">
                        <c:v>133181.84860330392</c:v>
                      </c:pt>
                      <c:pt idx="3">
                        <c:v>124479.54415450635</c:v>
                      </c:pt>
                      <c:pt idx="4">
                        <c:v>119043.83353827348</c:v>
                      </c:pt>
                      <c:pt idx="5">
                        <c:v>125296.79564273221</c:v>
                      </c:pt>
                      <c:pt idx="6">
                        <c:v>116397.55797435714</c:v>
                      </c:pt>
                      <c:pt idx="7">
                        <c:v>106723.7764669536</c:v>
                      </c:pt>
                    </c:numCache>
                  </c:numRef>
                </c:val>
                <c:smooth val="0"/>
                <c:extLst xmlns:c15="http://schemas.microsoft.com/office/drawing/2012/chart">
                  <c:ext xmlns:c16="http://schemas.microsoft.com/office/drawing/2014/chart" uri="{C3380CC4-5D6E-409C-BE32-E72D297353CC}">
                    <c16:uniqueId val="{00000005-AB78-5D45-B5F1-598B4510E3B1}"/>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'Therapist-Guided Costs'!$B$29</c15:sqref>
                        </c15:formulaRef>
                      </c:ext>
                    </c:extLst>
                    <c:strCache>
                      <c:ptCount val="1"/>
                      <c:pt idx="0">
                        <c:v>website maintenance</c:v>
                      </c:pt>
                    </c:strCache>
                  </c:strRef>
                </c:tx>
                <c:spPr>
                  <a:ln w="28575" cap="rnd">
                    <a:solidFill>
                      <a:schemeClr val="accent3"/>
                    </a:solidFill>
                    <a:round/>
                  </a:ln>
                  <a:effectLst/>
                </c:spPr>
                <c:marker>
                  <c:symbol val="none"/>
                </c:marker>
                <c:cat>
                  <c:strRef>
                    <c:extLst xmlns:c15="http://schemas.microsoft.com/office/drawing/2012/chart">
                      <c:ext xmlns:c15="http://schemas.microsoft.com/office/drawing/2012/chart" uri="{02D57815-91ED-43cb-92C2-25804820EDAC}">
                        <c15:formulaRef>
                          <c15:sqref>'Therapist-Guided Costs'!$C$26:$J$26</c15:sqref>
                        </c15:formulaRef>
                      </c:ext>
                    </c:extLst>
                    <c:strCache>
                      <c:ptCount val="8"/>
                      <c:pt idx="0">
                        <c:v>FY 14-15</c:v>
                      </c:pt>
                      <c:pt idx="1">
                        <c:v>FY 15-16</c:v>
                      </c:pt>
                      <c:pt idx="2">
                        <c:v>FY 16-17</c:v>
                      </c:pt>
                      <c:pt idx="3">
                        <c:v>FY 17-18</c:v>
                      </c:pt>
                      <c:pt idx="4">
                        <c:v>FY 18-19</c:v>
                      </c:pt>
                      <c:pt idx="5">
                        <c:v>FY 19-20</c:v>
                      </c:pt>
                      <c:pt idx="6">
                        <c:v>FY 20-21</c:v>
                      </c:pt>
                      <c:pt idx="7">
                        <c:v>Estimated FY 21-22</c:v>
                      </c:pt>
                    </c:strCache>
                  </c:strRef>
                </c:cat>
                <c:val>
                  <c:numRef>
                    <c:extLst xmlns:c15="http://schemas.microsoft.com/office/drawing/2012/chart">
                      <c:ext xmlns:c15="http://schemas.microsoft.com/office/drawing/2012/chart" uri="{02D57815-91ED-43cb-92C2-25804820EDAC}">
                        <c15:formulaRef>
                          <c15:sqref>'Therapist-Guided Costs'!$C$29:$J$29</c15:sqref>
                        </c15:formulaRef>
                      </c:ext>
                    </c:extLst>
                    <c:numCache>
                      <c:formatCode>_("$"* #,##0.00_);_("$"* \(#,##0.00\);_("$"* "-"??_);_(@_)</c:formatCode>
                      <c:ptCount val="8"/>
                      <c:pt idx="0">
                        <c:v>118922</c:v>
                      </c:pt>
                      <c:pt idx="1">
                        <c:v>122721</c:v>
                      </c:pt>
                      <c:pt idx="2">
                        <c:v>120799</c:v>
                      </c:pt>
                      <c:pt idx="3">
                        <c:v>122569</c:v>
                      </c:pt>
                      <c:pt idx="4">
                        <c:v>105621</c:v>
                      </c:pt>
                      <c:pt idx="5">
                        <c:v>118971.72</c:v>
                      </c:pt>
                      <c:pt idx="6">
                        <c:v>142227.37090909091</c:v>
                      </c:pt>
                      <c:pt idx="7">
                        <c:v>168000</c:v>
                      </c:pt>
                    </c:numCache>
                  </c:numRef>
                </c:val>
                <c:smooth val="0"/>
                <c:extLst xmlns:c15="http://schemas.microsoft.com/office/drawing/2012/chart">
                  <c:ext xmlns:c16="http://schemas.microsoft.com/office/drawing/2014/chart" uri="{C3380CC4-5D6E-409C-BE32-E72D297353CC}">
                    <c16:uniqueId val="{00000006-AB78-5D45-B5F1-598B4510E3B1}"/>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'Therapist-Guided Costs'!$B$30</c15:sqref>
                        </c15:formulaRef>
                      </c:ext>
                    </c:extLst>
                    <c:strCache>
                      <c:ptCount val="1"/>
                      <c:pt idx="0">
                        <c:v>Internet access/telecommunications</c:v>
                      </c:pt>
                    </c:strCache>
                  </c:strRef>
                </c:tx>
                <c:spPr>
                  <a:ln w="28575" cap="rnd">
                    <a:solidFill>
                      <a:schemeClr val="accent4"/>
                    </a:solidFill>
                    <a:round/>
                  </a:ln>
                  <a:effectLst/>
                </c:spPr>
                <c:marker>
                  <c:symbol val="none"/>
                </c:marker>
                <c:cat>
                  <c:strRef>
                    <c:extLst xmlns:c15="http://schemas.microsoft.com/office/drawing/2012/chart">
                      <c:ext xmlns:c15="http://schemas.microsoft.com/office/drawing/2012/chart" uri="{02D57815-91ED-43cb-92C2-25804820EDAC}">
                        <c15:formulaRef>
                          <c15:sqref>'Therapist-Guided Costs'!$C$26:$J$26</c15:sqref>
                        </c15:formulaRef>
                      </c:ext>
                    </c:extLst>
                    <c:strCache>
                      <c:ptCount val="8"/>
                      <c:pt idx="0">
                        <c:v>FY 14-15</c:v>
                      </c:pt>
                      <c:pt idx="1">
                        <c:v>FY 15-16</c:v>
                      </c:pt>
                      <c:pt idx="2">
                        <c:v>FY 16-17</c:v>
                      </c:pt>
                      <c:pt idx="3">
                        <c:v>FY 17-18</c:v>
                      </c:pt>
                      <c:pt idx="4">
                        <c:v>FY 18-19</c:v>
                      </c:pt>
                      <c:pt idx="5">
                        <c:v>FY 19-20</c:v>
                      </c:pt>
                      <c:pt idx="6">
                        <c:v>FY 20-21</c:v>
                      </c:pt>
                      <c:pt idx="7">
                        <c:v>Estimated FY 21-22</c:v>
                      </c:pt>
                    </c:strCache>
                  </c:strRef>
                </c:cat>
                <c:val>
                  <c:numRef>
                    <c:extLst xmlns:c15="http://schemas.microsoft.com/office/drawing/2012/chart">
                      <c:ext xmlns:c15="http://schemas.microsoft.com/office/drawing/2012/chart" uri="{02D57815-91ED-43cb-92C2-25804820EDAC}">
                        <c15:formulaRef>
                          <c15:sqref>'Therapist-Guided Costs'!$C$30:$J$30</c15:sqref>
                        </c15:formulaRef>
                      </c:ext>
                    </c:extLst>
                    <c:numCache>
                      <c:formatCode>_("$"* #,##0.00_);_("$"* \(#,##0.00\);_("$"* "-"??_);_(@_)</c:formatCode>
                      <c:ptCount val="8"/>
                      <c:pt idx="0">
                        <c:v>36458</c:v>
                      </c:pt>
                      <c:pt idx="1">
                        <c:v>35751</c:v>
                      </c:pt>
                      <c:pt idx="2">
                        <c:v>36163.65</c:v>
                      </c:pt>
                      <c:pt idx="3">
                        <c:v>35138</c:v>
                      </c:pt>
                      <c:pt idx="4">
                        <c:v>34589.08</c:v>
                      </c:pt>
                      <c:pt idx="5">
                        <c:v>33016</c:v>
                      </c:pt>
                      <c:pt idx="6">
                        <c:v>27229.339999999997</c:v>
                      </c:pt>
                      <c:pt idx="7">
                        <c:v>16800</c:v>
                      </c:pt>
                    </c:numCache>
                  </c:numRef>
                </c:val>
                <c:smooth val="0"/>
                <c:extLst xmlns:c15="http://schemas.microsoft.com/office/drawing/2012/chart">
                  <c:ext xmlns:c16="http://schemas.microsoft.com/office/drawing/2014/chart" uri="{C3380CC4-5D6E-409C-BE32-E72D297353CC}">
                    <c16:uniqueId val="{00000007-AB78-5D45-B5F1-598B4510E3B1}"/>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'Therapist-Guided Costs'!$B$31</c15:sqref>
                        </c15:formulaRef>
                      </c:ext>
                    </c:extLst>
                    <c:strCache>
                      <c:ptCount val="1"/>
                      <c:pt idx="0">
                        <c:v>computers(Estimate)</c:v>
                      </c:pt>
                    </c:strCache>
                  </c:strRef>
                </c:tx>
                <c:spPr>
                  <a:ln w="28575" cap="rnd">
                    <a:solidFill>
                      <a:schemeClr val="accent5"/>
                    </a:solidFill>
                    <a:round/>
                  </a:ln>
                  <a:effectLst/>
                </c:spPr>
                <c:marker>
                  <c:symbol val="none"/>
                </c:marker>
                <c:cat>
                  <c:strRef>
                    <c:extLst xmlns:c15="http://schemas.microsoft.com/office/drawing/2012/chart">
                      <c:ext xmlns:c15="http://schemas.microsoft.com/office/drawing/2012/chart" uri="{02D57815-91ED-43cb-92C2-25804820EDAC}">
                        <c15:formulaRef>
                          <c15:sqref>'Therapist-Guided Costs'!$C$26:$J$26</c15:sqref>
                        </c15:formulaRef>
                      </c:ext>
                    </c:extLst>
                    <c:strCache>
                      <c:ptCount val="8"/>
                      <c:pt idx="0">
                        <c:v>FY 14-15</c:v>
                      </c:pt>
                      <c:pt idx="1">
                        <c:v>FY 15-16</c:v>
                      </c:pt>
                      <c:pt idx="2">
                        <c:v>FY 16-17</c:v>
                      </c:pt>
                      <c:pt idx="3">
                        <c:v>FY 17-18</c:v>
                      </c:pt>
                      <c:pt idx="4">
                        <c:v>FY 18-19</c:v>
                      </c:pt>
                      <c:pt idx="5">
                        <c:v>FY 19-20</c:v>
                      </c:pt>
                      <c:pt idx="6">
                        <c:v>FY 20-21</c:v>
                      </c:pt>
                      <c:pt idx="7">
                        <c:v>Estimated FY 21-22</c:v>
                      </c:pt>
                    </c:strCache>
                  </c:strRef>
                </c:cat>
                <c:val>
                  <c:numRef>
                    <c:extLst xmlns:c15="http://schemas.microsoft.com/office/drawing/2012/chart">
                      <c:ext xmlns:c15="http://schemas.microsoft.com/office/drawing/2012/chart" uri="{02D57815-91ED-43cb-92C2-25804820EDAC}">
                        <c15:formulaRef>
                          <c15:sqref>'Therapist-Guided Costs'!$C$31:$J$31</c15:sqref>
                        </c15:formulaRef>
                      </c:ext>
                    </c:extLst>
                    <c:numCache>
                      <c:formatCode>_("$"* #,##0.00_);_("$"* \(#,##0.00\);_("$"* "-"??_);_(@_)</c:formatCode>
                      <c:ptCount val="8"/>
                      <c:pt idx="0">
                        <c:v>6000</c:v>
                      </c:pt>
                      <c:pt idx="1">
                        <c:v>6000</c:v>
                      </c:pt>
                      <c:pt idx="2">
                        <c:v>6000</c:v>
                      </c:pt>
                      <c:pt idx="3">
                        <c:v>6000</c:v>
                      </c:pt>
                      <c:pt idx="4">
                        <c:v>6000</c:v>
                      </c:pt>
                      <c:pt idx="5">
                        <c:v>5862.5</c:v>
                      </c:pt>
                      <c:pt idx="6">
                        <c:v>6166.6666666666661</c:v>
                      </c:pt>
                      <c:pt idx="7">
                        <c:v>6166.6666666666661</c:v>
                      </c:pt>
                    </c:numCache>
                  </c:numRef>
                </c:val>
                <c:smooth val="0"/>
                <c:extLst xmlns:c15="http://schemas.microsoft.com/office/drawing/2012/chart">
                  <c:ext xmlns:c16="http://schemas.microsoft.com/office/drawing/2014/chart" uri="{C3380CC4-5D6E-409C-BE32-E72D297353CC}">
                    <c16:uniqueId val="{00000008-AB78-5D45-B5F1-598B4510E3B1}"/>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'Therapist-Guided Costs'!$B$32</c15:sqref>
                        </c15:formulaRef>
                      </c:ext>
                    </c:extLst>
                    <c:strCache>
                      <c:ptCount val="1"/>
                      <c:pt idx="0">
                        <c:v>administrative expenses</c:v>
                      </c:pt>
                    </c:strCache>
                  </c:strRef>
                </c:tx>
                <c:spPr>
                  <a:ln w="28575" cap="rnd">
                    <a:solidFill>
                      <a:schemeClr val="accent6"/>
                    </a:solidFill>
                    <a:round/>
                  </a:ln>
                  <a:effectLst/>
                </c:spPr>
                <c:marker>
                  <c:symbol val="none"/>
                </c:marker>
                <c:cat>
                  <c:strRef>
                    <c:extLst xmlns:c15="http://schemas.microsoft.com/office/drawing/2012/chart">
                      <c:ext xmlns:c15="http://schemas.microsoft.com/office/drawing/2012/chart" uri="{02D57815-91ED-43cb-92C2-25804820EDAC}">
                        <c15:formulaRef>
                          <c15:sqref>'Therapist-Guided Costs'!$C$26:$J$26</c15:sqref>
                        </c15:formulaRef>
                      </c:ext>
                    </c:extLst>
                    <c:strCache>
                      <c:ptCount val="8"/>
                      <c:pt idx="0">
                        <c:v>FY 14-15</c:v>
                      </c:pt>
                      <c:pt idx="1">
                        <c:v>FY 15-16</c:v>
                      </c:pt>
                      <c:pt idx="2">
                        <c:v>FY 16-17</c:v>
                      </c:pt>
                      <c:pt idx="3">
                        <c:v>FY 17-18</c:v>
                      </c:pt>
                      <c:pt idx="4">
                        <c:v>FY 18-19</c:v>
                      </c:pt>
                      <c:pt idx="5">
                        <c:v>FY 19-20</c:v>
                      </c:pt>
                      <c:pt idx="6">
                        <c:v>FY 20-21</c:v>
                      </c:pt>
                      <c:pt idx="7">
                        <c:v>Estimated FY 21-22</c:v>
                      </c:pt>
                    </c:strCache>
                  </c:strRef>
                </c:cat>
                <c:val>
                  <c:numRef>
                    <c:extLst xmlns:c15="http://schemas.microsoft.com/office/drawing/2012/chart">
                      <c:ext xmlns:c15="http://schemas.microsoft.com/office/drawing/2012/chart" uri="{02D57815-91ED-43cb-92C2-25804820EDAC}">
                        <c15:formulaRef>
                          <c15:sqref>'Therapist-Guided Costs'!$C$32:$J$32</c15:sqref>
                        </c15:formulaRef>
                      </c:ext>
                    </c:extLst>
                    <c:numCache>
                      <c:formatCode>_("$"* #,##0.00_);_("$"* \(#,##0.00\);_("$"* "-"??_);_(@_)</c:formatCode>
                      <c:ptCount val="8"/>
                      <c:pt idx="0">
                        <c:v>8262</c:v>
                      </c:pt>
                      <c:pt idx="1">
                        <c:v>8240</c:v>
                      </c:pt>
                      <c:pt idx="2">
                        <c:v>8762.32</c:v>
                      </c:pt>
                      <c:pt idx="3">
                        <c:v>9823.2999999999993</c:v>
                      </c:pt>
                      <c:pt idx="4">
                        <c:v>8394.67</c:v>
                      </c:pt>
                      <c:pt idx="5">
                        <c:v>8197.09</c:v>
                      </c:pt>
                      <c:pt idx="6">
                        <c:v>8574.66</c:v>
                      </c:pt>
                      <c:pt idx="7">
                        <c:v>8039</c:v>
                      </c:pt>
                    </c:numCache>
                  </c:numRef>
                </c:val>
                <c:smooth val="0"/>
                <c:extLst xmlns:c15="http://schemas.microsoft.com/office/drawing/2012/chart">
                  <c:ext xmlns:c16="http://schemas.microsoft.com/office/drawing/2014/chart" uri="{C3380CC4-5D6E-409C-BE32-E72D297353CC}">
                    <c16:uniqueId val="{00000009-AB78-5D45-B5F1-598B4510E3B1}"/>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'Therapist-Guided Costs'!$B$33</c15:sqref>
                        </c15:formulaRef>
                      </c:ext>
                    </c:extLst>
                    <c:strCache>
                      <c:ptCount val="1"/>
                      <c:pt idx="0">
                        <c:v>software (if applicable)</c:v>
                      </c:pt>
                    </c:strCache>
                  </c:strRef>
                </c:tx>
                <c:spPr>
                  <a:ln w="28575" cap="rnd">
                    <a:solidFill>
                      <a:schemeClr val="accent1">
                        <a:lumMod val="60000"/>
                      </a:schemeClr>
                    </a:solidFill>
                    <a:round/>
                  </a:ln>
                  <a:effectLst/>
                </c:spPr>
                <c:marker>
                  <c:symbol val="none"/>
                </c:marker>
                <c:cat>
                  <c:strRef>
                    <c:extLst xmlns:c15="http://schemas.microsoft.com/office/drawing/2012/chart">
                      <c:ext xmlns:c15="http://schemas.microsoft.com/office/drawing/2012/chart" uri="{02D57815-91ED-43cb-92C2-25804820EDAC}">
                        <c15:formulaRef>
                          <c15:sqref>'Therapist-Guided Costs'!$C$26:$J$26</c15:sqref>
                        </c15:formulaRef>
                      </c:ext>
                    </c:extLst>
                    <c:strCache>
                      <c:ptCount val="8"/>
                      <c:pt idx="0">
                        <c:v>FY 14-15</c:v>
                      </c:pt>
                      <c:pt idx="1">
                        <c:v>FY 15-16</c:v>
                      </c:pt>
                      <c:pt idx="2">
                        <c:v>FY 16-17</c:v>
                      </c:pt>
                      <c:pt idx="3">
                        <c:v>FY 17-18</c:v>
                      </c:pt>
                      <c:pt idx="4">
                        <c:v>FY 18-19</c:v>
                      </c:pt>
                      <c:pt idx="5">
                        <c:v>FY 19-20</c:v>
                      </c:pt>
                      <c:pt idx="6">
                        <c:v>FY 20-21</c:v>
                      </c:pt>
                      <c:pt idx="7">
                        <c:v>Estimated FY 21-22</c:v>
                      </c:pt>
                    </c:strCache>
                  </c:strRef>
                </c:cat>
                <c:val>
                  <c:numRef>
                    <c:extLst xmlns:c15="http://schemas.microsoft.com/office/drawing/2012/chart">
                      <c:ext xmlns:c15="http://schemas.microsoft.com/office/drawing/2012/chart" uri="{02D57815-91ED-43cb-92C2-25804820EDAC}">
                        <c15:formulaRef>
                          <c15:sqref>'Therapist-Guided Costs'!$C$33:$J$33</c15:sqref>
                        </c15:formulaRef>
                      </c:ext>
                    </c:extLst>
                    <c:numCache>
                      <c:formatCode>_("$"* #,##0.00_);_("$"* \(#,##0.00\);_("$"* "-"??_);_(@_)</c:formatCode>
                      <c:ptCount val="8"/>
                      <c:pt idx="0">
                        <c:v>5121</c:v>
                      </c:pt>
                      <c:pt idx="1">
                        <c:v>4823</c:v>
                      </c:pt>
                      <c:pt idx="2">
                        <c:v>4912.3899999999994</c:v>
                      </c:pt>
                      <c:pt idx="3">
                        <c:v>5410.48</c:v>
                      </c:pt>
                      <c:pt idx="4">
                        <c:v>4507.16</c:v>
                      </c:pt>
                      <c:pt idx="5">
                        <c:v>4193</c:v>
                      </c:pt>
                      <c:pt idx="6">
                        <c:v>4557.4279999999999</c:v>
                      </c:pt>
                      <c:pt idx="7">
                        <c:v>4918.183</c:v>
                      </c:pt>
                    </c:numCache>
                  </c:numRef>
                </c:val>
                <c:smooth val="0"/>
                <c:extLst xmlns:c15="http://schemas.microsoft.com/office/drawing/2012/chart">
                  <c:ext xmlns:c16="http://schemas.microsoft.com/office/drawing/2014/chart" uri="{C3380CC4-5D6E-409C-BE32-E72D297353CC}">
                    <c16:uniqueId val="{0000000A-AB78-5D45-B5F1-598B4510E3B1}"/>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'Therapist-Guided Costs'!$B$34</c15:sqref>
                        </c15:formulaRef>
                      </c:ext>
                    </c:extLst>
                    <c:strCache>
                      <c:ptCount val="1"/>
                      <c:pt idx="0">
                        <c:v>Overall Expense</c:v>
                      </c:pt>
                    </c:strCache>
                  </c:strRef>
                </c:tx>
                <c:spPr>
                  <a:ln w="28575" cap="rnd">
                    <a:solidFill>
                      <a:schemeClr val="accent2">
                        <a:lumMod val="60000"/>
                      </a:schemeClr>
                    </a:solidFill>
                    <a:round/>
                  </a:ln>
                  <a:effectLst/>
                </c:spPr>
                <c:marker>
                  <c:symbol val="none"/>
                </c:marker>
                <c:cat>
                  <c:strRef>
                    <c:extLst xmlns:c15="http://schemas.microsoft.com/office/drawing/2012/chart">
                      <c:ext xmlns:c15="http://schemas.microsoft.com/office/drawing/2012/chart" uri="{02D57815-91ED-43cb-92C2-25804820EDAC}">
                        <c15:formulaRef>
                          <c15:sqref>'Therapist-Guided Costs'!$C$26:$J$26</c15:sqref>
                        </c15:formulaRef>
                      </c:ext>
                    </c:extLst>
                    <c:strCache>
                      <c:ptCount val="8"/>
                      <c:pt idx="0">
                        <c:v>FY 14-15</c:v>
                      </c:pt>
                      <c:pt idx="1">
                        <c:v>FY 15-16</c:v>
                      </c:pt>
                      <c:pt idx="2">
                        <c:v>FY 16-17</c:v>
                      </c:pt>
                      <c:pt idx="3">
                        <c:v>FY 17-18</c:v>
                      </c:pt>
                      <c:pt idx="4">
                        <c:v>FY 18-19</c:v>
                      </c:pt>
                      <c:pt idx="5">
                        <c:v>FY 19-20</c:v>
                      </c:pt>
                      <c:pt idx="6">
                        <c:v>FY 20-21</c:v>
                      </c:pt>
                      <c:pt idx="7">
                        <c:v>Estimated FY 21-22</c:v>
                      </c:pt>
                    </c:strCache>
                  </c:strRef>
                </c:cat>
                <c:val>
                  <c:numRef>
                    <c:extLst xmlns:c15="http://schemas.microsoft.com/office/drawing/2012/chart">
                      <c:ext xmlns:c15="http://schemas.microsoft.com/office/drawing/2012/chart" uri="{02D57815-91ED-43cb-92C2-25804820EDAC}">
                        <c15:formulaRef>
                          <c15:sqref>'Therapist-Guided Costs'!$C$34:$J$34</c15:sqref>
                        </c15:formulaRef>
                      </c:ext>
                    </c:extLst>
                    <c:numCache>
                      <c:formatCode>_("$"* #,##0.00_);_("$"* \(#,##0.00\);_("$"* "-"??_);_(@_)</c:formatCode>
                      <c:ptCount val="8"/>
                      <c:pt idx="0">
                        <c:v>1300478.0045878305</c:v>
                      </c:pt>
                      <c:pt idx="1">
                        <c:v>1303919.1372164744</c:v>
                      </c:pt>
                      <c:pt idx="2">
                        <c:v>1306098.0287279291</c:v>
                      </c:pt>
                      <c:pt idx="3">
                        <c:v>1234600.7716440016</c:v>
                      </c:pt>
                      <c:pt idx="4">
                        <c:v>1168673.8679253918</c:v>
                      </c:pt>
                      <c:pt idx="5">
                        <c:v>1232831.0765363062</c:v>
                      </c:pt>
                      <c:pt idx="6">
                        <c:v>1175875.4451129236</c:v>
                      </c:pt>
                      <c:pt idx="7">
                        <c:v>1099854.558470929</c:v>
                      </c:pt>
                    </c:numCache>
                  </c:numRef>
                </c:val>
                <c:smooth val="0"/>
                <c:extLst xmlns:c15="http://schemas.microsoft.com/office/drawing/2012/chart">
                  <c:ext xmlns:c16="http://schemas.microsoft.com/office/drawing/2014/chart" uri="{C3380CC4-5D6E-409C-BE32-E72D297353CC}">
                    <c16:uniqueId val="{0000000B-AB78-5D45-B5F1-598B4510E3B1}"/>
                  </c:ext>
                </c:extLst>
              </c15:ser>
            </c15:filteredLineSeries>
          </c:ext>
        </c:extLst>
      </c:lineChart>
      <c:lineChart>
        <c:grouping val="standard"/>
        <c:varyColors val="0"/>
        <c:ser>
          <c:idx val="9"/>
          <c:order val="9"/>
          <c:tx>
            <c:strRef>
              <c:f>'Therapist-Guided Costs'!$B$36</c:f>
              <c:strCache>
                <c:ptCount val="1"/>
                <c:pt idx="0">
                  <c:v>Cost per consumer</c:v>
                </c:pt>
              </c:strCache>
            </c:strRef>
          </c:tx>
          <c:spPr>
            <a:ln w="28575" cap="rnd">
              <a:solidFill>
                <a:schemeClr val="bg1">
                  <a:lumMod val="65000"/>
                </a:schemeClr>
              </a:solidFill>
              <a:prstDash val="dash"/>
              <a:round/>
            </a:ln>
            <a:effectLst/>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01-AB78-5D45-B5F1-598B4510E3B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tx1"/>
                </a:solidFill>
                <a:prstDash val="sysDot"/>
              </a:ln>
              <a:effectLst/>
            </c:spPr>
            <c:trendlineType val="linear"/>
            <c:dispRSqr val="0"/>
            <c:dispEq val="0"/>
          </c:trendline>
          <c:cat>
            <c:strRef>
              <c:f>'Therapist-Guided Costs'!$C$26:$J$26</c:f>
              <c:strCache>
                <c:ptCount val="8"/>
                <c:pt idx="0">
                  <c:v>FY 14-15</c:v>
                </c:pt>
                <c:pt idx="1">
                  <c:v>FY 15-16</c:v>
                </c:pt>
                <c:pt idx="2">
                  <c:v>FY 16-17</c:v>
                </c:pt>
                <c:pt idx="3">
                  <c:v>FY 17-18</c:v>
                </c:pt>
                <c:pt idx="4">
                  <c:v>FY 18-19</c:v>
                </c:pt>
                <c:pt idx="5">
                  <c:v>FY 19-20</c:v>
                </c:pt>
                <c:pt idx="6">
                  <c:v>FY 20-21</c:v>
                </c:pt>
                <c:pt idx="7">
                  <c:v>Estimated FY 21-22</c:v>
                </c:pt>
              </c:strCache>
            </c:strRef>
          </c:cat>
          <c:val>
            <c:numRef>
              <c:f>'Therapist-Guided Costs'!$C$36:$J$36</c:f>
              <c:numCache>
                <c:formatCode>_("$"* #,##0.00_);_("$"* \(#,##0.00\);_("$"* "-"??_);_(@_)</c:formatCode>
                <c:ptCount val="8"/>
                <c:pt idx="0">
                  <c:v>382.38106574179079</c:v>
                </c:pt>
                <c:pt idx="1">
                  <c:v>353.55724978754728</c:v>
                </c:pt>
                <c:pt idx="2">
                  <c:v>328.90909814352284</c:v>
                </c:pt>
                <c:pt idx="3">
                  <c:v>313.66889523475652</c:v>
                </c:pt>
                <c:pt idx="4">
                  <c:v>307.22236275641211</c:v>
                </c:pt>
                <c:pt idx="5">
                  <c:v>255.66799596356412</c:v>
                </c:pt>
                <c:pt idx="6">
                  <c:v>226.21689979086642</c:v>
                </c:pt>
                <c:pt idx="7">
                  <c:v>195.94772108870995</c:v>
                </c:pt>
              </c:numCache>
            </c:numRef>
          </c:val>
          <c:smooth val="0"/>
          <c:extLst>
            <c:ext xmlns:c16="http://schemas.microsoft.com/office/drawing/2014/chart" uri="{C3380CC4-5D6E-409C-BE32-E72D297353CC}">
              <c16:uniqueId val="{00000003-AB78-5D45-B5F1-598B4510E3B1}"/>
            </c:ext>
          </c:extLst>
        </c:ser>
        <c:dLbls>
          <c:showLegendKey val="0"/>
          <c:showVal val="0"/>
          <c:showCatName val="0"/>
          <c:showSerName val="0"/>
          <c:showPercent val="0"/>
          <c:showBubbleSize val="0"/>
        </c:dLbls>
        <c:marker val="1"/>
        <c:smooth val="0"/>
        <c:axId val="1954036576"/>
        <c:axId val="1954035328"/>
      </c:lineChart>
      <c:catAx>
        <c:axId val="1955428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55429376"/>
        <c:crosses val="autoZero"/>
        <c:auto val="1"/>
        <c:lblAlgn val="ctr"/>
        <c:lblOffset val="100"/>
        <c:noMultiLvlLbl val="0"/>
      </c:catAx>
      <c:valAx>
        <c:axId val="1955429376"/>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55428960"/>
        <c:crosses val="autoZero"/>
        <c:crossBetween val="between"/>
      </c:valAx>
      <c:valAx>
        <c:axId val="1954035328"/>
        <c:scaling>
          <c:orientation val="minMax"/>
          <c:max val="450"/>
          <c:min val="150"/>
        </c:scaling>
        <c:delete val="0"/>
        <c:axPos val="r"/>
        <c:numFmt formatCode="_(&quot;$&quot;* #,##0.00_);_(&quot;$&quot;* \(#,##0.00\);_(&quot;$&quot;* &quot;-&quot;??_);_(@_)"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54036576"/>
        <c:crosses val="max"/>
        <c:crossBetween val="between"/>
      </c:valAx>
      <c:catAx>
        <c:axId val="1954036576"/>
        <c:scaling>
          <c:orientation val="minMax"/>
        </c:scaling>
        <c:delete val="1"/>
        <c:axPos val="b"/>
        <c:numFmt formatCode="General" sourceLinked="1"/>
        <c:majorTickMark val="out"/>
        <c:minorTickMark val="none"/>
        <c:tickLblPos val="nextTo"/>
        <c:crossAx val="195403532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lgn="just">
        <a:spcAft>
          <a:spcPts val="600"/>
        </a:spcAft>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ICER</a:t>
            </a:r>
            <a:r>
              <a:rPr lang="en-AU" baseline="0"/>
              <a:t> for self-directed treatment</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'MHO SA2'!$B$19</c:f>
              <c:strCache>
                <c:ptCount val="1"/>
                <c:pt idx="0">
                  <c:v>lower bound</c:v>
                </c:pt>
              </c:strCache>
            </c:strRef>
          </c:tx>
          <c:spPr>
            <a:solidFill>
              <a:schemeClr val="accent1"/>
            </a:solidFill>
            <a:ln>
              <a:noFill/>
            </a:ln>
            <a:effectLst/>
          </c:spPr>
          <c:invertIfNegative val="0"/>
          <c:cat>
            <c:strRef>
              <c:f>'MHO SA2'!$A$20:$A$27</c:f>
              <c:strCache>
                <c:ptCount val="8"/>
                <c:pt idx="0">
                  <c:v>Utility of deteriorated (95% CI)</c:v>
                </c:pt>
                <c:pt idx="1">
                  <c:v>Utility of no improvement (95% CI)</c:v>
                </c:pt>
                <c:pt idx="2">
                  <c:v>Utility of partially recovered (95% CI)</c:v>
                </c:pt>
                <c:pt idx="3">
                  <c:v>Utility of fully recovered (95% CI)</c:v>
                </c:pt>
                <c:pt idx="4">
                  <c:v>TP of deteriorated</c:v>
                </c:pt>
                <c:pt idx="5">
                  <c:v>TP of no improvement</c:v>
                </c:pt>
                <c:pt idx="6">
                  <c:v>TP of partially recovered</c:v>
                </c:pt>
                <c:pt idx="7">
                  <c:v>TP of fully recovered</c:v>
                </c:pt>
              </c:strCache>
            </c:strRef>
          </c:cat>
          <c:val>
            <c:numRef>
              <c:f>'MHO SA2'!$B$20:$B$27</c:f>
              <c:numCache>
                <c:formatCode>#,##0.00</c:formatCode>
                <c:ptCount val="8"/>
                <c:pt idx="0">
                  <c:v>2988.2799922725198</c:v>
                </c:pt>
                <c:pt idx="1">
                  <c:v>3331.89732543529</c:v>
                </c:pt>
                <c:pt idx="2">
                  <c:v>5137.7010158044804</c:v>
                </c:pt>
                <c:pt idx="3">
                  <c:v>5390.2892321988702</c:v>
                </c:pt>
                <c:pt idx="4">
                  <c:v>6097.5</c:v>
                </c:pt>
                <c:pt idx="5">
                  <c:v>5837.47</c:v>
                </c:pt>
                <c:pt idx="6">
                  <c:v>5633.38</c:v>
                </c:pt>
                <c:pt idx="7">
                  <c:v>12874.19</c:v>
                </c:pt>
              </c:numCache>
            </c:numRef>
          </c:val>
          <c:extLst>
            <c:ext xmlns:c16="http://schemas.microsoft.com/office/drawing/2014/chart" uri="{C3380CC4-5D6E-409C-BE32-E72D297353CC}">
              <c16:uniqueId val="{00000000-B8AE-1249-B346-3DCB0EB0D2DF}"/>
            </c:ext>
          </c:extLst>
        </c:ser>
        <c:ser>
          <c:idx val="1"/>
          <c:order val="1"/>
          <c:tx>
            <c:strRef>
              <c:f>'MHO SA2'!$C$19</c:f>
              <c:strCache>
                <c:ptCount val="1"/>
                <c:pt idx="0">
                  <c:v>upper bound</c:v>
                </c:pt>
              </c:strCache>
            </c:strRef>
          </c:tx>
          <c:spPr>
            <a:solidFill>
              <a:schemeClr val="accent2"/>
            </a:solidFill>
            <a:ln>
              <a:noFill/>
            </a:ln>
            <a:effectLst/>
          </c:spPr>
          <c:invertIfNegative val="0"/>
          <c:cat>
            <c:strRef>
              <c:f>'MHO SA2'!$A$20:$A$27</c:f>
              <c:strCache>
                <c:ptCount val="8"/>
                <c:pt idx="0">
                  <c:v>Utility of deteriorated (95% CI)</c:v>
                </c:pt>
                <c:pt idx="1">
                  <c:v>Utility of no improvement (95% CI)</c:v>
                </c:pt>
                <c:pt idx="2">
                  <c:v>Utility of partially recovered (95% CI)</c:v>
                </c:pt>
                <c:pt idx="3">
                  <c:v>Utility of fully recovered (95% CI)</c:v>
                </c:pt>
                <c:pt idx="4">
                  <c:v>TP of deteriorated</c:v>
                </c:pt>
                <c:pt idx="5">
                  <c:v>TP of no improvement</c:v>
                </c:pt>
                <c:pt idx="6">
                  <c:v>TP of partially recovered</c:v>
                </c:pt>
                <c:pt idx="7">
                  <c:v>TP of fully recovered</c:v>
                </c:pt>
              </c:strCache>
            </c:strRef>
          </c:cat>
          <c:val>
            <c:numRef>
              <c:f>'MHO SA2'!$C$20:$C$27</c:f>
              <c:numCache>
                <c:formatCode>#,##0.00</c:formatCode>
                <c:ptCount val="8"/>
                <c:pt idx="0">
                  <c:v>8301.8024061899505</c:v>
                </c:pt>
                <c:pt idx="1">
                  <c:v>6434.4148641153397</c:v>
                </c:pt>
                <c:pt idx="2">
                  <c:v>3844.73580645829</c:v>
                </c:pt>
                <c:pt idx="3">
                  <c:v>3703.3637923466799</c:v>
                </c:pt>
              </c:numCache>
            </c:numRef>
          </c:val>
          <c:extLst>
            <c:ext xmlns:c16="http://schemas.microsoft.com/office/drawing/2014/chart" uri="{C3380CC4-5D6E-409C-BE32-E72D297353CC}">
              <c16:uniqueId val="{00000001-B8AE-1249-B346-3DCB0EB0D2DF}"/>
            </c:ext>
          </c:extLst>
        </c:ser>
        <c:dLbls>
          <c:showLegendKey val="0"/>
          <c:showVal val="0"/>
          <c:showCatName val="0"/>
          <c:showSerName val="0"/>
          <c:showPercent val="0"/>
          <c:showBubbleSize val="0"/>
        </c:dLbls>
        <c:gapWidth val="85"/>
        <c:overlap val="100"/>
        <c:axId val="626825840"/>
        <c:axId val="626826824"/>
      </c:barChart>
      <c:catAx>
        <c:axId val="6268258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826824"/>
        <c:crossesAt val="4525.7699999999995"/>
        <c:auto val="1"/>
        <c:lblAlgn val="ctr"/>
        <c:lblOffset val="100"/>
        <c:noMultiLvlLbl val="0"/>
      </c:catAx>
      <c:valAx>
        <c:axId val="626826824"/>
        <c:scaling>
          <c:orientation val="minMax"/>
          <c:max val="20000"/>
        </c:scaling>
        <c:delete val="0"/>
        <c:axPos val="b"/>
        <c:majorGridlines>
          <c:spPr>
            <a:ln w="9525" cap="flat" cmpd="sng" algn="ctr">
              <a:solidFill>
                <a:schemeClr val="bg2">
                  <a:alpha val="99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825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ICER</a:t>
            </a:r>
            <a:r>
              <a:rPr lang="en-AU" baseline="0"/>
              <a:t> for therapist-supported treatment</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'MHO SA2'!$B$29</c:f>
              <c:strCache>
                <c:ptCount val="1"/>
                <c:pt idx="0">
                  <c:v>lower bound</c:v>
                </c:pt>
              </c:strCache>
            </c:strRef>
          </c:tx>
          <c:spPr>
            <a:solidFill>
              <a:schemeClr val="accent1"/>
            </a:solidFill>
            <a:ln>
              <a:noFill/>
            </a:ln>
            <a:effectLst/>
          </c:spPr>
          <c:invertIfNegative val="0"/>
          <c:cat>
            <c:strRef>
              <c:f>'MHO SA2'!$A$30:$A$37</c:f>
              <c:strCache>
                <c:ptCount val="8"/>
                <c:pt idx="0">
                  <c:v>Utility of deteriorated (95% CI)</c:v>
                </c:pt>
                <c:pt idx="1">
                  <c:v>Utility of no improvement (95% CI)</c:v>
                </c:pt>
                <c:pt idx="2">
                  <c:v>Utility of partially recovered (95% CI)</c:v>
                </c:pt>
                <c:pt idx="3">
                  <c:v>Utility of fully recovered (95% CI)</c:v>
                </c:pt>
                <c:pt idx="4">
                  <c:v>TP of deteriorated</c:v>
                </c:pt>
                <c:pt idx="5">
                  <c:v>TP of no improvement</c:v>
                </c:pt>
                <c:pt idx="6">
                  <c:v>TP of partially recovered</c:v>
                </c:pt>
                <c:pt idx="7">
                  <c:v>TP of fully recovered</c:v>
                </c:pt>
              </c:strCache>
            </c:strRef>
          </c:cat>
          <c:val>
            <c:numRef>
              <c:f>'MHO SA2'!$B$30:$B$37</c:f>
              <c:numCache>
                <c:formatCode>#,##0.00</c:formatCode>
                <c:ptCount val="8"/>
                <c:pt idx="0">
                  <c:v>7550.8725610148704</c:v>
                </c:pt>
                <c:pt idx="1">
                  <c:v>8419.1348052414305</c:v>
                </c:pt>
                <c:pt idx="2">
                  <c:v>12982.0919482963</c:v>
                </c:pt>
                <c:pt idx="3">
                  <c:v>13620.339179928</c:v>
                </c:pt>
                <c:pt idx="4">
                  <c:v>15780.57</c:v>
                </c:pt>
                <c:pt idx="5">
                  <c:v>15405.31</c:v>
                </c:pt>
                <c:pt idx="6">
                  <c:v>14980.2</c:v>
                </c:pt>
                <c:pt idx="7">
                  <c:v>31605.8</c:v>
                </c:pt>
              </c:numCache>
            </c:numRef>
          </c:val>
          <c:extLst>
            <c:ext xmlns:c16="http://schemas.microsoft.com/office/drawing/2014/chart" uri="{C3380CC4-5D6E-409C-BE32-E72D297353CC}">
              <c16:uniqueId val="{00000000-47A1-2640-9F6A-E4F88BA843F0}"/>
            </c:ext>
          </c:extLst>
        </c:ser>
        <c:ser>
          <c:idx val="1"/>
          <c:order val="1"/>
          <c:tx>
            <c:strRef>
              <c:f>'MHO SA2'!$C$29</c:f>
              <c:strCache>
                <c:ptCount val="1"/>
                <c:pt idx="0">
                  <c:v>upper bound</c:v>
                </c:pt>
              </c:strCache>
            </c:strRef>
          </c:tx>
          <c:spPr>
            <a:solidFill>
              <a:schemeClr val="accent2"/>
            </a:solidFill>
            <a:ln>
              <a:noFill/>
            </a:ln>
            <a:effectLst/>
          </c:spPr>
          <c:invertIfNegative val="0"/>
          <c:cat>
            <c:strRef>
              <c:f>'MHO SA2'!$A$30:$A$37</c:f>
              <c:strCache>
                <c:ptCount val="8"/>
                <c:pt idx="0">
                  <c:v>Utility of deteriorated (95% CI)</c:v>
                </c:pt>
                <c:pt idx="1">
                  <c:v>Utility of no improvement (95% CI)</c:v>
                </c:pt>
                <c:pt idx="2">
                  <c:v>Utility of partially recovered (95% CI)</c:v>
                </c:pt>
                <c:pt idx="3">
                  <c:v>Utility of fully recovered (95% CI)</c:v>
                </c:pt>
                <c:pt idx="4">
                  <c:v>TP of deteriorated</c:v>
                </c:pt>
                <c:pt idx="5">
                  <c:v>TP of no improvement</c:v>
                </c:pt>
                <c:pt idx="6">
                  <c:v>TP of partially recovered</c:v>
                </c:pt>
                <c:pt idx="7">
                  <c:v>TP of fully recovered</c:v>
                </c:pt>
              </c:strCache>
            </c:strRef>
          </c:cat>
          <c:val>
            <c:numRef>
              <c:f>'MHO SA2'!$C$30:$C$37</c:f>
              <c:numCache>
                <c:formatCode>#,##0.00</c:formatCode>
                <c:ptCount val="8"/>
                <c:pt idx="0">
                  <c:v>20977.235117849599</c:v>
                </c:pt>
                <c:pt idx="1">
                  <c:v>16258.6661120355</c:v>
                </c:pt>
                <c:pt idx="2">
                  <c:v>9714.9899542243893</c:v>
                </c:pt>
                <c:pt idx="3">
                  <c:v>9357.7670484018709</c:v>
                </c:pt>
              </c:numCache>
            </c:numRef>
          </c:val>
          <c:extLst>
            <c:ext xmlns:c16="http://schemas.microsoft.com/office/drawing/2014/chart" uri="{C3380CC4-5D6E-409C-BE32-E72D297353CC}">
              <c16:uniqueId val="{00000001-47A1-2640-9F6A-E4F88BA843F0}"/>
            </c:ext>
          </c:extLst>
        </c:ser>
        <c:dLbls>
          <c:showLegendKey val="0"/>
          <c:showVal val="0"/>
          <c:showCatName val="0"/>
          <c:showSerName val="0"/>
          <c:showPercent val="0"/>
          <c:showBubbleSize val="0"/>
        </c:dLbls>
        <c:gapWidth val="85"/>
        <c:overlap val="100"/>
        <c:axId val="604521816"/>
        <c:axId val="604523784"/>
      </c:barChart>
      <c:catAx>
        <c:axId val="604521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4523784"/>
        <c:crossesAt val="12066.630000000001"/>
        <c:auto val="1"/>
        <c:lblAlgn val="ctr"/>
        <c:lblOffset val="100"/>
        <c:noMultiLvlLbl val="0"/>
      </c:catAx>
      <c:valAx>
        <c:axId val="60452378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4521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ICER</a:t>
            </a:r>
            <a:r>
              <a:rPr lang="en-AU" baseline="0"/>
              <a:t> for self-directed treatment</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'MindSpot SA2'!$B$19</c:f>
              <c:strCache>
                <c:ptCount val="1"/>
                <c:pt idx="0">
                  <c:v>lower bound</c:v>
                </c:pt>
              </c:strCache>
            </c:strRef>
          </c:tx>
          <c:spPr>
            <a:solidFill>
              <a:schemeClr val="accent1"/>
            </a:solidFill>
            <a:ln>
              <a:noFill/>
            </a:ln>
            <a:effectLst/>
          </c:spPr>
          <c:invertIfNegative val="0"/>
          <c:cat>
            <c:strRef>
              <c:f>'MindSpot SA2'!$A$20:$A$27</c:f>
              <c:strCache>
                <c:ptCount val="8"/>
                <c:pt idx="0">
                  <c:v>Utility of deteriorated(95% CI)</c:v>
                </c:pt>
                <c:pt idx="1">
                  <c:v>Utility of no improvement (95% CI)</c:v>
                </c:pt>
                <c:pt idx="2">
                  <c:v>Utility of partially recovered (95% CI)</c:v>
                </c:pt>
                <c:pt idx="3">
                  <c:v>Utility of fully recovered (95% CI)</c:v>
                </c:pt>
                <c:pt idx="4">
                  <c:v>TP of deteriorated</c:v>
                </c:pt>
                <c:pt idx="5">
                  <c:v>TP of no improvement</c:v>
                </c:pt>
                <c:pt idx="6">
                  <c:v>TP of partially recovered</c:v>
                </c:pt>
                <c:pt idx="7">
                  <c:v>TP of fully recovered</c:v>
                </c:pt>
              </c:strCache>
            </c:strRef>
          </c:cat>
          <c:val>
            <c:numRef>
              <c:f>'MindSpot SA2'!$B$20:$B$27</c:f>
              <c:numCache>
                <c:formatCode>#,##0.00</c:formatCode>
                <c:ptCount val="8"/>
                <c:pt idx="0">
                  <c:v>21809.3566874879</c:v>
                </c:pt>
                <c:pt idx="1">
                  <c:v>24317.178244480299</c:v>
                </c:pt>
                <c:pt idx="2">
                  <c:v>37496.470978992002</c:v>
                </c:pt>
                <c:pt idx="3">
                  <c:v>39339.934951794501</c:v>
                </c:pt>
                <c:pt idx="4">
                  <c:v>42272.6</c:v>
                </c:pt>
                <c:pt idx="5">
                  <c:v>42274.55</c:v>
                </c:pt>
                <c:pt idx="6">
                  <c:v>39986.720000000001</c:v>
                </c:pt>
                <c:pt idx="7">
                  <c:v>88421.77</c:v>
                </c:pt>
              </c:numCache>
            </c:numRef>
          </c:val>
          <c:extLst>
            <c:ext xmlns:c16="http://schemas.microsoft.com/office/drawing/2014/chart" uri="{C3380CC4-5D6E-409C-BE32-E72D297353CC}">
              <c16:uniqueId val="{00000000-B648-8F4B-BD88-A8C7B3BC96FE}"/>
            </c:ext>
          </c:extLst>
        </c:ser>
        <c:ser>
          <c:idx val="1"/>
          <c:order val="1"/>
          <c:tx>
            <c:strRef>
              <c:f>'MindSpot SA2'!$C$19</c:f>
              <c:strCache>
                <c:ptCount val="1"/>
                <c:pt idx="0">
                  <c:v>upper bound</c:v>
                </c:pt>
              </c:strCache>
            </c:strRef>
          </c:tx>
          <c:spPr>
            <a:solidFill>
              <a:schemeClr val="accent2"/>
            </a:solidFill>
            <a:ln>
              <a:noFill/>
            </a:ln>
            <a:effectLst/>
          </c:spPr>
          <c:invertIfNegative val="0"/>
          <c:cat>
            <c:strRef>
              <c:f>'MindSpot SA2'!$A$20:$A$27</c:f>
              <c:strCache>
                <c:ptCount val="8"/>
                <c:pt idx="0">
                  <c:v>Utility of deteriorated(95% CI)</c:v>
                </c:pt>
                <c:pt idx="1">
                  <c:v>Utility of no improvement (95% CI)</c:v>
                </c:pt>
                <c:pt idx="2">
                  <c:v>Utility of partially recovered (95% CI)</c:v>
                </c:pt>
                <c:pt idx="3">
                  <c:v>Utility of fully recovered (95% CI)</c:v>
                </c:pt>
                <c:pt idx="4">
                  <c:v>TP of deteriorated</c:v>
                </c:pt>
                <c:pt idx="5">
                  <c:v>TP of no improvement</c:v>
                </c:pt>
                <c:pt idx="6">
                  <c:v>TP of partially recovered</c:v>
                </c:pt>
                <c:pt idx="7">
                  <c:v>TP of fully recovered</c:v>
                </c:pt>
              </c:strCache>
            </c:strRef>
          </c:cat>
          <c:val>
            <c:numRef>
              <c:f>'MindSpot SA2'!$C$20:$C$27</c:f>
              <c:numCache>
                <c:formatCode>#,##0.00</c:formatCode>
                <c:ptCount val="8"/>
                <c:pt idx="0">
                  <c:v>60589.0245538706</c:v>
                </c:pt>
                <c:pt idx="1">
                  <c:v>46960.274542429303</c:v>
                </c:pt>
                <c:pt idx="2">
                  <c:v>28060.026098303599</c:v>
                </c:pt>
                <c:pt idx="3">
                  <c:v>27028.2510673955</c:v>
                </c:pt>
              </c:numCache>
            </c:numRef>
          </c:val>
          <c:extLst>
            <c:ext xmlns:c16="http://schemas.microsoft.com/office/drawing/2014/chart" uri="{C3380CC4-5D6E-409C-BE32-E72D297353CC}">
              <c16:uniqueId val="{00000001-B648-8F4B-BD88-A8C7B3BC96FE}"/>
            </c:ext>
          </c:extLst>
        </c:ser>
        <c:dLbls>
          <c:showLegendKey val="0"/>
          <c:showVal val="0"/>
          <c:showCatName val="0"/>
          <c:showSerName val="0"/>
          <c:showPercent val="0"/>
          <c:showBubbleSize val="0"/>
        </c:dLbls>
        <c:gapWidth val="85"/>
        <c:overlap val="100"/>
        <c:axId val="626825840"/>
        <c:axId val="626826824"/>
      </c:barChart>
      <c:catAx>
        <c:axId val="6268258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826824"/>
        <c:crossesAt val="32042.149999999998"/>
        <c:auto val="1"/>
        <c:lblAlgn val="ctr"/>
        <c:lblOffset val="100"/>
        <c:noMultiLvlLbl val="0"/>
      </c:catAx>
      <c:valAx>
        <c:axId val="626826824"/>
        <c:scaling>
          <c:orientation val="minMax"/>
          <c:max val="70000"/>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825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ICER</a:t>
            </a:r>
            <a:r>
              <a:rPr lang="en-AU" baseline="0"/>
              <a:t> for therapist-supported treatment</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'MindSpot SA2'!$B$29</c:f>
              <c:strCache>
                <c:ptCount val="1"/>
                <c:pt idx="0">
                  <c:v>lower bound</c:v>
                </c:pt>
              </c:strCache>
            </c:strRef>
          </c:tx>
          <c:spPr>
            <a:solidFill>
              <a:schemeClr val="accent1"/>
            </a:solidFill>
            <a:ln>
              <a:noFill/>
            </a:ln>
            <a:effectLst/>
          </c:spPr>
          <c:invertIfNegative val="0"/>
          <c:cat>
            <c:strRef>
              <c:f>'MindSpot SA2'!$A$30:$A$37</c:f>
              <c:strCache>
                <c:ptCount val="8"/>
                <c:pt idx="0">
                  <c:v>Utility of deteriorated (95% CI)</c:v>
                </c:pt>
                <c:pt idx="1">
                  <c:v>Utility of no improvement (95% CI)</c:v>
                </c:pt>
                <c:pt idx="2">
                  <c:v>Utility of partially recovered (95% CI)</c:v>
                </c:pt>
                <c:pt idx="3">
                  <c:v>Utility of fully recovered (95% CI)</c:v>
                </c:pt>
                <c:pt idx="4">
                  <c:v>TP of deteriorated</c:v>
                </c:pt>
                <c:pt idx="5">
                  <c:v>TP of no improvement</c:v>
                </c:pt>
                <c:pt idx="6">
                  <c:v>TP of partially recovered</c:v>
                </c:pt>
                <c:pt idx="7">
                  <c:v>TP of fully recovered</c:v>
                </c:pt>
              </c:strCache>
            </c:strRef>
          </c:cat>
          <c:val>
            <c:numRef>
              <c:f>'MindSpot SA2'!$B$30:$B$37</c:f>
              <c:numCache>
                <c:formatCode>#,##0.00</c:formatCode>
                <c:ptCount val="8"/>
                <c:pt idx="0">
                  <c:v>23864.704745959101</c:v>
                </c:pt>
                <c:pt idx="1">
                  <c:v>26608.8673487704</c:v>
                </c:pt>
                <c:pt idx="2">
                  <c:v>41030.197348390502</c:v>
                </c:pt>
                <c:pt idx="3">
                  <c:v>43047.392263909896</c:v>
                </c:pt>
                <c:pt idx="4">
                  <c:v>46256.44</c:v>
                </c:pt>
                <c:pt idx="5">
                  <c:v>46750.98</c:v>
                </c:pt>
                <c:pt idx="6">
                  <c:v>43755.13</c:v>
                </c:pt>
                <c:pt idx="7">
                  <c:v>96754.78</c:v>
                </c:pt>
              </c:numCache>
            </c:numRef>
          </c:val>
          <c:extLst>
            <c:ext xmlns:c16="http://schemas.microsoft.com/office/drawing/2014/chart" uri="{C3380CC4-5D6E-409C-BE32-E72D297353CC}">
              <c16:uniqueId val="{00000000-7F43-9441-ACFA-41215C927879}"/>
            </c:ext>
          </c:extLst>
        </c:ser>
        <c:ser>
          <c:idx val="1"/>
          <c:order val="1"/>
          <c:tx>
            <c:strRef>
              <c:f>'MindSpot SA2'!$C$29</c:f>
              <c:strCache>
                <c:ptCount val="1"/>
                <c:pt idx="0">
                  <c:v>upper bound</c:v>
                </c:pt>
              </c:strCache>
            </c:strRef>
          </c:tx>
          <c:spPr>
            <a:solidFill>
              <a:schemeClr val="accent2"/>
            </a:solidFill>
            <a:ln>
              <a:noFill/>
            </a:ln>
            <a:effectLst/>
          </c:spPr>
          <c:invertIfNegative val="0"/>
          <c:cat>
            <c:strRef>
              <c:f>'MindSpot SA2'!$A$30:$A$37</c:f>
              <c:strCache>
                <c:ptCount val="8"/>
                <c:pt idx="0">
                  <c:v>Utility of deteriorated (95% CI)</c:v>
                </c:pt>
                <c:pt idx="1">
                  <c:v>Utility of no improvement (95% CI)</c:v>
                </c:pt>
                <c:pt idx="2">
                  <c:v>Utility of partially recovered (95% CI)</c:v>
                </c:pt>
                <c:pt idx="3">
                  <c:v>Utility of fully recovered (95% CI)</c:v>
                </c:pt>
                <c:pt idx="4">
                  <c:v>TP of deteriorated</c:v>
                </c:pt>
                <c:pt idx="5">
                  <c:v>TP of no improvement</c:v>
                </c:pt>
                <c:pt idx="6">
                  <c:v>TP of partially recovered</c:v>
                </c:pt>
                <c:pt idx="7">
                  <c:v>TP of fully recovered</c:v>
                </c:pt>
              </c:strCache>
            </c:strRef>
          </c:cat>
          <c:val>
            <c:numRef>
              <c:f>'MindSpot SA2'!$C$30:$C$37</c:f>
              <c:numCache>
                <c:formatCode>#,##0.00</c:formatCode>
                <c:ptCount val="8"/>
                <c:pt idx="0">
                  <c:v>66299.029473589893</c:v>
                </c:pt>
                <c:pt idx="1">
                  <c:v>51385.884636716401</c:v>
                </c:pt>
                <c:pt idx="2">
                  <c:v>30704.4470680835</c:v>
                </c:pt>
                <c:pt idx="3">
                  <c:v>29575.4359363154</c:v>
                </c:pt>
              </c:numCache>
            </c:numRef>
          </c:val>
          <c:extLst>
            <c:ext xmlns:c16="http://schemas.microsoft.com/office/drawing/2014/chart" uri="{C3380CC4-5D6E-409C-BE32-E72D297353CC}">
              <c16:uniqueId val="{00000001-7F43-9441-ACFA-41215C927879}"/>
            </c:ext>
          </c:extLst>
        </c:ser>
        <c:dLbls>
          <c:showLegendKey val="0"/>
          <c:showVal val="0"/>
          <c:showCatName val="0"/>
          <c:showSerName val="0"/>
          <c:showPercent val="0"/>
          <c:showBubbleSize val="0"/>
        </c:dLbls>
        <c:gapWidth val="85"/>
        <c:overlap val="100"/>
        <c:axId val="604521816"/>
        <c:axId val="604523784"/>
      </c:barChart>
      <c:catAx>
        <c:axId val="604521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4523784"/>
        <c:crossesAt val="35061.850000000006"/>
        <c:auto val="1"/>
        <c:lblAlgn val="ctr"/>
        <c:lblOffset val="100"/>
        <c:noMultiLvlLbl val="0"/>
      </c:catAx>
      <c:valAx>
        <c:axId val="604523784"/>
        <c:scaling>
          <c:orientation val="minMax"/>
          <c:max val="100000"/>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4521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0.61488</cdr:x>
      <cdr:y>0.13143</cdr:y>
    </cdr:from>
    <cdr:to>
      <cdr:x>0.71074</cdr:x>
      <cdr:y>0.19238</cdr:y>
    </cdr:to>
    <cdr:sp macro="" textlink="">
      <cdr:nvSpPr>
        <cdr:cNvPr id="2" name="Text Box 1"/>
        <cdr:cNvSpPr txBox="1"/>
      </cdr:nvSpPr>
      <cdr:spPr>
        <a:xfrm xmlns:a="http://schemas.openxmlformats.org/drawingml/2006/main">
          <a:off x="3779520" y="467360"/>
          <a:ext cx="589280" cy="21674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700"/>
        </a:p>
      </cdr:txBody>
    </cdr:sp>
  </cdr:relSizeAnchor>
  <cdr:relSizeAnchor xmlns:cdr="http://schemas.openxmlformats.org/drawingml/2006/chartDrawing">
    <cdr:from>
      <cdr:x>0.61818</cdr:x>
      <cdr:y>0.05143</cdr:y>
    </cdr:from>
    <cdr:to>
      <cdr:x>0.75372</cdr:x>
      <cdr:y>0.14095</cdr:y>
    </cdr:to>
    <cdr:sp macro="" textlink="">
      <cdr:nvSpPr>
        <cdr:cNvPr id="3" name="Text Box 2"/>
        <cdr:cNvSpPr txBox="1"/>
      </cdr:nvSpPr>
      <cdr:spPr>
        <a:xfrm xmlns:a="http://schemas.openxmlformats.org/drawingml/2006/main">
          <a:off x="3799842" y="182879"/>
          <a:ext cx="833120" cy="31834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700"/>
            <a:t>Actual</a:t>
          </a:r>
          <a:r>
            <a:rPr lang="en-GB" sz="700" baseline="0"/>
            <a:t> number enrolled 25,789</a:t>
          </a:r>
          <a:endParaRPr lang="en-GB" sz="700"/>
        </a:p>
      </cdr:txBody>
    </cdr:sp>
  </cdr:relSizeAnchor>
  <cdr:relSizeAnchor xmlns:cdr="http://schemas.openxmlformats.org/drawingml/2006/chartDrawing">
    <cdr:from>
      <cdr:x>0.73554</cdr:x>
      <cdr:y>0.05238</cdr:y>
    </cdr:from>
    <cdr:to>
      <cdr:x>0.93113</cdr:x>
      <cdr:y>0.14476</cdr:y>
    </cdr:to>
    <cdr:sp macro="" textlink="">
      <cdr:nvSpPr>
        <cdr:cNvPr id="4" name="Text Box 1"/>
        <cdr:cNvSpPr txBox="1"/>
      </cdr:nvSpPr>
      <cdr:spPr>
        <a:xfrm xmlns:a="http://schemas.openxmlformats.org/drawingml/2006/main">
          <a:off x="4521199" y="186265"/>
          <a:ext cx="1202267" cy="32850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700"/>
            <a:t>Actual</a:t>
          </a:r>
          <a:r>
            <a:rPr lang="en-GB" sz="700" baseline="0"/>
            <a:t> number started self-directed treatment 16,281</a:t>
          </a:r>
          <a:endParaRPr lang="en-GB" sz="7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CF09E3-5FD2-47A1-94B2-A8DDEE3501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219</Pages>
  <Words>125467</Words>
  <Characters>715167</Characters>
  <Application>Microsoft Office Word</Application>
  <DocSecurity>0</DocSecurity>
  <Lines>5959</Lines>
  <Paragraphs>1677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838957</CharactersWithSpaces>
  <SharedDoc>false</SharedDoc>
  <HLinks>
    <vt:vector size="750" baseType="variant">
      <vt:variant>
        <vt:i4>2818061</vt:i4>
      </vt:variant>
      <vt:variant>
        <vt:i4>1600</vt:i4>
      </vt:variant>
      <vt:variant>
        <vt:i4>0</vt:i4>
      </vt:variant>
      <vt:variant>
        <vt:i4>5</vt:i4>
      </vt:variant>
      <vt:variant>
        <vt:lpwstr>https://www.abs.gov.au/AUSSTATS/abs@.nsf/Lookup/6306.0Main+Features1May 2018</vt:lpwstr>
      </vt:variant>
      <vt:variant>
        <vt:lpwstr/>
      </vt:variant>
      <vt:variant>
        <vt:i4>1179729</vt:i4>
      </vt:variant>
      <vt:variant>
        <vt:i4>1597</vt:i4>
      </vt:variant>
      <vt:variant>
        <vt:i4>0</vt:i4>
      </vt:variant>
      <vt:variant>
        <vt:i4>5</vt:i4>
      </vt:variant>
      <vt:variant>
        <vt:lpwstr>https://www.pc.gov.au/research/ongoing/report-on-government-services/2019/health/ambulance-services/rogs-2019-parte-chapter11.pdf</vt:lpwstr>
      </vt:variant>
      <vt:variant>
        <vt:lpwstr/>
      </vt:variant>
      <vt:variant>
        <vt:i4>5505047</vt:i4>
      </vt:variant>
      <vt:variant>
        <vt:i4>1594</vt:i4>
      </vt:variant>
      <vt:variant>
        <vt:i4>0</vt:i4>
      </vt:variant>
      <vt:variant>
        <vt:i4>5</vt:i4>
      </vt:variant>
      <vt:variant>
        <vt:lpwstr>https://www.ihpa.gov.au/publications/national-hospital-cost-data-collection-report-public-sector-round-21-financial-year</vt:lpwstr>
      </vt:variant>
      <vt:variant>
        <vt:lpwstr/>
      </vt:variant>
      <vt:variant>
        <vt:i4>7143520</vt:i4>
      </vt:variant>
      <vt:variant>
        <vt:i4>1591</vt:i4>
      </vt:variant>
      <vt:variant>
        <vt:i4>0</vt:i4>
      </vt:variant>
      <vt:variant>
        <vt:i4>5</vt:i4>
      </vt:variant>
      <vt:variant>
        <vt:lpwstr>https://www.abs.gov.au/statistics/labour/earnings-and-working-conditions/employee-earnings-and-hours-australia/may-2018</vt:lpwstr>
      </vt:variant>
      <vt:variant>
        <vt:lpwstr/>
      </vt:variant>
      <vt:variant>
        <vt:i4>6881340</vt:i4>
      </vt:variant>
      <vt:variant>
        <vt:i4>1588</vt:i4>
      </vt:variant>
      <vt:variant>
        <vt:i4>0</vt:i4>
      </vt:variant>
      <vt:variant>
        <vt:i4>5</vt:i4>
      </vt:variant>
      <vt:variant>
        <vt:lpwstr>https://cciprogram.org/researcher-services/types-of-community-involvement/</vt:lpwstr>
      </vt:variant>
      <vt:variant>
        <vt:lpwstr/>
      </vt:variant>
      <vt:variant>
        <vt:i4>5898271</vt:i4>
      </vt:variant>
      <vt:variant>
        <vt:i4>1585</vt:i4>
      </vt:variant>
      <vt:variant>
        <vt:i4>0</vt:i4>
      </vt:variant>
      <vt:variant>
        <vt:i4>5</vt:i4>
      </vt:variant>
      <vt:variant>
        <vt:lpwstr>https://digital.nhs.uk/data-and-information/publications/statistical/psychological-therapies-annual-reports-on-the-use-of-iapt-services/annual-report-2020-21</vt:lpwstr>
      </vt:variant>
      <vt:variant>
        <vt:lpwstr/>
      </vt:variant>
      <vt:variant>
        <vt:i4>589833</vt:i4>
      </vt:variant>
      <vt:variant>
        <vt:i4>1582</vt:i4>
      </vt:variant>
      <vt:variant>
        <vt:i4>0</vt:i4>
      </vt:variant>
      <vt:variant>
        <vt:i4>5</vt:i4>
      </vt:variant>
      <vt:variant>
        <vt:lpwstr>https://www.psyctc.org/stats/rcsc.htm</vt:lpwstr>
      </vt:variant>
      <vt:variant>
        <vt:lpwstr/>
      </vt:variant>
      <vt:variant>
        <vt:i4>7340156</vt:i4>
      </vt:variant>
      <vt:variant>
        <vt:i4>1579</vt:i4>
      </vt:variant>
      <vt:variant>
        <vt:i4>0</vt:i4>
      </vt:variant>
      <vt:variant>
        <vt:i4>5</vt:i4>
      </vt:variant>
      <vt:variant>
        <vt:lpwstr>https://www.amhocn.org/publications/kessler-10</vt:lpwstr>
      </vt:variant>
      <vt:variant>
        <vt:lpwstr/>
      </vt:variant>
      <vt:variant>
        <vt:i4>7929935</vt:i4>
      </vt:variant>
      <vt:variant>
        <vt:i4>1576</vt:i4>
      </vt:variant>
      <vt:variant>
        <vt:i4>0</vt:i4>
      </vt:variant>
      <vt:variant>
        <vt:i4>5</vt:i4>
      </vt:variant>
      <vt:variant>
        <vt:lpwstr>https://www.abs.gov.au/ausstats/abs@.nsf/Lookup/4817.0.55.001Chapter92007-08</vt:lpwstr>
      </vt:variant>
      <vt:variant>
        <vt:lpwstr/>
      </vt:variant>
      <vt:variant>
        <vt:i4>983161</vt:i4>
      </vt:variant>
      <vt:variant>
        <vt:i4>1573</vt:i4>
      </vt:variant>
      <vt:variant>
        <vt:i4>0</vt:i4>
      </vt:variant>
      <vt:variant>
        <vt:i4>5</vt:i4>
      </vt:variant>
      <vt:variant>
        <vt:lpwstr>http://medicarestatistics.humanservices.gov.au/statistics/mbs_item.jsp</vt:lpwstr>
      </vt:variant>
      <vt:variant>
        <vt:lpwstr/>
      </vt:variant>
      <vt:variant>
        <vt:i4>5242953</vt:i4>
      </vt:variant>
      <vt:variant>
        <vt:i4>1570</vt:i4>
      </vt:variant>
      <vt:variant>
        <vt:i4>0</vt:i4>
      </vt:variant>
      <vt:variant>
        <vt:i4>5</vt:i4>
      </vt:variant>
      <vt:variant>
        <vt:lpwstr>https://www.abs.gov.au/articles/first-insights-national-study-mental-health-and-wellbeing-2020-21</vt:lpwstr>
      </vt:variant>
      <vt:variant>
        <vt:lpwstr/>
      </vt:variant>
      <vt:variant>
        <vt:i4>4259930</vt:i4>
      </vt:variant>
      <vt:variant>
        <vt:i4>1567</vt:i4>
      </vt:variant>
      <vt:variant>
        <vt:i4>0</vt:i4>
      </vt:variant>
      <vt:variant>
        <vt:i4>5</vt:i4>
      </vt:variant>
      <vt:variant>
        <vt:lpwstr>https://headtohealth.gov.au/</vt:lpwstr>
      </vt:variant>
      <vt:variant>
        <vt:lpwstr/>
      </vt:variant>
      <vt:variant>
        <vt:i4>3211311</vt:i4>
      </vt:variant>
      <vt:variant>
        <vt:i4>770</vt:i4>
      </vt:variant>
      <vt:variant>
        <vt:i4>0</vt:i4>
      </vt:variant>
      <vt:variant>
        <vt:i4>5</vt:i4>
      </vt:variant>
      <vt:variant>
        <vt:lpwstr>http://www.headtohealth.gov.au/</vt:lpwstr>
      </vt:variant>
      <vt:variant>
        <vt:lpwstr/>
      </vt:variant>
      <vt:variant>
        <vt:i4>3211311</vt:i4>
      </vt:variant>
      <vt:variant>
        <vt:i4>669</vt:i4>
      </vt:variant>
      <vt:variant>
        <vt:i4>0</vt:i4>
      </vt:variant>
      <vt:variant>
        <vt:i4>5</vt:i4>
      </vt:variant>
      <vt:variant>
        <vt:lpwstr>http://www.headtohealth.gov.au/</vt:lpwstr>
      </vt:variant>
      <vt:variant>
        <vt:lpwstr/>
      </vt:variant>
      <vt:variant>
        <vt:i4>1507384</vt:i4>
      </vt:variant>
      <vt:variant>
        <vt:i4>662</vt:i4>
      </vt:variant>
      <vt:variant>
        <vt:i4>0</vt:i4>
      </vt:variant>
      <vt:variant>
        <vt:i4>5</vt:i4>
      </vt:variant>
      <vt:variant>
        <vt:lpwstr/>
      </vt:variant>
      <vt:variant>
        <vt:lpwstr>_Toc108784936</vt:lpwstr>
      </vt:variant>
      <vt:variant>
        <vt:i4>1507384</vt:i4>
      </vt:variant>
      <vt:variant>
        <vt:i4>656</vt:i4>
      </vt:variant>
      <vt:variant>
        <vt:i4>0</vt:i4>
      </vt:variant>
      <vt:variant>
        <vt:i4>5</vt:i4>
      </vt:variant>
      <vt:variant>
        <vt:lpwstr/>
      </vt:variant>
      <vt:variant>
        <vt:lpwstr>_Toc108784935</vt:lpwstr>
      </vt:variant>
      <vt:variant>
        <vt:i4>1507384</vt:i4>
      </vt:variant>
      <vt:variant>
        <vt:i4>650</vt:i4>
      </vt:variant>
      <vt:variant>
        <vt:i4>0</vt:i4>
      </vt:variant>
      <vt:variant>
        <vt:i4>5</vt:i4>
      </vt:variant>
      <vt:variant>
        <vt:lpwstr/>
      </vt:variant>
      <vt:variant>
        <vt:lpwstr>_Toc108784934</vt:lpwstr>
      </vt:variant>
      <vt:variant>
        <vt:i4>1507384</vt:i4>
      </vt:variant>
      <vt:variant>
        <vt:i4>644</vt:i4>
      </vt:variant>
      <vt:variant>
        <vt:i4>0</vt:i4>
      </vt:variant>
      <vt:variant>
        <vt:i4>5</vt:i4>
      </vt:variant>
      <vt:variant>
        <vt:lpwstr/>
      </vt:variant>
      <vt:variant>
        <vt:lpwstr>_Toc108784933</vt:lpwstr>
      </vt:variant>
      <vt:variant>
        <vt:i4>1507384</vt:i4>
      </vt:variant>
      <vt:variant>
        <vt:i4>638</vt:i4>
      </vt:variant>
      <vt:variant>
        <vt:i4>0</vt:i4>
      </vt:variant>
      <vt:variant>
        <vt:i4>5</vt:i4>
      </vt:variant>
      <vt:variant>
        <vt:lpwstr/>
      </vt:variant>
      <vt:variant>
        <vt:lpwstr>_Toc108784932</vt:lpwstr>
      </vt:variant>
      <vt:variant>
        <vt:i4>1507384</vt:i4>
      </vt:variant>
      <vt:variant>
        <vt:i4>632</vt:i4>
      </vt:variant>
      <vt:variant>
        <vt:i4>0</vt:i4>
      </vt:variant>
      <vt:variant>
        <vt:i4>5</vt:i4>
      </vt:variant>
      <vt:variant>
        <vt:lpwstr/>
      </vt:variant>
      <vt:variant>
        <vt:lpwstr>_Toc108784931</vt:lpwstr>
      </vt:variant>
      <vt:variant>
        <vt:i4>1507384</vt:i4>
      </vt:variant>
      <vt:variant>
        <vt:i4>626</vt:i4>
      </vt:variant>
      <vt:variant>
        <vt:i4>0</vt:i4>
      </vt:variant>
      <vt:variant>
        <vt:i4>5</vt:i4>
      </vt:variant>
      <vt:variant>
        <vt:lpwstr/>
      </vt:variant>
      <vt:variant>
        <vt:lpwstr>_Toc108784930</vt:lpwstr>
      </vt:variant>
      <vt:variant>
        <vt:i4>1441848</vt:i4>
      </vt:variant>
      <vt:variant>
        <vt:i4>620</vt:i4>
      </vt:variant>
      <vt:variant>
        <vt:i4>0</vt:i4>
      </vt:variant>
      <vt:variant>
        <vt:i4>5</vt:i4>
      </vt:variant>
      <vt:variant>
        <vt:lpwstr/>
      </vt:variant>
      <vt:variant>
        <vt:lpwstr>_Toc108784929</vt:lpwstr>
      </vt:variant>
      <vt:variant>
        <vt:i4>1441848</vt:i4>
      </vt:variant>
      <vt:variant>
        <vt:i4>614</vt:i4>
      </vt:variant>
      <vt:variant>
        <vt:i4>0</vt:i4>
      </vt:variant>
      <vt:variant>
        <vt:i4>5</vt:i4>
      </vt:variant>
      <vt:variant>
        <vt:lpwstr/>
      </vt:variant>
      <vt:variant>
        <vt:lpwstr>_Toc108784928</vt:lpwstr>
      </vt:variant>
      <vt:variant>
        <vt:i4>1441848</vt:i4>
      </vt:variant>
      <vt:variant>
        <vt:i4>608</vt:i4>
      </vt:variant>
      <vt:variant>
        <vt:i4>0</vt:i4>
      </vt:variant>
      <vt:variant>
        <vt:i4>5</vt:i4>
      </vt:variant>
      <vt:variant>
        <vt:lpwstr/>
      </vt:variant>
      <vt:variant>
        <vt:lpwstr>_Toc108784927</vt:lpwstr>
      </vt:variant>
      <vt:variant>
        <vt:i4>1441848</vt:i4>
      </vt:variant>
      <vt:variant>
        <vt:i4>602</vt:i4>
      </vt:variant>
      <vt:variant>
        <vt:i4>0</vt:i4>
      </vt:variant>
      <vt:variant>
        <vt:i4>5</vt:i4>
      </vt:variant>
      <vt:variant>
        <vt:lpwstr/>
      </vt:variant>
      <vt:variant>
        <vt:lpwstr>_Toc108784926</vt:lpwstr>
      </vt:variant>
      <vt:variant>
        <vt:i4>1441848</vt:i4>
      </vt:variant>
      <vt:variant>
        <vt:i4>596</vt:i4>
      </vt:variant>
      <vt:variant>
        <vt:i4>0</vt:i4>
      </vt:variant>
      <vt:variant>
        <vt:i4>5</vt:i4>
      </vt:variant>
      <vt:variant>
        <vt:lpwstr/>
      </vt:variant>
      <vt:variant>
        <vt:lpwstr>_Toc108784925</vt:lpwstr>
      </vt:variant>
      <vt:variant>
        <vt:i4>1441848</vt:i4>
      </vt:variant>
      <vt:variant>
        <vt:i4>590</vt:i4>
      </vt:variant>
      <vt:variant>
        <vt:i4>0</vt:i4>
      </vt:variant>
      <vt:variant>
        <vt:i4>5</vt:i4>
      </vt:variant>
      <vt:variant>
        <vt:lpwstr/>
      </vt:variant>
      <vt:variant>
        <vt:lpwstr>_Toc108784924</vt:lpwstr>
      </vt:variant>
      <vt:variant>
        <vt:i4>1441848</vt:i4>
      </vt:variant>
      <vt:variant>
        <vt:i4>584</vt:i4>
      </vt:variant>
      <vt:variant>
        <vt:i4>0</vt:i4>
      </vt:variant>
      <vt:variant>
        <vt:i4>5</vt:i4>
      </vt:variant>
      <vt:variant>
        <vt:lpwstr/>
      </vt:variant>
      <vt:variant>
        <vt:lpwstr>_Toc108784923</vt:lpwstr>
      </vt:variant>
      <vt:variant>
        <vt:i4>1441848</vt:i4>
      </vt:variant>
      <vt:variant>
        <vt:i4>578</vt:i4>
      </vt:variant>
      <vt:variant>
        <vt:i4>0</vt:i4>
      </vt:variant>
      <vt:variant>
        <vt:i4>5</vt:i4>
      </vt:variant>
      <vt:variant>
        <vt:lpwstr/>
      </vt:variant>
      <vt:variant>
        <vt:lpwstr>_Toc108784922</vt:lpwstr>
      </vt:variant>
      <vt:variant>
        <vt:i4>1441848</vt:i4>
      </vt:variant>
      <vt:variant>
        <vt:i4>572</vt:i4>
      </vt:variant>
      <vt:variant>
        <vt:i4>0</vt:i4>
      </vt:variant>
      <vt:variant>
        <vt:i4>5</vt:i4>
      </vt:variant>
      <vt:variant>
        <vt:lpwstr/>
      </vt:variant>
      <vt:variant>
        <vt:lpwstr>_Toc108784921</vt:lpwstr>
      </vt:variant>
      <vt:variant>
        <vt:i4>1441848</vt:i4>
      </vt:variant>
      <vt:variant>
        <vt:i4>566</vt:i4>
      </vt:variant>
      <vt:variant>
        <vt:i4>0</vt:i4>
      </vt:variant>
      <vt:variant>
        <vt:i4>5</vt:i4>
      </vt:variant>
      <vt:variant>
        <vt:lpwstr/>
      </vt:variant>
      <vt:variant>
        <vt:lpwstr>_Toc108784920</vt:lpwstr>
      </vt:variant>
      <vt:variant>
        <vt:i4>1376312</vt:i4>
      </vt:variant>
      <vt:variant>
        <vt:i4>560</vt:i4>
      </vt:variant>
      <vt:variant>
        <vt:i4>0</vt:i4>
      </vt:variant>
      <vt:variant>
        <vt:i4>5</vt:i4>
      </vt:variant>
      <vt:variant>
        <vt:lpwstr/>
      </vt:variant>
      <vt:variant>
        <vt:lpwstr>_Toc108784919</vt:lpwstr>
      </vt:variant>
      <vt:variant>
        <vt:i4>1376312</vt:i4>
      </vt:variant>
      <vt:variant>
        <vt:i4>554</vt:i4>
      </vt:variant>
      <vt:variant>
        <vt:i4>0</vt:i4>
      </vt:variant>
      <vt:variant>
        <vt:i4>5</vt:i4>
      </vt:variant>
      <vt:variant>
        <vt:lpwstr/>
      </vt:variant>
      <vt:variant>
        <vt:lpwstr>_Toc108784918</vt:lpwstr>
      </vt:variant>
      <vt:variant>
        <vt:i4>1376312</vt:i4>
      </vt:variant>
      <vt:variant>
        <vt:i4>548</vt:i4>
      </vt:variant>
      <vt:variant>
        <vt:i4>0</vt:i4>
      </vt:variant>
      <vt:variant>
        <vt:i4>5</vt:i4>
      </vt:variant>
      <vt:variant>
        <vt:lpwstr/>
      </vt:variant>
      <vt:variant>
        <vt:lpwstr>_Toc108784917</vt:lpwstr>
      </vt:variant>
      <vt:variant>
        <vt:i4>1376312</vt:i4>
      </vt:variant>
      <vt:variant>
        <vt:i4>542</vt:i4>
      </vt:variant>
      <vt:variant>
        <vt:i4>0</vt:i4>
      </vt:variant>
      <vt:variant>
        <vt:i4>5</vt:i4>
      </vt:variant>
      <vt:variant>
        <vt:lpwstr/>
      </vt:variant>
      <vt:variant>
        <vt:lpwstr>_Toc108784916</vt:lpwstr>
      </vt:variant>
      <vt:variant>
        <vt:i4>1376312</vt:i4>
      </vt:variant>
      <vt:variant>
        <vt:i4>536</vt:i4>
      </vt:variant>
      <vt:variant>
        <vt:i4>0</vt:i4>
      </vt:variant>
      <vt:variant>
        <vt:i4>5</vt:i4>
      </vt:variant>
      <vt:variant>
        <vt:lpwstr/>
      </vt:variant>
      <vt:variant>
        <vt:lpwstr>_Toc108784915</vt:lpwstr>
      </vt:variant>
      <vt:variant>
        <vt:i4>1376312</vt:i4>
      </vt:variant>
      <vt:variant>
        <vt:i4>530</vt:i4>
      </vt:variant>
      <vt:variant>
        <vt:i4>0</vt:i4>
      </vt:variant>
      <vt:variant>
        <vt:i4>5</vt:i4>
      </vt:variant>
      <vt:variant>
        <vt:lpwstr/>
      </vt:variant>
      <vt:variant>
        <vt:lpwstr>_Toc108784914</vt:lpwstr>
      </vt:variant>
      <vt:variant>
        <vt:i4>1376312</vt:i4>
      </vt:variant>
      <vt:variant>
        <vt:i4>524</vt:i4>
      </vt:variant>
      <vt:variant>
        <vt:i4>0</vt:i4>
      </vt:variant>
      <vt:variant>
        <vt:i4>5</vt:i4>
      </vt:variant>
      <vt:variant>
        <vt:lpwstr/>
      </vt:variant>
      <vt:variant>
        <vt:lpwstr>_Toc108784913</vt:lpwstr>
      </vt:variant>
      <vt:variant>
        <vt:i4>1376312</vt:i4>
      </vt:variant>
      <vt:variant>
        <vt:i4>518</vt:i4>
      </vt:variant>
      <vt:variant>
        <vt:i4>0</vt:i4>
      </vt:variant>
      <vt:variant>
        <vt:i4>5</vt:i4>
      </vt:variant>
      <vt:variant>
        <vt:lpwstr/>
      </vt:variant>
      <vt:variant>
        <vt:lpwstr>_Toc108784912</vt:lpwstr>
      </vt:variant>
      <vt:variant>
        <vt:i4>1376312</vt:i4>
      </vt:variant>
      <vt:variant>
        <vt:i4>512</vt:i4>
      </vt:variant>
      <vt:variant>
        <vt:i4>0</vt:i4>
      </vt:variant>
      <vt:variant>
        <vt:i4>5</vt:i4>
      </vt:variant>
      <vt:variant>
        <vt:lpwstr/>
      </vt:variant>
      <vt:variant>
        <vt:lpwstr>_Toc108784911</vt:lpwstr>
      </vt:variant>
      <vt:variant>
        <vt:i4>1376312</vt:i4>
      </vt:variant>
      <vt:variant>
        <vt:i4>506</vt:i4>
      </vt:variant>
      <vt:variant>
        <vt:i4>0</vt:i4>
      </vt:variant>
      <vt:variant>
        <vt:i4>5</vt:i4>
      </vt:variant>
      <vt:variant>
        <vt:lpwstr/>
      </vt:variant>
      <vt:variant>
        <vt:lpwstr>_Toc108784910</vt:lpwstr>
      </vt:variant>
      <vt:variant>
        <vt:i4>1310776</vt:i4>
      </vt:variant>
      <vt:variant>
        <vt:i4>500</vt:i4>
      </vt:variant>
      <vt:variant>
        <vt:i4>0</vt:i4>
      </vt:variant>
      <vt:variant>
        <vt:i4>5</vt:i4>
      </vt:variant>
      <vt:variant>
        <vt:lpwstr/>
      </vt:variant>
      <vt:variant>
        <vt:lpwstr>_Toc108784909</vt:lpwstr>
      </vt:variant>
      <vt:variant>
        <vt:i4>1310776</vt:i4>
      </vt:variant>
      <vt:variant>
        <vt:i4>494</vt:i4>
      </vt:variant>
      <vt:variant>
        <vt:i4>0</vt:i4>
      </vt:variant>
      <vt:variant>
        <vt:i4>5</vt:i4>
      </vt:variant>
      <vt:variant>
        <vt:lpwstr/>
      </vt:variant>
      <vt:variant>
        <vt:lpwstr>_Toc108784908</vt:lpwstr>
      </vt:variant>
      <vt:variant>
        <vt:i4>1310776</vt:i4>
      </vt:variant>
      <vt:variant>
        <vt:i4>488</vt:i4>
      </vt:variant>
      <vt:variant>
        <vt:i4>0</vt:i4>
      </vt:variant>
      <vt:variant>
        <vt:i4>5</vt:i4>
      </vt:variant>
      <vt:variant>
        <vt:lpwstr/>
      </vt:variant>
      <vt:variant>
        <vt:lpwstr>_Toc108784907</vt:lpwstr>
      </vt:variant>
      <vt:variant>
        <vt:i4>1310776</vt:i4>
      </vt:variant>
      <vt:variant>
        <vt:i4>482</vt:i4>
      </vt:variant>
      <vt:variant>
        <vt:i4>0</vt:i4>
      </vt:variant>
      <vt:variant>
        <vt:i4>5</vt:i4>
      </vt:variant>
      <vt:variant>
        <vt:lpwstr/>
      </vt:variant>
      <vt:variant>
        <vt:lpwstr>_Toc108784906</vt:lpwstr>
      </vt:variant>
      <vt:variant>
        <vt:i4>1310776</vt:i4>
      </vt:variant>
      <vt:variant>
        <vt:i4>476</vt:i4>
      </vt:variant>
      <vt:variant>
        <vt:i4>0</vt:i4>
      </vt:variant>
      <vt:variant>
        <vt:i4>5</vt:i4>
      </vt:variant>
      <vt:variant>
        <vt:lpwstr/>
      </vt:variant>
      <vt:variant>
        <vt:lpwstr>_Toc108784905</vt:lpwstr>
      </vt:variant>
      <vt:variant>
        <vt:i4>1310776</vt:i4>
      </vt:variant>
      <vt:variant>
        <vt:i4>470</vt:i4>
      </vt:variant>
      <vt:variant>
        <vt:i4>0</vt:i4>
      </vt:variant>
      <vt:variant>
        <vt:i4>5</vt:i4>
      </vt:variant>
      <vt:variant>
        <vt:lpwstr/>
      </vt:variant>
      <vt:variant>
        <vt:lpwstr>_Toc108784904</vt:lpwstr>
      </vt:variant>
      <vt:variant>
        <vt:i4>1310776</vt:i4>
      </vt:variant>
      <vt:variant>
        <vt:i4>464</vt:i4>
      </vt:variant>
      <vt:variant>
        <vt:i4>0</vt:i4>
      </vt:variant>
      <vt:variant>
        <vt:i4>5</vt:i4>
      </vt:variant>
      <vt:variant>
        <vt:lpwstr/>
      </vt:variant>
      <vt:variant>
        <vt:lpwstr>_Toc108784903</vt:lpwstr>
      </vt:variant>
      <vt:variant>
        <vt:i4>1310776</vt:i4>
      </vt:variant>
      <vt:variant>
        <vt:i4>458</vt:i4>
      </vt:variant>
      <vt:variant>
        <vt:i4>0</vt:i4>
      </vt:variant>
      <vt:variant>
        <vt:i4>5</vt:i4>
      </vt:variant>
      <vt:variant>
        <vt:lpwstr/>
      </vt:variant>
      <vt:variant>
        <vt:lpwstr>_Toc108784902</vt:lpwstr>
      </vt:variant>
      <vt:variant>
        <vt:i4>1310776</vt:i4>
      </vt:variant>
      <vt:variant>
        <vt:i4>452</vt:i4>
      </vt:variant>
      <vt:variant>
        <vt:i4>0</vt:i4>
      </vt:variant>
      <vt:variant>
        <vt:i4>5</vt:i4>
      </vt:variant>
      <vt:variant>
        <vt:lpwstr/>
      </vt:variant>
      <vt:variant>
        <vt:lpwstr>_Toc108784901</vt:lpwstr>
      </vt:variant>
      <vt:variant>
        <vt:i4>1310776</vt:i4>
      </vt:variant>
      <vt:variant>
        <vt:i4>446</vt:i4>
      </vt:variant>
      <vt:variant>
        <vt:i4>0</vt:i4>
      </vt:variant>
      <vt:variant>
        <vt:i4>5</vt:i4>
      </vt:variant>
      <vt:variant>
        <vt:lpwstr/>
      </vt:variant>
      <vt:variant>
        <vt:lpwstr>_Toc108784900</vt:lpwstr>
      </vt:variant>
      <vt:variant>
        <vt:i4>1900601</vt:i4>
      </vt:variant>
      <vt:variant>
        <vt:i4>440</vt:i4>
      </vt:variant>
      <vt:variant>
        <vt:i4>0</vt:i4>
      </vt:variant>
      <vt:variant>
        <vt:i4>5</vt:i4>
      </vt:variant>
      <vt:variant>
        <vt:lpwstr/>
      </vt:variant>
      <vt:variant>
        <vt:lpwstr>_Toc108784899</vt:lpwstr>
      </vt:variant>
      <vt:variant>
        <vt:i4>1900601</vt:i4>
      </vt:variant>
      <vt:variant>
        <vt:i4>434</vt:i4>
      </vt:variant>
      <vt:variant>
        <vt:i4>0</vt:i4>
      </vt:variant>
      <vt:variant>
        <vt:i4>5</vt:i4>
      </vt:variant>
      <vt:variant>
        <vt:lpwstr/>
      </vt:variant>
      <vt:variant>
        <vt:lpwstr>_Toc108784898</vt:lpwstr>
      </vt:variant>
      <vt:variant>
        <vt:i4>1900601</vt:i4>
      </vt:variant>
      <vt:variant>
        <vt:i4>428</vt:i4>
      </vt:variant>
      <vt:variant>
        <vt:i4>0</vt:i4>
      </vt:variant>
      <vt:variant>
        <vt:i4>5</vt:i4>
      </vt:variant>
      <vt:variant>
        <vt:lpwstr/>
      </vt:variant>
      <vt:variant>
        <vt:lpwstr>_Toc108784897</vt:lpwstr>
      </vt:variant>
      <vt:variant>
        <vt:i4>1900601</vt:i4>
      </vt:variant>
      <vt:variant>
        <vt:i4>422</vt:i4>
      </vt:variant>
      <vt:variant>
        <vt:i4>0</vt:i4>
      </vt:variant>
      <vt:variant>
        <vt:i4>5</vt:i4>
      </vt:variant>
      <vt:variant>
        <vt:lpwstr/>
      </vt:variant>
      <vt:variant>
        <vt:lpwstr>_Toc108784896</vt:lpwstr>
      </vt:variant>
      <vt:variant>
        <vt:i4>1900601</vt:i4>
      </vt:variant>
      <vt:variant>
        <vt:i4>416</vt:i4>
      </vt:variant>
      <vt:variant>
        <vt:i4>0</vt:i4>
      </vt:variant>
      <vt:variant>
        <vt:i4>5</vt:i4>
      </vt:variant>
      <vt:variant>
        <vt:lpwstr/>
      </vt:variant>
      <vt:variant>
        <vt:lpwstr>_Toc108784895</vt:lpwstr>
      </vt:variant>
      <vt:variant>
        <vt:i4>1900601</vt:i4>
      </vt:variant>
      <vt:variant>
        <vt:i4>410</vt:i4>
      </vt:variant>
      <vt:variant>
        <vt:i4>0</vt:i4>
      </vt:variant>
      <vt:variant>
        <vt:i4>5</vt:i4>
      </vt:variant>
      <vt:variant>
        <vt:lpwstr/>
      </vt:variant>
      <vt:variant>
        <vt:lpwstr>_Toc108784894</vt:lpwstr>
      </vt:variant>
      <vt:variant>
        <vt:i4>1900601</vt:i4>
      </vt:variant>
      <vt:variant>
        <vt:i4>404</vt:i4>
      </vt:variant>
      <vt:variant>
        <vt:i4>0</vt:i4>
      </vt:variant>
      <vt:variant>
        <vt:i4>5</vt:i4>
      </vt:variant>
      <vt:variant>
        <vt:lpwstr/>
      </vt:variant>
      <vt:variant>
        <vt:lpwstr>_Toc108784893</vt:lpwstr>
      </vt:variant>
      <vt:variant>
        <vt:i4>1900601</vt:i4>
      </vt:variant>
      <vt:variant>
        <vt:i4>398</vt:i4>
      </vt:variant>
      <vt:variant>
        <vt:i4>0</vt:i4>
      </vt:variant>
      <vt:variant>
        <vt:i4>5</vt:i4>
      </vt:variant>
      <vt:variant>
        <vt:lpwstr/>
      </vt:variant>
      <vt:variant>
        <vt:lpwstr>_Toc108784892</vt:lpwstr>
      </vt:variant>
      <vt:variant>
        <vt:i4>1900601</vt:i4>
      </vt:variant>
      <vt:variant>
        <vt:i4>392</vt:i4>
      </vt:variant>
      <vt:variant>
        <vt:i4>0</vt:i4>
      </vt:variant>
      <vt:variant>
        <vt:i4>5</vt:i4>
      </vt:variant>
      <vt:variant>
        <vt:lpwstr/>
      </vt:variant>
      <vt:variant>
        <vt:lpwstr>_Toc108784891</vt:lpwstr>
      </vt:variant>
      <vt:variant>
        <vt:i4>1900601</vt:i4>
      </vt:variant>
      <vt:variant>
        <vt:i4>386</vt:i4>
      </vt:variant>
      <vt:variant>
        <vt:i4>0</vt:i4>
      </vt:variant>
      <vt:variant>
        <vt:i4>5</vt:i4>
      </vt:variant>
      <vt:variant>
        <vt:lpwstr/>
      </vt:variant>
      <vt:variant>
        <vt:lpwstr>_Toc108784890</vt:lpwstr>
      </vt:variant>
      <vt:variant>
        <vt:i4>1835065</vt:i4>
      </vt:variant>
      <vt:variant>
        <vt:i4>380</vt:i4>
      </vt:variant>
      <vt:variant>
        <vt:i4>0</vt:i4>
      </vt:variant>
      <vt:variant>
        <vt:i4>5</vt:i4>
      </vt:variant>
      <vt:variant>
        <vt:lpwstr/>
      </vt:variant>
      <vt:variant>
        <vt:lpwstr>_Toc108784889</vt:lpwstr>
      </vt:variant>
      <vt:variant>
        <vt:i4>1835065</vt:i4>
      </vt:variant>
      <vt:variant>
        <vt:i4>374</vt:i4>
      </vt:variant>
      <vt:variant>
        <vt:i4>0</vt:i4>
      </vt:variant>
      <vt:variant>
        <vt:i4>5</vt:i4>
      </vt:variant>
      <vt:variant>
        <vt:lpwstr/>
      </vt:variant>
      <vt:variant>
        <vt:lpwstr>_Toc108784888</vt:lpwstr>
      </vt:variant>
      <vt:variant>
        <vt:i4>1835065</vt:i4>
      </vt:variant>
      <vt:variant>
        <vt:i4>368</vt:i4>
      </vt:variant>
      <vt:variant>
        <vt:i4>0</vt:i4>
      </vt:variant>
      <vt:variant>
        <vt:i4>5</vt:i4>
      </vt:variant>
      <vt:variant>
        <vt:lpwstr/>
      </vt:variant>
      <vt:variant>
        <vt:lpwstr>_Toc108784887</vt:lpwstr>
      </vt:variant>
      <vt:variant>
        <vt:i4>1835065</vt:i4>
      </vt:variant>
      <vt:variant>
        <vt:i4>362</vt:i4>
      </vt:variant>
      <vt:variant>
        <vt:i4>0</vt:i4>
      </vt:variant>
      <vt:variant>
        <vt:i4>5</vt:i4>
      </vt:variant>
      <vt:variant>
        <vt:lpwstr/>
      </vt:variant>
      <vt:variant>
        <vt:lpwstr>_Toc108784886</vt:lpwstr>
      </vt:variant>
      <vt:variant>
        <vt:i4>1835065</vt:i4>
      </vt:variant>
      <vt:variant>
        <vt:i4>356</vt:i4>
      </vt:variant>
      <vt:variant>
        <vt:i4>0</vt:i4>
      </vt:variant>
      <vt:variant>
        <vt:i4>5</vt:i4>
      </vt:variant>
      <vt:variant>
        <vt:lpwstr/>
      </vt:variant>
      <vt:variant>
        <vt:lpwstr>_Toc108784885</vt:lpwstr>
      </vt:variant>
      <vt:variant>
        <vt:i4>1835065</vt:i4>
      </vt:variant>
      <vt:variant>
        <vt:i4>350</vt:i4>
      </vt:variant>
      <vt:variant>
        <vt:i4>0</vt:i4>
      </vt:variant>
      <vt:variant>
        <vt:i4>5</vt:i4>
      </vt:variant>
      <vt:variant>
        <vt:lpwstr/>
      </vt:variant>
      <vt:variant>
        <vt:lpwstr>_Toc108784884</vt:lpwstr>
      </vt:variant>
      <vt:variant>
        <vt:i4>1835065</vt:i4>
      </vt:variant>
      <vt:variant>
        <vt:i4>344</vt:i4>
      </vt:variant>
      <vt:variant>
        <vt:i4>0</vt:i4>
      </vt:variant>
      <vt:variant>
        <vt:i4>5</vt:i4>
      </vt:variant>
      <vt:variant>
        <vt:lpwstr/>
      </vt:variant>
      <vt:variant>
        <vt:lpwstr>_Toc108784881</vt:lpwstr>
      </vt:variant>
      <vt:variant>
        <vt:i4>1835065</vt:i4>
      </vt:variant>
      <vt:variant>
        <vt:i4>338</vt:i4>
      </vt:variant>
      <vt:variant>
        <vt:i4>0</vt:i4>
      </vt:variant>
      <vt:variant>
        <vt:i4>5</vt:i4>
      </vt:variant>
      <vt:variant>
        <vt:lpwstr/>
      </vt:variant>
      <vt:variant>
        <vt:lpwstr>_Toc108784880</vt:lpwstr>
      </vt:variant>
      <vt:variant>
        <vt:i4>1245241</vt:i4>
      </vt:variant>
      <vt:variant>
        <vt:i4>332</vt:i4>
      </vt:variant>
      <vt:variant>
        <vt:i4>0</vt:i4>
      </vt:variant>
      <vt:variant>
        <vt:i4>5</vt:i4>
      </vt:variant>
      <vt:variant>
        <vt:lpwstr/>
      </vt:variant>
      <vt:variant>
        <vt:lpwstr>_Toc108784879</vt:lpwstr>
      </vt:variant>
      <vt:variant>
        <vt:i4>1245241</vt:i4>
      </vt:variant>
      <vt:variant>
        <vt:i4>326</vt:i4>
      </vt:variant>
      <vt:variant>
        <vt:i4>0</vt:i4>
      </vt:variant>
      <vt:variant>
        <vt:i4>5</vt:i4>
      </vt:variant>
      <vt:variant>
        <vt:lpwstr/>
      </vt:variant>
      <vt:variant>
        <vt:lpwstr>_Toc108784878</vt:lpwstr>
      </vt:variant>
      <vt:variant>
        <vt:i4>1245241</vt:i4>
      </vt:variant>
      <vt:variant>
        <vt:i4>320</vt:i4>
      </vt:variant>
      <vt:variant>
        <vt:i4>0</vt:i4>
      </vt:variant>
      <vt:variant>
        <vt:i4>5</vt:i4>
      </vt:variant>
      <vt:variant>
        <vt:lpwstr/>
      </vt:variant>
      <vt:variant>
        <vt:lpwstr>_Toc108784877</vt:lpwstr>
      </vt:variant>
      <vt:variant>
        <vt:i4>1245241</vt:i4>
      </vt:variant>
      <vt:variant>
        <vt:i4>314</vt:i4>
      </vt:variant>
      <vt:variant>
        <vt:i4>0</vt:i4>
      </vt:variant>
      <vt:variant>
        <vt:i4>5</vt:i4>
      </vt:variant>
      <vt:variant>
        <vt:lpwstr/>
      </vt:variant>
      <vt:variant>
        <vt:lpwstr>_Toc108784876</vt:lpwstr>
      </vt:variant>
      <vt:variant>
        <vt:i4>1245241</vt:i4>
      </vt:variant>
      <vt:variant>
        <vt:i4>308</vt:i4>
      </vt:variant>
      <vt:variant>
        <vt:i4>0</vt:i4>
      </vt:variant>
      <vt:variant>
        <vt:i4>5</vt:i4>
      </vt:variant>
      <vt:variant>
        <vt:lpwstr/>
      </vt:variant>
      <vt:variant>
        <vt:lpwstr>_Toc108784875</vt:lpwstr>
      </vt:variant>
      <vt:variant>
        <vt:i4>1245241</vt:i4>
      </vt:variant>
      <vt:variant>
        <vt:i4>302</vt:i4>
      </vt:variant>
      <vt:variant>
        <vt:i4>0</vt:i4>
      </vt:variant>
      <vt:variant>
        <vt:i4>5</vt:i4>
      </vt:variant>
      <vt:variant>
        <vt:lpwstr/>
      </vt:variant>
      <vt:variant>
        <vt:lpwstr>_Toc108784874</vt:lpwstr>
      </vt:variant>
      <vt:variant>
        <vt:i4>1245241</vt:i4>
      </vt:variant>
      <vt:variant>
        <vt:i4>296</vt:i4>
      </vt:variant>
      <vt:variant>
        <vt:i4>0</vt:i4>
      </vt:variant>
      <vt:variant>
        <vt:i4>5</vt:i4>
      </vt:variant>
      <vt:variant>
        <vt:lpwstr/>
      </vt:variant>
      <vt:variant>
        <vt:lpwstr>_Toc108784871</vt:lpwstr>
      </vt:variant>
      <vt:variant>
        <vt:i4>1245241</vt:i4>
      </vt:variant>
      <vt:variant>
        <vt:i4>290</vt:i4>
      </vt:variant>
      <vt:variant>
        <vt:i4>0</vt:i4>
      </vt:variant>
      <vt:variant>
        <vt:i4>5</vt:i4>
      </vt:variant>
      <vt:variant>
        <vt:lpwstr/>
      </vt:variant>
      <vt:variant>
        <vt:lpwstr>_Toc108784870</vt:lpwstr>
      </vt:variant>
      <vt:variant>
        <vt:i4>1179705</vt:i4>
      </vt:variant>
      <vt:variant>
        <vt:i4>284</vt:i4>
      </vt:variant>
      <vt:variant>
        <vt:i4>0</vt:i4>
      </vt:variant>
      <vt:variant>
        <vt:i4>5</vt:i4>
      </vt:variant>
      <vt:variant>
        <vt:lpwstr/>
      </vt:variant>
      <vt:variant>
        <vt:lpwstr>_Toc108784869</vt:lpwstr>
      </vt:variant>
      <vt:variant>
        <vt:i4>1179705</vt:i4>
      </vt:variant>
      <vt:variant>
        <vt:i4>278</vt:i4>
      </vt:variant>
      <vt:variant>
        <vt:i4>0</vt:i4>
      </vt:variant>
      <vt:variant>
        <vt:i4>5</vt:i4>
      </vt:variant>
      <vt:variant>
        <vt:lpwstr/>
      </vt:variant>
      <vt:variant>
        <vt:lpwstr>_Toc108784868</vt:lpwstr>
      </vt:variant>
      <vt:variant>
        <vt:i4>1179705</vt:i4>
      </vt:variant>
      <vt:variant>
        <vt:i4>272</vt:i4>
      </vt:variant>
      <vt:variant>
        <vt:i4>0</vt:i4>
      </vt:variant>
      <vt:variant>
        <vt:i4>5</vt:i4>
      </vt:variant>
      <vt:variant>
        <vt:lpwstr/>
      </vt:variant>
      <vt:variant>
        <vt:lpwstr>_Toc108784867</vt:lpwstr>
      </vt:variant>
      <vt:variant>
        <vt:i4>1179705</vt:i4>
      </vt:variant>
      <vt:variant>
        <vt:i4>266</vt:i4>
      </vt:variant>
      <vt:variant>
        <vt:i4>0</vt:i4>
      </vt:variant>
      <vt:variant>
        <vt:i4>5</vt:i4>
      </vt:variant>
      <vt:variant>
        <vt:lpwstr/>
      </vt:variant>
      <vt:variant>
        <vt:lpwstr>_Toc108784866</vt:lpwstr>
      </vt:variant>
      <vt:variant>
        <vt:i4>1179705</vt:i4>
      </vt:variant>
      <vt:variant>
        <vt:i4>260</vt:i4>
      </vt:variant>
      <vt:variant>
        <vt:i4>0</vt:i4>
      </vt:variant>
      <vt:variant>
        <vt:i4>5</vt:i4>
      </vt:variant>
      <vt:variant>
        <vt:lpwstr/>
      </vt:variant>
      <vt:variant>
        <vt:lpwstr>_Toc108784865</vt:lpwstr>
      </vt:variant>
      <vt:variant>
        <vt:i4>1179705</vt:i4>
      </vt:variant>
      <vt:variant>
        <vt:i4>254</vt:i4>
      </vt:variant>
      <vt:variant>
        <vt:i4>0</vt:i4>
      </vt:variant>
      <vt:variant>
        <vt:i4>5</vt:i4>
      </vt:variant>
      <vt:variant>
        <vt:lpwstr/>
      </vt:variant>
      <vt:variant>
        <vt:lpwstr>_Toc108784864</vt:lpwstr>
      </vt:variant>
      <vt:variant>
        <vt:i4>1179705</vt:i4>
      </vt:variant>
      <vt:variant>
        <vt:i4>248</vt:i4>
      </vt:variant>
      <vt:variant>
        <vt:i4>0</vt:i4>
      </vt:variant>
      <vt:variant>
        <vt:i4>5</vt:i4>
      </vt:variant>
      <vt:variant>
        <vt:lpwstr/>
      </vt:variant>
      <vt:variant>
        <vt:lpwstr>_Toc108784863</vt:lpwstr>
      </vt:variant>
      <vt:variant>
        <vt:i4>1179705</vt:i4>
      </vt:variant>
      <vt:variant>
        <vt:i4>242</vt:i4>
      </vt:variant>
      <vt:variant>
        <vt:i4>0</vt:i4>
      </vt:variant>
      <vt:variant>
        <vt:i4>5</vt:i4>
      </vt:variant>
      <vt:variant>
        <vt:lpwstr/>
      </vt:variant>
      <vt:variant>
        <vt:lpwstr>_Toc108784862</vt:lpwstr>
      </vt:variant>
      <vt:variant>
        <vt:i4>1179705</vt:i4>
      </vt:variant>
      <vt:variant>
        <vt:i4>236</vt:i4>
      </vt:variant>
      <vt:variant>
        <vt:i4>0</vt:i4>
      </vt:variant>
      <vt:variant>
        <vt:i4>5</vt:i4>
      </vt:variant>
      <vt:variant>
        <vt:lpwstr/>
      </vt:variant>
      <vt:variant>
        <vt:lpwstr>_Toc108784860</vt:lpwstr>
      </vt:variant>
      <vt:variant>
        <vt:i4>1114169</vt:i4>
      </vt:variant>
      <vt:variant>
        <vt:i4>230</vt:i4>
      </vt:variant>
      <vt:variant>
        <vt:i4>0</vt:i4>
      </vt:variant>
      <vt:variant>
        <vt:i4>5</vt:i4>
      </vt:variant>
      <vt:variant>
        <vt:lpwstr/>
      </vt:variant>
      <vt:variant>
        <vt:lpwstr>_Toc108784859</vt:lpwstr>
      </vt:variant>
      <vt:variant>
        <vt:i4>1114169</vt:i4>
      </vt:variant>
      <vt:variant>
        <vt:i4>224</vt:i4>
      </vt:variant>
      <vt:variant>
        <vt:i4>0</vt:i4>
      </vt:variant>
      <vt:variant>
        <vt:i4>5</vt:i4>
      </vt:variant>
      <vt:variant>
        <vt:lpwstr/>
      </vt:variant>
      <vt:variant>
        <vt:lpwstr>_Toc108784858</vt:lpwstr>
      </vt:variant>
      <vt:variant>
        <vt:i4>1114169</vt:i4>
      </vt:variant>
      <vt:variant>
        <vt:i4>218</vt:i4>
      </vt:variant>
      <vt:variant>
        <vt:i4>0</vt:i4>
      </vt:variant>
      <vt:variant>
        <vt:i4>5</vt:i4>
      </vt:variant>
      <vt:variant>
        <vt:lpwstr/>
      </vt:variant>
      <vt:variant>
        <vt:lpwstr>_Toc108784857</vt:lpwstr>
      </vt:variant>
      <vt:variant>
        <vt:i4>1114169</vt:i4>
      </vt:variant>
      <vt:variant>
        <vt:i4>212</vt:i4>
      </vt:variant>
      <vt:variant>
        <vt:i4>0</vt:i4>
      </vt:variant>
      <vt:variant>
        <vt:i4>5</vt:i4>
      </vt:variant>
      <vt:variant>
        <vt:lpwstr/>
      </vt:variant>
      <vt:variant>
        <vt:lpwstr>_Toc108784856</vt:lpwstr>
      </vt:variant>
      <vt:variant>
        <vt:i4>1114169</vt:i4>
      </vt:variant>
      <vt:variant>
        <vt:i4>206</vt:i4>
      </vt:variant>
      <vt:variant>
        <vt:i4>0</vt:i4>
      </vt:variant>
      <vt:variant>
        <vt:i4>5</vt:i4>
      </vt:variant>
      <vt:variant>
        <vt:lpwstr/>
      </vt:variant>
      <vt:variant>
        <vt:lpwstr>_Toc108784855</vt:lpwstr>
      </vt:variant>
      <vt:variant>
        <vt:i4>1114169</vt:i4>
      </vt:variant>
      <vt:variant>
        <vt:i4>200</vt:i4>
      </vt:variant>
      <vt:variant>
        <vt:i4>0</vt:i4>
      </vt:variant>
      <vt:variant>
        <vt:i4>5</vt:i4>
      </vt:variant>
      <vt:variant>
        <vt:lpwstr/>
      </vt:variant>
      <vt:variant>
        <vt:lpwstr>_Toc108784854</vt:lpwstr>
      </vt:variant>
      <vt:variant>
        <vt:i4>1114169</vt:i4>
      </vt:variant>
      <vt:variant>
        <vt:i4>194</vt:i4>
      </vt:variant>
      <vt:variant>
        <vt:i4>0</vt:i4>
      </vt:variant>
      <vt:variant>
        <vt:i4>5</vt:i4>
      </vt:variant>
      <vt:variant>
        <vt:lpwstr/>
      </vt:variant>
      <vt:variant>
        <vt:lpwstr>_Toc108784853</vt:lpwstr>
      </vt:variant>
      <vt:variant>
        <vt:i4>1114169</vt:i4>
      </vt:variant>
      <vt:variant>
        <vt:i4>188</vt:i4>
      </vt:variant>
      <vt:variant>
        <vt:i4>0</vt:i4>
      </vt:variant>
      <vt:variant>
        <vt:i4>5</vt:i4>
      </vt:variant>
      <vt:variant>
        <vt:lpwstr/>
      </vt:variant>
      <vt:variant>
        <vt:lpwstr>_Toc108784852</vt:lpwstr>
      </vt:variant>
      <vt:variant>
        <vt:i4>1114169</vt:i4>
      </vt:variant>
      <vt:variant>
        <vt:i4>182</vt:i4>
      </vt:variant>
      <vt:variant>
        <vt:i4>0</vt:i4>
      </vt:variant>
      <vt:variant>
        <vt:i4>5</vt:i4>
      </vt:variant>
      <vt:variant>
        <vt:lpwstr/>
      </vt:variant>
      <vt:variant>
        <vt:lpwstr>_Toc108784851</vt:lpwstr>
      </vt:variant>
      <vt:variant>
        <vt:i4>1048633</vt:i4>
      </vt:variant>
      <vt:variant>
        <vt:i4>176</vt:i4>
      </vt:variant>
      <vt:variant>
        <vt:i4>0</vt:i4>
      </vt:variant>
      <vt:variant>
        <vt:i4>5</vt:i4>
      </vt:variant>
      <vt:variant>
        <vt:lpwstr/>
      </vt:variant>
      <vt:variant>
        <vt:lpwstr>_Toc108784843</vt:lpwstr>
      </vt:variant>
      <vt:variant>
        <vt:i4>1048633</vt:i4>
      </vt:variant>
      <vt:variant>
        <vt:i4>170</vt:i4>
      </vt:variant>
      <vt:variant>
        <vt:i4>0</vt:i4>
      </vt:variant>
      <vt:variant>
        <vt:i4>5</vt:i4>
      </vt:variant>
      <vt:variant>
        <vt:lpwstr/>
      </vt:variant>
      <vt:variant>
        <vt:lpwstr>_Toc108784842</vt:lpwstr>
      </vt:variant>
      <vt:variant>
        <vt:i4>1048633</vt:i4>
      </vt:variant>
      <vt:variant>
        <vt:i4>164</vt:i4>
      </vt:variant>
      <vt:variant>
        <vt:i4>0</vt:i4>
      </vt:variant>
      <vt:variant>
        <vt:i4>5</vt:i4>
      </vt:variant>
      <vt:variant>
        <vt:lpwstr/>
      </vt:variant>
      <vt:variant>
        <vt:lpwstr>_Toc108784841</vt:lpwstr>
      </vt:variant>
      <vt:variant>
        <vt:i4>1048633</vt:i4>
      </vt:variant>
      <vt:variant>
        <vt:i4>158</vt:i4>
      </vt:variant>
      <vt:variant>
        <vt:i4>0</vt:i4>
      </vt:variant>
      <vt:variant>
        <vt:i4>5</vt:i4>
      </vt:variant>
      <vt:variant>
        <vt:lpwstr/>
      </vt:variant>
      <vt:variant>
        <vt:lpwstr>_Toc108784840</vt:lpwstr>
      </vt:variant>
      <vt:variant>
        <vt:i4>1507385</vt:i4>
      </vt:variant>
      <vt:variant>
        <vt:i4>152</vt:i4>
      </vt:variant>
      <vt:variant>
        <vt:i4>0</vt:i4>
      </vt:variant>
      <vt:variant>
        <vt:i4>5</vt:i4>
      </vt:variant>
      <vt:variant>
        <vt:lpwstr/>
      </vt:variant>
      <vt:variant>
        <vt:lpwstr>_Toc108784839</vt:lpwstr>
      </vt:variant>
      <vt:variant>
        <vt:i4>1507385</vt:i4>
      </vt:variant>
      <vt:variant>
        <vt:i4>146</vt:i4>
      </vt:variant>
      <vt:variant>
        <vt:i4>0</vt:i4>
      </vt:variant>
      <vt:variant>
        <vt:i4>5</vt:i4>
      </vt:variant>
      <vt:variant>
        <vt:lpwstr/>
      </vt:variant>
      <vt:variant>
        <vt:lpwstr>_Toc108784838</vt:lpwstr>
      </vt:variant>
      <vt:variant>
        <vt:i4>1507385</vt:i4>
      </vt:variant>
      <vt:variant>
        <vt:i4>140</vt:i4>
      </vt:variant>
      <vt:variant>
        <vt:i4>0</vt:i4>
      </vt:variant>
      <vt:variant>
        <vt:i4>5</vt:i4>
      </vt:variant>
      <vt:variant>
        <vt:lpwstr/>
      </vt:variant>
      <vt:variant>
        <vt:lpwstr>_Toc108784837</vt:lpwstr>
      </vt:variant>
      <vt:variant>
        <vt:i4>1507385</vt:i4>
      </vt:variant>
      <vt:variant>
        <vt:i4>134</vt:i4>
      </vt:variant>
      <vt:variant>
        <vt:i4>0</vt:i4>
      </vt:variant>
      <vt:variant>
        <vt:i4>5</vt:i4>
      </vt:variant>
      <vt:variant>
        <vt:lpwstr/>
      </vt:variant>
      <vt:variant>
        <vt:lpwstr>_Toc108784836</vt:lpwstr>
      </vt:variant>
      <vt:variant>
        <vt:i4>1507385</vt:i4>
      </vt:variant>
      <vt:variant>
        <vt:i4>128</vt:i4>
      </vt:variant>
      <vt:variant>
        <vt:i4>0</vt:i4>
      </vt:variant>
      <vt:variant>
        <vt:i4>5</vt:i4>
      </vt:variant>
      <vt:variant>
        <vt:lpwstr/>
      </vt:variant>
      <vt:variant>
        <vt:lpwstr>_Toc108784835</vt:lpwstr>
      </vt:variant>
      <vt:variant>
        <vt:i4>1507385</vt:i4>
      </vt:variant>
      <vt:variant>
        <vt:i4>122</vt:i4>
      </vt:variant>
      <vt:variant>
        <vt:i4>0</vt:i4>
      </vt:variant>
      <vt:variant>
        <vt:i4>5</vt:i4>
      </vt:variant>
      <vt:variant>
        <vt:lpwstr/>
      </vt:variant>
      <vt:variant>
        <vt:lpwstr>_Toc108784834</vt:lpwstr>
      </vt:variant>
      <vt:variant>
        <vt:i4>1507385</vt:i4>
      </vt:variant>
      <vt:variant>
        <vt:i4>116</vt:i4>
      </vt:variant>
      <vt:variant>
        <vt:i4>0</vt:i4>
      </vt:variant>
      <vt:variant>
        <vt:i4>5</vt:i4>
      </vt:variant>
      <vt:variant>
        <vt:lpwstr/>
      </vt:variant>
      <vt:variant>
        <vt:lpwstr>_Toc108784833</vt:lpwstr>
      </vt:variant>
      <vt:variant>
        <vt:i4>1507385</vt:i4>
      </vt:variant>
      <vt:variant>
        <vt:i4>110</vt:i4>
      </vt:variant>
      <vt:variant>
        <vt:i4>0</vt:i4>
      </vt:variant>
      <vt:variant>
        <vt:i4>5</vt:i4>
      </vt:variant>
      <vt:variant>
        <vt:lpwstr/>
      </vt:variant>
      <vt:variant>
        <vt:lpwstr>_Toc108784832</vt:lpwstr>
      </vt:variant>
      <vt:variant>
        <vt:i4>1507385</vt:i4>
      </vt:variant>
      <vt:variant>
        <vt:i4>104</vt:i4>
      </vt:variant>
      <vt:variant>
        <vt:i4>0</vt:i4>
      </vt:variant>
      <vt:variant>
        <vt:i4>5</vt:i4>
      </vt:variant>
      <vt:variant>
        <vt:lpwstr/>
      </vt:variant>
      <vt:variant>
        <vt:lpwstr>_Toc108784831</vt:lpwstr>
      </vt:variant>
      <vt:variant>
        <vt:i4>1507385</vt:i4>
      </vt:variant>
      <vt:variant>
        <vt:i4>98</vt:i4>
      </vt:variant>
      <vt:variant>
        <vt:i4>0</vt:i4>
      </vt:variant>
      <vt:variant>
        <vt:i4>5</vt:i4>
      </vt:variant>
      <vt:variant>
        <vt:lpwstr/>
      </vt:variant>
      <vt:variant>
        <vt:lpwstr>_Toc108784830</vt:lpwstr>
      </vt:variant>
      <vt:variant>
        <vt:i4>1441849</vt:i4>
      </vt:variant>
      <vt:variant>
        <vt:i4>92</vt:i4>
      </vt:variant>
      <vt:variant>
        <vt:i4>0</vt:i4>
      </vt:variant>
      <vt:variant>
        <vt:i4>5</vt:i4>
      </vt:variant>
      <vt:variant>
        <vt:lpwstr/>
      </vt:variant>
      <vt:variant>
        <vt:lpwstr>_Toc108784829</vt:lpwstr>
      </vt:variant>
      <vt:variant>
        <vt:i4>1441849</vt:i4>
      </vt:variant>
      <vt:variant>
        <vt:i4>86</vt:i4>
      </vt:variant>
      <vt:variant>
        <vt:i4>0</vt:i4>
      </vt:variant>
      <vt:variant>
        <vt:i4>5</vt:i4>
      </vt:variant>
      <vt:variant>
        <vt:lpwstr/>
      </vt:variant>
      <vt:variant>
        <vt:lpwstr>_Toc108784828</vt:lpwstr>
      </vt:variant>
      <vt:variant>
        <vt:i4>1441849</vt:i4>
      </vt:variant>
      <vt:variant>
        <vt:i4>80</vt:i4>
      </vt:variant>
      <vt:variant>
        <vt:i4>0</vt:i4>
      </vt:variant>
      <vt:variant>
        <vt:i4>5</vt:i4>
      </vt:variant>
      <vt:variant>
        <vt:lpwstr/>
      </vt:variant>
      <vt:variant>
        <vt:lpwstr>_Toc108784827</vt:lpwstr>
      </vt:variant>
      <vt:variant>
        <vt:i4>1441849</vt:i4>
      </vt:variant>
      <vt:variant>
        <vt:i4>74</vt:i4>
      </vt:variant>
      <vt:variant>
        <vt:i4>0</vt:i4>
      </vt:variant>
      <vt:variant>
        <vt:i4>5</vt:i4>
      </vt:variant>
      <vt:variant>
        <vt:lpwstr/>
      </vt:variant>
      <vt:variant>
        <vt:lpwstr>_Toc108784826</vt:lpwstr>
      </vt:variant>
      <vt:variant>
        <vt:i4>1441849</vt:i4>
      </vt:variant>
      <vt:variant>
        <vt:i4>68</vt:i4>
      </vt:variant>
      <vt:variant>
        <vt:i4>0</vt:i4>
      </vt:variant>
      <vt:variant>
        <vt:i4>5</vt:i4>
      </vt:variant>
      <vt:variant>
        <vt:lpwstr/>
      </vt:variant>
      <vt:variant>
        <vt:lpwstr>_Toc108784825</vt:lpwstr>
      </vt:variant>
      <vt:variant>
        <vt:i4>1441849</vt:i4>
      </vt:variant>
      <vt:variant>
        <vt:i4>62</vt:i4>
      </vt:variant>
      <vt:variant>
        <vt:i4>0</vt:i4>
      </vt:variant>
      <vt:variant>
        <vt:i4>5</vt:i4>
      </vt:variant>
      <vt:variant>
        <vt:lpwstr/>
      </vt:variant>
      <vt:variant>
        <vt:lpwstr>_Toc108784824</vt:lpwstr>
      </vt:variant>
      <vt:variant>
        <vt:i4>1441849</vt:i4>
      </vt:variant>
      <vt:variant>
        <vt:i4>56</vt:i4>
      </vt:variant>
      <vt:variant>
        <vt:i4>0</vt:i4>
      </vt:variant>
      <vt:variant>
        <vt:i4>5</vt:i4>
      </vt:variant>
      <vt:variant>
        <vt:lpwstr/>
      </vt:variant>
      <vt:variant>
        <vt:lpwstr>_Toc108784823</vt:lpwstr>
      </vt:variant>
      <vt:variant>
        <vt:i4>1441849</vt:i4>
      </vt:variant>
      <vt:variant>
        <vt:i4>50</vt:i4>
      </vt:variant>
      <vt:variant>
        <vt:i4>0</vt:i4>
      </vt:variant>
      <vt:variant>
        <vt:i4>5</vt:i4>
      </vt:variant>
      <vt:variant>
        <vt:lpwstr/>
      </vt:variant>
      <vt:variant>
        <vt:lpwstr>_Toc108784822</vt:lpwstr>
      </vt:variant>
      <vt:variant>
        <vt:i4>1441849</vt:i4>
      </vt:variant>
      <vt:variant>
        <vt:i4>44</vt:i4>
      </vt:variant>
      <vt:variant>
        <vt:i4>0</vt:i4>
      </vt:variant>
      <vt:variant>
        <vt:i4>5</vt:i4>
      </vt:variant>
      <vt:variant>
        <vt:lpwstr/>
      </vt:variant>
      <vt:variant>
        <vt:lpwstr>_Toc108784821</vt:lpwstr>
      </vt:variant>
      <vt:variant>
        <vt:i4>1441849</vt:i4>
      </vt:variant>
      <vt:variant>
        <vt:i4>38</vt:i4>
      </vt:variant>
      <vt:variant>
        <vt:i4>0</vt:i4>
      </vt:variant>
      <vt:variant>
        <vt:i4>5</vt:i4>
      </vt:variant>
      <vt:variant>
        <vt:lpwstr/>
      </vt:variant>
      <vt:variant>
        <vt:lpwstr>_Toc108784820</vt:lpwstr>
      </vt:variant>
      <vt:variant>
        <vt:i4>1376313</vt:i4>
      </vt:variant>
      <vt:variant>
        <vt:i4>32</vt:i4>
      </vt:variant>
      <vt:variant>
        <vt:i4>0</vt:i4>
      </vt:variant>
      <vt:variant>
        <vt:i4>5</vt:i4>
      </vt:variant>
      <vt:variant>
        <vt:lpwstr/>
      </vt:variant>
      <vt:variant>
        <vt:lpwstr>_Toc108784819</vt:lpwstr>
      </vt:variant>
      <vt:variant>
        <vt:i4>1376313</vt:i4>
      </vt:variant>
      <vt:variant>
        <vt:i4>26</vt:i4>
      </vt:variant>
      <vt:variant>
        <vt:i4>0</vt:i4>
      </vt:variant>
      <vt:variant>
        <vt:i4>5</vt:i4>
      </vt:variant>
      <vt:variant>
        <vt:lpwstr/>
      </vt:variant>
      <vt:variant>
        <vt:lpwstr>_Toc108784813</vt:lpwstr>
      </vt:variant>
      <vt:variant>
        <vt:i4>1376313</vt:i4>
      </vt:variant>
      <vt:variant>
        <vt:i4>20</vt:i4>
      </vt:variant>
      <vt:variant>
        <vt:i4>0</vt:i4>
      </vt:variant>
      <vt:variant>
        <vt:i4>5</vt:i4>
      </vt:variant>
      <vt:variant>
        <vt:lpwstr/>
      </vt:variant>
      <vt:variant>
        <vt:lpwstr>_Toc108784812</vt:lpwstr>
      </vt:variant>
      <vt:variant>
        <vt:i4>1376313</vt:i4>
      </vt:variant>
      <vt:variant>
        <vt:i4>14</vt:i4>
      </vt:variant>
      <vt:variant>
        <vt:i4>0</vt:i4>
      </vt:variant>
      <vt:variant>
        <vt:i4>5</vt:i4>
      </vt:variant>
      <vt:variant>
        <vt:lpwstr/>
      </vt:variant>
      <vt:variant>
        <vt:lpwstr>_Toc108784811</vt:lpwstr>
      </vt:variant>
      <vt:variant>
        <vt:i4>1376313</vt:i4>
      </vt:variant>
      <vt:variant>
        <vt:i4>8</vt:i4>
      </vt:variant>
      <vt:variant>
        <vt:i4>0</vt:i4>
      </vt:variant>
      <vt:variant>
        <vt:i4>5</vt:i4>
      </vt:variant>
      <vt:variant>
        <vt:lpwstr/>
      </vt:variant>
      <vt:variant>
        <vt:lpwstr>_Toc108784810</vt:lpwstr>
      </vt:variant>
      <vt:variant>
        <vt:i4>1310777</vt:i4>
      </vt:variant>
      <vt:variant>
        <vt:i4>2</vt:i4>
      </vt:variant>
      <vt:variant>
        <vt:i4>0</vt:i4>
      </vt:variant>
      <vt:variant>
        <vt:i4>5</vt:i4>
      </vt:variant>
      <vt:variant>
        <vt:lpwstr/>
      </vt:variant>
      <vt:variant>
        <vt:lpwstr>_Toc108784809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Independent evaluation of supported digital mental health services – Phase 2 final report</dc:title>
  <dc:subject/>
  <dc:creator>University of Melbourne</dc:creator>
  <cp:keywords>Mental health</cp:keywords>
  <dc:description/>
  <cp:lastModifiedBy>JACOB, Reuben</cp:lastModifiedBy>
  <cp:revision>7</cp:revision>
  <cp:lastPrinted>2022-07-18T02:35:00Z</cp:lastPrinted>
  <dcterms:created xsi:type="dcterms:W3CDTF">2022-08-15T02:56:00Z</dcterms:created>
  <dcterms:modified xsi:type="dcterms:W3CDTF">2022-09-16T04:30:00Z</dcterms:modified>
</cp:coreProperties>
</file>